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Default Extension="jpeg" ContentType="image/jpeg"/>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footer7.xml" ContentType="application/vnd.openxmlformats-officedocument.wordprocessingml.footer+xml"/>
  <Override PartName="/word/header11.xml" ContentType="application/vnd.openxmlformats-officedocument.wordprocessingml.header+xml"/>
  <Override PartName="/word/footer8.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9.xml" ContentType="application/vnd.openxmlformats-officedocument.wordprocessingml.footer+xml"/>
  <Override PartName="/word/header14.xml" ContentType="application/vnd.openxmlformats-officedocument.wordprocessingml.header+xml"/>
  <Override PartName="/word/footer10.xml" ContentType="application/vnd.openxmlformats-officedocument.wordprocessingml.footer+xml"/>
  <Override PartName="/word/header15.xml" ContentType="application/vnd.openxmlformats-officedocument.wordprocessingml.header+xml"/>
  <Override PartName="/word/footer11.xml" ContentType="application/vnd.openxmlformats-officedocument.wordprocessingml.footer+xml"/>
  <Override PartName="/word/header16.xml" ContentType="application/vnd.openxmlformats-officedocument.wordprocessingml.header+xml"/>
  <Override PartName="/word/footer12.xml" ContentType="application/vnd.openxmlformats-officedocument.wordprocessingml.footer+xml"/>
  <Override PartName="/word/header17.xml" ContentType="application/vnd.openxmlformats-officedocument.wordprocessingml.header+xml"/>
  <Override PartName="/word/footer13.xml" ContentType="application/vnd.openxmlformats-officedocument.wordprocessingml.footer+xml"/>
  <Override PartName="/word/header18.xml" ContentType="application/vnd.openxmlformats-officedocument.wordprocessingml.header+xml"/>
  <Override PartName="/word/footer14.xml" ContentType="application/vnd.openxmlformats-officedocument.wordprocessingml.footer+xml"/>
  <Override PartName="/word/header19.xml" ContentType="application/vnd.openxmlformats-officedocument.wordprocessingml.header+xml"/>
  <Override PartName="/word/footer15.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oter16.xml" ContentType="application/vnd.openxmlformats-officedocument.wordprocessingml.footer+xml"/>
  <Override PartName="/word/header25.xml" ContentType="application/vnd.openxmlformats-officedocument.wordprocessingml.header+xml"/>
  <Override PartName="/word/footer17.xml" ContentType="application/vnd.openxmlformats-officedocument.wordprocessingml.footer+xml"/>
  <Override PartName="/word/header26.xml" ContentType="application/vnd.openxmlformats-officedocument.wordprocessingml.header+xml"/>
  <Override PartName="/word/footer18.xml" ContentType="application/vnd.openxmlformats-officedocument.wordprocessingml.footer+xml"/>
  <Override PartName="/word/header27.xml" ContentType="application/vnd.openxmlformats-officedocument.wordprocessingml.header+xml"/>
  <Override PartName="/word/footer19.xml" ContentType="application/vnd.openxmlformats-officedocument.wordprocessingml.footer+xml"/>
  <Override PartName="/word/header28.xml" ContentType="application/vnd.openxmlformats-officedocument.wordprocessingml.header+xml"/>
  <Override PartName="/word/footer20.xml" ContentType="application/vnd.openxmlformats-officedocument.wordprocessingml.footer+xml"/>
  <Override PartName="/word/header29.xml" ContentType="application/vnd.openxmlformats-officedocument.wordprocessingml.header+xml"/>
  <Override PartName="/word/footer21.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oter22.xml" ContentType="application/vnd.openxmlformats-officedocument.wordprocessingml.footer+xml"/>
  <Override PartName="/word/header33.xml" ContentType="application/vnd.openxmlformats-officedocument.wordprocessingml.header+xml"/>
  <Override PartName="/word/footer2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footer24.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footer28.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29.xml" ContentType="application/vnd.openxmlformats-officedocument.wordprocessingml.footer+xml"/>
  <Override PartName="/word/header44.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footer34.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r>
        <w:rPr/>
        <w:pict>
          <v:group style="position:absolute;margin-left:-.625pt;margin-top:-.624785pt;width:638.550pt;height:885.15pt;mso-position-horizontal-relative:page;mso-position-vertical-relative:page;z-index:-1207312" coordorigin="-13,-12" coordsize="12771,17703">
            <v:shape style="position:absolute;left:137;top:137;width:12472;height:17405" type="#_x0000_t75" stroked="false">
              <v:imagedata r:id="rId5" o:title=""/>
            </v:shape>
            <v:shape style="position:absolute;left:5275;top:1554;width:2095;height:509" type="#_x0000_t75" stroked="false">
              <v:imagedata r:id="rId6" o:title=""/>
            </v:shape>
            <v:shape style="position:absolute;left:4956;top:1556;width:318;height:244" coordorigin="4956,1556" coordsize="318,244" path="m5009,1557l4956,1557,5025,1799,5070,1799,5094,1716,5049,1716,5009,1557xm5162,1646l5114,1646,5158,1799,5204,1799,5228,1716,5181,1716,5162,1646xm5137,1556l5093,1556,5049,1716,5094,1716,5114,1646,5162,1646,5137,1556xm5273,1557l5221,1557,5181,1716,5228,1716,5273,1557xe" filled="true" fillcolor="#231f20" stroked="false">
              <v:path arrowok="t"/>
              <v:fill type="solid"/>
            </v:shape>
            <v:line style="position:absolute" from="5298,1726" to="5348,1726" stroked="true" strokeweight="2.7pt" strokecolor="#231f20"/>
            <v:line style="position:absolute" from="5298,1629" to="5348,1629" stroked="true" strokeweight="2.6pt" strokecolor="#231f20"/>
            <v:shape style="position:absolute;left:7382;top:1557;width:408;height:242" type="#_x0000_t75" stroked="false">
              <v:imagedata r:id="rId7" o:title=""/>
            </v:shape>
            <v:shape style="position:absolute;left:3504;top:2260;width:5738;height:10166" coordorigin="3504,2260" coordsize="5738,10166" path="m6532,2260l6499,2260,6499,2324,6446,2550,6437,2545,6426,2541,6415,2537,6404,2535,6371,2395,6337,2535,6326,2537,6315,2541,6305,2545,6295,2550,6242,2324,6275,2324,6316,2493,6356,2324,6385,2324,6426,2493,6466,2324,6499,2324,6499,2260,6210,2260,6210,2502,6235,2565,6290,2616,6345,2650,6371,2663,6396,2650,6451,2616,6507,2565,6513,2550,6532,2502,6532,2324,6532,2260m9241,5253l8663,5253,8663,6401,7715,10418,7649,10382,7580,10348,7509,10316,7437,10285,7362,10257,7286,10231,7208,10207,7128,10184,7046,10165,6963,10147,6370,7668,5779,10147,5696,10165,5615,10184,5535,10207,5457,10231,5380,10257,5306,10285,5233,10316,5163,10348,5094,10382,5027,10418,4078,6401,4674,6401,5398,9409,6117,6401,6624,6401,7358,9409,8069,6401,8663,6401,8663,5253,3504,5253,3504,9567,3507,9648,3514,9727,3526,9807,3542,9885,3562,9963,3587,10040,3616,10117,3648,10192,3684,10267,3723,10342,3766,10415,3812,10488,3860,10559,3912,10630,3966,10700,4022,10769,4081,10837,4142,10903,4204,10969,4269,11034,4335,11098,4403,11160,4471,11222,4541,11282,4612,11341,4684,11399,4756,11455,4828,11510,4901,11564,4974,11617,5047,11668,5119,11718,5192,11766,5263,11813,5334,11858,5404,11902,5473,11944,5540,11985,5606,12024,5671,12061,5734,12097,5853,12164,5964,12223,6064,12275,6153,12320,6228,12357,6314,12398,6363,12420,6370,12424,6373,12425,6375,12424,6383,12420,6432,12398,6517,12357,6593,12320,6681,12275,6782,12223,6892,12164,7012,12097,7075,12061,7139,12024,7205,11985,7273,11944,7342,11902,7412,11858,7482,11813,7554,11766,7626,11718,7699,11668,7772,11617,7844,11564,7917,11510,7990,11455,8062,11399,8133,11341,8204,11282,8274,11222,8343,11160,8410,11098,8477,11034,8541,10969,8604,10903,8665,10837,8723,10769,8780,10700,8834,10630,8885,10559,8934,10488,8978,10418,8980,10415,9022,10342,9062,10267,9098,10192,9130,10117,9159,10040,9183,9963,9204,9885,9220,9807,9232,9727,9239,9648,9241,9567,9241,6401,9241,5253e" filled="true" fillcolor="#231f20" stroked="false">
              <v:path arrowok="t"/>
              <v:fill type="solid"/>
            </v:shape>
            <v:shape style="position:absolute;left:-300;top:17258;width:12746;height:17678" coordorigin="-300,17258" coordsize="12746,17678" path="m300,420l0,420m12446,420l12746,420m300,17258l0,17258m12446,17258l12746,17258m420,300l420,0m420,17378l420,17678m12326,300l12326,0m12326,17378l12326,17678e" filled="false" stroked="true" strokeweight="1.25pt" strokecolor="#ffffff">
              <v:path arrowok="t"/>
            </v:shape>
            <v:shape style="position:absolute;left:-300;top:17258;width:12746;height:17678" coordorigin="-300,17258" coordsize="12746,17678" path="m300,420l0,420m12446,420l12746,420m300,17258l0,17258m12446,17258l12746,17258m420,300l420,0m420,17378l420,17678m12326,300l12326,0m12326,17378l12326,17678e" filled="false" stroked="true" strokeweight=".25pt" strokecolor="#000000">
              <v:path arrowok="t"/>
            </v:shape>
            <v:shape style="position:absolute;left:6240;top:18;width:265;height:265" type="#_x0000_t75" stroked="false">
              <v:imagedata r:id="rId8" o:title=""/>
            </v:shape>
            <v:shape style="position:absolute;left:6240;top:17395;width:265;height:265" type="#_x0000_t75" stroked="false">
              <v:imagedata r:id="rId9" o:title=""/>
            </v:shape>
            <v:shape style="position:absolute;left:18;top:8706;width:265;height:265" type="#_x0000_t75" stroked="false">
              <v:imagedata r:id="rId10" o:title=""/>
            </v:shape>
            <v:shape style="position:absolute;left:12463;top:8706;width:265;height:265" type="#_x0000_t75" stroked="false">
              <v:imagedata r:id="rId11" o:title=""/>
            </v:shape>
            <v:shape style="position:absolute;left:626;top:17470;width:68;height:91" coordorigin="626,17470" coordsize="68,91" path="m626,17530l626,17539,629,17547,634,17552,640,17558,649,17560,659,17560,668,17560,676,17558,683,17554,689,17550,693,17543,693,17534,693,17526,652,17506,647,17505,645,17503,641,17501,640,17498,640,17494,640,17490,641,17487,644,17484,647,17481,652,17480,658,17480,666,17480,679,17497,690,17497,690,17487,687,17480,681,17476,675,17472,667,17470,659,17470,649,17470,642,17472,636,17477,631,17482,629,17488,629,17496,629,17503,631,17509,637,17512,640,17514,645,17516,652,17518,664,17520,670,17522,674,17524,677,17526,680,17528,681,17531,681,17536,681,17542,678,17546,671,17549,668,17550,664,17550,660,17550,650,17550,637,17530,626,17530xe" filled="false" stroked="true" strokeweight=".4pt" strokecolor="#ffffff">
              <v:path arrowok="t"/>
            </v:shape>
            <v:shape style="position:absolute;left:702;top:17472;width:70;height:87" coordorigin="702,17472" coordsize="70,87" path="m702,17472l702,17482,731,17482,731,17558,743,17558,743,17482,772,17482,772,17472,702,17472xe" filled="false" stroked="true" strokeweight=".4pt" strokecolor="#ffffff">
              <v:path arrowok="t"/>
            </v:shape>
            <v:shape style="position:absolute;left:-12;top:17638;width:71;height:87" coordorigin="-12,17638" coordsize="71,87" path="m796,17511l796,17482,823,17482,827,17482,830,17482,833,17484,837,17486,839,17490,839,17496,839,17502,837,17506,834,17508,831,17510,827,17511,822,17511,796,17511xm784,17558l796,17558,796,17521,821,17521,826,17521,829,17521,832,17522,835,17524,837,17528,838,17534,838,17548,838,17552,839,17554,839,17555,839,17556,839,17557,840,17558,854,17558,854,17556,852,17555,851,17553,850,17551,850,17549,850,17547,850,17543,849,17532,849,17527,848,17523,846,17521,845,17519,842,17517,839,17516,843,17514,846,17511,848,17508,850,17504,851,17500,851,17495,851,17485,847,17478,839,17475,835,17473,829,17472,823,17472,784,17472,784,17558xe" filled="false" stroked="true" strokeweight=".4pt" strokecolor="#ffffff">
              <v:path arrowok="t"/>
            </v:shape>
            <v:shape style="position:absolute;left:-25;top:17627;width:77;height:87" coordorigin="-25,17627" coordsize="77,87" path="m887,17523l900,17485,914,17523,887,17523xm862,17558l874,17558,883,17532,917,17532,926,17558,939,17558,907,17472,894,17472,862,17558xe" filled="false" stroked="true" strokeweight=".4pt" strokecolor="#ffffff">
              <v:path arrowok="t"/>
            </v:shape>
            <v:shape style="position:absolute;left:952;top:17474;width:31;height:84" coordorigin="952,17474" coordsize="31,84" path="m971,17498l971,17558,983,17558,983,17474,974,17474,973,17481,970,17485,967,17487,964,17488,959,17490,952,17490,952,17498,971,17498xe" filled="false" stroked="true" strokeweight=".4pt" strokecolor="#ffffff">
              <v:path arrowok="t"/>
            </v:shape>
            <v:shape style="position:absolute;left:1011;top:17475;width:59;height:83" coordorigin="1011,17475" coordsize="59,83" path="m1011,17475l1011,17486,1058,17486,1052,17493,1023,17558,1035,17558,1037,17549,1038,17543,1039,17539,1041,17533,1044,17526,1047,17519,1050,17512,1070,17484,1070,17475,1011,17475xe" filled="false" stroked="true" strokeweight=".4pt" strokecolor="#ffffff">
              <v:path arrowok="t"/>
            </v:shape>
            <v:shape style="position:absolute;left:1077;top:17474;width:58;height:85" coordorigin="1077,17474" coordsize="58,85" path="m1077,17558l1135,17558,1135,17548,1089,17548,1090,17544,1093,17540,1096,17537,1099,17535,1102,17533,1105,17531,1113,17526,1121,17522,1125,17519,1128,17516,1133,17511,1135,17505,1135,17499,1135,17492,1133,17487,1129,17481,1124,17476,1117,17474,1108,17474,1096,17474,1079,17504,1090,17504,1090,17498,1091,17494,1093,17491,1095,17486,1100,17483,1108,17483,1112,17483,1116,17485,1119,17488,1122,17490,1124,17494,1124,17499,1124,17503,1122,17507,1119,17510,1117,17512,1113,17515,1108,17518,1097,17524,1089,17529,1084,17534,1082,17539,1079,17544,1078,17551,1077,17558xe" filled="false" stroked="true" strokeweight=".4pt" strokecolor="#ffffff">
              <v:path arrowok="t"/>
            </v:shape>
            <v:shape style="position:absolute;left:1144;top:17475;width:58;height:85" coordorigin="1144,17475" coordsize="58,85" path="m1144,17536l1145,17544,1148,17550,1153,17554,1158,17558,1164,17560,1171,17560,1182,17560,1190,17557,1195,17551,1199,17545,1202,17538,1202,17530,1202,17522,1199,17516,1194,17511,1189,17506,1182,17504,1174,17504,1170,17504,1158,17509,1161,17485,1197,17485,1197,17475,1154,17475,1147,17520,1156,17521,1158,17518,1160,17517,1163,17515,1166,17514,1169,17513,1172,17513,1177,17513,1182,17515,1185,17518,1189,17521,1191,17526,1191,17531,1191,17536,1189,17541,1186,17545,1183,17549,1178,17551,1172,17551,1169,17551,1166,17550,1163,17549,1159,17547,1156,17542,1155,17536,1144,17536xe" filled="false" stroked="true" strokeweight=".4pt" strokecolor="#ffffff">
              <v:path arrowok="t"/>
            </v:shape>
            <v:shape style="position:absolute;left:1238;top:17458;width:372;height:113" type="#_x0000_t75" stroked="false">
              <v:imagedata r:id="rId12" o:title=""/>
            </v:shape>
            <v:shape style="position:absolute;left:1654;top:17468;width:355;height:119" type="#_x0000_t75" stroked="false">
              <v:imagedata r:id="rId13" o:title=""/>
            </v:shape>
            <v:shape style="position:absolute;left:2045;top:17474;width:58;height:85" coordorigin="2045,17474" coordsize="58,85" path="m2045,17558l2102,17558,2102,17548,2056,17548,2057,17544,2060,17540,2064,17537,2066,17535,2069,17533,2073,17531,2081,17526,2088,17522,2093,17519,2096,17516,2100,17511,2103,17505,2103,17499,2103,17492,2100,17487,2096,17481,2092,17476,2084,17474,2075,17474,2063,17474,2047,17504,2057,17504,2058,17498,2058,17494,2060,17491,2063,17486,2068,17483,2075,17483,2080,17483,2084,17485,2087,17488,2089,17490,2091,17494,2091,17499,2091,17503,2089,17507,2086,17510,2084,17512,2081,17515,2076,17518,2064,17524,2057,17529,2052,17534,2049,17539,2046,17544,2045,17551,2045,17558xe" filled="false" stroked="true" strokeweight=".4pt" strokecolor="#ffffff">
              <v:path arrowok="t"/>
            </v:shape>
            <v:shape style="position:absolute;left:-29;top:17678;width:58;height:87" coordorigin="-29,17678" coordsize="58,87" path="m2140,17474l2128,17474,2120,17480,2115,17493,2113,17500,2111,17508,2111,17518,2111,17530,2113,17540,2117,17547,2122,17556,2130,17560,2140,17560,2151,17560,2159,17555,2164,17544,2168,17537,2169,17527,2169,17516,2169,17504,2167,17494,2164,17487,2159,17478,2151,17474,2140,17474xm2140,17550l2133,17550,2128,17547,2125,17539,2124,17533,2123,17527,2123,17518,2123,17507,2124,17498,2127,17492,2130,17486,2134,17483,2141,17483,2147,17483,2152,17486,2154,17493,2157,17499,2158,17507,2158,17516,2158,17529,2156,17538,2153,17543,2150,17548,2145,17550,2140,17550xe" filled="false" stroked="true" strokeweight=".4pt" strokecolor="#ffffff">
              <v:path arrowok="t"/>
            </v:shape>
            <v:shape style="position:absolute;left:2186;top:17474;width:31;height:84" coordorigin="2186,17474" coordsize="31,84" path="m2206,17498l2206,17558,2217,17558,2217,17474,2208,17474,2207,17481,2205,17485,2202,17487,2199,17488,2193,17490,2186,17490,2186,17498,2206,17498xe" filled="false" stroked="true" strokeweight=".4pt" strokecolor="#ffffff">
              <v:path arrowok="t"/>
            </v:shape>
            <v:shape style="position:absolute;left:-31;top:17678;width:58;height:87" coordorigin="-31,17678" coordsize="58,87" path="m2276,17474l2263,17474,2254,17481,2249,17494,2247,17502,2246,17511,2246,17521,2246,17535,2248,17545,2254,17551,2260,17557,2267,17560,2274,17560,2284,17560,2291,17557,2296,17551,2301,17545,2303,17539,2303,17531,2303,17522,2300,17515,2295,17511,2290,17506,2284,17504,2277,17504,2273,17504,2269,17505,2266,17506,2262,17508,2259,17511,2256,17514,2257,17504,2259,17496,2262,17491,2266,17486,2270,17483,2276,17483,2281,17483,2285,17485,2288,17488,2289,17490,2290,17493,2291,17496,2301,17496,2301,17491,2299,17486,2296,17481,2292,17476,2286,17474,2276,17474xm2275,17551l2270,17551,2266,17549,2262,17545,2259,17542,2258,17537,2258,17532,2258,17526,2260,17521,2263,17518,2266,17515,2270,17514,2275,17514,2281,17514,2286,17516,2288,17520,2291,17523,2292,17527,2292,17532,2292,17537,2291,17541,2288,17545,2285,17549,2281,17551,2275,17551xe" filled="false" stroked="true" strokeweight=".4pt" strokecolor="#ffffff">
              <v:path arrowok="t"/>
            </v:shape>
            <v:shape style="position:absolute;left:2374;top:17458;width:170;height:113" type="#_x0000_t75" stroked="false">
              <v:imagedata r:id="rId14" o:title=""/>
            </v:shape>
            <v:shape style="position:absolute;left:2585;top:17474;width:58;height:85" coordorigin="2585,17474" coordsize="58,85" path="m2585,17558l2643,17558,2643,17548,2597,17548,2598,17544,2600,17540,2604,17537,2606,17535,2609,17533,2613,17531,2621,17526,2628,17522,2633,17519,2636,17516,2641,17511,2643,17505,2643,17499,2643,17492,2641,17487,2636,17481,2632,17476,2625,17474,2615,17474,2604,17474,2587,17504,2598,17504,2598,17498,2599,17494,2600,17491,2603,17486,2608,17483,2615,17483,2620,17483,2624,17485,2627,17488,2630,17490,2631,17494,2631,17499,2631,17503,2630,17507,2627,17510,2625,17512,2621,17515,2616,17518,2605,17524,2597,17529,2592,17534,2590,17539,2587,17544,2585,17551,2585,17558xe" filled="false" stroked="true" strokeweight=".4pt" strokecolor="#ffffff">
              <v:path arrowok="t"/>
            </v:shape>
            <v:shape style="position:absolute;left:2715;top:17495;width:58;height:63" coordorigin="2715,17495" coordsize="58,63" path="m2715,17495l2739,17558,2750,17558,2773,17495,2762,17495,2744,17546,2728,17495,2715,17495xe" filled="false" stroked="true" strokeweight=".4pt" strokecolor="#ffffff">
              <v:path arrowok="t"/>
            </v:shape>
            <v:shape style="position:absolute;left:2786;top:17474;width:31;height:84" coordorigin="2786,17474" coordsize="31,84" path="m2806,17498l2806,17558,2817,17558,2817,17474,2809,17474,2807,17481,2805,17485,2802,17487,2799,17488,2794,17490,2786,17490,2786,17498,2806,17498xe" filled="false" stroked="true" strokeweight=".4pt" strokecolor="#ffffff">
              <v:path arrowok="t"/>
            </v:shape>
            <v:line style="position:absolute" from="2879,17527" to="2897,17527" stroked="true" strokeweight="3.523pt" strokecolor="#ffffff"/>
            <v:line style="position:absolute" from="2879,17478" to="2897,17478" stroked="true" strokeweight=".998pt" strokecolor="#ffffff"/>
            <v:shape style="position:absolute;left:2909;top:17494;width:52;height:65" coordorigin="2909,17494" coordsize="52,65" path="m2909,17558l2920,17558,2920,17525,2920,17521,2932,17504,2933,17503,2935,17503,2938,17503,2943,17503,2946,17505,2948,17509,2949,17511,2950,17514,2950,17518,2950,17558,2960,17558,2960,17518,2960,17511,2960,17506,2958,17503,2955,17497,2949,17494,2940,17494,2936,17494,2919,17504,2919,17495,2909,17495,2909,17558xe" filled="false" stroked="true" strokeweight=".4pt" strokecolor="#ffffff">
              <v:path arrowok="t"/>
            </v:shape>
            <v:shape style="position:absolute;left:-11;top:17622;width:56;height:89" coordorigin="-11,17622" coordsize="56,89" path="m2983,17527l2983,17519,2984,17513,2988,17509,2991,17505,2995,17503,3000,17503,3005,17503,3009,17505,3012,17509,3016,17513,3017,17519,3017,17526,3017,17534,3016,17540,3013,17545,3009,17549,3005,17551,3001,17551,2994,17551,2990,17549,2987,17544,2984,17539,2983,17534,2983,17527xm2998,17494l2990,17494,2983,17497,2979,17504,2974,17511,2972,17519,2972,17528,2972,17538,2974,17545,2979,17551,2984,17557,2990,17560,2997,17560,3002,17560,3005,17559,3009,17557,3012,17556,3015,17553,3017,17549,3017,17558,3027,17558,3027,17471,3017,17471,3017,17503,3014,17500,3012,17498,3010,17497,3007,17495,3003,17494,2998,17494xe" filled="false" stroked="true" strokeweight=".4pt" strokecolor="#ffffff">
              <v:path arrowok="t"/>
            </v:shape>
            <v:shape style="position:absolute;left:-11;top:17622;width:56;height:89" coordorigin="-11,17622" coordsize="56,89" path="m3049,17527l3049,17519,3051,17513,3054,17509,3058,17505,3062,17503,3067,17503,3072,17503,3076,17505,3079,17509,3082,17513,3084,17519,3084,17526,3084,17534,3082,17540,3079,17545,3076,17549,3072,17551,3067,17551,3061,17551,3057,17549,3054,17544,3051,17539,3049,17534,3049,17527xm3065,17494l3057,17494,3050,17497,3045,17504,3041,17511,3038,17519,3038,17528,3038,17538,3041,17545,3046,17551,3051,17557,3057,17560,3064,17560,3068,17560,3072,17559,3076,17557,3079,17556,3082,17553,3084,17549,3084,17558,3094,17558,3094,17471,3084,17471,3084,17503,3081,17500,3079,17498,3077,17497,3074,17495,3070,17494,3065,17494xe" filled="false" stroked="true" strokeweight=".4pt" strokecolor="#ffffff">
              <v:path arrowok="t"/>
            </v:shape>
            <v:shape style="position:absolute;left:3213;top:17474;width:31;height:84" coordorigin="3213,17474" coordsize="31,84" path="m3233,17498l3233,17558,3244,17558,3244,17474,3236,17474,3234,17481,3232,17485,3229,17487,3226,17488,3221,17490,3213,17490,3213,17498,3233,17498xe" filled="false" stroked="true" strokeweight=".4pt" strokecolor="#ffffff">
              <v:path arrowok="t"/>
            </v:shape>
            <v:shape style="position:absolute;left:11137;top:17474;width:31;height:84" coordorigin="11137,17474" coordsize="31,84" path="m11157,17498l11157,17558,11168,17558,11168,17474,11160,17474,11158,17481,11156,17485,11153,17487,11150,17488,11145,17490,11137,17490,11137,17498,11157,17498xe" filled="false" stroked="true" strokeweight=".4pt" strokecolor="#ffffff">
              <v:path arrowok="t"/>
            </v:shape>
            <v:shape style="position:absolute;left:-1;top:17614;width:57;height:87" coordorigin="-1,17614" coordsize="57,87" path="m11198,17537l11198,17544,11200,17549,11204,17554,11208,17558,11214,17560,11223,17560,11235,17560,11244,17553,11249,17540,11252,17532,11253,17523,11253,17513,11253,17504,11252,17496,11249,17490,11245,17479,11236,17474,11224,17474,11215,17474,11208,17477,11204,17482,11199,17488,11197,17495,11197,17503,11197,17510,11199,17517,11204,17522,11208,17527,11215,17530,11223,17530,11227,17530,11230,17529,11234,17527,11237,17526,11240,17523,11243,17519,11241,17532,11239,17541,11235,17545,11232,17549,11227,17551,11222,17551,11220,17551,11217,17551,11215,17550,11211,17547,11209,17543,11208,17537,11198,17537xm11224,17520l11218,17520,11214,17519,11211,17515,11209,17512,11207,17508,11207,17502,11207,17497,11209,17492,11212,17489,11215,17485,11219,17483,11224,17483,11229,17483,11233,17485,11236,17488,11239,17491,11241,17496,11241,17502,11241,17509,11239,17513,11236,17516,11232,17519,11228,17520,11224,17520xe" filled="false" stroked="true" strokeweight=".4pt" strokecolor="#ffffff">
              <v:path arrowok="t"/>
            </v:shape>
            <v:shape style="position:absolute;left:11259;top:17472;width:37;height:87" coordorigin="11259,17472" coordsize="37,87" path="m11259,17558l11268,17558,11295,17472,11286,17472,11259,17558xe" filled="false" stroked="true" strokeweight=".4pt" strokecolor="#ffffff">
              <v:path arrowok="t"/>
            </v:shape>
            <v:shape style="position:absolute;left:-29;top:17678;width:58;height:87" coordorigin="-29,17678" coordsize="58,87" path="m11325,17474l11313,17474,11304,17480,11300,17493,11297,17500,11296,17508,11296,17518,11296,17530,11298,17540,11302,17547,11307,17556,11315,17560,11325,17560,11336,17560,11344,17555,11349,17544,11352,17537,11354,17527,11354,17516,11354,17504,11352,17494,11348,17487,11344,17478,11336,17474,11325,17474xm11325,17550l11318,17550,11313,17547,11310,17539,11308,17533,11307,17527,11307,17518,11307,17507,11309,17498,11312,17492,11315,17486,11319,17483,11325,17483,11332,17483,11337,17486,11339,17493,11341,17499,11343,17507,11343,17516,11343,17529,11341,17538,11338,17543,11334,17548,11330,17550,11325,17550xe" filled="false" stroked="true" strokeweight=".4pt" strokecolor="#ffffff">
              <v:path arrowok="t"/>
            </v:shape>
            <v:shape style="position:absolute;left:-10;top:17623;width:60;height:85" coordorigin="-10,17623" coordsize="60,85" path="m11372,17528l11399,17490,11399,17528,11372,17528xm11409,17558l11409,17537,11422,17537,11422,17528,11409,17528,11409,17474,11401,17474,11362,17527,11362,17537,11399,17537,11399,17558,11409,17558xe" filled="false" stroked="true" strokeweight=".4pt" strokecolor="#ffffff">
              <v:path arrowok="t"/>
            </v:shape>
            <v:shape style="position:absolute;left:11426;top:17472;width:37;height:87" coordorigin="11426,17472" coordsize="37,87" path="m11426,17558l11435,17558,11462,17472,11453,17472,11426,17558xe" filled="false" stroked="true" strokeweight=".4pt" strokecolor="#ffffff">
              <v:path arrowok="t"/>
            </v:shape>
            <v:shape style="position:absolute;left:11463;top:17474;width:58;height:85" coordorigin="11463,17474" coordsize="58,85" path="m11463,17558l11520,17558,11520,17548,11475,17548,11476,17544,11478,17540,11482,17537,11484,17535,11487,17533,11491,17531,11499,17526,11506,17522,11511,17519,11514,17516,11519,17511,11521,17505,11521,17499,11521,17492,11519,17487,11514,17481,11510,17476,11503,17474,11493,17474,11482,17474,11465,17504,11476,17504,11476,17498,11477,17494,11478,17491,11481,17486,11486,17483,11493,17483,11498,17483,11502,17485,11505,17488,11508,17490,11509,17494,11509,17499,11509,17503,11508,17507,11504,17510,11502,17512,11499,17515,11494,17518,11483,17524,11475,17529,11470,17534,11467,17539,11465,17544,11463,17551,11463,17558xe" filled="false" stroked="true" strokeweight=".4pt" strokecolor="#ffffff">
              <v:path arrowok="t"/>
            </v:shape>
            <v:shape style="position:absolute;left:-29;top:17678;width:58;height:87" coordorigin="-29,17678" coordsize="58,87" path="m11558,17474l11546,17474,11538,17480,11533,17493,11531,17500,11530,17508,11530,17518,11530,17530,11532,17540,11536,17547,11541,17556,11548,17560,11558,17560,11569,17560,11578,17555,11582,17544,11586,17537,11588,17527,11588,17516,11588,17504,11586,17494,11582,17487,11577,17478,11569,17474,11558,17474xm11558,17550l11551,17550,11547,17547,11544,17539,11542,17533,11541,17527,11541,17518,11541,17507,11542,17498,11545,17492,11548,17486,11553,17483,11559,17483,11566,17483,11570,17486,11573,17493,11575,17499,11576,17507,11576,17516,11576,17529,11575,17538,11571,17543,11568,17548,11564,17550,11558,17550xe" filled="false" stroked="true" strokeweight=".4pt" strokecolor="#ffffff">
              <v:path arrowok="t"/>
            </v:shape>
            <v:shape style="position:absolute;left:11604;top:17474;width:31;height:84" coordorigin="11604,17474" coordsize="31,84" path="m11624,17498l11624,17558,11635,17558,11635,17474,11627,17474,11625,17481,11623,17485,11620,17487,11617,17488,11612,17490,11604,17490,11604,17498,11624,17498xe" filled="false" stroked="true" strokeweight=".4pt" strokecolor="#ffffff">
              <v:path arrowok="t"/>
            </v:shape>
            <v:shape style="position:absolute;left:11664;top:17475;width:59;height:83" coordorigin="11664,17475" coordsize="59,83" path="m11664,17475l11664,17486,11710,17486,11704,17493,11676,17558,11687,17558,11689,17549,11691,17543,11692,17539,11694,17533,11696,17526,11699,17519,11703,17512,11722,17484,11722,17475,11664,17475xe" filled="false" stroked="true" strokeweight=".4pt" strokecolor="#ffffff">
              <v:path arrowok="t"/>
            </v:shape>
            <v:shape style="position:absolute;left:11829;top:17474;width:59;height:87" coordorigin="11829,17474" coordsize="59,87" path="m11857,17560l11867,17560,11874,17558,11880,17553,11885,17547,11888,17541,11888,17533,11888,17528,11874,17513,11876,17512,11879,17511,11880,17509,11883,17505,11884,17501,11884,17496,11884,17489,11882,17483,11877,17479,11873,17476,11866,17474,11858,17474,11847,17474,11839,17478,11835,17486,11832,17490,11831,17495,11831,17501,11842,17501,11842,17497,11843,17493,11844,17490,11847,17486,11852,17483,11859,17483,11863,17483,11866,17485,11869,17487,11872,17489,11873,17492,11873,17496,11873,17502,11871,17506,11867,17508,11864,17509,11861,17510,11857,17510,11856,17510,11852,17510,11852,17519,11853,17519,11853,17519,11854,17519,11855,17519,11856,17519,11856,17519,11863,17519,11867,17520,11871,17522,11875,17525,11876,17529,11876,17535,11876,17539,11875,17543,11871,17546,11868,17549,11863,17550,11858,17550,11851,17550,11846,17548,11843,17544,11841,17541,11840,17537,11840,17532,11829,17532,11829,17540,11831,17546,11836,17552,11840,17557,11847,17560,11857,17560xe" filled="false" stroked="true" strokeweight=".4pt" strokecolor="#ffffff">
              <v:path arrowok="t"/>
            </v:shape>
            <v:line style="position:absolute" from="11902,17502" to="11922,17502" stroked="true" strokeweight="1.039pt" strokecolor="#ffffff"/>
            <v:shape style="position:absolute;left:-29;top:17678;width:58;height:87" coordorigin="-29,17678" coordsize="58,87" path="m11959,17474l11947,17474,11938,17480,11934,17493,11931,17500,11930,17508,11930,17518,11930,17530,11932,17540,11936,17547,11941,17556,11949,17560,11959,17560,11970,17560,11978,17555,11983,17544,11986,17537,11988,17527,11988,17516,11988,17504,11986,17494,11982,17487,11977,17478,11970,17474,11959,17474xm11959,17550l11952,17550,11947,17547,11944,17539,11942,17533,11941,17527,11941,17518,11941,17507,11943,17498,11946,17492,11948,17486,11953,17483,11959,17483,11966,17483,11971,17486,11973,17493,11975,17499,11976,17507,11976,17516,11976,17529,11975,17538,11972,17543,11968,17548,11964,17550,11959,17550xe" filled="false" stroked="true" strokeweight=".4pt" strokecolor="#ffffff">
              <v:path arrowok="t"/>
            </v:shape>
            <v:shape style="position:absolute;left:11997;top:17475;width:58;height:85" coordorigin="11997,17475" coordsize="58,85" path="m11997,17536l11997,17544,12000,17550,12006,17554,12011,17558,12017,17560,12024,17560,12035,17560,12042,17557,12047,17551,12052,17545,12055,17538,12055,17530,12055,17522,12052,17516,12047,17511,12041,17506,12035,17504,12027,17504,12023,17504,12011,17509,12014,17485,12050,17485,12050,17475,12006,17475,12000,17520,12009,17521,12011,17518,12013,17517,12016,17515,12018,17514,12021,17513,12025,17513,12030,17513,12034,17515,12038,17518,12041,17521,12043,17526,12043,17531,12043,17536,12042,17541,12039,17545,12036,17549,12031,17551,12025,17551,12022,17551,12019,17550,12016,17549,12011,17547,12008,17542,12008,17536,11997,17536xe" filled="false" stroked="true" strokeweight=".4pt" strokecolor="#ffffff">
              <v:path arrowok="t"/>
            </v:shape>
            <v:shape style="position:absolute;left:0;top:17592;width:64;height:87" coordorigin="0,17592" coordsize="64,87" path="m12103,17558l12115,17558,12115,17521,12142,17521,12150,17521,12157,17519,12161,17514,12165,17509,12167,17503,12167,17496,12167,17489,12165,17483,12160,17478,12156,17474,12149,17472,12142,17472,12103,17472,12103,17558xm12155,17496l12155,17502,12154,17506,12151,17508,12147,17510,12143,17512,12138,17512,12115,17512,12115,17482,12138,17482,12142,17482,12146,17482,12148,17484,12153,17486,12155,17490,12155,17496xe" filled="false" stroked="true" strokeweight=".4pt" strokecolor="#ffffff">
              <v:path arrowok="t"/>
            </v:shape>
            <v:shape style="position:absolute;left:12182;top:17472;width:83;height:87" coordorigin="12182,17472" coordsize="83,87" path="m12182,17558l12193,17558,12193,17507,12193,17505,12193,17502,12193,17497,12193,17493,12193,17490,12193,17488,12193,17485,12217,17558,12229,17558,12254,17485,12254,17490,12254,17494,12253,17498,12253,17502,12253,17505,12253,17507,12253,17558,12265,17558,12265,17472,12248,17472,12223,17545,12199,17472,12182,17472,12182,17558xe" filled="false" stroked="true" strokeweight=".4pt" strokecolor="#ffffff">
              <v:path arrowok="t"/>
            </v:shape>
            <w10:wrap type="none"/>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0"/>
        <w:rPr>
          <w:rFonts w:ascii="Times New Roman"/>
          <w:sz w:val="20"/>
        </w:rPr>
      </w:pPr>
    </w:p>
    <w:p>
      <w:pPr>
        <w:spacing w:line="300" w:lineRule="exact" w:before="90"/>
        <w:ind w:left="4768" w:right="4926" w:firstLine="0"/>
        <w:jc w:val="center"/>
        <w:rPr>
          <w:rFonts w:ascii="Tahoma"/>
          <w:sz w:val="28"/>
        </w:rPr>
      </w:pPr>
      <w:r>
        <w:rPr>
          <w:rFonts w:ascii="Tahoma"/>
          <w:color w:val="231F20"/>
          <w:sz w:val="28"/>
        </w:rPr>
        <w:t>ANNUAL REPORT 2016</w:t>
      </w: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spacing w:before="126"/>
        <w:ind w:left="2855" w:right="3012" w:firstLine="0"/>
        <w:jc w:val="center"/>
        <w:rPr>
          <w:rFonts w:ascii="Chronicle Text G1"/>
          <w:b w:val="0"/>
          <w:sz w:val="72"/>
        </w:rPr>
      </w:pPr>
      <w:r>
        <w:rPr>
          <w:rFonts w:ascii="Chronicle Text G1"/>
          <w:b w:val="0"/>
          <w:color w:val="FFFFFF"/>
          <w:sz w:val="72"/>
        </w:rPr>
        <w:t>The Year in Review</w:t>
      </w:r>
    </w:p>
    <w:p>
      <w:pPr>
        <w:spacing w:before="99"/>
        <w:ind w:left="4768" w:right="4800" w:firstLine="0"/>
        <w:jc w:val="center"/>
        <w:rPr>
          <w:rFonts w:ascii="Corbel"/>
          <w:sz w:val="48"/>
        </w:rPr>
      </w:pPr>
      <w:r>
        <w:rPr>
          <w:rFonts w:ascii="Tahoma"/>
          <w:color w:val="FFFFFF"/>
          <w:spacing w:val="-9"/>
          <w:sz w:val="48"/>
        </w:rPr>
        <w:t>Volume </w:t>
      </w:r>
      <w:r>
        <w:rPr>
          <w:rFonts w:ascii="Corbel"/>
          <w:color w:val="FFFFFF"/>
          <w:sz w:val="48"/>
        </w:rPr>
        <w:t>2</w:t>
      </w:r>
    </w:p>
    <w:p>
      <w:pPr>
        <w:pStyle w:val="BodyText"/>
        <w:rPr>
          <w:rFonts w:ascii="Corbel"/>
          <w:sz w:val="20"/>
        </w:rPr>
      </w:pPr>
    </w:p>
    <w:p>
      <w:pPr>
        <w:pStyle w:val="BodyText"/>
        <w:rPr>
          <w:rFonts w:ascii="Corbel"/>
          <w:sz w:val="20"/>
        </w:rPr>
      </w:pPr>
    </w:p>
    <w:p>
      <w:pPr>
        <w:pStyle w:val="BodyText"/>
        <w:rPr>
          <w:rFonts w:ascii="Corbel"/>
          <w:sz w:val="20"/>
        </w:rPr>
      </w:pPr>
    </w:p>
    <w:p>
      <w:pPr>
        <w:pStyle w:val="BodyText"/>
        <w:rPr>
          <w:rFonts w:ascii="Corbel"/>
          <w:sz w:val="20"/>
        </w:rPr>
      </w:pPr>
    </w:p>
    <w:p>
      <w:pPr>
        <w:pStyle w:val="BodyText"/>
        <w:rPr>
          <w:rFonts w:ascii="Corbel"/>
          <w:sz w:val="20"/>
        </w:rPr>
      </w:pPr>
    </w:p>
    <w:p>
      <w:pPr>
        <w:pStyle w:val="BodyText"/>
        <w:rPr>
          <w:rFonts w:ascii="Corbel"/>
          <w:sz w:val="20"/>
        </w:rPr>
      </w:pPr>
    </w:p>
    <w:p>
      <w:pPr>
        <w:pStyle w:val="BodyText"/>
        <w:spacing w:before="11"/>
        <w:rPr>
          <w:rFonts w:ascii="Corbel"/>
          <w:sz w:val="25"/>
        </w:rPr>
      </w:pPr>
    </w:p>
    <w:p>
      <w:pPr>
        <w:tabs>
          <w:tab w:pos="10605" w:val="left" w:leader="none"/>
        </w:tabs>
        <w:spacing w:before="80"/>
        <w:ind w:left="100" w:right="0" w:firstLine="0"/>
        <w:jc w:val="left"/>
        <w:rPr>
          <w:sz w:val="12"/>
        </w:rPr>
      </w:pPr>
      <w:r>
        <w:rPr>
          <w:sz w:val="12"/>
        </w:rPr>
        <w:t>STRA1725 Annual Report 2016_Vol</w:t>
      </w:r>
      <w:r>
        <w:rPr>
          <w:spacing w:val="-11"/>
          <w:sz w:val="12"/>
        </w:rPr>
        <w:t> </w:t>
      </w:r>
      <w:r>
        <w:rPr>
          <w:sz w:val="12"/>
        </w:rPr>
        <w:t>2_v1.indd </w:t>
      </w:r>
      <w:r>
        <w:rPr>
          <w:spacing w:val="26"/>
          <w:sz w:val="12"/>
        </w:rPr>
        <w:t> </w:t>
      </w:r>
      <w:r>
        <w:rPr>
          <w:sz w:val="12"/>
        </w:rPr>
        <w:t>1</w:t>
        <w:tab/>
        <w:t>19/04/2017   3:05</w:t>
      </w:r>
      <w:r>
        <w:rPr>
          <w:spacing w:val="-12"/>
          <w:sz w:val="12"/>
        </w:rPr>
        <w:t> </w:t>
      </w:r>
      <w:r>
        <w:rPr>
          <w:sz w:val="12"/>
        </w:rPr>
        <w:t>PM</w:t>
      </w:r>
    </w:p>
    <w:p>
      <w:pPr>
        <w:spacing w:after="0"/>
        <w:jc w:val="left"/>
        <w:rPr>
          <w:sz w:val="12"/>
        </w:rPr>
        <w:sectPr>
          <w:type w:val="continuous"/>
          <w:pgSz w:w="12750" w:h="17680"/>
          <w:pgMar w:top="1660" w:bottom="0" w:left="520" w:right="360"/>
        </w:sectPr>
      </w:pPr>
    </w:p>
    <w:p>
      <w:pPr>
        <w:tabs>
          <w:tab w:pos="12321" w:val="left" w:leader="none"/>
        </w:tabs>
        <w:spacing w:line="240" w:lineRule="auto"/>
        <w:ind w:left="417" w:right="0" w:firstLine="0"/>
        <w:rPr>
          <w:sz w:val="20"/>
        </w:rPr>
      </w:pPr>
      <w:r>
        <w:rPr>
          <w:sz w:val="20"/>
        </w:rPr>
        <w:pict>
          <v:group style="width:.25pt;height:13.1pt;mso-position-horizontal-relative:char;mso-position-vertical-relative:line" coordorigin="0,0" coordsize="5,262">
            <v:line style="position:absolute" from="3,259" to="3,3" stroked="true" strokeweight=".25pt" strokecolor="#000000"/>
            <v:line style="position:absolute" from="3,259" to="3,3" stroked="true" strokeweight=".25pt" strokecolor="#000000"/>
          </v:group>
        </w:pict>
      </w:r>
      <w:r>
        <w:rPr>
          <w:sz w:val="20"/>
        </w:rPr>
      </w:r>
      <w:r>
        <w:rPr>
          <w:sz w:val="20"/>
        </w:rPr>
        <w:tab/>
      </w:r>
      <w:r>
        <w:rPr>
          <w:sz w:val="20"/>
        </w:rPr>
        <w:pict>
          <v:group style="width:.25pt;height:13.1pt;mso-position-horizontal-relative:char;mso-position-vertical-relative:line" coordorigin="0,0" coordsize="5,262">
            <v:line style="position:absolute" from="3,259" to="3,3" stroked="true" strokeweight=".25pt" strokecolor="#000000"/>
            <v:line style="position:absolute" from="3,259" to="3,3" stroked="true" strokeweight=".25pt" strokecolor="#000000"/>
          </v:group>
        </w:pict>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9"/>
        </w:rPr>
      </w:pPr>
    </w:p>
    <w:p>
      <w:pPr>
        <w:spacing w:after="0"/>
        <w:rPr>
          <w:sz w:val="29"/>
        </w:rPr>
        <w:sectPr>
          <w:footerReference w:type="default" r:id="rId15"/>
          <w:pgSz w:w="12750" w:h="17680"/>
          <w:pgMar w:footer="907" w:header="0" w:top="0" w:bottom="1100" w:left="0" w:right="0"/>
          <w:pgNumType w:start="1"/>
        </w:sectPr>
      </w:pPr>
    </w:p>
    <w:p>
      <w:pPr>
        <w:spacing w:before="73"/>
        <w:ind w:left="1857" w:right="0" w:firstLine="0"/>
        <w:jc w:val="left"/>
        <w:rPr>
          <w:b/>
          <w:sz w:val="22"/>
        </w:rPr>
      </w:pPr>
      <w:r>
        <w:rPr/>
        <w:pict>
          <v:shape style="position:absolute;margin-left:-12pt;margin-top:793.668884pt;width:12pt;height:.1pt;mso-position-horizontal-relative:page;mso-position-vertical-relative:paragraph;z-index:-1207240" coordorigin="-240,15873" coordsize="240,0" path="m240,-1367l0,-1367m240,-1367l0,-1367e" filled="false" stroked="true" strokeweight=".25pt" strokecolor="#000000">
            <v:path arrowok="t"/>
            <w10:wrap type="none"/>
          </v:shape>
        </w:pict>
      </w:r>
      <w:r>
        <w:rPr/>
        <w:pict>
          <v:shape style="position:absolute;margin-left:613.219971pt;margin-top:793.668884pt;width:12.05pt;height:.1pt;mso-position-horizontal-relative:page;mso-position-vertical-relative:paragraph;z-index:1120" coordorigin="12264,15873" coordsize="241,0" path="m12504,-1367l12745,-1367m12504,-1367l12745,-1367e" filled="false" stroked="true" strokeweight=".25pt" strokecolor="#000000">
            <v:path arrowok="t"/>
            <w10:wrap type="none"/>
          </v:shape>
        </w:pict>
      </w:r>
      <w:r>
        <w:rPr/>
        <w:pict>
          <v:group style="position:absolute;margin-left:311.984985pt;margin-top:-90.799156pt;width:13.25pt;height:12.6pt;mso-position-horizontal-relative:page;mso-position-vertical-relative:paragraph;z-index:-1207096" coordorigin="6240,-1816" coordsize="265,252">
            <v:shape style="position:absolute;left:6272;top:-1797;width:200;height:200" coordorigin="6272,-1797" coordsize="200,200" path="m6472,-1697l6464,-1658,6443,-1626,6411,-1604,6372,-1597,6333,-1604,6301,-1626,6280,-1658,6272,-1697,6280,-1736,6301,-1767,6333,-1789,6372,-1797,6411,-1789,6443,-1767,6464,-1736,6472,-1697xe" filled="false" stroked="true" strokeweight=".25pt" strokecolor="#000000">
              <v:path arrowok="t"/>
            </v:shape>
            <v:line style="position:absolute" from="6252,-1697" to="6492,-1697" stroked="true" strokeweight=".25pt" strokecolor="#000000"/>
            <v:line style="position:absolute" from="6372,-1803" to="6372,-1577" stroked="true" strokeweight=".25pt" strokecolor="#000000"/>
            <v:shape style="position:absolute;left:6312;top:-1757;width:120;height:120" coordorigin="6312,-1757" coordsize="120,120" path="m6372,-1757l6349,-1752,6330,-1739,6317,-1720,6312,-1697,6317,-1673,6330,-1654,6349,-1641,6372,-1637,6396,-1641,6415,-1654,6427,-1673,6432,-1697,6427,-1720,6415,-1739,6396,-1752,6372,-1757xe" filled="true" fillcolor="#000000" stroked="false">
              <v:path arrowok="t"/>
              <v:fill type="solid"/>
            </v:shape>
            <v:line style="position:absolute" from="6312,-1697" to="6432,-1697" stroked="true" strokeweight=".25pt" strokecolor="#ffffff"/>
            <v:line style="position:absolute" from="6372,-1757" to="6372,-1637" stroked="true" strokeweight=".25pt" strokecolor="#ffffff"/>
            <v:shape style="position:absolute;left:6272;top:-1797;width:200;height:200" coordorigin="6272,-1797" coordsize="200,200" path="m6472,-1697l6464,-1658,6443,-1626,6411,-1604,6372,-1597,6333,-1604,6301,-1626,6280,-1658,6272,-1697,6280,-1736,6301,-1767,6333,-1789,6372,-1797,6411,-1789,6443,-1767,6464,-1736,6472,-1697xe" filled="false" stroked="true" strokeweight="1.25pt" strokecolor="#ffffff">
              <v:path arrowok="t"/>
            </v:shape>
            <v:line style="position:absolute" from="6252,-1697" to="6492,-1697" stroked="true" strokeweight="1.25pt" strokecolor="#ffffff"/>
            <v:line style="position:absolute" from="6372,-1803" to="6372,-1577" stroked="true" strokeweight="1.25pt" strokecolor="#ffffff"/>
            <v:shape style="position:absolute;left:6312;top:-1757;width:120;height:120" coordorigin="6312,-1757" coordsize="120,120" path="m6432,-1697l6427,-1673,6415,-1654,6396,-1641,6372,-1637,6349,-1641,6330,-1654,6317,-1673,6312,-1697,6317,-1720,6330,-1739,6349,-1752,6372,-1757,6396,-1752,6415,-1739,6427,-1720,6432,-1697xe" filled="false" stroked="true" strokeweight="1.25pt" strokecolor="#ffffff">
              <v:path arrowok="t"/>
            </v:shape>
            <v:shape style="position:absolute;left:6272;top:-1797;width:200;height:200" coordorigin="6272,-1797" coordsize="200,200" path="m6472,-1697l6464,-1658,6443,-1626,6411,-1604,6372,-1597,6333,-1604,6301,-1626,6280,-1658,6272,-1697,6280,-1736,6301,-1767,6333,-1789,6372,-1797,6411,-1789,6443,-1767,6464,-1736,6472,-1697xe" filled="false" stroked="true" strokeweight=".25pt" strokecolor="#000000">
              <v:path arrowok="t"/>
            </v:shape>
            <v:line style="position:absolute" from="6252,-1697" to="6492,-1697" stroked="true" strokeweight=".25pt" strokecolor="#000000"/>
            <v:line style="position:absolute" from="6372,-1803" to="6372,-1577" stroked="true" strokeweight=".25pt" strokecolor="#000000"/>
            <v:shape style="position:absolute;left:6312;top:-1757;width:120;height:120" coordorigin="6312,-1757" coordsize="120,120" path="m6372,-1757l6349,-1752,6330,-1739,6317,-1720,6312,-1697,6317,-1673,6330,-1654,6349,-1641,6372,-1637,6396,-1641,6415,-1654,6427,-1673,6432,-1697,6427,-1720,6415,-1739,6396,-1752,6372,-1757xe" filled="true" fillcolor="#000000" stroked="false">
              <v:path arrowok="t"/>
              <v:fill type="solid"/>
            </v:shape>
            <v:line style="position:absolute" from="6312,-1697" to="6432,-1697" stroked="true" strokeweight=".25pt" strokecolor="#ffffff"/>
            <v:line style="position:absolute" from="6372,-1757" to="6372,-1637" stroked="true" strokeweight=".25pt" strokecolor="#ffffff"/>
            <w10:wrap type="none"/>
          </v:group>
        </w:pict>
      </w:r>
      <w:bookmarkStart w:name="1. 2016 Contents Page (p.1-2)" w:id="1"/>
      <w:bookmarkEnd w:id="1"/>
      <w:r>
        <w:rPr/>
      </w:r>
      <w:bookmarkStart w:name="1. 2015 Contents Page.pdf" w:id="2"/>
      <w:bookmarkEnd w:id="2"/>
      <w:r>
        <w:rPr/>
      </w:r>
      <w:r>
        <w:rPr>
          <w:b/>
          <w:sz w:val="22"/>
        </w:rPr>
        <w:t>Financial Statements and Independent Audit Reports</w:t>
      </w:r>
    </w:p>
    <w:p>
      <w:pPr>
        <w:pStyle w:val="BodyText"/>
        <w:spacing w:before="6"/>
        <w:rPr>
          <w:b/>
        </w:rPr>
      </w:pPr>
    </w:p>
    <w:p>
      <w:pPr>
        <w:pStyle w:val="BodyText"/>
        <w:spacing w:before="1"/>
        <w:ind w:left="1857"/>
      </w:pPr>
      <w:r>
        <w:rPr/>
        <w:t>Western Sydney University</w:t>
      </w:r>
    </w:p>
    <w:p>
      <w:pPr>
        <w:pStyle w:val="BodyText"/>
        <w:spacing w:before="10"/>
        <w:rPr>
          <w:sz w:val="17"/>
        </w:rPr>
      </w:pPr>
    </w:p>
    <w:p>
      <w:pPr>
        <w:pStyle w:val="BodyText"/>
        <w:ind w:left="1857"/>
      </w:pPr>
      <w:r>
        <w:rPr/>
        <w:t>UWS</w:t>
      </w:r>
      <w:r>
        <w:rPr>
          <w:spacing w:val="-8"/>
        </w:rPr>
        <w:t> </w:t>
      </w:r>
      <w:r>
        <w:rPr/>
        <w:t>Enterprises</w:t>
      </w:r>
      <w:r>
        <w:rPr>
          <w:spacing w:val="-8"/>
        </w:rPr>
        <w:t> </w:t>
      </w:r>
      <w:r>
        <w:rPr/>
        <w:t>Pty</w:t>
      </w:r>
      <w:r>
        <w:rPr>
          <w:spacing w:val="-8"/>
        </w:rPr>
        <w:t> </w:t>
      </w:r>
      <w:r>
        <w:rPr/>
        <w:t>Limited</w:t>
      </w:r>
      <w:r>
        <w:rPr>
          <w:spacing w:val="-8"/>
        </w:rPr>
        <w:t> </w:t>
      </w:r>
      <w:r>
        <w:rPr/>
        <w:t>trading</w:t>
      </w:r>
      <w:r>
        <w:rPr>
          <w:spacing w:val="-8"/>
        </w:rPr>
        <w:t> </w:t>
      </w:r>
      <w:r>
        <w:rPr/>
        <w:t>as</w:t>
      </w:r>
      <w:r>
        <w:rPr>
          <w:spacing w:val="-8"/>
        </w:rPr>
        <w:t> </w:t>
      </w:r>
      <w:r>
        <w:rPr/>
        <w:t>Western</w:t>
      </w:r>
      <w:r>
        <w:rPr>
          <w:spacing w:val="-7"/>
        </w:rPr>
        <w:t> </w:t>
      </w:r>
      <w:r>
        <w:rPr/>
        <w:t>Sydney</w:t>
      </w:r>
      <w:r>
        <w:rPr>
          <w:spacing w:val="-7"/>
        </w:rPr>
        <w:t> </w:t>
      </w:r>
      <w:r>
        <w:rPr/>
        <w:t>University</w:t>
      </w:r>
      <w:r>
        <w:rPr>
          <w:spacing w:val="-6"/>
        </w:rPr>
        <w:t> </w:t>
      </w:r>
      <w:r>
        <w:rPr/>
        <w:t>The</w:t>
      </w:r>
      <w:r>
        <w:rPr>
          <w:spacing w:val="-7"/>
        </w:rPr>
        <w:t> </w:t>
      </w:r>
      <w:r>
        <w:rPr/>
        <w:t>College</w:t>
      </w:r>
    </w:p>
    <w:p>
      <w:pPr>
        <w:pStyle w:val="BodyText"/>
        <w:spacing w:before="10"/>
        <w:rPr>
          <w:sz w:val="17"/>
        </w:rPr>
      </w:pPr>
    </w:p>
    <w:p>
      <w:pPr>
        <w:pStyle w:val="BodyText"/>
        <w:ind w:left="1857"/>
      </w:pPr>
      <w:r>
        <w:rPr/>
        <w:t>uwsconnect Limited</w:t>
      </w:r>
    </w:p>
    <w:p>
      <w:pPr>
        <w:pStyle w:val="BodyText"/>
        <w:spacing w:before="10"/>
        <w:rPr>
          <w:sz w:val="17"/>
        </w:rPr>
      </w:pPr>
    </w:p>
    <w:p>
      <w:pPr>
        <w:pStyle w:val="BodyText"/>
        <w:ind w:left="1857"/>
      </w:pPr>
      <w:r>
        <w:rPr/>
        <w:t>UWS Early Learning Limited</w:t>
      </w:r>
    </w:p>
    <w:p>
      <w:pPr>
        <w:pStyle w:val="BodyText"/>
        <w:spacing w:before="10"/>
        <w:rPr>
          <w:sz w:val="17"/>
        </w:rPr>
      </w:pPr>
    </w:p>
    <w:p>
      <w:pPr>
        <w:pStyle w:val="BodyText"/>
        <w:spacing w:line="480" w:lineRule="auto"/>
        <w:ind w:left="1857" w:right="1065"/>
      </w:pPr>
      <w:r>
        <w:rPr/>
        <w:t>Whitlam Institute within Western Sydney University Limited Whitlam Institute within Western Sydney University Trust</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3"/>
      </w:pPr>
    </w:p>
    <w:p>
      <w:pPr>
        <w:pStyle w:val="Heading7"/>
        <w:spacing w:before="0"/>
        <w:ind w:left="1860"/>
      </w:pPr>
      <w:r>
        <w:rPr/>
        <w:t>Supporting data</w:t>
      </w:r>
    </w:p>
    <w:p>
      <w:pPr>
        <w:spacing w:before="72"/>
        <w:ind w:left="1834" w:right="1835" w:firstLine="0"/>
        <w:jc w:val="center"/>
        <w:rPr>
          <w:b/>
          <w:sz w:val="22"/>
        </w:rPr>
      </w:pPr>
      <w:r>
        <w:rPr/>
        <w:br w:type="column"/>
      </w:r>
      <w:r>
        <w:rPr>
          <w:b/>
          <w:sz w:val="22"/>
        </w:rPr>
        <w:t>Page</w:t>
      </w:r>
    </w:p>
    <w:p>
      <w:pPr>
        <w:pStyle w:val="BodyText"/>
        <w:spacing w:before="10"/>
        <w:rPr>
          <w:b/>
          <w:sz w:val="17"/>
        </w:rPr>
      </w:pPr>
    </w:p>
    <w:p>
      <w:pPr>
        <w:pStyle w:val="BodyText"/>
        <w:ind w:left="424"/>
        <w:jc w:val="center"/>
      </w:pPr>
      <w:r>
        <w:rPr>
          <w:w w:val="99"/>
        </w:rPr>
        <w:t>3</w:t>
      </w:r>
    </w:p>
    <w:p>
      <w:pPr>
        <w:pStyle w:val="BodyText"/>
      </w:pPr>
    </w:p>
    <w:p>
      <w:pPr>
        <w:pStyle w:val="BodyText"/>
        <w:ind w:left="1840" w:right="1518"/>
        <w:jc w:val="center"/>
      </w:pPr>
      <w:r>
        <w:rPr/>
        <w:t>99</w:t>
      </w:r>
    </w:p>
    <w:p>
      <w:pPr>
        <w:pStyle w:val="BodyText"/>
        <w:spacing w:before="7"/>
      </w:pPr>
    </w:p>
    <w:p>
      <w:pPr>
        <w:pStyle w:val="BodyText"/>
        <w:ind w:left="1840" w:right="1620"/>
        <w:jc w:val="center"/>
      </w:pPr>
      <w:r>
        <w:rPr/>
        <w:t>139</w:t>
      </w:r>
    </w:p>
    <w:p>
      <w:pPr>
        <w:pStyle w:val="BodyText"/>
        <w:spacing w:before="4"/>
        <w:rPr>
          <w:sz w:val="17"/>
        </w:rPr>
      </w:pPr>
    </w:p>
    <w:p>
      <w:pPr>
        <w:pStyle w:val="BodyText"/>
        <w:ind w:left="1840" w:right="1603"/>
        <w:jc w:val="center"/>
      </w:pPr>
      <w:r>
        <w:rPr/>
        <w:t>169</w:t>
      </w:r>
    </w:p>
    <w:p>
      <w:pPr>
        <w:pStyle w:val="BodyText"/>
        <w:spacing w:before="1"/>
        <w:rPr>
          <w:sz w:val="16"/>
        </w:rPr>
      </w:pPr>
    </w:p>
    <w:p>
      <w:pPr>
        <w:pStyle w:val="BodyText"/>
        <w:ind w:left="1840" w:right="1618"/>
        <w:jc w:val="center"/>
      </w:pPr>
      <w:r>
        <w:rPr/>
        <w:t>193</w:t>
      </w:r>
    </w:p>
    <w:p>
      <w:pPr>
        <w:pStyle w:val="BodyText"/>
        <w:spacing w:before="10"/>
        <w:rPr>
          <w:sz w:val="19"/>
        </w:rPr>
      </w:pPr>
    </w:p>
    <w:p>
      <w:pPr>
        <w:pStyle w:val="BodyText"/>
        <w:ind w:left="1840" w:right="1617"/>
        <w:jc w:val="center"/>
      </w:pPr>
      <w:r>
        <w:rPr/>
        <w:t>213</w:t>
      </w:r>
    </w:p>
    <w:p>
      <w:pPr>
        <w:spacing w:after="0"/>
        <w:jc w:val="center"/>
        <w:sectPr>
          <w:type w:val="continuous"/>
          <w:pgSz w:w="12750" w:h="17680"/>
          <w:pgMar w:top="1660" w:bottom="0" w:left="0" w:right="0"/>
          <w:cols w:num="2" w:equalWidth="0">
            <w:col w:w="8234" w:space="268"/>
            <w:col w:w="4248"/>
          </w:cols>
        </w:sectPr>
      </w:pPr>
    </w:p>
    <w:p>
      <w:pPr>
        <w:pStyle w:val="BodyText"/>
        <w:spacing w:before="7"/>
        <w:rPr>
          <w:sz w:val="14"/>
        </w:rPr>
      </w:pPr>
      <w:r>
        <w:rPr/>
        <w:pict>
          <v:shape style="position:absolute;margin-left:-12pt;margin-top:1725.843018pt;width:12pt;height:.1pt;mso-position-horizontal-relative:page;mso-position-vertical-relative:page;z-index:1144" coordorigin="-240,34517" coordsize="240,0" path="m240,17277l0,17277m240,17277l0,17277e" filled="false" stroked="true" strokeweight=".25pt" strokecolor="#000000">
            <v:path arrowok="t"/>
            <w10:wrap type="none"/>
          </v:shape>
        </w:pict>
      </w:r>
      <w:r>
        <w:rPr/>
        <w:pict>
          <v:shape style="position:absolute;margin-left:613.219971pt;margin-top:1725.843018pt;width:12.05pt;height:.1pt;mso-position-horizontal-relative:page;mso-position-vertical-relative:page;z-index:1168" coordorigin="12264,34517" coordsize="241,0" path="m12504,17277l12745,17277m12504,17277l12745,17277e" filled="false" stroked="true" strokeweight=".25pt" strokecolor="#000000">
            <v:path arrowok="t"/>
            <w10:wrap type="none"/>
          </v:shape>
        </w:pict>
      </w:r>
      <w:r>
        <w:rPr/>
        <w:pict>
          <v:shape style="position:absolute;margin-left:9pt;margin-top:1734.843018pt;width:.1pt;height:11pt;mso-position-horizontal-relative:page;mso-position-vertical-relative:page;z-index:1192" coordorigin="180,34697" coordsize="0,220" path="m420,17457l420,17677m420,17457l420,17677e" filled="false" stroked="true" strokeweight=".25pt" strokecolor="#000000">
            <v:path arrowok="t"/>
            <w10:wrap type="none"/>
          </v:shape>
        </w:pict>
      </w:r>
      <w:r>
        <w:rPr/>
        <w:pict>
          <v:shape style="position:absolute;margin-left:604.219971pt;margin-top:1734.843018pt;width:.1pt;height:11pt;mso-position-horizontal-relative:page;mso-position-vertical-relative:page;z-index:1216" coordorigin="12084,34697" coordsize="0,220" path="m12324,17457l12324,17677m12324,17457l12324,17677e" filled="false" stroked="true" strokeweight=".25pt" strokecolor="#000000">
            <v:path arrowok="t"/>
            <w10:wrap type="none"/>
          </v:shape>
        </w:pict>
      </w:r>
      <w:r>
        <w:rPr/>
        <w:pict>
          <v:group style="position:absolute;margin-left:311.984985pt;margin-top:873.718018pt;width:13.25pt;height:10.75pt;mso-position-horizontal-relative:page;mso-position-vertical-relative:page;z-index:1264" coordorigin="6240,17474" coordsize="265,215">
            <v:shape style="position:absolute;left:-200;top:17577;width:200;height:170" coordorigin="-200,17577" coordsize="200,170" path="m6472,17607l6464,17646,6443,17677m6301,17677l6280,17646,6272,17607,6280,17568,6301,17536,6333,17515,6372,17507,6411,17515,6443,17536,6464,17568,6472,17607e" filled="false" stroked="true" strokeweight=".25pt" strokecolor="#000000">
              <v:path arrowok="t"/>
            </v:shape>
            <v:line style="position:absolute" from="6252,17607" to="6492,17607" stroked="true" strokeweight=".25pt" strokecolor="#000000"/>
            <v:line style="position:absolute" from="6372,17487" to="6372,17677" stroked="true" strokeweight=".25pt" strokecolor="#000000"/>
            <v:shape style="position:absolute;left:6312;top:17547;width:120;height:120" coordorigin="6312,17547" coordsize="120,120" path="m6372,17547l6349,17552,6330,17564,6317,17584,6312,17607,6317,17630,6330,17649,6349,17662,6372,17667,6396,17662,6415,17649,6427,17630,6432,17607,6427,17584,6415,17564,6396,17552,6372,17547xe" filled="true" fillcolor="#000000" stroked="false">
              <v:path arrowok="t"/>
              <v:fill type="solid"/>
            </v:shape>
            <v:line style="position:absolute" from="6312,17607" to="6432,17607" stroked="true" strokeweight=".25pt" strokecolor="#ffffff"/>
            <v:line style="position:absolute" from="6372,17547" to="6372,17667" stroked="true" strokeweight=".25pt" strokecolor="#ffffff"/>
            <v:shape style="position:absolute;left:-200;top:17577;width:200;height:170" coordorigin="-200,17577" coordsize="200,170" path="m6472,17607l6464,17646,6443,17677m6301,17677l6280,17646,6272,17607,6280,17568,6301,17536,6333,17515,6372,17507,6411,17515,6443,17536,6464,17568,6472,17607e" filled="false" stroked="true" strokeweight="1.25pt" strokecolor="#ffffff">
              <v:path arrowok="t"/>
            </v:shape>
            <v:line style="position:absolute" from="6252,17607" to="6492,17607" stroked="true" strokeweight="1.25pt" strokecolor="#ffffff"/>
            <v:line style="position:absolute" from="6372,17487" to="6372,17677" stroked="true" strokeweight="1.25pt" strokecolor="#ffffff"/>
            <v:shape style="position:absolute;left:6312;top:17547;width:120;height:120" coordorigin="6312,17547" coordsize="120,120" path="m6432,17607l6427,17630,6415,17649,6396,17662,6372,17667,6349,17662,6330,17649,6317,17630,6312,17607,6317,17584,6330,17564,6349,17552,6372,17547,6396,17552,6415,17564,6427,17584,6432,17607xe" filled="false" stroked="true" strokeweight="1.25pt" strokecolor="#ffffff">
              <v:path arrowok="t"/>
            </v:shape>
            <v:shape style="position:absolute;left:-200;top:17577;width:200;height:170" coordorigin="-200,17577" coordsize="200,170" path="m6472,17607l6464,17646,6443,17677m6301,17677l6280,17646,6272,17607,6280,17568,6301,17536,6333,17515,6372,17507,6411,17515,6443,17536,6464,17568,6472,17607e" filled="false" stroked="true" strokeweight=".25pt" strokecolor="#000000">
              <v:path arrowok="t"/>
            </v:shape>
            <v:line style="position:absolute" from="6252,17607" to="6492,17607" stroked="true" strokeweight=".25pt" strokecolor="#000000"/>
            <v:line style="position:absolute" from="6372,17487" to="6372,17677" stroked="true" strokeweight=".25pt" strokecolor="#000000"/>
            <v:shape style="position:absolute;left:6312;top:17547;width:120;height:120" coordorigin="6312,17547" coordsize="120,120" path="m6372,17547l6349,17552,6330,17564,6317,17584,6312,17607,6317,17630,6330,17649,6349,17662,6372,17667,6396,17662,6415,17649,6427,17630,6432,17607,6427,17584,6415,17564,6396,17552,6372,17547xe" filled="true" fillcolor="#000000" stroked="false">
              <v:path arrowok="t"/>
              <v:fill type="solid"/>
            </v:shape>
            <v:line style="position:absolute" from="6312,17607" to="6432,17607" stroked="true" strokeweight=".25pt" strokecolor="#ffffff"/>
            <v:line style="position:absolute" from="6372,17547" to="6372,17667" stroked="true" strokeweight=".25pt" strokecolor="#ffffff"/>
            <w10:wrap type="none"/>
          </v:group>
        </w:pict>
      </w:r>
    </w:p>
    <w:p>
      <w:pPr>
        <w:pStyle w:val="BodyText"/>
        <w:tabs>
          <w:tab w:pos="10906" w:val="right" w:leader="none"/>
        </w:tabs>
        <w:spacing w:before="74"/>
        <w:ind w:left="1859"/>
      </w:pPr>
      <w:r>
        <w:rPr/>
        <w:pict>
          <v:group style="position:absolute;margin-left:-.625pt;margin-top:91.377487pt;width:11.75pt;height:13.25pt;mso-position-horizontal-relative:page;mso-position-vertical-relative:paragraph;z-index:1288" coordorigin="-13,1828" coordsize="235,265">
            <v:shape style="position:absolute;left:-190;top:10680;width:190;height:200" coordorigin="-190,10680" coordsize="190,200" path="m190,1960l182,1999,161,2031,129,2052,90,2060,51,2052,19,2031,0,2002m0,1918l19,1889,51,1868,90,1860,129,1868,161,1889,182,1921,190,1960e" filled="false" stroked="true" strokeweight=".25pt" strokecolor="#000000">
              <v:path arrowok="t"/>
            </v:shape>
            <v:line style="position:absolute" from="0,1960" to="210,1960" stroked="true" strokeweight=".25pt" strokecolor="#000000"/>
            <v:line style="position:absolute" from="90,1840" to="90,2080" stroked="true" strokeweight=".25pt" strokecolor="#000000"/>
            <v:shape style="position:absolute;left:30;top:1900;width:120;height:120" coordorigin="30,1900" coordsize="120,120" path="m90,1900l67,1905,48,1918,35,1937,30,1960,35,1983,48,2002,67,2015,90,2020,113,2015,132,2002,145,1983,150,1960,145,1937,132,1918,113,1905,90,1900xe" filled="true" fillcolor="#000000" stroked="false">
              <v:path arrowok="t"/>
              <v:fill type="solid"/>
            </v:shape>
            <v:line style="position:absolute" from="30,1960" to="150,1960" stroked="true" strokeweight=".25pt" strokecolor="#ffffff"/>
            <v:line style="position:absolute" from="90,1900" to="90,2020" stroked="true" strokeweight=".25pt" strokecolor="#ffffff"/>
            <v:shape style="position:absolute;left:-190;top:10680;width:190;height:200" coordorigin="-190,10680" coordsize="190,200" path="m190,1960l182,1999,161,2031,129,2052,90,2060,51,2052,19,2031,0,2002m0,1918l19,1889,51,1868,90,1860,129,1868,161,1889,182,1921,190,1960e" filled="false" stroked="true" strokeweight="1.25pt" strokecolor="#ffffff">
              <v:path arrowok="t"/>
            </v:shape>
            <v:line style="position:absolute" from="0,1960" to="210,1960" stroked="true" strokeweight="1.25pt" strokecolor="#ffffff"/>
            <v:line style="position:absolute" from="90,1840" to="90,2080" stroked="true" strokeweight="1.25pt" strokecolor="#ffffff"/>
            <v:shape style="position:absolute;left:30;top:1900;width:120;height:120" coordorigin="30,1900" coordsize="120,120" path="m150,1960l145,1983,132,2002,113,2015,90,2020,67,2015,48,2002,35,1983,30,1960,35,1937,48,1918,67,1905,90,1900,113,1905,132,1918,145,1937,150,1960xe" filled="false" stroked="true" strokeweight="1.25pt" strokecolor="#ffffff">
              <v:path arrowok="t"/>
            </v:shape>
            <v:shape style="position:absolute;left:-190;top:10680;width:190;height:200" coordorigin="-190,10680" coordsize="190,200" path="m190,1960l182,1999,161,2031,129,2052,90,2060,51,2052,19,2031,0,2002m0,1918l19,1889,51,1868,90,1860,129,1868,161,1889,182,1921,190,1960e" filled="false" stroked="true" strokeweight=".25pt" strokecolor="#000000">
              <v:path arrowok="t"/>
            </v:shape>
            <v:line style="position:absolute" from="0,1960" to="210,1960" stroked="true" strokeweight=".25pt" strokecolor="#000000"/>
            <v:line style="position:absolute" from="90,1840" to="90,2080" stroked="true" strokeweight=".25pt" strokecolor="#000000"/>
            <v:shape style="position:absolute;left:30;top:1900;width:120;height:120" coordorigin="30,1900" coordsize="120,120" path="m90,1900l67,1905,48,1918,35,1937,30,1960,35,1983,48,2002,67,2015,90,2020,113,2015,132,2002,145,1983,150,1960,145,1937,132,1918,113,1905,90,1900xe" filled="true" fillcolor="#000000" stroked="false">
              <v:path arrowok="t"/>
              <v:fill type="solid"/>
            </v:shape>
            <v:line style="position:absolute" from="30,1960" to="150,1960" stroked="true" strokeweight=".25pt" strokecolor="#ffffff"/>
            <v:line style="position:absolute" from="90,1900" to="90,2020" stroked="true" strokeweight=".25pt" strokecolor="#ffffff"/>
            <w10:wrap type="none"/>
          </v:group>
        </w:pict>
      </w:r>
      <w:r>
        <w:rPr/>
        <w:pict>
          <v:group style="position:absolute;margin-left:626.094971pt;margin-top:91.377487pt;width:11.8pt;height:13.25pt;mso-position-horizontal-relative:page;mso-position-vertical-relative:paragraph;z-index:1312" coordorigin="12522,1828" coordsize="236,265">
            <v:shape style="position:absolute;left:12554;top:1860;width:191;height:200" coordorigin="12554,1860" coordsize="191,200" path="m12745,2002l12725,2031,12693,2052,12654,2060,12615,2052,12584,2031,12562,1999,12554,1960,12562,1921,12584,1889,12615,1868,12654,1860,12693,1868,12725,1889,12745,1918e" filled="false" stroked="true" strokeweight=".25pt" strokecolor="#000000">
              <v:path arrowok="t"/>
            </v:shape>
            <v:line style="position:absolute" from="12534,1960" to="12745,1960" stroked="true" strokeweight=".25pt" strokecolor="#000000"/>
            <v:line style="position:absolute" from="12654,1840" to="12654,2080" stroked="true" strokeweight=".25pt" strokecolor="#000000"/>
            <v:shape style="position:absolute;left:12594;top:1900;width:120;height:120" coordorigin="12594,1900" coordsize="120,120" path="m12654,1900l12631,1905,12612,1918,12599,1937,12594,1960,12599,1983,12612,2002,12631,2015,12654,2020,12678,2015,12697,2002,12710,1983,12714,1960,12710,1937,12697,1918,12678,1905,12654,1900xe" filled="true" fillcolor="#000000" stroked="false">
              <v:path arrowok="t"/>
              <v:fill type="solid"/>
            </v:shape>
            <v:line style="position:absolute" from="12594,1960" to="12714,1960" stroked="true" strokeweight=".25pt" strokecolor="#ffffff"/>
            <v:line style="position:absolute" from="12654,1900" to="12654,2020" stroked="true" strokeweight=".25pt" strokecolor="#ffffff"/>
            <v:shape style="position:absolute;left:12554;top:1860;width:191;height:200" coordorigin="12554,1860" coordsize="191,200" path="m12745,2002l12725,2031,12693,2052,12654,2060,12615,2052,12584,2031,12562,1999,12554,1960,12562,1921,12584,1889,12615,1868,12654,1860,12693,1868,12725,1889,12745,1918e" filled="false" stroked="true" strokeweight="1.25pt" strokecolor="#ffffff">
              <v:path arrowok="t"/>
            </v:shape>
            <v:line style="position:absolute" from="12534,1960" to="12745,1960" stroked="true" strokeweight="1.25pt" strokecolor="#ffffff"/>
            <v:line style="position:absolute" from="12654,1840" to="12654,2080" stroked="true" strokeweight="1.25pt" strokecolor="#ffffff"/>
            <v:shape style="position:absolute;left:12594;top:1900;width:120;height:120" coordorigin="12594,1900" coordsize="120,120" path="m12714,1960l12710,1983,12697,2002,12678,2015,12654,2020,12631,2015,12612,2002,12599,1983,12594,1960,12599,1937,12612,1918,12631,1905,12654,1900,12678,1905,12697,1918,12710,1937,12714,1960xe" filled="false" stroked="true" strokeweight="1.25pt" strokecolor="#ffffff">
              <v:path arrowok="t"/>
            </v:shape>
            <v:shape style="position:absolute;left:12554;top:1860;width:191;height:200" coordorigin="12554,1860" coordsize="191,200" path="m12745,2002l12725,2031,12693,2052,12654,2060,12615,2052,12584,2031,12562,1999,12554,1960,12562,1921,12584,1889,12615,1868,12654,1860,12693,1868,12725,1889,12745,1918e" filled="false" stroked="true" strokeweight=".25pt" strokecolor="#000000">
              <v:path arrowok="t"/>
            </v:shape>
            <v:line style="position:absolute" from="12534,1960" to="12745,1960" stroked="true" strokeweight=".25pt" strokecolor="#000000"/>
            <v:line style="position:absolute" from="12654,1840" to="12654,2080" stroked="true" strokeweight=".25pt" strokecolor="#000000"/>
            <v:shape style="position:absolute;left:12594;top:1900;width:120;height:120" coordorigin="12594,1900" coordsize="120,120" path="m12654,1900l12631,1905,12612,1918,12599,1937,12594,1960,12599,1983,12612,2002,12631,2015,12654,2020,12678,2015,12697,2002,12710,1983,12714,1960,12710,1937,12697,1918,12678,1905,12654,1900xe" filled="true" fillcolor="#000000" stroked="false">
              <v:path arrowok="t"/>
              <v:fill type="solid"/>
            </v:shape>
            <v:line style="position:absolute" from="12594,1960" to="12714,1960" stroked="true" strokeweight=".25pt" strokecolor="#ffffff"/>
            <v:line style="position:absolute" from="12654,1900" to="12654,2020" stroked="true" strokeweight=".25pt" strokecolor="#ffffff"/>
            <w10:wrap type="none"/>
          </v:group>
        </w:pict>
      </w:r>
      <w:r>
        <w:rPr/>
        <w:t>Budget and</w:t>
      </w:r>
      <w:r>
        <w:rPr>
          <w:spacing w:val="-1"/>
        </w:rPr>
        <w:t> </w:t>
      </w:r>
      <w:r>
        <w:rPr/>
        <w:t>Performance</w:t>
      </w:r>
      <w:r>
        <w:rPr>
          <w:spacing w:val="-1"/>
        </w:rPr>
        <w:t> </w:t>
      </w:r>
      <w:r>
        <w:rPr/>
        <w:t>Indicators</w:t>
      </w:r>
      <w:r>
        <w:rPr>
          <w:rFonts w:ascii="Times New Roman"/>
          <w:position w:val="1"/>
        </w:rPr>
        <w:tab/>
      </w:r>
      <w:r>
        <w:rPr>
          <w:position w:val="1"/>
        </w:rPr>
        <w:t>237</w:t>
      </w:r>
    </w:p>
    <w:p>
      <w:pPr>
        <w:spacing w:after="0"/>
        <w:sectPr>
          <w:type w:val="continuous"/>
          <w:pgSz w:w="12750" w:h="17680"/>
          <w:pgMar w:top="1660" w:bottom="0" w:left="0" w:right="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48"/>
        <w:ind w:left="2107" w:right="2106"/>
        <w:jc w:val="center"/>
      </w:pPr>
      <w:r>
        <w:rPr/>
        <w:drawing>
          <wp:anchor distT="0" distB="0" distL="0" distR="0" allowOverlap="1" layoutInCell="1" locked="0" behindDoc="0" simplePos="0" relativeHeight="1336">
            <wp:simplePos x="0" y="0"/>
            <wp:positionH relativeFrom="page">
              <wp:posOffset>-1587</wp:posOffset>
            </wp:positionH>
            <wp:positionV relativeFrom="paragraph">
              <wp:posOffset>797901</wp:posOffset>
            </wp:positionV>
            <wp:extent cx="135159" cy="154019"/>
            <wp:effectExtent l="0" t="0" r="0" b="0"/>
            <wp:wrapNone/>
            <wp:docPr id="5" name="image13.png" descr=""/>
            <wp:cNvGraphicFramePr>
              <a:graphicFrameLocks noChangeAspect="1"/>
            </wp:cNvGraphicFramePr>
            <a:graphic>
              <a:graphicData uri="http://schemas.openxmlformats.org/drawingml/2006/picture">
                <pic:pic>
                  <pic:nvPicPr>
                    <pic:cNvPr id="6" name="image13.png"/>
                    <pic:cNvPicPr/>
                  </pic:nvPicPr>
                  <pic:blipFill>
                    <a:blip r:embed="rId18" cstate="print"/>
                    <a:stretch>
                      <a:fillRect/>
                    </a:stretch>
                  </pic:blipFill>
                  <pic:spPr>
                    <a:xfrm>
                      <a:off x="0" y="0"/>
                      <a:ext cx="135159" cy="154019"/>
                    </a:xfrm>
                    <a:prstGeom prst="rect">
                      <a:avLst/>
                    </a:prstGeom>
                  </pic:spPr>
                </pic:pic>
              </a:graphicData>
            </a:graphic>
          </wp:anchor>
        </w:drawing>
      </w:r>
      <w:r>
        <w:rPr/>
        <w:drawing>
          <wp:anchor distT="0" distB="0" distL="0" distR="0" allowOverlap="1" layoutInCell="1" locked="0" behindDoc="0" simplePos="0" relativeHeight="1360">
            <wp:simplePos x="0" y="0"/>
            <wp:positionH relativeFrom="page">
              <wp:posOffset>7959026</wp:posOffset>
            </wp:positionH>
            <wp:positionV relativeFrom="paragraph">
              <wp:posOffset>797901</wp:posOffset>
            </wp:positionV>
            <wp:extent cx="135356" cy="155575"/>
            <wp:effectExtent l="0" t="0" r="0" b="0"/>
            <wp:wrapNone/>
            <wp:docPr id="7" name="image14.png" descr=""/>
            <wp:cNvGraphicFramePr>
              <a:graphicFrameLocks noChangeAspect="1"/>
            </wp:cNvGraphicFramePr>
            <a:graphic>
              <a:graphicData uri="http://schemas.openxmlformats.org/drawingml/2006/picture">
                <pic:pic>
                  <pic:nvPicPr>
                    <pic:cNvPr id="8" name="image14.png"/>
                    <pic:cNvPicPr/>
                  </pic:nvPicPr>
                  <pic:blipFill>
                    <a:blip r:embed="rId19" cstate="print"/>
                    <a:stretch>
                      <a:fillRect/>
                    </a:stretch>
                  </pic:blipFill>
                  <pic:spPr>
                    <a:xfrm>
                      <a:off x="0" y="0"/>
                      <a:ext cx="135356" cy="155575"/>
                    </a:xfrm>
                    <a:prstGeom prst="rect">
                      <a:avLst/>
                    </a:prstGeom>
                  </pic:spPr>
                </pic:pic>
              </a:graphicData>
            </a:graphic>
          </wp:anchor>
        </w:drawing>
      </w:r>
      <w:bookmarkStart w:name="Blank page with text.pdf" w:id="3"/>
      <w:bookmarkEnd w:id="3"/>
      <w:r>
        <w:rPr/>
      </w:r>
      <w:r>
        <w:rPr/>
        <w:t>This page is intentionally blank</w:t>
      </w:r>
    </w:p>
    <w:p>
      <w:pPr>
        <w:spacing w:after="0"/>
        <w:jc w:val="center"/>
        <w:sectPr>
          <w:headerReference w:type="default" r:id="rId16"/>
          <w:footerReference w:type="default" r:id="rId17"/>
          <w:pgSz w:w="12750" w:h="17680"/>
          <w:pgMar w:header="0" w:footer="867" w:top="420" w:bottom="1060" w:left="0" w:right="0"/>
          <w:pgNumType w:start="2"/>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4"/>
        </w:rPr>
      </w:pPr>
    </w:p>
    <w:p>
      <w:pPr>
        <w:pStyle w:val="Heading1"/>
      </w:pPr>
      <w:bookmarkStart w:name="Cover page" w:id="4"/>
      <w:bookmarkEnd w:id="4"/>
      <w:r>
        <w:rPr>
          <w:b w:val="0"/>
        </w:rPr>
      </w:r>
      <w:r>
        <w:rPr/>
        <w:t>Western Sydney University</w:t>
      </w:r>
    </w:p>
    <w:p>
      <w:pPr>
        <w:pStyle w:val="BodyText"/>
        <w:spacing w:before="2"/>
        <w:rPr>
          <w:b/>
          <w:sz w:val="49"/>
        </w:rPr>
      </w:pPr>
    </w:p>
    <w:p>
      <w:pPr>
        <w:pStyle w:val="Heading3"/>
        <w:spacing w:before="1"/>
      </w:pPr>
      <w:r>
        <w:rPr/>
        <w:t>Consolidated Financial Statements</w:t>
      </w:r>
    </w:p>
    <w:p>
      <w:pPr>
        <w:pStyle w:val="Heading7"/>
        <w:spacing w:before="284"/>
      </w:pPr>
      <w:r>
        <w:rPr/>
        <w:drawing>
          <wp:anchor distT="0" distB="0" distL="0" distR="0" allowOverlap="1" layoutInCell="1" locked="0" behindDoc="0" simplePos="0" relativeHeight="1384">
            <wp:simplePos x="0" y="0"/>
            <wp:positionH relativeFrom="page">
              <wp:posOffset>-1587</wp:posOffset>
            </wp:positionH>
            <wp:positionV relativeFrom="paragraph">
              <wp:posOffset>271905</wp:posOffset>
            </wp:positionV>
            <wp:extent cx="136525" cy="155575"/>
            <wp:effectExtent l="0" t="0" r="0" b="0"/>
            <wp:wrapNone/>
            <wp:docPr id="9" name="image13.png" descr=""/>
            <wp:cNvGraphicFramePr>
              <a:graphicFrameLocks noChangeAspect="1"/>
            </wp:cNvGraphicFramePr>
            <a:graphic>
              <a:graphicData uri="http://schemas.openxmlformats.org/drawingml/2006/picture">
                <pic:pic>
                  <pic:nvPicPr>
                    <pic:cNvPr id="10" name="image13.png"/>
                    <pic:cNvPicPr/>
                  </pic:nvPicPr>
                  <pic:blipFill>
                    <a:blip r:embed="rId18" cstate="print"/>
                    <a:stretch>
                      <a:fillRect/>
                    </a:stretch>
                  </pic:blipFill>
                  <pic:spPr>
                    <a:xfrm>
                      <a:off x="0" y="0"/>
                      <a:ext cx="136525" cy="155575"/>
                    </a:xfrm>
                    <a:prstGeom prst="rect">
                      <a:avLst/>
                    </a:prstGeom>
                  </pic:spPr>
                </pic:pic>
              </a:graphicData>
            </a:graphic>
          </wp:anchor>
        </w:drawing>
      </w:r>
      <w:r>
        <w:rPr/>
        <w:drawing>
          <wp:anchor distT="0" distB="0" distL="0" distR="0" allowOverlap="1" layoutInCell="1" locked="0" behindDoc="0" simplePos="0" relativeHeight="1408">
            <wp:simplePos x="0" y="0"/>
            <wp:positionH relativeFrom="page">
              <wp:posOffset>7958429</wp:posOffset>
            </wp:positionH>
            <wp:positionV relativeFrom="paragraph">
              <wp:posOffset>271905</wp:posOffset>
            </wp:positionV>
            <wp:extent cx="135953" cy="155575"/>
            <wp:effectExtent l="0" t="0" r="0" b="0"/>
            <wp:wrapNone/>
            <wp:docPr id="11" name="image15.png" descr=""/>
            <wp:cNvGraphicFramePr>
              <a:graphicFrameLocks noChangeAspect="1"/>
            </wp:cNvGraphicFramePr>
            <a:graphic>
              <a:graphicData uri="http://schemas.openxmlformats.org/drawingml/2006/picture">
                <pic:pic>
                  <pic:nvPicPr>
                    <pic:cNvPr id="12" name="image15.png"/>
                    <pic:cNvPicPr/>
                  </pic:nvPicPr>
                  <pic:blipFill>
                    <a:blip r:embed="rId20" cstate="print"/>
                    <a:stretch>
                      <a:fillRect/>
                    </a:stretch>
                  </pic:blipFill>
                  <pic:spPr>
                    <a:xfrm>
                      <a:off x="0" y="0"/>
                      <a:ext cx="135953" cy="155575"/>
                    </a:xfrm>
                    <a:prstGeom prst="rect">
                      <a:avLst/>
                    </a:prstGeom>
                  </pic:spPr>
                </pic:pic>
              </a:graphicData>
            </a:graphic>
          </wp:anchor>
        </w:drawing>
      </w:r>
      <w:r>
        <w:rPr/>
        <w:t>For the year ended 31 December 2016</w:t>
      </w:r>
    </w:p>
    <w:p>
      <w:pPr>
        <w:spacing w:after="0"/>
        <w:sectPr>
          <w:pgSz w:w="12750" w:h="17680"/>
          <w:pgMar w:header="0" w:footer="867" w:top="420" w:bottom="1120" w:left="0" w:right="0"/>
        </w:sectPr>
      </w:pPr>
    </w:p>
    <w:p>
      <w:pPr>
        <w:pStyle w:val="BodyText"/>
        <w:rPr>
          <w:b/>
          <w:sz w:val="20"/>
        </w:rPr>
      </w:pPr>
    </w:p>
    <w:p>
      <w:pPr>
        <w:pStyle w:val="BodyText"/>
        <w:rPr>
          <w:b/>
          <w:sz w:val="20"/>
        </w:rPr>
      </w:pPr>
    </w:p>
    <w:p>
      <w:pPr>
        <w:pStyle w:val="BodyText"/>
        <w:rPr>
          <w:b/>
          <w:sz w:val="20"/>
        </w:rPr>
      </w:pPr>
    </w:p>
    <w:p>
      <w:pPr>
        <w:pStyle w:val="BodyText"/>
        <w:spacing w:before="4"/>
        <w:rPr>
          <w:b/>
          <w:sz w:val="21"/>
        </w:rPr>
      </w:pPr>
    </w:p>
    <w:p>
      <w:pPr>
        <w:spacing w:before="72"/>
        <w:ind w:left="1428" w:right="0" w:firstLine="0"/>
        <w:jc w:val="left"/>
        <w:rPr>
          <w:b/>
          <w:sz w:val="22"/>
        </w:rPr>
      </w:pPr>
      <w:r>
        <w:rPr>
          <w:b/>
          <w:sz w:val="22"/>
        </w:rPr>
        <w:t>Western Sydney University</w:t>
      </w:r>
    </w:p>
    <w:p>
      <w:pPr>
        <w:pStyle w:val="BodyText"/>
        <w:spacing w:before="5"/>
        <w:rPr>
          <w:b/>
          <w:sz w:val="29"/>
        </w:rPr>
      </w:pPr>
    </w:p>
    <w:p>
      <w:pPr>
        <w:spacing w:before="0"/>
        <w:ind w:left="1428" w:right="0" w:firstLine="0"/>
        <w:jc w:val="left"/>
        <w:rPr>
          <w:b/>
          <w:sz w:val="28"/>
        </w:rPr>
      </w:pPr>
      <w:bookmarkStart w:name="Statement by the Members of the Board of" w:id="5"/>
      <w:bookmarkEnd w:id="5"/>
      <w:r>
        <w:rPr/>
      </w:r>
      <w:r>
        <w:rPr>
          <w:b/>
          <w:sz w:val="28"/>
        </w:rPr>
        <w:t>Statement by the Members of the Board of Trustees</w:t>
      </w:r>
    </w:p>
    <w:p>
      <w:pPr>
        <w:spacing w:before="57"/>
        <w:ind w:left="1428" w:right="0" w:firstLine="0"/>
        <w:jc w:val="left"/>
        <w:rPr>
          <w:b/>
          <w:sz w:val="22"/>
        </w:rPr>
      </w:pPr>
      <w:r>
        <w:rPr>
          <w:b/>
          <w:sz w:val="22"/>
        </w:rPr>
        <w:t>For the year ended 31 December 2016</w:t>
      </w:r>
    </w:p>
    <w:p>
      <w:pPr>
        <w:pStyle w:val="BodyText"/>
        <w:rPr>
          <w:b/>
          <w:sz w:val="22"/>
        </w:rPr>
      </w:pPr>
    </w:p>
    <w:p>
      <w:pPr>
        <w:pStyle w:val="BodyText"/>
        <w:rPr>
          <w:b/>
          <w:sz w:val="22"/>
        </w:rPr>
      </w:pPr>
    </w:p>
    <w:p>
      <w:pPr>
        <w:pStyle w:val="BodyText"/>
        <w:spacing w:before="11"/>
        <w:rPr>
          <w:b/>
          <w:sz w:val="23"/>
        </w:rPr>
      </w:pPr>
    </w:p>
    <w:p>
      <w:pPr>
        <w:pStyle w:val="BodyText"/>
        <w:ind w:left="1428" w:right="1375"/>
      </w:pPr>
      <w:r>
        <w:rPr/>
        <w:t>In accordance with a resolution of the Board of Trustees of Western Sydney University dated 5 April 2017 and pursuant to Section 41C (1B) and (1C) of the </w:t>
      </w:r>
      <w:r>
        <w:rPr>
          <w:i/>
        </w:rPr>
        <w:t>Public Finance and Audit Act 1983</w:t>
      </w:r>
      <w:r>
        <w:rPr/>
        <w:t>, we state that to the best of our knowledge and belief:</w:t>
      </w:r>
    </w:p>
    <w:p>
      <w:pPr>
        <w:pStyle w:val="BodyText"/>
        <w:spacing w:before="11"/>
        <w:rPr>
          <w:sz w:val="24"/>
        </w:rPr>
      </w:pPr>
    </w:p>
    <w:p>
      <w:pPr>
        <w:pStyle w:val="ListParagraph"/>
        <w:numPr>
          <w:ilvl w:val="0"/>
          <w:numId w:val="1"/>
        </w:numPr>
        <w:tabs>
          <w:tab w:pos="1698" w:val="left" w:leader="none"/>
        </w:tabs>
        <w:spacing w:line="240" w:lineRule="auto" w:before="0" w:after="0"/>
        <w:ind w:left="1428" w:right="1445" w:firstLine="0"/>
        <w:jc w:val="left"/>
        <w:rPr>
          <w:sz w:val="18"/>
        </w:rPr>
      </w:pPr>
      <w:r>
        <w:rPr>
          <w:sz w:val="18"/>
        </w:rPr>
        <w:t>The financial statements present a true and fair view of the financial position of Western Sydney University and its controlled</w:t>
      </w:r>
      <w:r>
        <w:rPr>
          <w:spacing w:val="-6"/>
          <w:sz w:val="18"/>
        </w:rPr>
        <w:t> </w:t>
      </w:r>
      <w:r>
        <w:rPr>
          <w:sz w:val="18"/>
        </w:rPr>
        <w:t>entities</w:t>
      </w:r>
      <w:r>
        <w:rPr>
          <w:spacing w:val="-6"/>
          <w:sz w:val="18"/>
        </w:rPr>
        <w:t> </w:t>
      </w:r>
      <w:r>
        <w:rPr>
          <w:sz w:val="18"/>
        </w:rPr>
        <w:t>(the</w:t>
      </w:r>
      <w:r>
        <w:rPr>
          <w:spacing w:val="-6"/>
          <w:sz w:val="18"/>
        </w:rPr>
        <w:t> </w:t>
      </w:r>
      <w:r>
        <w:rPr>
          <w:sz w:val="18"/>
        </w:rPr>
        <w:t>Group)</w:t>
      </w:r>
      <w:r>
        <w:rPr>
          <w:spacing w:val="-6"/>
          <w:sz w:val="18"/>
        </w:rPr>
        <w:t> </w:t>
      </w:r>
      <w:r>
        <w:rPr>
          <w:sz w:val="18"/>
        </w:rPr>
        <w:t>at</w:t>
      </w:r>
      <w:r>
        <w:rPr>
          <w:spacing w:val="-5"/>
          <w:sz w:val="18"/>
        </w:rPr>
        <w:t> </w:t>
      </w:r>
      <w:r>
        <w:rPr>
          <w:sz w:val="18"/>
        </w:rPr>
        <w:t>31</w:t>
      </w:r>
      <w:r>
        <w:rPr>
          <w:spacing w:val="-6"/>
          <w:sz w:val="18"/>
        </w:rPr>
        <w:t> </w:t>
      </w:r>
      <w:r>
        <w:rPr>
          <w:sz w:val="18"/>
        </w:rPr>
        <w:t>December</w:t>
      </w:r>
      <w:r>
        <w:rPr>
          <w:spacing w:val="-6"/>
          <w:sz w:val="18"/>
        </w:rPr>
        <w:t> </w:t>
      </w:r>
      <w:r>
        <w:rPr>
          <w:sz w:val="18"/>
        </w:rPr>
        <w:t>2016</w:t>
      </w:r>
      <w:r>
        <w:rPr>
          <w:spacing w:val="-6"/>
          <w:sz w:val="18"/>
        </w:rPr>
        <w:t> </w:t>
      </w:r>
      <w:r>
        <w:rPr>
          <w:sz w:val="18"/>
        </w:rPr>
        <w:t>and</w:t>
      </w:r>
      <w:r>
        <w:rPr>
          <w:spacing w:val="-6"/>
          <w:sz w:val="18"/>
        </w:rPr>
        <w:t> </w:t>
      </w:r>
      <w:r>
        <w:rPr>
          <w:sz w:val="18"/>
        </w:rPr>
        <w:t>the</w:t>
      </w:r>
      <w:r>
        <w:rPr>
          <w:spacing w:val="-6"/>
          <w:sz w:val="18"/>
        </w:rPr>
        <w:t> </w:t>
      </w:r>
      <w:r>
        <w:rPr>
          <w:sz w:val="18"/>
        </w:rPr>
        <w:t>Income</w:t>
      </w:r>
      <w:r>
        <w:rPr>
          <w:spacing w:val="-6"/>
          <w:sz w:val="18"/>
        </w:rPr>
        <w:t> </w:t>
      </w:r>
      <w:r>
        <w:rPr>
          <w:sz w:val="18"/>
        </w:rPr>
        <w:t>Statement</w:t>
      </w:r>
      <w:r>
        <w:rPr>
          <w:spacing w:val="-6"/>
          <w:sz w:val="18"/>
        </w:rPr>
        <w:t> </w:t>
      </w:r>
      <w:r>
        <w:rPr>
          <w:sz w:val="18"/>
        </w:rPr>
        <w:t>and</w:t>
      </w:r>
      <w:r>
        <w:rPr>
          <w:spacing w:val="-6"/>
          <w:sz w:val="18"/>
        </w:rPr>
        <w:t> </w:t>
      </w:r>
      <w:r>
        <w:rPr>
          <w:sz w:val="18"/>
        </w:rPr>
        <w:t>Statement</w:t>
      </w:r>
      <w:r>
        <w:rPr>
          <w:spacing w:val="-6"/>
          <w:sz w:val="18"/>
        </w:rPr>
        <w:t> </w:t>
      </w:r>
      <w:r>
        <w:rPr>
          <w:sz w:val="18"/>
        </w:rPr>
        <w:t>of</w:t>
      </w:r>
      <w:r>
        <w:rPr>
          <w:spacing w:val="-6"/>
          <w:sz w:val="18"/>
        </w:rPr>
        <w:t> </w:t>
      </w:r>
      <w:r>
        <w:rPr>
          <w:sz w:val="18"/>
        </w:rPr>
        <w:t>Comprehensive</w:t>
      </w:r>
      <w:r>
        <w:rPr>
          <w:spacing w:val="-6"/>
          <w:sz w:val="18"/>
        </w:rPr>
        <w:t> </w:t>
      </w:r>
      <w:r>
        <w:rPr>
          <w:sz w:val="18"/>
        </w:rPr>
        <w:t>Income</w:t>
      </w:r>
      <w:r>
        <w:rPr>
          <w:spacing w:val="-6"/>
          <w:sz w:val="18"/>
        </w:rPr>
        <w:t> </w:t>
      </w:r>
      <w:r>
        <w:rPr>
          <w:sz w:val="18"/>
        </w:rPr>
        <w:t>of the Group for the year then</w:t>
      </w:r>
      <w:r>
        <w:rPr>
          <w:spacing w:val="-29"/>
          <w:sz w:val="18"/>
        </w:rPr>
        <w:t> </w:t>
      </w:r>
      <w:r>
        <w:rPr>
          <w:sz w:val="18"/>
        </w:rPr>
        <w:t>ended.</w:t>
      </w:r>
    </w:p>
    <w:p>
      <w:pPr>
        <w:pStyle w:val="BodyText"/>
        <w:spacing w:before="11"/>
        <w:rPr>
          <w:sz w:val="24"/>
        </w:rPr>
      </w:pPr>
    </w:p>
    <w:p>
      <w:pPr>
        <w:pStyle w:val="ListParagraph"/>
        <w:numPr>
          <w:ilvl w:val="0"/>
          <w:numId w:val="1"/>
        </w:numPr>
        <w:tabs>
          <w:tab w:pos="1698" w:val="left" w:leader="none"/>
        </w:tabs>
        <w:spacing w:line="240" w:lineRule="auto" w:before="0" w:after="0"/>
        <w:ind w:left="1428" w:right="1401" w:firstLine="0"/>
        <w:jc w:val="left"/>
        <w:rPr>
          <w:sz w:val="18"/>
        </w:rPr>
      </w:pPr>
      <w:r>
        <w:rPr>
          <w:sz w:val="18"/>
        </w:rPr>
        <w:t>The</w:t>
      </w:r>
      <w:r>
        <w:rPr>
          <w:spacing w:val="-6"/>
          <w:sz w:val="18"/>
        </w:rPr>
        <w:t> </w:t>
      </w:r>
      <w:r>
        <w:rPr>
          <w:sz w:val="18"/>
        </w:rPr>
        <w:t>financial</w:t>
      </w:r>
      <w:r>
        <w:rPr>
          <w:spacing w:val="-6"/>
          <w:sz w:val="18"/>
        </w:rPr>
        <w:t> </w:t>
      </w:r>
      <w:r>
        <w:rPr>
          <w:sz w:val="18"/>
        </w:rPr>
        <w:t>statements</w:t>
      </w:r>
      <w:r>
        <w:rPr>
          <w:spacing w:val="-6"/>
          <w:sz w:val="18"/>
        </w:rPr>
        <w:t> </w:t>
      </w:r>
      <w:r>
        <w:rPr>
          <w:sz w:val="18"/>
        </w:rPr>
        <w:t>have</w:t>
      </w:r>
      <w:r>
        <w:rPr>
          <w:spacing w:val="-6"/>
          <w:sz w:val="18"/>
        </w:rPr>
        <w:t> </w:t>
      </w:r>
      <w:r>
        <w:rPr>
          <w:sz w:val="18"/>
        </w:rPr>
        <w:t>been</w:t>
      </w:r>
      <w:r>
        <w:rPr>
          <w:spacing w:val="-6"/>
          <w:sz w:val="18"/>
        </w:rPr>
        <w:t> </w:t>
      </w:r>
      <w:r>
        <w:rPr>
          <w:sz w:val="18"/>
        </w:rPr>
        <w:t>prepared</w:t>
      </w:r>
      <w:r>
        <w:rPr>
          <w:spacing w:val="-6"/>
          <w:sz w:val="18"/>
        </w:rPr>
        <w:t> </w:t>
      </w:r>
      <w:r>
        <w:rPr>
          <w:sz w:val="18"/>
        </w:rPr>
        <w:t>in</w:t>
      </w:r>
      <w:r>
        <w:rPr>
          <w:spacing w:val="-6"/>
          <w:sz w:val="18"/>
        </w:rPr>
        <w:t> </w:t>
      </w:r>
      <w:r>
        <w:rPr>
          <w:sz w:val="18"/>
        </w:rPr>
        <w:t>accordance</w:t>
      </w:r>
      <w:r>
        <w:rPr>
          <w:spacing w:val="-6"/>
          <w:sz w:val="18"/>
        </w:rPr>
        <w:t> </w:t>
      </w:r>
      <w:r>
        <w:rPr>
          <w:sz w:val="18"/>
        </w:rPr>
        <w:t>with</w:t>
      </w:r>
      <w:r>
        <w:rPr>
          <w:spacing w:val="-6"/>
          <w:sz w:val="18"/>
        </w:rPr>
        <w:t> </w:t>
      </w:r>
      <w:r>
        <w:rPr>
          <w:sz w:val="18"/>
        </w:rPr>
        <w:t>the</w:t>
      </w:r>
      <w:r>
        <w:rPr>
          <w:spacing w:val="-6"/>
          <w:sz w:val="18"/>
        </w:rPr>
        <w:t> </w:t>
      </w:r>
      <w:r>
        <w:rPr>
          <w:sz w:val="18"/>
        </w:rPr>
        <w:t>provisions</w:t>
      </w:r>
      <w:r>
        <w:rPr>
          <w:spacing w:val="-6"/>
          <w:sz w:val="18"/>
        </w:rPr>
        <w:t> </w:t>
      </w:r>
      <w:r>
        <w:rPr>
          <w:sz w:val="18"/>
        </w:rPr>
        <w:t>of</w:t>
      </w:r>
      <w:r>
        <w:rPr>
          <w:spacing w:val="-6"/>
          <w:sz w:val="18"/>
        </w:rPr>
        <w:t> </w:t>
      </w:r>
      <w:r>
        <w:rPr>
          <w:sz w:val="18"/>
        </w:rPr>
        <w:t>the</w:t>
      </w:r>
      <w:r>
        <w:rPr>
          <w:spacing w:val="-6"/>
          <w:sz w:val="18"/>
        </w:rPr>
        <w:t> </w:t>
      </w:r>
      <w:r>
        <w:rPr>
          <w:i/>
          <w:sz w:val="18"/>
        </w:rPr>
        <w:t>Public</w:t>
      </w:r>
      <w:r>
        <w:rPr>
          <w:i/>
          <w:spacing w:val="-6"/>
          <w:sz w:val="18"/>
        </w:rPr>
        <w:t> </w:t>
      </w:r>
      <w:r>
        <w:rPr>
          <w:i/>
          <w:sz w:val="18"/>
        </w:rPr>
        <w:t>Finance</w:t>
      </w:r>
      <w:r>
        <w:rPr>
          <w:i/>
          <w:spacing w:val="-6"/>
          <w:sz w:val="18"/>
        </w:rPr>
        <w:t> </w:t>
      </w:r>
      <w:r>
        <w:rPr>
          <w:i/>
          <w:sz w:val="18"/>
        </w:rPr>
        <w:t>and</w:t>
      </w:r>
      <w:r>
        <w:rPr>
          <w:i/>
          <w:spacing w:val="-6"/>
          <w:sz w:val="18"/>
        </w:rPr>
        <w:t> </w:t>
      </w:r>
      <w:r>
        <w:rPr>
          <w:i/>
          <w:sz w:val="18"/>
        </w:rPr>
        <w:t>Audit</w:t>
      </w:r>
      <w:r>
        <w:rPr>
          <w:i/>
          <w:spacing w:val="-6"/>
          <w:sz w:val="18"/>
        </w:rPr>
        <w:t> </w:t>
      </w:r>
      <w:r>
        <w:rPr>
          <w:i/>
          <w:sz w:val="18"/>
        </w:rPr>
        <w:t>Act</w:t>
      </w:r>
      <w:r>
        <w:rPr>
          <w:i/>
          <w:spacing w:val="-6"/>
          <w:sz w:val="18"/>
        </w:rPr>
        <w:t> </w:t>
      </w:r>
      <w:r>
        <w:rPr>
          <w:i/>
          <w:sz w:val="18"/>
        </w:rPr>
        <w:t>1983</w:t>
      </w:r>
      <w:r>
        <w:rPr>
          <w:sz w:val="18"/>
        </w:rPr>
        <w:t>, the </w:t>
      </w:r>
      <w:r>
        <w:rPr>
          <w:i/>
          <w:sz w:val="18"/>
        </w:rPr>
        <w:t>Public Finance and Audit Regulation 2015 </w:t>
      </w:r>
      <w:r>
        <w:rPr>
          <w:sz w:val="18"/>
        </w:rPr>
        <w:t>and the </w:t>
      </w:r>
      <w:r>
        <w:rPr>
          <w:i/>
          <w:sz w:val="18"/>
        </w:rPr>
        <w:t>Financial Statement Guidelines for the Australian Higher Education </w:t>
      </w:r>
      <w:r>
        <w:rPr>
          <w:i/>
          <w:sz w:val="18"/>
        </w:rPr>
        <w:t>Providers</w:t>
      </w:r>
      <w:r>
        <w:rPr>
          <w:i/>
          <w:spacing w:val="-7"/>
          <w:sz w:val="18"/>
        </w:rPr>
        <w:t> </w:t>
      </w:r>
      <w:r>
        <w:rPr>
          <w:i/>
          <w:sz w:val="18"/>
        </w:rPr>
        <w:t>for</w:t>
      </w:r>
      <w:r>
        <w:rPr>
          <w:i/>
          <w:spacing w:val="-7"/>
          <w:sz w:val="18"/>
        </w:rPr>
        <w:t> </w:t>
      </w:r>
      <w:r>
        <w:rPr>
          <w:i/>
          <w:sz w:val="18"/>
        </w:rPr>
        <w:t>the</w:t>
      </w:r>
      <w:r>
        <w:rPr>
          <w:i/>
          <w:spacing w:val="-6"/>
          <w:sz w:val="18"/>
        </w:rPr>
        <w:t> </w:t>
      </w:r>
      <w:r>
        <w:rPr>
          <w:i/>
          <w:sz w:val="18"/>
        </w:rPr>
        <w:t>2016</w:t>
      </w:r>
      <w:r>
        <w:rPr>
          <w:i/>
          <w:spacing w:val="-7"/>
          <w:sz w:val="18"/>
        </w:rPr>
        <w:t> </w:t>
      </w:r>
      <w:r>
        <w:rPr>
          <w:i/>
          <w:sz w:val="18"/>
        </w:rPr>
        <w:t>Reporting</w:t>
      </w:r>
      <w:r>
        <w:rPr>
          <w:i/>
          <w:spacing w:val="-7"/>
          <w:sz w:val="18"/>
        </w:rPr>
        <w:t> </w:t>
      </w:r>
      <w:r>
        <w:rPr>
          <w:i/>
          <w:sz w:val="18"/>
        </w:rPr>
        <w:t>Period</w:t>
      </w:r>
      <w:r>
        <w:rPr>
          <w:i/>
          <w:spacing w:val="-7"/>
          <w:sz w:val="18"/>
        </w:rPr>
        <w:t> </w:t>
      </w:r>
      <w:r>
        <w:rPr>
          <w:sz w:val="18"/>
        </w:rPr>
        <w:t>issued</w:t>
      </w:r>
      <w:r>
        <w:rPr>
          <w:spacing w:val="-7"/>
          <w:sz w:val="18"/>
        </w:rPr>
        <w:t> </w:t>
      </w:r>
      <w:r>
        <w:rPr>
          <w:sz w:val="18"/>
        </w:rPr>
        <w:t>by</w:t>
      </w:r>
      <w:r>
        <w:rPr>
          <w:spacing w:val="-7"/>
          <w:sz w:val="18"/>
        </w:rPr>
        <w:t> </w:t>
      </w:r>
      <w:r>
        <w:rPr>
          <w:sz w:val="18"/>
        </w:rPr>
        <w:t>the</w:t>
      </w:r>
      <w:r>
        <w:rPr>
          <w:spacing w:val="-7"/>
          <w:sz w:val="18"/>
        </w:rPr>
        <w:t> </w:t>
      </w:r>
      <w:r>
        <w:rPr>
          <w:sz w:val="18"/>
        </w:rPr>
        <w:t>Department</w:t>
      </w:r>
      <w:r>
        <w:rPr>
          <w:spacing w:val="-7"/>
          <w:sz w:val="18"/>
        </w:rPr>
        <w:t> </w:t>
      </w:r>
      <w:r>
        <w:rPr>
          <w:sz w:val="18"/>
        </w:rPr>
        <w:t>of</w:t>
      </w:r>
      <w:r>
        <w:rPr>
          <w:spacing w:val="-7"/>
          <w:sz w:val="18"/>
        </w:rPr>
        <w:t> </w:t>
      </w:r>
      <w:r>
        <w:rPr>
          <w:sz w:val="18"/>
        </w:rPr>
        <w:t>Education</w:t>
      </w:r>
      <w:r>
        <w:rPr>
          <w:spacing w:val="-7"/>
          <w:sz w:val="18"/>
        </w:rPr>
        <w:t> </w:t>
      </w:r>
      <w:r>
        <w:rPr>
          <w:sz w:val="18"/>
        </w:rPr>
        <w:t>and</w:t>
      </w:r>
      <w:r>
        <w:rPr>
          <w:spacing w:val="-7"/>
          <w:sz w:val="18"/>
        </w:rPr>
        <w:t> </w:t>
      </w:r>
      <w:r>
        <w:rPr>
          <w:sz w:val="18"/>
        </w:rPr>
        <w:t>Training.</w:t>
      </w:r>
    </w:p>
    <w:p>
      <w:pPr>
        <w:pStyle w:val="BodyText"/>
        <w:spacing w:before="11"/>
        <w:rPr>
          <w:sz w:val="24"/>
        </w:rPr>
      </w:pPr>
    </w:p>
    <w:p>
      <w:pPr>
        <w:pStyle w:val="ListParagraph"/>
        <w:numPr>
          <w:ilvl w:val="0"/>
          <w:numId w:val="1"/>
        </w:numPr>
        <w:tabs>
          <w:tab w:pos="1688" w:val="left" w:leader="none"/>
        </w:tabs>
        <w:spacing w:line="240" w:lineRule="auto" w:before="0" w:after="0"/>
        <w:ind w:left="1428" w:right="1584" w:firstLine="0"/>
        <w:jc w:val="both"/>
        <w:rPr>
          <w:sz w:val="18"/>
        </w:rPr>
      </w:pPr>
      <w:r>
        <w:rPr>
          <w:sz w:val="18"/>
        </w:rPr>
        <w:t>The</w:t>
      </w:r>
      <w:r>
        <w:rPr>
          <w:spacing w:val="-7"/>
          <w:sz w:val="18"/>
        </w:rPr>
        <w:t> </w:t>
      </w:r>
      <w:r>
        <w:rPr>
          <w:sz w:val="18"/>
        </w:rPr>
        <w:t>financial</w:t>
      </w:r>
      <w:r>
        <w:rPr>
          <w:spacing w:val="-7"/>
          <w:sz w:val="18"/>
        </w:rPr>
        <w:t> </w:t>
      </w:r>
      <w:r>
        <w:rPr>
          <w:sz w:val="18"/>
        </w:rPr>
        <w:t>statements</w:t>
      </w:r>
      <w:r>
        <w:rPr>
          <w:spacing w:val="-7"/>
          <w:sz w:val="18"/>
        </w:rPr>
        <w:t> </w:t>
      </w:r>
      <w:r>
        <w:rPr>
          <w:sz w:val="18"/>
        </w:rPr>
        <w:t>have</w:t>
      </w:r>
      <w:r>
        <w:rPr>
          <w:spacing w:val="-7"/>
          <w:sz w:val="18"/>
        </w:rPr>
        <w:t> </w:t>
      </w:r>
      <w:r>
        <w:rPr>
          <w:sz w:val="18"/>
        </w:rPr>
        <w:t>been</w:t>
      </w:r>
      <w:r>
        <w:rPr>
          <w:spacing w:val="-7"/>
          <w:sz w:val="18"/>
        </w:rPr>
        <w:t> </w:t>
      </w:r>
      <w:r>
        <w:rPr>
          <w:sz w:val="18"/>
        </w:rPr>
        <w:t>prepared</w:t>
      </w:r>
      <w:r>
        <w:rPr>
          <w:spacing w:val="-7"/>
          <w:sz w:val="18"/>
        </w:rPr>
        <w:t> </w:t>
      </w:r>
      <w:r>
        <w:rPr>
          <w:sz w:val="18"/>
        </w:rPr>
        <w:t>in</w:t>
      </w:r>
      <w:r>
        <w:rPr>
          <w:spacing w:val="-7"/>
          <w:sz w:val="18"/>
        </w:rPr>
        <w:t> </w:t>
      </w:r>
      <w:r>
        <w:rPr>
          <w:sz w:val="18"/>
        </w:rPr>
        <w:t>accordance</w:t>
      </w:r>
      <w:r>
        <w:rPr>
          <w:spacing w:val="-7"/>
          <w:sz w:val="18"/>
        </w:rPr>
        <w:t> </w:t>
      </w:r>
      <w:r>
        <w:rPr>
          <w:sz w:val="18"/>
        </w:rPr>
        <w:t>with</w:t>
      </w:r>
      <w:r>
        <w:rPr>
          <w:spacing w:val="-7"/>
          <w:sz w:val="18"/>
        </w:rPr>
        <w:t> </w:t>
      </w:r>
      <w:r>
        <w:rPr>
          <w:sz w:val="18"/>
        </w:rPr>
        <w:t>applicable</w:t>
      </w:r>
      <w:r>
        <w:rPr>
          <w:spacing w:val="-7"/>
          <w:sz w:val="18"/>
        </w:rPr>
        <w:t> </w:t>
      </w:r>
      <w:r>
        <w:rPr>
          <w:sz w:val="18"/>
        </w:rPr>
        <w:t>Australian</w:t>
      </w:r>
      <w:r>
        <w:rPr>
          <w:spacing w:val="-7"/>
          <w:sz w:val="18"/>
        </w:rPr>
        <w:t> </w:t>
      </w:r>
      <w:r>
        <w:rPr>
          <w:sz w:val="18"/>
        </w:rPr>
        <w:t>Accounting</w:t>
      </w:r>
      <w:r>
        <w:rPr>
          <w:spacing w:val="-7"/>
          <w:sz w:val="18"/>
        </w:rPr>
        <w:t> </w:t>
      </w:r>
      <w:r>
        <w:rPr>
          <w:sz w:val="18"/>
        </w:rPr>
        <w:t>Standards</w:t>
      </w:r>
      <w:r>
        <w:rPr>
          <w:spacing w:val="-7"/>
          <w:sz w:val="18"/>
        </w:rPr>
        <w:t> </w:t>
      </w:r>
      <w:r>
        <w:rPr>
          <w:sz w:val="18"/>
        </w:rPr>
        <w:t>and</w:t>
      </w:r>
      <w:r>
        <w:rPr>
          <w:spacing w:val="-7"/>
          <w:sz w:val="18"/>
        </w:rPr>
        <w:t> </w:t>
      </w:r>
      <w:r>
        <w:rPr>
          <w:sz w:val="18"/>
        </w:rPr>
        <w:t>other mandatory</w:t>
      </w:r>
      <w:r>
        <w:rPr>
          <w:spacing w:val="-8"/>
          <w:sz w:val="18"/>
        </w:rPr>
        <w:t> </w:t>
      </w:r>
      <w:r>
        <w:rPr>
          <w:sz w:val="18"/>
        </w:rPr>
        <w:t>authoritative</w:t>
      </w:r>
      <w:r>
        <w:rPr>
          <w:spacing w:val="-8"/>
          <w:sz w:val="18"/>
        </w:rPr>
        <w:t> </w:t>
      </w:r>
      <w:r>
        <w:rPr>
          <w:sz w:val="18"/>
        </w:rPr>
        <w:t>pronouncements</w:t>
      </w:r>
      <w:r>
        <w:rPr>
          <w:spacing w:val="-8"/>
          <w:sz w:val="18"/>
        </w:rPr>
        <w:t> </w:t>
      </w:r>
      <w:r>
        <w:rPr>
          <w:sz w:val="18"/>
        </w:rPr>
        <w:t>and</w:t>
      </w:r>
      <w:r>
        <w:rPr>
          <w:spacing w:val="-8"/>
          <w:sz w:val="18"/>
        </w:rPr>
        <w:t> </w:t>
      </w:r>
      <w:r>
        <w:rPr>
          <w:sz w:val="18"/>
        </w:rPr>
        <w:t>interpretations</w:t>
      </w:r>
      <w:r>
        <w:rPr>
          <w:spacing w:val="-8"/>
          <w:sz w:val="18"/>
        </w:rPr>
        <w:t> </w:t>
      </w:r>
      <w:r>
        <w:rPr>
          <w:sz w:val="18"/>
        </w:rPr>
        <w:t>of</w:t>
      </w:r>
      <w:r>
        <w:rPr>
          <w:spacing w:val="-8"/>
          <w:sz w:val="18"/>
        </w:rPr>
        <w:t> </w:t>
      </w:r>
      <w:r>
        <w:rPr>
          <w:sz w:val="18"/>
        </w:rPr>
        <w:t>the</w:t>
      </w:r>
      <w:r>
        <w:rPr>
          <w:spacing w:val="-8"/>
          <w:sz w:val="18"/>
        </w:rPr>
        <w:t> </w:t>
      </w:r>
      <w:r>
        <w:rPr>
          <w:sz w:val="18"/>
        </w:rPr>
        <w:t>Australian</w:t>
      </w:r>
      <w:r>
        <w:rPr>
          <w:spacing w:val="-8"/>
          <w:sz w:val="18"/>
        </w:rPr>
        <w:t> </w:t>
      </w:r>
      <w:r>
        <w:rPr>
          <w:sz w:val="18"/>
        </w:rPr>
        <w:t>Accounting</w:t>
      </w:r>
      <w:r>
        <w:rPr>
          <w:spacing w:val="-8"/>
          <w:sz w:val="18"/>
        </w:rPr>
        <w:t> </w:t>
      </w:r>
      <w:r>
        <w:rPr>
          <w:sz w:val="18"/>
        </w:rPr>
        <w:t>Standards</w:t>
      </w:r>
      <w:r>
        <w:rPr>
          <w:spacing w:val="-8"/>
          <w:sz w:val="18"/>
        </w:rPr>
        <w:t> </w:t>
      </w:r>
      <w:r>
        <w:rPr>
          <w:sz w:val="18"/>
        </w:rPr>
        <w:t>Board,</w:t>
      </w:r>
      <w:r>
        <w:rPr>
          <w:spacing w:val="-8"/>
          <w:sz w:val="18"/>
        </w:rPr>
        <w:t> </w:t>
      </w:r>
      <w:r>
        <w:rPr>
          <w:sz w:val="18"/>
        </w:rPr>
        <w:t>some</w:t>
      </w:r>
      <w:r>
        <w:rPr>
          <w:spacing w:val="-8"/>
          <w:sz w:val="18"/>
        </w:rPr>
        <w:t> </w:t>
      </w:r>
      <w:r>
        <w:rPr>
          <w:sz w:val="18"/>
        </w:rPr>
        <w:t>of</w:t>
      </w:r>
      <w:r>
        <w:rPr>
          <w:spacing w:val="-8"/>
          <w:sz w:val="18"/>
        </w:rPr>
        <w:t> </w:t>
      </w:r>
      <w:r>
        <w:rPr>
          <w:sz w:val="18"/>
        </w:rPr>
        <w:t>which contain</w:t>
      </w:r>
      <w:r>
        <w:rPr>
          <w:spacing w:val="-9"/>
          <w:sz w:val="18"/>
        </w:rPr>
        <w:t> </w:t>
      </w:r>
      <w:r>
        <w:rPr>
          <w:sz w:val="18"/>
        </w:rPr>
        <w:t>requirements</w:t>
      </w:r>
      <w:r>
        <w:rPr>
          <w:spacing w:val="-9"/>
          <w:sz w:val="18"/>
        </w:rPr>
        <w:t> </w:t>
      </w:r>
      <w:r>
        <w:rPr>
          <w:sz w:val="18"/>
        </w:rPr>
        <w:t>specific</w:t>
      </w:r>
      <w:r>
        <w:rPr>
          <w:spacing w:val="-9"/>
          <w:sz w:val="18"/>
        </w:rPr>
        <w:t> </w:t>
      </w:r>
      <w:r>
        <w:rPr>
          <w:sz w:val="18"/>
        </w:rPr>
        <w:t>to</w:t>
      </w:r>
      <w:r>
        <w:rPr>
          <w:spacing w:val="-9"/>
          <w:sz w:val="18"/>
        </w:rPr>
        <w:t> </w:t>
      </w:r>
      <w:r>
        <w:rPr>
          <w:sz w:val="18"/>
        </w:rPr>
        <w:t>not-for-profit</w:t>
      </w:r>
      <w:r>
        <w:rPr>
          <w:spacing w:val="-9"/>
          <w:sz w:val="18"/>
        </w:rPr>
        <w:t> </w:t>
      </w:r>
      <w:r>
        <w:rPr>
          <w:sz w:val="18"/>
        </w:rPr>
        <w:t>entities</w:t>
      </w:r>
      <w:r>
        <w:rPr>
          <w:spacing w:val="-9"/>
          <w:sz w:val="18"/>
        </w:rPr>
        <w:t> </w:t>
      </w:r>
      <w:r>
        <w:rPr>
          <w:sz w:val="18"/>
        </w:rPr>
        <w:t>that</w:t>
      </w:r>
      <w:r>
        <w:rPr>
          <w:spacing w:val="-9"/>
          <w:sz w:val="18"/>
        </w:rPr>
        <w:t> </w:t>
      </w:r>
      <w:r>
        <w:rPr>
          <w:sz w:val="18"/>
        </w:rPr>
        <w:t>are</w:t>
      </w:r>
      <w:r>
        <w:rPr>
          <w:spacing w:val="-9"/>
          <w:sz w:val="18"/>
        </w:rPr>
        <w:t> </w:t>
      </w:r>
      <w:r>
        <w:rPr>
          <w:sz w:val="18"/>
        </w:rPr>
        <w:t>inconsistent</w:t>
      </w:r>
      <w:r>
        <w:rPr>
          <w:spacing w:val="-9"/>
          <w:sz w:val="18"/>
        </w:rPr>
        <w:t> </w:t>
      </w:r>
      <w:r>
        <w:rPr>
          <w:sz w:val="18"/>
        </w:rPr>
        <w:t>with</w:t>
      </w:r>
      <w:r>
        <w:rPr>
          <w:spacing w:val="-9"/>
          <w:sz w:val="18"/>
        </w:rPr>
        <w:t> </w:t>
      </w:r>
      <w:r>
        <w:rPr>
          <w:sz w:val="18"/>
        </w:rPr>
        <w:t>IFRS</w:t>
      </w:r>
      <w:r>
        <w:rPr>
          <w:spacing w:val="-9"/>
          <w:sz w:val="18"/>
        </w:rPr>
        <w:t> </w:t>
      </w:r>
      <w:r>
        <w:rPr>
          <w:sz w:val="18"/>
        </w:rPr>
        <w:t>requirements.</w:t>
      </w:r>
    </w:p>
    <w:p>
      <w:pPr>
        <w:pStyle w:val="BodyText"/>
        <w:spacing w:before="11"/>
        <w:rPr>
          <w:sz w:val="24"/>
        </w:rPr>
      </w:pPr>
    </w:p>
    <w:p>
      <w:pPr>
        <w:pStyle w:val="ListParagraph"/>
        <w:numPr>
          <w:ilvl w:val="0"/>
          <w:numId w:val="1"/>
        </w:numPr>
        <w:tabs>
          <w:tab w:pos="1698" w:val="left" w:leader="none"/>
        </w:tabs>
        <w:spacing w:line="240" w:lineRule="auto" w:before="0" w:after="0"/>
        <w:ind w:left="1428" w:right="1793" w:firstLine="0"/>
        <w:jc w:val="left"/>
        <w:rPr>
          <w:sz w:val="18"/>
        </w:rPr>
      </w:pPr>
      <w:r>
        <w:rPr>
          <w:sz w:val="18"/>
        </w:rPr>
        <w:t>We</w:t>
      </w:r>
      <w:r>
        <w:rPr>
          <w:spacing w:val="-6"/>
          <w:sz w:val="18"/>
        </w:rPr>
        <w:t> </w:t>
      </w:r>
      <w:r>
        <w:rPr>
          <w:sz w:val="18"/>
        </w:rPr>
        <w:t>are</w:t>
      </w:r>
      <w:r>
        <w:rPr>
          <w:spacing w:val="-6"/>
          <w:sz w:val="18"/>
        </w:rPr>
        <w:t> </w:t>
      </w:r>
      <w:r>
        <w:rPr>
          <w:sz w:val="18"/>
        </w:rPr>
        <w:t>not</w:t>
      </w:r>
      <w:r>
        <w:rPr>
          <w:spacing w:val="-6"/>
          <w:sz w:val="18"/>
        </w:rPr>
        <w:t> </w:t>
      </w:r>
      <w:r>
        <w:rPr>
          <w:sz w:val="18"/>
        </w:rPr>
        <w:t>aware</w:t>
      </w:r>
      <w:r>
        <w:rPr>
          <w:spacing w:val="-6"/>
          <w:sz w:val="18"/>
        </w:rPr>
        <w:t> </w:t>
      </w:r>
      <w:r>
        <w:rPr>
          <w:sz w:val="18"/>
        </w:rPr>
        <w:t>of</w:t>
      </w:r>
      <w:r>
        <w:rPr>
          <w:spacing w:val="-6"/>
          <w:sz w:val="18"/>
        </w:rPr>
        <w:t> </w:t>
      </w:r>
      <w:r>
        <w:rPr>
          <w:sz w:val="18"/>
        </w:rPr>
        <w:t>any</w:t>
      </w:r>
      <w:r>
        <w:rPr>
          <w:spacing w:val="-6"/>
          <w:sz w:val="18"/>
        </w:rPr>
        <w:t> </w:t>
      </w:r>
      <w:r>
        <w:rPr>
          <w:sz w:val="18"/>
        </w:rPr>
        <w:t>circumstances</w:t>
      </w:r>
      <w:r>
        <w:rPr>
          <w:spacing w:val="-6"/>
          <w:sz w:val="18"/>
        </w:rPr>
        <w:t> </w:t>
      </w:r>
      <w:r>
        <w:rPr>
          <w:sz w:val="18"/>
        </w:rPr>
        <w:t>which</w:t>
      </w:r>
      <w:r>
        <w:rPr>
          <w:spacing w:val="-6"/>
          <w:sz w:val="18"/>
        </w:rPr>
        <w:t> </w:t>
      </w:r>
      <w:r>
        <w:rPr>
          <w:sz w:val="18"/>
        </w:rPr>
        <w:t>would</w:t>
      </w:r>
      <w:r>
        <w:rPr>
          <w:spacing w:val="-6"/>
          <w:sz w:val="18"/>
        </w:rPr>
        <w:t> </w:t>
      </w:r>
      <w:r>
        <w:rPr>
          <w:sz w:val="18"/>
        </w:rPr>
        <w:t>render</w:t>
      </w:r>
      <w:r>
        <w:rPr>
          <w:spacing w:val="-6"/>
          <w:sz w:val="18"/>
        </w:rPr>
        <w:t> </w:t>
      </w:r>
      <w:r>
        <w:rPr>
          <w:sz w:val="18"/>
        </w:rPr>
        <w:t>any</w:t>
      </w:r>
      <w:r>
        <w:rPr>
          <w:spacing w:val="-6"/>
          <w:sz w:val="18"/>
        </w:rPr>
        <w:t> </w:t>
      </w:r>
      <w:r>
        <w:rPr>
          <w:sz w:val="18"/>
        </w:rPr>
        <w:t>particulars</w:t>
      </w:r>
      <w:r>
        <w:rPr>
          <w:spacing w:val="-6"/>
          <w:sz w:val="18"/>
        </w:rPr>
        <w:t> </w:t>
      </w:r>
      <w:r>
        <w:rPr>
          <w:sz w:val="18"/>
        </w:rPr>
        <w:t>included</w:t>
      </w:r>
      <w:r>
        <w:rPr>
          <w:spacing w:val="-6"/>
          <w:sz w:val="18"/>
        </w:rPr>
        <w:t> </w:t>
      </w:r>
      <w:r>
        <w:rPr>
          <w:sz w:val="18"/>
        </w:rPr>
        <w:t>in</w:t>
      </w:r>
      <w:r>
        <w:rPr>
          <w:spacing w:val="-6"/>
          <w:sz w:val="18"/>
        </w:rPr>
        <w:t> </w:t>
      </w:r>
      <w:r>
        <w:rPr>
          <w:sz w:val="18"/>
        </w:rPr>
        <w:t>the</w:t>
      </w:r>
      <w:r>
        <w:rPr>
          <w:spacing w:val="-6"/>
          <w:sz w:val="18"/>
        </w:rPr>
        <w:t> </w:t>
      </w:r>
      <w:r>
        <w:rPr>
          <w:sz w:val="18"/>
        </w:rPr>
        <w:t>financial</w:t>
      </w:r>
      <w:r>
        <w:rPr>
          <w:spacing w:val="-6"/>
          <w:sz w:val="18"/>
        </w:rPr>
        <w:t> </w:t>
      </w:r>
      <w:r>
        <w:rPr>
          <w:sz w:val="18"/>
        </w:rPr>
        <w:t>statements</w:t>
      </w:r>
      <w:r>
        <w:rPr>
          <w:spacing w:val="-6"/>
          <w:sz w:val="18"/>
        </w:rPr>
        <w:t> </w:t>
      </w:r>
      <w:r>
        <w:rPr>
          <w:sz w:val="18"/>
        </w:rPr>
        <w:t>to</w:t>
      </w:r>
      <w:r>
        <w:rPr>
          <w:spacing w:val="-6"/>
          <w:sz w:val="18"/>
        </w:rPr>
        <w:t> </w:t>
      </w:r>
      <w:r>
        <w:rPr>
          <w:sz w:val="18"/>
        </w:rPr>
        <w:t>be misleading or</w:t>
      </w:r>
      <w:r>
        <w:rPr>
          <w:spacing w:val="-24"/>
          <w:sz w:val="18"/>
        </w:rPr>
        <w:t> </w:t>
      </w:r>
      <w:r>
        <w:rPr>
          <w:sz w:val="18"/>
        </w:rPr>
        <w:t>inaccurate.</w:t>
      </w:r>
    </w:p>
    <w:p>
      <w:pPr>
        <w:pStyle w:val="BodyText"/>
        <w:spacing w:before="11"/>
        <w:rPr>
          <w:sz w:val="24"/>
        </w:rPr>
      </w:pPr>
    </w:p>
    <w:p>
      <w:pPr>
        <w:pStyle w:val="ListParagraph"/>
        <w:numPr>
          <w:ilvl w:val="0"/>
          <w:numId w:val="1"/>
        </w:numPr>
        <w:tabs>
          <w:tab w:pos="1698" w:val="left" w:leader="none"/>
        </w:tabs>
        <w:spacing w:line="240" w:lineRule="auto" w:before="0" w:after="0"/>
        <w:ind w:left="1697" w:right="0" w:hanging="269"/>
        <w:jc w:val="left"/>
        <w:rPr>
          <w:sz w:val="18"/>
        </w:rPr>
      </w:pPr>
      <w:r>
        <w:rPr/>
        <w:pict>
          <v:shape style="position:absolute;margin-left:70.744247pt;margin-top:22.9655pt;width:483.4pt;height:163.95pt;mso-position-horizontal-relative:page;mso-position-vertical-relative:paragraph;z-index:-1206880" type="#_x0000_t202" filled="false" stroked="false">
            <v:textbox inset="0,0,0,0">
              <w:txbxContent>
                <w:p>
                  <w:pPr>
                    <w:pStyle w:val="BodyText"/>
                  </w:pPr>
                </w:p>
                <w:p>
                  <w:pPr>
                    <w:pStyle w:val="BodyText"/>
                  </w:pPr>
                </w:p>
                <w:p>
                  <w:pPr>
                    <w:pStyle w:val="BodyText"/>
                  </w:pPr>
                </w:p>
                <w:p>
                  <w:pPr>
                    <w:pStyle w:val="BodyText"/>
                  </w:pPr>
                </w:p>
                <w:p>
                  <w:pPr>
                    <w:pStyle w:val="BodyText"/>
                  </w:pPr>
                </w:p>
                <w:p>
                  <w:pPr>
                    <w:pStyle w:val="BodyText"/>
                  </w:pPr>
                </w:p>
                <w:p>
                  <w:pPr>
                    <w:pStyle w:val="BodyText"/>
                    <w:rPr>
                      <w:sz w:val="24"/>
                    </w:rPr>
                  </w:pPr>
                </w:p>
                <w:p>
                  <w:pPr>
                    <w:pStyle w:val="BodyText"/>
                    <w:tabs>
                      <w:tab w:pos="5014" w:val="left" w:leader="none"/>
                    </w:tabs>
                    <w:ind w:left="55"/>
                  </w:pPr>
                  <w:r>
                    <w:rPr/>
                    <w:t>...........................................................................................</w:t>
                    <w:tab/>
                    <w:t>............................................................................................</w:t>
                  </w:r>
                </w:p>
                <w:p>
                  <w:pPr>
                    <w:pStyle w:val="BodyText"/>
                    <w:tabs>
                      <w:tab w:pos="5014" w:val="left" w:leader="none"/>
                    </w:tabs>
                    <w:spacing w:before="27"/>
                    <w:ind w:left="55"/>
                  </w:pPr>
                  <w:r>
                    <w:rPr/>
                    <w:t>Professor Peter</w:t>
                  </w:r>
                  <w:r>
                    <w:rPr>
                      <w:spacing w:val="-11"/>
                    </w:rPr>
                    <w:t> </w:t>
                  </w:r>
                  <w:r>
                    <w:rPr/>
                    <w:t>Shergold,</w:t>
                  </w:r>
                  <w:r>
                    <w:rPr>
                      <w:spacing w:val="-6"/>
                    </w:rPr>
                    <w:t> </w:t>
                  </w:r>
                  <w:r>
                    <w:rPr/>
                    <w:t>AC</w:t>
                    <w:tab/>
                    <w:t>Professor Barney</w:t>
                  </w:r>
                  <w:r>
                    <w:rPr>
                      <w:spacing w:val="-22"/>
                    </w:rPr>
                    <w:t> </w:t>
                  </w:r>
                  <w:r>
                    <w:rPr/>
                    <w:t>Glover</w:t>
                  </w:r>
                </w:p>
                <w:p>
                  <w:pPr>
                    <w:pStyle w:val="BodyText"/>
                    <w:tabs>
                      <w:tab w:pos="5014" w:val="left" w:leader="none"/>
                    </w:tabs>
                    <w:spacing w:before="54"/>
                    <w:ind w:left="55"/>
                  </w:pPr>
                  <w:r>
                    <w:rPr/>
                    <w:t>Chancellor</w:t>
                    <w:tab/>
                    <w:t>Vice Chancellor and</w:t>
                  </w:r>
                  <w:r>
                    <w:rPr>
                      <w:spacing w:val="-27"/>
                    </w:rPr>
                    <w:t> </w:t>
                  </w:r>
                  <w:r>
                    <w:rPr/>
                    <w:t>President</w:t>
                  </w:r>
                </w:p>
                <w:p>
                  <w:pPr>
                    <w:pStyle w:val="BodyText"/>
                  </w:pPr>
                </w:p>
                <w:p>
                  <w:pPr>
                    <w:pStyle w:val="BodyText"/>
                  </w:pPr>
                </w:p>
                <w:p>
                  <w:pPr>
                    <w:pStyle w:val="BodyText"/>
                  </w:pPr>
                </w:p>
                <w:p>
                  <w:pPr>
                    <w:pStyle w:val="BodyText"/>
                    <w:spacing w:before="4"/>
                    <w:rPr>
                      <w:sz w:val="16"/>
                    </w:rPr>
                  </w:pPr>
                </w:p>
                <w:p>
                  <w:pPr>
                    <w:pStyle w:val="BodyText"/>
                    <w:ind w:left="13"/>
                  </w:pPr>
                  <w:r>
                    <w:rPr/>
                    <w:t>Dated at Sydney 5 April 2017</w:t>
                  </w:r>
                </w:p>
              </w:txbxContent>
            </v:textbox>
            <w10:wrap type="none"/>
          </v:shape>
        </w:pict>
      </w:r>
      <w:r>
        <w:rPr/>
        <w:drawing>
          <wp:anchor distT="0" distB="0" distL="0" distR="0" allowOverlap="1" layoutInCell="1" locked="0" behindDoc="0" simplePos="0" relativeHeight="1480">
            <wp:simplePos x="0" y="0"/>
            <wp:positionH relativeFrom="page">
              <wp:posOffset>-1587</wp:posOffset>
            </wp:positionH>
            <wp:positionV relativeFrom="paragraph">
              <wp:posOffset>735252</wp:posOffset>
            </wp:positionV>
            <wp:extent cx="135159" cy="154019"/>
            <wp:effectExtent l="0" t="0" r="0" b="0"/>
            <wp:wrapNone/>
            <wp:docPr id="13" name="image13.png" descr=""/>
            <wp:cNvGraphicFramePr>
              <a:graphicFrameLocks noChangeAspect="1"/>
            </wp:cNvGraphicFramePr>
            <a:graphic>
              <a:graphicData uri="http://schemas.openxmlformats.org/drawingml/2006/picture">
                <pic:pic>
                  <pic:nvPicPr>
                    <pic:cNvPr id="14" name="image13.png"/>
                    <pic:cNvPicPr/>
                  </pic:nvPicPr>
                  <pic:blipFill>
                    <a:blip r:embed="rId18" cstate="print"/>
                    <a:stretch>
                      <a:fillRect/>
                    </a:stretch>
                  </pic:blipFill>
                  <pic:spPr>
                    <a:xfrm>
                      <a:off x="0" y="0"/>
                      <a:ext cx="135159" cy="154019"/>
                    </a:xfrm>
                    <a:prstGeom prst="rect">
                      <a:avLst/>
                    </a:prstGeom>
                  </pic:spPr>
                </pic:pic>
              </a:graphicData>
            </a:graphic>
          </wp:anchor>
        </w:drawing>
      </w:r>
      <w:r>
        <w:rPr/>
        <w:drawing>
          <wp:anchor distT="0" distB="0" distL="0" distR="0" allowOverlap="1" layoutInCell="1" locked="0" behindDoc="0" simplePos="0" relativeHeight="1504">
            <wp:simplePos x="0" y="0"/>
            <wp:positionH relativeFrom="page">
              <wp:posOffset>7958429</wp:posOffset>
            </wp:positionH>
            <wp:positionV relativeFrom="paragraph">
              <wp:posOffset>735252</wp:posOffset>
            </wp:positionV>
            <wp:extent cx="135953" cy="155575"/>
            <wp:effectExtent l="0" t="0" r="0" b="0"/>
            <wp:wrapNone/>
            <wp:docPr id="15" name="image15.png" descr=""/>
            <wp:cNvGraphicFramePr>
              <a:graphicFrameLocks noChangeAspect="1"/>
            </wp:cNvGraphicFramePr>
            <a:graphic>
              <a:graphicData uri="http://schemas.openxmlformats.org/drawingml/2006/picture">
                <pic:pic>
                  <pic:nvPicPr>
                    <pic:cNvPr id="16" name="image15.png"/>
                    <pic:cNvPicPr/>
                  </pic:nvPicPr>
                  <pic:blipFill>
                    <a:blip r:embed="rId20" cstate="print"/>
                    <a:stretch>
                      <a:fillRect/>
                    </a:stretch>
                  </pic:blipFill>
                  <pic:spPr>
                    <a:xfrm>
                      <a:off x="0" y="0"/>
                      <a:ext cx="135953" cy="155575"/>
                    </a:xfrm>
                    <a:prstGeom prst="rect">
                      <a:avLst/>
                    </a:prstGeom>
                  </pic:spPr>
                </pic:pic>
              </a:graphicData>
            </a:graphic>
          </wp:anchor>
        </w:drawing>
      </w:r>
      <w:r>
        <w:rPr>
          <w:sz w:val="18"/>
        </w:rPr>
        <w:t>There</w:t>
      </w:r>
      <w:r>
        <w:rPr>
          <w:spacing w:val="-5"/>
          <w:sz w:val="18"/>
        </w:rPr>
        <w:t> </w:t>
      </w:r>
      <w:r>
        <w:rPr>
          <w:sz w:val="18"/>
        </w:rPr>
        <w:t>are</w:t>
      </w:r>
      <w:r>
        <w:rPr>
          <w:spacing w:val="-5"/>
          <w:sz w:val="18"/>
        </w:rPr>
        <w:t> </w:t>
      </w:r>
      <w:r>
        <w:rPr>
          <w:sz w:val="18"/>
        </w:rPr>
        <w:t>reasonable</w:t>
      </w:r>
      <w:r>
        <w:rPr>
          <w:spacing w:val="-5"/>
          <w:sz w:val="18"/>
        </w:rPr>
        <w:t> </w:t>
      </w:r>
      <w:r>
        <w:rPr>
          <w:sz w:val="18"/>
        </w:rPr>
        <w:t>grounds</w:t>
      </w:r>
      <w:r>
        <w:rPr>
          <w:spacing w:val="-5"/>
          <w:sz w:val="18"/>
        </w:rPr>
        <w:t> </w:t>
      </w:r>
      <w:r>
        <w:rPr>
          <w:sz w:val="18"/>
        </w:rPr>
        <w:t>to</w:t>
      </w:r>
      <w:r>
        <w:rPr>
          <w:spacing w:val="-5"/>
          <w:sz w:val="18"/>
        </w:rPr>
        <w:t> </w:t>
      </w:r>
      <w:r>
        <w:rPr>
          <w:sz w:val="18"/>
        </w:rPr>
        <w:t>believe</w:t>
      </w:r>
      <w:r>
        <w:rPr>
          <w:spacing w:val="-5"/>
          <w:sz w:val="18"/>
        </w:rPr>
        <w:t> </w:t>
      </w:r>
      <w:r>
        <w:rPr>
          <w:sz w:val="18"/>
        </w:rPr>
        <w:t>that</w:t>
      </w:r>
      <w:r>
        <w:rPr>
          <w:spacing w:val="-5"/>
          <w:sz w:val="18"/>
        </w:rPr>
        <w:t> </w:t>
      </w:r>
      <w:r>
        <w:rPr>
          <w:sz w:val="18"/>
        </w:rPr>
        <w:t>the</w:t>
      </w:r>
      <w:r>
        <w:rPr>
          <w:spacing w:val="-5"/>
          <w:sz w:val="18"/>
        </w:rPr>
        <w:t> </w:t>
      </w:r>
      <w:r>
        <w:rPr>
          <w:sz w:val="18"/>
        </w:rPr>
        <w:t>Group</w:t>
      </w:r>
      <w:r>
        <w:rPr>
          <w:spacing w:val="-5"/>
          <w:sz w:val="18"/>
        </w:rPr>
        <w:t> </w:t>
      </w:r>
      <w:r>
        <w:rPr>
          <w:sz w:val="18"/>
        </w:rPr>
        <w:t>will</w:t>
      </w:r>
      <w:r>
        <w:rPr>
          <w:spacing w:val="-5"/>
          <w:sz w:val="18"/>
        </w:rPr>
        <w:t> </w:t>
      </w:r>
      <w:r>
        <w:rPr>
          <w:sz w:val="18"/>
        </w:rPr>
        <w:t>be</w:t>
      </w:r>
      <w:r>
        <w:rPr>
          <w:spacing w:val="-5"/>
          <w:sz w:val="18"/>
        </w:rPr>
        <w:t> </w:t>
      </w:r>
      <w:r>
        <w:rPr>
          <w:sz w:val="18"/>
        </w:rPr>
        <w:t>able</w:t>
      </w:r>
      <w:r>
        <w:rPr>
          <w:spacing w:val="-5"/>
          <w:sz w:val="18"/>
        </w:rPr>
        <w:t> </w:t>
      </w:r>
      <w:r>
        <w:rPr>
          <w:sz w:val="18"/>
        </w:rPr>
        <w:t>to</w:t>
      </w:r>
      <w:r>
        <w:rPr>
          <w:spacing w:val="-5"/>
          <w:sz w:val="18"/>
        </w:rPr>
        <w:t> </w:t>
      </w:r>
      <w:r>
        <w:rPr>
          <w:sz w:val="18"/>
        </w:rPr>
        <w:t>pay</w:t>
      </w:r>
      <w:r>
        <w:rPr>
          <w:spacing w:val="-5"/>
          <w:sz w:val="18"/>
        </w:rPr>
        <w:t> </w:t>
      </w:r>
      <w:r>
        <w:rPr>
          <w:sz w:val="18"/>
        </w:rPr>
        <w:t>its</w:t>
      </w:r>
      <w:r>
        <w:rPr>
          <w:spacing w:val="-5"/>
          <w:sz w:val="18"/>
        </w:rPr>
        <w:t> </w:t>
      </w:r>
      <w:r>
        <w:rPr>
          <w:sz w:val="18"/>
        </w:rPr>
        <w:t>debts</w:t>
      </w:r>
      <w:r>
        <w:rPr>
          <w:spacing w:val="-5"/>
          <w:sz w:val="18"/>
        </w:rPr>
        <w:t> </w:t>
      </w:r>
      <w:r>
        <w:rPr>
          <w:sz w:val="18"/>
        </w:rPr>
        <w:t>as</w:t>
      </w:r>
      <w:r>
        <w:rPr>
          <w:spacing w:val="-5"/>
          <w:sz w:val="18"/>
        </w:rPr>
        <w:t> </w:t>
      </w:r>
      <w:r>
        <w:rPr>
          <w:sz w:val="18"/>
        </w:rPr>
        <w:t>and</w:t>
      </w:r>
      <w:r>
        <w:rPr>
          <w:spacing w:val="-5"/>
          <w:sz w:val="18"/>
        </w:rPr>
        <w:t> </w:t>
      </w:r>
      <w:r>
        <w:rPr>
          <w:sz w:val="18"/>
        </w:rPr>
        <w:t>when</w:t>
      </w:r>
      <w:r>
        <w:rPr>
          <w:spacing w:val="-5"/>
          <w:sz w:val="18"/>
        </w:rPr>
        <w:t> </w:t>
      </w:r>
      <w:r>
        <w:rPr>
          <w:sz w:val="18"/>
        </w:rPr>
        <w:t>they</w:t>
      </w:r>
      <w:r>
        <w:rPr>
          <w:spacing w:val="-5"/>
          <w:sz w:val="18"/>
        </w:rPr>
        <w:t> </w:t>
      </w:r>
      <w:r>
        <w:rPr>
          <w:sz w:val="18"/>
        </w:rPr>
        <w:t>fall</w:t>
      </w:r>
      <w:r>
        <w:rPr>
          <w:spacing w:val="-5"/>
          <w:sz w:val="18"/>
        </w:rPr>
        <w:t> </w:t>
      </w:r>
      <w:r>
        <w:rPr>
          <w:sz w:val="18"/>
        </w:rPr>
        <w:t>due.</w:t>
      </w:r>
    </w:p>
    <w:p>
      <w:pPr>
        <w:pStyle w:val="BodyText"/>
        <w:spacing w:before="6"/>
      </w:pPr>
      <w:r>
        <w:rPr/>
        <w:drawing>
          <wp:anchor distT="0" distB="0" distL="0" distR="0" allowOverlap="1" layoutInCell="1" locked="0" behindDoc="0" simplePos="0" relativeHeight="1432">
            <wp:simplePos x="0" y="0"/>
            <wp:positionH relativeFrom="page">
              <wp:posOffset>898451</wp:posOffset>
            </wp:positionH>
            <wp:positionV relativeFrom="paragraph">
              <wp:posOffset>160228</wp:posOffset>
            </wp:positionV>
            <wp:extent cx="6059524" cy="2054923"/>
            <wp:effectExtent l="0" t="0" r="0" b="0"/>
            <wp:wrapTopAndBottom/>
            <wp:docPr id="17" name="image16.jpeg" descr=""/>
            <wp:cNvGraphicFramePr>
              <a:graphicFrameLocks noChangeAspect="1"/>
            </wp:cNvGraphicFramePr>
            <a:graphic>
              <a:graphicData uri="http://schemas.openxmlformats.org/drawingml/2006/picture">
                <pic:pic>
                  <pic:nvPicPr>
                    <pic:cNvPr id="18" name="image16.jpeg"/>
                    <pic:cNvPicPr/>
                  </pic:nvPicPr>
                  <pic:blipFill>
                    <a:blip r:embed="rId21" cstate="print"/>
                    <a:stretch>
                      <a:fillRect/>
                    </a:stretch>
                  </pic:blipFill>
                  <pic:spPr>
                    <a:xfrm>
                      <a:off x="0" y="0"/>
                      <a:ext cx="6059524" cy="2054923"/>
                    </a:xfrm>
                    <a:prstGeom prst="rect">
                      <a:avLst/>
                    </a:prstGeom>
                  </pic:spPr>
                </pic:pic>
              </a:graphicData>
            </a:graphic>
          </wp:anchor>
        </w:drawing>
      </w:r>
    </w:p>
    <w:p>
      <w:pPr>
        <w:spacing w:after="0"/>
        <w:sectPr>
          <w:pgSz w:w="12750" w:h="17680"/>
          <w:pgMar w:header="0" w:footer="867" w:top="420" w:bottom="1120" w:left="0" w:right="0"/>
        </w:sectPr>
      </w:pPr>
    </w:p>
    <w:p>
      <w:pPr>
        <w:pStyle w:val="BodyText"/>
        <w:rPr>
          <w:sz w:val="20"/>
        </w:rPr>
      </w:pPr>
      <w:r>
        <w:rPr/>
        <w:drawing>
          <wp:anchor distT="0" distB="0" distL="0" distR="0" allowOverlap="1" layoutInCell="1" locked="0" behindDoc="0" simplePos="0" relativeHeight="1576">
            <wp:simplePos x="0" y="0"/>
            <wp:positionH relativeFrom="page">
              <wp:posOffset>-1587</wp:posOffset>
            </wp:positionH>
            <wp:positionV relativeFrom="page">
              <wp:posOffset>5534342</wp:posOffset>
            </wp:positionV>
            <wp:extent cx="135159" cy="154019"/>
            <wp:effectExtent l="0" t="0" r="0" b="0"/>
            <wp:wrapNone/>
            <wp:docPr id="21" name="image13.png" descr=""/>
            <wp:cNvGraphicFramePr>
              <a:graphicFrameLocks noChangeAspect="1"/>
            </wp:cNvGraphicFramePr>
            <a:graphic>
              <a:graphicData uri="http://schemas.openxmlformats.org/drawingml/2006/picture">
                <pic:pic>
                  <pic:nvPicPr>
                    <pic:cNvPr id="22" name="image13.png"/>
                    <pic:cNvPicPr/>
                  </pic:nvPicPr>
                  <pic:blipFill>
                    <a:blip r:embed="rId18" cstate="print"/>
                    <a:stretch>
                      <a:fillRect/>
                    </a:stretch>
                  </pic:blipFill>
                  <pic:spPr>
                    <a:xfrm>
                      <a:off x="0" y="0"/>
                      <a:ext cx="135159" cy="154019"/>
                    </a:xfrm>
                    <a:prstGeom prst="rect">
                      <a:avLst/>
                    </a:prstGeom>
                  </pic:spPr>
                </pic:pic>
              </a:graphicData>
            </a:graphic>
          </wp:anchor>
        </w:drawing>
      </w:r>
      <w:r>
        <w:rPr/>
        <w:drawing>
          <wp:anchor distT="0" distB="0" distL="0" distR="0" allowOverlap="1" layoutInCell="1" locked="0" behindDoc="0" simplePos="0" relativeHeight="1600">
            <wp:simplePos x="0" y="0"/>
            <wp:positionH relativeFrom="page">
              <wp:posOffset>7958429</wp:posOffset>
            </wp:positionH>
            <wp:positionV relativeFrom="page">
              <wp:posOffset>5534342</wp:posOffset>
            </wp:positionV>
            <wp:extent cx="135953" cy="155575"/>
            <wp:effectExtent l="0" t="0" r="0" b="0"/>
            <wp:wrapNone/>
            <wp:docPr id="23" name="image15.png" descr=""/>
            <wp:cNvGraphicFramePr>
              <a:graphicFrameLocks noChangeAspect="1"/>
            </wp:cNvGraphicFramePr>
            <a:graphic>
              <a:graphicData uri="http://schemas.openxmlformats.org/drawingml/2006/picture">
                <pic:pic>
                  <pic:nvPicPr>
                    <pic:cNvPr id="24" name="image15.png"/>
                    <pic:cNvPicPr/>
                  </pic:nvPicPr>
                  <pic:blipFill>
                    <a:blip r:embed="rId20" cstate="print"/>
                    <a:stretch>
                      <a:fillRect/>
                    </a:stretch>
                  </pic:blipFill>
                  <pic:spPr>
                    <a:xfrm>
                      <a:off x="0" y="0"/>
                      <a:ext cx="135953" cy="155575"/>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before="219"/>
        <w:ind w:left="1428" w:right="0" w:firstLine="0"/>
        <w:jc w:val="left"/>
        <w:rPr>
          <w:b/>
          <w:sz w:val="28"/>
        </w:rPr>
      </w:pPr>
      <w:bookmarkStart w:name="Auditors Independence Declaration under " w:id="6"/>
      <w:bookmarkEnd w:id="6"/>
      <w:r>
        <w:rPr/>
      </w:r>
      <w:r>
        <w:rPr>
          <w:b/>
          <w:sz w:val="28"/>
        </w:rPr>
        <w:t>Responsible persons declaration</w:t>
      </w:r>
    </w:p>
    <w:p>
      <w:pPr>
        <w:spacing w:before="57"/>
        <w:ind w:left="1428" w:right="0" w:firstLine="0"/>
        <w:jc w:val="left"/>
        <w:rPr>
          <w:b/>
          <w:sz w:val="22"/>
        </w:rPr>
      </w:pPr>
      <w:r>
        <w:rPr>
          <w:b/>
          <w:sz w:val="22"/>
        </w:rPr>
        <w:t>For the year ended 31 December 2016</w:t>
      </w:r>
    </w:p>
    <w:p>
      <w:pPr>
        <w:pStyle w:val="BodyText"/>
        <w:spacing w:before="11"/>
        <w:rPr>
          <w:b/>
          <w:sz w:val="24"/>
        </w:rPr>
      </w:pPr>
    </w:p>
    <w:p>
      <w:pPr>
        <w:pStyle w:val="BodyText"/>
        <w:ind w:left="1428"/>
      </w:pPr>
      <w:r>
        <w:rPr/>
        <w:t>The responsible persons declare that in the responsible person's opinion:</w:t>
      </w:r>
    </w:p>
    <w:p>
      <w:pPr>
        <w:pStyle w:val="BodyText"/>
        <w:spacing w:before="11"/>
        <w:rPr>
          <w:sz w:val="24"/>
        </w:rPr>
      </w:pPr>
    </w:p>
    <w:p>
      <w:pPr>
        <w:pStyle w:val="ListParagraph"/>
        <w:numPr>
          <w:ilvl w:val="1"/>
          <w:numId w:val="1"/>
        </w:numPr>
        <w:tabs>
          <w:tab w:pos="2222" w:val="left" w:leader="none"/>
        </w:tabs>
        <w:spacing w:line="240" w:lineRule="auto" w:before="0" w:after="0"/>
        <w:ind w:left="2221" w:right="1611" w:hanging="397"/>
        <w:jc w:val="left"/>
        <w:rPr>
          <w:sz w:val="18"/>
        </w:rPr>
      </w:pPr>
      <w:r>
        <w:rPr>
          <w:sz w:val="18"/>
        </w:rPr>
        <w:t>there</w:t>
      </w:r>
      <w:r>
        <w:rPr>
          <w:spacing w:val="-5"/>
          <w:sz w:val="18"/>
        </w:rPr>
        <w:t> </w:t>
      </w:r>
      <w:r>
        <w:rPr>
          <w:sz w:val="18"/>
        </w:rPr>
        <w:t>are</w:t>
      </w:r>
      <w:r>
        <w:rPr>
          <w:spacing w:val="-5"/>
          <w:sz w:val="18"/>
        </w:rPr>
        <w:t> </w:t>
      </w:r>
      <w:r>
        <w:rPr>
          <w:sz w:val="18"/>
        </w:rPr>
        <w:t>reasonable</w:t>
      </w:r>
      <w:r>
        <w:rPr>
          <w:spacing w:val="-5"/>
          <w:sz w:val="18"/>
        </w:rPr>
        <w:t> </w:t>
      </w:r>
      <w:r>
        <w:rPr>
          <w:sz w:val="18"/>
        </w:rPr>
        <w:t>grounds</w:t>
      </w:r>
      <w:r>
        <w:rPr>
          <w:spacing w:val="-5"/>
          <w:sz w:val="18"/>
        </w:rPr>
        <w:t> </w:t>
      </w:r>
      <w:r>
        <w:rPr>
          <w:sz w:val="18"/>
        </w:rPr>
        <w:t>to</w:t>
      </w:r>
      <w:r>
        <w:rPr>
          <w:spacing w:val="-5"/>
          <w:sz w:val="18"/>
        </w:rPr>
        <w:t> </w:t>
      </w:r>
      <w:r>
        <w:rPr>
          <w:sz w:val="18"/>
        </w:rPr>
        <w:t>believe</w:t>
      </w:r>
      <w:r>
        <w:rPr>
          <w:spacing w:val="-5"/>
          <w:sz w:val="18"/>
        </w:rPr>
        <w:t> </w:t>
      </w:r>
      <w:r>
        <w:rPr>
          <w:sz w:val="18"/>
        </w:rPr>
        <w:t>that</w:t>
      </w:r>
      <w:r>
        <w:rPr>
          <w:spacing w:val="-5"/>
          <w:sz w:val="18"/>
        </w:rPr>
        <w:t> </w:t>
      </w:r>
      <w:r>
        <w:rPr>
          <w:sz w:val="18"/>
        </w:rPr>
        <w:t>the</w:t>
      </w:r>
      <w:r>
        <w:rPr>
          <w:spacing w:val="-5"/>
          <w:sz w:val="18"/>
        </w:rPr>
        <w:t> </w:t>
      </w:r>
      <w:r>
        <w:rPr>
          <w:sz w:val="18"/>
        </w:rPr>
        <w:t>registered</w:t>
      </w:r>
      <w:r>
        <w:rPr>
          <w:spacing w:val="-5"/>
          <w:sz w:val="18"/>
        </w:rPr>
        <w:t> </w:t>
      </w:r>
      <w:r>
        <w:rPr>
          <w:sz w:val="18"/>
        </w:rPr>
        <w:t>entity</w:t>
      </w:r>
      <w:r>
        <w:rPr>
          <w:spacing w:val="-5"/>
          <w:sz w:val="18"/>
        </w:rPr>
        <w:t> </w:t>
      </w:r>
      <w:r>
        <w:rPr>
          <w:sz w:val="18"/>
        </w:rPr>
        <w:t>is</w:t>
      </w:r>
      <w:r>
        <w:rPr>
          <w:spacing w:val="-5"/>
          <w:sz w:val="18"/>
        </w:rPr>
        <w:t> </w:t>
      </w:r>
      <w:r>
        <w:rPr>
          <w:sz w:val="18"/>
        </w:rPr>
        <w:t>able</w:t>
      </w:r>
      <w:r>
        <w:rPr>
          <w:spacing w:val="-5"/>
          <w:sz w:val="18"/>
        </w:rPr>
        <w:t> </w:t>
      </w:r>
      <w:r>
        <w:rPr>
          <w:sz w:val="18"/>
        </w:rPr>
        <w:t>to</w:t>
      </w:r>
      <w:r>
        <w:rPr>
          <w:spacing w:val="-5"/>
          <w:sz w:val="18"/>
        </w:rPr>
        <w:t> </w:t>
      </w:r>
      <w:r>
        <w:rPr>
          <w:sz w:val="18"/>
        </w:rPr>
        <w:t>pay</w:t>
      </w:r>
      <w:r>
        <w:rPr>
          <w:spacing w:val="-5"/>
          <w:sz w:val="18"/>
        </w:rPr>
        <w:t> </w:t>
      </w:r>
      <w:r>
        <w:rPr>
          <w:sz w:val="18"/>
        </w:rPr>
        <w:t>all</w:t>
      </w:r>
      <w:r>
        <w:rPr>
          <w:spacing w:val="-5"/>
          <w:sz w:val="18"/>
        </w:rPr>
        <w:t> </w:t>
      </w:r>
      <w:r>
        <w:rPr>
          <w:sz w:val="18"/>
        </w:rPr>
        <w:t>of</w:t>
      </w:r>
      <w:r>
        <w:rPr>
          <w:spacing w:val="-5"/>
          <w:sz w:val="18"/>
        </w:rPr>
        <w:t> </w:t>
      </w:r>
      <w:r>
        <w:rPr>
          <w:sz w:val="18"/>
        </w:rPr>
        <w:t>its</w:t>
      </w:r>
      <w:r>
        <w:rPr>
          <w:spacing w:val="-5"/>
          <w:sz w:val="18"/>
        </w:rPr>
        <w:t> </w:t>
      </w:r>
      <w:r>
        <w:rPr>
          <w:sz w:val="18"/>
        </w:rPr>
        <w:t>debts,</w:t>
      </w:r>
      <w:r>
        <w:rPr>
          <w:spacing w:val="-5"/>
          <w:sz w:val="18"/>
        </w:rPr>
        <w:t> </w:t>
      </w:r>
      <w:r>
        <w:rPr>
          <w:sz w:val="18"/>
        </w:rPr>
        <w:t>as</w:t>
      </w:r>
      <w:r>
        <w:rPr>
          <w:spacing w:val="-5"/>
          <w:sz w:val="18"/>
        </w:rPr>
        <w:t> </w:t>
      </w:r>
      <w:r>
        <w:rPr>
          <w:sz w:val="18"/>
        </w:rPr>
        <w:t>and</w:t>
      </w:r>
      <w:r>
        <w:rPr>
          <w:spacing w:val="-5"/>
          <w:sz w:val="18"/>
        </w:rPr>
        <w:t> </w:t>
      </w:r>
      <w:r>
        <w:rPr>
          <w:sz w:val="18"/>
        </w:rPr>
        <w:t>when</w:t>
      </w:r>
      <w:r>
        <w:rPr>
          <w:spacing w:val="-5"/>
          <w:sz w:val="18"/>
        </w:rPr>
        <w:t> </w:t>
      </w:r>
      <w:r>
        <w:rPr>
          <w:sz w:val="18"/>
        </w:rPr>
        <w:t>they become due and payable;</w:t>
      </w:r>
      <w:r>
        <w:rPr>
          <w:spacing w:val="-24"/>
          <w:sz w:val="18"/>
        </w:rPr>
        <w:t> </w:t>
      </w:r>
      <w:r>
        <w:rPr>
          <w:sz w:val="18"/>
        </w:rPr>
        <w:t>and</w:t>
      </w:r>
    </w:p>
    <w:p>
      <w:pPr>
        <w:pStyle w:val="BodyText"/>
        <w:spacing w:before="11"/>
        <w:rPr>
          <w:sz w:val="24"/>
        </w:rPr>
      </w:pPr>
    </w:p>
    <w:p>
      <w:pPr>
        <w:pStyle w:val="ListParagraph"/>
        <w:numPr>
          <w:ilvl w:val="1"/>
          <w:numId w:val="1"/>
        </w:numPr>
        <w:tabs>
          <w:tab w:pos="2222" w:val="left" w:leader="none"/>
        </w:tabs>
        <w:spacing w:line="240" w:lineRule="auto" w:before="0" w:after="0"/>
        <w:ind w:left="2221" w:right="2232" w:hanging="397"/>
        <w:jc w:val="left"/>
        <w:rPr>
          <w:sz w:val="18"/>
        </w:rPr>
      </w:pPr>
      <w:r>
        <w:rPr/>
        <w:pict>
          <v:shape style="position:absolute;margin-left:69.693909pt;margin-top:49.01857pt;width:491.35pt;height:132.050pt;mso-position-horizontal-relative:page;mso-position-vertical-relative:paragraph;z-index:-1206784" type="#_x0000_t202" filled="false" stroked="false">
            <v:textbox inset="0,0,0,0">
              <w:txbxContent>
                <w:p>
                  <w:pPr>
                    <w:pStyle w:val="BodyText"/>
                    <w:spacing w:before="7"/>
                  </w:pPr>
                </w:p>
                <w:p>
                  <w:pPr>
                    <w:spacing w:before="1"/>
                    <w:ind w:left="34" w:right="0" w:firstLine="0"/>
                    <w:jc w:val="left"/>
                    <w:rPr>
                      <w:sz w:val="18"/>
                    </w:rPr>
                  </w:pPr>
                  <w:r>
                    <w:rPr>
                      <w:sz w:val="18"/>
                    </w:rPr>
                    <w:t>Signed</w:t>
                  </w:r>
                  <w:r>
                    <w:rPr>
                      <w:spacing w:val="-8"/>
                      <w:sz w:val="18"/>
                    </w:rPr>
                    <w:t> </w:t>
                  </w:r>
                  <w:r>
                    <w:rPr>
                      <w:sz w:val="18"/>
                    </w:rPr>
                    <w:t>in</w:t>
                  </w:r>
                  <w:r>
                    <w:rPr>
                      <w:spacing w:val="-8"/>
                      <w:sz w:val="18"/>
                    </w:rPr>
                    <w:t> </w:t>
                  </w:r>
                  <w:r>
                    <w:rPr>
                      <w:sz w:val="18"/>
                    </w:rPr>
                    <w:t>accordance</w:t>
                  </w:r>
                  <w:r>
                    <w:rPr>
                      <w:spacing w:val="-8"/>
                      <w:sz w:val="18"/>
                    </w:rPr>
                    <w:t> </w:t>
                  </w:r>
                  <w:r>
                    <w:rPr>
                      <w:sz w:val="18"/>
                    </w:rPr>
                    <w:t>with</w:t>
                  </w:r>
                  <w:r>
                    <w:rPr>
                      <w:spacing w:val="-8"/>
                      <w:sz w:val="18"/>
                    </w:rPr>
                    <w:t> </w:t>
                  </w:r>
                  <w:r>
                    <w:rPr>
                      <w:sz w:val="18"/>
                    </w:rPr>
                    <w:t>subsection</w:t>
                  </w:r>
                  <w:r>
                    <w:rPr>
                      <w:spacing w:val="-8"/>
                      <w:sz w:val="18"/>
                    </w:rPr>
                    <w:t> </w:t>
                  </w:r>
                  <w:r>
                    <w:rPr>
                      <w:sz w:val="18"/>
                    </w:rPr>
                    <w:t>60.15(2)</w:t>
                  </w:r>
                  <w:r>
                    <w:rPr>
                      <w:spacing w:val="-8"/>
                      <w:sz w:val="18"/>
                    </w:rPr>
                    <w:t> </w:t>
                  </w:r>
                  <w:r>
                    <w:rPr>
                      <w:sz w:val="18"/>
                    </w:rPr>
                    <w:t>of</w:t>
                  </w:r>
                  <w:r>
                    <w:rPr>
                      <w:spacing w:val="-8"/>
                      <w:sz w:val="18"/>
                    </w:rPr>
                    <w:t> </w:t>
                  </w:r>
                  <w:r>
                    <w:rPr>
                      <w:sz w:val="18"/>
                    </w:rPr>
                    <w:t>the</w:t>
                  </w:r>
                  <w:r>
                    <w:rPr>
                      <w:spacing w:val="-8"/>
                      <w:sz w:val="18"/>
                    </w:rPr>
                    <w:t> </w:t>
                  </w:r>
                  <w:r>
                    <w:rPr>
                      <w:i/>
                      <w:sz w:val="18"/>
                    </w:rPr>
                    <w:t>Australian</w:t>
                  </w:r>
                  <w:r>
                    <w:rPr>
                      <w:i/>
                      <w:spacing w:val="-8"/>
                      <w:sz w:val="18"/>
                    </w:rPr>
                    <w:t> </w:t>
                  </w:r>
                  <w:r>
                    <w:rPr>
                      <w:i/>
                      <w:sz w:val="18"/>
                    </w:rPr>
                    <w:t>Charities</w:t>
                  </w:r>
                  <w:r>
                    <w:rPr>
                      <w:i/>
                      <w:spacing w:val="-8"/>
                      <w:sz w:val="18"/>
                    </w:rPr>
                    <w:t> </w:t>
                  </w:r>
                  <w:r>
                    <w:rPr>
                      <w:i/>
                      <w:sz w:val="18"/>
                    </w:rPr>
                    <w:t>and</w:t>
                  </w:r>
                  <w:r>
                    <w:rPr>
                      <w:i/>
                      <w:spacing w:val="-8"/>
                      <w:sz w:val="18"/>
                    </w:rPr>
                    <w:t> </w:t>
                  </w:r>
                  <w:r>
                    <w:rPr>
                      <w:i/>
                      <w:sz w:val="18"/>
                    </w:rPr>
                    <w:t>Not-for-profits</w:t>
                  </w:r>
                  <w:r>
                    <w:rPr>
                      <w:i/>
                      <w:spacing w:val="-8"/>
                      <w:sz w:val="18"/>
                    </w:rPr>
                    <w:t> </w:t>
                  </w:r>
                  <w:r>
                    <w:rPr>
                      <w:i/>
                      <w:sz w:val="18"/>
                    </w:rPr>
                    <w:t>Commission</w:t>
                  </w:r>
                  <w:r>
                    <w:rPr>
                      <w:i/>
                      <w:spacing w:val="-8"/>
                      <w:sz w:val="18"/>
                    </w:rPr>
                    <w:t> </w:t>
                  </w:r>
                  <w:r>
                    <w:rPr>
                      <w:i/>
                      <w:sz w:val="18"/>
                    </w:rPr>
                    <w:t>Regulation</w:t>
                  </w:r>
                  <w:r>
                    <w:rPr>
                      <w:i/>
                      <w:spacing w:val="-8"/>
                      <w:sz w:val="18"/>
                    </w:rPr>
                    <w:t> </w:t>
                  </w:r>
                  <w:r>
                    <w:rPr>
                      <w:i/>
                      <w:sz w:val="18"/>
                    </w:rPr>
                    <w:t>201</w:t>
                  </w:r>
                  <w:r>
                    <w:rPr>
                      <w:sz w:val="18"/>
                    </w:rPr>
                    <w:t>3.</w:t>
                  </w:r>
                </w:p>
                <w:p>
                  <w:pPr>
                    <w:pStyle w:val="BodyText"/>
                  </w:pPr>
                </w:p>
                <w:p>
                  <w:pPr>
                    <w:pStyle w:val="BodyText"/>
                  </w:pPr>
                </w:p>
                <w:p>
                  <w:pPr>
                    <w:pStyle w:val="BodyText"/>
                  </w:pPr>
                </w:p>
                <w:p>
                  <w:pPr>
                    <w:pStyle w:val="BodyText"/>
                    <w:spacing w:before="3"/>
                    <w:rPr>
                      <w:sz w:val="26"/>
                    </w:rPr>
                  </w:pPr>
                </w:p>
                <w:p>
                  <w:pPr>
                    <w:pStyle w:val="BodyText"/>
                    <w:ind w:left="34"/>
                  </w:pPr>
                  <w:r>
                    <w:rPr/>
                    <w:t>............................................................................................</w:t>
                  </w:r>
                </w:p>
                <w:p>
                  <w:pPr>
                    <w:pStyle w:val="BodyText"/>
                    <w:spacing w:before="27"/>
                    <w:ind w:left="34"/>
                  </w:pPr>
                  <w:r>
                    <w:rPr/>
                    <w:t>Professor Barney Glover</w:t>
                  </w:r>
                </w:p>
                <w:p>
                  <w:pPr>
                    <w:pStyle w:val="BodyText"/>
                    <w:spacing w:before="54"/>
                    <w:ind w:left="34"/>
                  </w:pPr>
                  <w:r>
                    <w:rPr/>
                    <w:t>Vice Chancellor and President</w:t>
                  </w:r>
                </w:p>
                <w:p>
                  <w:pPr>
                    <w:pStyle w:val="BodyText"/>
                  </w:pPr>
                </w:p>
                <w:p>
                  <w:pPr>
                    <w:pStyle w:val="BodyText"/>
                    <w:spacing w:before="108"/>
                    <w:ind w:left="34"/>
                  </w:pPr>
                  <w:r>
                    <w:rPr/>
                    <w:t>Dated at Sydney 5 April 2017</w:t>
                  </w:r>
                </w:p>
              </w:txbxContent>
            </v:textbox>
            <w10:wrap type="none"/>
          </v:shape>
        </w:pict>
      </w:r>
      <w:r>
        <w:rPr>
          <w:sz w:val="18"/>
        </w:rPr>
        <w:t>the</w:t>
      </w:r>
      <w:r>
        <w:rPr>
          <w:spacing w:val="-7"/>
          <w:sz w:val="18"/>
        </w:rPr>
        <w:t> </w:t>
      </w:r>
      <w:r>
        <w:rPr>
          <w:sz w:val="18"/>
        </w:rPr>
        <w:t>financial</w:t>
      </w:r>
      <w:r>
        <w:rPr>
          <w:spacing w:val="-7"/>
          <w:sz w:val="18"/>
        </w:rPr>
        <w:t> </w:t>
      </w:r>
      <w:r>
        <w:rPr>
          <w:sz w:val="18"/>
        </w:rPr>
        <w:t>statements</w:t>
      </w:r>
      <w:r>
        <w:rPr>
          <w:spacing w:val="-7"/>
          <w:sz w:val="18"/>
        </w:rPr>
        <w:t> </w:t>
      </w:r>
      <w:r>
        <w:rPr>
          <w:sz w:val="18"/>
        </w:rPr>
        <w:t>and</w:t>
      </w:r>
      <w:r>
        <w:rPr>
          <w:spacing w:val="-7"/>
          <w:sz w:val="18"/>
        </w:rPr>
        <w:t> </w:t>
      </w:r>
      <w:r>
        <w:rPr>
          <w:sz w:val="18"/>
        </w:rPr>
        <w:t>notes</w:t>
      </w:r>
      <w:r>
        <w:rPr>
          <w:spacing w:val="-7"/>
          <w:sz w:val="18"/>
        </w:rPr>
        <w:t> </w:t>
      </w:r>
      <w:r>
        <w:rPr>
          <w:sz w:val="18"/>
        </w:rPr>
        <w:t>satisfy</w:t>
      </w:r>
      <w:r>
        <w:rPr>
          <w:spacing w:val="-7"/>
          <w:sz w:val="18"/>
        </w:rPr>
        <w:t> </w:t>
      </w:r>
      <w:r>
        <w:rPr>
          <w:sz w:val="18"/>
        </w:rPr>
        <w:t>the</w:t>
      </w:r>
      <w:r>
        <w:rPr>
          <w:spacing w:val="-7"/>
          <w:sz w:val="18"/>
        </w:rPr>
        <w:t> </w:t>
      </w:r>
      <w:r>
        <w:rPr>
          <w:sz w:val="18"/>
        </w:rPr>
        <w:t>requirements</w:t>
      </w:r>
      <w:r>
        <w:rPr>
          <w:spacing w:val="-7"/>
          <w:sz w:val="18"/>
        </w:rPr>
        <w:t> </w:t>
      </w:r>
      <w:r>
        <w:rPr>
          <w:sz w:val="18"/>
        </w:rPr>
        <w:t>of</w:t>
      </w:r>
      <w:r>
        <w:rPr>
          <w:spacing w:val="-7"/>
          <w:sz w:val="18"/>
        </w:rPr>
        <w:t> </w:t>
      </w:r>
      <w:r>
        <w:rPr>
          <w:sz w:val="18"/>
        </w:rPr>
        <w:t>the</w:t>
      </w:r>
      <w:r>
        <w:rPr>
          <w:spacing w:val="-7"/>
          <w:sz w:val="18"/>
        </w:rPr>
        <w:t> </w:t>
      </w:r>
      <w:r>
        <w:rPr>
          <w:i/>
          <w:sz w:val="18"/>
        </w:rPr>
        <w:t>Australian</w:t>
      </w:r>
      <w:r>
        <w:rPr>
          <w:i/>
          <w:spacing w:val="-7"/>
          <w:sz w:val="18"/>
        </w:rPr>
        <w:t> </w:t>
      </w:r>
      <w:r>
        <w:rPr>
          <w:i/>
          <w:sz w:val="18"/>
        </w:rPr>
        <w:t>Charities</w:t>
      </w:r>
      <w:r>
        <w:rPr>
          <w:i/>
          <w:spacing w:val="-7"/>
          <w:sz w:val="18"/>
        </w:rPr>
        <w:t> </w:t>
      </w:r>
      <w:r>
        <w:rPr>
          <w:i/>
          <w:sz w:val="18"/>
        </w:rPr>
        <w:t>and</w:t>
      </w:r>
      <w:r>
        <w:rPr>
          <w:i/>
          <w:spacing w:val="-7"/>
          <w:sz w:val="18"/>
        </w:rPr>
        <w:t> </w:t>
      </w:r>
      <w:r>
        <w:rPr>
          <w:i/>
          <w:sz w:val="18"/>
        </w:rPr>
        <w:t>Not-for-profits </w:t>
      </w:r>
      <w:r>
        <w:rPr>
          <w:i/>
          <w:sz w:val="18"/>
        </w:rPr>
        <w:t>Commission Act</w:t>
      </w:r>
      <w:r>
        <w:rPr>
          <w:i/>
          <w:spacing w:val="-18"/>
          <w:sz w:val="18"/>
        </w:rPr>
        <w:t> </w:t>
      </w:r>
      <w:r>
        <w:rPr>
          <w:i/>
          <w:sz w:val="18"/>
        </w:rPr>
        <w:t>2012</w:t>
      </w:r>
      <w:r>
        <w:rPr>
          <w:sz w:val="18"/>
        </w:rPr>
        <w:t>.</w:t>
      </w:r>
    </w:p>
    <w:p>
      <w:pPr>
        <w:pStyle w:val="BodyText"/>
        <w:rPr>
          <w:sz w:val="20"/>
        </w:rPr>
      </w:pPr>
    </w:p>
    <w:p>
      <w:pPr>
        <w:pStyle w:val="BodyText"/>
        <w:spacing w:before="10"/>
        <w:rPr>
          <w:sz w:val="25"/>
        </w:rPr>
      </w:pPr>
      <w:r>
        <w:rPr/>
        <w:drawing>
          <wp:anchor distT="0" distB="0" distL="0" distR="0" allowOverlap="1" layoutInCell="1" locked="0" behindDoc="0" simplePos="0" relativeHeight="1528">
            <wp:simplePos x="0" y="0"/>
            <wp:positionH relativeFrom="page">
              <wp:posOffset>885112</wp:posOffset>
            </wp:positionH>
            <wp:positionV relativeFrom="paragraph">
              <wp:posOffset>214000</wp:posOffset>
            </wp:positionV>
            <wp:extent cx="6228602" cy="1673732"/>
            <wp:effectExtent l="0" t="0" r="0" b="0"/>
            <wp:wrapTopAndBottom/>
            <wp:docPr id="25" name="image18.jpeg" descr=""/>
            <wp:cNvGraphicFramePr>
              <a:graphicFrameLocks noChangeAspect="1"/>
            </wp:cNvGraphicFramePr>
            <a:graphic>
              <a:graphicData uri="http://schemas.openxmlformats.org/drawingml/2006/picture">
                <pic:pic>
                  <pic:nvPicPr>
                    <pic:cNvPr id="26" name="image18.jpeg"/>
                    <pic:cNvPicPr/>
                  </pic:nvPicPr>
                  <pic:blipFill>
                    <a:blip r:embed="rId23" cstate="print"/>
                    <a:stretch>
                      <a:fillRect/>
                    </a:stretch>
                  </pic:blipFill>
                  <pic:spPr>
                    <a:xfrm>
                      <a:off x="0" y="0"/>
                      <a:ext cx="6228602" cy="1673732"/>
                    </a:xfrm>
                    <a:prstGeom prst="rect">
                      <a:avLst/>
                    </a:prstGeom>
                  </pic:spPr>
                </pic:pic>
              </a:graphicData>
            </a:graphic>
          </wp:anchor>
        </w:drawing>
      </w:r>
    </w:p>
    <w:p>
      <w:pPr>
        <w:spacing w:after="0"/>
        <w:rPr>
          <w:sz w:val="25"/>
        </w:rPr>
        <w:sectPr>
          <w:headerReference w:type="default" r:id="rId22"/>
          <w:pgSz w:w="12750" w:h="17680"/>
          <w:pgMar w:header="0" w:footer="867" w:top="420" w:bottom="1120" w:left="0" w:right="0"/>
        </w:sectPr>
      </w:pPr>
    </w:p>
    <w:p>
      <w:pPr>
        <w:pStyle w:val="BodyText"/>
        <w:spacing w:before="3"/>
        <w:rPr>
          <w:sz w:val="24"/>
        </w:rPr>
      </w:pPr>
      <w:r>
        <w:rPr/>
        <w:drawing>
          <wp:anchor distT="0" distB="0" distL="0" distR="0" allowOverlap="1" layoutInCell="1" locked="0" behindDoc="0" simplePos="0" relativeHeight="1672">
            <wp:simplePos x="0" y="0"/>
            <wp:positionH relativeFrom="page">
              <wp:posOffset>-1587</wp:posOffset>
            </wp:positionH>
            <wp:positionV relativeFrom="page">
              <wp:posOffset>5534342</wp:posOffset>
            </wp:positionV>
            <wp:extent cx="135159" cy="154019"/>
            <wp:effectExtent l="0" t="0" r="0" b="0"/>
            <wp:wrapNone/>
            <wp:docPr id="29" name="image13.png" descr=""/>
            <wp:cNvGraphicFramePr>
              <a:graphicFrameLocks noChangeAspect="1"/>
            </wp:cNvGraphicFramePr>
            <a:graphic>
              <a:graphicData uri="http://schemas.openxmlformats.org/drawingml/2006/picture">
                <pic:pic>
                  <pic:nvPicPr>
                    <pic:cNvPr id="30" name="image13.png"/>
                    <pic:cNvPicPr/>
                  </pic:nvPicPr>
                  <pic:blipFill>
                    <a:blip r:embed="rId18" cstate="print"/>
                    <a:stretch>
                      <a:fillRect/>
                    </a:stretch>
                  </pic:blipFill>
                  <pic:spPr>
                    <a:xfrm>
                      <a:off x="0" y="0"/>
                      <a:ext cx="135159" cy="154019"/>
                    </a:xfrm>
                    <a:prstGeom prst="rect">
                      <a:avLst/>
                    </a:prstGeom>
                  </pic:spPr>
                </pic:pic>
              </a:graphicData>
            </a:graphic>
          </wp:anchor>
        </w:drawing>
      </w:r>
      <w:r>
        <w:rPr/>
        <w:drawing>
          <wp:anchor distT="0" distB="0" distL="0" distR="0" allowOverlap="1" layoutInCell="1" locked="0" behindDoc="0" simplePos="0" relativeHeight="1696">
            <wp:simplePos x="0" y="0"/>
            <wp:positionH relativeFrom="page">
              <wp:posOffset>7958429</wp:posOffset>
            </wp:positionH>
            <wp:positionV relativeFrom="page">
              <wp:posOffset>5534342</wp:posOffset>
            </wp:positionV>
            <wp:extent cx="135953" cy="155575"/>
            <wp:effectExtent l="0" t="0" r="0" b="0"/>
            <wp:wrapNone/>
            <wp:docPr id="31" name="image15.png" descr=""/>
            <wp:cNvGraphicFramePr>
              <a:graphicFrameLocks noChangeAspect="1"/>
            </wp:cNvGraphicFramePr>
            <a:graphic>
              <a:graphicData uri="http://schemas.openxmlformats.org/drawingml/2006/picture">
                <pic:pic>
                  <pic:nvPicPr>
                    <pic:cNvPr id="32" name="image15.png"/>
                    <pic:cNvPicPr/>
                  </pic:nvPicPr>
                  <pic:blipFill>
                    <a:blip r:embed="rId20" cstate="print"/>
                    <a:stretch>
                      <a:fillRect/>
                    </a:stretch>
                  </pic:blipFill>
                  <pic:spPr>
                    <a:xfrm>
                      <a:off x="0" y="0"/>
                      <a:ext cx="135953" cy="155575"/>
                    </a:xfrm>
                    <a:prstGeom prst="rect">
                      <a:avLst/>
                    </a:prstGeom>
                  </pic:spPr>
                </pic:pic>
              </a:graphicData>
            </a:graphic>
          </wp:anchor>
        </w:drawing>
      </w:r>
    </w:p>
    <w:p>
      <w:pPr>
        <w:spacing w:before="64"/>
        <w:ind w:left="1428" w:right="0" w:firstLine="0"/>
        <w:jc w:val="left"/>
        <w:rPr>
          <w:b/>
          <w:sz w:val="28"/>
        </w:rPr>
      </w:pPr>
      <w:r>
        <w:rPr>
          <w:b/>
          <w:sz w:val="28"/>
        </w:rPr>
        <w:t>Certifications Statement</w:t>
      </w:r>
    </w:p>
    <w:p>
      <w:pPr>
        <w:spacing w:before="57"/>
        <w:ind w:left="1428" w:right="0" w:firstLine="0"/>
        <w:jc w:val="left"/>
        <w:rPr>
          <w:b/>
          <w:sz w:val="22"/>
        </w:rPr>
      </w:pPr>
      <w:r>
        <w:rPr>
          <w:b/>
          <w:sz w:val="22"/>
        </w:rPr>
        <w:t>For the year ended 31 December 2016</w:t>
      </w:r>
    </w:p>
    <w:p>
      <w:pPr>
        <w:pStyle w:val="BodyText"/>
        <w:rPr>
          <w:b/>
          <w:sz w:val="22"/>
        </w:rPr>
      </w:pPr>
    </w:p>
    <w:p>
      <w:pPr>
        <w:pStyle w:val="BodyText"/>
        <w:spacing w:before="10"/>
        <w:rPr>
          <w:b/>
          <w:sz w:val="25"/>
        </w:rPr>
      </w:pPr>
    </w:p>
    <w:p>
      <w:pPr>
        <w:pStyle w:val="BodyText"/>
        <w:spacing w:before="1"/>
        <w:ind w:left="1427" w:right="1375"/>
      </w:pPr>
      <w:r>
        <w:rPr/>
        <w:t>The amount of Australian Government financial assistance expended during the period was for the purposes for which it was intended and Western Sydney University has complied with applicable legislation, contracts, agreements and program guidelines in making expenditure.</w:t>
      </w:r>
    </w:p>
    <w:p>
      <w:pPr>
        <w:pStyle w:val="BodyText"/>
        <w:spacing w:before="11"/>
        <w:rPr>
          <w:sz w:val="14"/>
        </w:rPr>
      </w:pPr>
    </w:p>
    <w:p>
      <w:pPr>
        <w:pStyle w:val="BodyText"/>
        <w:ind w:left="1427" w:right="1407"/>
      </w:pPr>
      <w:r>
        <w:rPr/>
        <w:drawing>
          <wp:anchor distT="0" distB="0" distL="0" distR="0" allowOverlap="1" layoutInCell="1" locked="0" behindDoc="0" simplePos="0" relativeHeight="1624">
            <wp:simplePos x="0" y="0"/>
            <wp:positionH relativeFrom="page">
              <wp:posOffset>893401</wp:posOffset>
            </wp:positionH>
            <wp:positionV relativeFrom="paragraph">
              <wp:posOffset>471374</wp:posOffset>
            </wp:positionV>
            <wp:extent cx="6169584" cy="2103120"/>
            <wp:effectExtent l="0" t="0" r="0" b="0"/>
            <wp:wrapTopAndBottom/>
            <wp:docPr id="33" name="image19.jpeg" descr=""/>
            <wp:cNvGraphicFramePr>
              <a:graphicFrameLocks noChangeAspect="1"/>
            </wp:cNvGraphicFramePr>
            <a:graphic>
              <a:graphicData uri="http://schemas.openxmlformats.org/drawingml/2006/picture">
                <pic:pic>
                  <pic:nvPicPr>
                    <pic:cNvPr id="34" name="image19.jpeg"/>
                    <pic:cNvPicPr/>
                  </pic:nvPicPr>
                  <pic:blipFill>
                    <a:blip r:embed="rId25" cstate="print"/>
                    <a:stretch>
                      <a:fillRect/>
                    </a:stretch>
                  </pic:blipFill>
                  <pic:spPr>
                    <a:xfrm>
                      <a:off x="0" y="0"/>
                      <a:ext cx="6169584" cy="2103120"/>
                    </a:xfrm>
                    <a:prstGeom prst="rect">
                      <a:avLst/>
                    </a:prstGeom>
                  </pic:spPr>
                </pic:pic>
              </a:graphicData>
            </a:graphic>
          </wp:anchor>
        </w:drawing>
      </w:r>
      <w:r>
        <w:rPr/>
        <w:pict>
          <v:shape style="position:absolute;margin-left:70.346542pt;margin-top:37.116104pt;width:488.4pt;height:166.5pt;mso-position-horizontal-relative:page;mso-position-vertical-relative:paragraph;z-index:-1206688" type="#_x0000_t202" filled="false" stroked="false">
            <v:textbox inset="0,0,0,0">
              <w:txbxContent>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tabs>
                      <w:tab w:pos="5163" w:val="left" w:leader="none"/>
                    </w:tabs>
                    <w:spacing w:before="117"/>
                    <w:ind w:left="21"/>
                  </w:pPr>
                  <w:r>
                    <w:rPr/>
                    <w:t>...........................................................................................</w:t>
                    <w:tab/>
                    <w:t>...........................................................................................</w:t>
                  </w:r>
                </w:p>
                <w:p>
                  <w:pPr>
                    <w:pStyle w:val="BodyText"/>
                    <w:spacing w:before="11"/>
                    <w:rPr>
                      <w:sz w:val="14"/>
                    </w:rPr>
                  </w:pPr>
                </w:p>
                <w:p>
                  <w:pPr>
                    <w:pStyle w:val="BodyText"/>
                    <w:tabs>
                      <w:tab w:pos="5462" w:val="left" w:leader="none"/>
                    </w:tabs>
                    <w:ind w:left="21"/>
                  </w:pPr>
                  <w:r>
                    <w:rPr/>
                    <w:t>Professor Peter</w:t>
                  </w:r>
                  <w:r>
                    <w:rPr>
                      <w:spacing w:val="-11"/>
                    </w:rPr>
                    <w:t> </w:t>
                  </w:r>
                  <w:r>
                    <w:rPr/>
                    <w:t>Shergold,</w:t>
                  </w:r>
                  <w:r>
                    <w:rPr>
                      <w:spacing w:val="-6"/>
                    </w:rPr>
                    <w:t> </w:t>
                  </w:r>
                  <w:r>
                    <w:rPr/>
                    <w:t>AC</w:t>
                    <w:tab/>
                    <w:t>Professor Barney</w:t>
                  </w:r>
                  <w:r>
                    <w:rPr>
                      <w:spacing w:val="-22"/>
                    </w:rPr>
                    <w:t> </w:t>
                  </w:r>
                  <w:r>
                    <w:rPr/>
                    <w:t>Glover</w:t>
                  </w:r>
                </w:p>
                <w:p>
                  <w:pPr>
                    <w:pStyle w:val="BodyText"/>
                    <w:spacing w:before="11"/>
                    <w:rPr>
                      <w:sz w:val="14"/>
                    </w:rPr>
                  </w:pPr>
                </w:p>
                <w:p>
                  <w:pPr>
                    <w:pStyle w:val="BodyText"/>
                    <w:tabs>
                      <w:tab w:pos="5462" w:val="left" w:leader="none"/>
                    </w:tabs>
                    <w:ind w:left="21"/>
                  </w:pPr>
                  <w:r>
                    <w:rPr/>
                    <w:t>Chancellor</w:t>
                    <w:tab/>
                    <w:t>Vice Chancellor and</w:t>
                  </w:r>
                  <w:r>
                    <w:rPr>
                      <w:spacing w:val="-27"/>
                    </w:rPr>
                    <w:t> </w:t>
                  </w:r>
                  <w:r>
                    <w:rPr/>
                    <w:t>President</w:t>
                  </w:r>
                </w:p>
                <w:p>
                  <w:pPr>
                    <w:pStyle w:val="BodyText"/>
                  </w:pPr>
                </w:p>
                <w:p>
                  <w:pPr>
                    <w:pStyle w:val="BodyText"/>
                  </w:pPr>
                </w:p>
                <w:p>
                  <w:pPr>
                    <w:pStyle w:val="BodyText"/>
                    <w:spacing w:before="137"/>
                    <w:ind w:left="21"/>
                  </w:pPr>
                  <w:bookmarkStart w:name="Certifications Statement" w:id="7"/>
                  <w:bookmarkEnd w:id="7"/>
                  <w:r>
                    <w:rPr/>
                  </w:r>
                  <w:r>
                    <w:rPr/>
                    <w:t>Dated at Sydney 5 April 2017</w:t>
                  </w:r>
                </w:p>
              </w:txbxContent>
            </v:textbox>
            <w10:wrap type="none"/>
          </v:shape>
        </w:pict>
      </w:r>
      <w:r>
        <w:rPr/>
        <w:t>Western Sydney University charged Student Services and Amenities Fees strictly in accordance with the Higher Education Support Act 2003 (the Act) and the Administration Guidelines made under the Act. Revenue from the fees were spent strictly in accordance with the Act and only on services and amenities specified in subsection 19-38(4) of the Act.</w:t>
      </w:r>
    </w:p>
    <w:p>
      <w:pPr>
        <w:spacing w:after="0"/>
        <w:sectPr>
          <w:headerReference w:type="default" r:id="rId24"/>
          <w:pgSz w:w="12750" w:h="17680"/>
          <w:pgMar w:header="0" w:footer="867" w:top="1660" w:bottom="1120" w:left="0" w:right="0"/>
        </w:sectPr>
      </w:pPr>
    </w:p>
    <w:p>
      <w:pPr>
        <w:pStyle w:val="BodyText"/>
        <w:spacing w:before="4"/>
        <w:rPr>
          <w:rFonts w:ascii="Times New Roman"/>
          <w:sz w:val="17"/>
        </w:rPr>
      </w:pPr>
      <w:r>
        <w:rPr/>
        <w:pict>
          <v:group style="position:absolute;margin-left:22.200001pt;margin-top:23.243017pt;width:592.6pt;height:839.2pt;mso-position-horizontal-relative:page;mso-position-vertical-relative:page;z-index:1720" coordorigin="444,465" coordsize="11852,16784">
            <v:shape style="position:absolute;left:444;top:465;width:11852;height:16784" type="#_x0000_t75" stroked="false">
              <v:imagedata r:id="rId27" o:title=""/>
            </v:shape>
            <v:shape style="position:absolute;left:3582;top:13549;width:8536;height:3352" coordorigin="3582,13549" coordsize="8536,3352" path="m4724,13549l3582,13549,3582,14439,4724,14439,4724,13549m11049,16461l8798,16461,8798,16900,11049,16900,11049,16461m12118,14680l11123,14680,11123,15350,12118,15350,12118,14680e" filled="true" fillcolor="#ffffff" stroked="false">
              <v:path arrowok="t"/>
              <v:fill type="solid"/>
            </v:shape>
            <w10:wrap type="none"/>
          </v:group>
        </w:pict>
      </w:r>
      <w:r>
        <w:rPr/>
        <w:drawing>
          <wp:anchor distT="0" distB="0" distL="0" distR="0" allowOverlap="1" layoutInCell="1" locked="0" behindDoc="0" simplePos="0" relativeHeight="1744">
            <wp:simplePos x="0" y="0"/>
            <wp:positionH relativeFrom="page">
              <wp:posOffset>-1587</wp:posOffset>
            </wp:positionH>
            <wp:positionV relativeFrom="page">
              <wp:posOffset>5546318</wp:posOffset>
            </wp:positionV>
            <wp:extent cx="136413" cy="155448"/>
            <wp:effectExtent l="0" t="0" r="0" b="0"/>
            <wp:wrapNone/>
            <wp:docPr id="37" name="image22.png" descr=""/>
            <wp:cNvGraphicFramePr>
              <a:graphicFrameLocks noChangeAspect="1"/>
            </wp:cNvGraphicFramePr>
            <a:graphic>
              <a:graphicData uri="http://schemas.openxmlformats.org/drawingml/2006/picture">
                <pic:pic>
                  <pic:nvPicPr>
                    <pic:cNvPr id="38" name="image22.png"/>
                    <pic:cNvPicPr/>
                  </pic:nvPicPr>
                  <pic:blipFill>
                    <a:blip r:embed="rId28" cstate="print"/>
                    <a:stretch>
                      <a:fillRect/>
                    </a:stretch>
                  </pic:blipFill>
                  <pic:spPr>
                    <a:xfrm>
                      <a:off x="0" y="0"/>
                      <a:ext cx="136413" cy="155448"/>
                    </a:xfrm>
                    <a:prstGeom prst="rect">
                      <a:avLst/>
                    </a:prstGeom>
                  </pic:spPr>
                </pic:pic>
              </a:graphicData>
            </a:graphic>
          </wp:anchor>
        </w:drawing>
      </w:r>
      <w:r>
        <w:rPr/>
        <w:drawing>
          <wp:anchor distT="0" distB="0" distL="0" distR="0" allowOverlap="1" layoutInCell="1" locked="0" behindDoc="0" simplePos="0" relativeHeight="1768">
            <wp:simplePos x="0" y="0"/>
            <wp:positionH relativeFrom="page">
              <wp:posOffset>7954962</wp:posOffset>
            </wp:positionH>
            <wp:positionV relativeFrom="page">
              <wp:posOffset>5546318</wp:posOffset>
            </wp:positionV>
            <wp:extent cx="139420" cy="155575"/>
            <wp:effectExtent l="0" t="0" r="0" b="0"/>
            <wp:wrapNone/>
            <wp:docPr id="39" name="image23.png" descr=""/>
            <wp:cNvGraphicFramePr>
              <a:graphicFrameLocks noChangeAspect="1"/>
            </wp:cNvGraphicFramePr>
            <a:graphic>
              <a:graphicData uri="http://schemas.openxmlformats.org/drawingml/2006/picture">
                <pic:pic>
                  <pic:nvPicPr>
                    <pic:cNvPr id="40" name="image23.png"/>
                    <pic:cNvPicPr/>
                  </pic:nvPicPr>
                  <pic:blipFill>
                    <a:blip r:embed="rId29" cstate="print"/>
                    <a:stretch>
                      <a:fillRect/>
                    </a:stretch>
                  </pic:blipFill>
                  <pic:spPr>
                    <a:xfrm>
                      <a:off x="0" y="0"/>
                      <a:ext cx="139420" cy="155575"/>
                    </a:xfrm>
                    <a:prstGeom prst="rect">
                      <a:avLst/>
                    </a:prstGeom>
                  </pic:spPr>
                </pic:pic>
              </a:graphicData>
            </a:graphic>
          </wp:anchor>
        </w:drawing>
      </w:r>
    </w:p>
    <w:p>
      <w:pPr>
        <w:spacing w:after="0"/>
        <w:rPr>
          <w:rFonts w:ascii="Times New Roman"/>
          <w:sz w:val="17"/>
        </w:rPr>
        <w:sectPr>
          <w:headerReference w:type="default" r:id="rId26"/>
          <w:pgSz w:w="12750" w:h="17680"/>
          <w:pgMar w:header="0" w:footer="867" w:top="420" w:bottom="1060" w:left="0" w:right="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1"/>
        </w:rPr>
      </w:pPr>
    </w:p>
    <w:p>
      <w:pPr>
        <w:spacing w:before="75"/>
        <w:ind w:left="1428" w:right="0" w:firstLine="0"/>
        <w:jc w:val="left"/>
        <w:rPr>
          <w:sz w:val="20"/>
        </w:rPr>
      </w:pPr>
      <w:r>
        <w:rPr>
          <w:sz w:val="20"/>
        </w:rPr>
        <w:t>Start of Audited Financial Statements</w:t>
      </w:r>
    </w:p>
    <w:p>
      <w:pPr>
        <w:pStyle w:val="BodyText"/>
        <w:spacing w:before="1"/>
        <w:rPr>
          <w:sz w:val="20"/>
        </w:rPr>
      </w:pPr>
    </w:p>
    <w:p>
      <w:pPr>
        <w:spacing w:before="0"/>
        <w:ind w:left="1428" w:right="0" w:firstLine="0"/>
        <w:jc w:val="left"/>
        <w:rPr>
          <w:b/>
          <w:sz w:val="22"/>
        </w:rPr>
      </w:pPr>
      <w:r>
        <w:rPr>
          <w:b/>
          <w:sz w:val="22"/>
        </w:rPr>
        <w:t>Western Sydney University</w:t>
      </w:r>
    </w:p>
    <w:p>
      <w:pPr>
        <w:pStyle w:val="BodyText"/>
        <w:spacing w:before="5"/>
        <w:rPr>
          <w:b/>
          <w:sz w:val="29"/>
        </w:rPr>
      </w:pPr>
    </w:p>
    <w:p>
      <w:pPr>
        <w:spacing w:before="0"/>
        <w:ind w:left="1428" w:right="0" w:firstLine="0"/>
        <w:jc w:val="left"/>
        <w:rPr>
          <w:b/>
          <w:sz w:val="28"/>
        </w:rPr>
      </w:pPr>
      <w:r>
        <w:rPr>
          <w:b/>
          <w:sz w:val="28"/>
        </w:rPr>
        <w:t>Income Statement</w:t>
      </w:r>
    </w:p>
    <w:p>
      <w:pPr>
        <w:spacing w:before="57"/>
        <w:ind w:left="1428" w:right="0" w:firstLine="0"/>
        <w:jc w:val="left"/>
        <w:rPr>
          <w:b/>
          <w:sz w:val="22"/>
        </w:rPr>
      </w:pPr>
      <w:bookmarkStart w:name="Income Statement" w:id="8"/>
      <w:bookmarkEnd w:id="8"/>
      <w:r>
        <w:rPr/>
      </w:r>
      <w:r>
        <w:rPr>
          <w:b/>
          <w:sz w:val="22"/>
        </w:rPr>
        <w:t>For the Year Ended 31 December 2016</w:t>
      </w:r>
    </w:p>
    <w:p>
      <w:pPr>
        <w:pStyle w:val="BodyText"/>
        <w:spacing w:before="1"/>
        <w:rPr>
          <w:b/>
          <w:sz w:val="29"/>
        </w:rPr>
      </w:pPr>
    </w:p>
    <w:p>
      <w:pPr>
        <w:pStyle w:val="Heading8"/>
        <w:tabs>
          <w:tab w:pos="9680" w:val="left" w:leader="none"/>
        </w:tabs>
        <w:spacing w:before="77"/>
        <w:ind w:left="6626"/>
      </w:pPr>
      <w:r>
        <w:rPr/>
        <w:t>Consolidated</w:t>
        <w:tab/>
        <w:t>Parent</w:t>
      </w:r>
    </w:p>
    <w:p>
      <w:pPr>
        <w:spacing w:after="0"/>
        <w:sectPr>
          <w:footerReference w:type="default" r:id="rId30"/>
          <w:pgSz w:w="12750" w:h="17680"/>
          <w:pgMar w:footer="1403" w:header="0" w:top="420" w:bottom="1600" w:left="0" w:right="0"/>
          <w:pgNumType w:start="8"/>
        </w:sectPr>
      </w:pPr>
    </w:p>
    <w:p>
      <w:pPr>
        <w:pStyle w:val="BodyText"/>
        <w:rPr>
          <w:b/>
        </w:rPr>
      </w:pPr>
    </w:p>
    <w:p>
      <w:pPr>
        <w:pStyle w:val="BodyText"/>
        <w:rPr>
          <w:b/>
        </w:rPr>
      </w:pPr>
    </w:p>
    <w:p>
      <w:pPr>
        <w:pStyle w:val="BodyText"/>
        <w:spacing w:before="8"/>
        <w:rPr>
          <w:b/>
          <w:sz w:val="26"/>
        </w:rPr>
      </w:pPr>
    </w:p>
    <w:p>
      <w:pPr>
        <w:spacing w:before="1"/>
        <w:ind w:left="1470" w:right="617" w:firstLine="0"/>
        <w:jc w:val="left"/>
        <w:rPr>
          <w:b/>
          <w:sz w:val="18"/>
        </w:rPr>
      </w:pPr>
      <w:r>
        <w:rPr>
          <w:b/>
          <w:sz w:val="18"/>
        </w:rPr>
        <w:t>Income from continuing operations</w:t>
      </w:r>
    </w:p>
    <w:p>
      <w:pPr>
        <w:pStyle w:val="BodyText"/>
        <w:spacing w:before="112"/>
        <w:ind w:left="1611" w:right="-2"/>
      </w:pPr>
      <w:r>
        <w:rPr/>
        <w:t>Australian Government</w:t>
      </w:r>
      <w:r>
        <w:rPr>
          <w:spacing w:val="-24"/>
        </w:rPr>
        <w:t> </w:t>
      </w:r>
      <w:r>
        <w:rPr/>
        <w:t>financial assistance</w:t>
      </w:r>
    </w:p>
    <w:p>
      <w:pPr>
        <w:pStyle w:val="BodyText"/>
      </w:pPr>
      <w:r>
        <w:rPr/>
        <w:br w:type="column"/>
      </w:r>
      <w:r>
        <w:rPr/>
      </w:r>
    </w:p>
    <w:p>
      <w:pPr>
        <w:pStyle w:val="BodyText"/>
        <w:spacing w:before="1"/>
        <w:rPr>
          <w:sz w:val="14"/>
        </w:rPr>
      </w:pPr>
    </w:p>
    <w:p>
      <w:pPr>
        <w:pStyle w:val="Heading8"/>
        <w:jc w:val="right"/>
      </w:pPr>
      <w:r>
        <w:rPr/>
        <w:t>Notes</w:t>
      </w:r>
    </w:p>
    <w:p>
      <w:pPr>
        <w:spacing w:before="95"/>
        <w:ind w:left="631" w:right="-16" w:firstLine="0"/>
        <w:jc w:val="left"/>
        <w:rPr>
          <w:b/>
          <w:sz w:val="18"/>
        </w:rPr>
      </w:pPr>
      <w:r>
        <w:rPr/>
        <w:br w:type="column"/>
      </w:r>
      <w:r>
        <w:rPr>
          <w:b/>
          <w:sz w:val="18"/>
        </w:rPr>
        <w:t>2016</w:t>
      </w:r>
    </w:p>
    <w:p>
      <w:pPr>
        <w:spacing w:before="66"/>
        <w:ind w:left="609" w:right="-16" w:firstLine="0"/>
        <w:jc w:val="left"/>
        <w:rPr>
          <w:b/>
          <w:sz w:val="18"/>
        </w:rPr>
      </w:pPr>
      <w:r>
        <w:rPr>
          <w:b/>
          <w:spacing w:val="-1"/>
          <w:sz w:val="18"/>
        </w:rPr>
        <w:t>$'000</w:t>
      </w:r>
    </w:p>
    <w:p>
      <w:pPr>
        <w:spacing w:before="95"/>
        <w:ind w:left="822" w:right="-17" w:firstLine="0"/>
        <w:jc w:val="left"/>
        <w:rPr>
          <w:b/>
          <w:sz w:val="18"/>
        </w:rPr>
      </w:pPr>
      <w:r>
        <w:rPr/>
        <w:br w:type="column"/>
      </w:r>
      <w:r>
        <w:rPr>
          <w:b/>
          <w:sz w:val="18"/>
        </w:rPr>
        <w:t>2015</w:t>
      </w:r>
    </w:p>
    <w:p>
      <w:pPr>
        <w:spacing w:before="66"/>
        <w:ind w:left="801" w:right="-17" w:firstLine="0"/>
        <w:jc w:val="left"/>
        <w:rPr>
          <w:b/>
          <w:sz w:val="18"/>
        </w:rPr>
      </w:pPr>
      <w:r>
        <w:rPr>
          <w:b/>
          <w:spacing w:val="-1"/>
          <w:sz w:val="18"/>
        </w:rPr>
        <w:t>$'000</w:t>
      </w:r>
    </w:p>
    <w:p>
      <w:pPr>
        <w:spacing w:before="66"/>
        <w:ind w:left="0" w:right="19" w:firstLine="0"/>
        <w:jc w:val="right"/>
        <w:rPr>
          <w:b/>
          <w:sz w:val="18"/>
        </w:rPr>
      </w:pPr>
      <w:r>
        <w:rPr/>
        <w:br w:type="column"/>
      </w:r>
      <w:r>
        <w:rPr>
          <w:b/>
          <w:sz w:val="18"/>
        </w:rPr>
        <w:t>2016</w:t>
      </w:r>
    </w:p>
    <w:p>
      <w:pPr>
        <w:spacing w:before="65"/>
        <w:ind w:left="0" w:right="0" w:firstLine="0"/>
        <w:jc w:val="right"/>
        <w:rPr>
          <w:b/>
          <w:sz w:val="18"/>
        </w:rPr>
      </w:pPr>
      <w:r>
        <w:rPr>
          <w:b/>
          <w:sz w:val="18"/>
        </w:rPr>
        <w:t>$'000</w:t>
      </w:r>
    </w:p>
    <w:p>
      <w:pPr>
        <w:spacing w:before="66"/>
        <w:ind w:left="822" w:right="0" w:firstLine="0"/>
        <w:jc w:val="left"/>
        <w:rPr>
          <w:b/>
          <w:sz w:val="18"/>
        </w:rPr>
      </w:pPr>
      <w:r>
        <w:rPr/>
        <w:br w:type="column"/>
      </w:r>
      <w:r>
        <w:rPr>
          <w:b/>
          <w:sz w:val="18"/>
        </w:rPr>
        <w:t>2015</w:t>
      </w:r>
    </w:p>
    <w:p>
      <w:pPr>
        <w:spacing w:before="65"/>
        <w:ind w:left="801" w:right="0" w:firstLine="0"/>
        <w:jc w:val="left"/>
        <w:rPr>
          <w:b/>
          <w:sz w:val="18"/>
        </w:rPr>
      </w:pPr>
      <w:r>
        <w:rPr>
          <w:b/>
          <w:sz w:val="18"/>
        </w:rPr>
        <w:t>$'000</w:t>
      </w:r>
    </w:p>
    <w:p>
      <w:pPr>
        <w:spacing w:after="0"/>
        <w:jc w:val="left"/>
        <w:rPr>
          <w:sz w:val="18"/>
        </w:rPr>
        <w:sectPr>
          <w:type w:val="continuous"/>
          <w:pgSz w:w="12750" w:h="17680"/>
          <w:pgMar w:top="1660" w:bottom="0" w:left="0" w:right="0"/>
          <w:cols w:num="6" w:equalWidth="0">
            <w:col w:w="4157" w:space="40"/>
            <w:col w:w="1586" w:space="40"/>
            <w:col w:w="1052" w:space="40"/>
            <w:col w:w="1243" w:space="40"/>
            <w:col w:w="1443" w:space="40"/>
            <w:col w:w="3069"/>
          </w:cols>
        </w:sectPr>
      </w:pPr>
    </w:p>
    <w:p>
      <w:pPr>
        <w:pStyle w:val="BodyText"/>
        <w:spacing w:before="1"/>
        <w:rPr>
          <w:b/>
          <w:sz w:val="3"/>
        </w:rPr>
      </w:pPr>
    </w:p>
    <w:tbl>
      <w:tblPr>
        <w:tblW w:w="0" w:type="auto"/>
        <w:jc w:val="left"/>
        <w:tblInd w:w="157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220"/>
        <w:gridCol w:w="1018"/>
        <w:gridCol w:w="1732"/>
        <w:gridCol w:w="1382"/>
        <w:gridCol w:w="1352"/>
        <w:gridCol w:w="1061"/>
      </w:tblGrid>
      <w:tr>
        <w:trPr>
          <w:trHeight w:val="471" w:hRule="exact"/>
        </w:trPr>
        <w:tc>
          <w:tcPr>
            <w:tcW w:w="3220" w:type="dxa"/>
          </w:tcPr>
          <w:p>
            <w:pPr>
              <w:pStyle w:val="TableParagraph"/>
              <w:spacing w:line="307" w:lineRule="auto"/>
              <w:ind w:left="176" w:right="373"/>
              <w:jc w:val="left"/>
              <w:rPr>
                <w:sz w:val="18"/>
              </w:rPr>
            </w:pPr>
            <w:r>
              <w:rPr>
                <w:sz w:val="18"/>
              </w:rPr>
              <w:t>Australian Government grants HELP - Australian Government</w:t>
            </w:r>
          </w:p>
        </w:tc>
        <w:tc>
          <w:tcPr>
            <w:tcW w:w="1018" w:type="dxa"/>
          </w:tcPr>
          <w:p>
            <w:pPr>
              <w:pStyle w:val="TableParagraph"/>
              <w:spacing w:line="199" w:lineRule="exact"/>
              <w:ind w:right="229"/>
              <w:rPr>
                <w:sz w:val="18"/>
              </w:rPr>
            </w:pPr>
            <w:r>
              <w:rPr>
                <w:w w:val="99"/>
                <w:sz w:val="18"/>
              </w:rPr>
              <w:t>2</w:t>
            </w:r>
          </w:p>
        </w:tc>
        <w:tc>
          <w:tcPr>
            <w:tcW w:w="1732" w:type="dxa"/>
          </w:tcPr>
          <w:p>
            <w:pPr>
              <w:pStyle w:val="TableParagraph"/>
              <w:spacing w:line="199" w:lineRule="exact"/>
              <w:ind w:right="352"/>
              <w:rPr>
                <w:b/>
                <w:sz w:val="18"/>
              </w:rPr>
            </w:pPr>
            <w:r>
              <w:rPr>
                <w:b/>
                <w:w w:val="95"/>
                <w:sz w:val="18"/>
              </w:rPr>
              <w:t>345,493</w:t>
            </w:r>
          </w:p>
        </w:tc>
        <w:tc>
          <w:tcPr>
            <w:tcW w:w="1382" w:type="dxa"/>
          </w:tcPr>
          <w:p>
            <w:pPr>
              <w:pStyle w:val="TableParagraph"/>
              <w:spacing w:line="199" w:lineRule="exact"/>
              <w:ind w:right="436"/>
              <w:rPr>
                <w:sz w:val="18"/>
              </w:rPr>
            </w:pPr>
            <w:r>
              <w:rPr>
                <w:w w:val="95"/>
                <w:sz w:val="18"/>
              </w:rPr>
              <w:t>342,114</w:t>
            </w:r>
          </w:p>
        </w:tc>
        <w:tc>
          <w:tcPr>
            <w:tcW w:w="1352" w:type="dxa"/>
          </w:tcPr>
          <w:p>
            <w:pPr>
              <w:pStyle w:val="TableParagraph"/>
              <w:spacing w:line="199" w:lineRule="exact"/>
              <w:ind w:right="322"/>
              <w:rPr>
                <w:b/>
                <w:sz w:val="18"/>
              </w:rPr>
            </w:pPr>
            <w:r>
              <w:rPr>
                <w:b/>
                <w:w w:val="95"/>
                <w:sz w:val="18"/>
              </w:rPr>
              <w:t>345,493</w:t>
            </w:r>
          </w:p>
        </w:tc>
        <w:tc>
          <w:tcPr>
            <w:tcW w:w="1061" w:type="dxa"/>
          </w:tcPr>
          <w:p>
            <w:pPr>
              <w:pStyle w:val="TableParagraph"/>
              <w:spacing w:line="199" w:lineRule="exact"/>
              <w:ind w:right="86"/>
              <w:rPr>
                <w:sz w:val="18"/>
              </w:rPr>
            </w:pPr>
            <w:r>
              <w:rPr>
                <w:w w:val="95"/>
                <w:sz w:val="18"/>
              </w:rPr>
              <w:t>341,954</w:t>
            </w:r>
          </w:p>
        </w:tc>
      </w:tr>
      <w:tr>
        <w:trPr>
          <w:trHeight w:val="235" w:hRule="exact"/>
        </w:trPr>
        <w:tc>
          <w:tcPr>
            <w:tcW w:w="3220" w:type="dxa"/>
          </w:tcPr>
          <w:p>
            <w:pPr>
              <w:pStyle w:val="TableParagraph"/>
              <w:spacing w:line="198" w:lineRule="exact"/>
              <w:ind w:left="176" w:right="373"/>
              <w:jc w:val="left"/>
              <w:rPr>
                <w:sz w:val="18"/>
              </w:rPr>
            </w:pPr>
            <w:r>
              <w:rPr>
                <w:sz w:val="18"/>
              </w:rPr>
              <w:t>payments</w:t>
            </w:r>
          </w:p>
        </w:tc>
        <w:tc>
          <w:tcPr>
            <w:tcW w:w="1018" w:type="dxa"/>
          </w:tcPr>
          <w:p>
            <w:pPr>
              <w:pStyle w:val="TableParagraph"/>
              <w:spacing w:line="197" w:lineRule="exact"/>
              <w:ind w:right="120"/>
              <w:rPr>
                <w:sz w:val="18"/>
              </w:rPr>
            </w:pPr>
            <w:r>
              <w:rPr>
                <w:sz w:val="18"/>
              </w:rPr>
              <w:t>2(b)</w:t>
            </w:r>
          </w:p>
        </w:tc>
        <w:tc>
          <w:tcPr>
            <w:tcW w:w="1732" w:type="dxa"/>
          </w:tcPr>
          <w:p>
            <w:pPr>
              <w:pStyle w:val="TableParagraph"/>
              <w:spacing w:line="197" w:lineRule="exact"/>
              <w:ind w:right="352"/>
              <w:rPr>
                <w:b/>
                <w:sz w:val="18"/>
              </w:rPr>
            </w:pPr>
            <w:r>
              <w:rPr>
                <w:b/>
                <w:w w:val="95"/>
                <w:sz w:val="18"/>
              </w:rPr>
              <w:t>223,757</w:t>
            </w:r>
          </w:p>
        </w:tc>
        <w:tc>
          <w:tcPr>
            <w:tcW w:w="1382" w:type="dxa"/>
          </w:tcPr>
          <w:p>
            <w:pPr>
              <w:pStyle w:val="TableParagraph"/>
              <w:spacing w:line="197" w:lineRule="exact"/>
              <w:ind w:right="436"/>
              <w:rPr>
                <w:sz w:val="18"/>
              </w:rPr>
            </w:pPr>
            <w:r>
              <w:rPr>
                <w:w w:val="95"/>
                <w:sz w:val="18"/>
              </w:rPr>
              <w:t>221,292</w:t>
            </w:r>
          </w:p>
        </w:tc>
        <w:tc>
          <w:tcPr>
            <w:tcW w:w="1352" w:type="dxa"/>
          </w:tcPr>
          <w:p>
            <w:pPr>
              <w:pStyle w:val="TableParagraph"/>
              <w:spacing w:line="197" w:lineRule="exact"/>
              <w:ind w:right="322"/>
              <w:rPr>
                <w:b/>
                <w:sz w:val="18"/>
              </w:rPr>
            </w:pPr>
            <w:r>
              <w:rPr>
                <w:b/>
                <w:w w:val="95"/>
                <w:sz w:val="18"/>
              </w:rPr>
              <w:t>223,757</w:t>
            </w:r>
          </w:p>
        </w:tc>
        <w:tc>
          <w:tcPr>
            <w:tcW w:w="1061" w:type="dxa"/>
          </w:tcPr>
          <w:p>
            <w:pPr>
              <w:pStyle w:val="TableParagraph"/>
              <w:spacing w:line="197" w:lineRule="exact"/>
              <w:ind w:right="86"/>
              <w:rPr>
                <w:sz w:val="18"/>
              </w:rPr>
            </w:pPr>
            <w:r>
              <w:rPr>
                <w:w w:val="95"/>
                <w:sz w:val="18"/>
              </w:rPr>
              <w:t>221,316</w:t>
            </w:r>
          </w:p>
        </w:tc>
      </w:tr>
      <w:tr>
        <w:trPr>
          <w:trHeight w:val="468" w:hRule="exact"/>
        </w:trPr>
        <w:tc>
          <w:tcPr>
            <w:tcW w:w="3220" w:type="dxa"/>
          </w:tcPr>
          <w:p>
            <w:pPr>
              <w:pStyle w:val="TableParagraph"/>
              <w:spacing w:before="18"/>
              <w:ind w:left="35" w:right="373"/>
              <w:jc w:val="left"/>
              <w:rPr>
                <w:sz w:val="18"/>
              </w:rPr>
            </w:pPr>
            <w:r>
              <w:rPr>
                <w:sz w:val="18"/>
              </w:rPr>
              <w:t>State and Local Government financial assistance</w:t>
            </w:r>
          </w:p>
        </w:tc>
        <w:tc>
          <w:tcPr>
            <w:tcW w:w="1018" w:type="dxa"/>
          </w:tcPr>
          <w:p>
            <w:pPr>
              <w:pStyle w:val="TableParagraph"/>
              <w:spacing w:before="4"/>
              <w:jc w:val="left"/>
              <w:rPr>
                <w:b/>
                <w:sz w:val="19"/>
              </w:rPr>
            </w:pPr>
          </w:p>
          <w:p>
            <w:pPr>
              <w:pStyle w:val="TableParagraph"/>
              <w:ind w:right="229"/>
              <w:rPr>
                <w:sz w:val="18"/>
              </w:rPr>
            </w:pPr>
            <w:r>
              <w:rPr>
                <w:w w:val="99"/>
                <w:sz w:val="18"/>
              </w:rPr>
              <w:t>3</w:t>
            </w:r>
          </w:p>
        </w:tc>
        <w:tc>
          <w:tcPr>
            <w:tcW w:w="1732" w:type="dxa"/>
          </w:tcPr>
          <w:p>
            <w:pPr>
              <w:pStyle w:val="TableParagraph"/>
              <w:spacing w:before="4"/>
              <w:jc w:val="left"/>
              <w:rPr>
                <w:b/>
                <w:sz w:val="19"/>
              </w:rPr>
            </w:pPr>
          </w:p>
          <w:p>
            <w:pPr>
              <w:pStyle w:val="TableParagraph"/>
              <w:ind w:right="351"/>
              <w:rPr>
                <w:b/>
                <w:sz w:val="18"/>
              </w:rPr>
            </w:pPr>
            <w:r>
              <w:rPr>
                <w:b/>
                <w:w w:val="99"/>
                <w:sz w:val="18"/>
              </w:rPr>
              <w:t>6</w:t>
            </w:r>
          </w:p>
        </w:tc>
        <w:tc>
          <w:tcPr>
            <w:tcW w:w="1382" w:type="dxa"/>
          </w:tcPr>
          <w:p>
            <w:pPr>
              <w:pStyle w:val="TableParagraph"/>
              <w:spacing w:before="4"/>
              <w:jc w:val="left"/>
              <w:rPr>
                <w:b/>
                <w:sz w:val="19"/>
              </w:rPr>
            </w:pPr>
          </w:p>
          <w:p>
            <w:pPr>
              <w:pStyle w:val="TableParagraph"/>
              <w:ind w:right="437"/>
              <w:rPr>
                <w:sz w:val="18"/>
              </w:rPr>
            </w:pPr>
            <w:r>
              <w:rPr>
                <w:w w:val="99"/>
                <w:sz w:val="18"/>
              </w:rPr>
              <w:t>-</w:t>
            </w:r>
          </w:p>
        </w:tc>
        <w:tc>
          <w:tcPr>
            <w:tcW w:w="1352" w:type="dxa"/>
          </w:tcPr>
          <w:p>
            <w:pPr>
              <w:pStyle w:val="TableParagraph"/>
              <w:spacing w:before="4"/>
              <w:jc w:val="left"/>
              <w:rPr>
                <w:b/>
                <w:sz w:val="19"/>
              </w:rPr>
            </w:pPr>
          </w:p>
          <w:p>
            <w:pPr>
              <w:pStyle w:val="TableParagraph"/>
              <w:ind w:right="322"/>
              <w:rPr>
                <w:b/>
                <w:sz w:val="18"/>
              </w:rPr>
            </w:pPr>
            <w:r>
              <w:rPr>
                <w:b/>
                <w:w w:val="99"/>
                <w:sz w:val="18"/>
              </w:rPr>
              <w:t>6</w:t>
            </w:r>
          </w:p>
        </w:tc>
        <w:tc>
          <w:tcPr>
            <w:tcW w:w="1061" w:type="dxa"/>
          </w:tcPr>
          <w:p>
            <w:pPr>
              <w:pStyle w:val="TableParagraph"/>
              <w:spacing w:before="4"/>
              <w:jc w:val="left"/>
              <w:rPr>
                <w:b/>
                <w:sz w:val="19"/>
              </w:rPr>
            </w:pPr>
          </w:p>
          <w:p>
            <w:pPr>
              <w:pStyle w:val="TableParagraph"/>
              <w:ind w:right="86"/>
              <w:rPr>
                <w:sz w:val="18"/>
              </w:rPr>
            </w:pPr>
            <w:r>
              <w:rPr>
                <w:w w:val="99"/>
                <w:sz w:val="18"/>
              </w:rPr>
              <w:t>-</w:t>
            </w:r>
          </w:p>
        </w:tc>
      </w:tr>
      <w:tr>
        <w:trPr>
          <w:trHeight w:val="263" w:hRule="exact"/>
        </w:trPr>
        <w:tc>
          <w:tcPr>
            <w:tcW w:w="3220" w:type="dxa"/>
          </w:tcPr>
          <w:p>
            <w:pPr>
              <w:pStyle w:val="TableParagraph"/>
              <w:spacing w:before="18"/>
              <w:ind w:left="35" w:right="373"/>
              <w:jc w:val="left"/>
              <w:rPr>
                <w:sz w:val="18"/>
              </w:rPr>
            </w:pPr>
            <w:r>
              <w:rPr>
                <w:sz w:val="18"/>
              </w:rPr>
              <w:t>HECS-HELP - student payments</w:t>
            </w:r>
          </w:p>
        </w:tc>
        <w:tc>
          <w:tcPr>
            <w:tcW w:w="1018" w:type="dxa"/>
          </w:tcPr>
          <w:p>
            <w:pPr/>
          </w:p>
        </w:tc>
        <w:tc>
          <w:tcPr>
            <w:tcW w:w="1732" w:type="dxa"/>
          </w:tcPr>
          <w:p>
            <w:pPr>
              <w:pStyle w:val="TableParagraph"/>
              <w:spacing w:before="19"/>
              <w:ind w:right="352"/>
              <w:rPr>
                <w:b/>
                <w:sz w:val="18"/>
              </w:rPr>
            </w:pPr>
            <w:r>
              <w:rPr>
                <w:b/>
                <w:w w:val="95"/>
                <w:sz w:val="18"/>
              </w:rPr>
              <w:t>14,594</w:t>
            </w:r>
          </w:p>
        </w:tc>
        <w:tc>
          <w:tcPr>
            <w:tcW w:w="1382" w:type="dxa"/>
          </w:tcPr>
          <w:p>
            <w:pPr>
              <w:pStyle w:val="TableParagraph"/>
              <w:spacing w:before="19"/>
              <w:ind w:right="436"/>
              <w:rPr>
                <w:sz w:val="18"/>
              </w:rPr>
            </w:pPr>
            <w:r>
              <w:rPr>
                <w:w w:val="95"/>
                <w:sz w:val="18"/>
              </w:rPr>
              <w:t>14,821</w:t>
            </w:r>
          </w:p>
        </w:tc>
        <w:tc>
          <w:tcPr>
            <w:tcW w:w="1352" w:type="dxa"/>
          </w:tcPr>
          <w:p>
            <w:pPr>
              <w:pStyle w:val="TableParagraph"/>
              <w:spacing w:before="19"/>
              <w:ind w:right="322"/>
              <w:rPr>
                <w:b/>
                <w:sz w:val="18"/>
              </w:rPr>
            </w:pPr>
            <w:r>
              <w:rPr>
                <w:b/>
                <w:w w:val="95"/>
                <w:sz w:val="18"/>
              </w:rPr>
              <w:t>14,594</w:t>
            </w:r>
          </w:p>
        </w:tc>
        <w:tc>
          <w:tcPr>
            <w:tcW w:w="1061" w:type="dxa"/>
          </w:tcPr>
          <w:p>
            <w:pPr>
              <w:pStyle w:val="TableParagraph"/>
              <w:spacing w:before="19"/>
              <w:ind w:right="86"/>
              <w:rPr>
                <w:sz w:val="18"/>
              </w:rPr>
            </w:pPr>
            <w:r>
              <w:rPr>
                <w:w w:val="95"/>
                <w:sz w:val="18"/>
              </w:rPr>
              <w:t>14,821</w:t>
            </w:r>
          </w:p>
        </w:tc>
      </w:tr>
      <w:tr>
        <w:trPr>
          <w:trHeight w:val="264" w:hRule="exact"/>
        </w:trPr>
        <w:tc>
          <w:tcPr>
            <w:tcW w:w="3220" w:type="dxa"/>
          </w:tcPr>
          <w:p>
            <w:pPr>
              <w:pStyle w:val="TableParagraph"/>
              <w:spacing w:before="18"/>
              <w:ind w:left="35" w:right="373"/>
              <w:jc w:val="left"/>
              <w:rPr>
                <w:sz w:val="18"/>
              </w:rPr>
            </w:pPr>
            <w:r>
              <w:rPr>
                <w:sz w:val="18"/>
              </w:rPr>
              <w:t>Fees and charges</w:t>
            </w:r>
          </w:p>
        </w:tc>
        <w:tc>
          <w:tcPr>
            <w:tcW w:w="1018" w:type="dxa"/>
          </w:tcPr>
          <w:p>
            <w:pPr>
              <w:pStyle w:val="TableParagraph"/>
              <w:spacing w:before="19"/>
              <w:ind w:right="229"/>
              <w:rPr>
                <w:sz w:val="18"/>
              </w:rPr>
            </w:pPr>
            <w:r>
              <w:rPr>
                <w:w w:val="99"/>
                <w:sz w:val="18"/>
              </w:rPr>
              <w:t>4</w:t>
            </w:r>
          </w:p>
        </w:tc>
        <w:tc>
          <w:tcPr>
            <w:tcW w:w="1732" w:type="dxa"/>
          </w:tcPr>
          <w:p>
            <w:pPr>
              <w:pStyle w:val="TableParagraph"/>
              <w:spacing w:before="19"/>
              <w:ind w:right="352"/>
              <w:rPr>
                <w:b/>
                <w:sz w:val="18"/>
              </w:rPr>
            </w:pPr>
            <w:r>
              <w:rPr>
                <w:b/>
                <w:w w:val="95"/>
                <w:sz w:val="18"/>
              </w:rPr>
              <w:t>96,688</w:t>
            </w:r>
          </w:p>
        </w:tc>
        <w:tc>
          <w:tcPr>
            <w:tcW w:w="1382" w:type="dxa"/>
          </w:tcPr>
          <w:p>
            <w:pPr>
              <w:pStyle w:val="TableParagraph"/>
              <w:spacing w:before="19"/>
              <w:ind w:right="436"/>
              <w:rPr>
                <w:sz w:val="18"/>
              </w:rPr>
            </w:pPr>
            <w:r>
              <w:rPr>
                <w:w w:val="95"/>
                <w:sz w:val="18"/>
              </w:rPr>
              <w:t>93,976</w:t>
            </w:r>
          </w:p>
        </w:tc>
        <w:tc>
          <w:tcPr>
            <w:tcW w:w="1352" w:type="dxa"/>
          </w:tcPr>
          <w:p>
            <w:pPr>
              <w:pStyle w:val="TableParagraph"/>
              <w:spacing w:before="19"/>
              <w:ind w:right="322"/>
              <w:rPr>
                <w:b/>
                <w:sz w:val="18"/>
              </w:rPr>
            </w:pPr>
            <w:r>
              <w:rPr>
                <w:b/>
                <w:w w:val="95"/>
                <w:sz w:val="18"/>
              </w:rPr>
              <w:t>87,660</w:t>
            </w:r>
          </w:p>
        </w:tc>
        <w:tc>
          <w:tcPr>
            <w:tcW w:w="1061" w:type="dxa"/>
          </w:tcPr>
          <w:p>
            <w:pPr>
              <w:pStyle w:val="TableParagraph"/>
              <w:spacing w:before="19"/>
              <w:ind w:right="86"/>
              <w:rPr>
                <w:sz w:val="18"/>
              </w:rPr>
            </w:pPr>
            <w:r>
              <w:rPr>
                <w:w w:val="95"/>
                <w:sz w:val="18"/>
              </w:rPr>
              <w:t>79,964</w:t>
            </w:r>
          </w:p>
        </w:tc>
      </w:tr>
      <w:tr>
        <w:trPr>
          <w:trHeight w:val="264" w:hRule="exact"/>
        </w:trPr>
        <w:tc>
          <w:tcPr>
            <w:tcW w:w="3220" w:type="dxa"/>
          </w:tcPr>
          <w:p>
            <w:pPr>
              <w:pStyle w:val="TableParagraph"/>
              <w:spacing w:before="18"/>
              <w:ind w:left="35" w:right="373"/>
              <w:jc w:val="left"/>
              <w:rPr>
                <w:sz w:val="18"/>
              </w:rPr>
            </w:pPr>
            <w:r>
              <w:rPr>
                <w:sz w:val="18"/>
              </w:rPr>
              <w:t>Investment revenue</w:t>
            </w:r>
          </w:p>
        </w:tc>
        <w:tc>
          <w:tcPr>
            <w:tcW w:w="1018" w:type="dxa"/>
          </w:tcPr>
          <w:p>
            <w:pPr>
              <w:pStyle w:val="TableParagraph"/>
              <w:spacing w:before="19"/>
              <w:ind w:right="229"/>
              <w:rPr>
                <w:sz w:val="18"/>
              </w:rPr>
            </w:pPr>
            <w:r>
              <w:rPr>
                <w:w w:val="99"/>
                <w:sz w:val="18"/>
              </w:rPr>
              <w:t>5</w:t>
            </w:r>
          </w:p>
        </w:tc>
        <w:tc>
          <w:tcPr>
            <w:tcW w:w="1732" w:type="dxa"/>
          </w:tcPr>
          <w:p>
            <w:pPr>
              <w:pStyle w:val="TableParagraph"/>
              <w:spacing w:before="19"/>
              <w:ind w:right="352"/>
              <w:rPr>
                <w:b/>
                <w:sz w:val="18"/>
              </w:rPr>
            </w:pPr>
            <w:r>
              <w:rPr>
                <w:b/>
                <w:sz w:val="18"/>
              </w:rPr>
              <w:t>8,535</w:t>
            </w:r>
          </w:p>
        </w:tc>
        <w:tc>
          <w:tcPr>
            <w:tcW w:w="1382" w:type="dxa"/>
          </w:tcPr>
          <w:p>
            <w:pPr>
              <w:pStyle w:val="TableParagraph"/>
              <w:spacing w:before="19"/>
              <w:ind w:right="436"/>
              <w:rPr>
                <w:sz w:val="18"/>
              </w:rPr>
            </w:pPr>
            <w:r>
              <w:rPr>
                <w:w w:val="95"/>
                <w:sz w:val="18"/>
              </w:rPr>
              <w:t>12,579</w:t>
            </w:r>
          </w:p>
        </w:tc>
        <w:tc>
          <w:tcPr>
            <w:tcW w:w="1352" w:type="dxa"/>
          </w:tcPr>
          <w:p>
            <w:pPr>
              <w:pStyle w:val="TableParagraph"/>
              <w:spacing w:before="19"/>
              <w:ind w:right="322"/>
              <w:rPr>
                <w:b/>
                <w:sz w:val="18"/>
              </w:rPr>
            </w:pPr>
            <w:r>
              <w:rPr>
                <w:b/>
                <w:sz w:val="18"/>
              </w:rPr>
              <w:t>8,456</w:t>
            </w:r>
          </w:p>
        </w:tc>
        <w:tc>
          <w:tcPr>
            <w:tcW w:w="1061" w:type="dxa"/>
          </w:tcPr>
          <w:p>
            <w:pPr>
              <w:pStyle w:val="TableParagraph"/>
              <w:spacing w:before="19"/>
              <w:ind w:right="86"/>
              <w:rPr>
                <w:sz w:val="18"/>
              </w:rPr>
            </w:pPr>
            <w:r>
              <w:rPr>
                <w:w w:val="95"/>
                <w:sz w:val="18"/>
              </w:rPr>
              <w:t>12,536</w:t>
            </w:r>
          </w:p>
        </w:tc>
      </w:tr>
      <w:tr>
        <w:trPr>
          <w:trHeight w:val="469" w:hRule="exact"/>
        </w:trPr>
        <w:tc>
          <w:tcPr>
            <w:tcW w:w="3220" w:type="dxa"/>
          </w:tcPr>
          <w:p>
            <w:pPr>
              <w:pStyle w:val="TableParagraph"/>
              <w:spacing w:before="18"/>
              <w:ind w:left="35" w:right="373"/>
              <w:jc w:val="left"/>
              <w:rPr>
                <w:sz w:val="18"/>
              </w:rPr>
            </w:pPr>
            <w:r>
              <w:rPr>
                <w:sz w:val="18"/>
              </w:rPr>
              <w:t>Royalties, Trademarks and Licences</w:t>
            </w:r>
          </w:p>
        </w:tc>
        <w:tc>
          <w:tcPr>
            <w:tcW w:w="1018" w:type="dxa"/>
          </w:tcPr>
          <w:p>
            <w:pPr>
              <w:pStyle w:val="TableParagraph"/>
              <w:spacing w:before="5"/>
              <w:jc w:val="left"/>
              <w:rPr>
                <w:b/>
                <w:sz w:val="19"/>
              </w:rPr>
            </w:pPr>
          </w:p>
          <w:p>
            <w:pPr>
              <w:pStyle w:val="TableParagraph"/>
              <w:ind w:right="229"/>
              <w:rPr>
                <w:sz w:val="18"/>
              </w:rPr>
            </w:pPr>
            <w:r>
              <w:rPr>
                <w:w w:val="99"/>
                <w:sz w:val="18"/>
              </w:rPr>
              <w:t>6</w:t>
            </w:r>
          </w:p>
        </w:tc>
        <w:tc>
          <w:tcPr>
            <w:tcW w:w="1732" w:type="dxa"/>
          </w:tcPr>
          <w:p>
            <w:pPr>
              <w:pStyle w:val="TableParagraph"/>
              <w:spacing w:before="5"/>
              <w:jc w:val="left"/>
              <w:rPr>
                <w:b/>
                <w:sz w:val="19"/>
              </w:rPr>
            </w:pPr>
          </w:p>
          <w:p>
            <w:pPr>
              <w:pStyle w:val="TableParagraph"/>
              <w:ind w:right="352"/>
              <w:rPr>
                <w:b/>
                <w:sz w:val="18"/>
              </w:rPr>
            </w:pPr>
            <w:r>
              <w:rPr>
                <w:b/>
                <w:sz w:val="18"/>
              </w:rPr>
              <w:t>262</w:t>
            </w:r>
          </w:p>
        </w:tc>
        <w:tc>
          <w:tcPr>
            <w:tcW w:w="1382" w:type="dxa"/>
          </w:tcPr>
          <w:p>
            <w:pPr>
              <w:pStyle w:val="TableParagraph"/>
              <w:spacing w:before="5"/>
              <w:jc w:val="left"/>
              <w:rPr>
                <w:b/>
                <w:sz w:val="19"/>
              </w:rPr>
            </w:pPr>
          </w:p>
          <w:p>
            <w:pPr>
              <w:pStyle w:val="TableParagraph"/>
              <w:ind w:right="437"/>
              <w:rPr>
                <w:sz w:val="18"/>
              </w:rPr>
            </w:pPr>
            <w:r>
              <w:rPr>
                <w:sz w:val="18"/>
              </w:rPr>
              <w:t>221</w:t>
            </w:r>
          </w:p>
        </w:tc>
        <w:tc>
          <w:tcPr>
            <w:tcW w:w="1352" w:type="dxa"/>
          </w:tcPr>
          <w:p>
            <w:pPr>
              <w:pStyle w:val="TableParagraph"/>
              <w:spacing w:before="5"/>
              <w:jc w:val="left"/>
              <w:rPr>
                <w:b/>
                <w:sz w:val="19"/>
              </w:rPr>
            </w:pPr>
          </w:p>
          <w:p>
            <w:pPr>
              <w:pStyle w:val="TableParagraph"/>
              <w:ind w:right="322"/>
              <w:rPr>
                <w:b/>
                <w:sz w:val="18"/>
              </w:rPr>
            </w:pPr>
            <w:r>
              <w:rPr>
                <w:b/>
                <w:sz w:val="18"/>
              </w:rPr>
              <w:t>262</w:t>
            </w:r>
          </w:p>
        </w:tc>
        <w:tc>
          <w:tcPr>
            <w:tcW w:w="1061" w:type="dxa"/>
          </w:tcPr>
          <w:p>
            <w:pPr>
              <w:pStyle w:val="TableParagraph"/>
              <w:spacing w:before="5"/>
              <w:jc w:val="left"/>
              <w:rPr>
                <w:b/>
                <w:sz w:val="19"/>
              </w:rPr>
            </w:pPr>
          </w:p>
          <w:p>
            <w:pPr>
              <w:pStyle w:val="TableParagraph"/>
              <w:ind w:right="86"/>
              <w:rPr>
                <w:sz w:val="18"/>
              </w:rPr>
            </w:pPr>
            <w:r>
              <w:rPr>
                <w:sz w:val="18"/>
              </w:rPr>
              <w:t>194</w:t>
            </w:r>
          </w:p>
        </w:tc>
      </w:tr>
      <w:tr>
        <w:trPr>
          <w:trHeight w:val="263" w:hRule="exact"/>
        </w:trPr>
        <w:tc>
          <w:tcPr>
            <w:tcW w:w="3220" w:type="dxa"/>
          </w:tcPr>
          <w:p>
            <w:pPr>
              <w:pStyle w:val="TableParagraph"/>
              <w:spacing w:before="18"/>
              <w:ind w:left="35" w:right="373"/>
              <w:jc w:val="left"/>
              <w:rPr>
                <w:sz w:val="18"/>
              </w:rPr>
            </w:pPr>
            <w:r>
              <w:rPr>
                <w:sz w:val="18"/>
              </w:rPr>
              <w:t>Consultancy and contracts</w:t>
            </w:r>
          </w:p>
        </w:tc>
        <w:tc>
          <w:tcPr>
            <w:tcW w:w="1018" w:type="dxa"/>
          </w:tcPr>
          <w:p>
            <w:pPr>
              <w:pStyle w:val="TableParagraph"/>
              <w:spacing w:before="19"/>
              <w:ind w:right="229"/>
              <w:rPr>
                <w:sz w:val="18"/>
              </w:rPr>
            </w:pPr>
            <w:r>
              <w:rPr>
                <w:w w:val="99"/>
                <w:sz w:val="18"/>
              </w:rPr>
              <w:t>7</w:t>
            </w:r>
          </w:p>
        </w:tc>
        <w:tc>
          <w:tcPr>
            <w:tcW w:w="1732" w:type="dxa"/>
          </w:tcPr>
          <w:p>
            <w:pPr>
              <w:pStyle w:val="TableParagraph"/>
              <w:spacing w:before="19"/>
              <w:ind w:right="352"/>
              <w:rPr>
                <w:b/>
                <w:sz w:val="18"/>
              </w:rPr>
            </w:pPr>
            <w:r>
              <w:rPr>
                <w:b/>
                <w:w w:val="95"/>
                <w:sz w:val="18"/>
              </w:rPr>
              <w:t>17,927</w:t>
            </w:r>
          </w:p>
        </w:tc>
        <w:tc>
          <w:tcPr>
            <w:tcW w:w="1382" w:type="dxa"/>
          </w:tcPr>
          <w:p>
            <w:pPr>
              <w:pStyle w:val="TableParagraph"/>
              <w:spacing w:before="19"/>
              <w:ind w:right="436"/>
              <w:rPr>
                <w:sz w:val="18"/>
              </w:rPr>
            </w:pPr>
            <w:r>
              <w:rPr>
                <w:w w:val="95"/>
                <w:sz w:val="18"/>
              </w:rPr>
              <w:t>14,156</w:t>
            </w:r>
          </w:p>
        </w:tc>
        <w:tc>
          <w:tcPr>
            <w:tcW w:w="1352" w:type="dxa"/>
          </w:tcPr>
          <w:p>
            <w:pPr>
              <w:pStyle w:val="TableParagraph"/>
              <w:spacing w:before="19"/>
              <w:ind w:right="322"/>
              <w:rPr>
                <w:b/>
                <w:sz w:val="18"/>
              </w:rPr>
            </w:pPr>
            <w:r>
              <w:rPr>
                <w:b/>
                <w:w w:val="95"/>
                <w:sz w:val="18"/>
              </w:rPr>
              <w:t>17,923</w:t>
            </w:r>
          </w:p>
        </w:tc>
        <w:tc>
          <w:tcPr>
            <w:tcW w:w="1061" w:type="dxa"/>
          </w:tcPr>
          <w:p>
            <w:pPr>
              <w:pStyle w:val="TableParagraph"/>
              <w:spacing w:before="19"/>
              <w:ind w:right="86"/>
              <w:rPr>
                <w:sz w:val="18"/>
              </w:rPr>
            </w:pPr>
            <w:r>
              <w:rPr>
                <w:w w:val="95"/>
                <w:sz w:val="18"/>
              </w:rPr>
              <w:t>14,171</w:t>
            </w:r>
          </w:p>
        </w:tc>
      </w:tr>
      <w:tr>
        <w:trPr>
          <w:trHeight w:val="675" w:hRule="exact"/>
        </w:trPr>
        <w:tc>
          <w:tcPr>
            <w:tcW w:w="3220" w:type="dxa"/>
          </w:tcPr>
          <w:p>
            <w:pPr>
              <w:pStyle w:val="TableParagraph"/>
              <w:spacing w:before="18"/>
              <w:ind w:left="35" w:right="373"/>
              <w:jc w:val="left"/>
              <w:rPr>
                <w:sz w:val="18"/>
              </w:rPr>
            </w:pPr>
            <w:r>
              <w:rPr>
                <w:sz w:val="18"/>
              </w:rPr>
              <w:t>Share of net profit or loss on investments accounted for using the equity method</w:t>
            </w:r>
          </w:p>
        </w:tc>
        <w:tc>
          <w:tcPr>
            <w:tcW w:w="1018" w:type="dxa"/>
          </w:tcPr>
          <w:p>
            <w:pPr>
              <w:pStyle w:val="TableParagraph"/>
              <w:jc w:val="left"/>
              <w:rPr>
                <w:b/>
                <w:sz w:val="18"/>
              </w:rPr>
            </w:pPr>
          </w:p>
          <w:p>
            <w:pPr>
              <w:pStyle w:val="TableParagraph"/>
              <w:spacing w:before="4"/>
              <w:jc w:val="left"/>
              <w:rPr>
                <w:b/>
                <w:sz w:val="19"/>
              </w:rPr>
            </w:pPr>
          </w:p>
          <w:p>
            <w:pPr>
              <w:pStyle w:val="TableParagraph"/>
              <w:ind w:right="229"/>
              <w:rPr>
                <w:sz w:val="18"/>
              </w:rPr>
            </w:pPr>
            <w:r>
              <w:rPr>
                <w:w w:val="99"/>
                <w:sz w:val="18"/>
              </w:rPr>
              <w:t>8</w:t>
            </w:r>
          </w:p>
        </w:tc>
        <w:tc>
          <w:tcPr>
            <w:tcW w:w="1732" w:type="dxa"/>
          </w:tcPr>
          <w:p>
            <w:pPr>
              <w:pStyle w:val="TableParagraph"/>
              <w:jc w:val="left"/>
              <w:rPr>
                <w:b/>
                <w:sz w:val="18"/>
              </w:rPr>
            </w:pPr>
          </w:p>
          <w:p>
            <w:pPr>
              <w:pStyle w:val="TableParagraph"/>
              <w:spacing w:before="4"/>
              <w:jc w:val="left"/>
              <w:rPr>
                <w:b/>
                <w:sz w:val="19"/>
              </w:rPr>
            </w:pPr>
          </w:p>
          <w:p>
            <w:pPr>
              <w:pStyle w:val="TableParagraph"/>
              <w:ind w:right="292"/>
              <w:rPr>
                <w:b/>
                <w:sz w:val="18"/>
              </w:rPr>
            </w:pPr>
            <w:r>
              <w:rPr>
                <w:b/>
                <w:w w:val="95"/>
                <w:sz w:val="18"/>
              </w:rPr>
              <w:t>(1,052)</w:t>
            </w:r>
          </w:p>
        </w:tc>
        <w:tc>
          <w:tcPr>
            <w:tcW w:w="1382" w:type="dxa"/>
          </w:tcPr>
          <w:p>
            <w:pPr>
              <w:pStyle w:val="TableParagraph"/>
              <w:jc w:val="left"/>
              <w:rPr>
                <w:b/>
                <w:sz w:val="18"/>
              </w:rPr>
            </w:pPr>
          </w:p>
          <w:p>
            <w:pPr>
              <w:pStyle w:val="TableParagraph"/>
              <w:spacing w:before="4"/>
              <w:jc w:val="left"/>
              <w:rPr>
                <w:b/>
                <w:sz w:val="19"/>
              </w:rPr>
            </w:pPr>
          </w:p>
          <w:p>
            <w:pPr>
              <w:pStyle w:val="TableParagraph"/>
              <w:ind w:right="377"/>
              <w:rPr>
                <w:sz w:val="18"/>
              </w:rPr>
            </w:pPr>
            <w:r>
              <w:rPr>
                <w:sz w:val="18"/>
              </w:rPr>
              <w:t>(119)</w:t>
            </w:r>
          </w:p>
        </w:tc>
        <w:tc>
          <w:tcPr>
            <w:tcW w:w="1352" w:type="dxa"/>
          </w:tcPr>
          <w:p>
            <w:pPr>
              <w:pStyle w:val="TableParagraph"/>
              <w:jc w:val="left"/>
              <w:rPr>
                <w:b/>
                <w:sz w:val="18"/>
              </w:rPr>
            </w:pPr>
          </w:p>
          <w:p>
            <w:pPr>
              <w:pStyle w:val="TableParagraph"/>
              <w:spacing w:before="4"/>
              <w:jc w:val="left"/>
              <w:rPr>
                <w:b/>
                <w:sz w:val="19"/>
              </w:rPr>
            </w:pPr>
          </w:p>
          <w:p>
            <w:pPr>
              <w:pStyle w:val="TableParagraph"/>
              <w:ind w:right="322"/>
              <w:rPr>
                <w:b/>
                <w:sz w:val="18"/>
              </w:rPr>
            </w:pPr>
            <w:r>
              <w:rPr>
                <w:b/>
                <w:w w:val="99"/>
                <w:sz w:val="18"/>
              </w:rPr>
              <w:t>-</w:t>
            </w:r>
          </w:p>
        </w:tc>
        <w:tc>
          <w:tcPr>
            <w:tcW w:w="1061" w:type="dxa"/>
          </w:tcPr>
          <w:p>
            <w:pPr>
              <w:pStyle w:val="TableParagraph"/>
              <w:jc w:val="left"/>
              <w:rPr>
                <w:b/>
                <w:sz w:val="18"/>
              </w:rPr>
            </w:pPr>
          </w:p>
          <w:p>
            <w:pPr>
              <w:pStyle w:val="TableParagraph"/>
              <w:spacing w:before="4"/>
              <w:jc w:val="left"/>
              <w:rPr>
                <w:b/>
                <w:sz w:val="19"/>
              </w:rPr>
            </w:pPr>
          </w:p>
          <w:p>
            <w:pPr>
              <w:pStyle w:val="TableParagraph"/>
              <w:ind w:right="86"/>
              <w:rPr>
                <w:sz w:val="18"/>
              </w:rPr>
            </w:pPr>
            <w:r>
              <w:rPr>
                <w:w w:val="99"/>
                <w:sz w:val="18"/>
              </w:rPr>
              <w:t>-</w:t>
            </w:r>
          </w:p>
        </w:tc>
      </w:tr>
      <w:tr>
        <w:trPr>
          <w:trHeight w:val="263" w:hRule="exact"/>
        </w:trPr>
        <w:tc>
          <w:tcPr>
            <w:tcW w:w="3220" w:type="dxa"/>
          </w:tcPr>
          <w:p>
            <w:pPr>
              <w:pStyle w:val="TableParagraph"/>
              <w:spacing w:before="18"/>
              <w:ind w:left="35" w:right="373"/>
              <w:jc w:val="left"/>
              <w:rPr>
                <w:sz w:val="18"/>
              </w:rPr>
            </w:pPr>
            <w:r>
              <w:rPr>
                <w:sz w:val="18"/>
              </w:rPr>
              <w:t>Other income</w:t>
            </w:r>
          </w:p>
        </w:tc>
        <w:tc>
          <w:tcPr>
            <w:tcW w:w="1018" w:type="dxa"/>
          </w:tcPr>
          <w:p>
            <w:pPr>
              <w:pStyle w:val="TableParagraph"/>
              <w:spacing w:before="19"/>
              <w:ind w:right="229"/>
              <w:rPr>
                <w:sz w:val="18"/>
              </w:rPr>
            </w:pPr>
            <w:r>
              <w:rPr>
                <w:w w:val="99"/>
                <w:sz w:val="18"/>
              </w:rPr>
              <w:t>9</w:t>
            </w:r>
          </w:p>
        </w:tc>
        <w:tc>
          <w:tcPr>
            <w:tcW w:w="1732" w:type="dxa"/>
          </w:tcPr>
          <w:p>
            <w:pPr>
              <w:pStyle w:val="TableParagraph"/>
              <w:spacing w:before="19"/>
              <w:ind w:right="352"/>
              <w:rPr>
                <w:b/>
                <w:sz w:val="18"/>
              </w:rPr>
            </w:pPr>
            <w:r>
              <w:rPr>
                <w:b/>
                <w:w w:val="95"/>
                <w:sz w:val="18"/>
              </w:rPr>
              <w:t>55,433</w:t>
            </w:r>
          </w:p>
        </w:tc>
        <w:tc>
          <w:tcPr>
            <w:tcW w:w="1382" w:type="dxa"/>
          </w:tcPr>
          <w:p>
            <w:pPr>
              <w:pStyle w:val="TableParagraph"/>
              <w:spacing w:before="19"/>
              <w:ind w:right="436"/>
              <w:rPr>
                <w:sz w:val="18"/>
              </w:rPr>
            </w:pPr>
            <w:r>
              <w:rPr>
                <w:w w:val="95"/>
                <w:sz w:val="18"/>
              </w:rPr>
              <w:t>49,688</w:t>
            </w:r>
          </w:p>
        </w:tc>
        <w:tc>
          <w:tcPr>
            <w:tcW w:w="1352" w:type="dxa"/>
          </w:tcPr>
          <w:p>
            <w:pPr>
              <w:pStyle w:val="TableParagraph"/>
              <w:spacing w:before="19"/>
              <w:ind w:right="322"/>
              <w:rPr>
                <w:b/>
                <w:sz w:val="18"/>
              </w:rPr>
            </w:pPr>
            <w:r>
              <w:rPr>
                <w:b/>
                <w:w w:val="95"/>
                <w:sz w:val="18"/>
              </w:rPr>
              <w:t>52,674</w:t>
            </w:r>
          </w:p>
        </w:tc>
        <w:tc>
          <w:tcPr>
            <w:tcW w:w="1061" w:type="dxa"/>
          </w:tcPr>
          <w:p>
            <w:pPr>
              <w:pStyle w:val="TableParagraph"/>
              <w:spacing w:before="19"/>
              <w:ind w:right="86"/>
              <w:rPr>
                <w:sz w:val="18"/>
              </w:rPr>
            </w:pPr>
            <w:r>
              <w:rPr>
                <w:w w:val="95"/>
                <w:sz w:val="18"/>
              </w:rPr>
              <w:t>39,499</w:t>
            </w:r>
          </w:p>
        </w:tc>
      </w:tr>
      <w:tr>
        <w:trPr>
          <w:trHeight w:val="263" w:hRule="exact"/>
        </w:trPr>
        <w:tc>
          <w:tcPr>
            <w:tcW w:w="3220" w:type="dxa"/>
          </w:tcPr>
          <w:p>
            <w:pPr>
              <w:pStyle w:val="TableParagraph"/>
              <w:spacing w:before="18"/>
              <w:ind w:left="35" w:right="373"/>
              <w:jc w:val="left"/>
              <w:rPr>
                <w:sz w:val="18"/>
              </w:rPr>
            </w:pPr>
            <w:r>
              <w:rPr>
                <w:sz w:val="18"/>
              </w:rPr>
              <w:t>Gain on disposal of assets</w:t>
            </w:r>
          </w:p>
        </w:tc>
        <w:tc>
          <w:tcPr>
            <w:tcW w:w="1018" w:type="dxa"/>
          </w:tcPr>
          <w:p>
            <w:pPr>
              <w:pStyle w:val="TableParagraph"/>
              <w:spacing w:before="19"/>
              <w:ind w:right="180"/>
              <w:rPr>
                <w:sz w:val="18"/>
              </w:rPr>
            </w:pPr>
            <w:r>
              <w:rPr>
                <w:sz w:val="18"/>
              </w:rPr>
              <w:t>10</w:t>
            </w:r>
          </w:p>
        </w:tc>
        <w:tc>
          <w:tcPr>
            <w:tcW w:w="1732" w:type="dxa"/>
            <w:tcBorders>
              <w:bottom w:val="single" w:sz="0" w:space="0" w:color="000000"/>
            </w:tcBorders>
          </w:tcPr>
          <w:p>
            <w:pPr>
              <w:pStyle w:val="TableParagraph"/>
              <w:spacing w:before="19"/>
              <w:ind w:right="352"/>
              <w:rPr>
                <w:b/>
                <w:sz w:val="18"/>
              </w:rPr>
            </w:pPr>
            <w:r>
              <w:rPr>
                <w:b/>
                <w:w w:val="95"/>
                <w:sz w:val="18"/>
              </w:rPr>
              <w:t>13,191</w:t>
            </w:r>
          </w:p>
        </w:tc>
        <w:tc>
          <w:tcPr>
            <w:tcW w:w="1382" w:type="dxa"/>
            <w:tcBorders>
              <w:bottom w:val="single" w:sz="0" w:space="0" w:color="000000"/>
            </w:tcBorders>
          </w:tcPr>
          <w:p>
            <w:pPr>
              <w:pStyle w:val="TableParagraph"/>
              <w:spacing w:before="19"/>
              <w:ind w:right="436"/>
              <w:rPr>
                <w:sz w:val="18"/>
              </w:rPr>
            </w:pPr>
            <w:r>
              <w:rPr>
                <w:sz w:val="18"/>
              </w:rPr>
              <w:t>6,889</w:t>
            </w:r>
          </w:p>
        </w:tc>
        <w:tc>
          <w:tcPr>
            <w:tcW w:w="1352" w:type="dxa"/>
            <w:tcBorders>
              <w:bottom w:val="single" w:sz="0" w:space="0" w:color="000000"/>
            </w:tcBorders>
          </w:tcPr>
          <w:p>
            <w:pPr>
              <w:pStyle w:val="TableParagraph"/>
              <w:spacing w:before="19"/>
              <w:ind w:right="322"/>
              <w:rPr>
                <w:b/>
                <w:sz w:val="18"/>
              </w:rPr>
            </w:pPr>
            <w:r>
              <w:rPr>
                <w:b/>
                <w:w w:val="95"/>
                <w:sz w:val="18"/>
              </w:rPr>
              <w:t>12,842</w:t>
            </w:r>
          </w:p>
        </w:tc>
        <w:tc>
          <w:tcPr>
            <w:tcW w:w="1061" w:type="dxa"/>
            <w:tcBorders>
              <w:bottom w:val="single" w:sz="0" w:space="0" w:color="000000"/>
            </w:tcBorders>
          </w:tcPr>
          <w:p>
            <w:pPr>
              <w:pStyle w:val="TableParagraph"/>
              <w:spacing w:before="19"/>
              <w:ind w:right="86"/>
              <w:rPr>
                <w:sz w:val="18"/>
              </w:rPr>
            </w:pPr>
            <w:r>
              <w:rPr>
                <w:sz w:val="18"/>
              </w:rPr>
              <w:t>6,995</w:t>
            </w:r>
          </w:p>
        </w:tc>
      </w:tr>
    </w:tbl>
    <w:p>
      <w:pPr>
        <w:spacing w:line="207" w:lineRule="exact" w:before="124"/>
        <w:ind w:left="1470" w:right="0" w:firstLine="0"/>
        <w:jc w:val="left"/>
        <w:rPr>
          <w:b/>
          <w:sz w:val="18"/>
        </w:rPr>
      </w:pPr>
      <w:r>
        <w:rPr/>
        <w:drawing>
          <wp:anchor distT="0" distB="0" distL="0" distR="0" allowOverlap="1" layoutInCell="1" locked="0" behindDoc="0" simplePos="0" relativeHeight="1792">
            <wp:simplePos x="0" y="0"/>
            <wp:positionH relativeFrom="page">
              <wp:posOffset>-1587</wp:posOffset>
            </wp:positionH>
            <wp:positionV relativeFrom="paragraph">
              <wp:posOffset>-388443</wp:posOffset>
            </wp:positionV>
            <wp:extent cx="135159" cy="154019"/>
            <wp:effectExtent l="0" t="0" r="0" b="0"/>
            <wp:wrapNone/>
            <wp:docPr id="43" name="image13.png" descr=""/>
            <wp:cNvGraphicFramePr>
              <a:graphicFrameLocks noChangeAspect="1"/>
            </wp:cNvGraphicFramePr>
            <a:graphic>
              <a:graphicData uri="http://schemas.openxmlformats.org/drawingml/2006/picture">
                <pic:pic>
                  <pic:nvPicPr>
                    <pic:cNvPr id="44" name="image13.png"/>
                    <pic:cNvPicPr/>
                  </pic:nvPicPr>
                  <pic:blipFill>
                    <a:blip r:embed="rId18" cstate="print"/>
                    <a:stretch>
                      <a:fillRect/>
                    </a:stretch>
                  </pic:blipFill>
                  <pic:spPr>
                    <a:xfrm>
                      <a:off x="0" y="0"/>
                      <a:ext cx="135159" cy="154019"/>
                    </a:xfrm>
                    <a:prstGeom prst="rect">
                      <a:avLst/>
                    </a:prstGeom>
                  </pic:spPr>
                </pic:pic>
              </a:graphicData>
            </a:graphic>
          </wp:anchor>
        </w:drawing>
      </w:r>
      <w:r>
        <w:rPr/>
        <w:drawing>
          <wp:anchor distT="0" distB="0" distL="0" distR="0" allowOverlap="1" layoutInCell="1" locked="0" behindDoc="0" simplePos="0" relativeHeight="1816">
            <wp:simplePos x="0" y="0"/>
            <wp:positionH relativeFrom="page">
              <wp:posOffset>7958429</wp:posOffset>
            </wp:positionH>
            <wp:positionV relativeFrom="paragraph">
              <wp:posOffset>-388443</wp:posOffset>
            </wp:positionV>
            <wp:extent cx="135953" cy="155575"/>
            <wp:effectExtent l="0" t="0" r="0" b="0"/>
            <wp:wrapNone/>
            <wp:docPr id="45" name="image15.png" descr=""/>
            <wp:cNvGraphicFramePr>
              <a:graphicFrameLocks noChangeAspect="1"/>
            </wp:cNvGraphicFramePr>
            <a:graphic>
              <a:graphicData uri="http://schemas.openxmlformats.org/drawingml/2006/picture">
                <pic:pic>
                  <pic:nvPicPr>
                    <pic:cNvPr id="46" name="image15.png"/>
                    <pic:cNvPicPr/>
                  </pic:nvPicPr>
                  <pic:blipFill>
                    <a:blip r:embed="rId20" cstate="print"/>
                    <a:stretch>
                      <a:fillRect/>
                    </a:stretch>
                  </pic:blipFill>
                  <pic:spPr>
                    <a:xfrm>
                      <a:off x="0" y="0"/>
                      <a:ext cx="135953" cy="155575"/>
                    </a:xfrm>
                    <a:prstGeom prst="rect">
                      <a:avLst/>
                    </a:prstGeom>
                  </pic:spPr>
                </pic:pic>
              </a:graphicData>
            </a:graphic>
          </wp:anchor>
        </w:drawing>
      </w:r>
      <w:r>
        <w:rPr>
          <w:b/>
          <w:sz w:val="18"/>
        </w:rPr>
        <w:t>Total income from continuing</w:t>
      </w:r>
    </w:p>
    <w:p>
      <w:pPr>
        <w:tabs>
          <w:tab w:pos="5813" w:val="left" w:leader="none"/>
          <w:tab w:pos="6543" w:val="left" w:leader="none"/>
          <w:tab w:pos="7840" w:val="left" w:leader="none"/>
          <w:tab w:pos="9307" w:val="left" w:leader="none"/>
          <w:tab w:pos="10604" w:val="left" w:leader="none"/>
        </w:tabs>
        <w:spacing w:line="207" w:lineRule="exact" w:before="0"/>
        <w:ind w:left="1470" w:right="0" w:firstLine="0"/>
        <w:jc w:val="left"/>
        <w:rPr>
          <w:sz w:val="18"/>
        </w:rPr>
      </w:pPr>
      <w:r>
        <w:rPr>
          <w:b/>
          <w:sz w:val="18"/>
        </w:rPr>
        <w:t>operations</w:t>
        <w:tab/>
      </w:r>
      <w:r>
        <w:rPr>
          <w:rFonts w:ascii="Times New Roman"/>
          <w:sz w:val="18"/>
          <w:u w:val="single"/>
        </w:rPr>
        <w:t> </w:t>
        <w:tab/>
      </w:r>
      <w:r>
        <w:rPr>
          <w:b/>
          <w:sz w:val="18"/>
          <w:u w:val="single"/>
        </w:rPr>
        <w:t>774,834</w:t>
        <w:tab/>
      </w:r>
      <w:r>
        <w:rPr>
          <w:sz w:val="18"/>
          <w:u w:val="single"/>
        </w:rPr>
        <w:t>755,617</w:t>
        <w:tab/>
      </w:r>
      <w:r>
        <w:rPr>
          <w:b/>
          <w:sz w:val="18"/>
          <w:u w:val="single"/>
        </w:rPr>
        <w:t>763,667</w:t>
        <w:tab/>
      </w:r>
      <w:r>
        <w:rPr>
          <w:sz w:val="18"/>
          <w:u w:val="single"/>
        </w:rPr>
        <w:t>731,450</w:t>
      </w:r>
    </w:p>
    <w:p>
      <w:pPr>
        <w:pStyle w:val="Heading8"/>
        <w:spacing w:before="131" w:after="36"/>
        <w:ind w:left="1470" w:right="8999"/>
      </w:pPr>
      <w:r>
        <w:rPr/>
        <w:t>Expenses from continuing operations</w:t>
      </w:r>
    </w:p>
    <w:tbl>
      <w:tblPr>
        <w:tblW w:w="0" w:type="auto"/>
        <w:jc w:val="left"/>
        <w:tblInd w:w="143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377"/>
        <w:gridCol w:w="1002"/>
        <w:gridCol w:w="1732"/>
        <w:gridCol w:w="1352"/>
        <w:gridCol w:w="1411"/>
        <w:gridCol w:w="1032"/>
      </w:tblGrid>
      <w:tr>
        <w:trPr>
          <w:trHeight w:val="237" w:hRule="exact"/>
        </w:trPr>
        <w:tc>
          <w:tcPr>
            <w:tcW w:w="3377" w:type="dxa"/>
          </w:tcPr>
          <w:p>
            <w:pPr>
              <w:pStyle w:val="TableParagraph"/>
              <w:spacing w:line="198" w:lineRule="exact"/>
              <w:ind w:left="35"/>
              <w:jc w:val="left"/>
              <w:rPr>
                <w:sz w:val="18"/>
              </w:rPr>
            </w:pPr>
            <w:r>
              <w:rPr>
                <w:sz w:val="18"/>
              </w:rPr>
              <w:t>Employee related expenses</w:t>
            </w:r>
          </w:p>
        </w:tc>
        <w:tc>
          <w:tcPr>
            <w:tcW w:w="1002" w:type="dxa"/>
          </w:tcPr>
          <w:p>
            <w:pPr>
              <w:pStyle w:val="TableParagraph"/>
              <w:spacing w:line="199" w:lineRule="exact"/>
              <w:ind w:right="180"/>
              <w:rPr>
                <w:sz w:val="18"/>
              </w:rPr>
            </w:pPr>
            <w:r>
              <w:rPr>
                <w:sz w:val="18"/>
              </w:rPr>
              <w:t>11</w:t>
            </w:r>
          </w:p>
        </w:tc>
        <w:tc>
          <w:tcPr>
            <w:tcW w:w="1732" w:type="dxa"/>
          </w:tcPr>
          <w:p>
            <w:pPr>
              <w:pStyle w:val="TableParagraph"/>
              <w:spacing w:line="199" w:lineRule="exact"/>
              <w:ind w:right="352"/>
              <w:rPr>
                <w:b/>
                <w:sz w:val="18"/>
              </w:rPr>
            </w:pPr>
            <w:r>
              <w:rPr>
                <w:b/>
                <w:w w:val="95"/>
                <w:sz w:val="18"/>
              </w:rPr>
              <w:t>466,003</w:t>
            </w:r>
          </w:p>
        </w:tc>
        <w:tc>
          <w:tcPr>
            <w:tcW w:w="1352" w:type="dxa"/>
          </w:tcPr>
          <w:p>
            <w:pPr>
              <w:pStyle w:val="TableParagraph"/>
              <w:spacing w:line="199" w:lineRule="exact"/>
              <w:ind w:right="407"/>
              <w:rPr>
                <w:sz w:val="18"/>
              </w:rPr>
            </w:pPr>
            <w:r>
              <w:rPr>
                <w:w w:val="95"/>
                <w:sz w:val="18"/>
              </w:rPr>
              <w:t>442,407</w:t>
            </w:r>
          </w:p>
        </w:tc>
        <w:tc>
          <w:tcPr>
            <w:tcW w:w="1411" w:type="dxa"/>
          </w:tcPr>
          <w:p>
            <w:pPr>
              <w:pStyle w:val="TableParagraph"/>
              <w:spacing w:line="199" w:lineRule="exact"/>
              <w:ind w:left="409"/>
              <w:jc w:val="left"/>
              <w:rPr>
                <w:b/>
                <w:sz w:val="18"/>
              </w:rPr>
            </w:pPr>
            <w:r>
              <w:rPr>
                <w:b/>
                <w:sz w:val="18"/>
              </w:rPr>
              <w:t>420,814</w:t>
            </w:r>
          </w:p>
        </w:tc>
        <w:tc>
          <w:tcPr>
            <w:tcW w:w="1032" w:type="dxa"/>
          </w:tcPr>
          <w:p>
            <w:pPr>
              <w:pStyle w:val="TableParagraph"/>
              <w:spacing w:line="199" w:lineRule="exact"/>
              <w:ind w:right="86"/>
              <w:rPr>
                <w:sz w:val="18"/>
              </w:rPr>
            </w:pPr>
            <w:r>
              <w:rPr>
                <w:w w:val="95"/>
                <w:sz w:val="18"/>
              </w:rPr>
              <w:t>389,684</w:t>
            </w:r>
          </w:p>
        </w:tc>
      </w:tr>
      <w:tr>
        <w:trPr>
          <w:trHeight w:val="264" w:hRule="exact"/>
        </w:trPr>
        <w:tc>
          <w:tcPr>
            <w:tcW w:w="3377" w:type="dxa"/>
          </w:tcPr>
          <w:p>
            <w:pPr>
              <w:pStyle w:val="TableParagraph"/>
              <w:spacing w:before="18"/>
              <w:ind w:left="35"/>
              <w:jc w:val="left"/>
              <w:rPr>
                <w:sz w:val="18"/>
              </w:rPr>
            </w:pPr>
            <w:r>
              <w:rPr>
                <w:sz w:val="18"/>
              </w:rPr>
              <w:t>Depreciation and amortisation</w:t>
            </w:r>
          </w:p>
        </w:tc>
        <w:tc>
          <w:tcPr>
            <w:tcW w:w="1002" w:type="dxa"/>
          </w:tcPr>
          <w:p>
            <w:pPr>
              <w:pStyle w:val="TableParagraph"/>
              <w:spacing w:before="19"/>
              <w:ind w:right="180"/>
              <w:rPr>
                <w:sz w:val="18"/>
              </w:rPr>
            </w:pPr>
            <w:r>
              <w:rPr>
                <w:sz w:val="18"/>
              </w:rPr>
              <w:t>12</w:t>
            </w:r>
          </w:p>
        </w:tc>
        <w:tc>
          <w:tcPr>
            <w:tcW w:w="1732" w:type="dxa"/>
          </w:tcPr>
          <w:p>
            <w:pPr>
              <w:pStyle w:val="TableParagraph"/>
              <w:spacing w:before="19"/>
              <w:ind w:right="352"/>
              <w:rPr>
                <w:b/>
                <w:sz w:val="18"/>
              </w:rPr>
            </w:pPr>
            <w:r>
              <w:rPr>
                <w:b/>
                <w:w w:val="95"/>
                <w:sz w:val="18"/>
              </w:rPr>
              <w:t>43,874</w:t>
            </w:r>
          </w:p>
        </w:tc>
        <w:tc>
          <w:tcPr>
            <w:tcW w:w="1352" w:type="dxa"/>
          </w:tcPr>
          <w:p>
            <w:pPr>
              <w:pStyle w:val="TableParagraph"/>
              <w:spacing w:before="19"/>
              <w:ind w:right="407"/>
              <w:rPr>
                <w:sz w:val="18"/>
              </w:rPr>
            </w:pPr>
            <w:r>
              <w:rPr>
                <w:w w:val="95"/>
                <w:sz w:val="18"/>
              </w:rPr>
              <w:t>39,637</w:t>
            </w:r>
          </w:p>
        </w:tc>
        <w:tc>
          <w:tcPr>
            <w:tcW w:w="1411" w:type="dxa"/>
          </w:tcPr>
          <w:p>
            <w:pPr>
              <w:pStyle w:val="TableParagraph"/>
              <w:spacing w:before="19"/>
              <w:ind w:left="508"/>
              <w:jc w:val="left"/>
              <w:rPr>
                <w:b/>
                <w:sz w:val="18"/>
              </w:rPr>
            </w:pPr>
            <w:r>
              <w:rPr>
                <w:b/>
                <w:sz w:val="18"/>
              </w:rPr>
              <w:t>42,580</w:t>
            </w:r>
          </w:p>
        </w:tc>
        <w:tc>
          <w:tcPr>
            <w:tcW w:w="1032" w:type="dxa"/>
          </w:tcPr>
          <w:p>
            <w:pPr>
              <w:pStyle w:val="TableParagraph"/>
              <w:spacing w:before="19"/>
              <w:ind w:right="86"/>
              <w:rPr>
                <w:sz w:val="18"/>
              </w:rPr>
            </w:pPr>
            <w:r>
              <w:rPr>
                <w:w w:val="95"/>
                <w:sz w:val="18"/>
              </w:rPr>
              <w:t>38,921</w:t>
            </w:r>
          </w:p>
        </w:tc>
      </w:tr>
      <w:tr>
        <w:trPr>
          <w:trHeight w:val="264" w:hRule="exact"/>
        </w:trPr>
        <w:tc>
          <w:tcPr>
            <w:tcW w:w="3377" w:type="dxa"/>
          </w:tcPr>
          <w:p>
            <w:pPr>
              <w:pStyle w:val="TableParagraph"/>
              <w:spacing w:before="18"/>
              <w:ind w:left="35"/>
              <w:jc w:val="left"/>
              <w:rPr>
                <w:sz w:val="18"/>
              </w:rPr>
            </w:pPr>
            <w:r>
              <w:rPr>
                <w:sz w:val="18"/>
              </w:rPr>
              <w:t>Repairs and maintenance</w:t>
            </w:r>
          </w:p>
        </w:tc>
        <w:tc>
          <w:tcPr>
            <w:tcW w:w="1002" w:type="dxa"/>
          </w:tcPr>
          <w:p>
            <w:pPr>
              <w:pStyle w:val="TableParagraph"/>
              <w:spacing w:before="19"/>
              <w:ind w:right="180"/>
              <w:rPr>
                <w:sz w:val="18"/>
              </w:rPr>
            </w:pPr>
            <w:r>
              <w:rPr>
                <w:sz w:val="18"/>
              </w:rPr>
              <w:t>13</w:t>
            </w:r>
          </w:p>
        </w:tc>
        <w:tc>
          <w:tcPr>
            <w:tcW w:w="1732" w:type="dxa"/>
          </w:tcPr>
          <w:p>
            <w:pPr>
              <w:pStyle w:val="TableParagraph"/>
              <w:spacing w:before="19"/>
              <w:ind w:right="352"/>
              <w:rPr>
                <w:b/>
                <w:sz w:val="18"/>
              </w:rPr>
            </w:pPr>
            <w:r>
              <w:rPr>
                <w:b/>
                <w:w w:val="95"/>
                <w:sz w:val="18"/>
              </w:rPr>
              <w:t>27,107</w:t>
            </w:r>
          </w:p>
        </w:tc>
        <w:tc>
          <w:tcPr>
            <w:tcW w:w="1352" w:type="dxa"/>
          </w:tcPr>
          <w:p>
            <w:pPr>
              <w:pStyle w:val="TableParagraph"/>
              <w:spacing w:before="19"/>
              <w:ind w:right="407"/>
              <w:rPr>
                <w:sz w:val="18"/>
              </w:rPr>
            </w:pPr>
            <w:r>
              <w:rPr>
                <w:w w:val="95"/>
                <w:sz w:val="18"/>
              </w:rPr>
              <w:t>30,165</w:t>
            </w:r>
          </w:p>
        </w:tc>
        <w:tc>
          <w:tcPr>
            <w:tcW w:w="1411" w:type="dxa"/>
          </w:tcPr>
          <w:p>
            <w:pPr>
              <w:pStyle w:val="TableParagraph"/>
              <w:spacing w:before="19"/>
              <w:ind w:left="508"/>
              <w:jc w:val="left"/>
              <w:rPr>
                <w:b/>
                <w:sz w:val="18"/>
              </w:rPr>
            </w:pPr>
            <w:r>
              <w:rPr>
                <w:b/>
                <w:sz w:val="18"/>
              </w:rPr>
              <w:t>26,844</w:t>
            </w:r>
          </w:p>
        </w:tc>
        <w:tc>
          <w:tcPr>
            <w:tcW w:w="1032" w:type="dxa"/>
          </w:tcPr>
          <w:p>
            <w:pPr>
              <w:pStyle w:val="TableParagraph"/>
              <w:spacing w:before="19"/>
              <w:ind w:right="86"/>
              <w:rPr>
                <w:sz w:val="18"/>
              </w:rPr>
            </w:pPr>
            <w:r>
              <w:rPr>
                <w:w w:val="95"/>
                <w:sz w:val="18"/>
              </w:rPr>
              <w:t>29,847</w:t>
            </w:r>
          </w:p>
        </w:tc>
      </w:tr>
      <w:tr>
        <w:trPr>
          <w:trHeight w:val="264" w:hRule="exact"/>
        </w:trPr>
        <w:tc>
          <w:tcPr>
            <w:tcW w:w="3377" w:type="dxa"/>
          </w:tcPr>
          <w:p>
            <w:pPr>
              <w:pStyle w:val="TableParagraph"/>
              <w:spacing w:before="18"/>
              <w:ind w:left="35"/>
              <w:jc w:val="left"/>
              <w:rPr>
                <w:sz w:val="18"/>
              </w:rPr>
            </w:pPr>
            <w:r>
              <w:rPr>
                <w:sz w:val="18"/>
              </w:rPr>
              <w:t>Borrowing costs</w:t>
            </w:r>
          </w:p>
        </w:tc>
        <w:tc>
          <w:tcPr>
            <w:tcW w:w="1002" w:type="dxa"/>
          </w:tcPr>
          <w:p>
            <w:pPr>
              <w:pStyle w:val="TableParagraph"/>
              <w:spacing w:before="19"/>
              <w:ind w:right="180"/>
              <w:rPr>
                <w:sz w:val="18"/>
              </w:rPr>
            </w:pPr>
            <w:r>
              <w:rPr>
                <w:sz w:val="18"/>
              </w:rPr>
              <w:t>14</w:t>
            </w:r>
          </w:p>
        </w:tc>
        <w:tc>
          <w:tcPr>
            <w:tcW w:w="1732" w:type="dxa"/>
          </w:tcPr>
          <w:p>
            <w:pPr>
              <w:pStyle w:val="TableParagraph"/>
              <w:spacing w:before="19"/>
              <w:ind w:right="352"/>
              <w:rPr>
                <w:b/>
                <w:sz w:val="18"/>
              </w:rPr>
            </w:pPr>
            <w:r>
              <w:rPr>
                <w:b/>
                <w:sz w:val="18"/>
              </w:rPr>
              <w:t>2,558</w:t>
            </w:r>
          </w:p>
        </w:tc>
        <w:tc>
          <w:tcPr>
            <w:tcW w:w="1352" w:type="dxa"/>
          </w:tcPr>
          <w:p>
            <w:pPr>
              <w:pStyle w:val="TableParagraph"/>
              <w:spacing w:before="19"/>
              <w:ind w:right="407"/>
              <w:rPr>
                <w:sz w:val="18"/>
              </w:rPr>
            </w:pPr>
            <w:r>
              <w:rPr>
                <w:sz w:val="18"/>
              </w:rPr>
              <w:t>1,735</w:t>
            </w:r>
          </w:p>
        </w:tc>
        <w:tc>
          <w:tcPr>
            <w:tcW w:w="1411" w:type="dxa"/>
          </w:tcPr>
          <w:p>
            <w:pPr>
              <w:pStyle w:val="TableParagraph"/>
              <w:spacing w:before="19"/>
              <w:ind w:left="608"/>
              <w:jc w:val="left"/>
              <w:rPr>
                <w:b/>
                <w:sz w:val="18"/>
              </w:rPr>
            </w:pPr>
            <w:r>
              <w:rPr>
                <w:b/>
                <w:sz w:val="18"/>
              </w:rPr>
              <w:t>2,689</w:t>
            </w:r>
          </w:p>
        </w:tc>
        <w:tc>
          <w:tcPr>
            <w:tcW w:w="1032" w:type="dxa"/>
          </w:tcPr>
          <w:p>
            <w:pPr>
              <w:pStyle w:val="TableParagraph"/>
              <w:spacing w:before="19"/>
              <w:ind w:right="86"/>
              <w:rPr>
                <w:sz w:val="18"/>
              </w:rPr>
            </w:pPr>
            <w:r>
              <w:rPr>
                <w:sz w:val="18"/>
              </w:rPr>
              <w:t>1,956</w:t>
            </w:r>
          </w:p>
        </w:tc>
      </w:tr>
      <w:tr>
        <w:trPr>
          <w:trHeight w:val="264" w:hRule="exact"/>
        </w:trPr>
        <w:tc>
          <w:tcPr>
            <w:tcW w:w="3377" w:type="dxa"/>
          </w:tcPr>
          <w:p>
            <w:pPr>
              <w:pStyle w:val="TableParagraph"/>
              <w:spacing w:before="18"/>
              <w:ind w:left="35"/>
              <w:jc w:val="left"/>
              <w:rPr>
                <w:sz w:val="18"/>
              </w:rPr>
            </w:pPr>
            <w:r>
              <w:rPr>
                <w:sz w:val="18"/>
              </w:rPr>
              <w:t>Impairment of assets</w:t>
            </w:r>
          </w:p>
        </w:tc>
        <w:tc>
          <w:tcPr>
            <w:tcW w:w="1002" w:type="dxa"/>
          </w:tcPr>
          <w:p>
            <w:pPr>
              <w:pStyle w:val="TableParagraph"/>
              <w:spacing w:before="19"/>
              <w:ind w:right="180"/>
              <w:rPr>
                <w:sz w:val="18"/>
              </w:rPr>
            </w:pPr>
            <w:r>
              <w:rPr>
                <w:sz w:val="18"/>
              </w:rPr>
              <w:t>15</w:t>
            </w:r>
          </w:p>
        </w:tc>
        <w:tc>
          <w:tcPr>
            <w:tcW w:w="1732" w:type="dxa"/>
          </w:tcPr>
          <w:p>
            <w:pPr>
              <w:pStyle w:val="TableParagraph"/>
              <w:spacing w:before="19"/>
              <w:ind w:right="292"/>
              <w:rPr>
                <w:b/>
                <w:sz w:val="18"/>
              </w:rPr>
            </w:pPr>
            <w:r>
              <w:rPr>
                <w:b/>
                <w:sz w:val="18"/>
              </w:rPr>
              <w:t>(183)</w:t>
            </w:r>
          </w:p>
        </w:tc>
        <w:tc>
          <w:tcPr>
            <w:tcW w:w="1352" w:type="dxa"/>
          </w:tcPr>
          <w:p>
            <w:pPr>
              <w:pStyle w:val="TableParagraph"/>
              <w:spacing w:before="19"/>
              <w:ind w:right="407"/>
              <w:rPr>
                <w:sz w:val="18"/>
              </w:rPr>
            </w:pPr>
            <w:r>
              <w:rPr>
                <w:sz w:val="18"/>
              </w:rPr>
              <w:t>48</w:t>
            </w:r>
          </w:p>
        </w:tc>
        <w:tc>
          <w:tcPr>
            <w:tcW w:w="1411" w:type="dxa"/>
          </w:tcPr>
          <w:p>
            <w:pPr>
              <w:pStyle w:val="TableParagraph"/>
              <w:spacing w:before="19"/>
              <w:ind w:left="698"/>
              <w:jc w:val="left"/>
              <w:rPr>
                <w:b/>
                <w:sz w:val="18"/>
              </w:rPr>
            </w:pPr>
            <w:r>
              <w:rPr>
                <w:b/>
                <w:sz w:val="18"/>
              </w:rPr>
              <w:t>(214)</w:t>
            </w:r>
          </w:p>
        </w:tc>
        <w:tc>
          <w:tcPr>
            <w:tcW w:w="1032" w:type="dxa"/>
          </w:tcPr>
          <w:p>
            <w:pPr>
              <w:pStyle w:val="TableParagraph"/>
              <w:spacing w:before="19"/>
              <w:ind w:right="27"/>
              <w:rPr>
                <w:sz w:val="18"/>
              </w:rPr>
            </w:pPr>
            <w:r>
              <w:rPr>
                <w:sz w:val="18"/>
              </w:rPr>
              <w:t>(98)</w:t>
            </w:r>
          </w:p>
        </w:tc>
      </w:tr>
      <w:tr>
        <w:trPr>
          <w:trHeight w:val="263" w:hRule="exact"/>
        </w:trPr>
        <w:tc>
          <w:tcPr>
            <w:tcW w:w="3377" w:type="dxa"/>
          </w:tcPr>
          <w:p>
            <w:pPr>
              <w:pStyle w:val="TableParagraph"/>
              <w:spacing w:before="18"/>
              <w:ind w:left="35"/>
              <w:jc w:val="left"/>
              <w:rPr>
                <w:sz w:val="18"/>
              </w:rPr>
            </w:pPr>
            <w:r>
              <w:rPr>
                <w:sz w:val="18"/>
              </w:rPr>
              <w:t>Other expenses</w:t>
            </w:r>
          </w:p>
        </w:tc>
        <w:tc>
          <w:tcPr>
            <w:tcW w:w="1002" w:type="dxa"/>
          </w:tcPr>
          <w:p>
            <w:pPr>
              <w:pStyle w:val="TableParagraph"/>
              <w:spacing w:before="19"/>
              <w:ind w:right="180"/>
              <w:rPr>
                <w:sz w:val="18"/>
              </w:rPr>
            </w:pPr>
            <w:r>
              <w:rPr>
                <w:sz w:val="18"/>
              </w:rPr>
              <w:t>16</w:t>
            </w:r>
          </w:p>
        </w:tc>
        <w:tc>
          <w:tcPr>
            <w:tcW w:w="1732" w:type="dxa"/>
            <w:tcBorders>
              <w:bottom w:val="single" w:sz="0" w:space="0" w:color="000000"/>
            </w:tcBorders>
          </w:tcPr>
          <w:p>
            <w:pPr>
              <w:pStyle w:val="TableParagraph"/>
              <w:spacing w:before="19"/>
              <w:ind w:right="352"/>
              <w:rPr>
                <w:b/>
                <w:sz w:val="18"/>
              </w:rPr>
            </w:pPr>
            <w:r>
              <w:rPr>
                <w:b/>
                <w:w w:val="95"/>
                <w:sz w:val="18"/>
              </w:rPr>
              <w:t>200,638</w:t>
            </w:r>
          </w:p>
        </w:tc>
        <w:tc>
          <w:tcPr>
            <w:tcW w:w="1352" w:type="dxa"/>
            <w:tcBorders>
              <w:bottom w:val="single" w:sz="0" w:space="0" w:color="000000"/>
            </w:tcBorders>
          </w:tcPr>
          <w:p>
            <w:pPr>
              <w:pStyle w:val="TableParagraph"/>
              <w:spacing w:before="19"/>
              <w:ind w:right="407"/>
              <w:rPr>
                <w:sz w:val="18"/>
              </w:rPr>
            </w:pPr>
            <w:r>
              <w:rPr>
                <w:w w:val="95"/>
                <w:sz w:val="18"/>
              </w:rPr>
              <w:t>200,302</w:t>
            </w:r>
          </w:p>
        </w:tc>
        <w:tc>
          <w:tcPr>
            <w:tcW w:w="1411" w:type="dxa"/>
            <w:tcBorders>
              <w:bottom w:val="single" w:sz="0" w:space="0" w:color="000000"/>
            </w:tcBorders>
          </w:tcPr>
          <w:p>
            <w:pPr>
              <w:pStyle w:val="TableParagraph"/>
              <w:spacing w:before="19"/>
              <w:ind w:left="409"/>
              <w:jc w:val="left"/>
              <w:rPr>
                <w:b/>
                <w:sz w:val="18"/>
              </w:rPr>
            </w:pPr>
            <w:r>
              <w:rPr>
                <w:b/>
                <w:sz w:val="18"/>
              </w:rPr>
              <w:t>234,936</w:t>
            </w:r>
          </w:p>
        </w:tc>
        <w:tc>
          <w:tcPr>
            <w:tcW w:w="1032" w:type="dxa"/>
            <w:tcBorders>
              <w:bottom w:val="single" w:sz="0" w:space="0" w:color="000000"/>
            </w:tcBorders>
          </w:tcPr>
          <w:p>
            <w:pPr>
              <w:pStyle w:val="TableParagraph"/>
              <w:spacing w:before="19"/>
              <w:ind w:right="86"/>
              <w:rPr>
                <w:sz w:val="18"/>
              </w:rPr>
            </w:pPr>
            <w:r>
              <w:rPr>
                <w:w w:val="95"/>
                <w:sz w:val="18"/>
              </w:rPr>
              <w:t>228,134</w:t>
            </w:r>
          </w:p>
        </w:tc>
      </w:tr>
      <w:tr>
        <w:trPr>
          <w:trHeight w:val="340" w:hRule="exact"/>
        </w:trPr>
        <w:tc>
          <w:tcPr>
            <w:tcW w:w="3377" w:type="dxa"/>
          </w:tcPr>
          <w:p>
            <w:pPr>
              <w:pStyle w:val="TableParagraph"/>
              <w:spacing w:before="123"/>
              <w:ind w:left="35"/>
              <w:jc w:val="left"/>
              <w:rPr>
                <w:b/>
                <w:sz w:val="18"/>
              </w:rPr>
            </w:pPr>
            <w:r>
              <w:rPr>
                <w:b/>
                <w:sz w:val="18"/>
              </w:rPr>
              <w:t>Total expenses from continuing</w:t>
            </w:r>
          </w:p>
        </w:tc>
        <w:tc>
          <w:tcPr>
            <w:tcW w:w="1002" w:type="dxa"/>
          </w:tcPr>
          <w:p>
            <w:pPr/>
          </w:p>
        </w:tc>
        <w:tc>
          <w:tcPr>
            <w:tcW w:w="1732" w:type="dxa"/>
            <w:tcBorders>
              <w:top w:val="single" w:sz="0" w:space="0" w:color="000000"/>
            </w:tcBorders>
          </w:tcPr>
          <w:p>
            <w:pPr/>
          </w:p>
        </w:tc>
        <w:tc>
          <w:tcPr>
            <w:tcW w:w="1352" w:type="dxa"/>
            <w:tcBorders>
              <w:top w:val="single" w:sz="0" w:space="0" w:color="000000"/>
            </w:tcBorders>
          </w:tcPr>
          <w:p>
            <w:pPr/>
          </w:p>
        </w:tc>
        <w:tc>
          <w:tcPr>
            <w:tcW w:w="1411" w:type="dxa"/>
            <w:tcBorders>
              <w:top w:val="single" w:sz="0" w:space="0" w:color="000000"/>
            </w:tcBorders>
          </w:tcPr>
          <w:p>
            <w:pPr/>
          </w:p>
        </w:tc>
        <w:tc>
          <w:tcPr>
            <w:tcW w:w="1032" w:type="dxa"/>
            <w:tcBorders>
              <w:top w:val="single" w:sz="0" w:space="0" w:color="000000"/>
            </w:tcBorders>
          </w:tcPr>
          <w:p>
            <w:pPr/>
          </w:p>
        </w:tc>
      </w:tr>
      <w:tr>
        <w:trPr>
          <w:trHeight w:val="273" w:hRule="exact"/>
        </w:trPr>
        <w:tc>
          <w:tcPr>
            <w:tcW w:w="4379" w:type="dxa"/>
            <w:gridSpan w:val="2"/>
          </w:tcPr>
          <w:p>
            <w:pPr>
              <w:pStyle w:val="TableParagraph"/>
              <w:spacing w:line="184" w:lineRule="exact"/>
              <w:ind w:left="35" w:right="2074"/>
              <w:jc w:val="left"/>
              <w:rPr>
                <w:b/>
                <w:sz w:val="18"/>
              </w:rPr>
            </w:pPr>
            <w:r>
              <w:rPr>
                <w:b/>
                <w:sz w:val="18"/>
              </w:rPr>
              <w:t>operations</w:t>
            </w:r>
          </w:p>
        </w:tc>
        <w:tc>
          <w:tcPr>
            <w:tcW w:w="5527" w:type="dxa"/>
            <w:gridSpan w:val="4"/>
          </w:tcPr>
          <w:p>
            <w:pPr>
              <w:pStyle w:val="TableParagraph"/>
              <w:tabs>
                <w:tab w:pos="729" w:val="left" w:leader="none"/>
                <w:tab w:pos="2026" w:val="left" w:leader="none"/>
                <w:tab w:pos="3493" w:val="left" w:leader="none"/>
                <w:tab w:pos="4790" w:val="left" w:leader="none"/>
              </w:tabs>
              <w:spacing w:line="184" w:lineRule="exact"/>
              <w:jc w:val="left"/>
              <w:rPr>
                <w:sz w:val="18"/>
              </w:rPr>
            </w:pPr>
            <w:r>
              <w:rPr>
                <w:rFonts w:ascii="Times New Roman"/>
                <w:sz w:val="18"/>
                <w:u w:val="single"/>
              </w:rPr>
              <w:t> </w:t>
              <w:tab/>
            </w:r>
            <w:r>
              <w:rPr>
                <w:b/>
                <w:sz w:val="18"/>
                <w:u w:val="single"/>
              </w:rPr>
              <w:t>739,997</w:t>
              <w:tab/>
            </w:r>
            <w:r>
              <w:rPr>
                <w:sz w:val="18"/>
                <w:u w:val="single"/>
              </w:rPr>
              <w:t>714,294</w:t>
              <w:tab/>
            </w:r>
            <w:r>
              <w:rPr>
                <w:b/>
                <w:sz w:val="18"/>
                <w:u w:val="single"/>
              </w:rPr>
              <w:t>727,649</w:t>
              <w:tab/>
            </w:r>
            <w:r>
              <w:rPr>
                <w:sz w:val="18"/>
                <w:u w:val="single"/>
              </w:rPr>
              <w:t>688,444</w:t>
            </w:r>
          </w:p>
        </w:tc>
      </w:tr>
      <w:tr>
        <w:trPr>
          <w:trHeight w:val="492" w:hRule="exact"/>
        </w:trPr>
        <w:tc>
          <w:tcPr>
            <w:tcW w:w="4379" w:type="dxa"/>
            <w:gridSpan w:val="2"/>
          </w:tcPr>
          <w:p>
            <w:pPr>
              <w:pStyle w:val="TableParagraph"/>
              <w:spacing w:before="55"/>
              <w:ind w:left="35" w:right="2074"/>
              <w:jc w:val="left"/>
              <w:rPr>
                <w:b/>
                <w:sz w:val="18"/>
              </w:rPr>
            </w:pPr>
            <w:r>
              <w:rPr>
                <w:b/>
                <w:sz w:val="18"/>
              </w:rPr>
              <w:t>Net result from continuing operations</w:t>
            </w:r>
          </w:p>
        </w:tc>
        <w:tc>
          <w:tcPr>
            <w:tcW w:w="5527" w:type="dxa"/>
            <w:gridSpan w:val="4"/>
            <w:tcBorders>
              <w:bottom w:val="single" w:sz="0" w:space="0" w:color="000000"/>
            </w:tcBorders>
          </w:tcPr>
          <w:p>
            <w:pPr>
              <w:pStyle w:val="TableParagraph"/>
              <w:spacing w:before="9"/>
              <w:jc w:val="left"/>
              <w:rPr>
                <w:b/>
                <w:sz w:val="22"/>
              </w:rPr>
            </w:pPr>
          </w:p>
          <w:p>
            <w:pPr>
              <w:pStyle w:val="TableParagraph"/>
              <w:tabs>
                <w:tab w:pos="2126" w:val="left" w:leader="none"/>
                <w:tab w:pos="3592" w:val="left" w:leader="none"/>
                <w:tab w:pos="4889" w:val="left" w:leader="none"/>
              </w:tabs>
              <w:ind w:left="829"/>
              <w:jc w:val="left"/>
              <w:rPr>
                <w:sz w:val="18"/>
              </w:rPr>
            </w:pPr>
            <w:r>
              <w:rPr>
                <w:b/>
                <w:sz w:val="18"/>
              </w:rPr>
              <w:t>34,837</w:t>
              <w:tab/>
            </w:r>
            <w:r>
              <w:rPr>
                <w:sz w:val="18"/>
              </w:rPr>
              <w:t>41,323</w:t>
              <w:tab/>
            </w:r>
            <w:r>
              <w:rPr>
                <w:b/>
                <w:sz w:val="18"/>
              </w:rPr>
              <w:t>36,018</w:t>
              <w:tab/>
            </w:r>
            <w:r>
              <w:rPr>
                <w:sz w:val="18"/>
              </w:rPr>
              <w:t>43,006</w:t>
            </w:r>
          </w:p>
        </w:tc>
      </w:tr>
    </w:tbl>
    <w:p>
      <w:pPr>
        <w:spacing w:after="0"/>
        <w:jc w:val="left"/>
        <w:rPr>
          <w:sz w:val="18"/>
        </w:rPr>
        <w:sectPr>
          <w:type w:val="continuous"/>
          <w:pgSz w:w="12750" w:h="17680"/>
          <w:pgMar w:top="1660" w:bottom="0" w:left="0" w:right="0"/>
        </w:sectPr>
      </w:pPr>
    </w:p>
    <w:p>
      <w:pPr>
        <w:pStyle w:val="BodyText"/>
        <w:rPr>
          <w:b/>
          <w:sz w:val="20"/>
        </w:rPr>
      </w:pPr>
      <w:r>
        <w:rPr/>
        <w:drawing>
          <wp:anchor distT="0" distB="0" distL="0" distR="0" allowOverlap="1" layoutInCell="1" locked="0" behindDoc="0" simplePos="0" relativeHeight="1840">
            <wp:simplePos x="0" y="0"/>
            <wp:positionH relativeFrom="page">
              <wp:posOffset>-1587</wp:posOffset>
            </wp:positionH>
            <wp:positionV relativeFrom="page">
              <wp:posOffset>5534342</wp:posOffset>
            </wp:positionV>
            <wp:extent cx="135159" cy="154019"/>
            <wp:effectExtent l="0" t="0" r="0" b="0"/>
            <wp:wrapNone/>
            <wp:docPr id="49" name="image13.png" descr=""/>
            <wp:cNvGraphicFramePr>
              <a:graphicFrameLocks noChangeAspect="1"/>
            </wp:cNvGraphicFramePr>
            <a:graphic>
              <a:graphicData uri="http://schemas.openxmlformats.org/drawingml/2006/picture">
                <pic:pic>
                  <pic:nvPicPr>
                    <pic:cNvPr id="50" name="image13.png"/>
                    <pic:cNvPicPr/>
                  </pic:nvPicPr>
                  <pic:blipFill>
                    <a:blip r:embed="rId18" cstate="print"/>
                    <a:stretch>
                      <a:fillRect/>
                    </a:stretch>
                  </pic:blipFill>
                  <pic:spPr>
                    <a:xfrm>
                      <a:off x="0" y="0"/>
                      <a:ext cx="135159" cy="154019"/>
                    </a:xfrm>
                    <a:prstGeom prst="rect">
                      <a:avLst/>
                    </a:prstGeom>
                  </pic:spPr>
                </pic:pic>
              </a:graphicData>
            </a:graphic>
          </wp:anchor>
        </w:drawing>
      </w:r>
      <w:r>
        <w:rPr/>
        <w:drawing>
          <wp:anchor distT="0" distB="0" distL="0" distR="0" allowOverlap="1" layoutInCell="1" locked="0" behindDoc="0" simplePos="0" relativeHeight="1864">
            <wp:simplePos x="0" y="0"/>
            <wp:positionH relativeFrom="page">
              <wp:posOffset>7958429</wp:posOffset>
            </wp:positionH>
            <wp:positionV relativeFrom="page">
              <wp:posOffset>5534342</wp:posOffset>
            </wp:positionV>
            <wp:extent cx="135953" cy="155575"/>
            <wp:effectExtent l="0" t="0" r="0" b="0"/>
            <wp:wrapNone/>
            <wp:docPr id="51" name="image15.png" descr=""/>
            <wp:cNvGraphicFramePr>
              <a:graphicFrameLocks noChangeAspect="1"/>
            </wp:cNvGraphicFramePr>
            <a:graphic>
              <a:graphicData uri="http://schemas.openxmlformats.org/drawingml/2006/picture">
                <pic:pic>
                  <pic:nvPicPr>
                    <pic:cNvPr id="52" name="image15.png"/>
                    <pic:cNvPicPr/>
                  </pic:nvPicPr>
                  <pic:blipFill>
                    <a:blip r:embed="rId20" cstate="print"/>
                    <a:stretch>
                      <a:fillRect/>
                    </a:stretch>
                  </pic:blipFill>
                  <pic:spPr>
                    <a:xfrm>
                      <a:off x="0" y="0"/>
                      <a:ext cx="135953" cy="155575"/>
                    </a:xfrm>
                    <a:prstGeom prst="rect">
                      <a:avLst/>
                    </a:prstGeom>
                  </pic:spPr>
                </pic:pic>
              </a:graphicData>
            </a:graphic>
          </wp:anchor>
        </w:drawing>
      </w:r>
    </w:p>
    <w:p>
      <w:pPr>
        <w:pStyle w:val="BodyText"/>
        <w:rPr>
          <w:b/>
          <w:sz w:val="20"/>
        </w:rPr>
      </w:pPr>
    </w:p>
    <w:p>
      <w:pPr>
        <w:pStyle w:val="BodyText"/>
        <w:rPr>
          <w:b/>
          <w:sz w:val="20"/>
        </w:rPr>
      </w:pPr>
    </w:p>
    <w:p>
      <w:pPr>
        <w:pStyle w:val="BodyText"/>
        <w:spacing w:before="4"/>
        <w:rPr>
          <w:b/>
          <w:sz w:val="21"/>
        </w:rPr>
      </w:pPr>
    </w:p>
    <w:p>
      <w:pPr>
        <w:spacing w:before="72"/>
        <w:ind w:left="1428" w:right="0" w:firstLine="0"/>
        <w:jc w:val="left"/>
        <w:rPr>
          <w:b/>
          <w:sz w:val="22"/>
        </w:rPr>
      </w:pPr>
      <w:r>
        <w:rPr>
          <w:b/>
          <w:sz w:val="22"/>
        </w:rPr>
        <w:t>Western Sydney University</w:t>
      </w:r>
    </w:p>
    <w:p>
      <w:pPr>
        <w:pStyle w:val="BodyText"/>
        <w:spacing w:before="5"/>
        <w:rPr>
          <w:b/>
          <w:sz w:val="29"/>
        </w:rPr>
      </w:pPr>
    </w:p>
    <w:p>
      <w:pPr>
        <w:spacing w:before="0"/>
        <w:ind w:left="1428" w:right="0" w:firstLine="0"/>
        <w:jc w:val="left"/>
        <w:rPr>
          <w:b/>
          <w:sz w:val="28"/>
        </w:rPr>
      </w:pPr>
      <w:r>
        <w:rPr>
          <w:b/>
          <w:sz w:val="28"/>
        </w:rPr>
        <w:t>Statement of Comprehensive Income</w:t>
      </w:r>
    </w:p>
    <w:p>
      <w:pPr>
        <w:spacing w:before="57"/>
        <w:ind w:left="1428" w:right="0" w:firstLine="0"/>
        <w:jc w:val="left"/>
        <w:rPr>
          <w:b/>
          <w:sz w:val="22"/>
        </w:rPr>
      </w:pPr>
      <w:bookmarkStart w:name="Statement of Comprehensive Income" w:id="9"/>
      <w:bookmarkEnd w:id="9"/>
      <w:r>
        <w:rPr/>
      </w:r>
      <w:r>
        <w:rPr>
          <w:b/>
          <w:sz w:val="22"/>
        </w:rPr>
        <w:t>For the Year Ended 31 December 2016</w:t>
      </w:r>
    </w:p>
    <w:p>
      <w:pPr>
        <w:pStyle w:val="BodyText"/>
        <w:spacing w:before="1"/>
        <w:rPr>
          <w:b/>
          <w:sz w:val="29"/>
        </w:rPr>
      </w:pPr>
    </w:p>
    <w:p>
      <w:pPr>
        <w:tabs>
          <w:tab w:pos="9680" w:val="left" w:leader="none"/>
        </w:tabs>
        <w:spacing w:before="77" w:after="36"/>
        <w:ind w:left="6625" w:right="0" w:firstLine="0"/>
        <w:jc w:val="left"/>
        <w:rPr>
          <w:b/>
          <w:sz w:val="18"/>
        </w:rPr>
      </w:pPr>
      <w:r>
        <w:rPr>
          <w:b/>
          <w:sz w:val="18"/>
        </w:rPr>
        <w:t>Consolidated</w:t>
        <w:tab/>
        <w:t>Parent</w:t>
      </w:r>
    </w:p>
    <w:tbl>
      <w:tblPr>
        <w:tblW w:w="0" w:type="auto"/>
        <w:jc w:val="left"/>
        <w:tblInd w:w="142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553"/>
        <w:gridCol w:w="840"/>
        <w:gridCol w:w="1665"/>
        <w:gridCol w:w="1382"/>
        <w:gridCol w:w="1382"/>
        <w:gridCol w:w="1098"/>
      </w:tblGrid>
      <w:tr>
        <w:trPr>
          <w:trHeight w:val="608" w:hRule="exact"/>
        </w:trPr>
        <w:tc>
          <w:tcPr>
            <w:tcW w:w="3553" w:type="dxa"/>
          </w:tcPr>
          <w:p>
            <w:pPr/>
          </w:p>
        </w:tc>
        <w:tc>
          <w:tcPr>
            <w:tcW w:w="840" w:type="dxa"/>
          </w:tcPr>
          <w:p>
            <w:pPr>
              <w:pStyle w:val="TableParagraph"/>
              <w:jc w:val="left"/>
              <w:rPr>
                <w:b/>
                <w:sz w:val="18"/>
              </w:rPr>
            </w:pPr>
          </w:p>
          <w:p>
            <w:pPr>
              <w:pStyle w:val="TableParagraph"/>
              <w:spacing w:before="126"/>
              <w:ind w:right="37"/>
              <w:rPr>
                <w:b/>
                <w:sz w:val="18"/>
              </w:rPr>
            </w:pPr>
            <w:r>
              <w:rPr>
                <w:b/>
                <w:sz w:val="18"/>
              </w:rPr>
              <w:t>Notes</w:t>
            </w:r>
          </w:p>
        </w:tc>
        <w:tc>
          <w:tcPr>
            <w:tcW w:w="1665" w:type="dxa"/>
          </w:tcPr>
          <w:p>
            <w:pPr>
              <w:pStyle w:val="TableParagraph"/>
              <w:spacing w:before="59"/>
              <w:ind w:left="576" w:right="605"/>
              <w:jc w:val="center"/>
              <w:rPr>
                <w:b/>
                <w:sz w:val="18"/>
              </w:rPr>
            </w:pPr>
            <w:r>
              <w:rPr>
                <w:b/>
                <w:sz w:val="18"/>
              </w:rPr>
              <w:t>2016</w:t>
            </w:r>
          </w:p>
          <w:p>
            <w:pPr>
              <w:pStyle w:val="TableParagraph"/>
              <w:spacing w:before="66"/>
              <w:ind w:left="577" w:right="605"/>
              <w:jc w:val="center"/>
              <w:rPr>
                <w:b/>
                <w:sz w:val="18"/>
              </w:rPr>
            </w:pPr>
            <w:r>
              <w:rPr>
                <w:b/>
                <w:sz w:val="18"/>
              </w:rPr>
              <w:t>$'000</w:t>
            </w:r>
          </w:p>
        </w:tc>
        <w:tc>
          <w:tcPr>
            <w:tcW w:w="1382" w:type="dxa"/>
          </w:tcPr>
          <w:p>
            <w:pPr>
              <w:pStyle w:val="TableParagraph"/>
              <w:spacing w:before="59"/>
              <w:ind w:left="249"/>
              <w:jc w:val="left"/>
              <w:rPr>
                <w:b/>
                <w:sz w:val="18"/>
              </w:rPr>
            </w:pPr>
            <w:r>
              <w:rPr>
                <w:b/>
                <w:sz w:val="18"/>
              </w:rPr>
              <w:t>2015</w:t>
            </w:r>
          </w:p>
          <w:p>
            <w:pPr>
              <w:pStyle w:val="TableParagraph"/>
              <w:spacing w:before="66"/>
              <w:ind w:left="228"/>
              <w:jc w:val="left"/>
              <w:rPr>
                <w:b/>
                <w:sz w:val="18"/>
              </w:rPr>
            </w:pPr>
            <w:r>
              <w:rPr>
                <w:b/>
                <w:sz w:val="18"/>
              </w:rPr>
              <w:t>$'000</w:t>
            </w:r>
          </w:p>
        </w:tc>
        <w:tc>
          <w:tcPr>
            <w:tcW w:w="1382" w:type="dxa"/>
          </w:tcPr>
          <w:p>
            <w:pPr>
              <w:pStyle w:val="TableParagraph"/>
              <w:spacing w:before="30"/>
              <w:ind w:left="334"/>
              <w:jc w:val="left"/>
              <w:rPr>
                <w:b/>
                <w:sz w:val="18"/>
              </w:rPr>
            </w:pPr>
            <w:r>
              <w:rPr>
                <w:b/>
                <w:sz w:val="18"/>
              </w:rPr>
              <w:t>2016</w:t>
            </w:r>
          </w:p>
          <w:p>
            <w:pPr>
              <w:pStyle w:val="TableParagraph"/>
              <w:spacing w:before="65"/>
              <w:ind w:left="312"/>
              <w:jc w:val="left"/>
              <w:rPr>
                <w:b/>
                <w:sz w:val="18"/>
              </w:rPr>
            </w:pPr>
            <w:r>
              <w:rPr>
                <w:b/>
                <w:sz w:val="18"/>
              </w:rPr>
              <w:t>$'000</w:t>
            </w:r>
          </w:p>
        </w:tc>
        <w:tc>
          <w:tcPr>
            <w:tcW w:w="1098" w:type="dxa"/>
          </w:tcPr>
          <w:p>
            <w:pPr>
              <w:pStyle w:val="TableParagraph"/>
              <w:spacing w:before="30"/>
              <w:ind w:left="249"/>
              <w:jc w:val="left"/>
              <w:rPr>
                <w:b/>
                <w:sz w:val="18"/>
              </w:rPr>
            </w:pPr>
            <w:r>
              <w:rPr>
                <w:b/>
                <w:sz w:val="18"/>
              </w:rPr>
              <w:t>2015</w:t>
            </w:r>
          </w:p>
          <w:p>
            <w:pPr>
              <w:pStyle w:val="TableParagraph"/>
              <w:spacing w:before="65"/>
              <w:ind w:left="228"/>
              <w:jc w:val="left"/>
              <w:rPr>
                <w:b/>
                <w:sz w:val="18"/>
              </w:rPr>
            </w:pPr>
            <w:r>
              <w:rPr>
                <w:b/>
                <w:sz w:val="18"/>
              </w:rPr>
              <w:t>$'000</w:t>
            </w:r>
          </w:p>
        </w:tc>
      </w:tr>
      <w:tr>
        <w:trPr>
          <w:trHeight w:val="308" w:hRule="exact"/>
        </w:trPr>
        <w:tc>
          <w:tcPr>
            <w:tcW w:w="3553" w:type="dxa"/>
          </w:tcPr>
          <w:p>
            <w:pPr>
              <w:pStyle w:val="TableParagraph"/>
              <w:spacing w:before="78"/>
              <w:ind w:left="35" w:right="175"/>
              <w:jc w:val="left"/>
              <w:rPr>
                <w:b/>
                <w:sz w:val="18"/>
              </w:rPr>
            </w:pPr>
            <w:r>
              <w:rPr>
                <w:b/>
                <w:sz w:val="18"/>
              </w:rPr>
              <w:t>Net result for the period</w:t>
            </w:r>
          </w:p>
        </w:tc>
        <w:tc>
          <w:tcPr>
            <w:tcW w:w="840" w:type="dxa"/>
          </w:tcPr>
          <w:p>
            <w:pPr/>
          </w:p>
        </w:tc>
        <w:tc>
          <w:tcPr>
            <w:tcW w:w="1665" w:type="dxa"/>
          </w:tcPr>
          <w:p>
            <w:pPr>
              <w:pStyle w:val="TableParagraph"/>
              <w:spacing w:before="49"/>
              <w:ind w:right="285"/>
              <w:rPr>
                <w:b/>
                <w:sz w:val="18"/>
              </w:rPr>
            </w:pPr>
            <w:r>
              <w:rPr>
                <w:b/>
                <w:w w:val="95"/>
                <w:sz w:val="18"/>
              </w:rPr>
              <w:t>34,837</w:t>
            </w:r>
          </w:p>
        </w:tc>
        <w:tc>
          <w:tcPr>
            <w:tcW w:w="1382" w:type="dxa"/>
          </w:tcPr>
          <w:p>
            <w:pPr>
              <w:pStyle w:val="TableParagraph"/>
              <w:spacing w:before="49"/>
              <w:ind w:right="370"/>
              <w:rPr>
                <w:sz w:val="18"/>
              </w:rPr>
            </w:pPr>
            <w:r>
              <w:rPr>
                <w:w w:val="95"/>
                <w:sz w:val="18"/>
              </w:rPr>
              <w:t>41,323</w:t>
            </w:r>
          </w:p>
        </w:tc>
        <w:tc>
          <w:tcPr>
            <w:tcW w:w="1382" w:type="dxa"/>
          </w:tcPr>
          <w:p>
            <w:pPr>
              <w:pStyle w:val="TableParagraph"/>
              <w:spacing w:before="49"/>
              <w:ind w:left="545"/>
              <w:jc w:val="left"/>
              <w:rPr>
                <w:b/>
                <w:sz w:val="18"/>
              </w:rPr>
            </w:pPr>
            <w:r>
              <w:rPr>
                <w:b/>
                <w:sz w:val="18"/>
              </w:rPr>
              <w:t>36,018</w:t>
            </w:r>
          </w:p>
        </w:tc>
        <w:tc>
          <w:tcPr>
            <w:tcW w:w="1098" w:type="dxa"/>
          </w:tcPr>
          <w:p>
            <w:pPr>
              <w:pStyle w:val="TableParagraph"/>
              <w:spacing w:before="49"/>
              <w:ind w:right="86"/>
              <w:rPr>
                <w:sz w:val="18"/>
              </w:rPr>
            </w:pPr>
            <w:r>
              <w:rPr>
                <w:w w:val="95"/>
                <w:sz w:val="18"/>
              </w:rPr>
              <w:t>43,006</w:t>
            </w:r>
          </w:p>
        </w:tc>
      </w:tr>
      <w:tr>
        <w:trPr>
          <w:trHeight w:val="454" w:hRule="exact"/>
        </w:trPr>
        <w:tc>
          <w:tcPr>
            <w:tcW w:w="3553" w:type="dxa"/>
          </w:tcPr>
          <w:p>
            <w:pPr>
              <w:pStyle w:val="TableParagraph"/>
              <w:spacing w:before="4"/>
              <w:ind w:left="35" w:right="175"/>
              <w:jc w:val="left"/>
              <w:rPr>
                <w:sz w:val="18"/>
              </w:rPr>
            </w:pPr>
            <w:r>
              <w:rPr>
                <w:sz w:val="18"/>
              </w:rPr>
              <w:t>Items that may be reclassified to Income Statement</w:t>
            </w:r>
          </w:p>
        </w:tc>
        <w:tc>
          <w:tcPr>
            <w:tcW w:w="840" w:type="dxa"/>
          </w:tcPr>
          <w:p>
            <w:pPr/>
          </w:p>
        </w:tc>
        <w:tc>
          <w:tcPr>
            <w:tcW w:w="1665" w:type="dxa"/>
          </w:tcPr>
          <w:p>
            <w:pPr/>
          </w:p>
        </w:tc>
        <w:tc>
          <w:tcPr>
            <w:tcW w:w="1382" w:type="dxa"/>
          </w:tcPr>
          <w:p>
            <w:pPr/>
          </w:p>
        </w:tc>
        <w:tc>
          <w:tcPr>
            <w:tcW w:w="1382" w:type="dxa"/>
          </w:tcPr>
          <w:p>
            <w:pPr/>
          </w:p>
        </w:tc>
        <w:tc>
          <w:tcPr>
            <w:tcW w:w="1098" w:type="dxa"/>
          </w:tcPr>
          <w:p>
            <w:pPr/>
          </w:p>
        </w:tc>
      </w:tr>
      <w:tr>
        <w:trPr>
          <w:trHeight w:val="467" w:hRule="exact"/>
        </w:trPr>
        <w:tc>
          <w:tcPr>
            <w:tcW w:w="3553" w:type="dxa"/>
          </w:tcPr>
          <w:p>
            <w:pPr>
              <w:pStyle w:val="TableParagraph"/>
              <w:spacing w:before="18"/>
              <w:ind w:left="35" w:right="308"/>
              <w:jc w:val="left"/>
              <w:rPr>
                <w:sz w:val="18"/>
              </w:rPr>
            </w:pPr>
            <w:r>
              <w:rPr>
                <w:sz w:val="18"/>
              </w:rPr>
              <w:t>Gain / (loss) on revaluation of available- for-sale financial assets</w:t>
            </w:r>
          </w:p>
        </w:tc>
        <w:tc>
          <w:tcPr>
            <w:tcW w:w="840" w:type="dxa"/>
          </w:tcPr>
          <w:p>
            <w:pPr>
              <w:pStyle w:val="TableParagraph"/>
              <w:spacing w:before="4"/>
              <w:jc w:val="left"/>
              <w:rPr>
                <w:b/>
                <w:sz w:val="19"/>
              </w:rPr>
            </w:pPr>
          </w:p>
          <w:p>
            <w:pPr>
              <w:pStyle w:val="TableParagraph"/>
              <w:ind w:right="77"/>
              <w:rPr>
                <w:sz w:val="18"/>
              </w:rPr>
            </w:pPr>
            <w:r>
              <w:rPr>
                <w:sz w:val="18"/>
              </w:rPr>
              <w:t>29(b)</w:t>
            </w:r>
          </w:p>
        </w:tc>
        <w:tc>
          <w:tcPr>
            <w:tcW w:w="1665" w:type="dxa"/>
            <w:tcBorders>
              <w:bottom w:val="single" w:sz="0" w:space="0" w:color="000000"/>
            </w:tcBorders>
          </w:tcPr>
          <w:p>
            <w:pPr>
              <w:pStyle w:val="TableParagraph"/>
              <w:spacing w:before="4"/>
              <w:jc w:val="left"/>
              <w:rPr>
                <w:b/>
                <w:sz w:val="19"/>
              </w:rPr>
            </w:pPr>
          </w:p>
          <w:p>
            <w:pPr>
              <w:pStyle w:val="TableParagraph"/>
              <w:ind w:right="285"/>
              <w:rPr>
                <w:b/>
                <w:sz w:val="18"/>
              </w:rPr>
            </w:pPr>
            <w:r>
              <w:rPr>
                <w:b/>
                <w:sz w:val="18"/>
              </w:rPr>
              <w:t>4,724</w:t>
            </w:r>
          </w:p>
        </w:tc>
        <w:tc>
          <w:tcPr>
            <w:tcW w:w="1382" w:type="dxa"/>
            <w:tcBorders>
              <w:bottom w:val="single" w:sz="0" w:space="0" w:color="000000"/>
            </w:tcBorders>
          </w:tcPr>
          <w:p>
            <w:pPr>
              <w:pStyle w:val="TableParagraph"/>
              <w:spacing w:before="4"/>
              <w:jc w:val="left"/>
              <w:rPr>
                <w:b/>
                <w:sz w:val="19"/>
              </w:rPr>
            </w:pPr>
          </w:p>
          <w:p>
            <w:pPr>
              <w:pStyle w:val="TableParagraph"/>
              <w:ind w:right="370"/>
              <w:rPr>
                <w:sz w:val="18"/>
              </w:rPr>
            </w:pPr>
            <w:r>
              <w:rPr>
                <w:sz w:val="18"/>
              </w:rPr>
              <w:t>855</w:t>
            </w:r>
          </w:p>
        </w:tc>
        <w:tc>
          <w:tcPr>
            <w:tcW w:w="1382" w:type="dxa"/>
            <w:tcBorders>
              <w:bottom w:val="single" w:sz="0" w:space="0" w:color="000000"/>
            </w:tcBorders>
          </w:tcPr>
          <w:p>
            <w:pPr>
              <w:pStyle w:val="TableParagraph"/>
              <w:spacing w:before="4"/>
              <w:jc w:val="left"/>
              <w:rPr>
                <w:b/>
                <w:sz w:val="19"/>
              </w:rPr>
            </w:pPr>
          </w:p>
          <w:p>
            <w:pPr>
              <w:pStyle w:val="TableParagraph"/>
              <w:ind w:right="285"/>
              <w:rPr>
                <w:b/>
                <w:sz w:val="18"/>
              </w:rPr>
            </w:pPr>
            <w:r>
              <w:rPr>
                <w:b/>
                <w:sz w:val="18"/>
              </w:rPr>
              <w:t>4,724</w:t>
            </w:r>
          </w:p>
        </w:tc>
        <w:tc>
          <w:tcPr>
            <w:tcW w:w="1098" w:type="dxa"/>
            <w:tcBorders>
              <w:bottom w:val="single" w:sz="0" w:space="0" w:color="000000"/>
            </w:tcBorders>
          </w:tcPr>
          <w:p>
            <w:pPr>
              <w:pStyle w:val="TableParagraph"/>
              <w:spacing w:before="4"/>
              <w:jc w:val="left"/>
              <w:rPr>
                <w:b/>
                <w:sz w:val="19"/>
              </w:rPr>
            </w:pPr>
          </w:p>
          <w:p>
            <w:pPr>
              <w:pStyle w:val="TableParagraph"/>
              <w:ind w:right="86"/>
              <w:rPr>
                <w:sz w:val="18"/>
              </w:rPr>
            </w:pPr>
            <w:r>
              <w:rPr>
                <w:sz w:val="18"/>
              </w:rPr>
              <w:t>855</w:t>
            </w:r>
          </w:p>
        </w:tc>
      </w:tr>
      <w:tr>
        <w:trPr>
          <w:trHeight w:val="338" w:hRule="exact"/>
        </w:trPr>
        <w:tc>
          <w:tcPr>
            <w:tcW w:w="3553" w:type="dxa"/>
          </w:tcPr>
          <w:p>
            <w:pPr>
              <w:pStyle w:val="TableParagraph"/>
              <w:spacing w:before="123"/>
              <w:ind w:left="35" w:right="175"/>
              <w:jc w:val="left"/>
              <w:rPr>
                <w:b/>
                <w:sz w:val="18"/>
              </w:rPr>
            </w:pPr>
            <w:r>
              <w:rPr>
                <w:b/>
                <w:sz w:val="18"/>
              </w:rPr>
              <w:t>Total</w:t>
            </w:r>
          </w:p>
        </w:tc>
        <w:tc>
          <w:tcPr>
            <w:tcW w:w="840" w:type="dxa"/>
          </w:tcPr>
          <w:p>
            <w:pPr/>
          </w:p>
        </w:tc>
        <w:tc>
          <w:tcPr>
            <w:tcW w:w="1665" w:type="dxa"/>
            <w:tcBorders>
              <w:top w:val="single" w:sz="0" w:space="0" w:color="000000"/>
              <w:bottom w:val="single" w:sz="0" w:space="0" w:color="000000"/>
            </w:tcBorders>
          </w:tcPr>
          <w:p>
            <w:pPr>
              <w:pStyle w:val="TableParagraph"/>
              <w:spacing w:before="122"/>
              <w:ind w:right="285"/>
              <w:rPr>
                <w:b/>
                <w:sz w:val="18"/>
              </w:rPr>
            </w:pPr>
            <w:r>
              <w:rPr>
                <w:b/>
                <w:sz w:val="18"/>
              </w:rPr>
              <w:t>4,724</w:t>
            </w:r>
          </w:p>
        </w:tc>
        <w:tc>
          <w:tcPr>
            <w:tcW w:w="1382" w:type="dxa"/>
            <w:tcBorders>
              <w:top w:val="single" w:sz="0" w:space="0" w:color="000000"/>
              <w:bottom w:val="single" w:sz="0" w:space="0" w:color="000000"/>
            </w:tcBorders>
          </w:tcPr>
          <w:p>
            <w:pPr>
              <w:pStyle w:val="TableParagraph"/>
              <w:spacing w:before="122"/>
              <w:ind w:right="370"/>
              <w:rPr>
                <w:sz w:val="18"/>
              </w:rPr>
            </w:pPr>
            <w:r>
              <w:rPr>
                <w:sz w:val="18"/>
              </w:rPr>
              <w:t>855</w:t>
            </w:r>
          </w:p>
        </w:tc>
        <w:tc>
          <w:tcPr>
            <w:tcW w:w="1382" w:type="dxa"/>
            <w:tcBorders>
              <w:top w:val="single" w:sz="0" w:space="0" w:color="000000"/>
              <w:bottom w:val="single" w:sz="0" w:space="0" w:color="000000"/>
            </w:tcBorders>
          </w:tcPr>
          <w:p>
            <w:pPr>
              <w:pStyle w:val="TableParagraph"/>
              <w:spacing w:before="122"/>
              <w:ind w:right="285"/>
              <w:rPr>
                <w:b/>
                <w:sz w:val="18"/>
              </w:rPr>
            </w:pPr>
            <w:r>
              <w:rPr>
                <w:b/>
                <w:sz w:val="18"/>
              </w:rPr>
              <w:t>4,724</w:t>
            </w:r>
          </w:p>
        </w:tc>
        <w:tc>
          <w:tcPr>
            <w:tcW w:w="1098" w:type="dxa"/>
            <w:tcBorders>
              <w:top w:val="single" w:sz="0" w:space="0" w:color="000000"/>
              <w:bottom w:val="single" w:sz="0" w:space="0" w:color="000000"/>
            </w:tcBorders>
          </w:tcPr>
          <w:p>
            <w:pPr>
              <w:pStyle w:val="TableParagraph"/>
              <w:spacing w:before="122"/>
              <w:ind w:right="86"/>
              <w:rPr>
                <w:sz w:val="18"/>
              </w:rPr>
            </w:pPr>
            <w:r>
              <w:rPr>
                <w:sz w:val="18"/>
              </w:rPr>
              <w:t>855</w:t>
            </w:r>
          </w:p>
        </w:tc>
      </w:tr>
      <w:tr>
        <w:trPr>
          <w:trHeight w:val="488" w:hRule="exact"/>
        </w:trPr>
        <w:tc>
          <w:tcPr>
            <w:tcW w:w="3553" w:type="dxa"/>
          </w:tcPr>
          <w:p>
            <w:pPr>
              <w:pStyle w:val="TableParagraph"/>
              <w:spacing w:before="38"/>
              <w:ind w:left="35" w:right="175"/>
              <w:jc w:val="left"/>
              <w:rPr>
                <w:sz w:val="18"/>
              </w:rPr>
            </w:pPr>
            <w:r>
              <w:rPr>
                <w:sz w:val="18"/>
              </w:rPr>
              <w:t>Items that will not be reclassified to Income Statement</w:t>
            </w:r>
          </w:p>
        </w:tc>
        <w:tc>
          <w:tcPr>
            <w:tcW w:w="840" w:type="dxa"/>
          </w:tcPr>
          <w:p>
            <w:pPr/>
          </w:p>
        </w:tc>
        <w:tc>
          <w:tcPr>
            <w:tcW w:w="1665" w:type="dxa"/>
            <w:tcBorders>
              <w:top w:val="single" w:sz="0" w:space="0" w:color="000000"/>
            </w:tcBorders>
          </w:tcPr>
          <w:p>
            <w:pPr/>
          </w:p>
        </w:tc>
        <w:tc>
          <w:tcPr>
            <w:tcW w:w="1382" w:type="dxa"/>
            <w:tcBorders>
              <w:top w:val="single" w:sz="0" w:space="0" w:color="000000"/>
            </w:tcBorders>
          </w:tcPr>
          <w:p>
            <w:pPr/>
          </w:p>
        </w:tc>
        <w:tc>
          <w:tcPr>
            <w:tcW w:w="1382" w:type="dxa"/>
            <w:tcBorders>
              <w:top w:val="single" w:sz="0" w:space="0" w:color="000000"/>
            </w:tcBorders>
          </w:tcPr>
          <w:p>
            <w:pPr/>
          </w:p>
        </w:tc>
        <w:tc>
          <w:tcPr>
            <w:tcW w:w="1098" w:type="dxa"/>
            <w:tcBorders>
              <w:top w:val="single" w:sz="0" w:space="0" w:color="000000"/>
            </w:tcBorders>
          </w:tcPr>
          <w:p>
            <w:pPr/>
          </w:p>
        </w:tc>
      </w:tr>
      <w:tr>
        <w:trPr>
          <w:trHeight w:val="468" w:hRule="exact"/>
        </w:trPr>
        <w:tc>
          <w:tcPr>
            <w:tcW w:w="3553" w:type="dxa"/>
          </w:tcPr>
          <w:p>
            <w:pPr>
              <w:pStyle w:val="TableParagraph"/>
              <w:spacing w:before="18"/>
              <w:ind w:left="35" w:right="175"/>
              <w:jc w:val="left"/>
              <w:rPr>
                <w:sz w:val="18"/>
              </w:rPr>
            </w:pPr>
            <w:r>
              <w:rPr>
                <w:sz w:val="18"/>
              </w:rPr>
              <w:t>Gain / (loss) on revaluation of land and buildings</w:t>
            </w:r>
          </w:p>
        </w:tc>
        <w:tc>
          <w:tcPr>
            <w:tcW w:w="840" w:type="dxa"/>
          </w:tcPr>
          <w:p>
            <w:pPr>
              <w:pStyle w:val="TableParagraph"/>
              <w:spacing w:before="4"/>
              <w:jc w:val="left"/>
              <w:rPr>
                <w:b/>
                <w:sz w:val="19"/>
              </w:rPr>
            </w:pPr>
          </w:p>
          <w:p>
            <w:pPr>
              <w:pStyle w:val="TableParagraph"/>
              <w:ind w:right="77"/>
              <w:rPr>
                <w:sz w:val="18"/>
              </w:rPr>
            </w:pPr>
            <w:r>
              <w:rPr>
                <w:sz w:val="18"/>
              </w:rPr>
              <w:t>29(b)</w:t>
            </w:r>
          </w:p>
        </w:tc>
        <w:tc>
          <w:tcPr>
            <w:tcW w:w="1665" w:type="dxa"/>
          </w:tcPr>
          <w:p>
            <w:pPr>
              <w:pStyle w:val="TableParagraph"/>
              <w:spacing w:before="4"/>
              <w:jc w:val="left"/>
              <w:rPr>
                <w:b/>
                <w:sz w:val="19"/>
              </w:rPr>
            </w:pPr>
          </w:p>
          <w:p>
            <w:pPr>
              <w:pStyle w:val="TableParagraph"/>
              <w:ind w:right="285"/>
              <w:rPr>
                <w:b/>
                <w:sz w:val="18"/>
              </w:rPr>
            </w:pPr>
            <w:r>
              <w:rPr>
                <w:b/>
                <w:w w:val="95"/>
                <w:sz w:val="18"/>
              </w:rPr>
              <w:t>18,900</w:t>
            </w:r>
          </w:p>
        </w:tc>
        <w:tc>
          <w:tcPr>
            <w:tcW w:w="1382" w:type="dxa"/>
          </w:tcPr>
          <w:p>
            <w:pPr>
              <w:pStyle w:val="TableParagraph"/>
              <w:spacing w:before="4"/>
              <w:jc w:val="left"/>
              <w:rPr>
                <w:b/>
                <w:sz w:val="19"/>
              </w:rPr>
            </w:pPr>
          </w:p>
          <w:p>
            <w:pPr>
              <w:pStyle w:val="TableParagraph"/>
              <w:ind w:right="370"/>
              <w:rPr>
                <w:sz w:val="18"/>
              </w:rPr>
            </w:pPr>
            <w:r>
              <w:rPr>
                <w:w w:val="95"/>
                <w:sz w:val="18"/>
              </w:rPr>
              <w:t>110,168</w:t>
            </w:r>
          </w:p>
        </w:tc>
        <w:tc>
          <w:tcPr>
            <w:tcW w:w="1382" w:type="dxa"/>
          </w:tcPr>
          <w:p>
            <w:pPr>
              <w:pStyle w:val="TableParagraph"/>
              <w:spacing w:before="4"/>
              <w:jc w:val="left"/>
              <w:rPr>
                <w:b/>
                <w:sz w:val="19"/>
              </w:rPr>
            </w:pPr>
          </w:p>
          <w:p>
            <w:pPr>
              <w:pStyle w:val="TableParagraph"/>
              <w:ind w:left="545"/>
              <w:jc w:val="left"/>
              <w:rPr>
                <w:b/>
                <w:sz w:val="18"/>
              </w:rPr>
            </w:pPr>
            <w:r>
              <w:rPr>
                <w:b/>
                <w:sz w:val="18"/>
              </w:rPr>
              <w:t>18,879</w:t>
            </w:r>
          </w:p>
        </w:tc>
        <w:tc>
          <w:tcPr>
            <w:tcW w:w="1098" w:type="dxa"/>
          </w:tcPr>
          <w:p>
            <w:pPr>
              <w:pStyle w:val="TableParagraph"/>
              <w:spacing w:before="4"/>
              <w:jc w:val="left"/>
              <w:rPr>
                <w:b/>
                <w:sz w:val="19"/>
              </w:rPr>
            </w:pPr>
          </w:p>
          <w:p>
            <w:pPr>
              <w:pStyle w:val="TableParagraph"/>
              <w:ind w:right="86"/>
              <w:rPr>
                <w:sz w:val="18"/>
              </w:rPr>
            </w:pPr>
            <w:r>
              <w:rPr>
                <w:w w:val="95"/>
                <w:sz w:val="18"/>
              </w:rPr>
              <w:t>110,168</w:t>
            </w:r>
          </w:p>
        </w:tc>
      </w:tr>
      <w:tr>
        <w:trPr>
          <w:trHeight w:val="468" w:hRule="exact"/>
        </w:trPr>
        <w:tc>
          <w:tcPr>
            <w:tcW w:w="3553" w:type="dxa"/>
          </w:tcPr>
          <w:p>
            <w:pPr>
              <w:pStyle w:val="TableParagraph"/>
              <w:spacing w:before="18"/>
              <w:ind w:left="35" w:right="175"/>
              <w:jc w:val="left"/>
              <w:rPr>
                <w:sz w:val="18"/>
              </w:rPr>
            </w:pPr>
            <w:r>
              <w:rPr>
                <w:sz w:val="18"/>
              </w:rPr>
              <w:t>Gain / (loss) on revaluation of art collection</w:t>
            </w:r>
          </w:p>
        </w:tc>
        <w:tc>
          <w:tcPr>
            <w:tcW w:w="840" w:type="dxa"/>
          </w:tcPr>
          <w:p>
            <w:pPr>
              <w:pStyle w:val="TableParagraph"/>
              <w:spacing w:before="4"/>
              <w:jc w:val="left"/>
              <w:rPr>
                <w:b/>
                <w:sz w:val="19"/>
              </w:rPr>
            </w:pPr>
          </w:p>
          <w:p>
            <w:pPr>
              <w:pStyle w:val="TableParagraph"/>
              <w:ind w:right="77"/>
              <w:rPr>
                <w:sz w:val="18"/>
              </w:rPr>
            </w:pPr>
            <w:r>
              <w:rPr>
                <w:sz w:val="18"/>
              </w:rPr>
              <w:t>29(b)</w:t>
            </w:r>
          </w:p>
        </w:tc>
        <w:tc>
          <w:tcPr>
            <w:tcW w:w="1665" w:type="dxa"/>
          </w:tcPr>
          <w:p>
            <w:pPr>
              <w:pStyle w:val="TableParagraph"/>
              <w:spacing w:before="4"/>
              <w:jc w:val="left"/>
              <w:rPr>
                <w:b/>
                <w:sz w:val="19"/>
              </w:rPr>
            </w:pPr>
          </w:p>
          <w:p>
            <w:pPr>
              <w:pStyle w:val="TableParagraph"/>
              <w:ind w:right="285"/>
              <w:rPr>
                <w:b/>
                <w:sz w:val="18"/>
              </w:rPr>
            </w:pPr>
            <w:r>
              <w:rPr>
                <w:b/>
                <w:sz w:val="18"/>
              </w:rPr>
              <w:t>986</w:t>
            </w:r>
          </w:p>
        </w:tc>
        <w:tc>
          <w:tcPr>
            <w:tcW w:w="1382" w:type="dxa"/>
          </w:tcPr>
          <w:p>
            <w:pPr>
              <w:pStyle w:val="TableParagraph"/>
              <w:spacing w:before="4"/>
              <w:jc w:val="left"/>
              <w:rPr>
                <w:b/>
                <w:sz w:val="19"/>
              </w:rPr>
            </w:pPr>
          </w:p>
          <w:p>
            <w:pPr>
              <w:pStyle w:val="TableParagraph"/>
              <w:ind w:right="370"/>
              <w:rPr>
                <w:sz w:val="18"/>
              </w:rPr>
            </w:pPr>
            <w:r>
              <w:rPr>
                <w:w w:val="99"/>
                <w:sz w:val="18"/>
              </w:rPr>
              <w:t>-</w:t>
            </w:r>
          </w:p>
        </w:tc>
        <w:tc>
          <w:tcPr>
            <w:tcW w:w="1382" w:type="dxa"/>
          </w:tcPr>
          <w:p>
            <w:pPr>
              <w:pStyle w:val="TableParagraph"/>
              <w:spacing w:before="4"/>
              <w:jc w:val="left"/>
              <w:rPr>
                <w:b/>
                <w:sz w:val="19"/>
              </w:rPr>
            </w:pPr>
          </w:p>
          <w:p>
            <w:pPr>
              <w:pStyle w:val="TableParagraph"/>
              <w:ind w:right="285"/>
              <w:rPr>
                <w:b/>
                <w:sz w:val="18"/>
              </w:rPr>
            </w:pPr>
            <w:r>
              <w:rPr>
                <w:b/>
                <w:sz w:val="18"/>
              </w:rPr>
              <w:t>986</w:t>
            </w:r>
          </w:p>
        </w:tc>
        <w:tc>
          <w:tcPr>
            <w:tcW w:w="1098" w:type="dxa"/>
          </w:tcPr>
          <w:p>
            <w:pPr>
              <w:pStyle w:val="TableParagraph"/>
              <w:spacing w:before="4"/>
              <w:jc w:val="left"/>
              <w:rPr>
                <w:b/>
                <w:sz w:val="19"/>
              </w:rPr>
            </w:pPr>
          </w:p>
          <w:p>
            <w:pPr>
              <w:pStyle w:val="TableParagraph"/>
              <w:ind w:right="86"/>
              <w:rPr>
                <w:sz w:val="18"/>
              </w:rPr>
            </w:pPr>
            <w:r>
              <w:rPr>
                <w:w w:val="99"/>
                <w:sz w:val="18"/>
              </w:rPr>
              <w:t>-</w:t>
            </w:r>
          </w:p>
        </w:tc>
      </w:tr>
      <w:tr>
        <w:trPr>
          <w:trHeight w:val="263" w:hRule="exact"/>
        </w:trPr>
        <w:tc>
          <w:tcPr>
            <w:tcW w:w="3553" w:type="dxa"/>
          </w:tcPr>
          <w:p>
            <w:pPr>
              <w:pStyle w:val="TableParagraph"/>
              <w:spacing w:before="18"/>
              <w:ind w:left="35" w:right="175"/>
              <w:jc w:val="left"/>
              <w:rPr>
                <w:sz w:val="18"/>
              </w:rPr>
            </w:pPr>
            <w:r>
              <w:rPr>
                <w:sz w:val="18"/>
              </w:rPr>
              <w:t>Gain / (loss) on revaluation of livestock</w:t>
            </w:r>
          </w:p>
        </w:tc>
        <w:tc>
          <w:tcPr>
            <w:tcW w:w="840" w:type="dxa"/>
          </w:tcPr>
          <w:p>
            <w:pPr>
              <w:pStyle w:val="TableParagraph"/>
              <w:spacing w:before="19"/>
              <w:ind w:right="77"/>
              <w:rPr>
                <w:sz w:val="18"/>
              </w:rPr>
            </w:pPr>
            <w:r>
              <w:rPr>
                <w:sz w:val="18"/>
              </w:rPr>
              <w:t>29(b)</w:t>
            </w:r>
          </w:p>
        </w:tc>
        <w:tc>
          <w:tcPr>
            <w:tcW w:w="1665" w:type="dxa"/>
          </w:tcPr>
          <w:p>
            <w:pPr>
              <w:pStyle w:val="TableParagraph"/>
              <w:spacing w:before="19"/>
              <w:ind w:right="226"/>
              <w:rPr>
                <w:b/>
                <w:sz w:val="18"/>
              </w:rPr>
            </w:pPr>
            <w:r>
              <w:rPr>
                <w:b/>
                <w:sz w:val="18"/>
              </w:rPr>
              <w:t>(214)</w:t>
            </w:r>
          </w:p>
        </w:tc>
        <w:tc>
          <w:tcPr>
            <w:tcW w:w="1382" w:type="dxa"/>
          </w:tcPr>
          <w:p>
            <w:pPr>
              <w:pStyle w:val="TableParagraph"/>
              <w:spacing w:before="19"/>
              <w:ind w:right="370"/>
              <w:rPr>
                <w:sz w:val="18"/>
              </w:rPr>
            </w:pPr>
            <w:r>
              <w:rPr>
                <w:sz w:val="18"/>
              </w:rPr>
              <w:t>46</w:t>
            </w:r>
          </w:p>
        </w:tc>
        <w:tc>
          <w:tcPr>
            <w:tcW w:w="1382" w:type="dxa"/>
          </w:tcPr>
          <w:p>
            <w:pPr>
              <w:pStyle w:val="TableParagraph"/>
              <w:spacing w:before="19"/>
              <w:ind w:right="226"/>
              <w:rPr>
                <w:b/>
                <w:sz w:val="18"/>
              </w:rPr>
            </w:pPr>
            <w:r>
              <w:rPr>
                <w:b/>
                <w:sz w:val="18"/>
              </w:rPr>
              <w:t>(214)</w:t>
            </w:r>
          </w:p>
        </w:tc>
        <w:tc>
          <w:tcPr>
            <w:tcW w:w="1098" w:type="dxa"/>
          </w:tcPr>
          <w:p>
            <w:pPr>
              <w:pStyle w:val="TableParagraph"/>
              <w:spacing w:before="19"/>
              <w:ind w:right="86"/>
              <w:rPr>
                <w:sz w:val="18"/>
              </w:rPr>
            </w:pPr>
            <w:r>
              <w:rPr>
                <w:sz w:val="18"/>
              </w:rPr>
              <w:t>46</w:t>
            </w:r>
          </w:p>
        </w:tc>
      </w:tr>
      <w:tr>
        <w:trPr>
          <w:trHeight w:val="264" w:hRule="exact"/>
        </w:trPr>
        <w:tc>
          <w:tcPr>
            <w:tcW w:w="3553" w:type="dxa"/>
          </w:tcPr>
          <w:p>
            <w:pPr>
              <w:pStyle w:val="TableParagraph"/>
              <w:spacing w:before="18"/>
              <w:ind w:left="35" w:right="175"/>
              <w:jc w:val="left"/>
              <w:rPr>
                <w:sz w:val="18"/>
              </w:rPr>
            </w:pPr>
            <w:r>
              <w:rPr>
                <w:sz w:val="18"/>
              </w:rPr>
              <w:t>Gain / (loss) on revaluation of licenses</w:t>
            </w:r>
          </w:p>
        </w:tc>
        <w:tc>
          <w:tcPr>
            <w:tcW w:w="840" w:type="dxa"/>
          </w:tcPr>
          <w:p>
            <w:pPr>
              <w:pStyle w:val="TableParagraph"/>
              <w:spacing w:before="19"/>
              <w:ind w:right="77"/>
              <w:rPr>
                <w:sz w:val="18"/>
              </w:rPr>
            </w:pPr>
            <w:r>
              <w:rPr>
                <w:sz w:val="18"/>
              </w:rPr>
              <w:t>29(b)</w:t>
            </w:r>
          </w:p>
        </w:tc>
        <w:tc>
          <w:tcPr>
            <w:tcW w:w="1665" w:type="dxa"/>
          </w:tcPr>
          <w:p>
            <w:pPr>
              <w:pStyle w:val="TableParagraph"/>
              <w:spacing w:before="19"/>
              <w:ind w:right="285"/>
              <w:rPr>
                <w:b/>
                <w:sz w:val="18"/>
              </w:rPr>
            </w:pPr>
            <w:r>
              <w:rPr>
                <w:b/>
                <w:w w:val="99"/>
                <w:sz w:val="18"/>
              </w:rPr>
              <w:t>-</w:t>
            </w:r>
          </w:p>
        </w:tc>
        <w:tc>
          <w:tcPr>
            <w:tcW w:w="1382" w:type="dxa"/>
          </w:tcPr>
          <w:p>
            <w:pPr>
              <w:pStyle w:val="TableParagraph"/>
              <w:spacing w:before="19"/>
              <w:ind w:right="370"/>
              <w:rPr>
                <w:sz w:val="18"/>
              </w:rPr>
            </w:pPr>
            <w:r>
              <w:rPr>
                <w:sz w:val="18"/>
              </w:rPr>
              <w:t>250</w:t>
            </w:r>
          </w:p>
        </w:tc>
        <w:tc>
          <w:tcPr>
            <w:tcW w:w="1382" w:type="dxa"/>
          </w:tcPr>
          <w:p>
            <w:pPr>
              <w:pStyle w:val="TableParagraph"/>
              <w:spacing w:before="19"/>
              <w:ind w:right="285"/>
              <w:rPr>
                <w:b/>
                <w:sz w:val="18"/>
              </w:rPr>
            </w:pPr>
            <w:r>
              <w:rPr>
                <w:b/>
                <w:w w:val="99"/>
                <w:sz w:val="18"/>
              </w:rPr>
              <w:t>-</w:t>
            </w:r>
          </w:p>
        </w:tc>
        <w:tc>
          <w:tcPr>
            <w:tcW w:w="1098" w:type="dxa"/>
          </w:tcPr>
          <w:p>
            <w:pPr>
              <w:pStyle w:val="TableParagraph"/>
              <w:spacing w:before="19"/>
              <w:ind w:right="86"/>
              <w:rPr>
                <w:sz w:val="18"/>
              </w:rPr>
            </w:pPr>
            <w:r>
              <w:rPr>
                <w:sz w:val="18"/>
              </w:rPr>
              <w:t>250</w:t>
            </w:r>
          </w:p>
        </w:tc>
      </w:tr>
      <w:tr>
        <w:trPr>
          <w:trHeight w:val="467" w:hRule="exact"/>
        </w:trPr>
        <w:tc>
          <w:tcPr>
            <w:tcW w:w="3553" w:type="dxa"/>
          </w:tcPr>
          <w:p>
            <w:pPr>
              <w:pStyle w:val="TableParagraph"/>
              <w:spacing w:before="18"/>
              <w:ind w:left="35" w:right="175"/>
              <w:jc w:val="left"/>
              <w:rPr>
                <w:sz w:val="18"/>
              </w:rPr>
            </w:pPr>
            <w:r>
              <w:rPr>
                <w:sz w:val="18"/>
              </w:rPr>
              <w:t>Actuarial gains / (losses) recognised in respect of Defined Benefit Plans</w:t>
            </w:r>
          </w:p>
        </w:tc>
        <w:tc>
          <w:tcPr>
            <w:tcW w:w="840" w:type="dxa"/>
          </w:tcPr>
          <w:p>
            <w:pPr>
              <w:pStyle w:val="TableParagraph"/>
              <w:spacing w:before="5"/>
              <w:jc w:val="left"/>
              <w:rPr>
                <w:b/>
                <w:sz w:val="19"/>
              </w:rPr>
            </w:pPr>
          </w:p>
          <w:p>
            <w:pPr>
              <w:pStyle w:val="TableParagraph"/>
              <w:ind w:right="77"/>
              <w:rPr>
                <w:sz w:val="18"/>
              </w:rPr>
            </w:pPr>
            <w:r>
              <w:rPr>
                <w:sz w:val="18"/>
              </w:rPr>
              <w:t>29(b)</w:t>
            </w:r>
          </w:p>
        </w:tc>
        <w:tc>
          <w:tcPr>
            <w:tcW w:w="1665" w:type="dxa"/>
            <w:tcBorders>
              <w:bottom w:val="single" w:sz="0" w:space="0" w:color="000000"/>
            </w:tcBorders>
          </w:tcPr>
          <w:p>
            <w:pPr>
              <w:pStyle w:val="TableParagraph"/>
              <w:spacing w:before="5"/>
              <w:jc w:val="left"/>
              <w:rPr>
                <w:b/>
                <w:sz w:val="19"/>
              </w:rPr>
            </w:pPr>
          </w:p>
          <w:p>
            <w:pPr>
              <w:pStyle w:val="TableParagraph"/>
              <w:ind w:right="226"/>
              <w:rPr>
                <w:b/>
                <w:sz w:val="18"/>
              </w:rPr>
            </w:pPr>
            <w:r>
              <w:rPr>
                <w:b/>
                <w:sz w:val="18"/>
              </w:rPr>
              <w:t>(366)</w:t>
            </w:r>
          </w:p>
        </w:tc>
        <w:tc>
          <w:tcPr>
            <w:tcW w:w="1382" w:type="dxa"/>
            <w:tcBorders>
              <w:bottom w:val="single" w:sz="0" w:space="0" w:color="000000"/>
            </w:tcBorders>
          </w:tcPr>
          <w:p>
            <w:pPr>
              <w:pStyle w:val="TableParagraph"/>
              <w:spacing w:before="5"/>
              <w:jc w:val="left"/>
              <w:rPr>
                <w:b/>
                <w:sz w:val="19"/>
              </w:rPr>
            </w:pPr>
          </w:p>
          <w:p>
            <w:pPr>
              <w:pStyle w:val="TableParagraph"/>
              <w:ind w:right="310"/>
              <w:rPr>
                <w:sz w:val="18"/>
              </w:rPr>
            </w:pPr>
            <w:r>
              <w:rPr>
                <w:sz w:val="18"/>
              </w:rPr>
              <w:t>(280)</w:t>
            </w:r>
          </w:p>
        </w:tc>
        <w:tc>
          <w:tcPr>
            <w:tcW w:w="1382" w:type="dxa"/>
            <w:tcBorders>
              <w:bottom w:val="single" w:sz="0" w:space="0" w:color="000000"/>
            </w:tcBorders>
          </w:tcPr>
          <w:p>
            <w:pPr>
              <w:pStyle w:val="TableParagraph"/>
              <w:spacing w:before="5"/>
              <w:jc w:val="left"/>
              <w:rPr>
                <w:b/>
                <w:sz w:val="19"/>
              </w:rPr>
            </w:pPr>
          </w:p>
          <w:p>
            <w:pPr>
              <w:pStyle w:val="TableParagraph"/>
              <w:ind w:right="226"/>
              <w:rPr>
                <w:b/>
                <w:sz w:val="18"/>
              </w:rPr>
            </w:pPr>
            <w:r>
              <w:rPr>
                <w:b/>
                <w:sz w:val="18"/>
              </w:rPr>
              <w:t>(366)</w:t>
            </w:r>
          </w:p>
        </w:tc>
        <w:tc>
          <w:tcPr>
            <w:tcW w:w="1098" w:type="dxa"/>
            <w:tcBorders>
              <w:bottom w:val="single" w:sz="0" w:space="0" w:color="000000"/>
            </w:tcBorders>
          </w:tcPr>
          <w:p>
            <w:pPr>
              <w:pStyle w:val="TableParagraph"/>
              <w:spacing w:before="5"/>
              <w:jc w:val="left"/>
              <w:rPr>
                <w:b/>
                <w:sz w:val="19"/>
              </w:rPr>
            </w:pPr>
          </w:p>
          <w:p>
            <w:pPr>
              <w:pStyle w:val="TableParagraph"/>
              <w:ind w:right="27"/>
              <w:rPr>
                <w:sz w:val="18"/>
              </w:rPr>
            </w:pPr>
            <w:r>
              <w:rPr>
                <w:sz w:val="18"/>
              </w:rPr>
              <w:t>(280)</w:t>
            </w:r>
          </w:p>
        </w:tc>
      </w:tr>
      <w:tr>
        <w:trPr>
          <w:trHeight w:val="338" w:hRule="exact"/>
        </w:trPr>
        <w:tc>
          <w:tcPr>
            <w:tcW w:w="3553" w:type="dxa"/>
          </w:tcPr>
          <w:p>
            <w:pPr>
              <w:pStyle w:val="TableParagraph"/>
              <w:spacing w:before="123"/>
              <w:ind w:left="35" w:right="175"/>
              <w:jc w:val="left"/>
              <w:rPr>
                <w:b/>
                <w:sz w:val="18"/>
              </w:rPr>
            </w:pPr>
            <w:r>
              <w:rPr>
                <w:b/>
                <w:sz w:val="18"/>
              </w:rPr>
              <w:t>Total</w:t>
            </w:r>
          </w:p>
        </w:tc>
        <w:tc>
          <w:tcPr>
            <w:tcW w:w="840" w:type="dxa"/>
          </w:tcPr>
          <w:p>
            <w:pPr/>
          </w:p>
        </w:tc>
        <w:tc>
          <w:tcPr>
            <w:tcW w:w="1665" w:type="dxa"/>
            <w:tcBorders>
              <w:top w:val="single" w:sz="0" w:space="0" w:color="000000"/>
              <w:bottom w:val="single" w:sz="0" w:space="0" w:color="000000"/>
            </w:tcBorders>
          </w:tcPr>
          <w:p>
            <w:pPr>
              <w:pStyle w:val="TableParagraph"/>
              <w:spacing w:before="122"/>
              <w:ind w:right="285"/>
              <w:rPr>
                <w:b/>
                <w:sz w:val="18"/>
              </w:rPr>
            </w:pPr>
            <w:r>
              <w:rPr>
                <w:b/>
                <w:w w:val="95"/>
                <w:sz w:val="18"/>
              </w:rPr>
              <w:t>19,306</w:t>
            </w:r>
          </w:p>
        </w:tc>
        <w:tc>
          <w:tcPr>
            <w:tcW w:w="1382" w:type="dxa"/>
            <w:tcBorders>
              <w:top w:val="single" w:sz="0" w:space="0" w:color="000000"/>
              <w:bottom w:val="single" w:sz="0" w:space="0" w:color="000000"/>
            </w:tcBorders>
          </w:tcPr>
          <w:p>
            <w:pPr>
              <w:pStyle w:val="TableParagraph"/>
              <w:spacing w:before="122"/>
              <w:ind w:right="370"/>
              <w:rPr>
                <w:sz w:val="18"/>
              </w:rPr>
            </w:pPr>
            <w:r>
              <w:rPr>
                <w:w w:val="95"/>
                <w:sz w:val="18"/>
              </w:rPr>
              <w:t>110,184</w:t>
            </w:r>
          </w:p>
        </w:tc>
        <w:tc>
          <w:tcPr>
            <w:tcW w:w="1382" w:type="dxa"/>
            <w:tcBorders>
              <w:top w:val="single" w:sz="0" w:space="0" w:color="000000"/>
              <w:bottom w:val="single" w:sz="0" w:space="0" w:color="000000"/>
            </w:tcBorders>
          </w:tcPr>
          <w:p>
            <w:pPr>
              <w:pStyle w:val="TableParagraph"/>
              <w:spacing w:before="122"/>
              <w:ind w:left="545"/>
              <w:jc w:val="left"/>
              <w:rPr>
                <w:b/>
                <w:sz w:val="18"/>
              </w:rPr>
            </w:pPr>
            <w:r>
              <w:rPr>
                <w:b/>
                <w:sz w:val="18"/>
              </w:rPr>
              <w:t>19,285</w:t>
            </w:r>
          </w:p>
        </w:tc>
        <w:tc>
          <w:tcPr>
            <w:tcW w:w="1098" w:type="dxa"/>
            <w:tcBorders>
              <w:top w:val="single" w:sz="0" w:space="0" w:color="000000"/>
              <w:bottom w:val="single" w:sz="0" w:space="0" w:color="000000"/>
            </w:tcBorders>
          </w:tcPr>
          <w:p>
            <w:pPr>
              <w:pStyle w:val="TableParagraph"/>
              <w:spacing w:before="122"/>
              <w:ind w:right="86"/>
              <w:rPr>
                <w:sz w:val="18"/>
              </w:rPr>
            </w:pPr>
            <w:r>
              <w:rPr>
                <w:w w:val="95"/>
                <w:sz w:val="18"/>
              </w:rPr>
              <w:t>110,184</w:t>
            </w:r>
          </w:p>
        </w:tc>
      </w:tr>
      <w:tr>
        <w:trPr>
          <w:trHeight w:val="338" w:hRule="exact"/>
        </w:trPr>
        <w:tc>
          <w:tcPr>
            <w:tcW w:w="3553" w:type="dxa"/>
          </w:tcPr>
          <w:p>
            <w:pPr>
              <w:pStyle w:val="TableParagraph"/>
              <w:spacing w:before="123"/>
              <w:ind w:left="35" w:right="175"/>
              <w:jc w:val="left"/>
              <w:rPr>
                <w:b/>
                <w:sz w:val="18"/>
              </w:rPr>
            </w:pPr>
            <w:r>
              <w:rPr>
                <w:b/>
                <w:sz w:val="18"/>
              </w:rPr>
              <w:t>Total other comprehensive income</w:t>
            </w:r>
          </w:p>
        </w:tc>
        <w:tc>
          <w:tcPr>
            <w:tcW w:w="840" w:type="dxa"/>
          </w:tcPr>
          <w:p>
            <w:pPr/>
          </w:p>
        </w:tc>
        <w:tc>
          <w:tcPr>
            <w:tcW w:w="1665" w:type="dxa"/>
            <w:tcBorders>
              <w:top w:val="single" w:sz="0" w:space="0" w:color="000000"/>
              <w:bottom w:val="single" w:sz="0" w:space="0" w:color="000000"/>
            </w:tcBorders>
          </w:tcPr>
          <w:p>
            <w:pPr>
              <w:pStyle w:val="TableParagraph"/>
              <w:spacing w:before="122"/>
              <w:ind w:right="285"/>
              <w:rPr>
                <w:b/>
                <w:sz w:val="18"/>
              </w:rPr>
            </w:pPr>
            <w:r>
              <w:rPr>
                <w:b/>
                <w:w w:val="95"/>
                <w:sz w:val="18"/>
              </w:rPr>
              <w:t>24,030</w:t>
            </w:r>
          </w:p>
        </w:tc>
        <w:tc>
          <w:tcPr>
            <w:tcW w:w="1382" w:type="dxa"/>
            <w:tcBorders>
              <w:top w:val="single" w:sz="0" w:space="0" w:color="000000"/>
              <w:bottom w:val="single" w:sz="0" w:space="0" w:color="000000"/>
            </w:tcBorders>
          </w:tcPr>
          <w:p>
            <w:pPr>
              <w:pStyle w:val="TableParagraph"/>
              <w:spacing w:before="122"/>
              <w:ind w:right="370"/>
              <w:rPr>
                <w:sz w:val="18"/>
              </w:rPr>
            </w:pPr>
            <w:r>
              <w:rPr>
                <w:w w:val="95"/>
                <w:sz w:val="18"/>
              </w:rPr>
              <w:t>111,039</w:t>
            </w:r>
          </w:p>
        </w:tc>
        <w:tc>
          <w:tcPr>
            <w:tcW w:w="1382" w:type="dxa"/>
            <w:tcBorders>
              <w:top w:val="single" w:sz="0" w:space="0" w:color="000000"/>
              <w:bottom w:val="single" w:sz="0" w:space="0" w:color="000000"/>
            </w:tcBorders>
          </w:tcPr>
          <w:p>
            <w:pPr>
              <w:pStyle w:val="TableParagraph"/>
              <w:spacing w:before="122"/>
              <w:ind w:left="545"/>
              <w:jc w:val="left"/>
              <w:rPr>
                <w:b/>
                <w:sz w:val="18"/>
              </w:rPr>
            </w:pPr>
            <w:r>
              <w:rPr>
                <w:b/>
                <w:sz w:val="18"/>
              </w:rPr>
              <w:t>24,009</w:t>
            </w:r>
          </w:p>
        </w:tc>
        <w:tc>
          <w:tcPr>
            <w:tcW w:w="1098" w:type="dxa"/>
            <w:tcBorders>
              <w:top w:val="single" w:sz="0" w:space="0" w:color="000000"/>
              <w:bottom w:val="single" w:sz="0" w:space="0" w:color="000000"/>
            </w:tcBorders>
          </w:tcPr>
          <w:p>
            <w:pPr>
              <w:pStyle w:val="TableParagraph"/>
              <w:spacing w:before="122"/>
              <w:ind w:right="86"/>
              <w:rPr>
                <w:sz w:val="18"/>
              </w:rPr>
            </w:pPr>
            <w:r>
              <w:rPr>
                <w:w w:val="95"/>
                <w:sz w:val="18"/>
              </w:rPr>
              <w:t>111,039</w:t>
            </w:r>
          </w:p>
        </w:tc>
      </w:tr>
      <w:tr>
        <w:trPr>
          <w:trHeight w:val="346" w:hRule="exact"/>
        </w:trPr>
        <w:tc>
          <w:tcPr>
            <w:tcW w:w="3553" w:type="dxa"/>
          </w:tcPr>
          <w:p>
            <w:pPr>
              <w:pStyle w:val="TableParagraph"/>
              <w:spacing w:before="123"/>
              <w:ind w:left="35" w:right="175"/>
              <w:jc w:val="left"/>
              <w:rPr>
                <w:b/>
                <w:sz w:val="18"/>
              </w:rPr>
            </w:pPr>
            <w:r>
              <w:rPr>
                <w:b/>
                <w:sz w:val="18"/>
              </w:rPr>
              <w:t>Total comprehensive income</w:t>
            </w:r>
          </w:p>
        </w:tc>
        <w:tc>
          <w:tcPr>
            <w:tcW w:w="840" w:type="dxa"/>
          </w:tcPr>
          <w:p>
            <w:pPr/>
          </w:p>
        </w:tc>
        <w:tc>
          <w:tcPr>
            <w:tcW w:w="1665" w:type="dxa"/>
            <w:tcBorders>
              <w:top w:val="single" w:sz="0" w:space="0" w:color="000000"/>
              <w:bottom w:val="single" w:sz="0" w:space="0" w:color="000000"/>
            </w:tcBorders>
          </w:tcPr>
          <w:p>
            <w:pPr>
              <w:pStyle w:val="TableParagraph"/>
              <w:spacing w:before="122"/>
              <w:ind w:right="285"/>
              <w:rPr>
                <w:b/>
                <w:sz w:val="18"/>
              </w:rPr>
            </w:pPr>
            <w:r>
              <w:rPr>
                <w:b/>
                <w:w w:val="95"/>
                <w:sz w:val="18"/>
              </w:rPr>
              <w:t>58,867</w:t>
            </w:r>
          </w:p>
        </w:tc>
        <w:tc>
          <w:tcPr>
            <w:tcW w:w="1382" w:type="dxa"/>
            <w:tcBorders>
              <w:top w:val="single" w:sz="0" w:space="0" w:color="000000"/>
              <w:bottom w:val="single" w:sz="0" w:space="0" w:color="000000"/>
            </w:tcBorders>
          </w:tcPr>
          <w:p>
            <w:pPr>
              <w:pStyle w:val="TableParagraph"/>
              <w:spacing w:before="122"/>
              <w:ind w:right="370"/>
              <w:rPr>
                <w:sz w:val="18"/>
              </w:rPr>
            </w:pPr>
            <w:r>
              <w:rPr>
                <w:w w:val="95"/>
                <w:sz w:val="18"/>
              </w:rPr>
              <w:t>152,362</w:t>
            </w:r>
          </w:p>
        </w:tc>
        <w:tc>
          <w:tcPr>
            <w:tcW w:w="1382" w:type="dxa"/>
            <w:tcBorders>
              <w:top w:val="single" w:sz="0" w:space="0" w:color="000000"/>
              <w:bottom w:val="single" w:sz="0" w:space="0" w:color="000000"/>
            </w:tcBorders>
          </w:tcPr>
          <w:p>
            <w:pPr>
              <w:pStyle w:val="TableParagraph"/>
              <w:spacing w:before="122"/>
              <w:ind w:left="545"/>
              <w:jc w:val="left"/>
              <w:rPr>
                <w:b/>
                <w:sz w:val="18"/>
              </w:rPr>
            </w:pPr>
            <w:r>
              <w:rPr>
                <w:b/>
                <w:sz w:val="18"/>
              </w:rPr>
              <w:t>60,027</w:t>
            </w:r>
          </w:p>
        </w:tc>
        <w:tc>
          <w:tcPr>
            <w:tcW w:w="1098" w:type="dxa"/>
            <w:tcBorders>
              <w:top w:val="single" w:sz="0" w:space="0" w:color="000000"/>
              <w:bottom w:val="single" w:sz="0" w:space="0" w:color="000000"/>
            </w:tcBorders>
          </w:tcPr>
          <w:p>
            <w:pPr>
              <w:pStyle w:val="TableParagraph"/>
              <w:spacing w:before="122"/>
              <w:ind w:right="86"/>
              <w:rPr>
                <w:sz w:val="18"/>
              </w:rPr>
            </w:pPr>
            <w:r>
              <w:rPr>
                <w:w w:val="95"/>
                <w:sz w:val="18"/>
              </w:rPr>
              <w:t>154,045</w:t>
            </w:r>
          </w:p>
        </w:tc>
      </w:tr>
      <w:tr>
        <w:trPr>
          <w:trHeight w:val="788" w:hRule="exact"/>
        </w:trPr>
        <w:tc>
          <w:tcPr>
            <w:tcW w:w="3553" w:type="dxa"/>
          </w:tcPr>
          <w:p>
            <w:pPr>
              <w:pStyle w:val="TableParagraph"/>
              <w:spacing w:before="145"/>
              <w:ind w:left="35" w:right="907"/>
              <w:jc w:val="left"/>
              <w:rPr>
                <w:b/>
                <w:sz w:val="18"/>
              </w:rPr>
            </w:pPr>
            <w:r>
              <w:rPr>
                <w:b/>
                <w:sz w:val="18"/>
              </w:rPr>
              <w:t>Total comprehensive income attributable to members of the University</w:t>
            </w:r>
          </w:p>
        </w:tc>
        <w:tc>
          <w:tcPr>
            <w:tcW w:w="840" w:type="dxa"/>
          </w:tcPr>
          <w:p>
            <w:pPr/>
          </w:p>
        </w:tc>
        <w:tc>
          <w:tcPr>
            <w:tcW w:w="1665" w:type="dxa"/>
            <w:tcBorders>
              <w:top w:val="single" w:sz="0" w:space="0" w:color="000000"/>
              <w:bottom w:val="single" w:sz="0" w:space="0" w:color="000000"/>
            </w:tcBorders>
          </w:tcPr>
          <w:p>
            <w:pPr>
              <w:pStyle w:val="TableParagraph"/>
              <w:jc w:val="left"/>
              <w:rPr>
                <w:b/>
                <w:sz w:val="18"/>
              </w:rPr>
            </w:pPr>
          </w:p>
          <w:p>
            <w:pPr>
              <w:pStyle w:val="TableParagraph"/>
              <w:jc w:val="left"/>
              <w:rPr>
                <w:b/>
                <w:sz w:val="18"/>
              </w:rPr>
            </w:pPr>
          </w:p>
          <w:p>
            <w:pPr>
              <w:pStyle w:val="TableParagraph"/>
              <w:spacing w:before="143"/>
              <w:ind w:right="285"/>
              <w:rPr>
                <w:b/>
                <w:sz w:val="18"/>
              </w:rPr>
            </w:pPr>
            <w:r>
              <w:rPr>
                <w:b/>
                <w:w w:val="95"/>
                <w:sz w:val="18"/>
              </w:rPr>
              <w:t>58,867</w:t>
            </w:r>
          </w:p>
        </w:tc>
        <w:tc>
          <w:tcPr>
            <w:tcW w:w="1382" w:type="dxa"/>
            <w:tcBorders>
              <w:top w:val="single" w:sz="0" w:space="0" w:color="000000"/>
              <w:bottom w:val="single" w:sz="0" w:space="0" w:color="000000"/>
            </w:tcBorders>
          </w:tcPr>
          <w:p>
            <w:pPr>
              <w:pStyle w:val="TableParagraph"/>
              <w:jc w:val="left"/>
              <w:rPr>
                <w:b/>
                <w:sz w:val="18"/>
              </w:rPr>
            </w:pPr>
          </w:p>
          <w:p>
            <w:pPr>
              <w:pStyle w:val="TableParagraph"/>
              <w:jc w:val="left"/>
              <w:rPr>
                <w:b/>
                <w:sz w:val="18"/>
              </w:rPr>
            </w:pPr>
          </w:p>
          <w:p>
            <w:pPr>
              <w:pStyle w:val="TableParagraph"/>
              <w:spacing w:before="143"/>
              <w:ind w:right="370"/>
              <w:rPr>
                <w:sz w:val="18"/>
              </w:rPr>
            </w:pPr>
            <w:r>
              <w:rPr>
                <w:w w:val="95"/>
                <w:sz w:val="18"/>
              </w:rPr>
              <w:t>152,362</w:t>
            </w:r>
          </w:p>
        </w:tc>
        <w:tc>
          <w:tcPr>
            <w:tcW w:w="1382" w:type="dxa"/>
            <w:tcBorders>
              <w:top w:val="single" w:sz="0" w:space="0" w:color="000000"/>
              <w:bottom w:val="single" w:sz="0" w:space="0" w:color="000000"/>
            </w:tcBorders>
          </w:tcPr>
          <w:p>
            <w:pPr>
              <w:pStyle w:val="TableParagraph"/>
              <w:jc w:val="left"/>
              <w:rPr>
                <w:b/>
                <w:sz w:val="18"/>
              </w:rPr>
            </w:pPr>
          </w:p>
          <w:p>
            <w:pPr>
              <w:pStyle w:val="TableParagraph"/>
              <w:jc w:val="left"/>
              <w:rPr>
                <w:b/>
                <w:sz w:val="18"/>
              </w:rPr>
            </w:pPr>
          </w:p>
          <w:p>
            <w:pPr>
              <w:pStyle w:val="TableParagraph"/>
              <w:spacing w:before="143"/>
              <w:ind w:left="545"/>
              <w:jc w:val="left"/>
              <w:rPr>
                <w:b/>
                <w:sz w:val="18"/>
              </w:rPr>
            </w:pPr>
            <w:r>
              <w:rPr>
                <w:b/>
                <w:sz w:val="18"/>
              </w:rPr>
              <w:t>60,027</w:t>
            </w:r>
          </w:p>
        </w:tc>
        <w:tc>
          <w:tcPr>
            <w:tcW w:w="1098" w:type="dxa"/>
            <w:tcBorders>
              <w:top w:val="single" w:sz="0" w:space="0" w:color="000000"/>
              <w:bottom w:val="single" w:sz="0" w:space="0" w:color="000000"/>
            </w:tcBorders>
          </w:tcPr>
          <w:p>
            <w:pPr>
              <w:pStyle w:val="TableParagraph"/>
              <w:jc w:val="left"/>
              <w:rPr>
                <w:b/>
                <w:sz w:val="18"/>
              </w:rPr>
            </w:pPr>
          </w:p>
          <w:p>
            <w:pPr>
              <w:pStyle w:val="TableParagraph"/>
              <w:jc w:val="left"/>
              <w:rPr>
                <w:b/>
                <w:sz w:val="18"/>
              </w:rPr>
            </w:pPr>
          </w:p>
          <w:p>
            <w:pPr>
              <w:pStyle w:val="TableParagraph"/>
              <w:spacing w:before="143"/>
              <w:ind w:right="86"/>
              <w:rPr>
                <w:sz w:val="18"/>
              </w:rPr>
            </w:pPr>
            <w:r>
              <w:rPr>
                <w:w w:val="95"/>
                <w:sz w:val="18"/>
              </w:rPr>
              <w:t>154,045</w:t>
            </w:r>
          </w:p>
        </w:tc>
      </w:tr>
    </w:tbl>
    <w:p>
      <w:pPr>
        <w:spacing w:after="0"/>
        <w:rPr>
          <w:sz w:val="18"/>
        </w:rPr>
        <w:sectPr>
          <w:headerReference w:type="default" r:id="rId31"/>
          <w:pgSz w:w="12750" w:h="17680"/>
          <w:pgMar w:header="0" w:footer="1403" w:top="420" w:bottom="1600" w:left="0" w:right="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spacing w:before="219"/>
        <w:ind w:left="1428" w:right="0" w:firstLine="0"/>
        <w:jc w:val="left"/>
        <w:rPr>
          <w:b/>
          <w:sz w:val="28"/>
        </w:rPr>
      </w:pPr>
      <w:r>
        <w:rPr>
          <w:b/>
          <w:sz w:val="28"/>
        </w:rPr>
        <w:t>Statement of Financial Position</w:t>
      </w:r>
    </w:p>
    <w:p>
      <w:pPr>
        <w:spacing w:before="57"/>
        <w:ind w:left="1428" w:right="0" w:firstLine="0"/>
        <w:jc w:val="left"/>
        <w:rPr>
          <w:b/>
          <w:sz w:val="22"/>
        </w:rPr>
      </w:pPr>
      <w:bookmarkStart w:name="Statement of Financial Position" w:id="10"/>
      <w:bookmarkEnd w:id="10"/>
      <w:r>
        <w:rPr/>
      </w:r>
      <w:r>
        <w:rPr>
          <w:b/>
          <w:sz w:val="22"/>
        </w:rPr>
        <w:t>As at 31 December 2016</w:t>
      </w:r>
    </w:p>
    <w:p>
      <w:pPr>
        <w:pStyle w:val="BodyText"/>
        <w:spacing w:before="1"/>
        <w:rPr>
          <w:b/>
          <w:sz w:val="29"/>
        </w:rPr>
      </w:pPr>
    </w:p>
    <w:p>
      <w:pPr>
        <w:tabs>
          <w:tab w:pos="9703" w:val="left" w:leader="none"/>
        </w:tabs>
        <w:spacing w:before="77"/>
        <w:ind w:left="6648" w:right="0" w:firstLine="0"/>
        <w:jc w:val="left"/>
        <w:rPr>
          <w:b/>
          <w:sz w:val="18"/>
        </w:rPr>
      </w:pPr>
      <w:r>
        <w:rPr>
          <w:b/>
          <w:sz w:val="18"/>
        </w:rPr>
        <w:t>Consolidated</w:t>
        <w:tab/>
        <w:t>Parent</w:t>
      </w:r>
    </w:p>
    <w:p>
      <w:pPr>
        <w:spacing w:after="0"/>
        <w:jc w:val="left"/>
        <w:rPr>
          <w:sz w:val="18"/>
        </w:rPr>
        <w:sectPr>
          <w:headerReference w:type="default" r:id="rId32"/>
          <w:pgSz w:w="12750" w:h="17680"/>
          <w:pgMar w:header="0" w:footer="1403" w:top="420" w:bottom="1600" w:left="0" w:right="0"/>
        </w:sectPr>
      </w:pPr>
    </w:p>
    <w:p>
      <w:pPr>
        <w:pStyle w:val="BodyText"/>
        <w:rPr>
          <w:b/>
        </w:rPr>
      </w:pPr>
    </w:p>
    <w:p>
      <w:pPr>
        <w:pStyle w:val="BodyText"/>
        <w:spacing w:before="1"/>
        <w:rPr>
          <w:b/>
          <w:sz w:val="14"/>
        </w:rPr>
      </w:pPr>
    </w:p>
    <w:p>
      <w:pPr>
        <w:spacing w:before="0"/>
        <w:ind w:left="0" w:right="0" w:firstLine="0"/>
        <w:jc w:val="right"/>
        <w:rPr>
          <w:b/>
          <w:sz w:val="18"/>
        </w:rPr>
      </w:pPr>
      <w:r>
        <w:rPr>
          <w:b/>
          <w:sz w:val="18"/>
        </w:rPr>
        <w:t>Notes</w:t>
      </w:r>
    </w:p>
    <w:p>
      <w:pPr>
        <w:spacing w:before="95"/>
        <w:ind w:left="631" w:right="-16" w:firstLine="0"/>
        <w:jc w:val="left"/>
        <w:rPr>
          <w:b/>
          <w:sz w:val="18"/>
        </w:rPr>
      </w:pPr>
      <w:r>
        <w:rPr/>
        <w:br w:type="column"/>
      </w:r>
      <w:r>
        <w:rPr>
          <w:b/>
          <w:sz w:val="18"/>
        </w:rPr>
        <w:t>2016</w:t>
      </w:r>
    </w:p>
    <w:p>
      <w:pPr>
        <w:spacing w:before="66"/>
        <w:ind w:left="609" w:right="-16" w:firstLine="0"/>
        <w:jc w:val="left"/>
        <w:rPr>
          <w:b/>
          <w:sz w:val="18"/>
        </w:rPr>
      </w:pPr>
      <w:r>
        <w:rPr>
          <w:b/>
          <w:spacing w:val="-1"/>
          <w:sz w:val="18"/>
        </w:rPr>
        <w:t>$'000</w:t>
      </w:r>
    </w:p>
    <w:p>
      <w:pPr>
        <w:spacing w:before="95"/>
        <w:ind w:left="823" w:right="-17" w:firstLine="0"/>
        <w:jc w:val="left"/>
        <w:rPr>
          <w:b/>
          <w:sz w:val="18"/>
        </w:rPr>
      </w:pPr>
      <w:r>
        <w:rPr/>
        <w:br w:type="column"/>
      </w:r>
      <w:r>
        <w:rPr>
          <w:b/>
          <w:sz w:val="18"/>
        </w:rPr>
        <w:t>2015</w:t>
      </w:r>
    </w:p>
    <w:p>
      <w:pPr>
        <w:spacing w:before="66"/>
        <w:ind w:left="802" w:right="-17" w:firstLine="0"/>
        <w:jc w:val="left"/>
        <w:rPr>
          <w:b/>
          <w:sz w:val="18"/>
        </w:rPr>
      </w:pPr>
      <w:r>
        <w:rPr>
          <w:b/>
          <w:spacing w:val="-1"/>
          <w:sz w:val="18"/>
        </w:rPr>
        <w:t>$'000</w:t>
      </w:r>
    </w:p>
    <w:p>
      <w:pPr>
        <w:spacing w:before="66"/>
        <w:ind w:left="0" w:right="19" w:firstLine="0"/>
        <w:jc w:val="right"/>
        <w:rPr>
          <w:b/>
          <w:sz w:val="18"/>
        </w:rPr>
      </w:pPr>
      <w:r>
        <w:rPr/>
        <w:br w:type="column"/>
      </w:r>
      <w:r>
        <w:rPr>
          <w:b/>
          <w:sz w:val="18"/>
        </w:rPr>
        <w:t>2016</w:t>
      </w:r>
    </w:p>
    <w:p>
      <w:pPr>
        <w:spacing w:before="65"/>
        <w:ind w:left="0" w:right="0" w:firstLine="0"/>
        <w:jc w:val="right"/>
        <w:rPr>
          <w:b/>
          <w:sz w:val="18"/>
        </w:rPr>
      </w:pPr>
      <w:r>
        <w:rPr>
          <w:b/>
          <w:sz w:val="18"/>
        </w:rPr>
        <w:t>$'000</w:t>
      </w:r>
    </w:p>
    <w:p>
      <w:pPr>
        <w:spacing w:before="66"/>
        <w:ind w:left="823" w:right="0" w:firstLine="0"/>
        <w:jc w:val="left"/>
        <w:rPr>
          <w:b/>
          <w:sz w:val="18"/>
        </w:rPr>
      </w:pPr>
      <w:r>
        <w:rPr/>
        <w:br w:type="column"/>
      </w:r>
      <w:r>
        <w:rPr>
          <w:b/>
          <w:sz w:val="18"/>
        </w:rPr>
        <w:t>2015</w:t>
      </w:r>
    </w:p>
    <w:p>
      <w:pPr>
        <w:spacing w:before="65"/>
        <w:ind w:left="802" w:right="0" w:firstLine="0"/>
        <w:jc w:val="left"/>
        <w:rPr>
          <w:b/>
          <w:sz w:val="18"/>
        </w:rPr>
      </w:pPr>
      <w:r>
        <w:rPr>
          <w:b/>
          <w:sz w:val="18"/>
        </w:rPr>
        <w:t>$'000</w:t>
      </w:r>
    </w:p>
    <w:p>
      <w:pPr>
        <w:spacing w:after="0"/>
        <w:jc w:val="left"/>
        <w:rPr>
          <w:sz w:val="18"/>
        </w:rPr>
        <w:sectPr>
          <w:type w:val="continuous"/>
          <w:pgSz w:w="12750" w:h="17680"/>
          <w:pgMar w:top="1660" w:bottom="0" w:left="0" w:right="0"/>
          <w:cols w:num="5" w:equalWidth="0">
            <w:col w:w="5783" w:space="40"/>
            <w:col w:w="1052" w:space="40"/>
            <w:col w:w="1244" w:space="40"/>
            <w:col w:w="1440" w:space="40"/>
            <w:col w:w="3071"/>
          </w:cols>
        </w:sectPr>
      </w:pPr>
    </w:p>
    <w:p>
      <w:pPr>
        <w:pStyle w:val="BodyText"/>
        <w:spacing w:before="11"/>
        <w:rPr>
          <w:b/>
          <w:sz w:val="5"/>
        </w:rPr>
      </w:pPr>
      <w:r>
        <w:rPr/>
        <w:drawing>
          <wp:anchor distT="0" distB="0" distL="0" distR="0" allowOverlap="1" layoutInCell="1" locked="0" behindDoc="0" simplePos="0" relativeHeight="1888">
            <wp:simplePos x="0" y="0"/>
            <wp:positionH relativeFrom="page">
              <wp:posOffset>-1587</wp:posOffset>
            </wp:positionH>
            <wp:positionV relativeFrom="page">
              <wp:posOffset>5534342</wp:posOffset>
            </wp:positionV>
            <wp:extent cx="135159" cy="154019"/>
            <wp:effectExtent l="0" t="0" r="0" b="0"/>
            <wp:wrapNone/>
            <wp:docPr id="55" name="image13.png" descr=""/>
            <wp:cNvGraphicFramePr>
              <a:graphicFrameLocks noChangeAspect="1"/>
            </wp:cNvGraphicFramePr>
            <a:graphic>
              <a:graphicData uri="http://schemas.openxmlformats.org/drawingml/2006/picture">
                <pic:pic>
                  <pic:nvPicPr>
                    <pic:cNvPr id="56" name="image13.png"/>
                    <pic:cNvPicPr/>
                  </pic:nvPicPr>
                  <pic:blipFill>
                    <a:blip r:embed="rId18" cstate="print"/>
                    <a:stretch>
                      <a:fillRect/>
                    </a:stretch>
                  </pic:blipFill>
                  <pic:spPr>
                    <a:xfrm>
                      <a:off x="0" y="0"/>
                      <a:ext cx="135159" cy="154019"/>
                    </a:xfrm>
                    <a:prstGeom prst="rect">
                      <a:avLst/>
                    </a:prstGeom>
                  </pic:spPr>
                </pic:pic>
              </a:graphicData>
            </a:graphic>
          </wp:anchor>
        </w:drawing>
      </w:r>
      <w:r>
        <w:rPr/>
        <w:drawing>
          <wp:anchor distT="0" distB="0" distL="0" distR="0" allowOverlap="1" layoutInCell="1" locked="0" behindDoc="0" simplePos="0" relativeHeight="1912">
            <wp:simplePos x="0" y="0"/>
            <wp:positionH relativeFrom="page">
              <wp:posOffset>7958429</wp:posOffset>
            </wp:positionH>
            <wp:positionV relativeFrom="page">
              <wp:posOffset>5534342</wp:posOffset>
            </wp:positionV>
            <wp:extent cx="135953" cy="155575"/>
            <wp:effectExtent l="0" t="0" r="0" b="0"/>
            <wp:wrapNone/>
            <wp:docPr id="57" name="image15.png" descr=""/>
            <wp:cNvGraphicFramePr>
              <a:graphicFrameLocks noChangeAspect="1"/>
            </wp:cNvGraphicFramePr>
            <a:graphic>
              <a:graphicData uri="http://schemas.openxmlformats.org/drawingml/2006/picture">
                <pic:pic>
                  <pic:nvPicPr>
                    <pic:cNvPr id="58" name="image15.png"/>
                    <pic:cNvPicPr/>
                  </pic:nvPicPr>
                  <pic:blipFill>
                    <a:blip r:embed="rId20" cstate="print"/>
                    <a:stretch>
                      <a:fillRect/>
                    </a:stretch>
                  </pic:blipFill>
                  <pic:spPr>
                    <a:xfrm>
                      <a:off x="0" y="0"/>
                      <a:ext cx="135953" cy="155575"/>
                    </a:xfrm>
                    <a:prstGeom prst="rect">
                      <a:avLst/>
                    </a:prstGeom>
                  </pic:spPr>
                </pic:pic>
              </a:graphicData>
            </a:graphic>
          </wp:anchor>
        </w:drawing>
      </w:r>
    </w:p>
    <w:tbl>
      <w:tblPr>
        <w:tblW w:w="0" w:type="auto"/>
        <w:jc w:val="left"/>
        <w:tblInd w:w="143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383"/>
        <w:gridCol w:w="994"/>
        <w:gridCol w:w="1627"/>
        <w:gridCol w:w="1382"/>
        <w:gridCol w:w="1382"/>
        <w:gridCol w:w="1136"/>
      </w:tblGrid>
      <w:tr>
        <w:trPr>
          <w:trHeight w:val="626" w:hRule="exact"/>
        </w:trPr>
        <w:tc>
          <w:tcPr>
            <w:tcW w:w="3383" w:type="dxa"/>
          </w:tcPr>
          <w:p>
            <w:pPr>
              <w:pStyle w:val="TableParagraph"/>
              <w:spacing w:before="77"/>
              <w:ind w:left="35"/>
              <w:jc w:val="left"/>
              <w:rPr>
                <w:b/>
                <w:sz w:val="18"/>
              </w:rPr>
            </w:pPr>
            <w:r>
              <w:rPr>
                <w:b/>
                <w:sz w:val="18"/>
              </w:rPr>
              <w:t>ASSETS</w:t>
            </w:r>
          </w:p>
          <w:p>
            <w:pPr>
              <w:pStyle w:val="TableParagraph"/>
              <w:spacing w:before="112"/>
              <w:ind w:left="35"/>
              <w:jc w:val="left"/>
              <w:rPr>
                <w:b/>
                <w:sz w:val="18"/>
              </w:rPr>
            </w:pPr>
            <w:r>
              <w:rPr>
                <w:b/>
                <w:sz w:val="18"/>
              </w:rPr>
              <w:t>Current assets</w:t>
            </w:r>
          </w:p>
        </w:tc>
        <w:tc>
          <w:tcPr>
            <w:tcW w:w="6521" w:type="dxa"/>
            <w:gridSpan w:val="5"/>
          </w:tcPr>
          <w:p>
            <w:pPr/>
          </w:p>
        </w:tc>
      </w:tr>
      <w:tr>
        <w:trPr>
          <w:trHeight w:val="250" w:hRule="exact"/>
        </w:trPr>
        <w:tc>
          <w:tcPr>
            <w:tcW w:w="3383" w:type="dxa"/>
          </w:tcPr>
          <w:p>
            <w:pPr>
              <w:pStyle w:val="TableParagraph"/>
              <w:spacing w:before="4"/>
              <w:ind w:left="35"/>
              <w:jc w:val="left"/>
              <w:rPr>
                <w:sz w:val="18"/>
              </w:rPr>
            </w:pPr>
            <w:r>
              <w:rPr>
                <w:sz w:val="18"/>
              </w:rPr>
              <w:t>Cash and cash equivalents</w:t>
            </w:r>
          </w:p>
        </w:tc>
        <w:tc>
          <w:tcPr>
            <w:tcW w:w="994" w:type="dxa"/>
          </w:tcPr>
          <w:p>
            <w:pPr>
              <w:pStyle w:val="TableParagraph"/>
              <w:spacing w:before="5"/>
              <w:ind w:left="459"/>
              <w:jc w:val="left"/>
              <w:rPr>
                <w:sz w:val="18"/>
              </w:rPr>
            </w:pPr>
            <w:r>
              <w:rPr>
                <w:sz w:val="18"/>
              </w:rPr>
              <w:t>17</w:t>
            </w:r>
          </w:p>
        </w:tc>
        <w:tc>
          <w:tcPr>
            <w:tcW w:w="1627" w:type="dxa"/>
          </w:tcPr>
          <w:p>
            <w:pPr>
              <w:pStyle w:val="TableParagraph"/>
              <w:spacing w:before="5"/>
              <w:ind w:right="247"/>
              <w:rPr>
                <w:b/>
                <w:sz w:val="18"/>
              </w:rPr>
            </w:pPr>
            <w:r>
              <w:rPr>
                <w:b/>
                <w:w w:val="95"/>
                <w:sz w:val="18"/>
              </w:rPr>
              <w:t>139,225</w:t>
            </w:r>
          </w:p>
        </w:tc>
        <w:tc>
          <w:tcPr>
            <w:tcW w:w="1382" w:type="dxa"/>
          </w:tcPr>
          <w:p>
            <w:pPr>
              <w:pStyle w:val="TableParagraph"/>
              <w:spacing w:before="5"/>
              <w:ind w:right="332"/>
              <w:rPr>
                <w:sz w:val="18"/>
              </w:rPr>
            </w:pPr>
            <w:r>
              <w:rPr>
                <w:w w:val="95"/>
                <w:sz w:val="18"/>
              </w:rPr>
              <w:t>132,544</w:t>
            </w:r>
          </w:p>
        </w:tc>
        <w:tc>
          <w:tcPr>
            <w:tcW w:w="1382" w:type="dxa"/>
          </w:tcPr>
          <w:p>
            <w:pPr>
              <w:pStyle w:val="TableParagraph"/>
              <w:spacing w:before="5"/>
              <w:ind w:right="247"/>
              <w:rPr>
                <w:b/>
                <w:sz w:val="18"/>
              </w:rPr>
            </w:pPr>
            <w:r>
              <w:rPr>
                <w:b/>
                <w:w w:val="95"/>
                <w:sz w:val="18"/>
              </w:rPr>
              <w:t>136,397</w:t>
            </w:r>
          </w:p>
        </w:tc>
        <w:tc>
          <w:tcPr>
            <w:tcW w:w="1136" w:type="dxa"/>
          </w:tcPr>
          <w:p>
            <w:pPr>
              <w:pStyle w:val="TableParagraph"/>
              <w:spacing w:before="5"/>
              <w:ind w:right="86"/>
              <w:rPr>
                <w:sz w:val="18"/>
              </w:rPr>
            </w:pPr>
            <w:r>
              <w:rPr>
                <w:w w:val="95"/>
                <w:sz w:val="18"/>
              </w:rPr>
              <w:t>130,053</w:t>
            </w:r>
          </w:p>
        </w:tc>
      </w:tr>
      <w:tr>
        <w:trPr>
          <w:trHeight w:val="264" w:hRule="exact"/>
        </w:trPr>
        <w:tc>
          <w:tcPr>
            <w:tcW w:w="3383" w:type="dxa"/>
          </w:tcPr>
          <w:p>
            <w:pPr>
              <w:pStyle w:val="TableParagraph"/>
              <w:spacing w:before="18"/>
              <w:ind w:left="35"/>
              <w:jc w:val="left"/>
              <w:rPr>
                <w:sz w:val="18"/>
              </w:rPr>
            </w:pPr>
            <w:r>
              <w:rPr>
                <w:sz w:val="18"/>
              </w:rPr>
              <w:t>Receivables</w:t>
            </w:r>
          </w:p>
        </w:tc>
        <w:tc>
          <w:tcPr>
            <w:tcW w:w="994" w:type="dxa"/>
          </w:tcPr>
          <w:p>
            <w:pPr>
              <w:pStyle w:val="TableParagraph"/>
              <w:spacing w:before="19"/>
              <w:ind w:left="459"/>
              <w:jc w:val="left"/>
              <w:rPr>
                <w:sz w:val="18"/>
              </w:rPr>
            </w:pPr>
            <w:r>
              <w:rPr>
                <w:sz w:val="18"/>
              </w:rPr>
              <w:t>18</w:t>
            </w:r>
          </w:p>
        </w:tc>
        <w:tc>
          <w:tcPr>
            <w:tcW w:w="1627" w:type="dxa"/>
          </w:tcPr>
          <w:p>
            <w:pPr>
              <w:pStyle w:val="TableParagraph"/>
              <w:spacing w:before="19"/>
              <w:ind w:right="247"/>
              <w:rPr>
                <w:b/>
                <w:sz w:val="18"/>
              </w:rPr>
            </w:pPr>
            <w:r>
              <w:rPr>
                <w:b/>
                <w:w w:val="95"/>
                <w:sz w:val="18"/>
              </w:rPr>
              <w:t>61,525</w:t>
            </w:r>
          </w:p>
        </w:tc>
        <w:tc>
          <w:tcPr>
            <w:tcW w:w="1382" w:type="dxa"/>
          </w:tcPr>
          <w:p>
            <w:pPr>
              <w:pStyle w:val="TableParagraph"/>
              <w:spacing w:before="19"/>
              <w:ind w:right="332"/>
              <w:rPr>
                <w:sz w:val="18"/>
              </w:rPr>
            </w:pPr>
            <w:r>
              <w:rPr>
                <w:w w:val="95"/>
                <w:sz w:val="18"/>
              </w:rPr>
              <w:t>47,064</w:t>
            </w:r>
          </w:p>
        </w:tc>
        <w:tc>
          <w:tcPr>
            <w:tcW w:w="1382" w:type="dxa"/>
          </w:tcPr>
          <w:p>
            <w:pPr>
              <w:pStyle w:val="TableParagraph"/>
              <w:spacing w:before="19"/>
              <w:ind w:right="247"/>
              <w:rPr>
                <w:b/>
                <w:sz w:val="18"/>
              </w:rPr>
            </w:pPr>
            <w:r>
              <w:rPr>
                <w:b/>
                <w:w w:val="95"/>
                <w:sz w:val="18"/>
              </w:rPr>
              <w:t>64,151</w:t>
            </w:r>
          </w:p>
        </w:tc>
        <w:tc>
          <w:tcPr>
            <w:tcW w:w="1136" w:type="dxa"/>
          </w:tcPr>
          <w:p>
            <w:pPr>
              <w:pStyle w:val="TableParagraph"/>
              <w:spacing w:before="19"/>
              <w:ind w:right="86"/>
              <w:rPr>
                <w:sz w:val="18"/>
              </w:rPr>
            </w:pPr>
            <w:r>
              <w:rPr>
                <w:w w:val="95"/>
                <w:sz w:val="18"/>
              </w:rPr>
              <w:t>51,178</w:t>
            </w:r>
          </w:p>
        </w:tc>
      </w:tr>
      <w:tr>
        <w:trPr>
          <w:trHeight w:val="264" w:hRule="exact"/>
        </w:trPr>
        <w:tc>
          <w:tcPr>
            <w:tcW w:w="3383" w:type="dxa"/>
          </w:tcPr>
          <w:p>
            <w:pPr>
              <w:pStyle w:val="TableParagraph"/>
              <w:spacing w:before="18"/>
              <w:ind w:left="35"/>
              <w:jc w:val="left"/>
              <w:rPr>
                <w:sz w:val="18"/>
              </w:rPr>
            </w:pPr>
            <w:r>
              <w:rPr>
                <w:sz w:val="18"/>
              </w:rPr>
              <w:t>Inventories</w:t>
            </w:r>
          </w:p>
        </w:tc>
        <w:tc>
          <w:tcPr>
            <w:tcW w:w="994" w:type="dxa"/>
          </w:tcPr>
          <w:p>
            <w:pPr>
              <w:pStyle w:val="TableParagraph"/>
              <w:spacing w:before="19"/>
              <w:ind w:left="459"/>
              <w:jc w:val="left"/>
              <w:rPr>
                <w:sz w:val="18"/>
              </w:rPr>
            </w:pPr>
            <w:r>
              <w:rPr>
                <w:sz w:val="18"/>
              </w:rPr>
              <w:t>19</w:t>
            </w:r>
          </w:p>
        </w:tc>
        <w:tc>
          <w:tcPr>
            <w:tcW w:w="1627" w:type="dxa"/>
          </w:tcPr>
          <w:p>
            <w:pPr>
              <w:pStyle w:val="TableParagraph"/>
              <w:spacing w:before="19"/>
              <w:ind w:right="247"/>
              <w:rPr>
                <w:b/>
                <w:sz w:val="18"/>
              </w:rPr>
            </w:pPr>
            <w:r>
              <w:rPr>
                <w:b/>
                <w:sz w:val="18"/>
              </w:rPr>
              <w:t>15</w:t>
            </w:r>
          </w:p>
        </w:tc>
        <w:tc>
          <w:tcPr>
            <w:tcW w:w="1382" w:type="dxa"/>
          </w:tcPr>
          <w:p>
            <w:pPr>
              <w:pStyle w:val="TableParagraph"/>
              <w:spacing w:before="19"/>
              <w:ind w:right="332"/>
              <w:rPr>
                <w:sz w:val="18"/>
              </w:rPr>
            </w:pPr>
            <w:r>
              <w:rPr>
                <w:sz w:val="18"/>
              </w:rPr>
              <w:t>2,888</w:t>
            </w:r>
          </w:p>
        </w:tc>
        <w:tc>
          <w:tcPr>
            <w:tcW w:w="1382" w:type="dxa"/>
          </w:tcPr>
          <w:p>
            <w:pPr>
              <w:pStyle w:val="TableParagraph"/>
              <w:spacing w:before="19"/>
              <w:ind w:right="247"/>
              <w:rPr>
                <w:b/>
                <w:sz w:val="18"/>
              </w:rPr>
            </w:pPr>
            <w:r>
              <w:rPr>
                <w:b/>
                <w:w w:val="99"/>
                <w:sz w:val="18"/>
              </w:rPr>
              <w:t>-</w:t>
            </w:r>
          </w:p>
        </w:tc>
        <w:tc>
          <w:tcPr>
            <w:tcW w:w="1136" w:type="dxa"/>
          </w:tcPr>
          <w:p>
            <w:pPr>
              <w:pStyle w:val="TableParagraph"/>
              <w:spacing w:before="19"/>
              <w:ind w:right="86"/>
              <w:rPr>
                <w:sz w:val="18"/>
              </w:rPr>
            </w:pPr>
            <w:r>
              <w:rPr>
                <w:w w:val="99"/>
                <w:sz w:val="18"/>
              </w:rPr>
              <w:t>-</w:t>
            </w:r>
          </w:p>
        </w:tc>
      </w:tr>
      <w:tr>
        <w:trPr>
          <w:trHeight w:val="264" w:hRule="exact"/>
        </w:trPr>
        <w:tc>
          <w:tcPr>
            <w:tcW w:w="3383" w:type="dxa"/>
          </w:tcPr>
          <w:p>
            <w:pPr>
              <w:pStyle w:val="TableParagraph"/>
              <w:spacing w:before="18"/>
              <w:ind w:left="35"/>
              <w:jc w:val="left"/>
              <w:rPr>
                <w:sz w:val="18"/>
              </w:rPr>
            </w:pPr>
            <w:r>
              <w:rPr>
                <w:sz w:val="18"/>
              </w:rPr>
              <w:t>Other non-financial assets</w:t>
            </w:r>
          </w:p>
        </w:tc>
        <w:tc>
          <w:tcPr>
            <w:tcW w:w="994" w:type="dxa"/>
          </w:tcPr>
          <w:p>
            <w:pPr>
              <w:pStyle w:val="TableParagraph"/>
              <w:spacing w:before="19"/>
              <w:ind w:left="459"/>
              <w:jc w:val="left"/>
              <w:rPr>
                <w:sz w:val="18"/>
              </w:rPr>
            </w:pPr>
            <w:r>
              <w:rPr>
                <w:sz w:val="18"/>
              </w:rPr>
              <w:t>24</w:t>
            </w:r>
          </w:p>
        </w:tc>
        <w:tc>
          <w:tcPr>
            <w:tcW w:w="1627" w:type="dxa"/>
          </w:tcPr>
          <w:p>
            <w:pPr>
              <w:pStyle w:val="TableParagraph"/>
              <w:spacing w:before="19"/>
              <w:ind w:right="247"/>
              <w:rPr>
                <w:b/>
                <w:sz w:val="18"/>
              </w:rPr>
            </w:pPr>
            <w:r>
              <w:rPr>
                <w:b/>
                <w:sz w:val="18"/>
              </w:rPr>
              <w:t>244</w:t>
            </w:r>
          </w:p>
        </w:tc>
        <w:tc>
          <w:tcPr>
            <w:tcW w:w="1382" w:type="dxa"/>
          </w:tcPr>
          <w:p>
            <w:pPr>
              <w:pStyle w:val="TableParagraph"/>
              <w:spacing w:before="19"/>
              <w:ind w:right="332"/>
              <w:rPr>
                <w:sz w:val="18"/>
              </w:rPr>
            </w:pPr>
            <w:r>
              <w:rPr>
                <w:sz w:val="18"/>
              </w:rPr>
              <w:t>154</w:t>
            </w:r>
          </w:p>
        </w:tc>
        <w:tc>
          <w:tcPr>
            <w:tcW w:w="1382" w:type="dxa"/>
          </w:tcPr>
          <w:p>
            <w:pPr>
              <w:pStyle w:val="TableParagraph"/>
              <w:spacing w:before="19"/>
              <w:ind w:right="247"/>
              <w:rPr>
                <w:b/>
                <w:sz w:val="18"/>
              </w:rPr>
            </w:pPr>
            <w:r>
              <w:rPr>
                <w:b/>
                <w:sz w:val="18"/>
              </w:rPr>
              <w:t>244</w:t>
            </w:r>
          </w:p>
        </w:tc>
        <w:tc>
          <w:tcPr>
            <w:tcW w:w="1136" w:type="dxa"/>
          </w:tcPr>
          <w:p>
            <w:pPr>
              <w:pStyle w:val="TableParagraph"/>
              <w:spacing w:before="19"/>
              <w:ind w:right="86"/>
              <w:rPr>
                <w:sz w:val="18"/>
              </w:rPr>
            </w:pPr>
            <w:r>
              <w:rPr>
                <w:sz w:val="18"/>
              </w:rPr>
              <w:t>154</w:t>
            </w:r>
          </w:p>
        </w:tc>
      </w:tr>
      <w:tr>
        <w:trPr>
          <w:trHeight w:val="263" w:hRule="exact"/>
        </w:trPr>
        <w:tc>
          <w:tcPr>
            <w:tcW w:w="3383" w:type="dxa"/>
          </w:tcPr>
          <w:p>
            <w:pPr>
              <w:pStyle w:val="TableParagraph"/>
              <w:spacing w:before="18"/>
              <w:ind w:left="35"/>
              <w:jc w:val="left"/>
              <w:rPr>
                <w:sz w:val="18"/>
              </w:rPr>
            </w:pPr>
            <w:r>
              <w:rPr>
                <w:sz w:val="18"/>
              </w:rPr>
              <w:t>Non-current assets held for sale</w:t>
            </w:r>
          </w:p>
        </w:tc>
        <w:tc>
          <w:tcPr>
            <w:tcW w:w="994" w:type="dxa"/>
          </w:tcPr>
          <w:p>
            <w:pPr>
              <w:pStyle w:val="TableParagraph"/>
              <w:spacing w:before="19"/>
              <w:ind w:left="459"/>
              <w:jc w:val="left"/>
              <w:rPr>
                <w:sz w:val="18"/>
              </w:rPr>
            </w:pPr>
            <w:r>
              <w:rPr>
                <w:sz w:val="18"/>
              </w:rPr>
              <w:t>20</w:t>
            </w:r>
          </w:p>
        </w:tc>
        <w:tc>
          <w:tcPr>
            <w:tcW w:w="1627" w:type="dxa"/>
            <w:tcBorders>
              <w:bottom w:val="single" w:sz="0" w:space="0" w:color="000000"/>
            </w:tcBorders>
          </w:tcPr>
          <w:p>
            <w:pPr>
              <w:pStyle w:val="TableParagraph"/>
              <w:spacing w:before="19"/>
              <w:ind w:right="247"/>
              <w:rPr>
                <w:b/>
                <w:sz w:val="18"/>
              </w:rPr>
            </w:pPr>
            <w:r>
              <w:rPr>
                <w:b/>
                <w:w w:val="95"/>
                <w:sz w:val="18"/>
              </w:rPr>
              <w:t>85,460</w:t>
            </w:r>
          </w:p>
        </w:tc>
        <w:tc>
          <w:tcPr>
            <w:tcW w:w="1382" w:type="dxa"/>
            <w:tcBorders>
              <w:bottom w:val="single" w:sz="0" w:space="0" w:color="000000"/>
            </w:tcBorders>
          </w:tcPr>
          <w:p>
            <w:pPr>
              <w:pStyle w:val="TableParagraph"/>
              <w:spacing w:before="19"/>
              <w:ind w:right="332"/>
              <w:rPr>
                <w:sz w:val="18"/>
              </w:rPr>
            </w:pPr>
            <w:r>
              <w:rPr>
                <w:w w:val="95"/>
                <w:sz w:val="18"/>
              </w:rPr>
              <w:t>69,513</w:t>
            </w:r>
          </w:p>
        </w:tc>
        <w:tc>
          <w:tcPr>
            <w:tcW w:w="1382" w:type="dxa"/>
            <w:tcBorders>
              <w:bottom w:val="single" w:sz="0" w:space="0" w:color="000000"/>
            </w:tcBorders>
          </w:tcPr>
          <w:p>
            <w:pPr>
              <w:pStyle w:val="TableParagraph"/>
              <w:spacing w:before="19"/>
              <w:ind w:right="247"/>
              <w:rPr>
                <w:b/>
                <w:sz w:val="18"/>
              </w:rPr>
            </w:pPr>
            <w:r>
              <w:rPr>
                <w:b/>
                <w:w w:val="95"/>
                <w:sz w:val="18"/>
              </w:rPr>
              <w:t>85,330</w:t>
            </w:r>
          </w:p>
        </w:tc>
        <w:tc>
          <w:tcPr>
            <w:tcW w:w="1136" w:type="dxa"/>
            <w:tcBorders>
              <w:bottom w:val="single" w:sz="0" w:space="0" w:color="000000"/>
            </w:tcBorders>
          </w:tcPr>
          <w:p>
            <w:pPr>
              <w:pStyle w:val="TableParagraph"/>
              <w:spacing w:before="19"/>
              <w:ind w:right="86"/>
              <w:rPr>
                <w:sz w:val="18"/>
              </w:rPr>
            </w:pPr>
            <w:r>
              <w:rPr>
                <w:w w:val="95"/>
                <w:sz w:val="18"/>
              </w:rPr>
              <w:t>69,300</w:t>
            </w:r>
          </w:p>
        </w:tc>
      </w:tr>
      <w:tr>
        <w:trPr>
          <w:trHeight w:val="338" w:hRule="exact"/>
        </w:trPr>
        <w:tc>
          <w:tcPr>
            <w:tcW w:w="3383" w:type="dxa"/>
          </w:tcPr>
          <w:p>
            <w:pPr>
              <w:pStyle w:val="TableParagraph"/>
              <w:spacing w:before="123"/>
              <w:ind w:left="35"/>
              <w:jc w:val="left"/>
              <w:rPr>
                <w:b/>
                <w:sz w:val="18"/>
              </w:rPr>
            </w:pPr>
            <w:r>
              <w:rPr>
                <w:b/>
                <w:sz w:val="18"/>
              </w:rPr>
              <w:t>Total current assets</w:t>
            </w:r>
          </w:p>
        </w:tc>
        <w:tc>
          <w:tcPr>
            <w:tcW w:w="994" w:type="dxa"/>
          </w:tcPr>
          <w:p>
            <w:pPr/>
          </w:p>
        </w:tc>
        <w:tc>
          <w:tcPr>
            <w:tcW w:w="1627" w:type="dxa"/>
            <w:tcBorders>
              <w:top w:val="single" w:sz="0" w:space="0" w:color="000000"/>
              <w:bottom w:val="single" w:sz="0" w:space="0" w:color="000000"/>
            </w:tcBorders>
          </w:tcPr>
          <w:p>
            <w:pPr>
              <w:pStyle w:val="TableParagraph"/>
              <w:spacing w:before="122"/>
              <w:ind w:right="247"/>
              <w:rPr>
                <w:b/>
                <w:sz w:val="18"/>
              </w:rPr>
            </w:pPr>
            <w:r>
              <w:rPr>
                <w:b/>
                <w:w w:val="95"/>
                <w:sz w:val="18"/>
              </w:rPr>
              <w:t>286,469</w:t>
            </w:r>
          </w:p>
        </w:tc>
        <w:tc>
          <w:tcPr>
            <w:tcW w:w="1382" w:type="dxa"/>
            <w:tcBorders>
              <w:top w:val="single" w:sz="0" w:space="0" w:color="000000"/>
              <w:bottom w:val="single" w:sz="0" w:space="0" w:color="000000"/>
            </w:tcBorders>
          </w:tcPr>
          <w:p>
            <w:pPr>
              <w:pStyle w:val="TableParagraph"/>
              <w:spacing w:before="122"/>
              <w:ind w:right="332"/>
              <w:rPr>
                <w:sz w:val="18"/>
              </w:rPr>
            </w:pPr>
            <w:r>
              <w:rPr>
                <w:w w:val="95"/>
                <w:sz w:val="18"/>
              </w:rPr>
              <w:t>252,163</w:t>
            </w:r>
          </w:p>
        </w:tc>
        <w:tc>
          <w:tcPr>
            <w:tcW w:w="1382" w:type="dxa"/>
            <w:tcBorders>
              <w:top w:val="single" w:sz="0" w:space="0" w:color="000000"/>
              <w:bottom w:val="single" w:sz="0" w:space="0" w:color="000000"/>
            </w:tcBorders>
          </w:tcPr>
          <w:p>
            <w:pPr>
              <w:pStyle w:val="TableParagraph"/>
              <w:spacing w:before="122"/>
              <w:ind w:right="247"/>
              <w:rPr>
                <w:b/>
                <w:sz w:val="18"/>
              </w:rPr>
            </w:pPr>
            <w:r>
              <w:rPr>
                <w:b/>
                <w:w w:val="95"/>
                <w:sz w:val="18"/>
              </w:rPr>
              <w:t>286,122</w:t>
            </w:r>
          </w:p>
        </w:tc>
        <w:tc>
          <w:tcPr>
            <w:tcW w:w="1136" w:type="dxa"/>
            <w:tcBorders>
              <w:top w:val="single" w:sz="0" w:space="0" w:color="000000"/>
              <w:bottom w:val="single" w:sz="0" w:space="0" w:color="000000"/>
            </w:tcBorders>
          </w:tcPr>
          <w:p>
            <w:pPr>
              <w:pStyle w:val="TableParagraph"/>
              <w:spacing w:before="122"/>
              <w:ind w:right="86"/>
              <w:rPr>
                <w:sz w:val="18"/>
              </w:rPr>
            </w:pPr>
            <w:r>
              <w:rPr>
                <w:w w:val="95"/>
                <w:sz w:val="18"/>
              </w:rPr>
              <w:t>250,685</w:t>
            </w:r>
          </w:p>
        </w:tc>
      </w:tr>
      <w:tr>
        <w:trPr>
          <w:trHeight w:val="353" w:hRule="exact"/>
        </w:trPr>
        <w:tc>
          <w:tcPr>
            <w:tcW w:w="3383" w:type="dxa"/>
          </w:tcPr>
          <w:p>
            <w:pPr>
              <w:pStyle w:val="TableParagraph"/>
              <w:spacing w:before="123"/>
              <w:ind w:left="35"/>
              <w:jc w:val="left"/>
              <w:rPr>
                <w:b/>
                <w:sz w:val="18"/>
              </w:rPr>
            </w:pPr>
            <w:r>
              <w:rPr>
                <w:b/>
                <w:sz w:val="18"/>
              </w:rPr>
              <w:t>Non-current assets</w:t>
            </w:r>
          </w:p>
        </w:tc>
        <w:tc>
          <w:tcPr>
            <w:tcW w:w="994" w:type="dxa"/>
          </w:tcPr>
          <w:p>
            <w:pPr/>
          </w:p>
        </w:tc>
        <w:tc>
          <w:tcPr>
            <w:tcW w:w="1627" w:type="dxa"/>
            <w:tcBorders>
              <w:top w:val="single" w:sz="0" w:space="0" w:color="000000"/>
            </w:tcBorders>
          </w:tcPr>
          <w:p>
            <w:pPr/>
          </w:p>
        </w:tc>
        <w:tc>
          <w:tcPr>
            <w:tcW w:w="1382" w:type="dxa"/>
            <w:tcBorders>
              <w:top w:val="single" w:sz="0" w:space="0" w:color="000000"/>
            </w:tcBorders>
          </w:tcPr>
          <w:p>
            <w:pPr/>
          </w:p>
        </w:tc>
        <w:tc>
          <w:tcPr>
            <w:tcW w:w="1382" w:type="dxa"/>
            <w:tcBorders>
              <w:top w:val="single" w:sz="0" w:space="0" w:color="000000"/>
            </w:tcBorders>
          </w:tcPr>
          <w:p>
            <w:pPr/>
          </w:p>
        </w:tc>
        <w:tc>
          <w:tcPr>
            <w:tcW w:w="1136" w:type="dxa"/>
            <w:tcBorders>
              <w:top w:val="single" w:sz="0" w:space="0" w:color="000000"/>
            </w:tcBorders>
          </w:tcPr>
          <w:p>
            <w:pPr/>
          </w:p>
        </w:tc>
      </w:tr>
      <w:tr>
        <w:trPr>
          <w:trHeight w:val="250" w:hRule="exact"/>
        </w:trPr>
        <w:tc>
          <w:tcPr>
            <w:tcW w:w="3383" w:type="dxa"/>
          </w:tcPr>
          <w:p>
            <w:pPr>
              <w:pStyle w:val="TableParagraph"/>
              <w:spacing w:before="4"/>
              <w:ind w:left="35"/>
              <w:jc w:val="left"/>
              <w:rPr>
                <w:sz w:val="18"/>
              </w:rPr>
            </w:pPr>
            <w:r>
              <w:rPr>
                <w:sz w:val="18"/>
              </w:rPr>
              <w:t>Receivables</w:t>
            </w:r>
          </w:p>
        </w:tc>
        <w:tc>
          <w:tcPr>
            <w:tcW w:w="994" w:type="dxa"/>
          </w:tcPr>
          <w:p>
            <w:pPr>
              <w:pStyle w:val="TableParagraph"/>
              <w:spacing w:before="5"/>
              <w:ind w:left="459"/>
              <w:jc w:val="left"/>
              <w:rPr>
                <w:sz w:val="18"/>
              </w:rPr>
            </w:pPr>
            <w:r>
              <w:rPr>
                <w:sz w:val="18"/>
              </w:rPr>
              <w:t>18</w:t>
            </w:r>
          </w:p>
        </w:tc>
        <w:tc>
          <w:tcPr>
            <w:tcW w:w="1627" w:type="dxa"/>
          </w:tcPr>
          <w:p>
            <w:pPr>
              <w:pStyle w:val="TableParagraph"/>
              <w:spacing w:before="5"/>
              <w:ind w:right="247"/>
              <w:rPr>
                <w:b/>
                <w:sz w:val="18"/>
              </w:rPr>
            </w:pPr>
            <w:r>
              <w:rPr>
                <w:b/>
                <w:w w:val="95"/>
                <w:sz w:val="18"/>
              </w:rPr>
              <w:t>353,345</w:t>
            </w:r>
          </w:p>
        </w:tc>
        <w:tc>
          <w:tcPr>
            <w:tcW w:w="1382" w:type="dxa"/>
          </w:tcPr>
          <w:p>
            <w:pPr>
              <w:pStyle w:val="TableParagraph"/>
              <w:spacing w:before="5"/>
              <w:ind w:right="332"/>
              <w:rPr>
                <w:sz w:val="18"/>
              </w:rPr>
            </w:pPr>
            <w:r>
              <w:rPr>
                <w:w w:val="95"/>
                <w:sz w:val="18"/>
              </w:rPr>
              <w:t>353,868</w:t>
            </w:r>
          </w:p>
        </w:tc>
        <w:tc>
          <w:tcPr>
            <w:tcW w:w="1382" w:type="dxa"/>
          </w:tcPr>
          <w:p>
            <w:pPr>
              <w:pStyle w:val="TableParagraph"/>
              <w:spacing w:before="5"/>
              <w:ind w:right="247"/>
              <w:rPr>
                <w:b/>
                <w:sz w:val="18"/>
              </w:rPr>
            </w:pPr>
            <w:r>
              <w:rPr>
                <w:b/>
                <w:w w:val="95"/>
                <w:sz w:val="18"/>
              </w:rPr>
              <w:t>353,345</w:t>
            </w:r>
          </w:p>
        </w:tc>
        <w:tc>
          <w:tcPr>
            <w:tcW w:w="1136" w:type="dxa"/>
          </w:tcPr>
          <w:p>
            <w:pPr>
              <w:pStyle w:val="TableParagraph"/>
              <w:spacing w:before="5"/>
              <w:ind w:right="86"/>
              <w:rPr>
                <w:sz w:val="18"/>
              </w:rPr>
            </w:pPr>
            <w:r>
              <w:rPr>
                <w:w w:val="95"/>
                <w:sz w:val="18"/>
              </w:rPr>
              <w:t>353,868</w:t>
            </w:r>
          </w:p>
        </w:tc>
      </w:tr>
      <w:tr>
        <w:trPr>
          <w:trHeight w:val="469" w:hRule="exact"/>
        </w:trPr>
        <w:tc>
          <w:tcPr>
            <w:tcW w:w="3383" w:type="dxa"/>
          </w:tcPr>
          <w:p>
            <w:pPr>
              <w:pStyle w:val="TableParagraph"/>
              <w:spacing w:before="18"/>
              <w:ind w:left="35"/>
              <w:jc w:val="left"/>
              <w:rPr>
                <w:sz w:val="18"/>
              </w:rPr>
            </w:pPr>
            <w:r>
              <w:rPr>
                <w:sz w:val="18"/>
              </w:rPr>
              <w:t>Investments accounted for using the equity method</w:t>
            </w:r>
          </w:p>
        </w:tc>
        <w:tc>
          <w:tcPr>
            <w:tcW w:w="994" w:type="dxa"/>
          </w:tcPr>
          <w:p>
            <w:pPr>
              <w:pStyle w:val="TableParagraph"/>
              <w:spacing w:before="5"/>
              <w:jc w:val="left"/>
              <w:rPr>
                <w:b/>
                <w:sz w:val="19"/>
              </w:rPr>
            </w:pPr>
          </w:p>
          <w:p>
            <w:pPr>
              <w:pStyle w:val="TableParagraph"/>
              <w:ind w:left="459"/>
              <w:jc w:val="left"/>
              <w:rPr>
                <w:sz w:val="18"/>
              </w:rPr>
            </w:pPr>
            <w:r>
              <w:rPr>
                <w:w w:val="99"/>
                <w:sz w:val="18"/>
              </w:rPr>
              <w:t>8</w:t>
            </w:r>
          </w:p>
        </w:tc>
        <w:tc>
          <w:tcPr>
            <w:tcW w:w="1627" w:type="dxa"/>
          </w:tcPr>
          <w:p>
            <w:pPr>
              <w:pStyle w:val="TableParagraph"/>
              <w:spacing w:before="5"/>
              <w:jc w:val="left"/>
              <w:rPr>
                <w:b/>
                <w:sz w:val="19"/>
              </w:rPr>
            </w:pPr>
          </w:p>
          <w:p>
            <w:pPr>
              <w:pStyle w:val="TableParagraph"/>
              <w:ind w:right="247"/>
              <w:rPr>
                <w:b/>
                <w:sz w:val="18"/>
              </w:rPr>
            </w:pPr>
            <w:r>
              <w:rPr>
                <w:b/>
                <w:w w:val="99"/>
                <w:sz w:val="18"/>
              </w:rPr>
              <w:t>-</w:t>
            </w:r>
          </w:p>
        </w:tc>
        <w:tc>
          <w:tcPr>
            <w:tcW w:w="1382" w:type="dxa"/>
          </w:tcPr>
          <w:p>
            <w:pPr>
              <w:pStyle w:val="TableParagraph"/>
              <w:spacing w:before="5"/>
              <w:jc w:val="left"/>
              <w:rPr>
                <w:b/>
                <w:sz w:val="19"/>
              </w:rPr>
            </w:pPr>
          </w:p>
          <w:p>
            <w:pPr>
              <w:pStyle w:val="TableParagraph"/>
              <w:ind w:right="332"/>
              <w:rPr>
                <w:sz w:val="18"/>
              </w:rPr>
            </w:pPr>
            <w:r>
              <w:rPr>
                <w:w w:val="99"/>
                <w:sz w:val="18"/>
              </w:rPr>
              <w:t>-</w:t>
            </w:r>
          </w:p>
        </w:tc>
        <w:tc>
          <w:tcPr>
            <w:tcW w:w="1382" w:type="dxa"/>
          </w:tcPr>
          <w:p>
            <w:pPr>
              <w:pStyle w:val="TableParagraph"/>
              <w:spacing w:before="5"/>
              <w:jc w:val="left"/>
              <w:rPr>
                <w:b/>
                <w:sz w:val="19"/>
              </w:rPr>
            </w:pPr>
          </w:p>
          <w:p>
            <w:pPr>
              <w:pStyle w:val="TableParagraph"/>
              <w:ind w:right="247"/>
              <w:rPr>
                <w:b/>
                <w:sz w:val="18"/>
              </w:rPr>
            </w:pPr>
            <w:r>
              <w:rPr>
                <w:b/>
                <w:w w:val="99"/>
                <w:sz w:val="18"/>
              </w:rPr>
              <w:t>-</w:t>
            </w:r>
          </w:p>
        </w:tc>
        <w:tc>
          <w:tcPr>
            <w:tcW w:w="1136" w:type="dxa"/>
          </w:tcPr>
          <w:p>
            <w:pPr>
              <w:pStyle w:val="TableParagraph"/>
              <w:spacing w:before="5"/>
              <w:jc w:val="left"/>
              <w:rPr>
                <w:b/>
                <w:sz w:val="19"/>
              </w:rPr>
            </w:pPr>
          </w:p>
          <w:p>
            <w:pPr>
              <w:pStyle w:val="TableParagraph"/>
              <w:ind w:right="86"/>
              <w:rPr>
                <w:sz w:val="18"/>
              </w:rPr>
            </w:pPr>
            <w:r>
              <w:rPr>
                <w:w w:val="99"/>
                <w:sz w:val="18"/>
              </w:rPr>
              <w:t>-</w:t>
            </w:r>
          </w:p>
        </w:tc>
      </w:tr>
      <w:tr>
        <w:trPr>
          <w:trHeight w:val="263" w:hRule="exact"/>
        </w:trPr>
        <w:tc>
          <w:tcPr>
            <w:tcW w:w="3383" w:type="dxa"/>
          </w:tcPr>
          <w:p>
            <w:pPr>
              <w:pStyle w:val="TableParagraph"/>
              <w:spacing w:before="18"/>
              <w:ind w:left="35"/>
              <w:jc w:val="left"/>
              <w:rPr>
                <w:sz w:val="18"/>
              </w:rPr>
            </w:pPr>
            <w:r>
              <w:rPr>
                <w:sz w:val="18"/>
              </w:rPr>
              <w:t>Property, plant and equipment</w:t>
            </w:r>
          </w:p>
        </w:tc>
        <w:tc>
          <w:tcPr>
            <w:tcW w:w="994" w:type="dxa"/>
          </w:tcPr>
          <w:p>
            <w:pPr>
              <w:pStyle w:val="TableParagraph"/>
              <w:spacing w:before="19"/>
              <w:ind w:left="459"/>
              <w:jc w:val="left"/>
              <w:rPr>
                <w:sz w:val="18"/>
              </w:rPr>
            </w:pPr>
            <w:r>
              <w:rPr>
                <w:sz w:val="18"/>
              </w:rPr>
              <w:t>21</w:t>
            </w:r>
          </w:p>
        </w:tc>
        <w:tc>
          <w:tcPr>
            <w:tcW w:w="1627" w:type="dxa"/>
          </w:tcPr>
          <w:p>
            <w:pPr>
              <w:pStyle w:val="TableParagraph"/>
              <w:spacing w:before="19"/>
              <w:ind w:right="247"/>
              <w:rPr>
                <w:b/>
                <w:sz w:val="18"/>
              </w:rPr>
            </w:pPr>
            <w:r>
              <w:rPr>
                <w:b/>
                <w:w w:val="95"/>
                <w:sz w:val="18"/>
              </w:rPr>
              <w:t>1,600,066</w:t>
            </w:r>
          </w:p>
        </w:tc>
        <w:tc>
          <w:tcPr>
            <w:tcW w:w="1382" w:type="dxa"/>
          </w:tcPr>
          <w:p>
            <w:pPr>
              <w:pStyle w:val="TableParagraph"/>
              <w:spacing w:before="19"/>
              <w:ind w:right="332"/>
              <w:rPr>
                <w:sz w:val="18"/>
              </w:rPr>
            </w:pPr>
            <w:r>
              <w:rPr>
                <w:w w:val="95"/>
                <w:sz w:val="18"/>
              </w:rPr>
              <w:t>1,523,368</w:t>
            </w:r>
          </w:p>
        </w:tc>
        <w:tc>
          <w:tcPr>
            <w:tcW w:w="1382" w:type="dxa"/>
          </w:tcPr>
          <w:p>
            <w:pPr>
              <w:pStyle w:val="TableParagraph"/>
              <w:spacing w:before="19"/>
              <w:ind w:right="247"/>
              <w:rPr>
                <w:b/>
                <w:sz w:val="18"/>
              </w:rPr>
            </w:pPr>
            <w:r>
              <w:rPr>
                <w:b/>
                <w:w w:val="95"/>
                <w:sz w:val="18"/>
              </w:rPr>
              <w:t>1,593,034</w:t>
            </w:r>
          </w:p>
        </w:tc>
        <w:tc>
          <w:tcPr>
            <w:tcW w:w="1136" w:type="dxa"/>
          </w:tcPr>
          <w:p>
            <w:pPr>
              <w:pStyle w:val="TableParagraph"/>
              <w:spacing w:before="19"/>
              <w:ind w:right="86"/>
              <w:rPr>
                <w:sz w:val="18"/>
              </w:rPr>
            </w:pPr>
            <w:r>
              <w:rPr>
                <w:w w:val="95"/>
                <w:sz w:val="18"/>
              </w:rPr>
              <w:t>1,516,756</w:t>
            </w:r>
          </w:p>
        </w:tc>
      </w:tr>
      <w:tr>
        <w:trPr>
          <w:trHeight w:val="264" w:hRule="exact"/>
        </w:trPr>
        <w:tc>
          <w:tcPr>
            <w:tcW w:w="3383" w:type="dxa"/>
          </w:tcPr>
          <w:p>
            <w:pPr>
              <w:pStyle w:val="TableParagraph"/>
              <w:spacing w:before="18"/>
              <w:ind w:left="35"/>
              <w:jc w:val="left"/>
              <w:rPr>
                <w:sz w:val="18"/>
              </w:rPr>
            </w:pPr>
            <w:r>
              <w:rPr>
                <w:sz w:val="18"/>
              </w:rPr>
              <w:t>Intangible assets</w:t>
            </w:r>
          </w:p>
        </w:tc>
        <w:tc>
          <w:tcPr>
            <w:tcW w:w="994" w:type="dxa"/>
          </w:tcPr>
          <w:p>
            <w:pPr>
              <w:pStyle w:val="TableParagraph"/>
              <w:spacing w:before="19"/>
              <w:ind w:left="459"/>
              <w:jc w:val="left"/>
              <w:rPr>
                <w:sz w:val="18"/>
              </w:rPr>
            </w:pPr>
            <w:r>
              <w:rPr>
                <w:sz w:val="18"/>
              </w:rPr>
              <w:t>22</w:t>
            </w:r>
          </w:p>
        </w:tc>
        <w:tc>
          <w:tcPr>
            <w:tcW w:w="1627" w:type="dxa"/>
          </w:tcPr>
          <w:p>
            <w:pPr>
              <w:pStyle w:val="TableParagraph"/>
              <w:spacing w:before="19"/>
              <w:ind w:right="247"/>
              <w:rPr>
                <w:b/>
                <w:sz w:val="18"/>
              </w:rPr>
            </w:pPr>
            <w:r>
              <w:rPr>
                <w:b/>
                <w:w w:val="95"/>
                <w:sz w:val="18"/>
              </w:rPr>
              <w:t>10,294</w:t>
            </w:r>
          </w:p>
        </w:tc>
        <w:tc>
          <w:tcPr>
            <w:tcW w:w="1382" w:type="dxa"/>
          </w:tcPr>
          <w:p>
            <w:pPr>
              <w:pStyle w:val="TableParagraph"/>
              <w:spacing w:before="19"/>
              <w:ind w:right="332"/>
              <w:rPr>
                <w:sz w:val="18"/>
              </w:rPr>
            </w:pPr>
            <w:r>
              <w:rPr>
                <w:sz w:val="18"/>
              </w:rPr>
              <w:t>5,334</w:t>
            </w:r>
          </w:p>
        </w:tc>
        <w:tc>
          <w:tcPr>
            <w:tcW w:w="1382" w:type="dxa"/>
          </w:tcPr>
          <w:p>
            <w:pPr>
              <w:pStyle w:val="TableParagraph"/>
              <w:spacing w:before="19"/>
              <w:ind w:right="247"/>
              <w:rPr>
                <w:b/>
                <w:sz w:val="18"/>
              </w:rPr>
            </w:pPr>
            <w:r>
              <w:rPr>
                <w:b/>
                <w:w w:val="95"/>
                <w:sz w:val="18"/>
              </w:rPr>
              <w:t>10,140</w:t>
            </w:r>
          </w:p>
        </w:tc>
        <w:tc>
          <w:tcPr>
            <w:tcW w:w="1136" w:type="dxa"/>
          </w:tcPr>
          <w:p>
            <w:pPr>
              <w:pStyle w:val="TableParagraph"/>
              <w:spacing w:before="19"/>
              <w:ind w:right="86"/>
              <w:rPr>
                <w:sz w:val="18"/>
              </w:rPr>
            </w:pPr>
            <w:r>
              <w:rPr>
                <w:sz w:val="18"/>
              </w:rPr>
              <w:t>5,061</w:t>
            </w:r>
          </w:p>
        </w:tc>
      </w:tr>
      <w:tr>
        <w:trPr>
          <w:trHeight w:val="264" w:hRule="exact"/>
        </w:trPr>
        <w:tc>
          <w:tcPr>
            <w:tcW w:w="3383" w:type="dxa"/>
          </w:tcPr>
          <w:p>
            <w:pPr>
              <w:pStyle w:val="TableParagraph"/>
              <w:spacing w:before="18"/>
              <w:ind w:left="35"/>
              <w:jc w:val="left"/>
              <w:rPr>
                <w:sz w:val="18"/>
              </w:rPr>
            </w:pPr>
            <w:r>
              <w:rPr>
                <w:sz w:val="18"/>
              </w:rPr>
              <w:t>Other financial assets</w:t>
            </w:r>
          </w:p>
        </w:tc>
        <w:tc>
          <w:tcPr>
            <w:tcW w:w="994" w:type="dxa"/>
          </w:tcPr>
          <w:p>
            <w:pPr>
              <w:pStyle w:val="TableParagraph"/>
              <w:spacing w:before="19"/>
              <w:ind w:left="459"/>
              <w:jc w:val="left"/>
              <w:rPr>
                <w:sz w:val="18"/>
              </w:rPr>
            </w:pPr>
            <w:r>
              <w:rPr>
                <w:sz w:val="18"/>
              </w:rPr>
              <w:t>23</w:t>
            </w:r>
          </w:p>
        </w:tc>
        <w:tc>
          <w:tcPr>
            <w:tcW w:w="1627" w:type="dxa"/>
          </w:tcPr>
          <w:p>
            <w:pPr>
              <w:pStyle w:val="TableParagraph"/>
              <w:spacing w:before="19"/>
              <w:ind w:right="247"/>
              <w:rPr>
                <w:b/>
                <w:sz w:val="18"/>
              </w:rPr>
            </w:pPr>
            <w:r>
              <w:rPr>
                <w:b/>
                <w:w w:val="95"/>
                <w:sz w:val="18"/>
              </w:rPr>
              <w:t>98,175</w:t>
            </w:r>
          </w:p>
        </w:tc>
        <w:tc>
          <w:tcPr>
            <w:tcW w:w="1382" w:type="dxa"/>
          </w:tcPr>
          <w:p>
            <w:pPr>
              <w:pStyle w:val="TableParagraph"/>
              <w:spacing w:before="19"/>
              <w:ind w:right="332"/>
              <w:rPr>
                <w:sz w:val="18"/>
              </w:rPr>
            </w:pPr>
            <w:r>
              <w:rPr>
                <w:w w:val="95"/>
                <w:sz w:val="18"/>
              </w:rPr>
              <w:t>85,536</w:t>
            </w:r>
          </w:p>
        </w:tc>
        <w:tc>
          <w:tcPr>
            <w:tcW w:w="1382" w:type="dxa"/>
          </w:tcPr>
          <w:p>
            <w:pPr>
              <w:pStyle w:val="TableParagraph"/>
              <w:spacing w:before="19"/>
              <w:ind w:right="247"/>
              <w:rPr>
                <w:b/>
                <w:sz w:val="18"/>
              </w:rPr>
            </w:pPr>
            <w:r>
              <w:rPr>
                <w:b/>
                <w:w w:val="95"/>
                <w:sz w:val="18"/>
              </w:rPr>
              <w:t>98,175</w:t>
            </w:r>
          </w:p>
        </w:tc>
        <w:tc>
          <w:tcPr>
            <w:tcW w:w="1136" w:type="dxa"/>
          </w:tcPr>
          <w:p>
            <w:pPr>
              <w:pStyle w:val="TableParagraph"/>
              <w:spacing w:before="19"/>
              <w:ind w:right="86"/>
              <w:rPr>
                <w:sz w:val="18"/>
              </w:rPr>
            </w:pPr>
            <w:r>
              <w:rPr>
                <w:w w:val="95"/>
                <w:sz w:val="18"/>
              </w:rPr>
              <w:t>85,536</w:t>
            </w:r>
          </w:p>
        </w:tc>
      </w:tr>
      <w:tr>
        <w:trPr>
          <w:trHeight w:val="263" w:hRule="exact"/>
        </w:trPr>
        <w:tc>
          <w:tcPr>
            <w:tcW w:w="3383" w:type="dxa"/>
          </w:tcPr>
          <w:p>
            <w:pPr>
              <w:pStyle w:val="TableParagraph"/>
              <w:spacing w:before="18"/>
              <w:ind w:left="35"/>
              <w:jc w:val="left"/>
              <w:rPr>
                <w:sz w:val="18"/>
              </w:rPr>
            </w:pPr>
            <w:r>
              <w:rPr>
                <w:sz w:val="18"/>
              </w:rPr>
              <w:t>Other non-financial assets</w:t>
            </w:r>
          </w:p>
        </w:tc>
        <w:tc>
          <w:tcPr>
            <w:tcW w:w="994" w:type="dxa"/>
          </w:tcPr>
          <w:p>
            <w:pPr>
              <w:pStyle w:val="TableParagraph"/>
              <w:spacing w:before="19"/>
              <w:ind w:left="459"/>
              <w:jc w:val="left"/>
              <w:rPr>
                <w:sz w:val="18"/>
              </w:rPr>
            </w:pPr>
            <w:r>
              <w:rPr>
                <w:sz w:val="18"/>
              </w:rPr>
              <w:t>24</w:t>
            </w:r>
          </w:p>
        </w:tc>
        <w:tc>
          <w:tcPr>
            <w:tcW w:w="1627" w:type="dxa"/>
            <w:tcBorders>
              <w:bottom w:val="single" w:sz="0" w:space="0" w:color="000000"/>
            </w:tcBorders>
          </w:tcPr>
          <w:p>
            <w:pPr>
              <w:pStyle w:val="TableParagraph"/>
              <w:spacing w:before="19"/>
              <w:ind w:right="247"/>
              <w:rPr>
                <w:b/>
                <w:sz w:val="18"/>
              </w:rPr>
            </w:pPr>
            <w:r>
              <w:rPr>
                <w:b/>
                <w:sz w:val="18"/>
              </w:rPr>
              <w:t>1,002</w:t>
            </w:r>
          </w:p>
        </w:tc>
        <w:tc>
          <w:tcPr>
            <w:tcW w:w="1382" w:type="dxa"/>
            <w:tcBorders>
              <w:bottom w:val="single" w:sz="0" w:space="0" w:color="000000"/>
            </w:tcBorders>
          </w:tcPr>
          <w:p>
            <w:pPr>
              <w:pStyle w:val="TableParagraph"/>
              <w:spacing w:before="19"/>
              <w:ind w:right="332"/>
              <w:rPr>
                <w:sz w:val="18"/>
              </w:rPr>
            </w:pPr>
            <w:r>
              <w:rPr>
                <w:sz w:val="18"/>
              </w:rPr>
              <w:t>622</w:t>
            </w:r>
          </w:p>
        </w:tc>
        <w:tc>
          <w:tcPr>
            <w:tcW w:w="1382" w:type="dxa"/>
            <w:tcBorders>
              <w:bottom w:val="single" w:sz="0" w:space="0" w:color="000000"/>
            </w:tcBorders>
          </w:tcPr>
          <w:p>
            <w:pPr>
              <w:pStyle w:val="TableParagraph"/>
              <w:spacing w:before="19"/>
              <w:ind w:right="247"/>
              <w:rPr>
                <w:b/>
                <w:sz w:val="18"/>
              </w:rPr>
            </w:pPr>
            <w:r>
              <w:rPr>
                <w:b/>
                <w:sz w:val="18"/>
              </w:rPr>
              <w:t>1,002</w:t>
            </w:r>
          </w:p>
        </w:tc>
        <w:tc>
          <w:tcPr>
            <w:tcW w:w="1136" w:type="dxa"/>
            <w:tcBorders>
              <w:bottom w:val="single" w:sz="0" w:space="0" w:color="000000"/>
            </w:tcBorders>
          </w:tcPr>
          <w:p>
            <w:pPr>
              <w:pStyle w:val="TableParagraph"/>
              <w:spacing w:before="19"/>
              <w:ind w:right="86"/>
              <w:rPr>
                <w:sz w:val="18"/>
              </w:rPr>
            </w:pPr>
            <w:r>
              <w:rPr>
                <w:sz w:val="18"/>
              </w:rPr>
              <w:t>622</w:t>
            </w:r>
          </w:p>
        </w:tc>
      </w:tr>
      <w:tr>
        <w:trPr>
          <w:trHeight w:val="338" w:hRule="exact"/>
        </w:trPr>
        <w:tc>
          <w:tcPr>
            <w:tcW w:w="3383" w:type="dxa"/>
          </w:tcPr>
          <w:p>
            <w:pPr>
              <w:pStyle w:val="TableParagraph"/>
              <w:spacing w:before="123"/>
              <w:ind w:left="35"/>
              <w:jc w:val="left"/>
              <w:rPr>
                <w:b/>
                <w:sz w:val="18"/>
              </w:rPr>
            </w:pPr>
            <w:r>
              <w:rPr>
                <w:b/>
                <w:sz w:val="18"/>
              </w:rPr>
              <w:t>Total non-current assets</w:t>
            </w:r>
          </w:p>
        </w:tc>
        <w:tc>
          <w:tcPr>
            <w:tcW w:w="994" w:type="dxa"/>
          </w:tcPr>
          <w:p>
            <w:pPr/>
          </w:p>
        </w:tc>
        <w:tc>
          <w:tcPr>
            <w:tcW w:w="1627" w:type="dxa"/>
            <w:tcBorders>
              <w:top w:val="single" w:sz="0" w:space="0" w:color="000000"/>
              <w:bottom w:val="single" w:sz="0" w:space="0" w:color="000000"/>
            </w:tcBorders>
          </w:tcPr>
          <w:p>
            <w:pPr>
              <w:pStyle w:val="TableParagraph"/>
              <w:spacing w:before="122"/>
              <w:ind w:right="247"/>
              <w:rPr>
                <w:b/>
                <w:sz w:val="18"/>
              </w:rPr>
            </w:pPr>
            <w:r>
              <w:rPr>
                <w:b/>
                <w:w w:val="95"/>
                <w:sz w:val="18"/>
              </w:rPr>
              <w:t>2,062,882</w:t>
            </w:r>
          </w:p>
        </w:tc>
        <w:tc>
          <w:tcPr>
            <w:tcW w:w="1382" w:type="dxa"/>
            <w:tcBorders>
              <w:top w:val="single" w:sz="0" w:space="0" w:color="000000"/>
              <w:bottom w:val="single" w:sz="0" w:space="0" w:color="000000"/>
            </w:tcBorders>
          </w:tcPr>
          <w:p>
            <w:pPr>
              <w:pStyle w:val="TableParagraph"/>
              <w:spacing w:before="122"/>
              <w:ind w:right="332"/>
              <w:rPr>
                <w:sz w:val="18"/>
              </w:rPr>
            </w:pPr>
            <w:r>
              <w:rPr>
                <w:w w:val="95"/>
                <w:sz w:val="18"/>
              </w:rPr>
              <w:t>1,968,728</w:t>
            </w:r>
          </w:p>
        </w:tc>
        <w:tc>
          <w:tcPr>
            <w:tcW w:w="1382" w:type="dxa"/>
            <w:tcBorders>
              <w:top w:val="single" w:sz="0" w:space="0" w:color="000000"/>
              <w:bottom w:val="single" w:sz="0" w:space="0" w:color="000000"/>
            </w:tcBorders>
          </w:tcPr>
          <w:p>
            <w:pPr>
              <w:pStyle w:val="TableParagraph"/>
              <w:spacing w:before="122"/>
              <w:ind w:right="247"/>
              <w:rPr>
                <w:b/>
                <w:sz w:val="18"/>
              </w:rPr>
            </w:pPr>
            <w:r>
              <w:rPr>
                <w:b/>
                <w:w w:val="95"/>
                <w:sz w:val="18"/>
              </w:rPr>
              <w:t>2,055,696</w:t>
            </w:r>
          </w:p>
        </w:tc>
        <w:tc>
          <w:tcPr>
            <w:tcW w:w="1136" w:type="dxa"/>
            <w:tcBorders>
              <w:top w:val="single" w:sz="0" w:space="0" w:color="000000"/>
              <w:bottom w:val="single" w:sz="0" w:space="0" w:color="000000"/>
            </w:tcBorders>
          </w:tcPr>
          <w:p>
            <w:pPr>
              <w:pStyle w:val="TableParagraph"/>
              <w:spacing w:before="122"/>
              <w:ind w:right="86"/>
              <w:rPr>
                <w:sz w:val="18"/>
              </w:rPr>
            </w:pPr>
            <w:r>
              <w:rPr>
                <w:w w:val="95"/>
                <w:sz w:val="18"/>
              </w:rPr>
              <w:t>1,961,843</w:t>
            </w:r>
          </w:p>
        </w:tc>
      </w:tr>
      <w:tr>
        <w:trPr>
          <w:trHeight w:val="338" w:hRule="exact"/>
        </w:trPr>
        <w:tc>
          <w:tcPr>
            <w:tcW w:w="3383" w:type="dxa"/>
          </w:tcPr>
          <w:p>
            <w:pPr>
              <w:pStyle w:val="TableParagraph"/>
              <w:spacing w:before="123"/>
              <w:ind w:left="35"/>
              <w:jc w:val="left"/>
              <w:rPr>
                <w:b/>
                <w:sz w:val="18"/>
              </w:rPr>
            </w:pPr>
            <w:r>
              <w:rPr>
                <w:b/>
                <w:sz w:val="18"/>
              </w:rPr>
              <w:t>Total assets</w:t>
            </w:r>
          </w:p>
        </w:tc>
        <w:tc>
          <w:tcPr>
            <w:tcW w:w="994" w:type="dxa"/>
          </w:tcPr>
          <w:p>
            <w:pPr/>
          </w:p>
        </w:tc>
        <w:tc>
          <w:tcPr>
            <w:tcW w:w="1627" w:type="dxa"/>
            <w:tcBorders>
              <w:top w:val="single" w:sz="0" w:space="0" w:color="000000"/>
              <w:bottom w:val="single" w:sz="0" w:space="0" w:color="000000"/>
            </w:tcBorders>
          </w:tcPr>
          <w:p>
            <w:pPr>
              <w:pStyle w:val="TableParagraph"/>
              <w:spacing w:before="122"/>
              <w:ind w:right="247"/>
              <w:rPr>
                <w:b/>
                <w:sz w:val="18"/>
              </w:rPr>
            </w:pPr>
            <w:r>
              <w:rPr>
                <w:b/>
                <w:w w:val="95"/>
                <w:sz w:val="18"/>
              </w:rPr>
              <w:t>2,349,351</w:t>
            </w:r>
          </w:p>
        </w:tc>
        <w:tc>
          <w:tcPr>
            <w:tcW w:w="1382" w:type="dxa"/>
            <w:tcBorders>
              <w:top w:val="single" w:sz="0" w:space="0" w:color="000000"/>
              <w:bottom w:val="single" w:sz="0" w:space="0" w:color="000000"/>
            </w:tcBorders>
          </w:tcPr>
          <w:p>
            <w:pPr>
              <w:pStyle w:val="TableParagraph"/>
              <w:spacing w:before="122"/>
              <w:ind w:right="332"/>
              <w:rPr>
                <w:sz w:val="18"/>
              </w:rPr>
            </w:pPr>
            <w:r>
              <w:rPr>
                <w:w w:val="95"/>
                <w:sz w:val="18"/>
              </w:rPr>
              <w:t>2,220,891</w:t>
            </w:r>
          </w:p>
        </w:tc>
        <w:tc>
          <w:tcPr>
            <w:tcW w:w="1382" w:type="dxa"/>
            <w:tcBorders>
              <w:top w:val="single" w:sz="0" w:space="0" w:color="000000"/>
              <w:bottom w:val="single" w:sz="0" w:space="0" w:color="000000"/>
            </w:tcBorders>
          </w:tcPr>
          <w:p>
            <w:pPr>
              <w:pStyle w:val="TableParagraph"/>
              <w:spacing w:before="122"/>
              <w:ind w:right="247"/>
              <w:rPr>
                <w:b/>
                <w:sz w:val="18"/>
              </w:rPr>
            </w:pPr>
            <w:r>
              <w:rPr>
                <w:b/>
                <w:w w:val="95"/>
                <w:sz w:val="18"/>
              </w:rPr>
              <w:t>2,341,818</w:t>
            </w:r>
          </w:p>
        </w:tc>
        <w:tc>
          <w:tcPr>
            <w:tcW w:w="1136" w:type="dxa"/>
            <w:tcBorders>
              <w:top w:val="single" w:sz="0" w:space="0" w:color="000000"/>
              <w:bottom w:val="single" w:sz="0" w:space="0" w:color="000000"/>
            </w:tcBorders>
          </w:tcPr>
          <w:p>
            <w:pPr>
              <w:pStyle w:val="TableParagraph"/>
              <w:spacing w:before="122"/>
              <w:ind w:right="86"/>
              <w:rPr>
                <w:sz w:val="18"/>
              </w:rPr>
            </w:pPr>
            <w:r>
              <w:rPr>
                <w:w w:val="95"/>
                <w:sz w:val="18"/>
              </w:rPr>
              <w:t>2,212,528</w:t>
            </w:r>
          </w:p>
        </w:tc>
      </w:tr>
      <w:tr>
        <w:trPr>
          <w:trHeight w:val="396" w:hRule="exact"/>
        </w:trPr>
        <w:tc>
          <w:tcPr>
            <w:tcW w:w="3383" w:type="dxa"/>
          </w:tcPr>
          <w:p>
            <w:pPr>
              <w:pStyle w:val="TableParagraph"/>
              <w:spacing w:before="123"/>
              <w:ind w:left="35"/>
              <w:jc w:val="left"/>
              <w:rPr>
                <w:b/>
                <w:sz w:val="18"/>
              </w:rPr>
            </w:pPr>
            <w:r>
              <w:rPr>
                <w:b/>
                <w:sz w:val="18"/>
              </w:rPr>
              <w:t>LIABILITIES</w:t>
            </w:r>
          </w:p>
        </w:tc>
        <w:tc>
          <w:tcPr>
            <w:tcW w:w="994" w:type="dxa"/>
          </w:tcPr>
          <w:p>
            <w:pPr/>
          </w:p>
        </w:tc>
        <w:tc>
          <w:tcPr>
            <w:tcW w:w="1627" w:type="dxa"/>
            <w:tcBorders>
              <w:top w:val="single" w:sz="0" w:space="0" w:color="000000"/>
            </w:tcBorders>
          </w:tcPr>
          <w:p>
            <w:pPr/>
          </w:p>
        </w:tc>
        <w:tc>
          <w:tcPr>
            <w:tcW w:w="1382" w:type="dxa"/>
            <w:tcBorders>
              <w:top w:val="single" w:sz="0" w:space="0" w:color="000000"/>
            </w:tcBorders>
          </w:tcPr>
          <w:p>
            <w:pPr/>
          </w:p>
        </w:tc>
        <w:tc>
          <w:tcPr>
            <w:tcW w:w="1382" w:type="dxa"/>
            <w:tcBorders>
              <w:top w:val="single" w:sz="0" w:space="0" w:color="000000"/>
            </w:tcBorders>
          </w:tcPr>
          <w:p>
            <w:pPr/>
          </w:p>
        </w:tc>
        <w:tc>
          <w:tcPr>
            <w:tcW w:w="1136" w:type="dxa"/>
            <w:tcBorders>
              <w:top w:val="single" w:sz="0" w:space="0" w:color="000000"/>
            </w:tcBorders>
          </w:tcPr>
          <w:p>
            <w:pPr/>
          </w:p>
        </w:tc>
      </w:tr>
      <w:tr>
        <w:trPr>
          <w:trHeight w:val="277" w:hRule="exact"/>
        </w:trPr>
        <w:tc>
          <w:tcPr>
            <w:tcW w:w="3383" w:type="dxa"/>
          </w:tcPr>
          <w:p>
            <w:pPr>
              <w:pStyle w:val="TableParagraph"/>
              <w:spacing w:before="46"/>
              <w:ind w:left="35"/>
              <w:jc w:val="left"/>
              <w:rPr>
                <w:b/>
                <w:sz w:val="18"/>
              </w:rPr>
            </w:pPr>
            <w:r>
              <w:rPr>
                <w:b/>
                <w:sz w:val="18"/>
              </w:rPr>
              <w:t>Current liabilities</w:t>
            </w:r>
          </w:p>
        </w:tc>
        <w:tc>
          <w:tcPr>
            <w:tcW w:w="994" w:type="dxa"/>
          </w:tcPr>
          <w:p>
            <w:pPr/>
          </w:p>
        </w:tc>
        <w:tc>
          <w:tcPr>
            <w:tcW w:w="1627" w:type="dxa"/>
          </w:tcPr>
          <w:p>
            <w:pPr/>
          </w:p>
        </w:tc>
        <w:tc>
          <w:tcPr>
            <w:tcW w:w="1382" w:type="dxa"/>
          </w:tcPr>
          <w:p>
            <w:pPr/>
          </w:p>
        </w:tc>
        <w:tc>
          <w:tcPr>
            <w:tcW w:w="1382" w:type="dxa"/>
          </w:tcPr>
          <w:p>
            <w:pPr/>
          </w:p>
        </w:tc>
        <w:tc>
          <w:tcPr>
            <w:tcW w:w="1136" w:type="dxa"/>
          </w:tcPr>
          <w:p>
            <w:pPr/>
          </w:p>
        </w:tc>
      </w:tr>
      <w:tr>
        <w:trPr>
          <w:trHeight w:val="250" w:hRule="exact"/>
        </w:trPr>
        <w:tc>
          <w:tcPr>
            <w:tcW w:w="3383" w:type="dxa"/>
          </w:tcPr>
          <w:p>
            <w:pPr>
              <w:pStyle w:val="TableParagraph"/>
              <w:spacing w:before="4"/>
              <w:ind w:left="35"/>
              <w:jc w:val="left"/>
              <w:rPr>
                <w:sz w:val="18"/>
              </w:rPr>
            </w:pPr>
            <w:r>
              <w:rPr>
                <w:sz w:val="18"/>
              </w:rPr>
              <w:t>Trade and other payables</w:t>
            </w:r>
          </w:p>
        </w:tc>
        <w:tc>
          <w:tcPr>
            <w:tcW w:w="994" w:type="dxa"/>
          </w:tcPr>
          <w:p>
            <w:pPr>
              <w:pStyle w:val="TableParagraph"/>
              <w:spacing w:before="5"/>
              <w:ind w:left="459"/>
              <w:jc w:val="left"/>
              <w:rPr>
                <w:sz w:val="18"/>
              </w:rPr>
            </w:pPr>
            <w:r>
              <w:rPr>
                <w:sz w:val="18"/>
              </w:rPr>
              <w:t>25</w:t>
            </w:r>
          </w:p>
        </w:tc>
        <w:tc>
          <w:tcPr>
            <w:tcW w:w="1627" w:type="dxa"/>
          </w:tcPr>
          <w:p>
            <w:pPr>
              <w:pStyle w:val="TableParagraph"/>
              <w:spacing w:before="5"/>
              <w:ind w:right="247"/>
              <w:rPr>
                <w:b/>
                <w:sz w:val="18"/>
              </w:rPr>
            </w:pPr>
            <w:r>
              <w:rPr>
                <w:b/>
                <w:w w:val="95"/>
                <w:sz w:val="18"/>
              </w:rPr>
              <w:t>47,695</w:t>
            </w:r>
          </w:p>
        </w:tc>
        <w:tc>
          <w:tcPr>
            <w:tcW w:w="1382" w:type="dxa"/>
          </w:tcPr>
          <w:p>
            <w:pPr>
              <w:pStyle w:val="TableParagraph"/>
              <w:spacing w:before="5"/>
              <w:ind w:right="332"/>
              <w:rPr>
                <w:sz w:val="18"/>
              </w:rPr>
            </w:pPr>
            <w:r>
              <w:rPr>
                <w:w w:val="95"/>
                <w:sz w:val="18"/>
              </w:rPr>
              <w:t>58,207</w:t>
            </w:r>
          </w:p>
        </w:tc>
        <w:tc>
          <w:tcPr>
            <w:tcW w:w="1382" w:type="dxa"/>
          </w:tcPr>
          <w:p>
            <w:pPr>
              <w:pStyle w:val="TableParagraph"/>
              <w:spacing w:before="5"/>
              <w:ind w:right="247"/>
              <w:rPr>
                <w:b/>
                <w:sz w:val="18"/>
              </w:rPr>
            </w:pPr>
            <w:r>
              <w:rPr>
                <w:b/>
                <w:w w:val="95"/>
                <w:sz w:val="18"/>
              </w:rPr>
              <w:t>47,297</w:t>
            </w:r>
          </w:p>
        </w:tc>
        <w:tc>
          <w:tcPr>
            <w:tcW w:w="1136" w:type="dxa"/>
          </w:tcPr>
          <w:p>
            <w:pPr>
              <w:pStyle w:val="TableParagraph"/>
              <w:spacing w:before="5"/>
              <w:ind w:right="86"/>
              <w:rPr>
                <w:sz w:val="18"/>
              </w:rPr>
            </w:pPr>
            <w:r>
              <w:rPr>
                <w:w w:val="95"/>
                <w:sz w:val="18"/>
              </w:rPr>
              <w:t>57,448</w:t>
            </w:r>
          </w:p>
        </w:tc>
      </w:tr>
      <w:tr>
        <w:trPr>
          <w:trHeight w:val="264" w:hRule="exact"/>
        </w:trPr>
        <w:tc>
          <w:tcPr>
            <w:tcW w:w="3383" w:type="dxa"/>
          </w:tcPr>
          <w:p>
            <w:pPr>
              <w:pStyle w:val="TableParagraph"/>
              <w:spacing w:before="18"/>
              <w:ind w:left="35"/>
              <w:jc w:val="left"/>
              <w:rPr>
                <w:sz w:val="18"/>
              </w:rPr>
            </w:pPr>
            <w:r>
              <w:rPr>
                <w:sz w:val="18"/>
              </w:rPr>
              <w:t>Borrowings</w:t>
            </w:r>
          </w:p>
        </w:tc>
        <w:tc>
          <w:tcPr>
            <w:tcW w:w="994" w:type="dxa"/>
          </w:tcPr>
          <w:p>
            <w:pPr>
              <w:pStyle w:val="TableParagraph"/>
              <w:spacing w:before="19"/>
              <w:ind w:left="459"/>
              <w:jc w:val="left"/>
              <w:rPr>
                <w:sz w:val="18"/>
              </w:rPr>
            </w:pPr>
            <w:r>
              <w:rPr>
                <w:sz w:val="18"/>
              </w:rPr>
              <w:t>26</w:t>
            </w:r>
          </w:p>
        </w:tc>
        <w:tc>
          <w:tcPr>
            <w:tcW w:w="1627" w:type="dxa"/>
          </w:tcPr>
          <w:p>
            <w:pPr>
              <w:pStyle w:val="TableParagraph"/>
              <w:spacing w:before="19"/>
              <w:ind w:right="247"/>
              <w:rPr>
                <w:b/>
                <w:sz w:val="18"/>
              </w:rPr>
            </w:pPr>
            <w:r>
              <w:rPr>
                <w:b/>
                <w:w w:val="95"/>
                <w:sz w:val="18"/>
              </w:rPr>
              <w:t>72,000</w:t>
            </w:r>
          </w:p>
        </w:tc>
        <w:tc>
          <w:tcPr>
            <w:tcW w:w="1382" w:type="dxa"/>
          </w:tcPr>
          <w:p>
            <w:pPr>
              <w:pStyle w:val="TableParagraph"/>
              <w:spacing w:before="19"/>
              <w:ind w:right="332"/>
              <w:rPr>
                <w:sz w:val="18"/>
              </w:rPr>
            </w:pPr>
            <w:r>
              <w:rPr>
                <w:w w:val="99"/>
                <w:sz w:val="18"/>
              </w:rPr>
              <w:t>-</w:t>
            </w:r>
          </w:p>
        </w:tc>
        <w:tc>
          <w:tcPr>
            <w:tcW w:w="1382" w:type="dxa"/>
          </w:tcPr>
          <w:p>
            <w:pPr>
              <w:pStyle w:val="TableParagraph"/>
              <w:spacing w:before="19"/>
              <w:ind w:right="247"/>
              <w:rPr>
                <w:b/>
                <w:sz w:val="18"/>
              </w:rPr>
            </w:pPr>
            <w:r>
              <w:rPr>
                <w:b/>
                <w:w w:val="95"/>
                <w:sz w:val="18"/>
              </w:rPr>
              <w:t>79,228</w:t>
            </w:r>
          </w:p>
        </w:tc>
        <w:tc>
          <w:tcPr>
            <w:tcW w:w="1136" w:type="dxa"/>
          </w:tcPr>
          <w:p>
            <w:pPr>
              <w:pStyle w:val="TableParagraph"/>
              <w:spacing w:before="19"/>
              <w:ind w:right="86"/>
              <w:rPr>
                <w:sz w:val="18"/>
              </w:rPr>
            </w:pPr>
            <w:r>
              <w:rPr>
                <w:sz w:val="18"/>
              </w:rPr>
              <w:t>7,681</w:t>
            </w:r>
          </w:p>
        </w:tc>
      </w:tr>
      <w:tr>
        <w:trPr>
          <w:trHeight w:val="264" w:hRule="exact"/>
        </w:trPr>
        <w:tc>
          <w:tcPr>
            <w:tcW w:w="3383" w:type="dxa"/>
          </w:tcPr>
          <w:p>
            <w:pPr>
              <w:pStyle w:val="TableParagraph"/>
              <w:spacing w:before="18"/>
              <w:ind w:left="35"/>
              <w:jc w:val="left"/>
              <w:rPr>
                <w:sz w:val="18"/>
              </w:rPr>
            </w:pPr>
            <w:r>
              <w:rPr>
                <w:sz w:val="18"/>
              </w:rPr>
              <w:t>Provisions</w:t>
            </w:r>
          </w:p>
        </w:tc>
        <w:tc>
          <w:tcPr>
            <w:tcW w:w="994" w:type="dxa"/>
          </w:tcPr>
          <w:p>
            <w:pPr>
              <w:pStyle w:val="TableParagraph"/>
              <w:spacing w:before="19"/>
              <w:ind w:left="459"/>
              <w:jc w:val="left"/>
              <w:rPr>
                <w:sz w:val="18"/>
              </w:rPr>
            </w:pPr>
            <w:r>
              <w:rPr>
                <w:sz w:val="18"/>
              </w:rPr>
              <w:t>27</w:t>
            </w:r>
          </w:p>
        </w:tc>
        <w:tc>
          <w:tcPr>
            <w:tcW w:w="1627" w:type="dxa"/>
          </w:tcPr>
          <w:p>
            <w:pPr>
              <w:pStyle w:val="TableParagraph"/>
              <w:spacing w:before="19"/>
              <w:ind w:right="247"/>
              <w:rPr>
                <w:b/>
                <w:sz w:val="18"/>
              </w:rPr>
            </w:pPr>
            <w:r>
              <w:rPr>
                <w:b/>
                <w:w w:val="95"/>
                <w:sz w:val="18"/>
              </w:rPr>
              <w:t>68,421</w:t>
            </w:r>
          </w:p>
        </w:tc>
        <w:tc>
          <w:tcPr>
            <w:tcW w:w="1382" w:type="dxa"/>
          </w:tcPr>
          <w:p>
            <w:pPr>
              <w:pStyle w:val="TableParagraph"/>
              <w:spacing w:before="19"/>
              <w:ind w:right="332"/>
              <w:rPr>
                <w:sz w:val="18"/>
              </w:rPr>
            </w:pPr>
            <w:r>
              <w:rPr>
                <w:w w:val="95"/>
                <w:sz w:val="18"/>
              </w:rPr>
              <w:t>69,721</w:t>
            </w:r>
          </w:p>
        </w:tc>
        <w:tc>
          <w:tcPr>
            <w:tcW w:w="1382" w:type="dxa"/>
          </w:tcPr>
          <w:p>
            <w:pPr>
              <w:pStyle w:val="TableParagraph"/>
              <w:spacing w:before="19"/>
              <w:ind w:right="247"/>
              <w:rPr>
                <w:b/>
                <w:sz w:val="18"/>
              </w:rPr>
            </w:pPr>
            <w:r>
              <w:rPr>
                <w:b/>
                <w:w w:val="95"/>
                <w:sz w:val="18"/>
              </w:rPr>
              <w:t>65,819</w:t>
            </w:r>
          </w:p>
        </w:tc>
        <w:tc>
          <w:tcPr>
            <w:tcW w:w="1136" w:type="dxa"/>
          </w:tcPr>
          <w:p>
            <w:pPr>
              <w:pStyle w:val="TableParagraph"/>
              <w:spacing w:before="19"/>
              <w:ind w:right="86"/>
              <w:rPr>
                <w:sz w:val="18"/>
              </w:rPr>
            </w:pPr>
            <w:r>
              <w:rPr>
                <w:w w:val="95"/>
                <w:sz w:val="18"/>
              </w:rPr>
              <w:t>67,135</w:t>
            </w:r>
          </w:p>
        </w:tc>
      </w:tr>
      <w:tr>
        <w:trPr>
          <w:trHeight w:val="263" w:hRule="exact"/>
        </w:trPr>
        <w:tc>
          <w:tcPr>
            <w:tcW w:w="3383" w:type="dxa"/>
          </w:tcPr>
          <w:p>
            <w:pPr>
              <w:pStyle w:val="TableParagraph"/>
              <w:spacing w:before="18"/>
              <w:ind w:left="35"/>
              <w:jc w:val="left"/>
              <w:rPr>
                <w:sz w:val="18"/>
              </w:rPr>
            </w:pPr>
            <w:r>
              <w:rPr>
                <w:sz w:val="18"/>
              </w:rPr>
              <w:t>Other liabilities</w:t>
            </w:r>
          </w:p>
        </w:tc>
        <w:tc>
          <w:tcPr>
            <w:tcW w:w="994" w:type="dxa"/>
          </w:tcPr>
          <w:p>
            <w:pPr>
              <w:pStyle w:val="TableParagraph"/>
              <w:spacing w:before="19"/>
              <w:ind w:left="459"/>
              <w:jc w:val="left"/>
              <w:rPr>
                <w:sz w:val="18"/>
              </w:rPr>
            </w:pPr>
            <w:r>
              <w:rPr>
                <w:sz w:val="18"/>
              </w:rPr>
              <w:t>28</w:t>
            </w:r>
          </w:p>
        </w:tc>
        <w:tc>
          <w:tcPr>
            <w:tcW w:w="1627" w:type="dxa"/>
            <w:tcBorders>
              <w:bottom w:val="single" w:sz="0" w:space="0" w:color="000000"/>
            </w:tcBorders>
          </w:tcPr>
          <w:p>
            <w:pPr>
              <w:pStyle w:val="TableParagraph"/>
              <w:spacing w:before="19"/>
              <w:ind w:right="247"/>
              <w:rPr>
                <w:b/>
                <w:sz w:val="18"/>
              </w:rPr>
            </w:pPr>
            <w:r>
              <w:rPr>
                <w:b/>
                <w:w w:val="95"/>
                <w:sz w:val="18"/>
              </w:rPr>
              <w:t>48,850</w:t>
            </w:r>
          </w:p>
        </w:tc>
        <w:tc>
          <w:tcPr>
            <w:tcW w:w="1382" w:type="dxa"/>
            <w:tcBorders>
              <w:bottom w:val="single" w:sz="0" w:space="0" w:color="000000"/>
            </w:tcBorders>
          </w:tcPr>
          <w:p>
            <w:pPr>
              <w:pStyle w:val="TableParagraph"/>
              <w:spacing w:before="19"/>
              <w:ind w:right="332"/>
              <w:rPr>
                <w:sz w:val="18"/>
              </w:rPr>
            </w:pPr>
            <w:r>
              <w:rPr>
                <w:w w:val="95"/>
                <w:sz w:val="18"/>
              </w:rPr>
              <w:t>42,769</w:t>
            </w:r>
          </w:p>
        </w:tc>
        <w:tc>
          <w:tcPr>
            <w:tcW w:w="1382" w:type="dxa"/>
            <w:tcBorders>
              <w:bottom w:val="single" w:sz="0" w:space="0" w:color="000000"/>
            </w:tcBorders>
          </w:tcPr>
          <w:p>
            <w:pPr>
              <w:pStyle w:val="TableParagraph"/>
              <w:spacing w:before="19"/>
              <w:ind w:right="247"/>
              <w:rPr>
                <w:b/>
                <w:sz w:val="18"/>
              </w:rPr>
            </w:pPr>
            <w:r>
              <w:rPr>
                <w:b/>
                <w:w w:val="95"/>
                <w:sz w:val="18"/>
              </w:rPr>
              <w:t>47,052</w:t>
            </w:r>
          </w:p>
        </w:tc>
        <w:tc>
          <w:tcPr>
            <w:tcW w:w="1136" w:type="dxa"/>
            <w:tcBorders>
              <w:bottom w:val="single" w:sz="0" w:space="0" w:color="000000"/>
            </w:tcBorders>
          </w:tcPr>
          <w:p>
            <w:pPr>
              <w:pStyle w:val="TableParagraph"/>
              <w:spacing w:before="19"/>
              <w:ind w:right="86"/>
              <w:rPr>
                <w:sz w:val="18"/>
              </w:rPr>
            </w:pPr>
            <w:r>
              <w:rPr>
                <w:w w:val="95"/>
                <w:sz w:val="18"/>
              </w:rPr>
              <w:t>41,357</w:t>
            </w:r>
          </w:p>
        </w:tc>
      </w:tr>
      <w:tr>
        <w:trPr>
          <w:trHeight w:val="338" w:hRule="exact"/>
        </w:trPr>
        <w:tc>
          <w:tcPr>
            <w:tcW w:w="3383" w:type="dxa"/>
          </w:tcPr>
          <w:p>
            <w:pPr>
              <w:pStyle w:val="TableParagraph"/>
              <w:spacing w:before="123"/>
              <w:ind w:left="35"/>
              <w:jc w:val="left"/>
              <w:rPr>
                <w:b/>
                <w:sz w:val="18"/>
              </w:rPr>
            </w:pPr>
            <w:r>
              <w:rPr>
                <w:b/>
                <w:sz w:val="18"/>
              </w:rPr>
              <w:t>Total current liabilities</w:t>
            </w:r>
          </w:p>
        </w:tc>
        <w:tc>
          <w:tcPr>
            <w:tcW w:w="994" w:type="dxa"/>
          </w:tcPr>
          <w:p>
            <w:pPr/>
          </w:p>
        </w:tc>
        <w:tc>
          <w:tcPr>
            <w:tcW w:w="1627" w:type="dxa"/>
            <w:tcBorders>
              <w:top w:val="single" w:sz="0" w:space="0" w:color="000000"/>
              <w:bottom w:val="single" w:sz="0" w:space="0" w:color="000000"/>
            </w:tcBorders>
          </w:tcPr>
          <w:p>
            <w:pPr>
              <w:pStyle w:val="TableParagraph"/>
              <w:spacing w:before="122"/>
              <w:ind w:right="247"/>
              <w:rPr>
                <w:b/>
                <w:sz w:val="18"/>
              </w:rPr>
            </w:pPr>
            <w:r>
              <w:rPr>
                <w:b/>
                <w:w w:val="95"/>
                <w:sz w:val="18"/>
              </w:rPr>
              <w:t>236,966</w:t>
            </w:r>
          </w:p>
        </w:tc>
        <w:tc>
          <w:tcPr>
            <w:tcW w:w="1382" w:type="dxa"/>
            <w:tcBorders>
              <w:top w:val="single" w:sz="0" w:space="0" w:color="000000"/>
              <w:bottom w:val="single" w:sz="0" w:space="0" w:color="000000"/>
            </w:tcBorders>
          </w:tcPr>
          <w:p>
            <w:pPr>
              <w:pStyle w:val="TableParagraph"/>
              <w:spacing w:before="122"/>
              <w:ind w:right="332"/>
              <w:rPr>
                <w:sz w:val="18"/>
              </w:rPr>
            </w:pPr>
            <w:r>
              <w:rPr>
                <w:w w:val="95"/>
                <w:sz w:val="18"/>
              </w:rPr>
              <w:t>170,697</w:t>
            </w:r>
          </w:p>
        </w:tc>
        <w:tc>
          <w:tcPr>
            <w:tcW w:w="1382" w:type="dxa"/>
            <w:tcBorders>
              <w:top w:val="single" w:sz="0" w:space="0" w:color="000000"/>
              <w:bottom w:val="single" w:sz="0" w:space="0" w:color="000000"/>
            </w:tcBorders>
          </w:tcPr>
          <w:p>
            <w:pPr>
              <w:pStyle w:val="TableParagraph"/>
              <w:spacing w:before="122"/>
              <w:ind w:right="247"/>
              <w:rPr>
                <w:b/>
                <w:sz w:val="18"/>
              </w:rPr>
            </w:pPr>
            <w:r>
              <w:rPr>
                <w:b/>
                <w:w w:val="95"/>
                <w:sz w:val="18"/>
              </w:rPr>
              <w:t>239,396</w:t>
            </w:r>
          </w:p>
        </w:tc>
        <w:tc>
          <w:tcPr>
            <w:tcW w:w="1136" w:type="dxa"/>
            <w:tcBorders>
              <w:top w:val="single" w:sz="0" w:space="0" w:color="000000"/>
              <w:bottom w:val="single" w:sz="0" w:space="0" w:color="000000"/>
            </w:tcBorders>
          </w:tcPr>
          <w:p>
            <w:pPr>
              <w:pStyle w:val="TableParagraph"/>
              <w:spacing w:before="122"/>
              <w:ind w:right="86"/>
              <w:rPr>
                <w:sz w:val="18"/>
              </w:rPr>
            </w:pPr>
            <w:r>
              <w:rPr>
                <w:w w:val="95"/>
                <w:sz w:val="18"/>
              </w:rPr>
              <w:t>173,621</w:t>
            </w:r>
          </w:p>
        </w:tc>
      </w:tr>
      <w:tr>
        <w:trPr>
          <w:trHeight w:val="353" w:hRule="exact"/>
        </w:trPr>
        <w:tc>
          <w:tcPr>
            <w:tcW w:w="3383" w:type="dxa"/>
          </w:tcPr>
          <w:p>
            <w:pPr>
              <w:pStyle w:val="TableParagraph"/>
              <w:spacing w:before="123"/>
              <w:ind w:left="35"/>
              <w:jc w:val="left"/>
              <w:rPr>
                <w:b/>
                <w:sz w:val="18"/>
              </w:rPr>
            </w:pPr>
            <w:r>
              <w:rPr>
                <w:b/>
                <w:sz w:val="18"/>
              </w:rPr>
              <w:t>Non-current liabilities</w:t>
            </w:r>
          </w:p>
        </w:tc>
        <w:tc>
          <w:tcPr>
            <w:tcW w:w="994" w:type="dxa"/>
          </w:tcPr>
          <w:p>
            <w:pPr/>
          </w:p>
        </w:tc>
        <w:tc>
          <w:tcPr>
            <w:tcW w:w="1627" w:type="dxa"/>
            <w:tcBorders>
              <w:top w:val="single" w:sz="0" w:space="0" w:color="000000"/>
            </w:tcBorders>
          </w:tcPr>
          <w:p>
            <w:pPr/>
          </w:p>
        </w:tc>
        <w:tc>
          <w:tcPr>
            <w:tcW w:w="1382" w:type="dxa"/>
            <w:tcBorders>
              <w:top w:val="single" w:sz="0" w:space="0" w:color="000000"/>
            </w:tcBorders>
          </w:tcPr>
          <w:p>
            <w:pPr/>
          </w:p>
        </w:tc>
        <w:tc>
          <w:tcPr>
            <w:tcW w:w="1382" w:type="dxa"/>
            <w:tcBorders>
              <w:top w:val="single" w:sz="0" w:space="0" w:color="000000"/>
            </w:tcBorders>
          </w:tcPr>
          <w:p>
            <w:pPr/>
          </w:p>
        </w:tc>
        <w:tc>
          <w:tcPr>
            <w:tcW w:w="1136" w:type="dxa"/>
            <w:tcBorders>
              <w:top w:val="single" w:sz="0" w:space="0" w:color="000000"/>
            </w:tcBorders>
          </w:tcPr>
          <w:p>
            <w:pPr/>
          </w:p>
        </w:tc>
      </w:tr>
      <w:tr>
        <w:trPr>
          <w:trHeight w:val="250" w:hRule="exact"/>
        </w:trPr>
        <w:tc>
          <w:tcPr>
            <w:tcW w:w="3383" w:type="dxa"/>
          </w:tcPr>
          <w:p>
            <w:pPr>
              <w:pStyle w:val="TableParagraph"/>
              <w:spacing w:before="4"/>
              <w:ind w:left="35"/>
              <w:jc w:val="left"/>
              <w:rPr>
                <w:sz w:val="18"/>
              </w:rPr>
            </w:pPr>
            <w:r>
              <w:rPr>
                <w:sz w:val="18"/>
              </w:rPr>
              <w:t>Borrowings</w:t>
            </w:r>
          </w:p>
        </w:tc>
        <w:tc>
          <w:tcPr>
            <w:tcW w:w="994" w:type="dxa"/>
          </w:tcPr>
          <w:p>
            <w:pPr>
              <w:pStyle w:val="TableParagraph"/>
              <w:spacing w:before="5"/>
              <w:ind w:left="459"/>
              <w:jc w:val="left"/>
              <w:rPr>
                <w:sz w:val="18"/>
              </w:rPr>
            </w:pPr>
            <w:r>
              <w:rPr>
                <w:sz w:val="18"/>
              </w:rPr>
              <w:t>26</w:t>
            </w:r>
          </w:p>
        </w:tc>
        <w:tc>
          <w:tcPr>
            <w:tcW w:w="1627" w:type="dxa"/>
          </w:tcPr>
          <w:p>
            <w:pPr>
              <w:pStyle w:val="TableParagraph"/>
              <w:spacing w:before="5"/>
              <w:ind w:right="247"/>
              <w:rPr>
                <w:b/>
                <w:sz w:val="18"/>
              </w:rPr>
            </w:pPr>
            <w:r>
              <w:rPr>
                <w:b/>
                <w:w w:val="95"/>
                <w:sz w:val="18"/>
              </w:rPr>
              <w:t>83,000</w:t>
            </w:r>
          </w:p>
        </w:tc>
        <w:tc>
          <w:tcPr>
            <w:tcW w:w="1382" w:type="dxa"/>
          </w:tcPr>
          <w:p>
            <w:pPr>
              <w:pStyle w:val="TableParagraph"/>
              <w:spacing w:before="5"/>
              <w:ind w:right="332"/>
              <w:rPr>
                <w:sz w:val="18"/>
              </w:rPr>
            </w:pPr>
            <w:r>
              <w:rPr>
                <w:w w:val="95"/>
                <w:sz w:val="18"/>
              </w:rPr>
              <w:t>75,500</w:t>
            </w:r>
          </w:p>
        </w:tc>
        <w:tc>
          <w:tcPr>
            <w:tcW w:w="1382" w:type="dxa"/>
          </w:tcPr>
          <w:p>
            <w:pPr>
              <w:pStyle w:val="TableParagraph"/>
              <w:spacing w:before="5"/>
              <w:ind w:right="247"/>
              <w:rPr>
                <w:b/>
                <w:sz w:val="18"/>
              </w:rPr>
            </w:pPr>
            <w:r>
              <w:rPr>
                <w:b/>
                <w:w w:val="95"/>
                <w:sz w:val="18"/>
              </w:rPr>
              <w:t>83,000</w:t>
            </w:r>
          </w:p>
        </w:tc>
        <w:tc>
          <w:tcPr>
            <w:tcW w:w="1136" w:type="dxa"/>
          </w:tcPr>
          <w:p>
            <w:pPr>
              <w:pStyle w:val="TableParagraph"/>
              <w:spacing w:before="5"/>
              <w:ind w:right="86"/>
              <w:rPr>
                <w:sz w:val="18"/>
              </w:rPr>
            </w:pPr>
            <w:r>
              <w:rPr>
                <w:w w:val="95"/>
                <w:sz w:val="18"/>
              </w:rPr>
              <w:t>75,500</w:t>
            </w:r>
          </w:p>
        </w:tc>
      </w:tr>
      <w:tr>
        <w:trPr>
          <w:trHeight w:val="264" w:hRule="exact"/>
        </w:trPr>
        <w:tc>
          <w:tcPr>
            <w:tcW w:w="3383" w:type="dxa"/>
          </w:tcPr>
          <w:p>
            <w:pPr>
              <w:pStyle w:val="TableParagraph"/>
              <w:spacing w:before="18"/>
              <w:ind w:left="35"/>
              <w:jc w:val="left"/>
              <w:rPr>
                <w:sz w:val="18"/>
              </w:rPr>
            </w:pPr>
            <w:r>
              <w:rPr>
                <w:sz w:val="18"/>
              </w:rPr>
              <w:t>Provisions</w:t>
            </w:r>
          </w:p>
        </w:tc>
        <w:tc>
          <w:tcPr>
            <w:tcW w:w="994" w:type="dxa"/>
          </w:tcPr>
          <w:p>
            <w:pPr>
              <w:pStyle w:val="TableParagraph"/>
              <w:spacing w:before="19"/>
              <w:ind w:left="459"/>
              <w:jc w:val="left"/>
              <w:rPr>
                <w:sz w:val="18"/>
              </w:rPr>
            </w:pPr>
            <w:r>
              <w:rPr>
                <w:sz w:val="18"/>
              </w:rPr>
              <w:t>27</w:t>
            </w:r>
          </w:p>
        </w:tc>
        <w:tc>
          <w:tcPr>
            <w:tcW w:w="1627" w:type="dxa"/>
          </w:tcPr>
          <w:p>
            <w:pPr>
              <w:pStyle w:val="TableParagraph"/>
              <w:spacing w:before="19"/>
              <w:ind w:right="247"/>
              <w:rPr>
                <w:b/>
                <w:sz w:val="18"/>
              </w:rPr>
            </w:pPr>
            <w:r>
              <w:rPr>
                <w:b/>
                <w:w w:val="95"/>
                <w:sz w:val="18"/>
              </w:rPr>
              <w:t>350,420</w:t>
            </w:r>
          </w:p>
        </w:tc>
        <w:tc>
          <w:tcPr>
            <w:tcW w:w="1382" w:type="dxa"/>
          </w:tcPr>
          <w:p>
            <w:pPr>
              <w:pStyle w:val="TableParagraph"/>
              <w:spacing w:before="19"/>
              <w:ind w:right="332"/>
              <w:rPr>
                <w:sz w:val="18"/>
              </w:rPr>
            </w:pPr>
            <w:r>
              <w:rPr>
                <w:w w:val="95"/>
                <w:sz w:val="18"/>
              </w:rPr>
              <w:t>355,373</w:t>
            </w:r>
          </w:p>
        </w:tc>
        <w:tc>
          <w:tcPr>
            <w:tcW w:w="1382" w:type="dxa"/>
          </w:tcPr>
          <w:p>
            <w:pPr>
              <w:pStyle w:val="TableParagraph"/>
              <w:spacing w:before="19"/>
              <w:ind w:right="247"/>
              <w:rPr>
                <w:b/>
                <w:sz w:val="18"/>
              </w:rPr>
            </w:pPr>
            <w:r>
              <w:rPr>
                <w:b/>
                <w:w w:val="95"/>
                <w:sz w:val="18"/>
              </w:rPr>
              <w:t>349,220</w:t>
            </w:r>
          </w:p>
        </w:tc>
        <w:tc>
          <w:tcPr>
            <w:tcW w:w="1136" w:type="dxa"/>
          </w:tcPr>
          <w:p>
            <w:pPr>
              <w:pStyle w:val="TableParagraph"/>
              <w:spacing w:before="19"/>
              <w:ind w:right="86"/>
              <w:rPr>
                <w:sz w:val="18"/>
              </w:rPr>
            </w:pPr>
            <w:r>
              <w:rPr>
                <w:w w:val="95"/>
                <w:sz w:val="18"/>
              </w:rPr>
              <w:t>354,009</w:t>
            </w:r>
          </w:p>
        </w:tc>
      </w:tr>
      <w:tr>
        <w:trPr>
          <w:trHeight w:val="263" w:hRule="exact"/>
        </w:trPr>
        <w:tc>
          <w:tcPr>
            <w:tcW w:w="3383" w:type="dxa"/>
          </w:tcPr>
          <w:p>
            <w:pPr>
              <w:pStyle w:val="TableParagraph"/>
              <w:spacing w:before="18"/>
              <w:ind w:left="35"/>
              <w:jc w:val="left"/>
              <w:rPr>
                <w:sz w:val="18"/>
              </w:rPr>
            </w:pPr>
            <w:r>
              <w:rPr>
                <w:sz w:val="18"/>
              </w:rPr>
              <w:t>Other liabilities</w:t>
            </w:r>
          </w:p>
        </w:tc>
        <w:tc>
          <w:tcPr>
            <w:tcW w:w="994" w:type="dxa"/>
          </w:tcPr>
          <w:p>
            <w:pPr>
              <w:pStyle w:val="TableParagraph"/>
              <w:spacing w:before="19"/>
              <w:ind w:left="459"/>
              <w:jc w:val="left"/>
              <w:rPr>
                <w:sz w:val="18"/>
              </w:rPr>
            </w:pPr>
            <w:r>
              <w:rPr>
                <w:sz w:val="18"/>
              </w:rPr>
              <w:t>28</w:t>
            </w:r>
          </w:p>
        </w:tc>
        <w:tc>
          <w:tcPr>
            <w:tcW w:w="1627" w:type="dxa"/>
            <w:tcBorders>
              <w:bottom w:val="single" w:sz="0" w:space="0" w:color="000000"/>
            </w:tcBorders>
          </w:tcPr>
          <w:p>
            <w:pPr>
              <w:pStyle w:val="TableParagraph"/>
              <w:spacing w:before="19"/>
              <w:ind w:right="247"/>
              <w:rPr>
                <w:b/>
                <w:sz w:val="18"/>
              </w:rPr>
            </w:pPr>
            <w:r>
              <w:rPr>
                <w:b/>
                <w:w w:val="95"/>
                <w:sz w:val="18"/>
              </w:rPr>
              <w:t>12,745</w:t>
            </w:r>
          </w:p>
        </w:tc>
        <w:tc>
          <w:tcPr>
            <w:tcW w:w="1382" w:type="dxa"/>
            <w:tcBorders>
              <w:bottom w:val="single" w:sz="0" w:space="0" w:color="000000"/>
            </w:tcBorders>
          </w:tcPr>
          <w:p>
            <w:pPr>
              <w:pStyle w:val="TableParagraph"/>
              <w:spacing w:before="19"/>
              <w:ind w:right="332"/>
              <w:rPr>
                <w:sz w:val="18"/>
              </w:rPr>
            </w:pPr>
            <w:r>
              <w:rPr>
                <w:w w:val="95"/>
                <w:sz w:val="18"/>
              </w:rPr>
              <w:t>11,968</w:t>
            </w:r>
          </w:p>
        </w:tc>
        <w:tc>
          <w:tcPr>
            <w:tcW w:w="1382" w:type="dxa"/>
            <w:tcBorders>
              <w:bottom w:val="single" w:sz="0" w:space="0" w:color="000000"/>
            </w:tcBorders>
          </w:tcPr>
          <w:p>
            <w:pPr>
              <w:pStyle w:val="TableParagraph"/>
              <w:spacing w:before="19"/>
              <w:ind w:right="247"/>
              <w:rPr>
                <w:b/>
                <w:sz w:val="18"/>
              </w:rPr>
            </w:pPr>
            <w:r>
              <w:rPr>
                <w:b/>
                <w:w w:val="95"/>
                <w:sz w:val="18"/>
              </w:rPr>
              <w:t>12,745</w:t>
            </w:r>
          </w:p>
        </w:tc>
        <w:tc>
          <w:tcPr>
            <w:tcW w:w="1136" w:type="dxa"/>
            <w:tcBorders>
              <w:bottom w:val="single" w:sz="0" w:space="0" w:color="000000"/>
            </w:tcBorders>
          </w:tcPr>
          <w:p>
            <w:pPr>
              <w:pStyle w:val="TableParagraph"/>
              <w:spacing w:before="19"/>
              <w:ind w:right="86"/>
              <w:rPr>
                <w:sz w:val="18"/>
              </w:rPr>
            </w:pPr>
            <w:r>
              <w:rPr>
                <w:w w:val="95"/>
                <w:sz w:val="18"/>
              </w:rPr>
              <w:t>11,968</w:t>
            </w:r>
          </w:p>
        </w:tc>
      </w:tr>
      <w:tr>
        <w:trPr>
          <w:trHeight w:val="338" w:hRule="exact"/>
        </w:trPr>
        <w:tc>
          <w:tcPr>
            <w:tcW w:w="3383" w:type="dxa"/>
          </w:tcPr>
          <w:p>
            <w:pPr>
              <w:pStyle w:val="TableParagraph"/>
              <w:spacing w:before="123"/>
              <w:ind w:left="35"/>
              <w:jc w:val="left"/>
              <w:rPr>
                <w:b/>
                <w:sz w:val="18"/>
              </w:rPr>
            </w:pPr>
            <w:r>
              <w:rPr>
                <w:b/>
                <w:sz w:val="18"/>
              </w:rPr>
              <w:t>Total non-current liabilities</w:t>
            </w:r>
          </w:p>
        </w:tc>
        <w:tc>
          <w:tcPr>
            <w:tcW w:w="994" w:type="dxa"/>
          </w:tcPr>
          <w:p>
            <w:pPr/>
          </w:p>
        </w:tc>
        <w:tc>
          <w:tcPr>
            <w:tcW w:w="1627" w:type="dxa"/>
            <w:tcBorders>
              <w:top w:val="single" w:sz="0" w:space="0" w:color="000000"/>
              <w:bottom w:val="single" w:sz="0" w:space="0" w:color="000000"/>
            </w:tcBorders>
          </w:tcPr>
          <w:p>
            <w:pPr>
              <w:pStyle w:val="TableParagraph"/>
              <w:spacing w:before="122"/>
              <w:ind w:right="247"/>
              <w:rPr>
                <w:b/>
                <w:sz w:val="18"/>
              </w:rPr>
            </w:pPr>
            <w:r>
              <w:rPr>
                <w:b/>
                <w:w w:val="95"/>
                <w:sz w:val="18"/>
              </w:rPr>
              <w:t>446,165</w:t>
            </w:r>
          </w:p>
        </w:tc>
        <w:tc>
          <w:tcPr>
            <w:tcW w:w="1382" w:type="dxa"/>
            <w:tcBorders>
              <w:top w:val="single" w:sz="0" w:space="0" w:color="000000"/>
              <w:bottom w:val="single" w:sz="0" w:space="0" w:color="000000"/>
            </w:tcBorders>
          </w:tcPr>
          <w:p>
            <w:pPr>
              <w:pStyle w:val="TableParagraph"/>
              <w:spacing w:before="122"/>
              <w:ind w:right="332"/>
              <w:rPr>
                <w:sz w:val="18"/>
              </w:rPr>
            </w:pPr>
            <w:r>
              <w:rPr>
                <w:w w:val="95"/>
                <w:sz w:val="18"/>
              </w:rPr>
              <w:t>442,841</w:t>
            </w:r>
          </w:p>
        </w:tc>
        <w:tc>
          <w:tcPr>
            <w:tcW w:w="1382" w:type="dxa"/>
            <w:tcBorders>
              <w:top w:val="single" w:sz="0" w:space="0" w:color="000000"/>
              <w:bottom w:val="single" w:sz="0" w:space="0" w:color="000000"/>
            </w:tcBorders>
          </w:tcPr>
          <w:p>
            <w:pPr>
              <w:pStyle w:val="TableParagraph"/>
              <w:spacing w:before="122"/>
              <w:ind w:right="247"/>
              <w:rPr>
                <w:b/>
                <w:sz w:val="18"/>
              </w:rPr>
            </w:pPr>
            <w:r>
              <w:rPr>
                <w:b/>
                <w:w w:val="95"/>
                <w:sz w:val="18"/>
              </w:rPr>
              <w:t>444,965</w:t>
            </w:r>
          </w:p>
        </w:tc>
        <w:tc>
          <w:tcPr>
            <w:tcW w:w="1136" w:type="dxa"/>
            <w:tcBorders>
              <w:top w:val="single" w:sz="0" w:space="0" w:color="000000"/>
              <w:bottom w:val="single" w:sz="0" w:space="0" w:color="000000"/>
            </w:tcBorders>
          </w:tcPr>
          <w:p>
            <w:pPr>
              <w:pStyle w:val="TableParagraph"/>
              <w:spacing w:before="122"/>
              <w:ind w:right="86"/>
              <w:rPr>
                <w:sz w:val="18"/>
              </w:rPr>
            </w:pPr>
            <w:r>
              <w:rPr>
                <w:w w:val="95"/>
                <w:sz w:val="18"/>
              </w:rPr>
              <w:t>441,477</w:t>
            </w:r>
          </w:p>
        </w:tc>
      </w:tr>
      <w:tr>
        <w:trPr>
          <w:trHeight w:val="338" w:hRule="exact"/>
        </w:trPr>
        <w:tc>
          <w:tcPr>
            <w:tcW w:w="3383" w:type="dxa"/>
          </w:tcPr>
          <w:p>
            <w:pPr>
              <w:pStyle w:val="TableParagraph"/>
              <w:spacing w:before="123"/>
              <w:ind w:left="35"/>
              <w:jc w:val="left"/>
              <w:rPr>
                <w:b/>
                <w:sz w:val="18"/>
              </w:rPr>
            </w:pPr>
            <w:r>
              <w:rPr>
                <w:b/>
                <w:sz w:val="18"/>
              </w:rPr>
              <w:t>Total liabilities</w:t>
            </w:r>
          </w:p>
        </w:tc>
        <w:tc>
          <w:tcPr>
            <w:tcW w:w="994" w:type="dxa"/>
          </w:tcPr>
          <w:p>
            <w:pPr/>
          </w:p>
        </w:tc>
        <w:tc>
          <w:tcPr>
            <w:tcW w:w="1627" w:type="dxa"/>
            <w:tcBorders>
              <w:top w:val="single" w:sz="0" w:space="0" w:color="000000"/>
              <w:bottom w:val="single" w:sz="0" w:space="0" w:color="000000"/>
            </w:tcBorders>
          </w:tcPr>
          <w:p>
            <w:pPr>
              <w:pStyle w:val="TableParagraph"/>
              <w:spacing w:before="122"/>
              <w:ind w:right="247"/>
              <w:rPr>
                <w:b/>
                <w:sz w:val="18"/>
              </w:rPr>
            </w:pPr>
            <w:r>
              <w:rPr>
                <w:b/>
                <w:w w:val="95"/>
                <w:sz w:val="18"/>
              </w:rPr>
              <w:t>683,131</w:t>
            </w:r>
          </w:p>
        </w:tc>
        <w:tc>
          <w:tcPr>
            <w:tcW w:w="1382" w:type="dxa"/>
            <w:tcBorders>
              <w:top w:val="single" w:sz="0" w:space="0" w:color="000000"/>
              <w:bottom w:val="single" w:sz="0" w:space="0" w:color="000000"/>
            </w:tcBorders>
          </w:tcPr>
          <w:p>
            <w:pPr>
              <w:pStyle w:val="TableParagraph"/>
              <w:spacing w:before="122"/>
              <w:ind w:right="332"/>
              <w:rPr>
                <w:sz w:val="18"/>
              </w:rPr>
            </w:pPr>
            <w:r>
              <w:rPr>
                <w:w w:val="95"/>
                <w:sz w:val="18"/>
              </w:rPr>
              <w:t>613,538</w:t>
            </w:r>
          </w:p>
        </w:tc>
        <w:tc>
          <w:tcPr>
            <w:tcW w:w="1382" w:type="dxa"/>
            <w:tcBorders>
              <w:top w:val="single" w:sz="0" w:space="0" w:color="000000"/>
              <w:bottom w:val="single" w:sz="0" w:space="0" w:color="000000"/>
            </w:tcBorders>
          </w:tcPr>
          <w:p>
            <w:pPr>
              <w:pStyle w:val="TableParagraph"/>
              <w:spacing w:before="122"/>
              <w:ind w:right="247"/>
              <w:rPr>
                <w:b/>
                <w:sz w:val="18"/>
              </w:rPr>
            </w:pPr>
            <w:r>
              <w:rPr>
                <w:b/>
                <w:w w:val="95"/>
                <w:sz w:val="18"/>
              </w:rPr>
              <w:t>684,361</w:t>
            </w:r>
          </w:p>
        </w:tc>
        <w:tc>
          <w:tcPr>
            <w:tcW w:w="1136" w:type="dxa"/>
            <w:tcBorders>
              <w:top w:val="single" w:sz="0" w:space="0" w:color="000000"/>
              <w:bottom w:val="single" w:sz="0" w:space="0" w:color="000000"/>
            </w:tcBorders>
          </w:tcPr>
          <w:p>
            <w:pPr>
              <w:pStyle w:val="TableParagraph"/>
              <w:spacing w:before="122"/>
              <w:ind w:right="86"/>
              <w:rPr>
                <w:sz w:val="18"/>
              </w:rPr>
            </w:pPr>
            <w:r>
              <w:rPr>
                <w:w w:val="95"/>
                <w:sz w:val="18"/>
              </w:rPr>
              <w:t>615,098</w:t>
            </w:r>
          </w:p>
        </w:tc>
      </w:tr>
      <w:tr>
        <w:trPr>
          <w:trHeight w:val="778" w:hRule="exact"/>
        </w:trPr>
        <w:tc>
          <w:tcPr>
            <w:tcW w:w="3383" w:type="dxa"/>
          </w:tcPr>
          <w:p>
            <w:pPr>
              <w:pStyle w:val="TableParagraph"/>
              <w:jc w:val="left"/>
              <w:rPr>
                <w:b/>
                <w:sz w:val="18"/>
              </w:rPr>
            </w:pPr>
          </w:p>
          <w:p>
            <w:pPr>
              <w:pStyle w:val="TableParagraph"/>
              <w:jc w:val="left"/>
              <w:rPr>
                <w:b/>
                <w:sz w:val="18"/>
              </w:rPr>
            </w:pPr>
          </w:p>
          <w:p>
            <w:pPr>
              <w:pStyle w:val="TableParagraph"/>
              <w:spacing w:before="134"/>
              <w:ind w:left="35"/>
              <w:jc w:val="left"/>
              <w:rPr>
                <w:b/>
                <w:sz w:val="18"/>
              </w:rPr>
            </w:pPr>
            <w:r>
              <w:rPr>
                <w:b/>
                <w:sz w:val="18"/>
              </w:rPr>
              <w:t>Net assets</w:t>
            </w:r>
          </w:p>
        </w:tc>
        <w:tc>
          <w:tcPr>
            <w:tcW w:w="994" w:type="dxa"/>
          </w:tcPr>
          <w:p>
            <w:pPr/>
          </w:p>
        </w:tc>
        <w:tc>
          <w:tcPr>
            <w:tcW w:w="1627" w:type="dxa"/>
            <w:tcBorders>
              <w:top w:val="single" w:sz="0" w:space="0" w:color="000000"/>
              <w:bottom w:val="single" w:sz="0" w:space="0" w:color="000000"/>
            </w:tcBorders>
          </w:tcPr>
          <w:p>
            <w:pPr>
              <w:pStyle w:val="TableParagraph"/>
              <w:jc w:val="left"/>
              <w:rPr>
                <w:b/>
                <w:sz w:val="18"/>
              </w:rPr>
            </w:pPr>
          </w:p>
          <w:p>
            <w:pPr>
              <w:pStyle w:val="TableParagraph"/>
              <w:jc w:val="left"/>
              <w:rPr>
                <w:b/>
                <w:sz w:val="18"/>
              </w:rPr>
            </w:pPr>
          </w:p>
          <w:p>
            <w:pPr>
              <w:pStyle w:val="TableParagraph"/>
              <w:spacing w:before="133"/>
              <w:ind w:right="247"/>
              <w:rPr>
                <w:b/>
                <w:sz w:val="18"/>
              </w:rPr>
            </w:pPr>
            <w:r>
              <w:rPr>
                <w:b/>
                <w:w w:val="95"/>
                <w:sz w:val="18"/>
              </w:rPr>
              <w:t>1,666,220</w:t>
            </w:r>
          </w:p>
        </w:tc>
        <w:tc>
          <w:tcPr>
            <w:tcW w:w="1382" w:type="dxa"/>
            <w:tcBorders>
              <w:top w:val="single" w:sz="0" w:space="0" w:color="000000"/>
              <w:bottom w:val="single" w:sz="0" w:space="0" w:color="000000"/>
            </w:tcBorders>
          </w:tcPr>
          <w:p>
            <w:pPr>
              <w:pStyle w:val="TableParagraph"/>
              <w:jc w:val="left"/>
              <w:rPr>
                <w:b/>
                <w:sz w:val="18"/>
              </w:rPr>
            </w:pPr>
          </w:p>
          <w:p>
            <w:pPr>
              <w:pStyle w:val="TableParagraph"/>
              <w:jc w:val="left"/>
              <w:rPr>
                <w:b/>
                <w:sz w:val="18"/>
              </w:rPr>
            </w:pPr>
          </w:p>
          <w:p>
            <w:pPr>
              <w:pStyle w:val="TableParagraph"/>
              <w:spacing w:before="133"/>
              <w:ind w:right="332"/>
              <w:rPr>
                <w:sz w:val="18"/>
              </w:rPr>
            </w:pPr>
            <w:r>
              <w:rPr>
                <w:w w:val="95"/>
                <w:sz w:val="18"/>
              </w:rPr>
              <w:t>1,607,353</w:t>
            </w:r>
          </w:p>
        </w:tc>
        <w:tc>
          <w:tcPr>
            <w:tcW w:w="1382" w:type="dxa"/>
            <w:tcBorders>
              <w:top w:val="single" w:sz="0" w:space="0" w:color="000000"/>
              <w:bottom w:val="single" w:sz="0" w:space="0" w:color="000000"/>
            </w:tcBorders>
          </w:tcPr>
          <w:p>
            <w:pPr>
              <w:pStyle w:val="TableParagraph"/>
              <w:jc w:val="left"/>
              <w:rPr>
                <w:b/>
                <w:sz w:val="18"/>
              </w:rPr>
            </w:pPr>
          </w:p>
          <w:p>
            <w:pPr>
              <w:pStyle w:val="TableParagraph"/>
              <w:jc w:val="left"/>
              <w:rPr>
                <w:b/>
                <w:sz w:val="18"/>
              </w:rPr>
            </w:pPr>
          </w:p>
          <w:p>
            <w:pPr>
              <w:pStyle w:val="TableParagraph"/>
              <w:spacing w:before="133"/>
              <w:ind w:right="247"/>
              <w:rPr>
                <w:b/>
                <w:sz w:val="18"/>
              </w:rPr>
            </w:pPr>
            <w:r>
              <w:rPr>
                <w:b/>
                <w:w w:val="95"/>
                <w:sz w:val="18"/>
              </w:rPr>
              <w:t>1,657,457</w:t>
            </w:r>
          </w:p>
        </w:tc>
        <w:tc>
          <w:tcPr>
            <w:tcW w:w="1136" w:type="dxa"/>
            <w:tcBorders>
              <w:top w:val="single" w:sz="0" w:space="0" w:color="000000"/>
              <w:bottom w:val="single" w:sz="0" w:space="0" w:color="000000"/>
            </w:tcBorders>
          </w:tcPr>
          <w:p>
            <w:pPr>
              <w:pStyle w:val="TableParagraph"/>
              <w:jc w:val="left"/>
              <w:rPr>
                <w:b/>
                <w:sz w:val="18"/>
              </w:rPr>
            </w:pPr>
          </w:p>
          <w:p>
            <w:pPr>
              <w:pStyle w:val="TableParagraph"/>
              <w:jc w:val="left"/>
              <w:rPr>
                <w:b/>
                <w:sz w:val="18"/>
              </w:rPr>
            </w:pPr>
          </w:p>
          <w:p>
            <w:pPr>
              <w:pStyle w:val="TableParagraph"/>
              <w:spacing w:before="133"/>
              <w:ind w:right="86"/>
              <w:rPr>
                <w:sz w:val="18"/>
              </w:rPr>
            </w:pPr>
            <w:r>
              <w:rPr>
                <w:w w:val="95"/>
                <w:sz w:val="18"/>
              </w:rPr>
              <w:t>1,597,430</w:t>
            </w:r>
          </w:p>
        </w:tc>
      </w:tr>
      <w:tr>
        <w:trPr>
          <w:trHeight w:val="664" w:hRule="exact"/>
        </w:trPr>
        <w:tc>
          <w:tcPr>
            <w:tcW w:w="3383" w:type="dxa"/>
          </w:tcPr>
          <w:p>
            <w:pPr>
              <w:pStyle w:val="TableParagraph"/>
              <w:jc w:val="left"/>
              <w:rPr>
                <w:b/>
                <w:sz w:val="18"/>
              </w:rPr>
            </w:pPr>
          </w:p>
          <w:p>
            <w:pPr>
              <w:pStyle w:val="TableParagraph"/>
              <w:spacing w:before="8"/>
              <w:jc w:val="left"/>
              <w:rPr>
                <w:b/>
                <w:sz w:val="19"/>
              </w:rPr>
            </w:pPr>
          </w:p>
          <w:p>
            <w:pPr>
              <w:pStyle w:val="TableParagraph"/>
              <w:ind w:left="35"/>
              <w:jc w:val="left"/>
              <w:rPr>
                <w:b/>
                <w:sz w:val="18"/>
              </w:rPr>
            </w:pPr>
            <w:r>
              <w:rPr>
                <w:b/>
                <w:sz w:val="18"/>
              </w:rPr>
              <w:t>EQUITY</w:t>
            </w:r>
          </w:p>
        </w:tc>
        <w:tc>
          <w:tcPr>
            <w:tcW w:w="994" w:type="dxa"/>
          </w:tcPr>
          <w:p>
            <w:pPr/>
          </w:p>
        </w:tc>
        <w:tc>
          <w:tcPr>
            <w:tcW w:w="1627" w:type="dxa"/>
            <w:tcBorders>
              <w:top w:val="single" w:sz="0" w:space="0" w:color="000000"/>
            </w:tcBorders>
          </w:tcPr>
          <w:p>
            <w:pPr/>
          </w:p>
        </w:tc>
        <w:tc>
          <w:tcPr>
            <w:tcW w:w="1382" w:type="dxa"/>
            <w:tcBorders>
              <w:top w:val="single" w:sz="0" w:space="0" w:color="000000"/>
            </w:tcBorders>
          </w:tcPr>
          <w:p>
            <w:pPr/>
          </w:p>
        </w:tc>
        <w:tc>
          <w:tcPr>
            <w:tcW w:w="1382" w:type="dxa"/>
            <w:tcBorders>
              <w:top w:val="single" w:sz="0" w:space="0" w:color="000000"/>
            </w:tcBorders>
          </w:tcPr>
          <w:p>
            <w:pPr/>
          </w:p>
        </w:tc>
        <w:tc>
          <w:tcPr>
            <w:tcW w:w="1136" w:type="dxa"/>
            <w:tcBorders>
              <w:top w:val="single" w:sz="0" w:space="0" w:color="000000"/>
            </w:tcBorders>
          </w:tcPr>
          <w:p>
            <w:pPr/>
          </w:p>
        </w:tc>
      </w:tr>
      <w:tr>
        <w:trPr>
          <w:trHeight w:val="250" w:hRule="exact"/>
        </w:trPr>
        <w:tc>
          <w:tcPr>
            <w:tcW w:w="3383" w:type="dxa"/>
          </w:tcPr>
          <w:p>
            <w:pPr>
              <w:pStyle w:val="TableParagraph"/>
              <w:spacing w:before="4"/>
              <w:ind w:left="35"/>
              <w:jc w:val="left"/>
              <w:rPr>
                <w:sz w:val="18"/>
              </w:rPr>
            </w:pPr>
            <w:r>
              <w:rPr>
                <w:sz w:val="18"/>
              </w:rPr>
              <w:t>Restricted funds</w:t>
            </w:r>
          </w:p>
        </w:tc>
        <w:tc>
          <w:tcPr>
            <w:tcW w:w="994" w:type="dxa"/>
          </w:tcPr>
          <w:p>
            <w:pPr/>
          </w:p>
        </w:tc>
        <w:tc>
          <w:tcPr>
            <w:tcW w:w="1627" w:type="dxa"/>
          </w:tcPr>
          <w:p>
            <w:pPr>
              <w:pStyle w:val="TableParagraph"/>
              <w:spacing w:before="5"/>
              <w:ind w:right="247"/>
              <w:rPr>
                <w:b/>
                <w:sz w:val="18"/>
              </w:rPr>
            </w:pPr>
            <w:r>
              <w:rPr>
                <w:b/>
                <w:w w:val="99"/>
                <w:sz w:val="18"/>
              </w:rPr>
              <w:t>-</w:t>
            </w:r>
          </w:p>
        </w:tc>
        <w:tc>
          <w:tcPr>
            <w:tcW w:w="1382" w:type="dxa"/>
          </w:tcPr>
          <w:p>
            <w:pPr>
              <w:pStyle w:val="TableParagraph"/>
              <w:spacing w:before="5"/>
              <w:ind w:right="332"/>
              <w:rPr>
                <w:sz w:val="18"/>
              </w:rPr>
            </w:pPr>
            <w:r>
              <w:rPr>
                <w:w w:val="99"/>
                <w:sz w:val="18"/>
              </w:rPr>
              <w:t>-</w:t>
            </w:r>
          </w:p>
        </w:tc>
        <w:tc>
          <w:tcPr>
            <w:tcW w:w="1382" w:type="dxa"/>
          </w:tcPr>
          <w:p>
            <w:pPr>
              <w:pStyle w:val="TableParagraph"/>
              <w:spacing w:before="5"/>
              <w:ind w:right="247"/>
              <w:rPr>
                <w:b/>
                <w:sz w:val="18"/>
              </w:rPr>
            </w:pPr>
            <w:r>
              <w:rPr>
                <w:b/>
                <w:w w:val="99"/>
                <w:sz w:val="18"/>
              </w:rPr>
              <w:t>-</w:t>
            </w:r>
          </w:p>
        </w:tc>
        <w:tc>
          <w:tcPr>
            <w:tcW w:w="1136" w:type="dxa"/>
          </w:tcPr>
          <w:p>
            <w:pPr>
              <w:pStyle w:val="TableParagraph"/>
              <w:spacing w:before="5"/>
              <w:ind w:right="86"/>
              <w:rPr>
                <w:sz w:val="18"/>
              </w:rPr>
            </w:pPr>
            <w:r>
              <w:rPr>
                <w:w w:val="99"/>
                <w:sz w:val="18"/>
              </w:rPr>
              <w:t>-</w:t>
            </w:r>
          </w:p>
        </w:tc>
      </w:tr>
      <w:tr>
        <w:trPr>
          <w:trHeight w:val="264" w:hRule="exact"/>
        </w:trPr>
        <w:tc>
          <w:tcPr>
            <w:tcW w:w="3383" w:type="dxa"/>
          </w:tcPr>
          <w:p>
            <w:pPr>
              <w:pStyle w:val="TableParagraph"/>
              <w:spacing w:before="18"/>
              <w:ind w:left="35"/>
              <w:jc w:val="left"/>
              <w:rPr>
                <w:sz w:val="18"/>
              </w:rPr>
            </w:pPr>
            <w:r>
              <w:rPr>
                <w:sz w:val="18"/>
              </w:rPr>
              <w:t>Reserves</w:t>
            </w:r>
          </w:p>
        </w:tc>
        <w:tc>
          <w:tcPr>
            <w:tcW w:w="994" w:type="dxa"/>
          </w:tcPr>
          <w:p>
            <w:pPr>
              <w:pStyle w:val="TableParagraph"/>
              <w:spacing w:before="19"/>
              <w:ind w:left="460"/>
              <w:jc w:val="left"/>
              <w:rPr>
                <w:sz w:val="18"/>
              </w:rPr>
            </w:pPr>
            <w:r>
              <w:rPr>
                <w:sz w:val="18"/>
              </w:rPr>
              <w:t>29</w:t>
            </w:r>
          </w:p>
        </w:tc>
        <w:tc>
          <w:tcPr>
            <w:tcW w:w="1627" w:type="dxa"/>
          </w:tcPr>
          <w:p>
            <w:pPr>
              <w:pStyle w:val="TableParagraph"/>
              <w:spacing w:before="19"/>
              <w:ind w:right="247"/>
              <w:rPr>
                <w:b/>
                <w:sz w:val="18"/>
              </w:rPr>
            </w:pPr>
            <w:r>
              <w:rPr>
                <w:b/>
                <w:w w:val="95"/>
                <w:sz w:val="18"/>
              </w:rPr>
              <w:t>708,004</w:t>
            </w:r>
          </w:p>
        </w:tc>
        <w:tc>
          <w:tcPr>
            <w:tcW w:w="1382" w:type="dxa"/>
          </w:tcPr>
          <w:p>
            <w:pPr>
              <w:pStyle w:val="TableParagraph"/>
              <w:spacing w:before="19"/>
              <w:ind w:right="332"/>
              <w:rPr>
                <w:sz w:val="18"/>
              </w:rPr>
            </w:pPr>
            <w:r>
              <w:rPr>
                <w:w w:val="95"/>
                <w:sz w:val="18"/>
              </w:rPr>
              <w:t>684,514</w:t>
            </w:r>
          </w:p>
        </w:tc>
        <w:tc>
          <w:tcPr>
            <w:tcW w:w="1382" w:type="dxa"/>
          </w:tcPr>
          <w:p>
            <w:pPr>
              <w:pStyle w:val="TableParagraph"/>
              <w:spacing w:before="19"/>
              <w:ind w:right="247"/>
              <w:rPr>
                <w:b/>
                <w:sz w:val="18"/>
              </w:rPr>
            </w:pPr>
            <w:r>
              <w:rPr>
                <w:b/>
                <w:w w:val="95"/>
                <w:sz w:val="18"/>
              </w:rPr>
              <w:t>703,755</w:t>
            </w:r>
          </w:p>
        </w:tc>
        <w:tc>
          <w:tcPr>
            <w:tcW w:w="1136" w:type="dxa"/>
          </w:tcPr>
          <w:p>
            <w:pPr>
              <w:pStyle w:val="TableParagraph"/>
              <w:spacing w:before="19"/>
              <w:ind w:right="86"/>
              <w:rPr>
                <w:sz w:val="18"/>
              </w:rPr>
            </w:pPr>
            <w:r>
              <w:rPr>
                <w:w w:val="95"/>
                <w:sz w:val="18"/>
              </w:rPr>
              <w:t>680,286</w:t>
            </w:r>
          </w:p>
        </w:tc>
      </w:tr>
      <w:tr>
        <w:trPr>
          <w:trHeight w:val="263" w:hRule="exact"/>
        </w:trPr>
        <w:tc>
          <w:tcPr>
            <w:tcW w:w="3383" w:type="dxa"/>
          </w:tcPr>
          <w:p>
            <w:pPr>
              <w:pStyle w:val="TableParagraph"/>
              <w:spacing w:before="18"/>
              <w:ind w:left="35"/>
              <w:jc w:val="left"/>
              <w:rPr>
                <w:sz w:val="18"/>
              </w:rPr>
            </w:pPr>
            <w:r>
              <w:rPr>
                <w:sz w:val="18"/>
              </w:rPr>
              <w:t>Retained earnings</w:t>
            </w:r>
          </w:p>
        </w:tc>
        <w:tc>
          <w:tcPr>
            <w:tcW w:w="994" w:type="dxa"/>
          </w:tcPr>
          <w:p>
            <w:pPr>
              <w:pStyle w:val="TableParagraph"/>
              <w:spacing w:before="19"/>
              <w:ind w:left="460"/>
              <w:jc w:val="left"/>
              <w:rPr>
                <w:sz w:val="18"/>
              </w:rPr>
            </w:pPr>
            <w:r>
              <w:rPr>
                <w:sz w:val="18"/>
              </w:rPr>
              <w:t>29</w:t>
            </w:r>
          </w:p>
        </w:tc>
        <w:tc>
          <w:tcPr>
            <w:tcW w:w="1627" w:type="dxa"/>
            <w:tcBorders>
              <w:bottom w:val="single" w:sz="0" w:space="0" w:color="000000"/>
            </w:tcBorders>
          </w:tcPr>
          <w:p>
            <w:pPr>
              <w:pStyle w:val="TableParagraph"/>
              <w:spacing w:before="19"/>
              <w:ind w:right="247"/>
              <w:rPr>
                <w:b/>
                <w:sz w:val="18"/>
              </w:rPr>
            </w:pPr>
            <w:r>
              <w:rPr>
                <w:b/>
                <w:w w:val="95"/>
                <w:sz w:val="18"/>
              </w:rPr>
              <w:t>958,216</w:t>
            </w:r>
          </w:p>
        </w:tc>
        <w:tc>
          <w:tcPr>
            <w:tcW w:w="1382" w:type="dxa"/>
            <w:tcBorders>
              <w:bottom w:val="single" w:sz="0" w:space="0" w:color="000000"/>
            </w:tcBorders>
          </w:tcPr>
          <w:p>
            <w:pPr>
              <w:pStyle w:val="TableParagraph"/>
              <w:spacing w:before="19"/>
              <w:ind w:right="332"/>
              <w:rPr>
                <w:sz w:val="18"/>
              </w:rPr>
            </w:pPr>
            <w:r>
              <w:rPr>
                <w:w w:val="95"/>
                <w:sz w:val="18"/>
              </w:rPr>
              <w:t>922,839</w:t>
            </w:r>
          </w:p>
        </w:tc>
        <w:tc>
          <w:tcPr>
            <w:tcW w:w="1382" w:type="dxa"/>
            <w:tcBorders>
              <w:bottom w:val="single" w:sz="0" w:space="0" w:color="000000"/>
            </w:tcBorders>
          </w:tcPr>
          <w:p>
            <w:pPr>
              <w:pStyle w:val="TableParagraph"/>
              <w:spacing w:before="19"/>
              <w:ind w:right="247"/>
              <w:rPr>
                <w:b/>
                <w:sz w:val="18"/>
              </w:rPr>
            </w:pPr>
            <w:r>
              <w:rPr>
                <w:b/>
                <w:w w:val="95"/>
                <w:sz w:val="18"/>
              </w:rPr>
              <w:t>953,702</w:t>
            </w:r>
          </w:p>
        </w:tc>
        <w:tc>
          <w:tcPr>
            <w:tcW w:w="1136" w:type="dxa"/>
            <w:tcBorders>
              <w:bottom w:val="single" w:sz="0" w:space="0" w:color="000000"/>
            </w:tcBorders>
          </w:tcPr>
          <w:p>
            <w:pPr>
              <w:pStyle w:val="TableParagraph"/>
              <w:spacing w:before="19"/>
              <w:ind w:right="86"/>
              <w:rPr>
                <w:sz w:val="18"/>
              </w:rPr>
            </w:pPr>
            <w:r>
              <w:rPr>
                <w:w w:val="95"/>
                <w:sz w:val="18"/>
              </w:rPr>
              <w:t>917,144</w:t>
            </w:r>
          </w:p>
        </w:tc>
      </w:tr>
      <w:tr>
        <w:trPr>
          <w:trHeight w:val="353" w:hRule="exact"/>
        </w:trPr>
        <w:tc>
          <w:tcPr>
            <w:tcW w:w="3383" w:type="dxa"/>
          </w:tcPr>
          <w:p>
            <w:pPr>
              <w:pStyle w:val="TableParagraph"/>
              <w:spacing w:before="123"/>
              <w:ind w:left="35"/>
              <w:jc w:val="left"/>
              <w:rPr>
                <w:b/>
                <w:sz w:val="18"/>
              </w:rPr>
            </w:pPr>
            <w:r>
              <w:rPr>
                <w:b/>
                <w:sz w:val="18"/>
              </w:rPr>
              <w:t>Total equity</w:t>
            </w:r>
          </w:p>
        </w:tc>
        <w:tc>
          <w:tcPr>
            <w:tcW w:w="994" w:type="dxa"/>
          </w:tcPr>
          <w:p>
            <w:pPr/>
          </w:p>
        </w:tc>
        <w:tc>
          <w:tcPr>
            <w:tcW w:w="1627" w:type="dxa"/>
            <w:tcBorders>
              <w:top w:val="single" w:sz="0" w:space="0" w:color="000000"/>
              <w:bottom w:val="single" w:sz="0" w:space="0" w:color="000000"/>
            </w:tcBorders>
          </w:tcPr>
          <w:p>
            <w:pPr>
              <w:pStyle w:val="TableParagraph"/>
              <w:spacing w:before="122"/>
              <w:ind w:right="247"/>
              <w:rPr>
                <w:b/>
                <w:sz w:val="18"/>
              </w:rPr>
            </w:pPr>
            <w:r>
              <w:rPr>
                <w:b/>
                <w:w w:val="95"/>
                <w:sz w:val="18"/>
              </w:rPr>
              <w:t>1,666,220</w:t>
            </w:r>
          </w:p>
        </w:tc>
        <w:tc>
          <w:tcPr>
            <w:tcW w:w="1382" w:type="dxa"/>
            <w:tcBorders>
              <w:top w:val="single" w:sz="0" w:space="0" w:color="000000"/>
              <w:bottom w:val="single" w:sz="0" w:space="0" w:color="000000"/>
            </w:tcBorders>
          </w:tcPr>
          <w:p>
            <w:pPr>
              <w:pStyle w:val="TableParagraph"/>
              <w:spacing w:before="122"/>
              <w:ind w:right="332"/>
              <w:rPr>
                <w:sz w:val="18"/>
              </w:rPr>
            </w:pPr>
            <w:r>
              <w:rPr>
                <w:w w:val="95"/>
                <w:sz w:val="18"/>
              </w:rPr>
              <w:t>1,607,353</w:t>
            </w:r>
          </w:p>
        </w:tc>
        <w:tc>
          <w:tcPr>
            <w:tcW w:w="1382" w:type="dxa"/>
            <w:tcBorders>
              <w:top w:val="single" w:sz="0" w:space="0" w:color="000000"/>
              <w:bottom w:val="single" w:sz="0" w:space="0" w:color="000000"/>
            </w:tcBorders>
          </w:tcPr>
          <w:p>
            <w:pPr>
              <w:pStyle w:val="TableParagraph"/>
              <w:spacing w:before="122"/>
              <w:ind w:right="247"/>
              <w:rPr>
                <w:b/>
                <w:sz w:val="18"/>
              </w:rPr>
            </w:pPr>
            <w:r>
              <w:rPr>
                <w:b/>
                <w:w w:val="95"/>
                <w:sz w:val="18"/>
              </w:rPr>
              <w:t>1,657,457</w:t>
            </w:r>
          </w:p>
        </w:tc>
        <w:tc>
          <w:tcPr>
            <w:tcW w:w="1136" w:type="dxa"/>
            <w:tcBorders>
              <w:top w:val="single" w:sz="0" w:space="0" w:color="000000"/>
              <w:bottom w:val="single" w:sz="0" w:space="0" w:color="000000"/>
            </w:tcBorders>
          </w:tcPr>
          <w:p>
            <w:pPr>
              <w:pStyle w:val="TableParagraph"/>
              <w:spacing w:before="122"/>
              <w:ind w:right="86"/>
              <w:rPr>
                <w:sz w:val="18"/>
              </w:rPr>
            </w:pPr>
            <w:r>
              <w:rPr>
                <w:w w:val="95"/>
                <w:sz w:val="18"/>
              </w:rPr>
              <w:t>1,597,430</w:t>
            </w:r>
          </w:p>
        </w:tc>
      </w:tr>
    </w:tbl>
    <w:p>
      <w:pPr>
        <w:spacing w:after="0"/>
        <w:rPr>
          <w:sz w:val="18"/>
        </w:rPr>
        <w:sectPr>
          <w:type w:val="continuous"/>
          <w:pgSz w:w="12750" w:h="17680"/>
          <w:pgMar w:top="1660" w:bottom="0" w:left="0" w:right="0"/>
        </w:sectPr>
      </w:pPr>
    </w:p>
    <w:p>
      <w:pPr>
        <w:pStyle w:val="BodyText"/>
        <w:rPr>
          <w:rFonts w:ascii="Times New Roman"/>
          <w:sz w:val="20"/>
        </w:rPr>
      </w:pPr>
      <w:r>
        <w:rPr/>
        <w:drawing>
          <wp:anchor distT="0" distB="0" distL="0" distR="0" allowOverlap="1" layoutInCell="1" locked="0" behindDoc="0" simplePos="0" relativeHeight="1936">
            <wp:simplePos x="0" y="0"/>
            <wp:positionH relativeFrom="page">
              <wp:posOffset>-1587</wp:posOffset>
            </wp:positionH>
            <wp:positionV relativeFrom="page">
              <wp:posOffset>5534342</wp:posOffset>
            </wp:positionV>
            <wp:extent cx="135159" cy="154019"/>
            <wp:effectExtent l="0" t="0" r="0" b="0"/>
            <wp:wrapNone/>
            <wp:docPr id="61" name="image13.png" descr=""/>
            <wp:cNvGraphicFramePr>
              <a:graphicFrameLocks noChangeAspect="1"/>
            </wp:cNvGraphicFramePr>
            <a:graphic>
              <a:graphicData uri="http://schemas.openxmlformats.org/drawingml/2006/picture">
                <pic:pic>
                  <pic:nvPicPr>
                    <pic:cNvPr id="62" name="image13.png"/>
                    <pic:cNvPicPr/>
                  </pic:nvPicPr>
                  <pic:blipFill>
                    <a:blip r:embed="rId18" cstate="print"/>
                    <a:stretch>
                      <a:fillRect/>
                    </a:stretch>
                  </pic:blipFill>
                  <pic:spPr>
                    <a:xfrm>
                      <a:off x="0" y="0"/>
                      <a:ext cx="135159" cy="154019"/>
                    </a:xfrm>
                    <a:prstGeom prst="rect">
                      <a:avLst/>
                    </a:prstGeom>
                  </pic:spPr>
                </pic:pic>
              </a:graphicData>
            </a:graphic>
          </wp:anchor>
        </w:drawing>
      </w:r>
      <w:r>
        <w:rPr/>
        <w:drawing>
          <wp:anchor distT="0" distB="0" distL="0" distR="0" allowOverlap="1" layoutInCell="1" locked="0" behindDoc="0" simplePos="0" relativeHeight="1960">
            <wp:simplePos x="0" y="0"/>
            <wp:positionH relativeFrom="page">
              <wp:posOffset>7958429</wp:posOffset>
            </wp:positionH>
            <wp:positionV relativeFrom="page">
              <wp:posOffset>5534342</wp:posOffset>
            </wp:positionV>
            <wp:extent cx="135953" cy="155575"/>
            <wp:effectExtent l="0" t="0" r="0" b="0"/>
            <wp:wrapNone/>
            <wp:docPr id="63" name="image15.png" descr=""/>
            <wp:cNvGraphicFramePr>
              <a:graphicFrameLocks noChangeAspect="1"/>
            </wp:cNvGraphicFramePr>
            <a:graphic>
              <a:graphicData uri="http://schemas.openxmlformats.org/drawingml/2006/picture">
                <pic:pic>
                  <pic:nvPicPr>
                    <pic:cNvPr id="64" name="image15.png"/>
                    <pic:cNvPicPr/>
                  </pic:nvPicPr>
                  <pic:blipFill>
                    <a:blip r:embed="rId20" cstate="print"/>
                    <a:stretch>
                      <a:fillRect/>
                    </a:stretch>
                  </pic:blipFill>
                  <pic:spPr>
                    <a:xfrm>
                      <a:off x="0" y="0"/>
                      <a:ext cx="135953" cy="155575"/>
                    </a:xfrm>
                    <a:prstGeom prst="rect">
                      <a:avLst/>
                    </a:prstGeom>
                  </pic:spPr>
                </pic:pic>
              </a:graphicData>
            </a:graphic>
          </wp:anchor>
        </w:drawing>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5"/>
        <w:rPr>
          <w:rFonts w:ascii="Times New Roman"/>
          <w:sz w:val="13"/>
        </w:rPr>
      </w:pPr>
    </w:p>
    <w:tbl>
      <w:tblPr>
        <w:tblW w:w="0" w:type="auto"/>
        <w:jc w:val="left"/>
        <w:tblInd w:w="139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036"/>
        <w:gridCol w:w="1073"/>
        <w:gridCol w:w="1491"/>
        <w:gridCol w:w="1250"/>
        <w:gridCol w:w="1100"/>
      </w:tblGrid>
      <w:tr>
        <w:trPr>
          <w:trHeight w:val="911" w:hRule="exact"/>
        </w:trPr>
        <w:tc>
          <w:tcPr>
            <w:tcW w:w="5036" w:type="dxa"/>
          </w:tcPr>
          <w:p>
            <w:pPr>
              <w:pStyle w:val="TableParagraph"/>
              <w:spacing w:before="64"/>
              <w:ind w:left="35" w:right="141"/>
              <w:jc w:val="left"/>
              <w:rPr>
                <w:b/>
                <w:sz w:val="28"/>
              </w:rPr>
            </w:pPr>
            <w:r>
              <w:rPr>
                <w:b/>
                <w:sz w:val="28"/>
              </w:rPr>
              <w:t>Statement of Changes in Equity</w:t>
            </w:r>
          </w:p>
          <w:p>
            <w:pPr>
              <w:pStyle w:val="TableParagraph"/>
              <w:spacing w:before="57"/>
              <w:ind w:left="35" w:right="141"/>
              <w:jc w:val="left"/>
              <w:rPr>
                <w:b/>
                <w:sz w:val="22"/>
              </w:rPr>
            </w:pPr>
            <w:bookmarkStart w:name="Statement of Changes in Equity" w:id="11"/>
            <w:bookmarkEnd w:id="11"/>
            <w:r>
              <w:rPr/>
            </w:r>
            <w:r>
              <w:rPr>
                <w:b/>
                <w:sz w:val="22"/>
              </w:rPr>
              <w:t>For the Year Ended 31 December 2016</w:t>
            </w:r>
          </w:p>
        </w:tc>
        <w:tc>
          <w:tcPr>
            <w:tcW w:w="4914" w:type="dxa"/>
            <w:gridSpan w:val="4"/>
          </w:tcPr>
          <w:p>
            <w:pPr/>
          </w:p>
        </w:tc>
      </w:tr>
      <w:tr>
        <w:trPr>
          <w:trHeight w:val="447" w:hRule="exact"/>
        </w:trPr>
        <w:tc>
          <w:tcPr>
            <w:tcW w:w="5036" w:type="dxa"/>
          </w:tcPr>
          <w:p>
            <w:pPr/>
          </w:p>
        </w:tc>
        <w:tc>
          <w:tcPr>
            <w:tcW w:w="1073" w:type="dxa"/>
          </w:tcPr>
          <w:p>
            <w:pPr/>
          </w:p>
        </w:tc>
        <w:tc>
          <w:tcPr>
            <w:tcW w:w="1491" w:type="dxa"/>
          </w:tcPr>
          <w:p>
            <w:pPr/>
          </w:p>
        </w:tc>
        <w:tc>
          <w:tcPr>
            <w:tcW w:w="1250" w:type="dxa"/>
          </w:tcPr>
          <w:p>
            <w:pPr>
              <w:pStyle w:val="TableParagraph"/>
              <w:spacing w:before="1"/>
              <w:jc w:val="left"/>
              <w:rPr>
                <w:rFonts w:ascii="Times New Roman"/>
                <w:sz w:val="17"/>
              </w:rPr>
            </w:pPr>
          </w:p>
          <w:p>
            <w:pPr>
              <w:pStyle w:val="TableParagraph"/>
              <w:ind w:left="150"/>
              <w:jc w:val="left"/>
              <w:rPr>
                <w:b/>
                <w:sz w:val="18"/>
              </w:rPr>
            </w:pPr>
            <w:r>
              <w:rPr>
                <w:b/>
                <w:sz w:val="18"/>
              </w:rPr>
              <w:t>Parent</w:t>
            </w:r>
          </w:p>
        </w:tc>
        <w:tc>
          <w:tcPr>
            <w:tcW w:w="1100" w:type="dxa"/>
          </w:tcPr>
          <w:p>
            <w:pPr/>
          </w:p>
        </w:tc>
      </w:tr>
      <w:tr>
        <w:trPr>
          <w:trHeight w:val="240" w:hRule="exact"/>
        </w:trPr>
        <w:tc>
          <w:tcPr>
            <w:tcW w:w="5036" w:type="dxa"/>
          </w:tcPr>
          <w:p>
            <w:pPr/>
          </w:p>
        </w:tc>
        <w:tc>
          <w:tcPr>
            <w:tcW w:w="1073" w:type="dxa"/>
          </w:tcPr>
          <w:p>
            <w:pPr/>
          </w:p>
        </w:tc>
        <w:tc>
          <w:tcPr>
            <w:tcW w:w="1491" w:type="dxa"/>
          </w:tcPr>
          <w:p>
            <w:pPr/>
          </w:p>
        </w:tc>
        <w:tc>
          <w:tcPr>
            <w:tcW w:w="1250" w:type="dxa"/>
          </w:tcPr>
          <w:p>
            <w:pPr>
              <w:pStyle w:val="TableParagraph"/>
              <w:spacing w:before="24"/>
              <w:ind w:left="133"/>
              <w:jc w:val="left"/>
              <w:rPr>
                <w:b/>
                <w:sz w:val="18"/>
              </w:rPr>
            </w:pPr>
            <w:r>
              <w:rPr>
                <w:b/>
                <w:sz w:val="18"/>
              </w:rPr>
              <w:t>Retained</w:t>
            </w:r>
          </w:p>
        </w:tc>
        <w:tc>
          <w:tcPr>
            <w:tcW w:w="1100" w:type="dxa"/>
          </w:tcPr>
          <w:p>
            <w:pPr/>
          </w:p>
        </w:tc>
      </w:tr>
      <w:tr>
        <w:trPr>
          <w:trHeight w:val="240" w:hRule="exact"/>
        </w:trPr>
        <w:tc>
          <w:tcPr>
            <w:tcW w:w="5036" w:type="dxa"/>
          </w:tcPr>
          <w:p>
            <w:pPr/>
          </w:p>
        </w:tc>
        <w:tc>
          <w:tcPr>
            <w:tcW w:w="1073" w:type="dxa"/>
          </w:tcPr>
          <w:p>
            <w:pPr/>
          </w:p>
        </w:tc>
        <w:tc>
          <w:tcPr>
            <w:tcW w:w="1491" w:type="dxa"/>
          </w:tcPr>
          <w:p>
            <w:pPr>
              <w:pStyle w:val="TableParagraph"/>
              <w:spacing w:line="197" w:lineRule="exact"/>
              <w:ind w:left="383"/>
              <w:jc w:val="left"/>
              <w:rPr>
                <w:b/>
                <w:sz w:val="18"/>
              </w:rPr>
            </w:pPr>
            <w:r>
              <w:rPr>
                <w:b/>
                <w:sz w:val="18"/>
              </w:rPr>
              <w:t>Reserves</w:t>
            </w:r>
          </w:p>
        </w:tc>
        <w:tc>
          <w:tcPr>
            <w:tcW w:w="1250" w:type="dxa"/>
          </w:tcPr>
          <w:p>
            <w:pPr>
              <w:pStyle w:val="TableParagraph"/>
              <w:spacing w:line="197" w:lineRule="exact"/>
              <w:ind w:left="127"/>
              <w:jc w:val="left"/>
              <w:rPr>
                <w:b/>
                <w:sz w:val="18"/>
              </w:rPr>
            </w:pPr>
            <w:r>
              <w:rPr>
                <w:b/>
                <w:sz w:val="18"/>
              </w:rPr>
              <w:t>Earnings</w:t>
            </w:r>
          </w:p>
        </w:tc>
        <w:tc>
          <w:tcPr>
            <w:tcW w:w="1100" w:type="dxa"/>
          </w:tcPr>
          <w:p>
            <w:pPr>
              <w:pStyle w:val="TableParagraph"/>
              <w:spacing w:line="197" w:lineRule="exact"/>
              <w:ind w:left="258"/>
              <w:jc w:val="left"/>
              <w:rPr>
                <w:b/>
                <w:sz w:val="18"/>
              </w:rPr>
            </w:pPr>
            <w:r>
              <w:rPr>
                <w:b/>
                <w:sz w:val="18"/>
              </w:rPr>
              <w:t>Total</w:t>
            </w:r>
          </w:p>
        </w:tc>
      </w:tr>
      <w:tr>
        <w:trPr>
          <w:trHeight w:val="272" w:hRule="exact"/>
        </w:trPr>
        <w:tc>
          <w:tcPr>
            <w:tcW w:w="5036" w:type="dxa"/>
          </w:tcPr>
          <w:p>
            <w:pPr/>
          </w:p>
        </w:tc>
        <w:tc>
          <w:tcPr>
            <w:tcW w:w="1073" w:type="dxa"/>
          </w:tcPr>
          <w:p>
            <w:pPr>
              <w:pStyle w:val="TableParagraph"/>
              <w:spacing w:before="24"/>
              <w:ind w:right="37"/>
              <w:rPr>
                <w:b/>
                <w:sz w:val="18"/>
              </w:rPr>
            </w:pPr>
            <w:r>
              <w:rPr>
                <w:b/>
                <w:sz w:val="18"/>
              </w:rPr>
              <w:t>Notes</w:t>
            </w:r>
          </w:p>
        </w:tc>
        <w:tc>
          <w:tcPr>
            <w:tcW w:w="1491" w:type="dxa"/>
            <w:tcBorders>
              <w:bottom w:val="single" w:sz="0" w:space="0" w:color="000000"/>
            </w:tcBorders>
          </w:tcPr>
          <w:p>
            <w:pPr>
              <w:pStyle w:val="TableParagraph"/>
              <w:spacing w:before="24"/>
              <w:ind w:left="559"/>
              <w:jc w:val="left"/>
              <w:rPr>
                <w:b/>
                <w:sz w:val="18"/>
              </w:rPr>
            </w:pPr>
            <w:r>
              <w:rPr>
                <w:b/>
                <w:sz w:val="18"/>
              </w:rPr>
              <w:t>$'000</w:t>
            </w:r>
          </w:p>
        </w:tc>
        <w:tc>
          <w:tcPr>
            <w:tcW w:w="1250" w:type="dxa"/>
            <w:tcBorders>
              <w:bottom w:val="single" w:sz="0" w:space="0" w:color="000000"/>
            </w:tcBorders>
          </w:tcPr>
          <w:p>
            <w:pPr>
              <w:pStyle w:val="TableParagraph"/>
              <w:spacing w:before="24"/>
              <w:ind w:left="291"/>
              <w:jc w:val="left"/>
              <w:rPr>
                <w:b/>
                <w:sz w:val="18"/>
              </w:rPr>
            </w:pPr>
            <w:r>
              <w:rPr>
                <w:b/>
                <w:sz w:val="18"/>
              </w:rPr>
              <w:t>$'000</w:t>
            </w:r>
          </w:p>
        </w:tc>
        <w:tc>
          <w:tcPr>
            <w:tcW w:w="1100" w:type="dxa"/>
            <w:tcBorders>
              <w:bottom w:val="single" w:sz="0" w:space="0" w:color="000000"/>
            </w:tcBorders>
          </w:tcPr>
          <w:p>
            <w:pPr>
              <w:pStyle w:val="TableParagraph"/>
              <w:spacing w:before="24"/>
              <w:ind w:left="252"/>
              <w:jc w:val="left"/>
              <w:rPr>
                <w:b/>
                <w:sz w:val="18"/>
              </w:rPr>
            </w:pPr>
            <w:r>
              <w:rPr>
                <w:b/>
                <w:sz w:val="18"/>
              </w:rPr>
              <w:t>$'000</w:t>
            </w:r>
          </w:p>
        </w:tc>
      </w:tr>
      <w:tr>
        <w:trPr>
          <w:trHeight w:val="285" w:hRule="exact"/>
        </w:trPr>
        <w:tc>
          <w:tcPr>
            <w:tcW w:w="5036" w:type="dxa"/>
          </w:tcPr>
          <w:p>
            <w:pPr>
              <w:pStyle w:val="TableParagraph"/>
              <w:spacing w:before="40"/>
              <w:ind w:left="62" w:right="141"/>
              <w:jc w:val="left"/>
              <w:rPr>
                <w:b/>
                <w:sz w:val="18"/>
              </w:rPr>
            </w:pPr>
            <w:r>
              <w:rPr>
                <w:b/>
                <w:sz w:val="18"/>
              </w:rPr>
              <w:t>Balance at 1 January 2016</w:t>
            </w:r>
          </w:p>
        </w:tc>
        <w:tc>
          <w:tcPr>
            <w:tcW w:w="1073" w:type="dxa"/>
          </w:tcPr>
          <w:p>
            <w:pPr/>
          </w:p>
        </w:tc>
        <w:tc>
          <w:tcPr>
            <w:tcW w:w="1491" w:type="dxa"/>
            <w:tcBorders>
              <w:top w:val="single" w:sz="0" w:space="0" w:color="000000"/>
            </w:tcBorders>
          </w:tcPr>
          <w:p>
            <w:pPr>
              <w:pStyle w:val="TableParagraph"/>
              <w:spacing w:before="38"/>
              <w:ind w:right="184"/>
              <w:rPr>
                <w:b/>
                <w:sz w:val="18"/>
              </w:rPr>
            </w:pPr>
            <w:r>
              <w:rPr>
                <w:b/>
                <w:w w:val="95"/>
                <w:sz w:val="18"/>
              </w:rPr>
              <w:t>680,286</w:t>
            </w:r>
          </w:p>
        </w:tc>
        <w:tc>
          <w:tcPr>
            <w:tcW w:w="1250" w:type="dxa"/>
            <w:tcBorders>
              <w:top w:val="single" w:sz="0" w:space="0" w:color="000000"/>
            </w:tcBorders>
          </w:tcPr>
          <w:p>
            <w:pPr>
              <w:pStyle w:val="TableParagraph"/>
              <w:spacing w:before="38"/>
              <w:ind w:right="210"/>
              <w:rPr>
                <w:b/>
                <w:sz w:val="18"/>
              </w:rPr>
            </w:pPr>
            <w:r>
              <w:rPr>
                <w:b/>
                <w:w w:val="95"/>
                <w:sz w:val="18"/>
              </w:rPr>
              <w:t>917,144</w:t>
            </w:r>
          </w:p>
        </w:tc>
        <w:tc>
          <w:tcPr>
            <w:tcW w:w="1100" w:type="dxa"/>
            <w:tcBorders>
              <w:top w:val="single" w:sz="0" w:space="0" w:color="000000"/>
            </w:tcBorders>
          </w:tcPr>
          <w:p>
            <w:pPr>
              <w:pStyle w:val="TableParagraph"/>
              <w:spacing w:before="38"/>
              <w:ind w:right="86"/>
              <w:rPr>
                <w:b/>
                <w:sz w:val="18"/>
              </w:rPr>
            </w:pPr>
            <w:r>
              <w:rPr>
                <w:b/>
                <w:w w:val="95"/>
                <w:sz w:val="18"/>
              </w:rPr>
              <w:t>1,597,430</w:t>
            </w:r>
          </w:p>
        </w:tc>
      </w:tr>
      <w:tr>
        <w:trPr>
          <w:trHeight w:val="264" w:hRule="exact"/>
        </w:trPr>
        <w:tc>
          <w:tcPr>
            <w:tcW w:w="5036" w:type="dxa"/>
          </w:tcPr>
          <w:p>
            <w:pPr>
              <w:pStyle w:val="TableParagraph"/>
              <w:spacing w:before="19"/>
              <w:ind w:left="62" w:right="141"/>
              <w:jc w:val="left"/>
              <w:rPr>
                <w:sz w:val="18"/>
              </w:rPr>
            </w:pPr>
            <w:r>
              <w:rPr>
                <w:sz w:val="18"/>
              </w:rPr>
              <w:t>Net result</w:t>
            </w:r>
          </w:p>
        </w:tc>
        <w:tc>
          <w:tcPr>
            <w:tcW w:w="1073" w:type="dxa"/>
          </w:tcPr>
          <w:p>
            <w:pPr>
              <w:pStyle w:val="TableParagraph"/>
              <w:spacing w:before="18"/>
              <w:ind w:right="138"/>
              <w:rPr>
                <w:sz w:val="18"/>
              </w:rPr>
            </w:pPr>
            <w:r>
              <w:rPr>
                <w:sz w:val="18"/>
              </w:rPr>
              <w:t>29(c)</w:t>
            </w:r>
          </w:p>
        </w:tc>
        <w:tc>
          <w:tcPr>
            <w:tcW w:w="1491" w:type="dxa"/>
          </w:tcPr>
          <w:p>
            <w:pPr>
              <w:pStyle w:val="TableParagraph"/>
              <w:spacing w:before="18"/>
              <w:ind w:right="185"/>
              <w:rPr>
                <w:b/>
                <w:sz w:val="18"/>
              </w:rPr>
            </w:pPr>
            <w:r>
              <w:rPr>
                <w:b/>
                <w:w w:val="99"/>
                <w:sz w:val="18"/>
              </w:rPr>
              <w:t>-</w:t>
            </w:r>
          </w:p>
        </w:tc>
        <w:tc>
          <w:tcPr>
            <w:tcW w:w="1250" w:type="dxa"/>
          </w:tcPr>
          <w:p>
            <w:pPr>
              <w:pStyle w:val="TableParagraph"/>
              <w:spacing w:before="18"/>
              <w:ind w:right="210"/>
              <w:rPr>
                <w:b/>
                <w:sz w:val="18"/>
              </w:rPr>
            </w:pPr>
            <w:r>
              <w:rPr>
                <w:b/>
                <w:w w:val="95"/>
                <w:sz w:val="18"/>
              </w:rPr>
              <w:t>36,018</w:t>
            </w:r>
          </w:p>
        </w:tc>
        <w:tc>
          <w:tcPr>
            <w:tcW w:w="1100" w:type="dxa"/>
          </w:tcPr>
          <w:p>
            <w:pPr>
              <w:pStyle w:val="TableParagraph"/>
              <w:spacing w:before="18"/>
              <w:ind w:right="86"/>
              <w:rPr>
                <w:b/>
                <w:sz w:val="18"/>
              </w:rPr>
            </w:pPr>
            <w:r>
              <w:rPr>
                <w:b/>
                <w:w w:val="95"/>
                <w:sz w:val="18"/>
              </w:rPr>
              <w:t>36,018</w:t>
            </w:r>
          </w:p>
        </w:tc>
      </w:tr>
      <w:tr>
        <w:trPr>
          <w:trHeight w:val="264" w:hRule="exact"/>
        </w:trPr>
        <w:tc>
          <w:tcPr>
            <w:tcW w:w="5036" w:type="dxa"/>
          </w:tcPr>
          <w:p>
            <w:pPr>
              <w:pStyle w:val="TableParagraph"/>
              <w:spacing w:before="19"/>
              <w:ind w:left="62" w:right="141"/>
              <w:jc w:val="left"/>
              <w:rPr>
                <w:sz w:val="18"/>
              </w:rPr>
            </w:pPr>
            <w:r>
              <w:rPr>
                <w:sz w:val="18"/>
              </w:rPr>
              <w:t>Gain on revaluation of property, plant and equipment</w:t>
            </w:r>
          </w:p>
        </w:tc>
        <w:tc>
          <w:tcPr>
            <w:tcW w:w="1073" w:type="dxa"/>
          </w:tcPr>
          <w:p>
            <w:pPr>
              <w:pStyle w:val="TableParagraph"/>
              <w:spacing w:before="18"/>
              <w:ind w:right="129"/>
              <w:rPr>
                <w:sz w:val="18"/>
              </w:rPr>
            </w:pPr>
            <w:r>
              <w:rPr>
                <w:sz w:val="18"/>
              </w:rPr>
              <w:t>29(b)</w:t>
            </w:r>
          </w:p>
        </w:tc>
        <w:tc>
          <w:tcPr>
            <w:tcW w:w="1491" w:type="dxa"/>
          </w:tcPr>
          <w:p>
            <w:pPr>
              <w:pStyle w:val="TableParagraph"/>
              <w:spacing w:before="18"/>
              <w:ind w:right="184"/>
              <w:rPr>
                <w:b/>
                <w:sz w:val="18"/>
              </w:rPr>
            </w:pPr>
            <w:r>
              <w:rPr>
                <w:b/>
                <w:w w:val="95"/>
                <w:sz w:val="18"/>
              </w:rPr>
              <w:t>18,879</w:t>
            </w:r>
          </w:p>
        </w:tc>
        <w:tc>
          <w:tcPr>
            <w:tcW w:w="1250" w:type="dxa"/>
          </w:tcPr>
          <w:p>
            <w:pPr>
              <w:pStyle w:val="TableParagraph"/>
              <w:spacing w:before="18"/>
              <w:ind w:right="211"/>
              <w:rPr>
                <w:b/>
                <w:sz w:val="18"/>
              </w:rPr>
            </w:pPr>
            <w:r>
              <w:rPr>
                <w:b/>
                <w:w w:val="99"/>
                <w:sz w:val="18"/>
              </w:rPr>
              <w:t>-</w:t>
            </w:r>
          </w:p>
        </w:tc>
        <w:tc>
          <w:tcPr>
            <w:tcW w:w="1100" w:type="dxa"/>
          </w:tcPr>
          <w:p>
            <w:pPr>
              <w:pStyle w:val="TableParagraph"/>
              <w:spacing w:before="18"/>
              <w:ind w:right="86"/>
              <w:rPr>
                <w:b/>
                <w:sz w:val="18"/>
              </w:rPr>
            </w:pPr>
            <w:r>
              <w:rPr>
                <w:b/>
                <w:w w:val="95"/>
                <w:sz w:val="18"/>
              </w:rPr>
              <w:t>18,879</w:t>
            </w:r>
          </w:p>
        </w:tc>
      </w:tr>
      <w:tr>
        <w:trPr>
          <w:trHeight w:val="264" w:hRule="exact"/>
        </w:trPr>
        <w:tc>
          <w:tcPr>
            <w:tcW w:w="5036" w:type="dxa"/>
          </w:tcPr>
          <w:p>
            <w:pPr>
              <w:pStyle w:val="TableParagraph"/>
              <w:spacing w:before="19"/>
              <w:ind w:left="62" w:right="141"/>
              <w:jc w:val="left"/>
              <w:rPr>
                <w:sz w:val="18"/>
              </w:rPr>
            </w:pPr>
            <w:r>
              <w:rPr>
                <w:sz w:val="18"/>
              </w:rPr>
              <w:t>Gain on revaluation of available-for-sale financial assets</w:t>
            </w:r>
          </w:p>
        </w:tc>
        <w:tc>
          <w:tcPr>
            <w:tcW w:w="1073" w:type="dxa"/>
          </w:tcPr>
          <w:p>
            <w:pPr>
              <w:pStyle w:val="TableParagraph"/>
              <w:spacing w:before="18"/>
              <w:ind w:right="129"/>
              <w:rPr>
                <w:sz w:val="18"/>
              </w:rPr>
            </w:pPr>
            <w:r>
              <w:rPr>
                <w:sz w:val="18"/>
              </w:rPr>
              <w:t>29(b)</w:t>
            </w:r>
          </w:p>
        </w:tc>
        <w:tc>
          <w:tcPr>
            <w:tcW w:w="1491" w:type="dxa"/>
          </w:tcPr>
          <w:p>
            <w:pPr>
              <w:pStyle w:val="TableParagraph"/>
              <w:spacing w:before="18"/>
              <w:ind w:right="184"/>
              <w:rPr>
                <w:b/>
                <w:sz w:val="18"/>
              </w:rPr>
            </w:pPr>
            <w:r>
              <w:rPr>
                <w:b/>
                <w:sz w:val="18"/>
              </w:rPr>
              <w:t>4,724</w:t>
            </w:r>
          </w:p>
        </w:tc>
        <w:tc>
          <w:tcPr>
            <w:tcW w:w="1250" w:type="dxa"/>
          </w:tcPr>
          <w:p>
            <w:pPr>
              <w:pStyle w:val="TableParagraph"/>
              <w:spacing w:before="18"/>
              <w:ind w:right="211"/>
              <w:rPr>
                <w:b/>
                <w:sz w:val="18"/>
              </w:rPr>
            </w:pPr>
            <w:r>
              <w:rPr>
                <w:b/>
                <w:w w:val="99"/>
                <w:sz w:val="18"/>
              </w:rPr>
              <w:t>-</w:t>
            </w:r>
          </w:p>
        </w:tc>
        <w:tc>
          <w:tcPr>
            <w:tcW w:w="1100" w:type="dxa"/>
          </w:tcPr>
          <w:p>
            <w:pPr>
              <w:pStyle w:val="TableParagraph"/>
              <w:spacing w:before="18"/>
              <w:ind w:right="86"/>
              <w:rPr>
                <w:b/>
                <w:sz w:val="18"/>
              </w:rPr>
            </w:pPr>
            <w:r>
              <w:rPr>
                <w:b/>
                <w:sz w:val="18"/>
              </w:rPr>
              <w:t>4,724</w:t>
            </w:r>
          </w:p>
        </w:tc>
      </w:tr>
      <w:tr>
        <w:trPr>
          <w:trHeight w:val="264" w:hRule="exact"/>
        </w:trPr>
        <w:tc>
          <w:tcPr>
            <w:tcW w:w="5036" w:type="dxa"/>
          </w:tcPr>
          <w:p>
            <w:pPr>
              <w:pStyle w:val="TableParagraph"/>
              <w:spacing w:before="19"/>
              <w:ind w:left="62" w:right="141"/>
              <w:jc w:val="left"/>
              <w:rPr>
                <w:sz w:val="18"/>
              </w:rPr>
            </w:pPr>
            <w:r>
              <w:rPr>
                <w:sz w:val="18"/>
              </w:rPr>
              <w:t>Gain on revaluation of art collection</w:t>
            </w:r>
          </w:p>
        </w:tc>
        <w:tc>
          <w:tcPr>
            <w:tcW w:w="1073" w:type="dxa"/>
          </w:tcPr>
          <w:p>
            <w:pPr>
              <w:pStyle w:val="TableParagraph"/>
              <w:spacing w:before="18"/>
              <w:ind w:right="129"/>
              <w:rPr>
                <w:sz w:val="18"/>
              </w:rPr>
            </w:pPr>
            <w:r>
              <w:rPr>
                <w:sz w:val="18"/>
              </w:rPr>
              <w:t>29(b)</w:t>
            </w:r>
          </w:p>
        </w:tc>
        <w:tc>
          <w:tcPr>
            <w:tcW w:w="1491" w:type="dxa"/>
          </w:tcPr>
          <w:p>
            <w:pPr>
              <w:pStyle w:val="TableParagraph"/>
              <w:spacing w:before="18"/>
              <w:ind w:right="185"/>
              <w:rPr>
                <w:b/>
                <w:sz w:val="18"/>
              </w:rPr>
            </w:pPr>
            <w:r>
              <w:rPr>
                <w:b/>
                <w:sz w:val="18"/>
              </w:rPr>
              <w:t>986</w:t>
            </w:r>
          </w:p>
        </w:tc>
        <w:tc>
          <w:tcPr>
            <w:tcW w:w="1250" w:type="dxa"/>
          </w:tcPr>
          <w:p>
            <w:pPr>
              <w:pStyle w:val="TableParagraph"/>
              <w:spacing w:before="18"/>
              <w:ind w:right="211"/>
              <w:rPr>
                <w:b/>
                <w:sz w:val="18"/>
              </w:rPr>
            </w:pPr>
            <w:r>
              <w:rPr>
                <w:b/>
                <w:w w:val="99"/>
                <w:sz w:val="18"/>
              </w:rPr>
              <w:t>-</w:t>
            </w:r>
          </w:p>
        </w:tc>
        <w:tc>
          <w:tcPr>
            <w:tcW w:w="1100" w:type="dxa"/>
          </w:tcPr>
          <w:p>
            <w:pPr>
              <w:pStyle w:val="TableParagraph"/>
              <w:spacing w:before="18"/>
              <w:ind w:right="86"/>
              <w:rPr>
                <w:b/>
                <w:sz w:val="18"/>
              </w:rPr>
            </w:pPr>
            <w:r>
              <w:rPr>
                <w:b/>
                <w:sz w:val="18"/>
              </w:rPr>
              <w:t>986</w:t>
            </w:r>
          </w:p>
        </w:tc>
      </w:tr>
      <w:tr>
        <w:trPr>
          <w:trHeight w:val="263" w:hRule="exact"/>
        </w:trPr>
        <w:tc>
          <w:tcPr>
            <w:tcW w:w="5036" w:type="dxa"/>
          </w:tcPr>
          <w:p>
            <w:pPr>
              <w:pStyle w:val="TableParagraph"/>
              <w:spacing w:before="19"/>
              <w:ind w:left="62" w:right="141"/>
              <w:jc w:val="left"/>
              <w:rPr>
                <w:sz w:val="18"/>
              </w:rPr>
            </w:pPr>
            <w:r>
              <w:rPr>
                <w:sz w:val="18"/>
              </w:rPr>
              <w:t>Gain on revaluation of livestock</w:t>
            </w:r>
          </w:p>
        </w:tc>
        <w:tc>
          <w:tcPr>
            <w:tcW w:w="1073" w:type="dxa"/>
          </w:tcPr>
          <w:p>
            <w:pPr>
              <w:pStyle w:val="TableParagraph"/>
              <w:spacing w:before="18"/>
              <w:ind w:right="129"/>
              <w:rPr>
                <w:sz w:val="18"/>
              </w:rPr>
            </w:pPr>
            <w:r>
              <w:rPr>
                <w:sz w:val="18"/>
              </w:rPr>
              <w:t>29(b)</w:t>
            </w:r>
          </w:p>
        </w:tc>
        <w:tc>
          <w:tcPr>
            <w:tcW w:w="1491" w:type="dxa"/>
          </w:tcPr>
          <w:p>
            <w:pPr>
              <w:pStyle w:val="TableParagraph"/>
              <w:spacing w:before="18"/>
              <w:ind w:right="125"/>
              <w:rPr>
                <w:b/>
                <w:sz w:val="18"/>
              </w:rPr>
            </w:pPr>
            <w:r>
              <w:rPr>
                <w:b/>
                <w:sz w:val="18"/>
              </w:rPr>
              <w:t>(214)</w:t>
            </w:r>
          </w:p>
        </w:tc>
        <w:tc>
          <w:tcPr>
            <w:tcW w:w="1250" w:type="dxa"/>
          </w:tcPr>
          <w:p>
            <w:pPr>
              <w:pStyle w:val="TableParagraph"/>
              <w:spacing w:before="18"/>
              <w:ind w:right="211"/>
              <w:rPr>
                <w:b/>
                <w:sz w:val="18"/>
              </w:rPr>
            </w:pPr>
            <w:r>
              <w:rPr>
                <w:b/>
                <w:w w:val="99"/>
                <w:sz w:val="18"/>
              </w:rPr>
              <w:t>-</w:t>
            </w:r>
          </w:p>
        </w:tc>
        <w:tc>
          <w:tcPr>
            <w:tcW w:w="1100" w:type="dxa"/>
          </w:tcPr>
          <w:p>
            <w:pPr>
              <w:pStyle w:val="TableParagraph"/>
              <w:spacing w:before="18"/>
              <w:ind w:right="27"/>
              <w:rPr>
                <w:b/>
                <w:sz w:val="18"/>
              </w:rPr>
            </w:pPr>
            <w:r>
              <w:rPr>
                <w:b/>
                <w:sz w:val="18"/>
              </w:rPr>
              <w:t>(214)</w:t>
            </w:r>
          </w:p>
        </w:tc>
      </w:tr>
      <w:tr>
        <w:trPr>
          <w:trHeight w:val="467" w:hRule="exact"/>
        </w:trPr>
        <w:tc>
          <w:tcPr>
            <w:tcW w:w="5036" w:type="dxa"/>
          </w:tcPr>
          <w:p>
            <w:pPr>
              <w:pStyle w:val="TableParagraph"/>
              <w:spacing w:before="18"/>
              <w:ind w:left="62" w:right="141"/>
              <w:jc w:val="left"/>
              <w:rPr>
                <w:sz w:val="18"/>
              </w:rPr>
            </w:pPr>
            <w:r>
              <w:rPr>
                <w:sz w:val="18"/>
              </w:rPr>
              <w:t>Net actuarial gains / (losses) recognised in respect of Defined Benefit Plans</w:t>
            </w:r>
          </w:p>
        </w:tc>
        <w:tc>
          <w:tcPr>
            <w:tcW w:w="1073" w:type="dxa"/>
          </w:tcPr>
          <w:p>
            <w:pPr>
              <w:pStyle w:val="TableParagraph"/>
              <w:spacing w:before="19"/>
              <w:ind w:right="129"/>
              <w:rPr>
                <w:sz w:val="18"/>
              </w:rPr>
            </w:pPr>
            <w:r>
              <w:rPr>
                <w:sz w:val="18"/>
              </w:rPr>
              <w:t>29(b)</w:t>
            </w:r>
          </w:p>
        </w:tc>
        <w:tc>
          <w:tcPr>
            <w:tcW w:w="1491" w:type="dxa"/>
            <w:tcBorders>
              <w:bottom w:val="single" w:sz="0" w:space="0" w:color="000000"/>
            </w:tcBorders>
          </w:tcPr>
          <w:p>
            <w:pPr>
              <w:pStyle w:val="TableParagraph"/>
              <w:spacing w:before="4"/>
              <w:jc w:val="left"/>
              <w:rPr>
                <w:rFonts w:ascii="Times New Roman"/>
                <w:sz w:val="19"/>
              </w:rPr>
            </w:pPr>
          </w:p>
          <w:p>
            <w:pPr>
              <w:pStyle w:val="TableParagraph"/>
              <w:ind w:right="125"/>
              <w:rPr>
                <w:b/>
                <w:sz w:val="18"/>
              </w:rPr>
            </w:pPr>
            <w:r>
              <w:rPr>
                <w:b/>
                <w:sz w:val="18"/>
              </w:rPr>
              <w:t>(366)</w:t>
            </w:r>
          </w:p>
        </w:tc>
        <w:tc>
          <w:tcPr>
            <w:tcW w:w="1250" w:type="dxa"/>
            <w:tcBorders>
              <w:bottom w:val="single" w:sz="0" w:space="0" w:color="000000"/>
            </w:tcBorders>
          </w:tcPr>
          <w:p>
            <w:pPr>
              <w:pStyle w:val="TableParagraph"/>
              <w:spacing w:before="4"/>
              <w:jc w:val="left"/>
              <w:rPr>
                <w:rFonts w:ascii="Times New Roman"/>
                <w:sz w:val="19"/>
              </w:rPr>
            </w:pPr>
          </w:p>
          <w:p>
            <w:pPr>
              <w:pStyle w:val="TableParagraph"/>
              <w:ind w:right="211"/>
              <w:rPr>
                <w:b/>
                <w:sz w:val="18"/>
              </w:rPr>
            </w:pPr>
            <w:r>
              <w:rPr>
                <w:b/>
                <w:w w:val="99"/>
                <w:sz w:val="18"/>
              </w:rPr>
              <w:t>-</w:t>
            </w:r>
          </w:p>
        </w:tc>
        <w:tc>
          <w:tcPr>
            <w:tcW w:w="1100" w:type="dxa"/>
            <w:tcBorders>
              <w:bottom w:val="single" w:sz="0" w:space="0" w:color="000000"/>
            </w:tcBorders>
          </w:tcPr>
          <w:p>
            <w:pPr>
              <w:pStyle w:val="TableParagraph"/>
              <w:spacing w:before="4"/>
              <w:jc w:val="left"/>
              <w:rPr>
                <w:rFonts w:ascii="Times New Roman"/>
                <w:sz w:val="19"/>
              </w:rPr>
            </w:pPr>
          </w:p>
          <w:p>
            <w:pPr>
              <w:pStyle w:val="TableParagraph"/>
              <w:ind w:right="27"/>
              <w:rPr>
                <w:b/>
                <w:sz w:val="18"/>
              </w:rPr>
            </w:pPr>
            <w:r>
              <w:rPr>
                <w:b/>
                <w:sz w:val="18"/>
              </w:rPr>
              <w:t>(366)</w:t>
            </w:r>
          </w:p>
        </w:tc>
      </w:tr>
      <w:tr>
        <w:trPr>
          <w:trHeight w:val="338" w:hRule="exact"/>
        </w:trPr>
        <w:tc>
          <w:tcPr>
            <w:tcW w:w="5036" w:type="dxa"/>
          </w:tcPr>
          <w:p>
            <w:pPr>
              <w:pStyle w:val="TableParagraph"/>
              <w:spacing w:before="123"/>
              <w:ind w:left="62" w:right="141"/>
              <w:jc w:val="left"/>
              <w:rPr>
                <w:b/>
                <w:sz w:val="18"/>
              </w:rPr>
            </w:pPr>
            <w:r>
              <w:rPr>
                <w:b/>
                <w:sz w:val="18"/>
              </w:rPr>
              <w:t>Total comprehensive income</w:t>
            </w:r>
          </w:p>
        </w:tc>
        <w:tc>
          <w:tcPr>
            <w:tcW w:w="1073" w:type="dxa"/>
          </w:tcPr>
          <w:p>
            <w:pPr/>
          </w:p>
        </w:tc>
        <w:tc>
          <w:tcPr>
            <w:tcW w:w="1491" w:type="dxa"/>
            <w:tcBorders>
              <w:top w:val="single" w:sz="0" w:space="0" w:color="000000"/>
              <w:bottom w:val="single" w:sz="0" w:space="0" w:color="000000"/>
            </w:tcBorders>
          </w:tcPr>
          <w:p>
            <w:pPr>
              <w:pStyle w:val="TableParagraph"/>
              <w:spacing w:before="122"/>
              <w:ind w:right="184"/>
              <w:rPr>
                <w:b/>
                <w:sz w:val="18"/>
              </w:rPr>
            </w:pPr>
            <w:r>
              <w:rPr>
                <w:b/>
                <w:w w:val="95"/>
                <w:sz w:val="18"/>
              </w:rPr>
              <w:t>704,295</w:t>
            </w:r>
          </w:p>
        </w:tc>
        <w:tc>
          <w:tcPr>
            <w:tcW w:w="1250" w:type="dxa"/>
            <w:tcBorders>
              <w:top w:val="single" w:sz="0" w:space="0" w:color="000000"/>
              <w:bottom w:val="single" w:sz="0" w:space="0" w:color="000000"/>
            </w:tcBorders>
          </w:tcPr>
          <w:p>
            <w:pPr>
              <w:pStyle w:val="TableParagraph"/>
              <w:spacing w:before="122"/>
              <w:ind w:right="210"/>
              <w:rPr>
                <w:b/>
                <w:sz w:val="18"/>
              </w:rPr>
            </w:pPr>
            <w:r>
              <w:rPr>
                <w:b/>
                <w:w w:val="95"/>
                <w:sz w:val="18"/>
              </w:rPr>
              <w:t>953,162</w:t>
            </w:r>
          </w:p>
        </w:tc>
        <w:tc>
          <w:tcPr>
            <w:tcW w:w="1100" w:type="dxa"/>
            <w:tcBorders>
              <w:top w:val="single" w:sz="0" w:space="0" w:color="000000"/>
              <w:bottom w:val="single" w:sz="0" w:space="0" w:color="000000"/>
            </w:tcBorders>
          </w:tcPr>
          <w:p>
            <w:pPr>
              <w:pStyle w:val="TableParagraph"/>
              <w:spacing w:before="122"/>
              <w:ind w:right="86"/>
              <w:rPr>
                <w:b/>
                <w:sz w:val="18"/>
              </w:rPr>
            </w:pPr>
            <w:r>
              <w:rPr>
                <w:b/>
                <w:w w:val="95"/>
                <w:sz w:val="18"/>
              </w:rPr>
              <w:t>1,657,457</w:t>
            </w:r>
          </w:p>
        </w:tc>
      </w:tr>
      <w:tr>
        <w:trPr>
          <w:trHeight w:val="487" w:hRule="exact"/>
        </w:trPr>
        <w:tc>
          <w:tcPr>
            <w:tcW w:w="5036" w:type="dxa"/>
          </w:tcPr>
          <w:p>
            <w:pPr>
              <w:pStyle w:val="TableParagraph"/>
              <w:spacing w:before="38"/>
              <w:ind w:left="62" w:right="141"/>
              <w:jc w:val="left"/>
              <w:rPr>
                <w:sz w:val="18"/>
              </w:rPr>
            </w:pPr>
            <w:r>
              <w:rPr>
                <w:sz w:val="18"/>
              </w:rPr>
              <w:t>Transfer from property plant and equipment reserve on disposal of assets</w:t>
            </w:r>
          </w:p>
        </w:tc>
        <w:tc>
          <w:tcPr>
            <w:tcW w:w="1073" w:type="dxa"/>
          </w:tcPr>
          <w:p>
            <w:pPr>
              <w:pStyle w:val="TableParagraph"/>
              <w:spacing w:before="39"/>
              <w:ind w:right="138"/>
              <w:rPr>
                <w:sz w:val="18"/>
              </w:rPr>
            </w:pPr>
            <w:r>
              <w:rPr>
                <w:sz w:val="18"/>
              </w:rPr>
              <w:t>29(c)</w:t>
            </w:r>
          </w:p>
        </w:tc>
        <w:tc>
          <w:tcPr>
            <w:tcW w:w="1491" w:type="dxa"/>
            <w:tcBorders>
              <w:top w:val="single" w:sz="0" w:space="0" w:color="000000"/>
              <w:bottom w:val="single" w:sz="0" w:space="0" w:color="000000"/>
            </w:tcBorders>
          </w:tcPr>
          <w:p>
            <w:pPr>
              <w:pStyle w:val="TableParagraph"/>
              <w:spacing w:before="1"/>
              <w:jc w:val="left"/>
              <w:rPr>
                <w:rFonts w:ascii="Times New Roman"/>
                <w:sz w:val="21"/>
              </w:rPr>
            </w:pPr>
          </w:p>
          <w:p>
            <w:pPr>
              <w:pStyle w:val="TableParagraph"/>
              <w:ind w:right="125"/>
              <w:rPr>
                <w:b/>
                <w:sz w:val="18"/>
              </w:rPr>
            </w:pPr>
            <w:r>
              <w:rPr>
                <w:b/>
                <w:sz w:val="18"/>
              </w:rPr>
              <w:t>(540)</w:t>
            </w:r>
          </w:p>
        </w:tc>
        <w:tc>
          <w:tcPr>
            <w:tcW w:w="1250" w:type="dxa"/>
            <w:tcBorders>
              <w:top w:val="single" w:sz="0" w:space="0" w:color="000000"/>
              <w:bottom w:val="single" w:sz="0" w:space="0" w:color="000000"/>
            </w:tcBorders>
          </w:tcPr>
          <w:p>
            <w:pPr>
              <w:pStyle w:val="TableParagraph"/>
              <w:spacing w:before="1"/>
              <w:jc w:val="left"/>
              <w:rPr>
                <w:rFonts w:ascii="Times New Roman"/>
                <w:sz w:val="21"/>
              </w:rPr>
            </w:pPr>
          </w:p>
          <w:p>
            <w:pPr>
              <w:pStyle w:val="TableParagraph"/>
              <w:ind w:right="211"/>
              <w:rPr>
                <w:b/>
                <w:sz w:val="18"/>
              </w:rPr>
            </w:pPr>
            <w:r>
              <w:rPr>
                <w:b/>
                <w:sz w:val="18"/>
              </w:rPr>
              <w:t>540</w:t>
            </w:r>
          </w:p>
        </w:tc>
        <w:tc>
          <w:tcPr>
            <w:tcW w:w="1100" w:type="dxa"/>
            <w:tcBorders>
              <w:top w:val="single" w:sz="0" w:space="0" w:color="000000"/>
              <w:bottom w:val="single" w:sz="0" w:space="0" w:color="000000"/>
            </w:tcBorders>
          </w:tcPr>
          <w:p>
            <w:pPr>
              <w:pStyle w:val="TableParagraph"/>
              <w:spacing w:before="1"/>
              <w:jc w:val="left"/>
              <w:rPr>
                <w:rFonts w:ascii="Times New Roman"/>
                <w:sz w:val="21"/>
              </w:rPr>
            </w:pPr>
          </w:p>
          <w:p>
            <w:pPr>
              <w:pStyle w:val="TableParagraph"/>
              <w:ind w:right="86"/>
              <w:rPr>
                <w:b/>
                <w:sz w:val="18"/>
              </w:rPr>
            </w:pPr>
            <w:r>
              <w:rPr>
                <w:b/>
                <w:w w:val="99"/>
                <w:sz w:val="18"/>
              </w:rPr>
              <w:t>-</w:t>
            </w:r>
          </w:p>
        </w:tc>
      </w:tr>
      <w:tr>
        <w:trPr>
          <w:trHeight w:val="338" w:hRule="exact"/>
        </w:trPr>
        <w:tc>
          <w:tcPr>
            <w:tcW w:w="5036" w:type="dxa"/>
          </w:tcPr>
          <w:p>
            <w:pPr>
              <w:pStyle w:val="TableParagraph"/>
              <w:spacing w:before="123"/>
              <w:ind w:left="62" w:right="141"/>
              <w:jc w:val="left"/>
              <w:rPr>
                <w:b/>
                <w:sz w:val="18"/>
              </w:rPr>
            </w:pPr>
            <w:r>
              <w:rPr>
                <w:b/>
                <w:sz w:val="18"/>
              </w:rPr>
              <w:t>Balance at 31 December 2016</w:t>
            </w:r>
          </w:p>
        </w:tc>
        <w:tc>
          <w:tcPr>
            <w:tcW w:w="1073" w:type="dxa"/>
          </w:tcPr>
          <w:p>
            <w:pPr/>
          </w:p>
        </w:tc>
        <w:tc>
          <w:tcPr>
            <w:tcW w:w="1491" w:type="dxa"/>
            <w:tcBorders>
              <w:top w:val="single" w:sz="0" w:space="0" w:color="000000"/>
              <w:bottom w:val="single" w:sz="0" w:space="0" w:color="000000"/>
            </w:tcBorders>
          </w:tcPr>
          <w:p>
            <w:pPr>
              <w:pStyle w:val="TableParagraph"/>
              <w:spacing w:before="122"/>
              <w:ind w:right="184"/>
              <w:rPr>
                <w:b/>
                <w:sz w:val="18"/>
              </w:rPr>
            </w:pPr>
            <w:r>
              <w:rPr>
                <w:b/>
                <w:w w:val="95"/>
                <w:sz w:val="18"/>
              </w:rPr>
              <w:t>703,755</w:t>
            </w:r>
          </w:p>
        </w:tc>
        <w:tc>
          <w:tcPr>
            <w:tcW w:w="1250" w:type="dxa"/>
            <w:tcBorders>
              <w:top w:val="single" w:sz="0" w:space="0" w:color="000000"/>
              <w:bottom w:val="single" w:sz="0" w:space="0" w:color="000000"/>
            </w:tcBorders>
          </w:tcPr>
          <w:p>
            <w:pPr>
              <w:pStyle w:val="TableParagraph"/>
              <w:spacing w:before="122"/>
              <w:ind w:right="210"/>
              <w:rPr>
                <w:b/>
                <w:sz w:val="18"/>
              </w:rPr>
            </w:pPr>
            <w:r>
              <w:rPr>
                <w:b/>
                <w:w w:val="95"/>
                <w:sz w:val="18"/>
              </w:rPr>
              <w:t>953,702</w:t>
            </w:r>
          </w:p>
        </w:tc>
        <w:tc>
          <w:tcPr>
            <w:tcW w:w="1100" w:type="dxa"/>
            <w:tcBorders>
              <w:top w:val="single" w:sz="0" w:space="0" w:color="000000"/>
              <w:bottom w:val="single" w:sz="0" w:space="0" w:color="000000"/>
            </w:tcBorders>
          </w:tcPr>
          <w:p>
            <w:pPr>
              <w:pStyle w:val="TableParagraph"/>
              <w:spacing w:before="122"/>
              <w:ind w:right="86"/>
              <w:rPr>
                <w:b/>
                <w:sz w:val="18"/>
              </w:rPr>
            </w:pPr>
            <w:r>
              <w:rPr>
                <w:b/>
                <w:w w:val="95"/>
                <w:sz w:val="18"/>
              </w:rPr>
              <w:t>1,657,457</w:t>
            </w:r>
          </w:p>
        </w:tc>
      </w:tr>
      <w:tr>
        <w:trPr>
          <w:trHeight w:val="1009" w:hRule="exact"/>
        </w:trPr>
        <w:tc>
          <w:tcPr>
            <w:tcW w:w="5036" w:type="dxa"/>
          </w:tcPr>
          <w:p>
            <w:pPr/>
          </w:p>
        </w:tc>
        <w:tc>
          <w:tcPr>
            <w:tcW w:w="1073" w:type="dxa"/>
          </w:tcPr>
          <w:p>
            <w:pPr/>
          </w:p>
        </w:tc>
        <w:tc>
          <w:tcPr>
            <w:tcW w:w="1491" w:type="dxa"/>
            <w:tcBorders>
              <w:top w:val="single" w:sz="0" w:space="0" w:color="000000"/>
            </w:tcBorders>
          </w:tcPr>
          <w:p>
            <w:pPr/>
          </w:p>
        </w:tc>
        <w:tc>
          <w:tcPr>
            <w:tcW w:w="1250" w:type="dxa"/>
            <w:tcBorders>
              <w:top w:val="single" w:sz="0" w:space="0" w:color="000000"/>
            </w:tcBorders>
          </w:tcPr>
          <w:p>
            <w:pPr>
              <w:pStyle w:val="TableParagraph"/>
              <w:jc w:val="left"/>
              <w:rPr>
                <w:rFonts w:ascii="Times New Roman"/>
                <w:sz w:val="18"/>
              </w:rPr>
            </w:pPr>
          </w:p>
          <w:p>
            <w:pPr>
              <w:pStyle w:val="TableParagraph"/>
              <w:jc w:val="left"/>
              <w:rPr>
                <w:rFonts w:ascii="Times New Roman"/>
                <w:sz w:val="18"/>
              </w:rPr>
            </w:pPr>
          </w:p>
          <w:p>
            <w:pPr>
              <w:pStyle w:val="TableParagraph"/>
              <w:spacing w:before="1"/>
              <w:jc w:val="left"/>
              <w:rPr>
                <w:rFonts w:ascii="Times New Roman"/>
                <w:sz w:val="19"/>
              </w:rPr>
            </w:pPr>
          </w:p>
          <w:p>
            <w:pPr>
              <w:pStyle w:val="TableParagraph"/>
              <w:ind w:left="150"/>
              <w:jc w:val="left"/>
              <w:rPr>
                <w:b/>
                <w:sz w:val="18"/>
              </w:rPr>
            </w:pPr>
            <w:r>
              <w:rPr>
                <w:b/>
                <w:sz w:val="18"/>
              </w:rPr>
              <w:t>Parent</w:t>
            </w:r>
          </w:p>
        </w:tc>
        <w:tc>
          <w:tcPr>
            <w:tcW w:w="1100" w:type="dxa"/>
            <w:tcBorders>
              <w:top w:val="single" w:sz="0" w:space="0" w:color="000000"/>
            </w:tcBorders>
          </w:tcPr>
          <w:p>
            <w:pPr/>
          </w:p>
        </w:tc>
      </w:tr>
      <w:tr>
        <w:trPr>
          <w:trHeight w:val="365" w:hRule="exact"/>
        </w:trPr>
        <w:tc>
          <w:tcPr>
            <w:tcW w:w="5036" w:type="dxa"/>
          </w:tcPr>
          <w:p>
            <w:pPr/>
          </w:p>
        </w:tc>
        <w:tc>
          <w:tcPr>
            <w:tcW w:w="1073" w:type="dxa"/>
          </w:tcPr>
          <w:p>
            <w:pPr/>
          </w:p>
        </w:tc>
        <w:tc>
          <w:tcPr>
            <w:tcW w:w="1491" w:type="dxa"/>
          </w:tcPr>
          <w:p>
            <w:pPr/>
          </w:p>
        </w:tc>
        <w:tc>
          <w:tcPr>
            <w:tcW w:w="1250" w:type="dxa"/>
          </w:tcPr>
          <w:p>
            <w:pPr>
              <w:pStyle w:val="TableParagraph"/>
              <w:spacing w:before="148"/>
              <w:ind w:left="133"/>
              <w:jc w:val="left"/>
              <w:rPr>
                <w:b/>
                <w:sz w:val="18"/>
              </w:rPr>
            </w:pPr>
            <w:r>
              <w:rPr>
                <w:b/>
                <w:sz w:val="18"/>
              </w:rPr>
              <w:t>Retained</w:t>
            </w:r>
          </w:p>
        </w:tc>
        <w:tc>
          <w:tcPr>
            <w:tcW w:w="1100" w:type="dxa"/>
          </w:tcPr>
          <w:p>
            <w:pPr/>
          </w:p>
        </w:tc>
      </w:tr>
      <w:tr>
        <w:trPr>
          <w:trHeight w:val="240" w:hRule="exact"/>
        </w:trPr>
        <w:tc>
          <w:tcPr>
            <w:tcW w:w="5036" w:type="dxa"/>
          </w:tcPr>
          <w:p>
            <w:pPr/>
          </w:p>
        </w:tc>
        <w:tc>
          <w:tcPr>
            <w:tcW w:w="1073" w:type="dxa"/>
          </w:tcPr>
          <w:p>
            <w:pPr/>
          </w:p>
        </w:tc>
        <w:tc>
          <w:tcPr>
            <w:tcW w:w="1491" w:type="dxa"/>
          </w:tcPr>
          <w:p>
            <w:pPr>
              <w:pStyle w:val="TableParagraph"/>
              <w:spacing w:line="197" w:lineRule="exact"/>
              <w:ind w:left="383"/>
              <w:jc w:val="left"/>
              <w:rPr>
                <w:b/>
                <w:sz w:val="18"/>
              </w:rPr>
            </w:pPr>
            <w:r>
              <w:rPr>
                <w:b/>
                <w:sz w:val="18"/>
              </w:rPr>
              <w:t>Reserves</w:t>
            </w:r>
          </w:p>
        </w:tc>
        <w:tc>
          <w:tcPr>
            <w:tcW w:w="1250" w:type="dxa"/>
          </w:tcPr>
          <w:p>
            <w:pPr>
              <w:pStyle w:val="TableParagraph"/>
              <w:spacing w:line="197" w:lineRule="exact"/>
              <w:ind w:left="127"/>
              <w:jc w:val="left"/>
              <w:rPr>
                <w:b/>
                <w:sz w:val="18"/>
              </w:rPr>
            </w:pPr>
            <w:r>
              <w:rPr>
                <w:b/>
                <w:sz w:val="18"/>
              </w:rPr>
              <w:t>Earnings</w:t>
            </w:r>
          </w:p>
        </w:tc>
        <w:tc>
          <w:tcPr>
            <w:tcW w:w="1100" w:type="dxa"/>
          </w:tcPr>
          <w:p>
            <w:pPr>
              <w:pStyle w:val="TableParagraph"/>
              <w:spacing w:line="197" w:lineRule="exact"/>
              <w:ind w:left="258"/>
              <w:jc w:val="left"/>
              <w:rPr>
                <w:b/>
                <w:sz w:val="18"/>
              </w:rPr>
            </w:pPr>
            <w:r>
              <w:rPr>
                <w:b/>
                <w:sz w:val="18"/>
              </w:rPr>
              <w:t>Total</w:t>
            </w:r>
          </w:p>
        </w:tc>
      </w:tr>
      <w:tr>
        <w:trPr>
          <w:trHeight w:val="272" w:hRule="exact"/>
        </w:trPr>
        <w:tc>
          <w:tcPr>
            <w:tcW w:w="5036" w:type="dxa"/>
          </w:tcPr>
          <w:p>
            <w:pPr/>
          </w:p>
        </w:tc>
        <w:tc>
          <w:tcPr>
            <w:tcW w:w="1073" w:type="dxa"/>
          </w:tcPr>
          <w:p>
            <w:pPr>
              <w:pStyle w:val="TableParagraph"/>
              <w:spacing w:before="24"/>
              <w:ind w:right="86"/>
              <w:rPr>
                <w:b/>
                <w:sz w:val="18"/>
              </w:rPr>
            </w:pPr>
            <w:r>
              <w:rPr>
                <w:b/>
                <w:w w:val="95"/>
                <w:sz w:val="18"/>
              </w:rPr>
              <w:t>Note</w:t>
            </w:r>
          </w:p>
        </w:tc>
        <w:tc>
          <w:tcPr>
            <w:tcW w:w="1491" w:type="dxa"/>
            <w:tcBorders>
              <w:bottom w:val="single" w:sz="0" w:space="0" w:color="000000"/>
            </w:tcBorders>
          </w:tcPr>
          <w:p>
            <w:pPr>
              <w:pStyle w:val="TableParagraph"/>
              <w:spacing w:before="24"/>
              <w:ind w:left="559"/>
              <w:jc w:val="left"/>
              <w:rPr>
                <w:b/>
                <w:sz w:val="18"/>
              </w:rPr>
            </w:pPr>
            <w:r>
              <w:rPr>
                <w:b/>
                <w:sz w:val="18"/>
              </w:rPr>
              <w:t>$'000</w:t>
            </w:r>
          </w:p>
        </w:tc>
        <w:tc>
          <w:tcPr>
            <w:tcW w:w="1250" w:type="dxa"/>
            <w:tcBorders>
              <w:bottom w:val="single" w:sz="0" w:space="0" w:color="000000"/>
            </w:tcBorders>
          </w:tcPr>
          <w:p>
            <w:pPr>
              <w:pStyle w:val="TableParagraph"/>
              <w:spacing w:before="24"/>
              <w:ind w:left="291"/>
              <w:jc w:val="left"/>
              <w:rPr>
                <w:b/>
                <w:sz w:val="18"/>
              </w:rPr>
            </w:pPr>
            <w:r>
              <w:rPr>
                <w:b/>
                <w:sz w:val="18"/>
              </w:rPr>
              <w:t>$'000</w:t>
            </w:r>
          </w:p>
        </w:tc>
        <w:tc>
          <w:tcPr>
            <w:tcW w:w="1100" w:type="dxa"/>
            <w:tcBorders>
              <w:bottom w:val="single" w:sz="0" w:space="0" w:color="000000"/>
            </w:tcBorders>
          </w:tcPr>
          <w:p>
            <w:pPr>
              <w:pStyle w:val="TableParagraph"/>
              <w:spacing w:before="24"/>
              <w:ind w:left="252"/>
              <w:jc w:val="left"/>
              <w:rPr>
                <w:b/>
                <w:sz w:val="18"/>
              </w:rPr>
            </w:pPr>
            <w:r>
              <w:rPr>
                <w:b/>
                <w:sz w:val="18"/>
              </w:rPr>
              <w:t>$'000</w:t>
            </w:r>
          </w:p>
        </w:tc>
      </w:tr>
      <w:tr>
        <w:trPr>
          <w:trHeight w:val="285" w:hRule="exact"/>
        </w:trPr>
        <w:tc>
          <w:tcPr>
            <w:tcW w:w="5036" w:type="dxa"/>
          </w:tcPr>
          <w:p>
            <w:pPr>
              <w:pStyle w:val="TableParagraph"/>
              <w:spacing w:before="40"/>
              <w:ind w:left="62" w:right="141"/>
              <w:jc w:val="left"/>
              <w:rPr>
                <w:b/>
                <w:sz w:val="18"/>
              </w:rPr>
            </w:pPr>
            <w:r>
              <w:rPr>
                <w:b/>
                <w:sz w:val="18"/>
              </w:rPr>
              <w:t>Balance at 1 January 2015</w:t>
            </w:r>
          </w:p>
        </w:tc>
        <w:tc>
          <w:tcPr>
            <w:tcW w:w="1073" w:type="dxa"/>
          </w:tcPr>
          <w:p>
            <w:pPr/>
          </w:p>
        </w:tc>
        <w:tc>
          <w:tcPr>
            <w:tcW w:w="1491" w:type="dxa"/>
            <w:tcBorders>
              <w:top w:val="single" w:sz="0" w:space="0" w:color="000000"/>
            </w:tcBorders>
          </w:tcPr>
          <w:p>
            <w:pPr>
              <w:pStyle w:val="TableParagraph"/>
              <w:spacing w:before="38"/>
              <w:ind w:right="184"/>
              <w:rPr>
                <w:sz w:val="18"/>
              </w:rPr>
            </w:pPr>
            <w:r>
              <w:rPr>
                <w:w w:val="95"/>
                <w:sz w:val="18"/>
              </w:rPr>
              <w:t>571,082</w:t>
            </w:r>
          </w:p>
        </w:tc>
        <w:tc>
          <w:tcPr>
            <w:tcW w:w="1250" w:type="dxa"/>
            <w:tcBorders>
              <w:top w:val="single" w:sz="0" w:space="0" w:color="000000"/>
            </w:tcBorders>
          </w:tcPr>
          <w:p>
            <w:pPr>
              <w:pStyle w:val="TableParagraph"/>
              <w:spacing w:before="38"/>
              <w:ind w:right="210"/>
              <w:rPr>
                <w:sz w:val="18"/>
              </w:rPr>
            </w:pPr>
            <w:r>
              <w:rPr>
                <w:w w:val="95"/>
                <w:sz w:val="18"/>
              </w:rPr>
              <w:t>872,303</w:t>
            </w:r>
          </w:p>
        </w:tc>
        <w:tc>
          <w:tcPr>
            <w:tcW w:w="1100" w:type="dxa"/>
            <w:tcBorders>
              <w:top w:val="single" w:sz="0" w:space="0" w:color="000000"/>
            </w:tcBorders>
          </w:tcPr>
          <w:p>
            <w:pPr>
              <w:pStyle w:val="TableParagraph"/>
              <w:spacing w:before="38"/>
              <w:ind w:right="86"/>
              <w:rPr>
                <w:sz w:val="18"/>
              </w:rPr>
            </w:pPr>
            <w:r>
              <w:rPr>
                <w:w w:val="95"/>
                <w:sz w:val="18"/>
              </w:rPr>
              <w:t>1,443,385</w:t>
            </w:r>
          </w:p>
        </w:tc>
      </w:tr>
      <w:tr>
        <w:trPr>
          <w:trHeight w:val="264" w:hRule="exact"/>
        </w:trPr>
        <w:tc>
          <w:tcPr>
            <w:tcW w:w="5036" w:type="dxa"/>
          </w:tcPr>
          <w:p>
            <w:pPr>
              <w:pStyle w:val="TableParagraph"/>
              <w:spacing w:before="19"/>
              <w:ind w:left="62" w:right="141"/>
              <w:jc w:val="left"/>
              <w:rPr>
                <w:sz w:val="18"/>
              </w:rPr>
            </w:pPr>
            <w:r>
              <w:rPr>
                <w:sz w:val="18"/>
              </w:rPr>
              <w:t>Net result</w:t>
            </w:r>
          </w:p>
        </w:tc>
        <w:tc>
          <w:tcPr>
            <w:tcW w:w="1073" w:type="dxa"/>
          </w:tcPr>
          <w:p>
            <w:pPr>
              <w:pStyle w:val="TableParagraph"/>
              <w:spacing w:before="18"/>
              <w:ind w:right="138"/>
              <w:rPr>
                <w:sz w:val="18"/>
              </w:rPr>
            </w:pPr>
            <w:r>
              <w:rPr>
                <w:sz w:val="18"/>
              </w:rPr>
              <w:t>29(c)</w:t>
            </w:r>
          </w:p>
        </w:tc>
        <w:tc>
          <w:tcPr>
            <w:tcW w:w="1491" w:type="dxa"/>
          </w:tcPr>
          <w:p>
            <w:pPr>
              <w:pStyle w:val="TableParagraph"/>
              <w:spacing w:before="18"/>
              <w:ind w:right="185"/>
              <w:rPr>
                <w:sz w:val="18"/>
              </w:rPr>
            </w:pPr>
            <w:r>
              <w:rPr>
                <w:w w:val="99"/>
                <w:sz w:val="18"/>
              </w:rPr>
              <w:t>-</w:t>
            </w:r>
          </w:p>
        </w:tc>
        <w:tc>
          <w:tcPr>
            <w:tcW w:w="1250" w:type="dxa"/>
          </w:tcPr>
          <w:p>
            <w:pPr>
              <w:pStyle w:val="TableParagraph"/>
              <w:spacing w:before="18"/>
              <w:ind w:right="210"/>
              <w:rPr>
                <w:sz w:val="18"/>
              </w:rPr>
            </w:pPr>
            <w:r>
              <w:rPr>
                <w:w w:val="95"/>
                <w:sz w:val="18"/>
              </w:rPr>
              <w:t>43,006</w:t>
            </w:r>
          </w:p>
        </w:tc>
        <w:tc>
          <w:tcPr>
            <w:tcW w:w="1100" w:type="dxa"/>
          </w:tcPr>
          <w:p>
            <w:pPr>
              <w:pStyle w:val="TableParagraph"/>
              <w:spacing w:before="18"/>
              <w:ind w:right="86"/>
              <w:rPr>
                <w:sz w:val="18"/>
              </w:rPr>
            </w:pPr>
            <w:r>
              <w:rPr>
                <w:w w:val="95"/>
                <w:sz w:val="18"/>
              </w:rPr>
              <w:t>43,006</w:t>
            </w:r>
          </w:p>
        </w:tc>
      </w:tr>
      <w:tr>
        <w:trPr>
          <w:trHeight w:val="264" w:hRule="exact"/>
        </w:trPr>
        <w:tc>
          <w:tcPr>
            <w:tcW w:w="5036" w:type="dxa"/>
          </w:tcPr>
          <w:p>
            <w:pPr>
              <w:pStyle w:val="TableParagraph"/>
              <w:spacing w:before="19"/>
              <w:ind w:left="62" w:right="141"/>
              <w:jc w:val="left"/>
              <w:rPr>
                <w:sz w:val="18"/>
              </w:rPr>
            </w:pPr>
            <w:r>
              <w:rPr>
                <w:sz w:val="18"/>
              </w:rPr>
              <w:t>Gain on revaluation of property, plant and equipment</w:t>
            </w:r>
          </w:p>
        </w:tc>
        <w:tc>
          <w:tcPr>
            <w:tcW w:w="1073" w:type="dxa"/>
          </w:tcPr>
          <w:p>
            <w:pPr>
              <w:pStyle w:val="TableParagraph"/>
              <w:spacing w:before="18"/>
              <w:ind w:right="129"/>
              <w:rPr>
                <w:sz w:val="18"/>
              </w:rPr>
            </w:pPr>
            <w:r>
              <w:rPr>
                <w:sz w:val="18"/>
              </w:rPr>
              <w:t>29(b)</w:t>
            </w:r>
          </w:p>
        </w:tc>
        <w:tc>
          <w:tcPr>
            <w:tcW w:w="1491" w:type="dxa"/>
          </w:tcPr>
          <w:p>
            <w:pPr>
              <w:pStyle w:val="TableParagraph"/>
              <w:spacing w:before="18"/>
              <w:ind w:right="184"/>
              <w:rPr>
                <w:sz w:val="18"/>
              </w:rPr>
            </w:pPr>
            <w:r>
              <w:rPr>
                <w:w w:val="95"/>
                <w:sz w:val="18"/>
              </w:rPr>
              <w:t>110,168</w:t>
            </w:r>
          </w:p>
        </w:tc>
        <w:tc>
          <w:tcPr>
            <w:tcW w:w="1250" w:type="dxa"/>
          </w:tcPr>
          <w:p>
            <w:pPr>
              <w:pStyle w:val="TableParagraph"/>
              <w:spacing w:before="18"/>
              <w:ind w:right="211"/>
              <w:rPr>
                <w:sz w:val="18"/>
              </w:rPr>
            </w:pPr>
            <w:r>
              <w:rPr>
                <w:w w:val="99"/>
                <w:sz w:val="18"/>
              </w:rPr>
              <w:t>-</w:t>
            </w:r>
          </w:p>
        </w:tc>
        <w:tc>
          <w:tcPr>
            <w:tcW w:w="1100" w:type="dxa"/>
          </w:tcPr>
          <w:p>
            <w:pPr>
              <w:pStyle w:val="TableParagraph"/>
              <w:spacing w:before="18"/>
              <w:ind w:right="86"/>
              <w:rPr>
                <w:sz w:val="18"/>
              </w:rPr>
            </w:pPr>
            <w:r>
              <w:rPr>
                <w:w w:val="95"/>
                <w:sz w:val="18"/>
              </w:rPr>
              <w:t>110,168</w:t>
            </w:r>
          </w:p>
        </w:tc>
      </w:tr>
      <w:tr>
        <w:trPr>
          <w:trHeight w:val="264" w:hRule="exact"/>
        </w:trPr>
        <w:tc>
          <w:tcPr>
            <w:tcW w:w="5036" w:type="dxa"/>
          </w:tcPr>
          <w:p>
            <w:pPr>
              <w:pStyle w:val="TableParagraph"/>
              <w:spacing w:before="19"/>
              <w:ind w:left="62" w:right="141"/>
              <w:jc w:val="left"/>
              <w:rPr>
                <w:sz w:val="18"/>
              </w:rPr>
            </w:pPr>
            <w:r>
              <w:rPr>
                <w:sz w:val="18"/>
              </w:rPr>
              <w:t>Gain on revaluation of available-for-sale financial assets</w:t>
            </w:r>
          </w:p>
        </w:tc>
        <w:tc>
          <w:tcPr>
            <w:tcW w:w="1073" w:type="dxa"/>
          </w:tcPr>
          <w:p>
            <w:pPr>
              <w:pStyle w:val="TableParagraph"/>
              <w:spacing w:before="18"/>
              <w:ind w:right="129"/>
              <w:rPr>
                <w:sz w:val="18"/>
              </w:rPr>
            </w:pPr>
            <w:r>
              <w:rPr>
                <w:sz w:val="18"/>
              </w:rPr>
              <w:t>29(b)</w:t>
            </w:r>
          </w:p>
        </w:tc>
        <w:tc>
          <w:tcPr>
            <w:tcW w:w="1491" w:type="dxa"/>
          </w:tcPr>
          <w:p>
            <w:pPr>
              <w:pStyle w:val="TableParagraph"/>
              <w:spacing w:before="18"/>
              <w:ind w:right="185"/>
              <w:rPr>
                <w:sz w:val="18"/>
              </w:rPr>
            </w:pPr>
            <w:r>
              <w:rPr>
                <w:sz w:val="18"/>
              </w:rPr>
              <w:t>855</w:t>
            </w:r>
          </w:p>
        </w:tc>
        <w:tc>
          <w:tcPr>
            <w:tcW w:w="1250" w:type="dxa"/>
          </w:tcPr>
          <w:p>
            <w:pPr>
              <w:pStyle w:val="TableParagraph"/>
              <w:spacing w:before="18"/>
              <w:ind w:right="211"/>
              <w:rPr>
                <w:sz w:val="18"/>
              </w:rPr>
            </w:pPr>
            <w:r>
              <w:rPr>
                <w:w w:val="99"/>
                <w:sz w:val="18"/>
              </w:rPr>
              <w:t>-</w:t>
            </w:r>
          </w:p>
        </w:tc>
        <w:tc>
          <w:tcPr>
            <w:tcW w:w="1100" w:type="dxa"/>
          </w:tcPr>
          <w:p>
            <w:pPr>
              <w:pStyle w:val="TableParagraph"/>
              <w:spacing w:before="18"/>
              <w:ind w:right="86"/>
              <w:rPr>
                <w:sz w:val="18"/>
              </w:rPr>
            </w:pPr>
            <w:r>
              <w:rPr>
                <w:sz w:val="18"/>
              </w:rPr>
              <w:t>855</w:t>
            </w:r>
          </w:p>
        </w:tc>
      </w:tr>
      <w:tr>
        <w:trPr>
          <w:trHeight w:val="263" w:hRule="exact"/>
        </w:trPr>
        <w:tc>
          <w:tcPr>
            <w:tcW w:w="5036" w:type="dxa"/>
          </w:tcPr>
          <w:p>
            <w:pPr>
              <w:pStyle w:val="TableParagraph"/>
              <w:spacing w:before="19"/>
              <w:ind w:left="62" w:right="141"/>
              <w:jc w:val="left"/>
              <w:rPr>
                <w:sz w:val="18"/>
              </w:rPr>
            </w:pPr>
            <w:r>
              <w:rPr>
                <w:sz w:val="18"/>
              </w:rPr>
              <w:t>Gain on revaluation of livestock</w:t>
            </w:r>
          </w:p>
        </w:tc>
        <w:tc>
          <w:tcPr>
            <w:tcW w:w="1073" w:type="dxa"/>
          </w:tcPr>
          <w:p>
            <w:pPr>
              <w:pStyle w:val="TableParagraph"/>
              <w:spacing w:before="18"/>
              <w:ind w:right="129"/>
              <w:rPr>
                <w:sz w:val="18"/>
              </w:rPr>
            </w:pPr>
            <w:r>
              <w:rPr>
                <w:sz w:val="18"/>
              </w:rPr>
              <w:t>29(b)</w:t>
            </w:r>
          </w:p>
        </w:tc>
        <w:tc>
          <w:tcPr>
            <w:tcW w:w="1491" w:type="dxa"/>
          </w:tcPr>
          <w:p>
            <w:pPr>
              <w:pStyle w:val="TableParagraph"/>
              <w:spacing w:before="18"/>
              <w:ind w:right="185"/>
              <w:rPr>
                <w:sz w:val="18"/>
              </w:rPr>
            </w:pPr>
            <w:r>
              <w:rPr>
                <w:sz w:val="18"/>
              </w:rPr>
              <w:t>46</w:t>
            </w:r>
          </w:p>
        </w:tc>
        <w:tc>
          <w:tcPr>
            <w:tcW w:w="1250" w:type="dxa"/>
          </w:tcPr>
          <w:p>
            <w:pPr>
              <w:pStyle w:val="TableParagraph"/>
              <w:spacing w:before="18"/>
              <w:ind w:right="211"/>
              <w:rPr>
                <w:sz w:val="18"/>
              </w:rPr>
            </w:pPr>
            <w:r>
              <w:rPr>
                <w:w w:val="99"/>
                <w:sz w:val="18"/>
              </w:rPr>
              <w:t>-</w:t>
            </w:r>
          </w:p>
        </w:tc>
        <w:tc>
          <w:tcPr>
            <w:tcW w:w="1100" w:type="dxa"/>
          </w:tcPr>
          <w:p>
            <w:pPr>
              <w:pStyle w:val="TableParagraph"/>
              <w:spacing w:before="18"/>
              <w:ind w:right="86"/>
              <w:rPr>
                <w:sz w:val="18"/>
              </w:rPr>
            </w:pPr>
            <w:r>
              <w:rPr>
                <w:sz w:val="18"/>
              </w:rPr>
              <w:t>46</w:t>
            </w:r>
          </w:p>
        </w:tc>
      </w:tr>
      <w:tr>
        <w:trPr>
          <w:trHeight w:val="469" w:hRule="exact"/>
        </w:trPr>
        <w:tc>
          <w:tcPr>
            <w:tcW w:w="5036" w:type="dxa"/>
          </w:tcPr>
          <w:p>
            <w:pPr>
              <w:pStyle w:val="TableParagraph"/>
              <w:spacing w:before="18"/>
              <w:ind w:left="62" w:right="141"/>
              <w:jc w:val="left"/>
              <w:rPr>
                <w:sz w:val="18"/>
              </w:rPr>
            </w:pPr>
            <w:r>
              <w:rPr>
                <w:sz w:val="18"/>
              </w:rPr>
              <w:t>Net actuarial gains / (losses) recognised in respect of Defined Benefit Plans</w:t>
            </w:r>
          </w:p>
        </w:tc>
        <w:tc>
          <w:tcPr>
            <w:tcW w:w="1073" w:type="dxa"/>
          </w:tcPr>
          <w:p>
            <w:pPr>
              <w:pStyle w:val="TableParagraph"/>
              <w:spacing w:before="19"/>
              <w:ind w:right="129"/>
              <w:rPr>
                <w:sz w:val="18"/>
              </w:rPr>
            </w:pPr>
            <w:r>
              <w:rPr>
                <w:sz w:val="18"/>
              </w:rPr>
              <w:t>29(b)</w:t>
            </w:r>
          </w:p>
        </w:tc>
        <w:tc>
          <w:tcPr>
            <w:tcW w:w="1491" w:type="dxa"/>
          </w:tcPr>
          <w:p>
            <w:pPr>
              <w:pStyle w:val="TableParagraph"/>
              <w:spacing w:before="4"/>
              <w:jc w:val="left"/>
              <w:rPr>
                <w:rFonts w:ascii="Times New Roman"/>
                <w:sz w:val="19"/>
              </w:rPr>
            </w:pPr>
          </w:p>
          <w:p>
            <w:pPr>
              <w:pStyle w:val="TableParagraph"/>
              <w:ind w:right="125"/>
              <w:rPr>
                <w:sz w:val="18"/>
              </w:rPr>
            </w:pPr>
            <w:r>
              <w:rPr>
                <w:sz w:val="18"/>
              </w:rPr>
              <w:t>(280)</w:t>
            </w:r>
          </w:p>
        </w:tc>
        <w:tc>
          <w:tcPr>
            <w:tcW w:w="1250" w:type="dxa"/>
          </w:tcPr>
          <w:p>
            <w:pPr>
              <w:pStyle w:val="TableParagraph"/>
              <w:spacing w:before="4"/>
              <w:jc w:val="left"/>
              <w:rPr>
                <w:rFonts w:ascii="Times New Roman"/>
                <w:sz w:val="19"/>
              </w:rPr>
            </w:pPr>
          </w:p>
          <w:p>
            <w:pPr>
              <w:pStyle w:val="TableParagraph"/>
              <w:ind w:right="211"/>
              <w:rPr>
                <w:sz w:val="18"/>
              </w:rPr>
            </w:pPr>
            <w:r>
              <w:rPr>
                <w:w w:val="99"/>
                <w:sz w:val="18"/>
              </w:rPr>
              <w:t>-</w:t>
            </w:r>
          </w:p>
        </w:tc>
        <w:tc>
          <w:tcPr>
            <w:tcW w:w="1100" w:type="dxa"/>
          </w:tcPr>
          <w:p>
            <w:pPr>
              <w:pStyle w:val="TableParagraph"/>
              <w:spacing w:before="4"/>
              <w:jc w:val="left"/>
              <w:rPr>
                <w:rFonts w:ascii="Times New Roman"/>
                <w:sz w:val="19"/>
              </w:rPr>
            </w:pPr>
          </w:p>
          <w:p>
            <w:pPr>
              <w:pStyle w:val="TableParagraph"/>
              <w:ind w:right="27"/>
              <w:rPr>
                <w:sz w:val="18"/>
              </w:rPr>
            </w:pPr>
            <w:r>
              <w:rPr>
                <w:sz w:val="18"/>
              </w:rPr>
              <w:t>(280)</w:t>
            </w:r>
          </w:p>
        </w:tc>
      </w:tr>
      <w:tr>
        <w:trPr>
          <w:trHeight w:val="262" w:hRule="exact"/>
        </w:trPr>
        <w:tc>
          <w:tcPr>
            <w:tcW w:w="5036" w:type="dxa"/>
          </w:tcPr>
          <w:p>
            <w:pPr>
              <w:pStyle w:val="TableParagraph"/>
              <w:spacing w:before="19"/>
              <w:ind w:left="62" w:right="141"/>
              <w:jc w:val="left"/>
              <w:rPr>
                <w:sz w:val="18"/>
              </w:rPr>
            </w:pPr>
            <w:r>
              <w:rPr>
                <w:sz w:val="18"/>
              </w:rPr>
              <w:t>Gain on revaluation of licenses</w:t>
            </w:r>
          </w:p>
        </w:tc>
        <w:tc>
          <w:tcPr>
            <w:tcW w:w="1073" w:type="dxa"/>
          </w:tcPr>
          <w:p>
            <w:pPr>
              <w:pStyle w:val="TableParagraph"/>
              <w:spacing w:before="18"/>
              <w:ind w:right="129"/>
              <w:rPr>
                <w:sz w:val="18"/>
              </w:rPr>
            </w:pPr>
            <w:r>
              <w:rPr>
                <w:sz w:val="18"/>
              </w:rPr>
              <w:t>29(b)</w:t>
            </w:r>
          </w:p>
        </w:tc>
        <w:tc>
          <w:tcPr>
            <w:tcW w:w="1491" w:type="dxa"/>
            <w:tcBorders>
              <w:bottom w:val="single" w:sz="0" w:space="0" w:color="000000"/>
            </w:tcBorders>
          </w:tcPr>
          <w:p>
            <w:pPr>
              <w:pStyle w:val="TableParagraph"/>
              <w:spacing w:before="18"/>
              <w:ind w:right="185"/>
              <w:rPr>
                <w:sz w:val="18"/>
              </w:rPr>
            </w:pPr>
            <w:r>
              <w:rPr>
                <w:sz w:val="18"/>
              </w:rPr>
              <w:t>250</w:t>
            </w:r>
          </w:p>
        </w:tc>
        <w:tc>
          <w:tcPr>
            <w:tcW w:w="1250" w:type="dxa"/>
            <w:tcBorders>
              <w:bottom w:val="single" w:sz="0" w:space="0" w:color="000000"/>
            </w:tcBorders>
          </w:tcPr>
          <w:p>
            <w:pPr>
              <w:pStyle w:val="TableParagraph"/>
              <w:spacing w:before="18"/>
              <w:ind w:right="211"/>
              <w:rPr>
                <w:sz w:val="18"/>
              </w:rPr>
            </w:pPr>
            <w:r>
              <w:rPr>
                <w:w w:val="99"/>
                <w:sz w:val="18"/>
              </w:rPr>
              <w:t>-</w:t>
            </w:r>
          </w:p>
        </w:tc>
        <w:tc>
          <w:tcPr>
            <w:tcW w:w="1100" w:type="dxa"/>
            <w:tcBorders>
              <w:bottom w:val="single" w:sz="0" w:space="0" w:color="000000"/>
            </w:tcBorders>
          </w:tcPr>
          <w:p>
            <w:pPr>
              <w:pStyle w:val="TableParagraph"/>
              <w:spacing w:before="18"/>
              <w:ind w:right="86"/>
              <w:rPr>
                <w:sz w:val="18"/>
              </w:rPr>
            </w:pPr>
            <w:r>
              <w:rPr>
                <w:sz w:val="18"/>
              </w:rPr>
              <w:t>250</w:t>
            </w:r>
          </w:p>
        </w:tc>
      </w:tr>
      <w:tr>
        <w:trPr>
          <w:trHeight w:val="338" w:hRule="exact"/>
        </w:trPr>
        <w:tc>
          <w:tcPr>
            <w:tcW w:w="5036" w:type="dxa"/>
          </w:tcPr>
          <w:p>
            <w:pPr>
              <w:pStyle w:val="TableParagraph"/>
              <w:spacing w:before="123"/>
              <w:ind w:left="62" w:right="141"/>
              <w:jc w:val="left"/>
              <w:rPr>
                <w:b/>
                <w:sz w:val="18"/>
              </w:rPr>
            </w:pPr>
            <w:r>
              <w:rPr>
                <w:b/>
                <w:sz w:val="18"/>
              </w:rPr>
              <w:t>Total comprehensive income</w:t>
            </w:r>
          </w:p>
        </w:tc>
        <w:tc>
          <w:tcPr>
            <w:tcW w:w="1073" w:type="dxa"/>
          </w:tcPr>
          <w:p>
            <w:pPr/>
          </w:p>
        </w:tc>
        <w:tc>
          <w:tcPr>
            <w:tcW w:w="1491" w:type="dxa"/>
            <w:tcBorders>
              <w:top w:val="single" w:sz="0" w:space="0" w:color="000000"/>
              <w:bottom w:val="single" w:sz="0" w:space="0" w:color="000000"/>
            </w:tcBorders>
          </w:tcPr>
          <w:p>
            <w:pPr>
              <w:pStyle w:val="TableParagraph"/>
              <w:spacing w:before="122"/>
              <w:ind w:right="184"/>
              <w:rPr>
                <w:sz w:val="18"/>
              </w:rPr>
            </w:pPr>
            <w:r>
              <w:rPr>
                <w:w w:val="95"/>
                <w:sz w:val="18"/>
              </w:rPr>
              <w:t>682,121</w:t>
            </w:r>
          </w:p>
        </w:tc>
        <w:tc>
          <w:tcPr>
            <w:tcW w:w="1250" w:type="dxa"/>
            <w:tcBorders>
              <w:top w:val="single" w:sz="0" w:space="0" w:color="000000"/>
              <w:bottom w:val="single" w:sz="0" w:space="0" w:color="000000"/>
            </w:tcBorders>
          </w:tcPr>
          <w:p>
            <w:pPr>
              <w:pStyle w:val="TableParagraph"/>
              <w:spacing w:before="122"/>
              <w:ind w:right="210"/>
              <w:rPr>
                <w:sz w:val="18"/>
              </w:rPr>
            </w:pPr>
            <w:r>
              <w:rPr>
                <w:w w:val="95"/>
                <w:sz w:val="18"/>
              </w:rPr>
              <w:t>915,309</w:t>
            </w:r>
          </w:p>
        </w:tc>
        <w:tc>
          <w:tcPr>
            <w:tcW w:w="1100" w:type="dxa"/>
            <w:tcBorders>
              <w:top w:val="single" w:sz="0" w:space="0" w:color="000000"/>
              <w:bottom w:val="single" w:sz="0" w:space="0" w:color="000000"/>
            </w:tcBorders>
          </w:tcPr>
          <w:p>
            <w:pPr>
              <w:pStyle w:val="TableParagraph"/>
              <w:spacing w:before="122"/>
              <w:ind w:right="86"/>
              <w:rPr>
                <w:sz w:val="18"/>
              </w:rPr>
            </w:pPr>
            <w:r>
              <w:rPr>
                <w:w w:val="95"/>
                <w:sz w:val="18"/>
              </w:rPr>
              <w:t>1,597,430</w:t>
            </w:r>
          </w:p>
        </w:tc>
      </w:tr>
      <w:tr>
        <w:trPr>
          <w:trHeight w:val="487" w:hRule="exact"/>
        </w:trPr>
        <w:tc>
          <w:tcPr>
            <w:tcW w:w="5036" w:type="dxa"/>
          </w:tcPr>
          <w:p>
            <w:pPr>
              <w:pStyle w:val="TableParagraph"/>
              <w:spacing w:before="38"/>
              <w:ind w:left="62" w:right="141"/>
              <w:jc w:val="left"/>
              <w:rPr>
                <w:sz w:val="18"/>
              </w:rPr>
            </w:pPr>
            <w:r>
              <w:rPr>
                <w:sz w:val="18"/>
              </w:rPr>
              <w:t>Transfer from property plant and equipment reserve on disposal of assets</w:t>
            </w:r>
          </w:p>
        </w:tc>
        <w:tc>
          <w:tcPr>
            <w:tcW w:w="1073" w:type="dxa"/>
          </w:tcPr>
          <w:p>
            <w:pPr>
              <w:pStyle w:val="TableParagraph"/>
              <w:spacing w:before="39"/>
              <w:ind w:right="138"/>
              <w:rPr>
                <w:sz w:val="18"/>
              </w:rPr>
            </w:pPr>
            <w:r>
              <w:rPr>
                <w:sz w:val="18"/>
              </w:rPr>
              <w:t>29(c)</w:t>
            </w:r>
          </w:p>
        </w:tc>
        <w:tc>
          <w:tcPr>
            <w:tcW w:w="1491" w:type="dxa"/>
            <w:tcBorders>
              <w:top w:val="single" w:sz="0" w:space="0" w:color="000000"/>
              <w:bottom w:val="single" w:sz="0" w:space="0" w:color="000000"/>
            </w:tcBorders>
          </w:tcPr>
          <w:p>
            <w:pPr>
              <w:pStyle w:val="TableParagraph"/>
              <w:spacing w:before="1"/>
              <w:jc w:val="left"/>
              <w:rPr>
                <w:rFonts w:ascii="Times New Roman"/>
                <w:sz w:val="21"/>
              </w:rPr>
            </w:pPr>
          </w:p>
          <w:p>
            <w:pPr>
              <w:pStyle w:val="TableParagraph"/>
              <w:ind w:right="125"/>
              <w:rPr>
                <w:sz w:val="18"/>
              </w:rPr>
            </w:pPr>
            <w:r>
              <w:rPr>
                <w:w w:val="95"/>
                <w:sz w:val="18"/>
              </w:rPr>
              <w:t>(1,835)</w:t>
            </w:r>
          </w:p>
        </w:tc>
        <w:tc>
          <w:tcPr>
            <w:tcW w:w="1250" w:type="dxa"/>
            <w:tcBorders>
              <w:top w:val="single" w:sz="0" w:space="0" w:color="000000"/>
              <w:bottom w:val="single" w:sz="0" w:space="0" w:color="000000"/>
            </w:tcBorders>
          </w:tcPr>
          <w:p>
            <w:pPr>
              <w:pStyle w:val="TableParagraph"/>
              <w:spacing w:before="1"/>
              <w:jc w:val="left"/>
              <w:rPr>
                <w:rFonts w:ascii="Times New Roman"/>
                <w:sz w:val="21"/>
              </w:rPr>
            </w:pPr>
          </w:p>
          <w:p>
            <w:pPr>
              <w:pStyle w:val="TableParagraph"/>
              <w:ind w:right="210"/>
              <w:rPr>
                <w:sz w:val="18"/>
              </w:rPr>
            </w:pPr>
            <w:r>
              <w:rPr>
                <w:sz w:val="18"/>
              </w:rPr>
              <w:t>1,835</w:t>
            </w:r>
          </w:p>
        </w:tc>
        <w:tc>
          <w:tcPr>
            <w:tcW w:w="1100" w:type="dxa"/>
            <w:tcBorders>
              <w:top w:val="single" w:sz="0" w:space="0" w:color="000000"/>
              <w:bottom w:val="single" w:sz="0" w:space="0" w:color="000000"/>
            </w:tcBorders>
          </w:tcPr>
          <w:p>
            <w:pPr>
              <w:pStyle w:val="TableParagraph"/>
              <w:spacing w:before="1"/>
              <w:jc w:val="left"/>
              <w:rPr>
                <w:rFonts w:ascii="Times New Roman"/>
                <w:sz w:val="21"/>
              </w:rPr>
            </w:pPr>
          </w:p>
          <w:p>
            <w:pPr>
              <w:pStyle w:val="TableParagraph"/>
              <w:ind w:right="86"/>
              <w:rPr>
                <w:sz w:val="18"/>
              </w:rPr>
            </w:pPr>
            <w:r>
              <w:rPr>
                <w:w w:val="99"/>
                <w:sz w:val="18"/>
              </w:rPr>
              <w:t>-</w:t>
            </w:r>
          </w:p>
        </w:tc>
      </w:tr>
      <w:tr>
        <w:trPr>
          <w:trHeight w:val="326" w:hRule="exact"/>
        </w:trPr>
        <w:tc>
          <w:tcPr>
            <w:tcW w:w="5036" w:type="dxa"/>
          </w:tcPr>
          <w:p>
            <w:pPr>
              <w:pStyle w:val="TableParagraph"/>
              <w:spacing w:before="123"/>
              <w:ind w:left="62" w:right="141"/>
              <w:jc w:val="left"/>
              <w:rPr>
                <w:b/>
                <w:sz w:val="18"/>
              </w:rPr>
            </w:pPr>
            <w:r>
              <w:rPr>
                <w:b/>
                <w:sz w:val="18"/>
              </w:rPr>
              <w:t>Balance at 31 December 2015</w:t>
            </w:r>
          </w:p>
        </w:tc>
        <w:tc>
          <w:tcPr>
            <w:tcW w:w="1073" w:type="dxa"/>
          </w:tcPr>
          <w:p>
            <w:pPr/>
          </w:p>
        </w:tc>
        <w:tc>
          <w:tcPr>
            <w:tcW w:w="1491" w:type="dxa"/>
            <w:tcBorders>
              <w:top w:val="single" w:sz="0" w:space="0" w:color="000000"/>
            </w:tcBorders>
          </w:tcPr>
          <w:p>
            <w:pPr>
              <w:pStyle w:val="TableParagraph"/>
              <w:spacing w:before="122"/>
              <w:ind w:right="184"/>
              <w:rPr>
                <w:sz w:val="18"/>
              </w:rPr>
            </w:pPr>
            <w:r>
              <w:rPr>
                <w:w w:val="95"/>
                <w:sz w:val="18"/>
              </w:rPr>
              <w:t>680,286</w:t>
            </w:r>
          </w:p>
        </w:tc>
        <w:tc>
          <w:tcPr>
            <w:tcW w:w="1250" w:type="dxa"/>
            <w:tcBorders>
              <w:top w:val="single" w:sz="0" w:space="0" w:color="000000"/>
            </w:tcBorders>
          </w:tcPr>
          <w:p>
            <w:pPr>
              <w:pStyle w:val="TableParagraph"/>
              <w:spacing w:before="122"/>
              <w:ind w:right="210"/>
              <w:rPr>
                <w:sz w:val="18"/>
              </w:rPr>
            </w:pPr>
            <w:r>
              <w:rPr>
                <w:w w:val="95"/>
                <w:sz w:val="18"/>
              </w:rPr>
              <w:t>917,144</w:t>
            </w:r>
          </w:p>
        </w:tc>
        <w:tc>
          <w:tcPr>
            <w:tcW w:w="1100" w:type="dxa"/>
            <w:tcBorders>
              <w:top w:val="single" w:sz="0" w:space="0" w:color="000000"/>
            </w:tcBorders>
          </w:tcPr>
          <w:p>
            <w:pPr>
              <w:pStyle w:val="TableParagraph"/>
              <w:spacing w:before="122"/>
              <w:ind w:right="86"/>
              <w:rPr>
                <w:sz w:val="18"/>
              </w:rPr>
            </w:pPr>
            <w:r>
              <w:rPr>
                <w:w w:val="95"/>
                <w:sz w:val="18"/>
              </w:rPr>
              <w:t>1,597,430</w:t>
            </w:r>
          </w:p>
        </w:tc>
      </w:tr>
    </w:tbl>
    <w:p>
      <w:pPr>
        <w:spacing w:after="0"/>
        <w:rPr>
          <w:sz w:val="18"/>
        </w:rPr>
        <w:sectPr>
          <w:footerReference w:type="default" r:id="rId33"/>
          <w:pgSz w:w="12750" w:h="17680"/>
          <w:pgMar w:footer="5025" w:header="0" w:top="420" w:bottom="5220" w:left="0" w:right="0"/>
          <w:pgNumType w:start="11"/>
        </w:sectPr>
      </w:pPr>
    </w:p>
    <w:p>
      <w:pPr>
        <w:pStyle w:val="BodyText"/>
        <w:spacing w:before="5"/>
        <w:rPr>
          <w:rFonts w:ascii="Times New Roman"/>
          <w:sz w:val="3"/>
        </w:rPr>
      </w:pPr>
    </w:p>
    <w:tbl>
      <w:tblPr>
        <w:tblW w:w="0" w:type="auto"/>
        <w:jc w:val="left"/>
        <w:tblInd w:w="142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009"/>
        <w:gridCol w:w="1073"/>
        <w:gridCol w:w="1574"/>
        <w:gridCol w:w="1168"/>
        <w:gridCol w:w="1100"/>
      </w:tblGrid>
      <w:tr>
        <w:trPr>
          <w:trHeight w:val="279" w:hRule="exact"/>
        </w:trPr>
        <w:tc>
          <w:tcPr>
            <w:tcW w:w="5009" w:type="dxa"/>
          </w:tcPr>
          <w:p>
            <w:pPr/>
          </w:p>
        </w:tc>
        <w:tc>
          <w:tcPr>
            <w:tcW w:w="1073" w:type="dxa"/>
          </w:tcPr>
          <w:p>
            <w:pPr>
              <w:pStyle w:val="TableParagraph"/>
              <w:spacing w:before="30"/>
              <w:ind w:right="37"/>
              <w:rPr>
                <w:b/>
                <w:sz w:val="18"/>
              </w:rPr>
            </w:pPr>
            <w:r>
              <w:rPr>
                <w:b/>
                <w:sz w:val="18"/>
              </w:rPr>
              <w:t>Notes</w:t>
            </w:r>
          </w:p>
        </w:tc>
        <w:tc>
          <w:tcPr>
            <w:tcW w:w="1574" w:type="dxa"/>
            <w:tcBorders>
              <w:bottom w:val="single" w:sz="0" w:space="0" w:color="000000"/>
            </w:tcBorders>
          </w:tcPr>
          <w:p>
            <w:pPr>
              <w:pStyle w:val="TableParagraph"/>
              <w:spacing w:before="30"/>
              <w:ind w:left="539" w:right="550"/>
              <w:jc w:val="center"/>
              <w:rPr>
                <w:b/>
                <w:sz w:val="18"/>
              </w:rPr>
            </w:pPr>
            <w:r>
              <w:rPr>
                <w:b/>
                <w:sz w:val="18"/>
              </w:rPr>
              <w:t>$'000</w:t>
            </w:r>
          </w:p>
        </w:tc>
        <w:tc>
          <w:tcPr>
            <w:tcW w:w="1168" w:type="dxa"/>
            <w:tcBorders>
              <w:bottom w:val="single" w:sz="0" w:space="0" w:color="000000"/>
            </w:tcBorders>
          </w:tcPr>
          <w:p>
            <w:pPr>
              <w:pStyle w:val="TableParagraph"/>
              <w:spacing w:before="30"/>
              <w:ind w:left="209"/>
              <w:jc w:val="left"/>
              <w:rPr>
                <w:b/>
                <w:sz w:val="18"/>
              </w:rPr>
            </w:pPr>
            <w:r>
              <w:rPr>
                <w:b/>
                <w:sz w:val="18"/>
              </w:rPr>
              <w:t>$'000</w:t>
            </w:r>
          </w:p>
        </w:tc>
        <w:tc>
          <w:tcPr>
            <w:tcW w:w="1100" w:type="dxa"/>
            <w:tcBorders>
              <w:bottom w:val="single" w:sz="0" w:space="0" w:color="000000"/>
            </w:tcBorders>
          </w:tcPr>
          <w:p>
            <w:pPr>
              <w:pStyle w:val="TableParagraph"/>
              <w:spacing w:before="30"/>
              <w:ind w:left="252"/>
              <w:jc w:val="left"/>
              <w:rPr>
                <w:b/>
                <w:sz w:val="18"/>
              </w:rPr>
            </w:pPr>
            <w:r>
              <w:rPr>
                <w:b/>
                <w:sz w:val="18"/>
              </w:rPr>
              <w:t>$'000</w:t>
            </w:r>
          </w:p>
        </w:tc>
      </w:tr>
      <w:tr>
        <w:trPr>
          <w:trHeight w:val="285" w:hRule="exact"/>
        </w:trPr>
        <w:tc>
          <w:tcPr>
            <w:tcW w:w="5009" w:type="dxa"/>
          </w:tcPr>
          <w:p>
            <w:pPr>
              <w:pStyle w:val="TableParagraph"/>
              <w:spacing w:before="40"/>
              <w:ind w:left="35" w:right="141"/>
              <w:jc w:val="left"/>
              <w:rPr>
                <w:b/>
                <w:sz w:val="18"/>
              </w:rPr>
            </w:pPr>
            <w:r>
              <w:rPr>
                <w:b/>
                <w:sz w:val="18"/>
              </w:rPr>
              <w:t>Balance at 1 January 2016</w:t>
            </w:r>
          </w:p>
        </w:tc>
        <w:tc>
          <w:tcPr>
            <w:tcW w:w="1073" w:type="dxa"/>
          </w:tcPr>
          <w:p>
            <w:pPr/>
          </w:p>
        </w:tc>
        <w:tc>
          <w:tcPr>
            <w:tcW w:w="1574" w:type="dxa"/>
            <w:tcBorders>
              <w:top w:val="single" w:sz="0" w:space="0" w:color="000000"/>
            </w:tcBorders>
          </w:tcPr>
          <w:p>
            <w:pPr>
              <w:pStyle w:val="TableParagraph"/>
              <w:spacing w:before="38"/>
              <w:ind w:right="267"/>
              <w:rPr>
                <w:b/>
                <w:sz w:val="18"/>
              </w:rPr>
            </w:pPr>
            <w:r>
              <w:rPr>
                <w:b/>
                <w:w w:val="95"/>
                <w:sz w:val="18"/>
              </w:rPr>
              <w:t>684,514</w:t>
            </w:r>
          </w:p>
        </w:tc>
        <w:tc>
          <w:tcPr>
            <w:tcW w:w="1168" w:type="dxa"/>
            <w:tcBorders>
              <w:top w:val="single" w:sz="0" w:space="0" w:color="000000"/>
            </w:tcBorders>
          </w:tcPr>
          <w:p>
            <w:pPr>
              <w:pStyle w:val="TableParagraph"/>
              <w:spacing w:before="38"/>
              <w:ind w:right="210"/>
              <w:rPr>
                <w:b/>
                <w:sz w:val="18"/>
              </w:rPr>
            </w:pPr>
            <w:r>
              <w:rPr>
                <w:b/>
                <w:w w:val="95"/>
                <w:sz w:val="18"/>
              </w:rPr>
              <w:t>922,839</w:t>
            </w:r>
          </w:p>
        </w:tc>
        <w:tc>
          <w:tcPr>
            <w:tcW w:w="1100" w:type="dxa"/>
            <w:tcBorders>
              <w:top w:val="single" w:sz="0" w:space="0" w:color="000000"/>
            </w:tcBorders>
          </w:tcPr>
          <w:p>
            <w:pPr>
              <w:pStyle w:val="TableParagraph"/>
              <w:spacing w:before="38"/>
              <w:ind w:right="86"/>
              <w:rPr>
                <w:b/>
                <w:sz w:val="18"/>
              </w:rPr>
            </w:pPr>
            <w:r>
              <w:rPr>
                <w:b/>
                <w:w w:val="95"/>
                <w:sz w:val="18"/>
              </w:rPr>
              <w:t>1,607,353</w:t>
            </w:r>
          </w:p>
        </w:tc>
      </w:tr>
      <w:tr>
        <w:trPr>
          <w:trHeight w:val="264" w:hRule="exact"/>
        </w:trPr>
        <w:tc>
          <w:tcPr>
            <w:tcW w:w="5009" w:type="dxa"/>
          </w:tcPr>
          <w:p>
            <w:pPr>
              <w:pStyle w:val="TableParagraph"/>
              <w:spacing w:before="19"/>
              <w:ind w:left="35" w:right="141"/>
              <w:jc w:val="left"/>
              <w:rPr>
                <w:sz w:val="18"/>
              </w:rPr>
            </w:pPr>
            <w:r>
              <w:rPr>
                <w:sz w:val="18"/>
              </w:rPr>
              <w:t>Net result</w:t>
            </w:r>
          </w:p>
        </w:tc>
        <w:tc>
          <w:tcPr>
            <w:tcW w:w="1073" w:type="dxa"/>
          </w:tcPr>
          <w:p>
            <w:pPr>
              <w:pStyle w:val="TableParagraph"/>
              <w:spacing w:before="18"/>
              <w:ind w:right="138"/>
              <w:rPr>
                <w:sz w:val="18"/>
              </w:rPr>
            </w:pPr>
            <w:r>
              <w:rPr>
                <w:sz w:val="18"/>
              </w:rPr>
              <w:t>29(c)</w:t>
            </w:r>
          </w:p>
        </w:tc>
        <w:tc>
          <w:tcPr>
            <w:tcW w:w="1574" w:type="dxa"/>
          </w:tcPr>
          <w:p>
            <w:pPr>
              <w:pStyle w:val="TableParagraph"/>
              <w:spacing w:before="18"/>
              <w:ind w:right="267"/>
              <w:rPr>
                <w:b/>
                <w:sz w:val="18"/>
              </w:rPr>
            </w:pPr>
            <w:r>
              <w:rPr>
                <w:b/>
                <w:w w:val="99"/>
                <w:sz w:val="18"/>
              </w:rPr>
              <w:t>-</w:t>
            </w:r>
          </w:p>
        </w:tc>
        <w:tc>
          <w:tcPr>
            <w:tcW w:w="1168" w:type="dxa"/>
          </w:tcPr>
          <w:p>
            <w:pPr>
              <w:pStyle w:val="TableParagraph"/>
              <w:spacing w:before="18"/>
              <w:ind w:right="210"/>
              <w:rPr>
                <w:b/>
                <w:sz w:val="18"/>
              </w:rPr>
            </w:pPr>
            <w:r>
              <w:rPr>
                <w:b/>
                <w:w w:val="95"/>
                <w:sz w:val="18"/>
              </w:rPr>
              <w:t>34,837</w:t>
            </w:r>
          </w:p>
        </w:tc>
        <w:tc>
          <w:tcPr>
            <w:tcW w:w="1100" w:type="dxa"/>
          </w:tcPr>
          <w:p>
            <w:pPr>
              <w:pStyle w:val="TableParagraph"/>
              <w:spacing w:before="18"/>
              <w:ind w:right="86"/>
              <w:rPr>
                <w:b/>
                <w:sz w:val="18"/>
              </w:rPr>
            </w:pPr>
            <w:r>
              <w:rPr>
                <w:b/>
                <w:w w:val="95"/>
                <w:sz w:val="18"/>
              </w:rPr>
              <w:t>34,837</w:t>
            </w:r>
          </w:p>
        </w:tc>
      </w:tr>
      <w:tr>
        <w:trPr>
          <w:trHeight w:val="264" w:hRule="exact"/>
        </w:trPr>
        <w:tc>
          <w:tcPr>
            <w:tcW w:w="5009" w:type="dxa"/>
          </w:tcPr>
          <w:p>
            <w:pPr>
              <w:pStyle w:val="TableParagraph"/>
              <w:spacing w:before="19"/>
              <w:ind w:left="35" w:right="141"/>
              <w:jc w:val="left"/>
              <w:rPr>
                <w:sz w:val="18"/>
              </w:rPr>
            </w:pPr>
            <w:r>
              <w:rPr>
                <w:sz w:val="18"/>
              </w:rPr>
              <w:t>Gain on revaluation of property, plant and equipment</w:t>
            </w:r>
          </w:p>
        </w:tc>
        <w:tc>
          <w:tcPr>
            <w:tcW w:w="1073" w:type="dxa"/>
          </w:tcPr>
          <w:p>
            <w:pPr>
              <w:pStyle w:val="TableParagraph"/>
              <w:spacing w:before="18"/>
              <w:ind w:right="129"/>
              <w:rPr>
                <w:sz w:val="18"/>
              </w:rPr>
            </w:pPr>
            <w:r>
              <w:rPr>
                <w:sz w:val="18"/>
              </w:rPr>
              <w:t>29(b)</w:t>
            </w:r>
          </w:p>
        </w:tc>
        <w:tc>
          <w:tcPr>
            <w:tcW w:w="1574" w:type="dxa"/>
          </w:tcPr>
          <w:p>
            <w:pPr>
              <w:pStyle w:val="TableParagraph"/>
              <w:spacing w:before="18"/>
              <w:ind w:right="267"/>
              <w:rPr>
                <w:b/>
                <w:sz w:val="18"/>
              </w:rPr>
            </w:pPr>
            <w:r>
              <w:rPr>
                <w:b/>
                <w:w w:val="95"/>
                <w:sz w:val="18"/>
              </w:rPr>
              <w:t>18,900</w:t>
            </w:r>
          </w:p>
        </w:tc>
        <w:tc>
          <w:tcPr>
            <w:tcW w:w="1168" w:type="dxa"/>
          </w:tcPr>
          <w:p>
            <w:pPr>
              <w:pStyle w:val="TableParagraph"/>
              <w:spacing w:before="18"/>
              <w:ind w:right="211"/>
              <w:rPr>
                <w:b/>
                <w:sz w:val="18"/>
              </w:rPr>
            </w:pPr>
            <w:r>
              <w:rPr>
                <w:b/>
                <w:w w:val="99"/>
                <w:sz w:val="18"/>
              </w:rPr>
              <w:t>-</w:t>
            </w:r>
          </w:p>
        </w:tc>
        <w:tc>
          <w:tcPr>
            <w:tcW w:w="1100" w:type="dxa"/>
          </w:tcPr>
          <w:p>
            <w:pPr>
              <w:pStyle w:val="TableParagraph"/>
              <w:spacing w:before="18"/>
              <w:ind w:right="86"/>
              <w:rPr>
                <w:b/>
                <w:sz w:val="18"/>
              </w:rPr>
            </w:pPr>
            <w:r>
              <w:rPr>
                <w:b/>
                <w:w w:val="95"/>
                <w:sz w:val="18"/>
              </w:rPr>
              <w:t>18,900</w:t>
            </w:r>
          </w:p>
        </w:tc>
      </w:tr>
      <w:tr>
        <w:trPr>
          <w:trHeight w:val="264" w:hRule="exact"/>
        </w:trPr>
        <w:tc>
          <w:tcPr>
            <w:tcW w:w="5009" w:type="dxa"/>
          </w:tcPr>
          <w:p>
            <w:pPr>
              <w:pStyle w:val="TableParagraph"/>
              <w:spacing w:before="19"/>
              <w:ind w:left="35" w:right="141"/>
              <w:jc w:val="left"/>
              <w:rPr>
                <w:sz w:val="18"/>
              </w:rPr>
            </w:pPr>
            <w:r>
              <w:rPr>
                <w:sz w:val="18"/>
              </w:rPr>
              <w:t>Gain on revaluation of available-for-sale financial assets</w:t>
            </w:r>
          </w:p>
        </w:tc>
        <w:tc>
          <w:tcPr>
            <w:tcW w:w="1073" w:type="dxa"/>
          </w:tcPr>
          <w:p>
            <w:pPr>
              <w:pStyle w:val="TableParagraph"/>
              <w:spacing w:before="18"/>
              <w:ind w:right="129"/>
              <w:rPr>
                <w:sz w:val="18"/>
              </w:rPr>
            </w:pPr>
            <w:r>
              <w:rPr>
                <w:sz w:val="18"/>
              </w:rPr>
              <w:t>29(b)</w:t>
            </w:r>
          </w:p>
        </w:tc>
        <w:tc>
          <w:tcPr>
            <w:tcW w:w="1574" w:type="dxa"/>
          </w:tcPr>
          <w:p>
            <w:pPr>
              <w:pStyle w:val="TableParagraph"/>
              <w:spacing w:before="18"/>
              <w:ind w:right="268"/>
              <w:rPr>
                <w:b/>
                <w:sz w:val="18"/>
              </w:rPr>
            </w:pPr>
            <w:r>
              <w:rPr>
                <w:b/>
                <w:sz w:val="18"/>
              </w:rPr>
              <w:t>4,724</w:t>
            </w:r>
          </w:p>
        </w:tc>
        <w:tc>
          <w:tcPr>
            <w:tcW w:w="1168" w:type="dxa"/>
          </w:tcPr>
          <w:p>
            <w:pPr>
              <w:pStyle w:val="TableParagraph"/>
              <w:spacing w:before="18"/>
              <w:ind w:right="211"/>
              <w:rPr>
                <w:b/>
                <w:sz w:val="18"/>
              </w:rPr>
            </w:pPr>
            <w:r>
              <w:rPr>
                <w:b/>
                <w:w w:val="99"/>
                <w:sz w:val="18"/>
              </w:rPr>
              <w:t>-</w:t>
            </w:r>
          </w:p>
        </w:tc>
        <w:tc>
          <w:tcPr>
            <w:tcW w:w="1100" w:type="dxa"/>
          </w:tcPr>
          <w:p>
            <w:pPr>
              <w:pStyle w:val="TableParagraph"/>
              <w:spacing w:before="18"/>
              <w:ind w:right="86"/>
              <w:rPr>
                <w:b/>
                <w:sz w:val="18"/>
              </w:rPr>
            </w:pPr>
            <w:r>
              <w:rPr>
                <w:b/>
                <w:sz w:val="18"/>
              </w:rPr>
              <w:t>4,724</w:t>
            </w:r>
          </w:p>
        </w:tc>
      </w:tr>
      <w:tr>
        <w:trPr>
          <w:trHeight w:val="264" w:hRule="exact"/>
        </w:trPr>
        <w:tc>
          <w:tcPr>
            <w:tcW w:w="5009" w:type="dxa"/>
          </w:tcPr>
          <w:p>
            <w:pPr>
              <w:pStyle w:val="TableParagraph"/>
              <w:spacing w:before="19"/>
              <w:ind w:left="35" w:right="141"/>
              <w:jc w:val="left"/>
              <w:rPr>
                <w:sz w:val="18"/>
              </w:rPr>
            </w:pPr>
            <w:r>
              <w:rPr>
                <w:sz w:val="18"/>
              </w:rPr>
              <w:t>Gain on revaluation of art collection</w:t>
            </w:r>
          </w:p>
        </w:tc>
        <w:tc>
          <w:tcPr>
            <w:tcW w:w="1073" w:type="dxa"/>
          </w:tcPr>
          <w:p>
            <w:pPr/>
          </w:p>
        </w:tc>
        <w:tc>
          <w:tcPr>
            <w:tcW w:w="1574" w:type="dxa"/>
          </w:tcPr>
          <w:p>
            <w:pPr>
              <w:pStyle w:val="TableParagraph"/>
              <w:spacing w:before="18"/>
              <w:ind w:right="267"/>
              <w:rPr>
                <w:b/>
                <w:sz w:val="18"/>
              </w:rPr>
            </w:pPr>
            <w:r>
              <w:rPr>
                <w:b/>
                <w:sz w:val="18"/>
              </w:rPr>
              <w:t>986</w:t>
            </w:r>
          </w:p>
        </w:tc>
        <w:tc>
          <w:tcPr>
            <w:tcW w:w="1168" w:type="dxa"/>
          </w:tcPr>
          <w:p>
            <w:pPr>
              <w:pStyle w:val="TableParagraph"/>
              <w:spacing w:before="18"/>
              <w:ind w:right="211"/>
              <w:rPr>
                <w:b/>
                <w:sz w:val="18"/>
              </w:rPr>
            </w:pPr>
            <w:r>
              <w:rPr>
                <w:b/>
                <w:w w:val="99"/>
                <w:sz w:val="18"/>
              </w:rPr>
              <w:t>-</w:t>
            </w:r>
          </w:p>
        </w:tc>
        <w:tc>
          <w:tcPr>
            <w:tcW w:w="1100" w:type="dxa"/>
          </w:tcPr>
          <w:p>
            <w:pPr>
              <w:pStyle w:val="TableParagraph"/>
              <w:spacing w:before="18"/>
              <w:ind w:right="86"/>
              <w:rPr>
                <w:b/>
                <w:sz w:val="18"/>
              </w:rPr>
            </w:pPr>
            <w:r>
              <w:rPr>
                <w:b/>
                <w:sz w:val="18"/>
              </w:rPr>
              <w:t>986</w:t>
            </w:r>
          </w:p>
        </w:tc>
      </w:tr>
      <w:tr>
        <w:trPr>
          <w:trHeight w:val="263" w:hRule="exact"/>
        </w:trPr>
        <w:tc>
          <w:tcPr>
            <w:tcW w:w="5009" w:type="dxa"/>
          </w:tcPr>
          <w:p>
            <w:pPr>
              <w:pStyle w:val="TableParagraph"/>
              <w:spacing w:before="19"/>
              <w:ind w:left="35" w:right="141"/>
              <w:jc w:val="left"/>
              <w:rPr>
                <w:sz w:val="18"/>
              </w:rPr>
            </w:pPr>
            <w:r>
              <w:rPr>
                <w:sz w:val="18"/>
              </w:rPr>
              <w:t>Gain on revaluation of livestock</w:t>
            </w:r>
          </w:p>
        </w:tc>
        <w:tc>
          <w:tcPr>
            <w:tcW w:w="1073" w:type="dxa"/>
          </w:tcPr>
          <w:p>
            <w:pPr>
              <w:pStyle w:val="TableParagraph"/>
              <w:spacing w:before="18"/>
              <w:ind w:right="129"/>
              <w:rPr>
                <w:sz w:val="18"/>
              </w:rPr>
            </w:pPr>
            <w:r>
              <w:rPr>
                <w:sz w:val="18"/>
              </w:rPr>
              <w:t>29(b)</w:t>
            </w:r>
          </w:p>
        </w:tc>
        <w:tc>
          <w:tcPr>
            <w:tcW w:w="1574" w:type="dxa"/>
          </w:tcPr>
          <w:p>
            <w:pPr>
              <w:pStyle w:val="TableParagraph"/>
              <w:spacing w:before="18"/>
              <w:ind w:right="207"/>
              <w:rPr>
                <w:b/>
                <w:sz w:val="18"/>
              </w:rPr>
            </w:pPr>
            <w:r>
              <w:rPr>
                <w:b/>
                <w:sz w:val="18"/>
              </w:rPr>
              <w:t>(214)</w:t>
            </w:r>
          </w:p>
        </w:tc>
        <w:tc>
          <w:tcPr>
            <w:tcW w:w="1168" w:type="dxa"/>
          </w:tcPr>
          <w:p>
            <w:pPr>
              <w:pStyle w:val="TableParagraph"/>
              <w:spacing w:before="18"/>
              <w:ind w:right="211"/>
              <w:rPr>
                <w:b/>
                <w:sz w:val="18"/>
              </w:rPr>
            </w:pPr>
            <w:r>
              <w:rPr>
                <w:b/>
                <w:w w:val="99"/>
                <w:sz w:val="18"/>
              </w:rPr>
              <w:t>-</w:t>
            </w:r>
          </w:p>
        </w:tc>
        <w:tc>
          <w:tcPr>
            <w:tcW w:w="1100" w:type="dxa"/>
          </w:tcPr>
          <w:p>
            <w:pPr>
              <w:pStyle w:val="TableParagraph"/>
              <w:spacing w:before="18"/>
              <w:ind w:right="27"/>
              <w:rPr>
                <w:b/>
                <w:sz w:val="18"/>
              </w:rPr>
            </w:pPr>
            <w:r>
              <w:rPr>
                <w:b/>
                <w:sz w:val="18"/>
              </w:rPr>
              <w:t>(214)</w:t>
            </w:r>
          </w:p>
        </w:tc>
      </w:tr>
      <w:tr>
        <w:trPr>
          <w:trHeight w:val="467" w:hRule="exact"/>
        </w:trPr>
        <w:tc>
          <w:tcPr>
            <w:tcW w:w="5009" w:type="dxa"/>
          </w:tcPr>
          <w:p>
            <w:pPr>
              <w:pStyle w:val="TableParagraph"/>
              <w:spacing w:before="18"/>
              <w:ind w:left="35" w:right="141"/>
              <w:jc w:val="left"/>
              <w:rPr>
                <w:sz w:val="18"/>
              </w:rPr>
            </w:pPr>
            <w:r>
              <w:rPr>
                <w:sz w:val="18"/>
              </w:rPr>
              <w:t>Net actuarial gains / (losses) recognised in respect of Defined Benefit Plans</w:t>
            </w:r>
          </w:p>
        </w:tc>
        <w:tc>
          <w:tcPr>
            <w:tcW w:w="1073" w:type="dxa"/>
          </w:tcPr>
          <w:p>
            <w:pPr>
              <w:pStyle w:val="TableParagraph"/>
              <w:spacing w:before="19"/>
              <w:ind w:right="129"/>
              <w:rPr>
                <w:sz w:val="18"/>
              </w:rPr>
            </w:pPr>
            <w:r>
              <w:rPr>
                <w:sz w:val="18"/>
              </w:rPr>
              <w:t>29(b)</w:t>
            </w:r>
          </w:p>
        </w:tc>
        <w:tc>
          <w:tcPr>
            <w:tcW w:w="1574" w:type="dxa"/>
            <w:tcBorders>
              <w:bottom w:val="single" w:sz="0" w:space="0" w:color="000000"/>
            </w:tcBorders>
          </w:tcPr>
          <w:p>
            <w:pPr>
              <w:pStyle w:val="TableParagraph"/>
              <w:spacing w:before="4"/>
              <w:jc w:val="left"/>
              <w:rPr>
                <w:rFonts w:ascii="Times New Roman"/>
                <w:sz w:val="19"/>
              </w:rPr>
            </w:pPr>
          </w:p>
          <w:p>
            <w:pPr>
              <w:pStyle w:val="TableParagraph"/>
              <w:ind w:right="207"/>
              <w:rPr>
                <w:b/>
                <w:sz w:val="18"/>
              </w:rPr>
            </w:pPr>
            <w:r>
              <w:rPr>
                <w:b/>
                <w:sz w:val="18"/>
              </w:rPr>
              <w:t>(366)</w:t>
            </w:r>
          </w:p>
        </w:tc>
        <w:tc>
          <w:tcPr>
            <w:tcW w:w="1168" w:type="dxa"/>
            <w:tcBorders>
              <w:bottom w:val="single" w:sz="0" w:space="0" w:color="000000"/>
            </w:tcBorders>
          </w:tcPr>
          <w:p>
            <w:pPr>
              <w:pStyle w:val="TableParagraph"/>
              <w:spacing w:before="4"/>
              <w:jc w:val="left"/>
              <w:rPr>
                <w:rFonts w:ascii="Times New Roman"/>
                <w:sz w:val="19"/>
              </w:rPr>
            </w:pPr>
          </w:p>
          <w:p>
            <w:pPr>
              <w:pStyle w:val="TableParagraph"/>
              <w:ind w:right="211"/>
              <w:rPr>
                <w:b/>
                <w:sz w:val="18"/>
              </w:rPr>
            </w:pPr>
            <w:r>
              <w:rPr>
                <w:b/>
                <w:w w:val="99"/>
                <w:sz w:val="18"/>
              </w:rPr>
              <w:t>-</w:t>
            </w:r>
          </w:p>
        </w:tc>
        <w:tc>
          <w:tcPr>
            <w:tcW w:w="1100" w:type="dxa"/>
            <w:tcBorders>
              <w:bottom w:val="single" w:sz="0" w:space="0" w:color="000000"/>
            </w:tcBorders>
          </w:tcPr>
          <w:p>
            <w:pPr>
              <w:pStyle w:val="TableParagraph"/>
              <w:spacing w:before="4"/>
              <w:jc w:val="left"/>
              <w:rPr>
                <w:rFonts w:ascii="Times New Roman"/>
                <w:sz w:val="19"/>
              </w:rPr>
            </w:pPr>
          </w:p>
          <w:p>
            <w:pPr>
              <w:pStyle w:val="TableParagraph"/>
              <w:ind w:right="27"/>
              <w:rPr>
                <w:b/>
                <w:sz w:val="18"/>
              </w:rPr>
            </w:pPr>
            <w:r>
              <w:rPr>
                <w:b/>
                <w:sz w:val="18"/>
              </w:rPr>
              <w:t>(366)</w:t>
            </w:r>
          </w:p>
        </w:tc>
      </w:tr>
      <w:tr>
        <w:trPr>
          <w:trHeight w:val="338" w:hRule="exact"/>
        </w:trPr>
        <w:tc>
          <w:tcPr>
            <w:tcW w:w="5009" w:type="dxa"/>
          </w:tcPr>
          <w:p>
            <w:pPr>
              <w:pStyle w:val="TableParagraph"/>
              <w:spacing w:before="123"/>
              <w:ind w:left="35" w:right="141"/>
              <w:jc w:val="left"/>
              <w:rPr>
                <w:b/>
                <w:sz w:val="18"/>
              </w:rPr>
            </w:pPr>
            <w:r>
              <w:rPr>
                <w:b/>
                <w:sz w:val="18"/>
              </w:rPr>
              <w:t>Total comprehensive income</w:t>
            </w:r>
          </w:p>
        </w:tc>
        <w:tc>
          <w:tcPr>
            <w:tcW w:w="1073" w:type="dxa"/>
          </w:tcPr>
          <w:p>
            <w:pPr/>
          </w:p>
        </w:tc>
        <w:tc>
          <w:tcPr>
            <w:tcW w:w="1574" w:type="dxa"/>
            <w:tcBorders>
              <w:top w:val="single" w:sz="0" w:space="0" w:color="000000"/>
              <w:bottom w:val="single" w:sz="0" w:space="0" w:color="000000"/>
            </w:tcBorders>
          </w:tcPr>
          <w:p>
            <w:pPr>
              <w:pStyle w:val="TableParagraph"/>
              <w:spacing w:before="122"/>
              <w:ind w:right="267"/>
              <w:rPr>
                <w:b/>
                <w:sz w:val="18"/>
              </w:rPr>
            </w:pPr>
            <w:r>
              <w:rPr>
                <w:b/>
                <w:w w:val="95"/>
                <w:sz w:val="18"/>
              </w:rPr>
              <w:t>708,544</w:t>
            </w:r>
          </w:p>
        </w:tc>
        <w:tc>
          <w:tcPr>
            <w:tcW w:w="1168" w:type="dxa"/>
            <w:tcBorders>
              <w:top w:val="single" w:sz="0" w:space="0" w:color="000000"/>
              <w:bottom w:val="single" w:sz="0" w:space="0" w:color="000000"/>
            </w:tcBorders>
          </w:tcPr>
          <w:p>
            <w:pPr>
              <w:pStyle w:val="TableParagraph"/>
              <w:spacing w:before="122"/>
              <w:ind w:right="210"/>
              <w:rPr>
                <w:b/>
                <w:sz w:val="18"/>
              </w:rPr>
            </w:pPr>
            <w:r>
              <w:rPr>
                <w:b/>
                <w:w w:val="95"/>
                <w:sz w:val="18"/>
              </w:rPr>
              <w:t>957,676</w:t>
            </w:r>
          </w:p>
        </w:tc>
        <w:tc>
          <w:tcPr>
            <w:tcW w:w="1100" w:type="dxa"/>
            <w:tcBorders>
              <w:top w:val="single" w:sz="0" w:space="0" w:color="000000"/>
              <w:bottom w:val="single" w:sz="0" w:space="0" w:color="000000"/>
            </w:tcBorders>
          </w:tcPr>
          <w:p>
            <w:pPr>
              <w:pStyle w:val="TableParagraph"/>
              <w:spacing w:before="122"/>
              <w:ind w:right="86"/>
              <w:rPr>
                <w:b/>
                <w:sz w:val="18"/>
              </w:rPr>
            </w:pPr>
            <w:r>
              <w:rPr>
                <w:b/>
                <w:w w:val="95"/>
                <w:sz w:val="18"/>
              </w:rPr>
              <w:t>1,666,220</w:t>
            </w:r>
          </w:p>
        </w:tc>
      </w:tr>
      <w:tr>
        <w:trPr>
          <w:trHeight w:val="487" w:hRule="exact"/>
        </w:trPr>
        <w:tc>
          <w:tcPr>
            <w:tcW w:w="5009" w:type="dxa"/>
          </w:tcPr>
          <w:p>
            <w:pPr>
              <w:pStyle w:val="TableParagraph"/>
              <w:spacing w:before="38"/>
              <w:ind w:left="35" w:right="141"/>
              <w:jc w:val="left"/>
              <w:rPr>
                <w:sz w:val="18"/>
              </w:rPr>
            </w:pPr>
            <w:r>
              <w:rPr>
                <w:sz w:val="18"/>
              </w:rPr>
              <w:t>Transfer from property plant and equipment reserve on disposal of assets</w:t>
            </w:r>
          </w:p>
        </w:tc>
        <w:tc>
          <w:tcPr>
            <w:tcW w:w="1073" w:type="dxa"/>
          </w:tcPr>
          <w:p>
            <w:pPr>
              <w:pStyle w:val="TableParagraph"/>
              <w:spacing w:before="39"/>
              <w:ind w:right="138"/>
              <w:rPr>
                <w:sz w:val="18"/>
              </w:rPr>
            </w:pPr>
            <w:r>
              <w:rPr>
                <w:sz w:val="18"/>
              </w:rPr>
              <w:t>29(c)</w:t>
            </w:r>
          </w:p>
        </w:tc>
        <w:tc>
          <w:tcPr>
            <w:tcW w:w="1574" w:type="dxa"/>
            <w:tcBorders>
              <w:top w:val="single" w:sz="0" w:space="0" w:color="000000"/>
              <w:bottom w:val="single" w:sz="0" w:space="0" w:color="000000"/>
            </w:tcBorders>
          </w:tcPr>
          <w:p>
            <w:pPr>
              <w:pStyle w:val="TableParagraph"/>
              <w:spacing w:before="1"/>
              <w:jc w:val="left"/>
              <w:rPr>
                <w:rFonts w:ascii="Times New Roman"/>
                <w:sz w:val="21"/>
              </w:rPr>
            </w:pPr>
          </w:p>
          <w:p>
            <w:pPr>
              <w:pStyle w:val="TableParagraph"/>
              <w:ind w:right="207"/>
              <w:rPr>
                <w:b/>
                <w:sz w:val="18"/>
              </w:rPr>
            </w:pPr>
            <w:r>
              <w:rPr>
                <w:b/>
                <w:sz w:val="18"/>
              </w:rPr>
              <w:t>(540)</w:t>
            </w:r>
          </w:p>
        </w:tc>
        <w:tc>
          <w:tcPr>
            <w:tcW w:w="1168" w:type="dxa"/>
            <w:tcBorders>
              <w:top w:val="single" w:sz="0" w:space="0" w:color="000000"/>
              <w:bottom w:val="single" w:sz="0" w:space="0" w:color="000000"/>
            </w:tcBorders>
          </w:tcPr>
          <w:p>
            <w:pPr>
              <w:pStyle w:val="TableParagraph"/>
              <w:spacing w:before="1"/>
              <w:jc w:val="left"/>
              <w:rPr>
                <w:rFonts w:ascii="Times New Roman"/>
                <w:sz w:val="21"/>
              </w:rPr>
            </w:pPr>
          </w:p>
          <w:p>
            <w:pPr>
              <w:pStyle w:val="TableParagraph"/>
              <w:ind w:right="211"/>
              <w:rPr>
                <w:b/>
                <w:sz w:val="18"/>
              </w:rPr>
            </w:pPr>
            <w:r>
              <w:rPr>
                <w:b/>
                <w:sz w:val="18"/>
              </w:rPr>
              <w:t>540</w:t>
            </w:r>
          </w:p>
        </w:tc>
        <w:tc>
          <w:tcPr>
            <w:tcW w:w="1100" w:type="dxa"/>
            <w:tcBorders>
              <w:top w:val="single" w:sz="0" w:space="0" w:color="000000"/>
              <w:bottom w:val="single" w:sz="0" w:space="0" w:color="000000"/>
            </w:tcBorders>
          </w:tcPr>
          <w:p>
            <w:pPr>
              <w:pStyle w:val="TableParagraph"/>
              <w:spacing w:before="1"/>
              <w:jc w:val="left"/>
              <w:rPr>
                <w:rFonts w:ascii="Times New Roman"/>
                <w:sz w:val="21"/>
              </w:rPr>
            </w:pPr>
          </w:p>
          <w:p>
            <w:pPr>
              <w:pStyle w:val="TableParagraph"/>
              <w:ind w:right="86"/>
              <w:rPr>
                <w:b/>
                <w:sz w:val="18"/>
              </w:rPr>
            </w:pPr>
            <w:r>
              <w:rPr>
                <w:b/>
                <w:w w:val="99"/>
                <w:sz w:val="18"/>
              </w:rPr>
              <w:t>-</w:t>
            </w:r>
          </w:p>
        </w:tc>
      </w:tr>
      <w:tr>
        <w:trPr>
          <w:trHeight w:val="338" w:hRule="exact"/>
        </w:trPr>
        <w:tc>
          <w:tcPr>
            <w:tcW w:w="5009" w:type="dxa"/>
          </w:tcPr>
          <w:p>
            <w:pPr>
              <w:pStyle w:val="TableParagraph"/>
              <w:spacing w:before="123"/>
              <w:ind w:left="35" w:right="141"/>
              <w:jc w:val="left"/>
              <w:rPr>
                <w:b/>
                <w:sz w:val="18"/>
              </w:rPr>
            </w:pPr>
            <w:r>
              <w:rPr>
                <w:b/>
                <w:sz w:val="18"/>
              </w:rPr>
              <w:t>Balance at 31 December 2016</w:t>
            </w:r>
          </w:p>
        </w:tc>
        <w:tc>
          <w:tcPr>
            <w:tcW w:w="1073" w:type="dxa"/>
          </w:tcPr>
          <w:p>
            <w:pPr/>
          </w:p>
        </w:tc>
        <w:tc>
          <w:tcPr>
            <w:tcW w:w="1574" w:type="dxa"/>
            <w:tcBorders>
              <w:top w:val="single" w:sz="0" w:space="0" w:color="000000"/>
              <w:bottom w:val="single" w:sz="0" w:space="0" w:color="000000"/>
            </w:tcBorders>
          </w:tcPr>
          <w:p>
            <w:pPr>
              <w:pStyle w:val="TableParagraph"/>
              <w:spacing w:before="122"/>
              <w:ind w:right="267"/>
              <w:rPr>
                <w:b/>
                <w:sz w:val="18"/>
              </w:rPr>
            </w:pPr>
            <w:r>
              <w:rPr>
                <w:b/>
                <w:w w:val="95"/>
                <w:sz w:val="18"/>
              </w:rPr>
              <w:t>708,004</w:t>
            </w:r>
          </w:p>
        </w:tc>
        <w:tc>
          <w:tcPr>
            <w:tcW w:w="1168" w:type="dxa"/>
            <w:tcBorders>
              <w:top w:val="single" w:sz="0" w:space="0" w:color="000000"/>
              <w:bottom w:val="single" w:sz="0" w:space="0" w:color="000000"/>
            </w:tcBorders>
          </w:tcPr>
          <w:p>
            <w:pPr>
              <w:pStyle w:val="TableParagraph"/>
              <w:spacing w:before="122"/>
              <w:ind w:right="210"/>
              <w:rPr>
                <w:b/>
                <w:sz w:val="18"/>
              </w:rPr>
            </w:pPr>
            <w:r>
              <w:rPr>
                <w:b/>
                <w:w w:val="95"/>
                <w:sz w:val="18"/>
              </w:rPr>
              <w:t>958,216</w:t>
            </w:r>
          </w:p>
        </w:tc>
        <w:tc>
          <w:tcPr>
            <w:tcW w:w="1100" w:type="dxa"/>
            <w:tcBorders>
              <w:top w:val="single" w:sz="0" w:space="0" w:color="000000"/>
              <w:bottom w:val="single" w:sz="0" w:space="0" w:color="000000"/>
            </w:tcBorders>
          </w:tcPr>
          <w:p>
            <w:pPr>
              <w:pStyle w:val="TableParagraph"/>
              <w:spacing w:before="122"/>
              <w:ind w:right="86"/>
              <w:rPr>
                <w:b/>
                <w:sz w:val="18"/>
              </w:rPr>
            </w:pPr>
            <w:r>
              <w:rPr>
                <w:b/>
                <w:w w:val="95"/>
                <w:sz w:val="18"/>
              </w:rPr>
              <w:t>1,666,220</w:t>
            </w:r>
          </w:p>
        </w:tc>
      </w:tr>
    </w:tbl>
    <w:p>
      <w:pPr>
        <w:pStyle w:val="BodyText"/>
        <w:rPr>
          <w:rFonts w:ascii="Times New Roman"/>
          <w:sz w:val="20"/>
        </w:rPr>
      </w:pPr>
    </w:p>
    <w:p>
      <w:pPr>
        <w:pStyle w:val="BodyText"/>
        <w:spacing w:before="6"/>
        <w:rPr>
          <w:rFonts w:ascii="Times New Roman"/>
          <w:sz w:val="28"/>
        </w:rPr>
      </w:pPr>
    </w:p>
    <w:p>
      <w:pPr>
        <w:spacing w:before="77"/>
        <w:ind w:left="0" w:right="2748" w:firstLine="0"/>
        <w:jc w:val="right"/>
        <w:rPr>
          <w:b/>
          <w:sz w:val="18"/>
        </w:rPr>
      </w:pPr>
      <w:r>
        <w:rPr/>
        <w:drawing>
          <wp:anchor distT="0" distB="0" distL="0" distR="0" allowOverlap="1" layoutInCell="1" locked="0" behindDoc="0" simplePos="0" relativeHeight="1984">
            <wp:simplePos x="0" y="0"/>
            <wp:positionH relativeFrom="page">
              <wp:posOffset>-1587</wp:posOffset>
            </wp:positionH>
            <wp:positionV relativeFrom="paragraph">
              <wp:posOffset>543355</wp:posOffset>
            </wp:positionV>
            <wp:extent cx="135159" cy="154019"/>
            <wp:effectExtent l="0" t="0" r="0" b="0"/>
            <wp:wrapNone/>
            <wp:docPr id="67" name="image13.png" descr=""/>
            <wp:cNvGraphicFramePr>
              <a:graphicFrameLocks noChangeAspect="1"/>
            </wp:cNvGraphicFramePr>
            <a:graphic>
              <a:graphicData uri="http://schemas.openxmlformats.org/drawingml/2006/picture">
                <pic:pic>
                  <pic:nvPicPr>
                    <pic:cNvPr id="68" name="image13.png"/>
                    <pic:cNvPicPr/>
                  </pic:nvPicPr>
                  <pic:blipFill>
                    <a:blip r:embed="rId18" cstate="print"/>
                    <a:stretch>
                      <a:fillRect/>
                    </a:stretch>
                  </pic:blipFill>
                  <pic:spPr>
                    <a:xfrm>
                      <a:off x="0" y="0"/>
                      <a:ext cx="135159" cy="154019"/>
                    </a:xfrm>
                    <a:prstGeom prst="rect">
                      <a:avLst/>
                    </a:prstGeom>
                  </pic:spPr>
                </pic:pic>
              </a:graphicData>
            </a:graphic>
          </wp:anchor>
        </w:drawing>
      </w:r>
      <w:r>
        <w:rPr/>
        <w:drawing>
          <wp:anchor distT="0" distB="0" distL="0" distR="0" allowOverlap="1" layoutInCell="1" locked="0" behindDoc="0" simplePos="0" relativeHeight="2008">
            <wp:simplePos x="0" y="0"/>
            <wp:positionH relativeFrom="page">
              <wp:posOffset>7958429</wp:posOffset>
            </wp:positionH>
            <wp:positionV relativeFrom="paragraph">
              <wp:posOffset>543355</wp:posOffset>
            </wp:positionV>
            <wp:extent cx="135953" cy="155575"/>
            <wp:effectExtent l="0" t="0" r="0" b="0"/>
            <wp:wrapNone/>
            <wp:docPr id="69" name="image15.png" descr=""/>
            <wp:cNvGraphicFramePr>
              <a:graphicFrameLocks noChangeAspect="1"/>
            </wp:cNvGraphicFramePr>
            <a:graphic>
              <a:graphicData uri="http://schemas.openxmlformats.org/drawingml/2006/picture">
                <pic:pic>
                  <pic:nvPicPr>
                    <pic:cNvPr id="70" name="image15.png"/>
                    <pic:cNvPicPr/>
                  </pic:nvPicPr>
                  <pic:blipFill>
                    <a:blip r:embed="rId20" cstate="print"/>
                    <a:stretch>
                      <a:fillRect/>
                    </a:stretch>
                  </pic:blipFill>
                  <pic:spPr>
                    <a:xfrm>
                      <a:off x="0" y="0"/>
                      <a:ext cx="135953" cy="155575"/>
                    </a:xfrm>
                    <a:prstGeom prst="rect">
                      <a:avLst/>
                    </a:prstGeom>
                  </pic:spPr>
                </pic:pic>
              </a:graphicData>
            </a:graphic>
          </wp:anchor>
        </w:drawing>
      </w:r>
      <w:r>
        <w:rPr>
          <w:b/>
          <w:sz w:val="18"/>
        </w:rPr>
        <w:t>Consolidated</w:t>
      </w:r>
    </w:p>
    <w:p>
      <w:pPr>
        <w:pStyle w:val="BodyText"/>
        <w:spacing w:before="9"/>
        <w:rPr>
          <w:b/>
          <w:sz w:val="20"/>
        </w:rPr>
      </w:pPr>
    </w:p>
    <w:tbl>
      <w:tblPr>
        <w:tblW w:w="0" w:type="auto"/>
        <w:jc w:val="left"/>
        <w:tblInd w:w="142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009"/>
        <w:gridCol w:w="1073"/>
        <w:gridCol w:w="1491"/>
        <w:gridCol w:w="1250"/>
        <w:gridCol w:w="1100"/>
      </w:tblGrid>
      <w:tr>
        <w:trPr>
          <w:trHeight w:val="533" w:hRule="exact"/>
        </w:trPr>
        <w:tc>
          <w:tcPr>
            <w:tcW w:w="5009" w:type="dxa"/>
            <w:vMerge w:val="restart"/>
          </w:tcPr>
          <w:p>
            <w:pPr/>
          </w:p>
        </w:tc>
        <w:tc>
          <w:tcPr>
            <w:tcW w:w="1073" w:type="dxa"/>
          </w:tcPr>
          <w:p>
            <w:pPr/>
          </w:p>
        </w:tc>
        <w:tc>
          <w:tcPr>
            <w:tcW w:w="1491" w:type="dxa"/>
          </w:tcPr>
          <w:p>
            <w:pPr>
              <w:pStyle w:val="TableParagraph"/>
              <w:spacing w:before="7"/>
              <w:jc w:val="left"/>
              <w:rPr>
                <w:b/>
                <w:sz w:val="24"/>
              </w:rPr>
            </w:pPr>
          </w:p>
          <w:p>
            <w:pPr>
              <w:pStyle w:val="TableParagraph"/>
              <w:ind w:left="383"/>
              <w:jc w:val="left"/>
              <w:rPr>
                <w:b/>
                <w:sz w:val="18"/>
              </w:rPr>
            </w:pPr>
            <w:r>
              <w:rPr>
                <w:b/>
                <w:sz w:val="18"/>
              </w:rPr>
              <w:t>Reserves</w:t>
            </w:r>
          </w:p>
        </w:tc>
        <w:tc>
          <w:tcPr>
            <w:tcW w:w="1250" w:type="dxa"/>
          </w:tcPr>
          <w:p>
            <w:pPr>
              <w:pStyle w:val="TableParagraph"/>
              <w:spacing w:before="77"/>
              <w:ind w:left="127" w:right="332" w:firstLine="6"/>
              <w:jc w:val="left"/>
              <w:rPr>
                <w:b/>
                <w:sz w:val="18"/>
              </w:rPr>
            </w:pPr>
            <w:r>
              <w:rPr>
                <w:b/>
                <w:sz w:val="18"/>
              </w:rPr>
              <w:t>Retained Earnings</w:t>
            </w:r>
          </w:p>
        </w:tc>
        <w:tc>
          <w:tcPr>
            <w:tcW w:w="1100" w:type="dxa"/>
          </w:tcPr>
          <w:p>
            <w:pPr>
              <w:pStyle w:val="TableParagraph"/>
              <w:spacing w:before="7"/>
              <w:jc w:val="left"/>
              <w:rPr>
                <w:b/>
                <w:sz w:val="24"/>
              </w:rPr>
            </w:pPr>
          </w:p>
          <w:p>
            <w:pPr>
              <w:pStyle w:val="TableParagraph"/>
              <w:ind w:left="258"/>
              <w:jc w:val="left"/>
              <w:rPr>
                <w:b/>
                <w:sz w:val="18"/>
              </w:rPr>
            </w:pPr>
            <w:r>
              <w:rPr>
                <w:b/>
                <w:sz w:val="18"/>
              </w:rPr>
              <w:t>Total</w:t>
            </w:r>
          </w:p>
        </w:tc>
      </w:tr>
      <w:tr>
        <w:trPr>
          <w:trHeight w:val="272" w:hRule="exact"/>
        </w:trPr>
        <w:tc>
          <w:tcPr>
            <w:tcW w:w="5009" w:type="dxa"/>
            <w:vMerge/>
          </w:tcPr>
          <w:p>
            <w:pPr/>
          </w:p>
        </w:tc>
        <w:tc>
          <w:tcPr>
            <w:tcW w:w="1073" w:type="dxa"/>
          </w:tcPr>
          <w:p>
            <w:pPr>
              <w:pStyle w:val="TableParagraph"/>
              <w:spacing w:before="24"/>
              <w:ind w:right="86"/>
              <w:rPr>
                <w:b/>
                <w:sz w:val="18"/>
              </w:rPr>
            </w:pPr>
            <w:r>
              <w:rPr>
                <w:b/>
                <w:w w:val="95"/>
                <w:sz w:val="18"/>
              </w:rPr>
              <w:t>Note</w:t>
            </w:r>
          </w:p>
        </w:tc>
        <w:tc>
          <w:tcPr>
            <w:tcW w:w="1491" w:type="dxa"/>
            <w:tcBorders>
              <w:bottom w:val="single" w:sz="0" w:space="0" w:color="000000"/>
            </w:tcBorders>
          </w:tcPr>
          <w:p>
            <w:pPr>
              <w:pStyle w:val="TableParagraph"/>
              <w:spacing w:before="24"/>
              <w:ind w:left="559"/>
              <w:jc w:val="left"/>
              <w:rPr>
                <w:b/>
                <w:sz w:val="18"/>
              </w:rPr>
            </w:pPr>
            <w:r>
              <w:rPr>
                <w:b/>
                <w:sz w:val="18"/>
              </w:rPr>
              <w:t>$'000</w:t>
            </w:r>
          </w:p>
        </w:tc>
        <w:tc>
          <w:tcPr>
            <w:tcW w:w="1250" w:type="dxa"/>
            <w:tcBorders>
              <w:bottom w:val="single" w:sz="0" w:space="0" w:color="000000"/>
            </w:tcBorders>
          </w:tcPr>
          <w:p>
            <w:pPr>
              <w:pStyle w:val="TableParagraph"/>
              <w:spacing w:before="24"/>
              <w:ind w:left="291"/>
              <w:jc w:val="left"/>
              <w:rPr>
                <w:b/>
                <w:sz w:val="18"/>
              </w:rPr>
            </w:pPr>
            <w:r>
              <w:rPr>
                <w:b/>
                <w:sz w:val="18"/>
              </w:rPr>
              <w:t>$'000</w:t>
            </w:r>
          </w:p>
        </w:tc>
        <w:tc>
          <w:tcPr>
            <w:tcW w:w="1100" w:type="dxa"/>
            <w:tcBorders>
              <w:bottom w:val="single" w:sz="0" w:space="0" w:color="000000"/>
            </w:tcBorders>
          </w:tcPr>
          <w:p>
            <w:pPr>
              <w:pStyle w:val="TableParagraph"/>
              <w:spacing w:before="24"/>
              <w:ind w:left="252"/>
              <w:jc w:val="left"/>
              <w:rPr>
                <w:b/>
                <w:sz w:val="18"/>
              </w:rPr>
            </w:pPr>
            <w:r>
              <w:rPr>
                <w:b/>
                <w:sz w:val="18"/>
              </w:rPr>
              <w:t>$'000</w:t>
            </w:r>
          </w:p>
        </w:tc>
      </w:tr>
      <w:tr>
        <w:trPr>
          <w:trHeight w:val="285" w:hRule="exact"/>
        </w:trPr>
        <w:tc>
          <w:tcPr>
            <w:tcW w:w="5009" w:type="dxa"/>
          </w:tcPr>
          <w:p>
            <w:pPr>
              <w:pStyle w:val="TableParagraph"/>
              <w:spacing w:before="40"/>
              <w:ind w:left="35" w:right="141"/>
              <w:jc w:val="left"/>
              <w:rPr>
                <w:b/>
                <w:sz w:val="18"/>
              </w:rPr>
            </w:pPr>
            <w:r>
              <w:rPr>
                <w:b/>
                <w:sz w:val="18"/>
              </w:rPr>
              <w:t>Balance at 1 January 2015</w:t>
            </w:r>
          </w:p>
        </w:tc>
        <w:tc>
          <w:tcPr>
            <w:tcW w:w="1073" w:type="dxa"/>
          </w:tcPr>
          <w:p>
            <w:pPr/>
          </w:p>
        </w:tc>
        <w:tc>
          <w:tcPr>
            <w:tcW w:w="1491" w:type="dxa"/>
            <w:tcBorders>
              <w:top w:val="single" w:sz="0" w:space="0" w:color="000000"/>
            </w:tcBorders>
          </w:tcPr>
          <w:p>
            <w:pPr>
              <w:pStyle w:val="TableParagraph"/>
              <w:spacing w:before="38"/>
              <w:ind w:right="184"/>
              <w:rPr>
                <w:sz w:val="18"/>
              </w:rPr>
            </w:pPr>
            <w:r>
              <w:rPr>
                <w:w w:val="95"/>
                <w:sz w:val="18"/>
              </w:rPr>
              <w:t>575,310</w:t>
            </w:r>
          </w:p>
        </w:tc>
        <w:tc>
          <w:tcPr>
            <w:tcW w:w="1250" w:type="dxa"/>
            <w:tcBorders>
              <w:top w:val="single" w:sz="0" w:space="0" w:color="000000"/>
            </w:tcBorders>
          </w:tcPr>
          <w:p>
            <w:pPr>
              <w:pStyle w:val="TableParagraph"/>
              <w:spacing w:before="38"/>
              <w:ind w:right="210"/>
              <w:rPr>
                <w:sz w:val="18"/>
              </w:rPr>
            </w:pPr>
            <w:r>
              <w:rPr>
                <w:w w:val="95"/>
                <w:sz w:val="18"/>
              </w:rPr>
              <w:t>879,681</w:t>
            </w:r>
          </w:p>
        </w:tc>
        <w:tc>
          <w:tcPr>
            <w:tcW w:w="1100" w:type="dxa"/>
            <w:tcBorders>
              <w:top w:val="single" w:sz="0" w:space="0" w:color="000000"/>
            </w:tcBorders>
          </w:tcPr>
          <w:p>
            <w:pPr>
              <w:pStyle w:val="TableParagraph"/>
              <w:spacing w:before="38"/>
              <w:ind w:right="86"/>
              <w:rPr>
                <w:sz w:val="18"/>
              </w:rPr>
            </w:pPr>
            <w:r>
              <w:rPr>
                <w:w w:val="95"/>
                <w:sz w:val="18"/>
              </w:rPr>
              <w:t>1,454,991</w:t>
            </w:r>
          </w:p>
        </w:tc>
      </w:tr>
      <w:tr>
        <w:trPr>
          <w:trHeight w:val="264" w:hRule="exact"/>
        </w:trPr>
        <w:tc>
          <w:tcPr>
            <w:tcW w:w="5009" w:type="dxa"/>
          </w:tcPr>
          <w:p>
            <w:pPr>
              <w:pStyle w:val="TableParagraph"/>
              <w:spacing w:before="19"/>
              <w:ind w:left="35" w:right="141"/>
              <w:jc w:val="left"/>
              <w:rPr>
                <w:sz w:val="18"/>
              </w:rPr>
            </w:pPr>
            <w:r>
              <w:rPr>
                <w:sz w:val="18"/>
              </w:rPr>
              <w:t>Net result</w:t>
            </w:r>
          </w:p>
        </w:tc>
        <w:tc>
          <w:tcPr>
            <w:tcW w:w="1073" w:type="dxa"/>
          </w:tcPr>
          <w:p>
            <w:pPr>
              <w:pStyle w:val="TableParagraph"/>
              <w:spacing w:before="18"/>
              <w:ind w:right="138"/>
              <w:rPr>
                <w:sz w:val="18"/>
              </w:rPr>
            </w:pPr>
            <w:r>
              <w:rPr>
                <w:sz w:val="18"/>
              </w:rPr>
              <w:t>29(c)</w:t>
            </w:r>
          </w:p>
        </w:tc>
        <w:tc>
          <w:tcPr>
            <w:tcW w:w="1491" w:type="dxa"/>
          </w:tcPr>
          <w:p>
            <w:pPr>
              <w:pStyle w:val="TableParagraph"/>
              <w:spacing w:before="18"/>
              <w:ind w:right="185"/>
              <w:rPr>
                <w:sz w:val="18"/>
              </w:rPr>
            </w:pPr>
            <w:r>
              <w:rPr>
                <w:w w:val="99"/>
                <w:sz w:val="18"/>
              </w:rPr>
              <w:t>-</w:t>
            </w:r>
          </w:p>
        </w:tc>
        <w:tc>
          <w:tcPr>
            <w:tcW w:w="1250" w:type="dxa"/>
          </w:tcPr>
          <w:p>
            <w:pPr>
              <w:pStyle w:val="TableParagraph"/>
              <w:spacing w:before="18"/>
              <w:ind w:right="210"/>
              <w:rPr>
                <w:sz w:val="18"/>
              </w:rPr>
            </w:pPr>
            <w:r>
              <w:rPr>
                <w:w w:val="95"/>
                <w:sz w:val="18"/>
              </w:rPr>
              <w:t>41,323</w:t>
            </w:r>
          </w:p>
        </w:tc>
        <w:tc>
          <w:tcPr>
            <w:tcW w:w="1100" w:type="dxa"/>
          </w:tcPr>
          <w:p>
            <w:pPr>
              <w:pStyle w:val="TableParagraph"/>
              <w:spacing w:before="18"/>
              <w:ind w:right="86"/>
              <w:rPr>
                <w:sz w:val="18"/>
              </w:rPr>
            </w:pPr>
            <w:r>
              <w:rPr>
                <w:w w:val="95"/>
                <w:sz w:val="18"/>
              </w:rPr>
              <w:t>41,323</w:t>
            </w:r>
          </w:p>
        </w:tc>
      </w:tr>
      <w:tr>
        <w:trPr>
          <w:trHeight w:val="264" w:hRule="exact"/>
        </w:trPr>
        <w:tc>
          <w:tcPr>
            <w:tcW w:w="5009" w:type="dxa"/>
          </w:tcPr>
          <w:p>
            <w:pPr>
              <w:pStyle w:val="TableParagraph"/>
              <w:spacing w:before="19"/>
              <w:ind w:left="35" w:right="141"/>
              <w:jc w:val="left"/>
              <w:rPr>
                <w:sz w:val="18"/>
              </w:rPr>
            </w:pPr>
            <w:r>
              <w:rPr>
                <w:sz w:val="18"/>
              </w:rPr>
              <w:t>Gain on revaluation of property, plant and equipment</w:t>
            </w:r>
          </w:p>
        </w:tc>
        <w:tc>
          <w:tcPr>
            <w:tcW w:w="1073" w:type="dxa"/>
          </w:tcPr>
          <w:p>
            <w:pPr>
              <w:pStyle w:val="TableParagraph"/>
              <w:spacing w:before="18"/>
              <w:ind w:right="129"/>
              <w:rPr>
                <w:sz w:val="18"/>
              </w:rPr>
            </w:pPr>
            <w:r>
              <w:rPr>
                <w:sz w:val="18"/>
              </w:rPr>
              <w:t>29(b)</w:t>
            </w:r>
          </w:p>
        </w:tc>
        <w:tc>
          <w:tcPr>
            <w:tcW w:w="1491" w:type="dxa"/>
          </w:tcPr>
          <w:p>
            <w:pPr>
              <w:pStyle w:val="TableParagraph"/>
              <w:spacing w:before="18"/>
              <w:ind w:right="184"/>
              <w:rPr>
                <w:sz w:val="18"/>
              </w:rPr>
            </w:pPr>
            <w:r>
              <w:rPr>
                <w:w w:val="95"/>
                <w:sz w:val="18"/>
              </w:rPr>
              <w:t>110,168</w:t>
            </w:r>
          </w:p>
        </w:tc>
        <w:tc>
          <w:tcPr>
            <w:tcW w:w="1250" w:type="dxa"/>
          </w:tcPr>
          <w:p>
            <w:pPr>
              <w:pStyle w:val="TableParagraph"/>
              <w:spacing w:before="18"/>
              <w:ind w:right="211"/>
              <w:rPr>
                <w:sz w:val="18"/>
              </w:rPr>
            </w:pPr>
            <w:r>
              <w:rPr>
                <w:w w:val="99"/>
                <w:sz w:val="18"/>
              </w:rPr>
              <w:t>-</w:t>
            </w:r>
          </w:p>
        </w:tc>
        <w:tc>
          <w:tcPr>
            <w:tcW w:w="1100" w:type="dxa"/>
          </w:tcPr>
          <w:p>
            <w:pPr>
              <w:pStyle w:val="TableParagraph"/>
              <w:spacing w:before="18"/>
              <w:ind w:right="86"/>
              <w:rPr>
                <w:sz w:val="18"/>
              </w:rPr>
            </w:pPr>
            <w:r>
              <w:rPr>
                <w:w w:val="95"/>
                <w:sz w:val="18"/>
              </w:rPr>
              <w:t>110,168</w:t>
            </w:r>
          </w:p>
        </w:tc>
      </w:tr>
      <w:tr>
        <w:trPr>
          <w:trHeight w:val="264" w:hRule="exact"/>
        </w:trPr>
        <w:tc>
          <w:tcPr>
            <w:tcW w:w="5009" w:type="dxa"/>
          </w:tcPr>
          <w:p>
            <w:pPr>
              <w:pStyle w:val="TableParagraph"/>
              <w:spacing w:before="19"/>
              <w:ind w:left="35" w:right="141"/>
              <w:jc w:val="left"/>
              <w:rPr>
                <w:sz w:val="18"/>
              </w:rPr>
            </w:pPr>
            <w:r>
              <w:rPr>
                <w:sz w:val="18"/>
              </w:rPr>
              <w:t>Gain on revaluation of available-for-sale financial assets</w:t>
            </w:r>
          </w:p>
        </w:tc>
        <w:tc>
          <w:tcPr>
            <w:tcW w:w="1073" w:type="dxa"/>
          </w:tcPr>
          <w:p>
            <w:pPr>
              <w:pStyle w:val="TableParagraph"/>
              <w:spacing w:before="18"/>
              <w:ind w:right="129"/>
              <w:rPr>
                <w:sz w:val="18"/>
              </w:rPr>
            </w:pPr>
            <w:r>
              <w:rPr>
                <w:sz w:val="18"/>
              </w:rPr>
              <w:t>29(b)</w:t>
            </w:r>
          </w:p>
        </w:tc>
        <w:tc>
          <w:tcPr>
            <w:tcW w:w="1491" w:type="dxa"/>
          </w:tcPr>
          <w:p>
            <w:pPr>
              <w:pStyle w:val="TableParagraph"/>
              <w:spacing w:before="18"/>
              <w:ind w:right="185"/>
              <w:rPr>
                <w:sz w:val="18"/>
              </w:rPr>
            </w:pPr>
            <w:r>
              <w:rPr>
                <w:sz w:val="18"/>
              </w:rPr>
              <w:t>855</w:t>
            </w:r>
          </w:p>
        </w:tc>
        <w:tc>
          <w:tcPr>
            <w:tcW w:w="1250" w:type="dxa"/>
          </w:tcPr>
          <w:p>
            <w:pPr>
              <w:pStyle w:val="TableParagraph"/>
              <w:spacing w:before="18"/>
              <w:ind w:right="211"/>
              <w:rPr>
                <w:sz w:val="18"/>
              </w:rPr>
            </w:pPr>
            <w:r>
              <w:rPr>
                <w:w w:val="99"/>
                <w:sz w:val="18"/>
              </w:rPr>
              <w:t>-</w:t>
            </w:r>
          </w:p>
        </w:tc>
        <w:tc>
          <w:tcPr>
            <w:tcW w:w="1100" w:type="dxa"/>
          </w:tcPr>
          <w:p>
            <w:pPr>
              <w:pStyle w:val="TableParagraph"/>
              <w:spacing w:before="18"/>
              <w:ind w:right="86"/>
              <w:rPr>
                <w:sz w:val="18"/>
              </w:rPr>
            </w:pPr>
            <w:r>
              <w:rPr>
                <w:sz w:val="18"/>
              </w:rPr>
              <w:t>855</w:t>
            </w:r>
          </w:p>
        </w:tc>
      </w:tr>
      <w:tr>
        <w:trPr>
          <w:trHeight w:val="263" w:hRule="exact"/>
        </w:trPr>
        <w:tc>
          <w:tcPr>
            <w:tcW w:w="5009" w:type="dxa"/>
          </w:tcPr>
          <w:p>
            <w:pPr>
              <w:pStyle w:val="TableParagraph"/>
              <w:spacing w:before="19"/>
              <w:ind w:left="35" w:right="141"/>
              <w:jc w:val="left"/>
              <w:rPr>
                <w:sz w:val="18"/>
              </w:rPr>
            </w:pPr>
            <w:r>
              <w:rPr>
                <w:sz w:val="18"/>
              </w:rPr>
              <w:t>Gain on revaluation of livestock</w:t>
            </w:r>
          </w:p>
        </w:tc>
        <w:tc>
          <w:tcPr>
            <w:tcW w:w="1073" w:type="dxa"/>
          </w:tcPr>
          <w:p>
            <w:pPr>
              <w:pStyle w:val="TableParagraph"/>
              <w:spacing w:before="18"/>
              <w:ind w:right="129"/>
              <w:rPr>
                <w:sz w:val="18"/>
              </w:rPr>
            </w:pPr>
            <w:r>
              <w:rPr>
                <w:sz w:val="18"/>
              </w:rPr>
              <w:t>29(b)</w:t>
            </w:r>
          </w:p>
        </w:tc>
        <w:tc>
          <w:tcPr>
            <w:tcW w:w="1491" w:type="dxa"/>
          </w:tcPr>
          <w:p>
            <w:pPr>
              <w:pStyle w:val="TableParagraph"/>
              <w:spacing w:before="18"/>
              <w:ind w:right="185"/>
              <w:rPr>
                <w:sz w:val="18"/>
              </w:rPr>
            </w:pPr>
            <w:r>
              <w:rPr>
                <w:sz w:val="18"/>
              </w:rPr>
              <w:t>46</w:t>
            </w:r>
          </w:p>
        </w:tc>
        <w:tc>
          <w:tcPr>
            <w:tcW w:w="1250" w:type="dxa"/>
          </w:tcPr>
          <w:p>
            <w:pPr>
              <w:pStyle w:val="TableParagraph"/>
              <w:spacing w:before="18"/>
              <w:ind w:right="211"/>
              <w:rPr>
                <w:sz w:val="18"/>
              </w:rPr>
            </w:pPr>
            <w:r>
              <w:rPr>
                <w:w w:val="99"/>
                <w:sz w:val="18"/>
              </w:rPr>
              <w:t>-</w:t>
            </w:r>
          </w:p>
        </w:tc>
        <w:tc>
          <w:tcPr>
            <w:tcW w:w="1100" w:type="dxa"/>
          </w:tcPr>
          <w:p>
            <w:pPr>
              <w:pStyle w:val="TableParagraph"/>
              <w:spacing w:before="18"/>
              <w:ind w:right="86"/>
              <w:rPr>
                <w:sz w:val="18"/>
              </w:rPr>
            </w:pPr>
            <w:r>
              <w:rPr>
                <w:sz w:val="18"/>
              </w:rPr>
              <w:t>46</w:t>
            </w:r>
          </w:p>
        </w:tc>
      </w:tr>
      <w:tr>
        <w:trPr>
          <w:trHeight w:val="469" w:hRule="exact"/>
        </w:trPr>
        <w:tc>
          <w:tcPr>
            <w:tcW w:w="5009" w:type="dxa"/>
          </w:tcPr>
          <w:p>
            <w:pPr>
              <w:pStyle w:val="TableParagraph"/>
              <w:spacing w:before="18"/>
              <w:ind w:left="35" w:right="141"/>
              <w:jc w:val="left"/>
              <w:rPr>
                <w:sz w:val="18"/>
              </w:rPr>
            </w:pPr>
            <w:r>
              <w:rPr>
                <w:sz w:val="18"/>
              </w:rPr>
              <w:t>Net actuarial gains / (losses) recognised in respect of Defined Benefit Plans</w:t>
            </w:r>
          </w:p>
        </w:tc>
        <w:tc>
          <w:tcPr>
            <w:tcW w:w="1073" w:type="dxa"/>
          </w:tcPr>
          <w:p>
            <w:pPr>
              <w:pStyle w:val="TableParagraph"/>
              <w:spacing w:before="19"/>
              <w:ind w:right="129"/>
              <w:rPr>
                <w:sz w:val="18"/>
              </w:rPr>
            </w:pPr>
            <w:r>
              <w:rPr>
                <w:sz w:val="18"/>
              </w:rPr>
              <w:t>29(b)</w:t>
            </w:r>
          </w:p>
        </w:tc>
        <w:tc>
          <w:tcPr>
            <w:tcW w:w="1491" w:type="dxa"/>
          </w:tcPr>
          <w:p>
            <w:pPr>
              <w:pStyle w:val="TableParagraph"/>
              <w:spacing w:before="4"/>
              <w:jc w:val="left"/>
              <w:rPr>
                <w:b/>
                <w:sz w:val="19"/>
              </w:rPr>
            </w:pPr>
          </w:p>
          <w:p>
            <w:pPr>
              <w:pStyle w:val="TableParagraph"/>
              <w:ind w:right="125"/>
              <w:rPr>
                <w:sz w:val="18"/>
              </w:rPr>
            </w:pPr>
            <w:r>
              <w:rPr>
                <w:sz w:val="18"/>
              </w:rPr>
              <w:t>(280)</w:t>
            </w:r>
          </w:p>
        </w:tc>
        <w:tc>
          <w:tcPr>
            <w:tcW w:w="1250" w:type="dxa"/>
          </w:tcPr>
          <w:p>
            <w:pPr>
              <w:pStyle w:val="TableParagraph"/>
              <w:spacing w:before="4"/>
              <w:jc w:val="left"/>
              <w:rPr>
                <w:b/>
                <w:sz w:val="19"/>
              </w:rPr>
            </w:pPr>
          </w:p>
          <w:p>
            <w:pPr>
              <w:pStyle w:val="TableParagraph"/>
              <w:ind w:right="211"/>
              <w:rPr>
                <w:sz w:val="18"/>
              </w:rPr>
            </w:pPr>
            <w:r>
              <w:rPr>
                <w:w w:val="99"/>
                <w:sz w:val="18"/>
              </w:rPr>
              <w:t>-</w:t>
            </w:r>
          </w:p>
        </w:tc>
        <w:tc>
          <w:tcPr>
            <w:tcW w:w="1100" w:type="dxa"/>
          </w:tcPr>
          <w:p>
            <w:pPr>
              <w:pStyle w:val="TableParagraph"/>
              <w:spacing w:before="4"/>
              <w:jc w:val="left"/>
              <w:rPr>
                <w:b/>
                <w:sz w:val="19"/>
              </w:rPr>
            </w:pPr>
          </w:p>
          <w:p>
            <w:pPr>
              <w:pStyle w:val="TableParagraph"/>
              <w:ind w:right="27"/>
              <w:rPr>
                <w:sz w:val="18"/>
              </w:rPr>
            </w:pPr>
            <w:r>
              <w:rPr>
                <w:sz w:val="18"/>
              </w:rPr>
              <w:t>(280)</w:t>
            </w:r>
          </w:p>
        </w:tc>
      </w:tr>
      <w:tr>
        <w:trPr>
          <w:trHeight w:val="262" w:hRule="exact"/>
        </w:trPr>
        <w:tc>
          <w:tcPr>
            <w:tcW w:w="5009" w:type="dxa"/>
          </w:tcPr>
          <w:p>
            <w:pPr>
              <w:pStyle w:val="TableParagraph"/>
              <w:spacing w:before="19"/>
              <w:ind w:left="35" w:right="141"/>
              <w:jc w:val="left"/>
              <w:rPr>
                <w:sz w:val="18"/>
              </w:rPr>
            </w:pPr>
            <w:r>
              <w:rPr>
                <w:sz w:val="18"/>
              </w:rPr>
              <w:t>Gain on revaluation of licenses</w:t>
            </w:r>
          </w:p>
        </w:tc>
        <w:tc>
          <w:tcPr>
            <w:tcW w:w="1073" w:type="dxa"/>
          </w:tcPr>
          <w:p>
            <w:pPr>
              <w:pStyle w:val="TableParagraph"/>
              <w:spacing w:before="18"/>
              <w:ind w:right="129"/>
              <w:rPr>
                <w:sz w:val="18"/>
              </w:rPr>
            </w:pPr>
            <w:r>
              <w:rPr>
                <w:sz w:val="18"/>
              </w:rPr>
              <w:t>29(b)</w:t>
            </w:r>
          </w:p>
        </w:tc>
        <w:tc>
          <w:tcPr>
            <w:tcW w:w="1491" w:type="dxa"/>
            <w:tcBorders>
              <w:bottom w:val="single" w:sz="0" w:space="0" w:color="000000"/>
            </w:tcBorders>
          </w:tcPr>
          <w:p>
            <w:pPr>
              <w:pStyle w:val="TableParagraph"/>
              <w:spacing w:before="18"/>
              <w:ind w:right="185"/>
              <w:rPr>
                <w:sz w:val="18"/>
              </w:rPr>
            </w:pPr>
            <w:r>
              <w:rPr>
                <w:sz w:val="18"/>
              </w:rPr>
              <w:t>250</w:t>
            </w:r>
          </w:p>
        </w:tc>
        <w:tc>
          <w:tcPr>
            <w:tcW w:w="1250" w:type="dxa"/>
            <w:tcBorders>
              <w:bottom w:val="single" w:sz="0" w:space="0" w:color="000000"/>
            </w:tcBorders>
          </w:tcPr>
          <w:p>
            <w:pPr>
              <w:pStyle w:val="TableParagraph"/>
              <w:spacing w:before="18"/>
              <w:ind w:right="211"/>
              <w:rPr>
                <w:sz w:val="18"/>
              </w:rPr>
            </w:pPr>
            <w:r>
              <w:rPr>
                <w:w w:val="99"/>
                <w:sz w:val="18"/>
              </w:rPr>
              <w:t>-</w:t>
            </w:r>
          </w:p>
        </w:tc>
        <w:tc>
          <w:tcPr>
            <w:tcW w:w="1100" w:type="dxa"/>
            <w:tcBorders>
              <w:bottom w:val="single" w:sz="0" w:space="0" w:color="000000"/>
            </w:tcBorders>
          </w:tcPr>
          <w:p>
            <w:pPr>
              <w:pStyle w:val="TableParagraph"/>
              <w:spacing w:before="18"/>
              <w:ind w:right="86"/>
              <w:rPr>
                <w:sz w:val="18"/>
              </w:rPr>
            </w:pPr>
            <w:r>
              <w:rPr>
                <w:sz w:val="18"/>
              </w:rPr>
              <w:t>250</w:t>
            </w:r>
          </w:p>
        </w:tc>
      </w:tr>
      <w:tr>
        <w:trPr>
          <w:trHeight w:val="338" w:hRule="exact"/>
        </w:trPr>
        <w:tc>
          <w:tcPr>
            <w:tcW w:w="5009" w:type="dxa"/>
          </w:tcPr>
          <w:p>
            <w:pPr>
              <w:pStyle w:val="TableParagraph"/>
              <w:spacing w:before="123"/>
              <w:ind w:left="35" w:right="141"/>
              <w:jc w:val="left"/>
              <w:rPr>
                <w:b/>
                <w:sz w:val="18"/>
              </w:rPr>
            </w:pPr>
            <w:r>
              <w:rPr>
                <w:b/>
                <w:sz w:val="18"/>
              </w:rPr>
              <w:t>Total comprehensive income</w:t>
            </w:r>
          </w:p>
        </w:tc>
        <w:tc>
          <w:tcPr>
            <w:tcW w:w="1073" w:type="dxa"/>
          </w:tcPr>
          <w:p>
            <w:pPr/>
          </w:p>
        </w:tc>
        <w:tc>
          <w:tcPr>
            <w:tcW w:w="1491" w:type="dxa"/>
            <w:tcBorders>
              <w:top w:val="single" w:sz="0" w:space="0" w:color="000000"/>
              <w:bottom w:val="single" w:sz="0" w:space="0" w:color="000000"/>
            </w:tcBorders>
          </w:tcPr>
          <w:p>
            <w:pPr>
              <w:pStyle w:val="TableParagraph"/>
              <w:spacing w:before="122"/>
              <w:ind w:right="184"/>
              <w:rPr>
                <w:sz w:val="18"/>
              </w:rPr>
            </w:pPr>
            <w:r>
              <w:rPr>
                <w:w w:val="95"/>
                <w:sz w:val="18"/>
              </w:rPr>
              <w:t>686,349</w:t>
            </w:r>
          </w:p>
        </w:tc>
        <w:tc>
          <w:tcPr>
            <w:tcW w:w="1250" w:type="dxa"/>
            <w:tcBorders>
              <w:top w:val="single" w:sz="0" w:space="0" w:color="000000"/>
              <w:bottom w:val="single" w:sz="0" w:space="0" w:color="000000"/>
            </w:tcBorders>
          </w:tcPr>
          <w:p>
            <w:pPr>
              <w:pStyle w:val="TableParagraph"/>
              <w:spacing w:before="122"/>
              <w:ind w:right="210"/>
              <w:rPr>
                <w:sz w:val="18"/>
              </w:rPr>
            </w:pPr>
            <w:r>
              <w:rPr>
                <w:w w:val="95"/>
                <w:sz w:val="18"/>
              </w:rPr>
              <w:t>921,004</w:t>
            </w:r>
          </w:p>
        </w:tc>
        <w:tc>
          <w:tcPr>
            <w:tcW w:w="1100" w:type="dxa"/>
            <w:tcBorders>
              <w:top w:val="single" w:sz="0" w:space="0" w:color="000000"/>
              <w:bottom w:val="single" w:sz="0" w:space="0" w:color="000000"/>
            </w:tcBorders>
          </w:tcPr>
          <w:p>
            <w:pPr>
              <w:pStyle w:val="TableParagraph"/>
              <w:spacing w:before="122"/>
              <w:ind w:right="86"/>
              <w:rPr>
                <w:sz w:val="18"/>
              </w:rPr>
            </w:pPr>
            <w:r>
              <w:rPr>
                <w:w w:val="95"/>
                <w:sz w:val="18"/>
              </w:rPr>
              <w:t>1,607,353</w:t>
            </w:r>
          </w:p>
        </w:tc>
      </w:tr>
      <w:tr>
        <w:trPr>
          <w:trHeight w:val="487" w:hRule="exact"/>
        </w:trPr>
        <w:tc>
          <w:tcPr>
            <w:tcW w:w="5009" w:type="dxa"/>
          </w:tcPr>
          <w:p>
            <w:pPr>
              <w:pStyle w:val="TableParagraph"/>
              <w:spacing w:before="38"/>
              <w:ind w:left="35" w:right="141"/>
              <w:jc w:val="left"/>
              <w:rPr>
                <w:sz w:val="18"/>
              </w:rPr>
            </w:pPr>
            <w:r>
              <w:rPr>
                <w:sz w:val="18"/>
              </w:rPr>
              <w:t>Transfer from property plant and equipment reserve on disposal of assets</w:t>
            </w:r>
          </w:p>
        </w:tc>
        <w:tc>
          <w:tcPr>
            <w:tcW w:w="1073" w:type="dxa"/>
          </w:tcPr>
          <w:p>
            <w:pPr>
              <w:pStyle w:val="TableParagraph"/>
              <w:spacing w:before="39"/>
              <w:ind w:right="138"/>
              <w:rPr>
                <w:sz w:val="18"/>
              </w:rPr>
            </w:pPr>
            <w:r>
              <w:rPr>
                <w:sz w:val="18"/>
              </w:rPr>
              <w:t>29(c)</w:t>
            </w:r>
          </w:p>
        </w:tc>
        <w:tc>
          <w:tcPr>
            <w:tcW w:w="1491" w:type="dxa"/>
            <w:tcBorders>
              <w:top w:val="single" w:sz="0" w:space="0" w:color="000000"/>
              <w:bottom w:val="single" w:sz="0" w:space="0" w:color="000000"/>
            </w:tcBorders>
          </w:tcPr>
          <w:p>
            <w:pPr>
              <w:pStyle w:val="TableParagraph"/>
              <w:spacing w:before="1"/>
              <w:jc w:val="left"/>
              <w:rPr>
                <w:b/>
                <w:sz w:val="21"/>
              </w:rPr>
            </w:pPr>
          </w:p>
          <w:p>
            <w:pPr>
              <w:pStyle w:val="TableParagraph"/>
              <w:ind w:right="125"/>
              <w:rPr>
                <w:sz w:val="18"/>
              </w:rPr>
            </w:pPr>
            <w:r>
              <w:rPr>
                <w:w w:val="95"/>
                <w:sz w:val="18"/>
              </w:rPr>
              <w:t>(1,835)</w:t>
            </w:r>
          </w:p>
        </w:tc>
        <w:tc>
          <w:tcPr>
            <w:tcW w:w="1250" w:type="dxa"/>
            <w:tcBorders>
              <w:top w:val="single" w:sz="0" w:space="0" w:color="000000"/>
              <w:bottom w:val="single" w:sz="0" w:space="0" w:color="000000"/>
            </w:tcBorders>
          </w:tcPr>
          <w:p>
            <w:pPr>
              <w:pStyle w:val="TableParagraph"/>
              <w:spacing w:before="1"/>
              <w:jc w:val="left"/>
              <w:rPr>
                <w:b/>
                <w:sz w:val="21"/>
              </w:rPr>
            </w:pPr>
          </w:p>
          <w:p>
            <w:pPr>
              <w:pStyle w:val="TableParagraph"/>
              <w:ind w:right="210"/>
              <w:rPr>
                <w:sz w:val="18"/>
              </w:rPr>
            </w:pPr>
            <w:r>
              <w:rPr>
                <w:sz w:val="18"/>
              </w:rPr>
              <w:t>1,835</w:t>
            </w:r>
          </w:p>
        </w:tc>
        <w:tc>
          <w:tcPr>
            <w:tcW w:w="1100" w:type="dxa"/>
            <w:tcBorders>
              <w:top w:val="single" w:sz="0" w:space="0" w:color="000000"/>
              <w:bottom w:val="single" w:sz="0" w:space="0" w:color="000000"/>
            </w:tcBorders>
          </w:tcPr>
          <w:p>
            <w:pPr>
              <w:pStyle w:val="TableParagraph"/>
              <w:spacing w:before="1"/>
              <w:jc w:val="left"/>
              <w:rPr>
                <w:b/>
                <w:sz w:val="21"/>
              </w:rPr>
            </w:pPr>
          </w:p>
          <w:p>
            <w:pPr>
              <w:pStyle w:val="TableParagraph"/>
              <w:ind w:right="86"/>
              <w:rPr>
                <w:sz w:val="18"/>
              </w:rPr>
            </w:pPr>
            <w:r>
              <w:rPr>
                <w:w w:val="99"/>
                <w:sz w:val="18"/>
              </w:rPr>
              <w:t>-</w:t>
            </w:r>
          </w:p>
        </w:tc>
      </w:tr>
      <w:tr>
        <w:trPr>
          <w:trHeight w:val="326" w:hRule="exact"/>
        </w:trPr>
        <w:tc>
          <w:tcPr>
            <w:tcW w:w="5009" w:type="dxa"/>
          </w:tcPr>
          <w:p>
            <w:pPr>
              <w:pStyle w:val="TableParagraph"/>
              <w:spacing w:before="123"/>
              <w:ind w:left="35" w:right="141"/>
              <w:jc w:val="left"/>
              <w:rPr>
                <w:b/>
                <w:sz w:val="18"/>
              </w:rPr>
            </w:pPr>
            <w:r>
              <w:rPr>
                <w:b/>
                <w:sz w:val="18"/>
              </w:rPr>
              <w:t>Balance at 31 December 2015</w:t>
            </w:r>
          </w:p>
        </w:tc>
        <w:tc>
          <w:tcPr>
            <w:tcW w:w="1073" w:type="dxa"/>
          </w:tcPr>
          <w:p>
            <w:pPr/>
          </w:p>
        </w:tc>
        <w:tc>
          <w:tcPr>
            <w:tcW w:w="1491" w:type="dxa"/>
            <w:tcBorders>
              <w:top w:val="single" w:sz="0" w:space="0" w:color="000000"/>
            </w:tcBorders>
          </w:tcPr>
          <w:p>
            <w:pPr>
              <w:pStyle w:val="TableParagraph"/>
              <w:spacing w:before="122"/>
              <w:ind w:right="184"/>
              <w:rPr>
                <w:sz w:val="18"/>
              </w:rPr>
            </w:pPr>
            <w:r>
              <w:rPr>
                <w:w w:val="95"/>
                <w:sz w:val="18"/>
              </w:rPr>
              <w:t>684,514</w:t>
            </w:r>
          </w:p>
        </w:tc>
        <w:tc>
          <w:tcPr>
            <w:tcW w:w="1250" w:type="dxa"/>
            <w:tcBorders>
              <w:top w:val="single" w:sz="0" w:space="0" w:color="000000"/>
            </w:tcBorders>
          </w:tcPr>
          <w:p>
            <w:pPr>
              <w:pStyle w:val="TableParagraph"/>
              <w:spacing w:before="122"/>
              <w:ind w:right="210"/>
              <w:rPr>
                <w:sz w:val="18"/>
              </w:rPr>
            </w:pPr>
            <w:r>
              <w:rPr>
                <w:w w:val="95"/>
                <w:sz w:val="18"/>
              </w:rPr>
              <w:t>922,839</w:t>
            </w:r>
          </w:p>
        </w:tc>
        <w:tc>
          <w:tcPr>
            <w:tcW w:w="1100" w:type="dxa"/>
            <w:tcBorders>
              <w:top w:val="single" w:sz="0" w:space="0" w:color="000000"/>
            </w:tcBorders>
          </w:tcPr>
          <w:p>
            <w:pPr>
              <w:pStyle w:val="TableParagraph"/>
              <w:spacing w:before="122"/>
              <w:ind w:right="86"/>
              <w:rPr>
                <w:sz w:val="18"/>
              </w:rPr>
            </w:pPr>
            <w:r>
              <w:rPr>
                <w:w w:val="95"/>
                <w:sz w:val="18"/>
              </w:rPr>
              <w:t>1,607,353</w:t>
            </w:r>
          </w:p>
        </w:tc>
      </w:tr>
    </w:tbl>
    <w:p>
      <w:pPr>
        <w:spacing w:after="0"/>
        <w:rPr>
          <w:sz w:val="18"/>
        </w:rPr>
        <w:sectPr>
          <w:headerReference w:type="default" r:id="rId34"/>
          <w:pgSz w:w="12750" w:h="17680"/>
          <w:pgMar w:header="0" w:footer="5025" w:top="3740" w:bottom="5220" w:left="0" w:right="0"/>
        </w:sectPr>
      </w:pPr>
    </w:p>
    <w:p>
      <w:pPr>
        <w:pStyle w:val="BodyText"/>
        <w:spacing w:before="6"/>
        <w:rPr>
          <w:b/>
          <w:sz w:val="29"/>
        </w:rPr>
      </w:pPr>
    </w:p>
    <w:p>
      <w:pPr>
        <w:pStyle w:val="Heading8"/>
        <w:tabs>
          <w:tab w:pos="9680" w:val="left" w:leader="none"/>
        </w:tabs>
        <w:spacing w:before="77"/>
        <w:ind w:left="6626"/>
      </w:pPr>
      <w:bookmarkStart w:name="Statement of Cash Flows" w:id="12"/>
      <w:bookmarkEnd w:id="12"/>
      <w:r>
        <w:rPr>
          <w:b w:val="0"/>
        </w:rPr>
      </w:r>
      <w:r>
        <w:rPr/>
        <w:t>Consolidated</w:t>
        <w:tab/>
        <w:t>Parent</w:t>
      </w:r>
    </w:p>
    <w:p>
      <w:pPr>
        <w:spacing w:after="0"/>
        <w:sectPr>
          <w:headerReference w:type="default" r:id="rId35"/>
          <w:footerReference w:type="default" r:id="rId36"/>
          <w:pgSz w:w="12750" w:h="17680"/>
          <w:pgMar w:header="0" w:footer="1403" w:top="2640" w:bottom="1600" w:left="0" w:right="0"/>
        </w:sectPr>
      </w:pPr>
    </w:p>
    <w:p>
      <w:pPr>
        <w:pStyle w:val="BodyText"/>
        <w:rPr>
          <w:b/>
        </w:rPr>
      </w:pPr>
    </w:p>
    <w:p>
      <w:pPr>
        <w:pStyle w:val="BodyText"/>
        <w:spacing w:before="1"/>
        <w:rPr>
          <w:b/>
          <w:sz w:val="14"/>
        </w:rPr>
      </w:pPr>
    </w:p>
    <w:p>
      <w:pPr>
        <w:spacing w:before="0"/>
        <w:ind w:left="0" w:right="0" w:firstLine="0"/>
        <w:jc w:val="right"/>
        <w:rPr>
          <w:b/>
          <w:sz w:val="18"/>
        </w:rPr>
      </w:pPr>
      <w:r>
        <w:rPr>
          <w:b/>
          <w:sz w:val="18"/>
        </w:rPr>
        <w:t>Notes</w:t>
      </w:r>
    </w:p>
    <w:p>
      <w:pPr>
        <w:spacing w:before="95"/>
        <w:ind w:left="617" w:right="-16" w:firstLine="0"/>
        <w:jc w:val="left"/>
        <w:rPr>
          <w:b/>
          <w:sz w:val="18"/>
        </w:rPr>
      </w:pPr>
      <w:r>
        <w:rPr/>
        <w:br w:type="column"/>
      </w:r>
      <w:r>
        <w:rPr>
          <w:b/>
          <w:sz w:val="18"/>
        </w:rPr>
        <w:t>2016</w:t>
      </w:r>
    </w:p>
    <w:p>
      <w:pPr>
        <w:spacing w:before="66"/>
        <w:ind w:left="595" w:right="-16" w:firstLine="0"/>
        <w:jc w:val="left"/>
        <w:rPr>
          <w:b/>
          <w:sz w:val="18"/>
        </w:rPr>
      </w:pPr>
      <w:r>
        <w:rPr>
          <w:b/>
          <w:spacing w:val="-1"/>
          <w:sz w:val="18"/>
        </w:rPr>
        <w:t>$'000</w:t>
      </w:r>
    </w:p>
    <w:p>
      <w:pPr>
        <w:spacing w:before="95"/>
        <w:ind w:left="837" w:right="-16" w:firstLine="0"/>
        <w:jc w:val="left"/>
        <w:rPr>
          <w:b/>
          <w:sz w:val="18"/>
        </w:rPr>
      </w:pPr>
      <w:r>
        <w:rPr/>
        <w:br w:type="column"/>
      </w:r>
      <w:r>
        <w:rPr>
          <w:b/>
          <w:sz w:val="18"/>
        </w:rPr>
        <w:t>2015</w:t>
      </w:r>
    </w:p>
    <w:p>
      <w:pPr>
        <w:spacing w:before="66"/>
        <w:ind w:left="815" w:right="-16" w:firstLine="0"/>
        <w:jc w:val="left"/>
        <w:rPr>
          <w:b/>
          <w:sz w:val="18"/>
        </w:rPr>
      </w:pPr>
      <w:r>
        <w:rPr>
          <w:b/>
          <w:spacing w:val="-1"/>
          <w:sz w:val="18"/>
        </w:rPr>
        <w:t>$'000</w:t>
      </w:r>
    </w:p>
    <w:p>
      <w:pPr>
        <w:spacing w:before="66"/>
        <w:ind w:left="0" w:right="19" w:firstLine="0"/>
        <w:jc w:val="right"/>
        <w:rPr>
          <w:b/>
          <w:sz w:val="18"/>
        </w:rPr>
      </w:pPr>
      <w:r>
        <w:rPr/>
        <w:br w:type="column"/>
      </w:r>
      <w:r>
        <w:rPr>
          <w:b/>
          <w:sz w:val="18"/>
        </w:rPr>
        <w:t>2016</w:t>
      </w:r>
    </w:p>
    <w:p>
      <w:pPr>
        <w:spacing w:before="65"/>
        <w:ind w:left="0" w:right="0" w:firstLine="0"/>
        <w:jc w:val="right"/>
        <w:rPr>
          <w:b/>
          <w:sz w:val="18"/>
        </w:rPr>
      </w:pPr>
      <w:r>
        <w:rPr>
          <w:b/>
          <w:sz w:val="18"/>
        </w:rPr>
        <w:t>$'000</w:t>
      </w:r>
    </w:p>
    <w:p>
      <w:pPr>
        <w:spacing w:before="66"/>
        <w:ind w:left="837" w:right="0" w:firstLine="0"/>
        <w:jc w:val="left"/>
        <w:rPr>
          <w:b/>
          <w:sz w:val="18"/>
        </w:rPr>
      </w:pPr>
      <w:r>
        <w:rPr/>
        <w:br w:type="column"/>
      </w:r>
      <w:r>
        <w:rPr>
          <w:b/>
          <w:sz w:val="18"/>
        </w:rPr>
        <w:t>2015</w:t>
      </w:r>
    </w:p>
    <w:p>
      <w:pPr>
        <w:spacing w:before="65"/>
        <w:ind w:left="815" w:right="0" w:firstLine="0"/>
        <w:jc w:val="left"/>
        <w:rPr>
          <w:b/>
          <w:sz w:val="18"/>
        </w:rPr>
      </w:pPr>
      <w:r>
        <w:rPr>
          <w:b/>
          <w:sz w:val="18"/>
        </w:rPr>
        <w:t>$'000</w:t>
      </w:r>
    </w:p>
    <w:p>
      <w:pPr>
        <w:spacing w:after="0"/>
        <w:jc w:val="left"/>
        <w:rPr>
          <w:sz w:val="18"/>
        </w:rPr>
        <w:sectPr>
          <w:type w:val="continuous"/>
          <w:pgSz w:w="12750" w:h="17680"/>
          <w:pgMar w:top="1660" w:bottom="0" w:left="0" w:right="0"/>
          <w:cols w:num="5" w:equalWidth="0">
            <w:col w:w="5775" w:space="40"/>
            <w:col w:w="1038" w:space="40"/>
            <w:col w:w="1258" w:space="40"/>
            <w:col w:w="1427" w:space="40"/>
            <w:col w:w="3092"/>
          </w:cols>
        </w:sectPr>
      </w:pPr>
    </w:p>
    <w:p>
      <w:pPr>
        <w:pStyle w:val="BodyText"/>
        <w:spacing w:before="11"/>
        <w:rPr>
          <w:b/>
          <w:sz w:val="5"/>
        </w:rPr>
      </w:pPr>
      <w:r>
        <w:rPr/>
        <w:drawing>
          <wp:anchor distT="0" distB="0" distL="0" distR="0" allowOverlap="1" layoutInCell="1" locked="0" behindDoc="0" simplePos="0" relativeHeight="2032">
            <wp:simplePos x="0" y="0"/>
            <wp:positionH relativeFrom="page">
              <wp:posOffset>-1587</wp:posOffset>
            </wp:positionH>
            <wp:positionV relativeFrom="page">
              <wp:posOffset>5534342</wp:posOffset>
            </wp:positionV>
            <wp:extent cx="135159" cy="154019"/>
            <wp:effectExtent l="0" t="0" r="0" b="0"/>
            <wp:wrapNone/>
            <wp:docPr id="75" name="image13.png" descr=""/>
            <wp:cNvGraphicFramePr>
              <a:graphicFrameLocks noChangeAspect="1"/>
            </wp:cNvGraphicFramePr>
            <a:graphic>
              <a:graphicData uri="http://schemas.openxmlformats.org/drawingml/2006/picture">
                <pic:pic>
                  <pic:nvPicPr>
                    <pic:cNvPr id="76" name="image13.png"/>
                    <pic:cNvPicPr/>
                  </pic:nvPicPr>
                  <pic:blipFill>
                    <a:blip r:embed="rId18" cstate="print"/>
                    <a:stretch>
                      <a:fillRect/>
                    </a:stretch>
                  </pic:blipFill>
                  <pic:spPr>
                    <a:xfrm>
                      <a:off x="0" y="0"/>
                      <a:ext cx="135159" cy="154019"/>
                    </a:xfrm>
                    <a:prstGeom prst="rect">
                      <a:avLst/>
                    </a:prstGeom>
                  </pic:spPr>
                </pic:pic>
              </a:graphicData>
            </a:graphic>
          </wp:anchor>
        </w:drawing>
      </w:r>
      <w:r>
        <w:rPr/>
        <w:drawing>
          <wp:anchor distT="0" distB="0" distL="0" distR="0" allowOverlap="1" layoutInCell="1" locked="0" behindDoc="0" simplePos="0" relativeHeight="2056">
            <wp:simplePos x="0" y="0"/>
            <wp:positionH relativeFrom="page">
              <wp:posOffset>7958429</wp:posOffset>
            </wp:positionH>
            <wp:positionV relativeFrom="page">
              <wp:posOffset>5534342</wp:posOffset>
            </wp:positionV>
            <wp:extent cx="135953" cy="155575"/>
            <wp:effectExtent l="0" t="0" r="0" b="0"/>
            <wp:wrapNone/>
            <wp:docPr id="77" name="image15.png" descr=""/>
            <wp:cNvGraphicFramePr>
              <a:graphicFrameLocks noChangeAspect="1"/>
            </wp:cNvGraphicFramePr>
            <a:graphic>
              <a:graphicData uri="http://schemas.openxmlformats.org/drawingml/2006/picture">
                <pic:pic>
                  <pic:nvPicPr>
                    <pic:cNvPr id="78" name="image15.png"/>
                    <pic:cNvPicPr/>
                  </pic:nvPicPr>
                  <pic:blipFill>
                    <a:blip r:embed="rId20" cstate="print"/>
                    <a:stretch>
                      <a:fillRect/>
                    </a:stretch>
                  </pic:blipFill>
                  <pic:spPr>
                    <a:xfrm>
                      <a:off x="0" y="0"/>
                      <a:ext cx="135953" cy="155575"/>
                    </a:xfrm>
                    <a:prstGeom prst="rect">
                      <a:avLst/>
                    </a:prstGeom>
                  </pic:spPr>
                </pic:pic>
              </a:graphicData>
            </a:graphic>
          </wp:anchor>
        </w:drawing>
      </w:r>
    </w:p>
    <w:tbl>
      <w:tblPr>
        <w:tblW w:w="0" w:type="auto"/>
        <w:jc w:val="left"/>
        <w:tblInd w:w="142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684"/>
        <w:gridCol w:w="709"/>
        <w:gridCol w:w="1702"/>
        <w:gridCol w:w="1382"/>
        <w:gridCol w:w="1382"/>
        <w:gridCol w:w="1062"/>
      </w:tblGrid>
      <w:tr>
        <w:trPr>
          <w:trHeight w:val="513" w:hRule="exact"/>
        </w:trPr>
        <w:tc>
          <w:tcPr>
            <w:tcW w:w="3684" w:type="dxa"/>
          </w:tcPr>
          <w:p>
            <w:pPr>
              <w:pStyle w:val="TableParagraph"/>
              <w:spacing w:before="77"/>
              <w:ind w:left="35" w:right="26"/>
              <w:jc w:val="left"/>
              <w:rPr>
                <w:b/>
                <w:sz w:val="18"/>
              </w:rPr>
            </w:pPr>
            <w:r>
              <w:rPr>
                <w:b/>
                <w:sz w:val="18"/>
              </w:rPr>
              <w:t>CASH FLOWS FROM OPERATING ACTIVITIES</w:t>
            </w:r>
          </w:p>
        </w:tc>
        <w:tc>
          <w:tcPr>
            <w:tcW w:w="6236" w:type="dxa"/>
            <w:gridSpan w:val="5"/>
          </w:tcPr>
          <w:p>
            <w:pPr/>
          </w:p>
        </w:tc>
      </w:tr>
      <w:tr>
        <w:trPr>
          <w:trHeight w:val="250" w:hRule="exact"/>
        </w:trPr>
        <w:tc>
          <w:tcPr>
            <w:tcW w:w="3684" w:type="dxa"/>
          </w:tcPr>
          <w:p>
            <w:pPr>
              <w:pStyle w:val="TableParagraph"/>
              <w:spacing w:before="4"/>
              <w:ind w:left="35" w:right="26"/>
              <w:jc w:val="left"/>
              <w:rPr>
                <w:sz w:val="18"/>
              </w:rPr>
            </w:pPr>
            <w:r>
              <w:rPr>
                <w:sz w:val="18"/>
              </w:rPr>
              <w:t>Australian Government Grants</w:t>
            </w:r>
          </w:p>
        </w:tc>
        <w:tc>
          <w:tcPr>
            <w:tcW w:w="709" w:type="dxa"/>
          </w:tcPr>
          <w:p>
            <w:pPr/>
          </w:p>
        </w:tc>
        <w:tc>
          <w:tcPr>
            <w:tcW w:w="1702" w:type="dxa"/>
          </w:tcPr>
          <w:p>
            <w:pPr>
              <w:pStyle w:val="TableParagraph"/>
              <w:spacing w:before="5"/>
              <w:ind w:right="322"/>
              <w:rPr>
                <w:b/>
                <w:sz w:val="18"/>
              </w:rPr>
            </w:pPr>
            <w:r>
              <w:rPr>
                <w:b/>
                <w:w w:val="95"/>
                <w:sz w:val="18"/>
              </w:rPr>
              <w:t>567,636</w:t>
            </w:r>
          </w:p>
        </w:tc>
        <w:tc>
          <w:tcPr>
            <w:tcW w:w="1382" w:type="dxa"/>
          </w:tcPr>
          <w:p>
            <w:pPr>
              <w:pStyle w:val="TableParagraph"/>
              <w:spacing w:before="5"/>
              <w:ind w:right="406"/>
              <w:rPr>
                <w:sz w:val="18"/>
              </w:rPr>
            </w:pPr>
            <w:r>
              <w:rPr>
                <w:w w:val="95"/>
                <w:sz w:val="18"/>
              </w:rPr>
              <w:t>562,552</w:t>
            </w:r>
          </w:p>
        </w:tc>
        <w:tc>
          <w:tcPr>
            <w:tcW w:w="1382" w:type="dxa"/>
          </w:tcPr>
          <w:p>
            <w:pPr>
              <w:pStyle w:val="TableParagraph"/>
              <w:spacing w:before="5"/>
              <w:ind w:left="409"/>
              <w:jc w:val="left"/>
              <w:rPr>
                <w:b/>
                <w:sz w:val="18"/>
              </w:rPr>
            </w:pPr>
            <w:r>
              <w:rPr>
                <w:b/>
                <w:sz w:val="18"/>
              </w:rPr>
              <w:t>567,636</w:t>
            </w:r>
          </w:p>
        </w:tc>
        <w:tc>
          <w:tcPr>
            <w:tcW w:w="1062" w:type="dxa"/>
          </w:tcPr>
          <w:p>
            <w:pPr>
              <w:pStyle w:val="TableParagraph"/>
              <w:spacing w:before="5"/>
              <w:ind w:right="86"/>
              <w:rPr>
                <w:sz w:val="18"/>
              </w:rPr>
            </w:pPr>
            <w:r>
              <w:rPr>
                <w:w w:val="95"/>
                <w:sz w:val="18"/>
              </w:rPr>
              <w:t>562,416</w:t>
            </w:r>
          </w:p>
        </w:tc>
      </w:tr>
      <w:tr>
        <w:trPr>
          <w:trHeight w:val="264" w:hRule="exact"/>
        </w:trPr>
        <w:tc>
          <w:tcPr>
            <w:tcW w:w="3684" w:type="dxa"/>
          </w:tcPr>
          <w:p>
            <w:pPr>
              <w:pStyle w:val="TableParagraph"/>
              <w:spacing w:before="18"/>
              <w:ind w:left="35" w:right="26"/>
              <w:jc w:val="left"/>
              <w:rPr>
                <w:sz w:val="18"/>
              </w:rPr>
            </w:pPr>
            <w:r>
              <w:rPr>
                <w:sz w:val="18"/>
              </w:rPr>
              <w:t>State Government Grants</w:t>
            </w:r>
          </w:p>
        </w:tc>
        <w:tc>
          <w:tcPr>
            <w:tcW w:w="709" w:type="dxa"/>
          </w:tcPr>
          <w:p>
            <w:pPr/>
          </w:p>
        </w:tc>
        <w:tc>
          <w:tcPr>
            <w:tcW w:w="1702" w:type="dxa"/>
          </w:tcPr>
          <w:p>
            <w:pPr>
              <w:pStyle w:val="TableParagraph"/>
              <w:spacing w:before="19"/>
              <w:ind w:right="321"/>
              <w:rPr>
                <w:b/>
                <w:sz w:val="18"/>
              </w:rPr>
            </w:pPr>
            <w:r>
              <w:rPr>
                <w:b/>
                <w:w w:val="99"/>
                <w:sz w:val="18"/>
              </w:rPr>
              <w:t>6</w:t>
            </w:r>
          </w:p>
        </w:tc>
        <w:tc>
          <w:tcPr>
            <w:tcW w:w="1382" w:type="dxa"/>
          </w:tcPr>
          <w:p>
            <w:pPr>
              <w:pStyle w:val="TableParagraph"/>
              <w:spacing w:before="19"/>
              <w:ind w:right="407"/>
              <w:rPr>
                <w:sz w:val="18"/>
              </w:rPr>
            </w:pPr>
            <w:r>
              <w:rPr>
                <w:w w:val="99"/>
                <w:sz w:val="18"/>
              </w:rPr>
              <w:t>-</w:t>
            </w:r>
          </w:p>
        </w:tc>
        <w:tc>
          <w:tcPr>
            <w:tcW w:w="1382" w:type="dxa"/>
          </w:tcPr>
          <w:p>
            <w:pPr>
              <w:pStyle w:val="TableParagraph"/>
              <w:spacing w:before="19"/>
              <w:ind w:right="321"/>
              <w:rPr>
                <w:b/>
                <w:sz w:val="18"/>
              </w:rPr>
            </w:pPr>
            <w:r>
              <w:rPr>
                <w:b/>
                <w:w w:val="99"/>
                <w:sz w:val="18"/>
              </w:rPr>
              <w:t>6</w:t>
            </w:r>
          </w:p>
        </w:tc>
        <w:tc>
          <w:tcPr>
            <w:tcW w:w="1062" w:type="dxa"/>
          </w:tcPr>
          <w:p>
            <w:pPr>
              <w:pStyle w:val="TableParagraph"/>
              <w:spacing w:before="19"/>
              <w:ind w:right="86"/>
              <w:rPr>
                <w:sz w:val="18"/>
              </w:rPr>
            </w:pPr>
            <w:r>
              <w:rPr>
                <w:w w:val="99"/>
                <w:sz w:val="18"/>
              </w:rPr>
              <w:t>-</w:t>
            </w:r>
          </w:p>
        </w:tc>
      </w:tr>
      <w:tr>
        <w:trPr>
          <w:trHeight w:val="264" w:hRule="exact"/>
        </w:trPr>
        <w:tc>
          <w:tcPr>
            <w:tcW w:w="3684" w:type="dxa"/>
          </w:tcPr>
          <w:p>
            <w:pPr>
              <w:pStyle w:val="TableParagraph"/>
              <w:spacing w:before="18"/>
              <w:ind w:left="35" w:right="26"/>
              <w:jc w:val="left"/>
              <w:rPr>
                <w:sz w:val="18"/>
              </w:rPr>
            </w:pPr>
            <w:r>
              <w:rPr>
                <w:sz w:val="18"/>
              </w:rPr>
              <w:t>HECS-HELP - Student payments</w:t>
            </w:r>
          </w:p>
        </w:tc>
        <w:tc>
          <w:tcPr>
            <w:tcW w:w="709" w:type="dxa"/>
          </w:tcPr>
          <w:p>
            <w:pPr/>
          </w:p>
        </w:tc>
        <w:tc>
          <w:tcPr>
            <w:tcW w:w="1702" w:type="dxa"/>
          </w:tcPr>
          <w:p>
            <w:pPr>
              <w:pStyle w:val="TableParagraph"/>
              <w:spacing w:before="19"/>
              <w:ind w:right="322"/>
              <w:rPr>
                <w:b/>
                <w:sz w:val="18"/>
              </w:rPr>
            </w:pPr>
            <w:r>
              <w:rPr>
                <w:b/>
                <w:w w:val="95"/>
                <w:sz w:val="18"/>
              </w:rPr>
              <w:t>14,594</w:t>
            </w:r>
          </w:p>
        </w:tc>
        <w:tc>
          <w:tcPr>
            <w:tcW w:w="1382" w:type="dxa"/>
          </w:tcPr>
          <w:p>
            <w:pPr>
              <w:pStyle w:val="TableParagraph"/>
              <w:spacing w:before="19"/>
              <w:ind w:right="406"/>
              <w:rPr>
                <w:sz w:val="18"/>
              </w:rPr>
            </w:pPr>
            <w:r>
              <w:rPr>
                <w:w w:val="95"/>
                <w:sz w:val="18"/>
              </w:rPr>
              <w:t>14,821</w:t>
            </w:r>
          </w:p>
        </w:tc>
        <w:tc>
          <w:tcPr>
            <w:tcW w:w="1382" w:type="dxa"/>
          </w:tcPr>
          <w:p>
            <w:pPr>
              <w:pStyle w:val="TableParagraph"/>
              <w:spacing w:before="19"/>
              <w:ind w:left="508"/>
              <w:jc w:val="left"/>
              <w:rPr>
                <w:b/>
                <w:sz w:val="18"/>
              </w:rPr>
            </w:pPr>
            <w:r>
              <w:rPr>
                <w:b/>
                <w:sz w:val="18"/>
              </w:rPr>
              <w:t>14,594</w:t>
            </w:r>
          </w:p>
        </w:tc>
        <w:tc>
          <w:tcPr>
            <w:tcW w:w="1062" w:type="dxa"/>
          </w:tcPr>
          <w:p>
            <w:pPr>
              <w:pStyle w:val="TableParagraph"/>
              <w:spacing w:before="19"/>
              <w:ind w:right="86"/>
              <w:rPr>
                <w:sz w:val="18"/>
              </w:rPr>
            </w:pPr>
            <w:r>
              <w:rPr>
                <w:w w:val="95"/>
                <w:sz w:val="18"/>
              </w:rPr>
              <w:t>14,821</w:t>
            </w:r>
          </w:p>
        </w:tc>
      </w:tr>
      <w:tr>
        <w:trPr>
          <w:trHeight w:val="469" w:hRule="exact"/>
        </w:trPr>
        <w:tc>
          <w:tcPr>
            <w:tcW w:w="3684" w:type="dxa"/>
          </w:tcPr>
          <w:p>
            <w:pPr>
              <w:pStyle w:val="TableParagraph"/>
              <w:spacing w:before="18"/>
              <w:ind w:left="35" w:right="26"/>
              <w:jc w:val="left"/>
              <w:rPr>
                <w:sz w:val="18"/>
              </w:rPr>
            </w:pPr>
            <w:r>
              <w:rPr>
                <w:sz w:val="18"/>
              </w:rPr>
              <w:t>Receipts from student fees and other customers</w:t>
            </w:r>
          </w:p>
        </w:tc>
        <w:tc>
          <w:tcPr>
            <w:tcW w:w="709" w:type="dxa"/>
          </w:tcPr>
          <w:p>
            <w:pPr/>
          </w:p>
        </w:tc>
        <w:tc>
          <w:tcPr>
            <w:tcW w:w="1702" w:type="dxa"/>
          </w:tcPr>
          <w:p>
            <w:pPr>
              <w:pStyle w:val="TableParagraph"/>
              <w:spacing w:before="5"/>
              <w:jc w:val="left"/>
              <w:rPr>
                <w:b/>
                <w:sz w:val="19"/>
              </w:rPr>
            </w:pPr>
          </w:p>
          <w:p>
            <w:pPr>
              <w:pStyle w:val="TableParagraph"/>
              <w:ind w:right="322"/>
              <w:rPr>
                <w:b/>
                <w:sz w:val="18"/>
              </w:rPr>
            </w:pPr>
            <w:r>
              <w:rPr>
                <w:b/>
                <w:w w:val="95"/>
                <w:sz w:val="18"/>
              </w:rPr>
              <w:t>167,926</w:t>
            </w:r>
          </w:p>
        </w:tc>
        <w:tc>
          <w:tcPr>
            <w:tcW w:w="1382" w:type="dxa"/>
          </w:tcPr>
          <w:p>
            <w:pPr>
              <w:pStyle w:val="TableParagraph"/>
              <w:spacing w:before="5"/>
              <w:jc w:val="left"/>
              <w:rPr>
                <w:b/>
                <w:sz w:val="19"/>
              </w:rPr>
            </w:pPr>
          </w:p>
          <w:p>
            <w:pPr>
              <w:pStyle w:val="TableParagraph"/>
              <w:ind w:right="406"/>
              <w:rPr>
                <w:sz w:val="18"/>
              </w:rPr>
            </w:pPr>
            <w:r>
              <w:rPr>
                <w:w w:val="95"/>
                <w:sz w:val="18"/>
              </w:rPr>
              <w:t>171,648</w:t>
            </w:r>
          </w:p>
        </w:tc>
        <w:tc>
          <w:tcPr>
            <w:tcW w:w="1382" w:type="dxa"/>
          </w:tcPr>
          <w:p>
            <w:pPr>
              <w:pStyle w:val="TableParagraph"/>
              <w:spacing w:before="5"/>
              <w:jc w:val="left"/>
              <w:rPr>
                <w:b/>
                <w:sz w:val="19"/>
              </w:rPr>
            </w:pPr>
          </w:p>
          <w:p>
            <w:pPr>
              <w:pStyle w:val="TableParagraph"/>
              <w:ind w:left="409"/>
              <w:jc w:val="left"/>
              <w:rPr>
                <w:b/>
                <w:sz w:val="18"/>
              </w:rPr>
            </w:pPr>
            <w:r>
              <w:rPr>
                <w:b/>
                <w:sz w:val="18"/>
              </w:rPr>
              <w:t>156,864</w:t>
            </w:r>
          </w:p>
        </w:tc>
        <w:tc>
          <w:tcPr>
            <w:tcW w:w="1062" w:type="dxa"/>
          </w:tcPr>
          <w:p>
            <w:pPr>
              <w:pStyle w:val="TableParagraph"/>
              <w:spacing w:before="5"/>
              <w:jc w:val="left"/>
              <w:rPr>
                <w:b/>
                <w:sz w:val="19"/>
              </w:rPr>
            </w:pPr>
          </w:p>
          <w:p>
            <w:pPr>
              <w:pStyle w:val="TableParagraph"/>
              <w:ind w:right="86"/>
              <w:rPr>
                <w:sz w:val="18"/>
              </w:rPr>
            </w:pPr>
            <w:r>
              <w:rPr>
                <w:w w:val="95"/>
                <w:sz w:val="18"/>
              </w:rPr>
              <w:t>148,424</w:t>
            </w:r>
          </w:p>
        </w:tc>
      </w:tr>
      <w:tr>
        <w:trPr>
          <w:trHeight w:val="263" w:hRule="exact"/>
        </w:trPr>
        <w:tc>
          <w:tcPr>
            <w:tcW w:w="3684" w:type="dxa"/>
          </w:tcPr>
          <w:p>
            <w:pPr>
              <w:pStyle w:val="TableParagraph"/>
              <w:spacing w:before="18"/>
              <w:ind w:left="35" w:right="26"/>
              <w:jc w:val="left"/>
              <w:rPr>
                <w:sz w:val="18"/>
              </w:rPr>
            </w:pPr>
            <w:r>
              <w:rPr>
                <w:sz w:val="18"/>
              </w:rPr>
              <w:t>Interest received</w:t>
            </w:r>
          </w:p>
        </w:tc>
        <w:tc>
          <w:tcPr>
            <w:tcW w:w="709" w:type="dxa"/>
          </w:tcPr>
          <w:p>
            <w:pPr/>
          </w:p>
        </w:tc>
        <w:tc>
          <w:tcPr>
            <w:tcW w:w="1702" w:type="dxa"/>
          </w:tcPr>
          <w:p>
            <w:pPr>
              <w:pStyle w:val="TableParagraph"/>
              <w:spacing w:before="19"/>
              <w:ind w:right="322"/>
              <w:rPr>
                <w:b/>
                <w:sz w:val="18"/>
              </w:rPr>
            </w:pPr>
            <w:r>
              <w:rPr>
                <w:b/>
                <w:sz w:val="18"/>
              </w:rPr>
              <w:t>8,226</w:t>
            </w:r>
          </w:p>
        </w:tc>
        <w:tc>
          <w:tcPr>
            <w:tcW w:w="1382" w:type="dxa"/>
          </w:tcPr>
          <w:p>
            <w:pPr>
              <w:pStyle w:val="TableParagraph"/>
              <w:spacing w:before="19"/>
              <w:ind w:right="406"/>
              <w:rPr>
                <w:sz w:val="18"/>
              </w:rPr>
            </w:pPr>
            <w:r>
              <w:rPr>
                <w:w w:val="95"/>
                <w:sz w:val="18"/>
              </w:rPr>
              <w:t>11,773</w:t>
            </w:r>
          </w:p>
        </w:tc>
        <w:tc>
          <w:tcPr>
            <w:tcW w:w="1382" w:type="dxa"/>
          </w:tcPr>
          <w:p>
            <w:pPr>
              <w:pStyle w:val="TableParagraph"/>
              <w:spacing w:before="19"/>
              <w:ind w:left="608"/>
              <w:jc w:val="left"/>
              <w:rPr>
                <w:b/>
                <w:sz w:val="18"/>
              </w:rPr>
            </w:pPr>
            <w:r>
              <w:rPr>
                <w:b/>
                <w:sz w:val="18"/>
              </w:rPr>
              <w:t>7,948</w:t>
            </w:r>
          </w:p>
        </w:tc>
        <w:tc>
          <w:tcPr>
            <w:tcW w:w="1062" w:type="dxa"/>
          </w:tcPr>
          <w:p>
            <w:pPr>
              <w:pStyle w:val="TableParagraph"/>
              <w:spacing w:before="19"/>
              <w:ind w:right="86"/>
              <w:rPr>
                <w:sz w:val="18"/>
              </w:rPr>
            </w:pPr>
            <w:r>
              <w:rPr>
                <w:w w:val="95"/>
                <w:sz w:val="18"/>
              </w:rPr>
              <w:t>11,604</w:t>
            </w:r>
          </w:p>
        </w:tc>
      </w:tr>
      <w:tr>
        <w:trPr>
          <w:trHeight w:val="264" w:hRule="exact"/>
        </w:trPr>
        <w:tc>
          <w:tcPr>
            <w:tcW w:w="3684" w:type="dxa"/>
          </w:tcPr>
          <w:p>
            <w:pPr>
              <w:pStyle w:val="TableParagraph"/>
              <w:spacing w:before="18"/>
              <w:ind w:left="35" w:right="26"/>
              <w:jc w:val="left"/>
              <w:rPr>
                <w:sz w:val="18"/>
              </w:rPr>
            </w:pPr>
            <w:r>
              <w:rPr>
                <w:sz w:val="18"/>
              </w:rPr>
              <w:t>Payments to suppliers and employees</w:t>
            </w:r>
          </w:p>
        </w:tc>
        <w:tc>
          <w:tcPr>
            <w:tcW w:w="709" w:type="dxa"/>
          </w:tcPr>
          <w:p>
            <w:pPr/>
          </w:p>
        </w:tc>
        <w:tc>
          <w:tcPr>
            <w:tcW w:w="1702" w:type="dxa"/>
          </w:tcPr>
          <w:p>
            <w:pPr>
              <w:pStyle w:val="TableParagraph"/>
              <w:spacing w:before="19"/>
              <w:ind w:right="262"/>
              <w:rPr>
                <w:b/>
                <w:sz w:val="18"/>
              </w:rPr>
            </w:pPr>
            <w:r>
              <w:rPr>
                <w:b/>
                <w:w w:val="95"/>
                <w:sz w:val="18"/>
              </w:rPr>
              <w:t>(740,153)</w:t>
            </w:r>
          </w:p>
        </w:tc>
        <w:tc>
          <w:tcPr>
            <w:tcW w:w="1382" w:type="dxa"/>
          </w:tcPr>
          <w:p>
            <w:pPr>
              <w:pStyle w:val="TableParagraph"/>
              <w:spacing w:before="19"/>
              <w:ind w:right="347"/>
              <w:rPr>
                <w:sz w:val="18"/>
              </w:rPr>
            </w:pPr>
            <w:r>
              <w:rPr>
                <w:w w:val="95"/>
                <w:sz w:val="18"/>
              </w:rPr>
              <w:t>(681,349)</w:t>
            </w:r>
          </w:p>
        </w:tc>
        <w:tc>
          <w:tcPr>
            <w:tcW w:w="1382" w:type="dxa"/>
          </w:tcPr>
          <w:p>
            <w:pPr>
              <w:pStyle w:val="TableParagraph"/>
              <w:spacing w:before="19"/>
              <w:ind w:right="262"/>
              <w:rPr>
                <w:b/>
                <w:sz w:val="18"/>
              </w:rPr>
            </w:pPr>
            <w:r>
              <w:rPr>
                <w:b/>
                <w:w w:val="95"/>
                <w:sz w:val="18"/>
              </w:rPr>
              <w:t>(730,058)</w:t>
            </w:r>
          </w:p>
        </w:tc>
        <w:tc>
          <w:tcPr>
            <w:tcW w:w="1062" w:type="dxa"/>
          </w:tcPr>
          <w:p>
            <w:pPr>
              <w:pStyle w:val="TableParagraph"/>
              <w:spacing w:before="19"/>
              <w:ind w:right="27"/>
              <w:rPr>
                <w:sz w:val="18"/>
              </w:rPr>
            </w:pPr>
            <w:r>
              <w:rPr>
                <w:w w:val="95"/>
                <w:sz w:val="18"/>
              </w:rPr>
              <w:t>(658,667)</w:t>
            </w:r>
          </w:p>
        </w:tc>
      </w:tr>
      <w:tr>
        <w:trPr>
          <w:trHeight w:val="264" w:hRule="exact"/>
        </w:trPr>
        <w:tc>
          <w:tcPr>
            <w:tcW w:w="3684" w:type="dxa"/>
          </w:tcPr>
          <w:p>
            <w:pPr>
              <w:pStyle w:val="TableParagraph"/>
              <w:spacing w:before="18"/>
              <w:ind w:left="35" w:right="26"/>
              <w:jc w:val="left"/>
              <w:rPr>
                <w:sz w:val="18"/>
              </w:rPr>
            </w:pPr>
            <w:r>
              <w:rPr>
                <w:sz w:val="18"/>
              </w:rPr>
              <w:t>Interest and other costs of finance</w:t>
            </w:r>
          </w:p>
        </w:tc>
        <w:tc>
          <w:tcPr>
            <w:tcW w:w="709" w:type="dxa"/>
          </w:tcPr>
          <w:p>
            <w:pPr/>
          </w:p>
        </w:tc>
        <w:tc>
          <w:tcPr>
            <w:tcW w:w="1702" w:type="dxa"/>
          </w:tcPr>
          <w:p>
            <w:pPr>
              <w:pStyle w:val="TableParagraph"/>
              <w:spacing w:before="19"/>
              <w:ind w:right="262"/>
              <w:rPr>
                <w:b/>
                <w:sz w:val="18"/>
              </w:rPr>
            </w:pPr>
            <w:r>
              <w:rPr>
                <w:b/>
                <w:w w:val="95"/>
                <w:sz w:val="18"/>
              </w:rPr>
              <w:t>(2,558)</w:t>
            </w:r>
          </w:p>
        </w:tc>
        <w:tc>
          <w:tcPr>
            <w:tcW w:w="1382" w:type="dxa"/>
          </w:tcPr>
          <w:p>
            <w:pPr>
              <w:pStyle w:val="TableParagraph"/>
              <w:spacing w:before="19"/>
              <w:ind w:right="347"/>
              <w:rPr>
                <w:sz w:val="18"/>
              </w:rPr>
            </w:pPr>
            <w:r>
              <w:rPr>
                <w:w w:val="95"/>
                <w:sz w:val="18"/>
              </w:rPr>
              <w:t>(1,735)</w:t>
            </w:r>
          </w:p>
        </w:tc>
        <w:tc>
          <w:tcPr>
            <w:tcW w:w="1382" w:type="dxa"/>
          </w:tcPr>
          <w:p>
            <w:pPr>
              <w:pStyle w:val="TableParagraph"/>
              <w:spacing w:before="19"/>
              <w:ind w:right="262"/>
              <w:rPr>
                <w:b/>
                <w:sz w:val="18"/>
              </w:rPr>
            </w:pPr>
            <w:r>
              <w:rPr>
                <w:b/>
                <w:w w:val="95"/>
                <w:sz w:val="18"/>
              </w:rPr>
              <w:t>(2,550)</w:t>
            </w:r>
          </w:p>
        </w:tc>
        <w:tc>
          <w:tcPr>
            <w:tcW w:w="1062" w:type="dxa"/>
          </w:tcPr>
          <w:p>
            <w:pPr>
              <w:pStyle w:val="TableParagraph"/>
              <w:spacing w:before="19"/>
              <w:ind w:right="27"/>
              <w:rPr>
                <w:sz w:val="18"/>
              </w:rPr>
            </w:pPr>
            <w:r>
              <w:rPr>
                <w:w w:val="95"/>
                <w:sz w:val="18"/>
              </w:rPr>
              <w:t>(1,746)</w:t>
            </w:r>
          </w:p>
        </w:tc>
      </w:tr>
      <w:tr>
        <w:trPr>
          <w:trHeight w:val="263" w:hRule="exact"/>
        </w:trPr>
        <w:tc>
          <w:tcPr>
            <w:tcW w:w="3684" w:type="dxa"/>
          </w:tcPr>
          <w:p>
            <w:pPr>
              <w:pStyle w:val="TableParagraph"/>
              <w:spacing w:before="18"/>
              <w:ind w:left="35" w:right="26"/>
              <w:jc w:val="left"/>
              <w:rPr>
                <w:sz w:val="18"/>
              </w:rPr>
            </w:pPr>
            <w:r>
              <w:rPr>
                <w:sz w:val="18"/>
              </w:rPr>
              <w:t>GST recovered</w:t>
            </w:r>
          </w:p>
        </w:tc>
        <w:tc>
          <w:tcPr>
            <w:tcW w:w="709" w:type="dxa"/>
          </w:tcPr>
          <w:p>
            <w:pPr/>
          </w:p>
        </w:tc>
        <w:tc>
          <w:tcPr>
            <w:tcW w:w="1702" w:type="dxa"/>
            <w:tcBorders>
              <w:bottom w:val="single" w:sz="0" w:space="0" w:color="000000"/>
            </w:tcBorders>
          </w:tcPr>
          <w:p>
            <w:pPr>
              <w:pStyle w:val="TableParagraph"/>
              <w:spacing w:before="19"/>
              <w:ind w:right="322"/>
              <w:rPr>
                <w:b/>
                <w:sz w:val="18"/>
              </w:rPr>
            </w:pPr>
            <w:r>
              <w:rPr>
                <w:b/>
                <w:w w:val="95"/>
                <w:sz w:val="18"/>
              </w:rPr>
              <w:t>27,821</w:t>
            </w:r>
          </w:p>
        </w:tc>
        <w:tc>
          <w:tcPr>
            <w:tcW w:w="1382" w:type="dxa"/>
            <w:tcBorders>
              <w:bottom w:val="single" w:sz="0" w:space="0" w:color="000000"/>
            </w:tcBorders>
          </w:tcPr>
          <w:p>
            <w:pPr>
              <w:pStyle w:val="TableParagraph"/>
              <w:spacing w:before="19"/>
              <w:ind w:right="406"/>
              <w:rPr>
                <w:sz w:val="18"/>
              </w:rPr>
            </w:pPr>
            <w:r>
              <w:rPr>
                <w:w w:val="95"/>
                <w:sz w:val="18"/>
              </w:rPr>
              <w:t>21,337</w:t>
            </w:r>
          </w:p>
        </w:tc>
        <w:tc>
          <w:tcPr>
            <w:tcW w:w="1382" w:type="dxa"/>
            <w:tcBorders>
              <w:bottom w:val="single" w:sz="0" w:space="0" w:color="000000"/>
            </w:tcBorders>
          </w:tcPr>
          <w:p>
            <w:pPr>
              <w:pStyle w:val="TableParagraph"/>
              <w:spacing w:before="19"/>
              <w:ind w:left="508"/>
              <w:jc w:val="left"/>
              <w:rPr>
                <w:b/>
                <w:sz w:val="18"/>
              </w:rPr>
            </w:pPr>
            <w:r>
              <w:rPr>
                <w:b/>
                <w:sz w:val="18"/>
              </w:rPr>
              <w:t>27,821</w:t>
            </w:r>
          </w:p>
        </w:tc>
        <w:tc>
          <w:tcPr>
            <w:tcW w:w="1062" w:type="dxa"/>
            <w:tcBorders>
              <w:bottom w:val="single" w:sz="0" w:space="0" w:color="000000"/>
            </w:tcBorders>
          </w:tcPr>
          <w:p>
            <w:pPr>
              <w:pStyle w:val="TableParagraph"/>
              <w:spacing w:before="19"/>
              <w:ind w:right="86"/>
              <w:rPr>
                <w:sz w:val="18"/>
              </w:rPr>
            </w:pPr>
            <w:r>
              <w:rPr>
                <w:w w:val="95"/>
                <w:sz w:val="18"/>
              </w:rPr>
              <w:t>21,337</w:t>
            </w:r>
          </w:p>
        </w:tc>
      </w:tr>
      <w:tr>
        <w:trPr>
          <w:trHeight w:val="338" w:hRule="exact"/>
        </w:trPr>
        <w:tc>
          <w:tcPr>
            <w:tcW w:w="3684" w:type="dxa"/>
          </w:tcPr>
          <w:p>
            <w:pPr>
              <w:pStyle w:val="TableParagraph"/>
              <w:spacing w:before="38"/>
              <w:ind w:left="35" w:right="26"/>
              <w:jc w:val="left"/>
              <w:rPr>
                <w:b/>
                <w:sz w:val="18"/>
              </w:rPr>
            </w:pPr>
            <w:r>
              <w:rPr>
                <w:b/>
                <w:sz w:val="18"/>
              </w:rPr>
              <w:t>Net cash provided by operating activities</w:t>
            </w:r>
          </w:p>
        </w:tc>
        <w:tc>
          <w:tcPr>
            <w:tcW w:w="709" w:type="dxa"/>
          </w:tcPr>
          <w:p>
            <w:pPr>
              <w:pStyle w:val="TableParagraph"/>
              <w:spacing w:before="39"/>
              <w:ind w:left="159"/>
              <w:jc w:val="left"/>
              <w:rPr>
                <w:sz w:val="18"/>
              </w:rPr>
            </w:pPr>
            <w:r>
              <w:rPr>
                <w:sz w:val="18"/>
              </w:rPr>
              <w:t>39</w:t>
            </w:r>
          </w:p>
        </w:tc>
        <w:tc>
          <w:tcPr>
            <w:tcW w:w="1702" w:type="dxa"/>
            <w:tcBorders>
              <w:top w:val="single" w:sz="0" w:space="0" w:color="000000"/>
              <w:bottom w:val="single" w:sz="0" w:space="0" w:color="000000"/>
            </w:tcBorders>
          </w:tcPr>
          <w:p>
            <w:pPr>
              <w:pStyle w:val="TableParagraph"/>
              <w:spacing w:before="122"/>
              <w:ind w:right="322"/>
              <w:rPr>
                <w:b/>
                <w:sz w:val="18"/>
              </w:rPr>
            </w:pPr>
            <w:r>
              <w:rPr>
                <w:b/>
                <w:w w:val="95"/>
                <w:sz w:val="18"/>
              </w:rPr>
              <w:t>43,498</w:t>
            </w:r>
          </w:p>
        </w:tc>
        <w:tc>
          <w:tcPr>
            <w:tcW w:w="1382" w:type="dxa"/>
            <w:tcBorders>
              <w:top w:val="single" w:sz="0" w:space="0" w:color="000000"/>
              <w:bottom w:val="single" w:sz="0" w:space="0" w:color="000000"/>
            </w:tcBorders>
          </w:tcPr>
          <w:p>
            <w:pPr>
              <w:pStyle w:val="TableParagraph"/>
              <w:spacing w:before="122"/>
              <w:ind w:right="406"/>
              <w:rPr>
                <w:sz w:val="18"/>
              </w:rPr>
            </w:pPr>
            <w:r>
              <w:rPr>
                <w:w w:val="95"/>
                <w:sz w:val="18"/>
              </w:rPr>
              <w:t>99,047</w:t>
            </w:r>
          </w:p>
        </w:tc>
        <w:tc>
          <w:tcPr>
            <w:tcW w:w="1382" w:type="dxa"/>
            <w:tcBorders>
              <w:top w:val="single" w:sz="0" w:space="0" w:color="000000"/>
              <w:bottom w:val="single" w:sz="0" w:space="0" w:color="000000"/>
            </w:tcBorders>
          </w:tcPr>
          <w:p>
            <w:pPr>
              <w:pStyle w:val="TableParagraph"/>
              <w:spacing w:before="122"/>
              <w:ind w:left="508"/>
              <w:jc w:val="left"/>
              <w:rPr>
                <w:b/>
                <w:sz w:val="18"/>
              </w:rPr>
            </w:pPr>
            <w:r>
              <w:rPr>
                <w:b/>
                <w:sz w:val="18"/>
              </w:rPr>
              <w:t>42,261</w:t>
            </w:r>
          </w:p>
        </w:tc>
        <w:tc>
          <w:tcPr>
            <w:tcW w:w="1062" w:type="dxa"/>
            <w:tcBorders>
              <w:top w:val="single" w:sz="0" w:space="0" w:color="000000"/>
              <w:bottom w:val="single" w:sz="0" w:space="0" w:color="000000"/>
            </w:tcBorders>
          </w:tcPr>
          <w:p>
            <w:pPr>
              <w:pStyle w:val="TableParagraph"/>
              <w:spacing w:before="122"/>
              <w:ind w:right="86"/>
              <w:rPr>
                <w:sz w:val="18"/>
              </w:rPr>
            </w:pPr>
            <w:r>
              <w:rPr>
                <w:w w:val="95"/>
                <w:sz w:val="18"/>
              </w:rPr>
              <w:t>98,189</w:t>
            </w:r>
          </w:p>
        </w:tc>
      </w:tr>
      <w:tr>
        <w:trPr>
          <w:trHeight w:val="855" w:hRule="exact"/>
        </w:trPr>
        <w:tc>
          <w:tcPr>
            <w:tcW w:w="3684" w:type="dxa"/>
          </w:tcPr>
          <w:p>
            <w:pPr>
              <w:pStyle w:val="TableParagraph"/>
              <w:jc w:val="left"/>
              <w:rPr>
                <w:b/>
                <w:sz w:val="18"/>
              </w:rPr>
            </w:pPr>
          </w:p>
          <w:p>
            <w:pPr>
              <w:pStyle w:val="TableParagraph"/>
              <w:spacing w:before="4"/>
              <w:jc w:val="left"/>
              <w:rPr>
                <w:b/>
                <w:sz w:val="18"/>
              </w:rPr>
            </w:pPr>
          </w:p>
          <w:p>
            <w:pPr>
              <w:pStyle w:val="TableParagraph"/>
              <w:ind w:left="35" w:right="819"/>
              <w:jc w:val="left"/>
              <w:rPr>
                <w:b/>
                <w:sz w:val="18"/>
              </w:rPr>
            </w:pPr>
            <w:r>
              <w:rPr>
                <w:b/>
                <w:sz w:val="18"/>
              </w:rPr>
              <w:t>CASH FLOWS FROM INVESTING ACTIVITIES</w:t>
            </w:r>
          </w:p>
        </w:tc>
        <w:tc>
          <w:tcPr>
            <w:tcW w:w="709" w:type="dxa"/>
          </w:tcPr>
          <w:p>
            <w:pPr/>
          </w:p>
        </w:tc>
        <w:tc>
          <w:tcPr>
            <w:tcW w:w="1702" w:type="dxa"/>
            <w:tcBorders>
              <w:top w:val="single" w:sz="0" w:space="0" w:color="000000"/>
            </w:tcBorders>
          </w:tcPr>
          <w:p>
            <w:pPr/>
          </w:p>
        </w:tc>
        <w:tc>
          <w:tcPr>
            <w:tcW w:w="1382" w:type="dxa"/>
            <w:tcBorders>
              <w:top w:val="single" w:sz="0" w:space="0" w:color="000000"/>
            </w:tcBorders>
          </w:tcPr>
          <w:p>
            <w:pPr/>
          </w:p>
        </w:tc>
        <w:tc>
          <w:tcPr>
            <w:tcW w:w="1382" w:type="dxa"/>
            <w:tcBorders>
              <w:top w:val="single" w:sz="0" w:space="0" w:color="000000"/>
            </w:tcBorders>
          </w:tcPr>
          <w:p>
            <w:pPr/>
          </w:p>
        </w:tc>
        <w:tc>
          <w:tcPr>
            <w:tcW w:w="1062" w:type="dxa"/>
            <w:tcBorders>
              <w:top w:val="single" w:sz="0" w:space="0" w:color="000000"/>
            </w:tcBorders>
          </w:tcPr>
          <w:p>
            <w:pPr/>
          </w:p>
        </w:tc>
      </w:tr>
      <w:tr>
        <w:trPr>
          <w:trHeight w:val="454" w:hRule="exact"/>
        </w:trPr>
        <w:tc>
          <w:tcPr>
            <w:tcW w:w="3684" w:type="dxa"/>
          </w:tcPr>
          <w:p>
            <w:pPr>
              <w:pStyle w:val="TableParagraph"/>
              <w:spacing w:before="4"/>
              <w:ind w:left="35" w:right="26"/>
              <w:jc w:val="left"/>
              <w:rPr>
                <w:sz w:val="18"/>
              </w:rPr>
            </w:pPr>
            <w:r>
              <w:rPr>
                <w:sz w:val="18"/>
              </w:rPr>
              <w:t>Proceeds from sale of property, plant and equipment</w:t>
            </w:r>
          </w:p>
        </w:tc>
        <w:tc>
          <w:tcPr>
            <w:tcW w:w="709" w:type="dxa"/>
          </w:tcPr>
          <w:p>
            <w:pPr/>
          </w:p>
        </w:tc>
        <w:tc>
          <w:tcPr>
            <w:tcW w:w="1702" w:type="dxa"/>
          </w:tcPr>
          <w:p>
            <w:pPr>
              <w:pStyle w:val="TableParagraph"/>
              <w:spacing w:before="2"/>
              <w:jc w:val="left"/>
              <w:rPr>
                <w:b/>
                <w:sz w:val="18"/>
              </w:rPr>
            </w:pPr>
          </w:p>
          <w:p>
            <w:pPr>
              <w:pStyle w:val="TableParagraph"/>
              <w:ind w:right="322"/>
              <w:rPr>
                <w:b/>
                <w:sz w:val="18"/>
              </w:rPr>
            </w:pPr>
            <w:r>
              <w:rPr>
                <w:b/>
                <w:w w:val="95"/>
                <w:sz w:val="18"/>
              </w:rPr>
              <w:t>25,796</w:t>
            </w:r>
          </w:p>
        </w:tc>
        <w:tc>
          <w:tcPr>
            <w:tcW w:w="1382" w:type="dxa"/>
          </w:tcPr>
          <w:p>
            <w:pPr>
              <w:pStyle w:val="TableParagraph"/>
              <w:spacing w:before="2"/>
              <w:jc w:val="left"/>
              <w:rPr>
                <w:b/>
                <w:sz w:val="18"/>
              </w:rPr>
            </w:pPr>
          </w:p>
          <w:p>
            <w:pPr>
              <w:pStyle w:val="TableParagraph"/>
              <w:ind w:right="406"/>
              <w:rPr>
                <w:sz w:val="18"/>
              </w:rPr>
            </w:pPr>
            <w:r>
              <w:rPr>
                <w:w w:val="95"/>
                <w:sz w:val="18"/>
              </w:rPr>
              <w:t>31,939</w:t>
            </w:r>
          </w:p>
        </w:tc>
        <w:tc>
          <w:tcPr>
            <w:tcW w:w="1382" w:type="dxa"/>
          </w:tcPr>
          <w:p>
            <w:pPr>
              <w:pStyle w:val="TableParagraph"/>
              <w:spacing w:before="2"/>
              <w:jc w:val="left"/>
              <w:rPr>
                <w:b/>
                <w:sz w:val="18"/>
              </w:rPr>
            </w:pPr>
          </w:p>
          <w:p>
            <w:pPr>
              <w:pStyle w:val="TableParagraph"/>
              <w:ind w:left="508"/>
              <w:jc w:val="left"/>
              <w:rPr>
                <w:b/>
                <w:sz w:val="18"/>
              </w:rPr>
            </w:pPr>
            <w:r>
              <w:rPr>
                <w:b/>
                <w:sz w:val="18"/>
              </w:rPr>
              <w:t>25,306</w:t>
            </w:r>
          </w:p>
        </w:tc>
        <w:tc>
          <w:tcPr>
            <w:tcW w:w="1062" w:type="dxa"/>
          </w:tcPr>
          <w:p>
            <w:pPr>
              <w:pStyle w:val="TableParagraph"/>
              <w:spacing w:before="2"/>
              <w:jc w:val="left"/>
              <w:rPr>
                <w:b/>
                <w:sz w:val="18"/>
              </w:rPr>
            </w:pPr>
          </w:p>
          <w:p>
            <w:pPr>
              <w:pStyle w:val="TableParagraph"/>
              <w:ind w:right="86"/>
              <w:rPr>
                <w:sz w:val="18"/>
              </w:rPr>
            </w:pPr>
            <w:r>
              <w:rPr>
                <w:w w:val="95"/>
                <w:sz w:val="18"/>
              </w:rPr>
              <w:t>31,866</w:t>
            </w:r>
          </w:p>
        </w:tc>
      </w:tr>
      <w:tr>
        <w:trPr>
          <w:trHeight w:val="263" w:hRule="exact"/>
        </w:trPr>
        <w:tc>
          <w:tcPr>
            <w:tcW w:w="3684" w:type="dxa"/>
          </w:tcPr>
          <w:p>
            <w:pPr>
              <w:pStyle w:val="TableParagraph"/>
              <w:spacing w:before="18"/>
              <w:ind w:left="35" w:right="26"/>
              <w:jc w:val="left"/>
              <w:rPr>
                <w:sz w:val="18"/>
              </w:rPr>
            </w:pPr>
            <w:r>
              <w:rPr>
                <w:sz w:val="18"/>
              </w:rPr>
              <w:t>Payments for property, plant and equipment</w:t>
            </w:r>
          </w:p>
        </w:tc>
        <w:tc>
          <w:tcPr>
            <w:tcW w:w="709" w:type="dxa"/>
          </w:tcPr>
          <w:p>
            <w:pPr/>
          </w:p>
        </w:tc>
        <w:tc>
          <w:tcPr>
            <w:tcW w:w="1702" w:type="dxa"/>
          </w:tcPr>
          <w:p>
            <w:pPr>
              <w:pStyle w:val="TableParagraph"/>
              <w:spacing w:before="19"/>
              <w:ind w:right="262"/>
              <w:rPr>
                <w:b/>
                <w:sz w:val="18"/>
              </w:rPr>
            </w:pPr>
            <w:r>
              <w:rPr>
                <w:b/>
                <w:w w:val="95"/>
                <w:sz w:val="18"/>
              </w:rPr>
              <w:t>(134,198)</w:t>
            </w:r>
          </w:p>
        </w:tc>
        <w:tc>
          <w:tcPr>
            <w:tcW w:w="1382" w:type="dxa"/>
          </w:tcPr>
          <w:p>
            <w:pPr>
              <w:pStyle w:val="TableParagraph"/>
              <w:spacing w:before="19"/>
              <w:ind w:right="347"/>
              <w:rPr>
                <w:sz w:val="18"/>
              </w:rPr>
            </w:pPr>
            <w:r>
              <w:rPr>
                <w:w w:val="95"/>
                <w:sz w:val="18"/>
              </w:rPr>
              <w:t>(93,893)</w:t>
            </w:r>
          </w:p>
        </w:tc>
        <w:tc>
          <w:tcPr>
            <w:tcW w:w="1382" w:type="dxa"/>
          </w:tcPr>
          <w:p>
            <w:pPr>
              <w:pStyle w:val="TableParagraph"/>
              <w:spacing w:before="19"/>
              <w:ind w:right="262"/>
              <w:rPr>
                <w:b/>
                <w:sz w:val="18"/>
              </w:rPr>
            </w:pPr>
            <w:r>
              <w:rPr>
                <w:b/>
                <w:w w:val="95"/>
                <w:sz w:val="18"/>
              </w:rPr>
              <w:t>(132,566)</w:t>
            </w:r>
          </w:p>
        </w:tc>
        <w:tc>
          <w:tcPr>
            <w:tcW w:w="1062" w:type="dxa"/>
          </w:tcPr>
          <w:p>
            <w:pPr>
              <w:pStyle w:val="TableParagraph"/>
              <w:spacing w:before="19"/>
              <w:ind w:right="27"/>
              <w:rPr>
                <w:sz w:val="18"/>
              </w:rPr>
            </w:pPr>
            <w:r>
              <w:rPr>
                <w:w w:val="95"/>
                <w:sz w:val="18"/>
              </w:rPr>
              <w:t>(91,586)</w:t>
            </w:r>
          </w:p>
        </w:tc>
      </w:tr>
      <w:tr>
        <w:trPr>
          <w:trHeight w:val="264" w:hRule="exact"/>
        </w:trPr>
        <w:tc>
          <w:tcPr>
            <w:tcW w:w="3684" w:type="dxa"/>
          </w:tcPr>
          <w:p>
            <w:pPr>
              <w:pStyle w:val="TableParagraph"/>
              <w:spacing w:before="18"/>
              <w:ind w:left="35" w:right="26"/>
              <w:jc w:val="left"/>
              <w:rPr>
                <w:sz w:val="18"/>
              </w:rPr>
            </w:pPr>
            <w:r>
              <w:rPr>
                <w:sz w:val="18"/>
              </w:rPr>
              <w:t>Payments for financial assets</w:t>
            </w:r>
          </w:p>
        </w:tc>
        <w:tc>
          <w:tcPr>
            <w:tcW w:w="709" w:type="dxa"/>
          </w:tcPr>
          <w:p>
            <w:pPr/>
          </w:p>
        </w:tc>
        <w:tc>
          <w:tcPr>
            <w:tcW w:w="1702" w:type="dxa"/>
          </w:tcPr>
          <w:p>
            <w:pPr>
              <w:pStyle w:val="TableParagraph"/>
              <w:spacing w:before="19"/>
              <w:ind w:right="262"/>
              <w:rPr>
                <w:b/>
                <w:sz w:val="18"/>
              </w:rPr>
            </w:pPr>
            <w:r>
              <w:rPr>
                <w:b/>
                <w:w w:val="95"/>
                <w:sz w:val="18"/>
              </w:rPr>
              <w:t>(7,915)</w:t>
            </w:r>
          </w:p>
        </w:tc>
        <w:tc>
          <w:tcPr>
            <w:tcW w:w="1382" w:type="dxa"/>
          </w:tcPr>
          <w:p>
            <w:pPr>
              <w:pStyle w:val="TableParagraph"/>
              <w:spacing w:before="19"/>
              <w:ind w:right="347"/>
              <w:rPr>
                <w:sz w:val="18"/>
              </w:rPr>
            </w:pPr>
            <w:r>
              <w:rPr>
                <w:w w:val="95"/>
                <w:sz w:val="18"/>
              </w:rPr>
              <w:t>(28,187)</w:t>
            </w:r>
          </w:p>
        </w:tc>
        <w:tc>
          <w:tcPr>
            <w:tcW w:w="1382" w:type="dxa"/>
          </w:tcPr>
          <w:p>
            <w:pPr>
              <w:pStyle w:val="TableParagraph"/>
              <w:spacing w:before="19"/>
              <w:ind w:right="262"/>
              <w:rPr>
                <w:b/>
                <w:sz w:val="18"/>
              </w:rPr>
            </w:pPr>
            <w:r>
              <w:rPr>
                <w:b/>
                <w:w w:val="95"/>
                <w:sz w:val="18"/>
              </w:rPr>
              <w:t>(7,915)</w:t>
            </w:r>
          </w:p>
        </w:tc>
        <w:tc>
          <w:tcPr>
            <w:tcW w:w="1062" w:type="dxa"/>
          </w:tcPr>
          <w:p>
            <w:pPr>
              <w:pStyle w:val="TableParagraph"/>
              <w:spacing w:before="19"/>
              <w:ind w:right="27"/>
              <w:rPr>
                <w:sz w:val="18"/>
              </w:rPr>
            </w:pPr>
            <w:r>
              <w:rPr>
                <w:w w:val="95"/>
                <w:sz w:val="18"/>
              </w:rPr>
              <w:t>(28,187)</w:t>
            </w:r>
          </w:p>
        </w:tc>
      </w:tr>
      <w:tr>
        <w:trPr>
          <w:trHeight w:val="264" w:hRule="exact"/>
        </w:trPr>
        <w:tc>
          <w:tcPr>
            <w:tcW w:w="3684" w:type="dxa"/>
          </w:tcPr>
          <w:p>
            <w:pPr>
              <w:pStyle w:val="TableParagraph"/>
              <w:spacing w:before="18"/>
              <w:ind w:left="35" w:right="26"/>
              <w:jc w:val="left"/>
              <w:rPr>
                <w:sz w:val="18"/>
              </w:rPr>
            </w:pPr>
            <w:r>
              <w:rPr>
                <w:sz w:val="18"/>
              </w:rPr>
              <w:t>Loans to related parties</w:t>
            </w:r>
          </w:p>
        </w:tc>
        <w:tc>
          <w:tcPr>
            <w:tcW w:w="709" w:type="dxa"/>
          </w:tcPr>
          <w:p>
            <w:pPr/>
          </w:p>
        </w:tc>
        <w:tc>
          <w:tcPr>
            <w:tcW w:w="1702" w:type="dxa"/>
          </w:tcPr>
          <w:p>
            <w:pPr>
              <w:pStyle w:val="TableParagraph"/>
              <w:spacing w:before="19"/>
              <w:ind w:right="322"/>
              <w:rPr>
                <w:b/>
                <w:sz w:val="18"/>
              </w:rPr>
            </w:pPr>
            <w:r>
              <w:rPr>
                <w:b/>
                <w:w w:val="99"/>
                <w:sz w:val="18"/>
              </w:rPr>
              <w:t>-</w:t>
            </w:r>
          </w:p>
        </w:tc>
        <w:tc>
          <w:tcPr>
            <w:tcW w:w="1382" w:type="dxa"/>
          </w:tcPr>
          <w:p>
            <w:pPr>
              <w:pStyle w:val="TableParagraph"/>
              <w:spacing w:before="19"/>
              <w:ind w:right="407"/>
              <w:rPr>
                <w:sz w:val="18"/>
              </w:rPr>
            </w:pPr>
            <w:r>
              <w:rPr>
                <w:w w:val="99"/>
                <w:sz w:val="18"/>
              </w:rPr>
              <w:t>-</w:t>
            </w:r>
          </w:p>
        </w:tc>
        <w:tc>
          <w:tcPr>
            <w:tcW w:w="1382" w:type="dxa"/>
          </w:tcPr>
          <w:p>
            <w:pPr>
              <w:pStyle w:val="TableParagraph"/>
              <w:spacing w:before="19"/>
              <w:ind w:right="262"/>
              <w:rPr>
                <w:b/>
                <w:sz w:val="18"/>
              </w:rPr>
            </w:pPr>
            <w:r>
              <w:rPr>
                <w:b/>
                <w:sz w:val="18"/>
              </w:rPr>
              <w:t>(841)</w:t>
            </w:r>
          </w:p>
        </w:tc>
        <w:tc>
          <w:tcPr>
            <w:tcW w:w="1062" w:type="dxa"/>
          </w:tcPr>
          <w:p>
            <w:pPr>
              <w:pStyle w:val="TableParagraph"/>
              <w:spacing w:before="19"/>
              <w:ind w:right="27"/>
              <w:rPr>
                <w:sz w:val="18"/>
              </w:rPr>
            </w:pPr>
            <w:r>
              <w:rPr>
                <w:w w:val="95"/>
                <w:sz w:val="18"/>
              </w:rPr>
              <w:t>(11,855)</w:t>
            </w:r>
          </w:p>
        </w:tc>
      </w:tr>
      <w:tr>
        <w:trPr>
          <w:trHeight w:val="263" w:hRule="exact"/>
        </w:trPr>
        <w:tc>
          <w:tcPr>
            <w:tcW w:w="3684" w:type="dxa"/>
          </w:tcPr>
          <w:p>
            <w:pPr>
              <w:pStyle w:val="TableParagraph"/>
              <w:spacing w:before="18"/>
              <w:ind w:left="35" w:right="26"/>
              <w:jc w:val="left"/>
              <w:rPr>
                <w:sz w:val="18"/>
              </w:rPr>
            </w:pPr>
            <w:r>
              <w:rPr>
                <w:sz w:val="18"/>
              </w:rPr>
              <w:t>Repayment of loans by related parties</w:t>
            </w:r>
          </w:p>
        </w:tc>
        <w:tc>
          <w:tcPr>
            <w:tcW w:w="709" w:type="dxa"/>
          </w:tcPr>
          <w:p>
            <w:pPr/>
          </w:p>
        </w:tc>
        <w:tc>
          <w:tcPr>
            <w:tcW w:w="1702" w:type="dxa"/>
            <w:tcBorders>
              <w:bottom w:val="single" w:sz="0" w:space="0" w:color="000000"/>
            </w:tcBorders>
          </w:tcPr>
          <w:p>
            <w:pPr>
              <w:pStyle w:val="TableParagraph"/>
              <w:spacing w:before="19"/>
              <w:ind w:right="322"/>
              <w:rPr>
                <w:b/>
                <w:sz w:val="18"/>
              </w:rPr>
            </w:pPr>
            <w:r>
              <w:rPr>
                <w:b/>
                <w:w w:val="99"/>
                <w:sz w:val="18"/>
              </w:rPr>
              <w:t>-</w:t>
            </w:r>
          </w:p>
        </w:tc>
        <w:tc>
          <w:tcPr>
            <w:tcW w:w="1382" w:type="dxa"/>
            <w:tcBorders>
              <w:bottom w:val="single" w:sz="0" w:space="0" w:color="000000"/>
            </w:tcBorders>
          </w:tcPr>
          <w:p>
            <w:pPr>
              <w:pStyle w:val="TableParagraph"/>
              <w:spacing w:before="19"/>
              <w:ind w:right="407"/>
              <w:rPr>
                <w:sz w:val="18"/>
              </w:rPr>
            </w:pPr>
            <w:r>
              <w:rPr>
                <w:w w:val="99"/>
                <w:sz w:val="18"/>
              </w:rPr>
              <w:t>-</w:t>
            </w:r>
          </w:p>
        </w:tc>
        <w:tc>
          <w:tcPr>
            <w:tcW w:w="1382" w:type="dxa"/>
            <w:tcBorders>
              <w:bottom w:val="single" w:sz="0" w:space="0" w:color="000000"/>
            </w:tcBorders>
          </w:tcPr>
          <w:p>
            <w:pPr>
              <w:pStyle w:val="TableParagraph"/>
              <w:spacing w:before="19"/>
              <w:ind w:left="608"/>
              <w:jc w:val="left"/>
              <w:rPr>
                <w:b/>
                <w:sz w:val="18"/>
              </w:rPr>
            </w:pPr>
            <w:r>
              <w:rPr>
                <w:b/>
                <w:sz w:val="18"/>
              </w:rPr>
              <w:t>1,191</w:t>
            </w:r>
          </w:p>
        </w:tc>
        <w:tc>
          <w:tcPr>
            <w:tcW w:w="1062" w:type="dxa"/>
            <w:tcBorders>
              <w:bottom w:val="single" w:sz="0" w:space="0" w:color="000000"/>
            </w:tcBorders>
          </w:tcPr>
          <w:p>
            <w:pPr>
              <w:pStyle w:val="TableParagraph"/>
              <w:spacing w:before="19"/>
              <w:ind w:right="86"/>
              <w:rPr>
                <w:sz w:val="18"/>
              </w:rPr>
            </w:pPr>
            <w:r>
              <w:rPr>
                <w:w w:val="95"/>
                <w:sz w:val="18"/>
              </w:rPr>
              <w:t>10,503</w:t>
            </w:r>
          </w:p>
        </w:tc>
      </w:tr>
      <w:tr>
        <w:trPr>
          <w:trHeight w:val="338" w:hRule="exact"/>
        </w:trPr>
        <w:tc>
          <w:tcPr>
            <w:tcW w:w="3684" w:type="dxa"/>
          </w:tcPr>
          <w:p>
            <w:pPr>
              <w:pStyle w:val="TableParagraph"/>
              <w:spacing w:before="38"/>
              <w:ind w:left="35" w:right="26"/>
              <w:jc w:val="left"/>
              <w:rPr>
                <w:b/>
                <w:sz w:val="18"/>
              </w:rPr>
            </w:pPr>
            <w:r>
              <w:rPr>
                <w:b/>
                <w:sz w:val="18"/>
              </w:rPr>
              <w:t>Net cash used by investing activities</w:t>
            </w:r>
          </w:p>
        </w:tc>
        <w:tc>
          <w:tcPr>
            <w:tcW w:w="709" w:type="dxa"/>
          </w:tcPr>
          <w:p>
            <w:pPr/>
          </w:p>
        </w:tc>
        <w:tc>
          <w:tcPr>
            <w:tcW w:w="1702" w:type="dxa"/>
            <w:tcBorders>
              <w:top w:val="single" w:sz="0" w:space="0" w:color="000000"/>
              <w:bottom w:val="single" w:sz="0" w:space="0" w:color="000000"/>
            </w:tcBorders>
          </w:tcPr>
          <w:p>
            <w:pPr>
              <w:pStyle w:val="TableParagraph"/>
              <w:spacing w:before="122"/>
              <w:ind w:right="262"/>
              <w:rPr>
                <w:b/>
                <w:sz w:val="18"/>
              </w:rPr>
            </w:pPr>
            <w:r>
              <w:rPr>
                <w:b/>
                <w:w w:val="95"/>
                <w:sz w:val="18"/>
              </w:rPr>
              <w:t>(116,317)</w:t>
            </w:r>
          </w:p>
        </w:tc>
        <w:tc>
          <w:tcPr>
            <w:tcW w:w="1382" w:type="dxa"/>
            <w:tcBorders>
              <w:top w:val="single" w:sz="0" w:space="0" w:color="000000"/>
              <w:bottom w:val="single" w:sz="0" w:space="0" w:color="000000"/>
            </w:tcBorders>
          </w:tcPr>
          <w:p>
            <w:pPr>
              <w:pStyle w:val="TableParagraph"/>
              <w:spacing w:before="122"/>
              <w:ind w:right="347"/>
              <w:rPr>
                <w:sz w:val="18"/>
              </w:rPr>
            </w:pPr>
            <w:r>
              <w:rPr>
                <w:w w:val="95"/>
                <w:sz w:val="18"/>
              </w:rPr>
              <w:t>(90,141)</w:t>
            </w:r>
          </w:p>
        </w:tc>
        <w:tc>
          <w:tcPr>
            <w:tcW w:w="1382" w:type="dxa"/>
            <w:tcBorders>
              <w:top w:val="single" w:sz="0" w:space="0" w:color="000000"/>
              <w:bottom w:val="single" w:sz="0" w:space="0" w:color="000000"/>
            </w:tcBorders>
          </w:tcPr>
          <w:p>
            <w:pPr>
              <w:pStyle w:val="TableParagraph"/>
              <w:spacing w:before="122"/>
              <w:ind w:right="262"/>
              <w:rPr>
                <w:b/>
                <w:sz w:val="18"/>
              </w:rPr>
            </w:pPr>
            <w:r>
              <w:rPr>
                <w:b/>
                <w:w w:val="95"/>
                <w:sz w:val="18"/>
              </w:rPr>
              <w:t>(114,825)</w:t>
            </w:r>
          </w:p>
        </w:tc>
        <w:tc>
          <w:tcPr>
            <w:tcW w:w="1062" w:type="dxa"/>
            <w:tcBorders>
              <w:top w:val="single" w:sz="0" w:space="0" w:color="000000"/>
              <w:bottom w:val="single" w:sz="0" w:space="0" w:color="000000"/>
            </w:tcBorders>
          </w:tcPr>
          <w:p>
            <w:pPr>
              <w:pStyle w:val="TableParagraph"/>
              <w:spacing w:before="122"/>
              <w:ind w:right="27"/>
              <w:rPr>
                <w:sz w:val="18"/>
              </w:rPr>
            </w:pPr>
            <w:r>
              <w:rPr>
                <w:w w:val="95"/>
                <w:sz w:val="18"/>
              </w:rPr>
              <w:t>(89,259)</w:t>
            </w:r>
          </w:p>
        </w:tc>
      </w:tr>
      <w:tr>
        <w:trPr>
          <w:trHeight w:val="855" w:hRule="exact"/>
        </w:trPr>
        <w:tc>
          <w:tcPr>
            <w:tcW w:w="3684" w:type="dxa"/>
          </w:tcPr>
          <w:p>
            <w:pPr>
              <w:pStyle w:val="TableParagraph"/>
              <w:jc w:val="left"/>
              <w:rPr>
                <w:b/>
                <w:sz w:val="18"/>
              </w:rPr>
            </w:pPr>
          </w:p>
          <w:p>
            <w:pPr>
              <w:pStyle w:val="TableParagraph"/>
              <w:spacing w:before="4"/>
              <w:jc w:val="left"/>
              <w:rPr>
                <w:b/>
                <w:sz w:val="18"/>
              </w:rPr>
            </w:pPr>
          </w:p>
          <w:p>
            <w:pPr>
              <w:pStyle w:val="TableParagraph"/>
              <w:ind w:left="35" w:right="26"/>
              <w:jc w:val="left"/>
              <w:rPr>
                <w:b/>
                <w:sz w:val="18"/>
              </w:rPr>
            </w:pPr>
            <w:r>
              <w:rPr>
                <w:b/>
                <w:sz w:val="18"/>
              </w:rPr>
              <w:t>CASH FLOWS FROM FINANCING ACTIVITIES</w:t>
            </w:r>
          </w:p>
        </w:tc>
        <w:tc>
          <w:tcPr>
            <w:tcW w:w="709" w:type="dxa"/>
          </w:tcPr>
          <w:p>
            <w:pPr/>
          </w:p>
        </w:tc>
        <w:tc>
          <w:tcPr>
            <w:tcW w:w="1702" w:type="dxa"/>
            <w:tcBorders>
              <w:top w:val="single" w:sz="0" w:space="0" w:color="000000"/>
            </w:tcBorders>
          </w:tcPr>
          <w:p>
            <w:pPr/>
          </w:p>
        </w:tc>
        <w:tc>
          <w:tcPr>
            <w:tcW w:w="1382" w:type="dxa"/>
            <w:tcBorders>
              <w:top w:val="single" w:sz="0" w:space="0" w:color="000000"/>
            </w:tcBorders>
          </w:tcPr>
          <w:p>
            <w:pPr/>
          </w:p>
        </w:tc>
        <w:tc>
          <w:tcPr>
            <w:tcW w:w="1382" w:type="dxa"/>
            <w:tcBorders>
              <w:top w:val="single" w:sz="0" w:space="0" w:color="000000"/>
            </w:tcBorders>
          </w:tcPr>
          <w:p>
            <w:pPr/>
          </w:p>
        </w:tc>
        <w:tc>
          <w:tcPr>
            <w:tcW w:w="1062" w:type="dxa"/>
            <w:tcBorders>
              <w:top w:val="single" w:sz="0" w:space="0" w:color="000000"/>
            </w:tcBorders>
          </w:tcPr>
          <w:p>
            <w:pPr/>
          </w:p>
        </w:tc>
      </w:tr>
      <w:tr>
        <w:trPr>
          <w:trHeight w:val="250" w:hRule="exact"/>
        </w:trPr>
        <w:tc>
          <w:tcPr>
            <w:tcW w:w="3684" w:type="dxa"/>
          </w:tcPr>
          <w:p>
            <w:pPr>
              <w:pStyle w:val="TableParagraph"/>
              <w:spacing w:before="4"/>
              <w:ind w:left="35" w:right="26"/>
              <w:jc w:val="left"/>
              <w:rPr>
                <w:sz w:val="18"/>
              </w:rPr>
            </w:pPr>
            <w:r>
              <w:rPr>
                <w:sz w:val="18"/>
              </w:rPr>
              <w:t>Proceeds from borrowings</w:t>
            </w:r>
          </w:p>
        </w:tc>
        <w:tc>
          <w:tcPr>
            <w:tcW w:w="709" w:type="dxa"/>
          </w:tcPr>
          <w:p>
            <w:pPr/>
          </w:p>
        </w:tc>
        <w:tc>
          <w:tcPr>
            <w:tcW w:w="1702" w:type="dxa"/>
          </w:tcPr>
          <w:p>
            <w:pPr>
              <w:pStyle w:val="TableParagraph"/>
              <w:spacing w:before="5"/>
              <w:ind w:right="322"/>
              <w:rPr>
                <w:b/>
                <w:sz w:val="18"/>
              </w:rPr>
            </w:pPr>
            <w:r>
              <w:rPr>
                <w:b/>
                <w:w w:val="95"/>
                <w:sz w:val="18"/>
              </w:rPr>
              <w:t>493,500</w:t>
            </w:r>
          </w:p>
        </w:tc>
        <w:tc>
          <w:tcPr>
            <w:tcW w:w="1382" w:type="dxa"/>
          </w:tcPr>
          <w:p>
            <w:pPr>
              <w:pStyle w:val="TableParagraph"/>
              <w:spacing w:before="5"/>
              <w:ind w:right="406"/>
              <w:rPr>
                <w:sz w:val="18"/>
              </w:rPr>
            </w:pPr>
            <w:r>
              <w:rPr>
                <w:w w:val="95"/>
                <w:sz w:val="18"/>
              </w:rPr>
              <w:t>442,500</w:t>
            </w:r>
          </w:p>
        </w:tc>
        <w:tc>
          <w:tcPr>
            <w:tcW w:w="1382" w:type="dxa"/>
          </w:tcPr>
          <w:p>
            <w:pPr>
              <w:pStyle w:val="TableParagraph"/>
              <w:spacing w:before="5"/>
              <w:ind w:left="409"/>
              <w:jc w:val="left"/>
              <w:rPr>
                <w:b/>
                <w:sz w:val="18"/>
              </w:rPr>
            </w:pPr>
            <w:r>
              <w:rPr>
                <w:b/>
                <w:sz w:val="18"/>
              </w:rPr>
              <w:t>498,572</w:t>
            </w:r>
          </w:p>
        </w:tc>
        <w:tc>
          <w:tcPr>
            <w:tcW w:w="1062" w:type="dxa"/>
          </w:tcPr>
          <w:p>
            <w:pPr>
              <w:pStyle w:val="TableParagraph"/>
              <w:spacing w:before="5"/>
              <w:ind w:right="86"/>
              <w:rPr>
                <w:sz w:val="18"/>
              </w:rPr>
            </w:pPr>
            <w:r>
              <w:rPr>
                <w:w w:val="95"/>
                <w:sz w:val="18"/>
              </w:rPr>
              <w:t>444,808</w:t>
            </w:r>
          </w:p>
        </w:tc>
      </w:tr>
      <w:tr>
        <w:trPr>
          <w:trHeight w:val="263" w:hRule="exact"/>
        </w:trPr>
        <w:tc>
          <w:tcPr>
            <w:tcW w:w="3684" w:type="dxa"/>
          </w:tcPr>
          <w:p>
            <w:pPr>
              <w:pStyle w:val="TableParagraph"/>
              <w:spacing w:before="18"/>
              <w:ind w:left="35" w:right="26"/>
              <w:jc w:val="left"/>
              <w:rPr>
                <w:sz w:val="18"/>
              </w:rPr>
            </w:pPr>
            <w:r>
              <w:rPr>
                <w:sz w:val="18"/>
              </w:rPr>
              <w:t>Repayment of borrowings</w:t>
            </w:r>
          </w:p>
        </w:tc>
        <w:tc>
          <w:tcPr>
            <w:tcW w:w="709" w:type="dxa"/>
          </w:tcPr>
          <w:p>
            <w:pPr/>
          </w:p>
        </w:tc>
        <w:tc>
          <w:tcPr>
            <w:tcW w:w="1702" w:type="dxa"/>
            <w:tcBorders>
              <w:bottom w:val="single" w:sz="0" w:space="0" w:color="000000"/>
            </w:tcBorders>
          </w:tcPr>
          <w:p>
            <w:pPr>
              <w:pStyle w:val="TableParagraph"/>
              <w:spacing w:before="19"/>
              <w:ind w:right="262"/>
              <w:rPr>
                <w:b/>
                <w:sz w:val="18"/>
              </w:rPr>
            </w:pPr>
            <w:r>
              <w:rPr>
                <w:b/>
                <w:w w:val="95"/>
                <w:sz w:val="18"/>
              </w:rPr>
              <w:t>(414,000)</w:t>
            </w:r>
          </w:p>
        </w:tc>
        <w:tc>
          <w:tcPr>
            <w:tcW w:w="1382" w:type="dxa"/>
            <w:tcBorders>
              <w:bottom w:val="single" w:sz="0" w:space="0" w:color="000000"/>
            </w:tcBorders>
          </w:tcPr>
          <w:p>
            <w:pPr>
              <w:pStyle w:val="TableParagraph"/>
              <w:spacing w:before="19"/>
              <w:ind w:right="347"/>
              <w:rPr>
                <w:sz w:val="18"/>
              </w:rPr>
            </w:pPr>
            <w:r>
              <w:rPr>
                <w:w w:val="95"/>
                <w:sz w:val="18"/>
              </w:rPr>
              <w:t>(443,000)</w:t>
            </w:r>
          </w:p>
        </w:tc>
        <w:tc>
          <w:tcPr>
            <w:tcW w:w="1382" w:type="dxa"/>
            <w:tcBorders>
              <w:bottom w:val="single" w:sz="0" w:space="0" w:color="000000"/>
            </w:tcBorders>
          </w:tcPr>
          <w:p>
            <w:pPr>
              <w:pStyle w:val="TableParagraph"/>
              <w:spacing w:before="19"/>
              <w:ind w:right="262"/>
              <w:rPr>
                <w:b/>
                <w:sz w:val="18"/>
              </w:rPr>
            </w:pPr>
            <w:r>
              <w:rPr>
                <w:b/>
                <w:w w:val="95"/>
                <w:sz w:val="18"/>
              </w:rPr>
              <w:t>(419,664)</w:t>
            </w:r>
          </w:p>
        </w:tc>
        <w:tc>
          <w:tcPr>
            <w:tcW w:w="1062" w:type="dxa"/>
            <w:tcBorders>
              <w:bottom w:val="single" w:sz="0" w:space="0" w:color="000000"/>
            </w:tcBorders>
          </w:tcPr>
          <w:p>
            <w:pPr>
              <w:pStyle w:val="TableParagraph"/>
              <w:spacing w:before="19"/>
              <w:ind w:right="27"/>
              <w:rPr>
                <w:sz w:val="18"/>
              </w:rPr>
            </w:pPr>
            <w:r>
              <w:rPr>
                <w:w w:val="95"/>
                <w:sz w:val="18"/>
              </w:rPr>
              <w:t>(446,700)</w:t>
            </w:r>
          </w:p>
        </w:tc>
      </w:tr>
      <w:tr>
        <w:trPr>
          <w:trHeight w:val="242" w:hRule="exact"/>
        </w:trPr>
        <w:tc>
          <w:tcPr>
            <w:tcW w:w="3684" w:type="dxa"/>
          </w:tcPr>
          <w:p>
            <w:pPr>
              <w:pStyle w:val="TableParagraph"/>
              <w:spacing w:before="38"/>
              <w:ind w:left="35" w:right="26"/>
              <w:jc w:val="left"/>
              <w:rPr>
                <w:b/>
                <w:sz w:val="18"/>
              </w:rPr>
            </w:pPr>
            <w:r>
              <w:rPr>
                <w:b/>
                <w:sz w:val="18"/>
              </w:rPr>
              <w:t>Net cash (used by) / provided by</w:t>
            </w:r>
          </w:p>
        </w:tc>
        <w:tc>
          <w:tcPr>
            <w:tcW w:w="709" w:type="dxa"/>
          </w:tcPr>
          <w:p>
            <w:pPr>
              <w:pStyle w:val="TableParagraph"/>
              <w:spacing w:before="39"/>
              <w:ind w:left="159"/>
              <w:jc w:val="left"/>
              <w:rPr>
                <w:sz w:val="18"/>
              </w:rPr>
            </w:pPr>
            <w:r>
              <w:rPr>
                <w:sz w:val="18"/>
              </w:rPr>
              <w:t>26</w:t>
            </w:r>
          </w:p>
        </w:tc>
        <w:tc>
          <w:tcPr>
            <w:tcW w:w="1702" w:type="dxa"/>
            <w:tcBorders>
              <w:top w:val="single" w:sz="0" w:space="0" w:color="000000"/>
            </w:tcBorders>
          </w:tcPr>
          <w:p>
            <w:pPr/>
          </w:p>
        </w:tc>
        <w:tc>
          <w:tcPr>
            <w:tcW w:w="1382" w:type="dxa"/>
            <w:tcBorders>
              <w:top w:val="single" w:sz="0" w:space="0" w:color="000000"/>
            </w:tcBorders>
          </w:tcPr>
          <w:p>
            <w:pPr/>
          </w:p>
        </w:tc>
        <w:tc>
          <w:tcPr>
            <w:tcW w:w="1382" w:type="dxa"/>
            <w:tcBorders>
              <w:top w:val="single" w:sz="0" w:space="0" w:color="000000"/>
            </w:tcBorders>
          </w:tcPr>
          <w:p>
            <w:pPr/>
          </w:p>
        </w:tc>
        <w:tc>
          <w:tcPr>
            <w:tcW w:w="1062" w:type="dxa"/>
            <w:tcBorders>
              <w:top w:val="single" w:sz="0" w:space="0" w:color="000000"/>
            </w:tcBorders>
          </w:tcPr>
          <w:p>
            <w:pPr/>
          </w:p>
        </w:tc>
      </w:tr>
      <w:tr>
        <w:trPr>
          <w:trHeight w:val="417" w:hRule="exact"/>
        </w:trPr>
        <w:tc>
          <w:tcPr>
            <w:tcW w:w="9921" w:type="dxa"/>
            <w:gridSpan w:val="6"/>
          </w:tcPr>
          <w:p>
            <w:pPr>
              <w:pStyle w:val="TableParagraph"/>
              <w:tabs>
                <w:tab w:pos="4393" w:val="left" w:leader="none"/>
                <w:tab w:pos="5222" w:val="left" w:leader="none"/>
                <w:tab w:pos="6709" w:val="left" w:leader="none"/>
                <w:tab w:pos="7986" w:val="left" w:leader="none"/>
                <w:tab w:pos="9322" w:val="left" w:leader="none"/>
              </w:tabs>
              <w:ind w:left="35"/>
              <w:jc w:val="left"/>
              <w:rPr>
                <w:sz w:val="18"/>
              </w:rPr>
            </w:pPr>
            <w:r>
              <w:rPr>
                <w:b/>
                <w:position w:val="3"/>
                <w:sz w:val="18"/>
              </w:rPr>
              <w:t>financing</w:t>
            </w:r>
            <w:r>
              <w:rPr>
                <w:b/>
                <w:spacing w:val="-2"/>
                <w:position w:val="3"/>
                <w:sz w:val="18"/>
              </w:rPr>
              <w:t> </w:t>
            </w:r>
            <w:r>
              <w:rPr>
                <w:b/>
                <w:position w:val="3"/>
                <w:sz w:val="18"/>
              </w:rPr>
              <w:t>activities</w:t>
              <w:tab/>
            </w:r>
            <w:r>
              <w:rPr>
                <w:rFonts w:ascii="Times New Roman"/>
                <w:sz w:val="18"/>
                <w:u w:val="single"/>
              </w:rPr>
              <w:t> </w:t>
              <w:tab/>
            </w:r>
            <w:r>
              <w:rPr>
                <w:b/>
                <w:sz w:val="18"/>
                <w:u w:val="single"/>
              </w:rPr>
              <w:t>79,500</w:t>
              <w:tab/>
            </w:r>
            <w:r>
              <w:rPr>
                <w:sz w:val="18"/>
                <w:u w:val="single"/>
              </w:rPr>
              <w:t>(500)</w:t>
              <w:tab/>
            </w:r>
            <w:r>
              <w:rPr>
                <w:b/>
                <w:sz w:val="18"/>
                <w:u w:val="single"/>
              </w:rPr>
              <w:t>78,908</w:t>
              <w:tab/>
            </w:r>
            <w:r>
              <w:rPr>
                <w:sz w:val="18"/>
                <w:u w:val="single"/>
              </w:rPr>
              <w:t>(1,892)</w:t>
            </w:r>
          </w:p>
        </w:tc>
      </w:tr>
      <w:tr>
        <w:trPr>
          <w:trHeight w:val="611" w:hRule="exact"/>
        </w:trPr>
        <w:tc>
          <w:tcPr>
            <w:tcW w:w="3684" w:type="dxa"/>
          </w:tcPr>
          <w:p>
            <w:pPr>
              <w:pStyle w:val="TableParagraph"/>
              <w:spacing w:before="161"/>
              <w:ind w:left="35" w:right="819"/>
              <w:jc w:val="left"/>
              <w:rPr>
                <w:b/>
                <w:sz w:val="18"/>
              </w:rPr>
            </w:pPr>
            <w:r>
              <w:rPr>
                <w:b/>
                <w:sz w:val="18"/>
              </w:rPr>
              <w:t>Net increase in cash and cash equivalents held</w:t>
            </w:r>
          </w:p>
        </w:tc>
        <w:tc>
          <w:tcPr>
            <w:tcW w:w="709" w:type="dxa"/>
          </w:tcPr>
          <w:p>
            <w:pPr/>
          </w:p>
        </w:tc>
        <w:tc>
          <w:tcPr>
            <w:tcW w:w="1702" w:type="dxa"/>
          </w:tcPr>
          <w:p>
            <w:pPr>
              <w:pStyle w:val="TableParagraph"/>
              <w:jc w:val="left"/>
              <w:rPr>
                <w:b/>
                <w:sz w:val="18"/>
              </w:rPr>
            </w:pPr>
          </w:p>
          <w:p>
            <w:pPr>
              <w:pStyle w:val="TableParagraph"/>
              <w:spacing w:before="159"/>
              <w:ind w:right="322"/>
              <w:rPr>
                <w:b/>
                <w:sz w:val="18"/>
              </w:rPr>
            </w:pPr>
            <w:r>
              <w:rPr>
                <w:b/>
                <w:sz w:val="18"/>
              </w:rPr>
              <w:t>6,681</w:t>
            </w:r>
          </w:p>
        </w:tc>
        <w:tc>
          <w:tcPr>
            <w:tcW w:w="1382" w:type="dxa"/>
          </w:tcPr>
          <w:p>
            <w:pPr>
              <w:pStyle w:val="TableParagraph"/>
              <w:jc w:val="left"/>
              <w:rPr>
                <w:b/>
                <w:sz w:val="18"/>
              </w:rPr>
            </w:pPr>
          </w:p>
          <w:p>
            <w:pPr>
              <w:pStyle w:val="TableParagraph"/>
              <w:spacing w:before="159"/>
              <w:ind w:right="406"/>
              <w:rPr>
                <w:sz w:val="18"/>
              </w:rPr>
            </w:pPr>
            <w:r>
              <w:rPr>
                <w:sz w:val="18"/>
              </w:rPr>
              <w:t>8,406</w:t>
            </w:r>
          </w:p>
        </w:tc>
        <w:tc>
          <w:tcPr>
            <w:tcW w:w="1382" w:type="dxa"/>
          </w:tcPr>
          <w:p>
            <w:pPr>
              <w:pStyle w:val="TableParagraph"/>
              <w:jc w:val="left"/>
              <w:rPr>
                <w:b/>
                <w:sz w:val="18"/>
              </w:rPr>
            </w:pPr>
          </w:p>
          <w:p>
            <w:pPr>
              <w:pStyle w:val="TableParagraph"/>
              <w:spacing w:before="159"/>
              <w:ind w:left="608"/>
              <w:jc w:val="left"/>
              <w:rPr>
                <w:b/>
                <w:sz w:val="18"/>
              </w:rPr>
            </w:pPr>
            <w:r>
              <w:rPr>
                <w:b/>
                <w:sz w:val="18"/>
              </w:rPr>
              <w:t>6,344</w:t>
            </w:r>
          </w:p>
        </w:tc>
        <w:tc>
          <w:tcPr>
            <w:tcW w:w="1062" w:type="dxa"/>
          </w:tcPr>
          <w:p>
            <w:pPr>
              <w:pStyle w:val="TableParagraph"/>
              <w:jc w:val="left"/>
              <w:rPr>
                <w:b/>
                <w:sz w:val="18"/>
              </w:rPr>
            </w:pPr>
          </w:p>
          <w:p>
            <w:pPr>
              <w:pStyle w:val="TableParagraph"/>
              <w:spacing w:before="159"/>
              <w:ind w:right="86"/>
              <w:rPr>
                <w:sz w:val="18"/>
              </w:rPr>
            </w:pPr>
            <w:r>
              <w:rPr>
                <w:sz w:val="18"/>
              </w:rPr>
              <w:t>7,038</w:t>
            </w:r>
          </w:p>
        </w:tc>
      </w:tr>
      <w:tr>
        <w:trPr>
          <w:trHeight w:val="467" w:hRule="exact"/>
        </w:trPr>
        <w:tc>
          <w:tcPr>
            <w:tcW w:w="3684" w:type="dxa"/>
          </w:tcPr>
          <w:p>
            <w:pPr>
              <w:pStyle w:val="TableParagraph"/>
              <w:spacing w:before="18"/>
              <w:ind w:left="35" w:right="26"/>
              <w:jc w:val="left"/>
              <w:rPr>
                <w:sz w:val="18"/>
              </w:rPr>
            </w:pPr>
            <w:r>
              <w:rPr>
                <w:sz w:val="18"/>
              </w:rPr>
              <w:t>Cash and cash equivalents at beginning of the year</w:t>
            </w:r>
          </w:p>
        </w:tc>
        <w:tc>
          <w:tcPr>
            <w:tcW w:w="709" w:type="dxa"/>
          </w:tcPr>
          <w:p>
            <w:pPr/>
          </w:p>
        </w:tc>
        <w:tc>
          <w:tcPr>
            <w:tcW w:w="1702" w:type="dxa"/>
            <w:tcBorders>
              <w:bottom w:val="single" w:sz="0" w:space="0" w:color="000000"/>
            </w:tcBorders>
          </w:tcPr>
          <w:p>
            <w:pPr>
              <w:pStyle w:val="TableParagraph"/>
              <w:spacing w:before="4"/>
              <w:jc w:val="left"/>
              <w:rPr>
                <w:b/>
                <w:sz w:val="19"/>
              </w:rPr>
            </w:pPr>
          </w:p>
          <w:p>
            <w:pPr>
              <w:pStyle w:val="TableParagraph"/>
              <w:ind w:right="322"/>
              <w:rPr>
                <w:b/>
                <w:sz w:val="18"/>
              </w:rPr>
            </w:pPr>
            <w:r>
              <w:rPr>
                <w:b/>
                <w:w w:val="95"/>
                <w:sz w:val="18"/>
              </w:rPr>
              <w:t>132,544</w:t>
            </w:r>
          </w:p>
        </w:tc>
        <w:tc>
          <w:tcPr>
            <w:tcW w:w="1382" w:type="dxa"/>
            <w:tcBorders>
              <w:bottom w:val="single" w:sz="0" w:space="0" w:color="000000"/>
            </w:tcBorders>
          </w:tcPr>
          <w:p>
            <w:pPr>
              <w:pStyle w:val="TableParagraph"/>
              <w:spacing w:before="4"/>
              <w:jc w:val="left"/>
              <w:rPr>
                <w:b/>
                <w:sz w:val="19"/>
              </w:rPr>
            </w:pPr>
          </w:p>
          <w:p>
            <w:pPr>
              <w:pStyle w:val="TableParagraph"/>
              <w:ind w:right="406"/>
              <w:rPr>
                <w:sz w:val="18"/>
              </w:rPr>
            </w:pPr>
            <w:r>
              <w:rPr>
                <w:w w:val="95"/>
                <w:sz w:val="18"/>
              </w:rPr>
              <w:t>124,138</w:t>
            </w:r>
          </w:p>
        </w:tc>
        <w:tc>
          <w:tcPr>
            <w:tcW w:w="1382" w:type="dxa"/>
            <w:tcBorders>
              <w:bottom w:val="single" w:sz="0" w:space="0" w:color="000000"/>
            </w:tcBorders>
          </w:tcPr>
          <w:p>
            <w:pPr>
              <w:pStyle w:val="TableParagraph"/>
              <w:spacing w:before="4"/>
              <w:jc w:val="left"/>
              <w:rPr>
                <w:b/>
                <w:sz w:val="19"/>
              </w:rPr>
            </w:pPr>
          </w:p>
          <w:p>
            <w:pPr>
              <w:pStyle w:val="TableParagraph"/>
              <w:ind w:left="409"/>
              <w:jc w:val="left"/>
              <w:rPr>
                <w:b/>
                <w:sz w:val="18"/>
              </w:rPr>
            </w:pPr>
            <w:r>
              <w:rPr>
                <w:b/>
                <w:sz w:val="18"/>
              </w:rPr>
              <w:t>130,053</w:t>
            </w:r>
          </w:p>
        </w:tc>
        <w:tc>
          <w:tcPr>
            <w:tcW w:w="1062" w:type="dxa"/>
            <w:tcBorders>
              <w:bottom w:val="single" w:sz="0" w:space="0" w:color="000000"/>
            </w:tcBorders>
          </w:tcPr>
          <w:p>
            <w:pPr>
              <w:pStyle w:val="TableParagraph"/>
              <w:spacing w:before="4"/>
              <w:jc w:val="left"/>
              <w:rPr>
                <w:b/>
                <w:sz w:val="19"/>
              </w:rPr>
            </w:pPr>
          </w:p>
          <w:p>
            <w:pPr>
              <w:pStyle w:val="TableParagraph"/>
              <w:ind w:right="86"/>
              <w:rPr>
                <w:sz w:val="18"/>
              </w:rPr>
            </w:pPr>
            <w:r>
              <w:rPr>
                <w:w w:val="95"/>
                <w:sz w:val="18"/>
              </w:rPr>
              <w:t>123,015</w:t>
            </w:r>
          </w:p>
        </w:tc>
      </w:tr>
      <w:tr>
        <w:trPr>
          <w:trHeight w:val="502" w:hRule="exact"/>
        </w:trPr>
        <w:tc>
          <w:tcPr>
            <w:tcW w:w="3684" w:type="dxa"/>
          </w:tcPr>
          <w:p>
            <w:pPr>
              <w:pStyle w:val="TableParagraph"/>
              <w:spacing w:before="38"/>
              <w:ind w:left="35" w:right="26"/>
              <w:jc w:val="left"/>
              <w:rPr>
                <w:b/>
                <w:sz w:val="18"/>
              </w:rPr>
            </w:pPr>
            <w:r>
              <w:rPr>
                <w:b/>
                <w:sz w:val="18"/>
              </w:rPr>
              <w:t>Cash and cash equivalents at end of financial year</w:t>
            </w:r>
          </w:p>
        </w:tc>
        <w:tc>
          <w:tcPr>
            <w:tcW w:w="709" w:type="dxa"/>
          </w:tcPr>
          <w:p>
            <w:pPr>
              <w:pStyle w:val="TableParagraph"/>
              <w:spacing w:before="39"/>
              <w:ind w:left="159"/>
              <w:jc w:val="left"/>
              <w:rPr>
                <w:sz w:val="18"/>
              </w:rPr>
            </w:pPr>
            <w:r>
              <w:rPr>
                <w:sz w:val="18"/>
              </w:rPr>
              <w:t>17</w:t>
            </w:r>
          </w:p>
        </w:tc>
        <w:tc>
          <w:tcPr>
            <w:tcW w:w="1702" w:type="dxa"/>
            <w:tcBorders>
              <w:top w:val="single" w:sz="0" w:space="0" w:color="000000"/>
              <w:bottom w:val="single" w:sz="0" w:space="0" w:color="000000"/>
            </w:tcBorders>
          </w:tcPr>
          <w:p>
            <w:pPr>
              <w:pStyle w:val="TableParagraph"/>
              <w:spacing w:before="7"/>
              <w:jc w:val="left"/>
              <w:rPr>
                <w:b/>
                <w:sz w:val="23"/>
              </w:rPr>
            </w:pPr>
          </w:p>
          <w:p>
            <w:pPr>
              <w:pStyle w:val="TableParagraph"/>
              <w:ind w:right="322"/>
              <w:rPr>
                <w:b/>
                <w:sz w:val="18"/>
              </w:rPr>
            </w:pPr>
            <w:r>
              <w:rPr>
                <w:b/>
                <w:w w:val="95"/>
                <w:sz w:val="18"/>
              </w:rPr>
              <w:t>139,225</w:t>
            </w:r>
          </w:p>
        </w:tc>
        <w:tc>
          <w:tcPr>
            <w:tcW w:w="1382" w:type="dxa"/>
            <w:tcBorders>
              <w:top w:val="single" w:sz="0" w:space="0" w:color="000000"/>
              <w:bottom w:val="single" w:sz="0" w:space="0" w:color="000000"/>
            </w:tcBorders>
          </w:tcPr>
          <w:p>
            <w:pPr>
              <w:pStyle w:val="TableParagraph"/>
              <w:spacing w:before="7"/>
              <w:jc w:val="left"/>
              <w:rPr>
                <w:b/>
                <w:sz w:val="23"/>
              </w:rPr>
            </w:pPr>
          </w:p>
          <w:p>
            <w:pPr>
              <w:pStyle w:val="TableParagraph"/>
              <w:ind w:right="406"/>
              <w:rPr>
                <w:sz w:val="18"/>
              </w:rPr>
            </w:pPr>
            <w:r>
              <w:rPr>
                <w:w w:val="95"/>
                <w:sz w:val="18"/>
              </w:rPr>
              <w:t>132,544</w:t>
            </w:r>
          </w:p>
        </w:tc>
        <w:tc>
          <w:tcPr>
            <w:tcW w:w="1382" w:type="dxa"/>
            <w:tcBorders>
              <w:top w:val="single" w:sz="0" w:space="0" w:color="000000"/>
              <w:bottom w:val="single" w:sz="0" w:space="0" w:color="000000"/>
            </w:tcBorders>
          </w:tcPr>
          <w:p>
            <w:pPr>
              <w:pStyle w:val="TableParagraph"/>
              <w:spacing w:before="7"/>
              <w:jc w:val="left"/>
              <w:rPr>
                <w:b/>
                <w:sz w:val="23"/>
              </w:rPr>
            </w:pPr>
          </w:p>
          <w:p>
            <w:pPr>
              <w:pStyle w:val="TableParagraph"/>
              <w:ind w:left="409"/>
              <w:jc w:val="left"/>
              <w:rPr>
                <w:b/>
                <w:sz w:val="18"/>
              </w:rPr>
            </w:pPr>
            <w:r>
              <w:rPr>
                <w:b/>
                <w:sz w:val="18"/>
              </w:rPr>
              <w:t>136,397</w:t>
            </w:r>
          </w:p>
        </w:tc>
        <w:tc>
          <w:tcPr>
            <w:tcW w:w="1062" w:type="dxa"/>
            <w:tcBorders>
              <w:top w:val="single" w:sz="0" w:space="0" w:color="000000"/>
              <w:bottom w:val="single" w:sz="0" w:space="0" w:color="000000"/>
            </w:tcBorders>
          </w:tcPr>
          <w:p>
            <w:pPr>
              <w:pStyle w:val="TableParagraph"/>
              <w:spacing w:before="7"/>
              <w:jc w:val="left"/>
              <w:rPr>
                <w:b/>
                <w:sz w:val="23"/>
              </w:rPr>
            </w:pPr>
          </w:p>
          <w:p>
            <w:pPr>
              <w:pStyle w:val="TableParagraph"/>
              <w:ind w:right="86"/>
              <w:rPr>
                <w:sz w:val="18"/>
              </w:rPr>
            </w:pPr>
            <w:r>
              <w:rPr>
                <w:w w:val="95"/>
                <w:sz w:val="18"/>
              </w:rPr>
              <w:t>130,053</w:t>
            </w:r>
          </w:p>
        </w:tc>
      </w:tr>
    </w:tbl>
    <w:p>
      <w:pPr>
        <w:spacing w:after="0"/>
        <w:rPr>
          <w:sz w:val="18"/>
        </w:rPr>
        <w:sectPr>
          <w:type w:val="continuous"/>
          <w:pgSz w:w="12750" w:h="17680"/>
          <w:pgMar w:top="1660" w:bottom="0" w:left="0" w:right="0"/>
        </w:sectPr>
      </w:pPr>
    </w:p>
    <w:p>
      <w:pPr>
        <w:pStyle w:val="BodyText"/>
        <w:rPr>
          <w:b/>
          <w:sz w:val="20"/>
        </w:rPr>
      </w:pPr>
    </w:p>
    <w:p>
      <w:pPr>
        <w:pStyle w:val="BodyText"/>
        <w:rPr>
          <w:b/>
          <w:sz w:val="20"/>
        </w:rPr>
      </w:pPr>
    </w:p>
    <w:p>
      <w:pPr>
        <w:pStyle w:val="BodyText"/>
        <w:spacing w:before="4"/>
        <w:rPr>
          <w:b/>
        </w:rPr>
      </w:pPr>
    </w:p>
    <w:p>
      <w:pPr>
        <w:pStyle w:val="Heading8"/>
        <w:tabs>
          <w:tab w:pos="1823" w:val="left" w:leader="none"/>
        </w:tabs>
        <w:ind w:left="1429"/>
      </w:pPr>
      <w:bookmarkStart w:name="Notes to the Financial Statements" w:id="13"/>
      <w:bookmarkEnd w:id="13"/>
      <w:r>
        <w:rPr>
          <w:b w:val="0"/>
        </w:rPr>
      </w:r>
      <w:bookmarkStart w:name="1 Summary of Significant Accounting Poli" w:id="14"/>
      <w:bookmarkEnd w:id="14"/>
      <w:r>
        <w:rPr>
          <w:b w:val="0"/>
        </w:rPr>
      </w:r>
      <w:r>
        <w:rPr/>
        <w:t>1</w:t>
        <w:tab/>
        <w:t>Summary of Significant Accounting</w:t>
      </w:r>
      <w:r>
        <w:rPr>
          <w:spacing w:val="-6"/>
        </w:rPr>
        <w:t> </w:t>
      </w:r>
      <w:r>
        <w:rPr/>
        <w:t>Policies</w:t>
      </w:r>
    </w:p>
    <w:p>
      <w:pPr>
        <w:pStyle w:val="BodyText"/>
        <w:spacing w:before="11"/>
        <w:rPr>
          <w:b/>
          <w:sz w:val="24"/>
        </w:rPr>
      </w:pPr>
    </w:p>
    <w:p>
      <w:pPr>
        <w:pStyle w:val="BodyText"/>
        <w:ind w:left="1429" w:right="1375"/>
      </w:pPr>
      <w:r>
        <w:rPr/>
        <w:t>The principal accounting policies adopted in the preparation of these financial statements are set out below. These policies have been consistently applied to all the years reported, unless otherwise stated. The financial statements include the separate financial statements for Western Sydney University as the parent entity (the 'University') and the consolidated entity </w:t>
      </w:r>
      <w:bookmarkStart w:name="(a) Basis of Preparation" w:id="15"/>
      <w:bookmarkEnd w:id="15"/>
      <w:r>
        <w:rPr/>
      </w:r>
      <w:r>
        <w:rPr/>
        <w:t>consisting of Western Sydney University and its subsidiaries (the 'Group').</w:t>
      </w:r>
    </w:p>
    <w:p>
      <w:pPr>
        <w:pStyle w:val="BodyText"/>
        <w:spacing w:before="11"/>
        <w:rPr>
          <w:sz w:val="24"/>
        </w:rPr>
      </w:pPr>
    </w:p>
    <w:p>
      <w:pPr>
        <w:pStyle w:val="BodyText"/>
        <w:ind w:left="1429"/>
      </w:pPr>
      <w:r>
        <w:rPr/>
        <w:t>The principal place of business for Western Sydney University is Great Western Highway Kingswood NSW 2747.</w:t>
      </w:r>
    </w:p>
    <w:p>
      <w:pPr>
        <w:pStyle w:val="BodyText"/>
        <w:spacing w:before="11"/>
        <w:rPr>
          <w:sz w:val="24"/>
        </w:rPr>
      </w:pPr>
    </w:p>
    <w:p>
      <w:pPr>
        <w:pStyle w:val="Heading8"/>
        <w:numPr>
          <w:ilvl w:val="0"/>
          <w:numId w:val="2"/>
        </w:numPr>
        <w:tabs>
          <w:tab w:pos="2391" w:val="left" w:leader="none"/>
        </w:tabs>
        <w:spacing w:line="240" w:lineRule="auto" w:before="0" w:after="0"/>
        <w:ind w:left="2390" w:right="0" w:hanging="566"/>
        <w:jc w:val="both"/>
      </w:pPr>
      <w:r>
        <w:rPr/>
        <w:t>Basis of</w:t>
      </w:r>
      <w:r>
        <w:rPr>
          <w:spacing w:val="-18"/>
        </w:rPr>
        <w:t> </w:t>
      </w:r>
      <w:r>
        <w:rPr/>
        <w:t>Preparation</w:t>
      </w:r>
    </w:p>
    <w:p>
      <w:pPr>
        <w:pStyle w:val="BodyText"/>
        <w:spacing w:before="11"/>
        <w:rPr>
          <w:b/>
          <w:sz w:val="24"/>
        </w:rPr>
      </w:pPr>
    </w:p>
    <w:p>
      <w:pPr>
        <w:pStyle w:val="BodyText"/>
        <w:ind w:left="1824" w:right="1375"/>
      </w:pPr>
      <w:r>
        <w:rPr/>
        <w:t>The annual financial statements represent the audited general purpose financial statements of Western Sydney University. They have been prepared on an accrual basis in accordance with Australian Accounting Standards.</w:t>
      </w:r>
    </w:p>
    <w:p>
      <w:pPr>
        <w:pStyle w:val="BodyText"/>
        <w:spacing w:before="11"/>
        <w:rPr>
          <w:sz w:val="24"/>
        </w:rPr>
      </w:pPr>
    </w:p>
    <w:p>
      <w:pPr>
        <w:pStyle w:val="BodyText"/>
        <w:ind w:left="1824"/>
        <w:jc w:val="both"/>
      </w:pPr>
      <w:r>
        <w:rPr/>
        <w:t>The University applies Tier 1 reporting requirements.</w:t>
      </w:r>
    </w:p>
    <w:p>
      <w:pPr>
        <w:pStyle w:val="BodyText"/>
        <w:spacing w:before="11"/>
        <w:rPr>
          <w:sz w:val="24"/>
        </w:rPr>
      </w:pPr>
    </w:p>
    <w:p>
      <w:pPr>
        <w:pStyle w:val="BodyText"/>
        <w:ind w:left="1824"/>
        <w:jc w:val="both"/>
      </w:pPr>
      <w:r>
        <w:rPr/>
        <w:t>Additionally the statements have been prepared in accordance with the following statutory requirements:</w:t>
      </w:r>
    </w:p>
    <w:p>
      <w:pPr>
        <w:pStyle w:val="BodyText"/>
        <w:spacing w:before="11"/>
        <w:rPr>
          <w:sz w:val="24"/>
        </w:rPr>
      </w:pPr>
    </w:p>
    <w:p>
      <w:pPr>
        <w:pStyle w:val="ListParagraph"/>
        <w:numPr>
          <w:ilvl w:val="0"/>
          <w:numId w:val="3"/>
        </w:numPr>
        <w:tabs>
          <w:tab w:pos="1935" w:val="left" w:leader="none"/>
        </w:tabs>
        <w:spacing w:line="240" w:lineRule="auto" w:before="0" w:after="0"/>
        <w:ind w:left="1824" w:right="0" w:firstLine="0"/>
        <w:jc w:val="both"/>
        <w:rPr>
          <w:sz w:val="18"/>
        </w:rPr>
      </w:pPr>
      <w:r>
        <w:rPr>
          <w:i/>
          <w:sz w:val="18"/>
        </w:rPr>
        <w:t>Public</w:t>
      </w:r>
      <w:r>
        <w:rPr>
          <w:i/>
          <w:spacing w:val="-6"/>
          <w:sz w:val="18"/>
        </w:rPr>
        <w:t> </w:t>
      </w:r>
      <w:r>
        <w:rPr>
          <w:i/>
          <w:sz w:val="18"/>
        </w:rPr>
        <w:t>Finance</w:t>
      </w:r>
      <w:r>
        <w:rPr>
          <w:i/>
          <w:spacing w:val="-6"/>
          <w:sz w:val="18"/>
        </w:rPr>
        <w:t> </w:t>
      </w:r>
      <w:r>
        <w:rPr>
          <w:i/>
          <w:sz w:val="18"/>
        </w:rPr>
        <w:t>and</w:t>
      </w:r>
      <w:r>
        <w:rPr>
          <w:i/>
          <w:spacing w:val="-6"/>
          <w:sz w:val="18"/>
        </w:rPr>
        <w:t> </w:t>
      </w:r>
      <w:r>
        <w:rPr>
          <w:i/>
          <w:sz w:val="18"/>
        </w:rPr>
        <w:t>Audit</w:t>
      </w:r>
      <w:r>
        <w:rPr>
          <w:i/>
          <w:spacing w:val="-6"/>
          <w:sz w:val="18"/>
        </w:rPr>
        <w:t> </w:t>
      </w:r>
      <w:r>
        <w:rPr>
          <w:i/>
          <w:sz w:val="18"/>
        </w:rPr>
        <w:t>Act</w:t>
      </w:r>
      <w:r>
        <w:rPr>
          <w:i/>
          <w:spacing w:val="-6"/>
          <w:sz w:val="18"/>
        </w:rPr>
        <w:t> </w:t>
      </w:r>
      <w:r>
        <w:rPr>
          <w:i/>
          <w:sz w:val="18"/>
        </w:rPr>
        <w:t>1983</w:t>
      </w:r>
      <w:r>
        <w:rPr>
          <w:i/>
          <w:spacing w:val="-6"/>
          <w:sz w:val="18"/>
        </w:rPr>
        <w:t> </w:t>
      </w:r>
      <w:r>
        <w:rPr>
          <w:i/>
          <w:sz w:val="18"/>
        </w:rPr>
        <w:t>and</w:t>
      </w:r>
      <w:r>
        <w:rPr>
          <w:i/>
          <w:spacing w:val="-6"/>
          <w:sz w:val="18"/>
        </w:rPr>
        <w:t> </w:t>
      </w:r>
      <w:r>
        <w:rPr>
          <w:i/>
          <w:sz w:val="18"/>
        </w:rPr>
        <w:t>Public</w:t>
      </w:r>
      <w:r>
        <w:rPr>
          <w:i/>
          <w:spacing w:val="-6"/>
          <w:sz w:val="18"/>
        </w:rPr>
        <w:t> </w:t>
      </w:r>
      <w:r>
        <w:rPr>
          <w:i/>
          <w:sz w:val="18"/>
        </w:rPr>
        <w:t>Finance</w:t>
      </w:r>
      <w:r>
        <w:rPr>
          <w:i/>
          <w:spacing w:val="-6"/>
          <w:sz w:val="18"/>
        </w:rPr>
        <w:t> </w:t>
      </w:r>
      <w:r>
        <w:rPr>
          <w:i/>
          <w:sz w:val="18"/>
        </w:rPr>
        <w:t>and</w:t>
      </w:r>
      <w:r>
        <w:rPr>
          <w:i/>
          <w:spacing w:val="-6"/>
          <w:sz w:val="18"/>
        </w:rPr>
        <w:t> </w:t>
      </w:r>
      <w:r>
        <w:rPr>
          <w:i/>
          <w:sz w:val="18"/>
        </w:rPr>
        <w:t>Audit</w:t>
      </w:r>
      <w:r>
        <w:rPr>
          <w:i/>
          <w:spacing w:val="-6"/>
          <w:sz w:val="18"/>
        </w:rPr>
        <w:t> </w:t>
      </w:r>
      <w:r>
        <w:rPr>
          <w:i/>
          <w:sz w:val="18"/>
        </w:rPr>
        <w:t>Regulations</w:t>
      </w:r>
      <w:r>
        <w:rPr>
          <w:i/>
          <w:spacing w:val="-6"/>
          <w:sz w:val="18"/>
        </w:rPr>
        <w:t> </w:t>
      </w:r>
      <w:r>
        <w:rPr>
          <w:i/>
          <w:sz w:val="18"/>
        </w:rPr>
        <w:t>2015</w:t>
      </w:r>
      <w:r>
        <w:rPr>
          <w:sz w:val="18"/>
        </w:rPr>
        <w:t>;</w:t>
      </w:r>
    </w:p>
    <w:p>
      <w:pPr>
        <w:pStyle w:val="BodyText"/>
        <w:spacing w:before="11"/>
        <w:rPr>
          <w:sz w:val="24"/>
        </w:rPr>
      </w:pPr>
    </w:p>
    <w:p>
      <w:pPr>
        <w:pStyle w:val="ListParagraph"/>
        <w:numPr>
          <w:ilvl w:val="0"/>
          <w:numId w:val="3"/>
        </w:numPr>
        <w:tabs>
          <w:tab w:pos="1935" w:val="left" w:leader="none"/>
        </w:tabs>
        <w:spacing w:line="240" w:lineRule="auto" w:before="0" w:after="0"/>
        <w:ind w:left="1824" w:right="1525" w:firstLine="0"/>
        <w:jc w:val="left"/>
        <w:rPr>
          <w:sz w:val="18"/>
        </w:rPr>
      </w:pPr>
      <w:r>
        <w:rPr>
          <w:i/>
          <w:sz w:val="18"/>
        </w:rPr>
        <w:t>Financial</w:t>
      </w:r>
      <w:r>
        <w:rPr>
          <w:i/>
          <w:spacing w:val="-7"/>
          <w:sz w:val="18"/>
        </w:rPr>
        <w:t> </w:t>
      </w:r>
      <w:r>
        <w:rPr>
          <w:i/>
          <w:sz w:val="18"/>
        </w:rPr>
        <w:t>Statement</w:t>
      </w:r>
      <w:r>
        <w:rPr>
          <w:i/>
          <w:spacing w:val="-7"/>
          <w:sz w:val="18"/>
        </w:rPr>
        <w:t> </w:t>
      </w:r>
      <w:r>
        <w:rPr>
          <w:i/>
          <w:sz w:val="18"/>
        </w:rPr>
        <w:t>Guidelines</w:t>
      </w:r>
      <w:r>
        <w:rPr>
          <w:i/>
          <w:spacing w:val="-7"/>
          <w:sz w:val="18"/>
        </w:rPr>
        <w:t> </w:t>
      </w:r>
      <w:r>
        <w:rPr>
          <w:i/>
          <w:sz w:val="18"/>
        </w:rPr>
        <w:t>for</w:t>
      </w:r>
      <w:r>
        <w:rPr>
          <w:i/>
          <w:spacing w:val="-7"/>
          <w:sz w:val="18"/>
        </w:rPr>
        <w:t> </w:t>
      </w:r>
      <w:r>
        <w:rPr>
          <w:i/>
          <w:sz w:val="18"/>
        </w:rPr>
        <w:t>Australian</w:t>
      </w:r>
      <w:r>
        <w:rPr>
          <w:i/>
          <w:spacing w:val="-7"/>
          <w:sz w:val="18"/>
        </w:rPr>
        <w:t> </w:t>
      </w:r>
      <w:r>
        <w:rPr>
          <w:i/>
          <w:sz w:val="18"/>
        </w:rPr>
        <w:t>Higher</w:t>
      </w:r>
      <w:r>
        <w:rPr>
          <w:i/>
          <w:spacing w:val="-7"/>
          <w:sz w:val="18"/>
        </w:rPr>
        <w:t> </w:t>
      </w:r>
      <w:r>
        <w:rPr>
          <w:i/>
          <w:sz w:val="18"/>
        </w:rPr>
        <w:t>Education</w:t>
      </w:r>
      <w:r>
        <w:rPr>
          <w:i/>
          <w:spacing w:val="-7"/>
          <w:sz w:val="18"/>
        </w:rPr>
        <w:t> </w:t>
      </w:r>
      <w:r>
        <w:rPr>
          <w:i/>
          <w:sz w:val="18"/>
        </w:rPr>
        <w:t>Providers</w:t>
      </w:r>
      <w:r>
        <w:rPr>
          <w:i/>
          <w:spacing w:val="-7"/>
          <w:sz w:val="18"/>
        </w:rPr>
        <w:t> </w:t>
      </w:r>
      <w:r>
        <w:rPr>
          <w:i/>
          <w:sz w:val="18"/>
        </w:rPr>
        <w:t>for</w:t>
      </w:r>
      <w:r>
        <w:rPr>
          <w:i/>
          <w:spacing w:val="-7"/>
          <w:sz w:val="18"/>
        </w:rPr>
        <w:t> </w:t>
      </w:r>
      <w:r>
        <w:rPr>
          <w:i/>
          <w:sz w:val="18"/>
        </w:rPr>
        <w:t>the</w:t>
      </w:r>
      <w:r>
        <w:rPr>
          <w:i/>
          <w:spacing w:val="-6"/>
          <w:sz w:val="18"/>
        </w:rPr>
        <w:t> </w:t>
      </w:r>
      <w:r>
        <w:rPr>
          <w:i/>
          <w:sz w:val="18"/>
        </w:rPr>
        <w:t>2016</w:t>
      </w:r>
      <w:r>
        <w:rPr>
          <w:i/>
          <w:spacing w:val="-7"/>
          <w:sz w:val="18"/>
        </w:rPr>
        <w:t> </w:t>
      </w:r>
      <w:r>
        <w:rPr>
          <w:i/>
          <w:sz w:val="18"/>
        </w:rPr>
        <w:t>Reporting</w:t>
      </w:r>
      <w:r>
        <w:rPr>
          <w:i/>
          <w:spacing w:val="-7"/>
          <w:sz w:val="18"/>
        </w:rPr>
        <w:t> </w:t>
      </w:r>
      <w:r>
        <w:rPr>
          <w:i/>
          <w:sz w:val="18"/>
        </w:rPr>
        <w:t>Period</w:t>
      </w:r>
      <w:r>
        <w:rPr>
          <w:i/>
          <w:spacing w:val="-7"/>
          <w:sz w:val="18"/>
        </w:rPr>
        <w:t> </w:t>
      </w:r>
      <w:r>
        <w:rPr>
          <w:sz w:val="18"/>
        </w:rPr>
        <w:t>as</w:t>
      </w:r>
      <w:r>
        <w:rPr>
          <w:spacing w:val="-7"/>
          <w:sz w:val="18"/>
        </w:rPr>
        <w:t> </w:t>
      </w:r>
      <w:r>
        <w:rPr>
          <w:sz w:val="18"/>
        </w:rPr>
        <w:t>issued</w:t>
      </w:r>
      <w:r>
        <w:rPr>
          <w:spacing w:val="-7"/>
          <w:sz w:val="18"/>
        </w:rPr>
        <w:t> </w:t>
      </w:r>
      <w:r>
        <w:rPr>
          <w:sz w:val="18"/>
        </w:rPr>
        <w:t>by the</w:t>
      </w:r>
      <w:r>
        <w:rPr>
          <w:spacing w:val="-8"/>
          <w:sz w:val="18"/>
        </w:rPr>
        <w:t> </w:t>
      </w:r>
      <w:r>
        <w:rPr>
          <w:sz w:val="18"/>
        </w:rPr>
        <w:t>Department</w:t>
      </w:r>
      <w:r>
        <w:rPr>
          <w:spacing w:val="-8"/>
          <w:sz w:val="18"/>
        </w:rPr>
        <w:t> </w:t>
      </w:r>
      <w:r>
        <w:rPr>
          <w:sz w:val="18"/>
        </w:rPr>
        <w:t>of</w:t>
      </w:r>
      <w:r>
        <w:rPr>
          <w:spacing w:val="-8"/>
          <w:sz w:val="18"/>
        </w:rPr>
        <w:t> </w:t>
      </w:r>
      <w:r>
        <w:rPr>
          <w:sz w:val="18"/>
        </w:rPr>
        <w:t>Education</w:t>
      </w:r>
      <w:r>
        <w:rPr>
          <w:spacing w:val="-8"/>
          <w:sz w:val="18"/>
        </w:rPr>
        <w:t> </w:t>
      </w:r>
      <w:r>
        <w:rPr>
          <w:sz w:val="18"/>
        </w:rPr>
        <w:t>and</w:t>
      </w:r>
      <w:r>
        <w:rPr>
          <w:spacing w:val="-8"/>
          <w:sz w:val="18"/>
        </w:rPr>
        <w:t> </w:t>
      </w:r>
      <w:r>
        <w:rPr>
          <w:sz w:val="18"/>
        </w:rPr>
        <w:t>Training;</w:t>
      </w:r>
    </w:p>
    <w:p>
      <w:pPr>
        <w:pStyle w:val="BodyText"/>
        <w:spacing w:before="11"/>
        <w:rPr>
          <w:sz w:val="24"/>
        </w:rPr>
      </w:pPr>
    </w:p>
    <w:p>
      <w:pPr>
        <w:spacing w:before="0"/>
        <w:ind w:left="1824" w:right="0" w:firstLine="0"/>
        <w:jc w:val="both"/>
        <w:rPr>
          <w:sz w:val="18"/>
        </w:rPr>
      </w:pPr>
      <w:r>
        <w:rPr/>
        <w:drawing>
          <wp:anchor distT="0" distB="0" distL="0" distR="0" allowOverlap="1" layoutInCell="1" locked="0" behindDoc="0" simplePos="0" relativeHeight="2080">
            <wp:simplePos x="0" y="0"/>
            <wp:positionH relativeFrom="page">
              <wp:posOffset>-1587</wp:posOffset>
            </wp:positionH>
            <wp:positionV relativeFrom="paragraph">
              <wp:posOffset>-54179</wp:posOffset>
            </wp:positionV>
            <wp:extent cx="136525" cy="155575"/>
            <wp:effectExtent l="0" t="0" r="0" b="0"/>
            <wp:wrapNone/>
            <wp:docPr id="83" name="image13.png" descr=""/>
            <wp:cNvGraphicFramePr>
              <a:graphicFrameLocks noChangeAspect="1"/>
            </wp:cNvGraphicFramePr>
            <a:graphic>
              <a:graphicData uri="http://schemas.openxmlformats.org/drawingml/2006/picture">
                <pic:pic>
                  <pic:nvPicPr>
                    <pic:cNvPr id="84" name="image13.png"/>
                    <pic:cNvPicPr/>
                  </pic:nvPicPr>
                  <pic:blipFill>
                    <a:blip r:embed="rId18" cstate="print"/>
                    <a:stretch>
                      <a:fillRect/>
                    </a:stretch>
                  </pic:blipFill>
                  <pic:spPr>
                    <a:xfrm>
                      <a:off x="0" y="0"/>
                      <a:ext cx="136525" cy="155575"/>
                    </a:xfrm>
                    <a:prstGeom prst="rect">
                      <a:avLst/>
                    </a:prstGeom>
                  </pic:spPr>
                </pic:pic>
              </a:graphicData>
            </a:graphic>
          </wp:anchor>
        </w:drawing>
      </w:r>
      <w:r>
        <w:rPr/>
        <w:drawing>
          <wp:anchor distT="0" distB="0" distL="0" distR="0" allowOverlap="1" layoutInCell="1" locked="0" behindDoc="0" simplePos="0" relativeHeight="2104">
            <wp:simplePos x="0" y="0"/>
            <wp:positionH relativeFrom="page">
              <wp:posOffset>7958429</wp:posOffset>
            </wp:positionH>
            <wp:positionV relativeFrom="paragraph">
              <wp:posOffset>-54179</wp:posOffset>
            </wp:positionV>
            <wp:extent cx="135953" cy="155575"/>
            <wp:effectExtent l="0" t="0" r="0" b="0"/>
            <wp:wrapNone/>
            <wp:docPr id="85" name="image15.png" descr=""/>
            <wp:cNvGraphicFramePr>
              <a:graphicFrameLocks noChangeAspect="1"/>
            </wp:cNvGraphicFramePr>
            <a:graphic>
              <a:graphicData uri="http://schemas.openxmlformats.org/drawingml/2006/picture">
                <pic:pic>
                  <pic:nvPicPr>
                    <pic:cNvPr id="86" name="image15.png"/>
                    <pic:cNvPicPr/>
                  </pic:nvPicPr>
                  <pic:blipFill>
                    <a:blip r:embed="rId20" cstate="print"/>
                    <a:stretch>
                      <a:fillRect/>
                    </a:stretch>
                  </pic:blipFill>
                  <pic:spPr>
                    <a:xfrm>
                      <a:off x="0" y="0"/>
                      <a:ext cx="135953" cy="155575"/>
                    </a:xfrm>
                    <a:prstGeom prst="rect">
                      <a:avLst/>
                    </a:prstGeom>
                  </pic:spPr>
                </pic:pic>
              </a:graphicData>
            </a:graphic>
          </wp:anchor>
        </w:drawing>
      </w:r>
      <w:r>
        <w:rPr>
          <w:i/>
          <w:sz w:val="18"/>
        </w:rPr>
        <w:t>- </w:t>
      </w:r>
      <w:r>
        <w:rPr>
          <w:sz w:val="18"/>
        </w:rPr>
        <w:t>The </w:t>
      </w:r>
      <w:r>
        <w:rPr>
          <w:i/>
          <w:sz w:val="18"/>
        </w:rPr>
        <w:t>Australian Charities and Not-for-profit Commission Regulation 2013; </w:t>
      </w:r>
      <w:r>
        <w:rPr>
          <w:sz w:val="18"/>
        </w:rPr>
        <w:t>and</w:t>
      </w:r>
    </w:p>
    <w:p>
      <w:pPr>
        <w:pStyle w:val="BodyText"/>
        <w:spacing w:before="11"/>
        <w:rPr>
          <w:sz w:val="24"/>
        </w:rPr>
      </w:pPr>
    </w:p>
    <w:p>
      <w:pPr>
        <w:pStyle w:val="BodyText"/>
        <w:ind w:left="1823"/>
        <w:jc w:val="both"/>
      </w:pPr>
      <w:r>
        <w:rPr/>
        <w:t>- Other State/Australian Government legislative requirements.</w:t>
      </w:r>
    </w:p>
    <w:p>
      <w:pPr>
        <w:pStyle w:val="BodyText"/>
        <w:spacing w:before="11"/>
        <w:rPr>
          <w:sz w:val="24"/>
        </w:rPr>
      </w:pPr>
    </w:p>
    <w:p>
      <w:pPr>
        <w:pStyle w:val="BodyText"/>
        <w:ind w:left="1823" w:right="1450"/>
      </w:pPr>
      <w:r>
        <w:rPr/>
        <w:t>Western Sydney University is a not-for-profit entity and these statements have been prepared on that basis. Some of the Australian Accounting Standards requirements for not-for-profit entities are inconsistent with IFRS requirements.</w:t>
      </w:r>
    </w:p>
    <w:p>
      <w:pPr>
        <w:pStyle w:val="BodyText"/>
        <w:spacing w:before="11"/>
        <w:rPr>
          <w:sz w:val="24"/>
        </w:rPr>
      </w:pPr>
    </w:p>
    <w:p>
      <w:pPr>
        <w:pStyle w:val="Heading8"/>
        <w:ind w:left="1823"/>
        <w:jc w:val="both"/>
      </w:pPr>
      <w:r>
        <w:rPr/>
        <w:t>Date of authorisation for issue</w:t>
      </w:r>
    </w:p>
    <w:p>
      <w:pPr>
        <w:pStyle w:val="BodyText"/>
        <w:spacing w:before="11"/>
        <w:rPr>
          <w:b/>
          <w:sz w:val="24"/>
        </w:rPr>
      </w:pPr>
    </w:p>
    <w:p>
      <w:pPr>
        <w:pStyle w:val="BodyText"/>
        <w:ind w:left="1823"/>
        <w:jc w:val="both"/>
      </w:pPr>
      <w:r>
        <w:rPr/>
        <w:t>The financial statements were authorised for issue by the members of Western Sydney University on 5 April 2017.</w:t>
      </w:r>
    </w:p>
    <w:p>
      <w:pPr>
        <w:pStyle w:val="BodyText"/>
        <w:spacing w:before="11"/>
        <w:rPr>
          <w:sz w:val="24"/>
        </w:rPr>
      </w:pPr>
    </w:p>
    <w:p>
      <w:pPr>
        <w:pStyle w:val="Heading8"/>
        <w:ind w:left="1824"/>
        <w:jc w:val="both"/>
      </w:pPr>
      <w:r>
        <w:rPr/>
        <w:t>Historical cost convention</w:t>
      </w:r>
    </w:p>
    <w:p>
      <w:pPr>
        <w:pStyle w:val="BodyText"/>
        <w:spacing w:before="11"/>
        <w:rPr>
          <w:b/>
          <w:sz w:val="24"/>
        </w:rPr>
      </w:pPr>
    </w:p>
    <w:p>
      <w:pPr>
        <w:pStyle w:val="BodyText"/>
        <w:ind w:left="1824" w:right="1557"/>
        <w:jc w:val="both"/>
      </w:pPr>
      <w:r>
        <w:rPr/>
        <w:t>These financial statements have been prepared under the historical cost convention, as modified by the revaluation of available-for-sale</w:t>
      </w:r>
      <w:r>
        <w:rPr>
          <w:spacing w:val="-8"/>
        </w:rPr>
        <w:t> </w:t>
      </w:r>
      <w:r>
        <w:rPr/>
        <w:t>financial</w:t>
      </w:r>
      <w:r>
        <w:rPr>
          <w:spacing w:val="-8"/>
        </w:rPr>
        <w:t> </w:t>
      </w:r>
      <w:r>
        <w:rPr/>
        <w:t>assets,</w:t>
      </w:r>
      <w:r>
        <w:rPr>
          <w:spacing w:val="-8"/>
        </w:rPr>
        <w:t> </w:t>
      </w:r>
      <w:r>
        <w:rPr/>
        <w:t>financial</w:t>
      </w:r>
      <w:r>
        <w:rPr>
          <w:spacing w:val="-8"/>
        </w:rPr>
        <w:t> </w:t>
      </w:r>
      <w:r>
        <w:rPr/>
        <w:t>assets</w:t>
      </w:r>
      <w:r>
        <w:rPr>
          <w:spacing w:val="-8"/>
        </w:rPr>
        <w:t> </w:t>
      </w:r>
      <w:r>
        <w:rPr/>
        <w:t>and</w:t>
      </w:r>
      <w:r>
        <w:rPr>
          <w:spacing w:val="-8"/>
        </w:rPr>
        <w:t> </w:t>
      </w:r>
      <w:r>
        <w:rPr/>
        <w:t>liabilities</w:t>
      </w:r>
      <w:r>
        <w:rPr>
          <w:spacing w:val="-8"/>
        </w:rPr>
        <w:t> </w:t>
      </w:r>
      <w:r>
        <w:rPr/>
        <w:t>(including</w:t>
      </w:r>
      <w:r>
        <w:rPr>
          <w:spacing w:val="-8"/>
        </w:rPr>
        <w:t> </w:t>
      </w:r>
      <w:r>
        <w:rPr/>
        <w:t>derivative</w:t>
      </w:r>
      <w:r>
        <w:rPr>
          <w:spacing w:val="-8"/>
        </w:rPr>
        <w:t> </w:t>
      </w:r>
      <w:r>
        <w:rPr/>
        <w:t>instruments)</w:t>
      </w:r>
      <w:r>
        <w:rPr>
          <w:spacing w:val="-8"/>
        </w:rPr>
        <w:t> </w:t>
      </w:r>
      <w:r>
        <w:rPr/>
        <w:t>at</w:t>
      </w:r>
      <w:r>
        <w:rPr>
          <w:spacing w:val="-8"/>
        </w:rPr>
        <w:t> </w:t>
      </w:r>
      <w:r>
        <w:rPr/>
        <w:t>fair</w:t>
      </w:r>
      <w:r>
        <w:rPr>
          <w:spacing w:val="-8"/>
        </w:rPr>
        <w:t> </w:t>
      </w:r>
      <w:r>
        <w:rPr/>
        <w:t>value</w:t>
      </w:r>
      <w:r>
        <w:rPr>
          <w:spacing w:val="-8"/>
        </w:rPr>
        <w:t> </w:t>
      </w:r>
      <w:r>
        <w:rPr/>
        <w:t>through profit</w:t>
      </w:r>
      <w:r>
        <w:rPr>
          <w:spacing w:val="-6"/>
        </w:rPr>
        <w:t> </w:t>
      </w:r>
      <w:r>
        <w:rPr/>
        <w:t>or</w:t>
      </w:r>
      <w:r>
        <w:rPr>
          <w:spacing w:val="-6"/>
        </w:rPr>
        <w:t> </w:t>
      </w:r>
      <w:r>
        <w:rPr/>
        <w:t>loss,</w:t>
      </w:r>
      <w:r>
        <w:rPr>
          <w:spacing w:val="-6"/>
        </w:rPr>
        <w:t> </w:t>
      </w:r>
      <w:r>
        <w:rPr/>
        <w:t>and</w:t>
      </w:r>
      <w:r>
        <w:rPr>
          <w:spacing w:val="-6"/>
        </w:rPr>
        <w:t> </w:t>
      </w:r>
      <w:r>
        <w:rPr/>
        <w:t>certain</w:t>
      </w:r>
      <w:r>
        <w:rPr>
          <w:spacing w:val="-6"/>
        </w:rPr>
        <w:t> </w:t>
      </w:r>
      <w:r>
        <w:rPr/>
        <w:t>classes</w:t>
      </w:r>
      <w:r>
        <w:rPr>
          <w:spacing w:val="-6"/>
        </w:rPr>
        <w:t> </w:t>
      </w:r>
      <w:r>
        <w:rPr/>
        <w:t>of</w:t>
      </w:r>
      <w:r>
        <w:rPr>
          <w:spacing w:val="-6"/>
        </w:rPr>
        <w:t> </w:t>
      </w:r>
      <w:r>
        <w:rPr/>
        <w:t>property,</w:t>
      </w:r>
      <w:r>
        <w:rPr>
          <w:spacing w:val="-6"/>
        </w:rPr>
        <w:t> </w:t>
      </w:r>
      <w:r>
        <w:rPr/>
        <w:t>plant</w:t>
      </w:r>
      <w:r>
        <w:rPr>
          <w:spacing w:val="-6"/>
        </w:rPr>
        <w:t> </w:t>
      </w:r>
      <w:r>
        <w:rPr/>
        <w:t>and</w:t>
      </w:r>
      <w:r>
        <w:rPr>
          <w:spacing w:val="-6"/>
        </w:rPr>
        <w:t> </w:t>
      </w:r>
      <w:r>
        <w:rPr/>
        <w:t>equipment.</w:t>
      </w:r>
    </w:p>
    <w:p>
      <w:pPr>
        <w:spacing w:after="0"/>
        <w:jc w:val="both"/>
        <w:sectPr>
          <w:headerReference w:type="default" r:id="rId37"/>
          <w:footerReference w:type="default" r:id="rId38"/>
          <w:pgSz w:w="12750" w:h="17680"/>
          <w:pgMar w:header="0" w:footer="927" w:top="2640" w:bottom="1120" w:left="0" w:right="0"/>
          <w:pgNumType w:start="14"/>
        </w:sectPr>
      </w:pPr>
    </w:p>
    <w:p>
      <w:pPr>
        <w:pStyle w:val="BodyText"/>
        <w:rPr>
          <w:sz w:val="20"/>
        </w:rPr>
      </w:pPr>
    </w:p>
    <w:p>
      <w:pPr>
        <w:pStyle w:val="BodyText"/>
        <w:rPr>
          <w:sz w:val="20"/>
        </w:rPr>
      </w:pPr>
    </w:p>
    <w:p>
      <w:pPr>
        <w:pStyle w:val="BodyText"/>
        <w:spacing w:before="4"/>
      </w:pPr>
    </w:p>
    <w:p>
      <w:pPr>
        <w:pStyle w:val="Heading8"/>
        <w:tabs>
          <w:tab w:pos="1823" w:val="left" w:leader="none"/>
        </w:tabs>
        <w:ind w:left="1429"/>
      </w:pPr>
      <w:r>
        <w:rPr/>
        <w:t>1</w:t>
        <w:tab/>
        <w:t>Summary of Significant Accounting Policies</w:t>
      </w:r>
      <w:r>
        <w:rPr>
          <w:spacing w:val="-6"/>
        </w:rPr>
        <w:t> </w:t>
      </w:r>
      <w:r>
        <w:rPr/>
        <w:t>(continued)</w:t>
      </w:r>
    </w:p>
    <w:p>
      <w:pPr>
        <w:pStyle w:val="BodyText"/>
        <w:spacing w:before="11"/>
        <w:rPr>
          <w:b/>
          <w:sz w:val="24"/>
        </w:rPr>
      </w:pPr>
    </w:p>
    <w:p>
      <w:pPr>
        <w:pStyle w:val="ListParagraph"/>
        <w:numPr>
          <w:ilvl w:val="0"/>
          <w:numId w:val="4"/>
        </w:numPr>
        <w:tabs>
          <w:tab w:pos="2391" w:val="left" w:leader="none"/>
        </w:tabs>
        <w:spacing w:line="240" w:lineRule="auto" w:before="0" w:after="0"/>
        <w:ind w:left="2390" w:right="0" w:hanging="566"/>
        <w:jc w:val="left"/>
        <w:rPr>
          <w:b/>
          <w:sz w:val="18"/>
        </w:rPr>
      </w:pPr>
      <w:r>
        <w:rPr>
          <w:b/>
          <w:sz w:val="18"/>
        </w:rPr>
        <w:t>Basis of Preparation (continued)</w:t>
      </w:r>
    </w:p>
    <w:p>
      <w:pPr>
        <w:pStyle w:val="BodyText"/>
        <w:spacing w:before="11"/>
        <w:rPr>
          <w:b/>
          <w:sz w:val="24"/>
        </w:rPr>
      </w:pPr>
    </w:p>
    <w:p>
      <w:pPr>
        <w:spacing w:before="0"/>
        <w:ind w:left="1824" w:right="0" w:firstLine="0"/>
        <w:jc w:val="left"/>
        <w:rPr>
          <w:b/>
          <w:sz w:val="18"/>
        </w:rPr>
      </w:pPr>
      <w:r>
        <w:rPr>
          <w:b/>
          <w:sz w:val="18"/>
        </w:rPr>
        <w:t>Critical accounting estimates and significant judgements</w:t>
      </w:r>
    </w:p>
    <w:p>
      <w:pPr>
        <w:pStyle w:val="BodyText"/>
        <w:spacing w:before="11"/>
        <w:rPr>
          <w:b/>
          <w:sz w:val="24"/>
        </w:rPr>
      </w:pPr>
    </w:p>
    <w:p>
      <w:pPr>
        <w:pStyle w:val="BodyText"/>
        <w:ind w:left="1823" w:right="1375"/>
      </w:pPr>
      <w:r>
        <w:rPr/>
        <w:t>The preparation of financial statements in conformity with Australian Accounting Standards requires the use of certain critical accounting estimates. It also requires management to exercise its judgement in the process of applying Western Sydney University’s accounting policies. The estimates and underlying assumptions are reviewed on an ongoing basis.The areas involving a higher degree of judgement or complexity, or areas where assumptions and estimates are significant to the financial statements, are disclosed below:</w:t>
      </w:r>
    </w:p>
    <w:p>
      <w:pPr>
        <w:pStyle w:val="BodyText"/>
        <w:spacing w:before="11"/>
        <w:rPr>
          <w:sz w:val="24"/>
        </w:rPr>
      </w:pPr>
    </w:p>
    <w:p>
      <w:pPr>
        <w:pStyle w:val="ListParagraph"/>
        <w:numPr>
          <w:ilvl w:val="1"/>
          <w:numId w:val="4"/>
        </w:numPr>
        <w:tabs>
          <w:tab w:pos="2108" w:val="left" w:leader="none"/>
        </w:tabs>
        <w:spacing w:line="240" w:lineRule="auto" w:before="0" w:after="0"/>
        <w:ind w:left="1824" w:right="1428" w:firstLine="100"/>
        <w:jc w:val="left"/>
        <w:rPr>
          <w:sz w:val="18"/>
        </w:rPr>
      </w:pPr>
      <w:r>
        <w:rPr>
          <w:sz w:val="18"/>
        </w:rPr>
        <w:t>Management has elected to measure land and buildings at fair value as determined by licensed valuers being Global Valuation Services Pty Ltd who have performed an independent valuation as at 30 September 2016. Plant and equipment</w:t>
      </w:r>
      <w:r>
        <w:rPr>
          <w:spacing w:val="-6"/>
          <w:sz w:val="18"/>
        </w:rPr>
        <w:t> </w:t>
      </w:r>
      <w:r>
        <w:rPr>
          <w:sz w:val="18"/>
        </w:rPr>
        <w:t>has</w:t>
      </w:r>
      <w:r>
        <w:rPr>
          <w:spacing w:val="-6"/>
          <w:sz w:val="18"/>
        </w:rPr>
        <w:t> </w:t>
      </w:r>
      <w:r>
        <w:rPr>
          <w:sz w:val="18"/>
        </w:rPr>
        <w:t>been</w:t>
      </w:r>
      <w:r>
        <w:rPr>
          <w:spacing w:val="-6"/>
          <w:sz w:val="18"/>
        </w:rPr>
        <w:t> </w:t>
      </w:r>
      <w:r>
        <w:rPr>
          <w:sz w:val="18"/>
        </w:rPr>
        <w:t>measured</w:t>
      </w:r>
      <w:r>
        <w:rPr>
          <w:spacing w:val="-6"/>
          <w:sz w:val="18"/>
        </w:rPr>
        <w:t> </w:t>
      </w:r>
      <w:r>
        <w:rPr>
          <w:sz w:val="18"/>
        </w:rPr>
        <w:t>at</w:t>
      </w:r>
      <w:r>
        <w:rPr>
          <w:spacing w:val="-6"/>
          <w:sz w:val="18"/>
        </w:rPr>
        <w:t> </w:t>
      </w:r>
      <w:r>
        <w:rPr>
          <w:sz w:val="18"/>
        </w:rPr>
        <w:t>the</w:t>
      </w:r>
      <w:r>
        <w:rPr>
          <w:spacing w:val="-6"/>
          <w:sz w:val="18"/>
        </w:rPr>
        <w:t> </w:t>
      </w:r>
      <w:r>
        <w:rPr>
          <w:sz w:val="18"/>
        </w:rPr>
        <w:t>written</w:t>
      </w:r>
      <w:r>
        <w:rPr>
          <w:spacing w:val="-6"/>
          <w:sz w:val="18"/>
        </w:rPr>
        <w:t> </w:t>
      </w:r>
      <w:r>
        <w:rPr>
          <w:sz w:val="18"/>
        </w:rPr>
        <w:t>down</w:t>
      </w:r>
      <w:r>
        <w:rPr>
          <w:spacing w:val="-6"/>
          <w:sz w:val="18"/>
        </w:rPr>
        <w:t> </w:t>
      </w:r>
      <w:r>
        <w:rPr>
          <w:sz w:val="18"/>
        </w:rPr>
        <w:t>historical</w:t>
      </w:r>
      <w:r>
        <w:rPr>
          <w:spacing w:val="-6"/>
          <w:sz w:val="18"/>
        </w:rPr>
        <w:t> </w:t>
      </w:r>
      <w:r>
        <w:rPr>
          <w:sz w:val="18"/>
        </w:rPr>
        <w:t>costs</w:t>
      </w:r>
      <w:r>
        <w:rPr>
          <w:spacing w:val="-6"/>
          <w:sz w:val="18"/>
        </w:rPr>
        <w:t> </w:t>
      </w:r>
      <w:r>
        <w:rPr>
          <w:sz w:val="18"/>
        </w:rPr>
        <w:t>of</w:t>
      </w:r>
      <w:r>
        <w:rPr>
          <w:spacing w:val="-6"/>
          <w:sz w:val="18"/>
        </w:rPr>
        <w:t> </w:t>
      </w:r>
      <w:r>
        <w:rPr>
          <w:sz w:val="18"/>
        </w:rPr>
        <w:t>these</w:t>
      </w:r>
      <w:r>
        <w:rPr>
          <w:spacing w:val="-6"/>
          <w:sz w:val="18"/>
        </w:rPr>
        <w:t> </w:t>
      </w:r>
      <w:r>
        <w:rPr>
          <w:sz w:val="18"/>
        </w:rPr>
        <w:t>assets.</w:t>
      </w:r>
      <w:r>
        <w:rPr>
          <w:spacing w:val="-6"/>
          <w:sz w:val="18"/>
        </w:rPr>
        <w:t> </w:t>
      </w:r>
      <w:r>
        <w:rPr>
          <w:sz w:val="18"/>
        </w:rPr>
        <w:t>The</w:t>
      </w:r>
      <w:r>
        <w:rPr>
          <w:spacing w:val="-6"/>
          <w:sz w:val="18"/>
        </w:rPr>
        <w:t> </w:t>
      </w:r>
      <w:r>
        <w:rPr>
          <w:sz w:val="18"/>
        </w:rPr>
        <w:t>valuation</w:t>
      </w:r>
      <w:r>
        <w:rPr>
          <w:spacing w:val="-6"/>
          <w:sz w:val="18"/>
        </w:rPr>
        <w:t> </w:t>
      </w:r>
      <w:r>
        <w:rPr>
          <w:sz w:val="18"/>
        </w:rPr>
        <w:t>of</w:t>
      </w:r>
      <w:r>
        <w:rPr>
          <w:spacing w:val="-6"/>
          <w:sz w:val="18"/>
        </w:rPr>
        <w:t> </w:t>
      </w:r>
      <w:r>
        <w:rPr>
          <w:sz w:val="18"/>
        </w:rPr>
        <w:t>land,</w:t>
      </w:r>
      <w:r>
        <w:rPr>
          <w:spacing w:val="-6"/>
          <w:sz w:val="18"/>
        </w:rPr>
        <w:t> </w:t>
      </w:r>
      <w:r>
        <w:rPr>
          <w:sz w:val="18"/>
        </w:rPr>
        <w:t>building,</w:t>
      </w:r>
      <w:r>
        <w:rPr>
          <w:spacing w:val="-6"/>
          <w:sz w:val="18"/>
        </w:rPr>
        <w:t> </w:t>
      </w:r>
      <w:r>
        <w:rPr>
          <w:sz w:val="18"/>
        </w:rPr>
        <w:t>plant and</w:t>
      </w:r>
      <w:r>
        <w:rPr>
          <w:spacing w:val="-6"/>
          <w:sz w:val="18"/>
        </w:rPr>
        <w:t> </w:t>
      </w:r>
      <w:r>
        <w:rPr>
          <w:sz w:val="18"/>
        </w:rPr>
        <w:t>equipment</w:t>
      </w:r>
      <w:r>
        <w:rPr>
          <w:spacing w:val="-6"/>
          <w:sz w:val="18"/>
        </w:rPr>
        <w:t> </w:t>
      </w:r>
      <w:r>
        <w:rPr>
          <w:sz w:val="18"/>
        </w:rPr>
        <w:t>is</w:t>
      </w:r>
      <w:r>
        <w:rPr>
          <w:spacing w:val="-6"/>
          <w:sz w:val="18"/>
        </w:rPr>
        <w:t> </w:t>
      </w:r>
      <w:r>
        <w:rPr>
          <w:sz w:val="18"/>
        </w:rPr>
        <w:t>shown</w:t>
      </w:r>
      <w:r>
        <w:rPr>
          <w:spacing w:val="-6"/>
          <w:sz w:val="18"/>
        </w:rPr>
        <w:t> </w:t>
      </w:r>
      <w:r>
        <w:rPr>
          <w:sz w:val="18"/>
        </w:rPr>
        <w:t>in</w:t>
      </w:r>
      <w:r>
        <w:rPr>
          <w:spacing w:val="-6"/>
          <w:sz w:val="18"/>
        </w:rPr>
        <w:t> </w:t>
      </w:r>
      <w:r>
        <w:rPr>
          <w:sz w:val="18"/>
        </w:rPr>
        <w:t>property,</w:t>
      </w:r>
      <w:r>
        <w:rPr>
          <w:spacing w:val="-6"/>
          <w:sz w:val="18"/>
        </w:rPr>
        <w:t> </w:t>
      </w:r>
      <w:r>
        <w:rPr>
          <w:sz w:val="18"/>
        </w:rPr>
        <w:t>plant</w:t>
      </w:r>
      <w:r>
        <w:rPr>
          <w:spacing w:val="-6"/>
          <w:sz w:val="18"/>
        </w:rPr>
        <w:t> </w:t>
      </w:r>
      <w:r>
        <w:rPr>
          <w:sz w:val="18"/>
        </w:rPr>
        <w:t>and</w:t>
      </w:r>
      <w:r>
        <w:rPr>
          <w:spacing w:val="-6"/>
          <w:sz w:val="18"/>
        </w:rPr>
        <w:t> </w:t>
      </w:r>
      <w:r>
        <w:rPr>
          <w:sz w:val="18"/>
        </w:rPr>
        <w:t>equipment</w:t>
      </w:r>
      <w:r>
        <w:rPr>
          <w:spacing w:val="-6"/>
          <w:sz w:val="18"/>
        </w:rPr>
        <w:t> </w:t>
      </w:r>
      <w:r>
        <w:rPr>
          <w:sz w:val="18"/>
        </w:rPr>
        <w:t>(note</w:t>
      </w:r>
      <w:r>
        <w:rPr>
          <w:spacing w:val="-5"/>
          <w:sz w:val="18"/>
        </w:rPr>
        <w:t> </w:t>
      </w:r>
      <w:r>
        <w:rPr>
          <w:sz w:val="18"/>
        </w:rPr>
        <w:t>21).</w:t>
      </w:r>
      <w:r>
        <w:rPr>
          <w:spacing w:val="40"/>
          <w:sz w:val="18"/>
        </w:rPr>
        <w:t> </w:t>
      </w:r>
      <w:r>
        <w:rPr>
          <w:sz w:val="18"/>
        </w:rPr>
        <w:t>For</w:t>
      </w:r>
      <w:r>
        <w:rPr>
          <w:spacing w:val="-6"/>
          <w:sz w:val="18"/>
        </w:rPr>
        <w:t> </w:t>
      </w:r>
      <w:r>
        <w:rPr>
          <w:sz w:val="18"/>
        </w:rPr>
        <w:t>further</w:t>
      </w:r>
      <w:r>
        <w:rPr>
          <w:spacing w:val="-6"/>
          <w:sz w:val="18"/>
        </w:rPr>
        <w:t> </w:t>
      </w:r>
      <w:r>
        <w:rPr>
          <w:sz w:val="18"/>
        </w:rPr>
        <w:t>details</w:t>
      </w:r>
      <w:r>
        <w:rPr>
          <w:spacing w:val="-6"/>
          <w:sz w:val="18"/>
        </w:rPr>
        <w:t> </w:t>
      </w:r>
      <w:r>
        <w:rPr>
          <w:sz w:val="18"/>
        </w:rPr>
        <w:t>refer</w:t>
      </w:r>
      <w:r>
        <w:rPr>
          <w:spacing w:val="-6"/>
          <w:sz w:val="18"/>
        </w:rPr>
        <w:t> </w:t>
      </w:r>
      <w:r>
        <w:rPr>
          <w:sz w:val="18"/>
        </w:rPr>
        <w:t>also</w:t>
      </w:r>
      <w:r>
        <w:rPr>
          <w:spacing w:val="-6"/>
          <w:sz w:val="18"/>
        </w:rPr>
        <w:t> </w:t>
      </w:r>
      <w:r>
        <w:rPr>
          <w:sz w:val="18"/>
        </w:rPr>
        <w:t>note</w:t>
      </w:r>
      <w:r>
        <w:rPr>
          <w:spacing w:val="-5"/>
          <w:sz w:val="18"/>
        </w:rPr>
        <w:t> </w:t>
      </w:r>
      <w:r>
        <w:rPr>
          <w:sz w:val="18"/>
        </w:rPr>
        <w:t>1(p).</w:t>
      </w:r>
    </w:p>
    <w:p>
      <w:pPr>
        <w:pStyle w:val="BodyText"/>
        <w:spacing w:before="11"/>
        <w:rPr>
          <w:sz w:val="24"/>
        </w:rPr>
      </w:pPr>
    </w:p>
    <w:p>
      <w:pPr>
        <w:pStyle w:val="ListParagraph"/>
        <w:numPr>
          <w:ilvl w:val="1"/>
          <w:numId w:val="4"/>
        </w:numPr>
        <w:tabs>
          <w:tab w:pos="2108" w:val="left" w:leader="none"/>
        </w:tabs>
        <w:spacing w:line="240" w:lineRule="auto" w:before="0" w:after="0"/>
        <w:ind w:left="1824" w:right="1514" w:firstLine="100"/>
        <w:jc w:val="left"/>
        <w:rPr>
          <w:sz w:val="18"/>
        </w:rPr>
      </w:pPr>
      <w:r>
        <w:rPr>
          <w:sz w:val="18"/>
        </w:rPr>
        <w:t>Trade debtors (note 18) would generally be measured at amortised cost which will be approximated by the related nominal value. Management has assumed that there are no significant receivables with fair value materially different from</w:t>
      </w:r>
      <w:r>
        <w:rPr>
          <w:spacing w:val="-7"/>
          <w:sz w:val="18"/>
        </w:rPr>
        <w:t> </w:t>
      </w:r>
      <w:r>
        <w:rPr>
          <w:sz w:val="18"/>
        </w:rPr>
        <w:t>nominal</w:t>
      </w:r>
      <w:r>
        <w:rPr>
          <w:spacing w:val="-7"/>
          <w:sz w:val="18"/>
        </w:rPr>
        <w:t> </w:t>
      </w:r>
      <w:r>
        <w:rPr>
          <w:sz w:val="18"/>
        </w:rPr>
        <w:t>value</w:t>
      </w:r>
      <w:r>
        <w:rPr>
          <w:spacing w:val="-7"/>
          <w:sz w:val="18"/>
        </w:rPr>
        <w:t> </w:t>
      </w:r>
      <w:r>
        <w:rPr>
          <w:sz w:val="18"/>
        </w:rPr>
        <w:t>and</w:t>
      </w:r>
      <w:r>
        <w:rPr>
          <w:spacing w:val="-7"/>
          <w:sz w:val="18"/>
        </w:rPr>
        <w:t> </w:t>
      </w:r>
      <w:r>
        <w:rPr>
          <w:sz w:val="18"/>
        </w:rPr>
        <w:t>that</w:t>
      </w:r>
      <w:r>
        <w:rPr>
          <w:spacing w:val="-7"/>
          <w:sz w:val="18"/>
        </w:rPr>
        <w:t> </w:t>
      </w:r>
      <w:r>
        <w:rPr>
          <w:sz w:val="18"/>
        </w:rPr>
        <w:t>there</w:t>
      </w:r>
      <w:r>
        <w:rPr>
          <w:spacing w:val="-7"/>
          <w:sz w:val="18"/>
        </w:rPr>
        <w:t> </w:t>
      </w:r>
      <w:r>
        <w:rPr>
          <w:sz w:val="18"/>
        </w:rPr>
        <w:t>will</w:t>
      </w:r>
      <w:r>
        <w:rPr>
          <w:spacing w:val="-7"/>
          <w:sz w:val="18"/>
        </w:rPr>
        <w:t> </w:t>
      </w:r>
      <w:r>
        <w:rPr>
          <w:sz w:val="18"/>
        </w:rPr>
        <w:t>be</w:t>
      </w:r>
      <w:r>
        <w:rPr>
          <w:spacing w:val="-7"/>
          <w:sz w:val="18"/>
        </w:rPr>
        <w:t> </w:t>
      </w:r>
      <w:r>
        <w:rPr>
          <w:sz w:val="18"/>
        </w:rPr>
        <w:t>no</w:t>
      </w:r>
      <w:r>
        <w:rPr>
          <w:spacing w:val="-7"/>
          <w:sz w:val="18"/>
        </w:rPr>
        <w:t> </w:t>
      </w:r>
      <w:r>
        <w:rPr>
          <w:sz w:val="18"/>
        </w:rPr>
        <w:t>significant</w:t>
      </w:r>
      <w:r>
        <w:rPr>
          <w:spacing w:val="-7"/>
          <w:sz w:val="18"/>
        </w:rPr>
        <w:t> </w:t>
      </w:r>
      <w:r>
        <w:rPr>
          <w:sz w:val="18"/>
        </w:rPr>
        <w:t>delays</w:t>
      </w:r>
      <w:r>
        <w:rPr>
          <w:spacing w:val="-7"/>
          <w:sz w:val="18"/>
        </w:rPr>
        <w:t> </w:t>
      </w:r>
      <w:r>
        <w:rPr>
          <w:sz w:val="18"/>
        </w:rPr>
        <w:t>in</w:t>
      </w:r>
      <w:r>
        <w:rPr>
          <w:spacing w:val="-7"/>
          <w:sz w:val="18"/>
        </w:rPr>
        <w:t> </w:t>
      </w:r>
      <w:r>
        <w:rPr>
          <w:sz w:val="18"/>
        </w:rPr>
        <w:t>collecting</w:t>
      </w:r>
      <w:r>
        <w:rPr>
          <w:spacing w:val="-7"/>
          <w:sz w:val="18"/>
        </w:rPr>
        <w:t> </w:t>
      </w:r>
      <w:r>
        <w:rPr>
          <w:sz w:val="18"/>
        </w:rPr>
        <w:t>outstanding</w:t>
      </w:r>
      <w:r>
        <w:rPr>
          <w:spacing w:val="-7"/>
          <w:sz w:val="18"/>
        </w:rPr>
        <w:t> </w:t>
      </w:r>
      <w:r>
        <w:rPr>
          <w:sz w:val="18"/>
        </w:rPr>
        <w:t>amounts.</w:t>
      </w:r>
    </w:p>
    <w:p>
      <w:pPr>
        <w:pStyle w:val="BodyText"/>
        <w:spacing w:before="11"/>
        <w:rPr>
          <w:sz w:val="24"/>
        </w:rPr>
      </w:pPr>
    </w:p>
    <w:p>
      <w:pPr>
        <w:pStyle w:val="ListParagraph"/>
        <w:numPr>
          <w:ilvl w:val="1"/>
          <w:numId w:val="4"/>
        </w:numPr>
        <w:tabs>
          <w:tab w:pos="2108" w:val="left" w:leader="none"/>
        </w:tabs>
        <w:spacing w:line="240" w:lineRule="auto" w:before="0" w:after="0"/>
        <w:ind w:left="1824" w:right="1720" w:firstLine="99"/>
        <w:jc w:val="left"/>
        <w:rPr>
          <w:sz w:val="18"/>
        </w:rPr>
      </w:pPr>
      <w:r>
        <w:rPr/>
        <w:drawing>
          <wp:anchor distT="0" distB="0" distL="0" distR="0" allowOverlap="1" layoutInCell="1" locked="0" behindDoc="0" simplePos="0" relativeHeight="2128">
            <wp:simplePos x="0" y="0"/>
            <wp:positionH relativeFrom="page">
              <wp:posOffset>-1587</wp:posOffset>
            </wp:positionH>
            <wp:positionV relativeFrom="paragraph">
              <wp:posOffset>363396</wp:posOffset>
            </wp:positionV>
            <wp:extent cx="136525" cy="155575"/>
            <wp:effectExtent l="0" t="0" r="0" b="0"/>
            <wp:wrapNone/>
            <wp:docPr id="87" name="image13.png" descr=""/>
            <wp:cNvGraphicFramePr>
              <a:graphicFrameLocks noChangeAspect="1"/>
            </wp:cNvGraphicFramePr>
            <a:graphic>
              <a:graphicData uri="http://schemas.openxmlformats.org/drawingml/2006/picture">
                <pic:pic>
                  <pic:nvPicPr>
                    <pic:cNvPr id="88" name="image13.png"/>
                    <pic:cNvPicPr/>
                  </pic:nvPicPr>
                  <pic:blipFill>
                    <a:blip r:embed="rId18" cstate="print"/>
                    <a:stretch>
                      <a:fillRect/>
                    </a:stretch>
                  </pic:blipFill>
                  <pic:spPr>
                    <a:xfrm>
                      <a:off x="0" y="0"/>
                      <a:ext cx="136525" cy="155575"/>
                    </a:xfrm>
                    <a:prstGeom prst="rect">
                      <a:avLst/>
                    </a:prstGeom>
                  </pic:spPr>
                </pic:pic>
              </a:graphicData>
            </a:graphic>
          </wp:anchor>
        </w:drawing>
      </w:r>
      <w:r>
        <w:rPr/>
        <w:drawing>
          <wp:anchor distT="0" distB="0" distL="0" distR="0" allowOverlap="1" layoutInCell="1" locked="0" behindDoc="0" simplePos="0" relativeHeight="2152">
            <wp:simplePos x="0" y="0"/>
            <wp:positionH relativeFrom="page">
              <wp:posOffset>7958429</wp:posOffset>
            </wp:positionH>
            <wp:positionV relativeFrom="paragraph">
              <wp:posOffset>363396</wp:posOffset>
            </wp:positionV>
            <wp:extent cx="135953" cy="155575"/>
            <wp:effectExtent l="0" t="0" r="0" b="0"/>
            <wp:wrapNone/>
            <wp:docPr id="89" name="image15.png" descr=""/>
            <wp:cNvGraphicFramePr>
              <a:graphicFrameLocks noChangeAspect="1"/>
            </wp:cNvGraphicFramePr>
            <a:graphic>
              <a:graphicData uri="http://schemas.openxmlformats.org/drawingml/2006/picture">
                <pic:pic>
                  <pic:nvPicPr>
                    <pic:cNvPr id="90" name="image15.png"/>
                    <pic:cNvPicPr/>
                  </pic:nvPicPr>
                  <pic:blipFill>
                    <a:blip r:embed="rId20" cstate="print"/>
                    <a:stretch>
                      <a:fillRect/>
                    </a:stretch>
                  </pic:blipFill>
                  <pic:spPr>
                    <a:xfrm>
                      <a:off x="0" y="0"/>
                      <a:ext cx="135953" cy="155575"/>
                    </a:xfrm>
                    <a:prstGeom prst="rect">
                      <a:avLst/>
                    </a:prstGeom>
                  </pic:spPr>
                </pic:pic>
              </a:graphicData>
            </a:graphic>
          </wp:anchor>
        </w:drawing>
      </w:r>
      <w:r>
        <w:rPr>
          <w:sz w:val="18"/>
        </w:rPr>
        <w:t>The University has entered into a Joint Operation with Urban Growth (note 38). Cost of goods sold has been calculated</w:t>
      </w:r>
      <w:r>
        <w:rPr>
          <w:spacing w:val="-5"/>
          <w:sz w:val="18"/>
        </w:rPr>
        <w:t> </w:t>
      </w:r>
      <w:r>
        <w:rPr>
          <w:sz w:val="18"/>
        </w:rPr>
        <w:t>on</w:t>
      </w:r>
      <w:r>
        <w:rPr>
          <w:spacing w:val="-5"/>
          <w:sz w:val="18"/>
        </w:rPr>
        <w:t> </w:t>
      </w:r>
      <w:r>
        <w:rPr>
          <w:sz w:val="18"/>
        </w:rPr>
        <w:t>a</w:t>
      </w:r>
      <w:r>
        <w:rPr>
          <w:spacing w:val="-5"/>
          <w:sz w:val="18"/>
        </w:rPr>
        <w:t> </w:t>
      </w:r>
      <w:r>
        <w:rPr>
          <w:sz w:val="18"/>
        </w:rPr>
        <w:t>percentage</w:t>
      </w:r>
      <w:r>
        <w:rPr>
          <w:spacing w:val="-5"/>
          <w:sz w:val="18"/>
        </w:rPr>
        <w:t> </w:t>
      </w:r>
      <w:r>
        <w:rPr>
          <w:sz w:val="18"/>
        </w:rPr>
        <w:t>of</w:t>
      </w:r>
      <w:r>
        <w:rPr>
          <w:spacing w:val="-5"/>
          <w:sz w:val="18"/>
        </w:rPr>
        <w:t> </w:t>
      </w:r>
      <w:r>
        <w:rPr>
          <w:sz w:val="18"/>
        </w:rPr>
        <w:t>completion</w:t>
      </w:r>
      <w:r>
        <w:rPr>
          <w:spacing w:val="-5"/>
          <w:sz w:val="18"/>
        </w:rPr>
        <w:t> </w:t>
      </w:r>
      <w:r>
        <w:rPr>
          <w:sz w:val="18"/>
        </w:rPr>
        <w:t>basis,</w:t>
      </w:r>
      <w:r>
        <w:rPr>
          <w:spacing w:val="-5"/>
          <w:sz w:val="18"/>
        </w:rPr>
        <w:t> </w:t>
      </w:r>
      <w:r>
        <w:rPr>
          <w:sz w:val="18"/>
        </w:rPr>
        <w:t>taking</w:t>
      </w:r>
      <w:r>
        <w:rPr>
          <w:spacing w:val="-5"/>
          <w:sz w:val="18"/>
        </w:rPr>
        <w:t> </w:t>
      </w:r>
      <w:r>
        <w:rPr>
          <w:sz w:val="18"/>
        </w:rPr>
        <w:t>into</w:t>
      </w:r>
      <w:r>
        <w:rPr>
          <w:spacing w:val="-5"/>
          <w:sz w:val="18"/>
        </w:rPr>
        <w:t> </w:t>
      </w:r>
      <w:r>
        <w:rPr>
          <w:sz w:val="18"/>
        </w:rPr>
        <w:t>account</w:t>
      </w:r>
      <w:r>
        <w:rPr>
          <w:spacing w:val="-5"/>
          <w:sz w:val="18"/>
        </w:rPr>
        <w:t> </w:t>
      </w:r>
      <w:r>
        <w:rPr>
          <w:sz w:val="18"/>
        </w:rPr>
        <w:t>lot</w:t>
      </w:r>
      <w:r>
        <w:rPr>
          <w:spacing w:val="-5"/>
          <w:sz w:val="18"/>
        </w:rPr>
        <w:t> </w:t>
      </w:r>
      <w:r>
        <w:rPr>
          <w:sz w:val="18"/>
        </w:rPr>
        <w:t>area</w:t>
      </w:r>
      <w:r>
        <w:rPr>
          <w:spacing w:val="-5"/>
          <w:sz w:val="18"/>
        </w:rPr>
        <w:t> </w:t>
      </w:r>
      <w:r>
        <w:rPr>
          <w:sz w:val="18"/>
        </w:rPr>
        <w:t>sold</w:t>
      </w:r>
      <w:r>
        <w:rPr>
          <w:spacing w:val="-5"/>
          <w:sz w:val="18"/>
        </w:rPr>
        <w:t> </w:t>
      </w:r>
      <w:r>
        <w:rPr>
          <w:sz w:val="18"/>
        </w:rPr>
        <w:t>and</w:t>
      </w:r>
      <w:r>
        <w:rPr>
          <w:spacing w:val="-5"/>
          <w:sz w:val="18"/>
        </w:rPr>
        <w:t> </w:t>
      </w:r>
      <w:r>
        <w:rPr>
          <w:sz w:val="18"/>
        </w:rPr>
        <w:t>total</w:t>
      </w:r>
      <w:r>
        <w:rPr>
          <w:spacing w:val="-5"/>
          <w:sz w:val="18"/>
        </w:rPr>
        <w:t> </w:t>
      </w:r>
      <w:r>
        <w:rPr>
          <w:sz w:val="18"/>
        </w:rPr>
        <w:t>costs</w:t>
      </w:r>
      <w:r>
        <w:rPr>
          <w:spacing w:val="-5"/>
          <w:sz w:val="18"/>
        </w:rPr>
        <w:t> </w:t>
      </w:r>
      <w:r>
        <w:rPr>
          <w:sz w:val="18"/>
        </w:rPr>
        <w:t>to</w:t>
      </w:r>
      <w:r>
        <w:rPr>
          <w:spacing w:val="-5"/>
          <w:sz w:val="18"/>
        </w:rPr>
        <w:t> </w:t>
      </w:r>
      <w:r>
        <w:rPr>
          <w:sz w:val="18"/>
        </w:rPr>
        <w:t>completion</w:t>
      </w:r>
      <w:r>
        <w:rPr>
          <w:spacing w:val="-5"/>
          <w:sz w:val="18"/>
        </w:rPr>
        <w:t> </w:t>
      </w:r>
      <w:r>
        <w:rPr>
          <w:sz w:val="18"/>
        </w:rPr>
        <w:t>of</w:t>
      </w:r>
      <w:r>
        <w:rPr>
          <w:spacing w:val="-5"/>
          <w:sz w:val="18"/>
        </w:rPr>
        <w:t> </w:t>
      </w:r>
      <w:r>
        <w:rPr>
          <w:sz w:val="18"/>
        </w:rPr>
        <w:t>the development.</w:t>
      </w:r>
    </w:p>
    <w:p>
      <w:pPr>
        <w:pStyle w:val="BodyText"/>
        <w:spacing w:before="11"/>
        <w:rPr>
          <w:sz w:val="24"/>
        </w:rPr>
      </w:pPr>
    </w:p>
    <w:p>
      <w:pPr>
        <w:pStyle w:val="BodyText"/>
        <w:ind w:left="1823" w:right="1375"/>
      </w:pPr>
      <w:r>
        <w:rPr/>
        <w:t>Determining the carrying amount of provisions for employee long service leave entitlements (note 27), provision for annual leave entitlements (note 27), deferred superannuation (note 27), depreciation and useful life of buildings (note 21), and allowance for impaired receivables (note 18(a)) requires estimation of the uncertain future events on those assets and liabilities at the reporting date.</w:t>
      </w:r>
    </w:p>
    <w:p>
      <w:pPr>
        <w:pStyle w:val="BodyText"/>
        <w:spacing w:before="11"/>
        <w:rPr>
          <w:sz w:val="24"/>
        </w:rPr>
      </w:pPr>
    </w:p>
    <w:p>
      <w:pPr>
        <w:pStyle w:val="BodyText"/>
        <w:ind w:left="1823" w:right="1375"/>
      </w:pPr>
      <w:bookmarkStart w:name="(b) Basis of Consolidation" w:id="16"/>
      <w:bookmarkEnd w:id="16"/>
      <w:r>
        <w:rPr/>
      </w:r>
      <w:r>
        <w:rPr/>
        <w:t>The assumptions made in the assessment of each of the financial assets and liabilities are shown in the relevant notes to the accounts and note 1(j), note 1(m), note 1(o), note 1(p) and note 1(x).</w:t>
      </w:r>
    </w:p>
    <w:p>
      <w:pPr>
        <w:pStyle w:val="BodyText"/>
        <w:spacing w:before="11"/>
        <w:rPr>
          <w:sz w:val="24"/>
        </w:rPr>
      </w:pPr>
    </w:p>
    <w:p>
      <w:pPr>
        <w:pStyle w:val="Heading8"/>
        <w:numPr>
          <w:ilvl w:val="0"/>
          <w:numId w:val="4"/>
        </w:numPr>
        <w:tabs>
          <w:tab w:pos="2391" w:val="left" w:leader="none"/>
        </w:tabs>
        <w:spacing w:line="240" w:lineRule="auto" w:before="0" w:after="0"/>
        <w:ind w:left="2390" w:right="0" w:hanging="566"/>
        <w:jc w:val="left"/>
      </w:pPr>
      <w:r>
        <w:rPr/>
        <w:t>Basis of Consolidation</w:t>
      </w:r>
    </w:p>
    <w:p>
      <w:pPr>
        <w:pStyle w:val="BodyText"/>
        <w:spacing w:before="11"/>
        <w:rPr>
          <w:b/>
          <w:sz w:val="24"/>
        </w:rPr>
      </w:pPr>
    </w:p>
    <w:p>
      <w:pPr>
        <w:pStyle w:val="ListParagraph"/>
        <w:numPr>
          <w:ilvl w:val="0"/>
          <w:numId w:val="5"/>
        </w:numPr>
        <w:tabs>
          <w:tab w:pos="2034" w:val="left" w:leader="none"/>
        </w:tabs>
        <w:spacing w:line="240" w:lineRule="auto" w:before="0" w:after="0"/>
        <w:ind w:left="2033" w:right="0" w:hanging="209"/>
        <w:jc w:val="left"/>
        <w:rPr>
          <w:sz w:val="18"/>
        </w:rPr>
      </w:pPr>
      <w:r>
        <w:rPr>
          <w:sz w:val="18"/>
        </w:rPr>
        <w:t>Subsidiaries</w:t>
      </w:r>
    </w:p>
    <w:p>
      <w:pPr>
        <w:pStyle w:val="BodyText"/>
        <w:spacing w:before="11"/>
        <w:rPr>
          <w:sz w:val="24"/>
        </w:rPr>
      </w:pPr>
    </w:p>
    <w:p>
      <w:pPr>
        <w:pStyle w:val="BodyText"/>
        <w:ind w:left="1823" w:right="1375"/>
      </w:pPr>
      <w:r>
        <w:rPr/>
        <w:t>The consolidated financial statements incorporate the assets and liabilities of all subsidiaries of Western Sydney University (''parent entity'') as at 31 December 2016 and the results of all subsidiaries for the year then ended. Western Sydney University and its subsidiaries together are referred to in these financial statements as the Group or the Consolidated Entity.</w:t>
      </w:r>
    </w:p>
    <w:p>
      <w:pPr>
        <w:pStyle w:val="BodyText"/>
        <w:spacing w:before="11"/>
        <w:rPr>
          <w:sz w:val="24"/>
        </w:rPr>
      </w:pPr>
    </w:p>
    <w:p>
      <w:pPr>
        <w:pStyle w:val="BodyText"/>
        <w:ind w:left="1823" w:right="1450"/>
      </w:pPr>
      <w:r>
        <w:rPr/>
        <w:t>Subsidiaries are all those entities (including structured entities) over which the Group has control. The Group has control over an investee when it is exposed, or has rights to variable returns from its involvement with the investee and has the ability to affect those returns through its power over the investee. Power over the investee exists when the Group has existing rights that give it current ability to direct the relevant activities of the investee. The existence and effect of potential voting rights that are currently exercisable or convertible are considered when assessing whether the Group controls another entity. Returns are not necessarily monetary and can be only positive, only negative, or both positive and negative.</w:t>
      </w:r>
    </w:p>
    <w:p>
      <w:pPr>
        <w:pStyle w:val="BodyText"/>
        <w:spacing w:before="11"/>
        <w:rPr>
          <w:sz w:val="24"/>
        </w:rPr>
      </w:pPr>
    </w:p>
    <w:p>
      <w:pPr>
        <w:pStyle w:val="BodyText"/>
        <w:ind w:left="1823" w:right="1375"/>
      </w:pPr>
      <w:r>
        <w:rPr/>
        <w:t>Subsidiaries are fully consolidated from the date on which control is transferred to the Group. They are de-consolidated from the date control ceases.</w:t>
      </w:r>
    </w:p>
    <w:p>
      <w:pPr>
        <w:spacing w:after="0"/>
        <w:sectPr>
          <w:pgSz w:w="12750" w:h="17680"/>
          <w:pgMar w:header="0" w:footer="927" w:top="2640" w:bottom="1120" w:left="0" w:right="0"/>
        </w:sectPr>
      </w:pPr>
    </w:p>
    <w:p>
      <w:pPr>
        <w:pStyle w:val="BodyText"/>
        <w:rPr>
          <w:sz w:val="20"/>
        </w:rPr>
      </w:pPr>
    </w:p>
    <w:p>
      <w:pPr>
        <w:pStyle w:val="BodyText"/>
        <w:rPr>
          <w:sz w:val="20"/>
        </w:rPr>
      </w:pPr>
    </w:p>
    <w:p>
      <w:pPr>
        <w:pStyle w:val="BodyText"/>
        <w:spacing w:before="4"/>
      </w:pPr>
    </w:p>
    <w:p>
      <w:pPr>
        <w:pStyle w:val="Heading8"/>
        <w:tabs>
          <w:tab w:pos="1823" w:val="left" w:leader="none"/>
        </w:tabs>
        <w:ind w:left="1429"/>
      </w:pPr>
      <w:r>
        <w:rPr/>
        <w:t>1</w:t>
        <w:tab/>
        <w:t>Summary of Significant Accounting Policies</w:t>
      </w:r>
      <w:r>
        <w:rPr>
          <w:spacing w:val="-6"/>
        </w:rPr>
        <w:t> </w:t>
      </w:r>
      <w:r>
        <w:rPr/>
        <w:t>(continued)</w:t>
      </w:r>
    </w:p>
    <w:p>
      <w:pPr>
        <w:pStyle w:val="BodyText"/>
        <w:spacing w:before="11"/>
        <w:rPr>
          <w:b/>
          <w:sz w:val="24"/>
        </w:rPr>
      </w:pPr>
    </w:p>
    <w:p>
      <w:pPr>
        <w:pStyle w:val="ListParagraph"/>
        <w:numPr>
          <w:ilvl w:val="0"/>
          <w:numId w:val="6"/>
        </w:numPr>
        <w:tabs>
          <w:tab w:pos="2391" w:val="left" w:leader="none"/>
        </w:tabs>
        <w:spacing w:line="240" w:lineRule="auto" w:before="0" w:after="0"/>
        <w:ind w:left="2390" w:right="0" w:hanging="566"/>
        <w:jc w:val="left"/>
        <w:rPr>
          <w:b/>
          <w:sz w:val="18"/>
        </w:rPr>
      </w:pPr>
      <w:r>
        <w:rPr>
          <w:b/>
          <w:sz w:val="18"/>
        </w:rPr>
        <w:t>Basis of Consolidation (continued)</w:t>
      </w:r>
    </w:p>
    <w:p>
      <w:pPr>
        <w:pStyle w:val="BodyText"/>
        <w:spacing w:before="11"/>
        <w:rPr>
          <w:b/>
          <w:sz w:val="24"/>
        </w:rPr>
      </w:pPr>
    </w:p>
    <w:p>
      <w:pPr>
        <w:pStyle w:val="BodyText"/>
        <w:ind w:left="1823" w:right="1375"/>
      </w:pPr>
      <w:r>
        <w:rPr/>
        <w:t>Intercompany transactions, balances and unrealised gains on transactions between Group entities are eliminated. Unrealised losses are also eliminated unless the transaction provides evidence of the impairment of the asset transferred. Accounting policies of subsidiaries have been changed where necessary to ensure consistency with the policies adopted by the Group.</w:t>
      </w:r>
    </w:p>
    <w:p>
      <w:pPr>
        <w:pStyle w:val="BodyText"/>
        <w:spacing w:before="11"/>
        <w:rPr>
          <w:sz w:val="24"/>
        </w:rPr>
      </w:pPr>
    </w:p>
    <w:p>
      <w:pPr>
        <w:pStyle w:val="BodyText"/>
        <w:spacing w:line="573" w:lineRule="auto"/>
        <w:ind w:left="1824" w:right="2351"/>
      </w:pPr>
      <w:r>
        <w:rPr/>
        <w:t>The acquisition method of accounting is used to account for the acquisition of subsidiaries by the Group. The subsidiaries of the University as at 31 December 2016 are:</w:t>
      </w:r>
    </w:p>
    <w:p>
      <w:pPr>
        <w:pStyle w:val="ListParagraph"/>
        <w:numPr>
          <w:ilvl w:val="0"/>
          <w:numId w:val="7"/>
        </w:numPr>
        <w:tabs>
          <w:tab w:pos="2108" w:val="left" w:leader="none"/>
        </w:tabs>
        <w:spacing w:line="240" w:lineRule="auto" w:before="8" w:after="0"/>
        <w:ind w:left="2107" w:right="0" w:hanging="283"/>
        <w:jc w:val="left"/>
        <w:rPr>
          <w:sz w:val="18"/>
        </w:rPr>
      </w:pPr>
      <w:r>
        <w:rPr>
          <w:sz w:val="18"/>
        </w:rPr>
        <w:t>UWS</w:t>
      </w:r>
      <w:r>
        <w:rPr>
          <w:spacing w:val="-7"/>
          <w:sz w:val="18"/>
        </w:rPr>
        <w:t> </w:t>
      </w:r>
      <w:r>
        <w:rPr>
          <w:sz w:val="18"/>
        </w:rPr>
        <w:t>Enterprises</w:t>
      </w:r>
      <w:r>
        <w:rPr>
          <w:spacing w:val="-7"/>
          <w:sz w:val="18"/>
        </w:rPr>
        <w:t> </w:t>
      </w:r>
      <w:r>
        <w:rPr>
          <w:sz w:val="18"/>
        </w:rPr>
        <w:t>Pty</w:t>
      </w:r>
      <w:r>
        <w:rPr>
          <w:spacing w:val="-7"/>
          <w:sz w:val="18"/>
        </w:rPr>
        <w:t> </w:t>
      </w:r>
      <w:r>
        <w:rPr>
          <w:sz w:val="18"/>
        </w:rPr>
        <w:t>Limited</w:t>
      </w:r>
      <w:r>
        <w:rPr>
          <w:spacing w:val="-7"/>
          <w:sz w:val="18"/>
        </w:rPr>
        <w:t> </w:t>
      </w:r>
      <w:r>
        <w:rPr>
          <w:sz w:val="18"/>
        </w:rPr>
        <w:t>trading</w:t>
      </w:r>
      <w:r>
        <w:rPr>
          <w:spacing w:val="-7"/>
          <w:sz w:val="18"/>
        </w:rPr>
        <w:t> </w:t>
      </w:r>
      <w:r>
        <w:rPr>
          <w:sz w:val="18"/>
        </w:rPr>
        <w:t>as</w:t>
      </w:r>
      <w:r>
        <w:rPr>
          <w:spacing w:val="-7"/>
          <w:sz w:val="18"/>
        </w:rPr>
        <w:t> </w:t>
      </w:r>
      <w:r>
        <w:rPr>
          <w:sz w:val="18"/>
        </w:rPr>
        <w:t>Western</w:t>
      </w:r>
      <w:r>
        <w:rPr>
          <w:spacing w:val="-7"/>
          <w:sz w:val="18"/>
        </w:rPr>
        <w:t> </w:t>
      </w:r>
      <w:r>
        <w:rPr>
          <w:sz w:val="18"/>
        </w:rPr>
        <w:t>Sydney</w:t>
      </w:r>
      <w:r>
        <w:rPr>
          <w:spacing w:val="-7"/>
          <w:sz w:val="18"/>
        </w:rPr>
        <w:t> </w:t>
      </w:r>
      <w:r>
        <w:rPr>
          <w:sz w:val="18"/>
        </w:rPr>
        <w:t>University</w:t>
      </w:r>
      <w:r>
        <w:rPr>
          <w:spacing w:val="-7"/>
          <w:sz w:val="18"/>
        </w:rPr>
        <w:t> </w:t>
      </w:r>
      <w:r>
        <w:rPr>
          <w:sz w:val="18"/>
        </w:rPr>
        <w:t>The</w:t>
      </w:r>
      <w:r>
        <w:rPr>
          <w:spacing w:val="-7"/>
          <w:sz w:val="18"/>
        </w:rPr>
        <w:t> </w:t>
      </w:r>
      <w:r>
        <w:rPr>
          <w:sz w:val="18"/>
        </w:rPr>
        <w:t>College</w:t>
      </w:r>
    </w:p>
    <w:p>
      <w:pPr>
        <w:pStyle w:val="BodyText"/>
        <w:spacing w:before="11"/>
        <w:rPr>
          <w:sz w:val="24"/>
        </w:rPr>
      </w:pPr>
    </w:p>
    <w:p>
      <w:pPr>
        <w:pStyle w:val="ListParagraph"/>
        <w:numPr>
          <w:ilvl w:val="0"/>
          <w:numId w:val="7"/>
        </w:numPr>
        <w:tabs>
          <w:tab w:pos="2108" w:val="left" w:leader="none"/>
        </w:tabs>
        <w:spacing w:line="240" w:lineRule="auto" w:before="0" w:after="0"/>
        <w:ind w:left="2107" w:right="0" w:hanging="283"/>
        <w:jc w:val="left"/>
        <w:rPr>
          <w:sz w:val="18"/>
        </w:rPr>
      </w:pPr>
      <w:r>
        <w:rPr>
          <w:sz w:val="18"/>
        </w:rPr>
        <w:t>uwsconnect</w:t>
      </w:r>
      <w:r>
        <w:rPr>
          <w:spacing w:val="-21"/>
          <w:sz w:val="18"/>
        </w:rPr>
        <w:t> </w:t>
      </w:r>
      <w:r>
        <w:rPr>
          <w:sz w:val="18"/>
        </w:rPr>
        <w:t>Limited</w:t>
      </w:r>
    </w:p>
    <w:p>
      <w:pPr>
        <w:pStyle w:val="BodyText"/>
        <w:spacing w:before="11"/>
        <w:rPr>
          <w:sz w:val="24"/>
        </w:rPr>
      </w:pPr>
    </w:p>
    <w:p>
      <w:pPr>
        <w:pStyle w:val="ListParagraph"/>
        <w:numPr>
          <w:ilvl w:val="0"/>
          <w:numId w:val="7"/>
        </w:numPr>
        <w:tabs>
          <w:tab w:pos="2108" w:val="left" w:leader="none"/>
        </w:tabs>
        <w:spacing w:line="240" w:lineRule="auto" w:before="0" w:after="0"/>
        <w:ind w:left="2107" w:right="0" w:hanging="283"/>
        <w:jc w:val="left"/>
        <w:rPr>
          <w:sz w:val="18"/>
        </w:rPr>
      </w:pPr>
      <w:r>
        <w:rPr>
          <w:sz w:val="18"/>
        </w:rPr>
        <w:t>Whitlam</w:t>
      </w:r>
      <w:r>
        <w:rPr>
          <w:spacing w:val="-6"/>
          <w:sz w:val="18"/>
        </w:rPr>
        <w:t> </w:t>
      </w:r>
      <w:r>
        <w:rPr>
          <w:sz w:val="18"/>
        </w:rPr>
        <w:t>Institute</w:t>
      </w:r>
      <w:r>
        <w:rPr>
          <w:spacing w:val="-6"/>
          <w:sz w:val="18"/>
        </w:rPr>
        <w:t> </w:t>
      </w:r>
      <w:r>
        <w:rPr>
          <w:sz w:val="18"/>
        </w:rPr>
        <w:t>(within</w:t>
      </w:r>
      <w:r>
        <w:rPr>
          <w:spacing w:val="-7"/>
          <w:sz w:val="18"/>
        </w:rPr>
        <w:t> </w:t>
      </w:r>
      <w:r>
        <w:rPr>
          <w:sz w:val="18"/>
        </w:rPr>
        <w:t>Western</w:t>
      </w:r>
      <w:r>
        <w:rPr>
          <w:spacing w:val="-7"/>
          <w:sz w:val="18"/>
        </w:rPr>
        <w:t> </w:t>
      </w:r>
      <w:r>
        <w:rPr>
          <w:sz w:val="18"/>
        </w:rPr>
        <w:t>Sydney</w:t>
      </w:r>
      <w:r>
        <w:rPr>
          <w:spacing w:val="-7"/>
          <w:sz w:val="18"/>
        </w:rPr>
        <w:t> </w:t>
      </w:r>
      <w:r>
        <w:rPr>
          <w:sz w:val="18"/>
        </w:rPr>
        <w:t>University)</w:t>
      </w:r>
      <w:r>
        <w:rPr>
          <w:spacing w:val="-7"/>
          <w:sz w:val="18"/>
        </w:rPr>
        <w:t> </w:t>
      </w:r>
      <w:r>
        <w:rPr>
          <w:sz w:val="18"/>
        </w:rPr>
        <w:t>Limited</w:t>
      </w:r>
      <w:r>
        <w:rPr>
          <w:spacing w:val="-7"/>
          <w:sz w:val="18"/>
        </w:rPr>
        <w:t> </w:t>
      </w:r>
      <w:r>
        <w:rPr>
          <w:sz w:val="18"/>
        </w:rPr>
        <w:t>and</w:t>
      </w:r>
      <w:r>
        <w:rPr>
          <w:spacing w:val="-7"/>
          <w:sz w:val="18"/>
        </w:rPr>
        <w:t> </w:t>
      </w:r>
      <w:r>
        <w:rPr>
          <w:sz w:val="18"/>
        </w:rPr>
        <w:t>Trust</w:t>
      </w:r>
    </w:p>
    <w:p>
      <w:pPr>
        <w:pStyle w:val="BodyText"/>
        <w:spacing w:before="11"/>
        <w:rPr>
          <w:sz w:val="24"/>
        </w:rPr>
      </w:pPr>
    </w:p>
    <w:p>
      <w:pPr>
        <w:pStyle w:val="ListParagraph"/>
        <w:numPr>
          <w:ilvl w:val="0"/>
          <w:numId w:val="7"/>
        </w:numPr>
        <w:tabs>
          <w:tab w:pos="2108" w:val="left" w:leader="none"/>
        </w:tabs>
        <w:spacing w:line="240" w:lineRule="auto" w:before="0" w:after="0"/>
        <w:ind w:left="2107" w:right="0" w:hanging="283"/>
        <w:jc w:val="left"/>
        <w:rPr>
          <w:sz w:val="18"/>
        </w:rPr>
      </w:pPr>
      <w:r>
        <w:rPr>
          <w:sz w:val="18"/>
        </w:rPr>
        <w:t>UWS Early Learning</w:t>
      </w:r>
      <w:r>
        <w:rPr>
          <w:spacing w:val="-24"/>
          <w:sz w:val="18"/>
        </w:rPr>
        <w:t> </w:t>
      </w:r>
      <w:r>
        <w:rPr>
          <w:sz w:val="18"/>
        </w:rPr>
        <w:t>Limited</w:t>
      </w:r>
    </w:p>
    <w:p>
      <w:pPr>
        <w:pStyle w:val="BodyText"/>
        <w:spacing w:before="11"/>
        <w:rPr>
          <w:sz w:val="24"/>
        </w:rPr>
      </w:pPr>
    </w:p>
    <w:p>
      <w:pPr>
        <w:pStyle w:val="BodyText"/>
        <w:ind w:left="1823" w:right="1375"/>
      </w:pPr>
      <w:r>
        <w:rPr/>
        <w:drawing>
          <wp:anchor distT="0" distB="0" distL="0" distR="0" allowOverlap="1" layoutInCell="1" locked="0" behindDoc="0" simplePos="0" relativeHeight="2176">
            <wp:simplePos x="0" y="0"/>
            <wp:positionH relativeFrom="page">
              <wp:posOffset>-1587</wp:posOffset>
            </wp:positionH>
            <wp:positionV relativeFrom="paragraph">
              <wp:posOffset>207948</wp:posOffset>
            </wp:positionV>
            <wp:extent cx="136525" cy="155575"/>
            <wp:effectExtent l="0" t="0" r="0" b="0"/>
            <wp:wrapNone/>
            <wp:docPr id="91" name="image13.png" descr=""/>
            <wp:cNvGraphicFramePr>
              <a:graphicFrameLocks noChangeAspect="1"/>
            </wp:cNvGraphicFramePr>
            <a:graphic>
              <a:graphicData uri="http://schemas.openxmlformats.org/drawingml/2006/picture">
                <pic:pic>
                  <pic:nvPicPr>
                    <pic:cNvPr id="92" name="image13.png"/>
                    <pic:cNvPicPr/>
                  </pic:nvPicPr>
                  <pic:blipFill>
                    <a:blip r:embed="rId18" cstate="print"/>
                    <a:stretch>
                      <a:fillRect/>
                    </a:stretch>
                  </pic:blipFill>
                  <pic:spPr>
                    <a:xfrm>
                      <a:off x="0" y="0"/>
                      <a:ext cx="136525" cy="155575"/>
                    </a:xfrm>
                    <a:prstGeom prst="rect">
                      <a:avLst/>
                    </a:prstGeom>
                  </pic:spPr>
                </pic:pic>
              </a:graphicData>
            </a:graphic>
          </wp:anchor>
        </w:drawing>
      </w:r>
      <w:r>
        <w:rPr/>
        <w:drawing>
          <wp:anchor distT="0" distB="0" distL="0" distR="0" allowOverlap="1" layoutInCell="1" locked="0" behindDoc="0" simplePos="0" relativeHeight="2200">
            <wp:simplePos x="0" y="0"/>
            <wp:positionH relativeFrom="page">
              <wp:posOffset>7958429</wp:posOffset>
            </wp:positionH>
            <wp:positionV relativeFrom="paragraph">
              <wp:posOffset>207948</wp:posOffset>
            </wp:positionV>
            <wp:extent cx="135953" cy="155575"/>
            <wp:effectExtent l="0" t="0" r="0" b="0"/>
            <wp:wrapNone/>
            <wp:docPr id="93" name="image15.png" descr=""/>
            <wp:cNvGraphicFramePr>
              <a:graphicFrameLocks noChangeAspect="1"/>
            </wp:cNvGraphicFramePr>
            <a:graphic>
              <a:graphicData uri="http://schemas.openxmlformats.org/drawingml/2006/picture">
                <pic:pic>
                  <pic:nvPicPr>
                    <pic:cNvPr id="94" name="image15.png"/>
                    <pic:cNvPicPr/>
                  </pic:nvPicPr>
                  <pic:blipFill>
                    <a:blip r:embed="rId20" cstate="print"/>
                    <a:stretch>
                      <a:fillRect/>
                    </a:stretch>
                  </pic:blipFill>
                  <pic:spPr>
                    <a:xfrm>
                      <a:off x="0" y="0"/>
                      <a:ext cx="135953" cy="155575"/>
                    </a:xfrm>
                    <a:prstGeom prst="rect">
                      <a:avLst/>
                    </a:prstGeom>
                  </pic:spPr>
                </pic:pic>
              </a:graphicData>
            </a:graphic>
          </wp:anchor>
        </w:drawing>
      </w:r>
      <w:r>
        <w:rPr/>
        <w:t>Television Sydney (TVS) Limited ceased broadcasting on 20 December 2015 and finalised business operations on 31 December 2015, with no further transactions occuring in 2016. The Company was de-registered on 9 November 2016.</w:t>
      </w:r>
    </w:p>
    <w:p>
      <w:pPr>
        <w:pStyle w:val="BodyText"/>
        <w:spacing w:before="11"/>
        <w:rPr>
          <w:sz w:val="24"/>
        </w:rPr>
      </w:pPr>
    </w:p>
    <w:p>
      <w:pPr>
        <w:pStyle w:val="BodyText"/>
        <w:ind w:left="1823" w:right="1375"/>
      </w:pPr>
      <w:r>
        <w:rPr/>
        <w:t>Separate financial statements are prepared by the University’s subsidiaries. The Audit Office of NSW audits these financial statements.</w:t>
      </w:r>
    </w:p>
    <w:p>
      <w:pPr>
        <w:pStyle w:val="BodyText"/>
        <w:spacing w:before="11"/>
        <w:rPr>
          <w:sz w:val="24"/>
        </w:rPr>
      </w:pPr>
    </w:p>
    <w:p>
      <w:pPr>
        <w:pStyle w:val="ListParagraph"/>
        <w:numPr>
          <w:ilvl w:val="0"/>
          <w:numId w:val="5"/>
        </w:numPr>
        <w:tabs>
          <w:tab w:pos="2073" w:val="left" w:leader="none"/>
        </w:tabs>
        <w:spacing w:line="240" w:lineRule="auto" w:before="0" w:after="0"/>
        <w:ind w:left="2072" w:right="0" w:hanging="248"/>
        <w:jc w:val="left"/>
        <w:rPr>
          <w:sz w:val="18"/>
        </w:rPr>
      </w:pPr>
      <w:r>
        <w:rPr>
          <w:sz w:val="18"/>
        </w:rPr>
        <w:t>Joint</w:t>
      </w:r>
      <w:r>
        <w:rPr>
          <w:spacing w:val="-18"/>
          <w:sz w:val="18"/>
        </w:rPr>
        <w:t> </w:t>
      </w:r>
      <w:r>
        <w:rPr>
          <w:sz w:val="18"/>
        </w:rPr>
        <w:t>Arrangements</w:t>
      </w:r>
    </w:p>
    <w:p>
      <w:pPr>
        <w:pStyle w:val="BodyText"/>
        <w:spacing w:before="11"/>
        <w:rPr>
          <w:sz w:val="24"/>
        </w:rPr>
      </w:pPr>
    </w:p>
    <w:p>
      <w:pPr>
        <w:pStyle w:val="BodyText"/>
        <w:ind w:left="1823" w:right="1375"/>
      </w:pPr>
      <w:r>
        <w:rPr/>
        <w:t>AASB 11 </w:t>
      </w:r>
      <w:r>
        <w:rPr>
          <w:i/>
        </w:rPr>
        <w:t>Joint Arrangements </w:t>
      </w:r>
      <w:r>
        <w:rPr/>
        <w:t>defines a joint arrangement as an arrangement of which two or more parties have joint control and classifies these arrangements as either joint ventures or joint operations.</w:t>
      </w:r>
    </w:p>
    <w:p>
      <w:pPr>
        <w:pStyle w:val="BodyText"/>
        <w:spacing w:before="11"/>
        <w:rPr>
          <w:sz w:val="24"/>
        </w:rPr>
      </w:pPr>
    </w:p>
    <w:p>
      <w:pPr>
        <w:pStyle w:val="BodyText"/>
        <w:ind w:left="1824"/>
      </w:pPr>
      <w:r>
        <w:rPr/>
        <w:t>Western Sydney University has determined that it has both joint venture and joint operations.</w:t>
      </w:r>
    </w:p>
    <w:p>
      <w:pPr>
        <w:pStyle w:val="BodyText"/>
        <w:spacing w:before="11"/>
        <w:rPr>
          <w:sz w:val="24"/>
        </w:rPr>
      </w:pPr>
    </w:p>
    <w:p>
      <w:pPr>
        <w:spacing w:before="0"/>
        <w:ind w:left="1823" w:right="0" w:firstLine="0"/>
        <w:jc w:val="left"/>
        <w:rPr>
          <w:i/>
          <w:sz w:val="18"/>
        </w:rPr>
      </w:pPr>
      <w:r>
        <w:rPr>
          <w:i/>
          <w:sz w:val="18"/>
        </w:rPr>
        <w:t>Joint operations:</w:t>
      </w:r>
    </w:p>
    <w:p>
      <w:pPr>
        <w:pStyle w:val="BodyText"/>
        <w:spacing w:before="11"/>
        <w:rPr>
          <w:i/>
          <w:sz w:val="24"/>
        </w:rPr>
      </w:pPr>
    </w:p>
    <w:p>
      <w:pPr>
        <w:pStyle w:val="BodyText"/>
        <w:ind w:left="1823" w:right="1375"/>
      </w:pPr>
      <w:r>
        <w:rPr/>
        <w:t>The University's share of assets, liabilities, revenue and expenses of a joint operation have been incorporated in the financial statements under the appropriate headings. Details of the joint operation are set out in note 38.</w:t>
      </w:r>
    </w:p>
    <w:p>
      <w:pPr>
        <w:pStyle w:val="BodyText"/>
        <w:spacing w:before="11"/>
        <w:rPr>
          <w:sz w:val="24"/>
        </w:rPr>
      </w:pPr>
    </w:p>
    <w:p>
      <w:pPr>
        <w:spacing w:before="0"/>
        <w:ind w:left="1823" w:right="0" w:firstLine="0"/>
        <w:jc w:val="left"/>
        <w:rPr>
          <w:i/>
          <w:sz w:val="18"/>
        </w:rPr>
      </w:pPr>
      <w:r>
        <w:rPr>
          <w:i/>
          <w:sz w:val="18"/>
        </w:rPr>
        <w:t>Joint venture:</w:t>
      </w:r>
    </w:p>
    <w:p>
      <w:pPr>
        <w:pStyle w:val="BodyText"/>
        <w:spacing w:before="11"/>
        <w:rPr>
          <w:i/>
          <w:sz w:val="24"/>
        </w:rPr>
      </w:pPr>
    </w:p>
    <w:p>
      <w:pPr>
        <w:pStyle w:val="BodyText"/>
        <w:ind w:left="1823" w:right="1375"/>
      </w:pPr>
      <w:r>
        <w:rPr/>
        <w:t>The interest in a joint venture entity is accounted for in the consolidated financial statements using the equity method and is carried at cost by the parent entity. Under the equity method, the share of the profits or losses of the entity is recognised in the income statement, and the share of movements in reserves is recognised in reserves in the statement of comprehensive income and the statement of changes in equity. If the venturer's share of losses of a joint venture equals or exceeds its interest in the joint venture, the venturer discontinues recognising its share of further losses.</w:t>
      </w:r>
    </w:p>
    <w:p>
      <w:pPr>
        <w:pStyle w:val="BodyText"/>
        <w:spacing w:line="206" w:lineRule="exact"/>
        <w:ind w:left="1823"/>
      </w:pPr>
      <w:r>
        <w:rPr/>
        <w:t>Details relating to the entity are set out in note 8.</w:t>
      </w:r>
    </w:p>
    <w:p>
      <w:pPr>
        <w:spacing w:after="0" w:line="206" w:lineRule="exact"/>
        <w:sectPr>
          <w:pgSz w:w="12750" w:h="17680"/>
          <w:pgMar w:header="0" w:footer="927" w:top="2640" w:bottom="1120" w:left="0" w:right="0"/>
        </w:sectPr>
      </w:pPr>
    </w:p>
    <w:p>
      <w:pPr>
        <w:pStyle w:val="BodyText"/>
        <w:rPr>
          <w:sz w:val="20"/>
        </w:rPr>
      </w:pPr>
    </w:p>
    <w:p>
      <w:pPr>
        <w:pStyle w:val="BodyText"/>
        <w:rPr>
          <w:sz w:val="20"/>
        </w:rPr>
      </w:pPr>
    </w:p>
    <w:p>
      <w:pPr>
        <w:pStyle w:val="BodyText"/>
        <w:spacing w:before="4"/>
      </w:pPr>
    </w:p>
    <w:p>
      <w:pPr>
        <w:pStyle w:val="Heading8"/>
        <w:tabs>
          <w:tab w:pos="1823" w:val="left" w:leader="none"/>
        </w:tabs>
        <w:ind w:left="1429"/>
      </w:pPr>
      <w:bookmarkStart w:name="Foreign currency transactions and balanc" w:id="17"/>
      <w:bookmarkEnd w:id="17"/>
      <w:r>
        <w:rPr>
          <w:b w:val="0"/>
        </w:rPr>
      </w:r>
      <w:r>
        <w:rPr/>
        <w:t>1</w:t>
        <w:tab/>
        <w:t>Summary of Significant Accounting Policies</w:t>
      </w:r>
      <w:r>
        <w:rPr>
          <w:spacing w:val="-6"/>
        </w:rPr>
        <w:t> </w:t>
      </w:r>
      <w:r>
        <w:rPr/>
        <w:t>(continued)</w:t>
      </w:r>
    </w:p>
    <w:p>
      <w:pPr>
        <w:pStyle w:val="BodyText"/>
        <w:spacing w:before="11"/>
        <w:rPr>
          <w:b/>
          <w:sz w:val="24"/>
        </w:rPr>
      </w:pPr>
    </w:p>
    <w:p>
      <w:pPr>
        <w:pStyle w:val="ListParagraph"/>
        <w:numPr>
          <w:ilvl w:val="0"/>
          <w:numId w:val="6"/>
        </w:numPr>
        <w:tabs>
          <w:tab w:pos="2391" w:val="left" w:leader="none"/>
        </w:tabs>
        <w:spacing w:line="240" w:lineRule="auto" w:before="0" w:after="0"/>
        <w:ind w:left="2390" w:right="0" w:hanging="566"/>
        <w:jc w:val="left"/>
        <w:rPr>
          <w:b/>
          <w:sz w:val="18"/>
        </w:rPr>
      </w:pPr>
      <w:r>
        <w:rPr>
          <w:b/>
          <w:sz w:val="18"/>
        </w:rPr>
        <w:t>Foreign</w:t>
      </w:r>
      <w:r>
        <w:rPr>
          <w:b/>
          <w:spacing w:val="-10"/>
          <w:sz w:val="18"/>
        </w:rPr>
        <w:t> </w:t>
      </w:r>
      <w:r>
        <w:rPr>
          <w:b/>
          <w:sz w:val="18"/>
        </w:rPr>
        <w:t>currency</w:t>
      </w:r>
      <w:r>
        <w:rPr>
          <w:b/>
          <w:spacing w:val="-10"/>
          <w:sz w:val="18"/>
        </w:rPr>
        <w:t> </w:t>
      </w:r>
      <w:r>
        <w:rPr>
          <w:b/>
          <w:sz w:val="18"/>
        </w:rPr>
        <w:t>transactions</w:t>
      </w:r>
      <w:r>
        <w:rPr>
          <w:b/>
          <w:spacing w:val="-10"/>
          <w:sz w:val="18"/>
        </w:rPr>
        <w:t> </w:t>
      </w:r>
      <w:r>
        <w:rPr>
          <w:b/>
          <w:sz w:val="18"/>
        </w:rPr>
        <w:t>and</w:t>
      </w:r>
      <w:r>
        <w:rPr>
          <w:b/>
          <w:spacing w:val="-10"/>
          <w:sz w:val="18"/>
        </w:rPr>
        <w:t> </w:t>
      </w:r>
      <w:r>
        <w:rPr>
          <w:b/>
          <w:sz w:val="18"/>
        </w:rPr>
        <w:t>balances</w:t>
      </w:r>
    </w:p>
    <w:p>
      <w:pPr>
        <w:pStyle w:val="BodyText"/>
        <w:spacing w:before="11"/>
        <w:rPr>
          <w:b/>
          <w:sz w:val="24"/>
        </w:rPr>
      </w:pPr>
    </w:p>
    <w:p>
      <w:pPr>
        <w:pStyle w:val="BodyText"/>
        <w:ind w:left="1824"/>
      </w:pPr>
      <w:r>
        <w:rPr/>
        <w:t>Both the functional and presentation currency of the Group is Australian Dollars.</w:t>
      </w:r>
    </w:p>
    <w:p>
      <w:pPr>
        <w:pStyle w:val="BodyText"/>
        <w:spacing w:before="11"/>
        <w:rPr>
          <w:sz w:val="24"/>
        </w:rPr>
      </w:pPr>
    </w:p>
    <w:p>
      <w:pPr>
        <w:pStyle w:val="BodyText"/>
        <w:ind w:left="1824" w:right="1338"/>
      </w:pPr>
      <w:r>
        <w:rPr/>
        <w:t>Transactions in foreign currencies are recorded in the functional currency at the exchange rates prevailing at the date of </w:t>
      </w:r>
      <w:bookmarkStart w:name="(d) Revenue Recognition" w:id="18"/>
      <w:bookmarkEnd w:id="18"/>
      <w:r>
        <w:rPr/>
      </w:r>
      <w:r>
        <w:rPr/>
        <w:t>the transaction. Foreign exchange gains and losses resulting from the settlement of such transactions and from the translation at year-end exchange rates of monetary assets and liabilities denominated in foreign currencies are recognised in the income statement.</w:t>
      </w:r>
    </w:p>
    <w:p>
      <w:pPr>
        <w:pStyle w:val="BodyText"/>
        <w:spacing w:before="11"/>
        <w:rPr>
          <w:sz w:val="24"/>
        </w:rPr>
      </w:pPr>
    </w:p>
    <w:p>
      <w:pPr>
        <w:pStyle w:val="Heading8"/>
        <w:numPr>
          <w:ilvl w:val="0"/>
          <w:numId w:val="6"/>
        </w:numPr>
        <w:tabs>
          <w:tab w:pos="2391" w:val="left" w:leader="none"/>
        </w:tabs>
        <w:spacing w:line="240" w:lineRule="auto" w:before="0" w:after="0"/>
        <w:ind w:left="2390" w:right="0" w:hanging="566"/>
        <w:jc w:val="left"/>
      </w:pPr>
      <w:r>
        <w:rPr/>
        <w:t>Revenue</w:t>
      </w:r>
      <w:r>
        <w:rPr>
          <w:spacing w:val="-7"/>
        </w:rPr>
        <w:t> </w:t>
      </w:r>
      <w:r>
        <w:rPr/>
        <w:t>Recognition</w:t>
      </w:r>
    </w:p>
    <w:p>
      <w:pPr>
        <w:pStyle w:val="BodyText"/>
        <w:spacing w:before="11"/>
        <w:rPr>
          <w:b/>
          <w:sz w:val="24"/>
        </w:rPr>
      </w:pPr>
    </w:p>
    <w:p>
      <w:pPr>
        <w:pStyle w:val="BodyText"/>
        <w:ind w:left="1824" w:right="1375"/>
      </w:pPr>
      <w:r>
        <w:rPr/>
        <w:t>Revenue is measured at the fair value of the consideration received or receivable. Amounts disclosed as revenue are net of returns, trade allowances, rebates and amounts collected on behalf of third parties.</w:t>
      </w:r>
    </w:p>
    <w:p>
      <w:pPr>
        <w:pStyle w:val="BodyText"/>
        <w:spacing w:before="11"/>
        <w:rPr>
          <w:sz w:val="24"/>
        </w:rPr>
      </w:pPr>
    </w:p>
    <w:p>
      <w:pPr>
        <w:pStyle w:val="BodyText"/>
        <w:ind w:left="1823" w:right="1375"/>
      </w:pPr>
      <w:r>
        <w:rPr/>
        <w:t>The Group recognises revenue when the amount of revenue can be reliably measured, it is probable that future economic benefits will flow to the Group and specific criteria have been met for each of the Group’s activities as described below. The amount of revenue is not considered to be reliably measurable until all contingencies relating to the sale have been resolved. The Group bases its estimates on historical results, taking into consideration the type of customer, the type of transaction and the specifics of each arrangement.</w:t>
      </w:r>
    </w:p>
    <w:p>
      <w:pPr>
        <w:pStyle w:val="BodyText"/>
        <w:spacing w:before="11"/>
        <w:rPr>
          <w:sz w:val="24"/>
        </w:rPr>
      </w:pPr>
    </w:p>
    <w:p>
      <w:pPr>
        <w:pStyle w:val="BodyText"/>
        <w:ind w:left="1824"/>
      </w:pPr>
      <w:r>
        <w:rPr/>
        <w:drawing>
          <wp:anchor distT="0" distB="0" distL="0" distR="0" allowOverlap="1" layoutInCell="1" locked="0" behindDoc="0" simplePos="0" relativeHeight="2224">
            <wp:simplePos x="0" y="0"/>
            <wp:positionH relativeFrom="page">
              <wp:posOffset>-1587</wp:posOffset>
            </wp:positionH>
            <wp:positionV relativeFrom="paragraph">
              <wp:posOffset>180516</wp:posOffset>
            </wp:positionV>
            <wp:extent cx="136525" cy="155575"/>
            <wp:effectExtent l="0" t="0" r="0" b="0"/>
            <wp:wrapNone/>
            <wp:docPr id="95" name="image13.png" descr=""/>
            <wp:cNvGraphicFramePr>
              <a:graphicFrameLocks noChangeAspect="1"/>
            </wp:cNvGraphicFramePr>
            <a:graphic>
              <a:graphicData uri="http://schemas.openxmlformats.org/drawingml/2006/picture">
                <pic:pic>
                  <pic:nvPicPr>
                    <pic:cNvPr id="96" name="image13.png"/>
                    <pic:cNvPicPr/>
                  </pic:nvPicPr>
                  <pic:blipFill>
                    <a:blip r:embed="rId18" cstate="print"/>
                    <a:stretch>
                      <a:fillRect/>
                    </a:stretch>
                  </pic:blipFill>
                  <pic:spPr>
                    <a:xfrm>
                      <a:off x="0" y="0"/>
                      <a:ext cx="136525" cy="155575"/>
                    </a:xfrm>
                    <a:prstGeom prst="rect">
                      <a:avLst/>
                    </a:prstGeom>
                  </pic:spPr>
                </pic:pic>
              </a:graphicData>
            </a:graphic>
          </wp:anchor>
        </w:drawing>
      </w:r>
      <w:r>
        <w:rPr/>
        <w:drawing>
          <wp:anchor distT="0" distB="0" distL="0" distR="0" allowOverlap="1" layoutInCell="1" locked="0" behindDoc="0" simplePos="0" relativeHeight="2248">
            <wp:simplePos x="0" y="0"/>
            <wp:positionH relativeFrom="page">
              <wp:posOffset>7958429</wp:posOffset>
            </wp:positionH>
            <wp:positionV relativeFrom="paragraph">
              <wp:posOffset>180516</wp:posOffset>
            </wp:positionV>
            <wp:extent cx="135953" cy="155575"/>
            <wp:effectExtent l="0" t="0" r="0" b="0"/>
            <wp:wrapNone/>
            <wp:docPr id="97" name="image15.png" descr=""/>
            <wp:cNvGraphicFramePr>
              <a:graphicFrameLocks noChangeAspect="1"/>
            </wp:cNvGraphicFramePr>
            <a:graphic>
              <a:graphicData uri="http://schemas.openxmlformats.org/drawingml/2006/picture">
                <pic:pic>
                  <pic:nvPicPr>
                    <pic:cNvPr id="98" name="image15.png"/>
                    <pic:cNvPicPr/>
                  </pic:nvPicPr>
                  <pic:blipFill>
                    <a:blip r:embed="rId20" cstate="print"/>
                    <a:stretch>
                      <a:fillRect/>
                    </a:stretch>
                  </pic:blipFill>
                  <pic:spPr>
                    <a:xfrm>
                      <a:off x="0" y="0"/>
                      <a:ext cx="135953" cy="155575"/>
                    </a:xfrm>
                    <a:prstGeom prst="rect">
                      <a:avLst/>
                    </a:prstGeom>
                  </pic:spPr>
                </pic:pic>
              </a:graphicData>
            </a:graphic>
          </wp:anchor>
        </w:drawing>
      </w:r>
      <w:r>
        <w:rPr/>
        <w:t>Revenue is recognised for the major business activities as follows:</w:t>
      </w:r>
    </w:p>
    <w:p>
      <w:pPr>
        <w:pStyle w:val="BodyText"/>
        <w:spacing w:before="11"/>
        <w:rPr>
          <w:sz w:val="24"/>
        </w:rPr>
      </w:pPr>
    </w:p>
    <w:p>
      <w:pPr>
        <w:pStyle w:val="Heading8"/>
        <w:numPr>
          <w:ilvl w:val="0"/>
          <w:numId w:val="8"/>
        </w:numPr>
        <w:tabs>
          <w:tab w:pos="2046" w:val="left" w:leader="none"/>
        </w:tabs>
        <w:spacing w:line="240" w:lineRule="auto" w:before="0" w:after="0"/>
        <w:ind w:left="2045" w:right="0" w:hanging="221"/>
        <w:jc w:val="left"/>
      </w:pPr>
      <w:r>
        <w:rPr/>
        <w:t>Government</w:t>
      </w:r>
      <w:r>
        <w:rPr>
          <w:spacing w:val="-19"/>
        </w:rPr>
        <w:t> </w:t>
      </w:r>
      <w:r>
        <w:rPr/>
        <w:t>Grants</w:t>
      </w:r>
    </w:p>
    <w:p>
      <w:pPr>
        <w:pStyle w:val="BodyText"/>
        <w:spacing w:before="11"/>
        <w:rPr>
          <w:b/>
          <w:sz w:val="24"/>
        </w:rPr>
      </w:pPr>
    </w:p>
    <w:p>
      <w:pPr>
        <w:pStyle w:val="BodyText"/>
        <w:ind w:left="1824" w:right="1375"/>
      </w:pPr>
      <w:r>
        <w:rPr/>
        <w:t>Western Sydney University treats operating grants received from Australian Government entities as income in the year of receipt, as required by </w:t>
      </w:r>
      <w:r>
        <w:rPr>
          <w:i/>
        </w:rPr>
        <w:t>AASB 1004 Contributions</w:t>
      </w:r>
      <w:r>
        <w:rPr/>
        <w:t>.</w:t>
      </w:r>
    </w:p>
    <w:p>
      <w:pPr>
        <w:pStyle w:val="BodyText"/>
        <w:spacing w:before="11"/>
        <w:rPr>
          <w:sz w:val="24"/>
        </w:rPr>
      </w:pPr>
    </w:p>
    <w:p>
      <w:pPr>
        <w:pStyle w:val="BodyText"/>
        <w:ind w:left="1824" w:right="1375"/>
      </w:pPr>
      <w:r>
        <w:rPr/>
        <w:t>Grants from the Government are recognised at their fair value where the Group obtains control of the right to receive a grant, it is probable that economic benefits will flow to the Group and it can be reliably measured.</w:t>
      </w:r>
    </w:p>
    <w:p>
      <w:pPr>
        <w:pStyle w:val="BodyText"/>
        <w:spacing w:before="11"/>
        <w:rPr>
          <w:sz w:val="24"/>
        </w:rPr>
      </w:pPr>
    </w:p>
    <w:p>
      <w:pPr>
        <w:pStyle w:val="Heading8"/>
        <w:numPr>
          <w:ilvl w:val="0"/>
          <w:numId w:val="8"/>
        </w:numPr>
        <w:tabs>
          <w:tab w:pos="2095" w:val="left" w:leader="none"/>
        </w:tabs>
        <w:spacing w:line="240" w:lineRule="auto" w:before="0" w:after="0"/>
        <w:ind w:left="2094" w:right="0" w:hanging="270"/>
        <w:jc w:val="left"/>
      </w:pPr>
      <w:r>
        <w:rPr/>
        <w:t>HELP</w:t>
      </w:r>
      <w:r>
        <w:rPr>
          <w:spacing w:val="-12"/>
        </w:rPr>
        <w:t> </w:t>
      </w:r>
      <w:r>
        <w:rPr/>
        <w:t>Payments</w:t>
      </w:r>
    </w:p>
    <w:p>
      <w:pPr>
        <w:pStyle w:val="BodyText"/>
        <w:spacing w:before="11"/>
        <w:rPr>
          <w:b/>
          <w:sz w:val="24"/>
        </w:rPr>
      </w:pPr>
    </w:p>
    <w:p>
      <w:pPr>
        <w:pStyle w:val="BodyText"/>
        <w:ind w:left="1823" w:right="1450"/>
      </w:pPr>
      <w:r>
        <w:rPr/>
        <w:t>Revenue from HELP is categorised into those received from the Australian Government and those received directly from students. Revenue is recognised and measured in accordance with the above disclosure.</w:t>
      </w:r>
    </w:p>
    <w:p>
      <w:pPr>
        <w:pStyle w:val="BodyText"/>
        <w:spacing w:before="11"/>
        <w:rPr>
          <w:sz w:val="24"/>
        </w:rPr>
      </w:pPr>
    </w:p>
    <w:p>
      <w:pPr>
        <w:pStyle w:val="Heading8"/>
        <w:numPr>
          <w:ilvl w:val="0"/>
          <w:numId w:val="8"/>
        </w:numPr>
        <w:tabs>
          <w:tab w:pos="2146" w:val="left" w:leader="none"/>
        </w:tabs>
        <w:spacing w:line="240" w:lineRule="auto" w:before="0" w:after="0"/>
        <w:ind w:left="2145" w:right="0" w:hanging="321"/>
        <w:jc w:val="left"/>
      </w:pPr>
      <w:r>
        <w:rPr/>
        <w:t>Student fees and</w:t>
      </w:r>
      <w:r>
        <w:rPr>
          <w:spacing w:val="-1"/>
        </w:rPr>
        <w:t> </w:t>
      </w:r>
      <w:r>
        <w:rPr/>
        <w:t>charges</w:t>
      </w:r>
    </w:p>
    <w:p>
      <w:pPr>
        <w:pStyle w:val="BodyText"/>
        <w:spacing w:before="11"/>
        <w:rPr>
          <w:b/>
          <w:sz w:val="24"/>
        </w:rPr>
      </w:pPr>
    </w:p>
    <w:p>
      <w:pPr>
        <w:pStyle w:val="BodyText"/>
        <w:ind w:left="1824" w:right="1375"/>
      </w:pPr>
      <w:r>
        <w:rPr/>
        <w:t>Fees and charges are recognised as income in the year of receipt, except to the extent that fees and charges relate to courses to be held in future periods. Such income is treated as income in advance in liabilities. Conversely, fees and charges relating to debtors are recognised as revenue in the year to which the prescribed course relates.</w:t>
      </w:r>
    </w:p>
    <w:p>
      <w:pPr>
        <w:pStyle w:val="BodyText"/>
        <w:spacing w:before="11"/>
        <w:rPr>
          <w:sz w:val="24"/>
        </w:rPr>
      </w:pPr>
    </w:p>
    <w:p>
      <w:pPr>
        <w:pStyle w:val="Heading8"/>
        <w:numPr>
          <w:ilvl w:val="0"/>
          <w:numId w:val="8"/>
        </w:numPr>
        <w:tabs>
          <w:tab w:pos="2141" w:val="left" w:leader="none"/>
        </w:tabs>
        <w:spacing w:line="240" w:lineRule="auto" w:before="0" w:after="0"/>
        <w:ind w:left="2140" w:right="0" w:hanging="316"/>
        <w:jc w:val="left"/>
      </w:pPr>
      <w:r>
        <w:rPr/>
        <w:t>Royalties, trademarks and</w:t>
      </w:r>
      <w:r>
        <w:rPr>
          <w:spacing w:val="-32"/>
        </w:rPr>
        <w:t> </w:t>
      </w:r>
      <w:r>
        <w:rPr/>
        <w:t>licences</w:t>
      </w:r>
    </w:p>
    <w:p>
      <w:pPr>
        <w:pStyle w:val="BodyText"/>
        <w:spacing w:before="11"/>
        <w:rPr>
          <w:b/>
          <w:sz w:val="24"/>
        </w:rPr>
      </w:pPr>
    </w:p>
    <w:p>
      <w:pPr>
        <w:pStyle w:val="BodyText"/>
        <w:ind w:left="1823"/>
      </w:pPr>
      <w:r>
        <w:rPr/>
        <w:t>Revenue from royalties, trademarks and licences is recognised as income when earned.</w:t>
      </w:r>
    </w:p>
    <w:p>
      <w:pPr>
        <w:pStyle w:val="BodyText"/>
        <w:spacing w:before="11"/>
        <w:rPr>
          <w:sz w:val="24"/>
        </w:rPr>
      </w:pPr>
    </w:p>
    <w:p>
      <w:pPr>
        <w:pStyle w:val="Heading8"/>
        <w:numPr>
          <w:ilvl w:val="0"/>
          <w:numId w:val="8"/>
        </w:numPr>
        <w:tabs>
          <w:tab w:pos="2091" w:val="left" w:leader="none"/>
        </w:tabs>
        <w:spacing w:line="240" w:lineRule="auto" w:before="0" w:after="0"/>
        <w:ind w:left="2090" w:right="0" w:hanging="266"/>
        <w:jc w:val="left"/>
      </w:pPr>
      <w:r>
        <w:rPr/>
        <w:t>Consulting and contracting</w:t>
      </w:r>
    </w:p>
    <w:p>
      <w:pPr>
        <w:pStyle w:val="BodyText"/>
        <w:spacing w:before="11"/>
        <w:rPr>
          <w:b/>
          <w:sz w:val="24"/>
        </w:rPr>
      </w:pPr>
    </w:p>
    <w:p>
      <w:pPr>
        <w:pStyle w:val="BodyText"/>
        <w:ind w:left="1824" w:right="1375"/>
      </w:pPr>
      <w:r>
        <w:rPr/>
        <w:t>Contract revenue is recognised in accordance with the percentage of completion method. The stage of completion is measured by reference to labour hours incurred to date as a percentage of estimated total labour hours for each contract.</w:t>
      </w:r>
    </w:p>
    <w:p>
      <w:pPr>
        <w:spacing w:after="0"/>
        <w:sectPr>
          <w:pgSz w:w="12750" w:h="17680"/>
          <w:pgMar w:header="0" w:footer="927" w:top="2640" w:bottom="1120" w:left="0" w:right="0"/>
        </w:sectPr>
      </w:pPr>
    </w:p>
    <w:p>
      <w:pPr>
        <w:pStyle w:val="BodyText"/>
        <w:rPr>
          <w:sz w:val="20"/>
        </w:rPr>
      </w:pPr>
    </w:p>
    <w:p>
      <w:pPr>
        <w:pStyle w:val="BodyText"/>
        <w:rPr>
          <w:sz w:val="20"/>
        </w:rPr>
      </w:pPr>
    </w:p>
    <w:p>
      <w:pPr>
        <w:pStyle w:val="BodyText"/>
        <w:spacing w:before="4"/>
      </w:pPr>
    </w:p>
    <w:p>
      <w:pPr>
        <w:pStyle w:val="Heading8"/>
        <w:tabs>
          <w:tab w:pos="1823" w:val="left" w:leader="none"/>
        </w:tabs>
        <w:ind w:left="1429"/>
      </w:pPr>
      <w:r>
        <w:rPr/>
        <w:t>1</w:t>
        <w:tab/>
        <w:t>Summary of Significant Accounting Policies</w:t>
      </w:r>
      <w:r>
        <w:rPr>
          <w:spacing w:val="-6"/>
        </w:rPr>
        <w:t> </w:t>
      </w:r>
      <w:r>
        <w:rPr/>
        <w:t>(continued)</w:t>
      </w:r>
    </w:p>
    <w:p>
      <w:pPr>
        <w:pStyle w:val="BodyText"/>
        <w:spacing w:before="11"/>
        <w:rPr>
          <w:b/>
          <w:sz w:val="24"/>
        </w:rPr>
      </w:pPr>
    </w:p>
    <w:p>
      <w:pPr>
        <w:pStyle w:val="ListParagraph"/>
        <w:numPr>
          <w:ilvl w:val="0"/>
          <w:numId w:val="9"/>
        </w:numPr>
        <w:tabs>
          <w:tab w:pos="2391" w:val="left" w:leader="none"/>
        </w:tabs>
        <w:spacing w:line="240" w:lineRule="auto" w:before="0" w:after="0"/>
        <w:ind w:left="2390" w:right="0" w:hanging="566"/>
        <w:jc w:val="left"/>
        <w:rPr>
          <w:b/>
          <w:sz w:val="18"/>
        </w:rPr>
      </w:pPr>
      <w:r>
        <w:rPr>
          <w:b/>
          <w:sz w:val="18"/>
        </w:rPr>
        <w:t>Revenue Recognition</w:t>
      </w:r>
      <w:r>
        <w:rPr>
          <w:b/>
          <w:spacing w:val="-7"/>
          <w:sz w:val="18"/>
        </w:rPr>
        <w:t> </w:t>
      </w:r>
      <w:r>
        <w:rPr>
          <w:b/>
          <w:sz w:val="18"/>
        </w:rPr>
        <w:t>(continued)</w:t>
      </w:r>
    </w:p>
    <w:p>
      <w:pPr>
        <w:pStyle w:val="BodyText"/>
        <w:spacing w:before="11"/>
        <w:rPr>
          <w:b/>
          <w:sz w:val="24"/>
        </w:rPr>
      </w:pPr>
    </w:p>
    <w:p>
      <w:pPr>
        <w:pStyle w:val="ListParagraph"/>
        <w:numPr>
          <w:ilvl w:val="0"/>
          <w:numId w:val="8"/>
        </w:numPr>
        <w:tabs>
          <w:tab w:pos="2141" w:val="left" w:leader="none"/>
        </w:tabs>
        <w:spacing w:line="240" w:lineRule="auto" w:before="0" w:after="0"/>
        <w:ind w:left="2140" w:right="0" w:hanging="316"/>
        <w:jc w:val="left"/>
        <w:rPr>
          <w:b/>
          <w:sz w:val="18"/>
        </w:rPr>
      </w:pPr>
      <w:r>
        <w:rPr>
          <w:b/>
          <w:sz w:val="18"/>
        </w:rPr>
        <w:t>Lease</w:t>
      </w:r>
      <w:r>
        <w:rPr>
          <w:b/>
          <w:spacing w:val="-1"/>
          <w:sz w:val="18"/>
        </w:rPr>
        <w:t> </w:t>
      </w:r>
      <w:r>
        <w:rPr>
          <w:b/>
          <w:sz w:val="18"/>
        </w:rPr>
        <w:t>income</w:t>
      </w:r>
    </w:p>
    <w:p>
      <w:pPr>
        <w:pStyle w:val="BodyText"/>
        <w:spacing w:before="11"/>
        <w:rPr>
          <w:b/>
          <w:sz w:val="24"/>
        </w:rPr>
      </w:pPr>
    </w:p>
    <w:p>
      <w:pPr>
        <w:pStyle w:val="BodyText"/>
        <w:ind w:left="1823"/>
      </w:pPr>
      <w:r>
        <w:rPr/>
        <w:t>Lease income from operating leases is recognised as income on a straight-line basis over the lease term.</w:t>
      </w:r>
    </w:p>
    <w:p>
      <w:pPr>
        <w:pStyle w:val="BodyText"/>
        <w:spacing w:before="11"/>
        <w:rPr>
          <w:sz w:val="24"/>
        </w:rPr>
      </w:pPr>
    </w:p>
    <w:p>
      <w:pPr>
        <w:pStyle w:val="Heading8"/>
        <w:numPr>
          <w:ilvl w:val="0"/>
          <w:numId w:val="8"/>
        </w:numPr>
        <w:tabs>
          <w:tab w:pos="2192" w:val="left" w:leader="none"/>
        </w:tabs>
        <w:spacing w:line="240" w:lineRule="auto" w:before="0" w:after="0"/>
        <w:ind w:left="2191" w:right="0" w:hanging="367"/>
        <w:jc w:val="left"/>
      </w:pPr>
      <w:r>
        <w:rPr/>
        <w:t>Investment</w:t>
      </w:r>
      <w:r>
        <w:rPr>
          <w:spacing w:val="-18"/>
        </w:rPr>
        <w:t> </w:t>
      </w:r>
      <w:r>
        <w:rPr/>
        <w:t>income</w:t>
      </w:r>
    </w:p>
    <w:p>
      <w:pPr>
        <w:pStyle w:val="BodyText"/>
        <w:spacing w:before="11"/>
        <w:rPr>
          <w:b/>
          <w:sz w:val="24"/>
        </w:rPr>
      </w:pPr>
    </w:p>
    <w:p>
      <w:pPr>
        <w:pStyle w:val="BodyText"/>
        <w:spacing w:line="573" w:lineRule="auto"/>
        <w:ind w:left="1824" w:right="4222"/>
      </w:pPr>
      <w:bookmarkStart w:name="(e) Research grants and contracts" w:id="19"/>
      <w:bookmarkEnd w:id="19"/>
      <w:r>
        <w:rPr/>
      </w:r>
      <w:r>
        <w:rPr/>
        <w:t>Revenue is recognised as the interest accrues using the effective interest method. All other material revenue is accounted for on an accrual basis.</w:t>
      </w:r>
    </w:p>
    <w:p>
      <w:pPr>
        <w:pStyle w:val="Heading8"/>
        <w:numPr>
          <w:ilvl w:val="0"/>
          <w:numId w:val="9"/>
        </w:numPr>
        <w:tabs>
          <w:tab w:pos="2391" w:val="left" w:leader="none"/>
        </w:tabs>
        <w:spacing w:line="240" w:lineRule="auto" w:before="8" w:after="0"/>
        <w:ind w:left="2390" w:right="0" w:hanging="566"/>
        <w:jc w:val="left"/>
      </w:pPr>
      <w:r>
        <w:rPr/>
        <w:t>Research grants and</w:t>
      </w:r>
      <w:r>
        <w:rPr>
          <w:spacing w:val="-27"/>
        </w:rPr>
        <w:t> </w:t>
      </w:r>
      <w:r>
        <w:rPr/>
        <w:t>contracts</w:t>
      </w:r>
    </w:p>
    <w:p>
      <w:pPr>
        <w:pStyle w:val="BodyText"/>
        <w:spacing w:before="11"/>
        <w:rPr>
          <w:b/>
          <w:sz w:val="24"/>
        </w:rPr>
      </w:pPr>
    </w:p>
    <w:p>
      <w:pPr>
        <w:pStyle w:val="BodyText"/>
        <w:ind w:left="1823" w:right="1391"/>
      </w:pPr>
      <w:r>
        <w:rPr/>
        <w:t>Private (Non Education) research grants and contracts are received by the University in advance of research services being provided and represent reciprocal transfers as specific research services are agreed between the University and the research contractee, with an acquittal process following the provision of the research service. The University treats </w:t>
      </w:r>
      <w:bookmarkStart w:name="(f) Income Tax exemption" w:id="20"/>
      <w:bookmarkEnd w:id="20"/>
      <w:r>
        <w:rPr/>
      </w:r>
      <w:r>
        <w:rPr/>
        <w:t>unspent private research grants as a liability (note 28). In 2016 this amounted to $9.840M (2015: $7.649M). In the 2016 reporting period the $7.649M deferred in the prior year has been treated as income (2015: $9.846M). The net impact on income in 2016 was therefore an increase of $2.191M (2015: decrease of $2.197M).</w:t>
      </w:r>
    </w:p>
    <w:p>
      <w:pPr>
        <w:pStyle w:val="BodyText"/>
        <w:spacing w:before="11"/>
        <w:rPr>
          <w:sz w:val="24"/>
        </w:rPr>
      </w:pPr>
    </w:p>
    <w:p>
      <w:pPr>
        <w:pStyle w:val="Heading8"/>
        <w:numPr>
          <w:ilvl w:val="0"/>
          <w:numId w:val="9"/>
        </w:numPr>
        <w:tabs>
          <w:tab w:pos="2391" w:val="left" w:leader="none"/>
        </w:tabs>
        <w:spacing w:line="240" w:lineRule="auto" w:before="0" w:after="0"/>
        <w:ind w:left="2390" w:right="0" w:hanging="566"/>
        <w:jc w:val="left"/>
      </w:pPr>
      <w:r>
        <w:rPr/>
        <w:drawing>
          <wp:anchor distT="0" distB="0" distL="0" distR="0" allowOverlap="1" layoutInCell="1" locked="0" behindDoc="0" simplePos="0" relativeHeight="2272">
            <wp:simplePos x="0" y="0"/>
            <wp:positionH relativeFrom="page">
              <wp:posOffset>-1587</wp:posOffset>
            </wp:positionH>
            <wp:positionV relativeFrom="paragraph">
              <wp:posOffset>-54179</wp:posOffset>
            </wp:positionV>
            <wp:extent cx="136525" cy="155575"/>
            <wp:effectExtent l="0" t="0" r="0" b="0"/>
            <wp:wrapNone/>
            <wp:docPr id="99" name="image13.png" descr=""/>
            <wp:cNvGraphicFramePr>
              <a:graphicFrameLocks noChangeAspect="1"/>
            </wp:cNvGraphicFramePr>
            <a:graphic>
              <a:graphicData uri="http://schemas.openxmlformats.org/drawingml/2006/picture">
                <pic:pic>
                  <pic:nvPicPr>
                    <pic:cNvPr id="100" name="image13.png"/>
                    <pic:cNvPicPr/>
                  </pic:nvPicPr>
                  <pic:blipFill>
                    <a:blip r:embed="rId18" cstate="print"/>
                    <a:stretch>
                      <a:fillRect/>
                    </a:stretch>
                  </pic:blipFill>
                  <pic:spPr>
                    <a:xfrm>
                      <a:off x="0" y="0"/>
                      <a:ext cx="136525" cy="155575"/>
                    </a:xfrm>
                    <a:prstGeom prst="rect">
                      <a:avLst/>
                    </a:prstGeom>
                  </pic:spPr>
                </pic:pic>
              </a:graphicData>
            </a:graphic>
          </wp:anchor>
        </w:drawing>
      </w:r>
      <w:r>
        <w:rPr/>
        <w:drawing>
          <wp:anchor distT="0" distB="0" distL="0" distR="0" allowOverlap="1" layoutInCell="1" locked="0" behindDoc="0" simplePos="0" relativeHeight="2296">
            <wp:simplePos x="0" y="0"/>
            <wp:positionH relativeFrom="page">
              <wp:posOffset>7958429</wp:posOffset>
            </wp:positionH>
            <wp:positionV relativeFrom="paragraph">
              <wp:posOffset>-54179</wp:posOffset>
            </wp:positionV>
            <wp:extent cx="135953" cy="155575"/>
            <wp:effectExtent l="0" t="0" r="0" b="0"/>
            <wp:wrapNone/>
            <wp:docPr id="101" name="image15.png" descr=""/>
            <wp:cNvGraphicFramePr>
              <a:graphicFrameLocks noChangeAspect="1"/>
            </wp:cNvGraphicFramePr>
            <a:graphic>
              <a:graphicData uri="http://schemas.openxmlformats.org/drawingml/2006/picture">
                <pic:pic>
                  <pic:nvPicPr>
                    <pic:cNvPr id="102" name="image15.png"/>
                    <pic:cNvPicPr/>
                  </pic:nvPicPr>
                  <pic:blipFill>
                    <a:blip r:embed="rId20" cstate="print"/>
                    <a:stretch>
                      <a:fillRect/>
                    </a:stretch>
                  </pic:blipFill>
                  <pic:spPr>
                    <a:xfrm>
                      <a:off x="0" y="0"/>
                      <a:ext cx="135953" cy="155575"/>
                    </a:xfrm>
                    <a:prstGeom prst="rect">
                      <a:avLst/>
                    </a:prstGeom>
                  </pic:spPr>
                </pic:pic>
              </a:graphicData>
            </a:graphic>
          </wp:anchor>
        </w:drawing>
      </w:r>
      <w:bookmarkStart w:name="(g) Leases" w:id="21"/>
      <w:bookmarkEnd w:id="21"/>
      <w:r>
        <w:rPr>
          <w:b w:val="0"/>
        </w:rPr>
      </w:r>
      <w:bookmarkStart w:name="(g) Leases" w:id="22"/>
      <w:bookmarkEnd w:id="22"/>
      <w:r>
        <w:rPr/>
        <w:t>Income</w:t>
      </w:r>
      <w:r>
        <w:rPr/>
        <w:t> Tax</w:t>
      </w:r>
      <w:r>
        <w:rPr>
          <w:spacing w:val="-1"/>
        </w:rPr>
        <w:t> </w:t>
      </w:r>
      <w:r>
        <w:rPr/>
        <w:t>exemption</w:t>
      </w:r>
    </w:p>
    <w:p>
      <w:pPr>
        <w:pStyle w:val="BodyText"/>
        <w:spacing w:before="11"/>
        <w:rPr>
          <w:b/>
          <w:sz w:val="24"/>
        </w:rPr>
      </w:pPr>
    </w:p>
    <w:p>
      <w:pPr>
        <w:spacing w:before="0"/>
        <w:ind w:left="1823" w:right="0" w:firstLine="0"/>
        <w:jc w:val="left"/>
        <w:rPr>
          <w:sz w:val="18"/>
        </w:rPr>
      </w:pPr>
      <w:r>
        <w:rPr>
          <w:sz w:val="18"/>
        </w:rPr>
        <w:t>The Group is exempt from income tax under section 50-B of the </w:t>
      </w:r>
      <w:r>
        <w:rPr>
          <w:i/>
          <w:sz w:val="18"/>
        </w:rPr>
        <w:t>Income Tax Assessment Act 1997</w:t>
      </w:r>
      <w:r>
        <w:rPr>
          <w:sz w:val="18"/>
        </w:rPr>
        <w:t>.</w:t>
      </w:r>
    </w:p>
    <w:p>
      <w:pPr>
        <w:pStyle w:val="BodyText"/>
        <w:spacing w:before="11"/>
        <w:rPr>
          <w:sz w:val="24"/>
        </w:rPr>
      </w:pPr>
    </w:p>
    <w:p>
      <w:pPr>
        <w:pStyle w:val="Heading8"/>
        <w:numPr>
          <w:ilvl w:val="0"/>
          <w:numId w:val="9"/>
        </w:numPr>
        <w:tabs>
          <w:tab w:pos="2391" w:val="left" w:leader="none"/>
        </w:tabs>
        <w:spacing w:line="240" w:lineRule="auto" w:before="0" w:after="0"/>
        <w:ind w:left="2390" w:right="0" w:hanging="566"/>
        <w:jc w:val="left"/>
      </w:pPr>
      <w:r>
        <w:rPr/>
        <w:t>Leases</w:t>
      </w:r>
    </w:p>
    <w:p>
      <w:pPr>
        <w:pStyle w:val="BodyText"/>
        <w:spacing w:before="11"/>
        <w:rPr>
          <w:b/>
          <w:sz w:val="24"/>
        </w:rPr>
      </w:pPr>
    </w:p>
    <w:p>
      <w:pPr>
        <w:pStyle w:val="BodyText"/>
        <w:ind w:left="1823" w:right="1407"/>
      </w:pPr>
      <w:r>
        <w:rPr/>
        <w:t>Leases of property, plant and equipment where the Group, as lessee, has substantially all the risks and rewards of ownership are classified as finance leases.  Finance leases are capitalised at the lease’s inception at the lower of the fair value of the leased property and the present value of the minimum lease payments. The corresponding rental obligations, net of finance charges, are included in other short term and long term payables. Each lease payment is allocated between the liability and finance cost. The finance cost is charged to the income statement over the lease period so as to produce a constant periodic rate of interest on the remaining balance of the liability for each period. The property, plant and equipment acquired under finance leases are depreciated over the shorter of the asset’s useful life and the lease term.</w:t>
      </w:r>
    </w:p>
    <w:p>
      <w:pPr>
        <w:pStyle w:val="BodyText"/>
        <w:spacing w:before="11"/>
        <w:rPr>
          <w:sz w:val="24"/>
        </w:rPr>
      </w:pPr>
    </w:p>
    <w:p>
      <w:pPr>
        <w:pStyle w:val="BodyText"/>
        <w:ind w:left="1823" w:right="1375"/>
      </w:pPr>
      <w:r>
        <w:rPr/>
        <w:t>Leases in which a significant portion of the risks and rewards of ownership are retained by the lessor are classified as operating leases (note 33). Payments made under operating leases (net of any incentives received from the lessor) are charged to the income statement on a straight-line basis over the period of the lease.</w:t>
      </w:r>
    </w:p>
    <w:p>
      <w:pPr>
        <w:pStyle w:val="BodyText"/>
        <w:spacing w:before="11"/>
        <w:rPr>
          <w:sz w:val="24"/>
        </w:rPr>
      </w:pPr>
    </w:p>
    <w:p>
      <w:pPr>
        <w:pStyle w:val="BodyText"/>
        <w:ind w:left="1823"/>
      </w:pPr>
      <w:r>
        <w:rPr/>
        <w:t>Lease income from operating leases is recognised in income on a straight-line basis over the lease term.</w:t>
      </w:r>
    </w:p>
    <w:p>
      <w:pPr>
        <w:pStyle w:val="BodyText"/>
        <w:spacing w:before="11"/>
        <w:rPr>
          <w:sz w:val="24"/>
        </w:rPr>
      </w:pPr>
    </w:p>
    <w:p>
      <w:pPr>
        <w:pStyle w:val="BodyText"/>
        <w:ind w:left="1823" w:right="1375"/>
      </w:pPr>
      <w:r>
        <w:rPr/>
        <w:t>Lease incentives under operating leases are recognised as a liability and amortised on a straight-line basis over the life of the lease term.</w:t>
      </w:r>
    </w:p>
    <w:p>
      <w:pPr>
        <w:spacing w:after="0"/>
        <w:sectPr>
          <w:pgSz w:w="12750" w:h="17680"/>
          <w:pgMar w:header="0" w:footer="927" w:top="2640" w:bottom="1120" w:left="0" w:right="0"/>
        </w:sectPr>
      </w:pPr>
    </w:p>
    <w:p>
      <w:pPr>
        <w:pStyle w:val="BodyText"/>
        <w:rPr>
          <w:sz w:val="20"/>
        </w:rPr>
      </w:pPr>
    </w:p>
    <w:p>
      <w:pPr>
        <w:pStyle w:val="BodyText"/>
        <w:rPr>
          <w:sz w:val="20"/>
        </w:rPr>
      </w:pPr>
    </w:p>
    <w:p>
      <w:pPr>
        <w:pStyle w:val="BodyText"/>
        <w:spacing w:before="4"/>
      </w:pPr>
    </w:p>
    <w:p>
      <w:pPr>
        <w:pStyle w:val="Heading8"/>
        <w:tabs>
          <w:tab w:pos="1823" w:val="left" w:leader="none"/>
        </w:tabs>
        <w:ind w:left="1429"/>
      </w:pPr>
      <w:bookmarkStart w:name="(h) Impairment of assets" w:id="23"/>
      <w:bookmarkEnd w:id="23"/>
      <w:r>
        <w:rPr>
          <w:b w:val="0"/>
        </w:rPr>
      </w:r>
      <w:r>
        <w:rPr/>
        <w:t>1</w:t>
        <w:tab/>
        <w:t>Summary of Significant Accounting Policies</w:t>
      </w:r>
      <w:r>
        <w:rPr>
          <w:spacing w:val="-6"/>
        </w:rPr>
        <w:t> </w:t>
      </w:r>
      <w:r>
        <w:rPr/>
        <w:t>(continued)</w:t>
      </w:r>
    </w:p>
    <w:p>
      <w:pPr>
        <w:pStyle w:val="BodyText"/>
        <w:spacing w:before="11"/>
        <w:rPr>
          <w:b/>
          <w:sz w:val="24"/>
        </w:rPr>
      </w:pPr>
    </w:p>
    <w:p>
      <w:pPr>
        <w:pStyle w:val="ListParagraph"/>
        <w:numPr>
          <w:ilvl w:val="0"/>
          <w:numId w:val="9"/>
        </w:numPr>
        <w:tabs>
          <w:tab w:pos="2391" w:val="left" w:leader="none"/>
        </w:tabs>
        <w:spacing w:line="240" w:lineRule="auto" w:before="0" w:after="0"/>
        <w:ind w:left="2390" w:right="0" w:hanging="566"/>
        <w:jc w:val="left"/>
        <w:rPr>
          <w:b/>
          <w:sz w:val="18"/>
        </w:rPr>
      </w:pPr>
      <w:r>
        <w:rPr>
          <w:b/>
          <w:sz w:val="18"/>
        </w:rPr>
        <w:t>Impairment of</w:t>
      </w:r>
      <w:r>
        <w:rPr>
          <w:b/>
          <w:spacing w:val="-19"/>
          <w:sz w:val="18"/>
        </w:rPr>
        <w:t> </w:t>
      </w:r>
      <w:r>
        <w:rPr>
          <w:b/>
          <w:sz w:val="18"/>
        </w:rPr>
        <w:t>assets</w:t>
      </w:r>
    </w:p>
    <w:p>
      <w:pPr>
        <w:pStyle w:val="BodyText"/>
        <w:spacing w:before="11"/>
        <w:rPr>
          <w:b/>
          <w:sz w:val="24"/>
        </w:rPr>
      </w:pPr>
    </w:p>
    <w:p>
      <w:pPr>
        <w:pStyle w:val="BodyText"/>
        <w:ind w:left="1824" w:right="1450"/>
      </w:pPr>
      <w:r>
        <w:rPr/>
        <w:t>Intangible assets that have an indefinite useful life are not subject to amortisation and are tested annually for impairment. Other assets are reviewed for impairment wherever events or changes in circumstances indicate that the carrying amount may not be recoverable. The recoverable amount is the higher of the asset’s fair value less costs to sell and value in use.</w:t>
      </w:r>
    </w:p>
    <w:p>
      <w:pPr>
        <w:pStyle w:val="BodyText"/>
        <w:spacing w:before="11"/>
        <w:rPr>
          <w:sz w:val="24"/>
        </w:rPr>
      </w:pPr>
    </w:p>
    <w:p>
      <w:pPr>
        <w:pStyle w:val="BodyText"/>
        <w:ind w:left="1823" w:right="1375"/>
      </w:pPr>
      <w:r>
        <w:rPr/>
        <w:t>An impairment loss is recognised for the amount by which the asset’s carrying amount exceeds its recoverable amount </w:t>
      </w:r>
      <w:bookmarkStart w:name="(i) Cash and cash equivalents" w:id="24"/>
      <w:bookmarkEnd w:id="24"/>
      <w:r>
        <w:rPr/>
      </w:r>
      <w:r>
        <w:rPr/>
        <w:t>(note 15). For the purposes of assessing impairment, assets are grouped at the lowest levels for which there are separately identifiable cash flows which are largely independent of the cash inflows from other assets or groups of assets (cash generating unit).</w:t>
      </w:r>
    </w:p>
    <w:p>
      <w:pPr>
        <w:pStyle w:val="BodyText"/>
        <w:spacing w:before="11"/>
        <w:rPr>
          <w:sz w:val="24"/>
        </w:rPr>
      </w:pPr>
    </w:p>
    <w:p>
      <w:pPr>
        <w:pStyle w:val="Heading8"/>
        <w:numPr>
          <w:ilvl w:val="0"/>
          <w:numId w:val="9"/>
        </w:numPr>
        <w:tabs>
          <w:tab w:pos="2391" w:val="left" w:leader="none"/>
        </w:tabs>
        <w:spacing w:line="240" w:lineRule="auto" w:before="0" w:after="0"/>
        <w:ind w:left="2390" w:right="0" w:hanging="566"/>
        <w:jc w:val="left"/>
      </w:pPr>
      <w:r>
        <w:rPr/>
        <w:t>Cash and cash</w:t>
      </w:r>
      <w:r>
        <w:rPr>
          <w:spacing w:val="-5"/>
        </w:rPr>
        <w:t> </w:t>
      </w:r>
      <w:r>
        <w:rPr/>
        <w:t>equivalents</w:t>
      </w:r>
    </w:p>
    <w:p>
      <w:pPr>
        <w:pStyle w:val="BodyText"/>
        <w:spacing w:before="11"/>
        <w:rPr>
          <w:b/>
          <w:sz w:val="24"/>
        </w:rPr>
      </w:pPr>
    </w:p>
    <w:p>
      <w:pPr>
        <w:pStyle w:val="BodyText"/>
        <w:ind w:left="1823" w:right="1338"/>
      </w:pPr>
      <w:bookmarkStart w:name="(j) Trade receivables" w:id="25"/>
      <w:bookmarkEnd w:id="25"/>
      <w:r>
        <w:rPr/>
      </w:r>
      <w:r>
        <w:rPr/>
        <w:t>For statement of cash flows presentation purposes, cash and cash equivalents includes cash on hand, deposits held at call with financial institutions, other short term, highly liquid investments with original maturities of six months or less that are readily convertible to known amounts of cash and which are subject to an insignificant risk of changes in value.</w:t>
      </w:r>
    </w:p>
    <w:p>
      <w:pPr>
        <w:pStyle w:val="BodyText"/>
        <w:spacing w:before="11"/>
        <w:rPr>
          <w:sz w:val="24"/>
        </w:rPr>
      </w:pPr>
    </w:p>
    <w:p>
      <w:pPr>
        <w:pStyle w:val="Heading8"/>
        <w:numPr>
          <w:ilvl w:val="0"/>
          <w:numId w:val="9"/>
        </w:numPr>
        <w:tabs>
          <w:tab w:pos="2391" w:val="left" w:leader="none"/>
        </w:tabs>
        <w:spacing w:line="240" w:lineRule="auto" w:before="0" w:after="0"/>
        <w:ind w:left="2390" w:right="0" w:hanging="566"/>
        <w:jc w:val="left"/>
      </w:pPr>
      <w:r>
        <w:rPr/>
        <w:t>Trade</w:t>
      </w:r>
      <w:r>
        <w:rPr>
          <w:spacing w:val="-21"/>
        </w:rPr>
        <w:t> </w:t>
      </w:r>
      <w:r>
        <w:rPr/>
        <w:t>receivables</w:t>
      </w:r>
    </w:p>
    <w:p>
      <w:pPr>
        <w:pStyle w:val="BodyText"/>
        <w:spacing w:before="11"/>
        <w:rPr>
          <w:b/>
          <w:sz w:val="24"/>
        </w:rPr>
      </w:pPr>
    </w:p>
    <w:p>
      <w:pPr>
        <w:pStyle w:val="BodyText"/>
        <w:ind w:left="1824" w:right="1375"/>
      </w:pPr>
      <w:r>
        <w:rPr/>
        <w:drawing>
          <wp:anchor distT="0" distB="0" distL="0" distR="0" allowOverlap="1" layoutInCell="1" locked="0" behindDoc="0" simplePos="0" relativeHeight="2320">
            <wp:simplePos x="0" y="0"/>
            <wp:positionH relativeFrom="page">
              <wp:posOffset>-1587</wp:posOffset>
            </wp:positionH>
            <wp:positionV relativeFrom="paragraph">
              <wp:posOffset>180516</wp:posOffset>
            </wp:positionV>
            <wp:extent cx="136525" cy="155575"/>
            <wp:effectExtent l="0" t="0" r="0" b="0"/>
            <wp:wrapNone/>
            <wp:docPr id="103" name="image13.png" descr=""/>
            <wp:cNvGraphicFramePr>
              <a:graphicFrameLocks noChangeAspect="1"/>
            </wp:cNvGraphicFramePr>
            <a:graphic>
              <a:graphicData uri="http://schemas.openxmlformats.org/drawingml/2006/picture">
                <pic:pic>
                  <pic:nvPicPr>
                    <pic:cNvPr id="104" name="image13.png"/>
                    <pic:cNvPicPr/>
                  </pic:nvPicPr>
                  <pic:blipFill>
                    <a:blip r:embed="rId18" cstate="print"/>
                    <a:stretch>
                      <a:fillRect/>
                    </a:stretch>
                  </pic:blipFill>
                  <pic:spPr>
                    <a:xfrm>
                      <a:off x="0" y="0"/>
                      <a:ext cx="136525" cy="155575"/>
                    </a:xfrm>
                    <a:prstGeom prst="rect">
                      <a:avLst/>
                    </a:prstGeom>
                  </pic:spPr>
                </pic:pic>
              </a:graphicData>
            </a:graphic>
          </wp:anchor>
        </w:drawing>
      </w:r>
      <w:r>
        <w:rPr/>
        <w:drawing>
          <wp:anchor distT="0" distB="0" distL="0" distR="0" allowOverlap="1" layoutInCell="1" locked="0" behindDoc="0" simplePos="0" relativeHeight="2344">
            <wp:simplePos x="0" y="0"/>
            <wp:positionH relativeFrom="page">
              <wp:posOffset>7958429</wp:posOffset>
            </wp:positionH>
            <wp:positionV relativeFrom="paragraph">
              <wp:posOffset>180516</wp:posOffset>
            </wp:positionV>
            <wp:extent cx="135953" cy="155575"/>
            <wp:effectExtent l="0" t="0" r="0" b="0"/>
            <wp:wrapNone/>
            <wp:docPr id="105" name="image15.png" descr=""/>
            <wp:cNvGraphicFramePr>
              <a:graphicFrameLocks noChangeAspect="1"/>
            </wp:cNvGraphicFramePr>
            <a:graphic>
              <a:graphicData uri="http://schemas.openxmlformats.org/drawingml/2006/picture">
                <pic:pic>
                  <pic:nvPicPr>
                    <pic:cNvPr id="106" name="image15.png"/>
                    <pic:cNvPicPr/>
                  </pic:nvPicPr>
                  <pic:blipFill>
                    <a:blip r:embed="rId20" cstate="print"/>
                    <a:stretch>
                      <a:fillRect/>
                    </a:stretch>
                  </pic:blipFill>
                  <pic:spPr>
                    <a:xfrm>
                      <a:off x="0" y="0"/>
                      <a:ext cx="135953" cy="155575"/>
                    </a:xfrm>
                    <a:prstGeom prst="rect">
                      <a:avLst/>
                    </a:prstGeom>
                  </pic:spPr>
                </pic:pic>
              </a:graphicData>
            </a:graphic>
          </wp:anchor>
        </w:drawing>
      </w:r>
      <w:r>
        <w:rPr/>
        <w:t>Trade receivables are recognised initially at fair value and subsequently measured at amortised cost using the effective interest method, less provision for impairment. The Group's standard terms of trade is 14 days from the date of recognition with the exception of the deferred government contribution for superannuation.</w:t>
      </w:r>
    </w:p>
    <w:p>
      <w:pPr>
        <w:pStyle w:val="BodyText"/>
        <w:spacing w:before="11"/>
        <w:rPr>
          <w:sz w:val="24"/>
        </w:rPr>
      </w:pPr>
    </w:p>
    <w:p>
      <w:pPr>
        <w:pStyle w:val="BodyText"/>
        <w:ind w:left="1823" w:right="1482"/>
      </w:pPr>
      <w:r>
        <w:rPr/>
        <w:t>Collectability of trade receivables is reviewed on an ongoing basis. Debts which are known to be uncollectible are written off. A provision for impairment of receivables is established when there is objective evidence that the Group will not be able to collect all amounts due according to the original terms of receivables.  Significant financial difficulties of the debtor, probability that the debtor will enter bankruptcy or financial reorganisation, and default or delinquency in payments are considered indicators that the trade receivable is impaired. The amount of the provision is the difference between the asset’s carrying amount and the present value of estimated future cash flows, discounted at the effective interest rate. The amount of the movement in the provision is recognised in the income statement.</w:t>
      </w:r>
    </w:p>
    <w:p>
      <w:pPr>
        <w:pStyle w:val="BodyText"/>
        <w:spacing w:before="11"/>
        <w:rPr>
          <w:sz w:val="24"/>
        </w:rPr>
      </w:pPr>
    </w:p>
    <w:p>
      <w:pPr>
        <w:pStyle w:val="BodyText"/>
        <w:ind w:left="1823" w:right="1407"/>
      </w:pPr>
      <w:r>
        <w:rPr/>
        <w:t>When a trade receivable is uncollectable the amount of the loss is recognised in the income statement within ‘impairment of assets’. Subsequent recoveries of amounts previously written off are credited to ‘other revenue’ in the </w:t>
      </w:r>
      <w:bookmarkStart w:name="(k) Prepayments" w:id="26"/>
      <w:bookmarkEnd w:id="26"/>
      <w:r>
        <w:rPr/>
      </w:r>
      <w:r>
        <w:rPr/>
        <w:t>income statement.</w:t>
      </w:r>
    </w:p>
    <w:p>
      <w:pPr>
        <w:pStyle w:val="BodyText"/>
        <w:spacing w:before="11"/>
        <w:rPr>
          <w:sz w:val="24"/>
        </w:rPr>
      </w:pPr>
    </w:p>
    <w:p>
      <w:pPr>
        <w:pStyle w:val="BodyText"/>
        <w:ind w:left="1823"/>
      </w:pPr>
      <w:r>
        <w:rPr/>
        <w:t>Cash flows relating to short term receivables are not discounted if the effect of discounting is immaterial.</w:t>
      </w:r>
    </w:p>
    <w:p>
      <w:pPr>
        <w:pStyle w:val="BodyText"/>
        <w:spacing w:before="11"/>
        <w:rPr>
          <w:sz w:val="24"/>
        </w:rPr>
      </w:pPr>
    </w:p>
    <w:p>
      <w:pPr>
        <w:pStyle w:val="Heading8"/>
        <w:numPr>
          <w:ilvl w:val="0"/>
          <w:numId w:val="9"/>
        </w:numPr>
        <w:tabs>
          <w:tab w:pos="2391" w:val="left" w:leader="none"/>
        </w:tabs>
        <w:spacing w:line="240" w:lineRule="auto" w:before="0" w:after="0"/>
        <w:ind w:left="2390" w:right="0" w:hanging="566"/>
        <w:jc w:val="left"/>
      </w:pPr>
      <w:r>
        <w:rPr/>
        <w:t>Prepayments</w:t>
      </w:r>
    </w:p>
    <w:p>
      <w:pPr>
        <w:pStyle w:val="BodyText"/>
        <w:spacing w:before="11"/>
        <w:rPr>
          <w:b/>
          <w:sz w:val="24"/>
        </w:rPr>
      </w:pPr>
    </w:p>
    <w:p>
      <w:pPr>
        <w:pStyle w:val="BodyText"/>
        <w:ind w:left="1824" w:right="1407"/>
      </w:pPr>
      <w:bookmarkStart w:name="(l) Inventories" w:id="27"/>
      <w:bookmarkEnd w:id="27"/>
      <w:r>
        <w:rPr/>
      </w:r>
      <w:r>
        <w:rPr/>
        <w:t>Payments for goods and services which are to be provided in future years are recognised as prepayments. Prepayments are recorded in trade and other receivables in the statement of financial position.</w:t>
      </w:r>
    </w:p>
    <w:p>
      <w:pPr>
        <w:pStyle w:val="BodyText"/>
        <w:spacing w:before="11"/>
        <w:rPr>
          <w:sz w:val="24"/>
        </w:rPr>
      </w:pPr>
    </w:p>
    <w:p>
      <w:pPr>
        <w:pStyle w:val="Heading8"/>
        <w:numPr>
          <w:ilvl w:val="0"/>
          <w:numId w:val="9"/>
        </w:numPr>
        <w:tabs>
          <w:tab w:pos="2391" w:val="left" w:leader="none"/>
        </w:tabs>
        <w:spacing w:line="240" w:lineRule="auto" w:before="0" w:after="0"/>
        <w:ind w:left="2390" w:right="0" w:hanging="566"/>
        <w:jc w:val="left"/>
      </w:pPr>
      <w:r>
        <w:rPr/>
        <w:t>Inventories</w:t>
      </w:r>
    </w:p>
    <w:p>
      <w:pPr>
        <w:pStyle w:val="BodyText"/>
        <w:spacing w:before="11"/>
        <w:rPr>
          <w:b/>
          <w:sz w:val="24"/>
        </w:rPr>
      </w:pPr>
    </w:p>
    <w:p>
      <w:pPr>
        <w:pStyle w:val="BodyText"/>
        <w:ind w:left="1823" w:right="1424"/>
      </w:pPr>
      <w:r>
        <w:rPr/>
        <w:t>A stocktake of inventories on hand at year end was performed.  All inventories are measured at the lower of cost and net realisable value. Textbooks and retail stock are valued at a weighted average price and other stock is valued at last purchase price.</w:t>
      </w:r>
    </w:p>
    <w:p>
      <w:pPr>
        <w:spacing w:after="0"/>
        <w:sectPr>
          <w:pgSz w:w="12750" w:h="17680"/>
          <w:pgMar w:header="0" w:footer="927" w:top="2640" w:bottom="1120" w:left="0" w:right="0"/>
        </w:sectPr>
      </w:pPr>
    </w:p>
    <w:p>
      <w:pPr>
        <w:pStyle w:val="BodyText"/>
        <w:rPr>
          <w:sz w:val="20"/>
        </w:rPr>
      </w:pPr>
    </w:p>
    <w:p>
      <w:pPr>
        <w:pStyle w:val="BodyText"/>
        <w:rPr>
          <w:sz w:val="20"/>
        </w:rPr>
      </w:pPr>
    </w:p>
    <w:p>
      <w:pPr>
        <w:pStyle w:val="BodyText"/>
        <w:spacing w:before="4"/>
      </w:pPr>
    </w:p>
    <w:p>
      <w:pPr>
        <w:pStyle w:val="Heading8"/>
        <w:tabs>
          <w:tab w:pos="1823" w:val="left" w:leader="none"/>
        </w:tabs>
        <w:ind w:left="1429"/>
      </w:pPr>
      <w:bookmarkStart w:name="(m) Investments and other financial asse" w:id="28"/>
      <w:bookmarkEnd w:id="28"/>
      <w:r>
        <w:rPr>
          <w:b w:val="0"/>
        </w:rPr>
      </w:r>
      <w:bookmarkStart w:name="Classification" w:id="29"/>
      <w:bookmarkEnd w:id="29"/>
      <w:r>
        <w:rPr>
          <w:b w:val="0"/>
        </w:rPr>
      </w:r>
      <w:r>
        <w:rPr/>
        <w:t>1</w:t>
        <w:tab/>
        <w:t>Summary of Significant Accounting Policies</w:t>
      </w:r>
      <w:r>
        <w:rPr>
          <w:spacing w:val="-6"/>
        </w:rPr>
        <w:t> </w:t>
      </w:r>
      <w:r>
        <w:rPr/>
        <w:t>(continued)</w:t>
      </w:r>
    </w:p>
    <w:p>
      <w:pPr>
        <w:pStyle w:val="BodyText"/>
        <w:spacing w:before="11"/>
        <w:rPr>
          <w:b/>
          <w:sz w:val="24"/>
        </w:rPr>
      </w:pPr>
    </w:p>
    <w:p>
      <w:pPr>
        <w:pStyle w:val="ListParagraph"/>
        <w:numPr>
          <w:ilvl w:val="0"/>
          <w:numId w:val="9"/>
        </w:numPr>
        <w:tabs>
          <w:tab w:pos="2391" w:val="left" w:leader="none"/>
        </w:tabs>
        <w:spacing w:line="595" w:lineRule="auto" w:before="0" w:after="0"/>
        <w:ind w:left="2390" w:right="7045" w:hanging="566"/>
        <w:jc w:val="left"/>
        <w:rPr>
          <w:b/>
          <w:sz w:val="18"/>
        </w:rPr>
      </w:pPr>
      <w:r>
        <w:rPr>
          <w:b/>
          <w:sz w:val="18"/>
        </w:rPr>
        <w:t>Investments and other financial assets Classification</w:t>
      </w:r>
    </w:p>
    <w:p>
      <w:pPr>
        <w:pStyle w:val="BodyText"/>
        <w:ind w:left="2390" w:right="1450"/>
      </w:pPr>
      <w:r>
        <w:rPr/>
        <w:t>The Group classifies its investments in the following categories:held to maturity investments, loans and receivables and available-for-sale financial assets. The classification depends on the purpose for which the investments were acquired. Management determines the classification of its investments at initial recognition and in the case of assets classified as held-to-maturity, re-evaluate this designation at each reporting date.</w:t>
      </w:r>
    </w:p>
    <w:p>
      <w:pPr>
        <w:pStyle w:val="BodyText"/>
        <w:spacing w:before="11"/>
        <w:rPr>
          <w:sz w:val="24"/>
        </w:rPr>
      </w:pPr>
    </w:p>
    <w:p>
      <w:pPr>
        <w:pStyle w:val="Heading8"/>
        <w:numPr>
          <w:ilvl w:val="1"/>
          <w:numId w:val="9"/>
        </w:numPr>
        <w:tabs>
          <w:tab w:pos="2611" w:val="left" w:leader="none"/>
        </w:tabs>
        <w:spacing w:line="240" w:lineRule="auto" w:before="0" w:after="0"/>
        <w:ind w:left="2610" w:right="0" w:hanging="220"/>
        <w:jc w:val="left"/>
      </w:pPr>
      <w:r>
        <w:rPr/>
        <w:t>) Held-to-maturity</w:t>
      </w:r>
      <w:r>
        <w:rPr>
          <w:spacing w:val="-14"/>
        </w:rPr>
        <w:t> </w:t>
      </w:r>
      <w:r>
        <w:rPr/>
        <w:t>investments</w:t>
      </w:r>
    </w:p>
    <w:p>
      <w:pPr>
        <w:pStyle w:val="BodyText"/>
        <w:spacing w:before="11"/>
        <w:rPr>
          <w:b/>
          <w:sz w:val="24"/>
        </w:rPr>
      </w:pPr>
    </w:p>
    <w:p>
      <w:pPr>
        <w:pStyle w:val="BodyText"/>
        <w:ind w:left="2390" w:right="1375"/>
      </w:pPr>
      <w:r>
        <w:rPr/>
        <w:t>Held-to-maturity investments are non-derivative financial assets with fixed or determinable payments and fixed maturities that the Group's management has the positive intention and ability to hold to maturity.</w:t>
      </w:r>
    </w:p>
    <w:p>
      <w:pPr>
        <w:pStyle w:val="BodyText"/>
        <w:spacing w:before="11"/>
        <w:rPr>
          <w:sz w:val="24"/>
        </w:rPr>
      </w:pPr>
    </w:p>
    <w:p>
      <w:pPr>
        <w:pStyle w:val="BodyText"/>
        <w:ind w:left="2390" w:right="1435"/>
      </w:pPr>
      <w:r>
        <w:rPr/>
        <w:t>The</w:t>
      </w:r>
      <w:r>
        <w:rPr>
          <w:spacing w:val="-6"/>
        </w:rPr>
        <w:t> </w:t>
      </w:r>
      <w:r>
        <w:rPr/>
        <w:t>Group</w:t>
      </w:r>
      <w:r>
        <w:rPr>
          <w:spacing w:val="-6"/>
        </w:rPr>
        <w:t> </w:t>
      </w:r>
      <w:r>
        <w:rPr/>
        <w:t>has</w:t>
      </w:r>
      <w:r>
        <w:rPr>
          <w:spacing w:val="-6"/>
        </w:rPr>
        <w:t> </w:t>
      </w:r>
      <w:r>
        <w:rPr/>
        <w:t>designated</w:t>
      </w:r>
      <w:r>
        <w:rPr>
          <w:spacing w:val="-6"/>
        </w:rPr>
        <w:t> </w:t>
      </w:r>
      <w:r>
        <w:rPr/>
        <w:t>as</w:t>
      </w:r>
      <w:r>
        <w:rPr>
          <w:spacing w:val="-6"/>
        </w:rPr>
        <w:t> </w:t>
      </w:r>
      <w:r>
        <w:rPr/>
        <w:t>held-to-maturity</w:t>
      </w:r>
      <w:r>
        <w:rPr>
          <w:spacing w:val="-6"/>
        </w:rPr>
        <w:t> </w:t>
      </w:r>
      <w:r>
        <w:rPr/>
        <w:t>investments</w:t>
      </w:r>
      <w:r>
        <w:rPr>
          <w:spacing w:val="-6"/>
        </w:rPr>
        <w:t> </w:t>
      </w:r>
      <w:r>
        <w:rPr/>
        <w:t>its</w:t>
      </w:r>
      <w:r>
        <w:rPr>
          <w:spacing w:val="-6"/>
        </w:rPr>
        <w:t> </w:t>
      </w:r>
      <w:r>
        <w:rPr/>
        <w:t>investment</w:t>
      </w:r>
      <w:r>
        <w:rPr>
          <w:spacing w:val="-6"/>
        </w:rPr>
        <w:t> </w:t>
      </w:r>
      <w:r>
        <w:rPr/>
        <w:t>in</w:t>
      </w:r>
      <w:r>
        <w:rPr>
          <w:spacing w:val="-6"/>
        </w:rPr>
        <w:t> </w:t>
      </w:r>
      <w:r>
        <w:rPr/>
        <w:t>a</w:t>
      </w:r>
      <w:r>
        <w:rPr>
          <w:spacing w:val="-6"/>
        </w:rPr>
        <w:t> </w:t>
      </w:r>
      <w:r>
        <w:rPr/>
        <w:t>fixed</w:t>
      </w:r>
      <w:r>
        <w:rPr>
          <w:spacing w:val="-6"/>
        </w:rPr>
        <w:t> </w:t>
      </w:r>
      <w:r>
        <w:rPr/>
        <w:t>income</w:t>
      </w:r>
      <w:r>
        <w:rPr>
          <w:spacing w:val="-6"/>
        </w:rPr>
        <w:t> </w:t>
      </w:r>
      <w:r>
        <w:rPr/>
        <w:t>portfolio</w:t>
      </w:r>
      <w:r>
        <w:rPr>
          <w:spacing w:val="-6"/>
        </w:rPr>
        <w:t> </w:t>
      </w:r>
      <w:r>
        <w:rPr/>
        <w:t>managed</w:t>
      </w:r>
      <w:r>
        <w:rPr>
          <w:spacing w:val="-6"/>
        </w:rPr>
        <w:t> </w:t>
      </w:r>
      <w:r>
        <w:rPr/>
        <w:t>by JB Were Limited.  The investments are included as non-current assets in the statement of financial position (note</w:t>
      </w:r>
      <w:r>
        <w:rPr>
          <w:spacing w:val="-7"/>
        </w:rPr>
        <w:t> </w:t>
      </w:r>
      <w:r>
        <w:rPr/>
        <w:t>23).</w:t>
      </w:r>
    </w:p>
    <w:p>
      <w:pPr>
        <w:pStyle w:val="BodyText"/>
        <w:spacing w:before="11"/>
        <w:rPr>
          <w:sz w:val="24"/>
        </w:rPr>
      </w:pPr>
    </w:p>
    <w:p>
      <w:pPr>
        <w:pStyle w:val="Heading8"/>
        <w:numPr>
          <w:ilvl w:val="1"/>
          <w:numId w:val="9"/>
        </w:numPr>
        <w:tabs>
          <w:tab w:pos="2662" w:val="left" w:leader="none"/>
        </w:tabs>
        <w:spacing w:line="240" w:lineRule="auto" w:before="0" w:after="0"/>
        <w:ind w:left="2661" w:right="0" w:hanging="271"/>
        <w:jc w:val="left"/>
      </w:pPr>
      <w:r>
        <w:rPr/>
        <w:t>) Loans and</w:t>
      </w:r>
      <w:r>
        <w:rPr>
          <w:spacing w:val="-11"/>
        </w:rPr>
        <w:t> </w:t>
      </w:r>
      <w:r>
        <w:rPr/>
        <w:t>receivables</w:t>
      </w:r>
    </w:p>
    <w:p>
      <w:pPr>
        <w:pStyle w:val="BodyText"/>
        <w:spacing w:before="11"/>
        <w:rPr>
          <w:b/>
          <w:sz w:val="24"/>
        </w:rPr>
      </w:pPr>
    </w:p>
    <w:p>
      <w:pPr>
        <w:pStyle w:val="BodyText"/>
        <w:ind w:left="2390" w:right="1364"/>
      </w:pPr>
      <w:r>
        <w:rPr/>
        <w:drawing>
          <wp:anchor distT="0" distB="0" distL="0" distR="0" allowOverlap="1" layoutInCell="1" locked="0" behindDoc="0" simplePos="0" relativeHeight="2368">
            <wp:simplePos x="0" y="0"/>
            <wp:positionH relativeFrom="page">
              <wp:posOffset>-1587</wp:posOffset>
            </wp:positionH>
            <wp:positionV relativeFrom="paragraph">
              <wp:posOffset>113460</wp:posOffset>
            </wp:positionV>
            <wp:extent cx="136525" cy="155575"/>
            <wp:effectExtent l="0" t="0" r="0" b="0"/>
            <wp:wrapNone/>
            <wp:docPr id="107" name="image13.png" descr=""/>
            <wp:cNvGraphicFramePr>
              <a:graphicFrameLocks noChangeAspect="1"/>
            </wp:cNvGraphicFramePr>
            <a:graphic>
              <a:graphicData uri="http://schemas.openxmlformats.org/drawingml/2006/picture">
                <pic:pic>
                  <pic:nvPicPr>
                    <pic:cNvPr id="108" name="image13.png"/>
                    <pic:cNvPicPr/>
                  </pic:nvPicPr>
                  <pic:blipFill>
                    <a:blip r:embed="rId18" cstate="print"/>
                    <a:stretch>
                      <a:fillRect/>
                    </a:stretch>
                  </pic:blipFill>
                  <pic:spPr>
                    <a:xfrm>
                      <a:off x="0" y="0"/>
                      <a:ext cx="136525" cy="155575"/>
                    </a:xfrm>
                    <a:prstGeom prst="rect">
                      <a:avLst/>
                    </a:prstGeom>
                  </pic:spPr>
                </pic:pic>
              </a:graphicData>
            </a:graphic>
          </wp:anchor>
        </w:drawing>
      </w:r>
      <w:r>
        <w:rPr/>
        <w:drawing>
          <wp:anchor distT="0" distB="0" distL="0" distR="0" allowOverlap="1" layoutInCell="1" locked="0" behindDoc="0" simplePos="0" relativeHeight="2392">
            <wp:simplePos x="0" y="0"/>
            <wp:positionH relativeFrom="page">
              <wp:posOffset>7958429</wp:posOffset>
            </wp:positionH>
            <wp:positionV relativeFrom="paragraph">
              <wp:posOffset>113460</wp:posOffset>
            </wp:positionV>
            <wp:extent cx="135953" cy="155575"/>
            <wp:effectExtent l="0" t="0" r="0" b="0"/>
            <wp:wrapNone/>
            <wp:docPr id="109" name="image15.png" descr=""/>
            <wp:cNvGraphicFramePr>
              <a:graphicFrameLocks noChangeAspect="1"/>
            </wp:cNvGraphicFramePr>
            <a:graphic>
              <a:graphicData uri="http://schemas.openxmlformats.org/drawingml/2006/picture">
                <pic:pic>
                  <pic:nvPicPr>
                    <pic:cNvPr id="110" name="image15.png"/>
                    <pic:cNvPicPr/>
                  </pic:nvPicPr>
                  <pic:blipFill>
                    <a:blip r:embed="rId20" cstate="print"/>
                    <a:stretch>
                      <a:fillRect/>
                    </a:stretch>
                  </pic:blipFill>
                  <pic:spPr>
                    <a:xfrm>
                      <a:off x="0" y="0"/>
                      <a:ext cx="135953" cy="155575"/>
                    </a:xfrm>
                    <a:prstGeom prst="rect">
                      <a:avLst/>
                    </a:prstGeom>
                  </pic:spPr>
                </pic:pic>
              </a:graphicData>
            </a:graphic>
          </wp:anchor>
        </w:drawing>
      </w:r>
      <w:r>
        <w:rPr/>
        <w:t>Loans and receivables are non-derivative financial assets with fixed or determinable payments that are not quoted in an active market. They are included in current assets, except for those with maturities greater than 12 months after the reporting date which are classified as non-current assets. Loans and receivables are included in receivables in the statement of financial position.</w:t>
      </w:r>
    </w:p>
    <w:p>
      <w:pPr>
        <w:pStyle w:val="BodyText"/>
        <w:spacing w:before="11"/>
        <w:rPr>
          <w:sz w:val="24"/>
        </w:rPr>
      </w:pPr>
    </w:p>
    <w:p>
      <w:pPr>
        <w:pStyle w:val="Heading8"/>
        <w:numPr>
          <w:ilvl w:val="1"/>
          <w:numId w:val="9"/>
        </w:numPr>
        <w:tabs>
          <w:tab w:pos="2713" w:val="left" w:leader="none"/>
        </w:tabs>
        <w:spacing w:line="240" w:lineRule="auto" w:before="0" w:after="0"/>
        <w:ind w:left="2712" w:right="0" w:hanging="322"/>
        <w:jc w:val="left"/>
      </w:pPr>
      <w:r>
        <w:rPr/>
        <w:t>Available-for-sale financial</w:t>
      </w:r>
      <w:r>
        <w:rPr>
          <w:spacing w:val="-13"/>
        </w:rPr>
        <w:t> </w:t>
      </w:r>
      <w:r>
        <w:rPr/>
        <w:t>assets</w:t>
      </w:r>
    </w:p>
    <w:p>
      <w:pPr>
        <w:pStyle w:val="BodyText"/>
        <w:spacing w:before="11"/>
        <w:rPr>
          <w:b/>
          <w:sz w:val="24"/>
        </w:rPr>
      </w:pPr>
    </w:p>
    <w:p>
      <w:pPr>
        <w:pStyle w:val="BodyText"/>
        <w:ind w:left="2390" w:right="1375"/>
      </w:pPr>
      <w:r>
        <w:rPr/>
        <w:t>Available-for-sale financial assets, comprising principally marketable equity securities, are non-derivatives that are designated in this category.</w:t>
      </w:r>
    </w:p>
    <w:p>
      <w:pPr>
        <w:pStyle w:val="BodyText"/>
        <w:spacing w:before="11"/>
        <w:rPr>
          <w:sz w:val="24"/>
        </w:rPr>
      </w:pPr>
    </w:p>
    <w:p>
      <w:pPr>
        <w:pStyle w:val="BodyText"/>
        <w:ind w:left="2390"/>
      </w:pPr>
      <w:r>
        <w:rPr/>
        <w:t>The Group has designated as available-for-sale:</w:t>
      </w:r>
    </w:p>
    <w:p>
      <w:pPr>
        <w:pStyle w:val="BodyText"/>
        <w:spacing w:before="11"/>
        <w:rPr>
          <w:sz w:val="24"/>
        </w:rPr>
      </w:pPr>
    </w:p>
    <w:p>
      <w:pPr>
        <w:pStyle w:val="ListParagraph"/>
        <w:numPr>
          <w:ilvl w:val="0"/>
          <w:numId w:val="10"/>
        </w:numPr>
        <w:tabs>
          <w:tab w:pos="2600" w:val="left" w:leader="none"/>
        </w:tabs>
        <w:spacing w:line="240" w:lineRule="auto" w:before="0" w:after="0"/>
        <w:ind w:left="2599" w:right="0" w:hanging="159"/>
        <w:jc w:val="left"/>
        <w:rPr>
          <w:sz w:val="18"/>
        </w:rPr>
      </w:pPr>
      <w:r>
        <w:rPr>
          <w:sz w:val="18"/>
        </w:rPr>
        <w:t>units</w:t>
      </w:r>
      <w:r>
        <w:rPr>
          <w:spacing w:val="-6"/>
          <w:sz w:val="18"/>
        </w:rPr>
        <w:t> </w:t>
      </w:r>
      <w:r>
        <w:rPr>
          <w:sz w:val="18"/>
        </w:rPr>
        <w:t>held</w:t>
      </w:r>
      <w:r>
        <w:rPr>
          <w:spacing w:val="-6"/>
          <w:sz w:val="18"/>
        </w:rPr>
        <w:t> </w:t>
      </w:r>
      <w:r>
        <w:rPr>
          <w:sz w:val="18"/>
        </w:rPr>
        <w:t>in</w:t>
      </w:r>
      <w:r>
        <w:rPr>
          <w:spacing w:val="-6"/>
          <w:sz w:val="18"/>
        </w:rPr>
        <w:t> </w:t>
      </w:r>
      <w:r>
        <w:rPr>
          <w:sz w:val="18"/>
        </w:rPr>
        <w:t>Acadian</w:t>
      </w:r>
      <w:r>
        <w:rPr>
          <w:spacing w:val="-6"/>
          <w:sz w:val="18"/>
        </w:rPr>
        <w:t> </w:t>
      </w:r>
      <w:r>
        <w:rPr>
          <w:sz w:val="18"/>
        </w:rPr>
        <w:t>Australian</w:t>
      </w:r>
      <w:r>
        <w:rPr>
          <w:spacing w:val="-6"/>
          <w:sz w:val="18"/>
        </w:rPr>
        <w:t> </w:t>
      </w:r>
      <w:r>
        <w:rPr>
          <w:sz w:val="18"/>
        </w:rPr>
        <w:t>Equity</w:t>
      </w:r>
      <w:r>
        <w:rPr>
          <w:spacing w:val="-6"/>
          <w:sz w:val="18"/>
        </w:rPr>
        <w:t> </w:t>
      </w:r>
      <w:r>
        <w:rPr>
          <w:sz w:val="18"/>
        </w:rPr>
        <w:t>High</w:t>
      </w:r>
      <w:r>
        <w:rPr>
          <w:spacing w:val="-6"/>
          <w:sz w:val="18"/>
        </w:rPr>
        <w:t> </w:t>
      </w:r>
      <w:r>
        <w:rPr>
          <w:sz w:val="18"/>
        </w:rPr>
        <w:t>Yield</w:t>
      </w:r>
      <w:r>
        <w:rPr>
          <w:spacing w:val="-6"/>
          <w:sz w:val="18"/>
        </w:rPr>
        <w:t> </w:t>
      </w:r>
      <w:r>
        <w:rPr>
          <w:sz w:val="18"/>
        </w:rPr>
        <w:t>Fund,</w:t>
      </w:r>
      <w:r>
        <w:rPr>
          <w:spacing w:val="-6"/>
          <w:sz w:val="18"/>
        </w:rPr>
        <w:t> </w:t>
      </w:r>
      <w:r>
        <w:rPr>
          <w:sz w:val="18"/>
        </w:rPr>
        <w:t>a</w:t>
      </w:r>
      <w:r>
        <w:rPr>
          <w:spacing w:val="-6"/>
          <w:sz w:val="18"/>
        </w:rPr>
        <w:t> </w:t>
      </w:r>
      <w:r>
        <w:rPr>
          <w:sz w:val="18"/>
        </w:rPr>
        <w:t>managed</w:t>
      </w:r>
      <w:r>
        <w:rPr>
          <w:spacing w:val="-6"/>
          <w:sz w:val="18"/>
        </w:rPr>
        <w:t> </w:t>
      </w:r>
      <w:r>
        <w:rPr>
          <w:sz w:val="18"/>
        </w:rPr>
        <w:t>investment</w:t>
      </w:r>
      <w:r>
        <w:rPr>
          <w:spacing w:val="-6"/>
          <w:sz w:val="18"/>
        </w:rPr>
        <w:t> </w:t>
      </w:r>
      <w:r>
        <w:rPr>
          <w:sz w:val="18"/>
        </w:rPr>
        <w:t>fund;</w:t>
      </w:r>
      <w:r>
        <w:rPr>
          <w:spacing w:val="-6"/>
          <w:sz w:val="18"/>
        </w:rPr>
        <w:t> </w:t>
      </w:r>
      <w:r>
        <w:rPr>
          <w:sz w:val="18"/>
        </w:rPr>
        <w:t>and</w:t>
      </w:r>
    </w:p>
    <w:p>
      <w:pPr>
        <w:pStyle w:val="BodyText"/>
        <w:spacing w:before="11"/>
        <w:rPr>
          <w:sz w:val="24"/>
        </w:rPr>
      </w:pPr>
    </w:p>
    <w:p>
      <w:pPr>
        <w:pStyle w:val="ListParagraph"/>
        <w:numPr>
          <w:ilvl w:val="0"/>
          <w:numId w:val="10"/>
        </w:numPr>
        <w:tabs>
          <w:tab w:pos="2600" w:val="left" w:leader="none"/>
        </w:tabs>
        <w:spacing w:line="240" w:lineRule="auto" w:before="0" w:after="0"/>
        <w:ind w:left="2600" w:right="0" w:hanging="160"/>
        <w:jc w:val="left"/>
        <w:rPr>
          <w:sz w:val="18"/>
        </w:rPr>
      </w:pPr>
      <w:r>
        <w:rPr>
          <w:sz w:val="18"/>
        </w:rPr>
        <w:t>unlisted</w:t>
      </w:r>
      <w:r>
        <w:rPr>
          <w:spacing w:val="-19"/>
          <w:sz w:val="18"/>
        </w:rPr>
        <w:t> </w:t>
      </w:r>
      <w:r>
        <w:rPr>
          <w:sz w:val="18"/>
        </w:rPr>
        <w:t>securities</w:t>
      </w:r>
    </w:p>
    <w:p>
      <w:pPr>
        <w:pStyle w:val="BodyText"/>
        <w:spacing w:before="11"/>
        <w:rPr>
          <w:sz w:val="24"/>
        </w:rPr>
      </w:pPr>
    </w:p>
    <w:p>
      <w:pPr>
        <w:pStyle w:val="BodyText"/>
        <w:ind w:left="2390" w:right="1450"/>
      </w:pPr>
      <w:r>
        <w:rPr/>
        <w:t>The Acadian Australian Equity High Yield Fund units and unlisted securities are included as non-current assets in the statement of financial position (note 23).</w:t>
      </w:r>
    </w:p>
    <w:p>
      <w:pPr>
        <w:pStyle w:val="BodyText"/>
        <w:spacing w:before="11"/>
        <w:rPr>
          <w:sz w:val="24"/>
        </w:rPr>
      </w:pPr>
    </w:p>
    <w:p>
      <w:pPr>
        <w:pStyle w:val="BodyText"/>
        <w:ind w:left="2390" w:right="1375"/>
      </w:pPr>
      <w:r>
        <w:rPr/>
        <w:t>Unrealised gains and losses arising from changes in the fair value of financial assets classified as available-for- sale are recognised in equity in the available-for-sale investments revaluation reserve (note 29(a)).</w:t>
      </w:r>
    </w:p>
    <w:p>
      <w:pPr>
        <w:pStyle w:val="BodyText"/>
        <w:spacing w:before="11"/>
        <w:rPr>
          <w:sz w:val="24"/>
        </w:rPr>
      </w:pPr>
    </w:p>
    <w:p>
      <w:pPr>
        <w:pStyle w:val="Heading8"/>
        <w:numPr>
          <w:ilvl w:val="1"/>
          <w:numId w:val="9"/>
        </w:numPr>
        <w:tabs>
          <w:tab w:pos="2707" w:val="left" w:leader="none"/>
        </w:tabs>
        <w:spacing w:line="240" w:lineRule="auto" w:before="0" w:after="0"/>
        <w:ind w:left="2707" w:right="0" w:hanging="317"/>
        <w:jc w:val="left"/>
      </w:pPr>
      <w:r>
        <w:rPr/>
        <w:t>Recognition and derecognition of financial assets</w:t>
      </w:r>
    </w:p>
    <w:p>
      <w:pPr>
        <w:pStyle w:val="BodyText"/>
        <w:spacing w:before="11"/>
        <w:rPr>
          <w:b/>
          <w:sz w:val="24"/>
        </w:rPr>
      </w:pPr>
    </w:p>
    <w:p>
      <w:pPr>
        <w:pStyle w:val="BodyText"/>
        <w:ind w:left="2390" w:right="1424"/>
      </w:pPr>
      <w:r>
        <w:rPr/>
        <w:t>Purchases and sales of investments are recognised on 'trade date' which is the date on which the Group commits to purchase or sell the asset. Investments are initially recognised at fair value plus transaction costs for all financial assets not carried at fair value through profit or loss. Financial assets carried at fair value through profit and loss are initially recognised at fair value and transaction costs are expensed in the income statement. Financial assets are derecognised when the rights to receive cash flows from the financial assets have expired or have been transferred and the Group has transferred substantially all the risks and rewards of ownership.</w:t>
      </w:r>
    </w:p>
    <w:p>
      <w:pPr>
        <w:spacing w:after="0"/>
        <w:sectPr>
          <w:pgSz w:w="12750" w:h="17680"/>
          <w:pgMar w:header="0" w:footer="927" w:top="2640" w:bottom="1120" w:left="0" w:right="0"/>
        </w:sectPr>
      </w:pPr>
    </w:p>
    <w:p>
      <w:pPr>
        <w:pStyle w:val="BodyText"/>
        <w:rPr>
          <w:sz w:val="20"/>
        </w:rPr>
      </w:pPr>
    </w:p>
    <w:p>
      <w:pPr>
        <w:pStyle w:val="BodyText"/>
        <w:rPr>
          <w:sz w:val="20"/>
        </w:rPr>
      </w:pPr>
    </w:p>
    <w:p>
      <w:pPr>
        <w:pStyle w:val="BodyText"/>
        <w:spacing w:before="4"/>
      </w:pPr>
    </w:p>
    <w:p>
      <w:pPr>
        <w:pStyle w:val="Heading8"/>
        <w:tabs>
          <w:tab w:pos="1823" w:val="left" w:leader="none"/>
        </w:tabs>
        <w:ind w:left="1429"/>
      </w:pPr>
      <w:r>
        <w:rPr/>
        <w:t>1</w:t>
        <w:tab/>
        <w:t>Summary of Significant Accounting Policies</w:t>
      </w:r>
      <w:r>
        <w:rPr>
          <w:spacing w:val="-6"/>
        </w:rPr>
        <w:t> </w:t>
      </w:r>
      <w:r>
        <w:rPr/>
        <w:t>(continued)</w:t>
      </w:r>
    </w:p>
    <w:p>
      <w:pPr>
        <w:pStyle w:val="BodyText"/>
        <w:spacing w:before="11"/>
        <w:rPr>
          <w:b/>
          <w:sz w:val="24"/>
        </w:rPr>
      </w:pPr>
    </w:p>
    <w:p>
      <w:pPr>
        <w:pStyle w:val="ListParagraph"/>
        <w:numPr>
          <w:ilvl w:val="0"/>
          <w:numId w:val="11"/>
        </w:numPr>
        <w:tabs>
          <w:tab w:pos="2391" w:val="left" w:leader="none"/>
        </w:tabs>
        <w:spacing w:line="583" w:lineRule="auto" w:before="0" w:after="0"/>
        <w:ind w:left="2382" w:right="6014" w:hanging="558"/>
        <w:jc w:val="left"/>
        <w:rPr>
          <w:b/>
          <w:sz w:val="18"/>
        </w:rPr>
      </w:pPr>
      <w:r>
        <w:rPr>
          <w:b/>
          <w:sz w:val="18"/>
        </w:rPr>
        <w:t>Investments and other financial assets (continued) Classification (continued)</w:t>
      </w:r>
    </w:p>
    <w:p>
      <w:pPr>
        <w:pStyle w:val="BodyText"/>
        <w:spacing w:before="15"/>
        <w:ind w:left="2390" w:right="1360"/>
      </w:pPr>
      <w:r>
        <w:rPr/>
        <w:t>When investments classified as available-for-sale are sold, the accumulated fair value adjustments recognised in other comprehensive income are included in the income statement as gains and losses from sale of available- for-sale financial assets (note 5 ).</w:t>
      </w:r>
    </w:p>
    <w:p>
      <w:pPr>
        <w:pStyle w:val="BodyText"/>
        <w:spacing w:before="7"/>
        <w:rPr>
          <w:sz w:val="26"/>
        </w:rPr>
      </w:pPr>
    </w:p>
    <w:p>
      <w:pPr>
        <w:pStyle w:val="Heading8"/>
        <w:numPr>
          <w:ilvl w:val="1"/>
          <w:numId w:val="9"/>
        </w:numPr>
        <w:tabs>
          <w:tab w:pos="2657" w:val="left" w:leader="none"/>
        </w:tabs>
        <w:spacing w:line="240" w:lineRule="auto" w:before="0" w:after="0"/>
        <w:ind w:left="2656" w:right="0" w:hanging="266"/>
        <w:jc w:val="left"/>
      </w:pPr>
      <w:r>
        <w:rPr/>
        <w:t>Subsequent</w:t>
      </w:r>
      <w:r>
        <w:rPr>
          <w:spacing w:val="-22"/>
        </w:rPr>
        <w:t> </w:t>
      </w:r>
      <w:r>
        <w:rPr/>
        <w:t>measurement</w:t>
      </w:r>
    </w:p>
    <w:p>
      <w:pPr>
        <w:pStyle w:val="BodyText"/>
        <w:spacing w:before="4"/>
        <w:rPr>
          <w:b/>
          <w:sz w:val="25"/>
        </w:rPr>
      </w:pPr>
    </w:p>
    <w:p>
      <w:pPr>
        <w:pStyle w:val="BodyText"/>
        <w:ind w:left="2390" w:right="1375"/>
      </w:pPr>
      <w:r>
        <w:rPr/>
        <w:t>Available-for-sale financial assets are subsequently carried at fair value. Loans and receivables and held-to- maturity investments are carried at amortised cost using the effective interest method.</w:t>
      </w:r>
    </w:p>
    <w:p>
      <w:pPr>
        <w:pStyle w:val="BodyText"/>
        <w:spacing w:before="7"/>
        <w:rPr>
          <w:sz w:val="26"/>
        </w:rPr>
      </w:pPr>
    </w:p>
    <w:p>
      <w:pPr>
        <w:pStyle w:val="Heading8"/>
        <w:numPr>
          <w:ilvl w:val="1"/>
          <w:numId w:val="9"/>
        </w:numPr>
        <w:tabs>
          <w:tab w:pos="2708" w:val="left" w:leader="none"/>
        </w:tabs>
        <w:spacing w:line="240" w:lineRule="auto" w:before="0" w:after="0"/>
        <w:ind w:left="2707" w:right="0" w:hanging="317"/>
        <w:jc w:val="left"/>
      </w:pPr>
      <w:r>
        <w:rPr/>
        <w:t>Fair</w:t>
      </w:r>
      <w:r>
        <w:rPr>
          <w:spacing w:val="-6"/>
        </w:rPr>
        <w:t> </w:t>
      </w:r>
      <w:r>
        <w:rPr/>
        <w:t>value</w:t>
      </w:r>
    </w:p>
    <w:p>
      <w:pPr>
        <w:pStyle w:val="BodyText"/>
        <w:spacing w:before="4"/>
        <w:rPr>
          <w:b/>
          <w:sz w:val="25"/>
        </w:rPr>
      </w:pPr>
    </w:p>
    <w:p>
      <w:pPr>
        <w:pStyle w:val="BodyText"/>
        <w:ind w:left="2390" w:right="1338"/>
      </w:pPr>
      <w:r>
        <w:rPr/>
        <w:drawing>
          <wp:anchor distT="0" distB="0" distL="0" distR="0" allowOverlap="1" layoutInCell="1" locked="0" behindDoc="0" simplePos="0" relativeHeight="2416">
            <wp:simplePos x="0" y="0"/>
            <wp:positionH relativeFrom="page">
              <wp:posOffset>-1587</wp:posOffset>
            </wp:positionH>
            <wp:positionV relativeFrom="paragraph">
              <wp:posOffset>790116</wp:posOffset>
            </wp:positionV>
            <wp:extent cx="135159" cy="154019"/>
            <wp:effectExtent l="0" t="0" r="0" b="0"/>
            <wp:wrapNone/>
            <wp:docPr id="111" name="image13.png" descr=""/>
            <wp:cNvGraphicFramePr>
              <a:graphicFrameLocks noChangeAspect="1"/>
            </wp:cNvGraphicFramePr>
            <a:graphic>
              <a:graphicData uri="http://schemas.openxmlformats.org/drawingml/2006/picture">
                <pic:pic>
                  <pic:nvPicPr>
                    <pic:cNvPr id="112" name="image13.png"/>
                    <pic:cNvPicPr/>
                  </pic:nvPicPr>
                  <pic:blipFill>
                    <a:blip r:embed="rId18" cstate="print"/>
                    <a:stretch>
                      <a:fillRect/>
                    </a:stretch>
                  </pic:blipFill>
                  <pic:spPr>
                    <a:xfrm>
                      <a:off x="0" y="0"/>
                      <a:ext cx="135159" cy="154019"/>
                    </a:xfrm>
                    <a:prstGeom prst="rect">
                      <a:avLst/>
                    </a:prstGeom>
                  </pic:spPr>
                </pic:pic>
              </a:graphicData>
            </a:graphic>
          </wp:anchor>
        </w:drawing>
      </w:r>
      <w:r>
        <w:rPr/>
        <w:drawing>
          <wp:anchor distT="0" distB="0" distL="0" distR="0" allowOverlap="1" layoutInCell="1" locked="0" behindDoc="0" simplePos="0" relativeHeight="2440">
            <wp:simplePos x="0" y="0"/>
            <wp:positionH relativeFrom="page">
              <wp:posOffset>7958429</wp:posOffset>
            </wp:positionH>
            <wp:positionV relativeFrom="paragraph">
              <wp:posOffset>790116</wp:posOffset>
            </wp:positionV>
            <wp:extent cx="135953" cy="155575"/>
            <wp:effectExtent l="0" t="0" r="0" b="0"/>
            <wp:wrapNone/>
            <wp:docPr id="113" name="image15.png" descr=""/>
            <wp:cNvGraphicFramePr>
              <a:graphicFrameLocks noChangeAspect="1"/>
            </wp:cNvGraphicFramePr>
            <a:graphic>
              <a:graphicData uri="http://schemas.openxmlformats.org/drawingml/2006/picture">
                <pic:pic>
                  <pic:nvPicPr>
                    <pic:cNvPr id="114" name="image15.png"/>
                    <pic:cNvPicPr/>
                  </pic:nvPicPr>
                  <pic:blipFill>
                    <a:blip r:embed="rId20" cstate="print"/>
                    <a:stretch>
                      <a:fillRect/>
                    </a:stretch>
                  </pic:blipFill>
                  <pic:spPr>
                    <a:xfrm>
                      <a:off x="0" y="0"/>
                      <a:ext cx="135953" cy="155575"/>
                    </a:xfrm>
                    <a:prstGeom prst="rect">
                      <a:avLst/>
                    </a:prstGeom>
                  </pic:spPr>
                </pic:pic>
              </a:graphicData>
            </a:graphic>
          </wp:anchor>
        </w:drawing>
      </w:r>
      <w:r>
        <w:rPr/>
        <w:t>The fair values of investments and other financial assets are based on quoted prices in an active market. If the market for a financial asset is not active (and for unlisted securities), the Group establishes fair value by using valuation techniques that maximise the use of relevant data. These include reference to the estimated price in an orderly transaction that would take place between market participants at the measurement date. Other valuation techniques used are the cost approach and the income approach based on characteristics of the asset and the assumptions made by market participants.</w:t>
      </w:r>
    </w:p>
    <w:p>
      <w:pPr>
        <w:pStyle w:val="BodyText"/>
        <w:spacing w:before="7"/>
        <w:rPr>
          <w:sz w:val="26"/>
        </w:rPr>
      </w:pPr>
    </w:p>
    <w:p>
      <w:pPr>
        <w:pStyle w:val="Heading8"/>
        <w:numPr>
          <w:ilvl w:val="1"/>
          <w:numId w:val="9"/>
        </w:numPr>
        <w:tabs>
          <w:tab w:pos="2758" w:val="left" w:leader="none"/>
        </w:tabs>
        <w:spacing w:line="240" w:lineRule="auto" w:before="0" w:after="0"/>
        <w:ind w:left="2757" w:right="0" w:hanging="367"/>
        <w:jc w:val="left"/>
      </w:pPr>
      <w:r>
        <w:rPr/>
        <w:t>Impairment</w:t>
      </w:r>
    </w:p>
    <w:p>
      <w:pPr>
        <w:pStyle w:val="BodyText"/>
        <w:spacing w:before="4"/>
        <w:rPr>
          <w:b/>
          <w:sz w:val="25"/>
        </w:rPr>
      </w:pPr>
    </w:p>
    <w:p>
      <w:pPr>
        <w:pStyle w:val="BodyText"/>
        <w:ind w:left="2390" w:right="1365"/>
      </w:pPr>
      <w:r>
        <w:rPr/>
        <w:t>The Group assesses at each balance date whether there is objective evidence that a financial asset or group of financial assets is impaired. In the case of equity securities classified as available-for-sale, a significant or prolonged decline in the fair value of a security below its cost is considered in determining whether the security is impaired.  If any such evidence exists for available-for-sale financial assets, the cumulative loss - measured as the difference between the acquisition cost and the current fair value, less any impairment loss on that financial </w:t>
      </w:r>
      <w:bookmarkStart w:name="(n) Non-current assets (or disposal grou" w:id="30"/>
      <w:bookmarkEnd w:id="30"/>
      <w:r>
        <w:rPr/>
      </w:r>
      <w:r>
        <w:rPr/>
        <w:t>asset previously recognised in profit and loss - is removed from equity and recognised in the income statement. Impairment losses recognised in the income statement on equity instruments are not reversed through the income statement.</w:t>
      </w:r>
    </w:p>
    <w:p>
      <w:pPr>
        <w:pStyle w:val="BodyText"/>
        <w:spacing w:before="11"/>
        <w:rPr>
          <w:sz w:val="24"/>
        </w:rPr>
      </w:pPr>
    </w:p>
    <w:p>
      <w:pPr>
        <w:pStyle w:val="Heading8"/>
        <w:numPr>
          <w:ilvl w:val="0"/>
          <w:numId w:val="11"/>
        </w:numPr>
        <w:tabs>
          <w:tab w:pos="2391" w:val="left" w:leader="none"/>
        </w:tabs>
        <w:spacing w:line="240" w:lineRule="auto" w:before="0" w:after="0"/>
        <w:ind w:left="2390" w:right="0" w:hanging="566"/>
        <w:jc w:val="left"/>
      </w:pPr>
      <w:r>
        <w:rPr/>
        <w:t>Non-current assets (or disposal groups) held for sale and discontinued operations</w:t>
      </w:r>
    </w:p>
    <w:p>
      <w:pPr>
        <w:pStyle w:val="BodyText"/>
        <w:spacing w:before="11"/>
        <w:rPr>
          <w:b/>
          <w:sz w:val="24"/>
        </w:rPr>
      </w:pPr>
    </w:p>
    <w:p>
      <w:pPr>
        <w:pStyle w:val="BodyText"/>
        <w:ind w:left="1823" w:right="1375"/>
      </w:pPr>
      <w:r>
        <w:rPr/>
        <w:t>Non-current assets (or disposal groups) are classified as held for sale and stated at the lower of their carrying amount and fair value less costs of disposal, if their carrying amount will be recovered principally through a sale transaction rather than through continuing use.</w:t>
      </w:r>
    </w:p>
    <w:p>
      <w:pPr>
        <w:pStyle w:val="BodyText"/>
        <w:spacing w:before="11"/>
        <w:rPr>
          <w:sz w:val="24"/>
        </w:rPr>
      </w:pPr>
    </w:p>
    <w:p>
      <w:pPr>
        <w:pStyle w:val="BodyText"/>
        <w:ind w:left="1823" w:right="1450"/>
      </w:pPr>
      <w:r>
        <w:rPr/>
        <w:t>An impairment loss is recognised for any initial or subsequent write down of the asset (or disposal group) to fair value less costs to sell. A gain is recognised for any subsequent increases in fair value less costs to sell of an asset (or disposal group), but not in excess of any cumulative impairment loss previously recognised. A gain or loss not previously recognised by the date of the sale of the non-current asset (or disposal group) is recognised at the date of derecognition.</w:t>
      </w:r>
    </w:p>
    <w:p>
      <w:pPr>
        <w:pStyle w:val="BodyText"/>
        <w:spacing w:before="11"/>
        <w:rPr>
          <w:sz w:val="24"/>
        </w:rPr>
      </w:pPr>
    </w:p>
    <w:p>
      <w:pPr>
        <w:pStyle w:val="BodyText"/>
        <w:ind w:left="1823" w:right="1375"/>
      </w:pPr>
      <w:r>
        <w:rPr/>
        <w:t>Non-current assets (including those that are part of a disposal group) are not depreciated or amortised while they are classified as held for sale. Interest and other expenses attributable to the liabilities of a disposal group classified as held for sale continue to be recognised.</w:t>
      </w:r>
    </w:p>
    <w:p>
      <w:pPr>
        <w:pStyle w:val="BodyText"/>
        <w:spacing w:before="11"/>
        <w:rPr>
          <w:sz w:val="24"/>
        </w:rPr>
      </w:pPr>
    </w:p>
    <w:p>
      <w:pPr>
        <w:pStyle w:val="BodyText"/>
        <w:ind w:left="1823" w:right="1407"/>
      </w:pPr>
      <w:r>
        <w:rPr/>
        <w:t>Non-current assets classified as held for sale and the assets of a disposal group classified as held for sale are presented separately from the other assets in the statement of financial position. The liabilities of a disposal group classified as held for sale are presented separately from other liabilities in the statement of financial position.</w:t>
      </w:r>
    </w:p>
    <w:p>
      <w:pPr>
        <w:spacing w:after="0"/>
        <w:sectPr>
          <w:pgSz w:w="12750" w:h="17680"/>
          <w:pgMar w:header="0" w:footer="927" w:top="2640" w:bottom="1120" w:left="0" w:right="0"/>
        </w:sectPr>
      </w:pPr>
    </w:p>
    <w:p>
      <w:pPr>
        <w:pStyle w:val="BodyText"/>
        <w:rPr>
          <w:sz w:val="20"/>
        </w:rPr>
      </w:pPr>
    </w:p>
    <w:p>
      <w:pPr>
        <w:pStyle w:val="BodyText"/>
        <w:rPr>
          <w:sz w:val="20"/>
        </w:rPr>
      </w:pPr>
    </w:p>
    <w:p>
      <w:pPr>
        <w:pStyle w:val="BodyText"/>
        <w:spacing w:before="4"/>
      </w:pPr>
    </w:p>
    <w:p>
      <w:pPr>
        <w:pStyle w:val="Heading8"/>
        <w:tabs>
          <w:tab w:pos="1823" w:val="left" w:leader="none"/>
        </w:tabs>
        <w:ind w:left="1429"/>
      </w:pPr>
      <w:bookmarkStart w:name="(o) Fair value measurement" w:id="31"/>
      <w:bookmarkEnd w:id="31"/>
      <w:r>
        <w:rPr>
          <w:b w:val="0"/>
        </w:rPr>
      </w:r>
      <w:r>
        <w:rPr/>
        <w:t>1</w:t>
        <w:tab/>
        <w:t>Summary of Significant Accounting Policies</w:t>
      </w:r>
      <w:r>
        <w:rPr>
          <w:spacing w:val="-6"/>
        </w:rPr>
        <w:t> </w:t>
      </w:r>
      <w:r>
        <w:rPr/>
        <w:t>(continued)</w:t>
      </w:r>
    </w:p>
    <w:p>
      <w:pPr>
        <w:pStyle w:val="BodyText"/>
        <w:spacing w:before="11"/>
        <w:rPr>
          <w:b/>
          <w:sz w:val="24"/>
        </w:rPr>
      </w:pPr>
    </w:p>
    <w:p>
      <w:pPr>
        <w:pStyle w:val="ListParagraph"/>
        <w:numPr>
          <w:ilvl w:val="0"/>
          <w:numId w:val="11"/>
        </w:numPr>
        <w:tabs>
          <w:tab w:pos="2391" w:val="left" w:leader="none"/>
        </w:tabs>
        <w:spacing w:line="240" w:lineRule="auto" w:before="0" w:after="0"/>
        <w:ind w:left="2390" w:right="0" w:hanging="566"/>
        <w:jc w:val="left"/>
        <w:rPr>
          <w:b/>
          <w:sz w:val="18"/>
        </w:rPr>
      </w:pPr>
      <w:r>
        <w:rPr>
          <w:b/>
          <w:sz w:val="18"/>
        </w:rPr>
        <w:t>Fair value</w:t>
      </w:r>
      <w:r>
        <w:rPr>
          <w:b/>
          <w:spacing w:val="-21"/>
          <w:sz w:val="18"/>
        </w:rPr>
        <w:t> </w:t>
      </w:r>
      <w:r>
        <w:rPr>
          <w:b/>
          <w:sz w:val="18"/>
        </w:rPr>
        <w:t>measurement</w:t>
      </w:r>
    </w:p>
    <w:p>
      <w:pPr>
        <w:pStyle w:val="BodyText"/>
        <w:spacing w:before="11"/>
        <w:rPr>
          <w:b/>
          <w:sz w:val="24"/>
        </w:rPr>
      </w:pPr>
    </w:p>
    <w:p>
      <w:pPr>
        <w:pStyle w:val="BodyText"/>
        <w:ind w:left="1824"/>
      </w:pPr>
      <w:r>
        <w:rPr/>
        <w:t>The fair value of assets and liabilities must be measured for recognition and disclosure purposes.</w:t>
      </w:r>
    </w:p>
    <w:p>
      <w:pPr>
        <w:pStyle w:val="BodyText"/>
        <w:spacing w:before="11"/>
        <w:rPr>
          <w:sz w:val="24"/>
        </w:rPr>
      </w:pPr>
    </w:p>
    <w:p>
      <w:pPr>
        <w:pStyle w:val="BodyText"/>
        <w:ind w:left="1823" w:right="1407"/>
      </w:pPr>
      <w:r>
        <w:rPr/>
        <w:t>The Group classifies fair value measurements using a fair value hierarchy that reflects the significance of the inputs used in making the measurements.</w:t>
      </w:r>
    </w:p>
    <w:p>
      <w:pPr>
        <w:pStyle w:val="BodyText"/>
        <w:spacing w:before="11"/>
        <w:rPr>
          <w:sz w:val="24"/>
        </w:rPr>
      </w:pPr>
    </w:p>
    <w:p>
      <w:pPr>
        <w:pStyle w:val="BodyText"/>
        <w:ind w:left="1823" w:right="1357"/>
      </w:pPr>
      <w:r>
        <w:rPr/>
        <w:t>The fair value of assets or liabilities traded in active markets (such as publicly traded derivatives, and trading and available-for-sale securities) is based on quoted market prices for identical assets or liabilities at the end of the reporting date (Level 1). The quoted market price used for assets held by the Group is the most representative of fair value in the circumstances within the bid-ask spread.</w:t>
      </w:r>
    </w:p>
    <w:p>
      <w:pPr>
        <w:pStyle w:val="BodyText"/>
        <w:spacing w:before="11"/>
        <w:rPr>
          <w:sz w:val="24"/>
        </w:rPr>
      </w:pPr>
    </w:p>
    <w:p>
      <w:pPr>
        <w:pStyle w:val="BodyText"/>
        <w:ind w:left="1823" w:right="1351"/>
      </w:pPr>
      <w:r>
        <w:rPr/>
        <w:t>The fair value of assets or liabilities that are not traded in an active market are determined using valuation techniques. The Group uses a variety of methods and makes assumptions that are based on market conditions existing at each balance date. Quoted market prices or dealer quotes for similar instruments (Level 2) are used for long-term debt instruments held. Other techniques that are not based on observable market data (Level 3) such as estimated discounted cash flows, are used to determine fair value for the remaining assets and liabilities. The level in the fair value hierarchy shall be determined on the basis of the lowest level input that is significant to the fair value measurement in its entirety.</w:t>
      </w:r>
    </w:p>
    <w:p>
      <w:pPr>
        <w:pStyle w:val="BodyText"/>
        <w:spacing w:before="11"/>
        <w:rPr>
          <w:sz w:val="24"/>
        </w:rPr>
      </w:pPr>
    </w:p>
    <w:p>
      <w:pPr>
        <w:pStyle w:val="BodyText"/>
        <w:ind w:left="1823" w:right="1338"/>
      </w:pPr>
      <w:r>
        <w:rPr/>
        <w:drawing>
          <wp:anchor distT="0" distB="0" distL="0" distR="0" allowOverlap="1" layoutInCell="1" locked="0" behindDoc="0" simplePos="0" relativeHeight="2464">
            <wp:simplePos x="0" y="0"/>
            <wp:positionH relativeFrom="page">
              <wp:posOffset>-1587</wp:posOffset>
            </wp:positionH>
            <wp:positionV relativeFrom="paragraph">
              <wp:posOffset>232332</wp:posOffset>
            </wp:positionV>
            <wp:extent cx="136525" cy="155575"/>
            <wp:effectExtent l="0" t="0" r="0" b="0"/>
            <wp:wrapNone/>
            <wp:docPr id="115" name="image13.png" descr=""/>
            <wp:cNvGraphicFramePr>
              <a:graphicFrameLocks noChangeAspect="1"/>
            </wp:cNvGraphicFramePr>
            <a:graphic>
              <a:graphicData uri="http://schemas.openxmlformats.org/drawingml/2006/picture">
                <pic:pic>
                  <pic:nvPicPr>
                    <pic:cNvPr id="116" name="image13.png"/>
                    <pic:cNvPicPr/>
                  </pic:nvPicPr>
                  <pic:blipFill>
                    <a:blip r:embed="rId18" cstate="print"/>
                    <a:stretch>
                      <a:fillRect/>
                    </a:stretch>
                  </pic:blipFill>
                  <pic:spPr>
                    <a:xfrm>
                      <a:off x="0" y="0"/>
                      <a:ext cx="136525" cy="155575"/>
                    </a:xfrm>
                    <a:prstGeom prst="rect">
                      <a:avLst/>
                    </a:prstGeom>
                  </pic:spPr>
                </pic:pic>
              </a:graphicData>
            </a:graphic>
          </wp:anchor>
        </w:drawing>
      </w:r>
      <w:r>
        <w:rPr/>
        <w:drawing>
          <wp:anchor distT="0" distB="0" distL="0" distR="0" allowOverlap="1" layoutInCell="1" locked="0" behindDoc="0" simplePos="0" relativeHeight="2488">
            <wp:simplePos x="0" y="0"/>
            <wp:positionH relativeFrom="page">
              <wp:posOffset>7958429</wp:posOffset>
            </wp:positionH>
            <wp:positionV relativeFrom="paragraph">
              <wp:posOffset>232332</wp:posOffset>
            </wp:positionV>
            <wp:extent cx="135953" cy="155575"/>
            <wp:effectExtent l="0" t="0" r="0" b="0"/>
            <wp:wrapNone/>
            <wp:docPr id="117" name="image15.png" descr=""/>
            <wp:cNvGraphicFramePr>
              <a:graphicFrameLocks noChangeAspect="1"/>
            </wp:cNvGraphicFramePr>
            <a:graphic>
              <a:graphicData uri="http://schemas.openxmlformats.org/drawingml/2006/picture">
                <pic:pic>
                  <pic:nvPicPr>
                    <pic:cNvPr id="118" name="image15.png"/>
                    <pic:cNvPicPr/>
                  </pic:nvPicPr>
                  <pic:blipFill>
                    <a:blip r:embed="rId20" cstate="print"/>
                    <a:stretch>
                      <a:fillRect/>
                    </a:stretch>
                  </pic:blipFill>
                  <pic:spPr>
                    <a:xfrm>
                      <a:off x="0" y="0"/>
                      <a:ext cx="135953" cy="155575"/>
                    </a:xfrm>
                    <a:prstGeom prst="rect">
                      <a:avLst/>
                    </a:prstGeom>
                  </pic:spPr>
                </pic:pic>
              </a:graphicData>
            </a:graphic>
          </wp:anchor>
        </w:drawing>
      </w:r>
      <w:r>
        <w:rPr/>
        <w:t>Fair value measurement of non-financial assets is based on the highest and best use of the asset. The Group considers market participants' use of, or purchase price, of the asset to be in a manner that would be highest and best use.</w:t>
      </w:r>
    </w:p>
    <w:p>
      <w:pPr>
        <w:pStyle w:val="BodyText"/>
        <w:spacing w:before="11"/>
        <w:rPr>
          <w:sz w:val="24"/>
        </w:rPr>
      </w:pPr>
    </w:p>
    <w:p>
      <w:pPr>
        <w:pStyle w:val="BodyText"/>
        <w:ind w:left="1823" w:right="1375"/>
      </w:pPr>
      <w:r>
        <w:rPr/>
        <w:t>The carrying value less impairment provision of trade receivables and payables are assumed to approximate their fair </w:t>
      </w:r>
      <w:bookmarkStart w:name="(p) Property, Plant and Equipment" w:id="32"/>
      <w:bookmarkEnd w:id="32"/>
      <w:r>
        <w:rPr/>
      </w:r>
      <w:r>
        <w:rPr/>
        <w:t>values due to their short-term nature. The fair value of financial liabilities for disclosure purposes is estimated by discounting the future contractual cash flows at the current market interest rate that is available to the Group for similar financial instruments.</w:t>
      </w:r>
    </w:p>
    <w:p>
      <w:pPr>
        <w:pStyle w:val="BodyText"/>
        <w:spacing w:before="11"/>
        <w:rPr>
          <w:sz w:val="24"/>
        </w:rPr>
      </w:pPr>
    </w:p>
    <w:p>
      <w:pPr>
        <w:pStyle w:val="Heading8"/>
        <w:numPr>
          <w:ilvl w:val="0"/>
          <w:numId w:val="11"/>
        </w:numPr>
        <w:tabs>
          <w:tab w:pos="2391" w:val="left" w:leader="none"/>
        </w:tabs>
        <w:spacing w:line="240" w:lineRule="auto" w:before="0" w:after="0"/>
        <w:ind w:left="2390" w:right="0" w:hanging="566"/>
        <w:jc w:val="left"/>
      </w:pPr>
      <w:r>
        <w:rPr/>
        <w:t>Property, Plant and Equipment</w:t>
      </w:r>
    </w:p>
    <w:p>
      <w:pPr>
        <w:pStyle w:val="BodyText"/>
        <w:spacing w:before="11"/>
        <w:rPr>
          <w:b/>
          <w:sz w:val="24"/>
        </w:rPr>
      </w:pPr>
    </w:p>
    <w:p>
      <w:pPr>
        <w:pStyle w:val="BodyText"/>
        <w:ind w:left="1824" w:right="1450"/>
      </w:pPr>
      <w:r>
        <w:rPr/>
        <w:t>Land, buildings and the art collection are capitalised and shown at fair value, based on periodic, but at least triennial, valuations by external independent valuers, less subsequent depreciation for buildings. Any accumulated depreciation at the date of revaluation is eliminated against the gross carrying amount of the asset and the carrying amount is restated to the revalued amount of the asset.</w:t>
      </w:r>
    </w:p>
    <w:p>
      <w:pPr>
        <w:pStyle w:val="BodyText"/>
        <w:spacing w:before="11"/>
        <w:rPr>
          <w:sz w:val="24"/>
        </w:rPr>
      </w:pPr>
    </w:p>
    <w:p>
      <w:pPr>
        <w:pStyle w:val="BodyText"/>
        <w:ind w:left="1823" w:right="1375"/>
      </w:pPr>
      <w:r>
        <w:rPr/>
        <w:t>Valuation for land and new or refurbished buildings was undertaken as at 30 September 2016 by Global Valuation Services Pty Ltd. Land and buildings were revalued on the basis of highest and best use.</w:t>
      </w:r>
    </w:p>
    <w:p>
      <w:pPr>
        <w:pStyle w:val="BodyText"/>
        <w:spacing w:before="11"/>
        <w:rPr>
          <w:sz w:val="24"/>
        </w:rPr>
      </w:pPr>
    </w:p>
    <w:p>
      <w:pPr>
        <w:pStyle w:val="BodyText"/>
        <w:ind w:left="1823" w:right="1450"/>
      </w:pPr>
      <w:r>
        <w:rPr/>
        <w:t>For non completed assets, construction costs totalling $50.306M incurred up to the reporting date were capitalised subsequent to the buildings revaluation. The scope of the valuation did not include revaluation of these buildings. The value of these refurbished buildings is based on the 31 December 2015 revaluation by Global Valuation Services Pty Ltd plus the construction costs capitalised in late 2016.</w:t>
      </w:r>
    </w:p>
    <w:p>
      <w:pPr>
        <w:pStyle w:val="BodyText"/>
        <w:spacing w:before="11"/>
        <w:rPr>
          <w:sz w:val="24"/>
        </w:rPr>
      </w:pPr>
    </w:p>
    <w:p>
      <w:pPr>
        <w:pStyle w:val="BodyText"/>
        <w:ind w:left="1823" w:right="1397"/>
        <w:jc w:val="both"/>
      </w:pPr>
      <w:r>
        <w:rPr/>
        <w:t>The Group undertakes a regular review of its land holdings in light of the future academic footprint of the University. Re- evaluation</w:t>
      </w:r>
      <w:r>
        <w:rPr>
          <w:spacing w:val="-6"/>
        </w:rPr>
        <w:t> </w:t>
      </w:r>
      <w:r>
        <w:rPr/>
        <w:t>may</w:t>
      </w:r>
      <w:r>
        <w:rPr>
          <w:spacing w:val="-6"/>
        </w:rPr>
        <w:t> </w:t>
      </w:r>
      <w:r>
        <w:rPr/>
        <w:t>be</w:t>
      </w:r>
      <w:r>
        <w:rPr>
          <w:spacing w:val="-6"/>
        </w:rPr>
        <w:t> </w:t>
      </w:r>
      <w:r>
        <w:rPr/>
        <w:t>undertaken</w:t>
      </w:r>
      <w:r>
        <w:rPr>
          <w:spacing w:val="-6"/>
        </w:rPr>
        <w:t> </w:t>
      </w:r>
      <w:r>
        <w:rPr/>
        <w:t>from</w:t>
      </w:r>
      <w:r>
        <w:rPr>
          <w:spacing w:val="-6"/>
        </w:rPr>
        <w:t> </w:t>
      </w:r>
      <w:r>
        <w:rPr/>
        <w:t>time</w:t>
      </w:r>
      <w:r>
        <w:rPr>
          <w:spacing w:val="-6"/>
        </w:rPr>
        <w:t> </w:t>
      </w:r>
      <w:r>
        <w:rPr/>
        <w:t>to</w:t>
      </w:r>
      <w:r>
        <w:rPr>
          <w:spacing w:val="-6"/>
        </w:rPr>
        <w:t> </w:t>
      </w:r>
      <w:r>
        <w:rPr/>
        <w:t>time</w:t>
      </w:r>
      <w:r>
        <w:rPr>
          <w:spacing w:val="-6"/>
        </w:rPr>
        <w:t> </w:t>
      </w:r>
      <w:r>
        <w:rPr/>
        <w:t>on</w:t>
      </w:r>
      <w:r>
        <w:rPr>
          <w:spacing w:val="-6"/>
        </w:rPr>
        <w:t> </w:t>
      </w:r>
      <w:r>
        <w:rPr/>
        <w:t>land</w:t>
      </w:r>
      <w:r>
        <w:rPr>
          <w:spacing w:val="-6"/>
        </w:rPr>
        <w:t> </w:t>
      </w:r>
      <w:r>
        <w:rPr/>
        <w:t>originally</w:t>
      </w:r>
      <w:r>
        <w:rPr>
          <w:spacing w:val="-6"/>
        </w:rPr>
        <w:t> </w:t>
      </w:r>
      <w:r>
        <w:rPr/>
        <w:t>designated</w:t>
      </w:r>
      <w:r>
        <w:rPr>
          <w:spacing w:val="-6"/>
        </w:rPr>
        <w:t> </w:t>
      </w:r>
      <w:r>
        <w:rPr/>
        <w:t>for</w:t>
      </w:r>
      <w:r>
        <w:rPr>
          <w:spacing w:val="-6"/>
        </w:rPr>
        <w:t> </w:t>
      </w:r>
      <w:r>
        <w:rPr/>
        <w:t>educational</w:t>
      </w:r>
      <w:r>
        <w:rPr>
          <w:spacing w:val="-6"/>
        </w:rPr>
        <w:t> </w:t>
      </w:r>
      <w:r>
        <w:rPr/>
        <w:t>use</w:t>
      </w:r>
      <w:r>
        <w:rPr>
          <w:spacing w:val="-6"/>
        </w:rPr>
        <w:t> </w:t>
      </w:r>
      <w:r>
        <w:rPr/>
        <w:t>with</w:t>
      </w:r>
      <w:r>
        <w:rPr>
          <w:spacing w:val="-6"/>
        </w:rPr>
        <w:t> </w:t>
      </w:r>
      <w:r>
        <w:rPr/>
        <w:t>a</w:t>
      </w:r>
      <w:r>
        <w:rPr>
          <w:spacing w:val="-6"/>
        </w:rPr>
        <w:t> </w:t>
      </w:r>
      <w:r>
        <w:rPr/>
        <w:t>view</w:t>
      </w:r>
      <w:r>
        <w:rPr>
          <w:spacing w:val="-9"/>
        </w:rPr>
        <w:t> </w:t>
      </w:r>
      <w:r>
        <w:rPr/>
        <w:t>to</w:t>
      </w:r>
      <w:r>
        <w:rPr>
          <w:spacing w:val="-6"/>
        </w:rPr>
        <w:t> </w:t>
      </w:r>
      <w:r>
        <w:rPr/>
        <w:t>realising monies to fund infrastructure requirements via sale and or joint development, following appropriate re zoning of the land to allow alternate</w:t>
      </w:r>
      <w:r>
        <w:rPr>
          <w:spacing w:val="-26"/>
        </w:rPr>
        <w:t> </w:t>
      </w:r>
      <w:r>
        <w:rPr/>
        <w:t>uses.</w:t>
      </w:r>
    </w:p>
    <w:p>
      <w:pPr>
        <w:spacing w:after="0"/>
        <w:jc w:val="both"/>
        <w:sectPr>
          <w:pgSz w:w="12750" w:h="17680"/>
          <w:pgMar w:header="0" w:footer="927" w:top="2640" w:bottom="1120" w:left="0" w:right="0"/>
        </w:sectPr>
      </w:pPr>
    </w:p>
    <w:p>
      <w:pPr>
        <w:pStyle w:val="BodyText"/>
        <w:rPr>
          <w:sz w:val="20"/>
        </w:rPr>
      </w:pPr>
    </w:p>
    <w:p>
      <w:pPr>
        <w:pStyle w:val="BodyText"/>
        <w:rPr>
          <w:sz w:val="20"/>
        </w:rPr>
      </w:pPr>
    </w:p>
    <w:p>
      <w:pPr>
        <w:pStyle w:val="BodyText"/>
        <w:spacing w:before="4"/>
      </w:pPr>
    </w:p>
    <w:p>
      <w:pPr>
        <w:pStyle w:val="Heading8"/>
        <w:tabs>
          <w:tab w:pos="1823" w:val="left" w:leader="none"/>
        </w:tabs>
        <w:ind w:left="1429"/>
      </w:pPr>
      <w:r>
        <w:rPr/>
        <w:t>1</w:t>
        <w:tab/>
        <w:t>Summary of Significant Accounting Policies</w:t>
      </w:r>
      <w:r>
        <w:rPr>
          <w:spacing w:val="-6"/>
        </w:rPr>
        <w:t> </w:t>
      </w:r>
      <w:r>
        <w:rPr/>
        <w:t>(continued)</w:t>
      </w:r>
    </w:p>
    <w:p>
      <w:pPr>
        <w:pStyle w:val="BodyText"/>
        <w:spacing w:before="11"/>
        <w:rPr>
          <w:b/>
          <w:sz w:val="24"/>
        </w:rPr>
      </w:pPr>
    </w:p>
    <w:p>
      <w:pPr>
        <w:tabs>
          <w:tab w:pos="2390" w:val="left" w:leader="none"/>
        </w:tabs>
        <w:spacing w:before="0"/>
        <w:ind w:left="1824" w:right="0" w:firstLine="0"/>
        <w:jc w:val="left"/>
        <w:rPr>
          <w:b/>
          <w:sz w:val="18"/>
        </w:rPr>
      </w:pPr>
      <w:r>
        <w:rPr>
          <w:b/>
          <w:sz w:val="18"/>
        </w:rPr>
        <w:t>(p)</w:t>
        <w:tab/>
        <w:t>Property, Plant and Equipment (continued)</w:t>
      </w:r>
    </w:p>
    <w:p>
      <w:pPr>
        <w:pStyle w:val="BodyText"/>
        <w:spacing w:before="11"/>
        <w:rPr>
          <w:b/>
          <w:sz w:val="24"/>
        </w:rPr>
      </w:pPr>
    </w:p>
    <w:p>
      <w:pPr>
        <w:pStyle w:val="BodyText"/>
        <w:ind w:left="1823" w:right="1375"/>
      </w:pPr>
      <w:r>
        <w:rPr/>
        <w:t>The fair value of land is the amount for which the land could be exchanged between willing parties in an arms length transaction, based on market prices for similar properties, with similar zoning, in comparable locations and condition. The Group expects that the fair value of land already rezoned to allow for alternate use shall be different to land available for educational use only. Valuers engaged to determine the fair value of the land have taken into account the intended use and ultimate disposal of the land, as applicable.</w:t>
      </w:r>
    </w:p>
    <w:p>
      <w:pPr>
        <w:pStyle w:val="BodyText"/>
        <w:spacing w:before="11"/>
        <w:rPr>
          <w:sz w:val="24"/>
        </w:rPr>
      </w:pPr>
    </w:p>
    <w:p>
      <w:pPr>
        <w:pStyle w:val="BodyText"/>
        <w:ind w:left="1823" w:right="1407"/>
      </w:pPr>
      <w:r>
        <w:rPr/>
        <w:t>Due to the specialised nature of buildings and the lack of directly comparable sales evidence, the 30 September 2016 valuation for new and refurbished buildings was undertaken utilising the Summation Valuation approach, whereby the cost to construct improvements as new is estimated and that amount depreciated, after taking into consideration the nature and design of the improvements, their age and the current condition. In determining the value for each building the exterior dimensions of each building were calculated from the detailed room specifications maintained by the University and extrapolated by the valuer's knowledge of current building rates on a square metre basis. The resultant value as at reporting date was then adjusted for the estimated remaining useful life of each building. The Depreciated Replacement Cost of the improvements was then added to the underlying land value, which was derived after analysis of comparable sales evidence.</w:t>
      </w:r>
    </w:p>
    <w:p>
      <w:pPr>
        <w:pStyle w:val="BodyText"/>
        <w:spacing w:before="11"/>
        <w:rPr>
          <w:sz w:val="24"/>
        </w:rPr>
      </w:pPr>
    </w:p>
    <w:p>
      <w:pPr>
        <w:pStyle w:val="BodyText"/>
        <w:ind w:left="1824" w:right="1375"/>
      </w:pPr>
      <w:r>
        <w:rPr/>
        <w:t>In valuing the art collection, Adrienne Carlson, Valuer utilised certain historical facts and relevant market data available up to the date of the valuation. The most recent valuation was completed as at 31 December 2016.</w:t>
      </w:r>
    </w:p>
    <w:p>
      <w:pPr>
        <w:pStyle w:val="BodyText"/>
        <w:spacing w:before="11"/>
        <w:rPr>
          <w:sz w:val="24"/>
        </w:rPr>
      </w:pPr>
    </w:p>
    <w:p>
      <w:pPr>
        <w:pStyle w:val="BodyText"/>
        <w:ind w:left="1824" w:right="1375"/>
      </w:pPr>
      <w:r>
        <w:rPr/>
        <w:drawing>
          <wp:anchor distT="0" distB="0" distL="0" distR="0" allowOverlap="1" layoutInCell="1" locked="0" behindDoc="0" simplePos="0" relativeHeight="2512">
            <wp:simplePos x="0" y="0"/>
            <wp:positionH relativeFrom="page">
              <wp:posOffset>-1587</wp:posOffset>
            </wp:positionH>
            <wp:positionV relativeFrom="paragraph">
              <wp:posOffset>153084</wp:posOffset>
            </wp:positionV>
            <wp:extent cx="136525" cy="155575"/>
            <wp:effectExtent l="0" t="0" r="0" b="0"/>
            <wp:wrapNone/>
            <wp:docPr id="119" name="image13.png" descr=""/>
            <wp:cNvGraphicFramePr>
              <a:graphicFrameLocks noChangeAspect="1"/>
            </wp:cNvGraphicFramePr>
            <a:graphic>
              <a:graphicData uri="http://schemas.openxmlformats.org/drawingml/2006/picture">
                <pic:pic>
                  <pic:nvPicPr>
                    <pic:cNvPr id="120" name="image13.png"/>
                    <pic:cNvPicPr/>
                  </pic:nvPicPr>
                  <pic:blipFill>
                    <a:blip r:embed="rId18" cstate="print"/>
                    <a:stretch>
                      <a:fillRect/>
                    </a:stretch>
                  </pic:blipFill>
                  <pic:spPr>
                    <a:xfrm>
                      <a:off x="0" y="0"/>
                      <a:ext cx="136525" cy="155575"/>
                    </a:xfrm>
                    <a:prstGeom prst="rect">
                      <a:avLst/>
                    </a:prstGeom>
                  </pic:spPr>
                </pic:pic>
              </a:graphicData>
            </a:graphic>
          </wp:anchor>
        </w:drawing>
      </w:r>
      <w:r>
        <w:rPr/>
        <w:drawing>
          <wp:anchor distT="0" distB="0" distL="0" distR="0" allowOverlap="1" layoutInCell="1" locked="0" behindDoc="0" simplePos="0" relativeHeight="2536">
            <wp:simplePos x="0" y="0"/>
            <wp:positionH relativeFrom="page">
              <wp:posOffset>7958429</wp:posOffset>
            </wp:positionH>
            <wp:positionV relativeFrom="paragraph">
              <wp:posOffset>153084</wp:posOffset>
            </wp:positionV>
            <wp:extent cx="135953" cy="155575"/>
            <wp:effectExtent l="0" t="0" r="0" b="0"/>
            <wp:wrapNone/>
            <wp:docPr id="121" name="image15.png" descr=""/>
            <wp:cNvGraphicFramePr>
              <a:graphicFrameLocks noChangeAspect="1"/>
            </wp:cNvGraphicFramePr>
            <a:graphic>
              <a:graphicData uri="http://schemas.openxmlformats.org/drawingml/2006/picture">
                <pic:pic>
                  <pic:nvPicPr>
                    <pic:cNvPr id="122" name="image15.png"/>
                    <pic:cNvPicPr/>
                  </pic:nvPicPr>
                  <pic:blipFill>
                    <a:blip r:embed="rId20" cstate="print"/>
                    <a:stretch>
                      <a:fillRect/>
                    </a:stretch>
                  </pic:blipFill>
                  <pic:spPr>
                    <a:xfrm>
                      <a:off x="0" y="0"/>
                      <a:ext cx="135953" cy="155575"/>
                    </a:xfrm>
                    <a:prstGeom prst="rect">
                      <a:avLst/>
                    </a:prstGeom>
                  </pic:spPr>
                </pic:pic>
              </a:graphicData>
            </a:graphic>
          </wp:anchor>
        </w:drawing>
      </w:r>
      <w:r>
        <w:rPr/>
        <w:t>All other plant and equipment is stated at historical cost less depreciation. Historical cost includes expenditure that is directly attributable to the acquisition of the items.</w:t>
      </w:r>
    </w:p>
    <w:p>
      <w:pPr>
        <w:pStyle w:val="BodyText"/>
        <w:spacing w:before="11"/>
        <w:rPr>
          <w:sz w:val="24"/>
        </w:rPr>
      </w:pPr>
    </w:p>
    <w:p>
      <w:pPr>
        <w:pStyle w:val="BodyText"/>
        <w:ind w:left="1824" w:right="1375"/>
      </w:pPr>
      <w:r>
        <w:rPr/>
        <w:t>Subsequent costs are included in the asset’s carrying amount or recognised as a separate asset, as appropriate, only when it is probable that future economic benefits associated with the item will flow to the Group and the cost of the item can be measured reliably. All other repairs and maintenance are charged to the income statement during the financial period in which they are incurred.</w:t>
      </w:r>
    </w:p>
    <w:p>
      <w:pPr>
        <w:pStyle w:val="BodyText"/>
        <w:spacing w:before="11"/>
        <w:rPr>
          <w:sz w:val="24"/>
        </w:rPr>
      </w:pPr>
    </w:p>
    <w:p>
      <w:pPr>
        <w:pStyle w:val="BodyText"/>
        <w:ind w:left="1824" w:right="1375"/>
      </w:pPr>
      <w:r>
        <w:rPr/>
        <w:t>Increases in the carrying amounts arising on revaluation of land and buildings are recognised in other comprehensive income and accumulated equity under the heading of revaluation surplus. To the extent that the increase reverses a decrease previously recognised in the income statement, the increase is first recognised in the income statement.</w:t>
      </w:r>
    </w:p>
    <w:p>
      <w:pPr>
        <w:pStyle w:val="BodyText"/>
        <w:ind w:left="1824" w:right="1375"/>
      </w:pPr>
      <w:r>
        <w:rPr/>
        <w:t>Decreases that reverse previous increases of the same class of asset are firstly recognised in other comprehensive income to the extent of the remaining reserve attributable to the asset. All other decreases are expensed in the income statement.</w:t>
      </w:r>
    </w:p>
    <w:p>
      <w:pPr>
        <w:spacing w:after="0"/>
        <w:sectPr>
          <w:pgSz w:w="12750" w:h="17680"/>
          <w:pgMar w:header="0" w:footer="927" w:top="2640" w:bottom="1120" w:left="0" w:right="0"/>
        </w:sectPr>
      </w:pPr>
    </w:p>
    <w:p>
      <w:pPr>
        <w:pStyle w:val="BodyText"/>
        <w:rPr>
          <w:sz w:val="20"/>
        </w:rPr>
      </w:pPr>
    </w:p>
    <w:p>
      <w:pPr>
        <w:pStyle w:val="BodyText"/>
        <w:rPr>
          <w:sz w:val="20"/>
        </w:rPr>
      </w:pPr>
    </w:p>
    <w:p>
      <w:pPr>
        <w:pStyle w:val="BodyText"/>
        <w:spacing w:before="4"/>
      </w:pPr>
    </w:p>
    <w:p>
      <w:pPr>
        <w:pStyle w:val="Heading8"/>
        <w:tabs>
          <w:tab w:pos="1823" w:val="left" w:leader="none"/>
        </w:tabs>
        <w:ind w:left="1429"/>
      </w:pPr>
      <w:r>
        <w:rPr/>
        <w:t>1</w:t>
        <w:tab/>
        <w:t>Summary of Significant Accounting Policies</w:t>
      </w:r>
      <w:r>
        <w:rPr>
          <w:spacing w:val="-6"/>
        </w:rPr>
        <w:t> </w:t>
      </w:r>
      <w:r>
        <w:rPr/>
        <w:t>(continued)</w:t>
      </w:r>
    </w:p>
    <w:p>
      <w:pPr>
        <w:pStyle w:val="BodyText"/>
        <w:spacing w:before="11"/>
        <w:rPr>
          <w:b/>
          <w:sz w:val="24"/>
        </w:rPr>
      </w:pPr>
    </w:p>
    <w:p>
      <w:pPr>
        <w:pStyle w:val="ListParagraph"/>
        <w:numPr>
          <w:ilvl w:val="0"/>
          <w:numId w:val="12"/>
        </w:numPr>
        <w:tabs>
          <w:tab w:pos="2391" w:val="left" w:leader="none"/>
        </w:tabs>
        <w:spacing w:line="240" w:lineRule="auto" w:before="0" w:after="0"/>
        <w:ind w:left="2390" w:right="0" w:hanging="566"/>
        <w:jc w:val="left"/>
        <w:rPr>
          <w:b/>
          <w:sz w:val="18"/>
        </w:rPr>
      </w:pPr>
      <w:r>
        <w:rPr>
          <w:b/>
          <w:sz w:val="18"/>
        </w:rPr>
        <w:t>Property, Plant and Equipment (continued)</w:t>
      </w:r>
    </w:p>
    <w:p>
      <w:pPr>
        <w:pStyle w:val="BodyText"/>
        <w:spacing w:before="11"/>
        <w:rPr>
          <w:b/>
          <w:sz w:val="24"/>
        </w:rPr>
      </w:pPr>
    </w:p>
    <w:p>
      <w:pPr>
        <w:pStyle w:val="BodyText"/>
        <w:ind w:left="1824" w:right="1450"/>
      </w:pPr>
      <w:r>
        <w:rPr/>
        <w:t>Land and the art collection are not depreciated. Depreciation on other assets is calculated using the straight line method to allocate their cost or revalued amounts, over their estimated useful lives, as follows:</w:t>
      </w:r>
    </w:p>
    <w:p>
      <w:pPr>
        <w:pStyle w:val="BodyText"/>
        <w:rPr>
          <w:sz w:val="20"/>
        </w:rPr>
      </w:pPr>
    </w:p>
    <w:p>
      <w:pPr>
        <w:pStyle w:val="BodyText"/>
        <w:spacing w:before="8"/>
      </w:pPr>
    </w:p>
    <w:tbl>
      <w:tblPr>
        <w:tblW w:w="0" w:type="auto"/>
        <w:jc w:val="left"/>
        <w:tblInd w:w="235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703"/>
        <w:gridCol w:w="1359"/>
        <w:gridCol w:w="1156"/>
      </w:tblGrid>
      <w:tr>
        <w:trPr>
          <w:trHeight w:val="323" w:hRule="exact"/>
        </w:trPr>
        <w:tc>
          <w:tcPr>
            <w:tcW w:w="3703" w:type="dxa"/>
          </w:tcPr>
          <w:p>
            <w:pPr>
              <w:pStyle w:val="TableParagraph"/>
              <w:spacing w:before="78"/>
              <w:ind w:left="35" w:right="96"/>
              <w:jc w:val="left"/>
              <w:rPr>
                <w:b/>
                <w:sz w:val="18"/>
              </w:rPr>
            </w:pPr>
            <w:r>
              <w:rPr>
                <w:b/>
                <w:sz w:val="18"/>
              </w:rPr>
              <w:t>Life</w:t>
            </w:r>
          </w:p>
        </w:tc>
        <w:tc>
          <w:tcPr>
            <w:tcW w:w="1359" w:type="dxa"/>
          </w:tcPr>
          <w:p>
            <w:pPr>
              <w:pStyle w:val="TableParagraph"/>
              <w:spacing w:before="77"/>
              <w:ind w:right="173"/>
              <w:rPr>
                <w:b/>
                <w:sz w:val="18"/>
              </w:rPr>
            </w:pPr>
            <w:r>
              <w:rPr>
                <w:b/>
                <w:sz w:val="18"/>
              </w:rPr>
              <w:t>2016</w:t>
            </w:r>
          </w:p>
        </w:tc>
        <w:tc>
          <w:tcPr>
            <w:tcW w:w="1156" w:type="dxa"/>
          </w:tcPr>
          <w:p>
            <w:pPr>
              <w:pStyle w:val="TableParagraph"/>
              <w:spacing w:before="77"/>
              <w:ind w:right="33"/>
              <w:rPr>
                <w:b/>
                <w:sz w:val="18"/>
              </w:rPr>
            </w:pPr>
            <w:r>
              <w:rPr>
                <w:b/>
                <w:sz w:val="18"/>
              </w:rPr>
              <w:t>2015</w:t>
            </w:r>
          </w:p>
        </w:tc>
      </w:tr>
      <w:tr>
        <w:trPr>
          <w:trHeight w:val="264" w:hRule="exact"/>
        </w:trPr>
        <w:tc>
          <w:tcPr>
            <w:tcW w:w="3703" w:type="dxa"/>
          </w:tcPr>
          <w:p>
            <w:pPr>
              <w:pStyle w:val="TableParagraph"/>
              <w:spacing w:before="19"/>
              <w:ind w:left="35" w:right="96"/>
              <w:jc w:val="left"/>
              <w:rPr>
                <w:sz w:val="18"/>
              </w:rPr>
            </w:pPr>
            <w:r>
              <w:rPr>
                <w:sz w:val="18"/>
              </w:rPr>
              <w:t>Computing (Mainframe &amp; Networking)</w:t>
            </w:r>
          </w:p>
        </w:tc>
        <w:tc>
          <w:tcPr>
            <w:tcW w:w="1359" w:type="dxa"/>
          </w:tcPr>
          <w:p>
            <w:pPr>
              <w:pStyle w:val="TableParagraph"/>
              <w:spacing w:before="18"/>
              <w:ind w:right="174"/>
              <w:rPr>
                <w:sz w:val="18"/>
              </w:rPr>
            </w:pPr>
            <w:r>
              <w:rPr>
                <w:sz w:val="18"/>
              </w:rPr>
              <w:t>4 years</w:t>
            </w:r>
          </w:p>
        </w:tc>
        <w:tc>
          <w:tcPr>
            <w:tcW w:w="1156" w:type="dxa"/>
          </w:tcPr>
          <w:p>
            <w:pPr>
              <w:pStyle w:val="TableParagraph"/>
              <w:spacing w:before="18"/>
              <w:ind w:right="33"/>
              <w:rPr>
                <w:sz w:val="18"/>
              </w:rPr>
            </w:pPr>
            <w:r>
              <w:rPr>
                <w:sz w:val="18"/>
              </w:rPr>
              <w:t>4 years</w:t>
            </w:r>
          </w:p>
        </w:tc>
      </w:tr>
      <w:tr>
        <w:trPr>
          <w:trHeight w:val="264" w:hRule="exact"/>
        </w:trPr>
        <w:tc>
          <w:tcPr>
            <w:tcW w:w="3703" w:type="dxa"/>
          </w:tcPr>
          <w:p>
            <w:pPr>
              <w:pStyle w:val="TableParagraph"/>
              <w:spacing w:before="19"/>
              <w:ind w:left="35" w:right="96"/>
              <w:jc w:val="left"/>
              <w:rPr>
                <w:sz w:val="18"/>
              </w:rPr>
            </w:pPr>
            <w:r>
              <w:rPr>
                <w:sz w:val="18"/>
              </w:rPr>
              <w:t>Computing (Other)</w:t>
            </w:r>
          </w:p>
        </w:tc>
        <w:tc>
          <w:tcPr>
            <w:tcW w:w="1359" w:type="dxa"/>
          </w:tcPr>
          <w:p>
            <w:pPr>
              <w:pStyle w:val="TableParagraph"/>
              <w:spacing w:before="18"/>
              <w:ind w:right="174"/>
              <w:rPr>
                <w:sz w:val="18"/>
              </w:rPr>
            </w:pPr>
            <w:r>
              <w:rPr>
                <w:sz w:val="18"/>
              </w:rPr>
              <w:t>3 years</w:t>
            </w:r>
          </w:p>
        </w:tc>
        <w:tc>
          <w:tcPr>
            <w:tcW w:w="1156" w:type="dxa"/>
          </w:tcPr>
          <w:p>
            <w:pPr>
              <w:pStyle w:val="TableParagraph"/>
              <w:spacing w:before="18"/>
              <w:ind w:right="33"/>
              <w:rPr>
                <w:sz w:val="18"/>
              </w:rPr>
            </w:pPr>
            <w:r>
              <w:rPr>
                <w:sz w:val="18"/>
              </w:rPr>
              <w:t>3 years</w:t>
            </w:r>
          </w:p>
        </w:tc>
      </w:tr>
      <w:tr>
        <w:trPr>
          <w:trHeight w:val="264" w:hRule="exact"/>
        </w:trPr>
        <w:tc>
          <w:tcPr>
            <w:tcW w:w="3703" w:type="dxa"/>
          </w:tcPr>
          <w:p>
            <w:pPr>
              <w:pStyle w:val="TableParagraph"/>
              <w:spacing w:before="19"/>
              <w:ind w:left="35" w:right="96"/>
              <w:jc w:val="left"/>
              <w:rPr>
                <w:sz w:val="18"/>
              </w:rPr>
            </w:pPr>
            <w:r>
              <w:rPr>
                <w:sz w:val="18"/>
              </w:rPr>
              <w:t>Vehicles</w:t>
            </w:r>
          </w:p>
        </w:tc>
        <w:tc>
          <w:tcPr>
            <w:tcW w:w="1359" w:type="dxa"/>
          </w:tcPr>
          <w:p>
            <w:pPr>
              <w:pStyle w:val="TableParagraph"/>
              <w:spacing w:before="18"/>
              <w:ind w:right="174"/>
              <w:rPr>
                <w:sz w:val="18"/>
              </w:rPr>
            </w:pPr>
            <w:r>
              <w:rPr>
                <w:sz w:val="18"/>
              </w:rPr>
              <w:t>6-7 years</w:t>
            </w:r>
          </w:p>
        </w:tc>
        <w:tc>
          <w:tcPr>
            <w:tcW w:w="1156" w:type="dxa"/>
          </w:tcPr>
          <w:p>
            <w:pPr>
              <w:pStyle w:val="TableParagraph"/>
              <w:spacing w:before="18"/>
              <w:ind w:right="33"/>
              <w:rPr>
                <w:sz w:val="18"/>
              </w:rPr>
            </w:pPr>
            <w:r>
              <w:rPr>
                <w:sz w:val="18"/>
              </w:rPr>
              <w:t>6-7 years</w:t>
            </w:r>
          </w:p>
        </w:tc>
      </w:tr>
      <w:tr>
        <w:trPr>
          <w:trHeight w:val="264" w:hRule="exact"/>
        </w:trPr>
        <w:tc>
          <w:tcPr>
            <w:tcW w:w="3703" w:type="dxa"/>
          </w:tcPr>
          <w:p>
            <w:pPr>
              <w:pStyle w:val="TableParagraph"/>
              <w:spacing w:before="19"/>
              <w:ind w:left="35" w:right="96"/>
              <w:jc w:val="left"/>
              <w:rPr>
                <w:sz w:val="18"/>
              </w:rPr>
            </w:pPr>
            <w:r>
              <w:rPr>
                <w:sz w:val="18"/>
              </w:rPr>
              <w:t>Scientific</w:t>
            </w:r>
          </w:p>
        </w:tc>
        <w:tc>
          <w:tcPr>
            <w:tcW w:w="1359" w:type="dxa"/>
          </w:tcPr>
          <w:p>
            <w:pPr>
              <w:pStyle w:val="TableParagraph"/>
              <w:spacing w:before="18"/>
              <w:ind w:right="174"/>
              <w:rPr>
                <w:sz w:val="18"/>
              </w:rPr>
            </w:pPr>
            <w:r>
              <w:rPr>
                <w:sz w:val="18"/>
              </w:rPr>
              <w:t>10 years</w:t>
            </w:r>
          </w:p>
        </w:tc>
        <w:tc>
          <w:tcPr>
            <w:tcW w:w="1156" w:type="dxa"/>
          </w:tcPr>
          <w:p>
            <w:pPr>
              <w:pStyle w:val="TableParagraph"/>
              <w:spacing w:before="18"/>
              <w:ind w:right="33"/>
              <w:rPr>
                <w:sz w:val="18"/>
              </w:rPr>
            </w:pPr>
            <w:r>
              <w:rPr>
                <w:sz w:val="18"/>
              </w:rPr>
              <w:t>10 years</w:t>
            </w:r>
          </w:p>
        </w:tc>
      </w:tr>
      <w:tr>
        <w:trPr>
          <w:trHeight w:val="264" w:hRule="exact"/>
        </w:trPr>
        <w:tc>
          <w:tcPr>
            <w:tcW w:w="3703" w:type="dxa"/>
          </w:tcPr>
          <w:p>
            <w:pPr>
              <w:pStyle w:val="TableParagraph"/>
              <w:spacing w:before="19"/>
              <w:ind w:left="35" w:right="96"/>
              <w:jc w:val="left"/>
              <w:rPr>
                <w:sz w:val="18"/>
              </w:rPr>
            </w:pPr>
            <w:r>
              <w:rPr>
                <w:sz w:val="18"/>
              </w:rPr>
              <w:t>Audio visual</w:t>
            </w:r>
          </w:p>
        </w:tc>
        <w:tc>
          <w:tcPr>
            <w:tcW w:w="1359" w:type="dxa"/>
          </w:tcPr>
          <w:p>
            <w:pPr>
              <w:pStyle w:val="TableParagraph"/>
              <w:spacing w:before="18"/>
              <w:ind w:right="174"/>
              <w:rPr>
                <w:sz w:val="18"/>
              </w:rPr>
            </w:pPr>
            <w:r>
              <w:rPr>
                <w:sz w:val="18"/>
              </w:rPr>
              <w:t>10 years</w:t>
            </w:r>
          </w:p>
        </w:tc>
        <w:tc>
          <w:tcPr>
            <w:tcW w:w="1156" w:type="dxa"/>
          </w:tcPr>
          <w:p>
            <w:pPr>
              <w:pStyle w:val="TableParagraph"/>
              <w:spacing w:before="18"/>
              <w:ind w:right="33"/>
              <w:rPr>
                <w:sz w:val="18"/>
              </w:rPr>
            </w:pPr>
            <w:r>
              <w:rPr>
                <w:sz w:val="18"/>
              </w:rPr>
              <w:t>10 years</w:t>
            </w:r>
          </w:p>
        </w:tc>
      </w:tr>
      <w:tr>
        <w:trPr>
          <w:trHeight w:val="264" w:hRule="exact"/>
        </w:trPr>
        <w:tc>
          <w:tcPr>
            <w:tcW w:w="3703" w:type="dxa"/>
          </w:tcPr>
          <w:p>
            <w:pPr>
              <w:pStyle w:val="TableParagraph"/>
              <w:spacing w:before="19"/>
              <w:ind w:left="35" w:right="96"/>
              <w:jc w:val="left"/>
              <w:rPr>
                <w:sz w:val="18"/>
              </w:rPr>
            </w:pPr>
            <w:r>
              <w:rPr>
                <w:sz w:val="18"/>
              </w:rPr>
              <w:t>Printing</w:t>
            </w:r>
          </w:p>
        </w:tc>
        <w:tc>
          <w:tcPr>
            <w:tcW w:w="1359" w:type="dxa"/>
          </w:tcPr>
          <w:p>
            <w:pPr>
              <w:pStyle w:val="TableParagraph"/>
              <w:spacing w:before="18"/>
              <w:ind w:right="174"/>
              <w:rPr>
                <w:sz w:val="18"/>
              </w:rPr>
            </w:pPr>
            <w:r>
              <w:rPr>
                <w:sz w:val="18"/>
              </w:rPr>
              <w:t>10 years</w:t>
            </w:r>
          </w:p>
        </w:tc>
        <w:tc>
          <w:tcPr>
            <w:tcW w:w="1156" w:type="dxa"/>
          </w:tcPr>
          <w:p>
            <w:pPr>
              <w:pStyle w:val="TableParagraph"/>
              <w:spacing w:before="18"/>
              <w:ind w:right="33"/>
              <w:rPr>
                <w:sz w:val="18"/>
              </w:rPr>
            </w:pPr>
            <w:r>
              <w:rPr>
                <w:sz w:val="18"/>
              </w:rPr>
              <w:t>10 years</w:t>
            </w:r>
          </w:p>
        </w:tc>
      </w:tr>
      <w:tr>
        <w:trPr>
          <w:trHeight w:val="263" w:hRule="exact"/>
        </w:trPr>
        <w:tc>
          <w:tcPr>
            <w:tcW w:w="3703" w:type="dxa"/>
          </w:tcPr>
          <w:p>
            <w:pPr>
              <w:pStyle w:val="TableParagraph"/>
              <w:spacing w:before="19"/>
              <w:ind w:left="35" w:right="96"/>
              <w:jc w:val="left"/>
              <w:rPr>
                <w:sz w:val="18"/>
              </w:rPr>
            </w:pPr>
            <w:r>
              <w:rPr>
                <w:sz w:val="18"/>
              </w:rPr>
              <w:t>Other</w:t>
            </w:r>
          </w:p>
        </w:tc>
        <w:tc>
          <w:tcPr>
            <w:tcW w:w="1359" w:type="dxa"/>
          </w:tcPr>
          <w:p>
            <w:pPr>
              <w:pStyle w:val="TableParagraph"/>
              <w:spacing w:before="18"/>
              <w:ind w:right="174"/>
              <w:rPr>
                <w:sz w:val="18"/>
              </w:rPr>
            </w:pPr>
            <w:r>
              <w:rPr>
                <w:sz w:val="18"/>
              </w:rPr>
              <w:t>10-20 years</w:t>
            </w:r>
          </w:p>
        </w:tc>
        <w:tc>
          <w:tcPr>
            <w:tcW w:w="1156" w:type="dxa"/>
          </w:tcPr>
          <w:p>
            <w:pPr>
              <w:pStyle w:val="TableParagraph"/>
              <w:spacing w:before="18"/>
              <w:ind w:right="33"/>
              <w:rPr>
                <w:sz w:val="18"/>
              </w:rPr>
            </w:pPr>
            <w:r>
              <w:rPr>
                <w:sz w:val="18"/>
              </w:rPr>
              <w:t>10-20 years</w:t>
            </w:r>
          </w:p>
        </w:tc>
      </w:tr>
      <w:tr>
        <w:trPr>
          <w:trHeight w:val="469" w:hRule="exact"/>
        </w:trPr>
        <w:tc>
          <w:tcPr>
            <w:tcW w:w="3703" w:type="dxa"/>
          </w:tcPr>
          <w:p>
            <w:pPr>
              <w:pStyle w:val="TableParagraph"/>
              <w:spacing w:before="18"/>
              <w:ind w:left="35" w:right="96"/>
              <w:jc w:val="left"/>
              <w:rPr>
                <w:sz w:val="18"/>
              </w:rPr>
            </w:pPr>
            <w:r>
              <w:rPr>
                <w:sz w:val="18"/>
              </w:rPr>
              <w:t>Buildings (except where a limit of useful life of a building has been identified)</w:t>
            </w:r>
          </w:p>
        </w:tc>
        <w:tc>
          <w:tcPr>
            <w:tcW w:w="1359" w:type="dxa"/>
          </w:tcPr>
          <w:p>
            <w:pPr>
              <w:pStyle w:val="TableParagraph"/>
              <w:spacing w:before="4"/>
              <w:jc w:val="left"/>
              <w:rPr>
                <w:sz w:val="19"/>
              </w:rPr>
            </w:pPr>
          </w:p>
          <w:p>
            <w:pPr>
              <w:pStyle w:val="TableParagraph"/>
              <w:ind w:right="174"/>
              <w:rPr>
                <w:sz w:val="18"/>
              </w:rPr>
            </w:pPr>
            <w:r>
              <w:rPr>
                <w:sz w:val="18"/>
              </w:rPr>
              <w:t>5-60 years</w:t>
            </w:r>
          </w:p>
        </w:tc>
        <w:tc>
          <w:tcPr>
            <w:tcW w:w="1156" w:type="dxa"/>
          </w:tcPr>
          <w:p>
            <w:pPr>
              <w:pStyle w:val="TableParagraph"/>
              <w:spacing w:before="4"/>
              <w:jc w:val="left"/>
              <w:rPr>
                <w:sz w:val="19"/>
              </w:rPr>
            </w:pPr>
          </w:p>
          <w:p>
            <w:pPr>
              <w:pStyle w:val="TableParagraph"/>
              <w:ind w:right="33"/>
              <w:rPr>
                <w:sz w:val="18"/>
              </w:rPr>
            </w:pPr>
            <w:r>
              <w:rPr>
                <w:sz w:val="18"/>
              </w:rPr>
              <w:t>5-60 years</w:t>
            </w:r>
          </w:p>
        </w:tc>
      </w:tr>
      <w:tr>
        <w:trPr>
          <w:trHeight w:val="264" w:hRule="exact"/>
        </w:trPr>
        <w:tc>
          <w:tcPr>
            <w:tcW w:w="3703" w:type="dxa"/>
          </w:tcPr>
          <w:p>
            <w:pPr>
              <w:pStyle w:val="TableParagraph"/>
              <w:spacing w:before="19"/>
              <w:ind w:left="35" w:right="96"/>
              <w:jc w:val="left"/>
              <w:rPr>
                <w:sz w:val="18"/>
              </w:rPr>
            </w:pPr>
            <w:r>
              <w:rPr>
                <w:sz w:val="18"/>
              </w:rPr>
              <w:t>Library Collection</w:t>
            </w:r>
          </w:p>
        </w:tc>
        <w:tc>
          <w:tcPr>
            <w:tcW w:w="1359" w:type="dxa"/>
          </w:tcPr>
          <w:p>
            <w:pPr>
              <w:pStyle w:val="TableParagraph"/>
              <w:spacing w:before="18"/>
              <w:ind w:right="174"/>
              <w:rPr>
                <w:sz w:val="18"/>
              </w:rPr>
            </w:pPr>
            <w:r>
              <w:rPr>
                <w:sz w:val="18"/>
              </w:rPr>
              <w:t>5 years</w:t>
            </w:r>
          </w:p>
        </w:tc>
        <w:tc>
          <w:tcPr>
            <w:tcW w:w="1156" w:type="dxa"/>
          </w:tcPr>
          <w:p>
            <w:pPr>
              <w:pStyle w:val="TableParagraph"/>
              <w:spacing w:before="18"/>
              <w:ind w:right="33"/>
              <w:rPr>
                <w:sz w:val="18"/>
              </w:rPr>
            </w:pPr>
            <w:r>
              <w:rPr>
                <w:sz w:val="18"/>
              </w:rPr>
              <w:t>5 years</w:t>
            </w:r>
          </w:p>
        </w:tc>
      </w:tr>
      <w:tr>
        <w:trPr>
          <w:trHeight w:val="323" w:hRule="exact"/>
        </w:trPr>
        <w:tc>
          <w:tcPr>
            <w:tcW w:w="3703" w:type="dxa"/>
          </w:tcPr>
          <w:p>
            <w:pPr>
              <w:pStyle w:val="TableParagraph"/>
              <w:spacing w:before="19"/>
              <w:ind w:left="35" w:right="96"/>
              <w:jc w:val="left"/>
              <w:rPr>
                <w:sz w:val="18"/>
              </w:rPr>
            </w:pPr>
            <w:r>
              <w:rPr>
                <w:sz w:val="18"/>
              </w:rPr>
              <w:t>Leasehold Improvements</w:t>
            </w:r>
          </w:p>
        </w:tc>
        <w:tc>
          <w:tcPr>
            <w:tcW w:w="1359" w:type="dxa"/>
          </w:tcPr>
          <w:p>
            <w:pPr>
              <w:pStyle w:val="TableParagraph"/>
              <w:spacing w:before="18"/>
              <w:ind w:right="174"/>
              <w:rPr>
                <w:sz w:val="18"/>
              </w:rPr>
            </w:pPr>
            <w:r>
              <w:rPr>
                <w:sz w:val="18"/>
              </w:rPr>
              <w:t>2-6 years</w:t>
            </w:r>
          </w:p>
        </w:tc>
        <w:tc>
          <w:tcPr>
            <w:tcW w:w="1156" w:type="dxa"/>
          </w:tcPr>
          <w:p>
            <w:pPr>
              <w:pStyle w:val="TableParagraph"/>
              <w:spacing w:before="18"/>
              <w:ind w:right="33"/>
              <w:rPr>
                <w:sz w:val="18"/>
              </w:rPr>
            </w:pPr>
            <w:r>
              <w:rPr>
                <w:sz w:val="18"/>
              </w:rPr>
              <w:t>2-6 years</w:t>
            </w:r>
          </w:p>
        </w:tc>
      </w:tr>
    </w:tbl>
    <w:p>
      <w:pPr>
        <w:pStyle w:val="BodyText"/>
        <w:spacing w:before="4"/>
        <w:rPr>
          <w:sz w:val="12"/>
        </w:rPr>
      </w:pPr>
    </w:p>
    <w:p>
      <w:pPr>
        <w:pStyle w:val="BodyText"/>
        <w:spacing w:before="77"/>
        <w:ind w:left="1824" w:right="1407"/>
      </w:pPr>
      <w:r>
        <w:rPr/>
        <w:drawing>
          <wp:anchor distT="0" distB="0" distL="0" distR="0" allowOverlap="1" layoutInCell="1" locked="0" behindDoc="0" simplePos="0" relativeHeight="2560">
            <wp:simplePos x="0" y="0"/>
            <wp:positionH relativeFrom="page">
              <wp:posOffset>-1587</wp:posOffset>
            </wp:positionH>
            <wp:positionV relativeFrom="paragraph">
              <wp:posOffset>115111</wp:posOffset>
            </wp:positionV>
            <wp:extent cx="136525" cy="155575"/>
            <wp:effectExtent l="0" t="0" r="0" b="0"/>
            <wp:wrapNone/>
            <wp:docPr id="123" name="image13.png" descr=""/>
            <wp:cNvGraphicFramePr>
              <a:graphicFrameLocks noChangeAspect="1"/>
            </wp:cNvGraphicFramePr>
            <a:graphic>
              <a:graphicData uri="http://schemas.openxmlformats.org/drawingml/2006/picture">
                <pic:pic>
                  <pic:nvPicPr>
                    <pic:cNvPr id="124" name="image13.png"/>
                    <pic:cNvPicPr/>
                  </pic:nvPicPr>
                  <pic:blipFill>
                    <a:blip r:embed="rId18" cstate="print"/>
                    <a:stretch>
                      <a:fillRect/>
                    </a:stretch>
                  </pic:blipFill>
                  <pic:spPr>
                    <a:xfrm>
                      <a:off x="0" y="0"/>
                      <a:ext cx="136525" cy="155575"/>
                    </a:xfrm>
                    <a:prstGeom prst="rect">
                      <a:avLst/>
                    </a:prstGeom>
                  </pic:spPr>
                </pic:pic>
              </a:graphicData>
            </a:graphic>
          </wp:anchor>
        </w:drawing>
      </w:r>
      <w:r>
        <w:rPr/>
        <w:drawing>
          <wp:anchor distT="0" distB="0" distL="0" distR="0" allowOverlap="1" layoutInCell="1" locked="0" behindDoc="0" simplePos="0" relativeHeight="2584">
            <wp:simplePos x="0" y="0"/>
            <wp:positionH relativeFrom="page">
              <wp:posOffset>7958429</wp:posOffset>
            </wp:positionH>
            <wp:positionV relativeFrom="paragraph">
              <wp:posOffset>115111</wp:posOffset>
            </wp:positionV>
            <wp:extent cx="135953" cy="155575"/>
            <wp:effectExtent l="0" t="0" r="0" b="0"/>
            <wp:wrapNone/>
            <wp:docPr id="125" name="image15.png" descr=""/>
            <wp:cNvGraphicFramePr>
              <a:graphicFrameLocks noChangeAspect="1"/>
            </wp:cNvGraphicFramePr>
            <a:graphic>
              <a:graphicData uri="http://schemas.openxmlformats.org/drawingml/2006/picture">
                <pic:pic>
                  <pic:nvPicPr>
                    <pic:cNvPr id="126" name="image15.png"/>
                    <pic:cNvPicPr/>
                  </pic:nvPicPr>
                  <pic:blipFill>
                    <a:blip r:embed="rId20" cstate="print"/>
                    <a:stretch>
                      <a:fillRect/>
                    </a:stretch>
                  </pic:blipFill>
                  <pic:spPr>
                    <a:xfrm>
                      <a:off x="0" y="0"/>
                      <a:ext cx="135953" cy="155575"/>
                    </a:xfrm>
                    <a:prstGeom prst="rect">
                      <a:avLst/>
                    </a:prstGeom>
                  </pic:spPr>
                </pic:pic>
              </a:graphicData>
            </a:graphic>
          </wp:anchor>
        </w:drawing>
      </w:r>
      <w:r>
        <w:rPr/>
        <w:t>Leasehold improvements are depreciated over the shorter of the unexpired period of the lease or the estimated life of the improvements.</w:t>
      </w:r>
    </w:p>
    <w:p>
      <w:pPr>
        <w:pStyle w:val="BodyText"/>
        <w:spacing w:before="11"/>
        <w:rPr>
          <w:sz w:val="24"/>
        </w:rPr>
      </w:pPr>
    </w:p>
    <w:p>
      <w:pPr>
        <w:pStyle w:val="BodyText"/>
        <w:ind w:left="1824"/>
      </w:pPr>
      <w:r>
        <w:rPr/>
        <w:t>The assets’ residual values and useful lives are reviewed, and adjusted if appropriate, at each reporting date.</w:t>
      </w:r>
    </w:p>
    <w:p>
      <w:pPr>
        <w:pStyle w:val="BodyText"/>
        <w:spacing w:before="11"/>
        <w:rPr>
          <w:sz w:val="24"/>
        </w:rPr>
      </w:pPr>
    </w:p>
    <w:p>
      <w:pPr>
        <w:pStyle w:val="BodyText"/>
        <w:ind w:left="1824" w:right="1375"/>
      </w:pPr>
      <w:r>
        <w:rPr/>
        <w:t>An asset’s carrying amount is written down immediately to its recoverable amount if the asset’s carrying amount is greater than its estimated recoverable amount.</w:t>
      </w:r>
    </w:p>
    <w:p>
      <w:pPr>
        <w:pStyle w:val="BodyText"/>
        <w:spacing w:before="11"/>
        <w:rPr>
          <w:sz w:val="24"/>
        </w:rPr>
      </w:pPr>
    </w:p>
    <w:p>
      <w:pPr>
        <w:pStyle w:val="BodyText"/>
        <w:ind w:left="1824" w:right="1450"/>
      </w:pPr>
      <w:bookmarkStart w:name="(q) Repairs and Maintenance" w:id="33"/>
      <w:bookmarkEnd w:id="33"/>
      <w:r>
        <w:rPr/>
      </w:r>
      <w:r>
        <w:rPr/>
        <w:t>Gains and losses on disposals are determined by comparing proceeds with carrying amounts.  These are included in the income statement. When revalued assets are sold, it is Group policy to transfer the amounts in reserves in respect of those assets to retained earnings.</w:t>
      </w:r>
    </w:p>
    <w:p>
      <w:pPr>
        <w:pStyle w:val="BodyText"/>
        <w:spacing w:before="11"/>
        <w:rPr>
          <w:sz w:val="24"/>
        </w:rPr>
      </w:pPr>
    </w:p>
    <w:p>
      <w:pPr>
        <w:pStyle w:val="Heading8"/>
        <w:numPr>
          <w:ilvl w:val="0"/>
          <w:numId w:val="12"/>
        </w:numPr>
        <w:tabs>
          <w:tab w:pos="2391" w:val="left" w:leader="none"/>
        </w:tabs>
        <w:spacing w:line="240" w:lineRule="auto" w:before="0" w:after="0"/>
        <w:ind w:left="2390" w:right="0" w:hanging="566"/>
        <w:jc w:val="left"/>
      </w:pPr>
      <w:r>
        <w:rPr/>
        <w:t>Repairs and</w:t>
      </w:r>
      <w:r>
        <w:rPr>
          <w:spacing w:val="-1"/>
        </w:rPr>
        <w:t> </w:t>
      </w:r>
      <w:r>
        <w:rPr/>
        <w:t>Maintenance</w:t>
      </w:r>
    </w:p>
    <w:p>
      <w:pPr>
        <w:pStyle w:val="BodyText"/>
        <w:spacing w:before="11"/>
        <w:rPr>
          <w:b/>
          <w:sz w:val="24"/>
        </w:rPr>
      </w:pPr>
    </w:p>
    <w:p>
      <w:pPr>
        <w:pStyle w:val="BodyText"/>
        <w:ind w:left="1823" w:right="1450"/>
      </w:pPr>
      <w:bookmarkStart w:name="(r) Livestock" w:id="34"/>
      <w:bookmarkEnd w:id="34"/>
      <w:r>
        <w:rPr/>
      </w:r>
      <w:r>
        <w:rPr/>
        <w:t>Repairs and maintenance costs are recognised as expenses as incurred, except where they relate to the replacement of a component of an asset, in which case, the costs are capitalised and depreciated. Other routine operating maintenance, repair and minor renewal costs are also recognised as expenses as incurred.</w:t>
      </w:r>
    </w:p>
    <w:p>
      <w:pPr>
        <w:pStyle w:val="BodyText"/>
        <w:spacing w:before="11"/>
        <w:rPr>
          <w:sz w:val="24"/>
        </w:rPr>
      </w:pPr>
    </w:p>
    <w:p>
      <w:pPr>
        <w:pStyle w:val="Heading8"/>
        <w:numPr>
          <w:ilvl w:val="0"/>
          <w:numId w:val="12"/>
        </w:numPr>
        <w:tabs>
          <w:tab w:pos="2391" w:val="left" w:leader="none"/>
        </w:tabs>
        <w:spacing w:line="240" w:lineRule="auto" w:before="0" w:after="0"/>
        <w:ind w:left="2390" w:right="0" w:hanging="566"/>
        <w:jc w:val="left"/>
      </w:pPr>
      <w:r>
        <w:rPr/>
        <w:t>Livestock</w:t>
      </w:r>
    </w:p>
    <w:p>
      <w:pPr>
        <w:pStyle w:val="BodyText"/>
        <w:spacing w:before="11"/>
        <w:rPr>
          <w:b/>
          <w:sz w:val="24"/>
        </w:rPr>
      </w:pPr>
    </w:p>
    <w:p>
      <w:pPr>
        <w:pStyle w:val="BodyText"/>
        <w:ind w:left="1824" w:right="1450"/>
      </w:pPr>
      <w:bookmarkStart w:name="(s) Intangible Assets" w:id="35"/>
      <w:bookmarkEnd w:id="35"/>
      <w:r>
        <w:rPr/>
      </w:r>
      <w:r>
        <w:rPr/>
        <w:t>The University maintains livestock for research, teaching and commercial purposes. Livestock is valued on the fair value basis based on current market price. A stocktake of livestock holdings was undertaken at year end.</w:t>
      </w:r>
    </w:p>
    <w:p>
      <w:pPr>
        <w:pStyle w:val="BodyText"/>
        <w:spacing w:before="11"/>
        <w:rPr>
          <w:sz w:val="24"/>
        </w:rPr>
      </w:pPr>
    </w:p>
    <w:p>
      <w:pPr>
        <w:pStyle w:val="Heading8"/>
        <w:numPr>
          <w:ilvl w:val="0"/>
          <w:numId w:val="12"/>
        </w:numPr>
        <w:tabs>
          <w:tab w:pos="2391" w:val="left" w:leader="none"/>
        </w:tabs>
        <w:spacing w:line="240" w:lineRule="auto" w:before="0" w:after="0"/>
        <w:ind w:left="2390" w:right="0" w:hanging="566"/>
        <w:jc w:val="left"/>
      </w:pPr>
      <w:r>
        <w:rPr/>
        <w:t>Intangible</w:t>
      </w:r>
      <w:r>
        <w:rPr>
          <w:spacing w:val="-11"/>
        </w:rPr>
        <w:t> </w:t>
      </w:r>
      <w:r>
        <w:rPr/>
        <w:t>Assets</w:t>
      </w:r>
    </w:p>
    <w:p>
      <w:pPr>
        <w:pStyle w:val="BodyText"/>
        <w:spacing w:before="11"/>
        <w:rPr>
          <w:b/>
          <w:sz w:val="24"/>
        </w:rPr>
      </w:pPr>
    </w:p>
    <w:p>
      <w:pPr>
        <w:pStyle w:val="ListParagraph"/>
        <w:numPr>
          <w:ilvl w:val="0"/>
          <w:numId w:val="13"/>
        </w:numPr>
        <w:tabs>
          <w:tab w:pos="2045" w:val="left" w:leader="none"/>
        </w:tabs>
        <w:spacing w:line="240" w:lineRule="auto" w:before="0" w:after="0"/>
        <w:ind w:left="2044" w:right="0" w:hanging="220"/>
        <w:jc w:val="left"/>
        <w:rPr>
          <w:b/>
          <w:sz w:val="18"/>
        </w:rPr>
      </w:pPr>
      <w:r>
        <w:rPr>
          <w:b/>
          <w:sz w:val="18"/>
        </w:rPr>
        <w:t>Licences</w:t>
      </w:r>
    </w:p>
    <w:p>
      <w:pPr>
        <w:pStyle w:val="BodyText"/>
        <w:spacing w:before="11"/>
        <w:rPr>
          <w:b/>
          <w:sz w:val="24"/>
        </w:rPr>
      </w:pPr>
    </w:p>
    <w:p>
      <w:pPr>
        <w:pStyle w:val="BodyText"/>
        <w:ind w:left="1824" w:right="1375"/>
      </w:pPr>
      <w:r>
        <w:rPr/>
        <w:t>Licences have a finite useful life and are carried at cost less accumulated amortisation and impairment losses. Amortisation is calculated using the straight-line method to allocate the cost of licences across their estimated useful life of 5 years (note 22).</w:t>
      </w:r>
    </w:p>
    <w:p>
      <w:pPr>
        <w:spacing w:after="0"/>
        <w:sectPr>
          <w:pgSz w:w="12750" w:h="17680"/>
          <w:pgMar w:header="0" w:footer="927" w:top="2640" w:bottom="1120" w:left="0" w:right="0"/>
        </w:sectPr>
      </w:pPr>
    </w:p>
    <w:p>
      <w:pPr>
        <w:pStyle w:val="BodyText"/>
        <w:rPr>
          <w:sz w:val="20"/>
        </w:rPr>
      </w:pPr>
    </w:p>
    <w:p>
      <w:pPr>
        <w:pStyle w:val="BodyText"/>
        <w:rPr>
          <w:sz w:val="20"/>
        </w:rPr>
      </w:pPr>
    </w:p>
    <w:p>
      <w:pPr>
        <w:pStyle w:val="BodyText"/>
        <w:spacing w:before="4"/>
      </w:pPr>
    </w:p>
    <w:p>
      <w:pPr>
        <w:pStyle w:val="Heading8"/>
        <w:tabs>
          <w:tab w:pos="1823" w:val="left" w:leader="none"/>
        </w:tabs>
        <w:ind w:left="1429"/>
      </w:pPr>
      <w:r>
        <w:rPr/>
        <w:t>1</w:t>
        <w:tab/>
        <w:t>Summary of Significant Accounting Policies</w:t>
      </w:r>
      <w:r>
        <w:rPr>
          <w:spacing w:val="-6"/>
        </w:rPr>
        <w:t> </w:t>
      </w:r>
      <w:r>
        <w:rPr/>
        <w:t>(continued)</w:t>
      </w:r>
    </w:p>
    <w:p>
      <w:pPr>
        <w:pStyle w:val="BodyText"/>
        <w:spacing w:before="11"/>
        <w:rPr>
          <w:b/>
          <w:sz w:val="24"/>
        </w:rPr>
      </w:pPr>
    </w:p>
    <w:p>
      <w:pPr>
        <w:pStyle w:val="ListParagraph"/>
        <w:numPr>
          <w:ilvl w:val="0"/>
          <w:numId w:val="14"/>
        </w:numPr>
        <w:tabs>
          <w:tab w:pos="2391" w:val="left" w:leader="none"/>
        </w:tabs>
        <w:spacing w:line="240" w:lineRule="auto" w:before="0" w:after="0"/>
        <w:ind w:left="2390" w:right="0" w:hanging="566"/>
        <w:jc w:val="left"/>
        <w:rPr>
          <w:b/>
          <w:sz w:val="18"/>
        </w:rPr>
      </w:pPr>
      <w:r>
        <w:rPr>
          <w:b/>
          <w:sz w:val="18"/>
        </w:rPr>
        <w:t>Intangible Assets</w:t>
      </w:r>
      <w:r>
        <w:rPr>
          <w:b/>
          <w:spacing w:val="-6"/>
          <w:sz w:val="18"/>
        </w:rPr>
        <w:t> </w:t>
      </w:r>
      <w:r>
        <w:rPr>
          <w:b/>
          <w:sz w:val="18"/>
        </w:rPr>
        <w:t>(continued)</w:t>
      </w:r>
    </w:p>
    <w:p>
      <w:pPr>
        <w:pStyle w:val="BodyText"/>
        <w:spacing w:before="11"/>
        <w:rPr>
          <w:b/>
          <w:sz w:val="24"/>
        </w:rPr>
      </w:pPr>
    </w:p>
    <w:p>
      <w:pPr>
        <w:pStyle w:val="ListParagraph"/>
        <w:numPr>
          <w:ilvl w:val="0"/>
          <w:numId w:val="13"/>
        </w:numPr>
        <w:tabs>
          <w:tab w:pos="2095" w:val="left" w:leader="none"/>
        </w:tabs>
        <w:spacing w:line="240" w:lineRule="auto" w:before="0" w:after="0"/>
        <w:ind w:left="2094" w:right="0" w:hanging="270"/>
        <w:jc w:val="left"/>
        <w:rPr>
          <w:b/>
          <w:sz w:val="18"/>
        </w:rPr>
      </w:pPr>
      <w:r>
        <w:rPr>
          <w:b/>
          <w:sz w:val="18"/>
        </w:rPr>
        <w:t>Electronic</w:t>
      </w:r>
      <w:r>
        <w:rPr>
          <w:b/>
          <w:spacing w:val="-20"/>
          <w:sz w:val="18"/>
        </w:rPr>
        <w:t> </w:t>
      </w:r>
      <w:r>
        <w:rPr>
          <w:b/>
          <w:sz w:val="18"/>
        </w:rPr>
        <w:t>materials</w:t>
      </w:r>
    </w:p>
    <w:p>
      <w:pPr>
        <w:pStyle w:val="BodyText"/>
        <w:spacing w:before="11"/>
        <w:rPr>
          <w:b/>
          <w:sz w:val="24"/>
        </w:rPr>
      </w:pPr>
    </w:p>
    <w:p>
      <w:pPr>
        <w:pStyle w:val="BodyText"/>
        <w:ind w:left="1823" w:right="1407"/>
      </w:pPr>
      <w:bookmarkStart w:name="(t) Trade and other payables" w:id="36"/>
      <w:bookmarkEnd w:id="36"/>
      <w:r>
        <w:rPr/>
      </w:r>
      <w:r>
        <w:rPr/>
        <w:t>Electronic materials have a finite useful life and are carried at cost less accumulated amortisation and impairment losses. Amortisation is calculated using the straight-line method to allocate the cost of electronic materials across their estimated useful life of 5 years (note 22).</w:t>
      </w:r>
    </w:p>
    <w:p>
      <w:pPr>
        <w:pStyle w:val="BodyText"/>
        <w:spacing w:before="11"/>
        <w:rPr>
          <w:sz w:val="24"/>
        </w:rPr>
      </w:pPr>
    </w:p>
    <w:p>
      <w:pPr>
        <w:pStyle w:val="Heading8"/>
        <w:numPr>
          <w:ilvl w:val="0"/>
          <w:numId w:val="14"/>
        </w:numPr>
        <w:tabs>
          <w:tab w:pos="2391" w:val="left" w:leader="none"/>
        </w:tabs>
        <w:spacing w:line="240" w:lineRule="auto" w:before="0" w:after="0"/>
        <w:ind w:left="2390" w:right="0" w:hanging="566"/>
        <w:jc w:val="left"/>
      </w:pPr>
      <w:r>
        <w:rPr/>
        <w:t>Trade and other</w:t>
      </w:r>
      <w:r>
        <w:rPr>
          <w:spacing w:val="-21"/>
        </w:rPr>
        <w:t> </w:t>
      </w:r>
      <w:r>
        <w:rPr/>
        <w:t>payables</w:t>
      </w:r>
    </w:p>
    <w:p>
      <w:pPr>
        <w:pStyle w:val="BodyText"/>
        <w:spacing w:before="11"/>
        <w:rPr>
          <w:b/>
          <w:sz w:val="24"/>
        </w:rPr>
      </w:pPr>
    </w:p>
    <w:p>
      <w:pPr>
        <w:pStyle w:val="BodyText"/>
        <w:ind w:left="1823" w:right="1451"/>
      </w:pPr>
      <w:r>
        <w:rPr/>
        <w:t>Trade and other payables are carried at amortised cost and due to their short term nature they are not discounted. </w:t>
      </w:r>
      <w:bookmarkStart w:name="(u) Borrowings" w:id="37"/>
      <w:bookmarkEnd w:id="37"/>
      <w:r>
        <w:rPr/>
      </w:r>
      <w:r>
        <w:rPr/>
        <w:t>They represent liabilities for goods and services provided to the Group prior to the end of the financial year, that are unpaid and arise when the Group becomes obliged to make future payments in respect of the purchase of these goods and services. The Group's standard terms of payment are 30 days from date of recognition.</w:t>
      </w:r>
    </w:p>
    <w:p>
      <w:pPr>
        <w:pStyle w:val="BodyText"/>
        <w:spacing w:before="11"/>
        <w:rPr>
          <w:sz w:val="24"/>
        </w:rPr>
      </w:pPr>
    </w:p>
    <w:p>
      <w:pPr>
        <w:pStyle w:val="Heading8"/>
        <w:numPr>
          <w:ilvl w:val="0"/>
          <w:numId w:val="14"/>
        </w:numPr>
        <w:tabs>
          <w:tab w:pos="2391" w:val="left" w:leader="none"/>
        </w:tabs>
        <w:spacing w:line="240" w:lineRule="auto" w:before="0" w:after="0"/>
        <w:ind w:left="2390" w:right="0" w:hanging="566"/>
        <w:jc w:val="left"/>
      </w:pPr>
      <w:r>
        <w:rPr/>
        <w:t>Borrowings</w:t>
      </w:r>
    </w:p>
    <w:p>
      <w:pPr>
        <w:pStyle w:val="BodyText"/>
        <w:spacing w:before="11"/>
        <w:rPr>
          <w:b/>
          <w:sz w:val="24"/>
        </w:rPr>
      </w:pPr>
    </w:p>
    <w:p>
      <w:pPr>
        <w:pStyle w:val="BodyText"/>
        <w:ind w:left="1823" w:right="1450"/>
      </w:pPr>
      <w:r>
        <w:rPr/>
        <w:drawing>
          <wp:anchor distT="0" distB="0" distL="0" distR="0" allowOverlap="1" layoutInCell="1" locked="0" behindDoc="0" simplePos="0" relativeHeight="2608">
            <wp:simplePos x="0" y="0"/>
            <wp:positionH relativeFrom="page">
              <wp:posOffset>-1587</wp:posOffset>
            </wp:positionH>
            <wp:positionV relativeFrom="paragraph">
              <wp:posOffset>573708</wp:posOffset>
            </wp:positionV>
            <wp:extent cx="136525" cy="155575"/>
            <wp:effectExtent l="0" t="0" r="0" b="0"/>
            <wp:wrapNone/>
            <wp:docPr id="127" name="image13.png" descr=""/>
            <wp:cNvGraphicFramePr>
              <a:graphicFrameLocks noChangeAspect="1"/>
            </wp:cNvGraphicFramePr>
            <a:graphic>
              <a:graphicData uri="http://schemas.openxmlformats.org/drawingml/2006/picture">
                <pic:pic>
                  <pic:nvPicPr>
                    <pic:cNvPr id="128" name="image13.png"/>
                    <pic:cNvPicPr/>
                  </pic:nvPicPr>
                  <pic:blipFill>
                    <a:blip r:embed="rId18" cstate="print"/>
                    <a:stretch>
                      <a:fillRect/>
                    </a:stretch>
                  </pic:blipFill>
                  <pic:spPr>
                    <a:xfrm>
                      <a:off x="0" y="0"/>
                      <a:ext cx="136525" cy="155575"/>
                    </a:xfrm>
                    <a:prstGeom prst="rect">
                      <a:avLst/>
                    </a:prstGeom>
                  </pic:spPr>
                </pic:pic>
              </a:graphicData>
            </a:graphic>
          </wp:anchor>
        </w:drawing>
      </w:r>
      <w:r>
        <w:rPr/>
        <w:drawing>
          <wp:anchor distT="0" distB="0" distL="0" distR="0" allowOverlap="1" layoutInCell="1" locked="0" behindDoc="0" simplePos="0" relativeHeight="2632">
            <wp:simplePos x="0" y="0"/>
            <wp:positionH relativeFrom="page">
              <wp:posOffset>7958429</wp:posOffset>
            </wp:positionH>
            <wp:positionV relativeFrom="paragraph">
              <wp:posOffset>573708</wp:posOffset>
            </wp:positionV>
            <wp:extent cx="135953" cy="155575"/>
            <wp:effectExtent l="0" t="0" r="0" b="0"/>
            <wp:wrapNone/>
            <wp:docPr id="129" name="image15.png" descr=""/>
            <wp:cNvGraphicFramePr>
              <a:graphicFrameLocks noChangeAspect="1"/>
            </wp:cNvGraphicFramePr>
            <a:graphic>
              <a:graphicData uri="http://schemas.openxmlformats.org/drawingml/2006/picture">
                <pic:pic>
                  <pic:nvPicPr>
                    <pic:cNvPr id="130" name="image15.png"/>
                    <pic:cNvPicPr/>
                  </pic:nvPicPr>
                  <pic:blipFill>
                    <a:blip r:embed="rId20" cstate="print"/>
                    <a:stretch>
                      <a:fillRect/>
                    </a:stretch>
                  </pic:blipFill>
                  <pic:spPr>
                    <a:xfrm>
                      <a:off x="0" y="0"/>
                      <a:ext cx="135953" cy="155575"/>
                    </a:xfrm>
                    <a:prstGeom prst="rect">
                      <a:avLst/>
                    </a:prstGeom>
                  </pic:spPr>
                </pic:pic>
              </a:graphicData>
            </a:graphic>
          </wp:anchor>
        </w:drawing>
      </w:r>
      <w:r>
        <w:rPr/>
        <w:t>Borrowings are initially recognised at fair value, net of transaction costs incurred. Borrowings are subsequently measured at amortised cost. Any difference between the proceeds (net of transaction costs) and the redemption amount is recognised in the income statement over the period of the borrowings using the effective interest method. Fees paid on the establishment of loan facilities, which are not an incremental cost relating to the actual draw-down of the facility, are recognised as prepayments and amortised on a straight-line basis over the term of the facility.</w:t>
      </w:r>
    </w:p>
    <w:p>
      <w:pPr>
        <w:pStyle w:val="BodyText"/>
        <w:spacing w:before="11"/>
        <w:rPr>
          <w:sz w:val="24"/>
        </w:rPr>
      </w:pPr>
    </w:p>
    <w:p>
      <w:pPr>
        <w:pStyle w:val="BodyText"/>
        <w:ind w:left="1823" w:right="1375"/>
      </w:pPr>
      <w:r>
        <w:rPr/>
        <w:t>Borrowings are removed from the statement of financial position when the obligation specified in the contract is discharged, cancelled or expired. The difference between the carrying amount of a financial liability that has been extinguished or transferred to another party and the consideration paid, including any non-cash assets transferred or liabilities assumed, is recognised in other income or other expenses.</w:t>
      </w:r>
    </w:p>
    <w:p>
      <w:pPr>
        <w:pStyle w:val="BodyText"/>
        <w:spacing w:before="11"/>
        <w:rPr>
          <w:sz w:val="24"/>
        </w:rPr>
      </w:pPr>
    </w:p>
    <w:p>
      <w:pPr>
        <w:pStyle w:val="BodyText"/>
        <w:ind w:left="1823" w:right="1450"/>
      </w:pPr>
      <w:bookmarkStart w:name="(v) Borrowing costs" w:id="38"/>
      <w:bookmarkEnd w:id="38"/>
      <w:r>
        <w:rPr/>
      </w:r>
      <w:r>
        <w:rPr/>
        <w:t>Borrowings are classified as current liabilities unless the Group has an unconditional right to defer settlement of the liability for at least 12 months after the end of the reporting period and does not expect to settle the liability for at least 12 months after the end of the reporting period.</w:t>
      </w:r>
    </w:p>
    <w:p>
      <w:pPr>
        <w:pStyle w:val="BodyText"/>
        <w:spacing w:before="11"/>
        <w:rPr>
          <w:sz w:val="24"/>
        </w:rPr>
      </w:pPr>
    </w:p>
    <w:p>
      <w:pPr>
        <w:pStyle w:val="Heading8"/>
        <w:numPr>
          <w:ilvl w:val="0"/>
          <w:numId w:val="14"/>
        </w:numPr>
        <w:tabs>
          <w:tab w:pos="2391" w:val="left" w:leader="none"/>
        </w:tabs>
        <w:spacing w:line="240" w:lineRule="auto" w:before="0" w:after="0"/>
        <w:ind w:left="2390" w:right="0" w:hanging="566"/>
        <w:jc w:val="left"/>
      </w:pPr>
      <w:r>
        <w:rPr/>
        <w:t>Borrowing costs</w:t>
      </w:r>
    </w:p>
    <w:p>
      <w:pPr>
        <w:pStyle w:val="BodyText"/>
        <w:spacing w:before="11"/>
        <w:rPr>
          <w:b/>
          <w:sz w:val="24"/>
        </w:rPr>
      </w:pPr>
    </w:p>
    <w:p>
      <w:pPr>
        <w:pStyle w:val="BodyText"/>
        <w:ind w:left="1823" w:right="1607"/>
        <w:jc w:val="both"/>
      </w:pPr>
      <w:bookmarkStart w:name="(w) Provisions" w:id="39"/>
      <w:bookmarkEnd w:id="39"/>
      <w:r>
        <w:rPr/>
      </w:r>
      <w:r>
        <w:rPr/>
        <w:t>Borrowing costs are expensed. Finance charges in respect of finance leases, and exchange differences arising from foreign</w:t>
      </w:r>
      <w:r>
        <w:rPr>
          <w:spacing w:val="-6"/>
        </w:rPr>
        <w:t> </w:t>
      </w:r>
      <w:r>
        <w:rPr/>
        <w:t>currency</w:t>
      </w:r>
      <w:r>
        <w:rPr>
          <w:spacing w:val="-6"/>
        </w:rPr>
        <w:t> </w:t>
      </w:r>
      <w:r>
        <w:rPr/>
        <w:t>borrowings</w:t>
      </w:r>
      <w:r>
        <w:rPr>
          <w:spacing w:val="-6"/>
        </w:rPr>
        <w:t> </w:t>
      </w:r>
      <w:r>
        <w:rPr/>
        <w:t>to</w:t>
      </w:r>
      <w:r>
        <w:rPr>
          <w:spacing w:val="-6"/>
        </w:rPr>
        <w:t> </w:t>
      </w:r>
      <w:r>
        <w:rPr/>
        <w:t>the</w:t>
      </w:r>
      <w:r>
        <w:rPr>
          <w:spacing w:val="-6"/>
        </w:rPr>
        <w:t> </w:t>
      </w:r>
      <w:r>
        <w:rPr/>
        <w:t>extent</w:t>
      </w:r>
      <w:r>
        <w:rPr>
          <w:spacing w:val="-6"/>
        </w:rPr>
        <w:t> </w:t>
      </w:r>
      <w:r>
        <w:rPr/>
        <w:t>that</w:t>
      </w:r>
      <w:r>
        <w:rPr>
          <w:spacing w:val="-6"/>
        </w:rPr>
        <w:t> </w:t>
      </w:r>
      <w:r>
        <w:rPr/>
        <w:t>they</w:t>
      </w:r>
      <w:r>
        <w:rPr>
          <w:spacing w:val="-6"/>
        </w:rPr>
        <w:t> </w:t>
      </w:r>
      <w:r>
        <w:rPr/>
        <w:t>are</w:t>
      </w:r>
      <w:r>
        <w:rPr>
          <w:spacing w:val="-6"/>
        </w:rPr>
        <w:t> </w:t>
      </w:r>
      <w:r>
        <w:rPr/>
        <w:t>regarded</w:t>
      </w:r>
      <w:r>
        <w:rPr>
          <w:spacing w:val="-6"/>
        </w:rPr>
        <w:t> </w:t>
      </w:r>
      <w:r>
        <w:rPr/>
        <w:t>as</w:t>
      </w:r>
      <w:r>
        <w:rPr>
          <w:spacing w:val="-6"/>
        </w:rPr>
        <w:t> </w:t>
      </w:r>
      <w:r>
        <w:rPr/>
        <w:t>an</w:t>
      </w:r>
      <w:r>
        <w:rPr>
          <w:spacing w:val="-6"/>
        </w:rPr>
        <w:t> </w:t>
      </w:r>
      <w:r>
        <w:rPr/>
        <w:t>adjustment</w:t>
      </w:r>
      <w:r>
        <w:rPr>
          <w:spacing w:val="-6"/>
        </w:rPr>
        <w:t> </w:t>
      </w:r>
      <w:r>
        <w:rPr/>
        <w:t>to</w:t>
      </w:r>
      <w:r>
        <w:rPr>
          <w:spacing w:val="-6"/>
        </w:rPr>
        <w:t> </w:t>
      </w:r>
      <w:r>
        <w:rPr/>
        <w:t>interest</w:t>
      </w:r>
      <w:r>
        <w:rPr>
          <w:spacing w:val="-6"/>
        </w:rPr>
        <w:t> </w:t>
      </w:r>
      <w:r>
        <w:rPr/>
        <w:t>costs</w:t>
      </w:r>
      <w:r>
        <w:rPr>
          <w:spacing w:val="-6"/>
        </w:rPr>
        <w:t> </w:t>
      </w:r>
      <w:r>
        <w:rPr/>
        <w:t>are</w:t>
      </w:r>
      <w:r>
        <w:rPr>
          <w:spacing w:val="-6"/>
        </w:rPr>
        <w:t> </w:t>
      </w:r>
      <w:r>
        <w:rPr/>
        <w:t>included</w:t>
      </w:r>
      <w:r>
        <w:rPr>
          <w:spacing w:val="-6"/>
        </w:rPr>
        <w:t> </w:t>
      </w:r>
      <w:r>
        <w:rPr/>
        <w:t>in</w:t>
      </w:r>
      <w:r>
        <w:rPr>
          <w:spacing w:val="-6"/>
        </w:rPr>
        <w:t> </w:t>
      </w:r>
      <w:r>
        <w:rPr/>
        <w:t>the definition of borrowing</w:t>
      </w:r>
      <w:r>
        <w:rPr>
          <w:spacing w:val="-32"/>
        </w:rPr>
        <w:t> </w:t>
      </w:r>
      <w:r>
        <w:rPr/>
        <w:t>costs.</w:t>
      </w:r>
    </w:p>
    <w:p>
      <w:pPr>
        <w:pStyle w:val="BodyText"/>
        <w:spacing w:before="11"/>
        <w:rPr>
          <w:sz w:val="24"/>
        </w:rPr>
      </w:pPr>
    </w:p>
    <w:p>
      <w:pPr>
        <w:pStyle w:val="Heading8"/>
        <w:numPr>
          <w:ilvl w:val="0"/>
          <w:numId w:val="14"/>
        </w:numPr>
        <w:tabs>
          <w:tab w:pos="2391" w:val="left" w:leader="none"/>
        </w:tabs>
        <w:spacing w:line="240" w:lineRule="auto" w:before="0" w:after="0"/>
        <w:ind w:left="2390" w:right="0" w:hanging="566"/>
        <w:jc w:val="left"/>
      </w:pPr>
      <w:r>
        <w:rPr/>
        <w:t>Provisions</w:t>
      </w:r>
    </w:p>
    <w:p>
      <w:pPr>
        <w:pStyle w:val="BodyText"/>
        <w:spacing w:before="11"/>
        <w:rPr>
          <w:b/>
          <w:sz w:val="24"/>
        </w:rPr>
      </w:pPr>
    </w:p>
    <w:p>
      <w:pPr>
        <w:pStyle w:val="BodyText"/>
        <w:ind w:left="1824" w:right="1375"/>
      </w:pPr>
      <w:r>
        <w:rPr/>
        <w:t>Provisions are recognised when the Group has a present legal or constructive obligation as a result of past events, it is probable that an outflow of resources will be required to settle the obligation and the amount can be reliably estimated.</w:t>
      </w:r>
    </w:p>
    <w:p>
      <w:pPr>
        <w:pStyle w:val="BodyText"/>
        <w:spacing w:before="11"/>
        <w:rPr>
          <w:sz w:val="24"/>
        </w:rPr>
      </w:pPr>
    </w:p>
    <w:p>
      <w:pPr>
        <w:pStyle w:val="BodyText"/>
        <w:ind w:left="1823" w:right="1362"/>
      </w:pPr>
      <w:r>
        <w:rPr/>
        <w:t>Provisions are not recognised for future operating losses. Where there are a number of similar obligations, the likelihood that an outflow will be required in settlement is determined by considering the class of obligations as a whole. A provision is recognised even if the likelihood of an outflow with respect to any one item included in the same class of obligations may be small.</w:t>
      </w:r>
    </w:p>
    <w:p>
      <w:pPr>
        <w:pStyle w:val="BodyText"/>
        <w:spacing w:before="11"/>
        <w:rPr>
          <w:sz w:val="24"/>
        </w:rPr>
      </w:pPr>
    </w:p>
    <w:p>
      <w:pPr>
        <w:pStyle w:val="BodyText"/>
        <w:ind w:left="1823" w:right="1375"/>
      </w:pPr>
      <w:r>
        <w:rPr/>
        <w:t>Provisions are measured at the present value of management’s best estimate of the expenditure required to settle the present obligation at the reporting date. The discount rate used to determine the present value reflects current market assessments of the time value of money and the risks specific to the liability. The increase in the provision due to the passage of time is recognised as a finance cost.</w:t>
      </w:r>
    </w:p>
    <w:p>
      <w:pPr>
        <w:spacing w:after="0"/>
        <w:sectPr>
          <w:pgSz w:w="12750" w:h="17680"/>
          <w:pgMar w:header="0" w:footer="927" w:top="2640" w:bottom="1120" w:left="0" w:right="0"/>
        </w:sectPr>
      </w:pPr>
    </w:p>
    <w:p>
      <w:pPr>
        <w:pStyle w:val="BodyText"/>
        <w:rPr>
          <w:sz w:val="20"/>
        </w:rPr>
      </w:pPr>
    </w:p>
    <w:p>
      <w:pPr>
        <w:pStyle w:val="BodyText"/>
        <w:rPr>
          <w:sz w:val="20"/>
        </w:rPr>
      </w:pPr>
    </w:p>
    <w:p>
      <w:pPr>
        <w:pStyle w:val="BodyText"/>
        <w:spacing w:before="4"/>
      </w:pPr>
    </w:p>
    <w:p>
      <w:pPr>
        <w:pStyle w:val="Heading8"/>
        <w:tabs>
          <w:tab w:pos="1823" w:val="left" w:leader="none"/>
        </w:tabs>
        <w:ind w:left="1429"/>
      </w:pPr>
      <w:bookmarkStart w:name="(x) Employee benefits" w:id="40"/>
      <w:bookmarkEnd w:id="40"/>
      <w:r>
        <w:rPr>
          <w:b w:val="0"/>
        </w:rPr>
      </w:r>
      <w:r>
        <w:rPr/>
        <w:t>1</w:t>
        <w:tab/>
        <w:t>Summary of Significant Accounting Policies</w:t>
      </w:r>
      <w:r>
        <w:rPr>
          <w:spacing w:val="-6"/>
        </w:rPr>
        <w:t> </w:t>
      </w:r>
      <w:r>
        <w:rPr/>
        <w:t>(continued)</w:t>
      </w:r>
    </w:p>
    <w:p>
      <w:pPr>
        <w:pStyle w:val="BodyText"/>
        <w:spacing w:before="11"/>
        <w:rPr>
          <w:b/>
          <w:sz w:val="24"/>
        </w:rPr>
      </w:pPr>
    </w:p>
    <w:p>
      <w:pPr>
        <w:pStyle w:val="ListParagraph"/>
        <w:numPr>
          <w:ilvl w:val="0"/>
          <w:numId w:val="14"/>
        </w:numPr>
        <w:tabs>
          <w:tab w:pos="2391" w:val="left" w:leader="none"/>
        </w:tabs>
        <w:spacing w:line="240" w:lineRule="auto" w:before="0" w:after="0"/>
        <w:ind w:left="2390" w:right="0" w:hanging="566"/>
        <w:jc w:val="left"/>
        <w:rPr>
          <w:b/>
          <w:sz w:val="18"/>
        </w:rPr>
      </w:pPr>
      <w:r>
        <w:rPr>
          <w:b/>
          <w:sz w:val="18"/>
        </w:rPr>
        <w:t>Employee</w:t>
      </w:r>
      <w:r>
        <w:rPr>
          <w:b/>
          <w:spacing w:val="-16"/>
          <w:sz w:val="18"/>
        </w:rPr>
        <w:t> </w:t>
      </w:r>
      <w:r>
        <w:rPr>
          <w:b/>
          <w:sz w:val="18"/>
        </w:rPr>
        <w:t>benefits</w:t>
      </w:r>
    </w:p>
    <w:p>
      <w:pPr>
        <w:pStyle w:val="BodyText"/>
        <w:spacing w:before="11"/>
        <w:rPr>
          <w:b/>
          <w:sz w:val="24"/>
        </w:rPr>
      </w:pPr>
    </w:p>
    <w:p>
      <w:pPr>
        <w:pStyle w:val="BodyText"/>
        <w:ind w:left="1823" w:right="1375"/>
      </w:pPr>
      <w:r>
        <w:rPr/>
        <w:t>Provision is made for benefits accruing to employees in respect of wages and salaries, annual leave and long service leave when it is probable that settlement will be required and they are capable of being measured reliably. The calculation of employee benefits includes all relevant on-costs and is calculated as follows at reporting date.</w:t>
      </w:r>
    </w:p>
    <w:p>
      <w:pPr>
        <w:pStyle w:val="BodyText"/>
        <w:spacing w:before="11"/>
        <w:rPr>
          <w:sz w:val="24"/>
        </w:rPr>
      </w:pPr>
    </w:p>
    <w:p>
      <w:pPr>
        <w:pStyle w:val="Heading8"/>
        <w:numPr>
          <w:ilvl w:val="0"/>
          <w:numId w:val="15"/>
        </w:numPr>
        <w:tabs>
          <w:tab w:pos="2045" w:val="left" w:leader="none"/>
        </w:tabs>
        <w:spacing w:line="240" w:lineRule="auto" w:before="0" w:after="0"/>
        <w:ind w:left="2044" w:right="0" w:hanging="220"/>
        <w:jc w:val="left"/>
      </w:pPr>
      <w:r>
        <w:rPr/>
        <w:t>) Wages and</w:t>
      </w:r>
      <w:r>
        <w:rPr>
          <w:spacing w:val="-1"/>
        </w:rPr>
        <w:t> </w:t>
      </w:r>
      <w:r>
        <w:rPr/>
        <w:t>salaries</w:t>
      </w:r>
    </w:p>
    <w:p>
      <w:pPr>
        <w:pStyle w:val="BodyText"/>
        <w:spacing w:before="11"/>
        <w:rPr>
          <w:b/>
          <w:sz w:val="24"/>
        </w:rPr>
      </w:pPr>
    </w:p>
    <w:p>
      <w:pPr>
        <w:pStyle w:val="BodyText"/>
        <w:ind w:left="1824" w:right="1664"/>
        <w:jc w:val="both"/>
      </w:pPr>
      <w:r>
        <w:rPr/>
        <w:t>Liabilities</w:t>
      </w:r>
      <w:r>
        <w:rPr>
          <w:spacing w:val="-7"/>
        </w:rPr>
        <w:t> </w:t>
      </w:r>
      <w:r>
        <w:rPr/>
        <w:t>for</w:t>
      </w:r>
      <w:r>
        <w:rPr>
          <w:spacing w:val="-7"/>
        </w:rPr>
        <w:t> </w:t>
      </w:r>
      <w:r>
        <w:rPr/>
        <w:t>short-term</w:t>
      </w:r>
      <w:r>
        <w:rPr>
          <w:spacing w:val="-7"/>
        </w:rPr>
        <w:t> </w:t>
      </w:r>
      <w:r>
        <w:rPr/>
        <w:t>employee</w:t>
      </w:r>
      <w:r>
        <w:rPr>
          <w:spacing w:val="-7"/>
        </w:rPr>
        <w:t> </w:t>
      </w:r>
      <w:r>
        <w:rPr/>
        <w:t>benefits</w:t>
      </w:r>
      <w:r>
        <w:rPr>
          <w:spacing w:val="-7"/>
        </w:rPr>
        <w:t> </w:t>
      </w:r>
      <w:r>
        <w:rPr/>
        <w:t>including</w:t>
      </w:r>
      <w:r>
        <w:rPr>
          <w:spacing w:val="-7"/>
        </w:rPr>
        <w:t> </w:t>
      </w:r>
      <w:r>
        <w:rPr/>
        <w:t>wages</w:t>
      </w:r>
      <w:r>
        <w:rPr>
          <w:spacing w:val="-7"/>
        </w:rPr>
        <w:t> </w:t>
      </w:r>
      <w:r>
        <w:rPr/>
        <w:t>and</w:t>
      </w:r>
      <w:r>
        <w:rPr>
          <w:spacing w:val="-7"/>
        </w:rPr>
        <w:t> </w:t>
      </w:r>
      <w:r>
        <w:rPr/>
        <w:t>salaries</w:t>
      </w:r>
      <w:r>
        <w:rPr>
          <w:spacing w:val="-7"/>
        </w:rPr>
        <w:t> </w:t>
      </w:r>
      <w:r>
        <w:rPr/>
        <w:t>and</w:t>
      </w:r>
      <w:r>
        <w:rPr>
          <w:spacing w:val="-7"/>
        </w:rPr>
        <w:t> </w:t>
      </w:r>
      <w:r>
        <w:rPr/>
        <w:t>non-monetary</w:t>
      </w:r>
      <w:r>
        <w:rPr>
          <w:spacing w:val="-7"/>
        </w:rPr>
        <w:t> </w:t>
      </w:r>
      <w:r>
        <w:rPr/>
        <w:t>benefits</w:t>
      </w:r>
      <w:r>
        <w:rPr>
          <w:spacing w:val="-7"/>
        </w:rPr>
        <w:t> </w:t>
      </w:r>
      <w:r>
        <w:rPr/>
        <w:t>are</w:t>
      </w:r>
      <w:r>
        <w:rPr>
          <w:spacing w:val="-7"/>
        </w:rPr>
        <w:t> </w:t>
      </w:r>
      <w:r>
        <w:rPr/>
        <w:t>measured</w:t>
      </w:r>
      <w:r>
        <w:rPr>
          <w:spacing w:val="-7"/>
        </w:rPr>
        <w:t> </w:t>
      </w:r>
      <w:r>
        <w:rPr/>
        <w:t>at the</w:t>
      </w:r>
      <w:r>
        <w:rPr>
          <w:spacing w:val="-5"/>
        </w:rPr>
        <w:t> </w:t>
      </w:r>
      <w:r>
        <w:rPr/>
        <w:t>amount</w:t>
      </w:r>
      <w:r>
        <w:rPr>
          <w:spacing w:val="-5"/>
        </w:rPr>
        <w:t> </w:t>
      </w:r>
      <w:r>
        <w:rPr/>
        <w:t>expected</w:t>
      </w:r>
      <w:r>
        <w:rPr>
          <w:spacing w:val="-5"/>
        </w:rPr>
        <w:t> </w:t>
      </w:r>
      <w:r>
        <w:rPr/>
        <w:t>to</w:t>
      </w:r>
      <w:r>
        <w:rPr>
          <w:spacing w:val="-5"/>
        </w:rPr>
        <w:t> </w:t>
      </w:r>
      <w:r>
        <w:rPr/>
        <w:t>be</w:t>
      </w:r>
      <w:r>
        <w:rPr>
          <w:spacing w:val="-5"/>
        </w:rPr>
        <w:t> </w:t>
      </w:r>
      <w:r>
        <w:rPr/>
        <w:t>paid</w:t>
      </w:r>
      <w:r>
        <w:rPr>
          <w:spacing w:val="-5"/>
        </w:rPr>
        <w:t> </w:t>
      </w:r>
      <w:r>
        <w:rPr/>
        <w:t>when</w:t>
      </w:r>
      <w:r>
        <w:rPr>
          <w:spacing w:val="-5"/>
        </w:rPr>
        <w:t> </w:t>
      </w:r>
      <w:r>
        <w:rPr/>
        <w:t>the</w:t>
      </w:r>
      <w:r>
        <w:rPr>
          <w:spacing w:val="-5"/>
        </w:rPr>
        <w:t> </w:t>
      </w:r>
      <w:r>
        <w:rPr/>
        <w:t>liability</w:t>
      </w:r>
      <w:r>
        <w:rPr>
          <w:spacing w:val="-5"/>
        </w:rPr>
        <w:t> </w:t>
      </w:r>
      <w:r>
        <w:rPr/>
        <w:t>is</w:t>
      </w:r>
      <w:r>
        <w:rPr>
          <w:spacing w:val="-5"/>
        </w:rPr>
        <w:t> </w:t>
      </w:r>
      <w:r>
        <w:rPr/>
        <w:t>settled,</w:t>
      </w:r>
      <w:r>
        <w:rPr>
          <w:spacing w:val="-5"/>
        </w:rPr>
        <w:t> </w:t>
      </w:r>
      <w:r>
        <w:rPr/>
        <w:t>if</w:t>
      </w:r>
      <w:r>
        <w:rPr>
          <w:spacing w:val="-5"/>
        </w:rPr>
        <w:t> </w:t>
      </w:r>
      <w:r>
        <w:rPr/>
        <w:t>it</w:t>
      </w:r>
      <w:r>
        <w:rPr>
          <w:spacing w:val="-5"/>
        </w:rPr>
        <w:t> </w:t>
      </w:r>
      <w:r>
        <w:rPr/>
        <w:t>is</w:t>
      </w:r>
      <w:r>
        <w:rPr>
          <w:spacing w:val="-5"/>
        </w:rPr>
        <w:t> </w:t>
      </w:r>
      <w:r>
        <w:rPr/>
        <w:t>expected</w:t>
      </w:r>
      <w:r>
        <w:rPr>
          <w:spacing w:val="-5"/>
        </w:rPr>
        <w:t> </w:t>
      </w:r>
      <w:r>
        <w:rPr/>
        <w:t>to</w:t>
      </w:r>
      <w:r>
        <w:rPr>
          <w:spacing w:val="-5"/>
        </w:rPr>
        <w:t> </w:t>
      </w:r>
      <w:r>
        <w:rPr/>
        <w:t>be</w:t>
      </w:r>
      <w:r>
        <w:rPr>
          <w:spacing w:val="-5"/>
        </w:rPr>
        <w:t> </w:t>
      </w:r>
      <w:r>
        <w:rPr/>
        <w:t>settled</w:t>
      </w:r>
      <w:r>
        <w:rPr>
          <w:spacing w:val="-5"/>
        </w:rPr>
        <w:t> </w:t>
      </w:r>
      <w:r>
        <w:rPr/>
        <w:t>wholly</w:t>
      </w:r>
      <w:r>
        <w:rPr>
          <w:spacing w:val="-5"/>
        </w:rPr>
        <w:t> </w:t>
      </w:r>
      <w:r>
        <w:rPr/>
        <w:t>before</w:t>
      </w:r>
      <w:r>
        <w:rPr>
          <w:spacing w:val="-5"/>
        </w:rPr>
        <w:t> </w:t>
      </w:r>
      <w:r>
        <w:rPr/>
        <w:t>twelve</w:t>
      </w:r>
      <w:r>
        <w:rPr>
          <w:spacing w:val="-5"/>
        </w:rPr>
        <w:t> </w:t>
      </w:r>
      <w:r>
        <w:rPr/>
        <w:t>months after</w:t>
      </w:r>
      <w:r>
        <w:rPr>
          <w:spacing w:val="-6"/>
        </w:rPr>
        <w:t> </w:t>
      </w:r>
      <w:r>
        <w:rPr/>
        <w:t>the</w:t>
      </w:r>
      <w:r>
        <w:rPr>
          <w:spacing w:val="-6"/>
        </w:rPr>
        <w:t> </w:t>
      </w:r>
      <w:r>
        <w:rPr/>
        <w:t>end</w:t>
      </w:r>
      <w:r>
        <w:rPr>
          <w:spacing w:val="-6"/>
        </w:rPr>
        <w:t> </w:t>
      </w:r>
      <w:r>
        <w:rPr/>
        <w:t>of</w:t>
      </w:r>
      <w:r>
        <w:rPr>
          <w:spacing w:val="-6"/>
        </w:rPr>
        <w:t> </w:t>
      </w:r>
      <w:r>
        <w:rPr/>
        <w:t>the</w:t>
      </w:r>
      <w:r>
        <w:rPr>
          <w:spacing w:val="-6"/>
        </w:rPr>
        <w:t> </w:t>
      </w:r>
      <w:r>
        <w:rPr/>
        <w:t>reporting</w:t>
      </w:r>
      <w:r>
        <w:rPr>
          <w:spacing w:val="-6"/>
        </w:rPr>
        <w:t> </w:t>
      </w:r>
      <w:r>
        <w:rPr/>
        <w:t>period,</w:t>
      </w:r>
      <w:r>
        <w:rPr>
          <w:spacing w:val="-6"/>
        </w:rPr>
        <w:t> </w:t>
      </w:r>
      <w:r>
        <w:rPr/>
        <w:t>and</w:t>
      </w:r>
      <w:r>
        <w:rPr>
          <w:spacing w:val="-6"/>
        </w:rPr>
        <w:t> </w:t>
      </w:r>
      <w:r>
        <w:rPr/>
        <w:t>is</w:t>
      </w:r>
      <w:r>
        <w:rPr>
          <w:spacing w:val="-6"/>
        </w:rPr>
        <w:t> </w:t>
      </w:r>
      <w:r>
        <w:rPr/>
        <w:t>recognised</w:t>
      </w:r>
      <w:r>
        <w:rPr>
          <w:spacing w:val="-6"/>
        </w:rPr>
        <w:t> </w:t>
      </w:r>
      <w:r>
        <w:rPr/>
        <w:t>in</w:t>
      </w:r>
      <w:r>
        <w:rPr>
          <w:spacing w:val="-6"/>
        </w:rPr>
        <w:t> </w:t>
      </w:r>
      <w:r>
        <w:rPr/>
        <w:t>other</w:t>
      </w:r>
      <w:r>
        <w:rPr>
          <w:spacing w:val="-6"/>
        </w:rPr>
        <w:t> </w:t>
      </w:r>
      <w:r>
        <w:rPr/>
        <w:t>payables.</w:t>
      </w:r>
    </w:p>
    <w:p>
      <w:pPr>
        <w:pStyle w:val="BodyText"/>
        <w:spacing w:before="11"/>
        <w:rPr>
          <w:sz w:val="24"/>
        </w:rPr>
      </w:pPr>
    </w:p>
    <w:p>
      <w:pPr>
        <w:pStyle w:val="Heading8"/>
        <w:numPr>
          <w:ilvl w:val="0"/>
          <w:numId w:val="15"/>
        </w:numPr>
        <w:tabs>
          <w:tab w:pos="2096" w:val="left" w:leader="none"/>
        </w:tabs>
        <w:spacing w:line="240" w:lineRule="auto" w:before="0" w:after="0"/>
        <w:ind w:left="2095" w:right="0" w:hanging="271"/>
        <w:jc w:val="left"/>
      </w:pPr>
      <w:r>
        <w:rPr/>
        <w:t>Annual leave and sick</w:t>
      </w:r>
      <w:r>
        <w:rPr>
          <w:spacing w:val="-28"/>
        </w:rPr>
        <w:t> </w:t>
      </w:r>
      <w:r>
        <w:rPr/>
        <w:t>leave</w:t>
      </w:r>
    </w:p>
    <w:p>
      <w:pPr>
        <w:pStyle w:val="BodyText"/>
        <w:spacing w:before="11"/>
        <w:rPr>
          <w:b/>
          <w:sz w:val="24"/>
        </w:rPr>
      </w:pPr>
    </w:p>
    <w:p>
      <w:pPr>
        <w:pStyle w:val="BodyText"/>
        <w:ind w:left="1823" w:right="1375"/>
      </w:pPr>
      <w:r>
        <w:rPr/>
        <w:t>The liability for annual leave is recognised in current provisions for employee benefits as it is due to be settled within 12 months after the end of the reporting period. It is measured at the amount expected to be paid when the liability is settled.</w:t>
      </w:r>
    </w:p>
    <w:p>
      <w:pPr>
        <w:pStyle w:val="BodyText"/>
        <w:spacing w:before="11"/>
        <w:rPr>
          <w:sz w:val="24"/>
        </w:rPr>
      </w:pPr>
    </w:p>
    <w:p>
      <w:pPr>
        <w:pStyle w:val="BodyText"/>
        <w:ind w:left="1823" w:right="1375"/>
      </w:pPr>
      <w:r>
        <w:rPr/>
        <w:t>Sick leave is cumulative but not vesting and therefore is not recognised in employee provisions. Liabilities for sick leave are recognised when the leave is taken and measured at the rates paid or payable.</w:t>
      </w:r>
    </w:p>
    <w:p>
      <w:pPr>
        <w:pStyle w:val="BodyText"/>
        <w:spacing w:before="11"/>
        <w:rPr>
          <w:sz w:val="24"/>
        </w:rPr>
      </w:pPr>
    </w:p>
    <w:p>
      <w:pPr>
        <w:pStyle w:val="Heading8"/>
        <w:numPr>
          <w:ilvl w:val="0"/>
          <w:numId w:val="15"/>
        </w:numPr>
        <w:tabs>
          <w:tab w:pos="2146" w:val="left" w:leader="none"/>
        </w:tabs>
        <w:spacing w:line="240" w:lineRule="auto" w:before="0" w:after="0"/>
        <w:ind w:left="2145" w:right="0" w:hanging="321"/>
        <w:jc w:val="left"/>
      </w:pPr>
      <w:r>
        <w:rPr/>
        <w:drawing>
          <wp:anchor distT="0" distB="0" distL="0" distR="0" allowOverlap="1" layoutInCell="1" locked="0" behindDoc="0" simplePos="0" relativeHeight="2656">
            <wp:simplePos x="0" y="0"/>
            <wp:positionH relativeFrom="page">
              <wp:posOffset>-1587</wp:posOffset>
            </wp:positionH>
            <wp:positionV relativeFrom="paragraph">
              <wp:posOffset>-2363</wp:posOffset>
            </wp:positionV>
            <wp:extent cx="136525" cy="155575"/>
            <wp:effectExtent l="0" t="0" r="0" b="0"/>
            <wp:wrapNone/>
            <wp:docPr id="131" name="image13.png" descr=""/>
            <wp:cNvGraphicFramePr>
              <a:graphicFrameLocks noChangeAspect="1"/>
            </wp:cNvGraphicFramePr>
            <a:graphic>
              <a:graphicData uri="http://schemas.openxmlformats.org/drawingml/2006/picture">
                <pic:pic>
                  <pic:nvPicPr>
                    <pic:cNvPr id="132" name="image13.png"/>
                    <pic:cNvPicPr/>
                  </pic:nvPicPr>
                  <pic:blipFill>
                    <a:blip r:embed="rId18" cstate="print"/>
                    <a:stretch>
                      <a:fillRect/>
                    </a:stretch>
                  </pic:blipFill>
                  <pic:spPr>
                    <a:xfrm>
                      <a:off x="0" y="0"/>
                      <a:ext cx="136525" cy="155575"/>
                    </a:xfrm>
                    <a:prstGeom prst="rect">
                      <a:avLst/>
                    </a:prstGeom>
                  </pic:spPr>
                </pic:pic>
              </a:graphicData>
            </a:graphic>
          </wp:anchor>
        </w:drawing>
      </w:r>
      <w:r>
        <w:rPr/>
        <w:drawing>
          <wp:anchor distT="0" distB="0" distL="0" distR="0" allowOverlap="1" layoutInCell="1" locked="0" behindDoc="0" simplePos="0" relativeHeight="2680">
            <wp:simplePos x="0" y="0"/>
            <wp:positionH relativeFrom="page">
              <wp:posOffset>7958429</wp:posOffset>
            </wp:positionH>
            <wp:positionV relativeFrom="paragraph">
              <wp:posOffset>-2363</wp:posOffset>
            </wp:positionV>
            <wp:extent cx="135953" cy="155575"/>
            <wp:effectExtent l="0" t="0" r="0" b="0"/>
            <wp:wrapNone/>
            <wp:docPr id="133" name="image15.png" descr=""/>
            <wp:cNvGraphicFramePr>
              <a:graphicFrameLocks noChangeAspect="1"/>
            </wp:cNvGraphicFramePr>
            <a:graphic>
              <a:graphicData uri="http://schemas.openxmlformats.org/drawingml/2006/picture">
                <pic:pic>
                  <pic:nvPicPr>
                    <pic:cNvPr id="134" name="image15.png"/>
                    <pic:cNvPicPr/>
                  </pic:nvPicPr>
                  <pic:blipFill>
                    <a:blip r:embed="rId20" cstate="print"/>
                    <a:stretch>
                      <a:fillRect/>
                    </a:stretch>
                  </pic:blipFill>
                  <pic:spPr>
                    <a:xfrm>
                      <a:off x="0" y="0"/>
                      <a:ext cx="135953" cy="155575"/>
                    </a:xfrm>
                    <a:prstGeom prst="rect">
                      <a:avLst/>
                    </a:prstGeom>
                  </pic:spPr>
                </pic:pic>
              </a:graphicData>
            </a:graphic>
          </wp:anchor>
        </w:drawing>
      </w:r>
      <w:r>
        <w:rPr/>
        <w:t>Long service</w:t>
      </w:r>
      <w:r>
        <w:rPr>
          <w:spacing w:val="-16"/>
        </w:rPr>
        <w:t> </w:t>
      </w:r>
      <w:r>
        <w:rPr/>
        <w:t>leave</w:t>
      </w:r>
    </w:p>
    <w:p>
      <w:pPr>
        <w:pStyle w:val="BodyText"/>
        <w:spacing w:before="11"/>
        <w:rPr>
          <w:b/>
          <w:sz w:val="24"/>
        </w:rPr>
      </w:pPr>
    </w:p>
    <w:p>
      <w:pPr>
        <w:pStyle w:val="BodyText"/>
        <w:ind w:left="1823" w:right="1375"/>
      </w:pPr>
      <w:r>
        <w:rPr/>
        <w:t>The liability for long service leave is recognised in the provision for employee benefits and measured at the present value of expected future payments to be made in respect of services provided by employees up to the reporting date using the projected unit credit method. Consideration is given to expected future wage and salary levels, experience of employee departures and periods of service. Expected future payments are discounted using market yields at the reporting date on national government bonds with terms to maturity and currency that match, as closely as possible, the estimated future cash outflows.</w:t>
      </w:r>
    </w:p>
    <w:p>
      <w:pPr>
        <w:pStyle w:val="BodyText"/>
        <w:spacing w:before="11"/>
        <w:rPr>
          <w:sz w:val="24"/>
        </w:rPr>
      </w:pPr>
    </w:p>
    <w:p>
      <w:pPr>
        <w:pStyle w:val="BodyText"/>
        <w:ind w:left="1823" w:right="1407"/>
      </w:pPr>
      <w:r>
        <w:rPr/>
        <w:t>Regardless of the expected timing of settlements, provisions made in respect of employee benefits are classified as a current liability, unless there is an unconditional right to defer the settlement of the liability for at least twelve months after the reporting date, in which case it would be classified as a non-current liability.</w:t>
      </w:r>
    </w:p>
    <w:p>
      <w:pPr>
        <w:pStyle w:val="BodyText"/>
        <w:spacing w:before="11"/>
        <w:rPr>
          <w:sz w:val="24"/>
        </w:rPr>
      </w:pPr>
    </w:p>
    <w:p>
      <w:pPr>
        <w:pStyle w:val="Heading8"/>
        <w:numPr>
          <w:ilvl w:val="0"/>
          <w:numId w:val="15"/>
        </w:numPr>
        <w:tabs>
          <w:tab w:pos="2141" w:val="left" w:leader="none"/>
        </w:tabs>
        <w:spacing w:line="240" w:lineRule="auto" w:before="0" w:after="0"/>
        <w:ind w:left="2140" w:right="0" w:hanging="316"/>
        <w:jc w:val="left"/>
      </w:pPr>
      <w:r>
        <w:rPr/>
        <w:t>obligations</w:t>
      </w:r>
    </w:p>
    <w:p>
      <w:pPr>
        <w:pStyle w:val="BodyText"/>
        <w:spacing w:before="11"/>
        <w:rPr>
          <w:b/>
          <w:sz w:val="24"/>
        </w:rPr>
      </w:pPr>
    </w:p>
    <w:p>
      <w:pPr>
        <w:pStyle w:val="BodyText"/>
        <w:ind w:left="1823" w:right="1375"/>
      </w:pPr>
      <w:r>
        <w:rPr/>
        <w:t>Employees of the Group that are members of Unisuper are entitled to benefits on retirement, disability or death from the Group’s superannuation plan. The Group has a defined benefit section and defined contribution section within its plan. The defined benefit section provides defined lump sum benefits based on years of service and final average salary. The defined contribution section receives fixed contributions from Group companies and the Group’s legal or constructive obligation is limited to these contributions.</w:t>
      </w:r>
    </w:p>
    <w:p>
      <w:pPr>
        <w:pStyle w:val="BodyText"/>
        <w:spacing w:before="11"/>
        <w:rPr>
          <w:sz w:val="24"/>
        </w:rPr>
      </w:pPr>
    </w:p>
    <w:p>
      <w:pPr>
        <w:pStyle w:val="BodyText"/>
        <w:ind w:left="1823" w:right="1375"/>
      </w:pPr>
      <w:r>
        <w:rPr/>
        <w:t>A liability or asset in respect of defined benefit superannuation plans is recognised in the statement of financial position, and is measured at the present value of the defined benefit obligation at the reporting date less the fair value of the superannuation fund’s assets at that date. The present value of the defined benefit obligation is based on expected future payments which arise from membership of the fund to the reporting date, calculated annually by independent actuaries using the projected unit credit method. Consideration is given to expected future wage and salary levels, experience of employee departures and periods of service.</w:t>
      </w:r>
    </w:p>
    <w:p>
      <w:pPr>
        <w:pStyle w:val="BodyText"/>
        <w:spacing w:before="11"/>
        <w:rPr>
          <w:sz w:val="24"/>
        </w:rPr>
      </w:pPr>
    </w:p>
    <w:p>
      <w:pPr>
        <w:pStyle w:val="BodyText"/>
        <w:ind w:left="1823" w:right="1375"/>
      </w:pPr>
      <w:r>
        <w:rPr/>
        <w:t>Expected future payments are discounted using market yields at the reporting date on national government bonds with terms to maturity and currency that match, as closely as possible, the estimated future cash outflows.</w:t>
      </w:r>
    </w:p>
    <w:p>
      <w:pPr>
        <w:spacing w:after="0"/>
        <w:sectPr>
          <w:pgSz w:w="12750" w:h="17680"/>
          <w:pgMar w:header="0" w:footer="927" w:top="2640" w:bottom="1120" w:left="0" w:right="0"/>
        </w:sectPr>
      </w:pPr>
    </w:p>
    <w:p>
      <w:pPr>
        <w:pStyle w:val="BodyText"/>
        <w:rPr>
          <w:sz w:val="20"/>
        </w:rPr>
      </w:pPr>
    </w:p>
    <w:p>
      <w:pPr>
        <w:pStyle w:val="BodyText"/>
        <w:rPr>
          <w:sz w:val="20"/>
        </w:rPr>
      </w:pPr>
    </w:p>
    <w:p>
      <w:pPr>
        <w:pStyle w:val="BodyText"/>
        <w:spacing w:before="4"/>
      </w:pPr>
    </w:p>
    <w:p>
      <w:pPr>
        <w:pStyle w:val="Heading8"/>
        <w:tabs>
          <w:tab w:pos="1823" w:val="left" w:leader="none"/>
        </w:tabs>
        <w:ind w:left="1429"/>
      </w:pPr>
      <w:r>
        <w:rPr/>
        <w:t>1</w:t>
        <w:tab/>
        <w:t>Summary of Significant Accounting Policies</w:t>
      </w:r>
      <w:r>
        <w:rPr>
          <w:spacing w:val="-6"/>
        </w:rPr>
        <w:t> </w:t>
      </w:r>
      <w:r>
        <w:rPr/>
        <w:t>(continued)</w:t>
      </w:r>
    </w:p>
    <w:p>
      <w:pPr>
        <w:pStyle w:val="BodyText"/>
        <w:spacing w:before="11"/>
        <w:rPr>
          <w:b/>
          <w:sz w:val="24"/>
        </w:rPr>
      </w:pPr>
    </w:p>
    <w:p>
      <w:pPr>
        <w:pStyle w:val="ListParagraph"/>
        <w:numPr>
          <w:ilvl w:val="0"/>
          <w:numId w:val="16"/>
        </w:numPr>
        <w:tabs>
          <w:tab w:pos="2391" w:val="left" w:leader="none"/>
        </w:tabs>
        <w:spacing w:line="240" w:lineRule="auto" w:before="0" w:after="0"/>
        <w:ind w:left="2390" w:right="0" w:hanging="566"/>
        <w:jc w:val="left"/>
        <w:rPr>
          <w:b/>
          <w:sz w:val="18"/>
        </w:rPr>
      </w:pPr>
      <w:r>
        <w:rPr>
          <w:b/>
          <w:sz w:val="18"/>
        </w:rPr>
        <w:t>Employee benefits (continued)</w:t>
      </w:r>
    </w:p>
    <w:p>
      <w:pPr>
        <w:pStyle w:val="BodyText"/>
        <w:spacing w:before="11"/>
        <w:rPr>
          <w:b/>
          <w:sz w:val="24"/>
        </w:rPr>
      </w:pPr>
    </w:p>
    <w:p>
      <w:pPr>
        <w:pStyle w:val="BodyText"/>
        <w:ind w:left="1823" w:right="1375"/>
      </w:pPr>
      <w:r>
        <w:rPr/>
        <w:t>Remeasurement gains and losses arising from experience adjustments and changes in actuarial assumptions are recognised in the period in which they occur, directly in other comprehensive income. They are included in the retained earnings in the statement of changes in equity and in the statement of financial position.</w:t>
      </w:r>
    </w:p>
    <w:p>
      <w:pPr>
        <w:pStyle w:val="BodyText"/>
        <w:spacing w:before="11"/>
        <w:rPr>
          <w:sz w:val="24"/>
        </w:rPr>
      </w:pPr>
    </w:p>
    <w:p>
      <w:pPr>
        <w:pStyle w:val="BodyText"/>
        <w:ind w:left="1824"/>
      </w:pPr>
      <w:r>
        <w:rPr/>
        <w:t>Past service costs are recognised in profit or loss immediately.</w:t>
      </w:r>
    </w:p>
    <w:p>
      <w:pPr>
        <w:pStyle w:val="BodyText"/>
        <w:spacing w:before="11"/>
        <w:rPr>
          <w:sz w:val="24"/>
        </w:rPr>
      </w:pPr>
    </w:p>
    <w:p>
      <w:pPr>
        <w:pStyle w:val="BodyText"/>
        <w:ind w:left="1823" w:right="1375"/>
      </w:pPr>
      <w:r>
        <w:rPr/>
        <w:t>Contributions to the defined contributions section of Western Sydney University's superannuation fund and other independent defined contribution superannuation funds are recognised as an expense as they become payable.</w:t>
      </w:r>
    </w:p>
    <w:p>
      <w:pPr>
        <w:pStyle w:val="BodyText"/>
        <w:spacing w:before="11"/>
        <w:rPr>
          <w:sz w:val="24"/>
        </w:rPr>
      </w:pPr>
    </w:p>
    <w:p>
      <w:pPr>
        <w:pStyle w:val="Heading8"/>
        <w:numPr>
          <w:ilvl w:val="0"/>
          <w:numId w:val="17"/>
        </w:numPr>
        <w:tabs>
          <w:tab w:pos="2090" w:val="left" w:leader="none"/>
        </w:tabs>
        <w:spacing w:line="240" w:lineRule="auto" w:before="0" w:after="0"/>
        <w:ind w:left="2089" w:right="0" w:hanging="265"/>
        <w:jc w:val="left"/>
      </w:pPr>
      <w:r>
        <w:rPr/>
        <w:t>Deferred government benefit for</w:t>
      </w:r>
      <w:r>
        <w:rPr>
          <w:spacing w:val="-16"/>
        </w:rPr>
        <w:t> </w:t>
      </w:r>
      <w:r>
        <w:rPr/>
        <w:t>superannuation</w:t>
      </w:r>
    </w:p>
    <w:p>
      <w:pPr>
        <w:pStyle w:val="BodyText"/>
        <w:spacing w:before="11"/>
        <w:rPr>
          <w:b/>
          <w:sz w:val="24"/>
        </w:rPr>
      </w:pPr>
    </w:p>
    <w:p>
      <w:pPr>
        <w:pStyle w:val="BodyText"/>
        <w:ind w:left="1824" w:right="1450"/>
      </w:pPr>
      <w:r>
        <w:rPr/>
        <w:t>In accordance with the 1998 instructions issued by the Department of Education, Training and Youth Affairs (DETYA) now known as the Department of Education (Education), the effects of the unfunded superannuation liabilities of Western Sydney University and its controlled entities were recorded in the income statement and the statement of financial position for the first time in 1998. The prior years’ practice had been to disclose liabilities by way of a note to the financial statements.</w:t>
      </w:r>
    </w:p>
    <w:p>
      <w:pPr>
        <w:pStyle w:val="BodyText"/>
        <w:spacing w:before="11"/>
        <w:rPr>
          <w:sz w:val="24"/>
        </w:rPr>
      </w:pPr>
    </w:p>
    <w:p>
      <w:pPr>
        <w:pStyle w:val="BodyText"/>
        <w:ind w:left="1823" w:right="1407"/>
      </w:pPr>
      <w:r>
        <w:rPr/>
        <w:drawing>
          <wp:anchor distT="0" distB="0" distL="0" distR="0" allowOverlap="1" layoutInCell="1" locked="0" behindDoc="0" simplePos="0" relativeHeight="2704">
            <wp:simplePos x="0" y="0"/>
            <wp:positionH relativeFrom="page">
              <wp:posOffset>-1587</wp:posOffset>
            </wp:positionH>
            <wp:positionV relativeFrom="paragraph">
              <wp:posOffset>311580</wp:posOffset>
            </wp:positionV>
            <wp:extent cx="136525" cy="155575"/>
            <wp:effectExtent l="0" t="0" r="0" b="0"/>
            <wp:wrapNone/>
            <wp:docPr id="135" name="image13.png" descr=""/>
            <wp:cNvGraphicFramePr>
              <a:graphicFrameLocks noChangeAspect="1"/>
            </wp:cNvGraphicFramePr>
            <a:graphic>
              <a:graphicData uri="http://schemas.openxmlformats.org/drawingml/2006/picture">
                <pic:pic>
                  <pic:nvPicPr>
                    <pic:cNvPr id="136" name="image13.png"/>
                    <pic:cNvPicPr/>
                  </pic:nvPicPr>
                  <pic:blipFill>
                    <a:blip r:embed="rId18" cstate="print"/>
                    <a:stretch>
                      <a:fillRect/>
                    </a:stretch>
                  </pic:blipFill>
                  <pic:spPr>
                    <a:xfrm>
                      <a:off x="0" y="0"/>
                      <a:ext cx="136525" cy="155575"/>
                    </a:xfrm>
                    <a:prstGeom prst="rect">
                      <a:avLst/>
                    </a:prstGeom>
                  </pic:spPr>
                </pic:pic>
              </a:graphicData>
            </a:graphic>
          </wp:anchor>
        </w:drawing>
      </w:r>
      <w:r>
        <w:rPr/>
        <w:drawing>
          <wp:anchor distT="0" distB="0" distL="0" distR="0" allowOverlap="1" layoutInCell="1" locked="0" behindDoc="0" simplePos="0" relativeHeight="2728">
            <wp:simplePos x="0" y="0"/>
            <wp:positionH relativeFrom="page">
              <wp:posOffset>7958429</wp:posOffset>
            </wp:positionH>
            <wp:positionV relativeFrom="paragraph">
              <wp:posOffset>311580</wp:posOffset>
            </wp:positionV>
            <wp:extent cx="135953" cy="155575"/>
            <wp:effectExtent l="0" t="0" r="0" b="0"/>
            <wp:wrapNone/>
            <wp:docPr id="137" name="image15.png" descr=""/>
            <wp:cNvGraphicFramePr>
              <a:graphicFrameLocks noChangeAspect="1"/>
            </wp:cNvGraphicFramePr>
            <a:graphic>
              <a:graphicData uri="http://schemas.openxmlformats.org/drawingml/2006/picture">
                <pic:pic>
                  <pic:nvPicPr>
                    <pic:cNvPr id="138" name="image15.png"/>
                    <pic:cNvPicPr/>
                  </pic:nvPicPr>
                  <pic:blipFill>
                    <a:blip r:embed="rId20" cstate="print"/>
                    <a:stretch>
                      <a:fillRect/>
                    </a:stretch>
                  </pic:blipFill>
                  <pic:spPr>
                    <a:xfrm>
                      <a:off x="0" y="0"/>
                      <a:ext cx="135953" cy="155575"/>
                    </a:xfrm>
                    <a:prstGeom prst="rect">
                      <a:avLst/>
                    </a:prstGeom>
                  </pic:spPr>
                </pic:pic>
              </a:graphicData>
            </a:graphic>
          </wp:anchor>
        </w:drawing>
      </w:r>
      <w:r>
        <w:rPr/>
        <w:t>The unfunded liabilities recorded in the statement of financial position under Provisions have been determined by Mercer Human Resource Consulting Ltd and relate to the State Superannuation Scheme, the State Authorities Superannuation Scheme and the State Authorities Non Contributory Scheme. This assessment was based on the full requirements of AASB 119.</w:t>
      </w:r>
    </w:p>
    <w:p>
      <w:pPr>
        <w:pStyle w:val="BodyText"/>
        <w:spacing w:before="11"/>
        <w:rPr>
          <w:sz w:val="24"/>
        </w:rPr>
      </w:pPr>
    </w:p>
    <w:p>
      <w:pPr>
        <w:pStyle w:val="BodyText"/>
        <w:ind w:left="1823" w:right="1375"/>
      </w:pPr>
      <w:r>
        <w:rPr/>
        <w:t>Deferred government benefits for superannuation are the amounts recognised as reimbursement rights as they are the amounts expected to be received from the Australian Government for the emerging costs of the superannuation funds for the life of the liability.</w:t>
      </w:r>
    </w:p>
    <w:p>
      <w:pPr>
        <w:pStyle w:val="BodyText"/>
        <w:spacing w:before="11"/>
        <w:rPr>
          <w:sz w:val="24"/>
        </w:rPr>
      </w:pPr>
    </w:p>
    <w:p>
      <w:pPr>
        <w:pStyle w:val="BodyText"/>
        <w:ind w:left="1823"/>
      </w:pPr>
      <w:r>
        <w:rPr/>
        <w:t>Note 41 discloses specific treatment.</w:t>
      </w:r>
    </w:p>
    <w:p>
      <w:pPr>
        <w:pStyle w:val="BodyText"/>
        <w:spacing w:before="11"/>
        <w:rPr>
          <w:sz w:val="24"/>
        </w:rPr>
      </w:pPr>
    </w:p>
    <w:p>
      <w:pPr>
        <w:pStyle w:val="Heading8"/>
        <w:numPr>
          <w:ilvl w:val="0"/>
          <w:numId w:val="17"/>
        </w:numPr>
        <w:tabs>
          <w:tab w:pos="2141" w:val="left" w:leader="none"/>
        </w:tabs>
        <w:spacing w:line="240" w:lineRule="auto" w:before="0" w:after="0"/>
        <w:ind w:left="2140" w:right="0" w:hanging="316"/>
        <w:jc w:val="left"/>
      </w:pPr>
      <w:r>
        <w:rPr/>
        <w:t>) Termination</w:t>
      </w:r>
      <w:r>
        <w:rPr>
          <w:spacing w:val="-1"/>
        </w:rPr>
        <w:t> </w:t>
      </w:r>
      <w:r>
        <w:rPr/>
        <w:t>Benefits</w:t>
      </w:r>
    </w:p>
    <w:p>
      <w:pPr>
        <w:pStyle w:val="BodyText"/>
        <w:spacing w:before="11"/>
        <w:rPr>
          <w:b/>
          <w:sz w:val="24"/>
        </w:rPr>
      </w:pPr>
    </w:p>
    <w:p>
      <w:pPr>
        <w:pStyle w:val="BodyText"/>
        <w:ind w:left="1823" w:right="1375"/>
      </w:pPr>
      <w:r>
        <w:rPr/>
        <w:t>Termination benefits are payable when employment is terminated before the normal retirement date, or when an employee accepts an offer of benefits in exchange for the termination of employment. The Group recognises the expense and liability for termination benefits either when it can no longer withdraw the offer of those benefits or when it has recognised costs for restructuring within the scope of AASB 137 that involves the payment of termination benefits. The expense and liability are recognised when the Group is demonstrably committed to either terminating the employment of current employees according to a detailed formal plan without possibility of withdrawal or providing termination benefits as a result of an offer made to encourage voluntary redundancy.</w:t>
      </w:r>
    </w:p>
    <w:p>
      <w:pPr>
        <w:pStyle w:val="BodyText"/>
        <w:spacing w:before="11"/>
        <w:rPr>
          <w:sz w:val="24"/>
        </w:rPr>
      </w:pPr>
    </w:p>
    <w:p>
      <w:pPr>
        <w:pStyle w:val="BodyText"/>
        <w:ind w:left="1823" w:right="1375"/>
      </w:pPr>
      <w:r>
        <w:rPr/>
        <w:t>Termination benefits are measured on initial recognition and subsequent changes are measured and recognised in accordance with the nature of the employee benefit. Benefits expected to be settled wholly within twelve months are measured at the undiscounted amount expected to be paid. Benefits not expected to be settled before twelve months after the end of the reporting period are discounted to present value.</w:t>
      </w:r>
    </w:p>
    <w:p>
      <w:pPr>
        <w:spacing w:after="0"/>
        <w:sectPr>
          <w:pgSz w:w="12750" w:h="17680"/>
          <w:pgMar w:header="0" w:footer="927" w:top="2640" w:bottom="1120" w:left="0" w:right="0"/>
        </w:sectPr>
      </w:pPr>
    </w:p>
    <w:p>
      <w:pPr>
        <w:pStyle w:val="BodyText"/>
        <w:rPr>
          <w:sz w:val="20"/>
        </w:rPr>
      </w:pPr>
    </w:p>
    <w:p>
      <w:pPr>
        <w:pStyle w:val="BodyText"/>
        <w:rPr>
          <w:sz w:val="20"/>
        </w:rPr>
      </w:pPr>
    </w:p>
    <w:p>
      <w:pPr>
        <w:pStyle w:val="BodyText"/>
        <w:spacing w:before="4"/>
      </w:pPr>
    </w:p>
    <w:p>
      <w:pPr>
        <w:pStyle w:val="Heading8"/>
        <w:tabs>
          <w:tab w:pos="1823" w:val="left" w:leader="none"/>
        </w:tabs>
        <w:ind w:left="1429"/>
      </w:pPr>
      <w:bookmarkStart w:name="Financial guarantee contracts" w:id="41"/>
      <w:bookmarkEnd w:id="41"/>
      <w:r>
        <w:rPr>
          <w:b w:val="0"/>
        </w:rPr>
      </w:r>
      <w:r>
        <w:rPr/>
        <w:t>1</w:t>
        <w:tab/>
        <w:t>Summary of Significant Accounting Policies</w:t>
      </w:r>
      <w:r>
        <w:rPr>
          <w:spacing w:val="-6"/>
        </w:rPr>
        <w:t> </w:t>
      </w:r>
      <w:r>
        <w:rPr/>
        <w:t>(continued)</w:t>
      </w:r>
    </w:p>
    <w:p>
      <w:pPr>
        <w:pStyle w:val="BodyText"/>
        <w:spacing w:before="11"/>
        <w:rPr>
          <w:b/>
          <w:sz w:val="24"/>
        </w:rPr>
      </w:pPr>
    </w:p>
    <w:p>
      <w:pPr>
        <w:pStyle w:val="ListParagraph"/>
        <w:numPr>
          <w:ilvl w:val="0"/>
          <w:numId w:val="16"/>
        </w:numPr>
        <w:tabs>
          <w:tab w:pos="2391" w:val="left" w:leader="none"/>
        </w:tabs>
        <w:spacing w:line="240" w:lineRule="auto" w:before="0" w:after="0"/>
        <w:ind w:left="2390" w:right="0" w:hanging="566"/>
        <w:jc w:val="left"/>
        <w:rPr>
          <w:b/>
          <w:sz w:val="18"/>
        </w:rPr>
      </w:pPr>
      <w:r>
        <w:rPr>
          <w:b/>
          <w:sz w:val="18"/>
        </w:rPr>
        <w:t>Financial guarantee contracts</w:t>
      </w:r>
    </w:p>
    <w:p>
      <w:pPr>
        <w:pStyle w:val="BodyText"/>
        <w:spacing w:before="11"/>
        <w:rPr>
          <w:b/>
          <w:sz w:val="24"/>
        </w:rPr>
      </w:pPr>
    </w:p>
    <w:p>
      <w:pPr>
        <w:pStyle w:val="BodyText"/>
        <w:ind w:left="1823" w:right="1375"/>
      </w:pPr>
      <w:r>
        <w:rPr/>
        <w:t>Financial guarantee contracts are recognised as a liability at the time the guarantee is issued. The liability is initially measured at fair value, and subsequently at the higher of the amount determined in accordance with AASB 137 Provisions, Contingent Liabilities and Contingent Assets and the amount initially recognised less cumulative amortisation, where appropriate.</w:t>
      </w:r>
    </w:p>
    <w:p>
      <w:pPr>
        <w:pStyle w:val="BodyText"/>
        <w:spacing w:before="11"/>
        <w:rPr>
          <w:sz w:val="24"/>
        </w:rPr>
      </w:pPr>
    </w:p>
    <w:p>
      <w:pPr>
        <w:pStyle w:val="BodyText"/>
        <w:ind w:left="1823" w:right="1437"/>
        <w:jc w:val="both"/>
      </w:pPr>
      <w:r>
        <w:rPr/>
        <w:t>The</w:t>
      </w:r>
      <w:r>
        <w:rPr>
          <w:spacing w:val="-6"/>
        </w:rPr>
        <w:t> </w:t>
      </w:r>
      <w:r>
        <w:rPr/>
        <w:t>fair</w:t>
      </w:r>
      <w:r>
        <w:rPr>
          <w:spacing w:val="-6"/>
        </w:rPr>
        <w:t> </w:t>
      </w:r>
      <w:r>
        <w:rPr/>
        <w:t>value</w:t>
      </w:r>
      <w:r>
        <w:rPr>
          <w:spacing w:val="-6"/>
        </w:rPr>
        <w:t> </w:t>
      </w:r>
      <w:r>
        <w:rPr/>
        <w:t>of</w:t>
      </w:r>
      <w:r>
        <w:rPr>
          <w:spacing w:val="-6"/>
        </w:rPr>
        <w:t> </w:t>
      </w:r>
      <w:r>
        <w:rPr/>
        <w:t>financial</w:t>
      </w:r>
      <w:r>
        <w:rPr>
          <w:spacing w:val="-6"/>
        </w:rPr>
        <w:t> </w:t>
      </w:r>
      <w:r>
        <w:rPr/>
        <w:t>guarantees</w:t>
      </w:r>
      <w:r>
        <w:rPr>
          <w:spacing w:val="-6"/>
        </w:rPr>
        <w:t> </w:t>
      </w:r>
      <w:r>
        <w:rPr/>
        <w:t>is</w:t>
      </w:r>
      <w:r>
        <w:rPr>
          <w:spacing w:val="-6"/>
        </w:rPr>
        <w:t> </w:t>
      </w:r>
      <w:r>
        <w:rPr/>
        <w:t>determined</w:t>
      </w:r>
      <w:r>
        <w:rPr>
          <w:spacing w:val="-6"/>
        </w:rPr>
        <w:t> </w:t>
      </w:r>
      <w:r>
        <w:rPr/>
        <w:t>as</w:t>
      </w:r>
      <w:r>
        <w:rPr>
          <w:spacing w:val="-6"/>
        </w:rPr>
        <w:t> </w:t>
      </w:r>
      <w:r>
        <w:rPr/>
        <w:t>the</w:t>
      </w:r>
      <w:r>
        <w:rPr>
          <w:spacing w:val="-6"/>
        </w:rPr>
        <w:t> </w:t>
      </w:r>
      <w:r>
        <w:rPr/>
        <w:t>present</w:t>
      </w:r>
      <w:r>
        <w:rPr>
          <w:spacing w:val="-6"/>
        </w:rPr>
        <w:t> </w:t>
      </w:r>
      <w:r>
        <w:rPr/>
        <w:t>value</w:t>
      </w:r>
      <w:r>
        <w:rPr>
          <w:spacing w:val="-6"/>
        </w:rPr>
        <w:t> </w:t>
      </w:r>
      <w:r>
        <w:rPr/>
        <w:t>of</w:t>
      </w:r>
      <w:r>
        <w:rPr>
          <w:spacing w:val="-6"/>
        </w:rPr>
        <w:t> </w:t>
      </w:r>
      <w:r>
        <w:rPr/>
        <w:t>the</w:t>
      </w:r>
      <w:r>
        <w:rPr>
          <w:spacing w:val="-6"/>
        </w:rPr>
        <w:t> </w:t>
      </w:r>
      <w:r>
        <w:rPr/>
        <w:t>difference</w:t>
      </w:r>
      <w:r>
        <w:rPr>
          <w:spacing w:val="-6"/>
        </w:rPr>
        <w:t> </w:t>
      </w:r>
      <w:r>
        <w:rPr/>
        <w:t>in</w:t>
      </w:r>
      <w:r>
        <w:rPr>
          <w:spacing w:val="-6"/>
        </w:rPr>
        <w:t> </w:t>
      </w:r>
      <w:r>
        <w:rPr/>
        <w:t>net</w:t>
      </w:r>
      <w:r>
        <w:rPr>
          <w:spacing w:val="-6"/>
        </w:rPr>
        <w:t> </w:t>
      </w:r>
      <w:r>
        <w:rPr/>
        <w:t>cash</w:t>
      </w:r>
      <w:r>
        <w:rPr>
          <w:spacing w:val="-6"/>
        </w:rPr>
        <w:t> </w:t>
      </w:r>
      <w:r>
        <w:rPr/>
        <w:t>flows</w:t>
      </w:r>
      <w:r>
        <w:rPr>
          <w:spacing w:val="-6"/>
        </w:rPr>
        <w:t> </w:t>
      </w:r>
      <w:r>
        <w:rPr/>
        <w:t>between</w:t>
      </w:r>
      <w:r>
        <w:rPr>
          <w:spacing w:val="-6"/>
        </w:rPr>
        <w:t> </w:t>
      </w:r>
      <w:r>
        <w:rPr/>
        <w:t>the contractual payments under the debt instrument and the payments that would be required without the guarantee, or the estimated</w:t>
      </w:r>
      <w:r>
        <w:rPr>
          <w:spacing w:val="-6"/>
        </w:rPr>
        <w:t> </w:t>
      </w:r>
      <w:r>
        <w:rPr/>
        <w:t>amount</w:t>
      </w:r>
      <w:r>
        <w:rPr>
          <w:spacing w:val="-6"/>
        </w:rPr>
        <w:t> </w:t>
      </w:r>
      <w:r>
        <w:rPr/>
        <w:t>that</w:t>
      </w:r>
      <w:r>
        <w:rPr>
          <w:spacing w:val="-6"/>
        </w:rPr>
        <w:t> </w:t>
      </w:r>
      <w:r>
        <w:rPr/>
        <w:t>would</w:t>
      </w:r>
      <w:r>
        <w:rPr>
          <w:spacing w:val="-6"/>
        </w:rPr>
        <w:t> </w:t>
      </w:r>
      <w:r>
        <w:rPr/>
        <w:t>be</w:t>
      </w:r>
      <w:r>
        <w:rPr>
          <w:spacing w:val="-6"/>
        </w:rPr>
        <w:t> </w:t>
      </w:r>
      <w:r>
        <w:rPr/>
        <w:t>payable</w:t>
      </w:r>
      <w:r>
        <w:rPr>
          <w:spacing w:val="-6"/>
        </w:rPr>
        <w:t> </w:t>
      </w:r>
      <w:r>
        <w:rPr/>
        <w:t>to</w:t>
      </w:r>
      <w:r>
        <w:rPr>
          <w:spacing w:val="-6"/>
        </w:rPr>
        <w:t> </w:t>
      </w:r>
      <w:r>
        <w:rPr/>
        <w:t>a</w:t>
      </w:r>
      <w:r>
        <w:rPr>
          <w:spacing w:val="-6"/>
        </w:rPr>
        <w:t> </w:t>
      </w:r>
      <w:r>
        <w:rPr/>
        <w:t>third</w:t>
      </w:r>
      <w:r>
        <w:rPr>
          <w:spacing w:val="-6"/>
        </w:rPr>
        <w:t> </w:t>
      </w:r>
      <w:r>
        <w:rPr/>
        <w:t>party</w:t>
      </w:r>
      <w:r>
        <w:rPr>
          <w:spacing w:val="-6"/>
        </w:rPr>
        <w:t> </w:t>
      </w:r>
      <w:r>
        <w:rPr/>
        <w:t>for</w:t>
      </w:r>
      <w:r>
        <w:rPr>
          <w:spacing w:val="-6"/>
        </w:rPr>
        <w:t> </w:t>
      </w:r>
      <w:r>
        <w:rPr/>
        <w:t>assuming</w:t>
      </w:r>
      <w:r>
        <w:rPr>
          <w:spacing w:val="-6"/>
        </w:rPr>
        <w:t> </w:t>
      </w:r>
      <w:r>
        <w:rPr/>
        <w:t>the</w:t>
      </w:r>
      <w:r>
        <w:rPr>
          <w:spacing w:val="-6"/>
        </w:rPr>
        <w:t> </w:t>
      </w:r>
      <w:r>
        <w:rPr/>
        <w:t>obligations.</w:t>
      </w:r>
    </w:p>
    <w:p>
      <w:pPr>
        <w:pStyle w:val="BodyText"/>
        <w:spacing w:before="11"/>
        <w:rPr>
          <w:sz w:val="24"/>
        </w:rPr>
      </w:pPr>
    </w:p>
    <w:p>
      <w:pPr>
        <w:pStyle w:val="BodyText"/>
        <w:ind w:left="1823" w:right="1338"/>
      </w:pPr>
      <w:bookmarkStart w:name="(z) Rounding of amounts" w:id="42"/>
      <w:bookmarkEnd w:id="42"/>
      <w:r>
        <w:rPr/>
      </w:r>
      <w:r>
        <w:rPr/>
        <w:t>Where guarantees in relation to loans or other payables of subsidiaries or associates are provided for no compensation, the fair values are accounted for as contributions and recognised as part of the cost of the investment.</w:t>
      </w:r>
    </w:p>
    <w:p>
      <w:pPr>
        <w:pStyle w:val="BodyText"/>
        <w:spacing w:before="11"/>
        <w:rPr>
          <w:sz w:val="24"/>
        </w:rPr>
      </w:pPr>
    </w:p>
    <w:p>
      <w:pPr>
        <w:pStyle w:val="Heading8"/>
        <w:numPr>
          <w:ilvl w:val="0"/>
          <w:numId w:val="16"/>
        </w:numPr>
        <w:tabs>
          <w:tab w:pos="2391" w:val="left" w:leader="none"/>
        </w:tabs>
        <w:spacing w:line="240" w:lineRule="auto" w:before="0" w:after="0"/>
        <w:ind w:left="2390" w:right="0" w:hanging="566"/>
        <w:jc w:val="left"/>
      </w:pPr>
      <w:r>
        <w:rPr/>
        <w:t>Rounding of amounts</w:t>
      </w:r>
    </w:p>
    <w:p>
      <w:pPr>
        <w:pStyle w:val="BodyText"/>
        <w:spacing w:before="11"/>
        <w:rPr>
          <w:b/>
          <w:sz w:val="24"/>
        </w:rPr>
      </w:pPr>
    </w:p>
    <w:p>
      <w:pPr>
        <w:pStyle w:val="BodyText"/>
        <w:ind w:left="1823" w:right="1375"/>
      </w:pPr>
      <w:r>
        <w:rPr/>
        <w:t>The University is of a kind referred to in Class order 98/0100 as amended by Class order 04/667, issued by the </w:t>
      </w:r>
      <w:bookmarkStart w:name="(aa) Goods and Services Tax (GST)" w:id="43"/>
      <w:bookmarkEnd w:id="43"/>
      <w:r>
        <w:rPr/>
      </w:r>
      <w:r>
        <w:rPr/>
        <w:t>Australian Securities and Investments Commission, relating to the ''rounding off'' of amounts in the financial report. Amounts in the financial report have been rounded off in accordance with that Class Order to the nearest thousand dollars, or in certain cases, the nearest dollar.</w:t>
      </w:r>
    </w:p>
    <w:p>
      <w:pPr>
        <w:pStyle w:val="BodyText"/>
        <w:spacing w:before="11"/>
        <w:rPr>
          <w:sz w:val="24"/>
        </w:rPr>
      </w:pPr>
    </w:p>
    <w:p>
      <w:pPr>
        <w:pStyle w:val="Heading8"/>
        <w:tabs>
          <w:tab w:pos="2390" w:val="left" w:leader="none"/>
        </w:tabs>
        <w:ind w:left="1824"/>
      </w:pPr>
      <w:r>
        <w:rPr/>
        <w:drawing>
          <wp:anchor distT="0" distB="0" distL="0" distR="0" allowOverlap="1" layoutInCell="1" locked="0" behindDoc="0" simplePos="0" relativeHeight="2752">
            <wp:simplePos x="0" y="0"/>
            <wp:positionH relativeFrom="page">
              <wp:posOffset>-1587</wp:posOffset>
            </wp:positionH>
            <wp:positionV relativeFrom="paragraph">
              <wp:posOffset>49452</wp:posOffset>
            </wp:positionV>
            <wp:extent cx="136525" cy="155575"/>
            <wp:effectExtent l="0" t="0" r="0" b="0"/>
            <wp:wrapNone/>
            <wp:docPr id="139" name="image13.png" descr=""/>
            <wp:cNvGraphicFramePr>
              <a:graphicFrameLocks noChangeAspect="1"/>
            </wp:cNvGraphicFramePr>
            <a:graphic>
              <a:graphicData uri="http://schemas.openxmlformats.org/drawingml/2006/picture">
                <pic:pic>
                  <pic:nvPicPr>
                    <pic:cNvPr id="140" name="image13.png"/>
                    <pic:cNvPicPr/>
                  </pic:nvPicPr>
                  <pic:blipFill>
                    <a:blip r:embed="rId18" cstate="print"/>
                    <a:stretch>
                      <a:fillRect/>
                    </a:stretch>
                  </pic:blipFill>
                  <pic:spPr>
                    <a:xfrm>
                      <a:off x="0" y="0"/>
                      <a:ext cx="136525" cy="155575"/>
                    </a:xfrm>
                    <a:prstGeom prst="rect">
                      <a:avLst/>
                    </a:prstGeom>
                  </pic:spPr>
                </pic:pic>
              </a:graphicData>
            </a:graphic>
          </wp:anchor>
        </w:drawing>
      </w:r>
      <w:r>
        <w:rPr/>
        <w:drawing>
          <wp:anchor distT="0" distB="0" distL="0" distR="0" allowOverlap="1" layoutInCell="1" locked="0" behindDoc="0" simplePos="0" relativeHeight="2776">
            <wp:simplePos x="0" y="0"/>
            <wp:positionH relativeFrom="page">
              <wp:posOffset>7958429</wp:posOffset>
            </wp:positionH>
            <wp:positionV relativeFrom="paragraph">
              <wp:posOffset>49452</wp:posOffset>
            </wp:positionV>
            <wp:extent cx="135953" cy="155575"/>
            <wp:effectExtent l="0" t="0" r="0" b="0"/>
            <wp:wrapNone/>
            <wp:docPr id="141" name="image15.png" descr=""/>
            <wp:cNvGraphicFramePr>
              <a:graphicFrameLocks noChangeAspect="1"/>
            </wp:cNvGraphicFramePr>
            <a:graphic>
              <a:graphicData uri="http://schemas.openxmlformats.org/drawingml/2006/picture">
                <pic:pic>
                  <pic:nvPicPr>
                    <pic:cNvPr id="142" name="image15.png"/>
                    <pic:cNvPicPr/>
                  </pic:nvPicPr>
                  <pic:blipFill>
                    <a:blip r:embed="rId20" cstate="print"/>
                    <a:stretch>
                      <a:fillRect/>
                    </a:stretch>
                  </pic:blipFill>
                  <pic:spPr>
                    <a:xfrm>
                      <a:off x="0" y="0"/>
                      <a:ext cx="135953" cy="155575"/>
                    </a:xfrm>
                    <a:prstGeom prst="rect">
                      <a:avLst/>
                    </a:prstGeom>
                  </pic:spPr>
                </pic:pic>
              </a:graphicData>
            </a:graphic>
          </wp:anchor>
        </w:drawing>
      </w:r>
      <w:r>
        <w:rPr/>
        <w:t>(aa)</w:t>
        <w:tab/>
        <w:t>Goods and Services Tax</w:t>
      </w:r>
      <w:r>
        <w:rPr>
          <w:spacing w:val="-5"/>
        </w:rPr>
        <w:t> </w:t>
      </w:r>
      <w:r>
        <w:rPr/>
        <w:t>(GST)</w:t>
      </w:r>
    </w:p>
    <w:p>
      <w:pPr>
        <w:pStyle w:val="BodyText"/>
        <w:spacing w:before="11"/>
        <w:rPr>
          <w:b/>
          <w:sz w:val="24"/>
        </w:rPr>
      </w:pPr>
    </w:p>
    <w:p>
      <w:pPr>
        <w:pStyle w:val="BodyText"/>
        <w:ind w:left="1824" w:right="1450"/>
      </w:pPr>
      <w:r>
        <w:rPr/>
        <w:t>Revenues, expenses and assets are recognised net of the amount of associated GST, unless the GST incurred is not recoverable from the taxation authority. In this case, it is recognised as part of the cost acquisition of the asset or as part of the expense.</w:t>
      </w:r>
    </w:p>
    <w:p>
      <w:pPr>
        <w:pStyle w:val="BodyText"/>
        <w:spacing w:before="11"/>
        <w:rPr>
          <w:sz w:val="24"/>
        </w:rPr>
      </w:pPr>
    </w:p>
    <w:p>
      <w:pPr>
        <w:pStyle w:val="BodyText"/>
        <w:ind w:left="1824" w:right="1375"/>
      </w:pPr>
      <w:r>
        <w:rPr/>
        <w:t>Receivables and payables are stated inclusive of the amount of GST receivable or payable. The net amount of GST recoverable from, or payable to, the taxation authority is included with other receivables or payables in the statement of financial position.</w:t>
      </w:r>
    </w:p>
    <w:p>
      <w:pPr>
        <w:pStyle w:val="BodyText"/>
        <w:spacing w:before="11"/>
        <w:rPr>
          <w:sz w:val="24"/>
        </w:rPr>
      </w:pPr>
    </w:p>
    <w:p>
      <w:pPr>
        <w:pStyle w:val="BodyText"/>
        <w:ind w:left="1823" w:right="1375"/>
      </w:pPr>
      <w:r>
        <w:rPr/>
        <w:t>Cash flows are presented on a gross basis. The GST components of cash flows arising from investing or financing activities which are recoverable from, or payable to the taxation authority, are presented as operating cash flows.</w:t>
      </w:r>
    </w:p>
    <w:p>
      <w:pPr>
        <w:pStyle w:val="BodyText"/>
        <w:spacing w:before="11"/>
        <w:rPr>
          <w:sz w:val="24"/>
        </w:rPr>
      </w:pPr>
    </w:p>
    <w:p>
      <w:pPr>
        <w:pStyle w:val="BodyText"/>
        <w:ind w:left="1824" w:right="1375"/>
      </w:pPr>
      <w:bookmarkStart w:name="(ab) Insurance" w:id="44"/>
      <w:bookmarkEnd w:id="44"/>
      <w:r>
        <w:rPr/>
      </w:r>
      <w:r>
        <w:rPr/>
        <w:t>The Group, excluding uwsconnect Limited and UWS Early Learning Limited, is a Charitable Institution endorsed to access GST concessions on a range of transactions.</w:t>
      </w:r>
    </w:p>
    <w:p>
      <w:pPr>
        <w:pStyle w:val="BodyText"/>
        <w:spacing w:before="11"/>
        <w:rPr>
          <w:sz w:val="24"/>
        </w:rPr>
      </w:pPr>
    </w:p>
    <w:p>
      <w:pPr>
        <w:pStyle w:val="Heading8"/>
        <w:tabs>
          <w:tab w:pos="2390" w:val="left" w:leader="none"/>
        </w:tabs>
        <w:ind w:left="1824"/>
      </w:pPr>
      <w:r>
        <w:rPr/>
        <w:t>(ab)</w:t>
        <w:tab/>
        <w:t>Insurance</w:t>
      </w:r>
    </w:p>
    <w:p>
      <w:pPr>
        <w:pStyle w:val="BodyText"/>
        <w:spacing w:before="11"/>
        <w:rPr>
          <w:b/>
          <w:sz w:val="24"/>
        </w:rPr>
      </w:pPr>
    </w:p>
    <w:p>
      <w:pPr>
        <w:pStyle w:val="BodyText"/>
        <w:ind w:left="1824" w:right="1375"/>
      </w:pPr>
      <w:r>
        <w:rPr/>
        <w:t>Western Sydney University insures externally for all significant areas of risk exposure and accordingly is not a self insurer and makes no provision in its financial statements for internal coverage.</w:t>
      </w:r>
    </w:p>
    <w:p>
      <w:pPr>
        <w:pStyle w:val="BodyText"/>
        <w:spacing w:before="11"/>
        <w:rPr>
          <w:sz w:val="24"/>
        </w:rPr>
      </w:pPr>
    </w:p>
    <w:p>
      <w:pPr>
        <w:pStyle w:val="BodyText"/>
        <w:ind w:left="1823" w:right="1375"/>
      </w:pPr>
      <w:bookmarkStart w:name="(ac) Foreign operations" w:id="45"/>
      <w:bookmarkEnd w:id="45"/>
      <w:r>
        <w:rPr/>
      </w:r>
      <w:r>
        <w:rPr/>
        <w:t>Workers’ Compensation insurance is currently held with Employers Mutual Insurance. Property and liability protections (including General and Products Liability, Professional Liability, Medical Malpractice, Clinical Trials and Directors and Officers) are arranged with Unimutual.</w:t>
      </w:r>
    </w:p>
    <w:p>
      <w:pPr>
        <w:pStyle w:val="BodyText"/>
        <w:spacing w:before="11"/>
        <w:rPr>
          <w:sz w:val="24"/>
        </w:rPr>
      </w:pPr>
    </w:p>
    <w:p>
      <w:pPr>
        <w:pStyle w:val="Heading8"/>
        <w:tabs>
          <w:tab w:pos="2390" w:val="left" w:leader="none"/>
        </w:tabs>
        <w:ind w:left="1824"/>
      </w:pPr>
      <w:r>
        <w:rPr/>
        <w:t>(ac)</w:t>
        <w:tab/>
        <w:t>Foreign operations</w:t>
      </w:r>
    </w:p>
    <w:p>
      <w:pPr>
        <w:pStyle w:val="BodyText"/>
        <w:spacing w:before="11"/>
        <w:rPr>
          <w:b/>
          <w:sz w:val="24"/>
        </w:rPr>
      </w:pPr>
    </w:p>
    <w:p>
      <w:pPr>
        <w:pStyle w:val="BodyText"/>
        <w:ind w:left="1824" w:right="1375"/>
      </w:pPr>
      <w:r>
        <w:rPr/>
        <w:t>Western Sydney University operates a small number of teaching programs in the Asia region. There are no University entities registered overseas.</w:t>
      </w:r>
    </w:p>
    <w:p>
      <w:pPr>
        <w:spacing w:after="0"/>
        <w:sectPr>
          <w:pgSz w:w="12750" w:h="17680"/>
          <w:pgMar w:header="0" w:footer="927" w:top="2640" w:bottom="1120" w:left="0" w:right="0"/>
        </w:sectPr>
      </w:pPr>
    </w:p>
    <w:p>
      <w:pPr>
        <w:pStyle w:val="BodyText"/>
        <w:rPr>
          <w:sz w:val="20"/>
        </w:rPr>
      </w:pPr>
    </w:p>
    <w:p>
      <w:pPr>
        <w:pStyle w:val="BodyText"/>
        <w:rPr>
          <w:sz w:val="20"/>
        </w:rPr>
      </w:pPr>
    </w:p>
    <w:p>
      <w:pPr>
        <w:pStyle w:val="BodyText"/>
        <w:spacing w:before="4"/>
      </w:pPr>
    </w:p>
    <w:p>
      <w:pPr>
        <w:pStyle w:val="Heading8"/>
        <w:tabs>
          <w:tab w:pos="1823" w:val="left" w:leader="none"/>
          <w:tab w:pos="2390" w:val="left" w:leader="none"/>
        </w:tabs>
        <w:spacing w:line="573" w:lineRule="auto"/>
        <w:ind w:left="1824" w:right="6108" w:hanging="395"/>
      </w:pPr>
      <w:bookmarkStart w:name="New Accounting Standards and Interpretat" w:id="46"/>
      <w:bookmarkEnd w:id="46"/>
      <w:r>
        <w:rPr>
          <w:b w:val="0"/>
        </w:rPr>
      </w:r>
      <w:r>
        <w:rPr/>
        <w:t>1</w:t>
        <w:tab/>
        <w:t>Summary of Significant Accounting</w:t>
      </w:r>
      <w:r>
        <w:rPr>
          <w:spacing w:val="-5"/>
        </w:rPr>
        <w:t> </w:t>
      </w:r>
      <w:r>
        <w:rPr/>
        <w:t>Policies</w:t>
      </w:r>
      <w:r>
        <w:rPr>
          <w:spacing w:val="-2"/>
        </w:rPr>
        <w:t> </w:t>
      </w:r>
      <w:r>
        <w:rPr/>
        <w:t>(continued)</w:t>
      </w:r>
      <w:r>
        <w:rPr>
          <w:w w:val="100"/>
        </w:rPr>
        <w:t> </w:t>
      </w:r>
      <w:r>
        <w:rPr/>
        <w:t>(ad)</w:t>
        <w:tab/>
        <w:t>New Accounting Standards and</w:t>
      </w:r>
      <w:r>
        <w:rPr>
          <w:spacing w:val="-3"/>
        </w:rPr>
        <w:t> </w:t>
      </w:r>
      <w:r>
        <w:rPr/>
        <w:t>Interpretations</w:t>
      </w:r>
    </w:p>
    <w:p>
      <w:pPr>
        <w:pStyle w:val="BodyText"/>
        <w:spacing w:before="8"/>
        <w:ind w:left="1823" w:right="1375"/>
      </w:pPr>
      <w:r>
        <w:rPr/>
        <w:t>Certain new Accounting Standards and Interpretations have been published that are not mandatory for 31 December 2016 reporting periods. Western Sydney University's assessment of the impact of these new Standards and Interpretations is set out below:</w:t>
      </w:r>
    </w:p>
    <w:p>
      <w:pPr>
        <w:pStyle w:val="BodyText"/>
      </w:pPr>
    </w:p>
    <w:p>
      <w:pPr>
        <w:pStyle w:val="BodyText"/>
      </w:pPr>
    </w:p>
    <w:p>
      <w:pPr>
        <w:pStyle w:val="BodyText"/>
      </w:pPr>
    </w:p>
    <w:p>
      <w:pPr>
        <w:pStyle w:val="BodyText"/>
        <w:spacing w:before="7"/>
        <w:rPr>
          <w:sz w:val="15"/>
        </w:rPr>
      </w:pPr>
    </w:p>
    <w:p>
      <w:pPr>
        <w:pStyle w:val="Heading8"/>
        <w:tabs>
          <w:tab w:pos="5115" w:val="left" w:leader="none"/>
          <w:tab w:pos="8447" w:val="left" w:leader="none"/>
        </w:tabs>
        <w:ind w:left="2858"/>
      </w:pPr>
      <w:r>
        <w:rPr/>
        <w:t>Standard</w:t>
        <w:tab/>
        <w:t>Application</w:t>
      </w:r>
      <w:r>
        <w:rPr>
          <w:spacing w:val="-2"/>
        </w:rPr>
        <w:t> </w:t>
      </w:r>
      <w:r>
        <w:rPr/>
        <w:t>date</w:t>
        <w:tab/>
        <w:t>Implications</w:t>
      </w:r>
    </w:p>
    <w:p>
      <w:pPr>
        <w:pStyle w:val="BodyText"/>
        <w:spacing w:line="207" w:lineRule="exact" w:before="62"/>
        <w:ind w:left="1868"/>
      </w:pPr>
      <w:r>
        <w:rPr/>
        <w:t>AASB 124 Related Party</w:t>
      </w:r>
    </w:p>
    <w:p>
      <w:pPr>
        <w:pStyle w:val="BodyText"/>
        <w:tabs>
          <w:tab w:pos="5099" w:val="left" w:leader="none"/>
          <w:tab w:pos="6629" w:val="left" w:leader="none"/>
        </w:tabs>
        <w:spacing w:line="207" w:lineRule="exact"/>
        <w:ind w:left="1868"/>
      </w:pPr>
      <w:r>
        <w:rPr/>
        <w:t>Disclosures</w:t>
        <w:tab/>
        <w:t>1</w:t>
      </w:r>
      <w:r>
        <w:rPr>
          <w:spacing w:val="-4"/>
        </w:rPr>
        <w:t> </w:t>
      </w:r>
      <w:r>
        <w:rPr/>
        <w:t>January</w:t>
      </w:r>
      <w:r>
        <w:rPr>
          <w:spacing w:val="-4"/>
        </w:rPr>
        <w:t> </w:t>
      </w:r>
      <w:r>
        <w:rPr/>
        <w:t>2017</w:t>
        <w:tab/>
        <w:t>The</w:t>
      </w:r>
      <w:r>
        <w:rPr>
          <w:spacing w:val="-6"/>
        </w:rPr>
        <w:t> </w:t>
      </w:r>
      <w:r>
        <w:rPr/>
        <w:t>impact</w:t>
      </w:r>
      <w:r>
        <w:rPr>
          <w:spacing w:val="-6"/>
        </w:rPr>
        <w:t> </w:t>
      </w:r>
      <w:r>
        <w:rPr/>
        <w:t>of</w:t>
      </w:r>
      <w:r>
        <w:rPr>
          <w:spacing w:val="-6"/>
        </w:rPr>
        <w:t> </w:t>
      </w:r>
      <w:r>
        <w:rPr/>
        <w:t>adoption</w:t>
      </w:r>
      <w:r>
        <w:rPr>
          <w:spacing w:val="-6"/>
        </w:rPr>
        <w:t> </w:t>
      </w:r>
      <w:r>
        <w:rPr/>
        <w:t>has</w:t>
      </w:r>
      <w:r>
        <w:rPr>
          <w:spacing w:val="-6"/>
        </w:rPr>
        <w:t> </w:t>
      </w:r>
      <w:r>
        <w:rPr/>
        <w:t>not</w:t>
      </w:r>
      <w:r>
        <w:rPr>
          <w:spacing w:val="-6"/>
        </w:rPr>
        <w:t> </w:t>
      </w:r>
      <w:r>
        <w:rPr/>
        <w:t>yet</w:t>
      </w:r>
      <w:r>
        <w:rPr>
          <w:spacing w:val="-6"/>
        </w:rPr>
        <w:t> </w:t>
      </w:r>
      <w:r>
        <w:rPr/>
        <w:t>been</w:t>
      </w:r>
      <w:r>
        <w:rPr>
          <w:spacing w:val="-6"/>
        </w:rPr>
        <w:t> </w:t>
      </w:r>
      <w:r>
        <w:rPr/>
        <w:t>determined.</w:t>
      </w:r>
    </w:p>
    <w:p>
      <w:pPr>
        <w:pStyle w:val="BodyText"/>
        <w:spacing w:line="207" w:lineRule="exact" w:before="56"/>
        <w:ind w:left="1868"/>
      </w:pPr>
      <w:r>
        <w:rPr/>
        <w:t>AASB 15 Revenue from  contracts</w:t>
      </w:r>
    </w:p>
    <w:p>
      <w:pPr>
        <w:pStyle w:val="BodyText"/>
        <w:tabs>
          <w:tab w:pos="5099" w:val="left" w:leader="none"/>
        </w:tabs>
        <w:spacing w:line="307" w:lineRule="auto"/>
        <w:ind w:left="1868" w:right="1909"/>
        <w:jc w:val="both"/>
      </w:pPr>
      <w:r>
        <w:rPr/>
        <w:drawing>
          <wp:anchor distT="0" distB="0" distL="0" distR="0" allowOverlap="1" layoutInCell="1" locked="0" behindDoc="0" simplePos="0" relativeHeight="2800">
            <wp:simplePos x="0" y="0"/>
            <wp:positionH relativeFrom="page">
              <wp:posOffset>-1587</wp:posOffset>
            </wp:positionH>
            <wp:positionV relativeFrom="paragraph">
              <wp:posOffset>1296846</wp:posOffset>
            </wp:positionV>
            <wp:extent cx="135159" cy="154019"/>
            <wp:effectExtent l="0" t="0" r="0" b="0"/>
            <wp:wrapNone/>
            <wp:docPr id="143" name="image13.png" descr=""/>
            <wp:cNvGraphicFramePr>
              <a:graphicFrameLocks noChangeAspect="1"/>
            </wp:cNvGraphicFramePr>
            <a:graphic>
              <a:graphicData uri="http://schemas.openxmlformats.org/drawingml/2006/picture">
                <pic:pic>
                  <pic:nvPicPr>
                    <pic:cNvPr id="144" name="image13.png"/>
                    <pic:cNvPicPr/>
                  </pic:nvPicPr>
                  <pic:blipFill>
                    <a:blip r:embed="rId18" cstate="print"/>
                    <a:stretch>
                      <a:fillRect/>
                    </a:stretch>
                  </pic:blipFill>
                  <pic:spPr>
                    <a:xfrm>
                      <a:off x="0" y="0"/>
                      <a:ext cx="135159" cy="154019"/>
                    </a:xfrm>
                    <a:prstGeom prst="rect">
                      <a:avLst/>
                    </a:prstGeom>
                  </pic:spPr>
                </pic:pic>
              </a:graphicData>
            </a:graphic>
          </wp:anchor>
        </w:drawing>
      </w:r>
      <w:r>
        <w:rPr/>
        <w:drawing>
          <wp:anchor distT="0" distB="0" distL="0" distR="0" allowOverlap="1" layoutInCell="1" locked="0" behindDoc="0" simplePos="0" relativeHeight="2824">
            <wp:simplePos x="0" y="0"/>
            <wp:positionH relativeFrom="page">
              <wp:posOffset>7958429</wp:posOffset>
            </wp:positionH>
            <wp:positionV relativeFrom="paragraph">
              <wp:posOffset>1296846</wp:posOffset>
            </wp:positionV>
            <wp:extent cx="135953" cy="155575"/>
            <wp:effectExtent l="0" t="0" r="0" b="0"/>
            <wp:wrapNone/>
            <wp:docPr id="145" name="image15.png" descr=""/>
            <wp:cNvGraphicFramePr>
              <a:graphicFrameLocks noChangeAspect="1"/>
            </wp:cNvGraphicFramePr>
            <a:graphic>
              <a:graphicData uri="http://schemas.openxmlformats.org/drawingml/2006/picture">
                <pic:pic>
                  <pic:nvPicPr>
                    <pic:cNvPr id="146" name="image15.png"/>
                    <pic:cNvPicPr/>
                  </pic:nvPicPr>
                  <pic:blipFill>
                    <a:blip r:embed="rId20" cstate="print"/>
                    <a:stretch>
                      <a:fillRect/>
                    </a:stretch>
                  </pic:blipFill>
                  <pic:spPr>
                    <a:xfrm>
                      <a:off x="0" y="0"/>
                      <a:ext cx="135953" cy="155575"/>
                    </a:xfrm>
                    <a:prstGeom prst="rect">
                      <a:avLst/>
                    </a:prstGeom>
                  </pic:spPr>
                </pic:pic>
              </a:graphicData>
            </a:graphic>
          </wp:anchor>
        </w:drawing>
      </w:r>
      <w:r>
        <w:rPr/>
        <w:t>with</w:t>
      </w:r>
      <w:r>
        <w:rPr>
          <w:spacing w:val="-6"/>
        </w:rPr>
        <w:t> </w:t>
      </w:r>
      <w:r>
        <w:rPr/>
        <w:t>customers</w:t>
        <w:tab/>
        <w:t>1 January 2019     The impact of adoption has not yet</w:t>
      </w:r>
      <w:r>
        <w:rPr>
          <w:spacing w:val="-7"/>
        </w:rPr>
        <w:t> </w:t>
      </w:r>
      <w:r>
        <w:rPr/>
        <w:t>been</w:t>
      </w:r>
      <w:r>
        <w:rPr>
          <w:spacing w:val="-4"/>
        </w:rPr>
        <w:t> </w:t>
      </w:r>
      <w:r>
        <w:rPr/>
        <w:t>determined.</w:t>
      </w:r>
      <w:r>
        <w:rPr>
          <w:spacing w:val="-1"/>
          <w:w w:val="99"/>
        </w:rPr>
        <w:t> </w:t>
      </w:r>
      <w:r>
        <w:rPr/>
        <w:t>AASB 9</w:t>
      </w:r>
      <w:r>
        <w:rPr>
          <w:spacing w:val="-11"/>
        </w:rPr>
        <w:t> </w:t>
      </w:r>
      <w:r>
        <w:rPr/>
        <w:t>Financial</w:t>
      </w:r>
      <w:r>
        <w:rPr>
          <w:spacing w:val="-6"/>
        </w:rPr>
        <w:t> </w:t>
      </w:r>
      <w:r>
        <w:rPr/>
        <w:t>instruments</w:t>
        <w:tab/>
        <w:t>1 January 2018     The impact of adoption has not yet</w:t>
      </w:r>
      <w:r>
        <w:rPr>
          <w:spacing w:val="-7"/>
        </w:rPr>
        <w:t> </w:t>
      </w:r>
      <w:r>
        <w:rPr/>
        <w:t>been</w:t>
      </w:r>
      <w:r>
        <w:rPr>
          <w:spacing w:val="-4"/>
        </w:rPr>
        <w:t> </w:t>
      </w:r>
      <w:r>
        <w:rPr/>
        <w:t>determined.</w:t>
      </w:r>
      <w:r>
        <w:rPr>
          <w:spacing w:val="-1"/>
          <w:w w:val="99"/>
        </w:rPr>
        <w:t> </w:t>
      </w:r>
      <w:r>
        <w:rPr/>
        <w:t>AASB</w:t>
      </w:r>
      <w:r>
        <w:rPr>
          <w:spacing w:val="-4"/>
        </w:rPr>
        <w:t> </w:t>
      </w:r>
      <w:r>
        <w:rPr/>
        <w:t>16</w:t>
      </w:r>
      <w:r>
        <w:rPr>
          <w:spacing w:val="-4"/>
        </w:rPr>
        <w:t> </w:t>
      </w:r>
      <w:r>
        <w:rPr/>
        <w:t>Leases</w:t>
        <w:tab/>
        <w:t>1 January 2019     The impact of adoption has not yet been</w:t>
      </w:r>
      <w:r>
        <w:rPr>
          <w:spacing w:val="-11"/>
        </w:rPr>
        <w:t> </w:t>
      </w:r>
      <w:r>
        <w:rPr/>
        <w:t>determined.</w:t>
      </w:r>
    </w:p>
    <w:p>
      <w:pPr>
        <w:spacing w:after="0" w:line="307" w:lineRule="auto"/>
        <w:jc w:val="both"/>
        <w:sectPr>
          <w:pgSz w:w="12750" w:h="17680"/>
          <w:pgMar w:header="0" w:footer="927" w:top="2640" w:bottom="1120" w:left="0" w:right="0"/>
        </w:sectPr>
      </w:pPr>
    </w:p>
    <w:p>
      <w:pPr>
        <w:pStyle w:val="BodyText"/>
        <w:rPr>
          <w:sz w:val="20"/>
        </w:rPr>
      </w:pPr>
    </w:p>
    <w:p>
      <w:pPr>
        <w:pStyle w:val="BodyText"/>
        <w:rPr>
          <w:sz w:val="20"/>
        </w:rPr>
      </w:pPr>
    </w:p>
    <w:p>
      <w:pPr>
        <w:pStyle w:val="BodyText"/>
        <w:spacing w:before="4"/>
      </w:pPr>
    </w:p>
    <w:p>
      <w:pPr>
        <w:pStyle w:val="Heading8"/>
        <w:numPr>
          <w:ilvl w:val="0"/>
          <w:numId w:val="18"/>
        </w:numPr>
        <w:tabs>
          <w:tab w:pos="1824" w:val="left" w:leader="none"/>
          <w:tab w:pos="2390" w:val="left" w:leader="none"/>
        </w:tabs>
        <w:spacing w:line="573" w:lineRule="auto" w:before="0" w:after="0"/>
        <w:ind w:left="1824" w:right="6108" w:hanging="395"/>
        <w:jc w:val="left"/>
      </w:pPr>
      <w:bookmarkStart w:name="Comparative Amounts" w:id="47"/>
      <w:bookmarkEnd w:id="47"/>
      <w:r>
        <w:rPr>
          <w:b w:val="0"/>
        </w:rPr>
      </w:r>
      <w:bookmarkStart w:name="Comparative Amounts" w:id="48"/>
      <w:bookmarkEnd w:id="48"/>
      <w:r>
        <w:rPr/>
        <w:t>Summary</w:t>
      </w:r>
      <w:r>
        <w:rPr/>
        <w:t> of Significant Accounting Policies (continued) (ae)</w:t>
        <w:tab/>
        <w:t>Comparative</w:t>
      </w:r>
      <w:r>
        <w:rPr>
          <w:spacing w:val="-21"/>
        </w:rPr>
        <w:t> </w:t>
      </w:r>
      <w:r>
        <w:rPr/>
        <w:t>Amounts</w:t>
      </w:r>
    </w:p>
    <w:p>
      <w:pPr>
        <w:pStyle w:val="BodyText"/>
        <w:spacing w:before="8"/>
        <w:ind w:left="1824" w:right="1450"/>
      </w:pPr>
      <w:r>
        <w:rPr/>
        <w:t>When required by Accounting Standards, comparative figures have been adjusted to conform to changes in presentation for the current financial year.</w:t>
      </w:r>
    </w:p>
    <w:p>
      <w:pPr>
        <w:pStyle w:val="BodyText"/>
        <w:spacing w:before="11"/>
        <w:rPr>
          <w:sz w:val="24"/>
        </w:rPr>
      </w:pPr>
    </w:p>
    <w:p>
      <w:pPr>
        <w:pStyle w:val="BodyText"/>
        <w:ind w:left="1824" w:right="1375"/>
      </w:pPr>
      <w:r>
        <w:rPr/>
        <w:t>When the Group applies an accounting policy retrospectively, makes a retrospective restatement or reclassifies items in the financial statements, a statement of financial position as at the beginning of the earliest comparative period will be presented.</w:t>
      </w:r>
    </w:p>
    <w:p>
      <w:pPr>
        <w:pStyle w:val="BodyText"/>
        <w:spacing w:before="11"/>
        <w:rPr>
          <w:sz w:val="24"/>
        </w:rPr>
      </w:pPr>
    </w:p>
    <w:p>
      <w:pPr>
        <w:pStyle w:val="BodyText"/>
        <w:ind w:left="1824" w:right="1375"/>
      </w:pPr>
      <w:r>
        <w:rPr/>
        <w:t>During the preparation of the current year financial statements, the following items have been adjusted to conform with the current years presentation, resulting in more relevant reliable financial information and classification.</w:t>
      </w:r>
    </w:p>
    <w:p>
      <w:pPr>
        <w:pStyle w:val="BodyText"/>
        <w:rPr>
          <w:sz w:val="20"/>
        </w:rPr>
      </w:pPr>
    </w:p>
    <w:p>
      <w:pPr>
        <w:pStyle w:val="BodyText"/>
        <w:spacing w:before="9" w:after="1"/>
        <w:rPr>
          <w:sz w:val="23"/>
        </w:rPr>
      </w:pPr>
    </w:p>
    <w:tbl>
      <w:tblPr>
        <w:tblW w:w="0" w:type="auto"/>
        <w:jc w:val="left"/>
        <w:tblInd w:w="602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780"/>
        <w:gridCol w:w="1345"/>
        <w:gridCol w:w="1103"/>
        <w:gridCol w:w="912"/>
      </w:tblGrid>
      <w:tr>
        <w:trPr>
          <w:trHeight w:val="327" w:hRule="exact"/>
        </w:trPr>
        <w:tc>
          <w:tcPr>
            <w:tcW w:w="1780" w:type="dxa"/>
          </w:tcPr>
          <w:p>
            <w:pPr>
              <w:pStyle w:val="TableParagraph"/>
              <w:spacing w:before="77"/>
              <w:ind w:left="926"/>
              <w:jc w:val="left"/>
              <w:rPr>
                <w:b/>
                <w:sz w:val="18"/>
              </w:rPr>
            </w:pPr>
            <w:r>
              <w:rPr>
                <w:b/>
                <w:sz w:val="18"/>
              </w:rPr>
              <w:t>2015</w:t>
            </w:r>
          </w:p>
        </w:tc>
        <w:tc>
          <w:tcPr>
            <w:tcW w:w="1345" w:type="dxa"/>
          </w:tcPr>
          <w:p>
            <w:pPr>
              <w:pStyle w:val="TableParagraph"/>
              <w:spacing w:before="77"/>
              <w:ind w:left="63" w:right="99"/>
              <w:jc w:val="center"/>
              <w:rPr>
                <w:b/>
                <w:sz w:val="18"/>
              </w:rPr>
            </w:pPr>
            <w:r>
              <w:rPr>
                <w:b/>
                <w:sz w:val="18"/>
              </w:rPr>
              <w:t>2015</w:t>
            </w:r>
          </w:p>
        </w:tc>
        <w:tc>
          <w:tcPr>
            <w:tcW w:w="1103" w:type="dxa"/>
          </w:tcPr>
          <w:p>
            <w:pPr>
              <w:pStyle w:val="TableParagraph"/>
              <w:spacing w:before="77"/>
              <w:ind w:left="101" w:right="170"/>
              <w:jc w:val="center"/>
              <w:rPr>
                <w:b/>
                <w:sz w:val="18"/>
              </w:rPr>
            </w:pPr>
            <w:r>
              <w:rPr>
                <w:b/>
                <w:sz w:val="18"/>
              </w:rPr>
              <w:t>2015</w:t>
            </w:r>
          </w:p>
        </w:tc>
        <w:tc>
          <w:tcPr>
            <w:tcW w:w="912" w:type="dxa"/>
          </w:tcPr>
          <w:p>
            <w:pPr>
              <w:pStyle w:val="TableParagraph"/>
              <w:spacing w:before="77"/>
              <w:ind w:left="335"/>
              <w:jc w:val="left"/>
              <w:rPr>
                <w:b/>
                <w:sz w:val="18"/>
              </w:rPr>
            </w:pPr>
            <w:r>
              <w:rPr>
                <w:b/>
                <w:sz w:val="18"/>
              </w:rPr>
              <w:t>2015</w:t>
            </w:r>
          </w:p>
        </w:tc>
      </w:tr>
      <w:tr>
        <w:trPr>
          <w:trHeight w:val="274" w:hRule="exact"/>
        </w:trPr>
        <w:tc>
          <w:tcPr>
            <w:tcW w:w="1780" w:type="dxa"/>
          </w:tcPr>
          <w:p>
            <w:pPr>
              <w:pStyle w:val="TableParagraph"/>
              <w:spacing w:before="24"/>
              <w:ind w:left="731"/>
              <w:jc w:val="left"/>
              <w:rPr>
                <w:b/>
                <w:sz w:val="18"/>
              </w:rPr>
            </w:pPr>
            <w:r>
              <w:rPr>
                <w:b/>
                <w:sz w:val="18"/>
              </w:rPr>
              <w:t>Reported</w:t>
            </w:r>
          </w:p>
        </w:tc>
        <w:tc>
          <w:tcPr>
            <w:tcW w:w="1345" w:type="dxa"/>
          </w:tcPr>
          <w:p>
            <w:pPr>
              <w:pStyle w:val="TableParagraph"/>
              <w:spacing w:before="24"/>
              <w:ind w:left="63" w:right="99"/>
              <w:jc w:val="center"/>
              <w:rPr>
                <w:b/>
                <w:sz w:val="18"/>
              </w:rPr>
            </w:pPr>
            <w:r>
              <w:rPr>
                <w:b/>
                <w:sz w:val="18"/>
              </w:rPr>
              <w:t>Revised</w:t>
            </w:r>
          </w:p>
        </w:tc>
        <w:tc>
          <w:tcPr>
            <w:tcW w:w="1103" w:type="dxa"/>
          </w:tcPr>
          <w:p>
            <w:pPr>
              <w:pStyle w:val="TableParagraph"/>
              <w:spacing w:before="24"/>
              <w:ind w:left="101" w:right="171"/>
              <w:jc w:val="center"/>
              <w:rPr>
                <w:b/>
                <w:sz w:val="18"/>
              </w:rPr>
            </w:pPr>
            <w:r>
              <w:rPr>
                <w:b/>
                <w:sz w:val="18"/>
              </w:rPr>
              <w:t>Reported</w:t>
            </w:r>
          </w:p>
        </w:tc>
        <w:tc>
          <w:tcPr>
            <w:tcW w:w="912" w:type="dxa"/>
          </w:tcPr>
          <w:p>
            <w:pPr>
              <w:pStyle w:val="TableParagraph"/>
              <w:spacing w:before="24"/>
              <w:ind w:left="192"/>
              <w:jc w:val="left"/>
              <w:rPr>
                <w:b/>
                <w:sz w:val="18"/>
              </w:rPr>
            </w:pPr>
            <w:r>
              <w:rPr>
                <w:b/>
                <w:sz w:val="18"/>
              </w:rPr>
              <w:t>Revised</w:t>
            </w:r>
          </w:p>
        </w:tc>
      </w:tr>
      <w:tr>
        <w:trPr>
          <w:trHeight w:val="274" w:hRule="exact"/>
        </w:trPr>
        <w:tc>
          <w:tcPr>
            <w:tcW w:w="1780" w:type="dxa"/>
          </w:tcPr>
          <w:p>
            <w:pPr>
              <w:pStyle w:val="TableParagraph"/>
              <w:spacing w:before="24"/>
              <w:ind w:left="555"/>
              <w:jc w:val="left"/>
              <w:rPr>
                <w:b/>
                <w:sz w:val="18"/>
              </w:rPr>
            </w:pPr>
            <w:r>
              <w:rPr>
                <w:b/>
                <w:sz w:val="18"/>
              </w:rPr>
              <w:t>Consolidated</w:t>
            </w:r>
          </w:p>
        </w:tc>
        <w:tc>
          <w:tcPr>
            <w:tcW w:w="1345" w:type="dxa"/>
          </w:tcPr>
          <w:p>
            <w:pPr>
              <w:pStyle w:val="TableParagraph"/>
              <w:spacing w:before="24"/>
              <w:ind w:left="64" w:right="99"/>
              <w:jc w:val="center"/>
              <w:rPr>
                <w:b/>
                <w:sz w:val="18"/>
              </w:rPr>
            </w:pPr>
            <w:r>
              <w:rPr>
                <w:b/>
                <w:sz w:val="18"/>
              </w:rPr>
              <w:t>Consolidated</w:t>
            </w:r>
          </w:p>
        </w:tc>
        <w:tc>
          <w:tcPr>
            <w:tcW w:w="1103" w:type="dxa"/>
          </w:tcPr>
          <w:p>
            <w:pPr>
              <w:pStyle w:val="TableParagraph"/>
              <w:spacing w:before="24"/>
              <w:ind w:left="101" w:right="170"/>
              <w:jc w:val="center"/>
              <w:rPr>
                <w:b/>
                <w:sz w:val="18"/>
              </w:rPr>
            </w:pPr>
            <w:r>
              <w:rPr>
                <w:b/>
                <w:sz w:val="18"/>
              </w:rPr>
              <w:t>Parent</w:t>
            </w:r>
          </w:p>
        </w:tc>
        <w:tc>
          <w:tcPr>
            <w:tcW w:w="912" w:type="dxa"/>
          </w:tcPr>
          <w:p>
            <w:pPr>
              <w:pStyle w:val="TableParagraph"/>
              <w:spacing w:before="24"/>
              <w:ind w:left="255"/>
              <w:jc w:val="left"/>
              <w:rPr>
                <w:b/>
                <w:sz w:val="18"/>
              </w:rPr>
            </w:pPr>
            <w:r>
              <w:rPr>
                <w:b/>
                <w:sz w:val="18"/>
              </w:rPr>
              <w:t>Parent</w:t>
            </w:r>
          </w:p>
        </w:tc>
      </w:tr>
      <w:tr>
        <w:trPr>
          <w:trHeight w:val="327" w:hRule="exact"/>
        </w:trPr>
        <w:tc>
          <w:tcPr>
            <w:tcW w:w="1780" w:type="dxa"/>
          </w:tcPr>
          <w:p>
            <w:pPr>
              <w:pStyle w:val="TableParagraph"/>
              <w:tabs>
                <w:tab w:pos="904" w:val="left" w:leader="none"/>
              </w:tabs>
              <w:spacing w:before="24"/>
              <w:ind w:left="35"/>
              <w:jc w:val="left"/>
              <w:rPr>
                <w:b/>
                <w:sz w:val="18"/>
              </w:rPr>
            </w:pPr>
            <w:r>
              <w:rPr>
                <w:b/>
                <w:sz w:val="18"/>
              </w:rPr>
              <w:t>Note</w:t>
              <w:tab/>
              <w:t>$'000</w:t>
            </w:r>
          </w:p>
        </w:tc>
        <w:tc>
          <w:tcPr>
            <w:tcW w:w="1345" w:type="dxa"/>
          </w:tcPr>
          <w:p>
            <w:pPr>
              <w:pStyle w:val="TableParagraph"/>
              <w:spacing w:before="24"/>
              <w:ind w:left="63" w:right="99"/>
              <w:jc w:val="center"/>
              <w:rPr>
                <w:b/>
                <w:sz w:val="18"/>
              </w:rPr>
            </w:pPr>
            <w:r>
              <w:rPr>
                <w:b/>
                <w:sz w:val="18"/>
              </w:rPr>
              <w:t>$'000</w:t>
            </w:r>
          </w:p>
        </w:tc>
        <w:tc>
          <w:tcPr>
            <w:tcW w:w="1103" w:type="dxa"/>
          </w:tcPr>
          <w:p>
            <w:pPr>
              <w:pStyle w:val="TableParagraph"/>
              <w:spacing w:before="24"/>
              <w:ind w:left="101" w:right="170"/>
              <w:jc w:val="center"/>
              <w:rPr>
                <w:b/>
                <w:sz w:val="18"/>
              </w:rPr>
            </w:pPr>
            <w:r>
              <w:rPr>
                <w:b/>
                <w:sz w:val="18"/>
              </w:rPr>
              <w:t>$'000</w:t>
            </w:r>
          </w:p>
        </w:tc>
        <w:tc>
          <w:tcPr>
            <w:tcW w:w="912" w:type="dxa"/>
          </w:tcPr>
          <w:p>
            <w:pPr>
              <w:pStyle w:val="TableParagraph"/>
              <w:spacing w:before="24"/>
              <w:ind w:left="314"/>
              <w:jc w:val="left"/>
              <w:rPr>
                <w:b/>
                <w:sz w:val="18"/>
              </w:rPr>
            </w:pPr>
            <w:r>
              <w:rPr>
                <w:b/>
                <w:sz w:val="18"/>
              </w:rPr>
              <w:t>$'000</w:t>
            </w:r>
          </w:p>
        </w:tc>
      </w:tr>
    </w:tbl>
    <w:p>
      <w:pPr>
        <w:pStyle w:val="Heading8"/>
        <w:spacing w:before="80" w:after="36"/>
        <w:ind w:left="1824"/>
      </w:pPr>
      <w:r>
        <w:rPr/>
        <w:drawing>
          <wp:anchor distT="0" distB="0" distL="0" distR="0" allowOverlap="1" layoutInCell="1" locked="0" behindDoc="0" simplePos="0" relativeHeight="2848">
            <wp:simplePos x="0" y="0"/>
            <wp:positionH relativeFrom="page">
              <wp:posOffset>-1587</wp:posOffset>
            </wp:positionH>
            <wp:positionV relativeFrom="paragraph">
              <wp:posOffset>432484</wp:posOffset>
            </wp:positionV>
            <wp:extent cx="135159" cy="154019"/>
            <wp:effectExtent l="0" t="0" r="0" b="0"/>
            <wp:wrapNone/>
            <wp:docPr id="147" name="image13.png" descr=""/>
            <wp:cNvGraphicFramePr>
              <a:graphicFrameLocks noChangeAspect="1"/>
            </wp:cNvGraphicFramePr>
            <a:graphic>
              <a:graphicData uri="http://schemas.openxmlformats.org/drawingml/2006/picture">
                <pic:pic>
                  <pic:nvPicPr>
                    <pic:cNvPr id="148" name="image13.png"/>
                    <pic:cNvPicPr/>
                  </pic:nvPicPr>
                  <pic:blipFill>
                    <a:blip r:embed="rId18" cstate="print"/>
                    <a:stretch>
                      <a:fillRect/>
                    </a:stretch>
                  </pic:blipFill>
                  <pic:spPr>
                    <a:xfrm>
                      <a:off x="0" y="0"/>
                      <a:ext cx="135159" cy="154019"/>
                    </a:xfrm>
                    <a:prstGeom prst="rect">
                      <a:avLst/>
                    </a:prstGeom>
                  </pic:spPr>
                </pic:pic>
              </a:graphicData>
            </a:graphic>
          </wp:anchor>
        </w:drawing>
      </w:r>
      <w:r>
        <w:rPr/>
        <w:drawing>
          <wp:anchor distT="0" distB="0" distL="0" distR="0" allowOverlap="1" layoutInCell="1" locked="0" behindDoc="0" simplePos="0" relativeHeight="2872">
            <wp:simplePos x="0" y="0"/>
            <wp:positionH relativeFrom="page">
              <wp:posOffset>7958429</wp:posOffset>
            </wp:positionH>
            <wp:positionV relativeFrom="paragraph">
              <wp:posOffset>432484</wp:posOffset>
            </wp:positionV>
            <wp:extent cx="135953" cy="155575"/>
            <wp:effectExtent l="0" t="0" r="0" b="0"/>
            <wp:wrapNone/>
            <wp:docPr id="149" name="image15.png" descr=""/>
            <wp:cNvGraphicFramePr>
              <a:graphicFrameLocks noChangeAspect="1"/>
            </wp:cNvGraphicFramePr>
            <a:graphic>
              <a:graphicData uri="http://schemas.openxmlformats.org/drawingml/2006/picture">
                <pic:pic>
                  <pic:nvPicPr>
                    <pic:cNvPr id="150" name="image15.png"/>
                    <pic:cNvPicPr/>
                  </pic:nvPicPr>
                  <pic:blipFill>
                    <a:blip r:embed="rId20" cstate="print"/>
                    <a:stretch>
                      <a:fillRect/>
                    </a:stretch>
                  </pic:blipFill>
                  <pic:spPr>
                    <a:xfrm>
                      <a:off x="0" y="0"/>
                      <a:ext cx="135953" cy="155575"/>
                    </a:xfrm>
                    <a:prstGeom prst="rect">
                      <a:avLst/>
                    </a:prstGeom>
                  </pic:spPr>
                </pic:pic>
              </a:graphicData>
            </a:graphic>
          </wp:anchor>
        </w:drawing>
      </w:r>
      <w:r>
        <w:rPr/>
        <w:t>Note 2(f) - Australian Research Councils</w:t>
      </w:r>
    </w:p>
    <w:tbl>
      <w:tblPr>
        <w:tblW w:w="0" w:type="auto"/>
        <w:jc w:val="left"/>
        <w:tblInd w:w="182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974"/>
        <w:gridCol w:w="719"/>
        <w:gridCol w:w="1576"/>
        <w:gridCol w:w="1207"/>
        <w:gridCol w:w="1122"/>
        <w:gridCol w:w="924"/>
      </w:tblGrid>
      <w:tr>
        <w:trPr>
          <w:trHeight w:val="556" w:hRule="exact"/>
        </w:trPr>
        <w:tc>
          <w:tcPr>
            <w:tcW w:w="3974" w:type="dxa"/>
          </w:tcPr>
          <w:p>
            <w:pPr>
              <w:pStyle w:val="TableParagraph"/>
              <w:spacing w:before="76"/>
              <w:ind w:left="214"/>
              <w:jc w:val="left"/>
              <w:rPr>
                <w:b/>
                <w:sz w:val="18"/>
              </w:rPr>
            </w:pPr>
            <w:r>
              <w:rPr>
                <w:b/>
                <w:sz w:val="18"/>
              </w:rPr>
              <w:t>(i) Discovery</w:t>
            </w:r>
          </w:p>
          <w:p>
            <w:pPr>
              <w:pStyle w:val="TableParagraph"/>
              <w:spacing w:before="29"/>
              <w:ind w:left="214"/>
              <w:jc w:val="left"/>
              <w:rPr>
                <w:sz w:val="18"/>
              </w:rPr>
            </w:pPr>
            <w:r>
              <w:rPr>
                <w:sz w:val="18"/>
              </w:rPr>
              <w:t>Projects</w:t>
            </w:r>
          </w:p>
        </w:tc>
        <w:tc>
          <w:tcPr>
            <w:tcW w:w="719" w:type="dxa"/>
          </w:tcPr>
          <w:p>
            <w:pPr>
              <w:pStyle w:val="TableParagraph"/>
              <w:spacing w:before="11"/>
              <w:jc w:val="left"/>
              <w:rPr>
                <w:b/>
                <w:sz w:val="26"/>
              </w:rPr>
            </w:pPr>
          </w:p>
          <w:p>
            <w:pPr>
              <w:pStyle w:val="TableParagraph"/>
              <w:ind w:left="198"/>
              <w:jc w:val="left"/>
              <w:rPr>
                <w:sz w:val="18"/>
              </w:rPr>
            </w:pPr>
            <w:r>
              <w:rPr>
                <w:sz w:val="18"/>
              </w:rPr>
              <w:t>2(f)(i)</w:t>
            </w:r>
          </w:p>
        </w:tc>
        <w:tc>
          <w:tcPr>
            <w:tcW w:w="1576" w:type="dxa"/>
          </w:tcPr>
          <w:p>
            <w:pPr>
              <w:pStyle w:val="TableParagraph"/>
              <w:jc w:val="left"/>
              <w:rPr>
                <w:b/>
                <w:sz w:val="18"/>
              </w:rPr>
            </w:pPr>
          </w:p>
          <w:p>
            <w:pPr>
              <w:pStyle w:val="TableParagraph"/>
              <w:spacing w:before="104"/>
              <w:ind w:right="369"/>
              <w:rPr>
                <w:sz w:val="18"/>
              </w:rPr>
            </w:pPr>
            <w:r>
              <w:rPr>
                <w:sz w:val="18"/>
              </w:rPr>
              <w:t>4,046</w:t>
            </w:r>
          </w:p>
        </w:tc>
        <w:tc>
          <w:tcPr>
            <w:tcW w:w="1207" w:type="dxa"/>
          </w:tcPr>
          <w:p>
            <w:pPr>
              <w:pStyle w:val="TableParagraph"/>
              <w:jc w:val="left"/>
              <w:rPr>
                <w:b/>
                <w:sz w:val="18"/>
              </w:rPr>
            </w:pPr>
          </w:p>
          <w:p>
            <w:pPr>
              <w:pStyle w:val="TableParagraph"/>
              <w:spacing w:before="104"/>
              <w:ind w:right="284"/>
              <w:rPr>
                <w:sz w:val="18"/>
              </w:rPr>
            </w:pPr>
            <w:r>
              <w:rPr>
                <w:sz w:val="18"/>
              </w:rPr>
              <w:t>4,908</w:t>
            </w:r>
          </w:p>
        </w:tc>
        <w:tc>
          <w:tcPr>
            <w:tcW w:w="1122" w:type="dxa"/>
          </w:tcPr>
          <w:p>
            <w:pPr>
              <w:pStyle w:val="TableParagraph"/>
              <w:jc w:val="left"/>
              <w:rPr>
                <w:b/>
                <w:sz w:val="18"/>
              </w:rPr>
            </w:pPr>
          </w:p>
          <w:p>
            <w:pPr>
              <w:pStyle w:val="TableParagraph"/>
              <w:spacing w:before="104"/>
              <w:ind w:right="284"/>
              <w:rPr>
                <w:sz w:val="18"/>
              </w:rPr>
            </w:pPr>
            <w:r>
              <w:rPr>
                <w:sz w:val="18"/>
              </w:rPr>
              <w:t>4,046</w:t>
            </w:r>
          </w:p>
        </w:tc>
        <w:tc>
          <w:tcPr>
            <w:tcW w:w="924" w:type="dxa"/>
          </w:tcPr>
          <w:p>
            <w:pPr>
              <w:pStyle w:val="TableParagraph"/>
              <w:jc w:val="left"/>
              <w:rPr>
                <w:b/>
                <w:sz w:val="18"/>
              </w:rPr>
            </w:pPr>
          </w:p>
          <w:p>
            <w:pPr>
              <w:pStyle w:val="TableParagraph"/>
              <w:spacing w:before="104"/>
              <w:ind w:right="86"/>
              <w:rPr>
                <w:sz w:val="18"/>
              </w:rPr>
            </w:pPr>
            <w:r>
              <w:rPr>
                <w:sz w:val="18"/>
              </w:rPr>
              <w:t>4,908</w:t>
            </w:r>
          </w:p>
        </w:tc>
      </w:tr>
      <w:tr>
        <w:trPr>
          <w:trHeight w:val="263" w:hRule="exact"/>
        </w:trPr>
        <w:tc>
          <w:tcPr>
            <w:tcW w:w="3974" w:type="dxa"/>
          </w:tcPr>
          <w:p>
            <w:pPr>
              <w:pStyle w:val="TableParagraph"/>
              <w:spacing w:before="20"/>
              <w:ind w:left="214"/>
              <w:jc w:val="left"/>
              <w:rPr>
                <w:sz w:val="18"/>
              </w:rPr>
            </w:pPr>
            <w:r>
              <w:rPr>
                <w:sz w:val="18"/>
              </w:rPr>
              <w:t>Fellowships</w:t>
            </w:r>
          </w:p>
        </w:tc>
        <w:tc>
          <w:tcPr>
            <w:tcW w:w="719" w:type="dxa"/>
          </w:tcPr>
          <w:p>
            <w:pPr>
              <w:pStyle w:val="TableParagraph"/>
              <w:spacing w:before="18"/>
              <w:ind w:left="198"/>
              <w:jc w:val="left"/>
              <w:rPr>
                <w:sz w:val="18"/>
              </w:rPr>
            </w:pPr>
            <w:r>
              <w:rPr>
                <w:sz w:val="18"/>
              </w:rPr>
              <w:t>2(f)(i)</w:t>
            </w:r>
          </w:p>
        </w:tc>
        <w:tc>
          <w:tcPr>
            <w:tcW w:w="1576" w:type="dxa"/>
            <w:tcBorders>
              <w:bottom w:val="single" w:sz="0" w:space="0" w:color="000000"/>
            </w:tcBorders>
          </w:tcPr>
          <w:p>
            <w:pPr>
              <w:pStyle w:val="TableParagraph"/>
              <w:spacing w:before="19"/>
              <w:ind w:right="369"/>
              <w:rPr>
                <w:sz w:val="18"/>
              </w:rPr>
            </w:pPr>
            <w:r>
              <w:rPr>
                <w:sz w:val="18"/>
              </w:rPr>
              <w:t>2,099</w:t>
            </w:r>
          </w:p>
        </w:tc>
        <w:tc>
          <w:tcPr>
            <w:tcW w:w="1207" w:type="dxa"/>
            <w:tcBorders>
              <w:bottom w:val="single" w:sz="0" w:space="0" w:color="000000"/>
            </w:tcBorders>
          </w:tcPr>
          <w:p>
            <w:pPr>
              <w:pStyle w:val="TableParagraph"/>
              <w:spacing w:before="19"/>
              <w:ind w:right="284"/>
              <w:rPr>
                <w:sz w:val="18"/>
              </w:rPr>
            </w:pPr>
            <w:r>
              <w:rPr>
                <w:sz w:val="18"/>
              </w:rPr>
              <w:t>1,237</w:t>
            </w:r>
          </w:p>
        </w:tc>
        <w:tc>
          <w:tcPr>
            <w:tcW w:w="1122" w:type="dxa"/>
            <w:tcBorders>
              <w:bottom w:val="single" w:sz="0" w:space="0" w:color="000000"/>
            </w:tcBorders>
          </w:tcPr>
          <w:p>
            <w:pPr>
              <w:pStyle w:val="TableParagraph"/>
              <w:spacing w:before="19"/>
              <w:ind w:right="284"/>
              <w:rPr>
                <w:sz w:val="18"/>
              </w:rPr>
            </w:pPr>
            <w:r>
              <w:rPr>
                <w:sz w:val="18"/>
              </w:rPr>
              <w:t>2,099</w:t>
            </w:r>
          </w:p>
        </w:tc>
        <w:tc>
          <w:tcPr>
            <w:tcW w:w="924" w:type="dxa"/>
            <w:tcBorders>
              <w:bottom w:val="single" w:sz="0" w:space="0" w:color="000000"/>
            </w:tcBorders>
          </w:tcPr>
          <w:p>
            <w:pPr>
              <w:pStyle w:val="TableParagraph"/>
              <w:spacing w:before="19"/>
              <w:ind w:right="86"/>
              <w:rPr>
                <w:sz w:val="18"/>
              </w:rPr>
            </w:pPr>
            <w:r>
              <w:rPr>
                <w:sz w:val="18"/>
              </w:rPr>
              <w:t>1,237</w:t>
            </w:r>
          </w:p>
        </w:tc>
      </w:tr>
      <w:tr>
        <w:trPr>
          <w:trHeight w:val="338" w:hRule="exact"/>
        </w:trPr>
        <w:tc>
          <w:tcPr>
            <w:tcW w:w="3974" w:type="dxa"/>
          </w:tcPr>
          <w:p>
            <w:pPr/>
          </w:p>
        </w:tc>
        <w:tc>
          <w:tcPr>
            <w:tcW w:w="719" w:type="dxa"/>
          </w:tcPr>
          <w:p>
            <w:pPr/>
          </w:p>
        </w:tc>
        <w:tc>
          <w:tcPr>
            <w:tcW w:w="1576" w:type="dxa"/>
            <w:tcBorders>
              <w:top w:val="single" w:sz="0" w:space="0" w:color="000000"/>
              <w:bottom w:val="single" w:sz="0" w:space="0" w:color="000000"/>
            </w:tcBorders>
          </w:tcPr>
          <w:p>
            <w:pPr>
              <w:pStyle w:val="TableParagraph"/>
              <w:spacing w:before="122"/>
              <w:ind w:right="369"/>
              <w:rPr>
                <w:sz w:val="18"/>
              </w:rPr>
            </w:pPr>
            <w:r>
              <w:rPr>
                <w:sz w:val="18"/>
              </w:rPr>
              <w:t>6,145</w:t>
            </w:r>
          </w:p>
        </w:tc>
        <w:tc>
          <w:tcPr>
            <w:tcW w:w="1207" w:type="dxa"/>
            <w:tcBorders>
              <w:top w:val="single" w:sz="0" w:space="0" w:color="000000"/>
              <w:bottom w:val="single" w:sz="0" w:space="0" w:color="000000"/>
            </w:tcBorders>
          </w:tcPr>
          <w:p>
            <w:pPr>
              <w:pStyle w:val="TableParagraph"/>
              <w:spacing w:before="122"/>
              <w:ind w:right="284"/>
              <w:rPr>
                <w:sz w:val="18"/>
              </w:rPr>
            </w:pPr>
            <w:r>
              <w:rPr>
                <w:sz w:val="18"/>
              </w:rPr>
              <w:t>6,145</w:t>
            </w:r>
          </w:p>
        </w:tc>
        <w:tc>
          <w:tcPr>
            <w:tcW w:w="1122" w:type="dxa"/>
            <w:tcBorders>
              <w:top w:val="single" w:sz="0" w:space="0" w:color="000000"/>
              <w:bottom w:val="single" w:sz="0" w:space="0" w:color="000000"/>
            </w:tcBorders>
          </w:tcPr>
          <w:p>
            <w:pPr>
              <w:pStyle w:val="TableParagraph"/>
              <w:spacing w:before="122"/>
              <w:ind w:right="284"/>
              <w:rPr>
                <w:sz w:val="18"/>
              </w:rPr>
            </w:pPr>
            <w:r>
              <w:rPr>
                <w:sz w:val="18"/>
              </w:rPr>
              <w:t>6,145</w:t>
            </w:r>
          </w:p>
        </w:tc>
        <w:tc>
          <w:tcPr>
            <w:tcW w:w="924" w:type="dxa"/>
            <w:tcBorders>
              <w:top w:val="single" w:sz="0" w:space="0" w:color="000000"/>
              <w:bottom w:val="single" w:sz="0" w:space="0" w:color="000000"/>
            </w:tcBorders>
          </w:tcPr>
          <w:p>
            <w:pPr>
              <w:pStyle w:val="TableParagraph"/>
              <w:spacing w:before="122"/>
              <w:ind w:right="86"/>
              <w:rPr>
                <w:sz w:val="18"/>
              </w:rPr>
            </w:pPr>
            <w:r>
              <w:rPr>
                <w:sz w:val="18"/>
              </w:rPr>
              <w:t>6,145</w:t>
            </w:r>
          </w:p>
        </w:tc>
      </w:tr>
      <w:tr>
        <w:trPr>
          <w:trHeight w:val="604" w:hRule="exact"/>
        </w:trPr>
        <w:tc>
          <w:tcPr>
            <w:tcW w:w="3974" w:type="dxa"/>
          </w:tcPr>
          <w:p>
            <w:pPr>
              <w:pStyle w:val="TableParagraph"/>
              <w:spacing w:before="123"/>
              <w:jc w:val="left"/>
              <w:rPr>
                <w:b/>
                <w:sz w:val="18"/>
              </w:rPr>
            </w:pPr>
            <w:r>
              <w:rPr>
                <w:b/>
                <w:sz w:val="18"/>
              </w:rPr>
              <w:t>Note 9 - Other revenue and income</w:t>
            </w:r>
          </w:p>
          <w:p>
            <w:pPr>
              <w:pStyle w:val="TableParagraph"/>
              <w:spacing w:before="29"/>
              <w:ind w:left="214"/>
              <w:jc w:val="left"/>
              <w:rPr>
                <w:sz w:val="18"/>
              </w:rPr>
            </w:pPr>
            <w:r>
              <w:rPr>
                <w:sz w:val="18"/>
              </w:rPr>
              <w:t>Sales of goods</w:t>
            </w:r>
          </w:p>
        </w:tc>
        <w:tc>
          <w:tcPr>
            <w:tcW w:w="719" w:type="dxa"/>
          </w:tcPr>
          <w:p>
            <w:pPr>
              <w:pStyle w:val="TableParagraph"/>
              <w:jc w:val="left"/>
              <w:rPr>
                <w:b/>
                <w:sz w:val="18"/>
              </w:rPr>
            </w:pPr>
          </w:p>
          <w:p>
            <w:pPr>
              <w:pStyle w:val="TableParagraph"/>
              <w:spacing w:before="150"/>
              <w:ind w:left="198"/>
              <w:jc w:val="left"/>
              <w:rPr>
                <w:sz w:val="18"/>
              </w:rPr>
            </w:pPr>
            <w:r>
              <w:rPr>
                <w:w w:val="99"/>
                <w:sz w:val="18"/>
              </w:rPr>
              <w:t>9</w:t>
            </w:r>
          </w:p>
        </w:tc>
        <w:tc>
          <w:tcPr>
            <w:tcW w:w="1576" w:type="dxa"/>
          </w:tcPr>
          <w:p>
            <w:pPr>
              <w:pStyle w:val="TableParagraph"/>
              <w:jc w:val="left"/>
              <w:rPr>
                <w:b/>
                <w:sz w:val="18"/>
              </w:rPr>
            </w:pPr>
          </w:p>
          <w:p>
            <w:pPr>
              <w:pStyle w:val="TableParagraph"/>
              <w:spacing w:before="151"/>
              <w:ind w:right="369"/>
              <w:rPr>
                <w:sz w:val="18"/>
              </w:rPr>
            </w:pPr>
            <w:r>
              <w:rPr>
                <w:sz w:val="18"/>
              </w:rPr>
              <w:t>9,798</w:t>
            </w:r>
          </w:p>
        </w:tc>
        <w:tc>
          <w:tcPr>
            <w:tcW w:w="1207" w:type="dxa"/>
          </w:tcPr>
          <w:p>
            <w:pPr>
              <w:pStyle w:val="TableParagraph"/>
              <w:jc w:val="left"/>
              <w:rPr>
                <w:b/>
                <w:sz w:val="18"/>
              </w:rPr>
            </w:pPr>
          </w:p>
          <w:p>
            <w:pPr>
              <w:pStyle w:val="TableParagraph"/>
              <w:spacing w:before="151"/>
              <w:ind w:right="284"/>
              <w:rPr>
                <w:sz w:val="18"/>
              </w:rPr>
            </w:pPr>
            <w:r>
              <w:rPr>
                <w:w w:val="95"/>
                <w:sz w:val="18"/>
              </w:rPr>
              <w:t>16,916</w:t>
            </w:r>
          </w:p>
        </w:tc>
        <w:tc>
          <w:tcPr>
            <w:tcW w:w="1122" w:type="dxa"/>
          </w:tcPr>
          <w:p>
            <w:pPr>
              <w:pStyle w:val="TableParagraph"/>
              <w:jc w:val="left"/>
              <w:rPr>
                <w:b/>
                <w:sz w:val="18"/>
              </w:rPr>
            </w:pPr>
          </w:p>
          <w:p>
            <w:pPr>
              <w:pStyle w:val="TableParagraph"/>
              <w:spacing w:before="151"/>
              <w:ind w:right="284"/>
              <w:rPr>
                <w:sz w:val="18"/>
              </w:rPr>
            </w:pPr>
            <w:r>
              <w:rPr>
                <w:sz w:val="18"/>
              </w:rPr>
              <w:t>1,011</w:t>
            </w:r>
          </w:p>
        </w:tc>
        <w:tc>
          <w:tcPr>
            <w:tcW w:w="924" w:type="dxa"/>
          </w:tcPr>
          <w:p>
            <w:pPr>
              <w:pStyle w:val="TableParagraph"/>
              <w:jc w:val="left"/>
              <w:rPr>
                <w:b/>
                <w:sz w:val="18"/>
              </w:rPr>
            </w:pPr>
          </w:p>
          <w:p>
            <w:pPr>
              <w:pStyle w:val="TableParagraph"/>
              <w:spacing w:before="151"/>
              <w:ind w:right="86"/>
              <w:rPr>
                <w:sz w:val="18"/>
              </w:rPr>
            </w:pPr>
            <w:r>
              <w:rPr>
                <w:sz w:val="18"/>
              </w:rPr>
              <w:t>1,011</w:t>
            </w:r>
          </w:p>
        </w:tc>
      </w:tr>
      <w:tr>
        <w:trPr>
          <w:trHeight w:val="263" w:hRule="exact"/>
        </w:trPr>
        <w:tc>
          <w:tcPr>
            <w:tcW w:w="3974" w:type="dxa"/>
          </w:tcPr>
          <w:p>
            <w:pPr>
              <w:pStyle w:val="TableParagraph"/>
              <w:spacing w:before="20"/>
              <w:ind w:left="214"/>
              <w:jc w:val="left"/>
              <w:rPr>
                <w:sz w:val="18"/>
              </w:rPr>
            </w:pPr>
            <w:r>
              <w:rPr>
                <w:sz w:val="18"/>
              </w:rPr>
              <w:t>Commercial leases and other rental income</w:t>
            </w:r>
          </w:p>
        </w:tc>
        <w:tc>
          <w:tcPr>
            <w:tcW w:w="719" w:type="dxa"/>
          </w:tcPr>
          <w:p>
            <w:pPr>
              <w:pStyle w:val="TableParagraph"/>
              <w:spacing w:before="18"/>
              <w:ind w:left="198"/>
              <w:jc w:val="left"/>
              <w:rPr>
                <w:sz w:val="18"/>
              </w:rPr>
            </w:pPr>
            <w:r>
              <w:rPr>
                <w:w w:val="99"/>
                <w:sz w:val="18"/>
              </w:rPr>
              <w:t>9</w:t>
            </w:r>
          </w:p>
        </w:tc>
        <w:tc>
          <w:tcPr>
            <w:tcW w:w="1576" w:type="dxa"/>
            <w:tcBorders>
              <w:bottom w:val="single" w:sz="0" w:space="0" w:color="000000"/>
            </w:tcBorders>
          </w:tcPr>
          <w:p>
            <w:pPr>
              <w:pStyle w:val="TableParagraph"/>
              <w:spacing w:before="19"/>
              <w:ind w:right="369"/>
              <w:rPr>
                <w:sz w:val="18"/>
              </w:rPr>
            </w:pPr>
            <w:r>
              <w:rPr>
                <w:w w:val="95"/>
                <w:sz w:val="18"/>
              </w:rPr>
              <w:t>11,473</w:t>
            </w:r>
          </w:p>
        </w:tc>
        <w:tc>
          <w:tcPr>
            <w:tcW w:w="1207" w:type="dxa"/>
            <w:tcBorders>
              <w:bottom w:val="single" w:sz="0" w:space="0" w:color="000000"/>
            </w:tcBorders>
          </w:tcPr>
          <w:p>
            <w:pPr>
              <w:pStyle w:val="TableParagraph"/>
              <w:spacing w:before="19"/>
              <w:ind w:right="284"/>
              <w:rPr>
                <w:sz w:val="18"/>
              </w:rPr>
            </w:pPr>
            <w:r>
              <w:rPr>
                <w:sz w:val="18"/>
              </w:rPr>
              <w:t>4,355</w:t>
            </w:r>
          </w:p>
        </w:tc>
        <w:tc>
          <w:tcPr>
            <w:tcW w:w="1122" w:type="dxa"/>
            <w:tcBorders>
              <w:bottom w:val="single" w:sz="0" w:space="0" w:color="000000"/>
            </w:tcBorders>
          </w:tcPr>
          <w:p>
            <w:pPr>
              <w:pStyle w:val="TableParagraph"/>
              <w:spacing w:before="19"/>
              <w:ind w:right="284"/>
              <w:rPr>
                <w:sz w:val="18"/>
              </w:rPr>
            </w:pPr>
            <w:r>
              <w:rPr>
                <w:sz w:val="18"/>
              </w:rPr>
              <w:t>4,108</w:t>
            </w:r>
          </w:p>
        </w:tc>
        <w:tc>
          <w:tcPr>
            <w:tcW w:w="924" w:type="dxa"/>
            <w:tcBorders>
              <w:bottom w:val="single" w:sz="0" w:space="0" w:color="000000"/>
            </w:tcBorders>
          </w:tcPr>
          <w:p>
            <w:pPr>
              <w:pStyle w:val="TableParagraph"/>
              <w:spacing w:before="19"/>
              <w:ind w:right="86"/>
              <w:rPr>
                <w:sz w:val="18"/>
              </w:rPr>
            </w:pPr>
            <w:r>
              <w:rPr>
                <w:sz w:val="18"/>
              </w:rPr>
              <w:t>4,108</w:t>
            </w:r>
          </w:p>
        </w:tc>
      </w:tr>
      <w:tr>
        <w:trPr>
          <w:trHeight w:val="283" w:hRule="exact"/>
        </w:trPr>
        <w:tc>
          <w:tcPr>
            <w:tcW w:w="3974" w:type="dxa"/>
          </w:tcPr>
          <w:p>
            <w:pPr/>
          </w:p>
        </w:tc>
        <w:tc>
          <w:tcPr>
            <w:tcW w:w="719" w:type="dxa"/>
          </w:tcPr>
          <w:p>
            <w:pPr/>
          </w:p>
        </w:tc>
        <w:tc>
          <w:tcPr>
            <w:tcW w:w="1576" w:type="dxa"/>
            <w:tcBorders>
              <w:top w:val="single" w:sz="0" w:space="0" w:color="000000"/>
              <w:bottom w:val="single" w:sz="0" w:space="0" w:color="000000"/>
            </w:tcBorders>
          </w:tcPr>
          <w:p>
            <w:pPr>
              <w:pStyle w:val="TableParagraph"/>
              <w:spacing w:before="38"/>
              <w:ind w:right="369"/>
              <w:rPr>
                <w:sz w:val="18"/>
              </w:rPr>
            </w:pPr>
            <w:r>
              <w:rPr>
                <w:w w:val="95"/>
                <w:sz w:val="18"/>
              </w:rPr>
              <w:t>21,271</w:t>
            </w:r>
          </w:p>
        </w:tc>
        <w:tc>
          <w:tcPr>
            <w:tcW w:w="1207" w:type="dxa"/>
            <w:tcBorders>
              <w:top w:val="single" w:sz="0" w:space="0" w:color="000000"/>
              <w:bottom w:val="single" w:sz="0" w:space="0" w:color="000000"/>
            </w:tcBorders>
          </w:tcPr>
          <w:p>
            <w:pPr>
              <w:pStyle w:val="TableParagraph"/>
              <w:spacing w:before="38"/>
              <w:ind w:right="284"/>
              <w:rPr>
                <w:sz w:val="18"/>
              </w:rPr>
            </w:pPr>
            <w:r>
              <w:rPr>
                <w:w w:val="95"/>
                <w:sz w:val="18"/>
              </w:rPr>
              <w:t>21,271</w:t>
            </w:r>
          </w:p>
        </w:tc>
        <w:tc>
          <w:tcPr>
            <w:tcW w:w="1122" w:type="dxa"/>
            <w:tcBorders>
              <w:top w:val="single" w:sz="0" w:space="0" w:color="000000"/>
              <w:bottom w:val="single" w:sz="0" w:space="0" w:color="000000"/>
            </w:tcBorders>
          </w:tcPr>
          <w:p>
            <w:pPr>
              <w:pStyle w:val="TableParagraph"/>
              <w:spacing w:before="38"/>
              <w:ind w:right="284"/>
              <w:rPr>
                <w:sz w:val="18"/>
              </w:rPr>
            </w:pPr>
            <w:r>
              <w:rPr>
                <w:sz w:val="18"/>
              </w:rPr>
              <w:t>5,119</w:t>
            </w:r>
          </w:p>
        </w:tc>
        <w:tc>
          <w:tcPr>
            <w:tcW w:w="924" w:type="dxa"/>
            <w:tcBorders>
              <w:top w:val="single" w:sz="0" w:space="0" w:color="000000"/>
              <w:bottom w:val="single" w:sz="0" w:space="0" w:color="000000"/>
            </w:tcBorders>
          </w:tcPr>
          <w:p>
            <w:pPr>
              <w:pStyle w:val="TableParagraph"/>
              <w:spacing w:before="38"/>
              <w:ind w:right="86"/>
              <w:rPr>
                <w:sz w:val="18"/>
              </w:rPr>
            </w:pPr>
            <w:r>
              <w:rPr>
                <w:sz w:val="18"/>
              </w:rPr>
              <w:t>5,119</w:t>
            </w:r>
          </w:p>
        </w:tc>
      </w:tr>
      <w:tr>
        <w:trPr>
          <w:trHeight w:val="353" w:hRule="exact"/>
        </w:trPr>
        <w:tc>
          <w:tcPr>
            <w:tcW w:w="3974" w:type="dxa"/>
          </w:tcPr>
          <w:p>
            <w:pPr>
              <w:pStyle w:val="TableParagraph"/>
              <w:spacing w:before="123"/>
              <w:jc w:val="left"/>
              <w:rPr>
                <w:b/>
                <w:sz w:val="18"/>
              </w:rPr>
            </w:pPr>
            <w:r>
              <w:rPr>
                <w:b/>
                <w:sz w:val="18"/>
              </w:rPr>
              <w:t>Note 16 - Other expenses</w:t>
            </w:r>
          </w:p>
        </w:tc>
        <w:tc>
          <w:tcPr>
            <w:tcW w:w="719" w:type="dxa"/>
          </w:tcPr>
          <w:p>
            <w:pPr/>
          </w:p>
        </w:tc>
        <w:tc>
          <w:tcPr>
            <w:tcW w:w="1576" w:type="dxa"/>
          </w:tcPr>
          <w:p>
            <w:pPr/>
          </w:p>
        </w:tc>
        <w:tc>
          <w:tcPr>
            <w:tcW w:w="1207" w:type="dxa"/>
          </w:tcPr>
          <w:p>
            <w:pPr/>
          </w:p>
        </w:tc>
        <w:tc>
          <w:tcPr>
            <w:tcW w:w="1122" w:type="dxa"/>
          </w:tcPr>
          <w:p>
            <w:pPr/>
          </w:p>
        </w:tc>
        <w:tc>
          <w:tcPr>
            <w:tcW w:w="924" w:type="dxa"/>
          </w:tcPr>
          <w:p>
            <w:pPr/>
          </w:p>
        </w:tc>
      </w:tr>
      <w:tr>
        <w:trPr>
          <w:trHeight w:val="250" w:hRule="exact"/>
        </w:trPr>
        <w:tc>
          <w:tcPr>
            <w:tcW w:w="3974" w:type="dxa"/>
          </w:tcPr>
          <w:p>
            <w:pPr>
              <w:pStyle w:val="TableParagraph"/>
              <w:spacing w:before="6"/>
              <w:ind w:left="214"/>
              <w:jc w:val="left"/>
              <w:rPr>
                <w:sz w:val="18"/>
              </w:rPr>
            </w:pPr>
            <w:r>
              <w:rPr>
                <w:sz w:val="18"/>
              </w:rPr>
              <w:t>Minimum lease payments on operating lease</w:t>
            </w:r>
          </w:p>
        </w:tc>
        <w:tc>
          <w:tcPr>
            <w:tcW w:w="719" w:type="dxa"/>
          </w:tcPr>
          <w:p>
            <w:pPr>
              <w:pStyle w:val="TableParagraph"/>
              <w:spacing w:before="4"/>
              <w:ind w:left="198"/>
              <w:jc w:val="left"/>
              <w:rPr>
                <w:sz w:val="18"/>
              </w:rPr>
            </w:pPr>
            <w:r>
              <w:rPr>
                <w:sz w:val="18"/>
              </w:rPr>
              <w:t>16</w:t>
            </w:r>
          </w:p>
        </w:tc>
        <w:tc>
          <w:tcPr>
            <w:tcW w:w="1576" w:type="dxa"/>
          </w:tcPr>
          <w:p>
            <w:pPr>
              <w:pStyle w:val="TableParagraph"/>
              <w:spacing w:before="5"/>
              <w:ind w:right="369"/>
              <w:rPr>
                <w:sz w:val="18"/>
              </w:rPr>
            </w:pPr>
            <w:r>
              <w:rPr>
                <w:sz w:val="18"/>
              </w:rPr>
              <w:t>6,237</w:t>
            </w:r>
          </w:p>
        </w:tc>
        <w:tc>
          <w:tcPr>
            <w:tcW w:w="1207" w:type="dxa"/>
          </w:tcPr>
          <w:p>
            <w:pPr>
              <w:pStyle w:val="TableParagraph"/>
              <w:spacing w:before="5"/>
              <w:ind w:right="284"/>
              <w:rPr>
                <w:sz w:val="18"/>
              </w:rPr>
            </w:pPr>
            <w:r>
              <w:rPr>
                <w:sz w:val="18"/>
              </w:rPr>
              <w:t>8,554</w:t>
            </w:r>
          </w:p>
        </w:tc>
        <w:tc>
          <w:tcPr>
            <w:tcW w:w="1122" w:type="dxa"/>
          </w:tcPr>
          <w:p>
            <w:pPr>
              <w:pStyle w:val="TableParagraph"/>
              <w:spacing w:before="5"/>
              <w:ind w:right="284"/>
              <w:rPr>
                <w:sz w:val="18"/>
              </w:rPr>
            </w:pPr>
            <w:r>
              <w:rPr>
                <w:sz w:val="18"/>
              </w:rPr>
              <w:t>5,852</w:t>
            </w:r>
          </w:p>
        </w:tc>
        <w:tc>
          <w:tcPr>
            <w:tcW w:w="924" w:type="dxa"/>
          </w:tcPr>
          <w:p>
            <w:pPr>
              <w:pStyle w:val="TableParagraph"/>
              <w:spacing w:before="5"/>
              <w:ind w:right="86"/>
              <w:rPr>
                <w:sz w:val="18"/>
              </w:rPr>
            </w:pPr>
            <w:r>
              <w:rPr>
                <w:sz w:val="18"/>
              </w:rPr>
              <w:t>8,169</w:t>
            </w:r>
          </w:p>
        </w:tc>
      </w:tr>
      <w:tr>
        <w:trPr>
          <w:trHeight w:val="263" w:hRule="exact"/>
        </w:trPr>
        <w:tc>
          <w:tcPr>
            <w:tcW w:w="3974" w:type="dxa"/>
          </w:tcPr>
          <w:p>
            <w:pPr>
              <w:pStyle w:val="TableParagraph"/>
              <w:spacing w:before="20"/>
              <w:ind w:left="214"/>
              <w:jc w:val="left"/>
              <w:rPr>
                <w:sz w:val="18"/>
              </w:rPr>
            </w:pPr>
            <w:r>
              <w:rPr>
                <w:sz w:val="18"/>
              </w:rPr>
              <w:t>Other expenses</w:t>
            </w:r>
          </w:p>
        </w:tc>
        <w:tc>
          <w:tcPr>
            <w:tcW w:w="719" w:type="dxa"/>
          </w:tcPr>
          <w:p>
            <w:pPr>
              <w:pStyle w:val="TableParagraph"/>
              <w:spacing w:before="18"/>
              <w:ind w:left="198"/>
              <w:jc w:val="left"/>
              <w:rPr>
                <w:sz w:val="18"/>
              </w:rPr>
            </w:pPr>
            <w:r>
              <w:rPr>
                <w:sz w:val="18"/>
              </w:rPr>
              <w:t>16</w:t>
            </w:r>
          </w:p>
        </w:tc>
        <w:tc>
          <w:tcPr>
            <w:tcW w:w="1576" w:type="dxa"/>
            <w:tcBorders>
              <w:bottom w:val="single" w:sz="0" w:space="0" w:color="000000"/>
            </w:tcBorders>
          </w:tcPr>
          <w:p>
            <w:pPr>
              <w:pStyle w:val="TableParagraph"/>
              <w:spacing w:before="19"/>
              <w:ind w:right="369"/>
              <w:rPr>
                <w:sz w:val="18"/>
              </w:rPr>
            </w:pPr>
            <w:r>
              <w:rPr>
                <w:w w:val="95"/>
                <w:sz w:val="18"/>
              </w:rPr>
              <w:t>11,777</w:t>
            </w:r>
          </w:p>
        </w:tc>
        <w:tc>
          <w:tcPr>
            <w:tcW w:w="1207" w:type="dxa"/>
            <w:tcBorders>
              <w:bottom w:val="single" w:sz="0" w:space="0" w:color="000000"/>
            </w:tcBorders>
          </w:tcPr>
          <w:p>
            <w:pPr>
              <w:pStyle w:val="TableParagraph"/>
              <w:spacing w:before="19"/>
              <w:ind w:right="284"/>
              <w:rPr>
                <w:sz w:val="18"/>
              </w:rPr>
            </w:pPr>
            <w:r>
              <w:rPr>
                <w:sz w:val="18"/>
              </w:rPr>
              <w:t>9,460</w:t>
            </w:r>
          </w:p>
        </w:tc>
        <w:tc>
          <w:tcPr>
            <w:tcW w:w="1122" w:type="dxa"/>
            <w:tcBorders>
              <w:bottom w:val="single" w:sz="0" w:space="0" w:color="000000"/>
            </w:tcBorders>
          </w:tcPr>
          <w:p>
            <w:pPr>
              <w:pStyle w:val="TableParagraph"/>
              <w:spacing w:before="19"/>
              <w:ind w:right="284"/>
              <w:rPr>
                <w:sz w:val="18"/>
              </w:rPr>
            </w:pPr>
            <w:r>
              <w:rPr>
                <w:w w:val="95"/>
                <w:sz w:val="18"/>
              </w:rPr>
              <w:t>10,853</w:t>
            </w:r>
          </w:p>
        </w:tc>
        <w:tc>
          <w:tcPr>
            <w:tcW w:w="924" w:type="dxa"/>
            <w:tcBorders>
              <w:bottom w:val="single" w:sz="0" w:space="0" w:color="000000"/>
            </w:tcBorders>
          </w:tcPr>
          <w:p>
            <w:pPr>
              <w:pStyle w:val="TableParagraph"/>
              <w:spacing w:before="19"/>
              <w:ind w:right="86"/>
              <w:rPr>
                <w:sz w:val="18"/>
              </w:rPr>
            </w:pPr>
            <w:r>
              <w:rPr>
                <w:sz w:val="18"/>
              </w:rPr>
              <w:t>8,536</w:t>
            </w:r>
          </w:p>
        </w:tc>
      </w:tr>
      <w:tr>
        <w:trPr>
          <w:trHeight w:val="283" w:hRule="exact"/>
        </w:trPr>
        <w:tc>
          <w:tcPr>
            <w:tcW w:w="3974" w:type="dxa"/>
          </w:tcPr>
          <w:p>
            <w:pPr/>
          </w:p>
        </w:tc>
        <w:tc>
          <w:tcPr>
            <w:tcW w:w="719" w:type="dxa"/>
          </w:tcPr>
          <w:p>
            <w:pPr/>
          </w:p>
        </w:tc>
        <w:tc>
          <w:tcPr>
            <w:tcW w:w="1576" w:type="dxa"/>
            <w:tcBorders>
              <w:top w:val="single" w:sz="0" w:space="0" w:color="000000"/>
              <w:bottom w:val="single" w:sz="0" w:space="0" w:color="000000"/>
            </w:tcBorders>
          </w:tcPr>
          <w:p>
            <w:pPr>
              <w:pStyle w:val="TableParagraph"/>
              <w:spacing w:before="38"/>
              <w:ind w:right="369"/>
              <w:rPr>
                <w:sz w:val="18"/>
              </w:rPr>
            </w:pPr>
            <w:r>
              <w:rPr>
                <w:w w:val="95"/>
                <w:sz w:val="18"/>
              </w:rPr>
              <w:t>18,014</w:t>
            </w:r>
          </w:p>
        </w:tc>
        <w:tc>
          <w:tcPr>
            <w:tcW w:w="1207" w:type="dxa"/>
            <w:tcBorders>
              <w:top w:val="single" w:sz="0" w:space="0" w:color="000000"/>
              <w:bottom w:val="single" w:sz="0" w:space="0" w:color="000000"/>
            </w:tcBorders>
          </w:tcPr>
          <w:p>
            <w:pPr>
              <w:pStyle w:val="TableParagraph"/>
              <w:spacing w:before="38"/>
              <w:ind w:right="284"/>
              <w:rPr>
                <w:sz w:val="18"/>
              </w:rPr>
            </w:pPr>
            <w:r>
              <w:rPr>
                <w:w w:val="95"/>
                <w:sz w:val="18"/>
              </w:rPr>
              <w:t>18,014</w:t>
            </w:r>
          </w:p>
        </w:tc>
        <w:tc>
          <w:tcPr>
            <w:tcW w:w="1122" w:type="dxa"/>
            <w:tcBorders>
              <w:top w:val="single" w:sz="0" w:space="0" w:color="000000"/>
              <w:bottom w:val="single" w:sz="0" w:space="0" w:color="000000"/>
            </w:tcBorders>
          </w:tcPr>
          <w:p>
            <w:pPr>
              <w:pStyle w:val="TableParagraph"/>
              <w:spacing w:before="38"/>
              <w:ind w:right="284"/>
              <w:rPr>
                <w:sz w:val="18"/>
              </w:rPr>
            </w:pPr>
            <w:r>
              <w:rPr>
                <w:w w:val="95"/>
                <w:sz w:val="18"/>
              </w:rPr>
              <w:t>16,705</w:t>
            </w:r>
          </w:p>
        </w:tc>
        <w:tc>
          <w:tcPr>
            <w:tcW w:w="924" w:type="dxa"/>
            <w:tcBorders>
              <w:top w:val="single" w:sz="0" w:space="0" w:color="000000"/>
              <w:bottom w:val="single" w:sz="0" w:space="0" w:color="000000"/>
            </w:tcBorders>
          </w:tcPr>
          <w:p>
            <w:pPr>
              <w:pStyle w:val="TableParagraph"/>
              <w:spacing w:before="38"/>
              <w:ind w:right="86"/>
              <w:rPr>
                <w:sz w:val="18"/>
              </w:rPr>
            </w:pPr>
            <w:r>
              <w:rPr>
                <w:w w:val="95"/>
                <w:sz w:val="18"/>
              </w:rPr>
              <w:t>16,705</w:t>
            </w:r>
          </w:p>
        </w:tc>
      </w:tr>
    </w:tbl>
    <w:p>
      <w:pPr>
        <w:pStyle w:val="BodyText"/>
        <w:spacing w:before="8"/>
        <w:rPr>
          <w:b/>
          <w:sz w:val="28"/>
        </w:rPr>
      </w:pPr>
    </w:p>
    <w:p>
      <w:pPr>
        <w:spacing w:before="77"/>
        <w:ind w:left="1824" w:right="0" w:firstLine="0"/>
        <w:jc w:val="left"/>
        <w:rPr>
          <w:b/>
          <w:sz w:val="18"/>
        </w:rPr>
      </w:pPr>
      <w:r>
        <w:rPr>
          <w:b/>
          <w:sz w:val="18"/>
        </w:rPr>
        <w:t>Note 24 - Other non-financial asset</w:t>
      </w:r>
    </w:p>
    <w:p>
      <w:pPr>
        <w:spacing w:before="112"/>
        <w:ind w:left="1824" w:right="0" w:firstLine="0"/>
        <w:jc w:val="left"/>
        <w:rPr>
          <w:b/>
          <w:sz w:val="18"/>
        </w:rPr>
      </w:pPr>
      <w:r>
        <w:rPr>
          <w:b/>
          <w:sz w:val="18"/>
        </w:rPr>
        <w:t>Current assets</w:t>
      </w:r>
    </w:p>
    <w:p>
      <w:pPr>
        <w:pStyle w:val="BodyText"/>
        <w:tabs>
          <w:tab w:pos="5996" w:val="left" w:leader="none"/>
          <w:tab w:pos="7660" w:val="left" w:leader="none"/>
          <w:tab w:pos="8714" w:val="left" w:leader="none"/>
          <w:tab w:pos="10075" w:val="left" w:leader="none"/>
          <w:tab w:pos="11257" w:val="right" w:leader="none"/>
        </w:tabs>
        <w:spacing w:before="29"/>
        <w:ind w:left="2038"/>
      </w:pPr>
      <w:r>
        <w:rPr/>
        <w:t>Other</w:t>
      </w:r>
      <w:r>
        <w:rPr>
          <w:spacing w:val="-7"/>
        </w:rPr>
        <w:t> </w:t>
      </w:r>
      <w:r>
        <w:rPr/>
        <w:t>non-financial</w:t>
      </w:r>
      <w:r>
        <w:rPr>
          <w:spacing w:val="-7"/>
        </w:rPr>
        <w:t> </w:t>
      </w:r>
      <w:r>
        <w:rPr/>
        <w:t>assets</w:t>
        <w:tab/>
        <w:t>24</w:t>
        <w:tab/>
        <w:t>-</w:t>
        <w:tab/>
        <w:t>154</w:t>
        <w:tab/>
        <w:t>-</w:t>
      </w:r>
      <w:r>
        <w:rPr>
          <w:rFonts w:ascii="Times New Roman"/>
        </w:rPr>
        <w:tab/>
      </w:r>
      <w:r>
        <w:rPr/>
        <w:t>154</w:t>
      </w:r>
    </w:p>
    <w:p>
      <w:pPr>
        <w:pStyle w:val="Heading8"/>
        <w:spacing w:before="140" w:after="36"/>
        <w:ind w:left="1824"/>
      </w:pPr>
      <w:r>
        <w:rPr/>
        <w:t>Non-current assets</w:t>
      </w:r>
    </w:p>
    <w:tbl>
      <w:tblPr>
        <w:tblW w:w="0" w:type="auto"/>
        <w:jc w:val="left"/>
        <w:tblInd w:w="200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057"/>
        <w:gridCol w:w="1456"/>
        <w:gridCol w:w="1700"/>
        <w:gridCol w:w="1207"/>
        <w:gridCol w:w="1122"/>
        <w:gridCol w:w="799"/>
      </w:tblGrid>
      <w:tr>
        <w:trPr>
          <w:trHeight w:val="236" w:hRule="exact"/>
        </w:trPr>
        <w:tc>
          <w:tcPr>
            <w:tcW w:w="3057" w:type="dxa"/>
          </w:tcPr>
          <w:p>
            <w:pPr>
              <w:pStyle w:val="TableParagraph"/>
              <w:spacing w:line="200" w:lineRule="exact"/>
              <w:ind w:left="35"/>
              <w:jc w:val="left"/>
              <w:rPr>
                <w:sz w:val="18"/>
              </w:rPr>
            </w:pPr>
            <w:r>
              <w:rPr>
                <w:sz w:val="18"/>
              </w:rPr>
              <w:t>Other non-financial assets</w:t>
            </w:r>
          </w:p>
        </w:tc>
        <w:tc>
          <w:tcPr>
            <w:tcW w:w="1456" w:type="dxa"/>
          </w:tcPr>
          <w:p>
            <w:pPr>
              <w:pStyle w:val="TableParagraph"/>
              <w:spacing w:line="198" w:lineRule="exact"/>
              <w:ind w:left="935"/>
              <w:jc w:val="left"/>
              <w:rPr>
                <w:sz w:val="18"/>
              </w:rPr>
            </w:pPr>
            <w:r>
              <w:rPr>
                <w:sz w:val="18"/>
              </w:rPr>
              <w:t>24</w:t>
            </w:r>
          </w:p>
        </w:tc>
        <w:tc>
          <w:tcPr>
            <w:tcW w:w="1700" w:type="dxa"/>
            <w:tcBorders>
              <w:bottom w:val="single" w:sz="0" w:space="0" w:color="000000"/>
            </w:tcBorders>
          </w:tcPr>
          <w:p>
            <w:pPr>
              <w:pStyle w:val="TableParagraph"/>
              <w:spacing w:line="199" w:lineRule="exact"/>
              <w:ind w:right="494"/>
              <w:rPr>
                <w:sz w:val="18"/>
              </w:rPr>
            </w:pPr>
            <w:r>
              <w:rPr>
                <w:sz w:val="18"/>
              </w:rPr>
              <w:t>776</w:t>
            </w:r>
          </w:p>
        </w:tc>
        <w:tc>
          <w:tcPr>
            <w:tcW w:w="1207" w:type="dxa"/>
            <w:tcBorders>
              <w:bottom w:val="single" w:sz="0" w:space="0" w:color="000000"/>
            </w:tcBorders>
          </w:tcPr>
          <w:p>
            <w:pPr>
              <w:pStyle w:val="TableParagraph"/>
              <w:spacing w:line="199" w:lineRule="exact"/>
              <w:ind w:right="409"/>
              <w:rPr>
                <w:sz w:val="18"/>
              </w:rPr>
            </w:pPr>
            <w:r>
              <w:rPr>
                <w:sz w:val="18"/>
              </w:rPr>
              <w:t>622</w:t>
            </w:r>
          </w:p>
        </w:tc>
        <w:tc>
          <w:tcPr>
            <w:tcW w:w="1122" w:type="dxa"/>
            <w:tcBorders>
              <w:bottom w:val="single" w:sz="0" w:space="0" w:color="000000"/>
            </w:tcBorders>
          </w:tcPr>
          <w:p>
            <w:pPr>
              <w:pStyle w:val="TableParagraph"/>
              <w:spacing w:line="199" w:lineRule="exact"/>
              <w:ind w:left="390" w:right="390"/>
              <w:jc w:val="center"/>
              <w:rPr>
                <w:sz w:val="18"/>
              </w:rPr>
            </w:pPr>
            <w:r>
              <w:rPr>
                <w:sz w:val="18"/>
              </w:rPr>
              <w:t>776</w:t>
            </w:r>
          </w:p>
        </w:tc>
        <w:tc>
          <w:tcPr>
            <w:tcW w:w="799" w:type="dxa"/>
            <w:tcBorders>
              <w:bottom w:val="single" w:sz="0" w:space="0" w:color="000000"/>
            </w:tcBorders>
          </w:tcPr>
          <w:p>
            <w:pPr>
              <w:pStyle w:val="TableParagraph"/>
              <w:spacing w:line="199" w:lineRule="exact"/>
              <w:ind w:right="86"/>
              <w:rPr>
                <w:sz w:val="18"/>
              </w:rPr>
            </w:pPr>
            <w:r>
              <w:rPr>
                <w:sz w:val="18"/>
              </w:rPr>
              <w:t>622</w:t>
            </w:r>
          </w:p>
        </w:tc>
      </w:tr>
      <w:tr>
        <w:trPr>
          <w:trHeight w:val="283" w:hRule="exact"/>
        </w:trPr>
        <w:tc>
          <w:tcPr>
            <w:tcW w:w="3057" w:type="dxa"/>
          </w:tcPr>
          <w:p>
            <w:pPr/>
          </w:p>
        </w:tc>
        <w:tc>
          <w:tcPr>
            <w:tcW w:w="1456" w:type="dxa"/>
          </w:tcPr>
          <w:p>
            <w:pPr/>
          </w:p>
        </w:tc>
        <w:tc>
          <w:tcPr>
            <w:tcW w:w="1700" w:type="dxa"/>
            <w:tcBorders>
              <w:top w:val="single" w:sz="0" w:space="0" w:color="000000"/>
              <w:bottom w:val="single" w:sz="0" w:space="0" w:color="000000"/>
            </w:tcBorders>
          </w:tcPr>
          <w:p>
            <w:pPr>
              <w:pStyle w:val="TableParagraph"/>
              <w:spacing w:before="38"/>
              <w:ind w:right="494"/>
              <w:rPr>
                <w:sz w:val="18"/>
              </w:rPr>
            </w:pPr>
            <w:r>
              <w:rPr>
                <w:sz w:val="18"/>
              </w:rPr>
              <w:t>776</w:t>
            </w:r>
          </w:p>
        </w:tc>
        <w:tc>
          <w:tcPr>
            <w:tcW w:w="1207" w:type="dxa"/>
            <w:tcBorders>
              <w:top w:val="single" w:sz="0" w:space="0" w:color="000000"/>
              <w:bottom w:val="single" w:sz="0" w:space="0" w:color="000000"/>
            </w:tcBorders>
          </w:tcPr>
          <w:p>
            <w:pPr>
              <w:pStyle w:val="TableParagraph"/>
              <w:spacing w:before="38"/>
              <w:ind w:right="409"/>
              <w:rPr>
                <w:sz w:val="18"/>
              </w:rPr>
            </w:pPr>
            <w:r>
              <w:rPr>
                <w:sz w:val="18"/>
              </w:rPr>
              <w:t>776</w:t>
            </w:r>
          </w:p>
        </w:tc>
        <w:tc>
          <w:tcPr>
            <w:tcW w:w="1122" w:type="dxa"/>
            <w:tcBorders>
              <w:top w:val="single" w:sz="0" w:space="0" w:color="000000"/>
              <w:bottom w:val="single" w:sz="0" w:space="0" w:color="000000"/>
            </w:tcBorders>
          </w:tcPr>
          <w:p>
            <w:pPr>
              <w:pStyle w:val="TableParagraph"/>
              <w:spacing w:before="38"/>
              <w:ind w:left="390" w:right="390"/>
              <w:jc w:val="center"/>
              <w:rPr>
                <w:sz w:val="18"/>
              </w:rPr>
            </w:pPr>
            <w:r>
              <w:rPr>
                <w:sz w:val="18"/>
              </w:rPr>
              <w:t>776</w:t>
            </w:r>
          </w:p>
        </w:tc>
        <w:tc>
          <w:tcPr>
            <w:tcW w:w="799" w:type="dxa"/>
            <w:tcBorders>
              <w:top w:val="single" w:sz="0" w:space="0" w:color="000000"/>
              <w:bottom w:val="single" w:sz="0" w:space="0" w:color="000000"/>
            </w:tcBorders>
          </w:tcPr>
          <w:p>
            <w:pPr>
              <w:pStyle w:val="TableParagraph"/>
              <w:spacing w:before="38"/>
              <w:ind w:right="86"/>
              <w:rPr>
                <w:sz w:val="18"/>
              </w:rPr>
            </w:pPr>
            <w:r>
              <w:rPr>
                <w:sz w:val="18"/>
              </w:rPr>
              <w:t>776</w:t>
            </w:r>
          </w:p>
        </w:tc>
      </w:tr>
    </w:tbl>
    <w:p>
      <w:pPr>
        <w:pStyle w:val="BodyText"/>
        <w:rPr>
          <w:b/>
        </w:rPr>
      </w:pPr>
    </w:p>
    <w:p>
      <w:pPr>
        <w:pStyle w:val="BodyText"/>
        <w:spacing w:before="5"/>
        <w:rPr>
          <w:b/>
          <w:sz w:val="17"/>
        </w:rPr>
      </w:pPr>
    </w:p>
    <w:p>
      <w:pPr>
        <w:spacing w:before="0"/>
        <w:ind w:left="1824" w:right="0" w:firstLine="0"/>
        <w:jc w:val="left"/>
        <w:rPr>
          <w:b/>
          <w:sz w:val="18"/>
        </w:rPr>
      </w:pPr>
      <w:r>
        <w:rPr>
          <w:b/>
          <w:sz w:val="18"/>
        </w:rPr>
        <w:t>Note 25 - Trade and other payables</w:t>
      </w:r>
    </w:p>
    <w:p>
      <w:pPr>
        <w:pStyle w:val="BodyText"/>
        <w:tabs>
          <w:tab w:pos="5996" w:val="left" w:leader="none"/>
          <w:tab w:pos="7172" w:val="left" w:leader="none"/>
          <w:tab w:pos="8464" w:val="left" w:leader="none"/>
          <w:tab w:pos="9586" w:val="left" w:leader="none"/>
          <w:tab w:pos="10708" w:val="left" w:leader="none"/>
        </w:tabs>
        <w:spacing w:before="29"/>
        <w:ind w:left="2038"/>
      </w:pPr>
      <w:r>
        <w:rPr/>
        <w:t>Payables</w:t>
        <w:tab/>
        <w:t>25</w:t>
        <w:tab/>
        <w:t>59,024</w:t>
        <w:tab/>
        <w:t>58,771</w:t>
        <w:tab/>
        <w:t>58,012</w:t>
        <w:tab/>
        <w:t>58,012</w:t>
      </w:r>
    </w:p>
    <w:p>
      <w:pPr>
        <w:pStyle w:val="Heading8"/>
        <w:spacing w:before="140" w:after="36"/>
        <w:ind w:left="1824"/>
      </w:pPr>
      <w:r>
        <w:rPr/>
        <w:t>Note 28 - Other liabilities</w:t>
      </w:r>
    </w:p>
    <w:tbl>
      <w:tblPr>
        <w:tblW w:w="0" w:type="auto"/>
        <w:jc w:val="left"/>
        <w:tblInd w:w="200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239"/>
        <w:gridCol w:w="2275"/>
        <w:gridCol w:w="1576"/>
        <w:gridCol w:w="1207"/>
        <w:gridCol w:w="1122"/>
        <w:gridCol w:w="924"/>
      </w:tblGrid>
      <w:tr>
        <w:trPr>
          <w:trHeight w:val="236" w:hRule="exact"/>
        </w:trPr>
        <w:tc>
          <w:tcPr>
            <w:tcW w:w="2239" w:type="dxa"/>
          </w:tcPr>
          <w:p>
            <w:pPr>
              <w:pStyle w:val="TableParagraph"/>
              <w:spacing w:line="200" w:lineRule="exact"/>
              <w:ind w:left="35"/>
              <w:jc w:val="left"/>
              <w:rPr>
                <w:sz w:val="18"/>
              </w:rPr>
            </w:pPr>
            <w:r>
              <w:rPr>
                <w:sz w:val="18"/>
              </w:rPr>
              <w:t>Other</w:t>
            </w:r>
          </w:p>
        </w:tc>
        <w:tc>
          <w:tcPr>
            <w:tcW w:w="2275" w:type="dxa"/>
          </w:tcPr>
          <w:p>
            <w:pPr>
              <w:pStyle w:val="TableParagraph"/>
              <w:spacing w:line="198" w:lineRule="exact"/>
              <w:ind w:right="319"/>
              <w:rPr>
                <w:sz w:val="18"/>
              </w:rPr>
            </w:pPr>
            <w:r>
              <w:rPr>
                <w:sz w:val="18"/>
              </w:rPr>
              <w:t>28</w:t>
            </w:r>
          </w:p>
        </w:tc>
        <w:tc>
          <w:tcPr>
            <w:tcW w:w="1576" w:type="dxa"/>
            <w:tcBorders>
              <w:bottom w:val="single" w:sz="0" w:space="0" w:color="000000"/>
            </w:tcBorders>
          </w:tcPr>
          <w:p>
            <w:pPr>
              <w:pStyle w:val="TableParagraph"/>
              <w:spacing w:line="199" w:lineRule="exact"/>
              <w:ind w:right="369"/>
              <w:rPr>
                <w:sz w:val="18"/>
              </w:rPr>
            </w:pPr>
            <w:r>
              <w:rPr>
                <w:sz w:val="18"/>
              </w:rPr>
              <w:t>1,895</w:t>
            </w:r>
          </w:p>
        </w:tc>
        <w:tc>
          <w:tcPr>
            <w:tcW w:w="1207" w:type="dxa"/>
            <w:tcBorders>
              <w:bottom w:val="single" w:sz="0" w:space="0" w:color="000000"/>
            </w:tcBorders>
          </w:tcPr>
          <w:p>
            <w:pPr>
              <w:pStyle w:val="TableParagraph"/>
              <w:spacing w:line="199" w:lineRule="exact"/>
              <w:ind w:right="284"/>
              <w:rPr>
                <w:sz w:val="18"/>
              </w:rPr>
            </w:pPr>
            <w:r>
              <w:rPr>
                <w:sz w:val="18"/>
              </w:rPr>
              <w:t>2,148</w:t>
            </w:r>
          </w:p>
        </w:tc>
        <w:tc>
          <w:tcPr>
            <w:tcW w:w="1122" w:type="dxa"/>
            <w:tcBorders>
              <w:bottom w:val="single" w:sz="0" w:space="0" w:color="000000"/>
            </w:tcBorders>
          </w:tcPr>
          <w:p>
            <w:pPr>
              <w:pStyle w:val="TableParagraph"/>
              <w:spacing w:line="199" w:lineRule="exact"/>
              <w:ind w:right="284"/>
              <w:rPr>
                <w:sz w:val="18"/>
              </w:rPr>
            </w:pPr>
            <w:r>
              <w:rPr>
                <w:sz w:val="18"/>
              </w:rPr>
              <w:t>1,796</w:t>
            </w:r>
          </w:p>
        </w:tc>
        <w:tc>
          <w:tcPr>
            <w:tcW w:w="924" w:type="dxa"/>
            <w:tcBorders>
              <w:bottom w:val="single" w:sz="0" w:space="0" w:color="000000"/>
            </w:tcBorders>
          </w:tcPr>
          <w:p>
            <w:pPr>
              <w:pStyle w:val="TableParagraph"/>
              <w:spacing w:line="199" w:lineRule="exact"/>
              <w:ind w:right="86"/>
              <w:rPr>
                <w:sz w:val="18"/>
              </w:rPr>
            </w:pPr>
            <w:r>
              <w:rPr>
                <w:sz w:val="18"/>
              </w:rPr>
              <w:t>1,796</w:t>
            </w:r>
          </w:p>
        </w:tc>
      </w:tr>
      <w:tr>
        <w:trPr>
          <w:trHeight w:val="338" w:hRule="exact"/>
        </w:trPr>
        <w:tc>
          <w:tcPr>
            <w:tcW w:w="2239" w:type="dxa"/>
          </w:tcPr>
          <w:p>
            <w:pPr/>
          </w:p>
        </w:tc>
        <w:tc>
          <w:tcPr>
            <w:tcW w:w="2275" w:type="dxa"/>
          </w:tcPr>
          <w:p>
            <w:pPr/>
          </w:p>
        </w:tc>
        <w:tc>
          <w:tcPr>
            <w:tcW w:w="1576" w:type="dxa"/>
            <w:tcBorders>
              <w:top w:val="single" w:sz="0" w:space="0" w:color="000000"/>
              <w:bottom w:val="single" w:sz="0" w:space="0" w:color="000000"/>
            </w:tcBorders>
          </w:tcPr>
          <w:p>
            <w:pPr>
              <w:pStyle w:val="TableParagraph"/>
              <w:spacing w:before="122"/>
              <w:ind w:right="369"/>
              <w:rPr>
                <w:sz w:val="18"/>
              </w:rPr>
            </w:pPr>
            <w:r>
              <w:rPr>
                <w:w w:val="95"/>
                <w:sz w:val="18"/>
              </w:rPr>
              <w:t>60,919</w:t>
            </w:r>
          </w:p>
        </w:tc>
        <w:tc>
          <w:tcPr>
            <w:tcW w:w="1207" w:type="dxa"/>
            <w:tcBorders>
              <w:top w:val="single" w:sz="0" w:space="0" w:color="000000"/>
              <w:bottom w:val="single" w:sz="0" w:space="0" w:color="000000"/>
            </w:tcBorders>
          </w:tcPr>
          <w:p>
            <w:pPr>
              <w:pStyle w:val="TableParagraph"/>
              <w:spacing w:before="122"/>
              <w:ind w:right="284"/>
              <w:rPr>
                <w:sz w:val="18"/>
              </w:rPr>
            </w:pPr>
            <w:r>
              <w:rPr>
                <w:w w:val="95"/>
                <w:sz w:val="18"/>
              </w:rPr>
              <w:t>60,919</w:t>
            </w:r>
          </w:p>
        </w:tc>
        <w:tc>
          <w:tcPr>
            <w:tcW w:w="1122" w:type="dxa"/>
            <w:tcBorders>
              <w:top w:val="single" w:sz="0" w:space="0" w:color="000000"/>
              <w:bottom w:val="single" w:sz="0" w:space="0" w:color="000000"/>
            </w:tcBorders>
          </w:tcPr>
          <w:p>
            <w:pPr>
              <w:pStyle w:val="TableParagraph"/>
              <w:spacing w:before="122"/>
              <w:ind w:right="284"/>
              <w:rPr>
                <w:sz w:val="18"/>
              </w:rPr>
            </w:pPr>
            <w:r>
              <w:rPr>
                <w:w w:val="95"/>
                <w:sz w:val="18"/>
              </w:rPr>
              <w:t>59,808</w:t>
            </w:r>
          </w:p>
        </w:tc>
        <w:tc>
          <w:tcPr>
            <w:tcW w:w="924" w:type="dxa"/>
            <w:tcBorders>
              <w:top w:val="single" w:sz="0" w:space="0" w:color="000000"/>
              <w:bottom w:val="single" w:sz="0" w:space="0" w:color="000000"/>
            </w:tcBorders>
          </w:tcPr>
          <w:p>
            <w:pPr>
              <w:pStyle w:val="TableParagraph"/>
              <w:spacing w:before="122"/>
              <w:ind w:right="86"/>
              <w:rPr>
                <w:sz w:val="18"/>
              </w:rPr>
            </w:pPr>
            <w:r>
              <w:rPr>
                <w:w w:val="95"/>
                <w:sz w:val="18"/>
              </w:rPr>
              <w:t>59,808</w:t>
            </w:r>
          </w:p>
        </w:tc>
      </w:tr>
    </w:tbl>
    <w:p>
      <w:pPr>
        <w:spacing w:after="0"/>
        <w:rPr>
          <w:sz w:val="18"/>
        </w:rPr>
        <w:sectPr>
          <w:pgSz w:w="12750" w:h="17680"/>
          <w:pgMar w:header="0" w:footer="927" w:top="2640" w:bottom="1120" w:left="0" w:right="0"/>
        </w:sectPr>
      </w:pPr>
    </w:p>
    <w:p>
      <w:pPr>
        <w:pStyle w:val="BodyText"/>
        <w:rPr>
          <w:b/>
          <w:sz w:val="20"/>
        </w:rPr>
      </w:pPr>
      <w:r>
        <w:rPr/>
        <w:drawing>
          <wp:anchor distT="0" distB="0" distL="0" distR="0" allowOverlap="1" layoutInCell="1" locked="0" behindDoc="0" simplePos="0" relativeHeight="2896">
            <wp:simplePos x="0" y="0"/>
            <wp:positionH relativeFrom="page">
              <wp:posOffset>-1587</wp:posOffset>
            </wp:positionH>
            <wp:positionV relativeFrom="page">
              <wp:posOffset>5534342</wp:posOffset>
            </wp:positionV>
            <wp:extent cx="135159" cy="154019"/>
            <wp:effectExtent l="0" t="0" r="0" b="0"/>
            <wp:wrapNone/>
            <wp:docPr id="151" name="image13.png" descr=""/>
            <wp:cNvGraphicFramePr>
              <a:graphicFrameLocks noChangeAspect="1"/>
            </wp:cNvGraphicFramePr>
            <a:graphic>
              <a:graphicData uri="http://schemas.openxmlformats.org/drawingml/2006/picture">
                <pic:pic>
                  <pic:nvPicPr>
                    <pic:cNvPr id="152" name="image13.png"/>
                    <pic:cNvPicPr/>
                  </pic:nvPicPr>
                  <pic:blipFill>
                    <a:blip r:embed="rId18" cstate="print"/>
                    <a:stretch>
                      <a:fillRect/>
                    </a:stretch>
                  </pic:blipFill>
                  <pic:spPr>
                    <a:xfrm>
                      <a:off x="0" y="0"/>
                      <a:ext cx="135159" cy="154019"/>
                    </a:xfrm>
                    <a:prstGeom prst="rect">
                      <a:avLst/>
                    </a:prstGeom>
                  </pic:spPr>
                </pic:pic>
              </a:graphicData>
            </a:graphic>
          </wp:anchor>
        </w:drawing>
      </w:r>
      <w:r>
        <w:rPr/>
        <w:drawing>
          <wp:anchor distT="0" distB="0" distL="0" distR="0" allowOverlap="1" layoutInCell="1" locked="0" behindDoc="0" simplePos="0" relativeHeight="2920">
            <wp:simplePos x="0" y="0"/>
            <wp:positionH relativeFrom="page">
              <wp:posOffset>7958429</wp:posOffset>
            </wp:positionH>
            <wp:positionV relativeFrom="page">
              <wp:posOffset>5534342</wp:posOffset>
            </wp:positionV>
            <wp:extent cx="135953" cy="155575"/>
            <wp:effectExtent l="0" t="0" r="0" b="0"/>
            <wp:wrapNone/>
            <wp:docPr id="153" name="image15.png" descr=""/>
            <wp:cNvGraphicFramePr>
              <a:graphicFrameLocks noChangeAspect="1"/>
            </wp:cNvGraphicFramePr>
            <a:graphic>
              <a:graphicData uri="http://schemas.openxmlformats.org/drawingml/2006/picture">
                <pic:pic>
                  <pic:nvPicPr>
                    <pic:cNvPr id="154" name="image15.png"/>
                    <pic:cNvPicPr/>
                  </pic:nvPicPr>
                  <pic:blipFill>
                    <a:blip r:embed="rId20" cstate="print"/>
                    <a:stretch>
                      <a:fillRect/>
                    </a:stretch>
                  </pic:blipFill>
                  <pic:spPr>
                    <a:xfrm>
                      <a:off x="0" y="0"/>
                      <a:ext cx="135953" cy="155575"/>
                    </a:xfrm>
                    <a:prstGeom prst="rect">
                      <a:avLst/>
                    </a:prstGeom>
                  </pic:spPr>
                </pic:pic>
              </a:graphicData>
            </a:graphic>
          </wp:anchor>
        </w:drawing>
      </w:r>
    </w:p>
    <w:p>
      <w:pPr>
        <w:pStyle w:val="BodyText"/>
        <w:rPr>
          <w:b/>
          <w:sz w:val="20"/>
        </w:rPr>
      </w:pPr>
    </w:p>
    <w:p>
      <w:pPr>
        <w:pStyle w:val="BodyText"/>
        <w:spacing w:before="4"/>
        <w:rPr>
          <w:b/>
        </w:rPr>
      </w:pPr>
    </w:p>
    <w:p>
      <w:pPr>
        <w:pStyle w:val="ListParagraph"/>
        <w:numPr>
          <w:ilvl w:val="0"/>
          <w:numId w:val="18"/>
        </w:numPr>
        <w:tabs>
          <w:tab w:pos="1826" w:val="left" w:leader="none"/>
        </w:tabs>
        <w:spacing w:line="240" w:lineRule="auto" w:before="0" w:after="0"/>
        <w:ind w:left="1825" w:right="1920" w:hanging="396"/>
        <w:jc w:val="left"/>
        <w:rPr>
          <w:b/>
          <w:sz w:val="18"/>
        </w:rPr>
      </w:pPr>
      <w:bookmarkStart w:name="Australian Government financial assistan" w:id="49"/>
      <w:bookmarkEnd w:id="49"/>
      <w:r>
        <w:rPr/>
      </w:r>
      <w:bookmarkStart w:name="(a) Commonwealth Grants Scheme and Other" w:id="50"/>
      <w:bookmarkEnd w:id="50"/>
      <w:r>
        <w:rPr/>
      </w:r>
      <w:bookmarkStart w:name="(a) Commonwealth Grants Scheme and Other" w:id="51"/>
      <w:bookmarkEnd w:id="51"/>
      <w:r>
        <w:rPr>
          <w:b/>
          <w:sz w:val="18"/>
        </w:rPr>
        <w:t>A</w:t>
      </w:r>
      <w:r>
        <w:rPr>
          <w:b/>
          <w:sz w:val="18"/>
        </w:rPr>
        <w:t>ustralian Government financial assistance including HECS-HELP and other Australian Government</w:t>
      </w:r>
      <w:r>
        <w:rPr>
          <w:b/>
          <w:spacing w:val="-21"/>
          <w:sz w:val="18"/>
        </w:rPr>
        <w:t> </w:t>
      </w:r>
      <w:r>
        <w:rPr>
          <w:b/>
          <w:sz w:val="18"/>
        </w:rPr>
        <w:t>loan programs</w:t>
      </w:r>
    </w:p>
    <w:p>
      <w:pPr>
        <w:pStyle w:val="BodyText"/>
        <w:spacing w:before="11"/>
        <w:rPr>
          <w:b/>
          <w:sz w:val="19"/>
        </w:rPr>
      </w:pPr>
    </w:p>
    <w:p>
      <w:pPr>
        <w:pStyle w:val="ListParagraph"/>
        <w:numPr>
          <w:ilvl w:val="1"/>
          <w:numId w:val="18"/>
        </w:numPr>
        <w:tabs>
          <w:tab w:pos="2392" w:val="left" w:leader="none"/>
        </w:tabs>
        <w:spacing w:line="240" w:lineRule="auto" w:before="77" w:after="0"/>
        <w:ind w:left="2391" w:right="0" w:hanging="566"/>
        <w:jc w:val="left"/>
        <w:rPr>
          <w:sz w:val="18"/>
        </w:rPr>
      </w:pPr>
      <w:r>
        <w:rPr>
          <w:sz w:val="18"/>
        </w:rPr>
        <w:t>Commonwealth</w:t>
      </w:r>
      <w:r>
        <w:rPr>
          <w:spacing w:val="-9"/>
          <w:sz w:val="18"/>
        </w:rPr>
        <w:t> </w:t>
      </w:r>
      <w:r>
        <w:rPr>
          <w:sz w:val="18"/>
        </w:rPr>
        <w:t>Grants</w:t>
      </w:r>
      <w:r>
        <w:rPr>
          <w:spacing w:val="-9"/>
          <w:sz w:val="18"/>
        </w:rPr>
        <w:t> </w:t>
      </w:r>
      <w:r>
        <w:rPr>
          <w:sz w:val="18"/>
        </w:rPr>
        <w:t>Scheme</w:t>
      </w:r>
      <w:r>
        <w:rPr>
          <w:spacing w:val="-9"/>
          <w:sz w:val="18"/>
        </w:rPr>
        <w:t> </w:t>
      </w:r>
      <w:r>
        <w:rPr>
          <w:sz w:val="18"/>
        </w:rPr>
        <w:t>and</w:t>
      </w:r>
      <w:r>
        <w:rPr>
          <w:spacing w:val="-9"/>
          <w:sz w:val="18"/>
        </w:rPr>
        <w:t> </w:t>
      </w:r>
      <w:r>
        <w:rPr>
          <w:sz w:val="18"/>
        </w:rPr>
        <w:t>Other</w:t>
      </w:r>
      <w:r>
        <w:rPr>
          <w:spacing w:val="-9"/>
          <w:sz w:val="18"/>
        </w:rPr>
        <w:t> </w:t>
      </w:r>
      <w:r>
        <w:rPr>
          <w:sz w:val="18"/>
        </w:rPr>
        <w:t>Grants</w:t>
      </w:r>
    </w:p>
    <w:p>
      <w:pPr>
        <w:pStyle w:val="Heading8"/>
        <w:tabs>
          <w:tab w:pos="9680" w:val="left" w:leader="none"/>
        </w:tabs>
        <w:spacing w:before="38" w:after="36"/>
        <w:ind w:left="6640"/>
      </w:pPr>
      <w:r>
        <w:rPr/>
        <w:t>Consolidated</w:t>
        <w:tab/>
        <w:t>Parent</w:t>
      </w:r>
    </w:p>
    <w:tbl>
      <w:tblPr>
        <w:tblW w:w="0" w:type="auto"/>
        <w:jc w:val="left"/>
        <w:tblInd w:w="179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28"/>
        <w:gridCol w:w="3047"/>
        <w:gridCol w:w="549"/>
        <w:gridCol w:w="1630"/>
        <w:gridCol w:w="1389"/>
        <w:gridCol w:w="1375"/>
        <w:gridCol w:w="1134"/>
      </w:tblGrid>
      <w:tr>
        <w:trPr>
          <w:trHeight w:val="567" w:hRule="exact"/>
        </w:trPr>
        <w:tc>
          <w:tcPr>
            <w:tcW w:w="428" w:type="dxa"/>
            <w:vMerge w:val="restart"/>
          </w:tcPr>
          <w:p>
            <w:pPr/>
          </w:p>
        </w:tc>
        <w:tc>
          <w:tcPr>
            <w:tcW w:w="3047" w:type="dxa"/>
          </w:tcPr>
          <w:p>
            <w:pPr/>
          </w:p>
        </w:tc>
        <w:tc>
          <w:tcPr>
            <w:tcW w:w="549" w:type="dxa"/>
          </w:tcPr>
          <w:p>
            <w:pPr>
              <w:pStyle w:val="TableParagraph"/>
              <w:spacing w:before="5"/>
              <w:jc w:val="left"/>
              <w:rPr>
                <w:b/>
                <w:sz w:val="26"/>
              </w:rPr>
            </w:pPr>
          </w:p>
          <w:p>
            <w:pPr>
              <w:pStyle w:val="TableParagraph"/>
              <w:ind w:left="89"/>
              <w:jc w:val="left"/>
              <w:rPr>
                <w:b/>
                <w:sz w:val="18"/>
              </w:rPr>
            </w:pPr>
            <w:r>
              <w:rPr>
                <w:b/>
                <w:sz w:val="18"/>
              </w:rPr>
              <w:t>Note</w:t>
            </w:r>
          </w:p>
        </w:tc>
        <w:tc>
          <w:tcPr>
            <w:tcW w:w="1630" w:type="dxa"/>
          </w:tcPr>
          <w:p>
            <w:pPr>
              <w:pStyle w:val="TableParagraph"/>
              <w:spacing w:before="30"/>
              <w:ind w:left="575" w:right="571"/>
              <w:jc w:val="center"/>
              <w:rPr>
                <w:b/>
                <w:sz w:val="18"/>
              </w:rPr>
            </w:pPr>
            <w:r>
              <w:rPr>
                <w:b/>
                <w:sz w:val="18"/>
              </w:rPr>
              <w:t>2016</w:t>
            </w:r>
          </w:p>
          <w:p>
            <w:pPr>
              <w:pStyle w:val="TableParagraph"/>
              <w:spacing w:before="66"/>
              <w:ind w:left="575" w:right="571"/>
              <w:jc w:val="center"/>
              <w:rPr>
                <w:b/>
                <w:sz w:val="18"/>
              </w:rPr>
            </w:pPr>
            <w:r>
              <w:rPr>
                <w:b/>
                <w:sz w:val="18"/>
              </w:rPr>
              <w:t>$'000</w:t>
            </w:r>
          </w:p>
        </w:tc>
        <w:tc>
          <w:tcPr>
            <w:tcW w:w="1389" w:type="dxa"/>
          </w:tcPr>
          <w:p>
            <w:pPr>
              <w:pStyle w:val="TableParagraph"/>
              <w:spacing w:before="30"/>
              <w:ind w:left="272"/>
              <w:jc w:val="left"/>
              <w:rPr>
                <w:b/>
                <w:sz w:val="18"/>
              </w:rPr>
            </w:pPr>
            <w:r>
              <w:rPr>
                <w:b/>
                <w:sz w:val="18"/>
              </w:rPr>
              <w:t>2015</w:t>
            </w:r>
          </w:p>
          <w:p>
            <w:pPr>
              <w:pStyle w:val="TableParagraph"/>
              <w:spacing w:before="66"/>
              <w:ind w:left="250"/>
              <w:jc w:val="left"/>
              <w:rPr>
                <w:b/>
                <w:sz w:val="18"/>
              </w:rPr>
            </w:pPr>
            <w:r>
              <w:rPr>
                <w:b/>
                <w:sz w:val="18"/>
              </w:rPr>
              <w:t>$'000</w:t>
            </w:r>
          </w:p>
        </w:tc>
        <w:tc>
          <w:tcPr>
            <w:tcW w:w="1375" w:type="dxa"/>
          </w:tcPr>
          <w:p>
            <w:pPr>
              <w:pStyle w:val="TableParagraph"/>
              <w:spacing w:before="30"/>
              <w:ind w:left="362"/>
              <w:jc w:val="left"/>
              <w:rPr>
                <w:b/>
                <w:sz w:val="18"/>
              </w:rPr>
            </w:pPr>
            <w:r>
              <w:rPr>
                <w:b/>
                <w:sz w:val="18"/>
              </w:rPr>
              <w:t>2016</w:t>
            </w:r>
          </w:p>
          <w:p>
            <w:pPr>
              <w:pStyle w:val="TableParagraph"/>
              <w:spacing w:before="66"/>
              <w:ind w:left="341"/>
              <w:jc w:val="left"/>
              <w:rPr>
                <w:b/>
                <w:sz w:val="18"/>
              </w:rPr>
            </w:pPr>
            <w:r>
              <w:rPr>
                <w:b/>
                <w:sz w:val="18"/>
              </w:rPr>
              <w:t>$'000</w:t>
            </w:r>
          </w:p>
        </w:tc>
        <w:tc>
          <w:tcPr>
            <w:tcW w:w="1134" w:type="dxa"/>
          </w:tcPr>
          <w:p>
            <w:pPr>
              <w:pStyle w:val="TableParagraph"/>
              <w:spacing w:before="30"/>
              <w:ind w:left="272"/>
              <w:jc w:val="left"/>
              <w:rPr>
                <w:b/>
                <w:sz w:val="18"/>
              </w:rPr>
            </w:pPr>
            <w:r>
              <w:rPr>
                <w:b/>
                <w:sz w:val="18"/>
              </w:rPr>
              <w:t>2015</w:t>
            </w:r>
          </w:p>
          <w:p>
            <w:pPr>
              <w:pStyle w:val="TableParagraph"/>
              <w:spacing w:before="66"/>
              <w:ind w:left="250"/>
              <w:jc w:val="left"/>
              <w:rPr>
                <w:b/>
                <w:sz w:val="18"/>
              </w:rPr>
            </w:pPr>
            <w:r>
              <w:rPr>
                <w:b/>
                <w:sz w:val="18"/>
              </w:rPr>
              <w:t>$'000</w:t>
            </w:r>
          </w:p>
        </w:tc>
      </w:tr>
      <w:tr>
        <w:trPr>
          <w:trHeight w:val="282" w:hRule="exact"/>
        </w:trPr>
        <w:tc>
          <w:tcPr>
            <w:tcW w:w="428" w:type="dxa"/>
            <w:vMerge/>
          </w:tcPr>
          <w:p>
            <w:pPr/>
          </w:p>
        </w:tc>
        <w:tc>
          <w:tcPr>
            <w:tcW w:w="3047" w:type="dxa"/>
          </w:tcPr>
          <w:p>
            <w:pPr>
              <w:pStyle w:val="TableParagraph"/>
              <w:spacing w:before="37"/>
              <w:ind w:left="201"/>
              <w:jc w:val="left"/>
              <w:rPr>
                <w:sz w:val="18"/>
              </w:rPr>
            </w:pPr>
            <w:r>
              <w:rPr>
                <w:sz w:val="18"/>
              </w:rPr>
              <w:t>Commonwealth Grants Scheme #1</w:t>
            </w:r>
          </w:p>
        </w:tc>
        <w:tc>
          <w:tcPr>
            <w:tcW w:w="549" w:type="dxa"/>
          </w:tcPr>
          <w:p>
            <w:pPr/>
          </w:p>
        </w:tc>
        <w:tc>
          <w:tcPr>
            <w:tcW w:w="1630" w:type="dxa"/>
          </w:tcPr>
          <w:p>
            <w:pPr>
              <w:pStyle w:val="TableParagraph"/>
              <w:spacing w:before="36"/>
              <w:ind w:right="249"/>
              <w:rPr>
                <w:b/>
                <w:sz w:val="18"/>
              </w:rPr>
            </w:pPr>
            <w:r>
              <w:rPr>
                <w:b/>
                <w:w w:val="95"/>
                <w:sz w:val="18"/>
              </w:rPr>
              <w:t>297,511</w:t>
            </w:r>
          </w:p>
        </w:tc>
        <w:tc>
          <w:tcPr>
            <w:tcW w:w="1389" w:type="dxa"/>
          </w:tcPr>
          <w:p>
            <w:pPr>
              <w:pStyle w:val="TableParagraph"/>
              <w:spacing w:before="36"/>
              <w:ind w:right="340"/>
              <w:rPr>
                <w:sz w:val="18"/>
              </w:rPr>
            </w:pPr>
            <w:r>
              <w:rPr>
                <w:w w:val="95"/>
                <w:sz w:val="18"/>
              </w:rPr>
              <w:t>287,365</w:t>
            </w:r>
          </w:p>
        </w:tc>
        <w:tc>
          <w:tcPr>
            <w:tcW w:w="1375" w:type="dxa"/>
          </w:tcPr>
          <w:p>
            <w:pPr>
              <w:pStyle w:val="TableParagraph"/>
              <w:spacing w:before="36"/>
              <w:ind w:right="249"/>
              <w:rPr>
                <w:b/>
                <w:sz w:val="18"/>
              </w:rPr>
            </w:pPr>
            <w:r>
              <w:rPr>
                <w:b/>
                <w:w w:val="95"/>
                <w:sz w:val="18"/>
              </w:rPr>
              <w:t>297,511</w:t>
            </w:r>
          </w:p>
        </w:tc>
        <w:tc>
          <w:tcPr>
            <w:tcW w:w="1134" w:type="dxa"/>
          </w:tcPr>
          <w:p>
            <w:pPr>
              <w:pStyle w:val="TableParagraph"/>
              <w:spacing w:before="36"/>
              <w:ind w:right="85"/>
              <w:rPr>
                <w:sz w:val="18"/>
              </w:rPr>
            </w:pPr>
            <w:r>
              <w:rPr>
                <w:w w:val="95"/>
                <w:sz w:val="18"/>
              </w:rPr>
              <w:t>287,365</w:t>
            </w:r>
          </w:p>
        </w:tc>
      </w:tr>
      <w:tr>
        <w:trPr>
          <w:trHeight w:val="263" w:hRule="exact"/>
        </w:trPr>
        <w:tc>
          <w:tcPr>
            <w:tcW w:w="428" w:type="dxa"/>
            <w:vMerge/>
          </w:tcPr>
          <w:p>
            <w:pPr/>
          </w:p>
        </w:tc>
        <w:tc>
          <w:tcPr>
            <w:tcW w:w="3047" w:type="dxa"/>
          </w:tcPr>
          <w:p>
            <w:pPr>
              <w:pStyle w:val="TableParagraph"/>
              <w:spacing w:before="19"/>
              <w:ind w:left="201"/>
              <w:jc w:val="left"/>
              <w:rPr>
                <w:sz w:val="18"/>
              </w:rPr>
            </w:pPr>
            <w:r>
              <w:rPr>
                <w:sz w:val="18"/>
              </w:rPr>
              <w:t>Indigenous Support Program</w:t>
            </w:r>
          </w:p>
        </w:tc>
        <w:tc>
          <w:tcPr>
            <w:tcW w:w="549" w:type="dxa"/>
          </w:tcPr>
          <w:p>
            <w:pPr/>
          </w:p>
        </w:tc>
        <w:tc>
          <w:tcPr>
            <w:tcW w:w="1630" w:type="dxa"/>
          </w:tcPr>
          <w:p>
            <w:pPr>
              <w:pStyle w:val="TableParagraph"/>
              <w:spacing w:before="18"/>
              <w:ind w:right="249"/>
              <w:rPr>
                <w:b/>
                <w:sz w:val="18"/>
              </w:rPr>
            </w:pPr>
            <w:r>
              <w:rPr>
                <w:b/>
                <w:sz w:val="18"/>
              </w:rPr>
              <w:t>1,758</w:t>
            </w:r>
          </w:p>
        </w:tc>
        <w:tc>
          <w:tcPr>
            <w:tcW w:w="1389" w:type="dxa"/>
          </w:tcPr>
          <w:p>
            <w:pPr>
              <w:pStyle w:val="TableParagraph"/>
              <w:spacing w:before="18"/>
              <w:ind w:right="340"/>
              <w:rPr>
                <w:sz w:val="18"/>
              </w:rPr>
            </w:pPr>
            <w:r>
              <w:rPr>
                <w:sz w:val="18"/>
              </w:rPr>
              <w:t>1,749</w:t>
            </w:r>
          </w:p>
        </w:tc>
        <w:tc>
          <w:tcPr>
            <w:tcW w:w="1375" w:type="dxa"/>
          </w:tcPr>
          <w:p>
            <w:pPr>
              <w:pStyle w:val="TableParagraph"/>
              <w:spacing w:before="18"/>
              <w:ind w:right="249"/>
              <w:rPr>
                <w:b/>
                <w:sz w:val="18"/>
              </w:rPr>
            </w:pPr>
            <w:r>
              <w:rPr>
                <w:b/>
                <w:sz w:val="18"/>
              </w:rPr>
              <w:t>1,758</w:t>
            </w:r>
          </w:p>
        </w:tc>
        <w:tc>
          <w:tcPr>
            <w:tcW w:w="1134" w:type="dxa"/>
          </w:tcPr>
          <w:p>
            <w:pPr>
              <w:pStyle w:val="TableParagraph"/>
              <w:spacing w:before="18"/>
              <w:ind w:right="85"/>
              <w:rPr>
                <w:sz w:val="18"/>
              </w:rPr>
            </w:pPr>
            <w:r>
              <w:rPr>
                <w:sz w:val="18"/>
              </w:rPr>
              <w:t>1,749</w:t>
            </w:r>
          </w:p>
        </w:tc>
      </w:tr>
      <w:tr>
        <w:trPr>
          <w:trHeight w:val="469" w:hRule="exact"/>
        </w:trPr>
        <w:tc>
          <w:tcPr>
            <w:tcW w:w="428" w:type="dxa"/>
            <w:vMerge/>
          </w:tcPr>
          <w:p>
            <w:pPr/>
          </w:p>
        </w:tc>
        <w:tc>
          <w:tcPr>
            <w:tcW w:w="3047" w:type="dxa"/>
          </w:tcPr>
          <w:p>
            <w:pPr>
              <w:pStyle w:val="TableParagraph"/>
              <w:spacing w:before="18"/>
              <w:ind w:left="201"/>
              <w:jc w:val="left"/>
              <w:rPr>
                <w:sz w:val="18"/>
              </w:rPr>
            </w:pPr>
            <w:r>
              <w:rPr>
                <w:sz w:val="18"/>
              </w:rPr>
              <w:t>Higher Education Participation Program #2</w:t>
            </w:r>
          </w:p>
        </w:tc>
        <w:tc>
          <w:tcPr>
            <w:tcW w:w="549" w:type="dxa"/>
          </w:tcPr>
          <w:p>
            <w:pPr/>
          </w:p>
        </w:tc>
        <w:tc>
          <w:tcPr>
            <w:tcW w:w="1630" w:type="dxa"/>
          </w:tcPr>
          <w:p>
            <w:pPr>
              <w:pStyle w:val="TableParagraph"/>
              <w:spacing w:before="4"/>
              <w:jc w:val="left"/>
              <w:rPr>
                <w:b/>
                <w:sz w:val="19"/>
              </w:rPr>
            </w:pPr>
          </w:p>
          <w:p>
            <w:pPr>
              <w:pStyle w:val="TableParagraph"/>
              <w:ind w:right="249"/>
              <w:rPr>
                <w:b/>
                <w:sz w:val="18"/>
              </w:rPr>
            </w:pPr>
            <w:r>
              <w:rPr>
                <w:b/>
                <w:w w:val="95"/>
                <w:sz w:val="18"/>
              </w:rPr>
              <w:t>11,625</w:t>
            </w:r>
          </w:p>
        </w:tc>
        <w:tc>
          <w:tcPr>
            <w:tcW w:w="1389" w:type="dxa"/>
          </w:tcPr>
          <w:p>
            <w:pPr>
              <w:pStyle w:val="TableParagraph"/>
              <w:spacing w:before="4"/>
              <w:jc w:val="left"/>
              <w:rPr>
                <w:b/>
                <w:sz w:val="19"/>
              </w:rPr>
            </w:pPr>
          </w:p>
          <w:p>
            <w:pPr>
              <w:pStyle w:val="TableParagraph"/>
              <w:ind w:right="340"/>
              <w:rPr>
                <w:sz w:val="18"/>
              </w:rPr>
            </w:pPr>
            <w:r>
              <w:rPr>
                <w:w w:val="95"/>
                <w:sz w:val="18"/>
              </w:rPr>
              <w:t>13,074</w:t>
            </w:r>
          </w:p>
        </w:tc>
        <w:tc>
          <w:tcPr>
            <w:tcW w:w="1375" w:type="dxa"/>
          </w:tcPr>
          <w:p>
            <w:pPr>
              <w:pStyle w:val="TableParagraph"/>
              <w:spacing w:before="4"/>
              <w:jc w:val="left"/>
              <w:rPr>
                <w:b/>
                <w:sz w:val="19"/>
              </w:rPr>
            </w:pPr>
          </w:p>
          <w:p>
            <w:pPr>
              <w:pStyle w:val="TableParagraph"/>
              <w:ind w:right="249"/>
              <w:rPr>
                <w:b/>
                <w:sz w:val="18"/>
              </w:rPr>
            </w:pPr>
            <w:r>
              <w:rPr>
                <w:b/>
                <w:w w:val="95"/>
                <w:sz w:val="18"/>
              </w:rPr>
              <w:t>11,625</w:t>
            </w:r>
          </w:p>
        </w:tc>
        <w:tc>
          <w:tcPr>
            <w:tcW w:w="1134" w:type="dxa"/>
          </w:tcPr>
          <w:p>
            <w:pPr>
              <w:pStyle w:val="TableParagraph"/>
              <w:spacing w:before="4"/>
              <w:jc w:val="left"/>
              <w:rPr>
                <w:b/>
                <w:sz w:val="19"/>
              </w:rPr>
            </w:pPr>
          </w:p>
          <w:p>
            <w:pPr>
              <w:pStyle w:val="TableParagraph"/>
              <w:ind w:right="85"/>
              <w:rPr>
                <w:sz w:val="18"/>
              </w:rPr>
            </w:pPr>
            <w:r>
              <w:rPr>
                <w:w w:val="95"/>
                <w:sz w:val="18"/>
              </w:rPr>
              <w:t>13,074</w:t>
            </w:r>
          </w:p>
        </w:tc>
      </w:tr>
      <w:tr>
        <w:trPr>
          <w:trHeight w:val="263" w:hRule="exact"/>
        </w:trPr>
        <w:tc>
          <w:tcPr>
            <w:tcW w:w="428" w:type="dxa"/>
            <w:vMerge/>
          </w:tcPr>
          <w:p>
            <w:pPr/>
          </w:p>
        </w:tc>
        <w:tc>
          <w:tcPr>
            <w:tcW w:w="3047" w:type="dxa"/>
          </w:tcPr>
          <w:p>
            <w:pPr>
              <w:pStyle w:val="TableParagraph"/>
              <w:spacing w:before="19"/>
              <w:ind w:left="201"/>
              <w:jc w:val="left"/>
              <w:rPr>
                <w:sz w:val="18"/>
              </w:rPr>
            </w:pPr>
            <w:r>
              <w:rPr>
                <w:sz w:val="18"/>
              </w:rPr>
              <w:t>Disability Support Program</w:t>
            </w:r>
          </w:p>
        </w:tc>
        <w:tc>
          <w:tcPr>
            <w:tcW w:w="549" w:type="dxa"/>
          </w:tcPr>
          <w:p>
            <w:pPr/>
          </w:p>
        </w:tc>
        <w:tc>
          <w:tcPr>
            <w:tcW w:w="1630" w:type="dxa"/>
          </w:tcPr>
          <w:p>
            <w:pPr>
              <w:pStyle w:val="TableParagraph"/>
              <w:spacing w:before="18"/>
              <w:ind w:right="250"/>
              <w:rPr>
                <w:b/>
                <w:sz w:val="18"/>
              </w:rPr>
            </w:pPr>
            <w:r>
              <w:rPr>
                <w:b/>
                <w:sz w:val="18"/>
              </w:rPr>
              <w:t>924</w:t>
            </w:r>
          </w:p>
        </w:tc>
        <w:tc>
          <w:tcPr>
            <w:tcW w:w="1389" w:type="dxa"/>
          </w:tcPr>
          <w:p>
            <w:pPr>
              <w:pStyle w:val="TableParagraph"/>
              <w:spacing w:before="18"/>
              <w:ind w:right="340"/>
              <w:rPr>
                <w:sz w:val="18"/>
              </w:rPr>
            </w:pPr>
            <w:r>
              <w:rPr>
                <w:sz w:val="18"/>
              </w:rPr>
              <w:t>823</w:t>
            </w:r>
          </w:p>
        </w:tc>
        <w:tc>
          <w:tcPr>
            <w:tcW w:w="1375" w:type="dxa"/>
          </w:tcPr>
          <w:p>
            <w:pPr>
              <w:pStyle w:val="TableParagraph"/>
              <w:spacing w:before="18"/>
              <w:ind w:right="250"/>
              <w:rPr>
                <w:b/>
                <w:sz w:val="18"/>
              </w:rPr>
            </w:pPr>
            <w:r>
              <w:rPr>
                <w:b/>
                <w:sz w:val="18"/>
              </w:rPr>
              <w:t>924</w:t>
            </w:r>
          </w:p>
        </w:tc>
        <w:tc>
          <w:tcPr>
            <w:tcW w:w="1134" w:type="dxa"/>
          </w:tcPr>
          <w:p>
            <w:pPr>
              <w:pStyle w:val="TableParagraph"/>
              <w:spacing w:before="18"/>
              <w:ind w:right="85"/>
              <w:rPr>
                <w:sz w:val="18"/>
              </w:rPr>
            </w:pPr>
            <w:r>
              <w:rPr>
                <w:sz w:val="18"/>
              </w:rPr>
              <w:t>823</w:t>
            </w:r>
          </w:p>
        </w:tc>
      </w:tr>
      <w:tr>
        <w:trPr>
          <w:trHeight w:val="467" w:hRule="exact"/>
        </w:trPr>
        <w:tc>
          <w:tcPr>
            <w:tcW w:w="428" w:type="dxa"/>
            <w:vMerge/>
          </w:tcPr>
          <w:p>
            <w:pPr/>
          </w:p>
        </w:tc>
        <w:tc>
          <w:tcPr>
            <w:tcW w:w="3047" w:type="dxa"/>
          </w:tcPr>
          <w:p>
            <w:pPr>
              <w:pStyle w:val="TableParagraph"/>
              <w:spacing w:before="18"/>
              <w:ind w:left="201" w:right="375"/>
              <w:jc w:val="left"/>
              <w:rPr>
                <w:sz w:val="18"/>
              </w:rPr>
            </w:pPr>
            <w:r>
              <w:rPr>
                <w:sz w:val="18"/>
              </w:rPr>
              <w:t>Promotion of Excellence in Learning and Teaching</w:t>
            </w:r>
          </w:p>
        </w:tc>
        <w:tc>
          <w:tcPr>
            <w:tcW w:w="549" w:type="dxa"/>
          </w:tcPr>
          <w:p>
            <w:pPr/>
          </w:p>
        </w:tc>
        <w:tc>
          <w:tcPr>
            <w:tcW w:w="1630" w:type="dxa"/>
            <w:tcBorders>
              <w:bottom w:val="single" w:sz="0" w:space="0" w:color="000000"/>
            </w:tcBorders>
          </w:tcPr>
          <w:p>
            <w:pPr>
              <w:pStyle w:val="TableParagraph"/>
              <w:spacing w:before="4"/>
              <w:jc w:val="left"/>
              <w:rPr>
                <w:b/>
                <w:sz w:val="19"/>
              </w:rPr>
            </w:pPr>
          </w:p>
          <w:p>
            <w:pPr>
              <w:pStyle w:val="TableParagraph"/>
              <w:ind w:right="250"/>
              <w:rPr>
                <w:b/>
                <w:sz w:val="18"/>
              </w:rPr>
            </w:pPr>
            <w:r>
              <w:rPr>
                <w:b/>
                <w:sz w:val="18"/>
              </w:rPr>
              <w:t>155</w:t>
            </w:r>
          </w:p>
        </w:tc>
        <w:tc>
          <w:tcPr>
            <w:tcW w:w="1389" w:type="dxa"/>
            <w:tcBorders>
              <w:bottom w:val="single" w:sz="0" w:space="0" w:color="000000"/>
            </w:tcBorders>
          </w:tcPr>
          <w:p>
            <w:pPr>
              <w:pStyle w:val="TableParagraph"/>
              <w:spacing w:before="4"/>
              <w:jc w:val="left"/>
              <w:rPr>
                <w:b/>
                <w:sz w:val="19"/>
              </w:rPr>
            </w:pPr>
          </w:p>
          <w:p>
            <w:pPr>
              <w:pStyle w:val="TableParagraph"/>
              <w:ind w:right="340"/>
              <w:rPr>
                <w:sz w:val="18"/>
              </w:rPr>
            </w:pPr>
            <w:r>
              <w:rPr>
                <w:sz w:val="18"/>
              </w:rPr>
              <w:t>175</w:t>
            </w:r>
          </w:p>
        </w:tc>
        <w:tc>
          <w:tcPr>
            <w:tcW w:w="1375" w:type="dxa"/>
            <w:tcBorders>
              <w:bottom w:val="single" w:sz="0" w:space="0" w:color="000000"/>
            </w:tcBorders>
          </w:tcPr>
          <w:p>
            <w:pPr>
              <w:pStyle w:val="TableParagraph"/>
              <w:spacing w:before="4"/>
              <w:jc w:val="left"/>
              <w:rPr>
                <w:b/>
                <w:sz w:val="19"/>
              </w:rPr>
            </w:pPr>
          </w:p>
          <w:p>
            <w:pPr>
              <w:pStyle w:val="TableParagraph"/>
              <w:ind w:right="250"/>
              <w:rPr>
                <w:b/>
                <w:sz w:val="18"/>
              </w:rPr>
            </w:pPr>
            <w:r>
              <w:rPr>
                <w:b/>
                <w:sz w:val="18"/>
              </w:rPr>
              <w:t>155</w:t>
            </w:r>
          </w:p>
        </w:tc>
        <w:tc>
          <w:tcPr>
            <w:tcW w:w="1134" w:type="dxa"/>
            <w:tcBorders>
              <w:bottom w:val="single" w:sz="0" w:space="0" w:color="000000"/>
            </w:tcBorders>
          </w:tcPr>
          <w:p>
            <w:pPr>
              <w:pStyle w:val="TableParagraph"/>
              <w:spacing w:before="4"/>
              <w:jc w:val="left"/>
              <w:rPr>
                <w:b/>
                <w:sz w:val="19"/>
              </w:rPr>
            </w:pPr>
          </w:p>
          <w:p>
            <w:pPr>
              <w:pStyle w:val="TableParagraph"/>
              <w:ind w:right="85"/>
              <w:rPr>
                <w:sz w:val="18"/>
              </w:rPr>
            </w:pPr>
            <w:r>
              <w:rPr>
                <w:sz w:val="18"/>
              </w:rPr>
              <w:t>175</w:t>
            </w:r>
          </w:p>
        </w:tc>
      </w:tr>
      <w:tr>
        <w:trPr>
          <w:trHeight w:val="560" w:hRule="exact"/>
        </w:trPr>
        <w:tc>
          <w:tcPr>
            <w:tcW w:w="428" w:type="dxa"/>
            <w:vMerge/>
          </w:tcPr>
          <w:p>
            <w:pPr/>
          </w:p>
        </w:tc>
        <w:tc>
          <w:tcPr>
            <w:tcW w:w="3047" w:type="dxa"/>
          </w:tcPr>
          <w:p>
            <w:pPr>
              <w:pStyle w:val="TableParagraph"/>
              <w:spacing w:before="123"/>
              <w:ind w:left="201" w:right="375"/>
              <w:jc w:val="left"/>
              <w:rPr>
                <w:b/>
                <w:sz w:val="18"/>
              </w:rPr>
            </w:pPr>
            <w:bookmarkStart w:name="(b) Higher Education Loan Programs" w:id="52"/>
            <w:bookmarkEnd w:id="52"/>
            <w:r>
              <w:rPr/>
            </w:r>
            <w:r>
              <w:rPr>
                <w:b/>
                <w:sz w:val="18"/>
              </w:rPr>
              <w:t>Total Commonwealth Grants Scheme and Other Grants</w:t>
            </w:r>
          </w:p>
        </w:tc>
        <w:tc>
          <w:tcPr>
            <w:tcW w:w="549" w:type="dxa"/>
          </w:tcPr>
          <w:p>
            <w:pPr>
              <w:pStyle w:val="TableParagraph"/>
              <w:spacing w:before="38"/>
              <w:ind w:left="80"/>
              <w:jc w:val="left"/>
              <w:rPr>
                <w:sz w:val="18"/>
              </w:rPr>
            </w:pPr>
            <w:r>
              <w:rPr>
                <w:sz w:val="18"/>
              </w:rPr>
              <w:t>40(a)</w:t>
            </w:r>
          </w:p>
        </w:tc>
        <w:tc>
          <w:tcPr>
            <w:tcW w:w="1630" w:type="dxa"/>
            <w:tcBorders>
              <w:top w:val="single" w:sz="0" w:space="0" w:color="000000"/>
              <w:bottom w:val="single" w:sz="0" w:space="0" w:color="000000"/>
            </w:tcBorders>
          </w:tcPr>
          <w:p>
            <w:pPr>
              <w:pStyle w:val="TableParagraph"/>
              <w:jc w:val="left"/>
              <w:rPr>
                <w:b/>
                <w:sz w:val="18"/>
              </w:rPr>
            </w:pPr>
          </w:p>
          <w:p>
            <w:pPr>
              <w:pStyle w:val="TableParagraph"/>
              <w:spacing w:before="122"/>
              <w:ind w:right="249"/>
              <w:rPr>
                <w:b/>
                <w:sz w:val="18"/>
              </w:rPr>
            </w:pPr>
            <w:r>
              <w:rPr>
                <w:b/>
                <w:w w:val="95"/>
                <w:sz w:val="18"/>
              </w:rPr>
              <w:t>311,973</w:t>
            </w:r>
          </w:p>
        </w:tc>
        <w:tc>
          <w:tcPr>
            <w:tcW w:w="1389" w:type="dxa"/>
            <w:tcBorders>
              <w:top w:val="single" w:sz="0" w:space="0" w:color="000000"/>
              <w:bottom w:val="single" w:sz="0" w:space="0" w:color="000000"/>
            </w:tcBorders>
          </w:tcPr>
          <w:p>
            <w:pPr>
              <w:pStyle w:val="TableParagraph"/>
              <w:jc w:val="left"/>
              <w:rPr>
                <w:b/>
                <w:sz w:val="18"/>
              </w:rPr>
            </w:pPr>
          </w:p>
          <w:p>
            <w:pPr>
              <w:pStyle w:val="TableParagraph"/>
              <w:spacing w:before="122"/>
              <w:ind w:right="340"/>
              <w:rPr>
                <w:sz w:val="18"/>
              </w:rPr>
            </w:pPr>
            <w:r>
              <w:rPr>
                <w:w w:val="95"/>
                <w:sz w:val="18"/>
              </w:rPr>
              <w:t>303,186</w:t>
            </w:r>
          </w:p>
        </w:tc>
        <w:tc>
          <w:tcPr>
            <w:tcW w:w="1375" w:type="dxa"/>
            <w:tcBorders>
              <w:top w:val="single" w:sz="0" w:space="0" w:color="000000"/>
              <w:bottom w:val="single" w:sz="0" w:space="0" w:color="000000"/>
            </w:tcBorders>
          </w:tcPr>
          <w:p>
            <w:pPr>
              <w:pStyle w:val="TableParagraph"/>
              <w:jc w:val="left"/>
              <w:rPr>
                <w:b/>
                <w:sz w:val="18"/>
              </w:rPr>
            </w:pPr>
          </w:p>
          <w:p>
            <w:pPr>
              <w:pStyle w:val="TableParagraph"/>
              <w:spacing w:before="122"/>
              <w:ind w:right="249"/>
              <w:rPr>
                <w:b/>
                <w:sz w:val="18"/>
              </w:rPr>
            </w:pPr>
            <w:r>
              <w:rPr>
                <w:b/>
                <w:w w:val="95"/>
                <w:sz w:val="18"/>
              </w:rPr>
              <w:t>311,973</w:t>
            </w:r>
          </w:p>
        </w:tc>
        <w:tc>
          <w:tcPr>
            <w:tcW w:w="1134" w:type="dxa"/>
            <w:tcBorders>
              <w:top w:val="single" w:sz="0" w:space="0" w:color="000000"/>
              <w:bottom w:val="single" w:sz="0" w:space="0" w:color="000000"/>
            </w:tcBorders>
          </w:tcPr>
          <w:p>
            <w:pPr>
              <w:pStyle w:val="TableParagraph"/>
              <w:jc w:val="left"/>
              <w:rPr>
                <w:b/>
                <w:sz w:val="18"/>
              </w:rPr>
            </w:pPr>
          </w:p>
          <w:p>
            <w:pPr>
              <w:pStyle w:val="TableParagraph"/>
              <w:spacing w:before="122"/>
              <w:ind w:right="85"/>
              <w:rPr>
                <w:sz w:val="18"/>
              </w:rPr>
            </w:pPr>
            <w:r>
              <w:rPr>
                <w:w w:val="95"/>
                <w:sz w:val="18"/>
              </w:rPr>
              <w:t>303,186</w:t>
            </w:r>
          </w:p>
        </w:tc>
      </w:tr>
      <w:tr>
        <w:trPr>
          <w:trHeight w:val="566" w:hRule="exact"/>
        </w:trPr>
        <w:tc>
          <w:tcPr>
            <w:tcW w:w="428" w:type="dxa"/>
          </w:tcPr>
          <w:p>
            <w:pPr>
              <w:pStyle w:val="TableParagraph"/>
              <w:jc w:val="left"/>
              <w:rPr>
                <w:b/>
                <w:sz w:val="18"/>
              </w:rPr>
            </w:pPr>
          </w:p>
          <w:p>
            <w:pPr>
              <w:pStyle w:val="TableParagraph"/>
              <w:spacing w:before="125"/>
              <w:ind w:left="35"/>
              <w:jc w:val="left"/>
              <w:rPr>
                <w:sz w:val="18"/>
              </w:rPr>
            </w:pPr>
            <w:r>
              <w:rPr>
                <w:sz w:val="18"/>
              </w:rPr>
              <w:t>(b)</w:t>
            </w:r>
          </w:p>
        </w:tc>
        <w:tc>
          <w:tcPr>
            <w:tcW w:w="3047" w:type="dxa"/>
          </w:tcPr>
          <w:p>
            <w:pPr>
              <w:pStyle w:val="TableParagraph"/>
              <w:jc w:val="left"/>
              <w:rPr>
                <w:b/>
                <w:sz w:val="18"/>
              </w:rPr>
            </w:pPr>
          </w:p>
          <w:p>
            <w:pPr>
              <w:pStyle w:val="TableParagraph"/>
              <w:spacing w:before="125"/>
              <w:ind w:left="173"/>
              <w:jc w:val="left"/>
              <w:rPr>
                <w:sz w:val="18"/>
              </w:rPr>
            </w:pPr>
            <w:r>
              <w:rPr>
                <w:sz w:val="18"/>
              </w:rPr>
              <w:t>Higher Education Loan Programs</w:t>
            </w:r>
          </w:p>
        </w:tc>
        <w:tc>
          <w:tcPr>
            <w:tcW w:w="549" w:type="dxa"/>
          </w:tcPr>
          <w:p>
            <w:pPr/>
          </w:p>
        </w:tc>
        <w:tc>
          <w:tcPr>
            <w:tcW w:w="1630" w:type="dxa"/>
            <w:tcBorders>
              <w:top w:val="single" w:sz="0" w:space="0" w:color="000000"/>
            </w:tcBorders>
          </w:tcPr>
          <w:p>
            <w:pPr/>
          </w:p>
        </w:tc>
        <w:tc>
          <w:tcPr>
            <w:tcW w:w="1389" w:type="dxa"/>
            <w:tcBorders>
              <w:top w:val="single" w:sz="0" w:space="0" w:color="000000"/>
            </w:tcBorders>
          </w:tcPr>
          <w:p>
            <w:pPr/>
          </w:p>
        </w:tc>
        <w:tc>
          <w:tcPr>
            <w:tcW w:w="1375" w:type="dxa"/>
            <w:tcBorders>
              <w:top w:val="single" w:sz="0" w:space="0" w:color="000000"/>
            </w:tcBorders>
          </w:tcPr>
          <w:p>
            <w:pPr/>
          </w:p>
        </w:tc>
        <w:tc>
          <w:tcPr>
            <w:tcW w:w="1134" w:type="dxa"/>
            <w:tcBorders>
              <w:top w:val="single" w:sz="0" w:space="0" w:color="000000"/>
            </w:tcBorders>
          </w:tcPr>
          <w:p>
            <w:pPr/>
          </w:p>
        </w:tc>
      </w:tr>
      <w:tr>
        <w:trPr>
          <w:trHeight w:val="253" w:hRule="exact"/>
        </w:trPr>
        <w:tc>
          <w:tcPr>
            <w:tcW w:w="428" w:type="dxa"/>
          </w:tcPr>
          <w:p>
            <w:pPr/>
          </w:p>
        </w:tc>
        <w:tc>
          <w:tcPr>
            <w:tcW w:w="3047" w:type="dxa"/>
          </w:tcPr>
          <w:p>
            <w:pPr>
              <w:pStyle w:val="TableParagraph"/>
              <w:spacing w:before="8"/>
              <w:ind w:left="196"/>
              <w:jc w:val="left"/>
              <w:rPr>
                <w:sz w:val="18"/>
              </w:rPr>
            </w:pPr>
            <w:r>
              <w:rPr>
                <w:sz w:val="18"/>
              </w:rPr>
              <w:t>HECS - HELP</w:t>
            </w:r>
          </w:p>
        </w:tc>
        <w:tc>
          <w:tcPr>
            <w:tcW w:w="549" w:type="dxa"/>
          </w:tcPr>
          <w:p>
            <w:pPr/>
          </w:p>
        </w:tc>
        <w:tc>
          <w:tcPr>
            <w:tcW w:w="1630" w:type="dxa"/>
          </w:tcPr>
          <w:p>
            <w:pPr>
              <w:pStyle w:val="TableParagraph"/>
              <w:spacing w:before="7"/>
              <w:ind w:right="248"/>
              <w:rPr>
                <w:b/>
                <w:sz w:val="18"/>
              </w:rPr>
            </w:pPr>
            <w:r>
              <w:rPr>
                <w:b/>
                <w:w w:val="95"/>
                <w:sz w:val="18"/>
              </w:rPr>
              <w:t>204,836</w:t>
            </w:r>
          </w:p>
        </w:tc>
        <w:tc>
          <w:tcPr>
            <w:tcW w:w="1389" w:type="dxa"/>
          </w:tcPr>
          <w:p>
            <w:pPr>
              <w:pStyle w:val="TableParagraph"/>
              <w:spacing w:before="7"/>
              <w:ind w:right="339"/>
              <w:rPr>
                <w:sz w:val="18"/>
              </w:rPr>
            </w:pPr>
            <w:r>
              <w:rPr>
                <w:w w:val="95"/>
                <w:sz w:val="18"/>
              </w:rPr>
              <w:t>204,978</w:t>
            </w:r>
          </w:p>
        </w:tc>
        <w:tc>
          <w:tcPr>
            <w:tcW w:w="1375" w:type="dxa"/>
          </w:tcPr>
          <w:p>
            <w:pPr>
              <w:pStyle w:val="TableParagraph"/>
              <w:spacing w:before="7"/>
              <w:ind w:right="248"/>
              <w:rPr>
                <w:b/>
                <w:sz w:val="18"/>
              </w:rPr>
            </w:pPr>
            <w:r>
              <w:rPr>
                <w:b/>
                <w:w w:val="95"/>
                <w:sz w:val="18"/>
              </w:rPr>
              <w:t>204,836</w:t>
            </w:r>
          </w:p>
        </w:tc>
        <w:tc>
          <w:tcPr>
            <w:tcW w:w="1134" w:type="dxa"/>
          </w:tcPr>
          <w:p>
            <w:pPr>
              <w:pStyle w:val="TableParagraph"/>
              <w:spacing w:before="7"/>
              <w:ind w:right="84"/>
              <w:rPr>
                <w:sz w:val="18"/>
              </w:rPr>
            </w:pPr>
            <w:r>
              <w:rPr>
                <w:w w:val="95"/>
                <w:sz w:val="18"/>
              </w:rPr>
              <w:t>204,978</w:t>
            </w:r>
          </w:p>
        </w:tc>
      </w:tr>
      <w:tr>
        <w:trPr>
          <w:trHeight w:val="264" w:hRule="exact"/>
        </w:trPr>
        <w:tc>
          <w:tcPr>
            <w:tcW w:w="428" w:type="dxa"/>
          </w:tcPr>
          <w:p>
            <w:pPr/>
          </w:p>
        </w:tc>
        <w:tc>
          <w:tcPr>
            <w:tcW w:w="3047" w:type="dxa"/>
          </w:tcPr>
          <w:p>
            <w:pPr>
              <w:pStyle w:val="TableParagraph"/>
              <w:spacing w:before="19"/>
              <w:ind w:left="196"/>
              <w:jc w:val="left"/>
              <w:rPr>
                <w:sz w:val="18"/>
              </w:rPr>
            </w:pPr>
            <w:r>
              <w:rPr>
                <w:sz w:val="18"/>
              </w:rPr>
              <w:t>FEE - HELP #3</w:t>
            </w:r>
          </w:p>
        </w:tc>
        <w:tc>
          <w:tcPr>
            <w:tcW w:w="549" w:type="dxa"/>
          </w:tcPr>
          <w:p>
            <w:pPr/>
          </w:p>
        </w:tc>
        <w:tc>
          <w:tcPr>
            <w:tcW w:w="1630" w:type="dxa"/>
          </w:tcPr>
          <w:p>
            <w:pPr>
              <w:pStyle w:val="TableParagraph"/>
              <w:spacing w:before="18"/>
              <w:ind w:right="248"/>
              <w:rPr>
                <w:b/>
                <w:sz w:val="18"/>
              </w:rPr>
            </w:pPr>
            <w:r>
              <w:rPr>
                <w:b/>
                <w:w w:val="95"/>
                <w:sz w:val="18"/>
              </w:rPr>
              <w:t>11,862</w:t>
            </w:r>
          </w:p>
        </w:tc>
        <w:tc>
          <w:tcPr>
            <w:tcW w:w="1389" w:type="dxa"/>
          </w:tcPr>
          <w:p>
            <w:pPr>
              <w:pStyle w:val="TableParagraph"/>
              <w:spacing w:before="18"/>
              <w:ind w:right="339"/>
              <w:rPr>
                <w:sz w:val="18"/>
              </w:rPr>
            </w:pPr>
            <w:r>
              <w:rPr>
                <w:sz w:val="18"/>
              </w:rPr>
              <w:t>9,195</w:t>
            </w:r>
          </w:p>
        </w:tc>
        <w:tc>
          <w:tcPr>
            <w:tcW w:w="1375" w:type="dxa"/>
          </w:tcPr>
          <w:p>
            <w:pPr>
              <w:pStyle w:val="TableParagraph"/>
              <w:spacing w:before="18"/>
              <w:ind w:right="248"/>
              <w:rPr>
                <w:b/>
                <w:sz w:val="18"/>
              </w:rPr>
            </w:pPr>
            <w:r>
              <w:rPr>
                <w:b/>
                <w:w w:val="95"/>
                <w:sz w:val="18"/>
              </w:rPr>
              <w:t>11,862</w:t>
            </w:r>
          </w:p>
        </w:tc>
        <w:tc>
          <w:tcPr>
            <w:tcW w:w="1134" w:type="dxa"/>
          </w:tcPr>
          <w:p>
            <w:pPr>
              <w:pStyle w:val="TableParagraph"/>
              <w:spacing w:before="18"/>
              <w:ind w:right="84"/>
              <w:rPr>
                <w:sz w:val="18"/>
              </w:rPr>
            </w:pPr>
            <w:r>
              <w:rPr>
                <w:sz w:val="18"/>
              </w:rPr>
              <w:t>9,219</w:t>
            </w:r>
          </w:p>
        </w:tc>
      </w:tr>
      <w:tr>
        <w:trPr>
          <w:trHeight w:val="262" w:hRule="exact"/>
        </w:trPr>
        <w:tc>
          <w:tcPr>
            <w:tcW w:w="428" w:type="dxa"/>
          </w:tcPr>
          <w:p>
            <w:pPr/>
          </w:p>
        </w:tc>
        <w:tc>
          <w:tcPr>
            <w:tcW w:w="3047" w:type="dxa"/>
          </w:tcPr>
          <w:p>
            <w:pPr>
              <w:pStyle w:val="TableParagraph"/>
              <w:spacing w:before="19"/>
              <w:ind w:left="196"/>
              <w:jc w:val="left"/>
              <w:rPr>
                <w:sz w:val="18"/>
              </w:rPr>
            </w:pPr>
            <w:r>
              <w:rPr>
                <w:sz w:val="18"/>
              </w:rPr>
              <w:t>SA - HELP</w:t>
            </w:r>
          </w:p>
        </w:tc>
        <w:tc>
          <w:tcPr>
            <w:tcW w:w="549" w:type="dxa"/>
          </w:tcPr>
          <w:p>
            <w:pPr/>
          </w:p>
        </w:tc>
        <w:tc>
          <w:tcPr>
            <w:tcW w:w="1630" w:type="dxa"/>
            <w:tcBorders>
              <w:bottom w:val="single" w:sz="0" w:space="0" w:color="000000"/>
            </w:tcBorders>
          </w:tcPr>
          <w:p>
            <w:pPr>
              <w:pStyle w:val="TableParagraph"/>
              <w:spacing w:before="18"/>
              <w:ind w:right="248"/>
              <w:rPr>
                <w:b/>
                <w:sz w:val="18"/>
              </w:rPr>
            </w:pPr>
            <w:r>
              <w:rPr>
                <w:b/>
                <w:sz w:val="18"/>
              </w:rPr>
              <w:t>7,059</w:t>
            </w:r>
          </w:p>
        </w:tc>
        <w:tc>
          <w:tcPr>
            <w:tcW w:w="1389" w:type="dxa"/>
            <w:tcBorders>
              <w:bottom w:val="single" w:sz="0" w:space="0" w:color="000000"/>
            </w:tcBorders>
          </w:tcPr>
          <w:p>
            <w:pPr>
              <w:pStyle w:val="TableParagraph"/>
              <w:spacing w:before="18"/>
              <w:ind w:right="339"/>
              <w:rPr>
                <w:sz w:val="18"/>
              </w:rPr>
            </w:pPr>
            <w:r>
              <w:rPr>
                <w:sz w:val="18"/>
              </w:rPr>
              <w:t>7,119</w:t>
            </w:r>
          </w:p>
        </w:tc>
        <w:tc>
          <w:tcPr>
            <w:tcW w:w="1375" w:type="dxa"/>
            <w:tcBorders>
              <w:bottom w:val="single" w:sz="0" w:space="0" w:color="000000"/>
            </w:tcBorders>
          </w:tcPr>
          <w:p>
            <w:pPr>
              <w:pStyle w:val="TableParagraph"/>
              <w:spacing w:before="18"/>
              <w:ind w:right="248"/>
              <w:rPr>
                <w:b/>
                <w:sz w:val="18"/>
              </w:rPr>
            </w:pPr>
            <w:r>
              <w:rPr>
                <w:b/>
                <w:sz w:val="18"/>
              </w:rPr>
              <w:t>7,059</w:t>
            </w:r>
          </w:p>
        </w:tc>
        <w:tc>
          <w:tcPr>
            <w:tcW w:w="1134" w:type="dxa"/>
            <w:tcBorders>
              <w:bottom w:val="single" w:sz="0" w:space="0" w:color="000000"/>
            </w:tcBorders>
          </w:tcPr>
          <w:p>
            <w:pPr>
              <w:pStyle w:val="TableParagraph"/>
              <w:spacing w:before="18"/>
              <w:ind w:right="84"/>
              <w:rPr>
                <w:sz w:val="18"/>
              </w:rPr>
            </w:pPr>
            <w:r>
              <w:rPr>
                <w:sz w:val="18"/>
              </w:rPr>
              <w:t>7,119</w:t>
            </w:r>
          </w:p>
        </w:tc>
      </w:tr>
      <w:tr>
        <w:trPr>
          <w:trHeight w:val="560" w:hRule="exact"/>
        </w:trPr>
        <w:tc>
          <w:tcPr>
            <w:tcW w:w="428" w:type="dxa"/>
          </w:tcPr>
          <w:p>
            <w:pPr/>
          </w:p>
        </w:tc>
        <w:tc>
          <w:tcPr>
            <w:tcW w:w="3047" w:type="dxa"/>
          </w:tcPr>
          <w:p>
            <w:pPr>
              <w:pStyle w:val="TableParagraph"/>
              <w:spacing w:before="123"/>
              <w:ind w:left="196" w:right="380"/>
              <w:jc w:val="left"/>
              <w:rPr>
                <w:b/>
                <w:sz w:val="18"/>
              </w:rPr>
            </w:pPr>
            <w:bookmarkStart w:name="(c) Scholarships" w:id="53"/>
            <w:bookmarkEnd w:id="53"/>
            <w:r>
              <w:rPr/>
            </w:r>
            <w:r>
              <w:rPr>
                <w:b/>
                <w:sz w:val="18"/>
              </w:rPr>
              <w:t>Total Higher Education Loan Programs</w:t>
            </w:r>
          </w:p>
        </w:tc>
        <w:tc>
          <w:tcPr>
            <w:tcW w:w="549" w:type="dxa"/>
          </w:tcPr>
          <w:p>
            <w:pPr>
              <w:pStyle w:val="TableParagraph"/>
              <w:spacing w:before="38"/>
              <w:ind w:left="-22"/>
              <w:jc w:val="left"/>
              <w:rPr>
                <w:sz w:val="18"/>
              </w:rPr>
            </w:pPr>
            <w:r>
              <w:rPr>
                <w:sz w:val="18"/>
              </w:rPr>
              <w:t>40(b)</w:t>
            </w:r>
          </w:p>
        </w:tc>
        <w:tc>
          <w:tcPr>
            <w:tcW w:w="1630" w:type="dxa"/>
            <w:tcBorders>
              <w:top w:val="single" w:sz="0" w:space="0" w:color="000000"/>
              <w:bottom w:val="single" w:sz="0" w:space="0" w:color="000000"/>
            </w:tcBorders>
          </w:tcPr>
          <w:p>
            <w:pPr>
              <w:pStyle w:val="TableParagraph"/>
              <w:jc w:val="left"/>
              <w:rPr>
                <w:b/>
                <w:sz w:val="18"/>
              </w:rPr>
            </w:pPr>
          </w:p>
          <w:p>
            <w:pPr>
              <w:pStyle w:val="TableParagraph"/>
              <w:spacing w:before="122"/>
              <w:ind w:right="248"/>
              <w:rPr>
                <w:b/>
                <w:sz w:val="18"/>
              </w:rPr>
            </w:pPr>
            <w:r>
              <w:rPr>
                <w:b/>
                <w:w w:val="95"/>
                <w:sz w:val="18"/>
              </w:rPr>
              <w:t>223,757</w:t>
            </w:r>
          </w:p>
        </w:tc>
        <w:tc>
          <w:tcPr>
            <w:tcW w:w="1389" w:type="dxa"/>
            <w:tcBorders>
              <w:top w:val="single" w:sz="0" w:space="0" w:color="000000"/>
              <w:bottom w:val="single" w:sz="0" w:space="0" w:color="000000"/>
            </w:tcBorders>
          </w:tcPr>
          <w:p>
            <w:pPr>
              <w:pStyle w:val="TableParagraph"/>
              <w:jc w:val="left"/>
              <w:rPr>
                <w:b/>
                <w:sz w:val="18"/>
              </w:rPr>
            </w:pPr>
          </w:p>
          <w:p>
            <w:pPr>
              <w:pStyle w:val="TableParagraph"/>
              <w:spacing w:before="122"/>
              <w:ind w:right="339"/>
              <w:rPr>
                <w:sz w:val="18"/>
              </w:rPr>
            </w:pPr>
            <w:r>
              <w:rPr>
                <w:w w:val="95"/>
                <w:sz w:val="18"/>
              </w:rPr>
              <w:t>221,292</w:t>
            </w:r>
          </w:p>
        </w:tc>
        <w:tc>
          <w:tcPr>
            <w:tcW w:w="1375" w:type="dxa"/>
            <w:tcBorders>
              <w:top w:val="single" w:sz="0" w:space="0" w:color="000000"/>
              <w:bottom w:val="single" w:sz="0" w:space="0" w:color="000000"/>
            </w:tcBorders>
          </w:tcPr>
          <w:p>
            <w:pPr>
              <w:pStyle w:val="TableParagraph"/>
              <w:jc w:val="left"/>
              <w:rPr>
                <w:b/>
                <w:sz w:val="18"/>
              </w:rPr>
            </w:pPr>
          </w:p>
          <w:p>
            <w:pPr>
              <w:pStyle w:val="TableParagraph"/>
              <w:spacing w:before="122"/>
              <w:ind w:right="248"/>
              <w:rPr>
                <w:b/>
                <w:sz w:val="18"/>
              </w:rPr>
            </w:pPr>
            <w:r>
              <w:rPr>
                <w:b/>
                <w:w w:val="95"/>
                <w:sz w:val="18"/>
              </w:rPr>
              <w:t>223,757</w:t>
            </w:r>
          </w:p>
        </w:tc>
        <w:tc>
          <w:tcPr>
            <w:tcW w:w="1134" w:type="dxa"/>
            <w:tcBorders>
              <w:top w:val="single" w:sz="0" w:space="0" w:color="000000"/>
              <w:bottom w:val="single" w:sz="0" w:space="0" w:color="000000"/>
            </w:tcBorders>
          </w:tcPr>
          <w:p>
            <w:pPr>
              <w:pStyle w:val="TableParagraph"/>
              <w:jc w:val="left"/>
              <w:rPr>
                <w:b/>
                <w:sz w:val="18"/>
              </w:rPr>
            </w:pPr>
          </w:p>
          <w:p>
            <w:pPr>
              <w:pStyle w:val="TableParagraph"/>
              <w:spacing w:before="122"/>
              <w:ind w:right="84"/>
              <w:rPr>
                <w:sz w:val="18"/>
              </w:rPr>
            </w:pPr>
            <w:r>
              <w:rPr>
                <w:w w:val="95"/>
                <w:sz w:val="18"/>
              </w:rPr>
              <w:t>221,316</w:t>
            </w:r>
          </w:p>
        </w:tc>
      </w:tr>
      <w:tr>
        <w:trPr>
          <w:trHeight w:val="646" w:hRule="exact"/>
        </w:trPr>
        <w:tc>
          <w:tcPr>
            <w:tcW w:w="428" w:type="dxa"/>
          </w:tcPr>
          <w:p>
            <w:pPr>
              <w:pStyle w:val="TableParagraph"/>
              <w:jc w:val="left"/>
              <w:rPr>
                <w:b/>
                <w:sz w:val="18"/>
              </w:rPr>
            </w:pPr>
          </w:p>
          <w:p>
            <w:pPr>
              <w:pStyle w:val="TableParagraph"/>
              <w:spacing w:before="125"/>
              <w:ind w:left="35"/>
              <w:jc w:val="left"/>
              <w:rPr>
                <w:sz w:val="18"/>
              </w:rPr>
            </w:pPr>
            <w:r>
              <w:rPr>
                <w:sz w:val="18"/>
              </w:rPr>
              <w:t>(c)</w:t>
            </w:r>
          </w:p>
        </w:tc>
        <w:tc>
          <w:tcPr>
            <w:tcW w:w="3047" w:type="dxa"/>
          </w:tcPr>
          <w:p>
            <w:pPr>
              <w:pStyle w:val="TableParagraph"/>
              <w:jc w:val="left"/>
              <w:rPr>
                <w:b/>
                <w:sz w:val="18"/>
              </w:rPr>
            </w:pPr>
          </w:p>
          <w:p>
            <w:pPr>
              <w:pStyle w:val="TableParagraph"/>
              <w:spacing w:before="125"/>
              <w:ind w:left="173"/>
              <w:jc w:val="left"/>
              <w:rPr>
                <w:sz w:val="18"/>
              </w:rPr>
            </w:pPr>
            <w:r>
              <w:rPr>
                <w:sz w:val="18"/>
              </w:rPr>
              <w:t>Scholarships</w:t>
            </w:r>
          </w:p>
        </w:tc>
        <w:tc>
          <w:tcPr>
            <w:tcW w:w="549" w:type="dxa"/>
          </w:tcPr>
          <w:p>
            <w:pPr/>
          </w:p>
        </w:tc>
        <w:tc>
          <w:tcPr>
            <w:tcW w:w="1630" w:type="dxa"/>
            <w:tcBorders>
              <w:top w:val="single" w:sz="0" w:space="0" w:color="000000"/>
            </w:tcBorders>
          </w:tcPr>
          <w:p>
            <w:pPr/>
          </w:p>
        </w:tc>
        <w:tc>
          <w:tcPr>
            <w:tcW w:w="1389" w:type="dxa"/>
            <w:tcBorders>
              <w:top w:val="single" w:sz="0" w:space="0" w:color="000000"/>
            </w:tcBorders>
          </w:tcPr>
          <w:p>
            <w:pPr/>
          </w:p>
        </w:tc>
        <w:tc>
          <w:tcPr>
            <w:tcW w:w="1375" w:type="dxa"/>
            <w:tcBorders>
              <w:top w:val="single" w:sz="0" w:space="0" w:color="000000"/>
            </w:tcBorders>
          </w:tcPr>
          <w:p>
            <w:pPr/>
          </w:p>
        </w:tc>
        <w:tc>
          <w:tcPr>
            <w:tcW w:w="1134" w:type="dxa"/>
            <w:tcBorders>
              <w:top w:val="single" w:sz="0" w:space="0" w:color="000000"/>
            </w:tcBorders>
          </w:tcPr>
          <w:p>
            <w:pPr/>
          </w:p>
        </w:tc>
      </w:tr>
      <w:tr>
        <w:trPr>
          <w:trHeight w:val="332" w:hRule="exact"/>
        </w:trPr>
        <w:tc>
          <w:tcPr>
            <w:tcW w:w="428" w:type="dxa"/>
          </w:tcPr>
          <w:p>
            <w:pPr/>
          </w:p>
        </w:tc>
        <w:tc>
          <w:tcPr>
            <w:tcW w:w="3047" w:type="dxa"/>
          </w:tcPr>
          <w:p>
            <w:pPr>
              <w:pStyle w:val="TableParagraph"/>
              <w:spacing w:before="88"/>
              <w:ind w:left="202"/>
              <w:jc w:val="left"/>
              <w:rPr>
                <w:sz w:val="18"/>
              </w:rPr>
            </w:pPr>
            <w:r>
              <w:rPr>
                <w:sz w:val="18"/>
              </w:rPr>
              <w:t>Australian Postgraduate Awards</w:t>
            </w:r>
          </w:p>
        </w:tc>
        <w:tc>
          <w:tcPr>
            <w:tcW w:w="549" w:type="dxa"/>
          </w:tcPr>
          <w:p>
            <w:pPr/>
          </w:p>
        </w:tc>
        <w:tc>
          <w:tcPr>
            <w:tcW w:w="1630" w:type="dxa"/>
          </w:tcPr>
          <w:p>
            <w:pPr>
              <w:pStyle w:val="TableParagraph"/>
              <w:spacing w:before="87"/>
              <w:ind w:right="249"/>
              <w:rPr>
                <w:b/>
                <w:sz w:val="18"/>
              </w:rPr>
            </w:pPr>
            <w:r>
              <w:rPr>
                <w:b/>
                <w:sz w:val="18"/>
              </w:rPr>
              <w:t>3,361</w:t>
            </w:r>
          </w:p>
        </w:tc>
        <w:tc>
          <w:tcPr>
            <w:tcW w:w="1389" w:type="dxa"/>
          </w:tcPr>
          <w:p>
            <w:pPr>
              <w:pStyle w:val="TableParagraph"/>
              <w:spacing w:before="87"/>
              <w:ind w:right="341"/>
              <w:rPr>
                <w:sz w:val="18"/>
              </w:rPr>
            </w:pPr>
            <w:r>
              <w:rPr>
                <w:sz w:val="18"/>
              </w:rPr>
              <w:t>3,227</w:t>
            </w:r>
          </w:p>
        </w:tc>
        <w:tc>
          <w:tcPr>
            <w:tcW w:w="1375" w:type="dxa"/>
          </w:tcPr>
          <w:p>
            <w:pPr>
              <w:pStyle w:val="TableParagraph"/>
              <w:spacing w:before="87"/>
              <w:ind w:right="249"/>
              <w:rPr>
                <w:b/>
                <w:sz w:val="18"/>
              </w:rPr>
            </w:pPr>
            <w:r>
              <w:rPr>
                <w:b/>
                <w:sz w:val="18"/>
              </w:rPr>
              <w:t>3,361</w:t>
            </w:r>
          </w:p>
        </w:tc>
        <w:tc>
          <w:tcPr>
            <w:tcW w:w="1134" w:type="dxa"/>
          </w:tcPr>
          <w:p>
            <w:pPr>
              <w:pStyle w:val="TableParagraph"/>
              <w:spacing w:before="87"/>
              <w:ind w:right="86"/>
              <w:rPr>
                <w:sz w:val="18"/>
              </w:rPr>
            </w:pPr>
            <w:r>
              <w:rPr>
                <w:sz w:val="18"/>
              </w:rPr>
              <w:t>3,227</w:t>
            </w:r>
          </w:p>
        </w:tc>
      </w:tr>
      <w:tr>
        <w:trPr>
          <w:trHeight w:val="468" w:hRule="exact"/>
        </w:trPr>
        <w:tc>
          <w:tcPr>
            <w:tcW w:w="428" w:type="dxa"/>
          </w:tcPr>
          <w:p>
            <w:pPr/>
          </w:p>
        </w:tc>
        <w:tc>
          <w:tcPr>
            <w:tcW w:w="3047" w:type="dxa"/>
          </w:tcPr>
          <w:p>
            <w:pPr>
              <w:pStyle w:val="TableParagraph"/>
              <w:spacing w:before="18"/>
              <w:ind w:left="202"/>
              <w:jc w:val="left"/>
              <w:rPr>
                <w:sz w:val="18"/>
              </w:rPr>
            </w:pPr>
            <w:r>
              <w:rPr>
                <w:sz w:val="18"/>
              </w:rPr>
              <w:t>International Postgraduate Research Scholarships</w:t>
            </w:r>
          </w:p>
        </w:tc>
        <w:tc>
          <w:tcPr>
            <w:tcW w:w="549" w:type="dxa"/>
          </w:tcPr>
          <w:p>
            <w:pPr/>
          </w:p>
        </w:tc>
        <w:tc>
          <w:tcPr>
            <w:tcW w:w="1630" w:type="dxa"/>
          </w:tcPr>
          <w:p>
            <w:pPr>
              <w:pStyle w:val="TableParagraph"/>
              <w:spacing w:before="4"/>
              <w:jc w:val="left"/>
              <w:rPr>
                <w:b/>
                <w:sz w:val="19"/>
              </w:rPr>
            </w:pPr>
          </w:p>
          <w:p>
            <w:pPr>
              <w:pStyle w:val="TableParagraph"/>
              <w:ind w:right="250"/>
              <w:rPr>
                <w:b/>
                <w:sz w:val="18"/>
              </w:rPr>
            </w:pPr>
            <w:r>
              <w:rPr>
                <w:b/>
                <w:sz w:val="18"/>
              </w:rPr>
              <w:t>274</w:t>
            </w:r>
          </w:p>
        </w:tc>
        <w:tc>
          <w:tcPr>
            <w:tcW w:w="1389" w:type="dxa"/>
          </w:tcPr>
          <w:p>
            <w:pPr>
              <w:pStyle w:val="TableParagraph"/>
              <w:spacing w:before="4"/>
              <w:jc w:val="left"/>
              <w:rPr>
                <w:b/>
                <w:sz w:val="19"/>
              </w:rPr>
            </w:pPr>
          </w:p>
          <w:p>
            <w:pPr>
              <w:pStyle w:val="TableParagraph"/>
              <w:ind w:right="341"/>
              <w:rPr>
                <w:sz w:val="18"/>
              </w:rPr>
            </w:pPr>
            <w:r>
              <w:rPr>
                <w:sz w:val="18"/>
              </w:rPr>
              <w:t>270</w:t>
            </w:r>
          </w:p>
        </w:tc>
        <w:tc>
          <w:tcPr>
            <w:tcW w:w="1375" w:type="dxa"/>
          </w:tcPr>
          <w:p>
            <w:pPr>
              <w:pStyle w:val="TableParagraph"/>
              <w:spacing w:before="4"/>
              <w:jc w:val="left"/>
              <w:rPr>
                <w:b/>
                <w:sz w:val="19"/>
              </w:rPr>
            </w:pPr>
          </w:p>
          <w:p>
            <w:pPr>
              <w:pStyle w:val="TableParagraph"/>
              <w:ind w:right="250"/>
              <w:rPr>
                <w:b/>
                <w:sz w:val="18"/>
              </w:rPr>
            </w:pPr>
            <w:r>
              <w:rPr>
                <w:b/>
                <w:sz w:val="18"/>
              </w:rPr>
              <w:t>274</w:t>
            </w:r>
          </w:p>
        </w:tc>
        <w:tc>
          <w:tcPr>
            <w:tcW w:w="1134" w:type="dxa"/>
          </w:tcPr>
          <w:p>
            <w:pPr>
              <w:pStyle w:val="TableParagraph"/>
              <w:spacing w:before="4"/>
              <w:jc w:val="left"/>
              <w:rPr>
                <w:b/>
                <w:sz w:val="19"/>
              </w:rPr>
            </w:pPr>
          </w:p>
          <w:p>
            <w:pPr>
              <w:pStyle w:val="TableParagraph"/>
              <w:ind w:right="86"/>
              <w:rPr>
                <w:sz w:val="18"/>
              </w:rPr>
            </w:pPr>
            <w:r>
              <w:rPr>
                <w:sz w:val="18"/>
              </w:rPr>
              <w:t>270</w:t>
            </w:r>
          </w:p>
        </w:tc>
      </w:tr>
      <w:tr>
        <w:trPr>
          <w:trHeight w:val="468" w:hRule="exact"/>
        </w:trPr>
        <w:tc>
          <w:tcPr>
            <w:tcW w:w="428" w:type="dxa"/>
          </w:tcPr>
          <w:p>
            <w:pPr/>
          </w:p>
        </w:tc>
        <w:tc>
          <w:tcPr>
            <w:tcW w:w="3047" w:type="dxa"/>
          </w:tcPr>
          <w:p>
            <w:pPr>
              <w:pStyle w:val="TableParagraph"/>
              <w:spacing w:before="18"/>
              <w:ind w:left="202"/>
              <w:jc w:val="left"/>
              <w:rPr>
                <w:sz w:val="18"/>
              </w:rPr>
            </w:pPr>
            <w:r>
              <w:rPr>
                <w:sz w:val="18"/>
              </w:rPr>
              <w:t>Commonwealth Education Costs Scholarships #4</w:t>
            </w:r>
          </w:p>
        </w:tc>
        <w:tc>
          <w:tcPr>
            <w:tcW w:w="549" w:type="dxa"/>
          </w:tcPr>
          <w:p>
            <w:pPr/>
          </w:p>
        </w:tc>
        <w:tc>
          <w:tcPr>
            <w:tcW w:w="1630" w:type="dxa"/>
          </w:tcPr>
          <w:p>
            <w:pPr>
              <w:pStyle w:val="TableParagraph"/>
              <w:spacing w:before="4"/>
              <w:jc w:val="left"/>
              <w:rPr>
                <w:b/>
                <w:sz w:val="19"/>
              </w:rPr>
            </w:pPr>
          </w:p>
          <w:p>
            <w:pPr>
              <w:pStyle w:val="TableParagraph"/>
              <w:ind w:right="250"/>
              <w:rPr>
                <w:b/>
                <w:sz w:val="18"/>
              </w:rPr>
            </w:pPr>
            <w:r>
              <w:rPr>
                <w:b/>
                <w:sz w:val="18"/>
              </w:rPr>
              <w:t>109</w:t>
            </w:r>
          </w:p>
        </w:tc>
        <w:tc>
          <w:tcPr>
            <w:tcW w:w="1389" w:type="dxa"/>
          </w:tcPr>
          <w:p>
            <w:pPr>
              <w:pStyle w:val="TableParagraph"/>
              <w:spacing w:before="4"/>
              <w:jc w:val="left"/>
              <w:rPr>
                <w:b/>
                <w:sz w:val="19"/>
              </w:rPr>
            </w:pPr>
          </w:p>
          <w:p>
            <w:pPr>
              <w:pStyle w:val="TableParagraph"/>
              <w:ind w:right="341"/>
              <w:rPr>
                <w:sz w:val="18"/>
              </w:rPr>
            </w:pPr>
            <w:r>
              <w:rPr>
                <w:sz w:val="18"/>
              </w:rPr>
              <w:t>83</w:t>
            </w:r>
          </w:p>
        </w:tc>
        <w:tc>
          <w:tcPr>
            <w:tcW w:w="1375" w:type="dxa"/>
          </w:tcPr>
          <w:p>
            <w:pPr>
              <w:pStyle w:val="TableParagraph"/>
              <w:spacing w:before="4"/>
              <w:jc w:val="left"/>
              <w:rPr>
                <w:b/>
                <w:sz w:val="19"/>
              </w:rPr>
            </w:pPr>
          </w:p>
          <w:p>
            <w:pPr>
              <w:pStyle w:val="TableParagraph"/>
              <w:ind w:right="250"/>
              <w:rPr>
                <w:b/>
                <w:sz w:val="18"/>
              </w:rPr>
            </w:pPr>
            <w:r>
              <w:rPr>
                <w:b/>
                <w:sz w:val="18"/>
              </w:rPr>
              <w:t>109</w:t>
            </w:r>
          </w:p>
        </w:tc>
        <w:tc>
          <w:tcPr>
            <w:tcW w:w="1134" w:type="dxa"/>
          </w:tcPr>
          <w:p>
            <w:pPr>
              <w:pStyle w:val="TableParagraph"/>
              <w:spacing w:before="4"/>
              <w:jc w:val="left"/>
              <w:rPr>
                <w:b/>
                <w:sz w:val="19"/>
              </w:rPr>
            </w:pPr>
          </w:p>
          <w:p>
            <w:pPr>
              <w:pStyle w:val="TableParagraph"/>
              <w:ind w:right="86"/>
              <w:rPr>
                <w:sz w:val="18"/>
              </w:rPr>
            </w:pPr>
            <w:r>
              <w:rPr>
                <w:sz w:val="18"/>
              </w:rPr>
              <w:t>83</w:t>
            </w:r>
          </w:p>
        </w:tc>
      </w:tr>
      <w:tr>
        <w:trPr>
          <w:trHeight w:val="469" w:hRule="exact"/>
        </w:trPr>
        <w:tc>
          <w:tcPr>
            <w:tcW w:w="428" w:type="dxa"/>
          </w:tcPr>
          <w:p>
            <w:pPr/>
          </w:p>
        </w:tc>
        <w:tc>
          <w:tcPr>
            <w:tcW w:w="3047" w:type="dxa"/>
          </w:tcPr>
          <w:p>
            <w:pPr>
              <w:pStyle w:val="TableParagraph"/>
              <w:spacing w:before="18"/>
              <w:ind w:left="202"/>
              <w:jc w:val="left"/>
              <w:rPr>
                <w:sz w:val="18"/>
              </w:rPr>
            </w:pPr>
            <w:r>
              <w:rPr>
                <w:sz w:val="18"/>
              </w:rPr>
              <w:t>Commonwealth Accommodation Scholarships</w:t>
            </w:r>
          </w:p>
        </w:tc>
        <w:tc>
          <w:tcPr>
            <w:tcW w:w="549" w:type="dxa"/>
          </w:tcPr>
          <w:p>
            <w:pPr/>
          </w:p>
        </w:tc>
        <w:tc>
          <w:tcPr>
            <w:tcW w:w="1630" w:type="dxa"/>
          </w:tcPr>
          <w:p>
            <w:pPr>
              <w:pStyle w:val="TableParagraph"/>
              <w:spacing w:before="4"/>
              <w:jc w:val="left"/>
              <w:rPr>
                <w:b/>
                <w:sz w:val="19"/>
              </w:rPr>
            </w:pPr>
          </w:p>
          <w:p>
            <w:pPr>
              <w:pStyle w:val="TableParagraph"/>
              <w:ind w:right="250"/>
              <w:rPr>
                <w:b/>
                <w:sz w:val="18"/>
              </w:rPr>
            </w:pPr>
            <w:r>
              <w:rPr>
                <w:b/>
                <w:sz w:val="18"/>
              </w:rPr>
              <w:t>21</w:t>
            </w:r>
          </w:p>
        </w:tc>
        <w:tc>
          <w:tcPr>
            <w:tcW w:w="1389" w:type="dxa"/>
          </w:tcPr>
          <w:p>
            <w:pPr>
              <w:pStyle w:val="TableParagraph"/>
              <w:spacing w:before="4"/>
              <w:jc w:val="left"/>
              <w:rPr>
                <w:b/>
                <w:sz w:val="19"/>
              </w:rPr>
            </w:pPr>
          </w:p>
          <w:p>
            <w:pPr>
              <w:pStyle w:val="TableParagraph"/>
              <w:ind w:right="341"/>
              <w:rPr>
                <w:sz w:val="18"/>
              </w:rPr>
            </w:pPr>
            <w:r>
              <w:rPr>
                <w:sz w:val="18"/>
              </w:rPr>
              <w:t>10</w:t>
            </w:r>
          </w:p>
        </w:tc>
        <w:tc>
          <w:tcPr>
            <w:tcW w:w="1375" w:type="dxa"/>
          </w:tcPr>
          <w:p>
            <w:pPr>
              <w:pStyle w:val="TableParagraph"/>
              <w:spacing w:before="4"/>
              <w:jc w:val="left"/>
              <w:rPr>
                <w:b/>
                <w:sz w:val="19"/>
              </w:rPr>
            </w:pPr>
          </w:p>
          <w:p>
            <w:pPr>
              <w:pStyle w:val="TableParagraph"/>
              <w:ind w:right="250"/>
              <w:rPr>
                <w:b/>
                <w:sz w:val="18"/>
              </w:rPr>
            </w:pPr>
            <w:r>
              <w:rPr>
                <w:b/>
                <w:sz w:val="18"/>
              </w:rPr>
              <w:t>21</w:t>
            </w:r>
          </w:p>
        </w:tc>
        <w:tc>
          <w:tcPr>
            <w:tcW w:w="1134" w:type="dxa"/>
          </w:tcPr>
          <w:p>
            <w:pPr>
              <w:pStyle w:val="TableParagraph"/>
              <w:spacing w:before="4"/>
              <w:jc w:val="left"/>
              <w:rPr>
                <w:b/>
                <w:sz w:val="19"/>
              </w:rPr>
            </w:pPr>
          </w:p>
          <w:p>
            <w:pPr>
              <w:pStyle w:val="TableParagraph"/>
              <w:ind w:right="86"/>
              <w:rPr>
                <w:sz w:val="18"/>
              </w:rPr>
            </w:pPr>
            <w:r>
              <w:rPr>
                <w:sz w:val="18"/>
              </w:rPr>
              <w:t>10</w:t>
            </w:r>
          </w:p>
        </w:tc>
      </w:tr>
      <w:tr>
        <w:trPr>
          <w:trHeight w:val="262" w:hRule="exact"/>
        </w:trPr>
        <w:tc>
          <w:tcPr>
            <w:tcW w:w="428" w:type="dxa"/>
          </w:tcPr>
          <w:p>
            <w:pPr/>
          </w:p>
        </w:tc>
        <w:tc>
          <w:tcPr>
            <w:tcW w:w="3047" w:type="dxa"/>
          </w:tcPr>
          <w:p>
            <w:pPr>
              <w:pStyle w:val="TableParagraph"/>
              <w:spacing w:before="19"/>
              <w:ind w:left="202"/>
              <w:jc w:val="left"/>
              <w:rPr>
                <w:sz w:val="18"/>
              </w:rPr>
            </w:pPr>
            <w:bookmarkStart w:name="(d) Education Research" w:id="54"/>
            <w:bookmarkEnd w:id="54"/>
            <w:r>
              <w:rPr/>
            </w:r>
            <w:r>
              <w:rPr>
                <w:sz w:val="18"/>
              </w:rPr>
              <w:t>Indigenous Access Scholarships</w:t>
            </w:r>
          </w:p>
        </w:tc>
        <w:tc>
          <w:tcPr>
            <w:tcW w:w="549" w:type="dxa"/>
          </w:tcPr>
          <w:p>
            <w:pPr/>
          </w:p>
        </w:tc>
        <w:tc>
          <w:tcPr>
            <w:tcW w:w="1630" w:type="dxa"/>
            <w:tcBorders>
              <w:bottom w:val="single" w:sz="0" w:space="0" w:color="000000"/>
            </w:tcBorders>
          </w:tcPr>
          <w:p>
            <w:pPr>
              <w:pStyle w:val="TableParagraph"/>
              <w:spacing w:before="18"/>
              <w:ind w:right="250"/>
              <w:rPr>
                <w:b/>
                <w:sz w:val="18"/>
              </w:rPr>
            </w:pPr>
            <w:r>
              <w:rPr>
                <w:b/>
                <w:sz w:val="18"/>
              </w:rPr>
              <w:t>39</w:t>
            </w:r>
          </w:p>
        </w:tc>
        <w:tc>
          <w:tcPr>
            <w:tcW w:w="1389" w:type="dxa"/>
            <w:tcBorders>
              <w:bottom w:val="single" w:sz="0" w:space="0" w:color="000000"/>
            </w:tcBorders>
          </w:tcPr>
          <w:p>
            <w:pPr>
              <w:pStyle w:val="TableParagraph"/>
              <w:spacing w:before="18"/>
              <w:ind w:right="341"/>
              <w:rPr>
                <w:sz w:val="18"/>
              </w:rPr>
            </w:pPr>
            <w:r>
              <w:rPr>
                <w:sz w:val="18"/>
              </w:rPr>
              <w:t>72</w:t>
            </w:r>
          </w:p>
        </w:tc>
        <w:tc>
          <w:tcPr>
            <w:tcW w:w="1375" w:type="dxa"/>
            <w:tcBorders>
              <w:bottom w:val="single" w:sz="0" w:space="0" w:color="000000"/>
            </w:tcBorders>
          </w:tcPr>
          <w:p>
            <w:pPr>
              <w:pStyle w:val="TableParagraph"/>
              <w:spacing w:before="18"/>
              <w:ind w:right="250"/>
              <w:rPr>
                <w:b/>
                <w:sz w:val="18"/>
              </w:rPr>
            </w:pPr>
            <w:r>
              <w:rPr>
                <w:b/>
                <w:sz w:val="18"/>
              </w:rPr>
              <w:t>39</w:t>
            </w:r>
          </w:p>
        </w:tc>
        <w:tc>
          <w:tcPr>
            <w:tcW w:w="1134" w:type="dxa"/>
            <w:tcBorders>
              <w:bottom w:val="single" w:sz="0" w:space="0" w:color="000000"/>
            </w:tcBorders>
          </w:tcPr>
          <w:p>
            <w:pPr>
              <w:pStyle w:val="TableParagraph"/>
              <w:spacing w:before="18"/>
              <w:ind w:right="86"/>
              <w:rPr>
                <w:sz w:val="18"/>
              </w:rPr>
            </w:pPr>
            <w:r>
              <w:rPr>
                <w:sz w:val="18"/>
              </w:rPr>
              <w:t>72</w:t>
            </w:r>
          </w:p>
        </w:tc>
      </w:tr>
      <w:tr>
        <w:trPr>
          <w:trHeight w:val="353" w:hRule="exact"/>
        </w:trPr>
        <w:tc>
          <w:tcPr>
            <w:tcW w:w="428" w:type="dxa"/>
          </w:tcPr>
          <w:p>
            <w:pPr/>
          </w:p>
        </w:tc>
        <w:tc>
          <w:tcPr>
            <w:tcW w:w="3047" w:type="dxa"/>
          </w:tcPr>
          <w:p>
            <w:pPr>
              <w:pStyle w:val="TableParagraph"/>
              <w:spacing w:before="123"/>
              <w:ind w:left="202"/>
              <w:jc w:val="left"/>
              <w:rPr>
                <w:b/>
                <w:sz w:val="18"/>
              </w:rPr>
            </w:pPr>
            <w:r>
              <w:rPr>
                <w:b/>
                <w:sz w:val="18"/>
              </w:rPr>
              <w:t>Total Scholarships</w:t>
            </w:r>
          </w:p>
        </w:tc>
        <w:tc>
          <w:tcPr>
            <w:tcW w:w="549" w:type="dxa"/>
          </w:tcPr>
          <w:p>
            <w:pPr>
              <w:pStyle w:val="TableParagraph"/>
              <w:spacing w:before="95"/>
              <w:ind w:left="57"/>
              <w:jc w:val="left"/>
              <w:rPr>
                <w:sz w:val="18"/>
              </w:rPr>
            </w:pPr>
            <w:r>
              <w:rPr>
                <w:sz w:val="18"/>
              </w:rPr>
              <w:t>40(c)</w:t>
            </w:r>
          </w:p>
        </w:tc>
        <w:tc>
          <w:tcPr>
            <w:tcW w:w="1630" w:type="dxa"/>
            <w:tcBorders>
              <w:top w:val="single" w:sz="0" w:space="0" w:color="000000"/>
              <w:bottom w:val="single" w:sz="0" w:space="0" w:color="000000"/>
            </w:tcBorders>
          </w:tcPr>
          <w:p>
            <w:pPr>
              <w:pStyle w:val="TableParagraph"/>
              <w:spacing w:before="122"/>
              <w:ind w:right="249"/>
              <w:rPr>
                <w:b/>
                <w:sz w:val="18"/>
              </w:rPr>
            </w:pPr>
            <w:r>
              <w:rPr>
                <w:b/>
                <w:sz w:val="18"/>
              </w:rPr>
              <w:t>3,804</w:t>
            </w:r>
          </w:p>
        </w:tc>
        <w:tc>
          <w:tcPr>
            <w:tcW w:w="1389" w:type="dxa"/>
            <w:tcBorders>
              <w:top w:val="single" w:sz="0" w:space="0" w:color="000000"/>
              <w:bottom w:val="single" w:sz="0" w:space="0" w:color="000000"/>
            </w:tcBorders>
          </w:tcPr>
          <w:p>
            <w:pPr>
              <w:pStyle w:val="TableParagraph"/>
              <w:spacing w:before="122"/>
              <w:ind w:right="341"/>
              <w:rPr>
                <w:sz w:val="18"/>
              </w:rPr>
            </w:pPr>
            <w:r>
              <w:rPr>
                <w:sz w:val="18"/>
              </w:rPr>
              <w:t>3,662</w:t>
            </w:r>
          </w:p>
        </w:tc>
        <w:tc>
          <w:tcPr>
            <w:tcW w:w="1375" w:type="dxa"/>
            <w:tcBorders>
              <w:top w:val="single" w:sz="0" w:space="0" w:color="000000"/>
              <w:bottom w:val="single" w:sz="0" w:space="0" w:color="000000"/>
            </w:tcBorders>
          </w:tcPr>
          <w:p>
            <w:pPr>
              <w:pStyle w:val="TableParagraph"/>
              <w:spacing w:before="122"/>
              <w:ind w:right="249"/>
              <w:rPr>
                <w:b/>
                <w:sz w:val="18"/>
              </w:rPr>
            </w:pPr>
            <w:r>
              <w:rPr>
                <w:b/>
                <w:sz w:val="18"/>
              </w:rPr>
              <w:t>3,804</w:t>
            </w:r>
          </w:p>
        </w:tc>
        <w:tc>
          <w:tcPr>
            <w:tcW w:w="1134" w:type="dxa"/>
            <w:tcBorders>
              <w:top w:val="single" w:sz="0" w:space="0" w:color="000000"/>
              <w:bottom w:val="single" w:sz="0" w:space="0" w:color="000000"/>
            </w:tcBorders>
          </w:tcPr>
          <w:p>
            <w:pPr>
              <w:pStyle w:val="TableParagraph"/>
              <w:spacing w:before="122"/>
              <w:ind w:right="86"/>
              <w:rPr>
                <w:sz w:val="18"/>
              </w:rPr>
            </w:pPr>
            <w:r>
              <w:rPr>
                <w:sz w:val="18"/>
              </w:rPr>
              <w:t>3,662</w:t>
            </w:r>
          </w:p>
        </w:tc>
      </w:tr>
      <w:tr>
        <w:trPr>
          <w:trHeight w:val="646" w:hRule="exact"/>
        </w:trPr>
        <w:tc>
          <w:tcPr>
            <w:tcW w:w="428" w:type="dxa"/>
          </w:tcPr>
          <w:p>
            <w:pPr>
              <w:pStyle w:val="TableParagraph"/>
              <w:jc w:val="left"/>
              <w:rPr>
                <w:b/>
                <w:sz w:val="18"/>
              </w:rPr>
            </w:pPr>
          </w:p>
          <w:p>
            <w:pPr>
              <w:pStyle w:val="TableParagraph"/>
              <w:spacing w:before="125"/>
              <w:ind w:left="35"/>
              <w:jc w:val="left"/>
              <w:rPr>
                <w:sz w:val="18"/>
              </w:rPr>
            </w:pPr>
            <w:r>
              <w:rPr>
                <w:sz w:val="18"/>
              </w:rPr>
              <w:t>(d)</w:t>
            </w:r>
          </w:p>
        </w:tc>
        <w:tc>
          <w:tcPr>
            <w:tcW w:w="3047" w:type="dxa"/>
          </w:tcPr>
          <w:p>
            <w:pPr>
              <w:pStyle w:val="TableParagraph"/>
              <w:jc w:val="left"/>
              <w:rPr>
                <w:b/>
                <w:sz w:val="18"/>
              </w:rPr>
            </w:pPr>
          </w:p>
          <w:p>
            <w:pPr>
              <w:pStyle w:val="TableParagraph"/>
              <w:spacing w:before="125"/>
              <w:ind w:left="173"/>
              <w:jc w:val="left"/>
              <w:rPr>
                <w:sz w:val="18"/>
              </w:rPr>
            </w:pPr>
            <w:r>
              <w:rPr>
                <w:sz w:val="18"/>
              </w:rPr>
              <w:t>Education Research</w:t>
            </w:r>
          </w:p>
        </w:tc>
        <w:tc>
          <w:tcPr>
            <w:tcW w:w="549" w:type="dxa"/>
          </w:tcPr>
          <w:p>
            <w:pPr/>
          </w:p>
        </w:tc>
        <w:tc>
          <w:tcPr>
            <w:tcW w:w="1630" w:type="dxa"/>
            <w:tcBorders>
              <w:top w:val="single" w:sz="0" w:space="0" w:color="000000"/>
            </w:tcBorders>
          </w:tcPr>
          <w:p>
            <w:pPr/>
          </w:p>
        </w:tc>
        <w:tc>
          <w:tcPr>
            <w:tcW w:w="1389" w:type="dxa"/>
            <w:tcBorders>
              <w:top w:val="single" w:sz="0" w:space="0" w:color="000000"/>
            </w:tcBorders>
          </w:tcPr>
          <w:p>
            <w:pPr/>
          </w:p>
        </w:tc>
        <w:tc>
          <w:tcPr>
            <w:tcW w:w="1375" w:type="dxa"/>
            <w:tcBorders>
              <w:top w:val="single" w:sz="0" w:space="0" w:color="000000"/>
            </w:tcBorders>
          </w:tcPr>
          <w:p>
            <w:pPr/>
          </w:p>
        </w:tc>
        <w:tc>
          <w:tcPr>
            <w:tcW w:w="1134" w:type="dxa"/>
            <w:tcBorders>
              <w:top w:val="single" w:sz="0" w:space="0" w:color="000000"/>
            </w:tcBorders>
          </w:tcPr>
          <w:p>
            <w:pPr/>
          </w:p>
        </w:tc>
      </w:tr>
      <w:tr>
        <w:trPr>
          <w:trHeight w:val="538" w:hRule="exact"/>
        </w:trPr>
        <w:tc>
          <w:tcPr>
            <w:tcW w:w="428" w:type="dxa"/>
          </w:tcPr>
          <w:p>
            <w:pPr/>
          </w:p>
        </w:tc>
        <w:tc>
          <w:tcPr>
            <w:tcW w:w="3047" w:type="dxa"/>
          </w:tcPr>
          <w:p>
            <w:pPr>
              <w:pStyle w:val="TableParagraph"/>
              <w:spacing w:before="87"/>
              <w:ind w:left="202"/>
              <w:jc w:val="left"/>
              <w:rPr>
                <w:sz w:val="18"/>
              </w:rPr>
            </w:pPr>
            <w:r>
              <w:rPr>
                <w:sz w:val="18"/>
              </w:rPr>
              <w:t>Joint Research Engagement Program</w:t>
            </w:r>
          </w:p>
        </w:tc>
        <w:tc>
          <w:tcPr>
            <w:tcW w:w="549" w:type="dxa"/>
          </w:tcPr>
          <w:p>
            <w:pPr/>
          </w:p>
        </w:tc>
        <w:tc>
          <w:tcPr>
            <w:tcW w:w="1630" w:type="dxa"/>
          </w:tcPr>
          <w:p>
            <w:pPr>
              <w:pStyle w:val="TableParagraph"/>
              <w:spacing w:before="4"/>
              <w:jc w:val="left"/>
              <w:rPr>
                <w:b/>
                <w:sz w:val="25"/>
              </w:rPr>
            </w:pPr>
          </w:p>
          <w:p>
            <w:pPr>
              <w:pStyle w:val="TableParagraph"/>
              <w:ind w:right="249"/>
              <w:rPr>
                <w:b/>
                <w:sz w:val="18"/>
              </w:rPr>
            </w:pPr>
            <w:r>
              <w:rPr>
                <w:b/>
                <w:sz w:val="18"/>
              </w:rPr>
              <w:t>3,813</w:t>
            </w:r>
          </w:p>
        </w:tc>
        <w:tc>
          <w:tcPr>
            <w:tcW w:w="1389" w:type="dxa"/>
          </w:tcPr>
          <w:p>
            <w:pPr>
              <w:pStyle w:val="TableParagraph"/>
              <w:spacing w:before="4"/>
              <w:jc w:val="left"/>
              <w:rPr>
                <w:b/>
                <w:sz w:val="25"/>
              </w:rPr>
            </w:pPr>
          </w:p>
          <w:p>
            <w:pPr>
              <w:pStyle w:val="TableParagraph"/>
              <w:ind w:right="341"/>
              <w:rPr>
                <w:sz w:val="18"/>
              </w:rPr>
            </w:pPr>
            <w:r>
              <w:rPr>
                <w:sz w:val="18"/>
              </w:rPr>
              <w:t>3,730</w:t>
            </w:r>
          </w:p>
        </w:tc>
        <w:tc>
          <w:tcPr>
            <w:tcW w:w="1375" w:type="dxa"/>
          </w:tcPr>
          <w:p>
            <w:pPr>
              <w:pStyle w:val="TableParagraph"/>
              <w:spacing w:before="4"/>
              <w:jc w:val="left"/>
              <w:rPr>
                <w:b/>
                <w:sz w:val="25"/>
              </w:rPr>
            </w:pPr>
          </w:p>
          <w:p>
            <w:pPr>
              <w:pStyle w:val="TableParagraph"/>
              <w:ind w:right="249"/>
              <w:rPr>
                <w:b/>
                <w:sz w:val="18"/>
              </w:rPr>
            </w:pPr>
            <w:r>
              <w:rPr>
                <w:b/>
                <w:sz w:val="18"/>
              </w:rPr>
              <w:t>3,813</w:t>
            </w:r>
          </w:p>
        </w:tc>
        <w:tc>
          <w:tcPr>
            <w:tcW w:w="1134" w:type="dxa"/>
          </w:tcPr>
          <w:p>
            <w:pPr>
              <w:pStyle w:val="TableParagraph"/>
              <w:spacing w:before="4"/>
              <w:jc w:val="left"/>
              <w:rPr>
                <w:b/>
                <w:sz w:val="25"/>
              </w:rPr>
            </w:pPr>
          </w:p>
          <w:p>
            <w:pPr>
              <w:pStyle w:val="TableParagraph"/>
              <w:ind w:right="86"/>
              <w:rPr>
                <w:sz w:val="18"/>
              </w:rPr>
            </w:pPr>
            <w:r>
              <w:rPr>
                <w:sz w:val="18"/>
              </w:rPr>
              <w:t>3,730</w:t>
            </w:r>
          </w:p>
        </w:tc>
      </w:tr>
      <w:tr>
        <w:trPr>
          <w:trHeight w:val="263" w:hRule="exact"/>
        </w:trPr>
        <w:tc>
          <w:tcPr>
            <w:tcW w:w="428" w:type="dxa"/>
          </w:tcPr>
          <w:p>
            <w:pPr/>
          </w:p>
        </w:tc>
        <w:tc>
          <w:tcPr>
            <w:tcW w:w="3047" w:type="dxa"/>
          </w:tcPr>
          <w:p>
            <w:pPr>
              <w:pStyle w:val="TableParagraph"/>
              <w:spacing w:before="19"/>
              <w:ind w:left="202"/>
              <w:jc w:val="left"/>
              <w:rPr>
                <w:sz w:val="18"/>
              </w:rPr>
            </w:pPr>
            <w:r>
              <w:rPr>
                <w:sz w:val="18"/>
              </w:rPr>
              <w:t>Research Training Scheme</w:t>
            </w:r>
          </w:p>
        </w:tc>
        <w:tc>
          <w:tcPr>
            <w:tcW w:w="549" w:type="dxa"/>
          </w:tcPr>
          <w:p>
            <w:pPr/>
          </w:p>
        </w:tc>
        <w:tc>
          <w:tcPr>
            <w:tcW w:w="1630" w:type="dxa"/>
          </w:tcPr>
          <w:p>
            <w:pPr>
              <w:pStyle w:val="TableParagraph"/>
              <w:spacing w:before="18"/>
              <w:ind w:right="249"/>
              <w:rPr>
                <w:b/>
                <w:sz w:val="18"/>
              </w:rPr>
            </w:pPr>
            <w:r>
              <w:rPr>
                <w:b/>
                <w:sz w:val="18"/>
              </w:rPr>
              <w:t>7,070</w:t>
            </w:r>
          </w:p>
        </w:tc>
        <w:tc>
          <w:tcPr>
            <w:tcW w:w="1389" w:type="dxa"/>
          </w:tcPr>
          <w:p>
            <w:pPr>
              <w:pStyle w:val="TableParagraph"/>
              <w:spacing w:before="18"/>
              <w:ind w:right="341"/>
              <w:rPr>
                <w:sz w:val="18"/>
              </w:rPr>
            </w:pPr>
            <w:r>
              <w:rPr>
                <w:sz w:val="18"/>
              </w:rPr>
              <w:t>6,884</w:t>
            </w:r>
          </w:p>
        </w:tc>
        <w:tc>
          <w:tcPr>
            <w:tcW w:w="1375" w:type="dxa"/>
          </w:tcPr>
          <w:p>
            <w:pPr>
              <w:pStyle w:val="TableParagraph"/>
              <w:spacing w:before="18"/>
              <w:ind w:right="249"/>
              <w:rPr>
                <w:b/>
                <w:sz w:val="18"/>
              </w:rPr>
            </w:pPr>
            <w:r>
              <w:rPr>
                <w:b/>
                <w:sz w:val="18"/>
              </w:rPr>
              <w:t>7,070</w:t>
            </w:r>
          </w:p>
        </w:tc>
        <w:tc>
          <w:tcPr>
            <w:tcW w:w="1134" w:type="dxa"/>
          </w:tcPr>
          <w:p>
            <w:pPr>
              <w:pStyle w:val="TableParagraph"/>
              <w:spacing w:before="18"/>
              <w:ind w:right="86"/>
              <w:rPr>
                <w:sz w:val="18"/>
              </w:rPr>
            </w:pPr>
            <w:r>
              <w:rPr>
                <w:sz w:val="18"/>
              </w:rPr>
              <w:t>6,884</w:t>
            </w:r>
          </w:p>
        </w:tc>
      </w:tr>
      <w:tr>
        <w:trPr>
          <w:trHeight w:val="468" w:hRule="exact"/>
        </w:trPr>
        <w:tc>
          <w:tcPr>
            <w:tcW w:w="428" w:type="dxa"/>
          </w:tcPr>
          <w:p>
            <w:pPr/>
          </w:p>
        </w:tc>
        <w:tc>
          <w:tcPr>
            <w:tcW w:w="3047" w:type="dxa"/>
          </w:tcPr>
          <w:p>
            <w:pPr>
              <w:pStyle w:val="TableParagraph"/>
              <w:spacing w:before="18"/>
              <w:ind w:left="202"/>
              <w:jc w:val="left"/>
              <w:rPr>
                <w:sz w:val="18"/>
              </w:rPr>
            </w:pPr>
            <w:r>
              <w:rPr>
                <w:sz w:val="18"/>
              </w:rPr>
              <w:t>Research Infrastructure Block Grants</w:t>
            </w:r>
          </w:p>
        </w:tc>
        <w:tc>
          <w:tcPr>
            <w:tcW w:w="549" w:type="dxa"/>
          </w:tcPr>
          <w:p>
            <w:pPr/>
          </w:p>
        </w:tc>
        <w:tc>
          <w:tcPr>
            <w:tcW w:w="1630" w:type="dxa"/>
          </w:tcPr>
          <w:p>
            <w:pPr>
              <w:pStyle w:val="TableParagraph"/>
              <w:spacing w:before="4"/>
              <w:jc w:val="left"/>
              <w:rPr>
                <w:b/>
                <w:sz w:val="19"/>
              </w:rPr>
            </w:pPr>
          </w:p>
          <w:p>
            <w:pPr>
              <w:pStyle w:val="TableParagraph"/>
              <w:ind w:right="249"/>
              <w:rPr>
                <w:b/>
                <w:sz w:val="18"/>
              </w:rPr>
            </w:pPr>
            <w:r>
              <w:rPr>
                <w:b/>
                <w:sz w:val="18"/>
              </w:rPr>
              <w:t>1,896</w:t>
            </w:r>
          </w:p>
        </w:tc>
        <w:tc>
          <w:tcPr>
            <w:tcW w:w="1389" w:type="dxa"/>
          </w:tcPr>
          <w:p>
            <w:pPr>
              <w:pStyle w:val="TableParagraph"/>
              <w:spacing w:before="4"/>
              <w:jc w:val="left"/>
              <w:rPr>
                <w:b/>
                <w:sz w:val="19"/>
              </w:rPr>
            </w:pPr>
          </w:p>
          <w:p>
            <w:pPr>
              <w:pStyle w:val="TableParagraph"/>
              <w:ind w:right="341"/>
              <w:rPr>
                <w:sz w:val="18"/>
              </w:rPr>
            </w:pPr>
            <w:r>
              <w:rPr>
                <w:sz w:val="18"/>
              </w:rPr>
              <w:t>1,796</w:t>
            </w:r>
          </w:p>
        </w:tc>
        <w:tc>
          <w:tcPr>
            <w:tcW w:w="1375" w:type="dxa"/>
          </w:tcPr>
          <w:p>
            <w:pPr>
              <w:pStyle w:val="TableParagraph"/>
              <w:spacing w:before="4"/>
              <w:jc w:val="left"/>
              <w:rPr>
                <w:b/>
                <w:sz w:val="19"/>
              </w:rPr>
            </w:pPr>
          </w:p>
          <w:p>
            <w:pPr>
              <w:pStyle w:val="TableParagraph"/>
              <w:ind w:right="249"/>
              <w:rPr>
                <w:b/>
                <w:sz w:val="18"/>
              </w:rPr>
            </w:pPr>
            <w:r>
              <w:rPr>
                <w:b/>
                <w:sz w:val="18"/>
              </w:rPr>
              <w:t>1,896</w:t>
            </w:r>
          </w:p>
        </w:tc>
        <w:tc>
          <w:tcPr>
            <w:tcW w:w="1134" w:type="dxa"/>
          </w:tcPr>
          <w:p>
            <w:pPr>
              <w:pStyle w:val="TableParagraph"/>
              <w:spacing w:before="4"/>
              <w:jc w:val="left"/>
              <w:rPr>
                <w:b/>
                <w:sz w:val="19"/>
              </w:rPr>
            </w:pPr>
          </w:p>
          <w:p>
            <w:pPr>
              <w:pStyle w:val="TableParagraph"/>
              <w:ind w:right="86"/>
              <w:rPr>
                <w:sz w:val="18"/>
              </w:rPr>
            </w:pPr>
            <w:r>
              <w:rPr>
                <w:sz w:val="18"/>
              </w:rPr>
              <w:t>1,796</w:t>
            </w:r>
          </w:p>
        </w:tc>
      </w:tr>
      <w:tr>
        <w:trPr>
          <w:trHeight w:val="467" w:hRule="exact"/>
        </w:trPr>
        <w:tc>
          <w:tcPr>
            <w:tcW w:w="428" w:type="dxa"/>
          </w:tcPr>
          <w:p>
            <w:pPr/>
          </w:p>
        </w:tc>
        <w:tc>
          <w:tcPr>
            <w:tcW w:w="3047" w:type="dxa"/>
          </w:tcPr>
          <w:p>
            <w:pPr>
              <w:pStyle w:val="TableParagraph"/>
              <w:spacing w:before="18"/>
              <w:ind w:left="202" w:right="42"/>
              <w:jc w:val="left"/>
              <w:rPr>
                <w:sz w:val="18"/>
              </w:rPr>
            </w:pPr>
            <w:r>
              <w:rPr>
                <w:sz w:val="18"/>
              </w:rPr>
              <w:t>Sustainable Research Excellence in Universities</w:t>
            </w:r>
          </w:p>
        </w:tc>
        <w:tc>
          <w:tcPr>
            <w:tcW w:w="549" w:type="dxa"/>
          </w:tcPr>
          <w:p>
            <w:pPr/>
          </w:p>
        </w:tc>
        <w:tc>
          <w:tcPr>
            <w:tcW w:w="1630" w:type="dxa"/>
            <w:tcBorders>
              <w:bottom w:val="single" w:sz="0" w:space="0" w:color="000000"/>
            </w:tcBorders>
          </w:tcPr>
          <w:p>
            <w:pPr>
              <w:pStyle w:val="TableParagraph"/>
              <w:spacing w:before="4"/>
              <w:jc w:val="left"/>
              <w:rPr>
                <w:b/>
                <w:sz w:val="19"/>
              </w:rPr>
            </w:pPr>
          </w:p>
          <w:p>
            <w:pPr>
              <w:pStyle w:val="TableParagraph"/>
              <w:ind w:right="249"/>
              <w:rPr>
                <w:b/>
                <w:sz w:val="18"/>
              </w:rPr>
            </w:pPr>
            <w:r>
              <w:rPr>
                <w:b/>
                <w:sz w:val="18"/>
              </w:rPr>
              <w:t>1,753</w:t>
            </w:r>
          </w:p>
        </w:tc>
        <w:tc>
          <w:tcPr>
            <w:tcW w:w="1389" w:type="dxa"/>
            <w:tcBorders>
              <w:bottom w:val="single" w:sz="0" w:space="0" w:color="000000"/>
            </w:tcBorders>
          </w:tcPr>
          <w:p>
            <w:pPr>
              <w:pStyle w:val="TableParagraph"/>
              <w:spacing w:before="4"/>
              <w:jc w:val="left"/>
              <w:rPr>
                <w:b/>
                <w:sz w:val="19"/>
              </w:rPr>
            </w:pPr>
          </w:p>
          <w:p>
            <w:pPr>
              <w:pStyle w:val="TableParagraph"/>
              <w:ind w:right="341"/>
              <w:rPr>
                <w:sz w:val="18"/>
              </w:rPr>
            </w:pPr>
            <w:r>
              <w:rPr>
                <w:sz w:val="18"/>
              </w:rPr>
              <w:t>1,497</w:t>
            </w:r>
          </w:p>
        </w:tc>
        <w:tc>
          <w:tcPr>
            <w:tcW w:w="1375" w:type="dxa"/>
            <w:tcBorders>
              <w:bottom w:val="single" w:sz="0" w:space="0" w:color="000000"/>
            </w:tcBorders>
          </w:tcPr>
          <w:p>
            <w:pPr>
              <w:pStyle w:val="TableParagraph"/>
              <w:spacing w:before="4"/>
              <w:jc w:val="left"/>
              <w:rPr>
                <w:b/>
                <w:sz w:val="19"/>
              </w:rPr>
            </w:pPr>
          </w:p>
          <w:p>
            <w:pPr>
              <w:pStyle w:val="TableParagraph"/>
              <w:ind w:right="249"/>
              <w:rPr>
                <w:b/>
                <w:sz w:val="18"/>
              </w:rPr>
            </w:pPr>
            <w:r>
              <w:rPr>
                <w:b/>
                <w:sz w:val="18"/>
              </w:rPr>
              <w:t>1,753</w:t>
            </w:r>
          </w:p>
        </w:tc>
        <w:tc>
          <w:tcPr>
            <w:tcW w:w="1134" w:type="dxa"/>
            <w:tcBorders>
              <w:bottom w:val="single" w:sz="0" w:space="0" w:color="000000"/>
            </w:tcBorders>
          </w:tcPr>
          <w:p>
            <w:pPr>
              <w:pStyle w:val="TableParagraph"/>
              <w:spacing w:before="4"/>
              <w:jc w:val="left"/>
              <w:rPr>
                <w:b/>
                <w:sz w:val="19"/>
              </w:rPr>
            </w:pPr>
          </w:p>
          <w:p>
            <w:pPr>
              <w:pStyle w:val="TableParagraph"/>
              <w:ind w:right="86"/>
              <w:rPr>
                <w:sz w:val="18"/>
              </w:rPr>
            </w:pPr>
            <w:r>
              <w:rPr>
                <w:sz w:val="18"/>
              </w:rPr>
              <w:t>1,497</w:t>
            </w:r>
          </w:p>
        </w:tc>
      </w:tr>
      <w:tr>
        <w:trPr>
          <w:trHeight w:val="353" w:hRule="exact"/>
        </w:trPr>
        <w:tc>
          <w:tcPr>
            <w:tcW w:w="428" w:type="dxa"/>
          </w:tcPr>
          <w:p>
            <w:pPr/>
          </w:p>
        </w:tc>
        <w:tc>
          <w:tcPr>
            <w:tcW w:w="3047" w:type="dxa"/>
          </w:tcPr>
          <w:p>
            <w:pPr>
              <w:pStyle w:val="TableParagraph"/>
              <w:spacing w:before="123"/>
              <w:ind w:left="202"/>
              <w:jc w:val="left"/>
              <w:rPr>
                <w:b/>
                <w:sz w:val="18"/>
              </w:rPr>
            </w:pPr>
            <w:r>
              <w:rPr>
                <w:b/>
                <w:sz w:val="18"/>
              </w:rPr>
              <w:t>Total Education Research</w:t>
            </w:r>
          </w:p>
        </w:tc>
        <w:tc>
          <w:tcPr>
            <w:tcW w:w="549" w:type="dxa"/>
          </w:tcPr>
          <w:p>
            <w:pPr>
              <w:pStyle w:val="TableParagraph"/>
              <w:spacing w:before="95"/>
              <w:ind w:left="52"/>
              <w:jc w:val="left"/>
              <w:rPr>
                <w:sz w:val="18"/>
              </w:rPr>
            </w:pPr>
            <w:r>
              <w:rPr>
                <w:sz w:val="18"/>
              </w:rPr>
              <w:t>40(d)</w:t>
            </w:r>
          </w:p>
        </w:tc>
        <w:tc>
          <w:tcPr>
            <w:tcW w:w="1630" w:type="dxa"/>
            <w:tcBorders>
              <w:top w:val="single" w:sz="0" w:space="0" w:color="000000"/>
              <w:bottom w:val="single" w:sz="0" w:space="0" w:color="000000"/>
            </w:tcBorders>
          </w:tcPr>
          <w:p>
            <w:pPr>
              <w:pStyle w:val="TableParagraph"/>
              <w:spacing w:before="122"/>
              <w:ind w:right="249"/>
              <w:rPr>
                <w:b/>
                <w:sz w:val="18"/>
              </w:rPr>
            </w:pPr>
            <w:r>
              <w:rPr>
                <w:b/>
                <w:w w:val="95"/>
                <w:sz w:val="18"/>
              </w:rPr>
              <w:t>14,532</w:t>
            </w:r>
          </w:p>
        </w:tc>
        <w:tc>
          <w:tcPr>
            <w:tcW w:w="1389" w:type="dxa"/>
            <w:tcBorders>
              <w:top w:val="single" w:sz="0" w:space="0" w:color="000000"/>
              <w:bottom w:val="single" w:sz="0" w:space="0" w:color="000000"/>
            </w:tcBorders>
          </w:tcPr>
          <w:p>
            <w:pPr>
              <w:pStyle w:val="TableParagraph"/>
              <w:spacing w:before="122"/>
              <w:ind w:right="341"/>
              <w:rPr>
                <w:sz w:val="18"/>
              </w:rPr>
            </w:pPr>
            <w:r>
              <w:rPr>
                <w:w w:val="95"/>
                <w:sz w:val="18"/>
              </w:rPr>
              <w:t>13,907</w:t>
            </w:r>
          </w:p>
        </w:tc>
        <w:tc>
          <w:tcPr>
            <w:tcW w:w="1375" w:type="dxa"/>
            <w:tcBorders>
              <w:top w:val="single" w:sz="0" w:space="0" w:color="000000"/>
              <w:bottom w:val="single" w:sz="0" w:space="0" w:color="000000"/>
            </w:tcBorders>
          </w:tcPr>
          <w:p>
            <w:pPr>
              <w:pStyle w:val="TableParagraph"/>
              <w:spacing w:before="122"/>
              <w:ind w:right="249"/>
              <w:rPr>
                <w:b/>
                <w:sz w:val="18"/>
              </w:rPr>
            </w:pPr>
            <w:r>
              <w:rPr>
                <w:b/>
                <w:w w:val="95"/>
                <w:sz w:val="18"/>
              </w:rPr>
              <w:t>14,532</w:t>
            </w:r>
          </w:p>
        </w:tc>
        <w:tc>
          <w:tcPr>
            <w:tcW w:w="1134" w:type="dxa"/>
            <w:tcBorders>
              <w:top w:val="single" w:sz="0" w:space="0" w:color="000000"/>
              <w:bottom w:val="single" w:sz="0" w:space="0" w:color="000000"/>
            </w:tcBorders>
          </w:tcPr>
          <w:p>
            <w:pPr>
              <w:pStyle w:val="TableParagraph"/>
              <w:spacing w:before="122"/>
              <w:ind w:right="86"/>
              <w:rPr>
                <w:sz w:val="18"/>
              </w:rPr>
            </w:pPr>
            <w:r>
              <w:rPr>
                <w:w w:val="95"/>
                <w:sz w:val="18"/>
              </w:rPr>
              <w:t>13,907</w:t>
            </w:r>
          </w:p>
        </w:tc>
      </w:tr>
    </w:tbl>
    <w:p>
      <w:pPr>
        <w:spacing w:after="0"/>
        <w:rPr>
          <w:sz w:val="18"/>
        </w:rPr>
        <w:sectPr>
          <w:pgSz w:w="12750" w:h="17680"/>
          <w:pgMar w:header="0" w:footer="927" w:top="2640" w:bottom="1120" w:left="0" w:right="0"/>
        </w:sectPr>
      </w:pPr>
    </w:p>
    <w:p>
      <w:pPr>
        <w:pStyle w:val="BodyText"/>
        <w:rPr>
          <w:b/>
          <w:sz w:val="20"/>
        </w:rPr>
      </w:pPr>
      <w:r>
        <w:rPr/>
        <w:drawing>
          <wp:anchor distT="0" distB="0" distL="0" distR="0" allowOverlap="1" layoutInCell="1" locked="0" behindDoc="0" simplePos="0" relativeHeight="2944">
            <wp:simplePos x="0" y="0"/>
            <wp:positionH relativeFrom="page">
              <wp:posOffset>-1587</wp:posOffset>
            </wp:positionH>
            <wp:positionV relativeFrom="page">
              <wp:posOffset>5534342</wp:posOffset>
            </wp:positionV>
            <wp:extent cx="135159" cy="154019"/>
            <wp:effectExtent l="0" t="0" r="0" b="0"/>
            <wp:wrapNone/>
            <wp:docPr id="155" name="image13.png" descr=""/>
            <wp:cNvGraphicFramePr>
              <a:graphicFrameLocks noChangeAspect="1"/>
            </wp:cNvGraphicFramePr>
            <a:graphic>
              <a:graphicData uri="http://schemas.openxmlformats.org/drawingml/2006/picture">
                <pic:pic>
                  <pic:nvPicPr>
                    <pic:cNvPr id="156" name="image13.png"/>
                    <pic:cNvPicPr/>
                  </pic:nvPicPr>
                  <pic:blipFill>
                    <a:blip r:embed="rId18" cstate="print"/>
                    <a:stretch>
                      <a:fillRect/>
                    </a:stretch>
                  </pic:blipFill>
                  <pic:spPr>
                    <a:xfrm>
                      <a:off x="0" y="0"/>
                      <a:ext cx="135159" cy="154019"/>
                    </a:xfrm>
                    <a:prstGeom prst="rect">
                      <a:avLst/>
                    </a:prstGeom>
                  </pic:spPr>
                </pic:pic>
              </a:graphicData>
            </a:graphic>
          </wp:anchor>
        </w:drawing>
      </w:r>
      <w:r>
        <w:rPr/>
        <w:drawing>
          <wp:anchor distT="0" distB="0" distL="0" distR="0" allowOverlap="1" layoutInCell="1" locked="0" behindDoc="0" simplePos="0" relativeHeight="2968">
            <wp:simplePos x="0" y="0"/>
            <wp:positionH relativeFrom="page">
              <wp:posOffset>7958429</wp:posOffset>
            </wp:positionH>
            <wp:positionV relativeFrom="page">
              <wp:posOffset>5534342</wp:posOffset>
            </wp:positionV>
            <wp:extent cx="135953" cy="155575"/>
            <wp:effectExtent l="0" t="0" r="0" b="0"/>
            <wp:wrapNone/>
            <wp:docPr id="157" name="image15.png" descr=""/>
            <wp:cNvGraphicFramePr>
              <a:graphicFrameLocks noChangeAspect="1"/>
            </wp:cNvGraphicFramePr>
            <a:graphic>
              <a:graphicData uri="http://schemas.openxmlformats.org/drawingml/2006/picture">
                <pic:pic>
                  <pic:nvPicPr>
                    <pic:cNvPr id="158" name="image15.png"/>
                    <pic:cNvPicPr/>
                  </pic:nvPicPr>
                  <pic:blipFill>
                    <a:blip r:embed="rId20" cstate="print"/>
                    <a:stretch>
                      <a:fillRect/>
                    </a:stretch>
                  </pic:blipFill>
                  <pic:spPr>
                    <a:xfrm>
                      <a:off x="0" y="0"/>
                      <a:ext cx="135953" cy="155575"/>
                    </a:xfrm>
                    <a:prstGeom prst="rect">
                      <a:avLst/>
                    </a:prstGeom>
                  </pic:spPr>
                </pic:pic>
              </a:graphicData>
            </a:graphic>
          </wp:anchor>
        </w:drawing>
      </w:r>
    </w:p>
    <w:p>
      <w:pPr>
        <w:pStyle w:val="BodyText"/>
        <w:rPr>
          <w:b/>
          <w:sz w:val="20"/>
        </w:rPr>
      </w:pPr>
    </w:p>
    <w:p>
      <w:pPr>
        <w:pStyle w:val="BodyText"/>
        <w:spacing w:before="4"/>
        <w:rPr>
          <w:b/>
        </w:rPr>
      </w:pPr>
    </w:p>
    <w:p>
      <w:pPr>
        <w:tabs>
          <w:tab w:pos="2391" w:val="left" w:leader="none"/>
        </w:tabs>
        <w:spacing w:before="0"/>
        <w:ind w:left="2391" w:right="1774" w:hanging="568"/>
        <w:jc w:val="left"/>
        <w:rPr>
          <w:b/>
          <w:sz w:val="18"/>
        </w:rPr>
      </w:pPr>
      <w:bookmarkStart w:name="(e) Other Capital Funding" w:id="55"/>
      <w:bookmarkEnd w:id="55"/>
      <w:r>
        <w:rPr/>
      </w:r>
      <w:r>
        <w:rPr>
          <w:b/>
          <w:sz w:val="18"/>
        </w:rPr>
        <w:t>2</w:t>
        <w:tab/>
        <w:t>Australian Government financial assistance including HECS-HELP and other</w:t>
      </w:r>
      <w:r>
        <w:rPr>
          <w:b/>
          <w:spacing w:val="-25"/>
          <w:sz w:val="18"/>
        </w:rPr>
        <w:t> </w:t>
      </w:r>
      <w:r>
        <w:rPr>
          <w:b/>
          <w:sz w:val="18"/>
        </w:rPr>
        <w:t>Australian</w:t>
      </w:r>
      <w:r>
        <w:rPr>
          <w:b/>
          <w:spacing w:val="-4"/>
          <w:sz w:val="18"/>
        </w:rPr>
        <w:t> </w:t>
      </w:r>
      <w:r>
        <w:rPr>
          <w:b/>
          <w:sz w:val="18"/>
        </w:rPr>
        <w:t>Government</w:t>
      </w:r>
      <w:r>
        <w:rPr>
          <w:b/>
          <w:spacing w:val="-1"/>
          <w:sz w:val="18"/>
        </w:rPr>
        <w:t> </w:t>
      </w:r>
      <w:r>
        <w:rPr>
          <w:b/>
          <w:sz w:val="18"/>
        </w:rPr>
        <w:t>loan programs (continued)</w:t>
      </w:r>
    </w:p>
    <w:p>
      <w:pPr>
        <w:pStyle w:val="BodyText"/>
        <w:spacing w:before="11"/>
        <w:rPr>
          <w:b/>
          <w:sz w:val="19"/>
        </w:rPr>
      </w:pPr>
    </w:p>
    <w:tbl>
      <w:tblPr>
        <w:tblW w:w="0" w:type="auto"/>
        <w:jc w:val="left"/>
        <w:tblInd w:w="179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81"/>
        <w:gridCol w:w="2871"/>
        <w:gridCol w:w="572"/>
        <w:gridCol w:w="1636"/>
        <w:gridCol w:w="1381"/>
        <w:gridCol w:w="1383"/>
        <w:gridCol w:w="1127"/>
      </w:tblGrid>
      <w:tr>
        <w:trPr>
          <w:trHeight w:val="572" w:hRule="exact"/>
        </w:trPr>
        <w:tc>
          <w:tcPr>
            <w:tcW w:w="581" w:type="dxa"/>
          </w:tcPr>
          <w:p>
            <w:pPr>
              <w:pStyle w:val="TableParagraph"/>
              <w:spacing w:before="77"/>
              <w:ind w:left="35"/>
              <w:jc w:val="left"/>
              <w:rPr>
                <w:sz w:val="18"/>
              </w:rPr>
            </w:pPr>
            <w:r>
              <w:rPr>
                <w:sz w:val="18"/>
              </w:rPr>
              <w:t>(e)</w:t>
            </w:r>
          </w:p>
        </w:tc>
        <w:tc>
          <w:tcPr>
            <w:tcW w:w="2871" w:type="dxa"/>
          </w:tcPr>
          <w:p>
            <w:pPr>
              <w:pStyle w:val="TableParagraph"/>
              <w:spacing w:before="77"/>
              <w:ind w:left="20" w:right="-34"/>
              <w:jc w:val="left"/>
              <w:rPr>
                <w:sz w:val="18"/>
              </w:rPr>
            </w:pPr>
            <w:r>
              <w:rPr>
                <w:sz w:val="18"/>
              </w:rPr>
              <w:t>Other Capital Funding</w:t>
            </w:r>
          </w:p>
        </w:tc>
        <w:tc>
          <w:tcPr>
            <w:tcW w:w="572" w:type="dxa"/>
          </w:tcPr>
          <w:p>
            <w:pPr/>
          </w:p>
        </w:tc>
        <w:tc>
          <w:tcPr>
            <w:tcW w:w="3017" w:type="dxa"/>
            <w:gridSpan w:val="2"/>
          </w:tcPr>
          <w:p>
            <w:pPr>
              <w:pStyle w:val="TableParagraph"/>
              <w:jc w:val="left"/>
              <w:rPr>
                <w:b/>
                <w:sz w:val="18"/>
              </w:rPr>
            </w:pPr>
          </w:p>
          <w:p>
            <w:pPr>
              <w:pStyle w:val="TableParagraph"/>
              <w:spacing w:before="115"/>
              <w:ind w:left="829"/>
              <w:jc w:val="left"/>
              <w:rPr>
                <w:b/>
                <w:sz w:val="18"/>
              </w:rPr>
            </w:pPr>
            <w:r>
              <w:rPr>
                <w:b/>
                <w:sz w:val="18"/>
              </w:rPr>
              <w:t>Consolidated</w:t>
            </w:r>
          </w:p>
        </w:tc>
        <w:tc>
          <w:tcPr>
            <w:tcW w:w="1383" w:type="dxa"/>
          </w:tcPr>
          <w:p>
            <w:pPr>
              <w:pStyle w:val="TableParagraph"/>
              <w:jc w:val="left"/>
              <w:rPr>
                <w:b/>
                <w:sz w:val="18"/>
              </w:rPr>
            </w:pPr>
          </w:p>
          <w:p>
            <w:pPr>
              <w:pStyle w:val="TableParagraph"/>
              <w:spacing w:before="115"/>
              <w:ind w:left="866" w:right="-58"/>
              <w:jc w:val="left"/>
              <w:rPr>
                <w:b/>
                <w:sz w:val="18"/>
              </w:rPr>
            </w:pPr>
            <w:r>
              <w:rPr>
                <w:b/>
                <w:spacing w:val="-1"/>
                <w:sz w:val="18"/>
              </w:rPr>
              <w:t>Parent</w:t>
            </w:r>
          </w:p>
        </w:tc>
        <w:tc>
          <w:tcPr>
            <w:tcW w:w="1127" w:type="dxa"/>
          </w:tcPr>
          <w:p>
            <w:pPr/>
          </w:p>
        </w:tc>
      </w:tr>
      <w:tr>
        <w:trPr>
          <w:trHeight w:val="274" w:hRule="exact"/>
        </w:trPr>
        <w:tc>
          <w:tcPr>
            <w:tcW w:w="581" w:type="dxa"/>
          </w:tcPr>
          <w:p>
            <w:pPr/>
          </w:p>
        </w:tc>
        <w:tc>
          <w:tcPr>
            <w:tcW w:w="2871" w:type="dxa"/>
          </w:tcPr>
          <w:p>
            <w:pPr/>
          </w:p>
        </w:tc>
        <w:tc>
          <w:tcPr>
            <w:tcW w:w="572" w:type="dxa"/>
          </w:tcPr>
          <w:p>
            <w:pPr/>
          </w:p>
        </w:tc>
        <w:tc>
          <w:tcPr>
            <w:tcW w:w="1636" w:type="dxa"/>
          </w:tcPr>
          <w:p>
            <w:pPr>
              <w:pStyle w:val="TableParagraph"/>
              <w:spacing w:before="24"/>
              <w:ind w:left="615"/>
              <w:jc w:val="left"/>
              <w:rPr>
                <w:b/>
                <w:sz w:val="18"/>
              </w:rPr>
            </w:pPr>
            <w:r>
              <w:rPr>
                <w:b/>
                <w:sz w:val="18"/>
              </w:rPr>
              <w:t>2016</w:t>
            </w:r>
          </w:p>
        </w:tc>
        <w:tc>
          <w:tcPr>
            <w:tcW w:w="1381" w:type="dxa"/>
          </w:tcPr>
          <w:p>
            <w:pPr>
              <w:pStyle w:val="TableParagraph"/>
              <w:spacing w:before="24"/>
              <w:ind w:left="278"/>
              <w:jc w:val="left"/>
              <w:rPr>
                <w:b/>
                <w:sz w:val="18"/>
              </w:rPr>
            </w:pPr>
            <w:r>
              <w:rPr>
                <w:b/>
                <w:sz w:val="18"/>
              </w:rPr>
              <w:t>2015</w:t>
            </w:r>
          </w:p>
        </w:tc>
        <w:tc>
          <w:tcPr>
            <w:tcW w:w="1383" w:type="dxa"/>
          </w:tcPr>
          <w:p>
            <w:pPr>
              <w:pStyle w:val="TableParagraph"/>
              <w:spacing w:before="24"/>
              <w:ind w:left="362" w:right="-58"/>
              <w:jc w:val="left"/>
              <w:rPr>
                <w:b/>
                <w:sz w:val="18"/>
              </w:rPr>
            </w:pPr>
            <w:r>
              <w:rPr>
                <w:b/>
                <w:sz w:val="18"/>
              </w:rPr>
              <w:t>2016</w:t>
            </w:r>
          </w:p>
        </w:tc>
        <w:tc>
          <w:tcPr>
            <w:tcW w:w="1127" w:type="dxa"/>
          </w:tcPr>
          <w:p>
            <w:pPr>
              <w:pStyle w:val="TableParagraph"/>
              <w:spacing w:before="24"/>
              <w:ind w:left="278"/>
              <w:jc w:val="left"/>
              <w:rPr>
                <w:b/>
                <w:sz w:val="18"/>
              </w:rPr>
            </w:pPr>
            <w:r>
              <w:rPr>
                <w:b/>
                <w:sz w:val="18"/>
              </w:rPr>
              <w:t>2015</w:t>
            </w:r>
          </w:p>
        </w:tc>
      </w:tr>
      <w:tr>
        <w:trPr>
          <w:trHeight w:val="286" w:hRule="exact"/>
        </w:trPr>
        <w:tc>
          <w:tcPr>
            <w:tcW w:w="581" w:type="dxa"/>
          </w:tcPr>
          <w:p>
            <w:pPr/>
          </w:p>
        </w:tc>
        <w:tc>
          <w:tcPr>
            <w:tcW w:w="2871" w:type="dxa"/>
          </w:tcPr>
          <w:p>
            <w:pPr/>
          </w:p>
        </w:tc>
        <w:tc>
          <w:tcPr>
            <w:tcW w:w="572" w:type="dxa"/>
          </w:tcPr>
          <w:p>
            <w:pPr>
              <w:pStyle w:val="TableParagraph"/>
              <w:spacing w:before="24"/>
              <w:ind w:left="87" w:right="-18"/>
              <w:jc w:val="left"/>
              <w:rPr>
                <w:b/>
                <w:sz w:val="18"/>
              </w:rPr>
            </w:pPr>
            <w:r>
              <w:rPr>
                <w:b/>
                <w:sz w:val="18"/>
              </w:rPr>
              <w:t>Note</w:t>
            </w:r>
          </w:p>
        </w:tc>
        <w:tc>
          <w:tcPr>
            <w:tcW w:w="1636" w:type="dxa"/>
          </w:tcPr>
          <w:p>
            <w:pPr>
              <w:pStyle w:val="TableParagraph"/>
              <w:spacing w:before="24"/>
              <w:ind w:left="594"/>
              <w:jc w:val="left"/>
              <w:rPr>
                <w:b/>
                <w:sz w:val="18"/>
              </w:rPr>
            </w:pPr>
            <w:r>
              <w:rPr>
                <w:b/>
                <w:sz w:val="18"/>
              </w:rPr>
              <w:t>$'000</w:t>
            </w:r>
          </w:p>
        </w:tc>
        <w:tc>
          <w:tcPr>
            <w:tcW w:w="1381" w:type="dxa"/>
          </w:tcPr>
          <w:p>
            <w:pPr>
              <w:pStyle w:val="TableParagraph"/>
              <w:spacing w:before="24"/>
              <w:ind w:left="257"/>
              <w:jc w:val="left"/>
              <w:rPr>
                <w:b/>
                <w:sz w:val="18"/>
              </w:rPr>
            </w:pPr>
            <w:r>
              <w:rPr>
                <w:b/>
                <w:sz w:val="18"/>
              </w:rPr>
              <w:t>$'000</w:t>
            </w:r>
          </w:p>
        </w:tc>
        <w:tc>
          <w:tcPr>
            <w:tcW w:w="1383" w:type="dxa"/>
          </w:tcPr>
          <w:p>
            <w:pPr>
              <w:pStyle w:val="TableParagraph"/>
              <w:spacing w:before="24"/>
              <w:ind w:left="340" w:right="-58"/>
              <w:jc w:val="left"/>
              <w:rPr>
                <w:b/>
                <w:sz w:val="18"/>
              </w:rPr>
            </w:pPr>
            <w:r>
              <w:rPr>
                <w:b/>
                <w:sz w:val="18"/>
              </w:rPr>
              <w:t>$'000</w:t>
            </w:r>
          </w:p>
        </w:tc>
        <w:tc>
          <w:tcPr>
            <w:tcW w:w="1127" w:type="dxa"/>
          </w:tcPr>
          <w:p>
            <w:pPr>
              <w:pStyle w:val="TableParagraph"/>
              <w:spacing w:before="24"/>
              <w:ind w:left="257"/>
              <w:jc w:val="left"/>
              <w:rPr>
                <w:b/>
                <w:sz w:val="18"/>
              </w:rPr>
            </w:pPr>
            <w:r>
              <w:rPr>
                <w:b/>
                <w:sz w:val="18"/>
              </w:rPr>
              <w:t>$'000</w:t>
            </w:r>
          </w:p>
        </w:tc>
      </w:tr>
      <w:tr>
        <w:trPr>
          <w:trHeight w:val="280" w:hRule="exact"/>
        </w:trPr>
        <w:tc>
          <w:tcPr>
            <w:tcW w:w="581" w:type="dxa"/>
          </w:tcPr>
          <w:p>
            <w:pPr/>
          </w:p>
        </w:tc>
        <w:tc>
          <w:tcPr>
            <w:tcW w:w="2871" w:type="dxa"/>
          </w:tcPr>
          <w:p>
            <w:pPr>
              <w:pStyle w:val="TableParagraph"/>
              <w:spacing w:before="37"/>
              <w:ind w:left="43" w:right="-34"/>
              <w:jc w:val="left"/>
              <w:rPr>
                <w:sz w:val="18"/>
              </w:rPr>
            </w:pPr>
            <w:bookmarkStart w:name="(f) Australian Research Council ('ARC')" w:id="56"/>
            <w:bookmarkEnd w:id="56"/>
            <w:r>
              <w:rPr/>
            </w:r>
            <w:r>
              <w:rPr>
                <w:sz w:val="18"/>
              </w:rPr>
              <w:t>Education Investment Fund</w:t>
            </w:r>
          </w:p>
        </w:tc>
        <w:tc>
          <w:tcPr>
            <w:tcW w:w="572" w:type="dxa"/>
          </w:tcPr>
          <w:p>
            <w:pPr/>
          </w:p>
        </w:tc>
        <w:tc>
          <w:tcPr>
            <w:tcW w:w="1636" w:type="dxa"/>
            <w:tcBorders>
              <w:bottom w:val="single" w:sz="0" w:space="0" w:color="000000"/>
            </w:tcBorders>
          </w:tcPr>
          <w:p>
            <w:pPr>
              <w:pStyle w:val="TableParagraph"/>
              <w:spacing w:before="36"/>
              <w:ind w:right="261"/>
              <w:rPr>
                <w:b/>
                <w:sz w:val="18"/>
              </w:rPr>
            </w:pPr>
            <w:r>
              <w:rPr>
                <w:b/>
                <w:w w:val="99"/>
                <w:sz w:val="18"/>
              </w:rPr>
              <w:t>-</w:t>
            </w:r>
          </w:p>
        </w:tc>
        <w:tc>
          <w:tcPr>
            <w:tcW w:w="1381" w:type="dxa"/>
            <w:tcBorders>
              <w:bottom w:val="single" w:sz="0" w:space="0" w:color="000000"/>
            </w:tcBorders>
          </w:tcPr>
          <w:p>
            <w:pPr>
              <w:pStyle w:val="TableParagraph"/>
              <w:spacing w:before="36"/>
              <w:ind w:right="344"/>
              <w:rPr>
                <w:sz w:val="18"/>
              </w:rPr>
            </w:pPr>
            <w:r>
              <w:rPr>
                <w:sz w:val="18"/>
              </w:rPr>
              <w:t>100</w:t>
            </w:r>
          </w:p>
        </w:tc>
        <w:tc>
          <w:tcPr>
            <w:tcW w:w="1383" w:type="dxa"/>
            <w:tcBorders>
              <w:bottom w:val="single" w:sz="0" w:space="0" w:color="000000"/>
            </w:tcBorders>
          </w:tcPr>
          <w:p>
            <w:pPr>
              <w:pStyle w:val="TableParagraph"/>
              <w:spacing w:before="36"/>
              <w:ind w:right="261"/>
              <w:rPr>
                <w:b/>
                <w:sz w:val="18"/>
              </w:rPr>
            </w:pPr>
            <w:r>
              <w:rPr>
                <w:b/>
                <w:w w:val="99"/>
                <w:sz w:val="18"/>
              </w:rPr>
              <w:t>-</w:t>
            </w:r>
          </w:p>
        </w:tc>
        <w:tc>
          <w:tcPr>
            <w:tcW w:w="1127" w:type="dxa"/>
            <w:tcBorders>
              <w:bottom w:val="single" w:sz="0" w:space="0" w:color="000000"/>
            </w:tcBorders>
          </w:tcPr>
          <w:p>
            <w:pPr>
              <w:pStyle w:val="TableParagraph"/>
              <w:spacing w:before="36"/>
              <w:ind w:right="91"/>
              <w:rPr>
                <w:sz w:val="18"/>
              </w:rPr>
            </w:pPr>
            <w:r>
              <w:rPr>
                <w:sz w:val="18"/>
              </w:rPr>
              <w:t>100</w:t>
            </w:r>
          </w:p>
        </w:tc>
      </w:tr>
      <w:tr>
        <w:trPr>
          <w:trHeight w:val="353" w:hRule="exact"/>
        </w:trPr>
        <w:tc>
          <w:tcPr>
            <w:tcW w:w="581" w:type="dxa"/>
          </w:tcPr>
          <w:p>
            <w:pPr/>
          </w:p>
        </w:tc>
        <w:tc>
          <w:tcPr>
            <w:tcW w:w="2871" w:type="dxa"/>
          </w:tcPr>
          <w:p>
            <w:pPr>
              <w:pStyle w:val="TableParagraph"/>
              <w:spacing w:before="123"/>
              <w:ind w:left="43" w:right="-34"/>
              <w:jc w:val="left"/>
              <w:rPr>
                <w:b/>
                <w:sz w:val="18"/>
              </w:rPr>
            </w:pPr>
            <w:r>
              <w:rPr>
                <w:b/>
                <w:sz w:val="18"/>
              </w:rPr>
              <w:t>Total Other Capital Funding</w:t>
            </w:r>
          </w:p>
        </w:tc>
        <w:tc>
          <w:tcPr>
            <w:tcW w:w="572" w:type="dxa"/>
          </w:tcPr>
          <w:p>
            <w:pPr>
              <w:pStyle w:val="TableParagraph"/>
              <w:spacing w:before="38"/>
              <w:ind w:left="78" w:right="-18"/>
              <w:jc w:val="left"/>
              <w:rPr>
                <w:sz w:val="18"/>
              </w:rPr>
            </w:pPr>
            <w:r>
              <w:rPr>
                <w:sz w:val="18"/>
              </w:rPr>
              <w:t>40(e)</w:t>
            </w:r>
          </w:p>
        </w:tc>
        <w:tc>
          <w:tcPr>
            <w:tcW w:w="1636" w:type="dxa"/>
            <w:tcBorders>
              <w:top w:val="single" w:sz="0" w:space="0" w:color="000000"/>
              <w:bottom w:val="single" w:sz="0" w:space="0" w:color="000000"/>
            </w:tcBorders>
          </w:tcPr>
          <w:p>
            <w:pPr>
              <w:pStyle w:val="TableParagraph"/>
              <w:spacing w:before="122"/>
              <w:ind w:right="261"/>
              <w:rPr>
                <w:b/>
                <w:sz w:val="18"/>
              </w:rPr>
            </w:pPr>
            <w:r>
              <w:rPr>
                <w:b/>
                <w:w w:val="99"/>
                <w:sz w:val="18"/>
              </w:rPr>
              <w:t>-</w:t>
            </w:r>
          </w:p>
        </w:tc>
        <w:tc>
          <w:tcPr>
            <w:tcW w:w="1381" w:type="dxa"/>
            <w:tcBorders>
              <w:top w:val="single" w:sz="0" w:space="0" w:color="000000"/>
              <w:bottom w:val="single" w:sz="0" w:space="0" w:color="000000"/>
            </w:tcBorders>
          </w:tcPr>
          <w:p>
            <w:pPr>
              <w:pStyle w:val="TableParagraph"/>
              <w:spacing w:before="122"/>
              <w:ind w:right="344"/>
              <w:rPr>
                <w:sz w:val="18"/>
              </w:rPr>
            </w:pPr>
            <w:r>
              <w:rPr>
                <w:sz w:val="18"/>
              </w:rPr>
              <w:t>100</w:t>
            </w:r>
          </w:p>
        </w:tc>
        <w:tc>
          <w:tcPr>
            <w:tcW w:w="1383" w:type="dxa"/>
            <w:tcBorders>
              <w:top w:val="single" w:sz="0" w:space="0" w:color="000000"/>
              <w:bottom w:val="single" w:sz="0" w:space="0" w:color="000000"/>
            </w:tcBorders>
          </w:tcPr>
          <w:p>
            <w:pPr>
              <w:pStyle w:val="TableParagraph"/>
              <w:spacing w:before="122"/>
              <w:ind w:right="261"/>
              <w:rPr>
                <w:b/>
                <w:sz w:val="18"/>
              </w:rPr>
            </w:pPr>
            <w:r>
              <w:rPr>
                <w:b/>
                <w:w w:val="99"/>
                <w:sz w:val="18"/>
              </w:rPr>
              <w:t>-</w:t>
            </w:r>
          </w:p>
        </w:tc>
        <w:tc>
          <w:tcPr>
            <w:tcW w:w="1127" w:type="dxa"/>
            <w:tcBorders>
              <w:top w:val="single" w:sz="0" w:space="0" w:color="000000"/>
              <w:bottom w:val="single" w:sz="0" w:space="0" w:color="000000"/>
            </w:tcBorders>
          </w:tcPr>
          <w:p>
            <w:pPr>
              <w:pStyle w:val="TableParagraph"/>
              <w:spacing w:before="122"/>
              <w:ind w:right="91"/>
              <w:rPr>
                <w:sz w:val="18"/>
              </w:rPr>
            </w:pPr>
            <w:r>
              <w:rPr>
                <w:sz w:val="18"/>
              </w:rPr>
              <w:t>100</w:t>
            </w:r>
          </w:p>
        </w:tc>
      </w:tr>
      <w:tr>
        <w:trPr>
          <w:trHeight w:val="688" w:hRule="exact"/>
        </w:trPr>
        <w:tc>
          <w:tcPr>
            <w:tcW w:w="581" w:type="dxa"/>
          </w:tcPr>
          <w:p>
            <w:pPr>
              <w:pStyle w:val="TableParagraph"/>
              <w:jc w:val="left"/>
              <w:rPr>
                <w:b/>
                <w:sz w:val="18"/>
              </w:rPr>
            </w:pPr>
          </w:p>
          <w:p>
            <w:pPr>
              <w:pStyle w:val="TableParagraph"/>
              <w:spacing w:before="125"/>
              <w:ind w:left="35"/>
              <w:jc w:val="left"/>
              <w:rPr>
                <w:sz w:val="18"/>
              </w:rPr>
            </w:pPr>
            <w:r>
              <w:rPr>
                <w:sz w:val="18"/>
              </w:rPr>
              <w:t>(f)</w:t>
            </w:r>
          </w:p>
        </w:tc>
        <w:tc>
          <w:tcPr>
            <w:tcW w:w="2871" w:type="dxa"/>
          </w:tcPr>
          <w:p>
            <w:pPr>
              <w:pStyle w:val="TableParagraph"/>
              <w:jc w:val="left"/>
              <w:rPr>
                <w:b/>
                <w:sz w:val="18"/>
              </w:rPr>
            </w:pPr>
          </w:p>
          <w:p>
            <w:pPr>
              <w:pStyle w:val="TableParagraph"/>
              <w:spacing w:before="125"/>
              <w:ind w:left="20" w:right="-34"/>
              <w:jc w:val="left"/>
              <w:rPr>
                <w:sz w:val="18"/>
              </w:rPr>
            </w:pPr>
            <w:r>
              <w:rPr>
                <w:sz w:val="18"/>
              </w:rPr>
              <w:t>Australian Research Council</w:t>
            </w:r>
            <w:r>
              <w:rPr>
                <w:spacing w:val="-33"/>
                <w:sz w:val="18"/>
              </w:rPr>
              <w:t> </w:t>
            </w:r>
            <w:r>
              <w:rPr>
                <w:sz w:val="18"/>
              </w:rPr>
              <w:t>('ARC')</w:t>
            </w:r>
          </w:p>
        </w:tc>
        <w:tc>
          <w:tcPr>
            <w:tcW w:w="572" w:type="dxa"/>
          </w:tcPr>
          <w:p>
            <w:pPr/>
          </w:p>
        </w:tc>
        <w:tc>
          <w:tcPr>
            <w:tcW w:w="1636" w:type="dxa"/>
            <w:tcBorders>
              <w:top w:val="single" w:sz="0" w:space="0" w:color="000000"/>
            </w:tcBorders>
          </w:tcPr>
          <w:p>
            <w:pPr/>
          </w:p>
        </w:tc>
        <w:tc>
          <w:tcPr>
            <w:tcW w:w="1381" w:type="dxa"/>
            <w:tcBorders>
              <w:top w:val="single" w:sz="0" w:space="0" w:color="000000"/>
            </w:tcBorders>
          </w:tcPr>
          <w:p>
            <w:pPr/>
          </w:p>
        </w:tc>
        <w:tc>
          <w:tcPr>
            <w:tcW w:w="1383" w:type="dxa"/>
            <w:tcBorders>
              <w:top w:val="single" w:sz="0" w:space="0" w:color="000000"/>
            </w:tcBorders>
          </w:tcPr>
          <w:p>
            <w:pPr/>
          </w:p>
        </w:tc>
        <w:tc>
          <w:tcPr>
            <w:tcW w:w="1127" w:type="dxa"/>
            <w:tcBorders>
              <w:top w:val="single" w:sz="0" w:space="0" w:color="000000"/>
            </w:tcBorders>
          </w:tcPr>
          <w:p>
            <w:pPr/>
          </w:p>
        </w:tc>
      </w:tr>
      <w:tr>
        <w:trPr>
          <w:trHeight w:val="360" w:hRule="exact"/>
        </w:trPr>
        <w:tc>
          <w:tcPr>
            <w:tcW w:w="581" w:type="dxa"/>
          </w:tcPr>
          <w:p>
            <w:pPr/>
          </w:p>
        </w:tc>
        <w:tc>
          <w:tcPr>
            <w:tcW w:w="2871" w:type="dxa"/>
          </w:tcPr>
          <w:p>
            <w:pPr>
              <w:pStyle w:val="TableParagraph"/>
              <w:spacing w:before="129"/>
              <w:ind w:left="49" w:right="-34"/>
              <w:jc w:val="left"/>
              <w:rPr>
                <w:b/>
                <w:sz w:val="18"/>
              </w:rPr>
            </w:pPr>
            <w:r>
              <w:rPr>
                <w:b/>
                <w:sz w:val="18"/>
              </w:rPr>
              <w:t>(i) Discovery</w:t>
            </w:r>
          </w:p>
        </w:tc>
        <w:tc>
          <w:tcPr>
            <w:tcW w:w="572" w:type="dxa"/>
          </w:tcPr>
          <w:p>
            <w:pPr/>
          </w:p>
        </w:tc>
        <w:tc>
          <w:tcPr>
            <w:tcW w:w="1636" w:type="dxa"/>
          </w:tcPr>
          <w:p>
            <w:pPr/>
          </w:p>
        </w:tc>
        <w:tc>
          <w:tcPr>
            <w:tcW w:w="1381" w:type="dxa"/>
          </w:tcPr>
          <w:p>
            <w:pPr/>
          </w:p>
        </w:tc>
        <w:tc>
          <w:tcPr>
            <w:tcW w:w="1383" w:type="dxa"/>
          </w:tcPr>
          <w:p>
            <w:pPr/>
          </w:p>
        </w:tc>
        <w:tc>
          <w:tcPr>
            <w:tcW w:w="1127" w:type="dxa"/>
          </w:tcPr>
          <w:p>
            <w:pPr/>
          </w:p>
        </w:tc>
      </w:tr>
      <w:tr>
        <w:trPr>
          <w:trHeight w:val="250" w:hRule="exact"/>
        </w:trPr>
        <w:tc>
          <w:tcPr>
            <w:tcW w:w="581" w:type="dxa"/>
          </w:tcPr>
          <w:p>
            <w:pPr/>
          </w:p>
        </w:tc>
        <w:tc>
          <w:tcPr>
            <w:tcW w:w="2871" w:type="dxa"/>
          </w:tcPr>
          <w:p>
            <w:pPr>
              <w:pStyle w:val="TableParagraph"/>
              <w:spacing w:before="6"/>
              <w:ind w:left="49" w:right="-34"/>
              <w:jc w:val="left"/>
              <w:rPr>
                <w:sz w:val="18"/>
              </w:rPr>
            </w:pPr>
            <w:r>
              <w:rPr>
                <w:sz w:val="18"/>
              </w:rPr>
              <w:t>Projects</w:t>
            </w:r>
          </w:p>
        </w:tc>
        <w:tc>
          <w:tcPr>
            <w:tcW w:w="572" w:type="dxa"/>
          </w:tcPr>
          <w:p>
            <w:pPr/>
          </w:p>
        </w:tc>
        <w:tc>
          <w:tcPr>
            <w:tcW w:w="1636" w:type="dxa"/>
          </w:tcPr>
          <w:p>
            <w:pPr>
              <w:pStyle w:val="TableParagraph"/>
              <w:spacing w:before="4"/>
              <w:ind w:right="255"/>
              <w:rPr>
                <w:b/>
                <w:sz w:val="18"/>
              </w:rPr>
            </w:pPr>
            <w:r>
              <w:rPr>
                <w:b/>
                <w:sz w:val="18"/>
              </w:rPr>
              <w:t>4,433</w:t>
            </w:r>
          </w:p>
        </w:tc>
        <w:tc>
          <w:tcPr>
            <w:tcW w:w="1381" w:type="dxa"/>
          </w:tcPr>
          <w:p>
            <w:pPr>
              <w:pStyle w:val="TableParagraph"/>
              <w:spacing w:before="4"/>
              <w:ind w:right="338"/>
              <w:rPr>
                <w:sz w:val="18"/>
              </w:rPr>
            </w:pPr>
            <w:r>
              <w:rPr>
                <w:sz w:val="18"/>
              </w:rPr>
              <w:t>4,908</w:t>
            </w:r>
          </w:p>
        </w:tc>
        <w:tc>
          <w:tcPr>
            <w:tcW w:w="1383" w:type="dxa"/>
          </w:tcPr>
          <w:p>
            <w:pPr>
              <w:pStyle w:val="TableParagraph"/>
              <w:spacing w:before="4"/>
              <w:ind w:left="676" w:right="-58"/>
              <w:jc w:val="left"/>
              <w:rPr>
                <w:b/>
                <w:sz w:val="18"/>
              </w:rPr>
            </w:pPr>
            <w:r>
              <w:rPr>
                <w:b/>
                <w:sz w:val="18"/>
              </w:rPr>
              <w:t>4,433</w:t>
            </w:r>
          </w:p>
        </w:tc>
        <w:tc>
          <w:tcPr>
            <w:tcW w:w="1127" w:type="dxa"/>
          </w:tcPr>
          <w:p>
            <w:pPr>
              <w:pStyle w:val="TableParagraph"/>
              <w:spacing w:before="4"/>
              <w:ind w:right="85"/>
              <w:rPr>
                <w:sz w:val="18"/>
              </w:rPr>
            </w:pPr>
            <w:r>
              <w:rPr>
                <w:sz w:val="18"/>
              </w:rPr>
              <w:t>4,908</w:t>
            </w:r>
          </w:p>
        </w:tc>
      </w:tr>
      <w:tr>
        <w:trPr>
          <w:trHeight w:val="263" w:hRule="exact"/>
        </w:trPr>
        <w:tc>
          <w:tcPr>
            <w:tcW w:w="581" w:type="dxa"/>
          </w:tcPr>
          <w:p>
            <w:pPr/>
          </w:p>
        </w:tc>
        <w:tc>
          <w:tcPr>
            <w:tcW w:w="2871" w:type="dxa"/>
          </w:tcPr>
          <w:p>
            <w:pPr>
              <w:pStyle w:val="TableParagraph"/>
              <w:spacing w:before="19"/>
              <w:ind w:left="49" w:right="-34"/>
              <w:jc w:val="left"/>
              <w:rPr>
                <w:sz w:val="18"/>
              </w:rPr>
            </w:pPr>
            <w:r>
              <w:rPr>
                <w:sz w:val="18"/>
              </w:rPr>
              <w:t>Fellowships #5</w:t>
            </w:r>
          </w:p>
        </w:tc>
        <w:tc>
          <w:tcPr>
            <w:tcW w:w="572" w:type="dxa"/>
          </w:tcPr>
          <w:p>
            <w:pPr/>
          </w:p>
        </w:tc>
        <w:tc>
          <w:tcPr>
            <w:tcW w:w="1636" w:type="dxa"/>
          </w:tcPr>
          <w:p>
            <w:pPr>
              <w:pStyle w:val="TableParagraph"/>
              <w:spacing w:before="18"/>
              <w:ind w:right="255"/>
              <w:rPr>
                <w:b/>
                <w:sz w:val="18"/>
              </w:rPr>
            </w:pPr>
            <w:r>
              <w:rPr>
                <w:b/>
                <w:sz w:val="18"/>
              </w:rPr>
              <w:t>990</w:t>
            </w:r>
          </w:p>
        </w:tc>
        <w:tc>
          <w:tcPr>
            <w:tcW w:w="1381" w:type="dxa"/>
          </w:tcPr>
          <w:p>
            <w:pPr>
              <w:pStyle w:val="TableParagraph"/>
              <w:spacing w:before="18"/>
              <w:ind w:right="338"/>
              <w:rPr>
                <w:sz w:val="18"/>
              </w:rPr>
            </w:pPr>
            <w:r>
              <w:rPr>
                <w:sz w:val="18"/>
              </w:rPr>
              <w:t>1,237</w:t>
            </w:r>
          </w:p>
        </w:tc>
        <w:tc>
          <w:tcPr>
            <w:tcW w:w="1383" w:type="dxa"/>
          </w:tcPr>
          <w:p>
            <w:pPr>
              <w:pStyle w:val="TableParagraph"/>
              <w:spacing w:before="18"/>
              <w:ind w:left="826" w:right="-58"/>
              <w:jc w:val="left"/>
              <w:rPr>
                <w:b/>
                <w:sz w:val="18"/>
              </w:rPr>
            </w:pPr>
            <w:r>
              <w:rPr>
                <w:b/>
                <w:sz w:val="18"/>
              </w:rPr>
              <w:t>990</w:t>
            </w:r>
          </w:p>
        </w:tc>
        <w:tc>
          <w:tcPr>
            <w:tcW w:w="1127" w:type="dxa"/>
          </w:tcPr>
          <w:p>
            <w:pPr>
              <w:pStyle w:val="TableParagraph"/>
              <w:spacing w:before="18"/>
              <w:ind w:right="85"/>
              <w:rPr>
                <w:sz w:val="18"/>
              </w:rPr>
            </w:pPr>
            <w:r>
              <w:rPr>
                <w:sz w:val="18"/>
              </w:rPr>
              <w:t>1,237</w:t>
            </w:r>
          </w:p>
        </w:tc>
      </w:tr>
      <w:tr>
        <w:trPr>
          <w:trHeight w:val="467" w:hRule="exact"/>
        </w:trPr>
        <w:tc>
          <w:tcPr>
            <w:tcW w:w="581" w:type="dxa"/>
          </w:tcPr>
          <w:p>
            <w:pPr/>
          </w:p>
        </w:tc>
        <w:tc>
          <w:tcPr>
            <w:tcW w:w="2871" w:type="dxa"/>
          </w:tcPr>
          <w:p>
            <w:pPr>
              <w:pStyle w:val="TableParagraph"/>
              <w:spacing w:before="18"/>
              <w:ind w:left="49" w:right="-34"/>
              <w:jc w:val="left"/>
              <w:rPr>
                <w:sz w:val="18"/>
              </w:rPr>
            </w:pPr>
            <w:r>
              <w:rPr>
                <w:sz w:val="18"/>
              </w:rPr>
              <w:t>Indigenous Researchers Development</w:t>
            </w:r>
          </w:p>
        </w:tc>
        <w:tc>
          <w:tcPr>
            <w:tcW w:w="572" w:type="dxa"/>
          </w:tcPr>
          <w:p>
            <w:pPr/>
          </w:p>
        </w:tc>
        <w:tc>
          <w:tcPr>
            <w:tcW w:w="1636" w:type="dxa"/>
            <w:tcBorders>
              <w:bottom w:val="single" w:sz="0" w:space="0" w:color="000000"/>
            </w:tcBorders>
          </w:tcPr>
          <w:p>
            <w:pPr>
              <w:pStyle w:val="TableParagraph"/>
              <w:spacing w:before="4"/>
              <w:jc w:val="left"/>
              <w:rPr>
                <w:b/>
                <w:sz w:val="19"/>
              </w:rPr>
            </w:pPr>
          </w:p>
          <w:p>
            <w:pPr>
              <w:pStyle w:val="TableParagraph"/>
              <w:ind w:right="255"/>
              <w:rPr>
                <w:b/>
                <w:sz w:val="18"/>
              </w:rPr>
            </w:pPr>
            <w:r>
              <w:rPr>
                <w:b/>
                <w:w w:val="99"/>
                <w:sz w:val="18"/>
              </w:rPr>
              <w:t>-</w:t>
            </w:r>
          </w:p>
        </w:tc>
        <w:tc>
          <w:tcPr>
            <w:tcW w:w="1381" w:type="dxa"/>
            <w:tcBorders>
              <w:bottom w:val="single" w:sz="0" w:space="0" w:color="000000"/>
            </w:tcBorders>
          </w:tcPr>
          <w:p>
            <w:pPr>
              <w:pStyle w:val="TableParagraph"/>
              <w:spacing w:before="4"/>
              <w:jc w:val="left"/>
              <w:rPr>
                <w:b/>
                <w:sz w:val="19"/>
              </w:rPr>
            </w:pPr>
          </w:p>
          <w:p>
            <w:pPr>
              <w:pStyle w:val="TableParagraph"/>
              <w:ind w:right="338"/>
              <w:rPr>
                <w:sz w:val="18"/>
              </w:rPr>
            </w:pPr>
            <w:r>
              <w:rPr>
                <w:sz w:val="18"/>
              </w:rPr>
              <w:t>256</w:t>
            </w:r>
          </w:p>
        </w:tc>
        <w:tc>
          <w:tcPr>
            <w:tcW w:w="1383" w:type="dxa"/>
            <w:tcBorders>
              <w:bottom w:val="single" w:sz="0" w:space="0" w:color="000000"/>
            </w:tcBorders>
          </w:tcPr>
          <w:p>
            <w:pPr>
              <w:pStyle w:val="TableParagraph"/>
              <w:spacing w:before="4"/>
              <w:jc w:val="left"/>
              <w:rPr>
                <w:b/>
                <w:sz w:val="19"/>
              </w:rPr>
            </w:pPr>
          </w:p>
          <w:p>
            <w:pPr>
              <w:pStyle w:val="TableParagraph"/>
              <w:ind w:right="255"/>
              <w:rPr>
                <w:b/>
                <w:sz w:val="18"/>
              </w:rPr>
            </w:pPr>
            <w:r>
              <w:rPr>
                <w:b/>
                <w:w w:val="99"/>
                <w:sz w:val="18"/>
              </w:rPr>
              <w:t>-</w:t>
            </w:r>
          </w:p>
        </w:tc>
        <w:tc>
          <w:tcPr>
            <w:tcW w:w="1127" w:type="dxa"/>
            <w:tcBorders>
              <w:bottom w:val="single" w:sz="0" w:space="0" w:color="000000"/>
            </w:tcBorders>
          </w:tcPr>
          <w:p>
            <w:pPr>
              <w:pStyle w:val="TableParagraph"/>
              <w:spacing w:before="4"/>
              <w:jc w:val="left"/>
              <w:rPr>
                <w:b/>
                <w:sz w:val="19"/>
              </w:rPr>
            </w:pPr>
          </w:p>
          <w:p>
            <w:pPr>
              <w:pStyle w:val="TableParagraph"/>
              <w:ind w:right="85"/>
              <w:rPr>
                <w:sz w:val="18"/>
              </w:rPr>
            </w:pPr>
            <w:r>
              <w:rPr>
                <w:sz w:val="18"/>
              </w:rPr>
              <w:t>256</w:t>
            </w:r>
          </w:p>
        </w:tc>
      </w:tr>
      <w:tr>
        <w:trPr>
          <w:trHeight w:val="338" w:hRule="exact"/>
        </w:trPr>
        <w:tc>
          <w:tcPr>
            <w:tcW w:w="581" w:type="dxa"/>
          </w:tcPr>
          <w:p>
            <w:pPr/>
          </w:p>
        </w:tc>
        <w:tc>
          <w:tcPr>
            <w:tcW w:w="2871" w:type="dxa"/>
          </w:tcPr>
          <w:p>
            <w:pPr>
              <w:pStyle w:val="TableParagraph"/>
              <w:spacing w:before="123"/>
              <w:ind w:left="49" w:right="-34"/>
              <w:jc w:val="left"/>
              <w:rPr>
                <w:b/>
                <w:sz w:val="18"/>
              </w:rPr>
            </w:pPr>
            <w:r>
              <w:rPr>
                <w:b/>
                <w:sz w:val="18"/>
              </w:rPr>
              <w:t>Total Discovery</w:t>
            </w:r>
          </w:p>
        </w:tc>
        <w:tc>
          <w:tcPr>
            <w:tcW w:w="572" w:type="dxa"/>
          </w:tcPr>
          <w:p>
            <w:pPr>
              <w:pStyle w:val="TableParagraph"/>
              <w:spacing w:before="95"/>
              <w:ind w:left="20" w:right="-18"/>
              <w:jc w:val="left"/>
              <w:rPr>
                <w:sz w:val="18"/>
              </w:rPr>
            </w:pPr>
            <w:r>
              <w:rPr>
                <w:sz w:val="18"/>
              </w:rPr>
              <w:t>40(f)(i)</w:t>
            </w:r>
          </w:p>
        </w:tc>
        <w:tc>
          <w:tcPr>
            <w:tcW w:w="1636" w:type="dxa"/>
            <w:tcBorders>
              <w:top w:val="single" w:sz="0" w:space="0" w:color="000000"/>
              <w:bottom w:val="single" w:sz="0" w:space="0" w:color="000000"/>
            </w:tcBorders>
          </w:tcPr>
          <w:p>
            <w:pPr>
              <w:pStyle w:val="TableParagraph"/>
              <w:spacing w:before="122"/>
              <w:ind w:right="255"/>
              <w:rPr>
                <w:b/>
                <w:sz w:val="18"/>
              </w:rPr>
            </w:pPr>
            <w:r>
              <w:rPr>
                <w:b/>
                <w:sz w:val="18"/>
              </w:rPr>
              <w:t>5,423</w:t>
            </w:r>
          </w:p>
        </w:tc>
        <w:tc>
          <w:tcPr>
            <w:tcW w:w="1381" w:type="dxa"/>
            <w:tcBorders>
              <w:top w:val="single" w:sz="0" w:space="0" w:color="000000"/>
              <w:bottom w:val="single" w:sz="0" w:space="0" w:color="000000"/>
            </w:tcBorders>
          </w:tcPr>
          <w:p>
            <w:pPr>
              <w:pStyle w:val="TableParagraph"/>
              <w:spacing w:before="122"/>
              <w:ind w:right="338"/>
              <w:rPr>
                <w:sz w:val="18"/>
              </w:rPr>
            </w:pPr>
            <w:r>
              <w:rPr>
                <w:sz w:val="18"/>
              </w:rPr>
              <w:t>6,401</w:t>
            </w:r>
          </w:p>
        </w:tc>
        <w:tc>
          <w:tcPr>
            <w:tcW w:w="1383" w:type="dxa"/>
            <w:tcBorders>
              <w:top w:val="single" w:sz="0" w:space="0" w:color="000000"/>
              <w:bottom w:val="single" w:sz="0" w:space="0" w:color="000000"/>
            </w:tcBorders>
          </w:tcPr>
          <w:p>
            <w:pPr>
              <w:pStyle w:val="TableParagraph"/>
              <w:spacing w:before="122"/>
              <w:ind w:left="676" w:right="-58"/>
              <w:jc w:val="left"/>
              <w:rPr>
                <w:b/>
                <w:sz w:val="18"/>
              </w:rPr>
            </w:pPr>
            <w:r>
              <w:rPr>
                <w:b/>
                <w:sz w:val="18"/>
              </w:rPr>
              <w:t>5,423</w:t>
            </w:r>
          </w:p>
        </w:tc>
        <w:tc>
          <w:tcPr>
            <w:tcW w:w="1127" w:type="dxa"/>
            <w:tcBorders>
              <w:top w:val="single" w:sz="0" w:space="0" w:color="000000"/>
              <w:bottom w:val="single" w:sz="0" w:space="0" w:color="000000"/>
            </w:tcBorders>
          </w:tcPr>
          <w:p>
            <w:pPr>
              <w:pStyle w:val="TableParagraph"/>
              <w:spacing w:before="122"/>
              <w:ind w:right="85"/>
              <w:rPr>
                <w:sz w:val="18"/>
              </w:rPr>
            </w:pPr>
            <w:r>
              <w:rPr>
                <w:sz w:val="18"/>
              </w:rPr>
              <w:t>6,401</w:t>
            </w:r>
          </w:p>
        </w:tc>
      </w:tr>
      <w:tr>
        <w:trPr>
          <w:trHeight w:val="354" w:hRule="exact"/>
        </w:trPr>
        <w:tc>
          <w:tcPr>
            <w:tcW w:w="581" w:type="dxa"/>
          </w:tcPr>
          <w:p>
            <w:pPr/>
          </w:p>
        </w:tc>
        <w:tc>
          <w:tcPr>
            <w:tcW w:w="2871" w:type="dxa"/>
          </w:tcPr>
          <w:p>
            <w:pPr>
              <w:pStyle w:val="TableParagraph"/>
              <w:spacing w:before="123"/>
              <w:ind w:left="49" w:right="-34"/>
              <w:jc w:val="left"/>
              <w:rPr>
                <w:b/>
                <w:sz w:val="18"/>
              </w:rPr>
            </w:pPr>
            <w:r>
              <w:rPr>
                <w:b/>
                <w:sz w:val="18"/>
              </w:rPr>
              <w:t>(ii) Linkages</w:t>
            </w:r>
          </w:p>
        </w:tc>
        <w:tc>
          <w:tcPr>
            <w:tcW w:w="572" w:type="dxa"/>
          </w:tcPr>
          <w:p>
            <w:pPr/>
          </w:p>
        </w:tc>
        <w:tc>
          <w:tcPr>
            <w:tcW w:w="1636" w:type="dxa"/>
            <w:tcBorders>
              <w:top w:val="single" w:sz="0" w:space="0" w:color="000000"/>
            </w:tcBorders>
          </w:tcPr>
          <w:p>
            <w:pPr/>
          </w:p>
        </w:tc>
        <w:tc>
          <w:tcPr>
            <w:tcW w:w="1381" w:type="dxa"/>
            <w:tcBorders>
              <w:top w:val="single" w:sz="0" w:space="0" w:color="000000"/>
            </w:tcBorders>
          </w:tcPr>
          <w:p>
            <w:pPr/>
          </w:p>
        </w:tc>
        <w:tc>
          <w:tcPr>
            <w:tcW w:w="1383" w:type="dxa"/>
            <w:tcBorders>
              <w:top w:val="single" w:sz="0" w:space="0" w:color="000000"/>
            </w:tcBorders>
          </w:tcPr>
          <w:p>
            <w:pPr/>
          </w:p>
        </w:tc>
        <w:tc>
          <w:tcPr>
            <w:tcW w:w="1127" w:type="dxa"/>
            <w:tcBorders>
              <w:top w:val="single" w:sz="0" w:space="0" w:color="000000"/>
            </w:tcBorders>
          </w:tcPr>
          <w:p>
            <w:pPr/>
          </w:p>
        </w:tc>
      </w:tr>
      <w:tr>
        <w:trPr>
          <w:trHeight w:val="250" w:hRule="exact"/>
        </w:trPr>
        <w:tc>
          <w:tcPr>
            <w:tcW w:w="581" w:type="dxa"/>
          </w:tcPr>
          <w:p>
            <w:pPr/>
          </w:p>
        </w:tc>
        <w:tc>
          <w:tcPr>
            <w:tcW w:w="2871" w:type="dxa"/>
          </w:tcPr>
          <w:p>
            <w:pPr>
              <w:pStyle w:val="TableParagraph"/>
              <w:spacing w:before="6"/>
              <w:ind w:left="49" w:right="-34"/>
              <w:jc w:val="left"/>
              <w:rPr>
                <w:sz w:val="18"/>
              </w:rPr>
            </w:pPr>
            <w:r>
              <w:rPr>
                <w:sz w:val="18"/>
              </w:rPr>
              <w:t>Linkages - Infrastructure</w:t>
            </w:r>
          </w:p>
        </w:tc>
        <w:tc>
          <w:tcPr>
            <w:tcW w:w="572" w:type="dxa"/>
          </w:tcPr>
          <w:p>
            <w:pPr/>
          </w:p>
        </w:tc>
        <w:tc>
          <w:tcPr>
            <w:tcW w:w="1636" w:type="dxa"/>
          </w:tcPr>
          <w:p>
            <w:pPr>
              <w:pStyle w:val="TableParagraph"/>
              <w:spacing w:before="4"/>
              <w:ind w:right="255"/>
              <w:rPr>
                <w:b/>
                <w:sz w:val="18"/>
              </w:rPr>
            </w:pPr>
            <w:r>
              <w:rPr>
                <w:b/>
                <w:w w:val="99"/>
                <w:sz w:val="18"/>
              </w:rPr>
              <w:t>-</w:t>
            </w:r>
          </w:p>
        </w:tc>
        <w:tc>
          <w:tcPr>
            <w:tcW w:w="1381" w:type="dxa"/>
          </w:tcPr>
          <w:p>
            <w:pPr>
              <w:pStyle w:val="TableParagraph"/>
              <w:spacing w:before="4"/>
              <w:ind w:right="338"/>
              <w:rPr>
                <w:sz w:val="18"/>
              </w:rPr>
            </w:pPr>
            <w:r>
              <w:rPr>
                <w:sz w:val="18"/>
              </w:rPr>
              <w:t>18</w:t>
            </w:r>
          </w:p>
        </w:tc>
        <w:tc>
          <w:tcPr>
            <w:tcW w:w="1383" w:type="dxa"/>
          </w:tcPr>
          <w:p>
            <w:pPr>
              <w:pStyle w:val="TableParagraph"/>
              <w:spacing w:before="4"/>
              <w:ind w:right="255"/>
              <w:rPr>
                <w:b/>
                <w:sz w:val="18"/>
              </w:rPr>
            </w:pPr>
            <w:r>
              <w:rPr>
                <w:b/>
                <w:w w:val="99"/>
                <w:sz w:val="18"/>
              </w:rPr>
              <w:t>-</w:t>
            </w:r>
          </w:p>
        </w:tc>
        <w:tc>
          <w:tcPr>
            <w:tcW w:w="1127" w:type="dxa"/>
          </w:tcPr>
          <w:p>
            <w:pPr>
              <w:pStyle w:val="TableParagraph"/>
              <w:spacing w:before="4"/>
              <w:ind w:right="85"/>
              <w:rPr>
                <w:sz w:val="18"/>
              </w:rPr>
            </w:pPr>
            <w:r>
              <w:rPr>
                <w:sz w:val="18"/>
              </w:rPr>
              <w:t>18</w:t>
            </w:r>
          </w:p>
        </w:tc>
      </w:tr>
      <w:tr>
        <w:trPr>
          <w:trHeight w:val="262" w:hRule="exact"/>
        </w:trPr>
        <w:tc>
          <w:tcPr>
            <w:tcW w:w="581" w:type="dxa"/>
          </w:tcPr>
          <w:p>
            <w:pPr/>
          </w:p>
        </w:tc>
        <w:tc>
          <w:tcPr>
            <w:tcW w:w="2871" w:type="dxa"/>
          </w:tcPr>
          <w:p>
            <w:pPr>
              <w:pStyle w:val="TableParagraph"/>
              <w:spacing w:before="19"/>
              <w:ind w:left="49" w:right="-34"/>
              <w:jc w:val="left"/>
              <w:rPr>
                <w:sz w:val="18"/>
              </w:rPr>
            </w:pPr>
            <w:r>
              <w:rPr>
                <w:sz w:val="18"/>
              </w:rPr>
              <w:t>Projects</w:t>
            </w:r>
          </w:p>
        </w:tc>
        <w:tc>
          <w:tcPr>
            <w:tcW w:w="572" w:type="dxa"/>
          </w:tcPr>
          <w:p>
            <w:pPr/>
          </w:p>
        </w:tc>
        <w:tc>
          <w:tcPr>
            <w:tcW w:w="1636" w:type="dxa"/>
            <w:tcBorders>
              <w:bottom w:val="single" w:sz="0" w:space="0" w:color="000000"/>
            </w:tcBorders>
          </w:tcPr>
          <w:p>
            <w:pPr>
              <w:pStyle w:val="TableParagraph"/>
              <w:spacing w:before="18"/>
              <w:ind w:right="255"/>
              <w:rPr>
                <w:b/>
                <w:sz w:val="18"/>
              </w:rPr>
            </w:pPr>
            <w:r>
              <w:rPr>
                <w:b/>
                <w:sz w:val="18"/>
              </w:rPr>
              <w:t>1,146</w:t>
            </w:r>
          </w:p>
        </w:tc>
        <w:tc>
          <w:tcPr>
            <w:tcW w:w="1381" w:type="dxa"/>
            <w:tcBorders>
              <w:bottom w:val="single" w:sz="0" w:space="0" w:color="000000"/>
            </w:tcBorders>
          </w:tcPr>
          <w:p>
            <w:pPr>
              <w:pStyle w:val="TableParagraph"/>
              <w:spacing w:before="18"/>
              <w:ind w:right="338"/>
              <w:rPr>
                <w:sz w:val="18"/>
              </w:rPr>
            </w:pPr>
            <w:r>
              <w:rPr>
                <w:sz w:val="18"/>
              </w:rPr>
              <w:t>716</w:t>
            </w:r>
          </w:p>
        </w:tc>
        <w:tc>
          <w:tcPr>
            <w:tcW w:w="1383" w:type="dxa"/>
            <w:tcBorders>
              <w:bottom w:val="single" w:sz="0" w:space="0" w:color="000000"/>
            </w:tcBorders>
          </w:tcPr>
          <w:p>
            <w:pPr>
              <w:pStyle w:val="TableParagraph"/>
              <w:spacing w:before="18"/>
              <w:ind w:left="676" w:right="-58"/>
              <w:jc w:val="left"/>
              <w:rPr>
                <w:b/>
                <w:sz w:val="18"/>
              </w:rPr>
            </w:pPr>
            <w:r>
              <w:rPr>
                <w:b/>
                <w:sz w:val="18"/>
              </w:rPr>
              <w:t>1,146</w:t>
            </w:r>
          </w:p>
        </w:tc>
        <w:tc>
          <w:tcPr>
            <w:tcW w:w="1127" w:type="dxa"/>
            <w:tcBorders>
              <w:bottom w:val="single" w:sz="0" w:space="0" w:color="000000"/>
            </w:tcBorders>
          </w:tcPr>
          <w:p>
            <w:pPr>
              <w:pStyle w:val="TableParagraph"/>
              <w:spacing w:before="18"/>
              <w:ind w:right="85"/>
              <w:rPr>
                <w:sz w:val="18"/>
              </w:rPr>
            </w:pPr>
            <w:r>
              <w:rPr>
                <w:sz w:val="18"/>
              </w:rPr>
              <w:t>716</w:t>
            </w:r>
          </w:p>
        </w:tc>
      </w:tr>
      <w:tr>
        <w:trPr>
          <w:trHeight w:val="338" w:hRule="exact"/>
        </w:trPr>
        <w:tc>
          <w:tcPr>
            <w:tcW w:w="581" w:type="dxa"/>
          </w:tcPr>
          <w:p>
            <w:pPr/>
          </w:p>
        </w:tc>
        <w:tc>
          <w:tcPr>
            <w:tcW w:w="2871" w:type="dxa"/>
          </w:tcPr>
          <w:p>
            <w:pPr>
              <w:pStyle w:val="TableParagraph"/>
              <w:spacing w:before="123"/>
              <w:ind w:left="49" w:right="-34"/>
              <w:jc w:val="left"/>
              <w:rPr>
                <w:b/>
                <w:sz w:val="18"/>
              </w:rPr>
            </w:pPr>
            <w:r>
              <w:rPr>
                <w:b/>
                <w:sz w:val="18"/>
              </w:rPr>
              <w:t>Total Linkages</w:t>
            </w:r>
          </w:p>
        </w:tc>
        <w:tc>
          <w:tcPr>
            <w:tcW w:w="572" w:type="dxa"/>
          </w:tcPr>
          <w:p>
            <w:pPr>
              <w:pStyle w:val="TableParagraph"/>
              <w:spacing w:before="95"/>
              <w:ind w:right="-18"/>
              <w:jc w:val="left"/>
              <w:rPr>
                <w:sz w:val="18"/>
              </w:rPr>
            </w:pPr>
            <w:r>
              <w:rPr>
                <w:sz w:val="18"/>
              </w:rPr>
              <w:t>40(f)(ii)</w:t>
            </w:r>
          </w:p>
        </w:tc>
        <w:tc>
          <w:tcPr>
            <w:tcW w:w="1636" w:type="dxa"/>
            <w:tcBorders>
              <w:top w:val="single" w:sz="0" w:space="0" w:color="000000"/>
              <w:bottom w:val="single" w:sz="0" w:space="0" w:color="000000"/>
            </w:tcBorders>
          </w:tcPr>
          <w:p>
            <w:pPr>
              <w:pStyle w:val="TableParagraph"/>
              <w:spacing w:before="122"/>
              <w:ind w:right="255"/>
              <w:rPr>
                <w:b/>
                <w:sz w:val="18"/>
              </w:rPr>
            </w:pPr>
            <w:r>
              <w:rPr>
                <w:b/>
                <w:sz w:val="18"/>
              </w:rPr>
              <w:t>1,146</w:t>
            </w:r>
          </w:p>
        </w:tc>
        <w:tc>
          <w:tcPr>
            <w:tcW w:w="1381" w:type="dxa"/>
            <w:tcBorders>
              <w:top w:val="single" w:sz="0" w:space="0" w:color="000000"/>
              <w:bottom w:val="single" w:sz="0" w:space="0" w:color="000000"/>
            </w:tcBorders>
          </w:tcPr>
          <w:p>
            <w:pPr>
              <w:pStyle w:val="TableParagraph"/>
              <w:spacing w:before="122"/>
              <w:ind w:right="338"/>
              <w:rPr>
                <w:sz w:val="18"/>
              </w:rPr>
            </w:pPr>
            <w:r>
              <w:rPr>
                <w:sz w:val="18"/>
              </w:rPr>
              <w:t>734</w:t>
            </w:r>
          </w:p>
        </w:tc>
        <w:tc>
          <w:tcPr>
            <w:tcW w:w="1383" w:type="dxa"/>
            <w:tcBorders>
              <w:top w:val="single" w:sz="0" w:space="0" w:color="000000"/>
              <w:bottom w:val="single" w:sz="0" w:space="0" w:color="000000"/>
            </w:tcBorders>
          </w:tcPr>
          <w:p>
            <w:pPr>
              <w:pStyle w:val="TableParagraph"/>
              <w:spacing w:before="122"/>
              <w:ind w:left="676" w:right="-58"/>
              <w:jc w:val="left"/>
              <w:rPr>
                <w:b/>
                <w:sz w:val="18"/>
              </w:rPr>
            </w:pPr>
            <w:r>
              <w:rPr>
                <w:b/>
                <w:sz w:val="18"/>
              </w:rPr>
              <w:t>1,146</w:t>
            </w:r>
          </w:p>
        </w:tc>
        <w:tc>
          <w:tcPr>
            <w:tcW w:w="1127" w:type="dxa"/>
            <w:tcBorders>
              <w:top w:val="single" w:sz="0" w:space="0" w:color="000000"/>
              <w:bottom w:val="single" w:sz="0" w:space="0" w:color="000000"/>
            </w:tcBorders>
          </w:tcPr>
          <w:p>
            <w:pPr>
              <w:pStyle w:val="TableParagraph"/>
              <w:spacing w:before="122"/>
              <w:ind w:right="85"/>
              <w:rPr>
                <w:sz w:val="18"/>
              </w:rPr>
            </w:pPr>
            <w:r>
              <w:rPr>
                <w:sz w:val="18"/>
              </w:rPr>
              <w:t>734</w:t>
            </w:r>
          </w:p>
        </w:tc>
      </w:tr>
      <w:tr>
        <w:trPr>
          <w:trHeight w:val="354" w:hRule="exact"/>
        </w:trPr>
        <w:tc>
          <w:tcPr>
            <w:tcW w:w="581" w:type="dxa"/>
          </w:tcPr>
          <w:p>
            <w:pPr/>
          </w:p>
        </w:tc>
        <w:tc>
          <w:tcPr>
            <w:tcW w:w="2871" w:type="dxa"/>
          </w:tcPr>
          <w:p>
            <w:pPr>
              <w:pStyle w:val="TableParagraph"/>
              <w:spacing w:before="123"/>
              <w:ind w:left="49" w:right="-34"/>
              <w:jc w:val="left"/>
              <w:rPr>
                <w:b/>
                <w:sz w:val="18"/>
              </w:rPr>
            </w:pPr>
            <w:r>
              <w:rPr>
                <w:b/>
                <w:sz w:val="18"/>
              </w:rPr>
              <w:t>(iii) Networks and Centres</w:t>
            </w:r>
          </w:p>
        </w:tc>
        <w:tc>
          <w:tcPr>
            <w:tcW w:w="572" w:type="dxa"/>
          </w:tcPr>
          <w:p>
            <w:pPr/>
          </w:p>
        </w:tc>
        <w:tc>
          <w:tcPr>
            <w:tcW w:w="1636" w:type="dxa"/>
            <w:tcBorders>
              <w:top w:val="single" w:sz="0" w:space="0" w:color="000000"/>
            </w:tcBorders>
          </w:tcPr>
          <w:p>
            <w:pPr/>
          </w:p>
        </w:tc>
        <w:tc>
          <w:tcPr>
            <w:tcW w:w="1381" w:type="dxa"/>
            <w:tcBorders>
              <w:top w:val="single" w:sz="0" w:space="0" w:color="000000"/>
            </w:tcBorders>
          </w:tcPr>
          <w:p>
            <w:pPr/>
          </w:p>
        </w:tc>
        <w:tc>
          <w:tcPr>
            <w:tcW w:w="1383" w:type="dxa"/>
            <w:tcBorders>
              <w:top w:val="single" w:sz="0" w:space="0" w:color="000000"/>
            </w:tcBorders>
          </w:tcPr>
          <w:p>
            <w:pPr/>
          </w:p>
        </w:tc>
        <w:tc>
          <w:tcPr>
            <w:tcW w:w="1127" w:type="dxa"/>
            <w:tcBorders>
              <w:top w:val="single" w:sz="0" w:space="0" w:color="000000"/>
            </w:tcBorders>
          </w:tcPr>
          <w:p>
            <w:pPr/>
          </w:p>
        </w:tc>
      </w:tr>
      <w:tr>
        <w:trPr>
          <w:trHeight w:val="248" w:hRule="exact"/>
        </w:trPr>
        <w:tc>
          <w:tcPr>
            <w:tcW w:w="581" w:type="dxa"/>
          </w:tcPr>
          <w:p>
            <w:pPr/>
          </w:p>
        </w:tc>
        <w:tc>
          <w:tcPr>
            <w:tcW w:w="2871" w:type="dxa"/>
          </w:tcPr>
          <w:p>
            <w:pPr>
              <w:pStyle w:val="TableParagraph"/>
              <w:spacing w:before="6"/>
              <w:ind w:left="49" w:right="-34"/>
              <w:jc w:val="left"/>
              <w:rPr>
                <w:sz w:val="18"/>
              </w:rPr>
            </w:pPr>
            <w:r>
              <w:rPr>
                <w:sz w:val="18"/>
              </w:rPr>
              <w:t>Networks and Centres - Centres</w:t>
            </w:r>
          </w:p>
        </w:tc>
        <w:tc>
          <w:tcPr>
            <w:tcW w:w="572" w:type="dxa"/>
          </w:tcPr>
          <w:p>
            <w:pPr/>
          </w:p>
        </w:tc>
        <w:tc>
          <w:tcPr>
            <w:tcW w:w="1636" w:type="dxa"/>
            <w:tcBorders>
              <w:bottom w:val="single" w:sz="0" w:space="0" w:color="000000"/>
            </w:tcBorders>
          </w:tcPr>
          <w:p>
            <w:pPr>
              <w:pStyle w:val="TableParagraph"/>
              <w:spacing w:before="4"/>
              <w:ind w:right="255"/>
              <w:rPr>
                <w:b/>
                <w:sz w:val="18"/>
              </w:rPr>
            </w:pPr>
            <w:r>
              <w:rPr>
                <w:b/>
                <w:sz w:val="18"/>
              </w:rPr>
              <w:t>1,136</w:t>
            </w:r>
          </w:p>
        </w:tc>
        <w:tc>
          <w:tcPr>
            <w:tcW w:w="1381" w:type="dxa"/>
            <w:tcBorders>
              <w:bottom w:val="single" w:sz="0" w:space="0" w:color="000000"/>
            </w:tcBorders>
          </w:tcPr>
          <w:p>
            <w:pPr>
              <w:pStyle w:val="TableParagraph"/>
              <w:spacing w:before="4"/>
              <w:ind w:right="338"/>
              <w:rPr>
                <w:sz w:val="18"/>
              </w:rPr>
            </w:pPr>
            <w:r>
              <w:rPr>
                <w:sz w:val="18"/>
              </w:rPr>
              <w:t>1,069</w:t>
            </w:r>
          </w:p>
        </w:tc>
        <w:tc>
          <w:tcPr>
            <w:tcW w:w="1383" w:type="dxa"/>
            <w:tcBorders>
              <w:bottom w:val="single" w:sz="0" w:space="0" w:color="000000"/>
            </w:tcBorders>
          </w:tcPr>
          <w:p>
            <w:pPr>
              <w:pStyle w:val="TableParagraph"/>
              <w:spacing w:before="4"/>
              <w:ind w:left="676" w:right="-58"/>
              <w:jc w:val="left"/>
              <w:rPr>
                <w:b/>
                <w:sz w:val="18"/>
              </w:rPr>
            </w:pPr>
            <w:r>
              <w:rPr>
                <w:b/>
                <w:sz w:val="18"/>
              </w:rPr>
              <w:t>1,136</w:t>
            </w:r>
          </w:p>
        </w:tc>
        <w:tc>
          <w:tcPr>
            <w:tcW w:w="1127" w:type="dxa"/>
            <w:tcBorders>
              <w:bottom w:val="single" w:sz="0" w:space="0" w:color="000000"/>
            </w:tcBorders>
          </w:tcPr>
          <w:p>
            <w:pPr>
              <w:pStyle w:val="TableParagraph"/>
              <w:spacing w:before="4"/>
              <w:ind w:right="85"/>
              <w:rPr>
                <w:sz w:val="18"/>
              </w:rPr>
            </w:pPr>
            <w:r>
              <w:rPr>
                <w:sz w:val="18"/>
              </w:rPr>
              <w:t>1,069</w:t>
            </w:r>
          </w:p>
        </w:tc>
      </w:tr>
      <w:tr>
        <w:trPr>
          <w:trHeight w:val="338" w:hRule="exact"/>
        </w:trPr>
        <w:tc>
          <w:tcPr>
            <w:tcW w:w="581" w:type="dxa"/>
          </w:tcPr>
          <w:p>
            <w:pPr/>
          </w:p>
        </w:tc>
        <w:tc>
          <w:tcPr>
            <w:tcW w:w="2871" w:type="dxa"/>
          </w:tcPr>
          <w:p>
            <w:pPr>
              <w:pStyle w:val="TableParagraph"/>
              <w:spacing w:before="123"/>
              <w:ind w:left="49" w:right="-34"/>
              <w:jc w:val="left"/>
              <w:rPr>
                <w:b/>
                <w:sz w:val="18"/>
              </w:rPr>
            </w:pPr>
            <w:r>
              <w:rPr>
                <w:b/>
                <w:sz w:val="18"/>
              </w:rPr>
              <w:t>Total Networks and Centres</w:t>
            </w:r>
          </w:p>
        </w:tc>
        <w:tc>
          <w:tcPr>
            <w:tcW w:w="572" w:type="dxa"/>
          </w:tcPr>
          <w:p>
            <w:pPr/>
          </w:p>
        </w:tc>
        <w:tc>
          <w:tcPr>
            <w:tcW w:w="1636" w:type="dxa"/>
            <w:tcBorders>
              <w:top w:val="single" w:sz="0" w:space="0" w:color="000000"/>
              <w:bottom w:val="single" w:sz="0" w:space="0" w:color="000000"/>
            </w:tcBorders>
          </w:tcPr>
          <w:p>
            <w:pPr>
              <w:pStyle w:val="TableParagraph"/>
              <w:spacing w:before="122"/>
              <w:ind w:right="255"/>
              <w:rPr>
                <w:b/>
                <w:sz w:val="18"/>
              </w:rPr>
            </w:pPr>
            <w:r>
              <w:rPr>
                <w:b/>
                <w:sz w:val="18"/>
              </w:rPr>
              <w:t>1,136</w:t>
            </w:r>
          </w:p>
        </w:tc>
        <w:tc>
          <w:tcPr>
            <w:tcW w:w="1381" w:type="dxa"/>
            <w:tcBorders>
              <w:top w:val="single" w:sz="0" w:space="0" w:color="000000"/>
              <w:bottom w:val="single" w:sz="0" w:space="0" w:color="000000"/>
            </w:tcBorders>
          </w:tcPr>
          <w:p>
            <w:pPr>
              <w:pStyle w:val="TableParagraph"/>
              <w:spacing w:before="122"/>
              <w:ind w:right="338"/>
              <w:rPr>
                <w:sz w:val="18"/>
              </w:rPr>
            </w:pPr>
            <w:r>
              <w:rPr>
                <w:sz w:val="18"/>
              </w:rPr>
              <w:t>1,069</w:t>
            </w:r>
          </w:p>
        </w:tc>
        <w:tc>
          <w:tcPr>
            <w:tcW w:w="1383" w:type="dxa"/>
            <w:tcBorders>
              <w:top w:val="single" w:sz="0" w:space="0" w:color="000000"/>
              <w:bottom w:val="single" w:sz="0" w:space="0" w:color="000000"/>
            </w:tcBorders>
          </w:tcPr>
          <w:p>
            <w:pPr>
              <w:pStyle w:val="TableParagraph"/>
              <w:spacing w:before="122"/>
              <w:ind w:left="676" w:right="-58"/>
              <w:jc w:val="left"/>
              <w:rPr>
                <w:b/>
                <w:sz w:val="18"/>
              </w:rPr>
            </w:pPr>
            <w:r>
              <w:rPr>
                <w:b/>
                <w:sz w:val="18"/>
              </w:rPr>
              <w:t>1,136</w:t>
            </w:r>
          </w:p>
        </w:tc>
        <w:tc>
          <w:tcPr>
            <w:tcW w:w="1127" w:type="dxa"/>
            <w:tcBorders>
              <w:top w:val="single" w:sz="0" w:space="0" w:color="000000"/>
              <w:bottom w:val="single" w:sz="0" w:space="0" w:color="000000"/>
            </w:tcBorders>
          </w:tcPr>
          <w:p>
            <w:pPr>
              <w:pStyle w:val="TableParagraph"/>
              <w:spacing w:before="122"/>
              <w:ind w:right="85"/>
              <w:rPr>
                <w:sz w:val="18"/>
              </w:rPr>
            </w:pPr>
            <w:r>
              <w:rPr>
                <w:sz w:val="18"/>
              </w:rPr>
              <w:t>1,069</w:t>
            </w:r>
          </w:p>
        </w:tc>
      </w:tr>
      <w:tr>
        <w:trPr>
          <w:trHeight w:val="598" w:hRule="exact"/>
        </w:trPr>
        <w:tc>
          <w:tcPr>
            <w:tcW w:w="9551" w:type="dxa"/>
            <w:gridSpan w:val="7"/>
          </w:tcPr>
          <w:p>
            <w:pPr>
              <w:pStyle w:val="TableParagraph"/>
              <w:spacing w:line="192" w:lineRule="exact" w:before="123"/>
              <w:ind w:left="630"/>
              <w:jc w:val="left"/>
              <w:rPr>
                <w:b/>
                <w:sz w:val="18"/>
              </w:rPr>
            </w:pPr>
            <w:r>
              <w:rPr>
                <w:b/>
                <w:sz w:val="18"/>
              </w:rPr>
              <w:t>Total Networks and Centres and</w:t>
            </w:r>
          </w:p>
          <w:p>
            <w:pPr>
              <w:pStyle w:val="TableParagraph"/>
              <w:tabs>
                <w:tab w:pos="3432" w:val="left" w:leader="none"/>
                <w:tab w:pos="4953" w:val="left" w:leader="none"/>
                <w:tab w:pos="6250" w:val="left" w:leader="none"/>
                <w:tab w:pos="7717" w:val="left" w:leader="none"/>
                <w:tab w:pos="9014" w:val="left" w:leader="none"/>
              </w:tabs>
              <w:spacing w:line="222" w:lineRule="exact"/>
              <w:ind w:left="630"/>
              <w:jc w:val="left"/>
              <w:rPr>
                <w:sz w:val="18"/>
              </w:rPr>
            </w:pPr>
            <w:r>
              <w:rPr>
                <w:b/>
                <w:sz w:val="18"/>
              </w:rPr>
              <w:t>Special</w:t>
            </w:r>
            <w:r>
              <w:rPr>
                <w:b/>
                <w:spacing w:val="-2"/>
                <w:sz w:val="18"/>
              </w:rPr>
              <w:t> </w:t>
            </w:r>
            <w:r>
              <w:rPr>
                <w:b/>
                <w:sz w:val="18"/>
              </w:rPr>
              <w:t>Research</w:t>
            </w:r>
            <w:r>
              <w:rPr>
                <w:b/>
                <w:spacing w:val="-2"/>
                <w:sz w:val="18"/>
              </w:rPr>
              <w:t> </w:t>
            </w:r>
            <w:r>
              <w:rPr>
                <w:b/>
                <w:sz w:val="18"/>
              </w:rPr>
              <w:t>Initiatives</w:t>
              <w:tab/>
            </w:r>
            <w:r>
              <w:rPr>
                <w:spacing w:val="-3"/>
                <w:position w:val="3"/>
                <w:sz w:val="18"/>
              </w:rPr>
              <w:t>40(f)(iii)</w:t>
            </w:r>
            <w:r>
              <w:rPr>
                <w:rFonts w:ascii="Times New Roman"/>
                <w:spacing w:val="-3"/>
                <w:sz w:val="18"/>
                <w:u w:val="single"/>
              </w:rPr>
              <w:t> </w:t>
              <w:tab/>
            </w:r>
            <w:r>
              <w:rPr>
                <w:b/>
                <w:sz w:val="18"/>
                <w:u w:val="single"/>
              </w:rPr>
              <w:t>1,136</w:t>
              <w:tab/>
            </w:r>
            <w:r>
              <w:rPr>
                <w:sz w:val="18"/>
                <w:u w:val="single"/>
              </w:rPr>
              <w:t>1,069</w:t>
              <w:tab/>
            </w:r>
            <w:r>
              <w:rPr>
                <w:b/>
                <w:sz w:val="18"/>
                <w:u w:val="single"/>
              </w:rPr>
              <w:t>1,136</w:t>
              <w:tab/>
            </w:r>
            <w:r>
              <w:rPr>
                <w:sz w:val="18"/>
                <w:u w:val="single"/>
              </w:rPr>
              <w:t>1,069</w:t>
            </w:r>
          </w:p>
        </w:tc>
      </w:tr>
      <w:tr>
        <w:trPr>
          <w:trHeight w:val="300" w:hRule="exact"/>
        </w:trPr>
        <w:tc>
          <w:tcPr>
            <w:tcW w:w="3451" w:type="dxa"/>
            <w:gridSpan w:val="2"/>
          </w:tcPr>
          <w:p>
            <w:pPr>
              <w:pStyle w:val="TableParagraph"/>
              <w:spacing w:before="70"/>
              <w:ind w:left="630"/>
              <w:jc w:val="left"/>
              <w:rPr>
                <w:b/>
                <w:sz w:val="18"/>
              </w:rPr>
            </w:pPr>
            <w:r>
              <w:rPr>
                <w:b/>
                <w:sz w:val="18"/>
              </w:rPr>
              <w:t>Total ARC</w:t>
            </w:r>
          </w:p>
        </w:tc>
        <w:tc>
          <w:tcPr>
            <w:tcW w:w="572" w:type="dxa"/>
          </w:tcPr>
          <w:p>
            <w:pPr>
              <w:pStyle w:val="TableParagraph"/>
              <w:spacing w:before="42"/>
              <w:ind w:left="99" w:right="-18"/>
              <w:jc w:val="left"/>
              <w:rPr>
                <w:sz w:val="18"/>
              </w:rPr>
            </w:pPr>
            <w:r>
              <w:rPr>
                <w:sz w:val="18"/>
              </w:rPr>
              <w:t>40(f)</w:t>
            </w:r>
          </w:p>
        </w:tc>
        <w:tc>
          <w:tcPr>
            <w:tcW w:w="1636" w:type="dxa"/>
            <w:tcBorders>
              <w:bottom w:val="single" w:sz="0" w:space="0" w:color="000000"/>
            </w:tcBorders>
          </w:tcPr>
          <w:p>
            <w:pPr>
              <w:pStyle w:val="TableParagraph"/>
              <w:spacing w:before="70"/>
              <w:ind w:right="255"/>
              <w:rPr>
                <w:b/>
                <w:sz w:val="18"/>
              </w:rPr>
            </w:pPr>
            <w:r>
              <w:rPr>
                <w:b/>
                <w:sz w:val="18"/>
              </w:rPr>
              <w:t>7,705</w:t>
            </w:r>
          </w:p>
        </w:tc>
        <w:tc>
          <w:tcPr>
            <w:tcW w:w="1381" w:type="dxa"/>
            <w:tcBorders>
              <w:bottom w:val="single" w:sz="0" w:space="0" w:color="000000"/>
            </w:tcBorders>
          </w:tcPr>
          <w:p>
            <w:pPr>
              <w:pStyle w:val="TableParagraph"/>
              <w:spacing w:before="70"/>
              <w:ind w:right="338"/>
              <w:rPr>
                <w:sz w:val="18"/>
              </w:rPr>
            </w:pPr>
            <w:r>
              <w:rPr>
                <w:sz w:val="18"/>
              </w:rPr>
              <w:t>8,204</w:t>
            </w:r>
          </w:p>
        </w:tc>
        <w:tc>
          <w:tcPr>
            <w:tcW w:w="1383" w:type="dxa"/>
            <w:tcBorders>
              <w:bottom w:val="single" w:sz="0" w:space="0" w:color="000000"/>
            </w:tcBorders>
          </w:tcPr>
          <w:p>
            <w:pPr>
              <w:pStyle w:val="TableParagraph"/>
              <w:spacing w:before="70"/>
              <w:ind w:left="676" w:right="-58"/>
              <w:jc w:val="left"/>
              <w:rPr>
                <w:b/>
                <w:sz w:val="18"/>
              </w:rPr>
            </w:pPr>
            <w:r>
              <w:rPr>
                <w:b/>
                <w:sz w:val="18"/>
              </w:rPr>
              <w:t>7,705</w:t>
            </w:r>
          </w:p>
        </w:tc>
        <w:tc>
          <w:tcPr>
            <w:tcW w:w="1127" w:type="dxa"/>
            <w:tcBorders>
              <w:bottom w:val="single" w:sz="0" w:space="0" w:color="000000"/>
            </w:tcBorders>
          </w:tcPr>
          <w:p>
            <w:pPr>
              <w:pStyle w:val="TableParagraph"/>
              <w:spacing w:before="70"/>
              <w:ind w:right="85"/>
              <w:rPr>
                <w:sz w:val="18"/>
              </w:rPr>
            </w:pPr>
            <w:r>
              <w:rPr>
                <w:sz w:val="18"/>
              </w:rPr>
              <w:t>8,204</w:t>
            </w:r>
          </w:p>
        </w:tc>
      </w:tr>
    </w:tbl>
    <w:p>
      <w:pPr>
        <w:pStyle w:val="BodyText"/>
        <w:rPr>
          <w:b/>
          <w:sz w:val="20"/>
        </w:rPr>
      </w:pPr>
    </w:p>
    <w:p>
      <w:pPr>
        <w:pStyle w:val="BodyText"/>
        <w:spacing w:before="8"/>
        <w:rPr>
          <w:b/>
          <w:sz w:val="17"/>
        </w:rPr>
      </w:pPr>
    </w:p>
    <w:p>
      <w:pPr>
        <w:spacing w:before="1"/>
        <w:ind w:left="2390" w:right="1375" w:firstLine="0"/>
        <w:jc w:val="left"/>
        <w:rPr>
          <w:sz w:val="16"/>
        </w:rPr>
      </w:pPr>
      <w:r>
        <w:rPr>
          <w:sz w:val="16"/>
        </w:rPr>
        <w:t>#1 Includes the basic CGS grant amount, CGS - Regional Loading, CGS - Enabling Loading, Maths and Science Transition Loading and Full Fee Places Transition Loading.</w:t>
      </w:r>
    </w:p>
    <w:p>
      <w:pPr>
        <w:spacing w:before="112"/>
        <w:ind w:left="2390" w:right="0" w:firstLine="0"/>
        <w:jc w:val="left"/>
        <w:rPr>
          <w:sz w:val="16"/>
        </w:rPr>
      </w:pPr>
      <w:r>
        <w:rPr>
          <w:sz w:val="16"/>
        </w:rPr>
        <w:t>#2 Includes Equity Support Program</w:t>
      </w:r>
    </w:p>
    <w:p>
      <w:pPr>
        <w:spacing w:before="112"/>
        <w:ind w:left="2390" w:right="0" w:firstLine="0"/>
        <w:jc w:val="left"/>
        <w:rPr>
          <w:sz w:val="16"/>
        </w:rPr>
      </w:pPr>
      <w:r>
        <w:rPr>
          <w:sz w:val="16"/>
        </w:rPr>
        <w:t>#3 Program is in respect of FEE-HELP for Higher Education only and excludes funds received in respect of VET FEE-HELP</w:t>
      </w:r>
    </w:p>
    <w:p>
      <w:pPr>
        <w:spacing w:before="112"/>
        <w:ind w:left="2390" w:right="0" w:firstLine="0"/>
        <w:jc w:val="left"/>
        <w:rPr>
          <w:sz w:val="16"/>
        </w:rPr>
      </w:pPr>
      <w:r>
        <w:rPr>
          <w:sz w:val="16"/>
        </w:rPr>
        <w:t>#4 Includes Grandfathered Scholarships, National Priority and National Accommodation Priority Scholarships</w:t>
      </w:r>
    </w:p>
    <w:p>
      <w:pPr>
        <w:spacing w:before="112"/>
        <w:ind w:left="2390" w:right="0" w:firstLine="0"/>
        <w:jc w:val="left"/>
        <w:rPr>
          <w:sz w:val="16"/>
        </w:rPr>
      </w:pPr>
      <w:r>
        <w:rPr>
          <w:sz w:val="16"/>
        </w:rPr>
        <w:t>#5 Includes Early Career Researcher Award</w:t>
      </w:r>
    </w:p>
    <w:p>
      <w:pPr>
        <w:spacing w:after="0"/>
        <w:jc w:val="left"/>
        <w:rPr>
          <w:sz w:val="16"/>
        </w:rPr>
        <w:sectPr>
          <w:pgSz w:w="12750" w:h="17680"/>
          <w:pgMar w:header="0" w:footer="927" w:top="2640" w:bottom="1120" w:left="0" w:right="0"/>
        </w:sectPr>
      </w:pPr>
    </w:p>
    <w:p>
      <w:pPr>
        <w:pStyle w:val="BodyText"/>
        <w:rPr>
          <w:sz w:val="20"/>
        </w:rPr>
      </w:pPr>
    </w:p>
    <w:p>
      <w:pPr>
        <w:pStyle w:val="BodyText"/>
        <w:rPr>
          <w:sz w:val="20"/>
        </w:rPr>
      </w:pPr>
    </w:p>
    <w:p>
      <w:pPr>
        <w:pStyle w:val="BodyText"/>
        <w:spacing w:before="4"/>
      </w:pPr>
    </w:p>
    <w:p>
      <w:pPr>
        <w:pStyle w:val="Heading8"/>
        <w:tabs>
          <w:tab w:pos="2391" w:val="left" w:leader="none"/>
        </w:tabs>
        <w:ind w:left="2391" w:right="1774" w:hanging="568"/>
      </w:pPr>
      <w:bookmarkStart w:name="(g) Other Australian Government Financia" w:id="57"/>
      <w:bookmarkEnd w:id="57"/>
      <w:r>
        <w:rPr>
          <w:b w:val="0"/>
        </w:rPr>
      </w:r>
      <w:r>
        <w:rPr/>
        <w:t>2</w:t>
        <w:tab/>
        <w:t>Australian Government financial assistance including HECS-HELP and other</w:t>
      </w:r>
      <w:r>
        <w:rPr>
          <w:spacing w:val="-25"/>
        </w:rPr>
        <w:t> </w:t>
      </w:r>
      <w:r>
        <w:rPr/>
        <w:t>Australian</w:t>
      </w:r>
      <w:r>
        <w:rPr>
          <w:spacing w:val="-4"/>
        </w:rPr>
        <w:t> </w:t>
      </w:r>
      <w:r>
        <w:rPr/>
        <w:t>Government</w:t>
      </w:r>
      <w:r>
        <w:rPr>
          <w:spacing w:val="-1"/>
        </w:rPr>
        <w:t> </w:t>
      </w:r>
      <w:r>
        <w:rPr/>
        <w:t>loan programs (continued)</w:t>
      </w:r>
    </w:p>
    <w:p>
      <w:pPr>
        <w:pStyle w:val="BodyText"/>
        <w:spacing w:before="11"/>
        <w:rPr>
          <w:b/>
          <w:sz w:val="19"/>
        </w:rPr>
      </w:pPr>
    </w:p>
    <w:p>
      <w:pPr>
        <w:pStyle w:val="ListParagraph"/>
        <w:numPr>
          <w:ilvl w:val="0"/>
          <w:numId w:val="19"/>
        </w:numPr>
        <w:tabs>
          <w:tab w:pos="2392" w:val="left" w:leader="none"/>
        </w:tabs>
        <w:spacing w:line="240" w:lineRule="auto" w:before="77" w:after="0"/>
        <w:ind w:left="2391" w:right="0" w:hanging="566"/>
        <w:jc w:val="left"/>
        <w:rPr>
          <w:sz w:val="18"/>
        </w:rPr>
      </w:pPr>
      <w:r>
        <w:rPr>
          <w:sz w:val="18"/>
        </w:rPr>
        <w:t>Other</w:t>
      </w:r>
      <w:r>
        <w:rPr>
          <w:spacing w:val="-12"/>
          <w:sz w:val="18"/>
        </w:rPr>
        <w:t> </w:t>
      </w:r>
      <w:r>
        <w:rPr>
          <w:sz w:val="18"/>
        </w:rPr>
        <w:t>Australian</w:t>
      </w:r>
      <w:r>
        <w:rPr>
          <w:spacing w:val="-12"/>
          <w:sz w:val="18"/>
        </w:rPr>
        <w:t> </w:t>
      </w:r>
      <w:r>
        <w:rPr>
          <w:sz w:val="18"/>
        </w:rPr>
        <w:t>Government</w:t>
      </w:r>
      <w:r>
        <w:rPr>
          <w:spacing w:val="-12"/>
          <w:sz w:val="18"/>
        </w:rPr>
        <w:t> </w:t>
      </w:r>
      <w:r>
        <w:rPr>
          <w:sz w:val="18"/>
        </w:rPr>
        <w:t>Financial</w:t>
      </w:r>
      <w:r>
        <w:rPr>
          <w:spacing w:val="-12"/>
          <w:sz w:val="18"/>
        </w:rPr>
        <w:t> </w:t>
      </w:r>
      <w:r>
        <w:rPr>
          <w:sz w:val="18"/>
        </w:rPr>
        <w:t>Assistance</w:t>
      </w:r>
    </w:p>
    <w:p>
      <w:pPr>
        <w:pStyle w:val="Heading8"/>
        <w:tabs>
          <w:tab w:pos="9680" w:val="left" w:leader="none"/>
        </w:tabs>
        <w:spacing w:before="38"/>
        <w:ind w:left="6640"/>
      </w:pPr>
      <w:r>
        <w:rPr/>
        <w:t>Consolidated</w:t>
        <w:tab/>
        <w:t>Parent</w:t>
      </w:r>
    </w:p>
    <w:p>
      <w:pPr>
        <w:spacing w:after="0"/>
        <w:sectPr>
          <w:pgSz w:w="12750" w:h="17680"/>
          <w:pgMar w:header="0" w:footer="927" w:top="2640" w:bottom="1120" w:left="0" w:right="0"/>
        </w:sectPr>
      </w:pPr>
    </w:p>
    <w:p>
      <w:pPr>
        <w:spacing w:before="66"/>
        <w:ind w:left="0" w:right="19" w:firstLine="0"/>
        <w:jc w:val="right"/>
        <w:rPr>
          <w:b/>
          <w:sz w:val="18"/>
        </w:rPr>
      </w:pPr>
      <w:r>
        <w:rPr>
          <w:b/>
          <w:sz w:val="18"/>
        </w:rPr>
        <w:t>2016</w:t>
      </w:r>
    </w:p>
    <w:p>
      <w:pPr>
        <w:spacing w:before="66"/>
        <w:ind w:left="0" w:right="0" w:firstLine="0"/>
        <w:jc w:val="right"/>
        <w:rPr>
          <w:b/>
          <w:sz w:val="18"/>
        </w:rPr>
      </w:pPr>
      <w:r>
        <w:rPr>
          <w:b/>
          <w:sz w:val="18"/>
        </w:rPr>
        <w:t>$'000</w:t>
      </w:r>
    </w:p>
    <w:p>
      <w:pPr>
        <w:spacing w:before="66"/>
        <w:ind w:left="823" w:right="-16" w:firstLine="0"/>
        <w:jc w:val="left"/>
        <w:rPr>
          <w:b/>
          <w:sz w:val="18"/>
        </w:rPr>
      </w:pPr>
      <w:r>
        <w:rPr/>
        <w:br w:type="column"/>
      </w:r>
      <w:r>
        <w:rPr>
          <w:b/>
          <w:sz w:val="18"/>
        </w:rPr>
        <w:t>2015</w:t>
      </w:r>
    </w:p>
    <w:p>
      <w:pPr>
        <w:spacing w:before="66"/>
        <w:ind w:left="802" w:right="-16" w:firstLine="0"/>
        <w:jc w:val="left"/>
        <w:rPr>
          <w:b/>
          <w:sz w:val="18"/>
        </w:rPr>
      </w:pPr>
      <w:r>
        <w:rPr>
          <w:b/>
          <w:spacing w:val="-1"/>
          <w:sz w:val="18"/>
        </w:rPr>
        <w:t>$'000</w:t>
      </w:r>
    </w:p>
    <w:p>
      <w:pPr>
        <w:spacing w:before="66"/>
        <w:ind w:left="0" w:right="19" w:firstLine="0"/>
        <w:jc w:val="right"/>
        <w:rPr>
          <w:b/>
          <w:sz w:val="18"/>
        </w:rPr>
      </w:pPr>
      <w:r>
        <w:rPr/>
        <w:br w:type="column"/>
      </w:r>
      <w:r>
        <w:rPr>
          <w:b/>
          <w:sz w:val="18"/>
        </w:rPr>
        <w:t>2016</w:t>
      </w:r>
    </w:p>
    <w:p>
      <w:pPr>
        <w:spacing w:before="66"/>
        <w:ind w:left="0" w:right="0" w:firstLine="0"/>
        <w:jc w:val="right"/>
        <w:rPr>
          <w:b/>
          <w:sz w:val="18"/>
        </w:rPr>
      </w:pPr>
      <w:r>
        <w:rPr>
          <w:b/>
          <w:sz w:val="18"/>
        </w:rPr>
        <w:t>$'000</w:t>
      </w:r>
    </w:p>
    <w:p>
      <w:pPr>
        <w:spacing w:before="66"/>
        <w:ind w:left="823" w:right="0" w:firstLine="0"/>
        <w:jc w:val="left"/>
        <w:rPr>
          <w:b/>
          <w:sz w:val="18"/>
        </w:rPr>
      </w:pPr>
      <w:r>
        <w:rPr/>
        <w:br w:type="column"/>
      </w:r>
      <w:r>
        <w:rPr>
          <w:b/>
          <w:sz w:val="18"/>
        </w:rPr>
        <w:t>2015</w:t>
      </w:r>
    </w:p>
    <w:p>
      <w:pPr>
        <w:spacing w:before="66"/>
        <w:ind w:left="802" w:right="0" w:firstLine="0"/>
        <w:jc w:val="left"/>
        <w:rPr>
          <w:b/>
          <w:sz w:val="18"/>
        </w:rPr>
      </w:pPr>
      <w:r>
        <w:rPr>
          <w:b/>
          <w:sz w:val="18"/>
        </w:rPr>
        <w:t>$'000</w:t>
      </w:r>
    </w:p>
    <w:p>
      <w:pPr>
        <w:spacing w:after="0"/>
        <w:jc w:val="left"/>
        <w:rPr>
          <w:sz w:val="18"/>
        </w:rPr>
        <w:sectPr>
          <w:type w:val="continuous"/>
          <w:pgSz w:w="12750" w:h="17680"/>
          <w:pgMar w:top="1660" w:bottom="0" w:left="0" w:right="0"/>
          <w:cols w:num="4" w:equalWidth="0">
            <w:col w:w="6853" w:space="40"/>
            <w:col w:w="1245" w:space="40"/>
            <w:col w:w="1440" w:space="40"/>
            <w:col w:w="3092"/>
          </w:cols>
        </w:sectPr>
      </w:pPr>
    </w:p>
    <w:p>
      <w:pPr>
        <w:pStyle w:val="BodyText"/>
        <w:spacing w:before="6"/>
        <w:rPr>
          <w:b/>
          <w:sz w:val="8"/>
        </w:rPr>
      </w:pPr>
      <w:r>
        <w:rPr/>
        <w:drawing>
          <wp:anchor distT="0" distB="0" distL="0" distR="0" allowOverlap="1" layoutInCell="1" locked="0" behindDoc="0" simplePos="0" relativeHeight="2992">
            <wp:simplePos x="0" y="0"/>
            <wp:positionH relativeFrom="page">
              <wp:posOffset>-1587</wp:posOffset>
            </wp:positionH>
            <wp:positionV relativeFrom="page">
              <wp:posOffset>5534342</wp:posOffset>
            </wp:positionV>
            <wp:extent cx="135159" cy="154019"/>
            <wp:effectExtent l="0" t="0" r="0" b="0"/>
            <wp:wrapNone/>
            <wp:docPr id="159" name="image13.png" descr=""/>
            <wp:cNvGraphicFramePr>
              <a:graphicFrameLocks noChangeAspect="1"/>
            </wp:cNvGraphicFramePr>
            <a:graphic>
              <a:graphicData uri="http://schemas.openxmlformats.org/drawingml/2006/picture">
                <pic:pic>
                  <pic:nvPicPr>
                    <pic:cNvPr id="160" name="image13.png"/>
                    <pic:cNvPicPr/>
                  </pic:nvPicPr>
                  <pic:blipFill>
                    <a:blip r:embed="rId18" cstate="print"/>
                    <a:stretch>
                      <a:fillRect/>
                    </a:stretch>
                  </pic:blipFill>
                  <pic:spPr>
                    <a:xfrm>
                      <a:off x="0" y="0"/>
                      <a:ext cx="135159" cy="154019"/>
                    </a:xfrm>
                    <a:prstGeom prst="rect">
                      <a:avLst/>
                    </a:prstGeom>
                  </pic:spPr>
                </pic:pic>
              </a:graphicData>
            </a:graphic>
          </wp:anchor>
        </w:drawing>
      </w:r>
      <w:r>
        <w:rPr/>
        <w:drawing>
          <wp:anchor distT="0" distB="0" distL="0" distR="0" allowOverlap="1" layoutInCell="1" locked="0" behindDoc="0" simplePos="0" relativeHeight="3016">
            <wp:simplePos x="0" y="0"/>
            <wp:positionH relativeFrom="page">
              <wp:posOffset>7958429</wp:posOffset>
            </wp:positionH>
            <wp:positionV relativeFrom="page">
              <wp:posOffset>5534342</wp:posOffset>
            </wp:positionV>
            <wp:extent cx="135953" cy="155575"/>
            <wp:effectExtent l="0" t="0" r="0" b="0"/>
            <wp:wrapNone/>
            <wp:docPr id="161" name="image15.png" descr=""/>
            <wp:cNvGraphicFramePr>
              <a:graphicFrameLocks noChangeAspect="1"/>
            </wp:cNvGraphicFramePr>
            <a:graphic>
              <a:graphicData uri="http://schemas.openxmlformats.org/drawingml/2006/picture">
                <pic:pic>
                  <pic:nvPicPr>
                    <pic:cNvPr id="162" name="image15.png"/>
                    <pic:cNvPicPr/>
                  </pic:nvPicPr>
                  <pic:blipFill>
                    <a:blip r:embed="rId20" cstate="print"/>
                    <a:stretch>
                      <a:fillRect/>
                    </a:stretch>
                  </pic:blipFill>
                  <pic:spPr>
                    <a:xfrm>
                      <a:off x="0" y="0"/>
                      <a:ext cx="135953" cy="155575"/>
                    </a:xfrm>
                    <a:prstGeom prst="rect">
                      <a:avLst/>
                    </a:prstGeom>
                  </pic:spPr>
                </pic:pic>
              </a:graphicData>
            </a:graphic>
          </wp:anchor>
        </w:drawing>
      </w:r>
    </w:p>
    <w:tbl>
      <w:tblPr>
        <w:tblW w:w="0" w:type="auto"/>
        <w:jc w:val="left"/>
        <w:tblInd w:w="237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435"/>
        <w:gridCol w:w="1753"/>
        <w:gridCol w:w="1432"/>
        <w:gridCol w:w="1332"/>
        <w:gridCol w:w="1011"/>
      </w:tblGrid>
      <w:tr>
        <w:trPr>
          <w:trHeight w:val="558" w:hRule="exact"/>
        </w:trPr>
        <w:tc>
          <w:tcPr>
            <w:tcW w:w="3435" w:type="dxa"/>
          </w:tcPr>
          <w:p>
            <w:pPr>
              <w:pStyle w:val="TableParagraph"/>
              <w:spacing w:before="77"/>
              <w:ind w:left="35" w:right="538"/>
              <w:jc w:val="left"/>
              <w:rPr>
                <w:b/>
                <w:sz w:val="18"/>
              </w:rPr>
            </w:pPr>
            <w:r>
              <w:rPr>
                <w:b/>
                <w:sz w:val="18"/>
              </w:rPr>
              <w:t>Non-capital</w:t>
            </w:r>
          </w:p>
          <w:p>
            <w:pPr>
              <w:pStyle w:val="TableParagraph"/>
              <w:spacing w:before="29"/>
              <w:ind w:left="35" w:right="538"/>
              <w:jc w:val="left"/>
              <w:rPr>
                <w:sz w:val="18"/>
              </w:rPr>
            </w:pPr>
            <w:r>
              <w:rPr>
                <w:sz w:val="18"/>
              </w:rPr>
              <w:t>Department of Health</w:t>
            </w:r>
          </w:p>
        </w:tc>
        <w:tc>
          <w:tcPr>
            <w:tcW w:w="1753" w:type="dxa"/>
          </w:tcPr>
          <w:p>
            <w:pPr>
              <w:pStyle w:val="TableParagraph"/>
              <w:jc w:val="left"/>
              <w:rPr>
                <w:b/>
                <w:sz w:val="18"/>
              </w:rPr>
            </w:pPr>
          </w:p>
          <w:p>
            <w:pPr>
              <w:pStyle w:val="TableParagraph"/>
              <w:spacing w:before="105"/>
              <w:ind w:right="372"/>
              <w:rPr>
                <w:b/>
                <w:sz w:val="18"/>
              </w:rPr>
            </w:pPr>
            <w:r>
              <w:rPr>
                <w:b/>
                <w:sz w:val="18"/>
              </w:rPr>
              <w:t>3,649</w:t>
            </w:r>
          </w:p>
        </w:tc>
        <w:tc>
          <w:tcPr>
            <w:tcW w:w="1432" w:type="dxa"/>
          </w:tcPr>
          <w:p>
            <w:pPr>
              <w:pStyle w:val="TableParagraph"/>
              <w:jc w:val="left"/>
              <w:rPr>
                <w:b/>
                <w:sz w:val="18"/>
              </w:rPr>
            </w:pPr>
          </w:p>
          <w:p>
            <w:pPr>
              <w:pStyle w:val="TableParagraph"/>
              <w:spacing w:before="105"/>
              <w:ind w:right="506"/>
              <w:rPr>
                <w:sz w:val="18"/>
              </w:rPr>
            </w:pPr>
            <w:r>
              <w:rPr>
                <w:sz w:val="18"/>
              </w:rPr>
              <w:t>6,491</w:t>
            </w:r>
          </w:p>
        </w:tc>
        <w:tc>
          <w:tcPr>
            <w:tcW w:w="1332" w:type="dxa"/>
          </w:tcPr>
          <w:p>
            <w:pPr>
              <w:pStyle w:val="TableParagraph"/>
              <w:jc w:val="left"/>
              <w:rPr>
                <w:b/>
                <w:sz w:val="18"/>
              </w:rPr>
            </w:pPr>
          </w:p>
          <w:p>
            <w:pPr>
              <w:pStyle w:val="TableParagraph"/>
              <w:spacing w:before="105"/>
              <w:ind w:right="372"/>
              <w:rPr>
                <w:b/>
                <w:sz w:val="18"/>
              </w:rPr>
            </w:pPr>
            <w:r>
              <w:rPr>
                <w:b/>
                <w:sz w:val="18"/>
              </w:rPr>
              <w:t>3,649</w:t>
            </w:r>
          </w:p>
        </w:tc>
        <w:tc>
          <w:tcPr>
            <w:tcW w:w="1011" w:type="dxa"/>
          </w:tcPr>
          <w:p>
            <w:pPr>
              <w:pStyle w:val="TableParagraph"/>
              <w:jc w:val="left"/>
              <w:rPr>
                <w:b/>
                <w:sz w:val="18"/>
              </w:rPr>
            </w:pPr>
          </w:p>
          <w:p>
            <w:pPr>
              <w:pStyle w:val="TableParagraph"/>
              <w:spacing w:before="105"/>
              <w:ind w:right="85"/>
              <w:rPr>
                <w:sz w:val="18"/>
              </w:rPr>
            </w:pPr>
            <w:r>
              <w:rPr>
                <w:sz w:val="18"/>
              </w:rPr>
              <w:t>6,491</w:t>
            </w:r>
          </w:p>
        </w:tc>
      </w:tr>
      <w:tr>
        <w:trPr>
          <w:trHeight w:val="263" w:hRule="exact"/>
        </w:trPr>
        <w:tc>
          <w:tcPr>
            <w:tcW w:w="3435" w:type="dxa"/>
          </w:tcPr>
          <w:p>
            <w:pPr>
              <w:pStyle w:val="TableParagraph"/>
              <w:spacing w:before="19"/>
              <w:ind w:left="35" w:right="538"/>
              <w:jc w:val="left"/>
              <w:rPr>
                <w:sz w:val="18"/>
              </w:rPr>
            </w:pPr>
            <w:r>
              <w:rPr>
                <w:sz w:val="18"/>
              </w:rPr>
              <w:t>Away-from-base assistance</w:t>
            </w:r>
          </w:p>
        </w:tc>
        <w:tc>
          <w:tcPr>
            <w:tcW w:w="1753" w:type="dxa"/>
          </w:tcPr>
          <w:p>
            <w:pPr>
              <w:pStyle w:val="TableParagraph"/>
              <w:spacing w:before="18"/>
              <w:ind w:right="373"/>
              <w:rPr>
                <w:b/>
                <w:sz w:val="18"/>
              </w:rPr>
            </w:pPr>
            <w:r>
              <w:rPr>
                <w:b/>
                <w:sz w:val="18"/>
              </w:rPr>
              <w:t>404</w:t>
            </w:r>
          </w:p>
        </w:tc>
        <w:tc>
          <w:tcPr>
            <w:tcW w:w="1432" w:type="dxa"/>
          </w:tcPr>
          <w:p>
            <w:pPr>
              <w:pStyle w:val="TableParagraph"/>
              <w:spacing w:before="18"/>
              <w:ind w:right="506"/>
              <w:rPr>
                <w:sz w:val="18"/>
              </w:rPr>
            </w:pPr>
            <w:r>
              <w:rPr>
                <w:sz w:val="18"/>
              </w:rPr>
              <w:t>389</w:t>
            </w:r>
          </w:p>
        </w:tc>
        <w:tc>
          <w:tcPr>
            <w:tcW w:w="1332" w:type="dxa"/>
          </w:tcPr>
          <w:p>
            <w:pPr>
              <w:pStyle w:val="TableParagraph"/>
              <w:spacing w:before="18"/>
              <w:ind w:right="373"/>
              <w:rPr>
                <w:b/>
                <w:sz w:val="18"/>
              </w:rPr>
            </w:pPr>
            <w:r>
              <w:rPr>
                <w:b/>
                <w:sz w:val="18"/>
              </w:rPr>
              <w:t>404</w:t>
            </w:r>
          </w:p>
        </w:tc>
        <w:tc>
          <w:tcPr>
            <w:tcW w:w="1011" w:type="dxa"/>
          </w:tcPr>
          <w:p>
            <w:pPr>
              <w:pStyle w:val="TableParagraph"/>
              <w:spacing w:before="18"/>
              <w:ind w:right="85"/>
              <w:rPr>
                <w:sz w:val="18"/>
              </w:rPr>
            </w:pPr>
            <w:r>
              <w:rPr>
                <w:sz w:val="18"/>
              </w:rPr>
              <w:t>389</w:t>
            </w:r>
          </w:p>
        </w:tc>
      </w:tr>
      <w:tr>
        <w:trPr>
          <w:trHeight w:val="468" w:hRule="exact"/>
        </w:trPr>
        <w:tc>
          <w:tcPr>
            <w:tcW w:w="3435" w:type="dxa"/>
          </w:tcPr>
          <w:p>
            <w:pPr>
              <w:pStyle w:val="TableParagraph"/>
              <w:spacing w:before="18"/>
              <w:ind w:left="35" w:right="538"/>
              <w:jc w:val="left"/>
              <w:rPr>
                <w:sz w:val="18"/>
              </w:rPr>
            </w:pPr>
            <w:r>
              <w:rPr>
                <w:sz w:val="18"/>
              </w:rPr>
              <w:t>Indigenous Tutorial Assistance Scheme</w:t>
            </w:r>
          </w:p>
        </w:tc>
        <w:tc>
          <w:tcPr>
            <w:tcW w:w="1753" w:type="dxa"/>
          </w:tcPr>
          <w:p>
            <w:pPr>
              <w:pStyle w:val="TableParagraph"/>
              <w:spacing w:before="4"/>
              <w:jc w:val="left"/>
              <w:rPr>
                <w:b/>
                <w:sz w:val="19"/>
              </w:rPr>
            </w:pPr>
          </w:p>
          <w:p>
            <w:pPr>
              <w:pStyle w:val="TableParagraph"/>
              <w:ind w:right="373"/>
              <w:rPr>
                <w:b/>
                <w:sz w:val="18"/>
              </w:rPr>
            </w:pPr>
            <w:r>
              <w:rPr>
                <w:b/>
                <w:sz w:val="18"/>
              </w:rPr>
              <w:t>480</w:t>
            </w:r>
          </w:p>
        </w:tc>
        <w:tc>
          <w:tcPr>
            <w:tcW w:w="1432" w:type="dxa"/>
          </w:tcPr>
          <w:p>
            <w:pPr>
              <w:pStyle w:val="TableParagraph"/>
              <w:spacing w:before="4"/>
              <w:jc w:val="left"/>
              <w:rPr>
                <w:b/>
                <w:sz w:val="19"/>
              </w:rPr>
            </w:pPr>
          </w:p>
          <w:p>
            <w:pPr>
              <w:pStyle w:val="TableParagraph"/>
              <w:ind w:right="506"/>
              <w:rPr>
                <w:sz w:val="18"/>
              </w:rPr>
            </w:pPr>
            <w:r>
              <w:rPr>
                <w:sz w:val="18"/>
              </w:rPr>
              <w:t>372</w:t>
            </w:r>
          </w:p>
        </w:tc>
        <w:tc>
          <w:tcPr>
            <w:tcW w:w="1332" w:type="dxa"/>
          </w:tcPr>
          <w:p>
            <w:pPr>
              <w:pStyle w:val="TableParagraph"/>
              <w:spacing w:before="4"/>
              <w:jc w:val="left"/>
              <w:rPr>
                <w:b/>
                <w:sz w:val="19"/>
              </w:rPr>
            </w:pPr>
          </w:p>
          <w:p>
            <w:pPr>
              <w:pStyle w:val="TableParagraph"/>
              <w:ind w:right="373"/>
              <w:rPr>
                <w:b/>
                <w:sz w:val="18"/>
              </w:rPr>
            </w:pPr>
            <w:r>
              <w:rPr>
                <w:b/>
                <w:sz w:val="18"/>
              </w:rPr>
              <w:t>480</w:t>
            </w:r>
          </w:p>
        </w:tc>
        <w:tc>
          <w:tcPr>
            <w:tcW w:w="1011" w:type="dxa"/>
          </w:tcPr>
          <w:p>
            <w:pPr>
              <w:pStyle w:val="TableParagraph"/>
              <w:spacing w:before="4"/>
              <w:jc w:val="left"/>
              <w:rPr>
                <w:b/>
                <w:sz w:val="19"/>
              </w:rPr>
            </w:pPr>
          </w:p>
          <w:p>
            <w:pPr>
              <w:pStyle w:val="TableParagraph"/>
              <w:ind w:right="85"/>
              <w:rPr>
                <w:sz w:val="18"/>
              </w:rPr>
            </w:pPr>
            <w:r>
              <w:rPr>
                <w:sz w:val="18"/>
              </w:rPr>
              <w:t>372</w:t>
            </w:r>
          </w:p>
        </w:tc>
      </w:tr>
      <w:tr>
        <w:trPr>
          <w:trHeight w:val="468" w:hRule="exact"/>
        </w:trPr>
        <w:tc>
          <w:tcPr>
            <w:tcW w:w="3435" w:type="dxa"/>
          </w:tcPr>
          <w:p>
            <w:pPr>
              <w:pStyle w:val="TableParagraph"/>
              <w:spacing w:before="18"/>
              <w:ind w:left="35" w:right="538"/>
              <w:jc w:val="left"/>
              <w:rPr>
                <w:sz w:val="18"/>
              </w:rPr>
            </w:pPr>
            <w:r>
              <w:rPr>
                <w:sz w:val="18"/>
              </w:rPr>
              <w:t>Study overseas short term mobility project</w:t>
            </w:r>
          </w:p>
        </w:tc>
        <w:tc>
          <w:tcPr>
            <w:tcW w:w="1753" w:type="dxa"/>
          </w:tcPr>
          <w:p>
            <w:pPr>
              <w:pStyle w:val="TableParagraph"/>
              <w:spacing w:before="4"/>
              <w:jc w:val="left"/>
              <w:rPr>
                <w:b/>
                <w:sz w:val="19"/>
              </w:rPr>
            </w:pPr>
          </w:p>
          <w:p>
            <w:pPr>
              <w:pStyle w:val="TableParagraph"/>
              <w:ind w:right="372"/>
              <w:rPr>
                <w:b/>
                <w:sz w:val="18"/>
              </w:rPr>
            </w:pPr>
            <w:r>
              <w:rPr>
                <w:b/>
                <w:sz w:val="18"/>
              </w:rPr>
              <w:t>1,877</w:t>
            </w:r>
          </w:p>
        </w:tc>
        <w:tc>
          <w:tcPr>
            <w:tcW w:w="1432" w:type="dxa"/>
          </w:tcPr>
          <w:p>
            <w:pPr>
              <w:pStyle w:val="TableParagraph"/>
              <w:spacing w:before="4"/>
              <w:jc w:val="left"/>
              <w:rPr>
                <w:b/>
                <w:sz w:val="19"/>
              </w:rPr>
            </w:pPr>
          </w:p>
          <w:p>
            <w:pPr>
              <w:pStyle w:val="TableParagraph"/>
              <w:ind w:right="506"/>
              <w:rPr>
                <w:sz w:val="18"/>
              </w:rPr>
            </w:pPr>
            <w:r>
              <w:rPr>
                <w:sz w:val="18"/>
              </w:rPr>
              <w:t>2,090</w:t>
            </w:r>
          </w:p>
        </w:tc>
        <w:tc>
          <w:tcPr>
            <w:tcW w:w="1332" w:type="dxa"/>
          </w:tcPr>
          <w:p>
            <w:pPr>
              <w:pStyle w:val="TableParagraph"/>
              <w:spacing w:before="4"/>
              <w:jc w:val="left"/>
              <w:rPr>
                <w:b/>
                <w:sz w:val="19"/>
              </w:rPr>
            </w:pPr>
          </w:p>
          <w:p>
            <w:pPr>
              <w:pStyle w:val="TableParagraph"/>
              <w:ind w:right="372"/>
              <w:rPr>
                <w:b/>
                <w:sz w:val="18"/>
              </w:rPr>
            </w:pPr>
            <w:r>
              <w:rPr>
                <w:b/>
                <w:sz w:val="18"/>
              </w:rPr>
              <w:t>1,877</w:t>
            </w:r>
          </w:p>
        </w:tc>
        <w:tc>
          <w:tcPr>
            <w:tcW w:w="1011" w:type="dxa"/>
          </w:tcPr>
          <w:p>
            <w:pPr>
              <w:pStyle w:val="TableParagraph"/>
              <w:spacing w:before="4"/>
              <w:jc w:val="left"/>
              <w:rPr>
                <w:b/>
                <w:sz w:val="19"/>
              </w:rPr>
            </w:pPr>
          </w:p>
          <w:p>
            <w:pPr>
              <w:pStyle w:val="TableParagraph"/>
              <w:ind w:right="85"/>
              <w:rPr>
                <w:sz w:val="18"/>
              </w:rPr>
            </w:pPr>
            <w:r>
              <w:rPr>
                <w:sz w:val="18"/>
              </w:rPr>
              <w:t>2,090</w:t>
            </w:r>
          </w:p>
        </w:tc>
      </w:tr>
      <w:tr>
        <w:trPr>
          <w:trHeight w:val="469" w:hRule="exact"/>
        </w:trPr>
        <w:tc>
          <w:tcPr>
            <w:tcW w:w="3435" w:type="dxa"/>
          </w:tcPr>
          <w:p>
            <w:pPr>
              <w:pStyle w:val="TableParagraph"/>
              <w:spacing w:before="18"/>
              <w:ind w:left="35" w:right="538"/>
              <w:jc w:val="left"/>
              <w:rPr>
                <w:sz w:val="18"/>
              </w:rPr>
            </w:pPr>
            <w:r>
              <w:rPr>
                <w:sz w:val="18"/>
              </w:rPr>
              <w:t>Structured Training and Employment Program</w:t>
            </w:r>
          </w:p>
        </w:tc>
        <w:tc>
          <w:tcPr>
            <w:tcW w:w="1753" w:type="dxa"/>
          </w:tcPr>
          <w:p>
            <w:pPr>
              <w:pStyle w:val="TableParagraph"/>
              <w:spacing w:before="4"/>
              <w:jc w:val="left"/>
              <w:rPr>
                <w:b/>
                <w:sz w:val="19"/>
              </w:rPr>
            </w:pPr>
          </w:p>
          <w:p>
            <w:pPr>
              <w:pStyle w:val="TableParagraph"/>
              <w:ind w:right="373"/>
              <w:rPr>
                <w:b/>
                <w:sz w:val="18"/>
              </w:rPr>
            </w:pPr>
            <w:r>
              <w:rPr>
                <w:b/>
                <w:w w:val="99"/>
                <w:sz w:val="18"/>
              </w:rPr>
              <w:t>-</w:t>
            </w:r>
          </w:p>
        </w:tc>
        <w:tc>
          <w:tcPr>
            <w:tcW w:w="1432" w:type="dxa"/>
          </w:tcPr>
          <w:p>
            <w:pPr>
              <w:pStyle w:val="TableParagraph"/>
              <w:spacing w:before="4"/>
              <w:jc w:val="left"/>
              <w:rPr>
                <w:b/>
                <w:sz w:val="19"/>
              </w:rPr>
            </w:pPr>
          </w:p>
          <w:p>
            <w:pPr>
              <w:pStyle w:val="TableParagraph"/>
              <w:ind w:right="506"/>
              <w:rPr>
                <w:sz w:val="18"/>
              </w:rPr>
            </w:pPr>
            <w:r>
              <w:rPr>
                <w:sz w:val="18"/>
              </w:rPr>
              <w:t>52</w:t>
            </w:r>
          </w:p>
        </w:tc>
        <w:tc>
          <w:tcPr>
            <w:tcW w:w="1332" w:type="dxa"/>
          </w:tcPr>
          <w:p>
            <w:pPr>
              <w:pStyle w:val="TableParagraph"/>
              <w:spacing w:before="4"/>
              <w:jc w:val="left"/>
              <w:rPr>
                <w:b/>
                <w:sz w:val="19"/>
              </w:rPr>
            </w:pPr>
          </w:p>
          <w:p>
            <w:pPr>
              <w:pStyle w:val="TableParagraph"/>
              <w:ind w:right="373"/>
              <w:rPr>
                <w:b/>
                <w:sz w:val="18"/>
              </w:rPr>
            </w:pPr>
            <w:r>
              <w:rPr>
                <w:b/>
                <w:w w:val="99"/>
                <w:sz w:val="18"/>
              </w:rPr>
              <w:t>-</w:t>
            </w:r>
          </w:p>
        </w:tc>
        <w:tc>
          <w:tcPr>
            <w:tcW w:w="1011" w:type="dxa"/>
          </w:tcPr>
          <w:p>
            <w:pPr>
              <w:pStyle w:val="TableParagraph"/>
              <w:spacing w:before="4"/>
              <w:jc w:val="left"/>
              <w:rPr>
                <w:b/>
                <w:sz w:val="19"/>
              </w:rPr>
            </w:pPr>
          </w:p>
          <w:p>
            <w:pPr>
              <w:pStyle w:val="TableParagraph"/>
              <w:ind w:right="85"/>
              <w:rPr>
                <w:sz w:val="18"/>
              </w:rPr>
            </w:pPr>
            <w:r>
              <w:rPr>
                <w:sz w:val="18"/>
              </w:rPr>
              <w:t>52</w:t>
            </w:r>
          </w:p>
        </w:tc>
      </w:tr>
      <w:tr>
        <w:trPr>
          <w:trHeight w:val="262" w:hRule="exact"/>
        </w:trPr>
        <w:tc>
          <w:tcPr>
            <w:tcW w:w="3435" w:type="dxa"/>
          </w:tcPr>
          <w:p>
            <w:pPr>
              <w:pStyle w:val="TableParagraph"/>
              <w:spacing w:before="19"/>
              <w:ind w:left="35" w:right="538"/>
              <w:jc w:val="left"/>
              <w:rPr>
                <w:sz w:val="18"/>
              </w:rPr>
            </w:pPr>
            <w:r>
              <w:rPr>
                <w:sz w:val="18"/>
              </w:rPr>
              <w:t>Other</w:t>
            </w:r>
          </w:p>
        </w:tc>
        <w:tc>
          <w:tcPr>
            <w:tcW w:w="1753" w:type="dxa"/>
            <w:tcBorders>
              <w:bottom w:val="single" w:sz="0" w:space="0" w:color="000000"/>
            </w:tcBorders>
          </w:tcPr>
          <w:p>
            <w:pPr>
              <w:pStyle w:val="TableParagraph"/>
              <w:spacing w:before="18"/>
              <w:ind w:right="373"/>
              <w:rPr>
                <w:b/>
                <w:sz w:val="18"/>
              </w:rPr>
            </w:pPr>
            <w:r>
              <w:rPr>
                <w:b/>
                <w:sz w:val="18"/>
              </w:rPr>
              <w:t>319</w:t>
            </w:r>
          </w:p>
        </w:tc>
        <w:tc>
          <w:tcPr>
            <w:tcW w:w="1432" w:type="dxa"/>
            <w:tcBorders>
              <w:bottom w:val="single" w:sz="0" w:space="0" w:color="000000"/>
            </w:tcBorders>
          </w:tcPr>
          <w:p>
            <w:pPr>
              <w:pStyle w:val="TableParagraph"/>
              <w:spacing w:before="18"/>
              <w:ind w:right="506"/>
              <w:rPr>
                <w:sz w:val="18"/>
              </w:rPr>
            </w:pPr>
            <w:r>
              <w:rPr>
                <w:sz w:val="18"/>
              </w:rPr>
              <w:t>611</w:t>
            </w:r>
          </w:p>
        </w:tc>
        <w:tc>
          <w:tcPr>
            <w:tcW w:w="1332" w:type="dxa"/>
            <w:tcBorders>
              <w:bottom w:val="single" w:sz="0" w:space="0" w:color="000000"/>
            </w:tcBorders>
          </w:tcPr>
          <w:p>
            <w:pPr>
              <w:pStyle w:val="TableParagraph"/>
              <w:spacing w:before="18"/>
              <w:ind w:right="373"/>
              <w:rPr>
                <w:b/>
                <w:sz w:val="18"/>
              </w:rPr>
            </w:pPr>
            <w:r>
              <w:rPr>
                <w:b/>
                <w:sz w:val="18"/>
              </w:rPr>
              <w:t>319</w:t>
            </w:r>
          </w:p>
        </w:tc>
        <w:tc>
          <w:tcPr>
            <w:tcW w:w="1011" w:type="dxa"/>
            <w:tcBorders>
              <w:bottom w:val="single" w:sz="0" w:space="0" w:color="000000"/>
            </w:tcBorders>
          </w:tcPr>
          <w:p>
            <w:pPr>
              <w:pStyle w:val="TableParagraph"/>
              <w:spacing w:before="18"/>
              <w:ind w:right="85"/>
              <w:rPr>
                <w:sz w:val="18"/>
              </w:rPr>
            </w:pPr>
            <w:r>
              <w:rPr>
                <w:sz w:val="18"/>
              </w:rPr>
              <w:t>451</w:t>
            </w:r>
          </w:p>
        </w:tc>
      </w:tr>
      <w:tr>
        <w:trPr>
          <w:trHeight w:val="338" w:hRule="exact"/>
        </w:trPr>
        <w:tc>
          <w:tcPr>
            <w:tcW w:w="3435" w:type="dxa"/>
          </w:tcPr>
          <w:p>
            <w:pPr>
              <w:pStyle w:val="TableParagraph"/>
              <w:spacing w:before="123"/>
              <w:ind w:left="35" w:right="538"/>
              <w:jc w:val="left"/>
              <w:rPr>
                <w:b/>
                <w:sz w:val="18"/>
              </w:rPr>
            </w:pPr>
            <w:r>
              <w:rPr>
                <w:b/>
                <w:sz w:val="18"/>
              </w:rPr>
              <w:t>Total</w:t>
            </w:r>
          </w:p>
        </w:tc>
        <w:tc>
          <w:tcPr>
            <w:tcW w:w="1753" w:type="dxa"/>
            <w:tcBorders>
              <w:top w:val="single" w:sz="0" w:space="0" w:color="000000"/>
              <w:bottom w:val="single" w:sz="0" w:space="0" w:color="000000"/>
            </w:tcBorders>
          </w:tcPr>
          <w:p>
            <w:pPr>
              <w:pStyle w:val="TableParagraph"/>
              <w:spacing w:before="122"/>
              <w:ind w:right="372"/>
              <w:rPr>
                <w:b/>
                <w:sz w:val="18"/>
              </w:rPr>
            </w:pPr>
            <w:r>
              <w:rPr>
                <w:b/>
                <w:sz w:val="18"/>
              </w:rPr>
              <w:t>6,729</w:t>
            </w:r>
          </w:p>
        </w:tc>
        <w:tc>
          <w:tcPr>
            <w:tcW w:w="1432" w:type="dxa"/>
            <w:tcBorders>
              <w:top w:val="single" w:sz="0" w:space="0" w:color="000000"/>
              <w:bottom w:val="single" w:sz="0" w:space="0" w:color="000000"/>
            </w:tcBorders>
          </w:tcPr>
          <w:p>
            <w:pPr>
              <w:pStyle w:val="TableParagraph"/>
              <w:spacing w:before="122"/>
              <w:ind w:right="506"/>
              <w:rPr>
                <w:sz w:val="18"/>
              </w:rPr>
            </w:pPr>
            <w:r>
              <w:rPr>
                <w:w w:val="95"/>
                <w:sz w:val="18"/>
              </w:rPr>
              <w:t>10,005</w:t>
            </w:r>
          </w:p>
        </w:tc>
        <w:tc>
          <w:tcPr>
            <w:tcW w:w="1332" w:type="dxa"/>
            <w:tcBorders>
              <w:top w:val="single" w:sz="0" w:space="0" w:color="000000"/>
              <w:bottom w:val="single" w:sz="0" w:space="0" w:color="000000"/>
            </w:tcBorders>
          </w:tcPr>
          <w:p>
            <w:pPr>
              <w:pStyle w:val="TableParagraph"/>
              <w:spacing w:before="122"/>
              <w:ind w:right="372"/>
              <w:rPr>
                <w:b/>
                <w:sz w:val="18"/>
              </w:rPr>
            </w:pPr>
            <w:r>
              <w:rPr>
                <w:b/>
                <w:sz w:val="18"/>
              </w:rPr>
              <w:t>6,729</w:t>
            </w:r>
          </w:p>
        </w:tc>
        <w:tc>
          <w:tcPr>
            <w:tcW w:w="1011" w:type="dxa"/>
            <w:tcBorders>
              <w:top w:val="single" w:sz="0" w:space="0" w:color="000000"/>
              <w:bottom w:val="single" w:sz="0" w:space="0" w:color="000000"/>
            </w:tcBorders>
          </w:tcPr>
          <w:p>
            <w:pPr>
              <w:pStyle w:val="TableParagraph"/>
              <w:spacing w:before="122"/>
              <w:ind w:right="85"/>
              <w:rPr>
                <w:sz w:val="18"/>
              </w:rPr>
            </w:pPr>
            <w:r>
              <w:rPr>
                <w:sz w:val="18"/>
              </w:rPr>
              <w:t>9,845</w:t>
            </w:r>
          </w:p>
        </w:tc>
      </w:tr>
      <w:tr>
        <w:trPr>
          <w:trHeight w:val="354" w:hRule="exact"/>
        </w:trPr>
        <w:tc>
          <w:tcPr>
            <w:tcW w:w="3435" w:type="dxa"/>
          </w:tcPr>
          <w:p>
            <w:pPr>
              <w:pStyle w:val="TableParagraph"/>
              <w:spacing w:before="123"/>
              <w:ind w:left="35" w:right="538"/>
              <w:jc w:val="left"/>
              <w:rPr>
                <w:b/>
                <w:sz w:val="18"/>
              </w:rPr>
            </w:pPr>
            <w:r>
              <w:rPr>
                <w:b/>
                <w:sz w:val="18"/>
              </w:rPr>
              <w:t>Capital</w:t>
            </w:r>
          </w:p>
        </w:tc>
        <w:tc>
          <w:tcPr>
            <w:tcW w:w="1753" w:type="dxa"/>
            <w:tcBorders>
              <w:top w:val="single" w:sz="0" w:space="0" w:color="000000"/>
            </w:tcBorders>
          </w:tcPr>
          <w:p>
            <w:pPr/>
          </w:p>
        </w:tc>
        <w:tc>
          <w:tcPr>
            <w:tcW w:w="1432" w:type="dxa"/>
            <w:tcBorders>
              <w:top w:val="single" w:sz="0" w:space="0" w:color="000000"/>
            </w:tcBorders>
          </w:tcPr>
          <w:p>
            <w:pPr/>
          </w:p>
        </w:tc>
        <w:tc>
          <w:tcPr>
            <w:tcW w:w="1332" w:type="dxa"/>
            <w:tcBorders>
              <w:top w:val="single" w:sz="0" w:space="0" w:color="000000"/>
            </w:tcBorders>
          </w:tcPr>
          <w:p>
            <w:pPr/>
          </w:p>
        </w:tc>
        <w:tc>
          <w:tcPr>
            <w:tcW w:w="1011" w:type="dxa"/>
            <w:tcBorders>
              <w:top w:val="single" w:sz="0" w:space="0" w:color="000000"/>
            </w:tcBorders>
          </w:tcPr>
          <w:p>
            <w:pPr/>
          </w:p>
        </w:tc>
      </w:tr>
      <w:tr>
        <w:trPr>
          <w:trHeight w:val="250" w:hRule="exact"/>
        </w:trPr>
        <w:tc>
          <w:tcPr>
            <w:tcW w:w="3435" w:type="dxa"/>
          </w:tcPr>
          <w:p>
            <w:pPr>
              <w:pStyle w:val="TableParagraph"/>
              <w:spacing w:before="6"/>
              <w:ind w:left="35" w:right="538"/>
              <w:jc w:val="left"/>
              <w:rPr>
                <w:sz w:val="18"/>
              </w:rPr>
            </w:pPr>
            <w:r>
              <w:rPr>
                <w:sz w:val="18"/>
              </w:rPr>
              <w:t>Department of the Environment</w:t>
            </w:r>
          </w:p>
        </w:tc>
        <w:tc>
          <w:tcPr>
            <w:tcW w:w="1753" w:type="dxa"/>
          </w:tcPr>
          <w:p>
            <w:pPr>
              <w:pStyle w:val="TableParagraph"/>
              <w:spacing w:before="4"/>
              <w:ind w:right="373"/>
              <w:rPr>
                <w:b/>
                <w:sz w:val="18"/>
              </w:rPr>
            </w:pPr>
            <w:r>
              <w:rPr>
                <w:b/>
                <w:w w:val="99"/>
                <w:sz w:val="18"/>
              </w:rPr>
              <w:t>-</w:t>
            </w:r>
          </w:p>
        </w:tc>
        <w:tc>
          <w:tcPr>
            <w:tcW w:w="1432" w:type="dxa"/>
          </w:tcPr>
          <w:p>
            <w:pPr>
              <w:pStyle w:val="TableParagraph"/>
              <w:spacing w:before="4"/>
              <w:ind w:right="506"/>
              <w:rPr>
                <w:sz w:val="18"/>
              </w:rPr>
            </w:pPr>
            <w:r>
              <w:rPr>
                <w:sz w:val="18"/>
              </w:rPr>
              <w:t>2,000</w:t>
            </w:r>
          </w:p>
        </w:tc>
        <w:tc>
          <w:tcPr>
            <w:tcW w:w="1332" w:type="dxa"/>
          </w:tcPr>
          <w:p>
            <w:pPr>
              <w:pStyle w:val="TableParagraph"/>
              <w:spacing w:before="4"/>
              <w:ind w:right="373"/>
              <w:rPr>
                <w:b/>
                <w:sz w:val="18"/>
              </w:rPr>
            </w:pPr>
            <w:r>
              <w:rPr>
                <w:b/>
                <w:w w:val="99"/>
                <w:sz w:val="18"/>
              </w:rPr>
              <w:t>-</w:t>
            </w:r>
          </w:p>
        </w:tc>
        <w:tc>
          <w:tcPr>
            <w:tcW w:w="1011" w:type="dxa"/>
          </w:tcPr>
          <w:p>
            <w:pPr>
              <w:pStyle w:val="TableParagraph"/>
              <w:spacing w:before="4"/>
              <w:ind w:right="85"/>
              <w:rPr>
                <w:sz w:val="18"/>
              </w:rPr>
            </w:pPr>
            <w:r>
              <w:rPr>
                <w:sz w:val="18"/>
              </w:rPr>
              <w:t>2,000</w:t>
            </w:r>
          </w:p>
        </w:tc>
      </w:tr>
      <w:tr>
        <w:trPr>
          <w:trHeight w:val="262" w:hRule="exact"/>
        </w:trPr>
        <w:tc>
          <w:tcPr>
            <w:tcW w:w="3435" w:type="dxa"/>
          </w:tcPr>
          <w:p>
            <w:pPr>
              <w:pStyle w:val="TableParagraph"/>
              <w:spacing w:before="19"/>
              <w:ind w:left="35" w:right="538"/>
              <w:jc w:val="left"/>
              <w:rPr>
                <w:sz w:val="18"/>
              </w:rPr>
            </w:pPr>
            <w:r>
              <w:rPr>
                <w:sz w:val="18"/>
              </w:rPr>
              <w:t>Horticulture Innovation Australia</w:t>
            </w:r>
          </w:p>
        </w:tc>
        <w:tc>
          <w:tcPr>
            <w:tcW w:w="1753" w:type="dxa"/>
            <w:tcBorders>
              <w:bottom w:val="single" w:sz="0" w:space="0" w:color="000000"/>
            </w:tcBorders>
          </w:tcPr>
          <w:p>
            <w:pPr>
              <w:pStyle w:val="TableParagraph"/>
              <w:spacing w:before="18"/>
              <w:ind w:right="373"/>
              <w:rPr>
                <w:b/>
                <w:sz w:val="18"/>
              </w:rPr>
            </w:pPr>
            <w:r>
              <w:rPr>
                <w:b/>
                <w:sz w:val="18"/>
              </w:rPr>
              <w:t>750</w:t>
            </w:r>
          </w:p>
        </w:tc>
        <w:tc>
          <w:tcPr>
            <w:tcW w:w="1432" w:type="dxa"/>
            <w:tcBorders>
              <w:bottom w:val="single" w:sz="0" w:space="0" w:color="000000"/>
            </w:tcBorders>
          </w:tcPr>
          <w:p>
            <w:pPr>
              <w:pStyle w:val="TableParagraph"/>
              <w:spacing w:before="18"/>
              <w:ind w:right="506"/>
              <w:rPr>
                <w:sz w:val="18"/>
              </w:rPr>
            </w:pPr>
            <w:r>
              <w:rPr>
                <w:sz w:val="18"/>
              </w:rPr>
              <w:t>1,050</w:t>
            </w:r>
          </w:p>
        </w:tc>
        <w:tc>
          <w:tcPr>
            <w:tcW w:w="1332" w:type="dxa"/>
            <w:tcBorders>
              <w:bottom w:val="single" w:sz="0" w:space="0" w:color="000000"/>
            </w:tcBorders>
          </w:tcPr>
          <w:p>
            <w:pPr>
              <w:pStyle w:val="TableParagraph"/>
              <w:spacing w:before="18"/>
              <w:ind w:right="373"/>
              <w:rPr>
                <w:b/>
                <w:sz w:val="18"/>
              </w:rPr>
            </w:pPr>
            <w:r>
              <w:rPr>
                <w:b/>
                <w:sz w:val="18"/>
              </w:rPr>
              <w:t>750</w:t>
            </w:r>
          </w:p>
        </w:tc>
        <w:tc>
          <w:tcPr>
            <w:tcW w:w="1011" w:type="dxa"/>
            <w:tcBorders>
              <w:bottom w:val="single" w:sz="0" w:space="0" w:color="000000"/>
            </w:tcBorders>
          </w:tcPr>
          <w:p>
            <w:pPr>
              <w:pStyle w:val="TableParagraph"/>
              <w:spacing w:before="18"/>
              <w:ind w:right="85"/>
              <w:rPr>
                <w:sz w:val="18"/>
              </w:rPr>
            </w:pPr>
            <w:r>
              <w:rPr>
                <w:sz w:val="18"/>
              </w:rPr>
              <w:t>1,050</w:t>
            </w:r>
          </w:p>
        </w:tc>
      </w:tr>
      <w:tr>
        <w:trPr>
          <w:trHeight w:val="338" w:hRule="exact"/>
        </w:trPr>
        <w:tc>
          <w:tcPr>
            <w:tcW w:w="3435" w:type="dxa"/>
          </w:tcPr>
          <w:p>
            <w:pPr>
              <w:pStyle w:val="TableParagraph"/>
              <w:spacing w:before="123"/>
              <w:ind w:left="35" w:right="538"/>
              <w:jc w:val="left"/>
              <w:rPr>
                <w:b/>
                <w:sz w:val="18"/>
              </w:rPr>
            </w:pPr>
            <w:r>
              <w:rPr>
                <w:b/>
                <w:sz w:val="18"/>
              </w:rPr>
              <w:t>Total</w:t>
            </w:r>
          </w:p>
        </w:tc>
        <w:tc>
          <w:tcPr>
            <w:tcW w:w="1753" w:type="dxa"/>
            <w:tcBorders>
              <w:top w:val="single" w:sz="0" w:space="0" w:color="000000"/>
              <w:bottom w:val="single" w:sz="0" w:space="0" w:color="000000"/>
            </w:tcBorders>
          </w:tcPr>
          <w:p>
            <w:pPr>
              <w:pStyle w:val="TableParagraph"/>
              <w:spacing w:before="122"/>
              <w:ind w:right="373"/>
              <w:rPr>
                <w:b/>
                <w:sz w:val="18"/>
              </w:rPr>
            </w:pPr>
            <w:r>
              <w:rPr>
                <w:b/>
                <w:sz w:val="18"/>
              </w:rPr>
              <w:t>750</w:t>
            </w:r>
          </w:p>
        </w:tc>
        <w:tc>
          <w:tcPr>
            <w:tcW w:w="1432" w:type="dxa"/>
            <w:tcBorders>
              <w:top w:val="single" w:sz="0" w:space="0" w:color="000000"/>
              <w:bottom w:val="single" w:sz="0" w:space="0" w:color="000000"/>
            </w:tcBorders>
          </w:tcPr>
          <w:p>
            <w:pPr>
              <w:pStyle w:val="TableParagraph"/>
              <w:spacing w:before="122"/>
              <w:ind w:right="506"/>
              <w:rPr>
                <w:sz w:val="18"/>
              </w:rPr>
            </w:pPr>
            <w:r>
              <w:rPr>
                <w:sz w:val="18"/>
              </w:rPr>
              <w:t>3,050</w:t>
            </w:r>
          </w:p>
        </w:tc>
        <w:tc>
          <w:tcPr>
            <w:tcW w:w="1332" w:type="dxa"/>
            <w:tcBorders>
              <w:top w:val="single" w:sz="0" w:space="0" w:color="000000"/>
              <w:bottom w:val="single" w:sz="0" w:space="0" w:color="000000"/>
            </w:tcBorders>
          </w:tcPr>
          <w:p>
            <w:pPr>
              <w:pStyle w:val="TableParagraph"/>
              <w:spacing w:before="122"/>
              <w:ind w:right="373"/>
              <w:rPr>
                <w:b/>
                <w:sz w:val="18"/>
              </w:rPr>
            </w:pPr>
            <w:r>
              <w:rPr>
                <w:b/>
                <w:sz w:val="18"/>
              </w:rPr>
              <w:t>750</w:t>
            </w:r>
          </w:p>
        </w:tc>
        <w:tc>
          <w:tcPr>
            <w:tcW w:w="1011" w:type="dxa"/>
            <w:tcBorders>
              <w:top w:val="single" w:sz="0" w:space="0" w:color="000000"/>
              <w:bottom w:val="single" w:sz="0" w:space="0" w:color="000000"/>
            </w:tcBorders>
          </w:tcPr>
          <w:p>
            <w:pPr>
              <w:pStyle w:val="TableParagraph"/>
              <w:spacing w:before="122"/>
              <w:ind w:right="85"/>
              <w:rPr>
                <w:sz w:val="18"/>
              </w:rPr>
            </w:pPr>
            <w:r>
              <w:rPr>
                <w:sz w:val="18"/>
              </w:rPr>
              <w:t>3,050</w:t>
            </w:r>
          </w:p>
        </w:tc>
      </w:tr>
      <w:tr>
        <w:trPr>
          <w:trHeight w:val="766" w:hRule="exact"/>
        </w:trPr>
        <w:tc>
          <w:tcPr>
            <w:tcW w:w="3435" w:type="dxa"/>
          </w:tcPr>
          <w:p>
            <w:pPr>
              <w:pStyle w:val="TableParagraph"/>
              <w:spacing w:before="123"/>
              <w:ind w:left="35" w:right="1510"/>
              <w:jc w:val="both"/>
              <w:rPr>
                <w:b/>
                <w:sz w:val="18"/>
              </w:rPr>
            </w:pPr>
            <w:r>
              <w:rPr>
                <w:b/>
                <w:sz w:val="18"/>
              </w:rPr>
              <w:t>Total Other</w:t>
            </w:r>
            <w:r>
              <w:rPr>
                <w:b/>
                <w:spacing w:val="-14"/>
                <w:sz w:val="18"/>
              </w:rPr>
              <w:t> </w:t>
            </w:r>
            <w:r>
              <w:rPr>
                <w:b/>
                <w:sz w:val="18"/>
              </w:rPr>
              <w:t>Australian Government</w:t>
            </w:r>
            <w:r>
              <w:rPr>
                <w:b/>
                <w:spacing w:val="-5"/>
                <w:sz w:val="18"/>
              </w:rPr>
              <w:t> </w:t>
            </w:r>
            <w:r>
              <w:rPr>
                <w:b/>
                <w:sz w:val="18"/>
              </w:rPr>
              <w:t>Financial Assistance</w:t>
            </w:r>
          </w:p>
        </w:tc>
        <w:tc>
          <w:tcPr>
            <w:tcW w:w="1753" w:type="dxa"/>
            <w:tcBorders>
              <w:top w:val="single" w:sz="0" w:space="0" w:color="000000"/>
              <w:bottom w:val="single" w:sz="0" w:space="0" w:color="000000"/>
            </w:tcBorders>
          </w:tcPr>
          <w:p>
            <w:pPr>
              <w:pStyle w:val="TableParagraph"/>
              <w:jc w:val="left"/>
              <w:rPr>
                <w:b/>
                <w:sz w:val="18"/>
              </w:rPr>
            </w:pPr>
          </w:p>
          <w:p>
            <w:pPr>
              <w:pStyle w:val="TableParagraph"/>
              <w:jc w:val="left"/>
              <w:rPr>
                <w:b/>
                <w:sz w:val="18"/>
              </w:rPr>
            </w:pPr>
          </w:p>
          <w:p>
            <w:pPr>
              <w:pStyle w:val="TableParagraph"/>
              <w:spacing w:before="121"/>
              <w:ind w:right="372"/>
              <w:rPr>
                <w:b/>
                <w:sz w:val="18"/>
              </w:rPr>
            </w:pPr>
            <w:r>
              <w:rPr>
                <w:b/>
                <w:sz w:val="18"/>
              </w:rPr>
              <w:t>7,479</w:t>
            </w:r>
          </w:p>
        </w:tc>
        <w:tc>
          <w:tcPr>
            <w:tcW w:w="1432" w:type="dxa"/>
            <w:tcBorders>
              <w:top w:val="single" w:sz="0" w:space="0" w:color="000000"/>
              <w:bottom w:val="single" w:sz="0" w:space="0" w:color="000000"/>
            </w:tcBorders>
          </w:tcPr>
          <w:p>
            <w:pPr>
              <w:pStyle w:val="TableParagraph"/>
              <w:jc w:val="left"/>
              <w:rPr>
                <w:b/>
                <w:sz w:val="18"/>
              </w:rPr>
            </w:pPr>
          </w:p>
          <w:p>
            <w:pPr>
              <w:pStyle w:val="TableParagraph"/>
              <w:jc w:val="left"/>
              <w:rPr>
                <w:b/>
                <w:sz w:val="18"/>
              </w:rPr>
            </w:pPr>
          </w:p>
          <w:p>
            <w:pPr>
              <w:pStyle w:val="TableParagraph"/>
              <w:spacing w:before="121"/>
              <w:ind w:right="506"/>
              <w:rPr>
                <w:sz w:val="18"/>
              </w:rPr>
            </w:pPr>
            <w:r>
              <w:rPr>
                <w:w w:val="95"/>
                <w:sz w:val="18"/>
              </w:rPr>
              <w:t>13,055</w:t>
            </w:r>
          </w:p>
        </w:tc>
        <w:tc>
          <w:tcPr>
            <w:tcW w:w="1332" w:type="dxa"/>
            <w:tcBorders>
              <w:top w:val="single" w:sz="0" w:space="0" w:color="000000"/>
              <w:bottom w:val="single" w:sz="0" w:space="0" w:color="000000"/>
            </w:tcBorders>
          </w:tcPr>
          <w:p>
            <w:pPr>
              <w:pStyle w:val="TableParagraph"/>
              <w:jc w:val="left"/>
              <w:rPr>
                <w:b/>
                <w:sz w:val="18"/>
              </w:rPr>
            </w:pPr>
          </w:p>
          <w:p>
            <w:pPr>
              <w:pStyle w:val="TableParagraph"/>
              <w:jc w:val="left"/>
              <w:rPr>
                <w:b/>
                <w:sz w:val="18"/>
              </w:rPr>
            </w:pPr>
          </w:p>
          <w:p>
            <w:pPr>
              <w:pStyle w:val="TableParagraph"/>
              <w:spacing w:before="121"/>
              <w:ind w:right="372"/>
              <w:rPr>
                <w:b/>
                <w:sz w:val="18"/>
              </w:rPr>
            </w:pPr>
            <w:r>
              <w:rPr>
                <w:b/>
                <w:sz w:val="18"/>
              </w:rPr>
              <w:t>7,479</w:t>
            </w:r>
          </w:p>
        </w:tc>
        <w:tc>
          <w:tcPr>
            <w:tcW w:w="1011" w:type="dxa"/>
            <w:tcBorders>
              <w:top w:val="single" w:sz="0" w:space="0" w:color="000000"/>
              <w:bottom w:val="single" w:sz="0" w:space="0" w:color="000000"/>
            </w:tcBorders>
          </w:tcPr>
          <w:p>
            <w:pPr>
              <w:pStyle w:val="TableParagraph"/>
              <w:jc w:val="left"/>
              <w:rPr>
                <w:b/>
                <w:sz w:val="18"/>
              </w:rPr>
            </w:pPr>
          </w:p>
          <w:p>
            <w:pPr>
              <w:pStyle w:val="TableParagraph"/>
              <w:jc w:val="left"/>
              <w:rPr>
                <w:b/>
                <w:sz w:val="18"/>
              </w:rPr>
            </w:pPr>
          </w:p>
          <w:p>
            <w:pPr>
              <w:pStyle w:val="TableParagraph"/>
              <w:spacing w:before="121"/>
              <w:ind w:right="85"/>
              <w:rPr>
                <w:sz w:val="18"/>
              </w:rPr>
            </w:pPr>
            <w:r>
              <w:rPr>
                <w:w w:val="95"/>
                <w:sz w:val="18"/>
              </w:rPr>
              <w:t>12,895</w:t>
            </w:r>
          </w:p>
        </w:tc>
      </w:tr>
    </w:tbl>
    <w:p>
      <w:pPr>
        <w:pStyle w:val="BodyText"/>
        <w:rPr>
          <w:b/>
          <w:sz w:val="20"/>
        </w:rPr>
      </w:pPr>
    </w:p>
    <w:p>
      <w:pPr>
        <w:pStyle w:val="BodyText"/>
        <w:spacing w:before="11"/>
        <w:rPr>
          <w:b/>
          <w:sz w:val="20"/>
        </w:rPr>
      </w:pPr>
    </w:p>
    <w:tbl>
      <w:tblPr>
        <w:tblW w:w="0" w:type="auto"/>
        <w:jc w:val="left"/>
        <w:tblInd w:w="239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417"/>
        <w:gridCol w:w="1702"/>
        <w:gridCol w:w="1382"/>
        <w:gridCol w:w="1382"/>
        <w:gridCol w:w="1061"/>
      </w:tblGrid>
      <w:tr>
        <w:trPr>
          <w:trHeight w:val="293" w:hRule="exact"/>
        </w:trPr>
        <w:tc>
          <w:tcPr>
            <w:tcW w:w="3417" w:type="dxa"/>
          </w:tcPr>
          <w:p>
            <w:pPr>
              <w:pStyle w:val="TableParagraph"/>
              <w:spacing w:before="77"/>
              <w:ind w:left="35"/>
              <w:jc w:val="left"/>
              <w:rPr>
                <w:b/>
                <w:sz w:val="18"/>
              </w:rPr>
            </w:pPr>
            <w:r>
              <w:rPr>
                <w:b/>
                <w:sz w:val="18"/>
              </w:rPr>
              <w:t>Total Australian Government Financial</w:t>
            </w:r>
          </w:p>
        </w:tc>
        <w:tc>
          <w:tcPr>
            <w:tcW w:w="5527" w:type="dxa"/>
            <w:gridSpan w:val="4"/>
          </w:tcPr>
          <w:p>
            <w:pPr/>
          </w:p>
        </w:tc>
      </w:tr>
      <w:tr>
        <w:trPr>
          <w:trHeight w:val="248" w:hRule="exact"/>
        </w:trPr>
        <w:tc>
          <w:tcPr>
            <w:tcW w:w="3417" w:type="dxa"/>
          </w:tcPr>
          <w:p>
            <w:pPr>
              <w:pStyle w:val="TableParagraph"/>
              <w:spacing w:line="198" w:lineRule="exact"/>
              <w:ind w:left="35"/>
              <w:jc w:val="left"/>
              <w:rPr>
                <w:b/>
                <w:sz w:val="18"/>
              </w:rPr>
            </w:pPr>
            <w:r>
              <w:rPr>
                <w:b/>
                <w:sz w:val="18"/>
              </w:rPr>
              <w:t>Assistance</w:t>
            </w:r>
          </w:p>
        </w:tc>
        <w:tc>
          <w:tcPr>
            <w:tcW w:w="1702" w:type="dxa"/>
            <w:tcBorders>
              <w:bottom w:val="single" w:sz="0" w:space="0" w:color="000000"/>
            </w:tcBorders>
          </w:tcPr>
          <w:p>
            <w:pPr>
              <w:pStyle w:val="TableParagraph"/>
              <w:spacing w:line="197" w:lineRule="exact"/>
              <w:ind w:left="729"/>
              <w:jc w:val="left"/>
              <w:rPr>
                <w:b/>
                <w:sz w:val="18"/>
              </w:rPr>
            </w:pPr>
            <w:r>
              <w:rPr>
                <w:b/>
                <w:sz w:val="18"/>
              </w:rPr>
              <w:t>569,250</w:t>
            </w:r>
          </w:p>
        </w:tc>
        <w:tc>
          <w:tcPr>
            <w:tcW w:w="1382" w:type="dxa"/>
            <w:tcBorders>
              <w:bottom w:val="single" w:sz="0" w:space="0" w:color="000000"/>
            </w:tcBorders>
          </w:tcPr>
          <w:p>
            <w:pPr>
              <w:pStyle w:val="TableParagraph"/>
              <w:spacing w:line="197" w:lineRule="exact"/>
              <w:ind w:left="324"/>
              <w:jc w:val="left"/>
              <w:rPr>
                <w:sz w:val="18"/>
              </w:rPr>
            </w:pPr>
            <w:r>
              <w:rPr>
                <w:sz w:val="18"/>
              </w:rPr>
              <w:t>563,406</w:t>
            </w:r>
          </w:p>
        </w:tc>
        <w:tc>
          <w:tcPr>
            <w:tcW w:w="1382" w:type="dxa"/>
            <w:tcBorders>
              <w:bottom w:val="single" w:sz="0" w:space="0" w:color="000000"/>
            </w:tcBorders>
          </w:tcPr>
          <w:p>
            <w:pPr>
              <w:pStyle w:val="TableParagraph"/>
              <w:spacing w:line="197" w:lineRule="exact"/>
              <w:ind w:left="409"/>
              <w:jc w:val="left"/>
              <w:rPr>
                <w:b/>
                <w:sz w:val="18"/>
              </w:rPr>
            </w:pPr>
            <w:r>
              <w:rPr>
                <w:b/>
                <w:sz w:val="18"/>
              </w:rPr>
              <w:t>569,250</w:t>
            </w:r>
          </w:p>
        </w:tc>
        <w:tc>
          <w:tcPr>
            <w:tcW w:w="1061" w:type="dxa"/>
            <w:tcBorders>
              <w:bottom w:val="single" w:sz="0" w:space="0" w:color="000000"/>
            </w:tcBorders>
          </w:tcPr>
          <w:p>
            <w:pPr>
              <w:pStyle w:val="TableParagraph"/>
              <w:spacing w:line="197" w:lineRule="exact"/>
              <w:ind w:left="324"/>
              <w:jc w:val="left"/>
              <w:rPr>
                <w:sz w:val="18"/>
              </w:rPr>
            </w:pPr>
            <w:r>
              <w:rPr>
                <w:sz w:val="18"/>
              </w:rPr>
              <w:t>563,270</w:t>
            </w:r>
          </w:p>
        </w:tc>
      </w:tr>
    </w:tbl>
    <w:p>
      <w:pPr>
        <w:spacing w:after="0" w:line="197" w:lineRule="exact"/>
        <w:jc w:val="left"/>
        <w:rPr>
          <w:sz w:val="18"/>
        </w:rPr>
        <w:sectPr>
          <w:type w:val="continuous"/>
          <w:pgSz w:w="12750" w:h="17680"/>
          <w:pgMar w:top="1660" w:bottom="0" w:left="0" w:right="0"/>
        </w:sectPr>
      </w:pPr>
    </w:p>
    <w:p>
      <w:pPr>
        <w:pStyle w:val="BodyText"/>
        <w:rPr>
          <w:b/>
          <w:sz w:val="20"/>
        </w:rPr>
      </w:pPr>
    </w:p>
    <w:p>
      <w:pPr>
        <w:pStyle w:val="BodyText"/>
        <w:rPr>
          <w:b/>
          <w:sz w:val="20"/>
        </w:rPr>
      </w:pPr>
    </w:p>
    <w:p>
      <w:pPr>
        <w:pStyle w:val="BodyText"/>
        <w:spacing w:before="4"/>
        <w:rPr>
          <w:b/>
        </w:rPr>
      </w:pPr>
    </w:p>
    <w:p>
      <w:pPr>
        <w:tabs>
          <w:tab w:pos="2391" w:val="left" w:leader="none"/>
        </w:tabs>
        <w:spacing w:before="0"/>
        <w:ind w:left="2391" w:right="1774" w:hanging="568"/>
        <w:jc w:val="left"/>
        <w:rPr>
          <w:b/>
          <w:sz w:val="18"/>
        </w:rPr>
      </w:pPr>
      <w:r>
        <w:rPr>
          <w:b/>
          <w:sz w:val="18"/>
        </w:rPr>
        <w:t>2</w:t>
        <w:tab/>
        <w:t>Australian Government financial assistance including HECS-HELP and other</w:t>
      </w:r>
      <w:r>
        <w:rPr>
          <w:b/>
          <w:spacing w:val="-25"/>
          <w:sz w:val="18"/>
        </w:rPr>
        <w:t> </w:t>
      </w:r>
      <w:r>
        <w:rPr>
          <w:b/>
          <w:sz w:val="18"/>
        </w:rPr>
        <w:t>Australian</w:t>
      </w:r>
      <w:r>
        <w:rPr>
          <w:b/>
          <w:spacing w:val="-4"/>
          <w:sz w:val="18"/>
        </w:rPr>
        <w:t> </w:t>
      </w:r>
      <w:r>
        <w:rPr>
          <w:b/>
          <w:sz w:val="18"/>
        </w:rPr>
        <w:t>Government</w:t>
      </w:r>
      <w:r>
        <w:rPr>
          <w:b/>
          <w:spacing w:val="-1"/>
          <w:sz w:val="18"/>
        </w:rPr>
        <w:t> </w:t>
      </w:r>
      <w:r>
        <w:rPr>
          <w:b/>
          <w:sz w:val="18"/>
        </w:rPr>
        <w:t>loan programs (continued)</w:t>
      </w:r>
    </w:p>
    <w:p>
      <w:pPr>
        <w:pStyle w:val="BodyText"/>
        <w:rPr>
          <w:b/>
        </w:rPr>
      </w:pPr>
    </w:p>
    <w:p>
      <w:pPr>
        <w:pStyle w:val="BodyText"/>
        <w:rPr>
          <w:b/>
        </w:rPr>
      </w:pPr>
    </w:p>
    <w:p>
      <w:pPr>
        <w:tabs>
          <w:tab w:pos="9693" w:val="left" w:leader="none"/>
        </w:tabs>
        <w:spacing w:before="113"/>
        <w:ind w:left="6640" w:right="0" w:firstLine="0"/>
        <w:jc w:val="left"/>
        <w:rPr>
          <w:b/>
          <w:sz w:val="18"/>
        </w:rPr>
      </w:pPr>
      <w:r>
        <w:rPr>
          <w:b/>
          <w:sz w:val="18"/>
        </w:rPr>
        <w:t>Consolidated</w:t>
        <w:tab/>
        <w:t>Parent</w:t>
      </w:r>
    </w:p>
    <w:p>
      <w:pPr>
        <w:spacing w:after="0"/>
        <w:jc w:val="left"/>
        <w:rPr>
          <w:sz w:val="18"/>
        </w:rPr>
        <w:sectPr>
          <w:pgSz w:w="12750" w:h="17680"/>
          <w:pgMar w:header="0" w:footer="927" w:top="2640" w:bottom="1120" w:left="0" w:right="0"/>
        </w:sectPr>
      </w:pPr>
    </w:p>
    <w:p>
      <w:pPr>
        <w:spacing w:before="66"/>
        <w:ind w:left="0" w:right="19" w:firstLine="0"/>
        <w:jc w:val="right"/>
        <w:rPr>
          <w:b/>
          <w:sz w:val="18"/>
        </w:rPr>
      </w:pPr>
      <w:r>
        <w:rPr>
          <w:b/>
          <w:sz w:val="18"/>
        </w:rPr>
        <w:t>2016</w:t>
      </w:r>
    </w:p>
    <w:p>
      <w:pPr>
        <w:spacing w:before="66"/>
        <w:ind w:left="0" w:right="0" w:firstLine="0"/>
        <w:jc w:val="right"/>
        <w:rPr>
          <w:b/>
          <w:sz w:val="18"/>
        </w:rPr>
      </w:pPr>
      <w:r>
        <w:rPr>
          <w:b/>
          <w:sz w:val="18"/>
        </w:rPr>
        <w:t>$'000</w:t>
      </w:r>
    </w:p>
    <w:p>
      <w:pPr>
        <w:spacing w:before="66"/>
        <w:ind w:left="823" w:right="-16" w:firstLine="0"/>
        <w:jc w:val="left"/>
        <w:rPr>
          <w:b/>
          <w:sz w:val="18"/>
        </w:rPr>
      </w:pPr>
      <w:r>
        <w:rPr/>
        <w:br w:type="column"/>
      </w:r>
      <w:r>
        <w:rPr>
          <w:b/>
          <w:sz w:val="18"/>
        </w:rPr>
        <w:t>2015</w:t>
      </w:r>
    </w:p>
    <w:p>
      <w:pPr>
        <w:spacing w:before="66"/>
        <w:ind w:left="802" w:right="-16" w:firstLine="0"/>
        <w:jc w:val="left"/>
        <w:rPr>
          <w:b/>
          <w:sz w:val="18"/>
        </w:rPr>
      </w:pPr>
      <w:r>
        <w:rPr>
          <w:b/>
          <w:spacing w:val="-1"/>
          <w:sz w:val="18"/>
        </w:rPr>
        <w:t>$'000</w:t>
      </w:r>
    </w:p>
    <w:p>
      <w:pPr>
        <w:spacing w:before="66"/>
        <w:ind w:left="0" w:right="19" w:firstLine="0"/>
        <w:jc w:val="right"/>
        <w:rPr>
          <w:b/>
          <w:sz w:val="18"/>
        </w:rPr>
      </w:pPr>
      <w:r>
        <w:rPr/>
        <w:br w:type="column"/>
      </w:r>
      <w:r>
        <w:rPr>
          <w:b/>
          <w:sz w:val="18"/>
        </w:rPr>
        <w:t>2016</w:t>
      </w:r>
    </w:p>
    <w:p>
      <w:pPr>
        <w:spacing w:before="66"/>
        <w:ind w:left="0" w:right="0" w:firstLine="0"/>
        <w:jc w:val="right"/>
        <w:rPr>
          <w:b/>
          <w:sz w:val="18"/>
        </w:rPr>
      </w:pPr>
      <w:r>
        <w:rPr>
          <w:b/>
          <w:sz w:val="18"/>
        </w:rPr>
        <w:t>$'000</w:t>
      </w:r>
    </w:p>
    <w:p>
      <w:pPr>
        <w:spacing w:before="66"/>
        <w:ind w:left="823" w:right="0" w:firstLine="0"/>
        <w:jc w:val="left"/>
        <w:rPr>
          <w:b/>
          <w:sz w:val="18"/>
        </w:rPr>
      </w:pPr>
      <w:r>
        <w:rPr/>
        <w:br w:type="column"/>
      </w:r>
      <w:r>
        <w:rPr>
          <w:b/>
          <w:sz w:val="18"/>
        </w:rPr>
        <w:t>2015</w:t>
      </w:r>
    </w:p>
    <w:p>
      <w:pPr>
        <w:spacing w:before="66"/>
        <w:ind w:left="802" w:right="0" w:firstLine="0"/>
        <w:jc w:val="left"/>
        <w:rPr>
          <w:b/>
          <w:sz w:val="18"/>
        </w:rPr>
      </w:pPr>
      <w:r>
        <w:rPr>
          <w:b/>
          <w:sz w:val="18"/>
        </w:rPr>
        <w:t>$'000</w:t>
      </w:r>
    </w:p>
    <w:p>
      <w:pPr>
        <w:spacing w:after="0"/>
        <w:jc w:val="left"/>
        <w:rPr>
          <w:sz w:val="18"/>
        </w:rPr>
        <w:sectPr>
          <w:type w:val="continuous"/>
          <w:pgSz w:w="12750" w:h="17680"/>
          <w:pgMar w:top="1660" w:bottom="0" w:left="0" w:right="0"/>
          <w:cols w:num="4" w:equalWidth="0">
            <w:col w:w="6853" w:space="40"/>
            <w:col w:w="1245" w:space="40"/>
            <w:col w:w="1440" w:space="40"/>
            <w:col w:w="3092"/>
          </w:cols>
        </w:sectPr>
      </w:pPr>
    </w:p>
    <w:p>
      <w:pPr>
        <w:pStyle w:val="BodyText"/>
        <w:spacing w:before="6"/>
        <w:rPr>
          <w:b/>
          <w:sz w:val="8"/>
        </w:rPr>
      </w:pPr>
    </w:p>
    <w:tbl>
      <w:tblPr>
        <w:tblW w:w="0" w:type="auto"/>
        <w:jc w:val="left"/>
        <w:tblInd w:w="181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997"/>
        <w:gridCol w:w="1703"/>
        <w:gridCol w:w="1382"/>
        <w:gridCol w:w="1382"/>
        <w:gridCol w:w="1061"/>
      </w:tblGrid>
      <w:tr>
        <w:trPr>
          <w:trHeight w:val="527" w:hRule="exact"/>
        </w:trPr>
        <w:tc>
          <w:tcPr>
            <w:tcW w:w="3997" w:type="dxa"/>
          </w:tcPr>
          <w:p>
            <w:pPr>
              <w:pStyle w:val="TableParagraph"/>
              <w:spacing w:before="77"/>
              <w:ind w:left="35"/>
              <w:jc w:val="left"/>
              <w:rPr>
                <w:b/>
                <w:sz w:val="18"/>
              </w:rPr>
            </w:pPr>
            <w:r>
              <w:rPr>
                <w:b/>
                <w:sz w:val="18"/>
              </w:rPr>
              <w:t>Reconciliation</w:t>
            </w:r>
          </w:p>
          <w:p>
            <w:pPr>
              <w:pStyle w:val="TableParagraph"/>
              <w:spacing w:before="27"/>
              <w:ind w:left="35"/>
              <w:jc w:val="left"/>
              <w:rPr>
                <w:sz w:val="18"/>
              </w:rPr>
            </w:pPr>
            <w:r>
              <w:rPr>
                <w:sz w:val="18"/>
              </w:rPr>
              <w:t>Australian Government Grants</w:t>
            </w:r>
          </w:p>
        </w:tc>
        <w:tc>
          <w:tcPr>
            <w:tcW w:w="5527" w:type="dxa"/>
            <w:gridSpan w:val="4"/>
          </w:tcPr>
          <w:p>
            <w:pPr/>
          </w:p>
        </w:tc>
      </w:tr>
      <w:tr>
        <w:trPr>
          <w:trHeight w:val="235" w:hRule="exact"/>
        </w:trPr>
        <w:tc>
          <w:tcPr>
            <w:tcW w:w="3997" w:type="dxa"/>
          </w:tcPr>
          <w:p>
            <w:pPr>
              <w:pStyle w:val="TableParagraph"/>
              <w:spacing w:line="198" w:lineRule="exact"/>
              <w:ind w:left="35"/>
              <w:jc w:val="left"/>
              <w:rPr>
                <w:sz w:val="18"/>
              </w:rPr>
            </w:pPr>
            <w:r>
              <w:rPr>
                <w:sz w:val="18"/>
              </w:rPr>
              <w:t>(Note 2: a + c + d + e + f  +g )</w:t>
            </w:r>
          </w:p>
        </w:tc>
        <w:tc>
          <w:tcPr>
            <w:tcW w:w="1703" w:type="dxa"/>
          </w:tcPr>
          <w:p>
            <w:pPr>
              <w:pStyle w:val="TableParagraph"/>
              <w:spacing w:line="197" w:lineRule="exact"/>
              <w:ind w:right="323"/>
              <w:rPr>
                <w:b/>
                <w:sz w:val="18"/>
              </w:rPr>
            </w:pPr>
            <w:r>
              <w:rPr>
                <w:b/>
                <w:w w:val="95"/>
                <w:sz w:val="18"/>
              </w:rPr>
              <w:t>345,493</w:t>
            </w:r>
          </w:p>
        </w:tc>
        <w:tc>
          <w:tcPr>
            <w:tcW w:w="1382" w:type="dxa"/>
          </w:tcPr>
          <w:p>
            <w:pPr>
              <w:pStyle w:val="TableParagraph"/>
              <w:spacing w:line="197" w:lineRule="exact"/>
              <w:ind w:left="325"/>
              <w:jc w:val="left"/>
              <w:rPr>
                <w:sz w:val="18"/>
              </w:rPr>
            </w:pPr>
            <w:r>
              <w:rPr>
                <w:sz w:val="18"/>
              </w:rPr>
              <w:t>342,114</w:t>
            </w:r>
          </w:p>
        </w:tc>
        <w:tc>
          <w:tcPr>
            <w:tcW w:w="1382" w:type="dxa"/>
          </w:tcPr>
          <w:p>
            <w:pPr>
              <w:pStyle w:val="TableParagraph"/>
              <w:spacing w:line="197" w:lineRule="exact"/>
              <w:ind w:left="376" w:right="293"/>
              <w:jc w:val="center"/>
              <w:rPr>
                <w:b/>
                <w:sz w:val="18"/>
              </w:rPr>
            </w:pPr>
            <w:r>
              <w:rPr>
                <w:b/>
                <w:sz w:val="18"/>
              </w:rPr>
              <w:t>345,493</w:t>
            </w:r>
          </w:p>
        </w:tc>
        <w:tc>
          <w:tcPr>
            <w:tcW w:w="1061" w:type="dxa"/>
          </w:tcPr>
          <w:p>
            <w:pPr>
              <w:pStyle w:val="TableParagraph"/>
              <w:spacing w:line="197" w:lineRule="exact"/>
              <w:ind w:right="85"/>
              <w:rPr>
                <w:sz w:val="18"/>
              </w:rPr>
            </w:pPr>
            <w:r>
              <w:rPr>
                <w:w w:val="95"/>
                <w:sz w:val="18"/>
              </w:rPr>
              <w:t>341,954</w:t>
            </w:r>
          </w:p>
        </w:tc>
      </w:tr>
      <w:tr>
        <w:trPr>
          <w:trHeight w:val="262" w:hRule="exact"/>
        </w:trPr>
        <w:tc>
          <w:tcPr>
            <w:tcW w:w="3997" w:type="dxa"/>
          </w:tcPr>
          <w:p>
            <w:pPr>
              <w:pStyle w:val="TableParagraph"/>
              <w:spacing w:before="19"/>
              <w:ind w:left="35"/>
              <w:jc w:val="left"/>
              <w:rPr>
                <w:sz w:val="18"/>
              </w:rPr>
            </w:pPr>
            <w:r>
              <w:rPr>
                <w:sz w:val="18"/>
              </w:rPr>
              <w:t>Higher Education Loan Programs (2b)</w:t>
            </w:r>
          </w:p>
        </w:tc>
        <w:tc>
          <w:tcPr>
            <w:tcW w:w="1703" w:type="dxa"/>
            <w:tcBorders>
              <w:bottom w:val="single" w:sz="0" w:space="0" w:color="000000"/>
            </w:tcBorders>
          </w:tcPr>
          <w:p>
            <w:pPr>
              <w:pStyle w:val="TableParagraph"/>
              <w:spacing w:before="18"/>
              <w:ind w:right="323"/>
              <w:rPr>
                <w:b/>
                <w:sz w:val="18"/>
              </w:rPr>
            </w:pPr>
            <w:r>
              <w:rPr>
                <w:b/>
                <w:w w:val="95"/>
                <w:sz w:val="18"/>
              </w:rPr>
              <w:t>223,757</w:t>
            </w:r>
          </w:p>
        </w:tc>
        <w:tc>
          <w:tcPr>
            <w:tcW w:w="1382" w:type="dxa"/>
            <w:tcBorders>
              <w:bottom w:val="single" w:sz="0" w:space="0" w:color="000000"/>
            </w:tcBorders>
          </w:tcPr>
          <w:p>
            <w:pPr>
              <w:pStyle w:val="TableParagraph"/>
              <w:spacing w:before="18"/>
              <w:ind w:left="325"/>
              <w:jc w:val="left"/>
              <w:rPr>
                <w:sz w:val="18"/>
              </w:rPr>
            </w:pPr>
            <w:r>
              <w:rPr>
                <w:sz w:val="18"/>
              </w:rPr>
              <w:t>221,292</w:t>
            </w:r>
          </w:p>
        </w:tc>
        <w:tc>
          <w:tcPr>
            <w:tcW w:w="1382" w:type="dxa"/>
            <w:tcBorders>
              <w:bottom w:val="single" w:sz="0" w:space="0" w:color="000000"/>
            </w:tcBorders>
          </w:tcPr>
          <w:p>
            <w:pPr>
              <w:pStyle w:val="TableParagraph"/>
              <w:spacing w:before="18"/>
              <w:ind w:left="376" w:right="293"/>
              <w:jc w:val="center"/>
              <w:rPr>
                <w:b/>
                <w:sz w:val="18"/>
              </w:rPr>
            </w:pPr>
            <w:r>
              <w:rPr>
                <w:b/>
                <w:sz w:val="18"/>
              </w:rPr>
              <w:t>223,757</w:t>
            </w:r>
          </w:p>
        </w:tc>
        <w:tc>
          <w:tcPr>
            <w:tcW w:w="1061" w:type="dxa"/>
            <w:tcBorders>
              <w:bottom w:val="single" w:sz="0" w:space="0" w:color="000000"/>
            </w:tcBorders>
          </w:tcPr>
          <w:p>
            <w:pPr>
              <w:pStyle w:val="TableParagraph"/>
              <w:spacing w:before="18"/>
              <w:ind w:right="85"/>
              <w:rPr>
                <w:sz w:val="18"/>
              </w:rPr>
            </w:pPr>
            <w:r>
              <w:rPr>
                <w:w w:val="95"/>
                <w:sz w:val="18"/>
              </w:rPr>
              <w:t>221,316</w:t>
            </w:r>
          </w:p>
        </w:tc>
      </w:tr>
      <w:tr>
        <w:trPr>
          <w:trHeight w:val="560" w:hRule="exact"/>
        </w:trPr>
        <w:tc>
          <w:tcPr>
            <w:tcW w:w="3997" w:type="dxa"/>
          </w:tcPr>
          <w:p>
            <w:pPr>
              <w:pStyle w:val="TableParagraph"/>
              <w:spacing w:before="123"/>
              <w:ind w:left="35"/>
              <w:jc w:val="left"/>
              <w:rPr>
                <w:b/>
                <w:sz w:val="18"/>
              </w:rPr>
            </w:pPr>
            <w:r>
              <w:rPr>
                <w:b/>
                <w:sz w:val="18"/>
              </w:rPr>
              <w:t>Total Australian Government Financial Assistance</w:t>
            </w:r>
          </w:p>
        </w:tc>
        <w:tc>
          <w:tcPr>
            <w:tcW w:w="1703" w:type="dxa"/>
            <w:tcBorders>
              <w:top w:val="single" w:sz="0" w:space="0" w:color="000000"/>
              <w:bottom w:val="single" w:sz="0" w:space="0" w:color="000000"/>
            </w:tcBorders>
          </w:tcPr>
          <w:p>
            <w:pPr>
              <w:pStyle w:val="TableParagraph"/>
              <w:jc w:val="left"/>
              <w:rPr>
                <w:b/>
                <w:sz w:val="18"/>
              </w:rPr>
            </w:pPr>
          </w:p>
          <w:p>
            <w:pPr>
              <w:pStyle w:val="TableParagraph"/>
              <w:spacing w:before="122"/>
              <w:ind w:right="323"/>
              <w:rPr>
                <w:b/>
                <w:sz w:val="18"/>
              </w:rPr>
            </w:pPr>
            <w:r>
              <w:rPr>
                <w:b/>
                <w:w w:val="95"/>
                <w:sz w:val="18"/>
              </w:rPr>
              <w:t>569,250</w:t>
            </w:r>
          </w:p>
        </w:tc>
        <w:tc>
          <w:tcPr>
            <w:tcW w:w="1382" w:type="dxa"/>
            <w:tcBorders>
              <w:top w:val="single" w:sz="0" w:space="0" w:color="000000"/>
              <w:bottom w:val="single" w:sz="0" w:space="0" w:color="000000"/>
            </w:tcBorders>
          </w:tcPr>
          <w:p>
            <w:pPr>
              <w:pStyle w:val="TableParagraph"/>
              <w:jc w:val="left"/>
              <w:rPr>
                <w:b/>
                <w:sz w:val="18"/>
              </w:rPr>
            </w:pPr>
          </w:p>
          <w:p>
            <w:pPr>
              <w:pStyle w:val="TableParagraph"/>
              <w:spacing w:before="122"/>
              <w:ind w:left="325"/>
              <w:jc w:val="left"/>
              <w:rPr>
                <w:sz w:val="18"/>
              </w:rPr>
            </w:pPr>
            <w:r>
              <w:rPr>
                <w:sz w:val="18"/>
              </w:rPr>
              <w:t>563,406</w:t>
            </w:r>
          </w:p>
        </w:tc>
        <w:tc>
          <w:tcPr>
            <w:tcW w:w="1382" w:type="dxa"/>
            <w:tcBorders>
              <w:top w:val="single" w:sz="0" w:space="0" w:color="000000"/>
              <w:bottom w:val="single" w:sz="0" w:space="0" w:color="000000"/>
            </w:tcBorders>
          </w:tcPr>
          <w:p>
            <w:pPr>
              <w:pStyle w:val="TableParagraph"/>
              <w:jc w:val="left"/>
              <w:rPr>
                <w:b/>
                <w:sz w:val="18"/>
              </w:rPr>
            </w:pPr>
          </w:p>
          <w:p>
            <w:pPr>
              <w:pStyle w:val="TableParagraph"/>
              <w:spacing w:before="122"/>
              <w:ind w:left="376" w:right="293"/>
              <w:jc w:val="center"/>
              <w:rPr>
                <w:b/>
                <w:sz w:val="18"/>
              </w:rPr>
            </w:pPr>
            <w:r>
              <w:rPr>
                <w:b/>
                <w:sz w:val="18"/>
              </w:rPr>
              <w:t>569,250</w:t>
            </w:r>
          </w:p>
        </w:tc>
        <w:tc>
          <w:tcPr>
            <w:tcW w:w="1061" w:type="dxa"/>
            <w:tcBorders>
              <w:top w:val="single" w:sz="0" w:space="0" w:color="000000"/>
              <w:bottom w:val="single" w:sz="0" w:space="0" w:color="000000"/>
            </w:tcBorders>
          </w:tcPr>
          <w:p>
            <w:pPr>
              <w:pStyle w:val="TableParagraph"/>
              <w:jc w:val="left"/>
              <w:rPr>
                <w:b/>
                <w:sz w:val="18"/>
              </w:rPr>
            </w:pPr>
          </w:p>
          <w:p>
            <w:pPr>
              <w:pStyle w:val="TableParagraph"/>
              <w:spacing w:before="122"/>
              <w:ind w:right="85"/>
              <w:rPr>
                <w:sz w:val="18"/>
              </w:rPr>
            </w:pPr>
            <w:r>
              <w:rPr>
                <w:w w:val="95"/>
                <w:sz w:val="18"/>
              </w:rPr>
              <w:t>563,270</w:t>
            </w:r>
          </w:p>
        </w:tc>
      </w:tr>
    </w:tbl>
    <w:p>
      <w:pPr>
        <w:pStyle w:val="BodyText"/>
        <w:rPr>
          <w:b/>
          <w:sz w:val="20"/>
        </w:rPr>
      </w:pPr>
    </w:p>
    <w:p>
      <w:pPr>
        <w:pStyle w:val="BodyText"/>
        <w:rPr>
          <w:b/>
          <w:sz w:val="20"/>
        </w:rPr>
      </w:pPr>
    </w:p>
    <w:p>
      <w:pPr>
        <w:pStyle w:val="BodyText"/>
        <w:rPr>
          <w:b/>
          <w:sz w:val="20"/>
        </w:rPr>
      </w:pPr>
    </w:p>
    <w:p>
      <w:pPr>
        <w:pStyle w:val="BodyText"/>
        <w:spacing w:before="2"/>
        <w:rPr>
          <w:b/>
          <w:sz w:val="20"/>
        </w:rPr>
      </w:pPr>
    </w:p>
    <w:p>
      <w:pPr>
        <w:pStyle w:val="ListParagraph"/>
        <w:numPr>
          <w:ilvl w:val="0"/>
          <w:numId w:val="19"/>
        </w:numPr>
        <w:tabs>
          <w:tab w:pos="2392" w:val="left" w:leader="none"/>
        </w:tabs>
        <w:spacing w:line="240" w:lineRule="auto" w:before="77" w:after="0"/>
        <w:ind w:left="2391" w:right="0" w:hanging="566"/>
        <w:jc w:val="left"/>
        <w:rPr>
          <w:sz w:val="18"/>
        </w:rPr>
      </w:pPr>
      <w:r>
        <w:rPr/>
        <w:drawing>
          <wp:anchor distT="0" distB="0" distL="0" distR="0" allowOverlap="1" layoutInCell="1" locked="0" behindDoc="0" simplePos="0" relativeHeight="3040">
            <wp:simplePos x="0" y="0"/>
            <wp:positionH relativeFrom="page">
              <wp:posOffset>-1587</wp:posOffset>
            </wp:positionH>
            <wp:positionV relativeFrom="paragraph">
              <wp:posOffset>696517</wp:posOffset>
            </wp:positionV>
            <wp:extent cx="135159" cy="154019"/>
            <wp:effectExtent l="0" t="0" r="0" b="0"/>
            <wp:wrapNone/>
            <wp:docPr id="163" name="image13.png" descr=""/>
            <wp:cNvGraphicFramePr>
              <a:graphicFrameLocks noChangeAspect="1"/>
            </wp:cNvGraphicFramePr>
            <a:graphic>
              <a:graphicData uri="http://schemas.openxmlformats.org/drawingml/2006/picture">
                <pic:pic>
                  <pic:nvPicPr>
                    <pic:cNvPr id="164" name="image13.png"/>
                    <pic:cNvPicPr/>
                  </pic:nvPicPr>
                  <pic:blipFill>
                    <a:blip r:embed="rId18" cstate="print"/>
                    <a:stretch>
                      <a:fillRect/>
                    </a:stretch>
                  </pic:blipFill>
                  <pic:spPr>
                    <a:xfrm>
                      <a:off x="0" y="0"/>
                      <a:ext cx="135159" cy="154019"/>
                    </a:xfrm>
                    <a:prstGeom prst="rect">
                      <a:avLst/>
                    </a:prstGeom>
                  </pic:spPr>
                </pic:pic>
              </a:graphicData>
            </a:graphic>
          </wp:anchor>
        </w:drawing>
      </w:r>
      <w:r>
        <w:rPr/>
        <w:drawing>
          <wp:anchor distT="0" distB="0" distL="0" distR="0" allowOverlap="1" layoutInCell="1" locked="0" behindDoc="0" simplePos="0" relativeHeight="3064">
            <wp:simplePos x="0" y="0"/>
            <wp:positionH relativeFrom="page">
              <wp:posOffset>7958429</wp:posOffset>
            </wp:positionH>
            <wp:positionV relativeFrom="paragraph">
              <wp:posOffset>696517</wp:posOffset>
            </wp:positionV>
            <wp:extent cx="135953" cy="155575"/>
            <wp:effectExtent l="0" t="0" r="0" b="0"/>
            <wp:wrapNone/>
            <wp:docPr id="165" name="image15.png" descr=""/>
            <wp:cNvGraphicFramePr>
              <a:graphicFrameLocks noChangeAspect="1"/>
            </wp:cNvGraphicFramePr>
            <a:graphic>
              <a:graphicData uri="http://schemas.openxmlformats.org/drawingml/2006/picture">
                <pic:pic>
                  <pic:nvPicPr>
                    <pic:cNvPr id="166" name="image15.png"/>
                    <pic:cNvPicPr/>
                  </pic:nvPicPr>
                  <pic:blipFill>
                    <a:blip r:embed="rId20" cstate="print"/>
                    <a:stretch>
                      <a:fillRect/>
                    </a:stretch>
                  </pic:blipFill>
                  <pic:spPr>
                    <a:xfrm>
                      <a:off x="0" y="0"/>
                      <a:ext cx="135953" cy="155575"/>
                    </a:xfrm>
                    <a:prstGeom prst="rect">
                      <a:avLst/>
                    </a:prstGeom>
                  </pic:spPr>
                </pic:pic>
              </a:graphicData>
            </a:graphic>
          </wp:anchor>
        </w:drawing>
      </w:r>
      <w:bookmarkStart w:name="(h) Australian Government Grants receive" w:id="58"/>
      <w:bookmarkEnd w:id="58"/>
      <w:r>
        <w:rPr/>
      </w:r>
      <w:bookmarkStart w:name="(h) Australian Government Grants receive" w:id="59"/>
      <w:bookmarkEnd w:id="59"/>
      <w:r>
        <w:rPr>
          <w:sz w:val="18"/>
        </w:rPr>
        <w:t>Australia</w:t>
      </w:r>
      <w:r>
        <w:rPr>
          <w:sz w:val="18"/>
        </w:rPr>
        <w:t>n</w:t>
      </w:r>
      <w:r>
        <w:rPr>
          <w:spacing w:val="-8"/>
          <w:sz w:val="18"/>
        </w:rPr>
        <w:t> </w:t>
      </w:r>
      <w:r>
        <w:rPr>
          <w:sz w:val="18"/>
        </w:rPr>
        <w:t>Government</w:t>
      </w:r>
      <w:r>
        <w:rPr>
          <w:spacing w:val="-8"/>
          <w:sz w:val="18"/>
        </w:rPr>
        <w:t> </w:t>
      </w:r>
      <w:r>
        <w:rPr>
          <w:sz w:val="18"/>
        </w:rPr>
        <w:t>Grants</w:t>
      </w:r>
      <w:r>
        <w:rPr>
          <w:spacing w:val="-8"/>
          <w:sz w:val="18"/>
        </w:rPr>
        <w:t> </w:t>
      </w:r>
      <w:r>
        <w:rPr>
          <w:sz w:val="18"/>
        </w:rPr>
        <w:t>received</w:t>
      </w:r>
      <w:r>
        <w:rPr>
          <w:spacing w:val="-8"/>
          <w:sz w:val="18"/>
        </w:rPr>
        <w:t> </w:t>
      </w:r>
      <w:r>
        <w:rPr>
          <w:sz w:val="18"/>
        </w:rPr>
        <w:t>-</w:t>
      </w:r>
      <w:r>
        <w:rPr>
          <w:spacing w:val="-8"/>
          <w:sz w:val="18"/>
        </w:rPr>
        <w:t> </w:t>
      </w:r>
      <w:r>
        <w:rPr>
          <w:sz w:val="18"/>
        </w:rPr>
        <w:t>cash</w:t>
      </w:r>
      <w:r>
        <w:rPr>
          <w:spacing w:val="-8"/>
          <w:sz w:val="18"/>
        </w:rPr>
        <w:t> </w:t>
      </w:r>
      <w:r>
        <w:rPr>
          <w:sz w:val="18"/>
        </w:rPr>
        <w:t>basis</w:t>
      </w:r>
    </w:p>
    <w:p>
      <w:pPr>
        <w:pStyle w:val="BodyText"/>
        <w:rPr>
          <w:sz w:val="20"/>
        </w:rPr>
      </w:pPr>
    </w:p>
    <w:p>
      <w:pPr>
        <w:pStyle w:val="BodyText"/>
        <w:rPr>
          <w:sz w:val="19"/>
        </w:rPr>
      </w:pPr>
    </w:p>
    <w:tbl>
      <w:tblPr>
        <w:tblW w:w="0" w:type="auto"/>
        <w:jc w:val="left"/>
        <w:tblInd w:w="240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797"/>
        <w:gridCol w:w="616"/>
        <w:gridCol w:w="1703"/>
        <w:gridCol w:w="1411"/>
        <w:gridCol w:w="1352"/>
        <w:gridCol w:w="1061"/>
      </w:tblGrid>
      <w:tr>
        <w:trPr>
          <w:trHeight w:val="557" w:hRule="exact"/>
        </w:trPr>
        <w:tc>
          <w:tcPr>
            <w:tcW w:w="2797" w:type="dxa"/>
          </w:tcPr>
          <w:p>
            <w:pPr>
              <w:pStyle w:val="TableParagraph"/>
              <w:spacing w:line="302" w:lineRule="auto" w:before="79"/>
              <w:ind w:left="35"/>
              <w:jc w:val="left"/>
              <w:rPr>
                <w:sz w:val="18"/>
              </w:rPr>
            </w:pPr>
            <w:r>
              <w:rPr>
                <w:sz w:val="18"/>
              </w:rPr>
              <w:t>CGS and Other Education Grants Higher Education Loan</w:t>
            </w:r>
          </w:p>
        </w:tc>
        <w:tc>
          <w:tcPr>
            <w:tcW w:w="616" w:type="dxa"/>
          </w:tcPr>
          <w:p>
            <w:pPr>
              <w:pStyle w:val="TableParagraph"/>
              <w:spacing w:before="77"/>
              <w:ind w:left="83"/>
              <w:jc w:val="left"/>
              <w:rPr>
                <w:sz w:val="18"/>
              </w:rPr>
            </w:pPr>
            <w:r>
              <w:rPr>
                <w:sz w:val="18"/>
              </w:rPr>
              <w:t>40(a)</w:t>
            </w:r>
          </w:p>
          <w:p>
            <w:pPr>
              <w:pStyle w:val="TableParagraph"/>
              <w:spacing w:before="57"/>
              <w:ind w:left="83"/>
              <w:jc w:val="left"/>
              <w:rPr>
                <w:sz w:val="18"/>
              </w:rPr>
            </w:pPr>
            <w:r>
              <w:rPr>
                <w:sz w:val="18"/>
              </w:rPr>
              <w:t>40(b)</w:t>
            </w:r>
          </w:p>
        </w:tc>
        <w:tc>
          <w:tcPr>
            <w:tcW w:w="1703" w:type="dxa"/>
          </w:tcPr>
          <w:p>
            <w:pPr>
              <w:pStyle w:val="TableParagraph"/>
              <w:spacing w:before="78"/>
              <w:ind w:right="321"/>
              <w:rPr>
                <w:b/>
                <w:sz w:val="18"/>
              </w:rPr>
            </w:pPr>
            <w:r>
              <w:rPr>
                <w:b/>
                <w:w w:val="95"/>
                <w:sz w:val="18"/>
              </w:rPr>
              <w:t>312,771</w:t>
            </w:r>
          </w:p>
        </w:tc>
        <w:tc>
          <w:tcPr>
            <w:tcW w:w="1411" w:type="dxa"/>
          </w:tcPr>
          <w:p>
            <w:pPr>
              <w:pStyle w:val="TableParagraph"/>
              <w:spacing w:before="78"/>
              <w:ind w:right="437"/>
              <w:rPr>
                <w:sz w:val="18"/>
              </w:rPr>
            </w:pPr>
            <w:r>
              <w:rPr>
                <w:w w:val="95"/>
                <w:sz w:val="18"/>
              </w:rPr>
              <w:t>302,951</w:t>
            </w:r>
          </w:p>
        </w:tc>
        <w:tc>
          <w:tcPr>
            <w:tcW w:w="1352" w:type="dxa"/>
          </w:tcPr>
          <w:p>
            <w:pPr>
              <w:pStyle w:val="TableParagraph"/>
              <w:spacing w:before="78"/>
              <w:ind w:right="321"/>
              <w:rPr>
                <w:b/>
                <w:sz w:val="18"/>
              </w:rPr>
            </w:pPr>
            <w:r>
              <w:rPr>
                <w:b/>
                <w:w w:val="95"/>
                <w:sz w:val="18"/>
              </w:rPr>
              <w:t>312,771</w:t>
            </w:r>
          </w:p>
        </w:tc>
        <w:tc>
          <w:tcPr>
            <w:tcW w:w="1061" w:type="dxa"/>
          </w:tcPr>
          <w:p>
            <w:pPr>
              <w:pStyle w:val="TableParagraph"/>
              <w:spacing w:before="78"/>
              <w:ind w:right="86"/>
              <w:rPr>
                <w:sz w:val="18"/>
              </w:rPr>
            </w:pPr>
            <w:r>
              <w:rPr>
                <w:w w:val="95"/>
                <w:sz w:val="18"/>
              </w:rPr>
              <w:t>302,951</w:t>
            </w:r>
          </w:p>
        </w:tc>
      </w:tr>
      <w:tr>
        <w:trPr>
          <w:trHeight w:val="235" w:hRule="exact"/>
        </w:trPr>
        <w:tc>
          <w:tcPr>
            <w:tcW w:w="2797" w:type="dxa"/>
          </w:tcPr>
          <w:p>
            <w:pPr>
              <w:pStyle w:val="TableParagraph"/>
              <w:spacing w:line="198" w:lineRule="exact"/>
              <w:ind w:left="35"/>
              <w:jc w:val="left"/>
              <w:rPr>
                <w:sz w:val="18"/>
              </w:rPr>
            </w:pPr>
            <w:r>
              <w:rPr>
                <w:sz w:val="18"/>
              </w:rPr>
              <w:t>Programmes</w:t>
            </w:r>
          </w:p>
        </w:tc>
        <w:tc>
          <w:tcPr>
            <w:tcW w:w="616" w:type="dxa"/>
          </w:tcPr>
          <w:p>
            <w:pPr/>
          </w:p>
        </w:tc>
        <w:tc>
          <w:tcPr>
            <w:tcW w:w="1703" w:type="dxa"/>
          </w:tcPr>
          <w:p>
            <w:pPr>
              <w:pStyle w:val="TableParagraph"/>
              <w:spacing w:line="197" w:lineRule="exact"/>
              <w:ind w:right="321"/>
              <w:rPr>
                <w:b/>
                <w:sz w:val="18"/>
              </w:rPr>
            </w:pPr>
            <w:r>
              <w:rPr>
                <w:b/>
                <w:w w:val="95"/>
                <w:sz w:val="18"/>
              </w:rPr>
              <w:t>222,891</w:t>
            </w:r>
          </w:p>
        </w:tc>
        <w:tc>
          <w:tcPr>
            <w:tcW w:w="1411" w:type="dxa"/>
          </w:tcPr>
          <w:p>
            <w:pPr>
              <w:pStyle w:val="TableParagraph"/>
              <w:spacing w:line="197" w:lineRule="exact"/>
              <w:ind w:right="437"/>
              <w:rPr>
                <w:sz w:val="18"/>
              </w:rPr>
            </w:pPr>
            <w:r>
              <w:rPr>
                <w:w w:val="95"/>
                <w:sz w:val="18"/>
              </w:rPr>
              <w:t>221,389</w:t>
            </w:r>
          </w:p>
        </w:tc>
        <w:tc>
          <w:tcPr>
            <w:tcW w:w="1352" w:type="dxa"/>
          </w:tcPr>
          <w:p>
            <w:pPr>
              <w:pStyle w:val="TableParagraph"/>
              <w:spacing w:line="197" w:lineRule="exact"/>
              <w:ind w:right="321"/>
              <w:rPr>
                <w:b/>
                <w:sz w:val="18"/>
              </w:rPr>
            </w:pPr>
            <w:r>
              <w:rPr>
                <w:b/>
                <w:w w:val="95"/>
                <w:sz w:val="18"/>
              </w:rPr>
              <w:t>222,891</w:t>
            </w:r>
          </w:p>
        </w:tc>
        <w:tc>
          <w:tcPr>
            <w:tcW w:w="1061" w:type="dxa"/>
          </w:tcPr>
          <w:p>
            <w:pPr>
              <w:pStyle w:val="TableParagraph"/>
              <w:spacing w:line="197" w:lineRule="exact"/>
              <w:ind w:right="86"/>
              <w:rPr>
                <w:sz w:val="18"/>
              </w:rPr>
            </w:pPr>
            <w:r>
              <w:rPr>
                <w:w w:val="95"/>
                <w:sz w:val="18"/>
              </w:rPr>
              <w:t>221,413</w:t>
            </w:r>
          </w:p>
        </w:tc>
      </w:tr>
      <w:tr>
        <w:trPr>
          <w:trHeight w:val="264" w:hRule="exact"/>
        </w:trPr>
        <w:tc>
          <w:tcPr>
            <w:tcW w:w="2797" w:type="dxa"/>
          </w:tcPr>
          <w:p>
            <w:pPr>
              <w:pStyle w:val="TableParagraph"/>
              <w:spacing w:before="20"/>
              <w:ind w:left="35"/>
              <w:jc w:val="left"/>
              <w:rPr>
                <w:sz w:val="18"/>
              </w:rPr>
            </w:pPr>
            <w:r>
              <w:rPr>
                <w:sz w:val="18"/>
              </w:rPr>
              <w:t>Scholarships</w:t>
            </w:r>
          </w:p>
        </w:tc>
        <w:tc>
          <w:tcPr>
            <w:tcW w:w="616" w:type="dxa"/>
          </w:tcPr>
          <w:p>
            <w:pPr>
              <w:pStyle w:val="TableParagraph"/>
              <w:spacing w:before="18"/>
              <w:ind w:left="83"/>
              <w:jc w:val="left"/>
              <w:rPr>
                <w:sz w:val="18"/>
              </w:rPr>
            </w:pPr>
            <w:r>
              <w:rPr>
                <w:sz w:val="18"/>
              </w:rPr>
              <w:t>40(c)</w:t>
            </w:r>
          </w:p>
        </w:tc>
        <w:tc>
          <w:tcPr>
            <w:tcW w:w="1703" w:type="dxa"/>
          </w:tcPr>
          <w:p>
            <w:pPr>
              <w:pStyle w:val="TableParagraph"/>
              <w:spacing w:before="19"/>
              <w:ind w:right="321"/>
              <w:rPr>
                <w:b/>
                <w:sz w:val="18"/>
              </w:rPr>
            </w:pPr>
            <w:r>
              <w:rPr>
                <w:b/>
                <w:sz w:val="18"/>
              </w:rPr>
              <w:t>3,804</w:t>
            </w:r>
          </w:p>
        </w:tc>
        <w:tc>
          <w:tcPr>
            <w:tcW w:w="1411" w:type="dxa"/>
          </w:tcPr>
          <w:p>
            <w:pPr>
              <w:pStyle w:val="TableParagraph"/>
              <w:spacing w:before="19"/>
              <w:ind w:right="437"/>
              <w:rPr>
                <w:sz w:val="18"/>
              </w:rPr>
            </w:pPr>
            <w:r>
              <w:rPr>
                <w:sz w:val="18"/>
              </w:rPr>
              <w:t>3,662</w:t>
            </w:r>
          </w:p>
        </w:tc>
        <w:tc>
          <w:tcPr>
            <w:tcW w:w="1352" w:type="dxa"/>
          </w:tcPr>
          <w:p>
            <w:pPr>
              <w:pStyle w:val="TableParagraph"/>
              <w:spacing w:before="19"/>
              <w:ind w:right="321"/>
              <w:rPr>
                <w:b/>
                <w:sz w:val="18"/>
              </w:rPr>
            </w:pPr>
            <w:r>
              <w:rPr>
                <w:b/>
                <w:sz w:val="18"/>
              </w:rPr>
              <w:t>3,804</w:t>
            </w:r>
          </w:p>
        </w:tc>
        <w:tc>
          <w:tcPr>
            <w:tcW w:w="1061" w:type="dxa"/>
          </w:tcPr>
          <w:p>
            <w:pPr>
              <w:pStyle w:val="TableParagraph"/>
              <w:spacing w:before="19"/>
              <w:ind w:right="86"/>
              <w:rPr>
                <w:sz w:val="18"/>
              </w:rPr>
            </w:pPr>
            <w:r>
              <w:rPr>
                <w:sz w:val="18"/>
              </w:rPr>
              <w:t>3,662</w:t>
            </w:r>
          </w:p>
        </w:tc>
      </w:tr>
      <w:tr>
        <w:trPr>
          <w:trHeight w:val="264" w:hRule="exact"/>
        </w:trPr>
        <w:tc>
          <w:tcPr>
            <w:tcW w:w="2797" w:type="dxa"/>
          </w:tcPr>
          <w:p>
            <w:pPr>
              <w:pStyle w:val="TableParagraph"/>
              <w:spacing w:before="20"/>
              <w:ind w:left="35"/>
              <w:jc w:val="left"/>
              <w:rPr>
                <w:sz w:val="18"/>
              </w:rPr>
            </w:pPr>
            <w:r>
              <w:rPr>
                <w:sz w:val="18"/>
              </w:rPr>
              <w:t>Education Research</w:t>
            </w:r>
          </w:p>
        </w:tc>
        <w:tc>
          <w:tcPr>
            <w:tcW w:w="616" w:type="dxa"/>
          </w:tcPr>
          <w:p>
            <w:pPr>
              <w:pStyle w:val="TableParagraph"/>
              <w:spacing w:before="18"/>
              <w:ind w:left="83"/>
              <w:jc w:val="left"/>
              <w:rPr>
                <w:sz w:val="18"/>
              </w:rPr>
            </w:pPr>
            <w:r>
              <w:rPr>
                <w:sz w:val="18"/>
              </w:rPr>
              <w:t>40(d)</w:t>
            </w:r>
          </w:p>
        </w:tc>
        <w:tc>
          <w:tcPr>
            <w:tcW w:w="1703" w:type="dxa"/>
          </w:tcPr>
          <w:p>
            <w:pPr>
              <w:pStyle w:val="TableParagraph"/>
              <w:spacing w:before="19"/>
              <w:ind w:right="321"/>
              <w:rPr>
                <w:b/>
                <w:sz w:val="18"/>
              </w:rPr>
            </w:pPr>
            <w:r>
              <w:rPr>
                <w:b/>
                <w:w w:val="95"/>
                <w:sz w:val="18"/>
              </w:rPr>
              <w:t>12,954</w:t>
            </w:r>
          </w:p>
        </w:tc>
        <w:tc>
          <w:tcPr>
            <w:tcW w:w="1411" w:type="dxa"/>
          </w:tcPr>
          <w:p>
            <w:pPr>
              <w:pStyle w:val="TableParagraph"/>
              <w:spacing w:before="19"/>
              <w:ind w:right="437"/>
              <w:rPr>
                <w:sz w:val="18"/>
              </w:rPr>
            </w:pPr>
            <w:r>
              <w:rPr>
                <w:w w:val="95"/>
                <w:sz w:val="18"/>
              </w:rPr>
              <w:t>13,907</w:t>
            </w:r>
          </w:p>
        </w:tc>
        <w:tc>
          <w:tcPr>
            <w:tcW w:w="1352" w:type="dxa"/>
          </w:tcPr>
          <w:p>
            <w:pPr>
              <w:pStyle w:val="TableParagraph"/>
              <w:spacing w:before="19"/>
              <w:ind w:right="321"/>
              <w:rPr>
                <w:b/>
                <w:sz w:val="18"/>
              </w:rPr>
            </w:pPr>
            <w:r>
              <w:rPr>
                <w:b/>
                <w:w w:val="95"/>
                <w:sz w:val="18"/>
              </w:rPr>
              <w:t>12,954</w:t>
            </w:r>
          </w:p>
        </w:tc>
        <w:tc>
          <w:tcPr>
            <w:tcW w:w="1061" w:type="dxa"/>
          </w:tcPr>
          <w:p>
            <w:pPr>
              <w:pStyle w:val="TableParagraph"/>
              <w:spacing w:before="19"/>
              <w:ind w:right="86"/>
              <w:rPr>
                <w:sz w:val="18"/>
              </w:rPr>
            </w:pPr>
            <w:r>
              <w:rPr>
                <w:w w:val="95"/>
                <w:sz w:val="18"/>
              </w:rPr>
              <w:t>13,907</w:t>
            </w:r>
          </w:p>
        </w:tc>
      </w:tr>
      <w:tr>
        <w:trPr>
          <w:trHeight w:val="264" w:hRule="exact"/>
        </w:trPr>
        <w:tc>
          <w:tcPr>
            <w:tcW w:w="2797" w:type="dxa"/>
          </w:tcPr>
          <w:p>
            <w:pPr>
              <w:pStyle w:val="TableParagraph"/>
              <w:spacing w:before="20"/>
              <w:ind w:left="35"/>
              <w:jc w:val="left"/>
              <w:rPr>
                <w:sz w:val="18"/>
              </w:rPr>
            </w:pPr>
            <w:r>
              <w:rPr>
                <w:sz w:val="18"/>
              </w:rPr>
              <w:t>Other Capital Funding</w:t>
            </w:r>
          </w:p>
        </w:tc>
        <w:tc>
          <w:tcPr>
            <w:tcW w:w="616" w:type="dxa"/>
          </w:tcPr>
          <w:p>
            <w:pPr>
              <w:pStyle w:val="TableParagraph"/>
              <w:spacing w:before="18"/>
              <w:ind w:left="83"/>
              <w:jc w:val="left"/>
              <w:rPr>
                <w:sz w:val="18"/>
              </w:rPr>
            </w:pPr>
            <w:r>
              <w:rPr>
                <w:sz w:val="18"/>
              </w:rPr>
              <w:t>40(e)</w:t>
            </w:r>
          </w:p>
        </w:tc>
        <w:tc>
          <w:tcPr>
            <w:tcW w:w="1703" w:type="dxa"/>
          </w:tcPr>
          <w:p>
            <w:pPr>
              <w:pStyle w:val="TableParagraph"/>
              <w:spacing w:before="19"/>
              <w:ind w:right="322"/>
              <w:rPr>
                <w:b/>
                <w:sz w:val="18"/>
              </w:rPr>
            </w:pPr>
            <w:r>
              <w:rPr>
                <w:b/>
                <w:w w:val="99"/>
                <w:sz w:val="18"/>
              </w:rPr>
              <w:t>-</w:t>
            </w:r>
          </w:p>
        </w:tc>
        <w:tc>
          <w:tcPr>
            <w:tcW w:w="1411" w:type="dxa"/>
          </w:tcPr>
          <w:p>
            <w:pPr>
              <w:pStyle w:val="TableParagraph"/>
              <w:spacing w:before="19"/>
              <w:ind w:right="437"/>
              <w:rPr>
                <w:sz w:val="18"/>
              </w:rPr>
            </w:pPr>
            <w:r>
              <w:rPr>
                <w:sz w:val="18"/>
              </w:rPr>
              <w:t>100</w:t>
            </w:r>
          </w:p>
        </w:tc>
        <w:tc>
          <w:tcPr>
            <w:tcW w:w="1352" w:type="dxa"/>
          </w:tcPr>
          <w:p>
            <w:pPr>
              <w:pStyle w:val="TableParagraph"/>
              <w:spacing w:before="19"/>
              <w:ind w:right="322"/>
              <w:rPr>
                <w:b/>
                <w:sz w:val="18"/>
              </w:rPr>
            </w:pPr>
            <w:r>
              <w:rPr>
                <w:b/>
                <w:w w:val="99"/>
                <w:sz w:val="18"/>
              </w:rPr>
              <w:t>-</w:t>
            </w:r>
          </w:p>
        </w:tc>
        <w:tc>
          <w:tcPr>
            <w:tcW w:w="1061" w:type="dxa"/>
          </w:tcPr>
          <w:p>
            <w:pPr>
              <w:pStyle w:val="TableParagraph"/>
              <w:spacing w:before="19"/>
              <w:ind w:right="86"/>
              <w:rPr>
                <w:sz w:val="18"/>
              </w:rPr>
            </w:pPr>
            <w:r>
              <w:rPr>
                <w:sz w:val="18"/>
              </w:rPr>
              <w:t>100</w:t>
            </w:r>
          </w:p>
        </w:tc>
      </w:tr>
      <w:tr>
        <w:trPr>
          <w:trHeight w:val="264" w:hRule="exact"/>
        </w:trPr>
        <w:tc>
          <w:tcPr>
            <w:tcW w:w="2797" w:type="dxa"/>
          </w:tcPr>
          <w:p>
            <w:pPr>
              <w:pStyle w:val="TableParagraph"/>
              <w:spacing w:before="20"/>
              <w:ind w:left="35"/>
              <w:jc w:val="left"/>
              <w:rPr>
                <w:sz w:val="18"/>
              </w:rPr>
            </w:pPr>
            <w:r>
              <w:rPr>
                <w:sz w:val="18"/>
              </w:rPr>
              <w:t>ARC Grants - Discovery</w:t>
            </w:r>
          </w:p>
        </w:tc>
        <w:tc>
          <w:tcPr>
            <w:tcW w:w="616" w:type="dxa"/>
          </w:tcPr>
          <w:p>
            <w:pPr>
              <w:pStyle w:val="TableParagraph"/>
              <w:spacing w:before="18"/>
              <w:ind w:left="83"/>
              <w:jc w:val="left"/>
              <w:rPr>
                <w:sz w:val="18"/>
              </w:rPr>
            </w:pPr>
            <w:r>
              <w:rPr>
                <w:sz w:val="18"/>
              </w:rPr>
              <w:t>40(f)</w:t>
            </w:r>
          </w:p>
        </w:tc>
        <w:tc>
          <w:tcPr>
            <w:tcW w:w="1703" w:type="dxa"/>
          </w:tcPr>
          <w:p>
            <w:pPr>
              <w:pStyle w:val="TableParagraph"/>
              <w:spacing w:before="19"/>
              <w:ind w:right="321"/>
              <w:rPr>
                <w:b/>
                <w:sz w:val="18"/>
              </w:rPr>
            </w:pPr>
            <w:r>
              <w:rPr>
                <w:b/>
                <w:sz w:val="18"/>
              </w:rPr>
              <w:t>5,133</w:t>
            </w:r>
          </w:p>
        </w:tc>
        <w:tc>
          <w:tcPr>
            <w:tcW w:w="1411" w:type="dxa"/>
          </w:tcPr>
          <w:p>
            <w:pPr>
              <w:pStyle w:val="TableParagraph"/>
              <w:spacing w:before="19"/>
              <w:ind w:right="437"/>
              <w:rPr>
                <w:sz w:val="18"/>
              </w:rPr>
            </w:pPr>
            <w:r>
              <w:rPr>
                <w:sz w:val="18"/>
              </w:rPr>
              <w:t>6,234</w:t>
            </w:r>
          </w:p>
        </w:tc>
        <w:tc>
          <w:tcPr>
            <w:tcW w:w="1352" w:type="dxa"/>
          </w:tcPr>
          <w:p>
            <w:pPr>
              <w:pStyle w:val="TableParagraph"/>
              <w:spacing w:before="19"/>
              <w:ind w:right="321"/>
              <w:rPr>
                <w:b/>
                <w:sz w:val="18"/>
              </w:rPr>
            </w:pPr>
            <w:r>
              <w:rPr>
                <w:b/>
                <w:sz w:val="18"/>
              </w:rPr>
              <w:t>5,133</w:t>
            </w:r>
          </w:p>
        </w:tc>
        <w:tc>
          <w:tcPr>
            <w:tcW w:w="1061" w:type="dxa"/>
          </w:tcPr>
          <w:p>
            <w:pPr>
              <w:pStyle w:val="TableParagraph"/>
              <w:spacing w:before="19"/>
              <w:ind w:right="86"/>
              <w:rPr>
                <w:sz w:val="18"/>
              </w:rPr>
            </w:pPr>
            <w:r>
              <w:rPr>
                <w:sz w:val="18"/>
              </w:rPr>
              <w:t>6,234</w:t>
            </w:r>
          </w:p>
        </w:tc>
      </w:tr>
      <w:tr>
        <w:trPr>
          <w:trHeight w:val="264" w:hRule="exact"/>
        </w:trPr>
        <w:tc>
          <w:tcPr>
            <w:tcW w:w="2797" w:type="dxa"/>
          </w:tcPr>
          <w:p>
            <w:pPr>
              <w:pStyle w:val="TableParagraph"/>
              <w:spacing w:before="20"/>
              <w:ind w:left="35"/>
              <w:jc w:val="left"/>
              <w:rPr>
                <w:sz w:val="18"/>
              </w:rPr>
            </w:pPr>
            <w:r>
              <w:rPr>
                <w:sz w:val="18"/>
              </w:rPr>
              <w:t>ARC Grants - Linkages</w:t>
            </w:r>
          </w:p>
        </w:tc>
        <w:tc>
          <w:tcPr>
            <w:tcW w:w="616" w:type="dxa"/>
          </w:tcPr>
          <w:p>
            <w:pPr>
              <w:pStyle w:val="TableParagraph"/>
              <w:spacing w:before="18"/>
              <w:ind w:left="83"/>
              <w:jc w:val="left"/>
              <w:rPr>
                <w:sz w:val="18"/>
              </w:rPr>
            </w:pPr>
            <w:r>
              <w:rPr>
                <w:sz w:val="18"/>
              </w:rPr>
              <w:t>40(f)</w:t>
            </w:r>
          </w:p>
        </w:tc>
        <w:tc>
          <w:tcPr>
            <w:tcW w:w="1703" w:type="dxa"/>
          </w:tcPr>
          <w:p>
            <w:pPr>
              <w:pStyle w:val="TableParagraph"/>
              <w:spacing w:before="19"/>
              <w:ind w:right="321"/>
              <w:rPr>
                <w:b/>
                <w:sz w:val="18"/>
              </w:rPr>
            </w:pPr>
            <w:r>
              <w:rPr>
                <w:b/>
                <w:sz w:val="18"/>
              </w:rPr>
              <w:t>1,146</w:t>
            </w:r>
          </w:p>
        </w:tc>
        <w:tc>
          <w:tcPr>
            <w:tcW w:w="1411" w:type="dxa"/>
          </w:tcPr>
          <w:p>
            <w:pPr>
              <w:pStyle w:val="TableParagraph"/>
              <w:spacing w:before="19"/>
              <w:ind w:right="437"/>
              <w:rPr>
                <w:sz w:val="18"/>
              </w:rPr>
            </w:pPr>
            <w:r>
              <w:rPr>
                <w:sz w:val="18"/>
              </w:rPr>
              <w:t>749</w:t>
            </w:r>
          </w:p>
        </w:tc>
        <w:tc>
          <w:tcPr>
            <w:tcW w:w="1352" w:type="dxa"/>
          </w:tcPr>
          <w:p>
            <w:pPr>
              <w:pStyle w:val="TableParagraph"/>
              <w:spacing w:before="19"/>
              <w:ind w:right="321"/>
              <w:rPr>
                <w:b/>
                <w:sz w:val="18"/>
              </w:rPr>
            </w:pPr>
            <w:r>
              <w:rPr>
                <w:b/>
                <w:sz w:val="18"/>
              </w:rPr>
              <w:t>1,146</w:t>
            </w:r>
          </w:p>
        </w:tc>
        <w:tc>
          <w:tcPr>
            <w:tcW w:w="1061" w:type="dxa"/>
          </w:tcPr>
          <w:p>
            <w:pPr>
              <w:pStyle w:val="TableParagraph"/>
              <w:spacing w:before="19"/>
              <w:ind w:right="86"/>
              <w:rPr>
                <w:sz w:val="18"/>
              </w:rPr>
            </w:pPr>
            <w:r>
              <w:rPr>
                <w:sz w:val="18"/>
              </w:rPr>
              <w:t>749</w:t>
            </w:r>
          </w:p>
        </w:tc>
      </w:tr>
      <w:tr>
        <w:trPr>
          <w:trHeight w:val="468" w:hRule="exact"/>
        </w:trPr>
        <w:tc>
          <w:tcPr>
            <w:tcW w:w="2797" w:type="dxa"/>
          </w:tcPr>
          <w:p>
            <w:pPr>
              <w:pStyle w:val="TableParagraph"/>
              <w:spacing w:before="18"/>
              <w:ind w:left="35"/>
              <w:jc w:val="left"/>
              <w:rPr>
                <w:sz w:val="18"/>
              </w:rPr>
            </w:pPr>
            <w:r>
              <w:rPr>
                <w:sz w:val="18"/>
              </w:rPr>
              <w:t>ARC Grants - Networks and Centres</w:t>
            </w:r>
          </w:p>
        </w:tc>
        <w:tc>
          <w:tcPr>
            <w:tcW w:w="616" w:type="dxa"/>
          </w:tcPr>
          <w:p>
            <w:pPr>
              <w:pStyle w:val="TableParagraph"/>
              <w:spacing w:before="18"/>
              <w:ind w:left="83"/>
              <w:jc w:val="left"/>
              <w:rPr>
                <w:sz w:val="18"/>
              </w:rPr>
            </w:pPr>
            <w:r>
              <w:rPr>
                <w:sz w:val="18"/>
              </w:rPr>
              <w:t>40(f)</w:t>
            </w:r>
          </w:p>
        </w:tc>
        <w:tc>
          <w:tcPr>
            <w:tcW w:w="1703" w:type="dxa"/>
          </w:tcPr>
          <w:p>
            <w:pPr>
              <w:pStyle w:val="TableParagraph"/>
              <w:spacing w:before="4"/>
              <w:jc w:val="left"/>
              <w:rPr>
                <w:sz w:val="19"/>
              </w:rPr>
            </w:pPr>
          </w:p>
          <w:p>
            <w:pPr>
              <w:pStyle w:val="TableParagraph"/>
              <w:ind w:right="321"/>
              <w:rPr>
                <w:b/>
                <w:sz w:val="18"/>
              </w:rPr>
            </w:pPr>
            <w:r>
              <w:rPr>
                <w:b/>
                <w:sz w:val="18"/>
              </w:rPr>
              <w:t>1,136</w:t>
            </w:r>
          </w:p>
        </w:tc>
        <w:tc>
          <w:tcPr>
            <w:tcW w:w="1411" w:type="dxa"/>
          </w:tcPr>
          <w:p>
            <w:pPr>
              <w:pStyle w:val="TableParagraph"/>
              <w:spacing w:before="4"/>
              <w:jc w:val="left"/>
              <w:rPr>
                <w:sz w:val="19"/>
              </w:rPr>
            </w:pPr>
          </w:p>
          <w:p>
            <w:pPr>
              <w:pStyle w:val="TableParagraph"/>
              <w:ind w:right="437"/>
              <w:rPr>
                <w:sz w:val="18"/>
              </w:rPr>
            </w:pPr>
            <w:r>
              <w:rPr>
                <w:sz w:val="18"/>
              </w:rPr>
              <w:t>1,069</w:t>
            </w:r>
          </w:p>
        </w:tc>
        <w:tc>
          <w:tcPr>
            <w:tcW w:w="1352" w:type="dxa"/>
          </w:tcPr>
          <w:p>
            <w:pPr>
              <w:pStyle w:val="TableParagraph"/>
              <w:spacing w:before="4"/>
              <w:jc w:val="left"/>
              <w:rPr>
                <w:sz w:val="19"/>
              </w:rPr>
            </w:pPr>
          </w:p>
          <w:p>
            <w:pPr>
              <w:pStyle w:val="TableParagraph"/>
              <w:ind w:right="321"/>
              <w:rPr>
                <w:b/>
                <w:sz w:val="18"/>
              </w:rPr>
            </w:pPr>
            <w:r>
              <w:rPr>
                <w:b/>
                <w:sz w:val="18"/>
              </w:rPr>
              <w:t>1,136</w:t>
            </w:r>
          </w:p>
        </w:tc>
        <w:tc>
          <w:tcPr>
            <w:tcW w:w="1061" w:type="dxa"/>
          </w:tcPr>
          <w:p>
            <w:pPr>
              <w:pStyle w:val="TableParagraph"/>
              <w:spacing w:before="4"/>
              <w:jc w:val="left"/>
              <w:rPr>
                <w:sz w:val="19"/>
              </w:rPr>
            </w:pPr>
          </w:p>
          <w:p>
            <w:pPr>
              <w:pStyle w:val="TableParagraph"/>
              <w:ind w:right="86"/>
              <w:rPr>
                <w:sz w:val="18"/>
              </w:rPr>
            </w:pPr>
            <w:r>
              <w:rPr>
                <w:sz w:val="18"/>
              </w:rPr>
              <w:t>1,069</w:t>
            </w:r>
          </w:p>
        </w:tc>
      </w:tr>
      <w:tr>
        <w:trPr>
          <w:trHeight w:val="467" w:hRule="exact"/>
        </w:trPr>
        <w:tc>
          <w:tcPr>
            <w:tcW w:w="2797" w:type="dxa"/>
          </w:tcPr>
          <w:p>
            <w:pPr>
              <w:pStyle w:val="TableParagraph"/>
              <w:spacing w:before="18"/>
              <w:ind w:left="35"/>
              <w:jc w:val="left"/>
              <w:rPr>
                <w:sz w:val="18"/>
              </w:rPr>
            </w:pPr>
            <w:r>
              <w:rPr>
                <w:sz w:val="18"/>
              </w:rPr>
              <w:t>Other Australian Government Grants</w:t>
            </w:r>
          </w:p>
        </w:tc>
        <w:tc>
          <w:tcPr>
            <w:tcW w:w="616" w:type="dxa"/>
          </w:tcPr>
          <w:p>
            <w:pPr>
              <w:pStyle w:val="TableParagraph"/>
              <w:spacing w:before="18"/>
              <w:ind w:left="83"/>
              <w:jc w:val="left"/>
              <w:rPr>
                <w:sz w:val="18"/>
              </w:rPr>
            </w:pPr>
            <w:r>
              <w:rPr>
                <w:sz w:val="18"/>
              </w:rPr>
              <w:t>2(g)</w:t>
            </w:r>
          </w:p>
        </w:tc>
        <w:tc>
          <w:tcPr>
            <w:tcW w:w="1703" w:type="dxa"/>
            <w:tcBorders>
              <w:bottom w:val="single" w:sz="0" w:space="0" w:color="000000"/>
            </w:tcBorders>
          </w:tcPr>
          <w:p>
            <w:pPr>
              <w:pStyle w:val="TableParagraph"/>
              <w:spacing w:before="4"/>
              <w:jc w:val="left"/>
              <w:rPr>
                <w:sz w:val="19"/>
              </w:rPr>
            </w:pPr>
          </w:p>
          <w:p>
            <w:pPr>
              <w:pStyle w:val="TableParagraph"/>
              <w:ind w:right="321"/>
              <w:rPr>
                <w:b/>
                <w:sz w:val="18"/>
              </w:rPr>
            </w:pPr>
            <w:r>
              <w:rPr>
                <w:b/>
                <w:sz w:val="18"/>
              </w:rPr>
              <w:t>7,479</w:t>
            </w:r>
          </w:p>
        </w:tc>
        <w:tc>
          <w:tcPr>
            <w:tcW w:w="1411" w:type="dxa"/>
            <w:tcBorders>
              <w:bottom w:val="single" w:sz="0" w:space="0" w:color="000000"/>
            </w:tcBorders>
          </w:tcPr>
          <w:p>
            <w:pPr>
              <w:pStyle w:val="TableParagraph"/>
              <w:spacing w:before="4"/>
              <w:jc w:val="left"/>
              <w:rPr>
                <w:sz w:val="19"/>
              </w:rPr>
            </w:pPr>
          </w:p>
          <w:p>
            <w:pPr>
              <w:pStyle w:val="TableParagraph"/>
              <w:ind w:right="437"/>
              <w:rPr>
                <w:sz w:val="18"/>
              </w:rPr>
            </w:pPr>
            <w:r>
              <w:rPr>
                <w:w w:val="95"/>
                <w:sz w:val="18"/>
              </w:rPr>
              <w:t>13,055</w:t>
            </w:r>
          </w:p>
        </w:tc>
        <w:tc>
          <w:tcPr>
            <w:tcW w:w="1352" w:type="dxa"/>
            <w:tcBorders>
              <w:bottom w:val="single" w:sz="0" w:space="0" w:color="000000"/>
            </w:tcBorders>
          </w:tcPr>
          <w:p>
            <w:pPr>
              <w:pStyle w:val="TableParagraph"/>
              <w:spacing w:before="4"/>
              <w:jc w:val="left"/>
              <w:rPr>
                <w:sz w:val="19"/>
              </w:rPr>
            </w:pPr>
          </w:p>
          <w:p>
            <w:pPr>
              <w:pStyle w:val="TableParagraph"/>
              <w:ind w:right="321"/>
              <w:rPr>
                <w:b/>
                <w:sz w:val="18"/>
              </w:rPr>
            </w:pPr>
            <w:r>
              <w:rPr>
                <w:b/>
                <w:sz w:val="18"/>
              </w:rPr>
              <w:t>7,479</w:t>
            </w:r>
          </w:p>
        </w:tc>
        <w:tc>
          <w:tcPr>
            <w:tcW w:w="1061" w:type="dxa"/>
            <w:tcBorders>
              <w:bottom w:val="single" w:sz="0" w:space="0" w:color="000000"/>
            </w:tcBorders>
          </w:tcPr>
          <w:p>
            <w:pPr>
              <w:pStyle w:val="TableParagraph"/>
              <w:spacing w:before="4"/>
              <w:jc w:val="left"/>
              <w:rPr>
                <w:sz w:val="19"/>
              </w:rPr>
            </w:pPr>
          </w:p>
          <w:p>
            <w:pPr>
              <w:pStyle w:val="TableParagraph"/>
              <w:ind w:right="86"/>
              <w:rPr>
                <w:sz w:val="18"/>
              </w:rPr>
            </w:pPr>
            <w:r>
              <w:rPr>
                <w:w w:val="95"/>
                <w:sz w:val="18"/>
              </w:rPr>
              <w:t>12,895</w:t>
            </w:r>
          </w:p>
        </w:tc>
      </w:tr>
      <w:tr>
        <w:trPr>
          <w:trHeight w:val="326" w:hRule="exact"/>
        </w:trPr>
        <w:tc>
          <w:tcPr>
            <w:tcW w:w="2797" w:type="dxa"/>
          </w:tcPr>
          <w:p>
            <w:pPr>
              <w:pStyle w:val="TableParagraph"/>
              <w:spacing w:before="123"/>
              <w:ind w:left="35"/>
              <w:jc w:val="left"/>
              <w:rPr>
                <w:b/>
                <w:sz w:val="18"/>
              </w:rPr>
            </w:pPr>
            <w:r>
              <w:rPr>
                <w:b/>
                <w:sz w:val="18"/>
              </w:rPr>
              <w:t>Total Australian Government</w:t>
            </w:r>
          </w:p>
        </w:tc>
        <w:tc>
          <w:tcPr>
            <w:tcW w:w="616" w:type="dxa"/>
          </w:tcPr>
          <w:p>
            <w:pPr/>
          </w:p>
        </w:tc>
        <w:tc>
          <w:tcPr>
            <w:tcW w:w="1703" w:type="dxa"/>
            <w:tcBorders>
              <w:top w:val="single" w:sz="0" w:space="0" w:color="000000"/>
            </w:tcBorders>
          </w:tcPr>
          <w:p>
            <w:pPr/>
          </w:p>
        </w:tc>
        <w:tc>
          <w:tcPr>
            <w:tcW w:w="1411" w:type="dxa"/>
            <w:tcBorders>
              <w:top w:val="single" w:sz="0" w:space="0" w:color="000000"/>
            </w:tcBorders>
          </w:tcPr>
          <w:p>
            <w:pPr/>
          </w:p>
        </w:tc>
        <w:tc>
          <w:tcPr>
            <w:tcW w:w="1352" w:type="dxa"/>
            <w:tcBorders>
              <w:top w:val="single" w:sz="0" w:space="0" w:color="000000"/>
            </w:tcBorders>
          </w:tcPr>
          <w:p>
            <w:pPr/>
          </w:p>
        </w:tc>
        <w:tc>
          <w:tcPr>
            <w:tcW w:w="1061" w:type="dxa"/>
            <w:tcBorders>
              <w:top w:val="single" w:sz="0" w:space="0" w:color="000000"/>
            </w:tcBorders>
          </w:tcPr>
          <w:p>
            <w:pPr/>
          </w:p>
        </w:tc>
      </w:tr>
      <w:tr>
        <w:trPr>
          <w:trHeight w:val="243" w:hRule="exact"/>
        </w:trPr>
        <w:tc>
          <w:tcPr>
            <w:tcW w:w="8940" w:type="dxa"/>
            <w:gridSpan w:val="6"/>
          </w:tcPr>
          <w:p>
            <w:pPr>
              <w:pStyle w:val="TableParagraph"/>
              <w:tabs>
                <w:tab w:pos="3412" w:val="left" w:leader="none"/>
                <w:tab w:pos="4143" w:val="left" w:leader="none"/>
                <w:tab w:pos="5439" w:val="left" w:leader="none"/>
                <w:tab w:pos="6907" w:val="left" w:leader="none"/>
                <w:tab w:pos="8203" w:val="left" w:leader="none"/>
              </w:tabs>
              <w:spacing w:before="3"/>
              <w:ind w:left="35"/>
              <w:jc w:val="left"/>
              <w:rPr>
                <w:sz w:val="18"/>
              </w:rPr>
            </w:pPr>
            <w:r>
              <w:rPr>
                <w:b/>
                <w:sz w:val="18"/>
              </w:rPr>
              <w:t>Grants received -</w:t>
            </w:r>
            <w:r>
              <w:rPr>
                <w:b/>
                <w:spacing w:val="-9"/>
                <w:sz w:val="18"/>
              </w:rPr>
              <w:t> </w:t>
            </w:r>
            <w:r>
              <w:rPr>
                <w:b/>
                <w:sz w:val="18"/>
              </w:rPr>
              <w:t>cash</w:t>
            </w:r>
            <w:r>
              <w:rPr>
                <w:b/>
                <w:spacing w:val="-3"/>
                <w:sz w:val="18"/>
              </w:rPr>
              <w:t> </w:t>
            </w:r>
            <w:r>
              <w:rPr>
                <w:b/>
                <w:sz w:val="18"/>
              </w:rPr>
              <w:t>basis</w:t>
              <w:tab/>
            </w:r>
            <w:r>
              <w:rPr>
                <w:rFonts w:ascii="Times New Roman"/>
                <w:sz w:val="18"/>
                <w:u w:val="single"/>
              </w:rPr>
              <w:t> </w:t>
              <w:tab/>
            </w:r>
            <w:r>
              <w:rPr>
                <w:b/>
                <w:sz w:val="18"/>
                <w:u w:val="single"/>
              </w:rPr>
              <w:t>567,314</w:t>
              <w:tab/>
            </w:r>
            <w:r>
              <w:rPr>
                <w:sz w:val="18"/>
                <w:u w:val="single"/>
              </w:rPr>
              <w:t>563,116</w:t>
              <w:tab/>
            </w:r>
            <w:r>
              <w:rPr>
                <w:b/>
                <w:sz w:val="18"/>
                <w:u w:val="single"/>
              </w:rPr>
              <w:t>567,314</w:t>
              <w:tab/>
            </w:r>
            <w:r>
              <w:rPr>
                <w:sz w:val="18"/>
                <w:u w:val="single"/>
              </w:rPr>
              <w:t>562,980</w:t>
            </w:r>
          </w:p>
        </w:tc>
      </w:tr>
      <w:tr>
        <w:trPr>
          <w:trHeight w:val="259" w:hRule="exact"/>
        </w:trPr>
        <w:tc>
          <w:tcPr>
            <w:tcW w:w="2797" w:type="dxa"/>
          </w:tcPr>
          <w:p>
            <w:pPr>
              <w:pStyle w:val="TableParagraph"/>
              <w:spacing w:before="16"/>
              <w:ind w:left="35"/>
              <w:jc w:val="left"/>
              <w:rPr>
                <w:sz w:val="18"/>
              </w:rPr>
            </w:pPr>
            <w:r>
              <w:rPr>
                <w:sz w:val="18"/>
              </w:rPr>
              <w:t>OS-Help (Net)</w:t>
            </w:r>
          </w:p>
        </w:tc>
        <w:tc>
          <w:tcPr>
            <w:tcW w:w="616" w:type="dxa"/>
          </w:tcPr>
          <w:p>
            <w:pPr>
              <w:pStyle w:val="TableParagraph"/>
              <w:spacing w:before="13"/>
              <w:ind w:left="83"/>
              <w:jc w:val="left"/>
              <w:rPr>
                <w:sz w:val="18"/>
              </w:rPr>
            </w:pPr>
            <w:r>
              <w:rPr>
                <w:sz w:val="18"/>
              </w:rPr>
              <w:t>40(g)</w:t>
            </w:r>
          </w:p>
        </w:tc>
        <w:tc>
          <w:tcPr>
            <w:tcW w:w="1703" w:type="dxa"/>
            <w:tcBorders>
              <w:bottom w:val="single" w:sz="0" w:space="0" w:color="000000"/>
            </w:tcBorders>
          </w:tcPr>
          <w:p>
            <w:pPr>
              <w:pStyle w:val="TableParagraph"/>
              <w:spacing w:before="15"/>
              <w:ind w:right="322"/>
              <w:rPr>
                <w:b/>
                <w:sz w:val="18"/>
              </w:rPr>
            </w:pPr>
            <w:r>
              <w:rPr>
                <w:b/>
                <w:sz w:val="18"/>
              </w:rPr>
              <w:t>322</w:t>
            </w:r>
          </w:p>
        </w:tc>
        <w:tc>
          <w:tcPr>
            <w:tcW w:w="1411" w:type="dxa"/>
            <w:tcBorders>
              <w:bottom w:val="single" w:sz="0" w:space="0" w:color="000000"/>
            </w:tcBorders>
          </w:tcPr>
          <w:p>
            <w:pPr>
              <w:pStyle w:val="TableParagraph"/>
              <w:spacing w:before="15"/>
              <w:ind w:right="378"/>
              <w:rPr>
                <w:sz w:val="18"/>
              </w:rPr>
            </w:pPr>
            <w:r>
              <w:rPr>
                <w:sz w:val="18"/>
              </w:rPr>
              <w:t>(564)</w:t>
            </w:r>
          </w:p>
        </w:tc>
        <w:tc>
          <w:tcPr>
            <w:tcW w:w="1352" w:type="dxa"/>
            <w:tcBorders>
              <w:bottom w:val="single" w:sz="0" w:space="0" w:color="000000"/>
            </w:tcBorders>
          </w:tcPr>
          <w:p>
            <w:pPr>
              <w:pStyle w:val="TableParagraph"/>
              <w:spacing w:before="15"/>
              <w:ind w:right="322"/>
              <w:rPr>
                <w:b/>
                <w:sz w:val="18"/>
              </w:rPr>
            </w:pPr>
            <w:r>
              <w:rPr>
                <w:b/>
                <w:sz w:val="18"/>
              </w:rPr>
              <w:t>322</w:t>
            </w:r>
          </w:p>
        </w:tc>
        <w:tc>
          <w:tcPr>
            <w:tcW w:w="1061" w:type="dxa"/>
            <w:tcBorders>
              <w:bottom w:val="single" w:sz="0" w:space="0" w:color="000000"/>
            </w:tcBorders>
          </w:tcPr>
          <w:p>
            <w:pPr>
              <w:pStyle w:val="TableParagraph"/>
              <w:spacing w:before="15"/>
              <w:ind w:right="27"/>
              <w:rPr>
                <w:sz w:val="18"/>
              </w:rPr>
            </w:pPr>
            <w:r>
              <w:rPr>
                <w:sz w:val="18"/>
              </w:rPr>
              <w:t>(564)</w:t>
            </w:r>
          </w:p>
        </w:tc>
      </w:tr>
      <w:tr>
        <w:trPr>
          <w:trHeight w:val="560" w:hRule="exact"/>
        </w:trPr>
        <w:tc>
          <w:tcPr>
            <w:tcW w:w="2797" w:type="dxa"/>
          </w:tcPr>
          <w:p>
            <w:pPr>
              <w:pStyle w:val="TableParagraph"/>
              <w:spacing w:before="123"/>
              <w:ind w:left="35"/>
              <w:jc w:val="left"/>
              <w:rPr>
                <w:b/>
                <w:sz w:val="18"/>
              </w:rPr>
            </w:pPr>
            <w:r>
              <w:rPr>
                <w:b/>
                <w:sz w:val="18"/>
              </w:rPr>
              <w:t>Total Australian Government funding received - cash basis</w:t>
            </w:r>
          </w:p>
        </w:tc>
        <w:tc>
          <w:tcPr>
            <w:tcW w:w="616" w:type="dxa"/>
          </w:tcPr>
          <w:p>
            <w:pPr/>
          </w:p>
        </w:tc>
        <w:tc>
          <w:tcPr>
            <w:tcW w:w="1703" w:type="dxa"/>
            <w:tcBorders>
              <w:top w:val="single" w:sz="0" w:space="0" w:color="000000"/>
              <w:bottom w:val="single" w:sz="0" w:space="0" w:color="000000"/>
            </w:tcBorders>
          </w:tcPr>
          <w:p>
            <w:pPr>
              <w:pStyle w:val="TableParagraph"/>
              <w:jc w:val="left"/>
              <w:rPr>
                <w:sz w:val="18"/>
              </w:rPr>
            </w:pPr>
          </w:p>
          <w:p>
            <w:pPr>
              <w:pStyle w:val="TableParagraph"/>
              <w:spacing w:before="122"/>
              <w:ind w:right="321"/>
              <w:rPr>
                <w:b/>
                <w:sz w:val="18"/>
              </w:rPr>
            </w:pPr>
            <w:r>
              <w:rPr>
                <w:b/>
                <w:w w:val="95"/>
                <w:sz w:val="18"/>
              </w:rPr>
              <w:t>567,636</w:t>
            </w:r>
          </w:p>
        </w:tc>
        <w:tc>
          <w:tcPr>
            <w:tcW w:w="1411" w:type="dxa"/>
            <w:tcBorders>
              <w:top w:val="single" w:sz="0" w:space="0" w:color="000000"/>
              <w:bottom w:val="single" w:sz="0" w:space="0" w:color="000000"/>
            </w:tcBorders>
          </w:tcPr>
          <w:p>
            <w:pPr>
              <w:pStyle w:val="TableParagraph"/>
              <w:jc w:val="left"/>
              <w:rPr>
                <w:sz w:val="18"/>
              </w:rPr>
            </w:pPr>
          </w:p>
          <w:p>
            <w:pPr>
              <w:pStyle w:val="TableParagraph"/>
              <w:spacing w:before="122"/>
              <w:ind w:right="437"/>
              <w:rPr>
                <w:sz w:val="18"/>
              </w:rPr>
            </w:pPr>
            <w:r>
              <w:rPr>
                <w:w w:val="95"/>
                <w:sz w:val="18"/>
              </w:rPr>
              <w:t>562,552</w:t>
            </w:r>
          </w:p>
        </w:tc>
        <w:tc>
          <w:tcPr>
            <w:tcW w:w="1352" w:type="dxa"/>
            <w:tcBorders>
              <w:top w:val="single" w:sz="0" w:space="0" w:color="000000"/>
              <w:bottom w:val="single" w:sz="0" w:space="0" w:color="000000"/>
            </w:tcBorders>
          </w:tcPr>
          <w:p>
            <w:pPr>
              <w:pStyle w:val="TableParagraph"/>
              <w:jc w:val="left"/>
              <w:rPr>
                <w:sz w:val="18"/>
              </w:rPr>
            </w:pPr>
          </w:p>
          <w:p>
            <w:pPr>
              <w:pStyle w:val="TableParagraph"/>
              <w:spacing w:before="122"/>
              <w:ind w:right="321"/>
              <w:rPr>
                <w:b/>
                <w:sz w:val="18"/>
              </w:rPr>
            </w:pPr>
            <w:r>
              <w:rPr>
                <w:b/>
                <w:w w:val="95"/>
                <w:sz w:val="18"/>
              </w:rPr>
              <w:t>567,636</w:t>
            </w:r>
          </w:p>
        </w:tc>
        <w:tc>
          <w:tcPr>
            <w:tcW w:w="1061" w:type="dxa"/>
            <w:tcBorders>
              <w:top w:val="single" w:sz="0" w:space="0" w:color="000000"/>
              <w:bottom w:val="single" w:sz="0" w:space="0" w:color="000000"/>
            </w:tcBorders>
          </w:tcPr>
          <w:p>
            <w:pPr>
              <w:pStyle w:val="TableParagraph"/>
              <w:jc w:val="left"/>
              <w:rPr>
                <w:sz w:val="18"/>
              </w:rPr>
            </w:pPr>
          </w:p>
          <w:p>
            <w:pPr>
              <w:pStyle w:val="TableParagraph"/>
              <w:spacing w:before="122"/>
              <w:ind w:right="86"/>
              <w:rPr>
                <w:sz w:val="18"/>
              </w:rPr>
            </w:pPr>
            <w:r>
              <w:rPr>
                <w:w w:val="95"/>
                <w:sz w:val="18"/>
              </w:rPr>
              <w:t>562,416</w:t>
            </w:r>
          </w:p>
        </w:tc>
      </w:tr>
    </w:tbl>
    <w:p>
      <w:pPr>
        <w:spacing w:after="0"/>
        <w:rPr>
          <w:sz w:val="18"/>
        </w:rPr>
        <w:sectPr>
          <w:type w:val="continuous"/>
          <w:pgSz w:w="12750" w:h="17680"/>
          <w:pgMar w:top="1660" w:bottom="0" w:left="0" w:right="0"/>
        </w:sectPr>
      </w:pPr>
    </w:p>
    <w:p>
      <w:pPr>
        <w:pStyle w:val="BodyText"/>
        <w:rPr>
          <w:sz w:val="20"/>
        </w:rPr>
      </w:pPr>
    </w:p>
    <w:p>
      <w:pPr>
        <w:pStyle w:val="BodyText"/>
        <w:rPr>
          <w:sz w:val="20"/>
        </w:rPr>
      </w:pPr>
    </w:p>
    <w:p>
      <w:pPr>
        <w:pStyle w:val="BodyText"/>
        <w:spacing w:before="4"/>
      </w:pPr>
    </w:p>
    <w:p>
      <w:pPr>
        <w:pStyle w:val="Heading8"/>
        <w:numPr>
          <w:ilvl w:val="0"/>
          <w:numId w:val="18"/>
        </w:numPr>
        <w:tabs>
          <w:tab w:pos="1826" w:val="left" w:leader="none"/>
        </w:tabs>
        <w:spacing w:line="240" w:lineRule="auto" w:before="0" w:after="0"/>
        <w:ind w:left="1825" w:right="0" w:hanging="396"/>
        <w:jc w:val="left"/>
      </w:pPr>
      <w:bookmarkStart w:name="3 State and local government financial a" w:id="60"/>
      <w:bookmarkEnd w:id="60"/>
      <w:r>
        <w:rPr>
          <w:b w:val="0"/>
        </w:rPr>
      </w:r>
      <w:bookmarkStart w:name="3 State and local government financial a" w:id="61"/>
      <w:bookmarkEnd w:id="61"/>
      <w:r>
        <w:rPr/>
        <w:t>State</w:t>
      </w:r>
      <w:r>
        <w:rPr/>
        <w:t> and local government financial</w:t>
      </w:r>
      <w:r>
        <w:rPr>
          <w:spacing w:val="-31"/>
        </w:rPr>
        <w:t> </w:t>
      </w:r>
      <w:r>
        <w:rPr/>
        <w:t>assistance</w:t>
      </w:r>
    </w:p>
    <w:p>
      <w:pPr>
        <w:pStyle w:val="BodyText"/>
        <w:spacing w:before="11"/>
        <w:rPr>
          <w:b/>
          <w:sz w:val="24"/>
        </w:rPr>
      </w:pPr>
    </w:p>
    <w:p>
      <w:pPr>
        <w:pStyle w:val="BodyText"/>
        <w:ind w:left="1825"/>
      </w:pPr>
      <w:r>
        <w:rPr/>
        <w:t>Government grants were received during the reporting period for the following purposes:</w:t>
      </w:r>
    </w:p>
    <w:p>
      <w:pPr>
        <w:pStyle w:val="BodyText"/>
      </w:pPr>
    </w:p>
    <w:p>
      <w:pPr>
        <w:pStyle w:val="BodyText"/>
      </w:pPr>
    </w:p>
    <w:p>
      <w:pPr>
        <w:pStyle w:val="Heading8"/>
        <w:tabs>
          <w:tab w:pos="9693" w:val="left" w:leader="none"/>
        </w:tabs>
        <w:spacing w:before="113"/>
        <w:ind w:left="6640"/>
      </w:pPr>
      <w:r>
        <w:rPr/>
        <w:t>Consolidated</w:t>
        <w:tab/>
        <w:t>Parent</w:t>
      </w:r>
    </w:p>
    <w:p>
      <w:pPr>
        <w:spacing w:after="0"/>
        <w:sectPr>
          <w:pgSz w:w="12750" w:h="17680"/>
          <w:pgMar w:header="0" w:footer="927" w:top="2640" w:bottom="1120" w:left="0" w:right="0"/>
        </w:sectPr>
      </w:pPr>
    </w:p>
    <w:p>
      <w:pPr>
        <w:pStyle w:val="BodyText"/>
        <w:rPr>
          <w:b/>
        </w:rPr>
      </w:pPr>
    </w:p>
    <w:p>
      <w:pPr>
        <w:pStyle w:val="BodyText"/>
        <w:rPr>
          <w:b/>
        </w:rPr>
      </w:pPr>
    </w:p>
    <w:p>
      <w:pPr>
        <w:pStyle w:val="BodyText"/>
        <w:spacing w:before="3"/>
        <w:rPr>
          <w:b/>
          <w:sz w:val="24"/>
        </w:rPr>
      </w:pPr>
    </w:p>
    <w:p>
      <w:pPr>
        <w:spacing w:before="0"/>
        <w:ind w:left="1851" w:right="-20" w:firstLine="0"/>
        <w:jc w:val="left"/>
        <w:rPr>
          <w:b/>
          <w:sz w:val="18"/>
        </w:rPr>
      </w:pPr>
      <w:r>
        <w:rPr>
          <w:b/>
          <w:sz w:val="18"/>
        </w:rPr>
        <w:t>Non-capital</w:t>
      </w:r>
    </w:p>
    <w:p>
      <w:pPr>
        <w:spacing w:before="66"/>
        <w:ind w:left="0" w:right="19" w:firstLine="0"/>
        <w:jc w:val="right"/>
        <w:rPr>
          <w:b/>
          <w:sz w:val="18"/>
        </w:rPr>
      </w:pPr>
      <w:r>
        <w:rPr/>
        <w:br w:type="column"/>
      </w:r>
      <w:r>
        <w:rPr>
          <w:b/>
          <w:sz w:val="18"/>
        </w:rPr>
        <w:t>2016</w:t>
      </w:r>
    </w:p>
    <w:p>
      <w:pPr>
        <w:spacing w:before="66"/>
        <w:ind w:left="0" w:right="0" w:firstLine="0"/>
        <w:jc w:val="right"/>
        <w:rPr>
          <w:b/>
          <w:sz w:val="18"/>
        </w:rPr>
      </w:pPr>
      <w:r>
        <w:rPr>
          <w:b/>
          <w:sz w:val="18"/>
        </w:rPr>
        <w:t>$'000</w:t>
      </w:r>
    </w:p>
    <w:p>
      <w:pPr>
        <w:spacing w:before="66"/>
        <w:ind w:left="823" w:right="-16" w:firstLine="0"/>
        <w:jc w:val="left"/>
        <w:rPr>
          <w:b/>
          <w:sz w:val="18"/>
        </w:rPr>
      </w:pPr>
      <w:r>
        <w:rPr/>
        <w:br w:type="column"/>
      </w:r>
      <w:r>
        <w:rPr>
          <w:b/>
          <w:sz w:val="18"/>
        </w:rPr>
        <w:t>2015</w:t>
      </w:r>
    </w:p>
    <w:p>
      <w:pPr>
        <w:spacing w:before="66"/>
        <w:ind w:left="802" w:right="-16" w:firstLine="0"/>
        <w:jc w:val="left"/>
        <w:rPr>
          <w:b/>
          <w:sz w:val="18"/>
        </w:rPr>
      </w:pPr>
      <w:r>
        <w:rPr>
          <w:b/>
          <w:spacing w:val="-1"/>
          <w:sz w:val="18"/>
        </w:rPr>
        <w:t>$'000</w:t>
      </w:r>
    </w:p>
    <w:p>
      <w:pPr>
        <w:spacing w:before="66"/>
        <w:ind w:left="0" w:right="19" w:firstLine="0"/>
        <w:jc w:val="right"/>
        <w:rPr>
          <w:b/>
          <w:sz w:val="18"/>
        </w:rPr>
      </w:pPr>
      <w:r>
        <w:rPr/>
        <w:br w:type="column"/>
      </w:r>
      <w:r>
        <w:rPr>
          <w:b/>
          <w:sz w:val="18"/>
        </w:rPr>
        <w:t>2016</w:t>
      </w:r>
    </w:p>
    <w:p>
      <w:pPr>
        <w:spacing w:before="66"/>
        <w:ind w:left="0" w:right="0" w:firstLine="0"/>
        <w:jc w:val="right"/>
        <w:rPr>
          <w:b/>
          <w:sz w:val="18"/>
        </w:rPr>
      </w:pPr>
      <w:r>
        <w:rPr>
          <w:b/>
          <w:sz w:val="18"/>
        </w:rPr>
        <w:t>$'000</w:t>
      </w:r>
    </w:p>
    <w:p>
      <w:pPr>
        <w:spacing w:before="66"/>
        <w:ind w:left="823" w:right="0" w:firstLine="0"/>
        <w:jc w:val="left"/>
        <w:rPr>
          <w:b/>
          <w:sz w:val="18"/>
        </w:rPr>
      </w:pPr>
      <w:r>
        <w:rPr/>
        <w:br w:type="column"/>
      </w:r>
      <w:r>
        <w:rPr>
          <w:b/>
          <w:sz w:val="18"/>
        </w:rPr>
        <w:t>2015</w:t>
      </w:r>
    </w:p>
    <w:p>
      <w:pPr>
        <w:spacing w:before="66"/>
        <w:ind w:left="802" w:right="0" w:firstLine="0"/>
        <w:jc w:val="left"/>
        <w:rPr>
          <w:b/>
          <w:sz w:val="18"/>
        </w:rPr>
      </w:pPr>
      <w:r>
        <w:rPr>
          <w:b/>
          <w:sz w:val="18"/>
        </w:rPr>
        <w:t>$'000</w:t>
      </w:r>
    </w:p>
    <w:p>
      <w:pPr>
        <w:spacing w:after="0"/>
        <w:jc w:val="left"/>
        <w:rPr>
          <w:sz w:val="18"/>
        </w:rPr>
        <w:sectPr>
          <w:type w:val="continuous"/>
          <w:pgSz w:w="12750" w:h="17680"/>
          <w:pgMar w:top="1660" w:bottom="0" w:left="0" w:right="0"/>
          <w:cols w:num="5" w:equalWidth="0">
            <w:col w:w="2832" w:space="1727"/>
            <w:col w:w="2294" w:space="40"/>
            <w:col w:w="1245" w:space="40"/>
            <w:col w:w="1440" w:space="40"/>
            <w:col w:w="3092"/>
          </w:cols>
        </w:sectPr>
      </w:pPr>
    </w:p>
    <w:p>
      <w:pPr>
        <w:pStyle w:val="BodyText"/>
        <w:tabs>
          <w:tab w:pos="7091" w:val="left" w:leader="none"/>
          <w:tab w:pos="8429" w:val="left" w:leader="none"/>
          <w:tab w:pos="9855" w:val="left" w:leader="none"/>
          <w:tab w:pos="11193" w:val="left" w:leader="none"/>
        </w:tabs>
        <w:spacing w:before="29"/>
        <w:ind w:left="1851"/>
      </w:pPr>
      <w:r>
        <w:rPr/>
        <w:pict>
          <v:group style="position:absolute;margin-left:290.649994pt;margin-top:13.081887pt;width:276.5pt;height:1pt;mso-position-horizontal-relative:page;mso-position-vertical-relative:paragraph;z-index:3088;mso-wrap-distance-left:0;mso-wrap-distance-right:0" coordorigin="5813,262" coordsize="5530,20">
            <v:line style="position:absolute" from="5814,263" to="5983,263" stroked="true" strokeweight=".06pt" strokecolor="#000000"/>
            <v:line style="position:absolute" from="5814,264" to="5983,264" stroked="true" strokeweight=".06pt" strokecolor="#000000"/>
            <v:line style="position:absolute" from="5814,265" to="5983,265" stroked="true" strokeweight=".06pt" strokecolor="#000000"/>
            <v:line style="position:absolute" from="5814,266" to="5983,266" stroked="true" strokeweight=".06pt" strokecolor="#000000"/>
            <v:line style="position:absolute" from="5814,267" to="5983,267" stroked="true" strokeweight=".06pt" strokecolor="#000000"/>
            <v:line style="position:absolute" from="5814,269" to="5983,269" stroked="true" strokeweight=".06pt" strokecolor="#000000"/>
            <v:line style="position:absolute" from="5814,270" to="5983,270" stroked="true" strokeweight=".06pt" strokecolor="#000000"/>
            <v:line style="position:absolute" from="5814,271" to="5983,271" stroked="true" strokeweight=".06pt" strokecolor="#000000"/>
            <v:line style="position:absolute" from="5814,272" to="5983,272" stroked="true" strokeweight=".06pt" strokecolor="#000000"/>
            <v:line style="position:absolute" from="5814,273" to="5983,273" stroked="true" strokeweight=".06pt" strokecolor="#000000"/>
            <v:line style="position:absolute" from="5814,275" to="5983,275" stroked="true" strokeweight=".06pt" strokecolor="#000000"/>
            <v:line style="position:absolute" from="5814,276" to="5983,276" stroked="true" strokeweight=".06pt" strokecolor="#000000"/>
            <v:line style="position:absolute" from="5814,277" to="5983,277" stroked="true" strokeweight=".06pt" strokecolor="#000000"/>
            <v:line style="position:absolute" from="5814,278" to="5983,278" stroked="true" strokeweight=".06pt" strokecolor="#000000"/>
            <v:line style="position:absolute" from="5814,279" to="5983,279" stroked="true" strokeweight=".06pt" strokecolor="#000000"/>
            <v:line style="position:absolute" from="5814,281" to="5983,281" stroked="true" strokeweight=".06pt" strokecolor="#000000"/>
            <v:line style="position:absolute" from="5983,263" to="7280,263" stroked="true" strokeweight=".06pt" strokecolor="#000000"/>
            <v:line style="position:absolute" from="5983,264" to="7280,264" stroked="true" strokeweight=".06pt" strokecolor="#000000"/>
            <v:line style="position:absolute" from="5983,265" to="7280,265" stroked="true" strokeweight=".06pt" strokecolor="#000000"/>
            <v:line style="position:absolute" from="5983,266" to="7280,266" stroked="true" strokeweight=".06pt" strokecolor="#000000"/>
            <v:line style="position:absolute" from="5983,267" to="7280,267" stroked="true" strokeweight=".06pt" strokecolor="#000000"/>
            <v:line style="position:absolute" from="5983,269" to="7280,269" stroked="true" strokeweight=".06pt" strokecolor="#000000"/>
            <v:line style="position:absolute" from="5983,270" to="7280,270" stroked="true" strokeweight=".06pt" strokecolor="#000000"/>
            <v:line style="position:absolute" from="5983,271" to="7280,271" stroked="true" strokeweight=".06pt" strokecolor="#000000"/>
            <v:line style="position:absolute" from="5983,272" to="7280,272" stroked="true" strokeweight=".06pt" strokecolor="#000000"/>
            <v:line style="position:absolute" from="5983,273" to="7280,273" stroked="true" strokeweight=".06pt" strokecolor="#000000"/>
            <v:line style="position:absolute" from="5983,275" to="7280,275" stroked="true" strokeweight=".06pt" strokecolor="#000000"/>
            <v:line style="position:absolute" from="5983,276" to="7280,276" stroked="true" strokeweight=".06pt" strokecolor="#000000"/>
            <v:line style="position:absolute" from="5983,277" to="7280,277" stroked="true" strokeweight=".06pt" strokecolor="#000000"/>
            <v:line style="position:absolute" from="5983,278" to="7280,278" stroked="true" strokeweight=".06pt" strokecolor="#000000"/>
            <v:line style="position:absolute" from="5983,279" to="7280,279" stroked="true" strokeweight=".06pt" strokecolor="#000000"/>
            <v:line style="position:absolute" from="5983,281" to="7280,281" stroked="true" strokeweight=".06pt" strokecolor="#000000"/>
            <v:line style="position:absolute" from="7280,263" to="8578,263" stroked="true" strokeweight=".06pt" strokecolor="#000000"/>
            <v:line style="position:absolute" from="7280,264" to="8578,264" stroked="true" strokeweight=".06pt" strokecolor="#000000"/>
            <v:line style="position:absolute" from="7280,265" to="8578,265" stroked="true" strokeweight=".06pt" strokecolor="#000000"/>
            <v:line style="position:absolute" from="7280,266" to="8578,266" stroked="true" strokeweight=".06pt" strokecolor="#000000"/>
            <v:line style="position:absolute" from="7280,267" to="8578,267" stroked="true" strokeweight=".06pt" strokecolor="#000000"/>
            <v:line style="position:absolute" from="7280,269" to="8578,269" stroked="true" strokeweight=".06pt" strokecolor="#000000"/>
            <v:line style="position:absolute" from="7280,270" to="8578,270" stroked="true" strokeweight=".06pt" strokecolor="#000000"/>
            <v:line style="position:absolute" from="7280,271" to="8578,271" stroked="true" strokeweight=".06pt" strokecolor="#000000"/>
            <v:line style="position:absolute" from="7280,272" to="8578,272" stroked="true" strokeweight=".06pt" strokecolor="#000000"/>
            <v:line style="position:absolute" from="7280,273" to="8578,273" stroked="true" strokeweight=".06pt" strokecolor="#000000"/>
            <v:line style="position:absolute" from="7280,275" to="8578,275" stroked="true" strokeweight=".06pt" strokecolor="#000000"/>
            <v:line style="position:absolute" from="7280,276" to="8578,276" stroked="true" strokeweight=".06pt" strokecolor="#000000"/>
            <v:line style="position:absolute" from="7280,277" to="8578,277" stroked="true" strokeweight=".06pt" strokecolor="#000000"/>
            <v:line style="position:absolute" from="7280,278" to="8578,278" stroked="true" strokeweight=".06pt" strokecolor="#000000"/>
            <v:line style="position:absolute" from="7280,279" to="8578,279" stroked="true" strokeweight=".06pt" strokecolor="#000000"/>
            <v:line style="position:absolute" from="7280,281" to="8578,281" stroked="true" strokeweight=".06pt" strokecolor="#000000"/>
            <v:line style="position:absolute" from="8578,263" to="8747,263" stroked="true" strokeweight=".06pt" strokecolor="#000000"/>
            <v:line style="position:absolute" from="8578,264" to="8747,264" stroked="true" strokeweight=".06pt" strokecolor="#000000"/>
            <v:line style="position:absolute" from="8578,265" to="8747,265" stroked="true" strokeweight=".06pt" strokecolor="#000000"/>
            <v:line style="position:absolute" from="8578,266" to="8747,266" stroked="true" strokeweight=".06pt" strokecolor="#000000"/>
            <v:line style="position:absolute" from="8578,267" to="8747,267" stroked="true" strokeweight=".06pt" strokecolor="#000000"/>
            <v:line style="position:absolute" from="8578,269" to="8747,269" stroked="true" strokeweight=".06pt" strokecolor="#000000"/>
            <v:line style="position:absolute" from="8578,270" to="8747,270" stroked="true" strokeweight=".06pt" strokecolor="#000000"/>
            <v:line style="position:absolute" from="8578,271" to="8747,271" stroked="true" strokeweight=".06pt" strokecolor="#000000"/>
            <v:line style="position:absolute" from="8578,272" to="8747,272" stroked="true" strokeweight=".06pt" strokecolor="#000000"/>
            <v:line style="position:absolute" from="8578,273" to="8747,273" stroked="true" strokeweight=".06pt" strokecolor="#000000"/>
            <v:line style="position:absolute" from="8578,275" to="8747,275" stroked="true" strokeweight=".06pt" strokecolor="#000000"/>
            <v:line style="position:absolute" from="8578,276" to="8747,276" stroked="true" strokeweight=".06pt" strokecolor="#000000"/>
            <v:line style="position:absolute" from="8578,277" to="8747,277" stroked="true" strokeweight=".06pt" strokecolor="#000000"/>
            <v:line style="position:absolute" from="8578,278" to="8747,278" stroked="true" strokeweight=".06pt" strokecolor="#000000"/>
            <v:line style="position:absolute" from="8578,279" to="8747,279" stroked="true" strokeweight=".06pt" strokecolor="#000000"/>
            <v:line style="position:absolute" from="8578,281" to="8747,281" stroked="true" strokeweight=".06pt" strokecolor="#000000"/>
            <v:line style="position:absolute" from="8747,263" to="10044,263" stroked="true" strokeweight=".06pt" strokecolor="#000000"/>
            <v:line style="position:absolute" from="8747,264" to="10044,264" stroked="true" strokeweight=".06pt" strokecolor="#000000"/>
            <v:line style="position:absolute" from="8747,265" to="10044,265" stroked="true" strokeweight=".06pt" strokecolor="#000000"/>
            <v:line style="position:absolute" from="8747,266" to="10044,266" stroked="true" strokeweight=".06pt" strokecolor="#000000"/>
            <v:line style="position:absolute" from="8747,267" to="10044,267" stroked="true" strokeweight=".06pt" strokecolor="#000000"/>
            <v:line style="position:absolute" from="8747,269" to="10044,269" stroked="true" strokeweight=".06pt" strokecolor="#000000"/>
            <v:line style="position:absolute" from="8747,270" to="10044,270" stroked="true" strokeweight=".06pt" strokecolor="#000000"/>
            <v:line style="position:absolute" from="8747,271" to="10044,271" stroked="true" strokeweight=".06pt" strokecolor="#000000"/>
            <v:line style="position:absolute" from="8747,272" to="10044,272" stroked="true" strokeweight=".06pt" strokecolor="#000000"/>
            <v:line style="position:absolute" from="8747,273" to="10044,273" stroked="true" strokeweight=".06pt" strokecolor="#000000"/>
            <v:line style="position:absolute" from="8747,275" to="10044,275" stroked="true" strokeweight=".06pt" strokecolor="#000000"/>
            <v:line style="position:absolute" from="8747,276" to="10044,276" stroked="true" strokeweight=".06pt" strokecolor="#000000"/>
            <v:line style="position:absolute" from="8747,277" to="10044,277" stroked="true" strokeweight=".06pt" strokecolor="#000000"/>
            <v:line style="position:absolute" from="8747,278" to="10044,278" stroked="true" strokeweight=".06pt" strokecolor="#000000"/>
            <v:line style="position:absolute" from="8747,279" to="10044,279" stroked="true" strokeweight=".06pt" strokecolor="#000000"/>
            <v:line style="position:absolute" from="8747,281" to="10044,281" stroked="true" strokeweight=".06pt" strokecolor="#000000"/>
            <v:line style="position:absolute" from="10044,263" to="11341,263" stroked="true" strokeweight=".06pt" strokecolor="#000000"/>
            <v:line style="position:absolute" from="10044,264" to="11341,264" stroked="true" strokeweight=".06pt" strokecolor="#000000"/>
            <v:line style="position:absolute" from="10044,265" to="11341,265" stroked="true" strokeweight=".06pt" strokecolor="#000000"/>
            <v:line style="position:absolute" from="10044,266" to="11341,266" stroked="true" strokeweight=".06pt" strokecolor="#000000"/>
            <v:line style="position:absolute" from="10044,267" to="11341,267" stroked="true" strokeweight=".06pt" strokecolor="#000000"/>
            <v:line style="position:absolute" from="10044,269" to="11341,269" stroked="true" strokeweight=".06pt" strokecolor="#000000"/>
            <v:line style="position:absolute" from="10044,270" to="11341,270" stroked="true" strokeweight=".06pt" strokecolor="#000000"/>
            <v:line style="position:absolute" from="10044,271" to="11341,271" stroked="true" strokeweight=".06pt" strokecolor="#000000"/>
            <v:line style="position:absolute" from="10044,272" to="11341,272" stroked="true" strokeweight=".06pt" strokecolor="#000000"/>
            <v:line style="position:absolute" from="10044,273" to="11341,273" stroked="true" strokeweight=".06pt" strokecolor="#000000"/>
            <v:line style="position:absolute" from="10044,275" to="11341,275" stroked="true" strokeweight=".06pt" strokecolor="#000000"/>
            <v:line style="position:absolute" from="10044,276" to="11341,276" stroked="true" strokeweight=".06pt" strokecolor="#000000"/>
            <v:line style="position:absolute" from="10044,277" to="11341,277" stroked="true" strokeweight=".06pt" strokecolor="#000000"/>
            <v:line style="position:absolute" from="10044,278" to="11341,278" stroked="true" strokeweight=".06pt" strokecolor="#000000"/>
            <v:line style="position:absolute" from="10044,279" to="11341,279" stroked="true" strokeweight=".06pt" strokecolor="#000000"/>
            <v:line style="position:absolute" from="10044,281" to="11341,281" stroked="true" strokeweight=".06pt" strokecolor="#000000"/>
            <w10:wrap type="topAndBottom"/>
          </v:group>
        </w:pict>
      </w:r>
      <w:r>
        <w:rPr/>
        <w:t>NSW Department of</w:t>
      </w:r>
      <w:r>
        <w:rPr>
          <w:spacing w:val="-17"/>
        </w:rPr>
        <w:t> </w:t>
      </w:r>
      <w:r>
        <w:rPr/>
        <w:t>Primary</w:t>
      </w:r>
      <w:r>
        <w:rPr>
          <w:spacing w:val="-6"/>
        </w:rPr>
        <w:t> </w:t>
      </w:r>
      <w:r>
        <w:rPr/>
        <w:t>Industries</w:t>
        <w:tab/>
      </w:r>
      <w:r>
        <w:rPr>
          <w:b/>
        </w:rPr>
        <w:t>6</w:t>
        <w:tab/>
      </w:r>
      <w:r>
        <w:rPr/>
        <w:t>-</w:t>
        <w:tab/>
      </w:r>
      <w:r>
        <w:rPr>
          <w:b/>
        </w:rPr>
        <w:t>6</w:t>
        <w:tab/>
      </w:r>
      <w:r>
        <w:rPr/>
        <w:t>-</w:t>
      </w:r>
    </w:p>
    <w:p>
      <w:pPr>
        <w:pStyle w:val="Heading8"/>
        <w:tabs>
          <w:tab w:pos="7091" w:val="left" w:leader="none"/>
          <w:tab w:pos="8429" w:val="left" w:leader="none"/>
          <w:tab w:pos="9855" w:val="left" w:leader="none"/>
          <w:tab w:pos="11193" w:val="left" w:leader="none"/>
        </w:tabs>
        <w:spacing w:before="54"/>
        <w:ind w:left="1851"/>
        <w:rPr>
          <w:b w:val="0"/>
        </w:rPr>
      </w:pPr>
      <w:r>
        <w:rPr/>
        <w:t>Total Non-capital</w:t>
        <w:tab/>
      </w:r>
      <w:r>
        <w:rPr>
          <w:position w:val="3"/>
        </w:rPr>
        <w:t>6</w:t>
        <w:tab/>
      </w:r>
      <w:r>
        <w:rPr>
          <w:b w:val="0"/>
          <w:position w:val="3"/>
        </w:rPr>
        <w:t>-</w:t>
        <w:tab/>
      </w:r>
      <w:r>
        <w:rPr>
          <w:position w:val="3"/>
        </w:rPr>
        <w:t>6</w:t>
        <w:tab/>
      </w:r>
      <w:r>
        <w:rPr>
          <w:b w:val="0"/>
          <w:position w:val="3"/>
        </w:rPr>
        <w:t>-</w:t>
      </w:r>
    </w:p>
    <w:p>
      <w:pPr>
        <w:pStyle w:val="BodyText"/>
        <w:spacing w:line="20" w:lineRule="exact"/>
        <w:ind w:left="5813"/>
        <w:rPr>
          <w:sz w:val="2"/>
        </w:rPr>
      </w:pPr>
      <w:r>
        <w:rPr>
          <w:sz w:val="2"/>
        </w:rPr>
        <w:pict>
          <v:group style="width:276.5pt;height:1pt;mso-position-horizontal-relative:char;mso-position-vertical-relative:line" coordorigin="0,0" coordsize="5530,20">
            <v:line style="position:absolute" from="1,1" to="170,1" stroked="true" strokeweight=".06pt" strokecolor="#000000"/>
            <v:line style="position:absolute" from="1,2" to="170,2" stroked="true" strokeweight=".06pt" strokecolor="#000000"/>
            <v:line style="position:absolute" from="1,3" to="170,3" stroked="true" strokeweight=".06pt" strokecolor="#000000"/>
            <v:line style="position:absolute" from="1,5" to="170,5" stroked="true" strokeweight=".06pt" strokecolor="#000000"/>
            <v:line style="position:absolute" from="1,6" to="170,6" stroked="true" strokeweight=".06pt" strokecolor="#000000"/>
            <v:line style="position:absolute" from="1,7" to="170,7" stroked="true" strokeweight=".06pt" strokecolor="#000000"/>
            <v:line style="position:absolute" from="1,8" to="170,8" stroked="true" strokeweight=".06pt" strokecolor="#000000"/>
            <v:line style="position:absolute" from="1,9" to="170,9" stroked="true" strokeweight=".06pt" strokecolor="#000000"/>
            <v:line style="position:absolute" from="1,11" to="170,11" stroked="true" strokeweight=".06pt" strokecolor="#000000"/>
            <v:line style="position:absolute" from="1,12" to="170,12" stroked="true" strokeweight=".06pt" strokecolor="#000000"/>
            <v:line style="position:absolute" from="1,13" to="170,13" stroked="true" strokeweight=".06pt" strokecolor="#000000"/>
            <v:line style="position:absolute" from="1,14" to="170,14" stroked="true" strokeweight=".06pt" strokecolor="#000000"/>
            <v:line style="position:absolute" from="1,15" to="170,15" stroked="true" strokeweight=".06pt" strokecolor="#000000"/>
            <v:line style="position:absolute" from="1,17" to="170,17" stroked="true" strokeweight=".06pt" strokecolor="#000000"/>
            <v:line style="position:absolute" from="1,18" to="170,18" stroked="true" strokeweight=".06pt" strokecolor="#000000"/>
            <v:line style="position:absolute" from="1,19" to="170,19" stroked="true" strokeweight=".06pt" strokecolor="#000000"/>
            <v:line style="position:absolute" from="170,1" to="1467,1" stroked="true" strokeweight=".06pt" strokecolor="#000000"/>
            <v:line style="position:absolute" from="170,2" to="1467,2" stroked="true" strokeweight=".06pt" strokecolor="#000000"/>
            <v:line style="position:absolute" from="170,3" to="1467,3" stroked="true" strokeweight=".06pt" strokecolor="#000000"/>
            <v:line style="position:absolute" from="170,5" to="1467,5" stroked="true" strokeweight=".06pt" strokecolor="#000000"/>
            <v:line style="position:absolute" from="170,6" to="1467,6" stroked="true" strokeweight=".06pt" strokecolor="#000000"/>
            <v:line style="position:absolute" from="170,7" to="1467,7" stroked="true" strokeweight=".06pt" strokecolor="#000000"/>
            <v:line style="position:absolute" from="170,8" to="1467,8" stroked="true" strokeweight=".06pt" strokecolor="#000000"/>
            <v:line style="position:absolute" from="170,9" to="1467,9" stroked="true" strokeweight=".06pt" strokecolor="#000000"/>
            <v:line style="position:absolute" from="170,11" to="1467,11" stroked="true" strokeweight=".06pt" strokecolor="#000000"/>
            <v:line style="position:absolute" from="170,12" to="1467,12" stroked="true" strokeweight=".06pt" strokecolor="#000000"/>
            <v:line style="position:absolute" from="170,13" to="1467,13" stroked="true" strokeweight=".06pt" strokecolor="#000000"/>
            <v:line style="position:absolute" from="170,14" to="1467,14" stroked="true" strokeweight=".06pt" strokecolor="#000000"/>
            <v:line style="position:absolute" from="170,15" to="1467,15" stroked="true" strokeweight=".06pt" strokecolor="#000000"/>
            <v:line style="position:absolute" from="170,17" to="1467,17" stroked="true" strokeweight=".06pt" strokecolor="#000000"/>
            <v:line style="position:absolute" from="170,18" to="1467,18" stroked="true" strokeweight=".06pt" strokecolor="#000000"/>
            <v:line style="position:absolute" from="170,19" to="1467,19" stroked="true" strokeweight=".06pt" strokecolor="#000000"/>
            <v:line style="position:absolute" from="1467,1" to="2765,1" stroked="true" strokeweight=".06pt" strokecolor="#000000"/>
            <v:line style="position:absolute" from="1467,2" to="2765,2" stroked="true" strokeweight=".06pt" strokecolor="#000000"/>
            <v:line style="position:absolute" from="1467,3" to="2765,3" stroked="true" strokeweight=".06pt" strokecolor="#000000"/>
            <v:line style="position:absolute" from="1467,5" to="2765,5" stroked="true" strokeweight=".06pt" strokecolor="#000000"/>
            <v:line style="position:absolute" from="1467,6" to="2765,6" stroked="true" strokeweight=".06pt" strokecolor="#000000"/>
            <v:line style="position:absolute" from="1467,7" to="2765,7" stroked="true" strokeweight=".06pt" strokecolor="#000000"/>
            <v:line style="position:absolute" from="1467,8" to="2765,8" stroked="true" strokeweight=".06pt" strokecolor="#000000"/>
            <v:line style="position:absolute" from="1467,9" to="2765,9" stroked="true" strokeweight=".06pt" strokecolor="#000000"/>
            <v:line style="position:absolute" from="1467,11" to="2765,11" stroked="true" strokeweight=".06pt" strokecolor="#000000"/>
            <v:line style="position:absolute" from="1467,12" to="2765,12" stroked="true" strokeweight=".06pt" strokecolor="#000000"/>
            <v:line style="position:absolute" from="1467,13" to="2765,13" stroked="true" strokeweight=".06pt" strokecolor="#000000"/>
            <v:line style="position:absolute" from="1467,14" to="2765,14" stroked="true" strokeweight=".06pt" strokecolor="#000000"/>
            <v:line style="position:absolute" from="1467,15" to="2765,15" stroked="true" strokeweight=".06pt" strokecolor="#000000"/>
            <v:line style="position:absolute" from="1467,17" to="2765,17" stroked="true" strokeweight=".06pt" strokecolor="#000000"/>
            <v:line style="position:absolute" from="1467,18" to="2765,18" stroked="true" strokeweight=".06pt" strokecolor="#000000"/>
            <v:line style="position:absolute" from="1467,19" to="2765,19" stroked="true" strokeweight=".06pt" strokecolor="#000000"/>
            <v:line style="position:absolute" from="2765,1" to="2934,1" stroked="true" strokeweight=".06pt" strokecolor="#000000"/>
            <v:line style="position:absolute" from="2765,2" to="2934,2" stroked="true" strokeweight=".06pt" strokecolor="#000000"/>
            <v:line style="position:absolute" from="2765,3" to="2934,3" stroked="true" strokeweight=".06pt" strokecolor="#000000"/>
            <v:line style="position:absolute" from="2765,5" to="2934,5" stroked="true" strokeweight=".06pt" strokecolor="#000000"/>
            <v:line style="position:absolute" from="2765,6" to="2934,6" stroked="true" strokeweight=".06pt" strokecolor="#000000"/>
            <v:line style="position:absolute" from="2765,7" to="2934,7" stroked="true" strokeweight=".06pt" strokecolor="#000000"/>
            <v:line style="position:absolute" from="2765,8" to="2934,8" stroked="true" strokeweight=".06pt" strokecolor="#000000"/>
            <v:line style="position:absolute" from="2765,9" to="2934,9" stroked="true" strokeweight=".06pt" strokecolor="#000000"/>
            <v:line style="position:absolute" from="2765,11" to="2934,11" stroked="true" strokeweight=".06pt" strokecolor="#000000"/>
            <v:line style="position:absolute" from="2765,12" to="2934,12" stroked="true" strokeweight=".06pt" strokecolor="#000000"/>
            <v:line style="position:absolute" from="2765,13" to="2934,13" stroked="true" strokeweight=".06pt" strokecolor="#000000"/>
            <v:line style="position:absolute" from="2765,14" to="2934,14" stroked="true" strokeweight=".06pt" strokecolor="#000000"/>
            <v:line style="position:absolute" from="2765,15" to="2934,15" stroked="true" strokeweight=".06pt" strokecolor="#000000"/>
            <v:line style="position:absolute" from="2765,17" to="2934,17" stroked="true" strokeweight=".06pt" strokecolor="#000000"/>
            <v:line style="position:absolute" from="2765,18" to="2934,18" stroked="true" strokeweight=".06pt" strokecolor="#000000"/>
            <v:line style="position:absolute" from="2765,19" to="2934,19" stroked="true" strokeweight=".06pt" strokecolor="#000000"/>
            <v:line style="position:absolute" from="2934,1" to="4231,1" stroked="true" strokeweight=".06pt" strokecolor="#000000"/>
            <v:line style="position:absolute" from="2934,2" to="4231,2" stroked="true" strokeweight=".06pt" strokecolor="#000000"/>
            <v:line style="position:absolute" from="2934,3" to="4231,3" stroked="true" strokeweight=".06pt" strokecolor="#000000"/>
            <v:line style="position:absolute" from="2934,5" to="4231,5" stroked="true" strokeweight=".06pt" strokecolor="#000000"/>
            <v:line style="position:absolute" from="2934,6" to="4231,6" stroked="true" strokeweight=".06pt" strokecolor="#000000"/>
            <v:line style="position:absolute" from="2934,7" to="4231,7" stroked="true" strokeweight=".06pt" strokecolor="#000000"/>
            <v:line style="position:absolute" from="2934,8" to="4231,8" stroked="true" strokeweight=".06pt" strokecolor="#000000"/>
            <v:line style="position:absolute" from="2934,9" to="4231,9" stroked="true" strokeweight=".06pt" strokecolor="#000000"/>
            <v:line style="position:absolute" from="2934,11" to="4231,11" stroked="true" strokeweight=".06pt" strokecolor="#000000"/>
            <v:line style="position:absolute" from="2934,12" to="4231,12" stroked="true" strokeweight=".06pt" strokecolor="#000000"/>
            <v:line style="position:absolute" from="2934,13" to="4231,13" stroked="true" strokeweight=".06pt" strokecolor="#000000"/>
            <v:line style="position:absolute" from="2934,14" to="4231,14" stroked="true" strokeweight=".06pt" strokecolor="#000000"/>
            <v:line style="position:absolute" from="2934,15" to="4231,15" stroked="true" strokeweight=".06pt" strokecolor="#000000"/>
            <v:line style="position:absolute" from="2934,17" to="4231,17" stroked="true" strokeweight=".06pt" strokecolor="#000000"/>
            <v:line style="position:absolute" from="2934,18" to="4231,18" stroked="true" strokeweight=".06pt" strokecolor="#000000"/>
            <v:line style="position:absolute" from="2934,19" to="4231,19" stroked="true" strokeweight=".06pt" strokecolor="#000000"/>
            <v:line style="position:absolute" from="4231,1" to="5528,1" stroked="true" strokeweight=".06pt" strokecolor="#000000"/>
            <v:line style="position:absolute" from="4231,2" to="5528,2" stroked="true" strokeweight=".06pt" strokecolor="#000000"/>
            <v:line style="position:absolute" from="4231,3" to="5528,3" stroked="true" strokeweight=".06pt" strokecolor="#000000"/>
            <v:line style="position:absolute" from="4231,5" to="5528,5" stroked="true" strokeweight=".06pt" strokecolor="#000000"/>
            <v:line style="position:absolute" from="4231,6" to="5528,6" stroked="true" strokeweight=".06pt" strokecolor="#000000"/>
            <v:line style="position:absolute" from="4231,7" to="5528,7" stroked="true" strokeweight=".06pt" strokecolor="#000000"/>
            <v:line style="position:absolute" from="4231,8" to="5528,8" stroked="true" strokeweight=".06pt" strokecolor="#000000"/>
            <v:line style="position:absolute" from="4231,9" to="5528,9" stroked="true" strokeweight=".06pt" strokecolor="#000000"/>
            <v:line style="position:absolute" from="4231,11" to="5528,11" stroked="true" strokeweight=".06pt" strokecolor="#000000"/>
            <v:line style="position:absolute" from="4231,12" to="5528,12" stroked="true" strokeweight=".06pt" strokecolor="#000000"/>
            <v:line style="position:absolute" from="4231,13" to="5528,13" stroked="true" strokeweight=".06pt" strokecolor="#000000"/>
            <v:line style="position:absolute" from="4231,14" to="5528,14" stroked="true" strokeweight=".06pt" strokecolor="#000000"/>
            <v:line style="position:absolute" from="4231,15" to="5528,15" stroked="true" strokeweight=".06pt" strokecolor="#000000"/>
            <v:line style="position:absolute" from="4231,17" to="5528,17" stroked="true" strokeweight=".06pt" strokecolor="#000000"/>
            <v:line style="position:absolute" from="4231,18" to="5528,18" stroked="true" strokeweight=".06pt" strokecolor="#000000"/>
            <v:line style="position:absolute" from="4231,19" to="5528,19" stroked="true" strokeweight=".06pt" strokecolor="#000000"/>
            <v:line style="position:absolute" from="1,1" to="170,1" stroked="true" strokeweight=".06pt" strokecolor="#000000"/>
            <v:line style="position:absolute" from="1,2" to="170,2" stroked="true" strokeweight=".06pt" strokecolor="#000000"/>
            <v:line style="position:absolute" from="1,3" to="170,3" stroked="true" strokeweight=".06pt" strokecolor="#000000"/>
            <v:line style="position:absolute" from="1,5" to="170,5" stroked="true" strokeweight=".06pt" strokecolor="#000000"/>
            <v:line style="position:absolute" from="1,6" to="170,6" stroked="true" strokeweight=".06pt" strokecolor="#000000"/>
            <v:line style="position:absolute" from="1,7" to="170,7" stroked="true" strokeweight=".06pt" strokecolor="#000000"/>
            <v:line style="position:absolute" from="1,8" to="170,8" stroked="true" strokeweight=".06pt" strokecolor="#000000"/>
            <v:line style="position:absolute" from="1,9" to="170,9" stroked="true" strokeweight=".06pt" strokecolor="#000000"/>
            <v:line style="position:absolute" from="1,11" to="170,11" stroked="true" strokeweight=".06pt" strokecolor="#000000"/>
            <v:line style="position:absolute" from="1,12" to="170,12" stroked="true" strokeweight=".06pt" strokecolor="#000000"/>
            <v:line style="position:absolute" from="1,13" to="170,13" stroked="true" strokeweight=".06pt" strokecolor="#000000"/>
            <v:line style="position:absolute" from="1,14" to="170,14" stroked="true" strokeweight=".06pt" strokecolor="#000000"/>
            <v:line style="position:absolute" from="1,15" to="170,15" stroked="true" strokeweight=".06pt" strokecolor="#000000"/>
            <v:line style="position:absolute" from="1,17" to="170,17" stroked="true" strokeweight=".06pt" strokecolor="#000000"/>
            <v:line style="position:absolute" from="1,18" to="170,18" stroked="true" strokeweight=".06pt" strokecolor="#000000"/>
            <v:line style="position:absolute" from="1,19" to="170,19" stroked="true" strokeweight=".06pt" strokecolor="#000000"/>
            <v:line style="position:absolute" from="170,1" to="1467,1" stroked="true" strokeweight=".06pt" strokecolor="#000000"/>
            <v:line style="position:absolute" from="170,2" to="1467,2" stroked="true" strokeweight=".06pt" strokecolor="#000000"/>
            <v:line style="position:absolute" from="170,3" to="1467,3" stroked="true" strokeweight=".06pt" strokecolor="#000000"/>
            <v:line style="position:absolute" from="170,5" to="1467,5" stroked="true" strokeweight=".06pt" strokecolor="#000000"/>
            <v:line style="position:absolute" from="170,6" to="1467,6" stroked="true" strokeweight=".06pt" strokecolor="#000000"/>
            <v:line style="position:absolute" from="170,7" to="1467,7" stroked="true" strokeweight=".06pt" strokecolor="#000000"/>
            <v:line style="position:absolute" from="170,8" to="1467,8" stroked="true" strokeweight=".06pt" strokecolor="#000000"/>
            <v:line style="position:absolute" from="170,9" to="1467,9" stroked="true" strokeweight=".06pt" strokecolor="#000000"/>
            <v:line style="position:absolute" from="170,11" to="1467,11" stroked="true" strokeweight=".06pt" strokecolor="#000000"/>
            <v:line style="position:absolute" from="170,12" to="1467,12" stroked="true" strokeweight=".06pt" strokecolor="#000000"/>
            <v:line style="position:absolute" from="170,13" to="1467,13" stroked="true" strokeweight=".06pt" strokecolor="#000000"/>
            <v:line style="position:absolute" from="170,14" to="1467,14" stroked="true" strokeweight=".06pt" strokecolor="#000000"/>
            <v:line style="position:absolute" from="170,15" to="1467,15" stroked="true" strokeweight=".06pt" strokecolor="#000000"/>
            <v:line style="position:absolute" from="170,17" to="1467,17" stroked="true" strokeweight=".06pt" strokecolor="#000000"/>
            <v:line style="position:absolute" from="170,18" to="1467,18" stroked="true" strokeweight=".06pt" strokecolor="#000000"/>
            <v:line style="position:absolute" from="170,19" to="1467,19" stroked="true" strokeweight=".06pt" strokecolor="#000000"/>
            <v:line style="position:absolute" from="1467,1" to="2765,1" stroked="true" strokeweight=".06pt" strokecolor="#000000"/>
            <v:line style="position:absolute" from="1467,2" to="2765,2" stroked="true" strokeweight=".06pt" strokecolor="#000000"/>
            <v:line style="position:absolute" from="1467,3" to="2765,3" stroked="true" strokeweight=".06pt" strokecolor="#000000"/>
            <v:line style="position:absolute" from="1467,5" to="2765,5" stroked="true" strokeweight=".06pt" strokecolor="#000000"/>
            <v:line style="position:absolute" from="1467,6" to="2765,6" stroked="true" strokeweight=".06pt" strokecolor="#000000"/>
            <v:line style="position:absolute" from="1467,7" to="2765,7" stroked="true" strokeweight=".06pt" strokecolor="#000000"/>
            <v:line style="position:absolute" from="1467,8" to="2765,8" stroked="true" strokeweight=".06pt" strokecolor="#000000"/>
            <v:line style="position:absolute" from="1467,9" to="2765,9" stroked="true" strokeweight=".06pt" strokecolor="#000000"/>
            <v:line style="position:absolute" from="1467,11" to="2765,11" stroked="true" strokeweight=".06pt" strokecolor="#000000"/>
            <v:line style="position:absolute" from="1467,12" to="2765,12" stroked="true" strokeweight=".06pt" strokecolor="#000000"/>
            <v:line style="position:absolute" from="1467,13" to="2765,13" stroked="true" strokeweight=".06pt" strokecolor="#000000"/>
            <v:line style="position:absolute" from="1467,14" to="2765,14" stroked="true" strokeweight=".06pt" strokecolor="#000000"/>
            <v:line style="position:absolute" from="1467,15" to="2765,15" stroked="true" strokeweight=".06pt" strokecolor="#000000"/>
            <v:line style="position:absolute" from="1467,17" to="2765,17" stroked="true" strokeweight=".06pt" strokecolor="#000000"/>
            <v:line style="position:absolute" from="1467,18" to="2765,18" stroked="true" strokeweight=".06pt" strokecolor="#000000"/>
            <v:line style="position:absolute" from="1467,19" to="2765,19" stroked="true" strokeweight=".06pt" strokecolor="#000000"/>
            <v:line style="position:absolute" from="2765,1" to="2934,1" stroked="true" strokeweight=".06pt" strokecolor="#000000"/>
            <v:line style="position:absolute" from="2765,2" to="2934,2" stroked="true" strokeweight=".06pt" strokecolor="#000000"/>
            <v:line style="position:absolute" from="2765,3" to="2934,3" stroked="true" strokeweight=".06pt" strokecolor="#000000"/>
            <v:line style="position:absolute" from="2765,5" to="2934,5" stroked="true" strokeweight=".06pt" strokecolor="#000000"/>
            <v:line style="position:absolute" from="2765,6" to="2934,6" stroked="true" strokeweight=".06pt" strokecolor="#000000"/>
            <v:line style="position:absolute" from="2765,7" to="2934,7" stroked="true" strokeweight=".06pt" strokecolor="#000000"/>
            <v:line style="position:absolute" from="2765,8" to="2934,8" stroked="true" strokeweight=".06pt" strokecolor="#000000"/>
            <v:line style="position:absolute" from="2765,9" to="2934,9" stroked="true" strokeweight=".06pt" strokecolor="#000000"/>
            <v:line style="position:absolute" from="2765,11" to="2934,11" stroked="true" strokeweight=".06pt" strokecolor="#000000"/>
            <v:line style="position:absolute" from="2765,12" to="2934,12" stroked="true" strokeweight=".06pt" strokecolor="#000000"/>
            <v:line style="position:absolute" from="2765,13" to="2934,13" stroked="true" strokeweight=".06pt" strokecolor="#000000"/>
            <v:line style="position:absolute" from="2765,14" to="2934,14" stroked="true" strokeweight=".06pt" strokecolor="#000000"/>
            <v:line style="position:absolute" from="2765,15" to="2934,15" stroked="true" strokeweight=".06pt" strokecolor="#000000"/>
            <v:line style="position:absolute" from="2765,17" to="2934,17" stroked="true" strokeweight=".06pt" strokecolor="#000000"/>
            <v:line style="position:absolute" from="2765,18" to="2934,18" stroked="true" strokeweight=".06pt" strokecolor="#000000"/>
            <v:line style="position:absolute" from="2765,19" to="2934,19" stroked="true" strokeweight=".06pt" strokecolor="#000000"/>
            <v:line style="position:absolute" from="2934,1" to="4231,1" stroked="true" strokeweight=".06pt" strokecolor="#000000"/>
            <v:line style="position:absolute" from="2934,2" to="4231,2" stroked="true" strokeweight=".06pt" strokecolor="#000000"/>
            <v:line style="position:absolute" from="2934,3" to="4231,3" stroked="true" strokeweight=".06pt" strokecolor="#000000"/>
            <v:line style="position:absolute" from="2934,5" to="4231,5" stroked="true" strokeweight=".06pt" strokecolor="#000000"/>
            <v:line style="position:absolute" from="2934,6" to="4231,6" stroked="true" strokeweight=".06pt" strokecolor="#000000"/>
            <v:line style="position:absolute" from="2934,7" to="4231,7" stroked="true" strokeweight=".06pt" strokecolor="#000000"/>
            <v:line style="position:absolute" from="2934,8" to="4231,8" stroked="true" strokeweight=".06pt" strokecolor="#000000"/>
            <v:line style="position:absolute" from="2934,9" to="4231,9" stroked="true" strokeweight=".06pt" strokecolor="#000000"/>
            <v:line style="position:absolute" from="2934,11" to="4231,11" stroked="true" strokeweight=".06pt" strokecolor="#000000"/>
            <v:line style="position:absolute" from="2934,12" to="4231,12" stroked="true" strokeweight=".06pt" strokecolor="#000000"/>
            <v:line style="position:absolute" from="2934,13" to="4231,13" stroked="true" strokeweight=".06pt" strokecolor="#000000"/>
            <v:line style="position:absolute" from="2934,14" to="4231,14" stroked="true" strokeweight=".06pt" strokecolor="#000000"/>
            <v:line style="position:absolute" from="2934,15" to="4231,15" stroked="true" strokeweight=".06pt" strokecolor="#000000"/>
            <v:line style="position:absolute" from="2934,17" to="4231,17" stroked="true" strokeweight=".06pt" strokecolor="#000000"/>
            <v:line style="position:absolute" from="2934,18" to="4231,18" stroked="true" strokeweight=".06pt" strokecolor="#000000"/>
            <v:line style="position:absolute" from="2934,19" to="4231,19" stroked="true" strokeweight=".06pt" strokecolor="#000000"/>
            <v:line style="position:absolute" from="4231,1" to="5528,1" stroked="true" strokeweight=".06pt" strokecolor="#000000"/>
            <v:line style="position:absolute" from="4231,2" to="5528,2" stroked="true" strokeweight=".06pt" strokecolor="#000000"/>
            <v:line style="position:absolute" from="4231,3" to="5528,3" stroked="true" strokeweight=".06pt" strokecolor="#000000"/>
            <v:line style="position:absolute" from="4231,5" to="5528,5" stroked="true" strokeweight=".06pt" strokecolor="#000000"/>
            <v:line style="position:absolute" from="4231,6" to="5528,6" stroked="true" strokeweight=".06pt" strokecolor="#000000"/>
            <v:line style="position:absolute" from="4231,7" to="5528,7" stroked="true" strokeweight=".06pt" strokecolor="#000000"/>
            <v:line style="position:absolute" from="4231,8" to="5528,8" stroked="true" strokeweight=".06pt" strokecolor="#000000"/>
            <v:line style="position:absolute" from="4231,9" to="5528,9" stroked="true" strokeweight=".06pt" strokecolor="#000000"/>
            <v:line style="position:absolute" from="4231,11" to="5528,11" stroked="true" strokeweight=".06pt" strokecolor="#000000"/>
            <v:line style="position:absolute" from="4231,12" to="5528,12" stroked="true" strokeweight=".06pt" strokecolor="#000000"/>
            <v:line style="position:absolute" from="4231,13" to="5528,13" stroked="true" strokeweight=".06pt" strokecolor="#000000"/>
            <v:line style="position:absolute" from="4231,14" to="5528,14" stroked="true" strokeweight=".06pt" strokecolor="#000000"/>
            <v:line style="position:absolute" from="4231,15" to="5528,15" stroked="true" strokeweight=".06pt" strokecolor="#000000"/>
            <v:line style="position:absolute" from="4231,17" to="5528,17" stroked="true" strokeweight=".06pt" strokecolor="#000000"/>
            <v:line style="position:absolute" from="4231,18" to="5528,18" stroked="true" strokeweight=".06pt" strokecolor="#000000"/>
            <v:line style="position:absolute" from="4231,19" to="5528,19" stroked="true" strokeweight=".06pt" strokecolor="#000000"/>
          </v:group>
        </w:pict>
      </w:r>
      <w:r>
        <w:rPr>
          <w:sz w:val="2"/>
        </w:rPr>
      </w:r>
    </w:p>
    <w:p>
      <w:pPr>
        <w:spacing w:line="192" w:lineRule="exact" w:before="111"/>
        <w:ind w:left="1851" w:right="0" w:firstLine="0"/>
        <w:jc w:val="left"/>
        <w:rPr>
          <w:b/>
          <w:sz w:val="18"/>
        </w:rPr>
      </w:pPr>
      <w:bookmarkStart w:name="4 Fees and charges" w:id="62"/>
      <w:bookmarkEnd w:id="62"/>
      <w:r>
        <w:rPr/>
      </w:r>
      <w:r>
        <w:rPr>
          <w:b/>
          <w:sz w:val="18"/>
        </w:rPr>
        <w:t>Total State and Local Government Financial</w:t>
      </w:r>
    </w:p>
    <w:p>
      <w:pPr>
        <w:tabs>
          <w:tab w:pos="7091" w:val="left" w:leader="none"/>
          <w:tab w:pos="8429" w:val="left" w:leader="none"/>
          <w:tab w:pos="9855" w:val="left" w:leader="none"/>
          <w:tab w:pos="11193" w:val="left" w:leader="none"/>
        </w:tabs>
        <w:spacing w:line="222" w:lineRule="exact" w:before="0"/>
        <w:ind w:left="1851" w:right="0" w:firstLine="0"/>
        <w:jc w:val="left"/>
        <w:rPr>
          <w:sz w:val="18"/>
        </w:rPr>
      </w:pPr>
      <w:r>
        <w:rPr>
          <w:b/>
          <w:sz w:val="18"/>
        </w:rPr>
        <w:t>Assistance</w:t>
        <w:tab/>
      </w:r>
      <w:r>
        <w:rPr>
          <w:b/>
          <w:position w:val="3"/>
          <w:sz w:val="18"/>
        </w:rPr>
        <w:t>6</w:t>
        <w:tab/>
      </w:r>
      <w:r>
        <w:rPr>
          <w:position w:val="3"/>
          <w:sz w:val="18"/>
        </w:rPr>
        <w:t>-</w:t>
        <w:tab/>
      </w:r>
      <w:r>
        <w:rPr>
          <w:b/>
          <w:position w:val="3"/>
          <w:sz w:val="18"/>
        </w:rPr>
        <w:t>6</w:t>
        <w:tab/>
      </w:r>
      <w:r>
        <w:rPr>
          <w:position w:val="3"/>
          <w:sz w:val="18"/>
        </w:rPr>
        <w:t>-</w:t>
      </w:r>
    </w:p>
    <w:p>
      <w:pPr>
        <w:pStyle w:val="BodyText"/>
        <w:spacing w:line="50" w:lineRule="exact"/>
        <w:ind w:left="5813"/>
        <w:rPr>
          <w:sz w:val="4"/>
        </w:rPr>
      </w:pPr>
      <w:r>
        <w:rPr>
          <w:position w:val="0"/>
          <w:sz w:val="4"/>
        </w:rPr>
        <w:pict>
          <v:group style="width:276.5pt;height:2.5pt;mso-position-horizontal-relative:char;mso-position-vertical-relative:line" coordorigin="0,0" coordsize="5530,50">
            <v:line style="position:absolute" from="1,1" to="170,1" stroked="true" strokeweight=".06pt" strokecolor="#000000"/>
            <v:line style="position:absolute" from="1,2" to="170,2" stroked="true" strokeweight=".06pt" strokecolor="#000000"/>
            <v:line style="position:absolute" from="1,3" to="170,3" stroked="true" strokeweight=".06pt" strokecolor="#000000"/>
            <v:line style="position:absolute" from="1,5" to="170,5" stroked="true" strokeweight=".06pt" strokecolor="#000000"/>
            <v:line style="position:absolute" from="1,6" to="170,6" stroked="true" strokeweight=".06pt" strokecolor="#000000"/>
            <v:line style="position:absolute" from="1,7" to="170,7" stroked="true" strokeweight=".06pt" strokecolor="#000000"/>
            <v:line style="position:absolute" from="1,8" to="170,8" stroked="true" strokeweight=".06pt" strokecolor="#000000"/>
            <v:line style="position:absolute" from="1,9" to="170,9" stroked="true" strokeweight=".06pt" strokecolor="#000000"/>
            <v:line style="position:absolute" from="1,11" to="170,11" stroked="true" strokeweight=".06pt" strokecolor="#000000"/>
            <v:line style="position:absolute" from="1,12" to="170,12" stroked="true" strokeweight=".06pt" strokecolor="#000000"/>
            <v:line style="position:absolute" from="1,13" to="170,13" stroked="true" strokeweight=".06pt" strokecolor="#000000"/>
            <v:line style="position:absolute" from="1,14" to="170,14" stroked="true" strokeweight=".06pt" strokecolor="#000000"/>
            <v:line style="position:absolute" from="1,15" to="170,15" stroked="true" strokeweight=".06pt" strokecolor="#000000"/>
            <v:line style="position:absolute" from="1,35" to="170,35" stroked="true" strokeweight=".06pt" strokecolor="#000000"/>
            <v:line style="position:absolute" from="1,36" to="170,36" stroked="true" strokeweight=".06pt" strokecolor="#000000"/>
            <v:line style="position:absolute" from="1,37" to="170,37" stroked="true" strokeweight=".06pt" strokecolor="#000000"/>
            <v:line style="position:absolute" from="1,38" to="170,38" stroked="true" strokeweight=".06pt" strokecolor="#000000"/>
            <v:line style="position:absolute" from="1,39" to="170,39" stroked="true" strokeweight=".06pt" strokecolor="#000000"/>
            <v:line style="position:absolute" from="1,41" to="170,41" stroked="true" strokeweight=".06pt" strokecolor="#000000"/>
            <v:line style="position:absolute" from="1,42" to="170,42" stroked="true" strokeweight=".06pt" strokecolor="#000000"/>
            <v:line style="position:absolute" from="1,43" to="170,43" stroked="true" strokeweight=".06pt" strokecolor="#000000"/>
            <v:line style="position:absolute" from="1,44" to="170,44" stroked="true" strokeweight=".06pt" strokecolor="#000000"/>
            <v:line style="position:absolute" from="1,45" to="170,45" stroked="true" strokeweight=".06pt" strokecolor="#000000"/>
            <v:line style="position:absolute" from="1,47" to="170,47" stroked="true" strokeweight=".06pt" strokecolor="#000000"/>
            <v:line style="position:absolute" from="1,48" to="170,48" stroked="true" strokeweight=".06pt" strokecolor="#000000"/>
            <v:line style="position:absolute" from="1,49" to="170,49" stroked="true" strokeweight=".06pt" strokecolor="#000000"/>
            <v:line style="position:absolute" from="170,1" to="1467,1" stroked="true" strokeweight=".06pt" strokecolor="#000000"/>
            <v:line style="position:absolute" from="170,2" to="1467,2" stroked="true" strokeweight=".06pt" strokecolor="#000000"/>
            <v:line style="position:absolute" from="170,3" to="1467,3" stroked="true" strokeweight=".06pt" strokecolor="#000000"/>
            <v:line style="position:absolute" from="170,5" to="1467,5" stroked="true" strokeweight=".06pt" strokecolor="#000000"/>
            <v:line style="position:absolute" from="170,6" to="1467,6" stroked="true" strokeweight=".06pt" strokecolor="#000000"/>
            <v:line style="position:absolute" from="170,7" to="1467,7" stroked="true" strokeweight=".06pt" strokecolor="#000000"/>
            <v:line style="position:absolute" from="170,8" to="1467,8" stroked="true" strokeweight=".06pt" strokecolor="#000000"/>
            <v:line style="position:absolute" from="170,9" to="1467,9" stroked="true" strokeweight=".06pt" strokecolor="#000000"/>
            <v:line style="position:absolute" from="170,11" to="1467,11" stroked="true" strokeweight=".06pt" strokecolor="#000000"/>
            <v:line style="position:absolute" from="170,12" to="1467,12" stroked="true" strokeweight=".06pt" strokecolor="#000000"/>
            <v:line style="position:absolute" from="170,13" to="1467,13" stroked="true" strokeweight=".06pt" strokecolor="#000000"/>
            <v:line style="position:absolute" from="170,14" to="1467,14" stroked="true" strokeweight=".06pt" strokecolor="#000000"/>
            <v:line style="position:absolute" from="170,15" to="1467,15" stroked="true" strokeweight=".06pt" strokecolor="#000000"/>
            <v:line style="position:absolute" from="170,35" to="1467,35" stroked="true" strokeweight=".06pt" strokecolor="#000000"/>
            <v:line style="position:absolute" from="170,36" to="1467,36" stroked="true" strokeweight=".06pt" strokecolor="#000000"/>
            <v:line style="position:absolute" from="170,37" to="1467,37" stroked="true" strokeweight=".06pt" strokecolor="#000000"/>
            <v:line style="position:absolute" from="170,38" to="1467,38" stroked="true" strokeweight=".06pt" strokecolor="#000000"/>
            <v:line style="position:absolute" from="170,39" to="1467,39" stroked="true" strokeweight=".06pt" strokecolor="#000000"/>
            <v:line style="position:absolute" from="170,41" to="1467,41" stroked="true" strokeweight=".06pt" strokecolor="#000000"/>
            <v:line style="position:absolute" from="170,42" to="1467,42" stroked="true" strokeweight=".06pt" strokecolor="#000000"/>
            <v:line style="position:absolute" from="170,43" to="1467,43" stroked="true" strokeweight=".06pt" strokecolor="#000000"/>
            <v:line style="position:absolute" from="170,44" to="1467,44" stroked="true" strokeweight=".06pt" strokecolor="#000000"/>
            <v:line style="position:absolute" from="170,45" to="1467,45" stroked="true" strokeweight=".06pt" strokecolor="#000000"/>
            <v:line style="position:absolute" from="170,47" to="1467,47" stroked="true" strokeweight=".06pt" strokecolor="#000000"/>
            <v:line style="position:absolute" from="170,48" to="1467,48" stroked="true" strokeweight=".06pt" strokecolor="#000000"/>
            <v:line style="position:absolute" from="170,49" to="1467,49" stroked="true" strokeweight=".06pt" strokecolor="#000000"/>
            <v:line style="position:absolute" from="1467,1" to="2765,1" stroked="true" strokeweight=".06pt" strokecolor="#000000"/>
            <v:line style="position:absolute" from="1467,2" to="2765,2" stroked="true" strokeweight=".06pt" strokecolor="#000000"/>
            <v:line style="position:absolute" from="1467,3" to="2765,3" stroked="true" strokeweight=".06pt" strokecolor="#000000"/>
            <v:line style="position:absolute" from="1467,5" to="2765,5" stroked="true" strokeweight=".06pt" strokecolor="#000000"/>
            <v:line style="position:absolute" from="1467,6" to="2765,6" stroked="true" strokeweight=".06pt" strokecolor="#000000"/>
            <v:line style="position:absolute" from="1467,7" to="2765,7" stroked="true" strokeweight=".06pt" strokecolor="#000000"/>
            <v:line style="position:absolute" from="1467,8" to="2765,8" stroked="true" strokeweight=".06pt" strokecolor="#000000"/>
            <v:line style="position:absolute" from="1467,9" to="2765,9" stroked="true" strokeweight=".06pt" strokecolor="#000000"/>
            <v:line style="position:absolute" from="1467,11" to="2765,11" stroked="true" strokeweight=".06pt" strokecolor="#000000"/>
            <v:line style="position:absolute" from="1467,12" to="2765,12" stroked="true" strokeweight=".06pt" strokecolor="#000000"/>
            <v:line style="position:absolute" from="1467,13" to="2765,13" stroked="true" strokeweight=".06pt" strokecolor="#000000"/>
            <v:line style="position:absolute" from="1467,14" to="2765,14" stroked="true" strokeweight=".06pt" strokecolor="#000000"/>
            <v:line style="position:absolute" from="1467,15" to="2765,15" stroked="true" strokeweight=".06pt" strokecolor="#000000"/>
            <v:line style="position:absolute" from="1467,35" to="2765,35" stroked="true" strokeweight=".06pt" strokecolor="#000000"/>
            <v:line style="position:absolute" from="1467,36" to="2765,36" stroked="true" strokeweight=".06pt" strokecolor="#000000"/>
            <v:line style="position:absolute" from="1467,37" to="2765,37" stroked="true" strokeweight=".06pt" strokecolor="#000000"/>
            <v:line style="position:absolute" from="1467,38" to="2765,38" stroked="true" strokeweight=".06pt" strokecolor="#000000"/>
            <v:line style="position:absolute" from="1467,39" to="2765,39" stroked="true" strokeweight=".06pt" strokecolor="#000000"/>
            <v:line style="position:absolute" from="1467,41" to="2765,41" stroked="true" strokeweight=".06pt" strokecolor="#000000"/>
            <v:line style="position:absolute" from="1467,42" to="2765,42" stroked="true" strokeweight=".06pt" strokecolor="#000000"/>
            <v:line style="position:absolute" from="1467,43" to="2765,43" stroked="true" strokeweight=".06pt" strokecolor="#000000"/>
            <v:line style="position:absolute" from="1467,44" to="2765,44" stroked="true" strokeweight=".06pt" strokecolor="#000000"/>
            <v:line style="position:absolute" from="1467,45" to="2765,45" stroked="true" strokeweight=".06pt" strokecolor="#000000"/>
            <v:line style="position:absolute" from="1467,47" to="2765,47" stroked="true" strokeweight=".06pt" strokecolor="#000000"/>
            <v:line style="position:absolute" from="1467,48" to="2765,48" stroked="true" strokeweight=".06pt" strokecolor="#000000"/>
            <v:line style="position:absolute" from="1467,49" to="2765,49" stroked="true" strokeweight=".06pt" strokecolor="#000000"/>
            <v:line style="position:absolute" from="2765,1" to="2934,1" stroked="true" strokeweight=".06pt" strokecolor="#000000"/>
            <v:line style="position:absolute" from="2765,2" to="2934,2" stroked="true" strokeweight=".06pt" strokecolor="#000000"/>
            <v:line style="position:absolute" from="2765,3" to="2934,3" stroked="true" strokeweight=".06pt" strokecolor="#000000"/>
            <v:line style="position:absolute" from="2765,5" to="2934,5" stroked="true" strokeweight=".06pt" strokecolor="#000000"/>
            <v:line style="position:absolute" from="2765,6" to="2934,6" stroked="true" strokeweight=".06pt" strokecolor="#000000"/>
            <v:line style="position:absolute" from="2765,7" to="2934,7" stroked="true" strokeweight=".06pt" strokecolor="#000000"/>
            <v:line style="position:absolute" from="2765,8" to="2934,8" stroked="true" strokeweight=".06pt" strokecolor="#000000"/>
            <v:line style="position:absolute" from="2765,9" to="2934,9" stroked="true" strokeweight=".06pt" strokecolor="#000000"/>
            <v:line style="position:absolute" from="2765,11" to="2934,11" stroked="true" strokeweight=".06pt" strokecolor="#000000"/>
            <v:line style="position:absolute" from="2765,12" to="2934,12" stroked="true" strokeweight=".06pt" strokecolor="#000000"/>
            <v:line style="position:absolute" from="2765,13" to="2934,13" stroked="true" strokeweight=".06pt" strokecolor="#000000"/>
            <v:line style="position:absolute" from="2765,14" to="2934,14" stroked="true" strokeweight=".06pt" strokecolor="#000000"/>
            <v:line style="position:absolute" from="2765,15" to="2934,15" stroked="true" strokeweight=".06pt" strokecolor="#000000"/>
            <v:line style="position:absolute" from="2765,35" to="2934,35" stroked="true" strokeweight=".06pt" strokecolor="#000000"/>
            <v:line style="position:absolute" from="2765,36" to="2934,36" stroked="true" strokeweight=".06pt" strokecolor="#000000"/>
            <v:line style="position:absolute" from="2765,37" to="2934,37" stroked="true" strokeweight=".06pt" strokecolor="#000000"/>
            <v:line style="position:absolute" from="2765,38" to="2934,38" stroked="true" strokeweight=".06pt" strokecolor="#000000"/>
            <v:line style="position:absolute" from="2765,39" to="2934,39" stroked="true" strokeweight=".06pt" strokecolor="#000000"/>
            <v:line style="position:absolute" from="2765,41" to="2934,41" stroked="true" strokeweight=".06pt" strokecolor="#000000"/>
            <v:line style="position:absolute" from="2765,42" to="2934,42" stroked="true" strokeweight=".06pt" strokecolor="#000000"/>
            <v:line style="position:absolute" from="2765,43" to="2934,43" stroked="true" strokeweight=".06pt" strokecolor="#000000"/>
            <v:line style="position:absolute" from="2765,44" to="2934,44" stroked="true" strokeweight=".06pt" strokecolor="#000000"/>
            <v:line style="position:absolute" from="2765,45" to="2934,45" stroked="true" strokeweight=".06pt" strokecolor="#000000"/>
            <v:line style="position:absolute" from="2765,47" to="2934,47" stroked="true" strokeweight=".06pt" strokecolor="#000000"/>
            <v:line style="position:absolute" from="2765,48" to="2934,48" stroked="true" strokeweight=".06pt" strokecolor="#000000"/>
            <v:line style="position:absolute" from="2765,49" to="2934,49" stroked="true" strokeweight=".06pt" strokecolor="#000000"/>
            <v:line style="position:absolute" from="2934,1" to="4231,1" stroked="true" strokeweight=".06pt" strokecolor="#000000"/>
            <v:line style="position:absolute" from="2934,2" to="4231,2" stroked="true" strokeweight=".06pt" strokecolor="#000000"/>
            <v:line style="position:absolute" from="2934,3" to="4231,3" stroked="true" strokeweight=".06pt" strokecolor="#000000"/>
            <v:line style="position:absolute" from="2934,5" to="4231,5" stroked="true" strokeweight=".06pt" strokecolor="#000000"/>
            <v:line style="position:absolute" from="2934,6" to="4231,6" stroked="true" strokeweight=".06pt" strokecolor="#000000"/>
            <v:line style="position:absolute" from="2934,7" to="4231,7" stroked="true" strokeweight=".06pt" strokecolor="#000000"/>
            <v:line style="position:absolute" from="2934,8" to="4231,8" stroked="true" strokeweight=".06pt" strokecolor="#000000"/>
            <v:line style="position:absolute" from="2934,9" to="4231,9" stroked="true" strokeweight=".06pt" strokecolor="#000000"/>
            <v:line style="position:absolute" from="2934,11" to="4231,11" stroked="true" strokeweight=".06pt" strokecolor="#000000"/>
            <v:line style="position:absolute" from="2934,12" to="4231,12" stroked="true" strokeweight=".06pt" strokecolor="#000000"/>
            <v:line style="position:absolute" from="2934,13" to="4231,13" stroked="true" strokeweight=".06pt" strokecolor="#000000"/>
            <v:line style="position:absolute" from="2934,14" to="4231,14" stroked="true" strokeweight=".06pt" strokecolor="#000000"/>
            <v:line style="position:absolute" from="2934,15" to="4231,15" stroked="true" strokeweight=".06pt" strokecolor="#000000"/>
            <v:line style="position:absolute" from="2934,35" to="4231,35" stroked="true" strokeweight=".06pt" strokecolor="#000000"/>
            <v:line style="position:absolute" from="2934,36" to="4231,36" stroked="true" strokeweight=".06pt" strokecolor="#000000"/>
            <v:line style="position:absolute" from="2934,37" to="4231,37" stroked="true" strokeweight=".06pt" strokecolor="#000000"/>
            <v:line style="position:absolute" from="2934,38" to="4231,38" stroked="true" strokeweight=".06pt" strokecolor="#000000"/>
            <v:line style="position:absolute" from="2934,39" to="4231,39" stroked="true" strokeweight=".06pt" strokecolor="#000000"/>
            <v:line style="position:absolute" from="2934,41" to="4231,41" stroked="true" strokeweight=".06pt" strokecolor="#000000"/>
            <v:line style="position:absolute" from="2934,42" to="4231,42" stroked="true" strokeweight=".06pt" strokecolor="#000000"/>
            <v:line style="position:absolute" from="2934,43" to="4231,43" stroked="true" strokeweight=".06pt" strokecolor="#000000"/>
            <v:line style="position:absolute" from="2934,44" to="4231,44" stroked="true" strokeweight=".06pt" strokecolor="#000000"/>
            <v:line style="position:absolute" from="2934,45" to="4231,45" stroked="true" strokeweight=".06pt" strokecolor="#000000"/>
            <v:line style="position:absolute" from="2934,47" to="4231,47" stroked="true" strokeweight=".06pt" strokecolor="#000000"/>
            <v:line style="position:absolute" from="2934,48" to="4231,48" stroked="true" strokeweight=".06pt" strokecolor="#000000"/>
            <v:line style="position:absolute" from="2934,49" to="4231,49" stroked="true" strokeweight=".06pt" strokecolor="#000000"/>
            <v:line style="position:absolute" from="4231,1" to="5528,1" stroked="true" strokeweight=".06pt" strokecolor="#000000"/>
            <v:line style="position:absolute" from="4231,2" to="5528,2" stroked="true" strokeweight=".06pt" strokecolor="#000000"/>
            <v:line style="position:absolute" from="4231,3" to="5528,3" stroked="true" strokeweight=".06pt" strokecolor="#000000"/>
            <v:line style="position:absolute" from="4231,5" to="5528,5" stroked="true" strokeweight=".06pt" strokecolor="#000000"/>
            <v:line style="position:absolute" from="4231,6" to="5528,6" stroked="true" strokeweight=".06pt" strokecolor="#000000"/>
            <v:line style="position:absolute" from="4231,7" to="5528,7" stroked="true" strokeweight=".06pt" strokecolor="#000000"/>
            <v:line style="position:absolute" from="4231,8" to="5528,8" stroked="true" strokeweight=".06pt" strokecolor="#000000"/>
            <v:line style="position:absolute" from="4231,9" to="5528,9" stroked="true" strokeweight=".06pt" strokecolor="#000000"/>
            <v:line style="position:absolute" from="4231,11" to="5528,11" stroked="true" strokeweight=".06pt" strokecolor="#000000"/>
            <v:line style="position:absolute" from="4231,12" to="5528,12" stroked="true" strokeweight=".06pt" strokecolor="#000000"/>
            <v:line style="position:absolute" from="4231,13" to="5528,13" stroked="true" strokeweight=".06pt" strokecolor="#000000"/>
            <v:line style="position:absolute" from="4231,14" to="5528,14" stroked="true" strokeweight=".06pt" strokecolor="#000000"/>
            <v:line style="position:absolute" from="4231,15" to="5528,15" stroked="true" strokeweight=".06pt" strokecolor="#000000"/>
            <v:line style="position:absolute" from="4231,35" to="5528,35" stroked="true" strokeweight=".06pt" strokecolor="#000000"/>
            <v:line style="position:absolute" from="4231,36" to="5528,36" stroked="true" strokeweight=".06pt" strokecolor="#000000"/>
            <v:line style="position:absolute" from="4231,37" to="5528,37" stroked="true" strokeweight=".06pt" strokecolor="#000000"/>
            <v:line style="position:absolute" from="4231,38" to="5528,38" stroked="true" strokeweight=".06pt" strokecolor="#000000"/>
            <v:line style="position:absolute" from="4231,39" to="5528,39" stroked="true" strokeweight=".06pt" strokecolor="#000000"/>
            <v:line style="position:absolute" from="4231,41" to="5528,41" stroked="true" strokeweight=".06pt" strokecolor="#000000"/>
            <v:line style="position:absolute" from="4231,42" to="5528,42" stroked="true" strokeweight=".06pt" strokecolor="#000000"/>
            <v:line style="position:absolute" from="4231,43" to="5528,43" stroked="true" strokeweight=".06pt" strokecolor="#000000"/>
            <v:line style="position:absolute" from="4231,44" to="5528,44" stroked="true" strokeweight=".06pt" strokecolor="#000000"/>
            <v:line style="position:absolute" from="4231,45" to="5528,45" stroked="true" strokeweight=".06pt" strokecolor="#000000"/>
            <v:line style="position:absolute" from="4231,47" to="5528,47" stroked="true" strokeweight=".06pt" strokecolor="#000000"/>
            <v:line style="position:absolute" from="4231,48" to="5528,48" stroked="true" strokeweight=".06pt" strokecolor="#000000"/>
            <v:line style="position:absolute" from="4231,49" to="5528,49" stroked="true" strokeweight=".06pt" strokecolor="#000000"/>
          </v:group>
        </w:pict>
      </w:r>
      <w:r>
        <w:rPr>
          <w:position w:val="0"/>
          <w:sz w:val="4"/>
        </w:rPr>
      </w:r>
    </w:p>
    <w:p>
      <w:pPr>
        <w:pStyle w:val="BodyText"/>
        <w:rPr>
          <w:sz w:val="20"/>
        </w:rPr>
      </w:pPr>
    </w:p>
    <w:p>
      <w:pPr>
        <w:pStyle w:val="BodyText"/>
        <w:spacing w:before="10"/>
        <w:rPr>
          <w:sz w:val="20"/>
        </w:rPr>
      </w:pPr>
    </w:p>
    <w:p>
      <w:pPr>
        <w:pStyle w:val="ListParagraph"/>
        <w:numPr>
          <w:ilvl w:val="0"/>
          <w:numId w:val="18"/>
        </w:numPr>
        <w:tabs>
          <w:tab w:pos="1826" w:val="left" w:leader="none"/>
        </w:tabs>
        <w:spacing w:line="240" w:lineRule="auto" w:before="0" w:after="0"/>
        <w:ind w:left="1825" w:right="0" w:hanging="396"/>
        <w:jc w:val="left"/>
        <w:rPr>
          <w:b/>
          <w:sz w:val="18"/>
        </w:rPr>
      </w:pPr>
      <w:r>
        <w:rPr>
          <w:b/>
          <w:sz w:val="18"/>
        </w:rPr>
        <w:t>Fees and</w:t>
      </w:r>
      <w:r>
        <w:rPr>
          <w:b/>
          <w:spacing w:val="-15"/>
          <w:sz w:val="18"/>
        </w:rPr>
        <w:t> </w:t>
      </w:r>
      <w:r>
        <w:rPr>
          <w:b/>
          <w:sz w:val="18"/>
        </w:rPr>
        <w:t>charges</w:t>
      </w:r>
    </w:p>
    <w:p>
      <w:pPr>
        <w:tabs>
          <w:tab w:pos="9693" w:val="left" w:leader="none"/>
        </w:tabs>
        <w:spacing w:before="33"/>
        <w:ind w:left="6640" w:right="0" w:firstLine="0"/>
        <w:jc w:val="left"/>
        <w:rPr>
          <w:b/>
          <w:sz w:val="18"/>
        </w:rPr>
      </w:pPr>
      <w:r>
        <w:rPr>
          <w:b/>
          <w:sz w:val="18"/>
        </w:rPr>
        <w:t>Consolidated</w:t>
        <w:tab/>
        <w:t>Parent</w:t>
      </w:r>
    </w:p>
    <w:p>
      <w:pPr>
        <w:spacing w:after="0"/>
        <w:jc w:val="left"/>
        <w:rPr>
          <w:sz w:val="18"/>
        </w:rPr>
        <w:sectPr>
          <w:type w:val="continuous"/>
          <w:pgSz w:w="12750" w:h="17680"/>
          <w:pgMar w:top="1660" w:bottom="0" w:left="0" w:right="0"/>
        </w:sectPr>
      </w:pPr>
    </w:p>
    <w:p>
      <w:pPr>
        <w:spacing w:before="66"/>
        <w:ind w:left="0" w:right="19" w:firstLine="0"/>
        <w:jc w:val="right"/>
        <w:rPr>
          <w:b/>
          <w:sz w:val="18"/>
        </w:rPr>
      </w:pPr>
      <w:r>
        <w:rPr>
          <w:b/>
          <w:sz w:val="18"/>
        </w:rPr>
        <w:t>2016</w:t>
      </w:r>
    </w:p>
    <w:p>
      <w:pPr>
        <w:spacing w:before="66"/>
        <w:ind w:left="0" w:right="0" w:firstLine="0"/>
        <w:jc w:val="right"/>
        <w:rPr>
          <w:b/>
          <w:sz w:val="18"/>
        </w:rPr>
      </w:pPr>
      <w:r>
        <w:rPr/>
        <w:drawing>
          <wp:anchor distT="0" distB="0" distL="0" distR="0" allowOverlap="1" layoutInCell="1" locked="0" behindDoc="0" simplePos="0" relativeHeight="3160">
            <wp:simplePos x="0" y="0"/>
            <wp:positionH relativeFrom="page">
              <wp:posOffset>-1587</wp:posOffset>
            </wp:positionH>
            <wp:positionV relativeFrom="paragraph">
              <wp:posOffset>426642</wp:posOffset>
            </wp:positionV>
            <wp:extent cx="135159" cy="154019"/>
            <wp:effectExtent l="0" t="0" r="0" b="0"/>
            <wp:wrapNone/>
            <wp:docPr id="167" name="image13.png" descr=""/>
            <wp:cNvGraphicFramePr>
              <a:graphicFrameLocks noChangeAspect="1"/>
            </wp:cNvGraphicFramePr>
            <a:graphic>
              <a:graphicData uri="http://schemas.openxmlformats.org/drawingml/2006/picture">
                <pic:pic>
                  <pic:nvPicPr>
                    <pic:cNvPr id="168" name="image13.png"/>
                    <pic:cNvPicPr/>
                  </pic:nvPicPr>
                  <pic:blipFill>
                    <a:blip r:embed="rId18" cstate="print"/>
                    <a:stretch>
                      <a:fillRect/>
                    </a:stretch>
                  </pic:blipFill>
                  <pic:spPr>
                    <a:xfrm>
                      <a:off x="0" y="0"/>
                      <a:ext cx="135159" cy="154019"/>
                    </a:xfrm>
                    <a:prstGeom prst="rect">
                      <a:avLst/>
                    </a:prstGeom>
                  </pic:spPr>
                </pic:pic>
              </a:graphicData>
            </a:graphic>
          </wp:anchor>
        </w:drawing>
      </w:r>
      <w:r>
        <w:rPr>
          <w:b/>
          <w:sz w:val="18"/>
        </w:rPr>
        <w:t>$'000</w:t>
      </w:r>
    </w:p>
    <w:p>
      <w:pPr>
        <w:spacing w:before="66"/>
        <w:ind w:left="823" w:right="-16" w:firstLine="0"/>
        <w:jc w:val="left"/>
        <w:rPr>
          <w:b/>
          <w:sz w:val="18"/>
        </w:rPr>
      </w:pPr>
      <w:r>
        <w:rPr/>
        <w:br w:type="column"/>
      </w:r>
      <w:r>
        <w:rPr>
          <w:b/>
          <w:sz w:val="18"/>
        </w:rPr>
        <w:t>2015</w:t>
      </w:r>
    </w:p>
    <w:p>
      <w:pPr>
        <w:spacing w:before="66"/>
        <w:ind w:left="802" w:right="-16" w:firstLine="0"/>
        <w:jc w:val="left"/>
        <w:rPr>
          <w:b/>
          <w:sz w:val="18"/>
        </w:rPr>
      </w:pPr>
      <w:r>
        <w:rPr>
          <w:b/>
          <w:spacing w:val="-1"/>
          <w:sz w:val="18"/>
        </w:rPr>
        <w:t>$'000</w:t>
      </w:r>
    </w:p>
    <w:p>
      <w:pPr>
        <w:spacing w:before="66"/>
        <w:ind w:left="0" w:right="19" w:firstLine="0"/>
        <w:jc w:val="right"/>
        <w:rPr>
          <w:b/>
          <w:sz w:val="18"/>
        </w:rPr>
      </w:pPr>
      <w:r>
        <w:rPr/>
        <w:br w:type="column"/>
      </w:r>
      <w:r>
        <w:rPr>
          <w:b/>
          <w:sz w:val="18"/>
        </w:rPr>
        <w:t>2016</w:t>
      </w:r>
    </w:p>
    <w:p>
      <w:pPr>
        <w:spacing w:before="66"/>
        <w:ind w:left="0" w:right="0" w:firstLine="0"/>
        <w:jc w:val="right"/>
        <w:rPr>
          <w:b/>
          <w:sz w:val="18"/>
        </w:rPr>
      </w:pPr>
      <w:r>
        <w:rPr>
          <w:b/>
          <w:sz w:val="18"/>
        </w:rPr>
        <w:t>$'000</w:t>
      </w:r>
    </w:p>
    <w:p>
      <w:pPr>
        <w:spacing w:before="66"/>
        <w:ind w:left="823" w:right="0" w:firstLine="0"/>
        <w:jc w:val="left"/>
        <w:rPr>
          <w:b/>
          <w:sz w:val="18"/>
        </w:rPr>
      </w:pPr>
      <w:r>
        <w:rPr/>
        <w:br w:type="column"/>
      </w:r>
      <w:r>
        <w:rPr>
          <w:b/>
          <w:sz w:val="18"/>
        </w:rPr>
        <w:t>2015</w:t>
      </w:r>
    </w:p>
    <w:p>
      <w:pPr>
        <w:spacing w:before="66"/>
        <w:ind w:left="802" w:right="0" w:firstLine="0"/>
        <w:jc w:val="left"/>
        <w:rPr>
          <w:b/>
          <w:sz w:val="18"/>
        </w:rPr>
      </w:pPr>
      <w:r>
        <w:rPr/>
        <w:drawing>
          <wp:anchor distT="0" distB="0" distL="0" distR="0" allowOverlap="1" layoutInCell="1" locked="0" behindDoc="0" simplePos="0" relativeHeight="3184">
            <wp:simplePos x="0" y="0"/>
            <wp:positionH relativeFrom="page">
              <wp:posOffset>7958429</wp:posOffset>
            </wp:positionH>
            <wp:positionV relativeFrom="paragraph">
              <wp:posOffset>426642</wp:posOffset>
            </wp:positionV>
            <wp:extent cx="135953" cy="155575"/>
            <wp:effectExtent l="0" t="0" r="0" b="0"/>
            <wp:wrapNone/>
            <wp:docPr id="169" name="image15.png" descr=""/>
            <wp:cNvGraphicFramePr>
              <a:graphicFrameLocks noChangeAspect="1"/>
            </wp:cNvGraphicFramePr>
            <a:graphic>
              <a:graphicData uri="http://schemas.openxmlformats.org/drawingml/2006/picture">
                <pic:pic>
                  <pic:nvPicPr>
                    <pic:cNvPr id="170" name="image15.png"/>
                    <pic:cNvPicPr/>
                  </pic:nvPicPr>
                  <pic:blipFill>
                    <a:blip r:embed="rId20" cstate="print"/>
                    <a:stretch>
                      <a:fillRect/>
                    </a:stretch>
                  </pic:blipFill>
                  <pic:spPr>
                    <a:xfrm>
                      <a:off x="0" y="0"/>
                      <a:ext cx="135953" cy="155575"/>
                    </a:xfrm>
                    <a:prstGeom prst="rect">
                      <a:avLst/>
                    </a:prstGeom>
                  </pic:spPr>
                </pic:pic>
              </a:graphicData>
            </a:graphic>
          </wp:anchor>
        </w:drawing>
      </w:r>
      <w:r>
        <w:rPr>
          <w:b/>
          <w:sz w:val="18"/>
        </w:rPr>
        <w:t>$'000</w:t>
      </w:r>
    </w:p>
    <w:p>
      <w:pPr>
        <w:spacing w:after="0"/>
        <w:jc w:val="left"/>
        <w:rPr>
          <w:sz w:val="18"/>
        </w:rPr>
        <w:sectPr>
          <w:type w:val="continuous"/>
          <w:pgSz w:w="12750" w:h="17680"/>
          <w:pgMar w:top="1660" w:bottom="0" w:left="0" w:right="0"/>
          <w:cols w:num="4" w:equalWidth="0">
            <w:col w:w="6853" w:space="40"/>
            <w:col w:w="1245" w:space="40"/>
            <w:col w:w="1440" w:space="40"/>
            <w:col w:w="3092"/>
          </w:cols>
        </w:sectPr>
      </w:pPr>
    </w:p>
    <w:p>
      <w:pPr>
        <w:pStyle w:val="BodyText"/>
        <w:spacing w:before="11"/>
        <w:rPr>
          <w:b/>
          <w:sz w:val="5"/>
        </w:rPr>
      </w:pPr>
    </w:p>
    <w:tbl>
      <w:tblPr>
        <w:tblW w:w="0" w:type="auto"/>
        <w:jc w:val="left"/>
        <w:tblInd w:w="181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997"/>
        <w:gridCol w:w="1782"/>
        <w:gridCol w:w="1352"/>
        <w:gridCol w:w="1412"/>
        <w:gridCol w:w="981"/>
      </w:tblGrid>
      <w:tr>
        <w:trPr>
          <w:trHeight w:val="558" w:hRule="exact"/>
        </w:trPr>
        <w:tc>
          <w:tcPr>
            <w:tcW w:w="3997" w:type="dxa"/>
          </w:tcPr>
          <w:p>
            <w:pPr>
              <w:pStyle w:val="TableParagraph"/>
              <w:spacing w:before="77"/>
              <w:ind w:left="35"/>
              <w:jc w:val="left"/>
              <w:rPr>
                <w:b/>
                <w:sz w:val="18"/>
              </w:rPr>
            </w:pPr>
            <w:r>
              <w:rPr>
                <w:b/>
                <w:sz w:val="18"/>
              </w:rPr>
              <w:t>Course Fees and Charges</w:t>
            </w:r>
          </w:p>
          <w:p>
            <w:pPr>
              <w:pStyle w:val="TableParagraph"/>
              <w:spacing w:before="29"/>
              <w:ind w:left="35"/>
              <w:jc w:val="left"/>
              <w:rPr>
                <w:sz w:val="18"/>
              </w:rPr>
            </w:pPr>
            <w:r>
              <w:rPr>
                <w:sz w:val="18"/>
              </w:rPr>
              <w:t>Fee-paying onshore overseas students</w:t>
            </w:r>
          </w:p>
        </w:tc>
        <w:tc>
          <w:tcPr>
            <w:tcW w:w="1782" w:type="dxa"/>
          </w:tcPr>
          <w:p>
            <w:pPr>
              <w:pStyle w:val="TableParagraph"/>
              <w:jc w:val="left"/>
              <w:rPr>
                <w:b/>
                <w:sz w:val="18"/>
              </w:rPr>
            </w:pPr>
          </w:p>
          <w:p>
            <w:pPr>
              <w:pStyle w:val="TableParagraph"/>
              <w:spacing w:before="105"/>
              <w:ind w:right="402"/>
              <w:rPr>
                <w:b/>
                <w:sz w:val="18"/>
              </w:rPr>
            </w:pPr>
            <w:r>
              <w:rPr>
                <w:b/>
                <w:w w:val="95"/>
                <w:sz w:val="18"/>
              </w:rPr>
              <w:t>79,643</w:t>
            </w:r>
          </w:p>
        </w:tc>
        <w:tc>
          <w:tcPr>
            <w:tcW w:w="1352" w:type="dxa"/>
          </w:tcPr>
          <w:p>
            <w:pPr>
              <w:pStyle w:val="TableParagraph"/>
              <w:jc w:val="left"/>
              <w:rPr>
                <w:b/>
                <w:sz w:val="18"/>
              </w:rPr>
            </w:pPr>
          </w:p>
          <w:p>
            <w:pPr>
              <w:pStyle w:val="TableParagraph"/>
              <w:spacing w:before="105"/>
              <w:ind w:right="456"/>
              <w:rPr>
                <w:sz w:val="18"/>
              </w:rPr>
            </w:pPr>
            <w:r>
              <w:rPr>
                <w:w w:val="95"/>
                <w:sz w:val="18"/>
              </w:rPr>
              <w:t>75,228</w:t>
            </w:r>
          </w:p>
        </w:tc>
        <w:tc>
          <w:tcPr>
            <w:tcW w:w="1412" w:type="dxa"/>
          </w:tcPr>
          <w:p>
            <w:pPr>
              <w:pStyle w:val="TableParagraph"/>
              <w:jc w:val="left"/>
              <w:rPr>
                <w:b/>
                <w:sz w:val="18"/>
              </w:rPr>
            </w:pPr>
          </w:p>
          <w:p>
            <w:pPr>
              <w:pStyle w:val="TableParagraph"/>
              <w:spacing w:before="105"/>
              <w:ind w:left="458"/>
              <w:jc w:val="left"/>
              <w:rPr>
                <w:b/>
                <w:sz w:val="18"/>
              </w:rPr>
            </w:pPr>
            <w:r>
              <w:rPr>
                <w:b/>
                <w:sz w:val="18"/>
              </w:rPr>
              <w:t>77,728</w:t>
            </w:r>
          </w:p>
        </w:tc>
        <w:tc>
          <w:tcPr>
            <w:tcW w:w="981" w:type="dxa"/>
          </w:tcPr>
          <w:p>
            <w:pPr>
              <w:pStyle w:val="TableParagraph"/>
              <w:jc w:val="left"/>
              <w:rPr>
                <w:b/>
                <w:sz w:val="18"/>
              </w:rPr>
            </w:pPr>
          </w:p>
          <w:p>
            <w:pPr>
              <w:pStyle w:val="TableParagraph"/>
              <w:spacing w:before="105"/>
              <w:ind w:right="85"/>
              <w:rPr>
                <w:sz w:val="18"/>
              </w:rPr>
            </w:pPr>
            <w:r>
              <w:rPr>
                <w:w w:val="95"/>
                <w:sz w:val="18"/>
              </w:rPr>
              <w:t>70,928</w:t>
            </w:r>
          </w:p>
        </w:tc>
      </w:tr>
      <w:tr>
        <w:trPr>
          <w:trHeight w:val="264" w:hRule="exact"/>
        </w:trPr>
        <w:tc>
          <w:tcPr>
            <w:tcW w:w="3997" w:type="dxa"/>
          </w:tcPr>
          <w:p>
            <w:pPr>
              <w:pStyle w:val="TableParagraph"/>
              <w:spacing w:before="19"/>
              <w:ind w:left="35"/>
              <w:jc w:val="left"/>
              <w:rPr>
                <w:sz w:val="18"/>
              </w:rPr>
            </w:pPr>
            <w:r>
              <w:rPr>
                <w:sz w:val="18"/>
              </w:rPr>
              <w:t>Fee-paying offshore overseas students</w:t>
            </w:r>
          </w:p>
        </w:tc>
        <w:tc>
          <w:tcPr>
            <w:tcW w:w="1782" w:type="dxa"/>
          </w:tcPr>
          <w:p>
            <w:pPr>
              <w:pStyle w:val="TableParagraph"/>
              <w:spacing w:before="18"/>
              <w:ind w:right="402"/>
              <w:rPr>
                <w:b/>
                <w:sz w:val="18"/>
              </w:rPr>
            </w:pPr>
            <w:r>
              <w:rPr>
                <w:b/>
                <w:sz w:val="18"/>
              </w:rPr>
              <w:t>1,099</w:t>
            </w:r>
          </w:p>
        </w:tc>
        <w:tc>
          <w:tcPr>
            <w:tcW w:w="1352" w:type="dxa"/>
          </w:tcPr>
          <w:p>
            <w:pPr>
              <w:pStyle w:val="TableParagraph"/>
              <w:spacing w:before="18"/>
              <w:ind w:right="456"/>
              <w:rPr>
                <w:sz w:val="18"/>
              </w:rPr>
            </w:pPr>
            <w:r>
              <w:rPr>
                <w:sz w:val="18"/>
              </w:rPr>
              <w:t>1,086</w:t>
            </w:r>
          </w:p>
        </w:tc>
        <w:tc>
          <w:tcPr>
            <w:tcW w:w="1412" w:type="dxa"/>
          </w:tcPr>
          <w:p>
            <w:pPr>
              <w:pStyle w:val="TableParagraph"/>
              <w:spacing w:before="18"/>
              <w:ind w:left="707"/>
              <w:jc w:val="left"/>
              <w:rPr>
                <w:b/>
                <w:sz w:val="18"/>
              </w:rPr>
            </w:pPr>
            <w:r>
              <w:rPr>
                <w:b/>
                <w:sz w:val="18"/>
              </w:rPr>
              <w:t>822</w:t>
            </w:r>
          </w:p>
        </w:tc>
        <w:tc>
          <w:tcPr>
            <w:tcW w:w="981" w:type="dxa"/>
          </w:tcPr>
          <w:p>
            <w:pPr>
              <w:pStyle w:val="TableParagraph"/>
              <w:spacing w:before="18"/>
              <w:ind w:right="85"/>
              <w:rPr>
                <w:sz w:val="18"/>
              </w:rPr>
            </w:pPr>
            <w:r>
              <w:rPr>
                <w:sz w:val="18"/>
              </w:rPr>
              <w:t>649</w:t>
            </w:r>
          </w:p>
        </w:tc>
      </w:tr>
      <w:tr>
        <w:trPr>
          <w:trHeight w:val="264" w:hRule="exact"/>
        </w:trPr>
        <w:tc>
          <w:tcPr>
            <w:tcW w:w="3997" w:type="dxa"/>
          </w:tcPr>
          <w:p>
            <w:pPr>
              <w:pStyle w:val="TableParagraph"/>
              <w:spacing w:before="19"/>
              <w:ind w:left="35"/>
              <w:jc w:val="left"/>
              <w:rPr>
                <w:sz w:val="18"/>
              </w:rPr>
            </w:pPr>
            <w:r>
              <w:rPr>
                <w:sz w:val="18"/>
              </w:rPr>
              <w:t>Fee-paying domestic postgraduate students</w:t>
            </w:r>
          </w:p>
        </w:tc>
        <w:tc>
          <w:tcPr>
            <w:tcW w:w="1782" w:type="dxa"/>
          </w:tcPr>
          <w:p>
            <w:pPr>
              <w:pStyle w:val="TableParagraph"/>
              <w:spacing w:before="18"/>
              <w:ind w:right="402"/>
              <w:rPr>
                <w:b/>
                <w:sz w:val="18"/>
              </w:rPr>
            </w:pPr>
            <w:r>
              <w:rPr>
                <w:b/>
                <w:sz w:val="18"/>
              </w:rPr>
              <w:t>2,771</w:t>
            </w:r>
          </w:p>
        </w:tc>
        <w:tc>
          <w:tcPr>
            <w:tcW w:w="1352" w:type="dxa"/>
          </w:tcPr>
          <w:p>
            <w:pPr>
              <w:pStyle w:val="TableParagraph"/>
              <w:spacing w:before="18"/>
              <w:ind w:right="456"/>
              <w:rPr>
                <w:sz w:val="18"/>
              </w:rPr>
            </w:pPr>
            <w:r>
              <w:rPr>
                <w:sz w:val="18"/>
              </w:rPr>
              <w:t>2,674</w:t>
            </w:r>
          </w:p>
        </w:tc>
        <w:tc>
          <w:tcPr>
            <w:tcW w:w="1412" w:type="dxa"/>
          </w:tcPr>
          <w:p>
            <w:pPr>
              <w:pStyle w:val="TableParagraph"/>
              <w:spacing w:before="18"/>
              <w:ind w:left="557"/>
              <w:jc w:val="left"/>
              <w:rPr>
                <w:b/>
                <w:sz w:val="18"/>
              </w:rPr>
            </w:pPr>
            <w:r>
              <w:rPr>
                <w:b/>
                <w:sz w:val="18"/>
              </w:rPr>
              <w:t>2,771</w:t>
            </w:r>
          </w:p>
        </w:tc>
        <w:tc>
          <w:tcPr>
            <w:tcW w:w="981" w:type="dxa"/>
          </w:tcPr>
          <w:p>
            <w:pPr>
              <w:pStyle w:val="TableParagraph"/>
              <w:spacing w:before="18"/>
              <w:ind w:right="85"/>
              <w:rPr>
                <w:sz w:val="18"/>
              </w:rPr>
            </w:pPr>
            <w:r>
              <w:rPr>
                <w:sz w:val="18"/>
              </w:rPr>
              <w:t>2,674</w:t>
            </w:r>
          </w:p>
        </w:tc>
      </w:tr>
      <w:tr>
        <w:trPr>
          <w:trHeight w:val="264" w:hRule="exact"/>
        </w:trPr>
        <w:tc>
          <w:tcPr>
            <w:tcW w:w="3997" w:type="dxa"/>
          </w:tcPr>
          <w:p>
            <w:pPr>
              <w:pStyle w:val="TableParagraph"/>
              <w:spacing w:before="19"/>
              <w:ind w:left="35"/>
              <w:jc w:val="left"/>
              <w:rPr>
                <w:sz w:val="18"/>
              </w:rPr>
            </w:pPr>
            <w:r>
              <w:rPr>
                <w:sz w:val="18"/>
              </w:rPr>
              <w:t>Fee-paying domestic undergraduate students</w:t>
            </w:r>
          </w:p>
        </w:tc>
        <w:tc>
          <w:tcPr>
            <w:tcW w:w="1782" w:type="dxa"/>
          </w:tcPr>
          <w:p>
            <w:pPr>
              <w:pStyle w:val="TableParagraph"/>
              <w:spacing w:before="18"/>
              <w:ind w:right="402"/>
              <w:rPr>
                <w:b/>
                <w:sz w:val="18"/>
              </w:rPr>
            </w:pPr>
            <w:r>
              <w:rPr>
                <w:b/>
                <w:sz w:val="18"/>
              </w:rPr>
              <w:t>454</w:t>
            </w:r>
          </w:p>
        </w:tc>
        <w:tc>
          <w:tcPr>
            <w:tcW w:w="1352" w:type="dxa"/>
          </w:tcPr>
          <w:p>
            <w:pPr>
              <w:pStyle w:val="TableParagraph"/>
              <w:spacing w:before="18"/>
              <w:ind w:right="456"/>
              <w:rPr>
                <w:sz w:val="18"/>
              </w:rPr>
            </w:pPr>
            <w:r>
              <w:rPr>
                <w:sz w:val="18"/>
              </w:rPr>
              <w:t>488</w:t>
            </w:r>
          </w:p>
        </w:tc>
        <w:tc>
          <w:tcPr>
            <w:tcW w:w="1412" w:type="dxa"/>
          </w:tcPr>
          <w:p>
            <w:pPr>
              <w:pStyle w:val="TableParagraph"/>
              <w:spacing w:before="18"/>
              <w:ind w:left="707"/>
              <w:jc w:val="left"/>
              <w:rPr>
                <w:b/>
                <w:sz w:val="18"/>
              </w:rPr>
            </w:pPr>
            <w:r>
              <w:rPr>
                <w:b/>
                <w:sz w:val="18"/>
              </w:rPr>
              <w:t>291</w:t>
            </w:r>
          </w:p>
        </w:tc>
        <w:tc>
          <w:tcPr>
            <w:tcW w:w="981" w:type="dxa"/>
          </w:tcPr>
          <w:p>
            <w:pPr>
              <w:pStyle w:val="TableParagraph"/>
              <w:spacing w:before="18"/>
              <w:ind w:right="85"/>
              <w:rPr>
                <w:sz w:val="18"/>
              </w:rPr>
            </w:pPr>
            <w:r>
              <w:rPr>
                <w:sz w:val="18"/>
              </w:rPr>
              <w:t>388</w:t>
            </w:r>
          </w:p>
        </w:tc>
      </w:tr>
      <w:tr>
        <w:trPr>
          <w:trHeight w:val="264" w:hRule="exact"/>
        </w:trPr>
        <w:tc>
          <w:tcPr>
            <w:tcW w:w="3997" w:type="dxa"/>
          </w:tcPr>
          <w:p>
            <w:pPr>
              <w:pStyle w:val="TableParagraph"/>
              <w:spacing w:before="19"/>
              <w:ind w:left="35"/>
              <w:jc w:val="left"/>
              <w:rPr>
                <w:sz w:val="18"/>
              </w:rPr>
            </w:pPr>
            <w:r>
              <w:rPr>
                <w:sz w:val="18"/>
              </w:rPr>
              <w:t>Fee-paying domestic non-award students</w:t>
            </w:r>
          </w:p>
        </w:tc>
        <w:tc>
          <w:tcPr>
            <w:tcW w:w="1782" w:type="dxa"/>
          </w:tcPr>
          <w:p>
            <w:pPr>
              <w:pStyle w:val="TableParagraph"/>
              <w:spacing w:before="18"/>
              <w:ind w:right="402"/>
              <w:rPr>
                <w:b/>
                <w:sz w:val="18"/>
              </w:rPr>
            </w:pPr>
            <w:r>
              <w:rPr>
                <w:b/>
                <w:sz w:val="18"/>
              </w:rPr>
              <w:t>868</w:t>
            </w:r>
          </w:p>
        </w:tc>
        <w:tc>
          <w:tcPr>
            <w:tcW w:w="1352" w:type="dxa"/>
          </w:tcPr>
          <w:p>
            <w:pPr>
              <w:pStyle w:val="TableParagraph"/>
              <w:spacing w:before="18"/>
              <w:ind w:right="456"/>
              <w:rPr>
                <w:sz w:val="18"/>
              </w:rPr>
            </w:pPr>
            <w:r>
              <w:rPr>
                <w:sz w:val="18"/>
              </w:rPr>
              <w:t>960</w:t>
            </w:r>
          </w:p>
        </w:tc>
        <w:tc>
          <w:tcPr>
            <w:tcW w:w="1412" w:type="dxa"/>
          </w:tcPr>
          <w:p>
            <w:pPr>
              <w:pStyle w:val="TableParagraph"/>
              <w:spacing w:before="18"/>
              <w:ind w:left="707"/>
              <w:jc w:val="left"/>
              <w:rPr>
                <w:b/>
                <w:sz w:val="18"/>
              </w:rPr>
            </w:pPr>
            <w:r>
              <w:rPr>
                <w:b/>
                <w:sz w:val="18"/>
              </w:rPr>
              <w:t>730</w:t>
            </w:r>
          </w:p>
        </w:tc>
        <w:tc>
          <w:tcPr>
            <w:tcW w:w="981" w:type="dxa"/>
          </w:tcPr>
          <w:p>
            <w:pPr>
              <w:pStyle w:val="TableParagraph"/>
              <w:spacing w:before="18"/>
              <w:ind w:right="85"/>
              <w:rPr>
                <w:sz w:val="18"/>
              </w:rPr>
            </w:pPr>
            <w:r>
              <w:rPr>
                <w:sz w:val="18"/>
              </w:rPr>
              <w:t>801</w:t>
            </w:r>
          </w:p>
        </w:tc>
      </w:tr>
      <w:tr>
        <w:trPr>
          <w:trHeight w:val="264" w:hRule="exact"/>
        </w:trPr>
        <w:tc>
          <w:tcPr>
            <w:tcW w:w="3997" w:type="dxa"/>
          </w:tcPr>
          <w:p>
            <w:pPr>
              <w:pStyle w:val="TableParagraph"/>
              <w:spacing w:before="19"/>
              <w:ind w:left="35"/>
              <w:jc w:val="left"/>
              <w:rPr>
                <w:sz w:val="18"/>
              </w:rPr>
            </w:pPr>
            <w:r>
              <w:rPr>
                <w:sz w:val="18"/>
              </w:rPr>
              <w:t>Continuing education</w:t>
            </w:r>
          </w:p>
        </w:tc>
        <w:tc>
          <w:tcPr>
            <w:tcW w:w="1782" w:type="dxa"/>
          </w:tcPr>
          <w:p>
            <w:pPr>
              <w:pStyle w:val="TableParagraph"/>
              <w:spacing w:before="18"/>
              <w:ind w:right="402"/>
              <w:rPr>
                <w:b/>
                <w:sz w:val="18"/>
              </w:rPr>
            </w:pPr>
            <w:r>
              <w:rPr>
                <w:b/>
                <w:sz w:val="18"/>
              </w:rPr>
              <w:t>3,044</w:t>
            </w:r>
          </w:p>
        </w:tc>
        <w:tc>
          <w:tcPr>
            <w:tcW w:w="1352" w:type="dxa"/>
          </w:tcPr>
          <w:p>
            <w:pPr>
              <w:pStyle w:val="TableParagraph"/>
              <w:spacing w:before="18"/>
              <w:ind w:right="456"/>
              <w:rPr>
                <w:sz w:val="18"/>
              </w:rPr>
            </w:pPr>
            <w:r>
              <w:rPr>
                <w:sz w:val="18"/>
              </w:rPr>
              <w:t>4,113</w:t>
            </w:r>
          </w:p>
        </w:tc>
        <w:tc>
          <w:tcPr>
            <w:tcW w:w="1412" w:type="dxa"/>
          </w:tcPr>
          <w:p>
            <w:pPr>
              <w:pStyle w:val="TableParagraph"/>
              <w:spacing w:before="18"/>
              <w:ind w:right="402"/>
              <w:rPr>
                <w:b/>
                <w:sz w:val="18"/>
              </w:rPr>
            </w:pPr>
            <w:r>
              <w:rPr>
                <w:b/>
                <w:w w:val="99"/>
                <w:sz w:val="18"/>
              </w:rPr>
              <w:t>9</w:t>
            </w:r>
          </w:p>
        </w:tc>
        <w:tc>
          <w:tcPr>
            <w:tcW w:w="981" w:type="dxa"/>
          </w:tcPr>
          <w:p>
            <w:pPr>
              <w:pStyle w:val="TableParagraph"/>
              <w:spacing w:before="18"/>
              <w:ind w:right="85"/>
              <w:rPr>
                <w:sz w:val="18"/>
              </w:rPr>
            </w:pPr>
            <w:r>
              <w:rPr>
                <w:w w:val="99"/>
                <w:sz w:val="18"/>
              </w:rPr>
              <w:t>-</w:t>
            </w:r>
          </w:p>
        </w:tc>
      </w:tr>
      <w:tr>
        <w:trPr>
          <w:trHeight w:val="262" w:hRule="exact"/>
        </w:trPr>
        <w:tc>
          <w:tcPr>
            <w:tcW w:w="3997" w:type="dxa"/>
          </w:tcPr>
          <w:p>
            <w:pPr>
              <w:pStyle w:val="TableParagraph"/>
              <w:spacing w:before="19"/>
              <w:ind w:left="35"/>
              <w:jc w:val="left"/>
              <w:rPr>
                <w:sz w:val="18"/>
              </w:rPr>
            </w:pPr>
            <w:r>
              <w:rPr>
                <w:sz w:val="18"/>
              </w:rPr>
              <w:t>Other domestic course fees and charges</w:t>
            </w:r>
          </w:p>
        </w:tc>
        <w:tc>
          <w:tcPr>
            <w:tcW w:w="1782" w:type="dxa"/>
            <w:tcBorders>
              <w:bottom w:val="single" w:sz="0" w:space="0" w:color="000000"/>
            </w:tcBorders>
          </w:tcPr>
          <w:p>
            <w:pPr>
              <w:pStyle w:val="TableParagraph"/>
              <w:spacing w:before="18"/>
              <w:ind w:right="343"/>
              <w:rPr>
                <w:b/>
                <w:sz w:val="18"/>
              </w:rPr>
            </w:pPr>
            <w:r>
              <w:rPr>
                <w:b/>
                <w:sz w:val="18"/>
              </w:rPr>
              <w:t>(25)</w:t>
            </w:r>
          </w:p>
        </w:tc>
        <w:tc>
          <w:tcPr>
            <w:tcW w:w="1352" w:type="dxa"/>
            <w:tcBorders>
              <w:bottom w:val="single" w:sz="0" w:space="0" w:color="000000"/>
            </w:tcBorders>
          </w:tcPr>
          <w:p>
            <w:pPr>
              <w:pStyle w:val="TableParagraph"/>
              <w:spacing w:before="18"/>
              <w:ind w:right="456"/>
              <w:rPr>
                <w:sz w:val="18"/>
              </w:rPr>
            </w:pPr>
            <w:r>
              <w:rPr>
                <w:sz w:val="18"/>
              </w:rPr>
              <w:t>36</w:t>
            </w:r>
          </w:p>
        </w:tc>
        <w:tc>
          <w:tcPr>
            <w:tcW w:w="1412" w:type="dxa"/>
            <w:tcBorders>
              <w:bottom w:val="single" w:sz="0" w:space="0" w:color="000000"/>
            </w:tcBorders>
          </w:tcPr>
          <w:p>
            <w:pPr>
              <w:pStyle w:val="TableParagraph"/>
              <w:spacing w:before="18"/>
              <w:ind w:right="343"/>
              <w:rPr>
                <w:b/>
                <w:sz w:val="18"/>
              </w:rPr>
            </w:pPr>
            <w:r>
              <w:rPr>
                <w:b/>
                <w:sz w:val="18"/>
              </w:rPr>
              <w:t>(25)</w:t>
            </w:r>
          </w:p>
        </w:tc>
        <w:tc>
          <w:tcPr>
            <w:tcW w:w="981" w:type="dxa"/>
            <w:tcBorders>
              <w:bottom w:val="single" w:sz="0" w:space="0" w:color="000000"/>
            </w:tcBorders>
          </w:tcPr>
          <w:p>
            <w:pPr>
              <w:pStyle w:val="TableParagraph"/>
              <w:spacing w:before="18"/>
              <w:ind w:right="85"/>
              <w:rPr>
                <w:sz w:val="18"/>
              </w:rPr>
            </w:pPr>
            <w:r>
              <w:rPr>
                <w:sz w:val="18"/>
              </w:rPr>
              <w:t>36</w:t>
            </w:r>
          </w:p>
        </w:tc>
      </w:tr>
      <w:tr>
        <w:trPr>
          <w:trHeight w:val="338" w:hRule="exact"/>
        </w:trPr>
        <w:tc>
          <w:tcPr>
            <w:tcW w:w="3997" w:type="dxa"/>
          </w:tcPr>
          <w:p>
            <w:pPr>
              <w:pStyle w:val="TableParagraph"/>
              <w:spacing w:before="123"/>
              <w:ind w:left="35"/>
              <w:jc w:val="left"/>
              <w:rPr>
                <w:b/>
                <w:sz w:val="18"/>
              </w:rPr>
            </w:pPr>
            <w:r>
              <w:rPr>
                <w:b/>
                <w:sz w:val="18"/>
              </w:rPr>
              <w:t>Total Course Fees and Charges</w:t>
            </w:r>
          </w:p>
        </w:tc>
        <w:tc>
          <w:tcPr>
            <w:tcW w:w="1782" w:type="dxa"/>
            <w:tcBorders>
              <w:top w:val="single" w:sz="0" w:space="0" w:color="000000"/>
              <w:bottom w:val="single" w:sz="0" w:space="0" w:color="000000"/>
            </w:tcBorders>
          </w:tcPr>
          <w:p>
            <w:pPr>
              <w:pStyle w:val="TableParagraph"/>
              <w:spacing w:before="94"/>
              <w:ind w:right="402"/>
              <w:rPr>
                <w:b/>
                <w:sz w:val="18"/>
              </w:rPr>
            </w:pPr>
            <w:r>
              <w:rPr>
                <w:b/>
                <w:w w:val="95"/>
                <w:sz w:val="18"/>
              </w:rPr>
              <w:t>87,854</w:t>
            </w:r>
          </w:p>
        </w:tc>
        <w:tc>
          <w:tcPr>
            <w:tcW w:w="1352" w:type="dxa"/>
            <w:tcBorders>
              <w:top w:val="single" w:sz="0" w:space="0" w:color="000000"/>
              <w:bottom w:val="single" w:sz="0" w:space="0" w:color="000000"/>
            </w:tcBorders>
          </w:tcPr>
          <w:p>
            <w:pPr>
              <w:pStyle w:val="TableParagraph"/>
              <w:spacing w:before="94"/>
              <w:ind w:right="456"/>
              <w:rPr>
                <w:sz w:val="18"/>
              </w:rPr>
            </w:pPr>
            <w:r>
              <w:rPr>
                <w:w w:val="95"/>
                <w:sz w:val="18"/>
              </w:rPr>
              <w:t>84,585</w:t>
            </w:r>
          </w:p>
        </w:tc>
        <w:tc>
          <w:tcPr>
            <w:tcW w:w="1412" w:type="dxa"/>
            <w:tcBorders>
              <w:top w:val="single" w:sz="0" w:space="0" w:color="000000"/>
              <w:bottom w:val="single" w:sz="0" w:space="0" w:color="000000"/>
            </w:tcBorders>
          </w:tcPr>
          <w:p>
            <w:pPr>
              <w:pStyle w:val="TableParagraph"/>
              <w:spacing w:before="94"/>
              <w:ind w:left="458"/>
              <w:jc w:val="left"/>
              <w:rPr>
                <w:b/>
                <w:sz w:val="18"/>
              </w:rPr>
            </w:pPr>
            <w:r>
              <w:rPr>
                <w:b/>
                <w:sz w:val="18"/>
              </w:rPr>
              <w:t>82,326</w:t>
            </w:r>
          </w:p>
        </w:tc>
        <w:tc>
          <w:tcPr>
            <w:tcW w:w="981" w:type="dxa"/>
            <w:tcBorders>
              <w:top w:val="single" w:sz="0" w:space="0" w:color="000000"/>
              <w:bottom w:val="single" w:sz="0" w:space="0" w:color="000000"/>
            </w:tcBorders>
          </w:tcPr>
          <w:p>
            <w:pPr>
              <w:pStyle w:val="TableParagraph"/>
              <w:spacing w:before="94"/>
              <w:ind w:right="85"/>
              <w:rPr>
                <w:sz w:val="18"/>
              </w:rPr>
            </w:pPr>
            <w:r>
              <w:rPr>
                <w:w w:val="95"/>
                <w:sz w:val="18"/>
              </w:rPr>
              <w:t>75,476</w:t>
            </w:r>
          </w:p>
        </w:tc>
      </w:tr>
      <w:tr>
        <w:trPr>
          <w:trHeight w:val="604" w:hRule="exact"/>
        </w:trPr>
        <w:tc>
          <w:tcPr>
            <w:tcW w:w="3997" w:type="dxa"/>
          </w:tcPr>
          <w:p>
            <w:pPr>
              <w:pStyle w:val="TableParagraph"/>
              <w:spacing w:before="123"/>
              <w:ind w:left="35"/>
              <w:jc w:val="left"/>
              <w:rPr>
                <w:b/>
                <w:sz w:val="18"/>
              </w:rPr>
            </w:pPr>
            <w:r>
              <w:rPr>
                <w:b/>
                <w:sz w:val="18"/>
              </w:rPr>
              <w:t>Other Non-Course Fees and Charges</w:t>
            </w:r>
          </w:p>
          <w:p>
            <w:pPr>
              <w:pStyle w:val="TableParagraph"/>
              <w:spacing w:before="29"/>
              <w:ind w:left="35"/>
              <w:jc w:val="left"/>
              <w:rPr>
                <w:sz w:val="18"/>
              </w:rPr>
            </w:pPr>
            <w:r>
              <w:rPr>
                <w:sz w:val="18"/>
              </w:rPr>
              <w:t>Student services fees from students</w:t>
            </w:r>
          </w:p>
        </w:tc>
        <w:tc>
          <w:tcPr>
            <w:tcW w:w="1782" w:type="dxa"/>
            <w:tcBorders>
              <w:top w:val="single" w:sz="0" w:space="0" w:color="000000"/>
            </w:tcBorders>
          </w:tcPr>
          <w:p>
            <w:pPr>
              <w:pStyle w:val="TableParagraph"/>
              <w:jc w:val="left"/>
              <w:rPr>
                <w:b/>
                <w:sz w:val="18"/>
              </w:rPr>
            </w:pPr>
          </w:p>
          <w:p>
            <w:pPr>
              <w:pStyle w:val="TableParagraph"/>
              <w:spacing w:before="151"/>
              <w:ind w:right="402"/>
              <w:rPr>
                <w:b/>
                <w:sz w:val="18"/>
              </w:rPr>
            </w:pPr>
            <w:r>
              <w:rPr>
                <w:b/>
                <w:sz w:val="18"/>
              </w:rPr>
              <w:t>2,781</w:t>
            </w:r>
          </w:p>
        </w:tc>
        <w:tc>
          <w:tcPr>
            <w:tcW w:w="1352" w:type="dxa"/>
            <w:tcBorders>
              <w:top w:val="single" w:sz="0" w:space="0" w:color="000000"/>
            </w:tcBorders>
          </w:tcPr>
          <w:p>
            <w:pPr>
              <w:pStyle w:val="TableParagraph"/>
              <w:jc w:val="left"/>
              <w:rPr>
                <w:b/>
                <w:sz w:val="18"/>
              </w:rPr>
            </w:pPr>
          </w:p>
          <w:p>
            <w:pPr>
              <w:pStyle w:val="TableParagraph"/>
              <w:spacing w:before="151"/>
              <w:ind w:right="456"/>
              <w:rPr>
                <w:sz w:val="18"/>
              </w:rPr>
            </w:pPr>
            <w:r>
              <w:rPr>
                <w:sz w:val="18"/>
              </w:rPr>
              <w:t>2,512</w:t>
            </w:r>
          </w:p>
        </w:tc>
        <w:tc>
          <w:tcPr>
            <w:tcW w:w="1412" w:type="dxa"/>
            <w:tcBorders>
              <w:top w:val="single" w:sz="0" w:space="0" w:color="000000"/>
            </w:tcBorders>
          </w:tcPr>
          <w:p>
            <w:pPr>
              <w:pStyle w:val="TableParagraph"/>
              <w:jc w:val="left"/>
              <w:rPr>
                <w:b/>
                <w:sz w:val="18"/>
              </w:rPr>
            </w:pPr>
          </w:p>
          <w:p>
            <w:pPr>
              <w:pStyle w:val="TableParagraph"/>
              <w:spacing w:before="151"/>
              <w:ind w:left="557"/>
              <w:jc w:val="left"/>
              <w:rPr>
                <w:b/>
                <w:sz w:val="18"/>
              </w:rPr>
            </w:pPr>
            <w:r>
              <w:rPr>
                <w:b/>
                <w:sz w:val="18"/>
              </w:rPr>
              <w:t>2,781</w:t>
            </w:r>
          </w:p>
        </w:tc>
        <w:tc>
          <w:tcPr>
            <w:tcW w:w="981" w:type="dxa"/>
            <w:tcBorders>
              <w:top w:val="single" w:sz="0" w:space="0" w:color="000000"/>
            </w:tcBorders>
          </w:tcPr>
          <w:p>
            <w:pPr>
              <w:pStyle w:val="TableParagraph"/>
              <w:jc w:val="left"/>
              <w:rPr>
                <w:b/>
                <w:sz w:val="18"/>
              </w:rPr>
            </w:pPr>
          </w:p>
          <w:p>
            <w:pPr>
              <w:pStyle w:val="TableParagraph"/>
              <w:spacing w:before="151"/>
              <w:ind w:right="85"/>
              <w:rPr>
                <w:sz w:val="18"/>
              </w:rPr>
            </w:pPr>
            <w:r>
              <w:rPr>
                <w:sz w:val="18"/>
              </w:rPr>
              <w:t>2,512</w:t>
            </w:r>
          </w:p>
        </w:tc>
      </w:tr>
      <w:tr>
        <w:trPr>
          <w:trHeight w:val="264" w:hRule="exact"/>
        </w:trPr>
        <w:tc>
          <w:tcPr>
            <w:tcW w:w="3997" w:type="dxa"/>
          </w:tcPr>
          <w:p>
            <w:pPr>
              <w:pStyle w:val="TableParagraph"/>
              <w:spacing w:before="19"/>
              <w:ind w:left="35"/>
              <w:jc w:val="left"/>
              <w:rPr>
                <w:sz w:val="18"/>
              </w:rPr>
            </w:pPr>
            <w:r>
              <w:rPr>
                <w:sz w:val="18"/>
              </w:rPr>
              <w:t>Deferral fees</w:t>
            </w:r>
          </w:p>
        </w:tc>
        <w:tc>
          <w:tcPr>
            <w:tcW w:w="1782" w:type="dxa"/>
          </w:tcPr>
          <w:p>
            <w:pPr>
              <w:pStyle w:val="TableParagraph"/>
              <w:spacing w:before="18"/>
              <w:ind w:right="402"/>
              <w:rPr>
                <w:b/>
                <w:sz w:val="18"/>
              </w:rPr>
            </w:pPr>
            <w:r>
              <w:rPr>
                <w:b/>
                <w:sz w:val="18"/>
              </w:rPr>
              <w:t>144</w:t>
            </w:r>
          </w:p>
        </w:tc>
        <w:tc>
          <w:tcPr>
            <w:tcW w:w="1352" w:type="dxa"/>
          </w:tcPr>
          <w:p>
            <w:pPr>
              <w:pStyle w:val="TableParagraph"/>
              <w:spacing w:before="18"/>
              <w:ind w:right="456"/>
              <w:rPr>
                <w:sz w:val="18"/>
              </w:rPr>
            </w:pPr>
            <w:r>
              <w:rPr>
                <w:sz w:val="18"/>
              </w:rPr>
              <w:t>149</w:t>
            </w:r>
          </w:p>
        </w:tc>
        <w:tc>
          <w:tcPr>
            <w:tcW w:w="1412" w:type="dxa"/>
          </w:tcPr>
          <w:p>
            <w:pPr>
              <w:pStyle w:val="TableParagraph"/>
              <w:spacing w:before="18"/>
              <w:ind w:left="707"/>
              <w:jc w:val="left"/>
              <w:rPr>
                <w:b/>
                <w:sz w:val="18"/>
              </w:rPr>
            </w:pPr>
            <w:r>
              <w:rPr>
                <w:b/>
                <w:sz w:val="18"/>
              </w:rPr>
              <w:t>144</w:t>
            </w:r>
          </w:p>
        </w:tc>
        <w:tc>
          <w:tcPr>
            <w:tcW w:w="981" w:type="dxa"/>
          </w:tcPr>
          <w:p>
            <w:pPr>
              <w:pStyle w:val="TableParagraph"/>
              <w:spacing w:before="18"/>
              <w:ind w:right="85"/>
              <w:rPr>
                <w:sz w:val="18"/>
              </w:rPr>
            </w:pPr>
            <w:r>
              <w:rPr>
                <w:sz w:val="18"/>
              </w:rPr>
              <w:t>149</w:t>
            </w:r>
          </w:p>
        </w:tc>
      </w:tr>
      <w:tr>
        <w:trPr>
          <w:trHeight w:val="264" w:hRule="exact"/>
        </w:trPr>
        <w:tc>
          <w:tcPr>
            <w:tcW w:w="3997" w:type="dxa"/>
          </w:tcPr>
          <w:p>
            <w:pPr>
              <w:pStyle w:val="TableParagraph"/>
              <w:spacing w:before="19"/>
              <w:ind w:left="35"/>
              <w:jc w:val="left"/>
              <w:rPr>
                <w:sz w:val="18"/>
              </w:rPr>
            </w:pPr>
            <w:r>
              <w:rPr>
                <w:sz w:val="18"/>
              </w:rPr>
              <w:t>Library fines</w:t>
            </w:r>
          </w:p>
        </w:tc>
        <w:tc>
          <w:tcPr>
            <w:tcW w:w="1782" w:type="dxa"/>
          </w:tcPr>
          <w:p>
            <w:pPr>
              <w:pStyle w:val="TableParagraph"/>
              <w:spacing w:before="18"/>
              <w:ind w:right="402"/>
              <w:rPr>
                <w:b/>
                <w:sz w:val="18"/>
              </w:rPr>
            </w:pPr>
            <w:r>
              <w:rPr>
                <w:b/>
                <w:sz w:val="18"/>
              </w:rPr>
              <w:t>215</w:t>
            </w:r>
          </w:p>
        </w:tc>
        <w:tc>
          <w:tcPr>
            <w:tcW w:w="1352" w:type="dxa"/>
          </w:tcPr>
          <w:p>
            <w:pPr>
              <w:pStyle w:val="TableParagraph"/>
              <w:spacing w:before="18"/>
              <w:ind w:right="456"/>
              <w:rPr>
                <w:sz w:val="18"/>
              </w:rPr>
            </w:pPr>
            <w:r>
              <w:rPr>
                <w:sz w:val="18"/>
              </w:rPr>
              <w:t>200</w:t>
            </w:r>
          </w:p>
        </w:tc>
        <w:tc>
          <w:tcPr>
            <w:tcW w:w="1412" w:type="dxa"/>
          </w:tcPr>
          <w:p>
            <w:pPr>
              <w:pStyle w:val="TableParagraph"/>
              <w:spacing w:before="18"/>
              <w:ind w:left="707"/>
              <w:jc w:val="left"/>
              <w:rPr>
                <w:b/>
                <w:sz w:val="18"/>
              </w:rPr>
            </w:pPr>
            <w:r>
              <w:rPr>
                <w:b/>
                <w:sz w:val="18"/>
              </w:rPr>
              <w:t>215</w:t>
            </w:r>
          </w:p>
        </w:tc>
        <w:tc>
          <w:tcPr>
            <w:tcW w:w="981" w:type="dxa"/>
          </w:tcPr>
          <w:p>
            <w:pPr>
              <w:pStyle w:val="TableParagraph"/>
              <w:spacing w:before="18"/>
              <w:ind w:right="85"/>
              <w:rPr>
                <w:sz w:val="18"/>
              </w:rPr>
            </w:pPr>
            <w:r>
              <w:rPr>
                <w:sz w:val="18"/>
              </w:rPr>
              <w:t>200</w:t>
            </w:r>
          </w:p>
        </w:tc>
      </w:tr>
      <w:tr>
        <w:trPr>
          <w:trHeight w:val="264" w:hRule="exact"/>
        </w:trPr>
        <w:tc>
          <w:tcPr>
            <w:tcW w:w="3997" w:type="dxa"/>
          </w:tcPr>
          <w:p>
            <w:pPr>
              <w:pStyle w:val="TableParagraph"/>
              <w:spacing w:before="19"/>
              <w:ind w:left="35"/>
              <w:jc w:val="left"/>
              <w:rPr>
                <w:sz w:val="18"/>
              </w:rPr>
            </w:pPr>
            <w:r>
              <w:rPr>
                <w:sz w:val="18"/>
              </w:rPr>
              <w:t>Student accommodation</w:t>
            </w:r>
          </w:p>
        </w:tc>
        <w:tc>
          <w:tcPr>
            <w:tcW w:w="1782" w:type="dxa"/>
          </w:tcPr>
          <w:p>
            <w:pPr>
              <w:pStyle w:val="TableParagraph"/>
              <w:spacing w:before="18"/>
              <w:ind w:right="402"/>
              <w:rPr>
                <w:b/>
                <w:sz w:val="18"/>
              </w:rPr>
            </w:pPr>
            <w:r>
              <w:rPr>
                <w:b/>
                <w:sz w:val="18"/>
              </w:rPr>
              <w:t>824</w:t>
            </w:r>
          </w:p>
        </w:tc>
        <w:tc>
          <w:tcPr>
            <w:tcW w:w="1352" w:type="dxa"/>
          </w:tcPr>
          <w:p>
            <w:pPr>
              <w:pStyle w:val="TableParagraph"/>
              <w:spacing w:before="18"/>
              <w:ind w:right="456"/>
              <w:rPr>
                <w:sz w:val="18"/>
              </w:rPr>
            </w:pPr>
            <w:r>
              <w:rPr>
                <w:sz w:val="18"/>
              </w:rPr>
              <w:t>330</w:t>
            </w:r>
          </w:p>
        </w:tc>
        <w:tc>
          <w:tcPr>
            <w:tcW w:w="1412" w:type="dxa"/>
          </w:tcPr>
          <w:p>
            <w:pPr>
              <w:pStyle w:val="TableParagraph"/>
              <w:spacing w:before="18"/>
              <w:ind w:left="707"/>
              <w:jc w:val="left"/>
              <w:rPr>
                <w:b/>
                <w:sz w:val="18"/>
              </w:rPr>
            </w:pPr>
            <w:r>
              <w:rPr>
                <w:b/>
                <w:sz w:val="18"/>
              </w:rPr>
              <w:t>824</w:t>
            </w:r>
          </w:p>
        </w:tc>
        <w:tc>
          <w:tcPr>
            <w:tcW w:w="981" w:type="dxa"/>
          </w:tcPr>
          <w:p>
            <w:pPr>
              <w:pStyle w:val="TableParagraph"/>
              <w:spacing w:before="18"/>
              <w:ind w:right="85"/>
              <w:rPr>
                <w:sz w:val="18"/>
              </w:rPr>
            </w:pPr>
            <w:r>
              <w:rPr>
                <w:sz w:val="18"/>
              </w:rPr>
              <w:t>330</w:t>
            </w:r>
          </w:p>
        </w:tc>
      </w:tr>
      <w:tr>
        <w:trPr>
          <w:trHeight w:val="264" w:hRule="exact"/>
        </w:trPr>
        <w:tc>
          <w:tcPr>
            <w:tcW w:w="3997" w:type="dxa"/>
          </w:tcPr>
          <w:p>
            <w:pPr>
              <w:pStyle w:val="TableParagraph"/>
              <w:spacing w:before="19"/>
              <w:ind w:left="35"/>
              <w:jc w:val="left"/>
              <w:rPr>
                <w:sz w:val="18"/>
              </w:rPr>
            </w:pPr>
            <w:r>
              <w:rPr>
                <w:sz w:val="18"/>
              </w:rPr>
              <w:t>Academic transcripts</w:t>
            </w:r>
          </w:p>
        </w:tc>
        <w:tc>
          <w:tcPr>
            <w:tcW w:w="1782" w:type="dxa"/>
          </w:tcPr>
          <w:p>
            <w:pPr>
              <w:pStyle w:val="TableParagraph"/>
              <w:spacing w:before="18"/>
              <w:ind w:right="402"/>
              <w:rPr>
                <w:b/>
                <w:sz w:val="18"/>
              </w:rPr>
            </w:pPr>
            <w:r>
              <w:rPr>
                <w:b/>
                <w:sz w:val="18"/>
              </w:rPr>
              <w:t>261</w:t>
            </w:r>
          </w:p>
        </w:tc>
        <w:tc>
          <w:tcPr>
            <w:tcW w:w="1352" w:type="dxa"/>
          </w:tcPr>
          <w:p>
            <w:pPr>
              <w:pStyle w:val="TableParagraph"/>
              <w:spacing w:before="18"/>
              <w:ind w:right="456"/>
              <w:rPr>
                <w:sz w:val="18"/>
              </w:rPr>
            </w:pPr>
            <w:r>
              <w:rPr>
                <w:sz w:val="18"/>
              </w:rPr>
              <w:t>259</w:t>
            </w:r>
          </w:p>
        </w:tc>
        <w:tc>
          <w:tcPr>
            <w:tcW w:w="1412" w:type="dxa"/>
          </w:tcPr>
          <w:p>
            <w:pPr>
              <w:pStyle w:val="TableParagraph"/>
              <w:spacing w:before="18"/>
              <w:ind w:left="707"/>
              <w:jc w:val="left"/>
              <w:rPr>
                <w:b/>
                <w:sz w:val="18"/>
              </w:rPr>
            </w:pPr>
            <w:r>
              <w:rPr>
                <w:b/>
                <w:sz w:val="18"/>
              </w:rPr>
              <w:t>261</w:t>
            </w:r>
          </w:p>
        </w:tc>
        <w:tc>
          <w:tcPr>
            <w:tcW w:w="981" w:type="dxa"/>
          </w:tcPr>
          <w:p>
            <w:pPr>
              <w:pStyle w:val="TableParagraph"/>
              <w:spacing w:before="18"/>
              <w:ind w:right="85"/>
              <w:rPr>
                <w:sz w:val="18"/>
              </w:rPr>
            </w:pPr>
            <w:r>
              <w:rPr>
                <w:sz w:val="18"/>
              </w:rPr>
              <w:t>259</w:t>
            </w:r>
          </w:p>
        </w:tc>
      </w:tr>
      <w:tr>
        <w:trPr>
          <w:trHeight w:val="264" w:hRule="exact"/>
        </w:trPr>
        <w:tc>
          <w:tcPr>
            <w:tcW w:w="3997" w:type="dxa"/>
          </w:tcPr>
          <w:p>
            <w:pPr>
              <w:pStyle w:val="TableParagraph"/>
              <w:spacing w:before="19"/>
              <w:ind w:left="35"/>
              <w:jc w:val="left"/>
              <w:rPr>
                <w:sz w:val="18"/>
              </w:rPr>
            </w:pPr>
            <w:r>
              <w:rPr>
                <w:sz w:val="18"/>
              </w:rPr>
              <w:t>Graduation fees</w:t>
            </w:r>
          </w:p>
        </w:tc>
        <w:tc>
          <w:tcPr>
            <w:tcW w:w="1782" w:type="dxa"/>
          </w:tcPr>
          <w:p>
            <w:pPr>
              <w:pStyle w:val="TableParagraph"/>
              <w:spacing w:before="18"/>
              <w:ind w:right="402"/>
              <w:rPr>
                <w:b/>
                <w:sz w:val="18"/>
              </w:rPr>
            </w:pPr>
            <w:r>
              <w:rPr>
                <w:b/>
                <w:sz w:val="18"/>
              </w:rPr>
              <w:t>385</w:t>
            </w:r>
          </w:p>
        </w:tc>
        <w:tc>
          <w:tcPr>
            <w:tcW w:w="1352" w:type="dxa"/>
          </w:tcPr>
          <w:p>
            <w:pPr>
              <w:pStyle w:val="TableParagraph"/>
              <w:spacing w:before="18"/>
              <w:ind w:right="456"/>
              <w:rPr>
                <w:sz w:val="18"/>
              </w:rPr>
            </w:pPr>
            <w:r>
              <w:rPr>
                <w:sz w:val="18"/>
              </w:rPr>
              <w:t>404</w:t>
            </w:r>
          </w:p>
        </w:tc>
        <w:tc>
          <w:tcPr>
            <w:tcW w:w="1412" w:type="dxa"/>
          </w:tcPr>
          <w:p>
            <w:pPr>
              <w:pStyle w:val="TableParagraph"/>
              <w:spacing w:before="18"/>
              <w:ind w:left="707"/>
              <w:jc w:val="left"/>
              <w:rPr>
                <w:b/>
                <w:sz w:val="18"/>
              </w:rPr>
            </w:pPr>
            <w:r>
              <w:rPr>
                <w:b/>
                <w:sz w:val="18"/>
              </w:rPr>
              <w:t>385</w:t>
            </w:r>
          </w:p>
        </w:tc>
        <w:tc>
          <w:tcPr>
            <w:tcW w:w="981" w:type="dxa"/>
          </w:tcPr>
          <w:p>
            <w:pPr>
              <w:pStyle w:val="TableParagraph"/>
              <w:spacing w:before="18"/>
              <w:ind w:right="85"/>
              <w:rPr>
                <w:sz w:val="18"/>
              </w:rPr>
            </w:pPr>
            <w:r>
              <w:rPr>
                <w:sz w:val="18"/>
              </w:rPr>
              <w:t>404</w:t>
            </w:r>
          </w:p>
        </w:tc>
      </w:tr>
      <w:tr>
        <w:trPr>
          <w:trHeight w:val="264" w:hRule="exact"/>
        </w:trPr>
        <w:tc>
          <w:tcPr>
            <w:tcW w:w="3997" w:type="dxa"/>
          </w:tcPr>
          <w:p>
            <w:pPr>
              <w:pStyle w:val="TableParagraph"/>
              <w:spacing w:before="19"/>
              <w:ind w:left="35"/>
              <w:jc w:val="left"/>
              <w:rPr>
                <w:sz w:val="18"/>
              </w:rPr>
            </w:pPr>
            <w:r>
              <w:rPr>
                <w:sz w:val="18"/>
              </w:rPr>
              <w:t>Academic dress hire</w:t>
            </w:r>
          </w:p>
        </w:tc>
        <w:tc>
          <w:tcPr>
            <w:tcW w:w="1782" w:type="dxa"/>
          </w:tcPr>
          <w:p>
            <w:pPr>
              <w:pStyle w:val="TableParagraph"/>
              <w:spacing w:before="18"/>
              <w:ind w:right="402"/>
              <w:rPr>
                <w:b/>
                <w:sz w:val="18"/>
              </w:rPr>
            </w:pPr>
            <w:r>
              <w:rPr>
                <w:b/>
                <w:sz w:val="18"/>
              </w:rPr>
              <w:t>367</w:t>
            </w:r>
          </w:p>
        </w:tc>
        <w:tc>
          <w:tcPr>
            <w:tcW w:w="1352" w:type="dxa"/>
          </w:tcPr>
          <w:p>
            <w:pPr>
              <w:pStyle w:val="TableParagraph"/>
              <w:spacing w:before="18"/>
              <w:ind w:right="456"/>
              <w:rPr>
                <w:sz w:val="18"/>
              </w:rPr>
            </w:pPr>
            <w:r>
              <w:rPr>
                <w:sz w:val="18"/>
              </w:rPr>
              <w:t>374</w:t>
            </w:r>
          </w:p>
        </w:tc>
        <w:tc>
          <w:tcPr>
            <w:tcW w:w="1412" w:type="dxa"/>
          </w:tcPr>
          <w:p>
            <w:pPr>
              <w:pStyle w:val="TableParagraph"/>
              <w:spacing w:before="18"/>
              <w:ind w:left="707"/>
              <w:jc w:val="left"/>
              <w:rPr>
                <w:b/>
                <w:sz w:val="18"/>
              </w:rPr>
            </w:pPr>
            <w:r>
              <w:rPr>
                <w:b/>
                <w:sz w:val="18"/>
              </w:rPr>
              <w:t>367</w:t>
            </w:r>
          </w:p>
        </w:tc>
        <w:tc>
          <w:tcPr>
            <w:tcW w:w="981" w:type="dxa"/>
          </w:tcPr>
          <w:p>
            <w:pPr>
              <w:pStyle w:val="TableParagraph"/>
              <w:spacing w:before="18"/>
              <w:ind w:right="85"/>
              <w:rPr>
                <w:sz w:val="18"/>
              </w:rPr>
            </w:pPr>
            <w:r>
              <w:rPr>
                <w:sz w:val="18"/>
              </w:rPr>
              <w:t>374</w:t>
            </w:r>
          </w:p>
        </w:tc>
      </w:tr>
      <w:tr>
        <w:trPr>
          <w:trHeight w:val="264" w:hRule="exact"/>
        </w:trPr>
        <w:tc>
          <w:tcPr>
            <w:tcW w:w="3997" w:type="dxa"/>
          </w:tcPr>
          <w:p>
            <w:pPr>
              <w:pStyle w:val="TableParagraph"/>
              <w:spacing w:before="19"/>
              <w:ind w:left="35"/>
              <w:jc w:val="left"/>
              <w:rPr>
                <w:sz w:val="18"/>
              </w:rPr>
            </w:pPr>
            <w:r>
              <w:rPr>
                <w:sz w:val="18"/>
              </w:rPr>
              <w:t>Student test fees</w:t>
            </w:r>
          </w:p>
        </w:tc>
        <w:tc>
          <w:tcPr>
            <w:tcW w:w="1782" w:type="dxa"/>
          </w:tcPr>
          <w:p>
            <w:pPr>
              <w:pStyle w:val="TableParagraph"/>
              <w:spacing w:before="18"/>
              <w:ind w:right="402"/>
              <w:rPr>
                <w:b/>
                <w:sz w:val="18"/>
              </w:rPr>
            </w:pPr>
            <w:r>
              <w:rPr>
                <w:b/>
                <w:sz w:val="18"/>
              </w:rPr>
              <w:t>3,311</w:t>
            </w:r>
          </w:p>
        </w:tc>
        <w:tc>
          <w:tcPr>
            <w:tcW w:w="1352" w:type="dxa"/>
          </w:tcPr>
          <w:p>
            <w:pPr>
              <w:pStyle w:val="TableParagraph"/>
              <w:spacing w:before="18"/>
              <w:ind w:right="456"/>
              <w:rPr>
                <w:sz w:val="18"/>
              </w:rPr>
            </w:pPr>
            <w:r>
              <w:rPr>
                <w:sz w:val="18"/>
              </w:rPr>
              <w:t>4,706</w:t>
            </w:r>
          </w:p>
        </w:tc>
        <w:tc>
          <w:tcPr>
            <w:tcW w:w="1412" w:type="dxa"/>
          </w:tcPr>
          <w:p>
            <w:pPr>
              <w:pStyle w:val="TableParagraph"/>
              <w:spacing w:before="18"/>
              <w:ind w:right="402"/>
              <w:rPr>
                <w:b/>
                <w:sz w:val="18"/>
              </w:rPr>
            </w:pPr>
            <w:r>
              <w:rPr>
                <w:b/>
                <w:w w:val="99"/>
                <w:sz w:val="18"/>
              </w:rPr>
              <w:t>-</w:t>
            </w:r>
          </w:p>
        </w:tc>
        <w:tc>
          <w:tcPr>
            <w:tcW w:w="981" w:type="dxa"/>
          </w:tcPr>
          <w:p>
            <w:pPr>
              <w:pStyle w:val="TableParagraph"/>
              <w:spacing w:before="18"/>
              <w:ind w:right="85"/>
              <w:rPr>
                <w:sz w:val="18"/>
              </w:rPr>
            </w:pPr>
            <w:r>
              <w:rPr>
                <w:w w:val="99"/>
                <w:sz w:val="18"/>
              </w:rPr>
              <w:t>-</w:t>
            </w:r>
          </w:p>
        </w:tc>
      </w:tr>
      <w:tr>
        <w:trPr>
          <w:trHeight w:val="262" w:hRule="exact"/>
        </w:trPr>
        <w:tc>
          <w:tcPr>
            <w:tcW w:w="3997" w:type="dxa"/>
          </w:tcPr>
          <w:p>
            <w:pPr>
              <w:pStyle w:val="TableParagraph"/>
              <w:spacing w:before="19"/>
              <w:ind w:left="35"/>
              <w:jc w:val="left"/>
              <w:rPr>
                <w:sz w:val="18"/>
              </w:rPr>
            </w:pPr>
            <w:r>
              <w:rPr>
                <w:sz w:val="18"/>
              </w:rPr>
              <w:t>Other</w:t>
            </w:r>
          </w:p>
        </w:tc>
        <w:tc>
          <w:tcPr>
            <w:tcW w:w="1782" w:type="dxa"/>
            <w:tcBorders>
              <w:bottom w:val="single" w:sz="0" w:space="0" w:color="000000"/>
            </w:tcBorders>
          </w:tcPr>
          <w:p>
            <w:pPr>
              <w:pStyle w:val="TableParagraph"/>
              <w:spacing w:before="18"/>
              <w:ind w:right="402"/>
              <w:rPr>
                <w:b/>
                <w:sz w:val="18"/>
              </w:rPr>
            </w:pPr>
            <w:r>
              <w:rPr>
                <w:b/>
                <w:sz w:val="18"/>
              </w:rPr>
              <w:t>546</w:t>
            </w:r>
          </w:p>
        </w:tc>
        <w:tc>
          <w:tcPr>
            <w:tcW w:w="1352" w:type="dxa"/>
            <w:tcBorders>
              <w:bottom w:val="single" w:sz="0" w:space="0" w:color="000000"/>
            </w:tcBorders>
          </w:tcPr>
          <w:p>
            <w:pPr>
              <w:pStyle w:val="TableParagraph"/>
              <w:spacing w:before="18"/>
              <w:ind w:right="456"/>
              <w:rPr>
                <w:sz w:val="18"/>
              </w:rPr>
            </w:pPr>
            <w:r>
              <w:rPr>
                <w:sz w:val="18"/>
              </w:rPr>
              <w:t>457</w:t>
            </w:r>
          </w:p>
        </w:tc>
        <w:tc>
          <w:tcPr>
            <w:tcW w:w="1412" w:type="dxa"/>
            <w:tcBorders>
              <w:bottom w:val="single" w:sz="0" w:space="0" w:color="000000"/>
            </w:tcBorders>
          </w:tcPr>
          <w:p>
            <w:pPr>
              <w:pStyle w:val="TableParagraph"/>
              <w:spacing w:before="18"/>
              <w:ind w:left="707"/>
              <w:jc w:val="left"/>
              <w:rPr>
                <w:b/>
                <w:sz w:val="18"/>
              </w:rPr>
            </w:pPr>
            <w:r>
              <w:rPr>
                <w:b/>
                <w:sz w:val="18"/>
              </w:rPr>
              <w:t>357</w:t>
            </w:r>
          </w:p>
        </w:tc>
        <w:tc>
          <w:tcPr>
            <w:tcW w:w="981" w:type="dxa"/>
            <w:tcBorders>
              <w:bottom w:val="single" w:sz="0" w:space="0" w:color="000000"/>
            </w:tcBorders>
          </w:tcPr>
          <w:p>
            <w:pPr>
              <w:pStyle w:val="TableParagraph"/>
              <w:spacing w:before="18"/>
              <w:ind w:right="85"/>
              <w:rPr>
                <w:sz w:val="18"/>
              </w:rPr>
            </w:pPr>
            <w:r>
              <w:rPr>
                <w:sz w:val="18"/>
              </w:rPr>
              <w:t>260</w:t>
            </w:r>
          </w:p>
        </w:tc>
      </w:tr>
      <w:tr>
        <w:trPr>
          <w:trHeight w:val="338" w:hRule="exact"/>
        </w:trPr>
        <w:tc>
          <w:tcPr>
            <w:tcW w:w="3997" w:type="dxa"/>
          </w:tcPr>
          <w:p>
            <w:pPr>
              <w:pStyle w:val="TableParagraph"/>
              <w:spacing w:before="123"/>
              <w:ind w:left="35"/>
              <w:jc w:val="left"/>
              <w:rPr>
                <w:b/>
                <w:sz w:val="18"/>
              </w:rPr>
            </w:pPr>
            <w:r>
              <w:rPr>
                <w:b/>
                <w:sz w:val="18"/>
              </w:rPr>
              <w:t>Total Other Fees and Charges</w:t>
            </w:r>
          </w:p>
        </w:tc>
        <w:tc>
          <w:tcPr>
            <w:tcW w:w="1782" w:type="dxa"/>
            <w:tcBorders>
              <w:top w:val="single" w:sz="0" w:space="0" w:color="000000"/>
              <w:bottom w:val="single" w:sz="0" w:space="0" w:color="000000"/>
            </w:tcBorders>
          </w:tcPr>
          <w:p>
            <w:pPr>
              <w:pStyle w:val="TableParagraph"/>
              <w:spacing w:before="94"/>
              <w:ind w:right="402"/>
              <w:rPr>
                <w:b/>
                <w:sz w:val="18"/>
              </w:rPr>
            </w:pPr>
            <w:r>
              <w:rPr>
                <w:b/>
                <w:sz w:val="18"/>
              </w:rPr>
              <w:t>8,834</w:t>
            </w:r>
          </w:p>
        </w:tc>
        <w:tc>
          <w:tcPr>
            <w:tcW w:w="1352" w:type="dxa"/>
            <w:tcBorders>
              <w:top w:val="single" w:sz="0" w:space="0" w:color="000000"/>
              <w:bottom w:val="single" w:sz="0" w:space="0" w:color="000000"/>
            </w:tcBorders>
          </w:tcPr>
          <w:p>
            <w:pPr>
              <w:pStyle w:val="TableParagraph"/>
              <w:spacing w:before="94"/>
              <w:ind w:right="456"/>
              <w:rPr>
                <w:sz w:val="18"/>
              </w:rPr>
            </w:pPr>
            <w:r>
              <w:rPr>
                <w:sz w:val="18"/>
              </w:rPr>
              <w:t>9,391</w:t>
            </w:r>
          </w:p>
        </w:tc>
        <w:tc>
          <w:tcPr>
            <w:tcW w:w="1412" w:type="dxa"/>
            <w:tcBorders>
              <w:top w:val="single" w:sz="0" w:space="0" w:color="000000"/>
              <w:bottom w:val="single" w:sz="0" w:space="0" w:color="000000"/>
            </w:tcBorders>
          </w:tcPr>
          <w:p>
            <w:pPr>
              <w:pStyle w:val="TableParagraph"/>
              <w:spacing w:before="94"/>
              <w:ind w:left="557"/>
              <w:jc w:val="left"/>
              <w:rPr>
                <w:b/>
                <w:sz w:val="18"/>
              </w:rPr>
            </w:pPr>
            <w:r>
              <w:rPr>
                <w:b/>
                <w:sz w:val="18"/>
              </w:rPr>
              <w:t>5,334</w:t>
            </w:r>
          </w:p>
        </w:tc>
        <w:tc>
          <w:tcPr>
            <w:tcW w:w="981" w:type="dxa"/>
            <w:tcBorders>
              <w:top w:val="single" w:sz="0" w:space="0" w:color="000000"/>
              <w:bottom w:val="single" w:sz="0" w:space="0" w:color="000000"/>
            </w:tcBorders>
          </w:tcPr>
          <w:p>
            <w:pPr>
              <w:pStyle w:val="TableParagraph"/>
              <w:spacing w:before="94"/>
              <w:ind w:right="85"/>
              <w:rPr>
                <w:sz w:val="18"/>
              </w:rPr>
            </w:pPr>
            <w:r>
              <w:rPr>
                <w:sz w:val="18"/>
              </w:rPr>
              <w:t>4,488</w:t>
            </w:r>
          </w:p>
        </w:tc>
      </w:tr>
      <w:tr>
        <w:trPr>
          <w:trHeight w:val="353" w:hRule="exact"/>
        </w:trPr>
        <w:tc>
          <w:tcPr>
            <w:tcW w:w="3997" w:type="dxa"/>
          </w:tcPr>
          <w:p>
            <w:pPr>
              <w:pStyle w:val="TableParagraph"/>
              <w:spacing w:before="123"/>
              <w:ind w:left="35"/>
              <w:jc w:val="left"/>
              <w:rPr>
                <w:b/>
                <w:sz w:val="18"/>
              </w:rPr>
            </w:pPr>
            <w:r>
              <w:rPr>
                <w:b/>
                <w:sz w:val="18"/>
              </w:rPr>
              <w:t>Total Fees and Charges</w:t>
            </w:r>
          </w:p>
        </w:tc>
        <w:tc>
          <w:tcPr>
            <w:tcW w:w="1782" w:type="dxa"/>
            <w:tcBorders>
              <w:top w:val="single" w:sz="0" w:space="0" w:color="000000"/>
              <w:bottom w:val="single" w:sz="0" w:space="0" w:color="000000"/>
            </w:tcBorders>
          </w:tcPr>
          <w:p>
            <w:pPr>
              <w:pStyle w:val="TableParagraph"/>
              <w:spacing w:before="94"/>
              <w:ind w:right="402"/>
              <w:rPr>
                <w:b/>
                <w:sz w:val="18"/>
              </w:rPr>
            </w:pPr>
            <w:r>
              <w:rPr>
                <w:b/>
                <w:w w:val="95"/>
                <w:sz w:val="18"/>
              </w:rPr>
              <w:t>96,688</w:t>
            </w:r>
          </w:p>
        </w:tc>
        <w:tc>
          <w:tcPr>
            <w:tcW w:w="1352" w:type="dxa"/>
            <w:tcBorders>
              <w:top w:val="single" w:sz="0" w:space="0" w:color="000000"/>
              <w:bottom w:val="single" w:sz="0" w:space="0" w:color="000000"/>
            </w:tcBorders>
          </w:tcPr>
          <w:p>
            <w:pPr>
              <w:pStyle w:val="TableParagraph"/>
              <w:spacing w:before="94"/>
              <w:ind w:right="456"/>
              <w:rPr>
                <w:sz w:val="18"/>
              </w:rPr>
            </w:pPr>
            <w:r>
              <w:rPr>
                <w:w w:val="95"/>
                <w:sz w:val="18"/>
              </w:rPr>
              <w:t>93,976</w:t>
            </w:r>
          </w:p>
        </w:tc>
        <w:tc>
          <w:tcPr>
            <w:tcW w:w="1412" w:type="dxa"/>
            <w:tcBorders>
              <w:top w:val="single" w:sz="0" w:space="0" w:color="000000"/>
              <w:bottom w:val="single" w:sz="0" w:space="0" w:color="000000"/>
            </w:tcBorders>
          </w:tcPr>
          <w:p>
            <w:pPr>
              <w:pStyle w:val="TableParagraph"/>
              <w:spacing w:before="94"/>
              <w:ind w:left="458"/>
              <w:jc w:val="left"/>
              <w:rPr>
                <w:b/>
                <w:sz w:val="18"/>
              </w:rPr>
            </w:pPr>
            <w:r>
              <w:rPr>
                <w:b/>
                <w:sz w:val="18"/>
              </w:rPr>
              <w:t>87,660</w:t>
            </w:r>
          </w:p>
        </w:tc>
        <w:tc>
          <w:tcPr>
            <w:tcW w:w="981" w:type="dxa"/>
            <w:tcBorders>
              <w:top w:val="single" w:sz="0" w:space="0" w:color="000000"/>
              <w:bottom w:val="single" w:sz="0" w:space="0" w:color="000000"/>
            </w:tcBorders>
          </w:tcPr>
          <w:p>
            <w:pPr>
              <w:pStyle w:val="TableParagraph"/>
              <w:spacing w:before="94"/>
              <w:ind w:right="85"/>
              <w:rPr>
                <w:sz w:val="18"/>
              </w:rPr>
            </w:pPr>
            <w:r>
              <w:rPr>
                <w:w w:val="95"/>
                <w:sz w:val="18"/>
              </w:rPr>
              <w:t>79,964</w:t>
            </w:r>
          </w:p>
        </w:tc>
      </w:tr>
    </w:tbl>
    <w:p>
      <w:pPr>
        <w:spacing w:after="0"/>
        <w:rPr>
          <w:sz w:val="18"/>
        </w:rPr>
        <w:sectPr>
          <w:type w:val="continuous"/>
          <w:pgSz w:w="12750" w:h="17680"/>
          <w:pgMar w:top="1660" w:bottom="0" w:left="0" w:right="0"/>
        </w:sectPr>
      </w:pPr>
    </w:p>
    <w:p>
      <w:pPr>
        <w:pStyle w:val="BodyText"/>
        <w:rPr>
          <w:b/>
          <w:sz w:val="20"/>
        </w:rPr>
      </w:pPr>
    </w:p>
    <w:p>
      <w:pPr>
        <w:pStyle w:val="BodyText"/>
        <w:rPr>
          <w:b/>
          <w:sz w:val="20"/>
        </w:rPr>
      </w:pPr>
    </w:p>
    <w:p>
      <w:pPr>
        <w:pStyle w:val="BodyText"/>
        <w:spacing w:before="4"/>
        <w:rPr>
          <w:b/>
        </w:rPr>
      </w:pPr>
    </w:p>
    <w:p>
      <w:pPr>
        <w:pStyle w:val="ListParagraph"/>
        <w:numPr>
          <w:ilvl w:val="0"/>
          <w:numId w:val="18"/>
        </w:numPr>
        <w:tabs>
          <w:tab w:pos="1826" w:val="left" w:leader="none"/>
        </w:tabs>
        <w:spacing w:line="240" w:lineRule="auto" w:before="0" w:after="0"/>
        <w:ind w:left="1825" w:right="0" w:hanging="396"/>
        <w:jc w:val="left"/>
        <w:rPr>
          <w:b/>
          <w:sz w:val="18"/>
        </w:rPr>
      </w:pPr>
      <w:bookmarkStart w:name="5 Investment revenue and other investmen" w:id="63"/>
      <w:bookmarkEnd w:id="63"/>
      <w:r>
        <w:rPr/>
      </w:r>
      <w:bookmarkStart w:name="5 Investment revenue and other investmen" w:id="64"/>
      <w:bookmarkEnd w:id="64"/>
      <w:r>
        <w:rPr>
          <w:b/>
          <w:sz w:val="18"/>
        </w:rPr>
        <w:t>In</w:t>
      </w:r>
      <w:r>
        <w:rPr>
          <w:b/>
          <w:sz w:val="18"/>
        </w:rPr>
        <w:t>vestment</w:t>
      </w:r>
      <w:r>
        <w:rPr>
          <w:b/>
          <w:spacing w:val="-8"/>
          <w:sz w:val="18"/>
        </w:rPr>
        <w:t> </w:t>
      </w:r>
      <w:r>
        <w:rPr>
          <w:b/>
          <w:sz w:val="18"/>
        </w:rPr>
        <w:t>revenue</w:t>
      </w:r>
      <w:r>
        <w:rPr>
          <w:b/>
          <w:spacing w:val="-8"/>
          <w:sz w:val="18"/>
        </w:rPr>
        <w:t> </w:t>
      </w:r>
      <w:r>
        <w:rPr>
          <w:b/>
          <w:sz w:val="18"/>
        </w:rPr>
        <w:t>and</w:t>
      </w:r>
      <w:r>
        <w:rPr>
          <w:b/>
          <w:spacing w:val="-8"/>
          <w:sz w:val="18"/>
        </w:rPr>
        <w:t> </w:t>
      </w:r>
      <w:r>
        <w:rPr>
          <w:b/>
          <w:sz w:val="18"/>
        </w:rPr>
        <w:t>other</w:t>
      </w:r>
      <w:r>
        <w:rPr>
          <w:b/>
          <w:spacing w:val="-8"/>
          <w:sz w:val="18"/>
        </w:rPr>
        <w:t> </w:t>
      </w:r>
      <w:r>
        <w:rPr>
          <w:b/>
          <w:sz w:val="18"/>
        </w:rPr>
        <w:t>investment</w:t>
      </w:r>
      <w:r>
        <w:rPr>
          <w:b/>
          <w:spacing w:val="-8"/>
          <w:sz w:val="18"/>
        </w:rPr>
        <w:t> </w:t>
      </w:r>
      <w:r>
        <w:rPr>
          <w:b/>
          <w:sz w:val="18"/>
        </w:rPr>
        <w:t>income</w:t>
      </w:r>
    </w:p>
    <w:p>
      <w:pPr>
        <w:tabs>
          <w:tab w:pos="9681" w:val="left" w:leader="none"/>
        </w:tabs>
        <w:spacing w:before="33" w:after="36"/>
        <w:ind w:left="6642" w:right="0" w:firstLine="0"/>
        <w:jc w:val="left"/>
        <w:rPr>
          <w:b/>
          <w:sz w:val="18"/>
        </w:rPr>
      </w:pPr>
      <w:r>
        <w:rPr>
          <w:b/>
          <w:sz w:val="18"/>
        </w:rPr>
        <w:t>Consolidated</w:t>
        <w:tab/>
        <w:t>Parent</w:t>
      </w:r>
    </w:p>
    <w:tbl>
      <w:tblPr>
        <w:tblW w:w="0" w:type="auto"/>
        <w:jc w:val="left"/>
        <w:tblInd w:w="181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997"/>
        <w:gridCol w:w="1629"/>
        <w:gridCol w:w="1389"/>
        <w:gridCol w:w="1375"/>
        <w:gridCol w:w="1135"/>
      </w:tblGrid>
      <w:tr>
        <w:trPr>
          <w:trHeight w:val="594" w:hRule="exact"/>
        </w:trPr>
        <w:tc>
          <w:tcPr>
            <w:tcW w:w="3997" w:type="dxa"/>
          </w:tcPr>
          <w:p>
            <w:pPr/>
          </w:p>
        </w:tc>
        <w:tc>
          <w:tcPr>
            <w:tcW w:w="1629" w:type="dxa"/>
          </w:tcPr>
          <w:p>
            <w:pPr>
              <w:pStyle w:val="TableParagraph"/>
              <w:spacing w:before="30"/>
              <w:ind w:left="575" w:right="570"/>
              <w:jc w:val="center"/>
              <w:rPr>
                <w:b/>
                <w:sz w:val="18"/>
              </w:rPr>
            </w:pPr>
            <w:r>
              <w:rPr>
                <w:b/>
                <w:sz w:val="18"/>
              </w:rPr>
              <w:t>2016</w:t>
            </w:r>
          </w:p>
          <w:p>
            <w:pPr>
              <w:pStyle w:val="TableParagraph"/>
              <w:spacing w:before="66"/>
              <w:ind w:left="575" w:right="570"/>
              <w:jc w:val="center"/>
              <w:rPr>
                <w:b/>
                <w:sz w:val="18"/>
              </w:rPr>
            </w:pPr>
            <w:r>
              <w:rPr>
                <w:b/>
                <w:sz w:val="18"/>
              </w:rPr>
              <w:t>$'000</w:t>
            </w:r>
          </w:p>
        </w:tc>
        <w:tc>
          <w:tcPr>
            <w:tcW w:w="1389" w:type="dxa"/>
          </w:tcPr>
          <w:p>
            <w:pPr>
              <w:pStyle w:val="TableParagraph"/>
              <w:spacing w:before="30"/>
              <w:ind w:left="272"/>
              <w:jc w:val="left"/>
              <w:rPr>
                <w:b/>
                <w:sz w:val="18"/>
              </w:rPr>
            </w:pPr>
            <w:r>
              <w:rPr>
                <w:b/>
                <w:sz w:val="18"/>
              </w:rPr>
              <w:t>2015</w:t>
            </w:r>
          </w:p>
          <w:p>
            <w:pPr>
              <w:pStyle w:val="TableParagraph"/>
              <w:spacing w:before="66"/>
              <w:ind w:left="251"/>
              <w:jc w:val="left"/>
              <w:rPr>
                <w:b/>
                <w:sz w:val="18"/>
              </w:rPr>
            </w:pPr>
            <w:r>
              <w:rPr>
                <w:b/>
                <w:sz w:val="18"/>
              </w:rPr>
              <w:t>$'000</w:t>
            </w:r>
          </w:p>
        </w:tc>
        <w:tc>
          <w:tcPr>
            <w:tcW w:w="1375" w:type="dxa"/>
          </w:tcPr>
          <w:p>
            <w:pPr>
              <w:pStyle w:val="TableParagraph"/>
              <w:spacing w:before="30"/>
              <w:ind w:left="363"/>
              <w:jc w:val="left"/>
              <w:rPr>
                <w:b/>
                <w:sz w:val="18"/>
              </w:rPr>
            </w:pPr>
            <w:r>
              <w:rPr>
                <w:b/>
                <w:sz w:val="18"/>
              </w:rPr>
              <w:t>2016</w:t>
            </w:r>
          </w:p>
          <w:p>
            <w:pPr>
              <w:pStyle w:val="TableParagraph"/>
              <w:spacing w:before="66"/>
              <w:ind w:left="341"/>
              <w:jc w:val="left"/>
              <w:rPr>
                <w:b/>
                <w:sz w:val="18"/>
              </w:rPr>
            </w:pPr>
            <w:r>
              <w:rPr>
                <w:b/>
                <w:sz w:val="18"/>
              </w:rPr>
              <w:t>$'000</w:t>
            </w:r>
          </w:p>
        </w:tc>
        <w:tc>
          <w:tcPr>
            <w:tcW w:w="1135" w:type="dxa"/>
          </w:tcPr>
          <w:p>
            <w:pPr>
              <w:pStyle w:val="TableParagraph"/>
              <w:spacing w:before="30"/>
              <w:ind w:left="272"/>
              <w:jc w:val="left"/>
              <w:rPr>
                <w:b/>
                <w:sz w:val="18"/>
              </w:rPr>
            </w:pPr>
            <w:r>
              <w:rPr>
                <w:b/>
                <w:sz w:val="18"/>
              </w:rPr>
              <w:t>2015</w:t>
            </w:r>
          </w:p>
          <w:p>
            <w:pPr>
              <w:pStyle w:val="TableParagraph"/>
              <w:spacing w:before="66"/>
              <w:ind w:left="251"/>
              <w:jc w:val="left"/>
              <w:rPr>
                <w:b/>
                <w:sz w:val="18"/>
              </w:rPr>
            </w:pPr>
            <w:r>
              <w:rPr>
                <w:b/>
                <w:sz w:val="18"/>
              </w:rPr>
              <w:t>$'000</w:t>
            </w:r>
          </w:p>
        </w:tc>
      </w:tr>
      <w:tr>
        <w:trPr>
          <w:trHeight w:val="544" w:hRule="exact"/>
        </w:trPr>
        <w:tc>
          <w:tcPr>
            <w:tcW w:w="3997" w:type="dxa"/>
          </w:tcPr>
          <w:p>
            <w:pPr>
              <w:pStyle w:val="TableParagraph"/>
              <w:spacing w:before="63"/>
              <w:ind w:left="35"/>
              <w:jc w:val="left"/>
              <w:rPr>
                <w:b/>
                <w:sz w:val="18"/>
              </w:rPr>
            </w:pPr>
            <w:r>
              <w:rPr>
                <w:b/>
                <w:sz w:val="18"/>
              </w:rPr>
              <w:t>Interest income</w:t>
            </w:r>
          </w:p>
          <w:p>
            <w:pPr>
              <w:pStyle w:val="TableParagraph"/>
              <w:spacing w:before="29"/>
              <w:ind w:left="249"/>
              <w:jc w:val="left"/>
              <w:rPr>
                <w:sz w:val="18"/>
              </w:rPr>
            </w:pPr>
            <w:r>
              <w:rPr>
                <w:sz w:val="18"/>
              </w:rPr>
              <w:t>Bank deposits</w:t>
            </w:r>
          </w:p>
        </w:tc>
        <w:tc>
          <w:tcPr>
            <w:tcW w:w="1629" w:type="dxa"/>
          </w:tcPr>
          <w:p>
            <w:pPr>
              <w:pStyle w:val="TableParagraph"/>
              <w:spacing w:before="11"/>
              <w:jc w:val="left"/>
              <w:rPr>
                <w:b/>
                <w:sz w:val="25"/>
              </w:rPr>
            </w:pPr>
          </w:p>
          <w:p>
            <w:pPr>
              <w:pStyle w:val="TableParagraph"/>
              <w:ind w:right="249"/>
              <w:rPr>
                <w:b/>
                <w:sz w:val="18"/>
              </w:rPr>
            </w:pPr>
            <w:r>
              <w:rPr>
                <w:b/>
                <w:sz w:val="18"/>
              </w:rPr>
              <w:t>3,634</w:t>
            </w:r>
          </w:p>
        </w:tc>
        <w:tc>
          <w:tcPr>
            <w:tcW w:w="1389" w:type="dxa"/>
          </w:tcPr>
          <w:p>
            <w:pPr>
              <w:pStyle w:val="TableParagraph"/>
              <w:spacing w:before="11"/>
              <w:jc w:val="left"/>
              <w:rPr>
                <w:b/>
                <w:sz w:val="25"/>
              </w:rPr>
            </w:pPr>
          </w:p>
          <w:p>
            <w:pPr>
              <w:pStyle w:val="TableParagraph"/>
              <w:ind w:right="339"/>
              <w:rPr>
                <w:sz w:val="18"/>
              </w:rPr>
            </w:pPr>
            <w:r>
              <w:rPr>
                <w:sz w:val="18"/>
              </w:rPr>
              <w:t>3,732</w:t>
            </w:r>
          </w:p>
        </w:tc>
        <w:tc>
          <w:tcPr>
            <w:tcW w:w="1375" w:type="dxa"/>
          </w:tcPr>
          <w:p>
            <w:pPr>
              <w:pStyle w:val="TableParagraph"/>
              <w:spacing w:before="11"/>
              <w:jc w:val="left"/>
              <w:rPr>
                <w:b/>
                <w:sz w:val="25"/>
              </w:rPr>
            </w:pPr>
          </w:p>
          <w:p>
            <w:pPr>
              <w:pStyle w:val="TableParagraph"/>
              <w:ind w:right="249"/>
              <w:rPr>
                <w:b/>
                <w:sz w:val="18"/>
              </w:rPr>
            </w:pPr>
            <w:r>
              <w:rPr>
                <w:b/>
                <w:sz w:val="18"/>
              </w:rPr>
              <w:t>3,555</w:t>
            </w:r>
          </w:p>
        </w:tc>
        <w:tc>
          <w:tcPr>
            <w:tcW w:w="1135" w:type="dxa"/>
          </w:tcPr>
          <w:p>
            <w:pPr>
              <w:pStyle w:val="TableParagraph"/>
              <w:spacing w:before="11"/>
              <w:jc w:val="left"/>
              <w:rPr>
                <w:b/>
                <w:sz w:val="25"/>
              </w:rPr>
            </w:pPr>
          </w:p>
          <w:p>
            <w:pPr>
              <w:pStyle w:val="TableParagraph"/>
              <w:ind w:right="85"/>
              <w:rPr>
                <w:sz w:val="18"/>
              </w:rPr>
            </w:pPr>
            <w:r>
              <w:rPr>
                <w:sz w:val="18"/>
              </w:rPr>
              <w:t>3,689</w:t>
            </w:r>
          </w:p>
        </w:tc>
      </w:tr>
      <w:tr>
        <w:trPr>
          <w:trHeight w:val="306" w:hRule="exact"/>
        </w:trPr>
        <w:tc>
          <w:tcPr>
            <w:tcW w:w="3997" w:type="dxa"/>
          </w:tcPr>
          <w:p>
            <w:pPr>
              <w:pStyle w:val="TableParagraph"/>
              <w:spacing w:before="19"/>
              <w:ind w:right="1511"/>
              <w:rPr>
                <w:sz w:val="18"/>
              </w:rPr>
            </w:pPr>
            <w:r>
              <w:rPr>
                <w:sz w:val="18"/>
              </w:rPr>
              <w:t>Other loans and receivables</w:t>
            </w:r>
          </w:p>
        </w:tc>
        <w:tc>
          <w:tcPr>
            <w:tcW w:w="1629" w:type="dxa"/>
          </w:tcPr>
          <w:p>
            <w:pPr>
              <w:pStyle w:val="TableParagraph"/>
              <w:spacing w:before="18"/>
              <w:ind w:right="249"/>
              <w:rPr>
                <w:b/>
                <w:sz w:val="18"/>
              </w:rPr>
            </w:pPr>
            <w:r>
              <w:rPr>
                <w:b/>
                <w:sz w:val="18"/>
              </w:rPr>
              <w:t>438</w:t>
            </w:r>
          </w:p>
        </w:tc>
        <w:tc>
          <w:tcPr>
            <w:tcW w:w="1389" w:type="dxa"/>
          </w:tcPr>
          <w:p>
            <w:pPr>
              <w:pStyle w:val="TableParagraph"/>
              <w:spacing w:before="18"/>
              <w:ind w:right="340"/>
              <w:rPr>
                <w:sz w:val="18"/>
              </w:rPr>
            </w:pPr>
            <w:r>
              <w:rPr>
                <w:sz w:val="18"/>
              </w:rPr>
              <w:t>440</w:t>
            </w:r>
          </w:p>
        </w:tc>
        <w:tc>
          <w:tcPr>
            <w:tcW w:w="1375" w:type="dxa"/>
          </w:tcPr>
          <w:p>
            <w:pPr>
              <w:pStyle w:val="TableParagraph"/>
              <w:spacing w:before="18"/>
              <w:ind w:right="249"/>
              <w:rPr>
                <w:b/>
                <w:sz w:val="18"/>
              </w:rPr>
            </w:pPr>
            <w:r>
              <w:rPr>
                <w:b/>
                <w:sz w:val="18"/>
              </w:rPr>
              <w:t>438</w:t>
            </w:r>
          </w:p>
        </w:tc>
        <w:tc>
          <w:tcPr>
            <w:tcW w:w="1135" w:type="dxa"/>
          </w:tcPr>
          <w:p>
            <w:pPr>
              <w:pStyle w:val="TableParagraph"/>
              <w:spacing w:before="18"/>
              <w:ind w:right="85"/>
              <w:rPr>
                <w:sz w:val="18"/>
              </w:rPr>
            </w:pPr>
            <w:r>
              <w:rPr>
                <w:sz w:val="18"/>
              </w:rPr>
              <w:t>440</w:t>
            </w:r>
          </w:p>
        </w:tc>
      </w:tr>
      <w:tr>
        <w:trPr>
          <w:trHeight w:val="541" w:hRule="exact"/>
        </w:trPr>
        <w:tc>
          <w:tcPr>
            <w:tcW w:w="3997" w:type="dxa"/>
          </w:tcPr>
          <w:p>
            <w:pPr>
              <w:pStyle w:val="TableParagraph"/>
              <w:spacing w:before="60"/>
              <w:ind w:left="35"/>
              <w:jc w:val="left"/>
              <w:rPr>
                <w:b/>
                <w:sz w:val="18"/>
              </w:rPr>
            </w:pPr>
            <w:r>
              <w:rPr>
                <w:b/>
                <w:sz w:val="18"/>
              </w:rPr>
              <w:t>Distribution from managed funds</w:t>
            </w:r>
          </w:p>
          <w:p>
            <w:pPr>
              <w:pStyle w:val="TableParagraph"/>
              <w:spacing w:before="29"/>
              <w:ind w:left="249"/>
              <w:jc w:val="left"/>
              <w:rPr>
                <w:sz w:val="18"/>
              </w:rPr>
            </w:pPr>
            <w:r>
              <w:rPr>
                <w:sz w:val="18"/>
              </w:rPr>
              <w:t>Available-for-sale financial assets</w:t>
            </w:r>
          </w:p>
        </w:tc>
        <w:tc>
          <w:tcPr>
            <w:tcW w:w="1629" w:type="dxa"/>
          </w:tcPr>
          <w:p>
            <w:pPr>
              <w:pStyle w:val="TableParagraph"/>
              <w:spacing w:before="8"/>
              <w:jc w:val="left"/>
              <w:rPr>
                <w:b/>
                <w:sz w:val="25"/>
              </w:rPr>
            </w:pPr>
          </w:p>
          <w:p>
            <w:pPr>
              <w:pStyle w:val="TableParagraph"/>
              <w:ind w:right="249"/>
              <w:rPr>
                <w:b/>
                <w:sz w:val="18"/>
              </w:rPr>
            </w:pPr>
            <w:r>
              <w:rPr>
                <w:b/>
                <w:sz w:val="18"/>
              </w:rPr>
              <w:t>2,947</w:t>
            </w:r>
          </w:p>
        </w:tc>
        <w:tc>
          <w:tcPr>
            <w:tcW w:w="1389" w:type="dxa"/>
          </w:tcPr>
          <w:p>
            <w:pPr>
              <w:pStyle w:val="TableParagraph"/>
              <w:spacing w:before="8"/>
              <w:jc w:val="left"/>
              <w:rPr>
                <w:b/>
                <w:sz w:val="25"/>
              </w:rPr>
            </w:pPr>
          </w:p>
          <w:p>
            <w:pPr>
              <w:pStyle w:val="TableParagraph"/>
              <w:ind w:right="339"/>
              <w:rPr>
                <w:sz w:val="18"/>
              </w:rPr>
            </w:pPr>
            <w:r>
              <w:rPr>
                <w:sz w:val="18"/>
              </w:rPr>
              <w:t>6,801</w:t>
            </w:r>
          </w:p>
        </w:tc>
        <w:tc>
          <w:tcPr>
            <w:tcW w:w="1375" w:type="dxa"/>
          </w:tcPr>
          <w:p>
            <w:pPr>
              <w:pStyle w:val="TableParagraph"/>
              <w:spacing w:before="8"/>
              <w:jc w:val="left"/>
              <w:rPr>
                <w:b/>
                <w:sz w:val="25"/>
              </w:rPr>
            </w:pPr>
          </w:p>
          <w:p>
            <w:pPr>
              <w:pStyle w:val="TableParagraph"/>
              <w:ind w:right="249"/>
              <w:rPr>
                <w:b/>
                <w:sz w:val="18"/>
              </w:rPr>
            </w:pPr>
            <w:r>
              <w:rPr>
                <w:b/>
                <w:sz w:val="18"/>
              </w:rPr>
              <w:t>2,947</w:t>
            </w:r>
          </w:p>
        </w:tc>
        <w:tc>
          <w:tcPr>
            <w:tcW w:w="1135" w:type="dxa"/>
          </w:tcPr>
          <w:p>
            <w:pPr>
              <w:pStyle w:val="TableParagraph"/>
              <w:spacing w:before="8"/>
              <w:jc w:val="left"/>
              <w:rPr>
                <w:b/>
                <w:sz w:val="25"/>
              </w:rPr>
            </w:pPr>
          </w:p>
          <w:p>
            <w:pPr>
              <w:pStyle w:val="TableParagraph"/>
              <w:ind w:right="85"/>
              <w:rPr>
                <w:sz w:val="18"/>
              </w:rPr>
            </w:pPr>
            <w:r>
              <w:rPr>
                <w:sz w:val="18"/>
              </w:rPr>
              <w:t>6,801</w:t>
            </w:r>
          </w:p>
        </w:tc>
      </w:tr>
      <w:tr>
        <w:trPr>
          <w:trHeight w:val="264" w:hRule="exact"/>
        </w:trPr>
        <w:tc>
          <w:tcPr>
            <w:tcW w:w="3997" w:type="dxa"/>
          </w:tcPr>
          <w:p>
            <w:pPr>
              <w:pStyle w:val="TableParagraph"/>
              <w:spacing w:before="19"/>
              <w:ind w:right="1460"/>
              <w:rPr>
                <w:sz w:val="18"/>
              </w:rPr>
            </w:pPr>
            <w:r>
              <w:rPr>
                <w:sz w:val="18"/>
              </w:rPr>
              <w:t>Held-to-maturity investments</w:t>
            </w:r>
          </w:p>
        </w:tc>
        <w:tc>
          <w:tcPr>
            <w:tcW w:w="1629" w:type="dxa"/>
          </w:tcPr>
          <w:p>
            <w:pPr>
              <w:pStyle w:val="TableParagraph"/>
              <w:spacing w:before="18"/>
              <w:ind w:right="249"/>
              <w:rPr>
                <w:b/>
                <w:sz w:val="18"/>
              </w:rPr>
            </w:pPr>
            <w:r>
              <w:rPr>
                <w:b/>
                <w:sz w:val="18"/>
              </w:rPr>
              <w:t>258</w:t>
            </w:r>
          </w:p>
        </w:tc>
        <w:tc>
          <w:tcPr>
            <w:tcW w:w="1389" w:type="dxa"/>
          </w:tcPr>
          <w:p>
            <w:pPr>
              <w:pStyle w:val="TableParagraph"/>
              <w:spacing w:before="18"/>
              <w:ind w:right="340"/>
              <w:rPr>
                <w:sz w:val="18"/>
              </w:rPr>
            </w:pPr>
            <w:r>
              <w:rPr>
                <w:sz w:val="18"/>
              </w:rPr>
              <w:t>267</w:t>
            </w:r>
          </w:p>
        </w:tc>
        <w:tc>
          <w:tcPr>
            <w:tcW w:w="1375" w:type="dxa"/>
          </w:tcPr>
          <w:p>
            <w:pPr>
              <w:pStyle w:val="TableParagraph"/>
              <w:spacing w:before="18"/>
              <w:ind w:right="249"/>
              <w:rPr>
                <w:b/>
                <w:sz w:val="18"/>
              </w:rPr>
            </w:pPr>
            <w:r>
              <w:rPr>
                <w:b/>
                <w:sz w:val="18"/>
              </w:rPr>
              <w:t>258</w:t>
            </w:r>
          </w:p>
        </w:tc>
        <w:tc>
          <w:tcPr>
            <w:tcW w:w="1135" w:type="dxa"/>
          </w:tcPr>
          <w:p>
            <w:pPr>
              <w:pStyle w:val="TableParagraph"/>
              <w:spacing w:before="18"/>
              <w:ind w:right="85"/>
              <w:rPr>
                <w:sz w:val="18"/>
              </w:rPr>
            </w:pPr>
            <w:r>
              <w:rPr>
                <w:sz w:val="18"/>
              </w:rPr>
              <w:t>267</w:t>
            </w:r>
          </w:p>
        </w:tc>
      </w:tr>
      <w:tr>
        <w:trPr>
          <w:trHeight w:val="262" w:hRule="exact"/>
        </w:trPr>
        <w:tc>
          <w:tcPr>
            <w:tcW w:w="3997" w:type="dxa"/>
          </w:tcPr>
          <w:p>
            <w:pPr>
              <w:pStyle w:val="TableParagraph"/>
              <w:spacing w:before="19"/>
              <w:ind w:left="35"/>
              <w:jc w:val="left"/>
              <w:rPr>
                <w:sz w:val="18"/>
              </w:rPr>
            </w:pPr>
            <w:r>
              <w:rPr>
                <w:sz w:val="18"/>
              </w:rPr>
              <w:t>Dividends received</w:t>
            </w:r>
          </w:p>
        </w:tc>
        <w:tc>
          <w:tcPr>
            <w:tcW w:w="1629" w:type="dxa"/>
            <w:tcBorders>
              <w:bottom w:val="single" w:sz="0" w:space="0" w:color="000000"/>
            </w:tcBorders>
          </w:tcPr>
          <w:p>
            <w:pPr>
              <w:pStyle w:val="TableParagraph"/>
              <w:spacing w:before="18"/>
              <w:ind w:right="249"/>
              <w:rPr>
                <w:b/>
                <w:sz w:val="18"/>
              </w:rPr>
            </w:pPr>
            <w:r>
              <w:rPr>
                <w:b/>
                <w:sz w:val="18"/>
              </w:rPr>
              <w:t>1,258</w:t>
            </w:r>
          </w:p>
        </w:tc>
        <w:tc>
          <w:tcPr>
            <w:tcW w:w="1389" w:type="dxa"/>
            <w:tcBorders>
              <w:bottom w:val="single" w:sz="0" w:space="0" w:color="000000"/>
            </w:tcBorders>
          </w:tcPr>
          <w:p>
            <w:pPr>
              <w:pStyle w:val="TableParagraph"/>
              <w:spacing w:before="18"/>
              <w:ind w:right="339"/>
              <w:rPr>
                <w:sz w:val="18"/>
              </w:rPr>
            </w:pPr>
            <w:r>
              <w:rPr>
                <w:sz w:val="18"/>
              </w:rPr>
              <w:t>1,339</w:t>
            </w:r>
          </w:p>
        </w:tc>
        <w:tc>
          <w:tcPr>
            <w:tcW w:w="1375" w:type="dxa"/>
            <w:tcBorders>
              <w:bottom w:val="single" w:sz="0" w:space="0" w:color="000000"/>
            </w:tcBorders>
          </w:tcPr>
          <w:p>
            <w:pPr>
              <w:pStyle w:val="TableParagraph"/>
              <w:spacing w:before="18"/>
              <w:ind w:right="249"/>
              <w:rPr>
                <w:b/>
                <w:sz w:val="18"/>
              </w:rPr>
            </w:pPr>
            <w:r>
              <w:rPr>
                <w:b/>
                <w:sz w:val="18"/>
              </w:rPr>
              <w:t>1,258</w:t>
            </w:r>
          </w:p>
        </w:tc>
        <w:tc>
          <w:tcPr>
            <w:tcW w:w="1135" w:type="dxa"/>
            <w:tcBorders>
              <w:bottom w:val="single" w:sz="0" w:space="0" w:color="000000"/>
            </w:tcBorders>
          </w:tcPr>
          <w:p>
            <w:pPr>
              <w:pStyle w:val="TableParagraph"/>
              <w:spacing w:before="18"/>
              <w:ind w:right="85"/>
              <w:rPr>
                <w:sz w:val="18"/>
              </w:rPr>
            </w:pPr>
            <w:r>
              <w:rPr>
                <w:sz w:val="18"/>
              </w:rPr>
              <w:t>1,339</w:t>
            </w:r>
          </w:p>
        </w:tc>
      </w:tr>
      <w:tr>
        <w:trPr>
          <w:trHeight w:val="353" w:hRule="exact"/>
        </w:trPr>
        <w:tc>
          <w:tcPr>
            <w:tcW w:w="3997" w:type="dxa"/>
          </w:tcPr>
          <w:p>
            <w:pPr>
              <w:pStyle w:val="TableParagraph"/>
              <w:spacing w:before="123"/>
              <w:ind w:left="35"/>
              <w:jc w:val="left"/>
              <w:rPr>
                <w:b/>
                <w:sz w:val="18"/>
              </w:rPr>
            </w:pPr>
            <w:bookmarkStart w:name="6 Royalties, trademarks and licences" w:id="65"/>
            <w:bookmarkEnd w:id="65"/>
            <w:r>
              <w:rPr/>
            </w:r>
            <w:r>
              <w:rPr>
                <w:b/>
                <w:sz w:val="18"/>
              </w:rPr>
              <w:t>Total investment income</w:t>
            </w:r>
          </w:p>
        </w:tc>
        <w:tc>
          <w:tcPr>
            <w:tcW w:w="1629" w:type="dxa"/>
            <w:tcBorders>
              <w:top w:val="single" w:sz="0" w:space="0" w:color="000000"/>
              <w:bottom w:val="single" w:sz="0" w:space="0" w:color="000000"/>
            </w:tcBorders>
          </w:tcPr>
          <w:p>
            <w:pPr>
              <w:pStyle w:val="TableParagraph"/>
              <w:spacing w:before="122"/>
              <w:ind w:right="249"/>
              <w:rPr>
                <w:b/>
                <w:sz w:val="18"/>
              </w:rPr>
            </w:pPr>
            <w:r>
              <w:rPr>
                <w:b/>
                <w:sz w:val="18"/>
              </w:rPr>
              <w:t>8,535</w:t>
            </w:r>
          </w:p>
        </w:tc>
        <w:tc>
          <w:tcPr>
            <w:tcW w:w="1389" w:type="dxa"/>
            <w:tcBorders>
              <w:top w:val="single" w:sz="0" w:space="0" w:color="000000"/>
              <w:bottom w:val="single" w:sz="0" w:space="0" w:color="000000"/>
            </w:tcBorders>
          </w:tcPr>
          <w:p>
            <w:pPr>
              <w:pStyle w:val="TableParagraph"/>
              <w:spacing w:before="122"/>
              <w:ind w:right="339"/>
              <w:rPr>
                <w:sz w:val="18"/>
              </w:rPr>
            </w:pPr>
            <w:r>
              <w:rPr>
                <w:w w:val="95"/>
                <w:sz w:val="18"/>
              </w:rPr>
              <w:t>12,579</w:t>
            </w:r>
          </w:p>
        </w:tc>
        <w:tc>
          <w:tcPr>
            <w:tcW w:w="1375" w:type="dxa"/>
            <w:tcBorders>
              <w:top w:val="single" w:sz="0" w:space="0" w:color="000000"/>
              <w:bottom w:val="single" w:sz="0" w:space="0" w:color="000000"/>
            </w:tcBorders>
          </w:tcPr>
          <w:p>
            <w:pPr>
              <w:pStyle w:val="TableParagraph"/>
              <w:spacing w:before="122"/>
              <w:ind w:right="249"/>
              <w:rPr>
                <w:b/>
                <w:sz w:val="18"/>
              </w:rPr>
            </w:pPr>
            <w:r>
              <w:rPr>
                <w:b/>
                <w:sz w:val="18"/>
              </w:rPr>
              <w:t>8,456</w:t>
            </w:r>
          </w:p>
        </w:tc>
        <w:tc>
          <w:tcPr>
            <w:tcW w:w="1135" w:type="dxa"/>
            <w:tcBorders>
              <w:top w:val="single" w:sz="0" w:space="0" w:color="000000"/>
              <w:bottom w:val="single" w:sz="0" w:space="0" w:color="000000"/>
            </w:tcBorders>
          </w:tcPr>
          <w:p>
            <w:pPr>
              <w:pStyle w:val="TableParagraph"/>
              <w:spacing w:before="122"/>
              <w:ind w:right="85"/>
              <w:rPr>
                <w:sz w:val="18"/>
              </w:rPr>
            </w:pPr>
            <w:r>
              <w:rPr>
                <w:w w:val="95"/>
                <w:sz w:val="18"/>
              </w:rPr>
              <w:t>12,536</w:t>
            </w:r>
          </w:p>
        </w:tc>
      </w:tr>
    </w:tbl>
    <w:p>
      <w:pPr>
        <w:pStyle w:val="BodyText"/>
        <w:rPr>
          <w:b/>
          <w:sz w:val="20"/>
        </w:rPr>
      </w:pPr>
    </w:p>
    <w:p>
      <w:pPr>
        <w:pStyle w:val="BodyText"/>
        <w:spacing w:before="6"/>
        <w:rPr>
          <w:b/>
          <w:sz w:val="16"/>
        </w:rPr>
      </w:pPr>
    </w:p>
    <w:p>
      <w:pPr>
        <w:pStyle w:val="ListParagraph"/>
        <w:numPr>
          <w:ilvl w:val="0"/>
          <w:numId w:val="18"/>
        </w:numPr>
        <w:tabs>
          <w:tab w:pos="1826" w:val="left" w:leader="none"/>
        </w:tabs>
        <w:spacing w:line="240" w:lineRule="auto" w:before="77" w:after="0"/>
        <w:ind w:left="1825" w:right="0" w:hanging="396"/>
        <w:jc w:val="left"/>
        <w:rPr>
          <w:b/>
          <w:sz w:val="18"/>
        </w:rPr>
      </w:pPr>
      <w:r>
        <w:rPr>
          <w:b/>
          <w:sz w:val="18"/>
        </w:rPr>
        <w:t>Royalties, trademarks and</w:t>
      </w:r>
      <w:r>
        <w:rPr>
          <w:b/>
          <w:spacing w:val="-32"/>
          <w:sz w:val="18"/>
        </w:rPr>
        <w:t> </w:t>
      </w:r>
      <w:r>
        <w:rPr>
          <w:b/>
          <w:sz w:val="18"/>
        </w:rPr>
        <w:t>licences</w:t>
      </w:r>
    </w:p>
    <w:p>
      <w:pPr>
        <w:tabs>
          <w:tab w:pos="9680" w:val="left" w:leader="none"/>
        </w:tabs>
        <w:spacing w:before="33"/>
        <w:ind w:left="6640" w:right="0" w:firstLine="0"/>
        <w:jc w:val="left"/>
        <w:rPr>
          <w:b/>
          <w:sz w:val="18"/>
        </w:rPr>
      </w:pPr>
      <w:r>
        <w:rPr>
          <w:b/>
          <w:sz w:val="18"/>
        </w:rPr>
        <w:t>Consolidated</w:t>
        <w:tab/>
        <w:t>Parent</w:t>
      </w:r>
    </w:p>
    <w:p>
      <w:pPr>
        <w:spacing w:after="0"/>
        <w:jc w:val="left"/>
        <w:rPr>
          <w:sz w:val="18"/>
        </w:rPr>
        <w:sectPr>
          <w:pgSz w:w="12750" w:h="17680"/>
          <w:pgMar w:header="0" w:footer="927" w:top="2640" w:bottom="1120" w:left="0" w:right="0"/>
        </w:sectPr>
      </w:pPr>
    </w:p>
    <w:p>
      <w:pPr>
        <w:spacing w:before="66"/>
        <w:ind w:left="0" w:right="19" w:firstLine="0"/>
        <w:jc w:val="right"/>
        <w:rPr>
          <w:b/>
          <w:sz w:val="18"/>
        </w:rPr>
      </w:pPr>
      <w:r>
        <w:rPr>
          <w:b/>
          <w:sz w:val="18"/>
        </w:rPr>
        <w:t>2016</w:t>
      </w:r>
    </w:p>
    <w:p>
      <w:pPr>
        <w:spacing w:before="66"/>
        <w:ind w:left="0" w:right="0" w:firstLine="0"/>
        <w:jc w:val="right"/>
        <w:rPr>
          <w:b/>
          <w:sz w:val="18"/>
        </w:rPr>
      </w:pPr>
      <w:r>
        <w:rPr>
          <w:b/>
          <w:sz w:val="18"/>
        </w:rPr>
        <w:t>$'000</w:t>
      </w:r>
    </w:p>
    <w:p>
      <w:pPr>
        <w:spacing w:before="66"/>
        <w:ind w:left="837" w:right="-16" w:firstLine="0"/>
        <w:jc w:val="left"/>
        <w:rPr>
          <w:b/>
          <w:sz w:val="18"/>
        </w:rPr>
      </w:pPr>
      <w:r>
        <w:rPr/>
        <w:br w:type="column"/>
      </w:r>
      <w:r>
        <w:rPr>
          <w:b/>
          <w:sz w:val="18"/>
        </w:rPr>
        <w:t>2015</w:t>
      </w:r>
    </w:p>
    <w:p>
      <w:pPr>
        <w:spacing w:before="66"/>
        <w:ind w:left="815" w:right="-16" w:firstLine="0"/>
        <w:jc w:val="left"/>
        <w:rPr>
          <w:b/>
          <w:sz w:val="18"/>
        </w:rPr>
      </w:pPr>
      <w:r>
        <w:rPr>
          <w:b/>
          <w:spacing w:val="-1"/>
          <w:sz w:val="18"/>
        </w:rPr>
        <w:t>$'000</w:t>
      </w:r>
    </w:p>
    <w:p>
      <w:pPr>
        <w:spacing w:before="66"/>
        <w:ind w:left="0" w:right="19" w:firstLine="0"/>
        <w:jc w:val="right"/>
        <w:rPr>
          <w:b/>
          <w:sz w:val="18"/>
        </w:rPr>
      </w:pPr>
      <w:r>
        <w:rPr/>
        <w:br w:type="column"/>
      </w:r>
      <w:r>
        <w:rPr>
          <w:b/>
          <w:sz w:val="18"/>
        </w:rPr>
        <w:t>2016</w:t>
      </w:r>
    </w:p>
    <w:p>
      <w:pPr>
        <w:spacing w:before="66"/>
        <w:ind w:left="0" w:right="0" w:firstLine="0"/>
        <w:jc w:val="right"/>
        <w:rPr>
          <w:b/>
          <w:sz w:val="18"/>
        </w:rPr>
      </w:pPr>
      <w:r>
        <w:rPr>
          <w:b/>
          <w:sz w:val="18"/>
        </w:rPr>
        <w:t>$'000</w:t>
      </w:r>
    </w:p>
    <w:p>
      <w:pPr>
        <w:spacing w:before="66"/>
        <w:ind w:left="837" w:right="0" w:firstLine="0"/>
        <w:jc w:val="left"/>
        <w:rPr>
          <w:b/>
          <w:sz w:val="18"/>
        </w:rPr>
      </w:pPr>
      <w:r>
        <w:rPr/>
        <w:br w:type="column"/>
      </w:r>
      <w:r>
        <w:rPr>
          <w:b/>
          <w:sz w:val="18"/>
        </w:rPr>
        <w:t>2015</w:t>
      </w:r>
    </w:p>
    <w:p>
      <w:pPr>
        <w:spacing w:before="66"/>
        <w:ind w:left="815" w:right="0" w:firstLine="0"/>
        <w:jc w:val="left"/>
        <w:rPr>
          <w:b/>
          <w:sz w:val="18"/>
        </w:rPr>
      </w:pPr>
      <w:r>
        <w:rPr>
          <w:b/>
          <w:sz w:val="18"/>
        </w:rPr>
        <w:t>$'000</w:t>
      </w:r>
    </w:p>
    <w:p>
      <w:pPr>
        <w:spacing w:after="0"/>
        <w:jc w:val="left"/>
        <w:rPr>
          <w:sz w:val="18"/>
        </w:rPr>
        <w:sectPr>
          <w:type w:val="continuous"/>
          <w:pgSz w:w="12750" w:h="17680"/>
          <w:pgMar w:top="1660" w:bottom="0" w:left="0" w:right="0"/>
          <w:cols w:num="4" w:equalWidth="0">
            <w:col w:w="6853" w:space="40"/>
            <w:col w:w="1258" w:space="40"/>
            <w:col w:w="1427" w:space="40"/>
            <w:col w:w="3092"/>
          </w:cols>
        </w:sectPr>
      </w:pPr>
    </w:p>
    <w:p>
      <w:pPr>
        <w:pStyle w:val="BodyText"/>
        <w:tabs>
          <w:tab w:pos="6887" w:val="left" w:leader="none"/>
          <w:tab w:pos="8185" w:val="left" w:leader="none"/>
          <w:tab w:pos="9651" w:val="left" w:leader="none"/>
          <w:tab w:pos="11247" w:val="right" w:leader="none"/>
        </w:tabs>
        <w:spacing w:before="63"/>
        <w:ind w:left="1857"/>
      </w:pPr>
      <w:r>
        <w:rPr/>
        <w:pict>
          <v:group style="position:absolute;margin-left:290.649994pt;margin-top:14.781891pt;width:276.5pt;height:1pt;mso-position-horizontal-relative:page;mso-position-vertical-relative:paragraph;z-index:3208" coordorigin="5813,296" coordsize="5530,20">
            <v:line style="position:absolute" from="5814,297" to="5983,297" stroked="true" strokeweight=".06pt" strokecolor="#000000"/>
            <v:line style="position:absolute" from="5814,298" to="5983,298" stroked="true" strokeweight=".06pt" strokecolor="#000000"/>
            <v:line style="position:absolute" from="5814,299" to="5983,299" stroked="true" strokeweight=".06pt" strokecolor="#000000"/>
            <v:line style="position:absolute" from="5814,300" to="5983,300" stroked="true" strokeweight=".06pt" strokecolor="#000000"/>
            <v:line style="position:absolute" from="5814,301" to="5983,301" stroked="true" strokeweight=".06pt" strokecolor="#000000"/>
            <v:line style="position:absolute" from="5814,303" to="5983,303" stroked="true" strokeweight=".06pt" strokecolor="#000000"/>
            <v:line style="position:absolute" from="5814,304" to="5983,304" stroked="true" strokeweight=".06pt" strokecolor="#000000"/>
            <v:line style="position:absolute" from="5814,305" to="5983,305" stroked="true" strokeweight=".06pt" strokecolor="#000000"/>
            <v:line style="position:absolute" from="5814,306" to="5983,306" stroked="true" strokeweight=".06pt" strokecolor="#000000"/>
            <v:line style="position:absolute" from="5814,307" to="5983,307" stroked="true" strokeweight=".06pt" strokecolor="#000000"/>
            <v:line style="position:absolute" from="5814,309" to="5983,309" stroked="true" strokeweight=".06pt" strokecolor="#000000"/>
            <v:line style="position:absolute" from="5814,310" to="5983,310" stroked="true" strokeweight=".06pt" strokecolor="#000000"/>
            <v:line style="position:absolute" from="5814,311" to="5983,311" stroked="true" strokeweight=".06pt" strokecolor="#000000"/>
            <v:line style="position:absolute" from="5814,312" to="5983,312" stroked="true" strokeweight=".06pt" strokecolor="#000000"/>
            <v:line style="position:absolute" from="5814,313" to="5983,313" stroked="true" strokeweight=".06pt" strokecolor="#000000"/>
            <v:line style="position:absolute" from="5814,315" to="5983,315" stroked="true" strokeweight=".06pt" strokecolor="#000000"/>
            <v:line style="position:absolute" from="5983,297" to="7280,297" stroked="true" strokeweight=".06pt" strokecolor="#000000"/>
            <v:line style="position:absolute" from="5983,298" to="7280,298" stroked="true" strokeweight=".06pt" strokecolor="#000000"/>
            <v:line style="position:absolute" from="5983,299" to="7280,299" stroked="true" strokeweight=".06pt" strokecolor="#000000"/>
            <v:line style="position:absolute" from="5983,300" to="7280,300" stroked="true" strokeweight=".06pt" strokecolor="#000000"/>
            <v:line style="position:absolute" from="5983,301" to="7280,301" stroked="true" strokeweight=".06pt" strokecolor="#000000"/>
            <v:line style="position:absolute" from="5983,303" to="7280,303" stroked="true" strokeweight=".06pt" strokecolor="#000000"/>
            <v:line style="position:absolute" from="5983,304" to="7280,304" stroked="true" strokeweight=".06pt" strokecolor="#000000"/>
            <v:line style="position:absolute" from="5983,305" to="7280,305" stroked="true" strokeweight=".06pt" strokecolor="#000000"/>
            <v:line style="position:absolute" from="5983,306" to="7280,306" stroked="true" strokeweight=".06pt" strokecolor="#000000"/>
            <v:line style="position:absolute" from="5983,307" to="7280,307" stroked="true" strokeweight=".06pt" strokecolor="#000000"/>
            <v:line style="position:absolute" from="5983,309" to="7280,309" stroked="true" strokeweight=".06pt" strokecolor="#000000"/>
            <v:line style="position:absolute" from="5983,310" to="7280,310" stroked="true" strokeweight=".06pt" strokecolor="#000000"/>
            <v:line style="position:absolute" from="5983,311" to="7280,311" stroked="true" strokeweight=".06pt" strokecolor="#000000"/>
            <v:line style="position:absolute" from="5983,312" to="7280,312" stroked="true" strokeweight=".06pt" strokecolor="#000000"/>
            <v:line style="position:absolute" from="5983,313" to="7280,313" stroked="true" strokeweight=".06pt" strokecolor="#000000"/>
            <v:line style="position:absolute" from="5983,315" to="7280,315" stroked="true" strokeweight=".06pt" strokecolor="#000000"/>
            <v:line style="position:absolute" from="7280,297" to="8578,297" stroked="true" strokeweight=".06pt" strokecolor="#000000"/>
            <v:line style="position:absolute" from="7280,298" to="8578,298" stroked="true" strokeweight=".06pt" strokecolor="#000000"/>
            <v:line style="position:absolute" from="7280,299" to="8578,299" stroked="true" strokeweight=".06pt" strokecolor="#000000"/>
            <v:line style="position:absolute" from="7280,300" to="8578,300" stroked="true" strokeweight=".06pt" strokecolor="#000000"/>
            <v:line style="position:absolute" from="7280,301" to="8578,301" stroked="true" strokeweight=".06pt" strokecolor="#000000"/>
            <v:line style="position:absolute" from="7280,303" to="8578,303" stroked="true" strokeweight=".06pt" strokecolor="#000000"/>
            <v:line style="position:absolute" from="7280,304" to="8578,304" stroked="true" strokeweight=".06pt" strokecolor="#000000"/>
            <v:line style="position:absolute" from="7280,305" to="8578,305" stroked="true" strokeweight=".06pt" strokecolor="#000000"/>
            <v:line style="position:absolute" from="7280,306" to="8578,306" stroked="true" strokeweight=".06pt" strokecolor="#000000"/>
            <v:line style="position:absolute" from="7280,307" to="8578,307" stroked="true" strokeweight=".06pt" strokecolor="#000000"/>
            <v:line style="position:absolute" from="7280,309" to="8578,309" stroked="true" strokeweight=".06pt" strokecolor="#000000"/>
            <v:line style="position:absolute" from="7280,310" to="8578,310" stroked="true" strokeweight=".06pt" strokecolor="#000000"/>
            <v:line style="position:absolute" from="7280,311" to="8578,311" stroked="true" strokeweight=".06pt" strokecolor="#000000"/>
            <v:line style="position:absolute" from="7280,312" to="8578,312" stroked="true" strokeweight=".06pt" strokecolor="#000000"/>
            <v:line style="position:absolute" from="7280,313" to="8578,313" stroked="true" strokeweight=".06pt" strokecolor="#000000"/>
            <v:line style="position:absolute" from="7280,315" to="8578,315" stroked="true" strokeweight=".06pt" strokecolor="#000000"/>
            <v:line style="position:absolute" from="8578,297" to="8747,297" stroked="true" strokeweight=".06pt" strokecolor="#000000"/>
            <v:line style="position:absolute" from="8578,298" to="8747,298" stroked="true" strokeweight=".06pt" strokecolor="#000000"/>
            <v:line style="position:absolute" from="8578,299" to="8747,299" stroked="true" strokeweight=".06pt" strokecolor="#000000"/>
            <v:line style="position:absolute" from="8578,300" to="8747,300" stroked="true" strokeweight=".06pt" strokecolor="#000000"/>
            <v:line style="position:absolute" from="8578,301" to="8747,301" stroked="true" strokeweight=".06pt" strokecolor="#000000"/>
            <v:line style="position:absolute" from="8578,303" to="8747,303" stroked="true" strokeweight=".06pt" strokecolor="#000000"/>
            <v:line style="position:absolute" from="8578,304" to="8747,304" stroked="true" strokeweight=".06pt" strokecolor="#000000"/>
            <v:line style="position:absolute" from="8578,305" to="8747,305" stroked="true" strokeweight=".06pt" strokecolor="#000000"/>
            <v:line style="position:absolute" from="8578,306" to="8747,306" stroked="true" strokeweight=".06pt" strokecolor="#000000"/>
            <v:line style="position:absolute" from="8578,307" to="8747,307" stroked="true" strokeweight=".06pt" strokecolor="#000000"/>
            <v:line style="position:absolute" from="8578,309" to="8747,309" stroked="true" strokeweight=".06pt" strokecolor="#000000"/>
            <v:line style="position:absolute" from="8578,310" to="8747,310" stroked="true" strokeweight=".06pt" strokecolor="#000000"/>
            <v:line style="position:absolute" from="8578,311" to="8747,311" stroked="true" strokeweight=".06pt" strokecolor="#000000"/>
            <v:line style="position:absolute" from="8578,312" to="8747,312" stroked="true" strokeweight=".06pt" strokecolor="#000000"/>
            <v:line style="position:absolute" from="8578,313" to="8747,313" stroked="true" strokeweight=".06pt" strokecolor="#000000"/>
            <v:line style="position:absolute" from="8578,315" to="8747,315" stroked="true" strokeweight=".06pt" strokecolor="#000000"/>
            <v:line style="position:absolute" from="8747,297" to="10044,297" stroked="true" strokeweight=".06pt" strokecolor="#000000"/>
            <v:line style="position:absolute" from="8747,298" to="10044,298" stroked="true" strokeweight=".06pt" strokecolor="#000000"/>
            <v:line style="position:absolute" from="8747,299" to="10044,299" stroked="true" strokeweight=".06pt" strokecolor="#000000"/>
            <v:line style="position:absolute" from="8747,300" to="10044,300" stroked="true" strokeweight=".06pt" strokecolor="#000000"/>
            <v:line style="position:absolute" from="8747,301" to="10044,301" stroked="true" strokeweight=".06pt" strokecolor="#000000"/>
            <v:line style="position:absolute" from="8747,303" to="10044,303" stroked="true" strokeweight=".06pt" strokecolor="#000000"/>
            <v:line style="position:absolute" from="8747,304" to="10044,304" stroked="true" strokeweight=".06pt" strokecolor="#000000"/>
            <v:line style="position:absolute" from="8747,305" to="10044,305" stroked="true" strokeweight=".06pt" strokecolor="#000000"/>
            <v:line style="position:absolute" from="8747,306" to="10044,306" stroked="true" strokeweight=".06pt" strokecolor="#000000"/>
            <v:line style="position:absolute" from="8747,307" to="10044,307" stroked="true" strokeweight=".06pt" strokecolor="#000000"/>
            <v:line style="position:absolute" from="8747,309" to="10044,309" stroked="true" strokeweight=".06pt" strokecolor="#000000"/>
            <v:line style="position:absolute" from="8747,310" to="10044,310" stroked="true" strokeweight=".06pt" strokecolor="#000000"/>
            <v:line style="position:absolute" from="8747,311" to="10044,311" stroked="true" strokeweight=".06pt" strokecolor="#000000"/>
            <v:line style="position:absolute" from="8747,312" to="10044,312" stroked="true" strokeweight=".06pt" strokecolor="#000000"/>
            <v:line style="position:absolute" from="8747,313" to="10044,313" stroked="true" strokeweight=".06pt" strokecolor="#000000"/>
            <v:line style="position:absolute" from="8747,315" to="10044,315" stroked="true" strokeweight=".06pt" strokecolor="#000000"/>
            <v:line style="position:absolute" from="10044,297" to="11341,297" stroked="true" strokeweight=".06pt" strokecolor="#000000"/>
            <v:line style="position:absolute" from="10044,298" to="11341,298" stroked="true" strokeweight=".06pt" strokecolor="#000000"/>
            <v:line style="position:absolute" from="10044,299" to="11341,299" stroked="true" strokeweight=".06pt" strokecolor="#000000"/>
            <v:line style="position:absolute" from="10044,300" to="11341,300" stroked="true" strokeweight=".06pt" strokecolor="#000000"/>
            <v:line style="position:absolute" from="10044,301" to="11341,301" stroked="true" strokeweight=".06pt" strokecolor="#000000"/>
            <v:line style="position:absolute" from="10044,303" to="11341,303" stroked="true" strokeweight=".06pt" strokecolor="#000000"/>
            <v:line style="position:absolute" from="10044,304" to="11341,304" stroked="true" strokeweight=".06pt" strokecolor="#000000"/>
            <v:line style="position:absolute" from="10044,305" to="11341,305" stroked="true" strokeweight=".06pt" strokecolor="#000000"/>
            <v:line style="position:absolute" from="10044,306" to="11341,306" stroked="true" strokeweight=".06pt" strokecolor="#000000"/>
            <v:line style="position:absolute" from="10044,307" to="11341,307" stroked="true" strokeweight=".06pt" strokecolor="#000000"/>
            <v:line style="position:absolute" from="10044,309" to="11341,309" stroked="true" strokeweight=".06pt" strokecolor="#000000"/>
            <v:line style="position:absolute" from="10044,310" to="11341,310" stroked="true" strokeweight=".06pt" strokecolor="#000000"/>
            <v:line style="position:absolute" from="10044,311" to="11341,311" stroked="true" strokeweight=".06pt" strokecolor="#000000"/>
            <v:line style="position:absolute" from="10044,312" to="11341,312" stroked="true" strokeweight=".06pt" strokecolor="#000000"/>
            <v:line style="position:absolute" from="10044,313" to="11341,313" stroked="true" strokeweight=".06pt" strokecolor="#000000"/>
            <v:line style="position:absolute" from="10044,315" to="11341,315" stroked="true" strokeweight=".06pt" strokecolor="#000000"/>
            <w10:wrap type="none"/>
          </v:group>
        </w:pict>
      </w:r>
      <w:r>
        <w:rPr/>
        <w:t>Royalty and</w:t>
      </w:r>
      <w:r>
        <w:rPr>
          <w:spacing w:val="-13"/>
        </w:rPr>
        <w:t> </w:t>
      </w:r>
      <w:r>
        <w:rPr/>
        <w:t>intellectual</w:t>
      </w:r>
      <w:r>
        <w:rPr>
          <w:spacing w:val="-7"/>
        </w:rPr>
        <w:t> </w:t>
      </w:r>
      <w:r>
        <w:rPr/>
        <w:t>property</w:t>
        <w:tab/>
      </w:r>
      <w:r>
        <w:rPr>
          <w:b/>
        </w:rPr>
        <w:t>262</w:t>
        <w:tab/>
      </w:r>
      <w:r>
        <w:rPr/>
        <w:t>221</w:t>
        <w:tab/>
      </w:r>
      <w:r>
        <w:rPr>
          <w:b/>
        </w:rPr>
        <w:t>262</w:t>
      </w:r>
      <w:r>
        <w:rPr>
          <w:rFonts w:ascii="Times New Roman"/>
        </w:rPr>
        <w:tab/>
      </w:r>
      <w:r>
        <w:rPr/>
        <w:t>194</w:t>
      </w:r>
    </w:p>
    <w:p>
      <w:pPr>
        <w:pStyle w:val="Heading8"/>
        <w:spacing w:line="207" w:lineRule="exact" w:before="159"/>
        <w:ind w:left="1857"/>
      </w:pPr>
      <w:r>
        <w:rPr/>
        <w:drawing>
          <wp:anchor distT="0" distB="0" distL="0" distR="0" allowOverlap="1" layoutInCell="1" locked="0" behindDoc="0" simplePos="0" relativeHeight="3256">
            <wp:simplePos x="0" y="0"/>
            <wp:positionH relativeFrom="page">
              <wp:posOffset>-1587</wp:posOffset>
            </wp:positionH>
            <wp:positionV relativeFrom="paragraph">
              <wp:posOffset>182421</wp:posOffset>
            </wp:positionV>
            <wp:extent cx="136525" cy="155575"/>
            <wp:effectExtent l="0" t="0" r="0" b="0"/>
            <wp:wrapNone/>
            <wp:docPr id="171" name="image13.png" descr=""/>
            <wp:cNvGraphicFramePr>
              <a:graphicFrameLocks noChangeAspect="1"/>
            </wp:cNvGraphicFramePr>
            <a:graphic>
              <a:graphicData uri="http://schemas.openxmlformats.org/drawingml/2006/picture">
                <pic:pic>
                  <pic:nvPicPr>
                    <pic:cNvPr id="172" name="image13.png"/>
                    <pic:cNvPicPr/>
                  </pic:nvPicPr>
                  <pic:blipFill>
                    <a:blip r:embed="rId18" cstate="print"/>
                    <a:stretch>
                      <a:fillRect/>
                    </a:stretch>
                  </pic:blipFill>
                  <pic:spPr>
                    <a:xfrm>
                      <a:off x="0" y="0"/>
                      <a:ext cx="136525" cy="155575"/>
                    </a:xfrm>
                    <a:prstGeom prst="rect">
                      <a:avLst/>
                    </a:prstGeom>
                  </pic:spPr>
                </pic:pic>
              </a:graphicData>
            </a:graphic>
          </wp:anchor>
        </w:drawing>
      </w:r>
      <w:r>
        <w:rPr/>
        <w:drawing>
          <wp:anchor distT="0" distB="0" distL="0" distR="0" allowOverlap="1" layoutInCell="1" locked="0" behindDoc="0" simplePos="0" relativeHeight="3280">
            <wp:simplePos x="0" y="0"/>
            <wp:positionH relativeFrom="page">
              <wp:posOffset>7958429</wp:posOffset>
            </wp:positionH>
            <wp:positionV relativeFrom="paragraph">
              <wp:posOffset>182421</wp:posOffset>
            </wp:positionV>
            <wp:extent cx="135953" cy="155575"/>
            <wp:effectExtent l="0" t="0" r="0" b="0"/>
            <wp:wrapNone/>
            <wp:docPr id="173" name="image15.png" descr=""/>
            <wp:cNvGraphicFramePr>
              <a:graphicFrameLocks noChangeAspect="1"/>
            </wp:cNvGraphicFramePr>
            <a:graphic>
              <a:graphicData uri="http://schemas.openxmlformats.org/drawingml/2006/picture">
                <pic:pic>
                  <pic:nvPicPr>
                    <pic:cNvPr id="174" name="image15.png"/>
                    <pic:cNvPicPr/>
                  </pic:nvPicPr>
                  <pic:blipFill>
                    <a:blip r:embed="rId20" cstate="print"/>
                    <a:stretch>
                      <a:fillRect/>
                    </a:stretch>
                  </pic:blipFill>
                  <pic:spPr>
                    <a:xfrm>
                      <a:off x="0" y="0"/>
                      <a:ext cx="135953" cy="155575"/>
                    </a:xfrm>
                    <a:prstGeom prst="rect">
                      <a:avLst/>
                    </a:prstGeom>
                  </pic:spPr>
                </pic:pic>
              </a:graphicData>
            </a:graphic>
          </wp:anchor>
        </w:drawing>
      </w:r>
      <w:bookmarkStart w:name="7 Consultancy and contracts" w:id="66"/>
      <w:bookmarkEnd w:id="66"/>
      <w:r>
        <w:rPr>
          <w:b w:val="0"/>
        </w:rPr>
      </w:r>
      <w:r>
        <w:rPr/>
        <w:t>Total royalties, trademarks and</w:t>
      </w:r>
    </w:p>
    <w:p>
      <w:pPr>
        <w:tabs>
          <w:tab w:pos="6887" w:val="left" w:leader="none"/>
          <w:tab w:pos="8185" w:val="left" w:leader="none"/>
          <w:tab w:pos="9651" w:val="left" w:leader="none"/>
          <w:tab w:pos="11247" w:val="right" w:leader="none"/>
        </w:tabs>
        <w:spacing w:line="207" w:lineRule="exact" w:before="0"/>
        <w:ind w:left="1857" w:right="0" w:firstLine="0"/>
        <w:jc w:val="left"/>
        <w:rPr>
          <w:sz w:val="18"/>
        </w:rPr>
      </w:pPr>
      <w:r>
        <w:rPr/>
        <w:pict>
          <v:group style="position:absolute;margin-left:290.649994pt;margin-top:10.237339pt;width:276.5pt;height:2.5pt;mso-position-horizontal-relative:page;mso-position-vertical-relative:paragraph;z-index:-1205104" coordorigin="5813,205" coordsize="5530,50">
            <v:line style="position:absolute" from="5814,206" to="5983,206" stroked="true" strokeweight=".06pt" strokecolor="#000000"/>
            <v:line style="position:absolute" from="5814,207" to="5983,207" stroked="true" strokeweight=".06pt" strokecolor="#000000"/>
            <v:line style="position:absolute" from="5814,208" to="5983,208" stroked="true" strokeweight=".06pt" strokecolor="#000000"/>
            <v:line style="position:absolute" from="5814,209" to="5983,209" stroked="true" strokeweight=".06pt" strokecolor="#000000"/>
            <v:line style="position:absolute" from="5814,211" to="5983,211" stroked="true" strokeweight=".06pt" strokecolor="#000000"/>
            <v:line style="position:absolute" from="5814,212" to="5983,212" stroked="true" strokeweight=".06pt" strokecolor="#000000"/>
            <v:line style="position:absolute" from="5814,213" to="5983,213" stroked="true" strokeweight=".06pt" strokecolor="#000000"/>
            <v:line style="position:absolute" from="5814,214" to="5983,214" stroked="true" strokeweight=".06pt" strokecolor="#000000"/>
            <v:line style="position:absolute" from="5814,215" to="5983,215" stroked="true" strokeweight=".06pt" strokecolor="#000000"/>
            <v:line style="position:absolute" from="5814,217" to="5983,217" stroked="true" strokeweight=".06pt" strokecolor="#000000"/>
            <v:line style="position:absolute" from="5814,218" to="5983,218" stroked="true" strokeweight=".06pt" strokecolor="#000000"/>
            <v:line style="position:absolute" from="5814,219" to="5983,219" stroked="true" strokeweight=".06pt" strokecolor="#000000"/>
            <v:line style="position:absolute" from="5814,220" to="5983,220" stroked="true" strokeweight=".06pt" strokecolor="#000000"/>
            <v:line style="position:absolute" from="5814,239" to="5983,239" stroked="true" strokeweight=".06pt" strokecolor="#000000"/>
            <v:line style="position:absolute" from="5814,241" to="5983,241" stroked="true" strokeweight=".06pt" strokecolor="#000000"/>
            <v:line style="position:absolute" from="5814,242" to="5983,242" stroked="true" strokeweight=".06pt" strokecolor="#000000"/>
            <v:line style="position:absolute" from="5814,243" to="5983,243" stroked="true" strokeweight=".06pt" strokecolor="#000000"/>
            <v:line style="position:absolute" from="5814,244" to="5983,244" stroked="true" strokeweight=".06pt" strokecolor="#000000"/>
            <v:line style="position:absolute" from="5814,245" to="5983,245" stroked="true" strokeweight=".06pt" strokecolor="#000000"/>
            <v:line style="position:absolute" from="5814,247" to="5983,247" stroked="true" strokeweight=".06pt" strokecolor="#000000"/>
            <v:line style="position:absolute" from="5814,248" to="5983,248" stroked="true" strokeweight=".06pt" strokecolor="#000000"/>
            <v:line style="position:absolute" from="5814,249" to="5983,249" stroked="true" strokeweight=".06pt" strokecolor="#000000"/>
            <v:line style="position:absolute" from="5814,250" to="5983,250" stroked="true" strokeweight=".06pt" strokecolor="#000000"/>
            <v:line style="position:absolute" from="5814,251" to="5983,251" stroked="true" strokeweight=".06pt" strokecolor="#000000"/>
            <v:line style="position:absolute" from="5814,253" to="5983,253" stroked="true" strokeweight=".06pt" strokecolor="#000000"/>
            <v:line style="position:absolute" from="5814,254" to="5983,254" stroked="true" strokeweight=".06pt" strokecolor="#000000"/>
            <v:line style="position:absolute" from="5983,206" to="7280,206" stroked="true" strokeweight=".06pt" strokecolor="#000000"/>
            <v:line style="position:absolute" from="5983,207" to="7280,207" stroked="true" strokeweight=".06pt" strokecolor="#000000"/>
            <v:line style="position:absolute" from="5983,208" to="7280,208" stroked="true" strokeweight=".06pt" strokecolor="#000000"/>
            <v:line style="position:absolute" from="5983,209" to="7280,209" stroked="true" strokeweight=".06pt" strokecolor="#000000"/>
            <v:line style="position:absolute" from="5983,211" to="7280,211" stroked="true" strokeweight=".06pt" strokecolor="#000000"/>
            <v:line style="position:absolute" from="5983,212" to="7280,212" stroked="true" strokeweight=".06pt" strokecolor="#000000"/>
            <v:line style="position:absolute" from="5983,213" to="7280,213" stroked="true" strokeweight=".06pt" strokecolor="#000000"/>
            <v:line style="position:absolute" from="5983,214" to="7280,214" stroked="true" strokeweight=".06pt" strokecolor="#000000"/>
            <v:line style="position:absolute" from="5983,215" to="7280,215" stroked="true" strokeweight=".06pt" strokecolor="#000000"/>
            <v:line style="position:absolute" from="5983,217" to="7280,217" stroked="true" strokeweight=".06pt" strokecolor="#000000"/>
            <v:line style="position:absolute" from="5983,218" to="7280,218" stroked="true" strokeweight=".06pt" strokecolor="#000000"/>
            <v:line style="position:absolute" from="5983,219" to="7280,219" stroked="true" strokeweight=".06pt" strokecolor="#000000"/>
            <v:line style="position:absolute" from="5983,220" to="7280,220" stroked="true" strokeweight=".06pt" strokecolor="#000000"/>
            <v:line style="position:absolute" from="5983,239" to="7280,239" stroked="true" strokeweight=".06pt" strokecolor="#000000"/>
            <v:line style="position:absolute" from="5983,241" to="7280,241" stroked="true" strokeweight=".06pt" strokecolor="#000000"/>
            <v:line style="position:absolute" from="5983,242" to="7280,242" stroked="true" strokeweight=".06pt" strokecolor="#000000"/>
            <v:line style="position:absolute" from="5983,243" to="7280,243" stroked="true" strokeweight=".06pt" strokecolor="#000000"/>
            <v:line style="position:absolute" from="5983,244" to="7280,244" stroked="true" strokeweight=".06pt" strokecolor="#000000"/>
            <v:line style="position:absolute" from="5983,245" to="7280,245" stroked="true" strokeweight=".06pt" strokecolor="#000000"/>
            <v:line style="position:absolute" from="5983,247" to="7280,247" stroked="true" strokeweight=".06pt" strokecolor="#000000"/>
            <v:line style="position:absolute" from="5983,248" to="7280,248" stroked="true" strokeweight=".06pt" strokecolor="#000000"/>
            <v:line style="position:absolute" from="5983,249" to="7280,249" stroked="true" strokeweight=".06pt" strokecolor="#000000"/>
            <v:line style="position:absolute" from="5983,250" to="7280,250" stroked="true" strokeweight=".06pt" strokecolor="#000000"/>
            <v:line style="position:absolute" from="5983,251" to="7280,251" stroked="true" strokeweight=".06pt" strokecolor="#000000"/>
            <v:line style="position:absolute" from="5983,253" to="7280,253" stroked="true" strokeweight=".06pt" strokecolor="#000000"/>
            <v:line style="position:absolute" from="5983,254" to="7280,254" stroked="true" strokeweight=".06pt" strokecolor="#000000"/>
            <v:line style="position:absolute" from="7280,206" to="8578,206" stroked="true" strokeweight=".06pt" strokecolor="#000000"/>
            <v:line style="position:absolute" from="7280,207" to="8578,207" stroked="true" strokeweight=".06pt" strokecolor="#000000"/>
            <v:line style="position:absolute" from="7280,208" to="8578,208" stroked="true" strokeweight=".06pt" strokecolor="#000000"/>
            <v:line style="position:absolute" from="7280,209" to="8578,209" stroked="true" strokeweight=".06pt" strokecolor="#000000"/>
            <v:line style="position:absolute" from="7280,211" to="8578,211" stroked="true" strokeweight=".06pt" strokecolor="#000000"/>
            <v:line style="position:absolute" from="7280,212" to="8578,212" stroked="true" strokeweight=".06pt" strokecolor="#000000"/>
            <v:line style="position:absolute" from="7280,213" to="8578,213" stroked="true" strokeweight=".06pt" strokecolor="#000000"/>
            <v:line style="position:absolute" from="7280,214" to="8578,214" stroked="true" strokeweight=".06pt" strokecolor="#000000"/>
            <v:line style="position:absolute" from="7280,215" to="8578,215" stroked="true" strokeweight=".06pt" strokecolor="#000000"/>
            <v:line style="position:absolute" from="7280,217" to="8578,217" stroked="true" strokeweight=".06pt" strokecolor="#000000"/>
            <v:line style="position:absolute" from="7280,218" to="8578,218" stroked="true" strokeweight=".06pt" strokecolor="#000000"/>
            <v:line style="position:absolute" from="7280,219" to="8578,219" stroked="true" strokeweight=".06pt" strokecolor="#000000"/>
            <v:line style="position:absolute" from="7280,220" to="8578,220" stroked="true" strokeweight=".06pt" strokecolor="#000000"/>
            <v:line style="position:absolute" from="7280,239" to="8578,239" stroked="true" strokeweight=".06pt" strokecolor="#000000"/>
            <v:line style="position:absolute" from="7280,241" to="8578,241" stroked="true" strokeweight=".06pt" strokecolor="#000000"/>
            <v:line style="position:absolute" from="7280,242" to="8578,242" stroked="true" strokeweight=".06pt" strokecolor="#000000"/>
            <v:line style="position:absolute" from="7280,243" to="8578,243" stroked="true" strokeweight=".06pt" strokecolor="#000000"/>
            <v:line style="position:absolute" from="7280,244" to="8578,244" stroked="true" strokeweight=".06pt" strokecolor="#000000"/>
            <v:line style="position:absolute" from="7280,245" to="8578,245" stroked="true" strokeweight=".06pt" strokecolor="#000000"/>
            <v:line style="position:absolute" from="7280,247" to="8578,247" stroked="true" strokeweight=".06pt" strokecolor="#000000"/>
            <v:line style="position:absolute" from="7280,248" to="8578,248" stroked="true" strokeweight=".06pt" strokecolor="#000000"/>
            <v:line style="position:absolute" from="7280,249" to="8578,249" stroked="true" strokeweight=".06pt" strokecolor="#000000"/>
            <v:line style="position:absolute" from="7280,250" to="8578,250" stroked="true" strokeweight=".06pt" strokecolor="#000000"/>
            <v:line style="position:absolute" from="7280,251" to="8578,251" stroked="true" strokeweight=".06pt" strokecolor="#000000"/>
            <v:line style="position:absolute" from="7280,253" to="8578,253" stroked="true" strokeweight=".06pt" strokecolor="#000000"/>
            <v:line style="position:absolute" from="7280,254" to="8578,254" stroked="true" strokeweight=".06pt" strokecolor="#000000"/>
            <v:line style="position:absolute" from="8578,206" to="8747,206" stroked="true" strokeweight=".06pt" strokecolor="#000000"/>
            <v:line style="position:absolute" from="8578,207" to="8747,207" stroked="true" strokeweight=".06pt" strokecolor="#000000"/>
            <v:line style="position:absolute" from="8578,208" to="8747,208" stroked="true" strokeweight=".06pt" strokecolor="#000000"/>
            <v:line style="position:absolute" from="8578,209" to="8747,209" stroked="true" strokeweight=".06pt" strokecolor="#000000"/>
            <v:line style="position:absolute" from="8578,211" to="8747,211" stroked="true" strokeweight=".06pt" strokecolor="#000000"/>
            <v:line style="position:absolute" from="8578,212" to="8747,212" stroked="true" strokeweight=".06pt" strokecolor="#000000"/>
            <v:line style="position:absolute" from="8578,213" to="8747,213" stroked="true" strokeweight=".06pt" strokecolor="#000000"/>
            <v:line style="position:absolute" from="8578,214" to="8747,214" stroked="true" strokeweight=".06pt" strokecolor="#000000"/>
            <v:line style="position:absolute" from="8578,215" to="8747,215" stroked="true" strokeweight=".06pt" strokecolor="#000000"/>
            <v:line style="position:absolute" from="8578,217" to="8747,217" stroked="true" strokeweight=".06pt" strokecolor="#000000"/>
            <v:line style="position:absolute" from="8578,218" to="8747,218" stroked="true" strokeweight=".06pt" strokecolor="#000000"/>
            <v:line style="position:absolute" from="8578,219" to="8747,219" stroked="true" strokeweight=".06pt" strokecolor="#000000"/>
            <v:line style="position:absolute" from="8578,220" to="8747,220" stroked="true" strokeweight=".06pt" strokecolor="#000000"/>
            <v:line style="position:absolute" from="8578,239" to="8747,239" stroked="true" strokeweight=".06pt" strokecolor="#000000"/>
            <v:line style="position:absolute" from="8578,241" to="8747,241" stroked="true" strokeweight=".06pt" strokecolor="#000000"/>
            <v:line style="position:absolute" from="8578,242" to="8747,242" stroked="true" strokeweight=".06pt" strokecolor="#000000"/>
            <v:line style="position:absolute" from="8578,243" to="8747,243" stroked="true" strokeweight=".06pt" strokecolor="#000000"/>
            <v:line style="position:absolute" from="8578,244" to="8747,244" stroked="true" strokeweight=".06pt" strokecolor="#000000"/>
            <v:line style="position:absolute" from="8578,245" to="8747,245" stroked="true" strokeweight=".06pt" strokecolor="#000000"/>
            <v:line style="position:absolute" from="8578,247" to="8747,247" stroked="true" strokeweight=".06pt" strokecolor="#000000"/>
            <v:line style="position:absolute" from="8578,248" to="8747,248" stroked="true" strokeweight=".06pt" strokecolor="#000000"/>
            <v:line style="position:absolute" from="8578,249" to="8747,249" stroked="true" strokeweight=".06pt" strokecolor="#000000"/>
            <v:line style="position:absolute" from="8578,250" to="8747,250" stroked="true" strokeweight=".06pt" strokecolor="#000000"/>
            <v:line style="position:absolute" from="8578,251" to="8747,251" stroked="true" strokeweight=".06pt" strokecolor="#000000"/>
            <v:line style="position:absolute" from="8578,253" to="8747,253" stroked="true" strokeweight=".06pt" strokecolor="#000000"/>
            <v:line style="position:absolute" from="8578,254" to="8747,254" stroked="true" strokeweight=".06pt" strokecolor="#000000"/>
            <v:line style="position:absolute" from="8747,206" to="10044,206" stroked="true" strokeweight=".06pt" strokecolor="#000000"/>
            <v:line style="position:absolute" from="8747,207" to="10044,207" stroked="true" strokeweight=".06pt" strokecolor="#000000"/>
            <v:line style="position:absolute" from="8747,208" to="10044,208" stroked="true" strokeweight=".06pt" strokecolor="#000000"/>
            <v:line style="position:absolute" from="8747,209" to="10044,209" stroked="true" strokeweight=".06pt" strokecolor="#000000"/>
            <v:line style="position:absolute" from="8747,211" to="10044,211" stroked="true" strokeweight=".06pt" strokecolor="#000000"/>
            <v:line style="position:absolute" from="8747,212" to="10044,212" stroked="true" strokeweight=".06pt" strokecolor="#000000"/>
            <v:line style="position:absolute" from="8747,213" to="10044,213" stroked="true" strokeweight=".06pt" strokecolor="#000000"/>
            <v:line style="position:absolute" from="8747,214" to="10044,214" stroked="true" strokeweight=".06pt" strokecolor="#000000"/>
            <v:line style="position:absolute" from="8747,215" to="10044,215" stroked="true" strokeweight=".06pt" strokecolor="#000000"/>
            <v:line style="position:absolute" from="8747,217" to="10044,217" stroked="true" strokeweight=".06pt" strokecolor="#000000"/>
            <v:line style="position:absolute" from="8747,218" to="10044,218" stroked="true" strokeweight=".06pt" strokecolor="#000000"/>
            <v:line style="position:absolute" from="8747,219" to="10044,219" stroked="true" strokeweight=".06pt" strokecolor="#000000"/>
            <v:line style="position:absolute" from="8747,220" to="10044,220" stroked="true" strokeweight=".06pt" strokecolor="#000000"/>
            <v:line style="position:absolute" from="8747,239" to="10044,239" stroked="true" strokeweight=".06pt" strokecolor="#000000"/>
            <v:line style="position:absolute" from="8747,241" to="10044,241" stroked="true" strokeweight=".06pt" strokecolor="#000000"/>
            <v:line style="position:absolute" from="8747,242" to="10044,242" stroked="true" strokeweight=".06pt" strokecolor="#000000"/>
            <v:line style="position:absolute" from="8747,243" to="10044,243" stroked="true" strokeweight=".06pt" strokecolor="#000000"/>
            <v:line style="position:absolute" from="8747,244" to="10044,244" stroked="true" strokeweight=".06pt" strokecolor="#000000"/>
            <v:line style="position:absolute" from="8747,245" to="10044,245" stroked="true" strokeweight=".06pt" strokecolor="#000000"/>
            <v:line style="position:absolute" from="8747,247" to="10044,247" stroked="true" strokeweight=".06pt" strokecolor="#000000"/>
            <v:line style="position:absolute" from="8747,248" to="10044,248" stroked="true" strokeweight=".06pt" strokecolor="#000000"/>
            <v:line style="position:absolute" from="8747,249" to="10044,249" stroked="true" strokeweight=".06pt" strokecolor="#000000"/>
            <v:line style="position:absolute" from="8747,250" to="10044,250" stroked="true" strokeweight=".06pt" strokecolor="#000000"/>
            <v:line style="position:absolute" from="8747,251" to="10044,251" stroked="true" strokeweight=".06pt" strokecolor="#000000"/>
            <v:line style="position:absolute" from="8747,253" to="10044,253" stroked="true" strokeweight=".06pt" strokecolor="#000000"/>
            <v:line style="position:absolute" from="8747,254" to="10044,254" stroked="true" strokeweight=".06pt" strokecolor="#000000"/>
            <v:line style="position:absolute" from="10044,206" to="11341,206" stroked="true" strokeweight=".06pt" strokecolor="#000000"/>
            <v:line style="position:absolute" from="10044,207" to="11341,207" stroked="true" strokeweight=".06pt" strokecolor="#000000"/>
            <v:line style="position:absolute" from="10044,208" to="11341,208" stroked="true" strokeweight=".06pt" strokecolor="#000000"/>
            <v:line style="position:absolute" from="10044,209" to="11341,209" stroked="true" strokeweight=".06pt" strokecolor="#000000"/>
            <v:line style="position:absolute" from="10044,211" to="11341,211" stroked="true" strokeweight=".06pt" strokecolor="#000000"/>
            <v:line style="position:absolute" from="10044,212" to="11341,212" stroked="true" strokeweight=".06pt" strokecolor="#000000"/>
            <v:line style="position:absolute" from="10044,213" to="11341,213" stroked="true" strokeweight=".06pt" strokecolor="#000000"/>
            <v:line style="position:absolute" from="10044,214" to="11341,214" stroked="true" strokeweight=".06pt" strokecolor="#000000"/>
            <v:line style="position:absolute" from="10044,215" to="11341,215" stroked="true" strokeweight=".06pt" strokecolor="#000000"/>
            <v:line style="position:absolute" from="10044,217" to="11341,217" stroked="true" strokeweight=".06pt" strokecolor="#000000"/>
            <v:line style="position:absolute" from="10044,218" to="11341,218" stroked="true" strokeweight=".06pt" strokecolor="#000000"/>
            <v:line style="position:absolute" from="10044,219" to="11341,219" stroked="true" strokeweight=".06pt" strokecolor="#000000"/>
            <v:line style="position:absolute" from="10044,220" to="11341,220" stroked="true" strokeweight=".06pt" strokecolor="#000000"/>
            <v:line style="position:absolute" from="10044,239" to="11341,239" stroked="true" strokeweight=".06pt" strokecolor="#000000"/>
            <v:line style="position:absolute" from="10044,241" to="11341,241" stroked="true" strokeweight=".06pt" strokecolor="#000000"/>
            <v:line style="position:absolute" from="10044,242" to="11341,242" stroked="true" strokeweight=".06pt" strokecolor="#000000"/>
            <v:line style="position:absolute" from="10044,243" to="11341,243" stroked="true" strokeweight=".06pt" strokecolor="#000000"/>
            <v:line style="position:absolute" from="10044,244" to="11341,244" stroked="true" strokeweight=".06pt" strokecolor="#000000"/>
            <v:line style="position:absolute" from="10044,245" to="11341,245" stroked="true" strokeweight=".06pt" strokecolor="#000000"/>
            <v:line style="position:absolute" from="10044,247" to="11341,247" stroked="true" strokeweight=".06pt" strokecolor="#000000"/>
            <v:line style="position:absolute" from="10044,248" to="11341,248" stroked="true" strokeweight=".06pt" strokecolor="#000000"/>
            <v:line style="position:absolute" from="10044,249" to="11341,249" stroked="true" strokeweight=".06pt" strokecolor="#000000"/>
            <v:line style="position:absolute" from="10044,250" to="11341,250" stroked="true" strokeweight=".06pt" strokecolor="#000000"/>
            <v:line style="position:absolute" from="10044,251" to="11341,251" stroked="true" strokeweight=".06pt" strokecolor="#000000"/>
            <v:line style="position:absolute" from="10044,253" to="11341,253" stroked="true" strokeweight=".06pt" strokecolor="#000000"/>
            <v:line style="position:absolute" from="10044,254" to="11341,254" stroked="true" strokeweight=".06pt" strokecolor="#000000"/>
            <w10:wrap type="none"/>
          </v:group>
        </w:pict>
      </w:r>
      <w:r>
        <w:rPr>
          <w:b/>
          <w:sz w:val="18"/>
        </w:rPr>
        <w:t>licences</w:t>
        <w:tab/>
        <w:t>262</w:t>
        <w:tab/>
      </w:r>
      <w:r>
        <w:rPr>
          <w:sz w:val="18"/>
        </w:rPr>
        <w:t>221</w:t>
        <w:tab/>
      </w:r>
      <w:r>
        <w:rPr>
          <w:b/>
          <w:sz w:val="18"/>
        </w:rPr>
        <w:t>262</w:t>
      </w:r>
      <w:r>
        <w:rPr>
          <w:rFonts w:ascii="Times New Roman"/>
          <w:sz w:val="18"/>
        </w:rPr>
        <w:tab/>
      </w:r>
      <w:r>
        <w:rPr>
          <w:sz w:val="18"/>
        </w:rPr>
        <w:t>194</w:t>
      </w:r>
    </w:p>
    <w:p>
      <w:pPr>
        <w:pStyle w:val="ListParagraph"/>
        <w:numPr>
          <w:ilvl w:val="0"/>
          <w:numId w:val="18"/>
        </w:numPr>
        <w:tabs>
          <w:tab w:pos="1826" w:val="left" w:leader="none"/>
        </w:tabs>
        <w:spacing w:line="240" w:lineRule="auto" w:before="336" w:after="0"/>
        <w:ind w:left="1825" w:right="0" w:hanging="396"/>
        <w:jc w:val="left"/>
        <w:rPr>
          <w:b/>
          <w:sz w:val="18"/>
        </w:rPr>
      </w:pPr>
      <w:r>
        <w:rPr>
          <w:b/>
          <w:sz w:val="18"/>
        </w:rPr>
        <w:t>Consultancy and</w:t>
      </w:r>
      <w:r>
        <w:rPr>
          <w:b/>
          <w:spacing w:val="-23"/>
          <w:sz w:val="18"/>
        </w:rPr>
        <w:t> </w:t>
      </w:r>
      <w:r>
        <w:rPr>
          <w:b/>
          <w:sz w:val="18"/>
        </w:rPr>
        <w:t>contracts</w:t>
      </w:r>
    </w:p>
    <w:p>
      <w:pPr>
        <w:tabs>
          <w:tab w:pos="9703" w:val="left" w:leader="none"/>
        </w:tabs>
        <w:spacing w:before="33" w:after="36"/>
        <w:ind w:left="6662" w:right="0" w:firstLine="0"/>
        <w:jc w:val="left"/>
        <w:rPr>
          <w:b/>
          <w:sz w:val="18"/>
        </w:rPr>
      </w:pPr>
      <w:r>
        <w:rPr>
          <w:b/>
          <w:sz w:val="18"/>
        </w:rPr>
        <w:t>Consolidated</w:t>
        <w:tab/>
        <w:t>Parent</w:t>
      </w:r>
    </w:p>
    <w:tbl>
      <w:tblPr>
        <w:tblW w:w="0" w:type="auto"/>
        <w:jc w:val="left"/>
        <w:tblInd w:w="183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981"/>
        <w:gridCol w:w="1640"/>
        <w:gridCol w:w="1388"/>
        <w:gridCol w:w="1375"/>
        <w:gridCol w:w="1123"/>
      </w:tblGrid>
      <w:tr>
        <w:trPr>
          <w:trHeight w:val="819" w:hRule="exact"/>
        </w:trPr>
        <w:tc>
          <w:tcPr>
            <w:tcW w:w="3981" w:type="dxa"/>
          </w:tcPr>
          <w:p>
            <w:pPr>
              <w:pStyle w:val="TableParagraph"/>
              <w:spacing w:before="574"/>
              <w:ind w:left="35"/>
              <w:jc w:val="left"/>
              <w:rPr>
                <w:sz w:val="18"/>
              </w:rPr>
            </w:pPr>
            <w:r>
              <w:rPr>
                <w:sz w:val="18"/>
              </w:rPr>
              <w:t>Consultancy</w:t>
            </w:r>
          </w:p>
        </w:tc>
        <w:tc>
          <w:tcPr>
            <w:tcW w:w="1640" w:type="dxa"/>
          </w:tcPr>
          <w:p>
            <w:pPr>
              <w:pStyle w:val="TableParagraph"/>
              <w:spacing w:before="30"/>
              <w:ind w:left="598" w:right="559"/>
              <w:jc w:val="center"/>
              <w:rPr>
                <w:b/>
                <w:sz w:val="18"/>
              </w:rPr>
            </w:pPr>
            <w:r>
              <w:rPr>
                <w:b/>
                <w:sz w:val="18"/>
              </w:rPr>
              <w:t>2016</w:t>
            </w:r>
          </w:p>
          <w:p>
            <w:pPr>
              <w:pStyle w:val="TableParagraph"/>
              <w:spacing w:before="66"/>
              <w:ind w:left="598" w:right="559"/>
              <w:jc w:val="center"/>
              <w:rPr>
                <w:b/>
                <w:sz w:val="18"/>
              </w:rPr>
            </w:pPr>
            <w:r>
              <w:rPr>
                <w:b/>
                <w:sz w:val="18"/>
              </w:rPr>
              <w:t>$'000</w:t>
            </w:r>
          </w:p>
          <w:p>
            <w:pPr>
              <w:pStyle w:val="TableParagraph"/>
              <w:spacing w:before="62"/>
              <w:ind w:left="930"/>
              <w:jc w:val="left"/>
              <w:rPr>
                <w:b/>
                <w:sz w:val="18"/>
              </w:rPr>
            </w:pPr>
            <w:r>
              <w:rPr>
                <w:b/>
                <w:sz w:val="18"/>
              </w:rPr>
              <w:t>4,230</w:t>
            </w:r>
          </w:p>
        </w:tc>
        <w:tc>
          <w:tcPr>
            <w:tcW w:w="1388" w:type="dxa"/>
          </w:tcPr>
          <w:p>
            <w:pPr>
              <w:pStyle w:val="TableParagraph"/>
              <w:spacing w:before="30"/>
              <w:ind w:left="283"/>
              <w:jc w:val="left"/>
              <w:rPr>
                <w:b/>
                <w:sz w:val="18"/>
              </w:rPr>
            </w:pPr>
            <w:r>
              <w:rPr>
                <w:b/>
                <w:sz w:val="18"/>
              </w:rPr>
              <w:t>2015</w:t>
            </w:r>
          </w:p>
          <w:p>
            <w:pPr>
              <w:pStyle w:val="TableParagraph"/>
              <w:spacing w:before="66"/>
              <w:ind w:left="261"/>
              <w:jc w:val="left"/>
              <w:rPr>
                <w:b/>
                <w:sz w:val="18"/>
              </w:rPr>
            </w:pPr>
            <w:r>
              <w:rPr>
                <w:b/>
                <w:sz w:val="18"/>
              </w:rPr>
              <w:t>$'000</w:t>
            </w:r>
          </w:p>
          <w:p>
            <w:pPr>
              <w:pStyle w:val="TableParagraph"/>
              <w:spacing w:before="62"/>
              <w:ind w:left="585"/>
              <w:jc w:val="left"/>
              <w:rPr>
                <w:sz w:val="18"/>
              </w:rPr>
            </w:pPr>
            <w:r>
              <w:rPr>
                <w:sz w:val="18"/>
              </w:rPr>
              <w:t>3,476</w:t>
            </w:r>
          </w:p>
        </w:tc>
        <w:tc>
          <w:tcPr>
            <w:tcW w:w="1375" w:type="dxa"/>
          </w:tcPr>
          <w:p>
            <w:pPr>
              <w:pStyle w:val="TableParagraph"/>
              <w:spacing w:before="30"/>
              <w:ind w:left="375"/>
              <w:jc w:val="left"/>
              <w:rPr>
                <w:b/>
                <w:sz w:val="18"/>
              </w:rPr>
            </w:pPr>
            <w:r>
              <w:rPr>
                <w:b/>
                <w:sz w:val="18"/>
              </w:rPr>
              <w:t>2016</w:t>
            </w:r>
          </w:p>
          <w:p>
            <w:pPr>
              <w:pStyle w:val="TableParagraph"/>
              <w:spacing w:before="66"/>
              <w:ind w:left="353"/>
              <w:jc w:val="left"/>
              <w:rPr>
                <w:b/>
                <w:sz w:val="18"/>
              </w:rPr>
            </w:pPr>
            <w:r>
              <w:rPr>
                <w:b/>
                <w:sz w:val="18"/>
              </w:rPr>
              <w:t>$'000</w:t>
            </w:r>
          </w:p>
          <w:p>
            <w:pPr>
              <w:pStyle w:val="TableParagraph"/>
              <w:spacing w:before="62"/>
              <w:ind w:left="664"/>
              <w:jc w:val="left"/>
              <w:rPr>
                <w:b/>
                <w:sz w:val="18"/>
              </w:rPr>
            </w:pPr>
            <w:r>
              <w:rPr>
                <w:b/>
                <w:sz w:val="18"/>
              </w:rPr>
              <w:t>4,226</w:t>
            </w:r>
          </w:p>
        </w:tc>
        <w:tc>
          <w:tcPr>
            <w:tcW w:w="1123" w:type="dxa"/>
          </w:tcPr>
          <w:p>
            <w:pPr>
              <w:pStyle w:val="TableParagraph"/>
              <w:spacing w:before="30"/>
              <w:ind w:left="283"/>
              <w:jc w:val="left"/>
              <w:rPr>
                <w:b/>
                <w:sz w:val="18"/>
              </w:rPr>
            </w:pPr>
            <w:r>
              <w:rPr>
                <w:b/>
                <w:sz w:val="18"/>
              </w:rPr>
              <w:t>2015</w:t>
            </w:r>
          </w:p>
          <w:p>
            <w:pPr>
              <w:pStyle w:val="TableParagraph"/>
              <w:spacing w:before="66"/>
              <w:ind w:left="261"/>
              <w:jc w:val="left"/>
              <w:rPr>
                <w:b/>
                <w:sz w:val="18"/>
              </w:rPr>
            </w:pPr>
            <w:r>
              <w:rPr>
                <w:b/>
                <w:sz w:val="18"/>
              </w:rPr>
              <w:t>$'000</w:t>
            </w:r>
          </w:p>
          <w:p>
            <w:pPr>
              <w:pStyle w:val="TableParagraph"/>
              <w:spacing w:before="62"/>
              <w:ind w:left="585"/>
              <w:jc w:val="left"/>
              <w:rPr>
                <w:sz w:val="18"/>
              </w:rPr>
            </w:pPr>
            <w:r>
              <w:rPr>
                <w:sz w:val="18"/>
              </w:rPr>
              <w:t>3,474</w:t>
            </w:r>
          </w:p>
        </w:tc>
      </w:tr>
      <w:tr>
        <w:trPr>
          <w:trHeight w:val="262" w:hRule="exact"/>
        </w:trPr>
        <w:tc>
          <w:tcPr>
            <w:tcW w:w="3981" w:type="dxa"/>
          </w:tcPr>
          <w:p>
            <w:pPr>
              <w:pStyle w:val="TableParagraph"/>
              <w:spacing w:before="19"/>
              <w:ind w:left="35"/>
              <w:jc w:val="left"/>
              <w:rPr>
                <w:sz w:val="18"/>
              </w:rPr>
            </w:pPr>
            <w:r>
              <w:rPr>
                <w:sz w:val="18"/>
              </w:rPr>
              <w:t>Contract research</w:t>
            </w:r>
          </w:p>
        </w:tc>
        <w:tc>
          <w:tcPr>
            <w:tcW w:w="1640" w:type="dxa"/>
            <w:tcBorders>
              <w:bottom w:val="single" w:sz="0" w:space="0" w:color="000000"/>
            </w:tcBorders>
          </w:tcPr>
          <w:p>
            <w:pPr>
              <w:pStyle w:val="TableParagraph"/>
              <w:spacing w:before="18"/>
              <w:ind w:right="259"/>
              <w:rPr>
                <w:b/>
                <w:sz w:val="18"/>
              </w:rPr>
            </w:pPr>
            <w:r>
              <w:rPr>
                <w:b/>
                <w:w w:val="95"/>
                <w:sz w:val="18"/>
              </w:rPr>
              <w:t>13,697</w:t>
            </w:r>
          </w:p>
        </w:tc>
        <w:tc>
          <w:tcPr>
            <w:tcW w:w="1388" w:type="dxa"/>
            <w:tcBorders>
              <w:bottom w:val="single" w:sz="0" w:space="0" w:color="000000"/>
            </w:tcBorders>
          </w:tcPr>
          <w:p>
            <w:pPr>
              <w:pStyle w:val="TableParagraph"/>
              <w:spacing w:before="18"/>
              <w:ind w:right="351"/>
              <w:rPr>
                <w:sz w:val="18"/>
              </w:rPr>
            </w:pPr>
            <w:r>
              <w:rPr>
                <w:w w:val="95"/>
                <w:sz w:val="18"/>
              </w:rPr>
              <w:t>10,680</w:t>
            </w:r>
          </w:p>
        </w:tc>
        <w:tc>
          <w:tcPr>
            <w:tcW w:w="1375" w:type="dxa"/>
            <w:tcBorders>
              <w:bottom w:val="single" w:sz="0" w:space="0" w:color="000000"/>
            </w:tcBorders>
          </w:tcPr>
          <w:p>
            <w:pPr>
              <w:pStyle w:val="TableParagraph"/>
              <w:spacing w:before="18"/>
              <w:ind w:right="259"/>
              <w:rPr>
                <w:b/>
                <w:sz w:val="18"/>
              </w:rPr>
            </w:pPr>
            <w:r>
              <w:rPr>
                <w:b/>
                <w:w w:val="95"/>
                <w:sz w:val="18"/>
              </w:rPr>
              <w:t>13,697</w:t>
            </w:r>
          </w:p>
        </w:tc>
        <w:tc>
          <w:tcPr>
            <w:tcW w:w="1123" w:type="dxa"/>
            <w:tcBorders>
              <w:bottom w:val="single" w:sz="0" w:space="0" w:color="000000"/>
            </w:tcBorders>
          </w:tcPr>
          <w:p>
            <w:pPr>
              <w:pStyle w:val="TableParagraph"/>
              <w:spacing w:before="18"/>
              <w:ind w:right="86"/>
              <w:rPr>
                <w:sz w:val="18"/>
              </w:rPr>
            </w:pPr>
            <w:r>
              <w:rPr>
                <w:w w:val="95"/>
                <w:sz w:val="18"/>
              </w:rPr>
              <w:t>10,697</w:t>
            </w:r>
          </w:p>
        </w:tc>
      </w:tr>
      <w:tr>
        <w:trPr>
          <w:trHeight w:val="353" w:hRule="exact"/>
        </w:trPr>
        <w:tc>
          <w:tcPr>
            <w:tcW w:w="3981" w:type="dxa"/>
          </w:tcPr>
          <w:p>
            <w:pPr>
              <w:pStyle w:val="TableParagraph"/>
              <w:spacing w:before="123"/>
              <w:ind w:left="35"/>
              <w:jc w:val="left"/>
              <w:rPr>
                <w:b/>
                <w:sz w:val="18"/>
              </w:rPr>
            </w:pPr>
            <w:r>
              <w:rPr>
                <w:b/>
                <w:sz w:val="18"/>
              </w:rPr>
              <w:t>Total consultancy and contracts</w:t>
            </w:r>
          </w:p>
        </w:tc>
        <w:tc>
          <w:tcPr>
            <w:tcW w:w="1640" w:type="dxa"/>
            <w:tcBorders>
              <w:top w:val="single" w:sz="0" w:space="0" w:color="000000"/>
              <w:bottom w:val="single" w:sz="0" w:space="0" w:color="000000"/>
            </w:tcBorders>
          </w:tcPr>
          <w:p>
            <w:pPr>
              <w:pStyle w:val="TableParagraph"/>
              <w:spacing w:before="94"/>
              <w:ind w:right="259"/>
              <w:rPr>
                <w:b/>
                <w:sz w:val="18"/>
              </w:rPr>
            </w:pPr>
            <w:r>
              <w:rPr>
                <w:b/>
                <w:w w:val="95"/>
                <w:sz w:val="18"/>
              </w:rPr>
              <w:t>17,927</w:t>
            </w:r>
          </w:p>
        </w:tc>
        <w:tc>
          <w:tcPr>
            <w:tcW w:w="1388" w:type="dxa"/>
            <w:tcBorders>
              <w:top w:val="single" w:sz="0" w:space="0" w:color="000000"/>
              <w:bottom w:val="single" w:sz="0" w:space="0" w:color="000000"/>
            </w:tcBorders>
          </w:tcPr>
          <w:p>
            <w:pPr>
              <w:pStyle w:val="TableParagraph"/>
              <w:spacing w:before="94"/>
              <w:ind w:right="351"/>
              <w:rPr>
                <w:sz w:val="18"/>
              </w:rPr>
            </w:pPr>
            <w:r>
              <w:rPr>
                <w:w w:val="95"/>
                <w:sz w:val="18"/>
              </w:rPr>
              <w:t>14,156</w:t>
            </w:r>
          </w:p>
        </w:tc>
        <w:tc>
          <w:tcPr>
            <w:tcW w:w="1375" w:type="dxa"/>
            <w:tcBorders>
              <w:top w:val="single" w:sz="0" w:space="0" w:color="000000"/>
              <w:bottom w:val="single" w:sz="0" w:space="0" w:color="000000"/>
            </w:tcBorders>
          </w:tcPr>
          <w:p>
            <w:pPr>
              <w:pStyle w:val="TableParagraph"/>
              <w:spacing w:before="94"/>
              <w:ind w:right="259"/>
              <w:rPr>
                <w:b/>
                <w:sz w:val="18"/>
              </w:rPr>
            </w:pPr>
            <w:r>
              <w:rPr>
                <w:b/>
                <w:w w:val="95"/>
                <w:sz w:val="18"/>
              </w:rPr>
              <w:t>17,923</w:t>
            </w:r>
          </w:p>
        </w:tc>
        <w:tc>
          <w:tcPr>
            <w:tcW w:w="1123" w:type="dxa"/>
            <w:tcBorders>
              <w:top w:val="single" w:sz="0" w:space="0" w:color="000000"/>
              <w:bottom w:val="single" w:sz="0" w:space="0" w:color="000000"/>
            </w:tcBorders>
          </w:tcPr>
          <w:p>
            <w:pPr>
              <w:pStyle w:val="TableParagraph"/>
              <w:spacing w:before="94"/>
              <w:ind w:right="86"/>
              <w:rPr>
                <w:sz w:val="18"/>
              </w:rPr>
            </w:pPr>
            <w:r>
              <w:rPr>
                <w:w w:val="95"/>
                <w:sz w:val="18"/>
              </w:rPr>
              <w:t>14,171</w:t>
            </w:r>
          </w:p>
        </w:tc>
      </w:tr>
    </w:tbl>
    <w:p>
      <w:pPr>
        <w:spacing w:after="0"/>
        <w:rPr>
          <w:sz w:val="18"/>
        </w:rPr>
        <w:sectPr>
          <w:type w:val="continuous"/>
          <w:pgSz w:w="12750" w:h="17680"/>
          <w:pgMar w:top="1660" w:bottom="0" w:left="0" w:right="0"/>
        </w:sectPr>
      </w:pPr>
    </w:p>
    <w:p>
      <w:pPr>
        <w:pStyle w:val="BodyText"/>
        <w:rPr>
          <w:b/>
          <w:sz w:val="20"/>
        </w:rPr>
      </w:pPr>
    </w:p>
    <w:p>
      <w:pPr>
        <w:pStyle w:val="BodyText"/>
        <w:rPr>
          <w:b/>
          <w:sz w:val="20"/>
        </w:rPr>
      </w:pPr>
    </w:p>
    <w:p>
      <w:pPr>
        <w:pStyle w:val="BodyText"/>
        <w:spacing w:before="4"/>
        <w:rPr>
          <w:b/>
        </w:rPr>
      </w:pPr>
    </w:p>
    <w:p>
      <w:pPr>
        <w:pStyle w:val="ListParagraph"/>
        <w:numPr>
          <w:ilvl w:val="0"/>
          <w:numId w:val="18"/>
        </w:numPr>
        <w:tabs>
          <w:tab w:pos="1826" w:val="left" w:leader="none"/>
        </w:tabs>
        <w:spacing w:line="240" w:lineRule="auto" w:before="0" w:after="0"/>
        <w:ind w:left="1825" w:right="0" w:hanging="396"/>
        <w:jc w:val="left"/>
        <w:rPr>
          <w:b/>
          <w:sz w:val="18"/>
        </w:rPr>
      </w:pPr>
      <w:bookmarkStart w:name="8 Investments accounted for using the eq" w:id="67"/>
      <w:bookmarkEnd w:id="67"/>
      <w:r>
        <w:rPr/>
      </w:r>
      <w:bookmarkStart w:name="(a) Restrictions" w:id="68"/>
      <w:bookmarkEnd w:id="68"/>
      <w:r>
        <w:rPr/>
      </w:r>
      <w:bookmarkStart w:name="(a) Restrictions" w:id="69"/>
      <w:bookmarkEnd w:id="69"/>
      <w:r>
        <w:rPr>
          <w:b/>
          <w:sz w:val="18"/>
        </w:rPr>
        <w:t>In</w:t>
      </w:r>
      <w:r>
        <w:rPr>
          <w:b/>
          <w:sz w:val="18"/>
        </w:rPr>
        <w:t>vestments accounted for using the equity</w:t>
      </w:r>
      <w:r>
        <w:rPr>
          <w:b/>
          <w:spacing w:val="-5"/>
          <w:sz w:val="18"/>
        </w:rPr>
        <w:t> </w:t>
      </w:r>
      <w:r>
        <w:rPr>
          <w:b/>
          <w:sz w:val="18"/>
        </w:rPr>
        <w:t>method</w:t>
      </w:r>
    </w:p>
    <w:p>
      <w:pPr>
        <w:pStyle w:val="BodyText"/>
        <w:spacing w:before="7"/>
        <w:rPr>
          <w:b/>
          <w:sz w:val="26"/>
        </w:rPr>
      </w:pPr>
    </w:p>
    <w:p>
      <w:pPr>
        <w:pStyle w:val="ListParagraph"/>
        <w:numPr>
          <w:ilvl w:val="1"/>
          <w:numId w:val="18"/>
        </w:numPr>
        <w:tabs>
          <w:tab w:pos="2392" w:val="left" w:leader="none"/>
        </w:tabs>
        <w:spacing w:line="240" w:lineRule="auto" w:before="0" w:after="0"/>
        <w:ind w:left="2391" w:right="0" w:hanging="566"/>
        <w:jc w:val="left"/>
        <w:rPr>
          <w:sz w:val="18"/>
        </w:rPr>
      </w:pPr>
      <w:bookmarkStart w:name="(b) Individually immaterial joint ventur" w:id="70"/>
      <w:bookmarkEnd w:id="70"/>
      <w:r>
        <w:rPr/>
      </w:r>
      <w:bookmarkStart w:name="(b) Individually immaterial joint ventur" w:id="71"/>
      <w:bookmarkEnd w:id="71"/>
      <w:r>
        <w:rPr>
          <w:sz w:val="18"/>
        </w:rPr>
        <w:t>Restrictions</w:t>
      </w:r>
    </w:p>
    <w:p>
      <w:pPr>
        <w:pStyle w:val="BodyText"/>
        <w:spacing w:before="4"/>
        <w:rPr>
          <w:sz w:val="25"/>
        </w:rPr>
      </w:pPr>
    </w:p>
    <w:p>
      <w:pPr>
        <w:pStyle w:val="BodyText"/>
        <w:ind w:left="2390"/>
      </w:pPr>
      <w:r>
        <w:rPr/>
        <w:t>The Group has nil restrictions from the joint venture with Navitas Ltd.</w:t>
      </w:r>
    </w:p>
    <w:p>
      <w:pPr>
        <w:pStyle w:val="BodyText"/>
        <w:spacing w:before="7"/>
        <w:rPr>
          <w:sz w:val="26"/>
        </w:rPr>
      </w:pPr>
    </w:p>
    <w:p>
      <w:pPr>
        <w:pStyle w:val="ListParagraph"/>
        <w:numPr>
          <w:ilvl w:val="1"/>
          <w:numId w:val="18"/>
        </w:numPr>
        <w:tabs>
          <w:tab w:pos="2392" w:val="left" w:leader="none"/>
        </w:tabs>
        <w:spacing w:line="240" w:lineRule="auto" w:before="0" w:after="0"/>
        <w:ind w:left="2391" w:right="0" w:hanging="566"/>
        <w:jc w:val="left"/>
        <w:rPr>
          <w:sz w:val="18"/>
        </w:rPr>
      </w:pPr>
      <w:r>
        <w:rPr>
          <w:sz w:val="18"/>
        </w:rPr>
        <w:t>Individually</w:t>
      </w:r>
      <w:r>
        <w:rPr>
          <w:spacing w:val="-10"/>
          <w:sz w:val="18"/>
        </w:rPr>
        <w:t> </w:t>
      </w:r>
      <w:r>
        <w:rPr>
          <w:sz w:val="18"/>
        </w:rPr>
        <w:t>immaterial</w:t>
      </w:r>
      <w:r>
        <w:rPr>
          <w:spacing w:val="-10"/>
          <w:sz w:val="18"/>
        </w:rPr>
        <w:t> </w:t>
      </w:r>
      <w:r>
        <w:rPr>
          <w:sz w:val="18"/>
        </w:rPr>
        <w:t>joint</w:t>
      </w:r>
      <w:r>
        <w:rPr>
          <w:spacing w:val="-10"/>
          <w:sz w:val="18"/>
        </w:rPr>
        <w:t> </w:t>
      </w:r>
      <w:r>
        <w:rPr>
          <w:sz w:val="18"/>
        </w:rPr>
        <w:t>venture</w:t>
      </w:r>
      <w:r>
        <w:rPr>
          <w:spacing w:val="-10"/>
          <w:sz w:val="18"/>
        </w:rPr>
        <w:t> </w:t>
      </w:r>
      <w:r>
        <w:rPr>
          <w:sz w:val="18"/>
        </w:rPr>
        <w:t>or</w:t>
      </w:r>
      <w:r>
        <w:rPr>
          <w:spacing w:val="-10"/>
          <w:sz w:val="18"/>
        </w:rPr>
        <w:t> </w:t>
      </w:r>
      <w:r>
        <w:rPr>
          <w:sz w:val="18"/>
        </w:rPr>
        <w:t>associate</w:t>
      </w:r>
    </w:p>
    <w:p>
      <w:pPr>
        <w:pStyle w:val="BodyText"/>
        <w:spacing w:before="4"/>
        <w:rPr>
          <w:sz w:val="25"/>
        </w:rPr>
      </w:pPr>
    </w:p>
    <w:p>
      <w:pPr>
        <w:pStyle w:val="BodyText"/>
        <w:ind w:left="2390" w:right="1375"/>
      </w:pPr>
      <w:r>
        <w:rPr/>
        <w:t>Aggregate carrying amount of interests in joint ventures and associates accounted for using the equity method that are not individually material in the consolidated financial statements:</w:t>
      </w:r>
    </w:p>
    <w:p>
      <w:pPr>
        <w:pStyle w:val="Heading8"/>
        <w:spacing w:line="316" w:lineRule="auto" w:before="33"/>
        <w:ind w:left="9446" w:right="2033" w:firstLine="55"/>
      </w:pPr>
      <w:r>
        <w:rPr/>
        <w:pict>
          <v:shape style="position:absolute;margin-left:120.110001pt;margin-top:27.47909pt;width:447.2pt;height:84.95pt;mso-position-horizontal-relative:page;mso-position-vertical-relative:paragraph;z-index:3352"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349"/>
                    <w:gridCol w:w="1508"/>
                    <w:gridCol w:w="1086"/>
                  </w:tblGrid>
                  <w:tr>
                    <w:trPr>
                      <w:trHeight w:val="819" w:hRule="exact"/>
                    </w:trPr>
                    <w:tc>
                      <w:tcPr>
                        <w:tcW w:w="6349" w:type="dxa"/>
                      </w:tcPr>
                      <w:p>
                        <w:pPr>
                          <w:pStyle w:val="TableParagraph"/>
                          <w:jc w:val="left"/>
                          <w:rPr>
                            <w:sz w:val="18"/>
                          </w:rPr>
                        </w:pPr>
                      </w:p>
                      <w:p>
                        <w:pPr>
                          <w:pStyle w:val="TableParagraph"/>
                          <w:jc w:val="left"/>
                          <w:rPr>
                            <w:sz w:val="18"/>
                          </w:rPr>
                        </w:pPr>
                      </w:p>
                      <w:p>
                        <w:pPr>
                          <w:pStyle w:val="TableParagraph"/>
                          <w:spacing w:before="160"/>
                          <w:ind w:left="35"/>
                          <w:jc w:val="left"/>
                          <w:rPr>
                            <w:sz w:val="18"/>
                          </w:rPr>
                        </w:pPr>
                        <w:r>
                          <w:rPr>
                            <w:sz w:val="18"/>
                          </w:rPr>
                          <w:t>Profit/(loss) from continuing operations</w:t>
                        </w:r>
                      </w:p>
                    </w:tc>
                    <w:tc>
                      <w:tcPr>
                        <w:tcW w:w="1508" w:type="dxa"/>
                      </w:tcPr>
                      <w:p>
                        <w:pPr>
                          <w:pStyle w:val="TableParagraph"/>
                          <w:spacing w:before="30"/>
                          <w:ind w:left="471"/>
                          <w:jc w:val="left"/>
                          <w:rPr>
                            <w:b/>
                            <w:sz w:val="18"/>
                          </w:rPr>
                        </w:pPr>
                        <w:r>
                          <w:rPr>
                            <w:b/>
                            <w:sz w:val="18"/>
                          </w:rPr>
                          <w:t>2016</w:t>
                        </w:r>
                      </w:p>
                      <w:p>
                        <w:pPr>
                          <w:pStyle w:val="TableParagraph"/>
                          <w:spacing w:before="66"/>
                          <w:ind w:left="450"/>
                          <w:jc w:val="left"/>
                          <w:rPr>
                            <w:b/>
                            <w:sz w:val="18"/>
                          </w:rPr>
                        </w:pPr>
                        <w:r>
                          <w:rPr>
                            <w:b/>
                            <w:sz w:val="18"/>
                          </w:rPr>
                          <w:t>$'000</w:t>
                        </w:r>
                      </w:p>
                      <w:p>
                        <w:pPr>
                          <w:pStyle w:val="TableParagraph"/>
                          <w:spacing w:before="62"/>
                          <w:ind w:left="700"/>
                          <w:jc w:val="left"/>
                          <w:rPr>
                            <w:b/>
                            <w:sz w:val="18"/>
                          </w:rPr>
                        </w:pPr>
                        <w:r>
                          <w:rPr>
                            <w:b/>
                            <w:sz w:val="18"/>
                          </w:rPr>
                          <w:t>(1,052)</w:t>
                        </w:r>
                      </w:p>
                    </w:tc>
                    <w:tc>
                      <w:tcPr>
                        <w:tcW w:w="1086" w:type="dxa"/>
                      </w:tcPr>
                      <w:p>
                        <w:pPr>
                          <w:pStyle w:val="TableParagraph"/>
                          <w:spacing w:before="30"/>
                          <w:ind w:left="260"/>
                          <w:jc w:val="left"/>
                          <w:rPr>
                            <w:b/>
                            <w:sz w:val="18"/>
                          </w:rPr>
                        </w:pPr>
                        <w:r>
                          <w:rPr>
                            <w:b/>
                            <w:sz w:val="18"/>
                          </w:rPr>
                          <w:t>2015</w:t>
                        </w:r>
                      </w:p>
                      <w:p>
                        <w:pPr>
                          <w:pStyle w:val="TableParagraph"/>
                          <w:spacing w:before="66"/>
                          <w:ind w:left="238"/>
                          <w:jc w:val="left"/>
                          <w:rPr>
                            <w:b/>
                            <w:sz w:val="18"/>
                          </w:rPr>
                        </w:pPr>
                        <w:r>
                          <w:rPr>
                            <w:b/>
                            <w:sz w:val="18"/>
                          </w:rPr>
                          <w:t>$'000</w:t>
                        </w:r>
                      </w:p>
                      <w:p>
                        <w:pPr>
                          <w:pStyle w:val="TableParagraph"/>
                          <w:spacing w:before="62"/>
                          <w:ind w:left="639"/>
                          <w:jc w:val="left"/>
                          <w:rPr>
                            <w:sz w:val="18"/>
                          </w:rPr>
                        </w:pPr>
                        <w:r>
                          <w:rPr>
                            <w:sz w:val="18"/>
                          </w:rPr>
                          <w:t>(119)</w:t>
                        </w:r>
                      </w:p>
                    </w:tc>
                  </w:tr>
                  <w:tr>
                    <w:trPr>
                      <w:trHeight w:val="264" w:hRule="exact"/>
                    </w:trPr>
                    <w:tc>
                      <w:tcPr>
                        <w:tcW w:w="6349" w:type="dxa"/>
                      </w:tcPr>
                      <w:p>
                        <w:pPr>
                          <w:pStyle w:val="TableParagraph"/>
                          <w:spacing w:before="19"/>
                          <w:ind w:left="35"/>
                          <w:jc w:val="left"/>
                          <w:rPr>
                            <w:sz w:val="18"/>
                          </w:rPr>
                        </w:pPr>
                        <w:r>
                          <w:rPr>
                            <w:sz w:val="18"/>
                          </w:rPr>
                          <w:t>Profit/(loss) from continuing operations after income tax</w:t>
                        </w:r>
                      </w:p>
                    </w:tc>
                    <w:tc>
                      <w:tcPr>
                        <w:tcW w:w="1508" w:type="dxa"/>
                      </w:tcPr>
                      <w:p>
                        <w:pPr>
                          <w:pStyle w:val="TableParagraph"/>
                          <w:spacing w:before="18"/>
                          <w:ind w:right="238"/>
                          <w:rPr>
                            <w:b/>
                            <w:sz w:val="18"/>
                          </w:rPr>
                        </w:pPr>
                        <w:r>
                          <w:rPr>
                            <w:b/>
                            <w:w w:val="95"/>
                            <w:sz w:val="18"/>
                          </w:rPr>
                          <w:t>(1,052)</w:t>
                        </w:r>
                      </w:p>
                    </w:tc>
                    <w:tc>
                      <w:tcPr>
                        <w:tcW w:w="1086" w:type="dxa"/>
                      </w:tcPr>
                      <w:p>
                        <w:pPr>
                          <w:pStyle w:val="TableParagraph"/>
                          <w:spacing w:before="18"/>
                          <w:ind w:right="26"/>
                          <w:rPr>
                            <w:sz w:val="18"/>
                          </w:rPr>
                        </w:pPr>
                        <w:r>
                          <w:rPr>
                            <w:sz w:val="18"/>
                          </w:rPr>
                          <w:t>(119)</w:t>
                        </w:r>
                      </w:p>
                    </w:tc>
                  </w:tr>
                  <w:tr>
                    <w:trPr>
                      <w:trHeight w:val="262" w:hRule="exact"/>
                    </w:trPr>
                    <w:tc>
                      <w:tcPr>
                        <w:tcW w:w="6349" w:type="dxa"/>
                      </w:tcPr>
                      <w:p>
                        <w:pPr>
                          <w:pStyle w:val="TableParagraph"/>
                          <w:spacing w:before="19"/>
                          <w:ind w:left="35"/>
                          <w:jc w:val="left"/>
                          <w:rPr>
                            <w:sz w:val="18"/>
                          </w:rPr>
                        </w:pPr>
                        <w:r>
                          <w:rPr>
                            <w:sz w:val="18"/>
                          </w:rPr>
                          <w:t>Other comprehensive income</w:t>
                        </w:r>
                      </w:p>
                    </w:tc>
                    <w:tc>
                      <w:tcPr>
                        <w:tcW w:w="1508" w:type="dxa"/>
                        <w:tcBorders>
                          <w:bottom w:val="single" w:sz="0" w:space="0" w:color="000000"/>
                        </w:tcBorders>
                      </w:tcPr>
                      <w:p>
                        <w:pPr>
                          <w:pStyle w:val="TableParagraph"/>
                          <w:spacing w:before="18"/>
                          <w:ind w:right="296"/>
                          <w:rPr>
                            <w:b/>
                            <w:sz w:val="18"/>
                          </w:rPr>
                        </w:pPr>
                        <w:r>
                          <w:rPr>
                            <w:b/>
                            <w:w w:val="99"/>
                            <w:sz w:val="18"/>
                          </w:rPr>
                          <w:t>-</w:t>
                        </w:r>
                      </w:p>
                    </w:tc>
                    <w:tc>
                      <w:tcPr>
                        <w:tcW w:w="1086" w:type="dxa"/>
                        <w:tcBorders>
                          <w:bottom w:val="single" w:sz="0" w:space="0" w:color="000000"/>
                        </w:tcBorders>
                      </w:tcPr>
                      <w:p>
                        <w:pPr>
                          <w:pStyle w:val="TableParagraph"/>
                          <w:spacing w:before="18"/>
                          <w:ind w:right="85"/>
                          <w:rPr>
                            <w:sz w:val="18"/>
                          </w:rPr>
                        </w:pPr>
                        <w:r>
                          <w:rPr>
                            <w:w w:val="99"/>
                            <w:sz w:val="18"/>
                          </w:rPr>
                          <w:t>-</w:t>
                        </w:r>
                      </w:p>
                    </w:tc>
                  </w:tr>
                  <w:tr>
                    <w:trPr>
                      <w:trHeight w:val="353" w:hRule="exact"/>
                    </w:trPr>
                    <w:tc>
                      <w:tcPr>
                        <w:tcW w:w="6349" w:type="dxa"/>
                      </w:tcPr>
                      <w:p>
                        <w:pPr>
                          <w:pStyle w:val="TableParagraph"/>
                          <w:spacing w:before="123"/>
                          <w:ind w:left="35"/>
                          <w:jc w:val="left"/>
                          <w:rPr>
                            <w:b/>
                            <w:sz w:val="18"/>
                          </w:rPr>
                        </w:pPr>
                        <w:r>
                          <w:rPr>
                            <w:b/>
                            <w:sz w:val="18"/>
                          </w:rPr>
                          <w:t>Total comprehensive income</w:t>
                        </w:r>
                      </w:p>
                    </w:tc>
                    <w:tc>
                      <w:tcPr>
                        <w:tcW w:w="1508" w:type="dxa"/>
                        <w:tcBorders>
                          <w:top w:val="single" w:sz="0" w:space="0" w:color="000000"/>
                          <w:bottom w:val="single" w:sz="0" w:space="0" w:color="000000"/>
                        </w:tcBorders>
                      </w:tcPr>
                      <w:p>
                        <w:pPr>
                          <w:pStyle w:val="TableParagraph"/>
                          <w:spacing w:before="122"/>
                          <w:ind w:right="238"/>
                          <w:rPr>
                            <w:b/>
                            <w:sz w:val="18"/>
                          </w:rPr>
                        </w:pPr>
                        <w:r>
                          <w:rPr>
                            <w:b/>
                            <w:w w:val="95"/>
                            <w:sz w:val="18"/>
                          </w:rPr>
                          <w:t>(1,052)</w:t>
                        </w:r>
                      </w:p>
                    </w:tc>
                    <w:tc>
                      <w:tcPr>
                        <w:tcW w:w="1086" w:type="dxa"/>
                        <w:tcBorders>
                          <w:top w:val="single" w:sz="0" w:space="0" w:color="000000"/>
                          <w:bottom w:val="single" w:sz="0" w:space="0" w:color="000000"/>
                        </w:tcBorders>
                      </w:tcPr>
                      <w:p>
                        <w:pPr>
                          <w:pStyle w:val="TableParagraph"/>
                          <w:spacing w:before="122"/>
                          <w:ind w:right="26"/>
                          <w:rPr>
                            <w:sz w:val="18"/>
                          </w:rPr>
                        </w:pPr>
                        <w:r>
                          <w:rPr>
                            <w:sz w:val="18"/>
                          </w:rPr>
                          <w:t>(119)</w:t>
                        </w:r>
                      </w:p>
                    </w:tc>
                  </w:tr>
                </w:tbl>
                <w:p>
                  <w:pPr>
                    <w:pStyle w:val="BodyText"/>
                  </w:pPr>
                </w:p>
              </w:txbxContent>
            </v:textbox>
            <w10:wrap type="none"/>
          </v:shape>
        </w:pict>
      </w:r>
      <w:r>
        <w:rPr/>
        <w:t>Consolidated Joint Ventures</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9"/>
        <w:rPr>
          <w:b/>
          <w:sz w:val="25"/>
        </w:rPr>
      </w:pPr>
    </w:p>
    <w:p>
      <w:pPr>
        <w:pStyle w:val="BodyText"/>
        <w:spacing w:before="77"/>
        <w:ind w:left="2390" w:right="1375"/>
      </w:pPr>
      <w:r>
        <w:rPr/>
        <w:drawing>
          <wp:anchor distT="0" distB="0" distL="0" distR="0" allowOverlap="1" layoutInCell="1" locked="0" behindDoc="0" simplePos="0" relativeHeight="3304">
            <wp:simplePos x="0" y="0"/>
            <wp:positionH relativeFrom="page">
              <wp:posOffset>-1587</wp:posOffset>
            </wp:positionH>
            <wp:positionV relativeFrom="paragraph">
              <wp:posOffset>300277</wp:posOffset>
            </wp:positionV>
            <wp:extent cx="135159" cy="154019"/>
            <wp:effectExtent l="0" t="0" r="0" b="0"/>
            <wp:wrapNone/>
            <wp:docPr id="175" name="image13.png" descr=""/>
            <wp:cNvGraphicFramePr>
              <a:graphicFrameLocks noChangeAspect="1"/>
            </wp:cNvGraphicFramePr>
            <a:graphic>
              <a:graphicData uri="http://schemas.openxmlformats.org/drawingml/2006/picture">
                <pic:pic>
                  <pic:nvPicPr>
                    <pic:cNvPr id="176" name="image13.png"/>
                    <pic:cNvPicPr/>
                  </pic:nvPicPr>
                  <pic:blipFill>
                    <a:blip r:embed="rId18" cstate="print"/>
                    <a:stretch>
                      <a:fillRect/>
                    </a:stretch>
                  </pic:blipFill>
                  <pic:spPr>
                    <a:xfrm>
                      <a:off x="0" y="0"/>
                      <a:ext cx="135159" cy="154019"/>
                    </a:xfrm>
                    <a:prstGeom prst="rect">
                      <a:avLst/>
                    </a:prstGeom>
                  </pic:spPr>
                </pic:pic>
              </a:graphicData>
            </a:graphic>
          </wp:anchor>
        </w:drawing>
      </w:r>
      <w:r>
        <w:rPr/>
        <w:drawing>
          <wp:anchor distT="0" distB="0" distL="0" distR="0" allowOverlap="1" layoutInCell="1" locked="0" behindDoc="0" simplePos="0" relativeHeight="3328">
            <wp:simplePos x="0" y="0"/>
            <wp:positionH relativeFrom="page">
              <wp:posOffset>7958429</wp:posOffset>
            </wp:positionH>
            <wp:positionV relativeFrom="paragraph">
              <wp:posOffset>300277</wp:posOffset>
            </wp:positionV>
            <wp:extent cx="135953" cy="155575"/>
            <wp:effectExtent l="0" t="0" r="0" b="0"/>
            <wp:wrapNone/>
            <wp:docPr id="177" name="image15.png" descr=""/>
            <wp:cNvGraphicFramePr>
              <a:graphicFrameLocks noChangeAspect="1"/>
            </wp:cNvGraphicFramePr>
            <a:graphic>
              <a:graphicData uri="http://schemas.openxmlformats.org/drawingml/2006/picture">
                <pic:pic>
                  <pic:nvPicPr>
                    <pic:cNvPr id="178" name="image15.png"/>
                    <pic:cNvPicPr/>
                  </pic:nvPicPr>
                  <pic:blipFill>
                    <a:blip r:embed="rId20" cstate="print"/>
                    <a:stretch>
                      <a:fillRect/>
                    </a:stretch>
                  </pic:blipFill>
                  <pic:spPr>
                    <a:xfrm>
                      <a:off x="0" y="0"/>
                      <a:ext cx="135953" cy="155575"/>
                    </a:xfrm>
                    <a:prstGeom prst="rect">
                      <a:avLst/>
                    </a:prstGeom>
                  </pic:spPr>
                </pic:pic>
              </a:graphicData>
            </a:graphic>
          </wp:anchor>
        </w:drawing>
      </w:r>
      <w:r>
        <w:rPr/>
        <w:t>Capital commitments arising from the Group's interests in joint arrangements and contingent liabilities arising </w:t>
      </w:r>
      <w:bookmarkStart w:name="9 Other revenue and income " w:id="72"/>
      <w:bookmarkEnd w:id="72"/>
      <w:r>
        <w:rPr/>
      </w:r>
      <w:r>
        <w:rPr/>
        <w:t>from the Group's interests in associates and joint arrangements are disclosed in notes 33 and 32 respectively.</w:t>
      </w:r>
    </w:p>
    <w:p>
      <w:pPr>
        <w:pStyle w:val="BodyText"/>
        <w:rPr>
          <w:sz w:val="20"/>
        </w:rPr>
      </w:pPr>
    </w:p>
    <w:p>
      <w:pPr>
        <w:pStyle w:val="BodyText"/>
        <w:rPr>
          <w:sz w:val="20"/>
        </w:rPr>
      </w:pPr>
    </w:p>
    <w:p>
      <w:pPr>
        <w:pStyle w:val="BodyText"/>
        <w:spacing w:before="3"/>
        <w:rPr>
          <w:sz w:val="21"/>
        </w:rPr>
      </w:pPr>
    </w:p>
    <w:tbl>
      <w:tblPr>
        <w:tblW w:w="0" w:type="auto"/>
        <w:jc w:val="left"/>
        <w:tblInd w:w="139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83"/>
        <w:gridCol w:w="4137"/>
        <w:gridCol w:w="1629"/>
        <w:gridCol w:w="1389"/>
        <w:gridCol w:w="1517"/>
        <w:gridCol w:w="993"/>
      </w:tblGrid>
      <w:tr>
        <w:trPr>
          <w:trHeight w:val="567" w:hRule="exact"/>
        </w:trPr>
        <w:tc>
          <w:tcPr>
            <w:tcW w:w="283" w:type="dxa"/>
          </w:tcPr>
          <w:p>
            <w:pPr>
              <w:pStyle w:val="TableParagraph"/>
              <w:spacing w:before="77"/>
              <w:ind w:left="35"/>
              <w:jc w:val="left"/>
              <w:rPr>
                <w:b/>
                <w:sz w:val="18"/>
              </w:rPr>
            </w:pPr>
            <w:r>
              <w:rPr>
                <w:b/>
                <w:w w:val="99"/>
                <w:sz w:val="18"/>
              </w:rPr>
              <w:t>9</w:t>
            </w:r>
          </w:p>
        </w:tc>
        <w:tc>
          <w:tcPr>
            <w:tcW w:w="4137" w:type="dxa"/>
          </w:tcPr>
          <w:p>
            <w:pPr>
              <w:pStyle w:val="TableParagraph"/>
              <w:spacing w:before="77"/>
              <w:ind w:left="147" w:right="560"/>
              <w:jc w:val="left"/>
              <w:rPr>
                <w:b/>
                <w:sz w:val="18"/>
              </w:rPr>
            </w:pPr>
            <w:r>
              <w:rPr>
                <w:b/>
                <w:sz w:val="18"/>
              </w:rPr>
              <w:t>Other revenue and income</w:t>
            </w:r>
          </w:p>
        </w:tc>
        <w:tc>
          <w:tcPr>
            <w:tcW w:w="3018" w:type="dxa"/>
            <w:gridSpan w:val="2"/>
          </w:tcPr>
          <w:p>
            <w:pPr>
              <w:pStyle w:val="TableParagraph"/>
              <w:jc w:val="left"/>
              <w:rPr>
                <w:sz w:val="18"/>
              </w:rPr>
            </w:pPr>
          </w:p>
          <w:p>
            <w:pPr>
              <w:pStyle w:val="TableParagraph"/>
              <w:spacing w:before="110"/>
              <w:ind w:left="826"/>
              <w:jc w:val="left"/>
              <w:rPr>
                <w:b/>
                <w:sz w:val="18"/>
              </w:rPr>
            </w:pPr>
            <w:r>
              <w:rPr>
                <w:b/>
                <w:sz w:val="18"/>
              </w:rPr>
              <w:t>Consolidated</w:t>
            </w:r>
          </w:p>
        </w:tc>
        <w:tc>
          <w:tcPr>
            <w:tcW w:w="1517" w:type="dxa"/>
          </w:tcPr>
          <w:p>
            <w:pPr>
              <w:pStyle w:val="TableParagraph"/>
              <w:jc w:val="left"/>
              <w:rPr>
                <w:sz w:val="18"/>
              </w:rPr>
            </w:pPr>
          </w:p>
          <w:p>
            <w:pPr>
              <w:pStyle w:val="TableParagraph"/>
              <w:spacing w:before="110"/>
              <w:ind w:left="848"/>
              <w:jc w:val="left"/>
              <w:rPr>
                <w:b/>
                <w:sz w:val="18"/>
              </w:rPr>
            </w:pPr>
            <w:r>
              <w:rPr>
                <w:b/>
                <w:sz w:val="18"/>
              </w:rPr>
              <w:t>Parent</w:t>
            </w:r>
          </w:p>
        </w:tc>
        <w:tc>
          <w:tcPr>
            <w:tcW w:w="993" w:type="dxa"/>
          </w:tcPr>
          <w:p>
            <w:pPr/>
          </w:p>
        </w:tc>
      </w:tr>
      <w:tr>
        <w:trPr>
          <w:trHeight w:val="274" w:hRule="exact"/>
        </w:trPr>
        <w:tc>
          <w:tcPr>
            <w:tcW w:w="283" w:type="dxa"/>
          </w:tcPr>
          <w:p>
            <w:pPr/>
          </w:p>
        </w:tc>
        <w:tc>
          <w:tcPr>
            <w:tcW w:w="4137" w:type="dxa"/>
          </w:tcPr>
          <w:p>
            <w:pPr/>
          </w:p>
        </w:tc>
        <w:tc>
          <w:tcPr>
            <w:tcW w:w="1629" w:type="dxa"/>
          </w:tcPr>
          <w:p>
            <w:pPr>
              <w:pStyle w:val="TableParagraph"/>
              <w:spacing w:before="24"/>
              <w:ind w:left="618"/>
              <w:jc w:val="left"/>
              <w:rPr>
                <w:b/>
                <w:sz w:val="18"/>
              </w:rPr>
            </w:pPr>
            <w:r>
              <w:rPr>
                <w:b/>
                <w:sz w:val="18"/>
              </w:rPr>
              <w:t>2016</w:t>
            </w:r>
          </w:p>
        </w:tc>
        <w:tc>
          <w:tcPr>
            <w:tcW w:w="1389" w:type="dxa"/>
          </w:tcPr>
          <w:p>
            <w:pPr>
              <w:pStyle w:val="TableParagraph"/>
              <w:spacing w:before="24"/>
              <w:ind w:left="272"/>
              <w:jc w:val="left"/>
              <w:rPr>
                <w:b/>
                <w:sz w:val="18"/>
              </w:rPr>
            </w:pPr>
            <w:r>
              <w:rPr>
                <w:b/>
                <w:sz w:val="18"/>
              </w:rPr>
              <w:t>2015</w:t>
            </w:r>
          </w:p>
        </w:tc>
        <w:tc>
          <w:tcPr>
            <w:tcW w:w="1517" w:type="dxa"/>
          </w:tcPr>
          <w:p>
            <w:pPr>
              <w:pStyle w:val="TableParagraph"/>
              <w:spacing w:before="24"/>
              <w:ind w:left="363"/>
              <w:jc w:val="left"/>
              <w:rPr>
                <w:b/>
                <w:sz w:val="18"/>
              </w:rPr>
            </w:pPr>
            <w:r>
              <w:rPr>
                <w:b/>
                <w:sz w:val="18"/>
              </w:rPr>
              <w:t>2016</w:t>
            </w:r>
          </w:p>
        </w:tc>
        <w:tc>
          <w:tcPr>
            <w:tcW w:w="993" w:type="dxa"/>
          </w:tcPr>
          <w:p>
            <w:pPr>
              <w:pStyle w:val="TableParagraph"/>
              <w:spacing w:before="24"/>
              <w:ind w:left="130"/>
              <w:jc w:val="left"/>
              <w:rPr>
                <w:b/>
                <w:sz w:val="18"/>
              </w:rPr>
            </w:pPr>
            <w:r>
              <w:rPr>
                <w:b/>
                <w:sz w:val="18"/>
              </w:rPr>
              <w:t>2015</w:t>
            </w:r>
          </w:p>
        </w:tc>
      </w:tr>
      <w:tr>
        <w:trPr>
          <w:trHeight w:val="286" w:hRule="exact"/>
        </w:trPr>
        <w:tc>
          <w:tcPr>
            <w:tcW w:w="283" w:type="dxa"/>
          </w:tcPr>
          <w:p>
            <w:pPr/>
          </w:p>
        </w:tc>
        <w:tc>
          <w:tcPr>
            <w:tcW w:w="4137" w:type="dxa"/>
          </w:tcPr>
          <w:p>
            <w:pPr/>
          </w:p>
        </w:tc>
        <w:tc>
          <w:tcPr>
            <w:tcW w:w="1629" w:type="dxa"/>
          </w:tcPr>
          <w:p>
            <w:pPr>
              <w:pStyle w:val="TableParagraph"/>
              <w:spacing w:before="24"/>
              <w:ind w:left="596"/>
              <w:jc w:val="left"/>
              <w:rPr>
                <w:b/>
                <w:sz w:val="18"/>
              </w:rPr>
            </w:pPr>
            <w:r>
              <w:rPr>
                <w:b/>
                <w:sz w:val="18"/>
              </w:rPr>
              <w:t>$'000</w:t>
            </w:r>
          </w:p>
        </w:tc>
        <w:tc>
          <w:tcPr>
            <w:tcW w:w="1389" w:type="dxa"/>
          </w:tcPr>
          <w:p>
            <w:pPr>
              <w:pStyle w:val="TableParagraph"/>
              <w:spacing w:before="24"/>
              <w:ind w:left="251"/>
              <w:jc w:val="left"/>
              <w:rPr>
                <w:b/>
                <w:sz w:val="18"/>
              </w:rPr>
            </w:pPr>
            <w:r>
              <w:rPr>
                <w:b/>
                <w:sz w:val="18"/>
              </w:rPr>
              <w:t>$'000</w:t>
            </w:r>
          </w:p>
        </w:tc>
        <w:tc>
          <w:tcPr>
            <w:tcW w:w="1517" w:type="dxa"/>
          </w:tcPr>
          <w:p>
            <w:pPr>
              <w:pStyle w:val="TableParagraph"/>
              <w:spacing w:before="24"/>
              <w:ind w:left="341"/>
              <w:jc w:val="left"/>
              <w:rPr>
                <w:b/>
                <w:sz w:val="18"/>
              </w:rPr>
            </w:pPr>
            <w:r>
              <w:rPr>
                <w:b/>
                <w:sz w:val="18"/>
              </w:rPr>
              <w:t>$'000</w:t>
            </w:r>
          </w:p>
        </w:tc>
        <w:tc>
          <w:tcPr>
            <w:tcW w:w="993" w:type="dxa"/>
          </w:tcPr>
          <w:p>
            <w:pPr>
              <w:pStyle w:val="TableParagraph"/>
              <w:spacing w:before="24"/>
              <w:ind w:left="109"/>
              <w:jc w:val="left"/>
              <w:rPr>
                <w:b/>
                <w:sz w:val="18"/>
              </w:rPr>
            </w:pPr>
            <w:r>
              <w:rPr>
                <w:b/>
                <w:sz w:val="18"/>
              </w:rPr>
              <w:t>$'000</w:t>
            </w:r>
          </w:p>
        </w:tc>
      </w:tr>
      <w:tr>
        <w:trPr>
          <w:trHeight w:val="282" w:hRule="exact"/>
        </w:trPr>
        <w:tc>
          <w:tcPr>
            <w:tcW w:w="283" w:type="dxa"/>
          </w:tcPr>
          <w:p>
            <w:pPr/>
          </w:p>
        </w:tc>
        <w:tc>
          <w:tcPr>
            <w:tcW w:w="4137" w:type="dxa"/>
          </w:tcPr>
          <w:p>
            <w:pPr>
              <w:pStyle w:val="TableParagraph"/>
              <w:spacing w:before="37"/>
              <w:ind w:left="175" w:right="560"/>
              <w:jc w:val="left"/>
              <w:rPr>
                <w:sz w:val="18"/>
              </w:rPr>
            </w:pPr>
            <w:r>
              <w:rPr>
                <w:sz w:val="18"/>
              </w:rPr>
              <w:t>Sale of goods</w:t>
            </w:r>
          </w:p>
        </w:tc>
        <w:tc>
          <w:tcPr>
            <w:tcW w:w="1629" w:type="dxa"/>
          </w:tcPr>
          <w:p>
            <w:pPr>
              <w:pStyle w:val="TableParagraph"/>
              <w:spacing w:before="36"/>
              <w:ind w:right="249"/>
              <w:rPr>
                <w:b/>
                <w:sz w:val="18"/>
              </w:rPr>
            </w:pPr>
            <w:r>
              <w:rPr>
                <w:b/>
                <w:w w:val="95"/>
                <w:sz w:val="18"/>
              </w:rPr>
              <w:t>15,584</w:t>
            </w:r>
          </w:p>
        </w:tc>
        <w:tc>
          <w:tcPr>
            <w:tcW w:w="1389" w:type="dxa"/>
          </w:tcPr>
          <w:p>
            <w:pPr>
              <w:pStyle w:val="TableParagraph"/>
              <w:spacing w:before="36"/>
              <w:ind w:right="339"/>
              <w:rPr>
                <w:sz w:val="18"/>
              </w:rPr>
            </w:pPr>
            <w:r>
              <w:rPr>
                <w:w w:val="95"/>
                <w:sz w:val="18"/>
              </w:rPr>
              <w:t>16,916</w:t>
            </w:r>
          </w:p>
        </w:tc>
        <w:tc>
          <w:tcPr>
            <w:tcW w:w="1517" w:type="dxa"/>
          </w:tcPr>
          <w:p>
            <w:pPr>
              <w:pStyle w:val="TableParagraph"/>
              <w:spacing w:before="36"/>
              <w:ind w:left="824"/>
              <w:jc w:val="left"/>
              <w:rPr>
                <w:b/>
                <w:sz w:val="18"/>
              </w:rPr>
            </w:pPr>
            <w:r>
              <w:rPr>
                <w:b/>
                <w:sz w:val="18"/>
              </w:rPr>
              <w:t>993</w:t>
            </w:r>
          </w:p>
        </w:tc>
        <w:tc>
          <w:tcPr>
            <w:tcW w:w="993" w:type="dxa"/>
          </w:tcPr>
          <w:p>
            <w:pPr>
              <w:pStyle w:val="TableParagraph"/>
              <w:spacing w:before="36"/>
              <w:ind w:right="85"/>
              <w:rPr>
                <w:sz w:val="18"/>
              </w:rPr>
            </w:pPr>
            <w:r>
              <w:rPr>
                <w:sz w:val="18"/>
              </w:rPr>
              <w:t>1,011</w:t>
            </w:r>
          </w:p>
        </w:tc>
      </w:tr>
      <w:tr>
        <w:trPr>
          <w:trHeight w:val="264" w:hRule="exact"/>
        </w:trPr>
        <w:tc>
          <w:tcPr>
            <w:tcW w:w="283" w:type="dxa"/>
          </w:tcPr>
          <w:p>
            <w:pPr/>
          </w:p>
        </w:tc>
        <w:tc>
          <w:tcPr>
            <w:tcW w:w="4137" w:type="dxa"/>
          </w:tcPr>
          <w:p>
            <w:pPr>
              <w:pStyle w:val="TableParagraph"/>
              <w:spacing w:before="19"/>
              <w:ind w:left="175" w:right="560"/>
              <w:jc w:val="left"/>
              <w:rPr>
                <w:sz w:val="18"/>
              </w:rPr>
            </w:pPr>
            <w:r>
              <w:rPr>
                <w:sz w:val="18"/>
              </w:rPr>
              <w:t>Parking fees</w:t>
            </w:r>
          </w:p>
        </w:tc>
        <w:tc>
          <w:tcPr>
            <w:tcW w:w="1629" w:type="dxa"/>
          </w:tcPr>
          <w:p>
            <w:pPr>
              <w:pStyle w:val="TableParagraph"/>
              <w:spacing w:before="18"/>
              <w:ind w:right="249"/>
              <w:rPr>
                <w:b/>
                <w:sz w:val="18"/>
              </w:rPr>
            </w:pPr>
            <w:r>
              <w:rPr>
                <w:b/>
                <w:sz w:val="18"/>
              </w:rPr>
              <w:t>4,048</w:t>
            </w:r>
          </w:p>
        </w:tc>
        <w:tc>
          <w:tcPr>
            <w:tcW w:w="1389" w:type="dxa"/>
          </w:tcPr>
          <w:p>
            <w:pPr>
              <w:pStyle w:val="TableParagraph"/>
              <w:spacing w:before="18"/>
              <w:ind w:right="339"/>
              <w:rPr>
                <w:sz w:val="18"/>
              </w:rPr>
            </w:pPr>
            <w:r>
              <w:rPr>
                <w:sz w:val="18"/>
              </w:rPr>
              <w:t>4,467</w:t>
            </w:r>
          </w:p>
        </w:tc>
        <w:tc>
          <w:tcPr>
            <w:tcW w:w="1517" w:type="dxa"/>
          </w:tcPr>
          <w:p>
            <w:pPr>
              <w:pStyle w:val="TableParagraph"/>
              <w:spacing w:before="18"/>
              <w:ind w:left="674"/>
              <w:jc w:val="left"/>
              <w:rPr>
                <w:b/>
                <w:sz w:val="18"/>
              </w:rPr>
            </w:pPr>
            <w:r>
              <w:rPr>
                <w:b/>
                <w:sz w:val="18"/>
              </w:rPr>
              <w:t>4,049</w:t>
            </w:r>
          </w:p>
        </w:tc>
        <w:tc>
          <w:tcPr>
            <w:tcW w:w="993" w:type="dxa"/>
          </w:tcPr>
          <w:p>
            <w:pPr>
              <w:pStyle w:val="TableParagraph"/>
              <w:spacing w:before="18"/>
              <w:ind w:right="85"/>
              <w:rPr>
                <w:sz w:val="18"/>
              </w:rPr>
            </w:pPr>
            <w:r>
              <w:rPr>
                <w:sz w:val="18"/>
              </w:rPr>
              <w:t>4,467</w:t>
            </w:r>
          </w:p>
        </w:tc>
      </w:tr>
      <w:tr>
        <w:trPr>
          <w:trHeight w:val="263" w:hRule="exact"/>
        </w:trPr>
        <w:tc>
          <w:tcPr>
            <w:tcW w:w="283" w:type="dxa"/>
          </w:tcPr>
          <w:p>
            <w:pPr/>
          </w:p>
        </w:tc>
        <w:tc>
          <w:tcPr>
            <w:tcW w:w="4137" w:type="dxa"/>
          </w:tcPr>
          <w:p>
            <w:pPr>
              <w:pStyle w:val="TableParagraph"/>
              <w:spacing w:before="19"/>
              <w:ind w:left="175" w:right="560"/>
              <w:jc w:val="left"/>
              <w:rPr>
                <w:sz w:val="18"/>
              </w:rPr>
            </w:pPr>
            <w:r>
              <w:rPr>
                <w:sz w:val="18"/>
              </w:rPr>
              <w:t>Donations and bequests</w:t>
            </w:r>
          </w:p>
        </w:tc>
        <w:tc>
          <w:tcPr>
            <w:tcW w:w="1629" w:type="dxa"/>
          </w:tcPr>
          <w:p>
            <w:pPr>
              <w:pStyle w:val="TableParagraph"/>
              <w:spacing w:before="18"/>
              <w:ind w:right="249"/>
              <w:rPr>
                <w:b/>
                <w:sz w:val="18"/>
              </w:rPr>
            </w:pPr>
            <w:r>
              <w:rPr>
                <w:b/>
                <w:sz w:val="18"/>
              </w:rPr>
              <w:t>7,283</w:t>
            </w:r>
          </w:p>
        </w:tc>
        <w:tc>
          <w:tcPr>
            <w:tcW w:w="1389" w:type="dxa"/>
          </w:tcPr>
          <w:p>
            <w:pPr>
              <w:pStyle w:val="TableParagraph"/>
              <w:spacing w:before="18"/>
              <w:ind w:right="339"/>
              <w:rPr>
                <w:sz w:val="18"/>
              </w:rPr>
            </w:pPr>
            <w:r>
              <w:rPr>
                <w:sz w:val="18"/>
              </w:rPr>
              <w:t>3,819</w:t>
            </w:r>
          </w:p>
        </w:tc>
        <w:tc>
          <w:tcPr>
            <w:tcW w:w="1517" w:type="dxa"/>
          </w:tcPr>
          <w:p>
            <w:pPr>
              <w:pStyle w:val="TableParagraph"/>
              <w:spacing w:before="18"/>
              <w:ind w:left="674"/>
              <w:jc w:val="left"/>
              <w:rPr>
                <w:b/>
                <w:sz w:val="18"/>
              </w:rPr>
            </w:pPr>
            <w:r>
              <w:rPr>
                <w:b/>
                <w:sz w:val="18"/>
              </w:rPr>
              <w:t>7,153</w:t>
            </w:r>
          </w:p>
        </w:tc>
        <w:tc>
          <w:tcPr>
            <w:tcW w:w="993" w:type="dxa"/>
          </w:tcPr>
          <w:p>
            <w:pPr>
              <w:pStyle w:val="TableParagraph"/>
              <w:spacing w:before="18"/>
              <w:ind w:right="85"/>
              <w:rPr>
                <w:sz w:val="18"/>
              </w:rPr>
            </w:pPr>
            <w:r>
              <w:rPr>
                <w:sz w:val="18"/>
              </w:rPr>
              <w:t>3,786</w:t>
            </w:r>
          </w:p>
        </w:tc>
      </w:tr>
      <w:tr>
        <w:trPr>
          <w:trHeight w:val="469" w:hRule="exact"/>
        </w:trPr>
        <w:tc>
          <w:tcPr>
            <w:tcW w:w="283" w:type="dxa"/>
          </w:tcPr>
          <w:p>
            <w:pPr/>
          </w:p>
        </w:tc>
        <w:tc>
          <w:tcPr>
            <w:tcW w:w="4137" w:type="dxa"/>
          </w:tcPr>
          <w:p>
            <w:pPr>
              <w:pStyle w:val="TableParagraph"/>
              <w:spacing w:before="18"/>
              <w:ind w:left="175" w:right="560"/>
              <w:jc w:val="left"/>
              <w:rPr>
                <w:sz w:val="18"/>
              </w:rPr>
            </w:pPr>
            <w:r>
              <w:rPr>
                <w:sz w:val="18"/>
              </w:rPr>
              <w:t>Commercial leases and other rental income</w:t>
            </w:r>
          </w:p>
        </w:tc>
        <w:tc>
          <w:tcPr>
            <w:tcW w:w="1629" w:type="dxa"/>
          </w:tcPr>
          <w:p>
            <w:pPr>
              <w:pStyle w:val="TableParagraph"/>
              <w:spacing w:before="4"/>
              <w:jc w:val="left"/>
              <w:rPr>
                <w:sz w:val="19"/>
              </w:rPr>
            </w:pPr>
          </w:p>
          <w:p>
            <w:pPr>
              <w:pStyle w:val="TableParagraph"/>
              <w:ind w:right="249"/>
              <w:rPr>
                <w:b/>
                <w:sz w:val="18"/>
              </w:rPr>
            </w:pPr>
            <w:r>
              <w:rPr>
                <w:b/>
                <w:sz w:val="18"/>
              </w:rPr>
              <w:t>5,778</w:t>
            </w:r>
          </w:p>
        </w:tc>
        <w:tc>
          <w:tcPr>
            <w:tcW w:w="1389" w:type="dxa"/>
          </w:tcPr>
          <w:p>
            <w:pPr>
              <w:pStyle w:val="TableParagraph"/>
              <w:spacing w:before="4"/>
              <w:jc w:val="left"/>
              <w:rPr>
                <w:sz w:val="19"/>
              </w:rPr>
            </w:pPr>
          </w:p>
          <w:p>
            <w:pPr>
              <w:pStyle w:val="TableParagraph"/>
              <w:ind w:right="339"/>
              <w:rPr>
                <w:sz w:val="18"/>
              </w:rPr>
            </w:pPr>
            <w:r>
              <w:rPr>
                <w:sz w:val="18"/>
              </w:rPr>
              <w:t>4,355</w:t>
            </w:r>
          </w:p>
        </w:tc>
        <w:tc>
          <w:tcPr>
            <w:tcW w:w="1517" w:type="dxa"/>
          </w:tcPr>
          <w:p>
            <w:pPr>
              <w:pStyle w:val="TableParagraph"/>
              <w:spacing w:before="4"/>
              <w:jc w:val="left"/>
              <w:rPr>
                <w:sz w:val="19"/>
              </w:rPr>
            </w:pPr>
          </w:p>
          <w:p>
            <w:pPr>
              <w:pStyle w:val="TableParagraph"/>
              <w:ind w:left="674"/>
              <w:jc w:val="left"/>
              <w:rPr>
                <w:b/>
                <w:sz w:val="18"/>
              </w:rPr>
            </w:pPr>
            <w:r>
              <w:rPr>
                <w:b/>
                <w:sz w:val="18"/>
              </w:rPr>
              <w:t>5,536</w:t>
            </w:r>
          </w:p>
        </w:tc>
        <w:tc>
          <w:tcPr>
            <w:tcW w:w="993" w:type="dxa"/>
          </w:tcPr>
          <w:p>
            <w:pPr>
              <w:pStyle w:val="TableParagraph"/>
              <w:spacing w:before="4"/>
              <w:jc w:val="left"/>
              <w:rPr>
                <w:sz w:val="19"/>
              </w:rPr>
            </w:pPr>
          </w:p>
          <w:p>
            <w:pPr>
              <w:pStyle w:val="TableParagraph"/>
              <w:ind w:right="85"/>
              <w:rPr>
                <w:sz w:val="18"/>
              </w:rPr>
            </w:pPr>
            <w:r>
              <w:rPr>
                <w:sz w:val="18"/>
              </w:rPr>
              <w:t>4,108</w:t>
            </w:r>
          </w:p>
        </w:tc>
      </w:tr>
      <w:tr>
        <w:trPr>
          <w:trHeight w:val="264" w:hRule="exact"/>
        </w:trPr>
        <w:tc>
          <w:tcPr>
            <w:tcW w:w="283" w:type="dxa"/>
          </w:tcPr>
          <w:p>
            <w:pPr/>
          </w:p>
        </w:tc>
        <w:tc>
          <w:tcPr>
            <w:tcW w:w="4137" w:type="dxa"/>
          </w:tcPr>
          <w:p>
            <w:pPr>
              <w:pStyle w:val="TableParagraph"/>
              <w:spacing w:before="19"/>
              <w:ind w:left="175" w:right="560"/>
              <w:jc w:val="left"/>
              <w:rPr>
                <w:sz w:val="18"/>
              </w:rPr>
            </w:pPr>
            <w:r>
              <w:rPr>
                <w:sz w:val="18"/>
              </w:rPr>
              <w:t>Salary recoveries</w:t>
            </w:r>
          </w:p>
        </w:tc>
        <w:tc>
          <w:tcPr>
            <w:tcW w:w="1629" w:type="dxa"/>
          </w:tcPr>
          <w:p>
            <w:pPr>
              <w:pStyle w:val="TableParagraph"/>
              <w:spacing w:before="18"/>
              <w:ind w:right="249"/>
              <w:rPr>
                <w:b/>
                <w:sz w:val="18"/>
              </w:rPr>
            </w:pPr>
            <w:r>
              <w:rPr>
                <w:b/>
                <w:sz w:val="18"/>
              </w:rPr>
              <w:t>4,288</w:t>
            </w:r>
          </w:p>
        </w:tc>
        <w:tc>
          <w:tcPr>
            <w:tcW w:w="1389" w:type="dxa"/>
          </w:tcPr>
          <w:p>
            <w:pPr>
              <w:pStyle w:val="TableParagraph"/>
              <w:spacing w:before="18"/>
              <w:ind w:right="339"/>
              <w:rPr>
                <w:sz w:val="18"/>
              </w:rPr>
            </w:pPr>
            <w:r>
              <w:rPr>
                <w:sz w:val="18"/>
              </w:rPr>
              <w:t>4,262</w:t>
            </w:r>
          </w:p>
        </w:tc>
        <w:tc>
          <w:tcPr>
            <w:tcW w:w="1517" w:type="dxa"/>
          </w:tcPr>
          <w:p>
            <w:pPr>
              <w:pStyle w:val="TableParagraph"/>
              <w:spacing w:before="18"/>
              <w:ind w:left="674"/>
              <w:jc w:val="left"/>
              <w:rPr>
                <w:b/>
                <w:sz w:val="18"/>
              </w:rPr>
            </w:pPr>
            <w:r>
              <w:rPr>
                <w:b/>
                <w:sz w:val="18"/>
              </w:rPr>
              <w:t>4,461</w:t>
            </w:r>
          </w:p>
        </w:tc>
        <w:tc>
          <w:tcPr>
            <w:tcW w:w="993" w:type="dxa"/>
          </w:tcPr>
          <w:p>
            <w:pPr>
              <w:pStyle w:val="TableParagraph"/>
              <w:spacing w:before="18"/>
              <w:ind w:right="85"/>
              <w:rPr>
                <w:sz w:val="18"/>
              </w:rPr>
            </w:pPr>
            <w:r>
              <w:rPr>
                <w:sz w:val="18"/>
              </w:rPr>
              <w:t>4,278</w:t>
            </w:r>
          </w:p>
        </w:tc>
      </w:tr>
      <w:tr>
        <w:trPr>
          <w:trHeight w:val="264" w:hRule="exact"/>
        </w:trPr>
        <w:tc>
          <w:tcPr>
            <w:tcW w:w="283" w:type="dxa"/>
          </w:tcPr>
          <w:p>
            <w:pPr/>
          </w:p>
        </w:tc>
        <w:tc>
          <w:tcPr>
            <w:tcW w:w="4137" w:type="dxa"/>
          </w:tcPr>
          <w:p>
            <w:pPr>
              <w:pStyle w:val="TableParagraph"/>
              <w:spacing w:before="19"/>
              <w:ind w:left="175" w:right="560"/>
              <w:jc w:val="left"/>
              <w:rPr>
                <w:sz w:val="18"/>
              </w:rPr>
            </w:pPr>
            <w:r>
              <w:rPr>
                <w:sz w:val="18"/>
              </w:rPr>
              <w:t>Childcare centre fees and grants</w:t>
            </w:r>
          </w:p>
        </w:tc>
        <w:tc>
          <w:tcPr>
            <w:tcW w:w="1629" w:type="dxa"/>
          </w:tcPr>
          <w:p>
            <w:pPr>
              <w:pStyle w:val="TableParagraph"/>
              <w:spacing w:before="18"/>
              <w:ind w:right="249"/>
              <w:rPr>
                <w:b/>
                <w:sz w:val="18"/>
              </w:rPr>
            </w:pPr>
            <w:r>
              <w:rPr>
                <w:b/>
                <w:sz w:val="18"/>
              </w:rPr>
              <w:t>5,972</w:t>
            </w:r>
          </w:p>
        </w:tc>
        <w:tc>
          <w:tcPr>
            <w:tcW w:w="1389" w:type="dxa"/>
          </w:tcPr>
          <w:p>
            <w:pPr>
              <w:pStyle w:val="TableParagraph"/>
              <w:spacing w:before="18"/>
              <w:ind w:right="339"/>
              <w:rPr>
                <w:sz w:val="18"/>
              </w:rPr>
            </w:pPr>
            <w:r>
              <w:rPr>
                <w:sz w:val="18"/>
              </w:rPr>
              <w:t>5,913</w:t>
            </w:r>
          </w:p>
        </w:tc>
        <w:tc>
          <w:tcPr>
            <w:tcW w:w="1517" w:type="dxa"/>
          </w:tcPr>
          <w:p>
            <w:pPr>
              <w:pStyle w:val="TableParagraph"/>
              <w:spacing w:before="18"/>
              <w:ind w:right="391"/>
              <w:rPr>
                <w:b/>
                <w:sz w:val="18"/>
              </w:rPr>
            </w:pPr>
            <w:r>
              <w:rPr>
                <w:b/>
                <w:w w:val="99"/>
                <w:sz w:val="18"/>
              </w:rPr>
              <w:t>-</w:t>
            </w:r>
          </w:p>
        </w:tc>
        <w:tc>
          <w:tcPr>
            <w:tcW w:w="993" w:type="dxa"/>
          </w:tcPr>
          <w:p>
            <w:pPr>
              <w:pStyle w:val="TableParagraph"/>
              <w:spacing w:before="18"/>
              <w:ind w:right="85"/>
              <w:rPr>
                <w:sz w:val="18"/>
              </w:rPr>
            </w:pPr>
            <w:r>
              <w:rPr>
                <w:w w:val="99"/>
                <w:sz w:val="18"/>
              </w:rPr>
              <w:t>-</w:t>
            </w:r>
          </w:p>
        </w:tc>
      </w:tr>
      <w:tr>
        <w:trPr>
          <w:trHeight w:val="264" w:hRule="exact"/>
        </w:trPr>
        <w:tc>
          <w:tcPr>
            <w:tcW w:w="283" w:type="dxa"/>
          </w:tcPr>
          <w:p>
            <w:pPr/>
          </w:p>
        </w:tc>
        <w:tc>
          <w:tcPr>
            <w:tcW w:w="4137" w:type="dxa"/>
          </w:tcPr>
          <w:p>
            <w:pPr>
              <w:pStyle w:val="TableParagraph"/>
              <w:spacing w:before="19"/>
              <w:ind w:left="175" w:right="560"/>
              <w:jc w:val="left"/>
              <w:rPr>
                <w:sz w:val="18"/>
              </w:rPr>
            </w:pPr>
            <w:r>
              <w:rPr>
                <w:sz w:val="18"/>
              </w:rPr>
              <w:t>Non-salary recoveries</w:t>
            </w:r>
          </w:p>
        </w:tc>
        <w:tc>
          <w:tcPr>
            <w:tcW w:w="1629" w:type="dxa"/>
          </w:tcPr>
          <w:p>
            <w:pPr>
              <w:pStyle w:val="TableParagraph"/>
              <w:spacing w:before="18"/>
              <w:ind w:right="249"/>
              <w:rPr>
                <w:b/>
                <w:sz w:val="18"/>
              </w:rPr>
            </w:pPr>
            <w:r>
              <w:rPr>
                <w:b/>
                <w:sz w:val="18"/>
              </w:rPr>
              <w:t>4,200</w:t>
            </w:r>
          </w:p>
        </w:tc>
        <w:tc>
          <w:tcPr>
            <w:tcW w:w="1389" w:type="dxa"/>
          </w:tcPr>
          <w:p>
            <w:pPr>
              <w:pStyle w:val="TableParagraph"/>
              <w:spacing w:before="18"/>
              <w:ind w:right="339"/>
              <w:rPr>
                <w:sz w:val="18"/>
              </w:rPr>
            </w:pPr>
            <w:r>
              <w:rPr>
                <w:sz w:val="18"/>
              </w:rPr>
              <w:t>2,221</w:t>
            </w:r>
          </w:p>
        </w:tc>
        <w:tc>
          <w:tcPr>
            <w:tcW w:w="1517" w:type="dxa"/>
          </w:tcPr>
          <w:p>
            <w:pPr>
              <w:pStyle w:val="TableParagraph"/>
              <w:spacing w:before="18"/>
              <w:ind w:left="674"/>
              <w:jc w:val="left"/>
              <w:rPr>
                <w:b/>
                <w:sz w:val="18"/>
              </w:rPr>
            </w:pPr>
            <w:r>
              <w:rPr>
                <w:b/>
                <w:sz w:val="18"/>
              </w:rPr>
              <w:t>4,186</w:t>
            </w:r>
          </w:p>
        </w:tc>
        <w:tc>
          <w:tcPr>
            <w:tcW w:w="993" w:type="dxa"/>
          </w:tcPr>
          <w:p>
            <w:pPr>
              <w:pStyle w:val="TableParagraph"/>
              <w:spacing w:before="18"/>
              <w:ind w:right="85"/>
              <w:rPr>
                <w:sz w:val="18"/>
              </w:rPr>
            </w:pPr>
            <w:r>
              <w:rPr>
                <w:sz w:val="18"/>
              </w:rPr>
              <w:t>2,288</w:t>
            </w:r>
          </w:p>
        </w:tc>
      </w:tr>
      <w:tr>
        <w:trPr>
          <w:trHeight w:val="264" w:hRule="exact"/>
        </w:trPr>
        <w:tc>
          <w:tcPr>
            <w:tcW w:w="283" w:type="dxa"/>
          </w:tcPr>
          <w:p>
            <w:pPr/>
          </w:p>
        </w:tc>
        <w:tc>
          <w:tcPr>
            <w:tcW w:w="4137" w:type="dxa"/>
          </w:tcPr>
          <w:p>
            <w:pPr>
              <w:pStyle w:val="TableParagraph"/>
              <w:spacing w:before="19"/>
              <w:ind w:left="175" w:right="560"/>
              <w:jc w:val="left"/>
              <w:rPr>
                <w:sz w:val="18"/>
              </w:rPr>
            </w:pPr>
            <w:r>
              <w:rPr>
                <w:sz w:val="18"/>
              </w:rPr>
              <w:t>Scholarships and prizes</w:t>
            </w:r>
          </w:p>
        </w:tc>
        <w:tc>
          <w:tcPr>
            <w:tcW w:w="1629" w:type="dxa"/>
          </w:tcPr>
          <w:p>
            <w:pPr>
              <w:pStyle w:val="TableParagraph"/>
              <w:spacing w:before="18"/>
              <w:ind w:right="249"/>
              <w:rPr>
                <w:b/>
                <w:sz w:val="18"/>
              </w:rPr>
            </w:pPr>
            <w:r>
              <w:rPr>
                <w:b/>
                <w:sz w:val="18"/>
              </w:rPr>
              <w:t>1,587</w:t>
            </w:r>
          </w:p>
        </w:tc>
        <w:tc>
          <w:tcPr>
            <w:tcW w:w="1389" w:type="dxa"/>
          </w:tcPr>
          <w:p>
            <w:pPr>
              <w:pStyle w:val="TableParagraph"/>
              <w:spacing w:before="18"/>
              <w:ind w:right="339"/>
              <w:rPr>
                <w:sz w:val="18"/>
              </w:rPr>
            </w:pPr>
            <w:r>
              <w:rPr>
                <w:sz w:val="18"/>
              </w:rPr>
              <w:t>1,267</w:t>
            </w:r>
          </w:p>
        </w:tc>
        <w:tc>
          <w:tcPr>
            <w:tcW w:w="1517" w:type="dxa"/>
          </w:tcPr>
          <w:p>
            <w:pPr>
              <w:pStyle w:val="TableParagraph"/>
              <w:spacing w:before="18"/>
              <w:ind w:left="674"/>
              <w:jc w:val="left"/>
              <w:rPr>
                <w:b/>
                <w:sz w:val="18"/>
              </w:rPr>
            </w:pPr>
            <w:r>
              <w:rPr>
                <w:b/>
                <w:sz w:val="18"/>
              </w:rPr>
              <w:t>1,587</w:t>
            </w:r>
          </w:p>
        </w:tc>
        <w:tc>
          <w:tcPr>
            <w:tcW w:w="993" w:type="dxa"/>
          </w:tcPr>
          <w:p>
            <w:pPr>
              <w:pStyle w:val="TableParagraph"/>
              <w:spacing w:before="18"/>
              <w:ind w:right="85"/>
              <w:rPr>
                <w:sz w:val="18"/>
              </w:rPr>
            </w:pPr>
            <w:r>
              <w:rPr>
                <w:sz w:val="18"/>
              </w:rPr>
              <w:t>1,267</w:t>
            </w:r>
          </w:p>
        </w:tc>
      </w:tr>
      <w:tr>
        <w:trPr>
          <w:trHeight w:val="264" w:hRule="exact"/>
        </w:trPr>
        <w:tc>
          <w:tcPr>
            <w:tcW w:w="283" w:type="dxa"/>
          </w:tcPr>
          <w:p>
            <w:pPr/>
          </w:p>
        </w:tc>
        <w:tc>
          <w:tcPr>
            <w:tcW w:w="4137" w:type="dxa"/>
          </w:tcPr>
          <w:p>
            <w:pPr>
              <w:pStyle w:val="TableParagraph"/>
              <w:spacing w:before="19"/>
              <w:ind w:left="175" w:right="560"/>
              <w:jc w:val="left"/>
              <w:rPr>
                <w:sz w:val="18"/>
              </w:rPr>
            </w:pPr>
            <w:r>
              <w:rPr>
                <w:sz w:val="18"/>
              </w:rPr>
              <w:t>Commission income</w:t>
            </w:r>
          </w:p>
        </w:tc>
        <w:tc>
          <w:tcPr>
            <w:tcW w:w="1629" w:type="dxa"/>
          </w:tcPr>
          <w:p>
            <w:pPr>
              <w:pStyle w:val="TableParagraph"/>
              <w:spacing w:before="18"/>
              <w:ind w:right="249"/>
              <w:rPr>
                <w:b/>
                <w:sz w:val="18"/>
              </w:rPr>
            </w:pPr>
            <w:r>
              <w:rPr>
                <w:b/>
                <w:sz w:val="18"/>
              </w:rPr>
              <w:t>715</w:t>
            </w:r>
          </w:p>
        </w:tc>
        <w:tc>
          <w:tcPr>
            <w:tcW w:w="1389" w:type="dxa"/>
          </w:tcPr>
          <w:p>
            <w:pPr>
              <w:pStyle w:val="TableParagraph"/>
              <w:spacing w:before="18"/>
              <w:ind w:right="340"/>
              <w:rPr>
                <w:sz w:val="18"/>
              </w:rPr>
            </w:pPr>
            <w:r>
              <w:rPr>
                <w:sz w:val="18"/>
              </w:rPr>
              <w:t>823</w:t>
            </w:r>
          </w:p>
        </w:tc>
        <w:tc>
          <w:tcPr>
            <w:tcW w:w="1517" w:type="dxa"/>
          </w:tcPr>
          <w:p>
            <w:pPr>
              <w:pStyle w:val="TableParagraph"/>
              <w:spacing w:before="18"/>
              <w:ind w:left="824"/>
              <w:jc w:val="left"/>
              <w:rPr>
                <w:b/>
                <w:sz w:val="18"/>
              </w:rPr>
            </w:pPr>
            <w:r>
              <w:rPr>
                <w:b/>
                <w:sz w:val="18"/>
              </w:rPr>
              <w:t>715</w:t>
            </w:r>
          </w:p>
        </w:tc>
        <w:tc>
          <w:tcPr>
            <w:tcW w:w="993" w:type="dxa"/>
          </w:tcPr>
          <w:p>
            <w:pPr>
              <w:pStyle w:val="TableParagraph"/>
              <w:spacing w:before="18"/>
              <w:ind w:right="85"/>
              <w:rPr>
                <w:sz w:val="18"/>
              </w:rPr>
            </w:pPr>
            <w:r>
              <w:rPr>
                <w:sz w:val="18"/>
              </w:rPr>
              <w:t>613</w:t>
            </w:r>
          </w:p>
        </w:tc>
      </w:tr>
      <w:tr>
        <w:trPr>
          <w:trHeight w:val="264" w:hRule="exact"/>
        </w:trPr>
        <w:tc>
          <w:tcPr>
            <w:tcW w:w="283" w:type="dxa"/>
          </w:tcPr>
          <w:p>
            <w:pPr/>
          </w:p>
        </w:tc>
        <w:tc>
          <w:tcPr>
            <w:tcW w:w="4137" w:type="dxa"/>
          </w:tcPr>
          <w:p>
            <w:pPr>
              <w:pStyle w:val="TableParagraph"/>
              <w:spacing w:before="19"/>
              <w:ind w:left="175" w:right="560"/>
              <w:jc w:val="left"/>
              <w:rPr>
                <w:sz w:val="18"/>
              </w:rPr>
            </w:pPr>
            <w:r>
              <w:rPr>
                <w:sz w:val="18"/>
              </w:rPr>
              <w:t>Service income</w:t>
            </w:r>
          </w:p>
        </w:tc>
        <w:tc>
          <w:tcPr>
            <w:tcW w:w="1629" w:type="dxa"/>
          </w:tcPr>
          <w:p>
            <w:pPr>
              <w:pStyle w:val="TableParagraph"/>
              <w:spacing w:before="18"/>
              <w:ind w:right="249"/>
              <w:rPr>
                <w:b/>
                <w:sz w:val="18"/>
              </w:rPr>
            </w:pPr>
            <w:r>
              <w:rPr>
                <w:b/>
                <w:sz w:val="18"/>
              </w:rPr>
              <w:t>651</w:t>
            </w:r>
          </w:p>
        </w:tc>
        <w:tc>
          <w:tcPr>
            <w:tcW w:w="1389" w:type="dxa"/>
          </w:tcPr>
          <w:p>
            <w:pPr>
              <w:pStyle w:val="TableParagraph"/>
              <w:spacing w:before="18"/>
              <w:ind w:right="340"/>
              <w:rPr>
                <w:sz w:val="18"/>
              </w:rPr>
            </w:pPr>
            <w:r>
              <w:rPr>
                <w:sz w:val="18"/>
              </w:rPr>
              <w:t>599</w:t>
            </w:r>
          </w:p>
        </w:tc>
        <w:tc>
          <w:tcPr>
            <w:tcW w:w="1517" w:type="dxa"/>
          </w:tcPr>
          <w:p>
            <w:pPr>
              <w:pStyle w:val="TableParagraph"/>
              <w:spacing w:before="18"/>
              <w:ind w:left="574"/>
              <w:jc w:val="left"/>
              <w:rPr>
                <w:b/>
                <w:sz w:val="18"/>
              </w:rPr>
            </w:pPr>
            <w:r>
              <w:rPr>
                <w:b/>
                <w:sz w:val="18"/>
              </w:rPr>
              <w:t>20,170</w:t>
            </w:r>
          </w:p>
        </w:tc>
        <w:tc>
          <w:tcPr>
            <w:tcW w:w="993" w:type="dxa"/>
          </w:tcPr>
          <w:p>
            <w:pPr>
              <w:pStyle w:val="TableParagraph"/>
              <w:spacing w:before="18"/>
              <w:ind w:right="85"/>
              <w:rPr>
                <w:sz w:val="18"/>
              </w:rPr>
            </w:pPr>
            <w:r>
              <w:rPr>
                <w:w w:val="95"/>
                <w:sz w:val="18"/>
              </w:rPr>
              <w:t>14,153</w:t>
            </w:r>
          </w:p>
        </w:tc>
      </w:tr>
      <w:tr>
        <w:trPr>
          <w:trHeight w:val="264" w:hRule="exact"/>
        </w:trPr>
        <w:tc>
          <w:tcPr>
            <w:tcW w:w="283" w:type="dxa"/>
          </w:tcPr>
          <w:p>
            <w:pPr/>
          </w:p>
        </w:tc>
        <w:tc>
          <w:tcPr>
            <w:tcW w:w="4137" w:type="dxa"/>
          </w:tcPr>
          <w:p>
            <w:pPr>
              <w:pStyle w:val="TableParagraph"/>
              <w:spacing w:before="19"/>
              <w:ind w:left="175" w:right="560"/>
              <w:jc w:val="left"/>
              <w:rPr>
                <w:sz w:val="18"/>
              </w:rPr>
            </w:pPr>
            <w:r>
              <w:rPr>
                <w:sz w:val="18"/>
              </w:rPr>
              <w:t>Tied grants non-government</w:t>
            </w:r>
          </w:p>
        </w:tc>
        <w:tc>
          <w:tcPr>
            <w:tcW w:w="1629" w:type="dxa"/>
          </w:tcPr>
          <w:p>
            <w:pPr>
              <w:pStyle w:val="TableParagraph"/>
              <w:spacing w:before="18"/>
              <w:ind w:right="249"/>
              <w:rPr>
                <w:b/>
                <w:sz w:val="18"/>
              </w:rPr>
            </w:pPr>
            <w:r>
              <w:rPr>
                <w:b/>
                <w:sz w:val="18"/>
              </w:rPr>
              <w:t>260</w:t>
            </w:r>
          </w:p>
        </w:tc>
        <w:tc>
          <w:tcPr>
            <w:tcW w:w="1389" w:type="dxa"/>
          </w:tcPr>
          <w:p>
            <w:pPr>
              <w:pStyle w:val="TableParagraph"/>
              <w:spacing w:before="18"/>
              <w:ind w:right="340"/>
              <w:rPr>
                <w:sz w:val="18"/>
              </w:rPr>
            </w:pPr>
            <w:r>
              <w:rPr>
                <w:sz w:val="18"/>
              </w:rPr>
              <w:t>328</w:t>
            </w:r>
          </w:p>
        </w:tc>
        <w:tc>
          <w:tcPr>
            <w:tcW w:w="1517" w:type="dxa"/>
          </w:tcPr>
          <w:p>
            <w:pPr>
              <w:pStyle w:val="TableParagraph"/>
              <w:spacing w:before="18"/>
              <w:ind w:left="824"/>
              <w:jc w:val="left"/>
              <w:rPr>
                <w:b/>
                <w:sz w:val="18"/>
              </w:rPr>
            </w:pPr>
            <w:r>
              <w:rPr>
                <w:b/>
                <w:sz w:val="18"/>
              </w:rPr>
              <w:t>260</w:t>
            </w:r>
          </w:p>
        </w:tc>
        <w:tc>
          <w:tcPr>
            <w:tcW w:w="993" w:type="dxa"/>
          </w:tcPr>
          <w:p>
            <w:pPr>
              <w:pStyle w:val="TableParagraph"/>
              <w:spacing w:before="18"/>
              <w:ind w:right="85"/>
              <w:rPr>
                <w:sz w:val="18"/>
              </w:rPr>
            </w:pPr>
            <w:r>
              <w:rPr>
                <w:sz w:val="18"/>
              </w:rPr>
              <w:t>328</w:t>
            </w:r>
          </w:p>
        </w:tc>
      </w:tr>
      <w:tr>
        <w:trPr>
          <w:trHeight w:val="264" w:hRule="exact"/>
        </w:trPr>
        <w:tc>
          <w:tcPr>
            <w:tcW w:w="283" w:type="dxa"/>
          </w:tcPr>
          <w:p>
            <w:pPr/>
          </w:p>
        </w:tc>
        <w:tc>
          <w:tcPr>
            <w:tcW w:w="4137" w:type="dxa"/>
          </w:tcPr>
          <w:p>
            <w:pPr>
              <w:pStyle w:val="TableParagraph"/>
              <w:spacing w:before="19"/>
              <w:ind w:left="175" w:right="560"/>
              <w:jc w:val="left"/>
              <w:rPr>
                <w:sz w:val="18"/>
              </w:rPr>
            </w:pPr>
            <w:r>
              <w:rPr>
                <w:sz w:val="18"/>
              </w:rPr>
              <w:t>Conference and seminar income</w:t>
            </w:r>
          </w:p>
        </w:tc>
        <w:tc>
          <w:tcPr>
            <w:tcW w:w="1629" w:type="dxa"/>
          </w:tcPr>
          <w:p>
            <w:pPr>
              <w:pStyle w:val="TableParagraph"/>
              <w:spacing w:before="18"/>
              <w:ind w:right="249"/>
              <w:rPr>
                <w:b/>
                <w:sz w:val="18"/>
              </w:rPr>
            </w:pPr>
            <w:r>
              <w:rPr>
                <w:b/>
                <w:sz w:val="18"/>
              </w:rPr>
              <w:t>604</w:t>
            </w:r>
          </w:p>
        </w:tc>
        <w:tc>
          <w:tcPr>
            <w:tcW w:w="1389" w:type="dxa"/>
          </w:tcPr>
          <w:p>
            <w:pPr>
              <w:pStyle w:val="TableParagraph"/>
              <w:spacing w:before="18"/>
              <w:ind w:right="340"/>
              <w:rPr>
                <w:sz w:val="18"/>
              </w:rPr>
            </w:pPr>
            <w:r>
              <w:rPr>
                <w:sz w:val="18"/>
              </w:rPr>
              <w:t>352</w:t>
            </w:r>
          </w:p>
        </w:tc>
        <w:tc>
          <w:tcPr>
            <w:tcW w:w="1517" w:type="dxa"/>
          </w:tcPr>
          <w:p>
            <w:pPr>
              <w:pStyle w:val="TableParagraph"/>
              <w:spacing w:before="18"/>
              <w:ind w:left="824"/>
              <w:jc w:val="left"/>
              <w:rPr>
                <w:b/>
                <w:sz w:val="18"/>
              </w:rPr>
            </w:pPr>
            <w:r>
              <w:rPr>
                <w:b/>
                <w:sz w:val="18"/>
              </w:rPr>
              <w:t>604</w:t>
            </w:r>
          </w:p>
        </w:tc>
        <w:tc>
          <w:tcPr>
            <w:tcW w:w="993" w:type="dxa"/>
          </w:tcPr>
          <w:p>
            <w:pPr>
              <w:pStyle w:val="TableParagraph"/>
              <w:spacing w:before="18"/>
              <w:ind w:right="85"/>
              <w:rPr>
                <w:sz w:val="18"/>
              </w:rPr>
            </w:pPr>
            <w:r>
              <w:rPr>
                <w:sz w:val="18"/>
              </w:rPr>
              <w:t>321</w:t>
            </w:r>
          </w:p>
        </w:tc>
      </w:tr>
      <w:tr>
        <w:trPr>
          <w:trHeight w:val="262" w:hRule="exact"/>
        </w:trPr>
        <w:tc>
          <w:tcPr>
            <w:tcW w:w="283" w:type="dxa"/>
          </w:tcPr>
          <w:p>
            <w:pPr/>
          </w:p>
        </w:tc>
        <w:tc>
          <w:tcPr>
            <w:tcW w:w="4137" w:type="dxa"/>
          </w:tcPr>
          <w:p>
            <w:pPr>
              <w:pStyle w:val="TableParagraph"/>
              <w:spacing w:before="19"/>
              <w:ind w:left="175" w:right="560"/>
              <w:jc w:val="left"/>
              <w:rPr>
                <w:sz w:val="18"/>
              </w:rPr>
            </w:pPr>
            <w:r>
              <w:rPr>
                <w:sz w:val="18"/>
              </w:rPr>
              <w:t>Other</w:t>
            </w:r>
          </w:p>
        </w:tc>
        <w:tc>
          <w:tcPr>
            <w:tcW w:w="1629" w:type="dxa"/>
            <w:tcBorders>
              <w:bottom w:val="single" w:sz="0" w:space="0" w:color="000000"/>
            </w:tcBorders>
          </w:tcPr>
          <w:p>
            <w:pPr>
              <w:pStyle w:val="TableParagraph"/>
              <w:spacing w:before="18"/>
              <w:ind w:right="249"/>
              <w:rPr>
                <w:b/>
                <w:sz w:val="18"/>
              </w:rPr>
            </w:pPr>
            <w:r>
              <w:rPr>
                <w:b/>
                <w:sz w:val="18"/>
              </w:rPr>
              <w:t>4,463</w:t>
            </w:r>
          </w:p>
        </w:tc>
        <w:tc>
          <w:tcPr>
            <w:tcW w:w="1389" w:type="dxa"/>
            <w:tcBorders>
              <w:bottom w:val="single" w:sz="0" w:space="0" w:color="000000"/>
            </w:tcBorders>
          </w:tcPr>
          <w:p>
            <w:pPr>
              <w:pStyle w:val="TableParagraph"/>
              <w:spacing w:before="18"/>
              <w:ind w:right="339"/>
              <w:rPr>
                <w:sz w:val="18"/>
              </w:rPr>
            </w:pPr>
            <w:r>
              <w:rPr>
                <w:sz w:val="18"/>
              </w:rPr>
              <w:t>4,366</w:t>
            </w:r>
          </w:p>
        </w:tc>
        <w:tc>
          <w:tcPr>
            <w:tcW w:w="1517" w:type="dxa"/>
            <w:tcBorders>
              <w:bottom w:val="single" w:sz="0" w:space="0" w:color="000000"/>
            </w:tcBorders>
          </w:tcPr>
          <w:p>
            <w:pPr>
              <w:pStyle w:val="TableParagraph"/>
              <w:spacing w:before="18"/>
              <w:ind w:left="674"/>
              <w:jc w:val="left"/>
              <w:rPr>
                <w:b/>
                <w:sz w:val="18"/>
              </w:rPr>
            </w:pPr>
            <w:r>
              <w:rPr>
                <w:b/>
                <w:sz w:val="18"/>
              </w:rPr>
              <w:t>2,960</w:t>
            </w:r>
          </w:p>
        </w:tc>
        <w:tc>
          <w:tcPr>
            <w:tcW w:w="993" w:type="dxa"/>
            <w:tcBorders>
              <w:bottom w:val="single" w:sz="0" w:space="0" w:color="000000"/>
            </w:tcBorders>
          </w:tcPr>
          <w:p>
            <w:pPr>
              <w:pStyle w:val="TableParagraph"/>
              <w:spacing w:before="18"/>
              <w:ind w:right="85"/>
              <w:rPr>
                <w:sz w:val="18"/>
              </w:rPr>
            </w:pPr>
            <w:r>
              <w:rPr>
                <w:sz w:val="18"/>
              </w:rPr>
              <w:t>2,879</w:t>
            </w:r>
          </w:p>
        </w:tc>
      </w:tr>
      <w:tr>
        <w:trPr>
          <w:trHeight w:val="353" w:hRule="exact"/>
        </w:trPr>
        <w:tc>
          <w:tcPr>
            <w:tcW w:w="283" w:type="dxa"/>
          </w:tcPr>
          <w:p>
            <w:pPr/>
          </w:p>
        </w:tc>
        <w:tc>
          <w:tcPr>
            <w:tcW w:w="4137" w:type="dxa"/>
          </w:tcPr>
          <w:p>
            <w:pPr>
              <w:pStyle w:val="TableParagraph"/>
              <w:spacing w:before="123"/>
              <w:ind w:left="175" w:right="560"/>
              <w:jc w:val="left"/>
              <w:rPr>
                <w:b/>
                <w:sz w:val="18"/>
              </w:rPr>
            </w:pPr>
            <w:r>
              <w:rPr>
                <w:b/>
                <w:sz w:val="18"/>
              </w:rPr>
              <w:t>Total other revenue and income</w:t>
            </w:r>
          </w:p>
        </w:tc>
        <w:tc>
          <w:tcPr>
            <w:tcW w:w="1629" w:type="dxa"/>
            <w:tcBorders>
              <w:top w:val="single" w:sz="0" w:space="0" w:color="000000"/>
              <w:bottom w:val="single" w:sz="0" w:space="0" w:color="000000"/>
            </w:tcBorders>
          </w:tcPr>
          <w:p>
            <w:pPr>
              <w:pStyle w:val="TableParagraph"/>
              <w:spacing w:before="122"/>
              <w:ind w:right="249"/>
              <w:rPr>
                <w:b/>
                <w:sz w:val="18"/>
              </w:rPr>
            </w:pPr>
            <w:r>
              <w:rPr>
                <w:b/>
                <w:w w:val="95"/>
                <w:sz w:val="18"/>
              </w:rPr>
              <w:t>55,433</w:t>
            </w:r>
          </w:p>
        </w:tc>
        <w:tc>
          <w:tcPr>
            <w:tcW w:w="1389" w:type="dxa"/>
            <w:tcBorders>
              <w:top w:val="single" w:sz="0" w:space="0" w:color="000000"/>
              <w:bottom w:val="single" w:sz="0" w:space="0" w:color="000000"/>
            </w:tcBorders>
          </w:tcPr>
          <w:p>
            <w:pPr>
              <w:pStyle w:val="TableParagraph"/>
              <w:spacing w:before="122"/>
              <w:ind w:right="339"/>
              <w:rPr>
                <w:sz w:val="18"/>
              </w:rPr>
            </w:pPr>
            <w:r>
              <w:rPr>
                <w:w w:val="95"/>
                <w:sz w:val="18"/>
              </w:rPr>
              <w:t>49,688</w:t>
            </w:r>
          </w:p>
        </w:tc>
        <w:tc>
          <w:tcPr>
            <w:tcW w:w="1517" w:type="dxa"/>
            <w:tcBorders>
              <w:top w:val="single" w:sz="0" w:space="0" w:color="000000"/>
              <w:bottom w:val="single" w:sz="0" w:space="0" w:color="000000"/>
            </w:tcBorders>
          </w:tcPr>
          <w:p>
            <w:pPr>
              <w:pStyle w:val="TableParagraph"/>
              <w:spacing w:before="122"/>
              <w:ind w:left="574"/>
              <w:jc w:val="left"/>
              <w:rPr>
                <w:b/>
                <w:sz w:val="18"/>
              </w:rPr>
            </w:pPr>
            <w:r>
              <w:rPr>
                <w:b/>
                <w:sz w:val="18"/>
              </w:rPr>
              <w:t>52,674</w:t>
            </w:r>
          </w:p>
        </w:tc>
        <w:tc>
          <w:tcPr>
            <w:tcW w:w="993" w:type="dxa"/>
            <w:tcBorders>
              <w:top w:val="single" w:sz="0" w:space="0" w:color="000000"/>
              <w:bottom w:val="single" w:sz="0" w:space="0" w:color="000000"/>
            </w:tcBorders>
          </w:tcPr>
          <w:p>
            <w:pPr>
              <w:pStyle w:val="TableParagraph"/>
              <w:spacing w:before="122"/>
              <w:ind w:right="85"/>
              <w:rPr>
                <w:sz w:val="18"/>
              </w:rPr>
            </w:pPr>
            <w:r>
              <w:rPr>
                <w:w w:val="95"/>
                <w:sz w:val="18"/>
              </w:rPr>
              <w:t>39,499</w:t>
            </w:r>
          </w:p>
        </w:tc>
      </w:tr>
    </w:tbl>
    <w:p>
      <w:pPr>
        <w:spacing w:after="0"/>
        <w:rPr>
          <w:sz w:val="18"/>
        </w:rPr>
        <w:sectPr>
          <w:pgSz w:w="12750" w:h="17680"/>
          <w:pgMar w:header="0" w:footer="927" w:top="2640" w:bottom="1120" w:left="0" w:right="0"/>
        </w:sectPr>
      </w:pPr>
    </w:p>
    <w:p>
      <w:pPr>
        <w:pStyle w:val="BodyText"/>
        <w:rPr>
          <w:sz w:val="20"/>
        </w:rPr>
      </w:pPr>
    </w:p>
    <w:p>
      <w:pPr>
        <w:pStyle w:val="BodyText"/>
        <w:rPr>
          <w:sz w:val="20"/>
        </w:rPr>
      </w:pPr>
    </w:p>
    <w:p>
      <w:pPr>
        <w:pStyle w:val="BodyText"/>
        <w:spacing w:before="4"/>
      </w:pPr>
    </w:p>
    <w:p>
      <w:pPr>
        <w:pStyle w:val="Heading8"/>
        <w:ind w:left="1429"/>
      </w:pPr>
      <w:bookmarkStart w:name="10 Gain on disposal of assets" w:id="73"/>
      <w:bookmarkEnd w:id="73"/>
      <w:r>
        <w:rPr>
          <w:b w:val="0"/>
        </w:rPr>
      </w:r>
      <w:r>
        <w:rPr/>
        <w:t>10    Gain on disposal of assets</w:t>
      </w:r>
    </w:p>
    <w:p>
      <w:pPr>
        <w:tabs>
          <w:tab w:pos="9703" w:val="left" w:leader="none"/>
        </w:tabs>
        <w:spacing w:before="63"/>
        <w:ind w:left="6663" w:right="0" w:firstLine="0"/>
        <w:jc w:val="left"/>
        <w:rPr>
          <w:b/>
          <w:sz w:val="18"/>
        </w:rPr>
      </w:pPr>
      <w:r>
        <w:rPr>
          <w:b/>
          <w:sz w:val="18"/>
        </w:rPr>
        <w:t>Consolidated</w:t>
        <w:tab/>
        <w:t>Parent</w:t>
      </w:r>
    </w:p>
    <w:p>
      <w:pPr>
        <w:spacing w:after="0"/>
        <w:jc w:val="left"/>
        <w:rPr>
          <w:sz w:val="18"/>
        </w:rPr>
        <w:sectPr>
          <w:pgSz w:w="12750" w:h="17680"/>
          <w:pgMar w:header="0" w:footer="927" w:top="2640" w:bottom="1120" w:left="0" w:right="0"/>
        </w:sectPr>
      </w:pPr>
    </w:p>
    <w:p>
      <w:pPr>
        <w:spacing w:before="96"/>
        <w:ind w:left="0" w:right="19" w:firstLine="0"/>
        <w:jc w:val="right"/>
        <w:rPr>
          <w:b/>
          <w:sz w:val="18"/>
        </w:rPr>
      </w:pPr>
      <w:r>
        <w:rPr>
          <w:b/>
          <w:sz w:val="18"/>
        </w:rPr>
        <w:t>2016</w:t>
      </w:r>
    </w:p>
    <w:p>
      <w:pPr>
        <w:spacing w:before="66"/>
        <w:ind w:left="0" w:right="0" w:firstLine="0"/>
        <w:jc w:val="right"/>
        <w:rPr>
          <w:b/>
          <w:sz w:val="18"/>
        </w:rPr>
      </w:pPr>
      <w:r>
        <w:rPr>
          <w:b/>
          <w:sz w:val="18"/>
        </w:rPr>
        <w:t>$'000</w:t>
      </w:r>
    </w:p>
    <w:p>
      <w:pPr>
        <w:spacing w:before="96"/>
        <w:ind w:left="822" w:right="-17" w:firstLine="0"/>
        <w:jc w:val="left"/>
        <w:rPr>
          <w:b/>
          <w:sz w:val="18"/>
        </w:rPr>
      </w:pPr>
      <w:r>
        <w:rPr/>
        <w:br w:type="column"/>
      </w:r>
      <w:r>
        <w:rPr>
          <w:b/>
          <w:sz w:val="18"/>
        </w:rPr>
        <w:t>2015</w:t>
      </w:r>
    </w:p>
    <w:p>
      <w:pPr>
        <w:spacing w:before="66"/>
        <w:ind w:left="801" w:right="-17" w:firstLine="0"/>
        <w:jc w:val="left"/>
        <w:rPr>
          <w:b/>
          <w:sz w:val="18"/>
        </w:rPr>
      </w:pPr>
      <w:r>
        <w:rPr>
          <w:b/>
          <w:spacing w:val="-1"/>
          <w:sz w:val="18"/>
        </w:rPr>
        <w:t>$'000</w:t>
      </w:r>
    </w:p>
    <w:p>
      <w:pPr>
        <w:spacing w:before="96"/>
        <w:ind w:left="0" w:right="19" w:firstLine="0"/>
        <w:jc w:val="right"/>
        <w:rPr>
          <w:b/>
          <w:sz w:val="18"/>
        </w:rPr>
      </w:pPr>
      <w:r>
        <w:rPr/>
        <w:br w:type="column"/>
      </w:r>
      <w:r>
        <w:rPr>
          <w:b/>
          <w:sz w:val="18"/>
        </w:rPr>
        <w:t>2016</w:t>
      </w:r>
    </w:p>
    <w:p>
      <w:pPr>
        <w:spacing w:before="66"/>
        <w:ind w:left="0" w:right="0" w:firstLine="0"/>
        <w:jc w:val="right"/>
        <w:rPr>
          <w:b/>
          <w:sz w:val="18"/>
        </w:rPr>
      </w:pPr>
      <w:r>
        <w:rPr>
          <w:b/>
          <w:sz w:val="18"/>
        </w:rPr>
        <w:t>$'000</w:t>
      </w:r>
    </w:p>
    <w:p>
      <w:pPr>
        <w:spacing w:before="96"/>
        <w:ind w:left="822" w:right="0" w:firstLine="0"/>
        <w:jc w:val="left"/>
        <w:rPr>
          <w:b/>
          <w:sz w:val="18"/>
        </w:rPr>
      </w:pPr>
      <w:r>
        <w:rPr/>
        <w:br w:type="column"/>
      </w:r>
      <w:r>
        <w:rPr>
          <w:b/>
          <w:sz w:val="18"/>
        </w:rPr>
        <w:t>2015</w:t>
      </w:r>
    </w:p>
    <w:p>
      <w:pPr>
        <w:spacing w:before="66"/>
        <w:ind w:left="801" w:right="0" w:firstLine="0"/>
        <w:jc w:val="left"/>
        <w:rPr>
          <w:b/>
          <w:sz w:val="18"/>
        </w:rPr>
      </w:pPr>
      <w:r>
        <w:rPr>
          <w:b/>
          <w:sz w:val="18"/>
        </w:rPr>
        <w:t>$'000</w:t>
      </w:r>
    </w:p>
    <w:p>
      <w:pPr>
        <w:spacing w:after="0"/>
        <w:jc w:val="left"/>
        <w:rPr>
          <w:sz w:val="18"/>
        </w:rPr>
        <w:sectPr>
          <w:type w:val="continuous"/>
          <w:pgSz w:w="12750" w:h="17680"/>
          <w:pgMar w:top="1660" w:bottom="0" w:left="0" w:right="0"/>
          <w:cols w:num="4" w:equalWidth="0">
            <w:col w:w="6877" w:space="40"/>
            <w:col w:w="1243" w:space="40"/>
            <w:col w:w="1441" w:space="40"/>
            <w:col w:w="3069"/>
          </w:cols>
        </w:sectPr>
      </w:pPr>
    </w:p>
    <w:p>
      <w:pPr>
        <w:pStyle w:val="BodyText"/>
        <w:spacing w:before="1"/>
        <w:rPr>
          <w:b/>
          <w:sz w:val="3"/>
        </w:rPr>
      </w:pPr>
      <w:r>
        <w:rPr/>
        <w:drawing>
          <wp:anchor distT="0" distB="0" distL="0" distR="0" allowOverlap="1" layoutInCell="1" locked="0" behindDoc="0" simplePos="0" relativeHeight="3376">
            <wp:simplePos x="0" y="0"/>
            <wp:positionH relativeFrom="page">
              <wp:posOffset>-1587</wp:posOffset>
            </wp:positionH>
            <wp:positionV relativeFrom="page">
              <wp:posOffset>5534342</wp:posOffset>
            </wp:positionV>
            <wp:extent cx="135159" cy="154019"/>
            <wp:effectExtent l="0" t="0" r="0" b="0"/>
            <wp:wrapNone/>
            <wp:docPr id="179" name="image13.png" descr=""/>
            <wp:cNvGraphicFramePr>
              <a:graphicFrameLocks noChangeAspect="1"/>
            </wp:cNvGraphicFramePr>
            <a:graphic>
              <a:graphicData uri="http://schemas.openxmlformats.org/drawingml/2006/picture">
                <pic:pic>
                  <pic:nvPicPr>
                    <pic:cNvPr id="180" name="image13.png"/>
                    <pic:cNvPicPr/>
                  </pic:nvPicPr>
                  <pic:blipFill>
                    <a:blip r:embed="rId18" cstate="print"/>
                    <a:stretch>
                      <a:fillRect/>
                    </a:stretch>
                  </pic:blipFill>
                  <pic:spPr>
                    <a:xfrm>
                      <a:off x="0" y="0"/>
                      <a:ext cx="135159" cy="154019"/>
                    </a:xfrm>
                    <a:prstGeom prst="rect">
                      <a:avLst/>
                    </a:prstGeom>
                  </pic:spPr>
                </pic:pic>
              </a:graphicData>
            </a:graphic>
          </wp:anchor>
        </w:drawing>
      </w:r>
      <w:r>
        <w:rPr/>
        <w:drawing>
          <wp:anchor distT="0" distB="0" distL="0" distR="0" allowOverlap="1" layoutInCell="1" locked="0" behindDoc="0" simplePos="0" relativeHeight="3400">
            <wp:simplePos x="0" y="0"/>
            <wp:positionH relativeFrom="page">
              <wp:posOffset>7958429</wp:posOffset>
            </wp:positionH>
            <wp:positionV relativeFrom="page">
              <wp:posOffset>5534342</wp:posOffset>
            </wp:positionV>
            <wp:extent cx="135953" cy="155575"/>
            <wp:effectExtent l="0" t="0" r="0" b="0"/>
            <wp:wrapNone/>
            <wp:docPr id="181" name="image15.png" descr=""/>
            <wp:cNvGraphicFramePr>
              <a:graphicFrameLocks noChangeAspect="1"/>
            </wp:cNvGraphicFramePr>
            <a:graphic>
              <a:graphicData uri="http://schemas.openxmlformats.org/drawingml/2006/picture">
                <pic:pic>
                  <pic:nvPicPr>
                    <pic:cNvPr id="182" name="image15.png"/>
                    <pic:cNvPicPr/>
                  </pic:nvPicPr>
                  <pic:blipFill>
                    <a:blip r:embed="rId20" cstate="print"/>
                    <a:stretch>
                      <a:fillRect/>
                    </a:stretch>
                  </pic:blipFill>
                  <pic:spPr>
                    <a:xfrm>
                      <a:off x="0" y="0"/>
                      <a:ext cx="135953" cy="155575"/>
                    </a:xfrm>
                    <a:prstGeom prst="rect">
                      <a:avLst/>
                    </a:prstGeom>
                  </pic:spPr>
                </pic:pic>
              </a:graphicData>
            </a:graphic>
          </wp:anchor>
        </w:drawing>
      </w:r>
    </w:p>
    <w:tbl>
      <w:tblPr>
        <w:tblW w:w="0" w:type="auto"/>
        <w:jc w:val="left"/>
        <w:tblInd w:w="183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981"/>
        <w:gridCol w:w="1752"/>
        <w:gridCol w:w="1382"/>
        <w:gridCol w:w="1382"/>
        <w:gridCol w:w="1011"/>
      </w:tblGrid>
      <w:tr>
        <w:trPr>
          <w:trHeight w:val="301" w:hRule="exact"/>
        </w:trPr>
        <w:tc>
          <w:tcPr>
            <w:tcW w:w="3981" w:type="dxa"/>
          </w:tcPr>
          <w:p>
            <w:pPr>
              <w:pStyle w:val="TableParagraph"/>
              <w:spacing w:before="57"/>
              <w:ind w:left="35"/>
              <w:jc w:val="left"/>
              <w:rPr>
                <w:sz w:val="18"/>
              </w:rPr>
            </w:pPr>
            <w:r>
              <w:rPr>
                <w:sz w:val="18"/>
              </w:rPr>
              <w:t>Proceeds from sale</w:t>
            </w:r>
          </w:p>
        </w:tc>
        <w:tc>
          <w:tcPr>
            <w:tcW w:w="1752" w:type="dxa"/>
          </w:tcPr>
          <w:p>
            <w:pPr>
              <w:pStyle w:val="TableParagraph"/>
              <w:spacing w:before="56"/>
              <w:ind w:right="371"/>
              <w:rPr>
                <w:b/>
                <w:sz w:val="18"/>
              </w:rPr>
            </w:pPr>
            <w:r>
              <w:rPr>
                <w:b/>
                <w:w w:val="95"/>
                <w:sz w:val="18"/>
              </w:rPr>
              <w:t>25,771</w:t>
            </w:r>
          </w:p>
        </w:tc>
        <w:tc>
          <w:tcPr>
            <w:tcW w:w="1382" w:type="dxa"/>
          </w:tcPr>
          <w:p>
            <w:pPr>
              <w:pStyle w:val="TableParagraph"/>
              <w:spacing w:before="56"/>
              <w:ind w:right="457"/>
              <w:rPr>
                <w:sz w:val="18"/>
              </w:rPr>
            </w:pPr>
            <w:r>
              <w:rPr>
                <w:w w:val="95"/>
                <w:sz w:val="18"/>
              </w:rPr>
              <w:t>31,939</w:t>
            </w:r>
          </w:p>
        </w:tc>
        <w:tc>
          <w:tcPr>
            <w:tcW w:w="1382" w:type="dxa"/>
          </w:tcPr>
          <w:p>
            <w:pPr>
              <w:pStyle w:val="TableParagraph"/>
              <w:spacing w:before="56"/>
              <w:ind w:left="378" w:right="292"/>
              <w:jc w:val="center"/>
              <w:rPr>
                <w:b/>
                <w:sz w:val="18"/>
              </w:rPr>
            </w:pPr>
            <w:r>
              <w:rPr>
                <w:b/>
                <w:sz w:val="18"/>
              </w:rPr>
              <w:t>25,306</w:t>
            </w:r>
          </w:p>
        </w:tc>
        <w:tc>
          <w:tcPr>
            <w:tcW w:w="1011" w:type="dxa"/>
          </w:tcPr>
          <w:p>
            <w:pPr>
              <w:pStyle w:val="TableParagraph"/>
              <w:spacing w:before="56"/>
              <w:ind w:right="86"/>
              <w:rPr>
                <w:sz w:val="18"/>
              </w:rPr>
            </w:pPr>
            <w:r>
              <w:rPr>
                <w:w w:val="95"/>
                <w:sz w:val="18"/>
              </w:rPr>
              <w:t>31,866</w:t>
            </w:r>
          </w:p>
        </w:tc>
      </w:tr>
      <w:tr>
        <w:trPr>
          <w:trHeight w:val="262" w:hRule="exact"/>
        </w:trPr>
        <w:tc>
          <w:tcPr>
            <w:tcW w:w="3981" w:type="dxa"/>
          </w:tcPr>
          <w:p>
            <w:pPr>
              <w:pStyle w:val="TableParagraph"/>
              <w:spacing w:before="19"/>
              <w:ind w:left="35"/>
              <w:jc w:val="left"/>
              <w:rPr>
                <w:sz w:val="18"/>
              </w:rPr>
            </w:pPr>
            <w:r>
              <w:rPr>
                <w:sz w:val="18"/>
              </w:rPr>
              <w:t>Carrying amount of assets sold</w:t>
            </w:r>
          </w:p>
        </w:tc>
        <w:tc>
          <w:tcPr>
            <w:tcW w:w="1752" w:type="dxa"/>
            <w:tcBorders>
              <w:bottom w:val="single" w:sz="0" w:space="0" w:color="000000"/>
            </w:tcBorders>
          </w:tcPr>
          <w:p>
            <w:pPr>
              <w:pStyle w:val="TableParagraph"/>
              <w:spacing w:before="18"/>
              <w:ind w:right="311"/>
              <w:rPr>
                <w:b/>
                <w:sz w:val="18"/>
              </w:rPr>
            </w:pPr>
            <w:r>
              <w:rPr>
                <w:b/>
                <w:w w:val="95"/>
                <w:sz w:val="18"/>
              </w:rPr>
              <w:t>(12,580)</w:t>
            </w:r>
          </w:p>
        </w:tc>
        <w:tc>
          <w:tcPr>
            <w:tcW w:w="1382" w:type="dxa"/>
            <w:tcBorders>
              <w:bottom w:val="single" w:sz="0" w:space="0" w:color="000000"/>
            </w:tcBorders>
          </w:tcPr>
          <w:p>
            <w:pPr>
              <w:pStyle w:val="TableParagraph"/>
              <w:spacing w:before="18"/>
              <w:ind w:right="397"/>
              <w:rPr>
                <w:sz w:val="18"/>
              </w:rPr>
            </w:pPr>
            <w:r>
              <w:rPr>
                <w:w w:val="95"/>
                <w:sz w:val="18"/>
              </w:rPr>
              <w:t>(25,050)</w:t>
            </w:r>
          </w:p>
        </w:tc>
        <w:tc>
          <w:tcPr>
            <w:tcW w:w="1382" w:type="dxa"/>
            <w:tcBorders>
              <w:bottom w:val="single" w:sz="0" w:space="0" w:color="000000"/>
            </w:tcBorders>
          </w:tcPr>
          <w:p>
            <w:pPr>
              <w:pStyle w:val="TableParagraph"/>
              <w:spacing w:before="18"/>
              <w:ind w:left="378" w:right="293"/>
              <w:jc w:val="center"/>
              <w:rPr>
                <w:b/>
                <w:sz w:val="18"/>
              </w:rPr>
            </w:pPr>
            <w:r>
              <w:rPr>
                <w:b/>
                <w:sz w:val="18"/>
              </w:rPr>
              <w:t>(12,464)</w:t>
            </w:r>
          </w:p>
        </w:tc>
        <w:tc>
          <w:tcPr>
            <w:tcW w:w="1011" w:type="dxa"/>
            <w:tcBorders>
              <w:bottom w:val="single" w:sz="0" w:space="0" w:color="000000"/>
            </w:tcBorders>
          </w:tcPr>
          <w:p>
            <w:pPr>
              <w:pStyle w:val="TableParagraph"/>
              <w:spacing w:before="18"/>
              <w:ind w:right="27"/>
              <w:rPr>
                <w:sz w:val="18"/>
              </w:rPr>
            </w:pPr>
            <w:r>
              <w:rPr>
                <w:w w:val="95"/>
                <w:sz w:val="18"/>
              </w:rPr>
              <w:t>(24,871)</w:t>
            </w:r>
          </w:p>
        </w:tc>
      </w:tr>
      <w:tr>
        <w:trPr>
          <w:trHeight w:val="353" w:hRule="exact"/>
        </w:trPr>
        <w:tc>
          <w:tcPr>
            <w:tcW w:w="3981" w:type="dxa"/>
          </w:tcPr>
          <w:p>
            <w:pPr>
              <w:pStyle w:val="TableParagraph"/>
              <w:spacing w:before="123"/>
              <w:ind w:left="35"/>
              <w:jc w:val="left"/>
              <w:rPr>
                <w:b/>
                <w:sz w:val="18"/>
              </w:rPr>
            </w:pPr>
            <w:bookmarkStart w:name="11 Employee related expenses" w:id="74"/>
            <w:bookmarkEnd w:id="74"/>
            <w:r>
              <w:rPr/>
            </w:r>
            <w:r>
              <w:rPr>
                <w:b/>
                <w:sz w:val="18"/>
              </w:rPr>
              <w:t>Total gain on disposal of assets</w:t>
            </w:r>
          </w:p>
        </w:tc>
        <w:tc>
          <w:tcPr>
            <w:tcW w:w="1752" w:type="dxa"/>
            <w:tcBorders>
              <w:top w:val="single" w:sz="0" w:space="0" w:color="000000"/>
              <w:bottom w:val="single" w:sz="0" w:space="0" w:color="000000"/>
            </w:tcBorders>
          </w:tcPr>
          <w:p>
            <w:pPr>
              <w:pStyle w:val="TableParagraph"/>
              <w:spacing w:before="122"/>
              <w:ind w:right="371"/>
              <w:rPr>
                <w:b/>
                <w:sz w:val="18"/>
              </w:rPr>
            </w:pPr>
            <w:r>
              <w:rPr>
                <w:b/>
                <w:w w:val="95"/>
                <w:sz w:val="18"/>
              </w:rPr>
              <w:t>13,191</w:t>
            </w:r>
          </w:p>
        </w:tc>
        <w:tc>
          <w:tcPr>
            <w:tcW w:w="1382" w:type="dxa"/>
            <w:tcBorders>
              <w:top w:val="single" w:sz="0" w:space="0" w:color="000000"/>
              <w:bottom w:val="single" w:sz="0" w:space="0" w:color="000000"/>
            </w:tcBorders>
          </w:tcPr>
          <w:p>
            <w:pPr>
              <w:pStyle w:val="TableParagraph"/>
              <w:spacing w:before="122"/>
              <w:ind w:right="457"/>
              <w:rPr>
                <w:sz w:val="18"/>
              </w:rPr>
            </w:pPr>
            <w:r>
              <w:rPr>
                <w:sz w:val="18"/>
              </w:rPr>
              <w:t>6,889</w:t>
            </w:r>
          </w:p>
        </w:tc>
        <w:tc>
          <w:tcPr>
            <w:tcW w:w="1382" w:type="dxa"/>
            <w:tcBorders>
              <w:top w:val="single" w:sz="0" w:space="0" w:color="000000"/>
              <w:bottom w:val="single" w:sz="0" w:space="0" w:color="000000"/>
            </w:tcBorders>
          </w:tcPr>
          <w:p>
            <w:pPr>
              <w:pStyle w:val="TableParagraph"/>
              <w:spacing w:before="122"/>
              <w:ind w:left="378" w:right="292"/>
              <w:jc w:val="center"/>
              <w:rPr>
                <w:b/>
                <w:sz w:val="18"/>
              </w:rPr>
            </w:pPr>
            <w:r>
              <w:rPr>
                <w:b/>
                <w:sz w:val="18"/>
              </w:rPr>
              <w:t>12,842</w:t>
            </w:r>
          </w:p>
        </w:tc>
        <w:tc>
          <w:tcPr>
            <w:tcW w:w="1011" w:type="dxa"/>
            <w:tcBorders>
              <w:top w:val="single" w:sz="0" w:space="0" w:color="000000"/>
              <w:bottom w:val="single" w:sz="0" w:space="0" w:color="000000"/>
            </w:tcBorders>
          </w:tcPr>
          <w:p>
            <w:pPr>
              <w:pStyle w:val="TableParagraph"/>
              <w:spacing w:before="122"/>
              <w:ind w:right="86"/>
              <w:rPr>
                <w:sz w:val="18"/>
              </w:rPr>
            </w:pPr>
            <w:r>
              <w:rPr>
                <w:sz w:val="18"/>
              </w:rPr>
              <w:t>6,995</w:t>
            </w:r>
          </w:p>
        </w:tc>
      </w:tr>
    </w:tbl>
    <w:p>
      <w:pPr>
        <w:pStyle w:val="BodyText"/>
        <w:rPr>
          <w:b/>
          <w:sz w:val="20"/>
        </w:rPr>
      </w:pPr>
    </w:p>
    <w:p>
      <w:pPr>
        <w:pStyle w:val="BodyText"/>
        <w:spacing w:before="6"/>
        <w:rPr>
          <w:b/>
          <w:sz w:val="16"/>
        </w:rPr>
      </w:pPr>
    </w:p>
    <w:tbl>
      <w:tblPr>
        <w:tblW w:w="0" w:type="auto"/>
        <w:jc w:val="left"/>
        <w:tblInd w:w="139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10"/>
        <w:gridCol w:w="4011"/>
        <w:gridCol w:w="1630"/>
        <w:gridCol w:w="1389"/>
        <w:gridCol w:w="1523"/>
        <w:gridCol w:w="986"/>
      </w:tblGrid>
      <w:tr>
        <w:trPr>
          <w:trHeight w:val="567" w:hRule="exact"/>
        </w:trPr>
        <w:tc>
          <w:tcPr>
            <w:tcW w:w="410" w:type="dxa"/>
          </w:tcPr>
          <w:p>
            <w:pPr>
              <w:pStyle w:val="TableParagraph"/>
              <w:spacing w:before="77"/>
              <w:ind w:left="35"/>
              <w:jc w:val="left"/>
              <w:rPr>
                <w:b/>
                <w:sz w:val="18"/>
              </w:rPr>
            </w:pPr>
            <w:r>
              <w:rPr>
                <w:b/>
                <w:sz w:val="18"/>
              </w:rPr>
              <w:t>11</w:t>
            </w:r>
          </w:p>
        </w:tc>
        <w:tc>
          <w:tcPr>
            <w:tcW w:w="4011" w:type="dxa"/>
          </w:tcPr>
          <w:p>
            <w:pPr>
              <w:pStyle w:val="TableParagraph"/>
              <w:spacing w:before="77"/>
              <w:ind w:left="21"/>
              <w:jc w:val="left"/>
              <w:rPr>
                <w:b/>
                <w:sz w:val="18"/>
              </w:rPr>
            </w:pPr>
            <w:r>
              <w:rPr>
                <w:b/>
                <w:sz w:val="18"/>
              </w:rPr>
              <w:t>Employee related expenses</w:t>
            </w:r>
          </w:p>
        </w:tc>
        <w:tc>
          <w:tcPr>
            <w:tcW w:w="3019" w:type="dxa"/>
            <w:gridSpan w:val="2"/>
          </w:tcPr>
          <w:p>
            <w:pPr>
              <w:pStyle w:val="TableParagraph"/>
              <w:jc w:val="left"/>
              <w:rPr>
                <w:b/>
                <w:sz w:val="18"/>
              </w:rPr>
            </w:pPr>
          </w:p>
          <w:p>
            <w:pPr>
              <w:pStyle w:val="TableParagraph"/>
              <w:spacing w:before="110"/>
              <w:ind w:left="826"/>
              <w:jc w:val="left"/>
              <w:rPr>
                <w:b/>
                <w:sz w:val="18"/>
              </w:rPr>
            </w:pPr>
            <w:r>
              <w:rPr>
                <w:b/>
                <w:sz w:val="18"/>
              </w:rPr>
              <w:t>Consolidated</w:t>
            </w:r>
          </w:p>
        </w:tc>
        <w:tc>
          <w:tcPr>
            <w:tcW w:w="1523" w:type="dxa"/>
          </w:tcPr>
          <w:p>
            <w:pPr>
              <w:pStyle w:val="TableParagraph"/>
              <w:jc w:val="left"/>
              <w:rPr>
                <w:b/>
                <w:sz w:val="18"/>
              </w:rPr>
            </w:pPr>
          </w:p>
          <w:p>
            <w:pPr>
              <w:pStyle w:val="TableParagraph"/>
              <w:spacing w:before="110"/>
              <w:ind w:left="860"/>
              <w:jc w:val="left"/>
              <w:rPr>
                <w:b/>
                <w:sz w:val="18"/>
              </w:rPr>
            </w:pPr>
            <w:r>
              <w:rPr>
                <w:b/>
                <w:sz w:val="18"/>
              </w:rPr>
              <w:t>Parent</w:t>
            </w:r>
          </w:p>
        </w:tc>
        <w:tc>
          <w:tcPr>
            <w:tcW w:w="986" w:type="dxa"/>
          </w:tcPr>
          <w:p>
            <w:pPr/>
          </w:p>
        </w:tc>
      </w:tr>
      <w:tr>
        <w:trPr>
          <w:trHeight w:val="274" w:hRule="exact"/>
        </w:trPr>
        <w:tc>
          <w:tcPr>
            <w:tcW w:w="410" w:type="dxa"/>
          </w:tcPr>
          <w:p>
            <w:pPr/>
          </w:p>
        </w:tc>
        <w:tc>
          <w:tcPr>
            <w:tcW w:w="4011" w:type="dxa"/>
          </w:tcPr>
          <w:p>
            <w:pPr/>
          </w:p>
        </w:tc>
        <w:tc>
          <w:tcPr>
            <w:tcW w:w="1630" w:type="dxa"/>
          </w:tcPr>
          <w:p>
            <w:pPr>
              <w:pStyle w:val="TableParagraph"/>
              <w:spacing w:before="24"/>
              <w:ind w:left="619"/>
              <w:jc w:val="left"/>
              <w:rPr>
                <w:b/>
                <w:sz w:val="18"/>
              </w:rPr>
            </w:pPr>
            <w:r>
              <w:rPr>
                <w:b/>
                <w:sz w:val="18"/>
              </w:rPr>
              <w:t>2016</w:t>
            </w:r>
          </w:p>
        </w:tc>
        <w:tc>
          <w:tcPr>
            <w:tcW w:w="1389" w:type="dxa"/>
          </w:tcPr>
          <w:p>
            <w:pPr>
              <w:pStyle w:val="TableParagraph"/>
              <w:spacing w:before="24"/>
              <w:ind w:left="272"/>
              <w:jc w:val="left"/>
              <w:rPr>
                <w:b/>
                <w:sz w:val="18"/>
              </w:rPr>
            </w:pPr>
            <w:r>
              <w:rPr>
                <w:b/>
                <w:sz w:val="18"/>
              </w:rPr>
              <w:t>2015</w:t>
            </w:r>
          </w:p>
        </w:tc>
        <w:tc>
          <w:tcPr>
            <w:tcW w:w="1523" w:type="dxa"/>
          </w:tcPr>
          <w:p>
            <w:pPr>
              <w:pStyle w:val="TableParagraph"/>
              <w:spacing w:before="24"/>
              <w:ind w:left="364"/>
              <w:jc w:val="left"/>
              <w:rPr>
                <w:b/>
                <w:sz w:val="18"/>
              </w:rPr>
            </w:pPr>
            <w:r>
              <w:rPr>
                <w:b/>
                <w:sz w:val="18"/>
              </w:rPr>
              <w:t>2016</w:t>
            </w:r>
          </w:p>
        </w:tc>
        <w:tc>
          <w:tcPr>
            <w:tcW w:w="986" w:type="dxa"/>
          </w:tcPr>
          <w:p>
            <w:pPr>
              <w:pStyle w:val="TableParagraph"/>
              <w:spacing w:before="24"/>
              <w:ind w:left="124"/>
              <w:jc w:val="left"/>
              <w:rPr>
                <w:b/>
                <w:sz w:val="18"/>
              </w:rPr>
            </w:pPr>
            <w:r>
              <w:rPr>
                <w:b/>
                <w:sz w:val="18"/>
              </w:rPr>
              <w:t>2015</w:t>
            </w:r>
          </w:p>
        </w:tc>
      </w:tr>
      <w:tr>
        <w:trPr>
          <w:trHeight w:val="313" w:hRule="exact"/>
        </w:trPr>
        <w:tc>
          <w:tcPr>
            <w:tcW w:w="410" w:type="dxa"/>
          </w:tcPr>
          <w:p>
            <w:pPr/>
          </w:p>
        </w:tc>
        <w:tc>
          <w:tcPr>
            <w:tcW w:w="4011" w:type="dxa"/>
          </w:tcPr>
          <w:p>
            <w:pPr/>
          </w:p>
        </w:tc>
        <w:tc>
          <w:tcPr>
            <w:tcW w:w="1630" w:type="dxa"/>
          </w:tcPr>
          <w:p>
            <w:pPr>
              <w:pStyle w:val="TableParagraph"/>
              <w:spacing w:before="24"/>
              <w:ind w:left="597"/>
              <w:jc w:val="left"/>
              <w:rPr>
                <w:b/>
                <w:sz w:val="18"/>
              </w:rPr>
            </w:pPr>
            <w:r>
              <w:rPr>
                <w:b/>
                <w:sz w:val="18"/>
              </w:rPr>
              <w:t>$'000</w:t>
            </w:r>
          </w:p>
        </w:tc>
        <w:tc>
          <w:tcPr>
            <w:tcW w:w="1389" w:type="dxa"/>
          </w:tcPr>
          <w:p>
            <w:pPr>
              <w:pStyle w:val="TableParagraph"/>
              <w:spacing w:before="24"/>
              <w:ind w:left="250"/>
              <w:jc w:val="left"/>
              <w:rPr>
                <w:b/>
                <w:sz w:val="18"/>
              </w:rPr>
            </w:pPr>
            <w:r>
              <w:rPr>
                <w:b/>
                <w:sz w:val="18"/>
              </w:rPr>
              <w:t>$'000</w:t>
            </w:r>
          </w:p>
        </w:tc>
        <w:tc>
          <w:tcPr>
            <w:tcW w:w="1523" w:type="dxa"/>
          </w:tcPr>
          <w:p>
            <w:pPr>
              <w:pStyle w:val="TableParagraph"/>
              <w:spacing w:before="24"/>
              <w:ind w:left="342"/>
              <w:jc w:val="left"/>
              <w:rPr>
                <w:b/>
                <w:sz w:val="18"/>
              </w:rPr>
            </w:pPr>
            <w:r>
              <w:rPr>
                <w:b/>
                <w:sz w:val="18"/>
              </w:rPr>
              <w:t>$'000</w:t>
            </w:r>
          </w:p>
        </w:tc>
        <w:tc>
          <w:tcPr>
            <w:tcW w:w="986" w:type="dxa"/>
          </w:tcPr>
          <w:p>
            <w:pPr>
              <w:pStyle w:val="TableParagraph"/>
              <w:spacing w:before="24"/>
              <w:ind w:left="102"/>
              <w:jc w:val="left"/>
              <w:rPr>
                <w:b/>
                <w:sz w:val="18"/>
              </w:rPr>
            </w:pPr>
            <w:r>
              <w:rPr>
                <w:b/>
                <w:sz w:val="18"/>
              </w:rPr>
              <w:t>$'000</w:t>
            </w:r>
          </w:p>
        </w:tc>
      </w:tr>
      <w:tr>
        <w:trPr>
          <w:trHeight w:val="294" w:hRule="exact"/>
        </w:trPr>
        <w:tc>
          <w:tcPr>
            <w:tcW w:w="410" w:type="dxa"/>
          </w:tcPr>
          <w:p>
            <w:pPr/>
          </w:p>
        </w:tc>
        <w:tc>
          <w:tcPr>
            <w:tcW w:w="4011" w:type="dxa"/>
          </w:tcPr>
          <w:p>
            <w:pPr>
              <w:pStyle w:val="TableParagraph"/>
              <w:spacing w:before="63"/>
              <w:ind w:left="48"/>
              <w:jc w:val="left"/>
              <w:rPr>
                <w:b/>
                <w:sz w:val="18"/>
              </w:rPr>
            </w:pPr>
            <w:r>
              <w:rPr>
                <w:b/>
                <w:sz w:val="18"/>
              </w:rPr>
              <w:t>Academic</w:t>
            </w:r>
          </w:p>
        </w:tc>
        <w:tc>
          <w:tcPr>
            <w:tcW w:w="1630" w:type="dxa"/>
          </w:tcPr>
          <w:p>
            <w:pPr/>
          </w:p>
        </w:tc>
        <w:tc>
          <w:tcPr>
            <w:tcW w:w="1389" w:type="dxa"/>
          </w:tcPr>
          <w:p>
            <w:pPr/>
          </w:p>
        </w:tc>
        <w:tc>
          <w:tcPr>
            <w:tcW w:w="1523" w:type="dxa"/>
          </w:tcPr>
          <w:p>
            <w:pPr/>
          </w:p>
        </w:tc>
        <w:tc>
          <w:tcPr>
            <w:tcW w:w="986" w:type="dxa"/>
          </w:tcPr>
          <w:p>
            <w:pPr/>
          </w:p>
        </w:tc>
      </w:tr>
      <w:tr>
        <w:trPr>
          <w:trHeight w:val="250" w:hRule="exact"/>
        </w:trPr>
        <w:tc>
          <w:tcPr>
            <w:tcW w:w="410" w:type="dxa"/>
          </w:tcPr>
          <w:p>
            <w:pPr/>
          </w:p>
        </w:tc>
        <w:tc>
          <w:tcPr>
            <w:tcW w:w="4011" w:type="dxa"/>
          </w:tcPr>
          <w:p>
            <w:pPr>
              <w:pStyle w:val="TableParagraph"/>
              <w:spacing w:before="6"/>
              <w:ind w:left="263"/>
              <w:jc w:val="left"/>
              <w:rPr>
                <w:sz w:val="18"/>
              </w:rPr>
            </w:pPr>
            <w:r>
              <w:rPr>
                <w:sz w:val="18"/>
              </w:rPr>
              <w:t>Salaries</w:t>
            </w:r>
          </w:p>
        </w:tc>
        <w:tc>
          <w:tcPr>
            <w:tcW w:w="1630" w:type="dxa"/>
          </w:tcPr>
          <w:p>
            <w:pPr>
              <w:pStyle w:val="TableParagraph"/>
              <w:spacing w:before="4"/>
              <w:ind w:right="248"/>
              <w:rPr>
                <w:b/>
                <w:sz w:val="18"/>
              </w:rPr>
            </w:pPr>
            <w:r>
              <w:rPr>
                <w:b/>
                <w:w w:val="95"/>
                <w:sz w:val="18"/>
              </w:rPr>
              <w:t>191,081</w:t>
            </w:r>
          </w:p>
        </w:tc>
        <w:tc>
          <w:tcPr>
            <w:tcW w:w="1389" w:type="dxa"/>
          </w:tcPr>
          <w:p>
            <w:pPr>
              <w:pStyle w:val="TableParagraph"/>
              <w:spacing w:before="4"/>
              <w:ind w:right="340"/>
              <w:rPr>
                <w:sz w:val="18"/>
              </w:rPr>
            </w:pPr>
            <w:r>
              <w:rPr>
                <w:w w:val="95"/>
                <w:sz w:val="18"/>
              </w:rPr>
              <w:t>178,054</w:t>
            </w:r>
          </w:p>
        </w:tc>
        <w:tc>
          <w:tcPr>
            <w:tcW w:w="1523" w:type="dxa"/>
          </w:tcPr>
          <w:p>
            <w:pPr>
              <w:pStyle w:val="TableParagraph"/>
              <w:spacing w:before="4"/>
              <w:ind w:left="475"/>
              <w:jc w:val="left"/>
              <w:rPr>
                <w:b/>
                <w:sz w:val="18"/>
              </w:rPr>
            </w:pPr>
            <w:r>
              <w:rPr>
                <w:b/>
                <w:sz w:val="18"/>
              </w:rPr>
              <w:t>170,181</w:t>
            </w:r>
          </w:p>
        </w:tc>
        <w:tc>
          <w:tcPr>
            <w:tcW w:w="986" w:type="dxa"/>
          </w:tcPr>
          <w:p>
            <w:pPr>
              <w:pStyle w:val="TableParagraph"/>
              <w:spacing w:before="4"/>
              <w:ind w:right="85"/>
              <w:rPr>
                <w:sz w:val="18"/>
              </w:rPr>
            </w:pPr>
            <w:r>
              <w:rPr>
                <w:w w:val="95"/>
                <w:sz w:val="18"/>
              </w:rPr>
              <w:t>156,647</w:t>
            </w:r>
          </w:p>
        </w:tc>
      </w:tr>
      <w:tr>
        <w:trPr>
          <w:trHeight w:val="233" w:hRule="exact"/>
        </w:trPr>
        <w:tc>
          <w:tcPr>
            <w:tcW w:w="410" w:type="dxa"/>
          </w:tcPr>
          <w:p>
            <w:pPr/>
          </w:p>
        </w:tc>
        <w:tc>
          <w:tcPr>
            <w:tcW w:w="4011" w:type="dxa"/>
          </w:tcPr>
          <w:p>
            <w:pPr>
              <w:pStyle w:val="TableParagraph"/>
              <w:spacing w:before="18"/>
              <w:ind w:left="263"/>
              <w:jc w:val="left"/>
              <w:rPr>
                <w:sz w:val="18"/>
              </w:rPr>
            </w:pPr>
            <w:r>
              <w:rPr>
                <w:sz w:val="18"/>
              </w:rPr>
              <w:t>Contribution to superannuation</w:t>
            </w:r>
          </w:p>
        </w:tc>
        <w:tc>
          <w:tcPr>
            <w:tcW w:w="1630" w:type="dxa"/>
          </w:tcPr>
          <w:p>
            <w:pPr/>
          </w:p>
        </w:tc>
        <w:tc>
          <w:tcPr>
            <w:tcW w:w="1389" w:type="dxa"/>
          </w:tcPr>
          <w:p>
            <w:pPr/>
          </w:p>
        </w:tc>
        <w:tc>
          <w:tcPr>
            <w:tcW w:w="1523" w:type="dxa"/>
          </w:tcPr>
          <w:p>
            <w:pPr/>
          </w:p>
        </w:tc>
        <w:tc>
          <w:tcPr>
            <w:tcW w:w="986" w:type="dxa"/>
          </w:tcPr>
          <w:p>
            <w:pPr/>
          </w:p>
        </w:tc>
      </w:tr>
      <w:tr>
        <w:trPr>
          <w:trHeight w:val="235" w:hRule="exact"/>
        </w:trPr>
        <w:tc>
          <w:tcPr>
            <w:tcW w:w="410" w:type="dxa"/>
          </w:tcPr>
          <w:p>
            <w:pPr/>
          </w:p>
        </w:tc>
        <w:tc>
          <w:tcPr>
            <w:tcW w:w="4011" w:type="dxa"/>
          </w:tcPr>
          <w:p>
            <w:pPr>
              <w:pStyle w:val="TableParagraph"/>
              <w:spacing w:line="198" w:lineRule="exact"/>
              <w:ind w:left="263"/>
              <w:jc w:val="left"/>
              <w:rPr>
                <w:sz w:val="18"/>
              </w:rPr>
            </w:pPr>
            <w:r>
              <w:rPr>
                <w:sz w:val="18"/>
              </w:rPr>
              <w:t>&amp; pension schemes - funded</w:t>
            </w:r>
          </w:p>
        </w:tc>
        <w:tc>
          <w:tcPr>
            <w:tcW w:w="1630" w:type="dxa"/>
          </w:tcPr>
          <w:p>
            <w:pPr>
              <w:pStyle w:val="TableParagraph"/>
              <w:spacing w:line="197" w:lineRule="exact"/>
              <w:ind w:right="248"/>
              <w:rPr>
                <w:b/>
                <w:sz w:val="18"/>
              </w:rPr>
            </w:pPr>
            <w:r>
              <w:rPr>
                <w:b/>
                <w:w w:val="95"/>
                <w:sz w:val="18"/>
              </w:rPr>
              <w:t>26,771</w:t>
            </w:r>
          </w:p>
        </w:tc>
        <w:tc>
          <w:tcPr>
            <w:tcW w:w="1389" w:type="dxa"/>
          </w:tcPr>
          <w:p>
            <w:pPr>
              <w:pStyle w:val="TableParagraph"/>
              <w:spacing w:line="197" w:lineRule="exact"/>
              <w:ind w:right="340"/>
              <w:rPr>
                <w:sz w:val="18"/>
              </w:rPr>
            </w:pPr>
            <w:r>
              <w:rPr>
                <w:w w:val="95"/>
                <w:sz w:val="18"/>
              </w:rPr>
              <w:t>25,869</w:t>
            </w:r>
          </w:p>
        </w:tc>
        <w:tc>
          <w:tcPr>
            <w:tcW w:w="1523" w:type="dxa"/>
          </w:tcPr>
          <w:p>
            <w:pPr>
              <w:pStyle w:val="TableParagraph"/>
              <w:spacing w:line="197" w:lineRule="exact"/>
              <w:ind w:left="575"/>
              <w:jc w:val="left"/>
              <w:rPr>
                <w:b/>
                <w:sz w:val="18"/>
              </w:rPr>
            </w:pPr>
            <w:r>
              <w:rPr>
                <w:b/>
                <w:sz w:val="18"/>
              </w:rPr>
              <w:t>24,734</w:t>
            </w:r>
          </w:p>
        </w:tc>
        <w:tc>
          <w:tcPr>
            <w:tcW w:w="986" w:type="dxa"/>
          </w:tcPr>
          <w:p>
            <w:pPr>
              <w:pStyle w:val="TableParagraph"/>
              <w:spacing w:line="197" w:lineRule="exact"/>
              <w:ind w:right="85"/>
              <w:rPr>
                <w:sz w:val="18"/>
              </w:rPr>
            </w:pPr>
            <w:r>
              <w:rPr>
                <w:w w:val="95"/>
                <w:sz w:val="18"/>
              </w:rPr>
              <w:t>23,763</w:t>
            </w:r>
          </w:p>
        </w:tc>
      </w:tr>
      <w:tr>
        <w:trPr>
          <w:trHeight w:val="264" w:hRule="exact"/>
        </w:trPr>
        <w:tc>
          <w:tcPr>
            <w:tcW w:w="410" w:type="dxa"/>
          </w:tcPr>
          <w:p>
            <w:pPr/>
          </w:p>
        </w:tc>
        <w:tc>
          <w:tcPr>
            <w:tcW w:w="4011" w:type="dxa"/>
          </w:tcPr>
          <w:p>
            <w:pPr>
              <w:pStyle w:val="TableParagraph"/>
              <w:spacing w:before="19"/>
              <w:ind w:left="263"/>
              <w:jc w:val="left"/>
              <w:rPr>
                <w:sz w:val="18"/>
              </w:rPr>
            </w:pPr>
            <w:r>
              <w:rPr>
                <w:sz w:val="18"/>
              </w:rPr>
              <w:t>Payroll tax</w:t>
            </w:r>
          </w:p>
        </w:tc>
        <w:tc>
          <w:tcPr>
            <w:tcW w:w="1630" w:type="dxa"/>
          </w:tcPr>
          <w:p>
            <w:pPr>
              <w:pStyle w:val="TableParagraph"/>
              <w:spacing w:before="18"/>
              <w:ind w:right="248"/>
              <w:rPr>
                <w:b/>
                <w:sz w:val="18"/>
              </w:rPr>
            </w:pPr>
            <w:r>
              <w:rPr>
                <w:b/>
                <w:w w:val="95"/>
                <w:sz w:val="18"/>
              </w:rPr>
              <w:t>11,554</w:t>
            </w:r>
          </w:p>
        </w:tc>
        <w:tc>
          <w:tcPr>
            <w:tcW w:w="1389" w:type="dxa"/>
          </w:tcPr>
          <w:p>
            <w:pPr>
              <w:pStyle w:val="TableParagraph"/>
              <w:spacing w:before="18"/>
              <w:ind w:right="340"/>
              <w:rPr>
                <w:sz w:val="18"/>
              </w:rPr>
            </w:pPr>
            <w:r>
              <w:rPr>
                <w:w w:val="95"/>
                <w:sz w:val="18"/>
              </w:rPr>
              <w:t>10,582</w:t>
            </w:r>
          </w:p>
        </w:tc>
        <w:tc>
          <w:tcPr>
            <w:tcW w:w="1523" w:type="dxa"/>
          </w:tcPr>
          <w:p>
            <w:pPr>
              <w:pStyle w:val="TableParagraph"/>
              <w:spacing w:before="18"/>
              <w:ind w:left="575"/>
              <w:jc w:val="left"/>
              <w:rPr>
                <w:b/>
                <w:sz w:val="18"/>
              </w:rPr>
            </w:pPr>
            <w:r>
              <w:rPr>
                <w:b/>
                <w:sz w:val="18"/>
              </w:rPr>
              <w:t>10,229</w:t>
            </w:r>
          </w:p>
        </w:tc>
        <w:tc>
          <w:tcPr>
            <w:tcW w:w="986" w:type="dxa"/>
          </w:tcPr>
          <w:p>
            <w:pPr>
              <w:pStyle w:val="TableParagraph"/>
              <w:spacing w:before="18"/>
              <w:ind w:right="85"/>
              <w:rPr>
                <w:sz w:val="18"/>
              </w:rPr>
            </w:pPr>
            <w:r>
              <w:rPr>
                <w:sz w:val="18"/>
              </w:rPr>
              <w:t>9,266</w:t>
            </w:r>
          </w:p>
        </w:tc>
      </w:tr>
      <w:tr>
        <w:trPr>
          <w:trHeight w:val="264" w:hRule="exact"/>
        </w:trPr>
        <w:tc>
          <w:tcPr>
            <w:tcW w:w="410" w:type="dxa"/>
          </w:tcPr>
          <w:p>
            <w:pPr/>
          </w:p>
        </w:tc>
        <w:tc>
          <w:tcPr>
            <w:tcW w:w="4011" w:type="dxa"/>
          </w:tcPr>
          <w:p>
            <w:pPr>
              <w:pStyle w:val="TableParagraph"/>
              <w:spacing w:before="19"/>
              <w:ind w:left="263"/>
              <w:jc w:val="left"/>
              <w:rPr>
                <w:sz w:val="18"/>
              </w:rPr>
            </w:pPr>
            <w:r>
              <w:rPr>
                <w:sz w:val="18"/>
              </w:rPr>
              <w:t>Worker's compensation</w:t>
            </w:r>
          </w:p>
        </w:tc>
        <w:tc>
          <w:tcPr>
            <w:tcW w:w="1630" w:type="dxa"/>
          </w:tcPr>
          <w:p>
            <w:pPr>
              <w:pStyle w:val="TableParagraph"/>
              <w:spacing w:before="18"/>
              <w:ind w:right="248"/>
              <w:rPr>
                <w:b/>
                <w:sz w:val="18"/>
              </w:rPr>
            </w:pPr>
            <w:r>
              <w:rPr>
                <w:b/>
                <w:sz w:val="18"/>
              </w:rPr>
              <w:t>783</w:t>
            </w:r>
          </w:p>
        </w:tc>
        <w:tc>
          <w:tcPr>
            <w:tcW w:w="1389" w:type="dxa"/>
          </w:tcPr>
          <w:p>
            <w:pPr>
              <w:pStyle w:val="TableParagraph"/>
              <w:spacing w:before="18"/>
              <w:ind w:right="340"/>
              <w:rPr>
                <w:sz w:val="18"/>
              </w:rPr>
            </w:pPr>
            <w:r>
              <w:rPr>
                <w:sz w:val="18"/>
              </w:rPr>
              <w:t>681</w:t>
            </w:r>
          </w:p>
        </w:tc>
        <w:tc>
          <w:tcPr>
            <w:tcW w:w="1523" w:type="dxa"/>
          </w:tcPr>
          <w:p>
            <w:pPr>
              <w:pStyle w:val="TableParagraph"/>
              <w:spacing w:before="18"/>
              <w:ind w:left="824"/>
              <w:jc w:val="left"/>
              <w:rPr>
                <w:b/>
                <w:sz w:val="18"/>
              </w:rPr>
            </w:pPr>
            <w:r>
              <w:rPr>
                <w:b/>
                <w:sz w:val="18"/>
              </w:rPr>
              <w:t>699</w:t>
            </w:r>
          </w:p>
        </w:tc>
        <w:tc>
          <w:tcPr>
            <w:tcW w:w="986" w:type="dxa"/>
          </w:tcPr>
          <w:p>
            <w:pPr>
              <w:pStyle w:val="TableParagraph"/>
              <w:spacing w:before="18"/>
              <w:ind w:right="85"/>
              <w:rPr>
                <w:sz w:val="18"/>
              </w:rPr>
            </w:pPr>
            <w:r>
              <w:rPr>
                <w:sz w:val="18"/>
              </w:rPr>
              <w:t>620</w:t>
            </w:r>
          </w:p>
        </w:tc>
      </w:tr>
      <w:tr>
        <w:trPr>
          <w:trHeight w:val="264" w:hRule="exact"/>
        </w:trPr>
        <w:tc>
          <w:tcPr>
            <w:tcW w:w="410" w:type="dxa"/>
          </w:tcPr>
          <w:p>
            <w:pPr/>
          </w:p>
        </w:tc>
        <w:tc>
          <w:tcPr>
            <w:tcW w:w="4011" w:type="dxa"/>
          </w:tcPr>
          <w:p>
            <w:pPr>
              <w:pStyle w:val="TableParagraph"/>
              <w:spacing w:before="19"/>
              <w:ind w:left="263"/>
              <w:jc w:val="left"/>
              <w:rPr>
                <w:sz w:val="18"/>
              </w:rPr>
            </w:pPr>
            <w:r>
              <w:rPr>
                <w:sz w:val="18"/>
              </w:rPr>
              <w:t>Long service leave expense</w:t>
            </w:r>
          </w:p>
        </w:tc>
        <w:tc>
          <w:tcPr>
            <w:tcW w:w="1630" w:type="dxa"/>
          </w:tcPr>
          <w:p>
            <w:pPr>
              <w:pStyle w:val="TableParagraph"/>
              <w:spacing w:before="18"/>
              <w:ind w:right="248"/>
              <w:rPr>
                <w:b/>
                <w:sz w:val="18"/>
              </w:rPr>
            </w:pPr>
            <w:r>
              <w:rPr>
                <w:b/>
                <w:sz w:val="18"/>
              </w:rPr>
              <w:t>5,194</w:t>
            </w:r>
          </w:p>
        </w:tc>
        <w:tc>
          <w:tcPr>
            <w:tcW w:w="1389" w:type="dxa"/>
          </w:tcPr>
          <w:p>
            <w:pPr>
              <w:pStyle w:val="TableParagraph"/>
              <w:spacing w:before="18"/>
              <w:ind w:right="340"/>
              <w:rPr>
                <w:sz w:val="18"/>
              </w:rPr>
            </w:pPr>
            <w:r>
              <w:rPr>
                <w:sz w:val="18"/>
              </w:rPr>
              <w:t>4,492</w:t>
            </w:r>
          </w:p>
        </w:tc>
        <w:tc>
          <w:tcPr>
            <w:tcW w:w="1523" w:type="dxa"/>
          </w:tcPr>
          <w:p>
            <w:pPr>
              <w:pStyle w:val="TableParagraph"/>
              <w:spacing w:before="18"/>
              <w:ind w:left="674"/>
              <w:jc w:val="left"/>
              <w:rPr>
                <w:b/>
                <w:sz w:val="18"/>
              </w:rPr>
            </w:pPr>
            <w:r>
              <w:rPr>
                <w:b/>
                <w:sz w:val="18"/>
              </w:rPr>
              <w:t>5,032</w:t>
            </w:r>
          </w:p>
        </w:tc>
        <w:tc>
          <w:tcPr>
            <w:tcW w:w="986" w:type="dxa"/>
          </w:tcPr>
          <w:p>
            <w:pPr>
              <w:pStyle w:val="TableParagraph"/>
              <w:spacing w:before="18"/>
              <w:ind w:right="85"/>
              <w:rPr>
                <w:sz w:val="18"/>
              </w:rPr>
            </w:pPr>
            <w:r>
              <w:rPr>
                <w:sz w:val="18"/>
              </w:rPr>
              <w:t>4,277</w:t>
            </w:r>
          </w:p>
        </w:tc>
      </w:tr>
      <w:tr>
        <w:trPr>
          <w:trHeight w:val="262" w:hRule="exact"/>
        </w:trPr>
        <w:tc>
          <w:tcPr>
            <w:tcW w:w="410" w:type="dxa"/>
          </w:tcPr>
          <w:p>
            <w:pPr/>
          </w:p>
        </w:tc>
        <w:tc>
          <w:tcPr>
            <w:tcW w:w="4011" w:type="dxa"/>
          </w:tcPr>
          <w:p>
            <w:pPr>
              <w:pStyle w:val="TableParagraph"/>
              <w:spacing w:before="19"/>
              <w:ind w:left="263"/>
              <w:jc w:val="left"/>
              <w:rPr>
                <w:sz w:val="18"/>
              </w:rPr>
            </w:pPr>
            <w:r>
              <w:rPr>
                <w:sz w:val="18"/>
              </w:rPr>
              <w:t>Annual leave</w:t>
            </w:r>
          </w:p>
        </w:tc>
        <w:tc>
          <w:tcPr>
            <w:tcW w:w="1630" w:type="dxa"/>
            <w:tcBorders>
              <w:bottom w:val="single" w:sz="0" w:space="0" w:color="000000"/>
            </w:tcBorders>
          </w:tcPr>
          <w:p>
            <w:pPr>
              <w:pStyle w:val="TableParagraph"/>
              <w:spacing w:before="18"/>
              <w:ind w:right="248"/>
              <w:rPr>
                <w:b/>
                <w:sz w:val="18"/>
              </w:rPr>
            </w:pPr>
            <w:r>
              <w:rPr>
                <w:b/>
                <w:sz w:val="18"/>
              </w:rPr>
              <w:t>1,012</w:t>
            </w:r>
          </w:p>
        </w:tc>
        <w:tc>
          <w:tcPr>
            <w:tcW w:w="1389" w:type="dxa"/>
            <w:tcBorders>
              <w:bottom w:val="single" w:sz="0" w:space="0" w:color="000000"/>
            </w:tcBorders>
          </w:tcPr>
          <w:p>
            <w:pPr>
              <w:pStyle w:val="TableParagraph"/>
              <w:spacing w:before="18"/>
              <w:ind w:right="340"/>
              <w:rPr>
                <w:sz w:val="18"/>
              </w:rPr>
            </w:pPr>
            <w:r>
              <w:rPr>
                <w:sz w:val="18"/>
              </w:rPr>
              <w:t>922</w:t>
            </w:r>
          </w:p>
        </w:tc>
        <w:tc>
          <w:tcPr>
            <w:tcW w:w="1523" w:type="dxa"/>
            <w:tcBorders>
              <w:bottom w:val="single" w:sz="0" w:space="0" w:color="000000"/>
            </w:tcBorders>
          </w:tcPr>
          <w:p>
            <w:pPr>
              <w:pStyle w:val="TableParagraph"/>
              <w:spacing w:before="18"/>
              <w:ind w:left="824"/>
              <w:jc w:val="left"/>
              <w:rPr>
                <w:b/>
                <w:sz w:val="18"/>
              </w:rPr>
            </w:pPr>
            <w:r>
              <w:rPr>
                <w:b/>
                <w:sz w:val="18"/>
              </w:rPr>
              <w:t>949</w:t>
            </w:r>
          </w:p>
        </w:tc>
        <w:tc>
          <w:tcPr>
            <w:tcW w:w="986" w:type="dxa"/>
            <w:tcBorders>
              <w:bottom w:val="single" w:sz="0" w:space="0" w:color="000000"/>
            </w:tcBorders>
          </w:tcPr>
          <w:p>
            <w:pPr>
              <w:pStyle w:val="TableParagraph"/>
              <w:spacing w:before="18"/>
              <w:ind w:right="85"/>
              <w:rPr>
                <w:sz w:val="18"/>
              </w:rPr>
            </w:pPr>
            <w:r>
              <w:rPr>
                <w:sz w:val="18"/>
              </w:rPr>
              <w:t>718</w:t>
            </w:r>
          </w:p>
        </w:tc>
      </w:tr>
      <w:tr>
        <w:trPr>
          <w:trHeight w:val="338" w:hRule="exact"/>
        </w:trPr>
        <w:tc>
          <w:tcPr>
            <w:tcW w:w="6051" w:type="dxa"/>
            <w:gridSpan w:val="3"/>
          </w:tcPr>
          <w:p>
            <w:pPr>
              <w:pStyle w:val="TableParagraph"/>
              <w:tabs>
                <w:tab w:pos="5151" w:val="left" w:leader="none"/>
              </w:tabs>
              <w:spacing w:before="83"/>
              <w:ind w:left="458"/>
              <w:jc w:val="left"/>
              <w:rPr>
                <w:b/>
                <w:sz w:val="18"/>
              </w:rPr>
            </w:pPr>
            <w:r>
              <w:rPr>
                <w:b/>
                <w:sz w:val="18"/>
              </w:rPr>
              <w:t>Total academic</w:t>
              <w:tab/>
            </w:r>
            <w:r>
              <w:rPr>
                <w:b/>
                <w:position w:val="3"/>
                <w:sz w:val="18"/>
              </w:rPr>
              <w:t>236,395</w:t>
            </w:r>
          </w:p>
        </w:tc>
        <w:tc>
          <w:tcPr>
            <w:tcW w:w="1389" w:type="dxa"/>
            <w:tcBorders>
              <w:bottom w:val="single" w:sz="0" w:space="0" w:color="000000"/>
            </w:tcBorders>
          </w:tcPr>
          <w:p>
            <w:pPr>
              <w:pStyle w:val="TableParagraph"/>
              <w:spacing w:before="85"/>
              <w:ind w:right="340"/>
              <w:rPr>
                <w:sz w:val="18"/>
              </w:rPr>
            </w:pPr>
            <w:r>
              <w:rPr>
                <w:w w:val="95"/>
                <w:sz w:val="18"/>
              </w:rPr>
              <w:t>220,600</w:t>
            </w:r>
          </w:p>
        </w:tc>
        <w:tc>
          <w:tcPr>
            <w:tcW w:w="1523" w:type="dxa"/>
            <w:tcBorders>
              <w:bottom w:val="single" w:sz="0" w:space="0" w:color="000000"/>
            </w:tcBorders>
          </w:tcPr>
          <w:p>
            <w:pPr>
              <w:pStyle w:val="TableParagraph"/>
              <w:spacing w:before="85"/>
              <w:ind w:left="475"/>
              <w:jc w:val="left"/>
              <w:rPr>
                <w:b/>
                <w:sz w:val="18"/>
              </w:rPr>
            </w:pPr>
            <w:r>
              <w:rPr>
                <w:b/>
                <w:sz w:val="18"/>
              </w:rPr>
              <w:t>211,824</w:t>
            </w:r>
          </w:p>
        </w:tc>
        <w:tc>
          <w:tcPr>
            <w:tcW w:w="986" w:type="dxa"/>
            <w:tcBorders>
              <w:bottom w:val="single" w:sz="0" w:space="0" w:color="000000"/>
            </w:tcBorders>
          </w:tcPr>
          <w:p>
            <w:pPr>
              <w:pStyle w:val="TableParagraph"/>
              <w:spacing w:before="85"/>
              <w:ind w:right="85"/>
              <w:rPr>
                <w:sz w:val="18"/>
              </w:rPr>
            </w:pPr>
            <w:r>
              <w:rPr>
                <w:w w:val="95"/>
                <w:sz w:val="18"/>
              </w:rPr>
              <w:t>195,291</w:t>
            </w:r>
          </w:p>
        </w:tc>
      </w:tr>
      <w:tr>
        <w:trPr>
          <w:trHeight w:val="354" w:hRule="exact"/>
        </w:trPr>
        <w:tc>
          <w:tcPr>
            <w:tcW w:w="4421" w:type="dxa"/>
            <w:gridSpan w:val="2"/>
          </w:tcPr>
          <w:p>
            <w:pPr>
              <w:pStyle w:val="TableParagraph"/>
              <w:spacing w:before="113"/>
              <w:ind w:left="458"/>
              <w:jc w:val="left"/>
              <w:rPr>
                <w:b/>
                <w:sz w:val="18"/>
              </w:rPr>
            </w:pPr>
            <w:r>
              <w:rPr>
                <w:b/>
                <w:sz w:val="18"/>
              </w:rPr>
              <w:t>Non-academic</w:t>
            </w:r>
          </w:p>
        </w:tc>
        <w:tc>
          <w:tcPr>
            <w:tcW w:w="1630" w:type="dxa"/>
          </w:tcPr>
          <w:p>
            <w:pPr/>
          </w:p>
        </w:tc>
        <w:tc>
          <w:tcPr>
            <w:tcW w:w="1389" w:type="dxa"/>
          </w:tcPr>
          <w:p>
            <w:pPr/>
          </w:p>
        </w:tc>
        <w:tc>
          <w:tcPr>
            <w:tcW w:w="1523" w:type="dxa"/>
          </w:tcPr>
          <w:p>
            <w:pPr/>
          </w:p>
        </w:tc>
        <w:tc>
          <w:tcPr>
            <w:tcW w:w="986" w:type="dxa"/>
          </w:tcPr>
          <w:p>
            <w:pPr/>
          </w:p>
        </w:tc>
      </w:tr>
      <w:tr>
        <w:trPr>
          <w:trHeight w:val="250" w:hRule="exact"/>
        </w:trPr>
        <w:tc>
          <w:tcPr>
            <w:tcW w:w="4421" w:type="dxa"/>
            <w:gridSpan w:val="2"/>
          </w:tcPr>
          <w:p>
            <w:pPr>
              <w:pStyle w:val="TableParagraph"/>
              <w:spacing w:before="6"/>
              <w:ind w:left="673"/>
              <w:jc w:val="left"/>
              <w:rPr>
                <w:sz w:val="18"/>
              </w:rPr>
            </w:pPr>
            <w:r>
              <w:rPr>
                <w:sz w:val="18"/>
              </w:rPr>
              <w:t>Salaries</w:t>
            </w:r>
          </w:p>
        </w:tc>
        <w:tc>
          <w:tcPr>
            <w:tcW w:w="1630" w:type="dxa"/>
          </w:tcPr>
          <w:p>
            <w:pPr>
              <w:pStyle w:val="TableParagraph"/>
              <w:spacing w:before="4"/>
              <w:ind w:right="248"/>
              <w:rPr>
                <w:b/>
                <w:sz w:val="18"/>
              </w:rPr>
            </w:pPr>
            <w:r>
              <w:rPr>
                <w:b/>
                <w:w w:val="95"/>
                <w:sz w:val="18"/>
              </w:rPr>
              <w:t>187,058</w:t>
            </w:r>
          </w:p>
        </w:tc>
        <w:tc>
          <w:tcPr>
            <w:tcW w:w="1389" w:type="dxa"/>
          </w:tcPr>
          <w:p>
            <w:pPr>
              <w:pStyle w:val="TableParagraph"/>
              <w:spacing w:before="4"/>
              <w:ind w:right="340"/>
              <w:rPr>
                <w:sz w:val="18"/>
              </w:rPr>
            </w:pPr>
            <w:r>
              <w:rPr>
                <w:w w:val="95"/>
                <w:sz w:val="18"/>
              </w:rPr>
              <w:t>179,661</w:t>
            </w:r>
          </w:p>
        </w:tc>
        <w:tc>
          <w:tcPr>
            <w:tcW w:w="1523" w:type="dxa"/>
          </w:tcPr>
          <w:p>
            <w:pPr>
              <w:pStyle w:val="TableParagraph"/>
              <w:spacing w:before="4"/>
              <w:ind w:left="475"/>
              <w:jc w:val="left"/>
              <w:rPr>
                <w:b/>
                <w:sz w:val="18"/>
              </w:rPr>
            </w:pPr>
            <w:r>
              <w:rPr>
                <w:b/>
                <w:sz w:val="18"/>
              </w:rPr>
              <w:t>169,125</w:t>
            </w:r>
          </w:p>
        </w:tc>
        <w:tc>
          <w:tcPr>
            <w:tcW w:w="986" w:type="dxa"/>
          </w:tcPr>
          <w:p>
            <w:pPr>
              <w:pStyle w:val="TableParagraph"/>
              <w:spacing w:before="4"/>
              <w:ind w:right="85"/>
              <w:rPr>
                <w:sz w:val="18"/>
              </w:rPr>
            </w:pPr>
            <w:r>
              <w:rPr>
                <w:w w:val="95"/>
                <w:sz w:val="18"/>
              </w:rPr>
              <w:t>156,202</w:t>
            </w:r>
          </w:p>
        </w:tc>
      </w:tr>
      <w:tr>
        <w:trPr>
          <w:trHeight w:val="233" w:hRule="exact"/>
        </w:trPr>
        <w:tc>
          <w:tcPr>
            <w:tcW w:w="4421" w:type="dxa"/>
            <w:gridSpan w:val="2"/>
          </w:tcPr>
          <w:p>
            <w:pPr>
              <w:pStyle w:val="TableParagraph"/>
              <w:spacing w:before="18"/>
              <w:ind w:left="673"/>
              <w:jc w:val="left"/>
              <w:rPr>
                <w:sz w:val="18"/>
              </w:rPr>
            </w:pPr>
            <w:r>
              <w:rPr>
                <w:sz w:val="18"/>
              </w:rPr>
              <w:t>Contribution to superannuation</w:t>
            </w:r>
          </w:p>
        </w:tc>
        <w:tc>
          <w:tcPr>
            <w:tcW w:w="1630" w:type="dxa"/>
          </w:tcPr>
          <w:p>
            <w:pPr/>
          </w:p>
        </w:tc>
        <w:tc>
          <w:tcPr>
            <w:tcW w:w="1389" w:type="dxa"/>
          </w:tcPr>
          <w:p>
            <w:pPr/>
          </w:p>
        </w:tc>
        <w:tc>
          <w:tcPr>
            <w:tcW w:w="1523" w:type="dxa"/>
          </w:tcPr>
          <w:p>
            <w:pPr/>
          </w:p>
        </w:tc>
        <w:tc>
          <w:tcPr>
            <w:tcW w:w="986" w:type="dxa"/>
          </w:tcPr>
          <w:p>
            <w:pPr/>
          </w:p>
        </w:tc>
      </w:tr>
      <w:tr>
        <w:trPr>
          <w:trHeight w:val="235" w:hRule="exact"/>
        </w:trPr>
        <w:tc>
          <w:tcPr>
            <w:tcW w:w="4421" w:type="dxa"/>
            <w:gridSpan w:val="2"/>
          </w:tcPr>
          <w:p>
            <w:pPr>
              <w:pStyle w:val="TableParagraph"/>
              <w:spacing w:line="198" w:lineRule="exact"/>
              <w:ind w:left="673"/>
              <w:jc w:val="left"/>
              <w:rPr>
                <w:sz w:val="18"/>
              </w:rPr>
            </w:pPr>
            <w:r>
              <w:rPr>
                <w:sz w:val="18"/>
              </w:rPr>
              <w:t>&amp; pension schemes - funded</w:t>
            </w:r>
          </w:p>
        </w:tc>
        <w:tc>
          <w:tcPr>
            <w:tcW w:w="1630" w:type="dxa"/>
          </w:tcPr>
          <w:p>
            <w:pPr>
              <w:pStyle w:val="TableParagraph"/>
              <w:spacing w:line="197" w:lineRule="exact"/>
              <w:ind w:right="248"/>
              <w:rPr>
                <w:b/>
                <w:sz w:val="18"/>
              </w:rPr>
            </w:pPr>
            <w:r>
              <w:rPr>
                <w:b/>
                <w:w w:val="95"/>
                <w:sz w:val="18"/>
              </w:rPr>
              <w:t>25,359</w:t>
            </w:r>
          </w:p>
        </w:tc>
        <w:tc>
          <w:tcPr>
            <w:tcW w:w="1389" w:type="dxa"/>
          </w:tcPr>
          <w:p>
            <w:pPr>
              <w:pStyle w:val="TableParagraph"/>
              <w:spacing w:line="197" w:lineRule="exact"/>
              <w:ind w:right="340"/>
              <w:rPr>
                <w:sz w:val="18"/>
              </w:rPr>
            </w:pPr>
            <w:r>
              <w:rPr>
                <w:w w:val="95"/>
                <w:sz w:val="18"/>
              </w:rPr>
              <w:t>25,539</w:t>
            </w:r>
          </w:p>
        </w:tc>
        <w:tc>
          <w:tcPr>
            <w:tcW w:w="1523" w:type="dxa"/>
          </w:tcPr>
          <w:p>
            <w:pPr>
              <w:pStyle w:val="TableParagraph"/>
              <w:spacing w:line="197" w:lineRule="exact"/>
              <w:ind w:left="575"/>
              <w:jc w:val="left"/>
              <w:rPr>
                <w:b/>
                <w:sz w:val="18"/>
              </w:rPr>
            </w:pPr>
            <w:r>
              <w:rPr>
                <w:b/>
                <w:sz w:val="18"/>
              </w:rPr>
              <w:t>23,821</w:t>
            </w:r>
          </w:p>
        </w:tc>
        <w:tc>
          <w:tcPr>
            <w:tcW w:w="986" w:type="dxa"/>
          </w:tcPr>
          <w:p>
            <w:pPr>
              <w:pStyle w:val="TableParagraph"/>
              <w:spacing w:line="197" w:lineRule="exact"/>
              <w:ind w:right="85"/>
              <w:rPr>
                <w:sz w:val="18"/>
              </w:rPr>
            </w:pPr>
            <w:r>
              <w:rPr>
                <w:w w:val="95"/>
                <w:sz w:val="18"/>
              </w:rPr>
              <w:t>23,428</w:t>
            </w:r>
          </w:p>
        </w:tc>
      </w:tr>
      <w:tr>
        <w:trPr>
          <w:trHeight w:val="264" w:hRule="exact"/>
        </w:trPr>
        <w:tc>
          <w:tcPr>
            <w:tcW w:w="4421" w:type="dxa"/>
            <w:gridSpan w:val="2"/>
          </w:tcPr>
          <w:p>
            <w:pPr>
              <w:pStyle w:val="TableParagraph"/>
              <w:spacing w:before="19"/>
              <w:ind w:left="673"/>
              <w:jc w:val="left"/>
              <w:rPr>
                <w:sz w:val="18"/>
              </w:rPr>
            </w:pPr>
            <w:r>
              <w:rPr>
                <w:sz w:val="18"/>
              </w:rPr>
              <w:t>Payroll tax</w:t>
            </w:r>
          </w:p>
        </w:tc>
        <w:tc>
          <w:tcPr>
            <w:tcW w:w="1630" w:type="dxa"/>
          </w:tcPr>
          <w:p>
            <w:pPr>
              <w:pStyle w:val="TableParagraph"/>
              <w:spacing w:before="18"/>
              <w:ind w:right="248"/>
              <w:rPr>
                <w:b/>
                <w:sz w:val="18"/>
              </w:rPr>
            </w:pPr>
            <w:r>
              <w:rPr>
                <w:b/>
                <w:w w:val="95"/>
                <w:sz w:val="18"/>
              </w:rPr>
              <w:t>10,363</w:t>
            </w:r>
          </w:p>
        </w:tc>
        <w:tc>
          <w:tcPr>
            <w:tcW w:w="1389" w:type="dxa"/>
          </w:tcPr>
          <w:p>
            <w:pPr>
              <w:pStyle w:val="TableParagraph"/>
              <w:spacing w:before="18"/>
              <w:ind w:right="340"/>
              <w:rPr>
                <w:sz w:val="18"/>
              </w:rPr>
            </w:pPr>
            <w:r>
              <w:rPr>
                <w:sz w:val="18"/>
              </w:rPr>
              <w:t>9,812</w:t>
            </w:r>
          </w:p>
        </w:tc>
        <w:tc>
          <w:tcPr>
            <w:tcW w:w="1523" w:type="dxa"/>
          </w:tcPr>
          <w:p>
            <w:pPr>
              <w:pStyle w:val="TableParagraph"/>
              <w:spacing w:before="18"/>
              <w:ind w:left="674"/>
              <w:jc w:val="left"/>
              <w:rPr>
                <w:b/>
                <w:sz w:val="18"/>
              </w:rPr>
            </w:pPr>
            <w:r>
              <w:rPr>
                <w:b/>
                <w:sz w:val="18"/>
              </w:rPr>
              <w:t>9,993</w:t>
            </w:r>
          </w:p>
        </w:tc>
        <w:tc>
          <w:tcPr>
            <w:tcW w:w="986" w:type="dxa"/>
          </w:tcPr>
          <w:p>
            <w:pPr>
              <w:pStyle w:val="TableParagraph"/>
              <w:spacing w:before="18"/>
              <w:ind w:right="85"/>
              <w:rPr>
                <w:sz w:val="18"/>
              </w:rPr>
            </w:pPr>
            <w:r>
              <w:rPr>
                <w:sz w:val="18"/>
              </w:rPr>
              <w:t>9,231</w:t>
            </w:r>
          </w:p>
        </w:tc>
      </w:tr>
      <w:tr>
        <w:trPr>
          <w:trHeight w:val="264" w:hRule="exact"/>
        </w:trPr>
        <w:tc>
          <w:tcPr>
            <w:tcW w:w="4421" w:type="dxa"/>
            <w:gridSpan w:val="2"/>
          </w:tcPr>
          <w:p>
            <w:pPr>
              <w:pStyle w:val="TableParagraph"/>
              <w:spacing w:before="19"/>
              <w:ind w:left="673"/>
              <w:jc w:val="left"/>
              <w:rPr>
                <w:sz w:val="18"/>
              </w:rPr>
            </w:pPr>
            <w:r>
              <w:rPr>
                <w:sz w:val="18"/>
              </w:rPr>
              <w:t>Worker's compensation</w:t>
            </w:r>
          </w:p>
        </w:tc>
        <w:tc>
          <w:tcPr>
            <w:tcW w:w="1630" w:type="dxa"/>
          </w:tcPr>
          <w:p>
            <w:pPr>
              <w:pStyle w:val="TableParagraph"/>
              <w:spacing w:before="18"/>
              <w:ind w:right="248"/>
              <w:rPr>
                <w:b/>
                <w:sz w:val="18"/>
              </w:rPr>
            </w:pPr>
            <w:r>
              <w:rPr>
                <w:b/>
                <w:sz w:val="18"/>
              </w:rPr>
              <w:t>940</w:t>
            </w:r>
          </w:p>
        </w:tc>
        <w:tc>
          <w:tcPr>
            <w:tcW w:w="1389" w:type="dxa"/>
          </w:tcPr>
          <w:p>
            <w:pPr>
              <w:pStyle w:val="TableParagraph"/>
              <w:spacing w:before="18"/>
              <w:ind w:right="340"/>
              <w:rPr>
                <w:sz w:val="18"/>
              </w:rPr>
            </w:pPr>
            <w:r>
              <w:rPr>
                <w:sz w:val="18"/>
              </w:rPr>
              <w:t>902</w:t>
            </w:r>
          </w:p>
        </w:tc>
        <w:tc>
          <w:tcPr>
            <w:tcW w:w="1523" w:type="dxa"/>
          </w:tcPr>
          <w:p>
            <w:pPr>
              <w:pStyle w:val="TableParagraph"/>
              <w:spacing w:before="18"/>
              <w:ind w:left="824"/>
              <w:jc w:val="left"/>
              <w:rPr>
                <w:b/>
                <w:sz w:val="18"/>
              </w:rPr>
            </w:pPr>
            <w:r>
              <w:rPr>
                <w:b/>
                <w:sz w:val="18"/>
              </w:rPr>
              <w:t>651</w:t>
            </w:r>
          </w:p>
        </w:tc>
        <w:tc>
          <w:tcPr>
            <w:tcW w:w="986" w:type="dxa"/>
          </w:tcPr>
          <w:p>
            <w:pPr>
              <w:pStyle w:val="TableParagraph"/>
              <w:spacing w:before="18"/>
              <w:ind w:right="85"/>
              <w:rPr>
                <w:sz w:val="18"/>
              </w:rPr>
            </w:pPr>
            <w:r>
              <w:rPr>
                <w:sz w:val="18"/>
              </w:rPr>
              <w:t>593</w:t>
            </w:r>
          </w:p>
        </w:tc>
      </w:tr>
      <w:tr>
        <w:trPr>
          <w:trHeight w:val="264" w:hRule="exact"/>
        </w:trPr>
        <w:tc>
          <w:tcPr>
            <w:tcW w:w="4421" w:type="dxa"/>
            <w:gridSpan w:val="2"/>
          </w:tcPr>
          <w:p>
            <w:pPr>
              <w:pStyle w:val="TableParagraph"/>
              <w:spacing w:before="19"/>
              <w:ind w:left="673"/>
              <w:jc w:val="left"/>
              <w:rPr>
                <w:sz w:val="18"/>
              </w:rPr>
            </w:pPr>
            <w:r>
              <w:rPr>
                <w:sz w:val="18"/>
              </w:rPr>
              <w:t>Long service leave expense</w:t>
            </w:r>
          </w:p>
        </w:tc>
        <w:tc>
          <w:tcPr>
            <w:tcW w:w="1630" w:type="dxa"/>
          </w:tcPr>
          <w:p>
            <w:pPr>
              <w:pStyle w:val="TableParagraph"/>
              <w:spacing w:before="18"/>
              <w:ind w:right="248"/>
              <w:rPr>
                <w:b/>
                <w:sz w:val="18"/>
              </w:rPr>
            </w:pPr>
            <w:r>
              <w:rPr>
                <w:b/>
                <w:sz w:val="18"/>
              </w:rPr>
              <w:t>5,391</w:t>
            </w:r>
          </w:p>
        </w:tc>
        <w:tc>
          <w:tcPr>
            <w:tcW w:w="1389" w:type="dxa"/>
          </w:tcPr>
          <w:p>
            <w:pPr>
              <w:pStyle w:val="TableParagraph"/>
              <w:spacing w:before="18"/>
              <w:ind w:right="340"/>
              <w:rPr>
                <w:sz w:val="18"/>
              </w:rPr>
            </w:pPr>
            <w:r>
              <w:rPr>
                <w:sz w:val="18"/>
              </w:rPr>
              <w:t>4,687</w:t>
            </w:r>
          </w:p>
        </w:tc>
        <w:tc>
          <w:tcPr>
            <w:tcW w:w="1523" w:type="dxa"/>
          </w:tcPr>
          <w:p>
            <w:pPr>
              <w:pStyle w:val="TableParagraph"/>
              <w:spacing w:before="18"/>
              <w:ind w:left="674"/>
              <w:jc w:val="left"/>
              <w:rPr>
                <w:b/>
                <w:sz w:val="18"/>
              </w:rPr>
            </w:pPr>
            <w:r>
              <w:rPr>
                <w:b/>
                <w:sz w:val="18"/>
              </w:rPr>
              <w:t>5,158</w:t>
            </w:r>
          </w:p>
        </w:tc>
        <w:tc>
          <w:tcPr>
            <w:tcW w:w="986" w:type="dxa"/>
          </w:tcPr>
          <w:p>
            <w:pPr>
              <w:pStyle w:val="TableParagraph"/>
              <w:spacing w:before="18"/>
              <w:ind w:right="85"/>
              <w:rPr>
                <w:sz w:val="18"/>
              </w:rPr>
            </w:pPr>
            <w:r>
              <w:rPr>
                <w:sz w:val="18"/>
              </w:rPr>
              <w:t>4,444</w:t>
            </w:r>
          </w:p>
        </w:tc>
      </w:tr>
      <w:tr>
        <w:trPr>
          <w:trHeight w:val="262" w:hRule="exact"/>
        </w:trPr>
        <w:tc>
          <w:tcPr>
            <w:tcW w:w="4421" w:type="dxa"/>
            <w:gridSpan w:val="2"/>
          </w:tcPr>
          <w:p>
            <w:pPr>
              <w:pStyle w:val="TableParagraph"/>
              <w:spacing w:before="19"/>
              <w:ind w:left="673"/>
              <w:jc w:val="left"/>
              <w:rPr>
                <w:sz w:val="18"/>
              </w:rPr>
            </w:pPr>
            <w:r>
              <w:rPr>
                <w:sz w:val="18"/>
              </w:rPr>
              <w:t>Annual leave</w:t>
            </w:r>
          </w:p>
        </w:tc>
        <w:tc>
          <w:tcPr>
            <w:tcW w:w="1630" w:type="dxa"/>
            <w:tcBorders>
              <w:bottom w:val="single" w:sz="0" w:space="0" w:color="000000"/>
            </w:tcBorders>
          </w:tcPr>
          <w:p>
            <w:pPr>
              <w:pStyle w:val="TableParagraph"/>
              <w:spacing w:before="18"/>
              <w:ind w:right="248"/>
              <w:rPr>
                <w:b/>
                <w:sz w:val="18"/>
              </w:rPr>
            </w:pPr>
            <w:r>
              <w:rPr>
                <w:b/>
                <w:sz w:val="18"/>
              </w:rPr>
              <w:t>497</w:t>
            </w:r>
          </w:p>
        </w:tc>
        <w:tc>
          <w:tcPr>
            <w:tcW w:w="1389" w:type="dxa"/>
            <w:tcBorders>
              <w:bottom w:val="single" w:sz="0" w:space="0" w:color="000000"/>
            </w:tcBorders>
          </w:tcPr>
          <w:p>
            <w:pPr>
              <w:pStyle w:val="TableParagraph"/>
              <w:spacing w:before="18"/>
              <w:ind w:right="340"/>
              <w:rPr>
                <w:sz w:val="18"/>
              </w:rPr>
            </w:pPr>
            <w:r>
              <w:rPr>
                <w:sz w:val="18"/>
              </w:rPr>
              <w:t>1,206</w:t>
            </w:r>
          </w:p>
        </w:tc>
        <w:tc>
          <w:tcPr>
            <w:tcW w:w="1523" w:type="dxa"/>
            <w:tcBorders>
              <w:bottom w:val="single" w:sz="0" w:space="0" w:color="000000"/>
            </w:tcBorders>
          </w:tcPr>
          <w:p>
            <w:pPr>
              <w:pStyle w:val="TableParagraph"/>
              <w:spacing w:before="18"/>
              <w:ind w:left="824"/>
              <w:jc w:val="left"/>
              <w:rPr>
                <w:b/>
                <w:sz w:val="18"/>
              </w:rPr>
            </w:pPr>
            <w:r>
              <w:rPr>
                <w:b/>
                <w:sz w:val="18"/>
              </w:rPr>
              <w:t>242</w:t>
            </w:r>
          </w:p>
        </w:tc>
        <w:tc>
          <w:tcPr>
            <w:tcW w:w="986" w:type="dxa"/>
            <w:tcBorders>
              <w:bottom w:val="single" w:sz="0" w:space="0" w:color="000000"/>
            </w:tcBorders>
          </w:tcPr>
          <w:p>
            <w:pPr>
              <w:pStyle w:val="TableParagraph"/>
              <w:spacing w:before="18"/>
              <w:ind w:right="85"/>
              <w:rPr>
                <w:sz w:val="18"/>
              </w:rPr>
            </w:pPr>
            <w:r>
              <w:rPr>
                <w:sz w:val="18"/>
              </w:rPr>
              <w:t>495</w:t>
            </w:r>
          </w:p>
        </w:tc>
      </w:tr>
      <w:tr>
        <w:trPr>
          <w:trHeight w:val="338" w:hRule="exact"/>
        </w:trPr>
        <w:tc>
          <w:tcPr>
            <w:tcW w:w="4421" w:type="dxa"/>
            <w:gridSpan w:val="2"/>
          </w:tcPr>
          <w:p>
            <w:pPr>
              <w:pStyle w:val="TableParagraph"/>
              <w:spacing w:before="123"/>
              <w:ind w:left="458"/>
              <w:jc w:val="left"/>
              <w:rPr>
                <w:b/>
                <w:sz w:val="18"/>
              </w:rPr>
            </w:pPr>
            <w:r>
              <w:rPr>
                <w:b/>
                <w:sz w:val="18"/>
              </w:rPr>
              <w:t>Total non-academic</w:t>
            </w:r>
          </w:p>
        </w:tc>
        <w:tc>
          <w:tcPr>
            <w:tcW w:w="1630" w:type="dxa"/>
            <w:tcBorders>
              <w:top w:val="single" w:sz="0" w:space="0" w:color="000000"/>
              <w:bottom w:val="single" w:sz="0" w:space="0" w:color="000000"/>
            </w:tcBorders>
          </w:tcPr>
          <w:p>
            <w:pPr>
              <w:pStyle w:val="TableParagraph"/>
              <w:spacing w:before="94"/>
              <w:ind w:right="248"/>
              <w:rPr>
                <w:b/>
                <w:sz w:val="18"/>
              </w:rPr>
            </w:pPr>
            <w:r>
              <w:rPr>
                <w:b/>
                <w:w w:val="95"/>
                <w:sz w:val="18"/>
              </w:rPr>
              <w:t>229,608</w:t>
            </w:r>
          </w:p>
        </w:tc>
        <w:tc>
          <w:tcPr>
            <w:tcW w:w="1389" w:type="dxa"/>
            <w:tcBorders>
              <w:top w:val="single" w:sz="0" w:space="0" w:color="000000"/>
              <w:bottom w:val="single" w:sz="0" w:space="0" w:color="000000"/>
            </w:tcBorders>
          </w:tcPr>
          <w:p>
            <w:pPr>
              <w:pStyle w:val="TableParagraph"/>
              <w:spacing w:before="94"/>
              <w:ind w:right="340"/>
              <w:rPr>
                <w:sz w:val="18"/>
              </w:rPr>
            </w:pPr>
            <w:r>
              <w:rPr>
                <w:w w:val="95"/>
                <w:sz w:val="18"/>
              </w:rPr>
              <w:t>221,807</w:t>
            </w:r>
          </w:p>
        </w:tc>
        <w:tc>
          <w:tcPr>
            <w:tcW w:w="1523" w:type="dxa"/>
            <w:tcBorders>
              <w:top w:val="single" w:sz="0" w:space="0" w:color="000000"/>
              <w:bottom w:val="single" w:sz="0" w:space="0" w:color="000000"/>
            </w:tcBorders>
          </w:tcPr>
          <w:p>
            <w:pPr>
              <w:pStyle w:val="TableParagraph"/>
              <w:spacing w:before="94"/>
              <w:ind w:left="475"/>
              <w:jc w:val="left"/>
              <w:rPr>
                <w:b/>
                <w:sz w:val="18"/>
              </w:rPr>
            </w:pPr>
            <w:r>
              <w:rPr>
                <w:b/>
                <w:sz w:val="18"/>
              </w:rPr>
              <w:t>208,990</w:t>
            </w:r>
          </w:p>
        </w:tc>
        <w:tc>
          <w:tcPr>
            <w:tcW w:w="986" w:type="dxa"/>
            <w:tcBorders>
              <w:top w:val="single" w:sz="0" w:space="0" w:color="000000"/>
              <w:bottom w:val="single" w:sz="0" w:space="0" w:color="000000"/>
            </w:tcBorders>
          </w:tcPr>
          <w:p>
            <w:pPr>
              <w:pStyle w:val="TableParagraph"/>
              <w:spacing w:before="94"/>
              <w:ind w:right="85"/>
              <w:rPr>
                <w:sz w:val="18"/>
              </w:rPr>
            </w:pPr>
            <w:r>
              <w:rPr>
                <w:w w:val="95"/>
                <w:sz w:val="18"/>
              </w:rPr>
              <w:t>194,393</w:t>
            </w:r>
          </w:p>
        </w:tc>
      </w:tr>
      <w:tr>
        <w:trPr>
          <w:trHeight w:val="325" w:hRule="exact"/>
        </w:trPr>
        <w:tc>
          <w:tcPr>
            <w:tcW w:w="4421" w:type="dxa"/>
            <w:gridSpan w:val="2"/>
          </w:tcPr>
          <w:p>
            <w:pPr>
              <w:pStyle w:val="TableParagraph"/>
              <w:spacing w:before="123"/>
              <w:ind w:left="458"/>
              <w:jc w:val="left"/>
              <w:rPr>
                <w:b/>
                <w:sz w:val="18"/>
              </w:rPr>
            </w:pPr>
            <w:r>
              <w:rPr>
                <w:b/>
                <w:sz w:val="18"/>
              </w:rPr>
              <w:t>Total employee related</w:t>
            </w:r>
          </w:p>
        </w:tc>
        <w:tc>
          <w:tcPr>
            <w:tcW w:w="1630" w:type="dxa"/>
            <w:tcBorders>
              <w:top w:val="single" w:sz="0" w:space="0" w:color="000000"/>
            </w:tcBorders>
          </w:tcPr>
          <w:p>
            <w:pPr/>
          </w:p>
        </w:tc>
        <w:tc>
          <w:tcPr>
            <w:tcW w:w="1389" w:type="dxa"/>
            <w:tcBorders>
              <w:top w:val="single" w:sz="0" w:space="0" w:color="000000"/>
            </w:tcBorders>
          </w:tcPr>
          <w:p>
            <w:pPr/>
          </w:p>
        </w:tc>
        <w:tc>
          <w:tcPr>
            <w:tcW w:w="1523" w:type="dxa"/>
            <w:tcBorders>
              <w:top w:val="single" w:sz="0" w:space="0" w:color="000000"/>
            </w:tcBorders>
          </w:tcPr>
          <w:p>
            <w:pPr/>
          </w:p>
        </w:tc>
        <w:tc>
          <w:tcPr>
            <w:tcW w:w="986" w:type="dxa"/>
            <w:tcBorders>
              <w:top w:val="single" w:sz="0" w:space="0" w:color="000000"/>
            </w:tcBorders>
          </w:tcPr>
          <w:p>
            <w:pPr/>
          </w:p>
        </w:tc>
      </w:tr>
      <w:tr>
        <w:trPr>
          <w:trHeight w:val="227" w:hRule="exact"/>
        </w:trPr>
        <w:tc>
          <w:tcPr>
            <w:tcW w:w="4421" w:type="dxa"/>
            <w:gridSpan w:val="2"/>
          </w:tcPr>
          <w:p>
            <w:pPr>
              <w:pStyle w:val="TableParagraph"/>
              <w:spacing w:before="4"/>
              <w:ind w:left="458"/>
              <w:jc w:val="left"/>
              <w:rPr>
                <w:b/>
                <w:sz w:val="18"/>
              </w:rPr>
            </w:pPr>
            <w:r>
              <w:rPr>
                <w:b/>
                <w:sz w:val="18"/>
              </w:rPr>
              <w:t>expenses</w:t>
            </w:r>
          </w:p>
        </w:tc>
        <w:tc>
          <w:tcPr>
            <w:tcW w:w="1630" w:type="dxa"/>
            <w:tcBorders>
              <w:bottom w:val="single" w:sz="0" w:space="0" w:color="000000"/>
            </w:tcBorders>
          </w:tcPr>
          <w:p>
            <w:pPr>
              <w:pStyle w:val="TableParagraph"/>
              <w:spacing w:line="183" w:lineRule="exact"/>
              <w:ind w:right="248"/>
              <w:rPr>
                <w:b/>
                <w:sz w:val="18"/>
              </w:rPr>
            </w:pPr>
            <w:r>
              <w:rPr>
                <w:b/>
                <w:w w:val="95"/>
                <w:sz w:val="18"/>
              </w:rPr>
              <w:t>466,003</w:t>
            </w:r>
          </w:p>
        </w:tc>
        <w:tc>
          <w:tcPr>
            <w:tcW w:w="1389" w:type="dxa"/>
            <w:tcBorders>
              <w:bottom w:val="single" w:sz="0" w:space="0" w:color="000000"/>
            </w:tcBorders>
          </w:tcPr>
          <w:p>
            <w:pPr>
              <w:pStyle w:val="TableParagraph"/>
              <w:spacing w:line="183" w:lineRule="exact"/>
              <w:ind w:right="340"/>
              <w:rPr>
                <w:sz w:val="18"/>
              </w:rPr>
            </w:pPr>
            <w:r>
              <w:rPr>
                <w:w w:val="95"/>
                <w:sz w:val="18"/>
              </w:rPr>
              <w:t>442,407</w:t>
            </w:r>
          </w:p>
        </w:tc>
        <w:tc>
          <w:tcPr>
            <w:tcW w:w="1523" w:type="dxa"/>
            <w:tcBorders>
              <w:bottom w:val="single" w:sz="0" w:space="0" w:color="000000"/>
            </w:tcBorders>
          </w:tcPr>
          <w:p>
            <w:pPr>
              <w:pStyle w:val="TableParagraph"/>
              <w:spacing w:line="183" w:lineRule="exact"/>
              <w:ind w:left="475"/>
              <w:jc w:val="left"/>
              <w:rPr>
                <w:b/>
                <w:sz w:val="18"/>
              </w:rPr>
            </w:pPr>
            <w:r>
              <w:rPr>
                <w:b/>
                <w:sz w:val="18"/>
              </w:rPr>
              <w:t>420,814</w:t>
            </w:r>
          </w:p>
        </w:tc>
        <w:tc>
          <w:tcPr>
            <w:tcW w:w="986" w:type="dxa"/>
            <w:tcBorders>
              <w:bottom w:val="single" w:sz="0" w:space="0" w:color="000000"/>
            </w:tcBorders>
          </w:tcPr>
          <w:p>
            <w:pPr>
              <w:pStyle w:val="TableParagraph"/>
              <w:spacing w:line="183" w:lineRule="exact"/>
              <w:ind w:right="85"/>
              <w:rPr>
                <w:sz w:val="18"/>
              </w:rPr>
            </w:pPr>
            <w:r>
              <w:rPr>
                <w:w w:val="95"/>
                <w:sz w:val="18"/>
              </w:rPr>
              <w:t>389,684</w:t>
            </w:r>
          </w:p>
        </w:tc>
      </w:tr>
      <w:tr>
        <w:trPr>
          <w:trHeight w:val="362" w:hRule="exact"/>
        </w:trPr>
        <w:tc>
          <w:tcPr>
            <w:tcW w:w="4421" w:type="dxa"/>
            <w:gridSpan w:val="2"/>
          </w:tcPr>
          <w:p>
            <w:pPr>
              <w:pStyle w:val="TableParagraph"/>
              <w:spacing w:before="145"/>
              <w:ind w:left="458"/>
              <w:jc w:val="left"/>
              <w:rPr>
                <w:b/>
                <w:sz w:val="18"/>
              </w:rPr>
            </w:pPr>
            <w:r>
              <w:rPr>
                <w:b/>
                <w:sz w:val="18"/>
              </w:rPr>
              <w:t>Total employee related</w:t>
            </w:r>
          </w:p>
        </w:tc>
        <w:tc>
          <w:tcPr>
            <w:tcW w:w="1630" w:type="dxa"/>
            <w:tcBorders>
              <w:top w:val="single" w:sz="0" w:space="0" w:color="000000"/>
            </w:tcBorders>
          </w:tcPr>
          <w:p>
            <w:pPr/>
          </w:p>
        </w:tc>
        <w:tc>
          <w:tcPr>
            <w:tcW w:w="1389" w:type="dxa"/>
            <w:tcBorders>
              <w:top w:val="single" w:sz="0" w:space="0" w:color="000000"/>
            </w:tcBorders>
          </w:tcPr>
          <w:p>
            <w:pPr/>
          </w:p>
        </w:tc>
        <w:tc>
          <w:tcPr>
            <w:tcW w:w="1523" w:type="dxa"/>
            <w:tcBorders>
              <w:top w:val="single" w:sz="0" w:space="0" w:color="000000"/>
            </w:tcBorders>
          </w:tcPr>
          <w:p>
            <w:pPr/>
          </w:p>
        </w:tc>
        <w:tc>
          <w:tcPr>
            <w:tcW w:w="986" w:type="dxa"/>
            <w:tcBorders>
              <w:top w:val="single" w:sz="0" w:space="0" w:color="000000"/>
            </w:tcBorders>
          </w:tcPr>
          <w:p>
            <w:pPr/>
          </w:p>
        </w:tc>
      </w:tr>
      <w:tr>
        <w:trPr>
          <w:trHeight w:val="206" w:hRule="exact"/>
        </w:trPr>
        <w:tc>
          <w:tcPr>
            <w:tcW w:w="4421" w:type="dxa"/>
            <w:gridSpan w:val="2"/>
          </w:tcPr>
          <w:p>
            <w:pPr>
              <w:pStyle w:val="TableParagraph"/>
              <w:spacing w:line="197" w:lineRule="exact"/>
              <w:ind w:left="458"/>
              <w:jc w:val="left"/>
              <w:rPr>
                <w:b/>
                <w:sz w:val="18"/>
              </w:rPr>
            </w:pPr>
            <w:r>
              <w:rPr>
                <w:b/>
                <w:sz w:val="18"/>
              </w:rPr>
              <w:t>expenses, including deferred</w:t>
            </w:r>
          </w:p>
        </w:tc>
        <w:tc>
          <w:tcPr>
            <w:tcW w:w="1630" w:type="dxa"/>
          </w:tcPr>
          <w:p>
            <w:pPr/>
          </w:p>
        </w:tc>
        <w:tc>
          <w:tcPr>
            <w:tcW w:w="1389" w:type="dxa"/>
          </w:tcPr>
          <w:p>
            <w:pPr/>
          </w:p>
        </w:tc>
        <w:tc>
          <w:tcPr>
            <w:tcW w:w="1523" w:type="dxa"/>
          </w:tcPr>
          <w:p>
            <w:pPr/>
          </w:p>
        </w:tc>
        <w:tc>
          <w:tcPr>
            <w:tcW w:w="986" w:type="dxa"/>
          </w:tcPr>
          <w:p>
            <w:pPr/>
          </w:p>
        </w:tc>
      </w:tr>
      <w:tr>
        <w:trPr>
          <w:trHeight w:val="192" w:hRule="exact"/>
        </w:trPr>
        <w:tc>
          <w:tcPr>
            <w:tcW w:w="4421" w:type="dxa"/>
            <w:gridSpan w:val="2"/>
          </w:tcPr>
          <w:p>
            <w:pPr>
              <w:pStyle w:val="TableParagraph"/>
              <w:spacing w:line="197" w:lineRule="exact"/>
              <w:ind w:left="458"/>
              <w:jc w:val="left"/>
              <w:rPr>
                <w:b/>
                <w:sz w:val="18"/>
              </w:rPr>
            </w:pPr>
            <w:r>
              <w:rPr>
                <w:b/>
                <w:sz w:val="18"/>
              </w:rPr>
              <w:t>Government Employee Benefits</w:t>
            </w:r>
          </w:p>
        </w:tc>
        <w:tc>
          <w:tcPr>
            <w:tcW w:w="1630" w:type="dxa"/>
          </w:tcPr>
          <w:p>
            <w:pPr/>
          </w:p>
        </w:tc>
        <w:tc>
          <w:tcPr>
            <w:tcW w:w="1389" w:type="dxa"/>
          </w:tcPr>
          <w:p>
            <w:pPr/>
          </w:p>
        </w:tc>
        <w:tc>
          <w:tcPr>
            <w:tcW w:w="1523" w:type="dxa"/>
          </w:tcPr>
          <w:p>
            <w:pPr/>
          </w:p>
        </w:tc>
        <w:tc>
          <w:tcPr>
            <w:tcW w:w="986" w:type="dxa"/>
          </w:tcPr>
          <w:p>
            <w:pPr/>
          </w:p>
        </w:tc>
      </w:tr>
      <w:tr>
        <w:trPr>
          <w:trHeight w:val="235" w:hRule="exact"/>
        </w:trPr>
        <w:tc>
          <w:tcPr>
            <w:tcW w:w="4421" w:type="dxa"/>
            <w:gridSpan w:val="2"/>
          </w:tcPr>
          <w:p>
            <w:pPr>
              <w:pStyle w:val="TableParagraph"/>
              <w:spacing w:before="4"/>
              <w:ind w:left="458"/>
              <w:jc w:val="left"/>
              <w:rPr>
                <w:b/>
                <w:sz w:val="18"/>
              </w:rPr>
            </w:pPr>
            <w:r>
              <w:rPr>
                <w:b/>
                <w:sz w:val="18"/>
              </w:rPr>
              <w:t>for Superannuation</w:t>
            </w:r>
          </w:p>
        </w:tc>
        <w:tc>
          <w:tcPr>
            <w:tcW w:w="1630" w:type="dxa"/>
            <w:tcBorders>
              <w:bottom w:val="single" w:sz="0" w:space="0" w:color="000000"/>
            </w:tcBorders>
          </w:tcPr>
          <w:p>
            <w:pPr>
              <w:pStyle w:val="TableParagraph"/>
              <w:spacing w:line="183" w:lineRule="exact"/>
              <w:ind w:right="248"/>
              <w:rPr>
                <w:b/>
                <w:sz w:val="18"/>
              </w:rPr>
            </w:pPr>
            <w:r>
              <w:rPr>
                <w:b/>
                <w:w w:val="95"/>
                <w:sz w:val="18"/>
              </w:rPr>
              <w:t>466,003</w:t>
            </w:r>
          </w:p>
        </w:tc>
        <w:tc>
          <w:tcPr>
            <w:tcW w:w="1389" w:type="dxa"/>
            <w:tcBorders>
              <w:bottom w:val="single" w:sz="0" w:space="0" w:color="000000"/>
            </w:tcBorders>
          </w:tcPr>
          <w:p>
            <w:pPr>
              <w:pStyle w:val="TableParagraph"/>
              <w:spacing w:line="183" w:lineRule="exact"/>
              <w:ind w:right="340"/>
              <w:rPr>
                <w:sz w:val="18"/>
              </w:rPr>
            </w:pPr>
            <w:r>
              <w:rPr>
                <w:w w:val="95"/>
                <w:sz w:val="18"/>
              </w:rPr>
              <w:t>442,407</w:t>
            </w:r>
          </w:p>
        </w:tc>
        <w:tc>
          <w:tcPr>
            <w:tcW w:w="1523" w:type="dxa"/>
            <w:tcBorders>
              <w:bottom w:val="single" w:sz="0" w:space="0" w:color="000000"/>
            </w:tcBorders>
          </w:tcPr>
          <w:p>
            <w:pPr>
              <w:pStyle w:val="TableParagraph"/>
              <w:spacing w:line="183" w:lineRule="exact"/>
              <w:ind w:left="475"/>
              <w:jc w:val="left"/>
              <w:rPr>
                <w:b/>
                <w:sz w:val="18"/>
              </w:rPr>
            </w:pPr>
            <w:r>
              <w:rPr>
                <w:b/>
                <w:sz w:val="18"/>
              </w:rPr>
              <w:t>420,814</w:t>
            </w:r>
          </w:p>
        </w:tc>
        <w:tc>
          <w:tcPr>
            <w:tcW w:w="986" w:type="dxa"/>
            <w:tcBorders>
              <w:bottom w:val="single" w:sz="0" w:space="0" w:color="000000"/>
            </w:tcBorders>
          </w:tcPr>
          <w:p>
            <w:pPr>
              <w:pStyle w:val="TableParagraph"/>
              <w:spacing w:line="183" w:lineRule="exact"/>
              <w:ind w:right="85"/>
              <w:rPr>
                <w:sz w:val="18"/>
              </w:rPr>
            </w:pPr>
            <w:r>
              <w:rPr>
                <w:w w:val="95"/>
                <w:sz w:val="18"/>
              </w:rPr>
              <w:t>389,684</w:t>
            </w:r>
          </w:p>
        </w:tc>
      </w:tr>
    </w:tbl>
    <w:p>
      <w:pPr>
        <w:spacing w:after="0" w:line="183" w:lineRule="exact"/>
        <w:rPr>
          <w:sz w:val="18"/>
        </w:rPr>
        <w:sectPr>
          <w:type w:val="continuous"/>
          <w:pgSz w:w="12750" w:h="17680"/>
          <w:pgMar w:top="1660" w:bottom="0" w:left="0" w:right="0"/>
        </w:sectPr>
      </w:pPr>
    </w:p>
    <w:p>
      <w:pPr>
        <w:pStyle w:val="BodyText"/>
        <w:rPr>
          <w:rFonts w:ascii="Times New Roman"/>
          <w:sz w:val="20"/>
        </w:rPr>
      </w:pPr>
      <w:r>
        <w:rPr/>
        <w:drawing>
          <wp:anchor distT="0" distB="0" distL="0" distR="0" allowOverlap="1" layoutInCell="1" locked="0" behindDoc="0" simplePos="0" relativeHeight="3424">
            <wp:simplePos x="0" y="0"/>
            <wp:positionH relativeFrom="page">
              <wp:posOffset>-1587</wp:posOffset>
            </wp:positionH>
            <wp:positionV relativeFrom="page">
              <wp:posOffset>5534342</wp:posOffset>
            </wp:positionV>
            <wp:extent cx="135159" cy="154019"/>
            <wp:effectExtent l="0" t="0" r="0" b="0"/>
            <wp:wrapNone/>
            <wp:docPr id="183" name="image13.png" descr=""/>
            <wp:cNvGraphicFramePr>
              <a:graphicFrameLocks noChangeAspect="1"/>
            </wp:cNvGraphicFramePr>
            <a:graphic>
              <a:graphicData uri="http://schemas.openxmlformats.org/drawingml/2006/picture">
                <pic:pic>
                  <pic:nvPicPr>
                    <pic:cNvPr id="184" name="image13.png"/>
                    <pic:cNvPicPr/>
                  </pic:nvPicPr>
                  <pic:blipFill>
                    <a:blip r:embed="rId18" cstate="print"/>
                    <a:stretch>
                      <a:fillRect/>
                    </a:stretch>
                  </pic:blipFill>
                  <pic:spPr>
                    <a:xfrm>
                      <a:off x="0" y="0"/>
                      <a:ext cx="135159" cy="154019"/>
                    </a:xfrm>
                    <a:prstGeom prst="rect">
                      <a:avLst/>
                    </a:prstGeom>
                  </pic:spPr>
                </pic:pic>
              </a:graphicData>
            </a:graphic>
          </wp:anchor>
        </w:drawing>
      </w:r>
      <w:r>
        <w:rPr/>
        <w:drawing>
          <wp:anchor distT="0" distB="0" distL="0" distR="0" allowOverlap="1" layoutInCell="1" locked="0" behindDoc="0" simplePos="0" relativeHeight="3448">
            <wp:simplePos x="0" y="0"/>
            <wp:positionH relativeFrom="page">
              <wp:posOffset>7958429</wp:posOffset>
            </wp:positionH>
            <wp:positionV relativeFrom="page">
              <wp:posOffset>5534342</wp:posOffset>
            </wp:positionV>
            <wp:extent cx="135953" cy="155575"/>
            <wp:effectExtent l="0" t="0" r="0" b="0"/>
            <wp:wrapNone/>
            <wp:docPr id="185" name="image15.png" descr=""/>
            <wp:cNvGraphicFramePr>
              <a:graphicFrameLocks noChangeAspect="1"/>
            </wp:cNvGraphicFramePr>
            <a:graphic>
              <a:graphicData uri="http://schemas.openxmlformats.org/drawingml/2006/picture">
                <pic:pic>
                  <pic:nvPicPr>
                    <pic:cNvPr id="186" name="image15.png"/>
                    <pic:cNvPicPr/>
                  </pic:nvPicPr>
                  <pic:blipFill>
                    <a:blip r:embed="rId20" cstate="print"/>
                    <a:stretch>
                      <a:fillRect/>
                    </a:stretch>
                  </pic:blipFill>
                  <pic:spPr>
                    <a:xfrm>
                      <a:off x="0" y="0"/>
                      <a:ext cx="135953" cy="155575"/>
                    </a:xfrm>
                    <a:prstGeom prst="rect">
                      <a:avLst/>
                    </a:prstGeom>
                  </pic:spPr>
                </pic:pic>
              </a:graphicData>
            </a:graphic>
          </wp:anchor>
        </w:drawing>
      </w:r>
    </w:p>
    <w:p>
      <w:pPr>
        <w:pStyle w:val="BodyText"/>
        <w:rPr>
          <w:rFonts w:ascii="Times New Roman"/>
          <w:sz w:val="20"/>
        </w:rPr>
      </w:pPr>
    </w:p>
    <w:p>
      <w:pPr>
        <w:pStyle w:val="BodyText"/>
        <w:spacing w:before="8"/>
        <w:rPr>
          <w:rFonts w:ascii="Times New Roman"/>
          <w:sz w:val="11"/>
        </w:rPr>
      </w:pPr>
    </w:p>
    <w:tbl>
      <w:tblPr>
        <w:tblW w:w="0" w:type="auto"/>
        <w:jc w:val="left"/>
        <w:tblInd w:w="139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33"/>
        <w:gridCol w:w="4088"/>
        <w:gridCol w:w="1629"/>
        <w:gridCol w:w="1419"/>
        <w:gridCol w:w="1487"/>
        <w:gridCol w:w="993"/>
      </w:tblGrid>
      <w:tr>
        <w:trPr>
          <w:trHeight w:val="567" w:hRule="exact"/>
        </w:trPr>
        <w:tc>
          <w:tcPr>
            <w:tcW w:w="333" w:type="dxa"/>
          </w:tcPr>
          <w:p>
            <w:pPr>
              <w:pStyle w:val="TableParagraph"/>
              <w:spacing w:before="77"/>
              <w:ind w:left="35"/>
              <w:jc w:val="left"/>
              <w:rPr>
                <w:b/>
                <w:sz w:val="18"/>
              </w:rPr>
            </w:pPr>
            <w:bookmarkStart w:name="12 Depreciation and amortisation" w:id="75"/>
            <w:bookmarkEnd w:id="75"/>
            <w:r>
              <w:rPr/>
            </w:r>
            <w:r>
              <w:rPr>
                <w:b/>
                <w:sz w:val="18"/>
              </w:rPr>
              <w:t>12</w:t>
            </w:r>
          </w:p>
        </w:tc>
        <w:tc>
          <w:tcPr>
            <w:tcW w:w="4088" w:type="dxa"/>
          </w:tcPr>
          <w:p>
            <w:pPr>
              <w:pStyle w:val="TableParagraph"/>
              <w:spacing w:before="77"/>
              <w:ind w:left="98" w:right="124"/>
              <w:jc w:val="left"/>
              <w:rPr>
                <w:b/>
                <w:sz w:val="18"/>
              </w:rPr>
            </w:pPr>
            <w:r>
              <w:rPr>
                <w:b/>
                <w:sz w:val="18"/>
              </w:rPr>
              <w:t>Depreciation and amortisation</w:t>
            </w:r>
          </w:p>
        </w:tc>
        <w:tc>
          <w:tcPr>
            <w:tcW w:w="3048" w:type="dxa"/>
            <w:gridSpan w:val="2"/>
          </w:tcPr>
          <w:p>
            <w:pPr>
              <w:pStyle w:val="TableParagraph"/>
              <w:jc w:val="left"/>
              <w:rPr>
                <w:rFonts w:ascii="Times New Roman"/>
                <w:sz w:val="18"/>
              </w:rPr>
            </w:pPr>
          </w:p>
          <w:p>
            <w:pPr>
              <w:pStyle w:val="TableParagraph"/>
              <w:spacing w:before="110"/>
              <w:ind w:left="826"/>
              <w:jc w:val="left"/>
              <w:rPr>
                <w:b/>
                <w:sz w:val="18"/>
              </w:rPr>
            </w:pPr>
            <w:r>
              <w:rPr>
                <w:b/>
                <w:sz w:val="18"/>
              </w:rPr>
              <w:t>Consolidated</w:t>
            </w:r>
          </w:p>
        </w:tc>
        <w:tc>
          <w:tcPr>
            <w:tcW w:w="1487" w:type="dxa"/>
          </w:tcPr>
          <w:p>
            <w:pPr>
              <w:pStyle w:val="TableParagraph"/>
              <w:jc w:val="left"/>
              <w:rPr>
                <w:rFonts w:ascii="Times New Roman"/>
                <w:sz w:val="18"/>
              </w:rPr>
            </w:pPr>
          </w:p>
          <w:p>
            <w:pPr>
              <w:pStyle w:val="TableParagraph"/>
              <w:spacing w:before="110"/>
              <w:ind w:right="107"/>
              <w:rPr>
                <w:b/>
                <w:sz w:val="18"/>
              </w:rPr>
            </w:pPr>
            <w:r>
              <w:rPr>
                <w:b/>
                <w:w w:val="95"/>
                <w:sz w:val="18"/>
              </w:rPr>
              <w:t>Parent</w:t>
            </w:r>
          </w:p>
        </w:tc>
        <w:tc>
          <w:tcPr>
            <w:tcW w:w="993" w:type="dxa"/>
          </w:tcPr>
          <w:p>
            <w:pPr/>
          </w:p>
        </w:tc>
      </w:tr>
      <w:tr>
        <w:trPr>
          <w:trHeight w:val="274" w:hRule="exact"/>
        </w:trPr>
        <w:tc>
          <w:tcPr>
            <w:tcW w:w="333" w:type="dxa"/>
          </w:tcPr>
          <w:p>
            <w:pPr/>
          </w:p>
        </w:tc>
        <w:tc>
          <w:tcPr>
            <w:tcW w:w="4088" w:type="dxa"/>
          </w:tcPr>
          <w:p>
            <w:pPr/>
          </w:p>
        </w:tc>
        <w:tc>
          <w:tcPr>
            <w:tcW w:w="1629" w:type="dxa"/>
          </w:tcPr>
          <w:p>
            <w:pPr>
              <w:pStyle w:val="TableParagraph"/>
              <w:spacing w:before="24"/>
              <w:ind w:left="618"/>
              <w:jc w:val="left"/>
              <w:rPr>
                <w:b/>
                <w:sz w:val="18"/>
              </w:rPr>
            </w:pPr>
            <w:r>
              <w:rPr>
                <w:b/>
                <w:sz w:val="18"/>
              </w:rPr>
              <w:t>2016</w:t>
            </w:r>
          </w:p>
        </w:tc>
        <w:tc>
          <w:tcPr>
            <w:tcW w:w="1419" w:type="dxa"/>
          </w:tcPr>
          <w:p>
            <w:pPr>
              <w:pStyle w:val="TableParagraph"/>
              <w:spacing w:before="24"/>
              <w:ind w:left="272"/>
              <w:jc w:val="left"/>
              <w:rPr>
                <w:b/>
                <w:sz w:val="18"/>
              </w:rPr>
            </w:pPr>
            <w:r>
              <w:rPr>
                <w:b/>
                <w:sz w:val="18"/>
              </w:rPr>
              <w:t>2015</w:t>
            </w:r>
          </w:p>
        </w:tc>
        <w:tc>
          <w:tcPr>
            <w:tcW w:w="1487" w:type="dxa"/>
          </w:tcPr>
          <w:p>
            <w:pPr>
              <w:pStyle w:val="TableParagraph"/>
              <w:spacing w:before="24"/>
              <w:ind w:left="333"/>
              <w:jc w:val="left"/>
              <w:rPr>
                <w:b/>
                <w:sz w:val="18"/>
              </w:rPr>
            </w:pPr>
            <w:r>
              <w:rPr>
                <w:b/>
                <w:sz w:val="18"/>
              </w:rPr>
              <w:t>2016</w:t>
            </w:r>
          </w:p>
        </w:tc>
        <w:tc>
          <w:tcPr>
            <w:tcW w:w="993" w:type="dxa"/>
          </w:tcPr>
          <w:p>
            <w:pPr>
              <w:pStyle w:val="TableParagraph"/>
              <w:spacing w:before="24"/>
              <w:ind w:left="130"/>
              <w:jc w:val="left"/>
              <w:rPr>
                <w:b/>
                <w:sz w:val="18"/>
              </w:rPr>
            </w:pPr>
            <w:r>
              <w:rPr>
                <w:b/>
                <w:sz w:val="18"/>
              </w:rPr>
              <w:t>2015</w:t>
            </w:r>
          </w:p>
        </w:tc>
      </w:tr>
      <w:tr>
        <w:trPr>
          <w:trHeight w:val="313" w:hRule="exact"/>
        </w:trPr>
        <w:tc>
          <w:tcPr>
            <w:tcW w:w="333" w:type="dxa"/>
          </w:tcPr>
          <w:p>
            <w:pPr/>
          </w:p>
        </w:tc>
        <w:tc>
          <w:tcPr>
            <w:tcW w:w="4088" w:type="dxa"/>
          </w:tcPr>
          <w:p>
            <w:pPr/>
          </w:p>
        </w:tc>
        <w:tc>
          <w:tcPr>
            <w:tcW w:w="1629" w:type="dxa"/>
          </w:tcPr>
          <w:p>
            <w:pPr>
              <w:pStyle w:val="TableParagraph"/>
              <w:spacing w:before="24"/>
              <w:ind w:left="596"/>
              <w:jc w:val="left"/>
              <w:rPr>
                <w:b/>
                <w:sz w:val="18"/>
              </w:rPr>
            </w:pPr>
            <w:r>
              <w:rPr>
                <w:b/>
                <w:sz w:val="18"/>
              </w:rPr>
              <w:t>$'000</w:t>
            </w:r>
          </w:p>
        </w:tc>
        <w:tc>
          <w:tcPr>
            <w:tcW w:w="1419" w:type="dxa"/>
          </w:tcPr>
          <w:p>
            <w:pPr>
              <w:pStyle w:val="TableParagraph"/>
              <w:spacing w:before="24"/>
              <w:ind w:left="251"/>
              <w:jc w:val="left"/>
              <w:rPr>
                <w:b/>
                <w:sz w:val="18"/>
              </w:rPr>
            </w:pPr>
            <w:r>
              <w:rPr>
                <w:b/>
                <w:sz w:val="18"/>
              </w:rPr>
              <w:t>$'000</w:t>
            </w:r>
          </w:p>
        </w:tc>
        <w:tc>
          <w:tcPr>
            <w:tcW w:w="1487" w:type="dxa"/>
          </w:tcPr>
          <w:p>
            <w:pPr>
              <w:pStyle w:val="TableParagraph"/>
              <w:spacing w:before="24"/>
              <w:ind w:left="312"/>
              <w:jc w:val="left"/>
              <w:rPr>
                <w:b/>
                <w:sz w:val="18"/>
              </w:rPr>
            </w:pPr>
            <w:r>
              <w:rPr>
                <w:b/>
                <w:sz w:val="18"/>
              </w:rPr>
              <w:t>$'000</w:t>
            </w:r>
          </w:p>
        </w:tc>
        <w:tc>
          <w:tcPr>
            <w:tcW w:w="993" w:type="dxa"/>
          </w:tcPr>
          <w:p>
            <w:pPr>
              <w:pStyle w:val="TableParagraph"/>
              <w:spacing w:before="24"/>
              <w:ind w:left="109"/>
              <w:jc w:val="left"/>
              <w:rPr>
                <w:b/>
                <w:sz w:val="18"/>
              </w:rPr>
            </w:pPr>
            <w:r>
              <w:rPr>
                <w:b/>
                <w:sz w:val="18"/>
              </w:rPr>
              <w:t>$'000</w:t>
            </w:r>
          </w:p>
        </w:tc>
      </w:tr>
      <w:tr>
        <w:trPr>
          <w:trHeight w:val="544" w:hRule="exact"/>
        </w:trPr>
        <w:tc>
          <w:tcPr>
            <w:tcW w:w="333" w:type="dxa"/>
          </w:tcPr>
          <w:p>
            <w:pPr/>
          </w:p>
        </w:tc>
        <w:tc>
          <w:tcPr>
            <w:tcW w:w="4088" w:type="dxa"/>
          </w:tcPr>
          <w:p>
            <w:pPr>
              <w:pStyle w:val="TableParagraph"/>
              <w:spacing w:before="63"/>
              <w:ind w:left="124" w:right="124"/>
              <w:jc w:val="left"/>
              <w:rPr>
                <w:b/>
                <w:sz w:val="18"/>
              </w:rPr>
            </w:pPr>
            <w:r>
              <w:rPr>
                <w:b/>
                <w:sz w:val="18"/>
              </w:rPr>
              <w:t>Depreciation</w:t>
            </w:r>
          </w:p>
          <w:p>
            <w:pPr>
              <w:pStyle w:val="TableParagraph"/>
              <w:spacing w:before="29"/>
              <w:ind w:left="339" w:right="124"/>
              <w:jc w:val="left"/>
              <w:rPr>
                <w:sz w:val="18"/>
              </w:rPr>
            </w:pPr>
            <w:r>
              <w:rPr>
                <w:sz w:val="18"/>
              </w:rPr>
              <w:t>Buildings and Infrastructure</w:t>
            </w:r>
          </w:p>
        </w:tc>
        <w:tc>
          <w:tcPr>
            <w:tcW w:w="1629" w:type="dxa"/>
          </w:tcPr>
          <w:p>
            <w:pPr>
              <w:pStyle w:val="TableParagraph"/>
              <w:spacing w:before="11"/>
              <w:jc w:val="left"/>
              <w:rPr>
                <w:rFonts w:ascii="Times New Roman"/>
                <w:sz w:val="25"/>
              </w:rPr>
            </w:pPr>
          </w:p>
          <w:p>
            <w:pPr>
              <w:pStyle w:val="TableParagraph"/>
              <w:ind w:right="249"/>
              <w:rPr>
                <w:b/>
                <w:sz w:val="18"/>
              </w:rPr>
            </w:pPr>
            <w:r>
              <w:rPr>
                <w:b/>
                <w:w w:val="95"/>
                <w:sz w:val="18"/>
              </w:rPr>
              <w:t>25,924</w:t>
            </w:r>
          </w:p>
        </w:tc>
        <w:tc>
          <w:tcPr>
            <w:tcW w:w="1419" w:type="dxa"/>
          </w:tcPr>
          <w:p>
            <w:pPr>
              <w:pStyle w:val="TableParagraph"/>
              <w:spacing w:before="11"/>
              <w:jc w:val="left"/>
              <w:rPr>
                <w:rFonts w:ascii="Times New Roman"/>
                <w:sz w:val="25"/>
              </w:rPr>
            </w:pPr>
          </w:p>
          <w:p>
            <w:pPr>
              <w:pStyle w:val="TableParagraph"/>
              <w:ind w:right="369"/>
              <w:rPr>
                <w:sz w:val="18"/>
              </w:rPr>
            </w:pPr>
            <w:r>
              <w:rPr>
                <w:w w:val="95"/>
                <w:sz w:val="18"/>
              </w:rPr>
              <w:t>24,050</w:t>
            </w:r>
          </w:p>
        </w:tc>
        <w:tc>
          <w:tcPr>
            <w:tcW w:w="1487" w:type="dxa"/>
          </w:tcPr>
          <w:p>
            <w:pPr>
              <w:pStyle w:val="TableParagraph"/>
              <w:spacing w:before="11"/>
              <w:jc w:val="left"/>
              <w:rPr>
                <w:rFonts w:ascii="Times New Roman"/>
                <w:sz w:val="25"/>
              </w:rPr>
            </w:pPr>
          </w:p>
          <w:p>
            <w:pPr>
              <w:pStyle w:val="TableParagraph"/>
              <w:ind w:left="545"/>
              <w:jc w:val="left"/>
              <w:rPr>
                <w:b/>
                <w:sz w:val="18"/>
              </w:rPr>
            </w:pPr>
            <w:r>
              <w:rPr>
                <w:b/>
                <w:sz w:val="18"/>
              </w:rPr>
              <w:t>25,924</w:t>
            </w:r>
          </w:p>
        </w:tc>
        <w:tc>
          <w:tcPr>
            <w:tcW w:w="993" w:type="dxa"/>
          </w:tcPr>
          <w:p>
            <w:pPr>
              <w:pStyle w:val="TableParagraph"/>
              <w:spacing w:before="11"/>
              <w:jc w:val="left"/>
              <w:rPr>
                <w:rFonts w:ascii="Times New Roman"/>
                <w:sz w:val="25"/>
              </w:rPr>
            </w:pPr>
          </w:p>
          <w:p>
            <w:pPr>
              <w:pStyle w:val="TableParagraph"/>
              <w:ind w:right="85"/>
              <w:rPr>
                <w:sz w:val="18"/>
              </w:rPr>
            </w:pPr>
            <w:r>
              <w:rPr>
                <w:w w:val="95"/>
                <w:sz w:val="18"/>
              </w:rPr>
              <w:t>24,050</w:t>
            </w:r>
          </w:p>
        </w:tc>
      </w:tr>
      <w:tr>
        <w:trPr>
          <w:trHeight w:val="264" w:hRule="exact"/>
        </w:trPr>
        <w:tc>
          <w:tcPr>
            <w:tcW w:w="333" w:type="dxa"/>
          </w:tcPr>
          <w:p>
            <w:pPr/>
          </w:p>
        </w:tc>
        <w:tc>
          <w:tcPr>
            <w:tcW w:w="4088" w:type="dxa"/>
          </w:tcPr>
          <w:p>
            <w:pPr>
              <w:pStyle w:val="TableParagraph"/>
              <w:spacing w:before="19"/>
              <w:ind w:left="339" w:right="124"/>
              <w:jc w:val="left"/>
              <w:rPr>
                <w:sz w:val="18"/>
              </w:rPr>
            </w:pPr>
            <w:r>
              <w:rPr>
                <w:sz w:val="18"/>
              </w:rPr>
              <w:t>Plant and equipment</w:t>
            </w:r>
          </w:p>
        </w:tc>
        <w:tc>
          <w:tcPr>
            <w:tcW w:w="1629" w:type="dxa"/>
          </w:tcPr>
          <w:p>
            <w:pPr>
              <w:pStyle w:val="TableParagraph"/>
              <w:spacing w:before="18"/>
              <w:ind w:right="249"/>
              <w:rPr>
                <w:b/>
                <w:sz w:val="18"/>
              </w:rPr>
            </w:pPr>
            <w:r>
              <w:rPr>
                <w:b/>
                <w:w w:val="95"/>
                <w:sz w:val="18"/>
              </w:rPr>
              <w:t>10,974</w:t>
            </w:r>
          </w:p>
        </w:tc>
        <w:tc>
          <w:tcPr>
            <w:tcW w:w="1419" w:type="dxa"/>
          </w:tcPr>
          <w:p>
            <w:pPr>
              <w:pStyle w:val="TableParagraph"/>
              <w:spacing w:before="18"/>
              <w:ind w:right="369"/>
              <w:rPr>
                <w:sz w:val="18"/>
              </w:rPr>
            </w:pPr>
            <w:r>
              <w:rPr>
                <w:sz w:val="18"/>
              </w:rPr>
              <w:t>9,692</w:t>
            </w:r>
          </w:p>
        </w:tc>
        <w:tc>
          <w:tcPr>
            <w:tcW w:w="1487" w:type="dxa"/>
          </w:tcPr>
          <w:p>
            <w:pPr>
              <w:pStyle w:val="TableParagraph"/>
              <w:spacing w:before="18"/>
              <w:ind w:left="545"/>
              <w:jc w:val="left"/>
              <w:rPr>
                <w:b/>
                <w:sz w:val="18"/>
              </w:rPr>
            </w:pPr>
            <w:r>
              <w:rPr>
                <w:b/>
                <w:sz w:val="18"/>
              </w:rPr>
              <w:t>10,826</w:t>
            </w:r>
          </w:p>
        </w:tc>
        <w:tc>
          <w:tcPr>
            <w:tcW w:w="993" w:type="dxa"/>
          </w:tcPr>
          <w:p>
            <w:pPr>
              <w:pStyle w:val="TableParagraph"/>
              <w:spacing w:before="18"/>
              <w:ind w:right="85"/>
              <w:rPr>
                <w:sz w:val="18"/>
              </w:rPr>
            </w:pPr>
            <w:r>
              <w:rPr>
                <w:sz w:val="18"/>
              </w:rPr>
              <w:t>9,484</w:t>
            </w:r>
          </w:p>
        </w:tc>
      </w:tr>
      <w:tr>
        <w:trPr>
          <w:trHeight w:val="262" w:hRule="exact"/>
        </w:trPr>
        <w:tc>
          <w:tcPr>
            <w:tcW w:w="333" w:type="dxa"/>
          </w:tcPr>
          <w:p>
            <w:pPr/>
          </w:p>
        </w:tc>
        <w:tc>
          <w:tcPr>
            <w:tcW w:w="4088" w:type="dxa"/>
          </w:tcPr>
          <w:p>
            <w:pPr>
              <w:pStyle w:val="TableParagraph"/>
              <w:spacing w:before="19"/>
              <w:ind w:left="339" w:right="124"/>
              <w:jc w:val="left"/>
              <w:rPr>
                <w:sz w:val="18"/>
              </w:rPr>
            </w:pPr>
            <w:r>
              <w:rPr>
                <w:sz w:val="18"/>
              </w:rPr>
              <w:t>Library collection</w:t>
            </w:r>
          </w:p>
        </w:tc>
        <w:tc>
          <w:tcPr>
            <w:tcW w:w="1629" w:type="dxa"/>
            <w:tcBorders>
              <w:bottom w:val="single" w:sz="0" w:space="0" w:color="000000"/>
            </w:tcBorders>
          </w:tcPr>
          <w:p>
            <w:pPr>
              <w:pStyle w:val="TableParagraph"/>
              <w:spacing w:before="18"/>
              <w:ind w:right="249"/>
              <w:rPr>
                <w:b/>
                <w:sz w:val="18"/>
              </w:rPr>
            </w:pPr>
            <w:r>
              <w:rPr>
                <w:b/>
                <w:sz w:val="18"/>
              </w:rPr>
              <w:t>2,945</w:t>
            </w:r>
          </w:p>
        </w:tc>
        <w:tc>
          <w:tcPr>
            <w:tcW w:w="1419" w:type="dxa"/>
            <w:tcBorders>
              <w:bottom w:val="single" w:sz="0" w:space="0" w:color="000000"/>
            </w:tcBorders>
          </w:tcPr>
          <w:p>
            <w:pPr>
              <w:pStyle w:val="TableParagraph"/>
              <w:spacing w:before="18"/>
              <w:ind w:right="369"/>
              <w:rPr>
                <w:sz w:val="18"/>
              </w:rPr>
            </w:pPr>
            <w:r>
              <w:rPr>
                <w:sz w:val="18"/>
              </w:rPr>
              <w:t>3,322</w:t>
            </w:r>
          </w:p>
        </w:tc>
        <w:tc>
          <w:tcPr>
            <w:tcW w:w="1487" w:type="dxa"/>
            <w:tcBorders>
              <w:bottom w:val="single" w:sz="0" w:space="0" w:color="000000"/>
            </w:tcBorders>
          </w:tcPr>
          <w:p>
            <w:pPr>
              <w:pStyle w:val="TableParagraph"/>
              <w:spacing w:before="18"/>
              <w:ind w:left="644"/>
              <w:jc w:val="left"/>
              <w:rPr>
                <w:b/>
                <w:sz w:val="18"/>
              </w:rPr>
            </w:pPr>
            <w:r>
              <w:rPr>
                <w:b/>
                <w:sz w:val="18"/>
              </w:rPr>
              <w:t>2,945</w:t>
            </w:r>
          </w:p>
        </w:tc>
        <w:tc>
          <w:tcPr>
            <w:tcW w:w="993" w:type="dxa"/>
            <w:tcBorders>
              <w:bottom w:val="single" w:sz="0" w:space="0" w:color="000000"/>
            </w:tcBorders>
          </w:tcPr>
          <w:p>
            <w:pPr>
              <w:pStyle w:val="TableParagraph"/>
              <w:spacing w:before="18"/>
              <w:ind w:right="85"/>
              <w:rPr>
                <w:sz w:val="18"/>
              </w:rPr>
            </w:pPr>
            <w:r>
              <w:rPr>
                <w:sz w:val="18"/>
              </w:rPr>
              <w:t>3,322</w:t>
            </w:r>
          </w:p>
        </w:tc>
      </w:tr>
      <w:tr>
        <w:trPr>
          <w:trHeight w:val="338" w:hRule="exact"/>
        </w:trPr>
        <w:tc>
          <w:tcPr>
            <w:tcW w:w="333" w:type="dxa"/>
          </w:tcPr>
          <w:p>
            <w:pPr/>
          </w:p>
        </w:tc>
        <w:tc>
          <w:tcPr>
            <w:tcW w:w="4088" w:type="dxa"/>
          </w:tcPr>
          <w:p>
            <w:pPr>
              <w:pStyle w:val="TableParagraph"/>
              <w:spacing w:before="123"/>
              <w:ind w:left="124" w:right="124"/>
              <w:jc w:val="left"/>
              <w:rPr>
                <w:b/>
                <w:sz w:val="18"/>
              </w:rPr>
            </w:pPr>
            <w:r>
              <w:rPr>
                <w:b/>
                <w:sz w:val="18"/>
              </w:rPr>
              <w:t>Total depreciation</w:t>
            </w:r>
          </w:p>
        </w:tc>
        <w:tc>
          <w:tcPr>
            <w:tcW w:w="1629" w:type="dxa"/>
            <w:tcBorders>
              <w:top w:val="single" w:sz="0" w:space="0" w:color="000000"/>
              <w:bottom w:val="single" w:sz="0" w:space="0" w:color="000000"/>
            </w:tcBorders>
          </w:tcPr>
          <w:p>
            <w:pPr>
              <w:pStyle w:val="TableParagraph"/>
              <w:spacing w:before="94"/>
              <w:ind w:right="249"/>
              <w:rPr>
                <w:b/>
                <w:sz w:val="18"/>
              </w:rPr>
            </w:pPr>
            <w:r>
              <w:rPr>
                <w:b/>
                <w:w w:val="95"/>
                <w:sz w:val="18"/>
              </w:rPr>
              <w:t>39,843</w:t>
            </w:r>
          </w:p>
        </w:tc>
        <w:tc>
          <w:tcPr>
            <w:tcW w:w="1419" w:type="dxa"/>
            <w:tcBorders>
              <w:top w:val="single" w:sz="0" w:space="0" w:color="000000"/>
              <w:bottom w:val="single" w:sz="0" w:space="0" w:color="000000"/>
            </w:tcBorders>
          </w:tcPr>
          <w:p>
            <w:pPr>
              <w:pStyle w:val="TableParagraph"/>
              <w:spacing w:before="94"/>
              <w:ind w:right="369"/>
              <w:rPr>
                <w:sz w:val="18"/>
              </w:rPr>
            </w:pPr>
            <w:r>
              <w:rPr>
                <w:w w:val="95"/>
                <w:sz w:val="18"/>
              </w:rPr>
              <w:t>37,064</w:t>
            </w:r>
          </w:p>
        </w:tc>
        <w:tc>
          <w:tcPr>
            <w:tcW w:w="1487" w:type="dxa"/>
            <w:tcBorders>
              <w:top w:val="single" w:sz="0" w:space="0" w:color="000000"/>
              <w:bottom w:val="single" w:sz="0" w:space="0" w:color="000000"/>
            </w:tcBorders>
          </w:tcPr>
          <w:p>
            <w:pPr>
              <w:pStyle w:val="TableParagraph"/>
              <w:spacing w:before="94"/>
              <w:ind w:left="545"/>
              <w:jc w:val="left"/>
              <w:rPr>
                <w:b/>
                <w:sz w:val="18"/>
              </w:rPr>
            </w:pPr>
            <w:r>
              <w:rPr>
                <w:b/>
                <w:sz w:val="18"/>
              </w:rPr>
              <w:t>39,695</w:t>
            </w:r>
          </w:p>
        </w:tc>
        <w:tc>
          <w:tcPr>
            <w:tcW w:w="993" w:type="dxa"/>
            <w:tcBorders>
              <w:top w:val="single" w:sz="0" w:space="0" w:color="000000"/>
              <w:bottom w:val="single" w:sz="0" w:space="0" w:color="000000"/>
            </w:tcBorders>
          </w:tcPr>
          <w:p>
            <w:pPr>
              <w:pStyle w:val="TableParagraph"/>
              <w:spacing w:before="94"/>
              <w:ind w:right="85"/>
              <w:rPr>
                <w:sz w:val="18"/>
              </w:rPr>
            </w:pPr>
            <w:r>
              <w:rPr>
                <w:w w:val="95"/>
                <w:sz w:val="18"/>
              </w:rPr>
              <w:t>36,856</w:t>
            </w:r>
          </w:p>
        </w:tc>
      </w:tr>
      <w:tr>
        <w:trPr>
          <w:trHeight w:val="604" w:hRule="exact"/>
        </w:trPr>
        <w:tc>
          <w:tcPr>
            <w:tcW w:w="333" w:type="dxa"/>
          </w:tcPr>
          <w:p>
            <w:pPr/>
          </w:p>
        </w:tc>
        <w:tc>
          <w:tcPr>
            <w:tcW w:w="4088" w:type="dxa"/>
          </w:tcPr>
          <w:p>
            <w:pPr>
              <w:pStyle w:val="TableParagraph"/>
              <w:spacing w:before="123"/>
              <w:ind w:left="124" w:right="124"/>
              <w:jc w:val="left"/>
              <w:rPr>
                <w:b/>
                <w:sz w:val="18"/>
              </w:rPr>
            </w:pPr>
            <w:r>
              <w:rPr>
                <w:b/>
                <w:sz w:val="18"/>
              </w:rPr>
              <w:t>Amortisation</w:t>
            </w:r>
          </w:p>
          <w:p>
            <w:pPr>
              <w:pStyle w:val="TableParagraph"/>
              <w:spacing w:before="29"/>
              <w:ind w:left="339" w:right="124"/>
              <w:jc w:val="left"/>
              <w:rPr>
                <w:sz w:val="18"/>
              </w:rPr>
            </w:pPr>
            <w:r>
              <w:rPr>
                <w:sz w:val="18"/>
              </w:rPr>
              <w:t>Leasehold property</w:t>
            </w:r>
          </w:p>
        </w:tc>
        <w:tc>
          <w:tcPr>
            <w:tcW w:w="1629" w:type="dxa"/>
            <w:tcBorders>
              <w:top w:val="single" w:sz="0" w:space="0" w:color="000000"/>
            </w:tcBorders>
          </w:tcPr>
          <w:p>
            <w:pPr>
              <w:pStyle w:val="TableParagraph"/>
              <w:jc w:val="left"/>
              <w:rPr>
                <w:rFonts w:ascii="Times New Roman"/>
                <w:sz w:val="18"/>
              </w:rPr>
            </w:pPr>
          </w:p>
          <w:p>
            <w:pPr>
              <w:pStyle w:val="TableParagraph"/>
              <w:spacing w:before="151"/>
              <w:ind w:right="249"/>
              <w:rPr>
                <w:b/>
                <w:sz w:val="18"/>
              </w:rPr>
            </w:pPr>
            <w:r>
              <w:rPr>
                <w:b/>
                <w:sz w:val="18"/>
              </w:rPr>
              <w:t>2,828</w:t>
            </w:r>
          </w:p>
        </w:tc>
        <w:tc>
          <w:tcPr>
            <w:tcW w:w="1419" w:type="dxa"/>
            <w:tcBorders>
              <w:top w:val="single" w:sz="0" w:space="0" w:color="000000"/>
            </w:tcBorders>
          </w:tcPr>
          <w:p>
            <w:pPr>
              <w:pStyle w:val="TableParagraph"/>
              <w:jc w:val="left"/>
              <w:rPr>
                <w:rFonts w:ascii="Times New Roman"/>
                <w:sz w:val="18"/>
              </w:rPr>
            </w:pPr>
          </w:p>
          <w:p>
            <w:pPr>
              <w:pStyle w:val="TableParagraph"/>
              <w:spacing w:before="151"/>
              <w:ind w:right="369"/>
              <w:rPr>
                <w:sz w:val="18"/>
              </w:rPr>
            </w:pPr>
            <w:r>
              <w:rPr>
                <w:sz w:val="18"/>
              </w:rPr>
              <w:t>2,090</w:t>
            </w:r>
          </w:p>
        </w:tc>
        <w:tc>
          <w:tcPr>
            <w:tcW w:w="1487" w:type="dxa"/>
            <w:tcBorders>
              <w:top w:val="single" w:sz="0" w:space="0" w:color="000000"/>
            </w:tcBorders>
          </w:tcPr>
          <w:p>
            <w:pPr>
              <w:pStyle w:val="TableParagraph"/>
              <w:jc w:val="left"/>
              <w:rPr>
                <w:rFonts w:ascii="Times New Roman"/>
                <w:sz w:val="18"/>
              </w:rPr>
            </w:pPr>
          </w:p>
          <w:p>
            <w:pPr>
              <w:pStyle w:val="TableParagraph"/>
              <w:spacing w:before="151"/>
              <w:ind w:left="644"/>
              <w:jc w:val="left"/>
              <w:rPr>
                <w:b/>
                <w:sz w:val="18"/>
              </w:rPr>
            </w:pPr>
            <w:r>
              <w:rPr>
                <w:b/>
                <w:sz w:val="18"/>
              </w:rPr>
              <w:t>1,803</w:t>
            </w:r>
          </w:p>
        </w:tc>
        <w:tc>
          <w:tcPr>
            <w:tcW w:w="993" w:type="dxa"/>
            <w:tcBorders>
              <w:top w:val="single" w:sz="0" w:space="0" w:color="000000"/>
            </w:tcBorders>
          </w:tcPr>
          <w:p>
            <w:pPr>
              <w:pStyle w:val="TableParagraph"/>
              <w:jc w:val="left"/>
              <w:rPr>
                <w:rFonts w:ascii="Times New Roman"/>
                <w:sz w:val="18"/>
              </w:rPr>
            </w:pPr>
          </w:p>
          <w:p>
            <w:pPr>
              <w:pStyle w:val="TableParagraph"/>
              <w:spacing w:before="151"/>
              <w:ind w:right="85"/>
              <w:rPr>
                <w:sz w:val="18"/>
              </w:rPr>
            </w:pPr>
            <w:r>
              <w:rPr>
                <w:sz w:val="18"/>
              </w:rPr>
              <w:t>1,612</w:t>
            </w:r>
          </w:p>
        </w:tc>
      </w:tr>
      <w:tr>
        <w:trPr>
          <w:trHeight w:val="262" w:hRule="exact"/>
        </w:trPr>
        <w:tc>
          <w:tcPr>
            <w:tcW w:w="333" w:type="dxa"/>
          </w:tcPr>
          <w:p>
            <w:pPr/>
          </w:p>
        </w:tc>
        <w:tc>
          <w:tcPr>
            <w:tcW w:w="4088" w:type="dxa"/>
          </w:tcPr>
          <w:p>
            <w:pPr>
              <w:pStyle w:val="TableParagraph"/>
              <w:spacing w:before="19"/>
              <w:ind w:left="339" w:right="124"/>
              <w:jc w:val="left"/>
              <w:rPr>
                <w:sz w:val="18"/>
              </w:rPr>
            </w:pPr>
            <w:r>
              <w:rPr>
                <w:sz w:val="18"/>
              </w:rPr>
              <w:t>Intangible assets</w:t>
            </w:r>
          </w:p>
        </w:tc>
        <w:tc>
          <w:tcPr>
            <w:tcW w:w="1629" w:type="dxa"/>
            <w:tcBorders>
              <w:bottom w:val="single" w:sz="0" w:space="0" w:color="000000"/>
            </w:tcBorders>
          </w:tcPr>
          <w:p>
            <w:pPr>
              <w:pStyle w:val="TableParagraph"/>
              <w:spacing w:before="18"/>
              <w:ind w:right="249"/>
              <w:rPr>
                <w:b/>
                <w:sz w:val="18"/>
              </w:rPr>
            </w:pPr>
            <w:r>
              <w:rPr>
                <w:b/>
                <w:sz w:val="18"/>
              </w:rPr>
              <w:t>1,203</w:t>
            </w:r>
          </w:p>
        </w:tc>
        <w:tc>
          <w:tcPr>
            <w:tcW w:w="1419" w:type="dxa"/>
            <w:tcBorders>
              <w:bottom w:val="single" w:sz="0" w:space="0" w:color="000000"/>
            </w:tcBorders>
          </w:tcPr>
          <w:p>
            <w:pPr>
              <w:pStyle w:val="TableParagraph"/>
              <w:spacing w:before="18"/>
              <w:ind w:right="369"/>
              <w:rPr>
                <w:sz w:val="18"/>
              </w:rPr>
            </w:pPr>
            <w:r>
              <w:rPr>
                <w:sz w:val="18"/>
              </w:rPr>
              <w:t>483</w:t>
            </w:r>
          </w:p>
        </w:tc>
        <w:tc>
          <w:tcPr>
            <w:tcW w:w="1487" w:type="dxa"/>
            <w:tcBorders>
              <w:bottom w:val="single" w:sz="0" w:space="0" w:color="000000"/>
            </w:tcBorders>
          </w:tcPr>
          <w:p>
            <w:pPr>
              <w:pStyle w:val="TableParagraph"/>
              <w:spacing w:before="18"/>
              <w:ind w:left="644"/>
              <w:jc w:val="left"/>
              <w:rPr>
                <w:b/>
                <w:sz w:val="18"/>
              </w:rPr>
            </w:pPr>
            <w:r>
              <w:rPr>
                <w:b/>
                <w:sz w:val="18"/>
              </w:rPr>
              <w:t>1,082</w:t>
            </w:r>
          </w:p>
        </w:tc>
        <w:tc>
          <w:tcPr>
            <w:tcW w:w="993" w:type="dxa"/>
            <w:tcBorders>
              <w:bottom w:val="single" w:sz="0" w:space="0" w:color="000000"/>
            </w:tcBorders>
          </w:tcPr>
          <w:p>
            <w:pPr>
              <w:pStyle w:val="TableParagraph"/>
              <w:spacing w:before="18"/>
              <w:ind w:right="85"/>
              <w:rPr>
                <w:sz w:val="18"/>
              </w:rPr>
            </w:pPr>
            <w:r>
              <w:rPr>
                <w:sz w:val="18"/>
              </w:rPr>
              <w:t>453</w:t>
            </w:r>
          </w:p>
        </w:tc>
      </w:tr>
      <w:tr>
        <w:trPr>
          <w:trHeight w:val="338" w:hRule="exact"/>
        </w:trPr>
        <w:tc>
          <w:tcPr>
            <w:tcW w:w="333" w:type="dxa"/>
          </w:tcPr>
          <w:p>
            <w:pPr/>
          </w:p>
        </w:tc>
        <w:tc>
          <w:tcPr>
            <w:tcW w:w="4088" w:type="dxa"/>
          </w:tcPr>
          <w:p>
            <w:pPr>
              <w:pStyle w:val="TableParagraph"/>
              <w:spacing w:before="123"/>
              <w:ind w:left="124" w:right="124"/>
              <w:jc w:val="left"/>
              <w:rPr>
                <w:b/>
                <w:sz w:val="18"/>
              </w:rPr>
            </w:pPr>
            <w:bookmarkStart w:name="13 Repairs and maintenance" w:id="76"/>
            <w:bookmarkEnd w:id="76"/>
            <w:r>
              <w:rPr/>
            </w:r>
            <w:r>
              <w:rPr>
                <w:b/>
                <w:sz w:val="18"/>
              </w:rPr>
              <w:t>Total amortisation</w:t>
            </w:r>
          </w:p>
        </w:tc>
        <w:tc>
          <w:tcPr>
            <w:tcW w:w="1629" w:type="dxa"/>
            <w:tcBorders>
              <w:top w:val="single" w:sz="0" w:space="0" w:color="000000"/>
              <w:bottom w:val="single" w:sz="0" w:space="0" w:color="000000"/>
            </w:tcBorders>
          </w:tcPr>
          <w:p>
            <w:pPr>
              <w:pStyle w:val="TableParagraph"/>
              <w:spacing w:before="122"/>
              <w:ind w:right="249"/>
              <w:rPr>
                <w:b/>
                <w:sz w:val="18"/>
              </w:rPr>
            </w:pPr>
            <w:r>
              <w:rPr>
                <w:b/>
                <w:sz w:val="18"/>
              </w:rPr>
              <w:t>4,031</w:t>
            </w:r>
          </w:p>
        </w:tc>
        <w:tc>
          <w:tcPr>
            <w:tcW w:w="1419" w:type="dxa"/>
            <w:tcBorders>
              <w:top w:val="single" w:sz="0" w:space="0" w:color="000000"/>
              <w:bottom w:val="single" w:sz="0" w:space="0" w:color="000000"/>
            </w:tcBorders>
          </w:tcPr>
          <w:p>
            <w:pPr>
              <w:pStyle w:val="TableParagraph"/>
              <w:spacing w:before="122"/>
              <w:ind w:right="369"/>
              <w:rPr>
                <w:sz w:val="18"/>
              </w:rPr>
            </w:pPr>
            <w:r>
              <w:rPr>
                <w:sz w:val="18"/>
              </w:rPr>
              <w:t>2,573</w:t>
            </w:r>
          </w:p>
        </w:tc>
        <w:tc>
          <w:tcPr>
            <w:tcW w:w="1487" w:type="dxa"/>
            <w:tcBorders>
              <w:top w:val="single" w:sz="0" w:space="0" w:color="000000"/>
              <w:bottom w:val="single" w:sz="0" w:space="0" w:color="000000"/>
            </w:tcBorders>
          </w:tcPr>
          <w:p>
            <w:pPr>
              <w:pStyle w:val="TableParagraph"/>
              <w:spacing w:before="122"/>
              <w:ind w:left="644"/>
              <w:jc w:val="left"/>
              <w:rPr>
                <w:b/>
                <w:sz w:val="18"/>
              </w:rPr>
            </w:pPr>
            <w:r>
              <w:rPr>
                <w:b/>
                <w:sz w:val="18"/>
              </w:rPr>
              <w:t>2,885</w:t>
            </w:r>
          </w:p>
        </w:tc>
        <w:tc>
          <w:tcPr>
            <w:tcW w:w="993" w:type="dxa"/>
            <w:tcBorders>
              <w:top w:val="single" w:sz="0" w:space="0" w:color="000000"/>
              <w:bottom w:val="single" w:sz="0" w:space="0" w:color="000000"/>
            </w:tcBorders>
          </w:tcPr>
          <w:p>
            <w:pPr>
              <w:pStyle w:val="TableParagraph"/>
              <w:spacing w:before="122"/>
              <w:ind w:right="85"/>
              <w:rPr>
                <w:sz w:val="18"/>
              </w:rPr>
            </w:pPr>
            <w:r>
              <w:rPr>
                <w:sz w:val="18"/>
              </w:rPr>
              <w:t>2,065</w:t>
            </w:r>
          </w:p>
        </w:tc>
      </w:tr>
      <w:tr>
        <w:trPr>
          <w:trHeight w:val="353" w:hRule="exact"/>
        </w:trPr>
        <w:tc>
          <w:tcPr>
            <w:tcW w:w="333" w:type="dxa"/>
          </w:tcPr>
          <w:p>
            <w:pPr/>
          </w:p>
        </w:tc>
        <w:tc>
          <w:tcPr>
            <w:tcW w:w="4088" w:type="dxa"/>
          </w:tcPr>
          <w:p>
            <w:pPr>
              <w:pStyle w:val="TableParagraph"/>
              <w:spacing w:before="123"/>
              <w:ind w:left="124" w:right="124"/>
              <w:jc w:val="left"/>
              <w:rPr>
                <w:b/>
                <w:sz w:val="18"/>
              </w:rPr>
            </w:pPr>
            <w:r>
              <w:rPr>
                <w:b/>
                <w:sz w:val="18"/>
              </w:rPr>
              <w:t>Total depreciation and amortisation</w:t>
            </w:r>
          </w:p>
        </w:tc>
        <w:tc>
          <w:tcPr>
            <w:tcW w:w="1629" w:type="dxa"/>
            <w:tcBorders>
              <w:top w:val="single" w:sz="0" w:space="0" w:color="000000"/>
              <w:bottom w:val="single" w:sz="0" w:space="0" w:color="000000"/>
            </w:tcBorders>
          </w:tcPr>
          <w:p>
            <w:pPr>
              <w:pStyle w:val="TableParagraph"/>
              <w:spacing w:before="94"/>
              <w:ind w:right="249"/>
              <w:rPr>
                <w:b/>
                <w:sz w:val="18"/>
              </w:rPr>
            </w:pPr>
            <w:r>
              <w:rPr>
                <w:b/>
                <w:w w:val="95"/>
                <w:sz w:val="18"/>
              </w:rPr>
              <w:t>43,874</w:t>
            </w:r>
          </w:p>
        </w:tc>
        <w:tc>
          <w:tcPr>
            <w:tcW w:w="1419" w:type="dxa"/>
            <w:tcBorders>
              <w:top w:val="single" w:sz="0" w:space="0" w:color="000000"/>
              <w:bottom w:val="single" w:sz="0" w:space="0" w:color="000000"/>
            </w:tcBorders>
          </w:tcPr>
          <w:p>
            <w:pPr>
              <w:pStyle w:val="TableParagraph"/>
              <w:spacing w:before="94"/>
              <w:ind w:right="369"/>
              <w:rPr>
                <w:sz w:val="18"/>
              </w:rPr>
            </w:pPr>
            <w:r>
              <w:rPr>
                <w:w w:val="95"/>
                <w:sz w:val="18"/>
              </w:rPr>
              <w:t>39,637</w:t>
            </w:r>
          </w:p>
        </w:tc>
        <w:tc>
          <w:tcPr>
            <w:tcW w:w="1487" w:type="dxa"/>
            <w:tcBorders>
              <w:top w:val="single" w:sz="0" w:space="0" w:color="000000"/>
              <w:bottom w:val="single" w:sz="0" w:space="0" w:color="000000"/>
            </w:tcBorders>
          </w:tcPr>
          <w:p>
            <w:pPr>
              <w:pStyle w:val="TableParagraph"/>
              <w:spacing w:before="94"/>
              <w:ind w:left="545"/>
              <w:jc w:val="left"/>
              <w:rPr>
                <w:b/>
                <w:sz w:val="18"/>
              </w:rPr>
            </w:pPr>
            <w:r>
              <w:rPr>
                <w:b/>
                <w:sz w:val="18"/>
              </w:rPr>
              <w:t>42,580</w:t>
            </w:r>
          </w:p>
        </w:tc>
        <w:tc>
          <w:tcPr>
            <w:tcW w:w="993" w:type="dxa"/>
            <w:tcBorders>
              <w:top w:val="single" w:sz="0" w:space="0" w:color="000000"/>
              <w:bottom w:val="single" w:sz="0" w:space="0" w:color="000000"/>
            </w:tcBorders>
          </w:tcPr>
          <w:p>
            <w:pPr>
              <w:pStyle w:val="TableParagraph"/>
              <w:spacing w:before="94"/>
              <w:ind w:right="85"/>
              <w:rPr>
                <w:sz w:val="18"/>
              </w:rPr>
            </w:pPr>
            <w:r>
              <w:rPr>
                <w:w w:val="95"/>
                <w:sz w:val="18"/>
              </w:rPr>
              <w:t>38,921</w:t>
            </w:r>
          </w:p>
        </w:tc>
      </w:tr>
      <w:tr>
        <w:trPr>
          <w:trHeight w:val="517" w:hRule="exact"/>
        </w:trPr>
        <w:tc>
          <w:tcPr>
            <w:tcW w:w="333" w:type="dxa"/>
          </w:tcPr>
          <w:p>
            <w:pPr>
              <w:pStyle w:val="TableParagraph"/>
              <w:jc w:val="left"/>
              <w:rPr>
                <w:rFonts w:ascii="Times New Roman"/>
                <w:sz w:val="18"/>
              </w:rPr>
            </w:pPr>
          </w:p>
          <w:p>
            <w:pPr>
              <w:pStyle w:val="TableParagraph"/>
              <w:spacing w:before="106"/>
              <w:ind w:left="35"/>
              <w:jc w:val="left"/>
              <w:rPr>
                <w:b/>
                <w:sz w:val="18"/>
              </w:rPr>
            </w:pPr>
            <w:r>
              <w:rPr>
                <w:b/>
                <w:sz w:val="18"/>
              </w:rPr>
              <w:t>13</w:t>
            </w:r>
          </w:p>
        </w:tc>
        <w:tc>
          <w:tcPr>
            <w:tcW w:w="4088" w:type="dxa"/>
          </w:tcPr>
          <w:p>
            <w:pPr>
              <w:pStyle w:val="TableParagraph"/>
              <w:jc w:val="left"/>
              <w:rPr>
                <w:rFonts w:ascii="Times New Roman"/>
                <w:sz w:val="18"/>
              </w:rPr>
            </w:pPr>
          </w:p>
          <w:p>
            <w:pPr>
              <w:pStyle w:val="TableParagraph"/>
              <w:spacing w:before="106"/>
              <w:ind w:left="98" w:right="124"/>
              <w:jc w:val="left"/>
              <w:rPr>
                <w:b/>
                <w:sz w:val="18"/>
              </w:rPr>
            </w:pPr>
            <w:r>
              <w:rPr>
                <w:b/>
                <w:sz w:val="18"/>
              </w:rPr>
              <w:t>Repairs and maintenance</w:t>
            </w:r>
          </w:p>
        </w:tc>
        <w:tc>
          <w:tcPr>
            <w:tcW w:w="1629" w:type="dxa"/>
            <w:tcBorders>
              <w:top w:val="single" w:sz="0" w:space="0" w:color="000000"/>
            </w:tcBorders>
          </w:tcPr>
          <w:p>
            <w:pPr/>
          </w:p>
        </w:tc>
        <w:tc>
          <w:tcPr>
            <w:tcW w:w="1419" w:type="dxa"/>
            <w:tcBorders>
              <w:top w:val="single" w:sz="0" w:space="0" w:color="000000"/>
            </w:tcBorders>
          </w:tcPr>
          <w:p>
            <w:pPr/>
          </w:p>
        </w:tc>
        <w:tc>
          <w:tcPr>
            <w:tcW w:w="1487" w:type="dxa"/>
            <w:tcBorders>
              <w:top w:val="single" w:sz="0" w:space="0" w:color="000000"/>
            </w:tcBorders>
          </w:tcPr>
          <w:p>
            <w:pPr/>
          </w:p>
        </w:tc>
        <w:tc>
          <w:tcPr>
            <w:tcW w:w="993" w:type="dxa"/>
            <w:tcBorders>
              <w:top w:val="single" w:sz="0" w:space="0" w:color="000000"/>
            </w:tcBorders>
          </w:tcPr>
          <w:p>
            <w:pPr/>
          </w:p>
        </w:tc>
      </w:tr>
      <w:tr>
        <w:trPr>
          <w:trHeight w:val="287" w:hRule="exact"/>
        </w:trPr>
        <w:tc>
          <w:tcPr>
            <w:tcW w:w="9948" w:type="dxa"/>
            <w:gridSpan w:val="6"/>
          </w:tcPr>
          <w:p>
            <w:pPr>
              <w:pStyle w:val="TableParagraph"/>
              <w:tabs>
                <w:tab w:pos="8287" w:val="left" w:leader="none"/>
              </w:tabs>
              <w:spacing w:before="37"/>
              <w:ind w:left="5247"/>
              <w:jc w:val="left"/>
              <w:rPr>
                <w:b/>
                <w:sz w:val="18"/>
              </w:rPr>
            </w:pPr>
            <w:r>
              <w:rPr>
                <w:b/>
                <w:sz w:val="18"/>
              </w:rPr>
              <w:t>Consolidated</w:t>
              <w:tab/>
              <w:t>Parent</w:t>
            </w:r>
          </w:p>
        </w:tc>
      </w:tr>
      <w:tr>
        <w:trPr>
          <w:trHeight w:val="274" w:hRule="exact"/>
        </w:trPr>
        <w:tc>
          <w:tcPr>
            <w:tcW w:w="333" w:type="dxa"/>
          </w:tcPr>
          <w:p>
            <w:pPr/>
          </w:p>
        </w:tc>
        <w:tc>
          <w:tcPr>
            <w:tcW w:w="4088" w:type="dxa"/>
          </w:tcPr>
          <w:p>
            <w:pPr/>
          </w:p>
        </w:tc>
        <w:tc>
          <w:tcPr>
            <w:tcW w:w="1629" w:type="dxa"/>
          </w:tcPr>
          <w:p>
            <w:pPr>
              <w:pStyle w:val="TableParagraph"/>
              <w:spacing w:before="24"/>
              <w:ind w:left="618"/>
              <w:jc w:val="left"/>
              <w:rPr>
                <w:b/>
                <w:sz w:val="18"/>
              </w:rPr>
            </w:pPr>
            <w:r>
              <w:rPr>
                <w:b/>
                <w:sz w:val="18"/>
              </w:rPr>
              <w:t>2016</w:t>
            </w:r>
          </w:p>
        </w:tc>
        <w:tc>
          <w:tcPr>
            <w:tcW w:w="1419" w:type="dxa"/>
          </w:tcPr>
          <w:p>
            <w:pPr>
              <w:pStyle w:val="TableParagraph"/>
              <w:spacing w:before="24"/>
              <w:ind w:left="272"/>
              <w:jc w:val="left"/>
              <w:rPr>
                <w:b/>
                <w:sz w:val="18"/>
              </w:rPr>
            </w:pPr>
            <w:r>
              <w:rPr>
                <w:b/>
                <w:sz w:val="18"/>
              </w:rPr>
              <w:t>2015</w:t>
            </w:r>
          </w:p>
        </w:tc>
        <w:tc>
          <w:tcPr>
            <w:tcW w:w="1487" w:type="dxa"/>
          </w:tcPr>
          <w:p>
            <w:pPr>
              <w:pStyle w:val="TableParagraph"/>
              <w:spacing w:before="24"/>
              <w:ind w:left="333"/>
              <w:jc w:val="left"/>
              <w:rPr>
                <w:b/>
                <w:sz w:val="18"/>
              </w:rPr>
            </w:pPr>
            <w:r>
              <w:rPr>
                <w:b/>
                <w:sz w:val="18"/>
              </w:rPr>
              <w:t>2016</w:t>
            </w:r>
          </w:p>
        </w:tc>
        <w:tc>
          <w:tcPr>
            <w:tcW w:w="993" w:type="dxa"/>
          </w:tcPr>
          <w:p>
            <w:pPr>
              <w:pStyle w:val="TableParagraph"/>
              <w:spacing w:before="24"/>
              <w:ind w:left="130"/>
              <w:jc w:val="left"/>
              <w:rPr>
                <w:b/>
                <w:sz w:val="18"/>
              </w:rPr>
            </w:pPr>
            <w:r>
              <w:rPr>
                <w:b/>
                <w:sz w:val="18"/>
              </w:rPr>
              <w:t>2015</w:t>
            </w:r>
          </w:p>
        </w:tc>
      </w:tr>
      <w:tr>
        <w:trPr>
          <w:trHeight w:val="271" w:hRule="exact"/>
        </w:trPr>
        <w:tc>
          <w:tcPr>
            <w:tcW w:w="333" w:type="dxa"/>
          </w:tcPr>
          <w:p>
            <w:pPr/>
          </w:p>
        </w:tc>
        <w:tc>
          <w:tcPr>
            <w:tcW w:w="4088" w:type="dxa"/>
          </w:tcPr>
          <w:p>
            <w:pPr/>
          </w:p>
        </w:tc>
        <w:tc>
          <w:tcPr>
            <w:tcW w:w="1629" w:type="dxa"/>
          </w:tcPr>
          <w:p>
            <w:pPr>
              <w:pStyle w:val="TableParagraph"/>
              <w:spacing w:before="24"/>
              <w:ind w:left="596"/>
              <w:jc w:val="left"/>
              <w:rPr>
                <w:b/>
                <w:sz w:val="18"/>
              </w:rPr>
            </w:pPr>
            <w:r>
              <w:rPr>
                <w:b/>
                <w:sz w:val="18"/>
              </w:rPr>
              <w:t>$'000</w:t>
            </w:r>
          </w:p>
        </w:tc>
        <w:tc>
          <w:tcPr>
            <w:tcW w:w="1419" w:type="dxa"/>
          </w:tcPr>
          <w:p>
            <w:pPr>
              <w:pStyle w:val="TableParagraph"/>
              <w:spacing w:before="24"/>
              <w:ind w:left="251"/>
              <w:jc w:val="left"/>
              <w:rPr>
                <w:b/>
                <w:sz w:val="18"/>
              </w:rPr>
            </w:pPr>
            <w:r>
              <w:rPr>
                <w:b/>
                <w:sz w:val="18"/>
              </w:rPr>
              <w:t>$'000</w:t>
            </w:r>
          </w:p>
        </w:tc>
        <w:tc>
          <w:tcPr>
            <w:tcW w:w="1487" w:type="dxa"/>
          </w:tcPr>
          <w:p>
            <w:pPr>
              <w:pStyle w:val="TableParagraph"/>
              <w:spacing w:before="24"/>
              <w:ind w:left="312"/>
              <w:jc w:val="left"/>
              <w:rPr>
                <w:b/>
                <w:sz w:val="18"/>
              </w:rPr>
            </w:pPr>
            <w:r>
              <w:rPr>
                <w:b/>
                <w:sz w:val="18"/>
              </w:rPr>
              <w:t>$'000</w:t>
            </w:r>
          </w:p>
        </w:tc>
        <w:tc>
          <w:tcPr>
            <w:tcW w:w="993" w:type="dxa"/>
          </w:tcPr>
          <w:p>
            <w:pPr>
              <w:pStyle w:val="TableParagraph"/>
              <w:spacing w:before="24"/>
              <w:ind w:left="109"/>
              <w:jc w:val="left"/>
              <w:rPr>
                <w:b/>
                <w:sz w:val="18"/>
              </w:rPr>
            </w:pPr>
            <w:r>
              <w:rPr>
                <w:b/>
                <w:sz w:val="18"/>
              </w:rPr>
              <w:t>$'000</w:t>
            </w:r>
          </w:p>
        </w:tc>
      </w:tr>
      <w:tr>
        <w:trPr>
          <w:trHeight w:val="267" w:hRule="exact"/>
        </w:trPr>
        <w:tc>
          <w:tcPr>
            <w:tcW w:w="333" w:type="dxa"/>
          </w:tcPr>
          <w:p>
            <w:pPr/>
          </w:p>
        </w:tc>
        <w:tc>
          <w:tcPr>
            <w:tcW w:w="4088" w:type="dxa"/>
          </w:tcPr>
          <w:p>
            <w:pPr>
              <w:pStyle w:val="TableParagraph"/>
              <w:spacing w:before="22"/>
              <w:ind w:left="126" w:right="124"/>
              <w:jc w:val="left"/>
              <w:rPr>
                <w:sz w:val="18"/>
              </w:rPr>
            </w:pPr>
            <w:r>
              <w:rPr>
                <w:sz w:val="18"/>
              </w:rPr>
              <w:t>Buildings</w:t>
            </w:r>
          </w:p>
        </w:tc>
        <w:tc>
          <w:tcPr>
            <w:tcW w:w="1629" w:type="dxa"/>
          </w:tcPr>
          <w:p>
            <w:pPr>
              <w:pStyle w:val="TableParagraph"/>
              <w:spacing w:before="21"/>
              <w:ind w:right="249"/>
              <w:rPr>
                <w:b/>
                <w:sz w:val="18"/>
              </w:rPr>
            </w:pPr>
            <w:r>
              <w:rPr>
                <w:b/>
                <w:w w:val="95"/>
                <w:sz w:val="18"/>
              </w:rPr>
              <w:t>21,692</w:t>
            </w:r>
          </w:p>
        </w:tc>
        <w:tc>
          <w:tcPr>
            <w:tcW w:w="1419" w:type="dxa"/>
          </w:tcPr>
          <w:p>
            <w:pPr>
              <w:pStyle w:val="TableParagraph"/>
              <w:spacing w:before="21"/>
              <w:ind w:right="369"/>
              <w:rPr>
                <w:sz w:val="18"/>
              </w:rPr>
            </w:pPr>
            <w:r>
              <w:rPr>
                <w:w w:val="95"/>
                <w:sz w:val="18"/>
              </w:rPr>
              <w:t>24,905</w:t>
            </w:r>
          </w:p>
        </w:tc>
        <w:tc>
          <w:tcPr>
            <w:tcW w:w="1487" w:type="dxa"/>
          </w:tcPr>
          <w:p>
            <w:pPr>
              <w:pStyle w:val="TableParagraph"/>
              <w:spacing w:before="21"/>
              <w:ind w:left="545"/>
              <w:jc w:val="left"/>
              <w:rPr>
                <w:b/>
                <w:sz w:val="18"/>
              </w:rPr>
            </w:pPr>
            <w:r>
              <w:rPr>
                <w:b/>
                <w:sz w:val="18"/>
              </w:rPr>
              <w:t>21,616</w:t>
            </w:r>
          </w:p>
        </w:tc>
        <w:tc>
          <w:tcPr>
            <w:tcW w:w="993" w:type="dxa"/>
          </w:tcPr>
          <w:p>
            <w:pPr>
              <w:pStyle w:val="TableParagraph"/>
              <w:spacing w:before="21"/>
              <w:ind w:right="85"/>
              <w:rPr>
                <w:sz w:val="18"/>
              </w:rPr>
            </w:pPr>
            <w:r>
              <w:rPr>
                <w:w w:val="95"/>
                <w:sz w:val="18"/>
              </w:rPr>
              <w:t>24,801</w:t>
            </w:r>
          </w:p>
        </w:tc>
      </w:tr>
      <w:tr>
        <w:trPr>
          <w:trHeight w:val="264" w:hRule="exact"/>
        </w:trPr>
        <w:tc>
          <w:tcPr>
            <w:tcW w:w="333" w:type="dxa"/>
          </w:tcPr>
          <w:p>
            <w:pPr/>
          </w:p>
        </w:tc>
        <w:tc>
          <w:tcPr>
            <w:tcW w:w="4088" w:type="dxa"/>
          </w:tcPr>
          <w:p>
            <w:pPr>
              <w:pStyle w:val="TableParagraph"/>
              <w:spacing w:before="19"/>
              <w:ind w:left="126" w:right="124"/>
              <w:jc w:val="left"/>
              <w:rPr>
                <w:sz w:val="18"/>
              </w:rPr>
            </w:pPr>
            <w:r>
              <w:rPr>
                <w:sz w:val="18"/>
              </w:rPr>
              <w:t>Plant and equipment</w:t>
            </w:r>
          </w:p>
        </w:tc>
        <w:tc>
          <w:tcPr>
            <w:tcW w:w="1629" w:type="dxa"/>
          </w:tcPr>
          <w:p>
            <w:pPr>
              <w:pStyle w:val="TableParagraph"/>
              <w:spacing w:before="18"/>
              <w:ind w:right="249"/>
              <w:rPr>
                <w:b/>
                <w:sz w:val="18"/>
              </w:rPr>
            </w:pPr>
            <w:r>
              <w:rPr>
                <w:b/>
                <w:sz w:val="18"/>
              </w:rPr>
              <w:t>4,784</w:t>
            </w:r>
          </w:p>
        </w:tc>
        <w:tc>
          <w:tcPr>
            <w:tcW w:w="1419" w:type="dxa"/>
          </w:tcPr>
          <w:p>
            <w:pPr>
              <w:pStyle w:val="TableParagraph"/>
              <w:spacing w:before="18"/>
              <w:ind w:right="369"/>
              <w:rPr>
                <w:sz w:val="18"/>
              </w:rPr>
            </w:pPr>
            <w:r>
              <w:rPr>
                <w:sz w:val="18"/>
              </w:rPr>
              <w:t>4,713</w:t>
            </w:r>
          </w:p>
        </w:tc>
        <w:tc>
          <w:tcPr>
            <w:tcW w:w="1487" w:type="dxa"/>
          </w:tcPr>
          <w:p>
            <w:pPr>
              <w:pStyle w:val="TableParagraph"/>
              <w:spacing w:before="18"/>
              <w:ind w:left="644"/>
              <w:jc w:val="left"/>
              <w:rPr>
                <w:b/>
                <w:sz w:val="18"/>
              </w:rPr>
            </w:pPr>
            <w:r>
              <w:rPr>
                <w:b/>
                <w:sz w:val="18"/>
              </w:rPr>
              <w:t>4,676</w:t>
            </w:r>
          </w:p>
        </w:tc>
        <w:tc>
          <w:tcPr>
            <w:tcW w:w="993" w:type="dxa"/>
          </w:tcPr>
          <w:p>
            <w:pPr>
              <w:pStyle w:val="TableParagraph"/>
              <w:spacing w:before="18"/>
              <w:ind w:right="85"/>
              <w:rPr>
                <w:sz w:val="18"/>
              </w:rPr>
            </w:pPr>
            <w:r>
              <w:rPr>
                <w:sz w:val="18"/>
              </w:rPr>
              <w:t>4,548</w:t>
            </w:r>
          </w:p>
        </w:tc>
      </w:tr>
      <w:tr>
        <w:trPr>
          <w:trHeight w:val="264" w:hRule="exact"/>
        </w:trPr>
        <w:tc>
          <w:tcPr>
            <w:tcW w:w="333" w:type="dxa"/>
          </w:tcPr>
          <w:p>
            <w:pPr/>
          </w:p>
        </w:tc>
        <w:tc>
          <w:tcPr>
            <w:tcW w:w="4088" w:type="dxa"/>
          </w:tcPr>
          <w:p>
            <w:pPr>
              <w:pStyle w:val="TableParagraph"/>
              <w:spacing w:before="19"/>
              <w:ind w:left="126" w:right="124"/>
              <w:jc w:val="left"/>
              <w:rPr>
                <w:sz w:val="18"/>
              </w:rPr>
            </w:pPr>
            <w:r>
              <w:rPr>
                <w:sz w:val="18"/>
              </w:rPr>
              <w:t>Information technology</w:t>
            </w:r>
          </w:p>
        </w:tc>
        <w:tc>
          <w:tcPr>
            <w:tcW w:w="1629" w:type="dxa"/>
          </w:tcPr>
          <w:p>
            <w:pPr>
              <w:pStyle w:val="TableParagraph"/>
              <w:spacing w:before="18"/>
              <w:ind w:right="249"/>
              <w:rPr>
                <w:b/>
                <w:sz w:val="18"/>
              </w:rPr>
            </w:pPr>
            <w:r>
              <w:rPr>
                <w:b/>
                <w:sz w:val="18"/>
              </w:rPr>
              <w:t>34</w:t>
            </w:r>
          </w:p>
        </w:tc>
        <w:tc>
          <w:tcPr>
            <w:tcW w:w="1419" w:type="dxa"/>
          </w:tcPr>
          <w:p>
            <w:pPr>
              <w:pStyle w:val="TableParagraph"/>
              <w:spacing w:before="18"/>
              <w:ind w:right="369"/>
              <w:rPr>
                <w:sz w:val="18"/>
              </w:rPr>
            </w:pPr>
            <w:r>
              <w:rPr>
                <w:sz w:val="18"/>
              </w:rPr>
              <w:t>43</w:t>
            </w:r>
          </w:p>
        </w:tc>
        <w:tc>
          <w:tcPr>
            <w:tcW w:w="1487" w:type="dxa"/>
          </w:tcPr>
          <w:p>
            <w:pPr>
              <w:pStyle w:val="TableParagraph"/>
              <w:spacing w:before="18"/>
              <w:ind w:left="894"/>
              <w:jc w:val="left"/>
              <w:rPr>
                <w:b/>
                <w:sz w:val="18"/>
              </w:rPr>
            </w:pPr>
            <w:r>
              <w:rPr>
                <w:b/>
                <w:sz w:val="18"/>
              </w:rPr>
              <w:t>32</w:t>
            </w:r>
          </w:p>
        </w:tc>
        <w:tc>
          <w:tcPr>
            <w:tcW w:w="993" w:type="dxa"/>
          </w:tcPr>
          <w:p>
            <w:pPr>
              <w:pStyle w:val="TableParagraph"/>
              <w:spacing w:before="18"/>
              <w:ind w:right="85"/>
              <w:rPr>
                <w:sz w:val="18"/>
              </w:rPr>
            </w:pPr>
            <w:r>
              <w:rPr>
                <w:sz w:val="18"/>
              </w:rPr>
              <w:t>41</w:t>
            </w:r>
          </w:p>
        </w:tc>
      </w:tr>
      <w:tr>
        <w:trPr>
          <w:trHeight w:val="262" w:hRule="exact"/>
        </w:trPr>
        <w:tc>
          <w:tcPr>
            <w:tcW w:w="333" w:type="dxa"/>
          </w:tcPr>
          <w:p>
            <w:pPr/>
          </w:p>
        </w:tc>
        <w:tc>
          <w:tcPr>
            <w:tcW w:w="4088" w:type="dxa"/>
          </w:tcPr>
          <w:p>
            <w:pPr>
              <w:pStyle w:val="TableParagraph"/>
              <w:spacing w:before="19"/>
              <w:ind w:left="126" w:right="124"/>
              <w:jc w:val="left"/>
              <w:rPr>
                <w:sz w:val="18"/>
              </w:rPr>
            </w:pPr>
            <w:bookmarkStart w:name="14 Borrowing costs" w:id="77"/>
            <w:bookmarkEnd w:id="77"/>
            <w:r>
              <w:rPr/>
            </w:r>
            <w:r>
              <w:rPr>
                <w:sz w:val="18"/>
              </w:rPr>
              <w:t>Motor vehicles</w:t>
            </w:r>
          </w:p>
        </w:tc>
        <w:tc>
          <w:tcPr>
            <w:tcW w:w="1629" w:type="dxa"/>
            <w:tcBorders>
              <w:bottom w:val="single" w:sz="0" w:space="0" w:color="000000"/>
            </w:tcBorders>
          </w:tcPr>
          <w:p>
            <w:pPr>
              <w:pStyle w:val="TableParagraph"/>
              <w:spacing w:before="18"/>
              <w:ind w:right="249"/>
              <w:rPr>
                <w:b/>
                <w:sz w:val="18"/>
              </w:rPr>
            </w:pPr>
            <w:r>
              <w:rPr>
                <w:b/>
                <w:sz w:val="18"/>
              </w:rPr>
              <w:t>597</w:t>
            </w:r>
          </w:p>
        </w:tc>
        <w:tc>
          <w:tcPr>
            <w:tcW w:w="1419" w:type="dxa"/>
            <w:tcBorders>
              <w:bottom w:val="single" w:sz="0" w:space="0" w:color="000000"/>
            </w:tcBorders>
          </w:tcPr>
          <w:p>
            <w:pPr>
              <w:pStyle w:val="TableParagraph"/>
              <w:spacing w:before="18"/>
              <w:ind w:right="369"/>
              <w:rPr>
                <w:sz w:val="18"/>
              </w:rPr>
            </w:pPr>
            <w:r>
              <w:rPr>
                <w:sz w:val="18"/>
              </w:rPr>
              <w:t>504</w:t>
            </w:r>
          </w:p>
        </w:tc>
        <w:tc>
          <w:tcPr>
            <w:tcW w:w="1487" w:type="dxa"/>
            <w:tcBorders>
              <w:bottom w:val="single" w:sz="0" w:space="0" w:color="000000"/>
            </w:tcBorders>
          </w:tcPr>
          <w:p>
            <w:pPr>
              <w:pStyle w:val="TableParagraph"/>
              <w:spacing w:before="18"/>
              <w:ind w:left="794"/>
              <w:jc w:val="left"/>
              <w:rPr>
                <w:b/>
                <w:sz w:val="18"/>
              </w:rPr>
            </w:pPr>
            <w:r>
              <w:rPr>
                <w:b/>
                <w:sz w:val="18"/>
              </w:rPr>
              <w:t>520</w:t>
            </w:r>
          </w:p>
        </w:tc>
        <w:tc>
          <w:tcPr>
            <w:tcW w:w="993" w:type="dxa"/>
            <w:tcBorders>
              <w:bottom w:val="single" w:sz="0" w:space="0" w:color="000000"/>
            </w:tcBorders>
          </w:tcPr>
          <w:p>
            <w:pPr>
              <w:pStyle w:val="TableParagraph"/>
              <w:spacing w:before="18"/>
              <w:ind w:right="85"/>
              <w:rPr>
                <w:sz w:val="18"/>
              </w:rPr>
            </w:pPr>
            <w:r>
              <w:rPr>
                <w:sz w:val="18"/>
              </w:rPr>
              <w:t>457</w:t>
            </w:r>
          </w:p>
        </w:tc>
      </w:tr>
      <w:tr>
        <w:trPr>
          <w:trHeight w:val="353" w:hRule="exact"/>
        </w:trPr>
        <w:tc>
          <w:tcPr>
            <w:tcW w:w="333" w:type="dxa"/>
          </w:tcPr>
          <w:p>
            <w:pPr/>
          </w:p>
        </w:tc>
        <w:tc>
          <w:tcPr>
            <w:tcW w:w="4088" w:type="dxa"/>
          </w:tcPr>
          <w:p>
            <w:pPr>
              <w:pStyle w:val="TableParagraph"/>
              <w:spacing w:before="123"/>
              <w:ind w:left="126" w:right="124"/>
              <w:jc w:val="left"/>
              <w:rPr>
                <w:b/>
                <w:sz w:val="18"/>
              </w:rPr>
            </w:pPr>
            <w:r>
              <w:rPr>
                <w:b/>
                <w:sz w:val="18"/>
              </w:rPr>
              <w:t>Total repairs and maintenance</w:t>
            </w:r>
          </w:p>
        </w:tc>
        <w:tc>
          <w:tcPr>
            <w:tcW w:w="1629" w:type="dxa"/>
            <w:tcBorders>
              <w:top w:val="single" w:sz="0" w:space="0" w:color="000000"/>
              <w:bottom w:val="single" w:sz="0" w:space="0" w:color="000000"/>
            </w:tcBorders>
          </w:tcPr>
          <w:p>
            <w:pPr>
              <w:pStyle w:val="TableParagraph"/>
              <w:spacing w:before="94"/>
              <w:ind w:right="249"/>
              <w:rPr>
                <w:b/>
                <w:sz w:val="18"/>
              </w:rPr>
            </w:pPr>
            <w:r>
              <w:rPr>
                <w:b/>
                <w:w w:val="95"/>
                <w:sz w:val="18"/>
              </w:rPr>
              <w:t>27,107</w:t>
            </w:r>
          </w:p>
        </w:tc>
        <w:tc>
          <w:tcPr>
            <w:tcW w:w="1419" w:type="dxa"/>
            <w:tcBorders>
              <w:top w:val="single" w:sz="0" w:space="0" w:color="000000"/>
              <w:bottom w:val="single" w:sz="0" w:space="0" w:color="000000"/>
            </w:tcBorders>
          </w:tcPr>
          <w:p>
            <w:pPr>
              <w:pStyle w:val="TableParagraph"/>
              <w:spacing w:before="94"/>
              <w:ind w:right="369"/>
              <w:rPr>
                <w:sz w:val="18"/>
              </w:rPr>
            </w:pPr>
            <w:r>
              <w:rPr>
                <w:w w:val="95"/>
                <w:sz w:val="18"/>
              </w:rPr>
              <w:t>30,165</w:t>
            </w:r>
          </w:p>
        </w:tc>
        <w:tc>
          <w:tcPr>
            <w:tcW w:w="1487" w:type="dxa"/>
            <w:tcBorders>
              <w:top w:val="single" w:sz="0" w:space="0" w:color="000000"/>
              <w:bottom w:val="single" w:sz="0" w:space="0" w:color="000000"/>
            </w:tcBorders>
          </w:tcPr>
          <w:p>
            <w:pPr>
              <w:pStyle w:val="TableParagraph"/>
              <w:spacing w:before="94"/>
              <w:ind w:left="545"/>
              <w:jc w:val="left"/>
              <w:rPr>
                <w:b/>
                <w:sz w:val="18"/>
              </w:rPr>
            </w:pPr>
            <w:r>
              <w:rPr>
                <w:b/>
                <w:sz w:val="18"/>
              </w:rPr>
              <w:t>26,844</w:t>
            </w:r>
          </w:p>
        </w:tc>
        <w:tc>
          <w:tcPr>
            <w:tcW w:w="993" w:type="dxa"/>
            <w:tcBorders>
              <w:top w:val="single" w:sz="0" w:space="0" w:color="000000"/>
              <w:bottom w:val="single" w:sz="0" w:space="0" w:color="000000"/>
            </w:tcBorders>
          </w:tcPr>
          <w:p>
            <w:pPr>
              <w:pStyle w:val="TableParagraph"/>
              <w:spacing w:before="94"/>
              <w:ind w:right="85"/>
              <w:rPr>
                <w:sz w:val="18"/>
              </w:rPr>
            </w:pPr>
            <w:r>
              <w:rPr>
                <w:w w:val="95"/>
                <w:sz w:val="18"/>
              </w:rPr>
              <w:t>29,847</w:t>
            </w:r>
          </w:p>
        </w:tc>
      </w:tr>
      <w:tr>
        <w:trPr>
          <w:trHeight w:val="517" w:hRule="exact"/>
        </w:trPr>
        <w:tc>
          <w:tcPr>
            <w:tcW w:w="333" w:type="dxa"/>
          </w:tcPr>
          <w:p>
            <w:pPr>
              <w:pStyle w:val="TableParagraph"/>
              <w:jc w:val="left"/>
              <w:rPr>
                <w:rFonts w:ascii="Times New Roman"/>
                <w:sz w:val="18"/>
              </w:rPr>
            </w:pPr>
          </w:p>
          <w:p>
            <w:pPr>
              <w:pStyle w:val="TableParagraph"/>
              <w:spacing w:before="106"/>
              <w:ind w:left="35"/>
              <w:jc w:val="left"/>
              <w:rPr>
                <w:b/>
                <w:sz w:val="18"/>
              </w:rPr>
            </w:pPr>
            <w:r>
              <w:rPr>
                <w:b/>
                <w:sz w:val="18"/>
              </w:rPr>
              <w:t>14</w:t>
            </w:r>
          </w:p>
        </w:tc>
        <w:tc>
          <w:tcPr>
            <w:tcW w:w="4088" w:type="dxa"/>
          </w:tcPr>
          <w:p>
            <w:pPr>
              <w:pStyle w:val="TableParagraph"/>
              <w:jc w:val="left"/>
              <w:rPr>
                <w:rFonts w:ascii="Times New Roman"/>
                <w:sz w:val="18"/>
              </w:rPr>
            </w:pPr>
          </w:p>
          <w:p>
            <w:pPr>
              <w:pStyle w:val="TableParagraph"/>
              <w:spacing w:before="106"/>
              <w:ind w:left="98" w:right="124"/>
              <w:jc w:val="left"/>
              <w:rPr>
                <w:b/>
                <w:sz w:val="18"/>
              </w:rPr>
            </w:pPr>
            <w:r>
              <w:rPr>
                <w:b/>
                <w:sz w:val="18"/>
              </w:rPr>
              <w:t>Borrowing costs</w:t>
            </w:r>
          </w:p>
        </w:tc>
        <w:tc>
          <w:tcPr>
            <w:tcW w:w="1629" w:type="dxa"/>
            <w:tcBorders>
              <w:top w:val="single" w:sz="0" w:space="0" w:color="000000"/>
            </w:tcBorders>
          </w:tcPr>
          <w:p>
            <w:pPr/>
          </w:p>
        </w:tc>
        <w:tc>
          <w:tcPr>
            <w:tcW w:w="1419" w:type="dxa"/>
            <w:tcBorders>
              <w:top w:val="single" w:sz="0" w:space="0" w:color="000000"/>
            </w:tcBorders>
          </w:tcPr>
          <w:p>
            <w:pPr/>
          </w:p>
        </w:tc>
        <w:tc>
          <w:tcPr>
            <w:tcW w:w="1487" w:type="dxa"/>
            <w:tcBorders>
              <w:top w:val="single" w:sz="0" w:space="0" w:color="000000"/>
            </w:tcBorders>
          </w:tcPr>
          <w:p>
            <w:pPr/>
          </w:p>
        </w:tc>
        <w:tc>
          <w:tcPr>
            <w:tcW w:w="993" w:type="dxa"/>
            <w:tcBorders>
              <w:top w:val="single" w:sz="0" w:space="0" w:color="000000"/>
            </w:tcBorders>
          </w:tcPr>
          <w:p>
            <w:pPr/>
          </w:p>
        </w:tc>
      </w:tr>
      <w:tr>
        <w:trPr>
          <w:trHeight w:val="448" w:hRule="exact"/>
        </w:trPr>
        <w:tc>
          <w:tcPr>
            <w:tcW w:w="9948" w:type="dxa"/>
            <w:gridSpan w:val="6"/>
          </w:tcPr>
          <w:p>
            <w:pPr>
              <w:pStyle w:val="TableParagraph"/>
              <w:spacing w:before="2"/>
              <w:jc w:val="left"/>
              <w:rPr>
                <w:rFonts w:ascii="Times New Roman"/>
                <w:sz w:val="17"/>
              </w:rPr>
            </w:pPr>
          </w:p>
          <w:p>
            <w:pPr>
              <w:pStyle w:val="TableParagraph"/>
              <w:tabs>
                <w:tab w:pos="8300" w:val="left" w:leader="none"/>
              </w:tabs>
              <w:ind w:left="5247"/>
              <w:jc w:val="left"/>
              <w:rPr>
                <w:b/>
                <w:sz w:val="18"/>
              </w:rPr>
            </w:pPr>
            <w:r>
              <w:rPr>
                <w:b/>
                <w:sz w:val="18"/>
              </w:rPr>
              <w:t>Consolidated</w:t>
              <w:tab/>
              <w:t>Parent</w:t>
            </w:r>
          </w:p>
        </w:tc>
      </w:tr>
      <w:tr>
        <w:trPr>
          <w:trHeight w:val="274" w:hRule="exact"/>
        </w:trPr>
        <w:tc>
          <w:tcPr>
            <w:tcW w:w="333" w:type="dxa"/>
          </w:tcPr>
          <w:p>
            <w:pPr/>
          </w:p>
        </w:tc>
        <w:tc>
          <w:tcPr>
            <w:tcW w:w="4088" w:type="dxa"/>
          </w:tcPr>
          <w:p>
            <w:pPr/>
          </w:p>
        </w:tc>
        <w:tc>
          <w:tcPr>
            <w:tcW w:w="3048" w:type="dxa"/>
            <w:gridSpan w:val="2"/>
          </w:tcPr>
          <w:p>
            <w:pPr>
              <w:pStyle w:val="TableParagraph"/>
              <w:tabs>
                <w:tab w:pos="1901" w:val="left" w:leader="none"/>
              </w:tabs>
              <w:spacing w:before="24"/>
              <w:ind w:left="619"/>
              <w:jc w:val="left"/>
              <w:rPr>
                <w:b/>
                <w:sz w:val="18"/>
              </w:rPr>
            </w:pPr>
            <w:r>
              <w:rPr>
                <w:b/>
                <w:sz w:val="18"/>
              </w:rPr>
              <w:t>2016</w:t>
              <w:tab/>
              <w:t>2015</w:t>
            </w:r>
          </w:p>
        </w:tc>
        <w:tc>
          <w:tcPr>
            <w:tcW w:w="1487" w:type="dxa"/>
          </w:tcPr>
          <w:p>
            <w:pPr>
              <w:pStyle w:val="TableParagraph"/>
              <w:spacing w:before="24"/>
              <w:ind w:left="335"/>
              <w:jc w:val="left"/>
              <w:rPr>
                <w:b/>
                <w:sz w:val="18"/>
              </w:rPr>
            </w:pPr>
            <w:r>
              <w:rPr>
                <w:b/>
                <w:sz w:val="18"/>
              </w:rPr>
              <w:t>2016</w:t>
            </w:r>
          </w:p>
        </w:tc>
        <w:tc>
          <w:tcPr>
            <w:tcW w:w="993" w:type="dxa"/>
          </w:tcPr>
          <w:p>
            <w:pPr>
              <w:pStyle w:val="TableParagraph"/>
              <w:spacing w:before="24"/>
              <w:ind w:left="130"/>
              <w:jc w:val="left"/>
              <w:rPr>
                <w:b/>
                <w:sz w:val="18"/>
              </w:rPr>
            </w:pPr>
            <w:r>
              <w:rPr>
                <w:b/>
                <w:sz w:val="18"/>
              </w:rPr>
              <w:t>2015</w:t>
            </w:r>
          </w:p>
        </w:tc>
      </w:tr>
      <w:tr>
        <w:trPr>
          <w:trHeight w:val="271" w:hRule="exact"/>
        </w:trPr>
        <w:tc>
          <w:tcPr>
            <w:tcW w:w="333" w:type="dxa"/>
          </w:tcPr>
          <w:p>
            <w:pPr/>
          </w:p>
        </w:tc>
        <w:tc>
          <w:tcPr>
            <w:tcW w:w="4088" w:type="dxa"/>
          </w:tcPr>
          <w:p>
            <w:pPr/>
          </w:p>
        </w:tc>
        <w:tc>
          <w:tcPr>
            <w:tcW w:w="3048" w:type="dxa"/>
            <w:gridSpan w:val="2"/>
          </w:tcPr>
          <w:p>
            <w:pPr>
              <w:pStyle w:val="TableParagraph"/>
              <w:tabs>
                <w:tab w:pos="1880" w:val="left" w:leader="none"/>
              </w:tabs>
              <w:spacing w:before="24"/>
              <w:ind w:left="597"/>
              <w:jc w:val="left"/>
              <w:rPr>
                <w:b/>
                <w:sz w:val="18"/>
              </w:rPr>
            </w:pPr>
            <w:r>
              <w:rPr>
                <w:b/>
                <w:sz w:val="18"/>
              </w:rPr>
              <w:t>$'000</w:t>
              <w:tab/>
              <w:t>$'000</w:t>
            </w:r>
          </w:p>
        </w:tc>
        <w:tc>
          <w:tcPr>
            <w:tcW w:w="1487" w:type="dxa"/>
          </w:tcPr>
          <w:p>
            <w:pPr>
              <w:pStyle w:val="TableParagraph"/>
              <w:spacing w:before="24"/>
              <w:ind w:left="313"/>
              <w:jc w:val="left"/>
              <w:rPr>
                <w:b/>
                <w:sz w:val="18"/>
              </w:rPr>
            </w:pPr>
            <w:r>
              <w:rPr>
                <w:b/>
                <w:sz w:val="18"/>
              </w:rPr>
              <w:t>$'000</w:t>
            </w:r>
          </w:p>
        </w:tc>
        <w:tc>
          <w:tcPr>
            <w:tcW w:w="993" w:type="dxa"/>
          </w:tcPr>
          <w:p>
            <w:pPr>
              <w:pStyle w:val="TableParagraph"/>
              <w:spacing w:before="24"/>
              <w:ind w:left="109"/>
              <w:jc w:val="left"/>
              <w:rPr>
                <w:b/>
                <w:sz w:val="18"/>
              </w:rPr>
            </w:pPr>
            <w:r>
              <w:rPr>
                <w:b/>
                <w:sz w:val="18"/>
              </w:rPr>
              <w:t>$'000</w:t>
            </w:r>
          </w:p>
        </w:tc>
      </w:tr>
      <w:tr>
        <w:trPr>
          <w:trHeight w:val="265" w:hRule="exact"/>
        </w:trPr>
        <w:tc>
          <w:tcPr>
            <w:tcW w:w="333" w:type="dxa"/>
          </w:tcPr>
          <w:p>
            <w:pPr/>
          </w:p>
        </w:tc>
        <w:tc>
          <w:tcPr>
            <w:tcW w:w="4088" w:type="dxa"/>
          </w:tcPr>
          <w:p>
            <w:pPr>
              <w:pStyle w:val="TableParagraph"/>
              <w:spacing w:before="22"/>
              <w:ind w:left="126" w:right="124"/>
              <w:jc w:val="left"/>
              <w:rPr>
                <w:sz w:val="18"/>
              </w:rPr>
            </w:pPr>
            <w:bookmarkStart w:name="15 Impairment of assets" w:id="78"/>
            <w:bookmarkEnd w:id="78"/>
            <w:r>
              <w:rPr/>
            </w:r>
            <w:r>
              <w:rPr>
                <w:sz w:val="18"/>
              </w:rPr>
              <w:t>Interest expense</w:t>
            </w:r>
          </w:p>
        </w:tc>
        <w:tc>
          <w:tcPr>
            <w:tcW w:w="3048" w:type="dxa"/>
            <w:gridSpan w:val="2"/>
            <w:tcBorders>
              <w:bottom w:val="single" w:sz="0" w:space="0" w:color="000000"/>
            </w:tcBorders>
          </w:tcPr>
          <w:p>
            <w:pPr>
              <w:pStyle w:val="TableParagraph"/>
              <w:tabs>
                <w:tab w:pos="2227" w:val="left" w:leader="none"/>
              </w:tabs>
              <w:spacing w:before="21"/>
              <w:ind w:left="930"/>
              <w:jc w:val="left"/>
              <w:rPr>
                <w:sz w:val="18"/>
              </w:rPr>
            </w:pPr>
            <w:r>
              <w:rPr>
                <w:b/>
                <w:sz w:val="18"/>
              </w:rPr>
              <w:t>2,558</w:t>
              <w:tab/>
            </w:r>
            <w:r>
              <w:rPr>
                <w:sz w:val="18"/>
              </w:rPr>
              <w:t>1,735</w:t>
            </w:r>
          </w:p>
        </w:tc>
        <w:tc>
          <w:tcPr>
            <w:tcW w:w="1487" w:type="dxa"/>
            <w:tcBorders>
              <w:bottom w:val="single" w:sz="0" w:space="0" w:color="000000"/>
            </w:tcBorders>
          </w:tcPr>
          <w:p>
            <w:pPr>
              <w:pStyle w:val="TableParagraph"/>
              <w:spacing w:before="21"/>
              <w:ind w:left="645"/>
              <w:jc w:val="left"/>
              <w:rPr>
                <w:b/>
                <w:sz w:val="18"/>
              </w:rPr>
            </w:pPr>
            <w:r>
              <w:rPr>
                <w:b/>
                <w:sz w:val="18"/>
              </w:rPr>
              <w:t>2,689</w:t>
            </w:r>
          </w:p>
        </w:tc>
        <w:tc>
          <w:tcPr>
            <w:tcW w:w="993" w:type="dxa"/>
            <w:tcBorders>
              <w:bottom w:val="single" w:sz="0" w:space="0" w:color="000000"/>
            </w:tcBorders>
          </w:tcPr>
          <w:p>
            <w:pPr>
              <w:pStyle w:val="TableParagraph"/>
              <w:spacing w:before="21"/>
              <w:ind w:right="85"/>
              <w:rPr>
                <w:sz w:val="18"/>
              </w:rPr>
            </w:pPr>
            <w:r>
              <w:rPr>
                <w:sz w:val="18"/>
              </w:rPr>
              <w:t>1,956</w:t>
            </w:r>
          </w:p>
        </w:tc>
      </w:tr>
      <w:tr>
        <w:trPr>
          <w:trHeight w:val="353" w:hRule="exact"/>
        </w:trPr>
        <w:tc>
          <w:tcPr>
            <w:tcW w:w="333" w:type="dxa"/>
          </w:tcPr>
          <w:p>
            <w:pPr/>
          </w:p>
        </w:tc>
        <w:tc>
          <w:tcPr>
            <w:tcW w:w="4088" w:type="dxa"/>
          </w:tcPr>
          <w:p>
            <w:pPr>
              <w:pStyle w:val="TableParagraph"/>
              <w:spacing w:before="123"/>
              <w:ind w:left="126" w:right="124"/>
              <w:jc w:val="left"/>
              <w:rPr>
                <w:b/>
                <w:sz w:val="18"/>
              </w:rPr>
            </w:pPr>
            <w:r>
              <w:rPr>
                <w:b/>
                <w:sz w:val="18"/>
              </w:rPr>
              <w:t>Total borrowing costs expensed</w:t>
            </w:r>
          </w:p>
        </w:tc>
        <w:tc>
          <w:tcPr>
            <w:tcW w:w="3048" w:type="dxa"/>
            <w:gridSpan w:val="2"/>
            <w:tcBorders>
              <w:top w:val="single" w:sz="0" w:space="0" w:color="000000"/>
              <w:bottom w:val="single" w:sz="0" w:space="0" w:color="000000"/>
            </w:tcBorders>
          </w:tcPr>
          <w:p>
            <w:pPr>
              <w:pStyle w:val="TableParagraph"/>
              <w:tabs>
                <w:tab w:pos="2227" w:val="left" w:leader="none"/>
              </w:tabs>
              <w:spacing w:before="122"/>
              <w:ind w:left="930"/>
              <w:jc w:val="left"/>
              <w:rPr>
                <w:sz w:val="18"/>
              </w:rPr>
            </w:pPr>
            <w:r>
              <w:rPr>
                <w:b/>
                <w:sz w:val="18"/>
              </w:rPr>
              <w:t>2,558</w:t>
              <w:tab/>
            </w:r>
            <w:r>
              <w:rPr>
                <w:sz w:val="18"/>
              </w:rPr>
              <w:t>1,735</w:t>
            </w:r>
          </w:p>
        </w:tc>
        <w:tc>
          <w:tcPr>
            <w:tcW w:w="1487" w:type="dxa"/>
            <w:tcBorders>
              <w:top w:val="single" w:sz="0" w:space="0" w:color="000000"/>
              <w:bottom w:val="single" w:sz="0" w:space="0" w:color="000000"/>
            </w:tcBorders>
          </w:tcPr>
          <w:p>
            <w:pPr>
              <w:pStyle w:val="TableParagraph"/>
              <w:spacing w:before="122"/>
              <w:ind w:left="645"/>
              <w:jc w:val="left"/>
              <w:rPr>
                <w:b/>
                <w:sz w:val="18"/>
              </w:rPr>
            </w:pPr>
            <w:r>
              <w:rPr>
                <w:b/>
                <w:sz w:val="18"/>
              </w:rPr>
              <w:t>2,689</w:t>
            </w:r>
          </w:p>
        </w:tc>
        <w:tc>
          <w:tcPr>
            <w:tcW w:w="993" w:type="dxa"/>
            <w:tcBorders>
              <w:top w:val="single" w:sz="0" w:space="0" w:color="000000"/>
              <w:bottom w:val="single" w:sz="0" w:space="0" w:color="000000"/>
            </w:tcBorders>
          </w:tcPr>
          <w:p>
            <w:pPr>
              <w:pStyle w:val="TableParagraph"/>
              <w:spacing w:before="122"/>
              <w:ind w:right="85"/>
              <w:rPr>
                <w:sz w:val="18"/>
              </w:rPr>
            </w:pPr>
            <w:r>
              <w:rPr>
                <w:sz w:val="18"/>
              </w:rPr>
              <w:t>1,956</w:t>
            </w:r>
          </w:p>
        </w:tc>
      </w:tr>
      <w:tr>
        <w:trPr>
          <w:trHeight w:val="803" w:hRule="exact"/>
        </w:trPr>
        <w:tc>
          <w:tcPr>
            <w:tcW w:w="333" w:type="dxa"/>
          </w:tcPr>
          <w:p>
            <w:pPr>
              <w:pStyle w:val="TableParagraph"/>
              <w:jc w:val="left"/>
              <w:rPr>
                <w:rFonts w:ascii="Times New Roman"/>
                <w:sz w:val="18"/>
              </w:rPr>
            </w:pPr>
          </w:p>
          <w:p>
            <w:pPr>
              <w:pStyle w:val="TableParagraph"/>
              <w:spacing w:before="106"/>
              <w:ind w:left="35"/>
              <w:jc w:val="left"/>
              <w:rPr>
                <w:b/>
                <w:sz w:val="18"/>
              </w:rPr>
            </w:pPr>
            <w:r>
              <w:rPr>
                <w:b/>
                <w:sz w:val="18"/>
              </w:rPr>
              <w:t>15</w:t>
            </w:r>
          </w:p>
        </w:tc>
        <w:tc>
          <w:tcPr>
            <w:tcW w:w="4088" w:type="dxa"/>
          </w:tcPr>
          <w:p>
            <w:pPr>
              <w:pStyle w:val="TableParagraph"/>
              <w:jc w:val="left"/>
              <w:rPr>
                <w:rFonts w:ascii="Times New Roman"/>
                <w:sz w:val="18"/>
              </w:rPr>
            </w:pPr>
          </w:p>
          <w:p>
            <w:pPr>
              <w:pStyle w:val="TableParagraph"/>
              <w:spacing w:before="106"/>
              <w:ind w:left="98" w:right="124"/>
              <w:jc w:val="left"/>
              <w:rPr>
                <w:b/>
                <w:sz w:val="18"/>
              </w:rPr>
            </w:pPr>
            <w:r>
              <w:rPr>
                <w:b/>
                <w:sz w:val="18"/>
              </w:rPr>
              <w:t>Impairment of assets</w:t>
            </w:r>
          </w:p>
        </w:tc>
        <w:tc>
          <w:tcPr>
            <w:tcW w:w="3048" w:type="dxa"/>
            <w:gridSpan w:val="2"/>
            <w:tcBorders>
              <w:top w:val="single" w:sz="0" w:space="0" w:color="000000"/>
            </w:tcBorders>
          </w:tcPr>
          <w:p>
            <w:pPr>
              <w:pStyle w:val="TableParagraph"/>
              <w:jc w:val="left"/>
              <w:rPr>
                <w:rFonts w:ascii="Times New Roman"/>
                <w:sz w:val="18"/>
              </w:rPr>
            </w:pPr>
          </w:p>
          <w:p>
            <w:pPr>
              <w:pStyle w:val="TableParagraph"/>
              <w:jc w:val="left"/>
              <w:rPr>
                <w:rFonts w:ascii="Times New Roman"/>
                <w:sz w:val="18"/>
              </w:rPr>
            </w:pPr>
          </w:p>
          <w:p>
            <w:pPr>
              <w:pStyle w:val="TableParagraph"/>
              <w:spacing w:before="139"/>
              <w:ind w:left="826"/>
              <w:jc w:val="left"/>
              <w:rPr>
                <w:b/>
                <w:sz w:val="18"/>
              </w:rPr>
            </w:pPr>
            <w:r>
              <w:rPr>
                <w:b/>
                <w:sz w:val="18"/>
              </w:rPr>
              <w:t>Consolidated</w:t>
            </w:r>
          </w:p>
        </w:tc>
        <w:tc>
          <w:tcPr>
            <w:tcW w:w="1487" w:type="dxa"/>
            <w:tcBorders>
              <w:top w:val="single" w:sz="0" w:space="0" w:color="000000"/>
            </w:tcBorders>
          </w:tcPr>
          <w:p>
            <w:pPr>
              <w:pStyle w:val="TableParagraph"/>
              <w:jc w:val="left"/>
              <w:rPr>
                <w:rFonts w:ascii="Times New Roman"/>
                <w:sz w:val="18"/>
              </w:rPr>
            </w:pPr>
          </w:p>
          <w:p>
            <w:pPr>
              <w:pStyle w:val="TableParagraph"/>
              <w:jc w:val="left"/>
              <w:rPr>
                <w:rFonts w:ascii="Times New Roman"/>
                <w:sz w:val="18"/>
              </w:rPr>
            </w:pPr>
          </w:p>
          <w:p>
            <w:pPr>
              <w:pStyle w:val="TableParagraph"/>
              <w:spacing w:before="139"/>
              <w:ind w:right="107"/>
              <w:rPr>
                <w:b/>
                <w:sz w:val="18"/>
              </w:rPr>
            </w:pPr>
            <w:r>
              <w:rPr>
                <w:b/>
                <w:w w:val="95"/>
                <w:sz w:val="18"/>
              </w:rPr>
              <w:t>Parent</w:t>
            </w:r>
          </w:p>
        </w:tc>
        <w:tc>
          <w:tcPr>
            <w:tcW w:w="993" w:type="dxa"/>
            <w:tcBorders>
              <w:top w:val="single" w:sz="0" w:space="0" w:color="000000"/>
            </w:tcBorders>
          </w:tcPr>
          <w:p>
            <w:pPr/>
          </w:p>
        </w:tc>
      </w:tr>
      <w:tr>
        <w:trPr>
          <w:trHeight w:val="274" w:hRule="exact"/>
        </w:trPr>
        <w:tc>
          <w:tcPr>
            <w:tcW w:w="333" w:type="dxa"/>
          </w:tcPr>
          <w:p>
            <w:pPr/>
          </w:p>
        </w:tc>
        <w:tc>
          <w:tcPr>
            <w:tcW w:w="4088" w:type="dxa"/>
          </w:tcPr>
          <w:p>
            <w:pPr/>
          </w:p>
        </w:tc>
        <w:tc>
          <w:tcPr>
            <w:tcW w:w="3048" w:type="dxa"/>
            <w:gridSpan w:val="2"/>
          </w:tcPr>
          <w:p>
            <w:pPr>
              <w:pStyle w:val="TableParagraph"/>
              <w:tabs>
                <w:tab w:pos="1901" w:val="left" w:leader="none"/>
              </w:tabs>
              <w:spacing w:before="24"/>
              <w:ind w:left="618"/>
              <w:jc w:val="left"/>
              <w:rPr>
                <w:b/>
                <w:sz w:val="18"/>
              </w:rPr>
            </w:pPr>
            <w:r>
              <w:rPr>
                <w:b/>
                <w:sz w:val="18"/>
              </w:rPr>
              <w:t>2016</w:t>
              <w:tab/>
              <w:t>2015</w:t>
            </w:r>
          </w:p>
        </w:tc>
        <w:tc>
          <w:tcPr>
            <w:tcW w:w="1487" w:type="dxa"/>
          </w:tcPr>
          <w:p>
            <w:pPr>
              <w:pStyle w:val="TableParagraph"/>
              <w:spacing w:before="24"/>
              <w:ind w:left="333"/>
              <w:jc w:val="left"/>
              <w:rPr>
                <w:b/>
                <w:sz w:val="18"/>
              </w:rPr>
            </w:pPr>
            <w:r>
              <w:rPr>
                <w:b/>
                <w:sz w:val="18"/>
              </w:rPr>
              <w:t>2016</w:t>
            </w:r>
          </w:p>
        </w:tc>
        <w:tc>
          <w:tcPr>
            <w:tcW w:w="993" w:type="dxa"/>
          </w:tcPr>
          <w:p>
            <w:pPr>
              <w:pStyle w:val="TableParagraph"/>
              <w:spacing w:before="24"/>
              <w:ind w:left="130"/>
              <w:jc w:val="left"/>
              <w:rPr>
                <w:b/>
                <w:sz w:val="18"/>
              </w:rPr>
            </w:pPr>
            <w:r>
              <w:rPr>
                <w:b/>
                <w:sz w:val="18"/>
              </w:rPr>
              <w:t>2015</w:t>
            </w:r>
          </w:p>
        </w:tc>
      </w:tr>
      <w:tr>
        <w:trPr>
          <w:trHeight w:val="271" w:hRule="exact"/>
        </w:trPr>
        <w:tc>
          <w:tcPr>
            <w:tcW w:w="333" w:type="dxa"/>
          </w:tcPr>
          <w:p>
            <w:pPr/>
          </w:p>
        </w:tc>
        <w:tc>
          <w:tcPr>
            <w:tcW w:w="4088" w:type="dxa"/>
          </w:tcPr>
          <w:p>
            <w:pPr/>
          </w:p>
        </w:tc>
        <w:tc>
          <w:tcPr>
            <w:tcW w:w="3048" w:type="dxa"/>
            <w:gridSpan w:val="2"/>
          </w:tcPr>
          <w:p>
            <w:pPr>
              <w:pStyle w:val="TableParagraph"/>
              <w:tabs>
                <w:tab w:pos="1880" w:val="left" w:leader="none"/>
              </w:tabs>
              <w:spacing w:before="24"/>
              <w:ind w:left="596"/>
              <w:jc w:val="left"/>
              <w:rPr>
                <w:b/>
                <w:sz w:val="18"/>
              </w:rPr>
            </w:pPr>
            <w:r>
              <w:rPr>
                <w:b/>
                <w:sz w:val="18"/>
              </w:rPr>
              <w:t>$'000</w:t>
              <w:tab/>
              <w:t>$'000</w:t>
            </w:r>
          </w:p>
        </w:tc>
        <w:tc>
          <w:tcPr>
            <w:tcW w:w="1487" w:type="dxa"/>
          </w:tcPr>
          <w:p>
            <w:pPr>
              <w:pStyle w:val="TableParagraph"/>
              <w:spacing w:before="24"/>
              <w:ind w:left="312"/>
              <w:jc w:val="left"/>
              <w:rPr>
                <w:b/>
                <w:sz w:val="18"/>
              </w:rPr>
            </w:pPr>
            <w:r>
              <w:rPr>
                <w:b/>
                <w:sz w:val="18"/>
              </w:rPr>
              <w:t>$'000</w:t>
            </w:r>
          </w:p>
        </w:tc>
        <w:tc>
          <w:tcPr>
            <w:tcW w:w="993" w:type="dxa"/>
          </w:tcPr>
          <w:p>
            <w:pPr>
              <w:pStyle w:val="TableParagraph"/>
              <w:spacing w:before="24"/>
              <w:ind w:left="109"/>
              <w:jc w:val="left"/>
              <w:rPr>
                <w:b/>
                <w:sz w:val="18"/>
              </w:rPr>
            </w:pPr>
            <w:r>
              <w:rPr>
                <w:b/>
                <w:sz w:val="18"/>
              </w:rPr>
              <w:t>$'000</w:t>
            </w:r>
          </w:p>
        </w:tc>
      </w:tr>
      <w:tr>
        <w:trPr>
          <w:trHeight w:val="267" w:hRule="exact"/>
        </w:trPr>
        <w:tc>
          <w:tcPr>
            <w:tcW w:w="333" w:type="dxa"/>
          </w:tcPr>
          <w:p>
            <w:pPr/>
          </w:p>
        </w:tc>
        <w:tc>
          <w:tcPr>
            <w:tcW w:w="4088" w:type="dxa"/>
          </w:tcPr>
          <w:p>
            <w:pPr>
              <w:pStyle w:val="TableParagraph"/>
              <w:spacing w:before="22"/>
              <w:ind w:left="124" w:right="124"/>
              <w:jc w:val="left"/>
              <w:rPr>
                <w:sz w:val="18"/>
              </w:rPr>
            </w:pPr>
            <w:r>
              <w:rPr>
                <w:sz w:val="18"/>
              </w:rPr>
              <w:t>Bad debts</w:t>
            </w:r>
          </w:p>
        </w:tc>
        <w:tc>
          <w:tcPr>
            <w:tcW w:w="3048" w:type="dxa"/>
            <w:gridSpan w:val="2"/>
          </w:tcPr>
          <w:p>
            <w:pPr>
              <w:pStyle w:val="TableParagraph"/>
              <w:tabs>
                <w:tab w:pos="2377" w:val="left" w:leader="none"/>
              </w:tabs>
              <w:spacing w:before="21"/>
              <w:ind w:left="1078"/>
              <w:jc w:val="left"/>
              <w:rPr>
                <w:sz w:val="18"/>
              </w:rPr>
            </w:pPr>
            <w:r>
              <w:rPr>
                <w:b/>
                <w:sz w:val="18"/>
              </w:rPr>
              <w:t>127</w:t>
              <w:tab/>
            </w:r>
            <w:r>
              <w:rPr>
                <w:sz w:val="18"/>
              </w:rPr>
              <w:t>456</w:t>
            </w:r>
          </w:p>
        </w:tc>
        <w:tc>
          <w:tcPr>
            <w:tcW w:w="1487" w:type="dxa"/>
          </w:tcPr>
          <w:p>
            <w:pPr>
              <w:pStyle w:val="TableParagraph"/>
              <w:spacing w:before="21"/>
              <w:ind w:left="794"/>
              <w:jc w:val="left"/>
              <w:rPr>
                <w:b/>
                <w:sz w:val="18"/>
              </w:rPr>
            </w:pPr>
            <w:r>
              <w:rPr>
                <w:b/>
                <w:sz w:val="18"/>
              </w:rPr>
              <w:t>112</w:t>
            </w:r>
          </w:p>
        </w:tc>
        <w:tc>
          <w:tcPr>
            <w:tcW w:w="993" w:type="dxa"/>
          </w:tcPr>
          <w:p>
            <w:pPr>
              <w:pStyle w:val="TableParagraph"/>
              <w:spacing w:before="21"/>
              <w:ind w:right="85"/>
              <w:rPr>
                <w:sz w:val="18"/>
              </w:rPr>
            </w:pPr>
            <w:r>
              <w:rPr>
                <w:sz w:val="18"/>
              </w:rPr>
              <w:t>431</w:t>
            </w:r>
          </w:p>
        </w:tc>
      </w:tr>
      <w:tr>
        <w:trPr>
          <w:trHeight w:val="264" w:hRule="exact"/>
        </w:trPr>
        <w:tc>
          <w:tcPr>
            <w:tcW w:w="333" w:type="dxa"/>
          </w:tcPr>
          <w:p>
            <w:pPr/>
          </w:p>
        </w:tc>
        <w:tc>
          <w:tcPr>
            <w:tcW w:w="4088" w:type="dxa"/>
          </w:tcPr>
          <w:p>
            <w:pPr>
              <w:pStyle w:val="TableParagraph"/>
              <w:spacing w:before="19"/>
              <w:ind w:left="124" w:right="124"/>
              <w:jc w:val="left"/>
              <w:rPr>
                <w:sz w:val="18"/>
              </w:rPr>
            </w:pPr>
            <w:r>
              <w:rPr>
                <w:sz w:val="18"/>
              </w:rPr>
              <w:t>Doubtful debts</w:t>
            </w:r>
          </w:p>
        </w:tc>
        <w:tc>
          <w:tcPr>
            <w:tcW w:w="3048" w:type="dxa"/>
            <w:gridSpan w:val="2"/>
          </w:tcPr>
          <w:p>
            <w:pPr>
              <w:pStyle w:val="TableParagraph"/>
              <w:tabs>
                <w:tab w:pos="2317" w:val="left" w:leader="none"/>
              </w:tabs>
              <w:spacing w:before="18"/>
              <w:ind w:left="1018"/>
              <w:jc w:val="left"/>
              <w:rPr>
                <w:sz w:val="18"/>
              </w:rPr>
            </w:pPr>
            <w:r>
              <w:rPr>
                <w:b/>
                <w:sz w:val="18"/>
              </w:rPr>
              <w:t>(310)</w:t>
              <w:tab/>
            </w:r>
            <w:r>
              <w:rPr>
                <w:sz w:val="18"/>
              </w:rPr>
              <w:t>(410)</w:t>
            </w:r>
          </w:p>
        </w:tc>
        <w:tc>
          <w:tcPr>
            <w:tcW w:w="1487" w:type="dxa"/>
          </w:tcPr>
          <w:p>
            <w:pPr>
              <w:pStyle w:val="TableParagraph"/>
              <w:spacing w:before="18"/>
              <w:ind w:left="734"/>
              <w:jc w:val="left"/>
              <w:rPr>
                <w:b/>
                <w:sz w:val="18"/>
              </w:rPr>
            </w:pPr>
            <w:r>
              <w:rPr>
                <w:b/>
                <w:sz w:val="18"/>
              </w:rPr>
              <w:t>(326)</w:t>
            </w:r>
          </w:p>
        </w:tc>
        <w:tc>
          <w:tcPr>
            <w:tcW w:w="993" w:type="dxa"/>
          </w:tcPr>
          <w:p>
            <w:pPr>
              <w:pStyle w:val="TableParagraph"/>
              <w:spacing w:before="18"/>
              <w:ind w:right="26"/>
              <w:rPr>
                <w:sz w:val="18"/>
              </w:rPr>
            </w:pPr>
            <w:r>
              <w:rPr>
                <w:sz w:val="18"/>
              </w:rPr>
              <w:t>(531)</w:t>
            </w:r>
          </w:p>
        </w:tc>
      </w:tr>
      <w:tr>
        <w:trPr>
          <w:trHeight w:val="262" w:hRule="exact"/>
        </w:trPr>
        <w:tc>
          <w:tcPr>
            <w:tcW w:w="333" w:type="dxa"/>
          </w:tcPr>
          <w:p>
            <w:pPr/>
          </w:p>
        </w:tc>
        <w:tc>
          <w:tcPr>
            <w:tcW w:w="4088" w:type="dxa"/>
          </w:tcPr>
          <w:p>
            <w:pPr>
              <w:pStyle w:val="TableParagraph"/>
              <w:spacing w:before="19"/>
              <w:ind w:left="124" w:right="124"/>
              <w:jc w:val="left"/>
              <w:rPr>
                <w:sz w:val="18"/>
              </w:rPr>
            </w:pPr>
            <w:r>
              <w:rPr>
                <w:sz w:val="18"/>
              </w:rPr>
              <w:t>Library collection</w:t>
            </w:r>
          </w:p>
        </w:tc>
        <w:tc>
          <w:tcPr>
            <w:tcW w:w="3048" w:type="dxa"/>
            <w:gridSpan w:val="2"/>
            <w:tcBorders>
              <w:bottom w:val="single" w:sz="0" w:space="0" w:color="000000"/>
            </w:tcBorders>
          </w:tcPr>
          <w:p>
            <w:pPr>
              <w:pStyle w:val="TableParagraph"/>
              <w:tabs>
                <w:tab w:pos="2576" w:val="left" w:leader="none"/>
              </w:tabs>
              <w:spacing w:before="18"/>
              <w:ind w:left="1317"/>
              <w:jc w:val="left"/>
              <w:rPr>
                <w:sz w:val="18"/>
              </w:rPr>
            </w:pPr>
            <w:r>
              <w:rPr>
                <w:b/>
                <w:sz w:val="18"/>
              </w:rPr>
              <w:t>-</w:t>
              <w:tab/>
            </w:r>
            <w:r>
              <w:rPr>
                <w:sz w:val="18"/>
              </w:rPr>
              <w:t>2</w:t>
            </w:r>
          </w:p>
        </w:tc>
        <w:tc>
          <w:tcPr>
            <w:tcW w:w="1487" w:type="dxa"/>
            <w:tcBorders>
              <w:bottom w:val="single" w:sz="0" w:space="0" w:color="000000"/>
            </w:tcBorders>
          </w:tcPr>
          <w:p>
            <w:pPr>
              <w:pStyle w:val="TableParagraph"/>
              <w:spacing w:before="18"/>
              <w:ind w:right="391"/>
              <w:rPr>
                <w:b/>
                <w:sz w:val="18"/>
              </w:rPr>
            </w:pPr>
            <w:r>
              <w:rPr>
                <w:b/>
                <w:w w:val="99"/>
                <w:sz w:val="18"/>
              </w:rPr>
              <w:t>-</w:t>
            </w:r>
          </w:p>
        </w:tc>
        <w:tc>
          <w:tcPr>
            <w:tcW w:w="993" w:type="dxa"/>
            <w:tcBorders>
              <w:bottom w:val="single" w:sz="0" w:space="0" w:color="000000"/>
            </w:tcBorders>
          </w:tcPr>
          <w:p>
            <w:pPr>
              <w:pStyle w:val="TableParagraph"/>
              <w:spacing w:before="18"/>
              <w:ind w:right="85"/>
              <w:rPr>
                <w:sz w:val="18"/>
              </w:rPr>
            </w:pPr>
            <w:r>
              <w:rPr>
                <w:w w:val="99"/>
                <w:sz w:val="18"/>
              </w:rPr>
              <w:t>2</w:t>
            </w:r>
          </w:p>
        </w:tc>
      </w:tr>
      <w:tr>
        <w:trPr>
          <w:trHeight w:val="353" w:hRule="exact"/>
        </w:trPr>
        <w:tc>
          <w:tcPr>
            <w:tcW w:w="333" w:type="dxa"/>
          </w:tcPr>
          <w:p>
            <w:pPr/>
          </w:p>
        </w:tc>
        <w:tc>
          <w:tcPr>
            <w:tcW w:w="4088" w:type="dxa"/>
          </w:tcPr>
          <w:p>
            <w:pPr>
              <w:pStyle w:val="TableParagraph"/>
              <w:spacing w:before="123"/>
              <w:ind w:left="124" w:right="124"/>
              <w:jc w:val="left"/>
              <w:rPr>
                <w:b/>
                <w:sz w:val="18"/>
              </w:rPr>
            </w:pPr>
            <w:r>
              <w:rPr>
                <w:b/>
                <w:sz w:val="18"/>
              </w:rPr>
              <w:t>Total impairment of assets</w:t>
            </w:r>
          </w:p>
        </w:tc>
        <w:tc>
          <w:tcPr>
            <w:tcW w:w="3048" w:type="dxa"/>
            <w:gridSpan w:val="2"/>
            <w:tcBorders>
              <w:top w:val="single" w:sz="0" w:space="0" w:color="000000"/>
              <w:bottom w:val="single" w:sz="0" w:space="0" w:color="000000"/>
            </w:tcBorders>
          </w:tcPr>
          <w:p>
            <w:pPr>
              <w:pStyle w:val="TableParagraph"/>
              <w:tabs>
                <w:tab w:pos="2476" w:val="left" w:leader="none"/>
              </w:tabs>
              <w:spacing w:before="122"/>
              <w:ind w:left="1018"/>
              <w:jc w:val="left"/>
              <w:rPr>
                <w:sz w:val="18"/>
              </w:rPr>
            </w:pPr>
            <w:r>
              <w:rPr>
                <w:b/>
                <w:sz w:val="18"/>
              </w:rPr>
              <w:t>(183)</w:t>
              <w:tab/>
            </w:r>
            <w:r>
              <w:rPr>
                <w:sz w:val="18"/>
              </w:rPr>
              <w:t>48</w:t>
            </w:r>
          </w:p>
        </w:tc>
        <w:tc>
          <w:tcPr>
            <w:tcW w:w="1487" w:type="dxa"/>
            <w:tcBorders>
              <w:top w:val="single" w:sz="0" w:space="0" w:color="000000"/>
              <w:bottom w:val="single" w:sz="0" w:space="0" w:color="000000"/>
            </w:tcBorders>
          </w:tcPr>
          <w:p>
            <w:pPr>
              <w:pStyle w:val="TableParagraph"/>
              <w:spacing w:before="122"/>
              <w:ind w:left="734"/>
              <w:jc w:val="left"/>
              <w:rPr>
                <w:b/>
                <w:sz w:val="18"/>
              </w:rPr>
            </w:pPr>
            <w:r>
              <w:rPr>
                <w:b/>
                <w:sz w:val="18"/>
              </w:rPr>
              <w:t>(214)</w:t>
            </w:r>
          </w:p>
        </w:tc>
        <w:tc>
          <w:tcPr>
            <w:tcW w:w="993" w:type="dxa"/>
            <w:tcBorders>
              <w:top w:val="single" w:sz="0" w:space="0" w:color="000000"/>
              <w:bottom w:val="single" w:sz="0" w:space="0" w:color="000000"/>
            </w:tcBorders>
          </w:tcPr>
          <w:p>
            <w:pPr>
              <w:pStyle w:val="TableParagraph"/>
              <w:spacing w:before="122"/>
              <w:ind w:right="25"/>
              <w:rPr>
                <w:sz w:val="18"/>
              </w:rPr>
            </w:pPr>
            <w:r>
              <w:rPr>
                <w:sz w:val="18"/>
              </w:rPr>
              <w:t>(98)</w:t>
            </w:r>
          </w:p>
        </w:tc>
      </w:tr>
    </w:tbl>
    <w:p>
      <w:pPr>
        <w:spacing w:after="0"/>
        <w:rPr>
          <w:sz w:val="18"/>
        </w:rPr>
        <w:sectPr>
          <w:pgSz w:w="12750" w:h="17680"/>
          <w:pgMar w:header="0" w:footer="927" w:top="2640" w:bottom="1120" w:left="0" w:right="0"/>
        </w:sectPr>
      </w:pPr>
    </w:p>
    <w:p>
      <w:pPr>
        <w:pStyle w:val="BodyText"/>
        <w:rPr>
          <w:rFonts w:ascii="Times New Roman"/>
          <w:sz w:val="20"/>
        </w:rPr>
      </w:pPr>
    </w:p>
    <w:p>
      <w:pPr>
        <w:pStyle w:val="BodyText"/>
        <w:rPr>
          <w:rFonts w:ascii="Times New Roman"/>
          <w:sz w:val="20"/>
        </w:rPr>
      </w:pPr>
    </w:p>
    <w:p>
      <w:pPr>
        <w:pStyle w:val="BodyText"/>
        <w:spacing w:before="8"/>
        <w:rPr>
          <w:rFonts w:ascii="Times New Roman"/>
          <w:sz w:val="11"/>
        </w:rPr>
      </w:pPr>
    </w:p>
    <w:tbl>
      <w:tblPr>
        <w:tblW w:w="0" w:type="auto"/>
        <w:jc w:val="left"/>
        <w:tblInd w:w="139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33"/>
        <w:gridCol w:w="4088"/>
        <w:gridCol w:w="1629"/>
        <w:gridCol w:w="1389"/>
        <w:gridCol w:w="1517"/>
        <w:gridCol w:w="993"/>
      </w:tblGrid>
      <w:tr>
        <w:trPr>
          <w:trHeight w:val="567" w:hRule="exact"/>
        </w:trPr>
        <w:tc>
          <w:tcPr>
            <w:tcW w:w="333" w:type="dxa"/>
          </w:tcPr>
          <w:p>
            <w:pPr>
              <w:pStyle w:val="TableParagraph"/>
              <w:spacing w:before="77"/>
              <w:ind w:left="35"/>
              <w:jc w:val="left"/>
              <w:rPr>
                <w:b/>
                <w:sz w:val="18"/>
              </w:rPr>
            </w:pPr>
            <w:bookmarkStart w:name="16 Other expenses" w:id="79"/>
            <w:bookmarkEnd w:id="79"/>
            <w:r>
              <w:rPr/>
            </w:r>
            <w:r>
              <w:rPr>
                <w:b/>
                <w:sz w:val="18"/>
              </w:rPr>
              <w:t>16</w:t>
            </w:r>
          </w:p>
        </w:tc>
        <w:tc>
          <w:tcPr>
            <w:tcW w:w="4088" w:type="dxa"/>
          </w:tcPr>
          <w:p>
            <w:pPr>
              <w:pStyle w:val="TableParagraph"/>
              <w:spacing w:before="77"/>
              <w:ind w:left="98" w:right="124"/>
              <w:jc w:val="left"/>
              <w:rPr>
                <w:b/>
                <w:sz w:val="18"/>
              </w:rPr>
            </w:pPr>
            <w:r>
              <w:rPr>
                <w:b/>
                <w:sz w:val="18"/>
              </w:rPr>
              <w:t>Other expenses</w:t>
            </w:r>
          </w:p>
        </w:tc>
        <w:tc>
          <w:tcPr>
            <w:tcW w:w="3018" w:type="dxa"/>
            <w:gridSpan w:val="2"/>
          </w:tcPr>
          <w:p>
            <w:pPr>
              <w:pStyle w:val="TableParagraph"/>
              <w:jc w:val="left"/>
              <w:rPr>
                <w:rFonts w:ascii="Times New Roman"/>
                <w:sz w:val="18"/>
              </w:rPr>
            </w:pPr>
          </w:p>
          <w:p>
            <w:pPr>
              <w:pStyle w:val="TableParagraph"/>
              <w:spacing w:before="110"/>
              <w:ind w:left="826"/>
              <w:jc w:val="left"/>
              <w:rPr>
                <w:b/>
                <w:sz w:val="18"/>
              </w:rPr>
            </w:pPr>
            <w:r>
              <w:rPr>
                <w:b/>
                <w:sz w:val="18"/>
              </w:rPr>
              <w:t>Consolidated</w:t>
            </w:r>
          </w:p>
        </w:tc>
        <w:tc>
          <w:tcPr>
            <w:tcW w:w="1517" w:type="dxa"/>
          </w:tcPr>
          <w:p>
            <w:pPr>
              <w:pStyle w:val="TableParagraph"/>
              <w:jc w:val="left"/>
              <w:rPr>
                <w:rFonts w:ascii="Times New Roman"/>
                <w:sz w:val="18"/>
              </w:rPr>
            </w:pPr>
          </w:p>
          <w:p>
            <w:pPr>
              <w:pStyle w:val="TableParagraph"/>
              <w:spacing w:before="110"/>
              <w:ind w:left="848"/>
              <w:jc w:val="left"/>
              <w:rPr>
                <w:b/>
                <w:sz w:val="18"/>
              </w:rPr>
            </w:pPr>
            <w:r>
              <w:rPr>
                <w:b/>
                <w:sz w:val="18"/>
              </w:rPr>
              <w:t>Parent</w:t>
            </w:r>
          </w:p>
        </w:tc>
        <w:tc>
          <w:tcPr>
            <w:tcW w:w="993" w:type="dxa"/>
          </w:tcPr>
          <w:p>
            <w:pPr/>
          </w:p>
        </w:tc>
      </w:tr>
      <w:tr>
        <w:trPr>
          <w:trHeight w:val="274" w:hRule="exact"/>
        </w:trPr>
        <w:tc>
          <w:tcPr>
            <w:tcW w:w="333" w:type="dxa"/>
          </w:tcPr>
          <w:p>
            <w:pPr/>
          </w:p>
        </w:tc>
        <w:tc>
          <w:tcPr>
            <w:tcW w:w="4088" w:type="dxa"/>
          </w:tcPr>
          <w:p>
            <w:pPr/>
          </w:p>
        </w:tc>
        <w:tc>
          <w:tcPr>
            <w:tcW w:w="1629" w:type="dxa"/>
          </w:tcPr>
          <w:p>
            <w:pPr>
              <w:pStyle w:val="TableParagraph"/>
              <w:spacing w:before="24"/>
              <w:ind w:left="618"/>
              <w:jc w:val="left"/>
              <w:rPr>
                <w:b/>
                <w:sz w:val="18"/>
              </w:rPr>
            </w:pPr>
            <w:r>
              <w:rPr>
                <w:b/>
                <w:sz w:val="18"/>
              </w:rPr>
              <w:t>2016</w:t>
            </w:r>
          </w:p>
        </w:tc>
        <w:tc>
          <w:tcPr>
            <w:tcW w:w="1389" w:type="dxa"/>
          </w:tcPr>
          <w:p>
            <w:pPr>
              <w:pStyle w:val="TableParagraph"/>
              <w:spacing w:before="24"/>
              <w:ind w:left="272"/>
              <w:jc w:val="left"/>
              <w:rPr>
                <w:b/>
                <w:sz w:val="18"/>
              </w:rPr>
            </w:pPr>
            <w:r>
              <w:rPr>
                <w:b/>
                <w:sz w:val="18"/>
              </w:rPr>
              <w:t>2015</w:t>
            </w:r>
          </w:p>
        </w:tc>
        <w:tc>
          <w:tcPr>
            <w:tcW w:w="1517" w:type="dxa"/>
          </w:tcPr>
          <w:p>
            <w:pPr>
              <w:pStyle w:val="TableParagraph"/>
              <w:spacing w:before="24"/>
              <w:ind w:left="363"/>
              <w:jc w:val="left"/>
              <w:rPr>
                <w:b/>
                <w:sz w:val="18"/>
              </w:rPr>
            </w:pPr>
            <w:r>
              <w:rPr>
                <w:b/>
                <w:sz w:val="18"/>
              </w:rPr>
              <w:t>2016</w:t>
            </w:r>
          </w:p>
        </w:tc>
        <w:tc>
          <w:tcPr>
            <w:tcW w:w="993" w:type="dxa"/>
          </w:tcPr>
          <w:p>
            <w:pPr>
              <w:pStyle w:val="TableParagraph"/>
              <w:spacing w:before="24"/>
              <w:ind w:left="130"/>
              <w:jc w:val="left"/>
              <w:rPr>
                <w:b/>
                <w:sz w:val="18"/>
              </w:rPr>
            </w:pPr>
            <w:r>
              <w:rPr>
                <w:b/>
                <w:sz w:val="18"/>
              </w:rPr>
              <w:t>2015</w:t>
            </w:r>
          </w:p>
        </w:tc>
      </w:tr>
      <w:tr>
        <w:trPr>
          <w:trHeight w:val="271" w:hRule="exact"/>
        </w:trPr>
        <w:tc>
          <w:tcPr>
            <w:tcW w:w="333" w:type="dxa"/>
          </w:tcPr>
          <w:p>
            <w:pPr/>
          </w:p>
        </w:tc>
        <w:tc>
          <w:tcPr>
            <w:tcW w:w="4088" w:type="dxa"/>
          </w:tcPr>
          <w:p>
            <w:pPr/>
          </w:p>
        </w:tc>
        <w:tc>
          <w:tcPr>
            <w:tcW w:w="1629" w:type="dxa"/>
          </w:tcPr>
          <w:p>
            <w:pPr>
              <w:pStyle w:val="TableParagraph"/>
              <w:spacing w:before="24"/>
              <w:ind w:left="596"/>
              <w:jc w:val="left"/>
              <w:rPr>
                <w:b/>
                <w:sz w:val="18"/>
              </w:rPr>
            </w:pPr>
            <w:r>
              <w:rPr>
                <w:b/>
                <w:sz w:val="18"/>
              </w:rPr>
              <w:t>$'000</w:t>
            </w:r>
          </w:p>
        </w:tc>
        <w:tc>
          <w:tcPr>
            <w:tcW w:w="1389" w:type="dxa"/>
          </w:tcPr>
          <w:p>
            <w:pPr>
              <w:pStyle w:val="TableParagraph"/>
              <w:spacing w:before="24"/>
              <w:ind w:left="251"/>
              <w:jc w:val="left"/>
              <w:rPr>
                <w:b/>
                <w:sz w:val="18"/>
              </w:rPr>
            </w:pPr>
            <w:r>
              <w:rPr>
                <w:b/>
                <w:sz w:val="18"/>
              </w:rPr>
              <w:t>$'000</w:t>
            </w:r>
          </w:p>
        </w:tc>
        <w:tc>
          <w:tcPr>
            <w:tcW w:w="1517" w:type="dxa"/>
          </w:tcPr>
          <w:p>
            <w:pPr>
              <w:pStyle w:val="TableParagraph"/>
              <w:spacing w:before="24"/>
              <w:ind w:left="341"/>
              <w:jc w:val="left"/>
              <w:rPr>
                <w:b/>
                <w:sz w:val="18"/>
              </w:rPr>
            </w:pPr>
            <w:r>
              <w:rPr>
                <w:b/>
                <w:sz w:val="18"/>
              </w:rPr>
              <w:t>$'000</w:t>
            </w:r>
          </w:p>
        </w:tc>
        <w:tc>
          <w:tcPr>
            <w:tcW w:w="993" w:type="dxa"/>
          </w:tcPr>
          <w:p>
            <w:pPr>
              <w:pStyle w:val="TableParagraph"/>
              <w:spacing w:before="24"/>
              <w:ind w:left="109"/>
              <w:jc w:val="left"/>
              <w:rPr>
                <w:b/>
                <w:sz w:val="18"/>
              </w:rPr>
            </w:pPr>
            <w:r>
              <w:rPr>
                <w:b/>
                <w:sz w:val="18"/>
              </w:rPr>
              <w:t>$'000</w:t>
            </w:r>
          </w:p>
        </w:tc>
      </w:tr>
      <w:tr>
        <w:trPr>
          <w:trHeight w:val="267" w:hRule="exact"/>
        </w:trPr>
        <w:tc>
          <w:tcPr>
            <w:tcW w:w="333" w:type="dxa"/>
          </w:tcPr>
          <w:p>
            <w:pPr/>
          </w:p>
        </w:tc>
        <w:tc>
          <w:tcPr>
            <w:tcW w:w="4088" w:type="dxa"/>
          </w:tcPr>
          <w:p>
            <w:pPr>
              <w:pStyle w:val="TableParagraph"/>
              <w:spacing w:before="22"/>
              <w:ind w:left="126" w:right="124"/>
              <w:jc w:val="left"/>
              <w:rPr>
                <w:sz w:val="18"/>
              </w:rPr>
            </w:pPr>
            <w:r>
              <w:rPr>
                <w:sz w:val="18"/>
              </w:rPr>
              <w:t>Fees for service #1</w:t>
            </w:r>
          </w:p>
        </w:tc>
        <w:tc>
          <w:tcPr>
            <w:tcW w:w="1629" w:type="dxa"/>
          </w:tcPr>
          <w:p>
            <w:pPr>
              <w:pStyle w:val="TableParagraph"/>
              <w:spacing w:before="21"/>
              <w:ind w:right="249"/>
              <w:rPr>
                <w:b/>
                <w:sz w:val="18"/>
              </w:rPr>
            </w:pPr>
            <w:r>
              <w:rPr>
                <w:b/>
                <w:w w:val="95"/>
                <w:sz w:val="18"/>
              </w:rPr>
              <w:t>74,121</w:t>
            </w:r>
          </w:p>
        </w:tc>
        <w:tc>
          <w:tcPr>
            <w:tcW w:w="1389" w:type="dxa"/>
          </w:tcPr>
          <w:p>
            <w:pPr>
              <w:pStyle w:val="TableParagraph"/>
              <w:spacing w:before="21"/>
              <w:ind w:right="339"/>
              <w:rPr>
                <w:sz w:val="18"/>
              </w:rPr>
            </w:pPr>
            <w:r>
              <w:rPr>
                <w:w w:val="95"/>
                <w:sz w:val="18"/>
              </w:rPr>
              <w:t>71,258</w:t>
            </w:r>
          </w:p>
        </w:tc>
        <w:tc>
          <w:tcPr>
            <w:tcW w:w="1517" w:type="dxa"/>
          </w:tcPr>
          <w:p>
            <w:pPr>
              <w:pStyle w:val="TableParagraph"/>
              <w:spacing w:before="21"/>
              <w:ind w:left="475"/>
              <w:jc w:val="left"/>
              <w:rPr>
                <w:b/>
                <w:sz w:val="18"/>
              </w:rPr>
            </w:pPr>
            <w:r>
              <w:rPr>
                <w:b/>
                <w:sz w:val="18"/>
              </w:rPr>
              <w:t>122,796</w:t>
            </w:r>
          </w:p>
        </w:tc>
        <w:tc>
          <w:tcPr>
            <w:tcW w:w="993" w:type="dxa"/>
          </w:tcPr>
          <w:p>
            <w:pPr>
              <w:pStyle w:val="TableParagraph"/>
              <w:spacing w:before="21"/>
              <w:ind w:right="85"/>
              <w:rPr>
                <w:sz w:val="18"/>
              </w:rPr>
            </w:pPr>
            <w:r>
              <w:rPr>
                <w:w w:val="95"/>
                <w:sz w:val="18"/>
              </w:rPr>
              <w:t>114,896</w:t>
            </w:r>
          </w:p>
        </w:tc>
      </w:tr>
      <w:tr>
        <w:trPr>
          <w:trHeight w:val="264" w:hRule="exact"/>
        </w:trPr>
        <w:tc>
          <w:tcPr>
            <w:tcW w:w="333" w:type="dxa"/>
          </w:tcPr>
          <w:p>
            <w:pPr/>
          </w:p>
        </w:tc>
        <w:tc>
          <w:tcPr>
            <w:tcW w:w="4088" w:type="dxa"/>
          </w:tcPr>
          <w:p>
            <w:pPr>
              <w:pStyle w:val="TableParagraph"/>
              <w:spacing w:before="19"/>
              <w:ind w:left="126" w:right="124"/>
              <w:jc w:val="left"/>
              <w:rPr>
                <w:sz w:val="18"/>
              </w:rPr>
            </w:pPr>
            <w:r>
              <w:rPr>
                <w:sz w:val="18"/>
              </w:rPr>
              <w:t>Consumables &amp; supplies</w:t>
            </w:r>
          </w:p>
        </w:tc>
        <w:tc>
          <w:tcPr>
            <w:tcW w:w="1629" w:type="dxa"/>
          </w:tcPr>
          <w:p>
            <w:pPr>
              <w:pStyle w:val="TableParagraph"/>
              <w:spacing w:before="18"/>
              <w:ind w:right="249"/>
              <w:rPr>
                <w:b/>
                <w:sz w:val="18"/>
              </w:rPr>
            </w:pPr>
            <w:r>
              <w:rPr>
                <w:b/>
                <w:w w:val="95"/>
                <w:sz w:val="18"/>
              </w:rPr>
              <w:t>28,032</w:t>
            </w:r>
          </w:p>
        </w:tc>
        <w:tc>
          <w:tcPr>
            <w:tcW w:w="1389" w:type="dxa"/>
          </w:tcPr>
          <w:p>
            <w:pPr>
              <w:pStyle w:val="TableParagraph"/>
              <w:spacing w:before="18"/>
              <w:ind w:right="339"/>
              <w:rPr>
                <w:sz w:val="18"/>
              </w:rPr>
            </w:pPr>
            <w:r>
              <w:rPr>
                <w:w w:val="95"/>
                <w:sz w:val="18"/>
              </w:rPr>
              <w:t>28,783</w:t>
            </w:r>
          </w:p>
        </w:tc>
        <w:tc>
          <w:tcPr>
            <w:tcW w:w="1517" w:type="dxa"/>
          </w:tcPr>
          <w:p>
            <w:pPr>
              <w:pStyle w:val="TableParagraph"/>
              <w:spacing w:before="18"/>
              <w:ind w:left="574"/>
              <w:jc w:val="left"/>
              <w:rPr>
                <w:b/>
                <w:sz w:val="18"/>
              </w:rPr>
            </w:pPr>
            <w:r>
              <w:rPr>
                <w:b/>
                <w:sz w:val="18"/>
              </w:rPr>
              <w:t>16,729</w:t>
            </w:r>
          </w:p>
        </w:tc>
        <w:tc>
          <w:tcPr>
            <w:tcW w:w="993" w:type="dxa"/>
          </w:tcPr>
          <w:p>
            <w:pPr>
              <w:pStyle w:val="TableParagraph"/>
              <w:spacing w:before="18"/>
              <w:ind w:right="85"/>
              <w:rPr>
                <w:sz w:val="18"/>
              </w:rPr>
            </w:pPr>
            <w:r>
              <w:rPr>
                <w:w w:val="95"/>
                <w:sz w:val="18"/>
              </w:rPr>
              <w:t>18,652</w:t>
            </w:r>
          </w:p>
        </w:tc>
      </w:tr>
      <w:tr>
        <w:trPr>
          <w:trHeight w:val="264" w:hRule="exact"/>
        </w:trPr>
        <w:tc>
          <w:tcPr>
            <w:tcW w:w="333" w:type="dxa"/>
          </w:tcPr>
          <w:p>
            <w:pPr/>
          </w:p>
        </w:tc>
        <w:tc>
          <w:tcPr>
            <w:tcW w:w="4088" w:type="dxa"/>
          </w:tcPr>
          <w:p>
            <w:pPr>
              <w:pStyle w:val="TableParagraph"/>
              <w:spacing w:before="19"/>
              <w:ind w:left="126" w:right="124"/>
              <w:jc w:val="left"/>
              <w:rPr>
                <w:sz w:val="18"/>
              </w:rPr>
            </w:pPr>
            <w:r>
              <w:rPr>
                <w:sz w:val="18"/>
              </w:rPr>
              <w:t>Scholarships, grants and prizes</w:t>
            </w:r>
          </w:p>
        </w:tc>
        <w:tc>
          <w:tcPr>
            <w:tcW w:w="1629" w:type="dxa"/>
          </w:tcPr>
          <w:p>
            <w:pPr>
              <w:pStyle w:val="TableParagraph"/>
              <w:spacing w:before="18"/>
              <w:ind w:right="249"/>
              <w:rPr>
                <w:b/>
                <w:sz w:val="18"/>
              </w:rPr>
            </w:pPr>
            <w:r>
              <w:rPr>
                <w:b/>
                <w:w w:val="95"/>
                <w:sz w:val="18"/>
              </w:rPr>
              <w:t>20,243</w:t>
            </w:r>
          </w:p>
        </w:tc>
        <w:tc>
          <w:tcPr>
            <w:tcW w:w="1389" w:type="dxa"/>
          </w:tcPr>
          <w:p>
            <w:pPr>
              <w:pStyle w:val="TableParagraph"/>
              <w:spacing w:before="18"/>
              <w:ind w:right="339"/>
              <w:rPr>
                <w:sz w:val="18"/>
              </w:rPr>
            </w:pPr>
            <w:r>
              <w:rPr>
                <w:w w:val="95"/>
                <w:sz w:val="18"/>
              </w:rPr>
              <w:t>19,365</w:t>
            </w:r>
          </w:p>
        </w:tc>
        <w:tc>
          <w:tcPr>
            <w:tcW w:w="1517" w:type="dxa"/>
          </w:tcPr>
          <w:p>
            <w:pPr>
              <w:pStyle w:val="TableParagraph"/>
              <w:spacing w:before="18"/>
              <w:ind w:left="574"/>
              <w:jc w:val="left"/>
              <w:rPr>
                <w:b/>
                <w:sz w:val="18"/>
              </w:rPr>
            </w:pPr>
            <w:r>
              <w:rPr>
                <w:b/>
                <w:sz w:val="18"/>
              </w:rPr>
              <w:t>20,176</w:t>
            </w:r>
          </w:p>
        </w:tc>
        <w:tc>
          <w:tcPr>
            <w:tcW w:w="993" w:type="dxa"/>
          </w:tcPr>
          <w:p>
            <w:pPr>
              <w:pStyle w:val="TableParagraph"/>
              <w:spacing w:before="18"/>
              <w:ind w:right="85"/>
              <w:rPr>
                <w:sz w:val="18"/>
              </w:rPr>
            </w:pPr>
            <w:r>
              <w:rPr>
                <w:w w:val="95"/>
                <w:sz w:val="18"/>
              </w:rPr>
              <w:t>18,652</w:t>
            </w:r>
          </w:p>
        </w:tc>
      </w:tr>
      <w:tr>
        <w:trPr>
          <w:trHeight w:val="263" w:hRule="exact"/>
        </w:trPr>
        <w:tc>
          <w:tcPr>
            <w:tcW w:w="333" w:type="dxa"/>
          </w:tcPr>
          <w:p>
            <w:pPr/>
          </w:p>
        </w:tc>
        <w:tc>
          <w:tcPr>
            <w:tcW w:w="4088" w:type="dxa"/>
          </w:tcPr>
          <w:p>
            <w:pPr>
              <w:pStyle w:val="TableParagraph"/>
              <w:spacing w:before="19"/>
              <w:ind w:left="126" w:right="124"/>
              <w:jc w:val="left"/>
              <w:rPr>
                <w:sz w:val="18"/>
              </w:rPr>
            </w:pPr>
            <w:r>
              <w:rPr>
                <w:sz w:val="18"/>
              </w:rPr>
              <w:t>Overheads</w:t>
            </w:r>
          </w:p>
        </w:tc>
        <w:tc>
          <w:tcPr>
            <w:tcW w:w="1629" w:type="dxa"/>
          </w:tcPr>
          <w:p>
            <w:pPr>
              <w:pStyle w:val="TableParagraph"/>
              <w:spacing w:before="18"/>
              <w:ind w:right="249"/>
              <w:rPr>
                <w:b/>
                <w:sz w:val="18"/>
              </w:rPr>
            </w:pPr>
            <w:r>
              <w:rPr>
                <w:b/>
                <w:w w:val="95"/>
                <w:sz w:val="18"/>
              </w:rPr>
              <w:t>12,006</w:t>
            </w:r>
          </w:p>
        </w:tc>
        <w:tc>
          <w:tcPr>
            <w:tcW w:w="1389" w:type="dxa"/>
          </w:tcPr>
          <w:p>
            <w:pPr>
              <w:pStyle w:val="TableParagraph"/>
              <w:spacing w:before="18"/>
              <w:ind w:right="339"/>
              <w:rPr>
                <w:sz w:val="18"/>
              </w:rPr>
            </w:pPr>
            <w:r>
              <w:rPr>
                <w:w w:val="95"/>
                <w:sz w:val="18"/>
              </w:rPr>
              <w:t>11,184</w:t>
            </w:r>
          </w:p>
        </w:tc>
        <w:tc>
          <w:tcPr>
            <w:tcW w:w="1517" w:type="dxa"/>
          </w:tcPr>
          <w:p>
            <w:pPr>
              <w:pStyle w:val="TableParagraph"/>
              <w:spacing w:before="18"/>
              <w:ind w:left="574"/>
              <w:jc w:val="left"/>
              <w:rPr>
                <w:b/>
                <w:sz w:val="18"/>
              </w:rPr>
            </w:pPr>
            <w:r>
              <w:rPr>
                <w:b/>
                <w:sz w:val="18"/>
              </w:rPr>
              <w:t>12,012</w:t>
            </w:r>
          </w:p>
        </w:tc>
        <w:tc>
          <w:tcPr>
            <w:tcW w:w="993" w:type="dxa"/>
          </w:tcPr>
          <w:p>
            <w:pPr>
              <w:pStyle w:val="TableParagraph"/>
              <w:spacing w:before="18"/>
              <w:ind w:right="85"/>
              <w:rPr>
                <w:sz w:val="18"/>
              </w:rPr>
            </w:pPr>
            <w:r>
              <w:rPr>
                <w:w w:val="95"/>
                <w:sz w:val="18"/>
              </w:rPr>
              <w:t>11,027</w:t>
            </w:r>
          </w:p>
        </w:tc>
      </w:tr>
      <w:tr>
        <w:trPr>
          <w:trHeight w:val="468" w:hRule="exact"/>
        </w:trPr>
        <w:tc>
          <w:tcPr>
            <w:tcW w:w="333" w:type="dxa"/>
          </w:tcPr>
          <w:p>
            <w:pPr/>
          </w:p>
        </w:tc>
        <w:tc>
          <w:tcPr>
            <w:tcW w:w="4088" w:type="dxa"/>
          </w:tcPr>
          <w:p>
            <w:pPr>
              <w:pStyle w:val="TableParagraph"/>
              <w:spacing w:before="18"/>
              <w:ind w:left="126" w:right="940"/>
              <w:jc w:val="left"/>
              <w:rPr>
                <w:sz w:val="18"/>
              </w:rPr>
            </w:pPr>
            <w:r>
              <w:rPr>
                <w:sz w:val="18"/>
              </w:rPr>
              <w:t>Advertising, marketing and promotional expenses</w:t>
            </w:r>
          </w:p>
        </w:tc>
        <w:tc>
          <w:tcPr>
            <w:tcW w:w="1629" w:type="dxa"/>
          </w:tcPr>
          <w:p>
            <w:pPr>
              <w:pStyle w:val="TableParagraph"/>
              <w:spacing w:before="4"/>
              <w:jc w:val="left"/>
              <w:rPr>
                <w:rFonts w:ascii="Times New Roman"/>
                <w:sz w:val="19"/>
              </w:rPr>
            </w:pPr>
          </w:p>
          <w:p>
            <w:pPr>
              <w:pStyle w:val="TableParagraph"/>
              <w:ind w:right="249"/>
              <w:rPr>
                <w:b/>
                <w:sz w:val="18"/>
              </w:rPr>
            </w:pPr>
            <w:r>
              <w:rPr>
                <w:b/>
                <w:w w:val="95"/>
                <w:sz w:val="18"/>
              </w:rPr>
              <w:t>13,708</w:t>
            </w:r>
          </w:p>
        </w:tc>
        <w:tc>
          <w:tcPr>
            <w:tcW w:w="1389" w:type="dxa"/>
          </w:tcPr>
          <w:p>
            <w:pPr>
              <w:pStyle w:val="TableParagraph"/>
              <w:spacing w:before="4"/>
              <w:jc w:val="left"/>
              <w:rPr>
                <w:rFonts w:ascii="Times New Roman"/>
                <w:sz w:val="19"/>
              </w:rPr>
            </w:pPr>
          </w:p>
          <w:p>
            <w:pPr>
              <w:pStyle w:val="TableParagraph"/>
              <w:ind w:right="339"/>
              <w:rPr>
                <w:sz w:val="18"/>
              </w:rPr>
            </w:pPr>
            <w:r>
              <w:rPr>
                <w:w w:val="95"/>
                <w:sz w:val="18"/>
              </w:rPr>
              <w:t>12,283</w:t>
            </w:r>
          </w:p>
        </w:tc>
        <w:tc>
          <w:tcPr>
            <w:tcW w:w="1517" w:type="dxa"/>
          </w:tcPr>
          <w:p>
            <w:pPr>
              <w:pStyle w:val="TableParagraph"/>
              <w:spacing w:before="4"/>
              <w:jc w:val="left"/>
              <w:rPr>
                <w:rFonts w:ascii="Times New Roman"/>
                <w:sz w:val="19"/>
              </w:rPr>
            </w:pPr>
          </w:p>
          <w:p>
            <w:pPr>
              <w:pStyle w:val="TableParagraph"/>
              <w:ind w:left="574"/>
              <w:jc w:val="left"/>
              <w:rPr>
                <w:b/>
                <w:sz w:val="18"/>
              </w:rPr>
            </w:pPr>
            <w:r>
              <w:rPr>
                <w:b/>
                <w:sz w:val="18"/>
              </w:rPr>
              <w:t>13,737</w:t>
            </w:r>
          </w:p>
        </w:tc>
        <w:tc>
          <w:tcPr>
            <w:tcW w:w="993" w:type="dxa"/>
          </w:tcPr>
          <w:p>
            <w:pPr>
              <w:pStyle w:val="TableParagraph"/>
              <w:spacing w:before="4"/>
              <w:jc w:val="left"/>
              <w:rPr>
                <w:rFonts w:ascii="Times New Roman"/>
                <w:sz w:val="19"/>
              </w:rPr>
            </w:pPr>
          </w:p>
          <w:p>
            <w:pPr>
              <w:pStyle w:val="TableParagraph"/>
              <w:ind w:right="85"/>
              <w:rPr>
                <w:sz w:val="18"/>
              </w:rPr>
            </w:pPr>
            <w:r>
              <w:rPr>
                <w:w w:val="95"/>
                <w:sz w:val="18"/>
              </w:rPr>
              <w:t>11,700</w:t>
            </w:r>
          </w:p>
        </w:tc>
      </w:tr>
      <w:tr>
        <w:trPr>
          <w:trHeight w:val="469" w:hRule="exact"/>
        </w:trPr>
        <w:tc>
          <w:tcPr>
            <w:tcW w:w="333" w:type="dxa"/>
          </w:tcPr>
          <w:p>
            <w:pPr/>
          </w:p>
        </w:tc>
        <w:tc>
          <w:tcPr>
            <w:tcW w:w="4088" w:type="dxa"/>
          </w:tcPr>
          <w:p>
            <w:pPr>
              <w:pStyle w:val="TableParagraph"/>
              <w:spacing w:before="18"/>
              <w:ind w:left="126" w:right="940"/>
              <w:jc w:val="left"/>
              <w:rPr>
                <w:sz w:val="18"/>
              </w:rPr>
            </w:pPr>
            <w:r>
              <w:rPr>
                <w:sz w:val="18"/>
              </w:rPr>
              <w:t>Minimum lease payments on operating lease</w:t>
            </w:r>
          </w:p>
        </w:tc>
        <w:tc>
          <w:tcPr>
            <w:tcW w:w="1629" w:type="dxa"/>
          </w:tcPr>
          <w:p>
            <w:pPr>
              <w:pStyle w:val="TableParagraph"/>
              <w:spacing w:before="4"/>
              <w:jc w:val="left"/>
              <w:rPr>
                <w:rFonts w:ascii="Times New Roman"/>
                <w:sz w:val="19"/>
              </w:rPr>
            </w:pPr>
          </w:p>
          <w:p>
            <w:pPr>
              <w:pStyle w:val="TableParagraph"/>
              <w:ind w:right="249"/>
              <w:rPr>
                <w:b/>
                <w:sz w:val="18"/>
              </w:rPr>
            </w:pPr>
            <w:r>
              <w:rPr>
                <w:b/>
                <w:w w:val="95"/>
                <w:sz w:val="18"/>
              </w:rPr>
              <w:t>12,309</w:t>
            </w:r>
          </w:p>
        </w:tc>
        <w:tc>
          <w:tcPr>
            <w:tcW w:w="1389" w:type="dxa"/>
          </w:tcPr>
          <w:p>
            <w:pPr>
              <w:pStyle w:val="TableParagraph"/>
              <w:spacing w:before="4"/>
              <w:jc w:val="left"/>
              <w:rPr>
                <w:rFonts w:ascii="Times New Roman"/>
                <w:sz w:val="19"/>
              </w:rPr>
            </w:pPr>
          </w:p>
          <w:p>
            <w:pPr>
              <w:pStyle w:val="TableParagraph"/>
              <w:ind w:right="339"/>
              <w:rPr>
                <w:sz w:val="18"/>
              </w:rPr>
            </w:pPr>
            <w:r>
              <w:rPr>
                <w:sz w:val="18"/>
              </w:rPr>
              <w:t>8,554</w:t>
            </w:r>
          </w:p>
        </w:tc>
        <w:tc>
          <w:tcPr>
            <w:tcW w:w="1517" w:type="dxa"/>
          </w:tcPr>
          <w:p>
            <w:pPr>
              <w:pStyle w:val="TableParagraph"/>
              <w:spacing w:before="4"/>
              <w:jc w:val="left"/>
              <w:rPr>
                <w:rFonts w:ascii="Times New Roman"/>
                <w:sz w:val="19"/>
              </w:rPr>
            </w:pPr>
          </w:p>
          <w:p>
            <w:pPr>
              <w:pStyle w:val="TableParagraph"/>
              <w:ind w:left="574"/>
              <w:jc w:val="left"/>
              <w:rPr>
                <w:b/>
                <w:sz w:val="18"/>
              </w:rPr>
            </w:pPr>
            <w:r>
              <w:rPr>
                <w:b/>
                <w:sz w:val="18"/>
              </w:rPr>
              <w:t>11,844</w:t>
            </w:r>
          </w:p>
        </w:tc>
        <w:tc>
          <w:tcPr>
            <w:tcW w:w="993" w:type="dxa"/>
          </w:tcPr>
          <w:p>
            <w:pPr>
              <w:pStyle w:val="TableParagraph"/>
              <w:spacing w:before="4"/>
              <w:jc w:val="left"/>
              <w:rPr>
                <w:rFonts w:ascii="Times New Roman"/>
                <w:sz w:val="19"/>
              </w:rPr>
            </w:pPr>
          </w:p>
          <w:p>
            <w:pPr>
              <w:pStyle w:val="TableParagraph"/>
              <w:ind w:right="85"/>
              <w:rPr>
                <w:sz w:val="18"/>
              </w:rPr>
            </w:pPr>
            <w:r>
              <w:rPr>
                <w:sz w:val="18"/>
              </w:rPr>
              <w:t>8,169</w:t>
            </w:r>
          </w:p>
        </w:tc>
      </w:tr>
      <w:tr>
        <w:trPr>
          <w:trHeight w:val="264" w:hRule="exact"/>
        </w:trPr>
        <w:tc>
          <w:tcPr>
            <w:tcW w:w="333" w:type="dxa"/>
          </w:tcPr>
          <w:p>
            <w:pPr/>
          </w:p>
        </w:tc>
        <w:tc>
          <w:tcPr>
            <w:tcW w:w="4088" w:type="dxa"/>
          </w:tcPr>
          <w:p>
            <w:pPr>
              <w:pStyle w:val="TableParagraph"/>
              <w:spacing w:before="19"/>
              <w:ind w:left="126" w:right="124"/>
              <w:jc w:val="left"/>
              <w:rPr>
                <w:sz w:val="18"/>
              </w:rPr>
            </w:pPr>
            <w:r>
              <w:rPr>
                <w:sz w:val="18"/>
              </w:rPr>
              <w:t>Non-capitalised equipment</w:t>
            </w:r>
          </w:p>
        </w:tc>
        <w:tc>
          <w:tcPr>
            <w:tcW w:w="1629" w:type="dxa"/>
          </w:tcPr>
          <w:p>
            <w:pPr>
              <w:pStyle w:val="TableParagraph"/>
              <w:spacing w:before="18"/>
              <w:ind w:right="249"/>
              <w:rPr>
                <w:b/>
                <w:sz w:val="18"/>
              </w:rPr>
            </w:pPr>
            <w:r>
              <w:rPr>
                <w:b/>
                <w:sz w:val="18"/>
              </w:rPr>
              <w:t>4,456</w:t>
            </w:r>
          </w:p>
        </w:tc>
        <w:tc>
          <w:tcPr>
            <w:tcW w:w="1389" w:type="dxa"/>
          </w:tcPr>
          <w:p>
            <w:pPr>
              <w:pStyle w:val="TableParagraph"/>
              <w:spacing w:before="18"/>
              <w:ind w:right="339"/>
              <w:rPr>
                <w:sz w:val="18"/>
              </w:rPr>
            </w:pPr>
            <w:r>
              <w:rPr>
                <w:sz w:val="18"/>
              </w:rPr>
              <w:t>4,798</w:t>
            </w:r>
          </w:p>
        </w:tc>
        <w:tc>
          <w:tcPr>
            <w:tcW w:w="1517" w:type="dxa"/>
          </w:tcPr>
          <w:p>
            <w:pPr>
              <w:pStyle w:val="TableParagraph"/>
              <w:spacing w:before="18"/>
              <w:ind w:left="674"/>
              <w:jc w:val="left"/>
              <w:rPr>
                <w:b/>
                <w:sz w:val="18"/>
              </w:rPr>
            </w:pPr>
            <w:r>
              <w:rPr>
                <w:b/>
                <w:sz w:val="18"/>
              </w:rPr>
              <w:t>4,165</w:t>
            </w:r>
          </w:p>
        </w:tc>
        <w:tc>
          <w:tcPr>
            <w:tcW w:w="993" w:type="dxa"/>
          </w:tcPr>
          <w:p>
            <w:pPr>
              <w:pStyle w:val="TableParagraph"/>
              <w:spacing w:before="18"/>
              <w:ind w:right="85"/>
              <w:rPr>
                <w:sz w:val="18"/>
              </w:rPr>
            </w:pPr>
            <w:r>
              <w:rPr>
                <w:sz w:val="18"/>
              </w:rPr>
              <w:t>4,173</w:t>
            </w:r>
          </w:p>
        </w:tc>
      </w:tr>
      <w:tr>
        <w:trPr>
          <w:trHeight w:val="264" w:hRule="exact"/>
        </w:trPr>
        <w:tc>
          <w:tcPr>
            <w:tcW w:w="333" w:type="dxa"/>
          </w:tcPr>
          <w:p>
            <w:pPr/>
          </w:p>
        </w:tc>
        <w:tc>
          <w:tcPr>
            <w:tcW w:w="4088" w:type="dxa"/>
          </w:tcPr>
          <w:p>
            <w:pPr>
              <w:pStyle w:val="TableParagraph"/>
              <w:spacing w:before="19"/>
              <w:ind w:left="126" w:right="124"/>
              <w:jc w:val="left"/>
              <w:rPr>
                <w:sz w:val="18"/>
              </w:rPr>
            </w:pPr>
            <w:r>
              <w:rPr>
                <w:sz w:val="18"/>
              </w:rPr>
              <w:t>Travel and entertainment</w:t>
            </w:r>
          </w:p>
        </w:tc>
        <w:tc>
          <w:tcPr>
            <w:tcW w:w="1629" w:type="dxa"/>
          </w:tcPr>
          <w:p>
            <w:pPr>
              <w:pStyle w:val="TableParagraph"/>
              <w:spacing w:before="18"/>
              <w:ind w:right="249"/>
              <w:rPr>
                <w:b/>
                <w:sz w:val="18"/>
              </w:rPr>
            </w:pPr>
            <w:r>
              <w:rPr>
                <w:b/>
                <w:sz w:val="18"/>
              </w:rPr>
              <w:t>7,516</w:t>
            </w:r>
          </w:p>
        </w:tc>
        <w:tc>
          <w:tcPr>
            <w:tcW w:w="1389" w:type="dxa"/>
          </w:tcPr>
          <w:p>
            <w:pPr>
              <w:pStyle w:val="TableParagraph"/>
              <w:spacing w:before="18"/>
              <w:ind w:right="339"/>
              <w:rPr>
                <w:sz w:val="18"/>
              </w:rPr>
            </w:pPr>
            <w:r>
              <w:rPr>
                <w:sz w:val="18"/>
              </w:rPr>
              <w:t>8,339</w:t>
            </w:r>
          </w:p>
        </w:tc>
        <w:tc>
          <w:tcPr>
            <w:tcW w:w="1517" w:type="dxa"/>
          </w:tcPr>
          <w:p>
            <w:pPr>
              <w:pStyle w:val="TableParagraph"/>
              <w:spacing w:before="18"/>
              <w:ind w:left="674"/>
              <w:jc w:val="left"/>
              <w:rPr>
                <w:b/>
                <w:sz w:val="18"/>
              </w:rPr>
            </w:pPr>
            <w:r>
              <w:rPr>
                <w:b/>
                <w:sz w:val="18"/>
              </w:rPr>
              <w:t>7,288</w:t>
            </w:r>
          </w:p>
        </w:tc>
        <w:tc>
          <w:tcPr>
            <w:tcW w:w="993" w:type="dxa"/>
          </w:tcPr>
          <w:p>
            <w:pPr>
              <w:pStyle w:val="TableParagraph"/>
              <w:spacing w:before="18"/>
              <w:ind w:right="85"/>
              <w:rPr>
                <w:sz w:val="18"/>
              </w:rPr>
            </w:pPr>
            <w:r>
              <w:rPr>
                <w:sz w:val="18"/>
              </w:rPr>
              <w:t>7,785</w:t>
            </w:r>
          </w:p>
        </w:tc>
      </w:tr>
      <w:tr>
        <w:trPr>
          <w:trHeight w:val="264" w:hRule="exact"/>
        </w:trPr>
        <w:tc>
          <w:tcPr>
            <w:tcW w:w="333" w:type="dxa"/>
          </w:tcPr>
          <w:p>
            <w:pPr/>
          </w:p>
        </w:tc>
        <w:tc>
          <w:tcPr>
            <w:tcW w:w="4088" w:type="dxa"/>
          </w:tcPr>
          <w:p>
            <w:pPr>
              <w:pStyle w:val="TableParagraph"/>
              <w:spacing w:before="19"/>
              <w:ind w:left="126" w:right="124"/>
              <w:jc w:val="left"/>
              <w:rPr>
                <w:sz w:val="18"/>
              </w:rPr>
            </w:pPr>
            <w:r>
              <w:rPr>
                <w:sz w:val="18"/>
              </w:rPr>
              <w:t>Cleaning and waste removal</w:t>
            </w:r>
          </w:p>
        </w:tc>
        <w:tc>
          <w:tcPr>
            <w:tcW w:w="1629" w:type="dxa"/>
          </w:tcPr>
          <w:p>
            <w:pPr>
              <w:pStyle w:val="TableParagraph"/>
              <w:spacing w:before="18"/>
              <w:ind w:right="249"/>
              <w:rPr>
                <w:b/>
                <w:sz w:val="18"/>
              </w:rPr>
            </w:pPr>
            <w:r>
              <w:rPr>
                <w:b/>
                <w:sz w:val="18"/>
              </w:rPr>
              <w:t>9,059</w:t>
            </w:r>
          </w:p>
        </w:tc>
        <w:tc>
          <w:tcPr>
            <w:tcW w:w="1389" w:type="dxa"/>
          </w:tcPr>
          <w:p>
            <w:pPr>
              <w:pStyle w:val="TableParagraph"/>
              <w:spacing w:before="18"/>
              <w:ind w:right="339"/>
              <w:rPr>
                <w:sz w:val="18"/>
              </w:rPr>
            </w:pPr>
            <w:r>
              <w:rPr>
                <w:sz w:val="18"/>
              </w:rPr>
              <w:t>7,981</w:t>
            </w:r>
          </w:p>
        </w:tc>
        <w:tc>
          <w:tcPr>
            <w:tcW w:w="1517" w:type="dxa"/>
          </w:tcPr>
          <w:p>
            <w:pPr>
              <w:pStyle w:val="TableParagraph"/>
              <w:spacing w:before="18"/>
              <w:ind w:left="674"/>
              <w:jc w:val="left"/>
              <w:rPr>
                <w:b/>
                <w:sz w:val="18"/>
              </w:rPr>
            </w:pPr>
            <w:r>
              <w:rPr>
                <w:b/>
                <w:sz w:val="18"/>
              </w:rPr>
              <w:t>8,780</w:t>
            </w:r>
          </w:p>
        </w:tc>
        <w:tc>
          <w:tcPr>
            <w:tcW w:w="993" w:type="dxa"/>
          </w:tcPr>
          <w:p>
            <w:pPr>
              <w:pStyle w:val="TableParagraph"/>
              <w:spacing w:before="18"/>
              <w:ind w:right="85"/>
              <w:rPr>
                <w:sz w:val="18"/>
              </w:rPr>
            </w:pPr>
            <w:r>
              <w:rPr>
                <w:sz w:val="18"/>
              </w:rPr>
              <w:t>7,527</w:t>
            </w:r>
          </w:p>
        </w:tc>
      </w:tr>
      <w:tr>
        <w:trPr>
          <w:trHeight w:val="264" w:hRule="exact"/>
        </w:trPr>
        <w:tc>
          <w:tcPr>
            <w:tcW w:w="333" w:type="dxa"/>
          </w:tcPr>
          <w:p>
            <w:pPr/>
          </w:p>
        </w:tc>
        <w:tc>
          <w:tcPr>
            <w:tcW w:w="4088" w:type="dxa"/>
          </w:tcPr>
          <w:p>
            <w:pPr>
              <w:pStyle w:val="TableParagraph"/>
              <w:spacing w:before="19"/>
              <w:ind w:left="126" w:right="124"/>
              <w:jc w:val="left"/>
              <w:rPr>
                <w:sz w:val="18"/>
              </w:rPr>
            </w:pPr>
            <w:r>
              <w:rPr>
                <w:sz w:val="18"/>
              </w:rPr>
              <w:t>Student education support</w:t>
            </w:r>
          </w:p>
        </w:tc>
        <w:tc>
          <w:tcPr>
            <w:tcW w:w="1629" w:type="dxa"/>
          </w:tcPr>
          <w:p>
            <w:pPr>
              <w:pStyle w:val="TableParagraph"/>
              <w:spacing w:before="18"/>
              <w:ind w:right="249"/>
              <w:rPr>
                <w:b/>
                <w:sz w:val="18"/>
              </w:rPr>
            </w:pPr>
            <w:r>
              <w:rPr>
                <w:b/>
                <w:sz w:val="18"/>
              </w:rPr>
              <w:t>445</w:t>
            </w:r>
          </w:p>
        </w:tc>
        <w:tc>
          <w:tcPr>
            <w:tcW w:w="1389" w:type="dxa"/>
          </w:tcPr>
          <w:p>
            <w:pPr>
              <w:pStyle w:val="TableParagraph"/>
              <w:spacing w:before="18"/>
              <w:ind w:right="339"/>
              <w:rPr>
                <w:sz w:val="18"/>
              </w:rPr>
            </w:pPr>
            <w:r>
              <w:rPr>
                <w:sz w:val="18"/>
              </w:rPr>
              <w:t>7,503</w:t>
            </w:r>
          </w:p>
        </w:tc>
        <w:tc>
          <w:tcPr>
            <w:tcW w:w="1517" w:type="dxa"/>
          </w:tcPr>
          <w:p>
            <w:pPr>
              <w:pStyle w:val="TableParagraph"/>
              <w:spacing w:before="18"/>
              <w:ind w:left="824"/>
              <w:jc w:val="left"/>
              <w:rPr>
                <w:b/>
                <w:sz w:val="18"/>
              </w:rPr>
            </w:pPr>
            <w:r>
              <w:rPr>
                <w:b/>
                <w:sz w:val="18"/>
              </w:rPr>
              <w:t>445</w:t>
            </w:r>
          </w:p>
        </w:tc>
        <w:tc>
          <w:tcPr>
            <w:tcW w:w="993" w:type="dxa"/>
          </w:tcPr>
          <w:p>
            <w:pPr>
              <w:pStyle w:val="TableParagraph"/>
              <w:spacing w:before="18"/>
              <w:ind w:right="85"/>
              <w:rPr>
                <w:sz w:val="18"/>
              </w:rPr>
            </w:pPr>
            <w:r>
              <w:rPr>
                <w:sz w:val="18"/>
              </w:rPr>
              <w:t>7,501</w:t>
            </w:r>
          </w:p>
        </w:tc>
      </w:tr>
      <w:tr>
        <w:trPr>
          <w:trHeight w:val="264" w:hRule="exact"/>
        </w:trPr>
        <w:tc>
          <w:tcPr>
            <w:tcW w:w="333" w:type="dxa"/>
          </w:tcPr>
          <w:p>
            <w:pPr/>
          </w:p>
        </w:tc>
        <w:tc>
          <w:tcPr>
            <w:tcW w:w="4088" w:type="dxa"/>
          </w:tcPr>
          <w:p>
            <w:pPr>
              <w:pStyle w:val="TableParagraph"/>
              <w:spacing w:before="19"/>
              <w:ind w:left="126" w:right="124"/>
              <w:jc w:val="left"/>
              <w:rPr>
                <w:sz w:val="18"/>
              </w:rPr>
            </w:pPr>
            <w:r>
              <w:rPr>
                <w:sz w:val="18"/>
              </w:rPr>
              <w:t>Communication costs</w:t>
            </w:r>
          </w:p>
        </w:tc>
        <w:tc>
          <w:tcPr>
            <w:tcW w:w="1629" w:type="dxa"/>
          </w:tcPr>
          <w:p>
            <w:pPr>
              <w:pStyle w:val="TableParagraph"/>
              <w:spacing w:before="18"/>
              <w:ind w:right="249"/>
              <w:rPr>
                <w:b/>
                <w:sz w:val="18"/>
              </w:rPr>
            </w:pPr>
            <w:r>
              <w:rPr>
                <w:b/>
                <w:sz w:val="18"/>
              </w:rPr>
              <w:t>3,370</w:t>
            </w:r>
          </w:p>
        </w:tc>
        <w:tc>
          <w:tcPr>
            <w:tcW w:w="1389" w:type="dxa"/>
          </w:tcPr>
          <w:p>
            <w:pPr>
              <w:pStyle w:val="TableParagraph"/>
              <w:spacing w:before="18"/>
              <w:ind w:right="339"/>
              <w:rPr>
                <w:sz w:val="18"/>
              </w:rPr>
            </w:pPr>
            <w:r>
              <w:rPr>
                <w:sz w:val="18"/>
              </w:rPr>
              <w:t>3,695</w:t>
            </w:r>
          </w:p>
        </w:tc>
        <w:tc>
          <w:tcPr>
            <w:tcW w:w="1517" w:type="dxa"/>
          </w:tcPr>
          <w:p>
            <w:pPr>
              <w:pStyle w:val="TableParagraph"/>
              <w:spacing w:before="18"/>
              <w:ind w:left="674"/>
              <w:jc w:val="left"/>
              <w:rPr>
                <w:b/>
                <w:sz w:val="18"/>
              </w:rPr>
            </w:pPr>
            <w:r>
              <w:rPr>
                <w:b/>
                <w:sz w:val="18"/>
              </w:rPr>
              <w:t>3,169</w:t>
            </w:r>
          </w:p>
        </w:tc>
        <w:tc>
          <w:tcPr>
            <w:tcW w:w="993" w:type="dxa"/>
          </w:tcPr>
          <w:p>
            <w:pPr>
              <w:pStyle w:val="TableParagraph"/>
              <w:spacing w:before="18"/>
              <w:ind w:right="85"/>
              <w:rPr>
                <w:sz w:val="18"/>
              </w:rPr>
            </w:pPr>
            <w:r>
              <w:rPr>
                <w:sz w:val="18"/>
              </w:rPr>
              <w:t>3,551</w:t>
            </w:r>
          </w:p>
        </w:tc>
      </w:tr>
      <w:tr>
        <w:trPr>
          <w:trHeight w:val="264" w:hRule="exact"/>
        </w:trPr>
        <w:tc>
          <w:tcPr>
            <w:tcW w:w="333" w:type="dxa"/>
          </w:tcPr>
          <w:p>
            <w:pPr/>
          </w:p>
        </w:tc>
        <w:tc>
          <w:tcPr>
            <w:tcW w:w="4088" w:type="dxa"/>
          </w:tcPr>
          <w:p>
            <w:pPr>
              <w:pStyle w:val="TableParagraph"/>
              <w:spacing w:before="19"/>
              <w:ind w:left="126" w:right="124"/>
              <w:jc w:val="left"/>
              <w:rPr>
                <w:sz w:val="18"/>
              </w:rPr>
            </w:pPr>
            <w:r>
              <w:rPr>
                <w:sz w:val="18"/>
              </w:rPr>
              <w:t>Staff development</w:t>
            </w:r>
          </w:p>
        </w:tc>
        <w:tc>
          <w:tcPr>
            <w:tcW w:w="1629" w:type="dxa"/>
          </w:tcPr>
          <w:p>
            <w:pPr>
              <w:pStyle w:val="TableParagraph"/>
              <w:spacing w:before="18"/>
              <w:ind w:right="249"/>
              <w:rPr>
                <w:b/>
                <w:sz w:val="18"/>
              </w:rPr>
            </w:pPr>
            <w:r>
              <w:rPr>
                <w:b/>
                <w:sz w:val="18"/>
              </w:rPr>
              <w:t>2,703</w:t>
            </w:r>
          </w:p>
        </w:tc>
        <w:tc>
          <w:tcPr>
            <w:tcW w:w="1389" w:type="dxa"/>
          </w:tcPr>
          <w:p>
            <w:pPr>
              <w:pStyle w:val="TableParagraph"/>
              <w:spacing w:before="18"/>
              <w:ind w:right="339"/>
              <w:rPr>
                <w:sz w:val="18"/>
              </w:rPr>
            </w:pPr>
            <w:r>
              <w:rPr>
                <w:sz w:val="18"/>
              </w:rPr>
              <w:t>2,668</w:t>
            </w:r>
          </w:p>
        </w:tc>
        <w:tc>
          <w:tcPr>
            <w:tcW w:w="1517" w:type="dxa"/>
          </w:tcPr>
          <w:p>
            <w:pPr>
              <w:pStyle w:val="TableParagraph"/>
              <w:spacing w:before="18"/>
              <w:ind w:left="674"/>
              <w:jc w:val="left"/>
              <w:rPr>
                <w:b/>
                <w:sz w:val="18"/>
              </w:rPr>
            </w:pPr>
            <w:r>
              <w:rPr>
                <w:b/>
                <w:sz w:val="18"/>
              </w:rPr>
              <w:t>2,509</w:t>
            </w:r>
          </w:p>
        </w:tc>
        <w:tc>
          <w:tcPr>
            <w:tcW w:w="993" w:type="dxa"/>
          </w:tcPr>
          <w:p>
            <w:pPr>
              <w:pStyle w:val="TableParagraph"/>
              <w:spacing w:before="18"/>
              <w:ind w:right="85"/>
              <w:rPr>
                <w:sz w:val="18"/>
              </w:rPr>
            </w:pPr>
            <w:r>
              <w:rPr>
                <w:sz w:val="18"/>
              </w:rPr>
              <w:t>2,466</w:t>
            </w:r>
          </w:p>
        </w:tc>
      </w:tr>
      <w:tr>
        <w:trPr>
          <w:trHeight w:val="264" w:hRule="exact"/>
        </w:trPr>
        <w:tc>
          <w:tcPr>
            <w:tcW w:w="333" w:type="dxa"/>
          </w:tcPr>
          <w:p>
            <w:pPr/>
          </w:p>
        </w:tc>
        <w:tc>
          <w:tcPr>
            <w:tcW w:w="4088" w:type="dxa"/>
          </w:tcPr>
          <w:p>
            <w:pPr>
              <w:pStyle w:val="TableParagraph"/>
              <w:spacing w:before="19"/>
              <w:ind w:left="126" w:right="124"/>
              <w:jc w:val="left"/>
              <w:rPr>
                <w:sz w:val="18"/>
              </w:rPr>
            </w:pPr>
            <w:r>
              <w:rPr>
                <w:sz w:val="18"/>
              </w:rPr>
              <w:t>Security costs</w:t>
            </w:r>
          </w:p>
        </w:tc>
        <w:tc>
          <w:tcPr>
            <w:tcW w:w="1629" w:type="dxa"/>
          </w:tcPr>
          <w:p>
            <w:pPr>
              <w:pStyle w:val="TableParagraph"/>
              <w:spacing w:before="18"/>
              <w:ind w:right="249"/>
              <w:rPr>
                <w:b/>
                <w:sz w:val="18"/>
              </w:rPr>
            </w:pPr>
            <w:r>
              <w:rPr>
                <w:b/>
                <w:sz w:val="18"/>
              </w:rPr>
              <w:t>3,570</w:t>
            </w:r>
          </w:p>
        </w:tc>
        <w:tc>
          <w:tcPr>
            <w:tcW w:w="1389" w:type="dxa"/>
          </w:tcPr>
          <w:p>
            <w:pPr>
              <w:pStyle w:val="TableParagraph"/>
              <w:spacing w:before="18"/>
              <w:ind w:right="339"/>
              <w:rPr>
                <w:sz w:val="18"/>
              </w:rPr>
            </w:pPr>
            <w:r>
              <w:rPr>
                <w:sz w:val="18"/>
              </w:rPr>
              <w:t>3,559</w:t>
            </w:r>
          </w:p>
        </w:tc>
        <w:tc>
          <w:tcPr>
            <w:tcW w:w="1517" w:type="dxa"/>
          </w:tcPr>
          <w:p>
            <w:pPr>
              <w:pStyle w:val="TableParagraph"/>
              <w:spacing w:before="18"/>
              <w:ind w:left="674"/>
              <w:jc w:val="left"/>
              <w:rPr>
                <w:b/>
                <w:sz w:val="18"/>
              </w:rPr>
            </w:pPr>
            <w:r>
              <w:rPr>
                <w:b/>
                <w:sz w:val="18"/>
              </w:rPr>
              <w:t>3,524</w:t>
            </w:r>
          </w:p>
        </w:tc>
        <w:tc>
          <w:tcPr>
            <w:tcW w:w="993" w:type="dxa"/>
          </w:tcPr>
          <w:p>
            <w:pPr>
              <w:pStyle w:val="TableParagraph"/>
              <w:spacing w:before="18"/>
              <w:ind w:right="85"/>
              <w:rPr>
                <w:sz w:val="18"/>
              </w:rPr>
            </w:pPr>
            <w:r>
              <w:rPr>
                <w:sz w:val="18"/>
              </w:rPr>
              <w:t>3,488</w:t>
            </w:r>
          </w:p>
        </w:tc>
      </w:tr>
      <w:tr>
        <w:trPr>
          <w:trHeight w:val="264" w:hRule="exact"/>
        </w:trPr>
        <w:tc>
          <w:tcPr>
            <w:tcW w:w="333" w:type="dxa"/>
          </w:tcPr>
          <w:p>
            <w:pPr/>
          </w:p>
        </w:tc>
        <w:tc>
          <w:tcPr>
            <w:tcW w:w="4088" w:type="dxa"/>
          </w:tcPr>
          <w:p>
            <w:pPr>
              <w:pStyle w:val="TableParagraph"/>
              <w:spacing w:before="19"/>
              <w:ind w:left="126" w:right="124"/>
              <w:jc w:val="left"/>
              <w:rPr>
                <w:sz w:val="18"/>
              </w:rPr>
            </w:pPr>
            <w:r>
              <w:rPr>
                <w:sz w:val="18"/>
              </w:rPr>
              <w:t>Student service fees</w:t>
            </w:r>
          </w:p>
        </w:tc>
        <w:tc>
          <w:tcPr>
            <w:tcW w:w="1629" w:type="dxa"/>
          </w:tcPr>
          <w:p>
            <w:pPr>
              <w:pStyle w:val="TableParagraph"/>
              <w:spacing w:before="18"/>
              <w:ind w:right="249"/>
              <w:rPr>
                <w:b/>
                <w:sz w:val="18"/>
              </w:rPr>
            </w:pPr>
            <w:r>
              <w:rPr>
                <w:b/>
                <w:sz w:val="18"/>
              </w:rPr>
              <w:t>297</w:t>
            </w:r>
          </w:p>
        </w:tc>
        <w:tc>
          <w:tcPr>
            <w:tcW w:w="1389" w:type="dxa"/>
          </w:tcPr>
          <w:p>
            <w:pPr>
              <w:pStyle w:val="TableParagraph"/>
              <w:spacing w:before="18"/>
              <w:ind w:right="340"/>
              <w:rPr>
                <w:sz w:val="18"/>
              </w:rPr>
            </w:pPr>
            <w:r>
              <w:rPr>
                <w:sz w:val="18"/>
              </w:rPr>
              <w:t>872</w:t>
            </w:r>
          </w:p>
        </w:tc>
        <w:tc>
          <w:tcPr>
            <w:tcW w:w="1517" w:type="dxa"/>
          </w:tcPr>
          <w:p>
            <w:pPr>
              <w:pStyle w:val="TableParagraph"/>
              <w:spacing w:before="18"/>
              <w:ind w:right="391"/>
              <w:rPr>
                <w:b/>
                <w:sz w:val="18"/>
              </w:rPr>
            </w:pPr>
            <w:r>
              <w:rPr>
                <w:b/>
                <w:w w:val="99"/>
                <w:sz w:val="18"/>
              </w:rPr>
              <w:t>9</w:t>
            </w:r>
          </w:p>
        </w:tc>
        <w:tc>
          <w:tcPr>
            <w:tcW w:w="993" w:type="dxa"/>
          </w:tcPr>
          <w:p>
            <w:pPr>
              <w:pStyle w:val="TableParagraph"/>
              <w:spacing w:before="18"/>
              <w:ind w:right="85"/>
              <w:rPr>
                <w:sz w:val="18"/>
              </w:rPr>
            </w:pPr>
            <w:r>
              <w:rPr>
                <w:sz w:val="18"/>
              </w:rPr>
              <w:t>11</w:t>
            </w:r>
          </w:p>
        </w:tc>
      </w:tr>
      <w:tr>
        <w:trPr>
          <w:trHeight w:val="262" w:hRule="exact"/>
        </w:trPr>
        <w:tc>
          <w:tcPr>
            <w:tcW w:w="333" w:type="dxa"/>
          </w:tcPr>
          <w:p>
            <w:pPr/>
          </w:p>
        </w:tc>
        <w:tc>
          <w:tcPr>
            <w:tcW w:w="4088" w:type="dxa"/>
          </w:tcPr>
          <w:p>
            <w:pPr>
              <w:pStyle w:val="TableParagraph"/>
              <w:spacing w:before="19"/>
              <w:ind w:left="126" w:right="124"/>
              <w:jc w:val="left"/>
              <w:rPr>
                <w:sz w:val="18"/>
              </w:rPr>
            </w:pPr>
            <w:r>
              <w:rPr>
                <w:sz w:val="18"/>
              </w:rPr>
              <w:t>Other expenses</w:t>
            </w:r>
          </w:p>
        </w:tc>
        <w:tc>
          <w:tcPr>
            <w:tcW w:w="1629" w:type="dxa"/>
            <w:tcBorders>
              <w:bottom w:val="single" w:sz="0" w:space="0" w:color="000000"/>
            </w:tcBorders>
          </w:tcPr>
          <w:p>
            <w:pPr>
              <w:pStyle w:val="TableParagraph"/>
              <w:spacing w:before="18"/>
              <w:ind w:right="249"/>
              <w:rPr>
                <w:b/>
                <w:sz w:val="18"/>
              </w:rPr>
            </w:pPr>
            <w:r>
              <w:rPr>
                <w:b/>
                <w:sz w:val="18"/>
              </w:rPr>
              <w:t>8,803</w:t>
            </w:r>
          </w:p>
        </w:tc>
        <w:tc>
          <w:tcPr>
            <w:tcW w:w="1389" w:type="dxa"/>
            <w:tcBorders>
              <w:bottom w:val="single" w:sz="0" w:space="0" w:color="000000"/>
            </w:tcBorders>
          </w:tcPr>
          <w:p>
            <w:pPr>
              <w:pStyle w:val="TableParagraph"/>
              <w:spacing w:before="18"/>
              <w:ind w:right="339"/>
              <w:rPr>
                <w:sz w:val="18"/>
              </w:rPr>
            </w:pPr>
            <w:r>
              <w:rPr>
                <w:sz w:val="18"/>
              </w:rPr>
              <w:t>9,460</w:t>
            </w:r>
          </w:p>
        </w:tc>
        <w:tc>
          <w:tcPr>
            <w:tcW w:w="1517" w:type="dxa"/>
            <w:tcBorders>
              <w:bottom w:val="single" w:sz="0" w:space="0" w:color="000000"/>
            </w:tcBorders>
          </w:tcPr>
          <w:p>
            <w:pPr>
              <w:pStyle w:val="TableParagraph"/>
              <w:spacing w:before="18"/>
              <w:ind w:left="674"/>
              <w:jc w:val="left"/>
              <w:rPr>
                <w:b/>
                <w:sz w:val="18"/>
              </w:rPr>
            </w:pPr>
            <w:r>
              <w:rPr>
                <w:b/>
                <w:sz w:val="18"/>
              </w:rPr>
              <w:t>7,753</w:t>
            </w:r>
          </w:p>
        </w:tc>
        <w:tc>
          <w:tcPr>
            <w:tcW w:w="993" w:type="dxa"/>
            <w:tcBorders>
              <w:bottom w:val="single" w:sz="0" w:space="0" w:color="000000"/>
            </w:tcBorders>
          </w:tcPr>
          <w:p>
            <w:pPr>
              <w:pStyle w:val="TableParagraph"/>
              <w:spacing w:before="18"/>
              <w:ind w:right="85"/>
              <w:rPr>
                <w:sz w:val="18"/>
              </w:rPr>
            </w:pPr>
            <w:r>
              <w:rPr>
                <w:sz w:val="18"/>
              </w:rPr>
              <w:t>8,536</w:t>
            </w:r>
          </w:p>
        </w:tc>
      </w:tr>
      <w:tr>
        <w:trPr>
          <w:trHeight w:val="353" w:hRule="exact"/>
        </w:trPr>
        <w:tc>
          <w:tcPr>
            <w:tcW w:w="333" w:type="dxa"/>
          </w:tcPr>
          <w:p>
            <w:pPr/>
          </w:p>
        </w:tc>
        <w:tc>
          <w:tcPr>
            <w:tcW w:w="4088" w:type="dxa"/>
          </w:tcPr>
          <w:p>
            <w:pPr>
              <w:pStyle w:val="TableParagraph"/>
              <w:spacing w:before="123"/>
              <w:ind w:left="126" w:right="124"/>
              <w:jc w:val="left"/>
              <w:rPr>
                <w:b/>
                <w:sz w:val="18"/>
              </w:rPr>
            </w:pPr>
            <w:r>
              <w:rPr>
                <w:b/>
                <w:sz w:val="18"/>
              </w:rPr>
              <w:t>Total other expenses</w:t>
            </w:r>
          </w:p>
        </w:tc>
        <w:tc>
          <w:tcPr>
            <w:tcW w:w="1629" w:type="dxa"/>
            <w:tcBorders>
              <w:top w:val="single" w:sz="0" w:space="0" w:color="000000"/>
              <w:bottom w:val="single" w:sz="0" w:space="0" w:color="000000"/>
            </w:tcBorders>
          </w:tcPr>
          <w:p>
            <w:pPr>
              <w:pStyle w:val="TableParagraph"/>
              <w:spacing w:before="94"/>
              <w:ind w:right="249"/>
              <w:rPr>
                <w:b/>
                <w:sz w:val="18"/>
              </w:rPr>
            </w:pPr>
            <w:r>
              <w:rPr>
                <w:b/>
                <w:w w:val="95"/>
                <w:sz w:val="18"/>
              </w:rPr>
              <w:t>200,638</w:t>
            </w:r>
          </w:p>
        </w:tc>
        <w:tc>
          <w:tcPr>
            <w:tcW w:w="1389" w:type="dxa"/>
            <w:tcBorders>
              <w:top w:val="single" w:sz="0" w:space="0" w:color="000000"/>
              <w:bottom w:val="single" w:sz="0" w:space="0" w:color="000000"/>
            </w:tcBorders>
          </w:tcPr>
          <w:p>
            <w:pPr>
              <w:pStyle w:val="TableParagraph"/>
              <w:spacing w:before="94"/>
              <w:ind w:right="339"/>
              <w:rPr>
                <w:sz w:val="18"/>
              </w:rPr>
            </w:pPr>
            <w:r>
              <w:rPr>
                <w:w w:val="95"/>
                <w:sz w:val="18"/>
              </w:rPr>
              <w:t>200,302</w:t>
            </w:r>
          </w:p>
        </w:tc>
        <w:tc>
          <w:tcPr>
            <w:tcW w:w="1517" w:type="dxa"/>
            <w:tcBorders>
              <w:top w:val="single" w:sz="0" w:space="0" w:color="000000"/>
              <w:bottom w:val="single" w:sz="0" w:space="0" w:color="000000"/>
            </w:tcBorders>
          </w:tcPr>
          <w:p>
            <w:pPr>
              <w:pStyle w:val="TableParagraph"/>
              <w:spacing w:before="94"/>
              <w:ind w:left="475"/>
              <w:jc w:val="left"/>
              <w:rPr>
                <w:b/>
                <w:sz w:val="18"/>
              </w:rPr>
            </w:pPr>
            <w:r>
              <w:rPr>
                <w:b/>
                <w:sz w:val="18"/>
              </w:rPr>
              <w:t>234,936</w:t>
            </w:r>
          </w:p>
        </w:tc>
        <w:tc>
          <w:tcPr>
            <w:tcW w:w="993" w:type="dxa"/>
            <w:tcBorders>
              <w:top w:val="single" w:sz="0" w:space="0" w:color="000000"/>
              <w:bottom w:val="single" w:sz="0" w:space="0" w:color="000000"/>
            </w:tcBorders>
          </w:tcPr>
          <w:p>
            <w:pPr>
              <w:pStyle w:val="TableParagraph"/>
              <w:spacing w:before="94"/>
              <w:ind w:right="85"/>
              <w:rPr>
                <w:sz w:val="18"/>
              </w:rPr>
            </w:pPr>
            <w:r>
              <w:rPr>
                <w:w w:val="95"/>
                <w:sz w:val="18"/>
              </w:rPr>
              <w:t>228,134</w:t>
            </w:r>
          </w:p>
        </w:tc>
      </w:tr>
    </w:tbl>
    <w:p>
      <w:pPr>
        <w:pStyle w:val="BodyText"/>
        <w:spacing w:before="6"/>
        <w:rPr>
          <w:rFonts w:ascii="Times New Roman"/>
          <w:sz w:val="20"/>
        </w:rPr>
      </w:pPr>
    </w:p>
    <w:p>
      <w:pPr>
        <w:pStyle w:val="BodyText"/>
        <w:spacing w:before="77"/>
        <w:ind w:left="1825"/>
      </w:pPr>
      <w:r>
        <w:rPr/>
        <w:drawing>
          <wp:anchor distT="0" distB="0" distL="0" distR="0" allowOverlap="1" layoutInCell="1" locked="0" behindDoc="0" simplePos="0" relativeHeight="3472">
            <wp:simplePos x="0" y="0"/>
            <wp:positionH relativeFrom="page">
              <wp:posOffset>-1587</wp:posOffset>
            </wp:positionH>
            <wp:positionV relativeFrom="paragraph">
              <wp:posOffset>-379426</wp:posOffset>
            </wp:positionV>
            <wp:extent cx="135159" cy="154019"/>
            <wp:effectExtent l="0" t="0" r="0" b="0"/>
            <wp:wrapNone/>
            <wp:docPr id="187" name="image13.png" descr=""/>
            <wp:cNvGraphicFramePr>
              <a:graphicFrameLocks noChangeAspect="1"/>
            </wp:cNvGraphicFramePr>
            <a:graphic>
              <a:graphicData uri="http://schemas.openxmlformats.org/drawingml/2006/picture">
                <pic:pic>
                  <pic:nvPicPr>
                    <pic:cNvPr id="188" name="image13.png"/>
                    <pic:cNvPicPr/>
                  </pic:nvPicPr>
                  <pic:blipFill>
                    <a:blip r:embed="rId18" cstate="print"/>
                    <a:stretch>
                      <a:fillRect/>
                    </a:stretch>
                  </pic:blipFill>
                  <pic:spPr>
                    <a:xfrm>
                      <a:off x="0" y="0"/>
                      <a:ext cx="135159" cy="154019"/>
                    </a:xfrm>
                    <a:prstGeom prst="rect">
                      <a:avLst/>
                    </a:prstGeom>
                  </pic:spPr>
                </pic:pic>
              </a:graphicData>
            </a:graphic>
          </wp:anchor>
        </w:drawing>
      </w:r>
      <w:r>
        <w:rPr/>
        <w:drawing>
          <wp:anchor distT="0" distB="0" distL="0" distR="0" allowOverlap="1" layoutInCell="1" locked="0" behindDoc="0" simplePos="0" relativeHeight="3496">
            <wp:simplePos x="0" y="0"/>
            <wp:positionH relativeFrom="page">
              <wp:posOffset>7958429</wp:posOffset>
            </wp:positionH>
            <wp:positionV relativeFrom="paragraph">
              <wp:posOffset>-379426</wp:posOffset>
            </wp:positionV>
            <wp:extent cx="135953" cy="155575"/>
            <wp:effectExtent l="0" t="0" r="0" b="0"/>
            <wp:wrapNone/>
            <wp:docPr id="189" name="image15.png" descr=""/>
            <wp:cNvGraphicFramePr>
              <a:graphicFrameLocks noChangeAspect="1"/>
            </wp:cNvGraphicFramePr>
            <a:graphic>
              <a:graphicData uri="http://schemas.openxmlformats.org/drawingml/2006/picture">
                <pic:pic>
                  <pic:nvPicPr>
                    <pic:cNvPr id="190" name="image15.png"/>
                    <pic:cNvPicPr/>
                  </pic:nvPicPr>
                  <pic:blipFill>
                    <a:blip r:embed="rId20" cstate="print"/>
                    <a:stretch>
                      <a:fillRect/>
                    </a:stretch>
                  </pic:blipFill>
                  <pic:spPr>
                    <a:xfrm>
                      <a:off x="0" y="0"/>
                      <a:ext cx="135953" cy="155575"/>
                    </a:xfrm>
                    <a:prstGeom prst="rect">
                      <a:avLst/>
                    </a:prstGeom>
                  </pic:spPr>
                </pic:pic>
              </a:graphicData>
            </a:graphic>
          </wp:anchor>
        </w:drawing>
      </w:r>
      <w:r>
        <w:rPr/>
        <w:t>#1 Audit remuneration included in amount and disclosed under note 31.</w:t>
      </w:r>
    </w:p>
    <w:p>
      <w:pPr>
        <w:spacing w:after="0"/>
        <w:sectPr>
          <w:pgSz w:w="12750" w:h="17680"/>
          <w:pgMar w:header="0" w:footer="927" w:top="2640" w:bottom="1120" w:left="0" w:right="0"/>
        </w:sectPr>
      </w:pPr>
    </w:p>
    <w:p>
      <w:pPr>
        <w:pStyle w:val="BodyText"/>
        <w:rPr>
          <w:sz w:val="20"/>
        </w:rPr>
      </w:pPr>
    </w:p>
    <w:p>
      <w:pPr>
        <w:pStyle w:val="BodyText"/>
        <w:rPr>
          <w:sz w:val="20"/>
        </w:rPr>
      </w:pPr>
    </w:p>
    <w:p>
      <w:pPr>
        <w:pStyle w:val="BodyText"/>
        <w:spacing w:before="4"/>
      </w:pPr>
    </w:p>
    <w:p>
      <w:pPr>
        <w:pStyle w:val="Heading8"/>
        <w:ind w:left="1429"/>
      </w:pPr>
      <w:bookmarkStart w:name="17 Cash and cash equivalents" w:id="80"/>
      <w:bookmarkEnd w:id="80"/>
      <w:r>
        <w:rPr>
          <w:b w:val="0"/>
        </w:rPr>
      </w:r>
      <w:r>
        <w:rPr/>
        <w:t>17    Cash and cash equivalents</w:t>
      </w:r>
    </w:p>
    <w:p>
      <w:pPr>
        <w:tabs>
          <w:tab w:pos="9694" w:val="left" w:leader="none"/>
        </w:tabs>
        <w:spacing w:before="33"/>
        <w:ind w:left="6640" w:right="0" w:firstLine="0"/>
        <w:jc w:val="left"/>
        <w:rPr>
          <w:b/>
          <w:sz w:val="18"/>
        </w:rPr>
      </w:pPr>
      <w:r>
        <w:rPr>
          <w:b/>
          <w:sz w:val="18"/>
        </w:rPr>
        <w:t>Consolidated</w:t>
        <w:tab/>
        <w:t>Parent</w:t>
      </w:r>
    </w:p>
    <w:p>
      <w:pPr>
        <w:spacing w:after="0"/>
        <w:jc w:val="left"/>
        <w:rPr>
          <w:sz w:val="18"/>
        </w:rPr>
        <w:sectPr>
          <w:pgSz w:w="12750" w:h="17680"/>
          <w:pgMar w:header="0" w:footer="927" w:top="2640" w:bottom="1120" w:left="0" w:right="0"/>
        </w:sectPr>
      </w:pPr>
    </w:p>
    <w:p>
      <w:pPr>
        <w:spacing w:before="66"/>
        <w:ind w:left="0" w:right="19" w:firstLine="0"/>
        <w:jc w:val="right"/>
        <w:rPr>
          <w:b/>
          <w:sz w:val="18"/>
        </w:rPr>
      </w:pPr>
      <w:r>
        <w:rPr>
          <w:b/>
          <w:sz w:val="18"/>
        </w:rPr>
        <w:t>2016</w:t>
      </w:r>
    </w:p>
    <w:p>
      <w:pPr>
        <w:spacing w:before="66"/>
        <w:ind w:left="0" w:right="0" w:firstLine="0"/>
        <w:jc w:val="right"/>
        <w:rPr>
          <w:b/>
          <w:sz w:val="18"/>
        </w:rPr>
      </w:pPr>
      <w:r>
        <w:rPr>
          <w:b/>
          <w:sz w:val="18"/>
        </w:rPr>
        <w:t>$'000</w:t>
      </w:r>
    </w:p>
    <w:p>
      <w:pPr>
        <w:spacing w:before="66"/>
        <w:ind w:left="822" w:right="-17" w:firstLine="0"/>
        <w:jc w:val="left"/>
        <w:rPr>
          <w:b/>
          <w:sz w:val="18"/>
        </w:rPr>
      </w:pPr>
      <w:r>
        <w:rPr/>
        <w:br w:type="column"/>
      </w:r>
      <w:r>
        <w:rPr>
          <w:b/>
          <w:sz w:val="18"/>
        </w:rPr>
        <w:t>2015</w:t>
      </w:r>
    </w:p>
    <w:p>
      <w:pPr>
        <w:spacing w:before="66"/>
        <w:ind w:left="801" w:right="-17" w:firstLine="0"/>
        <w:jc w:val="left"/>
        <w:rPr>
          <w:b/>
          <w:sz w:val="18"/>
        </w:rPr>
      </w:pPr>
      <w:r>
        <w:rPr>
          <w:b/>
          <w:spacing w:val="-1"/>
          <w:sz w:val="18"/>
        </w:rPr>
        <w:t>$'000</w:t>
      </w:r>
    </w:p>
    <w:p>
      <w:pPr>
        <w:spacing w:before="66"/>
        <w:ind w:left="0" w:right="19" w:firstLine="0"/>
        <w:jc w:val="right"/>
        <w:rPr>
          <w:b/>
          <w:sz w:val="18"/>
        </w:rPr>
      </w:pPr>
      <w:r>
        <w:rPr/>
        <w:br w:type="column"/>
      </w:r>
      <w:r>
        <w:rPr>
          <w:b/>
          <w:sz w:val="18"/>
        </w:rPr>
        <w:t>2016</w:t>
      </w:r>
    </w:p>
    <w:p>
      <w:pPr>
        <w:spacing w:before="66"/>
        <w:ind w:left="0" w:right="0" w:firstLine="0"/>
        <w:jc w:val="right"/>
        <w:rPr>
          <w:b/>
          <w:sz w:val="18"/>
        </w:rPr>
      </w:pPr>
      <w:r>
        <w:rPr>
          <w:b/>
          <w:sz w:val="18"/>
        </w:rPr>
        <w:t>$'000</w:t>
      </w:r>
    </w:p>
    <w:p>
      <w:pPr>
        <w:spacing w:before="66"/>
        <w:ind w:left="822" w:right="0" w:firstLine="0"/>
        <w:jc w:val="left"/>
        <w:rPr>
          <w:b/>
          <w:sz w:val="18"/>
        </w:rPr>
      </w:pPr>
      <w:r>
        <w:rPr/>
        <w:br w:type="column"/>
      </w:r>
      <w:r>
        <w:rPr>
          <w:b/>
          <w:sz w:val="18"/>
        </w:rPr>
        <w:t>2015</w:t>
      </w:r>
    </w:p>
    <w:p>
      <w:pPr>
        <w:spacing w:before="66"/>
        <w:ind w:left="801" w:right="0" w:firstLine="0"/>
        <w:jc w:val="left"/>
        <w:rPr>
          <w:b/>
          <w:sz w:val="18"/>
        </w:rPr>
      </w:pPr>
      <w:r>
        <w:rPr>
          <w:b/>
          <w:sz w:val="18"/>
        </w:rPr>
        <w:t>$'000</w:t>
      </w:r>
    </w:p>
    <w:p>
      <w:pPr>
        <w:spacing w:after="0"/>
        <w:jc w:val="left"/>
        <w:rPr>
          <w:sz w:val="18"/>
        </w:rPr>
        <w:sectPr>
          <w:type w:val="continuous"/>
          <w:pgSz w:w="12750" w:h="17680"/>
          <w:pgMar w:top="1660" w:bottom="0" w:left="0" w:right="0"/>
          <w:cols w:num="4" w:equalWidth="0">
            <w:col w:w="6855" w:space="40"/>
            <w:col w:w="1243" w:space="40"/>
            <w:col w:w="1441" w:space="40"/>
            <w:col w:w="3091"/>
          </w:cols>
        </w:sectPr>
      </w:pPr>
    </w:p>
    <w:p>
      <w:pPr>
        <w:pStyle w:val="BodyText"/>
        <w:spacing w:before="6"/>
        <w:rPr>
          <w:b/>
          <w:sz w:val="3"/>
        </w:rPr>
      </w:pPr>
    </w:p>
    <w:tbl>
      <w:tblPr>
        <w:tblW w:w="0" w:type="auto"/>
        <w:jc w:val="left"/>
        <w:tblInd w:w="179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024"/>
        <w:gridCol w:w="1703"/>
        <w:gridCol w:w="1382"/>
        <w:gridCol w:w="1382"/>
        <w:gridCol w:w="1060"/>
      </w:tblGrid>
      <w:tr>
        <w:trPr>
          <w:trHeight w:val="335" w:hRule="exact"/>
        </w:trPr>
        <w:tc>
          <w:tcPr>
            <w:tcW w:w="4024" w:type="dxa"/>
          </w:tcPr>
          <w:p>
            <w:pPr>
              <w:pStyle w:val="TableParagraph"/>
              <w:spacing w:before="77"/>
              <w:ind w:left="35" w:right="858"/>
              <w:jc w:val="left"/>
              <w:rPr>
                <w:sz w:val="18"/>
              </w:rPr>
            </w:pPr>
            <w:r>
              <w:rPr>
                <w:sz w:val="18"/>
              </w:rPr>
              <w:t>Cash at bank and on hand</w:t>
            </w:r>
          </w:p>
        </w:tc>
        <w:tc>
          <w:tcPr>
            <w:tcW w:w="1703" w:type="dxa"/>
          </w:tcPr>
          <w:p>
            <w:pPr>
              <w:pStyle w:val="TableParagraph"/>
              <w:spacing w:before="104"/>
              <w:ind w:right="322"/>
              <w:rPr>
                <w:b/>
                <w:sz w:val="18"/>
              </w:rPr>
            </w:pPr>
            <w:r>
              <w:rPr>
                <w:b/>
                <w:w w:val="95"/>
                <w:sz w:val="18"/>
              </w:rPr>
              <w:t>51,125</w:t>
            </w:r>
          </w:p>
        </w:tc>
        <w:tc>
          <w:tcPr>
            <w:tcW w:w="1382" w:type="dxa"/>
          </w:tcPr>
          <w:p>
            <w:pPr>
              <w:pStyle w:val="TableParagraph"/>
              <w:spacing w:before="104"/>
              <w:ind w:right="407"/>
              <w:rPr>
                <w:sz w:val="18"/>
              </w:rPr>
            </w:pPr>
            <w:r>
              <w:rPr>
                <w:w w:val="95"/>
                <w:sz w:val="18"/>
              </w:rPr>
              <w:t>38,168</w:t>
            </w:r>
          </w:p>
        </w:tc>
        <w:tc>
          <w:tcPr>
            <w:tcW w:w="1382" w:type="dxa"/>
          </w:tcPr>
          <w:p>
            <w:pPr>
              <w:pStyle w:val="TableParagraph"/>
              <w:spacing w:before="104"/>
              <w:ind w:right="322"/>
              <w:rPr>
                <w:b/>
                <w:sz w:val="18"/>
              </w:rPr>
            </w:pPr>
            <w:r>
              <w:rPr>
                <w:b/>
                <w:w w:val="95"/>
                <w:sz w:val="18"/>
              </w:rPr>
              <w:t>48,697</w:t>
            </w:r>
          </w:p>
        </w:tc>
        <w:tc>
          <w:tcPr>
            <w:tcW w:w="1060" w:type="dxa"/>
          </w:tcPr>
          <w:p>
            <w:pPr>
              <w:pStyle w:val="TableParagraph"/>
              <w:spacing w:before="104"/>
              <w:ind w:right="85"/>
              <w:rPr>
                <w:sz w:val="18"/>
              </w:rPr>
            </w:pPr>
            <w:r>
              <w:rPr>
                <w:w w:val="95"/>
                <w:sz w:val="18"/>
              </w:rPr>
              <w:t>35,677</w:t>
            </w:r>
          </w:p>
        </w:tc>
      </w:tr>
      <w:tr>
        <w:trPr>
          <w:trHeight w:val="248" w:hRule="exact"/>
        </w:trPr>
        <w:tc>
          <w:tcPr>
            <w:tcW w:w="4024" w:type="dxa"/>
          </w:tcPr>
          <w:p>
            <w:pPr>
              <w:pStyle w:val="TableParagraph"/>
              <w:spacing w:before="6"/>
              <w:ind w:left="35" w:right="858"/>
              <w:jc w:val="left"/>
              <w:rPr>
                <w:sz w:val="18"/>
              </w:rPr>
            </w:pPr>
            <w:bookmarkStart w:name="(a) Reconciliation to cash at the end of" w:id="81"/>
            <w:bookmarkEnd w:id="81"/>
            <w:r>
              <w:rPr/>
            </w:r>
            <w:r>
              <w:rPr>
                <w:sz w:val="18"/>
              </w:rPr>
              <w:t>Short-term deposits</w:t>
            </w:r>
          </w:p>
        </w:tc>
        <w:tc>
          <w:tcPr>
            <w:tcW w:w="1703" w:type="dxa"/>
            <w:tcBorders>
              <w:bottom w:val="single" w:sz="0" w:space="0" w:color="000000"/>
            </w:tcBorders>
          </w:tcPr>
          <w:p>
            <w:pPr>
              <w:pStyle w:val="TableParagraph"/>
              <w:spacing w:before="4"/>
              <w:ind w:right="322"/>
              <w:rPr>
                <w:b/>
                <w:sz w:val="18"/>
              </w:rPr>
            </w:pPr>
            <w:r>
              <w:rPr>
                <w:b/>
                <w:w w:val="95"/>
                <w:sz w:val="18"/>
              </w:rPr>
              <w:t>88,100</w:t>
            </w:r>
          </w:p>
        </w:tc>
        <w:tc>
          <w:tcPr>
            <w:tcW w:w="1382" w:type="dxa"/>
            <w:tcBorders>
              <w:bottom w:val="single" w:sz="0" w:space="0" w:color="000000"/>
            </w:tcBorders>
          </w:tcPr>
          <w:p>
            <w:pPr>
              <w:pStyle w:val="TableParagraph"/>
              <w:spacing w:before="4"/>
              <w:ind w:right="407"/>
              <w:rPr>
                <w:sz w:val="18"/>
              </w:rPr>
            </w:pPr>
            <w:r>
              <w:rPr>
                <w:w w:val="95"/>
                <w:sz w:val="18"/>
              </w:rPr>
              <w:t>94,376</w:t>
            </w:r>
          </w:p>
        </w:tc>
        <w:tc>
          <w:tcPr>
            <w:tcW w:w="1382" w:type="dxa"/>
            <w:tcBorders>
              <w:bottom w:val="single" w:sz="0" w:space="0" w:color="000000"/>
            </w:tcBorders>
          </w:tcPr>
          <w:p>
            <w:pPr>
              <w:pStyle w:val="TableParagraph"/>
              <w:spacing w:before="4"/>
              <w:ind w:right="322"/>
              <w:rPr>
                <w:b/>
                <w:sz w:val="18"/>
              </w:rPr>
            </w:pPr>
            <w:r>
              <w:rPr>
                <w:b/>
                <w:w w:val="95"/>
                <w:sz w:val="18"/>
              </w:rPr>
              <w:t>87,700</w:t>
            </w:r>
          </w:p>
        </w:tc>
        <w:tc>
          <w:tcPr>
            <w:tcW w:w="1060" w:type="dxa"/>
            <w:tcBorders>
              <w:bottom w:val="single" w:sz="0" w:space="0" w:color="000000"/>
            </w:tcBorders>
          </w:tcPr>
          <w:p>
            <w:pPr>
              <w:pStyle w:val="TableParagraph"/>
              <w:spacing w:before="4"/>
              <w:ind w:right="85"/>
              <w:rPr>
                <w:sz w:val="18"/>
              </w:rPr>
            </w:pPr>
            <w:r>
              <w:rPr>
                <w:w w:val="95"/>
                <w:sz w:val="18"/>
              </w:rPr>
              <w:t>94,376</w:t>
            </w:r>
          </w:p>
        </w:tc>
      </w:tr>
      <w:tr>
        <w:trPr>
          <w:trHeight w:val="353" w:hRule="exact"/>
        </w:trPr>
        <w:tc>
          <w:tcPr>
            <w:tcW w:w="4024" w:type="dxa"/>
          </w:tcPr>
          <w:p>
            <w:pPr>
              <w:pStyle w:val="TableParagraph"/>
              <w:spacing w:before="123"/>
              <w:ind w:left="35" w:right="858"/>
              <w:jc w:val="left"/>
              <w:rPr>
                <w:b/>
                <w:sz w:val="18"/>
              </w:rPr>
            </w:pPr>
            <w:r>
              <w:rPr>
                <w:b/>
                <w:sz w:val="18"/>
              </w:rPr>
              <w:t>Total cash and cash equivalents</w:t>
            </w:r>
          </w:p>
        </w:tc>
        <w:tc>
          <w:tcPr>
            <w:tcW w:w="1703" w:type="dxa"/>
            <w:tcBorders>
              <w:top w:val="single" w:sz="0" w:space="0" w:color="000000"/>
              <w:bottom w:val="single" w:sz="0" w:space="0" w:color="000000"/>
            </w:tcBorders>
          </w:tcPr>
          <w:p>
            <w:pPr>
              <w:pStyle w:val="TableParagraph"/>
              <w:spacing w:before="122"/>
              <w:ind w:right="322"/>
              <w:rPr>
                <w:b/>
                <w:sz w:val="18"/>
              </w:rPr>
            </w:pPr>
            <w:r>
              <w:rPr>
                <w:b/>
                <w:w w:val="95"/>
                <w:sz w:val="18"/>
              </w:rPr>
              <w:t>139,225</w:t>
            </w:r>
          </w:p>
        </w:tc>
        <w:tc>
          <w:tcPr>
            <w:tcW w:w="1382" w:type="dxa"/>
            <w:tcBorders>
              <w:top w:val="single" w:sz="0" w:space="0" w:color="000000"/>
              <w:bottom w:val="single" w:sz="0" w:space="0" w:color="000000"/>
            </w:tcBorders>
          </w:tcPr>
          <w:p>
            <w:pPr>
              <w:pStyle w:val="TableParagraph"/>
              <w:spacing w:before="122"/>
              <w:ind w:right="407"/>
              <w:rPr>
                <w:sz w:val="18"/>
              </w:rPr>
            </w:pPr>
            <w:r>
              <w:rPr>
                <w:w w:val="95"/>
                <w:sz w:val="18"/>
              </w:rPr>
              <w:t>132,544</w:t>
            </w:r>
          </w:p>
        </w:tc>
        <w:tc>
          <w:tcPr>
            <w:tcW w:w="1382" w:type="dxa"/>
            <w:tcBorders>
              <w:top w:val="single" w:sz="0" w:space="0" w:color="000000"/>
              <w:bottom w:val="single" w:sz="0" w:space="0" w:color="000000"/>
            </w:tcBorders>
          </w:tcPr>
          <w:p>
            <w:pPr>
              <w:pStyle w:val="TableParagraph"/>
              <w:spacing w:before="122"/>
              <w:ind w:right="322"/>
              <w:rPr>
                <w:b/>
                <w:sz w:val="18"/>
              </w:rPr>
            </w:pPr>
            <w:r>
              <w:rPr>
                <w:b/>
                <w:w w:val="95"/>
                <w:sz w:val="18"/>
              </w:rPr>
              <w:t>136,397</w:t>
            </w:r>
          </w:p>
        </w:tc>
        <w:tc>
          <w:tcPr>
            <w:tcW w:w="1060" w:type="dxa"/>
            <w:tcBorders>
              <w:top w:val="single" w:sz="0" w:space="0" w:color="000000"/>
              <w:bottom w:val="single" w:sz="0" w:space="0" w:color="000000"/>
            </w:tcBorders>
          </w:tcPr>
          <w:p>
            <w:pPr>
              <w:pStyle w:val="TableParagraph"/>
              <w:spacing w:before="122"/>
              <w:ind w:right="85"/>
              <w:rPr>
                <w:sz w:val="18"/>
              </w:rPr>
            </w:pPr>
            <w:r>
              <w:rPr>
                <w:w w:val="95"/>
                <w:sz w:val="18"/>
              </w:rPr>
              <w:t>130,053</w:t>
            </w:r>
          </w:p>
        </w:tc>
      </w:tr>
    </w:tbl>
    <w:p>
      <w:pPr>
        <w:pStyle w:val="BodyText"/>
        <w:spacing w:before="3"/>
        <w:rPr>
          <w:b/>
          <w:sz w:val="22"/>
        </w:rPr>
      </w:pPr>
    </w:p>
    <w:p>
      <w:pPr>
        <w:pStyle w:val="ListParagraph"/>
        <w:numPr>
          <w:ilvl w:val="0"/>
          <w:numId w:val="20"/>
        </w:numPr>
        <w:tabs>
          <w:tab w:pos="2392" w:val="left" w:leader="none"/>
        </w:tabs>
        <w:spacing w:line="240" w:lineRule="auto" w:before="77" w:after="0"/>
        <w:ind w:left="2391" w:right="0" w:hanging="566"/>
        <w:jc w:val="left"/>
        <w:rPr>
          <w:sz w:val="18"/>
        </w:rPr>
      </w:pPr>
      <w:r>
        <w:rPr>
          <w:sz w:val="18"/>
        </w:rPr>
        <w:t>Reconciliation</w:t>
      </w:r>
      <w:r>
        <w:rPr>
          <w:spacing w:val="-5"/>
          <w:sz w:val="18"/>
        </w:rPr>
        <w:t> </w:t>
      </w:r>
      <w:r>
        <w:rPr>
          <w:sz w:val="18"/>
        </w:rPr>
        <w:t>to</w:t>
      </w:r>
      <w:r>
        <w:rPr>
          <w:spacing w:val="-5"/>
          <w:sz w:val="18"/>
        </w:rPr>
        <w:t> </w:t>
      </w:r>
      <w:r>
        <w:rPr>
          <w:sz w:val="18"/>
        </w:rPr>
        <w:t>cash</w:t>
      </w:r>
      <w:r>
        <w:rPr>
          <w:spacing w:val="-5"/>
          <w:sz w:val="18"/>
        </w:rPr>
        <w:t> </w:t>
      </w:r>
      <w:r>
        <w:rPr>
          <w:sz w:val="18"/>
        </w:rPr>
        <w:t>at</w:t>
      </w:r>
      <w:r>
        <w:rPr>
          <w:spacing w:val="-5"/>
          <w:sz w:val="18"/>
        </w:rPr>
        <w:t> </w:t>
      </w:r>
      <w:r>
        <w:rPr>
          <w:sz w:val="18"/>
        </w:rPr>
        <w:t>the</w:t>
      </w:r>
      <w:r>
        <w:rPr>
          <w:spacing w:val="-5"/>
          <w:sz w:val="18"/>
        </w:rPr>
        <w:t> </w:t>
      </w:r>
      <w:r>
        <w:rPr>
          <w:sz w:val="18"/>
        </w:rPr>
        <w:t>end</w:t>
      </w:r>
      <w:r>
        <w:rPr>
          <w:spacing w:val="-5"/>
          <w:sz w:val="18"/>
        </w:rPr>
        <w:t> </w:t>
      </w:r>
      <w:r>
        <w:rPr>
          <w:sz w:val="18"/>
        </w:rPr>
        <w:t>of</w:t>
      </w:r>
      <w:r>
        <w:rPr>
          <w:spacing w:val="-5"/>
          <w:sz w:val="18"/>
        </w:rPr>
        <w:t> </w:t>
      </w:r>
      <w:r>
        <w:rPr>
          <w:sz w:val="18"/>
        </w:rPr>
        <w:t>the</w:t>
      </w:r>
      <w:r>
        <w:rPr>
          <w:spacing w:val="-5"/>
          <w:sz w:val="18"/>
        </w:rPr>
        <w:t> </w:t>
      </w:r>
      <w:r>
        <w:rPr>
          <w:sz w:val="18"/>
        </w:rPr>
        <w:t>year</w:t>
      </w:r>
    </w:p>
    <w:p>
      <w:pPr>
        <w:pStyle w:val="BodyText"/>
        <w:spacing w:before="4"/>
        <w:rPr>
          <w:sz w:val="25"/>
        </w:rPr>
      </w:pPr>
    </w:p>
    <w:p>
      <w:pPr>
        <w:pStyle w:val="BodyText"/>
        <w:spacing w:after="36"/>
        <w:ind w:left="2390" w:right="1375"/>
      </w:pPr>
      <w:r>
        <w:rPr/>
        <w:t>The above figures are reconciled to cash at the end of the year as shown in the statement of cash flows as follows:</w:t>
      </w:r>
    </w:p>
    <w:tbl>
      <w:tblPr>
        <w:tblW w:w="0" w:type="auto"/>
        <w:jc w:val="left"/>
        <w:tblInd w:w="179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28"/>
        <w:gridCol w:w="3597"/>
        <w:gridCol w:w="1703"/>
        <w:gridCol w:w="1382"/>
        <w:gridCol w:w="1382"/>
        <w:gridCol w:w="1060"/>
      </w:tblGrid>
      <w:tr>
        <w:trPr>
          <w:trHeight w:val="236" w:hRule="exact"/>
        </w:trPr>
        <w:tc>
          <w:tcPr>
            <w:tcW w:w="428" w:type="dxa"/>
            <w:vMerge w:val="restart"/>
          </w:tcPr>
          <w:p>
            <w:pPr/>
          </w:p>
        </w:tc>
        <w:tc>
          <w:tcPr>
            <w:tcW w:w="3597" w:type="dxa"/>
          </w:tcPr>
          <w:p>
            <w:pPr>
              <w:pStyle w:val="TableParagraph"/>
              <w:spacing w:line="200" w:lineRule="exact"/>
              <w:ind w:left="175" w:right="801"/>
              <w:jc w:val="left"/>
              <w:rPr>
                <w:sz w:val="18"/>
              </w:rPr>
            </w:pPr>
            <w:r>
              <w:rPr>
                <w:sz w:val="18"/>
              </w:rPr>
              <w:t>Balances as above</w:t>
            </w:r>
          </w:p>
        </w:tc>
        <w:tc>
          <w:tcPr>
            <w:tcW w:w="1703" w:type="dxa"/>
            <w:tcBorders>
              <w:bottom w:val="single" w:sz="0" w:space="0" w:color="000000"/>
            </w:tcBorders>
          </w:tcPr>
          <w:p>
            <w:pPr>
              <w:pStyle w:val="TableParagraph"/>
              <w:spacing w:line="199" w:lineRule="exact"/>
              <w:ind w:right="322"/>
              <w:rPr>
                <w:b/>
                <w:sz w:val="18"/>
              </w:rPr>
            </w:pPr>
            <w:r>
              <w:rPr>
                <w:b/>
                <w:w w:val="95"/>
                <w:sz w:val="18"/>
              </w:rPr>
              <w:t>139,225</w:t>
            </w:r>
          </w:p>
        </w:tc>
        <w:tc>
          <w:tcPr>
            <w:tcW w:w="1382" w:type="dxa"/>
            <w:tcBorders>
              <w:bottom w:val="single" w:sz="0" w:space="0" w:color="000000"/>
            </w:tcBorders>
          </w:tcPr>
          <w:p>
            <w:pPr>
              <w:pStyle w:val="TableParagraph"/>
              <w:spacing w:line="199" w:lineRule="exact"/>
              <w:ind w:left="324"/>
              <w:jc w:val="left"/>
              <w:rPr>
                <w:sz w:val="18"/>
              </w:rPr>
            </w:pPr>
            <w:r>
              <w:rPr>
                <w:sz w:val="18"/>
              </w:rPr>
              <w:t>132,544</w:t>
            </w:r>
          </w:p>
        </w:tc>
        <w:tc>
          <w:tcPr>
            <w:tcW w:w="1382" w:type="dxa"/>
            <w:tcBorders>
              <w:bottom w:val="single" w:sz="0" w:space="0" w:color="000000"/>
            </w:tcBorders>
          </w:tcPr>
          <w:p>
            <w:pPr>
              <w:pStyle w:val="TableParagraph"/>
              <w:spacing w:line="199" w:lineRule="exact"/>
              <w:ind w:left="377" w:right="293"/>
              <w:jc w:val="center"/>
              <w:rPr>
                <w:b/>
                <w:sz w:val="18"/>
              </w:rPr>
            </w:pPr>
            <w:r>
              <w:rPr>
                <w:b/>
                <w:sz w:val="18"/>
              </w:rPr>
              <w:t>136,397</w:t>
            </w:r>
          </w:p>
        </w:tc>
        <w:tc>
          <w:tcPr>
            <w:tcW w:w="1060" w:type="dxa"/>
            <w:tcBorders>
              <w:bottom w:val="single" w:sz="0" w:space="0" w:color="000000"/>
            </w:tcBorders>
          </w:tcPr>
          <w:p>
            <w:pPr>
              <w:pStyle w:val="TableParagraph"/>
              <w:spacing w:line="199" w:lineRule="exact"/>
              <w:ind w:right="85"/>
              <w:rPr>
                <w:sz w:val="18"/>
              </w:rPr>
            </w:pPr>
            <w:r>
              <w:rPr>
                <w:w w:val="95"/>
                <w:sz w:val="18"/>
              </w:rPr>
              <w:t>130,053</w:t>
            </w:r>
          </w:p>
        </w:tc>
      </w:tr>
      <w:tr>
        <w:trPr>
          <w:trHeight w:val="560" w:hRule="exact"/>
        </w:trPr>
        <w:tc>
          <w:tcPr>
            <w:tcW w:w="428" w:type="dxa"/>
            <w:vMerge/>
          </w:tcPr>
          <w:p>
            <w:pPr/>
          </w:p>
        </w:tc>
        <w:tc>
          <w:tcPr>
            <w:tcW w:w="3597" w:type="dxa"/>
          </w:tcPr>
          <w:p>
            <w:pPr>
              <w:pStyle w:val="TableParagraph"/>
              <w:spacing w:before="123"/>
              <w:ind w:left="175" w:right="801"/>
              <w:jc w:val="left"/>
              <w:rPr>
                <w:b/>
                <w:sz w:val="18"/>
              </w:rPr>
            </w:pPr>
            <w:bookmarkStart w:name="(b) Cash at bank and on hand" w:id="82"/>
            <w:bookmarkEnd w:id="82"/>
            <w:r>
              <w:rPr/>
            </w:r>
            <w:r>
              <w:rPr>
                <w:b/>
                <w:sz w:val="18"/>
              </w:rPr>
              <w:t>Balance per statement of cash flows</w:t>
            </w:r>
          </w:p>
        </w:tc>
        <w:tc>
          <w:tcPr>
            <w:tcW w:w="1703" w:type="dxa"/>
            <w:tcBorders>
              <w:top w:val="single" w:sz="0" w:space="0" w:color="000000"/>
              <w:bottom w:val="single" w:sz="0" w:space="0" w:color="000000"/>
            </w:tcBorders>
          </w:tcPr>
          <w:p>
            <w:pPr>
              <w:pStyle w:val="TableParagraph"/>
              <w:jc w:val="left"/>
              <w:rPr>
                <w:sz w:val="18"/>
              </w:rPr>
            </w:pPr>
          </w:p>
          <w:p>
            <w:pPr>
              <w:pStyle w:val="TableParagraph"/>
              <w:spacing w:before="122"/>
              <w:ind w:right="322"/>
              <w:rPr>
                <w:b/>
                <w:sz w:val="18"/>
              </w:rPr>
            </w:pPr>
            <w:r>
              <w:rPr>
                <w:b/>
                <w:w w:val="95"/>
                <w:sz w:val="18"/>
              </w:rPr>
              <w:t>139,225</w:t>
            </w:r>
          </w:p>
        </w:tc>
        <w:tc>
          <w:tcPr>
            <w:tcW w:w="1382" w:type="dxa"/>
            <w:tcBorders>
              <w:top w:val="single" w:sz="0" w:space="0" w:color="000000"/>
              <w:bottom w:val="single" w:sz="0" w:space="0" w:color="000000"/>
            </w:tcBorders>
          </w:tcPr>
          <w:p>
            <w:pPr>
              <w:pStyle w:val="TableParagraph"/>
              <w:jc w:val="left"/>
              <w:rPr>
                <w:sz w:val="18"/>
              </w:rPr>
            </w:pPr>
          </w:p>
          <w:p>
            <w:pPr>
              <w:pStyle w:val="TableParagraph"/>
              <w:spacing w:before="122"/>
              <w:ind w:left="324"/>
              <w:jc w:val="left"/>
              <w:rPr>
                <w:sz w:val="18"/>
              </w:rPr>
            </w:pPr>
            <w:r>
              <w:rPr>
                <w:sz w:val="18"/>
              </w:rPr>
              <w:t>132,544</w:t>
            </w:r>
          </w:p>
        </w:tc>
        <w:tc>
          <w:tcPr>
            <w:tcW w:w="1382" w:type="dxa"/>
            <w:tcBorders>
              <w:top w:val="single" w:sz="0" w:space="0" w:color="000000"/>
              <w:bottom w:val="single" w:sz="0" w:space="0" w:color="000000"/>
            </w:tcBorders>
          </w:tcPr>
          <w:p>
            <w:pPr>
              <w:pStyle w:val="TableParagraph"/>
              <w:jc w:val="left"/>
              <w:rPr>
                <w:sz w:val="18"/>
              </w:rPr>
            </w:pPr>
          </w:p>
          <w:p>
            <w:pPr>
              <w:pStyle w:val="TableParagraph"/>
              <w:spacing w:before="122"/>
              <w:ind w:left="377" w:right="293"/>
              <w:jc w:val="center"/>
              <w:rPr>
                <w:b/>
                <w:sz w:val="18"/>
              </w:rPr>
            </w:pPr>
            <w:r>
              <w:rPr>
                <w:b/>
                <w:sz w:val="18"/>
              </w:rPr>
              <w:t>136,397</w:t>
            </w:r>
          </w:p>
        </w:tc>
        <w:tc>
          <w:tcPr>
            <w:tcW w:w="1060" w:type="dxa"/>
            <w:tcBorders>
              <w:top w:val="single" w:sz="0" w:space="0" w:color="000000"/>
              <w:bottom w:val="single" w:sz="0" w:space="0" w:color="000000"/>
            </w:tcBorders>
          </w:tcPr>
          <w:p>
            <w:pPr>
              <w:pStyle w:val="TableParagraph"/>
              <w:jc w:val="left"/>
              <w:rPr>
                <w:sz w:val="18"/>
              </w:rPr>
            </w:pPr>
          </w:p>
          <w:p>
            <w:pPr>
              <w:pStyle w:val="TableParagraph"/>
              <w:spacing w:before="122"/>
              <w:ind w:right="85"/>
              <w:rPr>
                <w:sz w:val="18"/>
              </w:rPr>
            </w:pPr>
            <w:r>
              <w:rPr>
                <w:w w:val="95"/>
                <w:sz w:val="18"/>
              </w:rPr>
              <w:t>130,053</w:t>
            </w:r>
          </w:p>
        </w:tc>
      </w:tr>
      <w:tr>
        <w:trPr>
          <w:trHeight w:val="636" w:hRule="exact"/>
        </w:trPr>
        <w:tc>
          <w:tcPr>
            <w:tcW w:w="428" w:type="dxa"/>
          </w:tcPr>
          <w:p>
            <w:pPr>
              <w:pStyle w:val="TableParagraph"/>
              <w:jc w:val="left"/>
              <w:rPr>
                <w:sz w:val="18"/>
              </w:rPr>
            </w:pPr>
          </w:p>
          <w:p>
            <w:pPr>
              <w:pStyle w:val="TableParagraph"/>
              <w:spacing w:before="125"/>
              <w:ind w:left="35"/>
              <w:jc w:val="left"/>
              <w:rPr>
                <w:sz w:val="18"/>
              </w:rPr>
            </w:pPr>
            <w:r>
              <w:rPr>
                <w:sz w:val="18"/>
              </w:rPr>
              <w:t>(b)</w:t>
            </w:r>
          </w:p>
        </w:tc>
        <w:tc>
          <w:tcPr>
            <w:tcW w:w="3597" w:type="dxa"/>
          </w:tcPr>
          <w:p>
            <w:pPr>
              <w:pStyle w:val="TableParagraph"/>
              <w:jc w:val="left"/>
              <w:rPr>
                <w:sz w:val="18"/>
              </w:rPr>
            </w:pPr>
          </w:p>
          <w:p>
            <w:pPr>
              <w:pStyle w:val="TableParagraph"/>
              <w:spacing w:before="125"/>
              <w:ind w:left="173" w:right="801"/>
              <w:jc w:val="left"/>
              <w:rPr>
                <w:sz w:val="18"/>
              </w:rPr>
            </w:pPr>
            <w:r>
              <w:rPr>
                <w:sz w:val="18"/>
              </w:rPr>
              <w:t>Cash at bank and on hand</w:t>
            </w:r>
          </w:p>
        </w:tc>
        <w:tc>
          <w:tcPr>
            <w:tcW w:w="1703" w:type="dxa"/>
            <w:tcBorders>
              <w:top w:val="single" w:sz="0" w:space="0" w:color="000000"/>
            </w:tcBorders>
          </w:tcPr>
          <w:p>
            <w:pPr/>
          </w:p>
        </w:tc>
        <w:tc>
          <w:tcPr>
            <w:tcW w:w="1382" w:type="dxa"/>
            <w:tcBorders>
              <w:top w:val="single" w:sz="0" w:space="0" w:color="000000"/>
            </w:tcBorders>
          </w:tcPr>
          <w:p>
            <w:pPr/>
          </w:p>
        </w:tc>
        <w:tc>
          <w:tcPr>
            <w:tcW w:w="1382" w:type="dxa"/>
            <w:tcBorders>
              <w:top w:val="single" w:sz="0" w:space="0" w:color="000000"/>
            </w:tcBorders>
          </w:tcPr>
          <w:p>
            <w:pPr/>
          </w:p>
        </w:tc>
        <w:tc>
          <w:tcPr>
            <w:tcW w:w="1060" w:type="dxa"/>
            <w:tcBorders>
              <w:top w:val="single" w:sz="0" w:space="0" w:color="000000"/>
            </w:tcBorders>
          </w:tcPr>
          <w:p>
            <w:pPr/>
          </w:p>
        </w:tc>
      </w:tr>
    </w:tbl>
    <w:p>
      <w:pPr>
        <w:pStyle w:val="BodyText"/>
        <w:spacing w:before="4"/>
        <w:rPr>
          <w:sz w:val="10"/>
        </w:rPr>
      </w:pPr>
    </w:p>
    <w:p>
      <w:pPr>
        <w:pStyle w:val="BodyText"/>
        <w:spacing w:before="77"/>
        <w:ind w:left="2390" w:right="1450"/>
      </w:pPr>
      <w:r>
        <w:rPr/>
        <w:drawing>
          <wp:anchor distT="0" distB="0" distL="0" distR="0" allowOverlap="1" layoutInCell="1" locked="0" behindDoc="0" simplePos="0" relativeHeight="3520">
            <wp:simplePos x="0" y="0"/>
            <wp:positionH relativeFrom="page">
              <wp:posOffset>-1587</wp:posOffset>
            </wp:positionH>
            <wp:positionV relativeFrom="paragraph">
              <wp:posOffset>375715</wp:posOffset>
            </wp:positionV>
            <wp:extent cx="136525" cy="155575"/>
            <wp:effectExtent l="0" t="0" r="0" b="0"/>
            <wp:wrapNone/>
            <wp:docPr id="191" name="image13.png" descr=""/>
            <wp:cNvGraphicFramePr>
              <a:graphicFrameLocks noChangeAspect="1"/>
            </wp:cNvGraphicFramePr>
            <a:graphic>
              <a:graphicData uri="http://schemas.openxmlformats.org/drawingml/2006/picture">
                <pic:pic>
                  <pic:nvPicPr>
                    <pic:cNvPr id="192" name="image13.png"/>
                    <pic:cNvPicPr/>
                  </pic:nvPicPr>
                  <pic:blipFill>
                    <a:blip r:embed="rId18" cstate="print"/>
                    <a:stretch>
                      <a:fillRect/>
                    </a:stretch>
                  </pic:blipFill>
                  <pic:spPr>
                    <a:xfrm>
                      <a:off x="0" y="0"/>
                      <a:ext cx="136525" cy="155575"/>
                    </a:xfrm>
                    <a:prstGeom prst="rect">
                      <a:avLst/>
                    </a:prstGeom>
                  </pic:spPr>
                </pic:pic>
              </a:graphicData>
            </a:graphic>
          </wp:anchor>
        </w:drawing>
      </w:r>
      <w:r>
        <w:rPr/>
        <w:drawing>
          <wp:anchor distT="0" distB="0" distL="0" distR="0" allowOverlap="1" layoutInCell="1" locked="0" behindDoc="0" simplePos="0" relativeHeight="3544">
            <wp:simplePos x="0" y="0"/>
            <wp:positionH relativeFrom="page">
              <wp:posOffset>7958429</wp:posOffset>
            </wp:positionH>
            <wp:positionV relativeFrom="paragraph">
              <wp:posOffset>375715</wp:posOffset>
            </wp:positionV>
            <wp:extent cx="135953" cy="155575"/>
            <wp:effectExtent l="0" t="0" r="0" b="0"/>
            <wp:wrapNone/>
            <wp:docPr id="193" name="image15.png" descr=""/>
            <wp:cNvGraphicFramePr>
              <a:graphicFrameLocks noChangeAspect="1"/>
            </wp:cNvGraphicFramePr>
            <a:graphic>
              <a:graphicData uri="http://schemas.openxmlformats.org/drawingml/2006/picture">
                <pic:pic>
                  <pic:nvPicPr>
                    <pic:cNvPr id="194" name="image15.png"/>
                    <pic:cNvPicPr/>
                  </pic:nvPicPr>
                  <pic:blipFill>
                    <a:blip r:embed="rId20" cstate="print"/>
                    <a:stretch>
                      <a:fillRect/>
                    </a:stretch>
                  </pic:blipFill>
                  <pic:spPr>
                    <a:xfrm>
                      <a:off x="0" y="0"/>
                      <a:ext cx="135953" cy="155575"/>
                    </a:xfrm>
                    <a:prstGeom prst="rect">
                      <a:avLst/>
                    </a:prstGeom>
                  </pic:spPr>
                </pic:pic>
              </a:graphicData>
            </a:graphic>
          </wp:anchor>
        </w:drawing>
      </w:r>
      <w:bookmarkStart w:name="(c) Short term deposits" w:id="83"/>
      <w:bookmarkEnd w:id="83"/>
      <w:r>
        <w:rPr/>
      </w:r>
      <w:r>
        <w:rPr/>
        <w:t>The average interest rate during 2016 on bank accounts included in cash at bank and on hand was 2.11% (2015: 1.91%).</w:t>
      </w:r>
    </w:p>
    <w:p>
      <w:pPr>
        <w:pStyle w:val="BodyText"/>
        <w:spacing w:before="7"/>
        <w:rPr>
          <w:sz w:val="26"/>
        </w:rPr>
      </w:pPr>
    </w:p>
    <w:p>
      <w:pPr>
        <w:pStyle w:val="BodyText"/>
        <w:tabs>
          <w:tab w:pos="2391" w:val="left" w:leader="none"/>
        </w:tabs>
        <w:ind w:left="1825"/>
      </w:pPr>
      <w:r>
        <w:rPr/>
        <w:t>(c)</w:t>
        <w:tab/>
        <w:t>Short term</w:t>
      </w:r>
      <w:r>
        <w:rPr>
          <w:spacing w:val="-18"/>
        </w:rPr>
        <w:t> </w:t>
      </w:r>
      <w:r>
        <w:rPr/>
        <w:t>deposits</w:t>
      </w:r>
    </w:p>
    <w:p>
      <w:pPr>
        <w:pStyle w:val="BodyText"/>
        <w:spacing w:before="4"/>
        <w:rPr>
          <w:sz w:val="25"/>
        </w:rPr>
      </w:pPr>
    </w:p>
    <w:p>
      <w:pPr>
        <w:pStyle w:val="BodyText"/>
        <w:ind w:left="2390"/>
      </w:pPr>
      <w:r>
        <w:rPr/>
        <w:t>The deposits are at fixed interest rates ranging between 2.55% and 2.80%.</w:t>
      </w:r>
    </w:p>
    <w:p>
      <w:pPr>
        <w:spacing w:after="0"/>
        <w:sectPr>
          <w:type w:val="continuous"/>
          <w:pgSz w:w="12750" w:h="17680"/>
          <w:pgMar w:top="1660" w:bottom="0" w:left="0" w:right="0"/>
        </w:sectPr>
      </w:pPr>
    </w:p>
    <w:p>
      <w:pPr>
        <w:pStyle w:val="BodyText"/>
        <w:rPr>
          <w:sz w:val="20"/>
        </w:rPr>
      </w:pPr>
    </w:p>
    <w:p>
      <w:pPr>
        <w:pStyle w:val="BodyText"/>
        <w:rPr>
          <w:sz w:val="20"/>
        </w:rPr>
      </w:pPr>
    </w:p>
    <w:p>
      <w:pPr>
        <w:pStyle w:val="BodyText"/>
        <w:spacing w:before="8"/>
        <w:rPr>
          <w:sz w:val="11"/>
        </w:rPr>
      </w:pPr>
    </w:p>
    <w:tbl>
      <w:tblPr>
        <w:tblW w:w="0" w:type="auto"/>
        <w:jc w:val="left"/>
        <w:tblInd w:w="139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32"/>
        <w:gridCol w:w="3387"/>
        <w:gridCol w:w="699"/>
        <w:gridCol w:w="1670"/>
        <w:gridCol w:w="1388"/>
        <w:gridCol w:w="1498"/>
        <w:gridCol w:w="971"/>
      </w:tblGrid>
      <w:tr>
        <w:trPr>
          <w:trHeight w:val="567" w:hRule="exact"/>
        </w:trPr>
        <w:tc>
          <w:tcPr>
            <w:tcW w:w="332" w:type="dxa"/>
          </w:tcPr>
          <w:p>
            <w:pPr>
              <w:pStyle w:val="TableParagraph"/>
              <w:spacing w:before="77"/>
              <w:ind w:left="35"/>
              <w:jc w:val="left"/>
              <w:rPr>
                <w:b/>
                <w:sz w:val="18"/>
              </w:rPr>
            </w:pPr>
            <w:bookmarkStart w:name="18 Receivables" w:id="84"/>
            <w:bookmarkEnd w:id="84"/>
            <w:r>
              <w:rPr/>
            </w:r>
            <w:r>
              <w:rPr>
                <w:b/>
                <w:sz w:val="18"/>
              </w:rPr>
              <w:t>18</w:t>
            </w:r>
          </w:p>
        </w:tc>
        <w:tc>
          <w:tcPr>
            <w:tcW w:w="3387" w:type="dxa"/>
          </w:tcPr>
          <w:p>
            <w:pPr>
              <w:pStyle w:val="TableParagraph"/>
              <w:spacing w:before="77"/>
              <w:ind w:left="99"/>
              <w:jc w:val="left"/>
              <w:rPr>
                <w:b/>
                <w:sz w:val="18"/>
              </w:rPr>
            </w:pPr>
            <w:r>
              <w:rPr>
                <w:b/>
                <w:sz w:val="18"/>
              </w:rPr>
              <w:t>Receivables</w:t>
            </w:r>
          </w:p>
        </w:tc>
        <w:tc>
          <w:tcPr>
            <w:tcW w:w="699" w:type="dxa"/>
          </w:tcPr>
          <w:p>
            <w:pPr/>
          </w:p>
        </w:tc>
        <w:tc>
          <w:tcPr>
            <w:tcW w:w="3059" w:type="dxa"/>
            <w:gridSpan w:val="2"/>
          </w:tcPr>
          <w:p>
            <w:pPr>
              <w:pStyle w:val="TableParagraph"/>
              <w:jc w:val="left"/>
              <w:rPr>
                <w:sz w:val="18"/>
              </w:rPr>
            </w:pPr>
          </w:p>
          <w:p>
            <w:pPr>
              <w:pStyle w:val="TableParagraph"/>
              <w:spacing w:before="110"/>
              <w:ind w:left="835"/>
              <w:jc w:val="left"/>
              <w:rPr>
                <w:b/>
                <w:sz w:val="18"/>
              </w:rPr>
            </w:pPr>
            <w:r>
              <w:rPr>
                <w:b/>
                <w:sz w:val="18"/>
              </w:rPr>
              <w:t>Consolidated</w:t>
            </w:r>
          </w:p>
        </w:tc>
        <w:tc>
          <w:tcPr>
            <w:tcW w:w="1498" w:type="dxa"/>
          </w:tcPr>
          <w:p>
            <w:pPr>
              <w:pStyle w:val="TableParagraph"/>
              <w:jc w:val="left"/>
              <w:rPr>
                <w:sz w:val="18"/>
              </w:rPr>
            </w:pPr>
          </w:p>
          <w:p>
            <w:pPr>
              <w:pStyle w:val="TableParagraph"/>
              <w:spacing w:before="110"/>
              <w:ind w:left="829"/>
              <w:jc w:val="left"/>
              <w:rPr>
                <w:b/>
                <w:sz w:val="18"/>
              </w:rPr>
            </w:pPr>
            <w:r>
              <w:rPr>
                <w:b/>
                <w:sz w:val="18"/>
              </w:rPr>
              <w:t>Parent</w:t>
            </w:r>
          </w:p>
        </w:tc>
        <w:tc>
          <w:tcPr>
            <w:tcW w:w="971" w:type="dxa"/>
          </w:tcPr>
          <w:p>
            <w:pPr/>
          </w:p>
        </w:tc>
      </w:tr>
      <w:tr>
        <w:trPr>
          <w:trHeight w:val="274" w:hRule="exact"/>
        </w:trPr>
        <w:tc>
          <w:tcPr>
            <w:tcW w:w="332" w:type="dxa"/>
          </w:tcPr>
          <w:p>
            <w:pPr/>
          </w:p>
        </w:tc>
        <w:tc>
          <w:tcPr>
            <w:tcW w:w="3387" w:type="dxa"/>
          </w:tcPr>
          <w:p>
            <w:pPr/>
          </w:p>
        </w:tc>
        <w:tc>
          <w:tcPr>
            <w:tcW w:w="699" w:type="dxa"/>
          </w:tcPr>
          <w:p>
            <w:pPr/>
          </w:p>
        </w:tc>
        <w:tc>
          <w:tcPr>
            <w:tcW w:w="1670" w:type="dxa"/>
          </w:tcPr>
          <w:p>
            <w:pPr>
              <w:pStyle w:val="TableParagraph"/>
              <w:spacing w:before="24"/>
              <w:ind w:left="640"/>
              <w:jc w:val="left"/>
              <w:rPr>
                <w:b/>
                <w:sz w:val="18"/>
              </w:rPr>
            </w:pPr>
            <w:r>
              <w:rPr>
                <w:b/>
                <w:sz w:val="18"/>
              </w:rPr>
              <w:t>2016</w:t>
            </w:r>
          </w:p>
        </w:tc>
        <w:tc>
          <w:tcPr>
            <w:tcW w:w="1388" w:type="dxa"/>
          </w:tcPr>
          <w:p>
            <w:pPr>
              <w:pStyle w:val="TableParagraph"/>
              <w:spacing w:before="24"/>
              <w:ind w:left="253"/>
              <w:jc w:val="left"/>
              <w:rPr>
                <w:b/>
                <w:sz w:val="18"/>
              </w:rPr>
            </w:pPr>
            <w:r>
              <w:rPr>
                <w:b/>
                <w:sz w:val="18"/>
              </w:rPr>
              <w:t>2015</w:t>
            </w:r>
          </w:p>
        </w:tc>
        <w:tc>
          <w:tcPr>
            <w:tcW w:w="1498" w:type="dxa"/>
          </w:tcPr>
          <w:p>
            <w:pPr>
              <w:pStyle w:val="TableParagraph"/>
              <w:spacing w:before="24"/>
              <w:ind w:left="345"/>
              <w:jc w:val="left"/>
              <w:rPr>
                <w:b/>
                <w:sz w:val="18"/>
              </w:rPr>
            </w:pPr>
            <w:r>
              <w:rPr>
                <w:b/>
                <w:sz w:val="18"/>
              </w:rPr>
              <w:t>2016</w:t>
            </w:r>
          </w:p>
        </w:tc>
        <w:tc>
          <w:tcPr>
            <w:tcW w:w="971" w:type="dxa"/>
          </w:tcPr>
          <w:p>
            <w:pPr>
              <w:pStyle w:val="TableParagraph"/>
              <w:spacing w:before="24"/>
              <w:ind w:left="130"/>
              <w:jc w:val="left"/>
              <w:rPr>
                <w:b/>
                <w:sz w:val="18"/>
              </w:rPr>
            </w:pPr>
            <w:r>
              <w:rPr>
                <w:b/>
                <w:sz w:val="18"/>
              </w:rPr>
              <w:t>2015</w:t>
            </w:r>
          </w:p>
        </w:tc>
      </w:tr>
      <w:tr>
        <w:trPr>
          <w:trHeight w:val="313" w:hRule="exact"/>
        </w:trPr>
        <w:tc>
          <w:tcPr>
            <w:tcW w:w="332" w:type="dxa"/>
          </w:tcPr>
          <w:p>
            <w:pPr/>
          </w:p>
        </w:tc>
        <w:tc>
          <w:tcPr>
            <w:tcW w:w="3387" w:type="dxa"/>
          </w:tcPr>
          <w:p>
            <w:pPr/>
          </w:p>
        </w:tc>
        <w:tc>
          <w:tcPr>
            <w:tcW w:w="699" w:type="dxa"/>
          </w:tcPr>
          <w:p>
            <w:pPr>
              <w:pStyle w:val="TableParagraph"/>
              <w:spacing w:before="24"/>
              <w:ind w:right="77"/>
              <w:rPr>
                <w:b/>
                <w:sz w:val="18"/>
              </w:rPr>
            </w:pPr>
            <w:r>
              <w:rPr>
                <w:b/>
                <w:w w:val="95"/>
                <w:sz w:val="18"/>
              </w:rPr>
              <w:t>Note</w:t>
            </w:r>
          </w:p>
        </w:tc>
        <w:tc>
          <w:tcPr>
            <w:tcW w:w="1670" w:type="dxa"/>
          </w:tcPr>
          <w:p>
            <w:pPr>
              <w:pStyle w:val="TableParagraph"/>
              <w:spacing w:before="24"/>
              <w:ind w:left="619"/>
              <w:jc w:val="left"/>
              <w:rPr>
                <w:b/>
                <w:sz w:val="18"/>
              </w:rPr>
            </w:pPr>
            <w:r>
              <w:rPr>
                <w:b/>
                <w:sz w:val="18"/>
              </w:rPr>
              <w:t>$'000</w:t>
            </w:r>
          </w:p>
        </w:tc>
        <w:tc>
          <w:tcPr>
            <w:tcW w:w="1388" w:type="dxa"/>
          </w:tcPr>
          <w:p>
            <w:pPr>
              <w:pStyle w:val="TableParagraph"/>
              <w:spacing w:before="24"/>
              <w:ind w:left="231"/>
              <w:jc w:val="left"/>
              <w:rPr>
                <w:b/>
                <w:sz w:val="18"/>
              </w:rPr>
            </w:pPr>
            <w:r>
              <w:rPr>
                <w:b/>
                <w:sz w:val="18"/>
              </w:rPr>
              <w:t>$'000</w:t>
            </w:r>
          </w:p>
        </w:tc>
        <w:tc>
          <w:tcPr>
            <w:tcW w:w="1498" w:type="dxa"/>
          </w:tcPr>
          <w:p>
            <w:pPr>
              <w:pStyle w:val="TableParagraph"/>
              <w:spacing w:before="24"/>
              <w:ind w:left="324"/>
              <w:jc w:val="left"/>
              <w:rPr>
                <w:b/>
                <w:sz w:val="18"/>
              </w:rPr>
            </w:pPr>
            <w:r>
              <w:rPr>
                <w:b/>
                <w:sz w:val="18"/>
              </w:rPr>
              <w:t>$'000</w:t>
            </w:r>
          </w:p>
        </w:tc>
        <w:tc>
          <w:tcPr>
            <w:tcW w:w="971" w:type="dxa"/>
          </w:tcPr>
          <w:p>
            <w:pPr>
              <w:pStyle w:val="TableParagraph"/>
              <w:spacing w:before="24"/>
              <w:ind w:left="109"/>
              <w:jc w:val="left"/>
              <w:rPr>
                <w:b/>
                <w:sz w:val="18"/>
              </w:rPr>
            </w:pPr>
            <w:r>
              <w:rPr>
                <w:b/>
                <w:sz w:val="18"/>
              </w:rPr>
              <w:t>$'000</w:t>
            </w:r>
          </w:p>
        </w:tc>
      </w:tr>
      <w:tr>
        <w:trPr>
          <w:trHeight w:val="293" w:hRule="exact"/>
        </w:trPr>
        <w:tc>
          <w:tcPr>
            <w:tcW w:w="332" w:type="dxa"/>
          </w:tcPr>
          <w:p>
            <w:pPr/>
          </w:p>
        </w:tc>
        <w:tc>
          <w:tcPr>
            <w:tcW w:w="3387" w:type="dxa"/>
          </w:tcPr>
          <w:p>
            <w:pPr>
              <w:pStyle w:val="TableParagraph"/>
              <w:spacing w:before="63"/>
              <w:ind w:left="142"/>
              <w:jc w:val="left"/>
              <w:rPr>
                <w:b/>
                <w:sz w:val="18"/>
              </w:rPr>
            </w:pPr>
            <w:r>
              <w:rPr>
                <w:b/>
                <w:sz w:val="18"/>
              </w:rPr>
              <w:t>Current</w:t>
            </w:r>
          </w:p>
        </w:tc>
        <w:tc>
          <w:tcPr>
            <w:tcW w:w="699" w:type="dxa"/>
          </w:tcPr>
          <w:p>
            <w:pPr/>
          </w:p>
        </w:tc>
        <w:tc>
          <w:tcPr>
            <w:tcW w:w="1670" w:type="dxa"/>
          </w:tcPr>
          <w:p>
            <w:pPr/>
          </w:p>
        </w:tc>
        <w:tc>
          <w:tcPr>
            <w:tcW w:w="1388" w:type="dxa"/>
          </w:tcPr>
          <w:p>
            <w:pPr/>
          </w:p>
        </w:tc>
        <w:tc>
          <w:tcPr>
            <w:tcW w:w="1498" w:type="dxa"/>
          </w:tcPr>
          <w:p>
            <w:pPr/>
          </w:p>
        </w:tc>
        <w:tc>
          <w:tcPr>
            <w:tcW w:w="971" w:type="dxa"/>
          </w:tcPr>
          <w:p>
            <w:pPr/>
          </w:p>
        </w:tc>
      </w:tr>
      <w:tr>
        <w:trPr>
          <w:trHeight w:val="250" w:hRule="exact"/>
        </w:trPr>
        <w:tc>
          <w:tcPr>
            <w:tcW w:w="332" w:type="dxa"/>
          </w:tcPr>
          <w:p>
            <w:pPr/>
          </w:p>
        </w:tc>
        <w:tc>
          <w:tcPr>
            <w:tcW w:w="3387" w:type="dxa"/>
          </w:tcPr>
          <w:p>
            <w:pPr>
              <w:pStyle w:val="TableParagraph"/>
              <w:spacing w:before="4"/>
              <w:ind w:left="142"/>
              <w:jc w:val="left"/>
              <w:rPr>
                <w:sz w:val="18"/>
              </w:rPr>
            </w:pPr>
            <w:r>
              <w:rPr>
                <w:sz w:val="18"/>
              </w:rPr>
              <w:t>Student fees</w:t>
            </w:r>
          </w:p>
        </w:tc>
        <w:tc>
          <w:tcPr>
            <w:tcW w:w="699" w:type="dxa"/>
          </w:tcPr>
          <w:p>
            <w:pPr/>
          </w:p>
        </w:tc>
        <w:tc>
          <w:tcPr>
            <w:tcW w:w="1670" w:type="dxa"/>
          </w:tcPr>
          <w:p>
            <w:pPr>
              <w:pStyle w:val="TableParagraph"/>
              <w:spacing w:before="5"/>
              <w:ind w:right="289"/>
              <w:rPr>
                <w:b/>
                <w:sz w:val="18"/>
              </w:rPr>
            </w:pPr>
            <w:r>
              <w:rPr>
                <w:b/>
                <w:sz w:val="18"/>
              </w:rPr>
              <w:t>2,326</w:t>
            </w:r>
          </w:p>
        </w:tc>
        <w:tc>
          <w:tcPr>
            <w:tcW w:w="1388" w:type="dxa"/>
          </w:tcPr>
          <w:p>
            <w:pPr>
              <w:pStyle w:val="TableParagraph"/>
              <w:spacing w:before="5"/>
              <w:ind w:right="381"/>
              <w:rPr>
                <w:sz w:val="18"/>
              </w:rPr>
            </w:pPr>
            <w:r>
              <w:rPr>
                <w:sz w:val="18"/>
              </w:rPr>
              <w:t>3,401</w:t>
            </w:r>
          </w:p>
        </w:tc>
        <w:tc>
          <w:tcPr>
            <w:tcW w:w="1498" w:type="dxa"/>
          </w:tcPr>
          <w:p>
            <w:pPr>
              <w:pStyle w:val="TableParagraph"/>
              <w:spacing w:before="5"/>
              <w:ind w:left="634"/>
              <w:jc w:val="left"/>
              <w:rPr>
                <w:b/>
                <w:sz w:val="18"/>
              </w:rPr>
            </w:pPr>
            <w:r>
              <w:rPr>
                <w:b/>
                <w:sz w:val="18"/>
              </w:rPr>
              <w:t>2,186</w:t>
            </w:r>
          </w:p>
        </w:tc>
        <w:tc>
          <w:tcPr>
            <w:tcW w:w="971" w:type="dxa"/>
          </w:tcPr>
          <w:p>
            <w:pPr>
              <w:pStyle w:val="TableParagraph"/>
              <w:spacing w:before="5"/>
              <w:ind w:right="86"/>
              <w:rPr>
                <w:sz w:val="18"/>
              </w:rPr>
            </w:pPr>
            <w:r>
              <w:rPr>
                <w:sz w:val="18"/>
              </w:rPr>
              <w:t>3,004</w:t>
            </w:r>
          </w:p>
        </w:tc>
      </w:tr>
      <w:tr>
        <w:trPr>
          <w:trHeight w:val="263" w:hRule="exact"/>
        </w:trPr>
        <w:tc>
          <w:tcPr>
            <w:tcW w:w="332" w:type="dxa"/>
          </w:tcPr>
          <w:p>
            <w:pPr/>
          </w:p>
        </w:tc>
        <w:tc>
          <w:tcPr>
            <w:tcW w:w="3387" w:type="dxa"/>
          </w:tcPr>
          <w:p>
            <w:pPr>
              <w:pStyle w:val="TableParagraph"/>
              <w:spacing w:before="18"/>
              <w:ind w:left="142"/>
              <w:jc w:val="left"/>
              <w:rPr>
                <w:sz w:val="18"/>
              </w:rPr>
            </w:pPr>
            <w:r>
              <w:rPr>
                <w:sz w:val="18"/>
              </w:rPr>
              <w:t>Other debtors</w:t>
            </w:r>
          </w:p>
        </w:tc>
        <w:tc>
          <w:tcPr>
            <w:tcW w:w="699" w:type="dxa"/>
          </w:tcPr>
          <w:p>
            <w:pPr/>
          </w:p>
        </w:tc>
        <w:tc>
          <w:tcPr>
            <w:tcW w:w="1670" w:type="dxa"/>
            <w:tcBorders>
              <w:bottom w:val="single" w:sz="0" w:space="0" w:color="000000"/>
            </w:tcBorders>
          </w:tcPr>
          <w:p>
            <w:pPr>
              <w:pStyle w:val="TableParagraph"/>
              <w:spacing w:before="19"/>
              <w:ind w:right="289"/>
              <w:rPr>
                <w:b/>
                <w:sz w:val="18"/>
              </w:rPr>
            </w:pPr>
            <w:r>
              <w:rPr>
                <w:b/>
                <w:w w:val="95"/>
                <w:sz w:val="18"/>
              </w:rPr>
              <w:t>21,494</w:t>
            </w:r>
          </w:p>
        </w:tc>
        <w:tc>
          <w:tcPr>
            <w:tcW w:w="1388" w:type="dxa"/>
            <w:tcBorders>
              <w:bottom w:val="single" w:sz="0" w:space="0" w:color="000000"/>
            </w:tcBorders>
          </w:tcPr>
          <w:p>
            <w:pPr>
              <w:pStyle w:val="TableParagraph"/>
              <w:spacing w:before="19"/>
              <w:ind w:right="381"/>
              <w:rPr>
                <w:sz w:val="18"/>
              </w:rPr>
            </w:pPr>
            <w:r>
              <w:rPr>
                <w:w w:val="95"/>
                <w:sz w:val="18"/>
              </w:rPr>
              <w:t>15,336</w:t>
            </w:r>
          </w:p>
        </w:tc>
        <w:tc>
          <w:tcPr>
            <w:tcW w:w="1498" w:type="dxa"/>
            <w:tcBorders>
              <w:bottom w:val="single" w:sz="0" w:space="0" w:color="000000"/>
            </w:tcBorders>
          </w:tcPr>
          <w:p>
            <w:pPr>
              <w:pStyle w:val="TableParagraph"/>
              <w:spacing w:before="19"/>
              <w:ind w:left="535"/>
              <w:jc w:val="left"/>
              <w:rPr>
                <w:b/>
                <w:sz w:val="18"/>
              </w:rPr>
            </w:pPr>
            <w:r>
              <w:rPr>
                <w:b/>
                <w:sz w:val="18"/>
              </w:rPr>
              <w:t>24,284</w:t>
            </w:r>
          </w:p>
        </w:tc>
        <w:tc>
          <w:tcPr>
            <w:tcW w:w="971" w:type="dxa"/>
            <w:tcBorders>
              <w:bottom w:val="single" w:sz="0" w:space="0" w:color="000000"/>
            </w:tcBorders>
          </w:tcPr>
          <w:p>
            <w:pPr>
              <w:pStyle w:val="TableParagraph"/>
              <w:spacing w:before="19"/>
              <w:ind w:right="86"/>
              <w:rPr>
                <w:sz w:val="18"/>
              </w:rPr>
            </w:pPr>
            <w:r>
              <w:rPr>
                <w:w w:val="95"/>
                <w:sz w:val="18"/>
              </w:rPr>
              <w:t>19,760</w:t>
            </w:r>
          </w:p>
        </w:tc>
      </w:tr>
      <w:tr>
        <w:trPr>
          <w:trHeight w:val="353" w:hRule="exact"/>
        </w:trPr>
        <w:tc>
          <w:tcPr>
            <w:tcW w:w="332" w:type="dxa"/>
          </w:tcPr>
          <w:p>
            <w:pPr/>
          </w:p>
        </w:tc>
        <w:tc>
          <w:tcPr>
            <w:tcW w:w="3387" w:type="dxa"/>
          </w:tcPr>
          <w:p>
            <w:pPr/>
          </w:p>
        </w:tc>
        <w:tc>
          <w:tcPr>
            <w:tcW w:w="699" w:type="dxa"/>
          </w:tcPr>
          <w:p>
            <w:pPr/>
          </w:p>
        </w:tc>
        <w:tc>
          <w:tcPr>
            <w:tcW w:w="1670" w:type="dxa"/>
            <w:tcBorders>
              <w:top w:val="single" w:sz="0" w:space="0" w:color="000000"/>
            </w:tcBorders>
          </w:tcPr>
          <w:p>
            <w:pPr>
              <w:pStyle w:val="TableParagraph"/>
              <w:spacing w:before="122"/>
              <w:ind w:right="289"/>
              <w:rPr>
                <w:b/>
                <w:sz w:val="18"/>
              </w:rPr>
            </w:pPr>
            <w:r>
              <w:rPr>
                <w:b/>
                <w:w w:val="95"/>
                <w:sz w:val="18"/>
              </w:rPr>
              <w:t>23,820</w:t>
            </w:r>
          </w:p>
        </w:tc>
        <w:tc>
          <w:tcPr>
            <w:tcW w:w="1388" w:type="dxa"/>
            <w:tcBorders>
              <w:top w:val="single" w:sz="0" w:space="0" w:color="000000"/>
            </w:tcBorders>
          </w:tcPr>
          <w:p>
            <w:pPr>
              <w:pStyle w:val="TableParagraph"/>
              <w:spacing w:before="122"/>
              <w:ind w:right="381"/>
              <w:rPr>
                <w:sz w:val="18"/>
              </w:rPr>
            </w:pPr>
            <w:r>
              <w:rPr>
                <w:w w:val="95"/>
                <w:sz w:val="18"/>
              </w:rPr>
              <w:t>18,737</w:t>
            </w:r>
          </w:p>
        </w:tc>
        <w:tc>
          <w:tcPr>
            <w:tcW w:w="1498" w:type="dxa"/>
            <w:tcBorders>
              <w:top w:val="single" w:sz="0" w:space="0" w:color="000000"/>
            </w:tcBorders>
          </w:tcPr>
          <w:p>
            <w:pPr>
              <w:pStyle w:val="TableParagraph"/>
              <w:spacing w:before="122"/>
              <w:ind w:left="535"/>
              <w:jc w:val="left"/>
              <w:rPr>
                <w:b/>
                <w:sz w:val="18"/>
              </w:rPr>
            </w:pPr>
            <w:r>
              <w:rPr>
                <w:b/>
                <w:sz w:val="18"/>
              </w:rPr>
              <w:t>26,470</w:t>
            </w:r>
          </w:p>
        </w:tc>
        <w:tc>
          <w:tcPr>
            <w:tcW w:w="971" w:type="dxa"/>
            <w:tcBorders>
              <w:top w:val="single" w:sz="0" w:space="0" w:color="000000"/>
            </w:tcBorders>
          </w:tcPr>
          <w:p>
            <w:pPr>
              <w:pStyle w:val="TableParagraph"/>
              <w:spacing w:before="122"/>
              <w:ind w:right="86"/>
              <w:rPr>
                <w:sz w:val="18"/>
              </w:rPr>
            </w:pPr>
            <w:r>
              <w:rPr>
                <w:w w:val="95"/>
                <w:sz w:val="18"/>
              </w:rPr>
              <w:t>22,764</w:t>
            </w:r>
          </w:p>
        </w:tc>
      </w:tr>
      <w:tr>
        <w:trPr>
          <w:trHeight w:val="259" w:hRule="exact"/>
        </w:trPr>
        <w:tc>
          <w:tcPr>
            <w:tcW w:w="332" w:type="dxa"/>
          </w:tcPr>
          <w:p>
            <w:pPr/>
          </w:p>
        </w:tc>
        <w:tc>
          <w:tcPr>
            <w:tcW w:w="3387" w:type="dxa"/>
          </w:tcPr>
          <w:p>
            <w:pPr>
              <w:pStyle w:val="TableParagraph"/>
              <w:spacing w:before="4"/>
              <w:ind w:left="142"/>
              <w:jc w:val="left"/>
              <w:rPr>
                <w:sz w:val="18"/>
              </w:rPr>
            </w:pPr>
            <w:r>
              <w:rPr>
                <w:sz w:val="18"/>
              </w:rPr>
              <w:t>Less Provision for impaired receivables</w:t>
            </w:r>
          </w:p>
        </w:tc>
        <w:tc>
          <w:tcPr>
            <w:tcW w:w="699" w:type="dxa"/>
          </w:tcPr>
          <w:p>
            <w:pPr>
              <w:pStyle w:val="TableParagraph"/>
              <w:spacing w:before="4"/>
              <w:ind w:right="112"/>
              <w:rPr>
                <w:sz w:val="18"/>
              </w:rPr>
            </w:pPr>
            <w:r>
              <w:rPr>
                <w:sz w:val="18"/>
              </w:rPr>
              <w:t>18(a)</w:t>
            </w:r>
          </w:p>
        </w:tc>
        <w:tc>
          <w:tcPr>
            <w:tcW w:w="1670" w:type="dxa"/>
          </w:tcPr>
          <w:p>
            <w:pPr>
              <w:pStyle w:val="TableParagraph"/>
              <w:spacing w:before="5"/>
              <w:ind w:right="229"/>
              <w:rPr>
                <w:b/>
                <w:sz w:val="18"/>
              </w:rPr>
            </w:pPr>
            <w:r>
              <w:rPr>
                <w:b/>
                <w:sz w:val="18"/>
              </w:rPr>
              <w:t>(618)</w:t>
            </w:r>
          </w:p>
        </w:tc>
        <w:tc>
          <w:tcPr>
            <w:tcW w:w="1388" w:type="dxa"/>
          </w:tcPr>
          <w:p>
            <w:pPr>
              <w:pStyle w:val="TableParagraph"/>
              <w:spacing w:before="5"/>
              <w:ind w:right="322"/>
              <w:rPr>
                <w:sz w:val="18"/>
              </w:rPr>
            </w:pPr>
            <w:r>
              <w:rPr>
                <w:w w:val="95"/>
                <w:sz w:val="18"/>
              </w:rPr>
              <w:t>(1,176)</w:t>
            </w:r>
          </w:p>
        </w:tc>
        <w:tc>
          <w:tcPr>
            <w:tcW w:w="1498" w:type="dxa"/>
          </w:tcPr>
          <w:p>
            <w:pPr>
              <w:pStyle w:val="TableParagraph"/>
              <w:spacing w:before="5"/>
              <w:ind w:left="724"/>
              <w:jc w:val="left"/>
              <w:rPr>
                <w:b/>
                <w:sz w:val="18"/>
              </w:rPr>
            </w:pPr>
            <w:r>
              <w:rPr>
                <w:b/>
                <w:sz w:val="18"/>
              </w:rPr>
              <w:t>(586)</w:t>
            </w:r>
          </w:p>
        </w:tc>
        <w:tc>
          <w:tcPr>
            <w:tcW w:w="971" w:type="dxa"/>
          </w:tcPr>
          <w:p>
            <w:pPr>
              <w:pStyle w:val="TableParagraph"/>
              <w:spacing w:before="5"/>
              <w:ind w:right="27"/>
              <w:rPr>
                <w:sz w:val="18"/>
              </w:rPr>
            </w:pPr>
            <w:r>
              <w:rPr>
                <w:sz w:val="18"/>
              </w:rPr>
              <w:t>(897)</w:t>
            </w:r>
          </w:p>
        </w:tc>
      </w:tr>
      <w:tr>
        <w:trPr>
          <w:trHeight w:val="274" w:hRule="exact"/>
        </w:trPr>
        <w:tc>
          <w:tcPr>
            <w:tcW w:w="332" w:type="dxa"/>
          </w:tcPr>
          <w:p>
            <w:pPr/>
          </w:p>
        </w:tc>
        <w:tc>
          <w:tcPr>
            <w:tcW w:w="3387" w:type="dxa"/>
          </w:tcPr>
          <w:p>
            <w:pPr>
              <w:pStyle w:val="TableParagraph"/>
              <w:spacing w:before="28"/>
              <w:ind w:left="142"/>
              <w:jc w:val="left"/>
              <w:rPr>
                <w:sz w:val="18"/>
              </w:rPr>
            </w:pPr>
            <w:r>
              <w:rPr>
                <w:sz w:val="18"/>
              </w:rPr>
              <w:t>Other</w:t>
            </w:r>
          </w:p>
        </w:tc>
        <w:tc>
          <w:tcPr>
            <w:tcW w:w="699" w:type="dxa"/>
          </w:tcPr>
          <w:p>
            <w:pPr/>
          </w:p>
        </w:tc>
        <w:tc>
          <w:tcPr>
            <w:tcW w:w="1670" w:type="dxa"/>
          </w:tcPr>
          <w:p>
            <w:pPr>
              <w:pStyle w:val="TableParagraph"/>
              <w:spacing w:before="29"/>
              <w:ind w:right="289"/>
              <w:rPr>
                <w:b/>
                <w:sz w:val="18"/>
              </w:rPr>
            </w:pPr>
            <w:r>
              <w:rPr>
                <w:b/>
                <w:w w:val="95"/>
                <w:sz w:val="18"/>
              </w:rPr>
              <w:t>14,624</w:t>
            </w:r>
          </w:p>
        </w:tc>
        <w:tc>
          <w:tcPr>
            <w:tcW w:w="1388" w:type="dxa"/>
          </w:tcPr>
          <w:p>
            <w:pPr>
              <w:pStyle w:val="TableParagraph"/>
              <w:spacing w:before="29"/>
              <w:ind w:right="381"/>
              <w:rPr>
                <w:sz w:val="18"/>
              </w:rPr>
            </w:pPr>
            <w:r>
              <w:rPr>
                <w:w w:val="95"/>
                <w:sz w:val="18"/>
              </w:rPr>
              <w:t>13,463</w:t>
            </w:r>
          </w:p>
        </w:tc>
        <w:tc>
          <w:tcPr>
            <w:tcW w:w="1498" w:type="dxa"/>
          </w:tcPr>
          <w:p>
            <w:pPr>
              <w:pStyle w:val="TableParagraph"/>
              <w:spacing w:before="29"/>
              <w:ind w:left="535"/>
              <w:jc w:val="left"/>
              <w:rPr>
                <w:b/>
                <w:sz w:val="18"/>
              </w:rPr>
            </w:pPr>
            <w:r>
              <w:rPr>
                <w:b/>
                <w:sz w:val="18"/>
              </w:rPr>
              <w:t>14,624</w:t>
            </w:r>
          </w:p>
        </w:tc>
        <w:tc>
          <w:tcPr>
            <w:tcW w:w="971" w:type="dxa"/>
          </w:tcPr>
          <w:p>
            <w:pPr>
              <w:pStyle w:val="TableParagraph"/>
              <w:spacing w:before="29"/>
              <w:ind w:right="86"/>
              <w:rPr>
                <w:sz w:val="18"/>
              </w:rPr>
            </w:pPr>
            <w:r>
              <w:rPr>
                <w:w w:val="95"/>
                <w:sz w:val="18"/>
              </w:rPr>
              <w:t>13,441</w:t>
            </w:r>
          </w:p>
        </w:tc>
      </w:tr>
      <w:tr>
        <w:trPr>
          <w:trHeight w:val="263" w:hRule="exact"/>
        </w:trPr>
        <w:tc>
          <w:tcPr>
            <w:tcW w:w="332" w:type="dxa"/>
          </w:tcPr>
          <w:p>
            <w:pPr/>
          </w:p>
        </w:tc>
        <w:tc>
          <w:tcPr>
            <w:tcW w:w="3387" w:type="dxa"/>
          </w:tcPr>
          <w:p>
            <w:pPr>
              <w:pStyle w:val="TableParagraph"/>
              <w:spacing w:before="18"/>
              <w:ind w:left="142"/>
              <w:jc w:val="left"/>
              <w:rPr>
                <w:sz w:val="18"/>
              </w:rPr>
            </w:pPr>
            <w:r>
              <w:rPr>
                <w:sz w:val="18"/>
              </w:rPr>
              <w:t>Prepayments</w:t>
            </w:r>
          </w:p>
        </w:tc>
        <w:tc>
          <w:tcPr>
            <w:tcW w:w="699" w:type="dxa"/>
          </w:tcPr>
          <w:p>
            <w:pPr/>
          </w:p>
        </w:tc>
        <w:tc>
          <w:tcPr>
            <w:tcW w:w="1670" w:type="dxa"/>
            <w:tcBorders>
              <w:bottom w:val="single" w:sz="0" w:space="0" w:color="000000"/>
            </w:tcBorders>
          </w:tcPr>
          <w:p>
            <w:pPr>
              <w:pStyle w:val="TableParagraph"/>
              <w:spacing w:before="19"/>
              <w:ind w:right="289"/>
              <w:rPr>
                <w:b/>
                <w:sz w:val="18"/>
              </w:rPr>
            </w:pPr>
            <w:r>
              <w:rPr>
                <w:b/>
                <w:w w:val="95"/>
                <w:sz w:val="18"/>
              </w:rPr>
              <w:t>23,699</w:t>
            </w:r>
          </w:p>
        </w:tc>
        <w:tc>
          <w:tcPr>
            <w:tcW w:w="1388" w:type="dxa"/>
            <w:tcBorders>
              <w:bottom w:val="single" w:sz="0" w:space="0" w:color="000000"/>
            </w:tcBorders>
          </w:tcPr>
          <w:p>
            <w:pPr>
              <w:pStyle w:val="TableParagraph"/>
              <w:spacing w:before="19"/>
              <w:ind w:right="381"/>
              <w:rPr>
                <w:sz w:val="18"/>
              </w:rPr>
            </w:pPr>
            <w:r>
              <w:rPr>
                <w:w w:val="95"/>
                <w:sz w:val="18"/>
              </w:rPr>
              <w:t>16,040</w:t>
            </w:r>
          </w:p>
        </w:tc>
        <w:tc>
          <w:tcPr>
            <w:tcW w:w="1498" w:type="dxa"/>
            <w:tcBorders>
              <w:bottom w:val="single" w:sz="0" w:space="0" w:color="000000"/>
            </w:tcBorders>
          </w:tcPr>
          <w:p>
            <w:pPr>
              <w:pStyle w:val="TableParagraph"/>
              <w:spacing w:before="19"/>
              <w:ind w:left="535"/>
              <w:jc w:val="left"/>
              <w:rPr>
                <w:b/>
                <w:sz w:val="18"/>
              </w:rPr>
            </w:pPr>
            <w:r>
              <w:rPr>
                <w:b/>
                <w:sz w:val="18"/>
              </w:rPr>
              <w:t>23,643</w:t>
            </w:r>
          </w:p>
        </w:tc>
        <w:tc>
          <w:tcPr>
            <w:tcW w:w="971" w:type="dxa"/>
            <w:tcBorders>
              <w:bottom w:val="single" w:sz="0" w:space="0" w:color="000000"/>
            </w:tcBorders>
          </w:tcPr>
          <w:p>
            <w:pPr>
              <w:pStyle w:val="TableParagraph"/>
              <w:spacing w:before="19"/>
              <w:ind w:right="86"/>
              <w:rPr>
                <w:sz w:val="18"/>
              </w:rPr>
            </w:pPr>
            <w:r>
              <w:rPr>
                <w:w w:val="95"/>
                <w:sz w:val="18"/>
              </w:rPr>
              <w:t>15,870</w:t>
            </w:r>
          </w:p>
        </w:tc>
      </w:tr>
      <w:tr>
        <w:trPr>
          <w:trHeight w:val="338" w:hRule="exact"/>
        </w:trPr>
        <w:tc>
          <w:tcPr>
            <w:tcW w:w="332" w:type="dxa"/>
          </w:tcPr>
          <w:p>
            <w:pPr/>
          </w:p>
        </w:tc>
        <w:tc>
          <w:tcPr>
            <w:tcW w:w="3387" w:type="dxa"/>
          </w:tcPr>
          <w:p>
            <w:pPr>
              <w:pStyle w:val="TableParagraph"/>
              <w:spacing w:before="123"/>
              <w:ind w:left="142"/>
              <w:jc w:val="left"/>
              <w:rPr>
                <w:b/>
                <w:sz w:val="18"/>
              </w:rPr>
            </w:pPr>
            <w:r>
              <w:rPr>
                <w:b/>
                <w:sz w:val="18"/>
              </w:rPr>
              <w:t>Total current receivables</w:t>
            </w:r>
          </w:p>
        </w:tc>
        <w:tc>
          <w:tcPr>
            <w:tcW w:w="699" w:type="dxa"/>
          </w:tcPr>
          <w:p>
            <w:pPr/>
          </w:p>
        </w:tc>
        <w:tc>
          <w:tcPr>
            <w:tcW w:w="1670" w:type="dxa"/>
            <w:tcBorders>
              <w:top w:val="single" w:sz="0" w:space="0" w:color="000000"/>
              <w:bottom w:val="single" w:sz="0" w:space="0" w:color="000000"/>
            </w:tcBorders>
          </w:tcPr>
          <w:p>
            <w:pPr>
              <w:pStyle w:val="TableParagraph"/>
              <w:spacing w:before="122"/>
              <w:ind w:right="289"/>
              <w:rPr>
                <w:b/>
                <w:sz w:val="18"/>
              </w:rPr>
            </w:pPr>
            <w:r>
              <w:rPr>
                <w:b/>
                <w:w w:val="95"/>
                <w:sz w:val="18"/>
              </w:rPr>
              <w:t>61,525</w:t>
            </w:r>
          </w:p>
        </w:tc>
        <w:tc>
          <w:tcPr>
            <w:tcW w:w="1388" w:type="dxa"/>
            <w:tcBorders>
              <w:top w:val="single" w:sz="0" w:space="0" w:color="000000"/>
              <w:bottom w:val="single" w:sz="0" w:space="0" w:color="000000"/>
            </w:tcBorders>
          </w:tcPr>
          <w:p>
            <w:pPr>
              <w:pStyle w:val="TableParagraph"/>
              <w:spacing w:before="122"/>
              <w:ind w:right="381"/>
              <w:rPr>
                <w:sz w:val="18"/>
              </w:rPr>
            </w:pPr>
            <w:r>
              <w:rPr>
                <w:w w:val="95"/>
                <w:sz w:val="18"/>
              </w:rPr>
              <w:t>47,064</w:t>
            </w:r>
          </w:p>
        </w:tc>
        <w:tc>
          <w:tcPr>
            <w:tcW w:w="1498" w:type="dxa"/>
            <w:tcBorders>
              <w:top w:val="single" w:sz="0" w:space="0" w:color="000000"/>
              <w:bottom w:val="single" w:sz="0" w:space="0" w:color="000000"/>
            </w:tcBorders>
          </w:tcPr>
          <w:p>
            <w:pPr>
              <w:pStyle w:val="TableParagraph"/>
              <w:spacing w:before="122"/>
              <w:ind w:left="535"/>
              <w:jc w:val="left"/>
              <w:rPr>
                <w:b/>
                <w:sz w:val="18"/>
              </w:rPr>
            </w:pPr>
            <w:r>
              <w:rPr>
                <w:b/>
                <w:sz w:val="18"/>
              </w:rPr>
              <w:t>64,151</w:t>
            </w:r>
          </w:p>
        </w:tc>
        <w:tc>
          <w:tcPr>
            <w:tcW w:w="971" w:type="dxa"/>
            <w:tcBorders>
              <w:top w:val="single" w:sz="0" w:space="0" w:color="000000"/>
              <w:bottom w:val="single" w:sz="0" w:space="0" w:color="000000"/>
            </w:tcBorders>
          </w:tcPr>
          <w:p>
            <w:pPr>
              <w:pStyle w:val="TableParagraph"/>
              <w:spacing w:before="122"/>
              <w:ind w:right="86"/>
              <w:rPr>
                <w:sz w:val="18"/>
              </w:rPr>
            </w:pPr>
            <w:r>
              <w:rPr>
                <w:w w:val="95"/>
                <w:sz w:val="18"/>
              </w:rPr>
              <w:t>51,178</w:t>
            </w:r>
          </w:p>
        </w:tc>
      </w:tr>
      <w:tr>
        <w:trPr>
          <w:trHeight w:val="353" w:hRule="exact"/>
        </w:trPr>
        <w:tc>
          <w:tcPr>
            <w:tcW w:w="332" w:type="dxa"/>
          </w:tcPr>
          <w:p>
            <w:pPr/>
          </w:p>
        </w:tc>
        <w:tc>
          <w:tcPr>
            <w:tcW w:w="3387" w:type="dxa"/>
          </w:tcPr>
          <w:p>
            <w:pPr>
              <w:pStyle w:val="TableParagraph"/>
              <w:spacing w:before="123"/>
              <w:ind w:left="97"/>
              <w:jc w:val="left"/>
              <w:rPr>
                <w:b/>
                <w:sz w:val="18"/>
              </w:rPr>
            </w:pPr>
            <w:r>
              <w:rPr>
                <w:b/>
                <w:sz w:val="18"/>
              </w:rPr>
              <w:t>Non-current</w:t>
            </w:r>
          </w:p>
        </w:tc>
        <w:tc>
          <w:tcPr>
            <w:tcW w:w="699" w:type="dxa"/>
          </w:tcPr>
          <w:p>
            <w:pPr/>
          </w:p>
        </w:tc>
        <w:tc>
          <w:tcPr>
            <w:tcW w:w="1670" w:type="dxa"/>
            <w:tcBorders>
              <w:top w:val="single" w:sz="0" w:space="0" w:color="000000"/>
            </w:tcBorders>
          </w:tcPr>
          <w:p>
            <w:pPr/>
          </w:p>
        </w:tc>
        <w:tc>
          <w:tcPr>
            <w:tcW w:w="1388" w:type="dxa"/>
            <w:tcBorders>
              <w:top w:val="single" w:sz="0" w:space="0" w:color="000000"/>
            </w:tcBorders>
          </w:tcPr>
          <w:p>
            <w:pPr/>
          </w:p>
        </w:tc>
        <w:tc>
          <w:tcPr>
            <w:tcW w:w="1498" w:type="dxa"/>
            <w:tcBorders>
              <w:top w:val="single" w:sz="0" w:space="0" w:color="000000"/>
            </w:tcBorders>
          </w:tcPr>
          <w:p>
            <w:pPr/>
          </w:p>
        </w:tc>
        <w:tc>
          <w:tcPr>
            <w:tcW w:w="971" w:type="dxa"/>
            <w:tcBorders>
              <w:top w:val="single" w:sz="0" w:space="0" w:color="000000"/>
            </w:tcBorders>
          </w:tcPr>
          <w:p>
            <w:pPr/>
          </w:p>
        </w:tc>
      </w:tr>
      <w:tr>
        <w:trPr>
          <w:trHeight w:val="454" w:hRule="exact"/>
        </w:trPr>
        <w:tc>
          <w:tcPr>
            <w:tcW w:w="332" w:type="dxa"/>
          </w:tcPr>
          <w:p>
            <w:pPr/>
          </w:p>
        </w:tc>
        <w:tc>
          <w:tcPr>
            <w:tcW w:w="3387" w:type="dxa"/>
          </w:tcPr>
          <w:p>
            <w:pPr>
              <w:pStyle w:val="TableParagraph"/>
              <w:spacing w:before="4"/>
              <w:ind w:left="97"/>
              <w:jc w:val="left"/>
              <w:rPr>
                <w:sz w:val="18"/>
              </w:rPr>
            </w:pPr>
            <w:r>
              <w:rPr>
                <w:sz w:val="18"/>
              </w:rPr>
              <w:t>Deferred government benefit for superannuation</w:t>
            </w:r>
          </w:p>
        </w:tc>
        <w:tc>
          <w:tcPr>
            <w:tcW w:w="699" w:type="dxa"/>
          </w:tcPr>
          <w:p>
            <w:pPr>
              <w:pStyle w:val="TableParagraph"/>
              <w:spacing w:before="4"/>
              <w:ind w:left="122"/>
              <w:jc w:val="left"/>
              <w:rPr>
                <w:sz w:val="18"/>
              </w:rPr>
            </w:pPr>
            <w:r>
              <w:rPr>
                <w:sz w:val="18"/>
              </w:rPr>
              <w:t>41</w:t>
            </w:r>
          </w:p>
        </w:tc>
        <w:tc>
          <w:tcPr>
            <w:tcW w:w="1670" w:type="dxa"/>
          </w:tcPr>
          <w:p>
            <w:pPr>
              <w:pStyle w:val="TableParagraph"/>
              <w:spacing w:before="2"/>
              <w:jc w:val="left"/>
              <w:rPr>
                <w:sz w:val="18"/>
              </w:rPr>
            </w:pPr>
          </w:p>
          <w:p>
            <w:pPr>
              <w:pStyle w:val="TableParagraph"/>
              <w:ind w:right="290"/>
              <w:rPr>
                <w:b/>
                <w:sz w:val="18"/>
              </w:rPr>
            </w:pPr>
            <w:r>
              <w:rPr>
                <w:b/>
                <w:w w:val="95"/>
                <w:sz w:val="18"/>
              </w:rPr>
              <w:t>332,281</w:t>
            </w:r>
          </w:p>
        </w:tc>
        <w:tc>
          <w:tcPr>
            <w:tcW w:w="1388" w:type="dxa"/>
          </w:tcPr>
          <w:p>
            <w:pPr>
              <w:pStyle w:val="TableParagraph"/>
              <w:spacing w:before="2"/>
              <w:jc w:val="left"/>
              <w:rPr>
                <w:sz w:val="18"/>
              </w:rPr>
            </w:pPr>
          </w:p>
          <w:p>
            <w:pPr>
              <w:pStyle w:val="TableParagraph"/>
              <w:ind w:right="380"/>
              <w:rPr>
                <w:sz w:val="18"/>
              </w:rPr>
            </w:pPr>
            <w:r>
              <w:rPr>
                <w:w w:val="95"/>
                <w:sz w:val="18"/>
              </w:rPr>
              <w:t>335,332</w:t>
            </w:r>
          </w:p>
        </w:tc>
        <w:tc>
          <w:tcPr>
            <w:tcW w:w="1498" w:type="dxa"/>
          </w:tcPr>
          <w:p>
            <w:pPr>
              <w:pStyle w:val="TableParagraph"/>
              <w:spacing w:before="2"/>
              <w:jc w:val="left"/>
              <w:rPr>
                <w:sz w:val="18"/>
              </w:rPr>
            </w:pPr>
          </w:p>
          <w:p>
            <w:pPr>
              <w:pStyle w:val="TableParagraph"/>
              <w:ind w:left="434"/>
              <w:jc w:val="left"/>
              <w:rPr>
                <w:b/>
                <w:sz w:val="18"/>
              </w:rPr>
            </w:pPr>
            <w:r>
              <w:rPr>
                <w:b/>
                <w:sz w:val="18"/>
              </w:rPr>
              <w:t>332,281</w:t>
            </w:r>
          </w:p>
        </w:tc>
        <w:tc>
          <w:tcPr>
            <w:tcW w:w="971" w:type="dxa"/>
          </w:tcPr>
          <w:p>
            <w:pPr>
              <w:pStyle w:val="TableParagraph"/>
              <w:spacing w:before="2"/>
              <w:jc w:val="left"/>
              <w:rPr>
                <w:sz w:val="18"/>
              </w:rPr>
            </w:pPr>
          </w:p>
          <w:p>
            <w:pPr>
              <w:pStyle w:val="TableParagraph"/>
              <w:ind w:right="85"/>
              <w:rPr>
                <w:sz w:val="18"/>
              </w:rPr>
            </w:pPr>
            <w:r>
              <w:rPr>
                <w:w w:val="95"/>
                <w:sz w:val="18"/>
              </w:rPr>
              <w:t>335,332</w:t>
            </w:r>
          </w:p>
        </w:tc>
      </w:tr>
      <w:tr>
        <w:trPr>
          <w:trHeight w:val="263" w:hRule="exact"/>
        </w:trPr>
        <w:tc>
          <w:tcPr>
            <w:tcW w:w="332" w:type="dxa"/>
          </w:tcPr>
          <w:p>
            <w:pPr/>
          </w:p>
        </w:tc>
        <w:tc>
          <w:tcPr>
            <w:tcW w:w="3387" w:type="dxa"/>
          </w:tcPr>
          <w:p>
            <w:pPr>
              <w:pStyle w:val="TableParagraph"/>
              <w:spacing w:before="18"/>
              <w:ind w:left="97"/>
              <w:jc w:val="left"/>
              <w:rPr>
                <w:sz w:val="18"/>
              </w:rPr>
            </w:pPr>
            <w:r>
              <w:rPr>
                <w:sz w:val="18"/>
              </w:rPr>
              <w:t>Finance lease receivables</w:t>
            </w:r>
          </w:p>
        </w:tc>
        <w:tc>
          <w:tcPr>
            <w:tcW w:w="699" w:type="dxa"/>
          </w:tcPr>
          <w:p>
            <w:pPr>
              <w:pStyle w:val="TableParagraph"/>
              <w:spacing w:before="18"/>
              <w:ind w:left="122"/>
              <w:jc w:val="left"/>
              <w:rPr>
                <w:sz w:val="18"/>
              </w:rPr>
            </w:pPr>
            <w:r>
              <w:rPr>
                <w:sz w:val="18"/>
              </w:rPr>
              <w:t>18(c)</w:t>
            </w:r>
          </w:p>
        </w:tc>
        <w:tc>
          <w:tcPr>
            <w:tcW w:w="1670" w:type="dxa"/>
          </w:tcPr>
          <w:p>
            <w:pPr>
              <w:pStyle w:val="TableParagraph"/>
              <w:spacing w:before="19"/>
              <w:ind w:right="290"/>
              <w:rPr>
                <w:b/>
                <w:sz w:val="18"/>
              </w:rPr>
            </w:pPr>
            <w:r>
              <w:rPr>
                <w:b/>
                <w:w w:val="95"/>
                <w:sz w:val="18"/>
              </w:rPr>
              <w:t>17,673</w:t>
            </w:r>
          </w:p>
        </w:tc>
        <w:tc>
          <w:tcPr>
            <w:tcW w:w="1388" w:type="dxa"/>
          </w:tcPr>
          <w:p>
            <w:pPr>
              <w:pStyle w:val="TableParagraph"/>
              <w:spacing w:before="19"/>
              <w:ind w:right="380"/>
              <w:rPr>
                <w:sz w:val="18"/>
              </w:rPr>
            </w:pPr>
            <w:r>
              <w:rPr>
                <w:w w:val="95"/>
                <w:sz w:val="18"/>
              </w:rPr>
              <w:t>17,242</w:t>
            </w:r>
          </w:p>
        </w:tc>
        <w:tc>
          <w:tcPr>
            <w:tcW w:w="1498" w:type="dxa"/>
          </w:tcPr>
          <w:p>
            <w:pPr>
              <w:pStyle w:val="TableParagraph"/>
              <w:spacing w:before="19"/>
              <w:ind w:left="534"/>
              <w:jc w:val="left"/>
              <w:rPr>
                <w:b/>
                <w:sz w:val="18"/>
              </w:rPr>
            </w:pPr>
            <w:r>
              <w:rPr>
                <w:b/>
                <w:sz w:val="18"/>
              </w:rPr>
              <w:t>17,673</w:t>
            </w:r>
          </w:p>
        </w:tc>
        <w:tc>
          <w:tcPr>
            <w:tcW w:w="971" w:type="dxa"/>
          </w:tcPr>
          <w:p>
            <w:pPr>
              <w:pStyle w:val="TableParagraph"/>
              <w:spacing w:before="19"/>
              <w:ind w:right="85"/>
              <w:rPr>
                <w:sz w:val="18"/>
              </w:rPr>
            </w:pPr>
            <w:r>
              <w:rPr>
                <w:w w:val="95"/>
                <w:sz w:val="18"/>
              </w:rPr>
              <w:t>17,242</w:t>
            </w:r>
          </w:p>
        </w:tc>
      </w:tr>
      <w:tr>
        <w:trPr>
          <w:trHeight w:val="263" w:hRule="exact"/>
        </w:trPr>
        <w:tc>
          <w:tcPr>
            <w:tcW w:w="332" w:type="dxa"/>
          </w:tcPr>
          <w:p>
            <w:pPr/>
          </w:p>
        </w:tc>
        <w:tc>
          <w:tcPr>
            <w:tcW w:w="3387" w:type="dxa"/>
          </w:tcPr>
          <w:p>
            <w:pPr>
              <w:pStyle w:val="TableParagraph"/>
              <w:spacing w:before="18"/>
              <w:ind w:left="97"/>
              <w:jc w:val="left"/>
              <w:rPr>
                <w:sz w:val="18"/>
              </w:rPr>
            </w:pPr>
            <w:r>
              <w:rPr>
                <w:sz w:val="18"/>
              </w:rPr>
              <w:t>Prepayments</w:t>
            </w:r>
          </w:p>
        </w:tc>
        <w:tc>
          <w:tcPr>
            <w:tcW w:w="699" w:type="dxa"/>
          </w:tcPr>
          <w:p>
            <w:pPr/>
          </w:p>
        </w:tc>
        <w:tc>
          <w:tcPr>
            <w:tcW w:w="1670" w:type="dxa"/>
            <w:tcBorders>
              <w:bottom w:val="single" w:sz="0" w:space="0" w:color="000000"/>
            </w:tcBorders>
          </w:tcPr>
          <w:p>
            <w:pPr>
              <w:pStyle w:val="TableParagraph"/>
              <w:spacing w:before="19"/>
              <w:ind w:right="290"/>
              <w:rPr>
                <w:b/>
                <w:sz w:val="18"/>
              </w:rPr>
            </w:pPr>
            <w:r>
              <w:rPr>
                <w:b/>
                <w:sz w:val="18"/>
              </w:rPr>
              <w:t>3,391</w:t>
            </w:r>
          </w:p>
        </w:tc>
        <w:tc>
          <w:tcPr>
            <w:tcW w:w="1388" w:type="dxa"/>
            <w:tcBorders>
              <w:bottom w:val="single" w:sz="0" w:space="0" w:color="000000"/>
            </w:tcBorders>
          </w:tcPr>
          <w:p>
            <w:pPr>
              <w:pStyle w:val="TableParagraph"/>
              <w:spacing w:before="19"/>
              <w:ind w:right="380"/>
              <w:rPr>
                <w:sz w:val="18"/>
              </w:rPr>
            </w:pPr>
            <w:r>
              <w:rPr>
                <w:sz w:val="18"/>
              </w:rPr>
              <w:t>1,294</w:t>
            </w:r>
          </w:p>
        </w:tc>
        <w:tc>
          <w:tcPr>
            <w:tcW w:w="1498" w:type="dxa"/>
            <w:tcBorders>
              <w:bottom w:val="single" w:sz="0" w:space="0" w:color="000000"/>
            </w:tcBorders>
          </w:tcPr>
          <w:p>
            <w:pPr>
              <w:pStyle w:val="TableParagraph"/>
              <w:spacing w:before="19"/>
              <w:ind w:left="633"/>
              <w:jc w:val="left"/>
              <w:rPr>
                <w:b/>
                <w:sz w:val="18"/>
              </w:rPr>
            </w:pPr>
            <w:r>
              <w:rPr>
                <w:b/>
                <w:sz w:val="18"/>
              </w:rPr>
              <w:t>3,391</w:t>
            </w:r>
          </w:p>
        </w:tc>
        <w:tc>
          <w:tcPr>
            <w:tcW w:w="971" w:type="dxa"/>
            <w:tcBorders>
              <w:bottom w:val="single" w:sz="0" w:space="0" w:color="000000"/>
            </w:tcBorders>
          </w:tcPr>
          <w:p>
            <w:pPr>
              <w:pStyle w:val="TableParagraph"/>
              <w:spacing w:before="19"/>
              <w:ind w:right="85"/>
              <w:rPr>
                <w:sz w:val="18"/>
              </w:rPr>
            </w:pPr>
            <w:r>
              <w:rPr>
                <w:sz w:val="18"/>
              </w:rPr>
              <w:t>1,294</w:t>
            </w:r>
          </w:p>
        </w:tc>
      </w:tr>
      <w:tr>
        <w:trPr>
          <w:trHeight w:val="338" w:hRule="exact"/>
        </w:trPr>
        <w:tc>
          <w:tcPr>
            <w:tcW w:w="332" w:type="dxa"/>
          </w:tcPr>
          <w:p>
            <w:pPr/>
          </w:p>
        </w:tc>
        <w:tc>
          <w:tcPr>
            <w:tcW w:w="3387" w:type="dxa"/>
          </w:tcPr>
          <w:p>
            <w:pPr>
              <w:pStyle w:val="TableParagraph"/>
              <w:spacing w:before="123"/>
              <w:ind w:left="97"/>
              <w:jc w:val="left"/>
              <w:rPr>
                <w:b/>
                <w:sz w:val="18"/>
              </w:rPr>
            </w:pPr>
            <w:bookmarkStart w:name="(a) Impaired receivables" w:id="85"/>
            <w:bookmarkEnd w:id="85"/>
            <w:r>
              <w:rPr/>
            </w:r>
            <w:r>
              <w:rPr>
                <w:b/>
                <w:sz w:val="18"/>
              </w:rPr>
              <w:t>Total non-current receivables</w:t>
            </w:r>
          </w:p>
        </w:tc>
        <w:tc>
          <w:tcPr>
            <w:tcW w:w="699" w:type="dxa"/>
          </w:tcPr>
          <w:p>
            <w:pPr/>
          </w:p>
        </w:tc>
        <w:tc>
          <w:tcPr>
            <w:tcW w:w="1670" w:type="dxa"/>
            <w:tcBorders>
              <w:top w:val="single" w:sz="0" w:space="0" w:color="000000"/>
              <w:bottom w:val="single" w:sz="0" w:space="0" w:color="000000"/>
            </w:tcBorders>
          </w:tcPr>
          <w:p>
            <w:pPr>
              <w:pStyle w:val="TableParagraph"/>
              <w:spacing w:before="122"/>
              <w:ind w:right="290"/>
              <w:rPr>
                <w:b/>
                <w:sz w:val="18"/>
              </w:rPr>
            </w:pPr>
            <w:r>
              <w:rPr>
                <w:b/>
                <w:w w:val="95"/>
                <w:sz w:val="18"/>
              </w:rPr>
              <w:t>353,345</w:t>
            </w:r>
          </w:p>
        </w:tc>
        <w:tc>
          <w:tcPr>
            <w:tcW w:w="1388" w:type="dxa"/>
            <w:tcBorders>
              <w:top w:val="single" w:sz="0" w:space="0" w:color="000000"/>
              <w:bottom w:val="single" w:sz="0" w:space="0" w:color="000000"/>
            </w:tcBorders>
          </w:tcPr>
          <w:p>
            <w:pPr>
              <w:pStyle w:val="TableParagraph"/>
              <w:spacing w:before="122"/>
              <w:ind w:right="380"/>
              <w:rPr>
                <w:sz w:val="18"/>
              </w:rPr>
            </w:pPr>
            <w:r>
              <w:rPr>
                <w:w w:val="95"/>
                <w:sz w:val="18"/>
              </w:rPr>
              <w:t>353,868</w:t>
            </w:r>
          </w:p>
        </w:tc>
        <w:tc>
          <w:tcPr>
            <w:tcW w:w="1498" w:type="dxa"/>
            <w:tcBorders>
              <w:top w:val="single" w:sz="0" w:space="0" w:color="000000"/>
              <w:bottom w:val="single" w:sz="0" w:space="0" w:color="000000"/>
            </w:tcBorders>
          </w:tcPr>
          <w:p>
            <w:pPr>
              <w:pStyle w:val="TableParagraph"/>
              <w:spacing w:before="122"/>
              <w:ind w:left="434"/>
              <w:jc w:val="left"/>
              <w:rPr>
                <w:b/>
                <w:sz w:val="18"/>
              </w:rPr>
            </w:pPr>
            <w:r>
              <w:rPr>
                <w:b/>
                <w:sz w:val="18"/>
              </w:rPr>
              <w:t>353,345</w:t>
            </w:r>
          </w:p>
        </w:tc>
        <w:tc>
          <w:tcPr>
            <w:tcW w:w="971" w:type="dxa"/>
            <w:tcBorders>
              <w:top w:val="single" w:sz="0" w:space="0" w:color="000000"/>
              <w:bottom w:val="single" w:sz="0" w:space="0" w:color="000000"/>
            </w:tcBorders>
          </w:tcPr>
          <w:p>
            <w:pPr>
              <w:pStyle w:val="TableParagraph"/>
              <w:spacing w:before="122"/>
              <w:ind w:right="85"/>
              <w:rPr>
                <w:sz w:val="18"/>
              </w:rPr>
            </w:pPr>
            <w:r>
              <w:rPr>
                <w:w w:val="95"/>
                <w:sz w:val="18"/>
              </w:rPr>
              <w:t>353,868</w:t>
            </w:r>
          </w:p>
        </w:tc>
      </w:tr>
      <w:tr>
        <w:trPr>
          <w:trHeight w:val="298" w:hRule="exact"/>
        </w:trPr>
        <w:tc>
          <w:tcPr>
            <w:tcW w:w="332" w:type="dxa"/>
          </w:tcPr>
          <w:p>
            <w:pPr/>
          </w:p>
        </w:tc>
        <w:tc>
          <w:tcPr>
            <w:tcW w:w="3387" w:type="dxa"/>
          </w:tcPr>
          <w:p>
            <w:pPr>
              <w:pStyle w:val="TableParagraph"/>
              <w:spacing w:before="40"/>
              <w:ind w:left="125"/>
              <w:jc w:val="left"/>
              <w:rPr>
                <w:b/>
                <w:sz w:val="18"/>
              </w:rPr>
            </w:pPr>
            <w:r>
              <w:rPr>
                <w:b/>
                <w:sz w:val="18"/>
              </w:rPr>
              <w:t>Total receivables</w:t>
            </w:r>
          </w:p>
        </w:tc>
        <w:tc>
          <w:tcPr>
            <w:tcW w:w="699" w:type="dxa"/>
          </w:tcPr>
          <w:p>
            <w:pPr/>
          </w:p>
        </w:tc>
        <w:tc>
          <w:tcPr>
            <w:tcW w:w="1670" w:type="dxa"/>
            <w:tcBorders>
              <w:top w:val="single" w:sz="0" w:space="0" w:color="000000"/>
              <w:bottom w:val="single" w:sz="0" w:space="0" w:color="000000"/>
            </w:tcBorders>
          </w:tcPr>
          <w:p>
            <w:pPr>
              <w:pStyle w:val="TableParagraph"/>
              <w:spacing w:before="38"/>
              <w:ind w:right="289"/>
              <w:rPr>
                <w:b/>
                <w:sz w:val="18"/>
              </w:rPr>
            </w:pPr>
            <w:r>
              <w:rPr>
                <w:b/>
                <w:w w:val="95"/>
                <w:sz w:val="18"/>
              </w:rPr>
              <w:t>414,870</w:t>
            </w:r>
          </w:p>
        </w:tc>
        <w:tc>
          <w:tcPr>
            <w:tcW w:w="1388" w:type="dxa"/>
            <w:tcBorders>
              <w:top w:val="single" w:sz="0" w:space="0" w:color="000000"/>
              <w:bottom w:val="single" w:sz="0" w:space="0" w:color="000000"/>
            </w:tcBorders>
          </w:tcPr>
          <w:p>
            <w:pPr>
              <w:pStyle w:val="TableParagraph"/>
              <w:spacing w:before="38"/>
              <w:ind w:right="379"/>
              <w:rPr>
                <w:sz w:val="18"/>
              </w:rPr>
            </w:pPr>
            <w:r>
              <w:rPr>
                <w:w w:val="95"/>
                <w:sz w:val="18"/>
              </w:rPr>
              <w:t>400,932</w:t>
            </w:r>
          </w:p>
        </w:tc>
        <w:tc>
          <w:tcPr>
            <w:tcW w:w="1498" w:type="dxa"/>
            <w:tcBorders>
              <w:top w:val="single" w:sz="0" w:space="0" w:color="000000"/>
              <w:bottom w:val="single" w:sz="0" w:space="0" w:color="000000"/>
            </w:tcBorders>
          </w:tcPr>
          <w:p>
            <w:pPr>
              <w:pStyle w:val="TableParagraph"/>
              <w:spacing w:before="38"/>
              <w:ind w:left="435"/>
              <w:jc w:val="left"/>
              <w:rPr>
                <w:b/>
                <w:sz w:val="18"/>
              </w:rPr>
            </w:pPr>
            <w:r>
              <w:rPr>
                <w:b/>
                <w:sz w:val="18"/>
              </w:rPr>
              <w:t>417,496</w:t>
            </w:r>
          </w:p>
        </w:tc>
        <w:tc>
          <w:tcPr>
            <w:tcW w:w="971" w:type="dxa"/>
            <w:tcBorders>
              <w:top w:val="single" w:sz="0" w:space="0" w:color="000000"/>
              <w:bottom w:val="single" w:sz="0" w:space="0" w:color="000000"/>
            </w:tcBorders>
          </w:tcPr>
          <w:p>
            <w:pPr>
              <w:pStyle w:val="TableParagraph"/>
              <w:spacing w:before="38"/>
              <w:ind w:right="84"/>
              <w:rPr>
                <w:sz w:val="18"/>
              </w:rPr>
            </w:pPr>
            <w:r>
              <w:rPr>
                <w:w w:val="95"/>
                <w:sz w:val="18"/>
              </w:rPr>
              <w:t>405,046</w:t>
            </w:r>
          </w:p>
        </w:tc>
      </w:tr>
    </w:tbl>
    <w:p>
      <w:pPr>
        <w:pStyle w:val="BodyText"/>
        <w:spacing w:before="2"/>
        <w:rPr>
          <w:sz w:val="22"/>
        </w:rPr>
      </w:pPr>
    </w:p>
    <w:p>
      <w:pPr>
        <w:pStyle w:val="BodyText"/>
        <w:tabs>
          <w:tab w:pos="2391" w:val="left" w:leader="none"/>
        </w:tabs>
        <w:spacing w:before="77"/>
        <w:ind w:left="1825"/>
      </w:pPr>
      <w:r>
        <w:rPr/>
        <w:drawing>
          <wp:anchor distT="0" distB="0" distL="0" distR="0" allowOverlap="1" layoutInCell="1" locked="0" behindDoc="0" simplePos="0" relativeHeight="3568">
            <wp:simplePos x="0" y="0"/>
            <wp:positionH relativeFrom="page">
              <wp:posOffset>-1587</wp:posOffset>
            </wp:positionH>
            <wp:positionV relativeFrom="paragraph">
              <wp:posOffset>-127966</wp:posOffset>
            </wp:positionV>
            <wp:extent cx="135159" cy="154019"/>
            <wp:effectExtent l="0" t="0" r="0" b="0"/>
            <wp:wrapNone/>
            <wp:docPr id="195" name="image13.png" descr=""/>
            <wp:cNvGraphicFramePr>
              <a:graphicFrameLocks noChangeAspect="1"/>
            </wp:cNvGraphicFramePr>
            <a:graphic>
              <a:graphicData uri="http://schemas.openxmlformats.org/drawingml/2006/picture">
                <pic:pic>
                  <pic:nvPicPr>
                    <pic:cNvPr id="196" name="image13.png"/>
                    <pic:cNvPicPr/>
                  </pic:nvPicPr>
                  <pic:blipFill>
                    <a:blip r:embed="rId18" cstate="print"/>
                    <a:stretch>
                      <a:fillRect/>
                    </a:stretch>
                  </pic:blipFill>
                  <pic:spPr>
                    <a:xfrm>
                      <a:off x="0" y="0"/>
                      <a:ext cx="135159" cy="154019"/>
                    </a:xfrm>
                    <a:prstGeom prst="rect">
                      <a:avLst/>
                    </a:prstGeom>
                  </pic:spPr>
                </pic:pic>
              </a:graphicData>
            </a:graphic>
          </wp:anchor>
        </w:drawing>
      </w:r>
      <w:r>
        <w:rPr/>
        <w:drawing>
          <wp:anchor distT="0" distB="0" distL="0" distR="0" allowOverlap="1" layoutInCell="1" locked="0" behindDoc="0" simplePos="0" relativeHeight="3592">
            <wp:simplePos x="0" y="0"/>
            <wp:positionH relativeFrom="page">
              <wp:posOffset>7958429</wp:posOffset>
            </wp:positionH>
            <wp:positionV relativeFrom="paragraph">
              <wp:posOffset>-127966</wp:posOffset>
            </wp:positionV>
            <wp:extent cx="135953" cy="155575"/>
            <wp:effectExtent l="0" t="0" r="0" b="0"/>
            <wp:wrapNone/>
            <wp:docPr id="197" name="image15.png" descr=""/>
            <wp:cNvGraphicFramePr>
              <a:graphicFrameLocks noChangeAspect="1"/>
            </wp:cNvGraphicFramePr>
            <a:graphic>
              <a:graphicData uri="http://schemas.openxmlformats.org/drawingml/2006/picture">
                <pic:pic>
                  <pic:nvPicPr>
                    <pic:cNvPr id="198" name="image15.png"/>
                    <pic:cNvPicPr/>
                  </pic:nvPicPr>
                  <pic:blipFill>
                    <a:blip r:embed="rId20" cstate="print"/>
                    <a:stretch>
                      <a:fillRect/>
                    </a:stretch>
                  </pic:blipFill>
                  <pic:spPr>
                    <a:xfrm>
                      <a:off x="0" y="0"/>
                      <a:ext cx="135953" cy="155575"/>
                    </a:xfrm>
                    <a:prstGeom prst="rect">
                      <a:avLst/>
                    </a:prstGeom>
                  </pic:spPr>
                </pic:pic>
              </a:graphicData>
            </a:graphic>
          </wp:anchor>
        </w:drawing>
      </w:r>
      <w:r>
        <w:rPr/>
        <w:t>(a)</w:t>
        <w:tab/>
        <w:t>Impaired</w:t>
      </w:r>
      <w:r>
        <w:rPr>
          <w:spacing w:val="-20"/>
        </w:rPr>
        <w:t> </w:t>
      </w:r>
      <w:r>
        <w:rPr/>
        <w:t>receivables</w:t>
      </w:r>
    </w:p>
    <w:p>
      <w:pPr>
        <w:pStyle w:val="BodyText"/>
        <w:spacing w:before="4"/>
        <w:rPr>
          <w:sz w:val="25"/>
        </w:rPr>
      </w:pPr>
    </w:p>
    <w:p>
      <w:pPr>
        <w:pStyle w:val="BodyText"/>
        <w:ind w:left="2390" w:right="1450"/>
      </w:pPr>
      <w:r>
        <w:rPr/>
        <w:t>As at 31 December 2016 current receivables of the Group with a nominal value of $0.618M (2015: $1.176M) were impaired. The amount of the provision was $0.618M (2015: $1.176M). The individually impaired receivables mainly relate to individual debtors with balances aged greater than 180 days.</w:t>
      </w:r>
    </w:p>
    <w:p>
      <w:pPr>
        <w:pStyle w:val="BodyText"/>
        <w:spacing w:before="3"/>
      </w:pPr>
    </w:p>
    <w:tbl>
      <w:tblPr>
        <w:tblW w:w="0" w:type="auto"/>
        <w:jc w:val="left"/>
        <w:tblInd w:w="235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851"/>
        <w:gridCol w:w="2656"/>
        <w:gridCol w:w="1493"/>
        <w:gridCol w:w="986"/>
      </w:tblGrid>
      <w:tr>
        <w:trPr>
          <w:trHeight w:val="567" w:hRule="exact"/>
        </w:trPr>
        <w:tc>
          <w:tcPr>
            <w:tcW w:w="3851" w:type="dxa"/>
          </w:tcPr>
          <w:p>
            <w:pPr>
              <w:pStyle w:val="TableParagraph"/>
              <w:spacing w:before="77"/>
              <w:ind w:left="35"/>
              <w:jc w:val="left"/>
              <w:rPr>
                <w:sz w:val="18"/>
              </w:rPr>
            </w:pPr>
            <w:r>
              <w:rPr>
                <w:sz w:val="18"/>
              </w:rPr>
              <w:t>The ageing of these receivables is as follows:</w:t>
            </w:r>
          </w:p>
        </w:tc>
        <w:tc>
          <w:tcPr>
            <w:tcW w:w="2656" w:type="dxa"/>
          </w:tcPr>
          <w:p>
            <w:pPr>
              <w:pStyle w:val="TableParagraph"/>
              <w:jc w:val="left"/>
              <w:rPr>
                <w:sz w:val="18"/>
              </w:rPr>
            </w:pPr>
          </w:p>
          <w:p>
            <w:pPr>
              <w:pStyle w:val="TableParagraph"/>
              <w:spacing w:before="110"/>
              <w:ind w:left="435"/>
              <w:jc w:val="left"/>
              <w:rPr>
                <w:b/>
                <w:sz w:val="18"/>
              </w:rPr>
            </w:pPr>
            <w:r>
              <w:rPr>
                <w:b/>
                <w:sz w:val="18"/>
              </w:rPr>
              <w:t>Consolidated</w:t>
            </w:r>
          </w:p>
        </w:tc>
        <w:tc>
          <w:tcPr>
            <w:tcW w:w="1493" w:type="dxa"/>
          </w:tcPr>
          <w:p>
            <w:pPr>
              <w:pStyle w:val="TableParagraph"/>
              <w:jc w:val="left"/>
              <w:rPr>
                <w:sz w:val="18"/>
              </w:rPr>
            </w:pPr>
          </w:p>
          <w:p>
            <w:pPr>
              <w:pStyle w:val="TableParagraph"/>
              <w:spacing w:before="110"/>
              <w:ind w:left="831"/>
              <w:jc w:val="left"/>
              <w:rPr>
                <w:b/>
                <w:sz w:val="18"/>
              </w:rPr>
            </w:pPr>
            <w:r>
              <w:rPr>
                <w:b/>
                <w:sz w:val="18"/>
              </w:rPr>
              <w:t>Parent</w:t>
            </w:r>
          </w:p>
        </w:tc>
        <w:tc>
          <w:tcPr>
            <w:tcW w:w="986" w:type="dxa"/>
          </w:tcPr>
          <w:p>
            <w:pPr/>
          </w:p>
        </w:tc>
      </w:tr>
      <w:tr>
        <w:trPr>
          <w:trHeight w:val="274" w:hRule="exact"/>
        </w:trPr>
        <w:tc>
          <w:tcPr>
            <w:tcW w:w="3851" w:type="dxa"/>
          </w:tcPr>
          <w:p>
            <w:pPr/>
          </w:p>
        </w:tc>
        <w:tc>
          <w:tcPr>
            <w:tcW w:w="2656" w:type="dxa"/>
          </w:tcPr>
          <w:p>
            <w:pPr>
              <w:pStyle w:val="TableParagraph"/>
              <w:tabs>
                <w:tab w:pos="1510" w:val="left" w:leader="none"/>
              </w:tabs>
              <w:spacing w:before="24"/>
              <w:ind w:left="226"/>
              <w:jc w:val="left"/>
              <w:rPr>
                <w:b/>
                <w:sz w:val="18"/>
              </w:rPr>
            </w:pPr>
            <w:r>
              <w:rPr>
                <w:b/>
                <w:sz w:val="18"/>
              </w:rPr>
              <w:t>2016</w:t>
              <w:tab/>
              <w:t>2015</w:t>
            </w:r>
          </w:p>
        </w:tc>
        <w:tc>
          <w:tcPr>
            <w:tcW w:w="1493" w:type="dxa"/>
          </w:tcPr>
          <w:p>
            <w:pPr>
              <w:pStyle w:val="TableParagraph"/>
              <w:spacing w:before="24"/>
              <w:ind w:left="333"/>
              <w:jc w:val="left"/>
              <w:rPr>
                <w:b/>
                <w:sz w:val="18"/>
              </w:rPr>
            </w:pPr>
            <w:r>
              <w:rPr>
                <w:b/>
                <w:sz w:val="18"/>
              </w:rPr>
              <w:t>2016</w:t>
            </w:r>
          </w:p>
        </w:tc>
        <w:tc>
          <w:tcPr>
            <w:tcW w:w="986" w:type="dxa"/>
          </w:tcPr>
          <w:p>
            <w:pPr>
              <w:pStyle w:val="TableParagraph"/>
              <w:spacing w:before="24"/>
              <w:ind w:left="124"/>
              <w:jc w:val="left"/>
              <w:rPr>
                <w:b/>
                <w:sz w:val="18"/>
              </w:rPr>
            </w:pPr>
            <w:r>
              <w:rPr>
                <w:b/>
                <w:sz w:val="18"/>
              </w:rPr>
              <w:t>2015</w:t>
            </w:r>
          </w:p>
        </w:tc>
      </w:tr>
      <w:tr>
        <w:trPr>
          <w:trHeight w:val="271" w:hRule="exact"/>
        </w:trPr>
        <w:tc>
          <w:tcPr>
            <w:tcW w:w="3851" w:type="dxa"/>
          </w:tcPr>
          <w:p>
            <w:pPr/>
          </w:p>
        </w:tc>
        <w:tc>
          <w:tcPr>
            <w:tcW w:w="2656" w:type="dxa"/>
          </w:tcPr>
          <w:p>
            <w:pPr>
              <w:pStyle w:val="TableParagraph"/>
              <w:tabs>
                <w:tab w:pos="1488" w:val="left" w:leader="none"/>
              </w:tabs>
              <w:spacing w:before="24"/>
              <w:ind w:left="204"/>
              <w:jc w:val="left"/>
              <w:rPr>
                <w:b/>
                <w:sz w:val="18"/>
              </w:rPr>
            </w:pPr>
            <w:r>
              <w:rPr>
                <w:b/>
                <w:sz w:val="18"/>
              </w:rPr>
              <w:t>$'000</w:t>
              <w:tab/>
              <w:t>$'000</w:t>
            </w:r>
          </w:p>
        </w:tc>
        <w:tc>
          <w:tcPr>
            <w:tcW w:w="1493" w:type="dxa"/>
          </w:tcPr>
          <w:p>
            <w:pPr>
              <w:pStyle w:val="TableParagraph"/>
              <w:spacing w:before="24"/>
              <w:ind w:left="312"/>
              <w:jc w:val="left"/>
              <w:rPr>
                <w:b/>
                <w:sz w:val="18"/>
              </w:rPr>
            </w:pPr>
            <w:r>
              <w:rPr>
                <w:b/>
                <w:sz w:val="18"/>
              </w:rPr>
              <w:t>$'000</w:t>
            </w:r>
          </w:p>
        </w:tc>
        <w:tc>
          <w:tcPr>
            <w:tcW w:w="986" w:type="dxa"/>
          </w:tcPr>
          <w:p>
            <w:pPr>
              <w:pStyle w:val="TableParagraph"/>
              <w:spacing w:before="24"/>
              <w:ind w:left="102"/>
              <w:jc w:val="left"/>
              <w:rPr>
                <w:b/>
                <w:sz w:val="18"/>
              </w:rPr>
            </w:pPr>
            <w:r>
              <w:rPr>
                <w:b/>
                <w:sz w:val="18"/>
              </w:rPr>
              <w:t>$'000</w:t>
            </w:r>
          </w:p>
        </w:tc>
      </w:tr>
      <w:tr>
        <w:trPr>
          <w:trHeight w:val="267" w:hRule="exact"/>
        </w:trPr>
        <w:tc>
          <w:tcPr>
            <w:tcW w:w="3851" w:type="dxa"/>
          </w:tcPr>
          <w:p>
            <w:pPr>
              <w:pStyle w:val="TableParagraph"/>
              <w:spacing w:before="22"/>
              <w:ind w:left="63"/>
              <w:jc w:val="left"/>
              <w:rPr>
                <w:sz w:val="18"/>
              </w:rPr>
            </w:pPr>
            <w:r>
              <w:rPr>
                <w:sz w:val="18"/>
              </w:rPr>
              <w:t>0 to 3 months</w:t>
            </w:r>
          </w:p>
        </w:tc>
        <w:tc>
          <w:tcPr>
            <w:tcW w:w="2656" w:type="dxa"/>
          </w:tcPr>
          <w:p>
            <w:pPr>
              <w:pStyle w:val="TableParagraph"/>
              <w:tabs>
                <w:tab w:pos="1298" w:val="left" w:leader="none"/>
              </w:tabs>
              <w:spacing w:before="21"/>
              <w:ind w:right="369"/>
              <w:rPr>
                <w:sz w:val="18"/>
              </w:rPr>
            </w:pPr>
            <w:r>
              <w:rPr>
                <w:b/>
                <w:sz w:val="18"/>
              </w:rPr>
              <w:t>-</w:t>
              <w:tab/>
            </w:r>
            <w:r>
              <w:rPr>
                <w:spacing w:val="-1"/>
                <w:sz w:val="18"/>
              </w:rPr>
              <w:t>-</w:t>
            </w:r>
          </w:p>
        </w:tc>
        <w:tc>
          <w:tcPr>
            <w:tcW w:w="1493" w:type="dxa"/>
          </w:tcPr>
          <w:p>
            <w:pPr>
              <w:pStyle w:val="TableParagraph"/>
              <w:spacing w:before="21"/>
              <w:ind w:right="398"/>
              <w:rPr>
                <w:b/>
                <w:sz w:val="18"/>
              </w:rPr>
            </w:pPr>
            <w:r>
              <w:rPr>
                <w:b/>
                <w:w w:val="99"/>
                <w:sz w:val="18"/>
              </w:rPr>
              <w:t>-</w:t>
            </w:r>
          </w:p>
        </w:tc>
        <w:tc>
          <w:tcPr>
            <w:tcW w:w="986" w:type="dxa"/>
          </w:tcPr>
          <w:p>
            <w:pPr>
              <w:pStyle w:val="TableParagraph"/>
              <w:spacing w:before="21"/>
              <w:ind w:right="85"/>
              <w:rPr>
                <w:sz w:val="18"/>
              </w:rPr>
            </w:pPr>
            <w:r>
              <w:rPr>
                <w:w w:val="99"/>
                <w:sz w:val="18"/>
              </w:rPr>
              <w:t>-</w:t>
            </w:r>
          </w:p>
        </w:tc>
      </w:tr>
      <w:tr>
        <w:trPr>
          <w:trHeight w:val="264" w:hRule="exact"/>
        </w:trPr>
        <w:tc>
          <w:tcPr>
            <w:tcW w:w="3851" w:type="dxa"/>
          </w:tcPr>
          <w:p>
            <w:pPr>
              <w:pStyle w:val="TableParagraph"/>
              <w:spacing w:before="19"/>
              <w:ind w:left="63"/>
              <w:jc w:val="left"/>
              <w:rPr>
                <w:sz w:val="18"/>
              </w:rPr>
            </w:pPr>
            <w:r>
              <w:rPr>
                <w:sz w:val="18"/>
              </w:rPr>
              <w:t>3 to 6 months</w:t>
            </w:r>
          </w:p>
        </w:tc>
        <w:tc>
          <w:tcPr>
            <w:tcW w:w="2656" w:type="dxa"/>
          </w:tcPr>
          <w:p>
            <w:pPr>
              <w:pStyle w:val="TableParagraph"/>
              <w:tabs>
                <w:tab w:pos="1298" w:val="left" w:leader="none"/>
              </w:tabs>
              <w:spacing w:before="18"/>
              <w:ind w:right="369"/>
              <w:rPr>
                <w:sz w:val="18"/>
              </w:rPr>
            </w:pPr>
            <w:r>
              <w:rPr>
                <w:b/>
                <w:sz w:val="18"/>
              </w:rPr>
              <w:t>-</w:t>
              <w:tab/>
            </w:r>
            <w:r>
              <w:rPr>
                <w:spacing w:val="-1"/>
                <w:sz w:val="18"/>
              </w:rPr>
              <w:t>-</w:t>
            </w:r>
          </w:p>
        </w:tc>
        <w:tc>
          <w:tcPr>
            <w:tcW w:w="1493" w:type="dxa"/>
          </w:tcPr>
          <w:p>
            <w:pPr>
              <w:pStyle w:val="TableParagraph"/>
              <w:spacing w:before="18"/>
              <w:ind w:right="398"/>
              <w:rPr>
                <w:b/>
                <w:sz w:val="18"/>
              </w:rPr>
            </w:pPr>
            <w:r>
              <w:rPr>
                <w:b/>
                <w:w w:val="99"/>
                <w:sz w:val="18"/>
              </w:rPr>
              <w:t>-</w:t>
            </w:r>
          </w:p>
        </w:tc>
        <w:tc>
          <w:tcPr>
            <w:tcW w:w="986" w:type="dxa"/>
          </w:tcPr>
          <w:p>
            <w:pPr>
              <w:pStyle w:val="TableParagraph"/>
              <w:spacing w:before="18"/>
              <w:ind w:right="85"/>
              <w:rPr>
                <w:sz w:val="18"/>
              </w:rPr>
            </w:pPr>
            <w:r>
              <w:rPr>
                <w:w w:val="99"/>
                <w:sz w:val="18"/>
              </w:rPr>
              <w:t>-</w:t>
            </w:r>
          </w:p>
        </w:tc>
      </w:tr>
      <w:tr>
        <w:trPr>
          <w:trHeight w:val="262" w:hRule="exact"/>
        </w:trPr>
        <w:tc>
          <w:tcPr>
            <w:tcW w:w="3851" w:type="dxa"/>
            <w:tcBorders>
              <w:bottom w:val="single" w:sz="0" w:space="0" w:color="000000"/>
            </w:tcBorders>
          </w:tcPr>
          <w:p>
            <w:pPr>
              <w:pStyle w:val="TableParagraph"/>
              <w:spacing w:before="19"/>
              <w:ind w:left="63"/>
              <w:jc w:val="left"/>
              <w:rPr>
                <w:sz w:val="18"/>
              </w:rPr>
            </w:pPr>
            <w:r>
              <w:rPr>
                <w:sz w:val="18"/>
              </w:rPr>
              <w:t>Over 6 months</w:t>
            </w:r>
          </w:p>
        </w:tc>
        <w:tc>
          <w:tcPr>
            <w:tcW w:w="2656" w:type="dxa"/>
            <w:tcBorders>
              <w:bottom w:val="single" w:sz="0" w:space="0" w:color="000000"/>
            </w:tcBorders>
          </w:tcPr>
          <w:p>
            <w:pPr>
              <w:pStyle w:val="TableParagraph"/>
              <w:tabs>
                <w:tab w:pos="1148" w:val="left" w:leader="none"/>
              </w:tabs>
              <w:spacing w:before="18"/>
              <w:ind w:right="310"/>
              <w:rPr>
                <w:sz w:val="18"/>
              </w:rPr>
            </w:pPr>
            <w:r>
              <w:rPr>
                <w:b/>
                <w:sz w:val="18"/>
              </w:rPr>
              <w:t>(618)</w:t>
              <w:tab/>
            </w:r>
            <w:r>
              <w:rPr>
                <w:spacing w:val="-1"/>
                <w:w w:val="95"/>
                <w:sz w:val="18"/>
              </w:rPr>
              <w:t>(1,176)</w:t>
            </w:r>
          </w:p>
        </w:tc>
        <w:tc>
          <w:tcPr>
            <w:tcW w:w="1493" w:type="dxa"/>
            <w:tcBorders>
              <w:bottom w:val="single" w:sz="0" w:space="0" w:color="000000"/>
            </w:tcBorders>
          </w:tcPr>
          <w:p>
            <w:pPr>
              <w:pStyle w:val="TableParagraph"/>
              <w:spacing w:before="18"/>
              <w:ind w:left="734"/>
              <w:jc w:val="left"/>
              <w:rPr>
                <w:b/>
                <w:sz w:val="18"/>
              </w:rPr>
            </w:pPr>
            <w:r>
              <w:rPr>
                <w:b/>
                <w:sz w:val="18"/>
              </w:rPr>
              <w:t>(586)</w:t>
            </w:r>
          </w:p>
        </w:tc>
        <w:tc>
          <w:tcPr>
            <w:tcW w:w="986" w:type="dxa"/>
            <w:tcBorders>
              <w:bottom w:val="single" w:sz="0" w:space="0" w:color="000000"/>
            </w:tcBorders>
          </w:tcPr>
          <w:p>
            <w:pPr>
              <w:pStyle w:val="TableParagraph"/>
              <w:spacing w:before="18"/>
              <w:ind w:right="26"/>
              <w:rPr>
                <w:sz w:val="18"/>
              </w:rPr>
            </w:pPr>
            <w:r>
              <w:rPr>
                <w:sz w:val="18"/>
              </w:rPr>
              <w:t>(897)</w:t>
            </w:r>
          </w:p>
        </w:tc>
      </w:tr>
      <w:tr>
        <w:trPr>
          <w:trHeight w:val="326" w:hRule="exact"/>
        </w:trPr>
        <w:tc>
          <w:tcPr>
            <w:tcW w:w="3851" w:type="dxa"/>
            <w:tcBorders>
              <w:top w:val="single" w:sz="0" w:space="0" w:color="000000"/>
            </w:tcBorders>
          </w:tcPr>
          <w:p>
            <w:pPr>
              <w:pStyle w:val="TableParagraph"/>
              <w:spacing w:before="122"/>
              <w:ind w:left="63"/>
              <w:jc w:val="left"/>
              <w:rPr>
                <w:b/>
                <w:sz w:val="18"/>
              </w:rPr>
            </w:pPr>
            <w:r>
              <w:rPr>
                <w:b/>
                <w:sz w:val="18"/>
              </w:rPr>
              <w:t>Total current impaired</w:t>
            </w:r>
          </w:p>
        </w:tc>
        <w:tc>
          <w:tcPr>
            <w:tcW w:w="2656" w:type="dxa"/>
            <w:tcBorders>
              <w:top w:val="single" w:sz="0" w:space="0" w:color="000000"/>
            </w:tcBorders>
          </w:tcPr>
          <w:p>
            <w:pPr/>
          </w:p>
        </w:tc>
        <w:tc>
          <w:tcPr>
            <w:tcW w:w="1493" w:type="dxa"/>
            <w:tcBorders>
              <w:top w:val="single" w:sz="0" w:space="0" w:color="000000"/>
            </w:tcBorders>
          </w:tcPr>
          <w:p>
            <w:pPr/>
          </w:p>
        </w:tc>
        <w:tc>
          <w:tcPr>
            <w:tcW w:w="986" w:type="dxa"/>
            <w:tcBorders>
              <w:top w:val="single" w:sz="0" w:space="0" w:color="000000"/>
            </w:tcBorders>
          </w:tcPr>
          <w:p>
            <w:pPr/>
          </w:p>
        </w:tc>
      </w:tr>
    </w:tbl>
    <w:p>
      <w:pPr>
        <w:tabs>
          <w:tab w:pos="5815" w:val="left" w:leader="none"/>
          <w:tab w:pos="6833" w:val="left" w:leader="none"/>
          <w:tab w:pos="7982" w:val="left" w:leader="none"/>
          <w:tab w:pos="9597" w:val="left" w:leader="none"/>
          <w:tab w:pos="10895" w:val="left" w:leader="none"/>
        </w:tabs>
        <w:spacing w:before="3"/>
        <w:ind w:left="2419" w:right="0" w:firstLine="0"/>
        <w:jc w:val="left"/>
        <w:rPr>
          <w:sz w:val="18"/>
        </w:rPr>
      </w:pPr>
      <w:r>
        <w:rPr>
          <w:b/>
          <w:sz w:val="18"/>
        </w:rPr>
        <w:t>receivables</w:t>
        <w:tab/>
      </w:r>
      <w:r>
        <w:rPr>
          <w:rFonts w:ascii="Times New Roman"/>
          <w:sz w:val="18"/>
          <w:u w:val="single"/>
        </w:rPr>
        <w:t> </w:t>
        <w:tab/>
      </w:r>
      <w:r>
        <w:rPr>
          <w:b/>
          <w:sz w:val="18"/>
          <w:u w:val="single"/>
        </w:rPr>
        <w:t>(618)</w:t>
        <w:tab/>
      </w:r>
      <w:r>
        <w:rPr>
          <w:sz w:val="18"/>
          <w:u w:val="single"/>
        </w:rPr>
        <w:t>(1,176)</w:t>
        <w:tab/>
      </w:r>
      <w:r>
        <w:rPr>
          <w:b/>
          <w:sz w:val="18"/>
          <w:u w:val="single"/>
        </w:rPr>
        <w:t>(586)</w:t>
        <w:tab/>
      </w:r>
      <w:r>
        <w:rPr>
          <w:sz w:val="18"/>
          <w:u w:val="single"/>
        </w:rPr>
        <w:t>(897)</w:t>
      </w:r>
    </w:p>
    <w:p>
      <w:pPr>
        <w:spacing w:after="0"/>
        <w:jc w:val="left"/>
        <w:rPr>
          <w:sz w:val="18"/>
        </w:rPr>
        <w:sectPr>
          <w:pgSz w:w="12750" w:h="17680"/>
          <w:pgMar w:header="0" w:footer="927" w:top="2640" w:bottom="1120" w:left="0" w:right="0"/>
        </w:sectPr>
      </w:pPr>
    </w:p>
    <w:p>
      <w:pPr>
        <w:pStyle w:val="BodyText"/>
        <w:rPr>
          <w:sz w:val="20"/>
        </w:rPr>
      </w:pPr>
    </w:p>
    <w:p>
      <w:pPr>
        <w:pStyle w:val="BodyText"/>
        <w:rPr>
          <w:sz w:val="20"/>
        </w:rPr>
      </w:pPr>
    </w:p>
    <w:p>
      <w:pPr>
        <w:pStyle w:val="BodyText"/>
        <w:spacing w:before="4"/>
      </w:pPr>
    </w:p>
    <w:p>
      <w:pPr>
        <w:pStyle w:val="Heading8"/>
        <w:tabs>
          <w:tab w:pos="2391" w:val="left" w:leader="none"/>
        </w:tabs>
        <w:ind w:left="1824"/>
      </w:pPr>
      <w:r>
        <w:rPr/>
        <w:t>18</w:t>
        <w:tab/>
        <w:t>Receivables</w:t>
      </w:r>
      <w:r>
        <w:rPr>
          <w:spacing w:val="-10"/>
        </w:rPr>
        <w:t> </w:t>
      </w:r>
      <w:r>
        <w:rPr/>
        <w:t>(continued)</w:t>
      </w:r>
    </w:p>
    <w:p>
      <w:pPr>
        <w:pStyle w:val="BodyText"/>
        <w:spacing w:before="7"/>
        <w:rPr>
          <w:b/>
          <w:sz w:val="26"/>
        </w:rPr>
      </w:pPr>
    </w:p>
    <w:p>
      <w:pPr>
        <w:pStyle w:val="ListParagraph"/>
        <w:numPr>
          <w:ilvl w:val="0"/>
          <w:numId w:val="21"/>
        </w:numPr>
        <w:tabs>
          <w:tab w:pos="2392" w:val="left" w:leader="none"/>
        </w:tabs>
        <w:spacing w:line="240" w:lineRule="auto" w:before="0" w:after="0"/>
        <w:ind w:left="2391" w:right="0" w:hanging="566"/>
        <w:jc w:val="left"/>
        <w:rPr>
          <w:sz w:val="18"/>
        </w:rPr>
      </w:pPr>
      <w:r>
        <w:rPr>
          <w:sz w:val="18"/>
        </w:rPr>
        <w:t>Impaired receivables</w:t>
      </w:r>
      <w:r>
        <w:rPr>
          <w:spacing w:val="-31"/>
          <w:sz w:val="18"/>
        </w:rPr>
        <w:t> </w:t>
      </w:r>
      <w:r>
        <w:rPr>
          <w:sz w:val="18"/>
        </w:rPr>
        <w:t>(continued)</w:t>
      </w:r>
    </w:p>
    <w:p>
      <w:pPr>
        <w:pStyle w:val="BodyText"/>
        <w:spacing w:before="4"/>
        <w:rPr>
          <w:sz w:val="25"/>
        </w:rPr>
      </w:pPr>
    </w:p>
    <w:p>
      <w:pPr>
        <w:pStyle w:val="BodyText"/>
        <w:ind w:left="2390" w:right="1450"/>
      </w:pPr>
      <w:r>
        <w:rPr/>
        <w:t>As at 31 December 2016 trade receivables of the Group totalling $10.575M (2015: $6.685M) were past due but not impaired. These relate to a number of individual customers for whom there is no recent history of default. The ageing analysis of these receivables is as follows:</w:t>
      </w:r>
    </w:p>
    <w:p>
      <w:pPr>
        <w:pStyle w:val="Heading8"/>
        <w:tabs>
          <w:tab w:pos="9704" w:val="left" w:leader="none"/>
        </w:tabs>
        <w:spacing w:before="33"/>
        <w:ind w:left="6663"/>
      </w:pPr>
      <w:r>
        <w:rPr/>
        <w:t>Consolidated</w:t>
        <w:tab/>
        <w:t>Parent</w:t>
      </w:r>
    </w:p>
    <w:p>
      <w:pPr>
        <w:spacing w:after="0"/>
        <w:sectPr>
          <w:pgSz w:w="12750" w:h="17680"/>
          <w:pgMar w:header="0" w:footer="927" w:top="2640" w:bottom="1120" w:left="0" w:right="0"/>
        </w:sectPr>
      </w:pPr>
    </w:p>
    <w:p>
      <w:pPr>
        <w:spacing w:before="66"/>
        <w:ind w:left="0" w:right="19" w:firstLine="0"/>
        <w:jc w:val="right"/>
        <w:rPr>
          <w:b/>
          <w:sz w:val="18"/>
        </w:rPr>
      </w:pPr>
      <w:r>
        <w:rPr>
          <w:b/>
          <w:sz w:val="18"/>
        </w:rPr>
        <w:t>2016</w:t>
      </w:r>
    </w:p>
    <w:p>
      <w:pPr>
        <w:spacing w:before="66"/>
        <w:ind w:left="0" w:right="0" w:firstLine="0"/>
        <w:jc w:val="right"/>
        <w:rPr>
          <w:b/>
          <w:sz w:val="18"/>
        </w:rPr>
      </w:pPr>
      <w:r>
        <w:rPr>
          <w:b/>
          <w:sz w:val="18"/>
        </w:rPr>
        <w:t>$'000</w:t>
      </w:r>
    </w:p>
    <w:p>
      <w:pPr>
        <w:spacing w:before="66"/>
        <w:ind w:left="823" w:right="-17" w:firstLine="0"/>
        <w:jc w:val="left"/>
        <w:rPr>
          <w:b/>
          <w:sz w:val="18"/>
        </w:rPr>
      </w:pPr>
      <w:r>
        <w:rPr/>
        <w:br w:type="column"/>
      </w:r>
      <w:r>
        <w:rPr>
          <w:b/>
          <w:sz w:val="18"/>
        </w:rPr>
        <w:t>2015</w:t>
      </w:r>
    </w:p>
    <w:p>
      <w:pPr>
        <w:spacing w:before="66"/>
        <w:ind w:left="802" w:right="-17" w:firstLine="0"/>
        <w:jc w:val="left"/>
        <w:rPr>
          <w:b/>
          <w:sz w:val="18"/>
        </w:rPr>
      </w:pPr>
      <w:r>
        <w:rPr>
          <w:b/>
          <w:spacing w:val="-1"/>
          <w:sz w:val="18"/>
        </w:rPr>
        <w:t>$'000</w:t>
      </w:r>
    </w:p>
    <w:p>
      <w:pPr>
        <w:spacing w:before="66"/>
        <w:ind w:left="0" w:right="19" w:firstLine="0"/>
        <w:jc w:val="right"/>
        <w:rPr>
          <w:b/>
          <w:sz w:val="18"/>
        </w:rPr>
      </w:pPr>
      <w:r>
        <w:rPr/>
        <w:br w:type="column"/>
      </w:r>
      <w:r>
        <w:rPr>
          <w:b/>
          <w:sz w:val="18"/>
        </w:rPr>
        <w:t>2016</w:t>
      </w:r>
    </w:p>
    <w:p>
      <w:pPr>
        <w:spacing w:before="66"/>
        <w:ind w:left="0" w:right="0" w:firstLine="0"/>
        <w:jc w:val="right"/>
        <w:rPr>
          <w:b/>
          <w:sz w:val="18"/>
        </w:rPr>
      </w:pPr>
      <w:r>
        <w:rPr>
          <w:b/>
          <w:sz w:val="18"/>
        </w:rPr>
        <w:t>$'000</w:t>
      </w:r>
    </w:p>
    <w:p>
      <w:pPr>
        <w:spacing w:before="66"/>
        <w:ind w:left="823" w:right="0" w:firstLine="0"/>
        <w:jc w:val="left"/>
        <w:rPr>
          <w:b/>
          <w:sz w:val="18"/>
        </w:rPr>
      </w:pPr>
      <w:r>
        <w:rPr/>
        <w:br w:type="column"/>
      </w:r>
      <w:r>
        <w:rPr>
          <w:b/>
          <w:sz w:val="18"/>
        </w:rPr>
        <w:t>2015</w:t>
      </w:r>
    </w:p>
    <w:p>
      <w:pPr>
        <w:spacing w:before="66"/>
        <w:ind w:left="802" w:right="0" w:firstLine="0"/>
        <w:jc w:val="left"/>
        <w:rPr>
          <w:b/>
          <w:sz w:val="18"/>
        </w:rPr>
      </w:pPr>
      <w:r>
        <w:rPr>
          <w:b/>
          <w:sz w:val="18"/>
        </w:rPr>
        <w:t>$'000</w:t>
      </w:r>
    </w:p>
    <w:p>
      <w:pPr>
        <w:spacing w:after="0"/>
        <w:jc w:val="left"/>
        <w:rPr>
          <w:sz w:val="18"/>
        </w:rPr>
        <w:sectPr>
          <w:type w:val="continuous"/>
          <w:pgSz w:w="12750" w:h="17680"/>
          <w:pgMar w:top="1660" w:bottom="0" w:left="0" w:right="0"/>
          <w:cols w:num="4" w:equalWidth="0">
            <w:col w:w="6854" w:space="40"/>
            <w:col w:w="1244" w:space="40"/>
            <w:col w:w="1440" w:space="40"/>
            <w:col w:w="3092"/>
          </w:cols>
        </w:sectPr>
      </w:pPr>
    </w:p>
    <w:p>
      <w:pPr>
        <w:pStyle w:val="BodyText"/>
        <w:spacing w:before="11"/>
        <w:rPr>
          <w:b/>
          <w:sz w:val="5"/>
        </w:rPr>
      </w:pPr>
    </w:p>
    <w:tbl>
      <w:tblPr>
        <w:tblW w:w="0" w:type="auto"/>
        <w:jc w:val="left"/>
        <w:tblInd w:w="238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431"/>
        <w:gridCol w:w="1802"/>
        <w:gridCol w:w="1382"/>
        <w:gridCol w:w="1382"/>
        <w:gridCol w:w="961"/>
      </w:tblGrid>
      <w:tr>
        <w:trPr>
          <w:trHeight w:val="558" w:hRule="exact"/>
        </w:trPr>
        <w:tc>
          <w:tcPr>
            <w:tcW w:w="3431" w:type="dxa"/>
          </w:tcPr>
          <w:p>
            <w:pPr>
              <w:pStyle w:val="TableParagraph"/>
              <w:spacing w:before="77"/>
              <w:ind w:left="35" w:right="594"/>
              <w:jc w:val="left"/>
              <w:rPr>
                <w:b/>
                <w:sz w:val="18"/>
              </w:rPr>
            </w:pPr>
            <w:r>
              <w:rPr>
                <w:b/>
                <w:sz w:val="18"/>
              </w:rPr>
              <w:t>Trade Receivables</w:t>
            </w:r>
          </w:p>
          <w:p>
            <w:pPr>
              <w:pStyle w:val="TableParagraph"/>
              <w:spacing w:before="29"/>
              <w:ind w:left="35" w:right="594"/>
              <w:jc w:val="left"/>
              <w:rPr>
                <w:sz w:val="18"/>
              </w:rPr>
            </w:pPr>
            <w:r>
              <w:rPr>
                <w:sz w:val="18"/>
              </w:rPr>
              <w:t>0 to 3 months</w:t>
            </w:r>
          </w:p>
        </w:tc>
        <w:tc>
          <w:tcPr>
            <w:tcW w:w="1802" w:type="dxa"/>
          </w:tcPr>
          <w:p>
            <w:pPr>
              <w:pStyle w:val="TableParagraph"/>
              <w:jc w:val="left"/>
              <w:rPr>
                <w:b/>
                <w:sz w:val="18"/>
              </w:rPr>
            </w:pPr>
          </w:p>
          <w:p>
            <w:pPr>
              <w:pStyle w:val="TableParagraph"/>
              <w:spacing w:before="105"/>
              <w:ind w:right="422"/>
              <w:rPr>
                <w:b/>
                <w:sz w:val="18"/>
              </w:rPr>
            </w:pPr>
            <w:r>
              <w:rPr>
                <w:b/>
                <w:sz w:val="18"/>
              </w:rPr>
              <w:t>7,554</w:t>
            </w:r>
          </w:p>
        </w:tc>
        <w:tc>
          <w:tcPr>
            <w:tcW w:w="1382" w:type="dxa"/>
          </w:tcPr>
          <w:p>
            <w:pPr>
              <w:pStyle w:val="TableParagraph"/>
              <w:jc w:val="left"/>
              <w:rPr>
                <w:b/>
                <w:sz w:val="18"/>
              </w:rPr>
            </w:pPr>
          </w:p>
          <w:p>
            <w:pPr>
              <w:pStyle w:val="TableParagraph"/>
              <w:spacing w:before="105"/>
              <w:ind w:right="506"/>
              <w:rPr>
                <w:sz w:val="18"/>
              </w:rPr>
            </w:pPr>
            <w:r>
              <w:rPr>
                <w:sz w:val="18"/>
              </w:rPr>
              <w:t>5,032</w:t>
            </w:r>
          </w:p>
        </w:tc>
        <w:tc>
          <w:tcPr>
            <w:tcW w:w="1382" w:type="dxa"/>
          </w:tcPr>
          <w:p>
            <w:pPr>
              <w:pStyle w:val="TableParagraph"/>
              <w:jc w:val="left"/>
              <w:rPr>
                <w:b/>
                <w:sz w:val="18"/>
              </w:rPr>
            </w:pPr>
          </w:p>
          <w:p>
            <w:pPr>
              <w:pStyle w:val="TableParagraph"/>
              <w:spacing w:before="105"/>
              <w:ind w:right="422"/>
              <w:rPr>
                <w:b/>
                <w:sz w:val="18"/>
              </w:rPr>
            </w:pPr>
            <w:r>
              <w:rPr>
                <w:b/>
                <w:sz w:val="18"/>
              </w:rPr>
              <w:t>7,118</w:t>
            </w:r>
          </w:p>
        </w:tc>
        <w:tc>
          <w:tcPr>
            <w:tcW w:w="961" w:type="dxa"/>
          </w:tcPr>
          <w:p>
            <w:pPr>
              <w:pStyle w:val="TableParagraph"/>
              <w:jc w:val="left"/>
              <w:rPr>
                <w:b/>
                <w:sz w:val="18"/>
              </w:rPr>
            </w:pPr>
          </w:p>
          <w:p>
            <w:pPr>
              <w:pStyle w:val="TableParagraph"/>
              <w:spacing w:before="105"/>
              <w:ind w:right="85"/>
              <w:rPr>
                <w:sz w:val="18"/>
              </w:rPr>
            </w:pPr>
            <w:r>
              <w:rPr>
                <w:sz w:val="18"/>
              </w:rPr>
              <w:t>4,827</w:t>
            </w:r>
          </w:p>
        </w:tc>
      </w:tr>
      <w:tr>
        <w:trPr>
          <w:trHeight w:val="264" w:hRule="exact"/>
        </w:trPr>
        <w:tc>
          <w:tcPr>
            <w:tcW w:w="3431" w:type="dxa"/>
          </w:tcPr>
          <w:p>
            <w:pPr>
              <w:pStyle w:val="TableParagraph"/>
              <w:spacing w:before="19"/>
              <w:ind w:left="35" w:right="594"/>
              <w:jc w:val="left"/>
              <w:rPr>
                <w:sz w:val="18"/>
              </w:rPr>
            </w:pPr>
            <w:r>
              <w:rPr>
                <w:sz w:val="18"/>
              </w:rPr>
              <w:t>3 to 6 months</w:t>
            </w:r>
          </w:p>
        </w:tc>
        <w:tc>
          <w:tcPr>
            <w:tcW w:w="1802" w:type="dxa"/>
          </w:tcPr>
          <w:p>
            <w:pPr>
              <w:pStyle w:val="TableParagraph"/>
              <w:spacing w:before="18"/>
              <w:ind w:right="422"/>
              <w:rPr>
                <w:b/>
                <w:sz w:val="18"/>
              </w:rPr>
            </w:pPr>
            <w:r>
              <w:rPr>
                <w:b/>
                <w:sz w:val="18"/>
              </w:rPr>
              <w:t>2,473</w:t>
            </w:r>
          </w:p>
        </w:tc>
        <w:tc>
          <w:tcPr>
            <w:tcW w:w="1382" w:type="dxa"/>
          </w:tcPr>
          <w:p>
            <w:pPr>
              <w:pStyle w:val="TableParagraph"/>
              <w:spacing w:before="18"/>
              <w:ind w:right="506"/>
              <w:rPr>
                <w:sz w:val="18"/>
              </w:rPr>
            </w:pPr>
            <w:r>
              <w:rPr>
                <w:sz w:val="18"/>
              </w:rPr>
              <w:t>622</w:t>
            </w:r>
          </w:p>
        </w:tc>
        <w:tc>
          <w:tcPr>
            <w:tcW w:w="1382" w:type="dxa"/>
          </w:tcPr>
          <w:p>
            <w:pPr>
              <w:pStyle w:val="TableParagraph"/>
              <w:spacing w:before="18"/>
              <w:ind w:right="422"/>
              <w:rPr>
                <w:b/>
                <w:sz w:val="18"/>
              </w:rPr>
            </w:pPr>
            <w:r>
              <w:rPr>
                <w:b/>
                <w:sz w:val="18"/>
              </w:rPr>
              <w:t>1,855</w:t>
            </w:r>
          </w:p>
        </w:tc>
        <w:tc>
          <w:tcPr>
            <w:tcW w:w="961" w:type="dxa"/>
          </w:tcPr>
          <w:p>
            <w:pPr>
              <w:pStyle w:val="TableParagraph"/>
              <w:spacing w:before="18"/>
              <w:ind w:right="85"/>
              <w:rPr>
                <w:sz w:val="18"/>
              </w:rPr>
            </w:pPr>
            <w:r>
              <w:rPr>
                <w:sz w:val="18"/>
              </w:rPr>
              <w:t>597</w:t>
            </w:r>
          </w:p>
        </w:tc>
      </w:tr>
      <w:tr>
        <w:trPr>
          <w:trHeight w:val="262" w:hRule="exact"/>
        </w:trPr>
        <w:tc>
          <w:tcPr>
            <w:tcW w:w="3431" w:type="dxa"/>
          </w:tcPr>
          <w:p>
            <w:pPr>
              <w:pStyle w:val="TableParagraph"/>
              <w:spacing w:before="19"/>
              <w:ind w:left="35" w:right="594"/>
              <w:jc w:val="left"/>
              <w:rPr>
                <w:sz w:val="18"/>
              </w:rPr>
            </w:pPr>
            <w:r>
              <w:rPr>
                <w:sz w:val="18"/>
              </w:rPr>
              <w:t>Over 6 months</w:t>
            </w:r>
          </w:p>
        </w:tc>
        <w:tc>
          <w:tcPr>
            <w:tcW w:w="1802" w:type="dxa"/>
            <w:tcBorders>
              <w:bottom w:val="single" w:sz="0" w:space="0" w:color="000000"/>
            </w:tcBorders>
          </w:tcPr>
          <w:p>
            <w:pPr>
              <w:pStyle w:val="TableParagraph"/>
              <w:spacing w:before="18"/>
              <w:ind w:right="422"/>
              <w:rPr>
                <w:b/>
                <w:sz w:val="18"/>
              </w:rPr>
            </w:pPr>
            <w:r>
              <w:rPr>
                <w:b/>
                <w:sz w:val="18"/>
              </w:rPr>
              <w:t>548</w:t>
            </w:r>
          </w:p>
        </w:tc>
        <w:tc>
          <w:tcPr>
            <w:tcW w:w="1382" w:type="dxa"/>
            <w:tcBorders>
              <w:bottom w:val="single" w:sz="0" w:space="0" w:color="000000"/>
            </w:tcBorders>
          </w:tcPr>
          <w:p>
            <w:pPr>
              <w:pStyle w:val="TableParagraph"/>
              <w:spacing w:before="18"/>
              <w:ind w:right="506"/>
              <w:rPr>
                <w:sz w:val="18"/>
              </w:rPr>
            </w:pPr>
            <w:r>
              <w:rPr>
                <w:sz w:val="18"/>
              </w:rPr>
              <w:t>1,031</w:t>
            </w:r>
          </w:p>
        </w:tc>
        <w:tc>
          <w:tcPr>
            <w:tcW w:w="1382" w:type="dxa"/>
            <w:tcBorders>
              <w:bottom w:val="single" w:sz="0" w:space="0" w:color="000000"/>
            </w:tcBorders>
          </w:tcPr>
          <w:p>
            <w:pPr>
              <w:pStyle w:val="TableParagraph"/>
              <w:spacing w:before="18"/>
              <w:ind w:right="422"/>
              <w:rPr>
                <w:b/>
                <w:sz w:val="18"/>
              </w:rPr>
            </w:pPr>
            <w:r>
              <w:rPr>
                <w:b/>
                <w:sz w:val="18"/>
              </w:rPr>
              <w:t>501</w:t>
            </w:r>
          </w:p>
        </w:tc>
        <w:tc>
          <w:tcPr>
            <w:tcW w:w="961" w:type="dxa"/>
            <w:tcBorders>
              <w:bottom w:val="single" w:sz="0" w:space="0" w:color="000000"/>
            </w:tcBorders>
          </w:tcPr>
          <w:p>
            <w:pPr>
              <w:pStyle w:val="TableParagraph"/>
              <w:spacing w:before="18"/>
              <w:ind w:right="85"/>
              <w:rPr>
                <w:sz w:val="18"/>
              </w:rPr>
            </w:pPr>
            <w:r>
              <w:rPr>
                <w:sz w:val="18"/>
              </w:rPr>
              <w:t>831</w:t>
            </w:r>
          </w:p>
        </w:tc>
      </w:tr>
      <w:tr>
        <w:trPr>
          <w:trHeight w:val="326" w:hRule="exact"/>
        </w:trPr>
        <w:tc>
          <w:tcPr>
            <w:tcW w:w="3431" w:type="dxa"/>
          </w:tcPr>
          <w:p>
            <w:pPr>
              <w:pStyle w:val="TableParagraph"/>
              <w:spacing w:before="123"/>
              <w:ind w:left="35" w:right="594"/>
              <w:jc w:val="left"/>
              <w:rPr>
                <w:b/>
                <w:sz w:val="18"/>
              </w:rPr>
            </w:pPr>
            <w:r>
              <w:rPr>
                <w:b/>
                <w:sz w:val="18"/>
              </w:rPr>
              <w:t>Total past due but not impaired</w:t>
            </w:r>
          </w:p>
        </w:tc>
        <w:tc>
          <w:tcPr>
            <w:tcW w:w="1802" w:type="dxa"/>
            <w:tcBorders>
              <w:top w:val="single" w:sz="0" w:space="0" w:color="000000"/>
            </w:tcBorders>
          </w:tcPr>
          <w:p>
            <w:pPr/>
          </w:p>
        </w:tc>
        <w:tc>
          <w:tcPr>
            <w:tcW w:w="1382" w:type="dxa"/>
            <w:tcBorders>
              <w:top w:val="single" w:sz="0" w:space="0" w:color="000000"/>
            </w:tcBorders>
          </w:tcPr>
          <w:p>
            <w:pPr/>
          </w:p>
        </w:tc>
        <w:tc>
          <w:tcPr>
            <w:tcW w:w="1382" w:type="dxa"/>
            <w:tcBorders>
              <w:top w:val="single" w:sz="0" w:space="0" w:color="000000"/>
            </w:tcBorders>
          </w:tcPr>
          <w:p>
            <w:pPr/>
          </w:p>
        </w:tc>
        <w:tc>
          <w:tcPr>
            <w:tcW w:w="961" w:type="dxa"/>
            <w:tcBorders>
              <w:top w:val="single" w:sz="0" w:space="0" w:color="000000"/>
            </w:tcBorders>
          </w:tcPr>
          <w:p>
            <w:pPr/>
          </w:p>
        </w:tc>
      </w:tr>
    </w:tbl>
    <w:p>
      <w:pPr>
        <w:tabs>
          <w:tab w:pos="5815" w:val="left" w:leader="none"/>
          <w:tab w:pos="6644" w:val="left" w:leader="none"/>
          <w:tab w:pos="8042" w:val="left" w:leader="none"/>
          <w:tab w:pos="9507" w:val="left" w:leader="none"/>
          <w:tab w:pos="10805" w:val="left" w:leader="none"/>
        </w:tabs>
        <w:spacing w:before="3"/>
        <w:ind w:left="2419" w:right="0" w:firstLine="0"/>
        <w:jc w:val="left"/>
        <w:rPr>
          <w:sz w:val="18"/>
        </w:rPr>
      </w:pPr>
      <w:r>
        <w:rPr>
          <w:b/>
          <w:sz w:val="18"/>
        </w:rPr>
        <w:t>receivables</w:t>
        <w:tab/>
      </w:r>
      <w:r>
        <w:rPr>
          <w:rFonts w:ascii="Times New Roman"/>
          <w:sz w:val="18"/>
          <w:u w:val="single"/>
        </w:rPr>
        <w:t> </w:t>
        <w:tab/>
      </w:r>
      <w:r>
        <w:rPr>
          <w:b/>
          <w:sz w:val="18"/>
          <w:u w:val="single"/>
        </w:rPr>
        <w:t>10,575</w:t>
        <w:tab/>
      </w:r>
      <w:r>
        <w:rPr>
          <w:sz w:val="18"/>
          <w:u w:val="single"/>
        </w:rPr>
        <w:t>6,685</w:t>
        <w:tab/>
      </w:r>
      <w:r>
        <w:rPr>
          <w:b/>
          <w:sz w:val="18"/>
          <w:u w:val="single"/>
        </w:rPr>
        <w:t>9,474</w:t>
        <w:tab/>
      </w:r>
      <w:r>
        <w:rPr>
          <w:sz w:val="18"/>
          <w:u w:val="single"/>
        </w:rPr>
        <w:t>6,255</w:t>
      </w:r>
    </w:p>
    <w:p>
      <w:pPr>
        <w:pStyle w:val="BodyText"/>
        <w:rPr>
          <w:sz w:val="20"/>
        </w:rPr>
      </w:pPr>
    </w:p>
    <w:p>
      <w:pPr>
        <w:pStyle w:val="BodyText"/>
        <w:spacing w:before="9"/>
        <w:rPr>
          <w:sz w:val="20"/>
        </w:rPr>
      </w:pPr>
    </w:p>
    <w:p>
      <w:pPr>
        <w:pStyle w:val="Heading8"/>
        <w:tabs>
          <w:tab w:pos="9704" w:val="left" w:leader="none"/>
        </w:tabs>
        <w:spacing w:before="77"/>
        <w:ind w:left="6663"/>
      </w:pPr>
      <w:r>
        <w:rPr/>
        <w:t>Consolidated</w:t>
        <w:tab/>
        <w:t>Parent</w:t>
      </w:r>
    </w:p>
    <w:p>
      <w:pPr>
        <w:spacing w:after="0"/>
        <w:sectPr>
          <w:type w:val="continuous"/>
          <w:pgSz w:w="12750" w:h="17680"/>
          <w:pgMar w:top="1660" w:bottom="0" w:left="0" w:right="0"/>
        </w:sectPr>
      </w:pPr>
    </w:p>
    <w:p>
      <w:pPr>
        <w:spacing w:before="66"/>
        <w:ind w:left="0" w:right="19" w:firstLine="0"/>
        <w:jc w:val="right"/>
        <w:rPr>
          <w:b/>
          <w:sz w:val="18"/>
        </w:rPr>
      </w:pPr>
      <w:r>
        <w:rPr>
          <w:b/>
          <w:sz w:val="18"/>
        </w:rPr>
        <w:t>2016</w:t>
      </w:r>
    </w:p>
    <w:p>
      <w:pPr>
        <w:spacing w:before="66"/>
        <w:ind w:left="0" w:right="0" w:firstLine="0"/>
        <w:jc w:val="right"/>
        <w:rPr>
          <w:b/>
          <w:sz w:val="18"/>
        </w:rPr>
      </w:pPr>
      <w:r>
        <w:rPr/>
        <w:drawing>
          <wp:anchor distT="0" distB="0" distL="0" distR="0" allowOverlap="1" layoutInCell="1" locked="0" behindDoc="0" simplePos="0" relativeHeight="3616">
            <wp:simplePos x="0" y="0"/>
            <wp:positionH relativeFrom="page">
              <wp:posOffset>-1587</wp:posOffset>
            </wp:positionH>
            <wp:positionV relativeFrom="paragraph">
              <wp:posOffset>164514</wp:posOffset>
            </wp:positionV>
            <wp:extent cx="135159" cy="154019"/>
            <wp:effectExtent l="0" t="0" r="0" b="0"/>
            <wp:wrapNone/>
            <wp:docPr id="199" name="image13.png" descr=""/>
            <wp:cNvGraphicFramePr>
              <a:graphicFrameLocks noChangeAspect="1"/>
            </wp:cNvGraphicFramePr>
            <a:graphic>
              <a:graphicData uri="http://schemas.openxmlformats.org/drawingml/2006/picture">
                <pic:pic>
                  <pic:nvPicPr>
                    <pic:cNvPr id="200" name="image13.png"/>
                    <pic:cNvPicPr/>
                  </pic:nvPicPr>
                  <pic:blipFill>
                    <a:blip r:embed="rId18" cstate="print"/>
                    <a:stretch>
                      <a:fillRect/>
                    </a:stretch>
                  </pic:blipFill>
                  <pic:spPr>
                    <a:xfrm>
                      <a:off x="0" y="0"/>
                      <a:ext cx="135159" cy="154019"/>
                    </a:xfrm>
                    <a:prstGeom prst="rect">
                      <a:avLst/>
                    </a:prstGeom>
                  </pic:spPr>
                </pic:pic>
              </a:graphicData>
            </a:graphic>
          </wp:anchor>
        </w:drawing>
      </w:r>
      <w:r>
        <w:rPr>
          <w:b/>
          <w:sz w:val="18"/>
        </w:rPr>
        <w:t>$'000</w:t>
      </w:r>
    </w:p>
    <w:p>
      <w:pPr>
        <w:spacing w:before="66"/>
        <w:ind w:left="823" w:right="-17" w:firstLine="0"/>
        <w:jc w:val="left"/>
        <w:rPr>
          <w:b/>
          <w:sz w:val="18"/>
        </w:rPr>
      </w:pPr>
      <w:r>
        <w:rPr/>
        <w:br w:type="column"/>
      </w:r>
      <w:r>
        <w:rPr>
          <w:b/>
          <w:sz w:val="18"/>
        </w:rPr>
        <w:t>2015</w:t>
      </w:r>
    </w:p>
    <w:p>
      <w:pPr>
        <w:spacing w:before="66"/>
        <w:ind w:left="802" w:right="-17" w:firstLine="0"/>
        <w:jc w:val="left"/>
        <w:rPr>
          <w:b/>
          <w:sz w:val="18"/>
        </w:rPr>
      </w:pPr>
      <w:r>
        <w:rPr>
          <w:b/>
          <w:spacing w:val="-1"/>
          <w:sz w:val="18"/>
        </w:rPr>
        <w:t>$'000</w:t>
      </w:r>
    </w:p>
    <w:p>
      <w:pPr>
        <w:spacing w:before="66"/>
        <w:ind w:left="0" w:right="19" w:firstLine="0"/>
        <w:jc w:val="right"/>
        <w:rPr>
          <w:b/>
          <w:sz w:val="18"/>
        </w:rPr>
      </w:pPr>
      <w:r>
        <w:rPr/>
        <w:br w:type="column"/>
      </w:r>
      <w:r>
        <w:rPr>
          <w:b/>
          <w:sz w:val="18"/>
        </w:rPr>
        <w:t>2016</w:t>
      </w:r>
    </w:p>
    <w:p>
      <w:pPr>
        <w:spacing w:before="66"/>
        <w:ind w:left="0" w:right="0" w:firstLine="0"/>
        <w:jc w:val="right"/>
        <w:rPr>
          <w:b/>
          <w:sz w:val="18"/>
        </w:rPr>
      </w:pPr>
      <w:r>
        <w:rPr>
          <w:b/>
          <w:sz w:val="18"/>
        </w:rPr>
        <w:t>$'000</w:t>
      </w:r>
    </w:p>
    <w:p>
      <w:pPr>
        <w:spacing w:before="66"/>
        <w:ind w:left="823" w:right="0" w:firstLine="0"/>
        <w:jc w:val="left"/>
        <w:rPr>
          <w:b/>
          <w:sz w:val="18"/>
        </w:rPr>
      </w:pPr>
      <w:r>
        <w:rPr/>
        <w:br w:type="column"/>
      </w:r>
      <w:r>
        <w:rPr>
          <w:b/>
          <w:sz w:val="18"/>
        </w:rPr>
        <w:t>2015</w:t>
      </w:r>
    </w:p>
    <w:p>
      <w:pPr>
        <w:spacing w:before="66"/>
        <w:ind w:left="802" w:right="0" w:firstLine="0"/>
        <w:jc w:val="left"/>
        <w:rPr>
          <w:b/>
          <w:sz w:val="18"/>
        </w:rPr>
      </w:pPr>
      <w:r>
        <w:rPr/>
        <w:drawing>
          <wp:anchor distT="0" distB="0" distL="0" distR="0" allowOverlap="1" layoutInCell="1" locked="0" behindDoc="0" simplePos="0" relativeHeight="3640">
            <wp:simplePos x="0" y="0"/>
            <wp:positionH relativeFrom="page">
              <wp:posOffset>7958429</wp:posOffset>
            </wp:positionH>
            <wp:positionV relativeFrom="paragraph">
              <wp:posOffset>164514</wp:posOffset>
            </wp:positionV>
            <wp:extent cx="135953" cy="155575"/>
            <wp:effectExtent l="0" t="0" r="0" b="0"/>
            <wp:wrapNone/>
            <wp:docPr id="201" name="image15.png" descr=""/>
            <wp:cNvGraphicFramePr>
              <a:graphicFrameLocks noChangeAspect="1"/>
            </wp:cNvGraphicFramePr>
            <a:graphic>
              <a:graphicData uri="http://schemas.openxmlformats.org/drawingml/2006/picture">
                <pic:pic>
                  <pic:nvPicPr>
                    <pic:cNvPr id="202" name="image15.png"/>
                    <pic:cNvPicPr/>
                  </pic:nvPicPr>
                  <pic:blipFill>
                    <a:blip r:embed="rId20" cstate="print"/>
                    <a:stretch>
                      <a:fillRect/>
                    </a:stretch>
                  </pic:blipFill>
                  <pic:spPr>
                    <a:xfrm>
                      <a:off x="0" y="0"/>
                      <a:ext cx="135953" cy="155575"/>
                    </a:xfrm>
                    <a:prstGeom prst="rect">
                      <a:avLst/>
                    </a:prstGeom>
                  </pic:spPr>
                </pic:pic>
              </a:graphicData>
            </a:graphic>
          </wp:anchor>
        </w:drawing>
      </w:r>
      <w:r>
        <w:rPr>
          <w:b/>
          <w:sz w:val="18"/>
        </w:rPr>
        <w:t>$'000</w:t>
      </w:r>
    </w:p>
    <w:p>
      <w:pPr>
        <w:spacing w:after="0"/>
        <w:jc w:val="left"/>
        <w:rPr>
          <w:sz w:val="18"/>
        </w:rPr>
        <w:sectPr>
          <w:type w:val="continuous"/>
          <w:pgSz w:w="12750" w:h="17680"/>
          <w:pgMar w:top="1660" w:bottom="0" w:left="0" w:right="0"/>
          <w:cols w:num="4" w:equalWidth="0">
            <w:col w:w="6854" w:space="40"/>
            <w:col w:w="1244" w:space="40"/>
            <w:col w:w="1440" w:space="40"/>
            <w:col w:w="3092"/>
          </w:cols>
        </w:sectPr>
      </w:pPr>
    </w:p>
    <w:p>
      <w:pPr>
        <w:pStyle w:val="BodyText"/>
        <w:spacing w:before="11"/>
        <w:rPr>
          <w:b/>
          <w:sz w:val="5"/>
        </w:rPr>
      </w:pPr>
    </w:p>
    <w:tbl>
      <w:tblPr>
        <w:tblW w:w="0" w:type="auto"/>
        <w:jc w:val="left"/>
        <w:tblInd w:w="238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431"/>
        <w:gridCol w:w="1832"/>
        <w:gridCol w:w="1427"/>
        <w:gridCol w:w="1307"/>
        <w:gridCol w:w="961"/>
      </w:tblGrid>
      <w:tr>
        <w:trPr>
          <w:trHeight w:val="720" w:hRule="exact"/>
        </w:trPr>
        <w:tc>
          <w:tcPr>
            <w:tcW w:w="3431" w:type="dxa"/>
          </w:tcPr>
          <w:p>
            <w:pPr>
              <w:pStyle w:val="TableParagraph"/>
              <w:spacing w:before="77"/>
              <w:ind w:left="35" w:right="594"/>
              <w:jc w:val="left"/>
              <w:rPr>
                <w:b/>
                <w:sz w:val="18"/>
              </w:rPr>
            </w:pPr>
            <w:r>
              <w:rPr>
                <w:b/>
                <w:sz w:val="18"/>
              </w:rPr>
              <w:t>Movements in the provision for impaired receivables are as follows:</w:t>
            </w:r>
          </w:p>
        </w:tc>
        <w:tc>
          <w:tcPr>
            <w:tcW w:w="5527" w:type="dxa"/>
            <w:gridSpan w:val="4"/>
          </w:tcPr>
          <w:p>
            <w:pPr/>
          </w:p>
        </w:tc>
      </w:tr>
      <w:tr>
        <w:trPr>
          <w:trHeight w:val="250" w:hRule="exact"/>
        </w:trPr>
        <w:tc>
          <w:tcPr>
            <w:tcW w:w="3431" w:type="dxa"/>
          </w:tcPr>
          <w:p>
            <w:pPr>
              <w:pStyle w:val="TableParagraph"/>
              <w:spacing w:before="6"/>
              <w:ind w:left="35" w:right="594"/>
              <w:jc w:val="left"/>
              <w:rPr>
                <w:sz w:val="18"/>
              </w:rPr>
            </w:pPr>
            <w:r>
              <w:rPr>
                <w:sz w:val="18"/>
              </w:rPr>
              <w:t>At 1 January</w:t>
            </w:r>
          </w:p>
        </w:tc>
        <w:tc>
          <w:tcPr>
            <w:tcW w:w="1832" w:type="dxa"/>
          </w:tcPr>
          <w:p>
            <w:pPr>
              <w:pStyle w:val="TableParagraph"/>
              <w:spacing w:before="4"/>
              <w:ind w:right="452"/>
              <w:rPr>
                <w:b/>
                <w:sz w:val="18"/>
              </w:rPr>
            </w:pPr>
            <w:r>
              <w:rPr>
                <w:b/>
                <w:sz w:val="18"/>
              </w:rPr>
              <w:t>1,176</w:t>
            </w:r>
          </w:p>
        </w:tc>
        <w:tc>
          <w:tcPr>
            <w:tcW w:w="1427" w:type="dxa"/>
          </w:tcPr>
          <w:p>
            <w:pPr>
              <w:pStyle w:val="TableParagraph"/>
              <w:spacing w:before="4"/>
              <w:ind w:right="580"/>
              <w:rPr>
                <w:sz w:val="18"/>
              </w:rPr>
            </w:pPr>
            <w:r>
              <w:rPr>
                <w:sz w:val="18"/>
              </w:rPr>
              <w:t>1,208</w:t>
            </w:r>
          </w:p>
        </w:tc>
        <w:tc>
          <w:tcPr>
            <w:tcW w:w="1307" w:type="dxa"/>
          </w:tcPr>
          <w:p>
            <w:pPr>
              <w:pStyle w:val="TableParagraph"/>
              <w:spacing w:before="4"/>
              <w:ind w:left="583"/>
              <w:jc w:val="left"/>
              <w:rPr>
                <w:b/>
                <w:sz w:val="18"/>
              </w:rPr>
            </w:pPr>
            <w:r>
              <w:rPr>
                <w:b/>
                <w:sz w:val="18"/>
              </w:rPr>
              <w:t>897</w:t>
            </w:r>
          </w:p>
        </w:tc>
        <w:tc>
          <w:tcPr>
            <w:tcW w:w="961" w:type="dxa"/>
          </w:tcPr>
          <w:p>
            <w:pPr>
              <w:pStyle w:val="TableParagraph"/>
              <w:spacing w:before="4"/>
              <w:ind w:right="85"/>
              <w:rPr>
                <w:sz w:val="18"/>
              </w:rPr>
            </w:pPr>
            <w:r>
              <w:rPr>
                <w:sz w:val="18"/>
              </w:rPr>
              <w:t>7,167</w:t>
            </w:r>
          </w:p>
        </w:tc>
      </w:tr>
      <w:tr>
        <w:trPr>
          <w:trHeight w:val="674" w:hRule="exact"/>
        </w:trPr>
        <w:tc>
          <w:tcPr>
            <w:tcW w:w="3431" w:type="dxa"/>
          </w:tcPr>
          <w:p>
            <w:pPr>
              <w:pStyle w:val="TableParagraph"/>
              <w:spacing w:before="18"/>
              <w:ind w:left="35" w:right="594"/>
              <w:jc w:val="left"/>
              <w:rPr>
                <w:sz w:val="18"/>
              </w:rPr>
            </w:pPr>
            <w:r>
              <w:rPr>
                <w:sz w:val="18"/>
              </w:rPr>
              <w:t>Provision for impairment recognised / (reversed) during the year</w:t>
            </w:r>
          </w:p>
        </w:tc>
        <w:tc>
          <w:tcPr>
            <w:tcW w:w="1832" w:type="dxa"/>
          </w:tcPr>
          <w:p>
            <w:pPr>
              <w:pStyle w:val="TableParagraph"/>
              <w:jc w:val="left"/>
              <w:rPr>
                <w:b/>
                <w:sz w:val="18"/>
              </w:rPr>
            </w:pPr>
          </w:p>
          <w:p>
            <w:pPr>
              <w:pStyle w:val="TableParagraph"/>
              <w:spacing w:before="3"/>
              <w:jc w:val="left"/>
              <w:rPr>
                <w:b/>
                <w:sz w:val="19"/>
              </w:rPr>
            </w:pPr>
          </w:p>
          <w:p>
            <w:pPr>
              <w:pStyle w:val="TableParagraph"/>
              <w:spacing w:before="1"/>
              <w:ind w:right="393"/>
              <w:rPr>
                <w:b/>
                <w:sz w:val="18"/>
              </w:rPr>
            </w:pPr>
            <w:r>
              <w:rPr>
                <w:b/>
                <w:sz w:val="18"/>
              </w:rPr>
              <w:t>(685)</w:t>
            </w:r>
          </w:p>
        </w:tc>
        <w:tc>
          <w:tcPr>
            <w:tcW w:w="1427" w:type="dxa"/>
          </w:tcPr>
          <w:p>
            <w:pPr>
              <w:pStyle w:val="TableParagraph"/>
              <w:jc w:val="left"/>
              <w:rPr>
                <w:b/>
                <w:sz w:val="18"/>
              </w:rPr>
            </w:pPr>
          </w:p>
          <w:p>
            <w:pPr>
              <w:pStyle w:val="TableParagraph"/>
              <w:spacing w:before="3"/>
              <w:jc w:val="left"/>
              <w:rPr>
                <w:b/>
                <w:sz w:val="19"/>
              </w:rPr>
            </w:pPr>
          </w:p>
          <w:p>
            <w:pPr>
              <w:pStyle w:val="TableParagraph"/>
              <w:spacing w:before="1"/>
              <w:ind w:right="521"/>
              <w:rPr>
                <w:sz w:val="18"/>
              </w:rPr>
            </w:pPr>
            <w:r>
              <w:rPr>
                <w:sz w:val="18"/>
              </w:rPr>
              <w:t>(488)</w:t>
            </w:r>
          </w:p>
        </w:tc>
        <w:tc>
          <w:tcPr>
            <w:tcW w:w="1307" w:type="dxa"/>
          </w:tcPr>
          <w:p>
            <w:pPr>
              <w:pStyle w:val="TableParagraph"/>
              <w:jc w:val="left"/>
              <w:rPr>
                <w:b/>
                <w:sz w:val="18"/>
              </w:rPr>
            </w:pPr>
          </w:p>
          <w:p>
            <w:pPr>
              <w:pStyle w:val="TableParagraph"/>
              <w:spacing w:before="3"/>
              <w:jc w:val="left"/>
              <w:rPr>
                <w:b/>
                <w:sz w:val="19"/>
              </w:rPr>
            </w:pPr>
          </w:p>
          <w:p>
            <w:pPr>
              <w:pStyle w:val="TableParagraph"/>
              <w:spacing w:before="1"/>
              <w:ind w:right="363"/>
              <w:rPr>
                <w:b/>
                <w:sz w:val="18"/>
              </w:rPr>
            </w:pPr>
            <w:r>
              <w:rPr>
                <w:b/>
                <w:sz w:val="18"/>
              </w:rPr>
              <w:t>(423)</w:t>
            </w:r>
          </w:p>
        </w:tc>
        <w:tc>
          <w:tcPr>
            <w:tcW w:w="961" w:type="dxa"/>
          </w:tcPr>
          <w:p>
            <w:pPr>
              <w:pStyle w:val="TableParagraph"/>
              <w:jc w:val="left"/>
              <w:rPr>
                <w:b/>
                <w:sz w:val="18"/>
              </w:rPr>
            </w:pPr>
          </w:p>
          <w:p>
            <w:pPr>
              <w:pStyle w:val="TableParagraph"/>
              <w:spacing w:before="3"/>
              <w:jc w:val="left"/>
              <w:rPr>
                <w:b/>
                <w:sz w:val="19"/>
              </w:rPr>
            </w:pPr>
          </w:p>
          <w:p>
            <w:pPr>
              <w:pStyle w:val="TableParagraph"/>
              <w:spacing w:before="1"/>
              <w:ind w:right="26"/>
              <w:rPr>
                <w:sz w:val="18"/>
              </w:rPr>
            </w:pPr>
            <w:r>
              <w:rPr>
                <w:sz w:val="18"/>
              </w:rPr>
              <w:t>(601)</w:t>
            </w:r>
          </w:p>
        </w:tc>
      </w:tr>
      <w:tr>
        <w:trPr>
          <w:trHeight w:val="675" w:hRule="exact"/>
        </w:trPr>
        <w:tc>
          <w:tcPr>
            <w:tcW w:w="3431" w:type="dxa"/>
          </w:tcPr>
          <w:p>
            <w:pPr>
              <w:pStyle w:val="TableParagraph"/>
              <w:spacing w:before="18"/>
              <w:ind w:left="35" w:right="684"/>
              <w:jc w:val="left"/>
              <w:rPr>
                <w:sz w:val="18"/>
              </w:rPr>
            </w:pPr>
            <w:r>
              <w:rPr>
                <w:sz w:val="18"/>
              </w:rPr>
              <w:t>Receivables written off / (reversed) during the year as uncollectible</w:t>
            </w:r>
          </w:p>
        </w:tc>
        <w:tc>
          <w:tcPr>
            <w:tcW w:w="1832" w:type="dxa"/>
          </w:tcPr>
          <w:p>
            <w:pPr>
              <w:pStyle w:val="TableParagraph"/>
              <w:jc w:val="left"/>
              <w:rPr>
                <w:b/>
                <w:sz w:val="18"/>
              </w:rPr>
            </w:pPr>
          </w:p>
          <w:p>
            <w:pPr>
              <w:pStyle w:val="TableParagraph"/>
              <w:spacing w:before="3"/>
              <w:jc w:val="left"/>
              <w:rPr>
                <w:b/>
                <w:sz w:val="19"/>
              </w:rPr>
            </w:pPr>
          </w:p>
          <w:p>
            <w:pPr>
              <w:pStyle w:val="TableParagraph"/>
              <w:spacing w:before="1"/>
              <w:ind w:right="452"/>
              <w:rPr>
                <w:b/>
                <w:sz w:val="18"/>
              </w:rPr>
            </w:pPr>
            <w:r>
              <w:rPr>
                <w:b/>
                <w:sz w:val="18"/>
              </w:rPr>
              <w:t>127</w:t>
            </w:r>
          </w:p>
        </w:tc>
        <w:tc>
          <w:tcPr>
            <w:tcW w:w="1427" w:type="dxa"/>
          </w:tcPr>
          <w:p>
            <w:pPr>
              <w:pStyle w:val="TableParagraph"/>
              <w:jc w:val="left"/>
              <w:rPr>
                <w:b/>
                <w:sz w:val="18"/>
              </w:rPr>
            </w:pPr>
          </w:p>
          <w:p>
            <w:pPr>
              <w:pStyle w:val="TableParagraph"/>
              <w:spacing w:before="3"/>
              <w:jc w:val="left"/>
              <w:rPr>
                <w:b/>
                <w:sz w:val="19"/>
              </w:rPr>
            </w:pPr>
          </w:p>
          <w:p>
            <w:pPr>
              <w:pStyle w:val="TableParagraph"/>
              <w:spacing w:before="1"/>
              <w:ind w:right="581"/>
              <w:rPr>
                <w:sz w:val="18"/>
              </w:rPr>
            </w:pPr>
            <w:r>
              <w:rPr>
                <w:sz w:val="18"/>
              </w:rPr>
              <w:t>456</w:t>
            </w:r>
          </w:p>
        </w:tc>
        <w:tc>
          <w:tcPr>
            <w:tcW w:w="1307" w:type="dxa"/>
          </w:tcPr>
          <w:p>
            <w:pPr>
              <w:pStyle w:val="TableParagraph"/>
              <w:jc w:val="left"/>
              <w:rPr>
                <w:b/>
                <w:sz w:val="18"/>
              </w:rPr>
            </w:pPr>
          </w:p>
          <w:p>
            <w:pPr>
              <w:pStyle w:val="TableParagraph"/>
              <w:spacing w:before="3"/>
              <w:jc w:val="left"/>
              <w:rPr>
                <w:b/>
                <w:sz w:val="19"/>
              </w:rPr>
            </w:pPr>
          </w:p>
          <w:p>
            <w:pPr>
              <w:pStyle w:val="TableParagraph"/>
              <w:spacing w:before="1"/>
              <w:ind w:left="583"/>
              <w:jc w:val="left"/>
              <w:rPr>
                <w:b/>
                <w:sz w:val="18"/>
              </w:rPr>
            </w:pPr>
            <w:r>
              <w:rPr>
                <w:b/>
                <w:sz w:val="18"/>
              </w:rPr>
              <w:t>112</w:t>
            </w:r>
          </w:p>
        </w:tc>
        <w:tc>
          <w:tcPr>
            <w:tcW w:w="961" w:type="dxa"/>
          </w:tcPr>
          <w:p>
            <w:pPr>
              <w:pStyle w:val="TableParagraph"/>
              <w:jc w:val="left"/>
              <w:rPr>
                <w:b/>
                <w:sz w:val="18"/>
              </w:rPr>
            </w:pPr>
          </w:p>
          <w:p>
            <w:pPr>
              <w:pStyle w:val="TableParagraph"/>
              <w:spacing w:before="3"/>
              <w:jc w:val="left"/>
              <w:rPr>
                <w:b/>
                <w:sz w:val="19"/>
              </w:rPr>
            </w:pPr>
          </w:p>
          <w:p>
            <w:pPr>
              <w:pStyle w:val="TableParagraph"/>
              <w:spacing w:before="1"/>
              <w:ind w:right="85"/>
              <w:rPr>
                <w:sz w:val="18"/>
              </w:rPr>
            </w:pPr>
            <w:r>
              <w:rPr>
                <w:sz w:val="18"/>
              </w:rPr>
              <w:t>431</w:t>
            </w:r>
          </w:p>
        </w:tc>
      </w:tr>
      <w:tr>
        <w:trPr>
          <w:trHeight w:val="264" w:hRule="exact"/>
        </w:trPr>
        <w:tc>
          <w:tcPr>
            <w:tcW w:w="3431" w:type="dxa"/>
          </w:tcPr>
          <w:p>
            <w:pPr>
              <w:pStyle w:val="TableParagraph"/>
              <w:spacing w:before="19"/>
              <w:ind w:left="35" w:right="594"/>
              <w:jc w:val="left"/>
              <w:rPr>
                <w:sz w:val="18"/>
              </w:rPr>
            </w:pPr>
            <w:r>
              <w:rPr>
                <w:sz w:val="18"/>
              </w:rPr>
              <w:t>Related party loan forgiven</w:t>
            </w:r>
          </w:p>
        </w:tc>
        <w:tc>
          <w:tcPr>
            <w:tcW w:w="1832" w:type="dxa"/>
          </w:tcPr>
          <w:p>
            <w:pPr>
              <w:pStyle w:val="TableParagraph"/>
              <w:spacing w:before="18"/>
              <w:ind w:right="452"/>
              <w:rPr>
                <w:b/>
                <w:sz w:val="18"/>
              </w:rPr>
            </w:pPr>
            <w:r>
              <w:rPr>
                <w:b/>
                <w:w w:val="99"/>
                <w:sz w:val="18"/>
              </w:rPr>
              <w:t>-</w:t>
            </w:r>
          </w:p>
        </w:tc>
        <w:tc>
          <w:tcPr>
            <w:tcW w:w="1427" w:type="dxa"/>
          </w:tcPr>
          <w:p>
            <w:pPr>
              <w:pStyle w:val="TableParagraph"/>
              <w:spacing w:before="18"/>
              <w:ind w:right="581"/>
              <w:rPr>
                <w:sz w:val="18"/>
              </w:rPr>
            </w:pPr>
            <w:r>
              <w:rPr>
                <w:w w:val="99"/>
                <w:sz w:val="18"/>
              </w:rPr>
              <w:t>-</w:t>
            </w:r>
          </w:p>
        </w:tc>
        <w:tc>
          <w:tcPr>
            <w:tcW w:w="1307" w:type="dxa"/>
          </w:tcPr>
          <w:p>
            <w:pPr>
              <w:pStyle w:val="TableParagraph"/>
              <w:spacing w:before="18"/>
              <w:ind w:right="422"/>
              <w:rPr>
                <w:b/>
                <w:sz w:val="18"/>
              </w:rPr>
            </w:pPr>
            <w:r>
              <w:rPr>
                <w:b/>
                <w:w w:val="99"/>
                <w:sz w:val="18"/>
              </w:rPr>
              <w:t>-</w:t>
            </w:r>
          </w:p>
        </w:tc>
        <w:tc>
          <w:tcPr>
            <w:tcW w:w="961" w:type="dxa"/>
          </w:tcPr>
          <w:p>
            <w:pPr>
              <w:pStyle w:val="TableParagraph"/>
              <w:spacing w:before="18"/>
              <w:ind w:right="25"/>
              <w:rPr>
                <w:sz w:val="18"/>
              </w:rPr>
            </w:pPr>
            <w:r>
              <w:rPr>
                <w:w w:val="95"/>
                <w:sz w:val="18"/>
              </w:rPr>
              <w:t>(2,094)</w:t>
            </w:r>
          </w:p>
        </w:tc>
      </w:tr>
      <w:tr>
        <w:trPr>
          <w:trHeight w:val="262" w:hRule="exact"/>
        </w:trPr>
        <w:tc>
          <w:tcPr>
            <w:tcW w:w="3431" w:type="dxa"/>
          </w:tcPr>
          <w:p>
            <w:pPr>
              <w:pStyle w:val="TableParagraph"/>
              <w:spacing w:before="19"/>
              <w:ind w:left="35" w:right="594"/>
              <w:jc w:val="left"/>
              <w:rPr>
                <w:sz w:val="18"/>
              </w:rPr>
            </w:pPr>
            <w:r>
              <w:rPr>
                <w:sz w:val="18"/>
              </w:rPr>
              <w:t>Related party receivables forgiven</w:t>
            </w:r>
          </w:p>
        </w:tc>
        <w:tc>
          <w:tcPr>
            <w:tcW w:w="1832" w:type="dxa"/>
            <w:tcBorders>
              <w:bottom w:val="single" w:sz="0" w:space="0" w:color="000000"/>
            </w:tcBorders>
          </w:tcPr>
          <w:p>
            <w:pPr>
              <w:pStyle w:val="TableParagraph"/>
              <w:spacing w:before="18"/>
              <w:ind w:right="452"/>
              <w:rPr>
                <w:b/>
                <w:sz w:val="18"/>
              </w:rPr>
            </w:pPr>
            <w:r>
              <w:rPr>
                <w:b/>
                <w:w w:val="99"/>
                <w:sz w:val="18"/>
              </w:rPr>
              <w:t>-</w:t>
            </w:r>
          </w:p>
        </w:tc>
        <w:tc>
          <w:tcPr>
            <w:tcW w:w="1427" w:type="dxa"/>
            <w:tcBorders>
              <w:bottom w:val="single" w:sz="0" w:space="0" w:color="000000"/>
            </w:tcBorders>
          </w:tcPr>
          <w:p>
            <w:pPr>
              <w:pStyle w:val="TableParagraph"/>
              <w:spacing w:before="18"/>
              <w:ind w:right="581"/>
              <w:rPr>
                <w:sz w:val="18"/>
              </w:rPr>
            </w:pPr>
            <w:r>
              <w:rPr>
                <w:w w:val="99"/>
                <w:sz w:val="18"/>
              </w:rPr>
              <w:t>-</w:t>
            </w:r>
          </w:p>
        </w:tc>
        <w:tc>
          <w:tcPr>
            <w:tcW w:w="1307" w:type="dxa"/>
            <w:tcBorders>
              <w:bottom w:val="single" w:sz="0" w:space="0" w:color="000000"/>
            </w:tcBorders>
          </w:tcPr>
          <w:p>
            <w:pPr>
              <w:pStyle w:val="TableParagraph"/>
              <w:spacing w:before="18"/>
              <w:ind w:right="422"/>
              <w:rPr>
                <w:b/>
                <w:sz w:val="18"/>
              </w:rPr>
            </w:pPr>
            <w:r>
              <w:rPr>
                <w:b/>
                <w:w w:val="99"/>
                <w:sz w:val="18"/>
              </w:rPr>
              <w:t>-</w:t>
            </w:r>
          </w:p>
        </w:tc>
        <w:tc>
          <w:tcPr>
            <w:tcW w:w="961" w:type="dxa"/>
            <w:tcBorders>
              <w:bottom w:val="single" w:sz="0" w:space="0" w:color="000000"/>
            </w:tcBorders>
          </w:tcPr>
          <w:p>
            <w:pPr>
              <w:pStyle w:val="TableParagraph"/>
              <w:spacing w:before="18"/>
              <w:ind w:right="25"/>
              <w:rPr>
                <w:sz w:val="18"/>
              </w:rPr>
            </w:pPr>
            <w:r>
              <w:rPr>
                <w:w w:val="95"/>
                <w:sz w:val="18"/>
              </w:rPr>
              <w:t>(4,006)</w:t>
            </w:r>
          </w:p>
        </w:tc>
      </w:tr>
      <w:tr>
        <w:trPr>
          <w:trHeight w:val="338" w:hRule="exact"/>
        </w:trPr>
        <w:tc>
          <w:tcPr>
            <w:tcW w:w="3431" w:type="dxa"/>
          </w:tcPr>
          <w:p>
            <w:pPr>
              <w:pStyle w:val="TableParagraph"/>
              <w:spacing w:before="123"/>
              <w:ind w:left="35" w:right="594"/>
              <w:jc w:val="left"/>
              <w:rPr>
                <w:b/>
                <w:sz w:val="18"/>
              </w:rPr>
            </w:pPr>
            <w:r>
              <w:rPr>
                <w:b/>
                <w:sz w:val="18"/>
              </w:rPr>
              <w:t>At 31 December</w:t>
            </w:r>
          </w:p>
        </w:tc>
        <w:tc>
          <w:tcPr>
            <w:tcW w:w="1832" w:type="dxa"/>
            <w:tcBorders>
              <w:top w:val="single" w:sz="0" w:space="0" w:color="000000"/>
              <w:bottom w:val="single" w:sz="0" w:space="0" w:color="000000"/>
            </w:tcBorders>
          </w:tcPr>
          <w:p>
            <w:pPr>
              <w:pStyle w:val="TableParagraph"/>
              <w:spacing w:before="122"/>
              <w:ind w:right="452"/>
              <w:rPr>
                <w:b/>
                <w:sz w:val="18"/>
              </w:rPr>
            </w:pPr>
            <w:r>
              <w:rPr>
                <w:b/>
                <w:sz w:val="18"/>
              </w:rPr>
              <w:t>618</w:t>
            </w:r>
          </w:p>
        </w:tc>
        <w:tc>
          <w:tcPr>
            <w:tcW w:w="1427" w:type="dxa"/>
            <w:tcBorders>
              <w:top w:val="single" w:sz="0" w:space="0" w:color="000000"/>
              <w:bottom w:val="single" w:sz="0" w:space="0" w:color="000000"/>
            </w:tcBorders>
          </w:tcPr>
          <w:p>
            <w:pPr>
              <w:pStyle w:val="TableParagraph"/>
              <w:spacing w:before="122"/>
              <w:ind w:right="580"/>
              <w:rPr>
                <w:sz w:val="18"/>
              </w:rPr>
            </w:pPr>
            <w:r>
              <w:rPr>
                <w:sz w:val="18"/>
              </w:rPr>
              <w:t>1,176</w:t>
            </w:r>
          </w:p>
        </w:tc>
        <w:tc>
          <w:tcPr>
            <w:tcW w:w="1307" w:type="dxa"/>
            <w:tcBorders>
              <w:top w:val="single" w:sz="0" w:space="0" w:color="000000"/>
              <w:bottom w:val="single" w:sz="0" w:space="0" w:color="000000"/>
            </w:tcBorders>
          </w:tcPr>
          <w:p>
            <w:pPr>
              <w:pStyle w:val="TableParagraph"/>
              <w:spacing w:before="122"/>
              <w:ind w:left="583"/>
              <w:jc w:val="left"/>
              <w:rPr>
                <w:b/>
                <w:sz w:val="18"/>
              </w:rPr>
            </w:pPr>
            <w:r>
              <w:rPr>
                <w:b/>
                <w:sz w:val="18"/>
              </w:rPr>
              <w:t>586</w:t>
            </w:r>
          </w:p>
        </w:tc>
        <w:tc>
          <w:tcPr>
            <w:tcW w:w="961" w:type="dxa"/>
            <w:tcBorders>
              <w:top w:val="single" w:sz="0" w:space="0" w:color="000000"/>
              <w:bottom w:val="single" w:sz="0" w:space="0" w:color="000000"/>
            </w:tcBorders>
          </w:tcPr>
          <w:p>
            <w:pPr>
              <w:pStyle w:val="TableParagraph"/>
              <w:spacing w:before="122"/>
              <w:ind w:right="85"/>
              <w:rPr>
                <w:sz w:val="18"/>
              </w:rPr>
            </w:pPr>
            <w:r>
              <w:rPr>
                <w:sz w:val="18"/>
              </w:rPr>
              <w:t>897</w:t>
            </w:r>
          </w:p>
        </w:tc>
      </w:tr>
    </w:tbl>
    <w:p>
      <w:pPr>
        <w:pStyle w:val="BodyText"/>
        <w:spacing w:before="3"/>
        <w:rPr>
          <w:b/>
          <w:sz w:val="19"/>
        </w:rPr>
      </w:pPr>
    </w:p>
    <w:p>
      <w:pPr>
        <w:pStyle w:val="BodyText"/>
        <w:spacing w:before="77"/>
        <w:ind w:left="2390" w:right="1375"/>
      </w:pPr>
      <w:r>
        <w:rPr/>
        <w:t>The creation and release of the provision for impaired receivables has been included in ‘impairment of assets’ in the income statement. Amounts charged to the provision account are generally written off when there is no expectation of recovering additional cash.</w:t>
      </w:r>
    </w:p>
    <w:p>
      <w:pPr>
        <w:pStyle w:val="BodyText"/>
        <w:spacing w:before="11"/>
        <w:rPr>
          <w:sz w:val="24"/>
        </w:rPr>
      </w:pPr>
    </w:p>
    <w:p>
      <w:pPr>
        <w:pStyle w:val="BodyText"/>
        <w:ind w:left="2390" w:right="1375"/>
      </w:pPr>
      <w:bookmarkStart w:name="(b) Leasing Arrangements" w:id="86"/>
      <w:bookmarkEnd w:id="86"/>
      <w:r>
        <w:rPr/>
      </w:r>
      <w:r>
        <w:rPr/>
        <w:t>The other amounts within receivables do not contain impaired assets and are not past due. Based on credit history, it is expected that these amounts will be received when due.</w:t>
      </w:r>
    </w:p>
    <w:p>
      <w:pPr>
        <w:pStyle w:val="BodyText"/>
        <w:spacing w:before="7"/>
        <w:rPr>
          <w:sz w:val="26"/>
        </w:rPr>
      </w:pPr>
    </w:p>
    <w:p>
      <w:pPr>
        <w:pStyle w:val="ListParagraph"/>
        <w:numPr>
          <w:ilvl w:val="0"/>
          <w:numId w:val="21"/>
        </w:numPr>
        <w:tabs>
          <w:tab w:pos="2392" w:val="left" w:leader="none"/>
        </w:tabs>
        <w:spacing w:line="240" w:lineRule="auto" w:before="0" w:after="0"/>
        <w:ind w:left="2391" w:right="0" w:hanging="566"/>
        <w:jc w:val="left"/>
        <w:rPr>
          <w:sz w:val="18"/>
        </w:rPr>
      </w:pPr>
      <w:r>
        <w:rPr>
          <w:sz w:val="18"/>
        </w:rPr>
        <w:t>Leasing</w:t>
      </w:r>
      <w:r>
        <w:rPr>
          <w:spacing w:val="-20"/>
          <w:sz w:val="18"/>
        </w:rPr>
        <w:t> </w:t>
      </w:r>
      <w:r>
        <w:rPr>
          <w:sz w:val="18"/>
        </w:rPr>
        <w:t>Arrangements</w:t>
      </w:r>
    </w:p>
    <w:p>
      <w:pPr>
        <w:pStyle w:val="BodyText"/>
        <w:spacing w:before="4"/>
        <w:rPr>
          <w:sz w:val="25"/>
        </w:rPr>
      </w:pPr>
    </w:p>
    <w:p>
      <w:pPr>
        <w:pStyle w:val="BodyText"/>
        <w:ind w:left="2390" w:right="1375"/>
      </w:pPr>
      <w:r>
        <w:rPr/>
        <w:t>The University, as lessor, has entered into a lease with Campus Living Villages Pty Limited to manage student residence accommodation for a period of 40 years.</w:t>
      </w:r>
    </w:p>
    <w:p>
      <w:pPr>
        <w:spacing w:after="0"/>
        <w:sectPr>
          <w:type w:val="continuous"/>
          <w:pgSz w:w="12750" w:h="17680"/>
          <w:pgMar w:top="1660" w:bottom="0" w:left="0" w:right="0"/>
        </w:sectPr>
      </w:pPr>
    </w:p>
    <w:p>
      <w:pPr>
        <w:pStyle w:val="BodyText"/>
        <w:rPr>
          <w:sz w:val="20"/>
        </w:rPr>
      </w:pPr>
    </w:p>
    <w:p>
      <w:pPr>
        <w:pStyle w:val="BodyText"/>
        <w:rPr>
          <w:sz w:val="20"/>
        </w:rPr>
      </w:pPr>
    </w:p>
    <w:p>
      <w:pPr>
        <w:pStyle w:val="BodyText"/>
        <w:spacing w:before="4"/>
      </w:pPr>
    </w:p>
    <w:p>
      <w:pPr>
        <w:pStyle w:val="Heading8"/>
        <w:tabs>
          <w:tab w:pos="2391" w:val="left" w:leader="none"/>
        </w:tabs>
        <w:ind w:left="1824"/>
      </w:pPr>
      <w:bookmarkStart w:name="(c) Amounts receivable under finance lea" w:id="87"/>
      <w:bookmarkEnd w:id="87"/>
      <w:r>
        <w:rPr>
          <w:b w:val="0"/>
        </w:rPr>
      </w:r>
      <w:r>
        <w:rPr/>
        <w:t>18</w:t>
        <w:tab/>
        <w:t>Receivables</w:t>
      </w:r>
      <w:r>
        <w:rPr>
          <w:spacing w:val="-10"/>
        </w:rPr>
        <w:t> </w:t>
      </w:r>
      <w:r>
        <w:rPr/>
        <w:t>(continued)</w:t>
      </w:r>
    </w:p>
    <w:p>
      <w:pPr>
        <w:pStyle w:val="BodyText"/>
        <w:spacing w:before="11"/>
        <w:rPr>
          <w:b/>
          <w:sz w:val="19"/>
        </w:rPr>
      </w:pPr>
    </w:p>
    <w:p>
      <w:pPr>
        <w:spacing w:after="0"/>
        <w:rPr>
          <w:sz w:val="19"/>
        </w:rPr>
        <w:sectPr>
          <w:pgSz w:w="12750" w:h="17680"/>
          <w:pgMar w:header="0" w:footer="927" w:top="2640" w:bottom="1120" w:left="0" w:right="0"/>
        </w:sectPr>
      </w:pPr>
    </w:p>
    <w:p>
      <w:pPr>
        <w:pStyle w:val="ListParagraph"/>
        <w:numPr>
          <w:ilvl w:val="0"/>
          <w:numId w:val="21"/>
        </w:numPr>
        <w:tabs>
          <w:tab w:pos="2392" w:val="left" w:leader="none"/>
        </w:tabs>
        <w:spacing w:line="240" w:lineRule="auto" w:before="77" w:after="0"/>
        <w:ind w:left="2391" w:right="0" w:hanging="566"/>
        <w:jc w:val="left"/>
        <w:rPr>
          <w:sz w:val="18"/>
        </w:rPr>
      </w:pPr>
      <w:r>
        <w:rPr>
          <w:sz w:val="18"/>
        </w:rPr>
        <w:t>Amounts receivable under finance</w:t>
      </w:r>
      <w:r>
        <w:rPr>
          <w:spacing w:val="-36"/>
          <w:sz w:val="18"/>
        </w:rPr>
        <w:t> </w:t>
      </w:r>
      <w:r>
        <w:rPr>
          <w:sz w:val="18"/>
        </w:rPr>
        <w:t>leases</w:t>
      </w:r>
    </w:p>
    <w:p>
      <w:pPr>
        <w:pStyle w:val="BodyText"/>
      </w:pPr>
      <w:r>
        <w:rPr/>
        <w:br w:type="column"/>
      </w:r>
      <w:r>
        <w:rPr/>
      </w:r>
    </w:p>
    <w:p>
      <w:pPr>
        <w:pStyle w:val="Heading8"/>
        <w:tabs>
          <w:tab w:pos="2877" w:val="left" w:leader="none"/>
        </w:tabs>
        <w:spacing w:line="207" w:lineRule="exact" w:before="115"/>
        <w:ind w:left="393"/>
      </w:pPr>
      <w:r>
        <w:rPr/>
        <w:t>Minimum</w:t>
      </w:r>
      <w:r>
        <w:rPr>
          <w:spacing w:val="-6"/>
        </w:rPr>
        <w:t> </w:t>
      </w:r>
      <w:r>
        <w:rPr/>
        <w:t>lease</w:t>
      </w:r>
      <w:r>
        <w:rPr>
          <w:spacing w:val="-6"/>
        </w:rPr>
        <w:t> </w:t>
      </w:r>
      <w:r>
        <w:rPr/>
        <w:t>payments</w:t>
        <w:tab/>
        <w:t>Present value of minimum</w:t>
      </w:r>
      <w:r>
        <w:rPr>
          <w:spacing w:val="-13"/>
        </w:rPr>
        <w:t> </w:t>
      </w:r>
      <w:r>
        <w:rPr/>
        <w:t>lease</w:t>
      </w:r>
    </w:p>
    <w:p>
      <w:pPr>
        <w:spacing w:line="207" w:lineRule="exact" w:before="0"/>
        <w:ind w:left="3807" w:right="2346" w:firstLine="0"/>
        <w:jc w:val="center"/>
        <w:rPr>
          <w:b/>
          <w:sz w:val="18"/>
        </w:rPr>
      </w:pPr>
      <w:r>
        <w:rPr>
          <w:b/>
          <w:sz w:val="18"/>
        </w:rPr>
        <w:t>payments</w:t>
      </w:r>
    </w:p>
    <w:p>
      <w:pPr>
        <w:spacing w:after="0" w:line="207" w:lineRule="exact"/>
        <w:jc w:val="center"/>
        <w:rPr>
          <w:sz w:val="18"/>
        </w:rPr>
        <w:sectPr>
          <w:type w:val="continuous"/>
          <w:pgSz w:w="12750" w:h="17680"/>
          <w:pgMar w:top="1660" w:bottom="0" w:left="0" w:right="0"/>
          <w:cols w:num="2" w:equalWidth="0">
            <w:col w:w="5675" w:space="40"/>
            <w:col w:w="7035"/>
          </w:cols>
        </w:sectPr>
      </w:pPr>
    </w:p>
    <w:p>
      <w:pPr>
        <w:spacing w:before="66"/>
        <w:ind w:left="0" w:right="19" w:firstLine="0"/>
        <w:jc w:val="right"/>
        <w:rPr>
          <w:b/>
          <w:sz w:val="18"/>
        </w:rPr>
      </w:pPr>
      <w:r>
        <w:rPr>
          <w:b/>
          <w:sz w:val="18"/>
        </w:rPr>
        <w:t>2016</w:t>
      </w:r>
    </w:p>
    <w:p>
      <w:pPr>
        <w:spacing w:before="66"/>
        <w:ind w:left="0" w:right="0" w:firstLine="0"/>
        <w:jc w:val="right"/>
        <w:rPr>
          <w:b/>
          <w:sz w:val="18"/>
        </w:rPr>
      </w:pPr>
      <w:r>
        <w:rPr>
          <w:b/>
          <w:sz w:val="18"/>
        </w:rPr>
        <w:t>$'000</w:t>
      </w:r>
    </w:p>
    <w:p>
      <w:pPr>
        <w:spacing w:before="66"/>
        <w:ind w:left="837" w:right="-16" w:firstLine="0"/>
        <w:jc w:val="left"/>
        <w:rPr>
          <w:b/>
          <w:sz w:val="18"/>
        </w:rPr>
      </w:pPr>
      <w:r>
        <w:rPr/>
        <w:br w:type="column"/>
      </w:r>
      <w:r>
        <w:rPr>
          <w:b/>
          <w:sz w:val="18"/>
        </w:rPr>
        <w:t>2015</w:t>
      </w:r>
    </w:p>
    <w:p>
      <w:pPr>
        <w:spacing w:before="66"/>
        <w:ind w:left="815" w:right="-16" w:firstLine="0"/>
        <w:jc w:val="left"/>
        <w:rPr>
          <w:b/>
          <w:sz w:val="18"/>
        </w:rPr>
      </w:pPr>
      <w:r>
        <w:rPr>
          <w:b/>
          <w:spacing w:val="-1"/>
          <w:sz w:val="18"/>
        </w:rPr>
        <w:t>$'000</w:t>
      </w:r>
    </w:p>
    <w:p>
      <w:pPr>
        <w:spacing w:before="66"/>
        <w:ind w:left="0" w:right="19" w:firstLine="0"/>
        <w:jc w:val="right"/>
        <w:rPr>
          <w:b/>
          <w:sz w:val="18"/>
        </w:rPr>
      </w:pPr>
      <w:r>
        <w:rPr/>
        <w:br w:type="column"/>
      </w:r>
      <w:r>
        <w:rPr>
          <w:b/>
          <w:sz w:val="18"/>
        </w:rPr>
        <w:t>2016</w:t>
      </w:r>
    </w:p>
    <w:p>
      <w:pPr>
        <w:spacing w:before="66"/>
        <w:ind w:left="0" w:right="0" w:firstLine="0"/>
        <w:jc w:val="right"/>
        <w:rPr>
          <w:b/>
          <w:sz w:val="18"/>
        </w:rPr>
      </w:pPr>
      <w:r>
        <w:rPr>
          <w:b/>
          <w:sz w:val="18"/>
        </w:rPr>
        <w:t>$'000</w:t>
      </w:r>
    </w:p>
    <w:p>
      <w:pPr>
        <w:spacing w:before="66"/>
        <w:ind w:left="837" w:right="0" w:firstLine="0"/>
        <w:jc w:val="left"/>
        <w:rPr>
          <w:b/>
          <w:sz w:val="18"/>
        </w:rPr>
      </w:pPr>
      <w:r>
        <w:rPr/>
        <w:br w:type="column"/>
      </w:r>
      <w:r>
        <w:rPr>
          <w:b/>
          <w:sz w:val="18"/>
        </w:rPr>
        <w:t>2015</w:t>
      </w:r>
    </w:p>
    <w:p>
      <w:pPr>
        <w:spacing w:before="66"/>
        <w:ind w:left="815" w:right="0" w:firstLine="0"/>
        <w:jc w:val="left"/>
        <w:rPr>
          <w:b/>
          <w:sz w:val="18"/>
        </w:rPr>
      </w:pPr>
      <w:r>
        <w:rPr>
          <w:b/>
          <w:sz w:val="18"/>
        </w:rPr>
        <w:t>$'000</w:t>
      </w:r>
    </w:p>
    <w:p>
      <w:pPr>
        <w:spacing w:after="0"/>
        <w:jc w:val="left"/>
        <w:rPr>
          <w:sz w:val="18"/>
        </w:rPr>
        <w:sectPr>
          <w:type w:val="continuous"/>
          <w:pgSz w:w="12750" w:h="17680"/>
          <w:pgMar w:top="1660" w:bottom="0" w:left="0" w:right="0"/>
          <w:cols w:num="4" w:equalWidth="0">
            <w:col w:w="6853" w:space="40"/>
            <w:col w:w="1258" w:space="40"/>
            <w:col w:w="1427" w:space="40"/>
            <w:col w:w="3092"/>
          </w:cols>
        </w:sectPr>
      </w:pPr>
    </w:p>
    <w:p>
      <w:pPr>
        <w:pStyle w:val="BodyText"/>
        <w:tabs>
          <w:tab w:pos="7131" w:val="left" w:leader="none"/>
          <w:tab w:pos="8428" w:val="left" w:leader="none"/>
          <w:tab w:pos="9895" w:val="left" w:leader="none"/>
          <w:tab w:pos="11192" w:val="left" w:leader="none"/>
        </w:tabs>
        <w:spacing w:before="63"/>
        <w:ind w:left="2392"/>
      </w:pPr>
      <w:r>
        <w:rPr/>
        <w:t>Not later than</w:t>
      </w:r>
      <w:r>
        <w:rPr>
          <w:spacing w:val="-9"/>
        </w:rPr>
        <w:t> </w:t>
      </w:r>
      <w:r>
        <w:rPr/>
        <w:t>1</w:t>
      </w:r>
      <w:r>
        <w:rPr>
          <w:spacing w:val="-3"/>
        </w:rPr>
        <w:t> </w:t>
      </w:r>
      <w:r>
        <w:rPr/>
        <w:t>year</w:t>
        <w:tab/>
      </w:r>
      <w:r>
        <w:rPr>
          <w:b/>
        </w:rPr>
        <w:t>-</w:t>
        <w:tab/>
      </w:r>
      <w:r>
        <w:rPr/>
        <w:t>-</w:t>
        <w:tab/>
      </w:r>
      <w:r>
        <w:rPr>
          <w:b/>
        </w:rPr>
        <w:t>-</w:t>
        <w:tab/>
      </w:r>
      <w:r>
        <w:rPr/>
        <w:t>-</w:t>
      </w:r>
    </w:p>
    <w:p>
      <w:pPr>
        <w:pStyle w:val="BodyText"/>
        <w:spacing w:line="207" w:lineRule="exact" w:before="54"/>
        <w:ind w:left="2392"/>
      </w:pPr>
      <w:r>
        <w:rPr/>
        <w:t>Later than 1 year and not later</w:t>
      </w:r>
    </w:p>
    <w:p>
      <w:pPr>
        <w:tabs>
          <w:tab w:pos="6643" w:val="left" w:leader="none"/>
          <w:tab w:pos="7131" w:val="left" w:leader="none"/>
          <w:tab w:pos="7940" w:val="left" w:leader="none"/>
          <w:tab w:pos="8428" w:val="left" w:leader="none"/>
          <w:tab w:pos="9406" w:val="left" w:leader="none"/>
          <w:tab w:pos="9895" w:val="left" w:leader="none"/>
          <w:tab w:pos="10703" w:val="left" w:leader="none"/>
          <w:tab w:pos="11192" w:val="left" w:leader="none"/>
        </w:tabs>
        <w:spacing w:line="307" w:lineRule="auto" w:before="0"/>
        <w:ind w:left="2392" w:right="1490" w:firstLine="0"/>
        <w:jc w:val="left"/>
        <w:rPr>
          <w:sz w:val="18"/>
        </w:rPr>
      </w:pPr>
      <w:r>
        <w:rPr/>
        <w:pict>
          <v:group style="position:absolute;margin-left:290.649994pt;margin-top:24.831898pt;width:276.5pt;height:1pt;mso-position-horizontal-relative:page;mso-position-vertical-relative:paragraph;z-index:-1204672" coordorigin="5813,497" coordsize="5530,20">
            <v:line style="position:absolute" from="5814,498" to="5983,498" stroked="true" strokeweight=".06pt" strokecolor="#000000"/>
            <v:line style="position:absolute" from="5814,499" to="5983,499" stroked="true" strokeweight=".06pt" strokecolor="#000000"/>
            <v:line style="position:absolute" from="5814,500" to="5983,500" stroked="true" strokeweight=".06pt" strokecolor="#000000"/>
            <v:line style="position:absolute" from="5814,501" to="5983,501" stroked="true" strokeweight=".06pt" strokecolor="#000000"/>
            <v:line style="position:absolute" from="5814,502" to="5983,502" stroked="true" strokeweight=".06pt" strokecolor="#000000"/>
            <v:line style="position:absolute" from="5814,504" to="5983,504" stroked="true" strokeweight=".06pt" strokecolor="#000000"/>
            <v:line style="position:absolute" from="5814,505" to="5983,505" stroked="true" strokeweight=".06pt" strokecolor="#000000"/>
            <v:line style="position:absolute" from="5814,506" to="5983,506" stroked="true" strokeweight=".06pt" strokecolor="#000000"/>
            <v:line style="position:absolute" from="5814,507" to="5983,507" stroked="true" strokeweight=".06pt" strokecolor="#000000"/>
            <v:line style="position:absolute" from="5814,508" to="5983,508" stroked="true" strokeweight=".06pt" strokecolor="#000000"/>
            <v:line style="position:absolute" from="5814,510" to="5983,510" stroked="true" strokeweight=".06pt" strokecolor="#000000"/>
            <v:line style="position:absolute" from="5814,511" to="5983,511" stroked="true" strokeweight=".06pt" strokecolor="#000000"/>
            <v:line style="position:absolute" from="5814,512" to="5983,512" stroked="true" strokeweight=".06pt" strokecolor="#000000"/>
            <v:line style="position:absolute" from="5814,513" to="5983,513" stroked="true" strokeweight=".06pt" strokecolor="#000000"/>
            <v:line style="position:absolute" from="5814,514" to="5983,514" stroked="true" strokeweight=".06pt" strokecolor="#000000"/>
            <v:line style="position:absolute" from="5814,516" to="5983,516" stroked="true" strokeweight=".06pt" strokecolor="#000000"/>
            <v:line style="position:absolute" from="5983,498" to="7280,498" stroked="true" strokeweight=".06pt" strokecolor="#000000"/>
            <v:line style="position:absolute" from="5983,499" to="7280,499" stroked="true" strokeweight=".06pt" strokecolor="#000000"/>
            <v:line style="position:absolute" from="5983,500" to="7280,500" stroked="true" strokeweight=".06pt" strokecolor="#000000"/>
            <v:line style="position:absolute" from="5983,501" to="7280,501" stroked="true" strokeweight=".06pt" strokecolor="#000000"/>
            <v:line style="position:absolute" from="5983,502" to="7280,502" stroked="true" strokeweight=".06pt" strokecolor="#000000"/>
            <v:line style="position:absolute" from="5983,504" to="7280,504" stroked="true" strokeweight=".06pt" strokecolor="#000000"/>
            <v:line style="position:absolute" from="5983,505" to="7280,505" stroked="true" strokeweight=".06pt" strokecolor="#000000"/>
            <v:line style="position:absolute" from="5983,506" to="7280,506" stroked="true" strokeweight=".06pt" strokecolor="#000000"/>
            <v:line style="position:absolute" from="5983,507" to="7280,507" stroked="true" strokeweight=".06pt" strokecolor="#000000"/>
            <v:line style="position:absolute" from="5983,508" to="7280,508" stroked="true" strokeweight=".06pt" strokecolor="#000000"/>
            <v:line style="position:absolute" from="5983,510" to="7280,510" stroked="true" strokeweight=".06pt" strokecolor="#000000"/>
            <v:line style="position:absolute" from="5983,511" to="7280,511" stroked="true" strokeweight=".06pt" strokecolor="#000000"/>
            <v:line style="position:absolute" from="5983,512" to="7280,512" stroked="true" strokeweight=".06pt" strokecolor="#000000"/>
            <v:line style="position:absolute" from="5983,513" to="7280,513" stroked="true" strokeweight=".06pt" strokecolor="#000000"/>
            <v:line style="position:absolute" from="5983,514" to="7280,514" stroked="true" strokeweight=".06pt" strokecolor="#000000"/>
            <v:line style="position:absolute" from="5983,516" to="7280,516" stroked="true" strokeweight=".06pt" strokecolor="#000000"/>
            <v:line style="position:absolute" from="7280,498" to="8578,498" stroked="true" strokeweight=".06pt" strokecolor="#000000"/>
            <v:line style="position:absolute" from="7280,499" to="8578,499" stroked="true" strokeweight=".06pt" strokecolor="#000000"/>
            <v:line style="position:absolute" from="7280,500" to="8578,500" stroked="true" strokeweight=".06pt" strokecolor="#000000"/>
            <v:line style="position:absolute" from="7280,501" to="8578,501" stroked="true" strokeweight=".06pt" strokecolor="#000000"/>
            <v:line style="position:absolute" from="7280,502" to="8578,502" stroked="true" strokeweight=".06pt" strokecolor="#000000"/>
            <v:line style="position:absolute" from="7280,504" to="8578,504" stroked="true" strokeweight=".06pt" strokecolor="#000000"/>
            <v:line style="position:absolute" from="7280,505" to="8578,505" stroked="true" strokeweight=".06pt" strokecolor="#000000"/>
            <v:line style="position:absolute" from="7280,506" to="8578,506" stroked="true" strokeweight=".06pt" strokecolor="#000000"/>
            <v:line style="position:absolute" from="7280,507" to="8578,507" stroked="true" strokeweight=".06pt" strokecolor="#000000"/>
            <v:line style="position:absolute" from="7280,508" to="8578,508" stroked="true" strokeweight=".06pt" strokecolor="#000000"/>
            <v:line style="position:absolute" from="7280,510" to="8578,510" stroked="true" strokeweight=".06pt" strokecolor="#000000"/>
            <v:line style="position:absolute" from="7280,511" to="8578,511" stroked="true" strokeweight=".06pt" strokecolor="#000000"/>
            <v:line style="position:absolute" from="7280,512" to="8578,512" stroked="true" strokeweight=".06pt" strokecolor="#000000"/>
            <v:line style="position:absolute" from="7280,513" to="8578,513" stroked="true" strokeweight=".06pt" strokecolor="#000000"/>
            <v:line style="position:absolute" from="7280,514" to="8578,514" stroked="true" strokeweight=".06pt" strokecolor="#000000"/>
            <v:line style="position:absolute" from="7280,516" to="8578,516" stroked="true" strokeweight=".06pt" strokecolor="#000000"/>
            <v:line style="position:absolute" from="8578,498" to="8747,498" stroked="true" strokeweight=".06pt" strokecolor="#000000"/>
            <v:line style="position:absolute" from="8578,499" to="8747,499" stroked="true" strokeweight=".06pt" strokecolor="#000000"/>
            <v:line style="position:absolute" from="8578,500" to="8747,500" stroked="true" strokeweight=".06pt" strokecolor="#000000"/>
            <v:line style="position:absolute" from="8578,501" to="8747,501" stroked="true" strokeweight=".06pt" strokecolor="#000000"/>
            <v:line style="position:absolute" from="8578,502" to="8747,502" stroked="true" strokeweight=".06pt" strokecolor="#000000"/>
            <v:line style="position:absolute" from="8578,504" to="8747,504" stroked="true" strokeweight=".06pt" strokecolor="#000000"/>
            <v:line style="position:absolute" from="8578,505" to="8747,505" stroked="true" strokeweight=".06pt" strokecolor="#000000"/>
            <v:line style="position:absolute" from="8578,506" to="8747,506" stroked="true" strokeweight=".06pt" strokecolor="#000000"/>
            <v:line style="position:absolute" from="8578,507" to="8747,507" stroked="true" strokeweight=".06pt" strokecolor="#000000"/>
            <v:line style="position:absolute" from="8578,508" to="8747,508" stroked="true" strokeweight=".06pt" strokecolor="#000000"/>
            <v:line style="position:absolute" from="8578,510" to="8747,510" stroked="true" strokeweight=".06pt" strokecolor="#000000"/>
            <v:line style="position:absolute" from="8578,511" to="8747,511" stroked="true" strokeweight=".06pt" strokecolor="#000000"/>
            <v:line style="position:absolute" from="8578,512" to="8747,512" stroked="true" strokeweight=".06pt" strokecolor="#000000"/>
            <v:line style="position:absolute" from="8578,513" to="8747,513" stroked="true" strokeweight=".06pt" strokecolor="#000000"/>
            <v:line style="position:absolute" from="8578,514" to="8747,514" stroked="true" strokeweight=".06pt" strokecolor="#000000"/>
            <v:line style="position:absolute" from="8578,516" to="8747,516" stroked="true" strokeweight=".06pt" strokecolor="#000000"/>
            <v:line style="position:absolute" from="8747,498" to="10044,498" stroked="true" strokeweight=".06pt" strokecolor="#000000"/>
            <v:line style="position:absolute" from="8747,499" to="10044,499" stroked="true" strokeweight=".06pt" strokecolor="#000000"/>
            <v:line style="position:absolute" from="8747,500" to="10044,500" stroked="true" strokeweight=".06pt" strokecolor="#000000"/>
            <v:line style="position:absolute" from="8747,501" to="10044,501" stroked="true" strokeweight=".06pt" strokecolor="#000000"/>
            <v:line style="position:absolute" from="8747,502" to="10044,502" stroked="true" strokeweight=".06pt" strokecolor="#000000"/>
            <v:line style="position:absolute" from="8747,504" to="10044,504" stroked="true" strokeweight=".06pt" strokecolor="#000000"/>
            <v:line style="position:absolute" from="8747,505" to="10044,505" stroked="true" strokeweight=".06pt" strokecolor="#000000"/>
            <v:line style="position:absolute" from="8747,506" to="10044,506" stroked="true" strokeweight=".06pt" strokecolor="#000000"/>
            <v:line style="position:absolute" from="8747,507" to="10044,507" stroked="true" strokeweight=".06pt" strokecolor="#000000"/>
            <v:line style="position:absolute" from="8747,508" to="10044,508" stroked="true" strokeweight=".06pt" strokecolor="#000000"/>
            <v:line style="position:absolute" from="8747,510" to="10044,510" stroked="true" strokeweight=".06pt" strokecolor="#000000"/>
            <v:line style="position:absolute" from="8747,511" to="10044,511" stroked="true" strokeweight=".06pt" strokecolor="#000000"/>
            <v:line style="position:absolute" from="8747,512" to="10044,512" stroked="true" strokeweight=".06pt" strokecolor="#000000"/>
            <v:line style="position:absolute" from="8747,513" to="10044,513" stroked="true" strokeweight=".06pt" strokecolor="#000000"/>
            <v:line style="position:absolute" from="8747,514" to="10044,514" stroked="true" strokeweight=".06pt" strokecolor="#000000"/>
            <v:line style="position:absolute" from="8747,516" to="10044,516" stroked="true" strokeweight=".06pt" strokecolor="#000000"/>
            <v:line style="position:absolute" from="10044,498" to="11341,498" stroked="true" strokeweight=".06pt" strokecolor="#000000"/>
            <v:line style="position:absolute" from="10044,499" to="11341,499" stroked="true" strokeweight=".06pt" strokecolor="#000000"/>
            <v:line style="position:absolute" from="10044,500" to="11341,500" stroked="true" strokeweight=".06pt" strokecolor="#000000"/>
            <v:line style="position:absolute" from="10044,501" to="11341,501" stroked="true" strokeweight=".06pt" strokecolor="#000000"/>
            <v:line style="position:absolute" from="10044,502" to="11341,502" stroked="true" strokeweight=".06pt" strokecolor="#000000"/>
            <v:line style="position:absolute" from="10044,504" to="11341,504" stroked="true" strokeweight=".06pt" strokecolor="#000000"/>
            <v:line style="position:absolute" from="10044,505" to="11341,505" stroked="true" strokeweight=".06pt" strokecolor="#000000"/>
            <v:line style="position:absolute" from="10044,506" to="11341,506" stroked="true" strokeweight=".06pt" strokecolor="#000000"/>
            <v:line style="position:absolute" from="10044,507" to="11341,507" stroked="true" strokeweight=".06pt" strokecolor="#000000"/>
            <v:line style="position:absolute" from="10044,508" to="11341,508" stroked="true" strokeweight=".06pt" strokecolor="#000000"/>
            <v:line style="position:absolute" from="10044,510" to="11341,510" stroked="true" strokeweight=".06pt" strokecolor="#000000"/>
            <v:line style="position:absolute" from="10044,511" to="11341,511" stroked="true" strokeweight=".06pt" strokecolor="#000000"/>
            <v:line style="position:absolute" from="10044,512" to="11341,512" stroked="true" strokeweight=".06pt" strokecolor="#000000"/>
            <v:line style="position:absolute" from="10044,513" to="11341,513" stroked="true" strokeweight=".06pt" strokecolor="#000000"/>
            <v:line style="position:absolute" from="10044,514" to="11341,514" stroked="true" strokeweight=".06pt" strokecolor="#000000"/>
            <v:line style="position:absolute" from="10044,516" to="11341,516" stroked="true" strokeweight=".06pt" strokecolor="#000000"/>
            <v:line style="position:absolute" from="5814,498" to="5983,498" stroked="true" strokeweight=".06pt" strokecolor="#000000"/>
            <v:line style="position:absolute" from="5814,499" to="5983,499" stroked="true" strokeweight=".06pt" strokecolor="#000000"/>
            <v:line style="position:absolute" from="5814,500" to="5983,500" stroked="true" strokeweight=".06pt" strokecolor="#000000"/>
            <v:line style="position:absolute" from="5814,501" to="5983,501" stroked="true" strokeweight=".06pt" strokecolor="#000000"/>
            <v:line style="position:absolute" from="5814,502" to="5983,502" stroked="true" strokeweight=".06pt" strokecolor="#000000"/>
            <v:line style="position:absolute" from="5814,504" to="5983,504" stroked="true" strokeweight=".06pt" strokecolor="#000000"/>
            <v:line style="position:absolute" from="5814,505" to="5983,505" stroked="true" strokeweight=".06pt" strokecolor="#000000"/>
            <v:line style="position:absolute" from="5814,506" to="5983,506" stroked="true" strokeweight=".06pt" strokecolor="#000000"/>
            <v:line style="position:absolute" from="5814,507" to="5983,507" stroked="true" strokeweight=".06pt" strokecolor="#000000"/>
            <v:line style="position:absolute" from="5814,508" to="5983,508" stroked="true" strokeweight=".06pt" strokecolor="#000000"/>
            <v:line style="position:absolute" from="5814,510" to="5983,510" stroked="true" strokeweight=".06pt" strokecolor="#000000"/>
            <v:line style="position:absolute" from="5814,511" to="5983,511" stroked="true" strokeweight=".06pt" strokecolor="#000000"/>
            <v:line style="position:absolute" from="5814,512" to="5983,512" stroked="true" strokeweight=".06pt" strokecolor="#000000"/>
            <v:line style="position:absolute" from="5814,513" to="5983,513" stroked="true" strokeweight=".06pt" strokecolor="#000000"/>
            <v:line style="position:absolute" from="5814,514" to="5983,514" stroked="true" strokeweight=".06pt" strokecolor="#000000"/>
            <v:line style="position:absolute" from="5814,516" to="5983,516" stroked="true" strokeweight=".06pt" strokecolor="#000000"/>
            <v:line style="position:absolute" from="5983,498" to="7280,498" stroked="true" strokeweight=".06pt" strokecolor="#000000"/>
            <v:line style="position:absolute" from="5983,499" to="7280,499" stroked="true" strokeweight=".06pt" strokecolor="#000000"/>
            <v:line style="position:absolute" from="5983,500" to="7280,500" stroked="true" strokeweight=".06pt" strokecolor="#000000"/>
            <v:line style="position:absolute" from="5983,501" to="7280,501" stroked="true" strokeweight=".06pt" strokecolor="#000000"/>
            <v:line style="position:absolute" from="5983,502" to="7280,502" stroked="true" strokeweight=".06pt" strokecolor="#000000"/>
            <v:line style="position:absolute" from="5983,504" to="7280,504" stroked="true" strokeweight=".06pt" strokecolor="#000000"/>
            <v:line style="position:absolute" from="5983,505" to="7280,505" stroked="true" strokeweight=".06pt" strokecolor="#000000"/>
            <v:line style="position:absolute" from="5983,506" to="7280,506" stroked="true" strokeweight=".06pt" strokecolor="#000000"/>
            <v:line style="position:absolute" from="5983,507" to="7280,507" stroked="true" strokeweight=".06pt" strokecolor="#000000"/>
            <v:line style="position:absolute" from="5983,508" to="7280,508" stroked="true" strokeweight=".06pt" strokecolor="#000000"/>
            <v:line style="position:absolute" from="5983,510" to="7280,510" stroked="true" strokeweight=".06pt" strokecolor="#000000"/>
            <v:line style="position:absolute" from="5983,511" to="7280,511" stroked="true" strokeweight=".06pt" strokecolor="#000000"/>
            <v:line style="position:absolute" from="5983,512" to="7280,512" stroked="true" strokeweight=".06pt" strokecolor="#000000"/>
            <v:line style="position:absolute" from="5983,513" to="7280,513" stroked="true" strokeweight=".06pt" strokecolor="#000000"/>
            <v:line style="position:absolute" from="5983,514" to="7280,514" stroked="true" strokeweight=".06pt" strokecolor="#000000"/>
            <v:line style="position:absolute" from="5983,516" to="7280,516" stroked="true" strokeweight=".06pt" strokecolor="#000000"/>
            <v:line style="position:absolute" from="7280,498" to="8578,498" stroked="true" strokeweight=".06pt" strokecolor="#000000"/>
            <v:line style="position:absolute" from="7280,499" to="8578,499" stroked="true" strokeweight=".06pt" strokecolor="#000000"/>
            <v:line style="position:absolute" from="7280,500" to="8578,500" stroked="true" strokeweight=".06pt" strokecolor="#000000"/>
            <v:line style="position:absolute" from="7280,501" to="8578,501" stroked="true" strokeweight=".06pt" strokecolor="#000000"/>
            <v:line style="position:absolute" from="7280,502" to="8578,502" stroked="true" strokeweight=".06pt" strokecolor="#000000"/>
            <v:line style="position:absolute" from="7280,504" to="8578,504" stroked="true" strokeweight=".06pt" strokecolor="#000000"/>
            <v:line style="position:absolute" from="7280,505" to="8578,505" stroked="true" strokeweight=".06pt" strokecolor="#000000"/>
            <v:line style="position:absolute" from="7280,506" to="8578,506" stroked="true" strokeweight=".06pt" strokecolor="#000000"/>
            <v:line style="position:absolute" from="7280,507" to="8578,507" stroked="true" strokeweight=".06pt" strokecolor="#000000"/>
            <v:line style="position:absolute" from="7280,508" to="8578,508" stroked="true" strokeweight=".06pt" strokecolor="#000000"/>
            <v:line style="position:absolute" from="7280,510" to="8578,510" stroked="true" strokeweight=".06pt" strokecolor="#000000"/>
            <v:line style="position:absolute" from="7280,511" to="8578,511" stroked="true" strokeweight=".06pt" strokecolor="#000000"/>
            <v:line style="position:absolute" from="7280,512" to="8578,512" stroked="true" strokeweight=".06pt" strokecolor="#000000"/>
            <v:line style="position:absolute" from="7280,513" to="8578,513" stroked="true" strokeweight=".06pt" strokecolor="#000000"/>
            <v:line style="position:absolute" from="7280,514" to="8578,514" stroked="true" strokeweight=".06pt" strokecolor="#000000"/>
            <v:line style="position:absolute" from="7280,516" to="8578,516" stroked="true" strokeweight=".06pt" strokecolor="#000000"/>
            <v:line style="position:absolute" from="8578,498" to="8747,498" stroked="true" strokeweight=".06pt" strokecolor="#000000"/>
            <v:line style="position:absolute" from="8578,499" to="8747,499" stroked="true" strokeweight=".06pt" strokecolor="#000000"/>
            <v:line style="position:absolute" from="8578,500" to="8747,500" stroked="true" strokeweight=".06pt" strokecolor="#000000"/>
            <v:line style="position:absolute" from="8578,501" to="8747,501" stroked="true" strokeweight=".06pt" strokecolor="#000000"/>
            <v:line style="position:absolute" from="8578,502" to="8747,502" stroked="true" strokeweight=".06pt" strokecolor="#000000"/>
            <v:line style="position:absolute" from="8578,504" to="8747,504" stroked="true" strokeweight=".06pt" strokecolor="#000000"/>
            <v:line style="position:absolute" from="8578,505" to="8747,505" stroked="true" strokeweight=".06pt" strokecolor="#000000"/>
            <v:line style="position:absolute" from="8578,506" to="8747,506" stroked="true" strokeweight=".06pt" strokecolor="#000000"/>
            <v:line style="position:absolute" from="8578,507" to="8747,507" stroked="true" strokeweight=".06pt" strokecolor="#000000"/>
            <v:line style="position:absolute" from="8578,508" to="8747,508" stroked="true" strokeweight=".06pt" strokecolor="#000000"/>
            <v:line style="position:absolute" from="8578,510" to="8747,510" stroked="true" strokeweight=".06pt" strokecolor="#000000"/>
            <v:line style="position:absolute" from="8578,511" to="8747,511" stroked="true" strokeweight=".06pt" strokecolor="#000000"/>
            <v:line style="position:absolute" from="8578,512" to="8747,512" stroked="true" strokeweight=".06pt" strokecolor="#000000"/>
            <v:line style="position:absolute" from="8578,513" to="8747,513" stroked="true" strokeweight=".06pt" strokecolor="#000000"/>
            <v:line style="position:absolute" from="8578,514" to="8747,514" stroked="true" strokeweight=".06pt" strokecolor="#000000"/>
            <v:line style="position:absolute" from="8578,516" to="8747,516" stroked="true" strokeweight=".06pt" strokecolor="#000000"/>
            <v:line style="position:absolute" from="8747,498" to="10044,498" stroked="true" strokeweight=".06pt" strokecolor="#000000"/>
            <v:line style="position:absolute" from="8747,499" to="10044,499" stroked="true" strokeweight=".06pt" strokecolor="#000000"/>
            <v:line style="position:absolute" from="8747,500" to="10044,500" stroked="true" strokeweight=".06pt" strokecolor="#000000"/>
            <v:line style="position:absolute" from="8747,501" to="10044,501" stroked="true" strokeweight=".06pt" strokecolor="#000000"/>
            <v:line style="position:absolute" from="8747,502" to="10044,502" stroked="true" strokeweight=".06pt" strokecolor="#000000"/>
            <v:line style="position:absolute" from="8747,504" to="10044,504" stroked="true" strokeweight=".06pt" strokecolor="#000000"/>
            <v:line style="position:absolute" from="8747,505" to="10044,505" stroked="true" strokeweight=".06pt" strokecolor="#000000"/>
            <v:line style="position:absolute" from="8747,506" to="10044,506" stroked="true" strokeweight=".06pt" strokecolor="#000000"/>
            <v:line style="position:absolute" from="8747,507" to="10044,507" stroked="true" strokeweight=".06pt" strokecolor="#000000"/>
            <v:line style="position:absolute" from="8747,508" to="10044,508" stroked="true" strokeweight=".06pt" strokecolor="#000000"/>
            <v:line style="position:absolute" from="8747,510" to="10044,510" stroked="true" strokeweight=".06pt" strokecolor="#000000"/>
            <v:line style="position:absolute" from="8747,511" to="10044,511" stroked="true" strokeweight=".06pt" strokecolor="#000000"/>
            <v:line style="position:absolute" from="8747,512" to="10044,512" stroked="true" strokeweight=".06pt" strokecolor="#000000"/>
            <v:line style="position:absolute" from="8747,513" to="10044,513" stroked="true" strokeweight=".06pt" strokecolor="#000000"/>
            <v:line style="position:absolute" from="8747,514" to="10044,514" stroked="true" strokeweight=".06pt" strokecolor="#000000"/>
            <v:line style="position:absolute" from="8747,516" to="10044,516" stroked="true" strokeweight=".06pt" strokecolor="#000000"/>
            <v:line style="position:absolute" from="10044,498" to="11341,498" stroked="true" strokeweight=".06pt" strokecolor="#000000"/>
            <v:line style="position:absolute" from="10044,499" to="11341,499" stroked="true" strokeweight=".06pt" strokecolor="#000000"/>
            <v:line style="position:absolute" from="10044,500" to="11341,500" stroked="true" strokeweight=".06pt" strokecolor="#000000"/>
            <v:line style="position:absolute" from="10044,501" to="11341,501" stroked="true" strokeweight=".06pt" strokecolor="#000000"/>
            <v:line style="position:absolute" from="10044,502" to="11341,502" stroked="true" strokeweight=".06pt" strokecolor="#000000"/>
            <v:line style="position:absolute" from="10044,504" to="11341,504" stroked="true" strokeweight=".06pt" strokecolor="#000000"/>
            <v:line style="position:absolute" from="10044,505" to="11341,505" stroked="true" strokeweight=".06pt" strokecolor="#000000"/>
            <v:line style="position:absolute" from="10044,506" to="11341,506" stroked="true" strokeweight=".06pt" strokecolor="#000000"/>
            <v:line style="position:absolute" from="10044,507" to="11341,507" stroked="true" strokeweight=".06pt" strokecolor="#000000"/>
            <v:line style="position:absolute" from="10044,508" to="11341,508" stroked="true" strokeweight=".06pt" strokecolor="#000000"/>
            <v:line style="position:absolute" from="10044,510" to="11341,510" stroked="true" strokeweight=".06pt" strokecolor="#000000"/>
            <v:line style="position:absolute" from="10044,511" to="11341,511" stroked="true" strokeweight=".06pt" strokecolor="#000000"/>
            <v:line style="position:absolute" from="10044,512" to="11341,512" stroked="true" strokeweight=".06pt" strokecolor="#000000"/>
            <v:line style="position:absolute" from="10044,513" to="11341,513" stroked="true" strokeweight=".06pt" strokecolor="#000000"/>
            <v:line style="position:absolute" from="10044,514" to="11341,514" stroked="true" strokeweight=".06pt" strokecolor="#000000"/>
            <v:line style="position:absolute" from="10044,516" to="11341,516" stroked="true" strokeweight=".06pt" strokecolor="#000000"/>
            <w10:wrap type="none"/>
          </v:group>
        </w:pict>
      </w:r>
      <w:r>
        <w:rPr>
          <w:sz w:val="18"/>
        </w:rPr>
        <w:t>than</w:t>
      </w:r>
      <w:r>
        <w:rPr>
          <w:spacing w:val="-3"/>
          <w:sz w:val="18"/>
        </w:rPr>
        <w:t> </w:t>
      </w:r>
      <w:r>
        <w:rPr>
          <w:sz w:val="18"/>
        </w:rPr>
        <w:t>5</w:t>
      </w:r>
      <w:r>
        <w:rPr>
          <w:spacing w:val="-3"/>
          <w:sz w:val="18"/>
        </w:rPr>
        <w:t> </w:t>
      </w:r>
      <w:r>
        <w:rPr>
          <w:sz w:val="18"/>
        </w:rPr>
        <w:t>years</w:t>
        <w:tab/>
        <w:tab/>
      </w:r>
      <w:r>
        <w:rPr>
          <w:b/>
          <w:sz w:val="18"/>
        </w:rPr>
        <w:t>-</w:t>
        <w:tab/>
        <w:tab/>
      </w:r>
      <w:r>
        <w:rPr>
          <w:sz w:val="18"/>
        </w:rPr>
        <w:t>-</w:t>
        <w:tab/>
        <w:tab/>
      </w:r>
      <w:r>
        <w:rPr>
          <w:b/>
          <w:sz w:val="18"/>
        </w:rPr>
        <w:t>-</w:t>
        <w:tab/>
        <w:tab/>
      </w:r>
      <w:r>
        <w:rPr>
          <w:sz w:val="18"/>
        </w:rPr>
        <w:t>- Later than</w:t>
      </w:r>
      <w:r>
        <w:rPr>
          <w:spacing w:val="-7"/>
          <w:sz w:val="18"/>
        </w:rPr>
        <w:t> </w:t>
      </w:r>
      <w:r>
        <w:rPr>
          <w:sz w:val="18"/>
        </w:rPr>
        <w:t>5</w:t>
      </w:r>
      <w:r>
        <w:rPr>
          <w:spacing w:val="-4"/>
          <w:sz w:val="18"/>
        </w:rPr>
        <w:t> </w:t>
      </w:r>
      <w:r>
        <w:rPr>
          <w:sz w:val="18"/>
        </w:rPr>
        <w:t>years</w:t>
        <w:tab/>
      </w:r>
      <w:r>
        <w:rPr>
          <w:b/>
          <w:sz w:val="18"/>
        </w:rPr>
        <w:t>42,990</w:t>
        <w:tab/>
      </w:r>
      <w:r>
        <w:rPr>
          <w:sz w:val="18"/>
        </w:rPr>
        <w:t>42,990</w:t>
        <w:tab/>
      </w:r>
      <w:r>
        <w:rPr>
          <w:b/>
          <w:sz w:val="18"/>
        </w:rPr>
        <w:t>17,673</w:t>
        <w:tab/>
      </w:r>
      <w:r>
        <w:rPr>
          <w:sz w:val="18"/>
        </w:rPr>
        <w:t>17,242</w:t>
      </w:r>
    </w:p>
    <w:p>
      <w:pPr>
        <w:pStyle w:val="Heading8"/>
        <w:spacing w:line="207" w:lineRule="exact" w:before="102"/>
        <w:ind w:left="2392"/>
      </w:pPr>
      <w:r>
        <w:rPr/>
        <w:t>Amounts receivable under</w:t>
      </w:r>
    </w:p>
    <w:p>
      <w:pPr>
        <w:tabs>
          <w:tab w:pos="5813" w:val="left" w:leader="none"/>
          <w:tab w:pos="6643" w:val="left" w:leader="none"/>
          <w:tab w:pos="7940" w:val="left" w:leader="none"/>
          <w:tab w:pos="9406" w:val="left" w:leader="none"/>
          <w:tab w:pos="10703" w:val="left" w:leader="none"/>
        </w:tabs>
        <w:spacing w:line="207" w:lineRule="exact" w:before="0" w:after="36"/>
        <w:ind w:left="2392" w:right="0" w:firstLine="0"/>
        <w:jc w:val="left"/>
        <w:rPr>
          <w:sz w:val="18"/>
        </w:rPr>
      </w:pPr>
      <w:r>
        <w:rPr>
          <w:b/>
          <w:sz w:val="18"/>
        </w:rPr>
        <w:t>finance</w:t>
      </w:r>
      <w:r>
        <w:rPr>
          <w:b/>
          <w:spacing w:val="-5"/>
          <w:sz w:val="18"/>
        </w:rPr>
        <w:t> </w:t>
      </w:r>
      <w:r>
        <w:rPr>
          <w:b/>
          <w:sz w:val="18"/>
        </w:rPr>
        <w:t>leases</w:t>
        <w:tab/>
      </w:r>
      <w:r>
        <w:rPr>
          <w:rFonts w:ascii="Times New Roman"/>
          <w:sz w:val="18"/>
          <w:u w:val="single"/>
        </w:rPr>
        <w:t> </w:t>
        <w:tab/>
      </w:r>
      <w:r>
        <w:rPr>
          <w:b/>
          <w:sz w:val="18"/>
          <w:u w:val="single"/>
        </w:rPr>
        <w:t>42,990</w:t>
        <w:tab/>
      </w:r>
      <w:r>
        <w:rPr>
          <w:sz w:val="18"/>
          <w:u w:val="single"/>
        </w:rPr>
        <w:t>42,990</w:t>
        <w:tab/>
      </w:r>
      <w:r>
        <w:rPr>
          <w:b/>
          <w:sz w:val="18"/>
          <w:u w:val="single"/>
        </w:rPr>
        <w:t>17,673</w:t>
        <w:tab/>
      </w:r>
      <w:r>
        <w:rPr>
          <w:sz w:val="18"/>
          <w:u w:val="single"/>
        </w:rPr>
        <w:t>17,242</w:t>
      </w:r>
    </w:p>
    <w:tbl>
      <w:tblPr>
        <w:tblW w:w="0" w:type="auto"/>
        <w:jc w:val="left"/>
        <w:tblInd w:w="235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456"/>
        <w:gridCol w:w="1752"/>
        <w:gridCol w:w="1412"/>
        <w:gridCol w:w="1352"/>
        <w:gridCol w:w="1012"/>
      </w:tblGrid>
      <w:tr>
        <w:trPr>
          <w:trHeight w:val="255" w:hRule="exact"/>
        </w:trPr>
        <w:tc>
          <w:tcPr>
            <w:tcW w:w="3456" w:type="dxa"/>
          </w:tcPr>
          <w:p>
            <w:pPr>
              <w:pStyle w:val="TableParagraph"/>
              <w:spacing w:before="12"/>
              <w:ind w:left="35" w:right="99"/>
              <w:jc w:val="left"/>
              <w:rPr>
                <w:sz w:val="18"/>
              </w:rPr>
            </w:pPr>
            <w:r>
              <w:rPr>
                <w:sz w:val="18"/>
              </w:rPr>
              <w:t>Less unearned finance income</w:t>
            </w:r>
          </w:p>
        </w:tc>
        <w:tc>
          <w:tcPr>
            <w:tcW w:w="1752" w:type="dxa"/>
            <w:tcBorders>
              <w:bottom w:val="single" w:sz="0" w:space="0" w:color="000000"/>
            </w:tcBorders>
          </w:tcPr>
          <w:p>
            <w:pPr>
              <w:pStyle w:val="TableParagraph"/>
              <w:spacing w:before="11"/>
              <w:ind w:right="312"/>
              <w:rPr>
                <w:b/>
                <w:sz w:val="18"/>
              </w:rPr>
            </w:pPr>
            <w:r>
              <w:rPr>
                <w:b/>
                <w:w w:val="95"/>
                <w:sz w:val="18"/>
              </w:rPr>
              <w:t>(25,317)</w:t>
            </w:r>
          </w:p>
        </w:tc>
        <w:tc>
          <w:tcPr>
            <w:tcW w:w="1412" w:type="dxa"/>
            <w:tcBorders>
              <w:bottom w:val="single" w:sz="0" w:space="0" w:color="000000"/>
            </w:tcBorders>
          </w:tcPr>
          <w:p>
            <w:pPr>
              <w:pStyle w:val="TableParagraph"/>
              <w:spacing w:before="11"/>
              <w:ind w:right="427"/>
              <w:rPr>
                <w:sz w:val="18"/>
              </w:rPr>
            </w:pPr>
            <w:r>
              <w:rPr>
                <w:w w:val="95"/>
                <w:sz w:val="18"/>
              </w:rPr>
              <w:t>(25,748)</w:t>
            </w:r>
          </w:p>
        </w:tc>
        <w:tc>
          <w:tcPr>
            <w:tcW w:w="1352" w:type="dxa"/>
            <w:tcBorders>
              <w:bottom w:val="single" w:sz="0" w:space="0" w:color="000000"/>
            </w:tcBorders>
          </w:tcPr>
          <w:p>
            <w:pPr>
              <w:pStyle w:val="TableParagraph"/>
              <w:spacing w:before="11"/>
              <w:ind w:right="372"/>
              <w:rPr>
                <w:b/>
                <w:sz w:val="18"/>
              </w:rPr>
            </w:pPr>
            <w:r>
              <w:rPr>
                <w:b/>
                <w:w w:val="99"/>
                <w:sz w:val="18"/>
              </w:rPr>
              <w:t>-</w:t>
            </w:r>
          </w:p>
        </w:tc>
        <w:tc>
          <w:tcPr>
            <w:tcW w:w="1012" w:type="dxa"/>
            <w:tcBorders>
              <w:bottom w:val="single" w:sz="0" w:space="0" w:color="000000"/>
            </w:tcBorders>
          </w:tcPr>
          <w:p>
            <w:pPr>
              <w:pStyle w:val="TableParagraph"/>
              <w:spacing w:before="11"/>
              <w:ind w:right="86"/>
              <w:rPr>
                <w:sz w:val="18"/>
              </w:rPr>
            </w:pPr>
            <w:r>
              <w:rPr>
                <w:w w:val="99"/>
                <w:sz w:val="18"/>
              </w:rPr>
              <w:t>-</w:t>
            </w:r>
          </w:p>
        </w:tc>
      </w:tr>
      <w:tr>
        <w:trPr>
          <w:trHeight w:val="560" w:hRule="exact"/>
        </w:trPr>
        <w:tc>
          <w:tcPr>
            <w:tcW w:w="3456" w:type="dxa"/>
          </w:tcPr>
          <w:p>
            <w:pPr>
              <w:pStyle w:val="TableParagraph"/>
              <w:spacing w:before="123"/>
              <w:ind w:left="35" w:right="99"/>
              <w:jc w:val="left"/>
              <w:rPr>
                <w:sz w:val="18"/>
              </w:rPr>
            </w:pPr>
            <w:r>
              <w:rPr>
                <w:sz w:val="18"/>
              </w:rPr>
              <w:t>Present value of minimum lease payments receivable</w:t>
            </w:r>
          </w:p>
        </w:tc>
        <w:tc>
          <w:tcPr>
            <w:tcW w:w="1752" w:type="dxa"/>
            <w:tcBorders>
              <w:top w:val="single" w:sz="0" w:space="0" w:color="000000"/>
            </w:tcBorders>
          </w:tcPr>
          <w:p>
            <w:pPr>
              <w:pStyle w:val="TableParagraph"/>
              <w:jc w:val="left"/>
              <w:rPr>
                <w:sz w:val="18"/>
              </w:rPr>
            </w:pPr>
          </w:p>
          <w:p>
            <w:pPr>
              <w:pStyle w:val="TableParagraph"/>
              <w:spacing w:before="122"/>
              <w:ind w:right="372"/>
              <w:rPr>
                <w:b/>
                <w:sz w:val="18"/>
              </w:rPr>
            </w:pPr>
            <w:r>
              <w:rPr>
                <w:b/>
                <w:w w:val="95"/>
                <w:sz w:val="18"/>
              </w:rPr>
              <w:t>17,673</w:t>
            </w:r>
          </w:p>
        </w:tc>
        <w:tc>
          <w:tcPr>
            <w:tcW w:w="1412" w:type="dxa"/>
            <w:tcBorders>
              <w:top w:val="single" w:sz="0" w:space="0" w:color="000000"/>
            </w:tcBorders>
          </w:tcPr>
          <w:p>
            <w:pPr>
              <w:pStyle w:val="TableParagraph"/>
              <w:jc w:val="left"/>
              <w:rPr>
                <w:sz w:val="18"/>
              </w:rPr>
            </w:pPr>
          </w:p>
          <w:p>
            <w:pPr>
              <w:pStyle w:val="TableParagraph"/>
              <w:spacing w:before="122"/>
              <w:ind w:right="486"/>
              <w:rPr>
                <w:sz w:val="18"/>
              </w:rPr>
            </w:pPr>
            <w:r>
              <w:rPr>
                <w:w w:val="95"/>
                <w:sz w:val="18"/>
              </w:rPr>
              <w:t>17,242</w:t>
            </w:r>
          </w:p>
        </w:tc>
        <w:tc>
          <w:tcPr>
            <w:tcW w:w="1352" w:type="dxa"/>
            <w:tcBorders>
              <w:top w:val="single" w:sz="0" w:space="0" w:color="000000"/>
            </w:tcBorders>
          </w:tcPr>
          <w:p>
            <w:pPr>
              <w:pStyle w:val="TableParagraph"/>
              <w:jc w:val="left"/>
              <w:rPr>
                <w:sz w:val="18"/>
              </w:rPr>
            </w:pPr>
          </w:p>
          <w:p>
            <w:pPr>
              <w:pStyle w:val="TableParagraph"/>
              <w:spacing w:before="122"/>
              <w:ind w:right="372"/>
              <w:rPr>
                <w:b/>
                <w:sz w:val="18"/>
              </w:rPr>
            </w:pPr>
            <w:r>
              <w:rPr>
                <w:b/>
                <w:w w:val="95"/>
                <w:sz w:val="18"/>
              </w:rPr>
              <w:t>17,673</w:t>
            </w:r>
          </w:p>
        </w:tc>
        <w:tc>
          <w:tcPr>
            <w:tcW w:w="1012" w:type="dxa"/>
            <w:tcBorders>
              <w:top w:val="single" w:sz="0" w:space="0" w:color="000000"/>
            </w:tcBorders>
          </w:tcPr>
          <w:p>
            <w:pPr>
              <w:pStyle w:val="TableParagraph"/>
              <w:jc w:val="left"/>
              <w:rPr>
                <w:sz w:val="18"/>
              </w:rPr>
            </w:pPr>
          </w:p>
          <w:p>
            <w:pPr>
              <w:pStyle w:val="TableParagraph"/>
              <w:spacing w:before="122"/>
              <w:ind w:right="86"/>
              <w:rPr>
                <w:sz w:val="18"/>
              </w:rPr>
            </w:pPr>
            <w:r>
              <w:rPr>
                <w:w w:val="95"/>
                <w:sz w:val="18"/>
              </w:rPr>
              <w:t>17,242</w:t>
            </w:r>
          </w:p>
        </w:tc>
      </w:tr>
      <w:tr>
        <w:trPr>
          <w:trHeight w:val="453" w:hRule="exact"/>
        </w:trPr>
        <w:tc>
          <w:tcPr>
            <w:tcW w:w="3456" w:type="dxa"/>
          </w:tcPr>
          <w:p>
            <w:pPr>
              <w:pStyle w:val="TableParagraph"/>
              <w:spacing w:before="4"/>
              <w:ind w:left="35" w:right="99"/>
              <w:jc w:val="left"/>
              <w:rPr>
                <w:sz w:val="18"/>
              </w:rPr>
            </w:pPr>
            <w:r>
              <w:rPr>
                <w:sz w:val="18"/>
              </w:rPr>
              <w:t>Allowance for uncollectible lease payments</w:t>
            </w:r>
          </w:p>
        </w:tc>
        <w:tc>
          <w:tcPr>
            <w:tcW w:w="1752" w:type="dxa"/>
            <w:tcBorders>
              <w:bottom w:val="single" w:sz="0" w:space="0" w:color="000000"/>
            </w:tcBorders>
          </w:tcPr>
          <w:p>
            <w:pPr>
              <w:pStyle w:val="TableParagraph"/>
              <w:spacing w:before="2"/>
              <w:jc w:val="left"/>
              <w:rPr>
                <w:sz w:val="18"/>
              </w:rPr>
            </w:pPr>
          </w:p>
          <w:p>
            <w:pPr>
              <w:pStyle w:val="TableParagraph"/>
              <w:ind w:right="372"/>
              <w:rPr>
                <w:b/>
                <w:sz w:val="18"/>
              </w:rPr>
            </w:pPr>
            <w:r>
              <w:rPr>
                <w:b/>
                <w:w w:val="99"/>
                <w:sz w:val="18"/>
              </w:rPr>
              <w:t>-</w:t>
            </w:r>
          </w:p>
        </w:tc>
        <w:tc>
          <w:tcPr>
            <w:tcW w:w="1412" w:type="dxa"/>
            <w:tcBorders>
              <w:bottom w:val="single" w:sz="0" w:space="0" w:color="000000"/>
            </w:tcBorders>
          </w:tcPr>
          <w:p>
            <w:pPr>
              <w:pStyle w:val="TableParagraph"/>
              <w:spacing w:before="2"/>
              <w:jc w:val="left"/>
              <w:rPr>
                <w:sz w:val="18"/>
              </w:rPr>
            </w:pPr>
          </w:p>
          <w:p>
            <w:pPr>
              <w:pStyle w:val="TableParagraph"/>
              <w:ind w:right="486"/>
              <w:rPr>
                <w:sz w:val="18"/>
              </w:rPr>
            </w:pPr>
            <w:r>
              <w:rPr>
                <w:w w:val="99"/>
                <w:sz w:val="18"/>
              </w:rPr>
              <w:t>-</w:t>
            </w:r>
          </w:p>
        </w:tc>
        <w:tc>
          <w:tcPr>
            <w:tcW w:w="1352" w:type="dxa"/>
            <w:tcBorders>
              <w:bottom w:val="single" w:sz="0" w:space="0" w:color="000000"/>
            </w:tcBorders>
          </w:tcPr>
          <w:p>
            <w:pPr>
              <w:pStyle w:val="TableParagraph"/>
              <w:spacing w:before="2"/>
              <w:jc w:val="left"/>
              <w:rPr>
                <w:sz w:val="18"/>
              </w:rPr>
            </w:pPr>
          </w:p>
          <w:p>
            <w:pPr>
              <w:pStyle w:val="TableParagraph"/>
              <w:ind w:right="372"/>
              <w:rPr>
                <w:b/>
                <w:sz w:val="18"/>
              </w:rPr>
            </w:pPr>
            <w:r>
              <w:rPr>
                <w:b/>
                <w:w w:val="99"/>
                <w:sz w:val="18"/>
              </w:rPr>
              <w:t>-</w:t>
            </w:r>
          </w:p>
        </w:tc>
        <w:tc>
          <w:tcPr>
            <w:tcW w:w="1012" w:type="dxa"/>
            <w:tcBorders>
              <w:bottom w:val="single" w:sz="0" w:space="0" w:color="000000"/>
            </w:tcBorders>
          </w:tcPr>
          <w:p>
            <w:pPr>
              <w:pStyle w:val="TableParagraph"/>
              <w:spacing w:before="2"/>
              <w:jc w:val="left"/>
              <w:rPr>
                <w:sz w:val="18"/>
              </w:rPr>
            </w:pPr>
          </w:p>
          <w:p>
            <w:pPr>
              <w:pStyle w:val="TableParagraph"/>
              <w:ind w:right="86"/>
              <w:rPr>
                <w:sz w:val="18"/>
              </w:rPr>
            </w:pPr>
            <w:r>
              <w:rPr>
                <w:w w:val="99"/>
                <w:sz w:val="18"/>
              </w:rPr>
              <w:t>-</w:t>
            </w:r>
          </w:p>
        </w:tc>
      </w:tr>
      <w:tr>
        <w:trPr>
          <w:trHeight w:val="353" w:hRule="exact"/>
        </w:trPr>
        <w:tc>
          <w:tcPr>
            <w:tcW w:w="3456" w:type="dxa"/>
          </w:tcPr>
          <w:p>
            <w:pPr>
              <w:pStyle w:val="TableParagraph"/>
              <w:spacing w:before="123"/>
              <w:ind w:left="35" w:right="99"/>
              <w:jc w:val="left"/>
              <w:rPr>
                <w:b/>
                <w:sz w:val="18"/>
              </w:rPr>
            </w:pPr>
            <w:r>
              <w:rPr>
                <w:b/>
                <w:sz w:val="18"/>
              </w:rPr>
              <w:t>Finance lease receivable</w:t>
            </w:r>
          </w:p>
        </w:tc>
        <w:tc>
          <w:tcPr>
            <w:tcW w:w="1752" w:type="dxa"/>
            <w:tcBorders>
              <w:top w:val="single" w:sz="0" w:space="0" w:color="000000"/>
              <w:bottom w:val="single" w:sz="0" w:space="0" w:color="000000"/>
            </w:tcBorders>
          </w:tcPr>
          <w:p>
            <w:pPr>
              <w:pStyle w:val="TableParagraph"/>
              <w:spacing w:before="122"/>
              <w:ind w:right="372"/>
              <w:rPr>
                <w:b/>
                <w:sz w:val="18"/>
              </w:rPr>
            </w:pPr>
            <w:r>
              <w:rPr>
                <w:b/>
                <w:w w:val="95"/>
                <w:sz w:val="18"/>
              </w:rPr>
              <w:t>17,673</w:t>
            </w:r>
          </w:p>
        </w:tc>
        <w:tc>
          <w:tcPr>
            <w:tcW w:w="1412" w:type="dxa"/>
            <w:tcBorders>
              <w:top w:val="single" w:sz="0" w:space="0" w:color="000000"/>
              <w:bottom w:val="single" w:sz="0" w:space="0" w:color="000000"/>
            </w:tcBorders>
          </w:tcPr>
          <w:p>
            <w:pPr>
              <w:pStyle w:val="TableParagraph"/>
              <w:spacing w:before="122"/>
              <w:ind w:right="486"/>
              <w:rPr>
                <w:sz w:val="18"/>
              </w:rPr>
            </w:pPr>
            <w:r>
              <w:rPr>
                <w:w w:val="95"/>
                <w:sz w:val="18"/>
              </w:rPr>
              <w:t>17,242</w:t>
            </w:r>
          </w:p>
        </w:tc>
        <w:tc>
          <w:tcPr>
            <w:tcW w:w="1352" w:type="dxa"/>
            <w:tcBorders>
              <w:top w:val="single" w:sz="0" w:space="0" w:color="000000"/>
              <w:bottom w:val="single" w:sz="0" w:space="0" w:color="000000"/>
            </w:tcBorders>
          </w:tcPr>
          <w:p>
            <w:pPr>
              <w:pStyle w:val="TableParagraph"/>
              <w:spacing w:before="122"/>
              <w:ind w:right="372"/>
              <w:rPr>
                <w:b/>
                <w:sz w:val="18"/>
              </w:rPr>
            </w:pPr>
            <w:r>
              <w:rPr>
                <w:b/>
                <w:w w:val="95"/>
                <w:sz w:val="18"/>
              </w:rPr>
              <w:t>17,673</w:t>
            </w:r>
          </w:p>
        </w:tc>
        <w:tc>
          <w:tcPr>
            <w:tcW w:w="1012" w:type="dxa"/>
            <w:tcBorders>
              <w:top w:val="single" w:sz="0" w:space="0" w:color="000000"/>
              <w:bottom w:val="single" w:sz="0" w:space="0" w:color="000000"/>
            </w:tcBorders>
          </w:tcPr>
          <w:p>
            <w:pPr>
              <w:pStyle w:val="TableParagraph"/>
              <w:spacing w:before="122"/>
              <w:ind w:right="86"/>
              <w:rPr>
                <w:sz w:val="18"/>
              </w:rPr>
            </w:pPr>
            <w:r>
              <w:rPr>
                <w:w w:val="95"/>
                <w:sz w:val="18"/>
              </w:rPr>
              <w:t>17,242</w:t>
            </w:r>
          </w:p>
        </w:tc>
      </w:tr>
    </w:tbl>
    <w:p>
      <w:pPr>
        <w:pStyle w:val="BodyText"/>
        <w:spacing w:before="6"/>
        <w:rPr>
          <w:sz w:val="20"/>
        </w:rPr>
      </w:pPr>
    </w:p>
    <w:p>
      <w:pPr>
        <w:pStyle w:val="BodyText"/>
        <w:spacing w:before="77"/>
        <w:ind w:left="2390" w:right="1375"/>
      </w:pPr>
      <w:r>
        <w:rPr/>
        <w:drawing>
          <wp:anchor distT="0" distB="0" distL="0" distR="0" allowOverlap="1" layoutInCell="1" locked="0" behindDoc="0" simplePos="0" relativeHeight="3688">
            <wp:simplePos x="0" y="0"/>
            <wp:positionH relativeFrom="page">
              <wp:posOffset>-1587</wp:posOffset>
            </wp:positionH>
            <wp:positionV relativeFrom="paragraph">
              <wp:posOffset>132637</wp:posOffset>
            </wp:positionV>
            <wp:extent cx="136525" cy="155575"/>
            <wp:effectExtent l="0" t="0" r="0" b="0"/>
            <wp:wrapNone/>
            <wp:docPr id="203" name="image13.png" descr=""/>
            <wp:cNvGraphicFramePr>
              <a:graphicFrameLocks noChangeAspect="1"/>
            </wp:cNvGraphicFramePr>
            <a:graphic>
              <a:graphicData uri="http://schemas.openxmlformats.org/drawingml/2006/picture">
                <pic:pic>
                  <pic:nvPicPr>
                    <pic:cNvPr id="204" name="image13.png"/>
                    <pic:cNvPicPr/>
                  </pic:nvPicPr>
                  <pic:blipFill>
                    <a:blip r:embed="rId18" cstate="print"/>
                    <a:stretch>
                      <a:fillRect/>
                    </a:stretch>
                  </pic:blipFill>
                  <pic:spPr>
                    <a:xfrm>
                      <a:off x="0" y="0"/>
                      <a:ext cx="136525" cy="155575"/>
                    </a:xfrm>
                    <a:prstGeom prst="rect">
                      <a:avLst/>
                    </a:prstGeom>
                  </pic:spPr>
                </pic:pic>
              </a:graphicData>
            </a:graphic>
          </wp:anchor>
        </w:drawing>
      </w:r>
      <w:r>
        <w:rPr/>
        <w:drawing>
          <wp:anchor distT="0" distB="0" distL="0" distR="0" allowOverlap="1" layoutInCell="1" locked="0" behindDoc="0" simplePos="0" relativeHeight="3712">
            <wp:simplePos x="0" y="0"/>
            <wp:positionH relativeFrom="page">
              <wp:posOffset>7958429</wp:posOffset>
            </wp:positionH>
            <wp:positionV relativeFrom="paragraph">
              <wp:posOffset>132637</wp:posOffset>
            </wp:positionV>
            <wp:extent cx="135953" cy="155575"/>
            <wp:effectExtent l="0" t="0" r="0" b="0"/>
            <wp:wrapNone/>
            <wp:docPr id="205" name="image15.png" descr=""/>
            <wp:cNvGraphicFramePr>
              <a:graphicFrameLocks noChangeAspect="1"/>
            </wp:cNvGraphicFramePr>
            <a:graphic>
              <a:graphicData uri="http://schemas.openxmlformats.org/drawingml/2006/picture">
                <pic:pic>
                  <pic:nvPicPr>
                    <pic:cNvPr id="206" name="image15.png"/>
                    <pic:cNvPicPr/>
                  </pic:nvPicPr>
                  <pic:blipFill>
                    <a:blip r:embed="rId20" cstate="print"/>
                    <a:stretch>
                      <a:fillRect/>
                    </a:stretch>
                  </pic:blipFill>
                  <pic:spPr>
                    <a:xfrm>
                      <a:off x="0" y="0"/>
                      <a:ext cx="135953" cy="155575"/>
                    </a:xfrm>
                    <a:prstGeom prst="rect">
                      <a:avLst/>
                    </a:prstGeom>
                  </pic:spPr>
                </pic:pic>
              </a:graphicData>
            </a:graphic>
          </wp:anchor>
        </w:drawing>
      </w:r>
      <w:r>
        <w:rPr/>
        <w:t>Unguaranteed residual values of assets leased under finance leases at the end of the reporting period are estimated at $42.990M (2015: $42.990M).</w:t>
      </w:r>
    </w:p>
    <w:p>
      <w:pPr>
        <w:pStyle w:val="BodyText"/>
        <w:spacing w:before="11"/>
        <w:rPr>
          <w:sz w:val="24"/>
        </w:rPr>
      </w:pPr>
    </w:p>
    <w:p>
      <w:pPr>
        <w:pStyle w:val="BodyText"/>
        <w:ind w:left="2390"/>
      </w:pPr>
      <w:bookmarkStart w:name="19 Inventories" w:id="88"/>
      <w:bookmarkEnd w:id="88"/>
      <w:r>
        <w:rPr/>
      </w:r>
      <w:r>
        <w:rPr/>
        <w:t>Contingent rents of $0.810M (2015: $0.329M) have been recognised as income in the year.</w:t>
      </w:r>
    </w:p>
    <w:p>
      <w:pPr>
        <w:pStyle w:val="BodyText"/>
        <w:spacing w:before="11"/>
        <w:rPr>
          <w:sz w:val="24"/>
        </w:rPr>
      </w:pPr>
    </w:p>
    <w:p>
      <w:pPr>
        <w:pStyle w:val="BodyText"/>
        <w:ind w:left="2390"/>
      </w:pPr>
      <w:r>
        <w:rPr/>
        <w:t>The finance lease receivables at the end of the reporting period are neither past due nor impaired.</w:t>
      </w:r>
    </w:p>
    <w:p>
      <w:pPr>
        <w:pStyle w:val="BodyText"/>
        <w:spacing w:before="3"/>
      </w:pPr>
    </w:p>
    <w:p>
      <w:pPr>
        <w:pStyle w:val="Heading8"/>
        <w:numPr>
          <w:ilvl w:val="0"/>
          <w:numId w:val="22"/>
        </w:numPr>
        <w:tabs>
          <w:tab w:pos="1826" w:val="left" w:leader="none"/>
        </w:tabs>
        <w:spacing w:line="240" w:lineRule="auto" w:before="77" w:after="0"/>
        <w:ind w:left="1825" w:right="0" w:hanging="396"/>
        <w:jc w:val="left"/>
      </w:pPr>
      <w:r>
        <w:rPr/>
        <w:t>Inventories</w:t>
      </w:r>
    </w:p>
    <w:p>
      <w:pPr>
        <w:tabs>
          <w:tab w:pos="9704" w:val="left" w:leader="none"/>
        </w:tabs>
        <w:spacing w:before="33"/>
        <w:ind w:left="6650" w:right="0" w:firstLine="0"/>
        <w:jc w:val="left"/>
        <w:rPr>
          <w:b/>
          <w:sz w:val="18"/>
        </w:rPr>
      </w:pPr>
      <w:r>
        <w:rPr>
          <w:b/>
          <w:sz w:val="18"/>
        </w:rPr>
        <w:t>Consolidated</w:t>
        <w:tab/>
        <w:t>Parent</w:t>
      </w:r>
    </w:p>
    <w:p>
      <w:pPr>
        <w:spacing w:after="0"/>
        <w:jc w:val="left"/>
        <w:rPr>
          <w:sz w:val="18"/>
        </w:rPr>
        <w:sectPr>
          <w:type w:val="continuous"/>
          <w:pgSz w:w="12750" w:h="17680"/>
          <w:pgMar w:top="1660" w:bottom="0" w:left="0" w:right="0"/>
        </w:sectPr>
      </w:pPr>
    </w:p>
    <w:p>
      <w:pPr>
        <w:spacing w:before="66"/>
        <w:ind w:left="0" w:right="19" w:firstLine="0"/>
        <w:jc w:val="right"/>
        <w:rPr>
          <w:b/>
          <w:sz w:val="18"/>
        </w:rPr>
      </w:pPr>
      <w:r>
        <w:rPr>
          <w:b/>
          <w:sz w:val="18"/>
        </w:rPr>
        <w:t>2016</w:t>
      </w:r>
    </w:p>
    <w:p>
      <w:pPr>
        <w:spacing w:before="66"/>
        <w:ind w:left="0" w:right="0" w:firstLine="0"/>
        <w:jc w:val="right"/>
        <w:rPr>
          <w:b/>
          <w:sz w:val="18"/>
        </w:rPr>
      </w:pPr>
      <w:r>
        <w:rPr>
          <w:b/>
          <w:sz w:val="18"/>
        </w:rPr>
        <w:t>$'000</w:t>
      </w:r>
    </w:p>
    <w:p>
      <w:pPr>
        <w:spacing w:before="66"/>
        <w:ind w:left="822" w:right="-17" w:firstLine="0"/>
        <w:jc w:val="left"/>
        <w:rPr>
          <w:b/>
          <w:sz w:val="18"/>
        </w:rPr>
      </w:pPr>
      <w:r>
        <w:rPr/>
        <w:br w:type="column"/>
      </w:r>
      <w:r>
        <w:rPr>
          <w:b/>
          <w:sz w:val="18"/>
        </w:rPr>
        <w:t>2015</w:t>
      </w:r>
    </w:p>
    <w:p>
      <w:pPr>
        <w:spacing w:before="66"/>
        <w:ind w:left="801" w:right="-17" w:firstLine="0"/>
        <w:jc w:val="left"/>
        <w:rPr>
          <w:b/>
          <w:sz w:val="18"/>
        </w:rPr>
      </w:pPr>
      <w:r>
        <w:rPr>
          <w:b/>
          <w:spacing w:val="-1"/>
          <w:sz w:val="18"/>
        </w:rPr>
        <w:t>$'000</w:t>
      </w:r>
    </w:p>
    <w:p>
      <w:pPr>
        <w:spacing w:before="66"/>
        <w:ind w:left="0" w:right="19" w:firstLine="0"/>
        <w:jc w:val="right"/>
        <w:rPr>
          <w:b/>
          <w:sz w:val="18"/>
        </w:rPr>
      </w:pPr>
      <w:r>
        <w:rPr/>
        <w:br w:type="column"/>
      </w:r>
      <w:r>
        <w:rPr>
          <w:b/>
          <w:sz w:val="18"/>
        </w:rPr>
        <w:t>2016</w:t>
      </w:r>
    </w:p>
    <w:p>
      <w:pPr>
        <w:spacing w:before="66"/>
        <w:ind w:left="0" w:right="0" w:firstLine="0"/>
        <w:jc w:val="right"/>
        <w:rPr>
          <w:b/>
          <w:sz w:val="18"/>
        </w:rPr>
      </w:pPr>
      <w:r>
        <w:rPr>
          <w:b/>
          <w:sz w:val="18"/>
        </w:rPr>
        <w:t>$'000</w:t>
      </w:r>
    </w:p>
    <w:p>
      <w:pPr>
        <w:spacing w:before="66"/>
        <w:ind w:left="822" w:right="0" w:firstLine="0"/>
        <w:jc w:val="left"/>
        <w:rPr>
          <w:b/>
          <w:sz w:val="18"/>
        </w:rPr>
      </w:pPr>
      <w:r>
        <w:rPr/>
        <w:br w:type="column"/>
      </w:r>
      <w:r>
        <w:rPr>
          <w:b/>
          <w:sz w:val="18"/>
        </w:rPr>
        <w:t>2015</w:t>
      </w:r>
    </w:p>
    <w:p>
      <w:pPr>
        <w:spacing w:before="66"/>
        <w:ind w:left="801" w:right="0" w:firstLine="0"/>
        <w:jc w:val="left"/>
        <w:rPr>
          <w:b/>
          <w:sz w:val="18"/>
        </w:rPr>
      </w:pPr>
      <w:r>
        <w:rPr>
          <w:b/>
          <w:sz w:val="18"/>
        </w:rPr>
        <w:t>$'000</w:t>
      </w:r>
    </w:p>
    <w:p>
      <w:pPr>
        <w:spacing w:after="0"/>
        <w:jc w:val="left"/>
        <w:rPr>
          <w:sz w:val="18"/>
        </w:rPr>
        <w:sectPr>
          <w:type w:val="continuous"/>
          <w:pgSz w:w="12750" w:h="17680"/>
          <w:pgMar w:top="1660" w:bottom="0" w:left="0" w:right="0"/>
          <w:cols w:num="4" w:equalWidth="0">
            <w:col w:w="6877" w:space="40"/>
            <w:col w:w="1243" w:space="40"/>
            <w:col w:w="1441" w:space="40"/>
            <w:col w:w="3069"/>
          </w:cols>
        </w:sectPr>
      </w:pPr>
    </w:p>
    <w:p>
      <w:pPr>
        <w:pStyle w:val="BodyText"/>
        <w:spacing w:before="11"/>
        <w:rPr>
          <w:b/>
          <w:sz w:val="5"/>
        </w:rPr>
      </w:pPr>
    </w:p>
    <w:tbl>
      <w:tblPr>
        <w:tblW w:w="0" w:type="auto"/>
        <w:jc w:val="left"/>
        <w:tblInd w:w="183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981"/>
        <w:gridCol w:w="1803"/>
        <w:gridCol w:w="1576"/>
        <w:gridCol w:w="2148"/>
      </w:tblGrid>
      <w:tr>
        <w:trPr>
          <w:trHeight w:val="626" w:hRule="exact"/>
        </w:trPr>
        <w:tc>
          <w:tcPr>
            <w:tcW w:w="3981" w:type="dxa"/>
          </w:tcPr>
          <w:p>
            <w:pPr>
              <w:pStyle w:val="TableParagraph"/>
              <w:spacing w:before="77"/>
              <w:ind w:left="35"/>
              <w:jc w:val="left"/>
              <w:rPr>
                <w:b/>
                <w:sz w:val="18"/>
              </w:rPr>
            </w:pPr>
            <w:r>
              <w:rPr>
                <w:b/>
                <w:sz w:val="18"/>
              </w:rPr>
              <w:t>Current</w:t>
            </w:r>
          </w:p>
          <w:p>
            <w:pPr>
              <w:pStyle w:val="TableParagraph"/>
              <w:spacing w:before="112"/>
              <w:ind w:left="35"/>
              <w:jc w:val="left"/>
              <w:rPr>
                <w:sz w:val="18"/>
              </w:rPr>
            </w:pPr>
            <w:r>
              <w:rPr>
                <w:sz w:val="18"/>
              </w:rPr>
              <w:t>At cost:</w:t>
            </w:r>
          </w:p>
        </w:tc>
        <w:tc>
          <w:tcPr>
            <w:tcW w:w="5527" w:type="dxa"/>
            <w:gridSpan w:val="3"/>
          </w:tcPr>
          <w:p>
            <w:pPr/>
          </w:p>
        </w:tc>
      </w:tr>
      <w:tr>
        <w:trPr>
          <w:trHeight w:val="249" w:hRule="exact"/>
        </w:trPr>
        <w:tc>
          <w:tcPr>
            <w:tcW w:w="3981" w:type="dxa"/>
          </w:tcPr>
          <w:p>
            <w:pPr>
              <w:pStyle w:val="TableParagraph"/>
              <w:spacing w:before="4"/>
              <w:ind w:left="35"/>
              <w:jc w:val="left"/>
              <w:rPr>
                <w:sz w:val="18"/>
              </w:rPr>
            </w:pPr>
            <w:r>
              <w:rPr>
                <w:sz w:val="18"/>
              </w:rPr>
              <w:t>Stock on hand</w:t>
            </w:r>
          </w:p>
        </w:tc>
        <w:tc>
          <w:tcPr>
            <w:tcW w:w="1803" w:type="dxa"/>
            <w:tcBorders>
              <w:bottom w:val="single" w:sz="0" w:space="0" w:color="000000"/>
            </w:tcBorders>
          </w:tcPr>
          <w:p>
            <w:pPr>
              <w:pStyle w:val="TableParagraph"/>
              <w:spacing w:before="5"/>
              <w:ind w:right="422"/>
              <w:rPr>
                <w:b/>
                <w:sz w:val="18"/>
              </w:rPr>
            </w:pPr>
            <w:r>
              <w:rPr>
                <w:b/>
                <w:sz w:val="18"/>
              </w:rPr>
              <w:t>15</w:t>
            </w:r>
          </w:p>
        </w:tc>
        <w:tc>
          <w:tcPr>
            <w:tcW w:w="1576" w:type="dxa"/>
            <w:tcBorders>
              <w:bottom w:val="single" w:sz="0" w:space="0" w:color="000000"/>
            </w:tcBorders>
          </w:tcPr>
          <w:p>
            <w:pPr>
              <w:pStyle w:val="TableParagraph"/>
              <w:spacing w:before="5"/>
              <w:ind w:left="424"/>
              <w:jc w:val="left"/>
              <w:rPr>
                <w:sz w:val="18"/>
              </w:rPr>
            </w:pPr>
            <w:r>
              <w:rPr>
                <w:sz w:val="18"/>
              </w:rPr>
              <w:t>2,888</w:t>
            </w:r>
          </w:p>
        </w:tc>
        <w:tc>
          <w:tcPr>
            <w:tcW w:w="2148" w:type="dxa"/>
            <w:tcBorders>
              <w:bottom w:val="single" w:sz="0" w:space="0" w:color="000000"/>
            </w:tcBorders>
          </w:tcPr>
          <w:p>
            <w:pPr>
              <w:pStyle w:val="TableParagraph"/>
              <w:tabs>
                <w:tab w:pos="1297" w:val="left" w:leader="none"/>
              </w:tabs>
              <w:spacing w:before="5"/>
              <w:ind w:right="85"/>
              <w:rPr>
                <w:sz w:val="18"/>
              </w:rPr>
            </w:pPr>
            <w:r>
              <w:rPr>
                <w:b/>
                <w:sz w:val="18"/>
              </w:rPr>
              <w:t>-</w:t>
              <w:tab/>
            </w:r>
            <w:r>
              <w:rPr>
                <w:spacing w:val="-1"/>
                <w:sz w:val="18"/>
              </w:rPr>
              <w:t>-</w:t>
            </w:r>
          </w:p>
        </w:tc>
      </w:tr>
      <w:tr>
        <w:trPr>
          <w:trHeight w:val="353" w:hRule="exact"/>
        </w:trPr>
        <w:tc>
          <w:tcPr>
            <w:tcW w:w="3981" w:type="dxa"/>
          </w:tcPr>
          <w:p>
            <w:pPr>
              <w:pStyle w:val="TableParagraph"/>
              <w:spacing w:before="123"/>
              <w:ind w:left="35"/>
              <w:jc w:val="left"/>
              <w:rPr>
                <w:b/>
                <w:sz w:val="18"/>
              </w:rPr>
            </w:pPr>
            <w:r>
              <w:rPr>
                <w:b/>
                <w:sz w:val="18"/>
              </w:rPr>
              <w:t>Total inventories</w:t>
            </w:r>
          </w:p>
        </w:tc>
        <w:tc>
          <w:tcPr>
            <w:tcW w:w="1803" w:type="dxa"/>
            <w:tcBorders>
              <w:top w:val="single" w:sz="0" w:space="0" w:color="000000"/>
              <w:bottom w:val="single" w:sz="0" w:space="0" w:color="000000"/>
            </w:tcBorders>
          </w:tcPr>
          <w:p>
            <w:pPr>
              <w:pStyle w:val="TableParagraph"/>
              <w:spacing w:before="122"/>
              <w:ind w:right="422"/>
              <w:rPr>
                <w:b/>
                <w:sz w:val="18"/>
              </w:rPr>
            </w:pPr>
            <w:r>
              <w:rPr>
                <w:b/>
                <w:sz w:val="18"/>
              </w:rPr>
              <w:t>15</w:t>
            </w:r>
          </w:p>
        </w:tc>
        <w:tc>
          <w:tcPr>
            <w:tcW w:w="1576" w:type="dxa"/>
            <w:tcBorders>
              <w:top w:val="single" w:sz="0" w:space="0" w:color="000000"/>
              <w:bottom w:val="single" w:sz="0" w:space="0" w:color="000000"/>
            </w:tcBorders>
          </w:tcPr>
          <w:p>
            <w:pPr>
              <w:pStyle w:val="TableParagraph"/>
              <w:spacing w:before="122"/>
              <w:ind w:left="424"/>
              <w:jc w:val="left"/>
              <w:rPr>
                <w:sz w:val="18"/>
              </w:rPr>
            </w:pPr>
            <w:r>
              <w:rPr>
                <w:sz w:val="18"/>
              </w:rPr>
              <w:t>2,888</w:t>
            </w:r>
          </w:p>
        </w:tc>
        <w:tc>
          <w:tcPr>
            <w:tcW w:w="2148" w:type="dxa"/>
            <w:tcBorders>
              <w:top w:val="single" w:sz="0" w:space="0" w:color="000000"/>
              <w:bottom w:val="single" w:sz="0" w:space="0" w:color="000000"/>
            </w:tcBorders>
          </w:tcPr>
          <w:p>
            <w:pPr>
              <w:pStyle w:val="TableParagraph"/>
              <w:tabs>
                <w:tab w:pos="1297" w:val="left" w:leader="none"/>
              </w:tabs>
              <w:spacing w:before="122"/>
              <w:ind w:right="85"/>
              <w:rPr>
                <w:sz w:val="18"/>
              </w:rPr>
            </w:pPr>
            <w:r>
              <w:rPr>
                <w:b/>
                <w:sz w:val="18"/>
              </w:rPr>
              <w:t>-</w:t>
              <w:tab/>
            </w:r>
            <w:r>
              <w:rPr>
                <w:spacing w:val="-1"/>
                <w:sz w:val="18"/>
              </w:rPr>
              <w:t>-</w:t>
            </w:r>
          </w:p>
        </w:tc>
      </w:tr>
    </w:tbl>
    <w:p>
      <w:pPr>
        <w:spacing w:after="0"/>
        <w:rPr>
          <w:sz w:val="18"/>
        </w:rPr>
        <w:sectPr>
          <w:type w:val="continuous"/>
          <w:pgSz w:w="12750" w:h="17680"/>
          <w:pgMar w:top="1660" w:bottom="0" w:left="0" w:right="0"/>
        </w:sectPr>
      </w:pPr>
    </w:p>
    <w:p>
      <w:pPr>
        <w:pStyle w:val="BodyText"/>
        <w:rPr>
          <w:b/>
          <w:sz w:val="20"/>
        </w:rPr>
      </w:pPr>
    </w:p>
    <w:p>
      <w:pPr>
        <w:pStyle w:val="BodyText"/>
        <w:rPr>
          <w:b/>
          <w:sz w:val="20"/>
        </w:rPr>
      </w:pPr>
    </w:p>
    <w:p>
      <w:pPr>
        <w:pStyle w:val="BodyText"/>
        <w:spacing w:before="4"/>
        <w:rPr>
          <w:b/>
        </w:rPr>
      </w:pPr>
    </w:p>
    <w:p>
      <w:pPr>
        <w:pStyle w:val="ListParagraph"/>
        <w:numPr>
          <w:ilvl w:val="0"/>
          <w:numId w:val="22"/>
        </w:numPr>
        <w:tabs>
          <w:tab w:pos="1826" w:val="left" w:leader="none"/>
        </w:tabs>
        <w:spacing w:line="240" w:lineRule="auto" w:before="0" w:after="0"/>
        <w:ind w:left="1825" w:right="0" w:hanging="396"/>
        <w:jc w:val="left"/>
        <w:rPr>
          <w:b/>
          <w:sz w:val="18"/>
        </w:rPr>
      </w:pPr>
      <w:bookmarkStart w:name="20 Non-current assets classified as held" w:id="89"/>
      <w:bookmarkEnd w:id="89"/>
      <w:r>
        <w:rPr/>
      </w:r>
      <w:bookmarkStart w:name="20 Non-current assets classified as held" w:id="90"/>
      <w:bookmarkEnd w:id="90"/>
      <w:r>
        <w:rPr>
          <w:b/>
          <w:sz w:val="18"/>
        </w:rPr>
        <w:t>Non-curren</w:t>
      </w:r>
      <w:r>
        <w:rPr>
          <w:b/>
          <w:sz w:val="18"/>
        </w:rPr>
        <w:t>t</w:t>
      </w:r>
      <w:r>
        <w:rPr>
          <w:b/>
          <w:spacing w:val="-8"/>
          <w:sz w:val="18"/>
        </w:rPr>
        <w:t> </w:t>
      </w:r>
      <w:r>
        <w:rPr>
          <w:b/>
          <w:sz w:val="18"/>
        </w:rPr>
        <w:t>assets</w:t>
      </w:r>
      <w:r>
        <w:rPr>
          <w:b/>
          <w:spacing w:val="-8"/>
          <w:sz w:val="18"/>
        </w:rPr>
        <w:t> </w:t>
      </w:r>
      <w:r>
        <w:rPr>
          <w:b/>
          <w:sz w:val="18"/>
        </w:rPr>
        <w:t>classified</w:t>
      </w:r>
      <w:r>
        <w:rPr>
          <w:b/>
          <w:spacing w:val="-8"/>
          <w:sz w:val="18"/>
        </w:rPr>
        <w:t> </w:t>
      </w:r>
      <w:r>
        <w:rPr>
          <w:b/>
          <w:sz w:val="18"/>
        </w:rPr>
        <w:t>as</w:t>
      </w:r>
      <w:r>
        <w:rPr>
          <w:b/>
          <w:spacing w:val="-8"/>
          <w:sz w:val="18"/>
        </w:rPr>
        <w:t> </w:t>
      </w:r>
      <w:r>
        <w:rPr>
          <w:b/>
          <w:sz w:val="18"/>
        </w:rPr>
        <w:t>held</w:t>
      </w:r>
      <w:r>
        <w:rPr>
          <w:b/>
          <w:spacing w:val="-8"/>
          <w:sz w:val="18"/>
        </w:rPr>
        <w:t> </w:t>
      </w:r>
      <w:r>
        <w:rPr>
          <w:b/>
          <w:sz w:val="18"/>
        </w:rPr>
        <w:t>for</w:t>
      </w:r>
      <w:r>
        <w:rPr>
          <w:b/>
          <w:spacing w:val="-8"/>
          <w:sz w:val="18"/>
        </w:rPr>
        <w:t> </w:t>
      </w:r>
      <w:r>
        <w:rPr>
          <w:b/>
          <w:sz w:val="18"/>
        </w:rPr>
        <w:t>sale</w:t>
      </w:r>
      <w:r>
        <w:rPr>
          <w:b/>
          <w:spacing w:val="-8"/>
          <w:sz w:val="18"/>
        </w:rPr>
        <w:t> </w:t>
      </w:r>
      <w:r>
        <w:rPr>
          <w:b/>
          <w:sz w:val="18"/>
        </w:rPr>
        <w:t>('NCA')</w:t>
      </w:r>
    </w:p>
    <w:p>
      <w:pPr>
        <w:tabs>
          <w:tab w:pos="9694" w:val="left" w:leader="none"/>
        </w:tabs>
        <w:spacing w:before="33"/>
        <w:ind w:left="6640" w:right="0" w:firstLine="0"/>
        <w:jc w:val="left"/>
        <w:rPr>
          <w:b/>
          <w:sz w:val="18"/>
        </w:rPr>
      </w:pPr>
      <w:r>
        <w:rPr>
          <w:b/>
          <w:sz w:val="18"/>
        </w:rPr>
        <w:t>Consolidated</w:t>
        <w:tab/>
        <w:t>Parent</w:t>
      </w:r>
    </w:p>
    <w:p>
      <w:pPr>
        <w:spacing w:after="0"/>
        <w:jc w:val="left"/>
        <w:rPr>
          <w:sz w:val="18"/>
        </w:rPr>
        <w:sectPr>
          <w:pgSz w:w="12750" w:h="17680"/>
          <w:pgMar w:header="0" w:footer="927" w:top="2640" w:bottom="1120" w:left="0" w:right="0"/>
        </w:sectPr>
      </w:pPr>
    </w:p>
    <w:p>
      <w:pPr>
        <w:spacing w:before="66"/>
        <w:ind w:left="0" w:right="19" w:firstLine="0"/>
        <w:jc w:val="right"/>
        <w:rPr>
          <w:b/>
          <w:sz w:val="18"/>
        </w:rPr>
      </w:pPr>
      <w:r>
        <w:rPr>
          <w:b/>
          <w:sz w:val="18"/>
        </w:rPr>
        <w:t>2016</w:t>
      </w:r>
    </w:p>
    <w:p>
      <w:pPr>
        <w:spacing w:before="66"/>
        <w:ind w:left="0" w:right="0" w:firstLine="0"/>
        <w:jc w:val="right"/>
        <w:rPr>
          <w:b/>
          <w:sz w:val="18"/>
        </w:rPr>
      </w:pPr>
      <w:r>
        <w:rPr>
          <w:b/>
          <w:sz w:val="18"/>
        </w:rPr>
        <w:t>$'000</w:t>
      </w:r>
    </w:p>
    <w:p>
      <w:pPr>
        <w:spacing w:before="66"/>
        <w:ind w:left="822" w:right="-17" w:firstLine="0"/>
        <w:jc w:val="left"/>
        <w:rPr>
          <w:b/>
          <w:sz w:val="18"/>
        </w:rPr>
      </w:pPr>
      <w:r>
        <w:rPr/>
        <w:br w:type="column"/>
      </w:r>
      <w:r>
        <w:rPr>
          <w:b/>
          <w:sz w:val="18"/>
        </w:rPr>
        <w:t>2015</w:t>
      </w:r>
    </w:p>
    <w:p>
      <w:pPr>
        <w:spacing w:before="66"/>
        <w:ind w:left="801" w:right="-17" w:firstLine="0"/>
        <w:jc w:val="left"/>
        <w:rPr>
          <w:b/>
          <w:sz w:val="18"/>
        </w:rPr>
      </w:pPr>
      <w:r>
        <w:rPr>
          <w:b/>
          <w:spacing w:val="-1"/>
          <w:sz w:val="18"/>
        </w:rPr>
        <w:t>$'000</w:t>
      </w:r>
    </w:p>
    <w:p>
      <w:pPr>
        <w:spacing w:before="66"/>
        <w:ind w:left="0" w:right="19" w:firstLine="0"/>
        <w:jc w:val="right"/>
        <w:rPr>
          <w:b/>
          <w:sz w:val="18"/>
        </w:rPr>
      </w:pPr>
      <w:r>
        <w:rPr/>
        <w:br w:type="column"/>
      </w:r>
      <w:r>
        <w:rPr>
          <w:b/>
          <w:sz w:val="18"/>
        </w:rPr>
        <w:t>2016</w:t>
      </w:r>
    </w:p>
    <w:p>
      <w:pPr>
        <w:spacing w:before="66"/>
        <w:ind w:left="0" w:right="0" w:firstLine="0"/>
        <w:jc w:val="right"/>
        <w:rPr>
          <w:b/>
          <w:sz w:val="18"/>
        </w:rPr>
      </w:pPr>
      <w:r>
        <w:rPr>
          <w:b/>
          <w:sz w:val="18"/>
        </w:rPr>
        <w:t>$'000</w:t>
      </w:r>
    </w:p>
    <w:p>
      <w:pPr>
        <w:spacing w:before="66"/>
        <w:ind w:left="822" w:right="0" w:firstLine="0"/>
        <w:jc w:val="left"/>
        <w:rPr>
          <w:b/>
          <w:sz w:val="18"/>
        </w:rPr>
      </w:pPr>
      <w:r>
        <w:rPr/>
        <w:br w:type="column"/>
      </w:r>
      <w:r>
        <w:rPr>
          <w:b/>
          <w:sz w:val="18"/>
        </w:rPr>
        <w:t>2015</w:t>
      </w:r>
    </w:p>
    <w:p>
      <w:pPr>
        <w:spacing w:before="66"/>
        <w:ind w:left="801" w:right="0" w:firstLine="0"/>
        <w:jc w:val="left"/>
        <w:rPr>
          <w:b/>
          <w:sz w:val="18"/>
        </w:rPr>
      </w:pPr>
      <w:r>
        <w:rPr>
          <w:b/>
          <w:sz w:val="18"/>
        </w:rPr>
        <w:t>$'000</w:t>
      </w:r>
    </w:p>
    <w:p>
      <w:pPr>
        <w:spacing w:after="0"/>
        <w:jc w:val="left"/>
        <w:rPr>
          <w:sz w:val="18"/>
        </w:rPr>
        <w:sectPr>
          <w:type w:val="continuous"/>
          <w:pgSz w:w="12750" w:h="17680"/>
          <w:pgMar w:top="1660" w:bottom="0" w:left="0" w:right="0"/>
          <w:cols w:num="4" w:equalWidth="0">
            <w:col w:w="6855" w:space="40"/>
            <w:col w:w="1243" w:space="40"/>
            <w:col w:w="1441" w:space="40"/>
            <w:col w:w="3091"/>
          </w:cols>
        </w:sectPr>
      </w:pPr>
    </w:p>
    <w:p>
      <w:pPr>
        <w:pStyle w:val="BodyText"/>
        <w:spacing w:before="11"/>
        <w:rPr>
          <w:b/>
          <w:sz w:val="5"/>
        </w:rPr>
      </w:pPr>
    </w:p>
    <w:tbl>
      <w:tblPr>
        <w:tblW w:w="0" w:type="auto"/>
        <w:jc w:val="left"/>
        <w:tblInd w:w="179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024"/>
        <w:gridCol w:w="1753"/>
        <w:gridCol w:w="1382"/>
        <w:gridCol w:w="1382"/>
        <w:gridCol w:w="1010"/>
      </w:tblGrid>
      <w:tr>
        <w:trPr>
          <w:trHeight w:val="557" w:hRule="exact"/>
        </w:trPr>
        <w:tc>
          <w:tcPr>
            <w:tcW w:w="4024" w:type="dxa"/>
          </w:tcPr>
          <w:p>
            <w:pPr>
              <w:pStyle w:val="TableParagraph"/>
              <w:spacing w:before="77"/>
              <w:ind w:left="35" w:right="858"/>
              <w:jc w:val="left"/>
              <w:rPr>
                <w:b/>
                <w:sz w:val="18"/>
              </w:rPr>
            </w:pPr>
            <w:r>
              <w:rPr>
                <w:b/>
                <w:sz w:val="18"/>
              </w:rPr>
              <w:t>Current</w:t>
            </w:r>
          </w:p>
          <w:p>
            <w:pPr>
              <w:pStyle w:val="TableParagraph"/>
              <w:spacing w:before="27"/>
              <w:ind w:left="35" w:right="858"/>
              <w:jc w:val="left"/>
              <w:rPr>
                <w:sz w:val="18"/>
              </w:rPr>
            </w:pPr>
            <w:r>
              <w:rPr>
                <w:sz w:val="18"/>
              </w:rPr>
              <w:t>Land</w:t>
            </w:r>
          </w:p>
        </w:tc>
        <w:tc>
          <w:tcPr>
            <w:tcW w:w="1753" w:type="dxa"/>
          </w:tcPr>
          <w:p>
            <w:pPr>
              <w:pStyle w:val="TableParagraph"/>
              <w:jc w:val="left"/>
              <w:rPr>
                <w:b/>
                <w:sz w:val="18"/>
              </w:rPr>
            </w:pPr>
          </w:p>
          <w:p>
            <w:pPr>
              <w:pStyle w:val="TableParagraph"/>
              <w:spacing w:before="105"/>
              <w:ind w:right="372"/>
              <w:rPr>
                <w:b/>
                <w:sz w:val="18"/>
              </w:rPr>
            </w:pPr>
            <w:r>
              <w:rPr>
                <w:b/>
                <w:w w:val="95"/>
                <w:sz w:val="18"/>
              </w:rPr>
              <w:t>85,330</w:t>
            </w:r>
          </w:p>
        </w:tc>
        <w:tc>
          <w:tcPr>
            <w:tcW w:w="1382" w:type="dxa"/>
          </w:tcPr>
          <w:p>
            <w:pPr>
              <w:pStyle w:val="TableParagraph"/>
              <w:jc w:val="left"/>
              <w:rPr>
                <w:b/>
                <w:sz w:val="18"/>
              </w:rPr>
            </w:pPr>
          </w:p>
          <w:p>
            <w:pPr>
              <w:pStyle w:val="TableParagraph"/>
              <w:spacing w:before="105"/>
              <w:ind w:right="456"/>
              <w:rPr>
                <w:sz w:val="18"/>
              </w:rPr>
            </w:pPr>
            <w:r>
              <w:rPr>
                <w:w w:val="95"/>
                <w:sz w:val="18"/>
              </w:rPr>
              <w:t>69,300</w:t>
            </w:r>
          </w:p>
        </w:tc>
        <w:tc>
          <w:tcPr>
            <w:tcW w:w="1382" w:type="dxa"/>
          </w:tcPr>
          <w:p>
            <w:pPr>
              <w:pStyle w:val="TableParagraph"/>
              <w:jc w:val="left"/>
              <w:rPr>
                <w:b/>
                <w:sz w:val="18"/>
              </w:rPr>
            </w:pPr>
          </w:p>
          <w:p>
            <w:pPr>
              <w:pStyle w:val="TableParagraph"/>
              <w:spacing w:before="105"/>
              <w:ind w:right="372"/>
              <w:rPr>
                <w:b/>
                <w:sz w:val="18"/>
              </w:rPr>
            </w:pPr>
            <w:r>
              <w:rPr>
                <w:b/>
                <w:w w:val="95"/>
                <w:sz w:val="18"/>
              </w:rPr>
              <w:t>85,330</w:t>
            </w:r>
          </w:p>
        </w:tc>
        <w:tc>
          <w:tcPr>
            <w:tcW w:w="1010" w:type="dxa"/>
          </w:tcPr>
          <w:p>
            <w:pPr>
              <w:pStyle w:val="TableParagraph"/>
              <w:jc w:val="left"/>
              <w:rPr>
                <w:b/>
                <w:sz w:val="18"/>
              </w:rPr>
            </w:pPr>
          </w:p>
          <w:p>
            <w:pPr>
              <w:pStyle w:val="TableParagraph"/>
              <w:spacing w:before="105"/>
              <w:ind w:right="85"/>
              <w:rPr>
                <w:sz w:val="18"/>
              </w:rPr>
            </w:pPr>
            <w:r>
              <w:rPr>
                <w:w w:val="95"/>
                <w:sz w:val="18"/>
              </w:rPr>
              <w:t>69,300</w:t>
            </w:r>
          </w:p>
        </w:tc>
      </w:tr>
      <w:tr>
        <w:trPr>
          <w:trHeight w:val="263" w:hRule="exact"/>
        </w:trPr>
        <w:tc>
          <w:tcPr>
            <w:tcW w:w="4024" w:type="dxa"/>
          </w:tcPr>
          <w:p>
            <w:pPr>
              <w:pStyle w:val="TableParagraph"/>
              <w:spacing w:before="18"/>
              <w:ind w:left="35" w:right="858"/>
              <w:jc w:val="left"/>
              <w:rPr>
                <w:sz w:val="18"/>
              </w:rPr>
            </w:pPr>
            <w:r>
              <w:rPr>
                <w:sz w:val="18"/>
              </w:rPr>
              <w:t>Subway Franchise</w:t>
            </w:r>
          </w:p>
        </w:tc>
        <w:tc>
          <w:tcPr>
            <w:tcW w:w="1753" w:type="dxa"/>
            <w:tcBorders>
              <w:bottom w:val="single" w:sz="0" w:space="0" w:color="000000"/>
            </w:tcBorders>
          </w:tcPr>
          <w:p>
            <w:pPr>
              <w:pStyle w:val="TableParagraph"/>
              <w:spacing w:before="19"/>
              <w:ind w:right="372"/>
              <w:rPr>
                <w:b/>
                <w:sz w:val="18"/>
              </w:rPr>
            </w:pPr>
            <w:r>
              <w:rPr>
                <w:b/>
                <w:sz w:val="18"/>
              </w:rPr>
              <w:t>130</w:t>
            </w:r>
          </w:p>
        </w:tc>
        <w:tc>
          <w:tcPr>
            <w:tcW w:w="1382" w:type="dxa"/>
            <w:tcBorders>
              <w:bottom w:val="single" w:sz="0" w:space="0" w:color="000000"/>
            </w:tcBorders>
          </w:tcPr>
          <w:p>
            <w:pPr>
              <w:pStyle w:val="TableParagraph"/>
              <w:spacing w:before="19"/>
              <w:ind w:right="457"/>
              <w:rPr>
                <w:sz w:val="18"/>
              </w:rPr>
            </w:pPr>
            <w:r>
              <w:rPr>
                <w:sz w:val="18"/>
              </w:rPr>
              <w:t>213</w:t>
            </w:r>
          </w:p>
        </w:tc>
        <w:tc>
          <w:tcPr>
            <w:tcW w:w="1382" w:type="dxa"/>
            <w:tcBorders>
              <w:bottom w:val="single" w:sz="0" w:space="0" w:color="000000"/>
            </w:tcBorders>
          </w:tcPr>
          <w:p>
            <w:pPr>
              <w:pStyle w:val="TableParagraph"/>
              <w:spacing w:before="19"/>
              <w:ind w:right="372"/>
              <w:rPr>
                <w:b/>
                <w:sz w:val="18"/>
              </w:rPr>
            </w:pPr>
            <w:r>
              <w:rPr>
                <w:b/>
                <w:w w:val="99"/>
                <w:sz w:val="18"/>
              </w:rPr>
              <w:t>-</w:t>
            </w:r>
          </w:p>
        </w:tc>
        <w:tc>
          <w:tcPr>
            <w:tcW w:w="1010" w:type="dxa"/>
            <w:tcBorders>
              <w:bottom w:val="single" w:sz="0" w:space="0" w:color="000000"/>
            </w:tcBorders>
          </w:tcPr>
          <w:p>
            <w:pPr>
              <w:pStyle w:val="TableParagraph"/>
              <w:spacing w:before="19"/>
              <w:ind w:right="85"/>
              <w:rPr>
                <w:sz w:val="18"/>
              </w:rPr>
            </w:pPr>
            <w:r>
              <w:rPr>
                <w:w w:val="99"/>
                <w:sz w:val="18"/>
              </w:rPr>
              <w:t>-</w:t>
            </w:r>
          </w:p>
        </w:tc>
      </w:tr>
      <w:tr>
        <w:trPr>
          <w:trHeight w:val="560" w:hRule="exact"/>
        </w:trPr>
        <w:tc>
          <w:tcPr>
            <w:tcW w:w="4024" w:type="dxa"/>
          </w:tcPr>
          <w:p>
            <w:pPr>
              <w:pStyle w:val="TableParagraph"/>
              <w:spacing w:before="123"/>
              <w:ind w:left="35" w:right="858"/>
              <w:jc w:val="left"/>
              <w:rPr>
                <w:b/>
                <w:sz w:val="18"/>
              </w:rPr>
            </w:pPr>
            <w:r>
              <w:rPr>
                <w:b/>
                <w:sz w:val="18"/>
              </w:rPr>
              <w:t>Total non-current assets or disposal groups classified as held for sale</w:t>
            </w:r>
          </w:p>
        </w:tc>
        <w:tc>
          <w:tcPr>
            <w:tcW w:w="1753" w:type="dxa"/>
            <w:tcBorders>
              <w:top w:val="single" w:sz="0" w:space="0" w:color="000000"/>
              <w:bottom w:val="single" w:sz="0" w:space="0" w:color="000000"/>
            </w:tcBorders>
          </w:tcPr>
          <w:p>
            <w:pPr>
              <w:pStyle w:val="TableParagraph"/>
              <w:jc w:val="left"/>
              <w:rPr>
                <w:b/>
                <w:sz w:val="18"/>
              </w:rPr>
            </w:pPr>
          </w:p>
          <w:p>
            <w:pPr>
              <w:pStyle w:val="TableParagraph"/>
              <w:spacing w:before="122"/>
              <w:ind w:right="372"/>
              <w:rPr>
                <w:b/>
                <w:sz w:val="18"/>
              </w:rPr>
            </w:pPr>
            <w:r>
              <w:rPr>
                <w:b/>
                <w:w w:val="95"/>
                <w:sz w:val="18"/>
              </w:rPr>
              <w:t>85,460</w:t>
            </w:r>
          </w:p>
        </w:tc>
        <w:tc>
          <w:tcPr>
            <w:tcW w:w="1382" w:type="dxa"/>
            <w:tcBorders>
              <w:top w:val="single" w:sz="0" w:space="0" w:color="000000"/>
              <w:bottom w:val="single" w:sz="0" w:space="0" w:color="000000"/>
            </w:tcBorders>
          </w:tcPr>
          <w:p>
            <w:pPr>
              <w:pStyle w:val="TableParagraph"/>
              <w:jc w:val="left"/>
              <w:rPr>
                <w:b/>
                <w:sz w:val="18"/>
              </w:rPr>
            </w:pPr>
          </w:p>
          <w:p>
            <w:pPr>
              <w:pStyle w:val="TableParagraph"/>
              <w:spacing w:before="122"/>
              <w:ind w:right="456"/>
              <w:rPr>
                <w:sz w:val="18"/>
              </w:rPr>
            </w:pPr>
            <w:r>
              <w:rPr>
                <w:w w:val="95"/>
                <w:sz w:val="18"/>
              </w:rPr>
              <w:t>69,513</w:t>
            </w:r>
          </w:p>
        </w:tc>
        <w:tc>
          <w:tcPr>
            <w:tcW w:w="1382" w:type="dxa"/>
            <w:tcBorders>
              <w:top w:val="single" w:sz="0" w:space="0" w:color="000000"/>
              <w:bottom w:val="single" w:sz="0" w:space="0" w:color="000000"/>
            </w:tcBorders>
          </w:tcPr>
          <w:p>
            <w:pPr>
              <w:pStyle w:val="TableParagraph"/>
              <w:jc w:val="left"/>
              <w:rPr>
                <w:b/>
                <w:sz w:val="18"/>
              </w:rPr>
            </w:pPr>
          </w:p>
          <w:p>
            <w:pPr>
              <w:pStyle w:val="TableParagraph"/>
              <w:spacing w:before="122"/>
              <w:ind w:right="372"/>
              <w:rPr>
                <w:b/>
                <w:sz w:val="18"/>
              </w:rPr>
            </w:pPr>
            <w:r>
              <w:rPr>
                <w:b/>
                <w:w w:val="95"/>
                <w:sz w:val="18"/>
              </w:rPr>
              <w:t>85,330</w:t>
            </w:r>
          </w:p>
        </w:tc>
        <w:tc>
          <w:tcPr>
            <w:tcW w:w="1010" w:type="dxa"/>
            <w:tcBorders>
              <w:top w:val="single" w:sz="0" w:space="0" w:color="000000"/>
              <w:bottom w:val="single" w:sz="0" w:space="0" w:color="000000"/>
            </w:tcBorders>
          </w:tcPr>
          <w:p>
            <w:pPr>
              <w:pStyle w:val="TableParagraph"/>
              <w:jc w:val="left"/>
              <w:rPr>
                <w:b/>
                <w:sz w:val="18"/>
              </w:rPr>
            </w:pPr>
          </w:p>
          <w:p>
            <w:pPr>
              <w:pStyle w:val="TableParagraph"/>
              <w:spacing w:before="122"/>
              <w:ind w:right="85"/>
              <w:rPr>
                <w:sz w:val="18"/>
              </w:rPr>
            </w:pPr>
            <w:r>
              <w:rPr>
                <w:w w:val="95"/>
                <w:sz w:val="18"/>
              </w:rPr>
              <w:t>69,300</w:t>
            </w:r>
          </w:p>
        </w:tc>
      </w:tr>
    </w:tbl>
    <w:p>
      <w:pPr>
        <w:pStyle w:val="BodyText"/>
        <w:spacing w:before="6"/>
        <w:rPr>
          <w:b/>
          <w:sz w:val="20"/>
        </w:rPr>
      </w:pPr>
    </w:p>
    <w:p>
      <w:pPr>
        <w:pStyle w:val="BodyText"/>
        <w:spacing w:before="78"/>
        <w:ind w:left="1825" w:right="1450"/>
      </w:pPr>
      <w:r>
        <w:rPr/>
        <w:t>NCAs (or disposal groups) held for sale are carried at the lower of the carrying amount or the fair value less costs to sell. For the fair value of the NCA (or disposal group) see note 36(b).</w:t>
      </w:r>
    </w:p>
    <w:p>
      <w:pPr>
        <w:pStyle w:val="BodyText"/>
        <w:spacing w:before="11"/>
        <w:rPr>
          <w:sz w:val="24"/>
        </w:rPr>
      </w:pPr>
    </w:p>
    <w:p>
      <w:pPr>
        <w:pStyle w:val="BodyText"/>
        <w:ind w:left="1825" w:right="1450"/>
      </w:pPr>
      <w:r>
        <w:rPr/>
        <w:drawing>
          <wp:anchor distT="0" distB="0" distL="0" distR="0" allowOverlap="1" layoutInCell="1" locked="0" behindDoc="0" simplePos="0" relativeHeight="3736">
            <wp:simplePos x="0" y="0"/>
            <wp:positionH relativeFrom="page">
              <wp:posOffset>-1587</wp:posOffset>
            </wp:positionH>
            <wp:positionV relativeFrom="paragraph">
              <wp:posOffset>1231314</wp:posOffset>
            </wp:positionV>
            <wp:extent cx="135159" cy="154019"/>
            <wp:effectExtent l="0" t="0" r="0" b="0"/>
            <wp:wrapNone/>
            <wp:docPr id="207" name="image13.png" descr=""/>
            <wp:cNvGraphicFramePr>
              <a:graphicFrameLocks noChangeAspect="1"/>
            </wp:cNvGraphicFramePr>
            <a:graphic>
              <a:graphicData uri="http://schemas.openxmlformats.org/drawingml/2006/picture">
                <pic:pic>
                  <pic:nvPicPr>
                    <pic:cNvPr id="208" name="image13.png"/>
                    <pic:cNvPicPr/>
                  </pic:nvPicPr>
                  <pic:blipFill>
                    <a:blip r:embed="rId18" cstate="print"/>
                    <a:stretch>
                      <a:fillRect/>
                    </a:stretch>
                  </pic:blipFill>
                  <pic:spPr>
                    <a:xfrm>
                      <a:off x="0" y="0"/>
                      <a:ext cx="135159" cy="154019"/>
                    </a:xfrm>
                    <a:prstGeom prst="rect">
                      <a:avLst/>
                    </a:prstGeom>
                  </pic:spPr>
                </pic:pic>
              </a:graphicData>
            </a:graphic>
          </wp:anchor>
        </w:drawing>
      </w:r>
      <w:r>
        <w:rPr/>
        <w:drawing>
          <wp:anchor distT="0" distB="0" distL="0" distR="0" allowOverlap="1" layoutInCell="1" locked="0" behindDoc="0" simplePos="0" relativeHeight="3760">
            <wp:simplePos x="0" y="0"/>
            <wp:positionH relativeFrom="page">
              <wp:posOffset>7958429</wp:posOffset>
            </wp:positionH>
            <wp:positionV relativeFrom="paragraph">
              <wp:posOffset>1231314</wp:posOffset>
            </wp:positionV>
            <wp:extent cx="135953" cy="155575"/>
            <wp:effectExtent l="0" t="0" r="0" b="0"/>
            <wp:wrapNone/>
            <wp:docPr id="209" name="image15.png" descr=""/>
            <wp:cNvGraphicFramePr>
              <a:graphicFrameLocks noChangeAspect="1"/>
            </wp:cNvGraphicFramePr>
            <a:graphic>
              <a:graphicData uri="http://schemas.openxmlformats.org/drawingml/2006/picture">
                <pic:pic>
                  <pic:nvPicPr>
                    <pic:cNvPr id="210" name="image15.png"/>
                    <pic:cNvPicPr/>
                  </pic:nvPicPr>
                  <pic:blipFill>
                    <a:blip r:embed="rId20" cstate="print"/>
                    <a:stretch>
                      <a:fillRect/>
                    </a:stretch>
                  </pic:blipFill>
                  <pic:spPr>
                    <a:xfrm>
                      <a:off x="0" y="0"/>
                      <a:ext cx="135953" cy="155575"/>
                    </a:xfrm>
                    <a:prstGeom prst="rect">
                      <a:avLst/>
                    </a:prstGeom>
                  </pic:spPr>
                </pic:pic>
              </a:graphicData>
            </a:graphic>
          </wp:anchor>
        </w:drawing>
      </w:r>
      <w:r>
        <w:rPr/>
        <w:t>The University has entered into a sales agreement to sell land at its Westmead campus. Settlement is expected to occur by 31 October 2017, subject to the relocation of telecommunications towers on the current site. A gain of $8.0m has been recognised in 2016 (2015: $63.4m) in the statement of comprehensive income, under the heading gain on revaluation of land and buildings. This gain on revaluation is recognised in the property development reserve in note 29(b). This revaluation gain will be transferred to retained earnings on settlement when the asset is de-recognised.</w:t>
      </w:r>
    </w:p>
    <w:p>
      <w:pPr>
        <w:spacing w:after="0"/>
        <w:sectPr>
          <w:type w:val="continuous"/>
          <w:pgSz w:w="12750" w:h="17680"/>
          <w:pgMar w:top="1660" w:bottom="0" w:left="0" w:right="0"/>
        </w:sectPr>
      </w:pPr>
    </w:p>
    <w:p>
      <w:pPr>
        <w:pStyle w:val="BodyText"/>
        <w:rPr>
          <w:sz w:val="20"/>
        </w:rPr>
      </w:pPr>
    </w:p>
    <w:p>
      <w:pPr>
        <w:pStyle w:val="BodyText"/>
        <w:rPr>
          <w:sz w:val="20"/>
        </w:rPr>
      </w:pPr>
    </w:p>
    <w:p>
      <w:pPr>
        <w:pStyle w:val="BodyText"/>
        <w:spacing w:before="4"/>
      </w:pPr>
    </w:p>
    <w:p>
      <w:pPr>
        <w:pStyle w:val="Heading8"/>
        <w:numPr>
          <w:ilvl w:val="0"/>
          <w:numId w:val="22"/>
        </w:numPr>
        <w:tabs>
          <w:tab w:pos="1406" w:val="left" w:leader="none"/>
        </w:tabs>
        <w:spacing w:line="240" w:lineRule="auto" w:before="0" w:after="0"/>
        <w:ind w:left="1405" w:right="0" w:hanging="396"/>
        <w:jc w:val="left"/>
      </w:pPr>
      <w:bookmarkStart w:name="21 Property, plant and equipment" w:id="91"/>
      <w:bookmarkEnd w:id="91"/>
      <w:r>
        <w:rPr>
          <w:b w:val="0"/>
        </w:rPr>
      </w:r>
      <w:bookmarkStart w:name="21 Property, plant and equipment" w:id="92"/>
      <w:bookmarkEnd w:id="92"/>
      <w:r>
        <w:rPr/>
        <w:t>Property,</w:t>
      </w:r>
      <w:r>
        <w:rPr/>
        <w:t> plant and equipment</w:t>
      </w:r>
    </w:p>
    <w:p>
      <w:pPr>
        <w:pStyle w:val="BodyText"/>
        <w:rPr>
          <w:b/>
          <w:sz w:val="20"/>
        </w:rPr>
      </w:pPr>
    </w:p>
    <w:p>
      <w:pPr>
        <w:pStyle w:val="BodyText"/>
        <w:spacing w:before="3"/>
        <w:rPr>
          <w:b/>
          <w:sz w:val="15"/>
        </w:rPr>
      </w:pPr>
      <w:r>
        <w:rPr/>
        <w:drawing>
          <wp:anchor distT="0" distB="0" distL="0" distR="0" allowOverlap="1" layoutInCell="1" locked="0" behindDoc="0" simplePos="0" relativeHeight="3784">
            <wp:simplePos x="0" y="0"/>
            <wp:positionH relativeFrom="page">
              <wp:posOffset>42862</wp:posOffset>
            </wp:positionH>
            <wp:positionV relativeFrom="paragraph">
              <wp:posOffset>1583337</wp:posOffset>
            </wp:positionV>
            <wp:extent cx="154019" cy="154019"/>
            <wp:effectExtent l="0" t="0" r="0" b="0"/>
            <wp:wrapTopAndBottom/>
            <wp:docPr id="215" name="image25.png" descr=""/>
            <wp:cNvGraphicFramePr>
              <a:graphicFrameLocks noChangeAspect="1"/>
            </wp:cNvGraphicFramePr>
            <a:graphic>
              <a:graphicData uri="http://schemas.openxmlformats.org/drawingml/2006/picture">
                <pic:pic>
                  <pic:nvPicPr>
                    <pic:cNvPr id="216" name="image25.png"/>
                    <pic:cNvPicPr/>
                  </pic:nvPicPr>
                  <pic:blipFill>
                    <a:blip r:embed="rId41" cstate="print"/>
                    <a:stretch>
                      <a:fillRect/>
                    </a:stretch>
                  </pic:blipFill>
                  <pic:spPr>
                    <a:xfrm>
                      <a:off x="0" y="0"/>
                      <a:ext cx="154019" cy="154019"/>
                    </a:xfrm>
                    <a:prstGeom prst="rect">
                      <a:avLst/>
                    </a:prstGeom>
                  </pic:spPr>
                </pic:pic>
              </a:graphicData>
            </a:graphic>
          </wp:anchor>
        </w:drawing>
      </w:r>
      <w:r>
        <w:rPr/>
        <w:pict>
          <v:shape style="position:absolute;margin-left:70.129997pt;margin-top:10.765337pt;width:722.8pt;height:309.05pt;mso-position-horizontal-relative:page;mso-position-vertical-relative:paragraph;z-index:0;mso-wrap-distance-left:0;mso-wrap-distance-right:0"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795"/>
                    <w:gridCol w:w="1160"/>
                    <w:gridCol w:w="994"/>
                    <w:gridCol w:w="1069"/>
                    <w:gridCol w:w="1004"/>
                    <w:gridCol w:w="1044"/>
                    <w:gridCol w:w="1141"/>
                    <w:gridCol w:w="1012"/>
                    <w:gridCol w:w="1182"/>
                    <w:gridCol w:w="1085"/>
                    <w:gridCol w:w="1087"/>
                    <w:gridCol w:w="884"/>
                  </w:tblGrid>
                  <w:tr>
                    <w:trPr>
                      <w:trHeight w:val="606" w:hRule="exact"/>
                    </w:trPr>
                    <w:tc>
                      <w:tcPr>
                        <w:tcW w:w="2795" w:type="dxa"/>
                      </w:tcPr>
                      <w:p>
                        <w:pPr/>
                      </w:p>
                    </w:tc>
                    <w:tc>
                      <w:tcPr>
                        <w:tcW w:w="1160" w:type="dxa"/>
                      </w:tcPr>
                      <w:p>
                        <w:pPr>
                          <w:pStyle w:val="TableParagraph"/>
                          <w:jc w:val="left"/>
                          <w:rPr>
                            <w:b/>
                            <w:sz w:val="14"/>
                          </w:rPr>
                        </w:pPr>
                      </w:p>
                      <w:p>
                        <w:pPr>
                          <w:pStyle w:val="TableParagraph"/>
                          <w:spacing w:before="82"/>
                          <w:ind w:left="156" w:right="163" w:hanging="50"/>
                          <w:jc w:val="left"/>
                          <w:rPr>
                            <w:b/>
                            <w:sz w:val="14"/>
                          </w:rPr>
                        </w:pPr>
                        <w:r>
                          <w:rPr>
                            <w:b/>
                            <w:sz w:val="14"/>
                          </w:rPr>
                          <w:t>Construction in Progress</w:t>
                        </w:r>
                      </w:p>
                    </w:tc>
                    <w:tc>
                      <w:tcPr>
                        <w:tcW w:w="994" w:type="dxa"/>
                      </w:tcPr>
                      <w:p>
                        <w:pPr>
                          <w:pStyle w:val="TableParagraph"/>
                          <w:jc w:val="left"/>
                          <w:rPr>
                            <w:b/>
                            <w:sz w:val="14"/>
                          </w:rPr>
                        </w:pPr>
                      </w:p>
                      <w:p>
                        <w:pPr>
                          <w:pStyle w:val="TableParagraph"/>
                          <w:spacing w:before="82"/>
                          <w:ind w:left="264" w:right="247" w:hanging="129"/>
                          <w:jc w:val="left"/>
                          <w:rPr>
                            <w:b/>
                            <w:sz w:val="14"/>
                          </w:rPr>
                        </w:pPr>
                        <w:r>
                          <w:rPr>
                            <w:b/>
                            <w:sz w:val="14"/>
                          </w:rPr>
                          <w:t>Freehold Land</w:t>
                        </w:r>
                      </w:p>
                    </w:tc>
                    <w:tc>
                      <w:tcPr>
                        <w:tcW w:w="1069" w:type="dxa"/>
                      </w:tcPr>
                      <w:p>
                        <w:pPr>
                          <w:pStyle w:val="TableParagraph"/>
                          <w:jc w:val="left"/>
                          <w:rPr>
                            <w:b/>
                            <w:sz w:val="14"/>
                          </w:rPr>
                        </w:pPr>
                      </w:p>
                      <w:p>
                        <w:pPr>
                          <w:pStyle w:val="TableParagraph"/>
                          <w:jc w:val="left"/>
                          <w:rPr>
                            <w:b/>
                            <w:sz w:val="14"/>
                          </w:rPr>
                        </w:pPr>
                      </w:p>
                      <w:p>
                        <w:pPr>
                          <w:pStyle w:val="TableParagraph"/>
                          <w:spacing w:before="82"/>
                          <w:ind w:right="173"/>
                          <w:rPr>
                            <w:b/>
                            <w:sz w:val="14"/>
                          </w:rPr>
                        </w:pPr>
                        <w:r>
                          <w:rPr>
                            <w:b/>
                            <w:sz w:val="14"/>
                          </w:rPr>
                          <w:t>Crown Land</w:t>
                        </w:r>
                      </w:p>
                    </w:tc>
                    <w:tc>
                      <w:tcPr>
                        <w:tcW w:w="1004" w:type="dxa"/>
                      </w:tcPr>
                      <w:p>
                        <w:pPr>
                          <w:pStyle w:val="TableParagraph"/>
                          <w:jc w:val="left"/>
                          <w:rPr>
                            <w:b/>
                            <w:sz w:val="14"/>
                          </w:rPr>
                        </w:pPr>
                      </w:p>
                      <w:p>
                        <w:pPr>
                          <w:pStyle w:val="TableParagraph"/>
                          <w:jc w:val="left"/>
                          <w:rPr>
                            <w:b/>
                            <w:sz w:val="14"/>
                          </w:rPr>
                        </w:pPr>
                      </w:p>
                      <w:p>
                        <w:pPr>
                          <w:pStyle w:val="TableParagraph"/>
                          <w:spacing w:before="82"/>
                          <w:ind w:left="147"/>
                          <w:jc w:val="left"/>
                          <w:rPr>
                            <w:b/>
                            <w:sz w:val="14"/>
                          </w:rPr>
                        </w:pPr>
                        <w:r>
                          <w:rPr>
                            <w:b/>
                            <w:sz w:val="14"/>
                          </w:rPr>
                          <w:t>Buildings</w:t>
                        </w:r>
                      </w:p>
                    </w:tc>
                    <w:tc>
                      <w:tcPr>
                        <w:tcW w:w="1044" w:type="dxa"/>
                      </w:tcPr>
                      <w:p>
                        <w:pPr>
                          <w:pStyle w:val="TableParagraph"/>
                          <w:jc w:val="left"/>
                          <w:rPr>
                            <w:b/>
                            <w:sz w:val="14"/>
                          </w:rPr>
                        </w:pPr>
                      </w:p>
                      <w:p>
                        <w:pPr>
                          <w:pStyle w:val="TableParagraph"/>
                          <w:jc w:val="left"/>
                          <w:rPr>
                            <w:b/>
                            <w:sz w:val="14"/>
                          </w:rPr>
                        </w:pPr>
                      </w:p>
                      <w:p>
                        <w:pPr>
                          <w:pStyle w:val="TableParagraph"/>
                          <w:spacing w:before="82"/>
                          <w:ind w:right="73"/>
                          <w:rPr>
                            <w:b/>
                            <w:sz w:val="14"/>
                          </w:rPr>
                        </w:pPr>
                        <w:r>
                          <w:rPr>
                            <w:b/>
                            <w:sz w:val="14"/>
                          </w:rPr>
                          <w:t>Infrastructure</w:t>
                        </w:r>
                      </w:p>
                    </w:tc>
                    <w:tc>
                      <w:tcPr>
                        <w:tcW w:w="1141" w:type="dxa"/>
                      </w:tcPr>
                      <w:p>
                        <w:pPr>
                          <w:pStyle w:val="TableParagraph"/>
                          <w:spacing w:before="82"/>
                          <w:ind w:left="50" w:right="114" w:hanging="1"/>
                          <w:jc w:val="center"/>
                          <w:rPr>
                            <w:b/>
                            <w:sz w:val="14"/>
                          </w:rPr>
                        </w:pPr>
                        <w:r>
                          <w:rPr>
                            <w:b/>
                            <w:sz w:val="14"/>
                          </w:rPr>
                          <w:t>Buildings- Under Finance Lease</w:t>
                        </w:r>
                      </w:p>
                    </w:tc>
                    <w:tc>
                      <w:tcPr>
                        <w:tcW w:w="1012" w:type="dxa"/>
                      </w:tcPr>
                      <w:p>
                        <w:pPr>
                          <w:pStyle w:val="TableParagraph"/>
                          <w:jc w:val="left"/>
                          <w:rPr>
                            <w:b/>
                            <w:sz w:val="14"/>
                          </w:rPr>
                        </w:pPr>
                      </w:p>
                      <w:p>
                        <w:pPr>
                          <w:pStyle w:val="TableParagraph"/>
                          <w:spacing w:before="82"/>
                          <w:ind w:left="102" w:right="166" w:firstLine="45"/>
                          <w:jc w:val="left"/>
                          <w:rPr>
                            <w:b/>
                            <w:sz w:val="14"/>
                          </w:rPr>
                        </w:pPr>
                        <w:r>
                          <w:rPr>
                            <w:b/>
                            <w:sz w:val="14"/>
                          </w:rPr>
                          <w:t>Plant and Equipment</w:t>
                        </w:r>
                      </w:p>
                    </w:tc>
                    <w:tc>
                      <w:tcPr>
                        <w:tcW w:w="1182" w:type="dxa"/>
                      </w:tcPr>
                      <w:p>
                        <w:pPr>
                          <w:pStyle w:val="TableParagraph"/>
                          <w:jc w:val="left"/>
                          <w:rPr>
                            <w:b/>
                            <w:sz w:val="14"/>
                          </w:rPr>
                        </w:pPr>
                      </w:p>
                      <w:p>
                        <w:pPr>
                          <w:pStyle w:val="TableParagraph"/>
                          <w:spacing w:before="82"/>
                          <w:ind w:left="65" w:right="140" w:firstLine="133"/>
                          <w:jc w:val="left"/>
                          <w:rPr>
                            <w:b/>
                            <w:sz w:val="14"/>
                          </w:rPr>
                        </w:pPr>
                        <w:r>
                          <w:rPr>
                            <w:b/>
                            <w:sz w:val="14"/>
                          </w:rPr>
                          <w:t>Leasehold Improvements</w:t>
                        </w:r>
                      </w:p>
                    </w:tc>
                    <w:tc>
                      <w:tcPr>
                        <w:tcW w:w="1085" w:type="dxa"/>
                      </w:tcPr>
                      <w:p>
                        <w:pPr>
                          <w:pStyle w:val="TableParagraph"/>
                          <w:jc w:val="left"/>
                          <w:rPr>
                            <w:b/>
                            <w:sz w:val="14"/>
                          </w:rPr>
                        </w:pPr>
                      </w:p>
                      <w:p>
                        <w:pPr>
                          <w:pStyle w:val="TableParagraph"/>
                          <w:spacing w:before="82"/>
                          <w:ind w:left="113" w:right="275" w:firstLine="103"/>
                          <w:jc w:val="left"/>
                          <w:rPr>
                            <w:b/>
                            <w:sz w:val="14"/>
                          </w:rPr>
                        </w:pPr>
                        <w:r>
                          <w:rPr>
                            <w:b/>
                            <w:sz w:val="14"/>
                          </w:rPr>
                          <w:t>Library Collection</w:t>
                        </w:r>
                      </w:p>
                    </w:tc>
                    <w:tc>
                      <w:tcPr>
                        <w:tcW w:w="1087" w:type="dxa"/>
                      </w:tcPr>
                      <w:p>
                        <w:pPr>
                          <w:pStyle w:val="TableParagraph"/>
                          <w:jc w:val="left"/>
                          <w:rPr>
                            <w:b/>
                            <w:sz w:val="14"/>
                          </w:rPr>
                        </w:pPr>
                      </w:p>
                      <w:p>
                        <w:pPr>
                          <w:pStyle w:val="TableParagraph"/>
                          <w:jc w:val="left"/>
                          <w:rPr>
                            <w:b/>
                            <w:sz w:val="14"/>
                          </w:rPr>
                        </w:pPr>
                      </w:p>
                      <w:p>
                        <w:pPr>
                          <w:pStyle w:val="TableParagraph"/>
                          <w:spacing w:before="82"/>
                          <w:ind w:left="150"/>
                          <w:jc w:val="left"/>
                          <w:rPr>
                            <w:b/>
                            <w:sz w:val="14"/>
                          </w:rPr>
                        </w:pPr>
                        <w:r>
                          <w:rPr>
                            <w:b/>
                            <w:sz w:val="14"/>
                          </w:rPr>
                          <w:t>Artwork</w:t>
                        </w:r>
                      </w:p>
                    </w:tc>
                    <w:tc>
                      <w:tcPr>
                        <w:tcW w:w="884" w:type="dxa"/>
                      </w:tcPr>
                      <w:p>
                        <w:pPr>
                          <w:pStyle w:val="TableParagraph"/>
                          <w:jc w:val="left"/>
                          <w:rPr>
                            <w:b/>
                            <w:sz w:val="14"/>
                          </w:rPr>
                        </w:pPr>
                      </w:p>
                      <w:p>
                        <w:pPr>
                          <w:pStyle w:val="TableParagraph"/>
                          <w:jc w:val="left"/>
                          <w:rPr>
                            <w:b/>
                            <w:sz w:val="14"/>
                          </w:rPr>
                        </w:pPr>
                      </w:p>
                      <w:p>
                        <w:pPr>
                          <w:pStyle w:val="TableParagraph"/>
                          <w:spacing w:before="82"/>
                          <w:ind w:left="211"/>
                          <w:jc w:val="left"/>
                          <w:rPr>
                            <w:b/>
                            <w:sz w:val="14"/>
                          </w:rPr>
                        </w:pPr>
                        <w:r>
                          <w:rPr>
                            <w:b/>
                            <w:sz w:val="14"/>
                          </w:rPr>
                          <w:t>Total</w:t>
                        </w:r>
                      </w:p>
                    </w:tc>
                  </w:tr>
                  <w:tr>
                    <w:trPr>
                      <w:trHeight w:val="268" w:hRule="exact"/>
                    </w:trPr>
                    <w:tc>
                      <w:tcPr>
                        <w:tcW w:w="2795" w:type="dxa"/>
                      </w:tcPr>
                      <w:p>
                        <w:pPr>
                          <w:pStyle w:val="TableParagraph"/>
                          <w:spacing w:before="26"/>
                          <w:ind w:left="35" w:right="522"/>
                          <w:jc w:val="left"/>
                          <w:rPr>
                            <w:b/>
                            <w:sz w:val="14"/>
                          </w:rPr>
                        </w:pPr>
                        <w:r>
                          <w:rPr>
                            <w:b/>
                            <w:sz w:val="14"/>
                          </w:rPr>
                          <w:t>Consolidated</w:t>
                        </w:r>
                      </w:p>
                    </w:tc>
                    <w:tc>
                      <w:tcPr>
                        <w:tcW w:w="1160" w:type="dxa"/>
                      </w:tcPr>
                      <w:p>
                        <w:pPr>
                          <w:pStyle w:val="TableParagraph"/>
                          <w:spacing w:before="26"/>
                          <w:ind w:left="369" w:right="163"/>
                          <w:jc w:val="left"/>
                          <w:rPr>
                            <w:b/>
                            <w:sz w:val="14"/>
                          </w:rPr>
                        </w:pPr>
                        <w:r>
                          <w:rPr>
                            <w:b/>
                            <w:sz w:val="14"/>
                          </w:rPr>
                          <w:t>$'000</w:t>
                        </w:r>
                      </w:p>
                    </w:tc>
                    <w:tc>
                      <w:tcPr>
                        <w:tcW w:w="994" w:type="dxa"/>
                      </w:tcPr>
                      <w:p>
                        <w:pPr>
                          <w:pStyle w:val="TableParagraph"/>
                          <w:spacing w:before="26"/>
                          <w:ind w:left="258" w:right="247"/>
                          <w:jc w:val="left"/>
                          <w:rPr>
                            <w:b/>
                            <w:sz w:val="14"/>
                          </w:rPr>
                        </w:pPr>
                        <w:r>
                          <w:rPr>
                            <w:b/>
                            <w:sz w:val="14"/>
                          </w:rPr>
                          <w:t>$'000</w:t>
                        </w:r>
                      </w:p>
                    </w:tc>
                    <w:tc>
                      <w:tcPr>
                        <w:tcW w:w="1069" w:type="dxa"/>
                      </w:tcPr>
                      <w:p>
                        <w:pPr>
                          <w:pStyle w:val="TableParagraph"/>
                          <w:spacing w:before="26"/>
                          <w:ind w:left="313"/>
                          <w:jc w:val="left"/>
                          <w:rPr>
                            <w:b/>
                            <w:sz w:val="14"/>
                          </w:rPr>
                        </w:pPr>
                        <w:r>
                          <w:rPr>
                            <w:b/>
                            <w:sz w:val="14"/>
                          </w:rPr>
                          <w:t>$'000</w:t>
                        </w:r>
                      </w:p>
                    </w:tc>
                    <w:tc>
                      <w:tcPr>
                        <w:tcW w:w="1004" w:type="dxa"/>
                      </w:tcPr>
                      <w:p>
                        <w:pPr>
                          <w:pStyle w:val="TableParagraph"/>
                          <w:spacing w:before="26"/>
                          <w:ind w:left="293"/>
                          <w:jc w:val="left"/>
                          <w:rPr>
                            <w:b/>
                            <w:sz w:val="14"/>
                          </w:rPr>
                        </w:pPr>
                        <w:r>
                          <w:rPr>
                            <w:b/>
                            <w:sz w:val="14"/>
                          </w:rPr>
                          <w:t>$'000</w:t>
                        </w:r>
                      </w:p>
                    </w:tc>
                    <w:tc>
                      <w:tcPr>
                        <w:tcW w:w="1044" w:type="dxa"/>
                      </w:tcPr>
                      <w:p>
                        <w:pPr>
                          <w:pStyle w:val="TableParagraph"/>
                          <w:spacing w:before="26"/>
                          <w:ind w:left="338"/>
                          <w:jc w:val="left"/>
                          <w:rPr>
                            <w:b/>
                            <w:sz w:val="14"/>
                          </w:rPr>
                        </w:pPr>
                        <w:r>
                          <w:rPr>
                            <w:b/>
                            <w:sz w:val="14"/>
                          </w:rPr>
                          <w:t>$'000</w:t>
                        </w:r>
                      </w:p>
                    </w:tc>
                    <w:tc>
                      <w:tcPr>
                        <w:tcW w:w="1141" w:type="dxa"/>
                      </w:tcPr>
                      <w:p>
                        <w:pPr>
                          <w:pStyle w:val="TableParagraph"/>
                          <w:spacing w:before="26"/>
                          <w:ind w:left="363"/>
                          <w:jc w:val="left"/>
                          <w:rPr>
                            <w:b/>
                            <w:sz w:val="14"/>
                          </w:rPr>
                        </w:pPr>
                        <w:r>
                          <w:rPr>
                            <w:b/>
                            <w:sz w:val="14"/>
                          </w:rPr>
                          <w:t>$'000</w:t>
                        </w:r>
                      </w:p>
                    </w:tc>
                    <w:tc>
                      <w:tcPr>
                        <w:tcW w:w="1012" w:type="dxa"/>
                      </w:tcPr>
                      <w:p>
                        <w:pPr>
                          <w:pStyle w:val="TableParagraph"/>
                          <w:spacing w:before="26"/>
                          <w:ind w:left="291" w:right="166"/>
                          <w:jc w:val="left"/>
                          <w:rPr>
                            <w:b/>
                            <w:sz w:val="14"/>
                          </w:rPr>
                        </w:pPr>
                        <w:r>
                          <w:rPr>
                            <w:b/>
                            <w:sz w:val="14"/>
                          </w:rPr>
                          <w:t>$'000</w:t>
                        </w:r>
                      </w:p>
                    </w:tc>
                    <w:tc>
                      <w:tcPr>
                        <w:tcW w:w="1182" w:type="dxa"/>
                      </w:tcPr>
                      <w:p>
                        <w:pPr>
                          <w:pStyle w:val="TableParagraph"/>
                          <w:spacing w:before="26"/>
                          <w:ind w:left="371" w:right="140"/>
                          <w:jc w:val="left"/>
                          <w:rPr>
                            <w:b/>
                            <w:sz w:val="14"/>
                          </w:rPr>
                        </w:pPr>
                        <w:r>
                          <w:rPr>
                            <w:b/>
                            <w:sz w:val="14"/>
                          </w:rPr>
                          <w:t>$'000</w:t>
                        </w:r>
                      </w:p>
                    </w:tc>
                    <w:tc>
                      <w:tcPr>
                        <w:tcW w:w="1085" w:type="dxa"/>
                      </w:tcPr>
                      <w:p>
                        <w:pPr>
                          <w:pStyle w:val="TableParagraph"/>
                          <w:spacing w:before="26"/>
                          <w:ind w:left="279" w:right="275"/>
                          <w:jc w:val="left"/>
                          <w:rPr>
                            <w:b/>
                            <w:sz w:val="14"/>
                          </w:rPr>
                        </w:pPr>
                        <w:r>
                          <w:rPr>
                            <w:b/>
                            <w:sz w:val="14"/>
                          </w:rPr>
                          <w:t>$'000</w:t>
                        </w:r>
                      </w:p>
                    </w:tc>
                    <w:tc>
                      <w:tcPr>
                        <w:tcW w:w="1087" w:type="dxa"/>
                      </w:tcPr>
                      <w:p>
                        <w:pPr>
                          <w:pStyle w:val="TableParagraph"/>
                          <w:spacing w:before="26"/>
                          <w:ind w:left="243"/>
                          <w:jc w:val="left"/>
                          <w:rPr>
                            <w:b/>
                            <w:sz w:val="14"/>
                          </w:rPr>
                        </w:pPr>
                        <w:r>
                          <w:rPr>
                            <w:b/>
                            <w:sz w:val="14"/>
                          </w:rPr>
                          <w:t>$'000</w:t>
                        </w:r>
                      </w:p>
                    </w:tc>
                    <w:tc>
                      <w:tcPr>
                        <w:tcW w:w="884" w:type="dxa"/>
                      </w:tcPr>
                      <w:p>
                        <w:pPr>
                          <w:pStyle w:val="TableParagraph"/>
                          <w:spacing w:before="26"/>
                          <w:ind w:left="205"/>
                          <w:jc w:val="left"/>
                          <w:rPr>
                            <w:b/>
                            <w:sz w:val="14"/>
                          </w:rPr>
                        </w:pPr>
                        <w:r>
                          <w:rPr>
                            <w:b/>
                            <w:sz w:val="14"/>
                          </w:rPr>
                          <w:t>$'000</w:t>
                        </w:r>
                      </w:p>
                    </w:tc>
                  </w:tr>
                  <w:tr>
                    <w:trPr>
                      <w:trHeight w:val="248" w:hRule="exact"/>
                    </w:trPr>
                    <w:tc>
                      <w:tcPr>
                        <w:tcW w:w="2795" w:type="dxa"/>
                      </w:tcPr>
                      <w:p>
                        <w:pPr>
                          <w:pStyle w:val="TableParagraph"/>
                          <w:spacing w:before="66"/>
                          <w:ind w:left="35" w:right="522"/>
                          <w:jc w:val="left"/>
                          <w:rPr>
                            <w:b/>
                            <w:sz w:val="14"/>
                          </w:rPr>
                        </w:pPr>
                        <w:r>
                          <w:rPr>
                            <w:b/>
                            <w:sz w:val="14"/>
                          </w:rPr>
                          <w:t>At 1 January 2015</w:t>
                        </w:r>
                      </w:p>
                    </w:tc>
                    <w:tc>
                      <w:tcPr>
                        <w:tcW w:w="1160" w:type="dxa"/>
                      </w:tcPr>
                      <w:p>
                        <w:pPr/>
                      </w:p>
                    </w:tc>
                    <w:tc>
                      <w:tcPr>
                        <w:tcW w:w="994" w:type="dxa"/>
                      </w:tcPr>
                      <w:p>
                        <w:pPr/>
                      </w:p>
                    </w:tc>
                    <w:tc>
                      <w:tcPr>
                        <w:tcW w:w="1069" w:type="dxa"/>
                      </w:tcPr>
                      <w:p>
                        <w:pPr/>
                      </w:p>
                    </w:tc>
                    <w:tc>
                      <w:tcPr>
                        <w:tcW w:w="1004" w:type="dxa"/>
                      </w:tcPr>
                      <w:p>
                        <w:pPr/>
                      </w:p>
                    </w:tc>
                    <w:tc>
                      <w:tcPr>
                        <w:tcW w:w="1044" w:type="dxa"/>
                      </w:tcPr>
                      <w:p>
                        <w:pPr/>
                      </w:p>
                    </w:tc>
                    <w:tc>
                      <w:tcPr>
                        <w:tcW w:w="1141" w:type="dxa"/>
                      </w:tcPr>
                      <w:p>
                        <w:pPr/>
                      </w:p>
                    </w:tc>
                    <w:tc>
                      <w:tcPr>
                        <w:tcW w:w="1012" w:type="dxa"/>
                      </w:tcPr>
                      <w:p>
                        <w:pPr/>
                      </w:p>
                    </w:tc>
                    <w:tc>
                      <w:tcPr>
                        <w:tcW w:w="1182" w:type="dxa"/>
                      </w:tcPr>
                      <w:p>
                        <w:pPr/>
                      </w:p>
                    </w:tc>
                    <w:tc>
                      <w:tcPr>
                        <w:tcW w:w="1085" w:type="dxa"/>
                      </w:tcPr>
                      <w:p>
                        <w:pPr/>
                      </w:p>
                    </w:tc>
                    <w:tc>
                      <w:tcPr>
                        <w:tcW w:w="1087" w:type="dxa"/>
                      </w:tcPr>
                      <w:p>
                        <w:pPr/>
                      </w:p>
                    </w:tc>
                    <w:tc>
                      <w:tcPr>
                        <w:tcW w:w="884" w:type="dxa"/>
                      </w:tcPr>
                      <w:p>
                        <w:pPr/>
                      </w:p>
                    </w:tc>
                  </w:tr>
                  <w:tr>
                    <w:trPr>
                      <w:trHeight w:val="205" w:hRule="exact"/>
                    </w:trPr>
                    <w:tc>
                      <w:tcPr>
                        <w:tcW w:w="2795" w:type="dxa"/>
                      </w:tcPr>
                      <w:p>
                        <w:pPr>
                          <w:pStyle w:val="TableParagraph"/>
                          <w:spacing w:before="8"/>
                          <w:ind w:left="35" w:right="522"/>
                          <w:jc w:val="left"/>
                          <w:rPr>
                            <w:sz w:val="14"/>
                          </w:rPr>
                        </w:pPr>
                        <w:r>
                          <w:rPr>
                            <w:sz w:val="14"/>
                          </w:rPr>
                          <w:t>- Cost</w:t>
                        </w:r>
                      </w:p>
                    </w:tc>
                    <w:tc>
                      <w:tcPr>
                        <w:tcW w:w="1160" w:type="dxa"/>
                      </w:tcPr>
                      <w:p>
                        <w:pPr>
                          <w:pStyle w:val="TableParagraph"/>
                          <w:spacing w:before="7"/>
                          <w:ind w:right="180"/>
                          <w:rPr>
                            <w:sz w:val="14"/>
                          </w:rPr>
                        </w:pPr>
                        <w:r>
                          <w:rPr>
                            <w:sz w:val="14"/>
                          </w:rPr>
                          <w:t>110,573</w:t>
                        </w:r>
                      </w:p>
                    </w:tc>
                    <w:tc>
                      <w:tcPr>
                        <w:tcW w:w="994" w:type="dxa"/>
                      </w:tcPr>
                      <w:p>
                        <w:pPr>
                          <w:pStyle w:val="TableParagraph"/>
                          <w:spacing w:before="7"/>
                          <w:ind w:right="125"/>
                          <w:rPr>
                            <w:sz w:val="14"/>
                          </w:rPr>
                        </w:pPr>
                        <w:r>
                          <w:rPr>
                            <w:w w:val="100"/>
                            <w:sz w:val="14"/>
                          </w:rPr>
                          <w:t>-</w:t>
                        </w:r>
                      </w:p>
                    </w:tc>
                    <w:tc>
                      <w:tcPr>
                        <w:tcW w:w="1069" w:type="dxa"/>
                      </w:tcPr>
                      <w:p>
                        <w:pPr>
                          <w:pStyle w:val="TableParagraph"/>
                          <w:spacing w:before="7"/>
                          <w:ind w:right="145"/>
                          <w:rPr>
                            <w:sz w:val="14"/>
                          </w:rPr>
                        </w:pPr>
                        <w:r>
                          <w:rPr>
                            <w:w w:val="100"/>
                            <w:sz w:val="14"/>
                          </w:rPr>
                          <w:t>-</w:t>
                        </w:r>
                      </w:p>
                    </w:tc>
                    <w:tc>
                      <w:tcPr>
                        <w:tcW w:w="1004" w:type="dxa"/>
                      </w:tcPr>
                      <w:p>
                        <w:pPr>
                          <w:pStyle w:val="TableParagraph"/>
                          <w:spacing w:before="7"/>
                          <w:ind w:right="101"/>
                          <w:rPr>
                            <w:sz w:val="14"/>
                          </w:rPr>
                        </w:pPr>
                        <w:r>
                          <w:rPr>
                            <w:sz w:val="14"/>
                          </w:rPr>
                          <w:t>820</w:t>
                        </w:r>
                      </w:p>
                    </w:tc>
                    <w:tc>
                      <w:tcPr>
                        <w:tcW w:w="1044" w:type="dxa"/>
                      </w:tcPr>
                      <w:p>
                        <w:pPr>
                          <w:pStyle w:val="TableParagraph"/>
                          <w:spacing w:before="7"/>
                          <w:ind w:right="95"/>
                          <w:rPr>
                            <w:sz w:val="14"/>
                          </w:rPr>
                        </w:pPr>
                        <w:r>
                          <w:rPr>
                            <w:sz w:val="14"/>
                          </w:rPr>
                          <w:t>623</w:t>
                        </w:r>
                      </w:p>
                    </w:tc>
                    <w:tc>
                      <w:tcPr>
                        <w:tcW w:w="1141" w:type="dxa"/>
                      </w:tcPr>
                      <w:p>
                        <w:pPr>
                          <w:pStyle w:val="TableParagraph"/>
                          <w:spacing w:before="7"/>
                          <w:ind w:right="147"/>
                          <w:rPr>
                            <w:sz w:val="14"/>
                          </w:rPr>
                        </w:pPr>
                        <w:r>
                          <w:rPr>
                            <w:sz w:val="14"/>
                          </w:rPr>
                          <w:t>4,594</w:t>
                        </w:r>
                      </w:p>
                    </w:tc>
                    <w:tc>
                      <w:tcPr>
                        <w:tcW w:w="1012" w:type="dxa"/>
                      </w:tcPr>
                      <w:p>
                        <w:pPr>
                          <w:pStyle w:val="TableParagraph"/>
                          <w:spacing w:before="7"/>
                          <w:ind w:right="110"/>
                          <w:rPr>
                            <w:sz w:val="14"/>
                          </w:rPr>
                        </w:pPr>
                        <w:r>
                          <w:rPr>
                            <w:sz w:val="14"/>
                          </w:rPr>
                          <w:t>126,513</w:t>
                        </w:r>
                      </w:p>
                    </w:tc>
                    <w:tc>
                      <w:tcPr>
                        <w:tcW w:w="1182" w:type="dxa"/>
                      </w:tcPr>
                      <w:p>
                        <w:pPr>
                          <w:pStyle w:val="TableParagraph"/>
                          <w:spacing w:before="7"/>
                          <w:ind w:right="158"/>
                          <w:rPr>
                            <w:sz w:val="14"/>
                          </w:rPr>
                        </w:pPr>
                        <w:r>
                          <w:rPr>
                            <w:sz w:val="14"/>
                          </w:rPr>
                          <w:t>20,284</w:t>
                        </w:r>
                      </w:p>
                    </w:tc>
                    <w:tc>
                      <w:tcPr>
                        <w:tcW w:w="1085" w:type="dxa"/>
                      </w:tcPr>
                      <w:p>
                        <w:pPr>
                          <w:pStyle w:val="TableParagraph"/>
                          <w:spacing w:before="7"/>
                          <w:ind w:right="195"/>
                          <w:rPr>
                            <w:sz w:val="14"/>
                          </w:rPr>
                        </w:pPr>
                        <w:r>
                          <w:rPr>
                            <w:sz w:val="14"/>
                          </w:rPr>
                          <w:t>86,775</w:t>
                        </w:r>
                      </w:p>
                    </w:tc>
                    <w:tc>
                      <w:tcPr>
                        <w:tcW w:w="1087" w:type="dxa"/>
                      </w:tcPr>
                      <w:p>
                        <w:pPr>
                          <w:pStyle w:val="TableParagraph"/>
                          <w:spacing w:before="7"/>
                          <w:ind w:right="233"/>
                          <w:rPr>
                            <w:sz w:val="14"/>
                          </w:rPr>
                        </w:pPr>
                        <w:r>
                          <w:rPr>
                            <w:w w:val="100"/>
                            <w:sz w:val="14"/>
                          </w:rPr>
                          <w:t>-</w:t>
                        </w:r>
                      </w:p>
                    </w:tc>
                    <w:tc>
                      <w:tcPr>
                        <w:tcW w:w="884" w:type="dxa"/>
                      </w:tcPr>
                      <w:p>
                        <w:pPr>
                          <w:pStyle w:val="TableParagraph"/>
                          <w:spacing w:before="7"/>
                          <w:ind w:right="68"/>
                          <w:rPr>
                            <w:sz w:val="14"/>
                          </w:rPr>
                        </w:pPr>
                        <w:r>
                          <w:rPr>
                            <w:sz w:val="14"/>
                          </w:rPr>
                          <w:t>350,182</w:t>
                        </w:r>
                      </w:p>
                    </w:tc>
                  </w:tr>
                  <w:tr>
                    <w:trPr>
                      <w:trHeight w:val="218" w:hRule="exact"/>
                    </w:trPr>
                    <w:tc>
                      <w:tcPr>
                        <w:tcW w:w="2795" w:type="dxa"/>
                      </w:tcPr>
                      <w:p>
                        <w:pPr>
                          <w:pStyle w:val="TableParagraph"/>
                          <w:spacing w:before="22"/>
                          <w:ind w:left="35" w:right="522"/>
                          <w:jc w:val="left"/>
                          <w:rPr>
                            <w:sz w:val="14"/>
                          </w:rPr>
                        </w:pPr>
                        <w:r>
                          <w:rPr>
                            <w:sz w:val="14"/>
                          </w:rPr>
                          <w:t>- Valuation</w:t>
                        </w:r>
                      </w:p>
                    </w:tc>
                    <w:tc>
                      <w:tcPr>
                        <w:tcW w:w="1160" w:type="dxa"/>
                      </w:tcPr>
                      <w:p>
                        <w:pPr>
                          <w:pStyle w:val="TableParagraph"/>
                          <w:spacing w:before="21"/>
                          <w:ind w:right="180"/>
                          <w:rPr>
                            <w:sz w:val="14"/>
                          </w:rPr>
                        </w:pPr>
                        <w:r>
                          <w:rPr>
                            <w:w w:val="100"/>
                            <w:sz w:val="14"/>
                          </w:rPr>
                          <w:t>-</w:t>
                        </w:r>
                      </w:p>
                    </w:tc>
                    <w:tc>
                      <w:tcPr>
                        <w:tcW w:w="994" w:type="dxa"/>
                      </w:tcPr>
                      <w:p>
                        <w:pPr>
                          <w:pStyle w:val="TableParagraph"/>
                          <w:spacing w:before="21"/>
                          <w:ind w:right="125"/>
                          <w:rPr>
                            <w:sz w:val="14"/>
                          </w:rPr>
                        </w:pPr>
                        <w:r>
                          <w:rPr>
                            <w:sz w:val="14"/>
                          </w:rPr>
                          <w:t>187,336</w:t>
                        </w:r>
                      </w:p>
                    </w:tc>
                    <w:tc>
                      <w:tcPr>
                        <w:tcW w:w="1069" w:type="dxa"/>
                      </w:tcPr>
                      <w:p>
                        <w:pPr>
                          <w:pStyle w:val="TableParagraph"/>
                          <w:spacing w:before="21"/>
                          <w:ind w:right="145"/>
                          <w:rPr>
                            <w:sz w:val="14"/>
                          </w:rPr>
                        </w:pPr>
                        <w:r>
                          <w:rPr>
                            <w:sz w:val="14"/>
                          </w:rPr>
                          <w:t>162,335</w:t>
                        </w:r>
                      </w:p>
                    </w:tc>
                    <w:tc>
                      <w:tcPr>
                        <w:tcW w:w="1004" w:type="dxa"/>
                      </w:tcPr>
                      <w:p>
                        <w:pPr>
                          <w:pStyle w:val="TableParagraph"/>
                          <w:spacing w:before="21"/>
                          <w:ind w:right="101"/>
                          <w:rPr>
                            <w:sz w:val="14"/>
                          </w:rPr>
                        </w:pPr>
                        <w:r>
                          <w:rPr>
                            <w:sz w:val="14"/>
                          </w:rPr>
                          <w:t>826,809</w:t>
                        </w:r>
                      </w:p>
                    </w:tc>
                    <w:tc>
                      <w:tcPr>
                        <w:tcW w:w="1044" w:type="dxa"/>
                      </w:tcPr>
                      <w:p>
                        <w:pPr>
                          <w:pStyle w:val="TableParagraph"/>
                          <w:spacing w:before="21"/>
                          <w:ind w:right="95"/>
                          <w:rPr>
                            <w:sz w:val="14"/>
                          </w:rPr>
                        </w:pPr>
                        <w:r>
                          <w:rPr>
                            <w:sz w:val="14"/>
                          </w:rPr>
                          <w:t>81,397</w:t>
                        </w:r>
                      </w:p>
                    </w:tc>
                    <w:tc>
                      <w:tcPr>
                        <w:tcW w:w="1141" w:type="dxa"/>
                      </w:tcPr>
                      <w:p>
                        <w:pPr>
                          <w:pStyle w:val="TableParagraph"/>
                          <w:spacing w:before="21"/>
                          <w:ind w:right="147"/>
                          <w:rPr>
                            <w:sz w:val="14"/>
                          </w:rPr>
                        </w:pPr>
                        <w:r>
                          <w:rPr>
                            <w:w w:val="100"/>
                            <w:sz w:val="14"/>
                          </w:rPr>
                          <w:t>-</w:t>
                        </w:r>
                      </w:p>
                    </w:tc>
                    <w:tc>
                      <w:tcPr>
                        <w:tcW w:w="1012" w:type="dxa"/>
                      </w:tcPr>
                      <w:p>
                        <w:pPr>
                          <w:pStyle w:val="TableParagraph"/>
                          <w:spacing w:before="21"/>
                          <w:ind w:right="110"/>
                          <w:rPr>
                            <w:sz w:val="14"/>
                          </w:rPr>
                        </w:pPr>
                        <w:r>
                          <w:rPr>
                            <w:w w:val="100"/>
                            <w:sz w:val="14"/>
                          </w:rPr>
                          <w:t>-</w:t>
                        </w:r>
                      </w:p>
                    </w:tc>
                    <w:tc>
                      <w:tcPr>
                        <w:tcW w:w="1182" w:type="dxa"/>
                      </w:tcPr>
                      <w:p>
                        <w:pPr>
                          <w:pStyle w:val="TableParagraph"/>
                          <w:spacing w:before="21"/>
                          <w:ind w:right="158"/>
                          <w:rPr>
                            <w:sz w:val="14"/>
                          </w:rPr>
                        </w:pPr>
                        <w:r>
                          <w:rPr>
                            <w:w w:val="100"/>
                            <w:sz w:val="14"/>
                          </w:rPr>
                          <w:t>-</w:t>
                        </w:r>
                      </w:p>
                    </w:tc>
                    <w:tc>
                      <w:tcPr>
                        <w:tcW w:w="1085" w:type="dxa"/>
                      </w:tcPr>
                      <w:p>
                        <w:pPr>
                          <w:pStyle w:val="TableParagraph"/>
                          <w:spacing w:before="21"/>
                          <w:ind w:right="195"/>
                          <w:rPr>
                            <w:sz w:val="14"/>
                          </w:rPr>
                        </w:pPr>
                        <w:r>
                          <w:rPr>
                            <w:sz w:val="14"/>
                          </w:rPr>
                          <w:t>1,651</w:t>
                        </w:r>
                      </w:p>
                    </w:tc>
                    <w:tc>
                      <w:tcPr>
                        <w:tcW w:w="1087" w:type="dxa"/>
                      </w:tcPr>
                      <w:p>
                        <w:pPr>
                          <w:pStyle w:val="TableParagraph"/>
                          <w:spacing w:before="21"/>
                          <w:ind w:right="233"/>
                          <w:rPr>
                            <w:sz w:val="14"/>
                          </w:rPr>
                        </w:pPr>
                        <w:r>
                          <w:rPr>
                            <w:sz w:val="14"/>
                          </w:rPr>
                          <w:t>3,041</w:t>
                        </w:r>
                      </w:p>
                    </w:tc>
                    <w:tc>
                      <w:tcPr>
                        <w:tcW w:w="884" w:type="dxa"/>
                      </w:tcPr>
                      <w:p>
                        <w:pPr>
                          <w:pStyle w:val="TableParagraph"/>
                          <w:spacing w:before="21"/>
                          <w:ind w:right="68"/>
                          <w:rPr>
                            <w:sz w:val="14"/>
                          </w:rPr>
                        </w:pPr>
                        <w:r>
                          <w:rPr>
                            <w:sz w:val="14"/>
                          </w:rPr>
                          <w:t>1,262,569</w:t>
                        </w:r>
                      </w:p>
                    </w:tc>
                  </w:tr>
                  <w:tr>
                    <w:trPr>
                      <w:trHeight w:val="219" w:hRule="exact"/>
                    </w:trPr>
                    <w:tc>
                      <w:tcPr>
                        <w:tcW w:w="2795" w:type="dxa"/>
                      </w:tcPr>
                      <w:p>
                        <w:pPr>
                          <w:pStyle w:val="TableParagraph"/>
                          <w:spacing w:before="22"/>
                          <w:ind w:left="35" w:right="522"/>
                          <w:jc w:val="left"/>
                          <w:rPr>
                            <w:sz w:val="14"/>
                          </w:rPr>
                        </w:pPr>
                        <w:r>
                          <w:rPr>
                            <w:sz w:val="14"/>
                          </w:rPr>
                          <w:t>Accumulated depreciation</w:t>
                        </w:r>
                      </w:p>
                    </w:tc>
                    <w:tc>
                      <w:tcPr>
                        <w:tcW w:w="1160" w:type="dxa"/>
                        <w:tcBorders>
                          <w:bottom w:val="single" w:sz="0" w:space="0" w:color="000000"/>
                        </w:tcBorders>
                      </w:tcPr>
                      <w:p>
                        <w:pPr>
                          <w:pStyle w:val="TableParagraph"/>
                          <w:spacing w:before="21"/>
                          <w:ind w:right="180"/>
                          <w:rPr>
                            <w:sz w:val="14"/>
                          </w:rPr>
                        </w:pPr>
                        <w:r>
                          <w:rPr>
                            <w:w w:val="100"/>
                            <w:sz w:val="14"/>
                          </w:rPr>
                          <w:t>-</w:t>
                        </w:r>
                      </w:p>
                    </w:tc>
                    <w:tc>
                      <w:tcPr>
                        <w:tcW w:w="994" w:type="dxa"/>
                        <w:tcBorders>
                          <w:bottom w:val="single" w:sz="0" w:space="0" w:color="000000"/>
                        </w:tcBorders>
                      </w:tcPr>
                      <w:p>
                        <w:pPr>
                          <w:pStyle w:val="TableParagraph"/>
                          <w:spacing w:before="21"/>
                          <w:ind w:right="125"/>
                          <w:rPr>
                            <w:sz w:val="14"/>
                          </w:rPr>
                        </w:pPr>
                        <w:r>
                          <w:rPr>
                            <w:w w:val="100"/>
                            <w:sz w:val="14"/>
                          </w:rPr>
                          <w:t>-</w:t>
                        </w:r>
                      </w:p>
                    </w:tc>
                    <w:tc>
                      <w:tcPr>
                        <w:tcW w:w="1069" w:type="dxa"/>
                        <w:tcBorders>
                          <w:bottom w:val="single" w:sz="0" w:space="0" w:color="000000"/>
                        </w:tcBorders>
                      </w:tcPr>
                      <w:p>
                        <w:pPr>
                          <w:pStyle w:val="TableParagraph"/>
                          <w:spacing w:before="21"/>
                          <w:ind w:right="145"/>
                          <w:rPr>
                            <w:sz w:val="14"/>
                          </w:rPr>
                        </w:pPr>
                        <w:r>
                          <w:rPr>
                            <w:w w:val="100"/>
                            <w:sz w:val="14"/>
                          </w:rPr>
                          <w:t>-</w:t>
                        </w:r>
                      </w:p>
                    </w:tc>
                    <w:tc>
                      <w:tcPr>
                        <w:tcW w:w="1004" w:type="dxa"/>
                        <w:tcBorders>
                          <w:bottom w:val="single" w:sz="0" w:space="0" w:color="000000"/>
                        </w:tcBorders>
                      </w:tcPr>
                      <w:p>
                        <w:pPr>
                          <w:pStyle w:val="TableParagraph"/>
                          <w:spacing w:before="21"/>
                          <w:ind w:right="53"/>
                          <w:rPr>
                            <w:sz w:val="14"/>
                          </w:rPr>
                        </w:pPr>
                        <w:r>
                          <w:rPr>
                            <w:sz w:val="14"/>
                          </w:rPr>
                          <w:t>(2,285)</w:t>
                        </w:r>
                      </w:p>
                    </w:tc>
                    <w:tc>
                      <w:tcPr>
                        <w:tcW w:w="1044" w:type="dxa"/>
                        <w:tcBorders>
                          <w:bottom w:val="single" w:sz="0" w:space="0" w:color="000000"/>
                        </w:tcBorders>
                      </w:tcPr>
                      <w:p>
                        <w:pPr>
                          <w:pStyle w:val="TableParagraph"/>
                          <w:spacing w:before="21"/>
                          <w:ind w:right="48"/>
                          <w:rPr>
                            <w:sz w:val="14"/>
                          </w:rPr>
                        </w:pPr>
                        <w:r>
                          <w:rPr>
                            <w:sz w:val="14"/>
                          </w:rPr>
                          <w:t>(683)</w:t>
                        </w:r>
                      </w:p>
                    </w:tc>
                    <w:tc>
                      <w:tcPr>
                        <w:tcW w:w="1141" w:type="dxa"/>
                        <w:tcBorders>
                          <w:bottom w:val="single" w:sz="0" w:space="0" w:color="000000"/>
                        </w:tcBorders>
                      </w:tcPr>
                      <w:p>
                        <w:pPr>
                          <w:pStyle w:val="TableParagraph"/>
                          <w:spacing w:before="21"/>
                          <w:ind w:right="100"/>
                          <w:rPr>
                            <w:sz w:val="14"/>
                          </w:rPr>
                        </w:pPr>
                        <w:r>
                          <w:rPr>
                            <w:sz w:val="14"/>
                          </w:rPr>
                          <w:t>(4,594)</w:t>
                        </w:r>
                      </w:p>
                    </w:tc>
                    <w:tc>
                      <w:tcPr>
                        <w:tcW w:w="1012" w:type="dxa"/>
                        <w:tcBorders>
                          <w:bottom w:val="single" w:sz="0" w:space="0" w:color="000000"/>
                        </w:tcBorders>
                      </w:tcPr>
                      <w:p>
                        <w:pPr>
                          <w:pStyle w:val="TableParagraph"/>
                          <w:spacing w:before="21"/>
                          <w:ind w:right="63"/>
                          <w:rPr>
                            <w:sz w:val="14"/>
                          </w:rPr>
                        </w:pPr>
                        <w:r>
                          <w:rPr>
                            <w:sz w:val="14"/>
                          </w:rPr>
                          <w:t>(65,627)</w:t>
                        </w:r>
                      </w:p>
                    </w:tc>
                    <w:tc>
                      <w:tcPr>
                        <w:tcW w:w="1182" w:type="dxa"/>
                        <w:tcBorders>
                          <w:bottom w:val="single" w:sz="0" w:space="0" w:color="000000"/>
                        </w:tcBorders>
                      </w:tcPr>
                      <w:p>
                        <w:pPr>
                          <w:pStyle w:val="TableParagraph"/>
                          <w:spacing w:before="21"/>
                          <w:ind w:right="111"/>
                          <w:rPr>
                            <w:sz w:val="14"/>
                          </w:rPr>
                        </w:pPr>
                        <w:r>
                          <w:rPr>
                            <w:sz w:val="14"/>
                          </w:rPr>
                          <w:t>(6,075)</w:t>
                        </w:r>
                      </w:p>
                    </w:tc>
                    <w:tc>
                      <w:tcPr>
                        <w:tcW w:w="1085" w:type="dxa"/>
                        <w:tcBorders>
                          <w:bottom w:val="single" w:sz="0" w:space="0" w:color="000000"/>
                        </w:tcBorders>
                      </w:tcPr>
                      <w:p>
                        <w:pPr>
                          <w:pStyle w:val="TableParagraph"/>
                          <w:spacing w:before="21"/>
                          <w:ind w:right="148"/>
                          <w:rPr>
                            <w:sz w:val="14"/>
                          </w:rPr>
                        </w:pPr>
                        <w:r>
                          <w:rPr>
                            <w:sz w:val="14"/>
                          </w:rPr>
                          <w:t>(77,213)</w:t>
                        </w:r>
                      </w:p>
                    </w:tc>
                    <w:tc>
                      <w:tcPr>
                        <w:tcW w:w="1087" w:type="dxa"/>
                        <w:tcBorders>
                          <w:bottom w:val="single" w:sz="0" w:space="0" w:color="000000"/>
                        </w:tcBorders>
                      </w:tcPr>
                      <w:p>
                        <w:pPr>
                          <w:pStyle w:val="TableParagraph"/>
                          <w:spacing w:before="21"/>
                          <w:ind w:right="233"/>
                          <w:rPr>
                            <w:sz w:val="14"/>
                          </w:rPr>
                        </w:pPr>
                        <w:r>
                          <w:rPr>
                            <w:w w:val="100"/>
                            <w:sz w:val="14"/>
                          </w:rPr>
                          <w:t>-</w:t>
                        </w:r>
                      </w:p>
                    </w:tc>
                    <w:tc>
                      <w:tcPr>
                        <w:tcW w:w="884" w:type="dxa"/>
                        <w:tcBorders>
                          <w:bottom w:val="single" w:sz="0" w:space="0" w:color="000000"/>
                        </w:tcBorders>
                      </w:tcPr>
                      <w:p>
                        <w:pPr>
                          <w:pStyle w:val="TableParagraph"/>
                          <w:spacing w:before="21"/>
                          <w:ind w:right="22"/>
                          <w:rPr>
                            <w:sz w:val="14"/>
                          </w:rPr>
                        </w:pPr>
                        <w:r>
                          <w:rPr>
                            <w:sz w:val="14"/>
                          </w:rPr>
                          <w:t>(156,477)</w:t>
                        </w:r>
                      </w:p>
                    </w:tc>
                  </w:tr>
                  <w:tr>
                    <w:trPr>
                      <w:trHeight w:val="293" w:hRule="exact"/>
                    </w:trPr>
                    <w:tc>
                      <w:tcPr>
                        <w:tcW w:w="2795" w:type="dxa"/>
                      </w:tcPr>
                      <w:p>
                        <w:pPr>
                          <w:pStyle w:val="TableParagraph"/>
                          <w:spacing w:before="123"/>
                          <w:ind w:left="35" w:right="522"/>
                          <w:jc w:val="left"/>
                          <w:rPr>
                            <w:b/>
                            <w:sz w:val="14"/>
                          </w:rPr>
                        </w:pPr>
                        <w:r>
                          <w:rPr>
                            <w:b/>
                            <w:sz w:val="14"/>
                          </w:rPr>
                          <w:t>Net Book Amount</w:t>
                        </w:r>
                      </w:p>
                    </w:tc>
                    <w:tc>
                      <w:tcPr>
                        <w:tcW w:w="1160" w:type="dxa"/>
                        <w:tcBorders>
                          <w:top w:val="single" w:sz="0" w:space="0" w:color="000000"/>
                          <w:bottom w:val="single" w:sz="0" w:space="0" w:color="000000"/>
                        </w:tcBorders>
                      </w:tcPr>
                      <w:p>
                        <w:pPr>
                          <w:pStyle w:val="TableParagraph"/>
                          <w:spacing w:before="123"/>
                          <w:ind w:right="180"/>
                          <w:rPr>
                            <w:sz w:val="14"/>
                          </w:rPr>
                        </w:pPr>
                        <w:r>
                          <w:rPr>
                            <w:sz w:val="14"/>
                          </w:rPr>
                          <w:t>110,573</w:t>
                        </w:r>
                      </w:p>
                    </w:tc>
                    <w:tc>
                      <w:tcPr>
                        <w:tcW w:w="994" w:type="dxa"/>
                        <w:tcBorders>
                          <w:top w:val="single" w:sz="0" w:space="0" w:color="000000"/>
                          <w:bottom w:val="single" w:sz="0" w:space="0" w:color="000000"/>
                        </w:tcBorders>
                      </w:tcPr>
                      <w:p>
                        <w:pPr>
                          <w:pStyle w:val="TableParagraph"/>
                          <w:spacing w:before="123"/>
                          <w:ind w:right="125"/>
                          <w:rPr>
                            <w:sz w:val="14"/>
                          </w:rPr>
                        </w:pPr>
                        <w:r>
                          <w:rPr>
                            <w:sz w:val="14"/>
                          </w:rPr>
                          <w:t>187,336</w:t>
                        </w:r>
                      </w:p>
                    </w:tc>
                    <w:tc>
                      <w:tcPr>
                        <w:tcW w:w="1069" w:type="dxa"/>
                        <w:tcBorders>
                          <w:top w:val="single" w:sz="0" w:space="0" w:color="000000"/>
                          <w:bottom w:val="single" w:sz="0" w:space="0" w:color="000000"/>
                        </w:tcBorders>
                      </w:tcPr>
                      <w:p>
                        <w:pPr>
                          <w:pStyle w:val="TableParagraph"/>
                          <w:spacing w:before="123"/>
                          <w:ind w:right="145"/>
                          <w:rPr>
                            <w:sz w:val="14"/>
                          </w:rPr>
                        </w:pPr>
                        <w:r>
                          <w:rPr>
                            <w:sz w:val="14"/>
                          </w:rPr>
                          <w:t>162,335</w:t>
                        </w:r>
                      </w:p>
                    </w:tc>
                    <w:tc>
                      <w:tcPr>
                        <w:tcW w:w="1004" w:type="dxa"/>
                        <w:tcBorders>
                          <w:top w:val="single" w:sz="0" w:space="0" w:color="000000"/>
                          <w:bottom w:val="single" w:sz="0" w:space="0" w:color="000000"/>
                        </w:tcBorders>
                      </w:tcPr>
                      <w:p>
                        <w:pPr>
                          <w:pStyle w:val="TableParagraph"/>
                          <w:spacing w:before="123"/>
                          <w:ind w:right="101"/>
                          <w:rPr>
                            <w:sz w:val="14"/>
                          </w:rPr>
                        </w:pPr>
                        <w:r>
                          <w:rPr>
                            <w:sz w:val="14"/>
                          </w:rPr>
                          <w:t>825,344</w:t>
                        </w:r>
                      </w:p>
                    </w:tc>
                    <w:tc>
                      <w:tcPr>
                        <w:tcW w:w="1044" w:type="dxa"/>
                        <w:tcBorders>
                          <w:top w:val="single" w:sz="0" w:space="0" w:color="000000"/>
                          <w:bottom w:val="single" w:sz="0" w:space="0" w:color="000000"/>
                        </w:tcBorders>
                      </w:tcPr>
                      <w:p>
                        <w:pPr>
                          <w:pStyle w:val="TableParagraph"/>
                          <w:spacing w:before="123"/>
                          <w:ind w:right="95"/>
                          <w:rPr>
                            <w:sz w:val="14"/>
                          </w:rPr>
                        </w:pPr>
                        <w:r>
                          <w:rPr>
                            <w:sz w:val="14"/>
                          </w:rPr>
                          <w:t>81,337</w:t>
                        </w:r>
                      </w:p>
                    </w:tc>
                    <w:tc>
                      <w:tcPr>
                        <w:tcW w:w="1141" w:type="dxa"/>
                        <w:tcBorders>
                          <w:top w:val="single" w:sz="0" w:space="0" w:color="000000"/>
                          <w:bottom w:val="single" w:sz="0" w:space="0" w:color="000000"/>
                        </w:tcBorders>
                      </w:tcPr>
                      <w:p>
                        <w:pPr>
                          <w:pStyle w:val="TableParagraph"/>
                          <w:spacing w:before="123"/>
                          <w:ind w:right="147"/>
                          <w:rPr>
                            <w:sz w:val="14"/>
                          </w:rPr>
                        </w:pPr>
                        <w:r>
                          <w:rPr>
                            <w:w w:val="100"/>
                            <w:sz w:val="14"/>
                          </w:rPr>
                          <w:t>-</w:t>
                        </w:r>
                      </w:p>
                    </w:tc>
                    <w:tc>
                      <w:tcPr>
                        <w:tcW w:w="1012" w:type="dxa"/>
                        <w:tcBorders>
                          <w:top w:val="single" w:sz="0" w:space="0" w:color="000000"/>
                          <w:bottom w:val="single" w:sz="0" w:space="0" w:color="000000"/>
                        </w:tcBorders>
                      </w:tcPr>
                      <w:p>
                        <w:pPr>
                          <w:pStyle w:val="TableParagraph"/>
                          <w:spacing w:before="123"/>
                          <w:ind w:right="110"/>
                          <w:rPr>
                            <w:sz w:val="14"/>
                          </w:rPr>
                        </w:pPr>
                        <w:r>
                          <w:rPr>
                            <w:sz w:val="14"/>
                          </w:rPr>
                          <w:t>60,886</w:t>
                        </w:r>
                      </w:p>
                    </w:tc>
                    <w:tc>
                      <w:tcPr>
                        <w:tcW w:w="1182" w:type="dxa"/>
                        <w:tcBorders>
                          <w:top w:val="single" w:sz="0" w:space="0" w:color="000000"/>
                          <w:bottom w:val="single" w:sz="0" w:space="0" w:color="000000"/>
                        </w:tcBorders>
                      </w:tcPr>
                      <w:p>
                        <w:pPr>
                          <w:pStyle w:val="TableParagraph"/>
                          <w:spacing w:before="123"/>
                          <w:ind w:right="158"/>
                          <w:rPr>
                            <w:sz w:val="14"/>
                          </w:rPr>
                        </w:pPr>
                        <w:r>
                          <w:rPr>
                            <w:sz w:val="14"/>
                          </w:rPr>
                          <w:t>14,209</w:t>
                        </w:r>
                      </w:p>
                    </w:tc>
                    <w:tc>
                      <w:tcPr>
                        <w:tcW w:w="1085" w:type="dxa"/>
                        <w:tcBorders>
                          <w:top w:val="single" w:sz="0" w:space="0" w:color="000000"/>
                          <w:bottom w:val="single" w:sz="0" w:space="0" w:color="000000"/>
                        </w:tcBorders>
                      </w:tcPr>
                      <w:p>
                        <w:pPr>
                          <w:pStyle w:val="TableParagraph"/>
                          <w:spacing w:before="123"/>
                          <w:ind w:right="195"/>
                          <w:rPr>
                            <w:sz w:val="14"/>
                          </w:rPr>
                        </w:pPr>
                        <w:r>
                          <w:rPr>
                            <w:sz w:val="14"/>
                          </w:rPr>
                          <w:t>11,213</w:t>
                        </w:r>
                      </w:p>
                    </w:tc>
                    <w:tc>
                      <w:tcPr>
                        <w:tcW w:w="1087" w:type="dxa"/>
                        <w:tcBorders>
                          <w:top w:val="single" w:sz="0" w:space="0" w:color="000000"/>
                          <w:bottom w:val="single" w:sz="0" w:space="0" w:color="000000"/>
                        </w:tcBorders>
                      </w:tcPr>
                      <w:p>
                        <w:pPr>
                          <w:pStyle w:val="TableParagraph"/>
                          <w:spacing w:before="123"/>
                          <w:ind w:right="233"/>
                          <w:rPr>
                            <w:sz w:val="14"/>
                          </w:rPr>
                        </w:pPr>
                        <w:r>
                          <w:rPr>
                            <w:sz w:val="14"/>
                          </w:rPr>
                          <w:t>3,041</w:t>
                        </w:r>
                      </w:p>
                    </w:tc>
                    <w:tc>
                      <w:tcPr>
                        <w:tcW w:w="884" w:type="dxa"/>
                        <w:tcBorders>
                          <w:top w:val="single" w:sz="0" w:space="0" w:color="000000"/>
                          <w:bottom w:val="single" w:sz="0" w:space="0" w:color="000000"/>
                        </w:tcBorders>
                      </w:tcPr>
                      <w:p>
                        <w:pPr>
                          <w:pStyle w:val="TableParagraph"/>
                          <w:spacing w:before="123"/>
                          <w:ind w:right="68"/>
                          <w:rPr>
                            <w:sz w:val="14"/>
                          </w:rPr>
                        </w:pPr>
                        <w:r>
                          <w:rPr>
                            <w:sz w:val="14"/>
                          </w:rPr>
                          <w:t>1,456,274</w:t>
                        </w:r>
                      </w:p>
                    </w:tc>
                  </w:tr>
                  <w:tr>
                    <w:trPr>
                      <w:trHeight w:val="306" w:hRule="exact"/>
                    </w:trPr>
                    <w:tc>
                      <w:tcPr>
                        <w:tcW w:w="2795" w:type="dxa"/>
                      </w:tcPr>
                      <w:p>
                        <w:pPr>
                          <w:pStyle w:val="TableParagraph"/>
                          <w:spacing w:before="123"/>
                          <w:ind w:left="35" w:right="522"/>
                          <w:jc w:val="left"/>
                          <w:rPr>
                            <w:b/>
                            <w:sz w:val="14"/>
                          </w:rPr>
                        </w:pPr>
                        <w:r>
                          <w:rPr>
                            <w:b/>
                            <w:sz w:val="14"/>
                          </w:rPr>
                          <w:t>Year Ended 31 December 2015</w:t>
                        </w:r>
                      </w:p>
                    </w:tc>
                    <w:tc>
                      <w:tcPr>
                        <w:tcW w:w="1160" w:type="dxa"/>
                        <w:tcBorders>
                          <w:top w:val="single" w:sz="0" w:space="0" w:color="000000"/>
                        </w:tcBorders>
                      </w:tcPr>
                      <w:p>
                        <w:pPr/>
                      </w:p>
                    </w:tc>
                    <w:tc>
                      <w:tcPr>
                        <w:tcW w:w="994" w:type="dxa"/>
                        <w:tcBorders>
                          <w:top w:val="single" w:sz="0" w:space="0" w:color="000000"/>
                        </w:tcBorders>
                      </w:tcPr>
                      <w:p>
                        <w:pPr/>
                      </w:p>
                    </w:tc>
                    <w:tc>
                      <w:tcPr>
                        <w:tcW w:w="1069" w:type="dxa"/>
                        <w:tcBorders>
                          <w:top w:val="single" w:sz="0" w:space="0" w:color="000000"/>
                        </w:tcBorders>
                      </w:tcPr>
                      <w:p>
                        <w:pPr/>
                      </w:p>
                    </w:tc>
                    <w:tc>
                      <w:tcPr>
                        <w:tcW w:w="1004" w:type="dxa"/>
                        <w:tcBorders>
                          <w:top w:val="single" w:sz="0" w:space="0" w:color="000000"/>
                        </w:tcBorders>
                      </w:tcPr>
                      <w:p>
                        <w:pPr/>
                      </w:p>
                    </w:tc>
                    <w:tc>
                      <w:tcPr>
                        <w:tcW w:w="1044" w:type="dxa"/>
                        <w:tcBorders>
                          <w:top w:val="single" w:sz="0" w:space="0" w:color="000000"/>
                        </w:tcBorders>
                      </w:tcPr>
                      <w:p>
                        <w:pPr/>
                      </w:p>
                    </w:tc>
                    <w:tc>
                      <w:tcPr>
                        <w:tcW w:w="1141" w:type="dxa"/>
                        <w:tcBorders>
                          <w:top w:val="single" w:sz="0" w:space="0" w:color="000000"/>
                        </w:tcBorders>
                      </w:tcPr>
                      <w:p>
                        <w:pPr/>
                      </w:p>
                    </w:tc>
                    <w:tc>
                      <w:tcPr>
                        <w:tcW w:w="1012" w:type="dxa"/>
                        <w:tcBorders>
                          <w:top w:val="single" w:sz="0" w:space="0" w:color="000000"/>
                        </w:tcBorders>
                      </w:tcPr>
                      <w:p>
                        <w:pPr/>
                      </w:p>
                    </w:tc>
                    <w:tc>
                      <w:tcPr>
                        <w:tcW w:w="1182" w:type="dxa"/>
                        <w:tcBorders>
                          <w:top w:val="single" w:sz="0" w:space="0" w:color="000000"/>
                        </w:tcBorders>
                      </w:tcPr>
                      <w:p>
                        <w:pPr/>
                      </w:p>
                    </w:tc>
                    <w:tc>
                      <w:tcPr>
                        <w:tcW w:w="1085" w:type="dxa"/>
                        <w:tcBorders>
                          <w:top w:val="single" w:sz="0" w:space="0" w:color="000000"/>
                        </w:tcBorders>
                      </w:tcPr>
                      <w:p>
                        <w:pPr/>
                      </w:p>
                    </w:tc>
                    <w:tc>
                      <w:tcPr>
                        <w:tcW w:w="1087" w:type="dxa"/>
                        <w:tcBorders>
                          <w:top w:val="single" w:sz="0" w:space="0" w:color="000000"/>
                        </w:tcBorders>
                      </w:tcPr>
                      <w:p>
                        <w:pPr/>
                      </w:p>
                    </w:tc>
                    <w:tc>
                      <w:tcPr>
                        <w:tcW w:w="884" w:type="dxa"/>
                        <w:tcBorders>
                          <w:top w:val="single" w:sz="0" w:space="0" w:color="000000"/>
                        </w:tcBorders>
                      </w:tcPr>
                      <w:p>
                        <w:pPr/>
                      </w:p>
                    </w:tc>
                  </w:tr>
                  <w:tr>
                    <w:trPr>
                      <w:trHeight w:val="205" w:hRule="exact"/>
                    </w:trPr>
                    <w:tc>
                      <w:tcPr>
                        <w:tcW w:w="2795" w:type="dxa"/>
                      </w:tcPr>
                      <w:p>
                        <w:pPr>
                          <w:pStyle w:val="TableParagraph"/>
                          <w:spacing w:before="8"/>
                          <w:ind w:left="35" w:right="522"/>
                          <w:jc w:val="left"/>
                          <w:rPr>
                            <w:sz w:val="14"/>
                          </w:rPr>
                        </w:pPr>
                        <w:r>
                          <w:rPr>
                            <w:sz w:val="14"/>
                          </w:rPr>
                          <w:t>Opening Net Book Amount</w:t>
                        </w:r>
                      </w:p>
                    </w:tc>
                    <w:tc>
                      <w:tcPr>
                        <w:tcW w:w="1160" w:type="dxa"/>
                      </w:tcPr>
                      <w:p>
                        <w:pPr>
                          <w:pStyle w:val="TableParagraph"/>
                          <w:spacing w:before="7"/>
                          <w:ind w:right="180"/>
                          <w:rPr>
                            <w:sz w:val="14"/>
                          </w:rPr>
                        </w:pPr>
                        <w:r>
                          <w:rPr>
                            <w:sz w:val="14"/>
                          </w:rPr>
                          <w:t>110,573</w:t>
                        </w:r>
                      </w:p>
                    </w:tc>
                    <w:tc>
                      <w:tcPr>
                        <w:tcW w:w="994" w:type="dxa"/>
                      </w:tcPr>
                      <w:p>
                        <w:pPr>
                          <w:pStyle w:val="TableParagraph"/>
                          <w:spacing w:before="7"/>
                          <w:ind w:right="125"/>
                          <w:rPr>
                            <w:sz w:val="14"/>
                          </w:rPr>
                        </w:pPr>
                        <w:r>
                          <w:rPr>
                            <w:sz w:val="14"/>
                          </w:rPr>
                          <w:t>187,336</w:t>
                        </w:r>
                      </w:p>
                    </w:tc>
                    <w:tc>
                      <w:tcPr>
                        <w:tcW w:w="1069" w:type="dxa"/>
                      </w:tcPr>
                      <w:p>
                        <w:pPr>
                          <w:pStyle w:val="TableParagraph"/>
                          <w:spacing w:before="7"/>
                          <w:ind w:right="145"/>
                          <w:rPr>
                            <w:sz w:val="14"/>
                          </w:rPr>
                        </w:pPr>
                        <w:r>
                          <w:rPr>
                            <w:sz w:val="14"/>
                          </w:rPr>
                          <w:t>162,335</w:t>
                        </w:r>
                      </w:p>
                    </w:tc>
                    <w:tc>
                      <w:tcPr>
                        <w:tcW w:w="1004" w:type="dxa"/>
                      </w:tcPr>
                      <w:p>
                        <w:pPr>
                          <w:pStyle w:val="TableParagraph"/>
                          <w:spacing w:before="7"/>
                          <w:ind w:right="101"/>
                          <w:rPr>
                            <w:sz w:val="14"/>
                          </w:rPr>
                        </w:pPr>
                        <w:r>
                          <w:rPr>
                            <w:sz w:val="14"/>
                          </w:rPr>
                          <w:t>825,344</w:t>
                        </w:r>
                      </w:p>
                    </w:tc>
                    <w:tc>
                      <w:tcPr>
                        <w:tcW w:w="1044" w:type="dxa"/>
                      </w:tcPr>
                      <w:p>
                        <w:pPr>
                          <w:pStyle w:val="TableParagraph"/>
                          <w:spacing w:before="7"/>
                          <w:ind w:right="95"/>
                          <w:rPr>
                            <w:sz w:val="14"/>
                          </w:rPr>
                        </w:pPr>
                        <w:r>
                          <w:rPr>
                            <w:sz w:val="14"/>
                          </w:rPr>
                          <w:t>81,337</w:t>
                        </w:r>
                      </w:p>
                    </w:tc>
                    <w:tc>
                      <w:tcPr>
                        <w:tcW w:w="1141" w:type="dxa"/>
                      </w:tcPr>
                      <w:p>
                        <w:pPr>
                          <w:pStyle w:val="TableParagraph"/>
                          <w:spacing w:before="7"/>
                          <w:ind w:right="147"/>
                          <w:rPr>
                            <w:sz w:val="14"/>
                          </w:rPr>
                        </w:pPr>
                        <w:r>
                          <w:rPr>
                            <w:w w:val="100"/>
                            <w:sz w:val="14"/>
                          </w:rPr>
                          <w:t>-</w:t>
                        </w:r>
                      </w:p>
                    </w:tc>
                    <w:tc>
                      <w:tcPr>
                        <w:tcW w:w="1012" w:type="dxa"/>
                      </w:tcPr>
                      <w:p>
                        <w:pPr>
                          <w:pStyle w:val="TableParagraph"/>
                          <w:spacing w:before="7"/>
                          <w:ind w:right="110"/>
                          <w:rPr>
                            <w:sz w:val="14"/>
                          </w:rPr>
                        </w:pPr>
                        <w:r>
                          <w:rPr>
                            <w:sz w:val="14"/>
                          </w:rPr>
                          <w:t>60,886</w:t>
                        </w:r>
                      </w:p>
                    </w:tc>
                    <w:tc>
                      <w:tcPr>
                        <w:tcW w:w="1182" w:type="dxa"/>
                      </w:tcPr>
                      <w:p>
                        <w:pPr>
                          <w:pStyle w:val="TableParagraph"/>
                          <w:spacing w:before="7"/>
                          <w:ind w:right="158"/>
                          <w:rPr>
                            <w:sz w:val="14"/>
                          </w:rPr>
                        </w:pPr>
                        <w:r>
                          <w:rPr>
                            <w:sz w:val="14"/>
                          </w:rPr>
                          <w:t>14,209</w:t>
                        </w:r>
                      </w:p>
                    </w:tc>
                    <w:tc>
                      <w:tcPr>
                        <w:tcW w:w="1085" w:type="dxa"/>
                      </w:tcPr>
                      <w:p>
                        <w:pPr>
                          <w:pStyle w:val="TableParagraph"/>
                          <w:spacing w:before="7"/>
                          <w:ind w:right="195"/>
                          <w:rPr>
                            <w:sz w:val="14"/>
                          </w:rPr>
                        </w:pPr>
                        <w:r>
                          <w:rPr>
                            <w:sz w:val="14"/>
                          </w:rPr>
                          <w:t>11,213</w:t>
                        </w:r>
                      </w:p>
                    </w:tc>
                    <w:tc>
                      <w:tcPr>
                        <w:tcW w:w="1087" w:type="dxa"/>
                      </w:tcPr>
                      <w:p>
                        <w:pPr>
                          <w:pStyle w:val="TableParagraph"/>
                          <w:spacing w:before="7"/>
                          <w:ind w:right="233"/>
                          <w:rPr>
                            <w:sz w:val="14"/>
                          </w:rPr>
                        </w:pPr>
                        <w:r>
                          <w:rPr>
                            <w:sz w:val="14"/>
                          </w:rPr>
                          <w:t>3,041</w:t>
                        </w:r>
                      </w:p>
                    </w:tc>
                    <w:tc>
                      <w:tcPr>
                        <w:tcW w:w="884" w:type="dxa"/>
                      </w:tcPr>
                      <w:p>
                        <w:pPr>
                          <w:pStyle w:val="TableParagraph"/>
                          <w:spacing w:before="7"/>
                          <w:ind w:right="68"/>
                          <w:rPr>
                            <w:sz w:val="14"/>
                          </w:rPr>
                        </w:pPr>
                        <w:r>
                          <w:rPr>
                            <w:sz w:val="14"/>
                          </w:rPr>
                          <w:t>1,456,274</w:t>
                        </w:r>
                      </w:p>
                    </w:tc>
                  </w:tr>
                  <w:tr>
                    <w:trPr>
                      <w:trHeight w:val="218" w:hRule="exact"/>
                    </w:trPr>
                    <w:tc>
                      <w:tcPr>
                        <w:tcW w:w="2795" w:type="dxa"/>
                      </w:tcPr>
                      <w:p>
                        <w:pPr>
                          <w:pStyle w:val="TableParagraph"/>
                          <w:spacing w:before="22"/>
                          <w:ind w:left="35" w:right="522"/>
                          <w:jc w:val="left"/>
                          <w:rPr>
                            <w:sz w:val="14"/>
                          </w:rPr>
                        </w:pPr>
                        <w:r>
                          <w:rPr>
                            <w:sz w:val="14"/>
                          </w:rPr>
                          <w:t>Revaluation Surplus</w:t>
                        </w:r>
                      </w:p>
                    </w:tc>
                    <w:tc>
                      <w:tcPr>
                        <w:tcW w:w="1160" w:type="dxa"/>
                      </w:tcPr>
                      <w:p>
                        <w:pPr>
                          <w:pStyle w:val="TableParagraph"/>
                          <w:spacing w:before="21"/>
                          <w:ind w:right="180"/>
                          <w:rPr>
                            <w:sz w:val="14"/>
                          </w:rPr>
                        </w:pPr>
                        <w:r>
                          <w:rPr>
                            <w:w w:val="100"/>
                            <w:sz w:val="14"/>
                          </w:rPr>
                          <w:t>-</w:t>
                        </w:r>
                      </w:p>
                    </w:tc>
                    <w:tc>
                      <w:tcPr>
                        <w:tcW w:w="994" w:type="dxa"/>
                      </w:tcPr>
                      <w:p>
                        <w:pPr>
                          <w:pStyle w:val="TableParagraph"/>
                          <w:spacing w:before="21"/>
                          <w:ind w:right="125"/>
                          <w:rPr>
                            <w:sz w:val="14"/>
                          </w:rPr>
                        </w:pPr>
                        <w:r>
                          <w:rPr>
                            <w:sz w:val="14"/>
                          </w:rPr>
                          <w:t>93,717</w:t>
                        </w:r>
                      </w:p>
                    </w:tc>
                    <w:tc>
                      <w:tcPr>
                        <w:tcW w:w="1069" w:type="dxa"/>
                      </w:tcPr>
                      <w:p>
                        <w:pPr>
                          <w:pStyle w:val="TableParagraph"/>
                          <w:spacing w:before="21"/>
                          <w:ind w:right="145"/>
                          <w:rPr>
                            <w:sz w:val="14"/>
                          </w:rPr>
                        </w:pPr>
                        <w:r>
                          <w:rPr>
                            <w:w w:val="100"/>
                            <w:sz w:val="14"/>
                          </w:rPr>
                          <w:t>-</w:t>
                        </w:r>
                      </w:p>
                    </w:tc>
                    <w:tc>
                      <w:tcPr>
                        <w:tcW w:w="1004" w:type="dxa"/>
                      </w:tcPr>
                      <w:p>
                        <w:pPr>
                          <w:pStyle w:val="TableParagraph"/>
                          <w:spacing w:before="21"/>
                          <w:ind w:right="99"/>
                          <w:rPr>
                            <w:sz w:val="14"/>
                          </w:rPr>
                        </w:pPr>
                        <w:r>
                          <w:rPr>
                            <w:sz w:val="14"/>
                          </w:rPr>
                          <w:t>15,199</w:t>
                        </w:r>
                      </w:p>
                    </w:tc>
                    <w:tc>
                      <w:tcPr>
                        <w:tcW w:w="1044" w:type="dxa"/>
                      </w:tcPr>
                      <w:p>
                        <w:pPr>
                          <w:pStyle w:val="TableParagraph"/>
                          <w:spacing w:before="21"/>
                          <w:ind w:right="95"/>
                          <w:rPr>
                            <w:sz w:val="14"/>
                          </w:rPr>
                        </w:pPr>
                        <w:r>
                          <w:rPr>
                            <w:sz w:val="14"/>
                          </w:rPr>
                          <w:t>1,252</w:t>
                        </w:r>
                      </w:p>
                    </w:tc>
                    <w:tc>
                      <w:tcPr>
                        <w:tcW w:w="1141" w:type="dxa"/>
                      </w:tcPr>
                      <w:p>
                        <w:pPr>
                          <w:pStyle w:val="TableParagraph"/>
                          <w:spacing w:before="21"/>
                          <w:ind w:right="147"/>
                          <w:rPr>
                            <w:sz w:val="14"/>
                          </w:rPr>
                        </w:pPr>
                        <w:r>
                          <w:rPr>
                            <w:w w:val="100"/>
                            <w:sz w:val="14"/>
                          </w:rPr>
                          <w:t>-</w:t>
                        </w:r>
                      </w:p>
                    </w:tc>
                    <w:tc>
                      <w:tcPr>
                        <w:tcW w:w="1012" w:type="dxa"/>
                      </w:tcPr>
                      <w:p>
                        <w:pPr>
                          <w:pStyle w:val="TableParagraph"/>
                          <w:spacing w:before="21"/>
                          <w:ind w:right="110"/>
                          <w:rPr>
                            <w:sz w:val="14"/>
                          </w:rPr>
                        </w:pPr>
                        <w:r>
                          <w:rPr>
                            <w:w w:val="100"/>
                            <w:sz w:val="14"/>
                          </w:rPr>
                          <w:t>-</w:t>
                        </w:r>
                      </w:p>
                    </w:tc>
                    <w:tc>
                      <w:tcPr>
                        <w:tcW w:w="1182" w:type="dxa"/>
                      </w:tcPr>
                      <w:p>
                        <w:pPr>
                          <w:pStyle w:val="TableParagraph"/>
                          <w:spacing w:before="21"/>
                          <w:ind w:right="158"/>
                          <w:rPr>
                            <w:sz w:val="14"/>
                          </w:rPr>
                        </w:pPr>
                        <w:r>
                          <w:rPr>
                            <w:w w:val="100"/>
                            <w:sz w:val="14"/>
                          </w:rPr>
                          <w:t>-</w:t>
                        </w:r>
                      </w:p>
                    </w:tc>
                    <w:tc>
                      <w:tcPr>
                        <w:tcW w:w="1085" w:type="dxa"/>
                      </w:tcPr>
                      <w:p>
                        <w:pPr>
                          <w:pStyle w:val="TableParagraph"/>
                          <w:spacing w:before="21"/>
                          <w:ind w:right="195"/>
                          <w:rPr>
                            <w:sz w:val="14"/>
                          </w:rPr>
                        </w:pPr>
                        <w:r>
                          <w:rPr>
                            <w:w w:val="100"/>
                            <w:sz w:val="14"/>
                          </w:rPr>
                          <w:t>-</w:t>
                        </w:r>
                      </w:p>
                    </w:tc>
                    <w:tc>
                      <w:tcPr>
                        <w:tcW w:w="1087" w:type="dxa"/>
                      </w:tcPr>
                      <w:p>
                        <w:pPr>
                          <w:pStyle w:val="TableParagraph"/>
                          <w:spacing w:before="21"/>
                          <w:ind w:right="233"/>
                          <w:rPr>
                            <w:sz w:val="14"/>
                          </w:rPr>
                        </w:pPr>
                        <w:r>
                          <w:rPr>
                            <w:w w:val="100"/>
                            <w:sz w:val="14"/>
                          </w:rPr>
                          <w:t>-</w:t>
                        </w:r>
                      </w:p>
                    </w:tc>
                    <w:tc>
                      <w:tcPr>
                        <w:tcW w:w="884" w:type="dxa"/>
                      </w:tcPr>
                      <w:p>
                        <w:pPr>
                          <w:pStyle w:val="TableParagraph"/>
                          <w:spacing w:before="21"/>
                          <w:ind w:right="68"/>
                          <w:rPr>
                            <w:sz w:val="14"/>
                          </w:rPr>
                        </w:pPr>
                        <w:r>
                          <w:rPr>
                            <w:sz w:val="14"/>
                          </w:rPr>
                          <w:t>110,168</w:t>
                        </w:r>
                      </w:p>
                    </w:tc>
                  </w:tr>
                  <w:tr>
                    <w:trPr>
                      <w:trHeight w:val="218" w:hRule="exact"/>
                    </w:trPr>
                    <w:tc>
                      <w:tcPr>
                        <w:tcW w:w="2795" w:type="dxa"/>
                      </w:tcPr>
                      <w:p>
                        <w:pPr>
                          <w:pStyle w:val="TableParagraph"/>
                          <w:spacing w:before="22"/>
                          <w:ind w:left="35" w:right="522"/>
                          <w:jc w:val="left"/>
                          <w:rPr>
                            <w:sz w:val="14"/>
                          </w:rPr>
                        </w:pPr>
                        <w:r>
                          <w:rPr>
                            <w:sz w:val="14"/>
                          </w:rPr>
                          <w:t>Additions</w:t>
                        </w:r>
                      </w:p>
                    </w:tc>
                    <w:tc>
                      <w:tcPr>
                        <w:tcW w:w="1160" w:type="dxa"/>
                      </w:tcPr>
                      <w:p>
                        <w:pPr>
                          <w:pStyle w:val="TableParagraph"/>
                          <w:spacing w:before="21"/>
                          <w:ind w:right="180"/>
                          <w:rPr>
                            <w:sz w:val="14"/>
                          </w:rPr>
                        </w:pPr>
                        <w:r>
                          <w:rPr>
                            <w:sz w:val="14"/>
                          </w:rPr>
                          <w:t>77,251</w:t>
                        </w:r>
                      </w:p>
                    </w:tc>
                    <w:tc>
                      <w:tcPr>
                        <w:tcW w:w="994" w:type="dxa"/>
                      </w:tcPr>
                      <w:p>
                        <w:pPr>
                          <w:pStyle w:val="TableParagraph"/>
                          <w:spacing w:before="21"/>
                          <w:ind w:right="125"/>
                          <w:rPr>
                            <w:sz w:val="14"/>
                          </w:rPr>
                        </w:pPr>
                        <w:r>
                          <w:rPr>
                            <w:sz w:val="14"/>
                          </w:rPr>
                          <w:t>1,150</w:t>
                        </w:r>
                      </w:p>
                    </w:tc>
                    <w:tc>
                      <w:tcPr>
                        <w:tcW w:w="1069" w:type="dxa"/>
                      </w:tcPr>
                      <w:p>
                        <w:pPr>
                          <w:pStyle w:val="TableParagraph"/>
                          <w:spacing w:before="21"/>
                          <w:ind w:right="145"/>
                          <w:rPr>
                            <w:sz w:val="14"/>
                          </w:rPr>
                        </w:pPr>
                        <w:r>
                          <w:rPr>
                            <w:w w:val="100"/>
                            <w:sz w:val="14"/>
                          </w:rPr>
                          <w:t>-</w:t>
                        </w:r>
                      </w:p>
                    </w:tc>
                    <w:tc>
                      <w:tcPr>
                        <w:tcW w:w="1004" w:type="dxa"/>
                      </w:tcPr>
                      <w:p>
                        <w:pPr>
                          <w:pStyle w:val="TableParagraph"/>
                          <w:spacing w:before="21"/>
                          <w:ind w:right="101"/>
                          <w:rPr>
                            <w:sz w:val="14"/>
                          </w:rPr>
                        </w:pPr>
                        <w:r>
                          <w:rPr>
                            <w:w w:val="100"/>
                            <w:sz w:val="14"/>
                          </w:rPr>
                          <w:t>-</w:t>
                        </w:r>
                      </w:p>
                    </w:tc>
                    <w:tc>
                      <w:tcPr>
                        <w:tcW w:w="1044" w:type="dxa"/>
                      </w:tcPr>
                      <w:p>
                        <w:pPr>
                          <w:pStyle w:val="TableParagraph"/>
                          <w:spacing w:before="21"/>
                          <w:ind w:right="95"/>
                          <w:rPr>
                            <w:sz w:val="14"/>
                          </w:rPr>
                        </w:pPr>
                        <w:r>
                          <w:rPr>
                            <w:w w:val="100"/>
                            <w:sz w:val="14"/>
                          </w:rPr>
                          <w:t>-</w:t>
                        </w:r>
                      </w:p>
                    </w:tc>
                    <w:tc>
                      <w:tcPr>
                        <w:tcW w:w="1141" w:type="dxa"/>
                      </w:tcPr>
                      <w:p>
                        <w:pPr>
                          <w:pStyle w:val="TableParagraph"/>
                          <w:spacing w:before="21"/>
                          <w:ind w:right="147"/>
                          <w:rPr>
                            <w:sz w:val="14"/>
                          </w:rPr>
                        </w:pPr>
                        <w:r>
                          <w:rPr>
                            <w:w w:val="100"/>
                            <w:sz w:val="14"/>
                          </w:rPr>
                          <w:t>-</w:t>
                        </w:r>
                      </w:p>
                    </w:tc>
                    <w:tc>
                      <w:tcPr>
                        <w:tcW w:w="1012" w:type="dxa"/>
                      </w:tcPr>
                      <w:p>
                        <w:pPr>
                          <w:pStyle w:val="TableParagraph"/>
                          <w:spacing w:before="21"/>
                          <w:ind w:right="110"/>
                          <w:rPr>
                            <w:sz w:val="14"/>
                          </w:rPr>
                        </w:pPr>
                        <w:r>
                          <w:rPr>
                            <w:sz w:val="14"/>
                          </w:rPr>
                          <w:t>9,928</w:t>
                        </w:r>
                      </w:p>
                    </w:tc>
                    <w:tc>
                      <w:tcPr>
                        <w:tcW w:w="1182" w:type="dxa"/>
                      </w:tcPr>
                      <w:p>
                        <w:pPr>
                          <w:pStyle w:val="TableParagraph"/>
                          <w:spacing w:before="21"/>
                          <w:ind w:right="158"/>
                          <w:rPr>
                            <w:sz w:val="14"/>
                          </w:rPr>
                        </w:pPr>
                        <w:r>
                          <w:rPr>
                            <w:w w:val="100"/>
                            <w:sz w:val="14"/>
                          </w:rPr>
                          <w:t>-</w:t>
                        </w:r>
                      </w:p>
                    </w:tc>
                    <w:tc>
                      <w:tcPr>
                        <w:tcW w:w="1085" w:type="dxa"/>
                      </w:tcPr>
                      <w:p>
                        <w:pPr>
                          <w:pStyle w:val="TableParagraph"/>
                          <w:spacing w:before="21"/>
                          <w:ind w:right="195"/>
                          <w:rPr>
                            <w:sz w:val="14"/>
                          </w:rPr>
                        </w:pPr>
                        <w:r>
                          <w:rPr>
                            <w:sz w:val="14"/>
                          </w:rPr>
                          <w:t>2,235</w:t>
                        </w:r>
                      </w:p>
                    </w:tc>
                    <w:tc>
                      <w:tcPr>
                        <w:tcW w:w="1087" w:type="dxa"/>
                      </w:tcPr>
                      <w:p>
                        <w:pPr>
                          <w:pStyle w:val="TableParagraph"/>
                          <w:spacing w:before="21"/>
                          <w:ind w:right="233"/>
                          <w:rPr>
                            <w:sz w:val="14"/>
                          </w:rPr>
                        </w:pPr>
                        <w:r>
                          <w:rPr>
                            <w:sz w:val="14"/>
                          </w:rPr>
                          <w:t>64</w:t>
                        </w:r>
                      </w:p>
                    </w:tc>
                    <w:tc>
                      <w:tcPr>
                        <w:tcW w:w="884" w:type="dxa"/>
                      </w:tcPr>
                      <w:p>
                        <w:pPr>
                          <w:pStyle w:val="TableParagraph"/>
                          <w:spacing w:before="21"/>
                          <w:ind w:right="68"/>
                          <w:rPr>
                            <w:sz w:val="14"/>
                          </w:rPr>
                        </w:pPr>
                        <w:r>
                          <w:rPr>
                            <w:sz w:val="14"/>
                          </w:rPr>
                          <w:t>90,628</w:t>
                        </w:r>
                      </w:p>
                    </w:tc>
                  </w:tr>
                  <w:tr>
                    <w:trPr>
                      <w:trHeight w:val="218" w:hRule="exact"/>
                    </w:trPr>
                    <w:tc>
                      <w:tcPr>
                        <w:tcW w:w="2795" w:type="dxa"/>
                      </w:tcPr>
                      <w:p>
                        <w:pPr>
                          <w:pStyle w:val="TableParagraph"/>
                          <w:spacing w:before="22"/>
                          <w:ind w:left="35" w:right="522"/>
                          <w:jc w:val="left"/>
                          <w:rPr>
                            <w:sz w:val="14"/>
                          </w:rPr>
                        </w:pPr>
                        <w:r>
                          <w:rPr>
                            <w:sz w:val="14"/>
                          </w:rPr>
                          <w:t>Disposals</w:t>
                        </w:r>
                      </w:p>
                    </w:tc>
                    <w:tc>
                      <w:tcPr>
                        <w:tcW w:w="1160" w:type="dxa"/>
                      </w:tcPr>
                      <w:p>
                        <w:pPr>
                          <w:pStyle w:val="TableParagraph"/>
                          <w:spacing w:before="21"/>
                          <w:ind w:right="133"/>
                          <w:rPr>
                            <w:sz w:val="14"/>
                          </w:rPr>
                        </w:pPr>
                        <w:r>
                          <w:rPr>
                            <w:sz w:val="14"/>
                          </w:rPr>
                          <w:t>(18,620)</w:t>
                        </w:r>
                      </w:p>
                    </w:tc>
                    <w:tc>
                      <w:tcPr>
                        <w:tcW w:w="994" w:type="dxa"/>
                      </w:tcPr>
                      <w:p>
                        <w:pPr>
                          <w:pStyle w:val="TableParagraph"/>
                          <w:spacing w:before="21"/>
                          <w:ind w:right="78"/>
                          <w:rPr>
                            <w:sz w:val="14"/>
                          </w:rPr>
                        </w:pPr>
                        <w:r>
                          <w:rPr>
                            <w:sz w:val="14"/>
                          </w:rPr>
                          <w:t>(250)</w:t>
                        </w:r>
                      </w:p>
                    </w:tc>
                    <w:tc>
                      <w:tcPr>
                        <w:tcW w:w="1069" w:type="dxa"/>
                      </w:tcPr>
                      <w:p>
                        <w:pPr>
                          <w:pStyle w:val="TableParagraph"/>
                          <w:spacing w:before="21"/>
                          <w:ind w:right="145"/>
                          <w:rPr>
                            <w:sz w:val="14"/>
                          </w:rPr>
                        </w:pPr>
                        <w:r>
                          <w:rPr>
                            <w:w w:val="100"/>
                            <w:sz w:val="14"/>
                          </w:rPr>
                          <w:t>-</w:t>
                        </w:r>
                      </w:p>
                    </w:tc>
                    <w:tc>
                      <w:tcPr>
                        <w:tcW w:w="1004" w:type="dxa"/>
                      </w:tcPr>
                      <w:p>
                        <w:pPr>
                          <w:pStyle w:val="TableParagraph"/>
                          <w:spacing w:before="21"/>
                          <w:ind w:right="53"/>
                          <w:rPr>
                            <w:sz w:val="14"/>
                          </w:rPr>
                        </w:pPr>
                        <w:r>
                          <w:rPr>
                            <w:sz w:val="14"/>
                          </w:rPr>
                          <w:t>(4,998)</w:t>
                        </w:r>
                      </w:p>
                    </w:tc>
                    <w:tc>
                      <w:tcPr>
                        <w:tcW w:w="1044" w:type="dxa"/>
                      </w:tcPr>
                      <w:p>
                        <w:pPr>
                          <w:pStyle w:val="TableParagraph"/>
                          <w:spacing w:before="21"/>
                          <w:ind w:right="95"/>
                          <w:rPr>
                            <w:sz w:val="14"/>
                          </w:rPr>
                        </w:pPr>
                        <w:r>
                          <w:rPr>
                            <w:w w:val="100"/>
                            <w:sz w:val="14"/>
                          </w:rPr>
                          <w:t>-</w:t>
                        </w:r>
                      </w:p>
                    </w:tc>
                    <w:tc>
                      <w:tcPr>
                        <w:tcW w:w="1141" w:type="dxa"/>
                      </w:tcPr>
                      <w:p>
                        <w:pPr>
                          <w:pStyle w:val="TableParagraph"/>
                          <w:spacing w:before="21"/>
                          <w:ind w:right="147"/>
                          <w:rPr>
                            <w:sz w:val="14"/>
                          </w:rPr>
                        </w:pPr>
                        <w:r>
                          <w:rPr>
                            <w:w w:val="100"/>
                            <w:sz w:val="14"/>
                          </w:rPr>
                          <w:t>-</w:t>
                        </w:r>
                      </w:p>
                    </w:tc>
                    <w:tc>
                      <w:tcPr>
                        <w:tcW w:w="1012" w:type="dxa"/>
                      </w:tcPr>
                      <w:p>
                        <w:pPr>
                          <w:pStyle w:val="TableParagraph"/>
                          <w:spacing w:before="21"/>
                          <w:ind w:right="63"/>
                          <w:rPr>
                            <w:sz w:val="14"/>
                          </w:rPr>
                        </w:pPr>
                        <w:r>
                          <w:rPr>
                            <w:sz w:val="14"/>
                          </w:rPr>
                          <w:t>(726)</w:t>
                        </w:r>
                      </w:p>
                    </w:tc>
                    <w:tc>
                      <w:tcPr>
                        <w:tcW w:w="1182" w:type="dxa"/>
                      </w:tcPr>
                      <w:p>
                        <w:pPr>
                          <w:pStyle w:val="TableParagraph"/>
                          <w:spacing w:before="21"/>
                          <w:ind w:right="158"/>
                          <w:rPr>
                            <w:sz w:val="14"/>
                          </w:rPr>
                        </w:pPr>
                        <w:r>
                          <w:rPr>
                            <w:w w:val="100"/>
                            <w:sz w:val="14"/>
                          </w:rPr>
                          <w:t>-</w:t>
                        </w:r>
                      </w:p>
                    </w:tc>
                    <w:tc>
                      <w:tcPr>
                        <w:tcW w:w="1085" w:type="dxa"/>
                      </w:tcPr>
                      <w:p>
                        <w:pPr>
                          <w:pStyle w:val="TableParagraph"/>
                          <w:spacing w:before="21"/>
                          <w:ind w:right="148"/>
                          <w:rPr>
                            <w:sz w:val="14"/>
                          </w:rPr>
                        </w:pPr>
                        <w:r>
                          <w:rPr>
                            <w:sz w:val="14"/>
                          </w:rPr>
                          <w:t>(453)</w:t>
                        </w:r>
                      </w:p>
                    </w:tc>
                    <w:tc>
                      <w:tcPr>
                        <w:tcW w:w="1087" w:type="dxa"/>
                      </w:tcPr>
                      <w:p>
                        <w:pPr>
                          <w:pStyle w:val="TableParagraph"/>
                          <w:spacing w:before="21"/>
                          <w:ind w:right="186"/>
                          <w:rPr>
                            <w:sz w:val="14"/>
                          </w:rPr>
                        </w:pPr>
                        <w:r>
                          <w:rPr>
                            <w:sz w:val="14"/>
                          </w:rPr>
                          <w:t>(3)</w:t>
                        </w:r>
                      </w:p>
                    </w:tc>
                    <w:tc>
                      <w:tcPr>
                        <w:tcW w:w="884" w:type="dxa"/>
                      </w:tcPr>
                      <w:p>
                        <w:pPr>
                          <w:pStyle w:val="TableParagraph"/>
                          <w:spacing w:before="21"/>
                          <w:ind w:right="22"/>
                          <w:rPr>
                            <w:sz w:val="14"/>
                          </w:rPr>
                        </w:pPr>
                        <w:r>
                          <w:rPr>
                            <w:sz w:val="14"/>
                          </w:rPr>
                          <w:t>(25,050)</w:t>
                        </w:r>
                      </w:p>
                    </w:tc>
                  </w:tr>
                  <w:tr>
                    <w:trPr>
                      <w:trHeight w:val="218" w:hRule="exact"/>
                    </w:trPr>
                    <w:tc>
                      <w:tcPr>
                        <w:tcW w:w="2795" w:type="dxa"/>
                      </w:tcPr>
                      <w:p>
                        <w:pPr>
                          <w:pStyle w:val="TableParagraph"/>
                          <w:spacing w:before="22"/>
                          <w:ind w:left="35" w:right="522"/>
                          <w:jc w:val="left"/>
                          <w:rPr>
                            <w:sz w:val="14"/>
                          </w:rPr>
                        </w:pPr>
                        <w:r>
                          <w:rPr>
                            <w:sz w:val="14"/>
                          </w:rPr>
                          <w:t>Depreciation Charge</w:t>
                        </w:r>
                      </w:p>
                    </w:tc>
                    <w:tc>
                      <w:tcPr>
                        <w:tcW w:w="1160" w:type="dxa"/>
                      </w:tcPr>
                      <w:p>
                        <w:pPr>
                          <w:pStyle w:val="TableParagraph"/>
                          <w:spacing w:before="21"/>
                          <w:ind w:right="180"/>
                          <w:rPr>
                            <w:sz w:val="14"/>
                          </w:rPr>
                        </w:pPr>
                        <w:r>
                          <w:rPr>
                            <w:w w:val="100"/>
                            <w:sz w:val="14"/>
                          </w:rPr>
                          <w:t>-</w:t>
                        </w:r>
                      </w:p>
                    </w:tc>
                    <w:tc>
                      <w:tcPr>
                        <w:tcW w:w="994" w:type="dxa"/>
                      </w:tcPr>
                      <w:p>
                        <w:pPr>
                          <w:pStyle w:val="TableParagraph"/>
                          <w:spacing w:before="21"/>
                          <w:ind w:right="125"/>
                          <w:rPr>
                            <w:sz w:val="14"/>
                          </w:rPr>
                        </w:pPr>
                        <w:r>
                          <w:rPr>
                            <w:w w:val="100"/>
                            <w:sz w:val="14"/>
                          </w:rPr>
                          <w:t>-</w:t>
                        </w:r>
                      </w:p>
                    </w:tc>
                    <w:tc>
                      <w:tcPr>
                        <w:tcW w:w="1069" w:type="dxa"/>
                      </w:tcPr>
                      <w:p>
                        <w:pPr>
                          <w:pStyle w:val="TableParagraph"/>
                          <w:spacing w:before="21"/>
                          <w:ind w:right="145"/>
                          <w:rPr>
                            <w:sz w:val="14"/>
                          </w:rPr>
                        </w:pPr>
                        <w:r>
                          <w:rPr>
                            <w:w w:val="100"/>
                            <w:sz w:val="14"/>
                          </w:rPr>
                          <w:t>-</w:t>
                        </w:r>
                      </w:p>
                    </w:tc>
                    <w:tc>
                      <w:tcPr>
                        <w:tcW w:w="1004" w:type="dxa"/>
                      </w:tcPr>
                      <w:p>
                        <w:pPr>
                          <w:pStyle w:val="TableParagraph"/>
                          <w:spacing w:before="21"/>
                          <w:ind w:right="53"/>
                          <w:rPr>
                            <w:sz w:val="14"/>
                          </w:rPr>
                        </w:pPr>
                        <w:r>
                          <w:rPr>
                            <w:sz w:val="14"/>
                          </w:rPr>
                          <w:t>(21,561)</w:t>
                        </w:r>
                      </w:p>
                    </w:tc>
                    <w:tc>
                      <w:tcPr>
                        <w:tcW w:w="1044" w:type="dxa"/>
                      </w:tcPr>
                      <w:p>
                        <w:pPr>
                          <w:pStyle w:val="TableParagraph"/>
                          <w:spacing w:before="21"/>
                          <w:ind w:right="48"/>
                          <w:rPr>
                            <w:sz w:val="14"/>
                          </w:rPr>
                        </w:pPr>
                        <w:r>
                          <w:rPr>
                            <w:sz w:val="14"/>
                          </w:rPr>
                          <w:t>(2,489)</w:t>
                        </w:r>
                      </w:p>
                    </w:tc>
                    <w:tc>
                      <w:tcPr>
                        <w:tcW w:w="1141" w:type="dxa"/>
                      </w:tcPr>
                      <w:p>
                        <w:pPr>
                          <w:pStyle w:val="TableParagraph"/>
                          <w:spacing w:before="21"/>
                          <w:ind w:right="147"/>
                          <w:rPr>
                            <w:sz w:val="14"/>
                          </w:rPr>
                        </w:pPr>
                        <w:r>
                          <w:rPr>
                            <w:w w:val="100"/>
                            <w:sz w:val="14"/>
                          </w:rPr>
                          <w:t>-</w:t>
                        </w:r>
                      </w:p>
                    </w:tc>
                    <w:tc>
                      <w:tcPr>
                        <w:tcW w:w="1012" w:type="dxa"/>
                      </w:tcPr>
                      <w:p>
                        <w:pPr>
                          <w:pStyle w:val="TableParagraph"/>
                          <w:spacing w:before="21"/>
                          <w:ind w:right="63"/>
                          <w:rPr>
                            <w:sz w:val="14"/>
                          </w:rPr>
                        </w:pPr>
                        <w:r>
                          <w:rPr>
                            <w:sz w:val="14"/>
                          </w:rPr>
                          <w:t>(9,692)</w:t>
                        </w:r>
                      </w:p>
                    </w:tc>
                    <w:tc>
                      <w:tcPr>
                        <w:tcW w:w="1182" w:type="dxa"/>
                      </w:tcPr>
                      <w:p>
                        <w:pPr>
                          <w:pStyle w:val="TableParagraph"/>
                          <w:spacing w:before="21"/>
                          <w:ind w:right="111"/>
                          <w:rPr>
                            <w:sz w:val="14"/>
                          </w:rPr>
                        </w:pPr>
                        <w:r>
                          <w:rPr>
                            <w:sz w:val="14"/>
                          </w:rPr>
                          <w:t>(2,090)</w:t>
                        </w:r>
                      </w:p>
                    </w:tc>
                    <w:tc>
                      <w:tcPr>
                        <w:tcW w:w="1085" w:type="dxa"/>
                      </w:tcPr>
                      <w:p>
                        <w:pPr>
                          <w:pStyle w:val="TableParagraph"/>
                          <w:spacing w:before="21"/>
                          <w:ind w:right="148"/>
                          <w:rPr>
                            <w:sz w:val="14"/>
                          </w:rPr>
                        </w:pPr>
                        <w:r>
                          <w:rPr>
                            <w:sz w:val="14"/>
                          </w:rPr>
                          <w:t>(3,322)</w:t>
                        </w:r>
                      </w:p>
                    </w:tc>
                    <w:tc>
                      <w:tcPr>
                        <w:tcW w:w="1087" w:type="dxa"/>
                      </w:tcPr>
                      <w:p>
                        <w:pPr>
                          <w:pStyle w:val="TableParagraph"/>
                          <w:spacing w:before="21"/>
                          <w:ind w:right="233"/>
                          <w:rPr>
                            <w:sz w:val="14"/>
                          </w:rPr>
                        </w:pPr>
                        <w:r>
                          <w:rPr>
                            <w:w w:val="100"/>
                            <w:sz w:val="14"/>
                          </w:rPr>
                          <w:t>-</w:t>
                        </w:r>
                      </w:p>
                    </w:tc>
                    <w:tc>
                      <w:tcPr>
                        <w:tcW w:w="884" w:type="dxa"/>
                      </w:tcPr>
                      <w:p>
                        <w:pPr>
                          <w:pStyle w:val="TableParagraph"/>
                          <w:spacing w:before="21"/>
                          <w:ind w:right="22"/>
                          <w:rPr>
                            <w:sz w:val="14"/>
                          </w:rPr>
                        </w:pPr>
                        <w:r>
                          <w:rPr>
                            <w:sz w:val="14"/>
                          </w:rPr>
                          <w:t>(39,154)</w:t>
                        </w:r>
                      </w:p>
                    </w:tc>
                  </w:tr>
                  <w:tr>
                    <w:trPr>
                      <w:trHeight w:val="218" w:hRule="exact"/>
                    </w:trPr>
                    <w:tc>
                      <w:tcPr>
                        <w:tcW w:w="2795" w:type="dxa"/>
                      </w:tcPr>
                      <w:p>
                        <w:pPr>
                          <w:pStyle w:val="TableParagraph"/>
                          <w:spacing w:before="22"/>
                          <w:ind w:left="35" w:right="522"/>
                          <w:jc w:val="left"/>
                          <w:rPr>
                            <w:sz w:val="14"/>
                          </w:rPr>
                        </w:pPr>
                        <w:r>
                          <w:rPr>
                            <w:sz w:val="14"/>
                          </w:rPr>
                          <w:t>Non-Cash Adjustments</w:t>
                        </w:r>
                      </w:p>
                    </w:tc>
                    <w:tc>
                      <w:tcPr>
                        <w:tcW w:w="1160" w:type="dxa"/>
                      </w:tcPr>
                      <w:p>
                        <w:pPr>
                          <w:pStyle w:val="TableParagraph"/>
                          <w:spacing w:before="21"/>
                          <w:ind w:right="180"/>
                          <w:rPr>
                            <w:sz w:val="14"/>
                          </w:rPr>
                        </w:pPr>
                        <w:r>
                          <w:rPr>
                            <w:w w:val="100"/>
                            <w:sz w:val="14"/>
                          </w:rPr>
                          <w:t>-</w:t>
                        </w:r>
                      </w:p>
                    </w:tc>
                    <w:tc>
                      <w:tcPr>
                        <w:tcW w:w="994" w:type="dxa"/>
                      </w:tcPr>
                      <w:p>
                        <w:pPr>
                          <w:pStyle w:val="TableParagraph"/>
                          <w:spacing w:before="21"/>
                          <w:ind w:right="125"/>
                          <w:rPr>
                            <w:sz w:val="14"/>
                          </w:rPr>
                        </w:pPr>
                        <w:r>
                          <w:rPr>
                            <w:w w:val="100"/>
                            <w:sz w:val="14"/>
                          </w:rPr>
                          <w:t>-</w:t>
                        </w:r>
                      </w:p>
                    </w:tc>
                    <w:tc>
                      <w:tcPr>
                        <w:tcW w:w="1069" w:type="dxa"/>
                      </w:tcPr>
                      <w:p>
                        <w:pPr>
                          <w:pStyle w:val="TableParagraph"/>
                          <w:spacing w:before="21"/>
                          <w:ind w:right="145"/>
                          <w:rPr>
                            <w:sz w:val="14"/>
                          </w:rPr>
                        </w:pPr>
                        <w:r>
                          <w:rPr>
                            <w:w w:val="100"/>
                            <w:sz w:val="14"/>
                          </w:rPr>
                          <w:t>-</w:t>
                        </w:r>
                      </w:p>
                    </w:tc>
                    <w:tc>
                      <w:tcPr>
                        <w:tcW w:w="1004" w:type="dxa"/>
                      </w:tcPr>
                      <w:p>
                        <w:pPr>
                          <w:pStyle w:val="TableParagraph"/>
                          <w:spacing w:before="21"/>
                          <w:ind w:right="53"/>
                          <w:rPr>
                            <w:sz w:val="14"/>
                          </w:rPr>
                        </w:pPr>
                        <w:r>
                          <w:rPr>
                            <w:sz w:val="14"/>
                          </w:rPr>
                          <w:t>(11)</w:t>
                        </w:r>
                      </w:p>
                    </w:tc>
                    <w:tc>
                      <w:tcPr>
                        <w:tcW w:w="1044" w:type="dxa"/>
                      </w:tcPr>
                      <w:p>
                        <w:pPr>
                          <w:pStyle w:val="TableParagraph"/>
                          <w:spacing w:before="21"/>
                          <w:ind w:right="95"/>
                          <w:rPr>
                            <w:sz w:val="14"/>
                          </w:rPr>
                        </w:pPr>
                        <w:r>
                          <w:rPr>
                            <w:w w:val="100"/>
                            <w:sz w:val="14"/>
                          </w:rPr>
                          <w:t>-</w:t>
                        </w:r>
                      </w:p>
                    </w:tc>
                    <w:tc>
                      <w:tcPr>
                        <w:tcW w:w="1141" w:type="dxa"/>
                      </w:tcPr>
                      <w:p>
                        <w:pPr>
                          <w:pStyle w:val="TableParagraph"/>
                          <w:spacing w:before="21"/>
                          <w:ind w:right="147"/>
                          <w:rPr>
                            <w:sz w:val="14"/>
                          </w:rPr>
                        </w:pPr>
                        <w:r>
                          <w:rPr>
                            <w:w w:val="100"/>
                            <w:sz w:val="14"/>
                          </w:rPr>
                          <w:t>-</w:t>
                        </w:r>
                      </w:p>
                    </w:tc>
                    <w:tc>
                      <w:tcPr>
                        <w:tcW w:w="1012" w:type="dxa"/>
                      </w:tcPr>
                      <w:p>
                        <w:pPr>
                          <w:pStyle w:val="TableParagraph"/>
                          <w:spacing w:before="21"/>
                          <w:ind w:right="63"/>
                          <w:rPr>
                            <w:sz w:val="14"/>
                          </w:rPr>
                        </w:pPr>
                        <w:r>
                          <w:rPr>
                            <w:sz w:val="14"/>
                          </w:rPr>
                          <w:t>(3)</w:t>
                        </w:r>
                      </w:p>
                    </w:tc>
                    <w:tc>
                      <w:tcPr>
                        <w:tcW w:w="1182" w:type="dxa"/>
                      </w:tcPr>
                      <w:p>
                        <w:pPr>
                          <w:pStyle w:val="TableParagraph"/>
                          <w:spacing w:before="21"/>
                          <w:ind w:right="158"/>
                          <w:rPr>
                            <w:sz w:val="14"/>
                          </w:rPr>
                        </w:pPr>
                        <w:r>
                          <w:rPr>
                            <w:sz w:val="14"/>
                          </w:rPr>
                          <w:t>29</w:t>
                        </w:r>
                      </w:p>
                    </w:tc>
                    <w:tc>
                      <w:tcPr>
                        <w:tcW w:w="1085" w:type="dxa"/>
                      </w:tcPr>
                      <w:p>
                        <w:pPr>
                          <w:pStyle w:val="TableParagraph"/>
                          <w:spacing w:before="21"/>
                          <w:ind w:right="195"/>
                          <w:rPr>
                            <w:sz w:val="14"/>
                          </w:rPr>
                        </w:pPr>
                        <w:r>
                          <w:rPr>
                            <w:w w:val="100"/>
                            <w:sz w:val="14"/>
                          </w:rPr>
                          <w:t>-</w:t>
                        </w:r>
                      </w:p>
                    </w:tc>
                    <w:tc>
                      <w:tcPr>
                        <w:tcW w:w="1087" w:type="dxa"/>
                      </w:tcPr>
                      <w:p>
                        <w:pPr>
                          <w:pStyle w:val="TableParagraph"/>
                          <w:spacing w:before="21"/>
                          <w:ind w:right="233"/>
                          <w:rPr>
                            <w:sz w:val="14"/>
                          </w:rPr>
                        </w:pPr>
                        <w:r>
                          <w:rPr>
                            <w:w w:val="100"/>
                            <w:sz w:val="14"/>
                          </w:rPr>
                          <w:t>-</w:t>
                        </w:r>
                      </w:p>
                    </w:tc>
                    <w:tc>
                      <w:tcPr>
                        <w:tcW w:w="884" w:type="dxa"/>
                      </w:tcPr>
                      <w:p>
                        <w:pPr>
                          <w:pStyle w:val="TableParagraph"/>
                          <w:spacing w:before="21"/>
                          <w:ind w:right="68"/>
                          <w:rPr>
                            <w:sz w:val="14"/>
                          </w:rPr>
                        </w:pPr>
                        <w:r>
                          <w:rPr>
                            <w:sz w:val="14"/>
                          </w:rPr>
                          <w:t>15</w:t>
                        </w:r>
                      </w:p>
                    </w:tc>
                  </w:tr>
                  <w:tr>
                    <w:trPr>
                      <w:trHeight w:val="377" w:hRule="exact"/>
                    </w:trPr>
                    <w:tc>
                      <w:tcPr>
                        <w:tcW w:w="2795" w:type="dxa"/>
                      </w:tcPr>
                      <w:p>
                        <w:pPr>
                          <w:pStyle w:val="TableParagraph"/>
                          <w:spacing w:before="20"/>
                          <w:ind w:left="35" w:right="522"/>
                          <w:jc w:val="left"/>
                          <w:rPr>
                            <w:sz w:val="14"/>
                          </w:rPr>
                        </w:pPr>
                        <w:r>
                          <w:rPr>
                            <w:sz w:val="14"/>
                          </w:rPr>
                          <w:t>Transfers to Freehold Buildings and Plant &amp; Equipment</w:t>
                        </w:r>
                      </w:p>
                    </w:tc>
                    <w:tc>
                      <w:tcPr>
                        <w:tcW w:w="1160" w:type="dxa"/>
                      </w:tcPr>
                      <w:p>
                        <w:pPr>
                          <w:pStyle w:val="TableParagraph"/>
                          <w:spacing w:before="7"/>
                          <w:jc w:val="left"/>
                          <w:rPr>
                            <w:b/>
                            <w:sz w:val="15"/>
                          </w:rPr>
                        </w:pPr>
                      </w:p>
                      <w:p>
                        <w:pPr>
                          <w:pStyle w:val="TableParagraph"/>
                          <w:ind w:right="133"/>
                          <w:rPr>
                            <w:sz w:val="14"/>
                          </w:rPr>
                        </w:pPr>
                        <w:r>
                          <w:rPr>
                            <w:sz w:val="14"/>
                          </w:rPr>
                          <w:t>(106,943)</w:t>
                        </w:r>
                      </w:p>
                    </w:tc>
                    <w:tc>
                      <w:tcPr>
                        <w:tcW w:w="994" w:type="dxa"/>
                      </w:tcPr>
                      <w:p>
                        <w:pPr>
                          <w:pStyle w:val="TableParagraph"/>
                          <w:spacing w:before="7"/>
                          <w:jc w:val="left"/>
                          <w:rPr>
                            <w:b/>
                            <w:sz w:val="15"/>
                          </w:rPr>
                        </w:pPr>
                      </w:p>
                      <w:p>
                        <w:pPr>
                          <w:pStyle w:val="TableParagraph"/>
                          <w:ind w:right="125"/>
                          <w:rPr>
                            <w:sz w:val="14"/>
                          </w:rPr>
                        </w:pPr>
                        <w:r>
                          <w:rPr>
                            <w:w w:val="100"/>
                            <w:sz w:val="14"/>
                          </w:rPr>
                          <w:t>-</w:t>
                        </w:r>
                      </w:p>
                    </w:tc>
                    <w:tc>
                      <w:tcPr>
                        <w:tcW w:w="1069" w:type="dxa"/>
                      </w:tcPr>
                      <w:p>
                        <w:pPr>
                          <w:pStyle w:val="TableParagraph"/>
                          <w:spacing w:before="7"/>
                          <w:jc w:val="left"/>
                          <w:rPr>
                            <w:b/>
                            <w:sz w:val="15"/>
                          </w:rPr>
                        </w:pPr>
                      </w:p>
                      <w:p>
                        <w:pPr>
                          <w:pStyle w:val="TableParagraph"/>
                          <w:ind w:right="145"/>
                          <w:rPr>
                            <w:sz w:val="14"/>
                          </w:rPr>
                        </w:pPr>
                        <w:r>
                          <w:rPr>
                            <w:w w:val="100"/>
                            <w:sz w:val="14"/>
                          </w:rPr>
                          <w:t>-</w:t>
                        </w:r>
                      </w:p>
                    </w:tc>
                    <w:tc>
                      <w:tcPr>
                        <w:tcW w:w="1004" w:type="dxa"/>
                      </w:tcPr>
                      <w:p>
                        <w:pPr>
                          <w:pStyle w:val="TableParagraph"/>
                          <w:spacing w:before="7"/>
                          <w:jc w:val="left"/>
                          <w:rPr>
                            <w:b/>
                            <w:sz w:val="15"/>
                          </w:rPr>
                        </w:pPr>
                      </w:p>
                      <w:p>
                        <w:pPr>
                          <w:pStyle w:val="TableParagraph"/>
                          <w:ind w:right="101"/>
                          <w:rPr>
                            <w:sz w:val="14"/>
                          </w:rPr>
                        </w:pPr>
                        <w:r>
                          <w:rPr>
                            <w:w w:val="100"/>
                            <w:sz w:val="14"/>
                          </w:rPr>
                          <w:t>-</w:t>
                        </w:r>
                      </w:p>
                    </w:tc>
                    <w:tc>
                      <w:tcPr>
                        <w:tcW w:w="1044" w:type="dxa"/>
                      </w:tcPr>
                      <w:p>
                        <w:pPr>
                          <w:pStyle w:val="TableParagraph"/>
                          <w:spacing w:before="7"/>
                          <w:jc w:val="left"/>
                          <w:rPr>
                            <w:b/>
                            <w:sz w:val="15"/>
                          </w:rPr>
                        </w:pPr>
                      </w:p>
                      <w:p>
                        <w:pPr>
                          <w:pStyle w:val="TableParagraph"/>
                          <w:ind w:right="95"/>
                          <w:rPr>
                            <w:sz w:val="14"/>
                          </w:rPr>
                        </w:pPr>
                        <w:r>
                          <w:rPr>
                            <w:w w:val="100"/>
                            <w:sz w:val="14"/>
                          </w:rPr>
                          <w:t>-</w:t>
                        </w:r>
                      </w:p>
                    </w:tc>
                    <w:tc>
                      <w:tcPr>
                        <w:tcW w:w="1141" w:type="dxa"/>
                      </w:tcPr>
                      <w:p>
                        <w:pPr>
                          <w:pStyle w:val="TableParagraph"/>
                          <w:spacing w:before="7"/>
                          <w:jc w:val="left"/>
                          <w:rPr>
                            <w:b/>
                            <w:sz w:val="15"/>
                          </w:rPr>
                        </w:pPr>
                      </w:p>
                      <w:p>
                        <w:pPr>
                          <w:pStyle w:val="TableParagraph"/>
                          <w:ind w:right="147"/>
                          <w:rPr>
                            <w:sz w:val="14"/>
                          </w:rPr>
                        </w:pPr>
                        <w:r>
                          <w:rPr>
                            <w:w w:val="100"/>
                            <w:sz w:val="14"/>
                          </w:rPr>
                          <w:t>-</w:t>
                        </w:r>
                      </w:p>
                    </w:tc>
                    <w:tc>
                      <w:tcPr>
                        <w:tcW w:w="1012" w:type="dxa"/>
                      </w:tcPr>
                      <w:p>
                        <w:pPr>
                          <w:pStyle w:val="TableParagraph"/>
                          <w:spacing w:before="7"/>
                          <w:jc w:val="left"/>
                          <w:rPr>
                            <w:b/>
                            <w:sz w:val="15"/>
                          </w:rPr>
                        </w:pPr>
                      </w:p>
                      <w:p>
                        <w:pPr>
                          <w:pStyle w:val="TableParagraph"/>
                          <w:ind w:right="110"/>
                          <w:rPr>
                            <w:sz w:val="14"/>
                          </w:rPr>
                        </w:pPr>
                        <w:r>
                          <w:rPr>
                            <w:w w:val="100"/>
                            <w:sz w:val="14"/>
                          </w:rPr>
                          <w:t>-</w:t>
                        </w:r>
                      </w:p>
                    </w:tc>
                    <w:tc>
                      <w:tcPr>
                        <w:tcW w:w="1182" w:type="dxa"/>
                      </w:tcPr>
                      <w:p>
                        <w:pPr>
                          <w:pStyle w:val="TableParagraph"/>
                          <w:spacing w:before="7"/>
                          <w:jc w:val="left"/>
                          <w:rPr>
                            <w:b/>
                            <w:sz w:val="15"/>
                          </w:rPr>
                        </w:pPr>
                      </w:p>
                      <w:p>
                        <w:pPr>
                          <w:pStyle w:val="TableParagraph"/>
                          <w:ind w:right="158"/>
                          <w:rPr>
                            <w:sz w:val="14"/>
                          </w:rPr>
                        </w:pPr>
                        <w:r>
                          <w:rPr>
                            <w:w w:val="100"/>
                            <w:sz w:val="14"/>
                          </w:rPr>
                          <w:t>-</w:t>
                        </w:r>
                      </w:p>
                    </w:tc>
                    <w:tc>
                      <w:tcPr>
                        <w:tcW w:w="1085" w:type="dxa"/>
                      </w:tcPr>
                      <w:p>
                        <w:pPr>
                          <w:pStyle w:val="TableParagraph"/>
                          <w:spacing w:before="7"/>
                          <w:jc w:val="left"/>
                          <w:rPr>
                            <w:b/>
                            <w:sz w:val="15"/>
                          </w:rPr>
                        </w:pPr>
                      </w:p>
                      <w:p>
                        <w:pPr>
                          <w:pStyle w:val="TableParagraph"/>
                          <w:ind w:right="195"/>
                          <w:rPr>
                            <w:sz w:val="14"/>
                          </w:rPr>
                        </w:pPr>
                        <w:r>
                          <w:rPr>
                            <w:w w:val="100"/>
                            <w:sz w:val="14"/>
                          </w:rPr>
                          <w:t>-</w:t>
                        </w:r>
                      </w:p>
                    </w:tc>
                    <w:tc>
                      <w:tcPr>
                        <w:tcW w:w="1087" w:type="dxa"/>
                      </w:tcPr>
                      <w:p>
                        <w:pPr>
                          <w:pStyle w:val="TableParagraph"/>
                          <w:spacing w:before="7"/>
                          <w:jc w:val="left"/>
                          <w:rPr>
                            <w:b/>
                            <w:sz w:val="15"/>
                          </w:rPr>
                        </w:pPr>
                      </w:p>
                      <w:p>
                        <w:pPr>
                          <w:pStyle w:val="TableParagraph"/>
                          <w:ind w:right="233"/>
                          <w:rPr>
                            <w:sz w:val="14"/>
                          </w:rPr>
                        </w:pPr>
                        <w:r>
                          <w:rPr>
                            <w:w w:val="100"/>
                            <w:sz w:val="14"/>
                          </w:rPr>
                          <w:t>-</w:t>
                        </w:r>
                      </w:p>
                    </w:tc>
                    <w:tc>
                      <w:tcPr>
                        <w:tcW w:w="884" w:type="dxa"/>
                      </w:tcPr>
                      <w:p>
                        <w:pPr>
                          <w:pStyle w:val="TableParagraph"/>
                          <w:spacing w:before="7"/>
                          <w:jc w:val="left"/>
                          <w:rPr>
                            <w:b/>
                            <w:sz w:val="15"/>
                          </w:rPr>
                        </w:pPr>
                      </w:p>
                      <w:p>
                        <w:pPr>
                          <w:pStyle w:val="TableParagraph"/>
                          <w:ind w:right="22"/>
                          <w:rPr>
                            <w:sz w:val="14"/>
                          </w:rPr>
                        </w:pPr>
                        <w:r>
                          <w:rPr>
                            <w:sz w:val="14"/>
                          </w:rPr>
                          <w:t>(106,943)</w:t>
                        </w:r>
                      </w:p>
                    </w:tc>
                  </w:tr>
                  <w:tr>
                    <w:trPr>
                      <w:trHeight w:val="377" w:hRule="exact"/>
                    </w:trPr>
                    <w:tc>
                      <w:tcPr>
                        <w:tcW w:w="2795" w:type="dxa"/>
                      </w:tcPr>
                      <w:p>
                        <w:pPr>
                          <w:pStyle w:val="TableParagraph"/>
                          <w:spacing w:before="20"/>
                          <w:ind w:left="35" w:right="857"/>
                          <w:jc w:val="left"/>
                          <w:rPr>
                            <w:sz w:val="14"/>
                          </w:rPr>
                        </w:pPr>
                        <w:r>
                          <w:rPr>
                            <w:sz w:val="14"/>
                          </w:rPr>
                          <w:t>Transfers from Construction in Progress</w:t>
                        </w:r>
                      </w:p>
                    </w:tc>
                    <w:tc>
                      <w:tcPr>
                        <w:tcW w:w="1160" w:type="dxa"/>
                      </w:tcPr>
                      <w:p>
                        <w:pPr>
                          <w:pStyle w:val="TableParagraph"/>
                          <w:spacing w:before="7"/>
                          <w:jc w:val="left"/>
                          <w:rPr>
                            <w:b/>
                            <w:sz w:val="15"/>
                          </w:rPr>
                        </w:pPr>
                      </w:p>
                      <w:p>
                        <w:pPr>
                          <w:pStyle w:val="TableParagraph"/>
                          <w:ind w:right="180"/>
                          <w:rPr>
                            <w:sz w:val="14"/>
                          </w:rPr>
                        </w:pPr>
                        <w:r>
                          <w:rPr>
                            <w:w w:val="100"/>
                            <w:sz w:val="14"/>
                          </w:rPr>
                          <w:t>-</w:t>
                        </w:r>
                      </w:p>
                    </w:tc>
                    <w:tc>
                      <w:tcPr>
                        <w:tcW w:w="994" w:type="dxa"/>
                      </w:tcPr>
                      <w:p>
                        <w:pPr>
                          <w:pStyle w:val="TableParagraph"/>
                          <w:spacing w:before="7"/>
                          <w:jc w:val="left"/>
                          <w:rPr>
                            <w:b/>
                            <w:sz w:val="15"/>
                          </w:rPr>
                        </w:pPr>
                      </w:p>
                      <w:p>
                        <w:pPr>
                          <w:pStyle w:val="TableParagraph"/>
                          <w:ind w:right="125"/>
                          <w:rPr>
                            <w:sz w:val="14"/>
                          </w:rPr>
                        </w:pPr>
                        <w:r>
                          <w:rPr>
                            <w:sz w:val="14"/>
                          </w:rPr>
                          <w:t>1,943</w:t>
                        </w:r>
                      </w:p>
                    </w:tc>
                    <w:tc>
                      <w:tcPr>
                        <w:tcW w:w="1069" w:type="dxa"/>
                      </w:tcPr>
                      <w:p>
                        <w:pPr>
                          <w:pStyle w:val="TableParagraph"/>
                          <w:spacing w:before="7"/>
                          <w:jc w:val="left"/>
                          <w:rPr>
                            <w:b/>
                            <w:sz w:val="15"/>
                          </w:rPr>
                        </w:pPr>
                      </w:p>
                      <w:p>
                        <w:pPr>
                          <w:pStyle w:val="TableParagraph"/>
                          <w:ind w:right="145"/>
                          <w:rPr>
                            <w:sz w:val="14"/>
                          </w:rPr>
                        </w:pPr>
                        <w:r>
                          <w:rPr>
                            <w:w w:val="100"/>
                            <w:sz w:val="14"/>
                          </w:rPr>
                          <w:t>-</w:t>
                        </w:r>
                      </w:p>
                    </w:tc>
                    <w:tc>
                      <w:tcPr>
                        <w:tcW w:w="1004" w:type="dxa"/>
                      </w:tcPr>
                      <w:p>
                        <w:pPr>
                          <w:pStyle w:val="TableParagraph"/>
                          <w:spacing w:before="7"/>
                          <w:jc w:val="left"/>
                          <w:rPr>
                            <w:b/>
                            <w:sz w:val="15"/>
                          </w:rPr>
                        </w:pPr>
                      </w:p>
                      <w:p>
                        <w:pPr>
                          <w:pStyle w:val="TableParagraph"/>
                          <w:ind w:right="99"/>
                          <w:rPr>
                            <w:sz w:val="14"/>
                          </w:rPr>
                        </w:pPr>
                        <w:r>
                          <w:rPr>
                            <w:sz w:val="14"/>
                          </w:rPr>
                          <w:t>96,688</w:t>
                        </w:r>
                      </w:p>
                    </w:tc>
                    <w:tc>
                      <w:tcPr>
                        <w:tcW w:w="1044" w:type="dxa"/>
                      </w:tcPr>
                      <w:p>
                        <w:pPr>
                          <w:pStyle w:val="TableParagraph"/>
                          <w:spacing w:before="7"/>
                          <w:jc w:val="left"/>
                          <w:rPr>
                            <w:b/>
                            <w:sz w:val="15"/>
                          </w:rPr>
                        </w:pPr>
                      </w:p>
                      <w:p>
                        <w:pPr>
                          <w:pStyle w:val="TableParagraph"/>
                          <w:ind w:right="95"/>
                          <w:rPr>
                            <w:sz w:val="14"/>
                          </w:rPr>
                        </w:pPr>
                        <w:r>
                          <w:rPr>
                            <w:sz w:val="14"/>
                          </w:rPr>
                          <w:t>5,295</w:t>
                        </w:r>
                      </w:p>
                    </w:tc>
                    <w:tc>
                      <w:tcPr>
                        <w:tcW w:w="1141" w:type="dxa"/>
                      </w:tcPr>
                      <w:p>
                        <w:pPr>
                          <w:pStyle w:val="TableParagraph"/>
                          <w:spacing w:before="7"/>
                          <w:jc w:val="left"/>
                          <w:rPr>
                            <w:b/>
                            <w:sz w:val="15"/>
                          </w:rPr>
                        </w:pPr>
                      </w:p>
                      <w:p>
                        <w:pPr>
                          <w:pStyle w:val="TableParagraph"/>
                          <w:ind w:right="147"/>
                          <w:rPr>
                            <w:sz w:val="14"/>
                          </w:rPr>
                        </w:pPr>
                        <w:r>
                          <w:rPr>
                            <w:w w:val="100"/>
                            <w:sz w:val="14"/>
                          </w:rPr>
                          <w:t>-</w:t>
                        </w:r>
                      </w:p>
                    </w:tc>
                    <w:tc>
                      <w:tcPr>
                        <w:tcW w:w="1012" w:type="dxa"/>
                      </w:tcPr>
                      <w:p>
                        <w:pPr>
                          <w:pStyle w:val="TableParagraph"/>
                          <w:spacing w:before="7"/>
                          <w:jc w:val="left"/>
                          <w:rPr>
                            <w:b/>
                            <w:sz w:val="15"/>
                          </w:rPr>
                        </w:pPr>
                      </w:p>
                      <w:p>
                        <w:pPr>
                          <w:pStyle w:val="TableParagraph"/>
                          <w:ind w:right="110"/>
                          <w:rPr>
                            <w:sz w:val="14"/>
                          </w:rPr>
                        </w:pPr>
                        <w:r>
                          <w:rPr>
                            <w:sz w:val="14"/>
                          </w:rPr>
                          <w:t>39</w:t>
                        </w:r>
                      </w:p>
                    </w:tc>
                    <w:tc>
                      <w:tcPr>
                        <w:tcW w:w="1182" w:type="dxa"/>
                      </w:tcPr>
                      <w:p>
                        <w:pPr>
                          <w:pStyle w:val="TableParagraph"/>
                          <w:spacing w:before="7"/>
                          <w:jc w:val="left"/>
                          <w:rPr>
                            <w:b/>
                            <w:sz w:val="15"/>
                          </w:rPr>
                        </w:pPr>
                      </w:p>
                      <w:p>
                        <w:pPr>
                          <w:pStyle w:val="TableParagraph"/>
                          <w:ind w:right="158"/>
                          <w:rPr>
                            <w:sz w:val="14"/>
                          </w:rPr>
                        </w:pPr>
                        <w:r>
                          <w:rPr>
                            <w:sz w:val="14"/>
                          </w:rPr>
                          <w:t>2,928</w:t>
                        </w:r>
                      </w:p>
                    </w:tc>
                    <w:tc>
                      <w:tcPr>
                        <w:tcW w:w="1085" w:type="dxa"/>
                      </w:tcPr>
                      <w:p>
                        <w:pPr>
                          <w:pStyle w:val="TableParagraph"/>
                          <w:spacing w:before="7"/>
                          <w:jc w:val="left"/>
                          <w:rPr>
                            <w:b/>
                            <w:sz w:val="15"/>
                          </w:rPr>
                        </w:pPr>
                      </w:p>
                      <w:p>
                        <w:pPr>
                          <w:pStyle w:val="TableParagraph"/>
                          <w:ind w:right="195"/>
                          <w:rPr>
                            <w:sz w:val="14"/>
                          </w:rPr>
                        </w:pPr>
                        <w:r>
                          <w:rPr>
                            <w:w w:val="100"/>
                            <w:sz w:val="14"/>
                          </w:rPr>
                          <w:t>-</w:t>
                        </w:r>
                      </w:p>
                    </w:tc>
                    <w:tc>
                      <w:tcPr>
                        <w:tcW w:w="1087" w:type="dxa"/>
                      </w:tcPr>
                      <w:p>
                        <w:pPr>
                          <w:pStyle w:val="TableParagraph"/>
                          <w:spacing w:before="7"/>
                          <w:jc w:val="left"/>
                          <w:rPr>
                            <w:b/>
                            <w:sz w:val="15"/>
                          </w:rPr>
                        </w:pPr>
                      </w:p>
                      <w:p>
                        <w:pPr>
                          <w:pStyle w:val="TableParagraph"/>
                          <w:ind w:right="233"/>
                          <w:rPr>
                            <w:sz w:val="14"/>
                          </w:rPr>
                        </w:pPr>
                        <w:r>
                          <w:rPr>
                            <w:sz w:val="14"/>
                          </w:rPr>
                          <w:t>50</w:t>
                        </w:r>
                      </w:p>
                    </w:tc>
                    <w:tc>
                      <w:tcPr>
                        <w:tcW w:w="884" w:type="dxa"/>
                      </w:tcPr>
                      <w:p>
                        <w:pPr>
                          <w:pStyle w:val="TableParagraph"/>
                          <w:spacing w:before="7"/>
                          <w:jc w:val="left"/>
                          <w:rPr>
                            <w:b/>
                            <w:sz w:val="15"/>
                          </w:rPr>
                        </w:pPr>
                      </w:p>
                      <w:p>
                        <w:pPr>
                          <w:pStyle w:val="TableParagraph"/>
                          <w:ind w:right="68"/>
                          <w:rPr>
                            <w:sz w:val="14"/>
                          </w:rPr>
                        </w:pPr>
                        <w:r>
                          <w:rPr>
                            <w:sz w:val="14"/>
                          </w:rPr>
                          <w:t>106,943</w:t>
                        </w:r>
                      </w:p>
                    </w:tc>
                  </w:tr>
                  <w:tr>
                    <w:trPr>
                      <w:trHeight w:val="219" w:hRule="exact"/>
                    </w:trPr>
                    <w:tc>
                      <w:tcPr>
                        <w:tcW w:w="2795" w:type="dxa"/>
                      </w:tcPr>
                      <w:p>
                        <w:pPr>
                          <w:pStyle w:val="TableParagraph"/>
                          <w:spacing w:before="22"/>
                          <w:ind w:left="35" w:right="522"/>
                          <w:jc w:val="left"/>
                          <w:rPr>
                            <w:sz w:val="14"/>
                          </w:rPr>
                        </w:pPr>
                        <w:r>
                          <w:rPr>
                            <w:sz w:val="14"/>
                          </w:rPr>
                          <w:t>Transfers to Held for Sale Assets</w:t>
                        </w:r>
                      </w:p>
                    </w:tc>
                    <w:tc>
                      <w:tcPr>
                        <w:tcW w:w="1160" w:type="dxa"/>
                        <w:tcBorders>
                          <w:bottom w:val="single" w:sz="0" w:space="0" w:color="000000"/>
                        </w:tcBorders>
                      </w:tcPr>
                      <w:p>
                        <w:pPr>
                          <w:pStyle w:val="TableParagraph"/>
                          <w:spacing w:before="21"/>
                          <w:ind w:right="180"/>
                          <w:rPr>
                            <w:sz w:val="14"/>
                          </w:rPr>
                        </w:pPr>
                        <w:r>
                          <w:rPr>
                            <w:w w:val="100"/>
                            <w:sz w:val="14"/>
                          </w:rPr>
                          <w:t>-</w:t>
                        </w:r>
                      </w:p>
                    </w:tc>
                    <w:tc>
                      <w:tcPr>
                        <w:tcW w:w="994" w:type="dxa"/>
                        <w:tcBorders>
                          <w:bottom w:val="single" w:sz="0" w:space="0" w:color="000000"/>
                        </w:tcBorders>
                      </w:tcPr>
                      <w:p>
                        <w:pPr>
                          <w:pStyle w:val="TableParagraph"/>
                          <w:spacing w:before="21"/>
                          <w:ind w:right="78"/>
                          <w:rPr>
                            <w:sz w:val="14"/>
                          </w:rPr>
                        </w:pPr>
                        <w:r>
                          <w:rPr>
                            <w:sz w:val="14"/>
                          </w:rPr>
                          <w:t>(69,300)</w:t>
                        </w:r>
                      </w:p>
                    </w:tc>
                    <w:tc>
                      <w:tcPr>
                        <w:tcW w:w="1069" w:type="dxa"/>
                        <w:tcBorders>
                          <w:bottom w:val="single" w:sz="0" w:space="0" w:color="000000"/>
                        </w:tcBorders>
                      </w:tcPr>
                      <w:p>
                        <w:pPr>
                          <w:pStyle w:val="TableParagraph"/>
                          <w:spacing w:before="21"/>
                          <w:ind w:right="145"/>
                          <w:rPr>
                            <w:sz w:val="14"/>
                          </w:rPr>
                        </w:pPr>
                        <w:r>
                          <w:rPr>
                            <w:w w:val="100"/>
                            <w:sz w:val="14"/>
                          </w:rPr>
                          <w:t>-</w:t>
                        </w:r>
                      </w:p>
                    </w:tc>
                    <w:tc>
                      <w:tcPr>
                        <w:tcW w:w="1004" w:type="dxa"/>
                        <w:tcBorders>
                          <w:bottom w:val="single" w:sz="0" w:space="0" w:color="000000"/>
                        </w:tcBorders>
                      </w:tcPr>
                      <w:p>
                        <w:pPr>
                          <w:pStyle w:val="TableParagraph"/>
                          <w:spacing w:before="21"/>
                          <w:ind w:right="101"/>
                          <w:rPr>
                            <w:sz w:val="14"/>
                          </w:rPr>
                        </w:pPr>
                        <w:r>
                          <w:rPr>
                            <w:w w:val="100"/>
                            <w:sz w:val="14"/>
                          </w:rPr>
                          <w:t>-</w:t>
                        </w:r>
                      </w:p>
                    </w:tc>
                    <w:tc>
                      <w:tcPr>
                        <w:tcW w:w="1044" w:type="dxa"/>
                        <w:tcBorders>
                          <w:bottom w:val="single" w:sz="0" w:space="0" w:color="000000"/>
                        </w:tcBorders>
                      </w:tcPr>
                      <w:p>
                        <w:pPr>
                          <w:pStyle w:val="TableParagraph"/>
                          <w:spacing w:before="21"/>
                          <w:ind w:right="95"/>
                          <w:rPr>
                            <w:sz w:val="14"/>
                          </w:rPr>
                        </w:pPr>
                        <w:r>
                          <w:rPr>
                            <w:w w:val="100"/>
                            <w:sz w:val="14"/>
                          </w:rPr>
                          <w:t>-</w:t>
                        </w:r>
                      </w:p>
                    </w:tc>
                    <w:tc>
                      <w:tcPr>
                        <w:tcW w:w="1141" w:type="dxa"/>
                        <w:tcBorders>
                          <w:bottom w:val="single" w:sz="0" w:space="0" w:color="000000"/>
                        </w:tcBorders>
                      </w:tcPr>
                      <w:p>
                        <w:pPr>
                          <w:pStyle w:val="TableParagraph"/>
                          <w:spacing w:before="21"/>
                          <w:ind w:right="147"/>
                          <w:rPr>
                            <w:sz w:val="14"/>
                          </w:rPr>
                        </w:pPr>
                        <w:r>
                          <w:rPr>
                            <w:w w:val="100"/>
                            <w:sz w:val="14"/>
                          </w:rPr>
                          <w:t>-</w:t>
                        </w:r>
                      </w:p>
                    </w:tc>
                    <w:tc>
                      <w:tcPr>
                        <w:tcW w:w="1012" w:type="dxa"/>
                        <w:tcBorders>
                          <w:bottom w:val="single" w:sz="0" w:space="0" w:color="000000"/>
                        </w:tcBorders>
                      </w:tcPr>
                      <w:p>
                        <w:pPr>
                          <w:pStyle w:val="TableParagraph"/>
                          <w:spacing w:before="21"/>
                          <w:ind w:right="63"/>
                          <w:rPr>
                            <w:sz w:val="14"/>
                          </w:rPr>
                        </w:pPr>
                        <w:r>
                          <w:rPr>
                            <w:sz w:val="14"/>
                          </w:rPr>
                          <w:t>(213)</w:t>
                        </w:r>
                      </w:p>
                    </w:tc>
                    <w:tc>
                      <w:tcPr>
                        <w:tcW w:w="1182" w:type="dxa"/>
                        <w:tcBorders>
                          <w:bottom w:val="single" w:sz="0" w:space="0" w:color="000000"/>
                        </w:tcBorders>
                      </w:tcPr>
                      <w:p>
                        <w:pPr>
                          <w:pStyle w:val="TableParagraph"/>
                          <w:spacing w:before="21"/>
                          <w:ind w:right="158"/>
                          <w:rPr>
                            <w:sz w:val="14"/>
                          </w:rPr>
                        </w:pPr>
                        <w:r>
                          <w:rPr>
                            <w:w w:val="100"/>
                            <w:sz w:val="14"/>
                          </w:rPr>
                          <w:t>-</w:t>
                        </w:r>
                      </w:p>
                    </w:tc>
                    <w:tc>
                      <w:tcPr>
                        <w:tcW w:w="1085" w:type="dxa"/>
                        <w:tcBorders>
                          <w:bottom w:val="single" w:sz="0" w:space="0" w:color="000000"/>
                        </w:tcBorders>
                      </w:tcPr>
                      <w:p>
                        <w:pPr>
                          <w:pStyle w:val="TableParagraph"/>
                          <w:spacing w:before="21"/>
                          <w:ind w:right="195"/>
                          <w:rPr>
                            <w:sz w:val="14"/>
                          </w:rPr>
                        </w:pPr>
                        <w:r>
                          <w:rPr>
                            <w:w w:val="100"/>
                            <w:sz w:val="14"/>
                          </w:rPr>
                          <w:t>-</w:t>
                        </w:r>
                      </w:p>
                    </w:tc>
                    <w:tc>
                      <w:tcPr>
                        <w:tcW w:w="1087" w:type="dxa"/>
                        <w:tcBorders>
                          <w:bottom w:val="single" w:sz="0" w:space="0" w:color="000000"/>
                        </w:tcBorders>
                      </w:tcPr>
                      <w:p>
                        <w:pPr>
                          <w:pStyle w:val="TableParagraph"/>
                          <w:spacing w:before="21"/>
                          <w:ind w:right="233"/>
                          <w:rPr>
                            <w:sz w:val="14"/>
                          </w:rPr>
                        </w:pPr>
                        <w:r>
                          <w:rPr>
                            <w:w w:val="100"/>
                            <w:sz w:val="14"/>
                          </w:rPr>
                          <w:t>-</w:t>
                        </w:r>
                      </w:p>
                    </w:tc>
                    <w:tc>
                      <w:tcPr>
                        <w:tcW w:w="884" w:type="dxa"/>
                        <w:tcBorders>
                          <w:bottom w:val="single" w:sz="0" w:space="0" w:color="000000"/>
                        </w:tcBorders>
                      </w:tcPr>
                      <w:p>
                        <w:pPr>
                          <w:pStyle w:val="TableParagraph"/>
                          <w:spacing w:before="21"/>
                          <w:ind w:right="22"/>
                          <w:rPr>
                            <w:sz w:val="14"/>
                          </w:rPr>
                        </w:pPr>
                        <w:r>
                          <w:rPr>
                            <w:sz w:val="14"/>
                          </w:rPr>
                          <w:t>(69,513)</w:t>
                        </w:r>
                      </w:p>
                    </w:tc>
                  </w:tr>
                  <w:tr>
                    <w:trPr>
                      <w:trHeight w:val="293" w:hRule="exact"/>
                    </w:trPr>
                    <w:tc>
                      <w:tcPr>
                        <w:tcW w:w="2795" w:type="dxa"/>
                      </w:tcPr>
                      <w:p>
                        <w:pPr>
                          <w:pStyle w:val="TableParagraph"/>
                          <w:spacing w:before="123"/>
                          <w:ind w:left="35" w:right="522"/>
                          <w:jc w:val="left"/>
                          <w:rPr>
                            <w:b/>
                            <w:sz w:val="14"/>
                          </w:rPr>
                        </w:pPr>
                        <w:r>
                          <w:rPr>
                            <w:b/>
                            <w:sz w:val="14"/>
                          </w:rPr>
                          <w:t>Closing Net Book Amount</w:t>
                        </w:r>
                      </w:p>
                    </w:tc>
                    <w:tc>
                      <w:tcPr>
                        <w:tcW w:w="1160" w:type="dxa"/>
                        <w:tcBorders>
                          <w:top w:val="single" w:sz="0" w:space="0" w:color="000000"/>
                          <w:bottom w:val="single" w:sz="0" w:space="0" w:color="000000"/>
                        </w:tcBorders>
                      </w:tcPr>
                      <w:p>
                        <w:pPr>
                          <w:pStyle w:val="TableParagraph"/>
                          <w:spacing w:before="123"/>
                          <w:ind w:right="180"/>
                          <w:rPr>
                            <w:sz w:val="14"/>
                          </w:rPr>
                        </w:pPr>
                        <w:r>
                          <w:rPr>
                            <w:sz w:val="14"/>
                          </w:rPr>
                          <w:t>62,261</w:t>
                        </w:r>
                      </w:p>
                    </w:tc>
                    <w:tc>
                      <w:tcPr>
                        <w:tcW w:w="994" w:type="dxa"/>
                        <w:tcBorders>
                          <w:top w:val="single" w:sz="0" w:space="0" w:color="000000"/>
                          <w:bottom w:val="single" w:sz="0" w:space="0" w:color="000000"/>
                        </w:tcBorders>
                      </w:tcPr>
                      <w:p>
                        <w:pPr>
                          <w:pStyle w:val="TableParagraph"/>
                          <w:spacing w:before="123"/>
                          <w:ind w:right="125"/>
                          <w:rPr>
                            <w:sz w:val="14"/>
                          </w:rPr>
                        </w:pPr>
                        <w:r>
                          <w:rPr>
                            <w:sz w:val="14"/>
                          </w:rPr>
                          <w:t>214,596</w:t>
                        </w:r>
                      </w:p>
                    </w:tc>
                    <w:tc>
                      <w:tcPr>
                        <w:tcW w:w="1069" w:type="dxa"/>
                        <w:tcBorders>
                          <w:top w:val="single" w:sz="0" w:space="0" w:color="000000"/>
                          <w:bottom w:val="single" w:sz="0" w:space="0" w:color="000000"/>
                        </w:tcBorders>
                      </w:tcPr>
                      <w:p>
                        <w:pPr>
                          <w:pStyle w:val="TableParagraph"/>
                          <w:spacing w:before="123"/>
                          <w:ind w:right="145"/>
                          <w:rPr>
                            <w:sz w:val="14"/>
                          </w:rPr>
                        </w:pPr>
                        <w:r>
                          <w:rPr>
                            <w:sz w:val="14"/>
                          </w:rPr>
                          <w:t>162,335</w:t>
                        </w:r>
                      </w:p>
                    </w:tc>
                    <w:tc>
                      <w:tcPr>
                        <w:tcW w:w="1004" w:type="dxa"/>
                        <w:tcBorders>
                          <w:top w:val="single" w:sz="0" w:space="0" w:color="000000"/>
                          <w:bottom w:val="single" w:sz="0" w:space="0" w:color="000000"/>
                        </w:tcBorders>
                      </w:tcPr>
                      <w:p>
                        <w:pPr>
                          <w:pStyle w:val="TableParagraph"/>
                          <w:spacing w:before="123"/>
                          <w:ind w:right="101"/>
                          <w:rPr>
                            <w:sz w:val="14"/>
                          </w:rPr>
                        </w:pPr>
                        <w:r>
                          <w:rPr>
                            <w:sz w:val="14"/>
                          </w:rPr>
                          <w:t>910,661</w:t>
                        </w:r>
                      </w:p>
                    </w:tc>
                    <w:tc>
                      <w:tcPr>
                        <w:tcW w:w="1044" w:type="dxa"/>
                        <w:tcBorders>
                          <w:top w:val="single" w:sz="0" w:space="0" w:color="000000"/>
                          <w:bottom w:val="single" w:sz="0" w:space="0" w:color="000000"/>
                        </w:tcBorders>
                      </w:tcPr>
                      <w:p>
                        <w:pPr>
                          <w:pStyle w:val="TableParagraph"/>
                          <w:spacing w:before="123"/>
                          <w:ind w:right="95"/>
                          <w:rPr>
                            <w:sz w:val="14"/>
                          </w:rPr>
                        </w:pPr>
                        <w:r>
                          <w:rPr>
                            <w:sz w:val="14"/>
                          </w:rPr>
                          <w:t>85,395</w:t>
                        </w:r>
                      </w:p>
                    </w:tc>
                    <w:tc>
                      <w:tcPr>
                        <w:tcW w:w="1141" w:type="dxa"/>
                        <w:tcBorders>
                          <w:top w:val="single" w:sz="0" w:space="0" w:color="000000"/>
                          <w:bottom w:val="single" w:sz="0" w:space="0" w:color="000000"/>
                        </w:tcBorders>
                      </w:tcPr>
                      <w:p>
                        <w:pPr>
                          <w:pStyle w:val="TableParagraph"/>
                          <w:spacing w:before="123"/>
                          <w:ind w:right="147"/>
                          <w:rPr>
                            <w:sz w:val="14"/>
                          </w:rPr>
                        </w:pPr>
                        <w:r>
                          <w:rPr>
                            <w:w w:val="100"/>
                            <w:sz w:val="14"/>
                          </w:rPr>
                          <w:t>-</w:t>
                        </w:r>
                      </w:p>
                    </w:tc>
                    <w:tc>
                      <w:tcPr>
                        <w:tcW w:w="1012" w:type="dxa"/>
                        <w:tcBorders>
                          <w:top w:val="single" w:sz="0" w:space="0" w:color="000000"/>
                          <w:bottom w:val="single" w:sz="0" w:space="0" w:color="000000"/>
                        </w:tcBorders>
                      </w:tcPr>
                      <w:p>
                        <w:pPr>
                          <w:pStyle w:val="TableParagraph"/>
                          <w:spacing w:before="123"/>
                          <w:ind w:right="110"/>
                          <w:rPr>
                            <w:sz w:val="14"/>
                          </w:rPr>
                        </w:pPr>
                        <w:r>
                          <w:rPr>
                            <w:sz w:val="14"/>
                          </w:rPr>
                          <w:t>60,219</w:t>
                        </w:r>
                      </w:p>
                    </w:tc>
                    <w:tc>
                      <w:tcPr>
                        <w:tcW w:w="1182" w:type="dxa"/>
                        <w:tcBorders>
                          <w:top w:val="single" w:sz="0" w:space="0" w:color="000000"/>
                          <w:bottom w:val="single" w:sz="0" w:space="0" w:color="000000"/>
                        </w:tcBorders>
                      </w:tcPr>
                      <w:p>
                        <w:pPr>
                          <w:pStyle w:val="TableParagraph"/>
                          <w:spacing w:before="123"/>
                          <w:ind w:right="158"/>
                          <w:rPr>
                            <w:sz w:val="14"/>
                          </w:rPr>
                        </w:pPr>
                        <w:r>
                          <w:rPr>
                            <w:sz w:val="14"/>
                          </w:rPr>
                          <w:t>15,076</w:t>
                        </w:r>
                      </w:p>
                    </w:tc>
                    <w:tc>
                      <w:tcPr>
                        <w:tcW w:w="1085" w:type="dxa"/>
                        <w:tcBorders>
                          <w:top w:val="single" w:sz="0" w:space="0" w:color="000000"/>
                          <w:bottom w:val="single" w:sz="0" w:space="0" w:color="000000"/>
                        </w:tcBorders>
                      </w:tcPr>
                      <w:p>
                        <w:pPr>
                          <w:pStyle w:val="TableParagraph"/>
                          <w:spacing w:before="123"/>
                          <w:ind w:right="195"/>
                          <w:rPr>
                            <w:sz w:val="14"/>
                          </w:rPr>
                        </w:pPr>
                        <w:r>
                          <w:rPr>
                            <w:sz w:val="14"/>
                          </w:rPr>
                          <w:t>9,673</w:t>
                        </w:r>
                      </w:p>
                    </w:tc>
                    <w:tc>
                      <w:tcPr>
                        <w:tcW w:w="1087" w:type="dxa"/>
                        <w:tcBorders>
                          <w:top w:val="single" w:sz="0" w:space="0" w:color="000000"/>
                          <w:bottom w:val="single" w:sz="0" w:space="0" w:color="000000"/>
                        </w:tcBorders>
                      </w:tcPr>
                      <w:p>
                        <w:pPr>
                          <w:pStyle w:val="TableParagraph"/>
                          <w:spacing w:before="123"/>
                          <w:ind w:right="233"/>
                          <w:rPr>
                            <w:sz w:val="14"/>
                          </w:rPr>
                        </w:pPr>
                        <w:r>
                          <w:rPr>
                            <w:sz w:val="14"/>
                          </w:rPr>
                          <w:t>3,152</w:t>
                        </w:r>
                      </w:p>
                    </w:tc>
                    <w:tc>
                      <w:tcPr>
                        <w:tcW w:w="884" w:type="dxa"/>
                        <w:tcBorders>
                          <w:top w:val="single" w:sz="0" w:space="0" w:color="000000"/>
                          <w:bottom w:val="single" w:sz="0" w:space="0" w:color="000000"/>
                        </w:tcBorders>
                      </w:tcPr>
                      <w:p>
                        <w:pPr>
                          <w:pStyle w:val="TableParagraph"/>
                          <w:spacing w:before="123"/>
                          <w:ind w:right="68"/>
                          <w:rPr>
                            <w:sz w:val="14"/>
                          </w:rPr>
                        </w:pPr>
                        <w:r>
                          <w:rPr>
                            <w:sz w:val="14"/>
                          </w:rPr>
                          <w:t>1,523,368</w:t>
                        </w:r>
                      </w:p>
                    </w:tc>
                  </w:tr>
                  <w:tr>
                    <w:trPr>
                      <w:trHeight w:val="306" w:hRule="exact"/>
                    </w:trPr>
                    <w:tc>
                      <w:tcPr>
                        <w:tcW w:w="2795" w:type="dxa"/>
                      </w:tcPr>
                      <w:p>
                        <w:pPr>
                          <w:pStyle w:val="TableParagraph"/>
                          <w:spacing w:before="123"/>
                          <w:ind w:left="35" w:right="522"/>
                          <w:jc w:val="left"/>
                          <w:rPr>
                            <w:b/>
                            <w:sz w:val="14"/>
                          </w:rPr>
                        </w:pPr>
                        <w:r>
                          <w:rPr>
                            <w:b/>
                            <w:sz w:val="14"/>
                          </w:rPr>
                          <w:t>At 31 December 2015</w:t>
                        </w:r>
                      </w:p>
                    </w:tc>
                    <w:tc>
                      <w:tcPr>
                        <w:tcW w:w="1160" w:type="dxa"/>
                        <w:tcBorders>
                          <w:top w:val="single" w:sz="0" w:space="0" w:color="000000"/>
                        </w:tcBorders>
                      </w:tcPr>
                      <w:p>
                        <w:pPr/>
                      </w:p>
                    </w:tc>
                    <w:tc>
                      <w:tcPr>
                        <w:tcW w:w="994" w:type="dxa"/>
                        <w:tcBorders>
                          <w:top w:val="single" w:sz="0" w:space="0" w:color="000000"/>
                        </w:tcBorders>
                      </w:tcPr>
                      <w:p>
                        <w:pPr/>
                      </w:p>
                    </w:tc>
                    <w:tc>
                      <w:tcPr>
                        <w:tcW w:w="1069" w:type="dxa"/>
                        <w:tcBorders>
                          <w:top w:val="single" w:sz="0" w:space="0" w:color="000000"/>
                        </w:tcBorders>
                      </w:tcPr>
                      <w:p>
                        <w:pPr/>
                      </w:p>
                    </w:tc>
                    <w:tc>
                      <w:tcPr>
                        <w:tcW w:w="1004" w:type="dxa"/>
                        <w:tcBorders>
                          <w:top w:val="single" w:sz="0" w:space="0" w:color="000000"/>
                        </w:tcBorders>
                      </w:tcPr>
                      <w:p>
                        <w:pPr/>
                      </w:p>
                    </w:tc>
                    <w:tc>
                      <w:tcPr>
                        <w:tcW w:w="1044" w:type="dxa"/>
                        <w:tcBorders>
                          <w:top w:val="single" w:sz="0" w:space="0" w:color="000000"/>
                        </w:tcBorders>
                      </w:tcPr>
                      <w:p>
                        <w:pPr/>
                      </w:p>
                    </w:tc>
                    <w:tc>
                      <w:tcPr>
                        <w:tcW w:w="1141" w:type="dxa"/>
                        <w:tcBorders>
                          <w:top w:val="single" w:sz="0" w:space="0" w:color="000000"/>
                        </w:tcBorders>
                      </w:tcPr>
                      <w:p>
                        <w:pPr/>
                      </w:p>
                    </w:tc>
                    <w:tc>
                      <w:tcPr>
                        <w:tcW w:w="1012" w:type="dxa"/>
                        <w:tcBorders>
                          <w:top w:val="single" w:sz="0" w:space="0" w:color="000000"/>
                        </w:tcBorders>
                      </w:tcPr>
                      <w:p>
                        <w:pPr/>
                      </w:p>
                    </w:tc>
                    <w:tc>
                      <w:tcPr>
                        <w:tcW w:w="1182" w:type="dxa"/>
                        <w:tcBorders>
                          <w:top w:val="single" w:sz="0" w:space="0" w:color="000000"/>
                        </w:tcBorders>
                      </w:tcPr>
                      <w:p>
                        <w:pPr/>
                      </w:p>
                    </w:tc>
                    <w:tc>
                      <w:tcPr>
                        <w:tcW w:w="1085" w:type="dxa"/>
                        <w:tcBorders>
                          <w:top w:val="single" w:sz="0" w:space="0" w:color="000000"/>
                        </w:tcBorders>
                      </w:tcPr>
                      <w:p>
                        <w:pPr/>
                      </w:p>
                    </w:tc>
                    <w:tc>
                      <w:tcPr>
                        <w:tcW w:w="1087" w:type="dxa"/>
                        <w:tcBorders>
                          <w:top w:val="single" w:sz="0" w:space="0" w:color="000000"/>
                        </w:tcBorders>
                      </w:tcPr>
                      <w:p>
                        <w:pPr/>
                      </w:p>
                    </w:tc>
                    <w:tc>
                      <w:tcPr>
                        <w:tcW w:w="884" w:type="dxa"/>
                        <w:tcBorders>
                          <w:top w:val="single" w:sz="0" w:space="0" w:color="000000"/>
                        </w:tcBorders>
                      </w:tcPr>
                      <w:p>
                        <w:pPr/>
                      </w:p>
                    </w:tc>
                  </w:tr>
                  <w:tr>
                    <w:trPr>
                      <w:trHeight w:val="205" w:hRule="exact"/>
                    </w:trPr>
                    <w:tc>
                      <w:tcPr>
                        <w:tcW w:w="2795" w:type="dxa"/>
                      </w:tcPr>
                      <w:p>
                        <w:pPr>
                          <w:pStyle w:val="TableParagraph"/>
                          <w:spacing w:before="8"/>
                          <w:ind w:left="35" w:right="522"/>
                          <w:jc w:val="left"/>
                          <w:rPr>
                            <w:sz w:val="14"/>
                          </w:rPr>
                        </w:pPr>
                        <w:r>
                          <w:rPr>
                            <w:sz w:val="14"/>
                          </w:rPr>
                          <w:t>- Cost</w:t>
                        </w:r>
                      </w:p>
                    </w:tc>
                    <w:tc>
                      <w:tcPr>
                        <w:tcW w:w="1160" w:type="dxa"/>
                      </w:tcPr>
                      <w:p>
                        <w:pPr>
                          <w:pStyle w:val="TableParagraph"/>
                          <w:spacing w:before="7"/>
                          <w:ind w:right="180"/>
                          <w:rPr>
                            <w:sz w:val="14"/>
                          </w:rPr>
                        </w:pPr>
                        <w:r>
                          <w:rPr>
                            <w:sz w:val="14"/>
                          </w:rPr>
                          <w:t>62,261</w:t>
                        </w:r>
                      </w:p>
                    </w:tc>
                    <w:tc>
                      <w:tcPr>
                        <w:tcW w:w="994" w:type="dxa"/>
                      </w:tcPr>
                      <w:p>
                        <w:pPr>
                          <w:pStyle w:val="TableParagraph"/>
                          <w:spacing w:before="7"/>
                          <w:ind w:right="125"/>
                          <w:rPr>
                            <w:sz w:val="14"/>
                          </w:rPr>
                        </w:pPr>
                        <w:r>
                          <w:rPr>
                            <w:w w:val="100"/>
                            <w:sz w:val="14"/>
                          </w:rPr>
                          <w:t>-</w:t>
                        </w:r>
                      </w:p>
                    </w:tc>
                    <w:tc>
                      <w:tcPr>
                        <w:tcW w:w="1069" w:type="dxa"/>
                      </w:tcPr>
                      <w:p>
                        <w:pPr>
                          <w:pStyle w:val="TableParagraph"/>
                          <w:spacing w:before="7"/>
                          <w:ind w:right="145"/>
                          <w:rPr>
                            <w:sz w:val="14"/>
                          </w:rPr>
                        </w:pPr>
                        <w:r>
                          <w:rPr>
                            <w:w w:val="100"/>
                            <w:sz w:val="14"/>
                          </w:rPr>
                          <w:t>-</w:t>
                        </w:r>
                      </w:p>
                    </w:tc>
                    <w:tc>
                      <w:tcPr>
                        <w:tcW w:w="1004" w:type="dxa"/>
                      </w:tcPr>
                      <w:p>
                        <w:pPr>
                          <w:pStyle w:val="TableParagraph"/>
                          <w:spacing w:before="7"/>
                          <w:ind w:right="99"/>
                          <w:rPr>
                            <w:sz w:val="14"/>
                          </w:rPr>
                        </w:pPr>
                        <w:r>
                          <w:rPr>
                            <w:sz w:val="14"/>
                          </w:rPr>
                          <w:t>7,929</w:t>
                        </w:r>
                      </w:p>
                    </w:tc>
                    <w:tc>
                      <w:tcPr>
                        <w:tcW w:w="1044" w:type="dxa"/>
                      </w:tcPr>
                      <w:p>
                        <w:pPr>
                          <w:pStyle w:val="TableParagraph"/>
                          <w:spacing w:before="7"/>
                          <w:ind w:right="95"/>
                          <w:rPr>
                            <w:sz w:val="14"/>
                          </w:rPr>
                        </w:pPr>
                        <w:r>
                          <w:rPr>
                            <w:sz w:val="14"/>
                          </w:rPr>
                          <w:t>1,637</w:t>
                        </w:r>
                      </w:p>
                    </w:tc>
                    <w:tc>
                      <w:tcPr>
                        <w:tcW w:w="1141" w:type="dxa"/>
                      </w:tcPr>
                      <w:p>
                        <w:pPr>
                          <w:pStyle w:val="TableParagraph"/>
                          <w:spacing w:before="7"/>
                          <w:ind w:right="147"/>
                          <w:rPr>
                            <w:sz w:val="14"/>
                          </w:rPr>
                        </w:pPr>
                        <w:r>
                          <w:rPr>
                            <w:sz w:val="14"/>
                          </w:rPr>
                          <w:t>4,594</w:t>
                        </w:r>
                      </w:p>
                    </w:tc>
                    <w:tc>
                      <w:tcPr>
                        <w:tcW w:w="1012" w:type="dxa"/>
                      </w:tcPr>
                      <w:p>
                        <w:pPr>
                          <w:pStyle w:val="TableParagraph"/>
                          <w:spacing w:before="7"/>
                          <w:ind w:right="110"/>
                          <w:rPr>
                            <w:sz w:val="14"/>
                          </w:rPr>
                        </w:pPr>
                        <w:r>
                          <w:rPr>
                            <w:sz w:val="14"/>
                          </w:rPr>
                          <w:t>132,831</w:t>
                        </w:r>
                      </w:p>
                    </w:tc>
                    <w:tc>
                      <w:tcPr>
                        <w:tcW w:w="1182" w:type="dxa"/>
                      </w:tcPr>
                      <w:p>
                        <w:pPr>
                          <w:pStyle w:val="TableParagraph"/>
                          <w:spacing w:before="7"/>
                          <w:ind w:right="158"/>
                          <w:rPr>
                            <w:sz w:val="14"/>
                          </w:rPr>
                        </w:pPr>
                        <w:r>
                          <w:rPr>
                            <w:sz w:val="14"/>
                          </w:rPr>
                          <w:t>23,242</w:t>
                        </w:r>
                      </w:p>
                    </w:tc>
                    <w:tc>
                      <w:tcPr>
                        <w:tcW w:w="1085" w:type="dxa"/>
                      </w:tcPr>
                      <w:p>
                        <w:pPr>
                          <w:pStyle w:val="TableParagraph"/>
                          <w:spacing w:before="7"/>
                          <w:ind w:right="195"/>
                          <w:rPr>
                            <w:sz w:val="14"/>
                          </w:rPr>
                        </w:pPr>
                        <w:r>
                          <w:rPr>
                            <w:sz w:val="14"/>
                          </w:rPr>
                          <w:t>82,713</w:t>
                        </w:r>
                      </w:p>
                    </w:tc>
                    <w:tc>
                      <w:tcPr>
                        <w:tcW w:w="1087" w:type="dxa"/>
                      </w:tcPr>
                      <w:p>
                        <w:pPr>
                          <w:pStyle w:val="TableParagraph"/>
                          <w:spacing w:before="7"/>
                          <w:ind w:right="233"/>
                          <w:rPr>
                            <w:sz w:val="14"/>
                          </w:rPr>
                        </w:pPr>
                        <w:r>
                          <w:rPr>
                            <w:w w:val="100"/>
                            <w:sz w:val="14"/>
                          </w:rPr>
                          <w:t>-</w:t>
                        </w:r>
                      </w:p>
                    </w:tc>
                    <w:tc>
                      <w:tcPr>
                        <w:tcW w:w="884" w:type="dxa"/>
                      </w:tcPr>
                      <w:p>
                        <w:pPr>
                          <w:pStyle w:val="TableParagraph"/>
                          <w:spacing w:before="7"/>
                          <w:ind w:right="68"/>
                          <w:rPr>
                            <w:sz w:val="14"/>
                          </w:rPr>
                        </w:pPr>
                        <w:r>
                          <w:rPr>
                            <w:sz w:val="14"/>
                          </w:rPr>
                          <w:t>315,207</w:t>
                        </w:r>
                      </w:p>
                    </w:tc>
                  </w:tr>
                  <w:tr>
                    <w:trPr>
                      <w:trHeight w:val="218" w:hRule="exact"/>
                    </w:trPr>
                    <w:tc>
                      <w:tcPr>
                        <w:tcW w:w="2795" w:type="dxa"/>
                      </w:tcPr>
                      <w:p>
                        <w:pPr>
                          <w:pStyle w:val="TableParagraph"/>
                          <w:spacing w:before="22"/>
                          <w:ind w:left="35" w:right="522"/>
                          <w:jc w:val="left"/>
                          <w:rPr>
                            <w:sz w:val="14"/>
                          </w:rPr>
                        </w:pPr>
                        <w:r>
                          <w:rPr>
                            <w:sz w:val="14"/>
                          </w:rPr>
                          <w:t>- Valuation</w:t>
                        </w:r>
                      </w:p>
                    </w:tc>
                    <w:tc>
                      <w:tcPr>
                        <w:tcW w:w="1160" w:type="dxa"/>
                      </w:tcPr>
                      <w:p>
                        <w:pPr>
                          <w:pStyle w:val="TableParagraph"/>
                          <w:spacing w:before="21"/>
                          <w:ind w:right="180"/>
                          <w:rPr>
                            <w:sz w:val="14"/>
                          </w:rPr>
                        </w:pPr>
                        <w:r>
                          <w:rPr>
                            <w:w w:val="100"/>
                            <w:sz w:val="14"/>
                          </w:rPr>
                          <w:t>-</w:t>
                        </w:r>
                      </w:p>
                    </w:tc>
                    <w:tc>
                      <w:tcPr>
                        <w:tcW w:w="994" w:type="dxa"/>
                      </w:tcPr>
                      <w:p>
                        <w:pPr>
                          <w:pStyle w:val="TableParagraph"/>
                          <w:spacing w:before="21"/>
                          <w:ind w:right="125"/>
                          <w:rPr>
                            <w:sz w:val="14"/>
                          </w:rPr>
                        </w:pPr>
                        <w:r>
                          <w:rPr>
                            <w:sz w:val="14"/>
                          </w:rPr>
                          <w:t>214,596</w:t>
                        </w:r>
                      </w:p>
                    </w:tc>
                    <w:tc>
                      <w:tcPr>
                        <w:tcW w:w="1069" w:type="dxa"/>
                      </w:tcPr>
                      <w:p>
                        <w:pPr>
                          <w:pStyle w:val="TableParagraph"/>
                          <w:spacing w:before="21"/>
                          <w:ind w:right="145"/>
                          <w:rPr>
                            <w:sz w:val="14"/>
                          </w:rPr>
                        </w:pPr>
                        <w:r>
                          <w:rPr>
                            <w:sz w:val="14"/>
                          </w:rPr>
                          <w:t>162,335</w:t>
                        </w:r>
                      </w:p>
                    </w:tc>
                    <w:tc>
                      <w:tcPr>
                        <w:tcW w:w="1004" w:type="dxa"/>
                      </w:tcPr>
                      <w:p>
                        <w:pPr>
                          <w:pStyle w:val="TableParagraph"/>
                          <w:spacing w:before="21"/>
                          <w:ind w:right="101"/>
                          <w:rPr>
                            <w:sz w:val="14"/>
                          </w:rPr>
                        </w:pPr>
                        <w:r>
                          <w:rPr>
                            <w:sz w:val="14"/>
                          </w:rPr>
                          <w:t>905,781</w:t>
                        </w:r>
                      </w:p>
                    </w:tc>
                    <w:tc>
                      <w:tcPr>
                        <w:tcW w:w="1044" w:type="dxa"/>
                      </w:tcPr>
                      <w:p>
                        <w:pPr>
                          <w:pStyle w:val="TableParagraph"/>
                          <w:spacing w:before="21"/>
                          <w:ind w:right="95"/>
                          <w:rPr>
                            <w:sz w:val="14"/>
                          </w:rPr>
                        </w:pPr>
                        <w:r>
                          <w:rPr>
                            <w:sz w:val="14"/>
                          </w:rPr>
                          <w:t>85,557</w:t>
                        </w:r>
                      </w:p>
                    </w:tc>
                    <w:tc>
                      <w:tcPr>
                        <w:tcW w:w="1141" w:type="dxa"/>
                      </w:tcPr>
                      <w:p>
                        <w:pPr>
                          <w:pStyle w:val="TableParagraph"/>
                          <w:spacing w:before="21"/>
                          <w:ind w:right="147"/>
                          <w:rPr>
                            <w:sz w:val="14"/>
                          </w:rPr>
                        </w:pPr>
                        <w:r>
                          <w:rPr>
                            <w:w w:val="100"/>
                            <w:sz w:val="14"/>
                          </w:rPr>
                          <w:t>-</w:t>
                        </w:r>
                      </w:p>
                    </w:tc>
                    <w:tc>
                      <w:tcPr>
                        <w:tcW w:w="1012" w:type="dxa"/>
                      </w:tcPr>
                      <w:p>
                        <w:pPr>
                          <w:pStyle w:val="TableParagraph"/>
                          <w:spacing w:before="21"/>
                          <w:ind w:right="110"/>
                          <w:rPr>
                            <w:sz w:val="14"/>
                          </w:rPr>
                        </w:pPr>
                        <w:r>
                          <w:rPr>
                            <w:w w:val="100"/>
                            <w:sz w:val="14"/>
                          </w:rPr>
                          <w:t>-</w:t>
                        </w:r>
                      </w:p>
                    </w:tc>
                    <w:tc>
                      <w:tcPr>
                        <w:tcW w:w="1182" w:type="dxa"/>
                      </w:tcPr>
                      <w:p>
                        <w:pPr>
                          <w:pStyle w:val="TableParagraph"/>
                          <w:spacing w:before="21"/>
                          <w:ind w:right="158"/>
                          <w:rPr>
                            <w:sz w:val="14"/>
                          </w:rPr>
                        </w:pPr>
                        <w:r>
                          <w:rPr>
                            <w:w w:val="100"/>
                            <w:sz w:val="14"/>
                          </w:rPr>
                          <w:t>-</w:t>
                        </w:r>
                      </w:p>
                    </w:tc>
                    <w:tc>
                      <w:tcPr>
                        <w:tcW w:w="1085" w:type="dxa"/>
                      </w:tcPr>
                      <w:p>
                        <w:pPr>
                          <w:pStyle w:val="TableParagraph"/>
                          <w:spacing w:before="21"/>
                          <w:ind w:right="195"/>
                          <w:rPr>
                            <w:sz w:val="14"/>
                          </w:rPr>
                        </w:pPr>
                        <w:r>
                          <w:rPr>
                            <w:sz w:val="14"/>
                          </w:rPr>
                          <w:t>1,651</w:t>
                        </w:r>
                      </w:p>
                    </w:tc>
                    <w:tc>
                      <w:tcPr>
                        <w:tcW w:w="1087" w:type="dxa"/>
                      </w:tcPr>
                      <w:p>
                        <w:pPr>
                          <w:pStyle w:val="TableParagraph"/>
                          <w:spacing w:before="21"/>
                          <w:ind w:right="233"/>
                          <w:rPr>
                            <w:sz w:val="14"/>
                          </w:rPr>
                        </w:pPr>
                        <w:r>
                          <w:rPr>
                            <w:sz w:val="14"/>
                          </w:rPr>
                          <w:t>3,152</w:t>
                        </w:r>
                      </w:p>
                    </w:tc>
                    <w:tc>
                      <w:tcPr>
                        <w:tcW w:w="884" w:type="dxa"/>
                      </w:tcPr>
                      <w:p>
                        <w:pPr>
                          <w:pStyle w:val="TableParagraph"/>
                          <w:spacing w:before="21"/>
                          <w:ind w:right="68"/>
                          <w:rPr>
                            <w:sz w:val="14"/>
                          </w:rPr>
                        </w:pPr>
                        <w:r>
                          <w:rPr>
                            <w:sz w:val="14"/>
                          </w:rPr>
                          <w:t>1,373,072</w:t>
                        </w:r>
                      </w:p>
                    </w:tc>
                  </w:tr>
                  <w:tr>
                    <w:trPr>
                      <w:trHeight w:val="219" w:hRule="exact"/>
                    </w:trPr>
                    <w:tc>
                      <w:tcPr>
                        <w:tcW w:w="2795" w:type="dxa"/>
                      </w:tcPr>
                      <w:p>
                        <w:pPr>
                          <w:pStyle w:val="TableParagraph"/>
                          <w:spacing w:before="22"/>
                          <w:ind w:left="35" w:right="522"/>
                          <w:jc w:val="left"/>
                          <w:rPr>
                            <w:sz w:val="14"/>
                          </w:rPr>
                        </w:pPr>
                        <w:r>
                          <w:rPr>
                            <w:sz w:val="14"/>
                          </w:rPr>
                          <w:t>Accumulated depreciation</w:t>
                        </w:r>
                      </w:p>
                    </w:tc>
                    <w:tc>
                      <w:tcPr>
                        <w:tcW w:w="1160" w:type="dxa"/>
                        <w:tcBorders>
                          <w:bottom w:val="single" w:sz="0" w:space="0" w:color="000000"/>
                        </w:tcBorders>
                      </w:tcPr>
                      <w:p>
                        <w:pPr>
                          <w:pStyle w:val="TableParagraph"/>
                          <w:spacing w:before="21"/>
                          <w:ind w:right="180"/>
                          <w:rPr>
                            <w:sz w:val="14"/>
                          </w:rPr>
                        </w:pPr>
                        <w:r>
                          <w:rPr>
                            <w:w w:val="100"/>
                            <w:sz w:val="14"/>
                          </w:rPr>
                          <w:t>-</w:t>
                        </w:r>
                      </w:p>
                    </w:tc>
                    <w:tc>
                      <w:tcPr>
                        <w:tcW w:w="994" w:type="dxa"/>
                        <w:tcBorders>
                          <w:bottom w:val="single" w:sz="0" w:space="0" w:color="000000"/>
                        </w:tcBorders>
                      </w:tcPr>
                      <w:p>
                        <w:pPr>
                          <w:pStyle w:val="TableParagraph"/>
                          <w:spacing w:before="21"/>
                          <w:ind w:right="125"/>
                          <w:rPr>
                            <w:sz w:val="14"/>
                          </w:rPr>
                        </w:pPr>
                        <w:r>
                          <w:rPr>
                            <w:w w:val="100"/>
                            <w:sz w:val="14"/>
                          </w:rPr>
                          <w:t>-</w:t>
                        </w:r>
                      </w:p>
                    </w:tc>
                    <w:tc>
                      <w:tcPr>
                        <w:tcW w:w="1069" w:type="dxa"/>
                        <w:tcBorders>
                          <w:bottom w:val="single" w:sz="0" w:space="0" w:color="000000"/>
                        </w:tcBorders>
                      </w:tcPr>
                      <w:p>
                        <w:pPr>
                          <w:pStyle w:val="TableParagraph"/>
                          <w:spacing w:before="21"/>
                          <w:ind w:right="145"/>
                          <w:rPr>
                            <w:sz w:val="14"/>
                          </w:rPr>
                        </w:pPr>
                        <w:r>
                          <w:rPr>
                            <w:w w:val="100"/>
                            <w:sz w:val="14"/>
                          </w:rPr>
                          <w:t>-</w:t>
                        </w:r>
                      </w:p>
                    </w:tc>
                    <w:tc>
                      <w:tcPr>
                        <w:tcW w:w="1004" w:type="dxa"/>
                        <w:tcBorders>
                          <w:bottom w:val="single" w:sz="0" w:space="0" w:color="000000"/>
                        </w:tcBorders>
                      </w:tcPr>
                      <w:p>
                        <w:pPr>
                          <w:pStyle w:val="TableParagraph"/>
                          <w:spacing w:before="21"/>
                          <w:ind w:right="53"/>
                          <w:rPr>
                            <w:sz w:val="14"/>
                          </w:rPr>
                        </w:pPr>
                        <w:r>
                          <w:rPr>
                            <w:sz w:val="14"/>
                          </w:rPr>
                          <w:t>(3,049)</w:t>
                        </w:r>
                      </w:p>
                    </w:tc>
                    <w:tc>
                      <w:tcPr>
                        <w:tcW w:w="1044" w:type="dxa"/>
                        <w:tcBorders>
                          <w:bottom w:val="single" w:sz="0" w:space="0" w:color="000000"/>
                        </w:tcBorders>
                      </w:tcPr>
                      <w:p>
                        <w:pPr>
                          <w:pStyle w:val="TableParagraph"/>
                          <w:spacing w:before="21"/>
                          <w:ind w:right="48"/>
                          <w:rPr>
                            <w:sz w:val="14"/>
                          </w:rPr>
                        </w:pPr>
                        <w:r>
                          <w:rPr>
                            <w:sz w:val="14"/>
                          </w:rPr>
                          <w:t>(1,799)</w:t>
                        </w:r>
                      </w:p>
                    </w:tc>
                    <w:tc>
                      <w:tcPr>
                        <w:tcW w:w="1141" w:type="dxa"/>
                        <w:tcBorders>
                          <w:bottom w:val="single" w:sz="0" w:space="0" w:color="000000"/>
                        </w:tcBorders>
                      </w:tcPr>
                      <w:p>
                        <w:pPr>
                          <w:pStyle w:val="TableParagraph"/>
                          <w:spacing w:before="21"/>
                          <w:ind w:right="100"/>
                          <w:rPr>
                            <w:sz w:val="14"/>
                          </w:rPr>
                        </w:pPr>
                        <w:r>
                          <w:rPr>
                            <w:sz w:val="14"/>
                          </w:rPr>
                          <w:t>(4,594)</w:t>
                        </w:r>
                      </w:p>
                    </w:tc>
                    <w:tc>
                      <w:tcPr>
                        <w:tcW w:w="1012" w:type="dxa"/>
                        <w:tcBorders>
                          <w:bottom w:val="single" w:sz="0" w:space="0" w:color="000000"/>
                        </w:tcBorders>
                      </w:tcPr>
                      <w:p>
                        <w:pPr>
                          <w:pStyle w:val="TableParagraph"/>
                          <w:spacing w:before="21"/>
                          <w:ind w:right="63"/>
                          <w:rPr>
                            <w:sz w:val="14"/>
                          </w:rPr>
                        </w:pPr>
                        <w:r>
                          <w:rPr>
                            <w:sz w:val="14"/>
                          </w:rPr>
                          <w:t>(72,612)</w:t>
                        </w:r>
                      </w:p>
                    </w:tc>
                    <w:tc>
                      <w:tcPr>
                        <w:tcW w:w="1182" w:type="dxa"/>
                        <w:tcBorders>
                          <w:bottom w:val="single" w:sz="0" w:space="0" w:color="000000"/>
                        </w:tcBorders>
                      </w:tcPr>
                      <w:p>
                        <w:pPr>
                          <w:pStyle w:val="TableParagraph"/>
                          <w:spacing w:before="21"/>
                          <w:ind w:right="111"/>
                          <w:rPr>
                            <w:sz w:val="14"/>
                          </w:rPr>
                        </w:pPr>
                        <w:r>
                          <w:rPr>
                            <w:sz w:val="14"/>
                          </w:rPr>
                          <w:t>(8,166)</w:t>
                        </w:r>
                      </w:p>
                    </w:tc>
                    <w:tc>
                      <w:tcPr>
                        <w:tcW w:w="1085" w:type="dxa"/>
                        <w:tcBorders>
                          <w:bottom w:val="single" w:sz="0" w:space="0" w:color="000000"/>
                        </w:tcBorders>
                      </w:tcPr>
                      <w:p>
                        <w:pPr>
                          <w:pStyle w:val="TableParagraph"/>
                          <w:spacing w:before="21"/>
                          <w:ind w:right="148"/>
                          <w:rPr>
                            <w:sz w:val="14"/>
                          </w:rPr>
                        </w:pPr>
                        <w:r>
                          <w:rPr>
                            <w:sz w:val="14"/>
                          </w:rPr>
                          <w:t>(74,691)</w:t>
                        </w:r>
                      </w:p>
                    </w:tc>
                    <w:tc>
                      <w:tcPr>
                        <w:tcW w:w="1087" w:type="dxa"/>
                        <w:tcBorders>
                          <w:bottom w:val="single" w:sz="0" w:space="0" w:color="000000"/>
                        </w:tcBorders>
                      </w:tcPr>
                      <w:p>
                        <w:pPr>
                          <w:pStyle w:val="TableParagraph"/>
                          <w:spacing w:before="21"/>
                          <w:ind w:right="233"/>
                          <w:rPr>
                            <w:sz w:val="14"/>
                          </w:rPr>
                        </w:pPr>
                        <w:r>
                          <w:rPr>
                            <w:w w:val="100"/>
                            <w:sz w:val="14"/>
                          </w:rPr>
                          <w:t>-</w:t>
                        </w:r>
                      </w:p>
                    </w:tc>
                    <w:tc>
                      <w:tcPr>
                        <w:tcW w:w="884" w:type="dxa"/>
                        <w:tcBorders>
                          <w:bottom w:val="single" w:sz="0" w:space="0" w:color="000000"/>
                        </w:tcBorders>
                      </w:tcPr>
                      <w:p>
                        <w:pPr>
                          <w:pStyle w:val="TableParagraph"/>
                          <w:spacing w:before="21"/>
                          <w:ind w:right="22"/>
                          <w:rPr>
                            <w:sz w:val="14"/>
                          </w:rPr>
                        </w:pPr>
                        <w:r>
                          <w:rPr>
                            <w:sz w:val="14"/>
                          </w:rPr>
                          <w:t>(164,911)</w:t>
                        </w:r>
                      </w:p>
                    </w:tc>
                  </w:tr>
                  <w:tr>
                    <w:trPr>
                      <w:trHeight w:val="308" w:hRule="exact"/>
                    </w:trPr>
                    <w:tc>
                      <w:tcPr>
                        <w:tcW w:w="2795" w:type="dxa"/>
                      </w:tcPr>
                      <w:p>
                        <w:pPr>
                          <w:pStyle w:val="TableParagraph"/>
                          <w:spacing w:before="123"/>
                          <w:ind w:left="35" w:right="522"/>
                          <w:jc w:val="left"/>
                          <w:rPr>
                            <w:b/>
                            <w:sz w:val="14"/>
                          </w:rPr>
                        </w:pPr>
                        <w:r>
                          <w:rPr>
                            <w:b/>
                            <w:sz w:val="14"/>
                          </w:rPr>
                          <w:t>Net Book Amount</w:t>
                        </w:r>
                      </w:p>
                    </w:tc>
                    <w:tc>
                      <w:tcPr>
                        <w:tcW w:w="1160" w:type="dxa"/>
                        <w:tcBorders>
                          <w:top w:val="single" w:sz="0" w:space="0" w:color="000000"/>
                          <w:bottom w:val="single" w:sz="0" w:space="0" w:color="000000"/>
                        </w:tcBorders>
                      </w:tcPr>
                      <w:p>
                        <w:pPr>
                          <w:pStyle w:val="TableParagraph"/>
                          <w:spacing w:before="123"/>
                          <w:ind w:right="180"/>
                          <w:rPr>
                            <w:sz w:val="14"/>
                          </w:rPr>
                        </w:pPr>
                        <w:r>
                          <w:rPr>
                            <w:sz w:val="14"/>
                          </w:rPr>
                          <w:t>62,261</w:t>
                        </w:r>
                      </w:p>
                    </w:tc>
                    <w:tc>
                      <w:tcPr>
                        <w:tcW w:w="994" w:type="dxa"/>
                        <w:tcBorders>
                          <w:top w:val="single" w:sz="0" w:space="0" w:color="000000"/>
                          <w:bottom w:val="single" w:sz="0" w:space="0" w:color="000000"/>
                        </w:tcBorders>
                      </w:tcPr>
                      <w:p>
                        <w:pPr>
                          <w:pStyle w:val="TableParagraph"/>
                          <w:spacing w:before="123"/>
                          <w:ind w:right="125"/>
                          <w:rPr>
                            <w:sz w:val="14"/>
                          </w:rPr>
                        </w:pPr>
                        <w:r>
                          <w:rPr>
                            <w:sz w:val="14"/>
                          </w:rPr>
                          <w:t>214,596</w:t>
                        </w:r>
                      </w:p>
                    </w:tc>
                    <w:tc>
                      <w:tcPr>
                        <w:tcW w:w="1069" w:type="dxa"/>
                        <w:tcBorders>
                          <w:top w:val="single" w:sz="0" w:space="0" w:color="000000"/>
                          <w:bottom w:val="single" w:sz="0" w:space="0" w:color="000000"/>
                        </w:tcBorders>
                      </w:tcPr>
                      <w:p>
                        <w:pPr>
                          <w:pStyle w:val="TableParagraph"/>
                          <w:spacing w:before="123"/>
                          <w:ind w:right="145"/>
                          <w:rPr>
                            <w:sz w:val="14"/>
                          </w:rPr>
                        </w:pPr>
                        <w:r>
                          <w:rPr>
                            <w:sz w:val="14"/>
                          </w:rPr>
                          <w:t>162,335</w:t>
                        </w:r>
                      </w:p>
                    </w:tc>
                    <w:tc>
                      <w:tcPr>
                        <w:tcW w:w="1004" w:type="dxa"/>
                        <w:tcBorders>
                          <w:top w:val="single" w:sz="0" w:space="0" w:color="000000"/>
                          <w:bottom w:val="single" w:sz="0" w:space="0" w:color="000000"/>
                        </w:tcBorders>
                      </w:tcPr>
                      <w:p>
                        <w:pPr>
                          <w:pStyle w:val="TableParagraph"/>
                          <w:spacing w:before="123"/>
                          <w:ind w:right="101"/>
                          <w:rPr>
                            <w:sz w:val="14"/>
                          </w:rPr>
                        </w:pPr>
                        <w:r>
                          <w:rPr>
                            <w:sz w:val="14"/>
                          </w:rPr>
                          <w:t>910,661</w:t>
                        </w:r>
                      </w:p>
                    </w:tc>
                    <w:tc>
                      <w:tcPr>
                        <w:tcW w:w="1044" w:type="dxa"/>
                        <w:tcBorders>
                          <w:top w:val="single" w:sz="0" w:space="0" w:color="000000"/>
                          <w:bottom w:val="single" w:sz="0" w:space="0" w:color="000000"/>
                        </w:tcBorders>
                      </w:tcPr>
                      <w:p>
                        <w:pPr>
                          <w:pStyle w:val="TableParagraph"/>
                          <w:spacing w:before="123"/>
                          <w:ind w:right="95"/>
                          <w:rPr>
                            <w:sz w:val="14"/>
                          </w:rPr>
                        </w:pPr>
                        <w:r>
                          <w:rPr>
                            <w:sz w:val="14"/>
                          </w:rPr>
                          <w:t>85,395</w:t>
                        </w:r>
                      </w:p>
                    </w:tc>
                    <w:tc>
                      <w:tcPr>
                        <w:tcW w:w="1141" w:type="dxa"/>
                        <w:tcBorders>
                          <w:top w:val="single" w:sz="0" w:space="0" w:color="000000"/>
                          <w:bottom w:val="single" w:sz="0" w:space="0" w:color="000000"/>
                        </w:tcBorders>
                      </w:tcPr>
                      <w:p>
                        <w:pPr>
                          <w:pStyle w:val="TableParagraph"/>
                          <w:spacing w:before="123"/>
                          <w:ind w:right="147"/>
                          <w:rPr>
                            <w:sz w:val="14"/>
                          </w:rPr>
                        </w:pPr>
                        <w:r>
                          <w:rPr>
                            <w:w w:val="100"/>
                            <w:sz w:val="14"/>
                          </w:rPr>
                          <w:t>-</w:t>
                        </w:r>
                      </w:p>
                    </w:tc>
                    <w:tc>
                      <w:tcPr>
                        <w:tcW w:w="1012" w:type="dxa"/>
                        <w:tcBorders>
                          <w:top w:val="single" w:sz="0" w:space="0" w:color="000000"/>
                          <w:bottom w:val="single" w:sz="0" w:space="0" w:color="000000"/>
                        </w:tcBorders>
                      </w:tcPr>
                      <w:p>
                        <w:pPr>
                          <w:pStyle w:val="TableParagraph"/>
                          <w:spacing w:before="123"/>
                          <w:ind w:right="110"/>
                          <w:rPr>
                            <w:sz w:val="14"/>
                          </w:rPr>
                        </w:pPr>
                        <w:r>
                          <w:rPr>
                            <w:sz w:val="14"/>
                          </w:rPr>
                          <w:t>60,219</w:t>
                        </w:r>
                      </w:p>
                    </w:tc>
                    <w:tc>
                      <w:tcPr>
                        <w:tcW w:w="1182" w:type="dxa"/>
                        <w:tcBorders>
                          <w:top w:val="single" w:sz="0" w:space="0" w:color="000000"/>
                          <w:bottom w:val="single" w:sz="0" w:space="0" w:color="000000"/>
                        </w:tcBorders>
                      </w:tcPr>
                      <w:p>
                        <w:pPr>
                          <w:pStyle w:val="TableParagraph"/>
                          <w:spacing w:before="123"/>
                          <w:ind w:right="158"/>
                          <w:rPr>
                            <w:sz w:val="14"/>
                          </w:rPr>
                        </w:pPr>
                        <w:r>
                          <w:rPr>
                            <w:sz w:val="14"/>
                          </w:rPr>
                          <w:t>15,076</w:t>
                        </w:r>
                      </w:p>
                    </w:tc>
                    <w:tc>
                      <w:tcPr>
                        <w:tcW w:w="1085" w:type="dxa"/>
                        <w:tcBorders>
                          <w:top w:val="single" w:sz="0" w:space="0" w:color="000000"/>
                          <w:bottom w:val="single" w:sz="0" w:space="0" w:color="000000"/>
                        </w:tcBorders>
                      </w:tcPr>
                      <w:p>
                        <w:pPr>
                          <w:pStyle w:val="TableParagraph"/>
                          <w:spacing w:before="123"/>
                          <w:ind w:right="195"/>
                          <w:rPr>
                            <w:sz w:val="14"/>
                          </w:rPr>
                        </w:pPr>
                        <w:r>
                          <w:rPr>
                            <w:sz w:val="14"/>
                          </w:rPr>
                          <w:t>9,673</w:t>
                        </w:r>
                      </w:p>
                    </w:tc>
                    <w:tc>
                      <w:tcPr>
                        <w:tcW w:w="1087" w:type="dxa"/>
                        <w:tcBorders>
                          <w:top w:val="single" w:sz="0" w:space="0" w:color="000000"/>
                          <w:bottom w:val="single" w:sz="0" w:space="0" w:color="000000"/>
                        </w:tcBorders>
                      </w:tcPr>
                      <w:p>
                        <w:pPr>
                          <w:pStyle w:val="TableParagraph"/>
                          <w:spacing w:before="123"/>
                          <w:ind w:right="233"/>
                          <w:rPr>
                            <w:sz w:val="14"/>
                          </w:rPr>
                        </w:pPr>
                        <w:r>
                          <w:rPr>
                            <w:sz w:val="14"/>
                          </w:rPr>
                          <w:t>3,152</w:t>
                        </w:r>
                      </w:p>
                    </w:tc>
                    <w:tc>
                      <w:tcPr>
                        <w:tcW w:w="884" w:type="dxa"/>
                        <w:tcBorders>
                          <w:top w:val="single" w:sz="0" w:space="0" w:color="000000"/>
                          <w:bottom w:val="single" w:sz="0" w:space="0" w:color="000000"/>
                        </w:tcBorders>
                      </w:tcPr>
                      <w:p>
                        <w:pPr>
                          <w:pStyle w:val="TableParagraph"/>
                          <w:spacing w:before="123"/>
                          <w:ind w:right="68"/>
                          <w:rPr>
                            <w:sz w:val="14"/>
                          </w:rPr>
                        </w:pPr>
                        <w:r>
                          <w:rPr>
                            <w:sz w:val="14"/>
                          </w:rPr>
                          <w:t>1,523,368</w:t>
                        </w:r>
                      </w:p>
                    </w:tc>
                  </w:tr>
                </w:tbl>
                <w:p>
                  <w:pPr>
                    <w:pStyle w:val="BodyText"/>
                  </w:pPr>
                </w:p>
              </w:txbxContent>
            </v:textbox>
            <w10:wrap type="topAndBottom"/>
          </v:shape>
        </w:pict>
      </w:r>
      <w:r>
        <w:rPr/>
        <w:drawing>
          <wp:anchor distT="0" distB="0" distL="0" distR="0" allowOverlap="1" layoutInCell="1" locked="0" behindDoc="0" simplePos="0" relativeHeight="3808">
            <wp:simplePos x="0" y="0"/>
            <wp:positionH relativeFrom="page">
              <wp:posOffset>10493514</wp:posOffset>
            </wp:positionH>
            <wp:positionV relativeFrom="paragraph">
              <wp:posOffset>1583337</wp:posOffset>
            </wp:positionV>
            <wp:extent cx="154019" cy="154019"/>
            <wp:effectExtent l="0" t="0" r="0" b="0"/>
            <wp:wrapTopAndBottom/>
            <wp:docPr id="217" name="image25.png" descr=""/>
            <wp:cNvGraphicFramePr>
              <a:graphicFrameLocks noChangeAspect="1"/>
            </wp:cNvGraphicFramePr>
            <a:graphic>
              <a:graphicData uri="http://schemas.openxmlformats.org/drawingml/2006/picture">
                <pic:pic>
                  <pic:nvPicPr>
                    <pic:cNvPr id="218" name="image25.png"/>
                    <pic:cNvPicPr/>
                  </pic:nvPicPr>
                  <pic:blipFill>
                    <a:blip r:embed="rId41" cstate="print"/>
                    <a:stretch>
                      <a:fillRect/>
                    </a:stretch>
                  </pic:blipFill>
                  <pic:spPr>
                    <a:xfrm>
                      <a:off x="0" y="0"/>
                      <a:ext cx="154019" cy="154019"/>
                    </a:xfrm>
                    <a:prstGeom prst="rect">
                      <a:avLst/>
                    </a:prstGeom>
                  </pic:spPr>
                </pic:pic>
              </a:graphicData>
            </a:graphic>
          </wp:anchor>
        </w:drawing>
      </w:r>
    </w:p>
    <w:p>
      <w:pPr>
        <w:spacing w:after="0"/>
        <w:rPr>
          <w:sz w:val="15"/>
        </w:rPr>
        <w:sectPr>
          <w:headerReference w:type="default" r:id="rId39"/>
          <w:footerReference w:type="default" r:id="rId40"/>
          <w:pgSz w:w="16840" w:h="11910" w:orient="landscape"/>
          <w:pgMar w:header="38" w:footer="507" w:top="2220" w:bottom="700" w:left="0" w:right="0"/>
          <w:pgNumType w:start="46"/>
        </w:sectPr>
      </w:pPr>
    </w:p>
    <w:p>
      <w:pPr>
        <w:pStyle w:val="BodyText"/>
        <w:rPr>
          <w:rFonts w:ascii="Times New Roman"/>
          <w:sz w:val="20"/>
        </w:rPr>
      </w:pPr>
    </w:p>
    <w:p>
      <w:pPr>
        <w:pStyle w:val="BodyText"/>
        <w:rPr>
          <w:rFonts w:ascii="Times New Roman"/>
          <w:sz w:val="20"/>
        </w:rPr>
      </w:pPr>
    </w:p>
    <w:p>
      <w:pPr>
        <w:pStyle w:val="BodyText"/>
        <w:spacing w:before="8"/>
        <w:rPr>
          <w:rFonts w:ascii="Times New Roman"/>
          <w:sz w:val="11"/>
        </w:rPr>
      </w:pPr>
    </w:p>
    <w:p>
      <w:pPr>
        <w:tabs>
          <w:tab w:pos="1369" w:val="left" w:leader="none"/>
          <w:tab w:pos="16525" w:val="left" w:leader="none"/>
        </w:tabs>
        <w:spacing w:line="240" w:lineRule="auto"/>
        <w:ind w:left="67" w:right="0" w:firstLine="0"/>
        <w:rPr>
          <w:rFonts w:ascii="Times New Roman"/>
          <w:sz w:val="20"/>
        </w:rPr>
      </w:pPr>
      <w:r>
        <w:rPr>
          <w:rFonts w:ascii="Times New Roman"/>
          <w:position w:val="181"/>
          <w:sz w:val="20"/>
        </w:rPr>
        <w:drawing>
          <wp:inline distT="0" distB="0" distL="0" distR="0">
            <wp:extent cx="154019" cy="154019"/>
            <wp:effectExtent l="0" t="0" r="0" b="0"/>
            <wp:docPr id="219" name="image25.png" descr=""/>
            <wp:cNvGraphicFramePr>
              <a:graphicFrameLocks noChangeAspect="1"/>
            </wp:cNvGraphicFramePr>
            <a:graphic>
              <a:graphicData uri="http://schemas.openxmlformats.org/drawingml/2006/picture">
                <pic:pic>
                  <pic:nvPicPr>
                    <pic:cNvPr id="220" name="image25.png"/>
                    <pic:cNvPicPr/>
                  </pic:nvPicPr>
                  <pic:blipFill>
                    <a:blip r:embed="rId41" cstate="print"/>
                    <a:stretch>
                      <a:fillRect/>
                    </a:stretch>
                  </pic:blipFill>
                  <pic:spPr>
                    <a:xfrm>
                      <a:off x="0" y="0"/>
                      <a:ext cx="154019" cy="154019"/>
                    </a:xfrm>
                    <a:prstGeom prst="rect">
                      <a:avLst/>
                    </a:prstGeom>
                  </pic:spPr>
                </pic:pic>
              </a:graphicData>
            </a:graphic>
          </wp:inline>
        </w:drawing>
      </w:r>
      <w:r>
        <w:rPr>
          <w:rFonts w:ascii="Times New Roman"/>
          <w:position w:val="181"/>
          <w:sz w:val="20"/>
        </w:rPr>
      </w:r>
      <w:r>
        <w:rPr>
          <w:rFonts w:ascii="Times New Roman"/>
          <w:position w:val="181"/>
          <w:sz w:val="20"/>
        </w:rPr>
        <w:tab/>
      </w:r>
      <w:r>
        <w:rPr>
          <w:rFonts w:ascii="Times New Roman"/>
          <w:sz w:val="20"/>
        </w:rPr>
        <w:pict>
          <v:shape style="width:724.45pt;height:253.1pt;mso-position-horizontal-relative:char;mso-position-vertical-relative:line" type="#_x0000_t202" filled="false" stroked="false">
            <w10:anchorlock/>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983"/>
                    <w:gridCol w:w="1069"/>
                    <w:gridCol w:w="1004"/>
                    <w:gridCol w:w="1044"/>
                    <w:gridCol w:w="1141"/>
                    <w:gridCol w:w="1012"/>
                    <w:gridCol w:w="1182"/>
                    <w:gridCol w:w="1085"/>
                    <w:gridCol w:w="1063"/>
                    <w:gridCol w:w="908"/>
                  </w:tblGrid>
                  <w:tr>
                    <w:trPr>
                      <w:trHeight w:val="485" w:hRule="exact"/>
                    </w:trPr>
                    <w:tc>
                      <w:tcPr>
                        <w:tcW w:w="4983" w:type="dxa"/>
                      </w:tcPr>
                      <w:p>
                        <w:pPr>
                          <w:pStyle w:val="TableParagraph"/>
                          <w:tabs>
                            <w:tab w:pos="602" w:val="left" w:leader="none"/>
                          </w:tabs>
                          <w:spacing w:before="77"/>
                          <w:ind w:left="35"/>
                          <w:jc w:val="left"/>
                          <w:rPr>
                            <w:b/>
                            <w:sz w:val="18"/>
                          </w:rPr>
                        </w:pPr>
                        <w:r>
                          <w:rPr>
                            <w:b/>
                            <w:sz w:val="18"/>
                          </w:rPr>
                          <w:t>21</w:t>
                          <w:tab/>
                          <w:t>Property, plant and equipment (continued)</w:t>
                        </w:r>
                      </w:p>
                    </w:tc>
                    <w:tc>
                      <w:tcPr>
                        <w:tcW w:w="1069" w:type="dxa"/>
                      </w:tcPr>
                      <w:p>
                        <w:pPr/>
                      </w:p>
                    </w:tc>
                    <w:tc>
                      <w:tcPr>
                        <w:tcW w:w="1004" w:type="dxa"/>
                      </w:tcPr>
                      <w:p>
                        <w:pPr/>
                      </w:p>
                    </w:tc>
                    <w:tc>
                      <w:tcPr>
                        <w:tcW w:w="1044" w:type="dxa"/>
                      </w:tcPr>
                      <w:p>
                        <w:pPr/>
                      </w:p>
                    </w:tc>
                    <w:tc>
                      <w:tcPr>
                        <w:tcW w:w="1141" w:type="dxa"/>
                      </w:tcPr>
                      <w:p>
                        <w:pPr>
                          <w:pStyle w:val="TableParagraph"/>
                          <w:jc w:val="left"/>
                          <w:rPr>
                            <w:rFonts w:ascii="Times New Roman"/>
                            <w:sz w:val="14"/>
                          </w:rPr>
                        </w:pPr>
                      </w:p>
                      <w:p>
                        <w:pPr>
                          <w:pStyle w:val="TableParagraph"/>
                          <w:spacing w:before="6"/>
                          <w:jc w:val="left"/>
                          <w:rPr>
                            <w:rFonts w:ascii="Times New Roman"/>
                            <w:sz w:val="13"/>
                          </w:rPr>
                        </w:pPr>
                      </w:p>
                      <w:p>
                        <w:pPr>
                          <w:pStyle w:val="TableParagraph"/>
                          <w:spacing w:before="1"/>
                          <w:ind w:left="194" w:right="98"/>
                          <w:jc w:val="left"/>
                          <w:rPr>
                            <w:b/>
                            <w:sz w:val="14"/>
                          </w:rPr>
                        </w:pPr>
                        <w:r>
                          <w:rPr>
                            <w:b/>
                            <w:sz w:val="14"/>
                          </w:rPr>
                          <w:t>Buildings-</w:t>
                        </w:r>
                      </w:p>
                    </w:tc>
                    <w:tc>
                      <w:tcPr>
                        <w:tcW w:w="5249" w:type="dxa"/>
                        <w:gridSpan w:val="5"/>
                      </w:tcPr>
                      <w:p>
                        <w:pPr/>
                      </w:p>
                    </w:tc>
                  </w:tr>
                  <w:tr>
                    <w:trPr>
                      <w:trHeight w:val="355" w:hRule="exact"/>
                    </w:trPr>
                    <w:tc>
                      <w:tcPr>
                        <w:tcW w:w="4983" w:type="dxa"/>
                      </w:tcPr>
                      <w:p>
                        <w:pPr>
                          <w:pStyle w:val="TableParagraph"/>
                          <w:tabs>
                            <w:tab w:pos="4124" w:val="left" w:leader="none"/>
                            <w:tab w:pos="4252" w:val="left" w:leader="none"/>
                          </w:tabs>
                          <w:ind w:left="2984" w:right="263" w:hanging="50"/>
                          <w:jc w:val="left"/>
                          <w:rPr>
                            <w:b/>
                            <w:sz w:val="14"/>
                          </w:rPr>
                        </w:pPr>
                        <w:r>
                          <w:rPr>
                            <w:b/>
                            <w:sz w:val="14"/>
                          </w:rPr>
                          <w:t>Construction</w:t>
                          <w:tab/>
                          <w:t>Freehold in Progress</w:t>
                          <w:tab/>
                          <w:tab/>
                          <w:t>Land</w:t>
                        </w:r>
                      </w:p>
                    </w:tc>
                    <w:tc>
                      <w:tcPr>
                        <w:tcW w:w="1069" w:type="dxa"/>
                      </w:tcPr>
                      <w:p>
                        <w:pPr>
                          <w:pStyle w:val="TableParagraph"/>
                          <w:spacing w:before="3"/>
                          <w:jc w:val="left"/>
                          <w:rPr>
                            <w:rFonts w:ascii="Times New Roman"/>
                            <w:sz w:val="13"/>
                          </w:rPr>
                        </w:pPr>
                      </w:p>
                      <w:p>
                        <w:pPr>
                          <w:pStyle w:val="TableParagraph"/>
                          <w:spacing w:before="1"/>
                          <w:ind w:right="173"/>
                          <w:rPr>
                            <w:b/>
                            <w:sz w:val="14"/>
                          </w:rPr>
                        </w:pPr>
                        <w:r>
                          <w:rPr>
                            <w:b/>
                            <w:sz w:val="14"/>
                          </w:rPr>
                          <w:t>Crown Land</w:t>
                        </w:r>
                      </w:p>
                    </w:tc>
                    <w:tc>
                      <w:tcPr>
                        <w:tcW w:w="1004" w:type="dxa"/>
                      </w:tcPr>
                      <w:p>
                        <w:pPr>
                          <w:pStyle w:val="TableParagraph"/>
                          <w:spacing w:before="3"/>
                          <w:jc w:val="left"/>
                          <w:rPr>
                            <w:rFonts w:ascii="Times New Roman"/>
                            <w:sz w:val="13"/>
                          </w:rPr>
                        </w:pPr>
                      </w:p>
                      <w:p>
                        <w:pPr>
                          <w:pStyle w:val="TableParagraph"/>
                          <w:spacing w:before="1"/>
                          <w:ind w:left="147"/>
                          <w:jc w:val="left"/>
                          <w:rPr>
                            <w:b/>
                            <w:sz w:val="14"/>
                          </w:rPr>
                        </w:pPr>
                        <w:r>
                          <w:rPr>
                            <w:b/>
                            <w:sz w:val="14"/>
                          </w:rPr>
                          <w:t>Buildings</w:t>
                        </w:r>
                      </w:p>
                    </w:tc>
                    <w:tc>
                      <w:tcPr>
                        <w:tcW w:w="1044" w:type="dxa"/>
                      </w:tcPr>
                      <w:p>
                        <w:pPr>
                          <w:pStyle w:val="TableParagraph"/>
                          <w:spacing w:before="3"/>
                          <w:jc w:val="left"/>
                          <w:rPr>
                            <w:rFonts w:ascii="Times New Roman"/>
                            <w:sz w:val="13"/>
                          </w:rPr>
                        </w:pPr>
                      </w:p>
                      <w:p>
                        <w:pPr>
                          <w:pStyle w:val="TableParagraph"/>
                          <w:spacing w:before="1"/>
                          <w:ind w:right="73"/>
                          <w:rPr>
                            <w:b/>
                            <w:sz w:val="14"/>
                          </w:rPr>
                        </w:pPr>
                        <w:r>
                          <w:rPr>
                            <w:b/>
                            <w:sz w:val="14"/>
                          </w:rPr>
                          <w:t>Infrastructure</w:t>
                        </w:r>
                      </w:p>
                    </w:tc>
                    <w:tc>
                      <w:tcPr>
                        <w:tcW w:w="1141" w:type="dxa"/>
                      </w:tcPr>
                      <w:p>
                        <w:pPr>
                          <w:pStyle w:val="TableParagraph"/>
                          <w:ind w:left="338" w:right="98" w:hanging="288"/>
                          <w:jc w:val="left"/>
                          <w:rPr>
                            <w:b/>
                            <w:sz w:val="14"/>
                          </w:rPr>
                        </w:pPr>
                        <w:r>
                          <w:rPr>
                            <w:b/>
                            <w:sz w:val="14"/>
                          </w:rPr>
                          <w:t>Under Finance Lease</w:t>
                        </w:r>
                      </w:p>
                    </w:tc>
                    <w:tc>
                      <w:tcPr>
                        <w:tcW w:w="1012" w:type="dxa"/>
                      </w:tcPr>
                      <w:p>
                        <w:pPr>
                          <w:pStyle w:val="TableParagraph"/>
                          <w:ind w:left="102" w:right="166" w:firstLine="45"/>
                          <w:jc w:val="left"/>
                          <w:rPr>
                            <w:b/>
                            <w:sz w:val="14"/>
                          </w:rPr>
                        </w:pPr>
                        <w:r>
                          <w:rPr>
                            <w:b/>
                            <w:sz w:val="14"/>
                          </w:rPr>
                          <w:t>Plant and Equipment</w:t>
                        </w:r>
                      </w:p>
                    </w:tc>
                    <w:tc>
                      <w:tcPr>
                        <w:tcW w:w="1182" w:type="dxa"/>
                      </w:tcPr>
                      <w:p>
                        <w:pPr>
                          <w:pStyle w:val="TableParagraph"/>
                          <w:ind w:left="65" w:right="140" w:firstLine="133"/>
                          <w:jc w:val="left"/>
                          <w:rPr>
                            <w:b/>
                            <w:sz w:val="14"/>
                          </w:rPr>
                        </w:pPr>
                        <w:r>
                          <w:rPr>
                            <w:b/>
                            <w:sz w:val="14"/>
                          </w:rPr>
                          <w:t>Leasehold Improvements</w:t>
                        </w:r>
                      </w:p>
                    </w:tc>
                    <w:tc>
                      <w:tcPr>
                        <w:tcW w:w="1085" w:type="dxa"/>
                      </w:tcPr>
                      <w:p>
                        <w:pPr>
                          <w:pStyle w:val="TableParagraph"/>
                          <w:ind w:left="113" w:right="275" w:firstLine="103"/>
                          <w:jc w:val="left"/>
                          <w:rPr>
                            <w:b/>
                            <w:sz w:val="14"/>
                          </w:rPr>
                        </w:pPr>
                        <w:r>
                          <w:rPr>
                            <w:b/>
                            <w:sz w:val="14"/>
                          </w:rPr>
                          <w:t>Library Collection</w:t>
                        </w:r>
                      </w:p>
                    </w:tc>
                    <w:tc>
                      <w:tcPr>
                        <w:tcW w:w="1063" w:type="dxa"/>
                      </w:tcPr>
                      <w:p>
                        <w:pPr>
                          <w:pStyle w:val="TableParagraph"/>
                          <w:spacing w:before="3"/>
                          <w:jc w:val="left"/>
                          <w:rPr>
                            <w:rFonts w:ascii="Times New Roman"/>
                            <w:sz w:val="13"/>
                          </w:rPr>
                        </w:pPr>
                      </w:p>
                      <w:p>
                        <w:pPr>
                          <w:pStyle w:val="TableParagraph"/>
                          <w:spacing w:before="1"/>
                          <w:ind w:left="150"/>
                          <w:jc w:val="left"/>
                          <w:rPr>
                            <w:b/>
                            <w:sz w:val="14"/>
                          </w:rPr>
                        </w:pPr>
                        <w:r>
                          <w:rPr>
                            <w:b/>
                            <w:sz w:val="14"/>
                          </w:rPr>
                          <w:t>Artwork</w:t>
                        </w:r>
                      </w:p>
                    </w:tc>
                    <w:tc>
                      <w:tcPr>
                        <w:tcW w:w="908" w:type="dxa"/>
                      </w:tcPr>
                      <w:p>
                        <w:pPr>
                          <w:pStyle w:val="TableParagraph"/>
                          <w:spacing w:before="3"/>
                          <w:jc w:val="left"/>
                          <w:rPr>
                            <w:rFonts w:ascii="Times New Roman"/>
                            <w:sz w:val="13"/>
                          </w:rPr>
                        </w:pPr>
                      </w:p>
                      <w:p>
                        <w:pPr>
                          <w:pStyle w:val="TableParagraph"/>
                          <w:spacing w:before="1"/>
                          <w:ind w:left="234"/>
                          <w:jc w:val="left"/>
                          <w:rPr>
                            <w:b/>
                            <w:sz w:val="14"/>
                          </w:rPr>
                        </w:pPr>
                        <w:r>
                          <w:rPr>
                            <w:b/>
                            <w:sz w:val="14"/>
                          </w:rPr>
                          <w:t>Total</w:t>
                        </w:r>
                      </w:p>
                    </w:tc>
                  </w:tr>
                  <w:tr>
                    <w:trPr>
                      <w:trHeight w:val="211" w:hRule="exact"/>
                    </w:trPr>
                    <w:tc>
                      <w:tcPr>
                        <w:tcW w:w="4983" w:type="dxa"/>
                      </w:tcPr>
                      <w:p>
                        <w:pPr>
                          <w:pStyle w:val="TableParagraph"/>
                          <w:tabs>
                            <w:tab w:pos="3198" w:val="left" w:leader="none"/>
                            <w:tab w:pos="4246" w:val="left" w:leader="none"/>
                          </w:tabs>
                          <w:spacing w:before="26"/>
                          <w:ind w:left="68"/>
                          <w:jc w:val="left"/>
                          <w:rPr>
                            <w:b/>
                            <w:sz w:val="14"/>
                          </w:rPr>
                        </w:pPr>
                        <w:r>
                          <w:rPr>
                            <w:b/>
                            <w:sz w:val="14"/>
                          </w:rPr>
                          <w:t>Consolidated</w:t>
                          <w:tab/>
                          <w:t>$'000</w:t>
                          <w:tab/>
                          <w:t>$'000</w:t>
                        </w:r>
                      </w:p>
                    </w:tc>
                    <w:tc>
                      <w:tcPr>
                        <w:tcW w:w="1069" w:type="dxa"/>
                      </w:tcPr>
                      <w:p>
                        <w:pPr>
                          <w:pStyle w:val="TableParagraph"/>
                          <w:spacing w:before="26"/>
                          <w:ind w:left="313"/>
                          <w:jc w:val="left"/>
                          <w:rPr>
                            <w:b/>
                            <w:sz w:val="14"/>
                          </w:rPr>
                        </w:pPr>
                        <w:r>
                          <w:rPr>
                            <w:b/>
                            <w:sz w:val="14"/>
                          </w:rPr>
                          <w:t>$'000</w:t>
                        </w:r>
                      </w:p>
                    </w:tc>
                    <w:tc>
                      <w:tcPr>
                        <w:tcW w:w="1004" w:type="dxa"/>
                      </w:tcPr>
                      <w:p>
                        <w:pPr>
                          <w:pStyle w:val="TableParagraph"/>
                          <w:spacing w:before="26"/>
                          <w:ind w:left="293"/>
                          <w:jc w:val="left"/>
                          <w:rPr>
                            <w:b/>
                            <w:sz w:val="14"/>
                          </w:rPr>
                        </w:pPr>
                        <w:r>
                          <w:rPr>
                            <w:b/>
                            <w:sz w:val="14"/>
                          </w:rPr>
                          <w:t>$'000</w:t>
                        </w:r>
                      </w:p>
                    </w:tc>
                    <w:tc>
                      <w:tcPr>
                        <w:tcW w:w="1044" w:type="dxa"/>
                      </w:tcPr>
                      <w:p>
                        <w:pPr>
                          <w:pStyle w:val="TableParagraph"/>
                          <w:spacing w:before="26"/>
                          <w:ind w:left="338"/>
                          <w:jc w:val="left"/>
                          <w:rPr>
                            <w:b/>
                            <w:sz w:val="14"/>
                          </w:rPr>
                        </w:pPr>
                        <w:r>
                          <w:rPr>
                            <w:b/>
                            <w:sz w:val="14"/>
                          </w:rPr>
                          <w:t>$'000</w:t>
                        </w:r>
                      </w:p>
                    </w:tc>
                    <w:tc>
                      <w:tcPr>
                        <w:tcW w:w="1141" w:type="dxa"/>
                      </w:tcPr>
                      <w:p>
                        <w:pPr>
                          <w:pStyle w:val="TableParagraph"/>
                          <w:spacing w:before="26"/>
                          <w:ind w:left="363" w:right="98"/>
                          <w:jc w:val="left"/>
                          <w:rPr>
                            <w:b/>
                            <w:sz w:val="14"/>
                          </w:rPr>
                        </w:pPr>
                        <w:r>
                          <w:rPr>
                            <w:b/>
                            <w:sz w:val="14"/>
                          </w:rPr>
                          <w:t>$'000</w:t>
                        </w:r>
                      </w:p>
                    </w:tc>
                    <w:tc>
                      <w:tcPr>
                        <w:tcW w:w="1012" w:type="dxa"/>
                      </w:tcPr>
                      <w:p>
                        <w:pPr>
                          <w:pStyle w:val="TableParagraph"/>
                          <w:spacing w:before="26"/>
                          <w:ind w:left="291" w:right="166"/>
                          <w:jc w:val="left"/>
                          <w:rPr>
                            <w:b/>
                            <w:sz w:val="14"/>
                          </w:rPr>
                        </w:pPr>
                        <w:r>
                          <w:rPr>
                            <w:b/>
                            <w:sz w:val="14"/>
                          </w:rPr>
                          <w:t>$'000</w:t>
                        </w:r>
                      </w:p>
                    </w:tc>
                    <w:tc>
                      <w:tcPr>
                        <w:tcW w:w="1182" w:type="dxa"/>
                      </w:tcPr>
                      <w:p>
                        <w:pPr>
                          <w:pStyle w:val="TableParagraph"/>
                          <w:spacing w:before="26"/>
                          <w:ind w:left="371" w:right="140"/>
                          <w:jc w:val="left"/>
                          <w:rPr>
                            <w:b/>
                            <w:sz w:val="14"/>
                          </w:rPr>
                        </w:pPr>
                        <w:r>
                          <w:rPr>
                            <w:b/>
                            <w:sz w:val="14"/>
                          </w:rPr>
                          <w:t>$'000</w:t>
                        </w:r>
                      </w:p>
                    </w:tc>
                    <w:tc>
                      <w:tcPr>
                        <w:tcW w:w="1085" w:type="dxa"/>
                      </w:tcPr>
                      <w:p>
                        <w:pPr>
                          <w:pStyle w:val="TableParagraph"/>
                          <w:spacing w:before="26"/>
                          <w:ind w:left="279" w:right="275"/>
                          <w:jc w:val="left"/>
                          <w:rPr>
                            <w:b/>
                            <w:sz w:val="14"/>
                          </w:rPr>
                        </w:pPr>
                        <w:r>
                          <w:rPr>
                            <w:b/>
                            <w:sz w:val="14"/>
                          </w:rPr>
                          <w:t>$'000</w:t>
                        </w:r>
                      </w:p>
                    </w:tc>
                    <w:tc>
                      <w:tcPr>
                        <w:tcW w:w="1063" w:type="dxa"/>
                      </w:tcPr>
                      <w:p>
                        <w:pPr>
                          <w:pStyle w:val="TableParagraph"/>
                          <w:spacing w:before="26"/>
                          <w:ind w:left="243"/>
                          <w:jc w:val="left"/>
                          <w:rPr>
                            <w:b/>
                            <w:sz w:val="14"/>
                          </w:rPr>
                        </w:pPr>
                        <w:r>
                          <w:rPr>
                            <w:b/>
                            <w:sz w:val="14"/>
                          </w:rPr>
                          <w:t>$'000</w:t>
                        </w:r>
                      </w:p>
                    </w:tc>
                    <w:tc>
                      <w:tcPr>
                        <w:tcW w:w="908" w:type="dxa"/>
                      </w:tcPr>
                      <w:p>
                        <w:pPr>
                          <w:pStyle w:val="TableParagraph"/>
                          <w:spacing w:before="26"/>
                          <w:ind w:left="228"/>
                          <w:jc w:val="left"/>
                          <w:rPr>
                            <w:b/>
                            <w:sz w:val="14"/>
                          </w:rPr>
                        </w:pPr>
                        <w:r>
                          <w:rPr>
                            <w:b/>
                            <w:sz w:val="14"/>
                          </w:rPr>
                          <w:t>$'000</w:t>
                        </w:r>
                      </w:p>
                    </w:tc>
                  </w:tr>
                  <w:tr>
                    <w:trPr>
                      <w:trHeight w:val="192" w:hRule="exact"/>
                    </w:trPr>
                    <w:tc>
                      <w:tcPr>
                        <w:tcW w:w="4983" w:type="dxa"/>
                      </w:tcPr>
                      <w:p>
                        <w:pPr>
                          <w:pStyle w:val="TableParagraph"/>
                          <w:spacing w:before="9"/>
                          <w:ind w:left="68"/>
                          <w:jc w:val="left"/>
                          <w:rPr>
                            <w:b/>
                            <w:sz w:val="14"/>
                          </w:rPr>
                        </w:pPr>
                        <w:r>
                          <w:rPr>
                            <w:b/>
                            <w:sz w:val="14"/>
                          </w:rPr>
                          <w:t>Year Ended 31 December 2016</w:t>
                        </w:r>
                      </w:p>
                    </w:tc>
                    <w:tc>
                      <w:tcPr>
                        <w:tcW w:w="1069" w:type="dxa"/>
                      </w:tcPr>
                      <w:p>
                        <w:pPr/>
                      </w:p>
                    </w:tc>
                    <w:tc>
                      <w:tcPr>
                        <w:tcW w:w="1004" w:type="dxa"/>
                      </w:tcPr>
                      <w:p>
                        <w:pPr/>
                      </w:p>
                    </w:tc>
                    <w:tc>
                      <w:tcPr>
                        <w:tcW w:w="1044" w:type="dxa"/>
                      </w:tcPr>
                      <w:p>
                        <w:pPr/>
                      </w:p>
                    </w:tc>
                    <w:tc>
                      <w:tcPr>
                        <w:tcW w:w="1141" w:type="dxa"/>
                      </w:tcPr>
                      <w:p>
                        <w:pPr/>
                      </w:p>
                    </w:tc>
                    <w:tc>
                      <w:tcPr>
                        <w:tcW w:w="1012" w:type="dxa"/>
                      </w:tcPr>
                      <w:p>
                        <w:pPr/>
                      </w:p>
                    </w:tc>
                    <w:tc>
                      <w:tcPr>
                        <w:tcW w:w="1182" w:type="dxa"/>
                      </w:tcPr>
                      <w:p>
                        <w:pPr/>
                      </w:p>
                    </w:tc>
                    <w:tc>
                      <w:tcPr>
                        <w:tcW w:w="1085" w:type="dxa"/>
                      </w:tcPr>
                      <w:p>
                        <w:pPr/>
                      </w:p>
                    </w:tc>
                    <w:tc>
                      <w:tcPr>
                        <w:tcW w:w="1063" w:type="dxa"/>
                      </w:tcPr>
                      <w:p>
                        <w:pPr/>
                      </w:p>
                    </w:tc>
                    <w:tc>
                      <w:tcPr>
                        <w:tcW w:w="908" w:type="dxa"/>
                      </w:tcPr>
                      <w:p>
                        <w:pPr/>
                      </w:p>
                    </w:tc>
                  </w:tr>
                  <w:tr>
                    <w:trPr>
                      <w:trHeight w:val="205" w:hRule="exact"/>
                    </w:trPr>
                    <w:tc>
                      <w:tcPr>
                        <w:tcW w:w="4983" w:type="dxa"/>
                      </w:tcPr>
                      <w:p>
                        <w:pPr>
                          <w:pStyle w:val="TableParagraph"/>
                          <w:tabs>
                            <w:tab w:pos="3376" w:val="left" w:leader="none"/>
                            <w:tab w:pos="4347" w:val="left" w:leader="none"/>
                          </w:tabs>
                          <w:spacing w:before="8"/>
                          <w:ind w:left="68"/>
                          <w:jc w:val="left"/>
                          <w:rPr>
                            <w:sz w:val="14"/>
                          </w:rPr>
                        </w:pPr>
                        <w:r>
                          <w:rPr>
                            <w:sz w:val="14"/>
                          </w:rPr>
                          <w:t>Opening Net</w:t>
                        </w:r>
                        <w:r>
                          <w:rPr>
                            <w:spacing w:val="1"/>
                            <w:sz w:val="14"/>
                          </w:rPr>
                          <w:t> </w:t>
                        </w:r>
                        <w:r>
                          <w:rPr>
                            <w:sz w:val="14"/>
                          </w:rPr>
                          <w:t>Book Amount</w:t>
                          <w:tab/>
                          <w:t>62,261</w:t>
                          <w:tab/>
                          <w:t>214,596</w:t>
                        </w:r>
                      </w:p>
                    </w:tc>
                    <w:tc>
                      <w:tcPr>
                        <w:tcW w:w="1069" w:type="dxa"/>
                      </w:tcPr>
                      <w:p>
                        <w:pPr>
                          <w:pStyle w:val="TableParagraph"/>
                          <w:spacing w:before="7"/>
                          <w:ind w:right="145"/>
                          <w:rPr>
                            <w:sz w:val="14"/>
                          </w:rPr>
                        </w:pPr>
                        <w:r>
                          <w:rPr>
                            <w:sz w:val="14"/>
                          </w:rPr>
                          <w:t>162,335</w:t>
                        </w:r>
                      </w:p>
                    </w:tc>
                    <w:tc>
                      <w:tcPr>
                        <w:tcW w:w="1004" w:type="dxa"/>
                      </w:tcPr>
                      <w:p>
                        <w:pPr>
                          <w:pStyle w:val="TableParagraph"/>
                          <w:spacing w:before="7"/>
                          <w:ind w:right="100"/>
                          <w:rPr>
                            <w:sz w:val="14"/>
                          </w:rPr>
                        </w:pPr>
                        <w:r>
                          <w:rPr>
                            <w:sz w:val="14"/>
                          </w:rPr>
                          <w:t>910,661</w:t>
                        </w:r>
                      </w:p>
                    </w:tc>
                    <w:tc>
                      <w:tcPr>
                        <w:tcW w:w="1044" w:type="dxa"/>
                      </w:tcPr>
                      <w:p>
                        <w:pPr>
                          <w:pStyle w:val="TableParagraph"/>
                          <w:spacing w:before="7"/>
                          <w:ind w:right="95"/>
                          <w:rPr>
                            <w:sz w:val="14"/>
                          </w:rPr>
                        </w:pPr>
                        <w:r>
                          <w:rPr>
                            <w:sz w:val="14"/>
                          </w:rPr>
                          <w:t>85,395</w:t>
                        </w:r>
                      </w:p>
                    </w:tc>
                    <w:tc>
                      <w:tcPr>
                        <w:tcW w:w="1141" w:type="dxa"/>
                      </w:tcPr>
                      <w:p>
                        <w:pPr>
                          <w:pStyle w:val="TableParagraph"/>
                          <w:spacing w:before="7"/>
                          <w:ind w:right="147"/>
                          <w:rPr>
                            <w:sz w:val="14"/>
                          </w:rPr>
                        </w:pPr>
                        <w:r>
                          <w:rPr>
                            <w:w w:val="100"/>
                            <w:sz w:val="14"/>
                          </w:rPr>
                          <w:t>-</w:t>
                        </w:r>
                      </w:p>
                    </w:tc>
                    <w:tc>
                      <w:tcPr>
                        <w:tcW w:w="1012" w:type="dxa"/>
                      </w:tcPr>
                      <w:p>
                        <w:pPr>
                          <w:pStyle w:val="TableParagraph"/>
                          <w:spacing w:before="7"/>
                          <w:ind w:right="110"/>
                          <w:rPr>
                            <w:sz w:val="14"/>
                          </w:rPr>
                        </w:pPr>
                        <w:r>
                          <w:rPr>
                            <w:sz w:val="14"/>
                          </w:rPr>
                          <w:t>60,219</w:t>
                        </w:r>
                      </w:p>
                    </w:tc>
                    <w:tc>
                      <w:tcPr>
                        <w:tcW w:w="1182" w:type="dxa"/>
                      </w:tcPr>
                      <w:p>
                        <w:pPr>
                          <w:pStyle w:val="TableParagraph"/>
                          <w:spacing w:before="7"/>
                          <w:ind w:right="158"/>
                          <w:rPr>
                            <w:sz w:val="14"/>
                          </w:rPr>
                        </w:pPr>
                        <w:r>
                          <w:rPr>
                            <w:sz w:val="14"/>
                          </w:rPr>
                          <w:t>15,076</w:t>
                        </w:r>
                      </w:p>
                    </w:tc>
                    <w:tc>
                      <w:tcPr>
                        <w:tcW w:w="1085" w:type="dxa"/>
                      </w:tcPr>
                      <w:p>
                        <w:pPr>
                          <w:pStyle w:val="TableParagraph"/>
                          <w:spacing w:before="7"/>
                          <w:ind w:right="195"/>
                          <w:rPr>
                            <w:sz w:val="14"/>
                          </w:rPr>
                        </w:pPr>
                        <w:r>
                          <w:rPr>
                            <w:sz w:val="14"/>
                          </w:rPr>
                          <w:t>9,673</w:t>
                        </w:r>
                      </w:p>
                    </w:tc>
                    <w:tc>
                      <w:tcPr>
                        <w:tcW w:w="1063" w:type="dxa"/>
                      </w:tcPr>
                      <w:p>
                        <w:pPr>
                          <w:pStyle w:val="TableParagraph"/>
                          <w:spacing w:before="7"/>
                          <w:ind w:right="209"/>
                          <w:rPr>
                            <w:sz w:val="14"/>
                          </w:rPr>
                        </w:pPr>
                        <w:r>
                          <w:rPr>
                            <w:sz w:val="14"/>
                          </w:rPr>
                          <w:t>3,152</w:t>
                        </w:r>
                      </w:p>
                    </w:tc>
                    <w:tc>
                      <w:tcPr>
                        <w:tcW w:w="908" w:type="dxa"/>
                      </w:tcPr>
                      <w:p>
                        <w:pPr>
                          <w:pStyle w:val="TableParagraph"/>
                          <w:spacing w:before="7"/>
                          <w:ind w:right="68"/>
                          <w:rPr>
                            <w:sz w:val="14"/>
                          </w:rPr>
                        </w:pPr>
                        <w:r>
                          <w:rPr>
                            <w:sz w:val="14"/>
                          </w:rPr>
                          <w:t>1,523,368</w:t>
                        </w:r>
                      </w:p>
                    </w:tc>
                  </w:tr>
                  <w:tr>
                    <w:trPr>
                      <w:trHeight w:val="218" w:hRule="exact"/>
                    </w:trPr>
                    <w:tc>
                      <w:tcPr>
                        <w:tcW w:w="4983" w:type="dxa"/>
                      </w:tcPr>
                      <w:p>
                        <w:pPr>
                          <w:pStyle w:val="TableParagraph"/>
                          <w:tabs>
                            <w:tab w:pos="3759" w:val="left" w:leader="none"/>
                            <w:tab w:pos="4456" w:val="left" w:leader="none"/>
                          </w:tabs>
                          <w:spacing w:before="22"/>
                          <w:ind w:left="68"/>
                          <w:jc w:val="left"/>
                          <w:rPr>
                            <w:sz w:val="14"/>
                          </w:rPr>
                        </w:pPr>
                        <w:r>
                          <w:rPr>
                            <w:sz w:val="14"/>
                          </w:rPr>
                          <w:t>Revaluation</w:t>
                        </w:r>
                        <w:r>
                          <w:rPr>
                            <w:spacing w:val="-6"/>
                            <w:sz w:val="14"/>
                          </w:rPr>
                          <w:t> </w:t>
                        </w:r>
                        <w:r>
                          <w:rPr>
                            <w:sz w:val="14"/>
                          </w:rPr>
                          <w:t>Surplus</w:t>
                          <w:tab/>
                          <w:t>-</w:t>
                          <w:tab/>
                          <w:t>(3,055)</w:t>
                        </w:r>
                      </w:p>
                    </w:tc>
                    <w:tc>
                      <w:tcPr>
                        <w:tcW w:w="1069" w:type="dxa"/>
                      </w:tcPr>
                      <w:p>
                        <w:pPr>
                          <w:pStyle w:val="TableParagraph"/>
                          <w:spacing w:before="21"/>
                          <w:ind w:right="145"/>
                          <w:rPr>
                            <w:sz w:val="14"/>
                          </w:rPr>
                        </w:pPr>
                        <w:r>
                          <w:rPr>
                            <w:w w:val="100"/>
                            <w:sz w:val="14"/>
                          </w:rPr>
                          <w:t>-</w:t>
                        </w:r>
                      </w:p>
                    </w:tc>
                    <w:tc>
                      <w:tcPr>
                        <w:tcW w:w="1004" w:type="dxa"/>
                      </w:tcPr>
                      <w:p>
                        <w:pPr>
                          <w:pStyle w:val="TableParagraph"/>
                          <w:spacing w:before="21"/>
                          <w:ind w:right="99"/>
                          <w:rPr>
                            <w:sz w:val="14"/>
                          </w:rPr>
                        </w:pPr>
                        <w:r>
                          <w:rPr>
                            <w:sz w:val="14"/>
                          </w:rPr>
                          <w:t>19,722</w:t>
                        </w:r>
                      </w:p>
                    </w:tc>
                    <w:tc>
                      <w:tcPr>
                        <w:tcW w:w="1044" w:type="dxa"/>
                      </w:tcPr>
                      <w:p>
                        <w:pPr>
                          <w:pStyle w:val="TableParagraph"/>
                          <w:spacing w:before="21"/>
                          <w:ind w:right="95"/>
                          <w:rPr>
                            <w:sz w:val="14"/>
                          </w:rPr>
                        </w:pPr>
                        <w:r>
                          <w:rPr>
                            <w:sz w:val="14"/>
                          </w:rPr>
                          <w:t>2,203</w:t>
                        </w:r>
                      </w:p>
                    </w:tc>
                    <w:tc>
                      <w:tcPr>
                        <w:tcW w:w="1141" w:type="dxa"/>
                      </w:tcPr>
                      <w:p>
                        <w:pPr>
                          <w:pStyle w:val="TableParagraph"/>
                          <w:spacing w:before="21"/>
                          <w:ind w:right="147"/>
                          <w:rPr>
                            <w:sz w:val="14"/>
                          </w:rPr>
                        </w:pPr>
                        <w:r>
                          <w:rPr>
                            <w:w w:val="100"/>
                            <w:sz w:val="14"/>
                          </w:rPr>
                          <w:t>-</w:t>
                        </w:r>
                      </w:p>
                    </w:tc>
                    <w:tc>
                      <w:tcPr>
                        <w:tcW w:w="1012" w:type="dxa"/>
                      </w:tcPr>
                      <w:p>
                        <w:pPr>
                          <w:pStyle w:val="TableParagraph"/>
                          <w:spacing w:before="21"/>
                          <w:ind w:right="110"/>
                          <w:rPr>
                            <w:sz w:val="14"/>
                          </w:rPr>
                        </w:pPr>
                        <w:r>
                          <w:rPr>
                            <w:w w:val="100"/>
                            <w:sz w:val="14"/>
                          </w:rPr>
                          <w:t>-</w:t>
                        </w:r>
                      </w:p>
                    </w:tc>
                    <w:tc>
                      <w:tcPr>
                        <w:tcW w:w="1182" w:type="dxa"/>
                      </w:tcPr>
                      <w:p>
                        <w:pPr>
                          <w:pStyle w:val="TableParagraph"/>
                          <w:spacing w:before="21"/>
                          <w:ind w:right="158"/>
                          <w:rPr>
                            <w:sz w:val="14"/>
                          </w:rPr>
                        </w:pPr>
                        <w:r>
                          <w:rPr>
                            <w:w w:val="100"/>
                            <w:sz w:val="14"/>
                          </w:rPr>
                          <w:t>-</w:t>
                        </w:r>
                      </w:p>
                    </w:tc>
                    <w:tc>
                      <w:tcPr>
                        <w:tcW w:w="1085" w:type="dxa"/>
                      </w:tcPr>
                      <w:p>
                        <w:pPr>
                          <w:pStyle w:val="TableParagraph"/>
                          <w:spacing w:before="21"/>
                          <w:ind w:right="195"/>
                          <w:rPr>
                            <w:sz w:val="14"/>
                          </w:rPr>
                        </w:pPr>
                        <w:r>
                          <w:rPr>
                            <w:sz w:val="14"/>
                          </w:rPr>
                          <w:t>30</w:t>
                        </w:r>
                      </w:p>
                    </w:tc>
                    <w:tc>
                      <w:tcPr>
                        <w:tcW w:w="1063" w:type="dxa"/>
                      </w:tcPr>
                      <w:p>
                        <w:pPr>
                          <w:pStyle w:val="TableParagraph"/>
                          <w:spacing w:before="21"/>
                          <w:ind w:right="209"/>
                          <w:rPr>
                            <w:sz w:val="14"/>
                          </w:rPr>
                        </w:pPr>
                        <w:r>
                          <w:rPr>
                            <w:sz w:val="14"/>
                          </w:rPr>
                          <w:t>986</w:t>
                        </w:r>
                      </w:p>
                    </w:tc>
                    <w:tc>
                      <w:tcPr>
                        <w:tcW w:w="908" w:type="dxa"/>
                      </w:tcPr>
                      <w:p>
                        <w:pPr>
                          <w:pStyle w:val="TableParagraph"/>
                          <w:spacing w:before="21"/>
                          <w:ind w:right="68"/>
                          <w:rPr>
                            <w:sz w:val="14"/>
                          </w:rPr>
                        </w:pPr>
                        <w:r>
                          <w:rPr>
                            <w:sz w:val="14"/>
                          </w:rPr>
                          <w:t>19,886</w:t>
                        </w:r>
                      </w:p>
                    </w:tc>
                  </w:tr>
                  <w:tr>
                    <w:trPr>
                      <w:trHeight w:val="218" w:hRule="exact"/>
                    </w:trPr>
                    <w:tc>
                      <w:tcPr>
                        <w:tcW w:w="4983" w:type="dxa"/>
                      </w:tcPr>
                      <w:p>
                        <w:pPr>
                          <w:pStyle w:val="TableParagraph"/>
                          <w:tabs>
                            <w:tab w:pos="3298" w:val="left" w:leader="none"/>
                            <w:tab w:pos="4503" w:val="left" w:leader="none"/>
                          </w:tabs>
                          <w:spacing w:before="22"/>
                          <w:ind w:left="68"/>
                          <w:jc w:val="left"/>
                          <w:rPr>
                            <w:sz w:val="14"/>
                          </w:rPr>
                        </w:pPr>
                        <w:r>
                          <w:rPr>
                            <w:sz w:val="14"/>
                          </w:rPr>
                          <w:t>Additions</w:t>
                          <w:tab/>
                          <w:t>114,688</w:t>
                          <w:tab/>
                          <w:t>3,950</w:t>
                        </w:r>
                      </w:p>
                    </w:tc>
                    <w:tc>
                      <w:tcPr>
                        <w:tcW w:w="1069" w:type="dxa"/>
                      </w:tcPr>
                      <w:p>
                        <w:pPr>
                          <w:pStyle w:val="TableParagraph"/>
                          <w:spacing w:before="21"/>
                          <w:ind w:right="145"/>
                          <w:rPr>
                            <w:sz w:val="14"/>
                          </w:rPr>
                        </w:pPr>
                        <w:r>
                          <w:rPr>
                            <w:w w:val="100"/>
                            <w:sz w:val="14"/>
                          </w:rPr>
                          <w:t>-</w:t>
                        </w:r>
                      </w:p>
                    </w:tc>
                    <w:tc>
                      <w:tcPr>
                        <w:tcW w:w="1004" w:type="dxa"/>
                      </w:tcPr>
                      <w:p>
                        <w:pPr>
                          <w:pStyle w:val="TableParagraph"/>
                          <w:spacing w:before="21"/>
                          <w:ind w:right="101"/>
                          <w:rPr>
                            <w:sz w:val="14"/>
                          </w:rPr>
                        </w:pPr>
                        <w:r>
                          <w:rPr>
                            <w:w w:val="100"/>
                            <w:sz w:val="14"/>
                          </w:rPr>
                          <w:t>-</w:t>
                        </w:r>
                      </w:p>
                    </w:tc>
                    <w:tc>
                      <w:tcPr>
                        <w:tcW w:w="1044" w:type="dxa"/>
                      </w:tcPr>
                      <w:p>
                        <w:pPr>
                          <w:pStyle w:val="TableParagraph"/>
                          <w:spacing w:before="21"/>
                          <w:ind w:right="95"/>
                          <w:rPr>
                            <w:sz w:val="14"/>
                          </w:rPr>
                        </w:pPr>
                        <w:r>
                          <w:rPr>
                            <w:w w:val="100"/>
                            <w:sz w:val="14"/>
                          </w:rPr>
                          <w:t>-</w:t>
                        </w:r>
                      </w:p>
                    </w:tc>
                    <w:tc>
                      <w:tcPr>
                        <w:tcW w:w="1141" w:type="dxa"/>
                      </w:tcPr>
                      <w:p>
                        <w:pPr>
                          <w:pStyle w:val="TableParagraph"/>
                          <w:spacing w:before="21"/>
                          <w:ind w:right="147"/>
                          <w:rPr>
                            <w:sz w:val="14"/>
                          </w:rPr>
                        </w:pPr>
                        <w:r>
                          <w:rPr>
                            <w:w w:val="100"/>
                            <w:sz w:val="14"/>
                          </w:rPr>
                          <w:t>-</w:t>
                        </w:r>
                      </w:p>
                    </w:tc>
                    <w:tc>
                      <w:tcPr>
                        <w:tcW w:w="1012" w:type="dxa"/>
                      </w:tcPr>
                      <w:p>
                        <w:pPr>
                          <w:pStyle w:val="TableParagraph"/>
                          <w:spacing w:before="21"/>
                          <w:ind w:right="110"/>
                          <w:rPr>
                            <w:sz w:val="14"/>
                          </w:rPr>
                        </w:pPr>
                        <w:r>
                          <w:rPr>
                            <w:sz w:val="14"/>
                          </w:rPr>
                          <w:t>7,182</w:t>
                        </w:r>
                      </w:p>
                    </w:tc>
                    <w:tc>
                      <w:tcPr>
                        <w:tcW w:w="1182" w:type="dxa"/>
                      </w:tcPr>
                      <w:p>
                        <w:pPr>
                          <w:pStyle w:val="TableParagraph"/>
                          <w:spacing w:before="21"/>
                          <w:ind w:right="158"/>
                          <w:rPr>
                            <w:sz w:val="14"/>
                          </w:rPr>
                        </w:pPr>
                        <w:r>
                          <w:rPr>
                            <w:w w:val="100"/>
                            <w:sz w:val="14"/>
                          </w:rPr>
                          <w:t>-</w:t>
                        </w:r>
                      </w:p>
                    </w:tc>
                    <w:tc>
                      <w:tcPr>
                        <w:tcW w:w="1085" w:type="dxa"/>
                      </w:tcPr>
                      <w:p>
                        <w:pPr>
                          <w:pStyle w:val="TableParagraph"/>
                          <w:spacing w:before="21"/>
                          <w:ind w:right="195"/>
                          <w:rPr>
                            <w:sz w:val="14"/>
                          </w:rPr>
                        </w:pPr>
                        <w:r>
                          <w:rPr>
                            <w:sz w:val="14"/>
                          </w:rPr>
                          <w:t>2,179</w:t>
                        </w:r>
                      </w:p>
                    </w:tc>
                    <w:tc>
                      <w:tcPr>
                        <w:tcW w:w="1063" w:type="dxa"/>
                      </w:tcPr>
                      <w:p>
                        <w:pPr>
                          <w:pStyle w:val="TableParagraph"/>
                          <w:spacing w:before="21"/>
                          <w:ind w:right="209"/>
                          <w:rPr>
                            <w:sz w:val="14"/>
                          </w:rPr>
                        </w:pPr>
                        <w:r>
                          <w:rPr>
                            <w:sz w:val="14"/>
                          </w:rPr>
                          <w:t>66</w:t>
                        </w:r>
                      </w:p>
                    </w:tc>
                    <w:tc>
                      <w:tcPr>
                        <w:tcW w:w="908" w:type="dxa"/>
                      </w:tcPr>
                      <w:p>
                        <w:pPr>
                          <w:pStyle w:val="TableParagraph"/>
                          <w:spacing w:before="21"/>
                          <w:ind w:right="68"/>
                          <w:rPr>
                            <w:sz w:val="14"/>
                          </w:rPr>
                        </w:pPr>
                        <w:r>
                          <w:rPr>
                            <w:sz w:val="14"/>
                          </w:rPr>
                          <w:t>128,065</w:t>
                        </w:r>
                      </w:p>
                    </w:tc>
                  </w:tr>
                  <w:tr>
                    <w:trPr>
                      <w:trHeight w:val="218" w:hRule="exact"/>
                    </w:trPr>
                    <w:tc>
                      <w:tcPr>
                        <w:tcW w:w="4983" w:type="dxa"/>
                      </w:tcPr>
                      <w:p>
                        <w:pPr>
                          <w:pStyle w:val="TableParagraph"/>
                          <w:tabs>
                            <w:tab w:pos="3330" w:val="left" w:leader="none"/>
                            <w:tab w:pos="4808" w:val="left" w:leader="none"/>
                          </w:tabs>
                          <w:spacing w:before="22"/>
                          <w:ind w:left="68"/>
                          <w:jc w:val="left"/>
                          <w:rPr>
                            <w:sz w:val="14"/>
                          </w:rPr>
                        </w:pPr>
                        <w:r>
                          <w:rPr>
                            <w:sz w:val="14"/>
                          </w:rPr>
                          <w:t>Disposals</w:t>
                          <w:tab/>
                          <w:t>(11,310)</w:t>
                          <w:tab/>
                          <w:t>-</w:t>
                        </w:r>
                      </w:p>
                    </w:tc>
                    <w:tc>
                      <w:tcPr>
                        <w:tcW w:w="1069" w:type="dxa"/>
                      </w:tcPr>
                      <w:p>
                        <w:pPr>
                          <w:pStyle w:val="TableParagraph"/>
                          <w:spacing w:before="21"/>
                          <w:ind w:right="145"/>
                          <w:rPr>
                            <w:sz w:val="14"/>
                          </w:rPr>
                        </w:pPr>
                        <w:r>
                          <w:rPr>
                            <w:w w:val="100"/>
                            <w:sz w:val="14"/>
                          </w:rPr>
                          <w:t>-</w:t>
                        </w:r>
                      </w:p>
                    </w:tc>
                    <w:tc>
                      <w:tcPr>
                        <w:tcW w:w="1004" w:type="dxa"/>
                      </w:tcPr>
                      <w:p>
                        <w:pPr>
                          <w:pStyle w:val="TableParagraph"/>
                          <w:spacing w:before="21"/>
                          <w:ind w:right="53"/>
                          <w:rPr>
                            <w:sz w:val="14"/>
                          </w:rPr>
                        </w:pPr>
                        <w:r>
                          <w:rPr>
                            <w:sz w:val="14"/>
                          </w:rPr>
                          <w:t>(758)</w:t>
                        </w:r>
                      </w:p>
                    </w:tc>
                    <w:tc>
                      <w:tcPr>
                        <w:tcW w:w="1044" w:type="dxa"/>
                      </w:tcPr>
                      <w:p>
                        <w:pPr>
                          <w:pStyle w:val="TableParagraph"/>
                          <w:spacing w:before="21"/>
                          <w:ind w:right="95"/>
                          <w:rPr>
                            <w:sz w:val="14"/>
                          </w:rPr>
                        </w:pPr>
                        <w:r>
                          <w:rPr>
                            <w:w w:val="100"/>
                            <w:sz w:val="14"/>
                          </w:rPr>
                          <w:t>-</w:t>
                        </w:r>
                      </w:p>
                    </w:tc>
                    <w:tc>
                      <w:tcPr>
                        <w:tcW w:w="1141" w:type="dxa"/>
                      </w:tcPr>
                      <w:p>
                        <w:pPr>
                          <w:pStyle w:val="TableParagraph"/>
                          <w:spacing w:before="21"/>
                          <w:ind w:right="147"/>
                          <w:rPr>
                            <w:sz w:val="14"/>
                          </w:rPr>
                        </w:pPr>
                        <w:r>
                          <w:rPr>
                            <w:w w:val="100"/>
                            <w:sz w:val="14"/>
                          </w:rPr>
                          <w:t>-</w:t>
                        </w:r>
                      </w:p>
                    </w:tc>
                    <w:tc>
                      <w:tcPr>
                        <w:tcW w:w="1012" w:type="dxa"/>
                      </w:tcPr>
                      <w:p>
                        <w:pPr>
                          <w:pStyle w:val="TableParagraph"/>
                          <w:spacing w:before="21"/>
                          <w:ind w:right="63"/>
                          <w:rPr>
                            <w:sz w:val="14"/>
                          </w:rPr>
                        </w:pPr>
                        <w:r>
                          <w:rPr>
                            <w:sz w:val="14"/>
                          </w:rPr>
                          <w:t>(284)</w:t>
                        </w:r>
                      </w:p>
                    </w:tc>
                    <w:tc>
                      <w:tcPr>
                        <w:tcW w:w="1182" w:type="dxa"/>
                      </w:tcPr>
                      <w:p>
                        <w:pPr>
                          <w:pStyle w:val="TableParagraph"/>
                          <w:spacing w:before="21"/>
                          <w:ind w:right="158"/>
                          <w:rPr>
                            <w:sz w:val="14"/>
                          </w:rPr>
                        </w:pPr>
                        <w:r>
                          <w:rPr>
                            <w:w w:val="100"/>
                            <w:sz w:val="14"/>
                          </w:rPr>
                          <w:t>-</w:t>
                        </w:r>
                      </w:p>
                    </w:tc>
                    <w:tc>
                      <w:tcPr>
                        <w:tcW w:w="1085" w:type="dxa"/>
                      </w:tcPr>
                      <w:p>
                        <w:pPr>
                          <w:pStyle w:val="TableParagraph"/>
                          <w:spacing w:before="21"/>
                          <w:ind w:right="148"/>
                          <w:rPr>
                            <w:sz w:val="14"/>
                          </w:rPr>
                        </w:pPr>
                        <w:r>
                          <w:rPr>
                            <w:sz w:val="14"/>
                          </w:rPr>
                          <w:t>(228)</w:t>
                        </w:r>
                      </w:p>
                    </w:tc>
                    <w:tc>
                      <w:tcPr>
                        <w:tcW w:w="1063" w:type="dxa"/>
                      </w:tcPr>
                      <w:p>
                        <w:pPr>
                          <w:pStyle w:val="TableParagraph"/>
                          <w:spacing w:before="21"/>
                          <w:ind w:right="209"/>
                          <w:rPr>
                            <w:sz w:val="14"/>
                          </w:rPr>
                        </w:pPr>
                        <w:r>
                          <w:rPr>
                            <w:w w:val="100"/>
                            <w:sz w:val="14"/>
                          </w:rPr>
                          <w:t>-</w:t>
                        </w:r>
                      </w:p>
                    </w:tc>
                    <w:tc>
                      <w:tcPr>
                        <w:tcW w:w="908" w:type="dxa"/>
                      </w:tcPr>
                      <w:p>
                        <w:pPr>
                          <w:pStyle w:val="TableParagraph"/>
                          <w:spacing w:before="21"/>
                          <w:ind w:right="22"/>
                          <w:rPr>
                            <w:sz w:val="14"/>
                          </w:rPr>
                        </w:pPr>
                        <w:r>
                          <w:rPr>
                            <w:sz w:val="14"/>
                          </w:rPr>
                          <w:t>(12,580)</w:t>
                        </w:r>
                      </w:p>
                    </w:tc>
                  </w:tr>
                  <w:tr>
                    <w:trPr>
                      <w:trHeight w:val="218" w:hRule="exact"/>
                    </w:trPr>
                    <w:tc>
                      <w:tcPr>
                        <w:tcW w:w="4983" w:type="dxa"/>
                      </w:tcPr>
                      <w:p>
                        <w:pPr>
                          <w:pStyle w:val="TableParagraph"/>
                          <w:tabs>
                            <w:tab w:pos="3759" w:val="left" w:leader="none"/>
                            <w:tab w:pos="4808" w:val="left" w:leader="none"/>
                          </w:tabs>
                          <w:spacing w:before="22"/>
                          <w:ind w:left="68"/>
                          <w:jc w:val="left"/>
                          <w:rPr>
                            <w:sz w:val="14"/>
                          </w:rPr>
                        </w:pPr>
                        <w:r>
                          <w:rPr>
                            <w:sz w:val="14"/>
                          </w:rPr>
                          <w:t>Depreciation</w:t>
                        </w:r>
                        <w:r>
                          <w:rPr>
                            <w:spacing w:val="1"/>
                            <w:sz w:val="14"/>
                          </w:rPr>
                          <w:t> </w:t>
                        </w:r>
                        <w:r>
                          <w:rPr>
                            <w:sz w:val="14"/>
                          </w:rPr>
                          <w:t>Charge</w:t>
                          <w:tab/>
                          <w:t>-</w:t>
                          <w:tab/>
                          <w:t>-</w:t>
                        </w:r>
                      </w:p>
                    </w:tc>
                    <w:tc>
                      <w:tcPr>
                        <w:tcW w:w="1069" w:type="dxa"/>
                      </w:tcPr>
                      <w:p>
                        <w:pPr>
                          <w:pStyle w:val="TableParagraph"/>
                          <w:spacing w:before="21"/>
                          <w:ind w:right="145"/>
                          <w:rPr>
                            <w:sz w:val="14"/>
                          </w:rPr>
                        </w:pPr>
                        <w:r>
                          <w:rPr>
                            <w:w w:val="100"/>
                            <w:sz w:val="14"/>
                          </w:rPr>
                          <w:t>-</w:t>
                        </w:r>
                      </w:p>
                    </w:tc>
                    <w:tc>
                      <w:tcPr>
                        <w:tcW w:w="1004" w:type="dxa"/>
                      </w:tcPr>
                      <w:p>
                        <w:pPr>
                          <w:pStyle w:val="TableParagraph"/>
                          <w:spacing w:before="21"/>
                          <w:ind w:right="53"/>
                          <w:rPr>
                            <w:sz w:val="14"/>
                          </w:rPr>
                        </w:pPr>
                        <w:r>
                          <w:rPr>
                            <w:sz w:val="14"/>
                          </w:rPr>
                          <w:t>(23,172)</w:t>
                        </w:r>
                      </w:p>
                    </w:tc>
                    <w:tc>
                      <w:tcPr>
                        <w:tcW w:w="1044" w:type="dxa"/>
                      </w:tcPr>
                      <w:p>
                        <w:pPr>
                          <w:pStyle w:val="TableParagraph"/>
                          <w:spacing w:before="21"/>
                          <w:ind w:right="48"/>
                          <w:rPr>
                            <w:sz w:val="14"/>
                          </w:rPr>
                        </w:pPr>
                        <w:r>
                          <w:rPr>
                            <w:sz w:val="14"/>
                          </w:rPr>
                          <w:t>(2,752)</w:t>
                        </w:r>
                      </w:p>
                    </w:tc>
                    <w:tc>
                      <w:tcPr>
                        <w:tcW w:w="1141" w:type="dxa"/>
                      </w:tcPr>
                      <w:p>
                        <w:pPr>
                          <w:pStyle w:val="TableParagraph"/>
                          <w:spacing w:before="21"/>
                          <w:ind w:right="147"/>
                          <w:rPr>
                            <w:sz w:val="14"/>
                          </w:rPr>
                        </w:pPr>
                        <w:r>
                          <w:rPr>
                            <w:w w:val="100"/>
                            <w:sz w:val="14"/>
                          </w:rPr>
                          <w:t>-</w:t>
                        </w:r>
                      </w:p>
                    </w:tc>
                    <w:tc>
                      <w:tcPr>
                        <w:tcW w:w="1012" w:type="dxa"/>
                      </w:tcPr>
                      <w:p>
                        <w:pPr>
                          <w:pStyle w:val="TableParagraph"/>
                          <w:spacing w:before="21"/>
                          <w:ind w:right="63"/>
                          <w:rPr>
                            <w:sz w:val="14"/>
                          </w:rPr>
                        </w:pPr>
                        <w:r>
                          <w:rPr>
                            <w:sz w:val="14"/>
                          </w:rPr>
                          <w:t>(10,974)</w:t>
                        </w:r>
                      </w:p>
                    </w:tc>
                    <w:tc>
                      <w:tcPr>
                        <w:tcW w:w="1182" w:type="dxa"/>
                      </w:tcPr>
                      <w:p>
                        <w:pPr>
                          <w:pStyle w:val="TableParagraph"/>
                          <w:spacing w:before="21"/>
                          <w:ind w:right="111"/>
                          <w:rPr>
                            <w:sz w:val="14"/>
                          </w:rPr>
                        </w:pPr>
                        <w:r>
                          <w:rPr>
                            <w:sz w:val="14"/>
                          </w:rPr>
                          <w:t>(2,828)</w:t>
                        </w:r>
                      </w:p>
                    </w:tc>
                    <w:tc>
                      <w:tcPr>
                        <w:tcW w:w="1085" w:type="dxa"/>
                      </w:tcPr>
                      <w:p>
                        <w:pPr>
                          <w:pStyle w:val="TableParagraph"/>
                          <w:spacing w:before="21"/>
                          <w:ind w:right="148"/>
                          <w:rPr>
                            <w:sz w:val="14"/>
                          </w:rPr>
                        </w:pPr>
                        <w:r>
                          <w:rPr>
                            <w:sz w:val="14"/>
                          </w:rPr>
                          <w:t>(2,945)</w:t>
                        </w:r>
                      </w:p>
                    </w:tc>
                    <w:tc>
                      <w:tcPr>
                        <w:tcW w:w="1063" w:type="dxa"/>
                      </w:tcPr>
                      <w:p>
                        <w:pPr>
                          <w:pStyle w:val="TableParagraph"/>
                          <w:spacing w:before="21"/>
                          <w:ind w:right="209"/>
                          <w:rPr>
                            <w:sz w:val="14"/>
                          </w:rPr>
                        </w:pPr>
                        <w:r>
                          <w:rPr>
                            <w:w w:val="100"/>
                            <w:sz w:val="14"/>
                          </w:rPr>
                          <w:t>-</w:t>
                        </w:r>
                      </w:p>
                    </w:tc>
                    <w:tc>
                      <w:tcPr>
                        <w:tcW w:w="908" w:type="dxa"/>
                      </w:tcPr>
                      <w:p>
                        <w:pPr>
                          <w:pStyle w:val="TableParagraph"/>
                          <w:spacing w:before="21"/>
                          <w:ind w:right="22"/>
                          <w:rPr>
                            <w:sz w:val="14"/>
                          </w:rPr>
                        </w:pPr>
                        <w:r>
                          <w:rPr>
                            <w:sz w:val="14"/>
                          </w:rPr>
                          <w:t>(42,671)</w:t>
                        </w:r>
                      </w:p>
                    </w:tc>
                  </w:tr>
                  <w:tr>
                    <w:trPr>
                      <w:trHeight w:val="218" w:hRule="exact"/>
                    </w:trPr>
                    <w:tc>
                      <w:tcPr>
                        <w:tcW w:w="4983" w:type="dxa"/>
                      </w:tcPr>
                      <w:p>
                        <w:pPr>
                          <w:pStyle w:val="TableParagraph"/>
                          <w:tabs>
                            <w:tab w:pos="3759" w:val="left" w:leader="none"/>
                            <w:tab w:pos="4808" w:val="left" w:leader="none"/>
                          </w:tabs>
                          <w:spacing w:before="22"/>
                          <w:ind w:left="68"/>
                          <w:jc w:val="left"/>
                          <w:rPr>
                            <w:sz w:val="14"/>
                          </w:rPr>
                        </w:pPr>
                        <w:r>
                          <w:rPr>
                            <w:sz w:val="14"/>
                          </w:rPr>
                          <w:t>Non-Cash</w:t>
                        </w:r>
                        <w:r>
                          <w:rPr>
                            <w:spacing w:val="1"/>
                            <w:sz w:val="14"/>
                          </w:rPr>
                          <w:t> </w:t>
                        </w:r>
                        <w:r>
                          <w:rPr>
                            <w:sz w:val="14"/>
                          </w:rPr>
                          <w:t>Adjustments</w:t>
                          <w:tab/>
                          <w:t>-</w:t>
                          <w:tab/>
                          <w:t>-</w:t>
                        </w:r>
                      </w:p>
                    </w:tc>
                    <w:tc>
                      <w:tcPr>
                        <w:tcW w:w="1069" w:type="dxa"/>
                      </w:tcPr>
                      <w:p>
                        <w:pPr>
                          <w:pStyle w:val="TableParagraph"/>
                          <w:spacing w:before="21"/>
                          <w:ind w:right="145"/>
                          <w:rPr>
                            <w:sz w:val="14"/>
                          </w:rPr>
                        </w:pPr>
                        <w:r>
                          <w:rPr>
                            <w:w w:val="100"/>
                            <w:sz w:val="14"/>
                          </w:rPr>
                          <w:t>-</w:t>
                        </w:r>
                      </w:p>
                    </w:tc>
                    <w:tc>
                      <w:tcPr>
                        <w:tcW w:w="1004" w:type="dxa"/>
                      </w:tcPr>
                      <w:p>
                        <w:pPr>
                          <w:pStyle w:val="TableParagraph"/>
                          <w:spacing w:before="21"/>
                          <w:ind w:right="101"/>
                          <w:rPr>
                            <w:sz w:val="14"/>
                          </w:rPr>
                        </w:pPr>
                        <w:r>
                          <w:rPr>
                            <w:w w:val="100"/>
                            <w:sz w:val="14"/>
                          </w:rPr>
                          <w:t>-</w:t>
                        </w:r>
                      </w:p>
                    </w:tc>
                    <w:tc>
                      <w:tcPr>
                        <w:tcW w:w="1044" w:type="dxa"/>
                      </w:tcPr>
                      <w:p>
                        <w:pPr>
                          <w:pStyle w:val="TableParagraph"/>
                          <w:spacing w:before="21"/>
                          <w:ind w:right="95"/>
                          <w:rPr>
                            <w:sz w:val="14"/>
                          </w:rPr>
                        </w:pPr>
                        <w:r>
                          <w:rPr>
                            <w:w w:val="100"/>
                            <w:sz w:val="14"/>
                          </w:rPr>
                          <w:t>-</w:t>
                        </w:r>
                      </w:p>
                    </w:tc>
                    <w:tc>
                      <w:tcPr>
                        <w:tcW w:w="1141" w:type="dxa"/>
                      </w:tcPr>
                      <w:p>
                        <w:pPr>
                          <w:pStyle w:val="TableParagraph"/>
                          <w:spacing w:before="21"/>
                          <w:ind w:right="147"/>
                          <w:rPr>
                            <w:sz w:val="14"/>
                          </w:rPr>
                        </w:pPr>
                        <w:r>
                          <w:rPr>
                            <w:w w:val="100"/>
                            <w:sz w:val="14"/>
                          </w:rPr>
                          <w:t>-</w:t>
                        </w:r>
                      </w:p>
                    </w:tc>
                    <w:tc>
                      <w:tcPr>
                        <w:tcW w:w="1012" w:type="dxa"/>
                      </w:tcPr>
                      <w:p>
                        <w:pPr>
                          <w:pStyle w:val="TableParagraph"/>
                          <w:spacing w:before="21"/>
                          <w:ind w:right="110"/>
                          <w:rPr>
                            <w:sz w:val="14"/>
                          </w:rPr>
                        </w:pPr>
                        <w:r>
                          <w:rPr>
                            <w:w w:val="100"/>
                            <w:sz w:val="14"/>
                          </w:rPr>
                          <w:t>-</w:t>
                        </w:r>
                      </w:p>
                    </w:tc>
                    <w:tc>
                      <w:tcPr>
                        <w:tcW w:w="1182" w:type="dxa"/>
                      </w:tcPr>
                      <w:p>
                        <w:pPr>
                          <w:pStyle w:val="TableParagraph"/>
                          <w:spacing w:before="21"/>
                          <w:ind w:right="158"/>
                          <w:rPr>
                            <w:sz w:val="14"/>
                          </w:rPr>
                        </w:pPr>
                        <w:r>
                          <w:rPr>
                            <w:sz w:val="14"/>
                          </w:rPr>
                          <w:t>28</w:t>
                        </w:r>
                      </w:p>
                    </w:tc>
                    <w:tc>
                      <w:tcPr>
                        <w:tcW w:w="1085" w:type="dxa"/>
                      </w:tcPr>
                      <w:p>
                        <w:pPr>
                          <w:pStyle w:val="TableParagraph"/>
                          <w:spacing w:before="21"/>
                          <w:ind w:right="195"/>
                          <w:rPr>
                            <w:sz w:val="14"/>
                          </w:rPr>
                        </w:pPr>
                        <w:r>
                          <w:rPr>
                            <w:w w:val="100"/>
                            <w:sz w:val="14"/>
                          </w:rPr>
                          <w:t>-</w:t>
                        </w:r>
                      </w:p>
                    </w:tc>
                    <w:tc>
                      <w:tcPr>
                        <w:tcW w:w="1063" w:type="dxa"/>
                      </w:tcPr>
                      <w:p>
                        <w:pPr>
                          <w:pStyle w:val="TableParagraph"/>
                          <w:spacing w:before="21"/>
                          <w:ind w:right="209"/>
                          <w:rPr>
                            <w:sz w:val="14"/>
                          </w:rPr>
                        </w:pPr>
                        <w:r>
                          <w:rPr>
                            <w:w w:val="100"/>
                            <w:sz w:val="14"/>
                          </w:rPr>
                          <w:t>-</w:t>
                        </w:r>
                      </w:p>
                    </w:tc>
                    <w:tc>
                      <w:tcPr>
                        <w:tcW w:w="908" w:type="dxa"/>
                      </w:tcPr>
                      <w:p>
                        <w:pPr>
                          <w:pStyle w:val="TableParagraph"/>
                          <w:spacing w:before="21"/>
                          <w:ind w:right="68"/>
                          <w:rPr>
                            <w:sz w:val="14"/>
                          </w:rPr>
                        </w:pPr>
                        <w:r>
                          <w:rPr>
                            <w:sz w:val="14"/>
                          </w:rPr>
                          <w:t>28</w:t>
                        </w:r>
                      </w:p>
                    </w:tc>
                  </w:tr>
                  <w:tr>
                    <w:trPr>
                      <w:trHeight w:val="377" w:hRule="exact"/>
                    </w:trPr>
                    <w:tc>
                      <w:tcPr>
                        <w:tcW w:w="4983" w:type="dxa"/>
                      </w:tcPr>
                      <w:p>
                        <w:pPr>
                          <w:pStyle w:val="TableParagraph"/>
                          <w:spacing w:before="20"/>
                          <w:ind w:left="68"/>
                          <w:jc w:val="left"/>
                          <w:rPr>
                            <w:sz w:val="14"/>
                          </w:rPr>
                        </w:pPr>
                        <w:r>
                          <w:rPr>
                            <w:sz w:val="14"/>
                          </w:rPr>
                          <w:t>Transfers to Freehold Buildings and</w:t>
                        </w:r>
                      </w:p>
                      <w:p>
                        <w:pPr>
                          <w:pStyle w:val="TableParagraph"/>
                          <w:tabs>
                            <w:tab w:pos="3330" w:val="left" w:leader="none"/>
                            <w:tab w:pos="4808" w:val="left" w:leader="none"/>
                          </w:tabs>
                          <w:ind w:left="68"/>
                          <w:jc w:val="left"/>
                          <w:rPr>
                            <w:sz w:val="14"/>
                          </w:rPr>
                        </w:pPr>
                        <w:r>
                          <w:rPr>
                            <w:sz w:val="14"/>
                          </w:rPr>
                          <w:t>Plant &amp; Equipment</w:t>
                          <w:tab/>
                          <w:t>(80,595)</w:t>
                          <w:tab/>
                          <w:t>-</w:t>
                        </w:r>
                      </w:p>
                    </w:tc>
                    <w:tc>
                      <w:tcPr>
                        <w:tcW w:w="1069" w:type="dxa"/>
                      </w:tcPr>
                      <w:p>
                        <w:pPr>
                          <w:pStyle w:val="TableParagraph"/>
                          <w:spacing w:before="7"/>
                          <w:jc w:val="left"/>
                          <w:rPr>
                            <w:rFonts w:ascii="Times New Roman"/>
                            <w:sz w:val="15"/>
                          </w:rPr>
                        </w:pPr>
                      </w:p>
                      <w:p>
                        <w:pPr>
                          <w:pStyle w:val="TableParagraph"/>
                          <w:ind w:right="145"/>
                          <w:rPr>
                            <w:sz w:val="14"/>
                          </w:rPr>
                        </w:pPr>
                        <w:r>
                          <w:rPr>
                            <w:w w:val="100"/>
                            <w:sz w:val="14"/>
                          </w:rPr>
                          <w:t>-</w:t>
                        </w:r>
                      </w:p>
                    </w:tc>
                    <w:tc>
                      <w:tcPr>
                        <w:tcW w:w="1004" w:type="dxa"/>
                      </w:tcPr>
                      <w:p>
                        <w:pPr>
                          <w:pStyle w:val="TableParagraph"/>
                          <w:spacing w:before="7"/>
                          <w:jc w:val="left"/>
                          <w:rPr>
                            <w:rFonts w:ascii="Times New Roman"/>
                            <w:sz w:val="15"/>
                          </w:rPr>
                        </w:pPr>
                      </w:p>
                      <w:p>
                        <w:pPr>
                          <w:pStyle w:val="TableParagraph"/>
                          <w:ind w:right="101"/>
                          <w:rPr>
                            <w:sz w:val="14"/>
                          </w:rPr>
                        </w:pPr>
                        <w:r>
                          <w:rPr>
                            <w:w w:val="100"/>
                            <w:sz w:val="14"/>
                          </w:rPr>
                          <w:t>-</w:t>
                        </w:r>
                      </w:p>
                    </w:tc>
                    <w:tc>
                      <w:tcPr>
                        <w:tcW w:w="1044" w:type="dxa"/>
                      </w:tcPr>
                      <w:p>
                        <w:pPr>
                          <w:pStyle w:val="TableParagraph"/>
                          <w:spacing w:before="7"/>
                          <w:jc w:val="left"/>
                          <w:rPr>
                            <w:rFonts w:ascii="Times New Roman"/>
                            <w:sz w:val="15"/>
                          </w:rPr>
                        </w:pPr>
                      </w:p>
                      <w:p>
                        <w:pPr>
                          <w:pStyle w:val="TableParagraph"/>
                          <w:ind w:right="95"/>
                          <w:rPr>
                            <w:sz w:val="14"/>
                          </w:rPr>
                        </w:pPr>
                        <w:r>
                          <w:rPr>
                            <w:w w:val="100"/>
                            <w:sz w:val="14"/>
                          </w:rPr>
                          <w:t>-</w:t>
                        </w:r>
                      </w:p>
                    </w:tc>
                    <w:tc>
                      <w:tcPr>
                        <w:tcW w:w="1141" w:type="dxa"/>
                      </w:tcPr>
                      <w:p>
                        <w:pPr>
                          <w:pStyle w:val="TableParagraph"/>
                          <w:spacing w:before="7"/>
                          <w:jc w:val="left"/>
                          <w:rPr>
                            <w:rFonts w:ascii="Times New Roman"/>
                            <w:sz w:val="15"/>
                          </w:rPr>
                        </w:pPr>
                      </w:p>
                      <w:p>
                        <w:pPr>
                          <w:pStyle w:val="TableParagraph"/>
                          <w:ind w:right="147"/>
                          <w:rPr>
                            <w:sz w:val="14"/>
                          </w:rPr>
                        </w:pPr>
                        <w:r>
                          <w:rPr>
                            <w:w w:val="100"/>
                            <w:sz w:val="14"/>
                          </w:rPr>
                          <w:t>-</w:t>
                        </w:r>
                      </w:p>
                    </w:tc>
                    <w:tc>
                      <w:tcPr>
                        <w:tcW w:w="1012" w:type="dxa"/>
                      </w:tcPr>
                      <w:p>
                        <w:pPr>
                          <w:pStyle w:val="TableParagraph"/>
                          <w:spacing w:before="7"/>
                          <w:jc w:val="left"/>
                          <w:rPr>
                            <w:rFonts w:ascii="Times New Roman"/>
                            <w:sz w:val="15"/>
                          </w:rPr>
                        </w:pPr>
                      </w:p>
                      <w:p>
                        <w:pPr>
                          <w:pStyle w:val="TableParagraph"/>
                          <w:ind w:right="110"/>
                          <w:rPr>
                            <w:sz w:val="14"/>
                          </w:rPr>
                        </w:pPr>
                        <w:r>
                          <w:rPr>
                            <w:w w:val="100"/>
                            <w:sz w:val="14"/>
                          </w:rPr>
                          <w:t>-</w:t>
                        </w:r>
                      </w:p>
                    </w:tc>
                    <w:tc>
                      <w:tcPr>
                        <w:tcW w:w="1182" w:type="dxa"/>
                      </w:tcPr>
                      <w:p>
                        <w:pPr>
                          <w:pStyle w:val="TableParagraph"/>
                          <w:spacing w:before="7"/>
                          <w:jc w:val="left"/>
                          <w:rPr>
                            <w:rFonts w:ascii="Times New Roman"/>
                            <w:sz w:val="15"/>
                          </w:rPr>
                        </w:pPr>
                      </w:p>
                      <w:p>
                        <w:pPr>
                          <w:pStyle w:val="TableParagraph"/>
                          <w:ind w:right="158"/>
                          <w:rPr>
                            <w:sz w:val="14"/>
                          </w:rPr>
                        </w:pPr>
                        <w:r>
                          <w:rPr>
                            <w:w w:val="100"/>
                            <w:sz w:val="14"/>
                          </w:rPr>
                          <w:t>-</w:t>
                        </w:r>
                      </w:p>
                    </w:tc>
                    <w:tc>
                      <w:tcPr>
                        <w:tcW w:w="1085" w:type="dxa"/>
                      </w:tcPr>
                      <w:p>
                        <w:pPr>
                          <w:pStyle w:val="TableParagraph"/>
                          <w:spacing w:before="7"/>
                          <w:jc w:val="left"/>
                          <w:rPr>
                            <w:rFonts w:ascii="Times New Roman"/>
                            <w:sz w:val="15"/>
                          </w:rPr>
                        </w:pPr>
                      </w:p>
                      <w:p>
                        <w:pPr>
                          <w:pStyle w:val="TableParagraph"/>
                          <w:ind w:right="195"/>
                          <w:rPr>
                            <w:sz w:val="14"/>
                          </w:rPr>
                        </w:pPr>
                        <w:r>
                          <w:rPr>
                            <w:w w:val="100"/>
                            <w:sz w:val="14"/>
                          </w:rPr>
                          <w:t>-</w:t>
                        </w:r>
                      </w:p>
                    </w:tc>
                    <w:tc>
                      <w:tcPr>
                        <w:tcW w:w="1063" w:type="dxa"/>
                      </w:tcPr>
                      <w:p>
                        <w:pPr>
                          <w:pStyle w:val="TableParagraph"/>
                          <w:spacing w:before="7"/>
                          <w:jc w:val="left"/>
                          <w:rPr>
                            <w:rFonts w:ascii="Times New Roman"/>
                            <w:sz w:val="15"/>
                          </w:rPr>
                        </w:pPr>
                      </w:p>
                      <w:p>
                        <w:pPr>
                          <w:pStyle w:val="TableParagraph"/>
                          <w:ind w:right="209"/>
                          <w:rPr>
                            <w:sz w:val="14"/>
                          </w:rPr>
                        </w:pPr>
                        <w:r>
                          <w:rPr>
                            <w:w w:val="100"/>
                            <w:sz w:val="14"/>
                          </w:rPr>
                          <w:t>-</w:t>
                        </w:r>
                      </w:p>
                    </w:tc>
                    <w:tc>
                      <w:tcPr>
                        <w:tcW w:w="908" w:type="dxa"/>
                      </w:tcPr>
                      <w:p>
                        <w:pPr>
                          <w:pStyle w:val="TableParagraph"/>
                          <w:spacing w:before="7"/>
                          <w:jc w:val="left"/>
                          <w:rPr>
                            <w:rFonts w:ascii="Times New Roman"/>
                            <w:sz w:val="15"/>
                          </w:rPr>
                        </w:pPr>
                      </w:p>
                      <w:p>
                        <w:pPr>
                          <w:pStyle w:val="TableParagraph"/>
                          <w:ind w:right="22"/>
                          <w:rPr>
                            <w:sz w:val="14"/>
                          </w:rPr>
                        </w:pPr>
                        <w:r>
                          <w:rPr>
                            <w:sz w:val="14"/>
                          </w:rPr>
                          <w:t>(80,595)</w:t>
                        </w:r>
                      </w:p>
                    </w:tc>
                  </w:tr>
                  <w:tr>
                    <w:trPr>
                      <w:trHeight w:val="377" w:hRule="exact"/>
                    </w:trPr>
                    <w:tc>
                      <w:tcPr>
                        <w:tcW w:w="4983" w:type="dxa"/>
                      </w:tcPr>
                      <w:p>
                        <w:pPr>
                          <w:pStyle w:val="TableParagraph"/>
                          <w:spacing w:before="20"/>
                          <w:ind w:left="68"/>
                          <w:jc w:val="left"/>
                          <w:rPr>
                            <w:sz w:val="14"/>
                          </w:rPr>
                        </w:pPr>
                        <w:r>
                          <w:rPr>
                            <w:sz w:val="14"/>
                          </w:rPr>
                          <w:t>Transfers from Construction in</w:t>
                        </w:r>
                      </w:p>
                      <w:p>
                        <w:pPr>
                          <w:pStyle w:val="TableParagraph"/>
                          <w:tabs>
                            <w:tab w:pos="3759" w:val="left" w:leader="none"/>
                            <w:tab w:pos="4808" w:val="left" w:leader="none"/>
                          </w:tabs>
                          <w:ind w:left="68"/>
                          <w:jc w:val="left"/>
                          <w:rPr>
                            <w:sz w:val="14"/>
                          </w:rPr>
                        </w:pPr>
                        <w:r>
                          <w:rPr>
                            <w:sz w:val="14"/>
                          </w:rPr>
                          <w:t>Progress</w:t>
                          <w:tab/>
                          <w:t>-</w:t>
                          <w:tab/>
                          <w:t>-</w:t>
                        </w:r>
                      </w:p>
                    </w:tc>
                    <w:tc>
                      <w:tcPr>
                        <w:tcW w:w="1069" w:type="dxa"/>
                      </w:tcPr>
                      <w:p>
                        <w:pPr>
                          <w:pStyle w:val="TableParagraph"/>
                          <w:spacing w:before="7"/>
                          <w:jc w:val="left"/>
                          <w:rPr>
                            <w:rFonts w:ascii="Times New Roman"/>
                            <w:sz w:val="15"/>
                          </w:rPr>
                        </w:pPr>
                      </w:p>
                      <w:p>
                        <w:pPr>
                          <w:pStyle w:val="TableParagraph"/>
                          <w:ind w:right="145"/>
                          <w:rPr>
                            <w:sz w:val="14"/>
                          </w:rPr>
                        </w:pPr>
                        <w:r>
                          <w:rPr>
                            <w:w w:val="100"/>
                            <w:sz w:val="14"/>
                          </w:rPr>
                          <w:t>-</w:t>
                        </w:r>
                      </w:p>
                    </w:tc>
                    <w:tc>
                      <w:tcPr>
                        <w:tcW w:w="1004" w:type="dxa"/>
                      </w:tcPr>
                      <w:p>
                        <w:pPr>
                          <w:pStyle w:val="TableParagraph"/>
                          <w:spacing w:before="7"/>
                          <w:jc w:val="left"/>
                          <w:rPr>
                            <w:rFonts w:ascii="Times New Roman"/>
                            <w:sz w:val="15"/>
                          </w:rPr>
                        </w:pPr>
                      </w:p>
                      <w:p>
                        <w:pPr>
                          <w:pStyle w:val="TableParagraph"/>
                          <w:ind w:right="99"/>
                          <w:rPr>
                            <w:sz w:val="14"/>
                          </w:rPr>
                        </w:pPr>
                        <w:r>
                          <w:rPr>
                            <w:sz w:val="14"/>
                          </w:rPr>
                          <w:t>54,304</w:t>
                        </w:r>
                      </w:p>
                    </w:tc>
                    <w:tc>
                      <w:tcPr>
                        <w:tcW w:w="1044" w:type="dxa"/>
                      </w:tcPr>
                      <w:p>
                        <w:pPr>
                          <w:pStyle w:val="TableParagraph"/>
                          <w:spacing w:before="7"/>
                          <w:jc w:val="left"/>
                          <w:rPr>
                            <w:rFonts w:ascii="Times New Roman"/>
                            <w:sz w:val="15"/>
                          </w:rPr>
                        </w:pPr>
                      </w:p>
                      <w:p>
                        <w:pPr>
                          <w:pStyle w:val="TableParagraph"/>
                          <w:ind w:right="95"/>
                          <w:rPr>
                            <w:sz w:val="14"/>
                          </w:rPr>
                        </w:pPr>
                        <w:r>
                          <w:rPr>
                            <w:sz w:val="14"/>
                          </w:rPr>
                          <w:t>11,674</w:t>
                        </w:r>
                      </w:p>
                    </w:tc>
                    <w:tc>
                      <w:tcPr>
                        <w:tcW w:w="1141" w:type="dxa"/>
                      </w:tcPr>
                      <w:p>
                        <w:pPr>
                          <w:pStyle w:val="TableParagraph"/>
                          <w:spacing w:before="7"/>
                          <w:jc w:val="left"/>
                          <w:rPr>
                            <w:rFonts w:ascii="Times New Roman"/>
                            <w:sz w:val="15"/>
                          </w:rPr>
                        </w:pPr>
                      </w:p>
                      <w:p>
                        <w:pPr>
                          <w:pStyle w:val="TableParagraph"/>
                          <w:ind w:right="147"/>
                          <w:rPr>
                            <w:sz w:val="14"/>
                          </w:rPr>
                        </w:pPr>
                        <w:r>
                          <w:rPr>
                            <w:w w:val="100"/>
                            <w:sz w:val="14"/>
                          </w:rPr>
                          <w:t>-</w:t>
                        </w:r>
                      </w:p>
                    </w:tc>
                    <w:tc>
                      <w:tcPr>
                        <w:tcW w:w="1012" w:type="dxa"/>
                      </w:tcPr>
                      <w:p>
                        <w:pPr>
                          <w:pStyle w:val="TableParagraph"/>
                          <w:spacing w:before="7"/>
                          <w:jc w:val="left"/>
                          <w:rPr>
                            <w:rFonts w:ascii="Times New Roman"/>
                            <w:sz w:val="15"/>
                          </w:rPr>
                        </w:pPr>
                      </w:p>
                      <w:p>
                        <w:pPr>
                          <w:pStyle w:val="TableParagraph"/>
                          <w:ind w:right="110"/>
                          <w:rPr>
                            <w:sz w:val="14"/>
                          </w:rPr>
                        </w:pPr>
                        <w:r>
                          <w:rPr>
                            <w:sz w:val="14"/>
                          </w:rPr>
                          <w:t>10,022</w:t>
                        </w:r>
                      </w:p>
                    </w:tc>
                    <w:tc>
                      <w:tcPr>
                        <w:tcW w:w="1182" w:type="dxa"/>
                      </w:tcPr>
                      <w:p>
                        <w:pPr>
                          <w:pStyle w:val="TableParagraph"/>
                          <w:spacing w:before="7"/>
                          <w:jc w:val="left"/>
                          <w:rPr>
                            <w:rFonts w:ascii="Times New Roman"/>
                            <w:sz w:val="15"/>
                          </w:rPr>
                        </w:pPr>
                      </w:p>
                      <w:p>
                        <w:pPr>
                          <w:pStyle w:val="TableParagraph"/>
                          <w:ind w:right="158"/>
                          <w:rPr>
                            <w:sz w:val="14"/>
                          </w:rPr>
                        </w:pPr>
                        <w:r>
                          <w:rPr>
                            <w:sz w:val="14"/>
                          </w:rPr>
                          <w:t>4,595</w:t>
                        </w:r>
                      </w:p>
                    </w:tc>
                    <w:tc>
                      <w:tcPr>
                        <w:tcW w:w="1085" w:type="dxa"/>
                      </w:tcPr>
                      <w:p>
                        <w:pPr>
                          <w:pStyle w:val="TableParagraph"/>
                          <w:spacing w:before="7"/>
                          <w:jc w:val="left"/>
                          <w:rPr>
                            <w:rFonts w:ascii="Times New Roman"/>
                            <w:sz w:val="15"/>
                          </w:rPr>
                        </w:pPr>
                      </w:p>
                      <w:p>
                        <w:pPr>
                          <w:pStyle w:val="TableParagraph"/>
                          <w:ind w:right="195"/>
                          <w:rPr>
                            <w:sz w:val="14"/>
                          </w:rPr>
                        </w:pPr>
                        <w:r>
                          <w:rPr>
                            <w:w w:val="100"/>
                            <w:sz w:val="14"/>
                          </w:rPr>
                          <w:t>-</w:t>
                        </w:r>
                      </w:p>
                    </w:tc>
                    <w:tc>
                      <w:tcPr>
                        <w:tcW w:w="1063" w:type="dxa"/>
                      </w:tcPr>
                      <w:p>
                        <w:pPr>
                          <w:pStyle w:val="TableParagraph"/>
                          <w:spacing w:before="7"/>
                          <w:jc w:val="left"/>
                          <w:rPr>
                            <w:rFonts w:ascii="Times New Roman"/>
                            <w:sz w:val="15"/>
                          </w:rPr>
                        </w:pPr>
                      </w:p>
                      <w:p>
                        <w:pPr>
                          <w:pStyle w:val="TableParagraph"/>
                          <w:ind w:right="209"/>
                          <w:rPr>
                            <w:sz w:val="14"/>
                          </w:rPr>
                        </w:pPr>
                        <w:r>
                          <w:rPr>
                            <w:w w:val="100"/>
                            <w:sz w:val="14"/>
                          </w:rPr>
                          <w:t>-</w:t>
                        </w:r>
                      </w:p>
                    </w:tc>
                    <w:tc>
                      <w:tcPr>
                        <w:tcW w:w="908" w:type="dxa"/>
                      </w:tcPr>
                      <w:p>
                        <w:pPr>
                          <w:pStyle w:val="TableParagraph"/>
                          <w:spacing w:before="7"/>
                          <w:jc w:val="left"/>
                          <w:rPr>
                            <w:rFonts w:ascii="Times New Roman"/>
                            <w:sz w:val="15"/>
                          </w:rPr>
                        </w:pPr>
                      </w:p>
                      <w:p>
                        <w:pPr>
                          <w:pStyle w:val="TableParagraph"/>
                          <w:ind w:right="68"/>
                          <w:rPr>
                            <w:sz w:val="14"/>
                          </w:rPr>
                        </w:pPr>
                        <w:r>
                          <w:rPr>
                            <w:sz w:val="14"/>
                          </w:rPr>
                          <w:t>80,595</w:t>
                        </w:r>
                      </w:p>
                    </w:tc>
                  </w:tr>
                  <w:tr>
                    <w:trPr>
                      <w:trHeight w:val="219" w:hRule="exact"/>
                    </w:trPr>
                    <w:tc>
                      <w:tcPr>
                        <w:tcW w:w="4983" w:type="dxa"/>
                        <w:tcBorders>
                          <w:bottom w:val="single" w:sz="0" w:space="0" w:color="000000"/>
                        </w:tcBorders>
                      </w:tcPr>
                      <w:p>
                        <w:pPr>
                          <w:pStyle w:val="TableParagraph"/>
                          <w:tabs>
                            <w:tab w:pos="3759" w:val="left" w:leader="none"/>
                            <w:tab w:pos="4378" w:val="left" w:leader="none"/>
                          </w:tabs>
                          <w:spacing w:before="22"/>
                          <w:ind w:left="68"/>
                          <w:jc w:val="left"/>
                          <w:rPr>
                            <w:sz w:val="14"/>
                          </w:rPr>
                        </w:pPr>
                        <w:r>
                          <w:rPr>
                            <w:sz w:val="14"/>
                          </w:rPr>
                          <w:t>Transfers to Held for</w:t>
                        </w:r>
                        <w:r>
                          <w:rPr>
                            <w:spacing w:val="2"/>
                            <w:sz w:val="14"/>
                          </w:rPr>
                          <w:t> </w:t>
                        </w:r>
                        <w:r>
                          <w:rPr>
                            <w:sz w:val="14"/>
                          </w:rPr>
                          <w:t>Sale Assets</w:t>
                          <w:tab/>
                          <w:t>-</w:t>
                          <w:tab/>
                          <w:t>(10,859)</w:t>
                        </w:r>
                      </w:p>
                    </w:tc>
                    <w:tc>
                      <w:tcPr>
                        <w:tcW w:w="1069" w:type="dxa"/>
                        <w:tcBorders>
                          <w:bottom w:val="single" w:sz="0" w:space="0" w:color="000000"/>
                        </w:tcBorders>
                      </w:tcPr>
                      <w:p>
                        <w:pPr>
                          <w:pStyle w:val="TableParagraph"/>
                          <w:spacing w:before="21"/>
                          <w:ind w:right="145"/>
                          <w:rPr>
                            <w:sz w:val="14"/>
                          </w:rPr>
                        </w:pPr>
                        <w:r>
                          <w:rPr>
                            <w:w w:val="100"/>
                            <w:sz w:val="14"/>
                          </w:rPr>
                          <w:t>-</w:t>
                        </w:r>
                      </w:p>
                    </w:tc>
                    <w:tc>
                      <w:tcPr>
                        <w:tcW w:w="1004" w:type="dxa"/>
                        <w:tcBorders>
                          <w:bottom w:val="single" w:sz="0" w:space="0" w:color="000000"/>
                        </w:tcBorders>
                      </w:tcPr>
                      <w:p>
                        <w:pPr>
                          <w:pStyle w:val="TableParagraph"/>
                          <w:spacing w:before="21"/>
                          <w:ind w:right="101"/>
                          <w:rPr>
                            <w:sz w:val="14"/>
                          </w:rPr>
                        </w:pPr>
                        <w:r>
                          <w:rPr>
                            <w:w w:val="100"/>
                            <w:sz w:val="14"/>
                          </w:rPr>
                          <w:t>-</w:t>
                        </w:r>
                      </w:p>
                    </w:tc>
                    <w:tc>
                      <w:tcPr>
                        <w:tcW w:w="1044" w:type="dxa"/>
                        <w:tcBorders>
                          <w:bottom w:val="single" w:sz="0" w:space="0" w:color="000000"/>
                        </w:tcBorders>
                      </w:tcPr>
                      <w:p>
                        <w:pPr>
                          <w:pStyle w:val="TableParagraph"/>
                          <w:spacing w:before="21"/>
                          <w:ind w:right="48"/>
                          <w:rPr>
                            <w:sz w:val="14"/>
                          </w:rPr>
                        </w:pPr>
                        <w:r>
                          <w:rPr>
                            <w:sz w:val="14"/>
                          </w:rPr>
                          <w:t>(5,171)</w:t>
                        </w:r>
                      </w:p>
                    </w:tc>
                    <w:tc>
                      <w:tcPr>
                        <w:tcW w:w="1141" w:type="dxa"/>
                        <w:tcBorders>
                          <w:bottom w:val="single" w:sz="0" w:space="0" w:color="000000"/>
                        </w:tcBorders>
                      </w:tcPr>
                      <w:p>
                        <w:pPr>
                          <w:pStyle w:val="TableParagraph"/>
                          <w:spacing w:before="21"/>
                          <w:ind w:right="147"/>
                          <w:rPr>
                            <w:sz w:val="14"/>
                          </w:rPr>
                        </w:pPr>
                        <w:r>
                          <w:rPr>
                            <w:w w:val="100"/>
                            <w:sz w:val="14"/>
                          </w:rPr>
                          <w:t>-</w:t>
                        </w:r>
                      </w:p>
                    </w:tc>
                    <w:tc>
                      <w:tcPr>
                        <w:tcW w:w="1012" w:type="dxa"/>
                        <w:tcBorders>
                          <w:bottom w:val="single" w:sz="0" w:space="0" w:color="000000"/>
                        </w:tcBorders>
                      </w:tcPr>
                      <w:p>
                        <w:pPr>
                          <w:pStyle w:val="TableParagraph"/>
                          <w:spacing w:before="21"/>
                          <w:ind w:right="110"/>
                          <w:rPr>
                            <w:sz w:val="14"/>
                          </w:rPr>
                        </w:pPr>
                        <w:r>
                          <w:rPr>
                            <w:w w:val="100"/>
                            <w:sz w:val="14"/>
                          </w:rPr>
                          <w:t>-</w:t>
                        </w:r>
                      </w:p>
                    </w:tc>
                    <w:tc>
                      <w:tcPr>
                        <w:tcW w:w="1182" w:type="dxa"/>
                        <w:tcBorders>
                          <w:bottom w:val="single" w:sz="0" w:space="0" w:color="000000"/>
                        </w:tcBorders>
                      </w:tcPr>
                      <w:p>
                        <w:pPr>
                          <w:pStyle w:val="TableParagraph"/>
                          <w:spacing w:before="21"/>
                          <w:ind w:right="158"/>
                          <w:rPr>
                            <w:sz w:val="14"/>
                          </w:rPr>
                        </w:pPr>
                        <w:r>
                          <w:rPr>
                            <w:w w:val="100"/>
                            <w:sz w:val="14"/>
                          </w:rPr>
                          <w:t>-</w:t>
                        </w:r>
                      </w:p>
                    </w:tc>
                    <w:tc>
                      <w:tcPr>
                        <w:tcW w:w="1085" w:type="dxa"/>
                        <w:tcBorders>
                          <w:bottom w:val="single" w:sz="0" w:space="0" w:color="000000"/>
                        </w:tcBorders>
                      </w:tcPr>
                      <w:p>
                        <w:pPr>
                          <w:pStyle w:val="TableParagraph"/>
                          <w:spacing w:before="21"/>
                          <w:ind w:right="195"/>
                          <w:rPr>
                            <w:sz w:val="14"/>
                          </w:rPr>
                        </w:pPr>
                        <w:r>
                          <w:rPr>
                            <w:w w:val="100"/>
                            <w:sz w:val="14"/>
                          </w:rPr>
                          <w:t>-</w:t>
                        </w:r>
                      </w:p>
                    </w:tc>
                    <w:tc>
                      <w:tcPr>
                        <w:tcW w:w="1063" w:type="dxa"/>
                        <w:tcBorders>
                          <w:bottom w:val="single" w:sz="0" w:space="0" w:color="000000"/>
                        </w:tcBorders>
                      </w:tcPr>
                      <w:p>
                        <w:pPr>
                          <w:pStyle w:val="TableParagraph"/>
                          <w:spacing w:before="21"/>
                          <w:ind w:right="209"/>
                          <w:rPr>
                            <w:sz w:val="14"/>
                          </w:rPr>
                        </w:pPr>
                        <w:r>
                          <w:rPr>
                            <w:w w:val="100"/>
                            <w:sz w:val="14"/>
                          </w:rPr>
                          <w:t>-</w:t>
                        </w:r>
                      </w:p>
                    </w:tc>
                    <w:tc>
                      <w:tcPr>
                        <w:tcW w:w="908" w:type="dxa"/>
                        <w:tcBorders>
                          <w:bottom w:val="single" w:sz="0" w:space="0" w:color="000000"/>
                        </w:tcBorders>
                      </w:tcPr>
                      <w:p>
                        <w:pPr>
                          <w:pStyle w:val="TableParagraph"/>
                          <w:spacing w:before="21"/>
                          <w:ind w:right="22"/>
                          <w:rPr>
                            <w:sz w:val="14"/>
                          </w:rPr>
                        </w:pPr>
                        <w:r>
                          <w:rPr>
                            <w:sz w:val="14"/>
                          </w:rPr>
                          <w:t>(16,030)</w:t>
                        </w:r>
                      </w:p>
                    </w:tc>
                  </w:tr>
                  <w:tr>
                    <w:trPr>
                      <w:trHeight w:val="293" w:hRule="exact"/>
                    </w:trPr>
                    <w:tc>
                      <w:tcPr>
                        <w:tcW w:w="4983" w:type="dxa"/>
                        <w:tcBorders>
                          <w:top w:val="single" w:sz="0" w:space="0" w:color="000000"/>
                          <w:bottom w:val="single" w:sz="0" w:space="0" w:color="000000"/>
                        </w:tcBorders>
                      </w:tcPr>
                      <w:p>
                        <w:pPr>
                          <w:pStyle w:val="TableParagraph"/>
                          <w:tabs>
                            <w:tab w:pos="3376" w:val="left" w:leader="none"/>
                            <w:tab w:pos="4347" w:val="left" w:leader="none"/>
                          </w:tabs>
                          <w:spacing w:before="123"/>
                          <w:ind w:left="68"/>
                          <w:jc w:val="left"/>
                          <w:rPr>
                            <w:b/>
                            <w:sz w:val="14"/>
                          </w:rPr>
                        </w:pPr>
                        <w:r>
                          <w:rPr>
                            <w:b/>
                            <w:sz w:val="14"/>
                          </w:rPr>
                          <w:t>Closing Net</w:t>
                        </w:r>
                        <w:r>
                          <w:rPr>
                            <w:b/>
                            <w:spacing w:val="-8"/>
                            <w:sz w:val="14"/>
                          </w:rPr>
                          <w:t> </w:t>
                        </w:r>
                        <w:r>
                          <w:rPr>
                            <w:b/>
                            <w:sz w:val="14"/>
                          </w:rPr>
                          <w:t>Book</w:t>
                        </w:r>
                        <w:r>
                          <w:rPr>
                            <w:b/>
                            <w:spacing w:val="-4"/>
                            <w:sz w:val="14"/>
                          </w:rPr>
                          <w:t> </w:t>
                        </w:r>
                        <w:r>
                          <w:rPr>
                            <w:b/>
                            <w:sz w:val="14"/>
                          </w:rPr>
                          <w:t>Amount</w:t>
                          <w:tab/>
                          <w:t>85,044</w:t>
                          <w:tab/>
                          <w:t>204,632</w:t>
                        </w:r>
                      </w:p>
                    </w:tc>
                    <w:tc>
                      <w:tcPr>
                        <w:tcW w:w="1069" w:type="dxa"/>
                        <w:tcBorders>
                          <w:top w:val="single" w:sz="0" w:space="0" w:color="000000"/>
                          <w:bottom w:val="single" w:sz="0" w:space="0" w:color="000000"/>
                        </w:tcBorders>
                      </w:tcPr>
                      <w:p>
                        <w:pPr>
                          <w:pStyle w:val="TableParagraph"/>
                          <w:spacing w:before="123"/>
                          <w:ind w:right="145"/>
                          <w:rPr>
                            <w:b/>
                            <w:sz w:val="14"/>
                          </w:rPr>
                        </w:pPr>
                        <w:r>
                          <w:rPr>
                            <w:b/>
                            <w:sz w:val="14"/>
                          </w:rPr>
                          <w:t>162,335</w:t>
                        </w:r>
                      </w:p>
                    </w:tc>
                    <w:tc>
                      <w:tcPr>
                        <w:tcW w:w="1004" w:type="dxa"/>
                        <w:tcBorders>
                          <w:top w:val="single" w:sz="0" w:space="0" w:color="000000"/>
                          <w:bottom w:val="single" w:sz="0" w:space="0" w:color="000000"/>
                        </w:tcBorders>
                      </w:tcPr>
                      <w:p>
                        <w:pPr>
                          <w:pStyle w:val="TableParagraph"/>
                          <w:spacing w:before="123"/>
                          <w:ind w:right="100"/>
                          <w:rPr>
                            <w:b/>
                            <w:sz w:val="14"/>
                          </w:rPr>
                        </w:pPr>
                        <w:r>
                          <w:rPr>
                            <w:b/>
                            <w:sz w:val="14"/>
                          </w:rPr>
                          <w:t>960,757</w:t>
                        </w:r>
                      </w:p>
                    </w:tc>
                    <w:tc>
                      <w:tcPr>
                        <w:tcW w:w="1044" w:type="dxa"/>
                        <w:tcBorders>
                          <w:top w:val="single" w:sz="0" w:space="0" w:color="000000"/>
                          <w:bottom w:val="single" w:sz="0" w:space="0" w:color="000000"/>
                        </w:tcBorders>
                      </w:tcPr>
                      <w:p>
                        <w:pPr>
                          <w:pStyle w:val="TableParagraph"/>
                          <w:spacing w:before="123"/>
                          <w:ind w:right="95"/>
                          <w:rPr>
                            <w:b/>
                            <w:sz w:val="14"/>
                          </w:rPr>
                        </w:pPr>
                        <w:r>
                          <w:rPr>
                            <w:b/>
                            <w:sz w:val="14"/>
                          </w:rPr>
                          <w:t>91,349</w:t>
                        </w:r>
                      </w:p>
                    </w:tc>
                    <w:tc>
                      <w:tcPr>
                        <w:tcW w:w="1141" w:type="dxa"/>
                        <w:tcBorders>
                          <w:top w:val="single" w:sz="0" w:space="0" w:color="000000"/>
                          <w:bottom w:val="single" w:sz="0" w:space="0" w:color="000000"/>
                        </w:tcBorders>
                      </w:tcPr>
                      <w:p>
                        <w:pPr>
                          <w:pStyle w:val="TableParagraph"/>
                          <w:spacing w:before="123"/>
                          <w:ind w:right="147"/>
                          <w:rPr>
                            <w:b/>
                            <w:sz w:val="14"/>
                          </w:rPr>
                        </w:pPr>
                        <w:r>
                          <w:rPr>
                            <w:b/>
                            <w:w w:val="100"/>
                            <w:sz w:val="14"/>
                          </w:rPr>
                          <w:t>-</w:t>
                        </w:r>
                      </w:p>
                    </w:tc>
                    <w:tc>
                      <w:tcPr>
                        <w:tcW w:w="1012" w:type="dxa"/>
                        <w:tcBorders>
                          <w:top w:val="single" w:sz="0" w:space="0" w:color="000000"/>
                          <w:bottom w:val="single" w:sz="0" w:space="0" w:color="000000"/>
                        </w:tcBorders>
                      </w:tcPr>
                      <w:p>
                        <w:pPr>
                          <w:pStyle w:val="TableParagraph"/>
                          <w:spacing w:before="123"/>
                          <w:ind w:right="110"/>
                          <w:rPr>
                            <w:b/>
                            <w:sz w:val="14"/>
                          </w:rPr>
                        </w:pPr>
                        <w:r>
                          <w:rPr>
                            <w:b/>
                            <w:sz w:val="14"/>
                          </w:rPr>
                          <w:t>66,165</w:t>
                        </w:r>
                      </w:p>
                    </w:tc>
                    <w:tc>
                      <w:tcPr>
                        <w:tcW w:w="1182" w:type="dxa"/>
                        <w:tcBorders>
                          <w:top w:val="single" w:sz="0" w:space="0" w:color="000000"/>
                          <w:bottom w:val="single" w:sz="0" w:space="0" w:color="000000"/>
                        </w:tcBorders>
                      </w:tcPr>
                      <w:p>
                        <w:pPr>
                          <w:pStyle w:val="TableParagraph"/>
                          <w:spacing w:before="123"/>
                          <w:ind w:right="158"/>
                          <w:rPr>
                            <w:b/>
                            <w:sz w:val="14"/>
                          </w:rPr>
                        </w:pPr>
                        <w:r>
                          <w:rPr>
                            <w:b/>
                            <w:sz w:val="14"/>
                          </w:rPr>
                          <w:t>16,871</w:t>
                        </w:r>
                      </w:p>
                    </w:tc>
                    <w:tc>
                      <w:tcPr>
                        <w:tcW w:w="1085" w:type="dxa"/>
                        <w:tcBorders>
                          <w:top w:val="single" w:sz="0" w:space="0" w:color="000000"/>
                          <w:bottom w:val="single" w:sz="0" w:space="0" w:color="000000"/>
                        </w:tcBorders>
                      </w:tcPr>
                      <w:p>
                        <w:pPr>
                          <w:pStyle w:val="TableParagraph"/>
                          <w:spacing w:before="123"/>
                          <w:ind w:right="195"/>
                          <w:rPr>
                            <w:b/>
                            <w:sz w:val="14"/>
                          </w:rPr>
                        </w:pPr>
                        <w:r>
                          <w:rPr>
                            <w:b/>
                            <w:sz w:val="14"/>
                          </w:rPr>
                          <w:t>8,709</w:t>
                        </w:r>
                      </w:p>
                    </w:tc>
                    <w:tc>
                      <w:tcPr>
                        <w:tcW w:w="1063" w:type="dxa"/>
                        <w:tcBorders>
                          <w:top w:val="single" w:sz="0" w:space="0" w:color="000000"/>
                          <w:bottom w:val="single" w:sz="0" w:space="0" w:color="000000"/>
                        </w:tcBorders>
                      </w:tcPr>
                      <w:p>
                        <w:pPr>
                          <w:pStyle w:val="TableParagraph"/>
                          <w:spacing w:before="123"/>
                          <w:ind w:right="209"/>
                          <w:rPr>
                            <w:b/>
                            <w:sz w:val="14"/>
                          </w:rPr>
                        </w:pPr>
                        <w:r>
                          <w:rPr>
                            <w:b/>
                            <w:sz w:val="14"/>
                          </w:rPr>
                          <w:t>4,204</w:t>
                        </w:r>
                      </w:p>
                    </w:tc>
                    <w:tc>
                      <w:tcPr>
                        <w:tcW w:w="908" w:type="dxa"/>
                        <w:tcBorders>
                          <w:top w:val="single" w:sz="0" w:space="0" w:color="000000"/>
                          <w:bottom w:val="single" w:sz="0" w:space="0" w:color="000000"/>
                        </w:tcBorders>
                      </w:tcPr>
                      <w:p>
                        <w:pPr>
                          <w:pStyle w:val="TableParagraph"/>
                          <w:spacing w:before="123"/>
                          <w:ind w:right="68"/>
                          <w:rPr>
                            <w:b/>
                            <w:sz w:val="14"/>
                          </w:rPr>
                        </w:pPr>
                        <w:r>
                          <w:rPr>
                            <w:b/>
                            <w:sz w:val="14"/>
                          </w:rPr>
                          <w:t>1,600,066</w:t>
                        </w:r>
                      </w:p>
                    </w:tc>
                  </w:tr>
                  <w:tr>
                    <w:trPr>
                      <w:trHeight w:val="306" w:hRule="exact"/>
                    </w:trPr>
                    <w:tc>
                      <w:tcPr>
                        <w:tcW w:w="4983" w:type="dxa"/>
                        <w:tcBorders>
                          <w:top w:val="single" w:sz="0" w:space="0" w:color="000000"/>
                        </w:tcBorders>
                      </w:tcPr>
                      <w:p>
                        <w:pPr>
                          <w:pStyle w:val="TableParagraph"/>
                          <w:spacing w:before="123"/>
                          <w:ind w:left="68"/>
                          <w:jc w:val="left"/>
                          <w:rPr>
                            <w:b/>
                            <w:sz w:val="14"/>
                          </w:rPr>
                        </w:pPr>
                        <w:r>
                          <w:rPr>
                            <w:b/>
                            <w:sz w:val="14"/>
                          </w:rPr>
                          <w:t>At 31 December 2016</w:t>
                        </w:r>
                      </w:p>
                    </w:tc>
                    <w:tc>
                      <w:tcPr>
                        <w:tcW w:w="1069" w:type="dxa"/>
                        <w:tcBorders>
                          <w:top w:val="single" w:sz="0" w:space="0" w:color="000000"/>
                        </w:tcBorders>
                      </w:tcPr>
                      <w:p>
                        <w:pPr/>
                      </w:p>
                    </w:tc>
                    <w:tc>
                      <w:tcPr>
                        <w:tcW w:w="1004" w:type="dxa"/>
                        <w:tcBorders>
                          <w:top w:val="single" w:sz="0" w:space="0" w:color="000000"/>
                        </w:tcBorders>
                      </w:tcPr>
                      <w:p>
                        <w:pPr/>
                      </w:p>
                    </w:tc>
                    <w:tc>
                      <w:tcPr>
                        <w:tcW w:w="1044" w:type="dxa"/>
                        <w:tcBorders>
                          <w:top w:val="single" w:sz="0" w:space="0" w:color="000000"/>
                        </w:tcBorders>
                      </w:tcPr>
                      <w:p>
                        <w:pPr/>
                      </w:p>
                    </w:tc>
                    <w:tc>
                      <w:tcPr>
                        <w:tcW w:w="1141" w:type="dxa"/>
                        <w:tcBorders>
                          <w:top w:val="single" w:sz="0" w:space="0" w:color="000000"/>
                        </w:tcBorders>
                      </w:tcPr>
                      <w:p>
                        <w:pPr/>
                      </w:p>
                    </w:tc>
                    <w:tc>
                      <w:tcPr>
                        <w:tcW w:w="1012" w:type="dxa"/>
                        <w:tcBorders>
                          <w:top w:val="single" w:sz="0" w:space="0" w:color="000000"/>
                        </w:tcBorders>
                      </w:tcPr>
                      <w:p>
                        <w:pPr/>
                      </w:p>
                    </w:tc>
                    <w:tc>
                      <w:tcPr>
                        <w:tcW w:w="1182" w:type="dxa"/>
                        <w:tcBorders>
                          <w:top w:val="single" w:sz="0" w:space="0" w:color="000000"/>
                        </w:tcBorders>
                      </w:tcPr>
                      <w:p>
                        <w:pPr/>
                      </w:p>
                    </w:tc>
                    <w:tc>
                      <w:tcPr>
                        <w:tcW w:w="1085" w:type="dxa"/>
                        <w:tcBorders>
                          <w:top w:val="single" w:sz="0" w:space="0" w:color="000000"/>
                        </w:tcBorders>
                      </w:tcPr>
                      <w:p>
                        <w:pPr/>
                      </w:p>
                    </w:tc>
                    <w:tc>
                      <w:tcPr>
                        <w:tcW w:w="1063" w:type="dxa"/>
                        <w:tcBorders>
                          <w:top w:val="single" w:sz="0" w:space="0" w:color="000000"/>
                        </w:tcBorders>
                      </w:tcPr>
                      <w:p>
                        <w:pPr/>
                      </w:p>
                    </w:tc>
                    <w:tc>
                      <w:tcPr>
                        <w:tcW w:w="908" w:type="dxa"/>
                        <w:tcBorders>
                          <w:top w:val="single" w:sz="0" w:space="0" w:color="000000"/>
                        </w:tcBorders>
                      </w:tcPr>
                      <w:p>
                        <w:pPr/>
                      </w:p>
                    </w:tc>
                  </w:tr>
                  <w:tr>
                    <w:trPr>
                      <w:trHeight w:val="205" w:hRule="exact"/>
                    </w:trPr>
                    <w:tc>
                      <w:tcPr>
                        <w:tcW w:w="4983" w:type="dxa"/>
                      </w:tcPr>
                      <w:p>
                        <w:pPr>
                          <w:pStyle w:val="TableParagraph"/>
                          <w:tabs>
                            <w:tab w:pos="3376" w:val="left" w:leader="none"/>
                            <w:tab w:pos="4808" w:val="left" w:leader="none"/>
                          </w:tabs>
                          <w:spacing w:before="8"/>
                          <w:ind w:left="68"/>
                          <w:jc w:val="left"/>
                          <w:rPr>
                            <w:sz w:val="14"/>
                          </w:rPr>
                        </w:pPr>
                        <w:r>
                          <w:rPr>
                            <w:sz w:val="14"/>
                          </w:rPr>
                          <w:t>- Cost</w:t>
                          <w:tab/>
                          <w:t>85,044</w:t>
                          <w:tab/>
                          <w:t>-</w:t>
                        </w:r>
                      </w:p>
                    </w:tc>
                    <w:tc>
                      <w:tcPr>
                        <w:tcW w:w="1069" w:type="dxa"/>
                      </w:tcPr>
                      <w:p>
                        <w:pPr>
                          <w:pStyle w:val="TableParagraph"/>
                          <w:spacing w:before="7"/>
                          <w:ind w:right="145"/>
                          <w:rPr>
                            <w:sz w:val="14"/>
                          </w:rPr>
                        </w:pPr>
                        <w:r>
                          <w:rPr>
                            <w:w w:val="100"/>
                            <w:sz w:val="14"/>
                          </w:rPr>
                          <w:t>-</w:t>
                        </w:r>
                      </w:p>
                    </w:tc>
                    <w:tc>
                      <w:tcPr>
                        <w:tcW w:w="1004" w:type="dxa"/>
                      </w:tcPr>
                      <w:p>
                        <w:pPr>
                          <w:pStyle w:val="TableParagraph"/>
                          <w:spacing w:before="7"/>
                          <w:ind w:right="99"/>
                          <w:rPr>
                            <w:sz w:val="14"/>
                          </w:rPr>
                        </w:pPr>
                        <w:r>
                          <w:rPr>
                            <w:sz w:val="14"/>
                          </w:rPr>
                          <w:t>47,788</w:t>
                        </w:r>
                      </w:p>
                    </w:tc>
                    <w:tc>
                      <w:tcPr>
                        <w:tcW w:w="1044" w:type="dxa"/>
                      </w:tcPr>
                      <w:p>
                        <w:pPr>
                          <w:pStyle w:val="TableParagraph"/>
                          <w:spacing w:before="7"/>
                          <w:ind w:right="95"/>
                          <w:rPr>
                            <w:sz w:val="14"/>
                          </w:rPr>
                        </w:pPr>
                        <w:r>
                          <w:rPr>
                            <w:sz w:val="14"/>
                          </w:rPr>
                          <w:t>2,518</w:t>
                        </w:r>
                      </w:p>
                    </w:tc>
                    <w:tc>
                      <w:tcPr>
                        <w:tcW w:w="1141" w:type="dxa"/>
                      </w:tcPr>
                      <w:p>
                        <w:pPr>
                          <w:pStyle w:val="TableParagraph"/>
                          <w:spacing w:before="7"/>
                          <w:ind w:right="147"/>
                          <w:rPr>
                            <w:sz w:val="14"/>
                          </w:rPr>
                        </w:pPr>
                        <w:r>
                          <w:rPr>
                            <w:sz w:val="14"/>
                          </w:rPr>
                          <w:t>4,594</w:t>
                        </w:r>
                      </w:p>
                    </w:tc>
                    <w:tc>
                      <w:tcPr>
                        <w:tcW w:w="1012" w:type="dxa"/>
                      </w:tcPr>
                      <w:p>
                        <w:pPr>
                          <w:pStyle w:val="TableParagraph"/>
                          <w:spacing w:before="7"/>
                          <w:ind w:right="110"/>
                          <w:rPr>
                            <w:sz w:val="14"/>
                          </w:rPr>
                        </w:pPr>
                        <w:r>
                          <w:rPr>
                            <w:sz w:val="14"/>
                          </w:rPr>
                          <w:t>148,577</w:t>
                        </w:r>
                      </w:p>
                    </w:tc>
                    <w:tc>
                      <w:tcPr>
                        <w:tcW w:w="1182" w:type="dxa"/>
                      </w:tcPr>
                      <w:p>
                        <w:pPr>
                          <w:pStyle w:val="TableParagraph"/>
                          <w:spacing w:before="7"/>
                          <w:ind w:right="158"/>
                          <w:rPr>
                            <w:sz w:val="14"/>
                          </w:rPr>
                        </w:pPr>
                        <w:r>
                          <w:rPr>
                            <w:sz w:val="14"/>
                          </w:rPr>
                          <w:t>27,865</w:t>
                        </w:r>
                      </w:p>
                    </w:tc>
                    <w:tc>
                      <w:tcPr>
                        <w:tcW w:w="1085" w:type="dxa"/>
                      </w:tcPr>
                      <w:p>
                        <w:pPr>
                          <w:pStyle w:val="TableParagraph"/>
                          <w:spacing w:before="7"/>
                          <w:ind w:right="195"/>
                          <w:rPr>
                            <w:sz w:val="14"/>
                          </w:rPr>
                        </w:pPr>
                        <w:r>
                          <w:rPr>
                            <w:sz w:val="14"/>
                          </w:rPr>
                          <w:t>81,139</w:t>
                        </w:r>
                      </w:p>
                    </w:tc>
                    <w:tc>
                      <w:tcPr>
                        <w:tcW w:w="1063" w:type="dxa"/>
                      </w:tcPr>
                      <w:p>
                        <w:pPr>
                          <w:pStyle w:val="TableParagraph"/>
                          <w:spacing w:before="7"/>
                          <w:ind w:right="209"/>
                          <w:rPr>
                            <w:sz w:val="14"/>
                          </w:rPr>
                        </w:pPr>
                        <w:r>
                          <w:rPr>
                            <w:w w:val="100"/>
                            <w:sz w:val="14"/>
                          </w:rPr>
                          <w:t>-</w:t>
                        </w:r>
                      </w:p>
                    </w:tc>
                    <w:tc>
                      <w:tcPr>
                        <w:tcW w:w="908" w:type="dxa"/>
                      </w:tcPr>
                      <w:p>
                        <w:pPr>
                          <w:pStyle w:val="TableParagraph"/>
                          <w:spacing w:before="7"/>
                          <w:ind w:right="68"/>
                          <w:rPr>
                            <w:sz w:val="14"/>
                          </w:rPr>
                        </w:pPr>
                        <w:r>
                          <w:rPr>
                            <w:sz w:val="14"/>
                          </w:rPr>
                          <w:t>397,525</w:t>
                        </w:r>
                      </w:p>
                    </w:tc>
                  </w:tr>
                  <w:tr>
                    <w:trPr>
                      <w:trHeight w:val="218" w:hRule="exact"/>
                    </w:trPr>
                    <w:tc>
                      <w:tcPr>
                        <w:tcW w:w="4983" w:type="dxa"/>
                      </w:tcPr>
                      <w:p>
                        <w:pPr>
                          <w:pStyle w:val="TableParagraph"/>
                          <w:tabs>
                            <w:tab w:pos="3759" w:val="left" w:leader="none"/>
                            <w:tab w:pos="4347" w:val="left" w:leader="none"/>
                          </w:tabs>
                          <w:spacing w:before="22"/>
                          <w:ind w:left="68"/>
                          <w:jc w:val="left"/>
                          <w:rPr>
                            <w:sz w:val="14"/>
                          </w:rPr>
                        </w:pPr>
                        <w:r>
                          <w:rPr>
                            <w:sz w:val="14"/>
                          </w:rPr>
                          <w:t>- Valuation</w:t>
                          <w:tab/>
                          <w:t>-</w:t>
                          <w:tab/>
                          <w:t>204,632</w:t>
                        </w:r>
                      </w:p>
                    </w:tc>
                    <w:tc>
                      <w:tcPr>
                        <w:tcW w:w="1069" w:type="dxa"/>
                      </w:tcPr>
                      <w:p>
                        <w:pPr>
                          <w:pStyle w:val="TableParagraph"/>
                          <w:spacing w:before="21"/>
                          <w:ind w:right="145"/>
                          <w:rPr>
                            <w:sz w:val="14"/>
                          </w:rPr>
                        </w:pPr>
                        <w:r>
                          <w:rPr>
                            <w:sz w:val="14"/>
                          </w:rPr>
                          <w:t>162,335</w:t>
                        </w:r>
                      </w:p>
                    </w:tc>
                    <w:tc>
                      <w:tcPr>
                        <w:tcW w:w="1004" w:type="dxa"/>
                      </w:tcPr>
                      <w:p>
                        <w:pPr>
                          <w:pStyle w:val="TableParagraph"/>
                          <w:spacing w:before="21"/>
                          <w:ind w:right="100"/>
                          <w:rPr>
                            <w:sz w:val="14"/>
                          </w:rPr>
                        </w:pPr>
                        <w:r>
                          <w:rPr>
                            <w:sz w:val="14"/>
                          </w:rPr>
                          <w:t>920,514</w:t>
                        </w:r>
                      </w:p>
                    </w:tc>
                    <w:tc>
                      <w:tcPr>
                        <w:tcW w:w="1044" w:type="dxa"/>
                      </w:tcPr>
                      <w:p>
                        <w:pPr>
                          <w:pStyle w:val="TableParagraph"/>
                          <w:spacing w:before="21"/>
                          <w:ind w:right="95"/>
                          <w:rPr>
                            <w:sz w:val="14"/>
                          </w:rPr>
                        </w:pPr>
                        <w:r>
                          <w:rPr>
                            <w:sz w:val="14"/>
                          </w:rPr>
                          <w:t>90,256</w:t>
                        </w:r>
                      </w:p>
                    </w:tc>
                    <w:tc>
                      <w:tcPr>
                        <w:tcW w:w="1141" w:type="dxa"/>
                      </w:tcPr>
                      <w:p>
                        <w:pPr>
                          <w:pStyle w:val="TableParagraph"/>
                          <w:spacing w:before="21"/>
                          <w:ind w:right="147"/>
                          <w:rPr>
                            <w:sz w:val="14"/>
                          </w:rPr>
                        </w:pPr>
                        <w:r>
                          <w:rPr>
                            <w:w w:val="100"/>
                            <w:sz w:val="14"/>
                          </w:rPr>
                          <w:t>-</w:t>
                        </w:r>
                      </w:p>
                    </w:tc>
                    <w:tc>
                      <w:tcPr>
                        <w:tcW w:w="1012" w:type="dxa"/>
                      </w:tcPr>
                      <w:p>
                        <w:pPr>
                          <w:pStyle w:val="TableParagraph"/>
                          <w:spacing w:before="21"/>
                          <w:ind w:right="110"/>
                          <w:rPr>
                            <w:sz w:val="14"/>
                          </w:rPr>
                        </w:pPr>
                        <w:r>
                          <w:rPr>
                            <w:w w:val="100"/>
                            <w:sz w:val="14"/>
                          </w:rPr>
                          <w:t>-</w:t>
                        </w:r>
                      </w:p>
                    </w:tc>
                    <w:tc>
                      <w:tcPr>
                        <w:tcW w:w="1182" w:type="dxa"/>
                      </w:tcPr>
                      <w:p>
                        <w:pPr>
                          <w:pStyle w:val="TableParagraph"/>
                          <w:spacing w:before="21"/>
                          <w:ind w:right="158"/>
                          <w:rPr>
                            <w:sz w:val="14"/>
                          </w:rPr>
                        </w:pPr>
                        <w:r>
                          <w:rPr>
                            <w:w w:val="100"/>
                            <w:sz w:val="14"/>
                          </w:rPr>
                          <w:t>-</w:t>
                        </w:r>
                      </w:p>
                    </w:tc>
                    <w:tc>
                      <w:tcPr>
                        <w:tcW w:w="1085" w:type="dxa"/>
                      </w:tcPr>
                      <w:p>
                        <w:pPr>
                          <w:pStyle w:val="TableParagraph"/>
                          <w:spacing w:before="21"/>
                          <w:ind w:right="195"/>
                          <w:rPr>
                            <w:sz w:val="14"/>
                          </w:rPr>
                        </w:pPr>
                        <w:r>
                          <w:rPr>
                            <w:sz w:val="14"/>
                          </w:rPr>
                          <w:t>1,712</w:t>
                        </w:r>
                      </w:p>
                    </w:tc>
                    <w:tc>
                      <w:tcPr>
                        <w:tcW w:w="1063" w:type="dxa"/>
                      </w:tcPr>
                      <w:p>
                        <w:pPr>
                          <w:pStyle w:val="TableParagraph"/>
                          <w:spacing w:before="21"/>
                          <w:ind w:right="209"/>
                          <w:rPr>
                            <w:sz w:val="14"/>
                          </w:rPr>
                        </w:pPr>
                        <w:r>
                          <w:rPr>
                            <w:sz w:val="14"/>
                          </w:rPr>
                          <w:t>4,204</w:t>
                        </w:r>
                      </w:p>
                    </w:tc>
                    <w:tc>
                      <w:tcPr>
                        <w:tcW w:w="908" w:type="dxa"/>
                      </w:tcPr>
                      <w:p>
                        <w:pPr>
                          <w:pStyle w:val="TableParagraph"/>
                          <w:spacing w:before="21"/>
                          <w:ind w:right="68"/>
                          <w:rPr>
                            <w:sz w:val="14"/>
                          </w:rPr>
                        </w:pPr>
                        <w:r>
                          <w:rPr>
                            <w:sz w:val="14"/>
                          </w:rPr>
                          <w:t>1,383,653</w:t>
                        </w:r>
                      </w:p>
                    </w:tc>
                  </w:tr>
                  <w:tr>
                    <w:trPr>
                      <w:trHeight w:val="219" w:hRule="exact"/>
                    </w:trPr>
                    <w:tc>
                      <w:tcPr>
                        <w:tcW w:w="4983" w:type="dxa"/>
                        <w:tcBorders>
                          <w:bottom w:val="single" w:sz="0" w:space="0" w:color="000000"/>
                        </w:tcBorders>
                      </w:tcPr>
                      <w:p>
                        <w:pPr>
                          <w:pStyle w:val="TableParagraph"/>
                          <w:tabs>
                            <w:tab w:pos="3759" w:val="left" w:leader="none"/>
                            <w:tab w:pos="4808" w:val="left" w:leader="none"/>
                          </w:tabs>
                          <w:spacing w:before="22"/>
                          <w:ind w:left="68"/>
                          <w:jc w:val="left"/>
                          <w:rPr>
                            <w:sz w:val="14"/>
                          </w:rPr>
                        </w:pPr>
                        <w:r>
                          <w:rPr>
                            <w:sz w:val="14"/>
                          </w:rPr>
                          <w:t>Accumulated</w:t>
                        </w:r>
                        <w:r>
                          <w:rPr>
                            <w:spacing w:val="1"/>
                            <w:sz w:val="14"/>
                          </w:rPr>
                          <w:t> </w:t>
                        </w:r>
                        <w:r>
                          <w:rPr>
                            <w:sz w:val="14"/>
                          </w:rPr>
                          <w:t>depreciation</w:t>
                          <w:tab/>
                          <w:t>-</w:t>
                          <w:tab/>
                          <w:t>-</w:t>
                        </w:r>
                      </w:p>
                    </w:tc>
                    <w:tc>
                      <w:tcPr>
                        <w:tcW w:w="1069" w:type="dxa"/>
                        <w:tcBorders>
                          <w:bottom w:val="single" w:sz="0" w:space="0" w:color="000000"/>
                        </w:tcBorders>
                      </w:tcPr>
                      <w:p>
                        <w:pPr>
                          <w:pStyle w:val="TableParagraph"/>
                          <w:spacing w:before="21"/>
                          <w:ind w:right="145"/>
                          <w:rPr>
                            <w:sz w:val="14"/>
                          </w:rPr>
                        </w:pPr>
                        <w:r>
                          <w:rPr>
                            <w:w w:val="100"/>
                            <w:sz w:val="14"/>
                          </w:rPr>
                          <w:t>-</w:t>
                        </w:r>
                      </w:p>
                    </w:tc>
                    <w:tc>
                      <w:tcPr>
                        <w:tcW w:w="1004" w:type="dxa"/>
                        <w:tcBorders>
                          <w:bottom w:val="single" w:sz="0" w:space="0" w:color="000000"/>
                        </w:tcBorders>
                      </w:tcPr>
                      <w:p>
                        <w:pPr>
                          <w:pStyle w:val="TableParagraph"/>
                          <w:spacing w:before="21"/>
                          <w:ind w:right="53"/>
                          <w:rPr>
                            <w:sz w:val="14"/>
                          </w:rPr>
                        </w:pPr>
                        <w:r>
                          <w:rPr>
                            <w:sz w:val="14"/>
                          </w:rPr>
                          <w:t>(7,545)</w:t>
                        </w:r>
                      </w:p>
                    </w:tc>
                    <w:tc>
                      <w:tcPr>
                        <w:tcW w:w="1044" w:type="dxa"/>
                        <w:tcBorders>
                          <w:bottom w:val="single" w:sz="0" w:space="0" w:color="000000"/>
                        </w:tcBorders>
                      </w:tcPr>
                      <w:p>
                        <w:pPr>
                          <w:pStyle w:val="TableParagraph"/>
                          <w:spacing w:before="21"/>
                          <w:ind w:right="48"/>
                          <w:rPr>
                            <w:sz w:val="14"/>
                          </w:rPr>
                        </w:pPr>
                        <w:r>
                          <w:rPr>
                            <w:sz w:val="14"/>
                          </w:rPr>
                          <w:t>(1,425)</w:t>
                        </w:r>
                      </w:p>
                    </w:tc>
                    <w:tc>
                      <w:tcPr>
                        <w:tcW w:w="1141" w:type="dxa"/>
                        <w:tcBorders>
                          <w:bottom w:val="single" w:sz="0" w:space="0" w:color="000000"/>
                        </w:tcBorders>
                      </w:tcPr>
                      <w:p>
                        <w:pPr>
                          <w:pStyle w:val="TableParagraph"/>
                          <w:spacing w:before="21"/>
                          <w:ind w:right="100"/>
                          <w:rPr>
                            <w:sz w:val="14"/>
                          </w:rPr>
                        </w:pPr>
                        <w:r>
                          <w:rPr>
                            <w:sz w:val="14"/>
                          </w:rPr>
                          <w:t>(4,594)</w:t>
                        </w:r>
                      </w:p>
                    </w:tc>
                    <w:tc>
                      <w:tcPr>
                        <w:tcW w:w="1012" w:type="dxa"/>
                        <w:tcBorders>
                          <w:bottom w:val="single" w:sz="0" w:space="0" w:color="000000"/>
                        </w:tcBorders>
                      </w:tcPr>
                      <w:p>
                        <w:pPr>
                          <w:pStyle w:val="TableParagraph"/>
                          <w:spacing w:before="21"/>
                          <w:ind w:right="63"/>
                          <w:rPr>
                            <w:sz w:val="14"/>
                          </w:rPr>
                        </w:pPr>
                        <w:r>
                          <w:rPr>
                            <w:sz w:val="14"/>
                          </w:rPr>
                          <w:t>(82,412)</w:t>
                        </w:r>
                      </w:p>
                    </w:tc>
                    <w:tc>
                      <w:tcPr>
                        <w:tcW w:w="1182" w:type="dxa"/>
                        <w:tcBorders>
                          <w:bottom w:val="single" w:sz="0" w:space="0" w:color="000000"/>
                        </w:tcBorders>
                      </w:tcPr>
                      <w:p>
                        <w:pPr>
                          <w:pStyle w:val="TableParagraph"/>
                          <w:spacing w:before="21"/>
                          <w:ind w:right="111"/>
                          <w:rPr>
                            <w:sz w:val="14"/>
                          </w:rPr>
                        </w:pPr>
                        <w:r>
                          <w:rPr>
                            <w:sz w:val="14"/>
                          </w:rPr>
                          <w:t>(10,994)</w:t>
                        </w:r>
                      </w:p>
                    </w:tc>
                    <w:tc>
                      <w:tcPr>
                        <w:tcW w:w="1085" w:type="dxa"/>
                        <w:tcBorders>
                          <w:bottom w:val="single" w:sz="0" w:space="0" w:color="000000"/>
                        </w:tcBorders>
                      </w:tcPr>
                      <w:p>
                        <w:pPr>
                          <w:pStyle w:val="TableParagraph"/>
                          <w:spacing w:before="21"/>
                          <w:ind w:right="148"/>
                          <w:rPr>
                            <w:sz w:val="14"/>
                          </w:rPr>
                        </w:pPr>
                        <w:r>
                          <w:rPr>
                            <w:sz w:val="14"/>
                          </w:rPr>
                          <w:t>(74,142)</w:t>
                        </w:r>
                      </w:p>
                    </w:tc>
                    <w:tc>
                      <w:tcPr>
                        <w:tcW w:w="1063" w:type="dxa"/>
                        <w:tcBorders>
                          <w:bottom w:val="single" w:sz="0" w:space="0" w:color="000000"/>
                        </w:tcBorders>
                      </w:tcPr>
                      <w:p>
                        <w:pPr>
                          <w:pStyle w:val="TableParagraph"/>
                          <w:spacing w:before="21"/>
                          <w:ind w:right="209"/>
                          <w:rPr>
                            <w:sz w:val="14"/>
                          </w:rPr>
                        </w:pPr>
                        <w:r>
                          <w:rPr>
                            <w:w w:val="100"/>
                            <w:sz w:val="14"/>
                          </w:rPr>
                          <w:t>-</w:t>
                        </w:r>
                      </w:p>
                    </w:tc>
                    <w:tc>
                      <w:tcPr>
                        <w:tcW w:w="908" w:type="dxa"/>
                        <w:tcBorders>
                          <w:bottom w:val="single" w:sz="0" w:space="0" w:color="000000"/>
                        </w:tcBorders>
                      </w:tcPr>
                      <w:p>
                        <w:pPr>
                          <w:pStyle w:val="TableParagraph"/>
                          <w:spacing w:before="21"/>
                          <w:ind w:right="22"/>
                          <w:rPr>
                            <w:sz w:val="14"/>
                          </w:rPr>
                        </w:pPr>
                        <w:r>
                          <w:rPr>
                            <w:sz w:val="14"/>
                          </w:rPr>
                          <w:t>(181,112)</w:t>
                        </w:r>
                      </w:p>
                    </w:tc>
                  </w:tr>
                  <w:tr>
                    <w:trPr>
                      <w:trHeight w:val="308" w:hRule="exact"/>
                    </w:trPr>
                    <w:tc>
                      <w:tcPr>
                        <w:tcW w:w="4983" w:type="dxa"/>
                        <w:tcBorders>
                          <w:top w:val="single" w:sz="0" w:space="0" w:color="000000"/>
                          <w:bottom w:val="single" w:sz="0" w:space="0" w:color="000000"/>
                        </w:tcBorders>
                      </w:tcPr>
                      <w:p>
                        <w:pPr>
                          <w:pStyle w:val="TableParagraph"/>
                          <w:tabs>
                            <w:tab w:pos="3376" w:val="left" w:leader="none"/>
                            <w:tab w:pos="4347" w:val="left" w:leader="none"/>
                          </w:tabs>
                          <w:spacing w:before="123"/>
                          <w:ind w:left="68"/>
                          <w:jc w:val="left"/>
                          <w:rPr>
                            <w:b/>
                            <w:sz w:val="14"/>
                          </w:rPr>
                        </w:pPr>
                        <w:r>
                          <w:rPr>
                            <w:b/>
                            <w:sz w:val="14"/>
                          </w:rPr>
                          <w:t>Net</w:t>
                        </w:r>
                        <w:r>
                          <w:rPr>
                            <w:b/>
                            <w:spacing w:val="-4"/>
                            <w:sz w:val="14"/>
                          </w:rPr>
                          <w:t> </w:t>
                        </w:r>
                        <w:r>
                          <w:rPr>
                            <w:b/>
                            <w:sz w:val="14"/>
                          </w:rPr>
                          <w:t>Book</w:t>
                        </w:r>
                        <w:r>
                          <w:rPr>
                            <w:b/>
                            <w:spacing w:val="-4"/>
                            <w:sz w:val="14"/>
                          </w:rPr>
                          <w:t> </w:t>
                        </w:r>
                        <w:r>
                          <w:rPr>
                            <w:b/>
                            <w:sz w:val="14"/>
                          </w:rPr>
                          <w:t>Amount</w:t>
                          <w:tab/>
                          <w:t>85,044</w:t>
                          <w:tab/>
                          <w:t>204,632</w:t>
                        </w:r>
                      </w:p>
                    </w:tc>
                    <w:tc>
                      <w:tcPr>
                        <w:tcW w:w="1069" w:type="dxa"/>
                        <w:tcBorders>
                          <w:top w:val="single" w:sz="0" w:space="0" w:color="000000"/>
                          <w:bottom w:val="single" w:sz="0" w:space="0" w:color="000000"/>
                        </w:tcBorders>
                      </w:tcPr>
                      <w:p>
                        <w:pPr>
                          <w:pStyle w:val="TableParagraph"/>
                          <w:spacing w:before="123"/>
                          <w:ind w:right="145"/>
                          <w:rPr>
                            <w:b/>
                            <w:sz w:val="14"/>
                          </w:rPr>
                        </w:pPr>
                        <w:r>
                          <w:rPr>
                            <w:b/>
                            <w:sz w:val="14"/>
                          </w:rPr>
                          <w:t>162,335</w:t>
                        </w:r>
                      </w:p>
                    </w:tc>
                    <w:tc>
                      <w:tcPr>
                        <w:tcW w:w="1004" w:type="dxa"/>
                        <w:tcBorders>
                          <w:top w:val="single" w:sz="0" w:space="0" w:color="000000"/>
                          <w:bottom w:val="single" w:sz="0" w:space="0" w:color="000000"/>
                        </w:tcBorders>
                      </w:tcPr>
                      <w:p>
                        <w:pPr>
                          <w:pStyle w:val="TableParagraph"/>
                          <w:spacing w:before="123"/>
                          <w:ind w:right="100"/>
                          <w:rPr>
                            <w:b/>
                            <w:sz w:val="14"/>
                          </w:rPr>
                        </w:pPr>
                        <w:r>
                          <w:rPr>
                            <w:b/>
                            <w:sz w:val="14"/>
                          </w:rPr>
                          <w:t>960,757</w:t>
                        </w:r>
                      </w:p>
                    </w:tc>
                    <w:tc>
                      <w:tcPr>
                        <w:tcW w:w="1044" w:type="dxa"/>
                        <w:tcBorders>
                          <w:top w:val="single" w:sz="0" w:space="0" w:color="000000"/>
                          <w:bottom w:val="single" w:sz="0" w:space="0" w:color="000000"/>
                        </w:tcBorders>
                      </w:tcPr>
                      <w:p>
                        <w:pPr>
                          <w:pStyle w:val="TableParagraph"/>
                          <w:spacing w:before="123"/>
                          <w:ind w:right="95"/>
                          <w:rPr>
                            <w:b/>
                            <w:sz w:val="14"/>
                          </w:rPr>
                        </w:pPr>
                        <w:r>
                          <w:rPr>
                            <w:b/>
                            <w:sz w:val="14"/>
                          </w:rPr>
                          <w:t>91,349</w:t>
                        </w:r>
                      </w:p>
                    </w:tc>
                    <w:tc>
                      <w:tcPr>
                        <w:tcW w:w="1141" w:type="dxa"/>
                        <w:tcBorders>
                          <w:top w:val="single" w:sz="0" w:space="0" w:color="000000"/>
                          <w:bottom w:val="single" w:sz="0" w:space="0" w:color="000000"/>
                        </w:tcBorders>
                      </w:tcPr>
                      <w:p>
                        <w:pPr>
                          <w:pStyle w:val="TableParagraph"/>
                          <w:spacing w:before="123"/>
                          <w:ind w:right="147"/>
                          <w:rPr>
                            <w:b/>
                            <w:sz w:val="14"/>
                          </w:rPr>
                        </w:pPr>
                        <w:r>
                          <w:rPr>
                            <w:b/>
                            <w:w w:val="100"/>
                            <w:sz w:val="14"/>
                          </w:rPr>
                          <w:t>-</w:t>
                        </w:r>
                      </w:p>
                    </w:tc>
                    <w:tc>
                      <w:tcPr>
                        <w:tcW w:w="1012" w:type="dxa"/>
                        <w:tcBorders>
                          <w:top w:val="single" w:sz="0" w:space="0" w:color="000000"/>
                          <w:bottom w:val="single" w:sz="0" w:space="0" w:color="000000"/>
                        </w:tcBorders>
                      </w:tcPr>
                      <w:p>
                        <w:pPr>
                          <w:pStyle w:val="TableParagraph"/>
                          <w:spacing w:before="123"/>
                          <w:ind w:right="110"/>
                          <w:rPr>
                            <w:b/>
                            <w:sz w:val="14"/>
                          </w:rPr>
                        </w:pPr>
                        <w:r>
                          <w:rPr>
                            <w:b/>
                            <w:sz w:val="14"/>
                          </w:rPr>
                          <w:t>66,165</w:t>
                        </w:r>
                      </w:p>
                    </w:tc>
                    <w:tc>
                      <w:tcPr>
                        <w:tcW w:w="1182" w:type="dxa"/>
                        <w:tcBorders>
                          <w:top w:val="single" w:sz="0" w:space="0" w:color="000000"/>
                          <w:bottom w:val="single" w:sz="0" w:space="0" w:color="000000"/>
                        </w:tcBorders>
                      </w:tcPr>
                      <w:p>
                        <w:pPr>
                          <w:pStyle w:val="TableParagraph"/>
                          <w:spacing w:before="123"/>
                          <w:ind w:right="158"/>
                          <w:rPr>
                            <w:b/>
                            <w:sz w:val="14"/>
                          </w:rPr>
                        </w:pPr>
                        <w:r>
                          <w:rPr>
                            <w:b/>
                            <w:sz w:val="14"/>
                          </w:rPr>
                          <w:t>16,871</w:t>
                        </w:r>
                      </w:p>
                    </w:tc>
                    <w:tc>
                      <w:tcPr>
                        <w:tcW w:w="1085" w:type="dxa"/>
                        <w:tcBorders>
                          <w:top w:val="single" w:sz="0" w:space="0" w:color="000000"/>
                          <w:bottom w:val="single" w:sz="0" w:space="0" w:color="000000"/>
                        </w:tcBorders>
                      </w:tcPr>
                      <w:p>
                        <w:pPr>
                          <w:pStyle w:val="TableParagraph"/>
                          <w:spacing w:before="123"/>
                          <w:ind w:right="195"/>
                          <w:rPr>
                            <w:b/>
                            <w:sz w:val="14"/>
                          </w:rPr>
                        </w:pPr>
                        <w:r>
                          <w:rPr>
                            <w:b/>
                            <w:sz w:val="14"/>
                          </w:rPr>
                          <w:t>8,709</w:t>
                        </w:r>
                      </w:p>
                    </w:tc>
                    <w:tc>
                      <w:tcPr>
                        <w:tcW w:w="1063" w:type="dxa"/>
                        <w:tcBorders>
                          <w:top w:val="single" w:sz="0" w:space="0" w:color="000000"/>
                          <w:bottom w:val="single" w:sz="0" w:space="0" w:color="000000"/>
                        </w:tcBorders>
                      </w:tcPr>
                      <w:p>
                        <w:pPr>
                          <w:pStyle w:val="TableParagraph"/>
                          <w:spacing w:before="123"/>
                          <w:ind w:right="209"/>
                          <w:rPr>
                            <w:b/>
                            <w:sz w:val="14"/>
                          </w:rPr>
                        </w:pPr>
                        <w:r>
                          <w:rPr>
                            <w:b/>
                            <w:sz w:val="14"/>
                          </w:rPr>
                          <w:t>4,204</w:t>
                        </w:r>
                      </w:p>
                    </w:tc>
                    <w:tc>
                      <w:tcPr>
                        <w:tcW w:w="908" w:type="dxa"/>
                        <w:tcBorders>
                          <w:top w:val="single" w:sz="0" w:space="0" w:color="000000"/>
                          <w:bottom w:val="single" w:sz="0" w:space="0" w:color="000000"/>
                        </w:tcBorders>
                      </w:tcPr>
                      <w:p>
                        <w:pPr>
                          <w:pStyle w:val="TableParagraph"/>
                          <w:spacing w:before="123"/>
                          <w:ind w:right="68"/>
                          <w:rPr>
                            <w:b/>
                            <w:sz w:val="14"/>
                          </w:rPr>
                        </w:pPr>
                        <w:r>
                          <w:rPr>
                            <w:b/>
                            <w:sz w:val="14"/>
                          </w:rPr>
                          <w:t>1,600,066</w:t>
                        </w:r>
                      </w:p>
                    </w:tc>
                  </w:tr>
                </w:tbl>
                <w:p>
                  <w:pPr>
                    <w:pStyle w:val="BodyText"/>
                  </w:pPr>
                </w:p>
              </w:txbxContent>
            </v:textbox>
          </v:shape>
        </w:pict>
      </w:r>
      <w:r>
        <w:rPr>
          <w:rFonts w:ascii="Times New Roman"/>
          <w:sz w:val="20"/>
        </w:rPr>
      </w:r>
      <w:r>
        <w:rPr>
          <w:rFonts w:ascii="Times New Roman"/>
          <w:sz w:val="20"/>
        </w:rPr>
        <w:tab/>
      </w:r>
      <w:r>
        <w:rPr>
          <w:rFonts w:ascii="Times New Roman"/>
          <w:position w:val="181"/>
          <w:sz w:val="20"/>
        </w:rPr>
        <w:drawing>
          <wp:inline distT="0" distB="0" distL="0" distR="0">
            <wp:extent cx="154019" cy="154019"/>
            <wp:effectExtent l="0" t="0" r="0" b="0"/>
            <wp:docPr id="221" name="image25.png" descr=""/>
            <wp:cNvGraphicFramePr>
              <a:graphicFrameLocks noChangeAspect="1"/>
            </wp:cNvGraphicFramePr>
            <a:graphic>
              <a:graphicData uri="http://schemas.openxmlformats.org/drawingml/2006/picture">
                <pic:pic>
                  <pic:nvPicPr>
                    <pic:cNvPr id="222" name="image25.png"/>
                    <pic:cNvPicPr/>
                  </pic:nvPicPr>
                  <pic:blipFill>
                    <a:blip r:embed="rId41" cstate="print"/>
                    <a:stretch>
                      <a:fillRect/>
                    </a:stretch>
                  </pic:blipFill>
                  <pic:spPr>
                    <a:xfrm>
                      <a:off x="0" y="0"/>
                      <a:ext cx="154019" cy="154019"/>
                    </a:xfrm>
                    <a:prstGeom prst="rect">
                      <a:avLst/>
                    </a:prstGeom>
                  </pic:spPr>
                </pic:pic>
              </a:graphicData>
            </a:graphic>
          </wp:inline>
        </w:drawing>
      </w:r>
      <w:r>
        <w:rPr>
          <w:rFonts w:ascii="Times New Roman"/>
          <w:position w:val="181"/>
          <w:sz w:val="20"/>
        </w:rPr>
      </w:r>
    </w:p>
    <w:p>
      <w:pPr>
        <w:spacing w:after="0" w:line="240" w:lineRule="auto"/>
        <w:rPr>
          <w:rFonts w:ascii="Times New Roman"/>
          <w:sz w:val="20"/>
        </w:rPr>
        <w:sectPr>
          <w:pgSz w:w="16840" w:h="11910" w:orient="landscape"/>
          <w:pgMar w:header="38" w:footer="507" w:top="2220" w:bottom="700" w:left="0" w:right="0"/>
        </w:sectPr>
      </w:pPr>
    </w:p>
    <w:p>
      <w:pPr>
        <w:pStyle w:val="BodyText"/>
        <w:rPr>
          <w:rFonts w:ascii="Times New Roman"/>
          <w:sz w:val="20"/>
        </w:rPr>
      </w:pPr>
    </w:p>
    <w:p>
      <w:pPr>
        <w:pStyle w:val="BodyText"/>
        <w:rPr>
          <w:rFonts w:ascii="Times New Roman"/>
          <w:sz w:val="20"/>
        </w:rPr>
      </w:pPr>
    </w:p>
    <w:p>
      <w:pPr>
        <w:pStyle w:val="BodyText"/>
        <w:spacing w:before="8"/>
        <w:rPr>
          <w:rFonts w:ascii="Times New Roman"/>
          <w:sz w:val="11"/>
        </w:rPr>
      </w:pPr>
    </w:p>
    <w:p>
      <w:pPr>
        <w:tabs>
          <w:tab w:pos="1369" w:val="left" w:leader="none"/>
          <w:tab w:pos="16525" w:val="left" w:leader="none"/>
        </w:tabs>
        <w:spacing w:line="240" w:lineRule="auto"/>
        <w:ind w:left="67" w:right="0" w:firstLine="0"/>
        <w:rPr>
          <w:rFonts w:ascii="Times New Roman"/>
          <w:sz w:val="20"/>
        </w:rPr>
      </w:pPr>
      <w:r>
        <w:rPr>
          <w:rFonts w:ascii="Times New Roman"/>
          <w:position w:val="317"/>
          <w:sz w:val="20"/>
        </w:rPr>
        <w:drawing>
          <wp:inline distT="0" distB="0" distL="0" distR="0">
            <wp:extent cx="154019" cy="154019"/>
            <wp:effectExtent l="0" t="0" r="0" b="0"/>
            <wp:docPr id="223" name="image25.png" descr=""/>
            <wp:cNvGraphicFramePr>
              <a:graphicFrameLocks noChangeAspect="1"/>
            </wp:cNvGraphicFramePr>
            <a:graphic>
              <a:graphicData uri="http://schemas.openxmlformats.org/drawingml/2006/picture">
                <pic:pic>
                  <pic:nvPicPr>
                    <pic:cNvPr id="224" name="image25.png"/>
                    <pic:cNvPicPr/>
                  </pic:nvPicPr>
                  <pic:blipFill>
                    <a:blip r:embed="rId41" cstate="print"/>
                    <a:stretch>
                      <a:fillRect/>
                    </a:stretch>
                  </pic:blipFill>
                  <pic:spPr>
                    <a:xfrm>
                      <a:off x="0" y="0"/>
                      <a:ext cx="154019" cy="154019"/>
                    </a:xfrm>
                    <a:prstGeom prst="rect">
                      <a:avLst/>
                    </a:prstGeom>
                  </pic:spPr>
                </pic:pic>
              </a:graphicData>
            </a:graphic>
          </wp:inline>
        </w:drawing>
      </w:r>
      <w:r>
        <w:rPr>
          <w:rFonts w:ascii="Times New Roman"/>
          <w:position w:val="317"/>
          <w:sz w:val="20"/>
        </w:rPr>
      </w:r>
      <w:r>
        <w:rPr>
          <w:rFonts w:ascii="Times New Roman"/>
          <w:position w:val="317"/>
          <w:sz w:val="20"/>
        </w:rPr>
        <w:tab/>
      </w:r>
      <w:r>
        <w:rPr>
          <w:rFonts w:ascii="Times New Roman"/>
          <w:sz w:val="20"/>
        </w:rPr>
        <w:pict>
          <v:shape style="width:724.45pt;height:321pt;mso-position-horizontal-relative:char;mso-position-vertical-relative:line" type="#_x0000_t202" filled="false" stroked="false">
            <w10:anchorlock/>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989"/>
                    <w:gridCol w:w="994"/>
                    <w:gridCol w:w="1069"/>
                    <w:gridCol w:w="1004"/>
                    <w:gridCol w:w="1044"/>
                    <w:gridCol w:w="1141"/>
                    <w:gridCol w:w="1012"/>
                    <w:gridCol w:w="1182"/>
                    <w:gridCol w:w="1085"/>
                    <w:gridCol w:w="1087"/>
                    <w:gridCol w:w="884"/>
                  </w:tblGrid>
                  <w:tr>
                    <w:trPr>
                      <w:trHeight w:val="485" w:hRule="exact"/>
                    </w:trPr>
                    <w:tc>
                      <w:tcPr>
                        <w:tcW w:w="4983" w:type="dxa"/>
                        <w:gridSpan w:val="2"/>
                      </w:tcPr>
                      <w:p>
                        <w:pPr>
                          <w:pStyle w:val="TableParagraph"/>
                          <w:tabs>
                            <w:tab w:pos="602" w:val="left" w:leader="none"/>
                          </w:tabs>
                          <w:spacing w:before="77"/>
                          <w:ind w:left="35"/>
                          <w:jc w:val="left"/>
                          <w:rPr>
                            <w:b/>
                            <w:sz w:val="18"/>
                          </w:rPr>
                        </w:pPr>
                        <w:r>
                          <w:rPr>
                            <w:b/>
                            <w:sz w:val="18"/>
                          </w:rPr>
                          <w:t>21</w:t>
                          <w:tab/>
                          <w:t>Property, plant and equipment (continued)</w:t>
                        </w:r>
                      </w:p>
                    </w:tc>
                    <w:tc>
                      <w:tcPr>
                        <w:tcW w:w="1069" w:type="dxa"/>
                      </w:tcPr>
                      <w:p>
                        <w:pPr/>
                      </w:p>
                    </w:tc>
                    <w:tc>
                      <w:tcPr>
                        <w:tcW w:w="1004" w:type="dxa"/>
                      </w:tcPr>
                      <w:p>
                        <w:pPr/>
                      </w:p>
                    </w:tc>
                    <w:tc>
                      <w:tcPr>
                        <w:tcW w:w="1044" w:type="dxa"/>
                      </w:tcPr>
                      <w:p>
                        <w:pPr/>
                      </w:p>
                    </w:tc>
                    <w:tc>
                      <w:tcPr>
                        <w:tcW w:w="1141" w:type="dxa"/>
                      </w:tcPr>
                      <w:p>
                        <w:pPr>
                          <w:pStyle w:val="TableParagraph"/>
                          <w:jc w:val="left"/>
                          <w:rPr>
                            <w:rFonts w:ascii="Times New Roman"/>
                            <w:sz w:val="14"/>
                          </w:rPr>
                        </w:pPr>
                      </w:p>
                      <w:p>
                        <w:pPr>
                          <w:pStyle w:val="TableParagraph"/>
                          <w:spacing w:before="6"/>
                          <w:jc w:val="left"/>
                          <w:rPr>
                            <w:rFonts w:ascii="Times New Roman"/>
                            <w:sz w:val="13"/>
                          </w:rPr>
                        </w:pPr>
                      </w:p>
                      <w:p>
                        <w:pPr>
                          <w:pStyle w:val="TableParagraph"/>
                          <w:spacing w:before="1"/>
                          <w:ind w:left="194"/>
                          <w:jc w:val="left"/>
                          <w:rPr>
                            <w:b/>
                            <w:sz w:val="14"/>
                          </w:rPr>
                        </w:pPr>
                        <w:r>
                          <w:rPr>
                            <w:b/>
                            <w:sz w:val="14"/>
                          </w:rPr>
                          <w:t>Buildings-</w:t>
                        </w:r>
                      </w:p>
                    </w:tc>
                    <w:tc>
                      <w:tcPr>
                        <w:tcW w:w="5249" w:type="dxa"/>
                        <w:gridSpan w:val="5"/>
                      </w:tcPr>
                      <w:p>
                        <w:pPr/>
                      </w:p>
                    </w:tc>
                  </w:tr>
                  <w:tr>
                    <w:trPr>
                      <w:trHeight w:val="161" w:hRule="exact"/>
                    </w:trPr>
                    <w:tc>
                      <w:tcPr>
                        <w:tcW w:w="3989" w:type="dxa"/>
                      </w:tcPr>
                      <w:p>
                        <w:pPr>
                          <w:pStyle w:val="TableParagraph"/>
                          <w:spacing w:line="154" w:lineRule="exact"/>
                          <w:ind w:right="179"/>
                          <w:rPr>
                            <w:b/>
                            <w:sz w:val="14"/>
                          </w:rPr>
                        </w:pPr>
                        <w:r>
                          <w:rPr>
                            <w:b/>
                            <w:sz w:val="14"/>
                          </w:rPr>
                          <w:t>Construction</w:t>
                        </w:r>
                      </w:p>
                    </w:tc>
                    <w:tc>
                      <w:tcPr>
                        <w:tcW w:w="994" w:type="dxa"/>
                      </w:tcPr>
                      <w:p>
                        <w:pPr>
                          <w:pStyle w:val="TableParagraph"/>
                          <w:spacing w:line="154" w:lineRule="exact"/>
                          <w:ind w:left="135"/>
                          <w:jc w:val="left"/>
                          <w:rPr>
                            <w:b/>
                            <w:sz w:val="14"/>
                          </w:rPr>
                        </w:pPr>
                        <w:r>
                          <w:rPr>
                            <w:b/>
                            <w:sz w:val="14"/>
                          </w:rPr>
                          <w:t>Freehold</w:t>
                        </w:r>
                      </w:p>
                    </w:tc>
                    <w:tc>
                      <w:tcPr>
                        <w:tcW w:w="1069" w:type="dxa"/>
                      </w:tcPr>
                      <w:p>
                        <w:pPr/>
                      </w:p>
                    </w:tc>
                    <w:tc>
                      <w:tcPr>
                        <w:tcW w:w="1004" w:type="dxa"/>
                      </w:tcPr>
                      <w:p>
                        <w:pPr/>
                      </w:p>
                    </w:tc>
                    <w:tc>
                      <w:tcPr>
                        <w:tcW w:w="1044" w:type="dxa"/>
                      </w:tcPr>
                      <w:p>
                        <w:pPr/>
                      </w:p>
                    </w:tc>
                    <w:tc>
                      <w:tcPr>
                        <w:tcW w:w="1141" w:type="dxa"/>
                      </w:tcPr>
                      <w:p>
                        <w:pPr>
                          <w:pStyle w:val="TableParagraph"/>
                          <w:spacing w:line="154" w:lineRule="exact"/>
                          <w:ind w:right="114"/>
                          <w:rPr>
                            <w:b/>
                            <w:sz w:val="14"/>
                          </w:rPr>
                        </w:pPr>
                        <w:r>
                          <w:rPr>
                            <w:b/>
                            <w:sz w:val="14"/>
                          </w:rPr>
                          <w:t>Under Finance</w:t>
                        </w:r>
                      </w:p>
                    </w:tc>
                    <w:tc>
                      <w:tcPr>
                        <w:tcW w:w="1012" w:type="dxa"/>
                      </w:tcPr>
                      <w:p>
                        <w:pPr>
                          <w:pStyle w:val="TableParagraph"/>
                          <w:spacing w:line="154" w:lineRule="exact"/>
                          <w:ind w:left="148" w:right="166"/>
                          <w:jc w:val="left"/>
                          <w:rPr>
                            <w:b/>
                            <w:sz w:val="14"/>
                          </w:rPr>
                        </w:pPr>
                        <w:r>
                          <w:rPr>
                            <w:b/>
                            <w:sz w:val="14"/>
                          </w:rPr>
                          <w:t>Plant and</w:t>
                        </w:r>
                      </w:p>
                    </w:tc>
                    <w:tc>
                      <w:tcPr>
                        <w:tcW w:w="1182" w:type="dxa"/>
                      </w:tcPr>
                      <w:p>
                        <w:pPr>
                          <w:pStyle w:val="TableParagraph"/>
                          <w:spacing w:line="154" w:lineRule="exact"/>
                          <w:ind w:left="198" w:right="140"/>
                          <w:jc w:val="left"/>
                          <w:rPr>
                            <w:b/>
                            <w:sz w:val="14"/>
                          </w:rPr>
                        </w:pPr>
                        <w:r>
                          <w:rPr>
                            <w:b/>
                            <w:sz w:val="14"/>
                          </w:rPr>
                          <w:t>Leasehold</w:t>
                        </w:r>
                      </w:p>
                    </w:tc>
                    <w:tc>
                      <w:tcPr>
                        <w:tcW w:w="1085" w:type="dxa"/>
                      </w:tcPr>
                      <w:p>
                        <w:pPr>
                          <w:pStyle w:val="TableParagraph"/>
                          <w:spacing w:line="154" w:lineRule="exact"/>
                          <w:ind w:left="216" w:right="275"/>
                          <w:jc w:val="left"/>
                          <w:rPr>
                            <w:b/>
                            <w:sz w:val="14"/>
                          </w:rPr>
                        </w:pPr>
                        <w:r>
                          <w:rPr>
                            <w:b/>
                            <w:sz w:val="14"/>
                          </w:rPr>
                          <w:t>Library</w:t>
                        </w:r>
                      </w:p>
                    </w:tc>
                    <w:tc>
                      <w:tcPr>
                        <w:tcW w:w="1087" w:type="dxa"/>
                      </w:tcPr>
                      <w:p>
                        <w:pPr/>
                      </w:p>
                    </w:tc>
                    <w:tc>
                      <w:tcPr>
                        <w:tcW w:w="884" w:type="dxa"/>
                      </w:tcPr>
                      <w:p>
                        <w:pPr/>
                      </w:p>
                    </w:tc>
                  </w:tr>
                  <w:tr>
                    <w:trPr>
                      <w:trHeight w:val="194" w:hRule="exact"/>
                    </w:trPr>
                    <w:tc>
                      <w:tcPr>
                        <w:tcW w:w="3989" w:type="dxa"/>
                      </w:tcPr>
                      <w:p>
                        <w:pPr>
                          <w:pStyle w:val="TableParagraph"/>
                          <w:spacing w:line="154" w:lineRule="exact"/>
                          <w:ind w:right="229"/>
                          <w:rPr>
                            <w:b/>
                            <w:sz w:val="14"/>
                          </w:rPr>
                        </w:pPr>
                        <w:r>
                          <w:rPr>
                            <w:b/>
                            <w:sz w:val="14"/>
                          </w:rPr>
                          <w:t>in Progress</w:t>
                        </w:r>
                      </w:p>
                    </w:tc>
                    <w:tc>
                      <w:tcPr>
                        <w:tcW w:w="994" w:type="dxa"/>
                      </w:tcPr>
                      <w:p>
                        <w:pPr>
                          <w:pStyle w:val="TableParagraph"/>
                          <w:spacing w:line="154" w:lineRule="exact"/>
                          <w:ind w:left="264" w:right="247"/>
                          <w:jc w:val="left"/>
                          <w:rPr>
                            <w:b/>
                            <w:sz w:val="14"/>
                          </w:rPr>
                        </w:pPr>
                        <w:r>
                          <w:rPr>
                            <w:b/>
                            <w:sz w:val="14"/>
                          </w:rPr>
                          <w:t>Land</w:t>
                        </w:r>
                      </w:p>
                    </w:tc>
                    <w:tc>
                      <w:tcPr>
                        <w:tcW w:w="1069" w:type="dxa"/>
                      </w:tcPr>
                      <w:p>
                        <w:pPr>
                          <w:pStyle w:val="TableParagraph"/>
                          <w:spacing w:line="154" w:lineRule="exact"/>
                          <w:ind w:right="173"/>
                          <w:rPr>
                            <w:b/>
                            <w:sz w:val="14"/>
                          </w:rPr>
                        </w:pPr>
                        <w:r>
                          <w:rPr>
                            <w:b/>
                            <w:sz w:val="14"/>
                          </w:rPr>
                          <w:t>Crown Land</w:t>
                        </w:r>
                      </w:p>
                    </w:tc>
                    <w:tc>
                      <w:tcPr>
                        <w:tcW w:w="1004" w:type="dxa"/>
                      </w:tcPr>
                      <w:p>
                        <w:pPr>
                          <w:pStyle w:val="TableParagraph"/>
                          <w:spacing w:line="154" w:lineRule="exact"/>
                          <w:ind w:left="147"/>
                          <w:jc w:val="left"/>
                          <w:rPr>
                            <w:b/>
                            <w:sz w:val="14"/>
                          </w:rPr>
                        </w:pPr>
                        <w:r>
                          <w:rPr>
                            <w:b/>
                            <w:sz w:val="14"/>
                          </w:rPr>
                          <w:t>Buildings</w:t>
                        </w:r>
                      </w:p>
                    </w:tc>
                    <w:tc>
                      <w:tcPr>
                        <w:tcW w:w="1044" w:type="dxa"/>
                      </w:tcPr>
                      <w:p>
                        <w:pPr>
                          <w:pStyle w:val="TableParagraph"/>
                          <w:spacing w:line="154" w:lineRule="exact"/>
                          <w:ind w:right="73"/>
                          <w:rPr>
                            <w:b/>
                            <w:sz w:val="14"/>
                          </w:rPr>
                        </w:pPr>
                        <w:r>
                          <w:rPr>
                            <w:b/>
                            <w:sz w:val="14"/>
                          </w:rPr>
                          <w:t>Infrastructure</w:t>
                        </w:r>
                      </w:p>
                    </w:tc>
                    <w:tc>
                      <w:tcPr>
                        <w:tcW w:w="1141" w:type="dxa"/>
                      </w:tcPr>
                      <w:p>
                        <w:pPr>
                          <w:pStyle w:val="TableParagraph"/>
                          <w:spacing w:line="154" w:lineRule="exact"/>
                          <w:ind w:left="338"/>
                          <w:jc w:val="left"/>
                          <w:rPr>
                            <w:b/>
                            <w:sz w:val="14"/>
                          </w:rPr>
                        </w:pPr>
                        <w:r>
                          <w:rPr>
                            <w:b/>
                            <w:sz w:val="14"/>
                          </w:rPr>
                          <w:t>Lease</w:t>
                        </w:r>
                      </w:p>
                    </w:tc>
                    <w:tc>
                      <w:tcPr>
                        <w:tcW w:w="1012" w:type="dxa"/>
                      </w:tcPr>
                      <w:p>
                        <w:pPr>
                          <w:pStyle w:val="TableParagraph"/>
                          <w:spacing w:line="154" w:lineRule="exact"/>
                          <w:ind w:left="102"/>
                          <w:jc w:val="left"/>
                          <w:rPr>
                            <w:b/>
                            <w:sz w:val="14"/>
                          </w:rPr>
                        </w:pPr>
                        <w:r>
                          <w:rPr>
                            <w:b/>
                            <w:sz w:val="14"/>
                          </w:rPr>
                          <w:t>Equipment</w:t>
                        </w:r>
                      </w:p>
                    </w:tc>
                    <w:tc>
                      <w:tcPr>
                        <w:tcW w:w="1182" w:type="dxa"/>
                      </w:tcPr>
                      <w:p>
                        <w:pPr>
                          <w:pStyle w:val="TableParagraph"/>
                          <w:spacing w:line="154" w:lineRule="exact"/>
                          <w:ind w:right="157"/>
                          <w:rPr>
                            <w:b/>
                            <w:sz w:val="14"/>
                          </w:rPr>
                        </w:pPr>
                        <w:r>
                          <w:rPr>
                            <w:b/>
                            <w:sz w:val="14"/>
                          </w:rPr>
                          <w:t>Improvements</w:t>
                        </w:r>
                      </w:p>
                    </w:tc>
                    <w:tc>
                      <w:tcPr>
                        <w:tcW w:w="1085" w:type="dxa"/>
                      </w:tcPr>
                      <w:p>
                        <w:pPr>
                          <w:pStyle w:val="TableParagraph"/>
                          <w:spacing w:line="154" w:lineRule="exact"/>
                          <w:ind w:left="113"/>
                          <w:jc w:val="left"/>
                          <w:rPr>
                            <w:b/>
                            <w:sz w:val="14"/>
                          </w:rPr>
                        </w:pPr>
                        <w:r>
                          <w:rPr>
                            <w:b/>
                            <w:sz w:val="14"/>
                          </w:rPr>
                          <w:t>Collection</w:t>
                        </w:r>
                      </w:p>
                    </w:tc>
                    <w:tc>
                      <w:tcPr>
                        <w:tcW w:w="1087" w:type="dxa"/>
                      </w:tcPr>
                      <w:p>
                        <w:pPr>
                          <w:pStyle w:val="TableParagraph"/>
                          <w:spacing w:line="154" w:lineRule="exact"/>
                          <w:ind w:left="150"/>
                          <w:jc w:val="left"/>
                          <w:rPr>
                            <w:b/>
                            <w:sz w:val="14"/>
                          </w:rPr>
                        </w:pPr>
                        <w:r>
                          <w:rPr>
                            <w:b/>
                            <w:sz w:val="14"/>
                          </w:rPr>
                          <w:t>Artwork</w:t>
                        </w:r>
                      </w:p>
                    </w:tc>
                    <w:tc>
                      <w:tcPr>
                        <w:tcW w:w="884" w:type="dxa"/>
                      </w:tcPr>
                      <w:p>
                        <w:pPr>
                          <w:pStyle w:val="TableParagraph"/>
                          <w:spacing w:line="154" w:lineRule="exact"/>
                          <w:ind w:left="211"/>
                          <w:jc w:val="left"/>
                          <w:rPr>
                            <w:b/>
                            <w:sz w:val="14"/>
                          </w:rPr>
                        </w:pPr>
                        <w:r>
                          <w:rPr>
                            <w:b/>
                            <w:sz w:val="14"/>
                          </w:rPr>
                          <w:t>Total</w:t>
                        </w:r>
                      </w:p>
                    </w:tc>
                  </w:tr>
                  <w:tr>
                    <w:trPr>
                      <w:trHeight w:val="268" w:hRule="exact"/>
                    </w:trPr>
                    <w:tc>
                      <w:tcPr>
                        <w:tcW w:w="3989" w:type="dxa"/>
                      </w:tcPr>
                      <w:p>
                        <w:pPr>
                          <w:pStyle w:val="TableParagraph"/>
                          <w:tabs>
                            <w:tab w:pos="3198" w:val="left" w:leader="none"/>
                          </w:tabs>
                          <w:spacing w:before="26"/>
                          <w:ind w:left="68"/>
                          <w:jc w:val="left"/>
                          <w:rPr>
                            <w:b/>
                            <w:sz w:val="14"/>
                          </w:rPr>
                        </w:pPr>
                        <w:r>
                          <w:rPr>
                            <w:b/>
                            <w:sz w:val="14"/>
                          </w:rPr>
                          <w:t>Parent</w:t>
                          <w:tab/>
                          <w:t>$'000</w:t>
                        </w:r>
                      </w:p>
                    </w:tc>
                    <w:tc>
                      <w:tcPr>
                        <w:tcW w:w="994" w:type="dxa"/>
                      </w:tcPr>
                      <w:p>
                        <w:pPr>
                          <w:pStyle w:val="TableParagraph"/>
                          <w:spacing w:before="26"/>
                          <w:ind w:left="258" w:right="247"/>
                          <w:jc w:val="left"/>
                          <w:rPr>
                            <w:b/>
                            <w:sz w:val="14"/>
                          </w:rPr>
                        </w:pPr>
                        <w:r>
                          <w:rPr>
                            <w:b/>
                            <w:sz w:val="14"/>
                          </w:rPr>
                          <w:t>$'000</w:t>
                        </w:r>
                      </w:p>
                    </w:tc>
                    <w:tc>
                      <w:tcPr>
                        <w:tcW w:w="1069" w:type="dxa"/>
                      </w:tcPr>
                      <w:p>
                        <w:pPr>
                          <w:pStyle w:val="TableParagraph"/>
                          <w:spacing w:before="26"/>
                          <w:ind w:left="313"/>
                          <w:jc w:val="left"/>
                          <w:rPr>
                            <w:b/>
                            <w:sz w:val="14"/>
                          </w:rPr>
                        </w:pPr>
                        <w:r>
                          <w:rPr>
                            <w:b/>
                            <w:sz w:val="14"/>
                          </w:rPr>
                          <w:t>$'000</w:t>
                        </w:r>
                      </w:p>
                    </w:tc>
                    <w:tc>
                      <w:tcPr>
                        <w:tcW w:w="1004" w:type="dxa"/>
                      </w:tcPr>
                      <w:p>
                        <w:pPr>
                          <w:pStyle w:val="TableParagraph"/>
                          <w:spacing w:before="26"/>
                          <w:ind w:left="293"/>
                          <w:jc w:val="left"/>
                          <w:rPr>
                            <w:b/>
                            <w:sz w:val="14"/>
                          </w:rPr>
                        </w:pPr>
                        <w:r>
                          <w:rPr>
                            <w:b/>
                            <w:sz w:val="14"/>
                          </w:rPr>
                          <w:t>$'000</w:t>
                        </w:r>
                      </w:p>
                    </w:tc>
                    <w:tc>
                      <w:tcPr>
                        <w:tcW w:w="1044" w:type="dxa"/>
                      </w:tcPr>
                      <w:p>
                        <w:pPr>
                          <w:pStyle w:val="TableParagraph"/>
                          <w:spacing w:before="26"/>
                          <w:ind w:left="338"/>
                          <w:jc w:val="left"/>
                          <w:rPr>
                            <w:b/>
                            <w:sz w:val="14"/>
                          </w:rPr>
                        </w:pPr>
                        <w:r>
                          <w:rPr>
                            <w:b/>
                            <w:sz w:val="14"/>
                          </w:rPr>
                          <w:t>$'000</w:t>
                        </w:r>
                      </w:p>
                    </w:tc>
                    <w:tc>
                      <w:tcPr>
                        <w:tcW w:w="1141" w:type="dxa"/>
                      </w:tcPr>
                      <w:p>
                        <w:pPr>
                          <w:pStyle w:val="TableParagraph"/>
                          <w:spacing w:before="26"/>
                          <w:ind w:left="363"/>
                          <w:jc w:val="left"/>
                          <w:rPr>
                            <w:b/>
                            <w:sz w:val="14"/>
                          </w:rPr>
                        </w:pPr>
                        <w:r>
                          <w:rPr>
                            <w:b/>
                            <w:sz w:val="14"/>
                          </w:rPr>
                          <w:t>$'000</w:t>
                        </w:r>
                      </w:p>
                    </w:tc>
                    <w:tc>
                      <w:tcPr>
                        <w:tcW w:w="1012" w:type="dxa"/>
                      </w:tcPr>
                      <w:p>
                        <w:pPr>
                          <w:pStyle w:val="TableParagraph"/>
                          <w:spacing w:before="26"/>
                          <w:ind w:left="291" w:right="166"/>
                          <w:jc w:val="left"/>
                          <w:rPr>
                            <w:b/>
                            <w:sz w:val="14"/>
                          </w:rPr>
                        </w:pPr>
                        <w:r>
                          <w:rPr>
                            <w:b/>
                            <w:sz w:val="14"/>
                          </w:rPr>
                          <w:t>$'000</w:t>
                        </w:r>
                      </w:p>
                    </w:tc>
                    <w:tc>
                      <w:tcPr>
                        <w:tcW w:w="1182" w:type="dxa"/>
                      </w:tcPr>
                      <w:p>
                        <w:pPr>
                          <w:pStyle w:val="TableParagraph"/>
                          <w:spacing w:before="26"/>
                          <w:ind w:left="371" w:right="140"/>
                          <w:jc w:val="left"/>
                          <w:rPr>
                            <w:b/>
                            <w:sz w:val="14"/>
                          </w:rPr>
                        </w:pPr>
                        <w:r>
                          <w:rPr>
                            <w:b/>
                            <w:sz w:val="14"/>
                          </w:rPr>
                          <w:t>$'000</w:t>
                        </w:r>
                      </w:p>
                    </w:tc>
                    <w:tc>
                      <w:tcPr>
                        <w:tcW w:w="1085" w:type="dxa"/>
                      </w:tcPr>
                      <w:p>
                        <w:pPr>
                          <w:pStyle w:val="TableParagraph"/>
                          <w:spacing w:before="26"/>
                          <w:ind w:left="279" w:right="275"/>
                          <w:jc w:val="left"/>
                          <w:rPr>
                            <w:b/>
                            <w:sz w:val="14"/>
                          </w:rPr>
                        </w:pPr>
                        <w:r>
                          <w:rPr>
                            <w:b/>
                            <w:sz w:val="14"/>
                          </w:rPr>
                          <w:t>$'000</w:t>
                        </w:r>
                      </w:p>
                    </w:tc>
                    <w:tc>
                      <w:tcPr>
                        <w:tcW w:w="1087" w:type="dxa"/>
                      </w:tcPr>
                      <w:p>
                        <w:pPr>
                          <w:pStyle w:val="TableParagraph"/>
                          <w:spacing w:before="26"/>
                          <w:ind w:left="243"/>
                          <w:jc w:val="left"/>
                          <w:rPr>
                            <w:b/>
                            <w:sz w:val="14"/>
                          </w:rPr>
                        </w:pPr>
                        <w:r>
                          <w:rPr>
                            <w:b/>
                            <w:sz w:val="14"/>
                          </w:rPr>
                          <w:t>$'000</w:t>
                        </w:r>
                      </w:p>
                    </w:tc>
                    <w:tc>
                      <w:tcPr>
                        <w:tcW w:w="884" w:type="dxa"/>
                      </w:tcPr>
                      <w:p>
                        <w:pPr>
                          <w:pStyle w:val="TableParagraph"/>
                          <w:spacing w:before="26"/>
                          <w:ind w:left="205"/>
                          <w:jc w:val="left"/>
                          <w:rPr>
                            <w:b/>
                            <w:sz w:val="14"/>
                          </w:rPr>
                        </w:pPr>
                        <w:r>
                          <w:rPr>
                            <w:b/>
                            <w:sz w:val="14"/>
                          </w:rPr>
                          <w:t>$'000</w:t>
                        </w:r>
                      </w:p>
                    </w:tc>
                  </w:tr>
                  <w:tr>
                    <w:trPr>
                      <w:trHeight w:val="248" w:hRule="exact"/>
                    </w:trPr>
                    <w:tc>
                      <w:tcPr>
                        <w:tcW w:w="3989" w:type="dxa"/>
                      </w:tcPr>
                      <w:p>
                        <w:pPr>
                          <w:pStyle w:val="TableParagraph"/>
                          <w:spacing w:before="66"/>
                          <w:ind w:left="68"/>
                          <w:jc w:val="left"/>
                          <w:rPr>
                            <w:b/>
                            <w:sz w:val="14"/>
                          </w:rPr>
                        </w:pPr>
                        <w:r>
                          <w:rPr>
                            <w:b/>
                            <w:sz w:val="14"/>
                          </w:rPr>
                          <w:t>At 1 January 2015</w:t>
                        </w:r>
                      </w:p>
                    </w:tc>
                    <w:tc>
                      <w:tcPr>
                        <w:tcW w:w="994" w:type="dxa"/>
                      </w:tcPr>
                      <w:p>
                        <w:pPr/>
                      </w:p>
                    </w:tc>
                    <w:tc>
                      <w:tcPr>
                        <w:tcW w:w="1069" w:type="dxa"/>
                      </w:tcPr>
                      <w:p>
                        <w:pPr/>
                      </w:p>
                    </w:tc>
                    <w:tc>
                      <w:tcPr>
                        <w:tcW w:w="1004" w:type="dxa"/>
                      </w:tcPr>
                      <w:p>
                        <w:pPr/>
                      </w:p>
                    </w:tc>
                    <w:tc>
                      <w:tcPr>
                        <w:tcW w:w="1044" w:type="dxa"/>
                      </w:tcPr>
                      <w:p>
                        <w:pPr/>
                      </w:p>
                    </w:tc>
                    <w:tc>
                      <w:tcPr>
                        <w:tcW w:w="1141" w:type="dxa"/>
                      </w:tcPr>
                      <w:p>
                        <w:pPr/>
                      </w:p>
                    </w:tc>
                    <w:tc>
                      <w:tcPr>
                        <w:tcW w:w="1012" w:type="dxa"/>
                      </w:tcPr>
                      <w:p>
                        <w:pPr/>
                      </w:p>
                    </w:tc>
                    <w:tc>
                      <w:tcPr>
                        <w:tcW w:w="1182" w:type="dxa"/>
                      </w:tcPr>
                      <w:p>
                        <w:pPr/>
                      </w:p>
                    </w:tc>
                    <w:tc>
                      <w:tcPr>
                        <w:tcW w:w="1085" w:type="dxa"/>
                      </w:tcPr>
                      <w:p>
                        <w:pPr/>
                      </w:p>
                    </w:tc>
                    <w:tc>
                      <w:tcPr>
                        <w:tcW w:w="1087" w:type="dxa"/>
                      </w:tcPr>
                      <w:p>
                        <w:pPr/>
                      </w:p>
                    </w:tc>
                    <w:tc>
                      <w:tcPr>
                        <w:tcW w:w="884" w:type="dxa"/>
                      </w:tcPr>
                      <w:p>
                        <w:pPr/>
                      </w:p>
                    </w:tc>
                  </w:tr>
                  <w:tr>
                    <w:trPr>
                      <w:trHeight w:val="205" w:hRule="exact"/>
                    </w:trPr>
                    <w:tc>
                      <w:tcPr>
                        <w:tcW w:w="3989" w:type="dxa"/>
                      </w:tcPr>
                      <w:p>
                        <w:pPr>
                          <w:pStyle w:val="TableParagraph"/>
                          <w:tabs>
                            <w:tab w:pos="3298" w:val="left" w:leader="none"/>
                          </w:tabs>
                          <w:spacing w:before="8"/>
                          <w:ind w:left="68"/>
                          <w:jc w:val="left"/>
                          <w:rPr>
                            <w:sz w:val="14"/>
                          </w:rPr>
                        </w:pPr>
                        <w:r>
                          <w:rPr>
                            <w:sz w:val="14"/>
                          </w:rPr>
                          <w:t>- Cost</w:t>
                          <w:tab/>
                          <w:t>106,889</w:t>
                        </w:r>
                      </w:p>
                    </w:tc>
                    <w:tc>
                      <w:tcPr>
                        <w:tcW w:w="994" w:type="dxa"/>
                      </w:tcPr>
                      <w:p>
                        <w:pPr>
                          <w:pStyle w:val="TableParagraph"/>
                          <w:spacing w:before="7"/>
                          <w:ind w:right="125"/>
                          <w:rPr>
                            <w:sz w:val="14"/>
                          </w:rPr>
                        </w:pPr>
                        <w:r>
                          <w:rPr>
                            <w:w w:val="100"/>
                            <w:sz w:val="14"/>
                          </w:rPr>
                          <w:t>-</w:t>
                        </w:r>
                      </w:p>
                    </w:tc>
                    <w:tc>
                      <w:tcPr>
                        <w:tcW w:w="1069" w:type="dxa"/>
                      </w:tcPr>
                      <w:p>
                        <w:pPr>
                          <w:pStyle w:val="TableParagraph"/>
                          <w:spacing w:before="7"/>
                          <w:ind w:right="145"/>
                          <w:rPr>
                            <w:sz w:val="14"/>
                          </w:rPr>
                        </w:pPr>
                        <w:r>
                          <w:rPr>
                            <w:w w:val="100"/>
                            <w:sz w:val="14"/>
                          </w:rPr>
                          <w:t>-</w:t>
                        </w:r>
                      </w:p>
                    </w:tc>
                    <w:tc>
                      <w:tcPr>
                        <w:tcW w:w="1004" w:type="dxa"/>
                      </w:tcPr>
                      <w:p>
                        <w:pPr>
                          <w:pStyle w:val="TableParagraph"/>
                          <w:spacing w:before="7"/>
                          <w:ind w:right="101"/>
                          <w:rPr>
                            <w:sz w:val="14"/>
                          </w:rPr>
                        </w:pPr>
                        <w:r>
                          <w:rPr>
                            <w:sz w:val="14"/>
                          </w:rPr>
                          <w:t>820</w:t>
                        </w:r>
                      </w:p>
                    </w:tc>
                    <w:tc>
                      <w:tcPr>
                        <w:tcW w:w="1044" w:type="dxa"/>
                      </w:tcPr>
                      <w:p>
                        <w:pPr>
                          <w:pStyle w:val="TableParagraph"/>
                          <w:spacing w:before="7"/>
                          <w:ind w:right="95"/>
                          <w:rPr>
                            <w:sz w:val="14"/>
                          </w:rPr>
                        </w:pPr>
                        <w:r>
                          <w:rPr>
                            <w:sz w:val="14"/>
                          </w:rPr>
                          <w:t>623</w:t>
                        </w:r>
                      </w:p>
                    </w:tc>
                    <w:tc>
                      <w:tcPr>
                        <w:tcW w:w="1141" w:type="dxa"/>
                      </w:tcPr>
                      <w:p>
                        <w:pPr>
                          <w:pStyle w:val="TableParagraph"/>
                          <w:spacing w:before="7"/>
                          <w:ind w:right="147"/>
                          <w:rPr>
                            <w:sz w:val="14"/>
                          </w:rPr>
                        </w:pPr>
                        <w:r>
                          <w:rPr>
                            <w:sz w:val="14"/>
                          </w:rPr>
                          <w:t>4,594</w:t>
                        </w:r>
                      </w:p>
                    </w:tc>
                    <w:tc>
                      <w:tcPr>
                        <w:tcW w:w="1012" w:type="dxa"/>
                      </w:tcPr>
                      <w:p>
                        <w:pPr>
                          <w:pStyle w:val="TableParagraph"/>
                          <w:spacing w:before="7"/>
                          <w:ind w:right="110"/>
                          <w:rPr>
                            <w:sz w:val="14"/>
                          </w:rPr>
                        </w:pPr>
                        <w:r>
                          <w:rPr>
                            <w:sz w:val="14"/>
                          </w:rPr>
                          <w:t>123,655</w:t>
                        </w:r>
                      </w:p>
                    </w:tc>
                    <w:tc>
                      <w:tcPr>
                        <w:tcW w:w="1182" w:type="dxa"/>
                      </w:tcPr>
                      <w:p>
                        <w:pPr>
                          <w:pStyle w:val="TableParagraph"/>
                          <w:spacing w:before="7"/>
                          <w:ind w:right="158"/>
                          <w:rPr>
                            <w:sz w:val="14"/>
                          </w:rPr>
                        </w:pPr>
                        <w:r>
                          <w:rPr>
                            <w:sz w:val="14"/>
                          </w:rPr>
                          <w:t>17,610</w:t>
                        </w:r>
                      </w:p>
                    </w:tc>
                    <w:tc>
                      <w:tcPr>
                        <w:tcW w:w="1085" w:type="dxa"/>
                      </w:tcPr>
                      <w:p>
                        <w:pPr>
                          <w:pStyle w:val="TableParagraph"/>
                          <w:spacing w:before="7"/>
                          <w:ind w:right="195"/>
                          <w:rPr>
                            <w:sz w:val="14"/>
                          </w:rPr>
                        </w:pPr>
                        <w:r>
                          <w:rPr>
                            <w:sz w:val="14"/>
                          </w:rPr>
                          <w:t>86,776</w:t>
                        </w:r>
                      </w:p>
                    </w:tc>
                    <w:tc>
                      <w:tcPr>
                        <w:tcW w:w="1087" w:type="dxa"/>
                      </w:tcPr>
                      <w:p>
                        <w:pPr>
                          <w:pStyle w:val="TableParagraph"/>
                          <w:spacing w:before="7"/>
                          <w:ind w:right="233"/>
                          <w:rPr>
                            <w:sz w:val="14"/>
                          </w:rPr>
                        </w:pPr>
                        <w:r>
                          <w:rPr>
                            <w:w w:val="100"/>
                            <w:sz w:val="14"/>
                          </w:rPr>
                          <w:t>-</w:t>
                        </w:r>
                      </w:p>
                    </w:tc>
                    <w:tc>
                      <w:tcPr>
                        <w:tcW w:w="884" w:type="dxa"/>
                      </w:tcPr>
                      <w:p>
                        <w:pPr>
                          <w:pStyle w:val="TableParagraph"/>
                          <w:spacing w:before="7"/>
                          <w:ind w:right="68"/>
                          <w:rPr>
                            <w:sz w:val="14"/>
                          </w:rPr>
                        </w:pPr>
                        <w:r>
                          <w:rPr>
                            <w:sz w:val="14"/>
                          </w:rPr>
                          <w:t>340,967</w:t>
                        </w:r>
                      </w:p>
                    </w:tc>
                  </w:tr>
                  <w:tr>
                    <w:trPr>
                      <w:trHeight w:val="218" w:hRule="exact"/>
                    </w:trPr>
                    <w:tc>
                      <w:tcPr>
                        <w:tcW w:w="3989" w:type="dxa"/>
                      </w:tcPr>
                      <w:p>
                        <w:pPr>
                          <w:pStyle w:val="TableParagraph"/>
                          <w:tabs>
                            <w:tab w:pos="3759" w:val="left" w:leader="none"/>
                          </w:tabs>
                          <w:spacing w:before="22"/>
                          <w:ind w:left="68"/>
                          <w:jc w:val="left"/>
                          <w:rPr>
                            <w:sz w:val="14"/>
                          </w:rPr>
                        </w:pPr>
                        <w:r>
                          <w:rPr>
                            <w:sz w:val="14"/>
                          </w:rPr>
                          <w:t>- Valuation</w:t>
                          <w:tab/>
                          <w:t>-</w:t>
                        </w:r>
                      </w:p>
                    </w:tc>
                    <w:tc>
                      <w:tcPr>
                        <w:tcW w:w="994" w:type="dxa"/>
                      </w:tcPr>
                      <w:p>
                        <w:pPr>
                          <w:pStyle w:val="TableParagraph"/>
                          <w:spacing w:before="21"/>
                          <w:ind w:right="125"/>
                          <w:rPr>
                            <w:sz w:val="14"/>
                          </w:rPr>
                        </w:pPr>
                        <w:r>
                          <w:rPr>
                            <w:sz w:val="14"/>
                          </w:rPr>
                          <w:t>187,336</w:t>
                        </w:r>
                      </w:p>
                    </w:tc>
                    <w:tc>
                      <w:tcPr>
                        <w:tcW w:w="1069" w:type="dxa"/>
                      </w:tcPr>
                      <w:p>
                        <w:pPr>
                          <w:pStyle w:val="TableParagraph"/>
                          <w:spacing w:before="21"/>
                          <w:ind w:right="145"/>
                          <w:rPr>
                            <w:sz w:val="14"/>
                          </w:rPr>
                        </w:pPr>
                        <w:r>
                          <w:rPr>
                            <w:sz w:val="14"/>
                          </w:rPr>
                          <w:t>162,335</w:t>
                        </w:r>
                      </w:p>
                    </w:tc>
                    <w:tc>
                      <w:tcPr>
                        <w:tcW w:w="1004" w:type="dxa"/>
                      </w:tcPr>
                      <w:p>
                        <w:pPr>
                          <w:pStyle w:val="TableParagraph"/>
                          <w:spacing w:before="21"/>
                          <w:ind w:right="101"/>
                          <w:rPr>
                            <w:sz w:val="14"/>
                          </w:rPr>
                        </w:pPr>
                        <w:r>
                          <w:rPr>
                            <w:sz w:val="14"/>
                          </w:rPr>
                          <w:t>826,809</w:t>
                        </w:r>
                      </w:p>
                    </w:tc>
                    <w:tc>
                      <w:tcPr>
                        <w:tcW w:w="1044" w:type="dxa"/>
                      </w:tcPr>
                      <w:p>
                        <w:pPr>
                          <w:pStyle w:val="TableParagraph"/>
                          <w:spacing w:before="21"/>
                          <w:ind w:right="95"/>
                          <w:rPr>
                            <w:sz w:val="14"/>
                          </w:rPr>
                        </w:pPr>
                        <w:r>
                          <w:rPr>
                            <w:sz w:val="14"/>
                          </w:rPr>
                          <w:t>81,397</w:t>
                        </w:r>
                      </w:p>
                    </w:tc>
                    <w:tc>
                      <w:tcPr>
                        <w:tcW w:w="1141" w:type="dxa"/>
                      </w:tcPr>
                      <w:p>
                        <w:pPr>
                          <w:pStyle w:val="TableParagraph"/>
                          <w:spacing w:before="21"/>
                          <w:ind w:right="147"/>
                          <w:rPr>
                            <w:sz w:val="14"/>
                          </w:rPr>
                        </w:pPr>
                        <w:r>
                          <w:rPr>
                            <w:w w:val="100"/>
                            <w:sz w:val="14"/>
                          </w:rPr>
                          <w:t>-</w:t>
                        </w:r>
                      </w:p>
                    </w:tc>
                    <w:tc>
                      <w:tcPr>
                        <w:tcW w:w="1012" w:type="dxa"/>
                      </w:tcPr>
                      <w:p>
                        <w:pPr>
                          <w:pStyle w:val="TableParagraph"/>
                          <w:spacing w:before="21"/>
                          <w:ind w:right="110"/>
                          <w:rPr>
                            <w:sz w:val="14"/>
                          </w:rPr>
                        </w:pPr>
                        <w:r>
                          <w:rPr>
                            <w:w w:val="100"/>
                            <w:sz w:val="14"/>
                          </w:rPr>
                          <w:t>-</w:t>
                        </w:r>
                      </w:p>
                    </w:tc>
                    <w:tc>
                      <w:tcPr>
                        <w:tcW w:w="1182" w:type="dxa"/>
                      </w:tcPr>
                      <w:p>
                        <w:pPr>
                          <w:pStyle w:val="TableParagraph"/>
                          <w:spacing w:before="21"/>
                          <w:ind w:right="158"/>
                          <w:rPr>
                            <w:sz w:val="14"/>
                          </w:rPr>
                        </w:pPr>
                        <w:r>
                          <w:rPr>
                            <w:w w:val="100"/>
                            <w:sz w:val="14"/>
                          </w:rPr>
                          <w:t>-</w:t>
                        </w:r>
                      </w:p>
                    </w:tc>
                    <w:tc>
                      <w:tcPr>
                        <w:tcW w:w="1085" w:type="dxa"/>
                      </w:tcPr>
                      <w:p>
                        <w:pPr>
                          <w:pStyle w:val="TableParagraph"/>
                          <w:spacing w:before="21"/>
                          <w:ind w:right="195"/>
                          <w:rPr>
                            <w:sz w:val="14"/>
                          </w:rPr>
                        </w:pPr>
                        <w:r>
                          <w:rPr>
                            <w:sz w:val="14"/>
                          </w:rPr>
                          <w:t>872</w:t>
                        </w:r>
                      </w:p>
                    </w:tc>
                    <w:tc>
                      <w:tcPr>
                        <w:tcW w:w="1087" w:type="dxa"/>
                      </w:tcPr>
                      <w:p>
                        <w:pPr>
                          <w:pStyle w:val="TableParagraph"/>
                          <w:spacing w:before="21"/>
                          <w:ind w:right="233"/>
                          <w:rPr>
                            <w:sz w:val="14"/>
                          </w:rPr>
                        </w:pPr>
                        <w:r>
                          <w:rPr>
                            <w:sz w:val="14"/>
                          </w:rPr>
                          <w:t>3,029</w:t>
                        </w:r>
                      </w:p>
                    </w:tc>
                    <w:tc>
                      <w:tcPr>
                        <w:tcW w:w="884" w:type="dxa"/>
                      </w:tcPr>
                      <w:p>
                        <w:pPr>
                          <w:pStyle w:val="TableParagraph"/>
                          <w:spacing w:before="21"/>
                          <w:ind w:right="68"/>
                          <w:rPr>
                            <w:sz w:val="14"/>
                          </w:rPr>
                        </w:pPr>
                        <w:r>
                          <w:rPr>
                            <w:sz w:val="14"/>
                          </w:rPr>
                          <w:t>1,261,778</w:t>
                        </w:r>
                      </w:p>
                    </w:tc>
                  </w:tr>
                  <w:tr>
                    <w:trPr>
                      <w:trHeight w:val="219" w:hRule="exact"/>
                    </w:trPr>
                    <w:tc>
                      <w:tcPr>
                        <w:tcW w:w="3989" w:type="dxa"/>
                        <w:tcBorders>
                          <w:bottom w:val="single" w:sz="0" w:space="0" w:color="000000"/>
                        </w:tcBorders>
                      </w:tcPr>
                      <w:p>
                        <w:pPr>
                          <w:pStyle w:val="TableParagraph"/>
                          <w:tabs>
                            <w:tab w:pos="3759" w:val="left" w:leader="none"/>
                          </w:tabs>
                          <w:spacing w:before="22"/>
                          <w:ind w:left="68"/>
                          <w:jc w:val="left"/>
                          <w:rPr>
                            <w:sz w:val="14"/>
                          </w:rPr>
                        </w:pPr>
                        <w:r>
                          <w:rPr>
                            <w:sz w:val="14"/>
                          </w:rPr>
                          <w:t>Accumulated</w:t>
                        </w:r>
                        <w:r>
                          <w:rPr>
                            <w:spacing w:val="1"/>
                            <w:sz w:val="14"/>
                          </w:rPr>
                          <w:t> </w:t>
                        </w:r>
                        <w:r>
                          <w:rPr>
                            <w:sz w:val="14"/>
                          </w:rPr>
                          <w:t>depreciation</w:t>
                          <w:tab/>
                          <w:t>-</w:t>
                        </w:r>
                      </w:p>
                    </w:tc>
                    <w:tc>
                      <w:tcPr>
                        <w:tcW w:w="994" w:type="dxa"/>
                        <w:tcBorders>
                          <w:bottom w:val="single" w:sz="0" w:space="0" w:color="000000"/>
                        </w:tcBorders>
                      </w:tcPr>
                      <w:p>
                        <w:pPr>
                          <w:pStyle w:val="TableParagraph"/>
                          <w:spacing w:before="21"/>
                          <w:ind w:right="125"/>
                          <w:rPr>
                            <w:sz w:val="14"/>
                          </w:rPr>
                        </w:pPr>
                        <w:r>
                          <w:rPr>
                            <w:w w:val="100"/>
                            <w:sz w:val="14"/>
                          </w:rPr>
                          <w:t>-</w:t>
                        </w:r>
                      </w:p>
                    </w:tc>
                    <w:tc>
                      <w:tcPr>
                        <w:tcW w:w="1069" w:type="dxa"/>
                        <w:tcBorders>
                          <w:bottom w:val="single" w:sz="0" w:space="0" w:color="000000"/>
                        </w:tcBorders>
                      </w:tcPr>
                      <w:p>
                        <w:pPr>
                          <w:pStyle w:val="TableParagraph"/>
                          <w:spacing w:before="21"/>
                          <w:ind w:right="145"/>
                          <w:rPr>
                            <w:sz w:val="14"/>
                          </w:rPr>
                        </w:pPr>
                        <w:r>
                          <w:rPr>
                            <w:w w:val="100"/>
                            <w:sz w:val="14"/>
                          </w:rPr>
                          <w:t>-</w:t>
                        </w:r>
                      </w:p>
                    </w:tc>
                    <w:tc>
                      <w:tcPr>
                        <w:tcW w:w="1004" w:type="dxa"/>
                        <w:tcBorders>
                          <w:bottom w:val="single" w:sz="0" w:space="0" w:color="000000"/>
                        </w:tcBorders>
                      </w:tcPr>
                      <w:p>
                        <w:pPr>
                          <w:pStyle w:val="TableParagraph"/>
                          <w:spacing w:before="21"/>
                          <w:ind w:right="53"/>
                          <w:rPr>
                            <w:sz w:val="14"/>
                          </w:rPr>
                        </w:pPr>
                        <w:r>
                          <w:rPr>
                            <w:sz w:val="14"/>
                          </w:rPr>
                          <w:t>(2,285)</w:t>
                        </w:r>
                      </w:p>
                    </w:tc>
                    <w:tc>
                      <w:tcPr>
                        <w:tcW w:w="1044" w:type="dxa"/>
                        <w:tcBorders>
                          <w:bottom w:val="single" w:sz="0" w:space="0" w:color="000000"/>
                        </w:tcBorders>
                      </w:tcPr>
                      <w:p>
                        <w:pPr>
                          <w:pStyle w:val="TableParagraph"/>
                          <w:spacing w:before="21"/>
                          <w:ind w:right="48"/>
                          <w:rPr>
                            <w:sz w:val="14"/>
                          </w:rPr>
                        </w:pPr>
                        <w:r>
                          <w:rPr>
                            <w:sz w:val="14"/>
                          </w:rPr>
                          <w:t>(683)</w:t>
                        </w:r>
                      </w:p>
                    </w:tc>
                    <w:tc>
                      <w:tcPr>
                        <w:tcW w:w="1141" w:type="dxa"/>
                        <w:tcBorders>
                          <w:bottom w:val="single" w:sz="0" w:space="0" w:color="000000"/>
                        </w:tcBorders>
                      </w:tcPr>
                      <w:p>
                        <w:pPr>
                          <w:pStyle w:val="TableParagraph"/>
                          <w:spacing w:before="21"/>
                          <w:ind w:right="100"/>
                          <w:rPr>
                            <w:sz w:val="14"/>
                          </w:rPr>
                        </w:pPr>
                        <w:r>
                          <w:rPr>
                            <w:sz w:val="14"/>
                          </w:rPr>
                          <w:t>(4,594)</w:t>
                        </w:r>
                      </w:p>
                    </w:tc>
                    <w:tc>
                      <w:tcPr>
                        <w:tcW w:w="1012" w:type="dxa"/>
                        <w:tcBorders>
                          <w:bottom w:val="single" w:sz="0" w:space="0" w:color="000000"/>
                        </w:tcBorders>
                      </w:tcPr>
                      <w:p>
                        <w:pPr>
                          <w:pStyle w:val="TableParagraph"/>
                          <w:spacing w:before="21"/>
                          <w:ind w:right="63"/>
                          <w:rPr>
                            <w:sz w:val="14"/>
                          </w:rPr>
                        </w:pPr>
                        <w:r>
                          <w:rPr>
                            <w:sz w:val="14"/>
                          </w:rPr>
                          <w:t>(63,593)</w:t>
                        </w:r>
                      </w:p>
                    </w:tc>
                    <w:tc>
                      <w:tcPr>
                        <w:tcW w:w="1182" w:type="dxa"/>
                        <w:tcBorders>
                          <w:bottom w:val="single" w:sz="0" w:space="0" w:color="000000"/>
                        </w:tcBorders>
                      </w:tcPr>
                      <w:p>
                        <w:pPr>
                          <w:pStyle w:val="TableParagraph"/>
                          <w:spacing w:before="21"/>
                          <w:ind w:right="111"/>
                          <w:rPr>
                            <w:sz w:val="14"/>
                          </w:rPr>
                        </w:pPr>
                        <w:r>
                          <w:rPr>
                            <w:sz w:val="14"/>
                          </w:rPr>
                          <w:t>(3,738)</w:t>
                        </w:r>
                      </w:p>
                    </w:tc>
                    <w:tc>
                      <w:tcPr>
                        <w:tcW w:w="1085" w:type="dxa"/>
                        <w:tcBorders>
                          <w:bottom w:val="single" w:sz="0" w:space="0" w:color="000000"/>
                        </w:tcBorders>
                      </w:tcPr>
                      <w:p>
                        <w:pPr>
                          <w:pStyle w:val="TableParagraph"/>
                          <w:spacing w:before="21"/>
                          <w:ind w:right="148"/>
                          <w:rPr>
                            <w:sz w:val="14"/>
                          </w:rPr>
                        </w:pPr>
                        <w:r>
                          <w:rPr>
                            <w:sz w:val="14"/>
                          </w:rPr>
                          <w:t>(77,213)</w:t>
                        </w:r>
                      </w:p>
                    </w:tc>
                    <w:tc>
                      <w:tcPr>
                        <w:tcW w:w="1087" w:type="dxa"/>
                        <w:tcBorders>
                          <w:bottom w:val="single" w:sz="0" w:space="0" w:color="000000"/>
                        </w:tcBorders>
                      </w:tcPr>
                      <w:p>
                        <w:pPr>
                          <w:pStyle w:val="TableParagraph"/>
                          <w:spacing w:before="21"/>
                          <w:ind w:right="233"/>
                          <w:rPr>
                            <w:sz w:val="14"/>
                          </w:rPr>
                        </w:pPr>
                        <w:r>
                          <w:rPr>
                            <w:w w:val="100"/>
                            <w:sz w:val="14"/>
                          </w:rPr>
                          <w:t>-</w:t>
                        </w:r>
                      </w:p>
                    </w:tc>
                    <w:tc>
                      <w:tcPr>
                        <w:tcW w:w="884" w:type="dxa"/>
                        <w:tcBorders>
                          <w:bottom w:val="single" w:sz="0" w:space="0" w:color="000000"/>
                        </w:tcBorders>
                      </w:tcPr>
                      <w:p>
                        <w:pPr>
                          <w:pStyle w:val="TableParagraph"/>
                          <w:spacing w:before="21"/>
                          <w:ind w:right="22"/>
                          <w:rPr>
                            <w:sz w:val="14"/>
                          </w:rPr>
                        </w:pPr>
                        <w:r>
                          <w:rPr>
                            <w:sz w:val="14"/>
                          </w:rPr>
                          <w:t>(152,106)</w:t>
                        </w:r>
                      </w:p>
                    </w:tc>
                  </w:tr>
                  <w:tr>
                    <w:trPr>
                      <w:trHeight w:val="293" w:hRule="exact"/>
                    </w:trPr>
                    <w:tc>
                      <w:tcPr>
                        <w:tcW w:w="3989" w:type="dxa"/>
                        <w:tcBorders>
                          <w:top w:val="single" w:sz="0" w:space="0" w:color="000000"/>
                          <w:bottom w:val="single" w:sz="0" w:space="0" w:color="000000"/>
                        </w:tcBorders>
                      </w:tcPr>
                      <w:p>
                        <w:pPr>
                          <w:pStyle w:val="TableParagraph"/>
                          <w:tabs>
                            <w:tab w:pos="3298" w:val="left" w:leader="none"/>
                          </w:tabs>
                          <w:spacing w:before="123"/>
                          <w:ind w:left="68"/>
                          <w:jc w:val="left"/>
                          <w:rPr>
                            <w:sz w:val="14"/>
                          </w:rPr>
                        </w:pPr>
                        <w:r>
                          <w:rPr>
                            <w:b/>
                            <w:sz w:val="14"/>
                          </w:rPr>
                          <w:t>Net</w:t>
                        </w:r>
                        <w:r>
                          <w:rPr>
                            <w:b/>
                            <w:spacing w:val="-4"/>
                            <w:sz w:val="14"/>
                          </w:rPr>
                          <w:t> </w:t>
                        </w:r>
                        <w:r>
                          <w:rPr>
                            <w:b/>
                            <w:sz w:val="14"/>
                          </w:rPr>
                          <w:t>Book</w:t>
                        </w:r>
                        <w:r>
                          <w:rPr>
                            <w:b/>
                            <w:spacing w:val="-4"/>
                            <w:sz w:val="14"/>
                          </w:rPr>
                          <w:t> </w:t>
                        </w:r>
                        <w:r>
                          <w:rPr>
                            <w:b/>
                            <w:sz w:val="14"/>
                          </w:rPr>
                          <w:t>Amount</w:t>
                          <w:tab/>
                        </w:r>
                        <w:r>
                          <w:rPr>
                            <w:sz w:val="14"/>
                          </w:rPr>
                          <w:t>106,889</w:t>
                        </w:r>
                      </w:p>
                    </w:tc>
                    <w:tc>
                      <w:tcPr>
                        <w:tcW w:w="994" w:type="dxa"/>
                        <w:tcBorders>
                          <w:top w:val="single" w:sz="0" w:space="0" w:color="000000"/>
                          <w:bottom w:val="single" w:sz="0" w:space="0" w:color="000000"/>
                        </w:tcBorders>
                      </w:tcPr>
                      <w:p>
                        <w:pPr>
                          <w:pStyle w:val="TableParagraph"/>
                          <w:spacing w:before="123"/>
                          <w:ind w:right="125"/>
                          <w:rPr>
                            <w:sz w:val="14"/>
                          </w:rPr>
                        </w:pPr>
                        <w:r>
                          <w:rPr>
                            <w:sz w:val="14"/>
                          </w:rPr>
                          <w:t>187,336</w:t>
                        </w:r>
                      </w:p>
                    </w:tc>
                    <w:tc>
                      <w:tcPr>
                        <w:tcW w:w="1069" w:type="dxa"/>
                        <w:tcBorders>
                          <w:top w:val="single" w:sz="0" w:space="0" w:color="000000"/>
                          <w:bottom w:val="single" w:sz="0" w:space="0" w:color="000000"/>
                        </w:tcBorders>
                      </w:tcPr>
                      <w:p>
                        <w:pPr>
                          <w:pStyle w:val="TableParagraph"/>
                          <w:spacing w:before="123"/>
                          <w:ind w:right="145"/>
                          <w:rPr>
                            <w:sz w:val="14"/>
                          </w:rPr>
                        </w:pPr>
                        <w:r>
                          <w:rPr>
                            <w:sz w:val="14"/>
                          </w:rPr>
                          <w:t>162,335</w:t>
                        </w:r>
                      </w:p>
                    </w:tc>
                    <w:tc>
                      <w:tcPr>
                        <w:tcW w:w="1004" w:type="dxa"/>
                        <w:tcBorders>
                          <w:top w:val="single" w:sz="0" w:space="0" w:color="000000"/>
                          <w:bottom w:val="single" w:sz="0" w:space="0" w:color="000000"/>
                        </w:tcBorders>
                      </w:tcPr>
                      <w:p>
                        <w:pPr>
                          <w:pStyle w:val="TableParagraph"/>
                          <w:spacing w:before="123"/>
                          <w:ind w:right="101"/>
                          <w:rPr>
                            <w:sz w:val="14"/>
                          </w:rPr>
                        </w:pPr>
                        <w:r>
                          <w:rPr>
                            <w:sz w:val="14"/>
                          </w:rPr>
                          <w:t>825,344</w:t>
                        </w:r>
                      </w:p>
                    </w:tc>
                    <w:tc>
                      <w:tcPr>
                        <w:tcW w:w="1044" w:type="dxa"/>
                        <w:tcBorders>
                          <w:top w:val="single" w:sz="0" w:space="0" w:color="000000"/>
                          <w:bottom w:val="single" w:sz="0" w:space="0" w:color="000000"/>
                        </w:tcBorders>
                      </w:tcPr>
                      <w:p>
                        <w:pPr>
                          <w:pStyle w:val="TableParagraph"/>
                          <w:spacing w:before="123"/>
                          <w:ind w:right="95"/>
                          <w:rPr>
                            <w:sz w:val="14"/>
                          </w:rPr>
                        </w:pPr>
                        <w:r>
                          <w:rPr>
                            <w:sz w:val="14"/>
                          </w:rPr>
                          <w:t>81,337</w:t>
                        </w:r>
                      </w:p>
                    </w:tc>
                    <w:tc>
                      <w:tcPr>
                        <w:tcW w:w="1141" w:type="dxa"/>
                        <w:tcBorders>
                          <w:top w:val="single" w:sz="0" w:space="0" w:color="000000"/>
                          <w:bottom w:val="single" w:sz="0" w:space="0" w:color="000000"/>
                        </w:tcBorders>
                      </w:tcPr>
                      <w:p>
                        <w:pPr>
                          <w:pStyle w:val="TableParagraph"/>
                          <w:spacing w:before="123"/>
                          <w:ind w:right="147"/>
                          <w:rPr>
                            <w:sz w:val="14"/>
                          </w:rPr>
                        </w:pPr>
                        <w:r>
                          <w:rPr>
                            <w:w w:val="100"/>
                            <w:sz w:val="14"/>
                          </w:rPr>
                          <w:t>-</w:t>
                        </w:r>
                      </w:p>
                    </w:tc>
                    <w:tc>
                      <w:tcPr>
                        <w:tcW w:w="1012" w:type="dxa"/>
                        <w:tcBorders>
                          <w:top w:val="single" w:sz="0" w:space="0" w:color="000000"/>
                          <w:bottom w:val="single" w:sz="0" w:space="0" w:color="000000"/>
                        </w:tcBorders>
                      </w:tcPr>
                      <w:p>
                        <w:pPr>
                          <w:pStyle w:val="TableParagraph"/>
                          <w:spacing w:before="123"/>
                          <w:ind w:right="110"/>
                          <w:rPr>
                            <w:sz w:val="14"/>
                          </w:rPr>
                        </w:pPr>
                        <w:r>
                          <w:rPr>
                            <w:sz w:val="14"/>
                          </w:rPr>
                          <w:t>60,062</w:t>
                        </w:r>
                      </w:p>
                    </w:tc>
                    <w:tc>
                      <w:tcPr>
                        <w:tcW w:w="1182" w:type="dxa"/>
                        <w:tcBorders>
                          <w:top w:val="single" w:sz="0" w:space="0" w:color="000000"/>
                          <w:bottom w:val="single" w:sz="0" w:space="0" w:color="000000"/>
                        </w:tcBorders>
                      </w:tcPr>
                      <w:p>
                        <w:pPr>
                          <w:pStyle w:val="TableParagraph"/>
                          <w:spacing w:before="123"/>
                          <w:ind w:right="158"/>
                          <w:rPr>
                            <w:sz w:val="14"/>
                          </w:rPr>
                        </w:pPr>
                        <w:r>
                          <w:rPr>
                            <w:sz w:val="14"/>
                          </w:rPr>
                          <w:t>13,872</w:t>
                        </w:r>
                      </w:p>
                    </w:tc>
                    <w:tc>
                      <w:tcPr>
                        <w:tcW w:w="1085" w:type="dxa"/>
                        <w:tcBorders>
                          <w:top w:val="single" w:sz="0" w:space="0" w:color="000000"/>
                          <w:bottom w:val="single" w:sz="0" w:space="0" w:color="000000"/>
                        </w:tcBorders>
                      </w:tcPr>
                      <w:p>
                        <w:pPr>
                          <w:pStyle w:val="TableParagraph"/>
                          <w:spacing w:before="123"/>
                          <w:ind w:right="195"/>
                          <w:rPr>
                            <w:sz w:val="14"/>
                          </w:rPr>
                        </w:pPr>
                        <w:r>
                          <w:rPr>
                            <w:sz w:val="14"/>
                          </w:rPr>
                          <w:t>10,435</w:t>
                        </w:r>
                      </w:p>
                    </w:tc>
                    <w:tc>
                      <w:tcPr>
                        <w:tcW w:w="1087" w:type="dxa"/>
                        <w:tcBorders>
                          <w:top w:val="single" w:sz="0" w:space="0" w:color="000000"/>
                          <w:bottom w:val="single" w:sz="0" w:space="0" w:color="000000"/>
                        </w:tcBorders>
                      </w:tcPr>
                      <w:p>
                        <w:pPr>
                          <w:pStyle w:val="TableParagraph"/>
                          <w:spacing w:before="123"/>
                          <w:ind w:right="233"/>
                          <w:rPr>
                            <w:sz w:val="14"/>
                          </w:rPr>
                        </w:pPr>
                        <w:r>
                          <w:rPr>
                            <w:sz w:val="14"/>
                          </w:rPr>
                          <w:t>3,029</w:t>
                        </w:r>
                      </w:p>
                    </w:tc>
                    <w:tc>
                      <w:tcPr>
                        <w:tcW w:w="884" w:type="dxa"/>
                        <w:tcBorders>
                          <w:top w:val="single" w:sz="0" w:space="0" w:color="000000"/>
                          <w:bottom w:val="single" w:sz="0" w:space="0" w:color="000000"/>
                        </w:tcBorders>
                      </w:tcPr>
                      <w:p>
                        <w:pPr>
                          <w:pStyle w:val="TableParagraph"/>
                          <w:spacing w:before="123"/>
                          <w:ind w:right="68"/>
                          <w:rPr>
                            <w:sz w:val="14"/>
                          </w:rPr>
                        </w:pPr>
                        <w:r>
                          <w:rPr>
                            <w:sz w:val="14"/>
                          </w:rPr>
                          <w:t>1,450,639</w:t>
                        </w:r>
                      </w:p>
                    </w:tc>
                  </w:tr>
                  <w:tr>
                    <w:trPr>
                      <w:trHeight w:val="306" w:hRule="exact"/>
                    </w:trPr>
                    <w:tc>
                      <w:tcPr>
                        <w:tcW w:w="3989" w:type="dxa"/>
                        <w:tcBorders>
                          <w:top w:val="single" w:sz="0" w:space="0" w:color="000000"/>
                        </w:tcBorders>
                      </w:tcPr>
                      <w:p>
                        <w:pPr>
                          <w:pStyle w:val="TableParagraph"/>
                          <w:spacing w:before="123"/>
                          <w:ind w:left="68"/>
                          <w:jc w:val="left"/>
                          <w:rPr>
                            <w:b/>
                            <w:sz w:val="14"/>
                          </w:rPr>
                        </w:pPr>
                        <w:r>
                          <w:rPr>
                            <w:b/>
                            <w:sz w:val="14"/>
                          </w:rPr>
                          <w:t>Year Ended 31 December 2015</w:t>
                        </w:r>
                      </w:p>
                    </w:tc>
                    <w:tc>
                      <w:tcPr>
                        <w:tcW w:w="994" w:type="dxa"/>
                        <w:tcBorders>
                          <w:top w:val="single" w:sz="0" w:space="0" w:color="000000"/>
                        </w:tcBorders>
                      </w:tcPr>
                      <w:p>
                        <w:pPr/>
                      </w:p>
                    </w:tc>
                    <w:tc>
                      <w:tcPr>
                        <w:tcW w:w="1069" w:type="dxa"/>
                        <w:tcBorders>
                          <w:top w:val="single" w:sz="0" w:space="0" w:color="000000"/>
                        </w:tcBorders>
                      </w:tcPr>
                      <w:p>
                        <w:pPr/>
                      </w:p>
                    </w:tc>
                    <w:tc>
                      <w:tcPr>
                        <w:tcW w:w="1004" w:type="dxa"/>
                        <w:tcBorders>
                          <w:top w:val="single" w:sz="0" w:space="0" w:color="000000"/>
                        </w:tcBorders>
                      </w:tcPr>
                      <w:p>
                        <w:pPr/>
                      </w:p>
                    </w:tc>
                    <w:tc>
                      <w:tcPr>
                        <w:tcW w:w="1044" w:type="dxa"/>
                        <w:tcBorders>
                          <w:top w:val="single" w:sz="0" w:space="0" w:color="000000"/>
                        </w:tcBorders>
                      </w:tcPr>
                      <w:p>
                        <w:pPr/>
                      </w:p>
                    </w:tc>
                    <w:tc>
                      <w:tcPr>
                        <w:tcW w:w="1141" w:type="dxa"/>
                        <w:tcBorders>
                          <w:top w:val="single" w:sz="0" w:space="0" w:color="000000"/>
                        </w:tcBorders>
                      </w:tcPr>
                      <w:p>
                        <w:pPr/>
                      </w:p>
                    </w:tc>
                    <w:tc>
                      <w:tcPr>
                        <w:tcW w:w="1012" w:type="dxa"/>
                        <w:tcBorders>
                          <w:top w:val="single" w:sz="0" w:space="0" w:color="000000"/>
                        </w:tcBorders>
                      </w:tcPr>
                      <w:p>
                        <w:pPr/>
                      </w:p>
                    </w:tc>
                    <w:tc>
                      <w:tcPr>
                        <w:tcW w:w="1182" w:type="dxa"/>
                        <w:tcBorders>
                          <w:top w:val="single" w:sz="0" w:space="0" w:color="000000"/>
                        </w:tcBorders>
                      </w:tcPr>
                      <w:p>
                        <w:pPr/>
                      </w:p>
                    </w:tc>
                    <w:tc>
                      <w:tcPr>
                        <w:tcW w:w="1085" w:type="dxa"/>
                        <w:tcBorders>
                          <w:top w:val="single" w:sz="0" w:space="0" w:color="000000"/>
                        </w:tcBorders>
                      </w:tcPr>
                      <w:p>
                        <w:pPr/>
                      </w:p>
                    </w:tc>
                    <w:tc>
                      <w:tcPr>
                        <w:tcW w:w="1087" w:type="dxa"/>
                        <w:tcBorders>
                          <w:top w:val="single" w:sz="0" w:space="0" w:color="000000"/>
                        </w:tcBorders>
                      </w:tcPr>
                      <w:p>
                        <w:pPr/>
                      </w:p>
                    </w:tc>
                    <w:tc>
                      <w:tcPr>
                        <w:tcW w:w="884" w:type="dxa"/>
                        <w:tcBorders>
                          <w:top w:val="single" w:sz="0" w:space="0" w:color="000000"/>
                        </w:tcBorders>
                      </w:tcPr>
                      <w:p>
                        <w:pPr/>
                      </w:p>
                    </w:tc>
                  </w:tr>
                  <w:tr>
                    <w:trPr>
                      <w:trHeight w:val="205" w:hRule="exact"/>
                    </w:trPr>
                    <w:tc>
                      <w:tcPr>
                        <w:tcW w:w="3989" w:type="dxa"/>
                      </w:tcPr>
                      <w:p>
                        <w:pPr>
                          <w:pStyle w:val="TableParagraph"/>
                          <w:tabs>
                            <w:tab w:pos="3298" w:val="left" w:leader="none"/>
                          </w:tabs>
                          <w:spacing w:before="8"/>
                          <w:ind w:left="68"/>
                          <w:jc w:val="left"/>
                          <w:rPr>
                            <w:sz w:val="14"/>
                          </w:rPr>
                        </w:pPr>
                        <w:r>
                          <w:rPr>
                            <w:sz w:val="14"/>
                          </w:rPr>
                          <w:t>Opening Net</w:t>
                        </w:r>
                        <w:r>
                          <w:rPr>
                            <w:spacing w:val="1"/>
                            <w:sz w:val="14"/>
                          </w:rPr>
                          <w:t> </w:t>
                        </w:r>
                        <w:r>
                          <w:rPr>
                            <w:sz w:val="14"/>
                          </w:rPr>
                          <w:t>Book Amount</w:t>
                          <w:tab/>
                          <w:t>106,889</w:t>
                        </w:r>
                      </w:p>
                    </w:tc>
                    <w:tc>
                      <w:tcPr>
                        <w:tcW w:w="994" w:type="dxa"/>
                      </w:tcPr>
                      <w:p>
                        <w:pPr>
                          <w:pStyle w:val="TableParagraph"/>
                          <w:spacing w:before="7"/>
                          <w:ind w:right="125"/>
                          <w:rPr>
                            <w:sz w:val="14"/>
                          </w:rPr>
                        </w:pPr>
                        <w:r>
                          <w:rPr>
                            <w:sz w:val="14"/>
                          </w:rPr>
                          <w:t>187,336</w:t>
                        </w:r>
                      </w:p>
                    </w:tc>
                    <w:tc>
                      <w:tcPr>
                        <w:tcW w:w="1069" w:type="dxa"/>
                      </w:tcPr>
                      <w:p>
                        <w:pPr>
                          <w:pStyle w:val="TableParagraph"/>
                          <w:spacing w:before="7"/>
                          <w:ind w:right="145"/>
                          <w:rPr>
                            <w:sz w:val="14"/>
                          </w:rPr>
                        </w:pPr>
                        <w:r>
                          <w:rPr>
                            <w:sz w:val="14"/>
                          </w:rPr>
                          <w:t>162,335</w:t>
                        </w:r>
                      </w:p>
                    </w:tc>
                    <w:tc>
                      <w:tcPr>
                        <w:tcW w:w="1004" w:type="dxa"/>
                      </w:tcPr>
                      <w:p>
                        <w:pPr>
                          <w:pStyle w:val="TableParagraph"/>
                          <w:spacing w:before="7"/>
                          <w:ind w:right="101"/>
                          <w:rPr>
                            <w:sz w:val="14"/>
                          </w:rPr>
                        </w:pPr>
                        <w:r>
                          <w:rPr>
                            <w:sz w:val="14"/>
                          </w:rPr>
                          <w:t>825,344</w:t>
                        </w:r>
                      </w:p>
                    </w:tc>
                    <w:tc>
                      <w:tcPr>
                        <w:tcW w:w="1044" w:type="dxa"/>
                      </w:tcPr>
                      <w:p>
                        <w:pPr>
                          <w:pStyle w:val="TableParagraph"/>
                          <w:spacing w:before="7"/>
                          <w:ind w:right="95"/>
                          <w:rPr>
                            <w:sz w:val="14"/>
                          </w:rPr>
                        </w:pPr>
                        <w:r>
                          <w:rPr>
                            <w:sz w:val="14"/>
                          </w:rPr>
                          <w:t>81,337</w:t>
                        </w:r>
                      </w:p>
                    </w:tc>
                    <w:tc>
                      <w:tcPr>
                        <w:tcW w:w="1141" w:type="dxa"/>
                      </w:tcPr>
                      <w:p>
                        <w:pPr>
                          <w:pStyle w:val="TableParagraph"/>
                          <w:spacing w:before="7"/>
                          <w:ind w:right="147"/>
                          <w:rPr>
                            <w:sz w:val="14"/>
                          </w:rPr>
                        </w:pPr>
                        <w:r>
                          <w:rPr>
                            <w:w w:val="100"/>
                            <w:sz w:val="14"/>
                          </w:rPr>
                          <w:t>-</w:t>
                        </w:r>
                      </w:p>
                    </w:tc>
                    <w:tc>
                      <w:tcPr>
                        <w:tcW w:w="1012" w:type="dxa"/>
                      </w:tcPr>
                      <w:p>
                        <w:pPr>
                          <w:pStyle w:val="TableParagraph"/>
                          <w:spacing w:before="7"/>
                          <w:ind w:right="110"/>
                          <w:rPr>
                            <w:sz w:val="14"/>
                          </w:rPr>
                        </w:pPr>
                        <w:r>
                          <w:rPr>
                            <w:sz w:val="14"/>
                          </w:rPr>
                          <w:t>60,062</w:t>
                        </w:r>
                      </w:p>
                    </w:tc>
                    <w:tc>
                      <w:tcPr>
                        <w:tcW w:w="1182" w:type="dxa"/>
                      </w:tcPr>
                      <w:p>
                        <w:pPr>
                          <w:pStyle w:val="TableParagraph"/>
                          <w:spacing w:before="7"/>
                          <w:ind w:right="158"/>
                          <w:rPr>
                            <w:sz w:val="14"/>
                          </w:rPr>
                        </w:pPr>
                        <w:r>
                          <w:rPr>
                            <w:sz w:val="14"/>
                          </w:rPr>
                          <w:t>13,872</w:t>
                        </w:r>
                      </w:p>
                    </w:tc>
                    <w:tc>
                      <w:tcPr>
                        <w:tcW w:w="1085" w:type="dxa"/>
                      </w:tcPr>
                      <w:p>
                        <w:pPr>
                          <w:pStyle w:val="TableParagraph"/>
                          <w:spacing w:before="7"/>
                          <w:ind w:right="195"/>
                          <w:rPr>
                            <w:sz w:val="14"/>
                          </w:rPr>
                        </w:pPr>
                        <w:r>
                          <w:rPr>
                            <w:sz w:val="14"/>
                          </w:rPr>
                          <w:t>10,435</w:t>
                        </w:r>
                      </w:p>
                    </w:tc>
                    <w:tc>
                      <w:tcPr>
                        <w:tcW w:w="1087" w:type="dxa"/>
                      </w:tcPr>
                      <w:p>
                        <w:pPr>
                          <w:pStyle w:val="TableParagraph"/>
                          <w:spacing w:before="7"/>
                          <w:ind w:right="233"/>
                          <w:rPr>
                            <w:sz w:val="14"/>
                          </w:rPr>
                        </w:pPr>
                        <w:r>
                          <w:rPr>
                            <w:sz w:val="14"/>
                          </w:rPr>
                          <w:t>3,029</w:t>
                        </w:r>
                      </w:p>
                    </w:tc>
                    <w:tc>
                      <w:tcPr>
                        <w:tcW w:w="884" w:type="dxa"/>
                      </w:tcPr>
                      <w:p>
                        <w:pPr>
                          <w:pStyle w:val="TableParagraph"/>
                          <w:spacing w:before="7"/>
                          <w:ind w:right="68"/>
                          <w:rPr>
                            <w:sz w:val="14"/>
                          </w:rPr>
                        </w:pPr>
                        <w:r>
                          <w:rPr>
                            <w:sz w:val="14"/>
                          </w:rPr>
                          <w:t>1,450,639</w:t>
                        </w:r>
                      </w:p>
                    </w:tc>
                  </w:tr>
                  <w:tr>
                    <w:trPr>
                      <w:trHeight w:val="218" w:hRule="exact"/>
                    </w:trPr>
                    <w:tc>
                      <w:tcPr>
                        <w:tcW w:w="3989" w:type="dxa"/>
                      </w:tcPr>
                      <w:p>
                        <w:pPr>
                          <w:pStyle w:val="TableParagraph"/>
                          <w:tabs>
                            <w:tab w:pos="3759" w:val="left" w:leader="none"/>
                          </w:tabs>
                          <w:spacing w:before="22"/>
                          <w:ind w:left="68"/>
                          <w:jc w:val="left"/>
                          <w:rPr>
                            <w:sz w:val="14"/>
                          </w:rPr>
                        </w:pPr>
                        <w:r>
                          <w:rPr>
                            <w:sz w:val="14"/>
                          </w:rPr>
                          <w:t>Revaluation</w:t>
                        </w:r>
                        <w:r>
                          <w:rPr>
                            <w:spacing w:val="-6"/>
                            <w:sz w:val="14"/>
                          </w:rPr>
                          <w:t> </w:t>
                        </w:r>
                        <w:r>
                          <w:rPr>
                            <w:sz w:val="14"/>
                          </w:rPr>
                          <w:t>Surplus</w:t>
                          <w:tab/>
                          <w:t>-</w:t>
                        </w:r>
                      </w:p>
                    </w:tc>
                    <w:tc>
                      <w:tcPr>
                        <w:tcW w:w="994" w:type="dxa"/>
                      </w:tcPr>
                      <w:p>
                        <w:pPr>
                          <w:pStyle w:val="TableParagraph"/>
                          <w:spacing w:before="21"/>
                          <w:ind w:right="125"/>
                          <w:rPr>
                            <w:sz w:val="14"/>
                          </w:rPr>
                        </w:pPr>
                        <w:r>
                          <w:rPr>
                            <w:sz w:val="14"/>
                          </w:rPr>
                          <w:t>93,717</w:t>
                        </w:r>
                      </w:p>
                    </w:tc>
                    <w:tc>
                      <w:tcPr>
                        <w:tcW w:w="1069" w:type="dxa"/>
                      </w:tcPr>
                      <w:p>
                        <w:pPr>
                          <w:pStyle w:val="TableParagraph"/>
                          <w:spacing w:before="21"/>
                          <w:ind w:right="145"/>
                          <w:rPr>
                            <w:sz w:val="14"/>
                          </w:rPr>
                        </w:pPr>
                        <w:r>
                          <w:rPr>
                            <w:w w:val="100"/>
                            <w:sz w:val="14"/>
                          </w:rPr>
                          <w:t>-</w:t>
                        </w:r>
                      </w:p>
                    </w:tc>
                    <w:tc>
                      <w:tcPr>
                        <w:tcW w:w="1004" w:type="dxa"/>
                      </w:tcPr>
                      <w:p>
                        <w:pPr>
                          <w:pStyle w:val="TableParagraph"/>
                          <w:spacing w:before="21"/>
                          <w:ind w:right="99"/>
                          <w:rPr>
                            <w:sz w:val="14"/>
                          </w:rPr>
                        </w:pPr>
                        <w:r>
                          <w:rPr>
                            <w:sz w:val="14"/>
                          </w:rPr>
                          <w:t>15,199</w:t>
                        </w:r>
                      </w:p>
                    </w:tc>
                    <w:tc>
                      <w:tcPr>
                        <w:tcW w:w="1044" w:type="dxa"/>
                      </w:tcPr>
                      <w:p>
                        <w:pPr>
                          <w:pStyle w:val="TableParagraph"/>
                          <w:spacing w:before="21"/>
                          <w:ind w:right="95"/>
                          <w:rPr>
                            <w:sz w:val="14"/>
                          </w:rPr>
                        </w:pPr>
                        <w:r>
                          <w:rPr>
                            <w:sz w:val="14"/>
                          </w:rPr>
                          <w:t>1,252</w:t>
                        </w:r>
                      </w:p>
                    </w:tc>
                    <w:tc>
                      <w:tcPr>
                        <w:tcW w:w="1141" w:type="dxa"/>
                      </w:tcPr>
                      <w:p>
                        <w:pPr>
                          <w:pStyle w:val="TableParagraph"/>
                          <w:spacing w:before="21"/>
                          <w:ind w:right="147"/>
                          <w:rPr>
                            <w:sz w:val="14"/>
                          </w:rPr>
                        </w:pPr>
                        <w:r>
                          <w:rPr>
                            <w:w w:val="100"/>
                            <w:sz w:val="14"/>
                          </w:rPr>
                          <w:t>-</w:t>
                        </w:r>
                      </w:p>
                    </w:tc>
                    <w:tc>
                      <w:tcPr>
                        <w:tcW w:w="1012" w:type="dxa"/>
                      </w:tcPr>
                      <w:p>
                        <w:pPr>
                          <w:pStyle w:val="TableParagraph"/>
                          <w:spacing w:before="21"/>
                          <w:ind w:right="110"/>
                          <w:rPr>
                            <w:sz w:val="14"/>
                          </w:rPr>
                        </w:pPr>
                        <w:r>
                          <w:rPr>
                            <w:w w:val="100"/>
                            <w:sz w:val="14"/>
                          </w:rPr>
                          <w:t>-</w:t>
                        </w:r>
                      </w:p>
                    </w:tc>
                    <w:tc>
                      <w:tcPr>
                        <w:tcW w:w="1182" w:type="dxa"/>
                      </w:tcPr>
                      <w:p>
                        <w:pPr>
                          <w:pStyle w:val="TableParagraph"/>
                          <w:spacing w:before="21"/>
                          <w:ind w:right="158"/>
                          <w:rPr>
                            <w:sz w:val="14"/>
                          </w:rPr>
                        </w:pPr>
                        <w:r>
                          <w:rPr>
                            <w:w w:val="100"/>
                            <w:sz w:val="14"/>
                          </w:rPr>
                          <w:t>-</w:t>
                        </w:r>
                      </w:p>
                    </w:tc>
                    <w:tc>
                      <w:tcPr>
                        <w:tcW w:w="1085" w:type="dxa"/>
                      </w:tcPr>
                      <w:p>
                        <w:pPr>
                          <w:pStyle w:val="TableParagraph"/>
                          <w:spacing w:before="21"/>
                          <w:ind w:right="195"/>
                          <w:rPr>
                            <w:sz w:val="14"/>
                          </w:rPr>
                        </w:pPr>
                        <w:r>
                          <w:rPr>
                            <w:w w:val="100"/>
                            <w:sz w:val="14"/>
                          </w:rPr>
                          <w:t>-</w:t>
                        </w:r>
                      </w:p>
                    </w:tc>
                    <w:tc>
                      <w:tcPr>
                        <w:tcW w:w="1087" w:type="dxa"/>
                      </w:tcPr>
                      <w:p>
                        <w:pPr>
                          <w:pStyle w:val="TableParagraph"/>
                          <w:spacing w:before="21"/>
                          <w:ind w:right="233"/>
                          <w:rPr>
                            <w:sz w:val="14"/>
                          </w:rPr>
                        </w:pPr>
                        <w:r>
                          <w:rPr>
                            <w:w w:val="100"/>
                            <w:sz w:val="14"/>
                          </w:rPr>
                          <w:t>-</w:t>
                        </w:r>
                      </w:p>
                    </w:tc>
                    <w:tc>
                      <w:tcPr>
                        <w:tcW w:w="884" w:type="dxa"/>
                      </w:tcPr>
                      <w:p>
                        <w:pPr>
                          <w:pStyle w:val="TableParagraph"/>
                          <w:spacing w:before="21"/>
                          <w:ind w:right="68"/>
                          <w:rPr>
                            <w:sz w:val="14"/>
                          </w:rPr>
                        </w:pPr>
                        <w:r>
                          <w:rPr>
                            <w:sz w:val="14"/>
                          </w:rPr>
                          <w:t>110,168</w:t>
                        </w:r>
                      </w:p>
                    </w:tc>
                  </w:tr>
                  <w:tr>
                    <w:trPr>
                      <w:trHeight w:val="218" w:hRule="exact"/>
                    </w:trPr>
                    <w:tc>
                      <w:tcPr>
                        <w:tcW w:w="3989" w:type="dxa"/>
                      </w:tcPr>
                      <w:p>
                        <w:pPr>
                          <w:pStyle w:val="TableParagraph"/>
                          <w:tabs>
                            <w:tab w:pos="3376" w:val="left" w:leader="none"/>
                          </w:tabs>
                          <w:spacing w:before="22"/>
                          <w:ind w:left="68"/>
                          <w:jc w:val="left"/>
                          <w:rPr>
                            <w:sz w:val="14"/>
                          </w:rPr>
                        </w:pPr>
                        <w:r>
                          <w:rPr>
                            <w:sz w:val="14"/>
                          </w:rPr>
                          <w:t>Additions</w:t>
                          <w:tab/>
                          <w:t>75,308</w:t>
                        </w:r>
                      </w:p>
                    </w:tc>
                    <w:tc>
                      <w:tcPr>
                        <w:tcW w:w="994" w:type="dxa"/>
                      </w:tcPr>
                      <w:p>
                        <w:pPr>
                          <w:pStyle w:val="TableParagraph"/>
                          <w:spacing w:before="21"/>
                          <w:ind w:right="125"/>
                          <w:rPr>
                            <w:sz w:val="14"/>
                          </w:rPr>
                        </w:pPr>
                        <w:r>
                          <w:rPr>
                            <w:sz w:val="14"/>
                          </w:rPr>
                          <w:t>1,150</w:t>
                        </w:r>
                      </w:p>
                    </w:tc>
                    <w:tc>
                      <w:tcPr>
                        <w:tcW w:w="1069" w:type="dxa"/>
                      </w:tcPr>
                      <w:p>
                        <w:pPr>
                          <w:pStyle w:val="TableParagraph"/>
                          <w:spacing w:before="21"/>
                          <w:ind w:right="145"/>
                          <w:rPr>
                            <w:sz w:val="14"/>
                          </w:rPr>
                        </w:pPr>
                        <w:r>
                          <w:rPr>
                            <w:w w:val="100"/>
                            <w:sz w:val="14"/>
                          </w:rPr>
                          <w:t>-</w:t>
                        </w:r>
                      </w:p>
                    </w:tc>
                    <w:tc>
                      <w:tcPr>
                        <w:tcW w:w="1004" w:type="dxa"/>
                      </w:tcPr>
                      <w:p>
                        <w:pPr>
                          <w:pStyle w:val="TableParagraph"/>
                          <w:spacing w:before="21"/>
                          <w:ind w:right="101"/>
                          <w:rPr>
                            <w:sz w:val="14"/>
                          </w:rPr>
                        </w:pPr>
                        <w:r>
                          <w:rPr>
                            <w:w w:val="100"/>
                            <w:sz w:val="14"/>
                          </w:rPr>
                          <w:t>-</w:t>
                        </w:r>
                      </w:p>
                    </w:tc>
                    <w:tc>
                      <w:tcPr>
                        <w:tcW w:w="1044" w:type="dxa"/>
                      </w:tcPr>
                      <w:p>
                        <w:pPr>
                          <w:pStyle w:val="TableParagraph"/>
                          <w:spacing w:before="21"/>
                          <w:ind w:right="95"/>
                          <w:rPr>
                            <w:sz w:val="14"/>
                          </w:rPr>
                        </w:pPr>
                        <w:r>
                          <w:rPr>
                            <w:w w:val="100"/>
                            <w:sz w:val="14"/>
                          </w:rPr>
                          <w:t>-</w:t>
                        </w:r>
                      </w:p>
                    </w:tc>
                    <w:tc>
                      <w:tcPr>
                        <w:tcW w:w="1141" w:type="dxa"/>
                      </w:tcPr>
                      <w:p>
                        <w:pPr>
                          <w:pStyle w:val="TableParagraph"/>
                          <w:spacing w:before="21"/>
                          <w:ind w:right="147"/>
                          <w:rPr>
                            <w:sz w:val="14"/>
                          </w:rPr>
                        </w:pPr>
                        <w:r>
                          <w:rPr>
                            <w:w w:val="100"/>
                            <w:sz w:val="14"/>
                          </w:rPr>
                          <w:t>-</w:t>
                        </w:r>
                      </w:p>
                    </w:tc>
                    <w:tc>
                      <w:tcPr>
                        <w:tcW w:w="1012" w:type="dxa"/>
                      </w:tcPr>
                      <w:p>
                        <w:pPr>
                          <w:pStyle w:val="TableParagraph"/>
                          <w:spacing w:before="21"/>
                          <w:ind w:right="110"/>
                          <w:rPr>
                            <w:sz w:val="14"/>
                          </w:rPr>
                        </w:pPr>
                        <w:r>
                          <w:rPr>
                            <w:sz w:val="14"/>
                          </w:rPr>
                          <w:t>9,823</w:t>
                        </w:r>
                      </w:p>
                    </w:tc>
                    <w:tc>
                      <w:tcPr>
                        <w:tcW w:w="1182" w:type="dxa"/>
                      </w:tcPr>
                      <w:p>
                        <w:pPr>
                          <w:pStyle w:val="TableParagraph"/>
                          <w:spacing w:before="21"/>
                          <w:ind w:right="158"/>
                          <w:rPr>
                            <w:sz w:val="14"/>
                          </w:rPr>
                        </w:pPr>
                        <w:r>
                          <w:rPr>
                            <w:w w:val="100"/>
                            <w:sz w:val="14"/>
                          </w:rPr>
                          <w:t>-</w:t>
                        </w:r>
                      </w:p>
                    </w:tc>
                    <w:tc>
                      <w:tcPr>
                        <w:tcW w:w="1085" w:type="dxa"/>
                      </w:tcPr>
                      <w:p>
                        <w:pPr>
                          <w:pStyle w:val="TableParagraph"/>
                          <w:spacing w:before="21"/>
                          <w:ind w:right="195"/>
                          <w:rPr>
                            <w:sz w:val="14"/>
                          </w:rPr>
                        </w:pPr>
                        <w:r>
                          <w:rPr>
                            <w:sz w:val="14"/>
                          </w:rPr>
                          <w:t>2,234</w:t>
                        </w:r>
                      </w:p>
                    </w:tc>
                    <w:tc>
                      <w:tcPr>
                        <w:tcW w:w="1087" w:type="dxa"/>
                      </w:tcPr>
                      <w:p>
                        <w:pPr>
                          <w:pStyle w:val="TableParagraph"/>
                          <w:spacing w:before="21"/>
                          <w:ind w:right="233"/>
                          <w:rPr>
                            <w:sz w:val="14"/>
                          </w:rPr>
                        </w:pPr>
                        <w:r>
                          <w:rPr>
                            <w:sz w:val="14"/>
                          </w:rPr>
                          <w:t>64</w:t>
                        </w:r>
                      </w:p>
                    </w:tc>
                    <w:tc>
                      <w:tcPr>
                        <w:tcW w:w="884" w:type="dxa"/>
                      </w:tcPr>
                      <w:p>
                        <w:pPr>
                          <w:pStyle w:val="TableParagraph"/>
                          <w:spacing w:before="21"/>
                          <w:ind w:right="68"/>
                          <w:rPr>
                            <w:sz w:val="14"/>
                          </w:rPr>
                        </w:pPr>
                        <w:r>
                          <w:rPr>
                            <w:sz w:val="14"/>
                          </w:rPr>
                          <w:t>88,579</w:t>
                        </w:r>
                      </w:p>
                    </w:tc>
                  </w:tr>
                  <w:tr>
                    <w:trPr>
                      <w:trHeight w:val="218" w:hRule="exact"/>
                    </w:trPr>
                    <w:tc>
                      <w:tcPr>
                        <w:tcW w:w="3989" w:type="dxa"/>
                      </w:tcPr>
                      <w:p>
                        <w:pPr>
                          <w:pStyle w:val="TableParagraph"/>
                          <w:tabs>
                            <w:tab w:pos="3330" w:val="left" w:leader="none"/>
                          </w:tabs>
                          <w:spacing w:before="22"/>
                          <w:ind w:left="68"/>
                          <w:jc w:val="left"/>
                          <w:rPr>
                            <w:sz w:val="14"/>
                          </w:rPr>
                        </w:pPr>
                        <w:r>
                          <w:rPr>
                            <w:sz w:val="14"/>
                          </w:rPr>
                          <w:t>Disposals</w:t>
                          <w:tab/>
                          <w:t>(18,620)</w:t>
                        </w:r>
                      </w:p>
                    </w:tc>
                    <w:tc>
                      <w:tcPr>
                        <w:tcW w:w="994" w:type="dxa"/>
                      </w:tcPr>
                      <w:p>
                        <w:pPr>
                          <w:pStyle w:val="TableParagraph"/>
                          <w:spacing w:before="21"/>
                          <w:ind w:right="78"/>
                          <w:rPr>
                            <w:sz w:val="14"/>
                          </w:rPr>
                        </w:pPr>
                        <w:r>
                          <w:rPr>
                            <w:sz w:val="14"/>
                          </w:rPr>
                          <w:t>(250)</w:t>
                        </w:r>
                      </w:p>
                    </w:tc>
                    <w:tc>
                      <w:tcPr>
                        <w:tcW w:w="1069" w:type="dxa"/>
                      </w:tcPr>
                      <w:p>
                        <w:pPr>
                          <w:pStyle w:val="TableParagraph"/>
                          <w:spacing w:before="21"/>
                          <w:ind w:right="145"/>
                          <w:rPr>
                            <w:sz w:val="14"/>
                          </w:rPr>
                        </w:pPr>
                        <w:r>
                          <w:rPr>
                            <w:w w:val="100"/>
                            <w:sz w:val="14"/>
                          </w:rPr>
                          <w:t>-</w:t>
                        </w:r>
                      </w:p>
                    </w:tc>
                    <w:tc>
                      <w:tcPr>
                        <w:tcW w:w="1004" w:type="dxa"/>
                      </w:tcPr>
                      <w:p>
                        <w:pPr>
                          <w:pStyle w:val="TableParagraph"/>
                          <w:spacing w:before="21"/>
                          <w:ind w:right="53"/>
                          <w:rPr>
                            <w:sz w:val="14"/>
                          </w:rPr>
                        </w:pPr>
                        <w:r>
                          <w:rPr>
                            <w:sz w:val="14"/>
                          </w:rPr>
                          <w:t>(4,998)</w:t>
                        </w:r>
                      </w:p>
                    </w:tc>
                    <w:tc>
                      <w:tcPr>
                        <w:tcW w:w="1044" w:type="dxa"/>
                      </w:tcPr>
                      <w:p>
                        <w:pPr>
                          <w:pStyle w:val="TableParagraph"/>
                          <w:spacing w:before="21"/>
                          <w:ind w:right="95"/>
                          <w:rPr>
                            <w:sz w:val="14"/>
                          </w:rPr>
                        </w:pPr>
                        <w:r>
                          <w:rPr>
                            <w:w w:val="100"/>
                            <w:sz w:val="14"/>
                          </w:rPr>
                          <w:t>-</w:t>
                        </w:r>
                      </w:p>
                    </w:tc>
                    <w:tc>
                      <w:tcPr>
                        <w:tcW w:w="1141" w:type="dxa"/>
                      </w:tcPr>
                      <w:p>
                        <w:pPr>
                          <w:pStyle w:val="TableParagraph"/>
                          <w:spacing w:before="21"/>
                          <w:ind w:right="147"/>
                          <w:rPr>
                            <w:sz w:val="14"/>
                          </w:rPr>
                        </w:pPr>
                        <w:r>
                          <w:rPr>
                            <w:w w:val="100"/>
                            <w:sz w:val="14"/>
                          </w:rPr>
                          <w:t>-</w:t>
                        </w:r>
                      </w:p>
                    </w:tc>
                    <w:tc>
                      <w:tcPr>
                        <w:tcW w:w="1012" w:type="dxa"/>
                      </w:tcPr>
                      <w:p>
                        <w:pPr>
                          <w:pStyle w:val="TableParagraph"/>
                          <w:spacing w:before="21"/>
                          <w:ind w:right="63"/>
                          <w:rPr>
                            <w:sz w:val="14"/>
                          </w:rPr>
                        </w:pPr>
                        <w:r>
                          <w:rPr>
                            <w:sz w:val="14"/>
                          </w:rPr>
                          <w:t>(547)</w:t>
                        </w:r>
                      </w:p>
                    </w:tc>
                    <w:tc>
                      <w:tcPr>
                        <w:tcW w:w="1182" w:type="dxa"/>
                      </w:tcPr>
                      <w:p>
                        <w:pPr>
                          <w:pStyle w:val="TableParagraph"/>
                          <w:spacing w:before="21"/>
                          <w:ind w:right="158"/>
                          <w:rPr>
                            <w:sz w:val="14"/>
                          </w:rPr>
                        </w:pPr>
                        <w:r>
                          <w:rPr>
                            <w:w w:val="100"/>
                            <w:sz w:val="14"/>
                          </w:rPr>
                          <w:t>-</w:t>
                        </w:r>
                      </w:p>
                    </w:tc>
                    <w:tc>
                      <w:tcPr>
                        <w:tcW w:w="1085" w:type="dxa"/>
                      </w:tcPr>
                      <w:p>
                        <w:pPr>
                          <w:pStyle w:val="TableParagraph"/>
                          <w:spacing w:before="21"/>
                          <w:ind w:right="148"/>
                          <w:rPr>
                            <w:sz w:val="14"/>
                          </w:rPr>
                        </w:pPr>
                        <w:r>
                          <w:rPr>
                            <w:sz w:val="14"/>
                          </w:rPr>
                          <w:t>(453)</w:t>
                        </w:r>
                      </w:p>
                    </w:tc>
                    <w:tc>
                      <w:tcPr>
                        <w:tcW w:w="1087" w:type="dxa"/>
                      </w:tcPr>
                      <w:p>
                        <w:pPr>
                          <w:pStyle w:val="TableParagraph"/>
                          <w:spacing w:before="21"/>
                          <w:ind w:right="186"/>
                          <w:rPr>
                            <w:sz w:val="14"/>
                          </w:rPr>
                        </w:pPr>
                        <w:r>
                          <w:rPr>
                            <w:sz w:val="14"/>
                          </w:rPr>
                          <w:t>(3)</w:t>
                        </w:r>
                      </w:p>
                    </w:tc>
                    <w:tc>
                      <w:tcPr>
                        <w:tcW w:w="884" w:type="dxa"/>
                      </w:tcPr>
                      <w:p>
                        <w:pPr>
                          <w:pStyle w:val="TableParagraph"/>
                          <w:spacing w:before="21"/>
                          <w:ind w:right="22"/>
                          <w:rPr>
                            <w:sz w:val="14"/>
                          </w:rPr>
                        </w:pPr>
                        <w:r>
                          <w:rPr>
                            <w:sz w:val="14"/>
                          </w:rPr>
                          <w:t>(24,871)</w:t>
                        </w:r>
                      </w:p>
                    </w:tc>
                  </w:tr>
                  <w:tr>
                    <w:trPr>
                      <w:trHeight w:val="218" w:hRule="exact"/>
                    </w:trPr>
                    <w:tc>
                      <w:tcPr>
                        <w:tcW w:w="3989" w:type="dxa"/>
                      </w:tcPr>
                      <w:p>
                        <w:pPr>
                          <w:pStyle w:val="TableParagraph"/>
                          <w:tabs>
                            <w:tab w:pos="3759" w:val="left" w:leader="none"/>
                          </w:tabs>
                          <w:spacing w:before="22"/>
                          <w:ind w:left="68"/>
                          <w:jc w:val="left"/>
                          <w:rPr>
                            <w:sz w:val="14"/>
                          </w:rPr>
                        </w:pPr>
                        <w:r>
                          <w:rPr>
                            <w:sz w:val="14"/>
                          </w:rPr>
                          <w:t>Depreciation</w:t>
                        </w:r>
                        <w:r>
                          <w:rPr>
                            <w:spacing w:val="1"/>
                            <w:sz w:val="14"/>
                          </w:rPr>
                          <w:t> </w:t>
                        </w:r>
                        <w:r>
                          <w:rPr>
                            <w:sz w:val="14"/>
                          </w:rPr>
                          <w:t>Charge</w:t>
                          <w:tab/>
                          <w:t>-</w:t>
                        </w:r>
                      </w:p>
                    </w:tc>
                    <w:tc>
                      <w:tcPr>
                        <w:tcW w:w="994" w:type="dxa"/>
                      </w:tcPr>
                      <w:p>
                        <w:pPr>
                          <w:pStyle w:val="TableParagraph"/>
                          <w:spacing w:before="21"/>
                          <w:ind w:right="125"/>
                          <w:rPr>
                            <w:sz w:val="14"/>
                          </w:rPr>
                        </w:pPr>
                        <w:r>
                          <w:rPr>
                            <w:w w:val="100"/>
                            <w:sz w:val="14"/>
                          </w:rPr>
                          <w:t>-</w:t>
                        </w:r>
                      </w:p>
                    </w:tc>
                    <w:tc>
                      <w:tcPr>
                        <w:tcW w:w="1069" w:type="dxa"/>
                      </w:tcPr>
                      <w:p>
                        <w:pPr>
                          <w:pStyle w:val="TableParagraph"/>
                          <w:spacing w:before="21"/>
                          <w:ind w:right="145"/>
                          <w:rPr>
                            <w:sz w:val="14"/>
                          </w:rPr>
                        </w:pPr>
                        <w:r>
                          <w:rPr>
                            <w:w w:val="100"/>
                            <w:sz w:val="14"/>
                          </w:rPr>
                          <w:t>-</w:t>
                        </w:r>
                      </w:p>
                    </w:tc>
                    <w:tc>
                      <w:tcPr>
                        <w:tcW w:w="1004" w:type="dxa"/>
                      </w:tcPr>
                      <w:p>
                        <w:pPr>
                          <w:pStyle w:val="TableParagraph"/>
                          <w:spacing w:before="21"/>
                          <w:ind w:right="53"/>
                          <w:rPr>
                            <w:sz w:val="14"/>
                          </w:rPr>
                        </w:pPr>
                        <w:r>
                          <w:rPr>
                            <w:sz w:val="14"/>
                          </w:rPr>
                          <w:t>(21,561)</w:t>
                        </w:r>
                      </w:p>
                    </w:tc>
                    <w:tc>
                      <w:tcPr>
                        <w:tcW w:w="1044" w:type="dxa"/>
                      </w:tcPr>
                      <w:p>
                        <w:pPr>
                          <w:pStyle w:val="TableParagraph"/>
                          <w:spacing w:before="21"/>
                          <w:ind w:right="48"/>
                          <w:rPr>
                            <w:sz w:val="14"/>
                          </w:rPr>
                        </w:pPr>
                        <w:r>
                          <w:rPr>
                            <w:sz w:val="14"/>
                          </w:rPr>
                          <w:t>(2,489)</w:t>
                        </w:r>
                      </w:p>
                    </w:tc>
                    <w:tc>
                      <w:tcPr>
                        <w:tcW w:w="1141" w:type="dxa"/>
                      </w:tcPr>
                      <w:p>
                        <w:pPr>
                          <w:pStyle w:val="TableParagraph"/>
                          <w:spacing w:before="21"/>
                          <w:ind w:right="147"/>
                          <w:rPr>
                            <w:sz w:val="14"/>
                          </w:rPr>
                        </w:pPr>
                        <w:r>
                          <w:rPr>
                            <w:w w:val="100"/>
                            <w:sz w:val="14"/>
                          </w:rPr>
                          <w:t>-</w:t>
                        </w:r>
                      </w:p>
                    </w:tc>
                    <w:tc>
                      <w:tcPr>
                        <w:tcW w:w="1012" w:type="dxa"/>
                      </w:tcPr>
                      <w:p>
                        <w:pPr>
                          <w:pStyle w:val="TableParagraph"/>
                          <w:spacing w:before="21"/>
                          <w:ind w:right="63"/>
                          <w:rPr>
                            <w:sz w:val="14"/>
                          </w:rPr>
                        </w:pPr>
                        <w:r>
                          <w:rPr>
                            <w:sz w:val="14"/>
                          </w:rPr>
                          <w:t>(9,484)</w:t>
                        </w:r>
                      </w:p>
                    </w:tc>
                    <w:tc>
                      <w:tcPr>
                        <w:tcW w:w="1182" w:type="dxa"/>
                      </w:tcPr>
                      <w:p>
                        <w:pPr>
                          <w:pStyle w:val="TableParagraph"/>
                          <w:spacing w:before="21"/>
                          <w:ind w:right="111"/>
                          <w:rPr>
                            <w:sz w:val="14"/>
                          </w:rPr>
                        </w:pPr>
                        <w:r>
                          <w:rPr>
                            <w:sz w:val="14"/>
                          </w:rPr>
                          <w:t>(1,612)</w:t>
                        </w:r>
                      </w:p>
                    </w:tc>
                    <w:tc>
                      <w:tcPr>
                        <w:tcW w:w="1085" w:type="dxa"/>
                      </w:tcPr>
                      <w:p>
                        <w:pPr>
                          <w:pStyle w:val="TableParagraph"/>
                          <w:spacing w:before="21"/>
                          <w:ind w:right="148"/>
                          <w:rPr>
                            <w:sz w:val="14"/>
                          </w:rPr>
                        </w:pPr>
                        <w:r>
                          <w:rPr>
                            <w:sz w:val="14"/>
                          </w:rPr>
                          <w:t>(3,322)</w:t>
                        </w:r>
                      </w:p>
                    </w:tc>
                    <w:tc>
                      <w:tcPr>
                        <w:tcW w:w="1087" w:type="dxa"/>
                      </w:tcPr>
                      <w:p>
                        <w:pPr>
                          <w:pStyle w:val="TableParagraph"/>
                          <w:spacing w:before="21"/>
                          <w:ind w:right="233"/>
                          <w:rPr>
                            <w:sz w:val="14"/>
                          </w:rPr>
                        </w:pPr>
                        <w:r>
                          <w:rPr>
                            <w:w w:val="100"/>
                            <w:sz w:val="14"/>
                          </w:rPr>
                          <w:t>-</w:t>
                        </w:r>
                      </w:p>
                    </w:tc>
                    <w:tc>
                      <w:tcPr>
                        <w:tcW w:w="884" w:type="dxa"/>
                      </w:tcPr>
                      <w:p>
                        <w:pPr>
                          <w:pStyle w:val="TableParagraph"/>
                          <w:spacing w:before="21"/>
                          <w:ind w:right="22"/>
                          <w:rPr>
                            <w:sz w:val="14"/>
                          </w:rPr>
                        </w:pPr>
                        <w:r>
                          <w:rPr>
                            <w:sz w:val="14"/>
                          </w:rPr>
                          <w:t>(38,468)</w:t>
                        </w:r>
                      </w:p>
                    </w:tc>
                  </w:tr>
                  <w:tr>
                    <w:trPr>
                      <w:trHeight w:val="218" w:hRule="exact"/>
                    </w:trPr>
                    <w:tc>
                      <w:tcPr>
                        <w:tcW w:w="3989" w:type="dxa"/>
                      </w:tcPr>
                      <w:p>
                        <w:pPr>
                          <w:pStyle w:val="TableParagraph"/>
                          <w:tabs>
                            <w:tab w:pos="3759" w:val="left" w:leader="none"/>
                          </w:tabs>
                          <w:spacing w:before="22"/>
                          <w:ind w:left="68"/>
                          <w:jc w:val="left"/>
                          <w:rPr>
                            <w:sz w:val="14"/>
                          </w:rPr>
                        </w:pPr>
                        <w:r>
                          <w:rPr>
                            <w:sz w:val="14"/>
                          </w:rPr>
                          <w:t>Non-Cash</w:t>
                        </w:r>
                        <w:r>
                          <w:rPr>
                            <w:spacing w:val="1"/>
                            <w:sz w:val="14"/>
                          </w:rPr>
                          <w:t> </w:t>
                        </w:r>
                        <w:r>
                          <w:rPr>
                            <w:sz w:val="14"/>
                          </w:rPr>
                          <w:t>Adjustments</w:t>
                          <w:tab/>
                          <w:t>-</w:t>
                        </w:r>
                      </w:p>
                    </w:tc>
                    <w:tc>
                      <w:tcPr>
                        <w:tcW w:w="994" w:type="dxa"/>
                      </w:tcPr>
                      <w:p>
                        <w:pPr>
                          <w:pStyle w:val="TableParagraph"/>
                          <w:spacing w:before="21"/>
                          <w:ind w:right="125"/>
                          <w:rPr>
                            <w:sz w:val="14"/>
                          </w:rPr>
                        </w:pPr>
                        <w:r>
                          <w:rPr>
                            <w:w w:val="100"/>
                            <w:sz w:val="14"/>
                          </w:rPr>
                          <w:t>-</w:t>
                        </w:r>
                      </w:p>
                    </w:tc>
                    <w:tc>
                      <w:tcPr>
                        <w:tcW w:w="1069" w:type="dxa"/>
                      </w:tcPr>
                      <w:p>
                        <w:pPr>
                          <w:pStyle w:val="TableParagraph"/>
                          <w:spacing w:before="21"/>
                          <w:ind w:right="145"/>
                          <w:rPr>
                            <w:sz w:val="14"/>
                          </w:rPr>
                        </w:pPr>
                        <w:r>
                          <w:rPr>
                            <w:w w:val="100"/>
                            <w:sz w:val="14"/>
                          </w:rPr>
                          <w:t>-</w:t>
                        </w:r>
                      </w:p>
                    </w:tc>
                    <w:tc>
                      <w:tcPr>
                        <w:tcW w:w="1004" w:type="dxa"/>
                      </w:tcPr>
                      <w:p>
                        <w:pPr>
                          <w:pStyle w:val="TableParagraph"/>
                          <w:spacing w:before="21"/>
                          <w:ind w:right="53"/>
                          <w:rPr>
                            <w:sz w:val="14"/>
                          </w:rPr>
                        </w:pPr>
                        <w:r>
                          <w:rPr>
                            <w:sz w:val="14"/>
                          </w:rPr>
                          <w:t>(11)</w:t>
                        </w:r>
                      </w:p>
                    </w:tc>
                    <w:tc>
                      <w:tcPr>
                        <w:tcW w:w="1044" w:type="dxa"/>
                      </w:tcPr>
                      <w:p>
                        <w:pPr>
                          <w:pStyle w:val="TableParagraph"/>
                          <w:spacing w:before="21"/>
                          <w:ind w:right="95"/>
                          <w:rPr>
                            <w:sz w:val="14"/>
                          </w:rPr>
                        </w:pPr>
                        <w:r>
                          <w:rPr>
                            <w:w w:val="100"/>
                            <w:sz w:val="14"/>
                          </w:rPr>
                          <w:t>-</w:t>
                        </w:r>
                      </w:p>
                    </w:tc>
                    <w:tc>
                      <w:tcPr>
                        <w:tcW w:w="1141" w:type="dxa"/>
                      </w:tcPr>
                      <w:p>
                        <w:pPr>
                          <w:pStyle w:val="TableParagraph"/>
                          <w:spacing w:before="21"/>
                          <w:ind w:right="147"/>
                          <w:rPr>
                            <w:sz w:val="14"/>
                          </w:rPr>
                        </w:pPr>
                        <w:r>
                          <w:rPr>
                            <w:w w:val="100"/>
                            <w:sz w:val="14"/>
                          </w:rPr>
                          <w:t>-</w:t>
                        </w:r>
                      </w:p>
                    </w:tc>
                    <w:tc>
                      <w:tcPr>
                        <w:tcW w:w="1012" w:type="dxa"/>
                      </w:tcPr>
                      <w:p>
                        <w:pPr>
                          <w:pStyle w:val="TableParagraph"/>
                          <w:spacing w:before="21"/>
                          <w:ind w:right="110"/>
                          <w:rPr>
                            <w:sz w:val="14"/>
                          </w:rPr>
                        </w:pPr>
                        <w:r>
                          <w:rPr>
                            <w:w w:val="100"/>
                            <w:sz w:val="14"/>
                          </w:rPr>
                          <w:t>2</w:t>
                        </w:r>
                      </w:p>
                    </w:tc>
                    <w:tc>
                      <w:tcPr>
                        <w:tcW w:w="1182" w:type="dxa"/>
                      </w:tcPr>
                      <w:p>
                        <w:pPr>
                          <w:pStyle w:val="TableParagraph"/>
                          <w:spacing w:before="21"/>
                          <w:ind w:right="158"/>
                          <w:rPr>
                            <w:sz w:val="14"/>
                          </w:rPr>
                        </w:pPr>
                        <w:r>
                          <w:rPr>
                            <w:sz w:val="14"/>
                          </w:rPr>
                          <w:t>18</w:t>
                        </w:r>
                      </w:p>
                    </w:tc>
                    <w:tc>
                      <w:tcPr>
                        <w:tcW w:w="1085" w:type="dxa"/>
                      </w:tcPr>
                      <w:p>
                        <w:pPr>
                          <w:pStyle w:val="TableParagraph"/>
                          <w:spacing w:before="21"/>
                          <w:ind w:right="195"/>
                          <w:rPr>
                            <w:sz w:val="14"/>
                          </w:rPr>
                        </w:pPr>
                        <w:r>
                          <w:rPr>
                            <w:w w:val="100"/>
                            <w:sz w:val="14"/>
                          </w:rPr>
                          <w:t>-</w:t>
                        </w:r>
                      </w:p>
                    </w:tc>
                    <w:tc>
                      <w:tcPr>
                        <w:tcW w:w="1087" w:type="dxa"/>
                      </w:tcPr>
                      <w:p>
                        <w:pPr>
                          <w:pStyle w:val="TableParagraph"/>
                          <w:spacing w:before="21"/>
                          <w:ind w:right="233"/>
                          <w:rPr>
                            <w:sz w:val="14"/>
                          </w:rPr>
                        </w:pPr>
                        <w:r>
                          <w:rPr>
                            <w:w w:val="100"/>
                            <w:sz w:val="14"/>
                          </w:rPr>
                          <w:t>-</w:t>
                        </w:r>
                      </w:p>
                    </w:tc>
                    <w:tc>
                      <w:tcPr>
                        <w:tcW w:w="884" w:type="dxa"/>
                      </w:tcPr>
                      <w:p>
                        <w:pPr>
                          <w:pStyle w:val="TableParagraph"/>
                          <w:spacing w:before="21"/>
                          <w:ind w:right="68"/>
                          <w:rPr>
                            <w:sz w:val="14"/>
                          </w:rPr>
                        </w:pPr>
                        <w:r>
                          <w:rPr>
                            <w:w w:val="100"/>
                            <w:sz w:val="14"/>
                          </w:rPr>
                          <w:t>9</w:t>
                        </w:r>
                      </w:p>
                    </w:tc>
                  </w:tr>
                  <w:tr>
                    <w:trPr>
                      <w:trHeight w:val="379" w:hRule="exact"/>
                    </w:trPr>
                    <w:tc>
                      <w:tcPr>
                        <w:tcW w:w="3989" w:type="dxa"/>
                      </w:tcPr>
                      <w:p>
                        <w:pPr>
                          <w:pStyle w:val="TableParagraph"/>
                          <w:spacing w:before="21"/>
                          <w:ind w:left="68"/>
                          <w:jc w:val="left"/>
                          <w:rPr>
                            <w:sz w:val="14"/>
                          </w:rPr>
                        </w:pPr>
                        <w:r>
                          <w:rPr>
                            <w:sz w:val="14"/>
                          </w:rPr>
                          <w:t>Transfers to Freehold Buildings and</w:t>
                        </w:r>
                      </w:p>
                      <w:p>
                        <w:pPr>
                          <w:pStyle w:val="TableParagraph"/>
                          <w:tabs>
                            <w:tab w:pos="3252" w:val="left" w:leader="none"/>
                          </w:tabs>
                          <w:ind w:left="68"/>
                          <w:jc w:val="left"/>
                          <w:rPr>
                            <w:sz w:val="14"/>
                          </w:rPr>
                        </w:pPr>
                        <w:r>
                          <w:rPr>
                            <w:sz w:val="14"/>
                          </w:rPr>
                          <w:t>Plant &amp; Equipment</w:t>
                          <w:tab/>
                          <w:t>(104,799)</w:t>
                        </w:r>
                      </w:p>
                    </w:tc>
                    <w:tc>
                      <w:tcPr>
                        <w:tcW w:w="994" w:type="dxa"/>
                      </w:tcPr>
                      <w:p>
                        <w:pPr>
                          <w:pStyle w:val="TableParagraph"/>
                          <w:spacing w:before="9"/>
                          <w:jc w:val="left"/>
                          <w:rPr>
                            <w:rFonts w:ascii="Times New Roman"/>
                            <w:sz w:val="15"/>
                          </w:rPr>
                        </w:pPr>
                      </w:p>
                      <w:p>
                        <w:pPr>
                          <w:pStyle w:val="TableParagraph"/>
                          <w:ind w:right="125"/>
                          <w:rPr>
                            <w:sz w:val="14"/>
                          </w:rPr>
                        </w:pPr>
                        <w:r>
                          <w:rPr>
                            <w:w w:val="100"/>
                            <w:sz w:val="14"/>
                          </w:rPr>
                          <w:t>-</w:t>
                        </w:r>
                      </w:p>
                    </w:tc>
                    <w:tc>
                      <w:tcPr>
                        <w:tcW w:w="1069" w:type="dxa"/>
                      </w:tcPr>
                      <w:p>
                        <w:pPr>
                          <w:pStyle w:val="TableParagraph"/>
                          <w:spacing w:before="9"/>
                          <w:jc w:val="left"/>
                          <w:rPr>
                            <w:rFonts w:ascii="Times New Roman"/>
                            <w:sz w:val="15"/>
                          </w:rPr>
                        </w:pPr>
                      </w:p>
                      <w:p>
                        <w:pPr>
                          <w:pStyle w:val="TableParagraph"/>
                          <w:ind w:right="145"/>
                          <w:rPr>
                            <w:sz w:val="14"/>
                          </w:rPr>
                        </w:pPr>
                        <w:r>
                          <w:rPr>
                            <w:w w:val="100"/>
                            <w:sz w:val="14"/>
                          </w:rPr>
                          <w:t>-</w:t>
                        </w:r>
                      </w:p>
                    </w:tc>
                    <w:tc>
                      <w:tcPr>
                        <w:tcW w:w="1004" w:type="dxa"/>
                      </w:tcPr>
                      <w:p>
                        <w:pPr>
                          <w:pStyle w:val="TableParagraph"/>
                          <w:spacing w:before="9"/>
                          <w:jc w:val="left"/>
                          <w:rPr>
                            <w:rFonts w:ascii="Times New Roman"/>
                            <w:sz w:val="15"/>
                          </w:rPr>
                        </w:pPr>
                      </w:p>
                      <w:p>
                        <w:pPr>
                          <w:pStyle w:val="TableParagraph"/>
                          <w:ind w:right="101"/>
                          <w:rPr>
                            <w:sz w:val="14"/>
                          </w:rPr>
                        </w:pPr>
                        <w:r>
                          <w:rPr>
                            <w:w w:val="100"/>
                            <w:sz w:val="14"/>
                          </w:rPr>
                          <w:t>-</w:t>
                        </w:r>
                      </w:p>
                    </w:tc>
                    <w:tc>
                      <w:tcPr>
                        <w:tcW w:w="1044" w:type="dxa"/>
                      </w:tcPr>
                      <w:p>
                        <w:pPr>
                          <w:pStyle w:val="TableParagraph"/>
                          <w:spacing w:before="9"/>
                          <w:jc w:val="left"/>
                          <w:rPr>
                            <w:rFonts w:ascii="Times New Roman"/>
                            <w:sz w:val="15"/>
                          </w:rPr>
                        </w:pPr>
                      </w:p>
                      <w:p>
                        <w:pPr>
                          <w:pStyle w:val="TableParagraph"/>
                          <w:ind w:right="95"/>
                          <w:rPr>
                            <w:sz w:val="14"/>
                          </w:rPr>
                        </w:pPr>
                        <w:r>
                          <w:rPr>
                            <w:w w:val="100"/>
                            <w:sz w:val="14"/>
                          </w:rPr>
                          <w:t>-</w:t>
                        </w:r>
                      </w:p>
                    </w:tc>
                    <w:tc>
                      <w:tcPr>
                        <w:tcW w:w="1141" w:type="dxa"/>
                      </w:tcPr>
                      <w:p>
                        <w:pPr>
                          <w:pStyle w:val="TableParagraph"/>
                          <w:spacing w:before="9"/>
                          <w:jc w:val="left"/>
                          <w:rPr>
                            <w:rFonts w:ascii="Times New Roman"/>
                            <w:sz w:val="15"/>
                          </w:rPr>
                        </w:pPr>
                      </w:p>
                      <w:p>
                        <w:pPr>
                          <w:pStyle w:val="TableParagraph"/>
                          <w:ind w:right="147"/>
                          <w:rPr>
                            <w:sz w:val="14"/>
                          </w:rPr>
                        </w:pPr>
                        <w:r>
                          <w:rPr>
                            <w:w w:val="100"/>
                            <w:sz w:val="14"/>
                          </w:rPr>
                          <w:t>-</w:t>
                        </w:r>
                      </w:p>
                    </w:tc>
                    <w:tc>
                      <w:tcPr>
                        <w:tcW w:w="1012" w:type="dxa"/>
                      </w:tcPr>
                      <w:p>
                        <w:pPr>
                          <w:pStyle w:val="TableParagraph"/>
                          <w:spacing w:before="9"/>
                          <w:jc w:val="left"/>
                          <w:rPr>
                            <w:rFonts w:ascii="Times New Roman"/>
                            <w:sz w:val="15"/>
                          </w:rPr>
                        </w:pPr>
                      </w:p>
                      <w:p>
                        <w:pPr>
                          <w:pStyle w:val="TableParagraph"/>
                          <w:ind w:right="110"/>
                          <w:rPr>
                            <w:sz w:val="14"/>
                          </w:rPr>
                        </w:pPr>
                        <w:r>
                          <w:rPr>
                            <w:w w:val="100"/>
                            <w:sz w:val="14"/>
                          </w:rPr>
                          <w:t>-</w:t>
                        </w:r>
                      </w:p>
                    </w:tc>
                    <w:tc>
                      <w:tcPr>
                        <w:tcW w:w="1182" w:type="dxa"/>
                      </w:tcPr>
                      <w:p>
                        <w:pPr>
                          <w:pStyle w:val="TableParagraph"/>
                          <w:spacing w:before="9"/>
                          <w:jc w:val="left"/>
                          <w:rPr>
                            <w:rFonts w:ascii="Times New Roman"/>
                            <w:sz w:val="15"/>
                          </w:rPr>
                        </w:pPr>
                      </w:p>
                      <w:p>
                        <w:pPr>
                          <w:pStyle w:val="TableParagraph"/>
                          <w:ind w:right="158"/>
                          <w:rPr>
                            <w:sz w:val="14"/>
                          </w:rPr>
                        </w:pPr>
                        <w:r>
                          <w:rPr>
                            <w:w w:val="100"/>
                            <w:sz w:val="14"/>
                          </w:rPr>
                          <w:t>-</w:t>
                        </w:r>
                      </w:p>
                    </w:tc>
                    <w:tc>
                      <w:tcPr>
                        <w:tcW w:w="1085" w:type="dxa"/>
                      </w:tcPr>
                      <w:p>
                        <w:pPr>
                          <w:pStyle w:val="TableParagraph"/>
                          <w:spacing w:before="9"/>
                          <w:jc w:val="left"/>
                          <w:rPr>
                            <w:rFonts w:ascii="Times New Roman"/>
                            <w:sz w:val="15"/>
                          </w:rPr>
                        </w:pPr>
                      </w:p>
                      <w:p>
                        <w:pPr>
                          <w:pStyle w:val="TableParagraph"/>
                          <w:ind w:right="195"/>
                          <w:rPr>
                            <w:sz w:val="14"/>
                          </w:rPr>
                        </w:pPr>
                        <w:r>
                          <w:rPr>
                            <w:w w:val="100"/>
                            <w:sz w:val="14"/>
                          </w:rPr>
                          <w:t>-</w:t>
                        </w:r>
                      </w:p>
                    </w:tc>
                    <w:tc>
                      <w:tcPr>
                        <w:tcW w:w="1087" w:type="dxa"/>
                      </w:tcPr>
                      <w:p>
                        <w:pPr>
                          <w:pStyle w:val="TableParagraph"/>
                          <w:spacing w:before="9"/>
                          <w:jc w:val="left"/>
                          <w:rPr>
                            <w:rFonts w:ascii="Times New Roman"/>
                            <w:sz w:val="15"/>
                          </w:rPr>
                        </w:pPr>
                      </w:p>
                      <w:p>
                        <w:pPr>
                          <w:pStyle w:val="TableParagraph"/>
                          <w:ind w:right="233"/>
                          <w:rPr>
                            <w:sz w:val="14"/>
                          </w:rPr>
                        </w:pPr>
                        <w:r>
                          <w:rPr>
                            <w:w w:val="100"/>
                            <w:sz w:val="14"/>
                          </w:rPr>
                          <w:t>-</w:t>
                        </w:r>
                      </w:p>
                    </w:tc>
                    <w:tc>
                      <w:tcPr>
                        <w:tcW w:w="884" w:type="dxa"/>
                      </w:tcPr>
                      <w:p>
                        <w:pPr>
                          <w:pStyle w:val="TableParagraph"/>
                          <w:spacing w:before="9"/>
                          <w:jc w:val="left"/>
                          <w:rPr>
                            <w:rFonts w:ascii="Times New Roman"/>
                            <w:sz w:val="15"/>
                          </w:rPr>
                        </w:pPr>
                      </w:p>
                      <w:p>
                        <w:pPr>
                          <w:pStyle w:val="TableParagraph"/>
                          <w:ind w:right="22"/>
                          <w:rPr>
                            <w:sz w:val="14"/>
                          </w:rPr>
                        </w:pPr>
                        <w:r>
                          <w:rPr>
                            <w:sz w:val="14"/>
                          </w:rPr>
                          <w:t>(104,799)</w:t>
                        </w:r>
                      </w:p>
                    </w:tc>
                  </w:tr>
                  <w:tr>
                    <w:trPr>
                      <w:trHeight w:val="379" w:hRule="exact"/>
                    </w:trPr>
                    <w:tc>
                      <w:tcPr>
                        <w:tcW w:w="3989" w:type="dxa"/>
                      </w:tcPr>
                      <w:p>
                        <w:pPr>
                          <w:pStyle w:val="TableParagraph"/>
                          <w:spacing w:before="21"/>
                          <w:ind w:left="68"/>
                          <w:jc w:val="left"/>
                          <w:rPr>
                            <w:sz w:val="14"/>
                          </w:rPr>
                        </w:pPr>
                        <w:r>
                          <w:rPr>
                            <w:sz w:val="14"/>
                          </w:rPr>
                          <w:t>Transfers from Construction in</w:t>
                        </w:r>
                      </w:p>
                      <w:p>
                        <w:pPr>
                          <w:pStyle w:val="TableParagraph"/>
                          <w:tabs>
                            <w:tab w:pos="3759" w:val="left" w:leader="none"/>
                          </w:tabs>
                          <w:ind w:left="68"/>
                          <w:jc w:val="left"/>
                          <w:rPr>
                            <w:sz w:val="14"/>
                          </w:rPr>
                        </w:pPr>
                        <w:r>
                          <w:rPr>
                            <w:sz w:val="14"/>
                          </w:rPr>
                          <w:t>Progress</w:t>
                          <w:tab/>
                          <w:t>-</w:t>
                        </w:r>
                      </w:p>
                    </w:tc>
                    <w:tc>
                      <w:tcPr>
                        <w:tcW w:w="994" w:type="dxa"/>
                      </w:tcPr>
                      <w:p>
                        <w:pPr>
                          <w:pStyle w:val="TableParagraph"/>
                          <w:spacing w:before="9"/>
                          <w:jc w:val="left"/>
                          <w:rPr>
                            <w:rFonts w:ascii="Times New Roman"/>
                            <w:sz w:val="15"/>
                          </w:rPr>
                        </w:pPr>
                      </w:p>
                      <w:p>
                        <w:pPr>
                          <w:pStyle w:val="TableParagraph"/>
                          <w:ind w:right="125"/>
                          <w:rPr>
                            <w:sz w:val="14"/>
                          </w:rPr>
                        </w:pPr>
                        <w:r>
                          <w:rPr>
                            <w:sz w:val="14"/>
                          </w:rPr>
                          <w:t>1,943</w:t>
                        </w:r>
                      </w:p>
                    </w:tc>
                    <w:tc>
                      <w:tcPr>
                        <w:tcW w:w="1069" w:type="dxa"/>
                      </w:tcPr>
                      <w:p>
                        <w:pPr>
                          <w:pStyle w:val="TableParagraph"/>
                          <w:spacing w:before="9"/>
                          <w:jc w:val="left"/>
                          <w:rPr>
                            <w:rFonts w:ascii="Times New Roman"/>
                            <w:sz w:val="15"/>
                          </w:rPr>
                        </w:pPr>
                      </w:p>
                      <w:p>
                        <w:pPr>
                          <w:pStyle w:val="TableParagraph"/>
                          <w:ind w:right="145"/>
                          <w:rPr>
                            <w:sz w:val="14"/>
                          </w:rPr>
                        </w:pPr>
                        <w:r>
                          <w:rPr>
                            <w:w w:val="100"/>
                            <w:sz w:val="14"/>
                          </w:rPr>
                          <w:t>-</w:t>
                        </w:r>
                      </w:p>
                    </w:tc>
                    <w:tc>
                      <w:tcPr>
                        <w:tcW w:w="1004" w:type="dxa"/>
                      </w:tcPr>
                      <w:p>
                        <w:pPr>
                          <w:pStyle w:val="TableParagraph"/>
                          <w:spacing w:before="9"/>
                          <w:jc w:val="left"/>
                          <w:rPr>
                            <w:rFonts w:ascii="Times New Roman"/>
                            <w:sz w:val="15"/>
                          </w:rPr>
                        </w:pPr>
                      </w:p>
                      <w:p>
                        <w:pPr>
                          <w:pStyle w:val="TableParagraph"/>
                          <w:ind w:right="99"/>
                          <w:rPr>
                            <w:sz w:val="14"/>
                          </w:rPr>
                        </w:pPr>
                        <w:r>
                          <w:rPr>
                            <w:sz w:val="14"/>
                          </w:rPr>
                          <w:t>96,688</w:t>
                        </w:r>
                      </w:p>
                    </w:tc>
                    <w:tc>
                      <w:tcPr>
                        <w:tcW w:w="1044" w:type="dxa"/>
                      </w:tcPr>
                      <w:p>
                        <w:pPr>
                          <w:pStyle w:val="TableParagraph"/>
                          <w:spacing w:before="9"/>
                          <w:jc w:val="left"/>
                          <w:rPr>
                            <w:rFonts w:ascii="Times New Roman"/>
                            <w:sz w:val="15"/>
                          </w:rPr>
                        </w:pPr>
                      </w:p>
                      <w:p>
                        <w:pPr>
                          <w:pStyle w:val="TableParagraph"/>
                          <w:ind w:right="95"/>
                          <w:rPr>
                            <w:sz w:val="14"/>
                          </w:rPr>
                        </w:pPr>
                        <w:r>
                          <w:rPr>
                            <w:sz w:val="14"/>
                          </w:rPr>
                          <w:t>5,295</w:t>
                        </w:r>
                      </w:p>
                    </w:tc>
                    <w:tc>
                      <w:tcPr>
                        <w:tcW w:w="1141" w:type="dxa"/>
                      </w:tcPr>
                      <w:p>
                        <w:pPr>
                          <w:pStyle w:val="TableParagraph"/>
                          <w:spacing w:before="9"/>
                          <w:jc w:val="left"/>
                          <w:rPr>
                            <w:rFonts w:ascii="Times New Roman"/>
                            <w:sz w:val="15"/>
                          </w:rPr>
                        </w:pPr>
                      </w:p>
                      <w:p>
                        <w:pPr>
                          <w:pStyle w:val="TableParagraph"/>
                          <w:ind w:right="147"/>
                          <w:rPr>
                            <w:sz w:val="14"/>
                          </w:rPr>
                        </w:pPr>
                        <w:r>
                          <w:rPr>
                            <w:w w:val="100"/>
                            <w:sz w:val="14"/>
                          </w:rPr>
                          <w:t>-</w:t>
                        </w:r>
                      </w:p>
                    </w:tc>
                    <w:tc>
                      <w:tcPr>
                        <w:tcW w:w="1012" w:type="dxa"/>
                      </w:tcPr>
                      <w:p>
                        <w:pPr>
                          <w:pStyle w:val="TableParagraph"/>
                          <w:spacing w:before="9"/>
                          <w:jc w:val="left"/>
                          <w:rPr>
                            <w:rFonts w:ascii="Times New Roman"/>
                            <w:sz w:val="15"/>
                          </w:rPr>
                        </w:pPr>
                      </w:p>
                      <w:p>
                        <w:pPr>
                          <w:pStyle w:val="TableParagraph"/>
                          <w:ind w:right="110"/>
                          <w:rPr>
                            <w:sz w:val="14"/>
                          </w:rPr>
                        </w:pPr>
                        <w:r>
                          <w:rPr>
                            <w:sz w:val="14"/>
                          </w:rPr>
                          <w:t>39</w:t>
                        </w:r>
                      </w:p>
                    </w:tc>
                    <w:tc>
                      <w:tcPr>
                        <w:tcW w:w="1182" w:type="dxa"/>
                      </w:tcPr>
                      <w:p>
                        <w:pPr>
                          <w:pStyle w:val="TableParagraph"/>
                          <w:spacing w:before="9"/>
                          <w:jc w:val="left"/>
                          <w:rPr>
                            <w:rFonts w:ascii="Times New Roman"/>
                            <w:sz w:val="15"/>
                          </w:rPr>
                        </w:pPr>
                      </w:p>
                      <w:p>
                        <w:pPr>
                          <w:pStyle w:val="TableParagraph"/>
                          <w:ind w:right="158"/>
                          <w:rPr>
                            <w:sz w:val="14"/>
                          </w:rPr>
                        </w:pPr>
                        <w:r>
                          <w:rPr>
                            <w:sz w:val="14"/>
                          </w:rPr>
                          <w:t>784</w:t>
                        </w:r>
                      </w:p>
                    </w:tc>
                    <w:tc>
                      <w:tcPr>
                        <w:tcW w:w="1085" w:type="dxa"/>
                      </w:tcPr>
                      <w:p>
                        <w:pPr>
                          <w:pStyle w:val="TableParagraph"/>
                          <w:spacing w:before="9"/>
                          <w:jc w:val="left"/>
                          <w:rPr>
                            <w:rFonts w:ascii="Times New Roman"/>
                            <w:sz w:val="15"/>
                          </w:rPr>
                        </w:pPr>
                      </w:p>
                      <w:p>
                        <w:pPr>
                          <w:pStyle w:val="TableParagraph"/>
                          <w:ind w:right="195"/>
                          <w:rPr>
                            <w:sz w:val="14"/>
                          </w:rPr>
                        </w:pPr>
                        <w:r>
                          <w:rPr>
                            <w:w w:val="100"/>
                            <w:sz w:val="14"/>
                          </w:rPr>
                          <w:t>-</w:t>
                        </w:r>
                      </w:p>
                    </w:tc>
                    <w:tc>
                      <w:tcPr>
                        <w:tcW w:w="1087" w:type="dxa"/>
                      </w:tcPr>
                      <w:p>
                        <w:pPr>
                          <w:pStyle w:val="TableParagraph"/>
                          <w:spacing w:before="9"/>
                          <w:jc w:val="left"/>
                          <w:rPr>
                            <w:rFonts w:ascii="Times New Roman"/>
                            <w:sz w:val="15"/>
                          </w:rPr>
                        </w:pPr>
                      </w:p>
                      <w:p>
                        <w:pPr>
                          <w:pStyle w:val="TableParagraph"/>
                          <w:ind w:right="233"/>
                          <w:rPr>
                            <w:sz w:val="14"/>
                          </w:rPr>
                        </w:pPr>
                        <w:r>
                          <w:rPr>
                            <w:sz w:val="14"/>
                          </w:rPr>
                          <w:t>50</w:t>
                        </w:r>
                      </w:p>
                    </w:tc>
                    <w:tc>
                      <w:tcPr>
                        <w:tcW w:w="884" w:type="dxa"/>
                      </w:tcPr>
                      <w:p>
                        <w:pPr>
                          <w:pStyle w:val="TableParagraph"/>
                          <w:spacing w:before="9"/>
                          <w:jc w:val="left"/>
                          <w:rPr>
                            <w:rFonts w:ascii="Times New Roman"/>
                            <w:sz w:val="15"/>
                          </w:rPr>
                        </w:pPr>
                      </w:p>
                      <w:p>
                        <w:pPr>
                          <w:pStyle w:val="TableParagraph"/>
                          <w:ind w:right="68"/>
                          <w:rPr>
                            <w:sz w:val="14"/>
                          </w:rPr>
                        </w:pPr>
                        <w:r>
                          <w:rPr>
                            <w:sz w:val="14"/>
                          </w:rPr>
                          <w:t>104,799</w:t>
                        </w:r>
                      </w:p>
                    </w:tc>
                  </w:tr>
                  <w:tr>
                    <w:trPr>
                      <w:trHeight w:val="219" w:hRule="exact"/>
                    </w:trPr>
                    <w:tc>
                      <w:tcPr>
                        <w:tcW w:w="3989" w:type="dxa"/>
                        <w:tcBorders>
                          <w:bottom w:val="single" w:sz="0" w:space="0" w:color="000000"/>
                        </w:tcBorders>
                      </w:tcPr>
                      <w:p>
                        <w:pPr>
                          <w:pStyle w:val="TableParagraph"/>
                          <w:tabs>
                            <w:tab w:pos="3759" w:val="left" w:leader="none"/>
                          </w:tabs>
                          <w:spacing w:before="22"/>
                          <w:ind w:left="68"/>
                          <w:jc w:val="left"/>
                          <w:rPr>
                            <w:sz w:val="14"/>
                          </w:rPr>
                        </w:pPr>
                        <w:r>
                          <w:rPr>
                            <w:sz w:val="14"/>
                          </w:rPr>
                          <w:t>Transfers to Held for</w:t>
                        </w:r>
                        <w:r>
                          <w:rPr>
                            <w:spacing w:val="2"/>
                            <w:sz w:val="14"/>
                          </w:rPr>
                          <w:t> </w:t>
                        </w:r>
                        <w:r>
                          <w:rPr>
                            <w:sz w:val="14"/>
                          </w:rPr>
                          <w:t>Sale Assets</w:t>
                          <w:tab/>
                          <w:t>-</w:t>
                        </w:r>
                      </w:p>
                    </w:tc>
                    <w:tc>
                      <w:tcPr>
                        <w:tcW w:w="994" w:type="dxa"/>
                        <w:tcBorders>
                          <w:bottom w:val="single" w:sz="0" w:space="0" w:color="000000"/>
                        </w:tcBorders>
                      </w:tcPr>
                      <w:p>
                        <w:pPr>
                          <w:pStyle w:val="TableParagraph"/>
                          <w:spacing w:before="21"/>
                          <w:ind w:right="78"/>
                          <w:rPr>
                            <w:sz w:val="14"/>
                          </w:rPr>
                        </w:pPr>
                        <w:r>
                          <w:rPr>
                            <w:sz w:val="14"/>
                          </w:rPr>
                          <w:t>(69,300)</w:t>
                        </w:r>
                      </w:p>
                    </w:tc>
                    <w:tc>
                      <w:tcPr>
                        <w:tcW w:w="1069" w:type="dxa"/>
                        <w:tcBorders>
                          <w:bottom w:val="single" w:sz="0" w:space="0" w:color="000000"/>
                        </w:tcBorders>
                      </w:tcPr>
                      <w:p>
                        <w:pPr>
                          <w:pStyle w:val="TableParagraph"/>
                          <w:spacing w:before="21"/>
                          <w:ind w:right="145"/>
                          <w:rPr>
                            <w:sz w:val="14"/>
                          </w:rPr>
                        </w:pPr>
                        <w:r>
                          <w:rPr>
                            <w:w w:val="100"/>
                            <w:sz w:val="14"/>
                          </w:rPr>
                          <w:t>-</w:t>
                        </w:r>
                      </w:p>
                    </w:tc>
                    <w:tc>
                      <w:tcPr>
                        <w:tcW w:w="1004" w:type="dxa"/>
                        <w:tcBorders>
                          <w:bottom w:val="single" w:sz="0" w:space="0" w:color="000000"/>
                        </w:tcBorders>
                      </w:tcPr>
                      <w:p>
                        <w:pPr>
                          <w:pStyle w:val="TableParagraph"/>
                          <w:spacing w:before="21"/>
                          <w:ind w:right="101"/>
                          <w:rPr>
                            <w:sz w:val="14"/>
                          </w:rPr>
                        </w:pPr>
                        <w:r>
                          <w:rPr>
                            <w:w w:val="100"/>
                            <w:sz w:val="14"/>
                          </w:rPr>
                          <w:t>-</w:t>
                        </w:r>
                      </w:p>
                    </w:tc>
                    <w:tc>
                      <w:tcPr>
                        <w:tcW w:w="1044" w:type="dxa"/>
                        <w:tcBorders>
                          <w:bottom w:val="single" w:sz="0" w:space="0" w:color="000000"/>
                        </w:tcBorders>
                      </w:tcPr>
                      <w:p>
                        <w:pPr>
                          <w:pStyle w:val="TableParagraph"/>
                          <w:spacing w:before="21"/>
                          <w:ind w:right="95"/>
                          <w:rPr>
                            <w:sz w:val="14"/>
                          </w:rPr>
                        </w:pPr>
                        <w:r>
                          <w:rPr>
                            <w:w w:val="100"/>
                            <w:sz w:val="14"/>
                          </w:rPr>
                          <w:t>-</w:t>
                        </w:r>
                      </w:p>
                    </w:tc>
                    <w:tc>
                      <w:tcPr>
                        <w:tcW w:w="1141" w:type="dxa"/>
                        <w:tcBorders>
                          <w:bottom w:val="single" w:sz="0" w:space="0" w:color="000000"/>
                        </w:tcBorders>
                      </w:tcPr>
                      <w:p>
                        <w:pPr>
                          <w:pStyle w:val="TableParagraph"/>
                          <w:spacing w:before="21"/>
                          <w:ind w:right="147"/>
                          <w:rPr>
                            <w:sz w:val="14"/>
                          </w:rPr>
                        </w:pPr>
                        <w:r>
                          <w:rPr>
                            <w:w w:val="100"/>
                            <w:sz w:val="14"/>
                          </w:rPr>
                          <w:t>-</w:t>
                        </w:r>
                      </w:p>
                    </w:tc>
                    <w:tc>
                      <w:tcPr>
                        <w:tcW w:w="1012" w:type="dxa"/>
                        <w:tcBorders>
                          <w:bottom w:val="single" w:sz="0" w:space="0" w:color="000000"/>
                        </w:tcBorders>
                      </w:tcPr>
                      <w:p>
                        <w:pPr>
                          <w:pStyle w:val="TableParagraph"/>
                          <w:spacing w:before="21"/>
                          <w:ind w:right="110"/>
                          <w:rPr>
                            <w:sz w:val="14"/>
                          </w:rPr>
                        </w:pPr>
                        <w:r>
                          <w:rPr>
                            <w:w w:val="100"/>
                            <w:sz w:val="14"/>
                          </w:rPr>
                          <w:t>-</w:t>
                        </w:r>
                      </w:p>
                    </w:tc>
                    <w:tc>
                      <w:tcPr>
                        <w:tcW w:w="1182" w:type="dxa"/>
                        <w:tcBorders>
                          <w:bottom w:val="single" w:sz="0" w:space="0" w:color="000000"/>
                        </w:tcBorders>
                      </w:tcPr>
                      <w:p>
                        <w:pPr>
                          <w:pStyle w:val="TableParagraph"/>
                          <w:spacing w:before="21"/>
                          <w:ind w:right="158"/>
                          <w:rPr>
                            <w:sz w:val="14"/>
                          </w:rPr>
                        </w:pPr>
                        <w:r>
                          <w:rPr>
                            <w:w w:val="100"/>
                            <w:sz w:val="14"/>
                          </w:rPr>
                          <w:t>-</w:t>
                        </w:r>
                      </w:p>
                    </w:tc>
                    <w:tc>
                      <w:tcPr>
                        <w:tcW w:w="1085" w:type="dxa"/>
                        <w:tcBorders>
                          <w:bottom w:val="single" w:sz="0" w:space="0" w:color="000000"/>
                        </w:tcBorders>
                      </w:tcPr>
                      <w:p>
                        <w:pPr>
                          <w:pStyle w:val="TableParagraph"/>
                          <w:spacing w:before="21"/>
                          <w:ind w:right="195"/>
                          <w:rPr>
                            <w:sz w:val="14"/>
                          </w:rPr>
                        </w:pPr>
                        <w:r>
                          <w:rPr>
                            <w:w w:val="100"/>
                            <w:sz w:val="14"/>
                          </w:rPr>
                          <w:t>-</w:t>
                        </w:r>
                      </w:p>
                    </w:tc>
                    <w:tc>
                      <w:tcPr>
                        <w:tcW w:w="1087" w:type="dxa"/>
                        <w:tcBorders>
                          <w:bottom w:val="single" w:sz="0" w:space="0" w:color="000000"/>
                        </w:tcBorders>
                      </w:tcPr>
                      <w:p>
                        <w:pPr>
                          <w:pStyle w:val="TableParagraph"/>
                          <w:spacing w:before="21"/>
                          <w:ind w:right="233"/>
                          <w:rPr>
                            <w:sz w:val="14"/>
                          </w:rPr>
                        </w:pPr>
                        <w:r>
                          <w:rPr>
                            <w:w w:val="100"/>
                            <w:sz w:val="14"/>
                          </w:rPr>
                          <w:t>-</w:t>
                        </w:r>
                      </w:p>
                    </w:tc>
                    <w:tc>
                      <w:tcPr>
                        <w:tcW w:w="884" w:type="dxa"/>
                        <w:tcBorders>
                          <w:bottom w:val="single" w:sz="0" w:space="0" w:color="000000"/>
                        </w:tcBorders>
                      </w:tcPr>
                      <w:p>
                        <w:pPr>
                          <w:pStyle w:val="TableParagraph"/>
                          <w:spacing w:before="21"/>
                          <w:ind w:right="22"/>
                          <w:rPr>
                            <w:sz w:val="14"/>
                          </w:rPr>
                        </w:pPr>
                        <w:r>
                          <w:rPr>
                            <w:sz w:val="14"/>
                          </w:rPr>
                          <w:t>(69,300)</w:t>
                        </w:r>
                      </w:p>
                    </w:tc>
                  </w:tr>
                  <w:tr>
                    <w:trPr>
                      <w:trHeight w:val="293" w:hRule="exact"/>
                    </w:trPr>
                    <w:tc>
                      <w:tcPr>
                        <w:tcW w:w="3989" w:type="dxa"/>
                        <w:tcBorders>
                          <w:top w:val="single" w:sz="0" w:space="0" w:color="000000"/>
                          <w:bottom w:val="single" w:sz="0" w:space="0" w:color="000000"/>
                        </w:tcBorders>
                      </w:tcPr>
                      <w:p>
                        <w:pPr>
                          <w:pStyle w:val="TableParagraph"/>
                          <w:tabs>
                            <w:tab w:pos="3376" w:val="left" w:leader="none"/>
                          </w:tabs>
                          <w:spacing w:before="123"/>
                          <w:ind w:left="68"/>
                          <w:jc w:val="left"/>
                          <w:rPr>
                            <w:sz w:val="14"/>
                          </w:rPr>
                        </w:pPr>
                        <w:r>
                          <w:rPr>
                            <w:b/>
                            <w:sz w:val="14"/>
                          </w:rPr>
                          <w:t>Closing Net</w:t>
                        </w:r>
                        <w:r>
                          <w:rPr>
                            <w:b/>
                            <w:spacing w:val="-8"/>
                            <w:sz w:val="14"/>
                          </w:rPr>
                          <w:t> </w:t>
                        </w:r>
                        <w:r>
                          <w:rPr>
                            <w:b/>
                            <w:sz w:val="14"/>
                          </w:rPr>
                          <w:t>Book</w:t>
                        </w:r>
                        <w:r>
                          <w:rPr>
                            <w:b/>
                            <w:spacing w:val="-4"/>
                            <w:sz w:val="14"/>
                          </w:rPr>
                          <w:t> </w:t>
                        </w:r>
                        <w:r>
                          <w:rPr>
                            <w:b/>
                            <w:sz w:val="14"/>
                          </w:rPr>
                          <w:t>Amount</w:t>
                          <w:tab/>
                        </w:r>
                        <w:r>
                          <w:rPr>
                            <w:sz w:val="14"/>
                          </w:rPr>
                          <w:t>58,778</w:t>
                        </w:r>
                      </w:p>
                    </w:tc>
                    <w:tc>
                      <w:tcPr>
                        <w:tcW w:w="994" w:type="dxa"/>
                        <w:tcBorders>
                          <w:top w:val="single" w:sz="0" w:space="0" w:color="000000"/>
                          <w:bottom w:val="single" w:sz="0" w:space="0" w:color="000000"/>
                        </w:tcBorders>
                      </w:tcPr>
                      <w:p>
                        <w:pPr>
                          <w:pStyle w:val="TableParagraph"/>
                          <w:spacing w:before="123"/>
                          <w:ind w:right="125"/>
                          <w:rPr>
                            <w:sz w:val="14"/>
                          </w:rPr>
                        </w:pPr>
                        <w:r>
                          <w:rPr>
                            <w:sz w:val="14"/>
                          </w:rPr>
                          <w:t>214,596</w:t>
                        </w:r>
                      </w:p>
                    </w:tc>
                    <w:tc>
                      <w:tcPr>
                        <w:tcW w:w="1069" w:type="dxa"/>
                        <w:tcBorders>
                          <w:top w:val="single" w:sz="0" w:space="0" w:color="000000"/>
                          <w:bottom w:val="single" w:sz="0" w:space="0" w:color="000000"/>
                        </w:tcBorders>
                      </w:tcPr>
                      <w:p>
                        <w:pPr>
                          <w:pStyle w:val="TableParagraph"/>
                          <w:spacing w:before="123"/>
                          <w:ind w:right="145"/>
                          <w:rPr>
                            <w:sz w:val="14"/>
                          </w:rPr>
                        </w:pPr>
                        <w:r>
                          <w:rPr>
                            <w:sz w:val="14"/>
                          </w:rPr>
                          <w:t>162,335</w:t>
                        </w:r>
                      </w:p>
                    </w:tc>
                    <w:tc>
                      <w:tcPr>
                        <w:tcW w:w="1004" w:type="dxa"/>
                        <w:tcBorders>
                          <w:top w:val="single" w:sz="0" w:space="0" w:color="000000"/>
                          <w:bottom w:val="single" w:sz="0" w:space="0" w:color="000000"/>
                        </w:tcBorders>
                      </w:tcPr>
                      <w:p>
                        <w:pPr>
                          <w:pStyle w:val="TableParagraph"/>
                          <w:spacing w:before="123"/>
                          <w:ind w:right="101"/>
                          <w:rPr>
                            <w:sz w:val="14"/>
                          </w:rPr>
                        </w:pPr>
                        <w:r>
                          <w:rPr>
                            <w:sz w:val="14"/>
                          </w:rPr>
                          <w:t>910,661</w:t>
                        </w:r>
                      </w:p>
                    </w:tc>
                    <w:tc>
                      <w:tcPr>
                        <w:tcW w:w="1044" w:type="dxa"/>
                        <w:tcBorders>
                          <w:top w:val="single" w:sz="0" w:space="0" w:color="000000"/>
                          <w:bottom w:val="single" w:sz="0" w:space="0" w:color="000000"/>
                        </w:tcBorders>
                      </w:tcPr>
                      <w:p>
                        <w:pPr>
                          <w:pStyle w:val="TableParagraph"/>
                          <w:spacing w:before="123"/>
                          <w:ind w:right="95"/>
                          <w:rPr>
                            <w:sz w:val="14"/>
                          </w:rPr>
                        </w:pPr>
                        <w:r>
                          <w:rPr>
                            <w:sz w:val="14"/>
                          </w:rPr>
                          <w:t>85,395</w:t>
                        </w:r>
                      </w:p>
                    </w:tc>
                    <w:tc>
                      <w:tcPr>
                        <w:tcW w:w="1141" w:type="dxa"/>
                        <w:tcBorders>
                          <w:top w:val="single" w:sz="0" w:space="0" w:color="000000"/>
                          <w:bottom w:val="single" w:sz="0" w:space="0" w:color="000000"/>
                        </w:tcBorders>
                      </w:tcPr>
                      <w:p>
                        <w:pPr>
                          <w:pStyle w:val="TableParagraph"/>
                          <w:spacing w:before="123"/>
                          <w:ind w:right="147"/>
                          <w:rPr>
                            <w:sz w:val="14"/>
                          </w:rPr>
                        </w:pPr>
                        <w:r>
                          <w:rPr>
                            <w:w w:val="100"/>
                            <w:sz w:val="14"/>
                          </w:rPr>
                          <w:t>-</w:t>
                        </w:r>
                      </w:p>
                    </w:tc>
                    <w:tc>
                      <w:tcPr>
                        <w:tcW w:w="1012" w:type="dxa"/>
                        <w:tcBorders>
                          <w:top w:val="single" w:sz="0" w:space="0" w:color="000000"/>
                          <w:bottom w:val="single" w:sz="0" w:space="0" w:color="000000"/>
                        </w:tcBorders>
                      </w:tcPr>
                      <w:p>
                        <w:pPr>
                          <w:pStyle w:val="TableParagraph"/>
                          <w:spacing w:before="123"/>
                          <w:ind w:right="110"/>
                          <w:rPr>
                            <w:sz w:val="14"/>
                          </w:rPr>
                        </w:pPr>
                        <w:r>
                          <w:rPr>
                            <w:sz w:val="14"/>
                          </w:rPr>
                          <w:t>59,895</w:t>
                        </w:r>
                      </w:p>
                    </w:tc>
                    <w:tc>
                      <w:tcPr>
                        <w:tcW w:w="1182" w:type="dxa"/>
                        <w:tcBorders>
                          <w:top w:val="single" w:sz="0" w:space="0" w:color="000000"/>
                          <w:bottom w:val="single" w:sz="0" w:space="0" w:color="000000"/>
                        </w:tcBorders>
                      </w:tcPr>
                      <w:p>
                        <w:pPr>
                          <w:pStyle w:val="TableParagraph"/>
                          <w:spacing w:before="123"/>
                          <w:ind w:right="158"/>
                          <w:rPr>
                            <w:sz w:val="14"/>
                          </w:rPr>
                        </w:pPr>
                        <w:r>
                          <w:rPr>
                            <w:sz w:val="14"/>
                          </w:rPr>
                          <w:t>13,062</w:t>
                        </w:r>
                      </w:p>
                    </w:tc>
                    <w:tc>
                      <w:tcPr>
                        <w:tcW w:w="1085" w:type="dxa"/>
                        <w:tcBorders>
                          <w:top w:val="single" w:sz="0" w:space="0" w:color="000000"/>
                          <w:bottom w:val="single" w:sz="0" w:space="0" w:color="000000"/>
                        </w:tcBorders>
                      </w:tcPr>
                      <w:p>
                        <w:pPr>
                          <w:pStyle w:val="TableParagraph"/>
                          <w:spacing w:before="123"/>
                          <w:ind w:right="195"/>
                          <w:rPr>
                            <w:sz w:val="14"/>
                          </w:rPr>
                        </w:pPr>
                        <w:r>
                          <w:rPr>
                            <w:sz w:val="14"/>
                          </w:rPr>
                          <w:t>8,894</w:t>
                        </w:r>
                      </w:p>
                    </w:tc>
                    <w:tc>
                      <w:tcPr>
                        <w:tcW w:w="1087" w:type="dxa"/>
                        <w:tcBorders>
                          <w:top w:val="single" w:sz="0" w:space="0" w:color="000000"/>
                          <w:bottom w:val="single" w:sz="0" w:space="0" w:color="000000"/>
                        </w:tcBorders>
                      </w:tcPr>
                      <w:p>
                        <w:pPr>
                          <w:pStyle w:val="TableParagraph"/>
                          <w:spacing w:before="123"/>
                          <w:ind w:right="233"/>
                          <w:rPr>
                            <w:sz w:val="14"/>
                          </w:rPr>
                        </w:pPr>
                        <w:r>
                          <w:rPr>
                            <w:sz w:val="14"/>
                          </w:rPr>
                          <w:t>3,140</w:t>
                        </w:r>
                      </w:p>
                    </w:tc>
                    <w:tc>
                      <w:tcPr>
                        <w:tcW w:w="884" w:type="dxa"/>
                        <w:tcBorders>
                          <w:top w:val="single" w:sz="0" w:space="0" w:color="000000"/>
                          <w:bottom w:val="single" w:sz="0" w:space="0" w:color="000000"/>
                        </w:tcBorders>
                      </w:tcPr>
                      <w:p>
                        <w:pPr>
                          <w:pStyle w:val="TableParagraph"/>
                          <w:spacing w:before="123"/>
                          <w:ind w:right="68"/>
                          <w:rPr>
                            <w:sz w:val="14"/>
                          </w:rPr>
                        </w:pPr>
                        <w:r>
                          <w:rPr>
                            <w:sz w:val="14"/>
                          </w:rPr>
                          <w:t>1,516,756</w:t>
                        </w:r>
                      </w:p>
                    </w:tc>
                  </w:tr>
                  <w:tr>
                    <w:trPr>
                      <w:trHeight w:val="306" w:hRule="exact"/>
                    </w:trPr>
                    <w:tc>
                      <w:tcPr>
                        <w:tcW w:w="3989" w:type="dxa"/>
                        <w:tcBorders>
                          <w:top w:val="single" w:sz="0" w:space="0" w:color="000000"/>
                        </w:tcBorders>
                      </w:tcPr>
                      <w:p>
                        <w:pPr>
                          <w:pStyle w:val="TableParagraph"/>
                          <w:spacing w:before="123"/>
                          <w:ind w:left="68"/>
                          <w:jc w:val="left"/>
                          <w:rPr>
                            <w:b/>
                            <w:sz w:val="14"/>
                          </w:rPr>
                        </w:pPr>
                        <w:r>
                          <w:rPr>
                            <w:b/>
                            <w:sz w:val="14"/>
                          </w:rPr>
                          <w:t>At 31 December 2015</w:t>
                        </w:r>
                      </w:p>
                    </w:tc>
                    <w:tc>
                      <w:tcPr>
                        <w:tcW w:w="994" w:type="dxa"/>
                        <w:tcBorders>
                          <w:top w:val="single" w:sz="0" w:space="0" w:color="000000"/>
                        </w:tcBorders>
                      </w:tcPr>
                      <w:p>
                        <w:pPr/>
                      </w:p>
                    </w:tc>
                    <w:tc>
                      <w:tcPr>
                        <w:tcW w:w="1069" w:type="dxa"/>
                        <w:tcBorders>
                          <w:top w:val="single" w:sz="0" w:space="0" w:color="000000"/>
                        </w:tcBorders>
                      </w:tcPr>
                      <w:p>
                        <w:pPr/>
                      </w:p>
                    </w:tc>
                    <w:tc>
                      <w:tcPr>
                        <w:tcW w:w="1004" w:type="dxa"/>
                        <w:tcBorders>
                          <w:top w:val="single" w:sz="0" w:space="0" w:color="000000"/>
                        </w:tcBorders>
                      </w:tcPr>
                      <w:p>
                        <w:pPr/>
                      </w:p>
                    </w:tc>
                    <w:tc>
                      <w:tcPr>
                        <w:tcW w:w="1044" w:type="dxa"/>
                        <w:tcBorders>
                          <w:top w:val="single" w:sz="0" w:space="0" w:color="000000"/>
                        </w:tcBorders>
                      </w:tcPr>
                      <w:p>
                        <w:pPr/>
                      </w:p>
                    </w:tc>
                    <w:tc>
                      <w:tcPr>
                        <w:tcW w:w="1141" w:type="dxa"/>
                        <w:tcBorders>
                          <w:top w:val="single" w:sz="0" w:space="0" w:color="000000"/>
                        </w:tcBorders>
                      </w:tcPr>
                      <w:p>
                        <w:pPr/>
                      </w:p>
                    </w:tc>
                    <w:tc>
                      <w:tcPr>
                        <w:tcW w:w="1012" w:type="dxa"/>
                        <w:tcBorders>
                          <w:top w:val="single" w:sz="0" w:space="0" w:color="000000"/>
                        </w:tcBorders>
                      </w:tcPr>
                      <w:p>
                        <w:pPr/>
                      </w:p>
                    </w:tc>
                    <w:tc>
                      <w:tcPr>
                        <w:tcW w:w="1182" w:type="dxa"/>
                        <w:tcBorders>
                          <w:top w:val="single" w:sz="0" w:space="0" w:color="000000"/>
                        </w:tcBorders>
                      </w:tcPr>
                      <w:p>
                        <w:pPr/>
                      </w:p>
                    </w:tc>
                    <w:tc>
                      <w:tcPr>
                        <w:tcW w:w="1085" w:type="dxa"/>
                        <w:tcBorders>
                          <w:top w:val="single" w:sz="0" w:space="0" w:color="000000"/>
                        </w:tcBorders>
                      </w:tcPr>
                      <w:p>
                        <w:pPr/>
                      </w:p>
                    </w:tc>
                    <w:tc>
                      <w:tcPr>
                        <w:tcW w:w="1087" w:type="dxa"/>
                        <w:tcBorders>
                          <w:top w:val="single" w:sz="0" w:space="0" w:color="000000"/>
                        </w:tcBorders>
                      </w:tcPr>
                      <w:p>
                        <w:pPr/>
                      </w:p>
                    </w:tc>
                    <w:tc>
                      <w:tcPr>
                        <w:tcW w:w="884" w:type="dxa"/>
                        <w:tcBorders>
                          <w:top w:val="single" w:sz="0" w:space="0" w:color="000000"/>
                        </w:tcBorders>
                      </w:tcPr>
                      <w:p>
                        <w:pPr/>
                      </w:p>
                    </w:tc>
                  </w:tr>
                  <w:tr>
                    <w:trPr>
                      <w:trHeight w:val="205" w:hRule="exact"/>
                    </w:trPr>
                    <w:tc>
                      <w:tcPr>
                        <w:tcW w:w="3989" w:type="dxa"/>
                      </w:tcPr>
                      <w:p>
                        <w:pPr>
                          <w:pStyle w:val="TableParagraph"/>
                          <w:tabs>
                            <w:tab w:pos="3376" w:val="left" w:leader="none"/>
                          </w:tabs>
                          <w:spacing w:before="8"/>
                          <w:ind w:left="68"/>
                          <w:jc w:val="left"/>
                          <w:rPr>
                            <w:sz w:val="14"/>
                          </w:rPr>
                        </w:pPr>
                        <w:r>
                          <w:rPr>
                            <w:sz w:val="14"/>
                          </w:rPr>
                          <w:t>- Cost</w:t>
                          <w:tab/>
                          <w:t>58,778</w:t>
                        </w:r>
                      </w:p>
                    </w:tc>
                    <w:tc>
                      <w:tcPr>
                        <w:tcW w:w="994" w:type="dxa"/>
                      </w:tcPr>
                      <w:p>
                        <w:pPr>
                          <w:pStyle w:val="TableParagraph"/>
                          <w:spacing w:before="7"/>
                          <w:ind w:right="125"/>
                          <w:rPr>
                            <w:sz w:val="14"/>
                          </w:rPr>
                        </w:pPr>
                        <w:r>
                          <w:rPr>
                            <w:w w:val="100"/>
                            <w:sz w:val="14"/>
                          </w:rPr>
                          <w:t>-</w:t>
                        </w:r>
                      </w:p>
                    </w:tc>
                    <w:tc>
                      <w:tcPr>
                        <w:tcW w:w="1069" w:type="dxa"/>
                      </w:tcPr>
                      <w:p>
                        <w:pPr>
                          <w:pStyle w:val="TableParagraph"/>
                          <w:spacing w:before="7"/>
                          <w:ind w:right="145"/>
                          <w:rPr>
                            <w:sz w:val="14"/>
                          </w:rPr>
                        </w:pPr>
                        <w:r>
                          <w:rPr>
                            <w:w w:val="100"/>
                            <w:sz w:val="14"/>
                          </w:rPr>
                          <w:t>-</w:t>
                        </w:r>
                      </w:p>
                    </w:tc>
                    <w:tc>
                      <w:tcPr>
                        <w:tcW w:w="1004" w:type="dxa"/>
                      </w:tcPr>
                      <w:p>
                        <w:pPr>
                          <w:pStyle w:val="TableParagraph"/>
                          <w:spacing w:before="7"/>
                          <w:ind w:right="99"/>
                          <w:rPr>
                            <w:sz w:val="14"/>
                          </w:rPr>
                        </w:pPr>
                        <w:r>
                          <w:rPr>
                            <w:sz w:val="14"/>
                          </w:rPr>
                          <w:t>7,929</w:t>
                        </w:r>
                      </w:p>
                    </w:tc>
                    <w:tc>
                      <w:tcPr>
                        <w:tcW w:w="1044" w:type="dxa"/>
                      </w:tcPr>
                      <w:p>
                        <w:pPr>
                          <w:pStyle w:val="TableParagraph"/>
                          <w:spacing w:before="7"/>
                          <w:ind w:right="95"/>
                          <w:rPr>
                            <w:sz w:val="14"/>
                          </w:rPr>
                        </w:pPr>
                        <w:r>
                          <w:rPr>
                            <w:sz w:val="14"/>
                          </w:rPr>
                          <w:t>1,637</w:t>
                        </w:r>
                      </w:p>
                    </w:tc>
                    <w:tc>
                      <w:tcPr>
                        <w:tcW w:w="1141" w:type="dxa"/>
                      </w:tcPr>
                      <w:p>
                        <w:pPr>
                          <w:pStyle w:val="TableParagraph"/>
                          <w:spacing w:before="7"/>
                          <w:ind w:right="147"/>
                          <w:rPr>
                            <w:sz w:val="14"/>
                          </w:rPr>
                        </w:pPr>
                        <w:r>
                          <w:rPr>
                            <w:sz w:val="14"/>
                          </w:rPr>
                          <w:t>4,594</w:t>
                        </w:r>
                      </w:p>
                    </w:tc>
                    <w:tc>
                      <w:tcPr>
                        <w:tcW w:w="1012" w:type="dxa"/>
                      </w:tcPr>
                      <w:p>
                        <w:pPr>
                          <w:pStyle w:val="TableParagraph"/>
                          <w:spacing w:before="7"/>
                          <w:ind w:right="110"/>
                          <w:rPr>
                            <w:sz w:val="14"/>
                          </w:rPr>
                        </w:pPr>
                        <w:r>
                          <w:rPr>
                            <w:sz w:val="14"/>
                          </w:rPr>
                          <w:t>131,471</w:t>
                        </w:r>
                      </w:p>
                    </w:tc>
                    <w:tc>
                      <w:tcPr>
                        <w:tcW w:w="1182" w:type="dxa"/>
                      </w:tcPr>
                      <w:p>
                        <w:pPr>
                          <w:pStyle w:val="TableParagraph"/>
                          <w:spacing w:before="7"/>
                          <w:ind w:right="158"/>
                          <w:rPr>
                            <w:sz w:val="14"/>
                          </w:rPr>
                        </w:pPr>
                        <w:r>
                          <w:rPr>
                            <w:sz w:val="14"/>
                          </w:rPr>
                          <w:t>18,412</w:t>
                        </w:r>
                      </w:p>
                    </w:tc>
                    <w:tc>
                      <w:tcPr>
                        <w:tcW w:w="1085" w:type="dxa"/>
                      </w:tcPr>
                      <w:p>
                        <w:pPr>
                          <w:pStyle w:val="TableParagraph"/>
                          <w:spacing w:before="7"/>
                          <w:ind w:right="195"/>
                          <w:rPr>
                            <w:sz w:val="14"/>
                          </w:rPr>
                        </w:pPr>
                        <w:r>
                          <w:rPr>
                            <w:sz w:val="14"/>
                          </w:rPr>
                          <w:t>82,713</w:t>
                        </w:r>
                      </w:p>
                    </w:tc>
                    <w:tc>
                      <w:tcPr>
                        <w:tcW w:w="1087" w:type="dxa"/>
                      </w:tcPr>
                      <w:p>
                        <w:pPr>
                          <w:pStyle w:val="TableParagraph"/>
                          <w:spacing w:before="7"/>
                          <w:ind w:right="233"/>
                          <w:rPr>
                            <w:sz w:val="14"/>
                          </w:rPr>
                        </w:pPr>
                        <w:r>
                          <w:rPr>
                            <w:w w:val="100"/>
                            <w:sz w:val="14"/>
                          </w:rPr>
                          <w:t>-</w:t>
                        </w:r>
                      </w:p>
                    </w:tc>
                    <w:tc>
                      <w:tcPr>
                        <w:tcW w:w="884" w:type="dxa"/>
                      </w:tcPr>
                      <w:p>
                        <w:pPr>
                          <w:pStyle w:val="TableParagraph"/>
                          <w:spacing w:before="7"/>
                          <w:ind w:right="68"/>
                          <w:rPr>
                            <w:sz w:val="14"/>
                          </w:rPr>
                        </w:pPr>
                        <w:r>
                          <w:rPr>
                            <w:sz w:val="14"/>
                          </w:rPr>
                          <w:t>305,534</w:t>
                        </w:r>
                      </w:p>
                    </w:tc>
                  </w:tr>
                  <w:tr>
                    <w:trPr>
                      <w:trHeight w:val="218" w:hRule="exact"/>
                    </w:trPr>
                    <w:tc>
                      <w:tcPr>
                        <w:tcW w:w="3989" w:type="dxa"/>
                      </w:tcPr>
                      <w:p>
                        <w:pPr>
                          <w:pStyle w:val="TableParagraph"/>
                          <w:tabs>
                            <w:tab w:pos="3759" w:val="left" w:leader="none"/>
                          </w:tabs>
                          <w:spacing w:before="22"/>
                          <w:ind w:left="68"/>
                          <w:jc w:val="left"/>
                          <w:rPr>
                            <w:sz w:val="14"/>
                          </w:rPr>
                        </w:pPr>
                        <w:r>
                          <w:rPr>
                            <w:sz w:val="14"/>
                          </w:rPr>
                          <w:t>- Valuation</w:t>
                          <w:tab/>
                          <w:t>-</w:t>
                        </w:r>
                      </w:p>
                    </w:tc>
                    <w:tc>
                      <w:tcPr>
                        <w:tcW w:w="994" w:type="dxa"/>
                      </w:tcPr>
                      <w:p>
                        <w:pPr>
                          <w:pStyle w:val="TableParagraph"/>
                          <w:spacing w:before="21"/>
                          <w:ind w:right="125"/>
                          <w:rPr>
                            <w:sz w:val="14"/>
                          </w:rPr>
                        </w:pPr>
                        <w:r>
                          <w:rPr>
                            <w:sz w:val="14"/>
                          </w:rPr>
                          <w:t>214,596</w:t>
                        </w:r>
                      </w:p>
                    </w:tc>
                    <w:tc>
                      <w:tcPr>
                        <w:tcW w:w="1069" w:type="dxa"/>
                      </w:tcPr>
                      <w:p>
                        <w:pPr>
                          <w:pStyle w:val="TableParagraph"/>
                          <w:spacing w:before="21"/>
                          <w:ind w:right="145"/>
                          <w:rPr>
                            <w:sz w:val="14"/>
                          </w:rPr>
                        </w:pPr>
                        <w:r>
                          <w:rPr>
                            <w:sz w:val="14"/>
                          </w:rPr>
                          <w:t>162,335</w:t>
                        </w:r>
                      </w:p>
                    </w:tc>
                    <w:tc>
                      <w:tcPr>
                        <w:tcW w:w="1004" w:type="dxa"/>
                      </w:tcPr>
                      <w:p>
                        <w:pPr>
                          <w:pStyle w:val="TableParagraph"/>
                          <w:spacing w:before="21"/>
                          <w:ind w:right="101"/>
                          <w:rPr>
                            <w:sz w:val="14"/>
                          </w:rPr>
                        </w:pPr>
                        <w:r>
                          <w:rPr>
                            <w:sz w:val="14"/>
                          </w:rPr>
                          <w:t>905,781</w:t>
                        </w:r>
                      </w:p>
                    </w:tc>
                    <w:tc>
                      <w:tcPr>
                        <w:tcW w:w="1044" w:type="dxa"/>
                      </w:tcPr>
                      <w:p>
                        <w:pPr>
                          <w:pStyle w:val="TableParagraph"/>
                          <w:spacing w:before="21"/>
                          <w:ind w:right="95"/>
                          <w:rPr>
                            <w:sz w:val="14"/>
                          </w:rPr>
                        </w:pPr>
                        <w:r>
                          <w:rPr>
                            <w:sz w:val="14"/>
                          </w:rPr>
                          <w:t>85,557</w:t>
                        </w:r>
                      </w:p>
                    </w:tc>
                    <w:tc>
                      <w:tcPr>
                        <w:tcW w:w="1141" w:type="dxa"/>
                      </w:tcPr>
                      <w:p>
                        <w:pPr>
                          <w:pStyle w:val="TableParagraph"/>
                          <w:spacing w:before="21"/>
                          <w:ind w:right="147"/>
                          <w:rPr>
                            <w:sz w:val="14"/>
                          </w:rPr>
                        </w:pPr>
                        <w:r>
                          <w:rPr>
                            <w:w w:val="100"/>
                            <w:sz w:val="14"/>
                          </w:rPr>
                          <w:t>-</w:t>
                        </w:r>
                      </w:p>
                    </w:tc>
                    <w:tc>
                      <w:tcPr>
                        <w:tcW w:w="1012" w:type="dxa"/>
                      </w:tcPr>
                      <w:p>
                        <w:pPr>
                          <w:pStyle w:val="TableParagraph"/>
                          <w:spacing w:before="21"/>
                          <w:ind w:right="110"/>
                          <w:rPr>
                            <w:sz w:val="14"/>
                          </w:rPr>
                        </w:pPr>
                        <w:r>
                          <w:rPr>
                            <w:w w:val="100"/>
                            <w:sz w:val="14"/>
                          </w:rPr>
                          <w:t>-</w:t>
                        </w:r>
                      </w:p>
                    </w:tc>
                    <w:tc>
                      <w:tcPr>
                        <w:tcW w:w="1182" w:type="dxa"/>
                      </w:tcPr>
                      <w:p>
                        <w:pPr>
                          <w:pStyle w:val="TableParagraph"/>
                          <w:spacing w:before="21"/>
                          <w:ind w:right="158"/>
                          <w:rPr>
                            <w:sz w:val="14"/>
                          </w:rPr>
                        </w:pPr>
                        <w:r>
                          <w:rPr>
                            <w:w w:val="100"/>
                            <w:sz w:val="14"/>
                          </w:rPr>
                          <w:t>-</w:t>
                        </w:r>
                      </w:p>
                    </w:tc>
                    <w:tc>
                      <w:tcPr>
                        <w:tcW w:w="1085" w:type="dxa"/>
                      </w:tcPr>
                      <w:p>
                        <w:pPr>
                          <w:pStyle w:val="TableParagraph"/>
                          <w:spacing w:before="21"/>
                          <w:ind w:right="195"/>
                          <w:rPr>
                            <w:sz w:val="14"/>
                          </w:rPr>
                        </w:pPr>
                        <w:r>
                          <w:rPr>
                            <w:sz w:val="14"/>
                          </w:rPr>
                          <w:t>872</w:t>
                        </w:r>
                      </w:p>
                    </w:tc>
                    <w:tc>
                      <w:tcPr>
                        <w:tcW w:w="1087" w:type="dxa"/>
                      </w:tcPr>
                      <w:p>
                        <w:pPr>
                          <w:pStyle w:val="TableParagraph"/>
                          <w:spacing w:before="21"/>
                          <w:ind w:right="233"/>
                          <w:rPr>
                            <w:sz w:val="14"/>
                          </w:rPr>
                        </w:pPr>
                        <w:r>
                          <w:rPr>
                            <w:sz w:val="14"/>
                          </w:rPr>
                          <w:t>3,140</w:t>
                        </w:r>
                      </w:p>
                    </w:tc>
                    <w:tc>
                      <w:tcPr>
                        <w:tcW w:w="884" w:type="dxa"/>
                      </w:tcPr>
                      <w:p>
                        <w:pPr>
                          <w:pStyle w:val="TableParagraph"/>
                          <w:spacing w:before="21"/>
                          <w:ind w:right="68"/>
                          <w:rPr>
                            <w:sz w:val="14"/>
                          </w:rPr>
                        </w:pPr>
                        <w:r>
                          <w:rPr>
                            <w:sz w:val="14"/>
                          </w:rPr>
                          <w:t>1,372,281</w:t>
                        </w:r>
                      </w:p>
                    </w:tc>
                  </w:tr>
                  <w:tr>
                    <w:trPr>
                      <w:trHeight w:val="219" w:hRule="exact"/>
                    </w:trPr>
                    <w:tc>
                      <w:tcPr>
                        <w:tcW w:w="3989" w:type="dxa"/>
                        <w:tcBorders>
                          <w:bottom w:val="single" w:sz="0" w:space="0" w:color="000000"/>
                        </w:tcBorders>
                      </w:tcPr>
                      <w:p>
                        <w:pPr>
                          <w:pStyle w:val="TableParagraph"/>
                          <w:tabs>
                            <w:tab w:pos="3759" w:val="left" w:leader="none"/>
                          </w:tabs>
                          <w:spacing w:before="22"/>
                          <w:ind w:left="68"/>
                          <w:jc w:val="left"/>
                          <w:rPr>
                            <w:sz w:val="14"/>
                          </w:rPr>
                        </w:pPr>
                        <w:r>
                          <w:rPr>
                            <w:sz w:val="14"/>
                          </w:rPr>
                          <w:t>Accumulated</w:t>
                        </w:r>
                        <w:r>
                          <w:rPr>
                            <w:spacing w:val="1"/>
                            <w:sz w:val="14"/>
                          </w:rPr>
                          <w:t> </w:t>
                        </w:r>
                        <w:r>
                          <w:rPr>
                            <w:sz w:val="14"/>
                          </w:rPr>
                          <w:t>depreciation</w:t>
                          <w:tab/>
                          <w:t>-</w:t>
                        </w:r>
                      </w:p>
                    </w:tc>
                    <w:tc>
                      <w:tcPr>
                        <w:tcW w:w="994" w:type="dxa"/>
                        <w:tcBorders>
                          <w:bottom w:val="single" w:sz="0" w:space="0" w:color="000000"/>
                        </w:tcBorders>
                      </w:tcPr>
                      <w:p>
                        <w:pPr>
                          <w:pStyle w:val="TableParagraph"/>
                          <w:spacing w:before="21"/>
                          <w:ind w:right="125"/>
                          <w:rPr>
                            <w:sz w:val="14"/>
                          </w:rPr>
                        </w:pPr>
                        <w:r>
                          <w:rPr>
                            <w:w w:val="100"/>
                            <w:sz w:val="14"/>
                          </w:rPr>
                          <w:t>-</w:t>
                        </w:r>
                      </w:p>
                    </w:tc>
                    <w:tc>
                      <w:tcPr>
                        <w:tcW w:w="1069" w:type="dxa"/>
                        <w:tcBorders>
                          <w:bottom w:val="single" w:sz="0" w:space="0" w:color="000000"/>
                        </w:tcBorders>
                      </w:tcPr>
                      <w:p>
                        <w:pPr>
                          <w:pStyle w:val="TableParagraph"/>
                          <w:spacing w:before="21"/>
                          <w:ind w:right="145"/>
                          <w:rPr>
                            <w:sz w:val="14"/>
                          </w:rPr>
                        </w:pPr>
                        <w:r>
                          <w:rPr>
                            <w:w w:val="100"/>
                            <w:sz w:val="14"/>
                          </w:rPr>
                          <w:t>-</w:t>
                        </w:r>
                      </w:p>
                    </w:tc>
                    <w:tc>
                      <w:tcPr>
                        <w:tcW w:w="1004" w:type="dxa"/>
                        <w:tcBorders>
                          <w:bottom w:val="single" w:sz="0" w:space="0" w:color="000000"/>
                        </w:tcBorders>
                      </w:tcPr>
                      <w:p>
                        <w:pPr>
                          <w:pStyle w:val="TableParagraph"/>
                          <w:spacing w:before="21"/>
                          <w:ind w:right="53"/>
                          <w:rPr>
                            <w:sz w:val="14"/>
                          </w:rPr>
                        </w:pPr>
                        <w:r>
                          <w:rPr>
                            <w:sz w:val="14"/>
                          </w:rPr>
                          <w:t>(3,049)</w:t>
                        </w:r>
                      </w:p>
                    </w:tc>
                    <w:tc>
                      <w:tcPr>
                        <w:tcW w:w="1044" w:type="dxa"/>
                        <w:tcBorders>
                          <w:bottom w:val="single" w:sz="0" w:space="0" w:color="000000"/>
                        </w:tcBorders>
                      </w:tcPr>
                      <w:p>
                        <w:pPr>
                          <w:pStyle w:val="TableParagraph"/>
                          <w:spacing w:before="21"/>
                          <w:ind w:right="48"/>
                          <w:rPr>
                            <w:sz w:val="14"/>
                          </w:rPr>
                        </w:pPr>
                        <w:r>
                          <w:rPr>
                            <w:sz w:val="14"/>
                          </w:rPr>
                          <w:t>(1,799)</w:t>
                        </w:r>
                      </w:p>
                    </w:tc>
                    <w:tc>
                      <w:tcPr>
                        <w:tcW w:w="1141" w:type="dxa"/>
                        <w:tcBorders>
                          <w:bottom w:val="single" w:sz="0" w:space="0" w:color="000000"/>
                        </w:tcBorders>
                      </w:tcPr>
                      <w:p>
                        <w:pPr>
                          <w:pStyle w:val="TableParagraph"/>
                          <w:spacing w:before="21"/>
                          <w:ind w:right="100"/>
                          <w:rPr>
                            <w:sz w:val="14"/>
                          </w:rPr>
                        </w:pPr>
                        <w:r>
                          <w:rPr>
                            <w:sz w:val="14"/>
                          </w:rPr>
                          <w:t>(4,594)</w:t>
                        </w:r>
                      </w:p>
                    </w:tc>
                    <w:tc>
                      <w:tcPr>
                        <w:tcW w:w="1012" w:type="dxa"/>
                        <w:tcBorders>
                          <w:bottom w:val="single" w:sz="0" w:space="0" w:color="000000"/>
                        </w:tcBorders>
                      </w:tcPr>
                      <w:p>
                        <w:pPr>
                          <w:pStyle w:val="TableParagraph"/>
                          <w:spacing w:before="21"/>
                          <w:ind w:right="63"/>
                          <w:rPr>
                            <w:sz w:val="14"/>
                          </w:rPr>
                        </w:pPr>
                        <w:r>
                          <w:rPr>
                            <w:sz w:val="14"/>
                          </w:rPr>
                          <w:t>(71,576)</w:t>
                        </w:r>
                      </w:p>
                    </w:tc>
                    <w:tc>
                      <w:tcPr>
                        <w:tcW w:w="1182" w:type="dxa"/>
                        <w:tcBorders>
                          <w:bottom w:val="single" w:sz="0" w:space="0" w:color="000000"/>
                        </w:tcBorders>
                      </w:tcPr>
                      <w:p>
                        <w:pPr>
                          <w:pStyle w:val="TableParagraph"/>
                          <w:spacing w:before="21"/>
                          <w:ind w:right="111"/>
                          <w:rPr>
                            <w:sz w:val="14"/>
                          </w:rPr>
                        </w:pPr>
                        <w:r>
                          <w:rPr>
                            <w:sz w:val="14"/>
                          </w:rPr>
                          <w:t>(5,350)</w:t>
                        </w:r>
                      </w:p>
                    </w:tc>
                    <w:tc>
                      <w:tcPr>
                        <w:tcW w:w="1085" w:type="dxa"/>
                        <w:tcBorders>
                          <w:bottom w:val="single" w:sz="0" w:space="0" w:color="000000"/>
                        </w:tcBorders>
                      </w:tcPr>
                      <w:p>
                        <w:pPr>
                          <w:pStyle w:val="TableParagraph"/>
                          <w:spacing w:before="21"/>
                          <w:ind w:right="148"/>
                          <w:rPr>
                            <w:sz w:val="14"/>
                          </w:rPr>
                        </w:pPr>
                        <w:r>
                          <w:rPr>
                            <w:sz w:val="14"/>
                          </w:rPr>
                          <w:t>(74,691)</w:t>
                        </w:r>
                      </w:p>
                    </w:tc>
                    <w:tc>
                      <w:tcPr>
                        <w:tcW w:w="1087" w:type="dxa"/>
                        <w:tcBorders>
                          <w:bottom w:val="single" w:sz="0" w:space="0" w:color="000000"/>
                        </w:tcBorders>
                      </w:tcPr>
                      <w:p>
                        <w:pPr>
                          <w:pStyle w:val="TableParagraph"/>
                          <w:spacing w:before="21"/>
                          <w:ind w:right="233"/>
                          <w:rPr>
                            <w:sz w:val="14"/>
                          </w:rPr>
                        </w:pPr>
                        <w:r>
                          <w:rPr>
                            <w:w w:val="100"/>
                            <w:sz w:val="14"/>
                          </w:rPr>
                          <w:t>-</w:t>
                        </w:r>
                      </w:p>
                    </w:tc>
                    <w:tc>
                      <w:tcPr>
                        <w:tcW w:w="884" w:type="dxa"/>
                        <w:tcBorders>
                          <w:bottom w:val="single" w:sz="0" w:space="0" w:color="000000"/>
                        </w:tcBorders>
                      </w:tcPr>
                      <w:p>
                        <w:pPr>
                          <w:pStyle w:val="TableParagraph"/>
                          <w:spacing w:before="21"/>
                          <w:ind w:right="22"/>
                          <w:rPr>
                            <w:sz w:val="14"/>
                          </w:rPr>
                        </w:pPr>
                        <w:r>
                          <w:rPr>
                            <w:sz w:val="14"/>
                          </w:rPr>
                          <w:t>(161,059)</w:t>
                        </w:r>
                      </w:p>
                    </w:tc>
                  </w:tr>
                  <w:tr>
                    <w:trPr>
                      <w:trHeight w:val="308" w:hRule="exact"/>
                    </w:trPr>
                    <w:tc>
                      <w:tcPr>
                        <w:tcW w:w="3989" w:type="dxa"/>
                        <w:tcBorders>
                          <w:top w:val="single" w:sz="0" w:space="0" w:color="000000"/>
                          <w:bottom w:val="single" w:sz="0" w:space="0" w:color="000000"/>
                        </w:tcBorders>
                      </w:tcPr>
                      <w:p>
                        <w:pPr>
                          <w:pStyle w:val="TableParagraph"/>
                          <w:tabs>
                            <w:tab w:pos="3376" w:val="left" w:leader="none"/>
                          </w:tabs>
                          <w:spacing w:before="123"/>
                          <w:ind w:left="68"/>
                          <w:jc w:val="left"/>
                          <w:rPr>
                            <w:sz w:val="14"/>
                          </w:rPr>
                        </w:pPr>
                        <w:r>
                          <w:rPr>
                            <w:b/>
                            <w:sz w:val="14"/>
                          </w:rPr>
                          <w:t>Net</w:t>
                        </w:r>
                        <w:r>
                          <w:rPr>
                            <w:b/>
                            <w:spacing w:val="-4"/>
                            <w:sz w:val="14"/>
                          </w:rPr>
                          <w:t> </w:t>
                        </w:r>
                        <w:r>
                          <w:rPr>
                            <w:b/>
                            <w:sz w:val="14"/>
                          </w:rPr>
                          <w:t>Book</w:t>
                        </w:r>
                        <w:r>
                          <w:rPr>
                            <w:b/>
                            <w:spacing w:val="-4"/>
                            <w:sz w:val="14"/>
                          </w:rPr>
                          <w:t> </w:t>
                        </w:r>
                        <w:r>
                          <w:rPr>
                            <w:b/>
                            <w:sz w:val="14"/>
                          </w:rPr>
                          <w:t>Amount</w:t>
                          <w:tab/>
                        </w:r>
                        <w:r>
                          <w:rPr>
                            <w:sz w:val="14"/>
                          </w:rPr>
                          <w:t>58,778</w:t>
                        </w:r>
                      </w:p>
                    </w:tc>
                    <w:tc>
                      <w:tcPr>
                        <w:tcW w:w="994" w:type="dxa"/>
                        <w:tcBorders>
                          <w:top w:val="single" w:sz="0" w:space="0" w:color="000000"/>
                          <w:bottom w:val="single" w:sz="0" w:space="0" w:color="000000"/>
                        </w:tcBorders>
                      </w:tcPr>
                      <w:p>
                        <w:pPr>
                          <w:pStyle w:val="TableParagraph"/>
                          <w:spacing w:before="123"/>
                          <w:ind w:right="125"/>
                          <w:rPr>
                            <w:sz w:val="14"/>
                          </w:rPr>
                        </w:pPr>
                        <w:r>
                          <w:rPr>
                            <w:sz w:val="14"/>
                          </w:rPr>
                          <w:t>214,596</w:t>
                        </w:r>
                      </w:p>
                    </w:tc>
                    <w:tc>
                      <w:tcPr>
                        <w:tcW w:w="1069" w:type="dxa"/>
                        <w:tcBorders>
                          <w:top w:val="single" w:sz="0" w:space="0" w:color="000000"/>
                          <w:bottom w:val="single" w:sz="0" w:space="0" w:color="000000"/>
                        </w:tcBorders>
                      </w:tcPr>
                      <w:p>
                        <w:pPr>
                          <w:pStyle w:val="TableParagraph"/>
                          <w:spacing w:before="123"/>
                          <w:ind w:right="145"/>
                          <w:rPr>
                            <w:sz w:val="14"/>
                          </w:rPr>
                        </w:pPr>
                        <w:r>
                          <w:rPr>
                            <w:sz w:val="14"/>
                          </w:rPr>
                          <w:t>162,335</w:t>
                        </w:r>
                      </w:p>
                    </w:tc>
                    <w:tc>
                      <w:tcPr>
                        <w:tcW w:w="1004" w:type="dxa"/>
                        <w:tcBorders>
                          <w:top w:val="single" w:sz="0" w:space="0" w:color="000000"/>
                          <w:bottom w:val="single" w:sz="0" w:space="0" w:color="000000"/>
                        </w:tcBorders>
                      </w:tcPr>
                      <w:p>
                        <w:pPr>
                          <w:pStyle w:val="TableParagraph"/>
                          <w:spacing w:before="123"/>
                          <w:ind w:right="101"/>
                          <w:rPr>
                            <w:sz w:val="14"/>
                          </w:rPr>
                        </w:pPr>
                        <w:r>
                          <w:rPr>
                            <w:sz w:val="14"/>
                          </w:rPr>
                          <w:t>910,661</w:t>
                        </w:r>
                      </w:p>
                    </w:tc>
                    <w:tc>
                      <w:tcPr>
                        <w:tcW w:w="1044" w:type="dxa"/>
                        <w:tcBorders>
                          <w:top w:val="single" w:sz="0" w:space="0" w:color="000000"/>
                          <w:bottom w:val="single" w:sz="0" w:space="0" w:color="000000"/>
                        </w:tcBorders>
                      </w:tcPr>
                      <w:p>
                        <w:pPr>
                          <w:pStyle w:val="TableParagraph"/>
                          <w:spacing w:before="123"/>
                          <w:ind w:right="95"/>
                          <w:rPr>
                            <w:sz w:val="14"/>
                          </w:rPr>
                        </w:pPr>
                        <w:r>
                          <w:rPr>
                            <w:sz w:val="14"/>
                          </w:rPr>
                          <w:t>85,395</w:t>
                        </w:r>
                      </w:p>
                    </w:tc>
                    <w:tc>
                      <w:tcPr>
                        <w:tcW w:w="1141" w:type="dxa"/>
                        <w:tcBorders>
                          <w:top w:val="single" w:sz="0" w:space="0" w:color="000000"/>
                          <w:bottom w:val="single" w:sz="0" w:space="0" w:color="000000"/>
                        </w:tcBorders>
                      </w:tcPr>
                      <w:p>
                        <w:pPr>
                          <w:pStyle w:val="TableParagraph"/>
                          <w:spacing w:before="123"/>
                          <w:ind w:right="147"/>
                          <w:rPr>
                            <w:sz w:val="14"/>
                          </w:rPr>
                        </w:pPr>
                        <w:r>
                          <w:rPr>
                            <w:w w:val="100"/>
                            <w:sz w:val="14"/>
                          </w:rPr>
                          <w:t>-</w:t>
                        </w:r>
                      </w:p>
                    </w:tc>
                    <w:tc>
                      <w:tcPr>
                        <w:tcW w:w="1012" w:type="dxa"/>
                        <w:tcBorders>
                          <w:top w:val="single" w:sz="0" w:space="0" w:color="000000"/>
                          <w:bottom w:val="single" w:sz="0" w:space="0" w:color="000000"/>
                        </w:tcBorders>
                      </w:tcPr>
                      <w:p>
                        <w:pPr>
                          <w:pStyle w:val="TableParagraph"/>
                          <w:spacing w:before="123"/>
                          <w:ind w:right="110"/>
                          <w:rPr>
                            <w:sz w:val="14"/>
                          </w:rPr>
                        </w:pPr>
                        <w:r>
                          <w:rPr>
                            <w:sz w:val="14"/>
                          </w:rPr>
                          <w:t>59,895</w:t>
                        </w:r>
                      </w:p>
                    </w:tc>
                    <w:tc>
                      <w:tcPr>
                        <w:tcW w:w="1182" w:type="dxa"/>
                        <w:tcBorders>
                          <w:top w:val="single" w:sz="0" w:space="0" w:color="000000"/>
                          <w:bottom w:val="single" w:sz="0" w:space="0" w:color="000000"/>
                        </w:tcBorders>
                      </w:tcPr>
                      <w:p>
                        <w:pPr>
                          <w:pStyle w:val="TableParagraph"/>
                          <w:spacing w:before="123"/>
                          <w:ind w:right="158"/>
                          <w:rPr>
                            <w:sz w:val="14"/>
                          </w:rPr>
                        </w:pPr>
                        <w:r>
                          <w:rPr>
                            <w:sz w:val="14"/>
                          </w:rPr>
                          <w:t>13,062</w:t>
                        </w:r>
                      </w:p>
                    </w:tc>
                    <w:tc>
                      <w:tcPr>
                        <w:tcW w:w="1085" w:type="dxa"/>
                        <w:tcBorders>
                          <w:top w:val="single" w:sz="0" w:space="0" w:color="000000"/>
                          <w:bottom w:val="single" w:sz="0" w:space="0" w:color="000000"/>
                        </w:tcBorders>
                      </w:tcPr>
                      <w:p>
                        <w:pPr>
                          <w:pStyle w:val="TableParagraph"/>
                          <w:spacing w:before="123"/>
                          <w:ind w:right="195"/>
                          <w:rPr>
                            <w:sz w:val="14"/>
                          </w:rPr>
                        </w:pPr>
                        <w:r>
                          <w:rPr>
                            <w:sz w:val="14"/>
                          </w:rPr>
                          <w:t>8,894</w:t>
                        </w:r>
                      </w:p>
                    </w:tc>
                    <w:tc>
                      <w:tcPr>
                        <w:tcW w:w="1087" w:type="dxa"/>
                        <w:tcBorders>
                          <w:top w:val="single" w:sz="0" w:space="0" w:color="000000"/>
                          <w:bottom w:val="single" w:sz="0" w:space="0" w:color="000000"/>
                        </w:tcBorders>
                      </w:tcPr>
                      <w:p>
                        <w:pPr>
                          <w:pStyle w:val="TableParagraph"/>
                          <w:spacing w:before="123"/>
                          <w:ind w:right="233"/>
                          <w:rPr>
                            <w:sz w:val="14"/>
                          </w:rPr>
                        </w:pPr>
                        <w:r>
                          <w:rPr>
                            <w:sz w:val="14"/>
                          </w:rPr>
                          <w:t>3,140</w:t>
                        </w:r>
                      </w:p>
                    </w:tc>
                    <w:tc>
                      <w:tcPr>
                        <w:tcW w:w="884" w:type="dxa"/>
                        <w:tcBorders>
                          <w:top w:val="single" w:sz="0" w:space="0" w:color="000000"/>
                          <w:bottom w:val="single" w:sz="0" w:space="0" w:color="000000"/>
                        </w:tcBorders>
                      </w:tcPr>
                      <w:p>
                        <w:pPr>
                          <w:pStyle w:val="TableParagraph"/>
                          <w:spacing w:before="123"/>
                          <w:ind w:right="68"/>
                          <w:rPr>
                            <w:sz w:val="14"/>
                          </w:rPr>
                        </w:pPr>
                        <w:r>
                          <w:rPr>
                            <w:sz w:val="14"/>
                          </w:rPr>
                          <w:t>1,516,756</w:t>
                        </w:r>
                      </w:p>
                    </w:tc>
                  </w:tr>
                </w:tbl>
                <w:p>
                  <w:pPr>
                    <w:pStyle w:val="BodyText"/>
                  </w:pPr>
                </w:p>
              </w:txbxContent>
            </v:textbox>
          </v:shape>
        </w:pict>
      </w:r>
      <w:r>
        <w:rPr>
          <w:rFonts w:ascii="Times New Roman"/>
          <w:sz w:val="20"/>
        </w:rPr>
      </w:r>
      <w:r>
        <w:rPr>
          <w:rFonts w:ascii="Times New Roman"/>
          <w:sz w:val="20"/>
        </w:rPr>
        <w:tab/>
      </w:r>
      <w:r>
        <w:rPr>
          <w:rFonts w:ascii="Times New Roman"/>
          <w:position w:val="317"/>
          <w:sz w:val="20"/>
        </w:rPr>
        <w:drawing>
          <wp:inline distT="0" distB="0" distL="0" distR="0">
            <wp:extent cx="154019" cy="154019"/>
            <wp:effectExtent l="0" t="0" r="0" b="0"/>
            <wp:docPr id="225" name="image25.png" descr=""/>
            <wp:cNvGraphicFramePr>
              <a:graphicFrameLocks noChangeAspect="1"/>
            </wp:cNvGraphicFramePr>
            <a:graphic>
              <a:graphicData uri="http://schemas.openxmlformats.org/drawingml/2006/picture">
                <pic:pic>
                  <pic:nvPicPr>
                    <pic:cNvPr id="226" name="image25.png"/>
                    <pic:cNvPicPr/>
                  </pic:nvPicPr>
                  <pic:blipFill>
                    <a:blip r:embed="rId41" cstate="print"/>
                    <a:stretch>
                      <a:fillRect/>
                    </a:stretch>
                  </pic:blipFill>
                  <pic:spPr>
                    <a:xfrm>
                      <a:off x="0" y="0"/>
                      <a:ext cx="154019" cy="154019"/>
                    </a:xfrm>
                    <a:prstGeom prst="rect">
                      <a:avLst/>
                    </a:prstGeom>
                  </pic:spPr>
                </pic:pic>
              </a:graphicData>
            </a:graphic>
          </wp:inline>
        </w:drawing>
      </w:r>
      <w:r>
        <w:rPr>
          <w:rFonts w:ascii="Times New Roman"/>
          <w:position w:val="317"/>
          <w:sz w:val="20"/>
        </w:rPr>
      </w:r>
    </w:p>
    <w:p>
      <w:pPr>
        <w:spacing w:after="0" w:line="240" w:lineRule="auto"/>
        <w:rPr>
          <w:rFonts w:ascii="Times New Roman"/>
          <w:sz w:val="20"/>
        </w:rPr>
        <w:sectPr>
          <w:pgSz w:w="16840" w:h="11910" w:orient="landscape"/>
          <w:pgMar w:header="38" w:footer="507" w:top="2220" w:bottom="700" w:left="0" w:right="0"/>
        </w:sectPr>
      </w:pPr>
    </w:p>
    <w:p>
      <w:pPr>
        <w:pStyle w:val="BodyText"/>
        <w:rPr>
          <w:rFonts w:ascii="Times New Roman"/>
          <w:sz w:val="20"/>
        </w:rPr>
      </w:pPr>
    </w:p>
    <w:p>
      <w:pPr>
        <w:pStyle w:val="BodyText"/>
        <w:rPr>
          <w:rFonts w:ascii="Times New Roman"/>
          <w:sz w:val="20"/>
        </w:rPr>
      </w:pPr>
    </w:p>
    <w:p>
      <w:pPr>
        <w:pStyle w:val="BodyText"/>
        <w:spacing w:before="8"/>
        <w:rPr>
          <w:rFonts w:ascii="Times New Roman"/>
          <w:sz w:val="11"/>
        </w:rPr>
      </w:pPr>
    </w:p>
    <w:p>
      <w:pPr>
        <w:tabs>
          <w:tab w:pos="1369" w:val="left" w:leader="none"/>
          <w:tab w:pos="16525" w:val="left" w:leader="none"/>
        </w:tabs>
        <w:spacing w:line="240" w:lineRule="auto"/>
        <w:ind w:left="67" w:right="0" w:firstLine="0"/>
        <w:rPr>
          <w:rFonts w:ascii="Times New Roman"/>
          <w:sz w:val="20"/>
        </w:rPr>
      </w:pPr>
      <w:r>
        <w:rPr>
          <w:rFonts w:ascii="Times New Roman"/>
          <w:position w:val="182"/>
          <w:sz w:val="20"/>
        </w:rPr>
        <w:drawing>
          <wp:inline distT="0" distB="0" distL="0" distR="0">
            <wp:extent cx="154019" cy="154019"/>
            <wp:effectExtent l="0" t="0" r="0" b="0"/>
            <wp:docPr id="227" name="image25.png" descr=""/>
            <wp:cNvGraphicFramePr>
              <a:graphicFrameLocks noChangeAspect="1"/>
            </wp:cNvGraphicFramePr>
            <a:graphic>
              <a:graphicData uri="http://schemas.openxmlformats.org/drawingml/2006/picture">
                <pic:pic>
                  <pic:nvPicPr>
                    <pic:cNvPr id="228" name="image25.png"/>
                    <pic:cNvPicPr/>
                  </pic:nvPicPr>
                  <pic:blipFill>
                    <a:blip r:embed="rId41" cstate="print"/>
                    <a:stretch>
                      <a:fillRect/>
                    </a:stretch>
                  </pic:blipFill>
                  <pic:spPr>
                    <a:xfrm>
                      <a:off x="0" y="0"/>
                      <a:ext cx="154019" cy="154019"/>
                    </a:xfrm>
                    <a:prstGeom prst="rect">
                      <a:avLst/>
                    </a:prstGeom>
                  </pic:spPr>
                </pic:pic>
              </a:graphicData>
            </a:graphic>
          </wp:inline>
        </w:drawing>
      </w:r>
      <w:r>
        <w:rPr>
          <w:rFonts w:ascii="Times New Roman"/>
          <w:position w:val="182"/>
          <w:sz w:val="20"/>
        </w:rPr>
      </w:r>
      <w:r>
        <w:rPr>
          <w:rFonts w:ascii="Times New Roman"/>
          <w:position w:val="182"/>
          <w:sz w:val="20"/>
        </w:rPr>
        <w:tab/>
      </w:r>
      <w:r>
        <w:rPr>
          <w:rFonts w:ascii="Times New Roman"/>
          <w:sz w:val="20"/>
        </w:rPr>
        <w:pict>
          <v:shape style="width:724.45pt;height:253.35pt;mso-position-horizontal-relative:char;mso-position-vertical-relative:line" type="#_x0000_t202" filled="false" stroked="false">
            <w10:anchorlock/>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989"/>
                    <w:gridCol w:w="994"/>
                    <w:gridCol w:w="1069"/>
                    <w:gridCol w:w="1004"/>
                    <w:gridCol w:w="1044"/>
                    <w:gridCol w:w="1141"/>
                    <w:gridCol w:w="1012"/>
                    <w:gridCol w:w="1182"/>
                    <w:gridCol w:w="1085"/>
                    <w:gridCol w:w="1063"/>
                    <w:gridCol w:w="908"/>
                  </w:tblGrid>
                  <w:tr>
                    <w:trPr>
                      <w:trHeight w:val="485" w:hRule="exact"/>
                    </w:trPr>
                    <w:tc>
                      <w:tcPr>
                        <w:tcW w:w="4983" w:type="dxa"/>
                        <w:gridSpan w:val="2"/>
                      </w:tcPr>
                      <w:p>
                        <w:pPr>
                          <w:pStyle w:val="TableParagraph"/>
                          <w:tabs>
                            <w:tab w:pos="602" w:val="left" w:leader="none"/>
                          </w:tabs>
                          <w:spacing w:before="77"/>
                          <w:ind w:left="35"/>
                          <w:jc w:val="left"/>
                          <w:rPr>
                            <w:b/>
                            <w:sz w:val="18"/>
                          </w:rPr>
                        </w:pPr>
                        <w:r>
                          <w:rPr>
                            <w:b/>
                            <w:sz w:val="18"/>
                          </w:rPr>
                          <w:t>21</w:t>
                          <w:tab/>
                          <w:t>Property, plant and equipment (continued)</w:t>
                        </w:r>
                      </w:p>
                    </w:tc>
                    <w:tc>
                      <w:tcPr>
                        <w:tcW w:w="1069" w:type="dxa"/>
                      </w:tcPr>
                      <w:p>
                        <w:pPr/>
                      </w:p>
                    </w:tc>
                    <w:tc>
                      <w:tcPr>
                        <w:tcW w:w="1004" w:type="dxa"/>
                      </w:tcPr>
                      <w:p>
                        <w:pPr/>
                      </w:p>
                    </w:tc>
                    <w:tc>
                      <w:tcPr>
                        <w:tcW w:w="1044" w:type="dxa"/>
                      </w:tcPr>
                      <w:p>
                        <w:pPr/>
                      </w:p>
                    </w:tc>
                    <w:tc>
                      <w:tcPr>
                        <w:tcW w:w="1141" w:type="dxa"/>
                      </w:tcPr>
                      <w:p>
                        <w:pPr>
                          <w:pStyle w:val="TableParagraph"/>
                          <w:jc w:val="left"/>
                          <w:rPr>
                            <w:rFonts w:ascii="Times New Roman"/>
                            <w:sz w:val="14"/>
                          </w:rPr>
                        </w:pPr>
                      </w:p>
                      <w:p>
                        <w:pPr>
                          <w:pStyle w:val="TableParagraph"/>
                          <w:spacing w:before="6"/>
                          <w:jc w:val="left"/>
                          <w:rPr>
                            <w:rFonts w:ascii="Times New Roman"/>
                            <w:sz w:val="13"/>
                          </w:rPr>
                        </w:pPr>
                      </w:p>
                      <w:p>
                        <w:pPr>
                          <w:pStyle w:val="TableParagraph"/>
                          <w:spacing w:before="1"/>
                          <w:ind w:left="194" w:right="98"/>
                          <w:jc w:val="left"/>
                          <w:rPr>
                            <w:b/>
                            <w:sz w:val="14"/>
                          </w:rPr>
                        </w:pPr>
                        <w:r>
                          <w:rPr>
                            <w:b/>
                            <w:sz w:val="14"/>
                          </w:rPr>
                          <w:t>Buildings-</w:t>
                        </w:r>
                      </w:p>
                    </w:tc>
                    <w:tc>
                      <w:tcPr>
                        <w:tcW w:w="5249" w:type="dxa"/>
                        <w:gridSpan w:val="5"/>
                      </w:tcPr>
                      <w:p>
                        <w:pPr/>
                      </w:p>
                    </w:tc>
                  </w:tr>
                  <w:tr>
                    <w:trPr>
                      <w:trHeight w:val="161" w:hRule="exact"/>
                    </w:trPr>
                    <w:tc>
                      <w:tcPr>
                        <w:tcW w:w="3989" w:type="dxa"/>
                      </w:tcPr>
                      <w:p>
                        <w:pPr>
                          <w:pStyle w:val="TableParagraph"/>
                          <w:spacing w:line="154" w:lineRule="exact"/>
                          <w:ind w:right="179"/>
                          <w:rPr>
                            <w:b/>
                            <w:sz w:val="14"/>
                          </w:rPr>
                        </w:pPr>
                        <w:r>
                          <w:rPr>
                            <w:b/>
                            <w:sz w:val="14"/>
                          </w:rPr>
                          <w:t>Construction</w:t>
                        </w:r>
                      </w:p>
                    </w:tc>
                    <w:tc>
                      <w:tcPr>
                        <w:tcW w:w="994" w:type="dxa"/>
                      </w:tcPr>
                      <w:p>
                        <w:pPr>
                          <w:pStyle w:val="TableParagraph"/>
                          <w:spacing w:line="154" w:lineRule="exact"/>
                          <w:ind w:left="135"/>
                          <w:jc w:val="left"/>
                          <w:rPr>
                            <w:b/>
                            <w:sz w:val="14"/>
                          </w:rPr>
                        </w:pPr>
                        <w:r>
                          <w:rPr>
                            <w:b/>
                            <w:sz w:val="14"/>
                          </w:rPr>
                          <w:t>Freehold</w:t>
                        </w:r>
                      </w:p>
                    </w:tc>
                    <w:tc>
                      <w:tcPr>
                        <w:tcW w:w="1069" w:type="dxa"/>
                      </w:tcPr>
                      <w:p>
                        <w:pPr/>
                      </w:p>
                    </w:tc>
                    <w:tc>
                      <w:tcPr>
                        <w:tcW w:w="1004" w:type="dxa"/>
                      </w:tcPr>
                      <w:p>
                        <w:pPr/>
                      </w:p>
                    </w:tc>
                    <w:tc>
                      <w:tcPr>
                        <w:tcW w:w="1044" w:type="dxa"/>
                      </w:tcPr>
                      <w:p>
                        <w:pPr/>
                      </w:p>
                    </w:tc>
                    <w:tc>
                      <w:tcPr>
                        <w:tcW w:w="1141" w:type="dxa"/>
                      </w:tcPr>
                      <w:p>
                        <w:pPr>
                          <w:pStyle w:val="TableParagraph"/>
                          <w:spacing w:line="154" w:lineRule="exact"/>
                          <w:ind w:right="114"/>
                          <w:rPr>
                            <w:b/>
                            <w:sz w:val="14"/>
                          </w:rPr>
                        </w:pPr>
                        <w:r>
                          <w:rPr>
                            <w:b/>
                            <w:sz w:val="14"/>
                          </w:rPr>
                          <w:t>Under Finance</w:t>
                        </w:r>
                      </w:p>
                    </w:tc>
                    <w:tc>
                      <w:tcPr>
                        <w:tcW w:w="1012" w:type="dxa"/>
                      </w:tcPr>
                      <w:p>
                        <w:pPr>
                          <w:pStyle w:val="TableParagraph"/>
                          <w:spacing w:line="154" w:lineRule="exact"/>
                          <w:ind w:left="148" w:right="166"/>
                          <w:jc w:val="left"/>
                          <w:rPr>
                            <w:b/>
                            <w:sz w:val="14"/>
                          </w:rPr>
                        </w:pPr>
                        <w:r>
                          <w:rPr>
                            <w:b/>
                            <w:sz w:val="14"/>
                          </w:rPr>
                          <w:t>Plant and</w:t>
                        </w:r>
                      </w:p>
                    </w:tc>
                    <w:tc>
                      <w:tcPr>
                        <w:tcW w:w="1182" w:type="dxa"/>
                      </w:tcPr>
                      <w:p>
                        <w:pPr>
                          <w:pStyle w:val="TableParagraph"/>
                          <w:spacing w:line="154" w:lineRule="exact"/>
                          <w:ind w:left="198" w:right="140"/>
                          <w:jc w:val="left"/>
                          <w:rPr>
                            <w:b/>
                            <w:sz w:val="14"/>
                          </w:rPr>
                        </w:pPr>
                        <w:r>
                          <w:rPr>
                            <w:b/>
                            <w:sz w:val="14"/>
                          </w:rPr>
                          <w:t>Leasehold</w:t>
                        </w:r>
                      </w:p>
                    </w:tc>
                    <w:tc>
                      <w:tcPr>
                        <w:tcW w:w="1085" w:type="dxa"/>
                      </w:tcPr>
                      <w:p>
                        <w:pPr>
                          <w:pStyle w:val="TableParagraph"/>
                          <w:spacing w:line="154" w:lineRule="exact"/>
                          <w:ind w:left="216" w:right="275"/>
                          <w:jc w:val="left"/>
                          <w:rPr>
                            <w:b/>
                            <w:sz w:val="14"/>
                          </w:rPr>
                        </w:pPr>
                        <w:r>
                          <w:rPr>
                            <w:b/>
                            <w:sz w:val="14"/>
                          </w:rPr>
                          <w:t>Library</w:t>
                        </w:r>
                      </w:p>
                    </w:tc>
                    <w:tc>
                      <w:tcPr>
                        <w:tcW w:w="1063" w:type="dxa"/>
                      </w:tcPr>
                      <w:p>
                        <w:pPr/>
                      </w:p>
                    </w:tc>
                    <w:tc>
                      <w:tcPr>
                        <w:tcW w:w="908" w:type="dxa"/>
                      </w:tcPr>
                      <w:p>
                        <w:pPr/>
                      </w:p>
                    </w:tc>
                  </w:tr>
                  <w:tr>
                    <w:trPr>
                      <w:trHeight w:val="194" w:hRule="exact"/>
                    </w:trPr>
                    <w:tc>
                      <w:tcPr>
                        <w:tcW w:w="3989" w:type="dxa"/>
                      </w:tcPr>
                      <w:p>
                        <w:pPr>
                          <w:pStyle w:val="TableParagraph"/>
                          <w:spacing w:line="154" w:lineRule="exact"/>
                          <w:ind w:right="229"/>
                          <w:rPr>
                            <w:b/>
                            <w:sz w:val="14"/>
                          </w:rPr>
                        </w:pPr>
                        <w:r>
                          <w:rPr>
                            <w:b/>
                            <w:sz w:val="14"/>
                          </w:rPr>
                          <w:t>in Progress</w:t>
                        </w:r>
                      </w:p>
                    </w:tc>
                    <w:tc>
                      <w:tcPr>
                        <w:tcW w:w="994" w:type="dxa"/>
                      </w:tcPr>
                      <w:p>
                        <w:pPr>
                          <w:pStyle w:val="TableParagraph"/>
                          <w:spacing w:line="154" w:lineRule="exact"/>
                          <w:ind w:left="264"/>
                          <w:jc w:val="left"/>
                          <w:rPr>
                            <w:b/>
                            <w:sz w:val="14"/>
                          </w:rPr>
                        </w:pPr>
                        <w:r>
                          <w:rPr>
                            <w:b/>
                            <w:sz w:val="14"/>
                          </w:rPr>
                          <w:t>Land</w:t>
                        </w:r>
                      </w:p>
                    </w:tc>
                    <w:tc>
                      <w:tcPr>
                        <w:tcW w:w="1069" w:type="dxa"/>
                      </w:tcPr>
                      <w:p>
                        <w:pPr>
                          <w:pStyle w:val="TableParagraph"/>
                          <w:spacing w:line="154" w:lineRule="exact"/>
                          <w:ind w:right="173"/>
                          <w:rPr>
                            <w:b/>
                            <w:sz w:val="14"/>
                          </w:rPr>
                        </w:pPr>
                        <w:r>
                          <w:rPr>
                            <w:b/>
                            <w:sz w:val="14"/>
                          </w:rPr>
                          <w:t>Crown Land</w:t>
                        </w:r>
                      </w:p>
                    </w:tc>
                    <w:tc>
                      <w:tcPr>
                        <w:tcW w:w="1004" w:type="dxa"/>
                      </w:tcPr>
                      <w:p>
                        <w:pPr>
                          <w:pStyle w:val="TableParagraph"/>
                          <w:spacing w:line="154" w:lineRule="exact"/>
                          <w:ind w:left="147"/>
                          <w:jc w:val="left"/>
                          <w:rPr>
                            <w:b/>
                            <w:sz w:val="14"/>
                          </w:rPr>
                        </w:pPr>
                        <w:r>
                          <w:rPr>
                            <w:b/>
                            <w:sz w:val="14"/>
                          </w:rPr>
                          <w:t>Buildings</w:t>
                        </w:r>
                      </w:p>
                    </w:tc>
                    <w:tc>
                      <w:tcPr>
                        <w:tcW w:w="1044" w:type="dxa"/>
                      </w:tcPr>
                      <w:p>
                        <w:pPr>
                          <w:pStyle w:val="TableParagraph"/>
                          <w:spacing w:line="154" w:lineRule="exact"/>
                          <w:ind w:right="73"/>
                          <w:rPr>
                            <w:b/>
                            <w:sz w:val="14"/>
                          </w:rPr>
                        </w:pPr>
                        <w:r>
                          <w:rPr>
                            <w:b/>
                            <w:sz w:val="14"/>
                          </w:rPr>
                          <w:t>Infrastructure</w:t>
                        </w:r>
                      </w:p>
                    </w:tc>
                    <w:tc>
                      <w:tcPr>
                        <w:tcW w:w="1141" w:type="dxa"/>
                      </w:tcPr>
                      <w:p>
                        <w:pPr>
                          <w:pStyle w:val="TableParagraph"/>
                          <w:spacing w:line="154" w:lineRule="exact"/>
                          <w:ind w:left="338" w:right="98"/>
                          <w:jc w:val="left"/>
                          <w:rPr>
                            <w:b/>
                            <w:sz w:val="14"/>
                          </w:rPr>
                        </w:pPr>
                        <w:r>
                          <w:rPr>
                            <w:b/>
                            <w:sz w:val="14"/>
                          </w:rPr>
                          <w:t>Lease</w:t>
                        </w:r>
                      </w:p>
                    </w:tc>
                    <w:tc>
                      <w:tcPr>
                        <w:tcW w:w="1012" w:type="dxa"/>
                      </w:tcPr>
                      <w:p>
                        <w:pPr>
                          <w:pStyle w:val="TableParagraph"/>
                          <w:spacing w:line="154" w:lineRule="exact"/>
                          <w:ind w:left="102"/>
                          <w:jc w:val="left"/>
                          <w:rPr>
                            <w:b/>
                            <w:sz w:val="14"/>
                          </w:rPr>
                        </w:pPr>
                        <w:r>
                          <w:rPr>
                            <w:b/>
                            <w:sz w:val="14"/>
                          </w:rPr>
                          <w:t>Equipment</w:t>
                        </w:r>
                      </w:p>
                    </w:tc>
                    <w:tc>
                      <w:tcPr>
                        <w:tcW w:w="1182" w:type="dxa"/>
                      </w:tcPr>
                      <w:p>
                        <w:pPr>
                          <w:pStyle w:val="TableParagraph"/>
                          <w:spacing w:line="154" w:lineRule="exact"/>
                          <w:ind w:right="157"/>
                          <w:rPr>
                            <w:b/>
                            <w:sz w:val="14"/>
                          </w:rPr>
                        </w:pPr>
                        <w:r>
                          <w:rPr>
                            <w:b/>
                            <w:sz w:val="14"/>
                          </w:rPr>
                          <w:t>Improvements</w:t>
                        </w:r>
                      </w:p>
                    </w:tc>
                    <w:tc>
                      <w:tcPr>
                        <w:tcW w:w="1085" w:type="dxa"/>
                      </w:tcPr>
                      <w:p>
                        <w:pPr>
                          <w:pStyle w:val="TableParagraph"/>
                          <w:spacing w:line="154" w:lineRule="exact"/>
                          <w:ind w:left="113"/>
                          <w:jc w:val="left"/>
                          <w:rPr>
                            <w:b/>
                            <w:sz w:val="14"/>
                          </w:rPr>
                        </w:pPr>
                        <w:r>
                          <w:rPr>
                            <w:b/>
                            <w:sz w:val="14"/>
                          </w:rPr>
                          <w:t>Collection</w:t>
                        </w:r>
                      </w:p>
                    </w:tc>
                    <w:tc>
                      <w:tcPr>
                        <w:tcW w:w="1063" w:type="dxa"/>
                      </w:tcPr>
                      <w:p>
                        <w:pPr>
                          <w:pStyle w:val="TableParagraph"/>
                          <w:spacing w:line="154" w:lineRule="exact"/>
                          <w:ind w:left="150"/>
                          <w:jc w:val="left"/>
                          <w:rPr>
                            <w:b/>
                            <w:sz w:val="14"/>
                          </w:rPr>
                        </w:pPr>
                        <w:r>
                          <w:rPr>
                            <w:b/>
                            <w:sz w:val="14"/>
                          </w:rPr>
                          <w:t>Artwork</w:t>
                        </w:r>
                      </w:p>
                    </w:tc>
                    <w:tc>
                      <w:tcPr>
                        <w:tcW w:w="908" w:type="dxa"/>
                      </w:tcPr>
                      <w:p>
                        <w:pPr>
                          <w:pStyle w:val="TableParagraph"/>
                          <w:spacing w:line="154" w:lineRule="exact"/>
                          <w:ind w:left="234"/>
                          <w:jc w:val="left"/>
                          <w:rPr>
                            <w:b/>
                            <w:sz w:val="14"/>
                          </w:rPr>
                        </w:pPr>
                        <w:r>
                          <w:rPr>
                            <w:b/>
                            <w:sz w:val="14"/>
                          </w:rPr>
                          <w:t>Total</w:t>
                        </w:r>
                      </w:p>
                    </w:tc>
                  </w:tr>
                  <w:tr>
                    <w:trPr>
                      <w:trHeight w:val="211" w:hRule="exact"/>
                    </w:trPr>
                    <w:tc>
                      <w:tcPr>
                        <w:tcW w:w="3989" w:type="dxa"/>
                      </w:tcPr>
                      <w:p>
                        <w:pPr>
                          <w:pStyle w:val="TableParagraph"/>
                          <w:tabs>
                            <w:tab w:pos="3198" w:val="left" w:leader="none"/>
                          </w:tabs>
                          <w:spacing w:before="26"/>
                          <w:ind w:left="68"/>
                          <w:jc w:val="left"/>
                          <w:rPr>
                            <w:b/>
                            <w:sz w:val="14"/>
                          </w:rPr>
                        </w:pPr>
                        <w:r>
                          <w:rPr>
                            <w:b/>
                            <w:sz w:val="14"/>
                          </w:rPr>
                          <w:t>Parent</w:t>
                          <w:tab/>
                          <w:t>$'000</w:t>
                        </w:r>
                      </w:p>
                    </w:tc>
                    <w:tc>
                      <w:tcPr>
                        <w:tcW w:w="994" w:type="dxa"/>
                      </w:tcPr>
                      <w:p>
                        <w:pPr>
                          <w:pStyle w:val="TableParagraph"/>
                          <w:spacing w:before="26"/>
                          <w:ind w:left="258"/>
                          <w:jc w:val="left"/>
                          <w:rPr>
                            <w:b/>
                            <w:sz w:val="14"/>
                          </w:rPr>
                        </w:pPr>
                        <w:r>
                          <w:rPr>
                            <w:b/>
                            <w:sz w:val="14"/>
                          </w:rPr>
                          <w:t>$'000</w:t>
                        </w:r>
                      </w:p>
                    </w:tc>
                    <w:tc>
                      <w:tcPr>
                        <w:tcW w:w="1069" w:type="dxa"/>
                      </w:tcPr>
                      <w:p>
                        <w:pPr>
                          <w:pStyle w:val="TableParagraph"/>
                          <w:spacing w:before="26"/>
                          <w:ind w:left="313"/>
                          <w:jc w:val="left"/>
                          <w:rPr>
                            <w:b/>
                            <w:sz w:val="14"/>
                          </w:rPr>
                        </w:pPr>
                        <w:r>
                          <w:rPr>
                            <w:b/>
                            <w:sz w:val="14"/>
                          </w:rPr>
                          <w:t>$'000</w:t>
                        </w:r>
                      </w:p>
                    </w:tc>
                    <w:tc>
                      <w:tcPr>
                        <w:tcW w:w="1004" w:type="dxa"/>
                      </w:tcPr>
                      <w:p>
                        <w:pPr>
                          <w:pStyle w:val="TableParagraph"/>
                          <w:spacing w:before="26"/>
                          <w:ind w:left="293"/>
                          <w:jc w:val="left"/>
                          <w:rPr>
                            <w:b/>
                            <w:sz w:val="14"/>
                          </w:rPr>
                        </w:pPr>
                        <w:r>
                          <w:rPr>
                            <w:b/>
                            <w:sz w:val="14"/>
                          </w:rPr>
                          <w:t>$'000</w:t>
                        </w:r>
                      </w:p>
                    </w:tc>
                    <w:tc>
                      <w:tcPr>
                        <w:tcW w:w="1044" w:type="dxa"/>
                      </w:tcPr>
                      <w:p>
                        <w:pPr>
                          <w:pStyle w:val="TableParagraph"/>
                          <w:spacing w:before="26"/>
                          <w:ind w:left="338"/>
                          <w:jc w:val="left"/>
                          <w:rPr>
                            <w:b/>
                            <w:sz w:val="14"/>
                          </w:rPr>
                        </w:pPr>
                        <w:r>
                          <w:rPr>
                            <w:b/>
                            <w:sz w:val="14"/>
                          </w:rPr>
                          <w:t>$'000</w:t>
                        </w:r>
                      </w:p>
                    </w:tc>
                    <w:tc>
                      <w:tcPr>
                        <w:tcW w:w="1141" w:type="dxa"/>
                      </w:tcPr>
                      <w:p>
                        <w:pPr>
                          <w:pStyle w:val="TableParagraph"/>
                          <w:spacing w:before="26"/>
                          <w:ind w:left="363" w:right="98"/>
                          <w:jc w:val="left"/>
                          <w:rPr>
                            <w:b/>
                            <w:sz w:val="14"/>
                          </w:rPr>
                        </w:pPr>
                        <w:r>
                          <w:rPr>
                            <w:b/>
                            <w:sz w:val="14"/>
                          </w:rPr>
                          <w:t>$'000</w:t>
                        </w:r>
                      </w:p>
                    </w:tc>
                    <w:tc>
                      <w:tcPr>
                        <w:tcW w:w="1012" w:type="dxa"/>
                      </w:tcPr>
                      <w:p>
                        <w:pPr>
                          <w:pStyle w:val="TableParagraph"/>
                          <w:spacing w:before="26"/>
                          <w:ind w:left="291" w:right="166"/>
                          <w:jc w:val="left"/>
                          <w:rPr>
                            <w:b/>
                            <w:sz w:val="14"/>
                          </w:rPr>
                        </w:pPr>
                        <w:r>
                          <w:rPr>
                            <w:b/>
                            <w:sz w:val="14"/>
                          </w:rPr>
                          <w:t>$'000</w:t>
                        </w:r>
                      </w:p>
                    </w:tc>
                    <w:tc>
                      <w:tcPr>
                        <w:tcW w:w="1182" w:type="dxa"/>
                      </w:tcPr>
                      <w:p>
                        <w:pPr>
                          <w:pStyle w:val="TableParagraph"/>
                          <w:spacing w:before="26"/>
                          <w:ind w:left="371" w:right="140"/>
                          <w:jc w:val="left"/>
                          <w:rPr>
                            <w:b/>
                            <w:sz w:val="14"/>
                          </w:rPr>
                        </w:pPr>
                        <w:r>
                          <w:rPr>
                            <w:b/>
                            <w:sz w:val="14"/>
                          </w:rPr>
                          <w:t>$'000</w:t>
                        </w:r>
                      </w:p>
                    </w:tc>
                    <w:tc>
                      <w:tcPr>
                        <w:tcW w:w="1085" w:type="dxa"/>
                      </w:tcPr>
                      <w:p>
                        <w:pPr>
                          <w:pStyle w:val="TableParagraph"/>
                          <w:spacing w:before="26"/>
                          <w:ind w:left="279" w:right="275"/>
                          <w:jc w:val="left"/>
                          <w:rPr>
                            <w:b/>
                            <w:sz w:val="14"/>
                          </w:rPr>
                        </w:pPr>
                        <w:r>
                          <w:rPr>
                            <w:b/>
                            <w:sz w:val="14"/>
                          </w:rPr>
                          <w:t>$'000</w:t>
                        </w:r>
                      </w:p>
                    </w:tc>
                    <w:tc>
                      <w:tcPr>
                        <w:tcW w:w="1063" w:type="dxa"/>
                      </w:tcPr>
                      <w:p>
                        <w:pPr>
                          <w:pStyle w:val="TableParagraph"/>
                          <w:spacing w:before="26"/>
                          <w:ind w:left="243"/>
                          <w:jc w:val="left"/>
                          <w:rPr>
                            <w:b/>
                            <w:sz w:val="14"/>
                          </w:rPr>
                        </w:pPr>
                        <w:r>
                          <w:rPr>
                            <w:b/>
                            <w:sz w:val="14"/>
                          </w:rPr>
                          <w:t>$'000</w:t>
                        </w:r>
                      </w:p>
                    </w:tc>
                    <w:tc>
                      <w:tcPr>
                        <w:tcW w:w="908" w:type="dxa"/>
                      </w:tcPr>
                      <w:p>
                        <w:pPr>
                          <w:pStyle w:val="TableParagraph"/>
                          <w:spacing w:before="26"/>
                          <w:ind w:left="228"/>
                          <w:jc w:val="left"/>
                          <w:rPr>
                            <w:b/>
                            <w:sz w:val="14"/>
                          </w:rPr>
                        </w:pPr>
                        <w:r>
                          <w:rPr>
                            <w:b/>
                            <w:sz w:val="14"/>
                          </w:rPr>
                          <w:t>$'000</w:t>
                        </w:r>
                      </w:p>
                    </w:tc>
                  </w:tr>
                  <w:tr>
                    <w:trPr>
                      <w:trHeight w:val="192" w:hRule="exact"/>
                    </w:trPr>
                    <w:tc>
                      <w:tcPr>
                        <w:tcW w:w="3989" w:type="dxa"/>
                      </w:tcPr>
                      <w:p>
                        <w:pPr>
                          <w:pStyle w:val="TableParagraph"/>
                          <w:spacing w:before="9"/>
                          <w:ind w:left="68"/>
                          <w:jc w:val="left"/>
                          <w:rPr>
                            <w:b/>
                            <w:sz w:val="14"/>
                          </w:rPr>
                        </w:pPr>
                        <w:r>
                          <w:rPr>
                            <w:b/>
                            <w:sz w:val="14"/>
                          </w:rPr>
                          <w:t>Year Ended 31 December 2016</w:t>
                        </w:r>
                      </w:p>
                    </w:tc>
                    <w:tc>
                      <w:tcPr>
                        <w:tcW w:w="994" w:type="dxa"/>
                      </w:tcPr>
                      <w:p>
                        <w:pPr/>
                      </w:p>
                    </w:tc>
                    <w:tc>
                      <w:tcPr>
                        <w:tcW w:w="1069" w:type="dxa"/>
                      </w:tcPr>
                      <w:p>
                        <w:pPr/>
                      </w:p>
                    </w:tc>
                    <w:tc>
                      <w:tcPr>
                        <w:tcW w:w="1004" w:type="dxa"/>
                      </w:tcPr>
                      <w:p>
                        <w:pPr/>
                      </w:p>
                    </w:tc>
                    <w:tc>
                      <w:tcPr>
                        <w:tcW w:w="1044" w:type="dxa"/>
                      </w:tcPr>
                      <w:p>
                        <w:pPr/>
                      </w:p>
                    </w:tc>
                    <w:tc>
                      <w:tcPr>
                        <w:tcW w:w="1141" w:type="dxa"/>
                      </w:tcPr>
                      <w:p>
                        <w:pPr/>
                      </w:p>
                    </w:tc>
                    <w:tc>
                      <w:tcPr>
                        <w:tcW w:w="1012" w:type="dxa"/>
                      </w:tcPr>
                      <w:p>
                        <w:pPr/>
                      </w:p>
                    </w:tc>
                    <w:tc>
                      <w:tcPr>
                        <w:tcW w:w="1182" w:type="dxa"/>
                      </w:tcPr>
                      <w:p>
                        <w:pPr/>
                      </w:p>
                    </w:tc>
                    <w:tc>
                      <w:tcPr>
                        <w:tcW w:w="1085" w:type="dxa"/>
                      </w:tcPr>
                      <w:p>
                        <w:pPr/>
                      </w:p>
                    </w:tc>
                    <w:tc>
                      <w:tcPr>
                        <w:tcW w:w="1063" w:type="dxa"/>
                      </w:tcPr>
                      <w:p>
                        <w:pPr/>
                      </w:p>
                    </w:tc>
                    <w:tc>
                      <w:tcPr>
                        <w:tcW w:w="908" w:type="dxa"/>
                      </w:tcPr>
                      <w:p>
                        <w:pPr/>
                      </w:p>
                    </w:tc>
                  </w:tr>
                  <w:tr>
                    <w:trPr>
                      <w:trHeight w:val="205" w:hRule="exact"/>
                    </w:trPr>
                    <w:tc>
                      <w:tcPr>
                        <w:tcW w:w="3989" w:type="dxa"/>
                      </w:tcPr>
                      <w:p>
                        <w:pPr>
                          <w:pStyle w:val="TableParagraph"/>
                          <w:tabs>
                            <w:tab w:pos="3376" w:val="left" w:leader="none"/>
                          </w:tabs>
                          <w:spacing w:before="8"/>
                          <w:ind w:left="68"/>
                          <w:jc w:val="left"/>
                          <w:rPr>
                            <w:sz w:val="14"/>
                          </w:rPr>
                        </w:pPr>
                        <w:r>
                          <w:rPr>
                            <w:sz w:val="14"/>
                          </w:rPr>
                          <w:t>Opening Net</w:t>
                        </w:r>
                        <w:r>
                          <w:rPr>
                            <w:spacing w:val="1"/>
                            <w:sz w:val="14"/>
                          </w:rPr>
                          <w:t> </w:t>
                        </w:r>
                        <w:r>
                          <w:rPr>
                            <w:sz w:val="14"/>
                          </w:rPr>
                          <w:t>Book Amount</w:t>
                          <w:tab/>
                          <w:t>58,778</w:t>
                        </w:r>
                      </w:p>
                    </w:tc>
                    <w:tc>
                      <w:tcPr>
                        <w:tcW w:w="994" w:type="dxa"/>
                      </w:tcPr>
                      <w:p>
                        <w:pPr>
                          <w:pStyle w:val="TableParagraph"/>
                          <w:spacing w:before="7"/>
                          <w:ind w:right="125"/>
                          <w:rPr>
                            <w:sz w:val="14"/>
                          </w:rPr>
                        </w:pPr>
                        <w:r>
                          <w:rPr>
                            <w:sz w:val="14"/>
                          </w:rPr>
                          <w:t>214,596</w:t>
                        </w:r>
                      </w:p>
                    </w:tc>
                    <w:tc>
                      <w:tcPr>
                        <w:tcW w:w="1069" w:type="dxa"/>
                      </w:tcPr>
                      <w:p>
                        <w:pPr>
                          <w:pStyle w:val="TableParagraph"/>
                          <w:spacing w:before="7"/>
                          <w:ind w:right="145"/>
                          <w:rPr>
                            <w:sz w:val="14"/>
                          </w:rPr>
                        </w:pPr>
                        <w:r>
                          <w:rPr>
                            <w:sz w:val="14"/>
                          </w:rPr>
                          <w:t>162,335</w:t>
                        </w:r>
                      </w:p>
                    </w:tc>
                    <w:tc>
                      <w:tcPr>
                        <w:tcW w:w="1004" w:type="dxa"/>
                      </w:tcPr>
                      <w:p>
                        <w:pPr>
                          <w:pStyle w:val="TableParagraph"/>
                          <w:spacing w:before="7"/>
                          <w:ind w:right="100"/>
                          <w:rPr>
                            <w:sz w:val="14"/>
                          </w:rPr>
                        </w:pPr>
                        <w:r>
                          <w:rPr>
                            <w:sz w:val="14"/>
                          </w:rPr>
                          <w:t>910,661</w:t>
                        </w:r>
                      </w:p>
                    </w:tc>
                    <w:tc>
                      <w:tcPr>
                        <w:tcW w:w="1044" w:type="dxa"/>
                      </w:tcPr>
                      <w:p>
                        <w:pPr>
                          <w:pStyle w:val="TableParagraph"/>
                          <w:spacing w:before="7"/>
                          <w:ind w:right="95"/>
                          <w:rPr>
                            <w:sz w:val="14"/>
                          </w:rPr>
                        </w:pPr>
                        <w:r>
                          <w:rPr>
                            <w:sz w:val="14"/>
                          </w:rPr>
                          <w:t>85,395</w:t>
                        </w:r>
                      </w:p>
                    </w:tc>
                    <w:tc>
                      <w:tcPr>
                        <w:tcW w:w="1141" w:type="dxa"/>
                      </w:tcPr>
                      <w:p>
                        <w:pPr>
                          <w:pStyle w:val="TableParagraph"/>
                          <w:spacing w:before="7"/>
                          <w:ind w:right="147"/>
                          <w:rPr>
                            <w:sz w:val="14"/>
                          </w:rPr>
                        </w:pPr>
                        <w:r>
                          <w:rPr>
                            <w:w w:val="100"/>
                            <w:sz w:val="14"/>
                          </w:rPr>
                          <w:t>-</w:t>
                        </w:r>
                      </w:p>
                    </w:tc>
                    <w:tc>
                      <w:tcPr>
                        <w:tcW w:w="1012" w:type="dxa"/>
                      </w:tcPr>
                      <w:p>
                        <w:pPr>
                          <w:pStyle w:val="TableParagraph"/>
                          <w:spacing w:before="7"/>
                          <w:ind w:right="110"/>
                          <w:rPr>
                            <w:sz w:val="14"/>
                          </w:rPr>
                        </w:pPr>
                        <w:r>
                          <w:rPr>
                            <w:sz w:val="14"/>
                          </w:rPr>
                          <w:t>59,895</w:t>
                        </w:r>
                      </w:p>
                    </w:tc>
                    <w:tc>
                      <w:tcPr>
                        <w:tcW w:w="1182" w:type="dxa"/>
                      </w:tcPr>
                      <w:p>
                        <w:pPr>
                          <w:pStyle w:val="TableParagraph"/>
                          <w:spacing w:before="7"/>
                          <w:ind w:right="158"/>
                          <w:rPr>
                            <w:sz w:val="14"/>
                          </w:rPr>
                        </w:pPr>
                        <w:r>
                          <w:rPr>
                            <w:sz w:val="14"/>
                          </w:rPr>
                          <w:t>13,062</w:t>
                        </w:r>
                      </w:p>
                    </w:tc>
                    <w:tc>
                      <w:tcPr>
                        <w:tcW w:w="1085" w:type="dxa"/>
                      </w:tcPr>
                      <w:p>
                        <w:pPr>
                          <w:pStyle w:val="TableParagraph"/>
                          <w:spacing w:before="7"/>
                          <w:ind w:right="195"/>
                          <w:rPr>
                            <w:sz w:val="14"/>
                          </w:rPr>
                        </w:pPr>
                        <w:r>
                          <w:rPr>
                            <w:sz w:val="14"/>
                          </w:rPr>
                          <w:t>8,894</w:t>
                        </w:r>
                      </w:p>
                    </w:tc>
                    <w:tc>
                      <w:tcPr>
                        <w:tcW w:w="1063" w:type="dxa"/>
                      </w:tcPr>
                      <w:p>
                        <w:pPr>
                          <w:pStyle w:val="TableParagraph"/>
                          <w:spacing w:before="7"/>
                          <w:ind w:right="209"/>
                          <w:rPr>
                            <w:sz w:val="14"/>
                          </w:rPr>
                        </w:pPr>
                        <w:r>
                          <w:rPr>
                            <w:sz w:val="14"/>
                          </w:rPr>
                          <w:t>3,140</w:t>
                        </w:r>
                      </w:p>
                    </w:tc>
                    <w:tc>
                      <w:tcPr>
                        <w:tcW w:w="908" w:type="dxa"/>
                      </w:tcPr>
                      <w:p>
                        <w:pPr>
                          <w:pStyle w:val="TableParagraph"/>
                          <w:spacing w:before="7"/>
                          <w:ind w:right="68"/>
                          <w:rPr>
                            <w:sz w:val="14"/>
                          </w:rPr>
                        </w:pPr>
                        <w:r>
                          <w:rPr>
                            <w:sz w:val="14"/>
                          </w:rPr>
                          <w:t>1,516,756</w:t>
                        </w:r>
                      </w:p>
                    </w:tc>
                  </w:tr>
                  <w:tr>
                    <w:trPr>
                      <w:trHeight w:val="218" w:hRule="exact"/>
                    </w:trPr>
                    <w:tc>
                      <w:tcPr>
                        <w:tcW w:w="3989" w:type="dxa"/>
                      </w:tcPr>
                      <w:p>
                        <w:pPr>
                          <w:pStyle w:val="TableParagraph"/>
                          <w:tabs>
                            <w:tab w:pos="3759" w:val="left" w:leader="none"/>
                          </w:tabs>
                          <w:spacing w:before="22"/>
                          <w:ind w:left="68"/>
                          <w:jc w:val="left"/>
                          <w:rPr>
                            <w:sz w:val="14"/>
                          </w:rPr>
                        </w:pPr>
                        <w:r>
                          <w:rPr>
                            <w:sz w:val="14"/>
                          </w:rPr>
                          <w:t>Revaluation</w:t>
                        </w:r>
                        <w:r>
                          <w:rPr>
                            <w:spacing w:val="-6"/>
                            <w:sz w:val="14"/>
                          </w:rPr>
                          <w:t> </w:t>
                        </w:r>
                        <w:r>
                          <w:rPr>
                            <w:sz w:val="14"/>
                          </w:rPr>
                          <w:t>Surplus</w:t>
                          <w:tab/>
                          <w:t>-</w:t>
                        </w:r>
                      </w:p>
                    </w:tc>
                    <w:tc>
                      <w:tcPr>
                        <w:tcW w:w="994" w:type="dxa"/>
                      </w:tcPr>
                      <w:p>
                        <w:pPr>
                          <w:pStyle w:val="TableParagraph"/>
                          <w:spacing w:before="21"/>
                          <w:ind w:right="78"/>
                          <w:rPr>
                            <w:sz w:val="14"/>
                          </w:rPr>
                        </w:pPr>
                        <w:r>
                          <w:rPr>
                            <w:sz w:val="14"/>
                          </w:rPr>
                          <w:t>(3,055)</w:t>
                        </w:r>
                      </w:p>
                    </w:tc>
                    <w:tc>
                      <w:tcPr>
                        <w:tcW w:w="1069" w:type="dxa"/>
                      </w:tcPr>
                      <w:p>
                        <w:pPr>
                          <w:pStyle w:val="TableParagraph"/>
                          <w:spacing w:before="21"/>
                          <w:ind w:right="145"/>
                          <w:rPr>
                            <w:sz w:val="14"/>
                          </w:rPr>
                        </w:pPr>
                        <w:r>
                          <w:rPr>
                            <w:w w:val="100"/>
                            <w:sz w:val="14"/>
                          </w:rPr>
                          <w:t>-</w:t>
                        </w:r>
                      </w:p>
                    </w:tc>
                    <w:tc>
                      <w:tcPr>
                        <w:tcW w:w="1004" w:type="dxa"/>
                      </w:tcPr>
                      <w:p>
                        <w:pPr>
                          <w:pStyle w:val="TableParagraph"/>
                          <w:spacing w:before="21"/>
                          <w:ind w:right="99"/>
                          <w:rPr>
                            <w:sz w:val="14"/>
                          </w:rPr>
                        </w:pPr>
                        <w:r>
                          <w:rPr>
                            <w:sz w:val="14"/>
                          </w:rPr>
                          <w:t>19,722</w:t>
                        </w:r>
                      </w:p>
                    </w:tc>
                    <w:tc>
                      <w:tcPr>
                        <w:tcW w:w="1044" w:type="dxa"/>
                      </w:tcPr>
                      <w:p>
                        <w:pPr>
                          <w:pStyle w:val="TableParagraph"/>
                          <w:spacing w:before="21"/>
                          <w:ind w:right="95"/>
                          <w:rPr>
                            <w:sz w:val="14"/>
                          </w:rPr>
                        </w:pPr>
                        <w:r>
                          <w:rPr>
                            <w:sz w:val="14"/>
                          </w:rPr>
                          <w:t>2,203</w:t>
                        </w:r>
                      </w:p>
                    </w:tc>
                    <w:tc>
                      <w:tcPr>
                        <w:tcW w:w="1141" w:type="dxa"/>
                      </w:tcPr>
                      <w:p>
                        <w:pPr>
                          <w:pStyle w:val="TableParagraph"/>
                          <w:spacing w:before="21"/>
                          <w:ind w:right="147"/>
                          <w:rPr>
                            <w:sz w:val="14"/>
                          </w:rPr>
                        </w:pPr>
                        <w:r>
                          <w:rPr>
                            <w:w w:val="100"/>
                            <w:sz w:val="14"/>
                          </w:rPr>
                          <w:t>-</w:t>
                        </w:r>
                      </w:p>
                    </w:tc>
                    <w:tc>
                      <w:tcPr>
                        <w:tcW w:w="1012" w:type="dxa"/>
                      </w:tcPr>
                      <w:p>
                        <w:pPr>
                          <w:pStyle w:val="TableParagraph"/>
                          <w:spacing w:before="21"/>
                          <w:ind w:right="110"/>
                          <w:rPr>
                            <w:sz w:val="14"/>
                          </w:rPr>
                        </w:pPr>
                        <w:r>
                          <w:rPr>
                            <w:w w:val="100"/>
                            <w:sz w:val="14"/>
                          </w:rPr>
                          <w:t>-</w:t>
                        </w:r>
                      </w:p>
                    </w:tc>
                    <w:tc>
                      <w:tcPr>
                        <w:tcW w:w="1182" w:type="dxa"/>
                      </w:tcPr>
                      <w:p>
                        <w:pPr>
                          <w:pStyle w:val="TableParagraph"/>
                          <w:spacing w:before="21"/>
                          <w:ind w:right="158"/>
                          <w:rPr>
                            <w:sz w:val="14"/>
                          </w:rPr>
                        </w:pPr>
                        <w:r>
                          <w:rPr>
                            <w:w w:val="100"/>
                            <w:sz w:val="14"/>
                          </w:rPr>
                          <w:t>-</w:t>
                        </w:r>
                      </w:p>
                    </w:tc>
                    <w:tc>
                      <w:tcPr>
                        <w:tcW w:w="1085" w:type="dxa"/>
                      </w:tcPr>
                      <w:p>
                        <w:pPr>
                          <w:pStyle w:val="TableParagraph"/>
                          <w:spacing w:before="21"/>
                          <w:ind w:right="195"/>
                          <w:rPr>
                            <w:sz w:val="14"/>
                          </w:rPr>
                        </w:pPr>
                        <w:r>
                          <w:rPr>
                            <w:w w:val="100"/>
                            <w:sz w:val="14"/>
                          </w:rPr>
                          <w:t>9</w:t>
                        </w:r>
                      </w:p>
                    </w:tc>
                    <w:tc>
                      <w:tcPr>
                        <w:tcW w:w="1063" w:type="dxa"/>
                      </w:tcPr>
                      <w:p>
                        <w:pPr>
                          <w:pStyle w:val="TableParagraph"/>
                          <w:spacing w:before="21"/>
                          <w:ind w:right="209"/>
                          <w:rPr>
                            <w:sz w:val="14"/>
                          </w:rPr>
                        </w:pPr>
                        <w:r>
                          <w:rPr>
                            <w:sz w:val="14"/>
                          </w:rPr>
                          <w:t>986</w:t>
                        </w:r>
                      </w:p>
                    </w:tc>
                    <w:tc>
                      <w:tcPr>
                        <w:tcW w:w="908" w:type="dxa"/>
                      </w:tcPr>
                      <w:p>
                        <w:pPr>
                          <w:pStyle w:val="TableParagraph"/>
                          <w:spacing w:before="21"/>
                          <w:ind w:right="68"/>
                          <w:rPr>
                            <w:sz w:val="14"/>
                          </w:rPr>
                        </w:pPr>
                        <w:r>
                          <w:rPr>
                            <w:sz w:val="14"/>
                          </w:rPr>
                          <w:t>19,865</w:t>
                        </w:r>
                      </w:p>
                    </w:tc>
                  </w:tr>
                  <w:tr>
                    <w:trPr>
                      <w:trHeight w:val="218" w:hRule="exact"/>
                    </w:trPr>
                    <w:tc>
                      <w:tcPr>
                        <w:tcW w:w="3989" w:type="dxa"/>
                      </w:tcPr>
                      <w:p>
                        <w:pPr>
                          <w:pStyle w:val="TableParagraph"/>
                          <w:tabs>
                            <w:tab w:pos="3298" w:val="left" w:leader="none"/>
                          </w:tabs>
                          <w:spacing w:before="22"/>
                          <w:ind w:left="68"/>
                          <w:jc w:val="left"/>
                          <w:rPr>
                            <w:sz w:val="14"/>
                          </w:rPr>
                        </w:pPr>
                        <w:r>
                          <w:rPr>
                            <w:sz w:val="14"/>
                          </w:rPr>
                          <w:t>Additions</w:t>
                          <w:tab/>
                          <w:t>113,124</w:t>
                        </w:r>
                      </w:p>
                    </w:tc>
                    <w:tc>
                      <w:tcPr>
                        <w:tcW w:w="994" w:type="dxa"/>
                      </w:tcPr>
                      <w:p>
                        <w:pPr>
                          <w:pStyle w:val="TableParagraph"/>
                          <w:spacing w:before="21"/>
                          <w:ind w:right="125"/>
                          <w:rPr>
                            <w:sz w:val="14"/>
                          </w:rPr>
                        </w:pPr>
                        <w:r>
                          <w:rPr>
                            <w:sz w:val="14"/>
                          </w:rPr>
                          <w:t>3,950</w:t>
                        </w:r>
                      </w:p>
                    </w:tc>
                    <w:tc>
                      <w:tcPr>
                        <w:tcW w:w="1069" w:type="dxa"/>
                      </w:tcPr>
                      <w:p>
                        <w:pPr>
                          <w:pStyle w:val="TableParagraph"/>
                          <w:spacing w:before="21"/>
                          <w:ind w:right="145"/>
                          <w:rPr>
                            <w:sz w:val="14"/>
                          </w:rPr>
                        </w:pPr>
                        <w:r>
                          <w:rPr>
                            <w:w w:val="100"/>
                            <w:sz w:val="14"/>
                          </w:rPr>
                          <w:t>-</w:t>
                        </w:r>
                      </w:p>
                    </w:tc>
                    <w:tc>
                      <w:tcPr>
                        <w:tcW w:w="1004" w:type="dxa"/>
                      </w:tcPr>
                      <w:p>
                        <w:pPr>
                          <w:pStyle w:val="TableParagraph"/>
                          <w:spacing w:before="21"/>
                          <w:ind w:right="101"/>
                          <w:rPr>
                            <w:sz w:val="14"/>
                          </w:rPr>
                        </w:pPr>
                        <w:r>
                          <w:rPr>
                            <w:w w:val="100"/>
                            <w:sz w:val="14"/>
                          </w:rPr>
                          <w:t>-</w:t>
                        </w:r>
                      </w:p>
                    </w:tc>
                    <w:tc>
                      <w:tcPr>
                        <w:tcW w:w="1044" w:type="dxa"/>
                      </w:tcPr>
                      <w:p>
                        <w:pPr>
                          <w:pStyle w:val="TableParagraph"/>
                          <w:spacing w:before="21"/>
                          <w:ind w:right="95"/>
                          <w:rPr>
                            <w:sz w:val="14"/>
                          </w:rPr>
                        </w:pPr>
                        <w:r>
                          <w:rPr>
                            <w:w w:val="100"/>
                            <w:sz w:val="14"/>
                          </w:rPr>
                          <w:t>-</w:t>
                        </w:r>
                      </w:p>
                    </w:tc>
                    <w:tc>
                      <w:tcPr>
                        <w:tcW w:w="1141" w:type="dxa"/>
                      </w:tcPr>
                      <w:p>
                        <w:pPr>
                          <w:pStyle w:val="TableParagraph"/>
                          <w:spacing w:before="21"/>
                          <w:ind w:right="147"/>
                          <w:rPr>
                            <w:sz w:val="14"/>
                          </w:rPr>
                        </w:pPr>
                        <w:r>
                          <w:rPr>
                            <w:w w:val="100"/>
                            <w:sz w:val="14"/>
                          </w:rPr>
                          <w:t>-</w:t>
                        </w:r>
                      </w:p>
                    </w:tc>
                    <w:tc>
                      <w:tcPr>
                        <w:tcW w:w="1012" w:type="dxa"/>
                      </w:tcPr>
                      <w:p>
                        <w:pPr>
                          <w:pStyle w:val="TableParagraph"/>
                          <w:spacing w:before="21"/>
                          <w:ind w:right="110"/>
                          <w:rPr>
                            <w:sz w:val="14"/>
                          </w:rPr>
                        </w:pPr>
                        <w:r>
                          <w:rPr>
                            <w:sz w:val="14"/>
                          </w:rPr>
                          <w:t>7,080</w:t>
                        </w:r>
                      </w:p>
                    </w:tc>
                    <w:tc>
                      <w:tcPr>
                        <w:tcW w:w="1182" w:type="dxa"/>
                      </w:tcPr>
                      <w:p>
                        <w:pPr>
                          <w:pStyle w:val="TableParagraph"/>
                          <w:spacing w:before="21"/>
                          <w:ind w:right="158"/>
                          <w:rPr>
                            <w:sz w:val="14"/>
                          </w:rPr>
                        </w:pPr>
                        <w:r>
                          <w:rPr>
                            <w:w w:val="100"/>
                            <w:sz w:val="14"/>
                          </w:rPr>
                          <w:t>-</w:t>
                        </w:r>
                      </w:p>
                    </w:tc>
                    <w:tc>
                      <w:tcPr>
                        <w:tcW w:w="1085" w:type="dxa"/>
                      </w:tcPr>
                      <w:p>
                        <w:pPr>
                          <w:pStyle w:val="TableParagraph"/>
                          <w:spacing w:before="21"/>
                          <w:ind w:right="195"/>
                          <w:rPr>
                            <w:sz w:val="14"/>
                          </w:rPr>
                        </w:pPr>
                        <w:r>
                          <w:rPr>
                            <w:sz w:val="14"/>
                          </w:rPr>
                          <w:t>2,148</w:t>
                        </w:r>
                      </w:p>
                    </w:tc>
                    <w:tc>
                      <w:tcPr>
                        <w:tcW w:w="1063" w:type="dxa"/>
                      </w:tcPr>
                      <w:p>
                        <w:pPr>
                          <w:pStyle w:val="TableParagraph"/>
                          <w:spacing w:before="21"/>
                          <w:ind w:right="209"/>
                          <w:rPr>
                            <w:sz w:val="14"/>
                          </w:rPr>
                        </w:pPr>
                        <w:r>
                          <w:rPr>
                            <w:sz w:val="14"/>
                          </w:rPr>
                          <w:t>66</w:t>
                        </w:r>
                      </w:p>
                    </w:tc>
                    <w:tc>
                      <w:tcPr>
                        <w:tcW w:w="908" w:type="dxa"/>
                      </w:tcPr>
                      <w:p>
                        <w:pPr>
                          <w:pStyle w:val="TableParagraph"/>
                          <w:spacing w:before="21"/>
                          <w:ind w:right="68"/>
                          <w:rPr>
                            <w:sz w:val="14"/>
                          </w:rPr>
                        </w:pPr>
                        <w:r>
                          <w:rPr>
                            <w:sz w:val="14"/>
                          </w:rPr>
                          <w:t>126,368</w:t>
                        </w:r>
                      </w:p>
                    </w:tc>
                  </w:tr>
                  <w:tr>
                    <w:trPr>
                      <w:trHeight w:val="218" w:hRule="exact"/>
                    </w:trPr>
                    <w:tc>
                      <w:tcPr>
                        <w:tcW w:w="3989" w:type="dxa"/>
                      </w:tcPr>
                      <w:p>
                        <w:pPr>
                          <w:pStyle w:val="TableParagraph"/>
                          <w:tabs>
                            <w:tab w:pos="3330" w:val="left" w:leader="none"/>
                          </w:tabs>
                          <w:spacing w:before="22"/>
                          <w:ind w:left="68"/>
                          <w:jc w:val="left"/>
                          <w:rPr>
                            <w:sz w:val="14"/>
                          </w:rPr>
                        </w:pPr>
                        <w:r>
                          <w:rPr>
                            <w:sz w:val="14"/>
                          </w:rPr>
                          <w:t>Disposals</w:t>
                          <w:tab/>
                          <w:t>(11,310)</w:t>
                        </w:r>
                      </w:p>
                    </w:tc>
                    <w:tc>
                      <w:tcPr>
                        <w:tcW w:w="994" w:type="dxa"/>
                      </w:tcPr>
                      <w:p>
                        <w:pPr>
                          <w:pStyle w:val="TableParagraph"/>
                          <w:spacing w:before="21"/>
                          <w:ind w:right="125"/>
                          <w:rPr>
                            <w:sz w:val="14"/>
                          </w:rPr>
                        </w:pPr>
                        <w:r>
                          <w:rPr>
                            <w:w w:val="100"/>
                            <w:sz w:val="14"/>
                          </w:rPr>
                          <w:t>-</w:t>
                        </w:r>
                      </w:p>
                    </w:tc>
                    <w:tc>
                      <w:tcPr>
                        <w:tcW w:w="1069" w:type="dxa"/>
                      </w:tcPr>
                      <w:p>
                        <w:pPr>
                          <w:pStyle w:val="TableParagraph"/>
                          <w:spacing w:before="21"/>
                          <w:ind w:right="145"/>
                          <w:rPr>
                            <w:sz w:val="14"/>
                          </w:rPr>
                        </w:pPr>
                        <w:r>
                          <w:rPr>
                            <w:w w:val="100"/>
                            <w:sz w:val="14"/>
                          </w:rPr>
                          <w:t>-</w:t>
                        </w:r>
                      </w:p>
                    </w:tc>
                    <w:tc>
                      <w:tcPr>
                        <w:tcW w:w="1004" w:type="dxa"/>
                      </w:tcPr>
                      <w:p>
                        <w:pPr>
                          <w:pStyle w:val="TableParagraph"/>
                          <w:spacing w:before="21"/>
                          <w:ind w:right="53"/>
                          <w:rPr>
                            <w:sz w:val="14"/>
                          </w:rPr>
                        </w:pPr>
                        <w:r>
                          <w:rPr>
                            <w:sz w:val="14"/>
                          </w:rPr>
                          <w:t>(758)</w:t>
                        </w:r>
                      </w:p>
                    </w:tc>
                    <w:tc>
                      <w:tcPr>
                        <w:tcW w:w="1044" w:type="dxa"/>
                      </w:tcPr>
                      <w:p>
                        <w:pPr>
                          <w:pStyle w:val="TableParagraph"/>
                          <w:spacing w:before="21"/>
                          <w:ind w:right="95"/>
                          <w:rPr>
                            <w:sz w:val="14"/>
                          </w:rPr>
                        </w:pPr>
                        <w:r>
                          <w:rPr>
                            <w:w w:val="100"/>
                            <w:sz w:val="14"/>
                          </w:rPr>
                          <w:t>-</w:t>
                        </w:r>
                      </w:p>
                    </w:tc>
                    <w:tc>
                      <w:tcPr>
                        <w:tcW w:w="1141" w:type="dxa"/>
                      </w:tcPr>
                      <w:p>
                        <w:pPr>
                          <w:pStyle w:val="TableParagraph"/>
                          <w:spacing w:before="21"/>
                          <w:ind w:right="147"/>
                          <w:rPr>
                            <w:sz w:val="14"/>
                          </w:rPr>
                        </w:pPr>
                        <w:r>
                          <w:rPr>
                            <w:w w:val="100"/>
                            <w:sz w:val="14"/>
                          </w:rPr>
                          <w:t>-</w:t>
                        </w:r>
                      </w:p>
                    </w:tc>
                    <w:tc>
                      <w:tcPr>
                        <w:tcW w:w="1012" w:type="dxa"/>
                      </w:tcPr>
                      <w:p>
                        <w:pPr>
                          <w:pStyle w:val="TableParagraph"/>
                          <w:spacing w:before="21"/>
                          <w:ind w:right="63"/>
                          <w:rPr>
                            <w:sz w:val="14"/>
                          </w:rPr>
                        </w:pPr>
                        <w:r>
                          <w:rPr>
                            <w:sz w:val="14"/>
                          </w:rPr>
                          <w:t>(168)</w:t>
                        </w:r>
                      </w:p>
                    </w:tc>
                    <w:tc>
                      <w:tcPr>
                        <w:tcW w:w="1182" w:type="dxa"/>
                      </w:tcPr>
                      <w:p>
                        <w:pPr>
                          <w:pStyle w:val="TableParagraph"/>
                          <w:spacing w:before="21"/>
                          <w:ind w:right="158"/>
                          <w:rPr>
                            <w:sz w:val="14"/>
                          </w:rPr>
                        </w:pPr>
                        <w:r>
                          <w:rPr>
                            <w:w w:val="100"/>
                            <w:sz w:val="14"/>
                          </w:rPr>
                          <w:t>-</w:t>
                        </w:r>
                      </w:p>
                    </w:tc>
                    <w:tc>
                      <w:tcPr>
                        <w:tcW w:w="1085" w:type="dxa"/>
                      </w:tcPr>
                      <w:p>
                        <w:pPr>
                          <w:pStyle w:val="TableParagraph"/>
                          <w:spacing w:before="21"/>
                          <w:ind w:right="148"/>
                          <w:rPr>
                            <w:sz w:val="14"/>
                          </w:rPr>
                        </w:pPr>
                        <w:r>
                          <w:rPr>
                            <w:sz w:val="14"/>
                          </w:rPr>
                          <w:t>(228)</w:t>
                        </w:r>
                      </w:p>
                    </w:tc>
                    <w:tc>
                      <w:tcPr>
                        <w:tcW w:w="1063" w:type="dxa"/>
                      </w:tcPr>
                      <w:p>
                        <w:pPr>
                          <w:pStyle w:val="TableParagraph"/>
                          <w:spacing w:before="21"/>
                          <w:ind w:right="209"/>
                          <w:rPr>
                            <w:sz w:val="14"/>
                          </w:rPr>
                        </w:pPr>
                        <w:r>
                          <w:rPr>
                            <w:w w:val="100"/>
                            <w:sz w:val="14"/>
                          </w:rPr>
                          <w:t>-</w:t>
                        </w:r>
                      </w:p>
                    </w:tc>
                    <w:tc>
                      <w:tcPr>
                        <w:tcW w:w="908" w:type="dxa"/>
                      </w:tcPr>
                      <w:p>
                        <w:pPr>
                          <w:pStyle w:val="TableParagraph"/>
                          <w:spacing w:before="21"/>
                          <w:ind w:right="22"/>
                          <w:rPr>
                            <w:sz w:val="14"/>
                          </w:rPr>
                        </w:pPr>
                        <w:r>
                          <w:rPr>
                            <w:sz w:val="14"/>
                          </w:rPr>
                          <w:t>(12,464)</w:t>
                        </w:r>
                      </w:p>
                    </w:tc>
                  </w:tr>
                  <w:tr>
                    <w:trPr>
                      <w:trHeight w:val="218" w:hRule="exact"/>
                    </w:trPr>
                    <w:tc>
                      <w:tcPr>
                        <w:tcW w:w="3989" w:type="dxa"/>
                      </w:tcPr>
                      <w:p>
                        <w:pPr>
                          <w:pStyle w:val="TableParagraph"/>
                          <w:tabs>
                            <w:tab w:pos="3759" w:val="left" w:leader="none"/>
                          </w:tabs>
                          <w:spacing w:before="22"/>
                          <w:ind w:left="68"/>
                          <w:jc w:val="left"/>
                          <w:rPr>
                            <w:sz w:val="14"/>
                          </w:rPr>
                        </w:pPr>
                        <w:r>
                          <w:rPr>
                            <w:sz w:val="14"/>
                          </w:rPr>
                          <w:t>Depreciation</w:t>
                        </w:r>
                        <w:r>
                          <w:rPr>
                            <w:spacing w:val="1"/>
                            <w:sz w:val="14"/>
                          </w:rPr>
                          <w:t> </w:t>
                        </w:r>
                        <w:r>
                          <w:rPr>
                            <w:sz w:val="14"/>
                          </w:rPr>
                          <w:t>Charge</w:t>
                          <w:tab/>
                          <w:t>-</w:t>
                        </w:r>
                      </w:p>
                    </w:tc>
                    <w:tc>
                      <w:tcPr>
                        <w:tcW w:w="994" w:type="dxa"/>
                      </w:tcPr>
                      <w:p>
                        <w:pPr>
                          <w:pStyle w:val="TableParagraph"/>
                          <w:spacing w:before="21"/>
                          <w:ind w:right="125"/>
                          <w:rPr>
                            <w:sz w:val="14"/>
                          </w:rPr>
                        </w:pPr>
                        <w:r>
                          <w:rPr>
                            <w:w w:val="100"/>
                            <w:sz w:val="14"/>
                          </w:rPr>
                          <w:t>-</w:t>
                        </w:r>
                      </w:p>
                    </w:tc>
                    <w:tc>
                      <w:tcPr>
                        <w:tcW w:w="1069" w:type="dxa"/>
                      </w:tcPr>
                      <w:p>
                        <w:pPr>
                          <w:pStyle w:val="TableParagraph"/>
                          <w:spacing w:before="21"/>
                          <w:ind w:right="145"/>
                          <w:rPr>
                            <w:sz w:val="14"/>
                          </w:rPr>
                        </w:pPr>
                        <w:r>
                          <w:rPr>
                            <w:w w:val="100"/>
                            <w:sz w:val="14"/>
                          </w:rPr>
                          <w:t>-</w:t>
                        </w:r>
                      </w:p>
                    </w:tc>
                    <w:tc>
                      <w:tcPr>
                        <w:tcW w:w="1004" w:type="dxa"/>
                      </w:tcPr>
                      <w:p>
                        <w:pPr>
                          <w:pStyle w:val="TableParagraph"/>
                          <w:spacing w:before="21"/>
                          <w:ind w:right="53"/>
                          <w:rPr>
                            <w:sz w:val="14"/>
                          </w:rPr>
                        </w:pPr>
                        <w:r>
                          <w:rPr>
                            <w:sz w:val="14"/>
                          </w:rPr>
                          <w:t>(23,172)</w:t>
                        </w:r>
                      </w:p>
                    </w:tc>
                    <w:tc>
                      <w:tcPr>
                        <w:tcW w:w="1044" w:type="dxa"/>
                      </w:tcPr>
                      <w:p>
                        <w:pPr>
                          <w:pStyle w:val="TableParagraph"/>
                          <w:spacing w:before="21"/>
                          <w:ind w:right="48"/>
                          <w:rPr>
                            <w:sz w:val="14"/>
                          </w:rPr>
                        </w:pPr>
                        <w:r>
                          <w:rPr>
                            <w:sz w:val="14"/>
                          </w:rPr>
                          <w:t>(2,752)</w:t>
                        </w:r>
                      </w:p>
                    </w:tc>
                    <w:tc>
                      <w:tcPr>
                        <w:tcW w:w="1141" w:type="dxa"/>
                      </w:tcPr>
                      <w:p>
                        <w:pPr>
                          <w:pStyle w:val="TableParagraph"/>
                          <w:spacing w:before="21"/>
                          <w:ind w:right="147"/>
                          <w:rPr>
                            <w:sz w:val="14"/>
                          </w:rPr>
                        </w:pPr>
                        <w:r>
                          <w:rPr>
                            <w:w w:val="100"/>
                            <w:sz w:val="14"/>
                          </w:rPr>
                          <w:t>-</w:t>
                        </w:r>
                      </w:p>
                    </w:tc>
                    <w:tc>
                      <w:tcPr>
                        <w:tcW w:w="1012" w:type="dxa"/>
                      </w:tcPr>
                      <w:p>
                        <w:pPr>
                          <w:pStyle w:val="TableParagraph"/>
                          <w:spacing w:before="21"/>
                          <w:ind w:right="63"/>
                          <w:rPr>
                            <w:sz w:val="14"/>
                          </w:rPr>
                        </w:pPr>
                        <w:r>
                          <w:rPr>
                            <w:sz w:val="14"/>
                          </w:rPr>
                          <w:t>(10,826)</w:t>
                        </w:r>
                      </w:p>
                    </w:tc>
                    <w:tc>
                      <w:tcPr>
                        <w:tcW w:w="1182" w:type="dxa"/>
                      </w:tcPr>
                      <w:p>
                        <w:pPr>
                          <w:pStyle w:val="TableParagraph"/>
                          <w:spacing w:before="21"/>
                          <w:ind w:right="111"/>
                          <w:rPr>
                            <w:sz w:val="14"/>
                          </w:rPr>
                        </w:pPr>
                        <w:r>
                          <w:rPr>
                            <w:sz w:val="14"/>
                          </w:rPr>
                          <w:t>(1,803)</w:t>
                        </w:r>
                      </w:p>
                    </w:tc>
                    <w:tc>
                      <w:tcPr>
                        <w:tcW w:w="1085" w:type="dxa"/>
                      </w:tcPr>
                      <w:p>
                        <w:pPr>
                          <w:pStyle w:val="TableParagraph"/>
                          <w:spacing w:before="21"/>
                          <w:ind w:right="148"/>
                          <w:rPr>
                            <w:sz w:val="14"/>
                          </w:rPr>
                        </w:pPr>
                        <w:r>
                          <w:rPr>
                            <w:sz w:val="14"/>
                          </w:rPr>
                          <w:t>(2,945)</w:t>
                        </w:r>
                      </w:p>
                    </w:tc>
                    <w:tc>
                      <w:tcPr>
                        <w:tcW w:w="1063" w:type="dxa"/>
                      </w:tcPr>
                      <w:p>
                        <w:pPr>
                          <w:pStyle w:val="TableParagraph"/>
                          <w:spacing w:before="21"/>
                          <w:ind w:right="209"/>
                          <w:rPr>
                            <w:sz w:val="14"/>
                          </w:rPr>
                        </w:pPr>
                        <w:r>
                          <w:rPr>
                            <w:w w:val="100"/>
                            <w:sz w:val="14"/>
                          </w:rPr>
                          <w:t>-</w:t>
                        </w:r>
                      </w:p>
                    </w:tc>
                    <w:tc>
                      <w:tcPr>
                        <w:tcW w:w="908" w:type="dxa"/>
                      </w:tcPr>
                      <w:p>
                        <w:pPr>
                          <w:pStyle w:val="TableParagraph"/>
                          <w:spacing w:before="21"/>
                          <w:ind w:right="22"/>
                          <w:rPr>
                            <w:sz w:val="14"/>
                          </w:rPr>
                        </w:pPr>
                        <w:r>
                          <w:rPr>
                            <w:sz w:val="14"/>
                          </w:rPr>
                          <w:t>(41,498)</w:t>
                        </w:r>
                      </w:p>
                    </w:tc>
                  </w:tr>
                  <w:tr>
                    <w:trPr>
                      <w:trHeight w:val="218" w:hRule="exact"/>
                    </w:trPr>
                    <w:tc>
                      <w:tcPr>
                        <w:tcW w:w="3989" w:type="dxa"/>
                      </w:tcPr>
                      <w:p>
                        <w:pPr>
                          <w:pStyle w:val="TableParagraph"/>
                          <w:tabs>
                            <w:tab w:pos="3759" w:val="left" w:leader="none"/>
                          </w:tabs>
                          <w:spacing w:before="22"/>
                          <w:ind w:left="68"/>
                          <w:jc w:val="left"/>
                          <w:rPr>
                            <w:sz w:val="14"/>
                          </w:rPr>
                        </w:pPr>
                        <w:r>
                          <w:rPr>
                            <w:sz w:val="14"/>
                          </w:rPr>
                          <w:t>Non-Cash</w:t>
                        </w:r>
                        <w:r>
                          <w:rPr>
                            <w:spacing w:val="1"/>
                            <w:sz w:val="14"/>
                          </w:rPr>
                          <w:t> </w:t>
                        </w:r>
                        <w:r>
                          <w:rPr>
                            <w:sz w:val="14"/>
                          </w:rPr>
                          <w:t>Adjustments</w:t>
                          <w:tab/>
                          <w:t>-</w:t>
                        </w:r>
                      </w:p>
                    </w:tc>
                    <w:tc>
                      <w:tcPr>
                        <w:tcW w:w="994" w:type="dxa"/>
                      </w:tcPr>
                      <w:p>
                        <w:pPr>
                          <w:pStyle w:val="TableParagraph"/>
                          <w:spacing w:before="21"/>
                          <w:ind w:right="125"/>
                          <w:rPr>
                            <w:sz w:val="14"/>
                          </w:rPr>
                        </w:pPr>
                        <w:r>
                          <w:rPr>
                            <w:w w:val="100"/>
                            <w:sz w:val="14"/>
                          </w:rPr>
                          <w:t>-</w:t>
                        </w:r>
                      </w:p>
                    </w:tc>
                    <w:tc>
                      <w:tcPr>
                        <w:tcW w:w="1069" w:type="dxa"/>
                      </w:tcPr>
                      <w:p>
                        <w:pPr>
                          <w:pStyle w:val="TableParagraph"/>
                          <w:spacing w:before="21"/>
                          <w:ind w:right="145"/>
                          <w:rPr>
                            <w:sz w:val="14"/>
                          </w:rPr>
                        </w:pPr>
                        <w:r>
                          <w:rPr>
                            <w:w w:val="100"/>
                            <w:sz w:val="14"/>
                          </w:rPr>
                          <w:t>-</w:t>
                        </w:r>
                      </w:p>
                    </w:tc>
                    <w:tc>
                      <w:tcPr>
                        <w:tcW w:w="1004" w:type="dxa"/>
                      </w:tcPr>
                      <w:p>
                        <w:pPr>
                          <w:pStyle w:val="TableParagraph"/>
                          <w:spacing w:before="21"/>
                          <w:ind w:right="101"/>
                          <w:rPr>
                            <w:sz w:val="14"/>
                          </w:rPr>
                        </w:pPr>
                        <w:r>
                          <w:rPr>
                            <w:w w:val="100"/>
                            <w:sz w:val="14"/>
                          </w:rPr>
                          <w:t>-</w:t>
                        </w:r>
                      </w:p>
                    </w:tc>
                    <w:tc>
                      <w:tcPr>
                        <w:tcW w:w="1044" w:type="dxa"/>
                      </w:tcPr>
                      <w:p>
                        <w:pPr>
                          <w:pStyle w:val="TableParagraph"/>
                          <w:spacing w:before="21"/>
                          <w:ind w:right="95"/>
                          <w:rPr>
                            <w:sz w:val="14"/>
                          </w:rPr>
                        </w:pPr>
                        <w:r>
                          <w:rPr>
                            <w:w w:val="100"/>
                            <w:sz w:val="14"/>
                          </w:rPr>
                          <w:t>-</w:t>
                        </w:r>
                      </w:p>
                    </w:tc>
                    <w:tc>
                      <w:tcPr>
                        <w:tcW w:w="1141" w:type="dxa"/>
                      </w:tcPr>
                      <w:p>
                        <w:pPr>
                          <w:pStyle w:val="TableParagraph"/>
                          <w:spacing w:before="21"/>
                          <w:ind w:right="147"/>
                          <w:rPr>
                            <w:sz w:val="14"/>
                          </w:rPr>
                        </w:pPr>
                        <w:r>
                          <w:rPr>
                            <w:w w:val="100"/>
                            <w:sz w:val="14"/>
                          </w:rPr>
                          <w:t>-</w:t>
                        </w:r>
                      </w:p>
                    </w:tc>
                    <w:tc>
                      <w:tcPr>
                        <w:tcW w:w="1012" w:type="dxa"/>
                      </w:tcPr>
                      <w:p>
                        <w:pPr>
                          <w:pStyle w:val="TableParagraph"/>
                          <w:spacing w:before="21"/>
                          <w:ind w:right="110"/>
                          <w:rPr>
                            <w:sz w:val="14"/>
                          </w:rPr>
                        </w:pPr>
                        <w:r>
                          <w:rPr>
                            <w:w w:val="100"/>
                            <w:sz w:val="14"/>
                          </w:rPr>
                          <w:t>9</w:t>
                        </w:r>
                      </w:p>
                    </w:tc>
                    <w:tc>
                      <w:tcPr>
                        <w:tcW w:w="1182" w:type="dxa"/>
                      </w:tcPr>
                      <w:p>
                        <w:pPr>
                          <w:pStyle w:val="TableParagraph"/>
                          <w:spacing w:before="21"/>
                          <w:ind w:right="158"/>
                          <w:rPr>
                            <w:sz w:val="14"/>
                          </w:rPr>
                        </w:pPr>
                        <w:r>
                          <w:rPr>
                            <w:sz w:val="14"/>
                          </w:rPr>
                          <w:t>28</w:t>
                        </w:r>
                      </w:p>
                    </w:tc>
                    <w:tc>
                      <w:tcPr>
                        <w:tcW w:w="1085" w:type="dxa"/>
                      </w:tcPr>
                      <w:p>
                        <w:pPr>
                          <w:pStyle w:val="TableParagraph"/>
                          <w:spacing w:before="21"/>
                          <w:ind w:right="195"/>
                          <w:rPr>
                            <w:sz w:val="14"/>
                          </w:rPr>
                        </w:pPr>
                        <w:r>
                          <w:rPr>
                            <w:w w:val="100"/>
                            <w:sz w:val="14"/>
                          </w:rPr>
                          <w:t>-</w:t>
                        </w:r>
                      </w:p>
                    </w:tc>
                    <w:tc>
                      <w:tcPr>
                        <w:tcW w:w="1063" w:type="dxa"/>
                      </w:tcPr>
                      <w:p>
                        <w:pPr>
                          <w:pStyle w:val="TableParagraph"/>
                          <w:spacing w:before="21"/>
                          <w:ind w:right="209"/>
                          <w:rPr>
                            <w:sz w:val="14"/>
                          </w:rPr>
                        </w:pPr>
                        <w:r>
                          <w:rPr>
                            <w:w w:val="100"/>
                            <w:sz w:val="14"/>
                          </w:rPr>
                          <w:t>-</w:t>
                        </w:r>
                      </w:p>
                    </w:tc>
                    <w:tc>
                      <w:tcPr>
                        <w:tcW w:w="908" w:type="dxa"/>
                      </w:tcPr>
                      <w:p>
                        <w:pPr>
                          <w:pStyle w:val="TableParagraph"/>
                          <w:spacing w:before="21"/>
                          <w:ind w:right="68"/>
                          <w:rPr>
                            <w:sz w:val="14"/>
                          </w:rPr>
                        </w:pPr>
                        <w:r>
                          <w:rPr>
                            <w:sz w:val="14"/>
                          </w:rPr>
                          <w:t>37</w:t>
                        </w:r>
                      </w:p>
                    </w:tc>
                  </w:tr>
                  <w:tr>
                    <w:trPr>
                      <w:trHeight w:val="379" w:hRule="exact"/>
                    </w:trPr>
                    <w:tc>
                      <w:tcPr>
                        <w:tcW w:w="3989" w:type="dxa"/>
                      </w:tcPr>
                      <w:p>
                        <w:pPr>
                          <w:pStyle w:val="TableParagraph"/>
                          <w:spacing w:before="21"/>
                          <w:ind w:left="68"/>
                          <w:jc w:val="left"/>
                          <w:rPr>
                            <w:sz w:val="14"/>
                          </w:rPr>
                        </w:pPr>
                        <w:r>
                          <w:rPr>
                            <w:sz w:val="14"/>
                          </w:rPr>
                          <w:t>Transfers to Freehold Buildings and</w:t>
                        </w:r>
                      </w:p>
                      <w:p>
                        <w:pPr>
                          <w:pStyle w:val="TableParagraph"/>
                          <w:tabs>
                            <w:tab w:pos="3330" w:val="left" w:leader="none"/>
                          </w:tabs>
                          <w:ind w:left="68"/>
                          <w:jc w:val="left"/>
                          <w:rPr>
                            <w:sz w:val="14"/>
                          </w:rPr>
                        </w:pPr>
                        <w:r>
                          <w:rPr>
                            <w:sz w:val="14"/>
                          </w:rPr>
                          <w:t>Plant &amp; Equipment</w:t>
                          <w:tab/>
                          <w:t>(76,421)</w:t>
                        </w:r>
                      </w:p>
                    </w:tc>
                    <w:tc>
                      <w:tcPr>
                        <w:tcW w:w="994" w:type="dxa"/>
                      </w:tcPr>
                      <w:p>
                        <w:pPr>
                          <w:pStyle w:val="TableParagraph"/>
                          <w:spacing w:before="9"/>
                          <w:jc w:val="left"/>
                          <w:rPr>
                            <w:rFonts w:ascii="Times New Roman"/>
                            <w:sz w:val="15"/>
                          </w:rPr>
                        </w:pPr>
                      </w:p>
                      <w:p>
                        <w:pPr>
                          <w:pStyle w:val="TableParagraph"/>
                          <w:ind w:right="125"/>
                          <w:rPr>
                            <w:sz w:val="14"/>
                          </w:rPr>
                        </w:pPr>
                        <w:r>
                          <w:rPr>
                            <w:w w:val="100"/>
                            <w:sz w:val="14"/>
                          </w:rPr>
                          <w:t>-</w:t>
                        </w:r>
                      </w:p>
                    </w:tc>
                    <w:tc>
                      <w:tcPr>
                        <w:tcW w:w="1069" w:type="dxa"/>
                      </w:tcPr>
                      <w:p>
                        <w:pPr>
                          <w:pStyle w:val="TableParagraph"/>
                          <w:spacing w:before="9"/>
                          <w:jc w:val="left"/>
                          <w:rPr>
                            <w:rFonts w:ascii="Times New Roman"/>
                            <w:sz w:val="15"/>
                          </w:rPr>
                        </w:pPr>
                      </w:p>
                      <w:p>
                        <w:pPr>
                          <w:pStyle w:val="TableParagraph"/>
                          <w:ind w:right="145"/>
                          <w:rPr>
                            <w:sz w:val="14"/>
                          </w:rPr>
                        </w:pPr>
                        <w:r>
                          <w:rPr>
                            <w:w w:val="100"/>
                            <w:sz w:val="14"/>
                          </w:rPr>
                          <w:t>-</w:t>
                        </w:r>
                      </w:p>
                    </w:tc>
                    <w:tc>
                      <w:tcPr>
                        <w:tcW w:w="1004" w:type="dxa"/>
                      </w:tcPr>
                      <w:p>
                        <w:pPr>
                          <w:pStyle w:val="TableParagraph"/>
                          <w:spacing w:before="9"/>
                          <w:jc w:val="left"/>
                          <w:rPr>
                            <w:rFonts w:ascii="Times New Roman"/>
                            <w:sz w:val="15"/>
                          </w:rPr>
                        </w:pPr>
                      </w:p>
                      <w:p>
                        <w:pPr>
                          <w:pStyle w:val="TableParagraph"/>
                          <w:ind w:right="101"/>
                          <w:rPr>
                            <w:sz w:val="14"/>
                          </w:rPr>
                        </w:pPr>
                        <w:r>
                          <w:rPr>
                            <w:w w:val="100"/>
                            <w:sz w:val="14"/>
                          </w:rPr>
                          <w:t>-</w:t>
                        </w:r>
                      </w:p>
                    </w:tc>
                    <w:tc>
                      <w:tcPr>
                        <w:tcW w:w="1044" w:type="dxa"/>
                      </w:tcPr>
                      <w:p>
                        <w:pPr>
                          <w:pStyle w:val="TableParagraph"/>
                          <w:spacing w:before="9"/>
                          <w:jc w:val="left"/>
                          <w:rPr>
                            <w:rFonts w:ascii="Times New Roman"/>
                            <w:sz w:val="15"/>
                          </w:rPr>
                        </w:pPr>
                      </w:p>
                      <w:p>
                        <w:pPr>
                          <w:pStyle w:val="TableParagraph"/>
                          <w:ind w:right="95"/>
                          <w:rPr>
                            <w:sz w:val="14"/>
                          </w:rPr>
                        </w:pPr>
                        <w:r>
                          <w:rPr>
                            <w:w w:val="100"/>
                            <w:sz w:val="14"/>
                          </w:rPr>
                          <w:t>-</w:t>
                        </w:r>
                      </w:p>
                    </w:tc>
                    <w:tc>
                      <w:tcPr>
                        <w:tcW w:w="1141" w:type="dxa"/>
                      </w:tcPr>
                      <w:p>
                        <w:pPr>
                          <w:pStyle w:val="TableParagraph"/>
                          <w:spacing w:before="9"/>
                          <w:jc w:val="left"/>
                          <w:rPr>
                            <w:rFonts w:ascii="Times New Roman"/>
                            <w:sz w:val="15"/>
                          </w:rPr>
                        </w:pPr>
                      </w:p>
                      <w:p>
                        <w:pPr>
                          <w:pStyle w:val="TableParagraph"/>
                          <w:ind w:right="147"/>
                          <w:rPr>
                            <w:sz w:val="14"/>
                          </w:rPr>
                        </w:pPr>
                        <w:r>
                          <w:rPr>
                            <w:w w:val="100"/>
                            <w:sz w:val="14"/>
                          </w:rPr>
                          <w:t>-</w:t>
                        </w:r>
                      </w:p>
                    </w:tc>
                    <w:tc>
                      <w:tcPr>
                        <w:tcW w:w="1012" w:type="dxa"/>
                      </w:tcPr>
                      <w:p>
                        <w:pPr>
                          <w:pStyle w:val="TableParagraph"/>
                          <w:spacing w:before="9"/>
                          <w:jc w:val="left"/>
                          <w:rPr>
                            <w:rFonts w:ascii="Times New Roman"/>
                            <w:sz w:val="15"/>
                          </w:rPr>
                        </w:pPr>
                      </w:p>
                      <w:p>
                        <w:pPr>
                          <w:pStyle w:val="TableParagraph"/>
                          <w:ind w:right="110"/>
                          <w:rPr>
                            <w:sz w:val="14"/>
                          </w:rPr>
                        </w:pPr>
                        <w:r>
                          <w:rPr>
                            <w:w w:val="100"/>
                            <w:sz w:val="14"/>
                          </w:rPr>
                          <w:t>-</w:t>
                        </w:r>
                      </w:p>
                    </w:tc>
                    <w:tc>
                      <w:tcPr>
                        <w:tcW w:w="1182" w:type="dxa"/>
                      </w:tcPr>
                      <w:p>
                        <w:pPr>
                          <w:pStyle w:val="TableParagraph"/>
                          <w:spacing w:before="9"/>
                          <w:jc w:val="left"/>
                          <w:rPr>
                            <w:rFonts w:ascii="Times New Roman"/>
                            <w:sz w:val="15"/>
                          </w:rPr>
                        </w:pPr>
                      </w:p>
                      <w:p>
                        <w:pPr>
                          <w:pStyle w:val="TableParagraph"/>
                          <w:ind w:right="158"/>
                          <w:rPr>
                            <w:sz w:val="14"/>
                          </w:rPr>
                        </w:pPr>
                        <w:r>
                          <w:rPr>
                            <w:w w:val="100"/>
                            <w:sz w:val="14"/>
                          </w:rPr>
                          <w:t>-</w:t>
                        </w:r>
                      </w:p>
                    </w:tc>
                    <w:tc>
                      <w:tcPr>
                        <w:tcW w:w="1085" w:type="dxa"/>
                      </w:tcPr>
                      <w:p>
                        <w:pPr>
                          <w:pStyle w:val="TableParagraph"/>
                          <w:spacing w:before="9"/>
                          <w:jc w:val="left"/>
                          <w:rPr>
                            <w:rFonts w:ascii="Times New Roman"/>
                            <w:sz w:val="15"/>
                          </w:rPr>
                        </w:pPr>
                      </w:p>
                      <w:p>
                        <w:pPr>
                          <w:pStyle w:val="TableParagraph"/>
                          <w:ind w:right="195"/>
                          <w:rPr>
                            <w:sz w:val="14"/>
                          </w:rPr>
                        </w:pPr>
                        <w:r>
                          <w:rPr>
                            <w:w w:val="100"/>
                            <w:sz w:val="14"/>
                          </w:rPr>
                          <w:t>-</w:t>
                        </w:r>
                      </w:p>
                    </w:tc>
                    <w:tc>
                      <w:tcPr>
                        <w:tcW w:w="1063" w:type="dxa"/>
                      </w:tcPr>
                      <w:p>
                        <w:pPr>
                          <w:pStyle w:val="TableParagraph"/>
                          <w:spacing w:before="9"/>
                          <w:jc w:val="left"/>
                          <w:rPr>
                            <w:rFonts w:ascii="Times New Roman"/>
                            <w:sz w:val="15"/>
                          </w:rPr>
                        </w:pPr>
                      </w:p>
                      <w:p>
                        <w:pPr>
                          <w:pStyle w:val="TableParagraph"/>
                          <w:ind w:right="209"/>
                          <w:rPr>
                            <w:sz w:val="14"/>
                          </w:rPr>
                        </w:pPr>
                        <w:r>
                          <w:rPr>
                            <w:w w:val="100"/>
                            <w:sz w:val="14"/>
                          </w:rPr>
                          <w:t>-</w:t>
                        </w:r>
                      </w:p>
                    </w:tc>
                    <w:tc>
                      <w:tcPr>
                        <w:tcW w:w="908" w:type="dxa"/>
                      </w:tcPr>
                      <w:p>
                        <w:pPr>
                          <w:pStyle w:val="TableParagraph"/>
                          <w:spacing w:before="9"/>
                          <w:jc w:val="left"/>
                          <w:rPr>
                            <w:rFonts w:ascii="Times New Roman"/>
                            <w:sz w:val="15"/>
                          </w:rPr>
                        </w:pPr>
                      </w:p>
                      <w:p>
                        <w:pPr>
                          <w:pStyle w:val="TableParagraph"/>
                          <w:ind w:right="22"/>
                          <w:rPr>
                            <w:sz w:val="14"/>
                          </w:rPr>
                        </w:pPr>
                        <w:r>
                          <w:rPr>
                            <w:sz w:val="14"/>
                          </w:rPr>
                          <w:t>(76,421)</w:t>
                        </w:r>
                      </w:p>
                    </w:tc>
                  </w:tr>
                  <w:tr>
                    <w:trPr>
                      <w:trHeight w:val="379" w:hRule="exact"/>
                    </w:trPr>
                    <w:tc>
                      <w:tcPr>
                        <w:tcW w:w="3989" w:type="dxa"/>
                      </w:tcPr>
                      <w:p>
                        <w:pPr>
                          <w:pStyle w:val="TableParagraph"/>
                          <w:spacing w:before="21"/>
                          <w:ind w:left="68"/>
                          <w:jc w:val="left"/>
                          <w:rPr>
                            <w:sz w:val="14"/>
                          </w:rPr>
                        </w:pPr>
                        <w:r>
                          <w:rPr>
                            <w:sz w:val="14"/>
                          </w:rPr>
                          <w:t>Transfers from Construction in</w:t>
                        </w:r>
                      </w:p>
                      <w:p>
                        <w:pPr>
                          <w:pStyle w:val="TableParagraph"/>
                          <w:tabs>
                            <w:tab w:pos="3759" w:val="left" w:leader="none"/>
                          </w:tabs>
                          <w:ind w:left="68"/>
                          <w:jc w:val="left"/>
                          <w:rPr>
                            <w:sz w:val="14"/>
                          </w:rPr>
                        </w:pPr>
                        <w:r>
                          <w:rPr>
                            <w:sz w:val="14"/>
                          </w:rPr>
                          <w:t>Progress</w:t>
                          <w:tab/>
                          <w:t>-</w:t>
                        </w:r>
                      </w:p>
                    </w:tc>
                    <w:tc>
                      <w:tcPr>
                        <w:tcW w:w="994" w:type="dxa"/>
                      </w:tcPr>
                      <w:p>
                        <w:pPr>
                          <w:pStyle w:val="TableParagraph"/>
                          <w:spacing w:before="9"/>
                          <w:jc w:val="left"/>
                          <w:rPr>
                            <w:rFonts w:ascii="Times New Roman"/>
                            <w:sz w:val="15"/>
                          </w:rPr>
                        </w:pPr>
                      </w:p>
                      <w:p>
                        <w:pPr>
                          <w:pStyle w:val="TableParagraph"/>
                          <w:ind w:right="125"/>
                          <w:rPr>
                            <w:sz w:val="14"/>
                          </w:rPr>
                        </w:pPr>
                        <w:r>
                          <w:rPr>
                            <w:w w:val="100"/>
                            <w:sz w:val="14"/>
                          </w:rPr>
                          <w:t>-</w:t>
                        </w:r>
                      </w:p>
                    </w:tc>
                    <w:tc>
                      <w:tcPr>
                        <w:tcW w:w="1069" w:type="dxa"/>
                      </w:tcPr>
                      <w:p>
                        <w:pPr>
                          <w:pStyle w:val="TableParagraph"/>
                          <w:spacing w:before="9"/>
                          <w:jc w:val="left"/>
                          <w:rPr>
                            <w:rFonts w:ascii="Times New Roman"/>
                            <w:sz w:val="15"/>
                          </w:rPr>
                        </w:pPr>
                      </w:p>
                      <w:p>
                        <w:pPr>
                          <w:pStyle w:val="TableParagraph"/>
                          <w:ind w:right="145"/>
                          <w:rPr>
                            <w:sz w:val="14"/>
                          </w:rPr>
                        </w:pPr>
                        <w:r>
                          <w:rPr>
                            <w:w w:val="100"/>
                            <w:sz w:val="14"/>
                          </w:rPr>
                          <w:t>-</w:t>
                        </w:r>
                      </w:p>
                    </w:tc>
                    <w:tc>
                      <w:tcPr>
                        <w:tcW w:w="1004" w:type="dxa"/>
                      </w:tcPr>
                      <w:p>
                        <w:pPr>
                          <w:pStyle w:val="TableParagraph"/>
                          <w:spacing w:before="9"/>
                          <w:jc w:val="left"/>
                          <w:rPr>
                            <w:rFonts w:ascii="Times New Roman"/>
                            <w:sz w:val="15"/>
                          </w:rPr>
                        </w:pPr>
                      </w:p>
                      <w:p>
                        <w:pPr>
                          <w:pStyle w:val="TableParagraph"/>
                          <w:ind w:right="99"/>
                          <w:rPr>
                            <w:sz w:val="14"/>
                          </w:rPr>
                        </w:pPr>
                        <w:r>
                          <w:rPr>
                            <w:sz w:val="14"/>
                          </w:rPr>
                          <w:t>54,304</w:t>
                        </w:r>
                      </w:p>
                    </w:tc>
                    <w:tc>
                      <w:tcPr>
                        <w:tcW w:w="1044" w:type="dxa"/>
                      </w:tcPr>
                      <w:p>
                        <w:pPr>
                          <w:pStyle w:val="TableParagraph"/>
                          <w:spacing w:before="9"/>
                          <w:jc w:val="left"/>
                          <w:rPr>
                            <w:rFonts w:ascii="Times New Roman"/>
                            <w:sz w:val="15"/>
                          </w:rPr>
                        </w:pPr>
                      </w:p>
                      <w:p>
                        <w:pPr>
                          <w:pStyle w:val="TableParagraph"/>
                          <w:ind w:right="95"/>
                          <w:rPr>
                            <w:sz w:val="14"/>
                          </w:rPr>
                        </w:pPr>
                        <w:r>
                          <w:rPr>
                            <w:sz w:val="14"/>
                          </w:rPr>
                          <w:t>11,674</w:t>
                        </w:r>
                      </w:p>
                    </w:tc>
                    <w:tc>
                      <w:tcPr>
                        <w:tcW w:w="1141" w:type="dxa"/>
                      </w:tcPr>
                      <w:p>
                        <w:pPr>
                          <w:pStyle w:val="TableParagraph"/>
                          <w:spacing w:before="9"/>
                          <w:jc w:val="left"/>
                          <w:rPr>
                            <w:rFonts w:ascii="Times New Roman"/>
                            <w:sz w:val="15"/>
                          </w:rPr>
                        </w:pPr>
                      </w:p>
                      <w:p>
                        <w:pPr>
                          <w:pStyle w:val="TableParagraph"/>
                          <w:ind w:right="147"/>
                          <w:rPr>
                            <w:sz w:val="14"/>
                          </w:rPr>
                        </w:pPr>
                        <w:r>
                          <w:rPr>
                            <w:w w:val="100"/>
                            <w:sz w:val="14"/>
                          </w:rPr>
                          <w:t>-</w:t>
                        </w:r>
                      </w:p>
                    </w:tc>
                    <w:tc>
                      <w:tcPr>
                        <w:tcW w:w="1012" w:type="dxa"/>
                      </w:tcPr>
                      <w:p>
                        <w:pPr>
                          <w:pStyle w:val="TableParagraph"/>
                          <w:spacing w:before="9"/>
                          <w:jc w:val="left"/>
                          <w:rPr>
                            <w:rFonts w:ascii="Times New Roman"/>
                            <w:sz w:val="15"/>
                          </w:rPr>
                        </w:pPr>
                      </w:p>
                      <w:p>
                        <w:pPr>
                          <w:pStyle w:val="TableParagraph"/>
                          <w:ind w:right="110"/>
                          <w:rPr>
                            <w:sz w:val="14"/>
                          </w:rPr>
                        </w:pPr>
                        <w:r>
                          <w:rPr>
                            <w:sz w:val="14"/>
                          </w:rPr>
                          <w:t>9,760</w:t>
                        </w:r>
                      </w:p>
                    </w:tc>
                    <w:tc>
                      <w:tcPr>
                        <w:tcW w:w="1182" w:type="dxa"/>
                      </w:tcPr>
                      <w:p>
                        <w:pPr>
                          <w:pStyle w:val="TableParagraph"/>
                          <w:spacing w:before="9"/>
                          <w:jc w:val="left"/>
                          <w:rPr>
                            <w:rFonts w:ascii="Times New Roman"/>
                            <w:sz w:val="15"/>
                          </w:rPr>
                        </w:pPr>
                      </w:p>
                      <w:p>
                        <w:pPr>
                          <w:pStyle w:val="TableParagraph"/>
                          <w:ind w:right="158"/>
                          <w:rPr>
                            <w:sz w:val="14"/>
                          </w:rPr>
                        </w:pPr>
                        <w:r>
                          <w:rPr>
                            <w:sz w:val="14"/>
                          </w:rPr>
                          <w:t>683</w:t>
                        </w:r>
                      </w:p>
                    </w:tc>
                    <w:tc>
                      <w:tcPr>
                        <w:tcW w:w="1085" w:type="dxa"/>
                      </w:tcPr>
                      <w:p>
                        <w:pPr>
                          <w:pStyle w:val="TableParagraph"/>
                          <w:spacing w:before="9"/>
                          <w:jc w:val="left"/>
                          <w:rPr>
                            <w:rFonts w:ascii="Times New Roman"/>
                            <w:sz w:val="15"/>
                          </w:rPr>
                        </w:pPr>
                      </w:p>
                      <w:p>
                        <w:pPr>
                          <w:pStyle w:val="TableParagraph"/>
                          <w:ind w:right="195"/>
                          <w:rPr>
                            <w:sz w:val="14"/>
                          </w:rPr>
                        </w:pPr>
                        <w:r>
                          <w:rPr>
                            <w:w w:val="100"/>
                            <w:sz w:val="14"/>
                          </w:rPr>
                          <w:t>-</w:t>
                        </w:r>
                      </w:p>
                    </w:tc>
                    <w:tc>
                      <w:tcPr>
                        <w:tcW w:w="1063" w:type="dxa"/>
                      </w:tcPr>
                      <w:p>
                        <w:pPr>
                          <w:pStyle w:val="TableParagraph"/>
                          <w:spacing w:before="9"/>
                          <w:jc w:val="left"/>
                          <w:rPr>
                            <w:rFonts w:ascii="Times New Roman"/>
                            <w:sz w:val="15"/>
                          </w:rPr>
                        </w:pPr>
                      </w:p>
                      <w:p>
                        <w:pPr>
                          <w:pStyle w:val="TableParagraph"/>
                          <w:ind w:right="209"/>
                          <w:rPr>
                            <w:sz w:val="14"/>
                          </w:rPr>
                        </w:pPr>
                        <w:r>
                          <w:rPr>
                            <w:w w:val="100"/>
                            <w:sz w:val="14"/>
                          </w:rPr>
                          <w:t>-</w:t>
                        </w:r>
                      </w:p>
                    </w:tc>
                    <w:tc>
                      <w:tcPr>
                        <w:tcW w:w="908" w:type="dxa"/>
                      </w:tcPr>
                      <w:p>
                        <w:pPr>
                          <w:pStyle w:val="TableParagraph"/>
                          <w:spacing w:before="9"/>
                          <w:jc w:val="left"/>
                          <w:rPr>
                            <w:rFonts w:ascii="Times New Roman"/>
                            <w:sz w:val="15"/>
                          </w:rPr>
                        </w:pPr>
                      </w:p>
                      <w:p>
                        <w:pPr>
                          <w:pStyle w:val="TableParagraph"/>
                          <w:ind w:right="68"/>
                          <w:rPr>
                            <w:sz w:val="14"/>
                          </w:rPr>
                        </w:pPr>
                        <w:r>
                          <w:rPr>
                            <w:sz w:val="14"/>
                          </w:rPr>
                          <w:t>76,421</w:t>
                        </w:r>
                      </w:p>
                    </w:tc>
                  </w:tr>
                  <w:tr>
                    <w:trPr>
                      <w:trHeight w:val="219" w:hRule="exact"/>
                    </w:trPr>
                    <w:tc>
                      <w:tcPr>
                        <w:tcW w:w="3989" w:type="dxa"/>
                        <w:tcBorders>
                          <w:bottom w:val="single" w:sz="0" w:space="0" w:color="000000"/>
                        </w:tcBorders>
                      </w:tcPr>
                      <w:p>
                        <w:pPr>
                          <w:pStyle w:val="TableParagraph"/>
                          <w:tabs>
                            <w:tab w:pos="3759" w:val="left" w:leader="none"/>
                          </w:tabs>
                          <w:spacing w:before="22"/>
                          <w:ind w:left="68"/>
                          <w:jc w:val="left"/>
                          <w:rPr>
                            <w:sz w:val="14"/>
                          </w:rPr>
                        </w:pPr>
                        <w:r>
                          <w:rPr>
                            <w:sz w:val="14"/>
                          </w:rPr>
                          <w:t>Transfers to Held for</w:t>
                        </w:r>
                        <w:r>
                          <w:rPr>
                            <w:spacing w:val="2"/>
                            <w:sz w:val="14"/>
                          </w:rPr>
                          <w:t> </w:t>
                        </w:r>
                        <w:r>
                          <w:rPr>
                            <w:sz w:val="14"/>
                          </w:rPr>
                          <w:t>Sale Assets</w:t>
                          <w:tab/>
                          <w:t>-</w:t>
                        </w:r>
                      </w:p>
                    </w:tc>
                    <w:tc>
                      <w:tcPr>
                        <w:tcW w:w="994" w:type="dxa"/>
                        <w:tcBorders>
                          <w:bottom w:val="single" w:sz="0" w:space="0" w:color="000000"/>
                        </w:tcBorders>
                      </w:tcPr>
                      <w:p>
                        <w:pPr>
                          <w:pStyle w:val="TableParagraph"/>
                          <w:spacing w:before="21"/>
                          <w:ind w:right="78"/>
                          <w:rPr>
                            <w:sz w:val="14"/>
                          </w:rPr>
                        </w:pPr>
                        <w:r>
                          <w:rPr>
                            <w:sz w:val="14"/>
                          </w:rPr>
                          <w:t>(10,859)</w:t>
                        </w:r>
                      </w:p>
                    </w:tc>
                    <w:tc>
                      <w:tcPr>
                        <w:tcW w:w="1069" w:type="dxa"/>
                        <w:tcBorders>
                          <w:bottom w:val="single" w:sz="0" w:space="0" w:color="000000"/>
                        </w:tcBorders>
                      </w:tcPr>
                      <w:p>
                        <w:pPr>
                          <w:pStyle w:val="TableParagraph"/>
                          <w:spacing w:before="21"/>
                          <w:ind w:right="145"/>
                          <w:rPr>
                            <w:sz w:val="14"/>
                          </w:rPr>
                        </w:pPr>
                        <w:r>
                          <w:rPr>
                            <w:w w:val="100"/>
                            <w:sz w:val="14"/>
                          </w:rPr>
                          <w:t>-</w:t>
                        </w:r>
                      </w:p>
                    </w:tc>
                    <w:tc>
                      <w:tcPr>
                        <w:tcW w:w="1004" w:type="dxa"/>
                        <w:tcBorders>
                          <w:bottom w:val="single" w:sz="0" w:space="0" w:color="000000"/>
                        </w:tcBorders>
                      </w:tcPr>
                      <w:p>
                        <w:pPr>
                          <w:pStyle w:val="TableParagraph"/>
                          <w:spacing w:before="21"/>
                          <w:ind w:right="101"/>
                          <w:rPr>
                            <w:sz w:val="14"/>
                          </w:rPr>
                        </w:pPr>
                        <w:r>
                          <w:rPr>
                            <w:w w:val="100"/>
                            <w:sz w:val="14"/>
                          </w:rPr>
                          <w:t>-</w:t>
                        </w:r>
                      </w:p>
                    </w:tc>
                    <w:tc>
                      <w:tcPr>
                        <w:tcW w:w="1044" w:type="dxa"/>
                        <w:tcBorders>
                          <w:bottom w:val="single" w:sz="0" w:space="0" w:color="000000"/>
                        </w:tcBorders>
                      </w:tcPr>
                      <w:p>
                        <w:pPr>
                          <w:pStyle w:val="TableParagraph"/>
                          <w:spacing w:before="21"/>
                          <w:ind w:right="48"/>
                          <w:rPr>
                            <w:sz w:val="14"/>
                          </w:rPr>
                        </w:pPr>
                        <w:r>
                          <w:rPr>
                            <w:sz w:val="14"/>
                          </w:rPr>
                          <w:t>(5,171)</w:t>
                        </w:r>
                      </w:p>
                    </w:tc>
                    <w:tc>
                      <w:tcPr>
                        <w:tcW w:w="1141" w:type="dxa"/>
                        <w:tcBorders>
                          <w:bottom w:val="single" w:sz="0" w:space="0" w:color="000000"/>
                        </w:tcBorders>
                      </w:tcPr>
                      <w:p>
                        <w:pPr>
                          <w:pStyle w:val="TableParagraph"/>
                          <w:spacing w:before="21"/>
                          <w:ind w:right="147"/>
                          <w:rPr>
                            <w:sz w:val="14"/>
                          </w:rPr>
                        </w:pPr>
                        <w:r>
                          <w:rPr>
                            <w:w w:val="100"/>
                            <w:sz w:val="14"/>
                          </w:rPr>
                          <w:t>-</w:t>
                        </w:r>
                      </w:p>
                    </w:tc>
                    <w:tc>
                      <w:tcPr>
                        <w:tcW w:w="1012" w:type="dxa"/>
                        <w:tcBorders>
                          <w:bottom w:val="single" w:sz="0" w:space="0" w:color="000000"/>
                        </w:tcBorders>
                      </w:tcPr>
                      <w:p>
                        <w:pPr>
                          <w:pStyle w:val="TableParagraph"/>
                          <w:spacing w:before="21"/>
                          <w:ind w:right="110"/>
                          <w:rPr>
                            <w:sz w:val="14"/>
                          </w:rPr>
                        </w:pPr>
                        <w:r>
                          <w:rPr>
                            <w:w w:val="100"/>
                            <w:sz w:val="14"/>
                          </w:rPr>
                          <w:t>-</w:t>
                        </w:r>
                      </w:p>
                    </w:tc>
                    <w:tc>
                      <w:tcPr>
                        <w:tcW w:w="1182" w:type="dxa"/>
                        <w:tcBorders>
                          <w:bottom w:val="single" w:sz="0" w:space="0" w:color="000000"/>
                        </w:tcBorders>
                      </w:tcPr>
                      <w:p>
                        <w:pPr>
                          <w:pStyle w:val="TableParagraph"/>
                          <w:spacing w:before="21"/>
                          <w:ind w:right="158"/>
                          <w:rPr>
                            <w:sz w:val="14"/>
                          </w:rPr>
                        </w:pPr>
                        <w:r>
                          <w:rPr>
                            <w:w w:val="100"/>
                            <w:sz w:val="14"/>
                          </w:rPr>
                          <w:t>-</w:t>
                        </w:r>
                      </w:p>
                    </w:tc>
                    <w:tc>
                      <w:tcPr>
                        <w:tcW w:w="1085" w:type="dxa"/>
                        <w:tcBorders>
                          <w:bottom w:val="single" w:sz="0" w:space="0" w:color="000000"/>
                        </w:tcBorders>
                      </w:tcPr>
                      <w:p>
                        <w:pPr>
                          <w:pStyle w:val="TableParagraph"/>
                          <w:spacing w:before="21"/>
                          <w:ind w:right="195"/>
                          <w:rPr>
                            <w:sz w:val="14"/>
                          </w:rPr>
                        </w:pPr>
                        <w:r>
                          <w:rPr>
                            <w:w w:val="100"/>
                            <w:sz w:val="14"/>
                          </w:rPr>
                          <w:t>-</w:t>
                        </w:r>
                      </w:p>
                    </w:tc>
                    <w:tc>
                      <w:tcPr>
                        <w:tcW w:w="1063" w:type="dxa"/>
                        <w:tcBorders>
                          <w:bottom w:val="single" w:sz="0" w:space="0" w:color="000000"/>
                        </w:tcBorders>
                      </w:tcPr>
                      <w:p>
                        <w:pPr>
                          <w:pStyle w:val="TableParagraph"/>
                          <w:spacing w:before="21"/>
                          <w:ind w:right="209"/>
                          <w:rPr>
                            <w:sz w:val="14"/>
                          </w:rPr>
                        </w:pPr>
                        <w:r>
                          <w:rPr>
                            <w:w w:val="100"/>
                            <w:sz w:val="14"/>
                          </w:rPr>
                          <w:t>-</w:t>
                        </w:r>
                      </w:p>
                    </w:tc>
                    <w:tc>
                      <w:tcPr>
                        <w:tcW w:w="908" w:type="dxa"/>
                        <w:tcBorders>
                          <w:bottom w:val="single" w:sz="0" w:space="0" w:color="000000"/>
                        </w:tcBorders>
                      </w:tcPr>
                      <w:p>
                        <w:pPr>
                          <w:pStyle w:val="TableParagraph"/>
                          <w:spacing w:before="21"/>
                          <w:ind w:right="22"/>
                          <w:rPr>
                            <w:sz w:val="14"/>
                          </w:rPr>
                        </w:pPr>
                        <w:r>
                          <w:rPr>
                            <w:sz w:val="14"/>
                          </w:rPr>
                          <w:t>(16,030)</w:t>
                        </w:r>
                      </w:p>
                    </w:tc>
                  </w:tr>
                  <w:tr>
                    <w:trPr>
                      <w:trHeight w:val="293" w:hRule="exact"/>
                    </w:trPr>
                    <w:tc>
                      <w:tcPr>
                        <w:tcW w:w="3989" w:type="dxa"/>
                        <w:tcBorders>
                          <w:top w:val="single" w:sz="0" w:space="0" w:color="000000"/>
                          <w:bottom w:val="single" w:sz="0" w:space="0" w:color="000000"/>
                        </w:tcBorders>
                      </w:tcPr>
                      <w:p>
                        <w:pPr>
                          <w:pStyle w:val="TableParagraph"/>
                          <w:tabs>
                            <w:tab w:pos="3376" w:val="left" w:leader="none"/>
                          </w:tabs>
                          <w:spacing w:before="123"/>
                          <w:ind w:left="68"/>
                          <w:jc w:val="left"/>
                          <w:rPr>
                            <w:b/>
                            <w:sz w:val="14"/>
                          </w:rPr>
                        </w:pPr>
                        <w:r>
                          <w:rPr>
                            <w:b/>
                            <w:sz w:val="14"/>
                          </w:rPr>
                          <w:t>Closing Net</w:t>
                        </w:r>
                        <w:r>
                          <w:rPr>
                            <w:b/>
                            <w:spacing w:val="-8"/>
                            <w:sz w:val="14"/>
                          </w:rPr>
                          <w:t> </w:t>
                        </w:r>
                        <w:r>
                          <w:rPr>
                            <w:b/>
                            <w:sz w:val="14"/>
                          </w:rPr>
                          <w:t>Book</w:t>
                        </w:r>
                        <w:r>
                          <w:rPr>
                            <w:b/>
                            <w:spacing w:val="-4"/>
                            <w:sz w:val="14"/>
                          </w:rPr>
                          <w:t> </w:t>
                        </w:r>
                        <w:r>
                          <w:rPr>
                            <w:b/>
                            <w:sz w:val="14"/>
                          </w:rPr>
                          <w:t>Amount</w:t>
                          <w:tab/>
                          <w:t>84,171</w:t>
                        </w:r>
                      </w:p>
                    </w:tc>
                    <w:tc>
                      <w:tcPr>
                        <w:tcW w:w="994" w:type="dxa"/>
                        <w:tcBorders>
                          <w:top w:val="single" w:sz="0" w:space="0" w:color="000000"/>
                          <w:bottom w:val="single" w:sz="0" w:space="0" w:color="000000"/>
                        </w:tcBorders>
                      </w:tcPr>
                      <w:p>
                        <w:pPr>
                          <w:pStyle w:val="TableParagraph"/>
                          <w:spacing w:before="123"/>
                          <w:ind w:right="125"/>
                          <w:rPr>
                            <w:b/>
                            <w:sz w:val="14"/>
                          </w:rPr>
                        </w:pPr>
                        <w:r>
                          <w:rPr>
                            <w:b/>
                            <w:sz w:val="14"/>
                          </w:rPr>
                          <w:t>204,632</w:t>
                        </w:r>
                      </w:p>
                    </w:tc>
                    <w:tc>
                      <w:tcPr>
                        <w:tcW w:w="1069" w:type="dxa"/>
                        <w:tcBorders>
                          <w:top w:val="single" w:sz="0" w:space="0" w:color="000000"/>
                          <w:bottom w:val="single" w:sz="0" w:space="0" w:color="000000"/>
                        </w:tcBorders>
                      </w:tcPr>
                      <w:p>
                        <w:pPr>
                          <w:pStyle w:val="TableParagraph"/>
                          <w:spacing w:before="123"/>
                          <w:ind w:right="145"/>
                          <w:rPr>
                            <w:b/>
                            <w:sz w:val="14"/>
                          </w:rPr>
                        </w:pPr>
                        <w:r>
                          <w:rPr>
                            <w:b/>
                            <w:sz w:val="14"/>
                          </w:rPr>
                          <w:t>162,335</w:t>
                        </w:r>
                      </w:p>
                    </w:tc>
                    <w:tc>
                      <w:tcPr>
                        <w:tcW w:w="1004" w:type="dxa"/>
                        <w:tcBorders>
                          <w:top w:val="single" w:sz="0" w:space="0" w:color="000000"/>
                          <w:bottom w:val="single" w:sz="0" w:space="0" w:color="000000"/>
                        </w:tcBorders>
                      </w:tcPr>
                      <w:p>
                        <w:pPr>
                          <w:pStyle w:val="TableParagraph"/>
                          <w:spacing w:before="123"/>
                          <w:ind w:right="100"/>
                          <w:rPr>
                            <w:b/>
                            <w:sz w:val="14"/>
                          </w:rPr>
                        </w:pPr>
                        <w:r>
                          <w:rPr>
                            <w:b/>
                            <w:sz w:val="14"/>
                          </w:rPr>
                          <w:t>960,757</w:t>
                        </w:r>
                      </w:p>
                    </w:tc>
                    <w:tc>
                      <w:tcPr>
                        <w:tcW w:w="1044" w:type="dxa"/>
                        <w:tcBorders>
                          <w:top w:val="single" w:sz="0" w:space="0" w:color="000000"/>
                          <w:bottom w:val="single" w:sz="0" w:space="0" w:color="000000"/>
                        </w:tcBorders>
                      </w:tcPr>
                      <w:p>
                        <w:pPr>
                          <w:pStyle w:val="TableParagraph"/>
                          <w:spacing w:before="123"/>
                          <w:ind w:right="95"/>
                          <w:rPr>
                            <w:b/>
                            <w:sz w:val="14"/>
                          </w:rPr>
                        </w:pPr>
                        <w:r>
                          <w:rPr>
                            <w:b/>
                            <w:sz w:val="14"/>
                          </w:rPr>
                          <w:t>91,349</w:t>
                        </w:r>
                      </w:p>
                    </w:tc>
                    <w:tc>
                      <w:tcPr>
                        <w:tcW w:w="1141" w:type="dxa"/>
                        <w:tcBorders>
                          <w:top w:val="single" w:sz="0" w:space="0" w:color="000000"/>
                          <w:bottom w:val="single" w:sz="0" w:space="0" w:color="000000"/>
                        </w:tcBorders>
                      </w:tcPr>
                      <w:p>
                        <w:pPr>
                          <w:pStyle w:val="TableParagraph"/>
                          <w:spacing w:before="123"/>
                          <w:ind w:right="147"/>
                          <w:rPr>
                            <w:b/>
                            <w:sz w:val="14"/>
                          </w:rPr>
                        </w:pPr>
                        <w:r>
                          <w:rPr>
                            <w:b/>
                            <w:w w:val="100"/>
                            <w:sz w:val="14"/>
                          </w:rPr>
                          <w:t>-</w:t>
                        </w:r>
                      </w:p>
                    </w:tc>
                    <w:tc>
                      <w:tcPr>
                        <w:tcW w:w="1012" w:type="dxa"/>
                        <w:tcBorders>
                          <w:top w:val="single" w:sz="0" w:space="0" w:color="000000"/>
                          <w:bottom w:val="single" w:sz="0" w:space="0" w:color="000000"/>
                        </w:tcBorders>
                      </w:tcPr>
                      <w:p>
                        <w:pPr>
                          <w:pStyle w:val="TableParagraph"/>
                          <w:spacing w:before="123"/>
                          <w:ind w:right="110"/>
                          <w:rPr>
                            <w:b/>
                            <w:sz w:val="14"/>
                          </w:rPr>
                        </w:pPr>
                        <w:r>
                          <w:rPr>
                            <w:b/>
                            <w:sz w:val="14"/>
                          </w:rPr>
                          <w:t>65,750</w:t>
                        </w:r>
                      </w:p>
                    </w:tc>
                    <w:tc>
                      <w:tcPr>
                        <w:tcW w:w="1182" w:type="dxa"/>
                        <w:tcBorders>
                          <w:top w:val="single" w:sz="0" w:space="0" w:color="000000"/>
                          <w:bottom w:val="single" w:sz="0" w:space="0" w:color="000000"/>
                        </w:tcBorders>
                      </w:tcPr>
                      <w:p>
                        <w:pPr>
                          <w:pStyle w:val="TableParagraph"/>
                          <w:spacing w:before="123"/>
                          <w:ind w:right="158"/>
                          <w:rPr>
                            <w:b/>
                            <w:sz w:val="14"/>
                          </w:rPr>
                        </w:pPr>
                        <w:r>
                          <w:rPr>
                            <w:b/>
                            <w:sz w:val="14"/>
                          </w:rPr>
                          <w:t>11,970</w:t>
                        </w:r>
                      </w:p>
                    </w:tc>
                    <w:tc>
                      <w:tcPr>
                        <w:tcW w:w="1085" w:type="dxa"/>
                        <w:tcBorders>
                          <w:top w:val="single" w:sz="0" w:space="0" w:color="000000"/>
                          <w:bottom w:val="single" w:sz="0" w:space="0" w:color="000000"/>
                        </w:tcBorders>
                      </w:tcPr>
                      <w:p>
                        <w:pPr>
                          <w:pStyle w:val="TableParagraph"/>
                          <w:spacing w:before="123"/>
                          <w:ind w:right="195"/>
                          <w:rPr>
                            <w:b/>
                            <w:sz w:val="14"/>
                          </w:rPr>
                        </w:pPr>
                        <w:r>
                          <w:rPr>
                            <w:b/>
                            <w:sz w:val="14"/>
                          </w:rPr>
                          <w:t>7,878</w:t>
                        </w:r>
                      </w:p>
                    </w:tc>
                    <w:tc>
                      <w:tcPr>
                        <w:tcW w:w="1063" w:type="dxa"/>
                        <w:tcBorders>
                          <w:top w:val="single" w:sz="0" w:space="0" w:color="000000"/>
                          <w:bottom w:val="single" w:sz="0" w:space="0" w:color="000000"/>
                        </w:tcBorders>
                      </w:tcPr>
                      <w:p>
                        <w:pPr>
                          <w:pStyle w:val="TableParagraph"/>
                          <w:spacing w:before="123"/>
                          <w:ind w:right="209"/>
                          <w:rPr>
                            <w:b/>
                            <w:sz w:val="14"/>
                          </w:rPr>
                        </w:pPr>
                        <w:r>
                          <w:rPr>
                            <w:b/>
                            <w:sz w:val="14"/>
                          </w:rPr>
                          <w:t>4,192</w:t>
                        </w:r>
                      </w:p>
                    </w:tc>
                    <w:tc>
                      <w:tcPr>
                        <w:tcW w:w="908" w:type="dxa"/>
                        <w:tcBorders>
                          <w:top w:val="single" w:sz="0" w:space="0" w:color="000000"/>
                          <w:bottom w:val="single" w:sz="0" w:space="0" w:color="000000"/>
                        </w:tcBorders>
                      </w:tcPr>
                      <w:p>
                        <w:pPr>
                          <w:pStyle w:val="TableParagraph"/>
                          <w:spacing w:before="123"/>
                          <w:ind w:right="68"/>
                          <w:rPr>
                            <w:b/>
                            <w:sz w:val="14"/>
                          </w:rPr>
                        </w:pPr>
                        <w:r>
                          <w:rPr>
                            <w:b/>
                            <w:sz w:val="14"/>
                          </w:rPr>
                          <w:t>1,593,034</w:t>
                        </w:r>
                      </w:p>
                    </w:tc>
                  </w:tr>
                  <w:tr>
                    <w:trPr>
                      <w:trHeight w:val="306" w:hRule="exact"/>
                    </w:trPr>
                    <w:tc>
                      <w:tcPr>
                        <w:tcW w:w="3989" w:type="dxa"/>
                        <w:tcBorders>
                          <w:top w:val="single" w:sz="0" w:space="0" w:color="000000"/>
                        </w:tcBorders>
                      </w:tcPr>
                      <w:p>
                        <w:pPr>
                          <w:pStyle w:val="TableParagraph"/>
                          <w:spacing w:before="123"/>
                          <w:ind w:left="68"/>
                          <w:jc w:val="left"/>
                          <w:rPr>
                            <w:b/>
                            <w:sz w:val="14"/>
                          </w:rPr>
                        </w:pPr>
                        <w:r>
                          <w:rPr>
                            <w:b/>
                            <w:sz w:val="14"/>
                          </w:rPr>
                          <w:t>At 31 December 2016</w:t>
                        </w:r>
                      </w:p>
                    </w:tc>
                    <w:tc>
                      <w:tcPr>
                        <w:tcW w:w="994" w:type="dxa"/>
                        <w:tcBorders>
                          <w:top w:val="single" w:sz="0" w:space="0" w:color="000000"/>
                        </w:tcBorders>
                      </w:tcPr>
                      <w:p>
                        <w:pPr/>
                      </w:p>
                    </w:tc>
                    <w:tc>
                      <w:tcPr>
                        <w:tcW w:w="1069" w:type="dxa"/>
                        <w:tcBorders>
                          <w:top w:val="single" w:sz="0" w:space="0" w:color="000000"/>
                        </w:tcBorders>
                      </w:tcPr>
                      <w:p>
                        <w:pPr/>
                      </w:p>
                    </w:tc>
                    <w:tc>
                      <w:tcPr>
                        <w:tcW w:w="1004" w:type="dxa"/>
                        <w:tcBorders>
                          <w:top w:val="single" w:sz="0" w:space="0" w:color="000000"/>
                        </w:tcBorders>
                      </w:tcPr>
                      <w:p>
                        <w:pPr/>
                      </w:p>
                    </w:tc>
                    <w:tc>
                      <w:tcPr>
                        <w:tcW w:w="1044" w:type="dxa"/>
                        <w:tcBorders>
                          <w:top w:val="single" w:sz="0" w:space="0" w:color="000000"/>
                        </w:tcBorders>
                      </w:tcPr>
                      <w:p>
                        <w:pPr/>
                      </w:p>
                    </w:tc>
                    <w:tc>
                      <w:tcPr>
                        <w:tcW w:w="1141" w:type="dxa"/>
                        <w:tcBorders>
                          <w:top w:val="single" w:sz="0" w:space="0" w:color="000000"/>
                        </w:tcBorders>
                      </w:tcPr>
                      <w:p>
                        <w:pPr/>
                      </w:p>
                    </w:tc>
                    <w:tc>
                      <w:tcPr>
                        <w:tcW w:w="1012" w:type="dxa"/>
                        <w:tcBorders>
                          <w:top w:val="single" w:sz="0" w:space="0" w:color="000000"/>
                        </w:tcBorders>
                      </w:tcPr>
                      <w:p>
                        <w:pPr/>
                      </w:p>
                    </w:tc>
                    <w:tc>
                      <w:tcPr>
                        <w:tcW w:w="1182" w:type="dxa"/>
                        <w:tcBorders>
                          <w:top w:val="single" w:sz="0" w:space="0" w:color="000000"/>
                        </w:tcBorders>
                      </w:tcPr>
                      <w:p>
                        <w:pPr/>
                      </w:p>
                    </w:tc>
                    <w:tc>
                      <w:tcPr>
                        <w:tcW w:w="1085" w:type="dxa"/>
                        <w:tcBorders>
                          <w:top w:val="single" w:sz="0" w:space="0" w:color="000000"/>
                        </w:tcBorders>
                      </w:tcPr>
                      <w:p>
                        <w:pPr/>
                      </w:p>
                    </w:tc>
                    <w:tc>
                      <w:tcPr>
                        <w:tcW w:w="1063" w:type="dxa"/>
                        <w:tcBorders>
                          <w:top w:val="single" w:sz="0" w:space="0" w:color="000000"/>
                        </w:tcBorders>
                      </w:tcPr>
                      <w:p>
                        <w:pPr/>
                      </w:p>
                    </w:tc>
                    <w:tc>
                      <w:tcPr>
                        <w:tcW w:w="908" w:type="dxa"/>
                        <w:tcBorders>
                          <w:top w:val="single" w:sz="0" w:space="0" w:color="000000"/>
                        </w:tcBorders>
                      </w:tcPr>
                      <w:p>
                        <w:pPr/>
                      </w:p>
                    </w:tc>
                  </w:tr>
                  <w:tr>
                    <w:trPr>
                      <w:trHeight w:val="205" w:hRule="exact"/>
                    </w:trPr>
                    <w:tc>
                      <w:tcPr>
                        <w:tcW w:w="3989" w:type="dxa"/>
                      </w:tcPr>
                      <w:p>
                        <w:pPr>
                          <w:pStyle w:val="TableParagraph"/>
                          <w:tabs>
                            <w:tab w:pos="3376" w:val="left" w:leader="none"/>
                          </w:tabs>
                          <w:spacing w:before="8"/>
                          <w:ind w:left="68"/>
                          <w:jc w:val="left"/>
                          <w:rPr>
                            <w:sz w:val="14"/>
                          </w:rPr>
                        </w:pPr>
                        <w:r>
                          <w:rPr>
                            <w:sz w:val="14"/>
                          </w:rPr>
                          <w:t>- Cost</w:t>
                          <w:tab/>
                          <w:t>84,171</w:t>
                        </w:r>
                      </w:p>
                    </w:tc>
                    <w:tc>
                      <w:tcPr>
                        <w:tcW w:w="994" w:type="dxa"/>
                      </w:tcPr>
                      <w:p>
                        <w:pPr>
                          <w:pStyle w:val="TableParagraph"/>
                          <w:spacing w:before="7"/>
                          <w:ind w:right="125"/>
                          <w:rPr>
                            <w:sz w:val="14"/>
                          </w:rPr>
                        </w:pPr>
                        <w:r>
                          <w:rPr>
                            <w:w w:val="100"/>
                            <w:sz w:val="14"/>
                          </w:rPr>
                          <w:t>-</w:t>
                        </w:r>
                      </w:p>
                    </w:tc>
                    <w:tc>
                      <w:tcPr>
                        <w:tcW w:w="1069" w:type="dxa"/>
                      </w:tcPr>
                      <w:p>
                        <w:pPr>
                          <w:pStyle w:val="TableParagraph"/>
                          <w:spacing w:before="7"/>
                          <w:ind w:right="145"/>
                          <w:rPr>
                            <w:sz w:val="14"/>
                          </w:rPr>
                        </w:pPr>
                        <w:r>
                          <w:rPr>
                            <w:w w:val="100"/>
                            <w:sz w:val="14"/>
                          </w:rPr>
                          <w:t>-</w:t>
                        </w:r>
                      </w:p>
                    </w:tc>
                    <w:tc>
                      <w:tcPr>
                        <w:tcW w:w="1004" w:type="dxa"/>
                      </w:tcPr>
                      <w:p>
                        <w:pPr>
                          <w:pStyle w:val="TableParagraph"/>
                          <w:spacing w:before="7"/>
                          <w:ind w:right="99"/>
                          <w:rPr>
                            <w:sz w:val="14"/>
                          </w:rPr>
                        </w:pPr>
                        <w:r>
                          <w:rPr>
                            <w:sz w:val="14"/>
                          </w:rPr>
                          <w:t>47,788</w:t>
                        </w:r>
                      </w:p>
                    </w:tc>
                    <w:tc>
                      <w:tcPr>
                        <w:tcW w:w="1044" w:type="dxa"/>
                      </w:tcPr>
                      <w:p>
                        <w:pPr>
                          <w:pStyle w:val="TableParagraph"/>
                          <w:spacing w:before="7"/>
                          <w:ind w:right="95"/>
                          <w:rPr>
                            <w:sz w:val="14"/>
                          </w:rPr>
                        </w:pPr>
                        <w:r>
                          <w:rPr>
                            <w:sz w:val="14"/>
                          </w:rPr>
                          <w:t>2,518</w:t>
                        </w:r>
                      </w:p>
                    </w:tc>
                    <w:tc>
                      <w:tcPr>
                        <w:tcW w:w="1141" w:type="dxa"/>
                      </w:tcPr>
                      <w:p>
                        <w:pPr>
                          <w:pStyle w:val="TableParagraph"/>
                          <w:spacing w:before="7"/>
                          <w:ind w:right="147"/>
                          <w:rPr>
                            <w:sz w:val="14"/>
                          </w:rPr>
                        </w:pPr>
                        <w:r>
                          <w:rPr>
                            <w:sz w:val="14"/>
                          </w:rPr>
                          <w:t>4,594</w:t>
                        </w:r>
                      </w:p>
                    </w:tc>
                    <w:tc>
                      <w:tcPr>
                        <w:tcW w:w="1012" w:type="dxa"/>
                      </w:tcPr>
                      <w:p>
                        <w:pPr>
                          <w:pStyle w:val="TableParagraph"/>
                          <w:spacing w:before="7"/>
                          <w:ind w:right="110"/>
                          <w:rPr>
                            <w:sz w:val="14"/>
                          </w:rPr>
                        </w:pPr>
                        <w:r>
                          <w:rPr>
                            <w:sz w:val="14"/>
                          </w:rPr>
                          <w:t>147,150</w:t>
                        </w:r>
                      </w:p>
                    </w:tc>
                    <w:tc>
                      <w:tcPr>
                        <w:tcW w:w="1182" w:type="dxa"/>
                      </w:tcPr>
                      <w:p>
                        <w:pPr>
                          <w:pStyle w:val="TableParagraph"/>
                          <w:spacing w:before="7"/>
                          <w:ind w:right="158"/>
                          <w:rPr>
                            <w:sz w:val="14"/>
                          </w:rPr>
                        </w:pPr>
                        <w:r>
                          <w:rPr>
                            <w:sz w:val="14"/>
                          </w:rPr>
                          <w:t>19,122</w:t>
                        </w:r>
                      </w:p>
                    </w:tc>
                    <w:tc>
                      <w:tcPr>
                        <w:tcW w:w="1085" w:type="dxa"/>
                      </w:tcPr>
                      <w:p>
                        <w:pPr>
                          <w:pStyle w:val="TableParagraph"/>
                          <w:spacing w:before="7"/>
                          <w:ind w:right="195"/>
                          <w:rPr>
                            <w:sz w:val="14"/>
                          </w:rPr>
                        </w:pPr>
                        <w:r>
                          <w:rPr>
                            <w:sz w:val="14"/>
                          </w:rPr>
                          <w:t>81,139</w:t>
                        </w:r>
                      </w:p>
                    </w:tc>
                    <w:tc>
                      <w:tcPr>
                        <w:tcW w:w="1063" w:type="dxa"/>
                      </w:tcPr>
                      <w:p>
                        <w:pPr>
                          <w:pStyle w:val="TableParagraph"/>
                          <w:spacing w:before="7"/>
                          <w:ind w:right="209"/>
                          <w:rPr>
                            <w:sz w:val="14"/>
                          </w:rPr>
                        </w:pPr>
                        <w:r>
                          <w:rPr>
                            <w:w w:val="100"/>
                            <w:sz w:val="14"/>
                          </w:rPr>
                          <w:t>-</w:t>
                        </w:r>
                      </w:p>
                    </w:tc>
                    <w:tc>
                      <w:tcPr>
                        <w:tcW w:w="908" w:type="dxa"/>
                      </w:tcPr>
                      <w:p>
                        <w:pPr>
                          <w:pStyle w:val="TableParagraph"/>
                          <w:spacing w:before="7"/>
                          <w:ind w:right="68"/>
                          <w:rPr>
                            <w:sz w:val="14"/>
                          </w:rPr>
                        </w:pPr>
                        <w:r>
                          <w:rPr>
                            <w:sz w:val="14"/>
                          </w:rPr>
                          <w:t>386,482</w:t>
                        </w:r>
                      </w:p>
                    </w:tc>
                  </w:tr>
                  <w:tr>
                    <w:trPr>
                      <w:trHeight w:val="218" w:hRule="exact"/>
                    </w:trPr>
                    <w:tc>
                      <w:tcPr>
                        <w:tcW w:w="3989" w:type="dxa"/>
                      </w:tcPr>
                      <w:p>
                        <w:pPr>
                          <w:pStyle w:val="TableParagraph"/>
                          <w:tabs>
                            <w:tab w:pos="3759" w:val="left" w:leader="none"/>
                          </w:tabs>
                          <w:spacing w:before="22"/>
                          <w:ind w:left="68"/>
                          <w:jc w:val="left"/>
                          <w:rPr>
                            <w:sz w:val="14"/>
                          </w:rPr>
                        </w:pPr>
                        <w:r>
                          <w:rPr>
                            <w:sz w:val="14"/>
                          </w:rPr>
                          <w:t>- Valuation</w:t>
                          <w:tab/>
                          <w:t>-</w:t>
                        </w:r>
                      </w:p>
                    </w:tc>
                    <w:tc>
                      <w:tcPr>
                        <w:tcW w:w="994" w:type="dxa"/>
                      </w:tcPr>
                      <w:p>
                        <w:pPr>
                          <w:pStyle w:val="TableParagraph"/>
                          <w:spacing w:before="21"/>
                          <w:ind w:right="125"/>
                          <w:rPr>
                            <w:sz w:val="14"/>
                          </w:rPr>
                        </w:pPr>
                        <w:r>
                          <w:rPr>
                            <w:sz w:val="14"/>
                          </w:rPr>
                          <w:t>204,632</w:t>
                        </w:r>
                      </w:p>
                    </w:tc>
                    <w:tc>
                      <w:tcPr>
                        <w:tcW w:w="1069" w:type="dxa"/>
                      </w:tcPr>
                      <w:p>
                        <w:pPr>
                          <w:pStyle w:val="TableParagraph"/>
                          <w:spacing w:before="21"/>
                          <w:ind w:right="145"/>
                          <w:rPr>
                            <w:sz w:val="14"/>
                          </w:rPr>
                        </w:pPr>
                        <w:r>
                          <w:rPr>
                            <w:sz w:val="14"/>
                          </w:rPr>
                          <w:t>162,335</w:t>
                        </w:r>
                      </w:p>
                    </w:tc>
                    <w:tc>
                      <w:tcPr>
                        <w:tcW w:w="1004" w:type="dxa"/>
                      </w:tcPr>
                      <w:p>
                        <w:pPr>
                          <w:pStyle w:val="TableParagraph"/>
                          <w:spacing w:before="21"/>
                          <w:ind w:right="100"/>
                          <w:rPr>
                            <w:sz w:val="14"/>
                          </w:rPr>
                        </w:pPr>
                        <w:r>
                          <w:rPr>
                            <w:sz w:val="14"/>
                          </w:rPr>
                          <w:t>920,514</w:t>
                        </w:r>
                      </w:p>
                    </w:tc>
                    <w:tc>
                      <w:tcPr>
                        <w:tcW w:w="1044" w:type="dxa"/>
                      </w:tcPr>
                      <w:p>
                        <w:pPr>
                          <w:pStyle w:val="TableParagraph"/>
                          <w:spacing w:before="21"/>
                          <w:ind w:right="95"/>
                          <w:rPr>
                            <w:sz w:val="14"/>
                          </w:rPr>
                        </w:pPr>
                        <w:r>
                          <w:rPr>
                            <w:sz w:val="14"/>
                          </w:rPr>
                          <w:t>90,256</w:t>
                        </w:r>
                      </w:p>
                    </w:tc>
                    <w:tc>
                      <w:tcPr>
                        <w:tcW w:w="1141" w:type="dxa"/>
                      </w:tcPr>
                      <w:p>
                        <w:pPr>
                          <w:pStyle w:val="TableParagraph"/>
                          <w:spacing w:before="21"/>
                          <w:ind w:right="147"/>
                          <w:rPr>
                            <w:sz w:val="14"/>
                          </w:rPr>
                        </w:pPr>
                        <w:r>
                          <w:rPr>
                            <w:w w:val="100"/>
                            <w:sz w:val="14"/>
                          </w:rPr>
                          <w:t>-</w:t>
                        </w:r>
                      </w:p>
                    </w:tc>
                    <w:tc>
                      <w:tcPr>
                        <w:tcW w:w="1012" w:type="dxa"/>
                      </w:tcPr>
                      <w:p>
                        <w:pPr>
                          <w:pStyle w:val="TableParagraph"/>
                          <w:spacing w:before="21"/>
                          <w:ind w:right="110"/>
                          <w:rPr>
                            <w:sz w:val="14"/>
                          </w:rPr>
                        </w:pPr>
                        <w:r>
                          <w:rPr>
                            <w:w w:val="100"/>
                            <w:sz w:val="14"/>
                          </w:rPr>
                          <w:t>-</w:t>
                        </w:r>
                      </w:p>
                    </w:tc>
                    <w:tc>
                      <w:tcPr>
                        <w:tcW w:w="1182" w:type="dxa"/>
                      </w:tcPr>
                      <w:p>
                        <w:pPr>
                          <w:pStyle w:val="TableParagraph"/>
                          <w:spacing w:before="21"/>
                          <w:ind w:right="158"/>
                          <w:rPr>
                            <w:sz w:val="14"/>
                          </w:rPr>
                        </w:pPr>
                        <w:r>
                          <w:rPr>
                            <w:w w:val="100"/>
                            <w:sz w:val="14"/>
                          </w:rPr>
                          <w:t>-</w:t>
                        </w:r>
                      </w:p>
                    </w:tc>
                    <w:tc>
                      <w:tcPr>
                        <w:tcW w:w="1085" w:type="dxa"/>
                      </w:tcPr>
                      <w:p>
                        <w:pPr>
                          <w:pStyle w:val="TableParagraph"/>
                          <w:spacing w:before="21"/>
                          <w:ind w:right="195"/>
                          <w:rPr>
                            <w:sz w:val="14"/>
                          </w:rPr>
                        </w:pPr>
                        <w:r>
                          <w:rPr>
                            <w:sz w:val="14"/>
                          </w:rPr>
                          <w:t>881</w:t>
                        </w:r>
                      </w:p>
                    </w:tc>
                    <w:tc>
                      <w:tcPr>
                        <w:tcW w:w="1063" w:type="dxa"/>
                      </w:tcPr>
                      <w:p>
                        <w:pPr>
                          <w:pStyle w:val="TableParagraph"/>
                          <w:spacing w:before="21"/>
                          <w:ind w:right="209"/>
                          <w:rPr>
                            <w:sz w:val="14"/>
                          </w:rPr>
                        </w:pPr>
                        <w:r>
                          <w:rPr>
                            <w:sz w:val="14"/>
                          </w:rPr>
                          <w:t>4,192</w:t>
                        </w:r>
                      </w:p>
                    </w:tc>
                    <w:tc>
                      <w:tcPr>
                        <w:tcW w:w="908" w:type="dxa"/>
                      </w:tcPr>
                      <w:p>
                        <w:pPr>
                          <w:pStyle w:val="TableParagraph"/>
                          <w:spacing w:before="21"/>
                          <w:ind w:right="68"/>
                          <w:rPr>
                            <w:sz w:val="14"/>
                          </w:rPr>
                        </w:pPr>
                        <w:r>
                          <w:rPr>
                            <w:sz w:val="14"/>
                          </w:rPr>
                          <w:t>1,382,810</w:t>
                        </w:r>
                      </w:p>
                    </w:tc>
                  </w:tr>
                  <w:tr>
                    <w:trPr>
                      <w:trHeight w:val="219" w:hRule="exact"/>
                    </w:trPr>
                    <w:tc>
                      <w:tcPr>
                        <w:tcW w:w="3989" w:type="dxa"/>
                        <w:tcBorders>
                          <w:bottom w:val="single" w:sz="0" w:space="0" w:color="000000"/>
                        </w:tcBorders>
                      </w:tcPr>
                      <w:p>
                        <w:pPr>
                          <w:pStyle w:val="TableParagraph"/>
                          <w:tabs>
                            <w:tab w:pos="3759" w:val="left" w:leader="none"/>
                          </w:tabs>
                          <w:spacing w:before="22"/>
                          <w:ind w:left="68"/>
                          <w:jc w:val="left"/>
                          <w:rPr>
                            <w:sz w:val="14"/>
                          </w:rPr>
                        </w:pPr>
                        <w:r>
                          <w:rPr>
                            <w:sz w:val="14"/>
                          </w:rPr>
                          <w:t>Accumulated</w:t>
                        </w:r>
                        <w:r>
                          <w:rPr>
                            <w:spacing w:val="1"/>
                            <w:sz w:val="14"/>
                          </w:rPr>
                          <w:t> </w:t>
                        </w:r>
                        <w:r>
                          <w:rPr>
                            <w:sz w:val="14"/>
                          </w:rPr>
                          <w:t>depreciation</w:t>
                          <w:tab/>
                          <w:t>-</w:t>
                        </w:r>
                      </w:p>
                    </w:tc>
                    <w:tc>
                      <w:tcPr>
                        <w:tcW w:w="994" w:type="dxa"/>
                        <w:tcBorders>
                          <w:bottom w:val="single" w:sz="0" w:space="0" w:color="000000"/>
                        </w:tcBorders>
                      </w:tcPr>
                      <w:p>
                        <w:pPr>
                          <w:pStyle w:val="TableParagraph"/>
                          <w:spacing w:before="21"/>
                          <w:ind w:right="125"/>
                          <w:rPr>
                            <w:sz w:val="14"/>
                          </w:rPr>
                        </w:pPr>
                        <w:r>
                          <w:rPr>
                            <w:w w:val="100"/>
                            <w:sz w:val="14"/>
                          </w:rPr>
                          <w:t>-</w:t>
                        </w:r>
                      </w:p>
                    </w:tc>
                    <w:tc>
                      <w:tcPr>
                        <w:tcW w:w="1069" w:type="dxa"/>
                        <w:tcBorders>
                          <w:bottom w:val="single" w:sz="0" w:space="0" w:color="000000"/>
                        </w:tcBorders>
                      </w:tcPr>
                      <w:p>
                        <w:pPr>
                          <w:pStyle w:val="TableParagraph"/>
                          <w:spacing w:before="21"/>
                          <w:ind w:right="145"/>
                          <w:rPr>
                            <w:sz w:val="14"/>
                          </w:rPr>
                        </w:pPr>
                        <w:r>
                          <w:rPr>
                            <w:w w:val="100"/>
                            <w:sz w:val="14"/>
                          </w:rPr>
                          <w:t>-</w:t>
                        </w:r>
                      </w:p>
                    </w:tc>
                    <w:tc>
                      <w:tcPr>
                        <w:tcW w:w="1004" w:type="dxa"/>
                        <w:tcBorders>
                          <w:bottom w:val="single" w:sz="0" w:space="0" w:color="000000"/>
                        </w:tcBorders>
                      </w:tcPr>
                      <w:p>
                        <w:pPr>
                          <w:pStyle w:val="TableParagraph"/>
                          <w:spacing w:before="21"/>
                          <w:ind w:right="53"/>
                          <w:rPr>
                            <w:sz w:val="14"/>
                          </w:rPr>
                        </w:pPr>
                        <w:r>
                          <w:rPr>
                            <w:sz w:val="14"/>
                          </w:rPr>
                          <w:t>(7,545)</w:t>
                        </w:r>
                      </w:p>
                    </w:tc>
                    <w:tc>
                      <w:tcPr>
                        <w:tcW w:w="1044" w:type="dxa"/>
                        <w:tcBorders>
                          <w:bottom w:val="single" w:sz="0" w:space="0" w:color="000000"/>
                        </w:tcBorders>
                      </w:tcPr>
                      <w:p>
                        <w:pPr>
                          <w:pStyle w:val="TableParagraph"/>
                          <w:spacing w:before="21"/>
                          <w:ind w:right="48"/>
                          <w:rPr>
                            <w:sz w:val="14"/>
                          </w:rPr>
                        </w:pPr>
                        <w:r>
                          <w:rPr>
                            <w:sz w:val="14"/>
                          </w:rPr>
                          <w:t>(1,425)</w:t>
                        </w:r>
                      </w:p>
                    </w:tc>
                    <w:tc>
                      <w:tcPr>
                        <w:tcW w:w="1141" w:type="dxa"/>
                        <w:tcBorders>
                          <w:bottom w:val="single" w:sz="0" w:space="0" w:color="000000"/>
                        </w:tcBorders>
                      </w:tcPr>
                      <w:p>
                        <w:pPr>
                          <w:pStyle w:val="TableParagraph"/>
                          <w:spacing w:before="21"/>
                          <w:ind w:right="100"/>
                          <w:rPr>
                            <w:sz w:val="14"/>
                          </w:rPr>
                        </w:pPr>
                        <w:r>
                          <w:rPr>
                            <w:sz w:val="14"/>
                          </w:rPr>
                          <w:t>(4,594)</w:t>
                        </w:r>
                      </w:p>
                    </w:tc>
                    <w:tc>
                      <w:tcPr>
                        <w:tcW w:w="1012" w:type="dxa"/>
                        <w:tcBorders>
                          <w:bottom w:val="single" w:sz="0" w:space="0" w:color="000000"/>
                        </w:tcBorders>
                      </w:tcPr>
                      <w:p>
                        <w:pPr>
                          <w:pStyle w:val="TableParagraph"/>
                          <w:spacing w:before="21"/>
                          <w:ind w:right="63"/>
                          <w:rPr>
                            <w:sz w:val="14"/>
                          </w:rPr>
                        </w:pPr>
                        <w:r>
                          <w:rPr>
                            <w:sz w:val="14"/>
                          </w:rPr>
                          <w:t>(81,400)</w:t>
                        </w:r>
                      </w:p>
                    </w:tc>
                    <w:tc>
                      <w:tcPr>
                        <w:tcW w:w="1182" w:type="dxa"/>
                        <w:tcBorders>
                          <w:bottom w:val="single" w:sz="0" w:space="0" w:color="000000"/>
                        </w:tcBorders>
                      </w:tcPr>
                      <w:p>
                        <w:pPr>
                          <w:pStyle w:val="TableParagraph"/>
                          <w:spacing w:before="21"/>
                          <w:ind w:right="111"/>
                          <w:rPr>
                            <w:sz w:val="14"/>
                          </w:rPr>
                        </w:pPr>
                        <w:r>
                          <w:rPr>
                            <w:sz w:val="14"/>
                          </w:rPr>
                          <w:t>(7,152)</w:t>
                        </w:r>
                      </w:p>
                    </w:tc>
                    <w:tc>
                      <w:tcPr>
                        <w:tcW w:w="1085" w:type="dxa"/>
                        <w:tcBorders>
                          <w:bottom w:val="single" w:sz="0" w:space="0" w:color="000000"/>
                        </w:tcBorders>
                      </w:tcPr>
                      <w:p>
                        <w:pPr>
                          <w:pStyle w:val="TableParagraph"/>
                          <w:spacing w:before="21"/>
                          <w:ind w:right="148"/>
                          <w:rPr>
                            <w:sz w:val="14"/>
                          </w:rPr>
                        </w:pPr>
                        <w:r>
                          <w:rPr>
                            <w:sz w:val="14"/>
                          </w:rPr>
                          <w:t>(74,142)</w:t>
                        </w:r>
                      </w:p>
                    </w:tc>
                    <w:tc>
                      <w:tcPr>
                        <w:tcW w:w="1063" w:type="dxa"/>
                        <w:tcBorders>
                          <w:bottom w:val="single" w:sz="0" w:space="0" w:color="000000"/>
                        </w:tcBorders>
                      </w:tcPr>
                      <w:p>
                        <w:pPr>
                          <w:pStyle w:val="TableParagraph"/>
                          <w:spacing w:before="21"/>
                          <w:ind w:right="209"/>
                          <w:rPr>
                            <w:sz w:val="14"/>
                          </w:rPr>
                        </w:pPr>
                        <w:r>
                          <w:rPr>
                            <w:w w:val="100"/>
                            <w:sz w:val="14"/>
                          </w:rPr>
                          <w:t>-</w:t>
                        </w:r>
                      </w:p>
                    </w:tc>
                    <w:tc>
                      <w:tcPr>
                        <w:tcW w:w="908" w:type="dxa"/>
                        <w:tcBorders>
                          <w:bottom w:val="single" w:sz="0" w:space="0" w:color="000000"/>
                        </w:tcBorders>
                      </w:tcPr>
                      <w:p>
                        <w:pPr>
                          <w:pStyle w:val="TableParagraph"/>
                          <w:spacing w:before="21"/>
                          <w:ind w:right="22"/>
                          <w:rPr>
                            <w:sz w:val="14"/>
                          </w:rPr>
                        </w:pPr>
                        <w:r>
                          <w:rPr>
                            <w:sz w:val="14"/>
                          </w:rPr>
                          <w:t>(176,258)</w:t>
                        </w:r>
                      </w:p>
                    </w:tc>
                  </w:tr>
                  <w:tr>
                    <w:trPr>
                      <w:trHeight w:val="308" w:hRule="exact"/>
                    </w:trPr>
                    <w:tc>
                      <w:tcPr>
                        <w:tcW w:w="3989" w:type="dxa"/>
                        <w:tcBorders>
                          <w:top w:val="single" w:sz="0" w:space="0" w:color="000000"/>
                          <w:bottom w:val="single" w:sz="0" w:space="0" w:color="000000"/>
                        </w:tcBorders>
                      </w:tcPr>
                      <w:p>
                        <w:pPr>
                          <w:pStyle w:val="TableParagraph"/>
                          <w:tabs>
                            <w:tab w:pos="3376" w:val="left" w:leader="none"/>
                          </w:tabs>
                          <w:spacing w:before="123"/>
                          <w:ind w:left="68"/>
                          <w:jc w:val="left"/>
                          <w:rPr>
                            <w:b/>
                            <w:sz w:val="14"/>
                          </w:rPr>
                        </w:pPr>
                        <w:r>
                          <w:rPr>
                            <w:b/>
                            <w:sz w:val="14"/>
                          </w:rPr>
                          <w:t>Net</w:t>
                        </w:r>
                        <w:r>
                          <w:rPr>
                            <w:b/>
                            <w:spacing w:val="-4"/>
                            <w:sz w:val="14"/>
                          </w:rPr>
                          <w:t> </w:t>
                        </w:r>
                        <w:r>
                          <w:rPr>
                            <w:b/>
                            <w:sz w:val="14"/>
                          </w:rPr>
                          <w:t>Book</w:t>
                        </w:r>
                        <w:r>
                          <w:rPr>
                            <w:b/>
                            <w:spacing w:val="-4"/>
                            <w:sz w:val="14"/>
                          </w:rPr>
                          <w:t> </w:t>
                        </w:r>
                        <w:r>
                          <w:rPr>
                            <w:b/>
                            <w:sz w:val="14"/>
                          </w:rPr>
                          <w:t>Amount</w:t>
                          <w:tab/>
                          <w:t>84,171</w:t>
                        </w:r>
                      </w:p>
                    </w:tc>
                    <w:tc>
                      <w:tcPr>
                        <w:tcW w:w="994" w:type="dxa"/>
                        <w:tcBorders>
                          <w:top w:val="single" w:sz="0" w:space="0" w:color="000000"/>
                          <w:bottom w:val="single" w:sz="0" w:space="0" w:color="000000"/>
                        </w:tcBorders>
                      </w:tcPr>
                      <w:p>
                        <w:pPr>
                          <w:pStyle w:val="TableParagraph"/>
                          <w:spacing w:before="123"/>
                          <w:ind w:right="125"/>
                          <w:rPr>
                            <w:b/>
                            <w:sz w:val="14"/>
                          </w:rPr>
                        </w:pPr>
                        <w:r>
                          <w:rPr>
                            <w:b/>
                            <w:sz w:val="14"/>
                          </w:rPr>
                          <w:t>204,632</w:t>
                        </w:r>
                      </w:p>
                    </w:tc>
                    <w:tc>
                      <w:tcPr>
                        <w:tcW w:w="1069" w:type="dxa"/>
                        <w:tcBorders>
                          <w:top w:val="single" w:sz="0" w:space="0" w:color="000000"/>
                          <w:bottom w:val="single" w:sz="0" w:space="0" w:color="000000"/>
                        </w:tcBorders>
                      </w:tcPr>
                      <w:p>
                        <w:pPr>
                          <w:pStyle w:val="TableParagraph"/>
                          <w:spacing w:before="123"/>
                          <w:ind w:right="145"/>
                          <w:rPr>
                            <w:b/>
                            <w:sz w:val="14"/>
                          </w:rPr>
                        </w:pPr>
                        <w:r>
                          <w:rPr>
                            <w:b/>
                            <w:sz w:val="14"/>
                          </w:rPr>
                          <w:t>162,335</w:t>
                        </w:r>
                      </w:p>
                    </w:tc>
                    <w:tc>
                      <w:tcPr>
                        <w:tcW w:w="1004" w:type="dxa"/>
                        <w:tcBorders>
                          <w:top w:val="single" w:sz="0" w:space="0" w:color="000000"/>
                          <w:bottom w:val="single" w:sz="0" w:space="0" w:color="000000"/>
                        </w:tcBorders>
                      </w:tcPr>
                      <w:p>
                        <w:pPr>
                          <w:pStyle w:val="TableParagraph"/>
                          <w:spacing w:before="123"/>
                          <w:ind w:right="100"/>
                          <w:rPr>
                            <w:b/>
                            <w:sz w:val="14"/>
                          </w:rPr>
                        </w:pPr>
                        <w:r>
                          <w:rPr>
                            <w:b/>
                            <w:sz w:val="14"/>
                          </w:rPr>
                          <w:t>960,757</w:t>
                        </w:r>
                      </w:p>
                    </w:tc>
                    <w:tc>
                      <w:tcPr>
                        <w:tcW w:w="1044" w:type="dxa"/>
                        <w:tcBorders>
                          <w:top w:val="single" w:sz="0" w:space="0" w:color="000000"/>
                          <w:bottom w:val="single" w:sz="0" w:space="0" w:color="000000"/>
                        </w:tcBorders>
                      </w:tcPr>
                      <w:p>
                        <w:pPr>
                          <w:pStyle w:val="TableParagraph"/>
                          <w:spacing w:before="123"/>
                          <w:ind w:right="95"/>
                          <w:rPr>
                            <w:b/>
                            <w:sz w:val="14"/>
                          </w:rPr>
                        </w:pPr>
                        <w:r>
                          <w:rPr>
                            <w:b/>
                            <w:sz w:val="14"/>
                          </w:rPr>
                          <w:t>91,349</w:t>
                        </w:r>
                      </w:p>
                    </w:tc>
                    <w:tc>
                      <w:tcPr>
                        <w:tcW w:w="1141" w:type="dxa"/>
                        <w:tcBorders>
                          <w:top w:val="single" w:sz="0" w:space="0" w:color="000000"/>
                          <w:bottom w:val="single" w:sz="0" w:space="0" w:color="000000"/>
                        </w:tcBorders>
                      </w:tcPr>
                      <w:p>
                        <w:pPr>
                          <w:pStyle w:val="TableParagraph"/>
                          <w:spacing w:before="123"/>
                          <w:ind w:right="147"/>
                          <w:rPr>
                            <w:b/>
                            <w:sz w:val="14"/>
                          </w:rPr>
                        </w:pPr>
                        <w:r>
                          <w:rPr>
                            <w:b/>
                            <w:w w:val="100"/>
                            <w:sz w:val="14"/>
                          </w:rPr>
                          <w:t>-</w:t>
                        </w:r>
                      </w:p>
                    </w:tc>
                    <w:tc>
                      <w:tcPr>
                        <w:tcW w:w="1012" w:type="dxa"/>
                        <w:tcBorders>
                          <w:top w:val="single" w:sz="0" w:space="0" w:color="000000"/>
                          <w:bottom w:val="single" w:sz="0" w:space="0" w:color="000000"/>
                        </w:tcBorders>
                      </w:tcPr>
                      <w:p>
                        <w:pPr>
                          <w:pStyle w:val="TableParagraph"/>
                          <w:spacing w:before="123"/>
                          <w:ind w:right="110"/>
                          <w:rPr>
                            <w:b/>
                            <w:sz w:val="14"/>
                          </w:rPr>
                        </w:pPr>
                        <w:r>
                          <w:rPr>
                            <w:b/>
                            <w:sz w:val="14"/>
                          </w:rPr>
                          <w:t>65,750</w:t>
                        </w:r>
                      </w:p>
                    </w:tc>
                    <w:tc>
                      <w:tcPr>
                        <w:tcW w:w="1182" w:type="dxa"/>
                        <w:tcBorders>
                          <w:top w:val="single" w:sz="0" w:space="0" w:color="000000"/>
                          <w:bottom w:val="single" w:sz="0" w:space="0" w:color="000000"/>
                        </w:tcBorders>
                      </w:tcPr>
                      <w:p>
                        <w:pPr>
                          <w:pStyle w:val="TableParagraph"/>
                          <w:spacing w:before="123"/>
                          <w:ind w:right="158"/>
                          <w:rPr>
                            <w:b/>
                            <w:sz w:val="14"/>
                          </w:rPr>
                        </w:pPr>
                        <w:r>
                          <w:rPr>
                            <w:b/>
                            <w:sz w:val="14"/>
                          </w:rPr>
                          <w:t>11,970</w:t>
                        </w:r>
                      </w:p>
                    </w:tc>
                    <w:tc>
                      <w:tcPr>
                        <w:tcW w:w="1085" w:type="dxa"/>
                        <w:tcBorders>
                          <w:top w:val="single" w:sz="0" w:space="0" w:color="000000"/>
                          <w:bottom w:val="single" w:sz="0" w:space="0" w:color="000000"/>
                        </w:tcBorders>
                      </w:tcPr>
                      <w:p>
                        <w:pPr>
                          <w:pStyle w:val="TableParagraph"/>
                          <w:spacing w:before="123"/>
                          <w:ind w:right="195"/>
                          <w:rPr>
                            <w:b/>
                            <w:sz w:val="14"/>
                          </w:rPr>
                        </w:pPr>
                        <w:r>
                          <w:rPr>
                            <w:b/>
                            <w:sz w:val="14"/>
                          </w:rPr>
                          <w:t>7,878</w:t>
                        </w:r>
                      </w:p>
                    </w:tc>
                    <w:tc>
                      <w:tcPr>
                        <w:tcW w:w="1063" w:type="dxa"/>
                        <w:tcBorders>
                          <w:top w:val="single" w:sz="0" w:space="0" w:color="000000"/>
                          <w:bottom w:val="single" w:sz="0" w:space="0" w:color="000000"/>
                        </w:tcBorders>
                      </w:tcPr>
                      <w:p>
                        <w:pPr>
                          <w:pStyle w:val="TableParagraph"/>
                          <w:spacing w:before="123"/>
                          <w:ind w:right="209"/>
                          <w:rPr>
                            <w:b/>
                            <w:sz w:val="14"/>
                          </w:rPr>
                        </w:pPr>
                        <w:r>
                          <w:rPr>
                            <w:b/>
                            <w:sz w:val="14"/>
                          </w:rPr>
                          <w:t>4,192</w:t>
                        </w:r>
                      </w:p>
                    </w:tc>
                    <w:tc>
                      <w:tcPr>
                        <w:tcW w:w="908" w:type="dxa"/>
                        <w:tcBorders>
                          <w:top w:val="single" w:sz="0" w:space="0" w:color="000000"/>
                          <w:bottom w:val="single" w:sz="0" w:space="0" w:color="000000"/>
                        </w:tcBorders>
                      </w:tcPr>
                      <w:p>
                        <w:pPr>
                          <w:pStyle w:val="TableParagraph"/>
                          <w:spacing w:before="123"/>
                          <w:ind w:right="68"/>
                          <w:rPr>
                            <w:b/>
                            <w:sz w:val="14"/>
                          </w:rPr>
                        </w:pPr>
                        <w:r>
                          <w:rPr>
                            <w:b/>
                            <w:sz w:val="14"/>
                          </w:rPr>
                          <w:t>1,593,034</w:t>
                        </w:r>
                      </w:p>
                    </w:tc>
                  </w:tr>
                </w:tbl>
                <w:p>
                  <w:pPr>
                    <w:pStyle w:val="BodyText"/>
                  </w:pPr>
                </w:p>
              </w:txbxContent>
            </v:textbox>
          </v:shape>
        </w:pict>
      </w:r>
      <w:r>
        <w:rPr>
          <w:rFonts w:ascii="Times New Roman"/>
          <w:sz w:val="20"/>
        </w:rPr>
      </w:r>
      <w:r>
        <w:rPr>
          <w:rFonts w:ascii="Times New Roman"/>
          <w:sz w:val="20"/>
        </w:rPr>
        <w:tab/>
      </w:r>
      <w:r>
        <w:rPr>
          <w:rFonts w:ascii="Times New Roman"/>
          <w:position w:val="182"/>
          <w:sz w:val="20"/>
        </w:rPr>
        <w:drawing>
          <wp:inline distT="0" distB="0" distL="0" distR="0">
            <wp:extent cx="154019" cy="154019"/>
            <wp:effectExtent l="0" t="0" r="0" b="0"/>
            <wp:docPr id="229" name="image25.png" descr=""/>
            <wp:cNvGraphicFramePr>
              <a:graphicFrameLocks noChangeAspect="1"/>
            </wp:cNvGraphicFramePr>
            <a:graphic>
              <a:graphicData uri="http://schemas.openxmlformats.org/drawingml/2006/picture">
                <pic:pic>
                  <pic:nvPicPr>
                    <pic:cNvPr id="230" name="image25.png"/>
                    <pic:cNvPicPr/>
                  </pic:nvPicPr>
                  <pic:blipFill>
                    <a:blip r:embed="rId41" cstate="print"/>
                    <a:stretch>
                      <a:fillRect/>
                    </a:stretch>
                  </pic:blipFill>
                  <pic:spPr>
                    <a:xfrm>
                      <a:off x="0" y="0"/>
                      <a:ext cx="154019" cy="154019"/>
                    </a:xfrm>
                    <a:prstGeom prst="rect">
                      <a:avLst/>
                    </a:prstGeom>
                  </pic:spPr>
                </pic:pic>
              </a:graphicData>
            </a:graphic>
          </wp:inline>
        </w:drawing>
      </w:r>
      <w:r>
        <w:rPr>
          <w:rFonts w:ascii="Times New Roman"/>
          <w:position w:val="182"/>
          <w:sz w:val="20"/>
        </w:rPr>
      </w:r>
    </w:p>
    <w:p>
      <w:pPr>
        <w:spacing w:after="0" w:line="240" w:lineRule="auto"/>
        <w:rPr>
          <w:rFonts w:ascii="Times New Roman"/>
          <w:sz w:val="20"/>
        </w:rPr>
        <w:sectPr>
          <w:pgSz w:w="16840" w:h="11910" w:orient="landscape"/>
          <w:pgMar w:header="38" w:footer="507" w:top="2220" w:bottom="700" w:left="0" w:right="0"/>
        </w:sectPr>
      </w:pPr>
    </w:p>
    <w:p>
      <w:pPr>
        <w:pStyle w:val="BodyText"/>
        <w:spacing w:before="7"/>
        <w:rPr>
          <w:rFonts w:ascii="Times New Roman"/>
          <w:sz w:val="26"/>
        </w:rPr>
      </w:pPr>
      <w:r>
        <w:rPr/>
        <w:drawing>
          <wp:anchor distT="0" distB="0" distL="0" distR="0" allowOverlap="1" layoutInCell="1" locked="0" behindDoc="0" simplePos="0" relativeHeight="3832">
            <wp:simplePos x="0" y="0"/>
            <wp:positionH relativeFrom="page">
              <wp:posOffset>-1587</wp:posOffset>
            </wp:positionH>
            <wp:positionV relativeFrom="page">
              <wp:posOffset>5534342</wp:posOffset>
            </wp:positionV>
            <wp:extent cx="135159" cy="154019"/>
            <wp:effectExtent l="0" t="0" r="0" b="0"/>
            <wp:wrapNone/>
            <wp:docPr id="235" name="image13.png" descr=""/>
            <wp:cNvGraphicFramePr>
              <a:graphicFrameLocks noChangeAspect="1"/>
            </wp:cNvGraphicFramePr>
            <a:graphic>
              <a:graphicData uri="http://schemas.openxmlformats.org/drawingml/2006/picture">
                <pic:pic>
                  <pic:nvPicPr>
                    <pic:cNvPr id="236" name="image13.png"/>
                    <pic:cNvPicPr/>
                  </pic:nvPicPr>
                  <pic:blipFill>
                    <a:blip r:embed="rId18" cstate="print"/>
                    <a:stretch>
                      <a:fillRect/>
                    </a:stretch>
                  </pic:blipFill>
                  <pic:spPr>
                    <a:xfrm>
                      <a:off x="0" y="0"/>
                      <a:ext cx="135159" cy="154019"/>
                    </a:xfrm>
                    <a:prstGeom prst="rect">
                      <a:avLst/>
                    </a:prstGeom>
                  </pic:spPr>
                </pic:pic>
              </a:graphicData>
            </a:graphic>
          </wp:anchor>
        </w:drawing>
      </w:r>
      <w:r>
        <w:rPr/>
        <w:drawing>
          <wp:anchor distT="0" distB="0" distL="0" distR="0" allowOverlap="1" layoutInCell="1" locked="0" behindDoc="0" simplePos="0" relativeHeight="3856">
            <wp:simplePos x="0" y="0"/>
            <wp:positionH relativeFrom="page">
              <wp:posOffset>7958429</wp:posOffset>
            </wp:positionH>
            <wp:positionV relativeFrom="page">
              <wp:posOffset>5534342</wp:posOffset>
            </wp:positionV>
            <wp:extent cx="135953" cy="155575"/>
            <wp:effectExtent l="0" t="0" r="0" b="0"/>
            <wp:wrapNone/>
            <wp:docPr id="237" name="image15.png" descr=""/>
            <wp:cNvGraphicFramePr>
              <a:graphicFrameLocks noChangeAspect="1"/>
            </wp:cNvGraphicFramePr>
            <a:graphic>
              <a:graphicData uri="http://schemas.openxmlformats.org/drawingml/2006/picture">
                <pic:pic>
                  <pic:nvPicPr>
                    <pic:cNvPr id="238" name="image15.png"/>
                    <pic:cNvPicPr/>
                  </pic:nvPicPr>
                  <pic:blipFill>
                    <a:blip r:embed="rId20" cstate="print"/>
                    <a:stretch>
                      <a:fillRect/>
                    </a:stretch>
                  </pic:blipFill>
                  <pic:spPr>
                    <a:xfrm>
                      <a:off x="0" y="0"/>
                      <a:ext cx="135953" cy="155575"/>
                    </a:xfrm>
                    <a:prstGeom prst="rect">
                      <a:avLst/>
                    </a:prstGeom>
                  </pic:spPr>
                </pic:pic>
              </a:graphicData>
            </a:graphic>
          </wp:anchor>
        </w:drawing>
      </w:r>
    </w:p>
    <w:tbl>
      <w:tblPr>
        <w:tblW w:w="0" w:type="auto"/>
        <w:jc w:val="left"/>
        <w:tblInd w:w="139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33"/>
        <w:gridCol w:w="4949"/>
        <w:gridCol w:w="2430"/>
        <w:gridCol w:w="1262"/>
        <w:gridCol w:w="979"/>
      </w:tblGrid>
      <w:tr>
        <w:trPr>
          <w:trHeight w:val="1071" w:hRule="exact"/>
        </w:trPr>
        <w:tc>
          <w:tcPr>
            <w:tcW w:w="333" w:type="dxa"/>
          </w:tcPr>
          <w:p>
            <w:pPr>
              <w:pStyle w:val="TableParagraph"/>
              <w:spacing w:before="77"/>
              <w:ind w:left="35"/>
              <w:jc w:val="left"/>
              <w:rPr>
                <w:b/>
                <w:sz w:val="18"/>
              </w:rPr>
            </w:pPr>
            <w:bookmarkStart w:name="22 Intangible Assets" w:id="93"/>
            <w:bookmarkEnd w:id="93"/>
            <w:r>
              <w:rPr/>
            </w:r>
            <w:r>
              <w:rPr>
                <w:b/>
                <w:sz w:val="18"/>
              </w:rPr>
              <w:t>22</w:t>
            </w:r>
          </w:p>
        </w:tc>
        <w:tc>
          <w:tcPr>
            <w:tcW w:w="4949" w:type="dxa"/>
          </w:tcPr>
          <w:p>
            <w:pPr>
              <w:pStyle w:val="TableParagraph"/>
              <w:spacing w:before="77"/>
              <w:ind w:left="98"/>
              <w:jc w:val="left"/>
              <w:rPr>
                <w:b/>
                <w:sz w:val="18"/>
              </w:rPr>
            </w:pPr>
            <w:r>
              <w:rPr>
                <w:b/>
                <w:sz w:val="18"/>
              </w:rPr>
              <w:t>Intangible Assets</w:t>
            </w:r>
          </w:p>
          <w:p>
            <w:pPr>
              <w:pStyle w:val="TableParagraph"/>
              <w:jc w:val="left"/>
              <w:rPr>
                <w:rFonts w:ascii="Times New Roman"/>
                <w:sz w:val="18"/>
              </w:rPr>
            </w:pPr>
          </w:p>
          <w:p>
            <w:pPr>
              <w:pStyle w:val="TableParagraph"/>
              <w:jc w:val="left"/>
              <w:rPr>
                <w:rFonts w:ascii="Times New Roman"/>
                <w:sz w:val="18"/>
              </w:rPr>
            </w:pPr>
          </w:p>
          <w:p>
            <w:pPr>
              <w:pStyle w:val="TableParagraph"/>
              <w:spacing w:before="113"/>
              <w:ind w:left="136"/>
              <w:jc w:val="left"/>
              <w:rPr>
                <w:b/>
                <w:sz w:val="16"/>
              </w:rPr>
            </w:pPr>
            <w:r>
              <w:rPr>
                <w:b/>
                <w:sz w:val="16"/>
              </w:rPr>
              <w:t>Parent</w:t>
            </w:r>
          </w:p>
        </w:tc>
        <w:tc>
          <w:tcPr>
            <w:tcW w:w="2430" w:type="dxa"/>
          </w:tcPr>
          <w:p>
            <w:pPr>
              <w:pStyle w:val="TableParagraph"/>
              <w:jc w:val="left"/>
              <w:rPr>
                <w:rFonts w:ascii="Times New Roman"/>
                <w:sz w:val="16"/>
              </w:rPr>
            </w:pPr>
          </w:p>
          <w:p>
            <w:pPr>
              <w:pStyle w:val="TableParagraph"/>
              <w:jc w:val="left"/>
              <w:rPr>
                <w:rFonts w:ascii="Times New Roman"/>
                <w:sz w:val="16"/>
              </w:rPr>
            </w:pPr>
          </w:p>
          <w:p>
            <w:pPr>
              <w:pStyle w:val="TableParagraph"/>
              <w:jc w:val="left"/>
              <w:rPr>
                <w:rFonts w:ascii="Times New Roman"/>
                <w:sz w:val="16"/>
              </w:rPr>
            </w:pPr>
          </w:p>
          <w:p>
            <w:pPr>
              <w:pStyle w:val="TableParagraph"/>
              <w:jc w:val="left"/>
              <w:rPr>
                <w:rFonts w:ascii="Times New Roman"/>
                <w:sz w:val="16"/>
              </w:rPr>
            </w:pPr>
          </w:p>
          <w:p>
            <w:pPr>
              <w:pStyle w:val="TableParagraph"/>
              <w:spacing w:before="142"/>
              <w:ind w:left="104"/>
              <w:jc w:val="left"/>
              <w:rPr>
                <w:b/>
                <w:sz w:val="16"/>
              </w:rPr>
            </w:pPr>
            <w:r>
              <w:rPr>
                <w:b/>
                <w:sz w:val="16"/>
              </w:rPr>
              <w:t>Development</w:t>
            </w:r>
          </w:p>
        </w:tc>
        <w:tc>
          <w:tcPr>
            <w:tcW w:w="1262" w:type="dxa"/>
          </w:tcPr>
          <w:p>
            <w:pPr>
              <w:pStyle w:val="TableParagraph"/>
              <w:jc w:val="left"/>
              <w:rPr>
                <w:rFonts w:ascii="Times New Roman"/>
                <w:sz w:val="16"/>
              </w:rPr>
            </w:pPr>
          </w:p>
          <w:p>
            <w:pPr>
              <w:pStyle w:val="TableParagraph"/>
              <w:jc w:val="left"/>
              <w:rPr>
                <w:rFonts w:ascii="Times New Roman"/>
                <w:sz w:val="16"/>
              </w:rPr>
            </w:pPr>
          </w:p>
          <w:p>
            <w:pPr>
              <w:pStyle w:val="TableParagraph"/>
              <w:jc w:val="left"/>
              <w:rPr>
                <w:rFonts w:ascii="Times New Roman"/>
                <w:sz w:val="16"/>
              </w:rPr>
            </w:pPr>
          </w:p>
          <w:p>
            <w:pPr>
              <w:pStyle w:val="TableParagraph"/>
              <w:jc w:val="left"/>
              <w:rPr>
                <w:rFonts w:ascii="Times New Roman"/>
                <w:sz w:val="16"/>
              </w:rPr>
            </w:pPr>
          </w:p>
          <w:p>
            <w:pPr>
              <w:pStyle w:val="TableParagraph"/>
              <w:spacing w:before="142"/>
              <w:ind w:left="122"/>
              <w:jc w:val="left"/>
              <w:rPr>
                <w:b/>
                <w:sz w:val="16"/>
              </w:rPr>
            </w:pPr>
            <w:r>
              <w:rPr>
                <w:b/>
                <w:sz w:val="16"/>
              </w:rPr>
              <w:t>Electronic</w:t>
            </w:r>
          </w:p>
        </w:tc>
        <w:tc>
          <w:tcPr>
            <w:tcW w:w="979" w:type="dxa"/>
          </w:tcPr>
          <w:p>
            <w:pPr/>
          </w:p>
        </w:tc>
      </w:tr>
      <w:tr>
        <w:trPr>
          <w:trHeight w:val="217" w:hRule="exact"/>
        </w:trPr>
        <w:tc>
          <w:tcPr>
            <w:tcW w:w="333" w:type="dxa"/>
          </w:tcPr>
          <w:p>
            <w:pPr/>
          </w:p>
        </w:tc>
        <w:tc>
          <w:tcPr>
            <w:tcW w:w="4949" w:type="dxa"/>
          </w:tcPr>
          <w:p>
            <w:pPr/>
          </w:p>
        </w:tc>
        <w:tc>
          <w:tcPr>
            <w:tcW w:w="2430" w:type="dxa"/>
          </w:tcPr>
          <w:p>
            <w:pPr>
              <w:pStyle w:val="TableParagraph"/>
              <w:tabs>
                <w:tab w:pos="1429" w:val="left" w:leader="none"/>
              </w:tabs>
              <w:spacing w:line="175" w:lineRule="exact"/>
              <w:ind w:left="394"/>
              <w:jc w:val="left"/>
              <w:rPr>
                <w:b/>
                <w:sz w:val="16"/>
              </w:rPr>
            </w:pPr>
            <w:r>
              <w:rPr>
                <w:b/>
                <w:sz w:val="16"/>
              </w:rPr>
              <w:t>costs</w:t>
              <w:tab/>
              <w:t>Licences</w:t>
            </w:r>
          </w:p>
        </w:tc>
        <w:tc>
          <w:tcPr>
            <w:tcW w:w="1262" w:type="dxa"/>
          </w:tcPr>
          <w:p>
            <w:pPr>
              <w:pStyle w:val="TableParagraph"/>
              <w:spacing w:line="175" w:lineRule="exact"/>
              <w:ind w:left="162"/>
              <w:jc w:val="left"/>
              <w:rPr>
                <w:b/>
                <w:sz w:val="16"/>
              </w:rPr>
            </w:pPr>
            <w:r>
              <w:rPr>
                <w:b/>
                <w:sz w:val="16"/>
              </w:rPr>
              <w:t>Materials</w:t>
            </w:r>
          </w:p>
        </w:tc>
        <w:tc>
          <w:tcPr>
            <w:tcW w:w="979" w:type="dxa"/>
          </w:tcPr>
          <w:p>
            <w:pPr>
              <w:pStyle w:val="TableParagraph"/>
              <w:spacing w:line="175" w:lineRule="exact"/>
              <w:ind w:left="224"/>
              <w:jc w:val="left"/>
              <w:rPr>
                <w:b/>
                <w:sz w:val="16"/>
              </w:rPr>
            </w:pPr>
            <w:r>
              <w:rPr>
                <w:b/>
                <w:sz w:val="16"/>
              </w:rPr>
              <w:t>Total</w:t>
            </w:r>
          </w:p>
        </w:tc>
      </w:tr>
      <w:tr>
        <w:trPr>
          <w:trHeight w:val="290" w:hRule="exact"/>
        </w:trPr>
        <w:tc>
          <w:tcPr>
            <w:tcW w:w="333" w:type="dxa"/>
          </w:tcPr>
          <w:p>
            <w:pPr/>
          </w:p>
        </w:tc>
        <w:tc>
          <w:tcPr>
            <w:tcW w:w="4949" w:type="dxa"/>
          </w:tcPr>
          <w:p>
            <w:pPr/>
          </w:p>
        </w:tc>
        <w:tc>
          <w:tcPr>
            <w:tcW w:w="2430" w:type="dxa"/>
          </w:tcPr>
          <w:p>
            <w:pPr>
              <w:pStyle w:val="TableParagraph"/>
              <w:tabs>
                <w:tab w:pos="1573" w:val="left" w:leader="none"/>
              </w:tabs>
              <w:spacing w:before="25"/>
              <w:ind w:left="405"/>
              <w:jc w:val="left"/>
              <w:rPr>
                <w:b/>
                <w:sz w:val="16"/>
              </w:rPr>
            </w:pPr>
            <w:r>
              <w:rPr>
                <w:b/>
                <w:sz w:val="16"/>
              </w:rPr>
              <w:t>$'000</w:t>
              <w:tab/>
              <w:t>$'000</w:t>
            </w:r>
          </w:p>
        </w:tc>
        <w:tc>
          <w:tcPr>
            <w:tcW w:w="1262" w:type="dxa"/>
          </w:tcPr>
          <w:p>
            <w:pPr>
              <w:pStyle w:val="TableParagraph"/>
              <w:spacing w:before="25"/>
              <w:ind w:left="311"/>
              <w:jc w:val="left"/>
              <w:rPr>
                <w:b/>
                <w:sz w:val="16"/>
              </w:rPr>
            </w:pPr>
            <w:r>
              <w:rPr>
                <w:b/>
                <w:sz w:val="16"/>
              </w:rPr>
              <w:t>$'000</w:t>
            </w:r>
          </w:p>
        </w:tc>
        <w:tc>
          <w:tcPr>
            <w:tcW w:w="979" w:type="dxa"/>
          </w:tcPr>
          <w:p>
            <w:pPr>
              <w:pStyle w:val="TableParagraph"/>
              <w:spacing w:before="25"/>
              <w:ind w:left="217"/>
              <w:jc w:val="left"/>
              <w:rPr>
                <w:b/>
                <w:sz w:val="16"/>
              </w:rPr>
            </w:pPr>
            <w:r>
              <w:rPr>
                <w:b/>
                <w:sz w:val="16"/>
              </w:rPr>
              <w:t>$'000</w:t>
            </w:r>
          </w:p>
        </w:tc>
      </w:tr>
      <w:tr>
        <w:trPr>
          <w:trHeight w:val="271" w:hRule="exact"/>
        </w:trPr>
        <w:tc>
          <w:tcPr>
            <w:tcW w:w="333" w:type="dxa"/>
          </w:tcPr>
          <w:p>
            <w:pPr/>
          </w:p>
        </w:tc>
        <w:tc>
          <w:tcPr>
            <w:tcW w:w="4949" w:type="dxa"/>
          </w:tcPr>
          <w:p>
            <w:pPr>
              <w:pStyle w:val="TableParagraph"/>
              <w:spacing w:before="64"/>
              <w:ind w:left="136"/>
              <w:jc w:val="left"/>
              <w:rPr>
                <w:b/>
                <w:sz w:val="16"/>
              </w:rPr>
            </w:pPr>
            <w:r>
              <w:rPr>
                <w:b/>
                <w:sz w:val="16"/>
              </w:rPr>
              <w:t>At 1 January 2015</w:t>
            </w:r>
          </w:p>
        </w:tc>
        <w:tc>
          <w:tcPr>
            <w:tcW w:w="2430" w:type="dxa"/>
          </w:tcPr>
          <w:p>
            <w:pPr/>
          </w:p>
        </w:tc>
        <w:tc>
          <w:tcPr>
            <w:tcW w:w="1262" w:type="dxa"/>
          </w:tcPr>
          <w:p>
            <w:pPr/>
          </w:p>
        </w:tc>
        <w:tc>
          <w:tcPr>
            <w:tcW w:w="979" w:type="dxa"/>
          </w:tcPr>
          <w:p>
            <w:pPr/>
          </w:p>
        </w:tc>
      </w:tr>
      <w:tr>
        <w:trPr>
          <w:trHeight w:val="227" w:hRule="exact"/>
        </w:trPr>
        <w:tc>
          <w:tcPr>
            <w:tcW w:w="333" w:type="dxa"/>
          </w:tcPr>
          <w:p>
            <w:pPr/>
          </w:p>
        </w:tc>
        <w:tc>
          <w:tcPr>
            <w:tcW w:w="4949" w:type="dxa"/>
          </w:tcPr>
          <w:p>
            <w:pPr>
              <w:pStyle w:val="TableParagraph"/>
              <w:spacing w:before="7"/>
              <w:ind w:left="136"/>
              <w:jc w:val="left"/>
              <w:rPr>
                <w:sz w:val="16"/>
              </w:rPr>
            </w:pPr>
            <w:r>
              <w:rPr>
                <w:sz w:val="16"/>
              </w:rPr>
              <w:t>- Cost</w:t>
            </w:r>
          </w:p>
        </w:tc>
        <w:tc>
          <w:tcPr>
            <w:tcW w:w="2430" w:type="dxa"/>
          </w:tcPr>
          <w:p>
            <w:pPr>
              <w:pStyle w:val="TableParagraph"/>
              <w:tabs>
                <w:tab w:pos="953" w:val="left" w:leader="none"/>
              </w:tabs>
              <w:spacing w:before="5"/>
              <w:ind w:right="174"/>
              <w:rPr>
                <w:sz w:val="16"/>
              </w:rPr>
            </w:pPr>
            <w:r>
              <w:rPr>
                <w:sz w:val="16"/>
              </w:rPr>
              <w:t>-</w:t>
              <w:tab/>
            </w:r>
            <w:r>
              <w:rPr>
                <w:spacing w:val="-1"/>
                <w:sz w:val="16"/>
              </w:rPr>
              <w:t>275</w:t>
            </w:r>
          </w:p>
        </w:tc>
        <w:tc>
          <w:tcPr>
            <w:tcW w:w="1262" w:type="dxa"/>
          </w:tcPr>
          <w:p>
            <w:pPr>
              <w:pStyle w:val="TableParagraph"/>
              <w:spacing w:before="5"/>
              <w:ind w:right="268"/>
              <w:rPr>
                <w:sz w:val="16"/>
              </w:rPr>
            </w:pPr>
            <w:r>
              <w:rPr>
                <w:w w:val="95"/>
                <w:sz w:val="16"/>
              </w:rPr>
              <w:t>2,266</w:t>
            </w:r>
          </w:p>
        </w:tc>
        <w:tc>
          <w:tcPr>
            <w:tcW w:w="979" w:type="dxa"/>
          </w:tcPr>
          <w:p>
            <w:pPr>
              <w:pStyle w:val="TableParagraph"/>
              <w:spacing w:before="5"/>
              <w:ind w:right="79"/>
              <w:rPr>
                <w:sz w:val="16"/>
              </w:rPr>
            </w:pPr>
            <w:r>
              <w:rPr>
                <w:w w:val="95"/>
                <w:sz w:val="16"/>
              </w:rPr>
              <w:t>2,541</w:t>
            </w:r>
          </w:p>
        </w:tc>
      </w:tr>
      <w:tr>
        <w:trPr>
          <w:trHeight w:val="241" w:hRule="exact"/>
        </w:trPr>
        <w:tc>
          <w:tcPr>
            <w:tcW w:w="333" w:type="dxa"/>
          </w:tcPr>
          <w:p>
            <w:pPr/>
          </w:p>
        </w:tc>
        <w:tc>
          <w:tcPr>
            <w:tcW w:w="4949" w:type="dxa"/>
          </w:tcPr>
          <w:p>
            <w:pPr>
              <w:pStyle w:val="TableParagraph"/>
              <w:spacing w:before="19"/>
              <w:ind w:left="136"/>
              <w:jc w:val="left"/>
              <w:rPr>
                <w:sz w:val="16"/>
              </w:rPr>
            </w:pPr>
            <w:r>
              <w:rPr>
                <w:sz w:val="16"/>
              </w:rPr>
              <w:t>- Accumulated amortisation and impairment</w:t>
            </w:r>
          </w:p>
        </w:tc>
        <w:tc>
          <w:tcPr>
            <w:tcW w:w="2430" w:type="dxa"/>
            <w:tcBorders>
              <w:bottom w:val="single" w:sz="0" w:space="0" w:color="000000"/>
            </w:tcBorders>
          </w:tcPr>
          <w:p>
            <w:pPr>
              <w:pStyle w:val="TableParagraph"/>
              <w:tabs>
                <w:tab w:pos="901" w:val="left" w:leader="none"/>
              </w:tabs>
              <w:spacing w:before="19"/>
              <w:ind w:right="120"/>
              <w:rPr>
                <w:sz w:val="16"/>
              </w:rPr>
            </w:pPr>
            <w:r>
              <w:rPr>
                <w:sz w:val="16"/>
              </w:rPr>
              <w:t>-</w:t>
              <w:tab/>
            </w:r>
            <w:r>
              <w:rPr>
                <w:spacing w:val="-2"/>
                <w:sz w:val="16"/>
              </w:rPr>
              <w:t>(275)</w:t>
            </w:r>
          </w:p>
        </w:tc>
        <w:tc>
          <w:tcPr>
            <w:tcW w:w="1262" w:type="dxa"/>
            <w:tcBorders>
              <w:bottom w:val="single" w:sz="0" w:space="0" w:color="000000"/>
            </w:tcBorders>
          </w:tcPr>
          <w:p>
            <w:pPr>
              <w:pStyle w:val="TableParagraph"/>
              <w:spacing w:before="19"/>
              <w:ind w:right="267"/>
              <w:rPr>
                <w:sz w:val="16"/>
              </w:rPr>
            </w:pPr>
            <w:r>
              <w:rPr>
                <w:w w:val="99"/>
                <w:sz w:val="16"/>
              </w:rPr>
              <w:t>-</w:t>
            </w:r>
          </w:p>
        </w:tc>
        <w:tc>
          <w:tcPr>
            <w:tcW w:w="979" w:type="dxa"/>
            <w:tcBorders>
              <w:bottom w:val="single" w:sz="0" w:space="0" w:color="000000"/>
            </w:tcBorders>
          </w:tcPr>
          <w:p>
            <w:pPr>
              <w:pStyle w:val="TableParagraph"/>
              <w:spacing w:before="19"/>
              <w:ind w:right="26"/>
              <w:rPr>
                <w:sz w:val="16"/>
              </w:rPr>
            </w:pPr>
            <w:r>
              <w:rPr>
                <w:sz w:val="16"/>
              </w:rPr>
              <w:t>(275)</w:t>
            </w:r>
          </w:p>
        </w:tc>
      </w:tr>
      <w:tr>
        <w:trPr>
          <w:trHeight w:val="316" w:hRule="exact"/>
        </w:trPr>
        <w:tc>
          <w:tcPr>
            <w:tcW w:w="333" w:type="dxa"/>
          </w:tcPr>
          <w:p>
            <w:pPr/>
          </w:p>
        </w:tc>
        <w:tc>
          <w:tcPr>
            <w:tcW w:w="4949" w:type="dxa"/>
          </w:tcPr>
          <w:p>
            <w:pPr>
              <w:pStyle w:val="TableParagraph"/>
              <w:spacing w:before="123"/>
              <w:ind w:left="136"/>
              <w:jc w:val="left"/>
              <w:rPr>
                <w:b/>
                <w:sz w:val="16"/>
              </w:rPr>
            </w:pPr>
            <w:r>
              <w:rPr>
                <w:b/>
                <w:sz w:val="16"/>
              </w:rPr>
              <w:t>Net book amount at 1 January 2015</w:t>
            </w:r>
          </w:p>
        </w:tc>
        <w:tc>
          <w:tcPr>
            <w:tcW w:w="2430" w:type="dxa"/>
            <w:tcBorders>
              <w:top w:val="single" w:sz="0" w:space="0" w:color="000000"/>
              <w:bottom w:val="single" w:sz="0" w:space="0" w:color="000000"/>
            </w:tcBorders>
          </w:tcPr>
          <w:p>
            <w:pPr>
              <w:pStyle w:val="TableParagraph"/>
              <w:tabs>
                <w:tab w:pos="1167" w:val="left" w:leader="none"/>
              </w:tabs>
              <w:spacing w:before="122"/>
              <w:ind w:right="173"/>
              <w:rPr>
                <w:sz w:val="16"/>
              </w:rPr>
            </w:pPr>
            <w:r>
              <w:rPr>
                <w:sz w:val="16"/>
              </w:rPr>
              <w:t>-</w:t>
              <w:tab/>
            </w:r>
            <w:r>
              <w:rPr>
                <w:w w:val="95"/>
                <w:sz w:val="16"/>
              </w:rPr>
              <w:t>-</w:t>
            </w:r>
          </w:p>
        </w:tc>
        <w:tc>
          <w:tcPr>
            <w:tcW w:w="1262" w:type="dxa"/>
            <w:tcBorders>
              <w:top w:val="single" w:sz="0" w:space="0" w:color="000000"/>
              <w:bottom w:val="single" w:sz="0" w:space="0" w:color="000000"/>
            </w:tcBorders>
          </w:tcPr>
          <w:p>
            <w:pPr>
              <w:pStyle w:val="TableParagraph"/>
              <w:spacing w:before="122"/>
              <w:ind w:right="268"/>
              <w:rPr>
                <w:sz w:val="16"/>
              </w:rPr>
            </w:pPr>
            <w:r>
              <w:rPr>
                <w:w w:val="95"/>
                <w:sz w:val="16"/>
              </w:rPr>
              <w:t>2,266</w:t>
            </w:r>
          </w:p>
        </w:tc>
        <w:tc>
          <w:tcPr>
            <w:tcW w:w="979" w:type="dxa"/>
            <w:tcBorders>
              <w:top w:val="single" w:sz="0" w:space="0" w:color="000000"/>
              <w:bottom w:val="single" w:sz="0" w:space="0" w:color="000000"/>
            </w:tcBorders>
          </w:tcPr>
          <w:p>
            <w:pPr>
              <w:pStyle w:val="TableParagraph"/>
              <w:spacing w:before="122"/>
              <w:ind w:right="79"/>
              <w:rPr>
                <w:sz w:val="16"/>
              </w:rPr>
            </w:pPr>
            <w:r>
              <w:rPr>
                <w:w w:val="95"/>
                <w:sz w:val="16"/>
              </w:rPr>
              <w:t>2,266</w:t>
            </w:r>
          </w:p>
        </w:tc>
      </w:tr>
      <w:tr>
        <w:trPr>
          <w:trHeight w:val="626" w:hRule="exact"/>
        </w:trPr>
        <w:tc>
          <w:tcPr>
            <w:tcW w:w="333" w:type="dxa"/>
          </w:tcPr>
          <w:p>
            <w:pPr/>
          </w:p>
        </w:tc>
        <w:tc>
          <w:tcPr>
            <w:tcW w:w="4949" w:type="dxa"/>
          </w:tcPr>
          <w:p>
            <w:pPr>
              <w:pStyle w:val="TableParagraph"/>
              <w:jc w:val="left"/>
              <w:rPr>
                <w:rFonts w:ascii="Times New Roman"/>
                <w:sz w:val="16"/>
              </w:rPr>
            </w:pPr>
          </w:p>
          <w:p>
            <w:pPr>
              <w:pStyle w:val="TableParagraph"/>
              <w:spacing w:before="5"/>
              <w:jc w:val="left"/>
              <w:rPr>
                <w:rFonts w:ascii="Times New Roman"/>
                <w:sz w:val="20"/>
              </w:rPr>
            </w:pPr>
          </w:p>
          <w:p>
            <w:pPr>
              <w:pStyle w:val="TableParagraph"/>
              <w:ind w:left="136"/>
              <w:jc w:val="left"/>
              <w:rPr>
                <w:b/>
                <w:sz w:val="16"/>
              </w:rPr>
            </w:pPr>
            <w:r>
              <w:rPr>
                <w:b/>
                <w:sz w:val="16"/>
              </w:rPr>
              <w:t>Year ended 31 December 2015</w:t>
            </w:r>
          </w:p>
        </w:tc>
        <w:tc>
          <w:tcPr>
            <w:tcW w:w="2430" w:type="dxa"/>
            <w:tcBorders>
              <w:top w:val="single" w:sz="0" w:space="0" w:color="000000"/>
            </w:tcBorders>
          </w:tcPr>
          <w:p>
            <w:pPr/>
          </w:p>
        </w:tc>
        <w:tc>
          <w:tcPr>
            <w:tcW w:w="1262" w:type="dxa"/>
            <w:tcBorders>
              <w:top w:val="single" w:sz="0" w:space="0" w:color="000000"/>
            </w:tcBorders>
          </w:tcPr>
          <w:p>
            <w:pPr/>
          </w:p>
        </w:tc>
        <w:tc>
          <w:tcPr>
            <w:tcW w:w="979" w:type="dxa"/>
            <w:tcBorders>
              <w:top w:val="single" w:sz="0" w:space="0" w:color="000000"/>
            </w:tcBorders>
          </w:tcPr>
          <w:p>
            <w:pPr/>
          </w:p>
        </w:tc>
      </w:tr>
      <w:tr>
        <w:trPr>
          <w:trHeight w:val="227" w:hRule="exact"/>
        </w:trPr>
        <w:tc>
          <w:tcPr>
            <w:tcW w:w="333" w:type="dxa"/>
          </w:tcPr>
          <w:p>
            <w:pPr/>
          </w:p>
        </w:tc>
        <w:tc>
          <w:tcPr>
            <w:tcW w:w="4949" w:type="dxa"/>
          </w:tcPr>
          <w:p>
            <w:pPr>
              <w:pStyle w:val="TableParagraph"/>
              <w:spacing w:before="7"/>
              <w:ind w:left="136"/>
              <w:jc w:val="left"/>
              <w:rPr>
                <w:sz w:val="16"/>
              </w:rPr>
            </w:pPr>
            <w:r>
              <w:rPr>
                <w:sz w:val="16"/>
              </w:rPr>
              <w:t>Opening net book value</w:t>
            </w:r>
          </w:p>
        </w:tc>
        <w:tc>
          <w:tcPr>
            <w:tcW w:w="2430" w:type="dxa"/>
          </w:tcPr>
          <w:p>
            <w:pPr>
              <w:pStyle w:val="TableParagraph"/>
              <w:tabs>
                <w:tab w:pos="1167" w:val="left" w:leader="none"/>
              </w:tabs>
              <w:spacing w:before="5"/>
              <w:ind w:right="173"/>
              <w:rPr>
                <w:sz w:val="16"/>
              </w:rPr>
            </w:pPr>
            <w:r>
              <w:rPr>
                <w:sz w:val="16"/>
              </w:rPr>
              <w:t>-</w:t>
              <w:tab/>
            </w:r>
            <w:r>
              <w:rPr>
                <w:w w:val="95"/>
                <w:sz w:val="16"/>
              </w:rPr>
              <w:t>-</w:t>
            </w:r>
          </w:p>
        </w:tc>
        <w:tc>
          <w:tcPr>
            <w:tcW w:w="1262" w:type="dxa"/>
          </w:tcPr>
          <w:p>
            <w:pPr>
              <w:pStyle w:val="TableParagraph"/>
              <w:spacing w:before="5"/>
              <w:ind w:right="268"/>
              <w:rPr>
                <w:sz w:val="16"/>
              </w:rPr>
            </w:pPr>
            <w:r>
              <w:rPr>
                <w:w w:val="95"/>
                <w:sz w:val="16"/>
              </w:rPr>
              <w:t>2,266</w:t>
            </w:r>
          </w:p>
        </w:tc>
        <w:tc>
          <w:tcPr>
            <w:tcW w:w="979" w:type="dxa"/>
          </w:tcPr>
          <w:p>
            <w:pPr>
              <w:pStyle w:val="TableParagraph"/>
              <w:spacing w:before="5"/>
              <w:ind w:right="79"/>
              <w:rPr>
                <w:sz w:val="16"/>
              </w:rPr>
            </w:pPr>
            <w:r>
              <w:rPr>
                <w:w w:val="95"/>
                <w:sz w:val="16"/>
              </w:rPr>
              <w:t>2,266</w:t>
            </w:r>
          </w:p>
        </w:tc>
      </w:tr>
      <w:tr>
        <w:trPr>
          <w:trHeight w:val="241" w:hRule="exact"/>
        </w:trPr>
        <w:tc>
          <w:tcPr>
            <w:tcW w:w="333" w:type="dxa"/>
          </w:tcPr>
          <w:p>
            <w:pPr/>
          </w:p>
        </w:tc>
        <w:tc>
          <w:tcPr>
            <w:tcW w:w="4949" w:type="dxa"/>
          </w:tcPr>
          <w:p>
            <w:pPr>
              <w:pStyle w:val="TableParagraph"/>
              <w:spacing w:before="20"/>
              <w:ind w:left="136"/>
              <w:jc w:val="left"/>
              <w:rPr>
                <w:sz w:val="16"/>
              </w:rPr>
            </w:pPr>
            <w:r>
              <w:rPr>
                <w:sz w:val="16"/>
              </w:rPr>
              <w:t>Additions</w:t>
            </w:r>
          </w:p>
        </w:tc>
        <w:tc>
          <w:tcPr>
            <w:tcW w:w="2430" w:type="dxa"/>
          </w:tcPr>
          <w:p>
            <w:pPr>
              <w:pStyle w:val="TableParagraph"/>
              <w:tabs>
                <w:tab w:pos="1167" w:val="left" w:leader="none"/>
              </w:tabs>
              <w:spacing w:before="19"/>
              <w:ind w:right="173"/>
              <w:rPr>
                <w:sz w:val="16"/>
              </w:rPr>
            </w:pPr>
            <w:r>
              <w:rPr>
                <w:sz w:val="16"/>
              </w:rPr>
              <w:t>-</w:t>
              <w:tab/>
            </w:r>
            <w:r>
              <w:rPr>
                <w:w w:val="95"/>
                <w:sz w:val="16"/>
              </w:rPr>
              <w:t>-</w:t>
            </w:r>
          </w:p>
        </w:tc>
        <w:tc>
          <w:tcPr>
            <w:tcW w:w="1262" w:type="dxa"/>
          </w:tcPr>
          <w:p>
            <w:pPr>
              <w:pStyle w:val="TableParagraph"/>
              <w:spacing w:before="19"/>
              <w:ind w:right="268"/>
              <w:rPr>
                <w:sz w:val="16"/>
              </w:rPr>
            </w:pPr>
            <w:r>
              <w:rPr>
                <w:w w:val="95"/>
                <w:sz w:val="16"/>
              </w:rPr>
              <w:t>2,998</w:t>
            </w:r>
          </w:p>
        </w:tc>
        <w:tc>
          <w:tcPr>
            <w:tcW w:w="979" w:type="dxa"/>
          </w:tcPr>
          <w:p>
            <w:pPr>
              <w:pStyle w:val="TableParagraph"/>
              <w:spacing w:before="19"/>
              <w:ind w:right="79"/>
              <w:rPr>
                <w:sz w:val="16"/>
              </w:rPr>
            </w:pPr>
            <w:r>
              <w:rPr>
                <w:w w:val="95"/>
                <w:sz w:val="16"/>
              </w:rPr>
              <w:t>2,998</w:t>
            </w:r>
          </w:p>
        </w:tc>
      </w:tr>
      <w:tr>
        <w:trPr>
          <w:trHeight w:val="241" w:hRule="exact"/>
        </w:trPr>
        <w:tc>
          <w:tcPr>
            <w:tcW w:w="333" w:type="dxa"/>
          </w:tcPr>
          <w:p>
            <w:pPr/>
          </w:p>
        </w:tc>
        <w:tc>
          <w:tcPr>
            <w:tcW w:w="4949" w:type="dxa"/>
          </w:tcPr>
          <w:p>
            <w:pPr>
              <w:pStyle w:val="TableParagraph"/>
              <w:spacing w:before="20"/>
              <w:ind w:left="136"/>
              <w:jc w:val="left"/>
              <w:rPr>
                <w:sz w:val="16"/>
              </w:rPr>
            </w:pPr>
            <w:r>
              <w:rPr>
                <w:sz w:val="16"/>
              </w:rPr>
              <w:t>Amortisation charge</w:t>
            </w:r>
          </w:p>
        </w:tc>
        <w:tc>
          <w:tcPr>
            <w:tcW w:w="2430" w:type="dxa"/>
          </w:tcPr>
          <w:p>
            <w:pPr>
              <w:pStyle w:val="TableParagraph"/>
              <w:tabs>
                <w:tab w:pos="1167" w:val="left" w:leader="none"/>
              </w:tabs>
              <w:spacing w:before="19"/>
              <w:ind w:right="173"/>
              <w:rPr>
                <w:sz w:val="16"/>
              </w:rPr>
            </w:pPr>
            <w:r>
              <w:rPr>
                <w:sz w:val="16"/>
              </w:rPr>
              <w:t>-</w:t>
              <w:tab/>
            </w:r>
            <w:r>
              <w:rPr>
                <w:w w:val="95"/>
                <w:sz w:val="16"/>
              </w:rPr>
              <w:t>-</w:t>
            </w:r>
          </w:p>
        </w:tc>
        <w:tc>
          <w:tcPr>
            <w:tcW w:w="1262" w:type="dxa"/>
          </w:tcPr>
          <w:p>
            <w:pPr>
              <w:pStyle w:val="TableParagraph"/>
              <w:spacing w:before="19"/>
              <w:ind w:right="215"/>
              <w:rPr>
                <w:sz w:val="16"/>
              </w:rPr>
            </w:pPr>
            <w:r>
              <w:rPr>
                <w:sz w:val="16"/>
              </w:rPr>
              <w:t>(453)</w:t>
            </w:r>
          </w:p>
        </w:tc>
        <w:tc>
          <w:tcPr>
            <w:tcW w:w="979" w:type="dxa"/>
          </w:tcPr>
          <w:p>
            <w:pPr>
              <w:pStyle w:val="TableParagraph"/>
              <w:spacing w:before="19"/>
              <w:ind w:right="26"/>
              <w:rPr>
                <w:sz w:val="16"/>
              </w:rPr>
            </w:pPr>
            <w:r>
              <w:rPr>
                <w:sz w:val="16"/>
              </w:rPr>
              <w:t>(453)</w:t>
            </w:r>
          </w:p>
        </w:tc>
      </w:tr>
      <w:tr>
        <w:trPr>
          <w:trHeight w:val="241" w:hRule="exact"/>
        </w:trPr>
        <w:tc>
          <w:tcPr>
            <w:tcW w:w="333" w:type="dxa"/>
          </w:tcPr>
          <w:p>
            <w:pPr/>
          </w:p>
        </w:tc>
        <w:tc>
          <w:tcPr>
            <w:tcW w:w="4949" w:type="dxa"/>
          </w:tcPr>
          <w:p>
            <w:pPr>
              <w:pStyle w:val="TableParagraph"/>
              <w:spacing w:before="20"/>
              <w:ind w:left="136"/>
              <w:jc w:val="left"/>
              <w:rPr>
                <w:sz w:val="16"/>
              </w:rPr>
            </w:pPr>
            <w:r>
              <w:rPr>
                <w:sz w:val="16"/>
              </w:rPr>
              <w:t>Revaluation increase recognised in equity</w:t>
            </w:r>
          </w:p>
        </w:tc>
        <w:tc>
          <w:tcPr>
            <w:tcW w:w="2430" w:type="dxa"/>
            <w:tcBorders>
              <w:bottom w:val="single" w:sz="0" w:space="0" w:color="000000"/>
            </w:tcBorders>
          </w:tcPr>
          <w:p>
            <w:pPr>
              <w:pStyle w:val="TableParagraph"/>
              <w:tabs>
                <w:tab w:pos="953" w:val="left" w:leader="none"/>
              </w:tabs>
              <w:spacing w:before="19"/>
              <w:ind w:right="174"/>
              <w:rPr>
                <w:sz w:val="16"/>
              </w:rPr>
            </w:pPr>
            <w:r>
              <w:rPr>
                <w:sz w:val="16"/>
              </w:rPr>
              <w:t>-</w:t>
              <w:tab/>
            </w:r>
            <w:r>
              <w:rPr>
                <w:spacing w:val="-1"/>
                <w:sz w:val="16"/>
              </w:rPr>
              <w:t>250</w:t>
            </w:r>
          </w:p>
        </w:tc>
        <w:tc>
          <w:tcPr>
            <w:tcW w:w="1262" w:type="dxa"/>
            <w:tcBorders>
              <w:bottom w:val="single" w:sz="0" w:space="0" w:color="000000"/>
            </w:tcBorders>
          </w:tcPr>
          <w:p>
            <w:pPr>
              <w:pStyle w:val="TableParagraph"/>
              <w:spacing w:before="19"/>
              <w:ind w:right="267"/>
              <w:rPr>
                <w:sz w:val="16"/>
              </w:rPr>
            </w:pPr>
            <w:r>
              <w:rPr>
                <w:w w:val="99"/>
                <w:sz w:val="16"/>
              </w:rPr>
              <w:t>-</w:t>
            </w:r>
          </w:p>
        </w:tc>
        <w:tc>
          <w:tcPr>
            <w:tcW w:w="979" w:type="dxa"/>
            <w:tcBorders>
              <w:bottom w:val="single" w:sz="0" w:space="0" w:color="000000"/>
            </w:tcBorders>
          </w:tcPr>
          <w:p>
            <w:pPr>
              <w:pStyle w:val="TableParagraph"/>
              <w:spacing w:before="19"/>
              <w:ind w:right="79"/>
              <w:rPr>
                <w:sz w:val="16"/>
              </w:rPr>
            </w:pPr>
            <w:r>
              <w:rPr>
                <w:sz w:val="16"/>
              </w:rPr>
              <w:t>250</w:t>
            </w:r>
          </w:p>
        </w:tc>
      </w:tr>
      <w:tr>
        <w:trPr>
          <w:trHeight w:val="316" w:hRule="exact"/>
        </w:trPr>
        <w:tc>
          <w:tcPr>
            <w:tcW w:w="333" w:type="dxa"/>
          </w:tcPr>
          <w:p>
            <w:pPr/>
          </w:p>
        </w:tc>
        <w:tc>
          <w:tcPr>
            <w:tcW w:w="4949" w:type="dxa"/>
          </w:tcPr>
          <w:p>
            <w:pPr>
              <w:pStyle w:val="TableParagraph"/>
              <w:spacing w:before="123"/>
              <w:ind w:left="136"/>
              <w:jc w:val="left"/>
              <w:rPr>
                <w:b/>
                <w:sz w:val="16"/>
              </w:rPr>
            </w:pPr>
            <w:r>
              <w:rPr>
                <w:b/>
                <w:sz w:val="16"/>
              </w:rPr>
              <w:t>Net book amount at 31 December 2015</w:t>
            </w:r>
          </w:p>
        </w:tc>
        <w:tc>
          <w:tcPr>
            <w:tcW w:w="2430" w:type="dxa"/>
            <w:tcBorders>
              <w:top w:val="single" w:sz="0" w:space="0" w:color="000000"/>
              <w:bottom w:val="single" w:sz="0" w:space="0" w:color="000000"/>
            </w:tcBorders>
          </w:tcPr>
          <w:p>
            <w:pPr>
              <w:pStyle w:val="TableParagraph"/>
              <w:tabs>
                <w:tab w:pos="953" w:val="left" w:leader="none"/>
              </w:tabs>
              <w:spacing w:before="122"/>
              <w:ind w:right="174"/>
              <w:rPr>
                <w:sz w:val="16"/>
              </w:rPr>
            </w:pPr>
            <w:r>
              <w:rPr>
                <w:sz w:val="16"/>
              </w:rPr>
              <w:t>-</w:t>
              <w:tab/>
            </w:r>
            <w:r>
              <w:rPr>
                <w:spacing w:val="-1"/>
                <w:sz w:val="16"/>
              </w:rPr>
              <w:t>250</w:t>
            </w:r>
          </w:p>
        </w:tc>
        <w:tc>
          <w:tcPr>
            <w:tcW w:w="1262" w:type="dxa"/>
            <w:tcBorders>
              <w:top w:val="single" w:sz="0" w:space="0" w:color="000000"/>
              <w:bottom w:val="single" w:sz="0" w:space="0" w:color="000000"/>
            </w:tcBorders>
          </w:tcPr>
          <w:p>
            <w:pPr>
              <w:pStyle w:val="TableParagraph"/>
              <w:spacing w:before="122"/>
              <w:ind w:right="268"/>
              <w:rPr>
                <w:sz w:val="16"/>
              </w:rPr>
            </w:pPr>
            <w:r>
              <w:rPr>
                <w:w w:val="95"/>
                <w:sz w:val="16"/>
              </w:rPr>
              <w:t>4,811</w:t>
            </w:r>
          </w:p>
        </w:tc>
        <w:tc>
          <w:tcPr>
            <w:tcW w:w="979" w:type="dxa"/>
            <w:tcBorders>
              <w:top w:val="single" w:sz="0" w:space="0" w:color="000000"/>
              <w:bottom w:val="single" w:sz="0" w:space="0" w:color="000000"/>
            </w:tcBorders>
          </w:tcPr>
          <w:p>
            <w:pPr>
              <w:pStyle w:val="TableParagraph"/>
              <w:spacing w:before="122"/>
              <w:ind w:right="79"/>
              <w:rPr>
                <w:sz w:val="16"/>
              </w:rPr>
            </w:pPr>
            <w:r>
              <w:rPr>
                <w:w w:val="95"/>
                <w:sz w:val="16"/>
              </w:rPr>
              <w:t>5,061</w:t>
            </w:r>
          </w:p>
        </w:tc>
      </w:tr>
      <w:tr>
        <w:trPr>
          <w:trHeight w:val="626" w:hRule="exact"/>
        </w:trPr>
        <w:tc>
          <w:tcPr>
            <w:tcW w:w="333" w:type="dxa"/>
          </w:tcPr>
          <w:p>
            <w:pPr/>
          </w:p>
        </w:tc>
        <w:tc>
          <w:tcPr>
            <w:tcW w:w="4949" w:type="dxa"/>
          </w:tcPr>
          <w:p>
            <w:pPr>
              <w:pStyle w:val="TableParagraph"/>
              <w:jc w:val="left"/>
              <w:rPr>
                <w:rFonts w:ascii="Times New Roman"/>
                <w:sz w:val="16"/>
              </w:rPr>
            </w:pPr>
          </w:p>
          <w:p>
            <w:pPr>
              <w:pStyle w:val="TableParagraph"/>
              <w:spacing w:before="5"/>
              <w:jc w:val="left"/>
              <w:rPr>
                <w:rFonts w:ascii="Times New Roman"/>
                <w:sz w:val="20"/>
              </w:rPr>
            </w:pPr>
          </w:p>
          <w:p>
            <w:pPr>
              <w:pStyle w:val="TableParagraph"/>
              <w:ind w:left="136"/>
              <w:jc w:val="left"/>
              <w:rPr>
                <w:b/>
                <w:sz w:val="16"/>
              </w:rPr>
            </w:pPr>
            <w:r>
              <w:rPr>
                <w:b/>
                <w:sz w:val="16"/>
              </w:rPr>
              <w:t>At 31 December 2015</w:t>
            </w:r>
          </w:p>
        </w:tc>
        <w:tc>
          <w:tcPr>
            <w:tcW w:w="2430" w:type="dxa"/>
            <w:tcBorders>
              <w:top w:val="single" w:sz="0" w:space="0" w:color="000000"/>
            </w:tcBorders>
          </w:tcPr>
          <w:p>
            <w:pPr/>
          </w:p>
        </w:tc>
        <w:tc>
          <w:tcPr>
            <w:tcW w:w="1262" w:type="dxa"/>
            <w:tcBorders>
              <w:top w:val="single" w:sz="0" w:space="0" w:color="000000"/>
            </w:tcBorders>
          </w:tcPr>
          <w:p>
            <w:pPr/>
          </w:p>
        </w:tc>
        <w:tc>
          <w:tcPr>
            <w:tcW w:w="979" w:type="dxa"/>
            <w:tcBorders>
              <w:top w:val="single" w:sz="0" w:space="0" w:color="000000"/>
            </w:tcBorders>
          </w:tcPr>
          <w:p>
            <w:pPr/>
          </w:p>
        </w:tc>
      </w:tr>
      <w:tr>
        <w:trPr>
          <w:trHeight w:val="227" w:hRule="exact"/>
        </w:trPr>
        <w:tc>
          <w:tcPr>
            <w:tcW w:w="333" w:type="dxa"/>
          </w:tcPr>
          <w:p>
            <w:pPr/>
          </w:p>
        </w:tc>
        <w:tc>
          <w:tcPr>
            <w:tcW w:w="4949" w:type="dxa"/>
          </w:tcPr>
          <w:p>
            <w:pPr>
              <w:pStyle w:val="TableParagraph"/>
              <w:spacing w:before="7"/>
              <w:ind w:left="136"/>
              <w:jc w:val="left"/>
              <w:rPr>
                <w:sz w:val="16"/>
              </w:rPr>
            </w:pPr>
            <w:r>
              <w:rPr>
                <w:sz w:val="16"/>
              </w:rPr>
              <w:t>- Cost</w:t>
            </w:r>
          </w:p>
        </w:tc>
        <w:tc>
          <w:tcPr>
            <w:tcW w:w="2430" w:type="dxa"/>
          </w:tcPr>
          <w:p>
            <w:pPr>
              <w:pStyle w:val="TableParagraph"/>
              <w:tabs>
                <w:tab w:pos="953" w:val="left" w:leader="none"/>
              </w:tabs>
              <w:spacing w:before="5"/>
              <w:ind w:right="174"/>
              <w:rPr>
                <w:sz w:val="16"/>
              </w:rPr>
            </w:pPr>
            <w:r>
              <w:rPr>
                <w:sz w:val="16"/>
              </w:rPr>
              <w:t>-</w:t>
              <w:tab/>
            </w:r>
            <w:r>
              <w:rPr>
                <w:spacing w:val="-1"/>
                <w:sz w:val="16"/>
              </w:rPr>
              <w:t>250</w:t>
            </w:r>
          </w:p>
        </w:tc>
        <w:tc>
          <w:tcPr>
            <w:tcW w:w="1262" w:type="dxa"/>
          </w:tcPr>
          <w:p>
            <w:pPr>
              <w:pStyle w:val="TableParagraph"/>
              <w:spacing w:before="5"/>
              <w:ind w:right="268"/>
              <w:rPr>
                <w:sz w:val="16"/>
              </w:rPr>
            </w:pPr>
            <w:r>
              <w:rPr>
                <w:w w:val="95"/>
                <w:sz w:val="16"/>
              </w:rPr>
              <w:t>5,264</w:t>
            </w:r>
          </w:p>
        </w:tc>
        <w:tc>
          <w:tcPr>
            <w:tcW w:w="979" w:type="dxa"/>
          </w:tcPr>
          <w:p>
            <w:pPr>
              <w:pStyle w:val="TableParagraph"/>
              <w:spacing w:before="5"/>
              <w:ind w:right="79"/>
              <w:rPr>
                <w:sz w:val="16"/>
              </w:rPr>
            </w:pPr>
            <w:r>
              <w:rPr>
                <w:w w:val="95"/>
                <w:sz w:val="16"/>
              </w:rPr>
              <w:t>5,514</w:t>
            </w:r>
          </w:p>
        </w:tc>
      </w:tr>
      <w:tr>
        <w:trPr>
          <w:trHeight w:val="241" w:hRule="exact"/>
        </w:trPr>
        <w:tc>
          <w:tcPr>
            <w:tcW w:w="333" w:type="dxa"/>
          </w:tcPr>
          <w:p>
            <w:pPr/>
          </w:p>
        </w:tc>
        <w:tc>
          <w:tcPr>
            <w:tcW w:w="4949" w:type="dxa"/>
          </w:tcPr>
          <w:p>
            <w:pPr>
              <w:pStyle w:val="TableParagraph"/>
              <w:spacing w:before="19"/>
              <w:ind w:left="136"/>
              <w:jc w:val="left"/>
              <w:rPr>
                <w:sz w:val="16"/>
              </w:rPr>
            </w:pPr>
            <w:r>
              <w:rPr>
                <w:sz w:val="16"/>
              </w:rPr>
              <w:t>- Accumulated amortisation and impairment</w:t>
            </w:r>
          </w:p>
        </w:tc>
        <w:tc>
          <w:tcPr>
            <w:tcW w:w="2430" w:type="dxa"/>
            <w:tcBorders>
              <w:bottom w:val="single" w:sz="0" w:space="0" w:color="000000"/>
            </w:tcBorders>
          </w:tcPr>
          <w:p>
            <w:pPr>
              <w:pStyle w:val="TableParagraph"/>
              <w:tabs>
                <w:tab w:pos="1167" w:val="left" w:leader="none"/>
              </w:tabs>
              <w:spacing w:before="19"/>
              <w:ind w:right="173"/>
              <w:rPr>
                <w:sz w:val="16"/>
              </w:rPr>
            </w:pPr>
            <w:r>
              <w:rPr>
                <w:sz w:val="16"/>
              </w:rPr>
              <w:t>-</w:t>
              <w:tab/>
            </w:r>
            <w:r>
              <w:rPr>
                <w:w w:val="95"/>
                <w:sz w:val="16"/>
              </w:rPr>
              <w:t>-</w:t>
            </w:r>
          </w:p>
        </w:tc>
        <w:tc>
          <w:tcPr>
            <w:tcW w:w="1262" w:type="dxa"/>
            <w:tcBorders>
              <w:bottom w:val="single" w:sz="0" w:space="0" w:color="000000"/>
            </w:tcBorders>
          </w:tcPr>
          <w:p>
            <w:pPr>
              <w:pStyle w:val="TableParagraph"/>
              <w:spacing w:before="19"/>
              <w:ind w:right="215"/>
              <w:rPr>
                <w:sz w:val="16"/>
              </w:rPr>
            </w:pPr>
            <w:r>
              <w:rPr>
                <w:sz w:val="16"/>
              </w:rPr>
              <w:t>(453)</w:t>
            </w:r>
          </w:p>
        </w:tc>
        <w:tc>
          <w:tcPr>
            <w:tcW w:w="979" w:type="dxa"/>
            <w:tcBorders>
              <w:bottom w:val="single" w:sz="0" w:space="0" w:color="000000"/>
            </w:tcBorders>
          </w:tcPr>
          <w:p>
            <w:pPr>
              <w:pStyle w:val="TableParagraph"/>
              <w:spacing w:before="19"/>
              <w:ind w:right="26"/>
              <w:rPr>
                <w:sz w:val="16"/>
              </w:rPr>
            </w:pPr>
            <w:r>
              <w:rPr>
                <w:sz w:val="16"/>
              </w:rPr>
              <w:t>(453)</w:t>
            </w:r>
          </w:p>
        </w:tc>
      </w:tr>
      <w:tr>
        <w:trPr>
          <w:trHeight w:val="316" w:hRule="exact"/>
        </w:trPr>
        <w:tc>
          <w:tcPr>
            <w:tcW w:w="333" w:type="dxa"/>
          </w:tcPr>
          <w:p>
            <w:pPr/>
          </w:p>
        </w:tc>
        <w:tc>
          <w:tcPr>
            <w:tcW w:w="4949" w:type="dxa"/>
          </w:tcPr>
          <w:p>
            <w:pPr>
              <w:pStyle w:val="TableParagraph"/>
              <w:spacing w:before="123"/>
              <w:ind w:left="136"/>
              <w:jc w:val="left"/>
              <w:rPr>
                <w:b/>
                <w:sz w:val="16"/>
              </w:rPr>
            </w:pPr>
            <w:r>
              <w:rPr>
                <w:b/>
                <w:sz w:val="16"/>
              </w:rPr>
              <w:t>Net book amount at 31 December 2015</w:t>
            </w:r>
          </w:p>
        </w:tc>
        <w:tc>
          <w:tcPr>
            <w:tcW w:w="2430" w:type="dxa"/>
            <w:tcBorders>
              <w:top w:val="single" w:sz="0" w:space="0" w:color="000000"/>
              <w:bottom w:val="single" w:sz="0" w:space="0" w:color="000000"/>
            </w:tcBorders>
          </w:tcPr>
          <w:p>
            <w:pPr>
              <w:pStyle w:val="TableParagraph"/>
              <w:tabs>
                <w:tab w:pos="953" w:val="left" w:leader="none"/>
              </w:tabs>
              <w:spacing w:before="122"/>
              <w:ind w:right="174"/>
              <w:rPr>
                <w:sz w:val="16"/>
              </w:rPr>
            </w:pPr>
            <w:r>
              <w:rPr>
                <w:sz w:val="16"/>
              </w:rPr>
              <w:t>-</w:t>
              <w:tab/>
            </w:r>
            <w:r>
              <w:rPr>
                <w:spacing w:val="-1"/>
                <w:sz w:val="16"/>
              </w:rPr>
              <w:t>250</w:t>
            </w:r>
          </w:p>
        </w:tc>
        <w:tc>
          <w:tcPr>
            <w:tcW w:w="1262" w:type="dxa"/>
            <w:tcBorders>
              <w:top w:val="single" w:sz="0" w:space="0" w:color="000000"/>
              <w:bottom w:val="single" w:sz="0" w:space="0" w:color="000000"/>
            </w:tcBorders>
          </w:tcPr>
          <w:p>
            <w:pPr>
              <w:pStyle w:val="TableParagraph"/>
              <w:spacing w:before="122"/>
              <w:ind w:right="268"/>
              <w:rPr>
                <w:sz w:val="16"/>
              </w:rPr>
            </w:pPr>
            <w:r>
              <w:rPr>
                <w:w w:val="95"/>
                <w:sz w:val="16"/>
              </w:rPr>
              <w:t>4,811</w:t>
            </w:r>
          </w:p>
        </w:tc>
        <w:tc>
          <w:tcPr>
            <w:tcW w:w="979" w:type="dxa"/>
            <w:tcBorders>
              <w:top w:val="single" w:sz="0" w:space="0" w:color="000000"/>
              <w:bottom w:val="single" w:sz="0" w:space="0" w:color="000000"/>
            </w:tcBorders>
          </w:tcPr>
          <w:p>
            <w:pPr>
              <w:pStyle w:val="TableParagraph"/>
              <w:spacing w:before="122"/>
              <w:ind w:right="79"/>
              <w:rPr>
                <w:sz w:val="16"/>
              </w:rPr>
            </w:pPr>
            <w:r>
              <w:rPr>
                <w:w w:val="95"/>
                <w:sz w:val="16"/>
              </w:rPr>
              <w:t>5,061</w:t>
            </w:r>
          </w:p>
        </w:tc>
      </w:tr>
      <w:tr>
        <w:trPr>
          <w:trHeight w:val="626" w:hRule="exact"/>
        </w:trPr>
        <w:tc>
          <w:tcPr>
            <w:tcW w:w="333" w:type="dxa"/>
          </w:tcPr>
          <w:p>
            <w:pPr/>
          </w:p>
        </w:tc>
        <w:tc>
          <w:tcPr>
            <w:tcW w:w="4949" w:type="dxa"/>
          </w:tcPr>
          <w:p>
            <w:pPr>
              <w:pStyle w:val="TableParagraph"/>
              <w:jc w:val="left"/>
              <w:rPr>
                <w:rFonts w:ascii="Times New Roman"/>
                <w:sz w:val="16"/>
              </w:rPr>
            </w:pPr>
          </w:p>
          <w:p>
            <w:pPr>
              <w:pStyle w:val="TableParagraph"/>
              <w:spacing w:before="5"/>
              <w:jc w:val="left"/>
              <w:rPr>
                <w:rFonts w:ascii="Times New Roman"/>
                <w:sz w:val="20"/>
              </w:rPr>
            </w:pPr>
          </w:p>
          <w:p>
            <w:pPr>
              <w:pStyle w:val="TableParagraph"/>
              <w:ind w:left="136"/>
              <w:jc w:val="left"/>
              <w:rPr>
                <w:b/>
                <w:sz w:val="16"/>
              </w:rPr>
            </w:pPr>
            <w:r>
              <w:rPr>
                <w:b/>
                <w:sz w:val="16"/>
              </w:rPr>
              <w:t>Year ended 31 December 2016</w:t>
            </w:r>
          </w:p>
        </w:tc>
        <w:tc>
          <w:tcPr>
            <w:tcW w:w="2430" w:type="dxa"/>
            <w:tcBorders>
              <w:top w:val="single" w:sz="0" w:space="0" w:color="000000"/>
            </w:tcBorders>
          </w:tcPr>
          <w:p>
            <w:pPr/>
          </w:p>
        </w:tc>
        <w:tc>
          <w:tcPr>
            <w:tcW w:w="1262" w:type="dxa"/>
            <w:tcBorders>
              <w:top w:val="single" w:sz="0" w:space="0" w:color="000000"/>
            </w:tcBorders>
          </w:tcPr>
          <w:p>
            <w:pPr/>
          </w:p>
        </w:tc>
        <w:tc>
          <w:tcPr>
            <w:tcW w:w="979" w:type="dxa"/>
            <w:tcBorders>
              <w:top w:val="single" w:sz="0" w:space="0" w:color="000000"/>
            </w:tcBorders>
          </w:tcPr>
          <w:p>
            <w:pPr/>
          </w:p>
        </w:tc>
      </w:tr>
      <w:tr>
        <w:trPr>
          <w:trHeight w:val="227" w:hRule="exact"/>
        </w:trPr>
        <w:tc>
          <w:tcPr>
            <w:tcW w:w="333" w:type="dxa"/>
          </w:tcPr>
          <w:p>
            <w:pPr/>
          </w:p>
        </w:tc>
        <w:tc>
          <w:tcPr>
            <w:tcW w:w="4949" w:type="dxa"/>
          </w:tcPr>
          <w:p>
            <w:pPr>
              <w:pStyle w:val="TableParagraph"/>
              <w:spacing w:before="7"/>
              <w:ind w:left="136"/>
              <w:jc w:val="left"/>
              <w:rPr>
                <w:sz w:val="16"/>
              </w:rPr>
            </w:pPr>
            <w:r>
              <w:rPr>
                <w:sz w:val="16"/>
              </w:rPr>
              <w:t>Opening net book amount</w:t>
            </w:r>
          </w:p>
        </w:tc>
        <w:tc>
          <w:tcPr>
            <w:tcW w:w="2430" w:type="dxa"/>
          </w:tcPr>
          <w:p>
            <w:pPr>
              <w:pStyle w:val="TableParagraph"/>
              <w:tabs>
                <w:tab w:pos="953" w:val="left" w:leader="none"/>
              </w:tabs>
              <w:spacing w:before="5"/>
              <w:ind w:right="174"/>
              <w:rPr>
                <w:sz w:val="16"/>
              </w:rPr>
            </w:pPr>
            <w:r>
              <w:rPr>
                <w:sz w:val="16"/>
              </w:rPr>
              <w:t>-</w:t>
              <w:tab/>
            </w:r>
            <w:r>
              <w:rPr>
                <w:spacing w:val="-1"/>
                <w:sz w:val="16"/>
              </w:rPr>
              <w:t>250</w:t>
            </w:r>
          </w:p>
        </w:tc>
        <w:tc>
          <w:tcPr>
            <w:tcW w:w="1262" w:type="dxa"/>
          </w:tcPr>
          <w:p>
            <w:pPr>
              <w:pStyle w:val="TableParagraph"/>
              <w:spacing w:before="5"/>
              <w:ind w:right="268"/>
              <w:rPr>
                <w:sz w:val="16"/>
              </w:rPr>
            </w:pPr>
            <w:r>
              <w:rPr>
                <w:w w:val="95"/>
                <w:sz w:val="16"/>
              </w:rPr>
              <w:t>4,811</w:t>
            </w:r>
          </w:p>
        </w:tc>
        <w:tc>
          <w:tcPr>
            <w:tcW w:w="979" w:type="dxa"/>
          </w:tcPr>
          <w:p>
            <w:pPr>
              <w:pStyle w:val="TableParagraph"/>
              <w:spacing w:before="5"/>
              <w:ind w:right="79"/>
              <w:rPr>
                <w:sz w:val="16"/>
              </w:rPr>
            </w:pPr>
            <w:r>
              <w:rPr>
                <w:w w:val="95"/>
                <w:sz w:val="16"/>
              </w:rPr>
              <w:t>5,061</w:t>
            </w:r>
          </w:p>
        </w:tc>
      </w:tr>
      <w:tr>
        <w:trPr>
          <w:trHeight w:val="241" w:hRule="exact"/>
        </w:trPr>
        <w:tc>
          <w:tcPr>
            <w:tcW w:w="333" w:type="dxa"/>
          </w:tcPr>
          <w:p>
            <w:pPr/>
          </w:p>
        </w:tc>
        <w:tc>
          <w:tcPr>
            <w:tcW w:w="4949" w:type="dxa"/>
          </w:tcPr>
          <w:p>
            <w:pPr>
              <w:pStyle w:val="TableParagraph"/>
              <w:spacing w:before="20"/>
              <w:ind w:left="136"/>
              <w:jc w:val="left"/>
              <w:rPr>
                <w:sz w:val="16"/>
              </w:rPr>
            </w:pPr>
            <w:r>
              <w:rPr>
                <w:sz w:val="16"/>
              </w:rPr>
              <w:t>Additions</w:t>
            </w:r>
          </w:p>
        </w:tc>
        <w:tc>
          <w:tcPr>
            <w:tcW w:w="2430" w:type="dxa"/>
          </w:tcPr>
          <w:p>
            <w:pPr>
              <w:pStyle w:val="TableParagraph"/>
              <w:tabs>
                <w:tab w:pos="1167" w:val="left" w:leader="none"/>
              </w:tabs>
              <w:spacing w:before="19"/>
              <w:ind w:right="173"/>
              <w:rPr>
                <w:sz w:val="16"/>
              </w:rPr>
            </w:pPr>
            <w:r>
              <w:rPr>
                <w:sz w:val="16"/>
              </w:rPr>
              <w:t>-</w:t>
              <w:tab/>
            </w:r>
            <w:r>
              <w:rPr>
                <w:w w:val="95"/>
                <w:sz w:val="16"/>
              </w:rPr>
              <w:t>-</w:t>
            </w:r>
          </w:p>
        </w:tc>
        <w:tc>
          <w:tcPr>
            <w:tcW w:w="1262" w:type="dxa"/>
          </w:tcPr>
          <w:p>
            <w:pPr>
              <w:pStyle w:val="TableParagraph"/>
              <w:spacing w:before="19"/>
              <w:ind w:right="268"/>
              <w:rPr>
                <w:sz w:val="16"/>
              </w:rPr>
            </w:pPr>
            <w:r>
              <w:rPr>
                <w:w w:val="95"/>
                <w:sz w:val="16"/>
              </w:rPr>
              <w:t>6,161</w:t>
            </w:r>
          </w:p>
        </w:tc>
        <w:tc>
          <w:tcPr>
            <w:tcW w:w="979" w:type="dxa"/>
          </w:tcPr>
          <w:p>
            <w:pPr>
              <w:pStyle w:val="TableParagraph"/>
              <w:spacing w:before="19"/>
              <w:ind w:right="79"/>
              <w:rPr>
                <w:sz w:val="16"/>
              </w:rPr>
            </w:pPr>
            <w:r>
              <w:rPr>
                <w:w w:val="95"/>
                <w:sz w:val="16"/>
              </w:rPr>
              <w:t>6,161</w:t>
            </w:r>
          </w:p>
        </w:tc>
      </w:tr>
      <w:tr>
        <w:trPr>
          <w:trHeight w:val="241" w:hRule="exact"/>
        </w:trPr>
        <w:tc>
          <w:tcPr>
            <w:tcW w:w="333" w:type="dxa"/>
          </w:tcPr>
          <w:p>
            <w:pPr/>
          </w:p>
        </w:tc>
        <w:tc>
          <w:tcPr>
            <w:tcW w:w="4949" w:type="dxa"/>
          </w:tcPr>
          <w:p>
            <w:pPr>
              <w:pStyle w:val="TableParagraph"/>
              <w:spacing w:before="20"/>
              <w:ind w:left="136"/>
              <w:jc w:val="left"/>
              <w:rPr>
                <w:sz w:val="16"/>
              </w:rPr>
            </w:pPr>
            <w:r>
              <w:rPr>
                <w:sz w:val="16"/>
              </w:rPr>
              <w:t>Amortisation charge</w:t>
            </w:r>
          </w:p>
        </w:tc>
        <w:tc>
          <w:tcPr>
            <w:tcW w:w="2430" w:type="dxa"/>
            <w:tcBorders>
              <w:bottom w:val="single" w:sz="0" w:space="0" w:color="000000"/>
            </w:tcBorders>
          </w:tcPr>
          <w:p>
            <w:pPr>
              <w:pStyle w:val="TableParagraph"/>
              <w:tabs>
                <w:tab w:pos="989" w:val="left" w:leader="none"/>
              </w:tabs>
              <w:spacing w:before="19"/>
              <w:ind w:right="120"/>
              <w:rPr>
                <w:sz w:val="16"/>
              </w:rPr>
            </w:pPr>
            <w:r>
              <w:rPr>
                <w:sz w:val="16"/>
              </w:rPr>
              <w:t>-</w:t>
              <w:tab/>
            </w:r>
            <w:r>
              <w:rPr>
                <w:spacing w:val="-2"/>
                <w:sz w:val="16"/>
              </w:rPr>
              <w:t>(29)</w:t>
            </w:r>
          </w:p>
        </w:tc>
        <w:tc>
          <w:tcPr>
            <w:tcW w:w="1262" w:type="dxa"/>
            <w:tcBorders>
              <w:bottom w:val="single" w:sz="0" w:space="0" w:color="000000"/>
            </w:tcBorders>
          </w:tcPr>
          <w:p>
            <w:pPr>
              <w:pStyle w:val="TableParagraph"/>
              <w:spacing w:before="19"/>
              <w:ind w:right="215"/>
              <w:rPr>
                <w:sz w:val="16"/>
              </w:rPr>
            </w:pPr>
            <w:r>
              <w:rPr>
                <w:sz w:val="16"/>
              </w:rPr>
              <w:t>(1,053)</w:t>
            </w:r>
          </w:p>
        </w:tc>
        <w:tc>
          <w:tcPr>
            <w:tcW w:w="979" w:type="dxa"/>
            <w:tcBorders>
              <w:bottom w:val="single" w:sz="0" w:space="0" w:color="000000"/>
            </w:tcBorders>
          </w:tcPr>
          <w:p>
            <w:pPr>
              <w:pStyle w:val="TableParagraph"/>
              <w:spacing w:before="19"/>
              <w:ind w:right="26"/>
              <w:rPr>
                <w:sz w:val="16"/>
              </w:rPr>
            </w:pPr>
            <w:r>
              <w:rPr>
                <w:sz w:val="16"/>
              </w:rPr>
              <w:t>(1,082)</w:t>
            </w:r>
          </w:p>
        </w:tc>
      </w:tr>
      <w:tr>
        <w:trPr>
          <w:trHeight w:val="316" w:hRule="exact"/>
        </w:trPr>
        <w:tc>
          <w:tcPr>
            <w:tcW w:w="333" w:type="dxa"/>
          </w:tcPr>
          <w:p>
            <w:pPr/>
          </w:p>
        </w:tc>
        <w:tc>
          <w:tcPr>
            <w:tcW w:w="4949" w:type="dxa"/>
          </w:tcPr>
          <w:p>
            <w:pPr>
              <w:pStyle w:val="TableParagraph"/>
              <w:spacing w:before="123"/>
              <w:ind w:left="136"/>
              <w:jc w:val="left"/>
              <w:rPr>
                <w:b/>
                <w:sz w:val="16"/>
              </w:rPr>
            </w:pPr>
            <w:r>
              <w:rPr>
                <w:b/>
                <w:sz w:val="16"/>
              </w:rPr>
              <w:t>Net book amount at 31 December 2016</w:t>
            </w:r>
          </w:p>
        </w:tc>
        <w:tc>
          <w:tcPr>
            <w:tcW w:w="2430" w:type="dxa"/>
            <w:tcBorders>
              <w:top w:val="single" w:sz="0" w:space="0" w:color="000000"/>
              <w:bottom w:val="single" w:sz="0" w:space="0" w:color="000000"/>
            </w:tcBorders>
          </w:tcPr>
          <w:p>
            <w:pPr>
              <w:pStyle w:val="TableParagraph"/>
              <w:tabs>
                <w:tab w:pos="953" w:val="left" w:leader="none"/>
              </w:tabs>
              <w:spacing w:before="122"/>
              <w:ind w:right="174"/>
              <w:rPr>
                <w:b/>
                <w:sz w:val="16"/>
              </w:rPr>
            </w:pPr>
            <w:r>
              <w:rPr>
                <w:b/>
                <w:sz w:val="16"/>
              </w:rPr>
              <w:t>-</w:t>
              <w:tab/>
            </w:r>
            <w:r>
              <w:rPr>
                <w:b/>
                <w:spacing w:val="-1"/>
                <w:sz w:val="16"/>
              </w:rPr>
              <w:t>221</w:t>
            </w:r>
          </w:p>
        </w:tc>
        <w:tc>
          <w:tcPr>
            <w:tcW w:w="1262" w:type="dxa"/>
            <w:tcBorders>
              <w:top w:val="single" w:sz="0" w:space="0" w:color="000000"/>
              <w:bottom w:val="single" w:sz="0" w:space="0" w:color="000000"/>
            </w:tcBorders>
          </w:tcPr>
          <w:p>
            <w:pPr>
              <w:pStyle w:val="TableParagraph"/>
              <w:spacing w:before="122"/>
              <w:ind w:right="268"/>
              <w:rPr>
                <w:b/>
                <w:sz w:val="16"/>
              </w:rPr>
            </w:pPr>
            <w:r>
              <w:rPr>
                <w:b/>
                <w:w w:val="95"/>
                <w:sz w:val="16"/>
              </w:rPr>
              <w:t>9,919</w:t>
            </w:r>
          </w:p>
        </w:tc>
        <w:tc>
          <w:tcPr>
            <w:tcW w:w="979" w:type="dxa"/>
            <w:tcBorders>
              <w:top w:val="single" w:sz="0" w:space="0" w:color="000000"/>
              <w:bottom w:val="single" w:sz="0" w:space="0" w:color="000000"/>
            </w:tcBorders>
          </w:tcPr>
          <w:p>
            <w:pPr>
              <w:pStyle w:val="TableParagraph"/>
              <w:spacing w:before="122"/>
              <w:ind w:right="79"/>
              <w:rPr>
                <w:b/>
                <w:sz w:val="16"/>
              </w:rPr>
            </w:pPr>
            <w:r>
              <w:rPr>
                <w:b/>
                <w:w w:val="95"/>
                <w:sz w:val="16"/>
              </w:rPr>
              <w:t>10,140</w:t>
            </w:r>
          </w:p>
        </w:tc>
      </w:tr>
      <w:tr>
        <w:trPr>
          <w:trHeight w:val="626" w:hRule="exact"/>
        </w:trPr>
        <w:tc>
          <w:tcPr>
            <w:tcW w:w="333" w:type="dxa"/>
          </w:tcPr>
          <w:p>
            <w:pPr/>
          </w:p>
        </w:tc>
        <w:tc>
          <w:tcPr>
            <w:tcW w:w="4949" w:type="dxa"/>
          </w:tcPr>
          <w:p>
            <w:pPr>
              <w:pStyle w:val="TableParagraph"/>
              <w:jc w:val="left"/>
              <w:rPr>
                <w:rFonts w:ascii="Times New Roman"/>
                <w:sz w:val="16"/>
              </w:rPr>
            </w:pPr>
          </w:p>
          <w:p>
            <w:pPr>
              <w:pStyle w:val="TableParagraph"/>
              <w:spacing w:before="5"/>
              <w:jc w:val="left"/>
              <w:rPr>
                <w:rFonts w:ascii="Times New Roman"/>
                <w:sz w:val="20"/>
              </w:rPr>
            </w:pPr>
          </w:p>
          <w:p>
            <w:pPr>
              <w:pStyle w:val="TableParagraph"/>
              <w:ind w:left="136"/>
              <w:jc w:val="left"/>
              <w:rPr>
                <w:b/>
                <w:sz w:val="16"/>
              </w:rPr>
            </w:pPr>
            <w:r>
              <w:rPr>
                <w:b/>
                <w:sz w:val="16"/>
              </w:rPr>
              <w:t>At 31 December 2016</w:t>
            </w:r>
          </w:p>
        </w:tc>
        <w:tc>
          <w:tcPr>
            <w:tcW w:w="2430" w:type="dxa"/>
            <w:tcBorders>
              <w:top w:val="single" w:sz="0" w:space="0" w:color="000000"/>
            </w:tcBorders>
          </w:tcPr>
          <w:p>
            <w:pPr/>
          </w:p>
        </w:tc>
        <w:tc>
          <w:tcPr>
            <w:tcW w:w="1262" w:type="dxa"/>
            <w:tcBorders>
              <w:top w:val="single" w:sz="0" w:space="0" w:color="000000"/>
            </w:tcBorders>
          </w:tcPr>
          <w:p>
            <w:pPr/>
          </w:p>
        </w:tc>
        <w:tc>
          <w:tcPr>
            <w:tcW w:w="979" w:type="dxa"/>
            <w:tcBorders>
              <w:top w:val="single" w:sz="0" w:space="0" w:color="000000"/>
            </w:tcBorders>
          </w:tcPr>
          <w:p>
            <w:pPr/>
          </w:p>
        </w:tc>
      </w:tr>
      <w:tr>
        <w:trPr>
          <w:trHeight w:val="227" w:hRule="exact"/>
        </w:trPr>
        <w:tc>
          <w:tcPr>
            <w:tcW w:w="333" w:type="dxa"/>
          </w:tcPr>
          <w:p>
            <w:pPr/>
          </w:p>
        </w:tc>
        <w:tc>
          <w:tcPr>
            <w:tcW w:w="4949" w:type="dxa"/>
          </w:tcPr>
          <w:p>
            <w:pPr>
              <w:pStyle w:val="TableParagraph"/>
              <w:spacing w:before="7"/>
              <w:ind w:left="136"/>
              <w:jc w:val="left"/>
              <w:rPr>
                <w:sz w:val="16"/>
              </w:rPr>
            </w:pPr>
            <w:r>
              <w:rPr>
                <w:sz w:val="16"/>
              </w:rPr>
              <w:t>- Cost</w:t>
            </w:r>
          </w:p>
        </w:tc>
        <w:tc>
          <w:tcPr>
            <w:tcW w:w="2430" w:type="dxa"/>
          </w:tcPr>
          <w:p>
            <w:pPr>
              <w:pStyle w:val="TableParagraph"/>
              <w:tabs>
                <w:tab w:pos="953" w:val="left" w:leader="none"/>
              </w:tabs>
              <w:spacing w:before="5"/>
              <w:ind w:right="174"/>
              <w:rPr>
                <w:sz w:val="16"/>
              </w:rPr>
            </w:pPr>
            <w:r>
              <w:rPr>
                <w:sz w:val="16"/>
              </w:rPr>
              <w:t>-</w:t>
              <w:tab/>
            </w:r>
            <w:r>
              <w:rPr>
                <w:spacing w:val="-1"/>
                <w:sz w:val="16"/>
              </w:rPr>
              <w:t>250</w:t>
            </w:r>
          </w:p>
        </w:tc>
        <w:tc>
          <w:tcPr>
            <w:tcW w:w="1262" w:type="dxa"/>
          </w:tcPr>
          <w:p>
            <w:pPr>
              <w:pStyle w:val="TableParagraph"/>
              <w:spacing w:before="5"/>
              <w:ind w:right="268"/>
              <w:rPr>
                <w:sz w:val="16"/>
              </w:rPr>
            </w:pPr>
            <w:r>
              <w:rPr>
                <w:w w:val="95"/>
                <w:sz w:val="16"/>
              </w:rPr>
              <w:t>11,425</w:t>
            </w:r>
          </w:p>
        </w:tc>
        <w:tc>
          <w:tcPr>
            <w:tcW w:w="979" w:type="dxa"/>
          </w:tcPr>
          <w:p>
            <w:pPr>
              <w:pStyle w:val="TableParagraph"/>
              <w:spacing w:before="5"/>
              <w:ind w:right="79"/>
              <w:rPr>
                <w:sz w:val="16"/>
              </w:rPr>
            </w:pPr>
            <w:r>
              <w:rPr>
                <w:w w:val="95"/>
                <w:sz w:val="16"/>
              </w:rPr>
              <w:t>11,675</w:t>
            </w:r>
          </w:p>
        </w:tc>
      </w:tr>
      <w:tr>
        <w:trPr>
          <w:trHeight w:val="241" w:hRule="exact"/>
        </w:trPr>
        <w:tc>
          <w:tcPr>
            <w:tcW w:w="333" w:type="dxa"/>
          </w:tcPr>
          <w:p>
            <w:pPr/>
          </w:p>
        </w:tc>
        <w:tc>
          <w:tcPr>
            <w:tcW w:w="4949" w:type="dxa"/>
          </w:tcPr>
          <w:p>
            <w:pPr>
              <w:pStyle w:val="TableParagraph"/>
              <w:spacing w:before="20"/>
              <w:ind w:left="136"/>
              <w:jc w:val="left"/>
              <w:rPr>
                <w:sz w:val="16"/>
              </w:rPr>
            </w:pPr>
            <w:r>
              <w:rPr>
                <w:sz w:val="16"/>
              </w:rPr>
              <w:t>- Accumulated amortisation and impairment</w:t>
            </w:r>
          </w:p>
        </w:tc>
        <w:tc>
          <w:tcPr>
            <w:tcW w:w="2430" w:type="dxa"/>
            <w:tcBorders>
              <w:bottom w:val="single" w:sz="0" w:space="0" w:color="000000"/>
            </w:tcBorders>
          </w:tcPr>
          <w:p>
            <w:pPr>
              <w:pStyle w:val="TableParagraph"/>
              <w:tabs>
                <w:tab w:pos="989" w:val="left" w:leader="none"/>
              </w:tabs>
              <w:spacing w:before="19"/>
              <w:ind w:right="120"/>
              <w:rPr>
                <w:sz w:val="16"/>
              </w:rPr>
            </w:pPr>
            <w:r>
              <w:rPr>
                <w:sz w:val="16"/>
              </w:rPr>
              <w:t>-</w:t>
              <w:tab/>
            </w:r>
            <w:r>
              <w:rPr>
                <w:spacing w:val="-2"/>
                <w:sz w:val="16"/>
              </w:rPr>
              <w:t>(29)</w:t>
            </w:r>
          </w:p>
        </w:tc>
        <w:tc>
          <w:tcPr>
            <w:tcW w:w="1262" w:type="dxa"/>
            <w:tcBorders>
              <w:bottom w:val="single" w:sz="0" w:space="0" w:color="000000"/>
            </w:tcBorders>
          </w:tcPr>
          <w:p>
            <w:pPr>
              <w:pStyle w:val="TableParagraph"/>
              <w:spacing w:before="19"/>
              <w:ind w:right="215"/>
              <w:rPr>
                <w:sz w:val="16"/>
              </w:rPr>
            </w:pPr>
            <w:r>
              <w:rPr>
                <w:sz w:val="16"/>
              </w:rPr>
              <w:t>(1,506)</w:t>
            </w:r>
          </w:p>
        </w:tc>
        <w:tc>
          <w:tcPr>
            <w:tcW w:w="979" w:type="dxa"/>
            <w:tcBorders>
              <w:bottom w:val="single" w:sz="0" w:space="0" w:color="000000"/>
            </w:tcBorders>
          </w:tcPr>
          <w:p>
            <w:pPr>
              <w:pStyle w:val="TableParagraph"/>
              <w:spacing w:before="19"/>
              <w:ind w:right="26"/>
              <w:rPr>
                <w:sz w:val="16"/>
              </w:rPr>
            </w:pPr>
            <w:r>
              <w:rPr>
                <w:sz w:val="16"/>
              </w:rPr>
              <w:t>(1,535)</w:t>
            </w:r>
          </w:p>
        </w:tc>
      </w:tr>
      <w:tr>
        <w:trPr>
          <w:trHeight w:val="331" w:hRule="exact"/>
        </w:trPr>
        <w:tc>
          <w:tcPr>
            <w:tcW w:w="333" w:type="dxa"/>
          </w:tcPr>
          <w:p>
            <w:pPr/>
          </w:p>
        </w:tc>
        <w:tc>
          <w:tcPr>
            <w:tcW w:w="4949" w:type="dxa"/>
          </w:tcPr>
          <w:p>
            <w:pPr>
              <w:pStyle w:val="TableParagraph"/>
              <w:spacing w:before="123"/>
              <w:ind w:left="136"/>
              <w:jc w:val="left"/>
              <w:rPr>
                <w:b/>
                <w:sz w:val="16"/>
              </w:rPr>
            </w:pPr>
            <w:r>
              <w:rPr>
                <w:b/>
                <w:sz w:val="16"/>
              </w:rPr>
              <w:t>Net book amount at 31 December 2016</w:t>
            </w:r>
          </w:p>
        </w:tc>
        <w:tc>
          <w:tcPr>
            <w:tcW w:w="2430" w:type="dxa"/>
            <w:tcBorders>
              <w:top w:val="single" w:sz="0" w:space="0" w:color="000000"/>
              <w:bottom w:val="single" w:sz="0" w:space="0" w:color="000000"/>
            </w:tcBorders>
          </w:tcPr>
          <w:p>
            <w:pPr>
              <w:pStyle w:val="TableParagraph"/>
              <w:tabs>
                <w:tab w:pos="953" w:val="left" w:leader="none"/>
              </w:tabs>
              <w:spacing w:before="122"/>
              <w:ind w:right="174"/>
              <w:rPr>
                <w:b/>
                <w:sz w:val="16"/>
              </w:rPr>
            </w:pPr>
            <w:r>
              <w:rPr>
                <w:b/>
                <w:sz w:val="16"/>
              </w:rPr>
              <w:t>-</w:t>
              <w:tab/>
            </w:r>
            <w:r>
              <w:rPr>
                <w:b/>
                <w:spacing w:val="-1"/>
                <w:sz w:val="16"/>
              </w:rPr>
              <w:t>221</w:t>
            </w:r>
          </w:p>
        </w:tc>
        <w:tc>
          <w:tcPr>
            <w:tcW w:w="1262" w:type="dxa"/>
            <w:tcBorders>
              <w:top w:val="single" w:sz="0" w:space="0" w:color="000000"/>
              <w:bottom w:val="single" w:sz="0" w:space="0" w:color="000000"/>
            </w:tcBorders>
          </w:tcPr>
          <w:p>
            <w:pPr>
              <w:pStyle w:val="TableParagraph"/>
              <w:spacing w:before="122"/>
              <w:ind w:right="268"/>
              <w:rPr>
                <w:b/>
                <w:sz w:val="16"/>
              </w:rPr>
            </w:pPr>
            <w:r>
              <w:rPr>
                <w:b/>
                <w:w w:val="95"/>
                <w:sz w:val="16"/>
              </w:rPr>
              <w:t>9,919</w:t>
            </w:r>
          </w:p>
        </w:tc>
        <w:tc>
          <w:tcPr>
            <w:tcW w:w="979" w:type="dxa"/>
            <w:tcBorders>
              <w:top w:val="single" w:sz="0" w:space="0" w:color="000000"/>
              <w:bottom w:val="single" w:sz="0" w:space="0" w:color="000000"/>
            </w:tcBorders>
          </w:tcPr>
          <w:p>
            <w:pPr>
              <w:pStyle w:val="TableParagraph"/>
              <w:spacing w:before="122"/>
              <w:ind w:right="79"/>
              <w:rPr>
                <w:b/>
                <w:sz w:val="16"/>
              </w:rPr>
            </w:pPr>
            <w:r>
              <w:rPr>
                <w:b/>
                <w:w w:val="95"/>
                <w:sz w:val="16"/>
              </w:rPr>
              <w:t>10,140</w:t>
            </w:r>
          </w:p>
        </w:tc>
      </w:tr>
    </w:tbl>
    <w:p>
      <w:pPr>
        <w:spacing w:after="0"/>
        <w:rPr>
          <w:sz w:val="16"/>
        </w:rPr>
        <w:sectPr>
          <w:headerReference w:type="default" r:id="rId42"/>
          <w:footerReference w:type="default" r:id="rId43"/>
          <w:pgSz w:w="12750" w:h="17680"/>
          <w:pgMar w:header="0" w:footer="907" w:top="2640" w:bottom="1100" w:left="0" w:right="0"/>
          <w:pgNumType w:start="50"/>
        </w:sectPr>
      </w:pPr>
    </w:p>
    <w:p>
      <w:pPr>
        <w:pStyle w:val="BodyText"/>
        <w:rPr>
          <w:rFonts w:ascii="Times New Roman"/>
          <w:sz w:val="20"/>
        </w:rPr>
      </w:pPr>
      <w:r>
        <w:rPr/>
        <w:drawing>
          <wp:anchor distT="0" distB="0" distL="0" distR="0" allowOverlap="1" layoutInCell="1" locked="0" behindDoc="0" simplePos="0" relativeHeight="3880">
            <wp:simplePos x="0" y="0"/>
            <wp:positionH relativeFrom="page">
              <wp:posOffset>-1587</wp:posOffset>
            </wp:positionH>
            <wp:positionV relativeFrom="page">
              <wp:posOffset>5534342</wp:posOffset>
            </wp:positionV>
            <wp:extent cx="135159" cy="154019"/>
            <wp:effectExtent l="0" t="0" r="0" b="0"/>
            <wp:wrapNone/>
            <wp:docPr id="239" name="image13.png" descr=""/>
            <wp:cNvGraphicFramePr>
              <a:graphicFrameLocks noChangeAspect="1"/>
            </wp:cNvGraphicFramePr>
            <a:graphic>
              <a:graphicData uri="http://schemas.openxmlformats.org/drawingml/2006/picture">
                <pic:pic>
                  <pic:nvPicPr>
                    <pic:cNvPr id="240" name="image13.png"/>
                    <pic:cNvPicPr/>
                  </pic:nvPicPr>
                  <pic:blipFill>
                    <a:blip r:embed="rId18" cstate="print"/>
                    <a:stretch>
                      <a:fillRect/>
                    </a:stretch>
                  </pic:blipFill>
                  <pic:spPr>
                    <a:xfrm>
                      <a:off x="0" y="0"/>
                      <a:ext cx="135159" cy="154019"/>
                    </a:xfrm>
                    <a:prstGeom prst="rect">
                      <a:avLst/>
                    </a:prstGeom>
                  </pic:spPr>
                </pic:pic>
              </a:graphicData>
            </a:graphic>
          </wp:anchor>
        </w:drawing>
      </w:r>
      <w:r>
        <w:rPr/>
        <w:drawing>
          <wp:anchor distT="0" distB="0" distL="0" distR="0" allowOverlap="1" layoutInCell="1" locked="0" behindDoc="0" simplePos="0" relativeHeight="3904">
            <wp:simplePos x="0" y="0"/>
            <wp:positionH relativeFrom="page">
              <wp:posOffset>7958429</wp:posOffset>
            </wp:positionH>
            <wp:positionV relativeFrom="page">
              <wp:posOffset>5534342</wp:posOffset>
            </wp:positionV>
            <wp:extent cx="135953" cy="155575"/>
            <wp:effectExtent l="0" t="0" r="0" b="0"/>
            <wp:wrapNone/>
            <wp:docPr id="241" name="image15.png" descr=""/>
            <wp:cNvGraphicFramePr>
              <a:graphicFrameLocks noChangeAspect="1"/>
            </wp:cNvGraphicFramePr>
            <a:graphic>
              <a:graphicData uri="http://schemas.openxmlformats.org/drawingml/2006/picture">
                <pic:pic>
                  <pic:nvPicPr>
                    <pic:cNvPr id="242" name="image15.png"/>
                    <pic:cNvPicPr/>
                  </pic:nvPicPr>
                  <pic:blipFill>
                    <a:blip r:embed="rId20" cstate="print"/>
                    <a:stretch>
                      <a:fillRect/>
                    </a:stretch>
                  </pic:blipFill>
                  <pic:spPr>
                    <a:xfrm>
                      <a:off x="0" y="0"/>
                      <a:ext cx="135953" cy="155575"/>
                    </a:xfrm>
                    <a:prstGeom prst="rect">
                      <a:avLst/>
                    </a:prstGeom>
                  </pic:spPr>
                </pic:pic>
              </a:graphicData>
            </a:graphic>
          </wp:anchor>
        </w:drawing>
      </w:r>
    </w:p>
    <w:p>
      <w:pPr>
        <w:pStyle w:val="BodyText"/>
        <w:rPr>
          <w:rFonts w:ascii="Times New Roman"/>
          <w:sz w:val="20"/>
        </w:rPr>
      </w:pPr>
    </w:p>
    <w:p>
      <w:pPr>
        <w:pStyle w:val="BodyText"/>
        <w:spacing w:before="4"/>
        <w:rPr>
          <w:rFonts w:ascii="Times New Roman"/>
        </w:rPr>
      </w:pPr>
    </w:p>
    <w:p>
      <w:pPr>
        <w:pStyle w:val="Heading8"/>
        <w:numPr>
          <w:ilvl w:val="0"/>
          <w:numId w:val="22"/>
        </w:numPr>
        <w:tabs>
          <w:tab w:pos="1826" w:val="left" w:leader="none"/>
        </w:tabs>
        <w:spacing w:line="240" w:lineRule="auto" w:before="0" w:after="0"/>
        <w:ind w:left="1825" w:right="0" w:hanging="396"/>
        <w:jc w:val="left"/>
      </w:pPr>
      <w:r>
        <w:rPr/>
        <w:t>Intangible Assets</w:t>
      </w:r>
      <w:r>
        <w:rPr>
          <w:spacing w:val="-6"/>
        </w:rPr>
        <w:t> </w:t>
      </w:r>
      <w:r>
        <w:rPr/>
        <w:t>(continued)</w:t>
      </w:r>
    </w:p>
    <w:p>
      <w:pPr>
        <w:pStyle w:val="BodyText"/>
        <w:rPr>
          <w:b/>
          <w:sz w:val="20"/>
        </w:rPr>
      </w:pPr>
    </w:p>
    <w:p>
      <w:pPr>
        <w:pStyle w:val="BodyText"/>
        <w:rPr>
          <w:b/>
          <w:sz w:val="20"/>
        </w:rPr>
      </w:pPr>
    </w:p>
    <w:p>
      <w:pPr>
        <w:pStyle w:val="BodyText"/>
        <w:spacing w:before="5"/>
        <w:rPr>
          <w:b/>
          <w:sz w:val="13"/>
        </w:rPr>
      </w:pPr>
    </w:p>
    <w:tbl>
      <w:tblPr>
        <w:tblW w:w="0" w:type="auto"/>
        <w:jc w:val="left"/>
        <w:tblInd w:w="182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847"/>
        <w:gridCol w:w="1284"/>
        <w:gridCol w:w="1145"/>
        <w:gridCol w:w="1262"/>
        <w:gridCol w:w="979"/>
      </w:tblGrid>
      <w:tr>
        <w:trPr>
          <w:trHeight w:val="389" w:hRule="exact"/>
        </w:trPr>
        <w:tc>
          <w:tcPr>
            <w:tcW w:w="4847" w:type="dxa"/>
          </w:tcPr>
          <w:p>
            <w:pPr>
              <w:pStyle w:val="TableParagraph"/>
              <w:spacing w:line="96" w:lineRule="exact"/>
              <w:ind w:left="35"/>
              <w:jc w:val="left"/>
              <w:rPr>
                <w:b/>
                <w:sz w:val="16"/>
              </w:rPr>
            </w:pPr>
            <w:r>
              <w:rPr>
                <w:b/>
                <w:sz w:val="16"/>
              </w:rPr>
              <w:t>Consolidated</w:t>
            </w:r>
          </w:p>
        </w:tc>
        <w:tc>
          <w:tcPr>
            <w:tcW w:w="1284" w:type="dxa"/>
          </w:tcPr>
          <w:p>
            <w:pPr>
              <w:pStyle w:val="TableParagraph"/>
              <w:spacing w:line="163" w:lineRule="exact"/>
              <w:ind w:left="82" w:right="157"/>
              <w:jc w:val="center"/>
              <w:rPr>
                <w:b/>
                <w:sz w:val="16"/>
              </w:rPr>
            </w:pPr>
            <w:r>
              <w:rPr>
                <w:b/>
                <w:sz w:val="16"/>
              </w:rPr>
              <w:t>Development</w:t>
            </w:r>
          </w:p>
          <w:p>
            <w:pPr>
              <w:pStyle w:val="TableParagraph"/>
              <w:ind w:left="81" w:right="157"/>
              <w:jc w:val="center"/>
              <w:rPr>
                <w:b/>
                <w:sz w:val="16"/>
              </w:rPr>
            </w:pPr>
            <w:r>
              <w:rPr>
                <w:b/>
                <w:sz w:val="16"/>
              </w:rPr>
              <w:t>costs</w:t>
            </w:r>
          </w:p>
        </w:tc>
        <w:tc>
          <w:tcPr>
            <w:tcW w:w="1145" w:type="dxa"/>
          </w:tcPr>
          <w:p>
            <w:pPr>
              <w:pStyle w:val="TableParagraph"/>
              <w:spacing w:before="1"/>
              <w:jc w:val="left"/>
              <w:rPr>
                <w:b/>
                <w:sz w:val="14"/>
              </w:rPr>
            </w:pPr>
          </w:p>
          <w:p>
            <w:pPr>
              <w:pStyle w:val="TableParagraph"/>
              <w:spacing w:before="1"/>
              <w:ind w:left="145"/>
              <w:jc w:val="left"/>
              <w:rPr>
                <w:b/>
                <w:sz w:val="16"/>
              </w:rPr>
            </w:pPr>
            <w:r>
              <w:rPr>
                <w:b/>
                <w:sz w:val="16"/>
              </w:rPr>
              <w:t>Licences</w:t>
            </w:r>
          </w:p>
        </w:tc>
        <w:tc>
          <w:tcPr>
            <w:tcW w:w="1262" w:type="dxa"/>
          </w:tcPr>
          <w:p>
            <w:pPr>
              <w:pStyle w:val="TableParagraph"/>
              <w:spacing w:line="163" w:lineRule="exact"/>
              <w:ind w:left="162" w:hanging="40"/>
              <w:jc w:val="left"/>
              <w:rPr>
                <w:b/>
                <w:sz w:val="16"/>
              </w:rPr>
            </w:pPr>
            <w:r>
              <w:rPr>
                <w:b/>
                <w:sz w:val="16"/>
              </w:rPr>
              <w:t>Electronic</w:t>
            </w:r>
          </w:p>
          <w:p>
            <w:pPr>
              <w:pStyle w:val="TableParagraph"/>
              <w:ind w:left="162"/>
              <w:jc w:val="left"/>
              <w:rPr>
                <w:b/>
                <w:sz w:val="16"/>
              </w:rPr>
            </w:pPr>
            <w:r>
              <w:rPr>
                <w:b/>
                <w:sz w:val="16"/>
              </w:rPr>
              <w:t>Materials</w:t>
            </w:r>
          </w:p>
        </w:tc>
        <w:tc>
          <w:tcPr>
            <w:tcW w:w="979" w:type="dxa"/>
          </w:tcPr>
          <w:p>
            <w:pPr>
              <w:pStyle w:val="TableParagraph"/>
              <w:spacing w:before="1"/>
              <w:jc w:val="left"/>
              <w:rPr>
                <w:b/>
                <w:sz w:val="14"/>
              </w:rPr>
            </w:pPr>
          </w:p>
          <w:p>
            <w:pPr>
              <w:pStyle w:val="TableParagraph"/>
              <w:spacing w:before="1"/>
              <w:ind w:left="224"/>
              <w:jc w:val="left"/>
              <w:rPr>
                <w:b/>
                <w:sz w:val="16"/>
              </w:rPr>
            </w:pPr>
            <w:r>
              <w:rPr>
                <w:b/>
                <w:sz w:val="16"/>
              </w:rPr>
              <w:t>Total</w:t>
            </w:r>
          </w:p>
        </w:tc>
      </w:tr>
      <w:tr>
        <w:trPr>
          <w:trHeight w:val="290" w:hRule="exact"/>
        </w:trPr>
        <w:tc>
          <w:tcPr>
            <w:tcW w:w="4847" w:type="dxa"/>
          </w:tcPr>
          <w:p>
            <w:pPr/>
          </w:p>
        </w:tc>
        <w:tc>
          <w:tcPr>
            <w:tcW w:w="1284" w:type="dxa"/>
          </w:tcPr>
          <w:p>
            <w:pPr>
              <w:pStyle w:val="TableParagraph"/>
              <w:spacing w:before="25"/>
              <w:ind w:left="405"/>
              <w:jc w:val="left"/>
              <w:rPr>
                <w:b/>
                <w:sz w:val="16"/>
              </w:rPr>
            </w:pPr>
            <w:r>
              <w:rPr>
                <w:b/>
                <w:sz w:val="16"/>
              </w:rPr>
              <w:t>$'000</w:t>
            </w:r>
          </w:p>
        </w:tc>
        <w:tc>
          <w:tcPr>
            <w:tcW w:w="1145" w:type="dxa"/>
          </w:tcPr>
          <w:p>
            <w:pPr>
              <w:pStyle w:val="TableParagraph"/>
              <w:spacing w:before="25"/>
              <w:ind w:left="289"/>
              <w:jc w:val="left"/>
              <w:rPr>
                <w:b/>
                <w:sz w:val="16"/>
              </w:rPr>
            </w:pPr>
            <w:r>
              <w:rPr>
                <w:b/>
                <w:sz w:val="16"/>
              </w:rPr>
              <w:t>$'000</w:t>
            </w:r>
          </w:p>
        </w:tc>
        <w:tc>
          <w:tcPr>
            <w:tcW w:w="1262" w:type="dxa"/>
          </w:tcPr>
          <w:p>
            <w:pPr>
              <w:pStyle w:val="TableParagraph"/>
              <w:spacing w:before="25"/>
              <w:ind w:left="311"/>
              <w:jc w:val="left"/>
              <w:rPr>
                <w:b/>
                <w:sz w:val="16"/>
              </w:rPr>
            </w:pPr>
            <w:r>
              <w:rPr>
                <w:b/>
                <w:sz w:val="16"/>
              </w:rPr>
              <w:t>$'000</w:t>
            </w:r>
          </w:p>
        </w:tc>
        <w:tc>
          <w:tcPr>
            <w:tcW w:w="979" w:type="dxa"/>
          </w:tcPr>
          <w:p>
            <w:pPr>
              <w:pStyle w:val="TableParagraph"/>
              <w:spacing w:before="25"/>
              <w:ind w:left="217"/>
              <w:jc w:val="left"/>
              <w:rPr>
                <w:b/>
                <w:sz w:val="16"/>
              </w:rPr>
            </w:pPr>
            <w:r>
              <w:rPr>
                <w:b/>
                <w:sz w:val="16"/>
              </w:rPr>
              <w:t>$'000</w:t>
            </w:r>
          </w:p>
        </w:tc>
      </w:tr>
      <w:tr>
        <w:trPr>
          <w:trHeight w:val="499" w:hRule="exact"/>
        </w:trPr>
        <w:tc>
          <w:tcPr>
            <w:tcW w:w="4847" w:type="dxa"/>
          </w:tcPr>
          <w:p>
            <w:pPr>
              <w:pStyle w:val="TableParagraph"/>
              <w:spacing w:before="64"/>
              <w:ind w:left="35"/>
              <w:jc w:val="left"/>
              <w:rPr>
                <w:b/>
                <w:sz w:val="16"/>
              </w:rPr>
            </w:pPr>
            <w:r>
              <w:rPr>
                <w:b/>
                <w:sz w:val="16"/>
              </w:rPr>
              <w:t>At 1 January 2015</w:t>
            </w:r>
          </w:p>
          <w:p>
            <w:pPr>
              <w:pStyle w:val="TableParagraph"/>
              <w:spacing w:before="29"/>
              <w:ind w:left="35"/>
              <w:jc w:val="left"/>
              <w:rPr>
                <w:sz w:val="16"/>
              </w:rPr>
            </w:pPr>
            <w:r>
              <w:rPr>
                <w:sz w:val="16"/>
              </w:rPr>
              <w:t>- Cost</w:t>
            </w:r>
          </w:p>
        </w:tc>
        <w:tc>
          <w:tcPr>
            <w:tcW w:w="1284" w:type="dxa"/>
          </w:tcPr>
          <w:p>
            <w:pPr>
              <w:pStyle w:val="TableParagraph"/>
              <w:jc w:val="left"/>
              <w:rPr>
                <w:b/>
                <w:sz w:val="16"/>
              </w:rPr>
            </w:pPr>
          </w:p>
          <w:p>
            <w:pPr>
              <w:pStyle w:val="TableParagraph"/>
              <w:spacing w:before="93"/>
              <w:ind w:right="195"/>
              <w:rPr>
                <w:sz w:val="16"/>
              </w:rPr>
            </w:pPr>
            <w:r>
              <w:rPr>
                <w:w w:val="99"/>
                <w:sz w:val="16"/>
              </w:rPr>
              <w:t>-</w:t>
            </w:r>
          </w:p>
        </w:tc>
        <w:tc>
          <w:tcPr>
            <w:tcW w:w="1145" w:type="dxa"/>
          </w:tcPr>
          <w:p>
            <w:pPr>
              <w:pStyle w:val="TableParagraph"/>
              <w:jc w:val="left"/>
              <w:rPr>
                <w:b/>
                <w:sz w:val="16"/>
              </w:rPr>
            </w:pPr>
          </w:p>
          <w:p>
            <w:pPr>
              <w:pStyle w:val="TableParagraph"/>
              <w:spacing w:before="93"/>
              <w:ind w:right="174"/>
              <w:rPr>
                <w:sz w:val="16"/>
              </w:rPr>
            </w:pPr>
            <w:r>
              <w:rPr>
                <w:w w:val="95"/>
                <w:sz w:val="16"/>
              </w:rPr>
              <w:t>756</w:t>
            </w:r>
          </w:p>
        </w:tc>
        <w:tc>
          <w:tcPr>
            <w:tcW w:w="1262" w:type="dxa"/>
          </w:tcPr>
          <w:p>
            <w:pPr>
              <w:pStyle w:val="TableParagraph"/>
              <w:jc w:val="left"/>
              <w:rPr>
                <w:b/>
                <w:sz w:val="16"/>
              </w:rPr>
            </w:pPr>
          </w:p>
          <w:p>
            <w:pPr>
              <w:pStyle w:val="TableParagraph"/>
              <w:spacing w:before="93"/>
              <w:ind w:right="268"/>
              <w:rPr>
                <w:sz w:val="16"/>
              </w:rPr>
            </w:pPr>
            <w:r>
              <w:rPr>
                <w:w w:val="95"/>
                <w:sz w:val="16"/>
              </w:rPr>
              <w:t>2,266</w:t>
            </w:r>
          </w:p>
        </w:tc>
        <w:tc>
          <w:tcPr>
            <w:tcW w:w="979" w:type="dxa"/>
          </w:tcPr>
          <w:p>
            <w:pPr>
              <w:pStyle w:val="TableParagraph"/>
              <w:jc w:val="left"/>
              <w:rPr>
                <w:b/>
                <w:sz w:val="16"/>
              </w:rPr>
            </w:pPr>
          </w:p>
          <w:p>
            <w:pPr>
              <w:pStyle w:val="TableParagraph"/>
              <w:spacing w:before="93"/>
              <w:ind w:right="79"/>
              <w:rPr>
                <w:sz w:val="16"/>
              </w:rPr>
            </w:pPr>
            <w:r>
              <w:rPr>
                <w:w w:val="95"/>
                <w:sz w:val="16"/>
              </w:rPr>
              <w:t>3,022</w:t>
            </w:r>
          </w:p>
        </w:tc>
      </w:tr>
      <w:tr>
        <w:trPr>
          <w:trHeight w:val="241" w:hRule="exact"/>
        </w:trPr>
        <w:tc>
          <w:tcPr>
            <w:tcW w:w="4847" w:type="dxa"/>
          </w:tcPr>
          <w:p>
            <w:pPr>
              <w:pStyle w:val="TableParagraph"/>
              <w:spacing w:before="19"/>
              <w:ind w:left="35"/>
              <w:jc w:val="left"/>
              <w:rPr>
                <w:sz w:val="16"/>
              </w:rPr>
            </w:pPr>
            <w:r>
              <w:rPr>
                <w:sz w:val="16"/>
              </w:rPr>
              <w:t>- Accumulated amortisation and impairment</w:t>
            </w:r>
          </w:p>
        </w:tc>
        <w:tc>
          <w:tcPr>
            <w:tcW w:w="1284" w:type="dxa"/>
            <w:tcBorders>
              <w:bottom w:val="single" w:sz="0" w:space="0" w:color="000000"/>
            </w:tcBorders>
          </w:tcPr>
          <w:p>
            <w:pPr>
              <w:pStyle w:val="TableParagraph"/>
              <w:spacing w:before="19"/>
              <w:ind w:right="195"/>
              <w:rPr>
                <w:sz w:val="16"/>
              </w:rPr>
            </w:pPr>
            <w:r>
              <w:rPr>
                <w:w w:val="99"/>
                <w:sz w:val="16"/>
              </w:rPr>
              <w:t>-</w:t>
            </w:r>
          </w:p>
        </w:tc>
        <w:tc>
          <w:tcPr>
            <w:tcW w:w="1145" w:type="dxa"/>
            <w:tcBorders>
              <w:bottom w:val="single" w:sz="0" w:space="0" w:color="000000"/>
            </w:tcBorders>
          </w:tcPr>
          <w:p>
            <w:pPr>
              <w:pStyle w:val="TableParagraph"/>
              <w:spacing w:before="19"/>
              <w:ind w:right="120"/>
              <w:rPr>
                <w:sz w:val="16"/>
              </w:rPr>
            </w:pPr>
            <w:r>
              <w:rPr>
                <w:sz w:val="16"/>
              </w:rPr>
              <w:t>(705)</w:t>
            </w:r>
          </w:p>
        </w:tc>
        <w:tc>
          <w:tcPr>
            <w:tcW w:w="1262" w:type="dxa"/>
            <w:tcBorders>
              <w:bottom w:val="single" w:sz="0" w:space="0" w:color="000000"/>
            </w:tcBorders>
          </w:tcPr>
          <w:p>
            <w:pPr>
              <w:pStyle w:val="TableParagraph"/>
              <w:spacing w:before="19"/>
              <w:ind w:right="267"/>
              <w:rPr>
                <w:sz w:val="16"/>
              </w:rPr>
            </w:pPr>
            <w:r>
              <w:rPr>
                <w:w w:val="99"/>
                <w:sz w:val="16"/>
              </w:rPr>
              <w:t>-</w:t>
            </w:r>
          </w:p>
        </w:tc>
        <w:tc>
          <w:tcPr>
            <w:tcW w:w="979" w:type="dxa"/>
            <w:tcBorders>
              <w:bottom w:val="single" w:sz="0" w:space="0" w:color="000000"/>
            </w:tcBorders>
          </w:tcPr>
          <w:p>
            <w:pPr>
              <w:pStyle w:val="TableParagraph"/>
              <w:spacing w:before="19"/>
              <w:ind w:right="26"/>
              <w:rPr>
                <w:sz w:val="16"/>
              </w:rPr>
            </w:pPr>
            <w:r>
              <w:rPr>
                <w:sz w:val="16"/>
              </w:rPr>
              <w:t>(705)</w:t>
            </w:r>
          </w:p>
        </w:tc>
      </w:tr>
      <w:tr>
        <w:trPr>
          <w:trHeight w:val="316" w:hRule="exact"/>
        </w:trPr>
        <w:tc>
          <w:tcPr>
            <w:tcW w:w="4847" w:type="dxa"/>
          </w:tcPr>
          <w:p>
            <w:pPr>
              <w:pStyle w:val="TableParagraph"/>
              <w:spacing w:before="123"/>
              <w:ind w:left="35"/>
              <w:jc w:val="left"/>
              <w:rPr>
                <w:b/>
                <w:sz w:val="16"/>
              </w:rPr>
            </w:pPr>
            <w:r>
              <w:rPr>
                <w:b/>
                <w:sz w:val="16"/>
              </w:rPr>
              <w:t>Net book amount amount at 1 January 2015</w:t>
            </w:r>
          </w:p>
        </w:tc>
        <w:tc>
          <w:tcPr>
            <w:tcW w:w="1284" w:type="dxa"/>
            <w:tcBorders>
              <w:top w:val="single" w:sz="0" w:space="0" w:color="000000"/>
              <w:bottom w:val="single" w:sz="0" w:space="0" w:color="000000"/>
            </w:tcBorders>
          </w:tcPr>
          <w:p>
            <w:pPr>
              <w:pStyle w:val="TableParagraph"/>
              <w:spacing w:before="122"/>
              <w:ind w:right="195"/>
              <w:rPr>
                <w:sz w:val="16"/>
              </w:rPr>
            </w:pPr>
            <w:r>
              <w:rPr>
                <w:w w:val="99"/>
                <w:sz w:val="16"/>
              </w:rPr>
              <w:t>-</w:t>
            </w:r>
          </w:p>
        </w:tc>
        <w:tc>
          <w:tcPr>
            <w:tcW w:w="1145" w:type="dxa"/>
            <w:tcBorders>
              <w:top w:val="single" w:sz="0" w:space="0" w:color="000000"/>
              <w:bottom w:val="single" w:sz="0" w:space="0" w:color="000000"/>
            </w:tcBorders>
          </w:tcPr>
          <w:p>
            <w:pPr>
              <w:pStyle w:val="TableParagraph"/>
              <w:spacing w:before="122"/>
              <w:ind w:right="174"/>
              <w:rPr>
                <w:sz w:val="16"/>
              </w:rPr>
            </w:pPr>
            <w:r>
              <w:rPr>
                <w:w w:val="95"/>
                <w:sz w:val="16"/>
              </w:rPr>
              <w:t>51</w:t>
            </w:r>
          </w:p>
        </w:tc>
        <w:tc>
          <w:tcPr>
            <w:tcW w:w="1262" w:type="dxa"/>
            <w:tcBorders>
              <w:top w:val="single" w:sz="0" w:space="0" w:color="000000"/>
              <w:bottom w:val="single" w:sz="0" w:space="0" w:color="000000"/>
            </w:tcBorders>
          </w:tcPr>
          <w:p>
            <w:pPr>
              <w:pStyle w:val="TableParagraph"/>
              <w:spacing w:before="122"/>
              <w:ind w:right="268"/>
              <w:rPr>
                <w:sz w:val="16"/>
              </w:rPr>
            </w:pPr>
            <w:r>
              <w:rPr>
                <w:w w:val="95"/>
                <w:sz w:val="16"/>
              </w:rPr>
              <w:t>2,266</w:t>
            </w:r>
          </w:p>
        </w:tc>
        <w:tc>
          <w:tcPr>
            <w:tcW w:w="979" w:type="dxa"/>
            <w:tcBorders>
              <w:top w:val="single" w:sz="0" w:space="0" w:color="000000"/>
              <w:bottom w:val="single" w:sz="0" w:space="0" w:color="000000"/>
            </w:tcBorders>
          </w:tcPr>
          <w:p>
            <w:pPr>
              <w:pStyle w:val="TableParagraph"/>
              <w:spacing w:before="122"/>
              <w:ind w:right="79"/>
              <w:rPr>
                <w:sz w:val="16"/>
              </w:rPr>
            </w:pPr>
            <w:r>
              <w:rPr>
                <w:w w:val="95"/>
                <w:sz w:val="16"/>
              </w:rPr>
              <w:t>2,317</w:t>
            </w:r>
          </w:p>
        </w:tc>
      </w:tr>
      <w:tr>
        <w:trPr>
          <w:trHeight w:val="853" w:hRule="exact"/>
        </w:trPr>
        <w:tc>
          <w:tcPr>
            <w:tcW w:w="4847" w:type="dxa"/>
          </w:tcPr>
          <w:p>
            <w:pPr>
              <w:pStyle w:val="TableParagraph"/>
              <w:jc w:val="left"/>
              <w:rPr>
                <w:b/>
                <w:sz w:val="16"/>
              </w:rPr>
            </w:pPr>
          </w:p>
          <w:p>
            <w:pPr>
              <w:pStyle w:val="TableParagraph"/>
              <w:spacing w:before="5"/>
              <w:jc w:val="left"/>
              <w:rPr>
                <w:b/>
                <w:sz w:val="20"/>
              </w:rPr>
            </w:pPr>
          </w:p>
          <w:p>
            <w:pPr>
              <w:pStyle w:val="TableParagraph"/>
              <w:ind w:left="35"/>
              <w:jc w:val="left"/>
              <w:rPr>
                <w:b/>
                <w:sz w:val="16"/>
              </w:rPr>
            </w:pPr>
            <w:r>
              <w:rPr>
                <w:b/>
                <w:sz w:val="16"/>
              </w:rPr>
              <w:t>Year ended 31 December 2015</w:t>
            </w:r>
          </w:p>
          <w:p>
            <w:pPr>
              <w:pStyle w:val="TableParagraph"/>
              <w:spacing w:before="29"/>
              <w:ind w:left="35"/>
              <w:jc w:val="left"/>
              <w:rPr>
                <w:sz w:val="16"/>
              </w:rPr>
            </w:pPr>
            <w:r>
              <w:rPr>
                <w:sz w:val="16"/>
              </w:rPr>
              <w:t>Opening net book amount</w:t>
            </w:r>
          </w:p>
        </w:tc>
        <w:tc>
          <w:tcPr>
            <w:tcW w:w="1284" w:type="dxa"/>
            <w:tcBorders>
              <w:top w:val="single" w:sz="0" w:space="0" w:color="000000"/>
            </w:tcBorders>
          </w:tcPr>
          <w:p>
            <w:pPr>
              <w:pStyle w:val="TableParagraph"/>
              <w:jc w:val="left"/>
              <w:rPr>
                <w:b/>
                <w:sz w:val="16"/>
              </w:rPr>
            </w:pPr>
          </w:p>
          <w:p>
            <w:pPr>
              <w:pStyle w:val="TableParagraph"/>
              <w:jc w:val="left"/>
              <w:rPr>
                <w:b/>
                <w:sz w:val="16"/>
              </w:rPr>
            </w:pPr>
          </w:p>
          <w:p>
            <w:pPr>
              <w:pStyle w:val="TableParagraph"/>
              <w:spacing w:before="10"/>
              <w:jc w:val="left"/>
              <w:rPr>
                <w:b/>
                <w:sz w:val="22"/>
              </w:rPr>
            </w:pPr>
          </w:p>
          <w:p>
            <w:pPr>
              <w:pStyle w:val="TableParagraph"/>
              <w:ind w:right="195"/>
              <w:rPr>
                <w:sz w:val="16"/>
              </w:rPr>
            </w:pPr>
            <w:r>
              <w:rPr>
                <w:w w:val="99"/>
                <w:sz w:val="16"/>
              </w:rPr>
              <w:t>-</w:t>
            </w:r>
          </w:p>
        </w:tc>
        <w:tc>
          <w:tcPr>
            <w:tcW w:w="1145" w:type="dxa"/>
            <w:tcBorders>
              <w:top w:val="single" w:sz="0" w:space="0" w:color="000000"/>
            </w:tcBorders>
          </w:tcPr>
          <w:p>
            <w:pPr>
              <w:pStyle w:val="TableParagraph"/>
              <w:jc w:val="left"/>
              <w:rPr>
                <w:b/>
                <w:sz w:val="16"/>
              </w:rPr>
            </w:pPr>
          </w:p>
          <w:p>
            <w:pPr>
              <w:pStyle w:val="TableParagraph"/>
              <w:jc w:val="left"/>
              <w:rPr>
                <w:b/>
                <w:sz w:val="16"/>
              </w:rPr>
            </w:pPr>
          </w:p>
          <w:p>
            <w:pPr>
              <w:pStyle w:val="TableParagraph"/>
              <w:spacing w:before="10"/>
              <w:jc w:val="left"/>
              <w:rPr>
                <w:b/>
                <w:sz w:val="22"/>
              </w:rPr>
            </w:pPr>
          </w:p>
          <w:p>
            <w:pPr>
              <w:pStyle w:val="TableParagraph"/>
              <w:ind w:right="174"/>
              <w:rPr>
                <w:sz w:val="16"/>
              </w:rPr>
            </w:pPr>
            <w:r>
              <w:rPr>
                <w:sz w:val="16"/>
              </w:rPr>
              <w:t>51</w:t>
            </w:r>
          </w:p>
        </w:tc>
        <w:tc>
          <w:tcPr>
            <w:tcW w:w="1262" w:type="dxa"/>
            <w:tcBorders>
              <w:top w:val="single" w:sz="0" w:space="0" w:color="000000"/>
            </w:tcBorders>
          </w:tcPr>
          <w:p>
            <w:pPr>
              <w:pStyle w:val="TableParagraph"/>
              <w:jc w:val="left"/>
              <w:rPr>
                <w:b/>
                <w:sz w:val="16"/>
              </w:rPr>
            </w:pPr>
          </w:p>
          <w:p>
            <w:pPr>
              <w:pStyle w:val="TableParagraph"/>
              <w:jc w:val="left"/>
              <w:rPr>
                <w:b/>
                <w:sz w:val="16"/>
              </w:rPr>
            </w:pPr>
          </w:p>
          <w:p>
            <w:pPr>
              <w:pStyle w:val="TableParagraph"/>
              <w:spacing w:before="10"/>
              <w:jc w:val="left"/>
              <w:rPr>
                <w:b/>
                <w:sz w:val="22"/>
              </w:rPr>
            </w:pPr>
          </w:p>
          <w:p>
            <w:pPr>
              <w:pStyle w:val="TableParagraph"/>
              <w:ind w:right="268"/>
              <w:rPr>
                <w:sz w:val="16"/>
              </w:rPr>
            </w:pPr>
            <w:r>
              <w:rPr>
                <w:w w:val="95"/>
                <w:sz w:val="16"/>
              </w:rPr>
              <w:t>2,266</w:t>
            </w:r>
          </w:p>
        </w:tc>
        <w:tc>
          <w:tcPr>
            <w:tcW w:w="979" w:type="dxa"/>
            <w:tcBorders>
              <w:top w:val="single" w:sz="0" w:space="0" w:color="000000"/>
            </w:tcBorders>
          </w:tcPr>
          <w:p>
            <w:pPr>
              <w:pStyle w:val="TableParagraph"/>
              <w:jc w:val="left"/>
              <w:rPr>
                <w:b/>
                <w:sz w:val="16"/>
              </w:rPr>
            </w:pPr>
          </w:p>
          <w:p>
            <w:pPr>
              <w:pStyle w:val="TableParagraph"/>
              <w:jc w:val="left"/>
              <w:rPr>
                <w:b/>
                <w:sz w:val="16"/>
              </w:rPr>
            </w:pPr>
          </w:p>
          <w:p>
            <w:pPr>
              <w:pStyle w:val="TableParagraph"/>
              <w:spacing w:before="10"/>
              <w:jc w:val="left"/>
              <w:rPr>
                <w:b/>
                <w:sz w:val="22"/>
              </w:rPr>
            </w:pPr>
          </w:p>
          <w:p>
            <w:pPr>
              <w:pStyle w:val="TableParagraph"/>
              <w:ind w:right="79"/>
              <w:rPr>
                <w:sz w:val="16"/>
              </w:rPr>
            </w:pPr>
            <w:r>
              <w:rPr>
                <w:w w:val="95"/>
                <w:sz w:val="16"/>
              </w:rPr>
              <w:t>2,317</w:t>
            </w:r>
          </w:p>
        </w:tc>
      </w:tr>
      <w:tr>
        <w:trPr>
          <w:trHeight w:val="241" w:hRule="exact"/>
        </w:trPr>
        <w:tc>
          <w:tcPr>
            <w:tcW w:w="4847" w:type="dxa"/>
          </w:tcPr>
          <w:p>
            <w:pPr>
              <w:pStyle w:val="TableParagraph"/>
              <w:spacing w:before="20"/>
              <w:ind w:left="35"/>
              <w:jc w:val="left"/>
              <w:rPr>
                <w:sz w:val="16"/>
              </w:rPr>
            </w:pPr>
            <w:r>
              <w:rPr>
                <w:sz w:val="16"/>
              </w:rPr>
              <w:t>Additions</w:t>
            </w:r>
          </w:p>
        </w:tc>
        <w:tc>
          <w:tcPr>
            <w:tcW w:w="1284" w:type="dxa"/>
          </w:tcPr>
          <w:p>
            <w:pPr>
              <w:pStyle w:val="TableParagraph"/>
              <w:spacing w:before="19"/>
              <w:ind w:right="196"/>
              <w:rPr>
                <w:sz w:val="16"/>
              </w:rPr>
            </w:pPr>
            <w:r>
              <w:rPr>
                <w:w w:val="95"/>
                <w:sz w:val="16"/>
              </w:rPr>
              <w:t>263</w:t>
            </w:r>
          </w:p>
        </w:tc>
        <w:tc>
          <w:tcPr>
            <w:tcW w:w="1145" w:type="dxa"/>
          </w:tcPr>
          <w:p>
            <w:pPr>
              <w:pStyle w:val="TableParagraph"/>
              <w:spacing w:before="19"/>
              <w:ind w:right="173"/>
              <w:rPr>
                <w:sz w:val="16"/>
              </w:rPr>
            </w:pPr>
            <w:r>
              <w:rPr>
                <w:w w:val="99"/>
                <w:sz w:val="16"/>
              </w:rPr>
              <w:t>-</w:t>
            </w:r>
          </w:p>
        </w:tc>
        <w:tc>
          <w:tcPr>
            <w:tcW w:w="1262" w:type="dxa"/>
          </w:tcPr>
          <w:p>
            <w:pPr>
              <w:pStyle w:val="TableParagraph"/>
              <w:spacing w:before="19"/>
              <w:ind w:right="268"/>
              <w:rPr>
                <w:sz w:val="16"/>
              </w:rPr>
            </w:pPr>
            <w:r>
              <w:rPr>
                <w:w w:val="95"/>
                <w:sz w:val="16"/>
              </w:rPr>
              <w:t>2,998</w:t>
            </w:r>
          </w:p>
        </w:tc>
        <w:tc>
          <w:tcPr>
            <w:tcW w:w="979" w:type="dxa"/>
          </w:tcPr>
          <w:p>
            <w:pPr>
              <w:pStyle w:val="TableParagraph"/>
              <w:spacing w:before="19"/>
              <w:ind w:right="79"/>
              <w:rPr>
                <w:sz w:val="16"/>
              </w:rPr>
            </w:pPr>
            <w:r>
              <w:rPr>
                <w:w w:val="95"/>
                <w:sz w:val="16"/>
              </w:rPr>
              <w:t>3,261</w:t>
            </w:r>
          </w:p>
        </w:tc>
      </w:tr>
      <w:tr>
        <w:trPr>
          <w:trHeight w:val="241" w:hRule="exact"/>
        </w:trPr>
        <w:tc>
          <w:tcPr>
            <w:tcW w:w="4847" w:type="dxa"/>
          </w:tcPr>
          <w:p>
            <w:pPr>
              <w:pStyle w:val="TableParagraph"/>
              <w:spacing w:before="20"/>
              <w:ind w:left="35"/>
              <w:jc w:val="left"/>
              <w:rPr>
                <w:sz w:val="16"/>
              </w:rPr>
            </w:pPr>
            <w:r>
              <w:rPr>
                <w:sz w:val="16"/>
              </w:rPr>
              <w:t>Amortisation charge</w:t>
            </w:r>
          </w:p>
        </w:tc>
        <w:tc>
          <w:tcPr>
            <w:tcW w:w="1284" w:type="dxa"/>
          </w:tcPr>
          <w:p>
            <w:pPr>
              <w:pStyle w:val="TableParagraph"/>
              <w:spacing w:before="19"/>
              <w:ind w:right="195"/>
              <w:rPr>
                <w:sz w:val="16"/>
              </w:rPr>
            </w:pPr>
            <w:r>
              <w:rPr>
                <w:w w:val="99"/>
                <w:sz w:val="16"/>
              </w:rPr>
              <w:t>-</w:t>
            </w:r>
          </w:p>
        </w:tc>
        <w:tc>
          <w:tcPr>
            <w:tcW w:w="1145" w:type="dxa"/>
          </w:tcPr>
          <w:p>
            <w:pPr>
              <w:pStyle w:val="TableParagraph"/>
              <w:spacing w:before="19"/>
              <w:ind w:right="120"/>
              <w:rPr>
                <w:sz w:val="16"/>
              </w:rPr>
            </w:pPr>
            <w:r>
              <w:rPr>
                <w:sz w:val="16"/>
              </w:rPr>
              <w:t>(30)</w:t>
            </w:r>
          </w:p>
        </w:tc>
        <w:tc>
          <w:tcPr>
            <w:tcW w:w="1262" w:type="dxa"/>
          </w:tcPr>
          <w:p>
            <w:pPr>
              <w:pStyle w:val="TableParagraph"/>
              <w:spacing w:before="19"/>
              <w:ind w:right="215"/>
              <w:rPr>
                <w:sz w:val="16"/>
              </w:rPr>
            </w:pPr>
            <w:r>
              <w:rPr>
                <w:sz w:val="16"/>
              </w:rPr>
              <w:t>(453)</w:t>
            </w:r>
          </w:p>
        </w:tc>
        <w:tc>
          <w:tcPr>
            <w:tcW w:w="979" w:type="dxa"/>
          </w:tcPr>
          <w:p>
            <w:pPr>
              <w:pStyle w:val="TableParagraph"/>
              <w:spacing w:before="19"/>
              <w:ind w:right="26"/>
              <w:rPr>
                <w:sz w:val="16"/>
              </w:rPr>
            </w:pPr>
            <w:r>
              <w:rPr>
                <w:sz w:val="16"/>
              </w:rPr>
              <w:t>(483)</w:t>
            </w:r>
          </w:p>
        </w:tc>
      </w:tr>
      <w:tr>
        <w:trPr>
          <w:trHeight w:val="241" w:hRule="exact"/>
        </w:trPr>
        <w:tc>
          <w:tcPr>
            <w:tcW w:w="4847" w:type="dxa"/>
          </w:tcPr>
          <w:p>
            <w:pPr>
              <w:pStyle w:val="TableParagraph"/>
              <w:spacing w:before="20"/>
              <w:ind w:left="35"/>
              <w:jc w:val="left"/>
              <w:rPr>
                <w:sz w:val="16"/>
              </w:rPr>
            </w:pPr>
            <w:r>
              <w:rPr>
                <w:sz w:val="16"/>
              </w:rPr>
              <w:t>Revaluation surplus</w:t>
            </w:r>
          </w:p>
        </w:tc>
        <w:tc>
          <w:tcPr>
            <w:tcW w:w="1284" w:type="dxa"/>
          </w:tcPr>
          <w:p>
            <w:pPr>
              <w:pStyle w:val="TableParagraph"/>
              <w:spacing w:before="19"/>
              <w:ind w:right="195"/>
              <w:rPr>
                <w:sz w:val="16"/>
              </w:rPr>
            </w:pPr>
            <w:r>
              <w:rPr>
                <w:w w:val="99"/>
                <w:sz w:val="16"/>
              </w:rPr>
              <w:t>-</w:t>
            </w:r>
          </w:p>
        </w:tc>
        <w:tc>
          <w:tcPr>
            <w:tcW w:w="1145" w:type="dxa"/>
          </w:tcPr>
          <w:p>
            <w:pPr>
              <w:pStyle w:val="TableParagraph"/>
              <w:spacing w:before="19"/>
              <w:ind w:right="174"/>
              <w:rPr>
                <w:sz w:val="16"/>
              </w:rPr>
            </w:pPr>
            <w:r>
              <w:rPr>
                <w:w w:val="95"/>
                <w:sz w:val="16"/>
              </w:rPr>
              <w:t>250</w:t>
            </w:r>
          </w:p>
        </w:tc>
        <w:tc>
          <w:tcPr>
            <w:tcW w:w="1262" w:type="dxa"/>
          </w:tcPr>
          <w:p>
            <w:pPr>
              <w:pStyle w:val="TableParagraph"/>
              <w:spacing w:before="19"/>
              <w:ind w:right="267"/>
              <w:rPr>
                <w:sz w:val="16"/>
              </w:rPr>
            </w:pPr>
            <w:r>
              <w:rPr>
                <w:w w:val="99"/>
                <w:sz w:val="16"/>
              </w:rPr>
              <w:t>-</w:t>
            </w:r>
          </w:p>
        </w:tc>
        <w:tc>
          <w:tcPr>
            <w:tcW w:w="979" w:type="dxa"/>
          </w:tcPr>
          <w:p>
            <w:pPr>
              <w:pStyle w:val="TableParagraph"/>
              <w:spacing w:before="19"/>
              <w:ind w:right="79"/>
              <w:rPr>
                <w:sz w:val="16"/>
              </w:rPr>
            </w:pPr>
            <w:r>
              <w:rPr>
                <w:w w:val="95"/>
                <w:sz w:val="16"/>
              </w:rPr>
              <w:t>250</w:t>
            </w:r>
          </w:p>
        </w:tc>
      </w:tr>
      <w:tr>
        <w:trPr>
          <w:trHeight w:val="241" w:hRule="exact"/>
        </w:trPr>
        <w:tc>
          <w:tcPr>
            <w:tcW w:w="4847" w:type="dxa"/>
          </w:tcPr>
          <w:p>
            <w:pPr>
              <w:pStyle w:val="TableParagraph"/>
              <w:spacing w:before="20"/>
              <w:ind w:left="35"/>
              <w:jc w:val="left"/>
              <w:rPr>
                <w:sz w:val="16"/>
              </w:rPr>
            </w:pPr>
            <w:r>
              <w:rPr>
                <w:sz w:val="16"/>
              </w:rPr>
              <w:t>Non-Cash Adjustments</w:t>
            </w:r>
          </w:p>
        </w:tc>
        <w:tc>
          <w:tcPr>
            <w:tcW w:w="1284" w:type="dxa"/>
            <w:tcBorders>
              <w:bottom w:val="single" w:sz="0" w:space="0" w:color="000000"/>
            </w:tcBorders>
          </w:tcPr>
          <w:p>
            <w:pPr>
              <w:pStyle w:val="TableParagraph"/>
              <w:spacing w:before="19"/>
              <w:ind w:right="195"/>
              <w:rPr>
                <w:sz w:val="16"/>
              </w:rPr>
            </w:pPr>
            <w:r>
              <w:rPr>
                <w:w w:val="99"/>
                <w:sz w:val="16"/>
              </w:rPr>
              <w:t>-</w:t>
            </w:r>
          </w:p>
        </w:tc>
        <w:tc>
          <w:tcPr>
            <w:tcW w:w="1145" w:type="dxa"/>
            <w:tcBorders>
              <w:bottom w:val="single" w:sz="0" w:space="0" w:color="000000"/>
            </w:tcBorders>
          </w:tcPr>
          <w:p>
            <w:pPr>
              <w:pStyle w:val="TableParagraph"/>
              <w:spacing w:before="19"/>
              <w:ind w:right="120"/>
              <w:rPr>
                <w:sz w:val="16"/>
              </w:rPr>
            </w:pPr>
            <w:r>
              <w:rPr>
                <w:sz w:val="16"/>
              </w:rPr>
              <w:t>(11)</w:t>
            </w:r>
          </w:p>
        </w:tc>
        <w:tc>
          <w:tcPr>
            <w:tcW w:w="1262" w:type="dxa"/>
            <w:tcBorders>
              <w:bottom w:val="single" w:sz="0" w:space="0" w:color="000000"/>
            </w:tcBorders>
          </w:tcPr>
          <w:p>
            <w:pPr>
              <w:pStyle w:val="TableParagraph"/>
              <w:spacing w:before="19"/>
              <w:ind w:right="267"/>
              <w:rPr>
                <w:sz w:val="16"/>
              </w:rPr>
            </w:pPr>
            <w:r>
              <w:rPr>
                <w:w w:val="99"/>
                <w:sz w:val="16"/>
              </w:rPr>
              <w:t>-</w:t>
            </w:r>
          </w:p>
        </w:tc>
        <w:tc>
          <w:tcPr>
            <w:tcW w:w="979" w:type="dxa"/>
            <w:tcBorders>
              <w:bottom w:val="single" w:sz="0" w:space="0" w:color="000000"/>
            </w:tcBorders>
          </w:tcPr>
          <w:p>
            <w:pPr>
              <w:pStyle w:val="TableParagraph"/>
              <w:spacing w:before="19"/>
              <w:ind w:right="26"/>
              <w:rPr>
                <w:sz w:val="16"/>
              </w:rPr>
            </w:pPr>
            <w:r>
              <w:rPr>
                <w:sz w:val="16"/>
              </w:rPr>
              <w:t>(11)</w:t>
            </w:r>
          </w:p>
        </w:tc>
      </w:tr>
      <w:tr>
        <w:trPr>
          <w:trHeight w:val="316" w:hRule="exact"/>
        </w:trPr>
        <w:tc>
          <w:tcPr>
            <w:tcW w:w="4847" w:type="dxa"/>
          </w:tcPr>
          <w:p>
            <w:pPr>
              <w:pStyle w:val="TableParagraph"/>
              <w:spacing w:before="123"/>
              <w:ind w:left="35"/>
              <w:jc w:val="left"/>
              <w:rPr>
                <w:b/>
                <w:sz w:val="16"/>
              </w:rPr>
            </w:pPr>
            <w:r>
              <w:rPr>
                <w:b/>
                <w:sz w:val="16"/>
              </w:rPr>
              <w:t>Net book amount at 31 December 2015</w:t>
            </w:r>
          </w:p>
        </w:tc>
        <w:tc>
          <w:tcPr>
            <w:tcW w:w="1284" w:type="dxa"/>
            <w:tcBorders>
              <w:top w:val="single" w:sz="0" w:space="0" w:color="000000"/>
              <w:bottom w:val="single" w:sz="0" w:space="0" w:color="000000"/>
            </w:tcBorders>
          </w:tcPr>
          <w:p>
            <w:pPr>
              <w:pStyle w:val="TableParagraph"/>
              <w:spacing w:before="122"/>
              <w:ind w:right="196"/>
              <w:rPr>
                <w:sz w:val="16"/>
              </w:rPr>
            </w:pPr>
            <w:r>
              <w:rPr>
                <w:w w:val="95"/>
                <w:sz w:val="16"/>
              </w:rPr>
              <w:t>263</w:t>
            </w:r>
          </w:p>
        </w:tc>
        <w:tc>
          <w:tcPr>
            <w:tcW w:w="1145" w:type="dxa"/>
            <w:tcBorders>
              <w:top w:val="single" w:sz="0" w:space="0" w:color="000000"/>
              <w:bottom w:val="single" w:sz="0" w:space="0" w:color="000000"/>
            </w:tcBorders>
          </w:tcPr>
          <w:p>
            <w:pPr>
              <w:pStyle w:val="TableParagraph"/>
              <w:spacing w:before="122"/>
              <w:ind w:right="174"/>
              <w:rPr>
                <w:sz w:val="16"/>
              </w:rPr>
            </w:pPr>
            <w:r>
              <w:rPr>
                <w:w w:val="95"/>
                <w:sz w:val="16"/>
              </w:rPr>
              <w:t>260</w:t>
            </w:r>
          </w:p>
        </w:tc>
        <w:tc>
          <w:tcPr>
            <w:tcW w:w="1262" w:type="dxa"/>
            <w:tcBorders>
              <w:top w:val="single" w:sz="0" w:space="0" w:color="000000"/>
              <w:bottom w:val="single" w:sz="0" w:space="0" w:color="000000"/>
            </w:tcBorders>
          </w:tcPr>
          <w:p>
            <w:pPr>
              <w:pStyle w:val="TableParagraph"/>
              <w:spacing w:before="122"/>
              <w:ind w:right="268"/>
              <w:rPr>
                <w:sz w:val="16"/>
              </w:rPr>
            </w:pPr>
            <w:r>
              <w:rPr>
                <w:w w:val="95"/>
                <w:sz w:val="16"/>
              </w:rPr>
              <w:t>4,811</w:t>
            </w:r>
          </w:p>
        </w:tc>
        <w:tc>
          <w:tcPr>
            <w:tcW w:w="979" w:type="dxa"/>
            <w:tcBorders>
              <w:top w:val="single" w:sz="0" w:space="0" w:color="000000"/>
              <w:bottom w:val="single" w:sz="0" w:space="0" w:color="000000"/>
            </w:tcBorders>
          </w:tcPr>
          <w:p>
            <w:pPr>
              <w:pStyle w:val="TableParagraph"/>
              <w:spacing w:before="122"/>
              <w:ind w:right="79"/>
              <w:rPr>
                <w:sz w:val="16"/>
              </w:rPr>
            </w:pPr>
            <w:r>
              <w:rPr>
                <w:w w:val="95"/>
                <w:sz w:val="16"/>
              </w:rPr>
              <w:t>5,334</w:t>
            </w:r>
          </w:p>
        </w:tc>
      </w:tr>
      <w:tr>
        <w:trPr>
          <w:trHeight w:val="853" w:hRule="exact"/>
        </w:trPr>
        <w:tc>
          <w:tcPr>
            <w:tcW w:w="4847" w:type="dxa"/>
          </w:tcPr>
          <w:p>
            <w:pPr>
              <w:pStyle w:val="TableParagraph"/>
              <w:jc w:val="left"/>
              <w:rPr>
                <w:b/>
                <w:sz w:val="16"/>
              </w:rPr>
            </w:pPr>
          </w:p>
          <w:p>
            <w:pPr>
              <w:pStyle w:val="TableParagraph"/>
              <w:spacing w:before="5"/>
              <w:jc w:val="left"/>
              <w:rPr>
                <w:b/>
                <w:sz w:val="20"/>
              </w:rPr>
            </w:pPr>
          </w:p>
          <w:p>
            <w:pPr>
              <w:pStyle w:val="TableParagraph"/>
              <w:ind w:left="35"/>
              <w:jc w:val="left"/>
              <w:rPr>
                <w:b/>
                <w:sz w:val="16"/>
              </w:rPr>
            </w:pPr>
            <w:r>
              <w:rPr>
                <w:b/>
                <w:sz w:val="16"/>
              </w:rPr>
              <w:t>At 31 December 2015</w:t>
            </w:r>
          </w:p>
          <w:p>
            <w:pPr>
              <w:pStyle w:val="TableParagraph"/>
              <w:spacing w:before="29"/>
              <w:ind w:left="35"/>
              <w:jc w:val="left"/>
              <w:rPr>
                <w:sz w:val="16"/>
              </w:rPr>
            </w:pPr>
            <w:r>
              <w:rPr>
                <w:sz w:val="16"/>
              </w:rPr>
              <w:t>- Cost</w:t>
            </w:r>
          </w:p>
        </w:tc>
        <w:tc>
          <w:tcPr>
            <w:tcW w:w="1284" w:type="dxa"/>
            <w:tcBorders>
              <w:top w:val="single" w:sz="0" w:space="0" w:color="000000"/>
            </w:tcBorders>
          </w:tcPr>
          <w:p>
            <w:pPr>
              <w:pStyle w:val="TableParagraph"/>
              <w:jc w:val="left"/>
              <w:rPr>
                <w:b/>
                <w:sz w:val="16"/>
              </w:rPr>
            </w:pPr>
          </w:p>
          <w:p>
            <w:pPr>
              <w:pStyle w:val="TableParagraph"/>
              <w:jc w:val="left"/>
              <w:rPr>
                <w:b/>
                <w:sz w:val="16"/>
              </w:rPr>
            </w:pPr>
          </w:p>
          <w:p>
            <w:pPr>
              <w:pStyle w:val="TableParagraph"/>
              <w:spacing w:before="10"/>
              <w:jc w:val="left"/>
              <w:rPr>
                <w:b/>
                <w:sz w:val="22"/>
              </w:rPr>
            </w:pPr>
          </w:p>
          <w:p>
            <w:pPr>
              <w:pStyle w:val="TableParagraph"/>
              <w:ind w:right="196"/>
              <w:rPr>
                <w:sz w:val="16"/>
              </w:rPr>
            </w:pPr>
            <w:r>
              <w:rPr>
                <w:w w:val="95"/>
                <w:sz w:val="16"/>
              </w:rPr>
              <w:t>263</w:t>
            </w:r>
          </w:p>
        </w:tc>
        <w:tc>
          <w:tcPr>
            <w:tcW w:w="1145" w:type="dxa"/>
            <w:tcBorders>
              <w:top w:val="single" w:sz="0" w:space="0" w:color="000000"/>
            </w:tcBorders>
          </w:tcPr>
          <w:p>
            <w:pPr>
              <w:pStyle w:val="TableParagraph"/>
              <w:jc w:val="left"/>
              <w:rPr>
                <w:b/>
                <w:sz w:val="16"/>
              </w:rPr>
            </w:pPr>
          </w:p>
          <w:p>
            <w:pPr>
              <w:pStyle w:val="TableParagraph"/>
              <w:jc w:val="left"/>
              <w:rPr>
                <w:b/>
                <w:sz w:val="16"/>
              </w:rPr>
            </w:pPr>
          </w:p>
          <w:p>
            <w:pPr>
              <w:pStyle w:val="TableParagraph"/>
              <w:spacing w:before="10"/>
              <w:jc w:val="left"/>
              <w:rPr>
                <w:b/>
                <w:sz w:val="22"/>
              </w:rPr>
            </w:pPr>
          </w:p>
          <w:p>
            <w:pPr>
              <w:pStyle w:val="TableParagraph"/>
              <w:ind w:right="174"/>
              <w:rPr>
                <w:sz w:val="16"/>
              </w:rPr>
            </w:pPr>
            <w:r>
              <w:rPr>
                <w:w w:val="95"/>
                <w:sz w:val="16"/>
              </w:rPr>
              <w:t>330</w:t>
            </w:r>
          </w:p>
        </w:tc>
        <w:tc>
          <w:tcPr>
            <w:tcW w:w="1262" w:type="dxa"/>
            <w:tcBorders>
              <w:top w:val="single" w:sz="0" w:space="0" w:color="000000"/>
            </w:tcBorders>
          </w:tcPr>
          <w:p>
            <w:pPr>
              <w:pStyle w:val="TableParagraph"/>
              <w:jc w:val="left"/>
              <w:rPr>
                <w:b/>
                <w:sz w:val="16"/>
              </w:rPr>
            </w:pPr>
          </w:p>
          <w:p>
            <w:pPr>
              <w:pStyle w:val="TableParagraph"/>
              <w:jc w:val="left"/>
              <w:rPr>
                <w:b/>
                <w:sz w:val="16"/>
              </w:rPr>
            </w:pPr>
          </w:p>
          <w:p>
            <w:pPr>
              <w:pStyle w:val="TableParagraph"/>
              <w:spacing w:before="10"/>
              <w:jc w:val="left"/>
              <w:rPr>
                <w:b/>
                <w:sz w:val="22"/>
              </w:rPr>
            </w:pPr>
          </w:p>
          <w:p>
            <w:pPr>
              <w:pStyle w:val="TableParagraph"/>
              <w:ind w:right="268"/>
              <w:rPr>
                <w:sz w:val="16"/>
              </w:rPr>
            </w:pPr>
            <w:r>
              <w:rPr>
                <w:w w:val="95"/>
                <w:sz w:val="16"/>
              </w:rPr>
              <w:t>5,264</w:t>
            </w:r>
          </w:p>
        </w:tc>
        <w:tc>
          <w:tcPr>
            <w:tcW w:w="979" w:type="dxa"/>
            <w:tcBorders>
              <w:top w:val="single" w:sz="0" w:space="0" w:color="000000"/>
            </w:tcBorders>
          </w:tcPr>
          <w:p>
            <w:pPr>
              <w:pStyle w:val="TableParagraph"/>
              <w:jc w:val="left"/>
              <w:rPr>
                <w:b/>
                <w:sz w:val="16"/>
              </w:rPr>
            </w:pPr>
          </w:p>
          <w:p>
            <w:pPr>
              <w:pStyle w:val="TableParagraph"/>
              <w:jc w:val="left"/>
              <w:rPr>
                <w:b/>
                <w:sz w:val="16"/>
              </w:rPr>
            </w:pPr>
          </w:p>
          <w:p>
            <w:pPr>
              <w:pStyle w:val="TableParagraph"/>
              <w:spacing w:before="10"/>
              <w:jc w:val="left"/>
              <w:rPr>
                <w:b/>
                <w:sz w:val="22"/>
              </w:rPr>
            </w:pPr>
          </w:p>
          <w:p>
            <w:pPr>
              <w:pStyle w:val="TableParagraph"/>
              <w:ind w:right="79"/>
              <w:rPr>
                <w:sz w:val="16"/>
              </w:rPr>
            </w:pPr>
            <w:r>
              <w:rPr>
                <w:w w:val="95"/>
                <w:sz w:val="16"/>
              </w:rPr>
              <w:t>5,857</w:t>
            </w:r>
          </w:p>
        </w:tc>
      </w:tr>
      <w:tr>
        <w:trPr>
          <w:trHeight w:val="241" w:hRule="exact"/>
        </w:trPr>
        <w:tc>
          <w:tcPr>
            <w:tcW w:w="4847" w:type="dxa"/>
          </w:tcPr>
          <w:p>
            <w:pPr>
              <w:pStyle w:val="TableParagraph"/>
              <w:spacing w:before="19"/>
              <w:ind w:left="35"/>
              <w:jc w:val="left"/>
              <w:rPr>
                <w:sz w:val="16"/>
              </w:rPr>
            </w:pPr>
            <w:r>
              <w:rPr>
                <w:sz w:val="16"/>
              </w:rPr>
              <w:t>- Accumulated amortisation and impairment</w:t>
            </w:r>
          </w:p>
        </w:tc>
        <w:tc>
          <w:tcPr>
            <w:tcW w:w="1284" w:type="dxa"/>
            <w:tcBorders>
              <w:bottom w:val="single" w:sz="0" w:space="0" w:color="000000"/>
            </w:tcBorders>
          </w:tcPr>
          <w:p>
            <w:pPr>
              <w:pStyle w:val="TableParagraph"/>
              <w:spacing w:before="19"/>
              <w:ind w:right="195"/>
              <w:rPr>
                <w:sz w:val="16"/>
              </w:rPr>
            </w:pPr>
            <w:r>
              <w:rPr>
                <w:w w:val="99"/>
                <w:sz w:val="16"/>
              </w:rPr>
              <w:t>-</w:t>
            </w:r>
          </w:p>
        </w:tc>
        <w:tc>
          <w:tcPr>
            <w:tcW w:w="1145" w:type="dxa"/>
            <w:tcBorders>
              <w:bottom w:val="single" w:sz="0" w:space="0" w:color="000000"/>
            </w:tcBorders>
          </w:tcPr>
          <w:p>
            <w:pPr>
              <w:pStyle w:val="TableParagraph"/>
              <w:spacing w:before="19"/>
              <w:ind w:right="120"/>
              <w:rPr>
                <w:sz w:val="16"/>
              </w:rPr>
            </w:pPr>
            <w:r>
              <w:rPr>
                <w:sz w:val="16"/>
              </w:rPr>
              <w:t>(70)</w:t>
            </w:r>
          </w:p>
        </w:tc>
        <w:tc>
          <w:tcPr>
            <w:tcW w:w="1262" w:type="dxa"/>
            <w:tcBorders>
              <w:bottom w:val="single" w:sz="0" w:space="0" w:color="000000"/>
            </w:tcBorders>
          </w:tcPr>
          <w:p>
            <w:pPr>
              <w:pStyle w:val="TableParagraph"/>
              <w:spacing w:before="19"/>
              <w:ind w:right="215"/>
              <w:rPr>
                <w:sz w:val="16"/>
              </w:rPr>
            </w:pPr>
            <w:r>
              <w:rPr>
                <w:sz w:val="16"/>
              </w:rPr>
              <w:t>(453)</w:t>
            </w:r>
          </w:p>
        </w:tc>
        <w:tc>
          <w:tcPr>
            <w:tcW w:w="979" w:type="dxa"/>
            <w:tcBorders>
              <w:bottom w:val="single" w:sz="0" w:space="0" w:color="000000"/>
            </w:tcBorders>
          </w:tcPr>
          <w:p>
            <w:pPr>
              <w:pStyle w:val="TableParagraph"/>
              <w:spacing w:before="19"/>
              <w:ind w:right="26"/>
              <w:rPr>
                <w:sz w:val="16"/>
              </w:rPr>
            </w:pPr>
            <w:r>
              <w:rPr>
                <w:sz w:val="16"/>
              </w:rPr>
              <w:t>(523)</w:t>
            </w:r>
          </w:p>
        </w:tc>
      </w:tr>
      <w:tr>
        <w:trPr>
          <w:trHeight w:val="316" w:hRule="exact"/>
        </w:trPr>
        <w:tc>
          <w:tcPr>
            <w:tcW w:w="4847" w:type="dxa"/>
          </w:tcPr>
          <w:p>
            <w:pPr>
              <w:pStyle w:val="TableParagraph"/>
              <w:spacing w:before="123"/>
              <w:ind w:left="35"/>
              <w:jc w:val="left"/>
              <w:rPr>
                <w:b/>
                <w:sz w:val="16"/>
              </w:rPr>
            </w:pPr>
            <w:r>
              <w:rPr>
                <w:b/>
                <w:sz w:val="16"/>
              </w:rPr>
              <w:t>Net book amount at 31 December 2015</w:t>
            </w:r>
          </w:p>
        </w:tc>
        <w:tc>
          <w:tcPr>
            <w:tcW w:w="1284" w:type="dxa"/>
            <w:tcBorders>
              <w:top w:val="single" w:sz="0" w:space="0" w:color="000000"/>
              <w:bottom w:val="single" w:sz="0" w:space="0" w:color="000000"/>
            </w:tcBorders>
          </w:tcPr>
          <w:p>
            <w:pPr>
              <w:pStyle w:val="TableParagraph"/>
              <w:spacing w:before="122"/>
              <w:ind w:right="196"/>
              <w:rPr>
                <w:sz w:val="16"/>
              </w:rPr>
            </w:pPr>
            <w:r>
              <w:rPr>
                <w:w w:val="95"/>
                <w:sz w:val="16"/>
              </w:rPr>
              <w:t>263</w:t>
            </w:r>
          </w:p>
        </w:tc>
        <w:tc>
          <w:tcPr>
            <w:tcW w:w="1145" w:type="dxa"/>
            <w:tcBorders>
              <w:top w:val="single" w:sz="0" w:space="0" w:color="000000"/>
              <w:bottom w:val="single" w:sz="0" w:space="0" w:color="000000"/>
            </w:tcBorders>
          </w:tcPr>
          <w:p>
            <w:pPr>
              <w:pStyle w:val="TableParagraph"/>
              <w:spacing w:before="122"/>
              <w:ind w:right="174"/>
              <w:rPr>
                <w:sz w:val="16"/>
              </w:rPr>
            </w:pPr>
            <w:r>
              <w:rPr>
                <w:w w:val="95"/>
                <w:sz w:val="16"/>
              </w:rPr>
              <w:t>260</w:t>
            </w:r>
          </w:p>
        </w:tc>
        <w:tc>
          <w:tcPr>
            <w:tcW w:w="1262" w:type="dxa"/>
            <w:tcBorders>
              <w:top w:val="single" w:sz="0" w:space="0" w:color="000000"/>
              <w:bottom w:val="single" w:sz="0" w:space="0" w:color="000000"/>
            </w:tcBorders>
          </w:tcPr>
          <w:p>
            <w:pPr>
              <w:pStyle w:val="TableParagraph"/>
              <w:spacing w:before="122"/>
              <w:ind w:right="268"/>
              <w:rPr>
                <w:sz w:val="16"/>
              </w:rPr>
            </w:pPr>
            <w:r>
              <w:rPr>
                <w:w w:val="95"/>
                <w:sz w:val="16"/>
              </w:rPr>
              <w:t>4,811</w:t>
            </w:r>
          </w:p>
        </w:tc>
        <w:tc>
          <w:tcPr>
            <w:tcW w:w="979" w:type="dxa"/>
            <w:tcBorders>
              <w:top w:val="single" w:sz="0" w:space="0" w:color="000000"/>
              <w:bottom w:val="single" w:sz="0" w:space="0" w:color="000000"/>
            </w:tcBorders>
          </w:tcPr>
          <w:p>
            <w:pPr>
              <w:pStyle w:val="TableParagraph"/>
              <w:spacing w:before="122"/>
              <w:ind w:right="79"/>
              <w:rPr>
                <w:sz w:val="16"/>
              </w:rPr>
            </w:pPr>
            <w:r>
              <w:rPr>
                <w:w w:val="95"/>
                <w:sz w:val="16"/>
              </w:rPr>
              <w:t>5,334</w:t>
            </w:r>
          </w:p>
        </w:tc>
      </w:tr>
      <w:tr>
        <w:trPr>
          <w:trHeight w:val="853" w:hRule="exact"/>
        </w:trPr>
        <w:tc>
          <w:tcPr>
            <w:tcW w:w="4847" w:type="dxa"/>
          </w:tcPr>
          <w:p>
            <w:pPr>
              <w:pStyle w:val="TableParagraph"/>
              <w:jc w:val="left"/>
              <w:rPr>
                <w:b/>
                <w:sz w:val="16"/>
              </w:rPr>
            </w:pPr>
          </w:p>
          <w:p>
            <w:pPr>
              <w:pStyle w:val="TableParagraph"/>
              <w:spacing w:before="5"/>
              <w:jc w:val="left"/>
              <w:rPr>
                <w:b/>
                <w:sz w:val="20"/>
              </w:rPr>
            </w:pPr>
          </w:p>
          <w:p>
            <w:pPr>
              <w:pStyle w:val="TableParagraph"/>
              <w:ind w:left="35"/>
              <w:jc w:val="left"/>
              <w:rPr>
                <w:b/>
                <w:sz w:val="16"/>
              </w:rPr>
            </w:pPr>
            <w:r>
              <w:rPr>
                <w:b/>
                <w:sz w:val="16"/>
              </w:rPr>
              <w:t>Year ended 31 December 2016</w:t>
            </w:r>
          </w:p>
          <w:p>
            <w:pPr>
              <w:pStyle w:val="TableParagraph"/>
              <w:spacing w:before="29"/>
              <w:ind w:left="35"/>
              <w:jc w:val="left"/>
              <w:rPr>
                <w:sz w:val="16"/>
              </w:rPr>
            </w:pPr>
            <w:r>
              <w:rPr>
                <w:sz w:val="16"/>
              </w:rPr>
              <w:t>Opening net book amount</w:t>
            </w:r>
          </w:p>
        </w:tc>
        <w:tc>
          <w:tcPr>
            <w:tcW w:w="1284" w:type="dxa"/>
            <w:tcBorders>
              <w:top w:val="single" w:sz="0" w:space="0" w:color="000000"/>
            </w:tcBorders>
          </w:tcPr>
          <w:p>
            <w:pPr>
              <w:pStyle w:val="TableParagraph"/>
              <w:jc w:val="left"/>
              <w:rPr>
                <w:b/>
                <w:sz w:val="16"/>
              </w:rPr>
            </w:pPr>
          </w:p>
          <w:p>
            <w:pPr>
              <w:pStyle w:val="TableParagraph"/>
              <w:jc w:val="left"/>
              <w:rPr>
                <w:b/>
                <w:sz w:val="16"/>
              </w:rPr>
            </w:pPr>
          </w:p>
          <w:p>
            <w:pPr>
              <w:pStyle w:val="TableParagraph"/>
              <w:spacing w:before="10"/>
              <w:jc w:val="left"/>
              <w:rPr>
                <w:b/>
                <w:sz w:val="22"/>
              </w:rPr>
            </w:pPr>
          </w:p>
          <w:p>
            <w:pPr>
              <w:pStyle w:val="TableParagraph"/>
              <w:ind w:right="196"/>
              <w:rPr>
                <w:sz w:val="16"/>
              </w:rPr>
            </w:pPr>
            <w:r>
              <w:rPr>
                <w:w w:val="95"/>
                <w:sz w:val="16"/>
              </w:rPr>
              <w:t>263</w:t>
            </w:r>
          </w:p>
        </w:tc>
        <w:tc>
          <w:tcPr>
            <w:tcW w:w="1145" w:type="dxa"/>
            <w:tcBorders>
              <w:top w:val="single" w:sz="0" w:space="0" w:color="000000"/>
            </w:tcBorders>
          </w:tcPr>
          <w:p>
            <w:pPr>
              <w:pStyle w:val="TableParagraph"/>
              <w:jc w:val="left"/>
              <w:rPr>
                <w:b/>
                <w:sz w:val="16"/>
              </w:rPr>
            </w:pPr>
          </w:p>
          <w:p>
            <w:pPr>
              <w:pStyle w:val="TableParagraph"/>
              <w:jc w:val="left"/>
              <w:rPr>
                <w:b/>
                <w:sz w:val="16"/>
              </w:rPr>
            </w:pPr>
          </w:p>
          <w:p>
            <w:pPr>
              <w:pStyle w:val="TableParagraph"/>
              <w:spacing w:before="10"/>
              <w:jc w:val="left"/>
              <w:rPr>
                <w:b/>
                <w:sz w:val="22"/>
              </w:rPr>
            </w:pPr>
          </w:p>
          <w:p>
            <w:pPr>
              <w:pStyle w:val="TableParagraph"/>
              <w:ind w:right="174"/>
              <w:rPr>
                <w:sz w:val="16"/>
              </w:rPr>
            </w:pPr>
            <w:r>
              <w:rPr>
                <w:w w:val="95"/>
                <w:sz w:val="16"/>
              </w:rPr>
              <w:t>260</w:t>
            </w:r>
          </w:p>
        </w:tc>
        <w:tc>
          <w:tcPr>
            <w:tcW w:w="1262" w:type="dxa"/>
            <w:tcBorders>
              <w:top w:val="single" w:sz="0" w:space="0" w:color="000000"/>
            </w:tcBorders>
          </w:tcPr>
          <w:p>
            <w:pPr>
              <w:pStyle w:val="TableParagraph"/>
              <w:jc w:val="left"/>
              <w:rPr>
                <w:b/>
                <w:sz w:val="16"/>
              </w:rPr>
            </w:pPr>
          </w:p>
          <w:p>
            <w:pPr>
              <w:pStyle w:val="TableParagraph"/>
              <w:jc w:val="left"/>
              <w:rPr>
                <w:b/>
                <w:sz w:val="16"/>
              </w:rPr>
            </w:pPr>
          </w:p>
          <w:p>
            <w:pPr>
              <w:pStyle w:val="TableParagraph"/>
              <w:spacing w:before="10"/>
              <w:jc w:val="left"/>
              <w:rPr>
                <w:b/>
                <w:sz w:val="22"/>
              </w:rPr>
            </w:pPr>
          </w:p>
          <w:p>
            <w:pPr>
              <w:pStyle w:val="TableParagraph"/>
              <w:ind w:right="268"/>
              <w:rPr>
                <w:sz w:val="16"/>
              </w:rPr>
            </w:pPr>
            <w:r>
              <w:rPr>
                <w:w w:val="95"/>
                <w:sz w:val="16"/>
              </w:rPr>
              <w:t>4,811</w:t>
            </w:r>
          </w:p>
        </w:tc>
        <w:tc>
          <w:tcPr>
            <w:tcW w:w="979" w:type="dxa"/>
            <w:tcBorders>
              <w:top w:val="single" w:sz="0" w:space="0" w:color="000000"/>
            </w:tcBorders>
          </w:tcPr>
          <w:p>
            <w:pPr>
              <w:pStyle w:val="TableParagraph"/>
              <w:jc w:val="left"/>
              <w:rPr>
                <w:b/>
                <w:sz w:val="16"/>
              </w:rPr>
            </w:pPr>
          </w:p>
          <w:p>
            <w:pPr>
              <w:pStyle w:val="TableParagraph"/>
              <w:jc w:val="left"/>
              <w:rPr>
                <w:b/>
                <w:sz w:val="16"/>
              </w:rPr>
            </w:pPr>
          </w:p>
          <w:p>
            <w:pPr>
              <w:pStyle w:val="TableParagraph"/>
              <w:spacing w:before="10"/>
              <w:jc w:val="left"/>
              <w:rPr>
                <w:b/>
                <w:sz w:val="22"/>
              </w:rPr>
            </w:pPr>
          </w:p>
          <w:p>
            <w:pPr>
              <w:pStyle w:val="TableParagraph"/>
              <w:ind w:right="79"/>
              <w:rPr>
                <w:sz w:val="16"/>
              </w:rPr>
            </w:pPr>
            <w:r>
              <w:rPr>
                <w:w w:val="95"/>
                <w:sz w:val="16"/>
              </w:rPr>
              <w:t>5,334</w:t>
            </w:r>
          </w:p>
        </w:tc>
      </w:tr>
      <w:tr>
        <w:trPr>
          <w:trHeight w:val="241" w:hRule="exact"/>
        </w:trPr>
        <w:tc>
          <w:tcPr>
            <w:tcW w:w="4847" w:type="dxa"/>
          </w:tcPr>
          <w:p>
            <w:pPr>
              <w:pStyle w:val="TableParagraph"/>
              <w:spacing w:before="20"/>
              <w:ind w:left="35"/>
              <w:jc w:val="left"/>
              <w:rPr>
                <w:sz w:val="16"/>
              </w:rPr>
            </w:pPr>
            <w:r>
              <w:rPr>
                <w:sz w:val="16"/>
              </w:rPr>
              <w:t>Additions</w:t>
            </w:r>
          </w:p>
        </w:tc>
        <w:tc>
          <w:tcPr>
            <w:tcW w:w="1284" w:type="dxa"/>
          </w:tcPr>
          <w:p>
            <w:pPr>
              <w:pStyle w:val="TableParagraph"/>
              <w:spacing w:before="19"/>
              <w:ind w:right="195"/>
              <w:rPr>
                <w:sz w:val="16"/>
              </w:rPr>
            </w:pPr>
            <w:r>
              <w:rPr>
                <w:w w:val="99"/>
                <w:sz w:val="16"/>
              </w:rPr>
              <w:t>-</w:t>
            </w:r>
          </w:p>
        </w:tc>
        <w:tc>
          <w:tcPr>
            <w:tcW w:w="1145" w:type="dxa"/>
          </w:tcPr>
          <w:p>
            <w:pPr>
              <w:pStyle w:val="TableParagraph"/>
              <w:spacing w:before="19"/>
              <w:ind w:right="173"/>
              <w:rPr>
                <w:sz w:val="16"/>
              </w:rPr>
            </w:pPr>
            <w:r>
              <w:rPr>
                <w:w w:val="99"/>
                <w:sz w:val="16"/>
              </w:rPr>
              <w:t>-</w:t>
            </w:r>
          </w:p>
        </w:tc>
        <w:tc>
          <w:tcPr>
            <w:tcW w:w="1262" w:type="dxa"/>
          </w:tcPr>
          <w:p>
            <w:pPr>
              <w:pStyle w:val="TableParagraph"/>
              <w:spacing w:before="19"/>
              <w:ind w:right="268"/>
              <w:rPr>
                <w:sz w:val="16"/>
              </w:rPr>
            </w:pPr>
            <w:r>
              <w:rPr>
                <w:w w:val="95"/>
                <w:sz w:val="16"/>
              </w:rPr>
              <w:t>6,161</w:t>
            </w:r>
          </w:p>
        </w:tc>
        <w:tc>
          <w:tcPr>
            <w:tcW w:w="979" w:type="dxa"/>
          </w:tcPr>
          <w:p>
            <w:pPr>
              <w:pStyle w:val="TableParagraph"/>
              <w:spacing w:before="19"/>
              <w:ind w:right="79"/>
              <w:rPr>
                <w:sz w:val="16"/>
              </w:rPr>
            </w:pPr>
            <w:r>
              <w:rPr>
                <w:w w:val="95"/>
                <w:sz w:val="16"/>
              </w:rPr>
              <w:t>6,161</w:t>
            </w:r>
          </w:p>
        </w:tc>
      </w:tr>
      <w:tr>
        <w:trPr>
          <w:trHeight w:val="241" w:hRule="exact"/>
        </w:trPr>
        <w:tc>
          <w:tcPr>
            <w:tcW w:w="4847" w:type="dxa"/>
          </w:tcPr>
          <w:p>
            <w:pPr>
              <w:pStyle w:val="TableParagraph"/>
              <w:spacing w:before="20"/>
              <w:ind w:left="35"/>
              <w:jc w:val="left"/>
              <w:rPr>
                <w:sz w:val="16"/>
              </w:rPr>
            </w:pPr>
            <w:r>
              <w:rPr>
                <w:sz w:val="16"/>
              </w:rPr>
              <w:t>Amortisation charge</w:t>
            </w:r>
          </w:p>
        </w:tc>
        <w:tc>
          <w:tcPr>
            <w:tcW w:w="1284" w:type="dxa"/>
          </w:tcPr>
          <w:p>
            <w:pPr>
              <w:pStyle w:val="TableParagraph"/>
              <w:spacing w:before="19"/>
              <w:ind w:right="143"/>
              <w:rPr>
                <w:sz w:val="16"/>
              </w:rPr>
            </w:pPr>
            <w:r>
              <w:rPr>
                <w:sz w:val="16"/>
              </w:rPr>
              <w:t>(110)</w:t>
            </w:r>
          </w:p>
        </w:tc>
        <w:tc>
          <w:tcPr>
            <w:tcW w:w="1145" w:type="dxa"/>
          </w:tcPr>
          <w:p>
            <w:pPr>
              <w:pStyle w:val="TableParagraph"/>
              <w:spacing w:before="19"/>
              <w:ind w:right="120"/>
              <w:rPr>
                <w:sz w:val="16"/>
              </w:rPr>
            </w:pPr>
            <w:r>
              <w:rPr>
                <w:sz w:val="16"/>
              </w:rPr>
              <w:t>(40)</w:t>
            </w:r>
          </w:p>
        </w:tc>
        <w:tc>
          <w:tcPr>
            <w:tcW w:w="1262" w:type="dxa"/>
          </w:tcPr>
          <w:p>
            <w:pPr>
              <w:pStyle w:val="TableParagraph"/>
              <w:spacing w:before="19"/>
              <w:ind w:right="215"/>
              <w:rPr>
                <w:sz w:val="16"/>
              </w:rPr>
            </w:pPr>
            <w:r>
              <w:rPr>
                <w:sz w:val="16"/>
              </w:rPr>
              <w:t>(1,053)</w:t>
            </w:r>
          </w:p>
        </w:tc>
        <w:tc>
          <w:tcPr>
            <w:tcW w:w="979" w:type="dxa"/>
          </w:tcPr>
          <w:p>
            <w:pPr>
              <w:pStyle w:val="TableParagraph"/>
              <w:spacing w:before="19"/>
              <w:ind w:right="26"/>
              <w:rPr>
                <w:sz w:val="16"/>
              </w:rPr>
            </w:pPr>
            <w:r>
              <w:rPr>
                <w:sz w:val="16"/>
              </w:rPr>
              <w:t>(1,203)</w:t>
            </w:r>
          </w:p>
        </w:tc>
      </w:tr>
      <w:tr>
        <w:trPr>
          <w:trHeight w:val="241" w:hRule="exact"/>
        </w:trPr>
        <w:tc>
          <w:tcPr>
            <w:tcW w:w="4847" w:type="dxa"/>
          </w:tcPr>
          <w:p>
            <w:pPr>
              <w:pStyle w:val="TableParagraph"/>
              <w:spacing w:before="20"/>
              <w:ind w:left="35"/>
              <w:jc w:val="left"/>
              <w:rPr>
                <w:sz w:val="16"/>
              </w:rPr>
            </w:pPr>
            <w:r>
              <w:rPr>
                <w:sz w:val="16"/>
              </w:rPr>
              <w:t>Non-Cash Adjustments</w:t>
            </w:r>
          </w:p>
        </w:tc>
        <w:tc>
          <w:tcPr>
            <w:tcW w:w="1284" w:type="dxa"/>
            <w:tcBorders>
              <w:bottom w:val="single" w:sz="0" w:space="0" w:color="000000"/>
            </w:tcBorders>
          </w:tcPr>
          <w:p>
            <w:pPr>
              <w:pStyle w:val="TableParagraph"/>
              <w:spacing w:before="19"/>
              <w:ind w:right="196"/>
              <w:rPr>
                <w:sz w:val="16"/>
              </w:rPr>
            </w:pPr>
            <w:r>
              <w:rPr>
                <w:w w:val="99"/>
                <w:sz w:val="16"/>
              </w:rPr>
              <w:t>1</w:t>
            </w:r>
          </w:p>
        </w:tc>
        <w:tc>
          <w:tcPr>
            <w:tcW w:w="1145" w:type="dxa"/>
            <w:tcBorders>
              <w:bottom w:val="single" w:sz="0" w:space="0" w:color="000000"/>
            </w:tcBorders>
          </w:tcPr>
          <w:p>
            <w:pPr>
              <w:pStyle w:val="TableParagraph"/>
              <w:spacing w:before="19"/>
              <w:ind w:right="174"/>
              <w:rPr>
                <w:sz w:val="16"/>
              </w:rPr>
            </w:pPr>
            <w:r>
              <w:rPr>
                <w:w w:val="99"/>
                <w:sz w:val="16"/>
              </w:rPr>
              <w:t>1</w:t>
            </w:r>
          </w:p>
        </w:tc>
        <w:tc>
          <w:tcPr>
            <w:tcW w:w="1262" w:type="dxa"/>
            <w:tcBorders>
              <w:bottom w:val="single" w:sz="0" w:space="0" w:color="000000"/>
            </w:tcBorders>
          </w:tcPr>
          <w:p>
            <w:pPr>
              <w:pStyle w:val="TableParagraph"/>
              <w:spacing w:before="19"/>
              <w:ind w:right="267"/>
              <w:rPr>
                <w:sz w:val="16"/>
              </w:rPr>
            </w:pPr>
            <w:r>
              <w:rPr>
                <w:w w:val="99"/>
                <w:sz w:val="16"/>
              </w:rPr>
              <w:t>-</w:t>
            </w:r>
          </w:p>
        </w:tc>
        <w:tc>
          <w:tcPr>
            <w:tcW w:w="979" w:type="dxa"/>
            <w:tcBorders>
              <w:bottom w:val="single" w:sz="0" w:space="0" w:color="000000"/>
            </w:tcBorders>
          </w:tcPr>
          <w:p>
            <w:pPr>
              <w:pStyle w:val="TableParagraph"/>
              <w:spacing w:before="19"/>
              <w:ind w:right="79"/>
              <w:rPr>
                <w:sz w:val="16"/>
              </w:rPr>
            </w:pPr>
            <w:r>
              <w:rPr>
                <w:w w:val="99"/>
                <w:sz w:val="16"/>
              </w:rPr>
              <w:t>2</w:t>
            </w:r>
          </w:p>
        </w:tc>
      </w:tr>
      <w:tr>
        <w:trPr>
          <w:trHeight w:val="316" w:hRule="exact"/>
        </w:trPr>
        <w:tc>
          <w:tcPr>
            <w:tcW w:w="4847" w:type="dxa"/>
          </w:tcPr>
          <w:p>
            <w:pPr>
              <w:pStyle w:val="TableParagraph"/>
              <w:spacing w:before="123"/>
              <w:ind w:left="35"/>
              <w:jc w:val="left"/>
              <w:rPr>
                <w:b/>
                <w:sz w:val="16"/>
              </w:rPr>
            </w:pPr>
            <w:r>
              <w:rPr>
                <w:b/>
                <w:sz w:val="16"/>
              </w:rPr>
              <w:t>Net book amount at 31 December 2016</w:t>
            </w:r>
          </w:p>
        </w:tc>
        <w:tc>
          <w:tcPr>
            <w:tcW w:w="1284" w:type="dxa"/>
            <w:tcBorders>
              <w:top w:val="single" w:sz="0" w:space="0" w:color="000000"/>
              <w:bottom w:val="single" w:sz="0" w:space="0" w:color="000000"/>
            </w:tcBorders>
          </w:tcPr>
          <w:p>
            <w:pPr>
              <w:pStyle w:val="TableParagraph"/>
              <w:spacing w:before="122"/>
              <w:ind w:right="196"/>
              <w:rPr>
                <w:b/>
                <w:sz w:val="16"/>
              </w:rPr>
            </w:pPr>
            <w:r>
              <w:rPr>
                <w:b/>
                <w:w w:val="95"/>
                <w:sz w:val="16"/>
              </w:rPr>
              <w:t>154</w:t>
            </w:r>
          </w:p>
        </w:tc>
        <w:tc>
          <w:tcPr>
            <w:tcW w:w="1145" w:type="dxa"/>
            <w:tcBorders>
              <w:top w:val="single" w:sz="0" w:space="0" w:color="000000"/>
              <w:bottom w:val="single" w:sz="0" w:space="0" w:color="000000"/>
            </w:tcBorders>
          </w:tcPr>
          <w:p>
            <w:pPr>
              <w:pStyle w:val="TableParagraph"/>
              <w:spacing w:before="122"/>
              <w:ind w:right="174"/>
              <w:rPr>
                <w:b/>
                <w:sz w:val="16"/>
              </w:rPr>
            </w:pPr>
            <w:r>
              <w:rPr>
                <w:b/>
                <w:w w:val="95"/>
                <w:sz w:val="16"/>
              </w:rPr>
              <w:t>221</w:t>
            </w:r>
          </w:p>
        </w:tc>
        <w:tc>
          <w:tcPr>
            <w:tcW w:w="1262" w:type="dxa"/>
            <w:tcBorders>
              <w:top w:val="single" w:sz="0" w:space="0" w:color="000000"/>
              <w:bottom w:val="single" w:sz="0" w:space="0" w:color="000000"/>
            </w:tcBorders>
          </w:tcPr>
          <w:p>
            <w:pPr>
              <w:pStyle w:val="TableParagraph"/>
              <w:spacing w:before="122"/>
              <w:ind w:right="268"/>
              <w:rPr>
                <w:b/>
                <w:sz w:val="16"/>
              </w:rPr>
            </w:pPr>
            <w:r>
              <w:rPr>
                <w:b/>
                <w:w w:val="95"/>
                <w:sz w:val="16"/>
              </w:rPr>
              <w:t>9,919</w:t>
            </w:r>
          </w:p>
        </w:tc>
        <w:tc>
          <w:tcPr>
            <w:tcW w:w="979" w:type="dxa"/>
            <w:tcBorders>
              <w:top w:val="single" w:sz="0" w:space="0" w:color="000000"/>
              <w:bottom w:val="single" w:sz="0" w:space="0" w:color="000000"/>
            </w:tcBorders>
          </w:tcPr>
          <w:p>
            <w:pPr>
              <w:pStyle w:val="TableParagraph"/>
              <w:spacing w:before="122"/>
              <w:ind w:right="79"/>
              <w:rPr>
                <w:b/>
                <w:sz w:val="16"/>
              </w:rPr>
            </w:pPr>
            <w:r>
              <w:rPr>
                <w:b/>
                <w:w w:val="95"/>
                <w:sz w:val="16"/>
              </w:rPr>
              <w:t>10,294</w:t>
            </w:r>
          </w:p>
        </w:tc>
      </w:tr>
      <w:tr>
        <w:trPr>
          <w:trHeight w:val="853" w:hRule="exact"/>
        </w:trPr>
        <w:tc>
          <w:tcPr>
            <w:tcW w:w="4847" w:type="dxa"/>
          </w:tcPr>
          <w:p>
            <w:pPr>
              <w:pStyle w:val="TableParagraph"/>
              <w:jc w:val="left"/>
              <w:rPr>
                <w:b/>
                <w:sz w:val="16"/>
              </w:rPr>
            </w:pPr>
          </w:p>
          <w:p>
            <w:pPr>
              <w:pStyle w:val="TableParagraph"/>
              <w:spacing w:before="5"/>
              <w:jc w:val="left"/>
              <w:rPr>
                <w:b/>
                <w:sz w:val="20"/>
              </w:rPr>
            </w:pPr>
          </w:p>
          <w:p>
            <w:pPr>
              <w:pStyle w:val="TableParagraph"/>
              <w:ind w:left="35"/>
              <w:jc w:val="left"/>
              <w:rPr>
                <w:b/>
                <w:sz w:val="16"/>
              </w:rPr>
            </w:pPr>
            <w:r>
              <w:rPr>
                <w:b/>
                <w:sz w:val="16"/>
              </w:rPr>
              <w:t>At 31 December 2016</w:t>
            </w:r>
          </w:p>
          <w:p>
            <w:pPr>
              <w:pStyle w:val="TableParagraph"/>
              <w:spacing w:before="29"/>
              <w:ind w:left="35"/>
              <w:jc w:val="left"/>
              <w:rPr>
                <w:sz w:val="16"/>
              </w:rPr>
            </w:pPr>
            <w:r>
              <w:rPr>
                <w:sz w:val="16"/>
              </w:rPr>
              <w:t>- Cost</w:t>
            </w:r>
          </w:p>
        </w:tc>
        <w:tc>
          <w:tcPr>
            <w:tcW w:w="1284" w:type="dxa"/>
            <w:tcBorders>
              <w:top w:val="single" w:sz="0" w:space="0" w:color="000000"/>
            </w:tcBorders>
          </w:tcPr>
          <w:p>
            <w:pPr>
              <w:pStyle w:val="TableParagraph"/>
              <w:jc w:val="left"/>
              <w:rPr>
                <w:b/>
                <w:sz w:val="16"/>
              </w:rPr>
            </w:pPr>
          </w:p>
          <w:p>
            <w:pPr>
              <w:pStyle w:val="TableParagraph"/>
              <w:jc w:val="left"/>
              <w:rPr>
                <w:b/>
                <w:sz w:val="16"/>
              </w:rPr>
            </w:pPr>
          </w:p>
          <w:p>
            <w:pPr>
              <w:pStyle w:val="TableParagraph"/>
              <w:spacing w:before="10"/>
              <w:jc w:val="left"/>
              <w:rPr>
                <w:b/>
                <w:sz w:val="22"/>
              </w:rPr>
            </w:pPr>
          </w:p>
          <w:p>
            <w:pPr>
              <w:pStyle w:val="TableParagraph"/>
              <w:ind w:right="196"/>
              <w:rPr>
                <w:sz w:val="16"/>
              </w:rPr>
            </w:pPr>
            <w:r>
              <w:rPr>
                <w:w w:val="95"/>
                <w:sz w:val="16"/>
              </w:rPr>
              <w:t>264</w:t>
            </w:r>
          </w:p>
        </w:tc>
        <w:tc>
          <w:tcPr>
            <w:tcW w:w="1145" w:type="dxa"/>
            <w:tcBorders>
              <w:top w:val="single" w:sz="0" w:space="0" w:color="000000"/>
            </w:tcBorders>
          </w:tcPr>
          <w:p>
            <w:pPr>
              <w:pStyle w:val="TableParagraph"/>
              <w:jc w:val="left"/>
              <w:rPr>
                <w:b/>
                <w:sz w:val="16"/>
              </w:rPr>
            </w:pPr>
          </w:p>
          <w:p>
            <w:pPr>
              <w:pStyle w:val="TableParagraph"/>
              <w:jc w:val="left"/>
              <w:rPr>
                <w:b/>
                <w:sz w:val="16"/>
              </w:rPr>
            </w:pPr>
          </w:p>
          <w:p>
            <w:pPr>
              <w:pStyle w:val="TableParagraph"/>
              <w:spacing w:before="10"/>
              <w:jc w:val="left"/>
              <w:rPr>
                <w:b/>
                <w:sz w:val="22"/>
              </w:rPr>
            </w:pPr>
          </w:p>
          <w:p>
            <w:pPr>
              <w:pStyle w:val="TableParagraph"/>
              <w:ind w:right="174"/>
              <w:rPr>
                <w:sz w:val="16"/>
              </w:rPr>
            </w:pPr>
            <w:r>
              <w:rPr>
                <w:w w:val="95"/>
                <w:sz w:val="16"/>
              </w:rPr>
              <w:t>331</w:t>
            </w:r>
          </w:p>
        </w:tc>
        <w:tc>
          <w:tcPr>
            <w:tcW w:w="1262" w:type="dxa"/>
            <w:tcBorders>
              <w:top w:val="single" w:sz="0" w:space="0" w:color="000000"/>
            </w:tcBorders>
          </w:tcPr>
          <w:p>
            <w:pPr>
              <w:pStyle w:val="TableParagraph"/>
              <w:jc w:val="left"/>
              <w:rPr>
                <w:b/>
                <w:sz w:val="16"/>
              </w:rPr>
            </w:pPr>
          </w:p>
          <w:p>
            <w:pPr>
              <w:pStyle w:val="TableParagraph"/>
              <w:jc w:val="left"/>
              <w:rPr>
                <w:b/>
                <w:sz w:val="16"/>
              </w:rPr>
            </w:pPr>
          </w:p>
          <w:p>
            <w:pPr>
              <w:pStyle w:val="TableParagraph"/>
              <w:spacing w:before="10"/>
              <w:jc w:val="left"/>
              <w:rPr>
                <w:b/>
                <w:sz w:val="22"/>
              </w:rPr>
            </w:pPr>
          </w:p>
          <w:p>
            <w:pPr>
              <w:pStyle w:val="TableParagraph"/>
              <w:ind w:right="268"/>
              <w:rPr>
                <w:sz w:val="16"/>
              </w:rPr>
            </w:pPr>
            <w:r>
              <w:rPr>
                <w:w w:val="95"/>
                <w:sz w:val="16"/>
              </w:rPr>
              <w:t>11,425</w:t>
            </w:r>
          </w:p>
        </w:tc>
        <w:tc>
          <w:tcPr>
            <w:tcW w:w="979" w:type="dxa"/>
            <w:tcBorders>
              <w:top w:val="single" w:sz="0" w:space="0" w:color="000000"/>
            </w:tcBorders>
          </w:tcPr>
          <w:p>
            <w:pPr>
              <w:pStyle w:val="TableParagraph"/>
              <w:jc w:val="left"/>
              <w:rPr>
                <w:b/>
                <w:sz w:val="16"/>
              </w:rPr>
            </w:pPr>
          </w:p>
          <w:p>
            <w:pPr>
              <w:pStyle w:val="TableParagraph"/>
              <w:jc w:val="left"/>
              <w:rPr>
                <w:b/>
                <w:sz w:val="16"/>
              </w:rPr>
            </w:pPr>
          </w:p>
          <w:p>
            <w:pPr>
              <w:pStyle w:val="TableParagraph"/>
              <w:spacing w:before="10"/>
              <w:jc w:val="left"/>
              <w:rPr>
                <w:b/>
                <w:sz w:val="22"/>
              </w:rPr>
            </w:pPr>
          </w:p>
          <w:p>
            <w:pPr>
              <w:pStyle w:val="TableParagraph"/>
              <w:ind w:right="79"/>
              <w:rPr>
                <w:sz w:val="16"/>
              </w:rPr>
            </w:pPr>
            <w:r>
              <w:rPr>
                <w:w w:val="95"/>
                <w:sz w:val="16"/>
              </w:rPr>
              <w:t>12,020</w:t>
            </w:r>
          </w:p>
        </w:tc>
      </w:tr>
      <w:tr>
        <w:trPr>
          <w:trHeight w:val="241" w:hRule="exact"/>
        </w:trPr>
        <w:tc>
          <w:tcPr>
            <w:tcW w:w="4847" w:type="dxa"/>
          </w:tcPr>
          <w:p>
            <w:pPr>
              <w:pStyle w:val="TableParagraph"/>
              <w:spacing w:before="19"/>
              <w:ind w:left="35"/>
              <w:jc w:val="left"/>
              <w:rPr>
                <w:sz w:val="16"/>
              </w:rPr>
            </w:pPr>
            <w:r>
              <w:rPr>
                <w:sz w:val="16"/>
              </w:rPr>
              <w:t>- Accumulated amortisation and impairment</w:t>
            </w:r>
          </w:p>
        </w:tc>
        <w:tc>
          <w:tcPr>
            <w:tcW w:w="1284" w:type="dxa"/>
            <w:tcBorders>
              <w:bottom w:val="single" w:sz="0" w:space="0" w:color="000000"/>
            </w:tcBorders>
          </w:tcPr>
          <w:p>
            <w:pPr>
              <w:pStyle w:val="TableParagraph"/>
              <w:spacing w:before="19"/>
              <w:ind w:right="143"/>
              <w:rPr>
                <w:sz w:val="16"/>
              </w:rPr>
            </w:pPr>
            <w:r>
              <w:rPr>
                <w:sz w:val="16"/>
              </w:rPr>
              <w:t>(110)</w:t>
            </w:r>
          </w:p>
        </w:tc>
        <w:tc>
          <w:tcPr>
            <w:tcW w:w="1145" w:type="dxa"/>
            <w:tcBorders>
              <w:bottom w:val="single" w:sz="0" w:space="0" w:color="000000"/>
            </w:tcBorders>
          </w:tcPr>
          <w:p>
            <w:pPr>
              <w:pStyle w:val="TableParagraph"/>
              <w:spacing w:before="19"/>
              <w:ind w:right="120"/>
              <w:rPr>
                <w:sz w:val="16"/>
              </w:rPr>
            </w:pPr>
            <w:r>
              <w:rPr>
                <w:sz w:val="16"/>
              </w:rPr>
              <w:t>(110)</w:t>
            </w:r>
          </w:p>
        </w:tc>
        <w:tc>
          <w:tcPr>
            <w:tcW w:w="1262" w:type="dxa"/>
            <w:tcBorders>
              <w:bottom w:val="single" w:sz="0" w:space="0" w:color="000000"/>
            </w:tcBorders>
          </w:tcPr>
          <w:p>
            <w:pPr>
              <w:pStyle w:val="TableParagraph"/>
              <w:spacing w:before="19"/>
              <w:ind w:right="215"/>
              <w:rPr>
                <w:sz w:val="16"/>
              </w:rPr>
            </w:pPr>
            <w:r>
              <w:rPr>
                <w:sz w:val="16"/>
              </w:rPr>
              <w:t>(1,506)</w:t>
            </w:r>
          </w:p>
        </w:tc>
        <w:tc>
          <w:tcPr>
            <w:tcW w:w="979" w:type="dxa"/>
            <w:tcBorders>
              <w:bottom w:val="single" w:sz="0" w:space="0" w:color="000000"/>
            </w:tcBorders>
          </w:tcPr>
          <w:p>
            <w:pPr>
              <w:pStyle w:val="TableParagraph"/>
              <w:spacing w:before="19"/>
              <w:ind w:right="26"/>
              <w:rPr>
                <w:sz w:val="16"/>
              </w:rPr>
            </w:pPr>
            <w:r>
              <w:rPr>
                <w:sz w:val="16"/>
              </w:rPr>
              <w:t>(1,726)</w:t>
            </w:r>
          </w:p>
        </w:tc>
      </w:tr>
      <w:tr>
        <w:trPr>
          <w:trHeight w:val="331" w:hRule="exact"/>
        </w:trPr>
        <w:tc>
          <w:tcPr>
            <w:tcW w:w="4847" w:type="dxa"/>
          </w:tcPr>
          <w:p>
            <w:pPr>
              <w:pStyle w:val="TableParagraph"/>
              <w:spacing w:before="123"/>
              <w:ind w:left="35"/>
              <w:jc w:val="left"/>
              <w:rPr>
                <w:b/>
                <w:sz w:val="16"/>
              </w:rPr>
            </w:pPr>
            <w:r>
              <w:rPr>
                <w:b/>
                <w:sz w:val="16"/>
              </w:rPr>
              <w:t>Net book amount at 31 December 2016</w:t>
            </w:r>
          </w:p>
        </w:tc>
        <w:tc>
          <w:tcPr>
            <w:tcW w:w="1284" w:type="dxa"/>
            <w:tcBorders>
              <w:top w:val="single" w:sz="0" w:space="0" w:color="000000"/>
              <w:bottom w:val="single" w:sz="0" w:space="0" w:color="000000"/>
            </w:tcBorders>
          </w:tcPr>
          <w:p>
            <w:pPr>
              <w:pStyle w:val="TableParagraph"/>
              <w:spacing w:before="122"/>
              <w:ind w:right="196"/>
              <w:rPr>
                <w:b/>
                <w:sz w:val="16"/>
              </w:rPr>
            </w:pPr>
            <w:r>
              <w:rPr>
                <w:b/>
                <w:w w:val="95"/>
                <w:sz w:val="16"/>
              </w:rPr>
              <w:t>154</w:t>
            </w:r>
          </w:p>
        </w:tc>
        <w:tc>
          <w:tcPr>
            <w:tcW w:w="1145" w:type="dxa"/>
            <w:tcBorders>
              <w:top w:val="single" w:sz="0" w:space="0" w:color="000000"/>
              <w:bottom w:val="single" w:sz="0" w:space="0" w:color="000000"/>
            </w:tcBorders>
          </w:tcPr>
          <w:p>
            <w:pPr>
              <w:pStyle w:val="TableParagraph"/>
              <w:spacing w:before="122"/>
              <w:ind w:right="174"/>
              <w:rPr>
                <w:b/>
                <w:sz w:val="16"/>
              </w:rPr>
            </w:pPr>
            <w:r>
              <w:rPr>
                <w:b/>
                <w:w w:val="95"/>
                <w:sz w:val="16"/>
              </w:rPr>
              <w:t>221</w:t>
            </w:r>
          </w:p>
        </w:tc>
        <w:tc>
          <w:tcPr>
            <w:tcW w:w="1262" w:type="dxa"/>
            <w:tcBorders>
              <w:top w:val="single" w:sz="0" w:space="0" w:color="000000"/>
              <w:bottom w:val="single" w:sz="0" w:space="0" w:color="000000"/>
            </w:tcBorders>
          </w:tcPr>
          <w:p>
            <w:pPr>
              <w:pStyle w:val="TableParagraph"/>
              <w:spacing w:before="122"/>
              <w:ind w:right="268"/>
              <w:rPr>
                <w:b/>
                <w:sz w:val="16"/>
              </w:rPr>
            </w:pPr>
            <w:r>
              <w:rPr>
                <w:b/>
                <w:w w:val="95"/>
                <w:sz w:val="16"/>
              </w:rPr>
              <w:t>9,919</w:t>
            </w:r>
          </w:p>
        </w:tc>
        <w:tc>
          <w:tcPr>
            <w:tcW w:w="979" w:type="dxa"/>
            <w:tcBorders>
              <w:top w:val="single" w:sz="0" w:space="0" w:color="000000"/>
              <w:bottom w:val="single" w:sz="0" w:space="0" w:color="000000"/>
            </w:tcBorders>
          </w:tcPr>
          <w:p>
            <w:pPr>
              <w:pStyle w:val="TableParagraph"/>
              <w:spacing w:before="122"/>
              <w:ind w:right="79"/>
              <w:rPr>
                <w:b/>
                <w:sz w:val="16"/>
              </w:rPr>
            </w:pPr>
            <w:r>
              <w:rPr>
                <w:b/>
                <w:w w:val="95"/>
                <w:sz w:val="16"/>
              </w:rPr>
              <w:t>10,294</w:t>
            </w:r>
          </w:p>
        </w:tc>
      </w:tr>
    </w:tbl>
    <w:p>
      <w:pPr>
        <w:spacing w:after="0"/>
        <w:rPr>
          <w:sz w:val="16"/>
        </w:rPr>
        <w:sectPr>
          <w:pgSz w:w="12750" w:h="17680"/>
          <w:pgMar w:header="0" w:footer="907" w:top="2640" w:bottom="1120" w:left="0" w:right="0"/>
        </w:sectPr>
      </w:pPr>
    </w:p>
    <w:p>
      <w:pPr>
        <w:pStyle w:val="BodyText"/>
        <w:rPr>
          <w:b/>
          <w:sz w:val="20"/>
        </w:rPr>
      </w:pPr>
    </w:p>
    <w:p>
      <w:pPr>
        <w:pStyle w:val="BodyText"/>
        <w:rPr>
          <w:b/>
          <w:sz w:val="20"/>
        </w:rPr>
      </w:pPr>
    </w:p>
    <w:p>
      <w:pPr>
        <w:pStyle w:val="BodyText"/>
        <w:spacing w:before="8"/>
        <w:rPr>
          <w:b/>
          <w:sz w:val="11"/>
        </w:rPr>
      </w:pPr>
    </w:p>
    <w:tbl>
      <w:tblPr>
        <w:tblW w:w="0" w:type="auto"/>
        <w:jc w:val="left"/>
        <w:tblInd w:w="139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33"/>
        <w:gridCol w:w="4087"/>
        <w:gridCol w:w="1630"/>
        <w:gridCol w:w="1389"/>
        <w:gridCol w:w="1523"/>
        <w:gridCol w:w="986"/>
      </w:tblGrid>
      <w:tr>
        <w:trPr>
          <w:trHeight w:val="728" w:hRule="exact"/>
        </w:trPr>
        <w:tc>
          <w:tcPr>
            <w:tcW w:w="333" w:type="dxa"/>
          </w:tcPr>
          <w:p>
            <w:pPr>
              <w:pStyle w:val="TableParagraph"/>
              <w:spacing w:before="77"/>
              <w:ind w:left="35"/>
              <w:jc w:val="left"/>
              <w:rPr>
                <w:b/>
                <w:sz w:val="18"/>
              </w:rPr>
            </w:pPr>
            <w:bookmarkStart w:name="23 Other financial assets" w:id="94"/>
            <w:bookmarkEnd w:id="94"/>
            <w:r>
              <w:rPr/>
            </w:r>
            <w:r>
              <w:rPr>
                <w:b/>
                <w:sz w:val="18"/>
              </w:rPr>
              <w:t>23</w:t>
            </w:r>
          </w:p>
        </w:tc>
        <w:tc>
          <w:tcPr>
            <w:tcW w:w="4087" w:type="dxa"/>
          </w:tcPr>
          <w:p>
            <w:pPr>
              <w:pStyle w:val="TableParagraph"/>
              <w:spacing w:before="77"/>
              <w:ind w:left="98"/>
              <w:jc w:val="left"/>
              <w:rPr>
                <w:b/>
                <w:sz w:val="18"/>
              </w:rPr>
            </w:pPr>
            <w:r>
              <w:rPr>
                <w:b/>
                <w:sz w:val="18"/>
              </w:rPr>
              <w:t>Other financial assets</w:t>
            </w:r>
          </w:p>
        </w:tc>
        <w:tc>
          <w:tcPr>
            <w:tcW w:w="3019" w:type="dxa"/>
            <w:gridSpan w:val="2"/>
          </w:tcPr>
          <w:p>
            <w:pPr>
              <w:pStyle w:val="TableParagraph"/>
              <w:jc w:val="left"/>
              <w:rPr>
                <w:b/>
                <w:sz w:val="18"/>
              </w:rPr>
            </w:pPr>
          </w:p>
          <w:p>
            <w:pPr>
              <w:pStyle w:val="TableParagraph"/>
              <w:spacing w:before="6"/>
              <w:jc w:val="left"/>
              <w:rPr>
                <w:b/>
                <w:sz w:val="23"/>
              </w:rPr>
            </w:pPr>
          </w:p>
          <w:p>
            <w:pPr>
              <w:pStyle w:val="TableParagraph"/>
              <w:ind w:left="826"/>
              <w:jc w:val="left"/>
              <w:rPr>
                <w:b/>
                <w:sz w:val="18"/>
              </w:rPr>
            </w:pPr>
            <w:r>
              <w:rPr>
                <w:b/>
                <w:sz w:val="18"/>
              </w:rPr>
              <w:t>Consolidated</w:t>
            </w:r>
          </w:p>
        </w:tc>
        <w:tc>
          <w:tcPr>
            <w:tcW w:w="1523" w:type="dxa"/>
          </w:tcPr>
          <w:p>
            <w:pPr>
              <w:pStyle w:val="TableParagraph"/>
              <w:jc w:val="left"/>
              <w:rPr>
                <w:b/>
                <w:sz w:val="18"/>
              </w:rPr>
            </w:pPr>
          </w:p>
          <w:p>
            <w:pPr>
              <w:pStyle w:val="TableParagraph"/>
              <w:spacing w:before="6"/>
              <w:jc w:val="left"/>
              <w:rPr>
                <w:b/>
                <w:sz w:val="23"/>
              </w:rPr>
            </w:pPr>
          </w:p>
          <w:p>
            <w:pPr>
              <w:pStyle w:val="TableParagraph"/>
              <w:ind w:left="860"/>
              <w:jc w:val="left"/>
              <w:rPr>
                <w:b/>
                <w:sz w:val="18"/>
              </w:rPr>
            </w:pPr>
            <w:r>
              <w:rPr>
                <w:b/>
                <w:sz w:val="18"/>
              </w:rPr>
              <w:t>Parent</w:t>
            </w:r>
          </w:p>
        </w:tc>
        <w:tc>
          <w:tcPr>
            <w:tcW w:w="986" w:type="dxa"/>
          </w:tcPr>
          <w:p>
            <w:pPr/>
          </w:p>
        </w:tc>
      </w:tr>
      <w:tr>
        <w:trPr>
          <w:trHeight w:val="274" w:hRule="exact"/>
        </w:trPr>
        <w:tc>
          <w:tcPr>
            <w:tcW w:w="333" w:type="dxa"/>
          </w:tcPr>
          <w:p>
            <w:pPr/>
          </w:p>
        </w:tc>
        <w:tc>
          <w:tcPr>
            <w:tcW w:w="4087" w:type="dxa"/>
          </w:tcPr>
          <w:p>
            <w:pPr/>
          </w:p>
        </w:tc>
        <w:tc>
          <w:tcPr>
            <w:tcW w:w="1630" w:type="dxa"/>
          </w:tcPr>
          <w:p>
            <w:pPr>
              <w:pStyle w:val="TableParagraph"/>
              <w:spacing w:before="24"/>
              <w:ind w:left="619"/>
              <w:jc w:val="left"/>
              <w:rPr>
                <w:b/>
                <w:sz w:val="18"/>
              </w:rPr>
            </w:pPr>
            <w:r>
              <w:rPr>
                <w:b/>
                <w:sz w:val="18"/>
              </w:rPr>
              <w:t>2016</w:t>
            </w:r>
          </w:p>
        </w:tc>
        <w:tc>
          <w:tcPr>
            <w:tcW w:w="1389" w:type="dxa"/>
          </w:tcPr>
          <w:p>
            <w:pPr>
              <w:pStyle w:val="TableParagraph"/>
              <w:spacing w:before="24"/>
              <w:ind w:left="272"/>
              <w:jc w:val="left"/>
              <w:rPr>
                <w:b/>
                <w:sz w:val="18"/>
              </w:rPr>
            </w:pPr>
            <w:r>
              <w:rPr>
                <w:b/>
                <w:sz w:val="18"/>
              </w:rPr>
              <w:t>2015</w:t>
            </w:r>
          </w:p>
        </w:tc>
        <w:tc>
          <w:tcPr>
            <w:tcW w:w="1523" w:type="dxa"/>
          </w:tcPr>
          <w:p>
            <w:pPr>
              <w:pStyle w:val="TableParagraph"/>
              <w:spacing w:before="24"/>
              <w:ind w:left="364"/>
              <w:jc w:val="left"/>
              <w:rPr>
                <w:b/>
                <w:sz w:val="18"/>
              </w:rPr>
            </w:pPr>
            <w:r>
              <w:rPr>
                <w:b/>
                <w:sz w:val="18"/>
              </w:rPr>
              <w:t>2016</w:t>
            </w:r>
          </w:p>
        </w:tc>
        <w:tc>
          <w:tcPr>
            <w:tcW w:w="986" w:type="dxa"/>
          </w:tcPr>
          <w:p>
            <w:pPr>
              <w:pStyle w:val="TableParagraph"/>
              <w:spacing w:before="24"/>
              <w:ind w:left="124"/>
              <w:jc w:val="left"/>
              <w:rPr>
                <w:b/>
                <w:sz w:val="18"/>
              </w:rPr>
            </w:pPr>
            <w:r>
              <w:rPr>
                <w:b/>
                <w:sz w:val="18"/>
              </w:rPr>
              <w:t>2015</w:t>
            </w:r>
          </w:p>
        </w:tc>
      </w:tr>
      <w:tr>
        <w:trPr>
          <w:trHeight w:val="394" w:hRule="exact"/>
        </w:trPr>
        <w:tc>
          <w:tcPr>
            <w:tcW w:w="333" w:type="dxa"/>
          </w:tcPr>
          <w:p>
            <w:pPr/>
          </w:p>
        </w:tc>
        <w:tc>
          <w:tcPr>
            <w:tcW w:w="4087" w:type="dxa"/>
          </w:tcPr>
          <w:p>
            <w:pPr/>
          </w:p>
        </w:tc>
        <w:tc>
          <w:tcPr>
            <w:tcW w:w="1630" w:type="dxa"/>
          </w:tcPr>
          <w:p>
            <w:pPr>
              <w:pStyle w:val="TableParagraph"/>
              <w:spacing w:before="24"/>
              <w:ind w:left="597"/>
              <w:jc w:val="left"/>
              <w:rPr>
                <w:b/>
                <w:sz w:val="18"/>
              </w:rPr>
            </w:pPr>
            <w:r>
              <w:rPr>
                <w:b/>
                <w:sz w:val="18"/>
              </w:rPr>
              <w:t>$'000</w:t>
            </w:r>
          </w:p>
        </w:tc>
        <w:tc>
          <w:tcPr>
            <w:tcW w:w="1389" w:type="dxa"/>
          </w:tcPr>
          <w:p>
            <w:pPr>
              <w:pStyle w:val="TableParagraph"/>
              <w:spacing w:before="24"/>
              <w:ind w:left="250"/>
              <w:jc w:val="left"/>
              <w:rPr>
                <w:b/>
                <w:sz w:val="18"/>
              </w:rPr>
            </w:pPr>
            <w:r>
              <w:rPr>
                <w:b/>
                <w:sz w:val="18"/>
              </w:rPr>
              <w:t>$'000</w:t>
            </w:r>
          </w:p>
        </w:tc>
        <w:tc>
          <w:tcPr>
            <w:tcW w:w="1523" w:type="dxa"/>
          </w:tcPr>
          <w:p>
            <w:pPr>
              <w:pStyle w:val="TableParagraph"/>
              <w:spacing w:before="24"/>
              <w:ind w:left="342"/>
              <w:jc w:val="left"/>
              <w:rPr>
                <w:b/>
                <w:sz w:val="18"/>
              </w:rPr>
            </w:pPr>
            <w:r>
              <w:rPr>
                <w:b/>
                <w:sz w:val="18"/>
              </w:rPr>
              <w:t>$'000</w:t>
            </w:r>
          </w:p>
        </w:tc>
        <w:tc>
          <w:tcPr>
            <w:tcW w:w="986" w:type="dxa"/>
          </w:tcPr>
          <w:p>
            <w:pPr>
              <w:pStyle w:val="TableParagraph"/>
              <w:spacing w:before="24"/>
              <w:ind w:left="102"/>
              <w:jc w:val="left"/>
              <w:rPr>
                <w:b/>
                <w:sz w:val="18"/>
              </w:rPr>
            </w:pPr>
            <w:r>
              <w:rPr>
                <w:b/>
                <w:sz w:val="18"/>
              </w:rPr>
              <w:t>$'000</w:t>
            </w:r>
          </w:p>
        </w:tc>
      </w:tr>
      <w:tr>
        <w:trPr>
          <w:trHeight w:val="374" w:hRule="exact"/>
        </w:trPr>
        <w:tc>
          <w:tcPr>
            <w:tcW w:w="333" w:type="dxa"/>
          </w:tcPr>
          <w:p>
            <w:pPr/>
          </w:p>
        </w:tc>
        <w:tc>
          <w:tcPr>
            <w:tcW w:w="4087" w:type="dxa"/>
          </w:tcPr>
          <w:p>
            <w:pPr>
              <w:pStyle w:val="TableParagraph"/>
              <w:spacing w:before="144"/>
              <w:ind w:left="126"/>
              <w:jc w:val="left"/>
              <w:rPr>
                <w:b/>
                <w:sz w:val="18"/>
              </w:rPr>
            </w:pPr>
            <w:r>
              <w:rPr>
                <w:b/>
                <w:sz w:val="18"/>
              </w:rPr>
              <w:t>Non-Current</w:t>
            </w:r>
          </w:p>
        </w:tc>
        <w:tc>
          <w:tcPr>
            <w:tcW w:w="1630" w:type="dxa"/>
          </w:tcPr>
          <w:p>
            <w:pPr/>
          </w:p>
        </w:tc>
        <w:tc>
          <w:tcPr>
            <w:tcW w:w="1389" w:type="dxa"/>
          </w:tcPr>
          <w:p>
            <w:pPr/>
          </w:p>
        </w:tc>
        <w:tc>
          <w:tcPr>
            <w:tcW w:w="1523" w:type="dxa"/>
          </w:tcPr>
          <w:p>
            <w:pPr/>
          </w:p>
        </w:tc>
        <w:tc>
          <w:tcPr>
            <w:tcW w:w="986" w:type="dxa"/>
          </w:tcPr>
          <w:p>
            <w:pPr/>
          </w:p>
        </w:tc>
      </w:tr>
      <w:tr>
        <w:trPr>
          <w:trHeight w:val="250" w:hRule="exact"/>
        </w:trPr>
        <w:tc>
          <w:tcPr>
            <w:tcW w:w="333" w:type="dxa"/>
          </w:tcPr>
          <w:p>
            <w:pPr/>
          </w:p>
        </w:tc>
        <w:tc>
          <w:tcPr>
            <w:tcW w:w="4087" w:type="dxa"/>
          </w:tcPr>
          <w:p>
            <w:pPr>
              <w:pStyle w:val="TableParagraph"/>
              <w:spacing w:before="6"/>
              <w:ind w:left="126"/>
              <w:jc w:val="left"/>
              <w:rPr>
                <w:sz w:val="18"/>
              </w:rPr>
            </w:pPr>
            <w:r>
              <w:rPr>
                <w:sz w:val="18"/>
              </w:rPr>
              <w:t>Available for sale (Unlisted securities)</w:t>
            </w:r>
          </w:p>
        </w:tc>
        <w:tc>
          <w:tcPr>
            <w:tcW w:w="1630" w:type="dxa"/>
          </w:tcPr>
          <w:p>
            <w:pPr>
              <w:pStyle w:val="TableParagraph"/>
              <w:spacing w:before="4"/>
              <w:ind w:right="248"/>
              <w:rPr>
                <w:b/>
                <w:sz w:val="18"/>
              </w:rPr>
            </w:pPr>
            <w:r>
              <w:rPr>
                <w:b/>
                <w:w w:val="95"/>
                <w:sz w:val="18"/>
              </w:rPr>
              <w:t>11,330</w:t>
            </w:r>
          </w:p>
        </w:tc>
        <w:tc>
          <w:tcPr>
            <w:tcW w:w="1389" w:type="dxa"/>
          </w:tcPr>
          <w:p>
            <w:pPr>
              <w:pStyle w:val="TableParagraph"/>
              <w:spacing w:before="4"/>
              <w:ind w:right="340"/>
              <w:rPr>
                <w:sz w:val="18"/>
              </w:rPr>
            </w:pPr>
            <w:r>
              <w:rPr>
                <w:sz w:val="18"/>
              </w:rPr>
              <w:t>9,500</w:t>
            </w:r>
          </w:p>
        </w:tc>
        <w:tc>
          <w:tcPr>
            <w:tcW w:w="1523" w:type="dxa"/>
          </w:tcPr>
          <w:p>
            <w:pPr>
              <w:pStyle w:val="TableParagraph"/>
              <w:spacing w:before="4"/>
              <w:ind w:left="575"/>
              <w:jc w:val="left"/>
              <w:rPr>
                <w:b/>
                <w:sz w:val="18"/>
              </w:rPr>
            </w:pPr>
            <w:r>
              <w:rPr>
                <w:b/>
                <w:sz w:val="18"/>
              </w:rPr>
              <w:t>11,330</w:t>
            </w:r>
          </w:p>
        </w:tc>
        <w:tc>
          <w:tcPr>
            <w:tcW w:w="986" w:type="dxa"/>
          </w:tcPr>
          <w:p>
            <w:pPr>
              <w:pStyle w:val="TableParagraph"/>
              <w:spacing w:before="4"/>
              <w:ind w:right="85"/>
              <w:rPr>
                <w:sz w:val="18"/>
              </w:rPr>
            </w:pPr>
            <w:r>
              <w:rPr>
                <w:sz w:val="18"/>
              </w:rPr>
              <w:t>9,500</w:t>
            </w:r>
          </w:p>
        </w:tc>
      </w:tr>
      <w:tr>
        <w:trPr>
          <w:trHeight w:val="264" w:hRule="exact"/>
        </w:trPr>
        <w:tc>
          <w:tcPr>
            <w:tcW w:w="333" w:type="dxa"/>
          </w:tcPr>
          <w:p>
            <w:pPr/>
          </w:p>
        </w:tc>
        <w:tc>
          <w:tcPr>
            <w:tcW w:w="4087" w:type="dxa"/>
          </w:tcPr>
          <w:p>
            <w:pPr>
              <w:pStyle w:val="TableParagraph"/>
              <w:spacing w:before="19"/>
              <w:ind w:left="126"/>
              <w:jc w:val="left"/>
              <w:rPr>
                <w:sz w:val="18"/>
              </w:rPr>
            </w:pPr>
            <w:r>
              <w:rPr>
                <w:sz w:val="18"/>
              </w:rPr>
              <w:t>Available for sale (Acadian)</w:t>
            </w:r>
          </w:p>
        </w:tc>
        <w:tc>
          <w:tcPr>
            <w:tcW w:w="1630" w:type="dxa"/>
          </w:tcPr>
          <w:p>
            <w:pPr>
              <w:pStyle w:val="TableParagraph"/>
              <w:spacing w:before="18"/>
              <w:ind w:right="248"/>
              <w:rPr>
                <w:b/>
                <w:sz w:val="18"/>
              </w:rPr>
            </w:pPr>
            <w:r>
              <w:rPr>
                <w:b/>
                <w:w w:val="95"/>
                <w:sz w:val="18"/>
              </w:rPr>
              <w:t>76,143</w:t>
            </w:r>
          </w:p>
        </w:tc>
        <w:tc>
          <w:tcPr>
            <w:tcW w:w="1389" w:type="dxa"/>
          </w:tcPr>
          <w:p>
            <w:pPr>
              <w:pStyle w:val="TableParagraph"/>
              <w:spacing w:before="18"/>
              <w:ind w:right="340"/>
              <w:rPr>
                <w:sz w:val="18"/>
              </w:rPr>
            </w:pPr>
            <w:r>
              <w:rPr>
                <w:w w:val="95"/>
                <w:sz w:val="18"/>
              </w:rPr>
              <w:t>69,703</w:t>
            </w:r>
          </w:p>
        </w:tc>
        <w:tc>
          <w:tcPr>
            <w:tcW w:w="1523" w:type="dxa"/>
          </w:tcPr>
          <w:p>
            <w:pPr>
              <w:pStyle w:val="TableParagraph"/>
              <w:spacing w:before="18"/>
              <w:ind w:left="575"/>
              <w:jc w:val="left"/>
              <w:rPr>
                <w:b/>
                <w:sz w:val="18"/>
              </w:rPr>
            </w:pPr>
            <w:r>
              <w:rPr>
                <w:b/>
                <w:sz w:val="18"/>
              </w:rPr>
              <w:t>76,143</w:t>
            </w:r>
          </w:p>
        </w:tc>
        <w:tc>
          <w:tcPr>
            <w:tcW w:w="986" w:type="dxa"/>
          </w:tcPr>
          <w:p>
            <w:pPr>
              <w:pStyle w:val="TableParagraph"/>
              <w:spacing w:before="18"/>
              <w:ind w:right="85"/>
              <w:rPr>
                <w:sz w:val="18"/>
              </w:rPr>
            </w:pPr>
            <w:r>
              <w:rPr>
                <w:w w:val="95"/>
                <w:sz w:val="18"/>
              </w:rPr>
              <w:t>69,703</w:t>
            </w:r>
          </w:p>
        </w:tc>
      </w:tr>
      <w:tr>
        <w:trPr>
          <w:trHeight w:val="262" w:hRule="exact"/>
        </w:trPr>
        <w:tc>
          <w:tcPr>
            <w:tcW w:w="333" w:type="dxa"/>
          </w:tcPr>
          <w:p>
            <w:pPr/>
          </w:p>
        </w:tc>
        <w:tc>
          <w:tcPr>
            <w:tcW w:w="4087" w:type="dxa"/>
          </w:tcPr>
          <w:p>
            <w:pPr>
              <w:pStyle w:val="TableParagraph"/>
              <w:spacing w:before="19"/>
              <w:ind w:left="126"/>
              <w:jc w:val="left"/>
              <w:rPr>
                <w:sz w:val="18"/>
              </w:rPr>
            </w:pPr>
            <w:r>
              <w:rPr>
                <w:sz w:val="18"/>
              </w:rPr>
              <w:t>Held to maturity (Amortised cost)</w:t>
            </w:r>
          </w:p>
        </w:tc>
        <w:tc>
          <w:tcPr>
            <w:tcW w:w="1630" w:type="dxa"/>
            <w:tcBorders>
              <w:bottom w:val="single" w:sz="0" w:space="0" w:color="000000"/>
            </w:tcBorders>
          </w:tcPr>
          <w:p>
            <w:pPr>
              <w:pStyle w:val="TableParagraph"/>
              <w:spacing w:before="18"/>
              <w:ind w:right="248"/>
              <w:rPr>
                <w:b/>
                <w:sz w:val="18"/>
              </w:rPr>
            </w:pPr>
            <w:r>
              <w:rPr>
                <w:b/>
                <w:w w:val="95"/>
                <w:sz w:val="18"/>
              </w:rPr>
              <w:t>10,702</w:t>
            </w:r>
          </w:p>
        </w:tc>
        <w:tc>
          <w:tcPr>
            <w:tcW w:w="1389" w:type="dxa"/>
            <w:tcBorders>
              <w:bottom w:val="single" w:sz="0" w:space="0" w:color="000000"/>
            </w:tcBorders>
          </w:tcPr>
          <w:p>
            <w:pPr>
              <w:pStyle w:val="TableParagraph"/>
              <w:spacing w:before="18"/>
              <w:ind w:right="340"/>
              <w:rPr>
                <w:sz w:val="18"/>
              </w:rPr>
            </w:pPr>
            <w:r>
              <w:rPr>
                <w:sz w:val="18"/>
              </w:rPr>
              <w:t>6,333</w:t>
            </w:r>
          </w:p>
        </w:tc>
        <w:tc>
          <w:tcPr>
            <w:tcW w:w="1523" w:type="dxa"/>
            <w:tcBorders>
              <w:bottom w:val="single" w:sz="0" w:space="0" w:color="000000"/>
            </w:tcBorders>
          </w:tcPr>
          <w:p>
            <w:pPr>
              <w:pStyle w:val="TableParagraph"/>
              <w:spacing w:before="18"/>
              <w:ind w:left="575"/>
              <w:jc w:val="left"/>
              <w:rPr>
                <w:b/>
                <w:sz w:val="18"/>
              </w:rPr>
            </w:pPr>
            <w:r>
              <w:rPr>
                <w:b/>
                <w:sz w:val="18"/>
              </w:rPr>
              <w:t>10,702</w:t>
            </w:r>
          </w:p>
        </w:tc>
        <w:tc>
          <w:tcPr>
            <w:tcW w:w="986" w:type="dxa"/>
            <w:tcBorders>
              <w:bottom w:val="single" w:sz="0" w:space="0" w:color="000000"/>
            </w:tcBorders>
          </w:tcPr>
          <w:p>
            <w:pPr>
              <w:pStyle w:val="TableParagraph"/>
              <w:spacing w:before="18"/>
              <w:ind w:right="85"/>
              <w:rPr>
                <w:sz w:val="18"/>
              </w:rPr>
            </w:pPr>
            <w:r>
              <w:rPr>
                <w:sz w:val="18"/>
              </w:rPr>
              <w:t>6,333</w:t>
            </w:r>
          </w:p>
        </w:tc>
      </w:tr>
      <w:tr>
        <w:trPr>
          <w:trHeight w:val="560" w:hRule="exact"/>
        </w:trPr>
        <w:tc>
          <w:tcPr>
            <w:tcW w:w="333" w:type="dxa"/>
          </w:tcPr>
          <w:p>
            <w:pPr/>
          </w:p>
        </w:tc>
        <w:tc>
          <w:tcPr>
            <w:tcW w:w="4087" w:type="dxa"/>
          </w:tcPr>
          <w:p>
            <w:pPr>
              <w:pStyle w:val="TableParagraph"/>
              <w:spacing w:before="123"/>
              <w:ind w:left="126" w:right="1171"/>
              <w:jc w:val="left"/>
              <w:rPr>
                <w:b/>
                <w:sz w:val="18"/>
              </w:rPr>
            </w:pPr>
            <w:bookmarkStart w:name="24 Other non-financial assets" w:id="95"/>
            <w:bookmarkEnd w:id="95"/>
            <w:r>
              <w:rPr/>
            </w:r>
            <w:r>
              <w:rPr>
                <w:b/>
                <w:sz w:val="18"/>
              </w:rPr>
              <w:t>Total non-current other financial assets</w:t>
            </w:r>
          </w:p>
        </w:tc>
        <w:tc>
          <w:tcPr>
            <w:tcW w:w="1630" w:type="dxa"/>
            <w:tcBorders>
              <w:top w:val="single" w:sz="0" w:space="0" w:color="000000"/>
              <w:bottom w:val="single" w:sz="0" w:space="0" w:color="000000"/>
            </w:tcBorders>
          </w:tcPr>
          <w:p>
            <w:pPr>
              <w:pStyle w:val="TableParagraph"/>
              <w:jc w:val="left"/>
              <w:rPr>
                <w:b/>
                <w:sz w:val="18"/>
              </w:rPr>
            </w:pPr>
          </w:p>
          <w:p>
            <w:pPr>
              <w:pStyle w:val="TableParagraph"/>
              <w:spacing w:before="122"/>
              <w:ind w:right="248"/>
              <w:rPr>
                <w:b/>
                <w:sz w:val="18"/>
              </w:rPr>
            </w:pPr>
            <w:r>
              <w:rPr>
                <w:b/>
                <w:w w:val="95"/>
                <w:sz w:val="18"/>
              </w:rPr>
              <w:t>98,175</w:t>
            </w:r>
          </w:p>
        </w:tc>
        <w:tc>
          <w:tcPr>
            <w:tcW w:w="1389" w:type="dxa"/>
            <w:tcBorders>
              <w:top w:val="single" w:sz="0" w:space="0" w:color="000000"/>
              <w:bottom w:val="single" w:sz="0" w:space="0" w:color="000000"/>
            </w:tcBorders>
          </w:tcPr>
          <w:p>
            <w:pPr>
              <w:pStyle w:val="TableParagraph"/>
              <w:jc w:val="left"/>
              <w:rPr>
                <w:b/>
                <w:sz w:val="18"/>
              </w:rPr>
            </w:pPr>
          </w:p>
          <w:p>
            <w:pPr>
              <w:pStyle w:val="TableParagraph"/>
              <w:spacing w:before="122"/>
              <w:ind w:right="340"/>
              <w:rPr>
                <w:sz w:val="18"/>
              </w:rPr>
            </w:pPr>
            <w:r>
              <w:rPr>
                <w:w w:val="95"/>
                <w:sz w:val="18"/>
              </w:rPr>
              <w:t>85,536</w:t>
            </w:r>
          </w:p>
        </w:tc>
        <w:tc>
          <w:tcPr>
            <w:tcW w:w="1523" w:type="dxa"/>
            <w:tcBorders>
              <w:top w:val="single" w:sz="0" w:space="0" w:color="000000"/>
              <w:bottom w:val="single" w:sz="0" w:space="0" w:color="000000"/>
            </w:tcBorders>
          </w:tcPr>
          <w:p>
            <w:pPr>
              <w:pStyle w:val="TableParagraph"/>
              <w:jc w:val="left"/>
              <w:rPr>
                <w:b/>
                <w:sz w:val="18"/>
              </w:rPr>
            </w:pPr>
          </w:p>
          <w:p>
            <w:pPr>
              <w:pStyle w:val="TableParagraph"/>
              <w:spacing w:before="122"/>
              <w:ind w:left="575"/>
              <w:jc w:val="left"/>
              <w:rPr>
                <w:b/>
                <w:sz w:val="18"/>
              </w:rPr>
            </w:pPr>
            <w:r>
              <w:rPr>
                <w:b/>
                <w:sz w:val="18"/>
              </w:rPr>
              <w:t>98,175</w:t>
            </w:r>
          </w:p>
        </w:tc>
        <w:tc>
          <w:tcPr>
            <w:tcW w:w="986" w:type="dxa"/>
            <w:tcBorders>
              <w:top w:val="single" w:sz="0" w:space="0" w:color="000000"/>
              <w:bottom w:val="single" w:sz="0" w:space="0" w:color="000000"/>
            </w:tcBorders>
          </w:tcPr>
          <w:p>
            <w:pPr>
              <w:pStyle w:val="TableParagraph"/>
              <w:jc w:val="left"/>
              <w:rPr>
                <w:b/>
                <w:sz w:val="18"/>
              </w:rPr>
            </w:pPr>
          </w:p>
          <w:p>
            <w:pPr>
              <w:pStyle w:val="TableParagraph"/>
              <w:spacing w:before="122"/>
              <w:ind w:right="85"/>
              <w:rPr>
                <w:sz w:val="18"/>
              </w:rPr>
            </w:pPr>
            <w:r>
              <w:rPr>
                <w:w w:val="95"/>
                <w:sz w:val="18"/>
              </w:rPr>
              <w:t>85,536</w:t>
            </w:r>
          </w:p>
        </w:tc>
      </w:tr>
    </w:tbl>
    <w:p>
      <w:pPr>
        <w:pStyle w:val="BodyText"/>
        <w:rPr>
          <w:b/>
          <w:sz w:val="20"/>
        </w:rPr>
      </w:pPr>
    </w:p>
    <w:p>
      <w:pPr>
        <w:pStyle w:val="BodyText"/>
        <w:spacing w:before="4"/>
        <w:rPr>
          <w:b/>
          <w:sz w:val="24"/>
        </w:rPr>
      </w:pPr>
    </w:p>
    <w:p>
      <w:pPr>
        <w:spacing w:before="77"/>
        <w:ind w:left="1429" w:right="0" w:firstLine="0"/>
        <w:jc w:val="left"/>
        <w:rPr>
          <w:b/>
          <w:sz w:val="18"/>
        </w:rPr>
      </w:pPr>
      <w:r>
        <w:rPr>
          <w:b/>
          <w:sz w:val="18"/>
        </w:rPr>
        <w:t>24    Other non-financial assets</w:t>
      </w:r>
    </w:p>
    <w:p>
      <w:pPr>
        <w:tabs>
          <w:tab w:pos="9704" w:val="left" w:leader="none"/>
        </w:tabs>
        <w:spacing w:before="33"/>
        <w:ind w:left="6663" w:right="0" w:firstLine="0"/>
        <w:jc w:val="left"/>
        <w:rPr>
          <w:b/>
          <w:sz w:val="18"/>
        </w:rPr>
      </w:pPr>
      <w:r>
        <w:rPr>
          <w:b/>
          <w:sz w:val="18"/>
        </w:rPr>
        <w:t>Consolidated</w:t>
        <w:tab/>
        <w:t>Parent</w:t>
      </w:r>
    </w:p>
    <w:p>
      <w:pPr>
        <w:spacing w:after="0"/>
        <w:jc w:val="left"/>
        <w:rPr>
          <w:sz w:val="18"/>
        </w:rPr>
        <w:sectPr>
          <w:pgSz w:w="12750" w:h="17680"/>
          <w:pgMar w:header="0" w:footer="907" w:top="2640" w:bottom="1120" w:left="0" w:right="0"/>
        </w:sectPr>
      </w:pPr>
    </w:p>
    <w:p>
      <w:pPr>
        <w:pStyle w:val="BodyText"/>
        <w:rPr>
          <w:b/>
        </w:rPr>
      </w:pPr>
    </w:p>
    <w:p>
      <w:pPr>
        <w:pStyle w:val="BodyText"/>
        <w:rPr>
          <w:b/>
        </w:rPr>
      </w:pPr>
    </w:p>
    <w:p>
      <w:pPr>
        <w:pStyle w:val="BodyText"/>
        <w:spacing w:before="3"/>
        <w:rPr>
          <w:b/>
          <w:sz w:val="24"/>
        </w:rPr>
      </w:pPr>
    </w:p>
    <w:p>
      <w:pPr>
        <w:spacing w:before="0"/>
        <w:ind w:left="0" w:right="0" w:firstLine="0"/>
        <w:jc w:val="right"/>
        <w:rPr>
          <w:b/>
          <w:sz w:val="18"/>
        </w:rPr>
      </w:pPr>
      <w:r>
        <w:rPr>
          <w:b/>
          <w:w w:val="95"/>
          <w:sz w:val="18"/>
        </w:rPr>
        <w:t>Current</w:t>
      </w:r>
    </w:p>
    <w:p>
      <w:pPr>
        <w:spacing w:before="66"/>
        <w:ind w:left="0" w:right="19" w:firstLine="0"/>
        <w:jc w:val="right"/>
        <w:rPr>
          <w:b/>
          <w:sz w:val="18"/>
        </w:rPr>
      </w:pPr>
      <w:r>
        <w:rPr/>
        <w:br w:type="column"/>
      </w:r>
      <w:r>
        <w:rPr>
          <w:b/>
          <w:sz w:val="18"/>
        </w:rPr>
        <w:t>2016</w:t>
      </w:r>
    </w:p>
    <w:p>
      <w:pPr>
        <w:spacing w:before="66"/>
        <w:ind w:left="0" w:right="0" w:firstLine="0"/>
        <w:jc w:val="right"/>
        <w:rPr>
          <w:b/>
          <w:sz w:val="18"/>
        </w:rPr>
      </w:pPr>
      <w:r>
        <w:rPr>
          <w:b/>
          <w:sz w:val="18"/>
        </w:rPr>
        <w:t>$'000</w:t>
      </w:r>
    </w:p>
    <w:p>
      <w:pPr>
        <w:spacing w:before="66"/>
        <w:ind w:left="822" w:right="-17" w:firstLine="0"/>
        <w:jc w:val="left"/>
        <w:rPr>
          <w:b/>
          <w:sz w:val="18"/>
        </w:rPr>
      </w:pPr>
      <w:r>
        <w:rPr/>
        <w:br w:type="column"/>
      </w:r>
      <w:r>
        <w:rPr>
          <w:b/>
          <w:sz w:val="18"/>
        </w:rPr>
        <w:t>2015</w:t>
      </w:r>
    </w:p>
    <w:p>
      <w:pPr>
        <w:spacing w:before="66"/>
        <w:ind w:left="801" w:right="-17" w:firstLine="0"/>
        <w:jc w:val="left"/>
        <w:rPr>
          <w:b/>
          <w:sz w:val="18"/>
        </w:rPr>
      </w:pPr>
      <w:r>
        <w:rPr>
          <w:b/>
          <w:spacing w:val="-1"/>
          <w:sz w:val="18"/>
        </w:rPr>
        <w:t>$'000</w:t>
      </w:r>
    </w:p>
    <w:p>
      <w:pPr>
        <w:spacing w:before="66"/>
        <w:ind w:left="0" w:right="19" w:firstLine="0"/>
        <w:jc w:val="right"/>
        <w:rPr>
          <w:b/>
          <w:sz w:val="18"/>
        </w:rPr>
      </w:pPr>
      <w:r>
        <w:rPr/>
        <w:br w:type="column"/>
      </w:r>
      <w:r>
        <w:rPr>
          <w:b/>
          <w:sz w:val="18"/>
        </w:rPr>
        <w:t>2016</w:t>
      </w:r>
    </w:p>
    <w:p>
      <w:pPr>
        <w:spacing w:before="66"/>
        <w:ind w:left="0" w:right="0" w:firstLine="0"/>
        <w:jc w:val="right"/>
        <w:rPr>
          <w:b/>
          <w:sz w:val="18"/>
        </w:rPr>
      </w:pPr>
      <w:r>
        <w:rPr>
          <w:b/>
          <w:sz w:val="18"/>
        </w:rPr>
        <w:t>$'000</w:t>
      </w:r>
    </w:p>
    <w:p>
      <w:pPr>
        <w:spacing w:before="66"/>
        <w:ind w:left="822" w:right="0" w:firstLine="0"/>
        <w:jc w:val="left"/>
        <w:rPr>
          <w:b/>
          <w:sz w:val="18"/>
        </w:rPr>
      </w:pPr>
      <w:r>
        <w:rPr/>
        <w:br w:type="column"/>
      </w:r>
      <w:r>
        <w:rPr>
          <w:b/>
          <w:sz w:val="18"/>
        </w:rPr>
        <w:t>2015</w:t>
      </w:r>
    </w:p>
    <w:p>
      <w:pPr>
        <w:spacing w:before="66"/>
        <w:ind w:left="801" w:right="0" w:firstLine="0"/>
        <w:jc w:val="left"/>
        <w:rPr>
          <w:b/>
          <w:sz w:val="18"/>
        </w:rPr>
      </w:pPr>
      <w:r>
        <w:rPr>
          <w:b/>
          <w:sz w:val="18"/>
        </w:rPr>
        <w:t>$'000</w:t>
      </w:r>
    </w:p>
    <w:p>
      <w:pPr>
        <w:spacing w:after="0"/>
        <w:jc w:val="left"/>
        <w:rPr>
          <w:sz w:val="18"/>
        </w:rPr>
        <w:sectPr>
          <w:type w:val="continuous"/>
          <w:pgSz w:w="12750" w:h="17680"/>
          <w:pgMar w:top="1660" w:bottom="0" w:left="0" w:right="0"/>
          <w:cols w:num="5" w:equalWidth="0">
            <w:col w:w="2518" w:space="2048"/>
            <w:col w:w="2311" w:space="40"/>
            <w:col w:w="1243" w:space="40"/>
            <w:col w:w="1441" w:space="40"/>
            <w:col w:w="3069"/>
          </w:cols>
        </w:sectPr>
      </w:pPr>
    </w:p>
    <w:sdt>
      <w:sdtPr>
        <w:docPartObj>
          <w:docPartGallery w:val="Table of Contents"/>
          <w:docPartUnique/>
        </w:docPartObj>
      </w:sdtPr>
      <w:sdtEndPr/>
      <w:sdtContent>
        <w:p>
          <w:pPr>
            <w:pStyle w:val="TOC2"/>
            <w:tabs>
              <w:tab w:pos="6895" w:val="left" w:leader="none"/>
              <w:tab w:pos="8191" w:val="left" w:leader="none"/>
              <w:tab w:pos="9658" w:val="left" w:leader="none"/>
              <w:tab w:pos="11253" w:val="right" w:leader="none"/>
            </w:tabs>
            <w:spacing w:before="48"/>
            <w:ind w:left="1868"/>
            <w:rPr>
              <w:b w:val="0"/>
              <w:i w:val="0"/>
              <w:sz w:val="18"/>
            </w:rPr>
          </w:pPr>
          <w:r>
            <w:rPr/>
            <w:pict>
              <v:group style="position:absolute;margin-left:290.709991pt;margin-top:14.031899pt;width:276.5pt;height:1pt;mso-position-horizontal-relative:page;mso-position-vertical-relative:paragraph;z-index:3976" coordorigin="5814,281" coordsize="5530,20">
                <v:line style="position:absolute" from="5815,282" to="5984,282" stroked="true" strokeweight=".06pt" strokecolor="#000000"/>
                <v:line style="position:absolute" from="5815,283" to="5984,283" stroked="true" strokeweight=".06pt" strokecolor="#000000"/>
                <v:line style="position:absolute" from="5815,284" to="5984,284" stroked="true" strokeweight=".06pt" strokecolor="#000000"/>
                <v:line style="position:absolute" from="5815,285" to="5984,285" stroked="true" strokeweight=".06pt" strokecolor="#000000"/>
                <v:line style="position:absolute" from="5815,286" to="5984,286" stroked="true" strokeweight=".06pt" strokecolor="#000000"/>
                <v:line style="position:absolute" from="5815,288" to="5984,288" stroked="true" strokeweight=".06pt" strokecolor="#000000"/>
                <v:line style="position:absolute" from="5815,289" to="5984,289" stroked="true" strokeweight=".06pt" strokecolor="#000000"/>
                <v:line style="position:absolute" from="5815,290" to="5984,290" stroked="true" strokeweight=".06pt" strokecolor="#000000"/>
                <v:line style="position:absolute" from="5815,291" to="5984,291" stroked="true" strokeweight=".06pt" strokecolor="#000000"/>
                <v:line style="position:absolute" from="5815,292" to="5984,292" stroked="true" strokeweight=".06pt" strokecolor="#000000"/>
                <v:line style="position:absolute" from="5815,294" to="5984,294" stroked="true" strokeweight=".06pt" strokecolor="#000000"/>
                <v:line style="position:absolute" from="5815,295" to="5984,295" stroked="true" strokeweight=".06pt" strokecolor="#000000"/>
                <v:line style="position:absolute" from="5815,296" to="5984,296" stroked="true" strokeweight=".06pt" strokecolor="#000000"/>
                <v:line style="position:absolute" from="5815,297" to="5984,297" stroked="true" strokeweight=".06pt" strokecolor="#000000"/>
                <v:line style="position:absolute" from="5815,298" to="5984,298" stroked="true" strokeweight=".06pt" strokecolor="#000000"/>
                <v:line style="position:absolute" from="5815,300" to="5984,300" stroked="true" strokeweight=".06pt" strokecolor="#000000"/>
                <v:line style="position:absolute" from="5984,282" to="7282,282" stroked="true" strokeweight=".06pt" strokecolor="#000000"/>
                <v:line style="position:absolute" from="5984,283" to="7282,283" stroked="true" strokeweight=".06pt" strokecolor="#000000"/>
                <v:line style="position:absolute" from="5984,284" to="7282,284" stroked="true" strokeweight=".06pt" strokecolor="#000000"/>
                <v:line style="position:absolute" from="5984,285" to="7282,285" stroked="true" strokeweight=".06pt" strokecolor="#000000"/>
                <v:line style="position:absolute" from="5984,286" to="7282,286" stroked="true" strokeweight=".06pt" strokecolor="#000000"/>
                <v:line style="position:absolute" from="5984,288" to="7282,288" stroked="true" strokeweight=".06pt" strokecolor="#000000"/>
                <v:line style="position:absolute" from="5984,289" to="7282,289" stroked="true" strokeweight=".06pt" strokecolor="#000000"/>
                <v:line style="position:absolute" from="5984,290" to="7282,290" stroked="true" strokeweight=".06pt" strokecolor="#000000"/>
                <v:line style="position:absolute" from="5984,291" to="7282,291" stroked="true" strokeweight=".06pt" strokecolor="#000000"/>
                <v:line style="position:absolute" from="5984,292" to="7282,292" stroked="true" strokeweight=".06pt" strokecolor="#000000"/>
                <v:line style="position:absolute" from="5984,294" to="7282,294" stroked="true" strokeweight=".06pt" strokecolor="#000000"/>
                <v:line style="position:absolute" from="5984,295" to="7282,295" stroked="true" strokeweight=".06pt" strokecolor="#000000"/>
                <v:line style="position:absolute" from="5984,296" to="7282,296" stroked="true" strokeweight=".06pt" strokecolor="#000000"/>
                <v:line style="position:absolute" from="5984,297" to="7282,297" stroked="true" strokeweight=".06pt" strokecolor="#000000"/>
                <v:line style="position:absolute" from="5984,298" to="7282,298" stroked="true" strokeweight=".06pt" strokecolor="#000000"/>
                <v:line style="position:absolute" from="5984,300" to="7282,300" stroked="true" strokeweight=".06pt" strokecolor="#000000"/>
                <v:line style="position:absolute" from="7282,282" to="8579,282" stroked="true" strokeweight=".06pt" strokecolor="#000000"/>
                <v:line style="position:absolute" from="7282,283" to="8579,283" stroked="true" strokeweight=".06pt" strokecolor="#000000"/>
                <v:line style="position:absolute" from="7282,284" to="8579,284" stroked="true" strokeweight=".06pt" strokecolor="#000000"/>
                <v:line style="position:absolute" from="7282,285" to="8579,285" stroked="true" strokeweight=".06pt" strokecolor="#000000"/>
                <v:line style="position:absolute" from="7282,286" to="8579,286" stroked="true" strokeweight=".06pt" strokecolor="#000000"/>
                <v:line style="position:absolute" from="7282,288" to="8579,288" stroked="true" strokeweight=".06pt" strokecolor="#000000"/>
                <v:line style="position:absolute" from="7282,289" to="8579,289" stroked="true" strokeweight=".06pt" strokecolor="#000000"/>
                <v:line style="position:absolute" from="7282,290" to="8579,290" stroked="true" strokeweight=".06pt" strokecolor="#000000"/>
                <v:line style="position:absolute" from="7282,291" to="8579,291" stroked="true" strokeweight=".06pt" strokecolor="#000000"/>
                <v:line style="position:absolute" from="7282,292" to="8579,292" stroked="true" strokeweight=".06pt" strokecolor="#000000"/>
                <v:line style="position:absolute" from="7282,294" to="8579,294" stroked="true" strokeweight=".06pt" strokecolor="#000000"/>
                <v:line style="position:absolute" from="7282,295" to="8579,295" stroked="true" strokeweight=".06pt" strokecolor="#000000"/>
                <v:line style="position:absolute" from="7282,296" to="8579,296" stroked="true" strokeweight=".06pt" strokecolor="#000000"/>
                <v:line style="position:absolute" from="7282,297" to="8579,297" stroked="true" strokeweight=".06pt" strokecolor="#000000"/>
                <v:line style="position:absolute" from="7282,298" to="8579,298" stroked="true" strokeweight=".06pt" strokecolor="#000000"/>
                <v:line style="position:absolute" from="7282,300" to="8579,300" stroked="true" strokeweight=".06pt" strokecolor="#000000"/>
                <v:line style="position:absolute" from="8579,282" to="8748,282" stroked="true" strokeweight=".06pt" strokecolor="#000000"/>
                <v:line style="position:absolute" from="8579,283" to="8748,283" stroked="true" strokeweight=".06pt" strokecolor="#000000"/>
                <v:line style="position:absolute" from="8579,284" to="8748,284" stroked="true" strokeweight=".06pt" strokecolor="#000000"/>
                <v:line style="position:absolute" from="8579,285" to="8748,285" stroked="true" strokeweight=".06pt" strokecolor="#000000"/>
                <v:line style="position:absolute" from="8579,286" to="8748,286" stroked="true" strokeweight=".06pt" strokecolor="#000000"/>
                <v:line style="position:absolute" from="8579,288" to="8748,288" stroked="true" strokeweight=".06pt" strokecolor="#000000"/>
                <v:line style="position:absolute" from="8579,289" to="8748,289" stroked="true" strokeweight=".06pt" strokecolor="#000000"/>
                <v:line style="position:absolute" from="8579,290" to="8748,290" stroked="true" strokeweight=".06pt" strokecolor="#000000"/>
                <v:line style="position:absolute" from="8579,291" to="8748,291" stroked="true" strokeweight=".06pt" strokecolor="#000000"/>
                <v:line style="position:absolute" from="8579,292" to="8748,292" stroked="true" strokeweight=".06pt" strokecolor="#000000"/>
                <v:line style="position:absolute" from="8579,294" to="8748,294" stroked="true" strokeweight=".06pt" strokecolor="#000000"/>
                <v:line style="position:absolute" from="8579,295" to="8748,295" stroked="true" strokeweight=".06pt" strokecolor="#000000"/>
                <v:line style="position:absolute" from="8579,296" to="8748,296" stroked="true" strokeweight=".06pt" strokecolor="#000000"/>
                <v:line style="position:absolute" from="8579,297" to="8748,297" stroked="true" strokeweight=".06pt" strokecolor="#000000"/>
                <v:line style="position:absolute" from="8579,298" to="8748,298" stroked="true" strokeweight=".06pt" strokecolor="#000000"/>
                <v:line style="position:absolute" from="8579,300" to="8748,300" stroked="true" strokeweight=".06pt" strokecolor="#000000"/>
                <v:line style="position:absolute" from="8748,282" to="10045,282" stroked="true" strokeweight=".06pt" strokecolor="#000000"/>
                <v:line style="position:absolute" from="8748,283" to="10045,283" stroked="true" strokeweight=".06pt" strokecolor="#000000"/>
                <v:line style="position:absolute" from="8748,284" to="10045,284" stroked="true" strokeweight=".06pt" strokecolor="#000000"/>
                <v:line style="position:absolute" from="8748,285" to="10045,285" stroked="true" strokeweight=".06pt" strokecolor="#000000"/>
                <v:line style="position:absolute" from="8748,286" to="10045,286" stroked="true" strokeweight=".06pt" strokecolor="#000000"/>
                <v:line style="position:absolute" from="8748,288" to="10045,288" stroked="true" strokeweight=".06pt" strokecolor="#000000"/>
                <v:line style="position:absolute" from="8748,289" to="10045,289" stroked="true" strokeweight=".06pt" strokecolor="#000000"/>
                <v:line style="position:absolute" from="8748,290" to="10045,290" stroked="true" strokeweight=".06pt" strokecolor="#000000"/>
                <v:line style="position:absolute" from="8748,291" to="10045,291" stroked="true" strokeweight=".06pt" strokecolor="#000000"/>
                <v:line style="position:absolute" from="8748,292" to="10045,292" stroked="true" strokeweight=".06pt" strokecolor="#000000"/>
                <v:line style="position:absolute" from="8748,294" to="10045,294" stroked="true" strokeweight=".06pt" strokecolor="#000000"/>
                <v:line style="position:absolute" from="8748,295" to="10045,295" stroked="true" strokeweight=".06pt" strokecolor="#000000"/>
                <v:line style="position:absolute" from="8748,296" to="10045,296" stroked="true" strokeweight=".06pt" strokecolor="#000000"/>
                <v:line style="position:absolute" from="8748,297" to="10045,297" stroked="true" strokeweight=".06pt" strokecolor="#000000"/>
                <v:line style="position:absolute" from="8748,298" to="10045,298" stroked="true" strokeweight=".06pt" strokecolor="#000000"/>
                <v:line style="position:absolute" from="8748,300" to="10045,300" stroked="true" strokeweight=".06pt" strokecolor="#000000"/>
                <v:line style="position:absolute" from="10045,282" to="11342,282" stroked="true" strokeweight=".06pt" strokecolor="#000000"/>
                <v:line style="position:absolute" from="10045,283" to="11342,283" stroked="true" strokeweight=".06pt" strokecolor="#000000"/>
                <v:line style="position:absolute" from="10045,284" to="11342,284" stroked="true" strokeweight=".06pt" strokecolor="#000000"/>
                <v:line style="position:absolute" from="10045,285" to="11342,285" stroked="true" strokeweight=".06pt" strokecolor="#000000"/>
                <v:line style="position:absolute" from="10045,286" to="11342,286" stroked="true" strokeweight=".06pt" strokecolor="#000000"/>
                <v:line style="position:absolute" from="10045,288" to="11342,288" stroked="true" strokeweight=".06pt" strokecolor="#000000"/>
                <v:line style="position:absolute" from="10045,289" to="11342,289" stroked="true" strokeweight=".06pt" strokecolor="#000000"/>
                <v:line style="position:absolute" from="10045,290" to="11342,290" stroked="true" strokeweight=".06pt" strokecolor="#000000"/>
                <v:line style="position:absolute" from="10045,291" to="11342,291" stroked="true" strokeweight=".06pt" strokecolor="#000000"/>
                <v:line style="position:absolute" from="10045,292" to="11342,292" stroked="true" strokeweight=".06pt" strokecolor="#000000"/>
                <v:line style="position:absolute" from="10045,294" to="11342,294" stroked="true" strokeweight=".06pt" strokecolor="#000000"/>
                <v:line style="position:absolute" from="10045,295" to="11342,295" stroked="true" strokeweight=".06pt" strokecolor="#000000"/>
                <v:line style="position:absolute" from="10045,296" to="11342,296" stroked="true" strokeweight=".06pt" strokecolor="#000000"/>
                <v:line style="position:absolute" from="10045,297" to="11342,297" stroked="true" strokeweight=".06pt" strokecolor="#000000"/>
                <v:line style="position:absolute" from="10045,298" to="11342,298" stroked="true" strokeweight=".06pt" strokecolor="#000000"/>
                <v:line style="position:absolute" from="10045,300" to="11342,300" stroked="true" strokeweight=".06pt" strokecolor="#000000"/>
                <w10:wrap type="none"/>
              </v:group>
            </w:pict>
          </w:r>
          <w:r>
            <w:rPr>
              <w:b w:val="0"/>
              <w:i w:val="0"/>
              <w:sz w:val="18"/>
            </w:rPr>
            <w:t>Lease</w:t>
          </w:r>
          <w:r>
            <w:rPr>
              <w:b w:val="0"/>
              <w:i w:val="0"/>
              <w:spacing w:val="-6"/>
              <w:sz w:val="18"/>
            </w:rPr>
            <w:t> </w:t>
          </w:r>
          <w:r>
            <w:rPr>
              <w:b w:val="0"/>
              <w:i w:val="0"/>
              <w:sz w:val="18"/>
            </w:rPr>
            <w:t>incentives</w:t>
            <w:tab/>
          </w:r>
          <w:r>
            <w:rPr>
              <w:i w:val="0"/>
              <w:sz w:val="18"/>
            </w:rPr>
            <w:t>244</w:t>
            <w:tab/>
          </w:r>
          <w:r>
            <w:rPr>
              <w:b w:val="0"/>
              <w:i w:val="0"/>
              <w:sz w:val="18"/>
            </w:rPr>
            <w:t>154</w:t>
            <w:tab/>
          </w:r>
          <w:r>
            <w:rPr>
              <w:i w:val="0"/>
              <w:sz w:val="18"/>
            </w:rPr>
            <w:t>244</w:t>
          </w:r>
          <w:r>
            <w:rPr>
              <w:rFonts w:ascii="Times New Roman"/>
              <w:b w:val="0"/>
              <w:i w:val="0"/>
              <w:sz w:val="18"/>
            </w:rPr>
            <w:tab/>
          </w:r>
          <w:r>
            <w:rPr>
              <w:b w:val="0"/>
              <w:i w:val="0"/>
              <w:sz w:val="18"/>
            </w:rPr>
            <w:t>154</w:t>
          </w:r>
        </w:p>
        <w:p>
          <w:pPr>
            <w:pStyle w:val="TOC1"/>
            <w:tabs>
              <w:tab w:pos="6895" w:val="left" w:leader="none"/>
              <w:tab w:pos="8191" w:val="left" w:leader="none"/>
              <w:tab w:pos="9658" w:val="left" w:leader="none"/>
              <w:tab w:pos="11253" w:val="right" w:leader="none"/>
            </w:tabs>
            <w:spacing w:before="159"/>
            <w:ind w:left="1868"/>
            <w:rPr>
              <w:b w:val="0"/>
            </w:rPr>
          </w:pPr>
          <w:r>
            <w:rPr/>
            <w:pict>
              <v:group style="position:absolute;margin-left:290.709991pt;margin-top:18.201881pt;width:276.5pt;height:1pt;mso-position-horizontal-relative:page;mso-position-vertical-relative:paragraph;z-index:-1204336" coordorigin="5814,364" coordsize="5530,20">
                <v:line style="position:absolute" from="5815,365" to="5984,365" stroked="true" strokeweight=".06pt" strokecolor="#000000"/>
                <v:line style="position:absolute" from="5815,366" to="5984,366" stroked="true" strokeweight=".06pt" strokecolor="#000000"/>
                <v:line style="position:absolute" from="5815,367" to="5984,367" stroked="true" strokeweight=".06pt" strokecolor="#000000"/>
                <v:line style="position:absolute" from="5815,369" to="5984,369" stroked="true" strokeweight=".06pt" strokecolor="#000000"/>
                <v:line style="position:absolute" from="5815,370" to="5984,370" stroked="true" strokeweight=".06pt" strokecolor="#000000"/>
                <v:line style="position:absolute" from="5815,371" to="5984,371" stroked="true" strokeweight=".06pt" strokecolor="#000000"/>
                <v:line style="position:absolute" from="5815,372" to="5984,372" stroked="true" strokeweight=".06pt" strokecolor="#000000"/>
                <v:line style="position:absolute" from="5815,373" to="5984,373" stroked="true" strokeweight=".06pt" strokecolor="#000000"/>
                <v:line style="position:absolute" from="5815,375" to="5984,375" stroked="true" strokeweight=".06pt" strokecolor="#000000"/>
                <v:line style="position:absolute" from="5815,376" to="5984,376" stroked="true" strokeweight=".06pt" strokecolor="#000000"/>
                <v:line style="position:absolute" from="5815,377" to="5984,377" stroked="true" strokeweight=".06pt" strokecolor="#000000"/>
                <v:line style="position:absolute" from="5815,378" to="5984,378" stroked="true" strokeweight=".06pt" strokecolor="#000000"/>
                <v:line style="position:absolute" from="5815,379" to="5984,379" stroked="true" strokeweight=".06pt" strokecolor="#000000"/>
                <v:line style="position:absolute" from="5815,381" to="5984,381" stroked="true" strokeweight=".06pt" strokecolor="#000000"/>
                <v:line style="position:absolute" from="5815,382" to="5984,382" stroked="true" strokeweight=".06pt" strokecolor="#000000"/>
                <v:line style="position:absolute" from="5815,383" to="5984,383" stroked="true" strokeweight=".06pt" strokecolor="#000000"/>
                <v:line style="position:absolute" from="5984,365" to="7282,365" stroked="true" strokeweight=".06pt" strokecolor="#000000"/>
                <v:line style="position:absolute" from="5984,366" to="7282,366" stroked="true" strokeweight=".06pt" strokecolor="#000000"/>
                <v:line style="position:absolute" from="5984,367" to="7282,367" stroked="true" strokeweight=".06pt" strokecolor="#000000"/>
                <v:line style="position:absolute" from="5984,369" to="7282,369" stroked="true" strokeweight=".06pt" strokecolor="#000000"/>
                <v:line style="position:absolute" from="5984,370" to="7282,370" stroked="true" strokeweight=".06pt" strokecolor="#000000"/>
                <v:line style="position:absolute" from="5984,371" to="7282,371" stroked="true" strokeweight=".06pt" strokecolor="#000000"/>
                <v:line style="position:absolute" from="5984,372" to="7282,372" stroked="true" strokeweight=".06pt" strokecolor="#000000"/>
                <v:line style="position:absolute" from="5984,373" to="7282,373" stroked="true" strokeweight=".06pt" strokecolor="#000000"/>
                <v:line style="position:absolute" from="5984,375" to="7282,375" stroked="true" strokeweight=".06pt" strokecolor="#000000"/>
                <v:line style="position:absolute" from="5984,376" to="7282,376" stroked="true" strokeweight=".06pt" strokecolor="#000000"/>
                <v:line style="position:absolute" from="5984,377" to="7282,377" stroked="true" strokeweight=".06pt" strokecolor="#000000"/>
                <v:line style="position:absolute" from="5984,378" to="7282,378" stroked="true" strokeweight=".06pt" strokecolor="#000000"/>
                <v:line style="position:absolute" from="5984,379" to="7282,379" stroked="true" strokeweight=".06pt" strokecolor="#000000"/>
                <v:line style="position:absolute" from="5984,381" to="7282,381" stroked="true" strokeweight=".06pt" strokecolor="#000000"/>
                <v:line style="position:absolute" from="5984,382" to="7282,382" stroked="true" strokeweight=".06pt" strokecolor="#000000"/>
                <v:line style="position:absolute" from="5984,383" to="7282,383" stroked="true" strokeweight=".06pt" strokecolor="#000000"/>
                <v:line style="position:absolute" from="7282,365" to="8579,365" stroked="true" strokeweight=".06pt" strokecolor="#000000"/>
                <v:line style="position:absolute" from="7282,366" to="8579,366" stroked="true" strokeweight=".06pt" strokecolor="#000000"/>
                <v:line style="position:absolute" from="7282,367" to="8579,367" stroked="true" strokeweight=".06pt" strokecolor="#000000"/>
                <v:line style="position:absolute" from="7282,369" to="8579,369" stroked="true" strokeweight=".06pt" strokecolor="#000000"/>
                <v:line style="position:absolute" from="7282,370" to="8579,370" stroked="true" strokeweight=".06pt" strokecolor="#000000"/>
                <v:line style="position:absolute" from="7282,371" to="8579,371" stroked="true" strokeweight=".06pt" strokecolor="#000000"/>
                <v:line style="position:absolute" from="7282,372" to="8579,372" stroked="true" strokeweight=".06pt" strokecolor="#000000"/>
                <v:line style="position:absolute" from="7282,373" to="8579,373" stroked="true" strokeweight=".06pt" strokecolor="#000000"/>
                <v:line style="position:absolute" from="7282,375" to="8579,375" stroked="true" strokeweight=".06pt" strokecolor="#000000"/>
                <v:line style="position:absolute" from="7282,376" to="8579,376" stroked="true" strokeweight=".06pt" strokecolor="#000000"/>
                <v:line style="position:absolute" from="7282,377" to="8579,377" stroked="true" strokeweight=".06pt" strokecolor="#000000"/>
                <v:line style="position:absolute" from="7282,378" to="8579,378" stroked="true" strokeweight=".06pt" strokecolor="#000000"/>
                <v:line style="position:absolute" from="7282,379" to="8579,379" stroked="true" strokeweight=".06pt" strokecolor="#000000"/>
                <v:line style="position:absolute" from="7282,381" to="8579,381" stroked="true" strokeweight=".06pt" strokecolor="#000000"/>
                <v:line style="position:absolute" from="7282,382" to="8579,382" stroked="true" strokeweight=".06pt" strokecolor="#000000"/>
                <v:line style="position:absolute" from="7282,383" to="8579,383" stroked="true" strokeweight=".06pt" strokecolor="#000000"/>
                <v:line style="position:absolute" from="8579,365" to="8748,365" stroked="true" strokeweight=".06pt" strokecolor="#000000"/>
                <v:line style="position:absolute" from="8579,366" to="8748,366" stroked="true" strokeweight=".06pt" strokecolor="#000000"/>
                <v:line style="position:absolute" from="8579,367" to="8748,367" stroked="true" strokeweight=".06pt" strokecolor="#000000"/>
                <v:line style="position:absolute" from="8579,369" to="8748,369" stroked="true" strokeweight=".06pt" strokecolor="#000000"/>
                <v:line style="position:absolute" from="8579,370" to="8748,370" stroked="true" strokeweight=".06pt" strokecolor="#000000"/>
                <v:line style="position:absolute" from="8579,371" to="8748,371" stroked="true" strokeweight=".06pt" strokecolor="#000000"/>
                <v:line style="position:absolute" from="8579,372" to="8748,372" stroked="true" strokeweight=".06pt" strokecolor="#000000"/>
                <v:line style="position:absolute" from="8579,373" to="8748,373" stroked="true" strokeweight=".06pt" strokecolor="#000000"/>
                <v:line style="position:absolute" from="8579,375" to="8748,375" stroked="true" strokeweight=".06pt" strokecolor="#000000"/>
                <v:line style="position:absolute" from="8579,376" to="8748,376" stroked="true" strokeweight=".06pt" strokecolor="#000000"/>
                <v:line style="position:absolute" from="8579,377" to="8748,377" stroked="true" strokeweight=".06pt" strokecolor="#000000"/>
                <v:line style="position:absolute" from="8579,378" to="8748,378" stroked="true" strokeweight=".06pt" strokecolor="#000000"/>
                <v:line style="position:absolute" from="8579,379" to="8748,379" stroked="true" strokeweight=".06pt" strokecolor="#000000"/>
                <v:line style="position:absolute" from="8579,381" to="8748,381" stroked="true" strokeweight=".06pt" strokecolor="#000000"/>
                <v:line style="position:absolute" from="8579,382" to="8748,382" stroked="true" strokeweight=".06pt" strokecolor="#000000"/>
                <v:line style="position:absolute" from="8579,383" to="8748,383" stroked="true" strokeweight=".06pt" strokecolor="#000000"/>
                <v:line style="position:absolute" from="8748,365" to="10045,365" stroked="true" strokeweight=".06pt" strokecolor="#000000"/>
                <v:line style="position:absolute" from="8748,366" to="10045,366" stroked="true" strokeweight=".06pt" strokecolor="#000000"/>
                <v:line style="position:absolute" from="8748,367" to="10045,367" stroked="true" strokeweight=".06pt" strokecolor="#000000"/>
                <v:line style="position:absolute" from="8748,369" to="10045,369" stroked="true" strokeweight=".06pt" strokecolor="#000000"/>
                <v:line style="position:absolute" from="8748,370" to="10045,370" stroked="true" strokeweight=".06pt" strokecolor="#000000"/>
                <v:line style="position:absolute" from="8748,371" to="10045,371" stroked="true" strokeweight=".06pt" strokecolor="#000000"/>
                <v:line style="position:absolute" from="8748,372" to="10045,372" stroked="true" strokeweight=".06pt" strokecolor="#000000"/>
                <v:line style="position:absolute" from="8748,373" to="10045,373" stroked="true" strokeweight=".06pt" strokecolor="#000000"/>
                <v:line style="position:absolute" from="8748,375" to="10045,375" stroked="true" strokeweight=".06pt" strokecolor="#000000"/>
                <v:line style="position:absolute" from="8748,376" to="10045,376" stroked="true" strokeweight=".06pt" strokecolor="#000000"/>
                <v:line style="position:absolute" from="8748,377" to="10045,377" stroked="true" strokeweight=".06pt" strokecolor="#000000"/>
                <v:line style="position:absolute" from="8748,378" to="10045,378" stroked="true" strokeweight=".06pt" strokecolor="#000000"/>
                <v:line style="position:absolute" from="8748,379" to="10045,379" stroked="true" strokeweight=".06pt" strokecolor="#000000"/>
                <v:line style="position:absolute" from="8748,381" to="10045,381" stroked="true" strokeweight=".06pt" strokecolor="#000000"/>
                <v:line style="position:absolute" from="8748,382" to="10045,382" stroked="true" strokeweight=".06pt" strokecolor="#000000"/>
                <v:line style="position:absolute" from="8748,383" to="10045,383" stroked="true" strokeweight=".06pt" strokecolor="#000000"/>
                <v:line style="position:absolute" from="10045,365" to="11342,365" stroked="true" strokeweight=".06pt" strokecolor="#000000"/>
                <v:line style="position:absolute" from="10045,366" to="11342,366" stroked="true" strokeweight=".06pt" strokecolor="#000000"/>
                <v:line style="position:absolute" from="10045,367" to="11342,367" stroked="true" strokeweight=".06pt" strokecolor="#000000"/>
                <v:line style="position:absolute" from="10045,369" to="11342,369" stroked="true" strokeweight=".06pt" strokecolor="#000000"/>
                <v:line style="position:absolute" from="10045,370" to="11342,370" stroked="true" strokeweight=".06pt" strokecolor="#000000"/>
                <v:line style="position:absolute" from="10045,371" to="11342,371" stroked="true" strokeweight=".06pt" strokecolor="#000000"/>
                <v:line style="position:absolute" from="10045,372" to="11342,372" stroked="true" strokeweight=".06pt" strokecolor="#000000"/>
                <v:line style="position:absolute" from="10045,373" to="11342,373" stroked="true" strokeweight=".06pt" strokecolor="#000000"/>
                <v:line style="position:absolute" from="10045,375" to="11342,375" stroked="true" strokeweight=".06pt" strokecolor="#000000"/>
                <v:line style="position:absolute" from="10045,376" to="11342,376" stroked="true" strokeweight=".06pt" strokecolor="#000000"/>
                <v:line style="position:absolute" from="10045,377" to="11342,377" stroked="true" strokeweight=".06pt" strokecolor="#000000"/>
                <v:line style="position:absolute" from="10045,378" to="11342,378" stroked="true" strokeweight=".06pt" strokecolor="#000000"/>
                <v:line style="position:absolute" from="10045,379" to="11342,379" stroked="true" strokeweight=".06pt" strokecolor="#000000"/>
                <v:line style="position:absolute" from="10045,381" to="11342,381" stroked="true" strokeweight=".06pt" strokecolor="#000000"/>
                <v:line style="position:absolute" from="10045,382" to="11342,382" stroked="true" strokeweight=".06pt" strokecolor="#000000"/>
                <v:line style="position:absolute" from="10045,383" to="11342,383" stroked="true" strokeweight=".06pt" strokecolor="#000000"/>
                <w10:wrap type="none"/>
              </v:group>
            </w:pict>
          </w:r>
          <w:r>
            <w:rPr/>
            <w:drawing>
              <wp:anchor distT="0" distB="0" distL="0" distR="0" allowOverlap="1" layoutInCell="1" locked="0" behindDoc="0" simplePos="0" relativeHeight="4024">
                <wp:simplePos x="0" y="0"/>
                <wp:positionH relativeFrom="page">
                  <wp:posOffset>-1587</wp:posOffset>
                </wp:positionH>
                <wp:positionV relativeFrom="paragraph">
                  <wp:posOffset>113079</wp:posOffset>
                </wp:positionV>
                <wp:extent cx="136525" cy="155575"/>
                <wp:effectExtent l="0" t="0" r="0" b="0"/>
                <wp:wrapNone/>
                <wp:docPr id="243" name="image13.png" descr=""/>
                <wp:cNvGraphicFramePr>
                  <a:graphicFrameLocks noChangeAspect="1"/>
                </wp:cNvGraphicFramePr>
                <a:graphic>
                  <a:graphicData uri="http://schemas.openxmlformats.org/drawingml/2006/picture">
                    <pic:pic>
                      <pic:nvPicPr>
                        <pic:cNvPr id="244" name="image13.png"/>
                        <pic:cNvPicPr/>
                      </pic:nvPicPr>
                      <pic:blipFill>
                        <a:blip r:embed="rId18" cstate="print"/>
                        <a:stretch>
                          <a:fillRect/>
                        </a:stretch>
                      </pic:blipFill>
                      <pic:spPr>
                        <a:xfrm>
                          <a:off x="0" y="0"/>
                          <a:ext cx="136525" cy="155575"/>
                        </a:xfrm>
                        <a:prstGeom prst="rect">
                          <a:avLst/>
                        </a:prstGeom>
                      </pic:spPr>
                    </pic:pic>
                  </a:graphicData>
                </a:graphic>
              </wp:anchor>
            </w:drawing>
          </w:r>
          <w:r>
            <w:rPr/>
            <w:drawing>
              <wp:anchor distT="0" distB="0" distL="0" distR="0" allowOverlap="1" layoutInCell="1" locked="0" behindDoc="0" simplePos="0" relativeHeight="4048">
                <wp:simplePos x="0" y="0"/>
                <wp:positionH relativeFrom="page">
                  <wp:posOffset>7958429</wp:posOffset>
                </wp:positionH>
                <wp:positionV relativeFrom="paragraph">
                  <wp:posOffset>113079</wp:posOffset>
                </wp:positionV>
                <wp:extent cx="135953" cy="155575"/>
                <wp:effectExtent l="0" t="0" r="0" b="0"/>
                <wp:wrapNone/>
                <wp:docPr id="245" name="image15.png" descr=""/>
                <wp:cNvGraphicFramePr>
                  <a:graphicFrameLocks noChangeAspect="1"/>
                </wp:cNvGraphicFramePr>
                <a:graphic>
                  <a:graphicData uri="http://schemas.openxmlformats.org/drawingml/2006/picture">
                    <pic:pic>
                      <pic:nvPicPr>
                        <pic:cNvPr id="246" name="image15.png"/>
                        <pic:cNvPicPr/>
                      </pic:nvPicPr>
                      <pic:blipFill>
                        <a:blip r:embed="rId20" cstate="print"/>
                        <a:stretch>
                          <a:fillRect/>
                        </a:stretch>
                      </pic:blipFill>
                      <pic:spPr>
                        <a:xfrm>
                          <a:off x="0" y="0"/>
                          <a:ext cx="135953" cy="155575"/>
                        </a:xfrm>
                        <a:prstGeom prst="rect">
                          <a:avLst/>
                        </a:prstGeom>
                      </pic:spPr>
                    </pic:pic>
                  </a:graphicData>
                </a:graphic>
              </wp:anchor>
            </w:drawing>
          </w:r>
          <w:r>
            <w:rPr/>
            <w:t>Total current other non-financial assets</w:t>
            <w:tab/>
            <w:t>244</w:t>
            <w:tab/>
          </w:r>
          <w:r>
            <w:rPr>
              <w:b w:val="0"/>
            </w:rPr>
            <w:t>154</w:t>
            <w:tab/>
          </w:r>
          <w:r>
            <w:rPr/>
            <w:t>244</w:t>
          </w:r>
          <w:r>
            <w:rPr>
              <w:rFonts w:ascii="Times New Roman"/>
              <w:b w:val="0"/>
            </w:rPr>
            <w:tab/>
          </w:r>
          <w:r>
            <w:rPr>
              <w:b w:val="0"/>
            </w:rPr>
            <w:t>154</w:t>
          </w:r>
        </w:p>
        <w:p>
          <w:pPr>
            <w:pStyle w:val="TOC1"/>
          </w:pPr>
          <w:hyperlink w:history="true" w:anchor="_TOC_250000">
            <w:r>
              <w:rPr/>
              <w:t>Non-current</w:t>
            </w:r>
          </w:hyperlink>
        </w:p>
        <w:p>
          <w:pPr>
            <w:pStyle w:val="TOC2"/>
            <w:tabs>
              <w:tab w:pos="6893" w:val="left" w:leader="none"/>
              <w:tab w:pos="8192" w:val="left" w:leader="none"/>
              <w:tab w:pos="9657" w:val="left" w:leader="none"/>
              <w:tab w:pos="11254" w:val="right" w:leader="none"/>
            </w:tabs>
            <w:rPr>
              <w:b w:val="0"/>
              <w:i w:val="0"/>
              <w:sz w:val="18"/>
            </w:rPr>
          </w:pPr>
          <w:r>
            <w:rPr>
              <w:b w:val="0"/>
              <w:i w:val="0"/>
              <w:sz w:val="18"/>
            </w:rPr>
            <w:t>Livestock</w:t>
          </w:r>
          <w:r>
            <w:rPr>
              <w:b w:val="0"/>
              <w:i w:val="0"/>
              <w:spacing w:val="-6"/>
              <w:sz w:val="18"/>
            </w:rPr>
            <w:t> </w:t>
          </w:r>
          <w:r>
            <w:rPr>
              <w:b w:val="0"/>
              <w:i w:val="0"/>
              <w:sz w:val="18"/>
            </w:rPr>
            <w:t>holdings</w:t>
            <w:tab/>
          </w:r>
          <w:r>
            <w:rPr>
              <w:i w:val="0"/>
              <w:sz w:val="18"/>
            </w:rPr>
            <w:t>490</w:t>
            <w:tab/>
          </w:r>
          <w:r>
            <w:rPr>
              <w:b w:val="0"/>
              <w:i w:val="0"/>
              <w:sz w:val="18"/>
            </w:rPr>
            <w:t>622</w:t>
            <w:tab/>
          </w:r>
          <w:r>
            <w:rPr>
              <w:i w:val="0"/>
              <w:sz w:val="18"/>
            </w:rPr>
            <w:t>490</w:t>
          </w:r>
          <w:r>
            <w:rPr>
              <w:rFonts w:ascii="Times New Roman"/>
              <w:b w:val="0"/>
              <w:i w:val="0"/>
              <w:sz w:val="18"/>
            </w:rPr>
            <w:tab/>
          </w:r>
          <w:r>
            <w:rPr>
              <w:b w:val="0"/>
              <w:i w:val="0"/>
              <w:sz w:val="18"/>
            </w:rPr>
            <w:t>622</w:t>
          </w:r>
        </w:p>
      </w:sdtContent>
    </w:sdt>
    <w:p>
      <w:pPr>
        <w:tabs>
          <w:tab w:pos="6893" w:val="left" w:leader="none"/>
          <w:tab w:pos="8431" w:val="left" w:leader="none"/>
          <w:tab w:pos="9657" w:val="left" w:leader="none"/>
          <w:tab w:pos="11194" w:val="left" w:leader="none"/>
        </w:tabs>
        <w:spacing w:before="57"/>
        <w:ind w:left="1851" w:right="0" w:firstLine="0"/>
        <w:jc w:val="left"/>
        <w:rPr>
          <w:sz w:val="18"/>
        </w:rPr>
      </w:pPr>
      <w:r>
        <w:rPr/>
        <w:pict>
          <v:group style="position:absolute;margin-left:290.709991pt;margin-top:14.481909pt;width:276.5pt;height:1pt;mso-position-horizontal-relative:page;mso-position-vertical-relative:paragraph;z-index:3928;mso-wrap-distance-left:0;mso-wrap-distance-right:0" coordorigin="5814,290" coordsize="5530,20">
            <v:line style="position:absolute" from="5815,291" to="5984,291" stroked="true" strokeweight=".06pt" strokecolor="#000000"/>
            <v:line style="position:absolute" from="5815,292" to="5984,292" stroked="true" strokeweight=".06pt" strokecolor="#000000"/>
            <v:line style="position:absolute" from="5815,293" to="5984,293" stroked="true" strokeweight=".06pt" strokecolor="#000000"/>
            <v:line style="position:absolute" from="5815,294" to="5984,294" stroked="true" strokeweight=".06pt" strokecolor="#000000"/>
            <v:line style="position:absolute" from="5815,295" to="5984,295" stroked="true" strokeweight=".06pt" strokecolor="#000000"/>
            <v:line style="position:absolute" from="5815,297" to="5984,297" stroked="true" strokeweight=".06pt" strokecolor="#000000"/>
            <v:line style="position:absolute" from="5815,298" to="5984,298" stroked="true" strokeweight=".06pt" strokecolor="#000000"/>
            <v:line style="position:absolute" from="5815,299" to="5984,299" stroked="true" strokeweight=".06pt" strokecolor="#000000"/>
            <v:line style="position:absolute" from="5815,300" to="5984,300" stroked="true" strokeweight=".06pt" strokecolor="#000000"/>
            <v:line style="position:absolute" from="5815,301" to="5984,301" stroked="true" strokeweight=".06pt" strokecolor="#000000"/>
            <v:line style="position:absolute" from="5815,303" to="5984,303" stroked="true" strokeweight=".06pt" strokecolor="#000000"/>
            <v:line style="position:absolute" from="5815,304" to="5984,304" stroked="true" strokeweight=".06pt" strokecolor="#000000"/>
            <v:line style="position:absolute" from="5815,305" to="5984,305" stroked="true" strokeweight=".06pt" strokecolor="#000000"/>
            <v:line style="position:absolute" from="5815,306" to="5984,306" stroked="true" strokeweight=".06pt" strokecolor="#000000"/>
            <v:line style="position:absolute" from="5815,307" to="5984,307" stroked="true" strokeweight=".06pt" strokecolor="#000000"/>
            <v:line style="position:absolute" from="5815,309" to="5984,309" stroked="true" strokeweight=".06pt" strokecolor="#000000"/>
            <v:line style="position:absolute" from="5984,291" to="7282,291" stroked="true" strokeweight=".06pt" strokecolor="#000000"/>
            <v:line style="position:absolute" from="5984,292" to="7282,292" stroked="true" strokeweight=".06pt" strokecolor="#000000"/>
            <v:line style="position:absolute" from="5984,293" to="7282,293" stroked="true" strokeweight=".06pt" strokecolor="#000000"/>
            <v:line style="position:absolute" from="5984,294" to="7282,294" stroked="true" strokeweight=".06pt" strokecolor="#000000"/>
            <v:line style="position:absolute" from="5984,295" to="7282,295" stroked="true" strokeweight=".06pt" strokecolor="#000000"/>
            <v:line style="position:absolute" from="5984,297" to="7282,297" stroked="true" strokeweight=".06pt" strokecolor="#000000"/>
            <v:line style="position:absolute" from="5984,298" to="7282,298" stroked="true" strokeweight=".06pt" strokecolor="#000000"/>
            <v:line style="position:absolute" from="5984,299" to="7282,299" stroked="true" strokeweight=".06pt" strokecolor="#000000"/>
            <v:line style="position:absolute" from="5984,300" to="7282,300" stroked="true" strokeweight=".06pt" strokecolor="#000000"/>
            <v:line style="position:absolute" from="5984,301" to="7282,301" stroked="true" strokeweight=".06pt" strokecolor="#000000"/>
            <v:line style="position:absolute" from="5984,303" to="7282,303" stroked="true" strokeweight=".06pt" strokecolor="#000000"/>
            <v:line style="position:absolute" from="5984,304" to="7282,304" stroked="true" strokeweight=".06pt" strokecolor="#000000"/>
            <v:line style="position:absolute" from="5984,305" to="7282,305" stroked="true" strokeweight=".06pt" strokecolor="#000000"/>
            <v:line style="position:absolute" from="5984,306" to="7282,306" stroked="true" strokeweight=".06pt" strokecolor="#000000"/>
            <v:line style="position:absolute" from="5984,307" to="7282,307" stroked="true" strokeweight=".06pt" strokecolor="#000000"/>
            <v:line style="position:absolute" from="5984,309" to="7282,309" stroked="true" strokeweight=".06pt" strokecolor="#000000"/>
            <v:line style="position:absolute" from="7282,291" to="8579,291" stroked="true" strokeweight=".06pt" strokecolor="#000000"/>
            <v:line style="position:absolute" from="7282,292" to="8579,292" stroked="true" strokeweight=".06pt" strokecolor="#000000"/>
            <v:line style="position:absolute" from="7282,293" to="8579,293" stroked="true" strokeweight=".06pt" strokecolor="#000000"/>
            <v:line style="position:absolute" from="7282,294" to="8579,294" stroked="true" strokeweight=".06pt" strokecolor="#000000"/>
            <v:line style="position:absolute" from="7282,295" to="8579,295" stroked="true" strokeweight=".06pt" strokecolor="#000000"/>
            <v:line style="position:absolute" from="7282,297" to="8579,297" stroked="true" strokeweight=".06pt" strokecolor="#000000"/>
            <v:line style="position:absolute" from="7282,298" to="8579,298" stroked="true" strokeweight=".06pt" strokecolor="#000000"/>
            <v:line style="position:absolute" from="7282,299" to="8579,299" stroked="true" strokeweight=".06pt" strokecolor="#000000"/>
            <v:line style="position:absolute" from="7282,300" to="8579,300" stroked="true" strokeweight=".06pt" strokecolor="#000000"/>
            <v:line style="position:absolute" from="7282,301" to="8579,301" stroked="true" strokeweight=".06pt" strokecolor="#000000"/>
            <v:line style="position:absolute" from="7282,303" to="8579,303" stroked="true" strokeweight=".06pt" strokecolor="#000000"/>
            <v:line style="position:absolute" from="7282,304" to="8579,304" stroked="true" strokeweight=".06pt" strokecolor="#000000"/>
            <v:line style="position:absolute" from="7282,305" to="8579,305" stroked="true" strokeweight=".06pt" strokecolor="#000000"/>
            <v:line style="position:absolute" from="7282,306" to="8579,306" stroked="true" strokeweight=".06pt" strokecolor="#000000"/>
            <v:line style="position:absolute" from="7282,307" to="8579,307" stroked="true" strokeweight=".06pt" strokecolor="#000000"/>
            <v:line style="position:absolute" from="7282,309" to="8579,309" stroked="true" strokeweight=".06pt" strokecolor="#000000"/>
            <v:line style="position:absolute" from="8579,291" to="8748,291" stroked="true" strokeweight=".06pt" strokecolor="#000000"/>
            <v:line style="position:absolute" from="8579,292" to="8748,292" stroked="true" strokeweight=".06pt" strokecolor="#000000"/>
            <v:line style="position:absolute" from="8579,293" to="8748,293" stroked="true" strokeweight=".06pt" strokecolor="#000000"/>
            <v:line style="position:absolute" from="8579,294" to="8748,294" stroked="true" strokeweight=".06pt" strokecolor="#000000"/>
            <v:line style="position:absolute" from="8579,295" to="8748,295" stroked="true" strokeweight=".06pt" strokecolor="#000000"/>
            <v:line style="position:absolute" from="8579,297" to="8748,297" stroked="true" strokeweight=".06pt" strokecolor="#000000"/>
            <v:line style="position:absolute" from="8579,298" to="8748,298" stroked="true" strokeweight=".06pt" strokecolor="#000000"/>
            <v:line style="position:absolute" from="8579,299" to="8748,299" stroked="true" strokeweight=".06pt" strokecolor="#000000"/>
            <v:line style="position:absolute" from="8579,300" to="8748,300" stroked="true" strokeweight=".06pt" strokecolor="#000000"/>
            <v:line style="position:absolute" from="8579,301" to="8748,301" stroked="true" strokeweight=".06pt" strokecolor="#000000"/>
            <v:line style="position:absolute" from="8579,303" to="8748,303" stroked="true" strokeweight=".06pt" strokecolor="#000000"/>
            <v:line style="position:absolute" from="8579,304" to="8748,304" stroked="true" strokeweight=".06pt" strokecolor="#000000"/>
            <v:line style="position:absolute" from="8579,305" to="8748,305" stroked="true" strokeweight=".06pt" strokecolor="#000000"/>
            <v:line style="position:absolute" from="8579,306" to="8748,306" stroked="true" strokeweight=".06pt" strokecolor="#000000"/>
            <v:line style="position:absolute" from="8579,307" to="8748,307" stroked="true" strokeweight=".06pt" strokecolor="#000000"/>
            <v:line style="position:absolute" from="8579,309" to="8748,309" stroked="true" strokeweight=".06pt" strokecolor="#000000"/>
            <v:line style="position:absolute" from="8748,291" to="10045,291" stroked="true" strokeweight=".06pt" strokecolor="#000000"/>
            <v:line style="position:absolute" from="8748,292" to="10045,292" stroked="true" strokeweight=".06pt" strokecolor="#000000"/>
            <v:line style="position:absolute" from="8748,293" to="10045,293" stroked="true" strokeweight=".06pt" strokecolor="#000000"/>
            <v:line style="position:absolute" from="8748,294" to="10045,294" stroked="true" strokeweight=".06pt" strokecolor="#000000"/>
            <v:line style="position:absolute" from="8748,295" to="10045,295" stroked="true" strokeweight=".06pt" strokecolor="#000000"/>
            <v:line style="position:absolute" from="8748,297" to="10045,297" stroked="true" strokeweight=".06pt" strokecolor="#000000"/>
            <v:line style="position:absolute" from="8748,298" to="10045,298" stroked="true" strokeweight=".06pt" strokecolor="#000000"/>
            <v:line style="position:absolute" from="8748,299" to="10045,299" stroked="true" strokeweight=".06pt" strokecolor="#000000"/>
            <v:line style="position:absolute" from="8748,300" to="10045,300" stroked="true" strokeweight=".06pt" strokecolor="#000000"/>
            <v:line style="position:absolute" from="8748,301" to="10045,301" stroked="true" strokeweight=".06pt" strokecolor="#000000"/>
            <v:line style="position:absolute" from="8748,303" to="10045,303" stroked="true" strokeweight=".06pt" strokecolor="#000000"/>
            <v:line style="position:absolute" from="8748,304" to="10045,304" stroked="true" strokeweight=".06pt" strokecolor="#000000"/>
            <v:line style="position:absolute" from="8748,305" to="10045,305" stroked="true" strokeweight=".06pt" strokecolor="#000000"/>
            <v:line style="position:absolute" from="8748,306" to="10045,306" stroked="true" strokeweight=".06pt" strokecolor="#000000"/>
            <v:line style="position:absolute" from="8748,307" to="10045,307" stroked="true" strokeweight=".06pt" strokecolor="#000000"/>
            <v:line style="position:absolute" from="8748,309" to="10045,309" stroked="true" strokeweight=".06pt" strokecolor="#000000"/>
            <v:line style="position:absolute" from="10045,291" to="11342,291" stroked="true" strokeweight=".06pt" strokecolor="#000000"/>
            <v:line style="position:absolute" from="10045,292" to="11342,292" stroked="true" strokeweight=".06pt" strokecolor="#000000"/>
            <v:line style="position:absolute" from="10045,293" to="11342,293" stroked="true" strokeweight=".06pt" strokecolor="#000000"/>
            <v:line style="position:absolute" from="10045,294" to="11342,294" stroked="true" strokeweight=".06pt" strokecolor="#000000"/>
            <v:line style="position:absolute" from="10045,295" to="11342,295" stroked="true" strokeweight=".06pt" strokecolor="#000000"/>
            <v:line style="position:absolute" from="10045,297" to="11342,297" stroked="true" strokeweight=".06pt" strokecolor="#000000"/>
            <v:line style="position:absolute" from="10045,298" to="11342,298" stroked="true" strokeweight=".06pt" strokecolor="#000000"/>
            <v:line style="position:absolute" from="10045,299" to="11342,299" stroked="true" strokeweight=".06pt" strokecolor="#000000"/>
            <v:line style="position:absolute" from="10045,300" to="11342,300" stroked="true" strokeweight=".06pt" strokecolor="#000000"/>
            <v:line style="position:absolute" from="10045,301" to="11342,301" stroked="true" strokeweight=".06pt" strokecolor="#000000"/>
            <v:line style="position:absolute" from="10045,303" to="11342,303" stroked="true" strokeweight=".06pt" strokecolor="#000000"/>
            <v:line style="position:absolute" from="10045,304" to="11342,304" stroked="true" strokeweight=".06pt" strokecolor="#000000"/>
            <v:line style="position:absolute" from="10045,305" to="11342,305" stroked="true" strokeweight=".06pt" strokecolor="#000000"/>
            <v:line style="position:absolute" from="10045,306" to="11342,306" stroked="true" strokeweight=".06pt" strokecolor="#000000"/>
            <v:line style="position:absolute" from="10045,307" to="11342,307" stroked="true" strokeweight=".06pt" strokecolor="#000000"/>
            <v:line style="position:absolute" from="10045,309" to="11342,309" stroked="true" strokeweight=".06pt" strokecolor="#000000"/>
            <w10:wrap type="topAndBottom"/>
          </v:group>
        </w:pict>
      </w:r>
      <w:r>
        <w:rPr>
          <w:sz w:val="18"/>
        </w:rPr>
        <w:t>Lease</w:t>
      </w:r>
      <w:r>
        <w:rPr>
          <w:spacing w:val="-6"/>
          <w:sz w:val="18"/>
        </w:rPr>
        <w:t> </w:t>
      </w:r>
      <w:r>
        <w:rPr>
          <w:sz w:val="18"/>
        </w:rPr>
        <w:t>incentives</w:t>
        <w:tab/>
      </w:r>
      <w:r>
        <w:rPr>
          <w:b/>
          <w:sz w:val="18"/>
        </w:rPr>
        <w:t>512</w:t>
        <w:tab/>
      </w:r>
      <w:r>
        <w:rPr>
          <w:sz w:val="18"/>
        </w:rPr>
        <w:t>-</w:t>
        <w:tab/>
      </w:r>
      <w:r>
        <w:rPr>
          <w:b/>
          <w:sz w:val="18"/>
        </w:rPr>
        <w:t>512</w:t>
        <w:tab/>
      </w:r>
      <w:r>
        <w:rPr>
          <w:sz w:val="18"/>
        </w:rPr>
        <w:t>-</w:t>
      </w:r>
    </w:p>
    <w:p>
      <w:pPr>
        <w:pStyle w:val="Heading8"/>
        <w:spacing w:line="207" w:lineRule="exact" w:before="84"/>
        <w:ind w:left="1851"/>
      </w:pPr>
      <w:r>
        <w:rPr/>
        <w:t>Total non-current other non-financial</w:t>
      </w:r>
    </w:p>
    <w:p>
      <w:pPr>
        <w:tabs>
          <w:tab w:pos="5815" w:val="left" w:leader="none"/>
          <w:tab w:pos="6743" w:val="left" w:leader="none"/>
          <w:tab w:pos="8192" w:val="left" w:leader="none"/>
          <w:tab w:pos="9507" w:val="left" w:leader="none"/>
          <w:tab w:pos="10955" w:val="left" w:leader="none"/>
        </w:tabs>
        <w:spacing w:line="207" w:lineRule="exact" w:before="0"/>
        <w:ind w:left="1851" w:right="0" w:firstLine="0"/>
        <w:jc w:val="left"/>
        <w:rPr>
          <w:sz w:val="18"/>
        </w:rPr>
      </w:pPr>
      <w:r>
        <w:rPr>
          <w:b/>
          <w:sz w:val="18"/>
        </w:rPr>
        <w:t>assets</w:t>
        <w:tab/>
      </w:r>
      <w:r>
        <w:rPr>
          <w:rFonts w:ascii="Times New Roman"/>
          <w:sz w:val="18"/>
          <w:u w:val="single"/>
        </w:rPr>
        <w:t> </w:t>
        <w:tab/>
      </w:r>
      <w:r>
        <w:rPr>
          <w:b/>
          <w:sz w:val="18"/>
          <w:u w:val="single"/>
        </w:rPr>
        <w:t>1,002</w:t>
        <w:tab/>
      </w:r>
      <w:r>
        <w:rPr>
          <w:sz w:val="18"/>
          <w:u w:val="single"/>
        </w:rPr>
        <w:t>622</w:t>
        <w:tab/>
      </w:r>
      <w:r>
        <w:rPr>
          <w:b/>
          <w:sz w:val="18"/>
          <w:u w:val="single"/>
        </w:rPr>
        <w:t>1,002</w:t>
        <w:tab/>
      </w:r>
      <w:r>
        <w:rPr>
          <w:sz w:val="18"/>
          <w:u w:val="single"/>
        </w:rPr>
        <w:t>622</w:t>
      </w:r>
    </w:p>
    <w:p>
      <w:pPr>
        <w:pStyle w:val="Heading8"/>
        <w:tabs>
          <w:tab w:pos="6743" w:val="left" w:leader="none"/>
          <w:tab w:pos="8192" w:val="left" w:leader="none"/>
          <w:tab w:pos="9507" w:val="left" w:leader="none"/>
          <w:tab w:pos="11254" w:val="right" w:leader="none"/>
        </w:tabs>
        <w:spacing w:before="48"/>
        <w:ind w:left="1851"/>
        <w:rPr>
          <w:b w:val="0"/>
        </w:rPr>
      </w:pPr>
      <w:r>
        <w:rPr/>
        <w:pict>
          <v:group style="position:absolute;margin-left:290.709991pt;margin-top:14.031885pt;width:276.5pt;height:2.5pt;mso-position-horizontal-relative:page;mso-position-vertical-relative:paragraph;z-index:3952;mso-wrap-distance-left:0;mso-wrap-distance-right:0" coordorigin="5814,281" coordsize="5530,50">
            <v:line style="position:absolute" from="5815,282" to="5984,282" stroked="true" strokeweight=".06pt" strokecolor="#000000"/>
            <v:line style="position:absolute" from="5815,283" to="5984,283" stroked="true" strokeweight=".06pt" strokecolor="#000000"/>
            <v:line style="position:absolute" from="5815,284" to="5984,284" stroked="true" strokeweight=".06pt" strokecolor="#000000"/>
            <v:line style="position:absolute" from="5815,285" to="5984,285" stroked="true" strokeweight=".06pt" strokecolor="#000000"/>
            <v:line style="position:absolute" from="5815,286" to="5984,286" stroked="true" strokeweight=".06pt" strokecolor="#000000"/>
            <v:line style="position:absolute" from="5815,288" to="5984,288" stroked="true" strokeweight=".06pt" strokecolor="#000000"/>
            <v:line style="position:absolute" from="5815,289" to="5984,289" stroked="true" strokeweight=".06pt" strokecolor="#000000"/>
            <v:line style="position:absolute" from="5815,290" to="5984,290" stroked="true" strokeweight=".06pt" strokecolor="#000000"/>
            <v:line style="position:absolute" from="5815,291" to="5984,291" stroked="true" strokeweight=".06pt" strokecolor="#000000"/>
            <v:line style="position:absolute" from="5815,292" to="5984,292" stroked="true" strokeweight=".06pt" strokecolor="#000000"/>
            <v:line style="position:absolute" from="5815,294" to="5984,294" stroked="true" strokeweight=".06pt" strokecolor="#000000"/>
            <v:line style="position:absolute" from="5815,295" to="5984,295" stroked="true" strokeweight=".06pt" strokecolor="#000000"/>
            <v:line style="position:absolute" from="5815,296" to="5984,296" stroked="true" strokeweight=".06pt" strokecolor="#000000"/>
            <v:line style="position:absolute" from="5815,315" to="5984,315" stroked="true" strokeweight=".06pt" strokecolor="#000000"/>
            <v:line style="position:absolute" from="5815,316" to="5984,316" stroked="true" strokeweight=".06pt" strokecolor="#000000"/>
            <v:line style="position:absolute" from="5815,318" to="5984,318" stroked="true" strokeweight=".06pt" strokecolor="#000000"/>
            <v:line style="position:absolute" from="5815,319" to="5984,319" stroked="true" strokeweight=".06pt" strokecolor="#000000"/>
            <v:line style="position:absolute" from="5815,320" to="5984,320" stroked="true" strokeweight=".06pt" strokecolor="#000000"/>
            <v:line style="position:absolute" from="5815,321" to="5984,321" stroked="true" strokeweight=".06pt" strokecolor="#000000"/>
            <v:line style="position:absolute" from="5815,322" to="5984,322" stroked="true" strokeweight=".06pt" strokecolor="#000000"/>
            <v:line style="position:absolute" from="5815,324" to="5984,324" stroked="true" strokeweight=".06pt" strokecolor="#000000"/>
            <v:line style="position:absolute" from="5815,325" to="5984,325" stroked="true" strokeweight=".06pt" strokecolor="#000000"/>
            <v:line style="position:absolute" from="5815,326" to="5984,326" stroked="true" strokeweight=".06pt" strokecolor="#000000"/>
            <v:line style="position:absolute" from="5815,327" to="5984,327" stroked="true" strokeweight=".06pt" strokecolor="#000000"/>
            <v:line style="position:absolute" from="5815,328" to="5984,328" stroked="true" strokeweight=".06pt" strokecolor="#000000"/>
            <v:line style="position:absolute" from="5815,330" to="5984,330" stroked="true" strokeweight=".06pt" strokecolor="#000000"/>
            <v:line style="position:absolute" from="5984,282" to="7282,282" stroked="true" strokeweight=".06pt" strokecolor="#000000"/>
            <v:line style="position:absolute" from="5984,283" to="7282,283" stroked="true" strokeweight=".06pt" strokecolor="#000000"/>
            <v:line style="position:absolute" from="5984,284" to="7282,284" stroked="true" strokeweight=".06pt" strokecolor="#000000"/>
            <v:line style="position:absolute" from="5984,285" to="7282,285" stroked="true" strokeweight=".06pt" strokecolor="#000000"/>
            <v:line style="position:absolute" from="5984,286" to="7282,286" stroked="true" strokeweight=".06pt" strokecolor="#000000"/>
            <v:line style="position:absolute" from="5984,288" to="7282,288" stroked="true" strokeweight=".06pt" strokecolor="#000000"/>
            <v:line style="position:absolute" from="5984,289" to="7282,289" stroked="true" strokeweight=".06pt" strokecolor="#000000"/>
            <v:line style="position:absolute" from="5984,290" to="7282,290" stroked="true" strokeweight=".06pt" strokecolor="#000000"/>
            <v:line style="position:absolute" from="5984,291" to="7282,291" stroked="true" strokeweight=".06pt" strokecolor="#000000"/>
            <v:line style="position:absolute" from="5984,292" to="7282,292" stroked="true" strokeweight=".06pt" strokecolor="#000000"/>
            <v:line style="position:absolute" from="5984,294" to="7282,294" stroked="true" strokeweight=".06pt" strokecolor="#000000"/>
            <v:line style="position:absolute" from="5984,295" to="7282,295" stroked="true" strokeweight=".06pt" strokecolor="#000000"/>
            <v:line style="position:absolute" from="5984,296" to="7282,296" stroked="true" strokeweight=".06pt" strokecolor="#000000"/>
            <v:line style="position:absolute" from="5984,315" to="7282,315" stroked="true" strokeweight=".06pt" strokecolor="#000000"/>
            <v:line style="position:absolute" from="5984,316" to="7282,316" stroked="true" strokeweight=".06pt" strokecolor="#000000"/>
            <v:line style="position:absolute" from="5984,318" to="7282,318" stroked="true" strokeweight=".06pt" strokecolor="#000000"/>
            <v:line style="position:absolute" from="5984,319" to="7282,319" stroked="true" strokeweight=".06pt" strokecolor="#000000"/>
            <v:line style="position:absolute" from="5984,320" to="7282,320" stroked="true" strokeweight=".06pt" strokecolor="#000000"/>
            <v:line style="position:absolute" from="5984,321" to="7282,321" stroked="true" strokeweight=".06pt" strokecolor="#000000"/>
            <v:line style="position:absolute" from="5984,322" to="7282,322" stroked="true" strokeweight=".06pt" strokecolor="#000000"/>
            <v:line style="position:absolute" from="5984,324" to="7282,324" stroked="true" strokeweight=".06pt" strokecolor="#000000"/>
            <v:line style="position:absolute" from="5984,325" to="7282,325" stroked="true" strokeweight=".06pt" strokecolor="#000000"/>
            <v:line style="position:absolute" from="5984,326" to="7282,326" stroked="true" strokeweight=".06pt" strokecolor="#000000"/>
            <v:line style="position:absolute" from="5984,327" to="7282,327" stroked="true" strokeweight=".06pt" strokecolor="#000000"/>
            <v:line style="position:absolute" from="5984,328" to="7282,328" stroked="true" strokeweight=".06pt" strokecolor="#000000"/>
            <v:line style="position:absolute" from="5984,330" to="7282,330" stroked="true" strokeweight=".06pt" strokecolor="#000000"/>
            <v:line style="position:absolute" from="7282,282" to="8579,282" stroked="true" strokeweight=".06pt" strokecolor="#000000"/>
            <v:line style="position:absolute" from="7282,283" to="8579,283" stroked="true" strokeweight=".06pt" strokecolor="#000000"/>
            <v:line style="position:absolute" from="7282,284" to="8579,284" stroked="true" strokeweight=".06pt" strokecolor="#000000"/>
            <v:line style="position:absolute" from="7282,285" to="8579,285" stroked="true" strokeweight=".06pt" strokecolor="#000000"/>
            <v:line style="position:absolute" from="7282,286" to="8579,286" stroked="true" strokeweight=".06pt" strokecolor="#000000"/>
            <v:line style="position:absolute" from="7282,288" to="8579,288" stroked="true" strokeweight=".06pt" strokecolor="#000000"/>
            <v:line style="position:absolute" from="7282,289" to="8579,289" stroked="true" strokeweight=".06pt" strokecolor="#000000"/>
            <v:line style="position:absolute" from="7282,290" to="8579,290" stroked="true" strokeweight=".06pt" strokecolor="#000000"/>
            <v:line style="position:absolute" from="7282,291" to="8579,291" stroked="true" strokeweight=".06pt" strokecolor="#000000"/>
            <v:line style="position:absolute" from="7282,292" to="8579,292" stroked="true" strokeweight=".06pt" strokecolor="#000000"/>
            <v:line style="position:absolute" from="7282,294" to="8579,294" stroked="true" strokeweight=".06pt" strokecolor="#000000"/>
            <v:line style="position:absolute" from="7282,295" to="8579,295" stroked="true" strokeweight=".06pt" strokecolor="#000000"/>
            <v:line style="position:absolute" from="7282,296" to="8579,296" stroked="true" strokeweight=".06pt" strokecolor="#000000"/>
            <v:line style="position:absolute" from="7282,315" to="8579,315" stroked="true" strokeweight=".06pt" strokecolor="#000000"/>
            <v:line style="position:absolute" from="7282,316" to="8579,316" stroked="true" strokeweight=".06pt" strokecolor="#000000"/>
            <v:line style="position:absolute" from="7282,318" to="8579,318" stroked="true" strokeweight=".06pt" strokecolor="#000000"/>
            <v:line style="position:absolute" from="7282,319" to="8579,319" stroked="true" strokeweight=".06pt" strokecolor="#000000"/>
            <v:line style="position:absolute" from="7282,320" to="8579,320" stroked="true" strokeweight=".06pt" strokecolor="#000000"/>
            <v:line style="position:absolute" from="7282,321" to="8579,321" stroked="true" strokeweight=".06pt" strokecolor="#000000"/>
            <v:line style="position:absolute" from="7282,322" to="8579,322" stroked="true" strokeweight=".06pt" strokecolor="#000000"/>
            <v:line style="position:absolute" from="7282,324" to="8579,324" stroked="true" strokeweight=".06pt" strokecolor="#000000"/>
            <v:line style="position:absolute" from="7282,325" to="8579,325" stroked="true" strokeweight=".06pt" strokecolor="#000000"/>
            <v:line style="position:absolute" from="7282,326" to="8579,326" stroked="true" strokeweight=".06pt" strokecolor="#000000"/>
            <v:line style="position:absolute" from="7282,327" to="8579,327" stroked="true" strokeweight=".06pt" strokecolor="#000000"/>
            <v:line style="position:absolute" from="7282,328" to="8579,328" stroked="true" strokeweight=".06pt" strokecolor="#000000"/>
            <v:line style="position:absolute" from="7282,330" to="8579,330" stroked="true" strokeweight=".06pt" strokecolor="#000000"/>
            <v:line style="position:absolute" from="8579,282" to="8748,282" stroked="true" strokeweight=".06pt" strokecolor="#000000"/>
            <v:line style="position:absolute" from="8579,283" to="8748,283" stroked="true" strokeweight=".06pt" strokecolor="#000000"/>
            <v:line style="position:absolute" from="8579,284" to="8748,284" stroked="true" strokeweight=".06pt" strokecolor="#000000"/>
            <v:line style="position:absolute" from="8579,285" to="8748,285" stroked="true" strokeweight=".06pt" strokecolor="#000000"/>
            <v:line style="position:absolute" from="8579,286" to="8748,286" stroked="true" strokeweight=".06pt" strokecolor="#000000"/>
            <v:line style="position:absolute" from="8579,288" to="8748,288" stroked="true" strokeweight=".06pt" strokecolor="#000000"/>
            <v:line style="position:absolute" from="8579,289" to="8748,289" stroked="true" strokeweight=".06pt" strokecolor="#000000"/>
            <v:line style="position:absolute" from="8579,290" to="8748,290" stroked="true" strokeweight=".06pt" strokecolor="#000000"/>
            <v:line style="position:absolute" from="8579,291" to="8748,291" stroked="true" strokeweight=".06pt" strokecolor="#000000"/>
            <v:line style="position:absolute" from="8579,292" to="8748,292" stroked="true" strokeweight=".06pt" strokecolor="#000000"/>
            <v:line style="position:absolute" from="8579,294" to="8748,294" stroked="true" strokeweight=".06pt" strokecolor="#000000"/>
            <v:line style="position:absolute" from="8579,295" to="8748,295" stroked="true" strokeweight=".06pt" strokecolor="#000000"/>
            <v:line style="position:absolute" from="8579,296" to="8748,296" stroked="true" strokeweight=".06pt" strokecolor="#000000"/>
            <v:line style="position:absolute" from="8579,315" to="8748,315" stroked="true" strokeweight=".06pt" strokecolor="#000000"/>
            <v:line style="position:absolute" from="8579,316" to="8748,316" stroked="true" strokeweight=".06pt" strokecolor="#000000"/>
            <v:line style="position:absolute" from="8579,318" to="8748,318" stroked="true" strokeweight=".06pt" strokecolor="#000000"/>
            <v:line style="position:absolute" from="8579,319" to="8748,319" stroked="true" strokeweight=".06pt" strokecolor="#000000"/>
            <v:line style="position:absolute" from="8579,320" to="8748,320" stroked="true" strokeweight=".06pt" strokecolor="#000000"/>
            <v:line style="position:absolute" from="8579,321" to="8748,321" stroked="true" strokeweight=".06pt" strokecolor="#000000"/>
            <v:line style="position:absolute" from="8579,322" to="8748,322" stroked="true" strokeweight=".06pt" strokecolor="#000000"/>
            <v:line style="position:absolute" from="8579,324" to="8748,324" stroked="true" strokeweight=".06pt" strokecolor="#000000"/>
            <v:line style="position:absolute" from="8579,325" to="8748,325" stroked="true" strokeweight=".06pt" strokecolor="#000000"/>
            <v:line style="position:absolute" from="8579,326" to="8748,326" stroked="true" strokeweight=".06pt" strokecolor="#000000"/>
            <v:line style="position:absolute" from="8579,327" to="8748,327" stroked="true" strokeweight=".06pt" strokecolor="#000000"/>
            <v:line style="position:absolute" from="8579,328" to="8748,328" stroked="true" strokeweight=".06pt" strokecolor="#000000"/>
            <v:line style="position:absolute" from="8579,330" to="8748,330" stroked="true" strokeweight=".06pt" strokecolor="#000000"/>
            <v:line style="position:absolute" from="8748,282" to="10045,282" stroked="true" strokeweight=".06pt" strokecolor="#000000"/>
            <v:line style="position:absolute" from="8748,283" to="10045,283" stroked="true" strokeweight=".06pt" strokecolor="#000000"/>
            <v:line style="position:absolute" from="8748,284" to="10045,284" stroked="true" strokeweight=".06pt" strokecolor="#000000"/>
            <v:line style="position:absolute" from="8748,285" to="10045,285" stroked="true" strokeweight=".06pt" strokecolor="#000000"/>
            <v:line style="position:absolute" from="8748,286" to="10045,286" stroked="true" strokeweight=".06pt" strokecolor="#000000"/>
            <v:line style="position:absolute" from="8748,288" to="10045,288" stroked="true" strokeweight=".06pt" strokecolor="#000000"/>
            <v:line style="position:absolute" from="8748,289" to="10045,289" stroked="true" strokeweight=".06pt" strokecolor="#000000"/>
            <v:line style="position:absolute" from="8748,290" to="10045,290" stroked="true" strokeweight=".06pt" strokecolor="#000000"/>
            <v:line style="position:absolute" from="8748,291" to="10045,291" stroked="true" strokeweight=".06pt" strokecolor="#000000"/>
            <v:line style="position:absolute" from="8748,292" to="10045,292" stroked="true" strokeweight=".06pt" strokecolor="#000000"/>
            <v:line style="position:absolute" from="8748,294" to="10045,294" stroked="true" strokeweight=".06pt" strokecolor="#000000"/>
            <v:line style="position:absolute" from="8748,295" to="10045,295" stroked="true" strokeweight=".06pt" strokecolor="#000000"/>
            <v:line style="position:absolute" from="8748,296" to="10045,296" stroked="true" strokeweight=".06pt" strokecolor="#000000"/>
            <v:line style="position:absolute" from="8748,315" to="10045,315" stroked="true" strokeweight=".06pt" strokecolor="#000000"/>
            <v:line style="position:absolute" from="8748,316" to="10045,316" stroked="true" strokeweight=".06pt" strokecolor="#000000"/>
            <v:line style="position:absolute" from="8748,318" to="10045,318" stroked="true" strokeweight=".06pt" strokecolor="#000000"/>
            <v:line style="position:absolute" from="8748,319" to="10045,319" stroked="true" strokeweight=".06pt" strokecolor="#000000"/>
            <v:line style="position:absolute" from="8748,320" to="10045,320" stroked="true" strokeweight=".06pt" strokecolor="#000000"/>
            <v:line style="position:absolute" from="8748,321" to="10045,321" stroked="true" strokeweight=".06pt" strokecolor="#000000"/>
            <v:line style="position:absolute" from="8748,322" to="10045,322" stroked="true" strokeweight=".06pt" strokecolor="#000000"/>
            <v:line style="position:absolute" from="8748,324" to="10045,324" stroked="true" strokeweight=".06pt" strokecolor="#000000"/>
            <v:line style="position:absolute" from="8748,325" to="10045,325" stroked="true" strokeweight=".06pt" strokecolor="#000000"/>
            <v:line style="position:absolute" from="8748,326" to="10045,326" stroked="true" strokeweight=".06pt" strokecolor="#000000"/>
            <v:line style="position:absolute" from="8748,327" to="10045,327" stroked="true" strokeweight=".06pt" strokecolor="#000000"/>
            <v:line style="position:absolute" from="8748,328" to="10045,328" stroked="true" strokeweight=".06pt" strokecolor="#000000"/>
            <v:line style="position:absolute" from="8748,330" to="10045,330" stroked="true" strokeweight=".06pt" strokecolor="#000000"/>
            <v:line style="position:absolute" from="10045,282" to="11342,282" stroked="true" strokeweight=".06pt" strokecolor="#000000"/>
            <v:line style="position:absolute" from="10045,283" to="11342,283" stroked="true" strokeweight=".06pt" strokecolor="#000000"/>
            <v:line style="position:absolute" from="10045,284" to="11342,284" stroked="true" strokeweight=".06pt" strokecolor="#000000"/>
            <v:line style="position:absolute" from="10045,285" to="11342,285" stroked="true" strokeweight=".06pt" strokecolor="#000000"/>
            <v:line style="position:absolute" from="10045,286" to="11342,286" stroked="true" strokeweight=".06pt" strokecolor="#000000"/>
            <v:line style="position:absolute" from="10045,288" to="11342,288" stroked="true" strokeweight=".06pt" strokecolor="#000000"/>
            <v:line style="position:absolute" from="10045,289" to="11342,289" stroked="true" strokeweight=".06pt" strokecolor="#000000"/>
            <v:line style="position:absolute" from="10045,290" to="11342,290" stroked="true" strokeweight=".06pt" strokecolor="#000000"/>
            <v:line style="position:absolute" from="10045,291" to="11342,291" stroked="true" strokeweight=".06pt" strokecolor="#000000"/>
            <v:line style="position:absolute" from="10045,292" to="11342,292" stroked="true" strokeweight=".06pt" strokecolor="#000000"/>
            <v:line style="position:absolute" from="10045,294" to="11342,294" stroked="true" strokeweight=".06pt" strokecolor="#000000"/>
            <v:line style="position:absolute" from="10045,295" to="11342,295" stroked="true" strokeweight=".06pt" strokecolor="#000000"/>
            <v:line style="position:absolute" from="10045,296" to="11342,296" stroked="true" strokeweight=".06pt" strokecolor="#000000"/>
            <v:line style="position:absolute" from="10045,315" to="11342,315" stroked="true" strokeweight=".06pt" strokecolor="#000000"/>
            <v:line style="position:absolute" from="10045,316" to="11342,316" stroked="true" strokeweight=".06pt" strokecolor="#000000"/>
            <v:line style="position:absolute" from="10045,318" to="11342,318" stroked="true" strokeweight=".06pt" strokecolor="#000000"/>
            <v:line style="position:absolute" from="10045,319" to="11342,319" stroked="true" strokeweight=".06pt" strokecolor="#000000"/>
            <v:line style="position:absolute" from="10045,320" to="11342,320" stroked="true" strokeweight=".06pt" strokecolor="#000000"/>
            <v:line style="position:absolute" from="10045,321" to="11342,321" stroked="true" strokeweight=".06pt" strokecolor="#000000"/>
            <v:line style="position:absolute" from="10045,322" to="11342,322" stroked="true" strokeweight=".06pt" strokecolor="#000000"/>
            <v:line style="position:absolute" from="10045,324" to="11342,324" stroked="true" strokeweight=".06pt" strokecolor="#000000"/>
            <v:line style="position:absolute" from="10045,325" to="11342,325" stroked="true" strokeweight=".06pt" strokecolor="#000000"/>
            <v:line style="position:absolute" from="10045,326" to="11342,326" stroked="true" strokeweight=".06pt" strokecolor="#000000"/>
            <v:line style="position:absolute" from="10045,327" to="11342,327" stroked="true" strokeweight=".06pt" strokecolor="#000000"/>
            <v:line style="position:absolute" from="10045,328" to="11342,328" stroked="true" strokeweight=".06pt" strokecolor="#000000"/>
            <v:line style="position:absolute" from="10045,330" to="11342,330" stroked="true" strokeweight=".06pt" strokecolor="#000000"/>
            <w10:wrap type="topAndBottom"/>
          </v:group>
        </w:pict>
      </w:r>
      <w:r>
        <w:rPr/>
        <w:t>Total other non-financial assets</w:t>
        <w:tab/>
        <w:t>1,246</w:t>
        <w:tab/>
      </w:r>
      <w:r>
        <w:rPr>
          <w:b w:val="0"/>
        </w:rPr>
        <w:t>776</w:t>
        <w:tab/>
      </w:r>
      <w:r>
        <w:rPr/>
        <w:t>1,246</w:t>
      </w:r>
      <w:r>
        <w:rPr>
          <w:rFonts w:ascii="Times New Roman"/>
          <w:b w:val="0"/>
        </w:rPr>
        <w:tab/>
      </w:r>
      <w:r>
        <w:rPr>
          <w:b w:val="0"/>
        </w:rPr>
        <w:t>776</w:t>
      </w:r>
    </w:p>
    <w:p>
      <w:pPr>
        <w:spacing w:after="0"/>
        <w:sectPr>
          <w:type w:val="continuous"/>
          <w:pgSz w:w="12750" w:h="17680"/>
          <w:pgMar w:top="1660" w:bottom="0" w:left="0" w:right="0"/>
        </w:sectPr>
      </w:pPr>
    </w:p>
    <w:p>
      <w:pPr>
        <w:pStyle w:val="BodyText"/>
        <w:rPr>
          <w:sz w:val="20"/>
        </w:rPr>
      </w:pPr>
    </w:p>
    <w:p>
      <w:pPr>
        <w:pStyle w:val="BodyText"/>
        <w:rPr>
          <w:sz w:val="20"/>
        </w:rPr>
      </w:pPr>
    </w:p>
    <w:p>
      <w:pPr>
        <w:pStyle w:val="BodyText"/>
        <w:spacing w:before="8"/>
        <w:rPr>
          <w:sz w:val="11"/>
        </w:rPr>
      </w:pPr>
    </w:p>
    <w:tbl>
      <w:tblPr>
        <w:tblW w:w="0" w:type="auto"/>
        <w:jc w:val="left"/>
        <w:tblInd w:w="139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33"/>
        <w:gridCol w:w="4088"/>
        <w:gridCol w:w="3048"/>
        <w:gridCol w:w="1487"/>
        <w:gridCol w:w="993"/>
      </w:tblGrid>
      <w:tr>
        <w:trPr>
          <w:trHeight w:val="567" w:hRule="exact"/>
        </w:trPr>
        <w:tc>
          <w:tcPr>
            <w:tcW w:w="333" w:type="dxa"/>
          </w:tcPr>
          <w:p>
            <w:pPr>
              <w:pStyle w:val="TableParagraph"/>
              <w:spacing w:before="77"/>
              <w:ind w:left="35"/>
              <w:jc w:val="left"/>
              <w:rPr>
                <w:b/>
                <w:sz w:val="18"/>
              </w:rPr>
            </w:pPr>
            <w:bookmarkStart w:name="25 Trade and other payables" w:id="96"/>
            <w:bookmarkEnd w:id="96"/>
            <w:r>
              <w:rPr/>
            </w:r>
            <w:r>
              <w:rPr>
                <w:b/>
                <w:sz w:val="18"/>
              </w:rPr>
              <w:t>25</w:t>
            </w:r>
          </w:p>
        </w:tc>
        <w:tc>
          <w:tcPr>
            <w:tcW w:w="4088" w:type="dxa"/>
          </w:tcPr>
          <w:p>
            <w:pPr>
              <w:pStyle w:val="TableParagraph"/>
              <w:spacing w:before="77"/>
              <w:ind w:left="98" w:right="124"/>
              <w:jc w:val="left"/>
              <w:rPr>
                <w:b/>
                <w:sz w:val="18"/>
              </w:rPr>
            </w:pPr>
            <w:r>
              <w:rPr>
                <w:b/>
                <w:sz w:val="18"/>
              </w:rPr>
              <w:t>Trade and other payables</w:t>
            </w:r>
          </w:p>
        </w:tc>
        <w:tc>
          <w:tcPr>
            <w:tcW w:w="3048" w:type="dxa"/>
          </w:tcPr>
          <w:p>
            <w:pPr>
              <w:pStyle w:val="TableParagraph"/>
              <w:jc w:val="left"/>
              <w:rPr>
                <w:sz w:val="18"/>
              </w:rPr>
            </w:pPr>
          </w:p>
          <w:p>
            <w:pPr>
              <w:pStyle w:val="TableParagraph"/>
              <w:spacing w:before="110"/>
              <w:ind w:left="812"/>
              <w:jc w:val="left"/>
              <w:rPr>
                <w:b/>
                <w:sz w:val="18"/>
              </w:rPr>
            </w:pPr>
            <w:r>
              <w:rPr>
                <w:b/>
                <w:sz w:val="18"/>
              </w:rPr>
              <w:t>Consolidated</w:t>
            </w:r>
          </w:p>
        </w:tc>
        <w:tc>
          <w:tcPr>
            <w:tcW w:w="1487" w:type="dxa"/>
          </w:tcPr>
          <w:p>
            <w:pPr>
              <w:pStyle w:val="TableParagraph"/>
              <w:jc w:val="left"/>
              <w:rPr>
                <w:sz w:val="18"/>
              </w:rPr>
            </w:pPr>
          </w:p>
          <w:p>
            <w:pPr>
              <w:pStyle w:val="TableParagraph"/>
              <w:spacing w:before="110"/>
              <w:ind w:left="818"/>
              <w:jc w:val="left"/>
              <w:rPr>
                <w:b/>
                <w:sz w:val="18"/>
              </w:rPr>
            </w:pPr>
            <w:r>
              <w:rPr>
                <w:b/>
                <w:sz w:val="18"/>
              </w:rPr>
              <w:t>Parent</w:t>
            </w:r>
          </w:p>
        </w:tc>
        <w:tc>
          <w:tcPr>
            <w:tcW w:w="993" w:type="dxa"/>
          </w:tcPr>
          <w:p>
            <w:pPr/>
          </w:p>
        </w:tc>
      </w:tr>
      <w:tr>
        <w:trPr>
          <w:trHeight w:val="274" w:hRule="exact"/>
        </w:trPr>
        <w:tc>
          <w:tcPr>
            <w:tcW w:w="333" w:type="dxa"/>
          </w:tcPr>
          <w:p>
            <w:pPr/>
          </w:p>
        </w:tc>
        <w:tc>
          <w:tcPr>
            <w:tcW w:w="4088" w:type="dxa"/>
          </w:tcPr>
          <w:p>
            <w:pPr/>
          </w:p>
        </w:tc>
        <w:tc>
          <w:tcPr>
            <w:tcW w:w="3048" w:type="dxa"/>
          </w:tcPr>
          <w:p>
            <w:pPr>
              <w:pStyle w:val="TableParagraph"/>
              <w:tabs>
                <w:tab w:pos="1901" w:val="left" w:leader="none"/>
              </w:tabs>
              <w:spacing w:before="24"/>
              <w:ind w:left="617"/>
              <w:jc w:val="left"/>
              <w:rPr>
                <w:b/>
                <w:sz w:val="18"/>
              </w:rPr>
            </w:pPr>
            <w:r>
              <w:rPr>
                <w:b/>
                <w:sz w:val="18"/>
              </w:rPr>
              <w:t>2016</w:t>
              <w:tab/>
              <w:t>2015</w:t>
            </w:r>
          </w:p>
        </w:tc>
        <w:tc>
          <w:tcPr>
            <w:tcW w:w="1487" w:type="dxa"/>
          </w:tcPr>
          <w:p>
            <w:pPr>
              <w:pStyle w:val="TableParagraph"/>
              <w:spacing w:before="24"/>
              <w:ind w:left="333"/>
              <w:jc w:val="left"/>
              <w:rPr>
                <w:b/>
                <w:sz w:val="18"/>
              </w:rPr>
            </w:pPr>
            <w:r>
              <w:rPr>
                <w:b/>
                <w:sz w:val="18"/>
              </w:rPr>
              <w:t>2016</w:t>
            </w:r>
          </w:p>
        </w:tc>
        <w:tc>
          <w:tcPr>
            <w:tcW w:w="993" w:type="dxa"/>
          </w:tcPr>
          <w:p>
            <w:pPr>
              <w:pStyle w:val="TableParagraph"/>
              <w:spacing w:before="24"/>
              <w:ind w:left="130"/>
              <w:jc w:val="left"/>
              <w:rPr>
                <w:b/>
                <w:sz w:val="18"/>
              </w:rPr>
            </w:pPr>
            <w:r>
              <w:rPr>
                <w:b/>
                <w:sz w:val="18"/>
              </w:rPr>
              <w:t>2015</w:t>
            </w:r>
          </w:p>
        </w:tc>
      </w:tr>
      <w:tr>
        <w:trPr>
          <w:trHeight w:val="313" w:hRule="exact"/>
        </w:trPr>
        <w:tc>
          <w:tcPr>
            <w:tcW w:w="333" w:type="dxa"/>
          </w:tcPr>
          <w:p>
            <w:pPr/>
          </w:p>
        </w:tc>
        <w:tc>
          <w:tcPr>
            <w:tcW w:w="4088" w:type="dxa"/>
          </w:tcPr>
          <w:p>
            <w:pPr/>
          </w:p>
        </w:tc>
        <w:tc>
          <w:tcPr>
            <w:tcW w:w="3048" w:type="dxa"/>
          </w:tcPr>
          <w:p>
            <w:pPr>
              <w:pStyle w:val="TableParagraph"/>
              <w:tabs>
                <w:tab w:pos="1880" w:val="left" w:leader="none"/>
              </w:tabs>
              <w:spacing w:before="24"/>
              <w:ind w:left="596"/>
              <w:jc w:val="left"/>
              <w:rPr>
                <w:b/>
                <w:sz w:val="18"/>
              </w:rPr>
            </w:pPr>
            <w:r>
              <w:rPr>
                <w:b/>
                <w:sz w:val="18"/>
              </w:rPr>
              <w:t>$'000</w:t>
              <w:tab/>
              <w:t>$'000</w:t>
            </w:r>
          </w:p>
        </w:tc>
        <w:tc>
          <w:tcPr>
            <w:tcW w:w="1487" w:type="dxa"/>
          </w:tcPr>
          <w:p>
            <w:pPr>
              <w:pStyle w:val="TableParagraph"/>
              <w:spacing w:before="24"/>
              <w:ind w:left="312"/>
              <w:jc w:val="left"/>
              <w:rPr>
                <w:b/>
                <w:sz w:val="18"/>
              </w:rPr>
            </w:pPr>
            <w:r>
              <w:rPr>
                <w:b/>
                <w:sz w:val="18"/>
              </w:rPr>
              <w:t>$'000</w:t>
            </w:r>
          </w:p>
        </w:tc>
        <w:tc>
          <w:tcPr>
            <w:tcW w:w="993" w:type="dxa"/>
          </w:tcPr>
          <w:p>
            <w:pPr>
              <w:pStyle w:val="TableParagraph"/>
              <w:spacing w:before="24"/>
              <w:ind w:left="109"/>
              <w:jc w:val="left"/>
              <w:rPr>
                <w:b/>
                <w:sz w:val="18"/>
              </w:rPr>
            </w:pPr>
            <w:r>
              <w:rPr>
                <w:b/>
                <w:sz w:val="18"/>
              </w:rPr>
              <w:t>$'000</w:t>
            </w:r>
          </w:p>
        </w:tc>
      </w:tr>
      <w:tr>
        <w:trPr>
          <w:trHeight w:val="543" w:hRule="exact"/>
        </w:trPr>
        <w:tc>
          <w:tcPr>
            <w:tcW w:w="333" w:type="dxa"/>
          </w:tcPr>
          <w:p>
            <w:pPr/>
          </w:p>
        </w:tc>
        <w:tc>
          <w:tcPr>
            <w:tcW w:w="4088" w:type="dxa"/>
          </w:tcPr>
          <w:p>
            <w:pPr>
              <w:pStyle w:val="TableParagraph"/>
              <w:spacing w:before="63"/>
              <w:ind w:left="98" w:right="124"/>
              <w:jc w:val="left"/>
              <w:rPr>
                <w:b/>
                <w:sz w:val="18"/>
              </w:rPr>
            </w:pPr>
            <w:r>
              <w:rPr>
                <w:b/>
                <w:sz w:val="18"/>
              </w:rPr>
              <w:t>Current</w:t>
            </w:r>
          </w:p>
          <w:p>
            <w:pPr>
              <w:pStyle w:val="TableParagraph"/>
              <w:spacing w:before="27"/>
              <w:ind w:left="98" w:right="124"/>
              <w:jc w:val="left"/>
              <w:rPr>
                <w:sz w:val="18"/>
              </w:rPr>
            </w:pPr>
            <w:r>
              <w:rPr>
                <w:sz w:val="18"/>
              </w:rPr>
              <w:t>Payables</w:t>
            </w:r>
          </w:p>
        </w:tc>
        <w:tc>
          <w:tcPr>
            <w:tcW w:w="3048" w:type="dxa"/>
          </w:tcPr>
          <w:p>
            <w:pPr>
              <w:pStyle w:val="TableParagraph"/>
              <w:spacing w:before="11"/>
              <w:jc w:val="left"/>
              <w:rPr>
                <w:sz w:val="25"/>
              </w:rPr>
            </w:pPr>
          </w:p>
          <w:p>
            <w:pPr>
              <w:pStyle w:val="TableParagraph"/>
              <w:tabs>
                <w:tab w:pos="1298" w:val="left" w:leader="none"/>
              </w:tabs>
              <w:ind w:right="369"/>
              <w:rPr>
                <w:sz w:val="18"/>
              </w:rPr>
            </w:pPr>
            <w:r>
              <w:rPr>
                <w:b/>
                <w:sz w:val="18"/>
              </w:rPr>
              <w:t>47,373</w:t>
              <w:tab/>
            </w:r>
            <w:r>
              <w:rPr>
                <w:spacing w:val="-1"/>
                <w:w w:val="95"/>
                <w:sz w:val="18"/>
              </w:rPr>
              <w:t>58,771</w:t>
            </w:r>
          </w:p>
        </w:tc>
        <w:tc>
          <w:tcPr>
            <w:tcW w:w="1487" w:type="dxa"/>
          </w:tcPr>
          <w:p>
            <w:pPr>
              <w:pStyle w:val="TableParagraph"/>
              <w:spacing w:before="11"/>
              <w:jc w:val="left"/>
              <w:rPr>
                <w:sz w:val="25"/>
              </w:rPr>
            </w:pPr>
          </w:p>
          <w:p>
            <w:pPr>
              <w:pStyle w:val="TableParagraph"/>
              <w:ind w:left="545"/>
              <w:jc w:val="left"/>
              <w:rPr>
                <w:b/>
                <w:sz w:val="18"/>
              </w:rPr>
            </w:pPr>
            <w:r>
              <w:rPr>
                <w:b/>
                <w:sz w:val="18"/>
              </w:rPr>
              <w:t>46,975</w:t>
            </w:r>
          </w:p>
        </w:tc>
        <w:tc>
          <w:tcPr>
            <w:tcW w:w="993" w:type="dxa"/>
          </w:tcPr>
          <w:p>
            <w:pPr>
              <w:pStyle w:val="TableParagraph"/>
              <w:spacing w:before="11"/>
              <w:jc w:val="left"/>
              <w:rPr>
                <w:sz w:val="25"/>
              </w:rPr>
            </w:pPr>
          </w:p>
          <w:p>
            <w:pPr>
              <w:pStyle w:val="TableParagraph"/>
              <w:ind w:right="85"/>
              <w:rPr>
                <w:sz w:val="18"/>
              </w:rPr>
            </w:pPr>
            <w:r>
              <w:rPr>
                <w:w w:val="95"/>
                <w:sz w:val="18"/>
              </w:rPr>
              <w:t>58,012</w:t>
            </w:r>
          </w:p>
        </w:tc>
      </w:tr>
      <w:tr>
        <w:trPr>
          <w:trHeight w:val="263" w:hRule="exact"/>
        </w:trPr>
        <w:tc>
          <w:tcPr>
            <w:tcW w:w="333" w:type="dxa"/>
          </w:tcPr>
          <w:p>
            <w:pPr/>
          </w:p>
        </w:tc>
        <w:tc>
          <w:tcPr>
            <w:tcW w:w="4088" w:type="dxa"/>
          </w:tcPr>
          <w:p>
            <w:pPr>
              <w:pStyle w:val="TableParagraph"/>
              <w:spacing w:before="18"/>
              <w:ind w:left="98" w:right="124"/>
              <w:jc w:val="left"/>
              <w:rPr>
                <w:sz w:val="18"/>
              </w:rPr>
            </w:pPr>
            <w:bookmarkStart w:name="(a) Foreign currency risk" w:id="97"/>
            <w:bookmarkEnd w:id="97"/>
            <w:r>
              <w:rPr/>
            </w:r>
            <w:r>
              <w:rPr>
                <w:sz w:val="18"/>
              </w:rPr>
              <w:t>OS-HELP liability to Australian Government</w:t>
            </w:r>
          </w:p>
        </w:tc>
        <w:tc>
          <w:tcPr>
            <w:tcW w:w="3048" w:type="dxa"/>
            <w:tcBorders>
              <w:bottom w:val="single" w:sz="0" w:space="0" w:color="000000"/>
            </w:tcBorders>
          </w:tcPr>
          <w:p>
            <w:pPr>
              <w:pStyle w:val="TableParagraph"/>
              <w:tabs>
                <w:tab w:pos="1238" w:val="left" w:leader="none"/>
              </w:tabs>
              <w:spacing w:before="19"/>
              <w:ind w:right="310"/>
              <w:rPr>
                <w:sz w:val="18"/>
              </w:rPr>
            </w:pPr>
            <w:r>
              <w:rPr>
                <w:b/>
                <w:sz w:val="18"/>
              </w:rPr>
              <w:t>322</w:t>
              <w:tab/>
            </w:r>
            <w:r>
              <w:rPr>
                <w:spacing w:val="-2"/>
                <w:sz w:val="18"/>
              </w:rPr>
              <w:t>(564)</w:t>
            </w:r>
          </w:p>
        </w:tc>
        <w:tc>
          <w:tcPr>
            <w:tcW w:w="1487" w:type="dxa"/>
            <w:tcBorders>
              <w:bottom w:val="single" w:sz="0" w:space="0" w:color="000000"/>
            </w:tcBorders>
          </w:tcPr>
          <w:p>
            <w:pPr>
              <w:pStyle w:val="TableParagraph"/>
              <w:spacing w:before="19"/>
              <w:ind w:left="794"/>
              <w:jc w:val="left"/>
              <w:rPr>
                <w:b/>
                <w:sz w:val="18"/>
              </w:rPr>
            </w:pPr>
            <w:r>
              <w:rPr>
                <w:b/>
                <w:sz w:val="18"/>
              </w:rPr>
              <w:t>322</w:t>
            </w:r>
          </w:p>
        </w:tc>
        <w:tc>
          <w:tcPr>
            <w:tcW w:w="993" w:type="dxa"/>
            <w:tcBorders>
              <w:bottom w:val="single" w:sz="0" w:space="0" w:color="000000"/>
            </w:tcBorders>
          </w:tcPr>
          <w:p>
            <w:pPr>
              <w:pStyle w:val="TableParagraph"/>
              <w:spacing w:before="19"/>
              <w:ind w:right="26"/>
              <w:rPr>
                <w:sz w:val="18"/>
              </w:rPr>
            </w:pPr>
            <w:r>
              <w:rPr>
                <w:sz w:val="18"/>
              </w:rPr>
              <w:t>(564)</w:t>
            </w:r>
          </w:p>
        </w:tc>
      </w:tr>
      <w:tr>
        <w:trPr>
          <w:trHeight w:val="353" w:hRule="exact"/>
        </w:trPr>
        <w:tc>
          <w:tcPr>
            <w:tcW w:w="333" w:type="dxa"/>
          </w:tcPr>
          <w:p>
            <w:pPr/>
          </w:p>
        </w:tc>
        <w:tc>
          <w:tcPr>
            <w:tcW w:w="4088" w:type="dxa"/>
          </w:tcPr>
          <w:p>
            <w:pPr>
              <w:pStyle w:val="TableParagraph"/>
              <w:spacing w:before="123"/>
              <w:ind w:left="98" w:right="124"/>
              <w:jc w:val="left"/>
              <w:rPr>
                <w:sz w:val="18"/>
              </w:rPr>
            </w:pPr>
            <w:r>
              <w:rPr>
                <w:sz w:val="18"/>
              </w:rPr>
              <w:t>Total current trade and other payables</w:t>
            </w:r>
          </w:p>
        </w:tc>
        <w:tc>
          <w:tcPr>
            <w:tcW w:w="3048" w:type="dxa"/>
            <w:tcBorders>
              <w:top w:val="single" w:sz="0" w:space="0" w:color="000000"/>
              <w:bottom w:val="single" w:sz="0" w:space="0" w:color="000000"/>
            </w:tcBorders>
          </w:tcPr>
          <w:p>
            <w:pPr>
              <w:pStyle w:val="TableParagraph"/>
              <w:tabs>
                <w:tab w:pos="1298" w:val="left" w:leader="none"/>
              </w:tabs>
              <w:spacing w:before="122"/>
              <w:ind w:right="369"/>
              <w:rPr>
                <w:sz w:val="18"/>
              </w:rPr>
            </w:pPr>
            <w:r>
              <w:rPr>
                <w:b/>
                <w:sz w:val="18"/>
              </w:rPr>
              <w:t>47,695</w:t>
              <w:tab/>
            </w:r>
            <w:r>
              <w:rPr>
                <w:spacing w:val="-1"/>
                <w:w w:val="95"/>
                <w:sz w:val="18"/>
              </w:rPr>
              <w:t>58,207</w:t>
            </w:r>
          </w:p>
        </w:tc>
        <w:tc>
          <w:tcPr>
            <w:tcW w:w="1487" w:type="dxa"/>
            <w:tcBorders>
              <w:top w:val="single" w:sz="0" w:space="0" w:color="000000"/>
              <w:bottom w:val="single" w:sz="0" w:space="0" w:color="000000"/>
            </w:tcBorders>
          </w:tcPr>
          <w:p>
            <w:pPr>
              <w:pStyle w:val="TableParagraph"/>
              <w:spacing w:before="122"/>
              <w:ind w:left="545"/>
              <w:jc w:val="left"/>
              <w:rPr>
                <w:b/>
                <w:sz w:val="18"/>
              </w:rPr>
            </w:pPr>
            <w:r>
              <w:rPr>
                <w:b/>
                <w:sz w:val="18"/>
              </w:rPr>
              <w:t>47,297</w:t>
            </w:r>
          </w:p>
        </w:tc>
        <w:tc>
          <w:tcPr>
            <w:tcW w:w="993" w:type="dxa"/>
            <w:tcBorders>
              <w:top w:val="single" w:sz="0" w:space="0" w:color="000000"/>
              <w:bottom w:val="single" w:sz="0" w:space="0" w:color="000000"/>
            </w:tcBorders>
          </w:tcPr>
          <w:p>
            <w:pPr>
              <w:pStyle w:val="TableParagraph"/>
              <w:spacing w:before="122"/>
              <w:ind w:right="85"/>
              <w:rPr>
                <w:sz w:val="18"/>
              </w:rPr>
            </w:pPr>
            <w:r>
              <w:rPr>
                <w:w w:val="95"/>
                <w:sz w:val="18"/>
              </w:rPr>
              <w:t>57,448</w:t>
            </w:r>
          </w:p>
        </w:tc>
      </w:tr>
    </w:tbl>
    <w:p>
      <w:pPr>
        <w:pStyle w:val="BodyText"/>
        <w:spacing w:before="2"/>
        <w:rPr>
          <w:sz w:val="22"/>
        </w:rPr>
      </w:pPr>
    </w:p>
    <w:p>
      <w:pPr>
        <w:pStyle w:val="ListParagraph"/>
        <w:numPr>
          <w:ilvl w:val="0"/>
          <w:numId w:val="23"/>
        </w:numPr>
        <w:tabs>
          <w:tab w:pos="2392" w:val="left" w:leader="none"/>
        </w:tabs>
        <w:spacing w:line="240" w:lineRule="auto" w:before="77" w:after="0"/>
        <w:ind w:left="2391" w:right="0" w:hanging="566"/>
        <w:jc w:val="left"/>
        <w:rPr>
          <w:sz w:val="18"/>
        </w:rPr>
      </w:pPr>
      <w:r>
        <w:rPr>
          <w:sz w:val="18"/>
        </w:rPr>
        <w:t>Foreign currency</w:t>
      </w:r>
      <w:r>
        <w:rPr>
          <w:spacing w:val="-20"/>
          <w:sz w:val="18"/>
        </w:rPr>
        <w:t> </w:t>
      </w:r>
      <w:r>
        <w:rPr>
          <w:sz w:val="18"/>
        </w:rPr>
        <w:t>risk</w:t>
      </w:r>
    </w:p>
    <w:p>
      <w:pPr>
        <w:pStyle w:val="BodyText"/>
        <w:spacing w:before="4"/>
        <w:rPr>
          <w:sz w:val="25"/>
        </w:rPr>
      </w:pPr>
    </w:p>
    <w:p>
      <w:pPr>
        <w:pStyle w:val="BodyText"/>
        <w:ind w:left="2390" w:right="1375"/>
      </w:pPr>
      <w:r>
        <w:rPr/>
        <w:t>The carrying amounts of the Group's and parent entity's trade and other payables are denominated in the following currencies:</w:t>
      </w:r>
    </w:p>
    <w:p>
      <w:pPr>
        <w:pStyle w:val="BodyText"/>
        <w:spacing w:before="9"/>
        <w:rPr>
          <w:sz w:val="16"/>
        </w:rPr>
      </w:pPr>
    </w:p>
    <w:p>
      <w:pPr>
        <w:pStyle w:val="Heading8"/>
        <w:tabs>
          <w:tab w:pos="9704" w:val="left" w:leader="none"/>
        </w:tabs>
        <w:spacing w:before="1"/>
        <w:ind w:left="6663"/>
      </w:pPr>
      <w:r>
        <w:rPr/>
        <w:t>Consolidated</w:t>
        <w:tab/>
        <w:t>Parent</w:t>
      </w:r>
    </w:p>
    <w:p>
      <w:pPr>
        <w:spacing w:after="0"/>
        <w:sectPr>
          <w:pgSz w:w="12750" w:h="17680"/>
          <w:pgMar w:header="0" w:footer="907" w:top="2640" w:bottom="1120" w:left="0" w:right="0"/>
        </w:sectPr>
      </w:pPr>
    </w:p>
    <w:p>
      <w:pPr>
        <w:spacing w:before="66"/>
        <w:ind w:left="0" w:right="19" w:firstLine="0"/>
        <w:jc w:val="right"/>
        <w:rPr>
          <w:b/>
          <w:sz w:val="18"/>
        </w:rPr>
      </w:pPr>
      <w:r>
        <w:rPr>
          <w:b/>
          <w:sz w:val="18"/>
        </w:rPr>
        <w:t>2016</w:t>
      </w:r>
    </w:p>
    <w:p>
      <w:pPr>
        <w:spacing w:before="66"/>
        <w:ind w:left="0" w:right="0" w:firstLine="0"/>
        <w:jc w:val="right"/>
        <w:rPr>
          <w:b/>
          <w:sz w:val="18"/>
        </w:rPr>
      </w:pPr>
      <w:r>
        <w:rPr/>
        <w:drawing>
          <wp:anchor distT="0" distB="0" distL="0" distR="0" allowOverlap="1" layoutInCell="1" locked="0" behindDoc="0" simplePos="0" relativeHeight="4072">
            <wp:simplePos x="0" y="0"/>
            <wp:positionH relativeFrom="page">
              <wp:posOffset>-1587</wp:posOffset>
            </wp:positionH>
            <wp:positionV relativeFrom="paragraph">
              <wp:posOffset>787068</wp:posOffset>
            </wp:positionV>
            <wp:extent cx="135159" cy="154019"/>
            <wp:effectExtent l="0" t="0" r="0" b="0"/>
            <wp:wrapNone/>
            <wp:docPr id="247" name="image13.png" descr=""/>
            <wp:cNvGraphicFramePr>
              <a:graphicFrameLocks noChangeAspect="1"/>
            </wp:cNvGraphicFramePr>
            <a:graphic>
              <a:graphicData uri="http://schemas.openxmlformats.org/drawingml/2006/picture">
                <pic:pic>
                  <pic:nvPicPr>
                    <pic:cNvPr id="248" name="image13.png"/>
                    <pic:cNvPicPr/>
                  </pic:nvPicPr>
                  <pic:blipFill>
                    <a:blip r:embed="rId18" cstate="print"/>
                    <a:stretch>
                      <a:fillRect/>
                    </a:stretch>
                  </pic:blipFill>
                  <pic:spPr>
                    <a:xfrm>
                      <a:off x="0" y="0"/>
                      <a:ext cx="135159" cy="154019"/>
                    </a:xfrm>
                    <a:prstGeom prst="rect">
                      <a:avLst/>
                    </a:prstGeom>
                  </pic:spPr>
                </pic:pic>
              </a:graphicData>
            </a:graphic>
          </wp:anchor>
        </w:drawing>
      </w:r>
      <w:r>
        <w:rPr>
          <w:b/>
          <w:sz w:val="18"/>
        </w:rPr>
        <w:t>$'000</w:t>
      </w:r>
    </w:p>
    <w:p>
      <w:pPr>
        <w:spacing w:before="66"/>
        <w:ind w:left="822" w:right="-17" w:firstLine="0"/>
        <w:jc w:val="left"/>
        <w:rPr>
          <w:b/>
          <w:sz w:val="18"/>
        </w:rPr>
      </w:pPr>
      <w:r>
        <w:rPr/>
        <w:br w:type="column"/>
      </w:r>
      <w:r>
        <w:rPr>
          <w:b/>
          <w:sz w:val="18"/>
        </w:rPr>
        <w:t>2015</w:t>
      </w:r>
    </w:p>
    <w:p>
      <w:pPr>
        <w:spacing w:before="66"/>
        <w:ind w:left="801" w:right="-17" w:firstLine="0"/>
        <w:jc w:val="left"/>
        <w:rPr>
          <w:b/>
          <w:sz w:val="18"/>
        </w:rPr>
      </w:pPr>
      <w:r>
        <w:rPr>
          <w:b/>
          <w:spacing w:val="-1"/>
          <w:sz w:val="18"/>
        </w:rPr>
        <w:t>$'000</w:t>
      </w:r>
    </w:p>
    <w:p>
      <w:pPr>
        <w:spacing w:before="66"/>
        <w:ind w:left="0" w:right="19" w:firstLine="0"/>
        <w:jc w:val="right"/>
        <w:rPr>
          <w:b/>
          <w:sz w:val="18"/>
        </w:rPr>
      </w:pPr>
      <w:r>
        <w:rPr/>
        <w:br w:type="column"/>
      </w:r>
      <w:r>
        <w:rPr>
          <w:b/>
          <w:sz w:val="18"/>
        </w:rPr>
        <w:t>2016</w:t>
      </w:r>
    </w:p>
    <w:p>
      <w:pPr>
        <w:spacing w:before="66"/>
        <w:ind w:left="0" w:right="0" w:firstLine="0"/>
        <w:jc w:val="right"/>
        <w:rPr>
          <w:b/>
          <w:sz w:val="18"/>
        </w:rPr>
      </w:pPr>
      <w:r>
        <w:rPr>
          <w:b/>
          <w:sz w:val="18"/>
        </w:rPr>
        <w:t>$'000</w:t>
      </w:r>
    </w:p>
    <w:p>
      <w:pPr>
        <w:spacing w:before="66"/>
        <w:ind w:left="822" w:right="0" w:firstLine="0"/>
        <w:jc w:val="left"/>
        <w:rPr>
          <w:b/>
          <w:sz w:val="18"/>
        </w:rPr>
      </w:pPr>
      <w:r>
        <w:rPr/>
        <w:br w:type="column"/>
      </w:r>
      <w:r>
        <w:rPr>
          <w:b/>
          <w:sz w:val="18"/>
        </w:rPr>
        <w:t>2015</w:t>
      </w:r>
    </w:p>
    <w:p>
      <w:pPr>
        <w:spacing w:before="66"/>
        <w:ind w:left="801" w:right="0" w:firstLine="0"/>
        <w:jc w:val="left"/>
        <w:rPr>
          <w:b/>
          <w:sz w:val="18"/>
        </w:rPr>
      </w:pPr>
      <w:r>
        <w:rPr/>
        <w:drawing>
          <wp:anchor distT="0" distB="0" distL="0" distR="0" allowOverlap="1" layoutInCell="1" locked="0" behindDoc="0" simplePos="0" relativeHeight="4096">
            <wp:simplePos x="0" y="0"/>
            <wp:positionH relativeFrom="page">
              <wp:posOffset>7958429</wp:posOffset>
            </wp:positionH>
            <wp:positionV relativeFrom="paragraph">
              <wp:posOffset>787068</wp:posOffset>
            </wp:positionV>
            <wp:extent cx="135953" cy="155575"/>
            <wp:effectExtent l="0" t="0" r="0" b="0"/>
            <wp:wrapNone/>
            <wp:docPr id="249" name="image15.png" descr=""/>
            <wp:cNvGraphicFramePr>
              <a:graphicFrameLocks noChangeAspect="1"/>
            </wp:cNvGraphicFramePr>
            <a:graphic>
              <a:graphicData uri="http://schemas.openxmlformats.org/drawingml/2006/picture">
                <pic:pic>
                  <pic:nvPicPr>
                    <pic:cNvPr id="250" name="image15.png"/>
                    <pic:cNvPicPr/>
                  </pic:nvPicPr>
                  <pic:blipFill>
                    <a:blip r:embed="rId20" cstate="print"/>
                    <a:stretch>
                      <a:fillRect/>
                    </a:stretch>
                  </pic:blipFill>
                  <pic:spPr>
                    <a:xfrm>
                      <a:off x="0" y="0"/>
                      <a:ext cx="135953" cy="155575"/>
                    </a:xfrm>
                    <a:prstGeom prst="rect">
                      <a:avLst/>
                    </a:prstGeom>
                  </pic:spPr>
                </pic:pic>
              </a:graphicData>
            </a:graphic>
          </wp:anchor>
        </w:drawing>
      </w:r>
      <w:r>
        <w:rPr>
          <w:b/>
          <w:sz w:val="18"/>
        </w:rPr>
        <w:t>$'000</w:t>
      </w:r>
    </w:p>
    <w:p>
      <w:pPr>
        <w:spacing w:after="0"/>
        <w:jc w:val="left"/>
        <w:rPr>
          <w:sz w:val="18"/>
        </w:rPr>
        <w:sectPr>
          <w:type w:val="continuous"/>
          <w:pgSz w:w="12750" w:h="17680"/>
          <w:pgMar w:top="1660" w:bottom="0" w:left="0" w:right="0"/>
          <w:cols w:num="4" w:equalWidth="0">
            <w:col w:w="6877" w:space="40"/>
            <w:col w:w="1243" w:space="40"/>
            <w:col w:w="1441" w:space="40"/>
            <w:col w:w="3069"/>
          </w:cols>
        </w:sectPr>
      </w:pPr>
    </w:p>
    <w:p>
      <w:pPr>
        <w:pStyle w:val="BodyText"/>
        <w:spacing w:before="5"/>
        <w:rPr>
          <w:b/>
          <w:sz w:val="22"/>
        </w:rPr>
      </w:pPr>
    </w:p>
    <w:tbl>
      <w:tblPr>
        <w:tblW w:w="0" w:type="auto"/>
        <w:jc w:val="left"/>
        <w:tblInd w:w="240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414"/>
        <w:gridCol w:w="1753"/>
        <w:gridCol w:w="1382"/>
        <w:gridCol w:w="1382"/>
        <w:gridCol w:w="1010"/>
      </w:tblGrid>
      <w:tr>
        <w:trPr>
          <w:trHeight w:val="323" w:hRule="exact"/>
        </w:trPr>
        <w:tc>
          <w:tcPr>
            <w:tcW w:w="3414" w:type="dxa"/>
          </w:tcPr>
          <w:p>
            <w:pPr>
              <w:pStyle w:val="TableParagraph"/>
              <w:spacing w:before="78"/>
              <w:ind w:left="35"/>
              <w:jc w:val="left"/>
              <w:rPr>
                <w:sz w:val="18"/>
              </w:rPr>
            </w:pPr>
            <w:r>
              <w:rPr>
                <w:sz w:val="18"/>
              </w:rPr>
              <w:t>Australian Dollars</w:t>
            </w:r>
          </w:p>
        </w:tc>
        <w:tc>
          <w:tcPr>
            <w:tcW w:w="1753" w:type="dxa"/>
          </w:tcPr>
          <w:p>
            <w:pPr>
              <w:pStyle w:val="TableParagraph"/>
              <w:spacing w:before="77"/>
              <w:ind w:right="372"/>
              <w:rPr>
                <w:b/>
                <w:sz w:val="18"/>
              </w:rPr>
            </w:pPr>
            <w:r>
              <w:rPr>
                <w:b/>
                <w:w w:val="95"/>
                <w:sz w:val="18"/>
              </w:rPr>
              <w:t>46,833</w:t>
            </w:r>
          </w:p>
        </w:tc>
        <w:tc>
          <w:tcPr>
            <w:tcW w:w="1382" w:type="dxa"/>
          </w:tcPr>
          <w:p>
            <w:pPr>
              <w:pStyle w:val="TableParagraph"/>
              <w:spacing w:before="77"/>
              <w:ind w:right="456"/>
              <w:rPr>
                <w:sz w:val="18"/>
              </w:rPr>
            </w:pPr>
            <w:r>
              <w:rPr>
                <w:w w:val="95"/>
                <w:sz w:val="18"/>
              </w:rPr>
              <w:t>56,773</w:t>
            </w:r>
          </w:p>
        </w:tc>
        <w:tc>
          <w:tcPr>
            <w:tcW w:w="1382" w:type="dxa"/>
          </w:tcPr>
          <w:p>
            <w:pPr>
              <w:pStyle w:val="TableParagraph"/>
              <w:spacing w:before="77"/>
              <w:ind w:right="372"/>
              <w:rPr>
                <w:b/>
                <w:sz w:val="18"/>
              </w:rPr>
            </w:pPr>
            <w:r>
              <w:rPr>
                <w:b/>
                <w:w w:val="95"/>
                <w:sz w:val="18"/>
              </w:rPr>
              <w:t>46,435</w:t>
            </w:r>
          </w:p>
        </w:tc>
        <w:tc>
          <w:tcPr>
            <w:tcW w:w="1010" w:type="dxa"/>
          </w:tcPr>
          <w:p>
            <w:pPr>
              <w:pStyle w:val="TableParagraph"/>
              <w:spacing w:before="77"/>
              <w:ind w:right="85"/>
              <w:rPr>
                <w:sz w:val="18"/>
              </w:rPr>
            </w:pPr>
            <w:r>
              <w:rPr>
                <w:w w:val="95"/>
                <w:sz w:val="18"/>
              </w:rPr>
              <w:t>56,014</w:t>
            </w:r>
          </w:p>
        </w:tc>
      </w:tr>
      <w:tr>
        <w:trPr>
          <w:trHeight w:val="264" w:hRule="exact"/>
        </w:trPr>
        <w:tc>
          <w:tcPr>
            <w:tcW w:w="3414" w:type="dxa"/>
          </w:tcPr>
          <w:p>
            <w:pPr>
              <w:pStyle w:val="TableParagraph"/>
              <w:spacing w:before="19"/>
              <w:ind w:left="35"/>
              <w:jc w:val="left"/>
              <w:rPr>
                <w:sz w:val="18"/>
              </w:rPr>
            </w:pPr>
            <w:r>
              <w:rPr>
                <w:sz w:val="18"/>
              </w:rPr>
              <w:t>US Dollars</w:t>
            </w:r>
          </w:p>
        </w:tc>
        <w:tc>
          <w:tcPr>
            <w:tcW w:w="1753" w:type="dxa"/>
          </w:tcPr>
          <w:p>
            <w:pPr>
              <w:pStyle w:val="TableParagraph"/>
              <w:spacing w:before="18"/>
              <w:ind w:right="372"/>
              <w:rPr>
                <w:b/>
                <w:sz w:val="18"/>
              </w:rPr>
            </w:pPr>
            <w:r>
              <w:rPr>
                <w:b/>
                <w:sz w:val="18"/>
              </w:rPr>
              <w:t>396</w:t>
            </w:r>
          </w:p>
        </w:tc>
        <w:tc>
          <w:tcPr>
            <w:tcW w:w="1382" w:type="dxa"/>
          </w:tcPr>
          <w:p>
            <w:pPr>
              <w:pStyle w:val="TableParagraph"/>
              <w:spacing w:before="18"/>
              <w:ind w:right="456"/>
              <w:rPr>
                <w:sz w:val="18"/>
              </w:rPr>
            </w:pPr>
            <w:r>
              <w:rPr>
                <w:sz w:val="18"/>
              </w:rPr>
              <w:t>1,032</w:t>
            </w:r>
          </w:p>
        </w:tc>
        <w:tc>
          <w:tcPr>
            <w:tcW w:w="1382" w:type="dxa"/>
          </w:tcPr>
          <w:p>
            <w:pPr>
              <w:pStyle w:val="TableParagraph"/>
              <w:spacing w:before="18"/>
              <w:ind w:right="372"/>
              <w:rPr>
                <w:b/>
                <w:sz w:val="18"/>
              </w:rPr>
            </w:pPr>
            <w:r>
              <w:rPr>
                <w:b/>
                <w:sz w:val="18"/>
              </w:rPr>
              <w:t>396</w:t>
            </w:r>
          </w:p>
        </w:tc>
        <w:tc>
          <w:tcPr>
            <w:tcW w:w="1010" w:type="dxa"/>
          </w:tcPr>
          <w:p>
            <w:pPr>
              <w:pStyle w:val="TableParagraph"/>
              <w:spacing w:before="18"/>
              <w:ind w:right="85"/>
              <w:rPr>
                <w:sz w:val="18"/>
              </w:rPr>
            </w:pPr>
            <w:r>
              <w:rPr>
                <w:sz w:val="18"/>
              </w:rPr>
              <w:t>1,032</w:t>
            </w:r>
          </w:p>
        </w:tc>
      </w:tr>
      <w:tr>
        <w:trPr>
          <w:trHeight w:val="264" w:hRule="exact"/>
        </w:trPr>
        <w:tc>
          <w:tcPr>
            <w:tcW w:w="3414" w:type="dxa"/>
          </w:tcPr>
          <w:p>
            <w:pPr>
              <w:pStyle w:val="TableParagraph"/>
              <w:spacing w:before="19"/>
              <w:ind w:left="35"/>
              <w:jc w:val="left"/>
              <w:rPr>
                <w:sz w:val="18"/>
              </w:rPr>
            </w:pPr>
            <w:r>
              <w:rPr>
                <w:sz w:val="18"/>
              </w:rPr>
              <w:t>Euro</w:t>
            </w:r>
          </w:p>
        </w:tc>
        <w:tc>
          <w:tcPr>
            <w:tcW w:w="1753" w:type="dxa"/>
          </w:tcPr>
          <w:p>
            <w:pPr>
              <w:pStyle w:val="TableParagraph"/>
              <w:spacing w:before="18"/>
              <w:ind w:right="372"/>
              <w:rPr>
                <w:b/>
                <w:sz w:val="18"/>
              </w:rPr>
            </w:pPr>
            <w:r>
              <w:rPr>
                <w:b/>
                <w:sz w:val="18"/>
              </w:rPr>
              <w:t>146</w:t>
            </w:r>
          </w:p>
        </w:tc>
        <w:tc>
          <w:tcPr>
            <w:tcW w:w="1382" w:type="dxa"/>
          </w:tcPr>
          <w:p>
            <w:pPr>
              <w:pStyle w:val="TableParagraph"/>
              <w:spacing w:before="18"/>
              <w:ind w:right="457"/>
              <w:rPr>
                <w:sz w:val="18"/>
              </w:rPr>
            </w:pPr>
            <w:r>
              <w:rPr>
                <w:sz w:val="18"/>
              </w:rPr>
              <w:t>225</w:t>
            </w:r>
          </w:p>
        </w:tc>
        <w:tc>
          <w:tcPr>
            <w:tcW w:w="1382" w:type="dxa"/>
          </w:tcPr>
          <w:p>
            <w:pPr>
              <w:pStyle w:val="TableParagraph"/>
              <w:spacing w:before="18"/>
              <w:ind w:right="372"/>
              <w:rPr>
                <w:b/>
                <w:sz w:val="18"/>
              </w:rPr>
            </w:pPr>
            <w:r>
              <w:rPr>
                <w:b/>
                <w:sz w:val="18"/>
              </w:rPr>
              <w:t>146</w:t>
            </w:r>
          </w:p>
        </w:tc>
        <w:tc>
          <w:tcPr>
            <w:tcW w:w="1010" w:type="dxa"/>
          </w:tcPr>
          <w:p>
            <w:pPr>
              <w:pStyle w:val="TableParagraph"/>
              <w:spacing w:before="18"/>
              <w:ind w:right="85"/>
              <w:rPr>
                <w:sz w:val="18"/>
              </w:rPr>
            </w:pPr>
            <w:r>
              <w:rPr>
                <w:sz w:val="18"/>
              </w:rPr>
              <w:t>225</w:t>
            </w:r>
          </w:p>
        </w:tc>
      </w:tr>
      <w:tr>
        <w:trPr>
          <w:trHeight w:val="264" w:hRule="exact"/>
        </w:trPr>
        <w:tc>
          <w:tcPr>
            <w:tcW w:w="3414" w:type="dxa"/>
          </w:tcPr>
          <w:p>
            <w:pPr>
              <w:pStyle w:val="TableParagraph"/>
              <w:spacing w:before="19"/>
              <w:ind w:left="35"/>
              <w:jc w:val="left"/>
              <w:rPr>
                <w:sz w:val="18"/>
              </w:rPr>
            </w:pPr>
            <w:r>
              <w:rPr>
                <w:sz w:val="18"/>
              </w:rPr>
              <w:t>GB Pounds</w:t>
            </w:r>
          </w:p>
        </w:tc>
        <w:tc>
          <w:tcPr>
            <w:tcW w:w="1753" w:type="dxa"/>
          </w:tcPr>
          <w:p>
            <w:pPr>
              <w:pStyle w:val="TableParagraph"/>
              <w:spacing w:before="18"/>
              <w:ind w:right="372"/>
              <w:rPr>
                <w:b/>
                <w:sz w:val="18"/>
              </w:rPr>
            </w:pPr>
            <w:r>
              <w:rPr>
                <w:b/>
                <w:sz w:val="18"/>
              </w:rPr>
              <w:t>307</w:t>
            </w:r>
          </w:p>
        </w:tc>
        <w:tc>
          <w:tcPr>
            <w:tcW w:w="1382" w:type="dxa"/>
          </w:tcPr>
          <w:p>
            <w:pPr>
              <w:pStyle w:val="TableParagraph"/>
              <w:spacing w:before="18"/>
              <w:ind w:right="457"/>
              <w:rPr>
                <w:sz w:val="18"/>
              </w:rPr>
            </w:pPr>
            <w:r>
              <w:rPr>
                <w:sz w:val="18"/>
              </w:rPr>
              <w:t>114</w:t>
            </w:r>
          </w:p>
        </w:tc>
        <w:tc>
          <w:tcPr>
            <w:tcW w:w="1382" w:type="dxa"/>
          </w:tcPr>
          <w:p>
            <w:pPr>
              <w:pStyle w:val="TableParagraph"/>
              <w:spacing w:before="18"/>
              <w:ind w:right="372"/>
              <w:rPr>
                <w:b/>
                <w:sz w:val="18"/>
              </w:rPr>
            </w:pPr>
            <w:r>
              <w:rPr>
                <w:b/>
                <w:sz w:val="18"/>
              </w:rPr>
              <w:t>307</w:t>
            </w:r>
          </w:p>
        </w:tc>
        <w:tc>
          <w:tcPr>
            <w:tcW w:w="1010" w:type="dxa"/>
          </w:tcPr>
          <w:p>
            <w:pPr>
              <w:pStyle w:val="TableParagraph"/>
              <w:spacing w:before="18"/>
              <w:ind w:right="85"/>
              <w:rPr>
                <w:sz w:val="18"/>
              </w:rPr>
            </w:pPr>
            <w:r>
              <w:rPr>
                <w:sz w:val="18"/>
              </w:rPr>
              <w:t>114</w:t>
            </w:r>
          </w:p>
        </w:tc>
      </w:tr>
      <w:tr>
        <w:trPr>
          <w:trHeight w:val="262" w:hRule="exact"/>
        </w:trPr>
        <w:tc>
          <w:tcPr>
            <w:tcW w:w="3414" w:type="dxa"/>
          </w:tcPr>
          <w:p>
            <w:pPr>
              <w:pStyle w:val="TableParagraph"/>
              <w:spacing w:before="19"/>
              <w:ind w:left="35"/>
              <w:jc w:val="left"/>
              <w:rPr>
                <w:sz w:val="18"/>
              </w:rPr>
            </w:pPr>
            <w:r>
              <w:rPr>
                <w:sz w:val="18"/>
              </w:rPr>
              <w:t>Other</w:t>
            </w:r>
          </w:p>
        </w:tc>
        <w:tc>
          <w:tcPr>
            <w:tcW w:w="1753" w:type="dxa"/>
            <w:tcBorders>
              <w:bottom w:val="single" w:sz="0" w:space="0" w:color="000000"/>
            </w:tcBorders>
          </w:tcPr>
          <w:p>
            <w:pPr>
              <w:pStyle w:val="TableParagraph"/>
              <w:spacing w:before="18"/>
              <w:ind w:right="372"/>
              <w:rPr>
                <w:b/>
                <w:sz w:val="18"/>
              </w:rPr>
            </w:pPr>
            <w:r>
              <w:rPr>
                <w:b/>
                <w:sz w:val="18"/>
              </w:rPr>
              <w:t>13</w:t>
            </w:r>
          </w:p>
        </w:tc>
        <w:tc>
          <w:tcPr>
            <w:tcW w:w="1382" w:type="dxa"/>
            <w:tcBorders>
              <w:bottom w:val="single" w:sz="0" w:space="0" w:color="000000"/>
            </w:tcBorders>
          </w:tcPr>
          <w:p>
            <w:pPr>
              <w:pStyle w:val="TableParagraph"/>
              <w:spacing w:before="18"/>
              <w:ind w:right="457"/>
              <w:rPr>
                <w:sz w:val="18"/>
              </w:rPr>
            </w:pPr>
            <w:r>
              <w:rPr>
                <w:sz w:val="18"/>
              </w:rPr>
              <w:t>63</w:t>
            </w:r>
          </w:p>
        </w:tc>
        <w:tc>
          <w:tcPr>
            <w:tcW w:w="1382" w:type="dxa"/>
            <w:tcBorders>
              <w:bottom w:val="single" w:sz="0" w:space="0" w:color="000000"/>
            </w:tcBorders>
          </w:tcPr>
          <w:p>
            <w:pPr>
              <w:pStyle w:val="TableParagraph"/>
              <w:spacing w:before="18"/>
              <w:ind w:right="372"/>
              <w:rPr>
                <w:b/>
                <w:sz w:val="18"/>
              </w:rPr>
            </w:pPr>
            <w:r>
              <w:rPr>
                <w:b/>
                <w:sz w:val="18"/>
              </w:rPr>
              <w:t>13</w:t>
            </w:r>
          </w:p>
        </w:tc>
        <w:tc>
          <w:tcPr>
            <w:tcW w:w="1010" w:type="dxa"/>
            <w:tcBorders>
              <w:bottom w:val="single" w:sz="0" w:space="0" w:color="000000"/>
            </w:tcBorders>
          </w:tcPr>
          <w:p>
            <w:pPr>
              <w:pStyle w:val="TableParagraph"/>
              <w:spacing w:before="18"/>
              <w:ind w:right="85"/>
              <w:rPr>
                <w:sz w:val="18"/>
              </w:rPr>
            </w:pPr>
            <w:r>
              <w:rPr>
                <w:sz w:val="18"/>
              </w:rPr>
              <w:t>63</w:t>
            </w:r>
          </w:p>
        </w:tc>
      </w:tr>
      <w:tr>
        <w:trPr>
          <w:trHeight w:val="353" w:hRule="exact"/>
        </w:trPr>
        <w:tc>
          <w:tcPr>
            <w:tcW w:w="3414" w:type="dxa"/>
          </w:tcPr>
          <w:p>
            <w:pPr/>
          </w:p>
        </w:tc>
        <w:tc>
          <w:tcPr>
            <w:tcW w:w="1753" w:type="dxa"/>
            <w:tcBorders>
              <w:top w:val="single" w:sz="0" w:space="0" w:color="000000"/>
              <w:bottom w:val="single" w:sz="0" w:space="0" w:color="000000"/>
            </w:tcBorders>
          </w:tcPr>
          <w:p>
            <w:pPr>
              <w:pStyle w:val="TableParagraph"/>
              <w:spacing w:before="122"/>
              <w:ind w:right="372"/>
              <w:rPr>
                <w:b/>
                <w:sz w:val="18"/>
              </w:rPr>
            </w:pPr>
            <w:r>
              <w:rPr>
                <w:b/>
                <w:w w:val="95"/>
                <w:sz w:val="18"/>
              </w:rPr>
              <w:t>47,695</w:t>
            </w:r>
          </w:p>
        </w:tc>
        <w:tc>
          <w:tcPr>
            <w:tcW w:w="1382" w:type="dxa"/>
            <w:tcBorders>
              <w:top w:val="single" w:sz="0" w:space="0" w:color="000000"/>
              <w:bottom w:val="single" w:sz="0" w:space="0" w:color="000000"/>
            </w:tcBorders>
          </w:tcPr>
          <w:p>
            <w:pPr>
              <w:pStyle w:val="TableParagraph"/>
              <w:spacing w:before="122"/>
              <w:ind w:right="456"/>
              <w:rPr>
                <w:sz w:val="18"/>
              </w:rPr>
            </w:pPr>
            <w:r>
              <w:rPr>
                <w:w w:val="95"/>
                <w:sz w:val="18"/>
              </w:rPr>
              <w:t>58,207</w:t>
            </w:r>
          </w:p>
        </w:tc>
        <w:tc>
          <w:tcPr>
            <w:tcW w:w="1382" w:type="dxa"/>
            <w:tcBorders>
              <w:top w:val="single" w:sz="0" w:space="0" w:color="000000"/>
              <w:bottom w:val="single" w:sz="0" w:space="0" w:color="000000"/>
            </w:tcBorders>
          </w:tcPr>
          <w:p>
            <w:pPr>
              <w:pStyle w:val="TableParagraph"/>
              <w:spacing w:before="122"/>
              <w:ind w:right="372"/>
              <w:rPr>
                <w:b/>
                <w:sz w:val="18"/>
              </w:rPr>
            </w:pPr>
            <w:r>
              <w:rPr>
                <w:b/>
                <w:w w:val="95"/>
                <w:sz w:val="18"/>
              </w:rPr>
              <w:t>47,297</w:t>
            </w:r>
          </w:p>
        </w:tc>
        <w:tc>
          <w:tcPr>
            <w:tcW w:w="1010" w:type="dxa"/>
            <w:tcBorders>
              <w:top w:val="single" w:sz="0" w:space="0" w:color="000000"/>
              <w:bottom w:val="single" w:sz="0" w:space="0" w:color="000000"/>
            </w:tcBorders>
          </w:tcPr>
          <w:p>
            <w:pPr>
              <w:pStyle w:val="TableParagraph"/>
              <w:spacing w:before="122"/>
              <w:ind w:right="85"/>
              <w:rPr>
                <w:sz w:val="18"/>
              </w:rPr>
            </w:pPr>
            <w:r>
              <w:rPr>
                <w:w w:val="95"/>
                <w:sz w:val="18"/>
              </w:rPr>
              <w:t>57,448</w:t>
            </w:r>
          </w:p>
        </w:tc>
      </w:tr>
    </w:tbl>
    <w:p>
      <w:pPr>
        <w:pStyle w:val="BodyText"/>
        <w:spacing w:before="6"/>
        <w:rPr>
          <w:b/>
          <w:sz w:val="20"/>
        </w:rPr>
      </w:pPr>
    </w:p>
    <w:p>
      <w:pPr>
        <w:pStyle w:val="BodyText"/>
        <w:spacing w:before="77"/>
        <w:ind w:left="2390"/>
      </w:pPr>
      <w:r>
        <w:rPr/>
        <w:t>For an analysis of the sensitivity of trade and other payables to foreign currency risk refer to note 35.</w:t>
      </w:r>
    </w:p>
    <w:p>
      <w:pPr>
        <w:spacing w:after="0"/>
        <w:sectPr>
          <w:type w:val="continuous"/>
          <w:pgSz w:w="12750" w:h="17680"/>
          <w:pgMar w:top="1660" w:bottom="0" w:left="0" w:right="0"/>
        </w:sectPr>
      </w:pPr>
    </w:p>
    <w:p>
      <w:pPr>
        <w:pStyle w:val="BodyText"/>
        <w:rPr>
          <w:sz w:val="20"/>
        </w:rPr>
      </w:pPr>
    </w:p>
    <w:p>
      <w:pPr>
        <w:pStyle w:val="BodyText"/>
        <w:rPr>
          <w:sz w:val="20"/>
        </w:rPr>
      </w:pPr>
    </w:p>
    <w:p>
      <w:pPr>
        <w:pStyle w:val="BodyText"/>
        <w:spacing w:before="8"/>
        <w:rPr>
          <w:sz w:val="11"/>
        </w:rPr>
      </w:pPr>
    </w:p>
    <w:tbl>
      <w:tblPr>
        <w:tblW w:w="0" w:type="auto"/>
        <w:jc w:val="left"/>
        <w:tblInd w:w="139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32"/>
        <w:gridCol w:w="4087"/>
        <w:gridCol w:w="1629"/>
        <w:gridCol w:w="1389"/>
        <w:gridCol w:w="1523"/>
        <w:gridCol w:w="986"/>
      </w:tblGrid>
      <w:tr>
        <w:trPr>
          <w:trHeight w:val="567" w:hRule="exact"/>
        </w:trPr>
        <w:tc>
          <w:tcPr>
            <w:tcW w:w="332" w:type="dxa"/>
          </w:tcPr>
          <w:p>
            <w:pPr>
              <w:pStyle w:val="TableParagraph"/>
              <w:spacing w:before="77"/>
              <w:ind w:left="35"/>
              <w:jc w:val="left"/>
              <w:rPr>
                <w:b/>
                <w:sz w:val="18"/>
              </w:rPr>
            </w:pPr>
            <w:bookmarkStart w:name="26 Borrowings" w:id="98"/>
            <w:bookmarkEnd w:id="98"/>
            <w:r>
              <w:rPr/>
            </w:r>
            <w:r>
              <w:rPr>
                <w:b/>
                <w:sz w:val="18"/>
              </w:rPr>
              <w:t>26</w:t>
            </w:r>
          </w:p>
        </w:tc>
        <w:tc>
          <w:tcPr>
            <w:tcW w:w="4087" w:type="dxa"/>
          </w:tcPr>
          <w:p>
            <w:pPr>
              <w:pStyle w:val="TableParagraph"/>
              <w:spacing w:before="77"/>
              <w:ind w:left="99"/>
              <w:jc w:val="left"/>
              <w:rPr>
                <w:b/>
                <w:sz w:val="18"/>
              </w:rPr>
            </w:pPr>
            <w:r>
              <w:rPr>
                <w:b/>
                <w:sz w:val="18"/>
              </w:rPr>
              <w:t>Borrowings</w:t>
            </w:r>
          </w:p>
        </w:tc>
        <w:tc>
          <w:tcPr>
            <w:tcW w:w="3018" w:type="dxa"/>
            <w:gridSpan w:val="2"/>
          </w:tcPr>
          <w:p>
            <w:pPr>
              <w:pStyle w:val="TableParagraph"/>
              <w:jc w:val="left"/>
              <w:rPr>
                <w:sz w:val="18"/>
              </w:rPr>
            </w:pPr>
          </w:p>
          <w:p>
            <w:pPr>
              <w:pStyle w:val="TableParagraph"/>
              <w:spacing w:before="110"/>
              <w:ind w:left="825"/>
              <w:jc w:val="left"/>
              <w:rPr>
                <w:b/>
                <w:sz w:val="18"/>
              </w:rPr>
            </w:pPr>
            <w:r>
              <w:rPr>
                <w:b/>
                <w:sz w:val="18"/>
              </w:rPr>
              <w:t>Consolidated</w:t>
            </w:r>
          </w:p>
        </w:tc>
        <w:tc>
          <w:tcPr>
            <w:tcW w:w="1523" w:type="dxa"/>
          </w:tcPr>
          <w:p>
            <w:pPr>
              <w:pStyle w:val="TableParagraph"/>
              <w:jc w:val="left"/>
              <w:rPr>
                <w:sz w:val="18"/>
              </w:rPr>
            </w:pPr>
          </w:p>
          <w:p>
            <w:pPr>
              <w:pStyle w:val="TableParagraph"/>
              <w:spacing w:before="110"/>
              <w:ind w:left="861"/>
              <w:jc w:val="left"/>
              <w:rPr>
                <w:b/>
                <w:sz w:val="18"/>
              </w:rPr>
            </w:pPr>
            <w:r>
              <w:rPr>
                <w:b/>
                <w:sz w:val="18"/>
              </w:rPr>
              <w:t>Parent</w:t>
            </w:r>
          </w:p>
        </w:tc>
        <w:tc>
          <w:tcPr>
            <w:tcW w:w="986" w:type="dxa"/>
          </w:tcPr>
          <w:p>
            <w:pPr/>
          </w:p>
        </w:tc>
      </w:tr>
      <w:tr>
        <w:trPr>
          <w:trHeight w:val="274" w:hRule="exact"/>
        </w:trPr>
        <w:tc>
          <w:tcPr>
            <w:tcW w:w="332" w:type="dxa"/>
          </w:tcPr>
          <w:p>
            <w:pPr/>
          </w:p>
        </w:tc>
        <w:tc>
          <w:tcPr>
            <w:tcW w:w="4087" w:type="dxa"/>
          </w:tcPr>
          <w:p>
            <w:pPr/>
          </w:p>
        </w:tc>
        <w:tc>
          <w:tcPr>
            <w:tcW w:w="1629" w:type="dxa"/>
          </w:tcPr>
          <w:p>
            <w:pPr>
              <w:pStyle w:val="TableParagraph"/>
              <w:spacing w:before="24"/>
              <w:ind w:left="617"/>
              <w:jc w:val="left"/>
              <w:rPr>
                <w:b/>
                <w:sz w:val="18"/>
              </w:rPr>
            </w:pPr>
            <w:r>
              <w:rPr>
                <w:b/>
                <w:sz w:val="18"/>
              </w:rPr>
              <w:t>2016</w:t>
            </w:r>
          </w:p>
        </w:tc>
        <w:tc>
          <w:tcPr>
            <w:tcW w:w="1389" w:type="dxa"/>
          </w:tcPr>
          <w:p>
            <w:pPr>
              <w:pStyle w:val="TableParagraph"/>
              <w:spacing w:before="24"/>
              <w:ind w:left="272"/>
              <w:jc w:val="left"/>
              <w:rPr>
                <w:b/>
                <w:sz w:val="18"/>
              </w:rPr>
            </w:pPr>
            <w:r>
              <w:rPr>
                <w:b/>
                <w:sz w:val="18"/>
              </w:rPr>
              <w:t>2015</w:t>
            </w:r>
          </w:p>
        </w:tc>
        <w:tc>
          <w:tcPr>
            <w:tcW w:w="1523" w:type="dxa"/>
          </w:tcPr>
          <w:p>
            <w:pPr>
              <w:pStyle w:val="TableParagraph"/>
              <w:spacing w:before="24"/>
              <w:ind w:left="363"/>
              <w:jc w:val="left"/>
              <w:rPr>
                <w:b/>
                <w:sz w:val="18"/>
              </w:rPr>
            </w:pPr>
            <w:r>
              <w:rPr>
                <w:b/>
                <w:sz w:val="18"/>
              </w:rPr>
              <w:t>2016</w:t>
            </w:r>
          </w:p>
        </w:tc>
        <w:tc>
          <w:tcPr>
            <w:tcW w:w="986" w:type="dxa"/>
          </w:tcPr>
          <w:p>
            <w:pPr>
              <w:pStyle w:val="TableParagraph"/>
              <w:spacing w:before="24"/>
              <w:ind w:left="124"/>
              <w:jc w:val="left"/>
              <w:rPr>
                <w:b/>
                <w:sz w:val="18"/>
              </w:rPr>
            </w:pPr>
            <w:r>
              <w:rPr>
                <w:b/>
                <w:sz w:val="18"/>
              </w:rPr>
              <w:t>2015</w:t>
            </w:r>
          </w:p>
        </w:tc>
      </w:tr>
      <w:tr>
        <w:trPr>
          <w:trHeight w:val="313" w:hRule="exact"/>
        </w:trPr>
        <w:tc>
          <w:tcPr>
            <w:tcW w:w="332" w:type="dxa"/>
          </w:tcPr>
          <w:p>
            <w:pPr/>
          </w:p>
        </w:tc>
        <w:tc>
          <w:tcPr>
            <w:tcW w:w="4087" w:type="dxa"/>
          </w:tcPr>
          <w:p>
            <w:pPr/>
          </w:p>
        </w:tc>
        <w:tc>
          <w:tcPr>
            <w:tcW w:w="1629" w:type="dxa"/>
          </w:tcPr>
          <w:p>
            <w:pPr>
              <w:pStyle w:val="TableParagraph"/>
              <w:spacing w:before="24"/>
              <w:ind w:left="596"/>
              <w:jc w:val="left"/>
              <w:rPr>
                <w:b/>
                <w:sz w:val="18"/>
              </w:rPr>
            </w:pPr>
            <w:r>
              <w:rPr>
                <w:b/>
                <w:sz w:val="18"/>
              </w:rPr>
              <w:t>$'000</w:t>
            </w:r>
          </w:p>
        </w:tc>
        <w:tc>
          <w:tcPr>
            <w:tcW w:w="1389" w:type="dxa"/>
          </w:tcPr>
          <w:p>
            <w:pPr>
              <w:pStyle w:val="TableParagraph"/>
              <w:spacing w:before="24"/>
              <w:ind w:left="251"/>
              <w:jc w:val="left"/>
              <w:rPr>
                <w:b/>
                <w:sz w:val="18"/>
              </w:rPr>
            </w:pPr>
            <w:r>
              <w:rPr>
                <w:b/>
                <w:sz w:val="18"/>
              </w:rPr>
              <w:t>$'000</w:t>
            </w:r>
          </w:p>
        </w:tc>
        <w:tc>
          <w:tcPr>
            <w:tcW w:w="1523" w:type="dxa"/>
          </w:tcPr>
          <w:p>
            <w:pPr>
              <w:pStyle w:val="TableParagraph"/>
              <w:spacing w:before="24"/>
              <w:ind w:left="341"/>
              <w:jc w:val="left"/>
              <w:rPr>
                <w:b/>
                <w:sz w:val="18"/>
              </w:rPr>
            </w:pPr>
            <w:r>
              <w:rPr>
                <w:b/>
                <w:sz w:val="18"/>
              </w:rPr>
              <w:t>$'000</w:t>
            </w:r>
          </w:p>
        </w:tc>
        <w:tc>
          <w:tcPr>
            <w:tcW w:w="986" w:type="dxa"/>
          </w:tcPr>
          <w:p>
            <w:pPr>
              <w:pStyle w:val="TableParagraph"/>
              <w:spacing w:before="24"/>
              <w:ind w:left="102"/>
              <w:jc w:val="left"/>
              <w:rPr>
                <w:b/>
                <w:sz w:val="18"/>
              </w:rPr>
            </w:pPr>
            <w:r>
              <w:rPr>
                <w:b/>
                <w:sz w:val="18"/>
              </w:rPr>
              <w:t>$'000</w:t>
            </w:r>
          </w:p>
        </w:tc>
      </w:tr>
      <w:tr>
        <w:trPr>
          <w:trHeight w:val="543" w:hRule="exact"/>
        </w:trPr>
        <w:tc>
          <w:tcPr>
            <w:tcW w:w="332" w:type="dxa"/>
          </w:tcPr>
          <w:p>
            <w:pPr/>
          </w:p>
        </w:tc>
        <w:tc>
          <w:tcPr>
            <w:tcW w:w="4087" w:type="dxa"/>
          </w:tcPr>
          <w:p>
            <w:pPr>
              <w:pStyle w:val="TableParagraph"/>
              <w:spacing w:before="63"/>
              <w:ind w:left="97"/>
              <w:jc w:val="left"/>
              <w:rPr>
                <w:b/>
                <w:sz w:val="18"/>
              </w:rPr>
            </w:pPr>
            <w:r>
              <w:rPr>
                <w:b/>
                <w:sz w:val="18"/>
              </w:rPr>
              <w:t>Current</w:t>
            </w:r>
          </w:p>
          <w:p>
            <w:pPr>
              <w:pStyle w:val="TableParagraph"/>
              <w:spacing w:before="27"/>
              <w:ind w:left="97"/>
              <w:jc w:val="left"/>
              <w:rPr>
                <w:sz w:val="18"/>
              </w:rPr>
            </w:pPr>
            <w:r>
              <w:rPr>
                <w:sz w:val="18"/>
              </w:rPr>
              <w:t>Unsecured bank loans (i)</w:t>
            </w:r>
          </w:p>
        </w:tc>
        <w:tc>
          <w:tcPr>
            <w:tcW w:w="1629" w:type="dxa"/>
          </w:tcPr>
          <w:p>
            <w:pPr>
              <w:pStyle w:val="TableParagraph"/>
              <w:spacing w:before="11"/>
              <w:jc w:val="left"/>
              <w:rPr>
                <w:sz w:val="25"/>
              </w:rPr>
            </w:pPr>
          </w:p>
          <w:p>
            <w:pPr>
              <w:pStyle w:val="TableParagraph"/>
              <w:ind w:right="249"/>
              <w:rPr>
                <w:b/>
                <w:sz w:val="18"/>
              </w:rPr>
            </w:pPr>
            <w:r>
              <w:rPr>
                <w:b/>
                <w:w w:val="95"/>
                <w:sz w:val="18"/>
              </w:rPr>
              <w:t>72,000</w:t>
            </w:r>
          </w:p>
        </w:tc>
        <w:tc>
          <w:tcPr>
            <w:tcW w:w="1389" w:type="dxa"/>
          </w:tcPr>
          <w:p>
            <w:pPr>
              <w:pStyle w:val="TableParagraph"/>
              <w:spacing w:before="11"/>
              <w:jc w:val="left"/>
              <w:rPr>
                <w:sz w:val="25"/>
              </w:rPr>
            </w:pPr>
          </w:p>
          <w:p>
            <w:pPr>
              <w:pStyle w:val="TableParagraph"/>
              <w:ind w:right="340"/>
              <w:rPr>
                <w:sz w:val="18"/>
              </w:rPr>
            </w:pPr>
            <w:r>
              <w:rPr>
                <w:w w:val="99"/>
                <w:sz w:val="18"/>
              </w:rPr>
              <w:t>-</w:t>
            </w:r>
          </w:p>
        </w:tc>
        <w:tc>
          <w:tcPr>
            <w:tcW w:w="1523" w:type="dxa"/>
          </w:tcPr>
          <w:p>
            <w:pPr>
              <w:pStyle w:val="TableParagraph"/>
              <w:spacing w:before="11"/>
              <w:jc w:val="left"/>
              <w:rPr>
                <w:sz w:val="25"/>
              </w:rPr>
            </w:pPr>
          </w:p>
          <w:p>
            <w:pPr>
              <w:pStyle w:val="TableParagraph"/>
              <w:ind w:left="574"/>
              <w:jc w:val="left"/>
              <w:rPr>
                <w:b/>
                <w:sz w:val="18"/>
              </w:rPr>
            </w:pPr>
            <w:r>
              <w:rPr>
                <w:b/>
                <w:sz w:val="18"/>
              </w:rPr>
              <w:t>72,000</w:t>
            </w:r>
          </w:p>
        </w:tc>
        <w:tc>
          <w:tcPr>
            <w:tcW w:w="986" w:type="dxa"/>
          </w:tcPr>
          <w:p>
            <w:pPr>
              <w:pStyle w:val="TableParagraph"/>
              <w:spacing w:before="11"/>
              <w:jc w:val="left"/>
              <w:rPr>
                <w:sz w:val="25"/>
              </w:rPr>
            </w:pPr>
          </w:p>
          <w:p>
            <w:pPr>
              <w:pStyle w:val="TableParagraph"/>
              <w:ind w:right="85"/>
              <w:rPr>
                <w:sz w:val="18"/>
              </w:rPr>
            </w:pPr>
            <w:r>
              <w:rPr>
                <w:w w:val="99"/>
                <w:sz w:val="18"/>
              </w:rPr>
              <w:t>-</w:t>
            </w:r>
          </w:p>
        </w:tc>
      </w:tr>
      <w:tr>
        <w:trPr>
          <w:trHeight w:val="263" w:hRule="exact"/>
        </w:trPr>
        <w:tc>
          <w:tcPr>
            <w:tcW w:w="332" w:type="dxa"/>
          </w:tcPr>
          <w:p>
            <w:pPr/>
          </w:p>
        </w:tc>
        <w:tc>
          <w:tcPr>
            <w:tcW w:w="4087" w:type="dxa"/>
          </w:tcPr>
          <w:p>
            <w:pPr>
              <w:pStyle w:val="TableParagraph"/>
              <w:spacing w:before="18"/>
              <w:ind w:left="97"/>
              <w:jc w:val="left"/>
              <w:rPr>
                <w:sz w:val="18"/>
              </w:rPr>
            </w:pPr>
            <w:r>
              <w:rPr>
                <w:sz w:val="18"/>
              </w:rPr>
              <w:t>Unsecured other financial liabilities (ii)</w:t>
            </w:r>
          </w:p>
        </w:tc>
        <w:tc>
          <w:tcPr>
            <w:tcW w:w="1629" w:type="dxa"/>
            <w:tcBorders>
              <w:bottom w:val="single" w:sz="0" w:space="0" w:color="000000"/>
            </w:tcBorders>
          </w:tcPr>
          <w:p>
            <w:pPr>
              <w:pStyle w:val="TableParagraph"/>
              <w:spacing w:before="19"/>
              <w:ind w:right="249"/>
              <w:rPr>
                <w:b/>
                <w:sz w:val="18"/>
              </w:rPr>
            </w:pPr>
            <w:r>
              <w:rPr>
                <w:b/>
                <w:w w:val="99"/>
                <w:sz w:val="18"/>
              </w:rPr>
              <w:t>-</w:t>
            </w:r>
          </w:p>
        </w:tc>
        <w:tc>
          <w:tcPr>
            <w:tcW w:w="1389" w:type="dxa"/>
            <w:tcBorders>
              <w:bottom w:val="single" w:sz="0" w:space="0" w:color="000000"/>
            </w:tcBorders>
          </w:tcPr>
          <w:p>
            <w:pPr>
              <w:pStyle w:val="TableParagraph"/>
              <w:spacing w:before="19"/>
              <w:ind w:right="340"/>
              <w:rPr>
                <w:sz w:val="18"/>
              </w:rPr>
            </w:pPr>
            <w:r>
              <w:rPr>
                <w:w w:val="99"/>
                <w:sz w:val="18"/>
              </w:rPr>
              <w:t>-</w:t>
            </w:r>
          </w:p>
        </w:tc>
        <w:tc>
          <w:tcPr>
            <w:tcW w:w="1523" w:type="dxa"/>
            <w:tcBorders>
              <w:bottom w:val="single" w:sz="0" w:space="0" w:color="000000"/>
            </w:tcBorders>
          </w:tcPr>
          <w:p>
            <w:pPr>
              <w:pStyle w:val="TableParagraph"/>
              <w:spacing w:before="19"/>
              <w:ind w:left="674"/>
              <w:jc w:val="left"/>
              <w:rPr>
                <w:b/>
                <w:sz w:val="18"/>
              </w:rPr>
            </w:pPr>
            <w:r>
              <w:rPr>
                <w:b/>
                <w:sz w:val="18"/>
              </w:rPr>
              <w:t>7,228</w:t>
            </w:r>
          </w:p>
        </w:tc>
        <w:tc>
          <w:tcPr>
            <w:tcW w:w="986" w:type="dxa"/>
            <w:tcBorders>
              <w:bottom w:val="single" w:sz="0" w:space="0" w:color="000000"/>
            </w:tcBorders>
          </w:tcPr>
          <w:p>
            <w:pPr>
              <w:pStyle w:val="TableParagraph"/>
              <w:spacing w:before="19"/>
              <w:ind w:right="85"/>
              <w:rPr>
                <w:sz w:val="18"/>
              </w:rPr>
            </w:pPr>
            <w:r>
              <w:rPr>
                <w:sz w:val="18"/>
              </w:rPr>
              <w:t>7,681</w:t>
            </w:r>
          </w:p>
        </w:tc>
      </w:tr>
      <w:tr>
        <w:trPr>
          <w:trHeight w:val="338" w:hRule="exact"/>
        </w:trPr>
        <w:tc>
          <w:tcPr>
            <w:tcW w:w="332" w:type="dxa"/>
          </w:tcPr>
          <w:p>
            <w:pPr/>
          </w:p>
        </w:tc>
        <w:tc>
          <w:tcPr>
            <w:tcW w:w="4087" w:type="dxa"/>
          </w:tcPr>
          <w:p>
            <w:pPr>
              <w:pStyle w:val="TableParagraph"/>
              <w:spacing w:before="123"/>
              <w:ind w:left="97"/>
              <w:jc w:val="left"/>
              <w:rPr>
                <w:b/>
                <w:sz w:val="18"/>
              </w:rPr>
            </w:pPr>
            <w:r>
              <w:rPr>
                <w:b/>
                <w:sz w:val="18"/>
              </w:rPr>
              <w:t>Total current borrowings</w:t>
            </w:r>
          </w:p>
        </w:tc>
        <w:tc>
          <w:tcPr>
            <w:tcW w:w="1629" w:type="dxa"/>
            <w:tcBorders>
              <w:top w:val="single" w:sz="0" w:space="0" w:color="000000"/>
              <w:bottom w:val="single" w:sz="0" w:space="0" w:color="000000"/>
            </w:tcBorders>
          </w:tcPr>
          <w:p>
            <w:pPr>
              <w:pStyle w:val="TableParagraph"/>
              <w:spacing w:before="122"/>
              <w:ind w:right="249"/>
              <w:rPr>
                <w:b/>
                <w:sz w:val="18"/>
              </w:rPr>
            </w:pPr>
            <w:r>
              <w:rPr>
                <w:b/>
                <w:w w:val="95"/>
                <w:sz w:val="18"/>
              </w:rPr>
              <w:t>72,000</w:t>
            </w:r>
          </w:p>
        </w:tc>
        <w:tc>
          <w:tcPr>
            <w:tcW w:w="1389" w:type="dxa"/>
            <w:tcBorders>
              <w:top w:val="single" w:sz="0" w:space="0" w:color="000000"/>
              <w:bottom w:val="single" w:sz="0" w:space="0" w:color="000000"/>
            </w:tcBorders>
          </w:tcPr>
          <w:p>
            <w:pPr>
              <w:pStyle w:val="TableParagraph"/>
              <w:spacing w:before="122"/>
              <w:ind w:right="340"/>
              <w:rPr>
                <w:sz w:val="18"/>
              </w:rPr>
            </w:pPr>
            <w:r>
              <w:rPr>
                <w:w w:val="99"/>
                <w:sz w:val="18"/>
              </w:rPr>
              <w:t>-</w:t>
            </w:r>
          </w:p>
        </w:tc>
        <w:tc>
          <w:tcPr>
            <w:tcW w:w="1523" w:type="dxa"/>
            <w:tcBorders>
              <w:top w:val="single" w:sz="0" w:space="0" w:color="000000"/>
              <w:bottom w:val="single" w:sz="0" w:space="0" w:color="000000"/>
            </w:tcBorders>
          </w:tcPr>
          <w:p>
            <w:pPr>
              <w:pStyle w:val="TableParagraph"/>
              <w:spacing w:before="122"/>
              <w:ind w:left="574"/>
              <w:jc w:val="left"/>
              <w:rPr>
                <w:b/>
                <w:sz w:val="18"/>
              </w:rPr>
            </w:pPr>
            <w:r>
              <w:rPr>
                <w:b/>
                <w:sz w:val="18"/>
              </w:rPr>
              <w:t>79,228</w:t>
            </w:r>
          </w:p>
        </w:tc>
        <w:tc>
          <w:tcPr>
            <w:tcW w:w="986" w:type="dxa"/>
            <w:tcBorders>
              <w:top w:val="single" w:sz="0" w:space="0" w:color="000000"/>
              <w:bottom w:val="single" w:sz="0" w:space="0" w:color="000000"/>
            </w:tcBorders>
          </w:tcPr>
          <w:p>
            <w:pPr>
              <w:pStyle w:val="TableParagraph"/>
              <w:spacing w:before="122"/>
              <w:ind w:right="85"/>
              <w:rPr>
                <w:sz w:val="18"/>
              </w:rPr>
            </w:pPr>
            <w:r>
              <w:rPr>
                <w:sz w:val="18"/>
              </w:rPr>
              <w:t>7,681</w:t>
            </w:r>
          </w:p>
        </w:tc>
      </w:tr>
      <w:tr>
        <w:trPr>
          <w:trHeight w:val="354" w:hRule="exact"/>
        </w:trPr>
        <w:tc>
          <w:tcPr>
            <w:tcW w:w="332" w:type="dxa"/>
          </w:tcPr>
          <w:p>
            <w:pPr/>
          </w:p>
        </w:tc>
        <w:tc>
          <w:tcPr>
            <w:tcW w:w="4087" w:type="dxa"/>
          </w:tcPr>
          <w:p>
            <w:pPr>
              <w:pStyle w:val="TableParagraph"/>
              <w:spacing w:before="123"/>
              <w:ind w:left="97"/>
              <w:jc w:val="left"/>
              <w:rPr>
                <w:b/>
                <w:sz w:val="18"/>
              </w:rPr>
            </w:pPr>
            <w:r>
              <w:rPr>
                <w:b/>
                <w:sz w:val="18"/>
              </w:rPr>
              <w:t>Non-Current</w:t>
            </w:r>
          </w:p>
        </w:tc>
        <w:tc>
          <w:tcPr>
            <w:tcW w:w="1629" w:type="dxa"/>
            <w:tcBorders>
              <w:top w:val="single" w:sz="0" w:space="0" w:color="000000"/>
            </w:tcBorders>
          </w:tcPr>
          <w:p>
            <w:pPr/>
          </w:p>
        </w:tc>
        <w:tc>
          <w:tcPr>
            <w:tcW w:w="1389" w:type="dxa"/>
            <w:tcBorders>
              <w:top w:val="single" w:sz="0" w:space="0" w:color="000000"/>
            </w:tcBorders>
          </w:tcPr>
          <w:p>
            <w:pPr/>
          </w:p>
        </w:tc>
        <w:tc>
          <w:tcPr>
            <w:tcW w:w="1523" w:type="dxa"/>
            <w:tcBorders>
              <w:top w:val="single" w:sz="0" w:space="0" w:color="000000"/>
            </w:tcBorders>
          </w:tcPr>
          <w:p>
            <w:pPr/>
          </w:p>
        </w:tc>
        <w:tc>
          <w:tcPr>
            <w:tcW w:w="986" w:type="dxa"/>
            <w:tcBorders>
              <w:top w:val="single" w:sz="0" w:space="0" w:color="000000"/>
            </w:tcBorders>
          </w:tcPr>
          <w:p>
            <w:pPr/>
          </w:p>
        </w:tc>
      </w:tr>
      <w:tr>
        <w:trPr>
          <w:trHeight w:val="248" w:hRule="exact"/>
        </w:trPr>
        <w:tc>
          <w:tcPr>
            <w:tcW w:w="332" w:type="dxa"/>
          </w:tcPr>
          <w:p>
            <w:pPr/>
          </w:p>
        </w:tc>
        <w:tc>
          <w:tcPr>
            <w:tcW w:w="4087" w:type="dxa"/>
          </w:tcPr>
          <w:p>
            <w:pPr>
              <w:pStyle w:val="TableParagraph"/>
              <w:spacing w:before="6"/>
              <w:ind w:left="97"/>
              <w:jc w:val="left"/>
              <w:rPr>
                <w:sz w:val="18"/>
              </w:rPr>
            </w:pPr>
            <w:r>
              <w:rPr>
                <w:sz w:val="18"/>
              </w:rPr>
              <w:t>Unsecured bank loans (i)</w:t>
            </w:r>
          </w:p>
        </w:tc>
        <w:tc>
          <w:tcPr>
            <w:tcW w:w="1629" w:type="dxa"/>
            <w:tcBorders>
              <w:bottom w:val="single" w:sz="0" w:space="0" w:color="000000"/>
            </w:tcBorders>
          </w:tcPr>
          <w:p>
            <w:pPr>
              <w:pStyle w:val="TableParagraph"/>
              <w:spacing w:before="4"/>
              <w:ind w:right="249"/>
              <w:rPr>
                <w:b/>
                <w:sz w:val="18"/>
              </w:rPr>
            </w:pPr>
            <w:r>
              <w:rPr>
                <w:b/>
                <w:w w:val="95"/>
                <w:sz w:val="18"/>
              </w:rPr>
              <w:t>83,000</w:t>
            </w:r>
          </w:p>
        </w:tc>
        <w:tc>
          <w:tcPr>
            <w:tcW w:w="1389" w:type="dxa"/>
            <w:tcBorders>
              <w:bottom w:val="single" w:sz="0" w:space="0" w:color="000000"/>
            </w:tcBorders>
          </w:tcPr>
          <w:p>
            <w:pPr>
              <w:pStyle w:val="TableParagraph"/>
              <w:spacing w:before="4"/>
              <w:ind w:right="339"/>
              <w:rPr>
                <w:sz w:val="18"/>
              </w:rPr>
            </w:pPr>
            <w:r>
              <w:rPr>
                <w:w w:val="95"/>
                <w:sz w:val="18"/>
              </w:rPr>
              <w:t>75,500</w:t>
            </w:r>
          </w:p>
        </w:tc>
        <w:tc>
          <w:tcPr>
            <w:tcW w:w="1523" w:type="dxa"/>
            <w:tcBorders>
              <w:bottom w:val="single" w:sz="0" w:space="0" w:color="000000"/>
            </w:tcBorders>
          </w:tcPr>
          <w:p>
            <w:pPr>
              <w:pStyle w:val="TableParagraph"/>
              <w:spacing w:before="4"/>
              <w:ind w:left="574"/>
              <w:jc w:val="left"/>
              <w:rPr>
                <w:b/>
                <w:sz w:val="18"/>
              </w:rPr>
            </w:pPr>
            <w:r>
              <w:rPr>
                <w:b/>
                <w:sz w:val="18"/>
              </w:rPr>
              <w:t>83,000</w:t>
            </w:r>
          </w:p>
        </w:tc>
        <w:tc>
          <w:tcPr>
            <w:tcW w:w="986" w:type="dxa"/>
            <w:tcBorders>
              <w:bottom w:val="single" w:sz="0" w:space="0" w:color="000000"/>
            </w:tcBorders>
          </w:tcPr>
          <w:p>
            <w:pPr>
              <w:pStyle w:val="TableParagraph"/>
              <w:spacing w:before="4"/>
              <w:ind w:right="85"/>
              <w:rPr>
                <w:sz w:val="18"/>
              </w:rPr>
            </w:pPr>
            <w:r>
              <w:rPr>
                <w:w w:val="95"/>
                <w:sz w:val="18"/>
              </w:rPr>
              <w:t>75,500</w:t>
            </w:r>
          </w:p>
        </w:tc>
      </w:tr>
      <w:tr>
        <w:trPr>
          <w:trHeight w:val="338" w:hRule="exact"/>
        </w:trPr>
        <w:tc>
          <w:tcPr>
            <w:tcW w:w="332" w:type="dxa"/>
          </w:tcPr>
          <w:p>
            <w:pPr/>
          </w:p>
        </w:tc>
        <w:tc>
          <w:tcPr>
            <w:tcW w:w="4087" w:type="dxa"/>
          </w:tcPr>
          <w:p>
            <w:pPr>
              <w:pStyle w:val="TableParagraph"/>
              <w:spacing w:before="123"/>
              <w:ind w:left="97"/>
              <w:jc w:val="left"/>
              <w:rPr>
                <w:b/>
                <w:sz w:val="18"/>
              </w:rPr>
            </w:pPr>
            <w:r>
              <w:rPr>
                <w:b/>
                <w:sz w:val="18"/>
              </w:rPr>
              <w:t>Total non-current borrowings</w:t>
            </w:r>
          </w:p>
        </w:tc>
        <w:tc>
          <w:tcPr>
            <w:tcW w:w="1629" w:type="dxa"/>
            <w:tcBorders>
              <w:top w:val="single" w:sz="0" w:space="0" w:color="000000"/>
              <w:bottom w:val="single" w:sz="0" w:space="0" w:color="000000"/>
            </w:tcBorders>
          </w:tcPr>
          <w:p>
            <w:pPr>
              <w:pStyle w:val="TableParagraph"/>
              <w:spacing w:before="122"/>
              <w:ind w:right="249"/>
              <w:rPr>
                <w:b/>
                <w:sz w:val="18"/>
              </w:rPr>
            </w:pPr>
            <w:r>
              <w:rPr>
                <w:b/>
                <w:w w:val="95"/>
                <w:sz w:val="18"/>
              </w:rPr>
              <w:t>83,000</w:t>
            </w:r>
          </w:p>
        </w:tc>
        <w:tc>
          <w:tcPr>
            <w:tcW w:w="1389" w:type="dxa"/>
            <w:tcBorders>
              <w:top w:val="single" w:sz="0" w:space="0" w:color="000000"/>
              <w:bottom w:val="single" w:sz="0" w:space="0" w:color="000000"/>
            </w:tcBorders>
          </w:tcPr>
          <w:p>
            <w:pPr>
              <w:pStyle w:val="TableParagraph"/>
              <w:spacing w:before="122"/>
              <w:ind w:right="339"/>
              <w:rPr>
                <w:sz w:val="18"/>
              </w:rPr>
            </w:pPr>
            <w:r>
              <w:rPr>
                <w:w w:val="95"/>
                <w:sz w:val="18"/>
              </w:rPr>
              <w:t>75,500</w:t>
            </w:r>
          </w:p>
        </w:tc>
        <w:tc>
          <w:tcPr>
            <w:tcW w:w="1523" w:type="dxa"/>
            <w:tcBorders>
              <w:top w:val="single" w:sz="0" w:space="0" w:color="000000"/>
              <w:bottom w:val="single" w:sz="0" w:space="0" w:color="000000"/>
            </w:tcBorders>
          </w:tcPr>
          <w:p>
            <w:pPr>
              <w:pStyle w:val="TableParagraph"/>
              <w:spacing w:before="122"/>
              <w:ind w:left="574"/>
              <w:jc w:val="left"/>
              <w:rPr>
                <w:b/>
                <w:sz w:val="18"/>
              </w:rPr>
            </w:pPr>
            <w:r>
              <w:rPr>
                <w:b/>
                <w:sz w:val="18"/>
              </w:rPr>
              <w:t>83,000</w:t>
            </w:r>
          </w:p>
        </w:tc>
        <w:tc>
          <w:tcPr>
            <w:tcW w:w="986" w:type="dxa"/>
            <w:tcBorders>
              <w:top w:val="single" w:sz="0" w:space="0" w:color="000000"/>
              <w:bottom w:val="single" w:sz="0" w:space="0" w:color="000000"/>
            </w:tcBorders>
          </w:tcPr>
          <w:p>
            <w:pPr>
              <w:pStyle w:val="TableParagraph"/>
              <w:spacing w:before="122"/>
              <w:ind w:right="85"/>
              <w:rPr>
                <w:sz w:val="18"/>
              </w:rPr>
            </w:pPr>
            <w:r>
              <w:rPr>
                <w:w w:val="95"/>
                <w:sz w:val="18"/>
              </w:rPr>
              <w:t>75,500</w:t>
            </w:r>
          </w:p>
        </w:tc>
      </w:tr>
      <w:tr>
        <w:trPr>
          <w:trHeight w:val="353" w:hRule="exact"/>
        </w:trPr>
        <w:tc>
          <w:tcPr>
            <w:tcW w:w="332" w:type="dxa"/>
          </w:tcPr>
          <w:p>
            <w:pPr/>
          </w:p>
        </w:tc>
        <w:tc>
          <w:tcPr>
            <w:tcW w:w="4087" w:type="dxa"/>
          </w:tcPr>
          <w:p>
            <w:pPr>
              <w:pStyle w:val="TableParagraph"/>
              <w:spacing w:before="123"/>
              <w:ind w:left="97"/>
              <w:jc w:val="left"/>
              <w:rPr>
                <w:b/>
                <w:sz w:val="18"/>
              </w:rPr>
            </w:pPr>
            <w:r>
              <w:rPr>
                <w:b/>
                <w:sz w:val="18"/>
              </w:rPr>
              <w:t>Total borrowings</w:t>
            </w:r>
          </w:p>
        </w:tc>
        <w:tc>
          <w:tcPr>
            <w:tcW w:w="1629" w:type="dxa"/>
            <w:tcBorders>
              <w:top w:val="single" w:sz="0" w:space="0" w:color="000000"/>
              <w:bottom w:val="single" w:sz="0" w:space="0" w:color="000000"/>
            </w:tcBorders>
          </w:tcPr>
          <w:p>
            <w:pPr>
              <w:pStyle w:val="TableParagraph"/>
              <w:spacing w:before="122"/>
              <w:ind w:right="249"/>
              <w:rPr>
                <w:b/>
                <w:sz w:val="18"/>
              </w:rPr>
            </w:pPr>
            <w:r>
              <w:rPr>
                <w:b/>
                <w:w w:val="95"/>
                <w:sz w:val="18"/>
              </w:rPr>
              <w:t>155,000</w:t>
            </w:r>
          </w:p>
        </w:tc>
        <w:tc>
          <w:tcPr>
            <w:tcW w:w="1389" w:type="dxa"/>
            <w:tcBorders>
              <w:top w:val="single" w:sz="0" w:space="0" w:color="000000"/>
              <w:bottom w:val="single" w:sz="0" w:space="0" w:color="000000"/>
            </w:tcBorders>
          </w:tcPr>
          <w:p>
            <w:pPr>
              <w:pStyle w:val="TableParagraph"/>
              <w:spacing w:before="122"/>
              <w:ind w:right="341"/>
              <w:rPr>
                <w:sz w:val="18"/>
              </w:rPr>
            </w:pPr>
            <w:r>
              <w:rPr>
                <w:w w:val="95"/>
                <w:sz w:val="18"/>
              </w:rPr>
              <w:t>75,500</w:t>
            </w:r>
          </w:p>
        </w:tc>
        <w:tc>
          <w:tcPr>
            <w:tcW w:w="1523" w:type="dxa"/>
            <w:tcBorders>
              <w:top w:val="single" w:sz="0" w:space="0" w:color="000000"/>
              <w:bottom w:val="single" w:sz="0" w:space="0" w:color="000000"/>
            </w:tcBorders>
          </w:tcPr>
          <w:p>
            <w:pPr>
              <w:pStyle w:val="TableParagraph"/>
              <w:spacing w:before="122"/>
              <w:ind w:left="475"/>
              <w:jc w:val="left"/>
              <w:rPr>
                <w:b/>
                <w:sz w:val="18"/>
              </w:rPr>
            </w:pPr>
            <w:r>
              <w:rPr>
                <w:b/>
                <w:sz w:val="18"/>
              </w:rPr>
              <w:t>162,228</w:t>
            </w:r>
          </w:p>
        </w:tc>
        <w:tc>
          <w:tcPr>
            <w:tcW w:w="986" w:type="dxa"/>
            <w:tcBorders>
              <w:top w:val="single" w:sz="0" w:space="0" w:color="000000"/>
              <w:bottom w:val="single" w:sz="0" w:space="0" w:color="000000"/>
            </w:tcBorders>
          </w:tcPr>
          <w:p>
            <w:pPr>
              <w:pStyle w:val="TableParagraph"/>
              <w:spacing w:before="122"/>
              <w:ind w:right="86"/>
              <w:rPr>
                <w:sz w:val="18"/>
              </w:rPr>
            </w:pPr>
            <w:r>
              <w:rPr>
                <w:w w:val="95"/>
                <w:sz w:val="18"/>
              </w:rPr>
              <w:t>83,181</w:t>
            </w:r>
          </w:p>
        </w:tc>
      </w:tr>
    </w:tbl>
    <w:p>
      <w:pPr>
        <w:pStyle w:val="BodyText"/>
        <w:spacing w:before="6"/>
        <w:rPr>
          <w:sz w:val="20"/>
        </w:rPr>
      </w:pPr>
    </w:p>
    <w:p>
      <w:pPr>
        <w:pStyle w:val="ListParagraph"/>
        <w:numPr>
          <w:ilvl w:val="0"/>
          <w:numId w:val="24"/>
        </w:numPr>
        <w:tabs>
          <w:tab w:pos="2108" w:val="left" w:leader="none"/>
        </w:tabs>
        <w:spacing w:line="240" w:lineRule="auto" w:before="77" w:after="0"/>
        <w:ind w:left="2107" w:right="1605" w:hanging="282"/>
        <w:jc w:val="left"/>
        <w:rPr>
          <w:sz w:val="18"/>
        </w:rPr>
      </w:pPr>
      <w:r>
        <w:rPr>
          <w:sz w:val="18"/>
        </w:rPr>
        <w:t>In October 2013 the University received approval from the Treasurer of New South Wales to increase its borrowing facilities by $70 million to a maximum of $198 million for the construction of new facilities and other infrastructure.</w:t>
      </w:r>
      <w:r>
        <w:rPr>
          <w:spacing w:val="-7"/>
          <w:sz w:val="18"/>
        </w:rPr>
        <w:t> </w:t>
      </w:r>
      <w:r>
        <w:rPr>
          <w:sz w:val="18"/>
        </w:rPr>
        <w:t>Such</w:t>
      </w:r>
      <w:r>
        <w:rPr>
          <w:spacing w:val="-7"/>
          <w:sz w:val="18"/>
        </w:rPr>
        <w:t> </w:t>
      </w:r>
      <w:r>
        <w:rPr>
          <w:sz w:val="18"/>
        </w:rPr>
        <w:t>approval</w:t>
      </w:r>
      <w:r>
        <w:rPr>
          <w:spacing w:val="-7"/>
          <w:sz w:val="18"/>
        </w:rPr>
        <w:t> </w:t>
      </w:r>
      <w:r>
        <w:rPr>
          <w:sz w:val="18"/>
        </w:rPr>
        <w:t>was</w:t>
      </w:r>
      <w:r>
        <w:rPr>
          <w:spacing w:val="-7"/>
          <w:sz w:val="18"/>
        </w:rPr>
        <w:t> </w:t>
      </w:r>
      <w:r>
        <w:rPr>
          <w:sz w:val="18"/>
        </w:rPr>
        <w:t>required</w:t>
      </w:r>
      <w:r>
        <w:rPr>
          <w:spacing w:val="-7"/>
          <w:sz w:val="18"/>
        </w:rPr>
        <w:t> </w:t>
      </w:r>
      <w:r>
        <w:rPr>
          <w:sz w:val="18"/>
        </w:rPr>
        <w:t>under</w:t>
      </w:r>
      <w:r>
        <w:rPr>
          <w:spacing w:val="-7"/>
          <w:sz w:val="18"/>
        </w:rPr>
        <w:t> </w:t>
      </w:r>
      <w:r>
        <w:rPr>
          <w:sz w:val="18"/>
        </w:rPr>
        <w:t>Section</w:t>
      </w:r>
      <w:r>
        <w:rPr>
          <w:spacing w:val="-7"/>
          <w:sz w:val="18"/>
        </w:rPr>
        <w:t> </w:t>
      </w:r>
      <w:r>
        <w:rPr>
          <w:sz w:val="18"/>
        </w:rPr>
        <w:t>22</w:t>
      </w:r>
      <w:r>
        <w:rPr>
          <w:spacing w:val="-7"/>
          <w:sz w:val="18"/>
        </w:rPr>
        <w:t> </w:t>
      </w:r>
      <w:r>
        <w:rPr>
          <w:sz w:val="18"/>
        </w:rPr>
        <w:t>(l)(e)</w:t>
      </w:r>
      <w:r>
        <w:rPr>
          <w:spacing w:val="-7"/>
          <w:sz w:val="18"/>
        </w:rPr>
        <w:t> </w:t>
      </w:r>
      <w:r>
        <w:rPr>
          <w:sz w:val="18"/>
        </w:rPr>
        <w:t>of</w:t>
      </w:r>
      <w:r>
        <w:rPr>
          <w:spacing w:val="-7"/>
          <w:sz w:val="18"/>
        </w:rPr>
        <w:t> </w:t>
      </w:r>
      <w:r>
        <w:rPr>
          <w:sz w:val="18"/>
        </w:rPr>
        <w:t>the</w:t>
      </w:r>
      <w:r>
        <w:rPr>
          <w:spacing w:val="-7"/>
          <w:sz w:val="18"/>
        </w:rPr>
        <w:t> </w:t>
      </w:r>
      <w:r>
        <w:rPr>
          <w:sz w:val="18"/>
        </w:rPr>
        <w:t>Western</w:t>
      </w:r>
      <w:r>
        <w:rPr>
          <w:spacing w:val="-7"/>
          <w:sz w:val="18"/>
        </w:rPr>
        <w:t> </w:t>
      </w:r>
      <w:r>
        <w:rPr>
          <w:sz w:val="18"/>
        </w:rPr>
        <w:t>Sydney</w:t>
      </w:r>
      <w:r>
        <w:rPr>
          <w:spacing w:val="-7"/>
          <w:sz w:val="18"/>
        </w:rPr>
        <w:t> </w:t>
      </w:r>
      <w:r>
        <w:rPr>
          <w:sz w:val="18"/>
        </w:rPr>
        <w:t>University</w:t>
      </w:r>
      <w:r>
        <w:rPr>
          <w:spacing w:val="-7"/>
          <w:sz w:val="18"/>
        </w:rPr>
        <w:t> </w:t>
      </w:r>
      <w:r>
        <w:rPr>
          <w:sz w:val="18"/>
        </w:rPr>
        <w:t>Act</w:t>
      </w:r>
      <w:r>
        <w:rPr>
          <w:spacing w:val="-7"/>
          <w:sz w:val="18"/>
        </w:rPr>
        <w:t> </w:t>
      </w:r>
      <w:r>
        <w:rPr>
          <w:sz w:val="18"/>
        </w:rPr>
        <w:t>1997.The additional</w:t>
      </w:r>
      <w:r>
        <w:rPr>
          <w:spacing w:val="-8"/>
          <w:sz w:val="18"/>
        </w:rPr>
        <w:t> </w:t>
      </w:r>
      <w:r>
        <w:rPr>
          <w:sz w:val="18"/>
        </w:rPr>
        <w:t>facilities</w:t>
      </w:r>
      <w:r>
        <w:rPr>
          <w:spacing w:val="-8"/>
          <w:sz w:val="18"/>
        </w:rPr>
        <w:t> </w:t>
      </w:r>
      <w:r>
        <w:rPr>
          <w:sz w:val="18"/>
        </w:rPr>
        <w:t>were</w:t>
      </w:r>
      <w:r>
        <w:rPr>
          <w:spacing w:val="-8"/>
          <w:sz w:val="18"/>
        </w:rPr>
        <w:t> </w:t>
      </w:r>
      <w:r>
        <w:rPr>
          <w:sz w:val="18"/>
        </w:rPr>
        <w:t>finalised</w:t>
      </w:r>
      <w:r>
        <w:rPr>
          <w:spacing w:val="-8"/>
          <w:sz w:val="18"/>
        </w:rPr>
        <w:t> </w:t>
      </w:r>
      <w:r>
        <w:rPr>
          <w:sz w:val="18"/>
        </w:rPr>
        <w:t>with</w:t>
      </w:r>
      <w:r>
        <w:rPr>
          <w:spacing w:val="-8"/>
          <w:sz w:val="18"/>
        </w:rPr>
        <w:t> </w:t>
      </w:r>
      <w:r>
        <w:rPr>
          <w:sz w:val="18"/>
        </w:rPr>
        <w:t>the</w:t>
      </w:r>
      <w:r>
        <w:rPr>
          <w:spacing w:val="-8"/>
          <w:sz w:val="18"/>
        </w:rPr>
        <w:t> </w:t>
      </w:r>
      <w:r>
        <w:rPr>
          <w:sz w:val="18"/>
        </w:rPr>
        <w:t>University's</w:t>
      </w:r>
      <w:r>
        <w:rPr>
          <w:spacing w:val="-8"/>
          <w:sz w:val="18"/>
        </w:rPr>
        <w:t> </w:t>
      </w:r>
      <w:r>
        <w:rPr>
          <w:sz w:val="18"/>
        </w:rPr>
        <w:t>bank</w:t>
      </w:r>
      <w:r>
        <w:rPr>
          <w:spacing w:val="-8"/>
          <w:sz w:val="18"/>
        </w:rPr>
        <w:t> </w:t>
      </w:r>
      <w:r>
        <w:rPr>
          <w:sz w:val="18"/>
        </w:rPr>
        <w:t>in</w:t>
      </w:r>
      <w:r>
        <w:rPr>
          <w:spacing w:val="-8"/>
          <w:sz w:val="18"/>
        </w:rPr>
        <w:t> </w:t>
      </w:r>
      <w:r>
        <w:rPr>
          <w:sz w:val="18"/>
        </w:rPr>
        <w:t>September</w:t>
      </w:r>
      <w:r>
        <w:rPr>
          <w:spacing w:val="-8"/>
          <w:sz w:val="18"/>
        </w:rPr>
        <w:t> </w:t>
      </w:r>
      <w:r>
        <w:rPr>
          <w:sz w:val="18"/>
        </w:rPr>
        <w:t>2014.</w:t>
      </w:r>
    </w:p>
    <w:p>
      <w:pPr>
        <w:pStyle w:val="BodyText"/>
        <w:spacing w:before="11"/>
        <w:rPr>
          <w:sz w:val="24"/>
        </w:rPr>
      </w:pPr>
    </w:p>
    <w:p>
      <w:pPr>
        <w:pStyle w:val="BodyText"/>
        <w:ind w:left="2107" w:right="1375"/>
      </w:pPr>
      <w:r>
        <w:rPr/>
        <w:drawing>
          <wp:anchor distT="0" distB="0" distL="0" distR="0" allowOverlap="1" layoutInCell="1" locked="0" behindDoc="0" simplePos="0" relativeHeight="4120">
            <wp:simplePos x="0" y="0"/>
            <wp:positionH relativeFrom="page">
              <wp:posOffset>-1587</wp:posOffset>
            </wp:positionH>
            <wp:positionV relativeFrom="paragraph">
              <wp:posOffset>287958</wp:posOffset>
            </wp:positionV>
            <wp:extent cx="135159" cy="154019"/>
            <wp:effectExtent l="0" t="0" r="0" b="0"/>
            <wp:wrapNone/>
            <wp:docPr id="253" name="image13.png" descr=""/>
            <wp:cNvGraphicFramePr>
              <a:graphicFrameLocks noChangeAspect="1"/>
            </wp:cNvGraphicFramePr>
            <a:graphic>
              <a:graphicData uri="http://schemas.openxmlformats.org/drawingml/2006/picture">
                <pic:pic>
                  <pic:nvPicPr>
                    <pic:cNvPr id="254" name="image13.png"/>
                    <pic:cNvPicPr/>
                  </pic:nvPicPr>
                  <pic:blipFill>
                    <a:blip r:embed="rId18" cstate="print"/>
                    <a:stretch>
                      <a:fillRect/>
                    </a:stretch>
                  </pic:blipFill>
                  <pic:spPr>
                    <a:xfrm>
                      <a:off x="0" y="0"/>
                      <a:ext cx="135159" cy="154019"/>
                    </a:xfrm>
                    <a:prstGeom prst="rect">
                      <a:avLst/>
                    </a:prstGeom>
                  </pic:spPr>
                </pic:pic>
              </a:graphicData>
            </a:graphic>
          </wp:anchor>
        </w:drawing>
      </w:r>
      <w:r>
        <w:rPr/>
        <w:drawing>
          <wp:anchor distT="0" distB="0" distL="0" distR="0" allowOverlap="1" layoutInCell="1" locked="0" behindDoc="0" simplePos="0" relativeHeight="4144">
            <wp:simplePos x="0" y="0"/>
            <wp:positionH relativeFrom="page">
              <wp:posOffset>7958429</wp:posOffset>
            </wp:positionH>
            <wp:positionV relativeFrom="paragraph">
              <wp:posOffset>287958</wp:posOffset>
            </wp:positionV>
            <wp:extent cx="135953" cy="155575"/>
            <wp:effectExtent l="0" t="0" r="0" b="0"/>
            <wp:wrapNone/>
            <wp:docPr id="255" name="image15.png" descr=""/>
            <wp:cNvGraphicFramePr>
              <a:graphicFrameLocks noChangeAspect="1"/>
            </wp:cNvGraphicFramePr>
            <a:graphic>
              <a:graphicData uri="http://schemas.openxmlformats.org/drawingml/2006/picture">
                <pic:pic>
                  <pic:nvPicPr>
                    <pic:cNvPr id="256" name="image15.png"/>
                    <pic:cNvPicPr/>
                  </pic:nvPicPr>
                  <pic:blipFill>
                    <a:blip r:embed="rId20" cstate="print"/>
                    <a:stretch>
                      <a:fillRect/>
                    </a:stretch>
                  </pic:blipFill>
                  <pic:spPr>
                    <a:xfrm>
                      <a:off x="0" y="0"/>
                      <a:ext cx="135953" cy="155575"/>
                    </a:xfrm>
                    <a:prstGeom prst="rect">
                      <a:avLst/>
                    </a:prstGeom>
                  </pic:spPr>
                </pic:pic>
              </a:graphicData>
            </a:graphic>
          </wp:anchor>
        </w:drawing>
      </w:r>
      <w:r>
        <w:rPr/>
        <w:t>In November 2016 the borrowing facilities were further increased by $100 million to a maximum $298 million and were finalised with the University's bank in November 2016.</w:t>
      </w:r>
    </w:p>
    <w:p>
      <w:pPr>
        <w:pStyle w:val="BodyText"/>
        <w:spacing w:before="11"/>
        <w:rPr>
          <w:sz w:val="24"/>
        </w:rPr>
      </w:pPr>
    </w:p>
    <w:p>
      <w:pPr>
        <w:pStyle w:val="BodyText"/>
        <w:ind w:left="2107" w:right="2033"/>
      </w:pPr>
      <w:r>
        <w:rPr/>
        <w:t>The interest rate of the loan is variable being based on the BBSY bid rate plus a margin. The interest rate averaged 2.78% during 2016. The loan facilities are unsecured.</w:t>
      </w:r>
    </w:p>
    <w:p>
      <w:pPr>
        <w:pStyle w:val="BodyText"/>
        <w:spacing w:before="11"/>
        <w:rPr>
          <w:sz w:val="24"/>
        </w:rPr>
      </w:pPr>
    </w:p>
    <w:p>
      <w:pPr>
        <w:pStyle w:val="BodyText"/>
        <w:ind w:left="2107"/>
      </w:pPr>
      <w:r>
        <w:rPr/>
        <w:t>The balance of the loan outstanding as at 31 December 2016 was $155.0 million (2015: $75.5 million).</w:t>
      </w:r>
    </w:p>
    <w:p>
      <w:pPr>
        <w:pStyle w:val="BodyText"/>
        <w:spacing w:before="11"/>
        <w:rPr>
          <w:sz w:val="24"/>
        </w:rPr>
      </w:pPr>
    </w:p>
    <w:p>
      <w:pPr>
        <w:pStyle w:val="ListParagraph"/>
        <w:numPr>
          <w:ilvl w:val="0"/>
          <w:numId w:val="24"/>
        </w:numPr>
        <w:tabs>
          <w:tab w:pos="2107" w:val="left" w:leader="none"/>
        </w:tabs>
        <w:spacing w:line="240" w:lineRule="auto" w:before="0" w:after="0"/>
        <w:ind w:left="2124" w:right="1891" w:hanging="299"/>
        <w:jc w:val="left"/>
        <w:rPr>
          <w:sz w:val="18"/>
        </w:rPr>
      </w:pPr>
      <w:r>
        <w:rPr>
          <w:sz w:val="18"/>
        </w:rPr>
        <w:t>Relates</w:t>
      </w:r>
      <w:r>
        <w:rPr>
          <w:spacing w:val="-6"/>
          <w:sz w:val="18"/>
        </w:rPr>
        <w:t> </w:t>
      </w:r>
      <w:r>
        <w:rPr>
          <w:sz w:val="18"/>
        </w:rPr>
        <w:t>to</w:t>
      </w:r>
      <w:r>
        <w:rPr>
          <w:spacing w:val="-6"/>
          <w:sz w:val="18"/>
        </w:rPr>
        <w:t> </w:t>
      </w:r>
      <w:r>
        <w:rPr>
          <w:sz w:val="18"/>
        </w:rPr>
        <w:t>the</w:t>
      </w:r>
      <w:r>
        <w:rPr>
          <w:spacing w:val="-6"/>
          <w:sz w:val="18"/>
        </w:rPr>
        <w:t> </w:t>
      </w:r>
      <w:r>
        <w:rPr>
          <w:sz w:val="18"/>
        </w:rPr>
        <w:t>transfer</w:t>
      </w:r>
      <w:r>
        <w:rPr>
          <w:spacing w:val="-6"/>
          <w:sz w:val="18"/>
        </w:rPr>
        <w:t> </w:t>
      </w:r>
      <w:r>
        <w:rPr>
          <w:sz w:val="18"/>
        </w:rPr>
        <w:t>of</w:t>
      </w:r>
      <w:r>
        <w:rPr>
          <w:spacing w:val="-6"/>
          <w:sz w:val="18"/>
        </w:rPr>
        <w:t> </w:t>
      </w:r>
      <w:r>
        <w:rPr>
          <w:sz w:val="18"/>
        </w:rPr>
        <w:t>UWS</w:t>
      </w:r>
      <w:r>
        <w:rPr>
          <w:spacing w:val="-6"/>
          <w:sz w:val="18"/>
        </w:rPr>
        <w:t> </w:t>
      </w:r>
      <w:r>
        <w:rPr>
          <w:sz w:val="18"/>
        </w:rPr>
        <w:t>Enterprises</w:t>
      </w:r>
      <w:r>
        <w:rPr>
          <w:spacing w:val="-6"/>
          <w:sz w:val="18"/>
        </w:rPr>
        <w:t> </w:t>
      </w:r>
      <w:r>
        <w:rPr>
          <w:sz w:val="18"/>
        </w:rPr>
        <w:t>Pty</w:t>
      </w:r>
      <w:r>
        <w:rPr>
          <w:spacing w:val="-6"/>
          <w:sz w:val="18"/>
        </w:rPr>
        <w:t> </w:t>
      </w:r>
      <w:r>
        <w:rPr>
          <w:sz w:val="18"/>
        </w:rPr>
        <w:t>Limited</w:t>
      </w:r>
      <w:r>
        <w:rPr>
          <w:spacing w:val="-6"/>
          <w:sz w:val="18"/>
        </w:rPr>
        <w:t> </w:t>
      </w:r>
      <w:r>
        <w:rPr>
          <w:sz w:val="18"/>
        </w:rPr>
        <w:t>trading</w:t>
      </w:r>
      <w:r>
        <w:rPr>
          <w:spacing w:val="-6"/>
          <w:sz w:val="18"/>
        </w:rPr>
        <w:t> </w:t>
      </w:r>
      <w:r>
        <w:rPr>
          <w:sz w:val="18"/>
        </w:rPr>
        <w:t>as</w:t>
      </w:r>
      <w:r>
        <w:rPr>
          <w:spacing w:val="-6"/>
          <w:sz w:val="18"/>
        </w:rPr>
        <w:t> </w:t>
      </w:r>
      <w:r>
        <w:rPr>
          <w:sz w:val="18"/>
        </w:rPr>
        <w:t>Western</w:t>
      </w:r>
      <w:r>
        <w:rPr>
          <w:spacing w:val="-6"/>
          <w:sz w:val="18"/>
        </w:rPr>
        <w:t> </w:t>
      </w:r>
      <w:r>
        <w:rPr>
          <w:sz w:val="18"/>
        </w:rPr>
        <w:t>Sydney</w:t>
      </w:r>
      <w:r>
        <w:rPr>
          <w:spacing w:val="-6"/>
          <w:sz w:val="18"/>
        </w:rPr>
        <w:t> </w:t>
      </w:r>
      <w:r>
        <w:rPr>
          <w:sz w:val="18"/>
        </w:rPr>
        <w:t>University</w:t>
      </w:r>
      <w:r>
        <w:rPr>
          <w:spacing w:val="-6"/>
          <w:sz w:val="18"/>
        </w:rPr>
        <w:t> </w:t>
      </w:r>
      <w:r>
        <w:rPr>
          <w:sz w:val="18"/>
        </w:rPr>
        <w:t>The</w:t>
      </w:r>
      <w:r>
        <w:rPr>
          <w:spacing w:val="-6"/>
          <w:sz w:val="18"/>
        </w:rPr>
        <w:t> </w:t>
      </w:r>
      <w:r>
        <w:rPr>
          <w:sz w:val="18"/>
        </w:rPr>
        <w:t>College</w:t>
      </w:r>
      <w:r>
        <w:rPr>
          <w:spacing w:val="-6"/>
          <w:sz w:val="18"/>
        </w:rPr>
        <w:t> </w:t>
      </w:r>
      <w:r>
        <w:rPr>
          <w:sz w:val="18"/>
        </w:rPr>
        <w:t>and UWS</w:t>
      </w:r>
      <w:r>
        <w:rPr>
          <w:spacing w:val="-7"/>
          <w:sz w:val="18"/>
        </w:rPr>
        <w:t> </w:t>
      </w:r>
      <w:r>
        <w:rPr>
          <w:sz w:val="18"/>
        </w:rPr>
        <w:t>Early</w:t>
      </w:r>
      <w:r>
        <w:rPr>
          <w:spacing w:val="-7"/>
          <w:sz w:val="18"/>
        </w:rPr>
        <w:t> </w:t>
      </w:r>
      <w:r>
        <w:rPr>
          <w:sz w:val="18"/>
        </w:rPr>
        <w:t>Learning</w:t>
      </w:r>
      <w:r>
        <w:rPr>
          <w:spacing w:val="-7"/>
          <w:sz w:val="18"/>
        </w:rPr>
        <w:t> </w:t>
      </w:r>
      <w:r>
        <w:rPr>
          <w:sz w:val="18"/>
        </w:rPr>
        <w:t>Limited</w:t>
      </w:r>
      <w:r>
        <w:rPr>
          <w:spacing w:val="-7"/>
          <w:sz w:val="18"/>
        </w:rPr>
        <w:t> </w:t>
      </w:r>
      <w:r>
        <w:rPr>
          <w:sz w:val="18"/>
        </w:rPr>
        <w:t>surplus</w:t>
      </w:r>
      <w:r>
        <w:rPr>
          <w:spacing w:val="-7"/>
          <w:sz w:val="18"/>
        </w:rPr>
        <w:t> </w:t>
      </w:r>
      <w:r>
        <w:rPr>
          <w:sz w:val="18"/>
        </w:rPr>
        <w:t>funds</w:t>
      </w:r>
      <w:r>
        <w:rPr>
          <w:spacing w:val="-7"/>
          <w:sz w:val="18"/>
        </w:rPr>
        <w:t> </w:t>
      </w:r>
      <w:r>
        <w:rPr>
          <w:sz w:val="18"/>
        </w:rPr>
        <w:t>to</w:t>
      </w:r>
      <w:r>
        <w:rPr>
          <w:spacing w:val="-7"/>
          <w:sz w:val="18"/>
        </w:rPr>
        <w:t> </w:t>
      </w:r>
      <w:r>
        <w:rPr>
          <w:sz w:val="18"/>
        </w:rPr>
        <w:t>the</w:t>
      </w:r>
      <w:r>
        <w:rPr>
          <w:spacing w:val="-7"/>
          <w:sz w:val="18"/>
        </w:rPr>
        <w:t> </w:t>
      </w:r>
      <w:r>
        <w:rPr>
          <w:sz w:val="18"/>
        </w:rPr>
        <w:t>University.</w:t>
      </w:r>
    </w:p>
    <w:p>
      <w:pPr>
        <w:pStyle w:val="BodyText"/>
        <w:spacing w:before="11"/>
        <w:rPr>
          <w:sz w:val="24"/>
        </w:rPr>
      </w:pPr>
    </w:p>
    <w:p>
      <w:pPr>
        <w:pStyle w:val="BodyText"/>
        <w:spacing w:line="573" w:lineRule="auto"/>
        <w:ind w:left="2107" w:right="2351"/>
      </w:pPr>
      <w:r>
        <w:rPr/>
        <w:t>The fair value of borrowings equals their carrying amount, as the impact of discounting is not significant. For an analysis of the sensitivity of borrowings to interest rate risk refer to note 35.</w:t>
      </w:r>
    </w:p>
    <w:p>
      <w:pPr>
        <w:pStyle w:val="BodyText"/>
        <w:spacing w:before="8"/>
        <w:ind w:left="2107"/>
      </w:pPr>
      <w:r>
        <w:rPr/>
        <w:t>The carrying amount of the Group's borrowings is denominated in AUD currency.</w:t>
      </w:r>
    </w:p>
    <w:p>
      <w:pPr>
        <w:spacing w:after="0"/>
        <w:sectPr>
          <w:headerReference w:type="default" r:id="rId44"/>
          <w:pgSz w:w="12750" w:h="17680"/>
          <w:pgMar w:header="0" w:footer="907" w:top="2640" w:bottom="1120" w:left="0" w:right="0"/>
        </w:sectPr>
      </w:pPr>
    </w:p>
    <w:p>
      <w:pPr>
        <w:pStyle w:val="BodyText"/>
        <w:rPr>
          <w:sz w:val="20"/>
        </w:rPr>
      </w:pPr>
      <w:r>
        <w:rPr/>
        <w:drawing>
          <wp:anchor distT="0" distB="0" distL="0" distR="0" allowOverlap="1" layoutInCell="1" locked="0" behindDoc="0" simplePos="0" relativeHeight="4168">
            <wp:simplePos x="0" y="0"/>
            <wp:positionH relativeFrom="page">
              <wp:posOffset>-1587</wp:posOffset>
            </wp:positionH>
            <wp:positionV relativeFrom="page">
              <wp:posOffset>5534342</wp:posOffset>
            </wp:positionV>
            <wp:extent cx="135159" cy="154019"/>
            <wp:effectExtent l="0" t="0" r="0" b="0"/>
            <wp:wrapNone/>
            <wp:docPr id="257" name="image13.png" descr=""/>
            <wp:cNvGraphicFramePr>
              <a:graphicFrameLocks noChangeAspect="1"/>
            </wp:cNvGraphicFramePr>
            <a:graphic>
              <a:graphicData uri="http://schemas.openxmlformats.org/drawingml/2006/picture">
                <pic:pic>
                  <pic:nvPicPr>
                    <pic:cNvPr id="258" name="image13.png"/>
                    <pic:cNvPicPr/>
                  </pic:nvPicPr>
                  <pic:blipFill>
                    <a:blip r:embed="rId18" cstate="print"/>
                    <a:stretch>
                      <a:fillRect/>
                    </a:stretch>
                  </pic:blipFill>
                  <pic:spPr>
                    <a:xfrm>
                      <a:off x="0" y="0"/>
                      <a:ext cx="135159" cy="154019"/>
                    </a:xfrm>
                    <a:prstGeom prst="rect">
                      <a:avLst/>
                    </a:prstGeom>
                  </pic:spPr>
                </pic:pic>
              </a:graphicData>
            </a:graphic>
          </wp:anchor>
        </w:drawing>
      </w:r>
      <w:r>
        <w:rPr/>
        <w:drawing>
          <wp:anchor distT="0" distB="0" distL="0" distR="0" allowOverlap="1" layoutInCell="1" locked="0" behindDoc="0" simplePos="0" relativeHeight="4192">
            <wp:simplePos x="0" y="0"/>
            <wp:positionH relativeFrom="page">
              <wp:posOffset>7958429</wp:posOffset>
            </wp:positionH>
            <wp:positionV relativeFrom="page">
              <wp:posOffset>5534342</wp:posOffset>
            </wp:positionV>
            <wp:extent cx="135953" cy="155575"/>
            <wp:effectExtent l="0" t="0" r="0" b="0"/>
            <wp:wrapNone/>
            <wp:docPr id="259" name="image15.png" descr=""/>
            <wp:cNvGraphicFramePr>
              <a:graphicFrameLocks noChangeAspect="1"/>
            </wp:cNvGraphicFramePr>
            <a:graphic>
              <a:graphicData uri="http://schemas.openxmlformats.org/drawingml/2006/picture">
                <pic:pic>
                  <pic:nvPicPr>
                    <pic:cNvPr id="260" name="image15.png"/>
                    <pic:cNvPicPr/>
                  </pic:nvPicPr>
                  <pic:blipFill>
                    <a:blip r:embed="rId20" cstate="print"/>
                    <a:stretch>
                      <a:fillRect/>
                    </a:stretch>
                  </pic:blipFill>
                  <pic:spPr>
                    <a:xfrm>
                      <a:off x="0" y="0"/>
                      <a:ext cx="135953" cy="155575"/>
                    </a:xfrm>
                    <a:prstGeom prst="rect">
                      <a:avLst/>
                    </a:prstGeom>
                  </pic:spPr>
                </pic:pic>
              </a:graphicData>
            </a:graphic>
          </wp:anchor>
        </w:drawing>
      </w:r>
    </w:p>
    <w:p>
      <w:pPr>
        <w:pStyle w:val="BodyText"/>
        <w:rPr>
          <w:sz w:val="20"/>
        </w:rPr>
      </w:pPr>
    </w:p>
    <w:p>
      <w:pPr>
        <w:pStyle w:val="BodyText"/>
        <w:spacing w:before="4"/>
      </w:pPr>
    </w:p>
    <w:p>
      <w:pPr>
        <w:pStyle w:val="Heading8"/>
        <w:numPr>
          <w:ilvl w:val="0"/>
          <w:numId w:val="25"/>
        </w:numPr>
        <w:tabs>
          <w:tab w:pos="1826" w:val="left" w:leader="none"/>
        </w:tabs>
        <w:spacing w:line="240" w:lineRule="auto" w:before="0" w:after="0"/>
        <w:ind w:left="1825" w:right="0" w:hanging="396"/>
        <w:jc w:val="left"/>
      </w:pPr>
      <w:bookmarkStart w:name="(a) Financing arrangements" w:id="99"/>
      <w:bookmarkEnd w:id="99"/>
      <w:r>
        <w:rPr>
          <w:b w:val="0"/>
        </w:rPr>
      </w:r>
      <w:bookmarkStart w:name="(a) Financing arrangements" w:id="100"/>
      <w:bookmarkEnd w:id="100"/>
      <w:r>
        <w:rPr/>
        <w:t>Borro</w:t>
      </w:r>
      <w:r>
        <w:rPr/>
        <w:t>wings (continued)</w:t>
      </w:r>
    </w:p>
    <w:p>
      <w:pPr>
        <w:pStyle w:val="BodyText"/>
        <w:spacing w:before="7"/>
        <w:rPr>
          <w:b/>
          <w:sz w:val="26"/>
        </w:rPr>
      </w:pPr>
    </w:p>
    <w:p>
      <w:pPr>
        <w:pStyle w:val="ListParagraph"/>
        <w:numPr>
          <w:ilvl w:val="1"/>
          <w:numId w:val="25"/>
        </w:numPr>
        <w:tabs>
          <w:tab w:pos="2392" w:val="left" w:leader="none"/>
        </w:tabs>
        <w:spacing w:line="240" w:lineRule="auto" w:before="0" w:after="0"/>
        <w:ind w:left="2391" w:right="0" w:hanging="566"/>
        <w:jc w:val="left"/>
        <w:rPr>
          <w:sz w:val="18"/>
        </w:rPr>
      </w:pPr>
      <w:r>
        <w:rPr>
          <w:sz w:val="18"/>
        </w:rPr>
        <w:t>Financing</w:t>
      </w:r>
      <w:r>
        <w:rPr>
          <w:spacing w:val="-22"/>
          <w:sz w:val="18"/>
        </w:rPr>
        <w:t> </w:t>
      </w:r>
      <w:r>
        <w:rPr>
          <w:sz w:val="18"/>
        </w:rPr>
        <w:t>arrangements</w:t>
      </w:r>
    </w:p>
    <w:p>
      <w:pPr>
        <w:pStyle w:val="BodyText"/>
        <w:spacing w:before="4"/>
        <w:rPr>
          <w:sz w:val="25"/>
        </w:rPr>
      </w:pPr>
    </w:p>
    <w:p>
      <w:pPr>
        <w:pStyle w:val="BodyText"/>
        <w:ind w:left="2390"/>
      </w:pPr>
      <w:r>
        <w:rPr/>
        <w:t>Unrestricted access was available at reporting date to the following lines of credit:</w:t>
      </w:r>
    </w:p>
    <w:p>
      <w:pPr>
        <w:pStyle w:val="BodyText"/>
      </w:pPr>
    </w:p>
    <w:p>
      <w:pPr>
        <w:pStyle w:val="BodyText"/>
      </w:pPr>
    </w:p>
    <w:p>
      <w:pPr>
        <w:pStyle w:val="Heading8"/>
        <w:tabs>
          <w:tab w:pos="9682" w:val="left" w:leader="none"/>
        </w:tabs>
        <w:spacing w:before="113" w:after="36"/>
        <w:ind w:left="6641"/>
      </w:pPr>
      <w:r>
        <w:rPr/>
        <w:t>Consolidated</w:t>
        <w:tab/>
        <w:t>Parent</w:t>
      </w:r>
    </w:p>
    <w:tbl>
      <w:tblPr>
        <w:tblW w:w="0" w:type="auto"/>
        <w:jc w:val="left"/>
        <w:tblInd w:w="238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431"/>
        <w:gridCol w:w="1659"/>
        <w:gridCol w:w="1389"/>
        <w:gridCol w:w="1375"/>
        <w:gridCol w:w="1105"/>
      </w:tblGrid>
      <w:tr>
        <w:trPr>
          <w:trHeight w:val="594" w:hRule="exact"/>
        </w:trPr>
        <w:tc>
          <w:tcPr>
            <w:tcW w:w="3431" w:type="dxa"/>
          </w:tcPr>
          <w:p>
            <w:pPr/>
          </w:p>
        </w:tc>
        <w:tc>
          <w:tcPr>
            <w:tcW w:w="1659" w:type="dxa"/>
          </w:tcPr>
          <w:p>
            <w:pPr>
              <w:pStyle w:val="TableParagraph"/>
              <w:spacing w:before="30"/>
              <w:ind w:left="576" w:right="598"/>
              <w:jc w:val="center"/>
              <w:rPr>
                <w:b/>
                <w:sz w:val="18"/>
              </w:rPr>
            </w:pPr>
            <w:r>
              <w:rPr>
                <w:b/>
                <w:sz w:val="18"/>
              </w:rPr>
              <w:t>2016</w:t>
            </w:r>
          </w:p>
          <w:p>
            <w:pPr>
              <w:pStyle w:val="TableParagraph"/>
              <w:spacing w:before="66"/>
              <w:ind w:left="576" w:right="598"/>
              <w:jc w:val="center"/>
              <w:rPr>
                <w:b/>
                <w:sz w:val="18"/>
              </w:rPr>
            </w:pPr>
            <w:r>
              <w:rPr>
                <w:b/>
                <w:sz w:val="18"/>
              </w:rPr>
              <w:t>$'000</w:t>
            </w:r>
          </w:p>
        </w:tc>
        <w:tc>
          <w:tcPr>
            <w:tcW w:w="1389" w:type="dxa"/>
          </w:tcPr>
          <w:p>
            <w:pPr>
              <w:pStyle w:val="TableParagraph"/>
              <w:spacing w:before="30"/>
              <w:ind w:left="243"/>
              <w:jc w:val="left"/>
              <w:rPr>
                <w:b/>
                <w:sz w:val="18"/>
              </w:rPr>
            </w:pPr>
            <w:r>
              <w:rPr>
                <w:b/>
                <w:sz w:val="18"/>
              </w:rPr>
              <w:t>2015</w:t>
            </w:r>
          </w:p>
          <w:p>
            <w:pPr>
              <w:pStyle w:val="TableParagraph"/>
              <w:spacing w:before="66"/>
              <w:ind w:left="221"/>
              <w:jc w:val="left"/>
              <w:rPr>
                <w:b/>
                <w:sz w:val="18"/>
              </w:rPr>
            </w:pPr>
            <w:r>
              <w:rPr>
                <w:b/>
                <w:sz w:val="18"/>
              </w:rPr>
              <w:t>$'000</w:t>
            </w:r>
          </w:p>
        </w:tc>
        <w:tc>
          <w:tcPr>
            <w:tcW w:w="1375" w:type="dxa"/>
          </w:tcPr>
          <w:p>
            <w:pPr>
              <w:pStyle w:val="TableParagraph"/>
              <w:spacing w:before="30"/>
              <w:ind w:left="333"/>
              <w:jc w:val="left"/>
              <w:rPr>
                <w:b/>
                <w:sz w:val="18"/>
              </w:rPr>
            </w:pPr>
            <w:r>
              <w:rPr>
                <w:b/>
                <w:sz w:val="18"/>
              </w:rPr>
              <w:t>2016</w:t>
            </w:r>
          </w:p>
          <w:p>
            <w:pPr>
              <w:pStyle w:val="TableParagraph"/>
              <w:spacing w:before="66"/>
              <w:ind w:left="312"/>
              <w:jc w:val="left"/>
              <w:rPr>
                <w:b/>
                <w:sz w:val="18"/>
              </w:rPr>
            </w:pPr>
            <w:r>
              <w:rPr>
                <w:b/>
                <w:sz w:val="18"/>
              </w:rPr>
              <w:t>$'000</w:t>
            </w:r>
          </w:p>
        </w:tc>
        <w:tc>
          <w:tcPr>
            <w:tcW w:w="1105" w:type="dxa"/>
          </w:tcPr>
          <w:p>
            <w:pPr>
              <w:pStyle w:val="TableParagraph"/>
              <w:spacing w:before="30"/>
              <w:ind w:left="243"/>
              <w:jc w:val="left"/>
              <w:rPr>
                <w:b/>
                <w:sz w:val="18"/>
              </w:rPr>
            </w:pPr>
            <w:r>
              <w:rPr>
                <w:b/>
                <w:sz w:val="18"/>
              </w:rPr>
              <w:t>2015</w:t>
            </w:r>
          </w:p>
          <w:p>
            <w:pPr>
              <w:pStyle w:val="TableParagraph"/>
              <w:spacing w:before="66"/>
              <w:ind w:left="221"/>
              <w:jc w:val="left"/>
              <w:rPr>
                <w:b/>
                <w:sz w:val="18"/>
              </w:rPr>
            </w:pPr>
            <w:r>
              <w:rPr>
                <w:b/>
                <w:sz w:val="18"/>
              </w:rPr>
              <w:t>$'000</w:t>
            </w:r>
          </w:p>
        </w:tc>
      </w:tr>
      <w:tr>
        <w:trPr>
          <w:trHeight w:val="478" w:hRule="exact"/>
        </w:trPr>
        <w:tc>
          <w:tcPr>
            <w:tcW w:w="3431" w:type="dxa"/>
          </w:tcPr>
          <w:p>
            <w:pPr>
              <w:pStyle w:val="TableParagraph"/>
              <w:spacing w:before="63"/>
              <w:ind w:left="35" w:right="594"/>
              <w:jc w:val="left"/>
              <w:rPr>
                <w:b/>
                <w:sz w:val="18"/>
              </w:rPr>
            </w:pPr>
            <w:r>
              <w:rPr>
                <w:b/>
                <w:sz w:val="18"/>
              </w:rPr>
              <w:t>Credit standby arrangements</w:t>
            </w:r>
          </w:p>
        </w:tc>
        <w:tc>
          <w:tcPr>
            <w:tcW w:w="1659" w:type="dxa"/>
          </w:tcPr>
          <w:p>
            <w:pPr/>
          </w:p>
        </w:tc>
        <w:tc>
          <w:tcPr>
            <w:tcW w:w="1389" w:type="dxa"/>
          </w:tcPr>
          <w:p>
            <w:pPr/>
          </w:p>
        </w:tc>
        <w:tc>
          <w:tcPr>
            <w:tcW w:w="1375" w:type="dxa"/>
          </w:tcPr>
          <w:p>
            <w:pPr/>
          </w:p>
        </w:tc>
        <w:tc>
          <w:tcPr>
            <w:tcW w:w="1105" w:type="dxa"/>
          </w:tcPr>
          <w:p>
            <w:pPr/>
          </w:p>
        </w:tc>
      </w:tr>
      <w:tr>
        <w:trPr>
          <w:trHeight w:val="419" w:hRule="exact"/>
        </w:trPr>
        <w:tc>
          <w:tcPr>
            <w:tcW w:w="3431" w:type="dxa"/>
          </w:tcPr>
          <w:p>
            <w:pPr>
              <w:pStyle w:val="TableParagraph"/>
              <w:spacing w:before="4"/>
              <w:jc w:val="left"/>
              <w:rPr>
                <w:b/>
                <w:sz w:val="16"/>
              </w:rPr>
            </w:pPr>
          </w:p>
          <w:p>
            <w:pPr>
              <w:pStyle w:val="TableParagraph"/>
              <w:ind w:left="35" w:right="594"/>
              <w:jc w:val="left"/>
              <w:rPr>
                <w:b/>
                <w:sz w:val="18"/>
              </w:rPr>
            </w:pPr>
            <w:r>
              <w:rPr>
                <w:b/>
                <w:sz w:val="18"/>
              </w:rPr>
              <w:t>Total facilities</w:t>
            </w:r>
          </w:p>
        </w:tc>
        <w:tc>
          <w:tcPr>
            <w:tcW w:w="1659" w:type="dxa"/>
          </w:tcPr>
          <w:p>
            <w:pPr/>
          </w:p>
        </w:tc>
        <w:tc>
          <w:tcPr>
            <w:tcW w:w="1389" w:type="dxa"/>
          </w:tcPr>
          <w:p>
            <w:pPr/>
          </w:p>
        </w:tc>
        <w:tc>
          <w:tcPr>
            <w:tcW w:w="1375" w:type="dxa"/>
          </w:tcPr>
          <w:p>
            <w:pPr/>
          </w:p>
        </w:tc>
        <w:tc>
          <w:tcPr>
            <w:tcW w:w="1105" w:type="dxa"/>
          </w:tcPr>
          <w:p>
            <w:pPr/>
          </w:p>
        </w:tc>
      </w:tr>
      <w:tr>
        <w:trPr>
          <w:trHeight w:val="250" w:hRule="exact"/>
        </w:trPr>
        <w:tc>
          <w:tcPr>
            <w:tcW w:w="3431" w:type="dxa"/>
          </w:tcPr>
          <w:p>
            <w:pPr>
              <w:pStyle w:val="TableParagraph"/>
              <w:spacing w:before="6"/>
              <w:ind w:left="249" w:right="594"/>
              <w:jc w:val="left"/>
              <w:rPr>
                <w:sz w:val="18"/>
              </w:rPr>
            </w:pPr>
            <w:r>
              <w:rPr>
                <w:sz w:val="18"/>
              </w:rPr>
              <w:t>Bank guarantees</w:t>
            </w:r>
          </w:p>
        </w:tc>
        <w:tc>
          <w:tcPr>
            <w:tcW w:w="1659" w:type="dxa"/>
          </w:tcPr>
          <w:p>
            <w:pPr>
              <w:pStyle w:val="TableParagraph"/>
              <w:spacing w:before="4"/>
              <w:ind w:right="279"/>
              <w:rPr>
                <w:b/>
                <w:sz w:val="18"/>
              </w:rPr>
            </w:pPr>
            <w:r>
              <w:rPr>
                <w:b/>
                <w:sz w:val="18"/>
              </w:rPr>
              <w:t>825</w:t>
            </w:r>
          </w:p>
        </w:tc>
        <w:tc>
          <w:tcPr>
            <w:tcW w:w="1389" w:type="dxa"/>
          </w:tcPr>
          <w:p>
            <w:pPr>
              <w:pStyle w:val="TableParagraph"/>
              <w:spacing w:before="4"/>
              <w:ind w:right="369"/>
              <w:rPr>
                <w:sz w:val="18"/>
              </w:rPr>
            </w:pPr>
            <w:r>
              <w:rPr>
                <w:sz w:val="18"/>
              </w:rPr>
              <w:t>575</w:t>
            </w:r>
          </w:p>
        </w:tc>
        <w:tc>
          <w:tcPr>
            <w:tcW w:w="1375" w:type="dxa"/>
          </w:tcPr>
          <w:p>
            <w:pPr>
              <w:pStyle w:val="TableParagraph"/>
              <w:spacing w:before="4"/>
              <w:ind w:right="279"/>
              <w:rPr>
                <w:b/>
                <w:sz w:val="18"/>
              </w:rPr>
            </w:pPr>
            <w:r>
              <w:rPr>
                <w:b/>
                <w:sz w:val="18"/>
              </w:rPr>
              <w:t>825</w:t>
            </w:r>
          </w:p>
        </w:tc>
        <w:tc>
          <w:tcPr>
            <w:tcW w:w="1105" w:type="dxa"/>
          </w:tcPr>
          <w:p>
            <w:pPr>
              <w:pStyle w:val="TableParagraph"/>
              <w:spacing w:before="4"/>
              <w:ind w:right="85"/>
              <w:rPr>
                <w:sz w:val="18"/>
              </w:rPr>
            </w:pPr>
            <w:r>
              <w:rPr>
                <w:sz w:val="18"/>
              </w:rPr>
              <w:t>575</w:t>
            </w:r>
          </w:p>
        </w:tc>
      </w:tr>
      <w:tr>
        <w:trPr>
          <w:trHeight w:val="264" w:hRule="exact"/>
        </w:trPr>
        <w:tc>
          <w:tcPr>
            <w:tcW w:w="3431" w:type="dxa"/>
          </w:tcPr>
          <w:p>
            <w:pPr>
              <w:pStyle w:val="TableParagraph"/>
              <w:spacing w:before="19"/>
              <w:ind w:left="249" w:right="594"/>
              <w:jc w:val="left"/>
              <w:rPr>
                <w:sz w:val="18"/>
              </w:rPr>
            </w:pPr>
            <w:r>
              <w:rPr>
                <w:sz w:val="18"/>
              </w:rPr>
              <w:t>Credit cards</w:t>
            </w:r>
          </w:p>
        </w:tc>
        <w:tc>
          <w:tcPr>
            <w:tcW w:w="1659" w:type="dxa"/>
          </w:tcPr>
          <w:p>
            <w:pPr>
              <w:pStyle w:val="TableParagraph"/>
              <w:spacing w:before="18"/>
              <w:ind w:right="280"/>
              <w:rPr>
                <w:b/>
                <w:sz w:val="18"/>
              </w:rPr>
            </w:pPr>
            <w:r>
              <w:rPr>
                <w:b/>
                <w:sz w:val="18"/>
              </w:rPr>
              <w:t>4,500</w:t>
            </w:r>
          </w:p>
        </w:tc>
        <w:tc>
          <w:tcPr>
            <w:tcW w:w="1389" w:type="dxa"/>
          </w:tcPr>
          <w:p>
            <w:pPr>
              <w:pStyle w:val="TableParagraph"/>
              <w:spacing w:before="18"/>
              <w:ind w:right="369"/>
              <w:rPr>
                <w:sz w:val="18"/>
              </w:rPr>
            </w:pPr>
            <w:r>
              <w:rPr>
                <w:sz w:val="18"/>
              </w:rPr>
              <w:t>4,570</w:t>
            </w:r>
          </w:p>
        </w:tc>
        <w:tc>
          <w:tcPr>
            <w:tcW w:w="1375" w:type="dxa"/>
          </w:tcPr>
          <w:p>
            <w:pPr>
              <w:pStyle w:val="TableParagraph"/>
              <w:spacing w:before="18"/>
              <w:ind w:right="280"/>
              <w:rPr>
                <w:b/>
                <w:sz w:val="18"/>
              </w:rPr>
            </w:pPr>
            <w:r>
              <w:rPr>
                <w:b/>
                <w:sz w:val="18"/>
              </w:rPr>
              <w:t>4,500</w:t>
            </w:r>
          </w:p>
        </w:tc>
        <w:tc>
          <w:tcPr>
            <w:tcW w:w="1105" w:type="dxa"/>
          </w:tcPr>
          <w:p>
            <w:pPr>
              <w:pStyle w:val="TableParagraph"/>
              <w:spacing w:before="18"/>
              <w:ind w:right="85"/>
              <w:rPr>
                <w:sz w:val="18"/>
              </w:rPr>
            </w:pPr>
            <w:r>
              <w:rPr>
                <w:sz w:val="18"/>
              </w:rPr>
              <w:t>4,500</w:t>
            </w:r>
          </w:p>
        </w:tc>
      </w:tr>
      <w:tr>
        <w:trPr>
          <w:trHeight w:val="262" w:hRule="exact"/>
        </w:trPr>
        <w:tc>
          <w:tcPr>
            <w:tcW w:w="3431" w:type="dxa"/>
          </w:tcPr>
          <w:p>
            <w:pPr>
              <w:pStyle w:val="TableParagraph"/>
              <w:spacing w:before="19"/>
              <w:ind w:left="249" w:right="594"/>
              <w:jc w:val="left"/>
              <w:rPr>
                <w:sz w:val="18"/>
              </w:rPr>
            </w:pPr>
            <w:r>
              <w:rPr>
                <w:sz w:val="18"/>
              </w:rPr>
              <w:t>Leasing facilities</w:t>
            </w:r>
          </w:p>
        </w:tc>
        <w:tc>
          <w:tcPr>
            <w:tcW w:w="1659" w:type="dxa"/>
            <w:tcBorders>
              <w:bottom w:val="single" w:sz="0" w:space="0" w:color="000000"/>
            </w:tcBorders>
          </w:tcPr>
          <w:p>
            <w:pPr>
              <w:pStyle w:val="TableParagraph"/>
              <w:spacing w:before="18"/>
              <w:ind w:right="279"/>
              <w:rPr>
                <w:b/>
                <w:sz w:val="18"/>
              </w:rPr>
            </w:pPr>
            <w:r>
              <w:rPr>
                <w:b/>
                <w:w w:val="95"/>
                <w:sz w:val="18"/>
              </w:rPr>
              <w:t>26,000</w:t>
            </w:r>
          </w:p>
        </w:tc>
        <w:tc>
          <w:tcPr>
            <w:tcW w:w="1389" w:type="dxa"/>
            <w:tcBorders>
              <w:bottom w:val="single" w:sz="0" w:space="0" w:color="000000"/>
            </w:tcBorders>
          </w:tcPr>
          <w:p>
            <w:pPr>
              <w:pStyle w:val="TableParagraph"/>
              <w:spacing w:before="18"/>
              <w:ind w:right="369"/>
              <w:rPr>
                <w:sz w:val="18"/>
              </w:rPr>
            </w:pPr>
            <w:r>
              <w:rPr>
                <w:w w:val="95"/>
                <w:sz w:val="18"/>
              </w:rPr>
              <w:t>28,011</w:t>
            </w:r>
          </w:p>
        </w:tc>
        <w:tc>
          <w:tcPr>
            <w:tcW w:w="1375" w:type="dxa"/>
            <w:tcBorders>
              <w:bottom w:val="single" w:sz="0" w:space="0" w:color="000000"/>
            </w:tcBorders>
          </w:tcPr>
          <w:p>
            <w:pPr>
              <w:pStyle w:val="TableParagraph"/>
              <w:spacing w:before="18"/>
              <w:ind w:left="544"/>
              <w:jc w:val="left"/>
              <w:rPr>
                <w:b/>
                <w:sz w:val="18"/>
              </w:rPr>
            </w:pPr>
            <w:r>
              <w:rPr>
                <w:b/>
                <w:sz w:val="18"/>
              </w:rPr>
              <w:t>26,000</w:t>
            </w:r>
          </w:p>
        </w:tc>
        <w:tc>
          <w:tcPr>
            <w:tcW w:w="1105" w:type="dxa"/>
            <w:tcBorders>
              <w:bottom w:val="single" w:sz="0" w:space="0" w:color="000000"/>
            </w:tcBorders>
          </w:tcPr>
          <w:p>
            <w:pPr>
              <w:pStyle w:val="TableParagraph"/>
              <w:spacing w:before="18"/>
              <w:ind w:right="85"/>
              <w:rPr>
                <w:sz w:val="18"/>
              </w:rPr>
            </w:pPr>
            <w:r>
              <w:rPr>
                <w:w w:val="95"/>
                <w:sz w:val="18"/>
              </w:rPr>
              <w:t>26,000</w:t>
            </w:r>
          </w:p>
        </w:tc>
      </w:tr>
      <w:tr>
        <w:trPr>
          <w:trHeight w:val="560" w:hRule="exact"/>
        </w:trPr>
        <w:tc>
          <w:tcPr>
            <w:tcW w:w="3431" w:type="dxa"/>
          </w:tcPr>
          <w:p>
            <w:pPr>
              <w:pStyle w:val="TableParagraph"/>
              <w:spacing w:before="123"/>
              <w:ind w:left="35" w:right="1665"/>
              <w:jc w:val="left"/>
              <w:rPr>
                <w:b/>
                <w:sz w:val="18"/>
              </w:rPr>
            </w:pPr>
            <w:r>
              <w:rPr>
                <w:b/>
                <w:sz w:val="18"/>
              </w:rPr>
              <w:t>Total credit standby arrangements</w:t>
            </w:r>
          </w:p>
        </w:tc>
        <w:tc>
          <w:tcPr>
            <w:tcW w:w="1659" w:type="dxa"/>
            <w:tcBorders>
              <w:top w:val="single" w:sz="0" w:space="0" w:color="000000"/>
              <w:bottom w:val="single" w:sz="0" w:space="0" w:color="000000"/>
            </w:tcBorders>
          </w:tcPr>
          <w:p>
            <w:pPr>
              <w:pStyle w:val="TableParagraph"/>
              <w:jc w:val="left"/>
              <w:rPr>
                <w:b/>
                <w:sz w:val="18"/>
              </w:rPr>
            </w:pPr>
          </w:p>
          <w:p>
            <w:pPr>
              <w:pStyle w:val="TableParagraph"/>
              <w:spacing w:before="122"/>
              <w:ind w:right="279"/>
              <w:rPr>
                <w:b/>
                <w:sz w:val="18"/>
              </w:rPr>
            </w:pPr>
            <w:r>
              <w:rPr>
                <w:b/>
                <w:w w:val="95"/>
                <w:sz w:val="18"/>
              </w:rPr>
              <w:t>31,325</w:t>
            </w:r>
          </w:p>
        </w:tc>
        <w:tc>
          <w:tcPr>
            <w:tcW w:w="1389" w:type="dxa"/>
            <w:tcBorders>
              <w:top w:val="single" w:sz="0" w:space="0" w:color="000000"/>
              <w:bottom w:val="single" w:sz="0" w:space="0" w:color="000000"/>
            </w:tcBorders>
          </w:tcPr>
          <w:p>
            <w:pPr>
              <w:pStyle w:val="TableParagraph"/>
              <w:jc w:val="left"/>
              <w:rPr>
                <w:b/>
                <w:sz w:val="18"/>
              </w:rPr>
            </w:pPr>
          </w:p>
          <w:p>
            <w:pPr>
              <w:pStyle w:val="TableParagraph"/>
              <w:spacing w:before="122"/>
              <w:ind w:right="369"/>
              <w:rPr>
                <w:sz w:val="18"/>
              </w:rPr>
            </w:pPr>
            <w:r>
              <w:rPr>
                <w:w w:val="95"/>
                <w:sz w:val="18"/>
              </w:rPr>
              <w:t>33,156</w:t>
            </w:r>
          </w:p>
        </w:tc>
        <w:tc>
          <w:tcPr>
            <w:tcW w:w="1375" w:type="dxa"/>
            <w:tcBorders>
              <w:top w:val="single" w:sz="0" w:space="0" w:color="000000"/>
              <w:bottom w:val="single" w:sz="0" w:space="0" w:color="000000"/>
            </w:tcBorders>
          </w:tcPr>
          <w:p>
            <w:pPr>
              <w:pStyle w:val="TableParagraph"/>
              <w:jc w:val="left"/>
              <w:rPr>
                <w:b/>
                <w:sz w:val="18"/>
              </w:rPr>
            </w:pPr>
          </w:p>
          <w:p>
            <w:pPr>
              <w:pStyle w:val="TableParagraph"/>
              <w:spacing w:before="122"/>
              <w:ind w:left="544"/>
              <w:jc w:val="left"/>
              <w:rPr>
                <w:b/>
                <w:sz w:val="18"/>
              </w:rPr>
            </w:pPr>
            <w:r>
              <w:rPr>
                <w:b/>
                <w:sz w:val="18"/>
              </w:rPr>
              <w:t>31,325</w:t>
            </w:r>
          </w:p>
        </w:tc>
        <w:tc>
          <w:tcPr>
            <w:tcW w:w="1105" w:type="dxa"/>
            <w:tcBorders>
              <w:top w:val="single" w:sz="0" w:space="0" w:color="000000"/>
              <w:bottom w:val="single" w:sz="0" w:space="0" w:color="000000"/>
            </w:tcBorders>
          </w:tcPr>
          <w:p>
            <w:pPr>
              <w:pStyle w:val="TableParagraph"/>
              <w:jc w:val="left"/>
              <w:rPr>
                <w:b/>
                <w:sz w:val="18"/>
              </w:rPr>
            </w:pPr>
          </w:p>
          <w:p>
            <w:pPr>
              <w:pStyle w:val="TableParagraph"/>
              <w:spacing w:before="122"/>
              <w:ind w:right="85"/>
              <w:rPr>
                <w:sz w:val="18"/>
              </w:rPr>
            </w:pPr>
            <w:r>
              <w:rPr>
                <w:w w:val="95"/>
                <w:sz w:val="18"/>
              </w:rPr>
              <w:t>31,075</w:t>
            </w:r>
          </w:p>
        </w:tc>
      </w:tr>
      <w:tr>
        <w:trPr>
          <w:trHeight w:val="511" w:hRule="exact"/>
        </w:trPr>
        <w:tc>
          <w:tcPr>
            <w:tcW w:w="3431" w:type="dxa"/>
          </w:tcPr>
          <w:p>
            <w:pPr>
              <w:pStyle w:val="TableParagraph"/>
              <w:spacing w:before="138"/>
              <w:ind w:left="35" w:right="594"/>
              <w:jc w:val="left"/>
              <w:rPr>
                <w:b/>
                <w:sz w:val="18"/>
              </w:rPr>
            </w:pPr>
            <w:r>
              <w:rPr>
                <w:b/>
                <w:sz w:val="18"/>
              </w:rPr>
              <w:t>Used at balance date</w:t>
            </w:r>
          </w:p>
        </w:tc>
        <w:tc>
          <w:tcPr>
            <w:tcW w:w="1659" w:type="dxa"/>
            <w:tcBorders>
              <w:top w:val="single" w:sz="0" w:space="0" w:color="000000"/>
            </w:tcBorders>
          </w:tcPr>
          <w:p>
            <w:pPr/>
          </w:p>
        </w:tc>
        <w:tc>
          <w:tcPr>
            <w:tcW w:w="1389" w:type="dxa"/>
            <w:tcBorders>
              <w:top w:val="single" w:sz="0" w:space="0" w:color="000000"/>
            </w:tcBorders>
          </w:tcPr>
          <w:p>
            <w:pPr/>
          </w:p>
        </w:tc>
        <w:tc>
          <w:tcPr>
            <w:tcW w:w="1375" w:type="dxa"/>
            <w:tcBorders>
              <w:top w:val="single" w:sz="0" w:space="0" w:color="000000"/>
            </w:tcBorders>
          </w:tcPr>
          <w:p>
            <w:pPr/>
          </w:p>
        </w:tc>
        <w:tc>
          <w:tcPr>
            <w:tcW w:w="1105" w:type="dxa"/>
            <w:tcBorders>
              <w:top w:val="single" w:sz="0" w:space="0" w:color="000000"/>
            </w:tcBorders>
          </w:tcPr>
          <w:p>
            <w:pPr/>
          </w:p>
        </w:tc>
      </w:tr>
      <w:tr>
        <w:trPr>
          <w:trHeight w:val="391" w:hRule="exact"/>
        </w:trPr>
        <w:tc>
          <w:tcPr>
            <w:tcW w:w="3431" w:type="dxa"/>
          </w:tcPr>
          <w:p>
            <w:pPr>
              <w:pStyle w:val="TableParagraph"/>
              <w:spacing w:before="146"/>
              <w:ind w:left="249" w:right="594"/>
              <w:jc w:val="left"/>
              <w:rPr>
                <w:sz w:val="18"/>
              </w:rPr>
            </w:pPr>
            <w:r>
              <w:rPr>
                <w:sz w:val="18"/>
              </w:rPr>
              <w:t>Bank guarantees</w:t>
            </w:r>
          </w:p>
        </w:tc>
        <w:tc>
          <w:tcPr>
            <w:tcW w:w="1659" w:type="dxa"/>
          </w:tcPr>
          <w:p>
            <w:pPr>
              <w:pStyle w:val="TableParagraph"/>
              <w:spacing w:before="146"/>
              <w:ind w:right="279"/>
              <w:rPr>
                <w:b/>
                <w:sz w:val="18"/>
              </w:rPr>
            </w:pPr>
            <w:r>
              <w:rPr>
                <w:b/>
                <w:sz w:val="18"/>
              </w:rPr>
              <w:t>708</w:t>
            </w:r>
          </w:p>
        </w:tc>
        <w:tc>
          <w:tcPr>
            <w:tcW w:w="1389" w:type="dxa"/>
          </w:tcPr>
          <w:p>
            <w:pPr>
              <w:pStyle w:val="TableParagraph"/>
              <w:spacing w:before="146"/>
              <w:ind w:right="369"/>
              <w:rPr>
                <w:sz w:val="18"/>
              </w:rPr>
            </w:pPr>
            <w:r>
              <w:rPr>
                <w:sz w:val="18"/>
              </w:rPr>
              <w:t>200</w:t>
            </w:r>
          </w:p>
        </w:tc>
        <w:tc>
          <w:tcPr>
            <w:tcW w:w="1375" w:type="dxa"/>
          </w:tcPr>
          <w:p>
            <w:pPr>
              <w:pStyle w:val="TableParagraph"/>
              <w:spacing w:before="146"/>
              <w:ind w:right="279"/>
              <w:rPr>
                <w:b/>
                <w:sz w:val="18"/>
              </w:rPr>
            </w:pPr>
            <w:r>
              <w:rPr>
                <w:b/>
                <w:sz w:val="18"/>
              </w:rPr>
              <w:t>708</w:t>
            </w:r>
          </w:p>
        </w:tc>
        <w:tc>
          <w:tcPr>
            <w:tcW w:w="1105" w:type="dxa"/>
          </w:tcPr>
          <w:p>
            <w:pPr>
              <w:pStyle w:val="TableParagraph"/>
              <w:spacing w:before="146"/>
              <w:ind w:right="85"/>
              <w:rPr>
                <w:sz w:val="18"/>
              </w:rPr>
            </w:pPr>
            <w:r>
              <w:rPr>
                <w:sz w:val="18"/>
              </w:rPr>
              <w:t>200</w:t>
            </w:r>
          </w:p>
        </w:tc>
      </w:tr>
      <w:tr>
        <w:trPr>
          <w:trHeight w:val="265" w:hRule="exact"/>
        </w:trPr>
        <w:tc>
          <w:tcPr>
            <w:tcW w:w="3431" w:type="dxa"/>
          </w:tcPr>
          <w:p>
            <w:pPr>
              <w:pStyle w:val="TableParagraph"/>
              <w:spacing w:before="20"/>
              <w:ind w:left="249" w:right="594"/>
              <w:jc w:val="left"/>
              <w:rPr>
                <w:sz w:val="18"/>
              </w:rPr>
            </w:pPr>
            <w:r>
              <w:rPr>
                <w:sz w:val="18"/>
              </w:rPr>
              <w:t>Credit cards</w:t>
            </w:r>
          </w:p>
        </w:tc>
        <w:tc>
          <w:tcPr>
            <w:tcW w:w="1659" w:type="dxa"/>
          </w:tcPr>
          <w:p>
            <w:pPr>
              <w:pStyle w:val="TableParagraph"/>
              <w:spacing w:before="19"/>
              <w:ind w:right="279"/>
              <w:rPr>
                <w:b/>
                <w:sz w:val="18"/>
              </w:rPr>
            </w:pPr>
            <w:r>
              <w:rPr>
                <w:b/>
                <w:sz w:val="18"/>
              </w:rPr>
              <w:t>146</w:t>
            </w:r>
          </w:p>
        </w:tc>
        <w:tc>
          <w:tcPr>
            <w:tcW w:w="1389" w:type="dxa"/>
          </w:tcPr>
          <w:p>
            <w:pPr>
              <w:pStyle w:val="TableParagraph"/>
              <w:spacing w:before="19"/>
              <w:ind w:right="369"/>
              <w:rPr>
                <w:sz w:val="18"/>
              </w:rPr>
            </w:pPr>
            <w:r>
              <w:rPr>
                <w:sz w:val="18"/>
              </w:rPr>
              <w:t>186</w:t>
            </w:r>
          </w:p>
        </w:tc>
        <w:tc>
          <w:tcPr>
            <w:tcW w:w="1375" w:type="dxa"/>
          </w:tcPr>
          <w:p>
            <w:pPr>
              <w:pStyle w:val="TableParagraph"/>
              <w:spacing w:before="19"/>
              <w:ind w:right="279"/>
              <w:rPr>
                <w:b/>
                <w:sz w:val="18"/>
              </w:rPr>
            </w:pPr>
            <w:r>
              <w:rPr>
                <w:b/>
                <w:sz w:val="18"/>
              </w:rPr>
              <w:t>146</w:t>
            </w:r>
          </w:p>
        </w:tc>
        <w:tc>
          <w:tcPr>
            <w:tcW w:w="1105" w:type="dxa"/>
          </w:tcPr>
          <w:p>
            <w:pPr>
              <w:pStyle w:val="TableParagraph"/>
              <w:spacing w:before="19"/>
              <w:ind w:right="85"/>
              <w:rPr>
                <w:sz w:val="18"/>
              </w:rPr>
            </w:pPr>
            <w:r>
              <w:rPr>
                <w:sz w:val="18"/>
              </w:rPr>
              <w:t>186</w:t>
            </w:r>
          </w:p>
        </w:tc>
      </w:tr>
      <w:tr>
        <w:trPr>
          <w:trHeight w:val="262" w:hRule="exact"/>
        </w:trPr>
        <w:tc>
          <w:tcPr>
            <w:tcW w:w="3431" w:type="dxa"/>
          </w:tcPr>
          <w:p>
            <w:pPr>
              <w:pStyle w:val="TableParagraph"/>
              <w:spacing w:before="19"/>
              <w:ind w:left="249" w:right="594"/>
              <w:jc w:val="left"/>
              <w:rPr>
                <w:sz w:val="18"/>
              </w:rPr>
            </w:pPr>
            <w:r>
              <w:rPr>
                <w:sz w:val="18"/>
              </w:rPr>
              <w:t>Leasing facilities</w:t>
            </w:r>
          </w:p>
        </w:tc>
        <w:tc>
          <w:tcPr>
            <w:tcW w:w="1659" w:type="dxa"/>
            <w:tcBorders>
              <w:bottom w:val="single" w:sz="0" w:space="0" w:color="000000"/>
            </w:tcBorders>
          </w:tcPr>
          <w:p>
            <w:pPr>
              <w:pStyle w:val="TableParagraph"/>
              <w:spacing w:before="18"/>
              <w:ind w:right="279"/>
              <w:rPr>
                <w:b/>
                <w:sz w:val="18"/>
              </w:rPr>
            </w:pPr>
            <w:r>
              <w:rPr>
                <w:b/>
                <w:w w:val="95"/>
                <w:sz w:val="18"/>
              </w:rPr>
              <w:t>15,221</w:t>
            </w:r>
          </w:p>
        </w:tc>
        <w:tc>
          <w:tcPr>
            <w:tcW w:w="1389" w:type="dxa"/>
            <w:tcBorders>
              <w:bottom w:val="single" w:sz="0" w:space="0" w:color="000000"/>
            </w:tcBorders>
          </w:tcPr>
          <w:p>
            <w:pPr>
              <w:pStyle w:val="TableParagraph"/>
              <w:spacing w:before="18"/>
              <w:ind w:right="369"/>
              <w:rPr>
                <w:sz w:val="18"/>
              </w:rPr>
            </w:pPr>
            <w:r>
              <w:rPr>
                <w:w w:val="95"/>
                <w:sz w:val="18"/>
              </w:rPr>
              <w:t>13,688</w:t>
            </w:r>
          </w:p>
        </w:tc>
        <w:tc>
          <w:tcPr>
            <w:tcW w:w="1375" w:type="dxa"/>
            <w:tcBorders>
              <w:bottom w:val="single" w:sz="0" w:space="0" w:color="000000"/>
            </w:tcBorders>
          </w:tcPr>
          <w:p>
            <w:pPr>
              <w:pStyle w:val="TableParagraph"/>
              <w:spacing w:before="18"/>
              <w:ind w:left="544"/>
              <w:jc w:val="left"/>
              <w:rPr>
                <w:b/>
                <w:sz w:val="18"/>
              </w:rPr>
            </w:pPr>
            <w:r>
              <w:rPr>
                <w:b/>
                <w:sz w:val="18"/>
              </w:rPr>
              <w:t>15,221</w:t>
            </w:r>
          </w:p>
        </w:tc>
        <w:tc>
          <w:tcPr>
            <w:tcW w:w="1105" w:type="dxa"/>
            <w:tcBorders>
              <w:bottom w:val="single" w:sz="0" w:space="0" w:color="000000"/>
            </w:tcBorders>
          </w:tcPr>
          <w:p>
            <w:pPr>
              <w:pStyle w:val="TableParagraph"/>
              <w:spacing w:before="18"/>
              <w:ind w:right="85"/>
              <w:rPr>
                <w:sz w:val="18"/>
              </w:rPr>
            </w:pPr>
            <w:r>
              <w:rPr>
                <w:w w:val="95"/>
                <w:sz w:val="18"/>
              </w:rPr>
              <w:t>13,677</w:t>
            </w:r>
          </w:p>
        </w:tc>
      </w:tr>
      <w:tr>
        <w:trPr>
          <w:trHeight w:val="353" w:hRule="exact"/>
        </w:trPr>
        <w:tc>
          <w:tcPr>
            <w:tcW w:w="3431" w:type="dxa"/>
          </w:tcPr>
          <w:p>
            <w:pPr>
              <w:pStyle w:val="TableParagraph"/>
              <w:spacing w:before="123"/>
              <w:ind w:left="35" w:right="594"/>
              <w:jc w:val="left"/>
              <w:rPr>
                <w:b/>
                <w:sz w:val="18"/>
              </w:rPr>
            </w:pPr>
            <w:r>
              <w:rPr>
                <w:b/>
                <w:sz w:val="18"/>
              </w:rPr>
              <w:t>Total used at balance date</w:t>
            </w:r>
          </w:p>
        </w:tc>
        <w:tc>
          <w:tcPr>
            <w:tcW w:w="1659" w:type="dxa"/>
            <w:tcBorders>
              <w:top w:val="single" w:sz="0" w:space="0" w:color="000000"/>
              <w:bottom w:val="single" w:sz="0" w:space="0" w:color="000000"/>
            </w:tcBorders>
          </w:tcPr>
          <w:p>
            <w:pPr>
              <w:pStyle w:val="TableParagraph"/>
              <w:spacing w:before="122"/>
              <w:ind w:right="279"/>
              <w:rPr>
                <w:b/>
                <w:sz w:val="18"/>
              </w:rPr>
            </w:pPr>
            <w:r>
              <w:rPr>
                <w:b/>
                <w:w w:val="95"/>
                <w:sz w:val="18"/>
              </w:rPr>
              <w:t>16,075</w:t>
            </w:r>
          </w:p>
        </w:tc>
        <w:tc>
          <w:tcPr>
            <w:tcW w:w="1389" w:type="dxa"/>
            <w:tcBorders>
              <w:top w:val="single" w:sz="0" w:space="0" w:color="000000"/>
              <w:bottom w:val="single" w:sz="0" w:space="0" w:color="000000"/>
            </w:tcBorders>
          </w:tcPr>
          <w:p>
            <w:pPr>
              <w:pStyle w:val="TableParagraph"/>
              <w:spacing w:before="122"/>
              <w:ind w:right="369"/>
              <w:rPr>
                <w:sz w:val="18"/>
              </w:rPr>
            </w:pPr>
            <w:r>
              <w:rPr>
                <w:w w:val="95"/>
                <w:sz w:val="18"/>
              </w:rPr>
              <w:t>14,074</w:t>
            </w:r>
          </w:p>
        </w:tc>
        <w:tc>
          <w:tcPr>
            <w:tcW w:w="1375" w:type="dxa"/>
            <w:tcBorders>
              <w:top w:val="single" w:sz="0" w:space="0" w:color="000000"/>
              <w:bottom w:val="single" w:sz="0" w:space="0" w:color="000000"/>
            </w:tcBorders>
          </w:tcPr>
          <w:p>
            <w:pPr>
              <w:pStyle w:val="TableParagraph"/>
              <w:spacing w:before="122"/>
              <w:ind w:left="544"/>
              <w:jc w:val="left"/>
              <w:rPr>
                <w:b/>
                <w:sz w:val="18"/>
              </w:rPr>
            </w:pPr>
            <w:r>
              <w:rPr>
                <w:b/>
                <w:sz w:val="18"/>
              </w:rPr>
              <w:t>16,075</w:t>
            </w:r>
          </w:p>
        </w:tc>
        <w:tc>
          <w:tcPr>
            <w:tcW w:w="1105" w:type="dxa"/>
            <w:tcBorders>
              <w:top w:val="single" w:sz="0" w:space="0" w:color="000000"/>
              <w:bottom w:val="single" w:sz="0" w:space="0" w:color="000000"/>
            </w:tcBorders>
          </w:tcPr>
          <w:p>
            <w:pPr>
              <w:pStyle w:val="TableParagraph"/>
              <w:spacing w:before="122"/>
              <w:ind w:right="85"/>
              <w:rPr>
                <w:sz w:val="18"/>
              </w:rPr>
            </w:pPr>
            <w:r>
              <w:rPr>
                <w:w w:val="95"/>
                <w:sz w:val="18"/>
              </w:rPr>
              <w:t>14,063</w:t>
            </w:r>
          </w:p>
        </w:tc>
      </w:tr>
      <w:tr>
        <w:trPr>
          <w:trHeight w:val="511" w:hRule="exact"/>
        </w:trPr>
        <w:tc>
          <w:tcPr>
            <w:tcW w:w="3431" w:type="dxa"/>
          </w:tcPr>
          <w:p>
            <w:pPr>
              <w:pStyle w:val="TableParagraph"/>
              <w:spacing w:before="138"/>
              <w:ind w:left="35" w:right="594"/>
              <w:jc w:val="left"/>
              <w:rPr>
                <w:b/>
                <w:sz w:val="18"/>
              </w:rPr>
            </w:pPr>
            <w:r>
              <w:rPr>
                <w:b/>
                <w:sz w:val="18"/>
              </w:rPr>
              <w:t>Unused at balance date</w:t>
            </w:r>
          </w:p>
        </w:tc>
        <w:tc>
          <w:tcPr>
            <w:tcW w:w="1659" w:type="dxa"/>
            <w:tcBorders>
              <w:top w:val="single" w:sz="0" w:space="0" w:color="000000"/>
            </w:tcBorders>
          </w:tcPr>
          <w:p>
            <w:pPr/>
          </w:p>
        </w:tc>
        <w:tc>
          <w:tcPr>
            <w:tcW w:w="1389" w:type="dxa"/>
            <w:tcBorders>
              <w:top w:val="single" w:sz="0" w:space="0" w:color="000000"/>
            </w:tcBorders>
          </w:tcPr>
          <w:p>
            <w:pPr/>
          </w:p>
        </w:tc>
        <w:tc>
          <w:tcPr>
            <w:tcW w:w="1375" w:type="dxa"/>
            <w:tcBorders>
              <w:top w:val="single" w:sz="0" w:space="0" w:color="000000"/>
            </w:tcBorders>
          </w:tcPr>
          <w:p>
            <w:pPr/>
          </w:p>
        </w:tc>
        <w:tc>
          <w:tcPr>
            <w:tcW w:w="1105" w:type="dxa"/>
            <w:tcBorders>
              <w:top w:val="single" w:sz="0" w:space="0" w:color="000000"/>
            </w:tcBorders>
          </w:tcPr>
          <w:p>
            <w:pPr/>
          </w:p>
        </w:tc>
      </w:tr>
      <w:tr>
        <w:trPr>
          <w:trHeight w:val="391" w:hRule="exact"/>
        </w:trPr>
        <w:tc>
          <w:tcPr>
            <w:tcW w:w="3431" w:type="dxa"/>
          </w:tcPr>
          <w:p>
            <w:pPr>
              <w:pStyle w:val="TableParagraph"/>
              <w:spacing w:before="146"/>
              <w:ind w:left="249" w:right="594"/>
              <w:jc w:val="left"/>
              <w:rPr>
                <w:sz w:val="18"/>
              </w:rPr>
            </w:pPr>
            <w:r>
              <w:rPr>
                <w:sz w:val="18"/>
              </w:rPr>
              <w:t>Bank guarantees</w:t>
            </w:r>
          </w:p>
        </w:tc>
        <w:tc>
          <w:tcPr>
            <w:tcW w:w="1659" w:type="dxa"/>
          </w:tcPr>
          <w:p>
            <w:pPr>
              <w:pStyle w:val="TableParagraph"/>
              <w:spacing w:before="146"/>
              <w:ind w:right="279"/>
              <w:rPr>
                <w:b/>
                <w:sz w:val="18"/>
              </w:rPr>
            </w:pPr>
            <w:r>
              <w:rPr>
                <w:b/>
                <w:sz w:val="18"/>
              </w:rPr>
              <w:t>117</w:t>
            </w:r>
          </w:p>
        </w:tc>
        <w:tc>
          <w:tcPr>
            <w:tcW w:w="1389" w:type="dxa"/>
          </w:tcPr>
          <w:p>
            <w:pPr>
              <w:pStyle w:val="TableParagraph"/>
              <w:spacing w:before="146"/>
              <w:ind w:right="369"/>
              <w:rPr>
                <w:sz w:val="18"/>
              </w:rPr>
            </w:pPr>
            <w:r>
              <w:rPr>
                <w:sz w:val="18"/>
              </w:rPr>
              <w:t>375</w:t>
            </w:r>
          </w:p>
        </w:tc>
        <w:tc>
          <w:tcPr>
            <w:tcW w:w="1375" w:type="dxa"/>
          </w:tcPr>
          <w:p>
            <w:pPr>
              <w:pStyle w:val="TableParagraph"/>
              <w:spacing w:before="146"/>
              <w:ind w:right="279"/>
              <w:rPr>
                <w:b/>
                <w:sz w:val="18"/>
              </w:rPr>
            </w:pPr>
            <w:r>
              <w:rPr>
                <w:b/>
                <w:sz w:val="18"/>
              </w:rPr>
              <w:t>117</w:t>
            </w:r>
          </w:p>
        </w:tc>
        <w:tc>
          <w:tcPr>
            <w:tcW w:w="1105" w:type="dxa"/>
          </w:tcPr>
          <w:p>
            <w:pPr>
              <w:pStyle w:val="TableParagraph"/>
              <w:spacing w:before="146"/>
              <w:ind w:right="85"/>
              <w:rPr>
                <w:sz w:val="18"/>
              </w:rPr>
            </w:pPr>
            <w:r>
              <w:rPr>
                <w:sz w:val="18"/>
              </w:rPr>
              <w:t>375</w:t>
            </w:r>
          </w:p>
        </w:tc>
      </w:tr>
      <w:tr>
        <w:trPr>
          <w:trHeight w:val="265" w:hRule="exact"/>
        </w:trPr>
        <w:tc>
          <w:tcPr>
            <w:tcW w:w="3431" w:type="dxa"/>
          </w:tcPr>
          <w:p>
            <w:pPr>
              <w:pStyle w:val="TableParagraph"/>
              <w:spacing w:before="20"/>
              <w:ind w:left="249" w:right="594"/>
              <w:jc w:val="left"/>
              <w:rPr>
                <w:sz w:val="18"/>
              </w:rPr>
            </w:pPr>
            <w:r>
              <w:rPr>
                <w:sz w:val="18"/>
              </w:rPr>
              <w:t>Credit cards</w:t>
            </w:r>
          </w:p>
        </w:tc>
        <w:tc>
          <w:tcPr>
            <w:tcW w:w="1659" w:type="dxa"/>
          </w:tcPr>
          <w:p>
            <w:pPr>
              <w:pStyle w:val="TableParagraph"/>
              <w:spacing w:before="19"/>
              <w:ind w:right="280"/>
              <w:rPr>
                <w:b/>
                <w:sz w:val="18"/>
              </w:rPr>
            </w:pPr>
            <w:r>
              <w:rPr>
                <w:b/>
                <w:sz w:val="18"/>
              </w:rPr>
              <w:t>4,354</w:t>
            </w:r>
          </w:p>
        </w:tc>
        <w:tc>
          <w:tcPr>
            <w:tcW w:w="1389" w:type="dxa"/>
          </w:tcPr>
          <w:p>
            <w:pPr>
              <w:pStyle w:val="TableParagraph"/>
              <w:spacing w:before="19"/>
              <w:ind w:right="369"/>
              <w:rPr>
                <w:sz w:val="18"/>
              </w:rPr>
            </w:pPr>
            <w:r>
              <w:rPr>
                <w:sz w:val="18"/>
              </w:rPr>
              <w:t>4,384</w:t>
            </w:r>
          </w:p>
        </w:tc>
        <w:tc>
          <w:tcPr>
            <w:tcW w:w="1375" w:type="dxa"/>
          </w:tcPr>
          <w:p>
            <w:pPr>
              <w:pStyle w:val="TableParagraph"/>
              <w:spacing w:before="19"/>
              <w:ind w:right="280"/>
              <w:rPr>
                <w:b/>
                <w:sz w:val="18"/>
              </w:rPr>
            </w:pPr>
            <w:r>
              <w:rPr>
                <w:b/>
                <w:sz w:val="18"/>
              </w:rPr>
              <w:t>4,354</w:t>
            </w:r>
          </w:p>
        </w:tc>
        <w:tc>
          <w:tcPr>
            <w:tcW w:w="1105" w:type="dxa"/>
          </w:tcPr>
          <w:p>
            <w:pPr>
              <w:pStyle w:val="TableParagraph"/>
              <w:spacing w:before="19"/>
              <w:ind w:right="85"/>
              <w:rPr>
                <w:sz w:val="18"/>
              </w:rPr>
            </w:pPr>
            <w:r>
              <w:rPr>
                <w:sz w:val="18"/>
              </w:rPr>
              <w:t>4,314</w:t>
            </w:r>
          </w:p>
        </w:tc>
      </w:tr>
      <w:tr>
        <w:trPr>
          <w:trHeight w:val="262" w:hRule="exact"/>
        </w:trPr>
        <w:tc>
          <w:tcPr>
            <w:tcW w:w="3431" w:type="dxa"/>
          </w:tcPr>
          <w:p>
            <w:pPr>
              <w:pStyle w:val="TableParagraph"/>
              <w:spacing w:before="19"/>
              <w:ind w:left="249" w:right="594"/>
              <w:jc w:val="left"/>
              <w:rPr>
                <w:sz w:val="18"/>
              </w:rPr>
            </w:pPr>
            <w:r>
              <w:rPr>
                <w:sz w:val="18"/>
              </w:rPr>
              <w:t>Leasing facilities</w:t>
            </w:r>
          </w:p>
        </w:tc>
        <w:tc>
          <w:tcPr>
            <w:tcW w:w="1659" w:type="dxa"/>
            <w:tcBorders>
              <w:bottom w:val="single" w:sz="0" w:space="0" w:color="000000"/>
            </w:tcBorders>
          </w:tcPr>
          <w:p>
            <w:pPr>
              <w:pStyle w:val="TableParagraph"/>
              <w:spacing w:before="18"/>
              <w:ind w:right="279"/>
              <w:rPr>
                <w:b/>
                <w:sz w:val="18"/>
              </w:rPr>
            </w:pPr>
            <w:r>
              <w:rPr>
                <w:b/>
                <w:w w:val="95"/>
                <w:sz w:val="18"/>
              </w:rPr>
              <w:t>10,779</w:t>
            </w:r>
          </w:p>
        </w:tc>
        <w:tc>
          <w:tcPr>
            <w:tcW w:w="1389" w:type="dxa"/>
            <w:tcBorders>
              <w:bottom w:val="single" w:sz="0" w:space="0" w:color="000000"/>
            </w:tcBorders>
          </w:tcPr>
          <w:p>
            <w:pPr>
              <w:pStyle w:val="TableParagraph"/>
              <w:spacing w:before="18"/>
              <w:ind w:right="369"/>
              <w:rPr>
                <w:sz w:val="18"/>
              </w:rPr>
            </w:pPr>
            <w:r>
              <w:rPr>
                <w:w w:val="95"/>
                <w:sz w:val="18"/>
              </w:rPr>
              <w:t>14,323</w:t>
            </w:r>
          </w:p>
        </w:tc>
        <w:tc>
          <w:tcPr>
            <w:tcW w:w="1375" w:type="dxa"/>
            <w:tcBorders>
              <w:bottom w:val="single" w:sz="0" w:space="0" w:color="000000"/>
            </w:tcBorders>
          </w:tcPr>
          <w:p>
            <w:pPr>
              <w:pStyle w:val="TableParagraph"/>
              <w:spacing w:before="18"/>
              <w:ind w:left="544"/>
              <w:jc w:val="left"/>
              <w:rPr>
                <w:b/>
                <w:sz w:val="18"/>
              </w:rPr>
            </w:pPr>
            <w:r>
              <w:rPr>
                <w:b/>
                <w:sz w:val="18"/>
              </w:rPr>
              <w:t>10,779</w:t>
            </w:r>
          </w:p>
        </w:tc>
        <w:tc>
          <w:tcPr>
            <w:tcW w:w="1105" w:type="dxa"/>
            <w:tcBorders>
              <w:bottom w:val="single" w:sz="0" w:space="0" w:color="000000"/>
            </w:tcBorders>
          </w:tcPr>
          <w:p>
            <w:pPr>
              <w:pStyle w:val="TableParagraph"/>
              <w:spacing w:before="18"/>
              <w:ind w:right="85"/>
              <w:rPr>
                <w:sz w:val="18"/>
              </w:rPr>
            </w:pPr>
            <w:r>
              <w:rPr>
                <w:w w:val="95"/>
                <w:sz w:val="18"/>
              </w:rPr>
              <w:t>12,323</w:t>
            </w:r>
          </w:p>
        </w:tc>
      </w:tr>
      <w:tr>
        <w:trPr>
          <w:trHeight w:val="353" w:hRule="exact"/>
        </w:trPr>
        <w:tc>
          <w:tcPr>
            <w:tcW w:w="3431" w:type="dxa"/>
          </w:tcPr>
          <w:p>
            <w:pPr>
              <w:pStyle w:val="TableParagraph"/>
              <w:spacing w:before="123"/>
              <w:ind w:left="35" w:right="594"/>
              <w:jc w:val="left"/>
              <w:rPr>
                <w:b/>
                <w:sz w:val="18"/>
              </w:rPr>
            </w:pPr>
            <w:r>
              <w:rPr>
                <w:b/>
                <w:sz w:val="18"/>
              </w:rPr>
              <w:t>Total unused at balance date</w:t>
            </w:r>
          </w:p>
        </w:tc>
        <w:tc>
          <w:tcPr>
            <w:tcW w:w="1659" w:type="dxa"/>
            <w:tcBorders>
              <w:top w:val="single" w:sz="0" w:space="0" w:color="000000"/>
              <w:bottom w:val="single" w:sz="0" w:space="0" w:color="000000"/>
            </w:tcBorders>
          </w:tcPr>
          <w:p>
            <w:pPr>
              <w:pStyle w:val="TableParagraph"/>
              <w:spacing w:before="122"/>
              <w:ind w:right="279"/>
              <w:rPr>
                <w:b/>
                <w:sz w:val="18"/>
              </w:rPr>
            </w:pPr>
            <w:r>
              <w:rPr>
                <w:b/>
                <w:w w:val="95"/>
                <w:sz w:val="18"/>
              </w:rPr>
              <w:t>15,250</w:t>
            </w:r>
          </w:p>
        </w:tc>
        <w:tc>
          <w:tcPr>
            <w:tcW w:w="1389" w:type="dxa"/>
            <w:tcBorders>
              <w:top w:val="single" w:sz="0" w:space="0" w:color="000000"/>
              <w:bottom w:val="single" w:sz="0" w:space="0" w:color="000000"/>
            </w:tcBorders>
          </w:tcPr>
          <w:p>
            <w:pPr>
              <w:pStyle w:val="TableParagraph"/>
              <w:spacing w:before="122"/>
              <w:ind w:right="369"/>
              <w:rPr>
                <w:sz w:val="18"/>
              </w:rPr>
            </w:pPr>
            <w:r>
              <w:rPr>
                <w:w w:val="95"/>
                <w:sz w:val="18"/>
              </w:rPr>
              <w:t>19,082</w:t>
            </w:r>
          </w:p>
        </w:tc>
        <w:tc>
          <w:tcPr>
            <w:tcW w:w="1375" w:type="dxa"/>
            <w:tcBorders>
              <w:top w:val="single" w:sz="0" w:space="0" w:color="000000"/>
              <w:bottom w:val="single" w:sz="0" w:space="0" w:color="000000"/>
            </w:tcBorders>
          </w:tcPr>
          <w:p>
            <w:pPr>
              <w:pStyle w:val="TableParagraph"/>
              <w:spacing w:before="122"/>
              <w:ind w:left="544"/>
              <w:jc w:val="left"/>
              <w:rPr>
                <w:b/>
                <w:sz w:val="18"/>
              </w:rPr>
            </w:pPr>
            <w:r>
              <w:rPr>
                <w:b/>
                <w:sz w:val="18"/>
              </w:rPr>
              <w:t>15,250</w:t>
            </w:r>
          </w:p>
        </w:tc>
        <w:tc>
          <w:tcPr>
            <w:tcW w:w="1105" w:type="dxa"/>
            <w:tcBorders>
              <w:top w:val="single" w:sz="0" w:space="0" w:color="000000"/>
              <w:bottom w:val="single" w:sz="0" w:space="0" w:color="000000"/>
            </w:tcBorders>
          </w:tcPr>
          <w:p>
            <w:pPr>
              <w:pStyle w:val="TableParagraph"/>
              <w:spacing w:before="122"/>
              <w:ind w:right="85"/>
              <w:rPr>
                <w:sz w:val="18"/>
              </w:rPr>
            </w:pPr>
            <w:r>
              <w:rPr>
                <w:w w:val="95"/>
                <w:sz w:val="18"/>
              </w:rPr>
              <w:t>17,012</w:t>
            </w:r>
          </w:p>
        </w:tc>
      </w:tr>
      <w:tr>
        <w:trPr>
          <w:trHeight w:val="653" w:hRule="exact"/>
        </w:trPr>
        <w:tc>
          <w:tcPr>
            <w:tcW w:w="3431" w:type="dxa"/>
          </w:tcPr>
          <w:p>
            <w:pPr>
              <w:pStyle w:val="TableParagraph"/>
              <w:jc w:val="left"/>
              <w:rPr>
                <w:b/>
                <w:sz w:val="18"/>
              </w:rPr>
            </w:pPr>
          </w:p>
          <w:p>
            <w:pPr>
              <w:pStyle w:val="TableParagraph"/>
              <w:spacing w:before="8"/>
              <w:jc w:val="left"/>
              <w:rPr>
                <w:b/>
                <w:sz w:val="18"/>
              </w:rPr>
            </w:pPr>
          </w:p>
          <w:p>
            <w:pPr>
              <w:pStyle w:val="TableParagraph"/>
              <w:ind w:left="35" w:right="594"/>
              <w:jc w:val="left"/>
              <w:rPr>
                <w:b/>
                <w:sz w:val="18"/>
              </w:rPr>
            </w:pPr>
            <w:r>
              <w:rPr>
                <w:b/>
                <w:sz w:val="18"/>
              </w:rPr>
              <w:t>Bank loan facilities</w:t>
            </w:r>
          </w:p>
        </w:tc>
        <w:tc>
          <w:tcPr>
            <w:tcW w:w="1659" w:type="dxa"/>
            <w:tcBorders>
              <w:top w:val="single" w:sz="0" w:space="0" w:color="000000"/>
            </w:tcBorders>
          </w:tcPr>
          <w:p>
            <w:pPr/>
          </w:p>
        </w:tc>
        <w:tc>
          <w:tcPr>
            <w:tcW w:w="1389" w:type="dxa"/>
            <w:tcBorders>
              <w:top w:val="single" w:sz="0" w:space="0" w:color="000000"/>
            </w:tcBorders>
          </w:tcPr>
          <w:p>
            <w:pPr/>
          </w:p>
        </w:tc>
        <w:tc>
          <w:tcPr>
            <w:tcW w:w="1375" w:type="dxa"/>
            <w:tcBorders>
              <w:top w:val="single" w:sz="0" w:space="0" w:color="000000"/>
            </w:tcBorders>
          </w:tcPr>
          <w:p>
            <w:pPr/>
          </w:p>
        </w:tc>
        <w:tc>
          <w:tcPr>
            <w:tcW w:w="1105" w:type="dxa"/>
            <w:tcBorders>
              <w:top w:val="single" w:sz="0" w:space="0" w:color="000000"/>
            </w:tcBorders>
          </w:tcPr>
          <w:p>
            <w:pPr/>
          </w:p>
        </w:tc>
      </w:tr>
      <w:tr>
        <w:trPr>
          <w:trHeight w:val="250" w:hRule="exact"/>
        </w:trPr>
        <w:tc>
          <w:tcPr>
            <w:tcW w:w="3431" w:type="dxa"/>
          </w:tcPr>
          <w:p>
            <w:pPr>
              <w:pStyle w:val="TableParagraph"/>
              <w:spacing w:before="6"/>
              <w:ind w:left="35" w:right="594"/>
              <w:jc w:val="left"/>
              <w:rPr>
                <w:sz w:val="18"/>
              </w:rPr>
            </w:pPr>
            <w:r>
              <w:rPr>
                <w:sz w:val="18"/>
              </w:rPr>
              <w:t>Total facilities</w:t>
            </w:r>
          </w:p>
        </w:tc>
        <w:tc>
          <w:tcPr>
            <w:tcW w:w="1659" w:type="dxa"/>
          </w:tcPr>
          <w:p>
            <w:pPr>
              <w:pStyle w:val="TableParagraph"/>
              <w:spacing w:before="4"/>
              <w:ind w:right="279"/>
              <w:rPr>
                <w:b/>
                <w:sz w:val="18"/>
              </w:rPr>
            </w:pPr>
            <w:r>
              <w:rPr>
                <w:b/>
                <w:w w:val="95"/>
                <w:sz w:val="18"/>
              </w:rPr>
              <w:t>298,000</w:t>
            </w:r>
          </w:p>
        </w:tc>
        <w:tc>
          <w:tcPr>
            <w:tcW w:w="1389" w:type="dxa"/>
          </w:tcPr>
          <w:p>
            <w:pPr>
              <w:pStyle w:val="TableParagraph"/>
              <w:spacing w:before="4"/>
              <w:ind w:right="369"/>
              <w:rPr>
                <w:sz w:val="18"/>
              </w:rPr>
            </w:pPr>
            <w:r>
              <w:rPr>
                <w:w w:val="95"/>
                <w:sz w:val="18"/>
              </w:rPr>
              <w:t>198,000</w:t>
            </w:r>
          </w:p>
        </w:tc>
        <w:tc>
          <w:tcPr>
            <w:tcW w:w="1375" w:type="dxa"/>
          </w:tcPr>
          <w:p>
            <w:pPr>
              <w:pStyle w:val="TableParagraph"/>
              <w:spacing w:before="4"/>
              <w:ind w:left="445"/>
              <w:jc w:val="left"/>
              <w:rPr>
                <w:b/>
                <w:sz w:val="18"/>
              </w:rPr>
            </w:pPr>
            <w:r>
              <w:rPr>
                <w:b/>
                <w:sz w:val="18"/>
              </w:rPr>
              <w:t>298,000</w:t>
            </w:r>
          </w:p>
        </w:tc>
        <w:tc>
          <w:tcPr>
            <w:tcW w:w="1105" w:type="dxa"/>
          </w:tcPr>
          <w:p>
            <w:pPr>
              <w:pStyle w:val="TableParagraph"/>
              <w:spacing w:before="4"/>
              <w:ind w:right="85"/>
              <w:rPr>
                <w:sz w:val="18"/>
              </w:rPr>
            </w:pPr>
            <w:r>
              <w:rPr>
                <w:w w:val="95"/>
                <w:sz w:val="18"/>
              </w:rPr>
              <w:t>198,000</w:t>
            </w:r>
          </w:p>
        </w:tc>
      </w:tr>
      <w:tr>
        <w:trPr>
          <w:trHeight w:val="262" w:hRule="exact"/>
        </w:trPr>
        <w:tc>
          <w:tcPr>
            <w:tcW w:w="3431" w:type="dxa"/>
          </w:tcPr>
          <w:p>
            <w:pPr>
              <w:pStyle w:val="TableParagraph"/>
              <w:spacing w:before="19"/>
              <w:ind w:left="35" w:right="594"/>
              <w:jc w:val="left"/>
              <w:rPr>
                <w:sz w:val="18"/>
              </w:rPr>
            </w:pPr>
            <w:r>
              <w:rPr>
                <w:sz w:val="18"/>
              </w:rPr>
              <w:t>Used at balance date</w:t>
            </w:r>
          </w:p>
        </w:tc>
        <w:tc>
          <w:tcPr>
            <w:tcW w:w="1659" w:type="dxa"/>
            <w:tcBorders>
              <w:bottom w:val="single" w:sz="0" w:space="0" w:color="000000"/>
            </w:tcBorders>
          </w:tcPr>
          <w:p>
            <w:pPr>
              <w:pStyle w:val="TableParagraph"/>
              <w:spacing w:before="18"/>
              <w:ind w:right="219"/>
              <w:rPr>
                <w:b/>
                <w:sz w:val="18"/>
              </w:rPr>
            </w:pPr>
            <w:r>
              <w:rPr>
                <w:b/>
                <w:w w:val="95"/>
                <w:sz w:val="18"/>
              </w:rPr>
              <w:t>(155,000)</w:t>
            </w:r>
          </w:p>
        </w:tc>
        <w:tc>
          <w:tcPr>
            <w:tcW w:w="1389" w:type="dxa"/>
            <w:tcBorders>
              <w:bottom w:val="single" w:sz="0" w:space="0" w:color="000000"/>
            </w:tcBorders>
          </w:tcPr>
          <w:p>
            <w:pPr>
              <w:pStyle w:val="TableParagraph"/>
              <w:spacing w:before="18"/>
              <w:ind w:right="310"/>
              <w:rPr>
                <w:sz w:val="18"/>
              </w:rPr>
            </w:pPr>
            <w:r>
              <w:rPr>
                <w:w w:val="95"/>
                <w:sz w:val="18"/>
              </w:rPr>
              <w:t>(75,500)</w:t>
            </w:r>
          </w:p>
        </w:tc>
        <w:tc>
          <w:tcPr>
            <w:tcW w:w="1375" w:type="dxa"/>
            <w:tcBorders>
              <w:bottom w:val="single" w:sz="0" w:space="0" w:color="000000"/>
            </w:tcBorders>
          </w:tcPr>
          <w:p>
            <w:pPr>
              <w:pStyle w:val="TableParagraph"/>
              <w:spacing w:before="18"/>
              <w:ind w:right="219"/>
              <w:rPr>
                <w:b/>
                <w:sz w:val="18"/>
              </w:rPr>
            </w:pPr>
            <w:r>
              <w:rPr>
                <w:b/>
                <w:w w:val="95"/>
                <w:sz w:val="18"/>
              </w:rPr>
              <w:t>(155,000)</w:t>
            </w:r>
          </w:p>
        </w:tc>
        <w:tc>
          <w:tcPr>
            <w:tcW w:w="1105" w:type="dxa"/>
            <w:tcBorders>
              <w:bottom w:val="single" w:sz="0" w:space="0" w:color="000000"/>
            </w:tcBorders>
          </w:tcPr>
          <w:p>
            <w:pPr>
              <w:pStyle w:val="TableParagraph"/>
              <w:spacing w:before="18"/>
              <w:ind w:right="25"/>
              <w:rPr>
                <w:sz w:val="18"/>
              </w:rPr>
            </w:pPr>
            <w:r>
              <w:rPr>
                <w:w w:val="95"/>
                <w:sz w:val="18"/>
              </w:rPr>
              <w:t>(75,500)</w:t>
            </w:r>
          </w:p>
        </w:tc>
      </w:tr>
      <w:tr>
        <w:trPr>
          <w:trHeight w:val="298" w:hRule="exact"/>
        </w:trPr>
        <w:tc>
          <w:tcPr>
            <w:tcW w:w="3431" w:type="dxa"/>
          </w:tcPr>
          <w:p>
            <w:pPr>
              <w:pStyle w:val="TableParagraph"/>
              <w:spacing w:before="40"/>
              <w:ind w:left="35" w:right="594"/>
              <w:jc w:val="left"/>
              <w:rPr>
                <w:b/>
                <w:sz w:val="18"/>
              </w:rPr>
            </w:pPr>
            <w:r>
              <w:rPr>
                <w:b/>
                <w:sz w:val="18"/>
              </w:rPr>
              <w:t>Total unused at balance date</w:t>
            </w:r>
          </w:p>
        </w:tc>
        <w:tc>
          <w:tcPr>
            <w:tcW w:w="1659" w:type="dxa"/>
            <w:tcBorders>
              <w:top w:val="single" w:sz="0" w:space="0" w:color="000000"/>
              <w:bottom w:val="single" w:sz="0" w:space="0" w:color="000000"/>
            </w:tcBorders>
          </w:tcPr>
          <w:p>
            <w:pPr>
              <w:pStyle w:val="TableParagraph"/>
              <w:spacing w:before="38"/>
              <w:ind w:right="279"/>
              <w:rPr>
                <w:b/>
                <w:sz w:val="18"/>
              </w:rPr>
            </w:pPr>
            <w:r>
              <w:rPr>
                <w:b/>
                <w:w w:val="95"/>
                <w:sz w:val="18"/>
              </w:rPr>
              <w:t>143,000</w:t>
            </w:r>
          </w:p>
        </w:tc>
        <w:tc>
          <w:tcPr>
            <w:tcW w:w="1389" w:type="dxa"/>
            <w:tcBorders>
              <w:top w:val="single" w:sz="0" w:space="0" w:color="000000"/>
              <w:bottom w:val="single" w:sz="0" w:space="0" w:color="000000"/>
            </w:tcBorders>
          </w:tcPr>
          <w:p>
            <w:pPr>
              <w:pStyle w:val="TableParagraph"/>
              <w:spacing w:before="38"/>
              <w:ind w:right="369"/>
              <w:rPr>
                <w:sz w:val="18"/>
              </w:rPr>
            </w:pPr>
            <w:r>
              <w:rPr>
                <w:w w:val="95"/>
                <w:sz w:val="18"/>
              </w:rPr>
              <w:t>122,500</w:t>
            </w:r>
          </w:p>
        </w:tc>
        <w:tc>
          <w:tcPr>
            <w:tcW w:w="1375" w:type="dxa"/>
            <w:tcBorders>
              <w:top w:val="single" w:sz="0" w:space="0" w:color="000000"/>
              <w:bottom w:val="single" w:sz="0" w:space="0" w:color="000000"/>
            </w:tcBorders>
          </w:tcPr>
          <w:p>
            <w:pPr>
              <w:pStyle w:val="TableParagraph"/>
              <w:spacing w:before="38"/>
              <w:ind w:left="445"/>
              <w:jc w:val="left"/>
              <w:rPr>
                <w:b/>
                <w:sz w:val="18"/>
              </w:rPr>
            </w:pPr>
            <w:r>
              <w:rPr>
                <w:b/>
                <w:sz w:val="18"/>
              </w:rPr>
              <w:t>143,000</w:t>
            </w:r>
          </w:p>
        </w:tc>
        <w:tc>
          <w:tcPr>
            <w:tcW w:w="1105" w:type="dxa"/>
            <w:tcBorders>
              <w:top w:val="single" w:sz="0" w:space="0" w:color="000000"/>
              <w:bottom w:val="single" w:sz="0" w:space="0" w:color="000000"/>
            </w:tcBorders>
          </w:tcPr>
          <w:p>
            <w:pPr>
              <w:pStyle w:val="TableParagraph"/>
              <w:spacing w:before="38"/>
              <w:ind w:right="85"/>
              <w:rPr>
                <w:sz w:val="18"/>
              </w:rPr>
            </w:pPr>
            <w:r>
              <w:rPr>
                <w:w w:val="95"/>
                <w:sz w:val="18"/>
              </w:rPr>
              <w:t>122,500</w:t>
            </w:r>
          </w:p>
        </w:tc>
      </w:tr>
    </w:tbl>
    <w:p>
      <w:pPr>
        <w:spacing w:after="0"/>
        <w:rPr>
          <w:sz w:val="18"/>
        </w:rPr>
        <w:sectPr>
          <w:pgSz w:w="12750" w:h="17680"/>
          <w:pgMar w:header="0" w:footer="907" w:top="2640" w:bottom="1120" w:left="0" w:right="0"/>
        </w:sectPr>
      </w:pPr>
    </w:p>
    <w:p>
      <w:pPr>
        <w:pStyle w:val="BodyText"/>
        <w:rPr>
          <w:b/>
          <w:sz w:val="20"/>
        </w:rPr>
      </w:pPr>
    </w:p>
    <w:p>
      <w:pPr>
        <w:pStyle w:val="BodyText"/>
        <w:rPr>
          <w:b/>
          <w:sz w:val="20"/>
        </w:rPr>
      </w:pPr>
    </w:p>
    <w:p>
      <w:pPr>
        <w:pStyle w:val="BodyText"/>
        <w:spacing w:before="4"/>
        <w:rPr>
          <w:b/>
        </w:rPr>
      </w:pPr>
    </w:p>
    <w:p>
      <w:pPr>
        <w:pStyle w:val="ListParagraph"/>
        <w:numPr>
          <w:ilvl w:val="0"/>
          <w:numId w:val="25"/>
        </w:numPr>
        <w:tabs>
          <w:tab w:pos="1826" w:val="left" w:leader="none"/>
        </w:tabs>
        <w:spacing w:line="240" w:lineRule="auto" w:before="0" w:after="0"/>
        <w:ind w:left="1825" w:right="0" w:hanging="396"/>
        <w:jc w:val="left"/>
        <w:rPr>
          <w:b/>
          <w:sz w:val="18"/>
        </w:rPr>
      </w:pPr>
      <w:bookmarkStart w:name="27 Provisions" w:id="101"/>
      <w:bookmarkEnd w:id="101"/>
      <w:r>
        <w:rPr/>
      </w:r>
      <w:bookmarkStart w:name="27 Provisions" w:id="102"/>
      <w:bookmarkEnd w:id="102"/>
      <w:r>
        <w:rPr>
          <w:b/>
          <w:sz w:val="18"/>
        </w:rPr>
        <w:t>Pro</w:t>
      </w:r>
      <w:r>
        <w:rPr>
          <w:b/>
          <w:sz w:val="18"/>
        </w:rPr>
        <w:t>visions</w:t>
      </w:r>
    </w:p>
    <w:p>
      <w:pPr>
        <w:tabs>
          <w:tab w:pos="9697" w:val="left" w:leader="none"/>
        </w:tabs>
        <w:spacing w:before="33"/>
        <w:ind w:left="6643" w:right="0" w:firstLine="0"/>
        <w:jc w:val="left"/>
        <w:rPr>
          <w:b/>
          <w:sz w:val="18"/>
        </w:rPr>
      </w:pPr>
      <w:r>
        <w:rPr>
          <w:b/>
          <w:sz w:val="18"/>
        </w:rPr>
        <w:t>Consolidated</w:t>
        <w:tab/>
        <w:t>Parent</w:t>
      </w:r>
    </w:p>
    <w:p>
      <w:pPr>
        <w:spacing w:after="0"/>
        <w:jc w:val="left"/>
        <w:rPr>
          <w:sz w:val="18"/>
        </w:rPr>
        <w:sectPr>
          <w:pgSz w:w="12750" w:h="17680"/>
          <w:pgMar w:header="0" w:footer="907" w:top="2640" w:bottom="1120" w:left="0" w:right="0"/>
        </w:sectPr>
      </w:pPr>
    </w:p>
    <w:p>
      <w:pPr>
        <w:pStyle w:val="BodyText"/>
        <w:rPr>
          <w:b/>
        </w:rPr>
      </w:pPr>
    </w:p>
    <w:p>
      <w:pPr>
        <w:spacing w:before="133"/>
        <w:ind w:left="0" w:right="0" w:firstLine="0"/>
        <w:jc w:val="right"/>
        <w:rPr>
          <w:b/>
          <w:sz w:val="18"/>
        </w:rPr>
      </w:pPr>
      <w:r>
        <w:rPr>
          <w:b/>
          <w:w w:val="95"/>
          <w:sz w:val="18"/>
        </w:rPr>
        <w:t>Note</w:t>
      </w:r>
    </w:p>
    <w:p>
      <w:pPr>
        <w:spacing w:before="66"/>
        <w:ind w:left="669" w:right="-16" w:firstLine="0"/>
        <w:jc w:val="left"/>
        <w:rPr>
          <w:b/>
          <w:sz w:val="18"/>
        </w:rPr>
      </w:pPr>
      <w:r>
        <w:rPr/>
        <w:br w:type="column"/>
      </w:r>
      <w:r>
        <w:rPr>
          <w:b/>
          <w:sz w:val="18"/>
        </w:rPr>
        <w:t>2016</w:t>
      </w:r>
    </w:p>
    <w:p>
      <w:pPr>
        <w:spacing w:before="66"/>
        <w:ind w:left="648" w:right="-16" w:firstLine="0"/>
        <w:jc w:val="left"/>
        <w:rPr>
          <w:b/>
          <w:sz w:val="18"/>
        </w:rPr>
      </w:pPr>
      <w:r>
        <w:rPr>
          <w:b/>
          <w:spacing w:val="-1"/>
          <w:sz w:val="18"/>
        </w:rPr>
        <w:t>$'000</w:t>
      </w:r>
    </w:p>
    <w:p>
      <w:pPr>
        <w:spacing w:before="66"/>
        <w:ind w:left="822" w:right="-17" w:firstLine="0"/>
        <w:jc w:val="left"/>
        <w:rPr>
          <w:b/>
          <w:sz w:val="18"/>
        </w:rPr>
      </w:pPr>
      <w:r>
        <w:rPr/>
        <w:br w:type="column"/>
      </w:r>
      <w:r>
        <w:rPr>
          <w:b/>
          <w:sz w:val="18"/>
        </w:rPr>
        <w:t>2015</w:t>
      </w:r>
    </w:p>
    <w:p>
      <w:pPr>
        <w:spacing w:before="66"/>
        <w:ind w:left="801" w:right="-17" w:firstLine="0"/>
        <w:jc w:val="left"/>
        <w:rPr>
          <w:b/>
          <w:sz w:val="18"/>
        </w:rPr>
      </w:pPr>
      <w:r>
        <w:rPr>
          <w:b/>
          <w:spacing w:val="-1"/>
          <w:sz w:val="18"/>
        </w:rPr>
        <w:t>$'000</w:t>
      </w:r>
    </w:p>
    <w:p>
      <w:pPr>
        <w:spacing w:before="66"/>
        <w:ind w:left="0" w:right="19" w:firstLine="0"/>
        <w:jc w:val="right"/>
        <w:rPr>
          <w:b/>
          <w:sz w:val="18"/>
        </w:rPr>
      </w:pPr>
      <w:r>
        <w:rPr/>
        <w:br w:type="column"/>
      </w:r>
      <w:r>
        <w:rPr>
          <w:b/>
          <w:sz w:val="18"/>
        </w:rPr>
        <w:t>2016</w:t>
      </w:r>
    </w:p>
    <w:p>
      <w:pPr>
        <w:spacing w:before="66"/>
        <w:ind w:left="0" w:right="0" w:firstLine="0"/>
        <w:jc w:val="right"/>
        <w:rPr>
          <w:b/>
          <w:sz w:val="18"/>
        </w:rPr>
      </w:pPr>
      <w:r>
        <w:rPr>
          <w:b/>
          <w:sz w:val="18"/>
        </w:rPr>
        <w:t>$'000</w:t>
      </w:r>
    </w:p>
    <w:p>
      <w:pPr>
        <w:spacing w:before="66"/>
        <w:ind w:left="822" w:right="0" w:firstLine="0"/>
        <w:jc w:val="left"/>
        <w:rPr>
          <w:b/>
          <w:sz w:val="18"/>
        </w:rPr>
      </w:pPr>
      <w:r>
        <w:rPr/>
        <w:br w:type="column"/>
      </w:r>
      <w:r>
        <w:rPr>
          <w:b/>
          <w:sz w:val="18"/>
        </w:rPr>
        <w:t>2015</w:t>
      </w:r>
    </w:p>
    <w:p>
      <w:pPr>
        <w:spacing w:before="66"/>
        <w:ind w:left="801" w:right="0" w:firstLine="0"/>
        <w:jc w:val="left"/>
        <w:rPr>
          <w:b/>
          <w:sz w:val="18"/>
        </w:rPr>
      </w:pPr>
      <w:r>
        <w:rPr>
          <w:b/>
          <w:sz w:val="18"/>
        </w:rPr>
        <w:t>$'000</w:t>
      </w:r>
    </w:p>
    <w:p>
      <w:pPr>
        <w:spacing w:after="0"/>
        <w:jc w:val="left"/>
        <w:rPr>
          <w:sz w:val="18"/>
        </w:rPr>
        <w:sectPr>
          <w:type w:val="continuous"/>
          <w:pgSz w:w="12750" w:h="17680"/>
          <w:pgMar w:top="1660" w:bottom="0" w:left="0" w:right="0"/>
          <w:cols w:num="5" w:equalWidth="0">
            <w:col w:w="5720" w:space="40"/>
            <w:col w:w="1091" w:space="40"/>
            <w:col w:w="1243" w:space="40"/>
            <w:col w:w="1441" w:space="40"/>
            <w:col w:w="3095"/>
          </w:cols>
        </w:sectPr>
      </w:pPr>
    </w:p>
    <w:p>
      <w:pPr>
        <w:pStyle w:val="BodyText"/>
        <w:spacing w:before="3"/>
        <w:rPr>
          <w:b/>
          <w:sz w:val="15"/>
        </w:rPr>
      </w:pPr>
      <w:r>
        <w:rPr/>
        <w:drawing>
          <wp:anchor distT="0" distB="0" distL="0" distR="0" allowOverlap="1" layoutInCell="1" locked="0" behindDoc="0" simplePos="0" relativeHeight="4216">
            <wp:simplePos x="0" y="0"/>
            <wp:positionH relativeFrom="page">
              <wp:posOffset>-1587</wp:posOffset>
            </wp:positionH>
            <wp:positionV relativeFrom="page">
              <wp:posOffset>5534342</wp:posOffset>
            </wp:positionV>
            <wp:extent cx="135159" cy="154019"/>
            <wp:effectExtent l="0" t="0" r="0" b="0"/>
            <wp:wrapNone/>
            <wp:docPr id="261" name="image13.png" descr=""/>
            <wp:cNvGraphicFramePr>
              <a:graphicFrameLocks noChangeAspect="1"/>
            </wp:cNvGraphicFramePr>
            <a:graphic>
              <a:graphicData uri="http://schemas.openxmlformats.org/drawingml/2006/picture">
                <pic:pic>
                  <pic:nvPicPr>
                    <pic:cNvPr id="262" name="image13.png"/>
                    <pic:cNvPicPr/>
                  </pic:nvPicPr>
                  <pic:blipFill>
                    <a:blip r:embed="rId18" cstate="print"/>
                    <a:stretch>
                      <a:fillRect/>
                    </a:stretch>
                  </pic:blipFill>
                  <pic:spPr>
                    <a:xfrm>
                      <a:off x="0" y="0"/>
                      <a:ext cx="135159" cy="154019"/>
                    </a:xfrm>
                    <a:prstGeom prst="rect">
                      <a:avLst/>
                    </a:prstGeom>
                  </pic:spPr>
                </pic:pic>
              </a:graphicData>
            </a:graphic>
          </wp:anchor>
        </w:drawing>
      </w:r>
      <w:r>
        <w:rPr/>
        <w:drawing>
          <wp:anchor distT="0" distB="0" distL="0" distR="0" allowOverlap="1" layoutInCell="1" locked="0" behindDoc="0" simplePos="0" relativeHeight="4240">
            <wp:simplePos x="0" y="0"/>
            <wp:positionH relativeFrom="page">
              <wp:posOffset>7958429</wp:posOffset>
            </wp:positionH>
            <wp:positionV relativeFrom="page">
              <wp:posOffset>5534342</wp:posOffset>
            </wp:positionV>
            <wp:extent cx="135953" cy="155575"/>
            <wp:effectExtent l="0" t="0" r="0" b="0"/>
            <wp:wrapNone/>
            <wp:docPr id="263" name="image15.png" descr=""/>
            <wp:cNvGraphicFramePr>
              <a:graphicFrameLocks noChangeAspect="1"/>
            </wp:cNvGraphicFramePr>
            <a:graphic>
              <a:graphicData uri="http://schemas.openxmlformats.org/drawingml/2006/picture">
                <pic:pic>
                  <pic:nvPicPr>
                    <pic:cNvPr id="264" name="image15.png"/>
                    <pic:cNvPicPr/>
                  </pic:nvPicPr>
                  <pic:blipFill>
                    <a:blip r:embed="rId20" cstate="print"/>
                    <a:stretch>
                      <a:fillRect/>
                    </a:stretch>
                  </pic:blipFill>
                  <pic:spPr>
                    <a:xfrm>
                      <a:off x="0" y="0"/>
                      <a:ext cx="135953" cy="155575"/>
                    </a:xfrm>
                    <a:prstGeom prst="rect">
                      <a:avLst/>
                    </a:prstGeom>
                  </pic:spPr>
                </pic:pic>
              </a:graphicData>
            </a:graphic>
          </wp:anchor>
        </w:drawing>
      </w:r>
    </w:p>
    <w:p>
      <w:pPr>
        <w:spacing w:line="254" w:lineRule="auto" w:before="0" w:after="24"/>
        <w:ind w:left="1857" w:right="8212" w:firstLine="0"/>
        <w:jc w:val="left"/>
        <w:rPr>
          <w:sz w:val="18"/>
        </w:rPr>
      </w:pPr>
      <w:r>
        <w:rPr>
          <w:b/>
          <w:sz w:val="18"/>
        </w:rPr>
        <w:t>Current provisions expected to be settled within 12 months </w:t>
      </w:r>
      <w:r>
        <w:rPr>
          <w:sz w:val="18"/>
        </w:rPr>
        <w:t>Employee benefits</w:t>
      </w:r>
    </w:p>
    <w:tbl>
      <w:tblPr>
        <w:tblW w:w="0" w:type="auto"/>
        <w:jc w:val="left"/>
        <w:tblInd w:w="181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063"/>
        <w:gridCol w:w="935"/>
        <w:gridCol w:w="1702"/>
        <w:gridCol w:w="1382"/>
        <w:gridCol w:w="1382"/>
        <w:gridCol w:w="1061"/>
      </w:tblGrid>
      <w:tr>
        <w:trPr>
          <w:trHeight w:val="265" w:hRule="exact"/>
        </w:trPr>
        <w:tc>
          <w:tcPr>
            <w:tcW w:w="3997" w:type="dxa"/>
            <w:gridSpan w:val="2"/>
          </w:tcPr>
          <w:p>
            <w:pPr>
              <w:pStyle w:val="TableParagraph"/>
              <w:spacing w:before="21"/>
              <w:ind w:left="255"/>
              <w:jc w:val="left"/>
              <w:rPr>
                <w:sz w:val="18"/>
              </w:rPr>
            </w:pPr>
            <w:r>
              <w:rPr>
                <w:sz w:val="18"/>
              </w:rPr>
              <w:t>Annual leave</w:t>
            </w:r>
          </w:p>
        </w:tc>
        <w:tc>
          <w:tcPr>
            <w:tcW w:w="1702" w:type="dxa"/>
          </w:tcPr>
          <w:p>
            <w:pPr>
              <w:pStyle w:val="TableParagraph"/>
              <w:spacing w:before="20"/>
              <w:ind w:right="327"/>
              <w:rPr>
                <w:b/>
                <w:sz w:val="18"/>
              </w:rPr>
            </w:pPr>
            <w:r>
              <w:rPr>
                <w:b/>
                <w:w w:val="95"/>
                <w:sz w:val="18"/>
              </w:rPr>
              <w:t>22,688</w:t>
            </w:r>
          </w:p>
        </w:tc>
        <w:tc>
          <w:tcPr>
            <w:tcW w:w="1382" w:type="dxa"/>
          </w:tcPr>
          <w:p>
            <w:pPr>
              <w:pStyle w:val="TableParagraph"/>
              <w:spacing w:before="20"/>
              <w:ind w:right="411"/>
              <w:rPr>
                <w:sz w:val="18"/>
              </w:rPr>
            </w:pPr>
            <w:r>
              <w:rPr>
                <w:w w:val="95"/>
                <w:sz w:val="18"/>
              </w:rPr>
              <w:t>21,246</w:t>
            </w:r>
          </w:p>
        </w:tc>
        <w:tc>
          <w:tcPr>
            <w:tcW w:w="1382" w:type="dxa"/>
          </w:tcPr>
          <w:p>
            <w:pPr>
              <w:pStyle w:val="TableParagraph"/>
              <w:spacing w:before="20"/>
              <w:ind w:right="327"/>
              <w:rPr>
                <w:b/>
                <w:sz w:val="18"/>
              </w:rPr>
            </w:pPr>
            <w:r>
              <w:rPr>
                <w:b/>
                <w:w w:val="95"/>
                <w:sz w:val="18"/>
              </w:rPr>
              <w:t>20,981</w:t>
            </w:r>
          </w:p>
        </w:tc>
        <w:tc>
          <w:tcPr>
            <w:tcW w:w="1061" w:type="dxa"/>
          </w:tcPr>
          <w:p>
            <w:pPr>
              <w:pStyle w:val="TableParagraph"/>
              <w:spacing w:before="20"/>
              <w:ind w:right="91"/>
              <w:rPr>
                <w:sz w:val="18"/>
              </w:rPr>
            </w:pPr>
            <w:r>
              <w:rPr>
                <w:w w:val="95"/>
                <w:sz w:val="18"/>
              </w:rPr>
              <w:t>20,110</w:t>
            </w:r>
          </w:p>
        </w:tc>
      </w:tr>
      <w:tr>
        <w:trPr>
          <w:trHeight w:val="262" w:hRule="exact"/>
        </w:trPr>
        <w:tc>
          <w:tcPr>
            <w:tcW w:w="3997" w:type="dxa"/>
            <w:gridSpan w:val="2"/>
          </w:tcPr>
          <w:p>
            <w:pPr>
              <w:pStyle w:val="TableParagraph"/>
              <w:spacing w:before="19"/>
              <w:ind w:left="255"/>
              <w:jc w:val="left"/>
              <w:rPr>
                <w:sz w:val="18"/>
              </w:rPr>
            </w:pPr>
            <w:r>
              <w:rPr>
                <w:sz w:val="18"/>
              </w:rPr>
              <w:t>Long service leave</w:t>
            </w:r>
          </w:p>
        </w:tc>
        <w:tc>
          <w:tcPr>
            <w:tcW w:w="1702" w:type="dxa"/>
            <w:tcBorders>
              <w:bottom w:val="single" w:sz="0" w:space="0" w:color="000000"/>
            </w:tcBorders>
          </w:tcPr>
          <w:p>
            <w:pPr>
              <w:pStyle w:val="TableParagraph"/>
              <w:spacing w:before="18"/>
              <w:ind w:right="327"/>
              <w:rPr>
                <w:b/>
                <w:sz w:val="18"/>
              </w:rPr>
            </w:pPr>
            <w:r>
              <w:rPr>
                <w:b/>
                <w:sz w:val="18"/>
              </w:rPr>
              <w:t>6,798</w:t>
            </w:r>
          </w:p>
        </w:tc>
        <w:tc>
          <w:tcPr>
            <w:tcW w:w="1382" w:type="dxa"/>
            <w:tcBorders>
              <w:bottom w:val="single" w:sz="0" w:space="0" w:color="000000"/>
            </w:tcBorders>
          </w:tcPr>
          <w:p>
            <w:pPr>
              <w:pStyle w:val="TableParagraph"/>
              <w:spacing w:before="18"/>
              <w:ind w:right="411"/>
              <w:rPr>
                <w:sz w:val="18"/>
              </w:rPr>
            </w:pPr>
            <w:r>
              <w:rPr>
                <w:sz w:val="18"/>
              </w:rPr>
              <w:t>6,069</w:t>
            </w:r>
          </w:p>
        </w:tc>
        <w:tc>
          <w:tcPr>
            <w:tcW w:w="1382" w:type="dxa"/>
            <w:tcBorders>
              <w:bottom w:val="single" w:sz="0" w:space="0" w:color="000000"/>
            </w:tcBorders>
          </w:tcPr>
          <w:p>
            <w:pPr>
              <w:pStyle w:val="TableParagraph"/>
              <w:spacing w:before="18"/>
              <w:ind w:right="327"/>
              <w:rPr>
                <w:b/>
                <w:sz w:val="18"/>
              </w:rPr>
            </w:pPr>
            <w:r>
              <w:rPr>
                <w:b/>
                <w:sz w:val="18"/>
              </w:rPr>
              <w:t>6,512</w:t>
            </w:r>
          </w:p>
        </w:tc>
        <w:tc>
          <w:tcPr>
            <w:tcW w:w="1061" w:type="dxa"/>
            <w:tcBorders>
              <w:bottom w:val="single" w:sz="0" w:space="0" w:color="000000"/>
            </w:tcBorders>
          </w:tcPr>
          <w:p>
            <w:pPr>
              <w:pStyle w:val="TableParagraph"/>
              <w:spacing w:before="18"/>
              <w:ind w:right="91"/>
              <w:rPr>
                <w:sz w:val="18"/>
              </w:rPr>
            </w:pPr>
            <w:r>
              <w:rPr>
                <w:sz w:val="18"/>
              </w:rPr>
              <w:t>5,896</w:t>
            </w:r>
          </w:p>
        </w:tc>
      </w:tr>
      <w:tr>
        <w:trPr>
          <w:trHeight w:val="338" w:hRule="exact"/>
        </w:trPr>
        <w:tc>
          <w:tcPr>
            <w:tcW w:w="3997" w:type="dxa"/>
            <w:gridSpan w:val="2"/>
          </w:tcPr>
          <w:p>
            <w:pPr/>
          </w:p>
        </w:tc>
        <w:tc>
          <w:tcPr>
            <w:tcW w:w="1702" w:type="dxa"/>
            <w:tcBorders>
              <w:top w:val="single" w:sz="0" w:space="0" w:color="000000"/>
              <w:bottom w:val="single" w:sz="0" w:space="0" w:color="000000"/>
            </w:tcBorders>
          </w:tcPr>
          <w:p>
            <w:pPr>
              <w:pStyle w:val="TableParagraph"/>
              <w:spacing w:before="122"/>
              <w:ind w:right="327"/>
              <w:rPr>
                <w:b/>
                <w:sz w:val="18"/>
              </w:rPr>
            </w:pPr>
            <w:r>
              <w:rPr>
                <w:b/>
                <w:w w:val="95"/>
                <w:sz w:val="18"/>
              </w:rPr>
              <w:t>29,486</w:t>
            </w:r>
          </w:p>
        </w:tc>
        <w:tc>
          <w:tcPr>
            <w:tcW w:w="1382" w:type="dxa"/>
            <w:tcBorders>
              <w:top w:val="single" w:sz="0" w:space="0" w:color="000000"/>
              <w:bottom w:val="single" w:sz="0" w:space="0" w:color="000000"/>
            </w:tcBorders>
          </w:tcPr>
          <w:p>
            <w:pPr>
              <w:pStyle w:val="TableParagraph"/>
              <w:spacing w:before="122"/>
              <w:ind w:right="411"/>
              <w:rPr>
                <w:sz w:val="18"/>
              </w:rPr>
            </w:pPr>
            <w:r>
              <w:rPr>
                <w:w w:val="95"/>
                <w:sz w:val="18"/>
              </w:rPr>
              <w:t>27,315</w:t>
            </w:r>
          </w:p>
        </w:tc>
        <w:tc>
          <w:tcPr>
            <w:tcW w:w="1382" w:type="dxa"/>
            <w:tcBorders>
              <w:top w:val="single" w:sz="0" w:space="0" w:color="000000"/>
              <w:bottom w:val="single" w:sz="0" w:space="0" w:color="000000"/>
            </w:tcBorders>
          </w:tcPr>
          <w:p>
            <w:pPr>
              <w:pStyle w:val="TableParagraph"/>
              <w:spacing w:before="122"/>
              <w:ind w:right="327"/>
              <w:rPr>
                <w:b/>
                <w:sz w:val="18"/>
              </w:rPr>
            </w:pPr>
            <w:r>
              <w:rPr>
                <w:b/>
                <w:w w:val="95"/>
                <w:sz w:val="18"/>
              </w:rPr>
              <w:t>27,493</w:t>
            </w:r>
          </w:p>
        </w:tc>
        <w:tc>
          <w:tcPr>
            <w:tcW w:w="1061" w:type="dxa"/>
            <w:tcBorders>
              <w:top w:val="single" w:sz="0" w:space="0" w:color="000000"/>
              <w:bottom w:val="single" w:sz="0" w:space="0" w:color="000000"/>
            </w:tcBorders>
          </w:tcPr>
          <w:p>
            <w:pPr>
              <w:pStyle w:val="TableParagraph"/>
              <w:spacing w:before="122"/>
              <w:ind w:right="91"/>
              <w:rPr>
                <w:sz w:val="18"/>
              </w:rPr>
            </w:pPr>
            <w:r>
              <w:rPr>
                <w:w w:val="95"/>
                <w:sz w:val="18"/>
              </w:rPr>
              <w:t>26,006</w:t>
            </w:r>
          </w:p>
        </w:tc>
      </w:tr>
      <w:tr>
        <w:trPr>
          <w:trHeight w:val="809" w:hRule="exact"/>
        </w:trPr>
        <w:tc>
          <w:tcPr>
            <w:tcW w:w="3997" w:type="dxa"/>
            <w:gridSpan w:val="2"/>
          </w:tcPr>
          <w:p>
            <w:pPr>
              <w:pStyle w:val="TableParagraph"/>
              <w:spacing w:before="123"/>
              <w:ind w:left="41" w:right="1105"/>
              <w:jc w:val="left"/>
              <w:rPr>
                <w:b/>
                <w:sz w:val="18"/>
              </w:rPr>
            </w:pPr>
            <w:r>
              <w:rPr>
                <w:b/>
                <w:sz w:val="18"/>
              </w:rPr>
              <w:t>Current provisions expected to be settled after more than 12 months</w:t>
            </w:r>
          </w:p>
        </w:tc>
        <w:tc>
          <w:tcPr>
            <w:tcW w:w="1702" w:type="dxa"/>
            <w:tcBorders>
              <w:top w:val="single" w:sz="0" w:space="0" w:color="000000"/>
            </w:tcBorders>
          </w:tcPr>
          <w:p>
            <w:pPr/>
          </w:p>
        </w:tc>
        <w:tc>
          <w:tcPr>
            <w:tcW w:w="1382" w:type="dxa"/>
            <w:tcBorders>
              <w:top w:val="single" w:sz="0" w:space="0" w:color="000000"/>
            </w:tcBorders>
          </w:tcPr>
          <w:p>
            <w:pPr/>
          </w:p>
        </w:tc>
        <w:tc>
          <w:tcPr>
            <w:tcW w:w="1382" w:type="dxa"/>
            <w:tcBorders>
              <w:top w:val="single" w:sz="0" w:space="0" w:color="000000"/>
            </w:tcBorders>
          </w:tcPr>
          <w:p>
            <w:pPr/>
          </w:p>
        </w:tc>
        <w:tc>
          <w:tcPr>
            <w:tcW w:w="1061" w:type="dxa"/>
            <w:tcBorders>
              <w:top w:val="single" w:sz="0" w:space="0" w:color="000000"/>
            </w:tcBorders>
          </w:tcPr>
          <w:p>
            <w:pPr/>
          </w:p>
        </w:tc>
      </w:tr>
      <w:tr>
        <w:trPr>
          <w:trHeight w:val="277" w:hRule="exact"/>
        </w:trPr>
        <w:tc>
          <w:tcPr>
            <w:tcW w:w="3997" w:type="dxa"/>
            <w:gridSpan w:val="2"/>
          </w:tcPr>
          <w:p>
            <w:pPr>
              <w:pStyle w:val="TableParagraph"/>
              <w:spacing w:before="46"/>
              <w:ind w:left="41"/>
              <w:jc w:val="left"/>
              <w:rPr>
                <w:sz w:val="18"/>
              </w:rPr>
            </w:pPr>
            <w:r>
              <w:rPr>
                <w:sz w:val="18"/>
              </w:rPr>
              <w:t>Employee benefits</w:t>
            </w:r>
          </w:p>
        </w:tc>
        <w:tc>
          <w:tcPr>
            <w:tcW w:w="1702" w:type="dxa"/>
          </w:tcPr>
          <w:p>
            <w:pPr/>
          </w:p>
        </w:tc>
        <w:tc>
          <w:tcPr>
            <w:tcW w:w="1382" w:type="dxa"/>
          </w:tcPr>
          <w:p>
            <w:pPr/>
          </w:p>
        </w:tc>
        <w:tc>
          <w:tcPr>
            <w:tcW w:w="1382" w:type="dxa"/>
          </w:tcPr>
          <w:p>
            <w:pPr/>
          </w:p>
        </w:tc>
        <w:tc>
          <w:tcPr>
            <w:tcW w:w="1061" w:type="dxa"/>
          </w:tcPr>
          <w:p>
            <w:pPr/>
          </w:p>
        </w:tc>
      </w:tr>
      <w:tr>
        <w:trPr>
          <w:trHeight w:val="250" w:hRule="exact"/>
        </w:trPr>
        <w:tc>
          <w:tcPr>
            <w:tcW w:w="3997" w:type="dxa"/>
            <w:gridSpan w:val="2"/>
          </w:tcPr>
          <w:p>
            <w:pPr>
              <w:pStyle w:val="TableParagraph"/>
              <w:spacing w:before="6"/>
              <w:ind w:left="255"/>
              <w:jc w:val="left"/>
              <w:rPr>
                <w:sz w:val="18"/>
              </w:rPr>
            </w:pPr>
            <w:r>
              <w:rPr>
                <w:sz w:val="18"/>
              </w:rPr>
              <w:t>Annual leave</w:t>
            </w:r>
          </w:p>
        </w:tc>
        <w:tc>
          <w:tcPr>
            <w:tcW w:w="1702" w:type="dxa"/>
          </w:tcPr>
          <w:p>
            <w:pPr>
              <w:pStyle w:val="TableParagraph"/>
              <w:spacing w:before="4"/>
              <w:ind w:right="327"/>
              <w:rPr>
                <w:b/>
                <w:sz w:val="18"/>
              </w:rPr>
            </w:pPr>
            <w:r>
              <w:rPr>
                <w:b/>
                <w:sz w:val="18"/>
              </w:rPr>
              <w:t>5,576</w:t>
            </w:r>
          </w:p>
        </w:tc>
        <w:tc>
          <w:tcPr>
            <w:tcW w:w="1382" w:type="dxa"/>
          </w:tcPr>
          <w:p>
            <w:pPr>
              <w:pStyle w:val="TableParagraph"/>
              <w:spacing w:before="4"/>
              <w:ind w:right="411"/>
              <w:rPr>
                <w:sz w:val="18"/>
              </w:rPr>
            </w:pPr>
            <w:r>
              <w:rPr>
                <w:sz w:val="18"/>
              </w:rPr>
              <w:t>6,187</w:t>
            </w:r>
          </w:p>
        </w:tc>
        <w:tc>
          <w:tcPr>
            <w:tcW w:w="1382" w:type="dxa"/>
          </w:tcPr>
          <w:p>
            <w:pPr>
              <w:pStyle w:val="TableParagraph"/>
              <w:spacing w:before="4"/>
              <w:ind w:right="327"/>
              <w:rPr>
                <w:b/>
                <w:sz w:val="18"/>
              </w:rPr>
            </w:pPr>
            <w:r>
              <w:rPr>
                <w:b/>
                <w:sz w:val="18"/>
              </w:rPr>
              <w:t>5,286</w:t>
            </w:r>
          </w:p>
        </w:tc>
        <w:tc>
          <w:tcPr>
            <w:tcW w:w="1061" w:type="dxa"/>
          </w:tcPr>
          <w:p>
            <w:pPr>
              <w:pStyle w:val="TableParagraph"/>
              <w:spacing w:before="4"/>
              <w:ind w:right="91"/>
              <w:rPr>
                <w:sz w:val="18"/>
              </w:rPr>
            </w:pPr>
            <w:r>
              <w:rPr>
                <w:sz w:val="18"/>
              </w:rPr>
              <w:t>5,217</w:t>
            </w:r>
          </w:p>
        </w:tc>
      </w:tr>
      <w:tr>
        <w:trPr>
          <w:trHeight w:val="262" w:hRule="exact"/>
        </w:trPr>
        <w:tc>
          <w:tcPr>
            <w:tcW w:w="3997" w:type="dxa"/>
            <w:gridSpan w:val="2"/>
          </w:tcPr>
          <w:p>
            <w:pPr>
              <w:pStyle w:val="TableParagraph"/>
              <w:spacing w:before="19"/>
              <w:ind w:left="255"/>
              <w:jc w:val="left"/>
              <w:rPr>
                <w:sz w:val="18"/>
              </w:rPr>
            </w:pPr>
            <w:r>
              <w:rPr>
                <w:sz w:val="18"/>
              </w:rPr>
              <w:t>Long service leave</w:t>
            </w:r>
          </w:p>
        </w:tc>
        <w:tc>
          <w:tcPr>
            <w:tcW w:w="1702" w:type="dxa"/>
            <w:tcBorders>
              <w:bottom w:val="single" w:sz="0" w:space="0" w:color="000000"/>
            </w:tcBorders>
          </w:tcPr>
          <w:p>
            <w:pPr>
              <w:pStyle w:val="TableParagraph"/>
              <w:spacing w:before="18"/>
              <w:ind w:right="327"/>
              <w:rPr>
                <w:b/>
                <w:sz w:val="18"/>
              </w:rPr>
            </w:pPr>
            <w:r>
              <w:rPr>
                <w:b/>
                <w:w w:val="95"/>
                <w:sz w:val="18"/>
              </w:rPr>
              <w:t>33,359</w:t>
            </w:r>
          </w:p>
        </w:tc>
        <w:tc>
          <w:tcPr>
            <w:tcW w:w="1382" w:type="dxa"/>
            <w:tcBorders>
              <w:bottom w:val="single" w:sz="0" w:space="0" w:color="000000"/>
            </w:tcBorders>
          </w:tcPr>
          <w:p>
            <w:pPr>
              <w:pStyle w:val="TableParagraph"/>
              <w:spacing w:before="18"/>
              <w:ind w:right="411"/>
              <w:rPr>
                <w:sz w:val="18"/>
              </w:rPr>
            </w:pPr>
            <w:r>
              <w:rPr>
                <w:w w:val="95"/>
                <w:sz w:val="18"/>
              </w:rPr>
              <w:t>36,219</w:t>
            </w:r>
          </w:p>
        </w:tc>
        <w:tc>
          <w:tcPr>
            <w:tcW w:w="1382" w:type="dxa"/>
            <w:tcBorders>
              <w:bottom w:val="single" w:sz="0" w:space="0" w:color="000000"/>
            </w:tcBorders>
          </w:tcPr>
          <w:p>
            <w:pPr>
              <w:pStyle w:val="TableParagraph"/>
              <w:spacing w:before="18"/>
              <w:ind w:right="327"/>
              <w:rPr>
                <w:b/>
                <w:sz w:val="18"/>
              </w:rPr>
            </w:pPr>
            <w:r>
              <w:rPr>
                <w:b/>
                <w:w w:val="95"/>
                <w:sz w:val="18"/>
              </w:rPr>
              <w:t>33,040</w:t>
            </w:r>
          </w:p>
        </w:tc>
        <w:tc>
          <w:tcPr>
            <w:tcW w:w="1061" w:type="dxa"/>
            <w:tcBorders>
              <w:bottom w:val="single" w:sz="0" w:space="0" w:color="000000"/>
            </w:tcBorders>
          </w:tcPr>
          <w:p>
            <w:pPr>
              <w:pStyle w:val="TableParagraph"/>
              <w:spacing w:before="18"/>
              <w:ind w:right="91"/>
              <w:rPr>
                <w:sz w:val="18"/>
              </w:rPr>
            </w:pPr>
            <w:r>
              <w:rPr>
                <w:w w:val="95"/>
                <w:sz w:val="18"/>
              </w:rPr>
              <w:t>35,912</w:t>
            </w:r>
          </w:p>
        </w:tc>
      </w:tr>
      <w:tr>
        <w:trPr>
          <w:trHeight w:val="338" w:hRule="exact"/>
        </w:trPr>
        <w:tc>
          <w:tcPr>
            <w:tcW w:w="3997" w:type="dxa"/>
            <w:gridSpan w:val="2"/>
          </w:tcPr>
          <w:p>
            <w:pPr/>
          </w:p>
        </w:tc>
        <w:tc>
          <w:tcPr>
            <w:tcW w:w="1702" w:type="dxa"/>
            <w:tcBorders>
              <w:top w:val="single" w:sz="0" w:space="0" w:color="000000"/>
              <w:bottom w:val="single" w:sz="0" w:space="0" w:color="000000"/>
            </w:tcBorders>
          </w:tcPr>
          <w:p>
            <w:pPr>
              <w:pStyle w:val="TableParagraph"/>
              <w:spacing w:before="122"/>
              <w:ind w:right="327"/>
              <w:rPr>
                <w:b/>
                <w:sz w:val="18"/>
              </w:rPr>
            </w:pPr>
            <w:r>
              <w:rPr>
                <w:b/>
                <w:w w:val="95"/>
                <w:sz w:val="18"/>
              </w:rPr>
              <w:t>38,935</w:t>
            </w:r>
          </w:p>
        </w:tc>
        <w:tc>
          <w:tcPr>
            <w:tcW w:w="1382" w:type="dxa"/>
            <w:tcBorders>
              <w:top w:val="single" w:sz="0" w:space="0" w:color="000000"/>
              <w:bottom w:val="single" w:sz="0" w:space="0" w:color="000000"/>
            </w:tcBorders>
          </w:tcPr>
          <w:p>
            <w:pPr>
              <w:pStyle w:val="TableParagraph"/>
              <w:spacing w:before="122"/>
              <w:ind w:right="411"/>
              <w:rPr>
                <w:sz w:val="18"/>
              </w:rPr>
            </w:pPr>
            <w:r>
              <w:rPr>
                <w:w w:val="95"/>
                <w:sz w:val="18"/>
              </w:rPr>
              <w:t>42,406</w:t>
            </w:r>
          </w:p>
        </w:tc>
        <w:tc>
          <w:tcPr>
            <w:tcW w:w="1382" w:type="dxa"/>
            <w:tcBorders>
              <w:top w:val="single" w:sz="0" w:space="0" w:color="000000"/>
              <w:bottom w:val="single" w:sz="0" w:space="0" w:color="000000"/>
            </w:tcBorders>
          </w:tcPr>
          <w:p>
            <w:pPr>
              <w:pStyle w:val="TableParagraph"/>
              <w:spacing w:before="122"/>
              <w:ind w:right="327"/>
              <w:rPr>
                <w:b/>
                <w:sz w:val="18"/>
              </w:rPr>
            </w:pPr>
            <w:r>
              <w:rPr>
                <w:b/>
                <w:w w:val="95"/>
                <w:sz w:val="18"/>
              </w:rPr>
              <w:t>38,326</w:t>
            </w:r>
          </w:p>
        </w:tc>
        <w:tc>
          <w:tcPr>
            <w:tcW w:w="1061" w:type="dxa"/>
            <w:tcBorders>
              <w:top w:val="single" w:sz="0" w:space="0" w:color="000000"/>
              <w:bottom w:val="single" w:sz="0" w:space="0" w:color="000000"/>
            </w:tcBorders>
          </w:tcPr>
          <w:p>
            <w:pPr>
              <w:pStyle w:val="TableParagraph"/>
              <w:spacing w:before="122"/>
              <w:ind w:right="91"/>
              <w:rPr>
                <w:sz w:val="18"/>
              </w:rPr>
            </w:pPr>
            <w:r>
              <w:rPr>
                <w:w w:val="95"/>
                <w:sz w:val="18"/>
              </w:rPr>
              <w:t>41,129</w:t>
            </w:r>
          </w:p>
        </w:tc>
      </w:tr>
      <w:tr>
        <w:trPr>
          <w:trHeight w:val="353" w:hRule="exact"/>
        </w:trPr>
        <w:tc>
          <w:tcPr>
            <w:tcW w:w="5700" w:type="dxa"/>
            <w:gridSpan w:val="3"/>
          </w:tcPr>
          <w:p>
            <w:pPr>
              <w:pStyle w:val="TableParagraph"/>
              <w:tabs>
                <w:tab w:pos="4821" w:val="left" w:leader="none"/>
              </w:tabs>
              <w:spacing w:before="113"/>
              <w:ind w:left="41"/>
              <w:jc w:val="left"/>
              <w:rPr>
                <w:b/>
                <w:sz w:val="18"/>
              </w:rPr>
            </w:pPr>
            <w:r>
              <w:rPr>
                <w:b/>
                <w:sz w:val="18"/>
              </w:rPr>
              <w:t>Total</w:t>
            </w:r>
            <w:r>
              <w:rPr>
                <w:b/>
                <w:spacing w:val="-2"/>
                <w:sz w:val="18"/>
              </w:rPr>
              <w:t> </w:t>
            </w:r>
            <w:r>
              <w:rPr>
                <w:b/>
                <w:sz w:val="18"/>
              </w:rPr>
              <w:t>current</w:t>
            </w:r>
            <w:r>
              <w:rPr>
                <w:b/>
                <w:spacing w:val="-2"/>
                <w:sz w:val="18"/>
              </w:rPr>
              <w:t> </w:t>
            </w:r>
            <w:r>
              <w:rPr>
                <w:b/>
                <w:sz w:val="18"/>
              </w:rPr>
              <w:t>provisions</w:t>
              <w:tab/>
              <w:t>68,421</w:t>
            </w:r>
          </w:p>
        </w:tc>
        <w:tc>
          <w:tcPr>
            <w:tcW w:w="1382" w:type="dxa"/>
            <w:tcBorders>
              <w:bottom w:val="single" w:sz="0" w:space="0" w:color="000000"/>
            </w:tcBorders>
          </w:tcPr>
          <w:p>
            <w:pPr>
              <w:pStyle w:val="TableParagraph"/>
              <w:spacing w:before="113"/>
              <w:ind w:right="411"/>
              <w:rPr>
                <w:sz w:val="18"/>
              </w:rPr>
            </w:pPr>
            <w:r>
              <w:rPr>
                <w:w w:val="95"/>
                <w:sz w:val="18"/>
              </w:rPr>
              <w:t>69,721</w:t>
            </w:r>
          </w:p>
        </w:tc>
        <w:tc>
          <w:tcPr>
            <w:tcW w:w="1382" w:type="dxa"/>
            <w:tcBorders>
              <w:bottom w:val="single" w:sz="0" w:space="0" w:color="000000"/>
            </w:tcBorders>
          </w:tcPr>
          <w:p>
            <w:pPr>
              <w:pStyle w:val="TableParagraph"/>
              <w:spacing w:before="113"/>
              <w:ind w:right="327"/>
              <w:rPr>
                <w:b/>
                <w:sz w:val="18"/>
              </w:rPr>
            </w:pPr>
            <w:r>
              <w:rPr>
                <w:b/>
                <w:w w:val="95"/>
                <w:sz w:val="18"/>
              </w:rPr>
              <w:t>65,819</w:t>
            </w:r>
          </w:p>
        </w:tc>
        <w:tc>
          <w:tcPr>
            <w:tcW w:w="1061" w:type="dxa"/>
            <w:tcBorders>
              <w:bottom w:val="single" w:sz="0" w:space="0" w:color="000000"/>
            </w:tcBorders>
          </w:tcPr>
          <w:p>
            <w:pPr>
              <w:pStyle w:val="TableParagraph"/>
              <w:spacing w:before="113"/>
              <w:ind w:right="91"/>
              <w:rPr>
                <w:sz w:val="18"/>
              </w:rPr>
            </w:pPr>
            <w:r>
              <w:rPr>
                <w:w w:val="95"/>
                <w:sz w:val="18"/>
              </w:rPr>
              <w:t>67,135</w:t>
            </w:r>
          </w:p>
        </w:tc>
      </w:tr>
      <w:tr>
        <w:trPr>
          <w:trHeight w:val="368" w:hRule="exact"/>
        </w:trPr>
        <w:tc>
          <w:tcPr>
            <w:tcW w:w="3063" w:type="dxa"/>
          </w:tcPr>
          <w:p>
            <w:pPr>
              <w:pStyle w:val="TableParagraph"/>
              <w:spacing w:before="138"/>
              <w:ind w:left="35" w:right="242"/>
              <w:jc w:val="left"/>
              <w:rPr>
                <w:b/>
                <w:sz w:val="18"/>
              </w:rPr>
            </w:pPr>
            <w:r>
              <w:rPr>
                <w:b/>
                <w:sz w:val="18"/>
              </w:rPr>
              <w:t>Non-current provisions</w:t>
            </w:r>
          </w:p>
        </w:tc>
        <w:tc>
          <w:tcPr>
            <w:tcW w:w="935" w:type="dxa"/>
          </w:tcPr>
          <w:p>
            <w:pPr/>
          </w:p>
        </w:tc>
        <w:tc>
          <w:tcPr>
            <w:tcW w:w="1702" w:type="dxa"/>
          </w:tcPr>
          <w:p>
            <w:pPr/>
          </w:p>
        </w:tc>
        <w:tc>
          <w:tcPr>
            <w:tcW w:w="1382" w:type="dxa"/>
          </w:tcPr>
          <w:p>
            <w:pPr/>
          </w:p>
        </w:tc>
        <w:tc>
          <w:tcPr>
            <w:tcW w:w="1382" w:type="dxa"/>
          </w:tcPr>
          <w:p>
            <w:pPr/>
          </w:p>
        </w:tc>
        <w:tc>
          <w:tcPr>
            <w:tcW w:w="1061" w:type="dxa"/>
          </w:tcPr>
          <w:p>
            <w:pPr/>
          </w:p>
        </w:tc>
      </w:tr>
      <w:tr>
        <w:trPr>
          <w:trHeight w:val="248" w:hRule="exact"/>
        </w:trPr>
        <w:tc>
          <w:tcPr>
            <w:tcW w:w="3063" w:type="dxa"/>
          </w:tcPr>
          <w:p>
            <w:pPr>
              <w:pStyle w:val="TableParagraph"/>
              <w:spacing w:before="4"/>
              <w:ind w:left="35" w:right="242"/>
              <w:jc w:val="left"/>
              <w:rPr>
                <w:sz w:val="18"/>
              </w:rPr>
            </w:pPr>
            <w:r>
              <w:rPr>
                <w:sz w:val="18"/>
              </w:rPr>
              <w:t>Employee benefits</w:t>
            </w:r>
          </w:p>
        </w:tc>
        <w:tc>
          <w:tcPr>
            <w:tcW w:w="935" w:type="dxa"/>
          </w:tcPr>
          <w:p>
            <w:pPr/>
          </w:p>
        </w:tc>
        <w:tc>
          <w:tcPr>
            <w:tcW w:w="1702" w:type="dxa"/>
          </w:tcPr>
          <w:p>
            <w:pPr/>
          </w:p>
        </w:tc>
        <w:tc>
          <w:tcPr>
            <w:tcW w:w="1382" w:type="dxa"/>
          </w:tcPr>
          <w:p>
            <w:pPr/>
          </w:p>
        </w:tc>
        <w:tc>
          <w:tcPr>
            <w:tcW w:w="1382" w:type="dxa"/>
          </w:tcPr>
          <w:p>
            <w:pPr/>
          </w:p>
        </w:tc>
        <w:tc>
          <w:tcPr>
            <w:tcW w:w="1061" w:type="dxa"/>
          </w:tcPr>
          <w:p>
            <w:pPr/>
          </w:p>
        </w:tc>
      </w:tr>
      <w:tr>
        <w:trPr>
          <w:trHeight w:val="263" w:hRule="exact"/>
        </w:trPr>
        <w:tc>
          <w:tcPr>
            <w:tcW w:w="3063" w:type="dxa"/>
          </w:tcPr>
          <w:p>
            <w:pPr>
              <w:pStyle w:val="TableParagraph"/>
              <w:spacing w:before="19"/>
              <w:ind w:left="249" w:right="242"/>
              <w:jc w:val="left"/>
              <w:rPr>
                <w:sz w:val="18"/>
              </w:rPr>
            </w:pPr>
            <w:r>
              <w:rPr>
                <w:sz w:val="18"/>
              </w:rPr>
              <w:t>Long service leave</w:t>
            </w:r>
          </w:p>
        </w:tc>
        <w:tc>
          <w:tcPr>
            <w:tcW w:w="935" w:type="dxa"/>
          </w:tcPr>
          <w:p>
            <w:pPr/>
          </w:p>
        </w:tc>
        <w:tc>
          <w:tcPr>
            <w:tcW w:w="1702" w:type="dxa"/>
          </w:tcPr>
          <w:p>
            <w:pPr>
              <w:pStyle w:val="TableParagraph"/>
              <w:spacing w:before="18"/>
              <w:ind w:right="323"/>
              <w:rPr>
                <w:b/>
                <w:sz w:val="18"/>
              </w:rPr>
            </w:pPr>
            <w:r>
              <w:rPr>
                <w:b/>
                <w:w w:val="95"/>
                <w:sz w:val="18"/>
              </w:rPr>
              <w:t>16,731</w:t>
            </w:r>
          </w:p>
        </w:tc>
        <w:tc>
          <w:tcPr>
            <w:tcW w:w="1382" w:type="dxa"/>
          </w:tcPr>
          <w:p>
            <w:pPr>
              <w:pStyle w:val="TableParagraph"/>
              <w:spacing w:before="18"/>
              <w:ind w:right="407"/>
              <w:rPr>
                <w:sz w:val="18"/>
              </w:rPr>
            </w:pPr>
            <w:r>
              <w:rPr>
                <w:w w:val="95"/>
                <w:sz w:val="18"/>
              </w:rPr>
              <w:t>19,072</w:t>
            </w:r>
          </w:p>
        </w:tc>
        <w:tc>
          <w:tcPr>
            <w:tcW w:w="1382" w:type="dxa"/>
          </w:tcPr>
          <w:p>
            <w:pPr>
              <w:pStyle w:val="TableParagraph"/>
              <w:spacing w:before="18"/>
              <w:ind w:right="323"/>
              <w:rPr>
                <w:b/>
                <w:sz w:val="18"/>
              </w:rPr>
            </w:pPr>
            <w:r>
              <w:rPr>
                <w:b/>
                <w:w w:val="95"/>
                <w:sz w:val="18"/>
              </w:rPr>
              <w:t>15,531</w:t>
            </w:r>
          </w:p>
        </w:tc>
        <w:tc>
          <w:tcPr>
            <w:tcW w:w="1061" w:type="dxa"/>
          </w:tcPr>
          <w:p>
            <w:pPr>
              <w:pStyle w:val="TableParagraph"/>
              <w:spacing w:before="18"/>
              <w:ind w:right="86"/>
              <w:rPr>
                <w:sz w:val="18"/>
              </w:rPr>
            </w:pPr>
            <w:r>
              <w:rPr>
                <w:w w:val="95"/>
                <w:sz w:val="18"/>
              </w:rPr>
              <w:t>17,708</w:t>
            </w:r>
          </w:p>
        </w:tc>
      </w:tr>
      <w:tr>
        <w:trPr>
          <w:trHeight w:val="468" w:hRule="exact"/>
        </w:trPr>
        <w:tc>
          <w:tcPr>
            <w:tcW w:w="3063" w:type="dxa"/>
          </w:tcPr>
          <w:p>
            <w:pPr>
              <w:pStyle w:val="TableParagraph"/>
              <w:spacing w:before="18"/>
              <w:ind w:left="249" w:right="242"/>
              <w:jc w:val="left"/>
              <w:rPr>
                <w:sz w:val="18"/>
              </w:rPr>
            </w:pPr>
            <w:r>
              <w:rPr>
                <w:sz w:val="18"/>
              </w:rPr>
              <w:t>Deferred government benefits for superannuation</w:t>
            </w:r>
          </w:p>
        </w:tc>
        <w:tc>
          <w:tcPr>
            <w:tcW w:w="935" w:type="dxa"/>
          </w:tcPr>
          <w:p>
            <w:pPr>
              <w:pStyle w:val="TableParagraph"/>
              <w:spacing w:before="5"/>
              <w:jc w:val="left"/>
              <w:rPr>
                <w:sz w:val="19"/>
              </w:rPr>
            </w:pPr>
          </w:p>
          <w:p>
            <w:pPr>
              <w:pStyle w:val="TableParagraph"/>
              <w:ind w:left="436"/>
              <w:jc w:val="left"/>
              <w:rPr>
                <w:sz w:val="18"/>
              </w:rPr>
            </w:pPr>
            <w:r>
              <w:rPr>
                <w:sz w:val="18"/>
              </w:rPr>
              <w:t>41(d)</w:t>
            </w:r>
          </w:p>
        </w:tc>
        <w:tc>
          <w:tcPr>
            <w:tcW w:w="1702" w:type="dxa"/>
          </w:tcPr>
          <w:p>
            <w:pPr>
              <w:pStyle w:val="TableParagraph"/>
              <w:spacing w:before="4"/>
              <w:jc w:val="left"/>
              <w:rPr>
                <w:sz w:val="19"/>
              </w:rPr>
            </w:pPr>
          </w:p>
          <w:p>
            <w:pPr>
              <w:pStyle w:val="TableParagraph"/>
              <w:ind w:right="323"/>
              <w:rPr>
                <w:b/>
                <w:sz w:val="18"/>
              </w:rPr>
            </w:pPr>
            <w:r>
              <w:rPr>
                <w:b/>
                <w:w w:val="95"/>
                <w:sz w:val="18"/>
              </w:rPr>
              <w:t>332,982</w:t>
            </w:r>
          </w:p>
        </w:tc>
        <w:tc>
          <w:tcPr>
            <w:tcW w:w="1382" w:type="dxa"/>
          </w:tcPr>
          <w:p>
            <w:pPr>
              <w:pStyle w:val="TableParagraph"/>
              <w:spacing w:before="4"/>
              <w:jc w:val="left"/>
              <w:rPr>
                <w:sz w:val="19"/>
              </w:rPr>
            </w:pPr>
          </w:p>
          <w:p>
            <w:pPr>
              <w:pStyle w:val="TableParagraph"/>
              <w:ind w:right="407"/>
              <w:rPr>
                <w:sz w:val="18"/>
              </w:rPr>
            </w:pPr>
            <w:r>
              <w:rPr>
                <w:w w:val="95"/>
                <w:sz w:val="18"/>
              </w:rPr>
              <w:t>335,855</w:t>
            </w:r>
          </w:p>
        </w:tc>
        <w:tc>
          <w:tcPr>
            <w:tcW w:w="1382" w:type="dxa"/>
          </w:tcPr>
          <w:p>
            <w:pPr>
              <w:pStyle w:val="TableParagraph"/>
              <w:spacing w:before="4"/>
              <w:jc w:val="left"/>
              <w:rPr>
                <w:sz w:val="19"/>
              </w:rPr>
            </w:pPr>
          </w:p>
          <w:p>
            <w:pPr>
              <w:pStyle w:val="TableParagraph"/>
              <w:ind w:right="323"/>
              <w:rPr>
                <w:b/>
                <w:sz w:val="18"/>
              </w:rPr>
            </w:pPr>
            <w:r>
              <w:rPr>
                <w:b/>
                <w:w w:val="95"/>
                <w:sz w:val="18"/>
              </w:rPr>
              <w:t>332,982</w:t>
            </w:r>
          </w:p>
        </w:tc>
        <w:tc>
          <w:tcPr>
            <w:tcW w:w="1061" w:type="dxa"/>
          </w:tcPr>
          <w:p>
            <w:pPr>
              <w:pStyle w:val="TableParagraph"/>
              <w:spacing w:before="4"/>
              <w:jc w:val="left"/>
              <w:rPr>
                <w:sz w:val="19"/>
              </w:rPr>
            </w:pPr>
          </w:p>
          <w:p>
            <w:pPr>
              <w:pStyle w:val="TableParagraph"/>
              <w:ind w:right="86"/>
              <w:rPr>
                <w:sz w:val="18"/>
              </w:rPr>
            </w:pPr>
            <w:r>
              <w:rPr>
                <w:w w:val="95"/>
                <w:sz w:val="18"/>
              </w:rPr>
              <w:t>335,855</w:t>
            </w:r>
          </w:p>
        </w:tc>
      </w:tr>
      <w:tr>
        <w:trPr>
          <w:trHeight w:val="262" w:hRule="exact"/>
        </w:trPr>
        <w:tc>
          <w:tcPr>
            <w:tcW w:w="3063" w:type="dxa"/>
          </w:tcPr>
          <w:p>
            <w:pPr>
              <w:pStyle w:val="TableParagraph"/>
              <w:spacing w:before="18"/>
              <w:ind w:left="35" w:right="242"/>
              <w:jc w:val="left"/>
              <w:rPr>
                <w:sz w:val="18"/>
              </w:rPr>
            </w:pPr>
            <w:r>
              <w:rPr>
                <w:sz w:val="18"/>
              </w:rPr>
              <w:t>Long-term provisions</w:t>
            </w:r>
          </w:p>
        </w:tc>
        <w:tc>
          <w:tcPr>
            <w:tcW w:w="935" w:type="dxa"/>
          </w:tcPr>
          <w:p>
            <w:pPr/>
          </w:p>
        </w:tc>
        <w:tc>
          <w:tcPr>
            <w:tcW w:w="1702" w:type="dxa"/>
          </w:tcPr>
          <w:p>
            <w:pPr/>
          </w:p>
        </w:tc>
        <w:tc>
          <w:tcPr>
            <w:tcW w:w="1382" w:type="dxa"/>
          </w:tcPr>
          <w:p>
            <w:pPr/>
          </w:p>
        </w:tc>
        <w:tc>
          <w:tcPr>
            <w:tcW w:w="1382" w:type="dxa"/>
          </w:tcPr>
          <w:p>
            <w:pPr/>
          </w:p>
        </w:tc>
        <w:tc>
          <w:tcPr>
            <w:tcW w:w="1061" w:type="dxa"/>
          </w:tcPr>
          <w:p>
            <w:pPr/>
          </w:p>
        </w:tc>
      </w:tr>
      <w:tr>
        <w:trPr>
          <w:trHeight w:val="262" w:hRule="exact"/>
        </w:trPr>
        <w:tc>
          <w:tcPr>
            <w:tcW w:w="3063" w:type="dxa"/>
          </w:tcPr>
          <w:p>
            <w:pPr>
              <w:pStyle w:val="TableParagraph"/>
              <w:spacing w:before="19"/>
              <w:ind w:left="249" w:right="242"/>
              <w:jc w:val="left"/>
              <w:rPr>
                <w:sz w:val="18"/>
              </w:rPr>
            </w:pPr>
            <w:r>
              <w:rPr>
                <w:sz w:val="18"/>
              </w:rPr>
              <w:t>Make good on leases</w:t>
            </w:r>
          </w:p>
        </w:tc>
        <w:tc>
          <w:tcPr>
            <w:tcW w:w="935" w:type="dxa"/>
          </w:tcPr>
          <w:p>
            <w:pPr/>
          </w:p>
        </w:tc>
        <w:tc>
          <w:tcPr>
            <w:tcW w:w="1702" w:type="dxa"/>
            <w:tcBorders>
              <w:bottom w:val="single" w:sz="0" w:space="0" w:color="000000"/>
            </w:tcBorders>
          </w:tcPr>
          <w:p>
            <w:pPr>
              <w:pStyle w:val="TableParagraph"/>
              <w:spacing w:before="18"/>
              <w:ind w:right="323"/>
              <w:rPr>
                <w:b/>
                <w:sz w:val="18"/>
              </w:rPr>
            </w:pPr>
            <w:r>
              <w:rPr>
                <w:b/>
                <w:sz w:val="18"/>
              </w:rPr>
              <w:t>707</w:t>
            </w:r>
          </w:p>
        </w:tc>
        <w:tc>
          <w:tcPr>
            <w:tcW w:w="1382" w:type="dxa"/>
            <w:tcBorders>
              <w:bottom w:val="single" w:sz="0" w:space="0" w:color="000000"/>
            </w:tcBorders>
          </w:tcPr>
          <w:p>
            <w:pPr>
              <w:pStyle w:val="TableParagraph"/>
              <w:spacing w:before="18"/>
              <w:ind w:right="407"/>
              <w:rPr>
                <w:sz w:val="18"/>
              </w:rPr>
            </w:pPr>
            <w:r>
              <w:rPr>
                <w:sz w:val="18"/>
              </w:rPr>
              <w:t>446</w:t>
            </w:r>
          </w:p>
        </w:tc>
        <w:tc>
          <w:tcPr>
            <w:tcW w:w="1382" w:type="dxa"/>
            <w:tcBorders>
              <w:bottom w:val="single" w:sz="0" w:space="0" w:color="000000"/>
            </w:tcBorders>
          </w:tcPr>
          <w:p>
            <w:pPr>
              <w:pStyle w:val="TableParagraph"/>
              <w:spacing w:before="18"/>
              <w:ind w:right="323"/>
              <w:rPr>
                <w:b/>
                <w:sz w:val="18"/>
              </w:rPr>
            </w:pPr>
            <w:r>
              <w:rPr>
                <w:b/>
                <w:sz w:val="18"/>
              </w:rPr>
              <w:t>707</w:t>
            </w:r>
          </w:p>
        </w:tc>
        <w:tc>
          <w:tcPr>
            <w:tcW w:w="1061" w:type="dxa"/>
            <w:tcBorders>
              <w:bottom w:val="single" w:sz="0" w:space="0" w:color="000000"/>
            </w:tcBorders>
          </w:tcPr>
          <w:p>
            <w:pPr>
              <w:pStyle w:val="TableParagraph"/>
              <w:spacing w:before="18"/>
              <w:ind w:right="86"/>
              <w:rPr>
                <w:sz w:val="18"/>
              </w:rPr>
            </w:pPr>
            <w:r>
              <w:rPr>
                <w:sz w:val="18"/>
              </w:rPr>
              <w:t>446</w:t>
            </w:r>
          </w:p>
        </w:tc>
      </w:tr>
      <w:tr>
        <w:trPr>
          <w:trHeight w:val="353" w:hRule="exact"/>
        </w:trPr>
        <w:tc>
          <w:tcPr>
            <w:tcW w:w="3063" w:type="dxa"/>
          </w:tcPr>
          <w:p>
            <w:pPr>
              <w:pStyle w:val="TableParagraph"/>
              <w:spacing w:before="123"/>
              <w:ind w:left="35" w:right="242"/>
              <w:jc w:val="left"/>
              <w:rPr>
                <w:b/>
                <w:sz w:val="18"/>
              </w:rPr>
            </w:pPr>
            <w:r>
              <w:rPr>
                <w:b/>
                <w:sz w:val="18"/>
              </w:rPr>
              <w:t>Total non-current provisions</w:t>
            </w:r>
          </w:p>
        </w:tc>
        <w:tc>
          <w:tcPr>
            <w:tcW w:w="935" w:type="dxa"/>
          </w:tcPr>
          <w:p>
            <w:pPr/>
          </w:p>
        </w:tc>
        <w:tc>
          <w:tcPr>
            <w:tcW w:w="1702" w:type="dxa"/>
            <w:tcBorders>
              <w:top w:val="single" w:sz="0" w:space="0" w:color="000000"/>
              <w:bottom w:val="single" w:sz="0" w:space="0" w:color="000000"/>
            </w:tcBorders>
          </w:tcPr>
          <w:p>
            <w:pPr>
              <w:pStyle w:val="TableParagraph"/>
              <w:spacing w:before="122"/>
              <w:ind w:right="323"/>
              <w:rPr>
                <w:b/>
                <w:sz w:val="18"/>
              </w:rPr>
            </w:pPr>
            <w:r>
              <w:rPr>
                <w:b/>
                <w:w w:val="95"/>
                <w:sz w:val="18"/>
              </w:rPr>
              <w:t>350,420</w:t>
            </w:r>
          </w:p>
        </w:tc>
        <w:tc>
          <w:tcPr>
            <w:tcW w:w="1382" w:type="dxa"/>
            <w:tcBorders>
              <w:top w:val="single" w:sz="0" w:space="0" w:color="000000"/>
              <w:bottom w:val="single" w:sz="0" w:space="0" w:color="000000"/>
            </w:tcBorders>
          </w:tcPr>
          <w:p>
            <w:pPr>
              <w:pStyle w:val="TableParagraph"/>
              <w:spacing w:before="122"/>
              <w:ind w:right="407"/>
              <w:rPr>
                <w:sz w:val="18"/>
              </w:rPr>
            </w:pPr>
            <w:r>
              <w:rPr>
                <w:w w:val="95"/>
                <w:sz w:val="18"/>
              </w:rPr>
              <w:t>355,373</w:t>
            </w:r>
          </w:p>
        </w:tc>
        <w:tc>
          <w:tcPr>
            <w:tcW w:w="1382" w:type="dxa"/>
            <w:tcBorders>
              <w:top w:val="single" w:sz="0" w:space="0" w:color="000000"/>
              <w:bottom w:val="single" w:sz="0" w:space="0" w:color="000000"/>
            </w:tcBorders>
          </w:tcPr>
          <w:p>
            <w:pPr>
              <w:pStyle w:val="TableParagraph"/>
              <w:spacing w:before="122"/>
              <w:ind w:right="323"/>
              <w:rPr>
                <w:b/>
                <w:sz w:val="18"/>
              </w:rPr>
            </w:pPr>
            <w:r>
              <w:rPr>
                <w:b/>
                <w:w w:val="95"/>
                <w:sz w:val="18"/>
              </w:rPr>
              <w:t>349,220</w:t>
            </w:r>
          </w:p>
        </w:tc>
        <w:tc>
          <w:tcPr>
            <w:tcW w:w="1061" w:type="dxa"/>
            <w:tcBorders>
              <w:top w:val="single" w:sz="0" w:space="0" w:color="000000"/>
              <w:bottom w:val="single" w:sz="0" w:space="0" w:color="000000"/>
            </w:tcBorders>
          </w:tcPr>
          <w:p>
            <w:pPr>
              <w:pStyle w:val="TableParagraph"/>
              <w:spacing w:before="122"/>
              <w:ind w:right="86"/>
              <w:rPr>
                <w:sz w:val="18"/>
              </w:rPr>
            </w:pPr>
            <w:r>
              <w:rPr>
                <w:w w:val="95"/>
                <w:sz w:val="18"/>
              </w:rPr>
              <w:t>354,009</w:t>
            </w:r>
          </w:p>
        </w:tc>
      </w:tr>
      <w:tr>
        <w:trPr>
          <w:trHeight w:val="587" w:hRule="exact"/>
        </w:trPr>
        <w:tc>
          <w:tcPr>
            <w:tcW w:w="3063" w:type="dxa"/>
          </w:tcPr>
          <w:p>
            <w:pPr>
              <w:pStyle w:val="TableParagraph"/>
              <w:jc w:val="left"/>
              <w:rPr>
                <w:sz w:val="18"/>
              </w:rPr>
            </w:pPr>
          </w:p>
          <w:p>
            <w:pPr>
              <w:pStyle w:val="TableParagraph"/>
              <w:spacing w:before="122"/>
              <w:ind w:left="35" w:right="242"/>
              <w:jc w:val="left"/>
              <w:rPr>
                <w:b/>
                <w:sz w:val="18"/>
              </w:rPr>
            </w:pPr>
            <w:bookmarkStart w:name="(a) Annual leave" w:id="103"/>
            <w:bookmarkEnd w:id="103"/>
            <w:r>
              <w:rPr/>
            </w:r>
            <w:r>
              <w:rPr>
                <w:b/>
                <w:sz w:val="18"/>
              </w:rPr>
              <w:t>Total provisions</w:t>
            </w:r>
          </w:p>
        </w:tc>
        <w:tc>
          <w:tcPr>
            <w:tcW w:w="935" w:type="dxa"/>
          </w:tcPr>
          <w:p>
            <w:pPr/>
          </w:p>
        </w:tc>
        <w:tc>
          <w:tcPr>
            <w:tcW w:w="1702" w:type="dxa"/>
            <w:tcBorders>
              <w:top w:val="single" w:sz="0" w:space="0" w:color="000000"/>
              <w:bottom w:val="single" w:sz="0" w:space="0" w:color="000000"/>
            </w:tcBorders>
          </w:tcPr>
          <w:p>
            <w:pPr>
              <w:pStyle w:val="TableParagraph"/>
              <w:jc w:val="left"/>
              <w:rPr>
                <w:sz w:val="18"/>
              </w:rPr>
            </w:pPr>
          </w:p>
          <w:p>
            <w:pPr>
              <w:pStyle w:val="TableParagraph"/>
              <w:spacing w:before="120"/>
              <w:ind w:right="322"/>
              <w:rPr>
                <w:b/>
                <w:sz w:val="18"/>
              </w:rPr>
            </w:pPr>
            <w:r>
              <w:rPr>
                <w:b/>
                <w:w w:val="95"/>
                <w:sz w:val="18"/>
              </w:rPr>
              <w:t>418,841</w:t>
            </w:r>
          </w:p>
        </w:tc>
        <w:tc>
          <w:tcPr>
            <w:tcW w:w="1382" w:type="dxa"/>
            <w:tcBorders>
              <w:top w:val="single" w:sz="0" w:space="0" w:color="000000"/>
              <w:bottom w:val="single" w:sz="0" w:space="0" w:color="000000"/>
            </w:tcBorders>
          </w:tcPr>
          <w:p>
            <w:pPr>
              <w:pStyle w:val="TableParagraph"/>
              <w:jc w:val="left"/>
              <w:rPr>
                <w:sz w:val="18"/>
              </w:rPr>
            </w:pPr>
          </w:p>
          <w:p>
            <w:pPr>
              <w:pStyle w:val="TableParagraph"/>
              <w:spacing w:before="120"/>
              <w:ind w:right="405"/>
              <w:rPr>
                <w:sz w:val="18"/>
              </w:rPr>
            </w:pPr>
            <w:r>
              <w:rPr>
                <w:w w:val="95"/>
                <w:sz w:val="18"/>
              </w:rPr>
              <w:t>425,094</w:t>
            </w:r>
          </w:p>
        </w:tc>
        <w:tc>
          <w:tcPr>
            <w:tcW w:w="1382" w:type="dxa"/>
            <w:tcBorders>
              <w:top w:val="single" w:sz="0" w:space="0" w:color="000000"/>
              <w:bottom w:val="single" w:sz="0" w:space="0" w:color="000000"/>
            </w:tcBorders>
          </w:tcPr>
          <w:p>
            <w:pPr>
              <w:pStyle w:val="TableParagraph"/>
              <w:jc w:val="left"/>
              <w:rPr>
                <w:sz w:val="18"/>
              </w:rPr>
            </w:pPr>
          </w:p>
          <w:p>
            <w:pPr>
              <w:pStyle w:val="TableParagraph"/>
              <w:spacing w:before="120"/>
              <w:ind w:right="322"/>
              <w:rPr>
                <w:b/>
                <w:sz w:val="18"/>
              </w:rPr>
            </w:pPr>
            <w:r>
              <w:rPr>
                <w:b/>
                <w:w w:val="95"/>
                <w:sz w:val="18"/>
              </w:rPr>
              <w:t>415,039</w:t>
            </w:r>
          </w:p>
        </w:tc>
        <w:tc>
          <w:tcPr>
            <w:tcW w:w="1061" w:type="dxa"/>
            <w:tcBorders>
              <w:top w:val="single" w:sz="0" w:space="0" w:color="000000"/>
              <w:bottom w:val="single" w:sz="0" w:space="0" w:color="000000"/>
            </w:tcBorders>
          </w:tcPr>
          <w:p>
            <w:pPr>
              <w:pStyle w:val="TableParagraph"/>
              <w:jc w:val="left"/>
              <w:rPr>
                <w:sz w:val="18"/>
              </w:rPr>
            </w:pPr>
          </w:p>
          <w:p>
            <w:pPr>
              <w:pStyle w:val="TableParagraph"/>
              <w:spacing w:before="120"/>
              <w:ind w:right="85"/>
              <w:rPr>
                <w:sz w:val="18"/>
              </w:rPr>
            </w:pPr>
            <w:r>
              <w:rPr>
                <w:w w:val="95"/>
                <w:sz w:val="18"/>
              </w:rPr>
              <w:t>421,144</w:t>
            </w:r>
          </w:p>
        </w:tc>
      </w:tr>
    </w:tbl>
    <w:p>
      <w:pPr>
        <w:pStyle w:val="BodyText"/>
        <w:spacing w:before="2"/>
        <w:rPr>
          <w:sz w:val="22"/>
        </w:rPr>
      </w:pPr>
    </w:p>
    <w:p>
      <w:pPr>
        <w:pStyle w:val="ListParagraph"/>
        <w:numPr>
          <w:ilvl w:val="1"/>
          <w:numId w:val="25"/>
        </w:numPr>
        <w:tabs>
          <w:tab w:pos="2392" w:val="left" w:leader="none"/>
        </w:tabs>
        <w:spacing w:line="240" w:lineRule="auto" w:before="77" w:after="0"/>
        <w:ind w:left="2391" w:right="0" w:hanging="566"/>
        <w:jc w:val="left"/>
        <w:rPr>
          <w:sz w:val="18"/>
        </w:rPr>
      </w:pPr>
      <w:r>
        <w:rPr>
          <w:sz w:val="18"/>
        </w:rPr>
        <w:t>Annual</w:t>
      </w:r>
      <w:r>
        <w:rPr>
          <w:spacing w:val="-12"/>
          <w:sz w:val="18"/>
        </w:rPr>
        <w:t> </w:t>
      </w:r>
      <w:r>
        <w:rPr>
          <w:sz w:val="18"/>
        </w:rPr>
        <w:t>leave</w:t>
      </w:r>
    </w:p>
    <w:p>
      <w:pPr>
        <w:pStyle w:val="BodyText"/>
        <w:spacing w:before="4"/>
        <w:rPr>
          <w:sz w:val="25"/>
        </w:rPr>
      </w:pPr>
    </w:p>
    <w:p>
      <w:pPr>
        <w:pStyle w:val="BodyText"/>
        <w:ind w:left="2390"/>
      </w:pPr>
      <w:r>
        <w:rPr/>
        <w:t>The following on costs have been used by management in calculating the provision for annual leave:</w:t>
      </w:r>
    </w:p>
    <w:p>
      <w:pPr>
        <w:pStyle w:val="Heading8"/>
        <w:spacing w:before="33" w:after="36"/>
        <w:ind w:left="1841"/>
        <w:jc w:val="center"/>
      </w:pPr>
      <w:r>
        <w:rPr>
          <w:w w:val="99"/>
        </w:rPr>
        <w:t>%</w:t>
      </w:r>
    </w:p>
    <w:tbl>
      <w:tblPr>
        <w:tblW w:w="0" w:type="auto"/>
        <w:jc w:val="left"/>
        <w:tblInd w:w="235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893"/>
        <w:gridCol w:w="1326"/>
      </w:tblGrid>
      <w:tr>
        <w:trPr>
          <w:trHeight w:val="271" w:hRule="exact"/>
        </w:trPr>
        <w:tc>
          <w:tcPr>
            <w:tcW w:w="3893" w:type="dxa"/>
          </w:tcPr>
          <w:p>
            <w:pPr>
              <w:pStyle w:val="TableParagraph"/>
              <w:spacing w:before="27"/>
              <w:ind w:left="35"/>
              <w:jc w:val="left"/>
              <w:rPr>
                <w:sz w:val="18"/>
              </w:rPr>
            </w:pPr>
            <w:r>
              <w:rPr>
                <w:sz w:val="18"/>
              </w:rPr>
              <w:t>Superannuation</w:t>
            </w:r>
          </w:p>
        </w:tc>
        <w:tc>
          <w:tcPr>
            <w:tcW w:w="1326" w:type="dxa"/>
          </w:tcPr>
          <w:p>
            <w:pPr>
              <w:pStyle w:val="TableParagraph"/>
              <w:spacing w:before="26"/>
              <w:ind w:right="33"/>
              <w:rPr>
                <w:sz w:val="18"/>
              </w:rPr>
            </w:pPr>
            <w:r>
              <w:rPr>
                <w:sz w:val="18"/>
              </w:rPr>
              <w:t>16.75</w:t>
            </w:r>
          </w:p>
        </w:tc>
      </w:tr>
      <w:tr>
        <w:trPr>
          <w:trHeight w:val="264" w:hRule="exact"/>
        </w:trPr>
        <w:tc>
          <w:tcPr>
            <w:tcW w:w="3893" w:type="dxa"/>
          </w:tcPr>
          <w:p>
            <w:pPr>
              <w:pStyle w:val="TableParagraph"/>
              <w:spacing w:before="19"/>
              <w:ind w:left="35"/>
              <w:jc w:val="left"/>
              <w:rPr>
                <w:sz w:val="18"/>
              </w:rPr>
            </w:pPr>
            <w:r>
              <w:rPr>
                <w:sz w:val="18"/>
              </w:rPr>
              <w:t>Estimate of short term salary increase</w:t>
            </w:r>
          </w:p>
        </w:tc>
        <w:tc>
          <w:tcPr>
            <w:tcW w:w="1326" w:type="dxa"/>
          </w:tcPr>
          <w:p>
            <w:pPr>
              <w:pStyle w:val="TableParagraph"/>
              <w:spacing w:before="18"/>
              <w:ind w:right="33"/>
              <w:rPr>
                <w:sz w:val="18"/>
              </w:rPr>
            </w:pPr>
            <w:r>
              <w:rPr>
                <w:sz w:val="18"/>
              </w:rPr>
              <w:t>3.75</w:t>
            </w:r>
          </w:p>
        </w:tc>
      </w:tr>
      <w:tr>
        <w:trPr>
          <w:trHeight w:val="264" w:hRule="exact"/>
        </w:trPr>
        <w:tc>
          <w:tcPr>
            <w:tcW w:w="3893" w:type="dxa"/>
          </w:tcPr>
          <w:p>
            <w:pPr>
              <w:pStyle w:val="TableParagraph"/>
              <w:spacing w:before="19"/>
              <w:ind w:left="35"/>
              <w:jc w:val="left"/>
              <w:rPr>
                <w:sz w:val="18"/>
              </w:rPr>
            </w:pPr>
            <w:r>
              <w:rPr>
                <w:sz w:val="18"/>
              </w:rPr>
              <w:t>Payroll tax</w:t>
            </w:r>
          </w:p>
        </w:tc>
        <w:tc>
          <w:tcPr>
            <w:tcW w:w="1326" w:type="dxa"/>
          </w:tcPr>
          <w:p>
            <w:pPr>
              <w:pStyle w:val="TableParagraph"/>
              <w:spacing w:before="18"/>
              <w:ind w:right="33"/>
              <w:rPr>
                <w:sz w:val="18"/>
              </w:rPr>
            </w:pPr>
            <w:r>
              <w:rPr>
                <w:sz w:val="18"/>
              </w:rPr>
              <w:t>5.45</w:t>
            </w:r>
          </w:p>
        </w:tc>
      </w:tr>
      <w:tr>
        <w:trPr>
          <w:trHeight w:val="323" w:hRule="exact"/>
        </w:trPr>
        <w:tc>
          <w:tcPr>
            <w:tcW w:w="3893" w:type="dxa"/>
          </w:tcPr>
          <w:p>
            <w:pPr>
              <w:pStyle w:val="TableParagraph"/>
              <w:spacing w:before="19"/>
              <w:ind w:left="35"/>
              <w:jc w:val="left"/>
              <w:rPr>
                <w:sz w:val="18"/>
              </w:rPr>
            </w:pPr>
            <w:r>
              <w:rPr>
                <w:sz w:val="18"/>
              </w:rPr>
              <w:t>Workers compensation</w:t>
            </w:r>
          </w:p>
        </w:tc>
        <w:tc>
          <w:tcPr>
            <w:tcW w:w="1326" w:type="dxa"/>
          </w:tcPr>
          <w:p>
            <w:pPr>
              <w:pStyle w:val="TableParagraph"/>
              <w:spacing w:before="18"/>
              <w:ind w:right="33"/>
              <w:rPr>
                <w:sz w:val="18"/>
              </w:rPr>
            </w:pPr>
            <w:r>
              <w:rPr>
                <w:sz w:val="18"/>
              </w:rPr>
              <w:t>0.75</w:t>
            </w:r>
          </w:p>
        </w:tc>
      </w:tr>
    </w:tbl>
    <w:p>
      <w:pPr>
        <w:spacing w:after="0"/>
        <w:rPr>
          <w:sz w:val="18"/>
        </w:rPr>
        <w:sectPr>
          <w:type w:val="continuous"/>
          <w:pgSz w:w="12750" w:h="17680"/>
          <w:pgMar w:top="1660" w:bottom="0" w:left="0" w:right="0"/>
        </w:sectPr>
      </w:pPr>
    </w:p>
    <w:p>
      <w:pPr>
        <w:pStyle w:val="BodyText"/>
        <w:rPr>
          <w:b/>
          <w:sz w:val="20"/>
        </w:rPr>
      </w:pPr>
    </w:p>
    <w:p>
      <w:pPr>
        <w:pStyle w:val="BodyText"/>
        <w:rPr>
          <w:b/>
          <w:sz w:val="20"/>
        </w:rPr>
      </w:pPr>
    </w:p>
    <w:p>
      <w:pPr>
        <w:pStyle w:val="BodyText"/>
        <w:spacing w:before="4"/>
        <w:rPr>
          <w:b/>
        </w:rPr>
      </w:pPr>
    </w:p>
    <w:p>
      <w:pPr>
        <w:tabs>
          <w:tab w:pos="2391" w:val="left" w:leader="none"/>
        </w:tabs>
        <w:spacing w:before="0"/>
        <w:ind w:left="1824" w:right="0" w:firstLine="0"/>
        <w:jc w:val="left"/>
        <w:rPr>
          <w:b/>
          <w:sz w:val="18"/>
        </w:rPr>
      </w:pPr>
      <w:bookmarkStart w:name="(b) Long service leave" w:id="104"/>
      <w:bookmarkEnd w:id="104"/>
      <w:r>
        <w:rPr/>
      </w:r>
      <w:bookmarkStart w:name="In 2014 the University engaged Mercer Co" w:id="105"/>
      <w:bookmarkEnd w:id="105"/>
      <w:r>
        <w:rPr/>
      </w:r>
      <w:r>
        <w:rPr>
          <w:b/>
          <w:sz w:val="18"/>
        </w:rPr>
        <w:t>27</w:t>
        <w:tab/>
        <w:t>Provisions</w:t>
      </w:r>
      <w:r>
        <w:rPr>
          <w:b/>
          <w:spacing w:val="-5"/>
          <w:sz w:val="18"/>
        </w:rPr>
        <w:t> </w:t>
      </w:r>
      <w:r>
        <w:rPr>
          <w:b/>
          <w:sz w:val="18"/>
        </w:rPr>
        <w:t>(continued)</w:t>
      </w:r>
    </w:p>
    <w:p>
      <w:pPr>
        <w:pStyle w:val="BodyText"/>
        <w:spacing w:before="7"/>
        <w:rPr>
          <w:b/>
          <w:sz w:val="26"/>
        </w:rPr>
      </w:pPr>
    </w:p>
    <w:p>
      <w:pPr>
        <w:pStyle w:val="ListParagraph"/>
        <w:numPr>
          <w:ilvl w:val="1"/>
          <w:numId w:val="25"/>
        </w:numPr>
        <w:tabs>
          <w:tab w:pos="2392" w:val="left" w:leader="none"/>
        </w:tabs>
        <w:spacing w:line="240" w:lineRule="auto" w:before="0" w:after="0"/>
        <w:ind w:left="2391" w:right="0" w:hanging="566"/>
        <w:jc w:val="left"/>
        <w:rPr>
          <w:sz w:val="18"/>
        </w:rPr>
      </w:pPr>
      <w:r>
        <w:rPr>
          <w:sz w:val="18"/>
        </w:rPr>
        <w:t>Long service</w:t>
      </w:r>
      <w:r>
        <w:rPr>
          <w:spacing w:val="-17"/>
          <w:sz w:val="18"/>
        </w:rPr>
        <w:t> </w:t>
      </w:r>
      <w:r>
        <w:rPr>
          <w:sz w:val="18"/>
        </w:rPr>
        <w:t>leave</w:t>
      </w:r>
    </w:p>
    <w:p>
      <w:pPr>
        <w:pStyle w:val="BodyText"/>
        <w:spacing w:before="4"/>
        <w:rPr>
          <w:sz w:val="25"/>
        </w:rPr>
      </w:pPr>
    </w:p>
    <w:p>
      <w:pPr>
        <w:pStyle w:val="BodyText"/>
        <w:ind w:left="2392" w:right="1406" w:hanging="2"/>
      </w:pPr>
      <w:r>
        <w:rPr/>
        <w:t>In 2014 the University engaged Mercer Consulting (Australia) Pty Ltd to undertake a valuation of the University's long service leave liability. The University has used a shorthand measurement technique to value the long service leave liability at 31 December 2016. Assumptions used in this measurement included:</w:t>
      </w:r>
    </w:p>
    <w:p>
      <w:pPr>
        <w:pStyle w:val="Heading8"/>
        <w:spacing w:before="63"/>
        <w:ind w:left="2842"/>
        <w:jc w:val="center"/>
      </w:pPr>
      <w:r>
        <w:rPr>
          <w:w w:val="99"/>
        </w:rPr>
        <w:t>%</w:t>
      </w:r>
    </w:p>
    <w:p>
      <w:pPr>
        <w:pStyle w:val="BodyText"/>
        <w:tabs>
          <w:tab w:pos="7701" w:val="left" w:leader="none"/>
        </w:tabs>
        <w:spacing w:before="63"/>
        <w:ind w:left="2391"/>
      </w:pPr>
      <w:bookmarkStart w:name="(c) Movements in provisions - Non Curren" w:id="106"/>
      <w:bookmarkEnd w:id="106"/>
      <w:r>
        <w:rPr/>
      </w:r>
      <w:r>
        <w:rPr/>
        <w:t>Estimate rate of long term inflation /</w:t>
      </w:r>
      <w:r>
        <w:rPr>
          <w:spacing w:val="-34"/>
        </w:rPr>
        <w:t> </w:t>
      </w:r>
      <w:r>
        <w:rPr/>
        <w:t>salary</w:t>
      </w:r>
      <w:r>
        <w:rPr>
          <w:spacing w:val="-5"/>
        </w:rPr>
        <w:t> </w:t>
      </w:r>
      <w:r>
        <w:rPr/>
        <w:t>increase</w:t>
      </w:r>
      <w:r>
        <w:rPr>
          <w:rFonts w:ascii="Times New Roman"/>
        </w:rPr>
        <w:tab/>
      </w:r>
      <w:r>
        <w:rPr/>
        <w:t>3.00</w:t>
      </w:r>
    </w:p>
    <w:p>
      <w:pPr>
        <w:pStyle w:val="BodyText"/>
        <w:tabs>
          <w:tab w:pos="8051" w:val="right" w:leader="none"/>
        </w:tabs>
        <w:spacing w:before="57"/>
        <w:ind w:left="2391"/>
      </w:pPr>
      <w:r>
        <w:rPr/>
        <w:t>Discount for future</w:t>
      </w:r>
      <w:r>
        <w:rPr>
          <w:spacing w:val="-6"/>
        </w:rPr>
        <w:t> </w:t>
      </w:r>
      <w:r>
        <w:rPr/>
        <w:t>investment</w:t>
      </w:r>
      <w:r>
        <w:rPr>
          <w:spacing w:val="-2"/>
        </w:rPr>
        <w:t> </w:t>
      </w:r>
      <w:r>
        <w:rPr/>
        <w:t>earnings</w:t>
      </w:r>
      <w:r>
        <w:rPr>
          <w:rFonts w:ascii="Times New Roman"/>
        </w:rPr>
        <w:tab/>
      </w:r>
      <w:r>
        <w:rPr/>
        <w:t>2.75</w:t>
      </w:r>
    </w:p>
    <w:p>
      <w:pPr>
        <w:pStyle w:val="ListParagraph"/>
        <w:numPr>
          <w:ilvl w:val="1"/>
          <w:numId w:val="25"/>
        </w:numPr>
        <w:tabs>
          <w:tab w:pos="2392" w:val="left" w:leader="none"/>
        </w:tabs>
        <w:spacing w:line="240" w:lineRule="auto" w:before="518" w:after="0"/>
        <w:ind w:left="2391" w:right="0" w:hanging="566"/>
        <w:jc w:val="left"/>
        <w:rPr>
          <w:sz w:val="18"/>
        </w:rPr>
      </w:pPr>
      <w:r>
        <w:rPr>
          <w:sz w:val="18"/>
        </w:rPr>
        <w:t>Movements in provisions - Non</w:t>
      </w:r>
      <w:r>
        <w:rPr>
          <w:spacing w:val="-33"/>
          <w:sz w:val="18"/>
        </w:rPr>
        <w:t> </w:t>
      </w:r>
      <w:r>
        <w:rPr>
          <w:sz w:val="18"/>
        </w:rPr>
        <w:t>Current</w:t>
      </w:r>
    </w:p>
    <w:p>
      <w:pPr>
        <w:pStyle w:val="BodyText"/>
        <w:spacing w:before="292"/>
        <w:ind w:left="2390"/>
      </w:pPr>
      <w:r>
        <w:rPr/>
        <w:drawing>
          <wp:anchor distT="0" distB="0" distL="0" distR="0" allowOverlap="1" layoutInCell="1" locked="0" behindDoc="0" simplePos="0" relativeHeight="4264">
            <wp:simplePos x="0" y="0"/>
            <wp:positionH relativeFrom="page">
              <wp:posOffset>-1587</wp:posOffset>
            </wp:positionH>
            <wp:positionV relativeFrom="paragraph">
              <wp:posOffset>1419020</wp:posOffset>
            </wp:positionV>
            <wp:extent cx="135159" cy="154019"/>
            <wp:effectExtent l="0" t="0" r="0" b="0"/>
            <wp:wrapNone/>
            <wp:docPr id="265" name="image13.png" descr=""/>
            <wp:cNvGraphicFramePr>
              <a:graphicFrameLocks noChangeAspect="1"/>
            </wp:cNvGraphicFramePr>
            <a:graphic>
              <a:graphicData uri="http://schemas.openxmlformats.org/drawingml/2006/picture">
                <pic:pic>
                  <pic:nvPicPr>
                    <pic:cNvPr id="266" name="image13.png"/>
                    <pic:cNvPicPr/>
                  </pic:nvPicPr>
                  <pic:blipFill>
                    <a:blip r:embed="rId18" cstate="print"/>
                    <a:stretch>
                      <a:fillRect/>
                    </a:stretch>
                  </pic:blipFill>
                  <pic:spPr>
                    <a:xfrm>
                      <a:off x="0" y="0"/>
                      <a:ext cx="135159" cy="154019"/>
                    </a:xfrm>
                    <a:prstGeom prst="rect">
                      <a:avLst/>
                    </a:prstGeom>
                  </pic:spPr>
                </pic:pic>
              </a:graphicData>
            </a:graphic>
          </wp:anchor>
        </w:drawing>
      </w:r>
      <w:r>
        <w:rPr/>
        <w:drawing>
          <wp:anchor distT="0" distB="0" distL="0" distR="0" allowOverlap="1" layoutInCell="1" locked="0" behindDoc="0" simplePos="0" relativeHeight="4288">
            <wp:simplePos x="0" y="0"/>
            <wp:positionH relativeFrom="page">
              <wp:posOffset>7958429</wp:posOffset>
            </wp:positionH>
            <wp:positionV relativeFrom="paragraph">
              <wp:posOffset>1419020</wp:posOffset>
            </wp:positionV>
            <wp:extent cx="135953" cy="155575"/>
            <wp:effectExtent l="0" t="0" r="0" b="0"/>
            <wp:wrapNone/>
            <wp:docPr id="267" name="image15.png" descr=""/>
            <wp:cNvGraphicFramePr>
              <a:graphicFrameLocks noChangeAspect="1"/>
            </wp:cNvGraphicFramePr>
            <a:graphic>
              <a:graphicData uri="http://schemas.openxmlformats.org/drawingml/2006/picture">
                <pic:pic>
                  <pic:nvPicPr>
                    <pic:cNvPr id="268" name="image15.png"/>
                    <pic:cNvPicPr/>
                  </pic:nvPicPr>
                  <pic:blipFill>
                    <a:blip r:embed="rId20" cstate="print"/>
                    <a:stretch>
                      <a:fillRect/>
                    </a:stretch>
                  </pic:blipFill>
                  <pic:spPr>
                    <a:xfrm>
                      <a:off x="0" y="0"/>
                      <a:ext cx="135953" cy="155575"/>
                    </a:xfrm>
                    <a:prstGeom prst="rect">
                      <a:avLst/>
                    </a:prstGeom>
                  </pic:spPr>
                </pic:pic>
              </a:graphicData>
            </a:graphic>
          </wp:anchor>
        </w:drawing>
      </w:r>
      <w:r>
        <w:rPr/>
        <w:t>Movements in each class of provision during the financial year, other than employee benefits, are set out below:</w:t>
      </w:r>
    </w:p>
    <w:p>
      <w:pPr>
        <w:pStyle w:val="BodyText"/>
        <w:spacing w:before="11"/>
        <w:rPr>
          <w:sz w:val="19"/>
        </w:rPr>
      </w:pPr>
    </w:p>
    <w:tbl>
      <w:tblPr>
        <w:tblW w:w="0" w:type="auto"/>
        <w:jc w:val="left"/>
        <w:tblInd w:w="240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179"/>
        <w:gridCol w:w="1667"/>
        <w:gridCol w:w="693"/>
        <w:gridCol w:w="404"/>
      </w:tblGrid>
      <w:tr>
        <w:trPr>
          <w:trHeight w:val="533" w:hRule="exact"/>
        </w:trPr>
        <w:tc>
          <w:tcPr>
            <w:tcW w:w="6179" w:type="dxa"/>
            <w:vMerge w:val="restart"/>
          </w:tcPr>
          <w:p>
            <w:pPr/>
          </w:p>
        </w:tc>
        <w:tc>
          <w:tcPr>
            <w:tcW w:w="1667" w:type="dxa"/>
          </w:tcPr>
          <w:p>
            <w:pPr>
              <w:pStyle w:val="TableParagraph"/>
              <w:spacing w:before="77"/>
              <w:ind w:left="552" w:right="217" w:hanging="333"/>
              <w:jc w:val="left"/>
              <w:rPr>
                <w:b/>
                <w:sz w:val="18"/>
              </w:rPr>
            </w:pPr>
            <w:r>
              <w:rPr>
                <w:b/>
                <w:sz w:val="18"/>
              </w:rPr>
              <w:t>Make good on leases</w:t>
            </w:r>
          </w:p>
        </w:tc>
        <w:tc>
          <w:tcPr>
            <w:tcW w:w="693" w:type="dxa"/>
          </w:tcPr>
          <w:p>
            <w:pPr>
              <w:pStyle w:val="TableParagraph"/>
              <w:spacing w:before="7"/>
              <w:jc w:val="left"/>
              <w:rPr>
                <w:sz w:val="24"/>
              </w:rPr>
            </w:pPr>
          </w:p>
          <w:p>
            <w:pPr>
              <w:pStyle w:val="TableParagraph"/>
              <w:ind w:right="19"/>
              <w:rPr>
                <w:b/>
                <w:sz w:val="18"/>
              </w:rPr>
            </w:pPr>
            <w:r>
              <w:rPr>
                <w:b/>
                <w:sz w:val="18"/>
              </w:rPr>
              <w:t>Total</w:t>
            </w:r>
          </w:p>
        </w:tc>
        <w:tc>
          <w:tcPr>
            <w:tcW w:w="404" w:type="dxa"/>
            <w:vMerge w:val="restart"/>
          </w:tcPr>
          <w:p>
            <w:pPr/>
          </w:p>
        </w:tc>
      </w:tr>
      <w:tr>
        <w:trPr>
          <w:trHeight w:val="313" w:hRule="exact"/>
        </w:trPr>
        <w:tc>
          <w:tcPr>
            <w:tcW w:w="6179" w:type="dxa"/>
            <w:vMerge/>
          </w:tcPr>
          <w:p>
            <w:pPr/>
          </w:p>
        </w:tc>
        <w:tc>
          <w:tcPr>
            <w:tcW w:w="1667" w:type="dxa"/>
          </w:tcPr>
          <w:p>
            <w:pPr>
              <w:pStyle w:val="TableParagraph"/>
              <w:spacing w:before="24"/>
              <w:ind w:left="604" w:right="217"/>
              <w:jc w:val="left"/>
              <w:rPr>
                <w:b/>
                <w:sz w:val="18"/>
              </w:rPr>
            </w:pPr>
            <w:r>
              <w:rPr>
                <w:b/>
                <w:sz w:val="18"/>
              </w:rPr>
              <w:t>$'000</w:t>
            </w:r>
          </w:p>
        </w:tc>
        <w:tc>
          <w:tcPr>
            <w:tcW w:w="693" w:type="dxa"/>
          </w:tcPr>
          <w:p>
            <w:pPr>
              <w:pStyle w:val="TableParagraph"/>
              <w:spacing w:before="24"/>
              <w:ind w:right="14"/>
              <w:rPr>
                <w:b/>
                <w:sz w:val="18"/>
              </w:rPr>
            </w:pPr>
            <w:r>
              <w:rPr>
                <w:b/>
                <w:sz w:val="18"/>
              </w:rPr>
              <w:t>$'000</w:t>
            </w:r>
          </w:p>
        </w:tc>
        <w:tc>
          <w:tcPr>
            <w:tcW w:w="404" w:type="dxa"/>
            <w:vMerge/>
          </w:tcPr>
          <w:p>
            <w:pPr/>
          </w:p>
        </w:tc>
      </w:tr>
      <w:tr>
        <w:trPr>
          <w:trHeight w:val="336" w:hRule="exact"/>
        </w:trPr>
        <w:tc>
          <w:tcPr>
            <w:tcW w:w="6179" w:type="dxa"/>
          </w:tcPr>
          <w:p>
            <w:pPr>
              <w:pStyle w:val="TableParagraph"/>
              <w:spacing w:before="63"/>
              <w:ind w:left="35"/>
              <w:jc w:val="left"/>
              <w:rPr>
                <w:b/>
                <w:sz w:val="18"/>
              </w:rPr>
            </w:pPr>
            <w:r>
              <w:rPr>
                <w:b/>
                <w:sz w:val="18"/>
              </w:rPr>
              <w:t>Parent</w:t>
            </w:r>
          </w:p>
        </w:tc>
        <w:tc>
          <w:tcPr>
            <w:tcW w:w="1667" w:type="dxa"/>
          </w:tcPr>
          <w:p>
            <w:pPr/>
          </w:p>
        </w:tc>
        <w:tc>
          <w:tcPr>
            <w:tcW w:w="693" w:type="dxa"/>
          </w:tcPr>
          <w:p>
            <w:pPr/>
          </w:p>
        </w:tc>
        <w:tc>
          <w:tcPr>
            <w:tcW w:w="404" w:type="dxa"/>
            <w:vMerge/>
          </w:tcPr>
          <w:p>
            <w:pPr/>
          </w:p>
        </w:tc>
      </w:tr>
      <w:tr>
        <w:trPr>
          <w:trHeight w:val="277" w:hRule="exact"/>
        </w:trPr>
        <w:tc>
          <w:tcPr>
            <w:tcW w:w="6179" w:type="dxa"/>
          </w:tcPr>
          <w:p>
            <w:pPr>
              <w:pStyle w:val="TableParagraph"/>
              <w:spacing w:before="46"/>
              <w:ind w:left="35"/>
              <w:jc w:val="left"/>
              <w:rPr>
                <w:b/>
                <w:sz w:val="18"/>
              </w:rPr>
            </w:pPr>
            <w:r>
              <w:rPr>
                <w:b/>
                <w:sz w:val="18"/>
              </w:rPr>
              <w:t>Non-current</w:t>
            </w:r>
          </w:p>
        </w:tc>
        <w:tc>
          <w:tcPr>
            <w:tcW w:w="1667" w:type="dxa"/>
          </w:tcPr>
          <w:p>
            <w:pPr/>
          </w:p>
        </w:tc>
        <w:tc>
          <w:tcPr>
            <w:tcW w:w="693" w:type="dxa"/>
          </w:tcPr>
          <w:p>
            <w:pPr/>
          </w:p>
        </w:tc>
        <w:tc>
          <w:tcPr>
            <w:tcW w:w="404" w:type="dxa"/>
            <w:vMerge/>
          </w:tcPr>
          <w:p>
            <w:pPr/>
          </w:p>
        </w:tc>
      </w:tr>
      <w:tr>
        <w:trPr>
          <w:trHeight w:val="250" w:hRule="exact"/>
        </w:trPr>
        <w:tc>
          <w:tcPr>
            <w:tcW w:w="6179" w:type="dxa"/>
          </w:tcPr>
          <w:p>
            <w:pPr>
              <w:pStyle w:val="TableParagraph"/>
              <w:spacing w:before="4"/>
              <w:ind w:left="35"/>
              <w:jc w:val="left"/>
              <w:rPr>
                <w:sz w:val="18"/>
              </w:rPr>
            </w:pPr>
            <w:r>
              <w:rPr>
                <w:sz w:val="18"/>
              </w:rPr>
              <w:t>Carrying amount at start of year</w:t>
            </w:r>
          </w:p>
        </w:tc>
        <w:tc>
          <w:tcPr>
            <w:tcW w:w="1667" w:type="dxa"/>
          </w:tcPr>
          <w:p>
            <w:pPr>
              <w:pStyle w:val="TableParagraph"/>
              <w:spacing w:before="5"/>
              <w:ind w:right="287"/>
              <w:rPr>
                <w:b/>
                <w:sz w:val="18"/>
              </w:rPr>
            </w:pPr>
            <w:r>
              <w:rPr>
                <w:b/>
                <w:sz w:val="18"/>
              </w:rPr>
              <w:t>446</w:t>
            </w:r>
          </w:p>
        </w:tc>
        <w:tc>
          <w:tcPr>
            <w:tcW w:w="693" w:type="dxa"/>
          </w:tcPr>
          <w:p>
            <w:pPr/>
          </w:p>
        </w:tc>
        <w:tc>
          <w:tcPr>
            <w:tcW w:w="404" w:type="dxa"/>
          </w:tcPr>
          <w:p>
            <w:pPr>
              <w:pStyle w:val="TableParagraph"/>
              <w:spacing w:before="5"/>
              <w:ind w:left="16"/>
              <w:jc w:val="left"/>
              <w:rPr>
                <w:b/>
                <w:sz w:val="18"/>
              </w:rPr>
            </w:pPr>
            <w:r>
              <w:rPr>
                <w:b/>
                <w:sz w:val="18"/>
              </w:rPr>
              <w:t>446</w:t>
            </w:r>
          </w:p>
        </w:tc>
      </w:tr>
      <w:tr>
        <w:trPr>
          <w:trHeight w:val="263" w:hRule="exact"/>
        </w:trPr>
        <w:tc>
          <w:tcPr>
            <w:tcW w:w="6179" w:type="dxa"/>
          </w:tcPr>
          <w:p>
            <w:pPr>
              <w:pStyle w:val="TableParagraph"/>
              <w:spacing w:before="18"/>
              <w:ind w:left="35"/>
              <w:jc w:val="left"/>
              <w:rPr>
                <w:sz w:val="18"/>
              </w:rPr>
            </w:pPr>
            <w:r>
              <w:rPr>
                <w:sz w:val="18"/>
              </w:rPr>
              <w:t>Additional provisions</w:t>
            </w:r>
          </w:p>
        </w:tc>
        <w:tc>
          <w:tcPr>
            <w:tcW w:w="1667" w:type="dxa"/>
            <w:tcBorders>
              <w:bottom w:val="single" w:sz="0" w:space="0" w:color="000000"/>
            </w:tcBorders>
          </w:tcPr>
          <w:p>
            <w:pPr>
              <w:pStyle w:val="TableParagraph"/>
              <w:spacing w:before="19"/>
              <w:ind w:right="287"/>
              <w:rPr>
                <w:b/>
                <w:sz w:val="18"/>
              </w:rPr>
            </w:pPr>
            <w:r>
              <w:rPr>
                <w:b/>
                <w:sz w:val="18"/>
              </w:rPr>
              <w:t>261</w:t>
            </w:r>
          </w:p>
        </w:tc>
        <w:tc>
          <w:tcPr>
            <w:tcW w:w="693" w:type="dxa"/>
            <w:tcBorders>
              <w:bottom w:val="single" w:sz="0" w:space="0" w:color="000000"/>
            </w:tcBorders>
          </w:tcPr>
          <w:p>
            <w:pPr/>
          </w:p>
        </w:tc>
        <w:tc>
          <w:tcPr>
            <w:tcW w:w="404" w:type="dxa"/>
            <w:tcBorders>
              <w:bottom w:val="single" w:sz="0" w:space="0" w:color="000000"/>
            </w:tcBorders>
          </w:tcPr>
          <w:p>
            <w:pPr>
              <w:pStyle w:val="TableParagraph"/>
              <w:spacing w:before="19"/>
              <w:ind w:left="16"/>
              <w:jc w:val="left"/>
              <w:rPr>
                <w:b/>
                <w:sz w:val="18"/>
              </w:rPr>
            </w:pPr>
            <w:r>
              <w:rPr>
                <w:b/>
                <w:sz w:val="18"/>
              </w:rPr>
              <w:t>261</w:t>
            </w:r>
          </w:p>
        </w:tc>
      </w:tr>
      <w:tr>
        <w:trPr>
          <w:trHeight w:val="353" w:hRule="exact"/>
        </w:trPr>
        <w:tc>
          <w:tcPr>
            <w:tcW w:w="6179" w:type="dxa"/>
          </w:tcPr>
          <w:p>
            <w:pPr>
              <w:pStyle w:val="TableParagraph"/>
              <w:spacing w:before="123"/>
              <w:ind w:left="35"/>
              <w:jc w:val="left"/>
              <w:rPr>
                <w:b/>
                <w:sz w:val="18"/>
              </w:rPr>
            </w:pPr>
            <w:r>
              <w:rPr>
                <w:b/>
                <w:sz w:val="18"/>
              </w:rPr>
              <w:t>Carrying amount at end of year</w:t>
            </w:r>
          </w:p>
        </w:tc>
        <w:tc>
          <w:tcPr>
            <w:tcW w:w="1667" w:type="dxa"/>
            <w:tcBorders>
              <w:top w:val="single" w:sz="0" w:space="0" w:color="000000"/>
              <w:bottom w:val="single" w:sz="0" w:space="0" w:color="000000"/>
            </w:tcBorders>
          </w:tcPr>
          <w:p>
            <w:pPr>
              <w:pStyle w:val="TableParagraph"/>
              <w:spacing w:before="122"/>
              <w:ind w:right="287"/>
              <w:rPr>
                <w:b/>
                <w:sz w:val="18"/>
              </w:rPr>
            </w:pPr>
            <w:r>
              <w:rPr>
                <w:b/>
                <w:sz w:val="18"/>
              </w:rPr>
              <w:t>707</w:t>
            </w:r>
          </w:p>
        </w:tc>
        <w:tc>
          <w:tcPr>
            <w:tcW w:w="693" w:type="dxa"/>
            <w:tcBorders>
              <w:top w:val="single" w:sz="0" w:space="0" w:color="000000"/>
              <w:bottom w:val="single" w:sz="0" w:space="0" w:color="000000"/>
            </w:tcBorders>
          </w:tcPr>
          <w:p>
            <w:pPr/>
          </w:p>
        </w:tc>
        <w:tc>
          <w:tcPr>
            <w:tcW w:w="404" w:type="dxa"/>
            <w:tcBorders>
              <w:top w:val="single" w:sz="0" w:space="0" w:color="000000"/>
              <w:bottom w:val="single" w:sz="0" w:space="0" w:color="000000"/>
            </w:tcBorders>
          </w:tcPr>
          <w:p>
            <w:pPr>
              <w:pStyle w:val="TableParagraph"/>
              <w:spacing w:before="122"/>
              <w:ind w:left="16"/>
              <w:jc w:val="left"/>
              <w:rPr>
                <w:b/>
                <w:sz w:val="18"/>
              </w:rPr>
            </w:pPr>
            <w:r>
              <w:rPr>
                <w:b/>
                <w:sz w:val="18"/>
              </w:rPr>
              <w:t>707</w:t>
            </w:r>
          </w:p>
        </w:tc>
      </w:tr>
      <w:tr>
        <w:trPr>
          <w:trHeight w:val="789" w:hRule="exact"/>
        </w:trPr>
        <w:tc>
          <w:tcPr>
            <w:tcW w:w="6179" w:type="dxa"/>
          </w:tcPr>
          <w:p>
            <w:pPr/>
          </w:p>
        </w:tc>
        <w:tc>
          <w:tcPr>
            <w:tcW w:w="1667" w:type="dxa"/>
            <w:tcBorders>
              <w:top w:val="single" w:sz="0" w:space="0" w:color="000000"/>
            </w:tcBorders>
          </w:tcPr>
          <w:p>
            <w:pPr>
              <w:pStyle w:val="TableParagraph"/>
              <w:jc w:val="left"/>
              <w:rPr>
                <w:sz w:val="18"/>
              </w:rPr>
            </w:pPr>
          </w:p>
          <w:p>
            <w:pPr>
              <w:pStyle w:val="TableParagraph"/>
              <w:spacing w:before="125"/>
              <w:ind w:left="552" w:right="217" w:hanging="333"/>
              <w:jc w:val="left"/>
              <w:rPr>
                <w:b/>
                <w:sz w:val="18"/>
              </w:rPr>
            </w:pPr>
            <w:r>
              <w:rPr>
                <w:b/>
                <w:sz w:val="18"/>
              </w:rPr>
              <w:t>Make good on leases</w:t>
            </w:r>
          </w:p>
        </w:tc>
        <w:tc>
          <w:tcPr>
            <w:tcW w:w="693" w:type="dxa"/>
            <w:tcBorders>
              <w:top w:val="single" w:sz="0" w:space="0" w:color="000000"/>
            </w:tcBorders>
          </w:tcPr>
          <w:p>
            <w:pPr>
              <w:pStyle w:val="TableParagraph"/>
              <w:jc w:val="left"/>
              <w:rPr>
                <w:sz w:val="18"/>
              </w:rPr>
            </w:pPr>
          </w:p>
          <w:p>
            <w:pPr>
              <w:pStyle w:val="TableParagraph"/>
              <w:jc w:val="left"/>
              <w:rPr>
                <w:sz w:val="18"/>
              </w:rPr>
            </w:pPr>
          </w:p>
          <w:p>
            <w:pPr>
              <w:pStyle w:val="TableParagraph"/>
              <w:spacing w:before="124"/>
              <w:ind w:right="19"/>
              <w:rPr>
                <w:b/>
                <w:sz w:val="18"/>
              </w:rPr>
            </w:pPr>
            <w:r>
              <w:rPr>
                <w:b/>
                <w:sz w:val="18"/>
              </w:rPr>
              <w:t>Total</w:t>
            </w:r>
          </w:p>
        </w:tc>
        <w:tc>
          <w:tcPr>
            <w:tcW w:w="404" w:type="dxa"/>
            <w:tcBorders>
              <w:top w:val="single" w:sz="0" w:space="0" w:color="000000"/>
            </w:tcBorders>
          </w:tcPr>
          <w:p>
            <w:pPr/>
          </w:p>
        </w:tc>
      </w:tr>
      <w:tr>
        <w:trPr>
          <w:trHeight w:val="313" w:hRule="exact"/>
        </w:trPr>
        <w:tc>
          <w:tcPr>
            <w:tcW w:w="6179" w:type="dxa"/>
          </w:tcPr>
          <w:p>
            <w:pPr/>
          </w:p>
        </w:tc>
        <w:tc>
          <w:tcPr>
            <w:tcW w:w="1667" w:type="dxa"/>
          </w:tcPr>
          <w:p>
            <w:pPr>
              <w:pStyle w:val="TableParagraph"/>
              <w:spacing w:before="24"/>
              <w:ind w:left="604" w:right="217"/>
              <w:jc w:val="left"/>
              <w:rPr>
                <w:b/>
                <w:sz w:val="18"/>
              </w:rPr>
            </w:pPr>
            <w:r>
              <w:rPr>
                <w:b/>
                <w:sz w:val="18"/>
              </w:rPr>
              <w:t>$'000</w:t>
            </w:r>
          </w:p>
        </w:tc>
        <w:tc>
          <w:tcPr>
            <w:tcW w:w="693" w:type="dxa"/>
          </w:tcPr>
          <w:p>
            <w:pPr>
              <w:pStyle w:val="TableParagraph"/>
              <w:spacing w:before="24"/>
              <w:ind w:right="14"/>
              <w:rPr>
                <w:b/>
                <w:sz w:val="18"/>
              </w:rPr>
            </w:pPr>
            <w:r>
              <w:rPr>
                <w:b/>
                <w:sz w:val="18"/>
              </w:rPr>
              <w:t>$'000</w:t>
            </w:r>
          </w:p>
        </w:tc>
        <w:tc>
          <w:tcPr>
            <w:tcW w:w="404" w:type="dxa"/>
          </w:tcPr>
          <w:p>
            <w:pPr/>
          </w:p>
        </w:tc>
      </w:tr>
      <w:tr>
        <w:trPr>
          <w:trHeight w:val="336" w:hRule="exact"/>
        </w:trPr>
        <w:tc>
          <w:tcPr>
            <w:tcW w:w="6179" w:type="dxa"/>
          </w:tcPr>
          <w:p>
            <w:pPr>
              <w:pStyle w:val="TableParagraph"/>
              <w:spacing w:before="63"/>
              <w:ind w:left="35"/>
              <w:jc w:val="left"/>
              <w:rPr>
                <w:b/>
                <w:sz w:val="18"/>
              </w:rPr>
            </w:pPr>
            <w:r>
              <w:rPr>
                <w:b/>
                <w:sz w:val="18"/>
              </w:rPr>
              <w:t>Consolidated</w:t>
            </w:r>
          </w:p>
        </w:tc>
        <w:tc>
          <w:tcPr>
            <w:tcW w:w="1667" w:type="dxa"/>
          </w:tcPr>
          <w:p>
            <w:pPr/>
          </w:p>
        </w:tc>
        <w:tc>
          <w:tcPr>
            <w:tcW w:w="693" w:type="dxa"/>
          </w:tcPr>
          <w:p>
            <w:pPr/>
          </w:p>
        </w:tc>
        <w:tc>
          <w:tcPr>
            <w:tcW w:w="404" w:type="dxa"/>
          </w:tcPr>
          <w:p>
            <w:pPr/>
          </w:p>
        </w:tc>
      </w:tr>
      <w:tr>
        <w:trPr>
          <w:trHeight w:val="277" w:hRule="exact"/>
        </w:trPr>
        <w:tc>
          <w:tcPr>
            <w:tcW w:w="6179" w:type="dxa"/>
          </w:tcPr>
          <w:p>
            <w:pPr>
              <w:pStyle w:val="TableParagraph"/>
              <w:spacing w:before="46"/>
              <w:ind w:left="35"/>
              <w:jc w:val="left"/>
              <w:rPr>
                <w:b/>
                <w:sz w:val="18"/>
              </w:rPr>
            </w:pPr>
            <w:r>
              <w:rPr>
                <w:b/>
                <w:sz w:val="18"/>
              </w:rPr>
              <w:t>Non-current</w:t>
            </w:r>
          </w:p>
        </w:tc>
        <w:tc>
          <w:tcPr>
            <w:tcW w:w="1667" w:type="dxa"/>
          </w:tcPr>
          <w:p>
            <w:pPr/>
          </w:p>
        </w:tc>
        <w:tc>
          <w:tcPr>
            <w:tcW w:w="693" w:type="dxa"/>
          </w:tcPr>
          <w:p>
            <w:pPr/>
          </w:p>
        </w:tc>
        <w:tc>
          <w:tcPr>
            <w:tcW w:w="404" w:type="dxa"/>
          </w:tcPr>
          <w:p>
            <w:pPr/>
          </w:p>
        </w:tc>
      </w:tr>
      <w:tr>
        <w:trPr>
          <w:trHeight w:val="250" w:hRule="exact"/>
        </w:trPr>
        <w:tc>
          <w:tcPr>
            <w:tcW w:w="6179" w:type="dxa"/>
          </w:tcPr>
          <w:p>
            <w:pPr>
              <w:pStyle w:val="TableParagraph"/>
              <w:spacing w:before="4"/>
              <w:ind w:left="35"/>
              <w:jc w:val="left"/>
              <w:rPr>
                <w:sz w:val="18"/>
              </w:rPr>
            </w:pPr>
            <w:r>
              <w:rPr>
                <w:sz w:val="18"/>
              </w:rPr>
              <w:t>Carrying amount at start of year</w:t>
            </w:r>
          </w:p>
        </w:tc>
        <w:tc>
          <w:tcPr>
            <w:tcW w:w="1667" w:type="dxa"/>
          </w:tcPr>
          <w:p>
            <w:pPr>
              <w:pStyle w:val="TableParagraph"/>
              <w:spacing w:before="5"/>
              <w:ind w:right="287"/>
              <w:rPr>
                <w:b/>
                <w:sz w:val="18"/>
              </w:rPr>
            </w:pPr>
            <w:r>
              <w:rPr>
                <w:b/>
                <w:sz w:val="18"/>
              </w:rPr>
              <w:t>446</w:t>
            </w:r>
          </w:p>
        </w:tc>
        <w:tc>
          <w:tcPr>
            <w:tcW w:w="693" w:type="dxa"/>
          </w:tcPr>
          <w:p>
            <w:pPr/>
          </w:p>
        </w:tc>
        <w:tc>
          <w:tcPr>
            <w:tcW w:w="404" w:type="dxa"/>
          </w:tcPr>
          <w:p>
            <w:pPr>
              <w:pStyle w:val="TableParagraph"/>
              <w:spacing w:before="5"/>
              <w:ind w:left="16"/>
              <w:jc w:val="left"/>
              <w:rPr>
                <w:b/>
                <w:sz w:val="18"/>
              </w:rPr>
            </w:pPr>
            <w:r>
              <w:rPr>
                <w:b/>
                <w:sz w:val="18"/>
              </w:rPr>
              <w:t>446</w:t>
            </w:r>
          </w:p>
        </w:tc>
      </w:tr>
      <w:tr>
        <w:trPr>
          <w:trHeight w:val="263" w:hRule="exact"/>
        </w:trPr>
        <w:tc>
          <w:tcPr>
            <w:tcW w:w="6179" w:type="dxa"/>
          </w:tcPr>
          <w:p>
            <w:pPr>
              <w:pStyle w:val="TableParagraph"/>
              <w:spacing w:before="18"/>
              <w:ind w:left="35"/>
              <w:jc w:val="left"/>
              <w:rPr>
                <w:sz w:val="18"/>
              </w:rPr>
            </w:pPr>
            <w:r>
              <w:rPr>
                <w:sz w:val="18"/>
              </w:rPr>
              <w:t>Additional provisions</w:t>
            </w:r>
          </w:p>
        </w:tc>
        <w:tc>
          <w:tcPr>
            <w:tcW w:w="1667" w:type="dxa"/>
            <w:tcBorders>
              <w:bottom w:val="single" w:sz="0" w:space="0" w:color="000000"/>
            </w:tcBorders>
          </w:tcPr>
          <w:p>
            <w:pPr>
              <w:pStyle w:val="TableParagraph"/>
              <w:spacing w:before="19"/>
              <w:ind w:right="287"/>
              <w:rPr>
                <w:b/>
                <w:sz w:val="18"/>
              </w:rPr>
            </w:pPr>
            <w:r>
              <w:rPr>
                <w:b/>
                <w:sz w:val="18"/>
              </w:rPr>
              <w:t>261</w:t>
            </w:r>
          </w:p>
        </w:tc>
        <w:tc>
          <w:tcPr>
            <w:tcW w:w="693" w:type="dxa"/>
            <w:tcBorders>
              <w:bottom w:val="single" w:sz="0" w:space="0" w:color="000000"/>
            </w:tcBorders>
          </w:tcPr>
          <w:p>
            <w:pPr/>
          </w:p>
        </w:tc>
        <w:tc>
          <w:tcPr>
            <w:tcW w:w="404" w:type="dxa"/>
            <w:tcBorders>
              <w:bottom w:val="single" w:sz="0" w:space="0" w:color="000000"/>
            </w:tcBorders>
          </w:tcPr>
          <w:p>
            <w:pPr>
              <w:pStyle w:val="TableParagraph"/>
              <w:spacing w:before="19"/>
              <w:ind w:left="16"/>
              <w:jc w:val="left"/>
              <w:rPr>
                <w:b/>
                <w:sz w:val="18"/>
              </w:rPr>
            </w:pPr>
            <w:r>
              <w:rPr>
                <w:b/>
                <w:sz w:val="18"/>
              </w:rPr>
              <w:t>261</w:t>
            </w:r>
          </w:p>
        </w:tc>
      </w:tr>
      <w:tr>
        <w:trPr>
          <w:trHeight w:val="353" w:hRule="exact"/>
        </w:trPr>
        <w:tc>
          <w:tcPr>
            <w:tcW w:w="6179" w:type="dxa"/>
          </w:tcPr>
          <w:p>
            <w:pPr>
              <w:pStyle w:val="TableParagraph"/>
              <w:spacing w:before="123"/>
              <w:ind w:left="35"/>
              <w:jc w:val="left"/>
              <w:rPr>
                <w:b/>
                <w:sz w:val="18"/>
              </w:rPr>
            </w:pPr>
            <w:r>
              <w:rPr>
                <w:b/>
                <w:sz w:val="18"/>
              </w:rPr>
              <w:t>Carrying amount at end of year</w:t>
            </w:r>
          </w:p>
        </w:tc>
        <w:tc>
          <w:tcPr>
            <w:tcW w:w="1667" w:type="dxa"/>
            <w:tcBorders>
              <w:top w:val="single" w:sz="0" w:space="0" w:color="000000"/>
              <w:bottom w:val="single" w:sz="0" w:space="0" w:color="000000"/>
            </w:tcBorders>
          </w:tcPr>
          <w:p>
            <w:pPr>
              <w:pStyle w:val="TableParagraph"/>
              <w:spacing w:before="122"/>
              <w:ind w:right="287"/>
              <w:rPr>
                <w:b/>
                <w:sz w:val="18"/>
              </w:rPr>
            </w:pPr>
            <w:r>
              <w:rPr>
                <w:b/>
                <w:sz w:val="18"/>
              </w:rPr>
              <w:t>707</w:t>
            </w:r>
          </w:p>
        </w:tc>
        <w:tc>
          <w:tcPr>
            <w:tcW w:w="693" w:type="dxa"/>
            <w:tcBorders>
              <w:top w:val="single" w:sz="0" w:space="0" w:color="000000"/>
              <w:bottom w:val="single" w:sz="0" w:space="0" w:color="000000"/>
            </w:tcBorders>
          </w:tcPr>
          <w:p>
            <w:pPr/>
          </w:p>
        </w:tc>
        <w:tc>
          <w:tcPr>
            <w:tcW w:w="404" w:type="dxa"/>
            <w:tcBorders>
              <w:top w:val="single" w:sz="0" w:space="0" w:color="000000"/>
              <w:bottom w:val="single" w:sz="0" w:space="0" w:color="000000"/>
            </w:tcBorders>
          </w:tcPr>
          <w:p>
            <w:pPr>
              <w:pStyle w:val="TableParagraph"/>
              <w:spacing w:before="122"/>
              <w:ind w:left="16"/>
              <w:jc w:val="left"/>
              <w:rPr>
                <w:b/>
                <w:sz w:val="18"/>
              </w:rPr>
            </w:pPr>
            <w:r>
              <w:rPr>
                <w:b/>
                <w:sz w:val="18"/>
              </w:rPr>
              <w:t>707</w:t>
            </w:r>
          </w:p>
        </w:tc>
      </w:tr>
    </w:tbl>
    <w:p>
      <w:pPr>
        <w:pStyle w:val="BodyText"/>
      </w:pPr>
    </w:p>
    <w:p>
      <w:pPr>
        <w:pStyle w:val="BodyText"/>
        <w:spacing w:before="106"/>
        <w:ind w:left="2390" w:right="1375"/>
      </w:pPr>
      <w:r>
        <w:rPr/>
        <w:t>The University has an obligation to make good on leased premises at the end of certain rental agreements. A provision has been made factoring in the cost of bringing the premises back to the conditions specified in the lease agreements.</w:t>
      </w:r>
    </w:p>
    <w:p>
      <w:pPr>
        <w:spacing w:after="0"/>
        <w:sectPr>
          <w:pgSz w:w="12750" w:h="17680"/>
          <w:pgMar w:header="0" w:footer="907" w:top="2640" w:bottom="1120" w:left="0" w:right="0"/>
        </w:sectPr>
      </w:pPr>
    </w:p>
    <w:p>
      <w:pPr>
        <w:pStyle w:val="BodyText"/>
        <w:rPr>
          <w:rFonts w:ascii="Times New Roman"/>
          <w:sz w:val="20"/>
        </w:rPr>
      </w:pPr>
      <w:r>
        <w:rPr/>
        <w:drawing>
          <wp:anchor distT="0" distB="0" distL="0" distR="0" allowOverlap="1" layoutInCell="1" locked="0" behindDoc="0" simplePos="0" relativeHeight="4312">
            <wp:simplePos x="0" y="0"/>
            <wp:positionH relativeFrom="page">
              <wp:posOffset>-1587</wp:posOffset>
            </wp:positionH>
            <wp:positionV relativeFrom="page">
              <wp:posOffset>5534342</wp:posOffset>
            </wp:positionV>
            <wp:extent cx="135159" cy="154019"/>
            <wp:effectExtent l="0" t="0" r="0" b="0"/>
            <wp:wrapNone/>
            <wp:docPr id="269" name="image13.png" descr=""/>
            <wp:cNvGraphicFramePr>
              <a:graphicFrameLocks noChangeAspect="1"/>
            </wp:cNvGraphicFramePr>
            <a:graphic>
              <a:graphicData uri="http://schemas.openxmlformats.org/drawingml/2006/picture">
                <pic:pic>
                  <pic:nvPicPr>
                    <pic:cNvPr id="270" name="image13.png"/>
                    <pic:cNvPicPr/>
                  </pic:nvPicPr>
                  <pic:blipFill>
                    <a:blip r:embed="rId18" cstate="print"/>
                    <a:stretch>
                      <a:fillRect/>
                    </a:stretch>
                  </pic:blipFill>
                  <pic:spPr>
                    <a:xfrm>
                      <a:off x="0" y="0"/>
                      <a:ext cx="135159" cy="154019"/>
                    </a:xfrm>
                    <a:prstGeom prst="rect">
                      <a:avLst/>
                    </a:prstGeom>
                  </pic:spPr>
                </pic:pic>
              </a:graphicData>
            </a:graphic>
          </wp:anchor>
        </w:drawing>
      </w:r>
      <w:r>
        <w:rPr/>
        <w:drawing>
          <wp:anchor distT="0" distB="0" distL="0" distR="0" allowOverlap="1" layoutInCell="1" locked="0" behindDoc="0" simplePos="0" relativeHeight="4336">
            <wp:simplePos x="0" y="0"/>
            <wp:positionH relativeFrom="page">
              <wp:posOffset>7958429</wp:posOffset>
            </wp:positionH>
            <wp:positionV relativeFrom="page">
              <wp:posOffset>5534342</wp:posOffset>
            </wp:positionV>
            <wp:extent cx="135953" cy="155575"/>
            <wp:effectExtent l="0" t="0" r="0" b="0"/>
            <wp:wrapNone/>
            <wp:docPr id="271" name="image15.png" descr=""/>
            <wp:cNvGraphicFramePr>
              <a:graphicFrameLocks noChangeAspect="1"/>
            </wp:cNvGraphicFramePr>
            <a:graphic>
              <a:graphicData uri="http://schemas.openxmlformats.org/drawingml/2006/picture">
                <pic:pic>
                  <pic:nvPicPr>
                    <pic:cNvPr id="272" name="image15.png"/>
                    <pic:cNvPicPr/>
                  </pic:nvPicPr>
                  <pic:blipFill>
                    <a:blip r:embed="rId20" cstate="print"/>
                    <a:stretch>
                      <a:fillRect/>
                    </a:stretch>
                  </pic:blipFill>
                  <pic:spPr>
                    <a:xfrm>
                      <a:off x="0" y="0"/>
                      <a:ext cx="135953" cy="155575"/>
                    </a:xfrm>
                    <a:prstGeom prst="rect">
                      <a:avLst/>
                    </a:prstGeom>
                  </pic:spPr>
                </pic:pic>
              </a:graphicData>
            </a:graphic>
          </wp:anchor>
        </w:drawing>
      </w:r>
    </w:p>
    <w:p>
      <w:pPr>
        <w:pStyle w:val="BodyText"/>
        <w:rPr>
          <w:rFonts w:ascii="Times New Roman"/>
          <w:sz w:val="20"/>
        </w:rPr>
      </w:pPr>
    </w:p>
    <w:p>
      <w:pPr>
        <w:pStyle w:val="BodyText"/>
        <w:spacing w:before="8"/>
        <w:rPr>
          <w:rFonts w:ascii="Times New Roman"/>
          <w:sz w:val="11"/>
        </w:rPr>
      </w:pPr>
    </w:p>
    <w:tbl>
      <w:tblPr>
        <w:tblW w:w="0" w:type="auto"/>
        <w:jc w:val="left"/>
        <w:tblInd w:w="139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33"/>
        <w:gridCol w:w="4088"/>
        <w:gridCol w:w="1658"/>
        <w:gridCol w:w="1390"/>
        <w:gridCol w:w="1498"/>
        <w:gridCol w:w="982"/>
      </w:tblGrid>
      <w:tr>
        <w:trPr>
          <w:trHeight w:val="728" w:hRule="exact"/>
        </w:trPr>
        <w:tc>
          <w:tcPr>
            <w:tcW w:w="333" w:type="dxa"/>
          </w:tcPr>
          <w:p>
            <w:pPr>
              <w:pStyle w:val="TableParagraph"/>
              <w:spacing w:before="77"/>
              <w:ind w:left="35"/>
              <w:jc w:val="left"/>
              <w:rPr>
                <w:b/>
                <w:sz w:val="18"/>
              </w:rPr>
            </w:pPr>
            <w:bookmarkStart w:name="28 Other liabilities" w:id="107"/>
            <w:bookmarkEnd w:id="107"/>
            <w:r>
              <w:rPr/>
            </w:r>
            <w:r>
              <w:rPr>
                <w:b/>
                <w:sz w:val="18"/>
              </w:rPr>
              <w:t>28</w:t>
            </w:r>
          </w:p>
        </w:tc>
        <w:tc>
          <w:tcPr>
            <w:tcW w:w="4088" w:type="dxa"/>
          </w:tcPr>
          <w:p>
            <w:pPr>
              <w:pStyle w:val="TableParagraph"/>
              <w:spacing w:before="77"/>
              <w:ind w:left="98" w:right="124"/>
              <w:jc w:val="left"/>
              <w:rPr>
                <w:b/>
                <w:sz w:val="18"/>
              </w:rPr>
            </w:pPr>
            <w:r>
              <w:rPr>
                <w:b/>
                <w:sz w:val="18"/>
              </w:rPr>
              <w:t>Other liabilities</w:t>
            </w:r>
          </w:p>
        </w:tc>
        <w:tc>
          <w:tcPr>
            <w:tcW w:w="3047" w:type="dxa"/>
            <w:gridSpan w:val="2"/>
          </w:tcPr>
          <w:p>
            <w:pPr>
              <w:pStyle w:val="TableParagraph"/>
              <w:jc w:val="left"/>
              <w:rPr>
                <w:rFonts w:ascii="Times New Roman"/>
                <w:sz w:val="18"/>
              </w:rPr>
            </w:pPr>
          </w:p>
          <w:p>
            <w:pPr>
              <w:pStyle w:val="TableParagraph"/>
              <w:spacing w:before="6"/>
              <w:jc w:val="left"/>
              <w:rPr>
                <w:rFonts w:ascii="Times New Roman"/>
                <w:sz w:val="23"/>
              </w:rPr>
            </w:pPr>
          </w:p>
          <w:p>
            <w:pPr>
              <w:pStyle w:val="TableParagraph"/>
              <w:ind w:left="848"/>
              <w:jc w:val="left"/>
              <w:rPr>
                <w:b/>
                <w:sz w:val="18"/>
              </w:rPr>
            </w:pPr>
            <w:r>
              <w:rPr>
                <w:b/>
                <w:sz w:val="18"/>
              </w:rPr>
              <w:t>Consolidated</w:t>
            </w:r>
          </w:p>
        </w:tc>
        <w:tc>
          <w:tcPr>
            <w:tcW w:w="1498" w:type="dxa"/>
          </w:tcPr>
          <w:p>
            <w:pPr>
              <w:pStyle w:val="TableParagraph"/>
              <w:jc w:val="left"/>
              <w:rPr>
                <w:rFonts w:ascii="Times New Roman"/>
                <w:sz w:val="18"/>
              </w:rPr>
            </w:pPr>
          </w:p>
          <w:p>
            <w:pPr>
              <w:pStyle w:val="TableParagraph"/>
              <w:spacing w:before="6"/>
              <w:jc w:val="left"/>
              <w:rPr>
                <w:rFonts w:ascii="Times New Roman"/>
                <w:sz w:val="23"/>
              </w:rPr>
            </w:pPr>
          </w:p>
          <w:p>
            <w:pPr>
              <w:pStyle w:val="TableParagraph"/>
              <w:ind w:right="95"/>
              <w:rPr>
                <w:b/>
                <w:sz w:val="18"/>
              </w:rPr>
            </w:pPr>
            <w:r>
              <w:rPr>
                <w:b/>
                <w:w w:val="95"/>
                <w:sz w:val="18"/>
              </w:rPr>
              <w:t>Parent</w:t>
            </w:r>
          </w:p>
        </w:tc>
        <w:tc>
          <w:tcPr>
            <w:tcW w:w="982" w:type="dxa"/>
          </w:tcPr>
          <w:p>
            <w:pPr/>
          </w:p>
        </w:tc>
      </w:tr>
      <w:tr>
        <w:trPr>
          <w:trHeight w:val="274" w:hRule="exact"/>
        </w:trPr>
        <w:tc>
          <w:tcPr>
            <w:tcW w:w="333" w:type="dxa"/>
          </w:tcPr>
          <w:p>
            <w:pPr/>
          </w:p>
        </w:tc>
        <w:tc>
          <w:tcPr>
            <w:tcW w:w="4088" w:type="dxa"/>
          </w:tcPr>
          <w:p>
            <w:pPr/>
          </w:p>
        </w:tc>
        <w:tc>
          <w:tcPr>
            <w:tcW w:w="1658" w:type="dxa"/>
          </w:tcPr>
          <w:p>
            <w:pPr>
              <w:pStyle w:val="TableParagraph"/>
              <w:spacing w:before="24"/>
              <w:ind w:left="640"/>
              <w:jc w:val="left"/>
              <w:rPr>
                <w:b/>
                <w:sz w:val="18"/>
              </w:rPr>
            </w:pPr>
            <w:r>
              <w:rPr>
                <w:b/>
                <w:sz w:val="18"/>
              </w:rPr>
              <w:t>2016</w:t>
            </w:r>
          </w:p>
        </w:tc>
        <w:tc>
          <w:tcPr>
            <w:tcW w:w="1390" w:type="dxa"/>
          </w:tcPr>
          <w:p>
            <w:pPr>
              <w:pStyle w:val="TableParagraph"/>
              <w:spacing w:before="24"/>
              <w:ind w:left="266"/>
              <w:jc w:val="left"/>
              <w:rPr>
                <w:b/>
                <w:sz w:val="18"/>
              </w:rPr>
            </w:pPr>
            <w:r>
              <w:rPr>
                <w:b/>
                <w:sz w:val="18"/>
              </w:rPr>
              <w:t>2015</w:t>
            </w:r>
          </w:p>
        </w:tc>
        <w:tc>
          <w:tcPr>
            <w:tcW w:w="1498" w:type="dxa"/>
          </w:tcPr>
          <w:p>
            <w:pPr>
              <w:pStyle w:val="TableParagraph"/>
              <w:spacing w:before="24"/>
              <w:ind w:left="357"/>
              <w:jc w:val="left"/>
              <w:rPr>
                <w:b/>
                <w:sz w:val="18"/>
              </w:rPr>
            </w:pPr>
            <w:r>
              <w:rPr>
                <w:b/>
                <w:sz w:val="18"/>
              </w:rPr>
              <w:t>2016</w:t>
            </w:r>
          </w:p>
        </w:tc>
        <w:tc>
          <w:tcPr>
            <w:tcW w:w="982" w:type="dxa"/>
          </w:tcPr>
          <w:p>
            <w:pPr>
              <w:pStyle w:val="TableParagraph"/>
              <w:spacing w:before="24"/>
              <w:ind w:left="141"/>
              <w:jc w:val="left"/>
              <w:rPr>
                <w:b/>
                <w:sz w:val="18"/>
              </w:rPr>
            </w:pPr>
            <w:r>
              <w:rPr>
                <w:b/>
                <w:sz w:val="18"/>
              </w:rPr>
              <w:t>2015</w:t>
            </w:r>
          </w:p>
        </w:tc>
      </w:tr>
      <w:tr>
        <w:trPr>
          <w:trHeight w:val="313" w:hRule="exact"/>
        </w:trPr>
        <w:tc>
          <w:tcPr>
            <w:tcW w:w="333" w:type="dxa"/>
          </w:tcPr>
          <w:p>
            <w:pPr/>
          </w:p>
        </w:tc>
        <w:tc>
          <w:tcPr>
            <w:tcW w:w="4088" w:type="dxa"/>
          </w:tcPr>
          <w:p>
            <w:pPr/>
          </w:p>
        </w:tc>
        <w:tc>
          <w:tcPr>
            <w:tcW w:w="1658" w:type="dxa"/>
          </w:tcPr>
          <w:p>
            <w:pPr>
              <w:pStyle w:val="TableParagraph"/>
              <w:spacing w:before="24"/>
              <w:ind w:left="619"/>
              <w:jc w:val="left"/>
              <w:rPr>
                <w:b/>
                <w:sz w:val="18"/>
              </w:rPr>
            </w:pPr>
            <w:r>
              <w:rPr>
                <w:b/>
                <w:sz w:val="18"/>
              </w:rPr>
              <w:t>$'000</w:t>
            </w:r>
          </w:p>
        </w:tc>
        <w:tc>
          <w:tcPr>
            <w:tcW w:w="1390" w:type="dxa"/>
          </w:tcPr>
          <w:p>
            <w:pPr>
              <w:pStyle w:val="TableParagraph"/>
              <w:spacing w:before="24"/>
              <w:ind w:left="244"/>
              <w:jc w:val="left"/>
              <w:rPr>
                <w:b/>
                <w:sz w:val="18"/>
              </w:rPr>
            </w:pPr>
            <w:r>
              <w:rPr>
                <w:b/>
                <w:sz w:val="18"/>
              </w:rPr>
              <w:t>$'000</w:t>
            </w:r>
          </w:p>
        </w:tc>
        <w:tc>
          <w:tcPr>
            <w:tcW w:w="1498" w:type="dxa"/>
          </w:tcPr>
          <w:p>
            <w:pPr>
              <w:pStyle w:val="TableParagraph"/>
              <w:spacing w:before="24"/>
              <w:ind w:left="335"/>
              <w:jc w:val="left"/>
              <w:rPr>
                <w:b/>
                <w:sz w:val="18"/>
              </w:rPr>
            </w:pPr>
            <w:r>
              <w:rPr>
                <w:b/>
                <w:sz w:val="18"/>
              </w:rPr>
              <w:t>$'000</w:t>
            </w:r>
          </w:p>
        </w:tc>
        <w:tc>
          <w:tcPr>
            <w:tcW w:w="982" w:type="dxa"/>
          </w:tcPr>
          <w:p>
            <w:pPr>
              <w:pStyle w:val="TableParagraph"/>
              <w:spacing w:before="24"/>
              <w:ind w:left="120"/>
              <w:jc w:val="left"/>
              <w:rPr>
                <w:b/>
                <w:sz w:val="18"/>
              </w:rPr>
            </w:pPr>
            <w:r>
              <w:rPr>
                <w:b/>
                <w:sz w:val="18"/>
              </w:rPr>
              <w:t>$'000</w:t>
            </w:r>
          </w:p>
        </w:tc>
      </w:tr>
      <w:tr>
        <w:trPr>
          <w:trHeight w:val="294" w:hRule="exact"/>
        </w:trPr>
        <w:tc>
          <w:tcPr>
            <w:tcW w:w="333" w:type="dxa"/>
          </w:tcPr>
          <w:p>
            <w:pPr/>
          </w:p>
        </w:tc>
        <w:tc>
          <w:tcPr>
            <w:tcW w:w="4088" w:type="dxa"/>
          </w:tcPr>
          <w:p>
            <w:pPr>
              <w:pStyle w:val="TableParagraph"/>
              <w:spacing w:before="63"/>
              <w:ind w:left="141" w:right="124"/>
              <w:jc w:val="left"/>
              <w:rPr>
                <w:b/>
                <w:sz w:val="18"/>
              </w:rPr>
            </w:pPr>
            <w:r>
              <w:rPr>
                <w:b/>
                <w:sz w:val="18"/>
              </w:rPr>
              <w:t>Current</w:t>
            </w:r>
          </w:p>
        </w:tc>
        <w:tc>
          <w:tcPr>
            <w:tcW w:w="1658" w:type="dxa"/>
          </w:tcPr>
          <w:p>
            <w:pPr/>
          </w:p>
        </w:tc>
        <w:tc>
          <w:tcPr>
            <w:tcW w:w="1390" w:type="dxa"/>
          </w:tcPr>
          <w:p>
            <w:pPr/>
          </w:p>
        </w:tc>
        <w:tc>
          <w:tcPr>
            <w:tcW w:w="1498" w:type="dxa"/>
          </w:tcPr>
          <w:p>
            <w:pPr/>
          </w:p>
        </w:tc>
        <w:tc>
          <w:tcPr>
            <w:tcW w:w="982" w:type="dxa"/>
          </w:tcPr>
          <w:p>
            <w:pPr/>
          </w:p>
        </w:tc>
      </w:tr>
      <w:tr>
        <w:trPr>
          <w:trHeight w:val="250" w:hRule="exact"/>
        </w:trPr>
        <w:tc>
          <w:tcPr>
            <w:tcW w:w="333" w:type="dxa"/>
          </w:tcPr>
          <w:p>
            <w:pPr/>
          </w:p>
        </w:tc>
        <w:tc>
          <w:tcPr>
            <w:tcW w:w="4088" w:type="dxa"/>
          </w:tcPr>
          <w:p>
            <w:pPr>
              <w:pStyle w:val="TableParagraph"/>
              <w:spacing w:before="6"/>
              <w:ind w:left="141" w:right="124"/>
              <w:jc w:val="left"/>
              <w:rPr>
                <w:sz w:val="18"/>
              </w:rPr>
            </w:pPr>
            <w:r>
              <w:rPr>
                <w:sz w:val="18"/>
              </w:rPr>
              <w:t>Deferred income</w:t>
            </w:r>
          </w:p>
        </w:tc>
        <w:tc>
          <w:tcPr>
            <w:tcW w:w="1658" w:type="dxa"/>
          </w:tcPr>
          <w:p>
            <w:pPr>
              <w:pStyle w:val="TableParagraph"/>
              <w:spacing w:before="4"/>
              <w:ind w:right="276"/>
              <w:rPr>
                <w:b/>
                <w:sz w:val="18"/>
              </w:rPr>
            </w:pPr>
            <w:r>
              <w:rPr>
                <w:b/>
                <w:w w:val="95"/>
                <w:sz w:val="18"/>
              </w:rPr>
              <w:t>27,411</w:t>
            </w:r>
          </w:p>
        </w:tc>
        <w:tc>
          <w:tcPr>
            <w:tcW w:w="1390" w:type="dxa"/>
          </w:tcPr>
          <w:p>
            <w:pPr>
              <w:pStyle w:val="TableParagraph"/>
              <w:spacing w:before="4"/>
              <w:ind w:right="369"/>
              <w:rPr>
                <w:sz w:val="18"/>
              </w:rPr>
            </w:pPr>
            <w:r>
              <w:rPr>
                <w:w w:val="95"/>
                <w:sz w:val="18"/>
              </w:rPr>
              <w:t>23,759</w:t>
            </w:r>
          </w:p>
        </w:tc>
        <w:tc>
          <w:tcPr>
            <w:tcW w:w="1498" w:type="dxa"/>
          </w:tcPr>
          <w:p>
            <w:pPr>
              <w:pStyle w:val="TableParagraph"/>
              <w:spacing w:before="4"/>
              <w:ind w:left="546"/>
              <w:jc w:val="left"/>
              <w:rPr>
                <w:b/>
                <w:sz w:val="18"/>
              </w:rPr>
            </w:pPr>
            <w:r>
              <w:rPr>
                <w:b/>
                <w:sz w:val="18"/>
              </w:rPr>
              <w:t>27,285</w:t>
            </w:r>
          </w:p>
        </w:tc>
        <w:tc>
          <w:tcPr>
            <w:tcW w:w="982" w:type="dxa"/>
          </w:tcPr>
          <w:p>
            <w:pPr>
              <w:pStyle w:val="TableParagraph"/>
              <w:spacing w:before="4"/>
              <w:ind w:right="85"/>
              <w:rPr>
                <w:sz w:val="18"/>
              </w:rPr>
            </w:pPr>
            <w:r>
              <w:rPr>
                <w:w w:val="95"/>
                <w:sz w:val="18"/>
              </w:rPr>
              <w:t>23,759</w:t>
            </w:r>
          </w:p>
        </w:tc>
      </w:tr>
      <w:tr>
        <w:trPr>
          <w:trHeight w:val="263" w:hRule="exact"/>
        </w:trPr>
        <w:tc>
          <w:tcPr>
            <w:tcW w:w="333" w:type="dxa"/>
          </w:tcPr>
          <w:p>
            <w:pPr/>
          </w:p>
        </w:tc>
        <w:tc>
          <w:tcPr>
            <w:tcW w:w="4088" w:type="dxa"/>
          </w:tcPr>
          <w:p>
            <w:pPr>
              <w:pStyle w:val="TableParagraph"/>
              <w:spacing w:before="19"/>
              <w:ind w:left="141" w:right="124"/>
              <w:jc w:val="left"/>
              <w:rPr>
                <w:sz w:val="18"/>
              </w:rPr>
            </w:pPr>
            <w:r>
              <w:rPr>
                <w:sz w:val="18"/>
              </w:rPr>
              <w:t>Fees received in advance</w:t>
            </w:r>
          </w:p>
        </w:tc>
        <w:tc>
          <w:tcPr>
            <w:tcW w:w="1658" w:type="dxa"/>
          </w:tcPr>
          <w:p>
            <w:pPr>
              <w:pStyle w:val="TableParagraph"/>
              <w:spacing w:before="18"/>
              <w:ind w:right="276"/>
              <w:rPr>
                <w:b/>
                <w:sz w:val="18"/>
              </w:rPr>
            </w:pPr>
            <w:r>
              <w:rPr>
                <w:b/>
                <w:w w:val="95"/>
                <w:sz w:val="18"/>
              </w:rPr>
              <w:t>15,197</w:t>
            </w:r>
          </w:p>
        </w:tc>
        <w:tc>
          <w:tcPr>
            <w:tcW w:w="1390" w:type="dxa"/>
          </w:tcPr>
          <w:p>
            <w:pPr>
              <w:pStyle w:val="TableParagraph"/>
              <w:spacing w:before="18"/>
              <w:ind w:right="369"/>
              <w:rPr>
                <w:sz w:val="18"/>
              </w:rPr>
            </w:pPr>
            <w:r>
              <w:rPr>
                <w:w w:val="95"/>
                <w:sz w:val="18"/>
              </w:rPr>
              <w:t>17,002</w:t>
            </w:r>
          </w:p>
        </w:tc>
        <w:tc>
          <w:tcPr>
            <w:tcW w:w="1498" w:type="dxa"/>
          </w:tcPr>
          <w:p>
            <w:pPr>
              <w:pStyle w:val="TableParagraph"/>
              <w:spacing w:before="18"/>
              <w:ind w:left="546"/>
              <w:jc w:val="left"/>
              <w:rPr>
                <w:b/>
                <w:sz w:val="18"/>
              </w:rPr>
            </w:pPr>
            <w:r>
              <w:rPr>
                <w:b/>
                <w:sz w:val="18"/>
              </w:rPr>
              <w:t>13,946</w:t>
            </w:r>
          </w:p>
        </w:tc>
        <w:tc>
          <w:tcPr>
            <w:tcW w:w="982" w:type="dxa"/>
          </w:tcPr>
          <w:p>
            <w:pPr>
              <w:pStyle w:val="TableParagraph"/>
              <w:spacing w:before="18"/>
              <w:ind w:right="85"/>
              <w:rPr>
                <w:sz w:val="18"/>
              </w:rPr>
            </w:pPr>
            <w:r>
              <w:rPr>
                <w:w w:val="95"/>
                <w:sz w:val="18"/>
              </w:rPr>
              <w:t>15,942</w:t>
            </w:r>
          </w:p>
        </w:tc>
      </w:tr>
      <w:tr>
        <w:trPr>
          <w:trHeight w:val="469" w:hRule="exact"/>
        </w:trPr>
        <w:tc>
          <w:tcPr>
            <w:tcW w:w="333" w:type="dxa"/>
          </w:tcPr>
          <w:p>
            <w:pPr/>
          </w:p>
        </w:tc>
        <w:tc>
          <w:tcPr>
            <w:tcW w:w="4088" w:type="dxa"/>
          </w:tcPr>
          <w:p>
            <w:pPr>
              <w:pStyle w:val="TableParagraph"/>
              <w:spacing w:before="18"/>
              <w:ind w:left="141" w:right="940"/>
              <w:jc w:val="left"/>
              <w:rPr>
                <w:sz w:val="18"/>
              </w:rPr>
            </w:pPr>
            <w:r>
              <w:rPr>
                <w:sz w:val="18"/>
              </w:rPr>
              <w:t>Australian Government Unspent Financial Assistance</w:t>
            </w:r>
          </w:p>
        </w:tc>
        <w:tc>
          <w:tcPr>
            <w:tcW w:w="1658" w:type="dxa"/>
          </w:tcPr>
          <w:p>
            <w:pPr>
              <w:pStyle w:val="TableParagraph"/>
              <w:spacing w:before="4"/>
              <w:jc w:val="left"/>
              <w:rPr>
                <w:rFonts w:ascii="Times New Roman"/>
                <w:sz w:val="19"/>
              </w:rPr>
            </w:pPr>
          </w:p>
          <w:p>
            <w:pPr>
              <w:pStyle w:val="TableParagraph"/>
              <w:ind w:right="276"/>
              <w:rPr>
                <w:b/>
                <w:sz w:val="18"/>
              </w:rPr>
            </w:pPr>
            <w:r>
              <w:rPr>
                <w:b/>
                <w:w w:val="99"/>
                <w:sz w:val="18"/>
              </w:rPr>
              <w:t>-</w:t>
            </w:r>
          </w:p>
        </w:tc>
        <w:tc>
          <w:tcPr>
            <w:tcW w:w="1390" w:type="dxa"/>
          </w:tcPr>
          <w:p>
            <w:pPr>
              <w:pStyle w:val="TableParagraph"/>
              <w:spacing w:before="4"/>
              <w:jc w:val="left"/>
              <w:rPr>
                <w:rFonts w:ascii="Times New Roman"/>
                <w:sz w:val="19"/>
              </w:rPr>
            </w:pPr>
          </w:p>
          <w:p>
            <w:pPr>
              <w:pStyle w:val="TableParagraph"/>
              <w:ind w:right="309"/>
              <w:rPr>
                <w:sz w:val="18"/>
              </w:rPr>
            </w:pPr>
            <w:r>
              <w:rPr>
                <w:sz w:val="18"/>
              </w:rPr>
              <w:t>(194)</w:t>
            </w:r>
          </w:p>
        </w:tc>
        <w:tc>
          <w:tcPr>
            <w:tcW w:w="1498" w:type="dxa"/>
          </w:tcPr>
          <w:p>
            <w:pPr>
              <w:pStyle w:val="TableParagraph"/>
              <w:spacing w:before="4"/>
              <w:jc w:val="left"/>
              <w:rPr>
                <w:rFonts w:ascii="Times New Roman"/>
                <w:sz w:val="19"/>
              </w:rPr>
            </w:pPr>
          </w:p>
          <w:p>
            <w:pPr>
              <w:pStyle w:val="TableParagraph"/>
              <w:ind w:right="401"/>
              <w:rPr>
                <w:b/>
                <w:sz w:val="18"/>
              </w:rPr>
            </w:pPr>
            <w:r>
              <w:rPr>
                <w:b/>
                <w:w w:val="99"/>
                <w:sz w:val="18"/>
              </w:rPr>
              <w:t>-</w:t>
            </w:r>
          </w:p>
        </w:tc>
        <w:tc>
          <w:tcPr>
            <w:tcW w:w="982" w:type="dxa"/>
          </w:tcPr>
          <w:p>
            <w:pPr>
              <w:pStyle w:val="TableParagraph"/>
              <w:spacing w:before="4"/>
              <w:jc w:val="left"/>
              <w:rPr>
                <w:rFonts w:ascii="Times New Roman"/>
                <w:sz w:val="19"/>
              </w:rPr>
            </w:pPr>
          </w:p>
          <w:p>
            <w:pPr>
              <w:pStyle w:val="TableParagraph"/>
              <w:ind w:right="26"/>
              <w:rPr>
                <w:sz w:val="18"/>
              </w:rPr>
            </w:pPr>
            <w:r>
              <w:rPr>
                <w:sz w:val="18"/>
              </w:rPr>
              <w:t>(194)</w:t>
            </w:r>
          </w:p>
        </w:tc>
      </w:tr>
      <w:tr>
        <w:trPr>
          <w:trHeight w:val="274" w:hRule="exact"/>
        </w:trPr>
        <w:tc>
          <w:tcPr>
            <w:tcW w:w="333" w:type="dxa"/>
          </w:tcPr>
          <w:p>
            <w:pPr/>
          </w:p>
        </w:tc>
        <w:tc>
          <w:tcPr>
            <w:tcW w:w="4088" w:type="dxa"/>
          </w:tcPr>
          <w:p>
            <w:pPr>
              <w:pStyle w:val="TableParagraph"/>
              <w:spacing w:before="19"/>
              <w:ind w:left="141" w:right="124"/>
              <w:jc w:val="left"/>
              <w:rPr>
                <w:sz w:val="18"/>
              </w:rPr>
            </w:pPr>
            <w:r>
              <w:rPr>
                <w:sz w:val="18"/>
              </w:rPr>
              <w:t>Lease incentives</w:t>
            </w:r>
          </w:p>
        </w:tc>
        <w:tc>
          <w:tcPr>
            <w:tcW w:w="1658" w:type="dxa"/>
          </w:tcPr>
          <w:p>
            <w:pPr>
              <w:pStyle w:val="TableParagraph"/>
              <w:spacing w:before="18"/>
              <w:ind w:right="276"/>
              <w:rPr>
                <w:b/>
                <w:sz w:val="18"/>
              </w:rPr>
            </w:pPr>
            <w:r>
              <w:rPr>
                <w:b/>
                <w:sz w:val="18"/>
              </w:rPr>
              <w:t>588</w:t>
            </w:r>
          </w:p>
        </w:tc>
        <w:tc>
          <w:tcPr>
            <w:tcW w:w="1390" w:type="dxa"/>
          </w:tcPr>
          <w:p>
            <w:pPr>
              <w:pStyle w:val="TableParagraph"/>
              <w:spacing w:before="18"/>
              <w:ind w:right="369"/>
              <w:rPr>
                <w:sz w:val="18"/>
              </w:rPr>
            </w:pPr>
            <w:r>
              <w:rPr>
                <w:sz w:val="18"/>
              </w:rPr>
              <w:t>54</w:t>
            </w:r>
          </w:p>
        </w:tc>
        <w:tc>
          <w:tcPr>
            <w:tcW w:w="1498" w:type="dxa"/>
          </w:tcPr>
          <w:p>
            <w:pPr>
              <w:pStyle w:val="TableParagraph"/>
              <w:spacing w:before="18"/>
              <w:ind w:left="796"/>
              <w:jc w:val="left"/>
              <w:rPr>
                <w:b/>
                <w:sz w:val="18"/>
              </w:rPr>
            </w:pPr>
            <w:r>
              <w:rPr>
                <w:b/>
                <w:sz w:val="18"/>
              </w:rPr>
              <w:t>588</w:t>
            </w:r>
          </w:p>
        </w:tc>
        <w:tc>
          <w:tcPr>
            <w:tcW w:w="982" w:type="dxa"/>
          </w:tcPr>
          <w:p>
            <w:pPr>
              <w:pStyle w:val="TableParagraph"/>
              <w:spacing w:before="18"/>
              <w:ind w:right="85"/>
              <w:rPr>
                <w:sz w:val="18"/>
              </w:rPr>
            </w:pPr>
            <w:r>
              <w:rPr>
                <w:sz w:val="18"/>
              </w:rPr>
              <w:t>54</w:t>
            </w:r>
          </w:p>
        </w:tc>
      </w:tr>
      <w:tr>
        <w:trPr>
          <w:trHeight w:val="272" w:hRule="exact"/>
        </w:trPr>
        <w:tc>
          <w:tcPr>
            <w:tcW w:w="333" w:type="dxa"/>
          </w:tcPr>
          <w:p>
            <w:pPr/>
          </w:p>
        </w:tc>
        <w:tc>
          <w:tcPr>
            <w:tcW w:w="4088" w:type="dxa"/>
          </w:tcPr>
          <w:p>
            <w:pPr>
              <w:pStyle w:val="TableParagraph"/>
              <w:spacing w:before="29"/>
              <w:ind w:left="141" w:right="124"/>
              <w:jc w:val="left"/>
              <w:rPr>
                <w:sz w:val="18"/>
              </w:rPr>
            </w:pPr>
            <w:r>
              <w:rPr>
                <w:sz w:val="18"/>
              </w:rPr>
              <w:t>Other</w:t>
            </w:r>
          </w:p>
        </w:tc>
        <w:tc>
          <w:tcPr>
            <w:tcW w:w="1658" w:type="dxa"/>
            <w:tcBorders>
              <w:bottom w:val="single" w:sz="0" w:space="0" w:color="000000"/>
            </w:tcBorders>
          </w:tcPr>
          <w:p>
            <w:pPr>
              <w:pStyle w:val="TableParagraph"/>
              <w:spacing w:before="28"/>
              <w:ind w:right="276"/>
              <w:rPr>
                <w:b/>
                <w:sz w:val="18"/>
              </w:rPr>
            </w:pPr>
            <w:r>
              <w:rPr>
                <w:b/>
                <w:sz w:val="18"/>
              </w:rPr>
              <w:t>5,654</w:t>
            </w:r>
          </w:p>
        </w:tc>
        <w:tc>
          <w:tcPr>
            <w:tcW w:w="1390" w:type="dxa"/>
            <w:tcBorders>
              <w:bottom w:val="single" w:sz="0" w:space="0" w:color="000000"/>
            </w:tcBorders>
          </w:tcPr>
          <w:p>
            <w:pPr>
              <w:pStyle w:val="TableParagraph"/>
              <w:spacing w:before="28"/>
              <w:ind w:right="370"/>
              <w:rPr>
                <w:sz w:val="18"/>
              </w:rPr>
            </w:pPr>
            <w:r>
              <w:rPr>
                <w:sz w:val="18"/>
              </w:rPr>
              <w:t>2,148</w:t>
            </w:r>
          </w:p>
        </w:tc>
        <w:tc>
          <w:tcPr>
            <w:tcW w:w="1498" w:type="dxa"/>
            <w:tcBorders>
              <w:bottom w:val="single" w:sz="0" w:space="0" w:color="000000"/>
            </w:tcBorders>
          </w:tcPr>
          <w:p>
            <w:pPr>
              <w:pStyle w:val="TableParagraph"/>
              <w:spacing w:before="28"/>
              <w:ind w:left="646"/>
              <w:jc w:val="left"/>
              <w:rPr>
                <w:b/>
                <w:sz w:val="18"/>
              </w:rPr>
            </w:pPr>
            <w:r>
              <w:rPr>
                <w:b/>
                <w:sz w:val="18"/>
              </w:rPr>
              <w:t>5,233</w:t>
            </w:r>
          </w:p>
        </w:tc>
        <w:tc>
          <w:tcPr>
            <w:tcW w:w="982" w:type="dxa"/>
            <w:tcBorders>
              <w:bottom w:val="single" w:sz="0" w:space="0" w:color="000000"/>
            </w:tcBorders>
          </w:tcPr>
          <w:p>
            <w:pPr>
              <w:pStyle w:val="TableParagraph"/>
              <w:spacing w:before="28"/>
              <w:ind w:right="85"/>
              <w:rPr>
                <w:sz w:val="18"/>
              </w:rPr>
            </w:pPr>
            <w:r>
              <w:rPr>
                <w:sz w:val="18"/>
              </w:rPr>
              <w:t>1,796</w:t>
            </w:r>
          </w:p>
        </w:tc>
      </w:tr>
      <w:tr>
        <w:trPr>
          <w:trHeight w:val="338" w:hRule="exact"/>
        </w:trPr>
        <w:tc>
          <w:tcPr>
            <w:tcW w:w="333" w:type="dxa"/>
          </w:tcPr>
          <w:p>
            <w:pPr/>
          </w:p>
        </w:tc>
        <w:tc>
          <w:tcPr>
            <w:tcW w:w="4088" w:type="dxa"/>
          </w:tcPr>
          <w:p>
            <w:pPr>
              <w:pStyle w:val="TableParagraph"/>
              <w:spacing w:before="95"/>
              <w:ind w:left="141" w:right="124"/>
              <w:jc w:val="left"/>
              <w:rPr>
                <w:b/>
                <w:sz w:val="18"/>
              </w:rPr>
            </w:pPr>
            <w:r>
              <w:rPr>
                <w:b/>
                <w:sz w:val="18"/>
              </w:rPr>
              <w:t>Total current other liabilities</w:t>
            </w:r>
          </w:p>
        </w:tc>
        <w:tc>
          <w:tcPr>
            <w:tcW w:w="1658" w:type="dxa"/>
            <w:tcBorders>
              <w:top w:val="single" w:sz="0" w:space="0" w:color="000000"/>
              <w:bottom w:val="single" w:sz="0" w:space="0" w:color="000000"/>
            </w:tcBorders>
          </w:tcPr>
          <w:p>
            <w:pPr>
              <w:pStyle w:val="TableParagraph"/>
              <w:spacing w:before="122"/>
              <w:ind w:right="276"/>
              <w:rPr>
                <w:b/>
                <w:sz w:val="18"/>
              </w:rPr>
            </w:pPr>
            <w:r>
              <w:rPr>
                <w:b/>
                <w:w w:val="95"/>
                <w:sz w:val="18"/>
              </w:rPr>
              <w:t>48,850</w:t>
            </w:r>
          </w:p>
        </w:tc>
        <w:tc>
          <w:tcPr>
            <w:tcW w:w="1390" w:type="dxa"/>
            <w:tcBorders>
              <w:top w:val="single" w:sz="0" w:space="0" w:color="000000"/>
              <w:bottom w:val="single" w:sz="0" w:space="0" w:color="000000"/>
            </w:tcBorders>
          </w:tcPr>
          <w:p>
            <w:pPr>
              <w:pStyle w:val="TableParagraph"/>
              <w:spacing w:before="122"/>
              <w:ind w:right="369"/>
              <w:rPr>
                <w:sz w:val="18"/>
              </w:rPr>
            </w:pPr>
            <w:r>
              <w:rPr>
                <w:w w:val="95"/>
                <w:sz w:val="18"/>
              </w:rPr>
              <w:t>42,769</w:t>
            </w:r>
          </w:p>
        </w:tc>
        <w:tc>
          <w:tcPr>
            <w:tcW w:w="1498" w:type="dxa"/>
            <w:tcBorders>
              <w:top w:val="single" w:sz="0" w:space="0" w:color="000000"/>
              <w:bottom w:val="single" w:sz="0" w:space="0" w:color="000000"/>
            </w:tcBorders>
          </w:tcPr>
          <w:p>
            <w:pPr>
              <w:pStyle w:val="TableParagraph"/>
              <w:spacing w:before="122"/>
              <w:ind w:left="546"/>
              <w:jc w:val="left"/>
              <w:rPr>
                <w:b/>
                <w:sz w:val="18"/>
              </w:rPr>
            </w:pPr>
            <w:r>
              <w:rPr>
                <w:b/>
                <w:sz w:val="18"/>
              </w:rPr>
              <w:t>47,052</w:t>
            </w:r>
          </w:p>
        </w:tc>
        <w:tc>
          <w:tcPr>
            <w:tcW w:w="982" w:type="dxa"/>
            <w:tcBorders>
              <w:top w:val="single" w:sz="0" w:space="0" w:color="000000"/>
              <w:bottom w:val="single" w:sz="0" w:space="0" w:color="000000"/>
            </w:tcBorders>
          </w:tcPr>
          <w:p>
            <w:pPr>
              <w:pStyle w:val="TableParagraph"/>
              <w:spacing w:before="122"/>
              <w:ind w:right="85"/>
              <w:rPr>
                <w:sz w:val="18"/>
              </w:rPr>
            </w:pPr>
            <w:r>
              <w:rPr>
                <w:w w:val="95"/>
                <w:sz w:val="18"/>
              </w:rPr>
              <w:t>41,357</w:t>
            </w:r>
          </w:p>
        </w:tc>
      </w:tr>
      <w:tr>
        <w:trPr>
          <w:trHeight w:val="354" w:hRule="exact"/>
        </w:trPr>
        <w:tc>
          <w:tcPr>
            <w:tcW w:w="333" w:type="dxa"/>
          </w:tcPr>
          <w:p>
            <w:pPr/>
          </w:p>
        </w:tc>
        <w:tc>
          <w:tcPr>
            <w:tcW w:w="4088" w:type="dxa"/>
          </w:tcPr>
          <w:p>
            <w:pPr>
              <w:pStyle w:val="TableParagraph"/>
              <w:spacing w:before="123"/>
              <w:ind w:left="124" w:right="124"/>
              <w:jc w:val="left"/>
              <w:rPr>
                <w:b/>
                <w:sz w:val="18"/>
              </w:rPr>
            </w:pPr>
            <w:r>
              <w:rPr>
                <w:b/>
                <w:sz w:val="18"/>
              </w:rPr>
              <w:t>Non-current</w:t>
            </w:r>
          </w:p>
        </w:tc>
        <w:tc>
          <w:tcPr>
            <w:tcW w:w="1658" w:type="dxa"/>
            <w:tcBorders>
              <w:top w:val="single" w:sz="0" w:space="0" w:color="000000"/>
            </w:tcBorders>
          </w:tcPr>
          <w:p>
            <w:pPr/>
          </w:p>
        </w:tc>
        <w:tc>
          <w:tcPr>
            <w:tcW w:w="1390" w:type="dxa"/>
            <w:tcBorders>
              <w:top w:val="single" w:sz="0" w:space="0" w:color="000000"/>
            </w:tcBorders>
          </w:tcPr>
          <w:p>
            <w:pPr/>
          </w:p>
        </w:tc>
        <w:tc>
          <w:tcPr>
            <w:tcW w:w="1498" w:type="dxa"/>
            <w:tcBorders>
              <w:top w:val="single" w:sz="0" w:space="0" w:color="000000"/>
            </w:tcBorders>
          </w:tcPr>
          <w:p>
            <w:pPr/>
          </w:p>
        </w:tc>
        <w:tc>
          <w:tcPr>
            <w:tcW w:w="982" w:type="dxa"/>
            <w:tcBorders>
              <w:top w:val="single" w:sz="0" w:space="0" w:color="000000"/>
            </w:tcBorders>
          </w:tcPr>
          <w:p>
            <w:pPr/>
          </w:p>
        </w:tc>
      </w:tr>
      <w:tr>
        <w:trPr>
          <w:trHeight w:val="260" w:hRule="exact"/>
        </w:trPr>
        <w:tc>
          <w:tcPr>
            <w:tcW w:w="333" w:type="dxa"/>
          </w:tcPr>
          <w:p>
            <w:pPr/>
          </w:p>
        </w:tc>
        <w:tc>
          <w:tcPr>
            <w:tcW w:w="4088" w:type="dxa"/>
          </w:tcPr>
          <w:p>
            <w:pPr>
              <w:pStyle w:val="TableParagraph"/>
              <w:spacing w:before="6"/>
              <w:ind w:left="124" w:right="124"/>
              <w:jc w:val="left"/>
              <w:rPr>
                <w:sz w:val="18"/>
              </w:rPr>
            </w:pPr>
            <w:r>
              <w:rPr>
                <w:sz w:val="18"/>
              </w:rPr>
              <w:t>Deferred income</w:t>
            </w:r>
          </w:p>
        </w:tc>
        <w:tc>
          <w:tcPr>
            <w:tcW w:w="1658" w:type="dxa"/>
          </w:tcPr>
          <w:p>
            <w:pPr>
              <w:pStyle w:val="TableParagraph"/>
              <w:spacing w:before="4"/>
              <w:ind w:right="280"/>
              <w:rPr>
                <w:b/>
                <w:sz w:val="18"/>
              </w:rPr>
            </w:pPr>
            <w:r>
              <w:rPr>
                <w:b/>
                <w:sz w:val="18"/>
              </w:rPr>
              <w:t>2,793</w:t>
            </w:r>
          </w:p>
        </w:tc>
        <w:tc>
          <w:tcPr>
            <w:tcW w:w="1390" w:type="dxa"/>
          </w:tcPr>
          <w:p>
            <w:pPr>
              <w:pStyle w:val="TableParagraph"/>
              <w:spacing w:before="4"/>
              <w:ind w:right="370"/>
              <w:rPr>
                <w:sz w:val="18"/>
              </w:rPr>
            </w:pPr>
            <w:r>
              <w:rPr>
                <w:sz w:val="18"/>
              </w:rPr>
              <w:t>2,968</w:t>
            </w:r>
          </w:p>
        </w:tc>
        <w:tc>
          <w:tcPr>
            <w:tcW w:w="1498" w:type="dxa"/>
          </w:tcPr>
          <w:p>
            <w:pPr>
              <w:pStyle w:val="TableParagraph"/>
              <w:spacing w:before="4"/>
              <w:ind w:left="644"/>
              <w:jc w:val="left"/>
              <w:rPr>
                <w:b/>
                <w:sz w:val="18"/>
              </w:rPr>
            </w:pPr>
            <w:r>
              <w:rPr>
                <w:b/>
                <w:sz w:val="18"/>
              </w:rPr>
              <w:t>2,793</w:t>
            </w:r>
          </w:p>
        </w:tc>
        <w:tc>
          <w:tcPr>
            <w:tcW w:w="982" w:type="dxa"/>
          </w:tcPr>
          <w:p>
            <w:pPr>
              <w:pStyle w:val="TableParagraph"/>
              <w:spacing w:before="4"/>
              <w:ind w:right="86"/>
              <w:rPr>
                <w:sz w:val="18"/>
              </w:rPr>
            </w:pPr>
            <w:r>
              <w:rPr>
                <w:sz w:val="18"/>
              </w:rPr>
              <w:t>2,968</w:t>
            </w:r>
          </w:p>
        </w:tc>
      </w:tr>
      <w:tr>
        <w:trPr>
          <w:trHeight w:val="272" w:hRule="exact"/>
        </w:trPr>
        <w:tc>
          <w:tcPr>
            <w:tcW w:w="333" w:type="dxa"/>
          </w:tcPr>
          <w:p>
            <w:pPr/>
          </w:p>
        </w:tc>
        <w:tc>
          <w:tcPr>
            <w:tcW w:w="4088" w:type="dxa"/>
          </w:tcPr>
          <w:p>
            <w:pPr>
              <w:pStyle w:val="TableParagraph"/>
              <w:spacing w:before="29"/>
              <w:ind w:left="124" w:right="124"/>
              <w:jc w:val="left"/>
              <w:rPr>
                <w:sz w:val="18"/>
              </w:rPr>
            </w:pPr>
            <w:r>
              <w:rPr>
                <w:sz w:val="18"/>
              </w:rPr>
              <w:t>Lease incentives</w:t>
            </w:r>
          </w:p>
        </w:tc>
        <w:tc>
          <w:tcPr>
            <w:tcW w:w="1658" w:type="dxa"/>
            <w:tcBorders>
              <w:bottom w:val="single" w:sz="0" w:space="0" w:color="000000"/>
            </w:tcBorders>
          </w:tcPr>
          <w:p>
            <w:pPr>
              <w:pStyle w:val="TableParagraph"/>
              <w:spacing w:before="28"/>
              <w:ind w:right="280"/>
              <w:rPr>
                <w:b/>
                <w:sz w:val="18"/>
              </w:rPr>
            </w:pPr>
            <w:r>
              <w:rPr>
                <w:b/>
                <w:sz w:val="18"/>
              </w:rPr>
              <w:t>9,952</w:t>
            </w:r>
          </w:p>
        </w:tc>
        <w:tc>
          <w:tcPr>
            <w:tcW w:w="1390" w:type="dxa"/>
            <w:tcBorders>
              <w:bottom w:val="single" w:sz="0" w:space="0" w:color="000000"/>
            </w:tcBorders>
          </w:tcPr>
          <w:p>
            <w:pPr>
              <w:pStyle w:val="TableParagraph"/>
              <w:spacing w:before="28"/>
              <w:ind w:right="370"/>
              <w:rPr>
                <w:sz w:val="18"/>
              </w:rPr>
            </w:pPr>
            <w:r>
              <w:rPr>
                <w:sz w:val="18"/>
              </w:rPr>
              <w:t>9,000</w:t>
            </w:r>
          </w:p>
        </w:tc>
        <w:tc>
          <w:tcPr>
            <w:tcW w:w="1498" w:type="dxa"/>
            <w:tcBorders>
              <w:bottom w:val="single" w:sz="0" w:space="0" w:color="000000"/>
            </w:tcBorders>
          </w:tcPr>
          <w:p>
            <w:pPr>
              <w:pStyle w:val="TableParagraph"/>
              <w:spacing w:before="28"/>
              <w:ind w:left="644"/>
              <w:jc w:val="left"/>
              <w:rPr>
                <w:b/>
                <w:sz w:val="18"/>
              </w:rPr>
            </w:pPr>
            <w:r>
              <w:rPr>
                <w:b/>
                <w:sz w:val="18"/>
              </w:rPr>
              <w:t>9,952</w:t>
            </w:r>
          </w:p>
        </w:tc>
        <w:tc>
          <w:tcPr>
            <w:tcW w:w="982" w:type="dxa"/>
            <w:tcBorders>
              <w:bottom w:val="single" w:sz="0" w:space="0" w:color="000000"/>
            </w:tcBorders>
          </w:tcPr>
          <w:p>
            <w:pPr>
              <w:pStyle w:val="TableParagraph"/>
              <w:spacing w:before="28"/>
              <w:ind w:right="86"/>
              <w:rPr>
                <w:sz w:val="18"/>
              </w:rPr>
            </w:pPr>
            <w:r>
              <w:rPr>
                <w:sz w:val="18"/>
              </w:rPr>
              <w:t>9,000</w:t>
            </w:r>
          </w:p>
        </w:tc>
      </w:tr>
      <w:tr>
        <w:trPr>
          <w:trHeight w:val="338" w:hRule="exact"/>
        </w:trPr>
        <w:tc>
          <w:tcPr>
            <w:tcW w:w="333" w:type="dxa"/>
          </w:tcPr>
          <w:p>
            <w:pPr/>
          </w:p>
        </w:tc>
        <w:tc>
          <w:tcPr>
            <w:tcW w:w="4088" w:type="dxa"/>
          </w:tcPr>
          <w:p>
            <w:pPr>
              <w:pStyle w:val="TableParagraph"/>
              <w:spacing w:before="94"/>
              <w:ind w:left="124" w:right="124"/>
              <w:jc w:val="left"/>
              <w:rPr>
                <w:b/>
                <w:sz w:val="18"/>
              </w:rPr>
            </w:pPr>
            <w:bookmarkStart w:name="29 Reserves and retained earnings" w:id="108"/>
            <w:bookmarkEnd w:id="108"/>
            <w:r>
              <w:rPr/>
            </w:r>
            <w:r>
              <w:rPr>
                <w:b/>
                <w:sz w:val="18"/>
              </w:rPr>
              <w:t>Total non-current other liabilities</w:t>
            </w:r>
          </w:p>
        </w:tc>
        <w:tc>
          <w:tcPr>
            <w:tcW w:w="1658" w:type="dxa"/>
            <w:tcBorders>
              <w:top w:val="single" w:sz="0" w:space="0" w:color="000000"/>
              <w:bottom w:val="single" w:sz="0" w:space="0" w:color="000000"/>
            </w:tcBorders>
          </w:tcPr>
          <w:p>
            <w:pPr>
              <w:pStyle w:val="TableParagraph"/>
              <w:spacing w:before="122"/>
              <w:ind w:right="279"/>
              <w:rPr>
                <w:b/>
                <w:sz w:val="18"/>
              </w:rPr>
            </w:pPr>
            <w:r>
              <w:rPr>
                <w:b/>
                <w:w w:val="95"/>
                <w:sz w:val="18"/>
              </w:rPr>
              <w:t>12,745</w:t>
            </w:r>
          </w:p>
        </w:tc>
        <w:tc>
          <w:tcPr>
            <w:tcW w:w="1390" w:type="dxa"/>
            <w:tcBorders>
              <w:top w:val="single" w:sz="0" w:space="0" w:color="000000"/>
              <w:bottom w:val="single" w:sz="0" w:space="0" w:color="000000"/>
            </w:tcBorders>
          </w:tcPr>
          <w:p>
            <w:pPr>
              <w:pStyle w:val="TableParagraph"/>
              <w:spacing w:before="122"/>
              <w:ind w:right="370"/>
              <w:rPr>
                <w:sz w:val="18"/>
              </w:rPr>
            </w:pPr>
            <w:r>
              <w:rPr>
                <w:w w:val="95"/>
                <w:sz w:val="18"/>
              </w:rPr>
              <w:t>11,968</w:t>
            </w:r>
          </w:p>
        </w:tc>
        <w:tc>
          <w:tcPr>
            <w:tcW w:w="1498" w:type="dxa"/>
            <w:tcBorders>
              <w:top w:val="single" w:sz="0" w:space="0" w:color="000000"/>
              <w:bottom w:val="single" w:sz="0" w:space="0" w:color="000000"/>
            </w:tcBorders>
          </w:tcPr>
          <w:p>
            <w:pPr>
              <w:pStyle w:val="TableParagraph"/>
              <w:spacing w:before="122"/>
              <w:ind w:left="544"/>
              <w:jc w:val="left"/>
              <w:rPr>
                <w:b/>
                <w:sz w:val="18"/>
              </w:rPr>
            </w:pPr>
            <w:r>
              <w:rPr>
                <w:b/>
                <w:sz w:val="18"/>
              </w:rPr>
              <w:t>12,745</w:t>
            </w:r>
          </w:p>
        </w:tc>
        <w:tc>
          <w:tcPr>
            <w:tcW w:w="982" w:type="dxa"/>
            <w:tcBorders>
              <w:top w:val="single" w:sz="0" w:space="0" w:color="000000"/>
              <w:bottom w:val="single" w:sz="0" w:space="0" w:color="000000"/>
            </w:tcBorders>
          </w:tcPr>
          <w:p>
            <w:pPr>
              <w:pStyle w:val="TableParagraph"/>
              <w:spacing w:before="122"/>
              <w:ind w:right="86"/>
              <w:rPr>
                <w:sz w:val="18"/>
              </w:rPr>
            </w:pPr>
            <w:r>
              <w:rPr>
                <w:w w:val="95"/>
                <w:sz w:val="18"/>
              </w:rPr>
              <w:t>11,968</w:t>
            </w:r>
          </w:p>
        </w:tc>
      </w:tr>
      <w:tr>
        <w:trPr>
          <w:trHeight w:val="298" w:hRule="exact"/>
        </w:trPr>
        <w:tc>
          <w:tcPr>
            <w:tcW w:w="333" w:type="dxa"/>
          </w:tcPr>
          <w:p>
            <w:pPr/>
          </w:p>
        </w:tc>
        <w:tc>
          <w:tcPr>
            <w:tcW w:w="4088" w:type="dxa"/>
          </w:tcPr>
          <w:p>
            <w:pPr>
              <w:pStyle w:val="TableParagraph"/>
              <w:spacing w:before="40"/>
              <w:ind w:left="126" w:right="124"/>
              <w:jc w:val="left"/>
              <w:rPr>
                <w:b/>
                <w:sz w:val="18"/>
              </w:rPr>
            </w:pPr>
            <w:bookmarkStart w:name="(a) Reserves" w:id="109"/>
            <w:bookmarkEnd w:id="109"/>
            <w:r>
              <w:rPr/>
            </w:r>
            <w:r>
              <w:rPr>
                <w:b/>
                <w:sz w:val="18"/>
              </w:rPr>
              <w:t>Total other liabilities</w:t>
            </w:r>
          </w:p>
        </w:tc>
        <w:tc>
          <w:tcPr>
            <w:tcW w:w="1658" w:type="dxa"/>
            <w:tcBorders>
              <w:top w:val="single" w:sz="0" w:space="0" w:color="000000"/>
              <w:bottom w:val="single" w:sz="0" w:space="0" w:color="000000"/>
            </w:tcBorders>
          </w:tcPr>
          <w:p>
            <w:pPr>
              <w:pStyle w:val="TableParagraph"/>
              <w:spacing w:before="38"/>
              <w:ind w:right="277"/>
              <w:rPr>
                <w:b/>
                <w:sz w:val="18"/>
              </w:rPr>
            </w:pPr>
            <w:r>
              <w:rPr>
                <w:b/>
                <w:w w:val="95"/>
                <w:sz w:val="18"/>
              </w:rPr>
              <w:t>61,595</w:t>
            </w:r>
          </w:p>
        </w:tc>
        <w:tc>
          <w:tcPr>
            <w:tcW w:w="1390" w:type="dxa"/>
            <w:tcBorders>
              <w:top w:val="single" w:sz="0" w:space="0" w:color="000000"/>
              <w:bottom w:val="single" w:sz="0" w:space="0" w:color="000000"/>
            </w:tcBorders>
          </w:tcPr>
          <w:p>
            <w:pPr>
              <w:pStyle w:val="TableParagraph"/>
              <w:spacing w:before="38"/>
              <w:ind w:right="369"/>
              <w:rPr>
                <w:sz w:val="18"/>
              </w:rPr>
            </w:pPr>
            <w:r>
              <w:rPr>
                <w:w w:val="95"/>
                <w:sz w:val="18"/>
              </w:rPr>
              <w:t>54,737</w:t>
            </w:r>
          </w:p>
        </w:tc>
        <w:tc>
          <w:tcPr>
            <w:tcW w:w="1498" w:type="dxa"/>
            <w:tcBorders>
              <w:top w:val="single" w:sz="0" w:space="0" w:color="000000"/>
              <w:bottom w:val="single" w:sz="0" w:space="0" w:color="000000"/>
            </w:tcBorders>
          </w:tcPr>
          <w:p>
            <w:pPr>
              <w:pStyle w:val="TableParagraph"/>
              <w:spacing w:before="38"/>
              <w:ind w:left="545"/>
              <w:jc w:val="left"/>
              <w:rPr>
                <w:b/>
                <w:sz w:val="18"/>
              </w:rPr>
            </w:pPr>
            <w:r>
              <w:rPr>
                <w:b/>
                <w:sz w:val="18"/>
              </w:rPr>
              <w:t>59,797</w:t>
            </w:r>
          </w:p>
        </w:tc>
        <w:tc>
          <w:tcPr>
            <w:tcW w:w="982" w:type="dxa"/>
            <w:tcBorders>
              <w:top w:val="single" w:sz="0" w:space="0" w:color="000000"/>
              <w:bottom w:val="single" w:sz="0" w:space="0" w:color="000000"/>
            </w:tcBorders>
          </w:tcPr>
          <w:p>
            <w:pPr>
              <w:pStyle w:val="TableParagraph"/>
              <w:spacing w:before="38"/>
              <w:ind w:right="85"/>
              <w:rPr>
                <w:sz w:val="18"/>
              </w:rPr>
            </w:pPr>
            <w:r>
              <w:rPr>
                <w:w w:val="95"/>
                <w:sz w:val="18"/>
              </w:rPr>
              <w:t>53,325</w:t>
            </w:r>
          </w:p>
        </w:tc>
      </w:tr>
      <w:tr>
        <w:trPr>
          <w:trHeight w:val="683" w:hRule="exact"/>
        </w:trPr>
        <w:tc>
          <w:tcPr>
            <w:tcW w:w="333" w:type="dxa"/>
          </w:tcPr>
          <w:p>
            <w:pPr>
              <w:pStyle w:val="TableParagraph"/>
              <w:jc w:val="left"/>
              <w:rPr>
                <w:rFonts w:ascii="Times New Roman"/>
                <w:sz w:val="18"/>
              </w:rPr>
            </w:pPr>
          </w:p>
          <w:p>
            <w:pPr>
              <w:pStyle w:val="TableParagraph"/>
              <w:spacing w:before="106"/>
              <w:ind w:left="35"/>
              <w:jc w:val="left"/>
              <w:rPr>
                <w:b/>
                <w:sz w:val="18"/>
              </w:rPr>
            </w:pPr>
            <w:r>
              <w:rPr>
                <w:b/>
                <w:sz w:val="18"/>
              </w:rPr>
              <w:t>29</w:t>
            </w:r>
          </w:p>
        </w:tc>
        <w:tc>
          <w:tcPr>
            <w:tcW w:w="4088" w:type="dxa"/>
          </w:tcPr>
          <w:p>
            <w:pPr>
              <w:pStyle w:val="TableParagraph"/>
              <w:jc w:val="left"/>
              <w:rPr>
                <w:rFonts w:ascii="Times New Roman"/>
                <w:sz w:val="18"/>
              </w:rPr>
            </w:pPr>
          </w:p>
          <w:p>
            <w:pPr>
              <w:pStyle w:val="TableParagraph"/>
              <w:spacing w:before="106"/>
              <w:ind w:left="98" w:right="124"/>
              <w:jc w:val="left"/>
              <w:rPr>
                <w:b/>
                <w:sz w:val="18"/>
              </w:rPr>
            </w:pPr>
            <w:r>
              <w:rPr>
                <w:b/>
                <w:sz w:val="18"/>
              </w:rPr>
              <w:t>Reserves and retained earnings</w:t>
            </w:r>
          </w:p>
        </w:tc>
        <w:tc>
          <w:tcPr>
            <w:tcW w:w="1658" w:type="dxa"/>
            <w:tcBorders>
              <w:top w:val="single" w:sz="0" w:space="0" w:color="000000"/>
            </w:tcBorders>
          </w:tcPr>
          <w:p>
            <w:pPr/>
          </w:p>
        </w:tc>
        <w:tc>
          <w:tcPr>
            <w:tcW w:w="1390" w:type="dxa"/>
            <w:tcBorders>
              <w:top w:val="single" w:sz="0" w:space="0" w:color="000000"/>
            </w:tcBorders>
          </w:tcPr>
          <w:p>
            <w:pPr/>
          </w:p>
        </w:tc>
        <w:tc>
          <w:tcPr>
            <w:tcW w:w="1498" w:type="dxa"/>
            <w:tcBorders>
              <w:top w:val="single" w:sz="0" w:space="0" w:color="000000"/>
            </w:tcBorders>
          </w:tcPr>
          <w:p>
            <w:pPr/>
          </w:p>
        </w:tc>
        <w:tc>
          <w:tcPr>
            <w:tcW w:w="982" w:type="dxa"/>
            <w:tcBorders>
              <w:top w:val="single" w:sz="0" w:space="0" w:color="000000"/>
            </w:tcBorders>
          </w:tcPr>
          <w:p>
            <w:pPr/>
          </w:p>
        </w:tc>
      </w:tr>
      <w:tr>
        <w:trPr>
          <w:trHeight w:val="379" w:hRule="exact"/>
        </w:trPr>
        <w:tc>
          <w:tcPr>
            <w:tcW w:w="333" w:type="dxa"/>
          </w:tcPr>
          <w:p>
            <w:pPr/>
          </w:p>
        </w:tc>
        <w:tc>
          <w:tcPr>
            <w:tcW w:w="4088" w:type="dxa"/>
          </w:tcPr>
          <w:p>
            <w:pPr>
              <w:pStyle w:val="TableParagraph"/>
              <w:tabs>
                <w:tab w:pos="664" w:val="left" w:leader="none"/>
              </w:tabs>
              <w:spacing w:before="144"/>
              <w:ind w:left="98" w:right="124"/>
              <w:jc w:val="left"/>
              <w:rPr>
                <w:sz w:val="18"/>
              </w:rPr>
            </w:pPr>
            <w:r>
              <w:rPr>
                <w:sz w:val="18"/>
              </w:rPr>
              <w:t>(a)</w:t>
              <w:tab/>
              <w:t>Reserves</w:t>
            </w:r>
          </w:p>
        </w:tc>
        <w:tc>
          <w:tcPr>
            <w:tcW w:w="1658" w:type="dxa"/>
          </w:tcPr>
          <w:p>
            <w:pPr/>
          </w:p>
        </w:tc>
        <w:tc>
          <w:tcPr>
            <w:tcW w:w="1390" w:type="dxa"/>
          </w:tcPr>
          <w:p>
            <w:pPr/>
          </w:p>
        </w:tc>
        <w:tc>
          <w:tcPr>
            <w:tcW w:w="1498" w:type="dxa"/>
          </w:tcPr>
          <w:p>
            <w:pPr/>
          </w:p>
        </w:tc>
        <w:tc>
          <w:tcPr>
            <w:tcW w:w="982" w:type="dxa"/>
          </w:tcPr>
          <w:p>
            <w:pPr/>
          </w:p>
        </w:tc>
      </w:tr>
      <w:tr>
        <w:trPr>
          <w:trHeight w:val="259" w:hRule="exact"/>
        </w:trPr>
        <w:tc>
          <w:tcPr>
            <w:tcW w:w="333" w:type="dxa"/>
          </w:tcPr>
          <w:p>
            <w:pPr/>
          </w:p>
        </w:tc>
        <w:tc>
          <w:tcPr>
            <w:tcW w:w="4088" w:type="dxa"/>
          </w:tcPr>
          <w:p>
            <w:pPr/>
          </w:p>
        </w:tc>
        <w:tc>
          <w:tcPr>
            <w:tcW w:w="3047" w:type="dxa"/>
            <w:gridSpan w:val="2"/>
          </w:tcPr>
          <w:p>
            <w:pPr>
              <w:pStyle w:val="TableParagraph"/>
              <w:spacing w:before="9"/>
              <w:ind w:left="825"/>
              <w:jc w:val="left"/>
              <w:rPr>
                <w:b/>
                <w:sz w:val="18"/>
              </w:rPr>
            </w:pPr>
            <w:r>
              <w:rPr>
                <w:b/>
                <w:sz w:val="18"/>
              </w:rPr>
              <w:t>Consolidated</w:t>
            </w:r>
          </w:p>
        </w:tc>
        <w:tc>
          <w:tcPr>
            <w:tcW w:w="1498" w:type="dxa"/>
          </w:tcPr>
          <w:p>
            <w:pPr>
              <w:pStyle w:val="TableParagraph"/>
              <w:spacing w:before="9"/>
              <w:ind w:right="106"/>
              <w:rPr>
                <w:b/>
                <w:sz w:val="18"/>
              </w:rPr>
            </w:pPr>
            <w:r>
              <w:rPr>
                <w:b/>
                <w:w w:val="95"/>
                <w:sz w:val="18"/>
              </w:rPr>
              <w:t>Parent</w:t>
            </w:r>
          </w:p>
        </w:tc>
        <w:tc>
          <w:tcPr>
            <w:tcW w:w="982" w:type="dxa"/>
          </w:tcPr>
          <w:p>
            <w:pPr/>
          </w:p>
        </w:tc>
      </w:tr>
      <w:tr>
        <w:trPr>
          <w:trHeight w:val="274" w:hRule="exact"/>
        </w:trPr>
        <w:tc>
          <w:tcPr>
            <w:tcW w:w="333" w:type="dxa"/>
          </w:tcPr>
          <w:p>
            <w:pPr/>
          </w:p>
        </w:tc>
        <w:tc>
          <w:tcPr>
            <w:tcW w:w="4088" w:type="dxa"/>
          </w:tcPr>
          <w:p>
            <w:pPr/>
          </w:p>
        </w:tc>
        <w:tc>
          <w:tcPr>
            <w:tcW w:w="1658" w:type="dxa"/>
          </w:tcPr>
          <w:p>
            <w:pPr>
              <w:pStyle w:val="TableParagraph"/>
              <w:spacing w:before="24"/>
              <w:ind w:left="616"/>
              <w:jc w:val="left"/>
              <w:rPr>
                <w:b/>
                <w:sz w:val="18"/>
              </w:rPr>
            </w:pPr>
            <w:r>
              <w:rPr>
                <w:b/>
                <w:sz w:val="18"/>
              </w:rPr>
              <w:t>2016</w:t>
            </w:r>
          </w:p>
        </w:tc>
        <w:tc>
          <w:tcPr>
            <w:tcW w:w="1390" w:type="dxa"/>
          </w:tcPr>
          <w:p>
            <w:pPr>
              <w:pStyle w:val="TableParagraph"/>
              <w:spacing w:before="24"/>
              <w:ind w:left="243"/>
              <w:jc w:val="left"/>
              <w:rPr>
                <w:b/>
                <w:sz w:val="18"/>
              </w:rPr>
            </w:pPr>
            <w:r>
              <w:rPr>
                <w:b/>
                <w:sz w:val="18"/>
              </w:rPr>
              <w:t>2015</w:t>
            </w:r>
          </w:p>
        </w:tc>
        <w:tc>
          <w:tcPr>
            <w:tcW w:w="1498" w:type="dxa"/>
          </w:tcPr>
          <w:p>
            <w:pPr>
              <w:pStyle w:val="TableParagraph"/>
              <w:spacing w:before="24"/>
              <w:ind w:left="333"/>
              <w:jc w:val="left"/>
              <w:rPr>
                <w:b/>
                <w:sz w:val="18"/>
              </w:rPr>
            </w:pPr>
            <w:r>
              <w:rPr>
                <w:b/>
                <w:sz w:val="18"/>
              </w:rPr>
              <w:t>2016</w:t>
            </w:r>
          </w:p>
        </w:tc>
        <w:tc>
          <w:tcPr>
            <w:tcW w:w="982" w:type="dxa"/>
          </w:tcPr>
          <w:p>
            <w:pPr>
              <w:pStyle w:val="TableParagraph"/>
              <w:spacing w:before="24"/>
              <w:ind w:left="118"/>
              <w:jc w:val="left"/>
              <w:rPr>
                <w:b/>
                <w:sz w:val="18"/>
              </w:rPr>
            </w:pPr>
            <w:r>
              <w:rPr>
                <w:b/>
                <w:sz w:val="18"/>
              </w:rPr>
              <w:t>2015</w:t>
            </w:r>
          </w:p>
        </w:tc>
      </w:tr>
      <w:tr>
        <w:trPr>
          <w:trHeight w:val="271" w:hRule="exact"/>
        </w:trPr>
        <w:tc>
          <w:tcPr>
            <w:tcW w:w="333" w:type="dxa"/>
          </w:tcPr>
          <w:p>
            <w:pPr/>
          </w:p>
        </w:tc>
        <w:tc>
          <w:tcPr>
            <w:tcW w:w="4088" w:type="dxa"/>
          </w:tcPr>
          <w:p>
            <w:pPr/>
          </w:p>
        </w:tc>
        <w:tc>
          <w:tcPr>
            <w:tcW w:w="1658" w:type="dxa"/>
          </w:tcPr>
          <w:p>
            <w:pPr>
              <w:pStyle w:val="TableParagraph"/>
              <w:spacing w:before="24"/>
              <w:ind w:left="595"/>
              <w:jc w:val="left"/>
              <w:rPr>
                <w:b/>
                <w:sz w:val="18"/>
              </w:rPr>
            </w:pPr>
            <w:r>
              <w:rPr>
                <w:b/>
                <w:sz w:val="18"/>
              </w:rPr>
              <w:t>$'000</w:t>
            </w:r>
          </w:p>
        </w:tc>
        <w:tc>
          <w:tcPr>
            <w:tcW w:w="1390" w:type="dxa"/>
          </w:tcPr>
          <w:p>
            <w:pPr>
              <w:pStyle w:val="TableParagraph"/>
              <w:spacing w:before="24"/>
              <w:ind w:left="221"/>
              <w:jc w:val="left"/>
              <w:rPr>
                <w:b/>
                <w:sz w:val="18"/>
              </w:rPr>
            </w:pPr>
            <w:r>
              <w:rPr>
                <w:b/>
                <w:sz w:val="18"/>
              </w:rPr>
              <w:t>$'000</w:t>
            </w:r>
          </w:p>
        </w:tc>
        <w:tc>
          <w:tcPr>
            <w:tcW w:w="1498" w:type="dxa"/>
          </w:tcPr>
          <w:p>
            <w:pPr>
              <w:pStyle w:val="TableParagraph"/>
              <w:spacing w:before="24"/>
              <w:ind w:left="311"/>
              <w:jc w:val="left"/>
              <w:rPr>
                <w:b/>
                <w:sz w:val="18"/>
              </w:rPr>
            </w:pPr>
            <w:r>
              <w:rPr>
                <w:b/>
                <w:sz w:val="18"/>
              </w:rPr>
              <w:t>$'000</w:t>
            </w:r>
          </w:p>
        </w:tc>
        <w:tc>
          <w:tcPr>
            <w:tcW w:w="982" w:type="dxa"/>
          </w:tcPr>
          <w:p>
            <w:pPr>
              <w:pStyle w:val="TableParagraph"/>
              <w:spacing w:before="24"/>
              <w:ind w:left="97"/>
              <w:jc w:val="left"/>
              <w:rPr>
                <w:b/>
                <w:sz w:val="18"/>
              </w:rPr>
            </w:pPr>
            <w:r>
              <w:rPr>
                <w:b/>
                <w:sz w:val="18"/>
              </w:rPr>
              <w:t>$'000</w:t>
            </w:r>
          </w:p>
        </w:tc>
      </w:tr>
      <w:tr>
        <w:trPr>
          <w:trHeight w:val="266" w:hRule="exact"/>
        </w:trPr>
        <w:tc>
          <w:tcPr>
            <w:tcW w:w="333" w:type="dxa"/>
          </w:tcPr>
          <w:p>
            <w:pPr/>
          </w:p>
        </w:tc>
        <w:tc>
          <w:tcPr>
            <w:tcW w:w="4088" w:type="dxa"/>
          </w:tcPr>
          <w:p>
            <w:pPr>
              <w:pStyle w:val="TableParagraph"/>
              <w:spacing w:before="22"/>
              <w:ind w:right="759"/>
              <w:rPr>
                <w:sz w:val="18"/>
              </w:rPr>
            </w:pPr>
            <w:r>
              <w:rPr>
                <w:sz w:val="18"/>
              </w:rPr>
              <w:t>Deferred superannuation reserve</w:t>
            </w:r>
          </w:p>
        </w:tc>
        <w:tc>
          <w:tcPr>
            <w:tcW w:w="1658" w:type="dxa"/>
          </w:tcPr>
          <w:p>
            <w:pPr>
              <w:pStyle w:val="TableParagraph"/>
              <w:spacing w:before="21"/>
              <w:ind w:right="219"/>
              <w:rPr>
                <w:b/>
                <w:sz w:val="18"/>
              </w:rPr>
            </w:pPr>
            <w:r>
              <w:rPr>
                <w:b/>
                <w:sz w:val="18"/>
              </w:rPr>
              <w:t>(646)</w:t>
            </w:r>
          </w:p>
        </w:tc>
        <w:tc>
          <w:tcPr>
            <w:tcW w:w="1390" w:type="dxa"/>
          </w:tcPr>
          <w:p>
            <w:pPr>
              <w:pStyle w:val="TableParagraph"/>
              <w:spacing w:before="21"/>
              <w:ind w:right="310"/>
              <w:rPr>
                <w:sz w:val="18"/>
              </w:rPr>
            </w:pPr>
            <w:r>
              <w:rPr>
                <w:sz w:val="18"/>
              </w:rPr>
              <w:t>(280)</w:t>
            </w:r>
          </w:p>
        </w:tc>
        <w:tc>
          <w:tcPr>
            <w:tcW w:w="1498" w:type="dxa"/>
          </w:tcPr>
          <w:p>
            <w:pPr>
              <w:pStyle w:val="TableParagraph"/>
              <w:spacing w:before="21"/>
              <w:ind w:left="734"/>
              <w:jc w:val="left"/>
              <w:rPr>
                <w:b/>
                <w:sz w:val="18"/>
              </w:rPr>
            </w:pPr>
            <w:r>
              <w:rPr>
                <w:b/>
                <w:sz w:val="18"/>
              </w:rPr>
              <w:t>(646)</w:t>
            </w:r>
          </w:p>
        </w:tc>
        <w:tc>
          <w:tcPr>
            <w:tcW w:w="982" w:type="dxa"/>
          </w:tcPr>
          <w:p>
            <w:pPr>
              <w:pStyle w:val="TableParagraph"/>
              <w:spacing w:before="21"/>
              <w:ind w:right="27"/>
              <w:rPr>
                <w:sz w:val="18"/>
              </w:rPr>
            </w:pPr>
            <w:r>
              <w:rPr>
                <w:sz w:val="18"/>
              </w:rPr>
              <w:t>(280)</w:t>
            </w:r>
          </w:p>
        </w:tc>
      </w:tr>
      <w:tr>
        <w:trPr>
          <w:trHeight w:val="468" w:hRule="exact"/>
        </w:trPr>
        <w:tc>
          <w:tcPr>
            <w:tcW w:w="333" w:type="dxa"/>
          </w:tcPr>
          <w:p>
            <w:pPr/>
          </w:p>
        </w:tc>
        <w:tc>
          <w:tcPr>
            <w:tcW w:w="4088" w:type="dxa"/>
          </w:tcPr>
          <w:p>
            <w:pPr>
              <w:pStyle w:val="TableParagraph"/>
              <w:spacing w:before="18"/>
              <w:ind w:left="692" w:right="124"/>
              <w:jc w:val="left"/>
              <w:rPr>
                <w:sz w:val="18"/>
              </w:rPr>
            </w:pPr>
            <w:r>
              <w:rPr>
                <w:sz w:val="18"/>
              </w:rPr>
              <w:t>Property development revaluation reserve</w:t>
            </w:r>
          </w:p>
        </w:tc>
        <w:tc>
          <w:tcPr>
            <w:tcW w:w="1658" w:type="dxa"/>
          </w:tcPr>
          <w:p>
            <w:pPr>
              <w:pStyle w:val="TableParagraph"/>
              <w:spacing w:before="4"/>
              <w:jc w:val="left"/>
              <w:rPr>
                <w:rFonts w:ascii="Times New Roman"/>
                <w:sz w:val="19"/>
              </w:rPr>
            </w:pPr>
          </w:p>
          <w:p>
            <w:pPr>
              <w:pStyle w:val="TableParagraph"/>
              <w:ind w:right="279"/>
              <w:rPr>
                <w:b/>
                <w:sz w:val="18"/>
              </w:rPr>
            </w:pPr>
            <w:r>
              <w:rPr>
                <w:b/>
                <w:w w:val="95"/>
                <w:sz w:val="18"/>
              </w:rPr>
              <w:t>71,459</w:t>
            </w:r>
          </w:p>
        </w:tc>
        <w:tc>
          <w:tcPr>
            <w:tcW w:w="1390" w:type="dxa"/>
          </w:tcPr>
          <w:p>
            <w:pPr>
              <w:pStyle w:val="TableParagraph"/>
              <w:spacing w:before="4"/>
              <w:jc w:val="left"/>
              <w:rPr>
                <w:rFonts w:ascii="Times New Roman"/>
                <w:sz w:val="19"/>
              </w:rPr>
            </w:pPr>
          </w:p>
          <w:p>
            <w:pPr>
              <w:pStyle w:val="TableParagraph"/>
              <w:ind w:right="370"/>
              <w:rPr>
                <w:sz w:val="18"/>
              </w:rPr>
            </w:pPr>
            <w:r>
              <w:rPr>
                <w:w w:val="95"/>
                <w:sz w:val="18"/>
              </w:rPr>
              <w:t>63,429</w:t>
            </w:r>
          </w:p>
        </w:tc>
        <w:tc>
          <w:tcPr>
            <w:tcW w:w="1498" w:type="dxa"/>
          </w:tcPr>
          <w:p>
            <w:pPr>
              <w:pStyle w:val="TableParagraph"/>
              <w:spacing w:before="4"/>
              <w:jc w:val="left"/>
              <w:rPr>
                <w:rFonts w:ascii="Times New Roman"/>
                <w:sz w:val="19"/>
              </w:rPr>
            </w:pPr>
          </w:p>
          <w:p>
            <w:pPr>
              <w:pStyle w:val="TableParagraph"/>
              <w:ind w:left="544"/>
              <w:jc w:val="left"/>
              <w:rPr>
                <w:b/>
                <w:sz w:val="18"/>
              </w:rPr>
            </w:pPr>
            <w:r>
              <w:rPr>
                <w:b/>
                <w:sz w:val="18"/>
              </w:rPr>
              <w:t>71,459</w:t>
            </w:r>
          </w:p>
        </w:tc>
        <w:tc>
          <w:tcPr>
            <w:tcW w:w="982" w:type="dxa"/>
          </w:tcPr>
          <w:p>
            <w:pPr>
              <w:pStyle w:val="TableParagraph"/>
              <w:spacing w:before="4"/>
              <w:jc w:val="left"/>
              <w:rPr>
                <w:rFonts w:ascii="Times New Roman"/>
                <w:sz w:val="19"/>
              </w:rPr>
            </w:pPr>
          </w:p>
          <w:p>
            <w:pPr>
              <w:pStyle w:val="TableParagraph"/>
              <w:ind w:right="86"/>
              <w:rPr>
                <w:sz w:val="18"/>
              </w:rPr>
            </w:pPr>
            <w:r>
              <w:rPr>
                <w:w w:val="95"/>
                <w:sz w:val="18"/>
              </w:rPr>
              <w:t>63,429</w:t>
            </w:r>
          </w:p>
        </w:tc>
      </w:tr>
      <w:tr>
        <w:trPr>
          <w:trHeight w:val="469" w:hRule="exact"/>
        </w:trPr>
        <w:tc>
          <w:tcPr>
            <w:tcW w:w="333" w:type="dxa"/>
          </w:tcPr>
          <w:p>
            <w:pPr/>
          </w:p>
        </w:tc>
        <w:tc>
          <w:tcPr>
            <w:tcW w:w="4088" w:type="dxa"/>
          </w:tcPr>
          <w:p>
            <w:pPr>
              <w:pStyle w:val="TableParagraph"/>
              <w:spacing w:before="18"/>
              <w:ind w:left="692" w:right="124"/>
              <w:jc w:val="left"/>
              <w:rPr>
                <w:sz w:val="18"/>
              </w:rPr>
            </w:pPr>
            <w:r>
              <w:rPr>
                <w:sz w:val="18"/>
              </w:rPr>
              <w:t>Property, plant and equipment revaluation surplus</w:t>
            </w:r>
          </w:p>
        </w:tc>
        <w:tc>
          <w:tcPr>
            <w:tcW w:w="1658" w:type="dxa"/>
          </w:tcPr>
          <w:p>
            <w:pPr>
              <w:pStyle w:val="TableParagraph"/>
              <w:spacing w:before="4"/>
              <w:jc w:val="left"/>
              <w:rPr>
                <w:rFonts w:ascii="Times New Roman"/>
                <w:sz w:val="19"/>
              </w:rPr>
            </w:pPr>
          </w:p>
          <w:p>
            <w:pPr>
              <w:pStyle w:val="TableParagraph"/>
              <w:ind w:right="279"/>
              <w:rPr>
                <w:b/>
                <w:sz w:val="18"/>
              </w:rPr>
            </w:pPr>
            <w:r>
              <w:rPr>
                <w:b/>
                <w:w w:val="95"/>
                <w:sz w:val="18"/>
              </w:rPr>
              <w:t>617,516</w:t>
            </w:r>
          </w:p>
        </w:tc>
        <w:tc>
          <w:tcPr>
            <w:tcW w:w="1390" w:type="dxa"/>
          </w:tcPr>
          <w:p>
            <w:pPr>
              <w:pStyle w:val="TableParagraph"/>
              <w:spacing w:before="4"/>
              <w:jc w:val="left"/>
              <w:rPr>
                <w:rFonts w:ascii="Times New Roman"/>
                <w:sz w:val="19"/>
              </w:rPr>
            </w:pPr>
          </w:p>
          <w:p>
            <w:pPr>
              <w:pStyle w:val="TableParagraph"/>
              <w:ind w:right="370"/>
              <w:rPr>
                <w:sz w:val="18"/>
              </w:rPr>
            </w:pPr>
            <w:r>
              <w:rPr>
                <w:w w:val="95"/>
                <w:sz w:val="18"/>
              </w:rPr>
              <w:t>607,186</w:t>
            </w:r>
          </w:p>
        </w:tc>
        <w:tc>
          <w:tcPr>
            <w:tcW w:w="1498" w:type="dxa"/>
          </w:tcPr>
          <w:p>
            <w:pPr>
              <w:pStyle w:val="TableParagraph"/>
              <w:spacing w:before="4"/>
              <w:jc w:val="left"/>
              <w:rPr>
                <w:rFonts w:ascii="Times New Roman"/>
                <w:sz w:val="19"/>
              </w:rPr>
            </w:pPr>
          </w:p>
          <w:p>
            <w:pPr>
              <w:pStyle w:val="TableParagraph"/>
              <w:ind w:left="444"/>
              <w:jc w:val="left"/>
              <w:rPr>
                <w:b/>
                <w:sz w:val="18"/>
              </w:rPr>
            </w:pPr>
            <w:r>
              <w:rPr>
                <w:b/>
                <w:sz w:val="18"/>
              </w:rPr>
              <w:t>617,320</w:t>
            </w:r>
          </w:p>
        </w:tc>
        <w:tc>
          <w:tcPr>
            <w:tcW w:w="982" w:type="dxa"/>
          </w:tcPr>
          <w:p>
            <w:pPr>
              <w:pStyle w:val="TableParagraph"/>
              <w:spacing w:before="4"/>
              <w:jc w:val="left"/>
              <w:rPr>
                <w:rFonts w:ascii="Times New Roman"/>
                <w:sz w:val="19"/>
              </w:rPr>
            </w:pPr>
          </w:p>
          <w:p>
            <w:pPr>
              <w:pStyle w:val="TableParagraph"/>
              <w:ind w:right="86"/>
              <w:rPr>
                <w:sz w:val="18"/>
              </w:rPr>
            </w:pPr>
            <w:r>
              <w:rPr>
                <w:w w:val="95"/>
                <w:sz w:val="18"/>
              </w:rPr>
              <w:t>607,011</w:t>
            </w:r>
          </w:p>
        </w:tc>
      </w:tr>
      <w:tr>
        <w:trPr>
          <w:trHeight w:val="264" w:hRule="exact"/>
        </w:trPr>
        <w:tc>
          <w:tcPr>
            <w:tcW w:w="333" w:type="dxa"/>
          </w:tcPr>
          <w:p>
            <w:pPr/>
          </w:p>
        </w:tc>
        <w:tc>
          <w:tcPr>
            <w:tcW w:w="4088" w:type="dxa"/>
          </w:tcPr>
          <w:p>
            <w:pPr>
              <w:pStyle w:val="TableParagraph"/>
              <w:spacing w:before="19"/>
              <w:ind w:left="692" w:right="124"/>
              <w:jc w:val="left"/>
              <w:rPr>
                <w:sz w:val="18"/>
              </w:rPr>
            </w:pPr>
            <w:r>
              <w:rPr>
                <w:sz w:val="18"/>
              </w:rPr>
              <w:t>Investment revaluation reserve</w:t>
            </w:r>
          </w:p>
        </w:tc>
        <w:tc>
          <w:tcPr>
            <w:tcW w:w="1658" w:type="dxa"/>
          </w:tcPr>
          <w:p>
            <w:pPr>
              <w:pStyle w:val="TableParagraph"/>
              <w:spacing w:before="18"/>
              <w:ind w:right="279"/>
              <w:rPr>
                <w:b/>
                <w:sz w:val="18"/>
              </w:rPr>
            </w:pPr>
            <w:r>
              <w:rPr>
                <w:b/>
                <w:w w:val="95"/>
                <w:sz w:val="18"/>
              </w:rPr>
              <w:t>16,767</w:t>
            </w:r>
          </w:p>
        </w:tc>
        <w:tc>
          <w:tcPr>
            <w:tcW w:w="1390" w:type="dxa"/>
          </w:tcPr>
          <w:p>
            <w:pPr>
              <w:pStyle w:val="TableParagraph"/>
              <w:spacing w:before="18"/>
              <w:ind w:right="370"/>
              <w:rPr>
                <w:sz w:val="18"/>
              </w:rPr>
            </w:pPr>
            <w:r>
              <w:rPr>
                <w:w w:val="95"/>
                <w:sz w:val="18"/>
              </w:rPr>
              <w:t>12,043</w:t>
            </w:r>
          </w:p>
        </w:tc>
        <w:tc>
          <w:tcPr>
            <w:tcW w:w="1498" w:type="dxa"/>
          </w:tcPr>
          <w:p>
            <w:pPr>
              <w:pStyle w:val="TableParagraph"/>
              <w:spacing w:before="18"/>
              <w:ind w:left="544"/>
              <w:jc w:val="left"/>
              <w:rPr>
                <w:b/>
                <w:sz w:val="18"/>
              </w:rPr>
            </w:pPr>
            <w:r>
              <w:rPr>
                <w:b/>
                <w:sz w:val="18"/>
              </w:rPr>
              <w:t>12,714</w:t>
            </w:r>
          </w:p>
        </w:tc>
        <w:tc>
          <w:tcPr>
            <w:tcW w:w="982" w:type="dxa"/>
          </w:tcPr>
          <w:p>
            <w:pPr>
              <w:pStyle w:val="TableParagraph"/>
              <w:spacing w:before="18"/>
              <w:ind w:right="86"/>
              <w:rPr>
                <w:sz w:val="18"/>
              </w:rPr>
            </w:pPr>
            <w:r>
              <w:rPr>
                <w:sz w:val="18"/>
              </w:rPr>
              <w:t>7,990</w:t>
            </w:r>
          </w:p>
        </w:tc>
      </w:tr>
      <w:tr>
        <w:trPr>
          <w:trHeight w:val="264" w:hRule="exact"/>
        </w:trPr>
        <w:tc>
          <w:tcPr>
            <w:tcW w:w="333" w:type="dxa"/>
          </w:tcPr>
          <w:p>
            <w:pPr/>
          </w:p>
        </w:tc>
        <w:tc>
          <w:tcPr>
            <w:tcW w:w="4088" w:type="dxa"/>
          </w:tcPr>
          <w:p>
            <w:pPr>
              <w:pStyle w:val="TableParagraph"/>
              <w:spacing w:before="19"/>
              <w:ind w:right="788"/>
              <w:rPr>
                <w:sz w:val="18"/>
              </w:rPr>
            </w:pPr>
            <w:r>
              <w:rPr>
                <w:sz w:val="18"/>
              </w:rPr>
              <w:t>Art collection revaluation reserve</w:t>
            </w:r>
          </w:p>
        </w:tc>
        <w:tc>
          <w:tcPr>
            <w:tcW w:w="1658" w:type="dxa"/>
          </w:tcPr>
          <w:p>
            <w:pPr>
              <w:pStyle w:val="TableParagraph"/>
              <w:spacing w:before="18"/>
              <w:ind w:right="280"/>
              <w:rPr>
                <w:b/>
                <w:sz w:val="18"/>
              </w:rPr>
            </w:pPr>
            <w:r>
              <w:rPr>
                <w:b/>
                <w:sz w:val="18"/>
              </w:rPr>
              <w:t>2,420</w:t>
            </w:r>
          </w:p>
        </w:tc>
        <w:tc>
          <w:tcPr>
            <w:tcW w:w="1390" w:type="dxa"/>
          </w:tcPr>
          <w:p>
            <w:pPr>
              <w:pStyle w:val="TableParagraph"/>
              <w:spacing w:before="18"/>
              <w:ind w:right="370"/>
              <w:rPr>
                <w:sz w:val="18"/>
              </w:rPr>
            </w:pPr>
            <w:r>
              <w:rPr>
                <w:sz w:val="18"/>
              </w:rPr>
              <w:t>1,434</w:t>
            </w:r>
          </w:p>
        </w:tc>
        <w:tc>
          <w:tcPr>
            <w:tcW w:w="1498" w:type="dxa"/>
          </w:tcPr>
          <w:p>
            <w:pPr>
              <w:pStyle w:val="TableParagraph"/>
              <w:spacing w:before="18"/>
              <w:ind w:left="644"/>
              <w:jc w:val="left"/>
              <w:rPr>
                <w:b/>
                <w:sz w:val="18"/>
              </w:rPr>
            </w:pPr>
            <w:r>
              <w:rPr>
                <w:b/>
                <w:sz w:val="18"/>
              </w:rPr>
              <w:t>2,420</w:t>
            </w:r>
          </w:p>
        </w:tc>
        <w:tc>
          <w:tcPr>
            <w:tcW w:w="982" w:type="dxa"/>
          </w:tcPr>
          <w:p>
            <w:pPr>
              <w:pStyle w:val="TableParagraph"/>
              <w:spacing w:before="18"/>
              <w:ind w:right="86"/>
              <w:rPr>
                <w:sz w:val="18"/>
              </w:rPr>
            </w:pPr>
            <w:r>
              <w:rPr>
                <w:sz w:val="18"/>
              </w:rPr>
              <w:t>1,434</w:t>
            </w:r>
          </w:p>
        </w:tc>
      </w:tr>
      <w:tr>
        <w:trPr>
          <w:trHeight w:val="264" w:hRule="exact"/>
        </w:trPr>
        <w:tc>
          <w:tcPr>
            <w:tcW w:w="333" w:type="dxa"/>
          </w:tcPr>
          <w:p>
            <w:pPr/>
          </w:p>
        </w:tc>
        <w:tc>
          <w:tcPr>
            <w:tcW w:w="4088" w:type="dxa"/>
          </w:tcPr>
          <w:p>
            <w:pPr>
              <w:pStyle w:val="TableParagraph"/>
              <w:spacing w:before="19"/>
              <w:ind w:left="692" w:right="124"/>
              <w:jc w:val="left"/>
              <w:rPr>
                <w:sz w:val="18"/>
              </w:rPr>
            </w:pPr>
            <w:r>
              <w:rPr>
                <w:sz w:val="18"/>
              </w:rPr>
              <w:t>Livestock revaluation reserve</w:t>
            </w:r>
          </w:p>
        </w:tc>
        <w:tc>
          <w:tcPr>
            <w:tcW w:w="1658" w:type="dxa"/>
          </w:tcPr>
          <w:p>
            <w:pPr>
              <w:pStyle w:val="TableParagraph"/>
              <w:spacing w:before="18"/>
              <w:ind w:right="279"/>
              <w:rPr>
                <w:b/>
                <w:sz w:val="18"/>
              </w:rPr>
            </w:pPr>
            <w:r>
              <w:rPr>
                <w:b/>
                <w:sz w:val="18"/>
              </w:rPr>
              <w:t>238</w:t>
            </w:r>
          </w:p>
        </w:tc>
        <w:tc>
          <w:tcPr>
            <w:tcW w:w="1390" w:type="dxa"/>
          </w:tcPr>
          <w:p>
            <w:pPr>
              <w:pStyle w:val="TableParagraph"/>
              <w:spacing w:before="18"/>
              <w:ind w:right="370"/>
              <w:rPr>
                <w:sz w:val="18"/>
              </w:rPr>
            </w:pPr>
            <w:r>
              <w:rPr>
                <w:sz w:val="18"/>
              </w:rPr>
              <w:t>452</w:t>
            </w:r>
          </w:p>
        </w:tc>
        <w:tc>
          <w:tcPr>
            <w:tcW w:w="1498" w:type="dxa"/>
          </w:tcPr>
          <w:p>
            <w:pPr>
              <w:pStyle w:val="TableParagraph"/>
              <w:spacing w:before="18"/>
              <w:ind w:left="794"/>
              <w:jc w:val="left"/>
              <w:rPr>
                <w:b/>
                <w:sz w:val="18"/>
              </w:rPr>
            </w:pPr>
            <w:r>
              <w:rPr>
                <w:b/>
                <w:sz w:val="18"/>
              </w:rPr>
              <w:t>238</w:t>
            </w:r>
          </w:p>
        </w:tc>
        <w:tc>
          <w:tcPr>
            <w:tcW w:w="982" w:type="dxa"/>
          </w:tcPr>
          <w:p>
            <w:pPr>
              <w:pStyle w:val="TableParagraph"/>
              <w:spacing w:before="18"/>
              <w:ind w:right="86"/>
              <w:rPr>
                <w:sz w:val="18"/>
              </w:rPr>
            </w:pPr>
            <w:r>
              <w:rPr>
                <w:sz w:val="18"/>
              </w:rPr>
              <w:t>452</w:t>
            </w:r>
          </w:p>
        </w:tc>
      </w:tr>
      <w:tr>
        <w:trPr>
          <w:trHeight w:val="262" w:hRule="exact"/>
        </w:trPr>
        <w:tc>
          <w:tcPr>
            <w:tcW w:w="333" w:type="dxa"/>
          </w:tcPr>
          <w:p>
            <w:pPr/>
          </w:p>
        </w:tc>
        <w:tc>
          <w:tcPr>
            <w:tcW w:w="4088" w:type="dxa"/>
          </w:tcPr>
          <w:p>
            <w:pPr>
              <w:pStyle w:val="TableParagraph"/>
              <w:spacing w:before="19"/>
              <w:ind w:left="692" w:right="124"/>
              <w:jc w:val="left"/>
              <w:rPr>
                <w:sz w:val="18"/>
              </w:rPr>
            </w:pPr>
            <w:r>
              <w:rPr>
                <w:sz w:val="18"/>
              </w:rPr>
              <w:t>Licenses revaluation reserve</w:t>
            </w:r>
          </w:p>
        </w:tc>
        <w:tc>
          <w:tcPr>
            <w:tcW w:w="1658" w:type="dxa"/>
            <w:tcBorders>
              <w:bottom w:val="single" w:sz="0" w:space="0" w:color="000000"/>
            </w:tcBorders>
          </w:tcPr>
          <w:p>
            <w:pPr>
              <w:pStyle w:val="TableParagraph"/>
              <w:spacing w:before="18"/>
              <w:ind w:right="279"/>
              <w:rPr>
                <w:b/>
                <w:sz w:val="18"/>
              </w:rPr>
            </w:pPr>
            <w:r>
              <w:rPr>
                <w:b/>
                <w:sz w:val="18"/>
              </w:rPr>
              <w:t>250</w:t>
            </w:r>
          </w:p>
        </w:tc>
        <w:tc>
          <w:tcPr>
            <w:tcW w:w="1390" w:type="dxa"/>
            <w:tcBorders>
              <w:bottom w:val="single" w:sz="0" w:space="0" w:color="000000"/>
            </w:tcBorders>
          </w:tcPr>
          <w:p>
            <w:pPr>
              <w:pStyle w:val="TableParagraph"/>
              <w:spacing w:before="18"/>
              <w:ind w:right="370"/>
              <w:rPr>
                <w:sz w:val="18"/>
              </w:rPr>
            </w:pPr>
            <w:r>
              <w:rPr>
                <w:sz w:val="18"/>
              </w:rPr>
              <w:t>250</w:t>
            </w:r>
          </w:p>
        </w:tc>
        <w:tc>
          <w:tcPr>
            <w:tcW w:w="1498" w:type="dxa"/>
            <w:tcBorders>
              <w:bottom w:val="single" w:sz="0" w:space="0" w:color="000000"/>
            </w:tcBorders>
          </w:tcPr>
          <w:p>
            <w:pPr>
              <w:pStyle w:val="TableParagraph"/>
              <w:spacing w:before="18"/>
              <w:ind w:left="794"/>
              <w:jc w:val="left"/>
              <w:rPr>
                <w:b/>
                <w:sz w:val="18"/>
              </w:rPr>
            </w:pPr>
            <w:r>
              <w:rPr>
                <w:b/>
                <w:sz w:val="18"/>
              </w:rPr>
              <w:t>250</w:t>
            </w:r>
          </w:p>
        </w:tc>
        <w:tc>
          <w:tcPr>
            <w:tcW w:w="982" w:type="dxa"/>
            <w:tcBorders>
              <w:bottom w:val="single" w:sz="0" w:space="0" w:color="000000"/>
            </w:tcBorders>
          </w:tcPr>
          <w:p>
            <w:pPr>
              <w:pStyle w:val="TableParagraph"/>
              <w:spacing w:before="18"/>
              <w:ind w:right="86"/>
              <w:rPr>
                <w:sz w:val="18"/>
              </w:rPr>
            </w:pPr>
            <w:r>
              <w:rPr>
                <w:sz w:val="18"/>
              </w:rPr>
              <w:t>250</w:t>
            </w:r>
          </w:p>
        </w:tc>
      </w:tr>
      <w:tr>
        <w:trPr>
          <w:trHeight w:val="353" w:hRule="exact"/>
        </w:trPr>
        <w:tc>
          <w:tcPr>
            <w:tcW w:w="333" w:type="dxa"/>
          </w:tcPr>
          <w:p>
            <w:pPr/>
          </w:p>
        </w:tc>
        <w:tc>
          <w:tcPr>
            <w:tcW w:w="4088" w:type="dxa"/>
          </w:tcPr>
          <w:p>
            <w:pPr>
              <w:pStyle w:val="TableParagraph"/>
              <w:spacing w:before="123"/>
              <w:ind w:left="692" w:right="124"/>
              <w:jc w:val="left"/>
              <w:rPr>
                <w:b/>
                <w:sz w:val="18"/>
              </w:rPr>
            </w:pPr>
            <w:r>
              <w:rPr>
                <w:b/>
                <w:sz w:val="18"/>
              </w:rPr>
              <w:t>Total Reserves</w:t>
            </w:r>
          </w:p>
        </w:tc>
        <w:tc>
          <w:tcPr>
            <w:tcW w:w="1658" w:type="dxa"/>
            <w:tcBorders>
              <w:top w:val="single" w:sz="0" w:space="0" w:color="000000"/>
              <w:bottom w:val="single" w:sz="0" w:space="0" w:color="000000"/>
            </w:tcBorders>
          </w:tcPr>
          <w:p>
            <w:pPr>
              <w:pStyle w:val="TableParagraph"/>
              <w:spacing w:before="122"/>
              <w:ind w:right="279"/>
              <w:rPr>
                <w:b/>
                <w:sz w:val="18"/>
              </w:rPr>
            </w:pPr>
            <w:r>
              <w:rPr>
                <w:b/>
                <w:w w:val="95"/>
                <w:sz w:val="18"/>
              </w:rPr>
              <w:t>708,004</w:t>
            </w:r>
          </w:p>
        </w:tc>
        <w:tc>
          <w:tcPr>
            <w:tcW w:w="1390" w:type="dxa"/>
            <w:tcBorders>
              <w:top w:val="single" w:sz="0" w:space="0" w:color="000000"/>
              <w:bottom w:val="single" w:sz="0" w:space="0" w:color="000000"/>
            </w:tcBorders>
          </w:tcPr>
          <w:p>
            <w:pPr>
              <w:pStyle w:val="TableParagraph"/>
              <w:spacing w:before="122"/>
              <w:ind w:right="370"/>
              <w:rPr>
                <w:sz w:val="18"/>
              </w:rPr>
            </w:pPr>
            <w:r>
              <w:rPr>
                <w:w w:val="95"/>
                <w:sz w:val="18"/>
              </w:rPr>
              <w:t>684,514</w:t>
            </w:r>
          </w:p>
        </w:tc>
        <w:tc>
          <w:tcPr>
            <w:tcW w:w="1498" w:type="dxa"/>
            <w:tcBorders>
              <w:top w:val="single" w:sz="0" w:space="0" w:color="000000"/>
              <w:bottom w:val="single" w:sz="0" w:space="0" w:color="000000"/>
            </w:tcBorders>
          </w:tcPr>
          <w:p>
            <w:pPr>
              <w:pStyle w:val="TableParagraph"/>
              <w:spacing w:before="122"/>
              <w:ind w:left="444"/>
              <w:jc w:val="left"/>
              <w:rPr>
                <w:b/>
                <w:sz w:val="18"/>
              </w:rPr>
            </w:pPr>
            <w:r>
              <w:rPr>
                <w:b/>
                <w:sz w:val="18"/>
              </w:rPr>
              <w:t>703,755</w:t>
            </w:r>
          </w:p>
        </w:tc>
        <w:tc>
          <w:tcPr>
            <w:tcW w:w="982" w:type="dxa"/>
            <w:tcBorders>
              <w:top w:val="single" w:sz="0" w:space="0" w:color="000000"/>
              <w:bottom w:val="single" w:sz="0" w:space="0" w:color="000000"/>
            </w:tcBorders>
          </w:tcPr>
          <w:p>
            <w:pPr>
              <w:pStyle w:val="TableParagraph"/>
              <w:spacing w:before="122"/>
              <w:ind w:right="86"/>
              <w:rPr>
                <w:sz w:val="18"/>
              </w:rPr>
            </w:pPr>
            <w:r>
              <w:rPr>
                <w:w w:val="95"/>
                <w:sz w:val="18"/>
              </w:rPr>
              <w:t>680,286</w:t>
            </w:r>
          </w:p>
        </w:tc>
      </w:tr>
    </w:tbl>
    <w:p>
      <w:pPr>
        <w:spacing w:after="0"/>
        <w:rPr>
          <w:sz w:val="18"/>
        </w:rPr>
        <w:sectPr>
          <w:pgSz w:w="12750" w:h="17680"/>
          <w:pgMar w:header="0" w:footer="907" w:top="2640" w:bottom="1120" w:left="0" w:right="0"/>
        </w:sectPr>
      </w:pPr>
    </w:p>
    <w:p>
      <w:pPr>
        <w:pStyle w:val="BodyText"/>
        <w:rPr>
          <w:rFonts w:ascii="Times New Roman"/>
          <w:sz w:val="20"/>
        </w:rPr>
      </w:pPr>
    </w:p>
    <w:p>
      <w:pPr>
        <w:pStyle w:val="BodyText"/>
        <w:rPr>
          <w:rFonts w:ascii="Times New Roman"/>
          <w:sz w:val="20"/>
        </w:rPr>
      </w:pPr>
    </w:p>
    <w:p>
      <w:pPr>
        <w:pStyle w:val="BodyText"/>
        <w:spacing w:before="4"/>
        <w:rPr>
          <w:rFonts w:ascii="Times New Roman"/>
        </w:rPr>
      </w:pPr>
    </w:p>
    <w:p>
      <w:pPr>
        <w:pStyle w:val="Heading8"/>
        <w:tabs>
          <w:tab w:pos="2391" w:val="left" w:leader="none"/>
        </w:tabs>
        <w:ind w:left="1824"/>
      </w:pPr>
      <w:bookmarkStart w:name="(b) Movements in Reserves" w:id="110"/>
      <w:bookmarkEnd w:id="110"/>
      <w:r>
        <w:rPr>
          <w:b w:val="0"/>
        </w:rPr>
      </w:r>
      <w:r>
        <w:rPr/>
        <w:t>29</w:t>
        <w:tab/>
        <w:t>Reserves and retained earnings</w:t>
      </w:r>
      <w:r>
        <w:rPr>
          <w:spacing w:val="-10"/>
        </w:rPr>
        <w:t> </w:t>
      </w:r>
      <w:r>
        <w:rPr/>
        <w:t>(continued)</w:t>
      </w:r>
    </w:p>
    <w:p>
      <w:pPr>
        <w:pStyle w:val="BodyText"/>
        <w:spacing w:before="11"/>
        <w:rPr>
          <w:b/>
          <w:sz w:val="19"/>
        </w:rPr>
      </w:pPr>
    </w:p>
    <w:p>
      <w:pPr>
        <w:pStyle w:val="ListParagraph"/>
        <w:numPr>
          <w:ilvl w:val="0"/>
          <w:numId w:val="26"/>
        </w:numPr>
        <w:tabs>
          <w:tab w:pos="2392" w:val="left" w:leader="none"/>
        </w:tabs>
        <w:spacing w:line="240" w:lineRule="auto" w:before="77" w:after="0"/>
        <w:ind w:left="2391" w:right="0" w:hanging="566"/>
        <w:jc w:val="left"/>
        <w:rPr>
          <w:sz w:val="18"/>
        </w:rPr>
      </w:pPr>
      <w:r>
        <w:rPr>
          <w:sz w:val="18"/>
        </w:rPr>
        <w:t>Movements in</w:t>
      </w:r>
      <w:r>
        <w:rPr>
          <w:spacing w:val="-20"/>
          <w:sz w:val="18"/>
        </w:rPr>
        <w:t> </w:t>
      </w:r>
      <w:r>
        <w:rPr>
          <w:sz w:val="18"/>
        </w:rPr>
        <w:t>Reserves</w:t>
      </w:r>
    </w:p>
    <w:p>
      <w:pPr>
        <w:pStyle w:val="Heading8"/>
        <w:tabs>
          <w:tab w:pos="9681" w:val="left" w:leader="none"/>
        </w:tabs>
        <w:spacing w:before="38"/>
        <w:ind w:left="6627"/>
      </w:pPr>
      <w:r>
        <w:rPr/>
        <w:t>Consolidated</w:t>
        <w:tab/>
        <w:t>Parent</w:t>
      </w:r>
    </w:p>
    <w:p>
      <w:pPr>
        <w:spacing w:after="0"/>
        <w:sectPr>
          <w:pgSz w:w="12750" w:h="17680"/>
          <w:pgMar w:header="0" w:footer="907" w:top="2640" w:bottom="1120" w:left="0" w:right="0"/>
        </w:sectPr>
      </w:pPr>
    </w:p>
    <w:p>
      <w:pPr>
        <w:spacing w:before="66"/>
        <w:ind w:left="0" w:right="19" w:firstLine="0"/>
        <w:jc w:val="right"/>
        <w:rPr>
          <w:b/>
          <w:sz w:val="18"/>
        </w:rPr>
      </w:pPr>
      <w:r>
        <w:rPr>
          <w:b/>
          <w:sz w:val="18"/>
        </w:rPr>
        <w:t>2016</w:t>
      </w:r>
    </w:p>
    <w:p>
      <w:pPr>
        <w:spacing w:before="66"/>
        <w:ind w:left="0" w:right="0" w:firstLine="0"/>
        <w:jc w:val="right"/>
        <w:rPr>
          <w:b/>
          <w:sz w:val="18"/>
        </w:rPr>
      </w:pPr>
      <w:r>
        <w:rPr>
          <w:b/>
          <w:sz w:val="18"/>
        </w:rPr>
        <w:t>$'000</w:t>
      </w:r>
    </w:p>
    <w:p>
      <w:pPr>
        <w:spacing w:before="66"/>
        <w:ind w:left="837" w:right="-16" w:firstLine="0"/>
        <w:jc w:val="left"/>
        <w:rPr>
          <w:b/>
          <w:sz w:val="18"/>
        </w:rPr>
      </w:pPr>
      <w:r>
        <w:rPr/>
        <w:br w:type="column"/>
      </w:r>
      <w:r>
        <w:rPr>
          <w:b/>
          <w:sz w:val="18"/>
        </w:rPr>
        <w:t>2015</w:t>
      </w:r>
    </w:p>
    <w:p>
      <w:pPr>
        <w:spacing w:before="66"/>
        <w:ind w:left="815" w:right="-16" w:firstLine="0"/>
        <w:jc w:val="left"/>
        <w:rPr>
          <w:b/>
          <w:sz w:val="18"/>
        </w:rPr>
      </w:pPr>
      <w:r>
        <w:rPr>
          <w:b/>
          <w:spacing w:val="-1"/>
          <w:sz w:val="18"/>
        </w:rPr>
        <w:t>$'000</w:t>
      </w:r>
    </w:p>
    <w:p>
      <w:pPr>
        <w:spacing w:before="66"/>
        <w:ind w:left="0" w:right="19" w:firstLine="0"/>
        <w:jc w:val="right"/>
        <w:rPr>
          <w:b/>
          <w:sz w:val="18"/>
        </w:rPr>
      </w:pPr>
      <w:r>
        <w:rPr/>
        <w:br w:type="column"/>
      </w:r>
      <w:r>
        <w:rPr>
          <w:b/>
          <w:sz w:val="18"/>
        </w:rPr>
        <w:t>2016</w:t>
      </w:r>
    </w:p>
    <w:p>
      <w:pPr>
        <w:spacing w:before="66"/>
        <w:ind w:left="0" w:right="0" w:firstLine="0"/>
        <w:jc w:val="right"/>
        <w:rPr>
          <w:b/>
          <w:sz w:val="18"/>
        </w:rPr>
      </w:pPr>
      <w:r>
        <w:rPr>
          <w:b/>
          <w:sz w:val="18"/>
        </w:rPr>
        <w:t>$'000</w:t>
      </w:r>
    </w:p>
    <w:p>
      <w:pPr>
        <w:spacing w:before="66"/>
        <w:ind w:left="837" w:right="0" w:firstLine="0"/>
        <w:jc w:val="left"/>
        <w:rPr>
          <w:b/>
          <w:sz w:val="18"/>
        </w:rPr>
      </w:pPr>
      <w:r>
        <w:rPr/>
        <w:br w:type="column"/>
      </w:r>
      <w:r>
        <w:rPr>
          <w:b/>
          <w:sz w:val="18"/>
        </w:rPr>
        <w:t>2015</w:t>
      </w:r>
    </w:p>
    <w:p>
      <w:pPr>
        <w:spacing w:before="66"/>
        <w:ind w:left="815" w:right="0" w:firstLine="0"/>
        <w:jc w:val="left"/>
        <w:rPr>
          <w:b/>
          <w:sz w:val="18"/>
        </w:rPr>
      </w:pPr>
      <w:r>
        <w:rPr>
          <w:b/>
          <w:sz w:val="18"/>
        </w:rPr>
        <w:t>$'000</w:t>
      </w:r>
    </w:p>
    <w:p>
      <w:pPr>
        <w:spacing w:after="0"/>
        <w:jc w:val="left"/>
        <w:rPr>
          <w:sz w:val="18"/>
        </w:rPr>
        <w:sectPr>
          <w:type w:val="continuous"/>
          <w:pgSz w:w="12750" w:h="17680"/>
          <w:pgMar w:top="1660" w:bottom="0" w:left="0" w:right="0"/>
          <w:cols w:num="4" w:equalWidth="0">
            <w:col w:w="6841" w:space="40"/>
            <w:col w:w="1258" w:space="40"/>
            <w:col w:w="1427" w:space="40"/>
            <w:col w:w="3104"/>
          </w:cols>
        </w:sectPr>
      </w:pPr>
    </w:p>
    <w:p>
      <w:pPr>
        <w:pStyle w:val="BodyText"/>
        <w:spacing w:before="7"/>
        <w:rPr>
          <w:b/>
          <w:sz w:val="7"/>
        </w:rPr>
      </w:pPr>
      <w:r>
        <w:rPr/>
        <w:drawing>
          <wp:anchor distT="0" distB="0" distL="0" distR="0" allowOverlap="1" layoutInCell="1" locked="0" behindDoc="0" simplePos="0" relativeHeight="4360">
            <wp:simplePos x="0" y="0"/>
            <wp:positionH relativeFrom="page">
              <wp:posOffset>-1587</wp:posOffset>
            </wp:positionH>
            <wp:positionV relativeFrom="page">
              <wp:posOffset>5534342</wp:posOffset>
            </wp:positionV>
            <wp:extent cx="135159" cy="154019"/>
            <wp:effectExtent l="0" t="0" r="0" b="0"/>
            <wp:wrapNone/>
            <wp:docPr id="273" name="image13.png" descr=""/>
            <wp:cNvGraphicFramePr>
              <a:graphicFrameLocks noChangeAspect="1"/>
            </wp:cNvGraphicFramePr>
            <a:graphic>
              <a:graphicData uri="http://schemas.openxmlformats.org/drawingml/2006/picture">
                <pic:pic>
                  <pic:nvPicPr>
                    <pic:cNvPr id="274" name="image13.png"/>
                    <pic:cNvPicPr/>
                  </pic:nvPicPr>
                  <pic:blipFill>
                    <a:blip r:embed="rId18" cstate="print"/>
                    <a:stretch>
                      <a:fillRect/>
                    </a:stretch>
                  </pic:blipFill>
                  <pic:spPr>
                    <a:xfrm>
                      <a:off x="0" y="0"/>
                      <a:ext cx="135159" cy="154019"/>
                    </a:xfrm>
                    <a:prstGeom prst="rect">
                      <a:avLst/>
                    </a:prstGeom>
                  </pic:spPr>
                </pic:pic>
              </a:graphicData>
            </a:graphic>
          </wp:anchor>
        </w:drawing>
      </w:r>
      <w:r>
        <w:rPr/>
        <w:drawing>
          <wp:anchor distT="0" distB="0" distL="0" distR="0" allowOverlap="1" layoutInCell="1" locked="0" behindDoc="0" simplePos="0" relativeHeight="4384">
            <wp:simplePos x="0" y="0"/>
            <wp:positionH relativeFrom="page">
              <wp:posOffset>7958429</wp:posOffset>
            </wp:positionH>
            <wp:positionV relativeFrom="page">
              <wp:posOffset>5534342</wp:posOffset>
            </wp:positionV>
            <wp:extent cx="135953" cy="155575"/>
            <wp:effectExtent l="0" t="0" r="0" b="0"/>
            <wp:wrapNone/>
            <wp:docPr id="275" name="image15.png" descr=""/>
            <wp:cNvGraphicFramePr>
              <a:graphicFrameLocks noChangeAspect="1"/>
            </wp:cNvGraphicFramePr>
            <a:graphic>
              <a:graphicData uri="http://schemas.openxmlformats.org/drawingml/2006/picture">
                <pic:pic>
                  <pic:nvPicPr>
                    <pic:cNvPr id="276" name="image15.png"/>
                    <pic:cNvPicPr/>
                  </pic:nvPicPr>
                  <pic:blipFill>
                    <a:blip r:embed="rId20" cstate="print"/>
                    <a:stretch>
                      <a:fillRect/>
                    </a:stretch>
                  </pic:blipFill>
                  <pic:spPr>
                    <a:xfrm>
                      <a:off x="0" y="0"/>
                      <a:ext cx="135953" cy="155575"/>
                    </a:xfrm>
                    <a:prstGeom prst="rect">
                      <a:avLst/>
                    </a:prstGeom>
                  </pic:spPr>
                </pic:pic>
              </a:graphicData>
            </a:graphic>
          </wp:anchor>
        </w:drawing>
      </w:r>
    </w:p>
    <w:tbl>
      <w:tblPr>
        <w:tblW w:w="0" w:type="auto"/>
        <w:jc w:val="left"/>
        <w:tblInd w:w="235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459"/>
        <w:gridCol w:w="1733"/>
        <w:gridCol w:w="1382"/>
        <w:gridCol w:w="1382"/>
        <w:gridCol w:w="1030"/>
      </w:tblGrid>
      <w:tr>
        <w:trPr>
          <w:trHeight w:val="514" w:hRule="exact"/>
        </w:trPr>
        <w:tc>
          <w:tcPr>
            <w:tcW w:w="3459" w:type="dxa"/>
          </w:tcPr>
          <w:p>
            <w:pPr>
              <w:pStyle w:val="TableParagraph"/>
              <w:spacing w:before="77"/>
              <w:ind w:left="35" w:right="582"/>
              <w:jc w:val="left"/>
              <w:rPr>
                <w:b/>
                <w:sz w:val="18"/>
              </w:rPr>
            </w:pPr>
            <w:r>
              <w:rPr>
                <w:b/>
                <w:sz w:val="18"/>
              </w:rPr>
              <w:t>Property development revaluation reserve</w:t>
            </w:r>
          </w:p>
        </w:tc>
        <w:tc>
          <w:tcPr>
            <w:tcW w:w="5527" w:type="dxa"/>
            <w:gridSpan w:val="4"/>
          </w:tcPr>
          <w:p>
            <w:pPr/>
          </w:p>
        </w:tc>
      </w:tr>
      <w:tr>
        <w:trPr>
          <w:trHeight w:val="250" w:hRule="exact"/>
        </w:trPr>
        <w:tc>
          <w:tcPr>
            <w:tcW w:w="3459" w:type="dxa"/>
          </w:tcPr>
          <w:p>
            <w:pPr>
              <w:pStyle w:val="TableParagraph"/>
              <w:spacing w:before="6"/>
              <w:ind w:left="35" w:right="582"/>
              <w:jc w:val="left"/>
              <w:rPr>
                <w:sz w:val="18"/>
              </w:rPr>
            </w:pPr>
            <w:r>
              <w:rPr>
                <w:sz w:val="18"/>
              </w:rPr>
              <w:t>Balance at 1 January</w:t>
            </w:r>
          </w:p>
        </w:tc>
        <w:tc>
          <w:tcPr>
            <w:tcW w:w="1733" w:type="dxa"/>
          </w:tcPr>
          <w:p>
            <w:pPr>
              <w:pStyle w:val="TableParagraph"/>
              <w:spacing w:before="4"/>
              <w:ind w:right="352"/>
              <w:rPr>
                <w:b/>
                <w:sz w:val="18"/>
              </w:rPr>
            </w:pPr>
            <w:r>
              <w:rPr>
                <w:b/>
                <w:w w:val="95"/>
                <w:sz w:val="18"/>
              </w:rPr>
              <w:t>63,429</w:t>
            </w:r>
          </w:p>
        </w:tc>
        <w:tc>
          <w:tcPr>
            <w:tcW w:w="1382" w:type="dxa"/>
          </w:tcPr>
          <w:p>
            <w:pPr>
              <w:pStyle w:val="TableParagraph"/>
              <w:spacing w:before="4"/>
              <w:ind w:right="437"/>
              <w:rPr>
                <w:sz w:val="18"/>
              </w:rPr>
            </w:pPr>
            <w:r>
              <w:rPr>
                <w:w w:val="99"/>
                <w:sz w:val="18"/>
              </w:rPr>
              <w:t>-</w:t>
            </w:r>
          </w:p>
        </w:tc>
        <w:tc>
          <w:tcPr>
            <w:tcW w:w="1382" w:type="dxa"/>
          </w:tcPr>
          <w:p>
            <w:pPr>
              <w:pStyle w:val="TableParagraph"/>
              <w:spacing w:before="4"/>
              <w:ind w:left="478"/>
              <w:jc w:val="left"/>
              <w:rPr>
                <w:b/>
                <w:sz w:val="18"/>
              </w:rPr>
            </w:pPr>
            <w:r>
              <w:rPr>
                <w:b/>
                <w:sz w:val="18"/>
              </w:rPr>
              <w:t>63,429</w:t>
            </w:r>
          </w:p>
        </w:tc>
        <w:tc>
          <w:tcPr>
            <w:tcW w:w="1030" w:type="dxa"/>
          </w:tcPr>
          <w:p>
            <w:pPr>
              <w:pStyle w:val="TableParagraph"/>
              <w:spacing w:before="4"/>
              <w:ind w:right="85"/>
              <w:rPr>
                <w:sz w:val="18"/>
              </w:rPr>
            </w:pPr>
            <w:r>
              <w:rPr>
                <w:w w:val="99"/>
                <w:sz w:val="18"/>
              </w:rPr>
              <w:t>-</w:t>
            </w:r>
          </w:p>
        </w:tc>
      </w:tr>
      <w:tr>
        <w:trPr>
          <w:trHeight w:val="467" w:hRule="exact"/>
        </w:trPr>
        <w:tc>
          <w:tcPr>
            <w:tcW w:w="3459" w:type="dxa"/>
          </w:tcPr>
          <w:p>
            <w:pPr>
              <w:pStyle w:val="TableParagraph"/>
              <w:spacing w:before="18"/>
              <w:ind w:left="35" w:right="582"/>
              <w:jc w:val="left"/>
              <w:rPr>
                <w:sz w:val="18"/>
              </w:rPr>
            </w:pPr>
            <w:r>
              <w:rPr>
                <w:sz w:val="18"/>
              </w:rPr>
              <w:t>Transfer from property, plant and equipment revaluation surplus</w:t>
            </w:r>
          </w:p>
        </w:tc>
        <w:tc>
          <w:tcPr>
            <w:tcW w:w="1733" w:type="dxa"/>
            <w:tcBorders>
              <w:bottom w:val="single" w:sz="0" w:space="0" w:color="000000"/>
            </w:tcBorders>
          </w:tcPr>
          <w:p>
            <w:pPr>
              <w:pStyle w:val="TableParagraph"/>
              <w:spacing w:before="4"/>
              <w:jc w:val="left"/>
              <w:rPr>
                <w:b/>
                <w:sz w:val="19"/>
              </w:rPr>
            </w:pPr>
          </w:p>
          <w:p>
            <w:pPr>
              <w:pStyle w:val="TableParagraph"/>
              <w:ind w:right="352"/>
              <w:rPr>
                <w:b/>
                <w:sz w:val="18"/>
              </w:rPr>
            </w:pPr>
            <w:r>
              <w:rPr>
                <w:b/>
                <w:sz w:val="18"/>
              </w:rPr>
              <w:t>8,030</w:t>
            </w:r>
          </w:p>
        </w:tc>
        <w:tc>
          <w:tcPr>
            <w:tcW w:w="1382" w:type="dxa"/>
            <w:tcBorders>
              <w:bottom w:val="single" w:sz="0" w:space="0" w:color="000000"/>
            </w:tcBorders>
          </w:tcPr>
          <w:p>
            <w:pPr>
              <w:pStyle w:val="TableParagraph"/>
              <w:spacing w:before="4"/>
              <w:jc w:val="left"/>
              <w:rPr>
                <w:b/>
                <w:sz w:val="19"/>
              </w:rPr>
            </w:pPr>
          </w:p>
          <w:p>
            <w:pPr>
              <w:pStyle w:val="TableParagraph"/>
              <w:ind w:right="436"/>
              <w:rPr>
                <w:sz w:val="18"/>
              </w:rPr>
            </w:pPr>
            <w:r>
              <w:rPr>
                <w:w w:val="95"/>
                <w:sz w:val="18"/>
              </w:rPr>
              <w:t>63,429</w:t>
            </w:r>
          </w:p>
        </w:tc>
        <w:tc>
          <w:tcPr>
            <w:tcW w:w="1382" w:type="dxa"/>
            <w:tcBorders>
              <w:bottom w:val="single" w:sz="0" w:space="0" w:color="000000"/>
            </w:tcBorders>
          </w:tcPr>
          <w:p>
            <w:pPr>
              <w:pStyle w:val="TableParagraph"/>
              <w:spacing w:before="4"/>
              <w:jc w:val="left"/>
              <w:rPr>
                <w:b/>
                <w:sz w:val="19"/>
              </w:rPr>
            </w:pPr>
          </w:p>
          <w:p>
            <w:pPr>
              <w:pStyle w:val="TableParagraph"/>
              <w:ind w:left="578"/>
              <w:jc w:val="left"/>
              <w:rPr>
                <w:b/>
                <w:sz w:val="18"/>
              </w:rPr>
            </w:pPr>
            <w:r>
              <w:rPr>
                <w:b/>
                <w:sz w:val="18"/>
              </w:rPr>
              <w:t>8,030</w:t>
            </w:r>
          </w:p>
        </w:tc>
        <w:tc>
          <w:tcPr>
            <w:tcW w:w="1030" w:type="dxa"/>
            <w:tcBorders>
              <w:bottom w:val="single" w:sz="0" w:space="0" w:color="000000"/>
            </w:tcBorders>
          </w:tcPr>
          <w:p>
            <w:pPr>
              <w:pStyle w:val="TableParagraph"/>
              <w:spacing w:before="4"/>
              <w:jc w:val="left"/>
              <w:rPr>
                <w:b/>
                <w:sz w:val="19"/>
              </w:rPr>
            </w:pPr>
          </w:p>
          <w:p>
            <w:pPr>
              <w:pStyle w:val="TableParagraph"/>
              <w:ind w:right="85"/>
              <w:rPr>
                <w:sz w:val="18"/>
              </w:rPr>
            </w:pPr>
            <w:r>
              <w:rPr>
                <w:w w:val="95"/>
                <w:sz w:val="18"/>
              </w:rPr>
              <w:t>63,429</w:t>
            </w:r>
          </w:p>
        </w:tc>
      </w:tr>
      <w:tr>
        <w:trPr>
          <w:trHeight w:val="338" w:hRule="exact"/>
        </w:trPr>
        <w:tc>
          <w:tcPr>
            <w:tcW w:w="3459" w:type="dxa"/>
          </w:tcPr>
          <w:p>
            <w:pPr>
              <w:pStyle w:val="TableParagraph"/>
              <w:spacing w:before="123"/>
              <w:ind w:left="35" w:right="582"/>
              <w:jc w:val="left"/>
              <w:rPr>
                <w:b/>
                <w:sz w:val="18"/>
              </w:rPr>
            </w:pPr>
            <w:r>
              <w:rPr>
                <w:b/>
                <w:sz w:val="18"/>
              </w:rPr>
              <w:t>Balance at 31 December</w:t>
            </w:r>
          </w:p>
        </w:tc>
        <w:tc>
          <w:tcPr>
            <w:tcW w:w="1733" w:type="dxa"/>
            <w:tcBorders>
              <w:top w:val="single" w:sz="0" w:space="0" w:color="000000"/>
              <w:bottom w:val="single" w:sz="0" w:space="0" w:color="000000"/>
            </w:tcBorders>
          </w:tcPr>
          <w:p>
            <w:pPr>
              <w:pStyle w:val="TableParagraph"/>
              <w:spacing w:before="122"/>
              <w:ind w:right="352"/>
              <w:rPr>
                <w:b/>
                <w:sz w:val="18"/>
              </w:rPr>
            </w:pPr>
            <w:r>
              <w:rPr>
                <w:b/>
                <w:w w:val="95"/>
                <w:sz w:val="18"/>
              </w:rPr>
              <w:t>71,459</w:t>
            </w:r>
          </w:p>
        </w:tc>
        <w:tc>
          <w:tcPr>
            <w:tcW w:w="1382" w:type="dxa"/>
            <w:tcBorders>
              <w:top w:val="single" w:sz="0" w:space="0" w:color="000000"/>
              <w:bottom w:val="single" w:sz="0" w:space="0" w:color="000000"/>
            </w:tcBorders>
          </w:tcPr>
          <w:p>
            <w:pPr>
              <w:pStyle w:val="TableParagraph"/>
              <w:spacing w:before="122"/>
              <w:ind w:right="436"/>
              <w:rPr>
                <w:sz w:val="18"/>
              </w:rPr>
            </w:pPr>
            <w:r>
              <w:rPr>
                <w:w w:val="95"/>
                <w:sz w:val="18"/>
              </w:rPr>
              <w:t>63,429</w:t>
            </w:r>
          </w:p>
        </w:tc>
        <w:tc>
          <w:tcPr>
            <w:tcW w:w="1382" w:type="dxa"/>
            <w:tcBorders>
              <w:top w:val="single" w:sz="0" w:space="0" w:color="000000"/>
              <w:bottom w:val="single" w:sz="0" w:space="0" w:color="000000"/>
            </w:tcBorders>
          </w:tcPr>
          <w:p>
            <w:pPr>
              <w:pStyle w:val="TableParagraph"/>
              <w:spacing w:before="122"/>
              <w:ind w:left="478"/>
              <w:jc w:val="left"/>
              <w:rPr>
                <w:b/>
                <w:sz w:val="18"/>
              </w:rPr>
            </w:pPr>
            <w:r>
              <w:rPr>
                <w:b/>
                <w:sz w:val="18"/>
              </w:rPr>
              <w:t>71,459</w:t>
            </w:r>
          </w:p>
        </w:tc>
        <w:tc>
          <w:tcPr>
            <w:tcW w:w="1030" w:type="dxa"/>
            <w:tcBorders>
              <w:top w:val="single" w:sz="0" w:space="0" w:color="000000"/>
              <w:bottom w:val="single" w:sz="0" w:space="0" w:color="000000"/>
            </w:tcBorders>
          </w:tcPr>
          <w:p>
            <w:pPr>
              <w:pStyle w:val="TableParagraph"/>
              <w:spacing w:before="122"/>
              <w:ind w:right="85"/>
              <w:rPr>
                <w:sz w:val="18"/>
              </w:rPr>
            </w:pPr>
            <w:r>
              <w:rPr>
                <w:w w:val="95"/>
                <w:sz w:val="18"/>
              </w:rPr>
              <w:t>63,429</w:t>
            </w:r>
          </w:p>
        </w:tc>
      </w:tr>
      <w:tr>
        <w:trPr>
          <w:trHeight w:val="560" w:hRule="exact"/>
        </w:trPr>
        <w:tc>
          <w:tcPr>
            <w:tcW w:w="3459" w:type="dxa"/>
          </w:tcPr>
          <w:p>
            <w:pPr>
              <w:pStyle w:val="TableParagraph"/>
              <w:spacing w:before="123"/>
              <w:ind w:left="35" w:right="803"/>
              <w:jc w:val="left"/>
              <w:rPr>
                <w:b/>
                <w:sz w:val="18"/>
              </w:rPr>
            </w:pPr>
            <w:r>
              <w:rPr>
                <w:b/>
                <w:sz w:val="18"/>
              </w:rPr>
              <w:t>Property, plant and equipment revaluation surplus</w:t>
            </w:r>
          </w:p>
        </w:tc>
        <w:tc>
          <w:tcPr>
            <w:tcW w:w="1733" w:type="dxa"/>
            <w:tcBorders>
              <w:top w:val="single" w:sz="0" w:space="0" w:color="000000"/>
            </w:tcBorders>
          </w:tcPr>
          <w:p>
            <w:pPr/>
          </w:p>
        </w:tc>
        <w:tc>
          <w:tcPr>
            <w:tcW w:w="1382" w:type="dxa"/>
            <w:tcBorders>
              <w:top w:val="single" w:sz="0" w:space="0" w:color="000000"/>
            </w:tcBorders>
          </w:tcPr>
          <w:p>
            <w:pPr/>
          </w:p>
        </w:tc>
        <w:tc>
          <w:tcPr>
            <w:tcW w:w="1382" w:type="dxa"/>
            <w:tcBorders>
              <w:top w:val="single" w:sz="0" w:space="0" w:color="000000"/>
            </w:tcBorders>
          </w:tcPr>
          <w:p>
            <w:pPr/>
          </w:p>
        </w:tc>
        <w:tc>
          <w:tcPr>
            <w:tcW w:w="1030" w:type="dxa"/>
            <w:tcBorders>
              <w:top w:val="single" w:sz="0" w:space="0" w:color="000000"/>
            </w:tcBorders>
          </w:tcPr>
          <w:p>
            <w:pPr/>
          </w:p>
        </w:tc>
      </w:tr>
      <w:tr>
        <w:trPr>
          <w:trHeight w:val="250" w:hRule="exact"/>
        </w:trPr>
        <w:tc>
          <w:tcPr>
            <w:tcW w:w="3459" w:type="dxa"/>
          </w:tcPr>
          <w:p>
            <w:pPr>
              <w:pStyle w:val="TableParagraph"/>
              <w:spacing w:before="6"/>
              <w:ind w:left="35" w:right="582"/>
              <w:jc w:val="left"/>
              <w:rPr>
                <w:sz w:val="18"/>
              </w:rPr>
            </w:pPr>
            <w:r>
              <w:rPr>
                <w:sz w:val="18"/>
              </w:rPr>
              <w:t>Balance at 1 January</w:t>
            </w:r>
          </w:p>
        </w:tc>
        <w:tc>
          <w:tcPr>
            <w:tcW w:w="1733" w:type="dxa"/>
          </w:tcPr>
          <w:p>
            <w:pPr>
              <w:pStyle w:val="TableParagraph"/>
              <w:spacing w:before="4"/>
              <w:ind w:right="352"/>
              <w:rPr>
                <w:b/>
                <w:sz w:val="18"/>
              </w:rPr>
            </w:pPr>
            <w:r>
              <w:rPr>
                <w:b/>
                <w:w w:val="95"/>
                <w:sz w:val="18"/>
              </w:rPr>
              <w:t>607,186</w:t>
            </w:r>
          </w:p>
        </w:tc>
        <w:tc>
          <w:tcPr>
            <w:tcW w:w="1382" w:type="dxa"/>
          </w:tcPr>
          <w:p>
            <w:pPr>
              <w:pStyle w:val="TableParagraph"/>
              <w:spacing w:before="4"/>
              <w:ind w:right="436"/>
              <w:rPr>
                <w:sz w:val="18"/>
              </w:rPr>
            </w:pPr>
            <w:r>
              <w:rPr>
                <w:w w:val="95"/>
                <w:sz w:val="18"/>
              </w:rPr>
              <w:t>562,282</w:t>
            </w:r>
          </w:p>
        </w:tc>
        <w:tc>
          <w:tcPr>
            <w:tcW w:w="1382" w:type="dxa"/>
          </w:tcPr>
          <w:p>
            <w:pPr>
              <w:pStyle w:val="TableParagraph"/>
              <w:spacing w:before="4"/>
              <w:ind w:left="379"/>
              <w:jc w:val="left"/>
              <w:rPr>
                <w:b/>
                <w:sz w:val="18"/>
              </w:rPr>
            </w:pPr>
            <w:r>
              <w:rPr>
                <w:b/>
                <w:sz w:val="18"/>
              </w:rPr>
              <w:t>607,011</w:t>
            </w:r>
          </w:p>
        </w:tc>
        <w:tc>
          <w:tcPr>
            <w:tcW w:w="1030" w:type="dxa"/>
          </w:tcPr>
          <w:p>
            <w:pPr>
              <w:pStyle w:val="TableParagraph"/>
              <w:spacing w:before="4"/>
              <w:ind w:right="85"/>
              <w:rPr>
                <w:sz w:val="18"/>
              </w:rPr>
            </w:pPr>
            <w:r>
              <w:rPr>
                <w:w w:val="95"/>
                <w:sz w:val="18"/>
              </w:rPr>
              <w:t>562,107</w:t>
            </w:r>
          </w:p>
        </w:tc>
      </w:tr>
      <w:tr>
        <w:trPr>
          <w:trHeight w:val="263" w:hRule="exact"/>
        </w:trPr>
        <w:tc>
          <w:tcPr>
            <w:tcW w:w="3459" w:type="dxa"/>
          </w:tcPr>
          <w:p>
            <w:pPr>
              <w:pStyle w:val="TableParagraph"/>
              <w:spacing w:before="19"/>
              <w:ind w:left="35" w:right="582"/>
              <w:jc w:val="left"/>
              <w:rPr>
                <w:sz w:val="18"/>
              </w:rPr>
            </w:pPr>
            <w:r>
              <w:rPr>
                <w:sz w:val="18"/>
              </w:rPr>
              <w:t>Revaluation - gross</w:t>
            </w:r>
          </w:p>
        </w:tc>
        <w:tc>
          <w:tcPr>
            <w:tcW w:w="1733" w:type="dxa"/>
          </w:tcPr>
          <w:p>
            <w:pPr>
              <w:pStyle w:val="TableParagraph"/>
              <w:spacing w:before="18"/>
              <w:ind w:right="352"/>
              <w:rPr>
                <w:b/>
                <w:sz w:val="18"/>
              </w:rPr>
            </w:pPr>
            <w:r>
              <w:rPr>
                <w:b/>
                <w:w w:val="95"/>
                <w:sz w:val="18"/>
              </w:rPr>
              <w:t>18,900</w:t>
            </w:r>
          </w:p>
        </w:tc>
        <w:tc>
          <w:tcPr>
            <w:tcW w:w="1382" w:type="dxa"/>
          </w:tcPr>
          <w:p>
            <w:pPr>
              <w:pStyle w:val="TableParagraph"/>
              <w:spacing w:before="18"/>
              <w:ind w:right="436"/>
              <w:rPr>
                <w:sz w:val="18"/>
              </w:rPr>
            </w:pPr>
            <w:r>
              <w:rPr>
                <w:w w:val="95"/>
                <w:sz w:val="18"/>
              </w:rPr>
              <w:t>110,168</w:t>
            </w:r>
          </w:p>
        </w:tc>
        <w:tc>
          <w:tcPr>
            <w:tcW w:w="1382" w:type="dxa"/>
          </w:tcPr>
          <w:p>
            <w:pPr>
              <w:pStyle w:val="TableParagraph"/>
              <w:spacing w:before="18"/>
              <w:ind w:left="478"/>
              <w:jc w:val="left"/>
              <w:rPr>
                <w:b/>
                <w:sz w:val="18"/>
              </w:rPr>
            </w:pPr>
            <w:r>
              <w:rPr>
                <w:b/>
                <w:sz w:val="18"/>
              </w:rPr>
              <w:t>18,879</w:t>
            </w:r>
          </w:p>
        </w:tc>
        <w:tc>
          <w:tcPr>
            <w:tcW w:w="1030" w:type="dxa"/>
          </w:tcPr>
          <w:p>
            <w:pPr>
              <w:pStyle w:val="TableParagraph"/>
              <w:spacing w:before="18"/>
              <w:ind w:right="85"/>
              <w:rPr>
                <w:sz w:val="18"/>
              </w:rPr>
            </w:pPr>
            <w:r>
              <w:rPr>
                <w:w w:val="95"/>
                <w:sz w:val="18"/>
              </w:rPr>
              <w:t>110,168</w:t>
            </w:r>
          </w:p>
        </w:tc>
      </w:tr>
      <w:tr>
        <w:trPr>
          <w:trHeight w:val="468" w:hRule="exact"/>
        </w:trPr>
        <w:tc>
          <w:tcPr>
            <w:tcW w:w="3459" w:type="dxa"/>
          </w:tcPr>
          <w:p>
            <w:pPr>
              <w:pStyle w:val="TableParagraph"/>
              <w:spacing w:before="18"/>
              <w:ind w:left="35" w:right="582"/>
              <w:jc w:val="left"/>
              <w:rPr>
                <w:sz w:val="18"/>
              </w:rPr>
            </w:pPr>
            <w:r>
              <w:rPr>
                <w:sz w:val="18"/>
              </w:rPr>
              <w:t>Write back on disposal of revalued assets</w:t>
            </w:r>
          </w:p>
        </w:tc>
        <w:tc>
          <w:tcPr>
            <w:tcW w:w="1733" w:type="dxa"/>
          </w:tcPr>
          <w:p>
            <w:pPr>
              <w:pStyle w:val="TableParagraph"/>
              <w:spacing w:before="4"/>
              <w:jc w:val="left"/>
              <w:rPr>
                <w:b/>
                <w:sz w:val="19"/>
              </w:rPr>
            </w:pPr>
          </w:p>
          <w:p>
            <w:pPr>
              <w:pStyle w:val="TableParagraph"/>
              <w:ind w:right="292"/>
              <w:rPr>
                <w:b/>
                <w:sz w:val="18"/>
              </w:rPr>
            </w:pPr>
            <w:r>
              <w:rPr>
                <w:b/>
                <w:sz w:val="18"/>
              </w:rPr>
              <w:t>(540)</w:t>
            </w:r>
          </w:p>
        </w:tc>
        <w:tc>
          <w:tcPr>
            <w:tcW w:w="1382" w:type="dxa"/>
          </w:tcPr>
          <w:p>
            <w:pPr>
              <w:pStyle w:val="TableParagraph"/>
              <w:spacing w:before="4"/>
              <w:jc w:val="left"/>
              <w:rPr>
                <w:b/>
                <w:sz w:val="19"/>
              </w:rPr>
            </w:pPr>
          </w:p>
          <w:p>
            <w:pPr>
              <w:pStyle w:val="TableParagraph"/>
              <w:ind w:right="377"/>
              <w:rPr>
                <w:sz w:val="18"/>
              </w:rPr>
            </w:pPr>
            <w:r>
              <w:rPr>
                <w:w w:val="95"/>
                <w:sz w:val="18"/>
              </w:rPr>
              <w:t>(1,835)</w:t>
            </w:r>
          </w:p>
        </w:tc>
        <w:tc>
          <w:tcPr>
            <w:tcW w:w="1382" w:type="dxa"/>
          </w:tcPr>
          <w:p>
            <w:pPr>
              <w:pStyle w:val="TableParagraph"/>
              <w:spacing w:before="4"/>
              <w:jc w:val="left"/>
              <w:rPr>
                <w:b/>
                <w:sz w:val="19"/>
              </w:rPr>
            </w:pPr>
          </w:p>
          <w:p>
            <w:pPr>
              <w:pStyle w:val="TableParagraph"/>
              <w:ind w:right="292"/>
              <w:rPr>
                <w:b/>
                <w:sz w:val="18"/>
              </w:rPr>
            </w:pPr>
            <w:r>
              <w:rPr>
                <w:b/>
                <w:sz w:val="18"/>
              </w:rPr>
              <w:t>(540)</w:t>
            </w:r>
          </w:p>
        </w:tc>
        <w:tc>
          <w:tcPr>
            <w:tcW w:w="1030" w:type="dxa"/>
          </w:tcPr>
          <w:p>
            <w:pPr>
              <w:pStyle w:val="TableParagraph"/>
              <w:spacing w:before="4"/>
              <w:jc w:val="left"/>
              <w:rPr>
                <w:b/>
                <w:sz w:val="19"/>
              </w:rPr>
            </w:pPr>
          </w:p>
          <w:p>
            <w:pPr>
              <w:pStyle w:val="TableParagraph"/>
              <w:ind w:right="25"/>
              <w:rPr>
                <w:sz w:val="18"/>
              </w:rPr>
            </w:pPr>
            <w:r>
              <w:rPr>
                <w:w w:val="95"/>
                <w:sz w:val="18"/>
              </w:rPr>
              <w:t>(1,835)</w:t>
            </w:r>
          </w:p>
        </w:tc>
      </w:tr>
      <w:tr>
        <w:trPr>
          <w:trHeight w:val="467" w:hRule="exact"/>
        </w:trPr>
        <w:tc>
          <w:tcPr>
            <w:tcW w:w="3459" w:type="dxa"/>
          </w:tcPr>
          <w:p>
            <w:pPr>
              <w:pStyle w:val="TableParagraph"/>
              <w:spacing w:before="18"/>
              <w:ind w:left="35" w:right="902"/>
              <w:jc w:val="left"/>
              <w:rPr>
                <w:sz w:val="18"/>
              </w:rPr>
            </w:pPr>
            <w:r>
              <w:rPr>
                <w:sz w:val="18"/>
              </w:rPr>
              <w:t>Transfer to assets-held-for-sale reserve</w:t>
            </w:r>
          </w:p>
        </w:tc>
        <w:tc>
          <w:tcPr>
            <w:tcW w:w="1733" w:type="dxa"/>
            <w:tcBorders>
              <w:bottom w:val="single" w:sz="0" w:space="0" w:color="000000"/>
            </w:tcBorders>
          </w:tcPr>
          <w:p>
            <w:pPr>
              <w:pStyle w:val="TableParagraph"/>
              <w:spacing w:before="4"/>
              <w:jc w:val="left"/>
              <w:rPr>
                <w:b/>
                <w:sz w:val="19"/>
              </w:rPr>
            </w:pPr>
          </w:p>
          <w:p>
            <w:pPr>
              <w:pStyle w:val="TableParagraph"/>
              <w:ind w:right="292"/>
              <w:rPr>
                <w:b/>
                <w:sz w:val="18"/>
              </w:rPr>
            </w:pPr>
            <w:r>
              <w:rPr>
                <w:b/>
                <w:w w:val="95"/>
                <w:sz w:val="18"/>
              </w:rPr>
              <w:t>(8,030)</w:t>
            </w:r>
          </w:p>
        </w:tc>
        <w:tc>
          <w:tcPr>
            <w:tcW w:w="1382" w:type="dxa"/>
            <w:tcBorders>
              <w:bottom w:val="single" w:sz="0" w:space="0" w:color="000000"/>
            </w:tcBorders>
          </w:tcPr>
          <w:p>
            <w:pPr>
              <w:pStyle w:val="TableParagraph"/>
              <w:spacing w:before="4"/>
              <w:jc w:val="left"/>
              <w:rPr>
                <w:b/>
                <w:sz w:val="19"/>
              </w:rPr>
            </w:pPr>
          </w:p>
          <w:p>
            <w:pPr>
              <w:pStyle w:val="TableParagraph"/>
              <w:ind w:right="377"/>
              <w:rPr>
                <w:sz w:val="18"/>
              </w:rPr>
            </w:pPr>
            <w:r>
              <w:rPr>
                <w:w w:val="95"/>
                <w:sz w:val="18"/>
              </w:rPr>
              <w:t>(63,429)</w:t>
            </w:r>
          </w:p>
        </w:tc>
        <w:tc>
          <w:tcPr>
            <w:tcW w:w="1382" w:type="dxa"/>
            <w:tcBorders>
              <w:bottom w:val="single" w:sz="0" w:space="0" w:color="000000"/>
            </w:tcBorders>
          </w:tcPr>
          <w:p>
            <w:pPr>
              <w:pStyle w:val="TableParagraph"/>
              <w:spacing w:before="4"/>
              <w:jc w:val="left"/>
              <w:rPr>
                <w:b/>
                <w:sz w:val="19"/>
              </w:rPr>
            </w:pPr>
          </w:p>
          <w:p>
            <w:pPr>
              <w:pStyle w:val="TableParagraph"/>
              <w:ind w:right="292"/>
              <w:rPr>
                <w:b/>
                <w:sz w:val="18"/>
              </w:rPr>
            </w:pPr>
            <w:r>
              <w:rPr>
                <w:b/>
                <w:w w:val="95"/>
                <w:sz w:val="18"/>
              </w:rPr>
              <w:t>(8,030)</w:t>
            </w:r>
          </w:p>
        </w:tc>
        <w:tc>
          <w:tcPr>
            <w:tcW w:w="1030" w:type="dxa"/>
            <w:tcBorders>
              <w:bottom w:val="single" w:sz="0" w:space="0" w:color="000000"/>
            </w:tcBorders>
          </w:tcPr>
          <w:p>
            <w:pPr>
              <w:pStyle w:val="TableParagraph"/>
              <w:spacing w:before="4"/>
              <w:jc w:val="left"/>
              <w:rPr>
                <w:b/>
                <w:sz w:val="19"/>
              </w:rPr>
            </w:pPr>
          </w:p>
          <w:p>
            <w:pPr>
              <w:pStyle w:val="TableParagraph"/>
              <w:ind w:right="25"/>
              <w:rPr>
                <w:sz w:val="18"/>
              </w:rPr>
            </w:pPr>
            <w:r>
              <w:rPr>
                <w:w w:val="95"/>
                <w:sz w:val="18"/>
              </w:rPr>
              <w:t>(63,429)</w:t>
            </w:r>
          </w:p>
        </w:tc>
      </w:tr>
      <w:tr>
        <w:trPr>
          <w:trHeight w:val="338" w:hRule="exact"/>
        </w:trPr>
        <w:tc>
          <w:tcPr>
            <w:tcW w:w="3459" w:type="dxa"/>
          </w:tcPr>
          <w:p>
            <w:pPr>
              <w:pStyle w:val="TableParagraph"/>
              <w:spacing w:before="123"/>
              <w:ind w:left="35" w:right="582"/>
              <w:jc w:val="left"/>
              <w:rPr>
                <w:b/>
                <w:sz w:val="18"/>
              </w:rPr>
            </w:pPr>
            <w:r>
              <w:rPr>
                <w:b/>
                <w:sz w:val="18"/>
              </w:rPr>
              <w:t>Balance at 31 December</w:t>
            </w:r>
          </w:p>
        </w:tc>
        <w:tc>
          <w:tcPr>
            <w:tcW w:w="1733" w:type="dxa"/>
            <w:tcBorders>
              <w:top w:val="single" w:sz="0" w:space="0" w:color="000000"/>
              <w:bottom w:val="single" w:sz="0" w:space="0" w:color="000000"/>
            </w:tcBorders>
          </w:tcPr>
          <w:p>
            <w:pPr>
              <w:pStyle w:val="TableParagraph"/>
              <w:spacing w:before="122"/>
              <w:ind w:right="352"/>
              <w:rPr>
                <w:b/>
                <w:sz w:val="18"/>
              </w:rPr>
            </w:pPr>
            <w:r>
              <w:rPr>
                <w:b/>
                <w:w w:val="95"/>
                <w:sz w:val="18"/>
              </w:rPr>
              <w:t>617,516</w:t>
            </w:r>
          </w:p>
        </w:tc>
        <w:tc>
          <w:tcPr>
            <w:tcW w:w="1382" w:type="dxa"/>
            <w:tcBorders>
              <w:top w:val="single" w:sz="0" w:space="0" w:color="000000"/>
              <w:bottom w:val="single" w:sz="0" w:space="0" w:color="000000"/>
            </w:tcBorders>
          </w:tcPr>
          <w:p>
            <w:pPr>
              <w:pStyle w:val="TableParagraph"/>
              <w:spacing w:before="122"/>
              <w:ind w:right="436"/>
              <w:rPr>
                <w:sz w:val="18"/>
              </w:rPr>
            </w:pPr>
            <w:r>
              <w:rPr>
                <w:w w:val="95"/>
                <w:sz w:val="18"/>
              </w:rPr>
              <w:t>607,186</w:t>
            </w:r>
          </w:p>
        </w:tc>
        <w:tc>
          <w:tcPr>
            <w:tcW w:w="1382" w:type="dxa"/>
            <w:tcBorders>
              <w:top w:val="single" w:sz="0" w:space="0" w:color="000000"/>
              <w:bottom w:val="single" w:sz="0" w:space="0" w:color="000000"/>
            </w:tcBorders>
          </w:tcPr>
          <w:p>
            <w:pPr>
              <w:pStyle w:val="TableParagraph"/>
              <w:spacing w:before="122"/>
              <w:ind w:left="379"/>
              <w:jc w:val="left"/>
              <w:rPr>
                <w:b/>
                <w:sz w:val="18"/>
              </w:rPr>
            </w:pPr>
            <w:r>
              <w:rPr>
                <w:b/>
                <w:sz w:val="18"/>
              </w:rPr>
              <w:t>617,320</w:t>
            </w:r>
          </w:p>
        </w:tc>
        <w:tc>
          <w:tcPr>
            <w:tcW w:w="1030" w:type="dxa"/>
            <w:tcBorders>
              <w:top w:val="single" w:sz="0" w:space="0" w:color="000000"/>
              <w:bottom w:val="single" w:sz="0" w:space="0" w:color="000000"/>
            </w:tcBorders>
          </w:tcPr>
          <w:p>
            <w:pPr>
              <w:pStyle w:val="TableParagraph"/>
              <w:spacing w:before="122"/>
              <w:ind w:right="85"/>
              <w:rPr>
                <w:sz w:val="18"/>
              </w:rPr>
            </w:pPr>
            <w:r>
              <w:rPr>
                <w:w w:val="95"/>
                <w:sz w:val="18"/>
              </w:rPr>
              <w:t>607,011</w:t>
            </w:r>
          </w:p>
        </w:tc>
      </w:tr>
      <w:tr>
        <w:trPr>
          <w:trHeight w:val="560" w:hRule="exact"/>
        </w:trPr>
        <w:tc>
          <w:tcPr>
            <w:tcW w:w="3459" w:type="dxa"/>
          </w:tcPr>
          <w:p>
            <w:pPr>
              <w:pStyle w:val="TableParagraph"/>
              <w:spacing w:before="123"/>
              <w:ind w:left="35" w:right="1023"/>
              <w:jc w:val="left"/>
              <w:rPr>
                <w:b/>
                <w:sz w:val="18"/>
              </w:rPr>
            </w:pPr>
            <w:r>
              <w:rPr>
                <w:b/>
                <w:sz w:val="18"/>
              </w:rPr>
              <w:t>State superannuation funds revaluation reserve</w:t>
            </w:r>
          </w:p>
        </w:tc>
        <w:tc>
          <w:tcPr>
            <w:tcW w:w="1733" w:type="dxa"/>
            <w:tcBorders>
              <w:top w:val="single" w:sz="0" w:space="0" w:color="000000"/>
            </w:tcBorders>
          </w:tcPr>
          <w:p>
            <w:pPr/>
          </w:p>
        </w:tc>
        <w:tc>
          <w:tcPr>
            <w:tcW w:w="1382" w:type="dxa"/>
            <w:tcBorders>
              <w:top w:val="single" w:sz="0" w:space="0" w:color="000000"/>
            </w:tcBorders>
          </w:tcPr>
          <w:p>
            <w:pPr/>
          </w:p>
        </w:tc>
        <w:tc>
          <w:tcPr>
            <w:tcW w:w="1382" w:type="dxa"/>
            <w:tcBorders>
              <w:top w:val="single" w:sz="0" w:space="0" w:color="000000"/>
            </w:tcBorders>
          </w:tcPr>
          <w:p>
            <w:pPr/>
          </w:p>
        </w:tc>
        <w:tc>
          <w:tcPr>
            <w:tcW w:w="1030" w:type="dxa"/>
            <w:tcBorders>
              <w:top w:val="single" w:sz="0" w:space="0" w:color="000000"/>
            </w:tcBorders>
          </w:tcPr>
          <w:p>
            <w:pPr/>
          </w:p>
        </w:tc>
      </w:tr>
      <w:tr>
        <w:trPr>
          <w:trHeight w:val="250" w:hRule="exact"/>
        </w:trPr>
        <w:tc>
          <w:tcPr>
            <w:tcW w:w="3459" w:type="dxa"/>
          </w:tcPr>
          <w:p>
            <w:pPr>
              <w:pStyle w:val="TableParagraph"/>
              <w:spacing w:before="6"/>
              <w:ind w:left="35" w:right="582"/>
              <w:jc w:val="left"/>
              <w:rPr>
                <w:sz w:val="18"/>
              </w:rPr>
            </w:pPr>
            <w:r>
              <w:rPr>
                <w:sz w:val="18"/>
              </w:rPr>
              <w:t>Balance at 1 January</w:t>
            </w:r>
          </w:p>
        </w:tc>
        <w:tc>
          <w:tcPr>
            <w:tcW w:w="1733" w:type="dxa"/>
          </w:tcPr>
          <w:p>
            <w:pPr>
              <w:pStyle w:val="TableParagraph"/>
              <w:spacing w:before="4"/>
              <w:ind w:right="292"/>
              <w:rPr>
                <w:b/>
                <w:sz w:val="18"/>
              </w:rPr>
            </w:pPr>
            <w:r>
              <w:rPr>
                <w:b/>
                <w:sz w:val="18"/>
              </w:rPr>
              <w:t>(280)</w:t>
            </w:r>
          </w:p>
        </w:tc>
        <w:tc>
          <w:tcPr>
            <w:tcW w:w="1382" w:type="dxa"/>
          </w:tcPr>
          <w:p>
            <w:pPr>
              <w:pStyle w:val="TableParagraph"/>
              <w:spacing w:before="4"/>
              <w:ind w:right="437"/>
              <w:rPr>
                <w:sz w:val="18"/>
              </w:rPr>
            </w:pPr>
            <w:r>
              <w:rPr>
                <w:w w:val="99"/>
                <w:sz w:val="18"/>
              </w:rPr>
              <w:t>-</w:t>
            </w:r>
          </w:p>
        </w:tc>
        <w:tc>
          <w:tcPr>
            <w:tcW w:w="1382" w:type="dxa"/>
          </w:tcPr>
          <w:p>
            <w:pPr>
              <w:pStyle w:val="TableParagraph"/>
              <w:spacing w:before="4"/>
              <w:ind w:right="292"/>
              <w:rPr>
                <w:b/>
                <w:sz w:val="18"/>
              </w:rPr>
            </w:pPr>
            <w:r>
              <w:rPr>
                <w:b/>
                <w:sz w:val="18"/>
              </w:rPr>
              <w:t>(280)</w:t>
            </w:r>
          </w:p>
        </w:tc>
        <w:tc>
          <w:tcPr>
            <w:tcW w:w="1030" w:type="dxa"/>
          </w:tcPr>
          <w:p>
            <w:pPr>
              <w:pStyle w:val="TableParagraph"/>
              <w:spacing w:before="4"/>
              <w:ind w:right="85"/>
              <w:rPr>
                <w:sz w:val="18"/>
              </w:rPr>
            </w:pPr>
            <w:r>
              <w:rPr>
                <w:w w:val="99"/>
                <w:sz w:val="18"/>
              </w:rPr>
              <w:t>-</w:t>
            </w:r>
          </w:p>
        </w:tc>
      </w:tr>
      <w:tr>
        <w:trPr>
          <w:trHeight w:val="262" w:hRule="exact"/>
        </w:trPr>
        <w:tc>
          <w:tcPr>
            <w:tcW w:w="3459" w:type="dxa"/>
          </w:tcPr>
          <w:p>
            <w:pPr>
              <w:pStyle w:val="TableParagraph"/>
              <w:spacing w:before="19"/>
              <w:ind w:left="35" w:right="582"/>
              <w:jc w:val="left"/>
              <w:rPr>
                <w:sz w:val="18"/>
              </w:rPr>
            </w:pPr>
            <w:r>
              <w:rPr>
                <w:sz w:val="18"/>
              </w:rPr>
              <w:t>Revaluation - gross</w:t>
            </w:r>
          </w:p>
        </w:tc>
        <w:tc>
          <w:tcPr>
            <w:tcW w:w="1733" w:type="dxa"/>
            <w:tcBorders>
              <w:bottom w:val="single" w:sz="0" w:space="0" w:color="000000"/>
            </w:tcBorders>
          </w:tcPr>
          <w:p>
            <w:pPr>
              <w:pStyle w:val="TableParagraph"/>
              <w:spacing w:before="18"/>
              <w:ind w:right="292"/>
              <w:rPr>
                <w:b/>
                <w:sz w:val="18"/>
              </w:rPr>
            </w:pPr>
            <w:r>
              <w:rPr>
                <w:b/>
                <w:sz w:val="18"/>
              </w:rPr>
              <w:t>(366)</w:t>
            </w:r>
          </w:p>
        </w:tc>
        <w:tc>
          <w:tcPr>
            <w:tcW w:w="1382" w:type="dxa"/>
            <w:tcBorders>
              <w:bottom w:val="single" w:sz="0" w:space="0" w:color="000000"/>
            </w:tcBorders>
          </w:tcPr>
          <w:p>
            <w:pPr>
              <w:pStyle w:val="TableParagraph"/>
              <w:spacing w:before="18"/>
              <w:ind w:right="377"/>
              <w:rPr>
                <w:sz w:val="18"/>
              </w:rPr>
            </w:pPr>
            <w:r>
              <w:rPr>
                <w:sz w:val="18"/>
              </w:rPr>
              <w:t>(280)</w:t>
            </w:r>
          </w:p>
        </w:tc>
        <w:tc>
          <w:tcPr>
            <w:tcW w:w="1382" w:type="dxa"/>
            <w:tcBorders>
              <w:bottom w:val="single" w:sz="0" w:space="0" w:color="000000"/>
            </w:tcBorders>
          </w:tcPr>
          <w:p>
            <w:pPr>
              <w:pStyle w:val="TableParagraph"/>
              <w:spacing w:before="18"/>
              <w:ind w:right="292"/>
              <w:rPr>
                <w:b/>
                <w:sz w:val="18"/>
              </w:rPr>
            </w:pPr>
            <w:r>
              <w:rPr>
                <w:b/>
                <w:sz w:val="18"/>
              </w:rPr>
              <w:t>(366)</w:t>
            </w:r>
          </w:p>
        </w:tc>
        <w:tc>
          <w:tcPr>
            <w:tcW w:w="1030" w:type="dxa"/>
            <w:tcBorders>
              <w:bottom w:val="single" w:sz="0" w:space="0" w:color="000000"/>
            </w:tcBorders>
          </w:tcPr>
          <w:p>
            <w:pPr>
              <w:pStyle w:val="TableParagraph"/>
              <w:spacing w:before="18"/>
              <w:ind w:right="26"/>
              <w:rPr>
                <w:sz w:val="18"/>
              </w:rPr>
            </w:pPr>
            <w:r>
              <w:rPr>
                <w:sz w:val="18"/>
              </w:rPr>
              <w:t>(280)</w:t>
            </w:r>
          </w:p>
        </w:tc>
      </w:tr>
      <w:tr>
        <w:trPr>
          <w:trHeight w:val="338" w:hRule="exact"/>
        </w:trPr>
        <w:tc>
          <w:tcPr>
            <w:tcW w:w="3459" w:type="dxa"/>
          </w:tcPr>
          <w:p>
            <w:pPr>
              <w:pStyle w:val="TableParagraph"/>
              <w:spacing w:before="123"/>
              <w:ind w:left="35" w:right="582"/>
              <w:jc w:val="left"/>
              <w:rPr>
                <w:b/>
                <w:sz w:val="18"/>
              </w:rPr>
            </w:pPr>
            <w:r>
              <w:rPr>
                <w:b/>
                <w:sz w:val="18"/>
              </w:rPr>
              <w:t>Balance at 31 December</w:t>
            </w:r>
          </w:p>
        </w:tc>
        <w:tc>
          <w:tcPr>
            <w:tcW w:w="1733" w:type="dxa"/>
            <w:tcBorders>
              <w:top w:val="single" w:sz="0" w:space="0" w:color="000000"/>
              <w:bottom w:val="single" w:sz="0" w:space="0" w:color="000000"/>
            </w:tcBorders>
          </w:tcPr>
          <w:p>
            <w:pPr>
              <w:pStyle w:val="TableParagraph"/>
              <w:spacing w:before="122"/>
              <w:ind w:right="292"/>
              <w:rPr>
                <w:b/>
                <w:sz w:val="18"/>
              </w:rPr>
            </w:pPr>
            <w:r>
              <w:rPr>
                <w:b/>
                <w:sz w:val="18"/>
              </w:rPr>
              <w:t>(646)</w:t>
            </w:r>
          </w:p>
        </w:tc>
        <w:tc>
          <w:tcPr>
            <w:tcW w:w="1382" w:type="dxa"/>
            <w:tcBorders>
              <w:top w:val="single" w:sz="0" w:space="0" w:color="000000"/>
              <w:bottom w:val="single" w:sz="0" w:space="0" w:color="000000"/>
            </w:tcBorders>
          </w:tcPr>
          <w:p>
            <w:pPr>
              <w:pStyle w:val="TableParagraph"/>
              <w:spacing w:before="122"/>
              <w:ind w:right="377"/>
              <w:rPr>
                <w:sz w:val="18"/>
              </w:rPr>
            </w:pPr>
            <w:r>
              <w:rPr>
                <w:sz w:val="18"/>
              </w:rPr>
              <w:t>(280)</w:t>
            </w:r>
          </w:p>
        </w:tc>
        <w:tc>
          <w:tcPr>
            <w:tcW w:w="1382" w:type="dxa"/>
            <w:tcBorders>
              <w:top w:val="single" w:sz="0" w:space="0" w:color="000000"/>
              <w:bottom w:val="single" w:sz="0" w:space="0" w:color="000000"/>
            </w:tcBorders>
          </w:tcPr>
          <w:p>
            <w:pPr>
              <w:pStyle w:val="TableParagraph"/>
              <w:spacing w:before="122"/>
              <w:ind w:right="292"/>
              <w:rPr>
                <w:b/>
                <w:sz w:val="18"/>
              </w:rPr>
            </w:pPr>
            <w:r>
              <w:rPr>
                <w:b/>
                <w:sz w:val="18"/>
              </w:rPr>
              <w:t>(646)</w:t>
            </w:r>
          </w:p>
        </w:tc>
        <w:tc>
          <w:tcPr>
            <w:tcW w:w="1030" w:type="dxa"/>
            <w:tcBorders>
              <w:top w:val="single" w:sz="0" w:space="0" w:color="000000"/>
              <w:bottom w:val="single" w:sz="0" w:space="0" w:color="000000"/>
            </w:tcBorders>
          </w:tcPr>
          <w:p>
            <w:pPr>
              <w:pStyle w:val="TableParagraph"/>
              <w:spacing w:before="122"/>
              <w:ind w:right="26"/>
              <w:rPr>
                <w:sz w:val="18"/>
              </w:rPr>
            </w:pPr>
            <w:r>
              <w:rPr>
                <w:sz w:val="18"/>
              </w:rPr>
              <w:t>(280)</w:t>
            </w:r>
          </w:p>
        </w:tc>
      </w:tr>
      <w:tr>
        <w:trPr>
          <w:trHeight w:val="354" w:hRule="exact"/>
        </w:trPr>
        <w:tc>
          <w:tcPr>
            <w:tcW w:w="3459" w:type="dxa"/>
          </w:tcPr>
          <w:p>
            <w:pPr>
              <w:pStyle w:val="TableParagraph"/>
              <w:spacing w:before="123"/>
              <w:ind w:left="35" w:right="582"/>
              <w:jc w:val="left"/>
              <w:rPr>
                <w:b/>
                <w:sz w:val="18"/>
              </w:rPr>
            </w:pPr>
            <w:r>
              <w:rPr>
                <w:b/>
                <w:sz w:val="18"/>
              </w:rPr>
              <w:t>Investment revaluation reserve</w:t>
            </w:r>
          </w:p>
        </w:tc>
        <w:tc>
          <w:tcPr>
            <w:tcW w:w="1733" w:type="dxa"/>
            <w:tcBorders>
              <w:top w:val="single" w:sz="0" w:space="0" w:color="000000"/>
            </w:tcBorders>
          </w:tcPr>
          <w:p>
            <w:pPr/>
          </w:p>
        </w:tc>
        <w:tc>
          <w:tcPr>
            <w:tcW w:w="1382" w:type="dxa"/>
            <w:tcBorders>
              <w:top w:val="single" w:sz="0" w:space="0" w:color="000000"/>
            </w:tcBorders>
          </w:tcPr>
          <w:p>
            <w:pPr/>
          </w:p>
        </w:tc>
        <w:tc>
          <w:tcPr>
            <w:tcW w:w="1382" w:type="dxa"/>
            <w:tcBorders>
              <w:top w:val="single" w:sz="0" w:space="0" w:color="000000"/>
            </w:tcBorders>
          </w:tcPr>
          <w:p>
            <w:pPr/>
          </w:p>
        </w:tc>
        <w:tc>
          <w:tcPr>
            <w:tcW w:w="1030" w:type="dxa"/>
            <w:tcBorders>
              <w:top w:val="single" w:sz="0" w:space="0" w:color="000000"/>
            </w:tcBorders>
          </w:tcPr>
          <w:p>
            <w:pPr/>
          </w:p>
        </w:tc>
      </w:tr>
      <w:tr>
        <w:trPr>
          <w:trHeight w:val="250" w:hRule="exact"/>
        </w:trPr>
        <w:tc>
          <w:tcPr>
            <w:tcW w:w="3459" w:type="dxa"/>
          </w:tcPr>
          <w:p>
            <w:pPr>
              <w:pStyle w:val="TableParagraph"/>
              <w:spacing w:before="6"/>
              <w:ind w:left="35" w:right="582"/>
              <w:jc w:val="left"/>
              <w:rPr>
                <w:sz w:val="18"/>
              </w:rPr>
            </w:pPr>
            <w:r>
              <w:rPr>
                <w:sz w:val="18"/>
              </w:rPr>
              <w:t>Balance at 1 January</w:t>
            </w:r>
          </w:p>
        </w:tc>
        <w:tc>
          <w:tcPr>
            <w:tcW w:w="1733" w:type="dxa"/>
          </w:tcPr>
          <w:p>
            <w:pPr>
              <w:pStyle w:val="TableParagraph"/>
              <w:spacing w:before="4"/>
              <w:ind w:right="352"/>
              <w:rPr>
                <w:b/>
                <w:sz w:val="18"/>
              </w:rPr>
            </w:pPr>
            <w:r>
              <w:rPr>
                <w:b/>
                <w:w w:val="95"/>
                <w:sz w:val="18"/>
              </w:rPr>
              <w:t>12,043</w:t>
            </w:r>
          </w:p>
        </w:tc>
        <w:tc>
          <w:tcPr>
            <w:tcW w:w="1382" w:type="dxa"/>
          </w:tcPr>
          <w:p>
            <w:pPr>
              <w:pStyle w:val="TableParagraph"/>
              <w:spacing w:before="4"/>
              <w:ind w:right="436"/>
              <w:rPr>
                <w:sz w:val="18"/>
              </w:rPr>
            </w:pPr>
            <w:r>
              <w:rPr>
                <w:w w:val="95"/>
                <w:sz w:val="18"/>
              </w:rPr>
              <w:t>11,188</w:t>
            </w:r>
          </w:p>
        </w:tc>
        <w:tc>
          <w:tcPr>
            <w:tcW w:w="1382" w:type="dxa"/>
          </w:tcPr>
          <w:p>
            <w:pPr>
              <w:pStyle w:val="TableParagraph"/>
              <w:spacing w:before="4"/>
              <w:ind w:left="578"/>
              <w:jc w:val="left"/>
              <w:rPr>
                <w:b/>
                <w:sz w:val="18"/>
              </w:rPr>
            </w:pPr>
            <w:r>
              <w:rPr>
                <w:b/>
                <w:sz w:val="18"/>
              </w:rPr>
              <w:t>7,990</w:t>
            </w:r>
          </w:p>
        </w:tc>
        <w:tc>
          <w:tcPr>
            <w:tcW w:w="1030" w:type="dxa"/>
          </w:tcPr>
          <w:p>
            <w:pPr>
              <w:pStyle w:val="TableParagraph"/>
              <w:spacing w:before="4"/>
              <w:ind w:right="85"/>
              <w:rPr>
                <w:sz w:val="18"/>
              </w:rPr>
            </w:pPr>
            <w:r>
              <w:rPr>
                <w:sz w:val="18"/>
              </w:rPr>
              <w:t>7,135</w:t>
            </w:r>
          </w:p>
        </w:tc>
      </w:tr>
      <w:tr>
        <w:trPr>
          <w:trHeight w:val="262" w:hRule="exact"/>
        </w:trPr>
        <w:tc>
          <w:tcPr>
            <w:tcW w:w="3459" w:type="dxa"/>
          </w:tcPr>
          <w:p>
            <w:pPr>
              <w:pStyle w:val="TableParagraph"/>
              <w:spacing w:before="19"/>
              <w:ind w:left="35" w:right="582"/>
              <w:jc w:val="left"/>
              <w:rPr>
                <w:sz w:val="18"/>
              </w:rPr>
            </w:pPr>
            <w:r>
              <w:rPr>
                <w:sz w:val="18"/>
              </w:rPr>
              <w:t>Revaluation - gross</w:t>
            </w:r>
          </w:p>
        </w:tc>
        <w:tc>
          <w:tcPr>
            <w:tcW w:w="1733" w:type="dxa"/>
            <w:tcBorders>
              <w:bottom w:val="single" w:sz="0" w:space="0" w:color="000000"/>
            </w:tcBorders>
          </w:tcPr>
          <w:p>
            <w:pPr>
              <w:pStyle w:val="TableParagraph"/>
              <w:spacing w:before="18"/>
              <w:ind w:right="352"/>
              <w:rPr>
                <w:b/>
                <w:sz w:val="18"/>
              </w:rPr>
            </w:pPr>
            <w:r>
              <w:rPr>
                <w:b/>
                <w:sz w:val="18"/>
              </w:rPr>
              <w:t>4,724</w:t>
            </w:r>
          </w:p>
        </w:tc>
        <w:tc>
          <w:tcPr>
            <w:tcW w:w="1382" w:type="dxa"/>
            <w:tcBorders>
              <w:bottom w:val="single" w:sz="0" w:space="0" w:color="000000"/>
            </w:tcBorders>
          </w:tcPr>
          <w:p>
            <w:pPr>
              <w:pStyle w:val="TableParagraph"/>
              <w:spacing w:before="18"/>
              <w:ind w:right="437"/>
              <w:rPr>
                <w:sz w:val="18"/>
              </w:rPr>
            </w:pPr>
            <w:r>
              <w:rPr>
                <w:sz w:val="18"/>
              </w:rPr>
              <w:t>855</w:t>
            </w:r>
          </w:p>
        </w:tc>
        <w:tc>
          <w:tcPr>
            <w:tcW w:w="1382" w:type="dxa"/>
            <w:tcBorders>
              <w:bottom w:val="single" w:sz="0" w:space="0" w:color="000000"/>
            </w:tcBorders>
          </w:tcPr>
          <w:p>
            <w:pPr>
              <w:pStyle w:val="TableParagraph"/>
              <w:spacing w:before="18"/>
              <w:ind w:left="578"/>
              <w:jc w:val="left"/>
              <w:rPr>
                <w:b/>
                <w:sz w:val="18"/>
              </w:rPr>
            </w:pPr>
            <w:r>
              <w:rPr>
                <w:b/>
                <w:sz w:val="18"/>
              </w:rPr>
              <w:t>4,724</w:t>
            </w:r>
          </w:p>
        </w:tc>
        <w:tc>
          <w:tcPr>
            <w:tcW w:w="1030" w:type="dxa"/>
            <w:tcBorders>
              <w:bottom w:val="single" w:sz="0" w:space="0" w:color="000000"/>
            </w:tcBorders>
          </w:tcPr>
          <w:p>
            <w:pPr>
              <w:pStyle w:val="TableParagraph"/>
              <w:spacing w:before="18"/>
              <w:ind w:right="85"/>
              <w:rPr>
                <w:sz w:val="18"/>
              </w:rPr>
            </w:pPr>
            <w:r>
              <w:rPr>
                <w:sz w:val="18"/>
              </w:rPr>
              <w:t>855</w:t>
            </w:r>
          </w:p>
        </w:tc>
      </w:tr>
      <w:tr>
        <w:trPr>
          <w:trHeight w:val="338" w:hRule="exact"/>
        </w:trPr>
        <w:tc>
          <w:tcPr>
            <w:tcW w:w="3459" w:type="dxa"/>
          </w:tcPr>
          <w:p>
            <w:pPr>
              <w:pStyle w:val="TableParagraph"/>
              <w:spacing w:before="123"/>
              <w:ind w:left="35" w:right="582"/>
              <w:jc w:val="left"/>
              <w:rPr>
                <w:b/>
                <w:sz w:val="18"/>
              </w:rPr>
            </w:pPr>
            <w:r>
              <w:rPr>
                <w:b/>
                <w:sz w:val="18"/>
              </w:rPr>
              <w:t>Balance at 31 December</w:t>
            </w:r>
          </w:p>
        </w:tc>
        <w:tc>
          <w:tcPr>
            <w:tcW w:w="1733" w:type="dxa"/>
            <w:tcBorders>
              <w:top w:val="single" w:sz="0" w:space="0" w:color="000000"/>
              <w:bottom w:val="single" w:sz="0" w:space="0" w:color="000000"/>
            </w:tcBorders>
          </w:tcPr>
          <w:p>
            <w:pPr>
              <w:pStyle w:val="TableParagraph"/>
              <w:spacing w:before="122"/>
              <w:ind w:right="352"/>
              <w:rPr>
                <w:b/>
                <w:sz w:val="18"/>
              </w:rPr>
            </w:pPr>
            <w:r>
              <w:rPr>
                <w:b/>
                <w:w w:val="95"/>
                <w:sz w:val="18"/>
              </w:rPr>
              <w:t>16,767</w:t>
            </w:r>
          </w:p>
        </w:tc>
        <w:tc>
          <w:tcPr>
            <w:tcW w:w="1382" w:type="dxa"/>
            <w:tcBorders>
              <w:top w:val="single" w:sz="0" w:space="0" w:color="000000"/>
              <w:bottom w:val="single" w:sz="0" w:space="0" w:color="000000"/>
            </w:tcBorders>
          </w:tcPr>
          <w:p>
            <w:pPr>
              <w:pStyle w:val="TableParagraph"/>
              <w:spacing w:before="122"/>
              <w:ind w:right="436"/>
              <w:rPr>
                <w:sz w:val="18"/>
              </w:rPr>
            </w:pPr>
            <w:r>
              <w:rPr>
                <w:w w:val="95"/>
                <w:sz w:val="18"/>
              </w:rPr>
              <w:t>12,043</w:t>
            </w:r>
          </w:p>
        </w:tc>
        <w:tc>
          <w:tcPr>
            <w:tcW w:w="1382" w:type="dxa"/>
            <w:tcBorders>
              <w:top w:val="single" w:sz="0" w:space="0" w:color="000000"/>
              <w:bottom w:val="single" w:sz="0" w:space="0" w:color="000000"/>
            </w:tcBorders>
          </w:tcPr>
          <w:p>
            <w:pPr>
              <w:pStyle w:val="TableParagraph"/>
              <w:spacing w:before="122"/>
              <w:ind w:left="478"/>
              <w:jc w:val="left"/>
              <w:rPr>
                <w:b/>
                <w:sz w:val="18"/>
              </w:rPr>
            </w:pPr>
            <w:r>
              <w:rPr>
                <w:b/>
                <w:sz w:val="18"/>
              </w:rPr>
              <w:t>12,714</w:t>
            </w:r>
          </w:p>
        </w:tc>
        <w:tc>
          <w:tcPr>
            <w:tcW w:w="1030" w:type="dxa"/>
            <w:tcBorders>
              <w:top w:val="single" w:sz="0" w:space="0" w:color="000000"/>
              <w:bottom w:val="single" w:sz="0" w:space="0" w:color="000000"/>
            </w:tcBorders>
          </w:tcPr>
          <w:p>
            <w:pPr>
              <w:pStyle w:val="TableParagraph"/>
              <w:spacing w:before="122"/>
              <w:ind w:right="85"/>
              <w:rPr>
                <w:sz w:val="18"/>
              </w:rPr>
            </w:pPr>
            <w:r>
              <w:rPr>
                <w:sz w:val="18"/>
              </w:rPr>
              <w:t>7,990</w:t>
            </w:r>
          </w:p>
        </w:tc>
      </w:tr>
      <w:tr>
        <w:trPr>
          <w:trHeight w:val="354" w:hRule="exact"/>
        </w:trPr>
        <w:tc>
          <w:tcPr>
            <w:tcW w:w="3459" w:type="dxa"/>
          </w:tcPr>
          <w:p>
            <w:pPr>
              <w:pStyle w:val="TableParagraph"/>
              <w:spacing w:before="123"/>
              <w:ind w:left="35" w:right="582"/>
              <w:jc w:val="left"/>
              <w:rPr>
                <w:b/>
                <w:sz w:val="18"/>
              </w:rPr>
            </w:pPr>
            <w:r>
              <w:rPr>
                <w:b/>
                <w:sz w:val="18"/>
              </w:rPr>
              <w:t>Art work revaluation reserve</w:t>
            </w:r>
          </w:p>
        </w:tc>
        <w:tc>
          <w:tcPr>
            <w:tcW w:w="1733" w:type="dxa"/>
            <w:tcBorders>
              <w:top w:val="single" w:sz="0" w:space="0" w:color="000000"/>
            </w:tcBorders>
          </w:tcPr>
          <w:p>
            <w:pPr/>
          </w:p>
        </w:tc>
        <w:tc>
          <w:tcPr>
            <w:tcW w:w="1382" w:type="dxa"/>
            <w:tcBorders>
              <w:top w:val="single" w:sz="0" w:space="0" w:color="000000"/>
            </w:tcBorders>
          </w:tcPr>
          <w:p>
            <w:pPr/>
          </w:p>
        </w:tc>
        <w:tc>
          <w:tcPr>
            <w:tcW w:w="1382" w:type="dxa"/>
            <w:tcBorders>
              <w:top w:val="single" w:sz="0" w:space="0" w:color="000000"/>
            </w:tcBorders>
          </w:tcPr>
          <w:p>
            <w:pPr/>
          </w:p>
        </w:tc>
        <w:tc>
          <w:tcPr>
            <w:tcW w:w="1030" w:type="dxa"/>
            <w:tcBorders>
              <w:top w:val="single" w:sz="0" w:space="0" w:color="000000"/>
            </w:tcBorders>
          </w:tcPr>
          <w:p>
            <w:pPr/>
          </w:p>
        </w:tc>
      </w:tr>
      <w:tr>
        <w:trPr>
          <w:trHeight w:val="250" w:hRule="exact"/>
        </w:trPr>
        <w:tc>
          <w:tcPr>
            <w:tcW w:w="3459" w:type="dxa"/>
          </w:tcPr>
          <w:p>
            <w:pPr>
              <w:pStyle w:val="TableParagraph"/>
              <w:spacing w:before="6"/>
              <w:ind w:left="35" w:right="582"/>
              <w:jc w:val="left"/>
              <w:rPr>
                <w:sz w:val="18"/>
              </w:rPr>
            </w:pPr>
            <w:r>
              <w:rPr>
                <w:sz w:val="18"/>
              </w:rPr>
              <w:t>Balance at 1 January</w:t>
            </w:r>
          </w:p>
        </w:tc>
        <w:tc>
          <w:tcPr>
            <w:tcW w:w="1733" w:type="dxa"/>
          </w:tcPr>
          <w:p>
            <w:pPr>
              <w:pStyle w:val="TableParagraph"/>
              <w:spacing w:before="4"/>
              <w:ind w:right="352"/>
              <w:rPr>
                <w:b/>
                <w:sz w:val="18"/>
              </w:rPr>
            </w:pPr>
            <w:r>
              <w:rPr>
                <w:b/>
                <w:sz w:val="18"/>
              </w:rPr>
              <w:t>1,434</w:t>
            </w:r>
          </w:p>
        </w:tc>
        <w:tc>
          <w:tcPr>
            <w:tcW w:w="1382" w:type="dxa"/>
          </w:tcPr>
          <w:p>
            <w:pPr>
              <w:pStyle w:val="TableParagraph"/>
              <w:spacing w:before="4"/>
              <w:ind w:right="436"/>
              <w:rPr>
                <w:sz w:val="18"/>
              </w:rPr>
            </w:pPr>
            <w:r>
              <w:rPr>
                <w:sz w:val="18"/>
              </w:rPr>
              <w:t>1,434</w:t>
            </w:r>
          </w:p>
        </w:tc>
        <w:tc>
          <w:tcPr>
            <w:tcW w:w="1382" w:type="dxa"/>
          </w:tcPr>
          <w:p>
            <w:pPr>
              <w:pStyle w:val="TableParagraph"/>
              <w:spacing w:before="4"/>
              <w:ind w:left="578"/>
              <w:jc w:val="left"/>
              <w:rPr>
                <w:b/>
                <w:sz w:val="18"/>
              </w:rPr>
            </w:pPr>
            <w:r>
              <w:rPr>
                <w:b/>
                <w:sz w:val="18"/>
              </w:rPr>
              <w:t>1,434</w:t>
            </w:r>
          </w:p>
        </w:tc>
        <w:tc>
          <w:tcPr>
            <w:tcW w:w="1030" w:type="dxa"/>
          </w:tcPr>
          <w:p>
            <w:pPr>
              <w:pStyle w:val="TableParagraph"/>
              <w:spacing w:before="4"/>
              <w:ind w:right="85"/>
              <w:rPr>
                <w:sz w:val="18"/>
              </w:rPr>
            </w:pPr>
            <w:r>
              <w:rPr>
                <w:sz w:val="18"/>
              </w:rPr>
              <w:t>1,434</w:t>
            </w:r>
          </w:p>
        </w:tc>
      </w:tr>
      <w:tr>
        <w:trPr>
          <w:trHeight w:val="262" w:hRule="exact"/>
        </w:trPr>
        <w:tc>
          <w:tcPr>
            <w:tcW w:w="3459" w:type="dxa"/>
          </w:tcPr>
          <w:p>
            <w:pPr>
              <w:pStyle w:val="TableParagraph"/>
              <w:spacing w:before="19"/>
              <w:ind w:left="35" w:right="582"/>
              <w:jc w:val="left"/>
              <w:rPr>
                <w:sz w:val="18"/>
              </w:rPr>
            </w:pPr>
            <w:r>
              <w:rPr>
                <w:sz w:val="18"/>
              </w:rPr>
              <w:t>Revaluation - gross</w:t>
            </w:r>
          </w:p>
        </w:tc>
        <w:tc>
          <w:tcPr>
            <w:tcW w:w="1733" w:type="dxa"/>
            <w:tcBorders>
              <w:bottom w:val="single" w:sz="0" w:space="0" w:color="000000"/>
            </w:tcBorders>
          </w:tcPr>
          <w:p>
            <w:pPr>
              <w:pStyle w:val="TableParagraph"/>
              <w:spacing w:before="18"/>
              <w:ind w:right="352"/>
              <w:rPr>
                <w:b/>
                <w:sz w:val="18"/>
              </w:rPr>
            </w:pPr>
            <w:r>
              <w:rPr>
                <w:b/>
                <w:sz w:val="18"/>
              </w:rPr>
              <w:t>986</w:t>
            </w:r>
          </w:p>
        </w:tc>
        <w:tc>
          <w:tcPr>
            <w:tcW w:w="1382" w:type="dxa"/>
            <w:tcBorders>
              <w:bottom w:val="single" w:sz="0" w:space="0" w:color="000000"/>
            </w:tcBorders>
          </w:tcPr>
          <w:p>
            <w:pPr>
              <w:pStyle w:val="TableParagraph"/>
              <w:spacing w:before="18"/>
              <w:ind w:right="437"/>
              <w:rPr>
                <w:sz w:val="18"/>
              </w:rPr>
            </w:pPr>
            <w:r>
              <w:rPr>
                <w:w w:val="99"/>
                <w:sz w:val="18"/>
              </w:rPr>
              <w:t>-</w:t>
            </w:r>
          </w:p>
        </w:tc>
        <w:tc>
          <w:tcPr>
            <w:tcW w:w="1382" w:type="dxa"/>
            <w:tcBorders>
              <w:bottom w:val="single" w:sz="0" w:space="0" w:color="000000"/>
            </w:tcBorders>
          </w:tcPr>
          <w:p>
            <w:pPr>
              <w:pStyle w:val="TableParagraph"/>
              <w:spacing w:before="18"/>
              <w:ind w:right="352"/>
              <w:rPr>
                <w:b/>
                <w:sz w:val="18"/>
              </w:rPr>
            </w:pPr>
            <w:r>
              <w:rPr>
                <w:b/>
                <w:sz w:val="18"/>
              </w:rPr>
              <w:t>986</w:t>
            </w:r>
          </w:p>
        </w:tc>
        <w:tc>
          <w:tcPr>
            <w:tcW w:w="1030" w:type="dxa"/>
            <w:tcBorders>
              <w:bottom w:val="single" w:sz="0" w:space="0" w:color="000000"/>
            </w:tcBorders>
          </w:tcPr>
          <w:p>
            <w:pPr>
              <w:pStyle w:val="TableParagraph"/>
              <w:spacing w:before="18"/>
              <w:ind w:right="85"/>
              <w:rPr>
                <w:sz w:val="18"/>
              </w:rPr>
            </w:pPr>
            <w:r>
              <w:rPr>
                <w:w w:val="99"/>
                <w:sz w:val="18"/>
              </w:rPr>
              <w:t>-</w:t>
            </w:r>
          </w:p>
        </w:tc>
      </w:tr>
      <w:tr>
        <w:trPr>
          <w:trHeight w:val="338" w:hRule="exact"/>
        </w:trPr>
        <w:tc>
          <w:tcPr>
            <w:tcW w:w="3459" w:type="dxa"/>
          </w:tcPr>
          <w:p>
            <w:pPr>
              <w:pStyle w:val="TableParagraph"/>
              <w:spacing w:before="123"/>
              <w:ind w:left="35" w:right="582"/>
              <w:jc w:val="left"/>
              <w:rPr>
                <w:b/>
                <w:sz w:val="18"/>
              </w:rPr>
            </w:pPr>
            <w:r>
              <w:rPr>
                <w:b/>
                <w:sz w:val="18"/>
              </w:rPr>
              <w:t>Balance at 31 December</w:t>
            </w:r>
          </w:p>
        </w:tc>
        <w:tc>
          <w:tcPr>
            <w:tcW w:w="1733" w:type="dxa"/>
            <w:tcBorders>
              <w:top w:val="single" w:sz="0" w:space="0" w:color="000000"/>
              <w:bottom w:val="single" w:sz="0" w:space="0" w:color="000000"/>
            </w:tcBorders>
          </w:tcPr>
          <w:p>
            <w:pPr>
              <w:pStyle w:val="TableParagraph"/>
              <w:spacing w:before="122"/>
              <w:ind w:right="352"/>
              <w:rPr>
                <w:b/>
                <w:sz w:val="18"/>
              </w:rPr>
            </w:pPr>
            <w:r>
              <w:rPr>
                <w:b/>
                <w:sz w:val="18"/>
              </w:rPr>
              <w:t>2,420</w:t>
            </w:r>
          </w:p>
        </w:tc>
        <w:tc>
          <w:tcPr>
            <w:tcW w:w="1382" w:type="dxa"/>
            <w:tcBorders>
              <w:top w:val="single" w:sz="0" w:space="0" w:color="000000"/>
              <w:bottom w:val="single" w:sz="0" w:space="0" w:color="000000"/>
            </w:tcBorders>
          </w:tcPr>
          <w:p>
            <w:pPr>
              <w:pStyle w:val="TableParagraph"/>
              <w:spacing w:before="122"/>
              <w:ind w:right="436"/>
              <w:rPr>
                <w:sz w:val="18"/>
              </w:rPr>
            </w:pPr>
            <w:r>
              <w:rPr>
                <w:sz w:val="18"/>
              </w:rPr>
              <w:t>1,434</w:t>
            </w:r>
          </w:p>
        </w:tc>
        <w:tc>
          <w:tcPr>
            <w:tcW w:w="1382" w:type="dxa"/>
            <w:tcBorders>
              <w:top w:val="single" w:sz="0" w:space="0" w:color="000000"/>
              <w:bottom w:val="single" w:sz="0" w:space="0" w:color="000000"/>
            </w:tcBorders>
          </w:tcPr>
          <w:p>
            <w:pPr>
              <w:pStyle w:val="TableParagraph"/>
              <w:spacing w:before="122"/>
              <w:ind w:left="578"/>
              <w:jc w:val="left"/>
              <w:rPr>
                <w:b/>
                <w:sz w:val="18"/>
              </w:rPr>
            </w:pPr>
            <w:r>
              <w:rPr>
                <w:b/>
                <w:sz w:val="18"/>
              </w:rPr>
              <w:t>2,420</w:t>
            </w:r>
          </w:p>
        </w:tc>
        <w:tc>
          <w:tcPr>
            <w:tcW w:w="1030" w:type="dxa"/>
            <w:tcBorders>
              <w:top w:val="single" w:sz="0" w:space="0" w:color="000000"/>
              <w:bottom w:val="single" w:sz="0" w:space="0" w:color="000000"/>
            </w:tcBorders>
          </w:tcPr>
          <w:p>
            <w:pPr>
              <w:pStyle w:val="TableParagraph"/>
              <w:spacing w:before="122"/>
              <w:ind w:right="85"/>
              <w:rPr>
                <w:sz w:val="18"/>
              </w:rPr>
            </w:pPr>
            <w:r>
              <w:rPr>
                <w:sz w:val="18"/>
              </w:rPr>
              <w:t>1,434</w:t>
            </w:r>
          </w:p>
        </w:tc>
      </w:tr>
      <w:tr>
        <w:trPr>
          <w:trHeight w:val="354" w:hRule="exact"/>
        </w:trPr>
        <w:tc>
          <w:tcPr>
            <w:tcW w:w="3459" w:type="dxa"/>
          </w:tcPr>
          <w:p>
            <w:pPr>
              <w:pStyle w:val="TableParagraph"/>
              <w:spacing w:before="123"/>
              <w:ind w:left="35" w:right="582"/>
              <w:jc w:val="left"/>
              <w:rPr>
                <w:b/>
                <w:sz w:val="18"/>
              </w:rPr>
            </w:pPr>
            <w:r>
              <w:rPr>
                <w:b/>
                <w:sz w:val="18"/>
              </w:rPr>
              <w:t>Livestock revaluation reserve</w:t>
            </w:r>
          </w:p>
        </w:tc>
        <w:tc>
          <w:tcPr>
            <w:tcW w:w="1733" w:type="dxa"/>
            <w:tcBorders>
              <w:top w:val="single" w:sz="0" w:space="0" w:color="000000"/>
            </w:tcBorders>
          </w:tcPr>
          <w:p>
            <w:pPr/>
          </w:p>
        </w:tc>
        <w:tc>
          <w:tcPr>
            <w:tcW w:w="1382" w:type="dxa"/>
            <w:tcBorders>
              <w:top w:val="single" w:sz="0" w:space="0" w:color="000000"/>
            </w:tcBorders>
          </w:tcPr>
          <w:p>
            <w:pPr/>
          </w:p>
        </w:tc>
        <w:tc>
          <w:tcPr>
            <w:tcW w:w="1382" w:type="dxa"/>
            <w:tcBorders>
              <w:top w:val="single" w:sz="0" w:space="0" w:color="000000"/>
            </w:tcBorders>
          </w:tcPr>
          <w:p>
            <w:pPr/>
          </w:p>
        </w:tc>
        <w:tc>
          <w:tcPr>
            <w:tcW w:w="1030" w:type="dxa"/>
            <w:tcBorders>
              <w:top w:val="single" w:sz="0" w:space="0" w:color="000000"/>
            </w:tcBorders>
          </w:tcPr>
          <w:p>
            <w:pPr/>
          </w:p>
        </w:tc>
      </w:tr>
      <w:tr>
        <w:trPr>
          <w:trHeight w:val="250" w:hRule="exact"/>
        </w:trPr>
        <w:tc>
          <w:tcPr>
            <w:tcW w:w="3459" w:type="dxa"/>
          </w:tcPr>
          <w:p>
            <w:pPr>
              <w:pStyle w:val="TableParagraph"/>
              <w:spacing w:before="6"/>
              <w:ind w:left="35" w:right="582"/>
              <w:jc w:val="left"/>
              <w:rPr>
                <w:sz w:val="18"/>
              </w:rPr>
            </w:pPr>
            <w:r>
              <w:rPr>
                <w:sz w:val="18"/>
              </w:rPr>
              <w:t>Balance at 1 January</w:t>
            </w:r>
          </w:p>
        </w:tc>
        <w:tc>
          <w:tcPr>
            <w:tcW w:w="1733" w:type="dxa"/>
          </w:tcPr>
          <w:p>
            <w:pPr>
              <w:pStyle w:val="TableParagraph"/>
              <w:spacing w:before="4"/>
              <w:ind w:right="352"/>
              <w:rPr>
                <w:b/>
                <w:sz w:val="18"/>
              </w:rPr>
            </w:pPr>
            <w:r>
              <w:rPr>
                <w:b/>
                <w:sz w:val="18"/>
              </w:rPr>
              <w:t>452</w:t>
            </w:r>
          </w:p>
        </w:tc>
        <w:tc>
          <w:tcPr>
            <w:tcW w:w="1382" w:type="dxa"/>
          </w:tcPr>
          <w:p>
            <w:pPr>
              <w:pStyle w:val="TableParagraph"/>
              <w:spacing w:before="4"/>
              <w:ind w:right="437"/>
              <w:rPr>
                <w:sz w:val="18"/>
              </w:rPr>
            </w:pPr>
            <w:r>
              <w:rPr>
                <w:sz w:val="18"/>
              </w:rPr>
              <w:t>406</w:t>
            </w:r>
          </w:p>
        </w:tc>
        <w:tc>
          <w:tcPr>
            <w:tcW w:w="1382" w:type="dxa"/>
          </w:tcPr>
          <w:p>
            <w:pPr>
              <w:pStyle w:val="TableParagraph"/>
              <w:spacing w:before="4"/>
              <w:ind w:right="352"/>
              <w:rPr>
                <w:b/>
                <w:sz w:val="18"/>
              </w:rPr>
            </w:pPr>
            <w:r>
              <w:rPr>
                <w:b/>
                <w:sz w:val="18"/>
              </w:rPr>
              <w:t>452</w:t>
            </w:r>
          </w:p>
        </w:tc>
        <w:tc>
          <w:tcPr>
            <w:tcW w:w="1030" w:type="dxa"/>
          </w:tcPr>
          <w:p>
            <w:pPr>
              <w:pStyle w:val="TableParagraph"/>
              <w:spacing w:before="4"/>
              <w:ind w:right="85"/>
              <w:rPr>
                <w:sz w:val="18"/>
              </w:rPr>
            </w:pPr>
            <w:r>
              <w:rPr>
                <w:sz w:val="18"/>
              </w:rPr>
              <w:t>406</w:t>
            </w:r>
          </w:p>
        </w:tc>
      </w:tr>
      <w:tr>
        <w:trPr>
          <w:trHeight w:val="262" w:hRule="exact"/>
        </w:trPr>
        <w:tc>
          <w:tcPr>
            <w:tcW w:w="3459" w:type="dxa"/>
          </w:tcPr>
          <w:p>
            <w:pPr>
              <w:pStyle w:val="TableParagraph"/>
              <w:spacing w:before="19"/>
              <w:ind w:left="35" w:right="582"/>
              <w:jc w:val="left"/>
              <w:rPr>
                <w:sz w:val="18"/>
              </w:rPr>
            </w:pPr>
            <w:r>
              <w:rPr>
                <w:sz w:val="18"/>
              </w:rPr>
              <w:t>Revaluation - gross</w:t>
            </w:r>
          </w:p>
        </w:tc>
        <w:tc>
          <w:tcPr>
            <w:tcW w:w="1733" w:type="dxa"/>
            <w:tcBorders>
              <w:bottom w:val="single" w:sz="0" w:space="0" w:color="000000"/>
            </w:tcBorders>
          </w:tcPr>
          <w:p>
            <w:pPr>
              <w:pStyle w:val="TableParagraph"/>
              <w:spacing w:before="18"/>
              <w:ind w:right="292"/>
              <w:rPr>
                <w:b/>
                <w:sz w:val="18"/>
              </w:rPr>
            </w:pPr>
            <w:r>
              <w:rPr>
                <w:b/>
                <w:sz w:val="18"/>
              </w:rPr>
              <w:t>(214)</w:t>
            </w:r>
          </w:p>
        </w:tc>
        <w:tc>
          <w:tcPr>
            <w:tcW w:w="1382" w:type="dxa"/>
            <w:tcBorders>
              <w:bottom w:val="single" w:sz="0" w:space="0" w:color="000000"/>
            </w:tcBorders>
          </w:tcPr>
          <w:p>
            <w:pPr>
              <w:pStyle w:val="TableParagraph"/>
              <w:spacing w:before="18"/>
              <w:ind w:right="437"/>
              <w:rPr>
                <w:sz w:val="18"/>
              </w:rPr>
            </w:pPr>
            <w:r>
              <w:rPr>
                <w:sz w:val="18"/>
              </w:rPr>
              <w:t>46</w:t>
            </w:r>
          </w:p>
        </w:tc>
        <w:tc>
          <w:tcPr>
            <w:tcW w:w="1382" w:type="dxa"/>
            <w:tcBorders>
              <w:bottom w:val="single" w:sz="0" w:space="0" w:color="000000"/>
            </w:tcBorders>
          </w:tcPr>
          <w:p>
            <w:pPr>
              <w:pStyle w:val="TableParagraph"/>
              <w:spacing w:before="18"/>
              <w:ind w:right="292"/>
              <w:rPr>
                <w:b/>
                <w:sz w:val="18"/>
              </w:rPr>
            </w:pPr>
            <w:r>
              <w:rPr>
                <w:b/>
                <w:sz w:val="18"/>
              </w:rPr>
              <w:t>(214)</w:t>
            </w:r>
          </w:p>
        </w:tc>
        <w:tc>
          <w:tcPr>
            <w:tcW w:w="1030" w:type="dxa"/>
            <w:tcBorders>
              <w:bottom w:val="single" w:sz="0" w:space="0" w:color="000000"/>
            </w:tcBorders>
          </w:tcPr>
          <w:p>
            <w:pPr>
              <w:pStyle w:val="TableParagraph"/>
              <w:spacing w:before="18"/>
              <w:ind w:right="85"/>
              <w:rPr>
                <w:sz w:val="18"/>
              </w:rPr>
            </w:pPr>
            <w:r>
              <w:rPr>
                <w:sz w:val="18"/>
              </w:rPr>
              <w:t>46</w:t>
            </w:r>
          </w:p>
        </w:tc>
      </w:tr>
      <w:tr>
        <w:trPr>
          <w:trHeight w:val="338" w:hRule="exact"/>
        </w:trPr>
        <w:tc>
          <w:tcPr>
            <w:tcW w:w="3459" w:type="dxa"/>
          </w:tcPr>
          <w:p>
            <w:pPr>
              <w:pStyle w:val="TableParagraph"/>
              <w:spacing w:before="123"/>
              <w:ind w:left="35" w:right="582"/>
              <w:jc w:val="left"/>
              <w:rPr>
                <w:b/>
                <w:sz w:val="18"/>
              </w:rPr>
            </w:pPr>
            <w:r>
              <w:rPr>
                <w:b/>
                <w:sz w:val="18"/>
              </w:rPr>
              <w:t>Balance at 31 December</w:t>
            </w:r>
          </w:p>
        </w:tc>
        <w:tc>
          <w:tcPr>
            <w:tcW w:w="1733" w:type="dxa"/>
            <w:tcBorders>
              <w:top w:val="single" w:sz="0" w:space="0" w:color="000000"/>
              <w:bottom w:val="single" w:sz="0" w:space="0" w:color="000000"/>
            </w:tcBorders>
          </w:tcPr>
          <w:p>
            <w:pPr>
              <w:pStyle w:val="TableParagraph"/>
              <w:spacing w:before="122"/>
              <w:ind w:right="352"/>
              <w:rPr>
                <w:b/>
                <w:sz w:val="18"/>
              </w:rPr>
            </w:pPr>
            <w:r>
              <w:rPr>
                <w:b/>
                <w:sz w:val="18"/>
              </w:rPr>
              <w:t>238</w:t>
            </w:r>
          </w:p>
        </w:tc>
        <w:tc>
          <w:tcPr>
            <w:tcW w:w="1382" w:type="dxa"/>
            <w:tcBorders>
              <w:top w:val="single" w:sz="0" w:space="0" w:color="000000"/>
              <w:bottom w:val="single" w:sz="0" w:space="0" w:color="000000"/>
            </w:tcBorders>
          </w:tcPr>
          <w:p>
            <w:pPr>
              <w:pStyle w:val="TableParagraph"/>
              <w:spacing w:before="122"/>
              <w:ind w:right="437"/>
              <w:rPr>
                <w:sz w:val="18"/>
              </w:rPr>
            </w:pPr>
            <w:r>
              <w:rPr>
                <w:sz w:val="18"/>
              </w:rPr>
              <w:t>452</w:t>
            </w:r>
          </w:p>
        </w:tc>
        <w:tc>
          <w:tcPr>
            <w:tcW w:w="1382" w:type="dxa"/>
            <w:tcBorders>
              <w:top w:val="single" w:sz="0" w:space="0" w:color="000000"/>
              <w:bottom w:val="single" w:sz="0" w:space="0" w:color="000000"/>
            </w:tcBorders>
          </w:tcPr>
          <w:p>
            <w:pPr>
              <w:pStyle w:val="TableParagraph"/>
              <w:spacing w:before="122"/>
              <w:ind w:right="352"/>
              <w:rPr>
                <w:b/>
                <w:sz w:val="18"/>
              </w:rPr>
            </w:pPr>
            <w:r>
              <w:rPr>
                <w:b/>
                <w:sz w:val="18"/>
              </w:rPr>
              <w:t>238</w:t>
            </w:r>
          </w:p>
        </w:tc>
        <w:tc>
          <w:tcPr>
            <w:tcW w:w="1030" w:type="dxa"/>
            <w:tcBorders>
              <w:top w:val="single" w:sz="0" w:space="0" w:color="000000"/>
              <w:bottom w:val="single" w:sz="0" w:space="0" w:color="000000"/>
            </w:tcBorders>
          </w:tcPr>
          <w:p>
            <w:pPr>
              <w:pStyle w:val="TableParagraph"/>
              <w:spacing w:before="122"/>
              <w:ind w:right="85"/>
              <w:rPr>
                <w:sz w:val="18"/>
              </w:rPr>
            </w:pPr>
            <w:r>
              <w:rPr>
                <w:sz w:val="18"/>
              </w:rPr>
              <w:t>452</w:t>
            </w:r>
          </w:p>
        </w:tc>
      </w:tr>
      <w:tr>
        <w:trPr>
          <w:trHeight w:val="354" w:hRule="exact"/>
        </w:trPr>
        <w:tc>
          <w:tcPr>
            <w:tcW w:w="3459" w:type="dxa"/>
          </w:tcPr>
          <w:p>
            <w:pPr>
              <w:pStyle w:val="TableParagraph"/>
              <w:spacing w:before="123"/>
              <w:ind w:left="35" w:right="582"/>
              <w:jc w:val="left"/>
              <w:rPr>
                <w:b/>
                <w:sz w:val="18"/>
              </w:rPr>
            </w:pPr>
            <w:r>
              <w:rPr>
                <w:b/>
                <w:sz w:val="18"/>
              </w:rPr>
              <w:t>Licenses revaluation reserve</w:t>
            </w:r>
          </w:p>
        </w:tc>
        <w:tc>
          <w:tcPr>
            <w:tcW w:w="1733" w:type="dxa"/>
            <w:tcBorders>
              <w:top w:val="single" w:sz="0" w:space="0" w:color="000000"/>
            </w:tcBorders>
          </w:tcPr>
          <w:p>
            <w:pPr/>
          </w:p>
        </w:tc>
        <w:tc>
          <w:tcPr>
            <w:tcW w:w="1382" w:type="dxa"/>
            <w:tcBorders>
              <w:top w:val="single" w:sz="0" w:space="0" w:color="000000"/>
            </w:tcBorders>
          </w:tcPr>
          <w:p>
            <w:pPr/>
          </w:p>
        </w:tc>
        <w:tc>
          <w:tcPr>
            <w:tcW w:w="1382" w:type="dxa"/>
            <w:tcBorders>
              <w:top w:val="single" w:sz="0" w:space="0" w:color="000000"/>
            </w:tcBorders>
          </w:tcPr>
          <w:p>
            <w:pPr/>
          </w:p>
        </w:tc>
        <w:tc>
          <w:tcPr>
            <w:tcW w:w="1030" w:type="dxa"/>
            <w:tcBorders>
              <w:top w:val="single" w:sz="0" w:space="0" w:color="000000"/>
            </w:tcBorders>
          </w:tcPr>
          <w:p>
            <w:pPr/>
          </w:p>
        </w:tc>
      </w:tr>
      <w:tr>
        <w:trPr>
          <w:trHeight w:val="250" w:hRule="exact"/>
        </w:trPr>
        <w:tc>
          <w:tcPr>
            <w:tcW w:w="3459" w:type="dxa"/>
          </w:tcPr>
          <w:p>
            <w:pPr>
              <w:pStyle w:val="TableParagraph"/>
              <w:spacing w:before="6"/>
              <w:ind w:left="35" w:right="582"/>
              <w:jc w:val="left"/>
              <w:rPr>
                <w:sz w:val="18"/>
              </w:rPr>
            </w:pPr>
            <w:r>
              <w:rPr>
                <w:sz w:val="18"/>
              </w:rPr>
              <w:t>Balance at 1 January</w:t>
            </w:r>
          </w:p>
        </w:tc>
        <w:tc>
          <w:tcPr>
            <w:tcW w:w="1733" w:type="dxa"/>
          </w:tcPr>
          <w:p>
            <w:pPr>
              <w:pStyle w:val="TableParagraph"/>
              <w:spacing w:before="4"/>
              <w:ind w:right="352"/>
              <w:rPr>
                <w:b/>
                <w:sz w:val="18"/>
              </w:rPr>
            </w:pPr>
            <w:r>
              <w:rPr>
                <w:b/>
                <w:sz w:val="18"/>
              </w:rPr>
              <w:t>250</w:t>
            </w:r>
          </w:p>
        </w:tc>
        <w:tc>
          <w:tcPr>
            <w:tcW w:w="1382" w:type="dxa"/>
          </w:tcPr>
          <w:p>
            <w:pPr>
              <w:pStyle w:val="TableParagraph"/>
              <w:spacing w:before="4"/>
              <w:ind w:right="437"/>
              <w:rPr>
                <w:sz w:val="18"/>
              </w:rPr>
            </w:pPr>
            <w:r>
              <w:rPr>
                <w:w w:val="99"/>
                <w:sz w:val="18"/>
              </w:rPr>
              <w:t>-</w:t>
            </w:r>
          </w:p>
        </w:tc>
        <w:tc>
          <w:tcPr>
            <w:tcW w:w="1382" w:type="dxa"/>
          </w:tcPr>
          <w:p>
            <w:pPr>
              <w:pStyle w:val="TableParagraph"/>
              <w:spacing w:before="4"/>
              <w:ind w:right="352"/>
              <w:rPr>
                <w:b/>
                <w:sz w:val="18"/>
              </w:rPr>
            </w:pPr>
            <w:r>
              <w:rPr>
                <w:b/>
                <w:sz w:val="18"/>
              </w:rPr>
              <w:t>250</w:t>
            </w:r>
          </w:p>
        </w:tc>
        <w:tc>
          <w:tcPr>
            <w:tcW w:w="1030" w:type="dxa"/>
          </w:tcPr>
          <w:p>
            <w:pPr>
              <w:pStyle w:val="TableParagraph"/>
              <w:spacing w:before="4"/>
              <w:ind w:right="85"/>
              <w:rPr>
                <w:sz w:val="18"/>
              </w:rPr>
            </w:pPr>
            <w:r>
              <w:rPr>
                <w:w w:val="99"/>
                <w:sz w:val="18"/>
              </w:rPr>
              <w:t>-</w:t>
            </w:r>
          </w:p>
        </w:tc>
      </w:tr>
      <w:tr>
        <w:trPr>
          <w:trHeight w:val="262" w:hRule="exact"/>
        </w:trPr>
        <w:tc>
          <w:tcPr>
            <w:tcW w:w="3459" w:type="dxa"/>
          </w:tcPr>
          <w:p>
            <w:pPr>
              <w:pStyle w:val="TableParagraph"/>
              <w:spacing w:before="19"/>
              <w:ind w:left="35" w:right="582"/>
              <w:jc w:val="left"/>
              <w:rPr>
                <w:sz w:val="18"/>
              </w:rPr>
            </w:pPr>
            <w:r>
              <w:rPr>
                <w:sz w:val="18"/>
              </w:rPr>
              <w:t>Revaluation - gross</w:t>
            </w:r>
          </w:p>
        </w:tc>
        <w:tc>
          <w:tcPr>
            <w:tcW w:w="1733" w:type="dxa"/>
            <w:tcBorders>
              <w:bottom w:val="single" w:sz="0" w:space="0" w:color="000000"/>
            </w:tcBorders>
          </w:tcPr>
          <w:p>
            <w:pPr>
              <w:pStyle w:val="TableParagraph"/>
              <w:spacing w:before="18"/>
              <w:ind w:right="352"/>
              <w:rPr>
                <w:b/>
                <w:sz w:val="18"/>
              </w:rPr>
            </w:pPr>
            <w:r>
              <w:rPr>
                <w:b/>
                <w:w w:val="99"/>
                <w:sz w:val="18"/>
              </w:rPr>
              <w:t>-</w:t>
            </w:r>
          </w:p>
        </w:tc>
        <w:tc>
          <w:tcPr>
            <w:tcW w:w="1382" w:type="dxa"/>
            <w:tcBorders>
              <w:bottom w:val="single" w:sz="0" w:space="0" w:color="000000"/>
            </w:tcBorders>
          </w:tcPr>
          <w:p>
            <w:pPr>
              <w:pStyle w:val="TableParagraph"/>
              <w:spacing w:before="18"/>
              <w:ind w:right="437"/>
              <w:rPr>
                <w:sz w:val="18"/>
              </w:rPr>
            </w:pPr>
            <w:r>
              <w:rPr>
                <w:sz w:val="18"/>
              </w:rPr>
              <w:t>250</w:t>
            </w:r>
          </w:p>
        </w:tc>
        <w:tc>
          <w:tcPr>
            <w:tcW w:w="1382" w:type="dxa"/>
            <w:tcBorders>
              <w:bottom w:val="single" w:sz="0" w:space="0" w:color="000000"/>
            </w:tcBorders>
          </w:tcPr>
          <w:p>
            <w:pPr>
              <w:pStyle w:val="TableParagraph"/>
              <w:spacing w:before="18"/>
              <w:ind w:right="352"/>
              <w:rPr>
                <w:b/>
                <w:sz w:val="18"/>
              </w:rPr>
            </w:pPr>
            <w:r>
              <w:rPr>
                <w:b/>
                <w:w w:val="99"/>
                <w:sz w:val="18"/>
              </w:rPr>
              <w:t>-</w:t>
            </w:r>
          </w:p>
        </w:tc>
        <w:tc>
          <w:tcPr>
            <w:tcW w:w="1030" w:type="dxa"/>
            <w:tcBorders>
              <w:bottom w:val="single" w:sz="0" w:space="0" w:color="000000"/>
            </w:tcBorders>
          </w:tcPr>
          <w:p>
            <w:pPr>
              <w:pStyle w:val="TableParagraph"/>
              <w:spacing w:before="18"/>
              <w:ind w:right="85"/>
              <w:rPr>
                <w:sz w:val="18"/>
              </w:rPr>
            </w:pPr>
            <w:r>
              <w:rPr>
                <w:sz w:val="18"/>
              </w:rPr>
              <w:t>250</w:t>
            </w:r>
          </w:p>
        </w:tc>
      </w:tr>
      <w:tr>
        <w:trPr>
          <w:trHeight w:val="338" w:hRule="exact"/>
        </w:trPr>
        <w:tc>
          <w:tcPr>
            <w:tcW w:w="3459" w:type="dxa"/>
          </w:tcPr>
          <w:p>
            <w:pPr>
              <w:pStyle w:val="TableParagraph"/>
              <w:spacing w:before="123"/>
              <w:ind w:left="35" w:right="582"/>
              <w:jc w:val="left"/>
              <w:rPr>
                <w:b/>
                <w:sz w:val="18"/>
              </w:rPr>
            </w:pPr>
            <w:r>
              <w:rPr>
                <w:b/>
                <w:sz w:val="18"/>
              </w:rPr>
              <w:t>Balance at 31 December</w:t>
            </w:r>
          </w:p>
        </w:tc>
        <w:tc>
          <w:tcPr>
            <w:tcW w:w="1733" w:type="dxa"/>
            <w:tcBorders>
              <w:top w:val="single" w:sz="0" w:space="0" w:color="000000"/>
              <w:bottom w:val="single" w:sz="0" w:space="0" w:color="000000"/>
            </w:tcBorders>
          </w:tcPr>
          <w:p>
            <w:pPr>
              <w:pStyle w:val="TableParagraph"/>
              <w:spacing w:before="122"/>
              <w:ind w:right="352"/>
              <w:rPr>
                <w:b/>
                <w:sz w:val="18"/>
              </w:rPr>
            </w:pPr>
            <w:r>
              <w:rPr>
                <w:b/>
                <w:sz w:val="18"/>
              </w:rPr>
              <w:t>250</w:t>
            </w:r>
          </w:p>
        </w:tc>
        <w:tc>
          <w:tcPr>
            <w:tcW w:w="1382" w:type="dxa"/>
            <w:tcBorders>
              <w:top w:val="single" w:sz="0" w:space="0" w:color="000000"/>
              <w:bottom w:val="single" w:sz="0" w:space="0" w:color="000000"/>
            </w:tcBorders>
          </w:tcPr>
          <w:p>
            <w:pPr>
              <w:pStyle w:val="TableParagraph"/>
              <w:spacing w:before="122"/>
              <w:ind w:right="437"/>
              <w:rPr>
                <w:sz w:val="18"/>
              </w:rPr>
            </w:pPr>
            <w:r>
              <w:rPr>
                <w:sz w:val="18"/>
              </w:rPr>
              <w:t>250</w:t>
            </w:r>
          </w:p>
        </w:tc>
        <w:tc>
          <w:tcPr>
            <w:tcW w:w="1382" w:type="dxa"/>
            <w:tcBorders>
              <w:top w:val="single" w:sz="0" w:space="0" w:color="000000"/>
              <w:bottom w:val="single" w:sz="0" w:space="0" w:color="000000"/>
            </w:tcBorders>
          </w:tcPr>
          <w:p>
            <w:pPr>
              <w:pStyle w:val="TableParagraph"/>
              <w:spacing w:before="122"/>
              <w:ind w:right="352"/>
              <w:rPr>
                <w:b/>
                <w:sz w:val="18"/>
              </w:rPr>
            </w:pPr>
            <w:r>
              <w:rPr>
                <w:b/>
                <w:sz w:val="18"/>
              </w:rPr>
              <w:t>250</w:t>
            </w:r>
          </w:p>
        </w:tc>
        <w:tc>
          <w:tcPr>
            <w:tcW w:w="1030" w:type="dxa"/>
            <w:tcBorders>
              <w:top w:val="single" w:sz="0" w:space="0" w:color="000000"/>
              <w:bottom w:val="single" w:sz="0" w:space="0" w:color="000000"/>
            </w:tcBorders>
          </w:tcPr>
          <w:p>
            <w:pPr>
              <w:pStyle w:val="TableParagraph"/>
              <w:spacing w:before="122"/>
              <w:ind w:right="85"/>
              <w:rPr>
                <w:sz w:val="18"/>
              </w:rPr>
            </w:pPr>
            <w:r>
              <w:rPr>
                <w:sz w:val="18"/>
              </w:rPr>
              <w:t>250</w:t>
            </w:r>
          </w:p>
        </w:tc>
      </w:tr>
      <w:tr>
        <w:trPr>
          <w:trHeight w:val="353" w:hRule="exact"/>
        </w:trPr>
        <w:tc>
          <w:tcPr>
            <w:tcW w:w="3459" w:type="dxa"/>
          </w:tcPr>
          <w:p>
            <w:pPr>
              <w:pStyle w:val="TableParagraph"/>
              <w:spacing w:before="123"/>
              <w:ind w:left="35" w:right="582"/>
              <w:jc w:val="left"/>
              <w:rPr>
                <w:b/>
                <w:sz w:val="18"/>
              </w:rPr>
            </w:pPr>
            <w:r>
              <w:rPr>
                <w:b/>
                <w:sz w:val="18"/>
              </w:rPr>
              <w:t>Total reserves</w:t>
            </w:r>
          </w:p>
        </w:tc>
        <w:tc>
          <w:tcPr>
            <w:tcW w:w="1733" w:type="dxa"/>
            <w:tcBorders>
              <w:top w:val="single" w:sz="0" w:space="0" w:color="000000"/>
              <w:bottom w:val="single" w:sz="0" w:space="0" w:color="000000"/>
            </w:tcBorders>
          </w:tcPr>
          <w:p>
            <w:pPr>
              <w:pStyle w:val="TableParagraph"/>
              <w:spacing w:before="122"/>
              <w:ind w:right="352"/>
              <w:rPr>
                <w:b/>
                <w:sz w:val="18"/>
              </w:rPr>
            </w:pPr>
            <w:r>
              <w:rPr>
                <w:b/>
                <w:w w:val="95"/>
                <w:sz w:val="18"/>
              </w:rPr>
              <w:t>708,004</w:t>
            </w:r>
          </w:p>
        </w:tc>
        <w:tc>
          <w:tcPr>
            <w:tcW w:w="1382" w:type="dxa"/>
            <w:tcBorders>
              <w:top w:val="single" w:sz="0" w:space="0" w:color="000000"/>
              <w:bottom w:val="single" w:sz="0" w:space="0" w:color="000000"/>
            </w:tcBorders>
          </w:tcPr>
          <w:p>
            <w:pPr>
              <w:pStyle w:val="TableParagraph"/>
              <w:spacing w:before="122"/>
              <w:ind w:right="436"/>
              <w:rPr>
                <w:sz w:val="18"/>
              </w:rPr>
            </w:pPr>
            <w:r>
              <w:rPr>
                <w:w w:val="95"/>
                <w:sz w:val="18"/>
              </w:rPr>
              <w:t>684,514</w:t>
            </w:r>
          </w:p>
        </w:tc>
        <w:tc>
          <w:tcPr>
            <w:tcW w:w="1382" w:type="dxa"/>
            <w:tcBorders>
              <w:top w:val="single" w:sz="0" w:space="0" w:color="000000"/>
              <w:bottom w:val="single" w:sz="0" w:space="0" w:color="000000"/>
            </w:tcBorders>
          </w:tcPr>
          <w:p>
            <w:pPr>
              <w:pStyle w:val="TableParagraph"/>
              <w:spacing w:before="122"/>
              <w:ind w:left="379"/>
              <w:jc w:val="left"/>
              <w:rPr>
                <w:b/>
                <w:sz w:val="18"/>
              </w:rPr>
            </w:pPr>
            <w:r>
              <w:rPr>
                <w:b/>
                <w:sz w:val="18"/>
              </w:rPr>
              <w:t>703,755</w:t>
            </w:r>
          </w:p>
        </w:tc>
        <w:tc>
          <w:tcPr>
            <w:tcW w:w="1030" w:type="dxa"/>
            <w:tcBorders>
              <w:top w:val="single" w:sz="0" w:space="0" w:color="000000"/>
              <w:bottom w:val="single" w:sz="0" w:space="0" w:color="000000"/>
            </w:tcBorders>
          </w:tcPr>
          <w:p>
            <w:pPr>
              <w:pStyle w:val="TableParagraph"/>
              <w:spacing w:before="122"/>
              <w:ind w:right="85"/>
              <w:rPr>
                <w:sz w:val="18"/>
              </w:rPr>
            </w:pPr>
            <w:r>
              <w:rPr>
                <w:w w:val="95"/>
                <w:sz w:val="18"/>
              </w:rPr>
              <w:t>680,286</w:t>
            </w:r>
          </w:p>
        </w:tc>
      </w:tr>
    </w:tbl>
    <w:p>
      <w:pPr>
        <w:spacing w:after="0"/>
        <w:rPr>
          <w:sz w:val="18"/>
        </w:rPr>
        <w:sectPr>
          <w:type w:val="continuous"/>
          <w:pgSz w:w="12750" w:h="17680"/>
          <w:pgMar w:top="1660" w:bottom="0" w:left="0" w:right="0"/>
        </w:sectPr>
      </w:pPr>
    </w:p>
    <w:p>
      <w:pPr>
        <w:pStyle w:val="BodyText"/>
        <w:rPr>
          <w:b/>
          <w:sz w:val="20"/>
        </w:rPr>
      </w:pPr>
    </w:p>
    <w:p>
      <w:pPr>
        <w:pStyle w:val="BodyText"/>
        <w:rPr>
          <w:b/>
          <w:sz w:val="20"/>
        </w:rPr>
      </w:pPr>
    </w:p>
    <w:p>
      <w:pPr>
        <w:pStyle w:val="BodyText"/>
        <w:spacing w:before="4"/>
        <w:rPr>
          <w:b/>
        </w:rPr>
      </w:pPr>
    </w:p>
    <w:p>
      <w:pPr>
        <w:tabs>
          <w:tab w:pos="2391" w:val="left" w:leader="none"/>
        </w:tabs>
        <w:spacing w:before="0"/>
        <w:ind w:left="1824" w:right="0" w:firstLine="0"/>
        <w:jc w:val="left"/>
        <w:rPr>
          <w:b/>
          <w:sz w:val="18"/>
        </w:rPr>
      </w:pPr>
      <w:bookmarkStart w:name="(c) Movements in retained earnings" w:id="111"/>
      <w:bookmarkEnd w:id="111"/>
      <w:r>
        <w:rPr/>
      </w:r>
      <w:r>
        <w:rPr>
          <w:b/>
          <w:sz w:val="18"/>
        </w:rPr>
        <w:t>29</w:t>
        <w:tab/>
        <w:t>Reserves and retained earnings</w:t>
      </w:r>
      <w:r>
        <w:rPr>
          <w:b/>
          <w:spacing w:val="-10"/>
          <w:sz w:val="18"/>
        </w:rPr>
        <w:t> </w:t>
      </w:r>
      <w:r>
        <w:rPr>
          <w:b/>
          <w:sz w:val="18"/>
        </w:rPr>
        <w:t>(continued)</w:t>
      </w:r>
    </w:p>
    <w:p>
      <w:pPr>
        <w:pStyle w:val="BodyText"/>
        <w:spacing w:before="7"/>
        <w:rPr>
          <w:b/>
          <w:sz w:val="26"/>
        </w:rPr>
      </w:pPr>
    </w:p>
    <w:p>
      <w:pPr>
        <w:pStyle w:val="ListParagraph"/>
        <w:numPr>
          <w:ilvl w:val="0"/>
          <w:numId w:val="26"/>
        </w:numPr>
        <w:tabs>
          <w:tab w:pos="2392" w:val="left" w:leader="none"/>
        </w:tabs>
        <w:spacing w:line="240" w:lineRule="auto" w:before="0" w:after="0"/>
        <w:ind w:left="2391" w:right="0" w:hanging="566"/>
        <w:jc w:val="left"/>
        <w:rPr>
          <w:sz w:val="18"/>
        </w:rPr>
      </w:pPr>
      <w:r>
        <w:rPr>
          <w:sz w:val="18"/>
        </w:rPr>
        <w:t>Movements in retained</w:t>
      </w:r>
      <w:r>
        <w:rPr>
          <w:spacing w:val="-28"/>
          <w:sz w:val="18"/>
        </w:rPr>
        <w:t> </w:t>
      </w:r>
      <w:r>
        <w:rPr>
          <w:sz w:val="18"/>
        </w:rPr>
        <w:t>earnings</w:t>
      </w:r>
    </w:p>
    <w:p>
      <w:pPr>
        <w:pStyle w:val="BodyText"/>
        <w:rPr>
          <w:sz w:val="20"/>
        </w:rPr>
      </w:pPr>
    </w:p>
    <w:p>
      <w:pPr>
        <w:pStyle w:val="BodyText"/>
        <w:spacing w:before="6"/>
        <w:rPr>
          <w:sz w:val="19"/>
        </w:rPr>
      </w:pPr>
    </w:p>
    <w:p>
      <w:pPr>
        <w:pStyle w:val="Heading8"/>
        <w:tabs>
          <w:tab w:pos="9704" w:val="left" w:leader="none"/>
        </w:tabs>
        <w:spacing w:before="77"/>
        <w:ind w:left="6650"/>
      </w:pPr>
      <w:r>
        <w:rPr/>
        <w:t>Consolidated</w:t>
        <w:tab/>
        <w:t>Parent</w:t>
      </w:r>
    </w:p>
    <w:p>
      <w:pPr>
        <w:spacing w:after="0"/>
        <w:sectPr>
          <w:pgSz w:w="12750" w:h="17680"/>
          <w:pgMar w:header="0" w:footer="907" w:top="2640" w:bottom="1120" w:left="0" w:right="0"/>
        </w:sectPr>
      </w:pPr>
    </w:p>
    <w:p>
      <w:pPr>
        <w:spacing w:before="66"/>
        <w:ind w:left="0" w:right="19" w:firstLine="0"/>
        <w:jc w:val="right"/>
        <w:rPr>
          <w:b/>
          <w:sz w:val="18"/>
        </w:rPr>
      </w:pPr>
      <w:r>
        <w:rPr>
          <w:b/>
          <w:sz w:val="18"/>
        </w:rPr>
        <w:t>2016</w:t>
      </w:r>
    </w:p>
    <w:p>
      <w:pPr>
        <w:spacing w:before="66"/>
        <w:ind w:left="0" w:right="0" w:firstLine="0"/>
        <w:jc w:val="right"/>
        <w:rPr>
          <w:b/>
          <w:sz w:val="18"/>
        </w:rPr>
      </w:pPr>
      <w:r>
        <w:rPr>
          <w:b/>
          <w:sz w:val="18"/>
        </w:rPr>
        <w:t>$'000</w:t>
      </w:r>
    </w:p>
    <w:p>
      <w:pPr>
        <w:spacing w:before="66"/>
        <w:ind w:left="822" w:right="-17" w:firstLine="0"/>
        <w:jc w:val="left"/>
        <w:rPr>
          <w:b/>
          <w:sz w:val="18"/>
        </w:rPr>
      </w:pPr>
      <w:r>
        <w:rPr/>
        <w:br w:type="column"/>
      </w:r>
      <w:r>
        <w:rPr>
          <w:b/>
          <w:sz w:val="18"/>
        </w:rPr>
        <w:t>2015</w:t>
      </w:r>
    </w:p>
    <w:p>
      <w:pPr>
        <w:spacing w:before="66"/>
        <w:ind w:left="801" w:right="-17" w:firstLine="0"/>
        <w:jc w:val="left"/>
        <w:rPr>
          <w:b/>
          <w:sz w:val="18"/>
        </w:rPr>
      </w:pPr>
      <w:r>
        <w:rPr>
          <w:b/>
          <w:spacing w:val="-1"/>
          <w:sz w:val="18"/>
        </w:rPr>
        <w:t>$'000</w:t>
      </w:r>
    </w:p>
    <w:p>
      <w:pPr>
        <w:spacing w:before="66"/>
        <w:ind w:left="0" w:right="19" w:firstLine="0"/>
        <w:jc w:val="right"/>
        <w:rPr>
          <w:b/>
          <w:sz w:val="18"/>
        </w:rPr>
      </w:pPr>
      <w:r>
        <w:rPr/>
        <w:br w:type="column"/>
      </w:r>
      <w:r>
        <w:rPr>
          <w:b/>
          <w:sz w:val="18"/>
        </w:rPr>
        <w:t>2016</w:t>
      </w:r>
    </w:p>
    <w:p>
      <w:pPr>
        <w:spacing w:before="66"/>
        <w:ind w:left="0" w:right="0" w:firstLine="0"/>
        <w:jc w:val="right"/>
        <w:rPr>
          <w:b/>
          <w:sz w:val="18"/>
        </w:rPr>
      </w:pPr>
      <w:r>
        <w:rPr>
          <w:b/>
          <w:sz w:val="18"/>
        </w:rPr>
        <w:t>$'000</w:t>
      </w:r>
    </w:p>
    <w:p>
      <w:pPr>
        <w:spacing w:before="66"/>
        <w:ind w:left="822" w:right="0" w:firstLine="0"/>
        <w:jc w:val="left"/>
        <w:rPr>
          <w:b/>
          <w:sz w:val="18"/>
        </w:rPr>
      </w:pPr>
      <w:r>
        <w:rPr/>
        <w:br w:type="column"/>
      </w:r>
      <w:r>
        <w:rPr>
          <w:b/>
          <w:sz w:val="18"/>
        </w:rPr>
        <w:t>2015</w:t>
      </w:r>
    </w:p>
    <w:p>
      <w:pPr>
        <w:spacing w:before="66"/>
        <w:ind w:left="801" w:right="0" w:firstLine="0"/>
        <w:jc w:val="left"/>
        <w:rPr>
          <w:b/>
          <w:sz w:val="18"/>
        </w:rPr>
      </w:pPr>
      <w:r>
        <w:rPr>
          <w:b/>
          <w:sz w:val="18"/>
        </w:rPr>
        <w:t>$'000</w:t>
      </w:r>
    </w:p>
    <w:p>
      <w:pPr>
        <w:spacing w:after="0"/>
        <w:jc w:val="left"/>
        <w:rPr>
          <w:sz w:val="18"/>
        </w:rPr>
        <w:sectPr>
          <w:type w:val="continuous"/>
          <w:pgSz w:w="12750" w:h="17680"/>
          <w:pgMar w:top="1660" w:bottom="0" w:left="0" w:right="0"/>
          <w:cols w:num="4" w:equalWidth="0">
            <w:col w:w="6877" w:space="40"/>
            <w:col w:w="1243" w:space="40"/>
            <w:col w:w="1441" w:space="40"/>
            <w:col w:w="3069"/>
          </w:cols>
        </w:sectPr>
      </w:pPr>
    </w:p>
    <w:p>
      <w:pPr>
        <w:pStyle w:val="BodyText"/>
        <w:spacing w:before="1"/>
        <w:rPr>
          <w:b/>
          <w:sz w:val="3"/>
        </w:rPr>
      </w:pPr>
    </w:p>
    <w:tbl>
      <w:tblPr>
        <w:tblW w:w="0" w:type="auto"/>
        <w:jc w:val="left"/>
        <w:tblInd w:w="179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28"/>
        <w:gridCol w:w="3597"/>
        <w:gridCol w:w="1703"/>
        <w:gridCol w:w="1382"/>
        <w:gridCol w:w="1382"/>
        <w:gridCol w:w="1061"/>
      </w:tblGrid>
      <w:tr>
        <w:trPr>
          <w:trHeight w:val="270" w:hRule="exact"/>
        </w:trPr>
        <w:tc>
          <w:tcPr>
            <w:tcW w:w="428" w:type="dxa"/>
            <w:vMerge w:val="restart"/>
          </w:tcPr>
          <w:p>
            <w:pPr/>
          </w:p>
        </w:tc>
        <w:tc>
          <w:tcPr>
            <w:tcW w:w="3597" w:type="dxa"/>
          </w:tcPr>
          <w:p>
            <w:pPr>
              <w:pStyle w:val="TableParagraph"/>
              <w:spacing w:before="24"/>
              <w:ind w:left="217" w:right="801"/>
              <w:jc w:val="left"/>
              <w:rPr>
                <w:sz w:val="18"/>
              </w:rPr>
            </w:pPr>
            <w:r>
              <w:rPr>
                <w:sz w:val="18"/>
              </w:rPr>
              <w:t>Retained earnings at 1 January</w:t>
            </w:r>
          </w:p>
        </w:tc>
        <w:tc>
          <w:tcPr>
            <w:tcW w:w="1703" w:type="dxa"/>
          </w:tcPr>
          <w:p>
            <w:pPr>
              <w:pStyle w:val="TableParagraph"/>
              <w:spacing w:before="26"/>
              <w:ind w:right="321"/>
              <w:rPr>
                <w:b/>
                <w:sz w:val="18"/>
              </w:rPr>
            </w:pPr>
            <w:r>
              <w:rPr>
                <w:b/>
                <w:w w:val="95"/>
                <w:sz w:val="18"/>
              </w:rPr>
              <w:t>922,839</w:t>
            </w:r>
          </w:p>
        </w:tc>
        <w:tc>
          <w:tcPr>
            <w:tcW w:w="1382" w:type="dxa"/>
          </w:tcPr>
          <w:p>
            <w:pPr>
              <w:pStyle w:val="TableParagraph"/>
              <w:spacing w:before="26"/>
              <w:ind w:right="407"/>
              <w:rPr>
                <w:sz w:val="18"/>
              </w:rPr>
            </w:pPr>
            <w:r>
              <w:rPr>
                <w:w w:val="95"/>
                <w:sz w:val="18"/>
              </w:rPr>
              <w:t>879,681</w:t>
            </w:r>
          </w:p>
        </w:tc>
        <w:tc>
          <w:tcPr>
            <w:tcW w:w="1382" w:type="dxa"/>
          </w:tcPr>
          <w:p>
            <w:pPr>
              <w:pStyle w:val="TableParagraph"/>
              <w:spacing w:before="26"/>
              <w:ind w:right="321"/>
              <w:rPr>
                <w:b/>
                <w:sz w:val="18"/>
              </w:rPr>
            </w:pPr>
            <w:r>
              <w:rPr>
                <w:b/>
                <w:w w:val="95"/>
                <w:sz w:val="18"/>
              </w:rPr>
              <w:t>917,144</w:t>
            </w:r>
          </w:p>
        </w:tc>
        <w:tc>
          <w:tcPr>
            <w:tcW w:w="1061" w:type="dxa"/>
          </w:tcPr>
          <w:p>
            <w:pPr>
              <w:pStyle w:val="TableParagraph"/>
              <w:spacing w:before="26"/>
              <w:ind w:right="86"/>
              <w:rPr>
                <w:sz w:val="18"/>
              </w:rPr>
            </w:pPr>
            <w:r>
              <w:rPr>
                <w:w w:val="95"/>
                <w:sz w:val="18"/>
              </w:rPr>
              <w:t>872,303</w:t>
            </w:r>
          </w:p>
        </w:tc>
      </w:tr>
      <w:tr>
        <w:trPr>
          <w:trHeight w:val="264" w:hRule="exact"/>
        </w:trPr>
        <w:tc>
          <w:tcPr>
            <w:tcW w:w="428" w:type="dxa"/>
            <w:vMerge/>
          </w:tcPr>
          <w:p>
            <w:pPr/>
          </w:p>
        </w:tc>
        <w:tc>
          <w:tcPr>
            <w:tcW w:w="3597" w:type="dxa"/>
          </w:tcPr>
          <w:p>
            <w:pPr>
              <w:pStyle w:val="TableParagraph"/>
              <w:spacing w:before="18"/>
              <w:ind w:left="217" w:right="801"/>
              <w:jc w:val="left"/>
              <w:rPr>
                <w:sz w:val="18"/>
              </w:rPr>
            </w:pPr>
            <w:r>
              <w:rPr>
                <w:sz w:val="18"/>
              </w:rPr>
              <w:t>Net result for the period</w:t>
            </w:r>
          </w:p>
        </w:tc>
        <w:tc>
          <w:tcPr>
            <w:tcW w:w="1703" w:type="dxa"/>
          </w:tcPr>
          <w:p>
            <w:pPr>
              <w:pStyle w:val="TableParagraph"/>
              <w:spacing w:before="19"/>
              <w:ind w:right="321"/>
              <w:rPr>
                <w:b/>
                <w:sz w:val="18"/>
              </w:rPr>
            </w:pPr>
            <w:r>
              <w:rPr>
                <w:b/>
                <w:w w:val="95"/>
                <w:sz w:val="18"/>
              </w:rPr>
              <w:t>34,837</w:t>
            </w:r>
          </w:p>
        </w:tc>
        <w:tc>
          <w:tcPr>
            <w:tcW w:w="1382" w:type="dxa"/>
          </w:tcPr>
          <w:p>
            <w:pPr>
              <w:pStyle w:val="TableParagraph"/>
              <w:spacing w:before="19"/>
              <w:ind w:right="407"/>
              <w:rPr>
                <w:sz w:val="18"/>
              </w:rPr>
            </w:pPr>
            <w:r>
              <w:rPr>
                <w:w w:val="95"/>
                <w:sz w:val="18"/>
              </w:rPr>
              <w:t>41,323</w:t>
            </w:r>
          </w:p>
        </w:tc>
        <w:tc>
          <w:tcPr>
            <w:tcW w:w="1382" w:type="dxa"/>
          </w:tcPr>
          <w:p>
            <w:pPr>
              <w:pStyle w:val="TableParagraph"/>
              <w:spacing w:before="19"/>
              <w:ind w:right="321"/>
              <w:rPr>
                <w:b/>
                <w:sz w:val="18"/>
              </w:rPr>
            </w:pPr>
            <w:r>
              <w:rPr>
                <w:b/>
                <w:w w:val="95"/>
                <w:sz w:val="18"/>
              </w:rPr>
              <w:t>36,018</w:t>
            </w:r>
          </w:p>
        </w:tc>
        <w:tc>
          <w:tcPr>
            <w:tcW w:w="1061" w:type="dxa"/>
          </w:tcPr>
          <w:p>
            <w:pPr>
              <w:pStyle w:val="TableParagraph"/>
              <w:spacing w:before="19"/>
              <w:ind w:right="86"/>
              <w:rPr>
                <w:sz w:val="18"/>
              </w:rPr>
            </w:pPr>
            <w:r>
              <w:rPr>
                <w:w w:val="95"/>
                <w:sz w:val="18"/>
              </w:rPr>
              <w:t>43,006</w:t>
            </w:r>
          </w:p>
        </w:tc>
      </w:tr>
      <w:tr>
        <w:trPr>
          <w:trHeight w:val="467" w:hRule="exact"/>
        </w:trPr>
        <w:tc>
          <w:tcPr>
            <w:tcW w:w="428" w:type="dxa"/>
            <w:vMerge/>
          </w:tcPr>
          <w:p>
            <w:pPr/>
          </w:p>
        </w:tc>
        <w:tc>
          <w:tcPr>
            <w:tcW w:w="3597" w:type="dxa"/>
          </w:tcPr>
          <w:p>
            <w:pPr>
              <w:pStyle w:val="TableParagraph"/>
              <w:spacing w:before="18"/>
              <w:ind w:left="217"/>
              <w:jc w:val="left"/>
              <w:rPr>
                <w:sz w:val="18"/>
              </w:rPr>
            </w:pPr>
            <w:r>
              <w:rPr>
                <w:sz w:val="18"/>
              </w:rPr>
              <w:t>Transfer from property, plant and </w:t>
            </w:r>
            <w:bookmarkStart w:name="(d) Nature and purpose of reserves" w:id="112"/>
            <w:bookmarkEnd w:id="112"/>
            <w:r>
              <w:rPr>
                <w:sz w:val="18"/>
              </w:rPr>
            </w:r>
            <w:r>
              <w:rPr>
                <w:sz w:val="18"/>
              </w:rPr>
              <w:t>equipment revaluation surplus</w:t>
            </w:r>
          </w:p>
        </w:tc>
        <w:tc>
          <w:tcPr>
            <w:tcW w:w="1703" w:type="dxa"/>
            <w:tcBorders>
              <w:bottom w:val="single" w:sz="0" w:space="0" w:color="000000"/>
            </w:tcBorders>
          </w:tcPr>
          <w:p>
            <w:pPr>
              <w:pStyle w:val="TableParagraph"/>
              <w:spacing w:before="5"/>
              <w:jc w:val="left"/>
              <w:rPr>
                <w:b/>
                <w:sz w:val="19"/>
              </w:rPr>
            </w:pPr>
          </w:p>
          <w:p>
            <w:pPr>
              <w:pStyle w:val="TableParagraph"/>
              <w:ind w:right="322"/>
              <w:rPr>
                <w:b/>
                <w:sz w:val="18"/>
              </w:rPr>
            </w:pPr>
            <w:r>
              <w:rPr>
                <w:b/>
                <w:sz w:val="18"/>
              </w:rPr>
              <w:t>540</w:t>
            </w:r>
          </w:p>
        </w:tc>
        <w:tc>
          <w:tcPr>
            <w:tcW w:w="1382" w:type="dxa"/>
            <w:tcBorders>
              <w:bottom w:val="single" w:sz="0" w:space="0" w:color="000000"/>
            </w:tcBorders>
          </w:tcPr>
          <w:p>
            <w:pPr>
              <w:pStyle w:val="TableParagraph"/>
              <w:spacing w:before="5"/>
              <w:jc w:val="left"/>
              <w:rPr>
                <w:b/>
                <w:sz w:val="19"/>
              </w:rPr>
            </w:pPr>
          </w:p>
          <w:p>
            <w:pPr>
              <w:pStyle w:val="TableParagraph"/>
              <w:ind w:right="407"/>
              <w:rPr>
                <w:sz w:val="18"/>
              </w:rPr>
            </w:pPr>
            <w:r>
              <w:rPr>
                <w:sz w:val="18"/>
              </w:rPr>
              <w:t>1,835</w:t>
            </w:r>
          </w:p>
        </w:tc>
        <w:tc>
          <w:tcPr>
            <w:tcW w:w="1382" w:type="dxa"/>
            <w:tcBorders>
              <w:bottom w:val="single" w:sz="0" w:space="0" w:color="000000"/>
            </w:tcBorders>
          </w:tcPr>
          <w:p>
            <w:pPr>
              <w:pStyle w:val="TableParagraph"/>
              <w:spacing w:before="5"/>
              <w:jc w:val="left"/>
              <w:rPr>
                <w:b/>
                <w:sz w:val="19"/>
              </w:rPr>
            </w:pPr>
          </w:p>
          <w:p>
            <w:pPr>
              <w:pStyle w:val="TableParagraph"/>
              <w:ind w:right="322"/>
              <w:rPr>
                <w:b/>
                <w:sz w:val="18"/>
              </w:rPr>
            </w:pPr>
            <w:r>
              <w:rPr>
                <w:b/>
                <w:sz w:val="18"/>
              </w:rPr>
              <w:t>540</w:t>
            </w:r>
          </w:p>
        </w:tc>
        <w:tc>
          <w:tcPr>
            <w:tcW w:w="1061" w:type="dxa"/>
            <w:tcBorders>
              <w:bottom w:val="single" w:sz="0" w:space="0" w:color="000000"/>
            </w:tcBorders>
          </w:tcPr>
          <w:p>
            <w:pPr>
              <w:pStyle w:val="TableParagraph"/>
              <w:spacing w:before="5"/>
              <w:jc w:val="left"/>
              <w:rPr>
                <w:b/>
                <w:sz w:val="19"/>
              </w:rPr>
            </w:pPr>
          </w:p>
          <w:p>
            <w:pPr>
              <w:pStyle w:val="TableParagraph"/>
              <w:ind w:right="86"/>
              <w:rPr>
                <w:sz w:val="18"/>
              </w:rPr>
            </w:pPr>
            <w:r>
              <w:rPr>
                <w:sz w:val="18"/>
              </w:rPr>
              <w:t>1,835</w:t>
            </w:r>
          </w:p>
        </w:tc>
      </w:tr>
      <w:tr>
        <w:trPr>
          <w:trHeight w:val="359" w:hRule="exact"/>
        </w:trPr>
        <w:tc>
          <w:tcPr>
            <w:tcW w:w="428" w:type="dxa"/>
            <w:vMerge/>
          </w:tcPr>
          <w:p>
            <w:pPr/>
          </w:p>
        </w:tc>
        <w:tc>
          <w:tcPr>
            <w:tcW w:w="3597" w:type="dxa"/>
          </w:tcPr>
          <w:p>
            <w:pPr>
              <w:pStyle w:val="TableParagraph"/>
              <w:spacing w:before="123"/>
              <w:ind w:left="217"/>
              <w:jc w:val="left"/>
              <w:rPr>
                <w:b/>
                <w:sz w:val="18"/>
              </w:rPr>
            </w:pPr>
            <w:r>
              <w:rPr>
                <w:b/>
                <w:sz w:val="18"/>
              </w:rPr>
              <w:t>Retained earnings at 31 December</w:t>
            </w:r>
          </w:p>
        </w:tc>
        <w:tc>
          <w:tcPr>
            <w:tcW w:w="1703" w:type="dxa"/>
            <w:tcBorders>
              <w:top w:val="single" w:sz="0" w:space="0" w:color="000000"/>
              <w:bottom w:val="single" w:sz="0" w:space="0" w:color="000000"/>
            </w:tcBorders>
          </w:tcPr>
          <w:p>
            <w:pPr>
              <w:pStyle w:val="TableParagraph"/>
              <w:spacing w:before="122"/>
              <w:ind w:right="321"/>
              <w:rPr>
                <w:b/>
                <w:sz w:val="18"/>
              </w:rPr>
            </w:pPr>
            <w:r>
              <w:rPr>
                <w:b/>
                <w:w w:val="95"/>
                <w:sz w:val="18"/>
              </w:rPr>
              <w:t>958,216</w:t>
            </w:r>
          </w:p>
        </w:tc>
        <w:tc>
          <w:tcPr>
            <w:tcW w:w="1382" w:type="dxa"/>
            <w:tcBorders>
              <w:top w:val="single" w:sz="0" w:space="0" w:color="000000"/>
              <w:bottom w:val="single" w:sz="0" w:space="0" w:color="000000"/>
            </w:tcBorders>
          </w:tcPr>
          <w:p>
            <w:pPr>
              <w:pStyle w:val="TableParagraph"/>
              <w:spacing w:before="122"/>
              <w:ind w:right="407"/>
              <w:rPr>
                <w:sz w:val="18"/>
              </w:rPr>
            </w:pPr>
            <w:r>
              <w:rPr>
                <w:w w:val="95"/>
                <w:sz w:val="18"/>
              </w:rPr>
              <w:t>922,839</w:t>
            </w:r>
          </w:p>
        </w:tc>
        <w:tc>
          <w:tcPr>
            <w:tcW w:w="1382" w:type="dxa"/>
            <w:tcBorders>
              <w:top w:val="single" w:sz="0" w:space="0" w:color="000000"/>
              <w:bottom w:val="single" w:sz="0" w:space="0" w:color="000000"/>
            </w:tcBorders>
          </w:tcPr>
          <w:p>
            <w:pPr>
              <w:pStyle w:val="TableParagraph"/>
              <w:spacing w:before="122"/>
              <w:ind w:right="321"/>
              <w:rPr>
                <w:b/>
                <w:sz w:val="18"/>
              </w:rPr>
            </w:pPr>
            <w:r>
              <w:rPr>
                <w:b/>
                <w:w w:val="95"/>
                <w:sz w:val="18"/>
              </w:rPr>
              <w:t>953,702</w:t>
            </w:r>
          </w:p>
        </w:tc>
        <w:tc>
          <w:tcPr>
            <w:tcW w:w="1061" w:type="dxa"/>
            <w:tcBorders>
              <w:top w:val="single" w:sz="0" w:space="0" w:color="000000"/>
              <w:bottom w:val="single" w:sz="0" w:space="0" w:color="000000"/>
            </w:tcBorders>
          </w:tcPr>
          <w:p>
            <w:pPr>
              <w:pStyle w:val="TableParagraph"/>
              <w:spacing w:before="122"/>
              <w:ind w:right="86"/>
              <w:rPr>
                <w:sz w:val="18"/>
              </w:rPr>
            </w:pPr>
            <w:r>
              <w:rPr>
                <w:w w:val="95"/>
                <w:sz w:val="18"/>
              </w:rPr>
              <w:t>917,144</w:t>
            </w:r>
          </w:p>
        </w:tc>
      </w:tr>
      <w:tr>
        <w:trPr>
          <w:trHeight w:val="641" w:hRule="exact"/>
        </w:trPr>
        <w:tc>
          <w:tcPr>
            <w:tcW w:w="428" w:type="dxa"/>
          </w:tcPr>
          <w:p>
            <w:pPr>
              <w:pStyle w:val="TableParagraph"/>
              <w:jc w:val="left"/>
              <w:rPr>
                <w:b/>
                <w:sz w:val="18"/>
              </w:rPr>
            </w:pPr>
          </w:p>
          <w:p>
            <w:pPr>
              <w:pStyle w:val="TableParagraph"/>
              <w:spacing w:before="131"/>
              <w:ind w:left="35"/>
              <w:jc w:val="left"/>
              <w:rPr>
                <w:sz w:val="18"/>
              </w:rPr>
            </w:pPr>
            <w:r>
              <w:rPr>
                <w:sz w:val="18"/>
              </w:rPr>
              <w:t>(d)</w:t>
            </w:r>
          </w:p>
        </w:tc>
        <w:tc>
          <w:tcPr>
            <w:tcW w:w="3597" w:type="dxa"/>
          </w:tcPr>
          <w:p>
            <w:pPr>
              <w:pStyle w:val="TableParagraph"/>
              <w:jc w:val="left"/>
              <w:rPr>
                <w:b/>
                <w:sz w:val="18"/>
              </w:rPr>
            </w:pPr>
          </w:p>
          <w:p>
            <w:pPr>
              <w:pStyle w:val="TableParagraph"/>
              <w:spacing w:before="131"/>
              <w:ind w:left="173" w:right="801"/>
              <w:jc w:val="left"/>
              <w:rPr>
                <w:sz w:val="18"/>
              </w:rPr>
            </w:pPr>
            <w:r>
              <w:rPr>
                <w:sz w:val="18"/>
              </w:rPr>
              <w:t>Nature and purpose of reserves</w:t>
            </w:r>
          </w:p>
        </w:tc>
        <w:tc>
          <w:tcPr>
            <w:tcW w:w="1703" w:type="dxa"/>
            <w:tcBorders>
              <w:top w:val="single" w:sz="0" w:space="0" w:color="000000"/>
            </w:tcBorders>
          </w:tcPr>
          <w:p>
            <w:pPr/>
          </w:p>
        </w:tc>
        <w:tc>
          <w:tcPr>
            <w:tcW w:w="1382" w:type="dxa"/>
            <w:tcBorders>
              <w:top w:val="single" w:sz="0" w:space="0" w:color="000000"/>
            </w:tcBorders>
          </w:tcPr>
          <w:p>
            <w:pPr/>
          </w:p>
        </w:tc>
        <w:tc>
          <w:tcPr>
            <w:tcW w:w="1382" w:type="dxa"/>
            <w:tcBorders>
              <w:top w:val="single" w:sz="0" w:space="0" w:color="000000"/>
            </w:tcBorders>
          </w:tcPr>
          <w:p>
            <w:pPr/>
          </w:p>
        </w:tc>
        <w:tc>
          <w:tcPr>
            <w:tcW w:w="1061" w:type="dxa"/>
            <w:tcBorders>
              <w:top w:val="single" w:sz="0" w:space="0" w:color="000000"/>
            </w:tcBorders>
          </w:tcPr>
          <w:p>
            <w:pPr/>
          </w:p>
        </w:tc>
      </w:tr>
    </w:tbl>
    <w:p>
      <w:pPr>
        <w:pStyle w:val="BodyText"/>
        <w:spacing w:before="4"/>
        <w:rPr>
          <w:b/>
          <w:sz w:val="10"/>
        </w:rPr>
      </w:pPr>
    </w:p>
    <w:p>
      <w:pPr>
        <w:pStyle w:val="BodyText"/>
        <w:spacing w:before="77"/>
        <w:ind w:left="2390" w:right="1375"/>
      </w:pPr>
      <w:r>
        <w:rPr/>
        <w:t>The property development revaluation reserve represents the gain on revaluation of land held for sale at date of transfer. The gain on revaluation will be transferred to retained earnings when the sale is completed, and the asset is de-recognised.</w:t>
      </w:r>
    </w:p>
    <w:p>
      <w:pPr>
        <w:pStyle w:val="BodyText"/>
        <w:spacing w:before="11"/>
        <w:rPr>
          <w:sz w:val="24"/>
        </w:rPr>
      </w:pPr>
    </w:p>
    <w:p>
      <w:pPr>
        <w:pStyle w:val="BodyText"/>
        <w:ind w:left="2390" w:right="1338"/>
      </w:pPr>
      <w:r>
        <w:rPr/>
        <w:drawing>
          <wp:anchor distT="0" distB="0" distL="0" distR="0" allowOverlap="1" layoutInCell="1" locked="0" behindDoc="0" simplePos="0" relativeHeight="4408">
            <wp:simplePos x="0" y="0"/>
            <wp:positionH relativeFrom="page">
              <wp:posOffset>-1587</wp:posOffset>
            </wp:positionH>
            <wp:positionV relativeFrom="paragraph">
              <wp:posOffset>157656</wp:posOffset>
            </wp:positionV>
            <wp:extent cx="136525" cy="155575"/>
            <wp:effectExtent l="0" t="0" r="0" b="0"/>
            <wp:wrapNone/>
            <wp:docPr id="277" name="image13.png" descr=""/>
            <wp:cNvGraphicFramePr>
              <a:graphicFrameLocks noChangeAspect="1"/>
            </wp:cNvGraphicFramePr>
            <a:graphic>
              <a:graphicData uri="http://schemas.openxmlformats.org/drawingml/2006/picture">
                <pic:pic>
                  <pic:nvPicPr>
                    <pic:cNvPr id="278" name="image13.png"/>
                    <pic:cNvPicPr/>
                  </pic:nvPicPr>
                  <pic:blipFill>
                    <a:blip r:embed="rId18" cstate="print"/>
                    <a:stretch>
                      <a:fillRect/>
                    </a:stretch>
                  </pic:blipFill>
                  <pic:spPr>
                    <a:xfrm>
                      <a:off x="0" y="0"/>
                      <a:ext cx="136525" cy="155575"/>
                    </a:xfrm>
                    <a:prstGeom prst="rect">
                      <a:avLst/>
                    </a:prstGeom>
                  </pic:spPr>
                </pic:pic>
              </a:graphicData>
            </a:graphic>
          </wp:anchor>
        </w:drawing>
      </w:r>
      <w:r>
        <w:rPr/>
        <w:drawing>
          <wp:anchor distT="0" distB="0" distL="0" distR="0" allowOverlap="1" layoutInCell="1" locked="0" behindDoc="0" simplePos="0" relativeHeight="4432">
            <wp:simplePos x="0" y="0"/>
            <wp:positionH relativeFrom="page">
              <wp:posOffset>7958429</wp:posOffset>
            </wp:positionH>
            <wp:positionV relativeFrom="paragraph">
              <wp:posOffset>157656</wp:posOffset>
            </wp:positionV>
            <wp:extent cx="135953" cy="155575"/>
            <wp:effectExtent l="0" t="0" r="0" b="0"/>
            <wp:wrapNone/>
            <wp:docPr id="279" name="image15.png" descr=""/>
            <wp:cNvGraphicFramePr>
              <a:graphicFrameLocks noChangeAspect="1"/>
            </wp:cNvGraphicFramePr>
            <a:graphic>
              <a:graphicData uri="http://schemas.openxmlformats.org/drawingml/2006/picture">
                <pic:pic>
                  <pic:nvPicPr>
                    <pic:cNvPr id="280" name="image15.png"/>
                    <pic:cNvPicPr/>
                  </pic:nvPicPr>
                  <pic:blipFill>
                    <a:blip r:embed="rId20" cstate="print"/>
                    <a:stretch>
                      <a:fillRect/>
                    </a:stretch>
                  </pic:blipFill>
                  <pic:spPr>
                    <a:xfrm>
                      <a:off x="0" y="0"/>
                      <a:ext cx="135953" cy="155575"/>
                    </a:xfrm>
                    <a:prstGeom prst="rect">
                      <a:avLst/>
                    </a:prstGeom>
                  </pic:spPr>
                </pic:pic>
              </a:graphicData>
            </a:graphic>
          </wp:anchor>
        </w:drawing>
      </w:r>
      <w:r>
        <w:rPr/>
        <w:t>The asset revaluation reserve for property, plant and equipment reflects revaluation of all Group land, buildings and rare library collection. The reserve is the difference between the valuation and the book value as at valuation date.</w:t>
      </w:r>
    </w:p>
    <w:p>
      <w:pPr>
        <w:pStyle w:val="BodyText"/>
        <w:spacing w:before="11"/>
        <w:rPr>
          <w:sz w:val="24"/>
        </w:rPr>
      </w:pPr>
    </w:p>
    <w:p>
      <w:pPr>
        <w:pStyle w:val="BodyText"/>
        <w:ind w:left="2390" w:right="1375"/>
      </w:pPr>
      <w:r>
        <w:rPr/>
        <w:t>The deferred superannuation reserve represents an emerging liability for the University in respect of any excess salary component relating to continuing members of SASS or SSS State Superannuation funds. Such a liability will arise where a continuing member of SASS or SSS has received a salary increase that causes their actual salary to be greater than their notional salary. The Commonwealth and State will guarantee to fund the State Superannuation Fund defined benefit obligation of each university, except to the extent that there is an excess salary component.</w:t>
      </w:r>
    </w:p>
    <w:p>
      <w:pPr>
        <w:pStyle w:val="BodyText"/>
        <w:spacing w:before="11"/>
        <w:rPr>
          <w:sz w:val="24"/>
        </w:rPr>
      </w:pPr>
    </w:p>
    <w:p>
      <w:pPr>
        <w:pStyle w:val="BodyText"/>
        <w:ind w:left="2390" w:right="1450"/>
      </w:pPr>
      <w:r>
        <w:rPr/>
        <w:t>The investment revaluation reserve is equal to the unrealised gains / (losses) on investments with the University's Fund Managers and unlisted securities for 2016 together with accumulated prior years unrealised gains / (losses).</w:t>
      </w:r>
    </w:p>
    <w:p>
      <w:pPr>
        <w:pStyle w:val="BodyText"/>
        <w:spacing w:before="11"/>
        <w:rPr>
          <w:sz w:val="24"/>
        </w:rPr>
      </w:pPr>
    </w:p>
    <w:p>
      <w:pPr>
        <w:pStyle w:val="BodyText"/>
        <w:ind w:left="2390" w:right="1375"/>
      </w:pPr>
      <w:r>
        <w:rPr/>
        <w:t>The asset revaluation reserve for art collection reflects the revaluation of all Group artworks. The reserve is the difference between the valuation and the book value at the valuation date.</w:t>
      </w:r>
    </w:p>
    <w:p>
      <w:pPr>
        <w:pStyle w:val="BodyText"/>
        <w:spacing w:before="11"/>
        <w:rPr>
          <w:sz w:val="24"/>
        </w:rPr>
      </w:pPr>
    </w:p>
    <w:p>
      <w:pPr>
        <w:pStyle w:val="BodyText"/>
        <w:ind w:left="2390" w:right="1375"/>
      </w:pPr>
      <w:r>
        <w:rPr/>
        <w:t>The livestock revaluation reserve reflects the revaluation of Group livestock at fair (market) value. The reserve is the difference between the revaluation and the book value at the valuation date See note 1(r).</w:t>
      </w:r>
    </w:p>
    <w:p>
      <w:pPr>
        <w:pStyle w:val="BodyText"/>
        <w:spacing w:before="11"/>
        <w:rPr>
          <w:sz w:val="24"/>
        </w:rPr>
      </w:pPr>
    </w:p>
    <w:p>
      <w:pPr>
        <w:pStyle w:val="BodyText"/>
        <w:ind w:left="2390" w:right="1375"/>
      </w:pPr>
      <w:r>
        <w:rPr/>
        <w:t>The licence revaluation reserve reflects the revaluation of the University's water licence. The reserve is the difference between the valuation and the book value at the valuation date.</w:t>
      </w:r>
    </w:p>
    <w:p>
      <w:pPr>
        <w:spacing w:after="0"/>
        <w:sectPr>
          <w:type w:val="continuous"/>
          <w:pgSz w:w="12750" w:h="17680"/>
          <w:pgMar w:top="1660" w:bottom="0" w:left="0" w:right="0"/>
        </w:sectPr>
      </w:pPr>
    </w:p>
    <w:p>
      <w:pPr>
        <w:pStyle w:val="BodyText"/>
        <w:rPr>
          <w:sz w:val="20"/>
        </w:rPr>
      </w:pPr>
    </w:p>
    <w:p>
      <w:pPr>
        <w:pStyle w:val="BodyText"/>
        <w:rPr>
          <w:sz w:val="20"/>
        </w:rPr>
      </w:pPr>
    </w:p>
    <w:p>
      <w:pPr>
        <w:pStyle w:val="BodyText"/>
        <w:spacing w:before="4"/>
      </w:pPr>
    </w:p>
    <w:p>
      <w:pPr>
        <w:pStyle w:val="Heading8"/>
        <w:ind w:left="1530"/>
      </w:pPr>
      <w:bookmarkStart w:name="30 Key Management Personnel Disclosures" w:id="113"/>
      <w:bookmarkEnd w:id="113"/>
      <w:r>
        <w:rPr>
          <w:b w:val="0"/>
        </w:rPr>
      </w:r>
      <w:bookmarkStart w:name="(a) Names of responsible persons and exe" w:id="114"/>
      <w:bookmarkEnd w:id="114"/>
      <w:r>
        <w:rPr>
          <w:b w:val="0"/>
        </w:rPr>
      </w:r>
      <w:r>
        <w:rPr/>
        <w:t>30 Key Management Personnel Disclosures</w:t>
      </w:r>
    </w:p>
    <w:p>
      <w:pPr>
        <w:pStyle w:val="BodyText"/>
        <w:spacing w:before="7"/>
        <w:rPr>
          <w:b/>
          <w:sz w:val="26"/>
        </w:rPr>
      </w:pPr>
    </w:p>
    <w:p>
      <w:pPr>
        <w:pStyle w:val="ListParagraph"/>
        <w:numPr>
          <w:ilvl w:val="0"/>
          <w:numId w:val="27"/>
        </w:numPr>
        <w:tabs>
          <w:tab w:pos="2392" w:val="left" w:leader="none"/>
        </w:tabs>
        <w:spacing w:line="240" w:lineRule="auto" w:before="0" w:after="0"/>
        <w:ind w:left="2391" w:right="0" w:hanging="566"/>
        <w:jc w:val="left"/>
        <w:rPr>
          <w:sz w:val="18"/>
        </w:rPr>
      </w:pPr>
      <w:r>
        <w:rPr>
          <w:sz w:val="18"/>
        </w:rPr>
        <w:t>Names</w:t>
      </w:r>
      <w:r>
        <w:rPr>
          <w:spacing w:val="-8"/>
          <w:sz w:val="18"/>
        </w:rPr>
        <w:t> </w:t>
      </w:r>
      <w:r>
        <w:rPr>
          <w:sz w:val="18"/>
        </w:rPr>
        <w:t>of</w:t>
      </w:r>
      <w:r>
        <w:rPr>
          <w:spacing w:val="-8"/>
          <w:sz w:val="18"/>
        </w:rPr>
        <w:t> </w:t>
      </w:r>
      <w:r>
        <w:rPr>
          <w:sz w:val="18"/>
        </w:rPr>
        <w:t>responsible</w:t>
      </w:r>
      <w:r>
        <w:rPr>
          <w:spacing w:val="-8"/>
          <w:sz w:val="18"/>
        </w:rPr>
        <w:t> </w:t>
      </w:r>
      <w:r>
        <w:rPr>
          <w:sz w:val="18"/>
        </w:rPr>
        <w:t>persons</w:t>
      </w:r>
      <w:r>
        <w:rPr>
          <w:spacing w:val="-8"/>
          <w:sz w:val="18"/>
        </w:rPr>
        <w:t> </w:t>
      </w:r>
      <w:r>
        <w:rPr>
          <w:sz w:val="18"/>
        </w:rPr>
        <w:t>and</w:t>
      </w:r>
      <w:r>
        <w:rPr>
          <w:spacing w:val="-8"/>
          <w:sz w:val="18"/>
        </w:rPr>
        <w:t> </w:t>
      </w:r>
      <w:r>
        <w:rPr>
          <w:sz w:val="18"/>
        </w:rPr>
        <w:t>executive</w:t>
      </w:r>
      <w:r>
        <w:rPr>
          <w:spacing w:val="-8"/>
          <w:sz w:val="18"/>
        </w:rPr>
        <w:t> </w:t>
      </w:r>
      <w:r>
        <w:rPr>
          <w:sz w:val="18"/>
        </w:rPr>
        <w:t>officers</w:t>
      </w:r>
    </w:p>
    <w:p>
      <w:pPr>
        <w:pStyle w:val="BodyText"/>
        <w:spacing w:before="4"/>
        <w:rPr>
          <w:sz w:val="25"/>
        </w:rPr>
      </w:pPr>
    </w:p>
    <w:p>
      <w:pPr>
        <w:pStyle w:val="BodyText"/>
        <w:ind w:left="2390" w:right="1375"/>
      </w:pPr>
      <w:r>
        <w:rPr/>
        <w:t>The following persons were responsible persons and executive officers of Western Sydney University during the financial year:</w:t>
      </w:r>
    </w:p>
    <w:p>
      <w:pPr>
        <w:pStyle w:val="BodyText"/>
        <w:spacing w:before="11"/>
        <w:rPr>
          <w:sz w:val="24"/>
        </w:rPr>
      </w:pPr>
    </w:p>
    <w:p>
      <w:pPr>
        <w:pStyle w:val="ListParagraph"/>
        <w:numPr>
          <w:ilvl w:val="1"/>
          <w:numId w:val="27"/>
        </w:numPr>
        <w:tabs>
          <w:tab w:pos="2600" w:val="left" w:leader="none"/>
        </w:tabs>
        <w:spacing w:line="240" w:lineRule="auto" w:before="0" w:after="0"/>
        <w:ind w:left="2599" w:right="0" w:hanging="209"/>
        <w:jc w:val="left"/>
        <w:rPr>
          <w:sz w:val="18"/>
        </w:rPr>
      </w:pPr>
      <w:r>
        <w:rPr>
          <w:sz w:val="18"/>
        </w:rPr>
        <w:t>Names of Responsible</w:t>
      </w:r>
      <w:r>
        <w:rPr>
          <w:spacing w:val="-26"/>
          <w:sz w:val="18"/>
        </w:rPr>
        <w:t> </w:t>
      </w:r>
      <w:r>
        <w:rPr>
          <w:sz w:val="18"/>
        </w:rPr>
        <w:t>Persons</w:t>
      </w:r>
    </w:p>
    <w:p>
      <w:pPr>
        <w:pStyle w:val="BodyText"/>
        <w:spacing w:before="11"/>
        <w:rPr>
          <w:sz w:val="24"/>
        </w:rPr>
      </w:pPr>
    </w:p>
    <w:p>
      <w:pPr>
        <w:pStyle w:val="BodyText"/>
        <w:ind w:left="2390" w:right="1375"/>
      </w:pPr>
      <w:r>
        <w:rPr/>
        <w:t>'Responsible person' is defined to mean a member of the University's Board of Trustees who had authority and responsibility for planning, directing and controlling activities of the University in 2016 :</w:t>
      </w:r>
    </w:p>
    <w:p>
      <w:pPr>
        <w:pStyle w:val="BodyText"/>
      </w:pPr>
    </w:p>
    <w:p>
      <w:pPr>
        <w:pStyle w:val="BodyText"/>
        <w:spacing w:line="302" w:lineRule="auto" w:before="153"/>
        <w:ind w:left="2392" w:right="8797"/>
      </w:pPr>
      <w:r>
        <w:rPr/>
        <w:t>Peter Shergold, AC Barney  Glover Paul Wormell</w:t>
      </w:r>
    </w:p>
    <w:p>
      <w:pPr>
        <w:pStyle w:val="BodyText"/>
        <w:spacing w:before="2"/>
        <w:ind w:left="2392"/>
      </w:pPr>
      <w:r>
        <w:rPr/>
        <w:t>John Banks</w:t>
      </w:r>
    </w:p>
    <w:p>
      <w:pPr>
        <w:pStyle w:val="BodyText"/>
        <w:spacing w:line="302" w:lineRule="auto" w:before="54"/>
        <w:ind w:left="2392" w:right="6108"/>
      </w:pPr>
      <w:r>
        <w:rPr/>
        <w:t>MaryAnn Bin-Sallik - commenced 1 January 2016 Elizabeth Dibbs</w:t>
      </w:r>
    </w:p>
    <w:p>
      <w:pPr>
        <w:pStyle w:val="BodyText"/>
        <w:spacing w:line="302" w:lineRule="auto" w:before="2"/>
        <w:ind w:left="2392" w:right="8847"/>
      </w:pPr>
      <w:r>
        <w:rPr/>
        <w:drawing>
          <wp:anchor distT="0" distB="0" distL="0" distR="0" allowOverlap="1" layoutInCell="1" locked="0" behindDoc="0" simplePos="0" relativeHeight="4456">
            <wp:simplePos x="0" y="0"/>
            <wp:positionH relativeFrom="page">
              <wp:posOffset>-1587</wp:posOffset>
            </wp:positionH>
            <wp:positionV relativeFrom="paragraph">
              <wp:posOffset>537640</wp:posOffset>
            </wp:positionV>
            <wp:extent cx="136525" cy="155575"/>
            <wp:effectExtent l="0" t="0" r="0" b="0"/>
            <wp:wrapNone/>
            <wp:docPr id="281" name="image13.png" descr=""/>
            <wp:cNvGraphicFramePr>
              <a:graphicFrameLocks noChangeAspect="1"/>
            </wp:cNvGraphicFramePr>
            <a:graphic>
              <a:graphicData uri="http://schemas.openxmlformats.org/drawingml/2006/picture">
                <pic:pic>
                  <pic:nvPicPr>
                    <pic:cNvPr id="282" name="image13.png"/>
                    <pic:cNvPicPr/>
                  </pic:nvPicPr>
                  <pic:blipFill>
                    <a:blip r:embed="rId18" cstate="print"/>
                    <a:stretch>
                      <a:fillRect/>
                    </a:stretch>
                  </pic:blipFill>
                  <pic:spPr>
                    <a:xfrm>
                      <a:off x="0" y="0"/>
                      <a:ext cx="136525" cy="155575"/>
                    </a:xfrm>
                    <a:prstGeom prst="rect">
                      <a:avLst/>
                    </a:prstGeom>
                  </pic:spPr>
                </pic:pic>
              </a:graphicData>
            </a:graphic>
          </wp:anchor>
        </w:drawing>
      </w:r>
      <w:r>
        <w:rPr/>
        <w:drawing>
          <wp:anchor distT="0" distB="0" distL="0" distR="0" allowOverlap="1" layoutInCell="1" locked="0" behindDoc="0" simplePos="0" relativeHeight="4480">
            <wp:simplePos x="0" y="0"/>
            <wp:positionH relativeFrom="page">
              <wp:posOffset>7958429</wp:posOffset>
            </wp:positionH>
            <wp:positionV relativeFrom="paragraph">
              <wp:posOffset>537640</wp:posOffset>
            </wp:positionV>
            <wp:extent cx="135953" cy="155575"/>
            <wp:effectExtent l="0" t="0" r="0" b="0"/>
            <wp:wrapNone/>
            <wp:docPr id="283" name="image15.png" descr=""/>
            <wp:cNvGraphicFramePr>
              <a:graphicFrameLocks noChangeAspect="1"/>
            </wp:cNvGraphicFramePr>
            <a:graphic>
              <a:graphicData uri="http://schemas.openxmlformats.org/drawingml/2006/picture">
                <pic:pic>
                  <pic:nvPicPr>
                    <pic:cNvPr id="284" name="image15.png"/>
                    <pic:cNvPicPr/>
                  </pic:nvPicPr>
                  <pic:blipFill>
                    <a:blip r:embed="rId20" cstate="print"/>
                    <a:stretch>
                      <a:fillRect/>
                    </a:stretch>
                  </pic:blipFill>
                  <pic:spPr>
                    <a:xfrm>
                      <a:off x="0" y="0"/>
                      <a:ext cx="135953" cy="155575"/>
                    </a:xfrm>
                    <a:prstGeom prst="rect">
                      <a:avLst/>
                    </a:prstGeom>
                  </pic:spPr>
                </pic:pic>
              </a:graphicData>
            </a:graphic>
          </wp:anchor>
        </w:drawing>
      </w:r>
      <w:r>
        <w:rPr/>
        <w:t>Genevieve Gregor Vivienne James Ian Stone Christopher Brown</w:t>
      </w:r>
    </w:p>
    <w:p>
      <w:pPr>
        <w:pStyle w:val="BodyText"/>
        <w:spacing w:line="302" w:lineRule="auto" w:before="2"/>
        <w:ind w:left="2392" w:right="6586"/>
      </w:pPr>
      <w:r>
        <w:rPr/>
        <w:t>Peeyush Gupta - commenced 14 June 2016 Michael Pratt</w:t>
      </w:r>
    </w:p>
    <w:p>
      <w:pPr>
        <w:pStyle w:val="BodyText"/>
        <w:spacing w:line="302" w:lineRule="auto" w:before="2"/>
        <w:ind w:left="2392" w:right="6586"/>
      </w:pPr>
      <w:r>
        <w:rPr/>
        <w:t>Gillian Shadwick - ceased 4 April 2016 Gabrielle Trainor</w:t>
      </w:r>
    </w:p>
    <w:p>
      <w:pPr>
        <w:pStyle w:val="BodyText"/>
        <w:spacing w:line="302" w:lineRule="auto" w:before="2"/>
        <w:ind w:left="2392" w:right="6586"/>
      </w:pPr>
      <w:r>
        <w:rPr/>
        <w:t>Ben Etherington - commenced 1 January 2016 Tim Ferraro</w:t>
      </w:r>
    </w:p>
    <w:p>
      <w:pPr>
        <w:pStyle w:val="BodyText"/>
        <w:spacing w:line="302" w:lineRule="auto" w:before="2"/>
        <w:ind w:left="2392" w:right="6108"/>
      </w:pPr>
      <w:r>
        <w:rPr/>
        <w:t>Winnie Jobanputra - commenced 1 January 2016 Sophie Kobuch</w:t>
      </w:r>
    </w:p>
    <w:p>
      <w:pPr>
        <w:pStyle w:val="BodyText"/>
        <w:spacing w:before="2"/>
        <w:ind w:left="2392"/>
      </w:pPr>
      <w:r>
        <w:rPr/>
        <w:t>Jenny Purcell</w:t>
      </w:r>
    </w:p>
    <w:p>
      <w:pPr>
        <w:spacing w:after="0"/>
        <w:sectPr>
          <w:pgSz w:w="12750" w:h="17680"/>
          <w:pgMar w:header="0" w:footer="907" w:top="2640" w:bottom="1120" w:left="0" w:right="0"/>
        </w:sectPr>
      </w:pPr>
    </w:p>
    <w:p>
      <w:pPr>
        <w:pStyle w:val="BodyText"/>
        <w:rPr>
          <w:sz w:val="20"/>
        </w:rPr>
      </w:pPr>
    </w:p>
    <w:p>
      <w:pPr>
        <w:pStyle w:val="BodyText"/>
        <w:rPr>
          <w:sz w:val="20"/>
        </w:rPr>
      </w:pPr>
    </w:p>
    <w:p>
      <w:pPr>
        <w:pStyle w:val="BodyText"/>
        <w:spacing w:before="4"/>
      </w:pPr>
    </w:p>
    <w:p>
      <w:pPr>
        <w:pStyle w:val="Heading8"/>
        <w:tabs>
          <w:tab w:pos="2391" w:val="left" w:leader="none"/>
        </w:tabs>
        <w:ind w:left="1924"/>
      </w:pPr>
      <w:r>
        <w:rPr/>
        <w:t>30</w:t>
        <w:tab/>
        <w:t>Key</w:t>
      </w:r>
      <w:r>
        <w:rPr>
          <w:spacing w:val="-11"/>
        </w:rPr>
        <w:t> </w:t>
      </w:r>
      <w:r>
        <w:rPr/>
        <w:t>Management</w:t>
      </w:r>
      <w:r>
        <w:rPr>
          <w:spacing w:val="-11"/>
        </w:rPr>
        <w:t> </w:t>
      </w:r>
      <w:r>
        <w:rPr/>
        <w:t>Personnel</w:t>
      </w:r>
      <w:r>
        <w:rPr>
          <w:spacing w:val="-11"/>
        </w:rPr>
        <w:t> </w:t>
      </w:r>
      <w:r>
        <w:rPr/>
        <w:t>Disclosures</w:t>
      </w:r>
      <w:r>
        <w:rPr>
          <w:spacing w:val="-11"/>
        </w:rPr>
        <w:t> </w:t>
      </w:r>
      <w:r>
        <w:rPr/>
        <w:t>(continued)</w:t>
      </w:r>
    </w:p>
    <w:p>
      <w:pPr>
        <w:pStyle w:val="BodyText"/>
        <w:spacing w:before="7"/>
        <w:rPr>
          <w:b/>
          <w:sz w:val="26"/>
        </w:rPr>
      </w:pPr>
    </w:p>
    <w:p>
      <w:pPr>
        <w:pStyle w:val="ListParagraph"/>
        <w:numPr>
          <w:ilvl w:val="0"/>
          <w:numId w:val="28"/>
        </w:numPr>
        <w:tabs>
          <w:tab w:pos="2392" w:val="left" w:leader="none"/>
        </w:tabs>
        <w:spacing w:line="240" w:lineRule="auto" w:before="0" w:after="0"/>
        <w:ind w:left="2391" w:right="0" w:hanging="566"/>
        <w:jc w:val="left"/>
        <w:rPr>
          <w:sz w:val="18"/>
        </w:rPr>
      </w:pPr>
      <w:r>
        <w:rPr>
          <w:sz w:val="18"/>
        </w:rPr>
        <w:t>Names</w:t>
      </w:r>
      <w:r>
        <w:rPr>
          <w:spacing w:val="-9"/>
          <w:sz w:val="18"/>
        </w:rPr>
        <w:t> </w:t>
      </w:r>
      <w:r>
        <w:rPr>
          <w:sz w:val="18"/>
        </w:rPr>
        <w:t>of</w:t>
      </w:r>
      <w:r>
        <w:rPr>
          <w:spacing w:val="-9"/>
          <w:sz w:val="18"/>
        </w:rPr>
        <w:t> </w:t>
      </w:r>
      <w:r>
        <w:rPr>
          <w:sz w:val="18"/>
        </w:rPr>
        <w:t>responsible</w:t>
      </w:r>
      <w:r>
        <w:rPr>
          <w:spacing w:val="-9"/>
          <w:sz w:val="18"/>
        </w:rPr>
        <w:t> </w:t>
      </w:r>
      <w:r>
        <w:rPr>
          <w:sz w:val="18"/>
        </w:rPr>
        <w:t>persons</w:t>
      </w:r>
      <w:r>
        <w:rPr>
          <w:spacing w:val="-9"/>
          <w:sz w:val="18"/>
        </w:rPr>
        <w:t> </w:t>
      </w:r>
      <w:r>
        <w:rPr>
          <w:sz w:val="18"/>
        </w:rPr>
        <w:t>and</w:t>
      </w:r>
      <w:r>
        <w:rPr>
          <w:spacing w:val="-9"/>
          <w:sz w:val="18"/>
        </w:rPr>
        <w:t> </w:t>
      </w:r>
      <w:r>
        <w:rPr>
          <w:sz w:val="18"/>
        </w:rPr>
        <w:t>executive</w:t>
      </w:r>
      <w:r>
        <w:rPr>
          <w:spacing w:val="-9"/>
          <w:sz w:val="18"/>
        </w:rPr>
        <w:t> </w:t>
      </w:r>
      <w:r>
        <w:rPr>
          <w:sz w:val="18"/>
        </w:rPr>
        <w:t>officers</w:t>
      </w:r>
      <w:r>
        <w:rPr>
          <w:spacing w:val="-9"/>
          <w:sz w:val="18"/>
        </w:rPr>
        <w:t> </w:t>
      </w:r>
      <w:r>
        <w:rPr>
          <w:sz w:val="18"/>
        </w:rPr>
        <w:t>(continued)</w:t>
      </w:r>
    </w:p>
    <w:p>
      <w:pPr>
        <w:pStyle w:val="BodyText"/>
        <w:spacing w:before="4"/>
        <w:rPr>
          <w:sz w:val="25"/>
        </w:rPr>
      </w:pPr>
    </w:p>
    <w:p>
      <w:pPr>
        <w:pStyle w:val="ListParagraph"/>
        <w:numPr>
          <w:ilvl w:val="1"/>
          <w:numId w:val="27"/>
        </w:numPr>
        <w:tabs>
          <w:tab w:pos="2640" w:val="left" w:leader="none"/>
        </w:tabs>
        <w:spacing w:line="240" w:lineRule="auto" w:before="0" w:after="0"/>
        <w:ind w:left="2639" w:right="0" w:hanging="249"/>
        <w:jc w:val="left"/>
        <w:rPr>
          <w:sz w:val="18"/>
        </w:rPr>
      </w:pPr>
      <w:r>
        <w:rPr>
          <w:sz w:val="18"/>
        </w:rPr>
        <w:t>Names of Executive</w:t>
      </w:r>
      <w:r>
        <w:rPr>
          <w:spacing w:val="-25"/>
          <w:sz w:val="18"/>
        </w:rPr>
        <w:t> </w:t>
      </w:r>
      <w:r>
        <w:rPr>
          <w:sz w:val="18"/>
        </w:rPr>
        <w:t>Officers</w:t>
      </w:r>
    </w:p>
    <w:p>
      <w:pPr>
        <w:pStyle w:val="BodyText"/>
        <w:spacing w:before="11"/>
        <w:rPr>
          <w:sz w:val="24"/>
        </w:rPr>
      </w:pPr>
    </w:p>
    <w:p>
      <w:pPr>
        <w:pStyle w:val="BodyText"/>
        <w:ind w:left="2390" w:right="1375"/>
      </w:pPr>
      <w:r>
        <w:rPr/>
        <w:t>'Executive' is defined to mean the Chief Executive Officer plus the members of the Executive Committee of the University.  In 2016 these were:</w:t>
      </w:r>
    </w:p>
    <w:p>
      <w:pPr>
        <w:pStyle w:val="BodyText"/>
      </w:pPr>
    </w:p>
    <w:p>
      <w:pPr>
        <w:pStyle w:val="BodyText"/>
        <w:spacing w:line="302" w:lineRule="auto" w:before="153"/>
        <w:ind w:left="2392" w:right="8857"/>
      </w:pPr>
      <w:r>
        <w:rPr/>
        <w:t>Barney Glover Scott Holmes Denise Kirkpatrick Angelo Kourtis Peter Pickering Deborah Sweeney Linda Taylor</w:t>
      </w:r>
    </w:p>
    <w:p>
      <w:pPr>
        <w:pStyle w:val="BodyText"/>
        <w:spacing w:before="2"/>
        <w:ind w:left="2392"/>
      </w:pPr>
      <w:r>
        <w:rPr/>
        <w:t>Lisa Jackson-Pulver</w:t>
      </w:r>
    </w:p>
    <w:p>
      <w:pPr>
        <w:pStyle w:val="BodyText"/>
        <w:spacing w:line="302" w:lineRule="auto" w:before="54"/>
        <w:ind w:left="2392" w:right="6586"/>
      </w:pPr>
      <w:r>
        <w:rPr/>
        <w:t>Simon Barrie - commenced 11 January 2016 Kevin Bell - commenced 11 July 2016</w:t>
      </w:r>
    </w:p>
    <w:p>
      <w:pPr>
        <w:pStyle w:val="BodyText"/>
        <w:spacing w:line="302" w:lineRule="auto" w:before="2"/>
        <w:ind w:left="2392" w:right="6108"/>
      </w:pPr>
      <w:r>
        <w:rPr/>
        <w:drawing>
          <wp:anchor distT="0" distB="0" distL="0" distR="0" allowOverlap="1" layoutInCell="1" locked="0" behindDoc="0" simplePos="0" relativeHeight="4504">
            <wp:simplePos x="0" y="0"/>
            <wp:positionH relativeFrom="page">
              <wp:posOffset>-1587</wp:posOffset>
            </wp:positionH>
            <wp:positionV relativeFrom="paragraph">
              <wp:posOffset>318184</wp:posOffset>
            </wp:positionV>
            <wp:extent cx="136525" cy="155575"/>
            <wp:effectExtent l="0" t="0" r="0" b="0"/>
            <wp:wrapNone/>
            <wp:docPr id="285" name="image13.png" descr=""/>
            <wp:cNvGraphicFramePr>
              <a:graphicFrameLocks noChangeAspect="1"/>
            </wp:cNvGraphicFramePr>
            <a:graphic>
              <a:graphicData uri="http://schemas.openxmlformats.org/drawingml/2006/picture">
                <pic:pic>
                  <pic:nvPicPr>
                    <pic:cNvPr id="286" name="image13.png"/>
                    <pic:cNvPicPr/>
                  </pic:nvPicPr>
                  <pic:blipFill>
                    <a:blip r:embed="rId18" cstate="print"/>
                    <a:stretch>
                      <a:fillRect/>
                    </a:stretch>
                  </pic:blipFill>
                  <pic:spPr>
                    <a:xfrm>
                      <a:off x="0" y="0"/>
                      <a:ext cx="136525" cy="155575"/>
                    </a:xfrm>
                    <a:prstGeom prst="rect">
                      <a:avLst/>
                    </a:prstGeom>
                  </pic:spPr>
                </pic:pic>
              </a:graphicData>
            </a:graphic>
          </wp:anchor>
        </w:drawing>
      </w:r>
      <w:r>
        <w:rPr/>
        <w:drawing>
          <wp:anchor distT="0" distB="0" distL="0" distR="0" allowOverlap="1" layoutInCell="1" locked="0" behindDoc="0" simplePos="0" relativeHeight="4528">
            <wp:simplePos x="0" y="0"/>
            <wp:positionH relativeFrom="page">
              <wp:posOffset>7958429</wp:posOffset>
            </wp:positionH>
            <wp:positionV relativeFrom="paragraph">
              <wp:posOffset>318184</wp:posOffset>
            </wp:positionV>
            <wp:extent cx="135953" cy="155575"/>
            <wp:effectExtent l="0" t="0" r="0" b="0"/>
            <wp:wrapNone/>
            <wp:docPr id="287" name="image15.png" descr=""/>
            <wp:cNvGraphicFramePr>
              <a:graphicFrameLocks noChangeAspect="1"/>
            </wp:cNvGraphicFramePr>
            <a:graphic>
              <a:graphicData uri="http://schemas.openxmlformats.org/drawingml/2006/picture">
                <pic:pic>
                  <pic:nvPicPr>
                    <pic:cNvPr id="288" name="image15.png"/>
                    <pic:cNvPicPr/>
                  </pic:nvPicPr>
                  <pic:blipFill>
                    <a:blip r:embed="rId20" cstate="print"/>
                    <a:stretch>
                      <a:fillRect/>
                    </a:stretch>
                  </pic:blipFill>
                  <pic:spPr>
                    <a:xfrm>
                      <a:off x="0" y="0"/>
                      <a:ext cx="135953" cy="155575"/>
                    </a:xfrm>
                    <a:prstGeom prst="rect">
                      <a:avLst/>
                    </a:prstGeom>
                  </pic:spPr>
                </pic:pic>
              </a:graphicData>
            </a:graphic>
          </wp:anchor>
        </w:drawing>
      </w:r>
      <w:r>
        <w:rPr/>
        <w:t>Michael Burgess - commenced 1 February 2016 Michael Adams</w:t>
      </w:r>
    </w:p>
    <w:p>
      <w:pPr>
        <w:pStyle w:val="BodyText"/>
        <w:spacing w:line="302" w:lineRule="auto" w:before="2"/>
        <w:ind w:left="2392" w:right="6665"/>
      </w:pPr>
      <w:r>
        <w:rPr/>
        <w:t>Rhonda Griffiths - ceased 30 September 2016 Annemarie Hennessy</w:t>
      </w:r>
    </w:p>
    <w:p>
      <w:pPr>
        <w:pStyle w:val="BodyText"/>
        <w:spacing w:line="302" w:lineRule="auto" w:before="2"/>
        <w:ind w:left="2392" w:right="6615"/>
      </w:pPr>
      <w:r>
        <w:rPr/>
        <w:t>Deborah Hatcher - commenced 1 August 2016 Kevin Dunn</w:t>
      </w:r>
    </w:p>
    <w:p>
      <w:pPr>
        <w:pStyle w:val="BodyText"/>
        <w:spacing w:line="302" w:lineRule="auto" w:before="2"/>
        <w:ind w:left="2392" w:right="9057"/>
      </w:pPr>
      <w:r>
        <w:rPr/>
        <w:t>Gregory Kolt Michele Simons Peter Hutchings </w:t>
      </w:r>
      <w:bookmarkStart w:name="(b) Remuneration of board members and ex" w:id="115"/>
      <w:bookmarkEnd w:id="115"/>
      <w:r>
        <w:rPr/>
      </w:r>
      <w:r>
        <w:rPr/>
        <w:t>Simeon Simoff Kerry Holling</w:t>
      </w:r>
    </w:p>
    <w:p>
      <w:pPr>
        <w:pStyle w:val="BodyText"/>
        <w:spacing w:before="2"/>
        <w:ind w:left="2392"/>
      </w:pPr>
      <w:r>
        <w:rPr/>
        <w:t>Ellen Brackenreg - ceased 31 March 2016</w:t>
      </w:r>
    </w:p>
    <w:p>
      <w:pPr>
        <w:pStyle w:val="BodyText"/>
        <w:spacing w:before="4"/>
        <w:rPr>
          <w:sz w:val="22"/>
        </w:rPr>
      </w:pPr>
    </w:p>
    <w:p>
      <w:pPr>
        <w:pStyle w:val="ListParagraph"/>
        <w:numPr>
          <w:ilvl w:val="0"/>
          <w:numId w:val="28"/>
        </w:numPr>
        <w:tabs>
          <w:tab w:pos="2392" w:val="left" w:leader="none"/>
        </w:tabs>
        <w:spacing w:line="240" w:lineRule="auto" w:before="77" w:after="0"/>
        <w:ind w:left="2391" w:right="0" w:hanging="566"/>
        <w:jc w:val="left"/>
        <w:rPr>
          <w:sz w:val="18"/>
        </w:rPr>
      </w:pPr>
      <w:r>
        <w:rPr>
          <w:sz w:val="18"/>
        </w:rPr>
        <w:t>Remuneration</w:t>
      </w:r>
      <w:r>
        <w:rPr>
          <w:spacing w:val="-8"/>
          <w:sz w:val="18"/>
        </w:rPr>
        <w:t> </w:t>
      </w:r>
      <w:r>
        <w:rPr>
          <w:sz w:val="18"/>
        </w:rPr>
        <w:t>of</w:t>
      </w:r>
      <w:r>
        <w:rPr>
          <w:spacing w:val="-8"/>
          <w:sz w:val="18"/>
        </w:rPr>
        <w:t> </w:t>
      </w:r>
      <w:r>
        <w:rPr>
          <w:sz w:val="18"/>
        </w:rPr>
        <w:t>board</w:t>
      </w:r>
      <w:r>
        <w:rPr>
          <w:spacing w:val="-8"/>
          <w:sz w:val="18"/>
        </w:rPr>
        <w:t> </w:t>
      </w:r>
      <w:r>
        <w:rPr>
          <w:sz w:val="18"/>
        </w:rPr>
        <w:t>members</w:t>
      </w:r>
      <w:r>
        <w:rPr>
          <w:spacing w:val="-8"/>
          <w:sz w:val="18"/>
        </w:rPr>
        <w:t> </w:t>
      </w:r>
      <w:r>
        <w:rPr>
          <w:sz w:val="18"/>
        </w:rPr>
        <w:t>and</w:t>
      </w:r>
      <w:r>
        <w:rPr>
          <w:spacing w:val="-8"/>
          <w:sz w:val="18"/>
        </w:rPr>
        <w:t> </w:t>
      </w:r>
      <w:r>
        <w:rPr>
          <w:sz w:val="18"/>
        </w:rPr>
        <w:t>executives</w:t>
      </w:r>
    </w:p>
    <w:p>
      <w:pPr>
        <w:pStyle w:val="Heading8"/>
        <w:tabs>
          <w:tab w:pos="9704" w:val="left" w:leader="none"/>
        </w:tabs>
        <w:spacing w:before="38" w:after="36"/>
        <w:ind w:left="6663"/>
      </w:pPr>
      <w:r>
        <w:rPr/>
        <w:t>Consolidated</w:t>
        <w:tab/>
        <w:t>Parent</w:t>
      </w:r>
    </w:p>
    <w:tbl>
      <w:tblPr>
        <w:tblW w:w="0" w:type="auto"/>
        <w:jc w:val="left"/>
        <w:tblInd w:w="240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414"/>
        <w:gridCol w:w="1230"/>
        <w:gridCol w:w="352"/>
        <w:gridCol w:w="938"/>
        <w:gridCol w:w="451"/>
        <w:gridCol w:w="1024"/>
        <w:gridCol w:w="352"/>
        <w:gridCol w:w="938"/>
        <w:gridCol w:w="245"/>
      </w:tblGrid>
      <w:tr>
        <w:trPr>
          <w:trHeight w:val="594" w:hRule="exact"/>
        </w:trPr>
        <w:tc>
          <w:tcPr>
            <w:tcW w:w="3414" w:type="dxa"/>
          </w:tcPr>
          <w:p>
            <w:pPr/>
          </w:p>
        </w:tc>
        <w:tc>
          <w:tcPr>
            <w:tcW w:w="1230" w:type="dxa"/>
          </w:tcPr>
          <w:p>
            <w:pPr>
              <w:pStyle w:val="TableParagraph"/>
              <w:spacing w:before="30"/>
              <w:ind w:left="479" w:right="29"/>
              <w:jc w:val="center"/>
              <w:rPr>
                <w:b/>
                <w:sz w:val="18"/>
              </w:rPr>
            </w:pPr>
            <w:r>
              <w:rPr>
                <w:b/>
                <w:sz w:val="18"/>
              </w:rPr>
              <w:t>2016</w:t>
            </w:r>
          </w:p>
          <w:p>
            <w:pPr>
              <w:pStyle w:val="TableParagraph"/>
              <w:spacing w:before="66"/>
              <w:ind w:left="479" w:right="29"/>
              <w:jc w:val="center"/>
              <w:rPr>
                <w:b/>
                <w:sz w:val="18"/>
              </w:rPr>
            </w:pPr>
            <w:r>
              <w:rPr>
                <w:b/>
                <w:sz w:val="18"/>
              </w:rPr>
              <w:t>Number</w:t>
            </w:r>
          </w:p>
        </w:tc>
        <w:tc>
          <w:tcPr>
            <w:tcW w:w="352" w:type="dxa"/>
          </w:tcPr>
          <w:p>
            <w:pPr/>
          </w:p>
        </w:tc>
        <w:tc>
          <w:tcPr>
            <w:tcW w:w="938" w:type="dxa"/>
          </w:tcPr>
          <w:p>
            <w:pPr>
              <w:pStyle w:val="TableParagraph"/>
              <w:spacing w:before="30"/>
              <w:ind w:left="181" w:right="36"/>
              <w:jc w:val="center"/>
              <w:rPr>
                <w:b/>
                <w:sz w:val="18"/>
              </w:rPr>
            </w:pPr>
            <w:r>
              <w:rPr>
                <w:b/>
                <w:sz w:val="18"/>
              </w:rPr>
              <w:t>2015</w:t>
            </w:r>
          </w:p>
          <w:p>
            <w:pPr>
              <w:pStyle w:val="TableParagraph"/>
              <w:spacing w:before="66"/>
              <w:ind w:left="181" w:right="36"/>
              <w:jc w:val="center"/>
              <w:rPr>
                <w:b/>
                <w:sz w:val="18"/>
              </w:rPr>
            </w:pPr>
            <w:r>
              <w:rPr>
                <w:b/>
                <w:sz w:val="18"/>
              </w:rPr>
              <w:t>Number</w:t>
            </w:r>
          </w:p>
        </w:tc>
        <w:tc>
          <w:tcPr>
            <w:tcW w:w="451" w:type="dxa"/>
          </w:tcPr>
          <w:p>
            <w:pPr/>
          </w:p>
        </w:tc>
        <w:tc>
          <w:tcPr>
            <w:tcW w:w="1024" w:type="dxa"/>
          </w:tcPr>
          <w:p>
            <w:pPr>
              <w:pStyle w:val="TableParagraph"/>
              <w:spacing w:before="30"/>
              <w:ind w:left="273" w:right="29"/>
              <w:jc w:val="center"/>
              <w:rPr>
                <w:b/>
                <w:sz w:val="18"/>
              </w:rPr>
            </w:pPr>
            <w:r>
              <w:rPr>
                <w:b/>
                <w:sz w:val="18"/>
              </w:rPr>
              <w:t>2016</w:t>
            </w:r>
          </w:p>
          <w:p>
            <w:pPr>
              <w:pStyle w:val="TableParagraph"/>
              <w:spacing w:before="66"/>
              <w:ind w:left="273" w:right="29"/>
              <w:jc w:val="center"/>
              <w:rPr>
                <w:b/>
                <w:sz w:val="18"/>
              </w:rPr>
            </w:pPr>
            <w:r>
              <w:rPr>
                <w:b/>
                <w:sz w:val="18"/>
              </w:rPr>
              <w:t>Number</w:t>
            </w:r>
          </w:p>
        </w:tc>
        <w:tc>
          <w:tcPr>
            <w:tcW w:w="352" w:type="dxa"/>
          </w:tcPr>
          <w:p>
            <w:pPr/>
          </w:p>
        </w:tc>
        <w:tc>
          <w:tcPr>
            <w:tcW w:w="938" w:type="dxa"/>
          </w:tcPr>
          <w:p>
            <w:pPr>
              <w:pStyle w:val="TableParagraph"/>
              <w:spacing w:before="30"/>
              <w:ind w:left="181" w:right="36"/>
              <w:jc w:val="center"/>
              <w:rPr>
                <w:b/>
                <w:sz w:val="18"/>
              </w:rPr>
            </w:pPr>
            <w:r>
              <w:rPr>
                <w:b/>
                <w:sz w:val="18"/>
              </w:rPr>
              <w:t>2015</w:t>
            </w:r>
          </w:p>
          <w:p>
            <w:pPr>
              <w:pStyle w:val="TableParagraph"/>
              <w:spacing w:before="66"/>
              <w:ind w:left="181" w:right="36"/>
              <w:jc w:val="center"/>
              <w:rPr>
                <w:b/>
                <w:sz w:val="18"/>
              </w:rPr>
            </w:pPr>
            <w:r>
              <w:rPr>
                <w:b/>
                <w:sz w:val="18"/>
              </w:rPr>
              <w:t>Number</w:t>
            </w:r>
          </w:p>
        </w:tc>
        <w:tc>
          <w:tcPr>
            <w:tcW w:w="245" w:type="dxa"/>
            <w:vMerge w:val="restart"/>
          </w:tcPr>
          <w:p>
            <w:pPr/>
          </w:p>
        </w:tc>
      </w:tr>
      <w:tr>
        <w:trPr>
          <w:trHeight w:val="454" w:hRule="exact"/>
        </w:trPr>
        <w:tc>
          <w:tcPr>
            <w:tcW w:w="3414" w:type="dxa"/>
          </w:tcPr>
          <w:p>
            <w:pPr>
              <w:pStyle w:val="TableParagraph"/>
              <w:spacing w:before="63"/>
              <w:ind w:left="35"/>
              <w:jc w:val="left"/>
              <w:rPr>
                <w:b/>
                <w:sz w:val="18"/>
              </w:rPr>
            </w:pPr>
            <w:r>
              <w:rPr>
                <w:b/>
                <w:sz w:val="18"/>
              </w:rPr>
              <w:t>Remuneration of Board Members</w:t>
            </w:r>
          </w:p>
        </w:tc>
        <w:tc>
          <w:tcPr>
            <w:tcW w:w="1230" w:type="dxa"/>
          </w:tcPr>
          <w:p>
            <w:pPr/>
          </w:p>
        </w:tc>
        <w:tc>
          <w:tcPr>
            <w:tcW w:w="352" w:type="dxa"/>
          </w:tcPr>
          <w:p>
            <w:pPr/>
          </w:p>
        </w:tc>
        <w:tc>
          <w:tcPr>
            <w:tcW w:w="938" w:type="dxa"/>
          </w:tcPr>
          <w:p>
            <w:pPr/>
          </w:p>
        </w:tc>
        <w:tc>
          <w:tcPr>
            <w:tcW w:w="451" w:type="dxa"/>
          </w:tcPr>
          <w:p>
            <w:pPr/>
          </w:p>
        </w:tc>
        <w:tc>
          <w:tcPr>
            <w:tcW w:w="1024" w:type="dxa"/>
          </w:tcPr>
          <w:p>
            <w:pPr/>
          </w:p>
        </w:tc>
        <w:tc>
          <w:tcPr>
            <w:tcW w:w="352" w:type="dxa"/>
          </w:tcPr>
          <w:p>
            <w:pPr/>
          </w:p>
        </w:tc>
        <w:tc>
          <w:tcPr>
            <w:tcW w:w="938" w:type="dxa"/>
          </w:tcPr>
          <w:p>
            <w:pPr/>
          </w:p>
        </w:tc>
        <w:tc>
          <w:tcPr>
            <w:tcW w:w="245" w:type="dxa"/>
            <w:vMerge/>
          </w:tcPr>
          <w:p>
            <w:pPr/>
          </w:p>
        </w:tc>
      </w:tr>
      <w:tr>
        <w:trPr>
          <w:trHeight w:val="410" w:hRule="exact"/>
        </w:trPr>
        <w:tc>
          <w:tcPr>
            <w:tcW w:w="3414" w:type="dxa"/>
          </w:tcPr>
          <w:p>
            <w:pPr>
              <w:pStyle w:val="TableParagraph"/>
              <w:spacing w:before="4"/>
              <w:jc w:val="left"/>
              <w:rPr>
                <w:b/>
                <w:sz w:val="14"/>
              </w:rPr>
            </w:pPr>
          </w:p>
          <w:p>
            <w:pPr>
              <w:pStyle w:val="TableParagraph"/>
              <w:ind w:left="35"/>
              <w:jc w:val="left"/>
              <w:rPr>
                <w:sz w:val="18"/>
              </w:rPr>
            </w:pPr>
            <w:r>
              <w:rPr>
                <w:sz w:val="18"/>
              </w:rPr>
              <w:t>Nil to $14,999</w:t>
            </w:r>
          </w:p>
        </w:tc>
        <w:tc>
          <w:tcPr>
            <w:tcW w:w="1230" w:type="dxa"/>
          </w:tcPr>
          <w:p>
            <w:pPr/>
          </w:p>
        </w:tc>
        <w:tc>
          <w:tcPr>
            <w:tcW w:w="352" w:type="dxa"/>
          </w:tcPr>
          <w:p>
            <w:pPr>
              <w:pStyle w:val="TableParagraph"/>
              <w:spacing w:before="3"/>
              <w:jc w:val="left"/>
              <w:rPr>
                <w:b/>
                <w:sz w:val="14"/>
              </w:rPr>
            </w:pPr>
          </w:p>
          <w:p>
            <w:pPr>
              <w:pStyle w:val="TableParagraph"/>
              <w:ind w:left="49"/>
              <w:jc w:val="left"/>
              <w:rPr>
                <w:b/>
                <w:sz w:val="18"/>
              </w:rPr>
            </w:pPr>
            <w:r>
              <w:rPr>
                <w:b/>
                <w:w w:val="99"/>
                <w:sz w:val="18"/>
              </w:rPr>
              <w:t>3</w:t>
            </w:r>
          </w:p>
        </w:tc>
        <w:tc>
          <w:tcPr>
            <w:tcW w:w="938" w:type="dxa"/>
          </w:tcPr>
          <w:p>
            <w:pPr/>
          </w:p>
        </w:tc>
        <w:tc>
          <w:tcPr>
            <w:tcW w:w="451" w:type="dxa"/>
          </w:tcPr>
          <w:p>
            <w:pPr>
              <w:pStyle w:val="TableParagraph"/>
              <w:spacing w:before="3"/>
              <w:jc w:val="left"/>
              <w:rPr>
                <w:b/>
                <w:sz w:val="14"/>
              </w:rPr>
            </w:pPr>
          </w:p>
          <w:p>
            <w:pPr>
              <w:pStyle w:val="TableParagraph"/>
              <w:ind w:left="56"/>
              <w:jc w:val="left"/>
              <w:rPr>
                <w:sz w:val="18"/>
              </w:rPr>
            </w:pPr>
            <w:r>
              <w:rPr>
                <w:w w:val="99"/>
                <w:sz w:val="18"/>
              </w:rPr>
              <w:t>2</w:t>
            </w:r>
          </w:p>
        </w:tc>
        <w:tc>
          <w:tcPr>
            <w:tcW w:w="1024" w:type="dxa"/>
          </w:tcPr>
          <w:p>
            <w:pPr/>
          </w:p>
        </w:tc>
        <w:tc>
          <w:tcPr>
            <w:tcW w:w="352" w:type="dxa"/>
          </w:tcPr>
          <w:p>
            <w:pPr>
              <w:pStyle w:val="TableParagraph"/>
              <w:spacing w:before="3"/>
              <w:jc w:val="left"/>
              <w:rPr>
                <w:b/>
                <w:sz w:val="14"/>
              </w:rPr>
            </w:pPr>
          </w:p>
          <w:p>
            <w:pPr>
              <w:pStyle w:val="TableParagraph"/>
              <w:ind w:left="89"/>
              <w:jc w:val="left"/>
              <w:rPr>
                <w:b/>
                <w:sz w:val="18"/>
              </w:rPr>
            </w:pPr>
            <w:r>
              <w:rPr>
                <w:b/>
                <w:w w:val="99"/>
                <w:sz w:val="18"/>
              </w:rPr>
              <w:t>-</w:t>
            </w:r>
          </w:p>
        </w:tc>
        <w:tc>
          <w:tcPr>
            <w:tcW w:w="938" w:type="dxa"/>
          </w:tcPr>
          <w:p>
            <w:pPr/>
          </w:p>
        </w:tc>
        <w:tc>
          <w:tcPr>
            <w:tcW w:w="245" w:type="dxa"/>
          </w:tcPr>
          <w:p>
            <w:pPr>
              <w:pStyle w:val="TableParagraph"/>
              <w:spacing w:before="3"/>
              <w:jc w:val="left"/>
              <w:rPr>
                <w:b/>
                <w:sz w:val="14"/>
              </w:rPr>
            </w:pPr>
          </w:p>
          <w:p>
            <w:pPr>
              <w:pStyle w:val="TableParagraph"/>
              <w:ind w:left="95"/>
              <w:jc w:val="left"/>
              <w:rPr>
                <w:sz w:val="18"/>
              </w:rPr>
            </w:pPr>
            <w:r>
              <w:rPr>
                <w:w w:val="99"/>
                <w:sz w:val="18"/>
              </w:rPr>
              <w:t>-</w:t>
            </w:r>
          </w:p>
        </w:tc>
      </w:tr>
      <w:tr>
        <w:trPr>
          <w:trHeight w:val="264" w:hRule="exact"/>
        </w:trPr>
        <w:tc>
          <w:tcPr>
            <w:tcW w:w="3414" w:type="dxa"/>
          </w:tcPr>
          <w:p>
            <w:pPr>
              <w:pStyle w:val="TableParagraph"/>
              <w:spacing w:before="19"/>
              <w:ind w:left="35"/>
              <w:jc w:val="left"/>
              <w:rPr>
                <w:sz w:val="18"/>
              </w:rPr>
            </w:pPr>
            <w:r>
              <w:rPr>
                <w:sz w:val="18"/>
              </w:rPr>
              <w:t>$15,000 to $29,999</w:t>
            </w:r>
          </w:p>
        </w:tc>
        <w:tc>
          <w:tcPr>
            <w:tcW w:w="1230" w:type="dxa"/>
          </w:tcPr>
          <w:p>
            <w:pPr/>
          </w:p>
        </w:tc>
        <w:tc>
          <w:tcPr>
            <w:tcW w:w="352" w:type="dxa"/>
          </w:tcPr>
          <w:p>
            <w:pPr>
              <w:pStyle w:val="TableParagraph"/>
              <w:spacing w:before="18"/>
              <w:ind w:left="49"/>
              <w:jc w:val="left"/>
              <w:rPr>
                <w:b/>
                <w:sz w:val="18"/>
              </w:rPr>
            </w:pPr>
            <w:r>
              <w:rPr>
                <w:b/>
                <w:w w:val="99"/>
                <w:sz w:val="18"/>
              </w:rPr>
              <w:t>1</w:t>
            </w:r>
          </w:p>
        </w:tc>
        <w:tc>
          <w:tcPr>
            <w:tcW w:w="938" w:type="dxa"/>
          </w:tcPr>
          <w:p>
            <w:pPr/>
          </w:p>
        </w:tc>
        <w:tc>
          <w:tcPr>
            <w:tcW w:w="451" w:type="dxa"/>
          </w:tcPr>
          <w:p>
            <w:pPr>
              <w:pStyle w:val="TableParagraph"/>
              <w:spacing w:before="18"/>
              <w:ind w:left="56"/>
              <w:jc w:val="left"/>
              <w:rPr>
                <w:sz w:val="18"/>
              </w:rPr>
            </w:pPr>
            <w:r>
              <w:rPr>
                <w:w w:val="99"/>
                <w:sz w:val="18"/>
              </w:rPr>
              <w:t>2</w:t>
            </w:r>
          </w:p>
        </w:tc>
        <w:tc>
          <w:tcPr>
            <w:tcW w:w="1024" w:type="dxa"/>
          </w:tcPr>
          <w:p>
            <w:pPr/>
          </w:p>
        </w:tc>
        <w:tc>
          <w:tcPr>
            <w:tcW w:w="352" w:type="dxa"/>
          </w:tcPr>
          <w:p>
            <w:pPr>
              <w:pStyle w:val="TableParagraph"/>
              <w:spacing w:before="18"/>
              <w:ind w:left="89"/>
              <w:jc w:val="left"/>
              <w:rPr>
                <w:b/>
                <w:sz w:val="18"/>
              </w:rPr>
            </w:pPr>
            <w:r>
              <w:rPr>
                <w:b/>
                <w:w w:val="99"/>
                <w:sz w:val="18"/>
              </w:rPr>
              <w:t>-</w:t>
            </w:r>
          </w:p>
        </w:tc>
        <w:tc>
          <w:tcPr>
            <w:tcW w:w="938" w:type="dxa"/>
          </w:tcPr>
          <w:p>
            <w:pPr/>
          </w:p>
        </w:tc>
        <w:tc>
          <w:tcPr>
            <w:tcW w:w="245" w:type="dxa"/>
          </w:tcPr>
          <w:p>
            <w:pPr>
              <w:pStyle w:val="TableParagraph"/>
              <w:spacing w:before="18"/>
              <w:ind w:left="95"/>
              <w:jc w:val="left"/>
              <w:rPr>
                <w:sz w:val="18"/>
              </w:rPr>
            </w:pPr>
            <w:r>
              <w:rPr>
                <w:w w:val="99"/>
                <w:sz w:val="18"/>
              </w:rPr>
              <w:t>-</w:t>
            </w:r>
          </w:p>
        </w:tc>
      </w:tr>
      <w:tr>
        <w:trPr>
          <w:trHeight w:val="526" w:hRule="exact"/>
        </w:trPr>
        <w:tc>
          <w:tcPr>
            <w:tcW w:w="3414" w:type="dxa"/>
          </w:tcPr>
          <w:p>
            <w:pPr>
              <w:pStyle w:val="TableParagraph"/>
              <w:spacing w:before="19"/>
              <w:ind w:left="35"/>
              <w:jc w:val="left"/>
              <w:rPr>
                <w:sz w:val="18"/>
              </w:rPr>
            </w:pPr>
            <w:r>
              <w:rPr>
                <w:sz w:val="18"/>
              </w:rPr>
              <w:t>$30,000 to $39,999</w:t>
            </w:r>
          </w:p>
          <w:p>
            <w:pPr>
              <w:pStyle w:val="TableParagraph"/>
              <w:spacing w:before="57"/>
              <w:ind w:left="35"/>
              <w:jc w:val="left"/>
              <w:rPr>
                <w:sz w:val="18"/>
              </w:rPr>
            </w:pPr>
            <w:r>
              <w:rPr>
                <w:sz w:val="18"/>
              </w:rPr>
              <w:t>$40,000 to $49,999</w:t>
            </w:r>
          </w:p>
        </w:tc>
        <w:tc>
          <w:tcPr>
            <w:tcW w:w="1230" w:type="dxa"/>
            <w:tcBorders>
              <w:bottom w:val="single" w:sz="0" w:space="0" w:color="000000"/>
            </w:tcBorders>
          </w:tcPr>
          <w:p>
            <w:pPr/>
          </w:p>
        </w:tc>
        <w:tc>
          <w:tcPr>
            <w:tcW w:w="352" w:type="dxa"/>
            <w:tcBorders>
              <w:bottom w:val="single" w:sz="0" w:space="0" w:color="000000"/>
            </w:tcBorders>
          </w:tcPr>
          <w:p>
            <w:pPr>
              <w:pStyle w:val="TableParagraph"/>
              <w:spacing w:before="18"/>
              <w:ind w:left="49"/>
              <w:jc w:val="left"/>
              <w:rPr>
                <w:b/>
                <w:sz w:val="18"/>
              </w:rPr>
            </w:pPr>
            <w:r>
              <w:rPr>
                <w:b/>
                <w:w w:val="99"/>
                <w:sz w:val="18"/>
              </w:rPr>
              <w:t>1</w:t>
            </w:r>
          </w:p>
          <w:p>
            <w:pPr>
              <w:pStyle w:val="TableParagraph"/>
              <w:spacing w:before="57"/>
              <w:ind w:left="89"/>
              <w:jc w:val="left"/>
              <w:rPr>
                <w:b/>
                <w:sz w:val="18"/>
              </w:rPr>
            </w:pPr>
            <w:r>
              <w:rPr>
                <w:b/>
                <w:w w:val="99"/>
                <w:sz w:val="18"/>
              </w:rPr>
              <w:t>-</w:t>
            </w:r>
          </w:p>
        </w:tc>
        <w:tc>
          <w:tcPr>
            <w:tcW w:w="938" w:type="dxa"/>
            <w:tcBorders>
              <w:bottom w:val="single" w:sz="0" w:space="0" w:color="000000"/>
            </w:tcBorders>
          </w:tcPr>
          <w:p>
            <w:pPr/>
          </w:p>
        </w:tc>
        <w:tc>
          <w:tcPr>
            <w:tcW w:w="451" w:type="dxa"/>
            <w:tcBorders>
              <w:bottom w:val="single" w:sz="0" w:space="0" w:color="000000"/>
            </w:tcBorders>
          </w:tcPr>
          <w:p>
            <w:pPr>
              <w:pStyle w:val="TableParagraph"/>
              <w:spacing w:line="307" w:lineRule="auto" w:before="18"/>
              <w:ind w:left="56" w:right="274" w:firstLine="39"/>
              <w:jc w:val="left"/>
              <w:rPr>
                <w:sz w:val="18"/>
              </w:rPr>
            </w:pPr>
            <w:r>
              <w:rPr>
                <w:sz w:val="18"/>
              </w:rPr>
              <w:t>- 1</w:t>
            </w:r>
          </w:p>
        </w:tc>
        <w:tc>
          <w:tcPr>
            <w:tcW w:w="1024" w:type="dxa"/>
            <w:tcBorders>
              <w:bottom w:val="single" w:sz="0" w:space="0" w:color="000000"/>
            </w:tcBorders>
          </w:tcPr>
          <w:p>
            <w:pPr/>
          </w:p>
        </w:tc>
        <w:tc>
          <w:tcPr>
            <w:tcW w:w="352" w:type="dxa"/>
            <w:tcBorders>
              <w:bottom w:val="single" w:sz="0" w:space="0" w:color="000000"/>
            </w:tcBorders>
          </w:tcPr>
          <w:p>
            <w:pPr>
              <w:pStyle w:val="TableParagraph"/>
              <w:spacing w:before="18"/>
              <w:ind w:left="49"/>
              <w:jc w:val="left"/>
              <w:rPr>
                <w:b/>
                <w:sz w:val="18"/>
              </w:rPr>
            </w:pPr>
            <w:r>
              <w:rPr>
                <w:b/>
                <w:w w:val="99"/>
                <w:sz w:val="18"/>
              </w:rPr>
              <w:t>1</w:t>
            </w:r>
          </w:p>
          <w:p>
            <w:pPr>
              <w:pStyle w:val="TableParagraph"/>
              <w:spacing w:before="57"/>
              <w:ind w:left="89"/>
              <w:jc w:val="left"/>
              <w:rPr>
                <w:b/>
                <w:sz w:val="18"/>
              </w:rPr>
            </w:pPr>
            <w:r>
              <w:rPr>
                <w:b/>
                <w:w w:val="99"/>
                <w:sz w:val="18"/>
              </w:rPr>
              <w:t>-</w:t>
            </w:r>
          </w:p>
        </w:tc>
        <w:tc>
          <w:tcPr>
            <w:tcW w:w="938" w:type="dxa"/>
            <w:tcBorders>
              <w:bottom w:val="single" w:sz="0" w:space="0" w:color="000000"/>
            </w:tcBorders>
          </w:tcPr>
          <w:p>
            <w:pPr/>
          </w:p>
        </w:tc>
        <w:tc>
          <w:tcPr>
            <w:tcW w:w="245" w:type="dxa"/>
            <w:tcBorders>
              <w:bottom w:val="single" w:sz="0" w:space="0" w:color="000000"/>
            </w:tcBorders>
          </w:tcPr>
          <w:p>
            <w:pPr>
              <w:pStyle w:val="TableParagraph"/>
              <w:spacing w:line="307" w:lineRule="auto" w:before="18"/>
              <w:ind w:left="56" w:right="68" w:firstLine="39"/>
              <w:jc w:val="left"/>
              <w:rPr>
                <w:sz w:val="18"/>
              </w:rPr>
            </w:pPr>
            <w:r>
              <w:rPr>
                <w:sz w:val="18"/>
              </w:rPr>
              <w:t>- 1</w:t>
            </w:r>
          </w:p>
        </w:tc>
      </w:tr>
      <w:tr>
        <w:trPr>
          <w:trHeight w:val="338" w:hRule="exact"/>
        </w:trPr>
        <w:tc>
          <w:tcPr>
            <w:tcW w:w="3414" w:type="dxa"/>
          </w:tcPr>
          <w:p>
            <w:pPr/>
          </w:p>
        </w:tc>
        <w:tc>
          <w:tcPr>
            <w:tcW w:w="1230" w:type="dxa"/>
            <w:tcBorders>
              <w:top w:val="single" w:sz="0" w:space="0" w:color="000000"/>
              <w:bottom w:val="single" w:sz="0" w:space="0" w:color="000000"/>
            </w:tcBorders>
          </w:tcPr>
          <w:p>
            <w:pPr/>
          </w:p>
        </w:tc>
        <w:tc>
          <w:tcPr>
            <w:tcW w:w="352" w:type="dxa"/>
            <w:tcBorders>
              <w:top w:val="single" w:sz="0" w:space="0" w:color="000000"/>
              <w:bottom w:val="single" w:sz="0" w:space="0" w:color="000000"/>
            </w:tcBorders>
          </w:tcPr>
          <w:p>
            <w:pPr>
              <w:pStyle w:val="TableParagraph"/>
              <w:spacing w:before="122"/>
              <w:ind w:left="49"/>
              <w:jc w:val="left"/>
              <w:rPr>
                <w:b/>
                <w:sz w:val="18"/>
              </w:rPr>
            </w:pPr>
            <w:r>
              <w:rPr>
                <w:b/>
                <w:w w:val="99"/>
                <w:sz w:val="18"/>
              </w:rPr>
              <w:t>5</w:t>
            </w:r>
          </w:p>
        </w:tc>
        <w:tc>
          <w:tcPr>
            <w:tcW w:w="938" w:type="dxa"/>
            <w:tcBorders>
              <w:top w:val="single" w:sz="0" w:space="0" w:color="000000"/>
              <w:bottom w:val="single" w:sz="0" w:space="0" w:color="000000"/>
            </w:tcBorders>
          </w:tcPr>
          <w:p>
            <w:pPr/>
          </w:p>
        </w:tc>
        <w:tc>
          <w:tcPr>
            <w:tcW w:w="451" w:type="dxa"/>
            <w:tcBorders>
              <w:top w:val="single" w:sz="0" w:space="0" w:color="000000"/>
              <w:bottom w:val="single" w:sz="0" w:space="0" w:color="000000"/>
            </w:tcBorders>
          </w:tcPr>
          <w:p>
            <w:pPr>
              <w:pStyle w:val="TableParagraph"/>
              <w:spacing w:before="122"/>
              <w:ind w:left="56"/>
              <w:jc w:val="left"/>
              <w:rPr>
                <w:sz w:val="18"/>
              </w:rPr>
            </w:pPr>
            <w:r>
              <w:rPr>
                <w:w w:val="99"/>
                <w:sz w:val="18"/>
              </w:rPr>
              <w:t>5</w:t>
            </w:r>
          </w:p>
        </w:tc>
        <w:tc>
          <w:tcPr>
            <w:tcW w:w="1024" w:type="dxa"/>
            <w:tcBorders>
              <w:top w:val="single" w:sz="0" w:space="0" w:color="000000"/>
              <w:bottom w:val="single" w:sz="0" w:space="0" w:color="000000"/>
            </w:tcBorders>
          </w:tcPr>
          <w:p>
            <w:pPr/>
          </w:p>
        </w:tc>
        <w:tc>
          <w:tcPr>
            <w:tcW w:w="352" w:type="dxa"/>
            <w:tcBorders>
              <w:top w:val="single" w:sz="0" w:space="0" w:color="000000"/>
              <w:bottom w:val="single" w:sz="0" w:space="0" w:color="000000"/>
            </w:tcBorders>
          </w:tcPr>
          <w:p>
            <w:pPr>
              <w:pStyle w:val="TableParagraph"/>
              <w:spacing w:before="122"/>
              <w:ind w:left="49"/>
              <w:jc w:val="left"/>
              <w:rPr>
                <w:b/>
                <w:sz w:val="18"/>
              </w:rPr>
            </w:pPr>
            <w:r>
              <w:rPr>
                <w:b/>
                <w:w w:val="99"/>
                <w:sz w:val="18"/>
              </w:rPr>
              <w:t>1</w:t>
            </w:r>
          </w:p>
        </w:tc>
        <w:tc>
          <w:tcPr>
            <w:tcW w:w="938" w:type="dxa"/>
            <w:tcBorders>
              <w:top w:val="single" w:sz="0" w:space="0" w:color="000000"/>
              <w:bottom w:val="single" w:sz="0" w:space="0" w:color="000000"/>
            </w:tcBorders>
          </w:tcPr>
          <w:p>
            <w:pPr/>
          </w:p>
        </w:tc>
        <w:tc>
          <w:tcPr>
            <w:tcW w:w="245" w:type="dxa"/>
            <w:tcBorders>
              <w:top w:val="single" w:sz="0" w:space="0" w:color="000000"/>
              <w:bottom w:val="single" w:sz="0" w:space="0" w:color="000000"/>
            </w:tcBorders>
          </w:tcPr>
          <w:p>
            <w:pPr>
              <w:pStyle w:val="TableParagraph"/>
              <w:spacing w:before="122"/>
              <w:ind w:left="56"/>
              <w:jc w:val="left"/>
              <w:rPr>
                <w:sz w:val="18"/>
              </w:rPr>
            </w:pPr>
            <w:r>
              <w:rPr>
                <w:w w:val="99"/>
                <w:sz w:val="18"/>
              </w:rPr>
              <w:t>1</w:t>
            </w:r>
          </w:p>
        </w:tc>
      </w:tr>
    </w:tbl>
    <w:p>
      <w:pPr>
        <w:spacing w:after="0"/>
        <w:jc w:val="left"/>
        <w:rPr>
          <w:sz w:val="18"/>
        </w:rPr>
        <w:sectPr>
          <w:pgSz w:w="12750" w:h="17680"/>
          <w:pgMar w:header="0" w:footer="907" w:top="2640" w:bottom="1120" w:left="0" w:right="0"/>
        </w:sectPr>
      </w:pPr>
    </w:p>
    <w:p>
      <w:pPr>
        <w:pStyle w:val="BodyText"/>
        <w:rPr>
          <w:b/>
          <w:sz w:val="20"/>
        </w:rPr>
      </w:pPr>
      <w:r>
        <w:rPr/>
        <w:drawing>
          <wp:anchor distT="0" distB="0" distL="0" distR="0" allowOverlap="1" layoutInCell="1" locked="0" behindDoc="0" simplePos="0" relativeHeight="4552">
            <wp:simplePos x="0" y="0"/>
            <wp:positionH relativeFrom="page">
              <wp:posOffset>-1587</wp:posOffset>
            </wp:positionH>
            <wp:positionV relativeFrom="page">
              <wp:posOffset>5534342</wp:posOffset>
            </wp:positionV>
            <wp:extent cx="135159" cy="154019"/>
            <wp:effectExtent l="0" t="0" r="0" b="0"/>
            <wp:wrapNone/>
            <wp:docPr id="289" name="image13.png" descr=""/>
            <wp:cNvGraphicFramePr>
              <a:graphicFrameLocks noChangeAspect="1"/>
            </wp:cNvGraphicFramePr>
            <a:graphic>
              <a:graphicData uri="http://schemas.openxmlformats.org/drawingml/2006/picture">
                <pic:pic>
                  <pic:nvPicPr>
                    <pic:cNvPr id="290" name="image13.png"/>
                    <pic:cNvPicPr/>
                  </pic:nvPicPr>
                  <pic:blipFill>
                    <a:blip r:embed="rId18" cstate="print"/>
                    <a:stretch>
                      <a:fillRect/>
                    </a:stretch>
                  </pic:blipFill>
                  <pic:spPr>
                    <a:xfrm>
                      <a:off x="0" y="0"/>
                      <a:ext cx="135159" cy="154019"/>
                    </a:xfrm>
                    <a:prstGeom prst="rect">
                      <a:avLst/>
                    </a:prstGeom>
                  </pic:spPr>
                </pic:pic>
              </a:graphicData>
            </a:graphic>
          </wp:anchor>
        </w:drawing>
      </w:r>
      <w:r>
        <w:rPr/>
        <w:drawing>
          <wp:anchor distT="0" distB="0" distL="0" distR="0" allowOverlap="1" layoutInCell="1" locked="0" behindDoc="0" simplePos="0" relativeHeight="4576">
            <wp:simplePos x="0" y="0"/>
            <wp:positionH relativeFrom="page">
              <wp:posOffset>7958429</wp:posOffset>
            </wp:positionH>
            <wp:positionV relativeFrom="page">
              <wp:posOffset>5534342</wp:posOffset>
            </wp:positionV>
            <wp:extent cx="135953" cy="155575"/>
            <wp:effectExtent l="0" t="0" r="0" b="0"/>
            <wp:wrapNone/>
            <wp:docPr id="291" name="image15.png" descr=""/>
            <wp:cNvGraphicFramePr>
              <a:graphicFrameLocks noChangeAspect="1"/>
            </wp:cNvGraphicFramePr>
            <a:graphic>
              <a:graphicData uri="http://schemas.openxmlformats.org/drawingml/2006/picture">
                <pic:pic>
                  <pic:nvPicPr>
                    <pic:cNvPr id="292" name="image15.png"/>
                    <pic:cNvPicPr/>
                  </pic:nvPicPr>
                  <pic:blipFill>
                    <a:blip r:embed="rId20" cstate="print"/>
                    <a:stretch>
                      <a:fillRect/>
                    </a:stretch>
                  </pic:blipFill>
                  <pic:spPr>
                    <a:xfrm>
                      <a:off x="0" y="0"/>
                      <a:ext cx="135953" cy="155575"/>
                    </a:xfrm>
                    <a:prstGeom prst="rect">
                      <a:avLst/>
                    </a:prstGeom>
                  </pic:spPr>
                </pic:pic>
              </a:graphicData>
            </a:graphic>
          </wp:anchor>
        </w:drawing>
      </w:r>
    </w:p>
    <w:p>
      <w:pPr>
        <w:pStyle w:val="BodyText"/>
        <w:rPr>
          <w:b/>
          <w:sz w:val="20"/>
        </w:rPr>
      </w:pPr>
    </w:p>
    <w:p>
      <w:pPr>
        <w:pStyle w:val="BodyText"/>
        <w:spacing w:before="8"/>
        <w:rPr>
          <w:b/>
          <w:sz w:val="11"/>
        </w:rPr>
      </w:pPr>
    </w:p>
    <w:tbl>
      <w:tblPr>
        <w:tblW w:w="0" w:type="auto"/>
        <w:jc w:val="left"/>
        <w:tblInd w:w="179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68"/>
        <w:gridCol w:w="6027"/>
        <w:gridCol w:w="500"/>
        <w:gridCol w:w="1528"/>
        <w:gridCol w:w="735"/>
        <w:gridCol w:w="294"/>
      </w:tblGrid>
      <w:tr>
        <w:trPr>
          <w:trHeight w:val="826" w:hRule="exact"/>
        </w:trPr>
        <w:tc>
          <w:tcPr>
            <w:tcW w:w="468" w:type="dxa"/>
          </w:tcPr>
          <w:p>
            <w:pPr>
              <w:pStyle w:val="TableParagraph"/>
              <w:spacing w:before="77"/>
              <w:ind w:left="134"/>
              <w:jc w:val="left"/>
              <w:rPr>
                <w:b/>
                <w:sz w:val="18"/>
              </w:rPr>
            </w:pPr>
            <w:r>
              <w:rPr>
                <w:b/>
                <w:sz w:val="18"/>
              </w:rPr>
              <w:t>30</w:t>
            </w:r>
          </w:p>
          <w:p>
            <w:pPr>
              <w:pStyle w:val="TableParagraph"/>
              <w:spacing w:before="7"/>
              <w:jc w:val="left"/>
              <w:rPr>
                <w:b/>
                <w:sz w:val="26"/>
              </w:rPr>
            </w:pPr>
          </w:p>
          <w:p>
            <w:pPr>
              <w:pStyle w:val="TableParagraph"/>
              <w:ind w:left="35"/>
              <w:jc w:val="left"/>
              <w:rPr>
                <w:sz w:val="18"/>
              </w:rPr>
            </w:pPr>
            <w:r>
              <w:rPr>
                <w:sz w:val="18"/>
              </w:rPr>
              <w:t>(b)</w:t>
            </w:r>
          </w:p>
        </w:tc>
        <w:tc>
          <w:tcPr>
            <w:tcW w:w="6027" w:type="dxa"/>
          </w:tcPr>
          <w:p>
            <w:pPr>
              <w:pStyle w:val="TableParagraph"/>
              <w:spacing w:before="77"/>
              <w:ind w:left="133"/>
              <w:jc w:val="left"/>
              <w:rPr>
                <w:b/>
                <w:sz w:val="18"/>
              </w:rPr>
            </w:pPr>
            <w:r>
              <w:rPr>
                <w:b/>
                <w:sz w:val="18"/>
              </w:rPr>
              <w:t>Key Management Personnel Disclosures (continued)</w:t>
            </w:r>
          </w:p>
          <w:p>
            <w:pPr>
              <w:pStyle w:val="TableParagraph"/>
              <w:spacing w:before="7"/>
              <w:jc w:val="left"/>
              <w:rPr>
                <w:b/>
                <w:sz w:val="26"/>
              </w:rPr>
            </w:pPr>
          </w:p>
          <w:p>
            <w:pPr>
              <w:pStyle w:val="TableParagraph"/>
              <w:ind w:left="133"/>
              <w:jc w:val="left"/>
              <w:rPr>
                <w:sz w:val="18"/>
              </w:rPr>
            </w:pPr>
            <w:r>
              <w:rPr>
                <w:sz w:val="18"/>
              </w:rPr>
              <w:t>Remuneration of board members and executives (continued)</w:t>
            </w:r>
          </w:p>
        </w:tc>
        <w:tc>
          <w:tcPr>
            <w:tcW w:w="500" w:type="dxa"/>
          </w:tcPr>
          <w:p>
            <w:pPr/>
          </w:p>
        </w:tc>
        <w:tc>
          <w:tcPr>
            <w:tcW w:w="1528" w:type="dxa"/>
          </w:tcPr>
          <w:p>
            <w:pPr/>
          </w:p>
        </w:tc>
        <w:tc>
          <w:tcPr>
            <w:tcW w:w="1030" w:type="dxa"/>
            <w:gridSpan w:val="2"/>
            <w:vMerge w:val="restart"/>
          </w:tcPr>
          <w:p>
            <w:pPr/>
          </w:p>
        </w:tc>
      </w:tr>
      <w:tr>
        <w:trPr>
          <w:trHeight w:val="259" w:hRule="exact"/>
        </w:trPr>
        <w:tc>
          <w:tcPr>
            <w:tcW w:w="468" w:type="dxa"/>
          </w:tcPr>
          <w:p>
            <w:pPr/>
          </w:p>
        </w:tc>
        <w:tc>
          <w:tcPr>
            <w:tcW w:w="6027" w:type="dxa"/>
          </w:tcPr>
          <w:p>
            <w:pPr>
              <w:pStyle w:val="TableParagraph"/>
              <w:spacing w:before="9"/>
              <w:ind w:right="477"/>
              <w:rPr>
                <w:b/>
                <w:sz w:val="18"/>
              </w:rPr>
            </w:pPr>
            <w:r>
              <w:rPr>
                <w:b/>
                <w:sz w:val="18"/>
              </w:rPr>
              <w:t>Consolidated</w:t>
            </w:r>
          </w:p>
        </w:tc>
        <w:tc>
          <w:tcPr>
            <w:tcW w:w="500" w:type="dxa"/>
          </w:tcPr>
          <w:p>
            <w:pPr/>
          </w:p>
        </w:tc>
        <w:tc>
          <w:tcPr>
            <w:tcW w:w="1528" w:type="dxa"/>
          </w:tcPr>
          <w:p>
            <w:pPr>
              <w:pStyle w:val="TableParagraph"/>
              <w:spacing w:before="9"/>
              <w:ind w:left="919"/>
              <w:jc w:val="left"/>
              <w:rPr>
                <w:b/>
                <w:sz w:val="18"/>
              </w:rPr>
            </w:pPr>
            <w:r>
              <w:rPr>
                <w:b/>
                <w:sz w:val="18"/>
              </w:rPr>
              <w:t>Parent</w:t>
            </w:r>
          </w:p>
        </w:tc>
        <w:tc>
          <w:tcPr>
            <w:tcW w:w="1030" w:type="dxa"/>
            <w:gridSpan w:val="2"/>
            <w:vMerge/>
          </w:tcPr>
          <w:p>
            <w:pPr/>
          </w:p>
        </w:tc>
      </w:tr>
      <w:tr>
        <w:trPr>
          <w:trHeight w:val="274" w:hRule="exact"/>
        </w:trPr>
        <w:tc>
          <w:tcPr>
            <w:tcW w:w="468" w:type="dxa"/>
          </w:tcPr>
          <w:p>
            <w:pPr/>
          </w:p>
        </w:tc>
        <w:tc>
          <w:tcPr>
            <w:tcW w:w="6027" w:type="dxa"/>
          </w:tcPr>
          <w:p>
            <w:pPr>
              <w:pStyle w:val="TableParagraph"/>
              <w:tabs>
                <w:tab w:pos="1282" w:val="left" w:leader="none"/>
              </w:tabs>
              <w:spacing w:before="24"/>
              <w:ind w:right="145"/>
              <w:rPr>
                <w:b/>
                <w:sz w:val="18"/>
              </w:rPr>
            </w:pPr>
            <w:r>
              <w:rPr>
                <w:b/>
                <w:sz w:val="18"/>
              </w:rPr>
              <w:t>2016</w:t>
              <w:tab/>
            </w:r>
            <w:r>
              <w:rPr>
                <w:b/>
                <w:spacing w:val="-2"/>
                <w:sz w:val="18"/>
              </w:rPr>
              <w:t>2015</w:t>
            </w:r>
          </w:p>
        </w:tc>
        <w:tc>
          <w:tcPr>
            <w:tcW w:w="500" w:type="dxa"/>
          </w:tcPr>
          <w:p>
            <w:pPr/>
          </w:p>
        </w:tc>
        <w:tc>
          <w:tcPr>
            <w:tcW w:w="1528" w:type="dxa"/>
          </w:tcPr>
          <w:p>
            <w:pPr>
              <w:pStyle w:val="TableParagraph"/>
              <w:spacing w:before="24"/>
              <w:ind w:left="434"/>
              <w:jc w:val="left"/>
              <w:rPr>
                <w:b/>
                <w:sz w:val="18"/>
              </w:rPr>
            </w:pPr>
            <w:r>
              <w:rPr>
                <w:b/>
                <w:sz w:val="18"/>
              </w:rPr>
              <w:t>2016</w:t>
            </w:r>
          </w:p>
        </w:tc>
        <w:tc>
          <w:tcPr>
            <w:tcW w:w="735" w:type="dxa"/>
          </w:tcPr>
          <w:p>
            <w:pPr>
              <w:pStyle w:val="TableParagraph"/>
              <w:spacing w:before="24"/>
              <w:ind w:left="42"/>
              <w:jc w:val="center"/>
              <w:rPr>
                <w:b/>
                <w:sz w:val="18"/>
              </w:rPr>
            </w:pPr>
            <w:r>
              <w:rPr>
                <w:b/>
                <w:sz w:val="18"/>
              </w:rPr>
              <w:t>2015</w:t>
            </w:r>
          </w:p>
        </w:tc>
        <w:tc>
          <w:tcPr>
            <w:tcW w:w="294" w:type="dxa"/>
          </w:tcPr>
          <w:p>
            <w:pPr/>
          </w:p>
        </w:tc>
      </w:tr>
      <w:tr>
        <w:trPr>
          <w:trHeight w:val="313" w:hRule="exact"/>
        </w:trPr>
        <w:tc>
          <w:tcPr>
            <w:tcW w:w="468" w:type="dxa"/>
          </w:tcPr>
          <w:p>
            <w:pPr/>
          </w:p>
        </w:tc>
        <w:tc>
          <w:tcPr>
            <w:tcW w:w="6027" w:type="dxa"/>
          </w:tcPr>
          <w:p>
            <w:pPr>
              <w:pStyle w:val="TableParagraph"/>
              <w:tabs>
                <w:tab w:pos="1282" w:val="left" w:leader="none"/>
              </w:tabs>
              <w:spacing w:before="24"/>
              <w:ind w:right="4"/>
              <w:rPr>
                <w:b/>
                <w:sz w:val="18"/>
              </w:rPr>
            </w:pPr>
            <w:r>
              <w:rPr>
                <w:b/>
                <w:sz w:val="18"/>
              </w:rPr>
              <w:t>Number</w:t>
              <w:tab/>
            </w:r>
            <w:r>
              <w:rPr>
                <w:b/>
                <w:spacing w:val="-1"/>
                <w:w w:val="95"/>
                <w:sz w:val="18"/>
              </w:rPr>
              <w:t>Number</w:t>
            </w:r>
          </w:p>
        </w:tc>
        <w:tc>
          <w:tcPr>
            <w:tcW w:w="500" w:type="dxa"/>
          </w:tcPr>
          <w:p>
            <w:pPr/>
          </w:p>
        </w:tc>
        <w:tc>
          <w:tcPr>
            <w:tcW w:w="1528" w:type="dxa"/>
          </w:tcPr>
          <w:p>
            <w:pPr>
              <w:pStyle w:val="TableParagraph"/>
              <w:spacing w:before="24"/>
              <w:ind w:left="294"/>
              <w:jc w:val="left"/>
              <w:rPr>
                <w:b/>
                <w:sz w:val="18"/>
              </w:rPr>
            </w:pPr>
            <w:r>
              <w:rPr>
                <w:b/>
                <w:sz w:val="18"/>
              </w:rPr>
              <w:t>Number</w:t>
            </w:r>
          </w:p>
        </w:tc>
        <w:tc>
          <w:tcPr>
            <w:tcW w:w="735" w:type="dxa"/>
          </w:tcPr>
          <w:p>
            <w:pPr>
              <w:pStyle w:val="TableParagraph"/>
              <w:spacing w:before="24"/>
              <w:ind w:left="42"/>
              <w:jc w:val="center"/>
              <w:rPr>
                <w:b/>
                <w:sz w:val="18"/>
              </w:rPr>
            </w:pPr>
            <w:r>
              <w:rPr>
                <w:b/>
                <w:sz w:val="18"/>
              </w:rPr>
              <w:t>Number</w:t>
            </w:r>
          </w:p>
        </w:tc>
        <w:tc>
          <w:tcPr>
            <w:tcW w:w="294" w:type="dxa"/>
          </w:tcPr>
          <w:p>
            <w:pPr/>
          </w:p>
        </w:tc>
      </w:tr>
      <w:tr>
        <w:trPr>
          <w:trHeight w:val="454" w:hRule="exact"/>
        </w:trPr>
        <w:tc>
          <w:tcPr>
            <w:tcW w:w="468" w:type="dxa"/>
          </w:tcPr>
          <w:p>
            <w:pPr/>
          </w:p>
        </w:tc>
        <w:tc>
          <w:tcPr>
            <w:tcW w:w="6027" w:type="dxa"/>
          </w:tcPr>
          <w:p>
            <w:pPr>
              <w:pStyle w:val="TableParagraph"/>
              <w:spacing w:before="63"/>
              <w:ind w:left="178"/>
              <w:jc w:val="left"/>
              <w:rPr>
                <w:b/>
                <w:sz w:val="18"/>
              </w:rPr>
            </w:pPr>
            <w:r>
              <w:rPr>
                <w:b/>
                <w:sz w:val="18"/>
              </w:rPr>
              <w:t>Remuneration of executive officers</w:t>
            </w:r>
          </w:p>
        </w:tc>
        <w:tc>
          <w:tcPr>
            <w:tcW w:w="500" w:type="dxa"/>
          </w:tcPr>
          <w:p>
            <w:pPr/>
          </w:p>
        </w:tc>
        <w:tc>
          <w:tcPr>
            <w:tcW w:w="1528" w:type="dxa"/>
          </w:tcPr>
          <w:p>
            <w:pPr/>
          </w:p>
        </w:tc>
        <w:tc>
          <w:tcPr>
            <w:tcW w:w="735" w:type="dxa"/>
          </w:tcPr>
          <w:p>
            <w:pPr/>
          </w:p>
        </w:tc>
        <w:tc>
          <w:tcPr>
            <w:tcW w:w="294" w:type="dxa"/>
          </w:tcPr>
          <w:p>
            <w:pPr/>
          </w:p>
        </w:tc>
      </w:tr>
      <w:tr>
        <w:trPr>
          <w:trHeight w:val="410" w:hRule="exact"/>
        </w:trPr>
        <w:tc>
          <w:tcPr>
            <w:tcW w:w="468" w:type="dxa"/>
          </w:tcPr>
          <w:p>
            <w:pPr/>
          </w:p>
        </w:tc>
        <w:tc>
          <w:tcPr>
            <w:tcW w:w="6027" w:type="dxa"/>
          </w:tcPr>
          <w:p>
            <w:pPr>
              <w:pStyle w:val="TableParagraph"/>
              <w:spacing w:before="4"/>
              <w:jc w:val="left"/>
              <w:rPr>
                <w:b/>
                <w:sz w:val="14"/>
              </w:rPr>
            </w:pPr>
          </w:p>
          <w:p>
            <w:pPr>
              <w:pStyle w:val="TableParagraph"/>
              <w:tabs>
                <w:tab w:pos="4876" w:val="left" w:leader="none"/>
              </w:tabs>
              <w:ind w:left="178"/>
              <w:jc w:val="left"/>
              <w:rPr>
                <w:b/>
                <w:sz w:val="18"/>
              </w:rPr>
            </w:pPr>
            <w:r>
              <w:rPr>
                <w:sz w:val="18"/>
              </w:rPr>
              <w:t>$130,000</w:t>
            </w:r>
            <w:r>
              <w:rPr>
                <w:spacing w:val="-5"/>
                <w:sz w:val="18"/>
              </w:rPr>
              <w:t> </w:t>
            </w:r>
            <w:r>
              <w:rPr>
                <w:sz w:val="18"/>
              </w:rPr>
              <w:t>to</w:t>
            </w:r>
            <w:r>
              <w:rPr>
                <w:spacing w:val="-5"/>
                <w:sz w:val="18"/>
              </w:rPr>
              <w:t> </w:t>
            </w:r>
            <w:r>
              <w:rPr>
                <w:sz w:val="18"/>
              </w:rPr>
              <w:t>$139,999</w:t>
              <w:tab/>
            </w:r>
            <w:r>
              <w:rPr>
                <w:b/>
                <w:sz w:val="18"/>
              </w:rPr>
              <w:t>-</w:t>
            </w:r>
          </w:p>
        </w:tc>
        <w:tc>
          <w:tcPr>
            <w:tcW w:w="500" w:type="dxa"/>
          </w:tcPr>
          <w:p>
            <w:pPr>
              <w:pStyle w:val="TableParagraph"/>
              <w:spacing w:before="3"/>
              <w:jc w:val="left"/>
              <w:rPr>
                <w:b/>
                <w:sz w:val="14"/>
              </w:rPr>
            </w:pPr>
          </w:p>
          <w:p>
            <w:pPr>
              <w:pStyle w:val="TableParagraph"/>
              <w:ind w:right="292"/>
              <w:rPr>
                <w:sz w:val="18"/>
              </w:rPr>
            </w:pPr>
            <w:r>
              <w:rPr>
                <w:w w:val="99"/>
                <w:sz w:val="18"/>
              </w:rPr>
              <w:t>1</w:t>
            </w:r>
          </w:p>
        </w:tc>
        <w:tc>
          <w:tcPr>
            <w:tcW w:w="1528" w:type="dxa"/>
          </w:tcPr>
          <w:p>
            <w:pPr>
              <w:pStyle w:val="TableParagraph"/>
              <w:spacing w:before="3"/>
              <w:jc w:val="left"/>
              <w:rPr>
                <w:b/>
                <w:sz w:val="14"/>
              </w:rPr>
            </w:pPr>
          </w:p>
          <w:p>
            <w:pPr>
              <w:pStyle w:val="TableParagraph"/>
              <w:ind w:right="353"/>
              <w:rPr>
                <w:b/>
                <w:sz w:val="18"/>
              </w:rPr>
            </w:pPr>
            <w:r>
              <w:rPr>
                <w:b/>
                <w:w w:val="99"/>
                <w:sz w:val="18"/>
              </w:rPr>
              <w:t>-</w:t>
            </w:r>
          </w:p>
        </w:tc>
        <w:tc>
          <w:tcPr>
            <w:tcW w:w="735" w:type="dxa"/>
          </w:tcPr>
          <w:p>
            <w:pPr/>
          </w:p>
        </w:tc>
        <w:tc>
          <w:tcPr>
            <w:tcW w:w="294" w:type="dxa"/>
          </w:tcPr>
          <w:p>
            <w:pPr>
              <w:pStyle w:val="TableParagraph"/>
              <w:spacing w:before="3"/>
              <w:jc w:val="left"/>
              <w:rPr>
                <w:b/>
                <w:sz w:val="14"/>
              </w:rPr>
            </w:pPr>
          </w:p>
          <w:p>
            <w:pPr>
              <w:pStyle w:val="TableParagraph"/>
              <w:ind w:right="86"/>
              <w:rPr>
                <w:sz w:val="18"/>
              </w:rPr>
            </w:pPr>
            <w:r>
              <w:rPr>
                <w:w w:val="99"/>
                <w:sz w:val="18"/>
              </w:rPr>
              <w:t>-</w:t>
            </w:r>
          </w:p>
        </w:tc>
      </w:tr>
      <w:tr>
        <w:trPr>
          <w:trHeight w:val="264" w:hRule="exact"/>
        </w:trPr>
        <w:tc>
          <w:tcPr>
            <w:tcW w:w="468" w:type="dxa"/>
          </w:tcPr>
          <w:p>
            <w:pPr/>
          </w:p>
        </w:tc>
        <w:tc>
          <w:tcPr>
            <w:tcW w:w="6027" w:type="dxa"/>
          </w:tcPr>
          <w:p>
            <w:pPr>
              <w:pStyle w:val="TableParagraph"/>
              <w:tabs>
                <w:tab w:pos="4936" w:val="right" w:leader="none"/>
              </w:tabs>
              <w:spacing w:before="19"/>
              <w:ind w:left="178"/>
              <w:jc w:val="left"/>
              <w:rPr>
                <w:b/>
                <w:sz w:val="18"/>
              </w:rPr>
            </w:pPr>
            <w:r>
              <w:rPr>
                <w:sz w:val="18"/>
              </w:rPr>
              <w:t>$140,000</w:t>
            </w:r>
            <w:r>
              <w:rPr>
                <w:spacing w:val="-2"/>
                <w:sz w:val="18"/>
              </w:rPr>
              <w:t> </w:t>
            </w:r>
            <w:r>
              <w:rPr>
                <w:sz w:val="18"/>
              </w:rPr>
              <w:t>to</w:t>
            </w:r>
            <w:r>
              <w:rPr>
                <w:spacing w:val="-2"/>
                <w:sz w:val="18"/>
              </w:rPr>
              <w:t> </w:t>
            </w:r>
            <w:r>
              <w:rPr>
                <w:sz w:val="18"/>
              </w:rPr>
              <w:t>$149,999</w:t>
            </w:r>
            <w:r>
              <w:rPr>
                <w:rFonts w:ascii="Times New Roman"/>
                <w:sz w:val="18"/>
              </w:rPr>
              <w:tab/>
            </w:r>
            <w:r>
              <w:rPr>
                <w:b/>
                <w:sz w:val="18"/>
              </w:rPr>
              <w:t>1</w:t>
            </w:r>
          </w:p>
        </w:tc>
        <w:tc>
          <w:tcPr>
            <w:tcW w:w="500" w:type="dxa"/>
          </w:tcPr>
          <w:p>
            <w:pPr>
              <w:pStyle w:val="TableParagraph"/>
              <w:spacing w:before="18"/>
              <w:ind w:right="292"/>
              <w:rPr>
                <w:sz w:val="18"/>
              </w:rPr>
            </w:pPr>
            <w:r>
              <w:rPr>
                <w:w w:val="99"/>
                <w:sz w:val="18"/>
              </w:rPr>
              <w:t>-</w:t>
            </w:r>
          </w:p>
        </w:tc>
        <w:tc>
          <w:tcPr>
            <w:tcW w:w="1528" w:type="dxa"/>
          </w:tcPr>
          <w:p>
            <w:pPr>
              <w:pStyle w:val="TableParagraph"/>
              <w:spacing w:before="18"/>
              <w:ind w:right="353"/>
              <w:rPr>
                <w:b/>
                <w:sz w:val="18"/>
              </w:rPr>
            </w:pPr>
            <w:r>
              <w:rPr>
                <w:b/>
                <w:w w:val="99"/>
                <w:sz w:val="18"/>
              </w:rPr>
              <w:t>-</w:t>
            </w:r>
          </w:p>
        </w:tc>
        <w:tc>
          <w:tcPr>
            <w:tcW w:w="735" w:type="dxa"/>
          </w:tcPr>
          <w:p>
            <w:pPr/>
          </w:p>
        </w:tc>
        <w:tc>
          <w:tcPr>
            <w:tcW w:w="294" w:type="dxa"/>
          </w:tcPr>
          <w:p>
            <w:pPr>
              <w:pStyle w:val="TableParagraph"/>
              <w:spacing w:before="18"/>
              <w:ind w:right="86"/>
              <w:rPr>
                <w:sz w:val="18"/>
              </w:rPr>
            </w:pPr>
            <w:r>
              <w:rPr>
                <w:w w:val="99"/>
                <w:sz w:val="18"/>
              </w:rPr>
              <w:t>-</w:t>
            </w:r>
          </w:p>
        </w:tc>
      </w:tr>
      <w:tr>
        <w:trPr>
          <w:trHeight w:val="264" w:hRule="exact"/>
        </w:trPr>
        <w:tc>
          <w:tcPr>
            <w:tcW w:w="468" w:type="dxa"/>
          </w:tcPr>
          <w:p>
            <w:pPr/>
          </w:p>
        </w:tc>
        <w:tc>
          <w:tcPr>
            <w:tcW w:w="6027" w:type="dxa"/>
          </w:tcPr>
          <w:p>
            <w:pPr>
              <w:pStyle w:val="TableParagraph"/>
              <w:tabs>
                <w:tab w:pos="4876" w:val="left" w:leader="none"/>
              </w:tabs>
              <w:spacing w:before="19"/>
              <w:ind w:left="178"/>
              <w:jc w:val="left"/>
              <w:rPr>
                <w:b/>
                <w:sz w:val="18"/>
              </w:rPr>
            </w:pPr>
            <w:r>
              <w:rPr>
                <w:sz w:val="18"/>
              </w:rPr>
              <w:t>$160,000</w:t>
            </w:r>
            <w:r>
              <w:rPr>
                <w:spacing w:val="-5"/>
                <w:sz w:val="18"/>
              </w:rPr>
              <w:t> </w:t>
            </w:r>
            <w:r>
              <w:rPr>
                <w:sz w:val="18"/>
              </w:rPr>
              <w:t>to</w:t>
            </w:r>
            <w:r>
              <w:rPr>
                <w:spacing w:val="-5"/>
                <w:sz w:val="18"/>
              </w:rPr>
              <w:t> </w:t>
            </w:r>
            <w:r>
              <w:rPr>
                <w:sz w:val="18"/>
              </w:rPr>
              <w:t>$169,999</w:t>
              <w:tab/>
            </w:r>
            <w:r>
              <w:rPr>
                <w:b/>
                <w:sz w:val="18"/>
              </w:rPr>
              <w:t>-</w:t>
            </w:r>
          </w:p>
        </w:tc>
        <w:tc>
          <w:tcPr>
            <w:tcW w:w="500" w:type="dxa"/>
          </w:tcPr>
          <w:p>
            <w:pPr>
              <w:pStyle w:val="TableParagraph"/>
              <w:spacing w:before="18"/>
              <w:ind w:right="292"/>
              <w:rPr>
                <w:sz w:val="18"/>
              </w:rPr>
            </w:pPr>
            <w:r>
              <w:rPr>
                <w:w w:val="99"/>
                <w:sz w:val="18"/>
              </w:rPr>
              <w:t>1</w:t>
            </w:r>
          </w:p>
        </w:tc>
        <w:tc>
          <w:tcPr>
            <w:tcW w:w="1528" w:type="dxa"/>
          </w:tcPr>
          <w:p>
            <w:pPr>
              <w:pStyle w:val="TableParagraph"/>
              <w:spacing w:before="18"/>
              <w:ind w:right="353"/>
              <w:rPr>
                <w:b/>
                <w:sz w:val="18"/>
              </w:rPr>
            </w:pPr>
            <w:r>
              <w:rPr>
                <w:b/>
                <w:w w:val="99"/>
                <w:sz w:val="18"/>
              </w:rPr>
              <w:t>-</w:t>
            </w:r>
          </w:p>
        </w:tc>
        <w:tc>
          <w:tcPr>
            <w:tcW w:w="735" w:type="dxa"/>
          </w:tcPr>
          <w:p>
            <w:pPr/>
          </w:p>
        </w:tc>
        <w:tc>
          <w:tcPr>
            <w:tcW w:w="294" w:type="dxa"/>
          </w:tcPr>
          <w:p>
            <w:pPr>
              <w:pStyle w:val="TableParagraph"/>
              <w:spacing w:before="18"/>
              <w:ind w:right="86"/>
              <w:rPr>
                <w:sz w:val="18"/>
              </w:rPr>
            </w:pPr>
            <w:r>
              <w:rPr>
                <w:w w:val="99"/>
                <w:sz w:val="18"/>
              </w:rPr>
              <w:t>-</w:t>
            </w:r>
          </w:p>
        </w:tc>
      </w:tr>
      <w:tr>
        <w:trPr>
          <w:trHeight w:val="264" w:hRule="exact"/>
        </w:trPr>
        <w:tc>
          <w:tcPr>
            <w:tcW w:w="468" w:type="dxa"/>
          </w:tcPr>
          <w:p>
            <w:pPr/>
          </w:p>
        </w:tc>
        <w:tc>
          <w:tcPr>
            <w:tcW w:w="6027" w:type="dxa"/>
          </w:tcPr>
          <w:p>
            <w:pPr>
              <w:pStyle w:val="TableParagraph"/>
              <w:tabs>
                <w:tab w:pos="4936" w:val="right" w:leader="none"/>
              </w:tabs>
              <w:spacing w:before="19"/>
              <w:ind w:left="178"/>
              <w:jc w:val="left"/>
              <w:rPr>
                <w:b/>
                <w:sz w:val="18"/>
              </w:rPr>
            </w:pPr>
            <w:r>
              <w:rPr>
                <w:sz w:val="18"/>
              </w:rPr>
              <w:t>$170,000</w:t>
            </w:r>
            <w:r>
              <w:rPr>
                <w:spacing w:val="-2"/>
                <w:sz w:val="18"/>
              </w:rPr>
              <w:t> </w:t>
            </w:r>
            <w:r>
              <w:rPr>
                <w:sz w:val="18"/>
              </w:rPr>
              <w:t>to</w:t>
            </w:r>
            <w:r>
              <w:rPr>
                <w:spacing w:val="-2"/>
                <w:sz w:val="18"/>
              </w:rPr>
              <w:t> </w:t>
            </w:r>
            <w:r>
              <w:rPr>
                <w:sz w:val="18"/>
              </w:rPr>
              <w:t>$179,999</w:t>
            </w:r>
            <w:r>
              <w:rPr>
                <w:rFonts w:ascii="Times New Roman"/>
                <w:sz w:val="18"/>
              </w:rPr>
              <w:tab/>
            </w:r>
            <w:r>
              <w:rPr>
                <w:b/>
                <w:sz w:val="18"/>
              </w:rPr>
              <w:t>1</w:t>
            </w:r>
          </w:p>
        </w:tc>
        <w:tc>
          <w:tcPr>
            <w:tcW w:w="500" w:type="dxa"/>
          </w:tcPr>
          <w:p>
            <w:pPr>
              <w:pStyle w:val="TableParagraph"/>
              <w:spacing w:before="18"/>
              <w:ind w:right="292"/>
              <w:rPr>
                <w:sz w:val="18"/>
              </w:rPr>
            </w:pPr>
            <w:r>
              <w:rPr>
                <w:w w:val="99"/>
                <w:sz w:val="18"/>
              </w:rPr>
              <w:t>-</w:t>
            </w:r>
          </w:p>
        </w:tc>
        <w:tc>
          <w:tcPr>
            <w:tcW w:w="1528" w:type="dxa"/>
          </w:tcPr>
          <w:p>
            <w:pPr>
              <w:pStyle w:val="TableParagraph"/>
              <w:spacing w:before="18"/>
              <w:ind w:right="353"/>
              <w:rPr>
                <w:b/>
                <w:sz w:val="18"/>
              </w:rPr>
            </w:pPr>
            <w:r>
              <w:rPr>
                <w:b/>
                <w:w w:val="99"/>
                <w:sz w:val="18"/>
              </w:rPr>
              <w:t>-</w:t>
            </w:r>
          </w:p>
        </w:tc>
        <w:tc>
          <w:tcPr>
            <w:tcW w:w="735" w:type="dxa"/>
          </w:tcPr>
          <w:p>
            <w:pPr/>
          </w:p>
        </w:tc>
        <w:tc>
          <w:tcPr>
            <w:tcW w:w="294" w:type="dxa"/>
          </w:tcPr>
          <w:p>
            <w:pPr>
              <w:pStyle w:val="TableParagraph"/>
              <w:spacing w:before="18"/>
              <w:ind w:right="86"/>
              <w:rPr>
                <w:sz w:val="18"/>
              </w:rPr>
            </w:pPr>
            <w:r>
              <w:rPr>
                <w:w w:val="99"/>
                <w:sz w:val="18"/>
              </w:rPr>
              <w:t>-</w:t>
            </w:r>
          </w:p>
        </w:tc>
      </w:tr>
      <w:tr>
        <w:trPr>
          <w:trHeight w:val="264" w:hRule="exact"/>
        </w:trPr>
        <w:tc>
          <w:tcPr>
            <w:tcW w:w="468" w:type="dxa"/>
          </w:tcPr>
          <w:p>
            <w:pPr/>
          </w:p>
        </w:tc>
        <w:tc>
          <w:tcPr>
            <w:tcW w:w="6027" w:type="dxa"/>
          </w:tcPr>
          <w:p>
            <w:pPr>
              <w:pStyle w:val="TableParagraph"/>
              <w:tabs>
                <w:tab w:pos="4876" w:val="left" w:leader="none"/>
              </w:tabs>
              <w:spacing w:before="19"/>
              <w:ind w:left="178"/>
              <w:jc w:val="left"/>
              <w:rPr>
                <w:b/>
                <w:sz w:val="18"/>
              </w:rPr>
            </w:pPr>
            <w:r>
              <w:rPr>
                <w:sz w:val="18"/>
              </w:rPr>
              <w:t>$180,000</w:t>
            </w:r>
            <w:r>
              <w:rPr>
                <w:spacing w:val="-5"/>
                <w:sz w:val="18"/>
              </w:rPr>
              <w:t> </w:t>
            </w:r>
            <w:r>
              <w:rPr>
                <w:sz w:val="18"/>
              </w:rPr>
              <w:t>to</w:t>
            </w:r>
            <w:r>
              <w:rPr>
                <w:spacing w:val="-5"/>
                <w:sz w:val="18"/>
              </w:rPr>
              <w:t> </w:t>
            </w:r>
            <w:r>
              <w:rPr>
                <w:sz w:val="18"/>
              </w:rPr>
              <w:t>$189,999</w:t>
              <w:tab/>
            </w:r>
            <w:r>
              <w:rPr>
                <w:b/>
                <w:sz w:val="18"/>
              </w:rPr>
              <w:t>-</w:t>
            </w:r>
          </w:p>
        </w:tc>
        <w:tc>
          <w:tcPr>
            <w:tcW w:w="500" w:type="dxa"/>
          </w:tcPr>
          <w:p>
            <w:pPr>
              <w:pStyle w:val="TableParagraph"/>
              <w:spacing w:before="18"/>
              <w:ind w:right="292"/>
              <w:rPr>
                <w:sz w:val="18"/>
              </w:rPr>
            </w:pPr>
            <w:r>
              <w:rPr>
                <w:w w:val="99"/>
                <w:sz w:val="18"/>
              </w:rPr>
              <w:t>2</w:t>
            </w:r>
          </w:p>
        </w:tc>
        <w:tc>
          <w:tcPr>
            <w:tcW w:w="1528" w:type="dxa"/>
          </w:tcPr>
          <w:p>
            <w:pPr>
              <w:pStyle w:val="TableParagraph"/>
              <w:spacing w:before="18"/>
              <w:ind w:right="353"/>
              <w:rPr>
                <w:b/>
                <w:sz w:val="18"/>
              </w:rPr>
            </w:pPr>
            <w:r>
              <w:rPr>
                <w:b/>
                <w:w w:val="99"/>
                <w:sz w:val="18"/>
              </w:rPr>
              <w:t>-</w:t>
            </w:r>
          </w:p>
        </w:tc>
        <w:tc>
          <w:tcPr>
            <w:tcW w:w="735" w:type="dxa"/>
          </w:tcPr>
          <w:p>
            <w:pPr/>
          </w:p>
        </w:tc>
        <w:tc>
          <w:tcPr>
            <w:tcW w:w="294" w:type="dxa"/>
          </w:tcPr>
          <w:p>
            <w:pPr>
              <w:pStyle w:val="TableParagraph"/>
              <w:spacing w:before="18"/>
              <w:ind w:right="86"/>
              <w:rPr>
                <w:sz w:val="18"/>
              </w:rPr>
            </w:pPr>
            <w:r>
              <w:rPr>
                <w:w w:val="99"/>
                <w:sz w:val="18"/>
              </w:rPr>
              <w:t>1</w:t>
            </w:r>
          </w:p>
        </w:tc>
      </w:tr>
      <w:tr>
        <w:trPr>
          <w:trHeight w:val="264" w:hRule="exact"/>
        </w:trPr>
        <w:tc>
          <w:tcPr>
            <w:tcW w:w="468" w:type="dxa"/>
          </w:tcPr>
          <w:p>
            <w:pPr/>
          </w:p>
        </w:tc>
        <w:tc>
          <w:tcPr>
            <w:tcW w:w="6027" w:type="dxa"/>
          </w:tcPr>
          <w:p>
            <w:pPr>
              <w:pStyle w:val="TableParagraph"/>
              <w:tabs>
                <w:tab w:pos="4876" w:val="left" w:leader="none"/>
              </w:tabs>
              <w:spacing w:before="19"/>
              <w:ind w:left="178"/>
              <w:jc w:val="left"/>
              <w:rPr>
                <w:b/>
                <w:sz w:val="18"/>
              </w:rPr>
            </w:pPr>
            <w:r>
              <w:rPr>
                <w:sz w:val="18"/>
              </w:rPr>
              <w:t>$190,000</w:t>
            </w:r>
            <w:r>
              <w:rPr>
                <w:spacing w:val="-5"/>
                <w:sz w:val="18"/>
              </w:rPr>
              <w:t> </w:t>
            </w:r>
            <w:r>
              <w:rPr>
                <w:sz w:val="18"/>
              </w:rPr>
              <w:t>to</w:t>
            </w:r>
            <w:r>
              <w:rPr>
                <w:spacing w:val="-5"/>
                <w:sz w:val="18"/>
              </w:rPr>
              <w:t> </w:t>
            </w:r>
            <w:r>
              <w:rPr>
                <w:sz w:val="18"/>
              </w:rPr>
              <w:t>$199,999</w:t>
              <w:tab/>
            </w:r>
            <w:r>
              <w:rPr>
                <w:b/>
                <w:sz w:val="18"/>
              </w:rPr>
              <w:t>-</w:t>
            </w:r>
          </w:p>
        </w:tc>
        <w:tc>
          <w:tcPr>
            <w:tcW w:w="500" w:type="dxa"/>
          </w:tcPr>
          <w:p>
            <w:pPr>
              <w:pStyle w:val="TableParagraph"/>
              <w:spacing w:before="18"/>
              <w:ind w:right="292"/>
              <w:rPr>
                <w:sz w:val="18"/>
              </w:rPr>
            </w:pPr>
            <w:r>
              <w:rPr>
                <w:w w:val="99"/>
                <w:sz w:val="18"/>
              </w:rPr>
              <w:t>1</w:t>
            </w:r>
          </w:p>
        </w:tc>
        <w:tc>
          <w:tcPr>
            <w:tcW w:w="1528" w:type="dxa"/>
          </w:tcPr>
          <w:p>
            <w:pPr>
              <w:pStyle w:val="TableParagraph"/>
              <w:spacing w:before="18"/>
              <w:ind w:right="353"/>
              <w:rPr>
                <w:b/>
                <w:sz w:val="18"/>
              </w:rPr>
            </w:pPr>
            <w:r>
              <w:rPr>
                <w:b/>
                <w:w w:val="99"/>
                <w:sz w:val="18"/>
              </w:rPr>
              <w:t>-</w:t>
            </w:r>
          </w:p>
        </w:tc>
        <w:tc>
          <w:tcPr>
            <w:tcW w:w="735" w:type="dxa"/>
          </w:tcPr>
          <w:p>
            <w:pPr/>
          </w:p>
        </w:tc>
        <w:tc>
          <w:tcPr>
            <w:tcW w:w="294" w:type="dxa"/>
          </w:tcPr>
          <w:p>
            <w:pPr>
              <w:pStyle w:val="TableParagraph"/>
              <w:spacing w:before="18"/>
              <w:ind w:right="86"/>
              <w:rPr>
                <w:sz w:val="18"/>
              </w:rPr>
            </w:pPr>
            <w:r>
              <w:rPr>
                <w:w w:val="99"/>
                <w:sz w:val="18"/>
              </w:rPr>
              <w:t>-</w:t>
            </w:r>
          </w:p>
        </w:tc>
      </w:tr>
      <w:tr>
        <w:trPr>
          <w:trHeight w:val="264" w:hRule="exact"/>
        </w:trPr>
        <w:tc>
          <w:tcPr>
            <w:tcW w:w="468" w:type="dxa"/>
          </w:tcPr>
          <w:p>
            <w:pPr/>
          </w:p>
        </w:tc>
        <w:tc>
          <w:tcPr>
            <w:tcW w:w="6027" w:type="dxa"/>
          </w:tcPr>
          <w:p>
            <w:pPr>
              <w:pStyle w:val="TableParagraph"/>
              <w:tabs>
                <w:tab w:pos="4936" w:val="right" w:leader="none"/>
              </w:tabs>
              <w:spacing w:before="19"/>
              <w:ind w:left="178"/>
              <w:jc w:val="left"/>
              <w:rPr>
                <w:b/>
                <w:sz w:val="18"/>
              </w:rPr>
            </w:pPr>
            <w:r>
              <w:rPr>
                <w:sz w:val="18"/>
              </w:rPr>
              <w:t>$210,000</w:t>
            </w:r>
            <w:r>
              <w:rPr>
                <w:spacing w:val="-2"/>
                <w:sz w:val="18"/>
              </w:rPr>
              <w:t> </w:t>
            </w:r>
            <w:r>
              <w:rPr>
                <w:sz w:val="18"/>
              </w:rPr>
              <w:t>to</w:t>
            </w:r>
            <w:r>
              <w:rPr>
                <w:spacing w:val="-2"/>
                <w:sz w:val="18"/>
              </w:rPr>
              <w:t> </w:t>
            </w:r>
            <w:r>
              <w:rPr>
                <w:sz w:val="18"/>
              </w:rPr>
              <w:t>$219,999</w:t>
            </w:r>
            <w:r>
              <w:rPr>
                <w:rFonts w:ascii="Times New Roman"/>
                <w:sz w:val="18"/>
              </w:rPr>
              <w:tab/>
            </w:r>
            <w:r>
              <w:rPr>
                <w:b/>
                <w:sz w:val="18"/>
              </w:rPr>
              <w:t>1</w:t>
            </w:r>
          </w:p>
        </w:tc>
        <w:tc>
          <w:tcPr>
            <w:tcW w:w="500" w:type="dxa"/>
          </w:tcPr>
          <w:p>
            <w:pPr>
              <w:pStyle w:val="TableParagraph"/>
              <w:spacing w:before="18"/>
              <w:ind w:right="292"/>
              <w:rPr>
                <w:sz w:val="18"/>
              </w:rPr>
            </w:pPr>
            <w:r>
              <w:rPr>
                <w:w w:val="99"/>
                <w:sz w:val="18"/>
              </w:rPr>
              <w:t>-</w:t>
            </w:r>
          </w:p>
        </w:tc>
        <w:tc>
          <w:tcPr>
            <w:tcW w:w="1528" w:type="dxa"/>
          </w:tcPr>
          <w:p>
            <w:pPr>
              <w:pStyle w:val="TableParagraph"/>
              <w:spacing w:before="18"/>
              <w:ind w:right="353"/>
              <w:rPr>
                <w:b/>
                <w:sz w:val="18"/>
              </w:rPr>
            </w:pPr>
            <w:r>
              <w:rPr>
                <w:b/>
                <w:w w:val="99"/>
                <w:sz w:val="18"/>
              </w:rPr>
              <w:t>-</w:t>
            </w:r>
          </w:p>
        </w:tc>
        <w:tc>
          <w:tcPr>
            <w:tcW w:w="735" w:type="dxa"/>
          </w:tcPr>
          <w:p>
            <w:pPr/>
          </w:p>
        </w:tc>
        <w:tc>
          <w:tcPr>
            <w:tcW w:w="294" w:type="dxa"/>
          </w:tcPr>
          <w:p>
            <w:pPr>
              <w:pStyle w:val="TableParagraph"/>
              <w:spacing w:before="18"/>
              <w:ind w:right="86"/>
              <w:rPr>
                <w:sz w:val="18"/>
              </w:rPr>
            </w:pPr>
            <w:r>
              <w:rPr>
                <w:w w:val="99"/>
                <w:sz w:val="18"/>
              </w:rPr>
              <w:t>-</w:t>
            </w:r>
          </w:p>
        </w:tc>
      </w:tr>
      <w:tr>
        <w:trPr>
          <w:trHeight w:val="264" w:hRule="exact"/>
        </w:trPr>
        <w:tc>
          <w:tcPr>
            <w:tcW w:w="468" w:type="dxa"/>
          </w:tcPr>
          <w:p>
            <w:pPr/>
          </w:p>
        </w:tc>
        <w:tc>
          <w:tcPr>
            <w:tcW w:w="6027" w:type="dxa"/>
          </w:tcPr>
          <w:p>
            <w:pPr>
              <w:pStyle w:val="TableParagraph"/>
              <w:tabs>
                <w:tab w:pos="4876" w:val="left" w:leader="none"/>
              </w:tabs>
              <w:spacing w:before="19"/>
              <w:ind w:left="178"/>
              <w:jc w:val="left"/>
              <w:rPr>
                <w:b/>
                <w:sz w:val="18"/>
              </w:rPr>
            </w:pPr>
            <w:r>
              <w:rPr>
                <w:sz w:val="18"/>
              </w:rPr>
              <w:t>$230,000</w:t>
            </w:r>
            <w:r>
              <w:rPr>
                <w:spacing w:val="-5"/>
                <w:sz w:val="18"/>
              </w:rPr>
              <w:t> </w:t>
            </w:r>
            <w:r>
              <w:rPr>
                <w:sz w:val="18"/>
              </w:rPr>
              <w:t>to</w:t>
            </w:r>
            <w:r>
              <w:rPr>
                <w:spacing w:val="-5"/>
                <w:sz w:val="18"/>
              </w:rPr>
              <w:t> </w:t>
            </w:r>
            <w:r>
              <w:rPr>
                <w:sz w:val="18"/>
              </w:rPr>
              <w:t>$239,999</w:t>
              <w:tab/>
            </w:r>
            <w:r>
              <w:rPr>
                <w:b/>
                <w:sz w:val="18"/>
              </w:rPr>
              <w:t>-</w:t>
            </w:r>
          </w:p>
        </w:tc>
        <w:tc>
          <w:tcPr>
            <w:tcW w:w="500" w:type="dxa"/>
          </w:tcPr>
          <w:p>
            <w:pPr>
              <w:pStyle w:val="TableParagraph"/>
              <w:spacing w:before="18"/>
              <w:ind w:right="292"/>
              <w:rPr>
                <w:sz w:val="18"/>
              </w:rPr>
            </w:pPr>
            <w:r>
              <w:rPr>
                <w:w w:val="99"/>
                <w:sz w:val="18"/>
              </w:rPr>
              <w:t>1</w:t>
            </w:r>
          </w:p>
        </w:tc>
        <w:tc>
          <w:tcPr>
            <w:tcW w:w="1528" w:type="dxa"/>
          </w:tcPr>
          <w:p>
            <w:pPr>
              <w:pStyle w:val="TableParagraph"/>
              <w:spacing w:before="18"/>
              <w:ind w:right="353"/>
              <w:rPr>
                <w:b/>
                <w:sz w:val="18"/>
              </w:rPr>
            </w:pPr>
            <w:r>
              <w:rPr>
                <w:b/>
                <w:w w:val="99"/>
                <w:sz w:val="18"/>
              </w:rPr>
              <w:t>-</w:t>
            </w:r>
          </w:p>
        </w:tc>
        <w:tc>
          <w:tcPr>
            <w:tcW w:w="735" w:type="dxa"/>
          </w:tcPr>
          <w:p>
            <w:pPr/>
          </w:p>
        </w:tc>
        <w:tc>
          <w:tcPr>
            <w:tcW w:w="294" w:type="dxa"/>
          </w:tcPr>
          <w:p>
            <w:pPr>
              <w:pStyle w:val="TableParagraph"/>
              <w:spacing w:before="18"/>
              <w:ind w:right="86"/>
              <w:rPr>
                <w:sz w:val="18"/>
              </w:rPr>
            </w:pPr>
            <w:r>
              <w:rPr>
                <w:w w:val="99"/>
                <w:sz w:val="18"/>
              </w:rPr>
              <w:t>-</w:t>
            </w:r>
          </w:p>
        </w:tc>
      </w:tr>
      <w:tr>
        <w:trPr>
          <w:trHeight w:val="264" w:hRule="exact"/>
        </w:trPr>
        <w:tc>
          <w:tcPr>
            <w:tcW w:w="468" w:type="dxa"/>
          </w:tcPr>
          <w:p>
            <w:pPr/>
          </w:p>
        </w:tc>
        <w:tc>
          <w:tcPr>
            <w:tcW w:w="6027" w:type="dxa"/>
          </w:tcPr>
          <w:p>
            <w:pPr>
              <w:pStyle w:val="TableParagraph"/>
              <w:tabs>
                <w:tab w:pos="4936" w:val="right" w:leader="none"/>
              </w:tabs>
              <w:spacing w:before="19"/>
              <w:ind w:left="178"/>
              <w:jc w:val="left"/>
              <w:rPr>
                <w:b/>
                <w:sz w:val="18"/>
              </w:rPr>
            </w:pPr>
            <w:r>
              <w:rPr>
                <w:sz w:val="18"/>
              </w:rPr>
              <w:t>$240,000</w:t>
            </w:r>
            <w:r>
              <w:rPr>
                <w:spacing w:val="-2"/>
                <w:sz w:val="18"/>
              </w:rPr>
              <w:t> </w:t>
            </w:r>
            <w:r>
              <w:rPr>
                <w:sz w:val="18"/>
              </w:rPr>
              <w:t>to</w:t>
            </w:r>
            <w:r>
              <w:rPr>
                <w:spacing w:val="-2"/>
                <w:sz w:val="18"/>
              </w:rPr>
              <w:t> </w:t>
            </w:r>
            <w:r>
              <w:rPr>
                <w:sz w:val="18"/>
              </w:rPr>
              <w:t>$249,999</w:t>
            </w:r>
            <w:r>
              <w:rPr>
                <w:rFonts w:ascii="Times New Roman"/>
                <w:sz w:val="18"/>
              </w:rPr>
              <w:tab/>
            </w:r>
            <w:r>
              <w:rPr>
                <w:b/>
                <w:sz w:val="18"/>
              </w:rPr>
              <w:t>1</w:t>
            </w:r>
          </w:p>
        </w:tc>
        <w:tc>
          <w:tcPr>
            <w:tcW w:w="500" w:type="dxa"/>
          </w:tcPr>
          <w:p>
            <w:pPr>
              <w:pStyle w:val="TableParagraph"/>
              <w:spacing w:before="18"/>
              <w:ind w:right="292"/>
              <w:rPr>
                <w:sz w:val="18"/>
              </w:rPr>
            </w:pPr>
            <w:r>
              <w:rPr>
                <w:w w:val="99"/>
                <w:sz w:val="18"/>
              </w:rPr>
              <w:t>1</w:t>
            </w:r>
          </w:p>
        </w:tc>
        <w:tc>
          <w:tcPr>
            <w:tcW w:w="1528" w:type="dxa"/>
          </w:tcPr>
          <w:p>
            <w:pPr>
              <w:pStyle w:val="TableParagraph"/>
              <w:spacing w:before="18"/>
              <w:ind w:right="352"/>
              <w:rPr>
                <w:b/>
                <w:sz w:val="18"/>
              </w:rPr>
            </w:pPr>
            <w:r>
              <w:rPr>
                <w:b/>
                <w:w w:val="99"/>
                <w:sz w:val="18"/>
              </w:rPr>
              <w:t>1</w:t>
            </w:r>
          </w:p>
        </w:tc>
        <w:tc>
          <w:tcPr>
            <w:tcW w:w="735" w:type="dxa"/>
          </w:tcPr>
          <w:p>
            <w:pPr/>
          </w:p>
        </w:tc>
        <w:tc>
          <w:tcPr>
            <w:tcW w:w="294" w:type="dxa"/>
          </w:tcPr>
          <w:p>
            <w:pPr>
              <w:pStyle w:val="TableParagraph"/>
              <w:spacing w:before="18"/>
              <w:ind w:right="86"/>
              <w:rPr>
                <w:sz w:val="18"/>
              </w:rPr>
            </w:pPr>
            <w:r>
              <w:rPr>
                <w:w w:val="99"/>
                <w:sz w:val="18"/>
              </w:rPr>
              <w:t>-</w:t>
            </w:r>
          </w:p>
        </w:tc>
      </w:tr>
      <w:tr>
        <w:trPr>
          <w:trHeight w:val="264" w:hRule="exact"/>
        </w:trPr>
        <w:tc>
          <w:tcPr>
            <w:tcW w:w="468" w:type="dxa"/>
          </w:tcPr>
          <w:p>
            <w:pPr/>
          </w:p>
        </w:tc>
        <w:tc>
          <w:tcPr>
            <w:tcW w:w="6027" w:type="dxa"/>
          </w:tcPr>
          <w:p>
            <w:pPr>
              <w:pStyle w:val="TableParagraph"/>
              <w:tabs>
                <w:tab w:pos="4936" w:val="right" w:leader="none"/>
              </w:tabs>
              <w:spacing w:before="19"/>
              <w:ind w:left="178"/>
              <w:jc w:val="left"/>
              <w:rPr>
                <w:b/>
                <w:sz w:val="18"/>
              </w:rPr>
            </w:pPr>
            <w:r>
              <w:rPr>
                <w:sz w:val="18"/>
              </w:rPr>
              <w:t>$250,000</w:t>
            </w:r>
            <w:r>
              <w:rPr>
                <w:spacing w:val="-2"/>
                <w:sz w:val="18"/>
              </w:rPr>
              <w:t> </w:t>
            </w:r>
            <w:r>
              <w:rPr>
                <w:sz w:val="18"/>
              </w:rPr>
              <w:t>to</w:t>
            </w:r>
            <w:r>
              <w:rPr>
                <w:spacing w:val="-2"/>
                <w:sz w:val="18"/>
              </w:rPr>
              <w:t> </w:t>
            </w:r>
            <w:r>
              <w:rPr>
                <w:sz w:val="18"/>
              </w:rPr>
              <w:t>$259,999</w:t>
            </w:r>
            <w:r>
              <w:rPr>
                <w:rFonts w:ascii="Times New Roman"/>
                <w:sz w:val="18"/>
              </w:rPr>
              <w:tab/>
            </w:r>
            <w:r>
              <w:rPr>
                <w:b/>
                <w:sz w:val="18"/>
              </w:rPr>
              <w:t>1</w:t>
            </w:r>
          </w:p>
        </w:tc>
        <w:tc>
          <w:tcPr>
            <w:tcW w:w="500" w:type="dxa"/>
          </w:tcPr>
          <w:p>
            <w:pPr>
              <w:pStyle w:val="TableParagraph"/>
              <w:spacing w:before="18"/>
              <w:ind w:right="292"/>
              <w:rPr>
                <w:sz w:val="18"/>
              </w:rPr>
            </w:pPr>
            <w:r>
              <w:rPr>
                <w:w w:val="99"/>
                <w:sz w:val="18"/>
              </w:rPr>
              <w:t>-</w:t>
            </w:r>
          </w:p>
        </w:tc>
        <w:tc>
          <w:tcPr>
            <w:tcW w:w="1528" w:type="dxa"/>
          </w:tcPr>
          <w:p>
            <w:pPr>
              <w:pStyle w:val="TableParagraph"/>
              <w:spacing w:before="18"/>
              <w:ind w:right="353"/>
              <w:rPr>
                <w:b/>
                <w:sz w:val="18"/>
              </w:rPr>
            </w:pPr>
            <w:r>
              <w:rPr>
                <w:b/>
                <w:w w:val="99"/>
                <w:sz w:val="18"/>
              </w:rPr>
              <w:t>-</w:t>
            </w:r>
          </w:p>
        </w:tc>
        <w:tc>
          <w:tcPr>
            <w:tcW w:w="735" w:type="dxa"/>
          </w:tcPr>
          <w:p>
            <w:pPr/>
          </w:p>
        </w:tc>
        <w:tc>
          <w:tcPr>
            <w:tcW w:w="294" w:type="dxa"/>
          </w:tcPr>
          <w:p>
            <w:pPr>
              <w:pStyle w:val="TableParagraph"/>
              <w:spacing w:before="18"/>
              <w:ind w:right="86"/>
              <w:rPr>
                <w:sz w:val="18"/>
              </w:rPr>
            </w:pPr>
            <w:r>
              <w:rPr>
                <w:w w:val="99"/>
                <w:sz w:val="18"/>
              </w:rPr>
              <w:t>-</w:t>
            </w:r>
          </w:p>
        </w:tc>
      </w:tr>
      <w:tr>
        <w:trPr>
          <w:trHeight w:val="264" w:hRule="exact"/>
        </w:trPr>
        <w:tc>
          <w:tcPr>
            <w:tcW w:w="468" w:type="dxa"/>
          </w:tcPr>
          <w:p>
            <w:pPr/>
          </w:p>
        </w:tc>
        <w:tc>
          <w:tcPr>
            <w:tcW w:w="6027" w:type="dxa"/>
          </w:tcPr>
          <w:p>
            <w:pPr>
              <w:pStyle w:val="TableParagraph"/>
              <w:tabs>
                <w:tab w:pos="4876" w:val="left" w:leader="none"/>
              </w:tabs>
              <w:spacing w:before="19"/>
              <w:ind w:left="178"/>
              <w:jc w:val="left"/>
              <w:rPr>
                <w:b/>
                <w:sz w:val="18"/>
              </w:rPr>
            </w:pPr>
            <w:r>
              <w:rPr>
                <w:sz w:val="18"/>
              </w:rPr>
              <w:t>$260,000</w:t>
            </w:r>
            <w:r>
              <w:rPr>
                <w:spacing w:val="-5"/>
                <w:sz w:val="18"/>
              </w:rPr>
              <w:t> </w:t>
            </w:r>
            <w:r>
              <w:rPr>
                <w:sz w:val="18"/>
              </w:rPr>
              <w:t>to</w:t>
            </w:r>
            <w:r>
              <w:rPr>
                <w:spacing w:val="-5"/>
                <w:sz w:val="18"/>
              </w:rPr>
              <w:t> </w:t>
            </w:r>
            <w:r>
              <w:rPr>
                <w:sz w:val="18"/>
              </w:rPr>
              <w:t>$269,999</w:t>
              <w:tab/>
            </w:r>
            <w:r>
              <w:rPr>
                <w:b/>
                <w:sz w:val="18"/>
              </w:rPr>
              <w:t>-</w:t>
            </w:r>
          </w:p>
        </w:tc>
        <w:tc>
          <w:tcPr>
            <w:tcW w:w="500" w:type="dxa"/>
          </w:tcPr>
          <w:p>
            <w:pPr>
              <w:pStyle w:val="TableParagraph"/>
              <w:spacing w:before="18"/>
              <w:ind w:right="292"/>
              <w:rPr>
                <w:sz w:val="18"/>
              </w:rPr>
            </w:pPr>
            <w:r>
              <w:rPr>
                <w:w w:val="99"/>
                <w:sz w:val="18"/>
              </w:rPr>
              <w:t>2</w:t>
            </w:r>
          </w:p>
        </w:tc>
        <w:tc>
          <w:tcPr>
            <w:tcW w:w="1528" w:type="dxa"/>
          </w:tcPr>
          <w:p>
            <w:pPr>
              <w:pStyle w:val="TableParagraph"/>
              <w:spacing w:before="18"/>
              <w:ind w:right="353"/>
              <w:rPr>
                <w:b/>
                <w:sz w:val="18"/>
              </w:rPr>
            </w:pPr>
            <w:r>
              <w:rPr>
                <w:b/>
                <w:w w:val="99"/>
                <w:sz w:val="18"/>
              </w:rPr>
              <w:t>-</w:t>
            </w:r>
          </w:p>
        </w:tc>
        <w:tc>
          <w:tcPr>
            <w:tcW w:w="735" w:type="dxa"/>
          </w:tcPr>
          <w:p>
            <w:pPr/>
          </w:p>
        </w:tc>
        <w:tc>
          <w:tcPr>
            <w:tcW w:w="294" w:type="dxa"/>
          </w:tcPr>
          <w:p>
            <w:pPr>
              <w:pStyle w:val="TableParagraph"/>
              <w:spacing w:before="18"/>
              <w:ind w:right="86"/>
              <w:rPr>
                <w:sz w:val="18"/>
              </w:rPr>
            </w:pPr>
            <w:r>
              <w:rPr>
                <w:w w:val="99"/>
                <w:sz w:val="18"/>
              </w:rPr>
              <w:t>2</w:t>
            </w:r>
          </w:p>
        </w:tc>
      </w:tr>
      <w:tr>
        <w:trPr>
          <w:trHeight w:val="264" w:hRule="exact"/>
        </w:trPr>
        <w:tc>
          <w:tcPr>
            <w:tcW w:w="468" w:type="dxa"/>
          </w:tcPr>
          <w:p>
            <w:pPr/>
          </w:p>
        </w:tc>
        <w:tc>
          <w:tcPr>
            <w:tcW w:w="6027" w:type="dxa"/>
          </w:tcPr>
          <w:p>
            <w:pPr>
              <w:pStyle w:val="TableParagraph"/>
              <w:tabs>
                <w:tab w:pos="4936" w:val="right" w:leader="none"/>
              </w:tabs>
              <w:spacing w:before="19"/>
              <w:ind w:left="178"/>
              <w:jc w:val="left"/>
              <w:rPr>
                <w:b/>
                <w:sz w:val="18"/>
              </w:rPr>
            </w:pPr>
            <w:r>
              <w:rPr>
                <w:sz w:val="18"/>
              </w:rPr>
              <w:t>$270,000</w:t>
            </w:r>
            <w:r>
              <w:rPr>
                <w:spacing w:val="-2"/>
                <w:sz w:val="18"/>
              </w:rPr>
              <w:t> </w:t>
            </w:r>
            <w:r>
              <w:rPr>
                <w:sz w:val="18"/>
              </w:rPr>
              <w:t>to</w:t>
            </w:r>
            <w:r>
              <w:rPr>
                <w:spacing w:val="-2"/>
                <w:sz w:val="18"/>
              </w:rPr>
              <w:t> </w:t>
            </w:r>
            <w:r>
              <w:rPr>
                <w:sz w:val="18"/>
              </w:rPr>
              <w:t>$279,999</w:t>
            </w:r>
            <w:r>
              <w:rPr>
                <w:rFonts w:ascii="Times New Roman"/>
                <w:sz w:val="18"/>
              </w:rPr>
              <w:tab/>
            </w:r>
            <w:r>
              <w:rPr>
                <w:b/>
                <w:sz w:val="18"/>
              </w:rPr>
              <w:t>2</w:t>
            </w:r>
          </w:p>
        </w:tc>
        <w:tc>
          <w:tcPr>
            <w:tcW w:w="500" w:type="dxa"/>
          </w:tcPr>
          <w:p>
            <w:pPr>
              <w:pStyle w:val="TableParagraph"/>
              <w:spacing w:before="18"/>
              <w:ind w:right="292"/>
              <w:rPr>
                <w:sz w:val="18"/>
              </w:rPr>
            </w:pPr>
            <w:r>
              <w:rPr>
                <w:w w:val="99"/>
                <w:sz w:val="18"/>
              </w:rPr>
              <w:t>1</w:t>
            </w:r>
          </w:p>
        </w:tc>
        <w:tc>
          <w:tcPr>
            <w:tcW w:w="1528" w:type="dxa"/>
          </w:tcPr>
          <w:p>
            <w:pPr>
              <w:pStyle w:val="TableParagraph"/>
              <w:spacing w:before="18"/>
              <w:ind w:right="352"/>
              <w:rPr>
                <w:b/>
                <w:sz w:val="18"/>
              </w:rPr>
            </w:pPr>
            <w:r>
              <w:rPr>
                <w:b/>
                <w:w w:val="99"/>
                <w:sz w:val="18"/>
              </w:rPr>
              <w:t>1</w:t>
            </w:r>
          </w:p>
        </w:tc>
        <w:tc>
          <w:tcPr>
            <w:tcW w:w="735" w:type="dxa"/>
          </w:tcPr>
          <w:p>
            <w:pPr/>
          </w:p>
        </w:tc>
        <w:tc>
          <w:tcPr>
            <w:tcW w:w="294" w:type="dxa"/>
          </w:tcPr>
          <w:p>
            <w:pPr>
              <w:pStyle w:val="TableParagraph"/>
              <w:spacing w:before="18"/>
              <w:ind w:right="86"/>
              <w:rPr>
                <w:sz w:val="18"/>
              </w:rPr>
            </w:pPr>
            <w:r>
              <w:rPr>
                <w:w w:val="99"/>
                <w:sz w:val="18"/>
              </w:rPr>
              <w:t>-</w:t>
            </w:r>
          </w:p>
        </w:tc>
      </w:tr>
      <w:tr>
        <w:trPr>
          <w:trHeight w:val="264" w:hRule="exact"/>
        </w:trPr>
        <w:tc>
          <w:tcPr>
            <w:tcW w:w="468" w:type="dxa"/>
          </w:tcPr>
          <w:p>
            <w:pPr/>
          </w:p>
        </w:tc>
        <w:tc>
          <w:tcPr>
            <w:tcW w:w="6027" w:type="dxa"/>
          </w:tcPr>
          <w:p>
            <w:pPr>
              <w:pStyle w:val="TableParagraph"/>
              <w:tabs>
                <w:tab w:pos="4936" w:val="right" w:leader="none"/>
              </w:tabs>
              <w:spacing w:before="19"/>
              <w:ind w:left="178"/>
              <w:jc w:val="left"/>
              <w:rPr>
                <w:b/>
                <w:sz w:val="18"/>
              </w:rPr>
            </w:pPr>
            <w:r>
              <w:rPr>
                <w:sz w:val="18"/>
              </w:rPr>
              <w:t>$280,000</w:t>
            </w:r>
            <w:r>
              <w:rPr>
                <w:spacing w:val="-2"/>
                <w:sz w:val="18"/>
              </w:rPr>
              <w:t> </w:t>
            </w:r>
            <w:r>
              <w:rPr>
                <w:sz w:val="18"/>
              </w:rPr>
              <w:t>to</w:t>
            </w:r>
            <w:r>
              <w:rPr>
                <w:spacing w:val="-2"/>
                <w:sz w:val="18"/>
              </w:rPr>
              <w:t> </w:t>
            </w:r>
            <w:r>
              <w:rPr>
                <w:sz w:val="18"/>
              </w:rPr>
              <w:t>$289,999</w:t>
            </w:r>
            <w:r>
              <w:rPr>
                <w:rFonts w:ascii="Times New Roman"/>
                <w:sz w:val="18"/>
              </w:rPr>
              <w:tab/>
            </w:r>
            <w:r>
              <w:rPr>
                <w:b/>
                <w:sz w:val="18"/>
              </w:rPr>
              <w:t>1</w:t>
            </w:r>
          </w:p>
        </w:tc>
        <w:tc>
          <w:tcPr>
            <w:tcW w:w="500" w:type="dxa"/>
          </w:tcPr>
          <w:p>
            <w:pPr>
              <w:pStyle w:val="TableParagraph"/>
              <w:spacing w:before="18"/>
              <w:ind w:right="292"/>
              <w:rPr>
                <w:sz w:val="18"/>
              </w:rPr>
            </w:pPr>
            <w:r>
              <w:rPr>
                <w:w w:val="99"/>
                <w:sz w:val="18"/>
              </w:rPr>
              <w:t>5</w:t>
            </w:r>
          </w:p>
        </w:tc>
        <w:tc>
          <w:tcPr>
            <w:tcW w:w="1528" w:type="dxa"/>
          </w:tcPr>
          <w:p>
            <w:pPr>
              <w:pStyle w:val="TableParagraph"/>
              <w:spacing w:before="18"/>
              <w:ind w:right="352"/>
              <w:rPr>
                <w:b/>
                <w:sz w:val="18"/>
              </w:rPr>
            </w:pPr>
            <w:r>
              <w:rPr>
                <w:b/>
                <w:w w:val="99"/>
                <w:sz w:val="18"/>
              </w:rPr>
              <w:t>1</w:t>
            </w:r>
          </w:p>
        </w:tc>
        <w:tc>
          <w:tcPr>
            <w:tcW w:w="735" w:type="dxa"/>
          </w:tcPr>
          <w:p>
            <w:pPr/>
          </w:p>
        </w:tc>
        <w:tc>
          <w:tcPr>
            <w:tcW w:w="294" w:type="dxa"/>
          </w:tcPr>
          <w:p>
            <w:pPr>
              <w:pStyle w:val="TableParagraph"/>
              <w:spacing w:before="18"/>
              <w:ind w:right="86"/>
              <w:rPr>
                <w:sz w:val="18"/>
              </w:rPr>
            </w:pPr>
            <w:r>
              <w:rPr>
                <w:w w:val="99"/>
                <w:sz w:val="18"/>
              </w:rPr>
              <w:t>5</w:t>
            </w:r>
          </w:p>
        </w:tc>
      </w:tr>
      <w:tr>
        <w:trPr>
          <w:trHeight w:val="264" w:hRule="exact"/>
        </w:trPr>
        <w:tc>
          <w:tcPr>
            <w:tcW w:w="468" w:type="dxa"/>
          </w:tcPr>
          <w:p>
            <w:pPr/>
          </w:p>
        </w:tc>
        <w:tc>
          <w:tcPr>
            <w:tcW w:w="6027" w:type="dxa"/>
          </w:tcPr>
          <w:p>
            <w:pPr>
              <w:pStyle w:val="TableParagraph"/>
              <w:tabs>
                <w:tab w:pos="4936" w:val="right" w:leader="none"/>
              </w:tabs>
              <w:spacing w:before="19"/>
              <w:ind w:left="178"/>
              <w:jc w:val="left"/>
              <w:rPr>
                <w:b/>
                <w:sz w:val="18"/>
              </w:rPr>
            </w:pPr>
            <w:r>
              <w:rPr>
                <w:sz w:val="18"/>
              </w:rPr>
              <w:t>$300,000</w:t>
            </w:r>
            <w:r>
              <w:rPr>
                <w:spacing w:val="-2"/>
                <w:sz w:val="18"/>
              </w:rPr>
              <w:t> </w:t>
            </w:r>
            <w:r>
              <w:rPr>
                <w:sz w:val="18"/>
              </w:rPr>
              <w:t>to</w:t>
            </w:r>
            <w:r>
              <w:rPr>
                <w:spacing w:val="-2"/>
                <w:sz w:val="18"/>
              </w:rPr>
              <w:t> </w:t>
            </w:r>
            <w:r>
              <w:rPr>
                <w:sz w:val="18"/>
              </w:rPr>
              <w:t>$309,999</w:t>
            </w:r>
            <w:r>
              <w:rPr>
                <w:rFonts w:ascii="Times New Roman"/>
                <w:sz w:val="18"/>
              </w:rPr>
              <w:tab/>
            </w:r>
            <w:r>
              <w:rPr>
                <w:b/>
                <w:sz w:val="18"/>
              </w:rPr>
              <w:t>4</w:t>
            </w:r>
          </w:p>
        </w:tc>
        <w:tc>
          <w:tcPr>
            <w:tcW w:w="500" w:type="dxa"/>
          </w:tcPr>
          <w:p>
            <w:pPr>
              <w:pStyle w:val="TableParagraph"/>
              <w:spacing w:before="18"/>
              <w:ind w:right="292"/>
              <w:rPr>
                <w:sz w:val="18"/>
              </w:rPr>
            </w:pPr>
            <w:r>
              <w:rPr>
                <w:w w:val="99"/>
                <w:sz w:val="18"/>
              </w:rPr>
              <w:t>-</w:t>
            </w:r>
          </w:p>
        </w:tc>
        <w:tc>
          <w:tcPr>
            <w:tcW w:w="1528" w:type="dxa"/>
          </w:tcPr>
          <w:p>
            <w:pPr>
              <w:pStyle w:val="TableParagraph"/>
              <w:spacing w:before="18"/>
              <w:ind w:right="352"/>
              <w:rPr>
                <w:b/>
                <w:sz w:val="18"/>
              </w:rPr>
            </w:pPr>
            <w:r>
              <w:rPr>
                <w:b/>
                <w:w w:val="99"/>
                <w:sz w:val="18"/>
              </w:rPr>
              <w:t>3</w:t>
            </w:r>
          </w:p>
        </w:tc>
        <w:tc>
          <w:tcPr>
            <w:tcW w:w="735" w:type="dxa"/>
          </w:tcPr>
          <w:p>
            <w:pPr/>
          </w:p>
        </w:tc>
        <w:tc>
          <w:tcPr>
            <w:tcW w:w="294" w:type="dxa"/>
          </w:tcPr>
          <w:p>
            <w:pPr>
              <w:pStyle w:val="TableParagraph"/>
              <w:spacing w:before="18"/>
              <w:ind w:right="86"/>
              <w:rPr>
                <w:sz w:val="18"/>
              </w:rPr>
            </w:pPr>
            <w:r>
              <w:rPr>
                <w:w w:val="99"/>
                <w:sz w:val="18"/>
              </w:rPr>
              <w:t>-</w:t>
            </w:r>
          </w:p>
        </w:tc>
      </w:tr>
      <w:tr>
        <w:trPr>
          <w:trHeight w:val="264" w:hRule="exact"/>
        </w:trPr>
        <w:tc>
          <w:tcPr>
            <w:tcW w:w="468" w:type="dxa"/>
          </w:tcPr>
          <w:p>
            <w:pPr/>
          </w:p>
        </w:tc>
        <w:tc>
          <w:tcPr>
            <w:tcW w:w="6027" w:type="dxa"/>
          </w:tcPr>
          <w:p>
            <w:pPr>
              <w:pStyle w:val="TableParagraph"/>
              <w:tabs>
                <w:tab w:pos="4876" w:val="left" w:leader="none"/>
              </w:tabs>
              <w:spacing w:before="19"/>
              <w:ind w:left="178"/>
              <w:jc w:val="left"/>
              <w:rPr>
                <w:b/>
                <w:sz w:val="18"/>
              </w:rPr>
            </w:pPr>
            <w:r>
              <w:rPr>
                <w:sz w:val="18"/>
              </w:rPr>
              <w:t>$310,000</w:t>
            </w:r>
            <w:r>
              <w:rPr>
                <w:spacing w:val="-5"/>
                <w:sz w:val="18"/>
              </w:rPr>
              <w:t> </w:t>
            </w:r>
            <w:r>
              <w:rPr>
                <w:sz w:val="18"/>
              </w:rPr>
              <w:t>to</w:t>
            </w:r>
            <w:r>
              <w:rPr>
                <w:spacing w:val="-5"/>
                <w:sz w:val="18"/>
              </w:rPr>
              <w:t> </w:t>
            </w:r>
            <w:r>
              <w:rPr>
                <w:sz w:val="18"/>
              </w:rPr>
              <w:t>$319,999</w:t>
              <w:tab/>
            </w:r>
            <w:r>
              <w:rPr>
                <w:b/>
                <w:sz w:val="18"/>
              </w:rPr>
              <w:t>-</w:t>
            </w:r>
          </w:p>
        </w:tc>
        <w:tc>
          <w:tcPr>
            <w:tcW w:w="500" w:type="dxa"/>
          </w:tcPr>
          <w:p>
            <w:pPr>
              <w:pStyle w:val="TableParagraph"/>
              <w:spacing w:before="18"/>
              <w:ind w:right="292"/>
              <w:rPr>
                <w:sz w:val="18"/>
              </w:rPr>
            </w:pPr>
            <w:r>
              <w:rPr>
                <w:w w:val="99"/>
                <w:sz w:val="18"/>
              </w:rPr>
              <w:t>1</w:t>
            </w:r>
          </w:p>
        </w:tc>
        <w:tc>
          <w:tcPr>
            <w:tcW w:w="1528" w:type="dxa"/>
          </w:tcPr>
          <w:p>
            <w:pPr>
              <w:pStyle w:val="TableParagraph"/>
              <w:spacing w:before="18"/>
              <w:ind w:right="353"/>
              <w:rPr>
                <w:b/>
                <w:sz w:val="18"/>
              </w:rPr>
            </w:pPr>
            <w:r>
              <w:rPr>
                <w:b/>
                <w:w w:val="99"/>
                <w:sz w:val="18"/>
              </w:rPr>
              <w:t>-</w:t>
            </w:r>
          </w:p>
        </w:tc>
        <w:tc>
          <w:tcPr>
            <w:tcW w:w="735" w:type="dxa"/>
          </w:tcPr>
          <w:p>
            <w:pPr/>
          </w:p>
        </w:tc>
        <w:tc>
          <w:tcPr>
            <w:tcW w:w="294" w:type="dxa"/>
          </w:tcPr>
          <w:p>
            <w:pPr>
              <w:pStyle w:val="TableParagraph"/>
              <w:spacing w:before="18"/>
              <w:ind w:right="86"/>
              <w:rPr>
                <w:sz w:val="18"/>
              </w:rPr>
            </w:pPr>
            <w:r>
              <w:rPr>
                <w:w w:val="99"/>
                <w:sz w:val="18"/>
              </w:rPr>
              <w:t>1</w:t>
            </w:r>
          </w:p>
        </w:tc>
      </w:tr>
      <w:tr>
        <w:trPr>
          <w:trHeight w:val="264" w:hRule="exact"/>
        </w:trPr>
        <w:tc>
          <w:tcPr>
            <w:tcW w:w="468" w:type="dxa"/>
          </w:tcPr>
          <w:p>
            <w:pPr/>
          </w:p>
        </w:tc>
        <w:tc>
          <w:tcPr>
            <w:tcW w:w="6027" w:type="dxa"/>
          </w:tcPr>
          <w:p>
            <w:pPr>
              <w:pStyle w:val="TableParagraph"/>
              <w:tabs>
                <w:tab w:pos="4936" w:val="right" w:leader="none"/>
              </w:tabs>
              <w:spacing w:before="19"/>
              <w:ind w:left="178"/>
              <w:jc w:val="left"/>
              <w:rPr>
                <w:b/>
                <w:sz w:val="18"/>
              </w:rPr>
            </w:pPr>
            <w:r>
              <w:rPr>
                <w:sz w:val="18"/>
              </w:rPr>
              <w:t>$320,000</w:t>
            </w:r>
            <w:r>
              <w:rPr>
                <w:spacing w:val="-2"/>
                <w:sz w:val="18"/>
              </w:rPr>
              <w:t> </w:t>
            </w:r>
            <w:r>
              <w:rPr>
                <w:sz w:val="18"/>
              </w:rPr>
              <w:t>to</w:t>
            </w:r>
            <w:r>
              <w:rPr>
                <w:spacing w:val="-2"/>
                <w:sz w:val="18"/>
              </w:rPr>
              <w:t> </w:t>
            </w:r>
            <w:r>
              <w:rPr>
                <w:sz w:val="18"/>
              </w:rPr>
              <w:t>$329,999</w:t>
            </w:r>
            <w:r>
              <w:rPr>
                <w:rFonts w:ascii="Times New Roman"/>
                <w:sz w:val="18"/>
              </w:rPr>
              <w:tab/>
            </w:r>
            <w:r>
              <w:rPr>
                <w:b/>
                <w:sz w:val="18"/>
              </w:rPr>
              <w:t>2</w:t>
            </w:r>
          </w:p>
        </w:tc>
        <w:tc>
          <w:tcPr>
            <w:tcW w:w="500" w:type="dxa"/>
          </w:tcPr>
          <w:p>
            <w:pPr>
              <w:pStyle w:val="TableParagraph"/>
              <w:spacing w:before="18"/>
              <w:ind w:right="292"/>
              <w:rPr>
                <w:sz w:val="18"/>
              </w:rPr>
            </w:pPr>
            <w:r>
              <w:rPr>
                <w:w w:val="99"/>
                <w:sz w:val="18"/>
              </w:rPr>
              <w:t>1</w:t>
            </w:r>
          </w:p>
        </w:tc>
        <w:tc>
          <w:tcPr>
            <w:tcW w:w="1528" w:type="dxa"/>
          </w:tcPr>
          <w:p>
            <w:pPr>
              <w:pStyle w:val="TableParagraph"/>
              <w:spacing w:before="18"/>
              <w:ind w:right="352"/>
              <w:rPr>
                <w:b/>
                <w:sz w:val="18"/>
              </w:rPr>
            </w:pPr>
            <w:r>
              <w:rPr>
                <w:b/>
                <w:w w:val="99"/>
                <w:sz w:val="18"/>
              </w:rPr>
              <w:t>2</w:t>
            </w:r>
          </w:p>
        </w:tc>
        <w:tc>
          <w:tcPr>
            <w:tcW w:w="735" w:type="dxa"/>
          </w:tcPr>
          <w:p>
            <w:pPr/>
          </w:p>
        </w:tc>
        <w:tc>
          <w:tcPr>
            <w:tcW w:w="294" w:type="dxa"/>
          </w:tcPr>
          <w:p>
            <w:pPr>
              <w:pStyle w:val="TableParagraph"/>
              <w:spacing w:before="18"/>
              <w:ind w:right="86"/>
              <w:rPr>
                <w:sz w:val="18"/>
              </w:rPr>
            </w:pPr>
            <w:r>
              <w:rPr>
                <w:w w:val="99"/>
                <w:sz w:val="18"/>
              </w:rPr>
              <w:t>1</w:t>
            </w:r>
          </w:p>
        </w:tc>
      </w:tr>
      <w:tr>
        <w:trPr>
          <w:trHeight w:val="264" w:hRule="exact"/>
        </w:trPr>
        <w:tc>
          <w:tcPr>
            <w:tcW w:w="468" w:type="dxa"/>
          </w:tcPr>
          <w:p>
            <w:pPr/>
          </w:p>
        </w:tc>
        <w:tc>
          <w:tcPr>
            <w:tcW w:w="6027" w:type="dxa"/>
          </w:tcPr>
          <w:p>
            <w:pPr>
              <w:pStyle w:val="TableParagraph"/>
              <w:tabs>
                <w:tab w:pos="4936" w:val="right" w:leader="none"/>
              </w:tabs>
              <w:spacing w:before="19"/>
              <w:ind w:left="178"/>
              <w:jc w:val="left"/>
              <w:rPr>
                <w:b/>
                <w:sz w:val="18"/>
              </w:rPr>
            </w:pPr>
            <w:r>
              <w:rPr>
                <w:sz w:val="18"/>
              </w:rPr>
              <w:t>$330,000</w:t>
            </w:r>
            <w:r>
              <w:rPr>
                <w:spacing w:val="-2"/>
                <w:sz w:val="18"/>
              </w:rPr>
              <w:t> </w:t>
            </w:r>
            <w:r>
              <w:rPr>
                <w:sz w:val="18"/>
              </w:rPr>
              <w:t>to</w:t>
            </w:r>
            <w:r>
              <w:rPr>
                <w:spacing w:val="-2"/>
                <w:sz w:val="18"/>
              </w:rPr>
              <w:t> </w:t>
            </w:r>
            <w:r>
              <w:rPr>
                <w:sz w:val="18"/>
              </w:rPr>
              <w:t>$339,999</w:t>
            </w:r>
            <w:r>
              <w:rPr>
                <w:rFonts w:ascii="Times New Roman"/>
                <w:sz w:val="18"/>
              </w:rPr>
              <w:tab/>
            </w:r>
            <w:r>
              <w:rPr>
                <w:b/>
                <w:sz w:val="18"/>
              </w:rPr>
              <w:t>3</w:t>
            </w:r>
          </w:p>
        </w:tc>
        <w:tc>
          <w:tcPr>
            <w:tcW w:w="500" w:type="dxa"/>
          </w:tcPr>
          <w:p>
            <w:pPr>
              <w:pStyle w:val="TableParagraph"/>
              <w:spacing w:before="18"/>
              <w:ind w:right="292"/>
              <w:rPr>
                <w:sz w:val="18"/>
              </w:rPr>
            </w:pPr>
            <w:r>
              <w:rPr>
                <w:w w:val="99"/>
                <w:sz w:val="18"/>
              </w:rPr>
              <w:t>2</w:t>
            </w:r>
          </w:p>
        </w:tc>
        <w:tc>
          <w:tcPr>
            <w:tcW w:w="1528" w:type="dxa"/>
          </w:tcPr>
          <w:p>
            <w:pPr>
              <w:pStyle w:val="TableParagraph"/>
              <w:spacing w:before="18"/>
              <w:ind w:right="352"/>
              <w:rPr>
                <w:b/>
                <w:sz w:val="18"/>
              </w:rPr>
            </w:pPr>
            <w:r>
              <w:rPr>
                <w:b/>
                <w:w w:val="99"/>
                <w:sz w:val="18"/>
              </w:rPr>
              <w:t>3</w:t>
            </w:r>
          </w:p>
        </w:tc>
        <w:tc>
          <w:tcPr>
            <w:tcW w:w="735" w:type="dxa"/>
          </w:tcPr>
          <w:p>
            <w:pPr/>
          </w:p>
        </w:tc>
        <w:tc>
          <w:tcPr>
            <w:tcW w:w="294" w:type="dxa"/>
          </w:tcPr>
          <w:p>
            <w:pPr>
              <w:pStyle w:val="TableParagraph"/>
              <w:spacing w:before="18"/>
              <w:ind w:right="86"/>
              <w:rPr>
                <w:sz w:val="18"/>
              </w:rPr>
            </w:pPr>
            <w:r>
              <w:rPr>
                <w:w w:val="99"/>
                <w:sz w:val="18"/>
              </w:rPr>
              <w:t>2</w:t>
            </w:r>
          </w:p>
        </w:tc>
      </w:tr>
      <w:tr>
        <w:trPr>
          <w:trHeight w:val="264" w:hRule="exact"/>
        </w:trPr>
        <w:tc>
          <w:tcPr>
            <w:tcW w:w="468" w:type="dxa"/>
          </w:tcPr>
          <w:p>
            <w:pPr/>
          </w:p>
        </w:tc>
        <w:tc>
          <w:tcPr>
            <w:tcW w:w="6027" w:type="dxa"/>
          </w:tcPr>
          <w:p>
            <w:pPr>
              <w:pStyle w:val="TableParagraph"/>
              <w:tabs>
                <w:tab w:pos="4936" w:val="right" w:leader="none"/>
              </w:tabs>
              <w:spacing w:before="19"/>
              <w:ind w:left="178"/>
              <w:jc w:val="left"/>
              <w:rPr>
                <w:b/>
                <w:sz w:val="18"/>
              </w:rPr>
            </w:pPr>
            <w:r>
              <w:rPr>
                <w:sz w:val="18"/>
              </w:rPr>
              <w:t>$340,000</w:t>
            </w:r>
            <w:r>
              <w:rPr>
                <w:spacing w:val="-2"/>
                <w:sz w:val="18"/>
              </w:rPr>
              <w:t> </w:t>
            </w:r>
            <w:r>
              <w:rPr>
                <w:sz w:val="18"/>
              </w:rPr>
              <w:t>to</w:t>
            </w:r>
            <w:r>
              <w:rPr>
                <w:spacing w:val="-2"/>
                <w:sz w:val="18"/>
              </w:rPr>
              <w:t> </w:t>
            </w:r>
            <w:r>
              <w:rPr>
                <w:sz w:val="18"/>
              </w:rPr>
              <w:t>$349,999</w:t>
            </w:r>
            <w:r>
              <w:rPr>
                <w:rFonts w:ascii="Times New Roman"/>
                <w:sz w:val="18"/>
              </w:rPr>
              <w:tab/>
            </w:r>
            <w:r>
              <w:rPr>
                <w:b/>
                <w:sz w:val="18"/>
              </w:rPr>
              <w:t>1</w:t>
            </w:r>
          </w:p>
        </w:tc>
        <w:tc>
          <w:tcPr>
            <w:tcW w:w="500" w:type="dxa"/>
          </w:tcPr>
          <w:p>
            <w:pPr>
              <w:pStyle w:val="TableParagraph"/>
              <w:spacing w:before="18"/>
              <w:ind w:right="292"/>
              <w:rPr>
                <w:sz w:val="18"/>
              </w:rPr>
            </w:pPr>
            <w:r>
              <w:rPr>
                <w:w w:val="99"/>
                <w:sz w:val="18"/>
              </w:rPr>
              <w:t>1</w:t>
            </w:r>
          </w:p>
        </w:tc>
        <w:tc>
          <w:tcPr>
            <w:tcW w:w="1528" w:type="dxa"/>
          </w:tcPr>
          <w:p>
            <w:pPr>
              <w:pStyle w:val="TableParagraph"/>
              <w:spacing w:before="18"/>
              <w:ind w:right="352"/>
              <w:rPr>
                <w:b/>
                <w:sz w:val="18"/>
              </w:rPr>
            </w:pPr>
            <w:r>
              <w:rPr>
                <w:b/>
                <w:w w:val="99"/>
                <w:sz w:val="18"/>
              </w:rPr>
              <w:t>1</w:t>
            </w:r>
          </w:p>
        </w:tc>
        <w:tc>
          <w:tcPr>
            <w:tcW w:w="735" w:type="dxa"/>
          </w:tcPr>
          <w:p>
            <w:pPr/>
          </w:p>
        </w:tc>
        <w:tc>
          <w:tcPr>
            <w:tcW w:w="294" w:type="dxa"/>
          </w:tcPr>
          <w:p>
            <w:pPr>
              <w:pStyle w:val="TableParagraph"/>
              <w:spacing w:before="18"/>
              <w:ind w:right="86"/>
              <w:rPr>
                <w:sz w:val="18"/>
              </w:rPr>
            </w:pPr>
            <w:r>
              <w:rPr>
                <w:w w:val="99"/>
                <w:sz w:val="18"/>
              </w:rPr>
              <w:t>1</w:t>
            </w:r>
          </w:p>
        </w:tc>
      </w:tr>
      <w:tr>
        <w:trPr>
          <w:trHeight w:val="264" w:hRule="exact"/>
        </w:trPr>
        <w:tc>
          <w:tcPr>
            <w:tcW w:w="468" w:type="dxa"/>
          </w:tcPr>
          <w:p>
            <w:pPr/>
          </w:p>
        </w:tc>
        <w:tc>
          <w:tcPr>
            <w:tcW w:w="6027" w:type="dxa"/>
          </w:tcPr>
          <w:p>
            <w:pPr>
              <w:pStyle w:val="TableParagraph"/>
              <w:tabs>
                <w:tab w:pos="4936" w:val="right" w:leader="none"/>
              </w:tabs>
              <w:spacing w:before="19"/>
              <w:ind w:left="178"/>
              <w:jc w:val="left"/>
              <w:rPr>
                <w:b/>
                <w:sz w:val="18"/>
              </w:rPr>
            </w:pPr>
            <w:r>
              <w:rPr>
                <w:sz w:val="18"/>
              </w:rPr>
              <w:t>$350,000</w:t>
            </w:r>
            <w:r>
              <w:rPr>
                <w:spacing w:val="-2"/>
                <w:sz w:val="18"/>
              </w:rPr>
              <w:t> </w:t>
            </w:r>
            <w:r>
              <w:rPr>
                <w:sz w:val="18"/>
              </w:rPr>
              <w:t>to</w:t>
            </w:r>
            <w:r>
              <w:rPr>
                <w:spacing w:val="-2"/>
                <w:sz w:val="18"/>
              </w:rPr>
              <w:t> </w:t>
            </w:r>
            <w:r>
              <w:rPr>
                <w:sz w:val="18"/>
              </w:rPr>
              <w:t>$359,999</w:t>
            </w:r>
            <w:r>
              <w:rPr>
                <w:rFonts w:ascii="Times New Roman"/>
                <w:sz w:val="18"/>
              </w:rPr>
              <w:tab/>
            </w:r>
            <w:r>
              <w:rPr>
                <w:b/>
                <w:sz w:val="18"/>
              </w:rPr>
              <w:t>1</w:t>
            </w:r>
          </w:p>
        </w:tc>
        <w:tc>
          <w:tcPr>
            <w:tcW w:w="500" w:type="dxa"/>
          </w:tcPr>
          <w:p>
            <w:pPr>
              <w:pStyle w:val="TableParagraph"/>
              <w:spacing w:before="18"/>
              <w:ind w:right="292"/>
              <w:rPr>
                <w:sz w:val="18"/>
              </w:rPr>
            </w:pPr>
            <w:r>
              <w:rPr>
                <w:w w:val="99"/>
                <w:sz w:val="18"/>
              </w:rPr>
              <w:t>-</w:t>
            </w:r>
          </w:p>
        </w:tc>
        <w:tc>
          <w:tcPr>
            <w:tcW w:w="1528" w:type="dxa"/>
          </w:tcPr>
          <w:p>
            <w:pPr>
              <w:pStyle w:val="TableParagraph"/>
              <w:spacing w:before="18"/>
              <w:ind w:right="352"/>
              <w:rPr>
                <w:b/>
                <w:sz w:val="18"/>
              </w:rPr>
            </w:pPr>
            <w:r>
              <w:rPr>
                <w:b/>
                <w:w w:val="99"/>
                <w:sz w:val="18"/>
              </w:rPr>
              <w:t>1</w:t>
            </w:r>
          </w:p>
        </w:tc>
        <w:tc>
          <w:tcPr>
            <w:tcW w:w="735" w:type="dxa"/>
          </w:tcPr>
          <w:p>
            <w:pPr/>
          </w:p>
        </w:tc>
        <w:tc>
          <w:tcPr>
            <w:tcW w:w="294" w:type="dxa"/>
          </w:tcPr>
          <w:p>
            <w:pPr>
              <w:pStyle w:val="TableParagraph"/>
              <w:spacing w:before="18"/>
              <w:ind w:right="86"/>
              <w:rPr>
                <w:sz w:val="18"/>
              </w:rPr>
            </w:pPr>
            <w:r>
              <w:rPr>
                <w:w w:val="99"/>
                <w:sz w:val="18"/>
              </w:rPr>
              <w:t>-</w:t>
            </w:r>
          </w:p>
        </w:tc>
      </w:tr>
      <w:tr>
        <w:trPr>
          <w:trHeight w:val="264" w:hRule="exact"/>
        </w:trPr>
        <w:tc>
          <w:tcPr>
            <w:tcW w:w="468" w:type="dxa"/>
          </w:tcPr>
          <w:p>
            <w:pPr/>
          </w:p>
        </w:tc>
        <w:tc>
          <w:tcPr>
            <w:tcW w:w="6027" w:type="dxa"/>
          </w:tcPr>
          <w:p>
            <w:pPr>
              <w:pStyle w:val="TableParagraph"/>
              <w:tabs>
                <w:tab w:pos="4876" w:val="left" w:leader="none"/>
              </w:tabs>
              <w:spacing w:before="19"/>
              <w:ind w:left="178"/>
              <w:jc w:val="left"/>
              <w:rPr>
                <w:b/>
                <w:sz w:val="18"/>
              </w:rPr>
            </w:pPr>
            <w:r>
              <w:rPr>
                <w:sz w:val="18"/>
              </w:rPr>
              <w:t>$370,000</w:t>
            </w:r>
            <w:r>
              <w:rPr>
                <w:spacing w:val="-5"/>
                <w:sz w:val="18"/>
              </w:rPr>
              <w:t> </w:t>
            </w:r>
            <w:r>
              <w:rPr>
                <w:sz w:val="18"/>
              </w:rPr>
              <w:t>to</w:t>
            </w:r>
            <w:r>
              <w:rPr>
                <w:spacing w:val="-5"/>
                <w:sz w:val="18"/>
              </w:rPr>
              <w:t> </w:t>
            </w:r>
            <w:r>
              <w:rPr>
                <w:sz w:val="18"/>
              </w:rPr>
              <w:t>$379,999</w:t>
              <w:tab/>
            </w:r>
            <w:r>
              <w:rPr>
                <w:b/>
                <w:sz w:val="18"/>
              </w:rPr>
              <w:t>-</w:t>
            </w:r>
          </w:p>
        </w:tc>
        <w:tc>
          <w:tcPr>
            <w:tcW w:w="500" w:type="dxa"/>
          </w:tcPr>
          <w:p>
            <w:pPr>
              <w:pStyle w:val="TableParagraph"/>
              <w:spacing w:before="18"/>
              <w:ind w:right="292"/>
              <w:rPr>
                <w:sz w:val="18"/>
              </w:rPr>
            </w:pPr>
            <w:r>
              <w:rPr>
                <w:w w:val="99"/>
                <w:sz w:val="18"/>
              </w:rPr>
              <w:t>2</w:t>
            </w:r>
          </w:p>
        </w:tc>
        <w:tc>
          <w:tcPr>
            <w:tcW w:w="1528" w:type="dxa"/>
          </w:tcPr>
          <w:p>
            <w:pPr>
              <w:pStyle w:val="TableParagraph"/>
              <w:spacing w:before="18"/>
              <w:ind w:right="353"/>
              <w:rPr>
                <w:b/>
                <w:sz w:val="18"/>
              </w:rPr>
            </w:pPr>
            <w:r>
              <w:rPr>
                <w:b/>
                <w:w w:val="99"/>
                <w:sz w:val="18"/>
              </w:rPr>
              <w:t>-</w:t>
            </w:r>
          </w:p>
        </w:tc>
        <w:tc>
          <w:tcPr>
            <w:tcW w:w="735" w:type="dxa"/>
          </w:tcPr>
          <w:p>
            <w:pPr/>
          </w:p>
        </w:tc>
        <w:tc>
          <w:tcPr>
            <w:tcW w:w="294" w:type="dxa"/>
          </w:tcPr>
          <w:p>
            <w:pPr>
              <w:pStyle w:val="TableParagraph"/>
              <w:spacing w:before="18"/>
              <w:ind w:right="86"/>
              <w:rPr>
                <w:sz w:val="18"/>
              </w:rPr>
            </w:pPr>
            <w:r>
              <w:rPr>
                <w:w w:val="99"/>
                <w:sz w:val="18"/>
              </w:rPr>
              <w:t>2</w:t>
            </w:r>
          </w:p>
        </w:tc>
      </w:tr>
      <w:tr>
        <w:trPr>
          <w:trHeight w:val="264" w:hRule="exact"/>
        </w:trPr>
        <w:tc>
          <w:tcPr>
            <w:tcW w:w="468" w:type="dxa"/>
          </w:tcPr>
          <w:p>
            <w:pPr/>
          </w:p>
        </w:tc>
        <w:tc>
          <w:tcPr>
            <w:tcW w:w="6027" w:type="dxa"/>
          </w:tcPr>
          <w:p>
            <w:pPr>
              <w:pStyle w:val="TableParagraph"/>
              <w:tabs>
                <w:tab w:pos="4936" w:val="right" w:leader="none"/>
              </w:tabs>
              <w:spacing w:before="19"/>
              <w:ind w:left="178"/>
              <w:jc w:val="left"/>
              <w:rPr>
                <w:b/>
                <w:sz w:val="18"/>
              </w:rPr>
            </w:pPr>
            <w:r>
              <w:rPr>
                <w:sz w:val="18"/>
              </w:rPr>
              <w:t>$380,000</w:t>
            </w:r>
            <w:r>
              <w:rPr>
                <w:spacing w:val="-2"/>
                <w:sz w:val="18"/>
              </w:rPr>
              <w:t> </w:t>
            </w:r>
            <w:r>
              <w:rPr>
                <w:sz w:val="18"/>
              </w:rPr>
              <w:t>to</w:t>
            </w:r>
            <w:r>
              <w:rPr>
                <w:spacing w:val="-2"/>
                <w:sz w:val="18"/>
              </w:rPr>
              <w:t> </w:t>
            </w:r>
            <w:r>
              <w:rPr>
                <w:sz w:val="18"/>
              </w:rPr>
              <w:t>$389,999</w:t>
            </w:r>
            <w:r>
              <w:rPr>
                <w:rFonts w:ascii="Times New Roman"/>
                <w:sz w:val="18"/>
              </w:rPr>
              <w:tab/>
            </w:r>
            <w:r>
              <w:rPr>
                <w:b/>
                <w:sz w:val="18"/>
              </w:rPr>
              <w:t>2</w:t>
            </w:r>
          </w:p>
        </w:tc>
        <w:tc>
          <w:tcPr>
            <w:tcW w:w="500" w:type="dxa"/>
          </w:tcPr>
          <w:p>
            <w:pPr>
              <w:pStyle w:val="TableParagraph"/>
              <w:spacing w:before="18"/>
              <w:ind w:right="292"/>
              <w:rPr>
                <w:sz w:val="18"/>
              </w:rPr>
            </w:pPr>
            <w:r>
              <w:rPr>
                <w:w w:val="99"/>
                <w:sz w:val="18"/>
              </w:rPr>
              <w:t>-</w:t>
            </w:r>
          </w:p>
        </w:tc>
        <w:tc>
          <w:tcPr>
            <w:tcW w:w="1528" w:type="dxa"/>
          </w:tcPr>
          <w:p>
            <w:pPr>
              <w:pStyle w:val="TableParagraph"/>
              <w:spacing w:before="18"/>
              <w:ind w:right="352"/>
              <w:rPr>
                <w:b/>
                <w:sz w:val="18"/>
              </w:rPr>
            </w:pPr>
            <w:r>
              <w:rPr>
                <w:b/>
                <w:w w:val="99"/>
                <w:sz w:val="18"/>
              </w:rPr>
              <w:t>2</w:t>
            </w:r>
          </w:p>
        </w:tc>
        <w:tc>
          <w:tcPr>
            <w:tcW w:w="735" w:type="dxa"/>
          </w:tcPr>
          <w:p>
            <w:pPr/>
          </w:p>
        </w:tc>
        <w:tc>
          <w:tcPr>
            <w:tcW w:w="294" w:type="dxa"/>
          </w:tcPr>
          <w:p>
            <w:pPr>
              <w:pStyle w:val="TableParagraph"/>
              <w:spacing w:before="18"/>
              <w:ind w:right="86"/>
              <w:rPr>
                <w:sz w:val="18"/>
              </w:rPr>
            </w:pPr>
            <w:r>
              <w:rPr>
                <w:w w:val="99"/>
                <w:sz w:val="18"/>
              </w:rPr>
              <w:t>-</w:t>
            </w:r>
          </w:p>
        </w:tc>
      </w:tr>
      <w:tr>
        <w:trPr>
          <w:trHeight w:val="264" w:hRule="exact"/>
        </w:trPr>
        <w:tc>
          <w:tcPr>
            <w:tcW w:w="468" w:type="dxa"/>
          </w:tcPr>
          <w:p>
            <w:pPr/>
          </w:p>
        </w:tc>
        <w:tc>
          <w:tcPr>
            <w:tcW w:w="6027" w:type="dxa"/>
          </w:tcPr>
          <w:p>
            <w:pPr>
              <w:pStyle w:val="TableParagraph"/>
              <w:tabs>
                <w:tab w:pos="4936" w:val="right" w:leader="none"/>
              </w:tabs>
              <w:spacing w:before="19"/>
              <w:ind w:left="178"/>
              <w:jc w:val="left"/>
              <w:rPr>
                <w:b/>
                <w:sz w:val="18"/>
              </w:rPr>
            </w:pPr>
            <w:r>
              <w:rPr>
                <w:sz w:val="18"/>
              </w:rPr>
              <w:t>$390,000</w:t>
            </w:r>
            <w:r>
              <w:rPr>
                <w:spacing w:val="-2"/>
                <w:sz w:val="18"/>
              </w:rPr>
              <w:t> </w:t>
            </w:r>
            <w:r>
              <w:rPr>
                <w:sz w:val="18"/>
              </w:rPr>
              <w:t>to</w:t>
            </w:r>
            <w:r>
              <w:rPr>
                <w:spacing w:val="-2"/>
                <w:sz w:val="18"/>
              </w:rPr>
              <w:t> </w:t>
            </w:r>
            <w:r>
              <w:rPr>
                <w:sz w:val="18"/>
              </w:rPr>
              <w:t>$399,999</w:t>
            </w:r>
            <w:r>
              <w:rPr>
                <w:rFonts w:ascii="Times New Roman"/>
                <w:sz w:val="18"/>
              </w:rPr>
              <w:tab/>
            </w:r>
            <w:r>
              <w:rPr>
                <w:b/>
                <w:sz w:val="18"/>
              </w:rPr>
              <w:t>1</w:t>
            </w:r>
          </w:p>
        </w:tc>
        <w:tc>
          <w:tcPr>
            <w:tcW w:w="500" w:type="dxa"/>
          </w:tcPr>
          <w:p>
            <w:pPr>
              <w:pStyle w:val="TableParagraph"/>
              <w:spacing w:before="18"/>
              <w:ind w:right="292"/>
              <w:rPr>
                <w:sz w:val="18"/>
              </w:rPr>
            </w:pPr>
            <w:r>
              <w:rPr>
                <w:w w:val="99"/>
                <w:sz w:val="18"/>
              </w:rPr>
              <w:t>-</w:t>
            </w:r>
          </w:p>
        </w:tc>
        <w:tc>
          <w:tcPr>
            <w:tcW w:w="1528" w:type="dxa"/>
          </w:tcPr>
          <w:p>
            <w:pPr>
              <w:pStyle w:val="TableParagraph"/>
              <w:spacing w:before="18"/>
              <w:ind w:right="352"/>
              <w:rPr>
                <w:b/>
                <w:sz w:val="18"/>
              </w:rPr>
            </w:pPr>
            <w:r>
              <w:rPr>
                <w:b/>
                <w:w w:val="99"/>
                <w:sz w:val="18"/>
              </w:rPr>
              <w:t>1</w:t>
            </w:r>
          </w:p>
        </w:tc>
        <w:tc>
          <w:tcPr>
            <w:tcW w:w="735" w:type="dxa"/>
          </w:tcPr>
          <w:p>
            <w:pPr/>
          </w:p>
        </w:tc>
        <w:tc>
          <w:tcPr>
            <w:tcW w:w="294" w:type="dxa"/>
          </w:tcPr>
          <w:p>
            <w:pPr>
              <w:pStyle w:val="TableParagraph"/>
              <w:spacing w:before="18"/>
              <w:ind w:right="86"/>
              <w:rPr>
                <w:sz w:val="18"/>
              </w:rPr>
            </w:pPr>
            <w:r>
              <w:rPr>
                <w:w w:val="99"/>
                <w:sz w:val="18"/>
              </w:rPr>
              <w:t>-</w:t>
            </w:r>
          </w:p>
        </w:tc>
      </w:tr>
      <w:tr>
        <w:trPr>
          <w:trHeight w:val="264" w:hRule="exact"/>
        </w:trPr>
        <w:tc>
          <w:tcPr>
            <w:tcW w:w="468" w:type="dxa"/>
          </w:tcPr>
          <w:p>
            <w:pPr/>
          </w:p>
        </w:tc>
        <w:tc>
          <w:tcPr>
            <w:tcW w:w="6027" w:type="dxa"/>
          </w:tcPr>
          <w:p>
            <w:pPr>
              <w:pStyle w:val="TableParagraph"/>
              <w:tabs>
                <w:tab w:pos="4876" w:val="left" w:leader="none"/>
              </w:tabs>
              <w:spacing w:before="19"/>
              <w:ind w:left="178"/>
              <w:jc w:val="left"/>
              <w:rPr>
                <w:b/>
                <w:sz w:val="18"/>
              </w:rPr>
            </w:pPr>
            <w:r>
              <w:rPr>
                <w:sz w:val="18"/>
              </w:rPr>
              <w:t>$420,000</w:t>
            </w:r>
            <w:r>
              <w:rPr>
                <w:spacing w:val="-5"/>
                <w:sz w:val="18"/>
              </w:rPr>
              <w:t> </w:t>
            </w:r>
            <w:r>
              <w:rPr>
                <w:sz w:val="18"/>
              </w:rPr>
              <w:t>to</w:t>
            </w:r>
            <w:r>
              <w:rPr>
                <w:spacing w:val="-5"/>
                <w:sz w:val="18"/>
              </w:rPr>
              <w:t> </w:t>
            </w:r>
            <w:r>
              <w:rPr>
                <w:sz w:val="18"/>
              </w:rPr>
              <w:t>$429,999</w:t>
              <w:tab/>
            </w:r>
            <w:r>
              <w:rPr>
                <w:b/>
                <w:sz w:val="18"/>
              </w:rPr>
              <w:t>-</w:t>
            </w:r>
          </w:p>
        </w:tc>
        <w:tc>
          <w:tcPr>
            <w:tcW w:w="500" w:type="dxa"/>
          </w:tcPr>
          <w:p>
            <w:pPr>
              <w:pStyle w:val="TableParagraph"/>
              <w:spacing w:before="18"/>
              <w:ind w:right="292"/>
              <w:rPr>
                <w:sz w:val="18"/>
              </w:rPr>
            </w:pPr>
            <w:r>
              <w:rPr>
                <w:w w:val="99"/>
                <w:sz w:val="18"/>
              </w:rPr>
              <w:t>2</w:t>
            </w:r>
          </w:p>
        </w:tc>
        <w:tc>
          <w:tcPr>
            <w:tcW w:w="1528" w:type="dxa"/>
          </w:tcPr>
          <w:p>
            <w:pPr>
              <w:pStyle w:val="TableParagraph"/>
              <w:spacing w:before="18"/>
              <w:ind w:right="353"/>
              <w:rPr>
                <w:b/>
                <w:sz w:val="18"/>
              </w:rPr>
            </w:pPr>
            <w:r>
              <w:rPr>
                <w:b/>
                <w:w w:val="99"/>
                <w:sz w:val="18"/>
              </w:rPr>
              <w:t>-</w:t>
            </w:r>
          </w:p>
        </w:tc>
        <w:tc>
          <w:tcPr>
            <w:tcW w:w="735" w:type="dxa"/>
          </w:tcPr>
          <w:p>
            <w:pPr/>
          </w:p>
        </w:tc>
        <w:tc>
          <w:tcPr>
            <w:tcW w:w="294" w:type="dxa"/>
          </w:tcPr>
          <w:p>
            <w:pPr>
              <w:pStyle w:val="TableParagraph"/>
              <w:spacing w:before="18"/>
              <w:ind w:right="86"/>
              <w:rPr>
                <w:sz w:val="18"/>
              </w:rPr>
            </w:pPr>
            <w:r>
              <w:rPr>
                <w:w w:val="99"/>
                <w:sz w:val="18"/>
              </w:rPr>
              <w:t>2</w:t>
            </w:r>
          </w:p>
        </w:tc>
      </w:tr>
      <w:tr>
        <w:trPr>
          <w:trHeight w:val="264" w:hRule="exact"/>
        </w:trPr>
        <w:tc>
          <w:tcPr>
            <w:tcW w:w="468" w:type="dxa"/>
          </w:tcPr>
          <w:p>
            <w:pPr/>
          </w:p>
        </w:tc>
        <w:tc>
          <w:tcPr>
            <w:tcW w:w="6027" w:type="dxa"/>
          </w:tcPr>
          <w:p>
            <w:pPr>
              <w:pStyle w:val="TableParagraph"/>
              <w:tabs>
                <w:tab w:pos="4936" w:val="right" w:leader="none"/>
              </w:tabs>
              <w:spacing w:before="19"/>
              <w:ind w:left="178"/>
              <w:jc w:val="left"/>
              <w:rPr>
                <w:b/>
                <w:sz w:val="18"/>
              </w:rPr>
            </w:pPr>
            <w:r>
              <w:rPr>
                <w:sz w:val="18"/>
              </w:rPr>
              <w:t>$440,000</w:t>
            </w:r>
            <w:r>
              <w:rPr>
                <w:spacing w:val="-2"/>
                <w:sz w:val="18"/>
              </w:rPr>
              <w:t> </w:t>
            </w:r>
            <w:r>
              <w:rPr>
                <w:sz w:val="18"/>
              </w:rPr>
              <w:t>to</w:t>
            </w:r>
            <w:r>
              <w:rPr>
                <w:spacing w:val="-2"/>
                <w:sz w:val="18"/>
              </w:rPr>
              <w:t> </w:t>
            </w:r>
            <w:r>
              <w:rPr>
                <w:sz w:val="18"/>
              </w:rPr>
              <w:t>$449,999</w:t>
            </w:r>
            <w:r>
              <w:rPr>
                <w:rFonts w:ascii="Times New Roman"/>
                <w:sz w:val="18"/>
              </w:rPr>
              <w:tab/>
            </w:r>
            <w:r>
              <w:rPr>
                <w:b/>
                <w:sz w:val="18"/>
              </w:rPr>
              <w:t>1</w:t>
            </w:r>
          </w:p>
        </w:tc>
        <w:tc>
          <w:tcPr>
            <w:tcW w:w="500" w:type="dxa"/>
          </w:tcPr>
          <w:p>
            <w:pPr>
              <w:pStyle w:val="TableParagraph"/>
              <w:spacing w:before="18"/>
              <w:ind w:right="292"/>
              <w:rPr>
                <w:sz w:val="18"/>
              </w:rPr>
            </w:pPr>
            <w:r>
              <w:rPr>
                <w:w w:val="99"/>
                <w:sz w:val="18"/>
              </w:rPr>
              <w:t>1</w:t>
            </w:r>
          </w:p>
        </w:tc>
        <w:tc>
          <w:tcPr>
            <w:tcW w:w="1528" w:type="dxa"/>
          </w:tcPr>
          <w:p>
            <w:pPr>
              <w:pStyle w:val="TableParagraph"/>
              <w:spacing w:before="18"/>
              <w:ind w:right="352"/>
              <w:rPr>
                <w:b/>
                <w:sz w:val="18"/>
              </w:rPr>
            </w:pPr>
            <w:r>
              <w:rPr>
                <w:b/>
                <w:w w:val="99"/>
                <w:sz w:val="18"/>
              </w:rPr>
              <w:t>1</w:t>
            </w:r>
          </w:p>
        </w:tc>
        <w:tc>
          <w:tcPr>
            <w:tcW w:w="735" w:type="dxa"/>
          </w:tcPr>
          <w:p>
            <w:pPr/>
          </w:p>
        </w:tc>
        <w:tc>
          <w:tcPr>
            <w:tcW w:w="294" w:type="dxa"/>
          </w:tcPr>
          <w:p>
            <w:pPr>
              <w:pStyle w:val="TableParagraph"/>
              <w:spacing w:before="18"/>
              <w:ind w:right="86"/>
              <w:rPr>
                <w:sz w:val="18"/>
              </w:rPr>
            </w:pPr>
            <w:r>
              <w:rPr>
                <w:w w:val="99"/>
                <w:sz w:val="18"/>
              </w:rPr>
              <w:t>1</w:t>
            </w:r>
          </w:p>
        </w:tc>
      </w:tr>
      <w:tr>
        <w:trPr>
          <w:trHeight w:val="264" w:hRule="exact"/>
        </w:trPr>
        <w:tc>
          <w:tcPr>
            <w:tcW w:w="468" w:type="dxa"/>
          </w:tcPr>
          <w:p>
            <w:pPr/>
          </w:p>
        </w:tc>
        <w:tc>
          <w:tcPr>
            <w:tcW w:w="6027" w:type="dxa"/>
          </w:tcPr>
          <w:p>
            <w:pPr>
              <w:pStyle w:val="TableParagraph"/>
              <w:tabs>
                <w:tab w:pos="4936" w:val="right" w:leader="none"/>
              </w:tabs>
              <w:spacing w:before="19"/>
              <w:ind w:left="178"/>
              <w:jc w:val="left"/>
              <w:rPr>
                <w:b/>
                <w:sz w:val="18"/>
              </w:rPr>
            </w:pPr>
            <w:r>
              <w:rPr>
                <w:sz w:val="18"/>
              </w:rPr>
              <w:t>$470,000</w:t>
            </w:r>
            <w:r>
              <w:rPr>
                <w:spacing w:val="-2"/>
                <w:sz w:val="18"/>
              </w:rPr>
              <w:t> </w:t>
            </w:r>
            <w:r>
              <w:rPr>
                <w:sz w:val="18"/>
              </w:rPr>
              <w:t>to</w:t>
            </w:r>
            <w:r>
              <w:rPr>
                <w:spacing w:val="-2"/>
                <w:sz w:val="18"/>
              </w:rPr>
              <w:t> </w:t>
            </w:r>
            <w:r>
              <w:rPr>
                <w:sz w:val="18"/>
              </w:rPr>
              <w:t>$479,999</w:t>
            </w:r>
            <w:r>
              <w:rPr>
                <w:rFonts w:ascii="Times New Roman"/>
                <w:sz w:val="18"/>
              </w:rPr>
              <w:tab/>
            </w:r>
            <w:r>
              <w:rPr>
                <w:b/>
                <w:sz w:val="18"/>
              </w:rPr>
              <w:t>1</w:t>
            </w:r>
          </w:p>
        </w:tc>
        <w:tc>
          <w:tcPr>
            <w:tcW w:w="500" w:type="dxa"/>
          </w:tcPr>
          <w:p>
            <w:pPr>
              <w:pStyle w:val="TableParagraph"/>
              <w:spacing w:before="18"/>
              <w:ind w:right="292"/>
              <w:rPr>
                <w:sz w:val="18"/>
              </w:rPr>
            </w:pPr>
            <w:r>
              <w:rPr>
                <w:w w:val="99"/>
                <w:sz w:val="18"/>
              </w:rPr>
              <w:t>-</w:t>
            </w:r>
          </w:p>
        </w:tc>
        <w:tc>
          <w:tcPr>
            <w:tcW w:w="1528" w:type="dxa"/>
          </w:tcPr>
          <w:p>
            <w:pPr>
              <w:pStyle w:val="TableParagraph"/>
              <w:spacing w:before="18"/>
              <w:ind w:right="352"/>
              <w:rPr>
                <w:b/>
                <w:sz w:val="18"/>
              </w:rPr>
            </w:pPr>
            <w:r>
              <w:rPr>
                <w:b/>
                <w:w w:val="99"/>
                <w:sz w:val="18"/>
              </w:rPr>
              <w:t>1</w:t>
            </w:r>
          </w:p>
        </w:tc>
        <w:tc>
          <w:tcPr>
            <w:tcW w:w="735" w:type="dxa"/>
          </w:tcPr>
          <w:p>
            <w:pPr/>
          </w:p>
        </w:tc>
        <w:tc>
          <w:tcPr>
            <w:tcW w:w="294" w:type="dxa"/>
          </w:tcPr>
          <w:p>
            <w:pPr>
              <w:pStyle w:val="TableParagraph"/>
              <w:spacing w:before="18"/>
              <w:ind w:right="86"/>
              <w:rPr>
                <w:sz w:val="18"/>
              </w:rPr>
            </w:pPr>
            <w:r>
              <w:rPr>
                <w:w w:val="99"/>
                <w:sz w:val="18"/>
              </w:rPr>
              <w:t>-</w:t>
            </w:r>
          </w:p>
        </w:tc>
      </w:tr>
      <w:tr>
        <w:trPr>
          <w:trHeight w:val="264" w:hRule="exact"/>
        </w:trPr>
        <w:tc>
          <w:tcPr>
            <w:tcW w:w="468" w:type="dxa"/>
          </w:tcPr>
          <w:p>
            <w:pPr/>
          </w:p>
        </w:tc>
        <w:tc>
          <w:tcPr>
            <w:tcW w:w="6027" w:type="dxa"/>
          </w:tcPr>
          <w:p>
            <w:pPr>
              <w:pStyle w:val="TableParagraph"/>
              <w:tabs>
                <w:tab w:pos="4936" w:val="right" w:leader="none"/>
              </w:tabs>
              <w:spacing w:before="19"/>
              <w:ind w:left="178"/>
              <w:jc w:val="left"/>
              <w:rPr>
                <w:b/>
                <w:sz w:val="18"/>
              </w:rPr>
            </w:pPr>
            <w:r>
              <w:rPr>
                <w:sz w:val="18"/>
              </w:rPr>
              <w:t>$490,000</w:t>
            </w:r>
            <w:r>
              <w:rPr>
                <w:spacing w:val="-2"/>
                <w:sz w:val="18"/>
              </w:rPr>
              <w:t> </w:t>
            </w:r>
            <w:r>
              <w:rPr>
                <w:sz w:val="18"/>
              </w:rPr>
              <w:t>to</w:t>
            </w:r>
            <w:r>
              <w:rPr>
                <w:spacing w:val="-2"/>
                <w:sz w:val="18"/>
              </w:rPr>
              <w:t> </w:t>
            </w:r>
            <w:r>
              <w:rPr>
                <w:sz w:val="18"/>
              </w:rPr>
              <w:t>$499,999</w:t>
            </w:r>
            <w:r>
              <w:rPr>
                <w:rFonts w:ascii="Times New Roman"/>
                <w:sz w:val="18"/>
              </w:rPr>
              <w:tab/>
            </w:r>
            <w:r>
              <w:rPr>
                <w:b/>
                <w:sz w:val="18"/>
              </w:rPr>
              <w:t>1</w:t>
            </w:r>
          </w:p>
        </w:tc>
        <w:tc>
          <w:tcPr>
            <w:tcW w:w="500" w:type="dxa"/>
          </w:tcPr>
          <w:p>
            <w:pPr>
              <w:pStyle w:val="TableParagraph"/>
              <w:spacing w:before="18"/>
              <w:ind w:right="292"/>
              <w:rPr>
                <w:sz w:val="18"/>
              </w:rPr>
            </w:pPr>
            <w:r>
              <w:rPr>
                <w:w w:val="99"/>
                <w:sz w:val="18"/>
              </w:rPr>
              <w:t>2</w:t>
            </w:r>
          </w:p>
        </w:tc>
        <w:tc>
          <w:tcPr>
            <w:tcW w:w="1528" w:type="dxa"/>
          </w:tcPr>
          <w:p>
            <w:pPr>
              <w:pStyle w:val="TableParagraph"/>
              <w:spacing w:before="18"/>
              <w:ind w:right="352"/>
              <w:rPr>
                <w:b/>
                <w:sz w:val="18"/>
              </w:rPr>
            </w:pPr>
            <w:r>
              <w:rPr>
                <w:b/>
                <w:w w:val="99"/>
                <w:sz w:val="18"/>
              </w:rPr>
              <w:t>1</w:t>
            </w:r>
          </w:p>
        </w:tc>
        <w:tc>
          <w:tcPr>
            <w:tcW w:w="735" w:type="dxa"/>
          </w:tcPr>
          <w:p>
            <w:pPr/>
          </w:p>
        </w:tc>
        <w:tc>
          <w:tcPr>
            <w:tcW w:w="294" w:type="dxa"/>
          </w:tcPr>
          <w:p>
            <w:pPr>
              <w:pStyle w:val="TableParagraph"/>
              <w:spacing w:before="18"/>
              <w:ind w:right="86"/>
              <w:rPr>
                <w:sz w:val="18"/>
              </w:rPr>
            </w:pPr>
            <w:r>
              <w:rPr>
                <w:w w:val="99"/>
                <w:sz w:val="18"/>
              </w:rPr>
              <w:t>2</w:t>
            </w:r>
          </w:p>
        </w:tc>
      </w:tr>
      <w:tr>
        <w:trPr>
          <w:trHeight w:val="264" w:hRule="exact"/>
        </w:trPr>
        <w:tc>
          <w:tcPr>
            <w:tcW w:w="468" w:type="dxa"/>
          </w:tcPr>
          <w:p>
            <w:pPr/>
          </w:p>
        </w:tc>
        <w:tc>
          <w:tcPr>
            <w:tcW w:w="6027" w:type="dxa"/>
          </w:tcPr>
          <w:p>
            <w:pPr>
              <w:pStyle w:val="TableParagraph"/>
              <w:tabs>
                <w:tab w:pos="4936" w:val="right" w:leader="none"/>
              </w:tabs>
              <w:spacing w:before="19"/>
              <w:ind w:left="178"/>
              <w:jc w:val="left"/>
              <w:rPr>
                <w:b/>
                <w:sz w:val="18"/>
              </w:rPr>
            </w:pPr>
            <w:r>
              <w:rPr>
                <w:sz w:val="18"/>
              </w:rPr>
              <w:t>$520,000</w:t>
            </w:r>
            <w:r>
              <w:rPr>
                <w:spacing w:val="-2"/>
                <w:sz w:val="18"/>
              </w:rPr>
              <w:t> </w:t>
            </w:r>
            <w:r>
              <w:rPr>
                <w:sz w:val="18"/>
              </w:rPr>
              <w:t>to</w:t>
            </w:r>
            <w:r>
              <w:rPr>
                <w:spacing w:val="-2"/>
                <w:sz w:val="18"/>
              </w:rPr>
              <w:t> </w:t>
            </w:r>
            <w:r>
              <w:rPr>
                <w:sz w:val="18"/>
              </w:rPr>
              <w:t>$529,999</w:t>
            </w:r>
            <w:r>
              <w:rPr>
                <w:rFonts w:ascii="Times New Roman"/>
                <w:sz w:val="18"/>
              </w:rPr>
              <w:tab/>
            </w:r>
            <w:r>
              <w:rPr>
                <w:b/>
                <w:sz w:val="18"/>
              </w:rPr>
              <w:t>1</w:t>
            </w:r>
          </w:p>
        </w:tc>
        <w:tc>
          <w:tcPr>
            <w:tcW w:w="500" w:type="dxa"/>
          </w:tcPr>
          <w:p>
            <w:pPr>
              <w:pStyle w:val="TableParagraph"/>
              <w:spacing w:before="18"/>
              <w:ind w:right="292"/>
              <w:rPr>
                <w:sz w:val="18"/>
              </w:rPr>
            </w:pPr>
            <w:r>
              <w:rPr>
                <w:w w:val="99"/>
                <w:sz w:val="18"/>
              </w:rPr>
              <w:t>-</w:t>
            </w:r>
          </w:p>
        </w:tc>
        <w:tc>
          <w:tcPr>
            <w:tcW w:w="1528" w:type="dxa"/>
          </w:tcPr>
          <w:p>
            <w:pPr>
              <w:pStyle w:val="TableParagraph"/>
              <w:spacing w:before="18"/>
              <w:ind w:right="352"/>
              <w:rPr>
                <w:b/>
                <w:sz w:val="18"/>
              </w:rPr>
            </w:pPr>
            <w:r>
              <w:rPr>
                <w:b/>
                <w:w w:val="99"/>
                <w:sz w:val="18"/>
              </w:rPr>
              <w:t>1</w:t>
            </w:r>
          </w:p>
        </w:tc>
        <w:tc>
          <w:tcPr>
            <w:tcW w:w="735" w:type="dxa"/>
          </w:tcPr>
          <w:p>
            <w:pPr/>
          </w:p>
        </w:tc>
        <w:tc>
          <w:tcPr>
            <w:tcW w:w="294" w:type="dxa"/>
          </w:tcPr>
          <w:p>
            <w:pPr>
              <w:pStyle w:val="TableParagraph"/>
              <w:spacing w:before="18"/>
              <w:ind w:right="86"/>
              <w:rPr>
                <w:sz w:val="18"/>
              </w:rPr>
            </w:pPr>
            <w:r>
              <w:rPr>
                <w:w w:val="99"/>
                <w:sz w:val="18"/>
              </w:rPr>
              <w:t>-</w:t>
            </w:r>
          </w:p>
        </w:tc>
      </w:tr>
      <w:tr>
        <w:trPr>
          <w:trHeight w:val="264" w:hRule="exact"/>
        </w:trPr>
        <w:tc>
          <w:tcPr>
            <w:tcW w:w="468" w:type="dxa"/>
          </w:tcPr>
          <w:p>
            <w:pPr/>
          </w:p>
        </w:tc>
        <w:tc>
          <w:tcPr>
            <w:tcW w:w="6027" w:type="dxa"/>
          </w:tcPr>
          <w:p>
            <w:pPr>
              <w:pStyle w:val="TableParagraph"/>
              <w:tabs>
                <w:tab w:pos="4936" w:val="right" w:leader="none"/>
              </w:tabs>
              <w:spacing w:before="19"/>
              <w:ind w:left="178"/>
              <w:jc w:val="left"/>
              <w:rPr>
                <w:b/>
                <w:sz w:val="18"/>
              </w:rPr>
            </w:pPr>
            <w:r>
              <w:rPr>
                <w:sz w:val="18"/>
              </w:rPr>
              <w:t>$570,000</w:t>
            </w:r>
            <w:r>
              <w:rPr>
                <w:spacing w:val="-2"/>
                <w:sz w:val="18"/>
              </w:rPr>
              <w:t> </w:t>
            </w:r>
            <w:r>
              <w:rPr>
                <w:sz w:val="18"/>
              </w:rPr>
              <w:t>to</w:t>
            </w:r>
            <w:r>
              <w:rPr>
                <w:spacing w:val="-2"/>
                <w:sz w:val="18"/>
              </w:rPr>
              <w:t> </w:t>
            </w:r>
            <w:r>
              <w:rPr>
                <w:sz w:val="18"/>
              </w:rPr>
              <w:t>$579,999</w:t>
            </w:r>
            <w:r>
              <w:rPr>
                <w:rFonts w:ascii="Times New Roman"/>
                <w:sz w:val="18"/>
              </w:rPr>
              <w:tab/>
            </w:r>
            <w:r>
              <w:rPr>
                <w:b/>
                <w:sz w:val="18"/>
              </w:rPr>
              <w:t>1</w:t>
            </w:r>
          </w:p>
        </w:tc>
        <w:tc>
          <w:tcPr>
            <w:tcW w:w="500" w:type="dxa"/>
          </w:tcPr>
          <w:p>
            <w:pPr>
              <w:pStyle w:val="TableParagraph"/>
              <w:spacing w:before="18"/>
              <w:ind w:right="292"/>
              <w:rPr>
                <w:sz w:val="18"/>
              </w:rPr>
            </w:pPr>
            <w:r>
              <w:rPr>
                <w:w w:val="99"/>
                <w:sz w:val="18"/>
              </w:rPr>
              <w:t>-</w:t>
            </w:r>
          </w:p>
        </w:tc>
        <w:tc>
          <w:tcPr>
            <w:tcW w:w="1528" w:type="dxa"/>
          </w:tcPr>
          <w:p>
            <w:pPr>
              <w:pStyle w:val="TableParagraph"/>
              <w:spacing w:before="18"/>
              <w:ind w:right="352"/>
              <w:rPr>
                <w:b/>
                <w:sz w:val="18"/>
              </w:rPr>
            </w:pPr>
            <w:r>
              <w:rPr>
                <w:b/>
                <w:w w:val="99"/>
                <w:sz w:val="18"/>
              </w:rPr>
              <w:t>1</w:t>
            </w:r>
          </w:p>
        </w:tc>
        <w:tc>
          <w:tcPr>
            <w:tcW w:w="735" w:type="dxa"/>
          </w:tcPr>
          <w:p>
            <w:pPr/>
          </w:p>
        </w:tc>
        <w:tc>
          <w:tcPr>
            <w:tcW w:w="294" w:type="dxa"/>
          </w:tcPr>
          <w:p>
            <w:pPr>
              <w:pStyle w:val="TableParagraph"/>
              <w:spacing w:before="18"/>
              <w:ind w:right="86"/>
              <w:rPr>
                <w:sz w:val="18"/>
              </w:rPr>
            </w:pPr>
            <w:r>
              <w:rPr>
                <w:w w:val="99"/>
                <w:sz w:val="18"/>
              </w:rPr>
              <w:t>-</w:t>
            </w:r>
          </w:p>
        </w:tc>
      </w:tr>
      <w:tr>
        <w:trPr>
          <w:trHeight w:val="264" w:hRule="exact"/>
        </w:trPr>
        <w:tc>
          <w:tcPr>
            <w:tcW w:w="468" w:type="dxa"/>
          </w:tcPr>
          <w:p>
            <w:pPr/>
          </w:p>
        </w:tc>
        <w:tc>
          <w:tcPr>
            <w:tcW w:w="6027" w:type="dxa"/>
          </w:tcPr>
          <w:p>
            <w:pPr>
              <w:pStyle w:val="TableParagraph"/>
              <w:tabs>
                <w:tab w:pos="4876" w:val="left" w:leader="none"/>
              </w:tabs>
              <w:spacing w:before="19"/>
              <w:ind w:left="178"/>
              <w:jc w:val="left"/>
              <w:rPr>
                <w:b/>
                <w:sz w:val="18"/>
              </w:rPr>
            </w:pPr>
            <w:r>
              <w:rPr>
                <w:sz w:val="18"/>
              </w:rPr>
              <w:t>$830,000</w:t>
            </w:r>
            <w:r>
              <w:rPr>
                <w:spacing w:val="-5"/>
                <w:sz w:val="18"/>
              </w:rPr>
              <w:t> </w:t>
            </w:r>
            <w:r>
              <w:rPr>
                <w:sz w:val="18"/>
              </w:rPr>
              <w:t>to</w:t>
            </w:r>
            <w:r>
              <w:rPr>
                <w:spacing w:val="-5"/>
                <w:sz w:val="18"/>
              </w:rPr>
              <w:t> </w:t>
            </w:r>
            <w:r>
              <w:rPr>
                <w:sz w:val="18"/>
              </w:rPr>
              <w:t>$839,999*</w:t>
              <w:tab/>
            </w:r>
            <w:r>
              <w:rPr>
                <w:b/>
                <w:sz w:val="18"/>
              </w:rPr>
              <w:t>-</w:t>
            </w:r>
          </w:p>
        </w:tc>
        <w:tc>
          <w:tcPr>
            <w:tcW w:w="500" w:type="dxa"/>
          </w:tcPr>
          <w:p>
            <w:pPr>
              <w:pStyle w:val="TableParagraph"/>
              <w:spacing w:before="18"/>
              <w:ind w:right="292"/>
              <w:rPr>
                <w:sz w:val="18"/>
              </w:rPr>
            </w:pPr>
            <w:r>
              <w:rPr>
                <w:w w:val="99"/>
                <w:sz w:val="18"/>
              </w:rPr>
              <w:t>1</w:t>
            </w:r>
          </w:p>
        </w:tc>
        <w:tc>
          <w:tcPr>
            <w:tcW w:w="1528" w:type="dxa"/>
          </w:tcPr>
          <w:p>
            <w:pPr>
              <w:pStyle w:val="TableParagraph"/>
              <w:spacing w:before="18"/>
              <w:ind w:right="353"/>
              <w:rPr>
                <w:b/>
                <w:sz w:val="18"/>
              </w:rPr>
            </w:pPr>
            <w:r>
              <w:rPr>
                <w:b/>
                <w:w w:val="99"/>
                <w:sz w:val="18"/>
              </w:rPr>
              <w:t>-</w:t>
            </w:r>
          </w:p>
        </w:tc>
        <w:tc>
          <w:tcPr>
            <w:tcW w:w="735" w:type="dxa"/>
          </w:tcPr>
          <w:p>
            <w:pPr/>
          </w:p>
        </w:tc>
        <w:tc>
          <w:tcPr>
            <w:tcW w:w="294" w:type="dxa"/>
          </w:tcPr>
          <w:p>
            <w:pPr>
              <w:pStyle w:val="TableParagraph"/>
              <w:spacing w:before="18"/>
              <w:ind w:right="86"/>
              <w:rPr>
                <w:sz w:val="18"/>
              </w:rPr>
            </w:pPr>
            <w:r>
              <w:rPr>
                <w:w w:val="99"/>
                <w:sz w:val="18"/>
              </w:rPr>
              <w:t>1</w:t>
            </w:r>
          </w:p>
        </w:tc>
      </w:tr>
      <w:tr>
        <w:trPr>
          <w:trHeight w:val="262" w:hRule="exact"/>
        </w:trPr>
        <w:tc>
          <w:tcPr>
            <w:tcW w:w="468" w:type="dxa"/>
          </w:tcPr>
          <w:p>
            <w:pPr/>
          </w:p>
        </w:tc>
        <w:tc>
          <w:tcPr>
            <w:tcW w:w="6027" w:type="dxa"/>
            <w:tcBorders>
              <w:bottom w:val="single" w:sz="0" w:space="0" w:color="000000"/>
            </w:tcBorders>
          </w:tcPr>
          <w:p>
            <w:pPr>
              <w:pStyle w:val="TableParagraph"/>
              <w:tabs>
                <w:tab w:pos="4936" w:val="right" w:leader="none"/>
              </w:tabs>
              <w:spacing w:before="19"/>
              <w:ind w:left="178"/>
              <w:jc w:val="left"/>
              <w:rPr>
                <w:b/>
                <w:sz w:val="18"/>
              </w:rPr>
            </w:pPr>
            <w:r>
              <w:rPr>
                <w:sz w:val="18"/>
              </w:rPr>
              <w:t>$870,000</w:t>
            </w:r>
            <w:r>
              <w:rPr>
                <w:spacing w:val="-2"/>
                <w:sz w:val="18"/>
              </w:rPr>
              <w:t> </w:t>
            </w:r>
            <w:r>
              <w:rPr>
                <w:sz w:val="18"/>
              </w:rPr>
              <w:t>to</w:t>
            </w:r>
            <w:r>
              <w:rPr>
                <w:spacing w:val="-2"/>
                <w:sz w:val="18"/>
              </w:rPr>
              <w:t> </w:t>
            </w:r>
            <w:r>
              <w:rPr>
                <w:sz w:val="18"/>
              </w:rPr>
              <w:t>$879,999*</w:t>
            </w:r>
            <w:r>
              <w:rPr>
                <w:rFonts w:ascii="Times New Roman"/>
                <w:sz w:val="18"/>
              </w:rPr>
              <w:tab/>
            </w:r>
            <w:r>
              <w:rPr>
                <w:b/>
                <w:sz w:val="18"/>
              </w:rPr>
              <w:t>1</w:t>
            </w:r>
          </w:p>
        </w:tc>
        <w:tc>
          <w:tcPr>
            <w:tcW w:w="500" w:type="dxa"/>
            <w:tcBorders>
              <w:bottom w:val="single" w:sz="0" w:space="0" w:color="000000"/>
            </w:tcBorders>
          </w:tcPr>
          <w:p>
            <w:pPr>
              <w:pStyle w:val="TableParagraph"/>
              <w:spacing w:before="18"/>
              <w:ind w:right="292"/>
              <w:rPr>
                <w:sz w:val="18"/>
              </w:rPr>
            </w:pPr>
            <w:r>
              <w:rPr>
                <w:w w:val="99"/>
                <w:sz w:val="18"/>
              </w:rPr>
              <w:t>-</w:t>
            </w:r>
          </w:p>
        </w:tc>
        <w:tc>
          <w:tcPr>
            <w:tcW w:w="1528" w:type="dxa"/>
            <w:tcBorders>
              <w:bottom w:val="single" w:sz="0" w:space="0" w:color="000000"/>
            </w:tcBorders>
          </w:tcPr>
          <w:p>
            <w:pPr>
              <w:pStyle w:val="TableParagraph"/>
              <w:spacing w:before="18"/>
              <w:ind w:right="352"/>
              <w:rPr>
                <w:b/>
                <w:sz w:val="18"/>
              </w:rPr>
            </w:pPr>
            <w:r>
              <w:rPr>
                <w:b/>
                <w:w w:val="99"/>
                <w:sz w:val="18"/>
              </w:rPr>
              <w:t>1</w:t>
            </w:r>
          </w:p>
        </w:tc>
        <w:tc>
          <w:tcPr>
            <w:tcW w:w="735" w:type="dxa"/>
            <w:tcBorders>
              <w:bottom w:val="single" w:sz="0" w:space="0" w:color="000000"/>
            </w:tcBorders>
          </w:tcPr>
          <w:p>
            <w:pPr/>
          </w:p>
        </w:tc>
        <w:tc>
          <w:tcPr>
            <w:tcW w:w="294" w:type="dxa"/>
            <w:tcBorders>
              <w:bottom w:val="single" w:sz="0" w:space="0" w:color="000000"/>
            </w:tcBorders>
          </w:tcPr>
          <w:p>
            <w:pPr>
              <w:pStyle w:val="TableParagraph"/>
              <w:spacing w:before="18"/>
              <w:ind w:right="86"/>
              <w:rPr>
                <w:sz w:val="18"/>
              </w:rPr>
            </w:pPr>
            <w:r>
              <w:rPr>
                <w:w w:val="99"/>
                <w:sz w:val="18"/>
              </w:rPr>
              <w:t>-</w:t>
            </w:r>
          </w:p>
        </w:tc>
      </w:tr>
      <w:tr>
        <w:trPr>
          <w:trHeight w:val="338" w:hRule="exact"/>
        </w:trPr>
        <w:tc>
          <w:tcPr>
            <w:tcW w:w="468" w:type="dxa"/>
          </w:tcPr>
          <w:p>
            <w:pPr/>
          </w:p>
        </w:tc>
        <w:tc>
          <w:tcPr>
            <w:tcW w:w="6027" w:type="dxa"/>
            <w:tcBorders>
              <w:top w:val="single" w:sz="0" w:space="0" w:color="000000"/>
              <w:bottom w:val="single" w:sz="0" w:space="0" w:color="000000"/>
            </w:tcBorders>
          </w:tcPr>
          <w:p>
            <w:pPr>
              <w:pStyle w:val="TableParagraph"/>
              <w:spacing w:before="122"/>
              <w:ind w:right="1088"/>
              <w:rPr>
                <w:b/>
                <w:sz w:val="18"/>
              </w:rPr>
            </w:pPr>
            <w:r>
              <w:rPr>
                <w:b/>
                <w:sz w:val="18"/>
              </w:rPr>
              <w:t>28</w:t>
            </w:r>
          </w:p>
        </w:tc>
        <w:tc>
          <w:tcPr>
            <w:tcW w:w="500" w:type="dxa"/>
            <w:tcBorders>
              <w:top w:val="single" w:sz="0" w:space="0" w:color="000000"/>
              <w:bottom w:val="single" w:sz="0" w:space="0" w:color="000000"/>
            </w:tcBorders>
          </w:tcPr>
          <w:p>
            <w:pPr>
              <w:pStyle w:val="TableParagraph"/>
              <w:spacing w:before="122"/>
              <w:ind w:right="292"/>
              <w:rPr>
                <w:sz w:val="18"/>
              </w:rPr>
            </w:pPr>
            <w:r>
              <w:rPr>
                <w:sz w:val="18"/>
              </w:rPr>
              <w:t>28</w:t>
            </w:r>
          </w:p>
        </w:tc>
        <w:tc>
          <w:tcPr>
            <w:tcW w:w="1528" w:type="dxa"/>
            <w:tcBorders>
              <w:top w:val="single" w:sz="0" w:space="0" w:color="000000"/>
              <w:bottom w:val="single" w:sz="0" w:space="0" w:color="000000"/>
            </w:tcBorders>
          </w:tcPr>
          <w:p>
            <w:pPr>
              <w:pStyle w:val="TableParagraph"/>
              <w:spacing w:before="122"/>
              <w:ind w:left="973"/>
              <w:jc w:val="left"/>
              <w:rPr>
                <w:b/>
                <w:sz w:val="18"/>
              </w:rPr>
            </w:pPr>
            <w:r>
              <w:rPr>
                <w:b/>
                <w:sz w:val="18"/>
              </w:rPr>
              <w:t>22</w:t>
            </w:r>
          </w:p>
        </w:tc>
        <w:tc>
          <w:tcPr>
            <w:tcW w:w="735" w:type="dxa"/>
            <w:tcBorders>
              <w:top w:val="single" w:sz="0" w:space="0" w:color="000000"/>
              <w:bottom w:val="single" w:sz="0" w:space="0" w:color="000000"/>
            </w:tcBorders>
          </w:tcPr>
          <w:p>
            <w:pPr/>
          </w:p>
        </w:tc>
        <w:tc>
          <w:tcPr>
            <w:tcW w:w="294" w:type="dxa"/>
            <w:tcBorders>
              <w:top w:val="single" w:sz="0" w:space="0" w:color="000000"/>
              <w:bottom w:val="single" w:sz="0" w:space="0" w:color="000000"/>
            </w:tcBorders>
          </w:tcPr>
          <w:p>
            <w:pPr>
              <w:pStyle w:val="TableParagraph"/>
              <w:spacing w:before="122"/>
              <w:ind w:right="86"/>
              <w:rPr>
                <w:sz w:val="18"/>
              </w:rPr>
            </w:pPr>
            <w:r>
              <w:rPr>
                <w:sz w:val="18"/>
              </w:rPr>
              <w:t>21</w:t>
            </w:r>
          </w:p>
        </w:tc>
      </w:tr>
    </w:tbl>
    <w:p>
      <w:pPr>
        <w:pStyle w:val="BodyText"/>
        <w:spacing w:before="1"/>
        <w:rPr>
          <w:b/>
          <w:sz w:val="19"/>
        </w:rPr>
      </w:pPr>
    </w:p>
    <w:p>
      <w:pPr>
        <w:spacing w:before="80"/>
        <w:ind w:left="2390" w:right="1419" w:firstLine="0"/>
        <w:jc w:val="both"/>
        <w:rPr>
          <w:sz w:val="16"/>
        </w:rPr>
      </w:pPr>
      <w:r>
        <w:rPr>
          <w:sz w:val="16"/>
        </w:rPr>
        <w:t>* The Vice-Chancellor's total remuneration included paid salary, PAYG withholding tax, expense-of-office allowance,</w:t>
      </w:r>
      <w:r>
        <w:rPr>
          <w:spacing w:val="-22"/>
          <w:sz w:val="16"/>
        </w:rPr>
        <w:t> </w:t>
      </w:r>
      <w:r>
        <w:rPr>
          <w:sz w:val="16"/>
        </w:rPr>
        <w:t>employee and employer superannuation contributions, a salary-sacrificed motor vehicle, Fringe Benefits Tax and housing allowance. No additional bonus is</w:t>
      </w:r>
      <w:r>
        <w:rPr>
          <w:spacing w:val="-6"/>
          <w:sz w:val="16"/>
        </w:rPr>
        <w:t> </w:t>
      </w:r>
      <w:r>
        <w:rPr>
          <w:sz w:val="16"/>
        </w:rPr>
        <w:t>payable.</w:t>
      </w:r>
    </w:p>
    <w:p>
      <w:pPr>
        <w:pStyle w:val="BodyText"/>
        <w:rPr>
          <w:sz w:val="16"/>
        </w:rPr>
      </w:pPr>
    </w:p>
    <w:p>
      <w:pPr>
        <w:spacing w:before="105"/>
        <w:ind w:left="2390" w:right="1375" w:firstLine="0"/>
        <w:jc w:val="left"/>
        <w:rPr>
          <w:sz w:val="16"/>
        </w:rPr>
      </w:pPr>
      <w:r>
        <w:rPr>
          <w:sz w:val="16"/>
        </w:rPr>
        <w:t>Remuneration is reflected of an annualised total remuneration package for those key management personnel who were members of the Executive for a part of any year.</w:t>
      </w:r>
    </w:p>
    <w:p>
      <w:pPr>
        <w:spacing w:after="0"/>
        <w:jc w:val="left"/>
        <w:rPr>
          <w:sz w:val="16"/>
        </w:rPr>
        <w:sectPr>
          <w:pgSz w:w="12750" w:h="17680"/>
          <w:pgMar w:header="0" w:footer="907" w:top="2640" w:bottom="1120" w:left="0" w:right="0"/>
        </w:sectPr>
      </w:pPr>
    </w:p>
    <w:p>
      <w:pPr>
        <w:pStyle w:val="BodyText"/>
        <w:rPr>
          <w:sz w:val="20"/>
        </w:rPr>
      </w:pPr>
    </w:p>
    <w:p>
      <w:pPr>
        <w:pStyle w:val="BodyText"/>
        <w:rPr>
          <w:sz w:val="20"/>
        </w:rPr>
      </w:pPr>
    </w:p>
    <w:p>
      <w:pPr>
        <w:pStyle w:val="BodyText"/>
        <w:spacing w:before="4"/>
      </w:pPr>
    </w:p>
    <w:p>
      <w:pPr>
        <w:pStyle w:val="Heading8"/>
        <w:tabs>
          <w:tab w:pos="2391" w:val="left" w:leader="none"/>
        </w:tabs>
        <w:ind w:left="1924"/>
      </w:pPr>
      <w:bookmarkStart w:name="(c) Key management personnel compensatio" w:id="116"/>
      <w:bookmarkEnd w:id="116"/>
      <w:r>
        <w:rPr>
          <w:b w:val="0"/>
        </w:rPr>
      </w:r>
      <w:r>
        <w:rPr/>
        <w:t>30</w:t>
        <w:tab/>
        <w:t>Key</w:t>
      </w:r>
      <w:r>
        <w:rPr>
          <w:spacing w:val="-11"/>
        </w:rPr>
        <w:t> </w:t>
      </w:r>
      <w:r>
        <w:rPr/>
        <w:t>Management</w:t>
      </w:r>
      <w:r>
        <w:rPr>
          <w:spacing w:val="-11"/>
        </w:rPr>
        <w:t> </w:t>
      </w:r>
      <w:r>
        <w:rPr/>
        <w:t>Personnel</w:t>
      </w:r>
      <w:r>
        <w:rPr>
          <w:spacing w:val="-11"/>
        </w:rPr>
        <w:t> </w:t>
      </w:r>
      <w:r>
        <w:rPr/>
        <w:t>Disclosures</w:t>
      </w:r>
      <w:r>
        <w:rPr>
          <w:spacing w:val="-11"/>
        </w:rPr>
        <w:t> </w:t>
      </w:r>
      <w:r>
        <w:rPr/>
        <w:t>(continued)</w:t>
      </w:r>
    </w:p>
    <w:p>
      <w:pPr>
        <w:pStyle w:val="BodyText"/>
        <w:spacing w:before="7"/>
        <w:rPr>
          <w:b/>
          <w:sz w:val="26"/>
        </w:rPr>
      </w:pPr>
    </w:p>
    <w:p>
      <w:pPr>
        <w:pStyle w:val="ListParagraph"/>
        <w:numPr>
          <w:ilvl w:val="0"/>
          <w:numId w:val="28"/>
        </w:numPr>
        <w:tabs>
          <w:tab w:pos="2392" w:val="left" w:leader="none"/>
        </w:tabs>
        <w:spacing w:line="240" w:lineRule="auto" w:before="0" w:after="0"/>
        <w:ind w:left="2391" w:right="0" w:hanging="566"/>
        <w:jc w:val="left"/>
        <w:rPr>
          <w:sz w:val="18"/>
        </w:rPr>
      </w:pPr>
      <w:r>
        <w:rPr>
          <w:sz w:val="18"/>
        </w:rPr>
        <w:t>Key management personnel</w:t>
      </w:r>
      <w:r>
        <w:rPr>
          <w:spacing w:val="-35"/>
          <w:sz w:val="18"/>
        </w:rPr>
        <w:t> </w:t>
      </w:r>
      <w:r>
        <w:rPr>
          <w:sz w:val="18"/>
        </w:rPr>
        <w:t>compensation</w:t>
      </w:r>
    </w:p>
    <w:p>
      <w:pPr>
        <w:pStyle w:val="BodyText"/>
        <w:spacing w:before="4"/>
        <w:rPr>
          <w:sz w:val="25"/>
        </w:rPr>
      </w:pPr>
    </w:p>
    <w:p>
      <w:pPr>
        <w:pStyle w:val="BodyText"/>
        <w:ind w:left="2390"/>
      </w:pPr>
      <w:r>
        <w:rPr/>
        <w:t>Key management personnel include Board Members and Executives.</w:t>
      </w:r>
    </w:p>
    <w:p>
      <w:pPr>
        <w:pStyle w:val="Heading8"/>
        <w:tabs>
          <w:tab w:pos="9704" w:val="left" w:leader="none"/>
        </w:tabs>
        <w:spacing w:before="33"/>
        <w:ind w:left="6663"/>
      </w:pPr>
      <w:r>
        <w:rPr/>
        <w:t>Consolidated</w:t>
        <w:tab/>
        <w:t>Parent</w:t>
      </w:r>
    </w:p>
    <w:p>
      <w:pPr>
        <w:spacing w:after="0"/>
        <w:sectPr>
          <w:pgSz w:w="12750" w:h="17680"/>
          <w:pgMar w:header="0" w:footer="907" w:top="2640" w:bottom="1120" w:left="0" w:right="0"/>
        </w:sectPr>
      </w:pPr>
    </w:p>
    <w:p>
      <w:pPr>
        <w:spacing w:before="66"/>
        <w:ind w:left="0" w:right="19" w:firstLine="0"/>
        <w:jc w:val="right"/>
        <w:rPr>
          <w:b/>
          <w:sz w:val="18"/>
        </w:rPr>
      </w:pPr>
      <w:r>
        <w:rPr>
          <w:b/>
          <w:sz w:val="18"/>
        </w:rPr>
        <w:t>2016</w:t>
      </w:r>
    </w:p>
    <w:p>
      <w:pPr>
        <w:spacing w:before="66"/>
        <w:ind w:left="0" w:right="0" w:firstLine="0"/>
        <w:jc w:val="right"/>
        <w:rPr>
          <w:b/>
          <w:sz w:val="18"/>
        </w:rPr>
      </w:pPr>
      <w:r>
        <w:rPr>
          <w:b/>
          <w:sz w:val="18"/>
        </w:rPr>
        <w:t>$'000</w:t>
      </w:r>
    </w:p>
    <w:p>
      <w:pPr>
        <w:spacing w:before="66"/>
        <w:ind w:left="822" w:right="-17" w:firstLine="0"/>
        <w:jc w:val="left"/>
        <w:rPr>
          <w:b/>
          <w:sz w:val="18"/>
        </w:rPr>
      </w:pPr>
      <w:r>
        <w:rPr/>
        <w:br w:type="column"/>
      </w:r>
      <w:r>
        <w:rPr>
          <w:b/>
          <w:sz w:val="18"/>
        </w:rPr>
        <w:t>2015</w:t>
      </w:r>
    </w:p>
    <w:p>
      <w:pPr>
        <w:spacing w:before="66"/>
        <w:ind w:left="801" w:right="-17" w:firstLine="0"/>
        <w:jc w:val="left"/>
        <w:rPr>
          <w:b/>
          <w:sz w:val="18"/>
        </w:rPr>
      </w:pPr>
      <w:r>
        <w:rPr>
          <w:b/>
          <w:spacing w:val="-1"/>
          <w:sz w:val="18"/>
        </w:rPr>
        <w:t>$'000</w:t>
      </w:r>
    </w:p>
    <w:p>
      <w:pPr>
        <w:spacing w:before="66"/>
        <w:ind w:left="0" w:right="19" w:firstLine="0"/>
        <w:jc w:val="right"/>
        <w:rPr>
          <w:b/>
          <w:sz w:val="18"/>
        </w:rPr>
      </w:pPr>
      <w:r>
        <w:rPr/>
        <w:br w:type="column"/>
      </w:r>
      <w:r>
        <w:rPr>
          <w:b/>
          <w:sz w:val="18"/>
        </w:rPr>
        <w:t>2016</w:t>
      </w:r>
    </w:p>
    <w:p>
      <w:pPr>
        <w:spacing w:before="66"/>
        <w:ind w:left="0" w:right="0" w:firstLine="0"/>
        <w:jc w:val="right"/>
        <w:rPr>
          <w:b/>
          <w:sz w:val="18"/>
        </w:rPr>
      </w:pPr>
      <w:r>
        <w:rPr>
          <w:b/>
          <w:sz w:val="18"/>
        </w:rPr>
        <w:t>$'000</w:t>
      </w:r>
    </w:p>
    <w:p>
      <w:pPr>
        <w:spacing w:before="66"/>
        <w:ind w:left="822" w:right="0" w:firstLine="0"/>
        <w:jc w:val="left"/>
        <w:rPr>
          <w:b/>
          <w:sz w:val="18"/>
        </w:rPr>
      </w:pPr>
      <w:r>
        <w:rPr/>
        <w:br w:type="column"/>
      </w:r>
      <w:r>
        <w:rPr>
          <w:b/>
          <w:sz w:val="18"/>
        </w:rPr>
        <w:t>2015</w:t>
      </w:r>
    </w:p>
    <w:p>
      <w:pPr>
        <w:spacing w:before="66"/>
        <w:ind w:left="801" w:right="0" w:firstLine="0"/>
        <w:jc w:val="left"/>
        <w:rPr>
          <w:b/>
          <w:sz w:val="18"/>
        </w:rPr>
      </w:pPr>
      <w:r>
        <w:rPr>
          <w:b/>
          <w:sz w:val="18"/>
        </w:rPr>
        <w:t>$'000</w:t>
      </w:r>
    </w:p>
    <w:p>
      <w:pPr>
        <w:spacing w:after="0"/>
        <w:jc w:val="left"/>
        <w:rPr>
          <w:sz w:val="18"/>
        </w:rPr>
        <w:sectPr>
          <w:type w:val="continuous"/>
          <w:pgSz w:w="12750" w:h="17680"/>
          <w:pgMar w:top="1660" w:bottom="0" w:left="0" w:right="0"/>
          <w:cols w:num="4" w:equalWidth="0">
            <w:col w:w="6877" w:space="40"/>
            <w:col w:w="1243" w:space="40"/>
            <w:col w:w="1441" w:space="40"/>
            <w:col w:w="3069"/>
          </w:cols>
        </w:sectPr>
      </w:pPr>
    </w:p>
    <w:p>
      <w:pPr>
        <w:pStyle w:val="BodyText"/>
        <w:spacing w:before="1"/>
        <w:rPr>
          <w:b/>
          <w:sz w:val="3"/>
        </w:rPr>
      </w:pPr>
    </w:p>
    <w:tbl>
      <w:tblPr>
        <w:tblW w:w="0" w:type="auto"/>
        <w:jc w:val="left"/>
        <w:tblInd w:w="179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28"/>
        <w:gridCol w:w="3597"/>
        <w:gridCol w:w="1802"/>
        <w:gridCol w:w="1382"/>
        <w:gridCol w:w="1382"/>
        <w:gridCol w:w="961"/>
      </w:tblGrid>
      <w:tr>
        <w:trPr>
          <w:trHeight w:val="301" w:hRule="exact"/>
        </w:trPr>
        <w:tc>
          <w:tcPr>
            <w:tcW w:w="428" w:type="dxa"/>
            <w:vMerge w:val="restart"/>
          </w:tcPr>
          <w:p>
            <w:pPr/>
          </w:p>
        </w:tc>
        <w:tc>
          <w:tcPr>
            <w:tcW w:w="3597" w:type="dxa"/>
          </w:tcPr>
          <w:p>
            <w:pPr>
              <w:pStyle w:val="TableParagraph"/>
              <w:spacing w:before="57"/>
              <w:ind w:left="219" w:right="801"/>
              <w:jc w:val="left"/>
              <w:rPr>
                <w:sz w:val="18"/>
              </w:rPr>
            </w:pPr>
            <w:r>
              <w:rPr>
                <w:sz w:val="18"/>
              </w:rPr>
              <w:t>Short-term employee benefits</w:t>
            </w:r>
          </w:p>
        </w:tc>
        <w:tc>
          <w:tcPr>
            <w:tcW w:w="1802" w:type="dxa"/>
          </w:tcPr>
          <w:p>
            <w:pPr>
              <w:pStyle w:val="TableParagraph"/>
              <w:spacing w:before="56"/>
              <w:ind w:right="421"/>
              <w:rPr>
                <w:b/>
                <w:sz w:val="18"/>
              </w:rPr>
            </w:pPr>
            <w:r>
              <w:rPr>
                <w:b/>
                <w:sz w:val="18"/>
              </w:rPr>
              <w:t>8,057</w:t>
            </w:r>
          </w:p>
        </w:tc>
        <w:tc>
          <w:tcPr>
            <w:tcW w:w="1382" w:type="dxa"/>
          </w:tcPr>
          <w:p>
            <w:pPr>
              <w:pStyle w:val="TableParagraph"/>
              <w:spacing w:before="56"/>
              <w:ind w:right="507"/>
              <w:rPr>
                <w:sz w:val="18"/>
              </w:rPr>
            </w:pPr>
            <w:r>
              <w:rPr>
                <w:sz w:val="18"/>
              </w:rPr>
              <w:t>7,052</w:t>
            </w:r>
          </w:p>
        </w:tc>
        <w:tc>
          <w:tcPr>
            <w:tcW w:w="1382" w:type="dxa"/>
          </w:tcPr>
          <w:p>
            <w:pPr>
              <w:pStyle w:val="TableParagraph"/>
              <w:spacing w:before="56"/>
              <w:ind w:right="421"/>
              <w:rPr>
                <w:b/>
                <w:sz w:val="18"/>
              </w:rPr>
            </w:pPr>
            <w:r>
              <w:rPr>
                <w:b/>
                <w:sz w:val="18"/>
              </w:rPr>
              <w:t>7,071</w:t>
            </w:r>
          </w:p>
        </w:tc>
        <w:tc>
          <w:tcPr>
            <w:tcW w:w="961" w:type="dxa"/>
          </w:tcPr>
          <w:p>
            <w:pPr>
              <w:pStyle w:val="TableParagraph"/>
              <w:spacing w:before="56"/>
              <w:ind w:right="86"/>
              <w:rPr>
                <w:sz w:val="18"/>
              </w:rPr>
            </w:pPr>
            <w:r>
              <w:rPr>
                <w:sz w:val="18"/>
              </w:rPr>
              <w:t>6,013</w:t>
            </w:r>
          </w:p>
        </w:tc>
      </w:tr>
      <w:tr>
        <w:trPr>
          <w:trHeight w:val="264" w:hRule="exact"/>
        </w:trPr>
        <w:tc>
          <w:tcPr>
            <w:tcW w:w="428" w:type="dxa"/>
            <w:vMerge/>
          </w:tcPr>
          <w:p>
            <w:pPr/>
          </w:p>
        </w:tc>
        <w:tc>
          <w:tcPr>
            <w:tcW w:w="3597" w:type="dxa"/>
          </w:tcPr>
          <w:p>
            <w:pPr>
              <w:pStyle w:val="TableParagraph"/>
              <w:spacing w:before="19"/>
              <w:ind w:left="219" w:right="801"/>
              <w:jc w:val="left"/>
              <w:rPr>
                <w:sz w:val="18"/>
              </w:rPr>
            </w:pPr>
            <w:r>
              <w:rPr>
                <w:sz w:val="18"/>
              </w:rPr>
              <w:t>Post-employment benefits</w:t>
            </w:r>
          </w:p>
        </w:tc>
        <w:tc>
          <w:tcPr>
            <w:tcW w:w="1802" w:type="dxa"/>
          </w:tcPr>
          <w:p>
            <w:pPr>
              <w:pStyle w:val="TableParagraph"/>
              <w:spacing w:before="18"/>
              <w:ind w:right="421"/>
              <w:rPr>
                <w:b/>
                <w:sz w:val="18"/>
              </w:rPr>
            </w:pPr>
            <w:r>
              <w:rPr>
                <w:b/>
                <w:sz w:val="18"/>
              </w:rPr>
              <w:t>1,053</w:t>
            </w:r>
          </w:p>
        </w:tc>
        <w:tc>
          <w:tcPr>
            <w:tcW w:w="1382" w:type="dxa"/>
          </w:tcPr>
          <w:p>
            <w:pPr>
              <w:pStyle w:val="TableParagraph"/>
              <w:spacing w:before="18"/>
              <w:ind w:right="507"/>
              <w:rPr>
                <w:sz w:val="18"/>
              </w:rPr>
            </w:pPr>
            <w:r>
              <w:rPr>
                <w:sz w:val="18"/>
              </w:rPr>
              <w:t>1,025</w:t>
            </w:r>
          </w:p>
        </w:tc>
        <w:tc>
          <w:tcPr>
            <w:tcW w:w="1382" w:type="dxa"/>
          </w:tcPr>
          <w:p>
            <w:pPr>
              <w:pStyle w:val="TableParagraph"/>
              <w:spacing w:before="18"/>
              <w:ind w:right="421"/>
              <w:rPr>
                <w:b/>
                <w:sz w:val="18"/>
              </w:rPr>
            </w:pPr>
            <w:r>
              <w:rPr>
                <w:b/>
                <w:sz w:val="18"/>
              </w:rPr>
              <w:t>924</w:t>
            </w:r>
          </w:p>
        </w:tc>
        <w:tc>
          <w:tcPr>
            <w:tcW w:w="961" w:type="dxa"/>
          </w:tcPr>
          <w:p>
            <w:pPr>
              <w:pStyle w:val="TableParagraph"/>
              <w:spacing w:before="18"/>
              <w:ind w:right="86"/>
              <w:rPr>
                <w:sz w:val="18"/>
              </w:rPr>
            </w:pPr>
            <w:r>
              <w:rPr>
                <w:sz w:val="18"/>
              </w:rPr>
              <w:t>902</w:t>
            </w:r>
          </w:p>
        </w:tc>
      </w:tr>
      <w:tr>
        <w:trPr>
          <w:trHeight w:val="262" w:hRule="exact"/>
        </w:trPr>
        <w:tc>
          <w:tcPr>
            <w:tcW w:w="428" w:type="dxa"/>
            <w:vMerge/>
          </w:tcPr>
          <w:p>
            <w:pPr/>
          </w:p>
        </w:tc>
        <w:tc>
          <w:tcPr>
            <w:tcW w:w="3597" w:type="dxa"/>
          </w:tcPr>
          <w:p>
            <w:pPr>
              <w:pStyle w:val="TableParagraph"/>
              <w:spacing w:before="19"/>
              <w:ind w:left="219" w:right="801"/>
              <w:jc w:val="left"/>
              <w:rPr>
                <w:sz w:val="18"/>
              </w:rPr>
            </w:pPr>
            <w:r>
              <w:rPr>
                <w:sz w:val="18"/>
              </w:rPr>
              <w:t>Termination benefits</w:t>
            </w:r>
          </w:p>
        </w:tc>
        <w:tc>
          <w:tcPr>
            <w:tcW w:w="1802" w:type="dxa"/>
            <w:tcBorders>
              <w:bottom w:val="single" w:sz="0" w:space="0" w:color="000000"/>
            </w:tcBorders>
          </w:tcPr>
          <w:p>
            <w:pPr>
              <w:pStyle w:val="TableParagraph"/>
              <w:spacing w:before="18"/>
              <w:ind w:right="421"/>
              <w:rPr>
                <w:b/>
                <w:sz w:val="18"/>
              </w:rPr>
            </w:pPr>
            <w:r>
              <w:rPr>
                <w:b/>
                <w:w w:val="99"/>
                <w:sz w:val="18"/>
              </w:rPr>
              <w:t>-</w:t>
            </w:r>
          </w:p>
        </w:tc>
        <w:tc>
          <w:tcPr>
            <w:tcW w:w="1382" w:type="dxa"/>
            <w:tcBorders>
              <w:bottom w:val="single" w:sz="0" w:space="0" w:color="000000"/>
            </w:tcBorders>
          </w:tcPr>
          <w:p>
            <w:pPr>
              <w:pStyle w:val="TableParagraph"/>
              <w:spacing w:before="18"/>
              <w:ind w:right="507"/>
              <w:rPr>
                <w:sz w:val="18"/>
              </w:rPr>
            </w:pPr>
            <w:r>
              <w:rPr>
                <w:sz w:val="18"/>
              </w:rPr>
              <w:t>291</w:t>
            </w:r>
          </w:p>
        </w:tc>
        <w:tc>
          <w:tcPr>
            <w:tcW w:w="1382" w:type="dxa"/>
            <w:tcBorders>
              <w:bottom w:val="single" w:sz="0" w:space="0" w:color="000000"/>
            </w:tcBorders>
          </w:tcPr>
          <w:p>
            <w:pPr>
              <w:pStyle w:val="TableParagraph"/>
              <w:spacing w:before="18"/>
              <w:ind w:right="421"/>
              <w:rPr>
                <w:b/>
                <w:sz w:val="18"/>
              </w:rPr>
            </w:pPr>
            <w:r>
              <w:rPr>
                <w:b/>
                <w:w w:val="99"/>
                <w:sz w:val="18"/>
              </w:rPr>
              <w:t>-</w:t>
            </w:r>
          </w:p>
        </w:tc>
        <w:tc>
          <w:tcPr>
            <w:tcW w:w="961" w:type="dxa"/>
            <w:tcBorders>
              <w:bottom w:val="single" w:sz="0" w:space="0" w:color="000000"/>
            </w:tcBorders>
          </w:tcPr>
          <w:p>
            <w:pPr>
              <w:pStyle w:val="TableParagraph"/>
              <w:spacing w:before="18"/>
              <w:ind w:right="86"/>
              <w:rPr>
                <w:sz w:val="18"/>
              </w:rPr>
            </w:pPr>
            <w:r>
              <w:rPr>
                <w:sz w:val="18"/>
              </w:rPr>
              <w:t>291</w:t>
            </w:r>
          </w:p>
        </w:tc>
      </w:tr>
      <w:tr>
        <w:trPr>
          <w:trHeight w:val="560" w:hRule="exact"/>
        </w:trPr>
        <w:tc>
          <w:tcPr>
            <w:tcW w:w="428" w:type="dxa"/>
            <w:vMerge/>
          </w:tcPr>
          <w:p>
            <w:pPr/>
          </w:p>
        </w:tc>
        <w:tc>
          <w:tcPr>
            <w:tcW w:w="3597" w:type="dxa"/>
          </w:tcPr>
          <w:p>
            <w:pPr>
              <w:pStyle w:val="TableParagraph"/>
              <w:spacing w:before="123"/>
              <w:ind w:left="219" w:right="1227"/>
              <w:jc w:val="left"/>
              <w:rPr>
                <w:b/>
                <w:sz w:val="18"/>
              </w:rPr>
            </w:pPr>
            <w:bookmarkStart w:name="(d) Loans to key management personnel" w:id="117"/>
            <w:bookmarkEnd w:id="117"/>
            <w:r>
              <w:rPr/>
            </w:r>
            <w:r>
              <w:rPr>
                <w:b/>
                <w:sz w:val="18"/>
              </w:rPr>
              <w:t>Total key management personnel compensation</w:t>
            </w:r>
          </w:p>
        </w:tc>
        <w:tc>
          <w:tcPr>
            <w:tcW w:w="1802" w:type="dxa"/>
            <w:tcBorders>
              <w:top w:val="single" w:sz="0" w:space="0" w:color="000000"/>
              <w:bottom w:val="single" w:sz="0" w:space="0" w:color="000000"/>
            </w:tcBorders>
          </w:tcPr>
          <w:p>
            <w:pPr>
              <w:pStyle w:val="TableParagraph"/>
              <w:jc w:val="left"/>
              <w:rPr>
                <w:b/>
                <w:sz w:val="18"/>
              </w:rPr>
            </w:pPr>
          </w:p>
          <w:p>
            <w:pPr>
              <w:pStyle w:val="TableParagraph"/>
              <w:spacing w:before="122"/>
              <w:ind w:right="421"/>
              <w:rPr>
                <w:b/>
                <w:sz w:val="18"/>
              </w:rPr>
            </w:pPr>
            <w:r>
              <w:rPr>
                <w:b/>
                <w:sz w:val="18"/>
              </w:rPr>
              <w:t>9,110</w:t>
            </w:r>
          </w:p>
        </w:tc>
        <w:tc>
          <w:tcPr>
            <w:tcW w:w="1382" w:type="dxa"/>
            <w:tcBorders>
              <w:top w:val="single" w:sz="0" w:space="0" w:color="000000"/>
              <w:bottom w:val="single" w:sz="0" w:space="0" w:color="000000"/>
            </w:tcBorders>
          </w:tcPr>
          <w:p>
            <w:pPr>
              <w:pStyle w:val="TableParagraph"/>
              <w:jc w:val="left"/>
              <w:rPr>
                <w:b/>
                <w:sz w:val="18"/>
              </w:rPr>
            </w:pPr>
          </w:p>
          <w:p>
            <w:pPr>
              <w:pStyle w:val="TableParagraph"/>
              <w:spacing w:before="122"/>
              <w:ind w:right="507"/>
              <w:rPr>
                <w:sz w:val="18"/>
              </w:rPr>
            </w:pPr>
            <w:r>
              <w:rPr>
                <w:sz w:val="18"/>
              </w:rPr>
              <w:t>8,368</w:t>
            </w:r>
          </w:p>
        </w:tc>
        <w:tc>
          <w:tcPr>
            <w:tcW w:w="1382" w:type="dxa"/>
            <w:tcBorders>
              <w:top w:val="single" w:sz="0" w:space="0" w:color="000000"/>
              <w:bottom w:val="single" w:sz="0" w:space="0" w:color="000000"/>
            </w:tcBorders>
          </w:tcPr>
          <w:p>
            <w:pPr>
              <w:pStyle w:val="TableParagraph"/>
              <w:jc w:val="left"/>
              <w:rPr>
                <w:b/>
                <w:sz w:val="18"/>
              </w:rPr>
            </w:pPr>
          </w:p>
          <w:p>
            <w:pPr>
              <w:pStyle w:val="TableParagraph"/>
              <w:spacing w:before="122"/>
              <w:ind w:right="421"/>
              <w:rPr>
                <w:b/>
                <w:sz w:val="18"/>
              </w:rPr>
            </w:pPr>
            <w:r>
              <w:rPr>
                <w:b/>
                <w:sz w:val="18"/>
              </w:rPr>
              <w:t>7,995</w:t>
            </w:r>
          </w:p>
        </w:tc>
        <w:tc>
          <w:tcPr>
            <w:tcW w:w="961" w:type="dxa"/>
            <w:tcBorders>
              <w:top w:val="single" w:sz="0" w:space="0" w:color="000000"/>
              <w:bottom w:val="single" w:sz="0" w:space="0" w:color="000000"/>
            </w:tcBorders>
          </w:tcPr>
          <w:p>
            <w:pPr>
              <w:pStyle w:val="TableParagraph"/>
              <w:jc w:val="left"/>
              <w:rPr>
                <w:b/>
                <w:sz w:val="18"/>
              </w:rPr>
            </w:pPr>
          </w:p>
          <w:p>
            <w:pPr>
              <w:pStyle w:val="TableParagraph"/>
              <w:spacing w:before="122"/>
              <w:ind w:right="86"/>
              <w:rPr>
                <w:sz w:val="18"/>
              </w:rPr>
            </w:pPr>
            <w:r>
              <w:rPr>
                <w:sz w:val="18"/>
              </w:rPr>
              <w:t>7,206</w:t>
            </w:r>
          </w:p>
        </w:tc>
      </w:tr>
      <w:tr>
        <w:trPr>
          <w:trHeight w:val="636" w:hRule="exact"/>
        </w:trPr>
        <w:tc>
          <w:tcPr>
            <w:tcW w:w="428" w:type="dxa"/>
          </w:tcPr>
          <w:p>
            <w:pPr>
              <w:pStyle w:val="TableParagraph"/>
              <w:jc w:val="left"/>
              <w:rPr>
                <w:b/>
                <w:sz w:val="18"/>
              </w:rPr>
            </w:pPr>
          </w:p>
          <w:p>
            <w:pPr>
              <w:pStyle w:val="TableParagraph"/>
              <w:spacing w:before="125"/>
              <w:ind w:left="35"/>
              <w:jc w:val="left"/>
              <w:rPr>
                <w:sz w:val="18"/>
              </w:rPr>
            </w:pPr>
            <w:bookmarkStart w:name="31 Remuneration of Auditors" w:id="118"/>
            <w:bookmarkEnd w:id="118"/>
            <w:r>
              <w:rPr/>
            </w:r>
            <w:r>
              <w:rPr>
                <w:sz w:val="18"/>
              </w:rPr>
              <w:t>(d)</w:t>
            </w:r>
          </w:p>
        </w:tc>
        <w:tc>
          <w:tcPr>
            <w:tcW w:w="3597" w:type="dxa"/>
          </w:tcPr>
          <w:p>
            <w:pPr>
              <w:pStyle w:val="TableParagraph"/>
              <w:jc w:val="left"/>
              <w:rPr>
                <w:b/>
                <w:sz w:val="18"/>
              </w:rPr>
            </w:pPr>
          </w:p>
          <w:p>
            <w:pPr>
              <w:pStyle w:val="TableParagraph"/>
              <w:spacing w:before="125"/>
              <w:ind w:left="173"/>
              <w:jc w:val="left"/>
              <w:rPr>
                <w:sz w:val="18"/>
              </w:rPr>
            </w:pPr>
            <w:r>
              <w:rPr>
                <w:sz w:val="18"/>
              </w:rPr>
              <w:t>Loans to key management personnel</w:t>
            </w:r>
          </w:p>
        </w:tc>
        <w:tc>
          <w:tcPr>
            <w:tcW w:w="1802" w:type="dxa"/>
            <w:tcBorders>
              <w:top w:val="single" w:sz="0" w:space="0" w:color="000000"/>
            </w:tcBorders>
          </w:tcPr>
          <w:p>
            <w:pPr/>
          </w:p>
        </w:tc>
        <w:tc>
          <w:tcPr>
            <w:tcW w:w="1382" w:type="dxa"/>
            <w:tcBorders>
              <w:top w:val="single" w:sz="0" w:space="0" w:color="000000"/>
            </w:tcBorders>
          </w:tcPr>
          <w:p>
            <w:pPr/>
          </w:p>
        </w:tc>
        <w:tc>
          <w:tcPr>
            <w:tcW w:w="1382" w:type="dxa"/>
            <w:tcBorders>
              <w:top w:val="single" w:sz="0" w:space="0" w:color="000000"/>
            </w:tcBorders>
          </w:tcPr>
          <w:p>
            <w:pPr/>
          </w:p>
        </w:tc>
        <w:tc>
          <w:tcPr>
            <w:tcW w:w="961" w:type="dxa"/>
            <w:tcBorders>
              <w:top w:val="single" w:sz="0" w:space="0" w:color="000000"/>
            </w:tcBorders>
          </w:tcPr>
          <w:p>
            <w:pPr/>
          </w:p>
        </w:tc>
      </w:tr>
    </w:tbl>
    <w:p>
      <w:pPr>
        <w:pStyle w:val="BodyText"/>
        <w:spacing w:before="4"/>
        <w:rPr>
          <w:b/>
          <w:sz w:val="10"/>
        </w:rPr>
      </w:pPr>
    </w:p>
    <w:p>
      <w:pPr>
        <w:pStyle w:val="BodyText"/>
        <w:spacing w:before="77"/>
        <w:ind w:left="2390"/>
      </w:pPr>
      <w:r>
        <w:rPr/>
        <w:t>No loans were made to key management personnel during the financial year (2015: nil).</w:t>
      </w:r>
    </w:p>
    <w:p>
      <w:pPr>
        <w:pStyle w:val="BodyText"/>
        <w:spacing w:before="11"/>
        <w:rPr>
          <w:sz w:val="24"/>
        </w:rPr>
      </w:pPr>
    </w:p>
    <w:p>
      <w:pPr>
        <w:pStyle w:val="Heading8"/>
        <w:numPr>
          <w:ilvl w:val="0"/>
          <w:numId w:val="29"/>
        </w:numPr>
        <w:tabs>
          <w:tab w:pos="1826" w:val="left" w:leader="none"/>
        </w:tabs>
        <w:spacing w:line="240" w:lineRule="auto" w:before="0" w:after="0"/>
        <w:ind w:left="1825" w:right="0" w:hanging="396"/>
        <w:jc w:val="left"/>
      </w:pPr>
      <w:r>
        <w:rPr/>
        <w:t>Remuneration of</w:t>
      </w:r>
      <w:r>
        <w:rPr>
          <w:spacing w:val="-6"/>
        </w:rPr>
        <w:t> </w:t>
      </w:r>
      <w:r>
        <w:rPr/>
        <w:t>Auditors</w:t>
      </w:r>
    </w:p>
    <w:p>
      <w:pPr>
        <w:pStyle w:val="BodyText"/>
        <w:spacing w:before="11"/>
        <w:rPr>
          <w:b/>
          <w:sz w:val="24"/>
        </w:rPr>
      </w:pPr>
    </w:p>
    <w:p>
      <w:pPr>
        <w:pStyle w:val="BodyText"/>
        <w:ind w:left="1825"/>
      </w:pPr>
      <w:r>
        <w:rPr/>
        <w:drawing>
          <wp:anchor distT="0" distB="0" distL="0" distR="0" allowOverlap="1" layoutInCell="1" locked="0" behindDoc="0" simplePos="0" relativeHeight="4648">
            <wp:simplePos x="0" y="0"/>
            <wp:positionH relativeFrom="page">
              <wp:posOffset>-1587</wp:posOffset>
            </wp:positionH>
            <wp:positionV relativeFrom="paragraph">
              <wp:posOffset>92124</wp:posOffset>
            </wp:positionV>
            <wp:extent cx="136525" cy="155575"/>
            <wp:effectExtent l="0" t="0" r="0" b="0"/>
            <wp:wrapNone/>
            <wp:docPr id="293" name="image13.png" descr=""/>
            <wp:cNvGraphicFramePr>
              <a:graphicFrameLocks noChangeAspect="1"/>
            </wp:cNvGraphicFramePr>
            <a:graphic>
              <a:graphicData uri="http://schemas.openxmlformats.org/drawingml/2006/picture">
                <pic:pic>
                  <pic:nvPicPr>
                    <pic:cNvPr id="294" name="image13.png"/>
                    <pic:cNvPicPr/>
                  </pic:nvPicPr>
                  <pic:blipFill>
                    <a:blip r:embed="rId18" cstate="print"/>
                    <a:stretch>
                      <a:fillRect/>
                    </a:stretch>
                  </pic:blipFill>
                  <pic:spPr>
                    <a:xfrm>
                      <a:off x="0" y="0"/>
                      <a:ext cx="136525" cy="155575"/>
                    </a:xfrm>
                    <a:prstGeom prst="rect">
                      <a:avLst/>
                    </a:prstGeom>
                  </pic:spPr>
                </pic:pic>
              </a:graphicData>
            </a:graphic>
          </wp:anchor>
        </w:drawing>
      </w:r>
      <w:r>
        <w:rPr/>
        <w:drawing>
          <wp:anchor distT="0" distB="0" distL="0" distR="0" allowOverlap="1" layoutInCell="1" locked="0" behindDoc="0" simplePos="0" relativeHeight="4672">
            <wp:simplePos x="0" y="0"/>
            <wp:positionH relativeFrom="page">
              <wp:posOffset>7958429</wp:posOffset>
            </wp:positionH>
            <wp:positionV relativeFrom="paragraph">
              <wp:posOffset>92124</wp:posOffset>
            </wp:positionV>
            <wp:extent cx="135953" cy="155575"/>
            <wp:effectExtent l="0" t="0" r="0" b="0"/>
            <wp:wrapNone/>
            <wp:docPr id="295" name="image15.png" descr=""/>
            <wp:cNvGraphicFramePr>
              <a:graphicFrameLocks noChangeAspect="1"/>
            </wp:cNvGraphicFramePr>
            <a:graphic>
              <a:graphicData uri="http://schemas.openxmlformats.org/drawingml/2006/picture">
                <pic:pic>
                  <pic:nvPicPr>
                    <pic:cNvPr id="296" name="image15.png"/>
                    <pic:cNvPicPr/>
                  </pic:nvPicPr>
                  <pic:blipFill>
                    <a:blip r:embed="rId20" cstate="print"/>
                    <a:stretch>
                      <a:fillRect/>
                    </a:stretch>
                  </pic:blipFill>
                  <pic:spPr>
                    <a:xfrm>
                      <a:off x="0" y="0"/>
                      <a:ext cx="135953" cy="155575"/>
                    </a:xfrm>
                    <a:prstGeom prst="rect">
                      <a:avLst/>
                    </a:prstGeom>
                  </pic:spPr>
                </pic:pic>
              </a:graphicData>
            </a:graphic>
          </wp:anchor>
        </w:drawing>
      </w:r>
      <w:r>
        <w:rPr/>
        <w:t>During the year, the following fees were paid for services provided by the auditor of the entity:</w:t>
      </w:r>
    </w:p>
    <w:p>
      <w:pPr>
        <w:pStyle w:val="BodyText"/>
      </w:pPr>
    </w:p>
    <w:p>
      <w:pPr>
        <w:pStyle w:val="BodyText"/>
      </w:pPr>
    </w:p>
    <w:p>
      <w:pPr>
        <w:pStyle w:val="Heading8"/>
        <w:tabs>
          <w:tab w:pos="9681" w:val="left" w:leader="none"/>
        </w:tabs>
        <w:spacing w:before="113"/>
        <w:ind w:left="6642"/>
      </w:pPr>
      <w:r>
        <w:rPr/>
        <w:t>Consolidated</w:t>
        <w:tab/>
        <w:t>Parent</w:t>
      </w:r>
    </w:p>
    <w:p>
      <w:pPr>
        <w:spacing w:after="0"/>
        <w:sectPr>
          <w:type w:val="continuous"/>
          <w:pgSz w:w="12750" w:h="17680"/>
          <w:pgMar w:top="1660" w:bottom="0" w:left="0" w:right="0"/>
        </w:sectPr>
      </w:pPr>
    </w:p>
    <w:p>
      <w:pPr>
        <w:pStyle w:val="BodyText"/>
        <w:rPr>
          <w:b/>
        </w:rPr>
      </w:pPr>
    </w:p>
    <w:p>
      <w:pPr>
        <w:pStyle w:val="BodyText"/>
        <w:rPr>
          <w:b/>
        </w:rPr>
      </w:pPr>
    </w:p>
    <w:p>
      <w:pPr>
        <w:pStyle w:val="BodyText"/>
        <w:spacing w:before="3"/>
        <w:rPr>
          <w:b/>
          <w:sz w:val="24"/>
        </w:rPr>
      </w:pPr>
    </w:p>
    <w:p>
      <w:pPr>
        <w:spacing w:before="0"/>
        <w:ind w:left="1852" w:right="50" w:firstLine="0"/>
        <w:jc w:val="left"/>
        <w:rPr>
          <w:b/>
          <w:sz w:val="18"/>
        </w:rPr>
      </w:pPr>
      <w:r>
        <w:rPr>
          <w:b/>
          <w:sz w:val="18"/>
        </w:rPr>
        <w:t>Audit and review of the Financial Statements</w:t>
      </w:r>
    </w:p>
    <w:p>
      <w:pPr>
        <w:pStyle w:val="BodyText"/>
        <w:spacing w:before="27"/>
        <w:ind w:left="1852"/>
      </w:pPr>
      <w:r>
        <w:rPr/>
        <w:t>Fees paid to the Audit Office of</w:t>
      </w:r>
      <w:r>
        <w:rPr>
          <w:spacing w:val="-30"/>
        </w:rPr>
        <w:t> </w:t>
      </w:r>
      <w:r>
        <w:rPr/>
        <w:t>New</w:t>
      </w:r>
    </w:p>
    <w:p>
      <w:pPr>
        <w:pStyle w:val="Heading8"/>
        <w:spacing w:before="66"/>
        <w:ind w:right="19"/>
        <w:jc w:val="right"/>
      </w:pPr>
      <w:r>
        <w:rPr>
          <w:b w:val="0"/>
        </w:rPr>
        <w:br w:type="column"/>
      </w:r>
      <w:r>
        <w:rPr/>
        <w:t>2016</w:t>
      </w:r>
    </w:p>
    <w:p>
      <w:pPr>
        <w:spacing w:before="66"/>
        <w:ind w:left="0" w:right="0" w:firstLine="0"/>
        <w:jc w:val="right"/>
        <w:rPr>
          <w:b/>
          <w:sz w:val="18"/>
        </w:rPr>
      </w:pPr>
      <w:r>
        <w:rPr>
          <w:b/>
          <w:sz w:val="18"/>
        </w:rPr>
        <w:t>$'000</w:t>
      </w:r>
    </w:p>
    <w:p>
      <w:pPr>
        <w:spacing w:before="66"/>
        <w:ind w:left="823" w:right="-16" w:firstLine="0"/>
        <w:jc w:val="left"/>
        <w:rPr>
          <w:b/>
          <w:sz w:val="18"/>
        </w:rPr>
      </w:pPr>
      <w:r>
        <w:rPr/>
        <w:br w:type="column"/>
      </w:r>
      <w:r>
        <w:rPr>
          <w:b/>
          <w:sz w:val="18"/>
        </w:rPr>
        <w:t>2015</w:t>
      </w:r>
    </w:p>
    <w:p>
      <w:pPr>
        <w:spacing w:before="66"/>
        <w:ind w:left="802" w:right="-16" w:firstLine="0"/>
        <w:jc w:val="left"/>
        <w:rPr>
          <w:b/>
          <w:sz w:val="18"/>
        </w:rPr>
      </w:pPr>
      <w:r>
        <w:rPr>
          <w:b/>
          <w:spacing w:val="-1"/>
          <w:sz w:val="18"/>
        </w:rPr>
        <w:t>$'000</w:t>
      </w:r>
    </w:p>
    <w:p>
      <w:pPr>
        <w:spacing w:before="66"/>
        <w:ind w:left="0" w:right="19" w:firstLine="0"/>
        <w:jc w:val="right"/>
        <w:rPr>
          <w:b/>
          <w:sz w:val="18"/>
        </w:rPr>
      </w:pPr>
      <w:r>
        <w:rPr/>
        <w:br w:type="column"/>
      </w:r>
      <w:r>
        <w:rPr>
          <w:b/>
          <w:sz w:val="18"/>
        </w:rPr>
        <w:t>2016</w:t>
      </w:r>
    </w:p>
    <w:p>
      <w:pPr>
        <w:spacing w:before="66"/>
        <w:ind w:left="0" w:right="0" w:firstLine="0"/>
        <w:jc w:val="right"/>
        <w:rPr>
          <w:b/>
          <w:sz w:val="18"/>
        </w:rPr>
      </w:pPr>
      <w:r>
        <w:rPr>
          <w:b/>
          <w:sz w:val="18"/>
        </w:rPr>
        <w:t>$'000</w:t>
      </w:r>
    </w:p>
    <w:p>
      <w:pPr>
        <w:spacing w:before="66"/>
        <w:ind w:left="823" w:right="0" w:firstLine="0"/>
        <w:jc w:val="left"/>
        <w:rPr>
          <w:b/>
          <w:sz w:val="18"/>
        </w:rPr>
      </w:pPr>
      <w:r>
        <w:rPr/>
        <w:br w:type="column"/>
      </w:r>
      <w:r>
        <w:rPr>
          <w:b/>
          <w:sz w:val="18"/>
        </w:rPr>
        <w:t>2015</w:t>
      </w:r>
    </w:p>
    <w:p>
      <w:pPr>
        <w:spacing w:before="66"/>
        <w:ind w:left="802" w:right="0" w:firstLine="0"/>
        <w:jc w:val="left"/>
        <w:rPr>
          <w:b/>
          <w:sz w:val="18"/>
        </w:rPr>
      </w:pPr>
      <w:r>
        <w:rPr>
          <w:b/>
          <w:sz w:val="18"/>
        </w:rPr>
        <w:t>$'000</w:t>
      </w:r>
    </w:p>
    <w:p>
      <w:pPr>
        <w:spacing w:after="0"/>
        <w:jc w:val="left"/>
        <w:rPr>
          <w:sz w:val="18"/>
        </w:rPr>
        <w:sectPr>
          <w:type w:val="continuous"/>
          <w:pgSz w:w="12750" w:h="17680"/>
          <w:pgMar w:top="1660" w:bottom="0" w:left="0" w:right="0"/>
          <w:cols w:num="5" w:equalWidth="0">
            <w:col w:w="4733" w:space="40"/>
            <w:col w:w="2082" w:space="40"/>
            <w:col w:w="1245" w:space="40"/>
            <w:col w:w="1440" w:space="40"/>
            <w:col w:w="3090"/>
          </w:cols>
        </w:sectPr>
      </w:pPr>
    </w:p>
    <w:p>
      <w:pPr>
        <w:tabs>
          <w:tab w:pos="6893" w:val="left" w:leader="none"/>
          <w:tab w:pos="8192" w:val="left" w:leader="none"/>
          <w:tab w:pos="9657" w:val="left" w:leader="none"/>
          <w:tab w:pos="11254" w:val="right" w:leader="none"/>
        </w:tabs>
        <w:spacing w:line="206" w:lineRule="exact" w:before="0"/>
        <w:ind w:left="1852" w:right="0" w:firstLine="0"/>
        <w:jc w:val="left"/>
        <w:rPr>
          <w:sz w:val="18"/>
        </w:rPr>
      </w:pPr>
      <w:r>
        <w:rPr/>
        <w:pict>
          <v:group style="position:absolute;margin-left:290.709991pt;margin-top:11.602788pt;width:276.5pt;height:1pt;mso-position-horizontal-relative:page;mso-position-vertical-relative:paragraph;z-index:4600" coordorigin="5814,232" coordsize="5530,20">
            <v:line style="position:absolute" from="5815,233" to="5984,233" stroked="true" strokeweight=".06pt" strokecolor="#000000"/>
            <v:line style="position:absolute" from="5815,234" to="5984,234" stroked="true" strokeweight=".06pt" strokecolor="#000000"/>
            <v:line style="position:absolute" from="5815,235" to="5984,235" stroked="true" strokeweight=".06pt" strokecolor="#000000"/>
            <v:line style="position:absolute" from="5815,237" to="5984,237" stroked="true" strokeweight=".06pt" strokecolor="#000000"/>
            <v:line style="position:absolute" from="5815,238" to="5984,238" stroked="true" strokeweight=".06pt" strokecolor="#000000"/>
            <v:line style="position:absolute" from="5815,239" to="5984,239" stroked="true" strokeweight=".06pt" strokecolor="#000000"/>
            <v:line style="position:absolute" from="5815,240" to="5984,240" stroked="true" strokeweight=".06pt" strokecolor="#000000"/>
            <v:line style="position:absolute" from="5815,241" to="5984,241" stroked="true" strokeweight=".06pt" strokecolor="#000000"/>
            <v:line style="position:absolute" from="5815,243" to="5984,243" stroked="true" strokeweight=".06pt" strokecolor="#000000"/>
            <v:line style="position:absolute" from="5815,244" to="5984,244" stroked="true" strokeweight=".06pt" strokecolor="#000000"/>
            <v:line style="position:absolute" from="5815,245" to="5984,245" stroked="true" strokeweight=".06pt" strokecolor="#000000"/>
            <v:line style="position:absolute" from="5815,246" to="5984,246" stroked="true" strokeweight=".06pt" strokecolor="#000000"/>
            <v:line style="position:absolute" from="5815,247" to="5984,247" stroked="true" strokeweight=".06pt" strokecolor="#000000"/>
            <v:line style="position:absolute" from="5815,249" to="5984,249" stroked="true" strokeweight=".06pt" strokecolor="#000000"/>
            <v:line style="position:absolute" from="5815,250" to="5984,250" stroked="true" strokeweight=".06pt" strokecolor="#000000"/>
            <v:line style="position:absolute" from="5815,251" to="5984,251" stroked="true" strokeweight=".06pt" strokecolor="#000000"/>
            <v:line style="position:absolute" from="5984,233" to="7282,233" stroked="true" strokeweight=".06pt" strokecolor="#000000"/>
            <v:line style="position:absolute" from="5984,234" to="7282,234" stroked="true" strokeweight=".06pt" strokecolor="#000000"/>
            <v:line style="position:absolute" from="5984,235" to="7282,235" stroked="true" strokeweight=".06pt" strokecolor="#000000"/>
            <v:line style="position:absolute" from="5984,237" to="7282,237" stroked="true" strokeweight=".06pt" strokecolor="#000000"/>
            <v:line style="position:absolute" from="5984,238" to="7282,238" stroked="true" strokeweight=".06pt" strokecolor="#000000"/>
            <v:line style="position:absolute" from="5984,239" to="7282,239" stroked="true" strokeweight=".06pt" strokecolor="#000000"/>
            <v:line style="position:absolute" from="5984,240" to="7282,240" stroked="true" strokeweight=".06pt" strokecolor="#000000"/>
            <v:line style="position:absolute" from="5984,241" to="7282,241" stroked="true" strokeweight=".06pt" strokecolor="#000000"/>
            <v:line style="position:absolute" from="5984,243" to="7282,243" stroked="true" strokeweight=".06pt" strokecolor="#000000"/>
            <v:line style="position:absolute" from="5984,244" to="7282,244" stroked="true" strokeweight=".06pt" strokecolor="#000000"/>
            <v:line style="position:absolute" from="5984,245" to="7282,245" stroked="true" strokeweight=".06pt" strokecolor="#000000"/>
            <v:line style="position:absolute" from="5984,246" to="7282,246" stroked="true" strokeweight=".06pt" strokecolor="#000000"/>
            <v:line style="position:absolute" from="5984,247" to="7282,247" stroked="true" strokeweight=".06pt" strokecolor="#000000"/>
            <v:line style="position:absolute" from="5984,249" to="7282,249" stroked="true" strokeweight=".06pt" strokecolor="#000000"/>
            <v:line style="position:absolute" from="5984,250" to="7282,250" stroked="true" strokeweight=".06pt" strokecolor="#000000"/>
            <v:line style="position:absolute" from="5984,251" to="7282,251" stroked="true" strokeweight=".06pt" strokecolor="#000000"/>
            <v:line style="position:absolute" from="7282,233" to="8579,233" stroked="true" strokeweight=".06pt" strokecolor="#000000"/>
            <v:line style="position:absolute" from="7282,234" to="8579,234" stroked="true" strokeweight=".06pt" strokecolor="#000000"/>
            <v:line style="position:absolute" from="7282,235" to="8579,235" stroked="true" strokeweight=".06pt" strokecolor="#000000"/>
            <v:line style="position:absolute" from="7282,237" to="8579,237" stroked="true" strokeweight=".06pt" strokecolor="#000000"/>
            <v:line style="position:absolute" from="7282,238" to="8579,238" stroked="true" strokeweight=".06pt" strokecolor="#000000"/>
            <v:line style="position:absolute" from="7282,239" to="8579,239" stroked="true" strokeweight=".06pt" strokecolor="#000000"/>
            <v:line style="position:absolute" from="7282,240" to="8579,240" stroked="true" strokeweight=".06pt" strokecolor="#000000"/>
            <v:line style="position:absolute" from="7282,241" to="8579,241" stroked="true" strokeweight=".06pt" strokecolor="#000000"/>
            <v:line style="position:absolute" from="7282,243" to="8579,243" stroked="true" strokeweight=".06pt" strokecolor="#000000"/>
            <v:line style="position:absolute" from="7282,244" to="8579,244" stroked="true" strokeweight=".06pt" strokecolor="#000000"/>
            <v:line style="position:absolute" from="7282,245" to="8579,245" stroked="true" strokeweight=".06pt" strokecolor="#000000"/>
            <v:line style="position:absolute" from="7282,246" to="8579,246" stroked="true" strokeweight=".06pt" strokecolor="#000000"/>
            <v:line style="position:absolute" from="7282,247" to="8579,247" stroked="true" strokeweight=".06pt" strokecolor="#000000"/>
            <v:line style="position:absolute" from="7282,249" to="8579,249" stroked="true" strokeweight=".06pt" strokecolor="#000000"/>
            <v:line style="position:absolute" from="7282,250" to="8579,250" stroked="true" strokeweight=".06pt" strokecolor="#000000"/>
            <v:line style="position:absolute" from="7282,251" to="8579,251" stroked="true" strokeweight=".06pt" strokecolor="#000000"/>
            <v:line style="position:absolute" from="8579,233" to="8748,233" stroked="true" strokeweight=".06pt" strokecolor="#000000"/>
            <v:line style="position:absolute" from="8579,234" to="8748,234" stroked="true" strokeweight=".06pt" strokecolor="#000000"/>
            <v:line style="position:absolute" from="8579,235" to="8748,235" stroked="true" strokeweight=".06pt" strokecolor="#000000"/>
            <v:line style="position:absolute" from="8579,237" to="8748,237" stroked="true" strokeweight=".06pt" strokecolor="#000000"/>
            <v:line style="position:absolute" from="8579,238" to="8748,238" stroked="true" strokeweight=".06pt" strokecolor="#000000"/>
            <v:line style="position:absolute" from="8579,239" to="8748,239" stroked="true" strokeweight=".06pt" strokecolor="#000000"/>
            <v:line style="position:absolute" from="8579,240" to="8748,240" stroked="true" strokeweight=".06pt" strokecolor="#000000"/>
            <v:line style="position:absolute" from="8579,241" to="8748,241" stroked="true" strokeweight=".06pt" strokecolor="#000000"/>
            <v:line style="position:absolute" from="8579,243" to="8748,243" stroked="true" strokeweight=".06pt" strokecolor="#000000"/>
            <v:line style="position:absolute" from="8579,244" to="8748,244" stroked="true" strokeweight=".06pt" strokecolor="#000000"/>
            <v:line style="position:absolute" from="8579,245" to="8748,245" stroked="true" strokeweight=".06pt" strokecolor="#000000"/>
            <v:line style="position:absolute" from="8579,246" to="8748,246" stroked="true" strokeweight=".06pt" strokecolor="#000000"/>
            <v:line style="position:absolute" from="8579,247" to="8748,247" stroked="true" strokeweight=".06pt" strokecolor="#000000"/>
            <v:line style="position:absolute" from="8579,249" to="8748,249" stroked="true" strokeweight=".06pt" strokecolor="#000000"/>
            <v:line style="position:absolute" from="8579,250" to="8748,250" stroked="true" strokeweight=".06pt" strokecolor="#000000"/>
            <v:line style="position:absolute" from="8579,251" to="8748,251" stroked="true" strokeweight=".06pt" strokecolor="#000000"/>
            <v:line style="position:absolute" from="8748,233" to="10045,233" stroked="true" strokeweight=".06pt" strokecolor="#000000"/>
            <v:line style="position:absolute" from="8748,234" to="10045,234" stroked="true" strokeweight=".06pt" strokecolor="#000000"/>
            <v:line style="position:absolute" from="8748,235" to="10045,235" stroked="true" strokeweight=".06pt" strokecolor="#000000"/>
            <v:line style="position:absolute" from="8748,237" to="10045,237" stroked="true" strokeweight=".06pt" strokecolor="#000000"/>
            <v:line style="position:absolute" from="8748,238" to="10045,238" stroked="true" strokeweight=".06pt" strokecolor="#000000"/>
            <v:line style="position:absolute" from="8748,239" to="10045,239" stroked="true" strokeweight=".06pt" strokecolor="#000000"/>
            <v:line style="position:absolute" from="8748,240" to="10045,240" stroked="true" strokeweight=".06pt" strokecolor="#000000"/>
            <v:line style="position:absolute" from="8748,241" to="10045,241" stroked="true" strokeweight=".06pt" strokecolor="#000000"/>
            <v:line style="position:absolute" from="8748,243" to="10045,243" stroked="true" strokeweight=".06pt" strokecolor="#000000"/>
            <v:line style="position:absolute" from="8748,244" to="10045,244" stroked="true" strokeweight=".06pt" strokecolor="#000000"/>
            <v:line style="position:absolute" from="8748,245" to="10045,245" stroked="true" strokeweight=".06pt" strokecolor="#000000"/>
            <v:line style="position:absolute" from="8748,246" to="10045,246" stroked="true" strokeweight=".06pt" strokecolor="#000000"/>
            <v:line style="position:absolute" from="8748,247" to="10045,247" stroked="true" strokeweight=".06pt" strokecolor="#000000"/>
            <v:line style="position:absolute" from="8748,249" to="10045,249" stroked="true" strokeweight=".06pt" strokecolor="#000000"/>
            <v:line style="position:absolute" from="8748,250" to="10045,250" stroked="true" strokeweight=".06pt" strokecolor="#000000"/>
            <v:line style="position:absolute" from="8748,251" to="10045,251" stroked="true" strokeweight=".06pt" strokecolor="#000000"/>
            <v:line style="position:absolute" from="10045,233" to="11342,233" stroked="true" strokeweight=".06pt" strokecolor="#000000"/>
            <v:line style="position:absolute" from="10045,234" to="11342,234" stroked="true" strokeweight=".06pt" strokecolor="#000000"/>
            <v:line style="position:absolute" from="10045,235" to="11342,235" stroked="true" strokeweight=".06pt" strokecolor="#000000"/>
            <v:line style="position:absolute" from="10045,237" to="11342,237" stroked="true" strokeweight=".06pt" strokecolor="#000000"/>
            <v:line style="position:absolute" from="10045,238" to="11342,238" stroked="true" strokeweight=".06pt" strokecolor="#000000"/>
            <v:line style="position:absolute" from="10045,239" to="11342,239" stroked="true" strokeweight=".06pt" strokecolor="#000000"/>
            <v:line style="position:absolute" from="10045,240" to="11342,240" stroked="true" strokeweight=".06pt" strokecolor="#000000"/>
            <v:line style="position:absolute" from="10045,241" to="11342,241" stroked="true" strokeweight=".06pt" strokecolor="#000000"/>
            <v:line style="position:absolute" from="10045,243" to="11342,243" stroked="true" strokeweight=".06pt" strokecolor="#000000"/>
            <v:line style="position:absolute" from="10045,244" to="11342,244" stroked="true" strokeweight=".06pt" strokecolor="#000000"/>
            <v:line style="position:absolute" from="10045,245" to="11342,245" stroked="true" strokeweight=".06pt" strokecolor="#000000"/>
            <v:line style="position:absolute" from="10045,246" to="11342,246" stroked="true" strokeweight=".06pt" strokecolor="#000000"/>
            <v:line style="position:absolute" from="10045,247" to="11342,247" stroked="true" strokeweight=".06pt" strokecolor="#000000"/>
            <v:line style="position:absolute" from="10045,249" to="11342,249" stroked="true" strokeweight=".06pt" strokecolor="#000000"/>
            <v:line style="position:absolute" from="10045,250" to="11342,250" stroked="true" strokeweight=".06pt" strokecolor="#000000"/>
            <v:line style="position:absolute" from="10045,251" to="11342,251" stroked="true" strokeweight=".06pt" strokecolor="#000000"/>
            <w10:wrap type="none"/>
          </v:group>
        </w:pict>
      </w:r>
      <w:r>
        <w:rPr>
          <w:sz w:val="18"/>
        </w:rPr>
        <w:t>South</w:t>
      </w:r>
      <w:r>
        <w:rPr>
          <w:spacing w:val="-4"/>
          <w:sz w:val="18"/>
        </w:rPr>
        <w:t> </w:t>
      </w:r>
      <w:r>
        <w:rPr>
          <w:sz w:val="18"/>
        </w:rPr>
        <w:t>Wales</w:t>
        <w:tab/>
      </w:r>
      <w:r>
        <w:rPr>
          <w:b/>
          <w:sz w:val="18"/>
        </w:rPr>
        <w:t>376</w:t>
        <w:tab/>
      </w:r>
      <w:r>
        <w:rPr>
          <w:sz w:val="18"/>
        </w:rPr>
        <w:t>385</w:t>
        <w:tab/>
      </w:r>
      <w:r>
        <w:rPr>
          <w:b/>
          <w:sz w:val="18"/>
        </w:rPr>
        <w:t>276</w:t>
      </w:r>
      <w:r>
        <w:rPr>
          <w:rFonts w:ascii="Times New Roman"/>
          <w:sz w:val="18"/>
        </w:rPr>
        <w:tab/>
      </w:r>
      <w:r>
        <w:rPr>
          <w:sz w:val="18"/>
        </w:rPr>
        <w:t>276</w:t>
      </w:r>
    </w:p>
    <w:p>
      <w:pPr>
        <w:pStyle w:val="Heading8"/>
        <w:tabs>
          <w:tab w:pos="6893" w:val="left" w:leader="none"/>
          <w:tab w:pos="8192" w:val="left" w:leader="none"/>
          <w:tab w:pos="9657" w:val="left" w:leader="none"/>
          <w:tab w:pos="11254" w:val="right" w:leader="none"/>
        </w:tabs>
        <w:spacing w:before="159"/>
        <w:ind w:left="1852"/>
        <w:rPr>
          <w:b w:val="0"/>
        </w:rPr>
      </w:pPr>
      <w:r>
        <w:rPr/>
        <w:pict>
          <v:group style="position:absolute;margin-left:290.709991pt;margin-top:18.201883pt;width:276.5pt;height:2.5pt;mso-position-horizontal-relative:page;mso-position-vertical-relative:paragraph;z-index:-1203712" coordorigin="5814,364" coordsize="5530,50">
            <v:line style="position:absolute" from="5815,365" to="5984,365" stroked="true" strokeweight=".06pt" strokecolor="#000000"/>
            <v:line style="position:absolute" from="5815,366" to="5984,366" stroked="true" strokeweight=".06pt" strokecolor="#000000"/>
            <v:line style="position:absolute" from="5815,367" to="5984,367" stroked="true" strokeweight=".06pt" strokecolor="#000000"/>
            <v:line style="position:absolute" from="5815,369" to="5984,369" stroked="true" strokeweight=".06pt" strokecolor="#000000"/>
            <v:line style="position:absolute" from="5815,370" to="5984,370" stroked="true" strokeweight=".06pt" strokecolor="#000000"/>
            <v:line style="position:absolute" from="5815,371" to="5984,371" stroked="true" strokeweight=".06pt" strokecolor="#000000"/>
            <v:line style="position:absolute" from="5815,372" to="5984,372" stroked="true" strokeweight=".06pt" strokecolor="#000000"/>
            <v:line style="position:absolute" from="5815,373" to="5984,373" stroked="true" strokeweight=".06pt" strokecolor="#000000"/>
            <v:line style="position:absolute" from="5815,375" to="5984,375" stroked="true" strokeweight=".06pt" strokecolor="#000000"/>
            <v:line style="position:absolute" from="5815,376" to="5984,376" stroked="true" strokeweight=".06pt" strokecolor="#000000"/>
            <v:line style="position:absolute" from="5815,377" to="5984,377" stroked="true" strokeweight=".06pt" strokecolor="#000000"/>
            <v:line style="position:absolute" from="5815,378" to="5984,378" stroked="true" strokeweight=".06pt" strokecolor="#000000"/>
            <v:line style="position:absolute" from="5815,379" to="5984,379" stroked="true" strokeweight=".06pt" strokecolor="#000000"/>
            <v:line style="position:absolute" from="5815,399" to="5984,399" stroked="true" strokeweight=".06pt" strokecolor="#000000"/>
            <v:line style="position:absolute" from="5815,400" to="5984,400" stroked="true" strokeweight=".06pt" strokecolor="#000000"/>
            <v:line style="position:absolute" from="5815,401" to="5984,401" stroked="true" strokeweight=".06pt" strokecolor="#000000"/>
            <v:line style="position:absolute" from="5815,402" to="5984,402" stroked="true" strokeweight=".06pt" strokecolor="#000000"/>
            <v:line style="position:absolute" from="5815,403" to="5984,403" stroked="true" strokeweight=".06pt" strokecolor="#000000"/>
            <v:line style="position:absolute" from="5815,405" to="5984,405" stroked="true" strokeweight=".06pt" strokecolor="#000000"/>
            <v:line style="position:absolute" from="5815,406" to="5984,406" stroked="true" strokeweight=".06pt" strokecolor="#000000"/>
            <v:line style="position:absolute" from="5815,407" to="5984,407" stroked="true" strokeweight=".06pt" strokecolor="#000000"/>
            <v:line style="position:absolute" from="5815,408" to="5984,408" stroked="true" strokeweight=".06pt" strokecolor="#000000"/>
            <v:line style="position:absolute" from="5815,409" to="5984,409" stroked="true" strokeweight=".06pt" strokecolor="#000000"/>
            <v:line style="position:absolute" from="5815,411" to="5984,411" stroked="true" strokeweight=".06pt" strokecolor="#000000"/>
            <v:line style="position:absolute" from="5815,412" to="5984,412" stroked="true" strokeweight=".06pt" strokecolor="#000000"/>
            <v:line style="position:absolute" from="5815,413" to="5984,413" stroked="true" strokeweight=".06pt" strokecolor="#000000"/>
            <v:line style="position:absolute" from="5984,365" to="7282,365" stroked="true" strokeweight=".06pt" strokecolor="#000000"/>
            <v:line style="position:absolute" from="5984,366" to="7282,366" stroked="true" strokeweight=".06pt" strokecolor="#000000"/>
            <v:line style="position:absolute" from="5984,367" to="7282,367" stroked="true" strokeweight=".06pt" strokecolor="#000000"/>
            <v:line style="position:absolute" from="5984,369" to="7282,369" stroked="true" strokeweight=".06pt" strokecolor="#000000"/>
            <v:line style="position:absolute" from="5984,370" to="7282,370" stroked="true" strokeweight=".06pt" strokecolor="#000000"/>
            <v:line style="position:absolute" from="5984,371" to="7282,371" stroked="true" strokeweight=".06pt" strokecolor="#000000"/>
            <v:line style="position:absolute" from="5984,372" to="7282,372" stroked="true" strokeweight=".06pt" strokecolor="#000000"/>
            <v:line style="position:absolute" from="5984,373" to="7282,373" stroked="true" strokeweight=".06pt" strokecolor="#000000"/>
            <v:line style="position:absolute" from="5984,375" to="7282,375" stroked="true" strokeweight=".06pt" strokecolor="#000000"/>
            <v:line style="position:absolute" from="5984,376" to="7282,376" stroked="true" strokeweight=".06pt" strokecolor="#000000"/>
            <v:line style="position:absolute" from="5984,377" to="7282,377" stroked="true" strokeweight=".06pt" strokecolor="#000000"/>
            <v:line style="position:absolute" from="5984,378" to="7282,378" stroked="true" strokeweight=".06pt" strokecolor="#000000"/>
            <v:line style="position:absolute" from="5984,379" to="7282,379" stroked="true" strokeweight=".06pt" strokecolor="#000000"/>
            <v:line style="position:absolute" from="5984,399" to="7282,399" stroked="true" strokeweight=".06pt" strokecolor="#000000"/>
            <v:line style="position:absolute" from="5984,400" to="7282,400" stroked="true" strokeweight=".06pt" strokecolor="#000000"/>
            <v:line style="position:absolute" from="5984,401" to="7282,401" stroked="true" strokeweight=".06pt" strokecolor="#000000"/>
            <v:line style="position:absolute" from="5984,402" to="7282,402" stroked="true" strokeweight=".06pt" strokecolor="#000000"/>
            <v:line style="position:absolute" from="5984,403" to="7282,403" stroked="true" strokeweight=".06pt" strokecolor="#000000"/>
            <v:line style="position:absolute" from="5984,405" to="7282,405" stroked="true" strokeweight=".06pt" strokecolor="#000000"/>
            <v:line style="position:absolute" from="5984,406" to="7282,406" stroked="true" strokeweight=".06pt" strokecolor="#000000"/>
            <v:line style="position:absolute" from="5984,407" to="7282,407" stroked="true" strokeweight=".06pt" strokecolor="#000000"/>
            <v:line style="position:absolute" from="5984,408" to="7282,408" stroked="true" strokeweight=".06pt" strokecolor="#000000"/>
            <v:line style="position:absolute" from="5984,409" to="7282,409" stroked="true" strokeweight=".06pt" strokecolor="#000000"/>
            <v:line style="position:absolute" from="5984,411" to="7282,411" stroked="true" strokeweight=".06pt" strokecolor="#000000"/>
            <v:line style="position:absolute" from="5984,412" to="7282,412" stroked="true" strokeweight=".06pt" strokecolor="#000000"/>
            <v:line style="position:absolute" from="5984,413" to="7282,413" stroked="true" strokeweight=".06pt" strokecolor="#000000"/>
            <v:line style="position:absolute" from="7282,365" to="8579,365" stroked="true" strokeweight=".06pt" strokecolor="#000000"/>
            <v:line style="position:absolute" from="7282,366" to="8579,366" stroked="true" strokeweight=".06pt" strokecolor="#000000"/>
            <v:line style="position:absolute" from="7282,367" to="8579,367" stroked="true" strokeweight=".06pt" strokecolor="#000000"/>
            <v:line style="position:absolute" from="7282,369" to="8579,369" stroked="true" strokeweight=".06pt" strokecolor="#000000"/>
            <v:line style="position:absolute" from="7282,370" to="8579,370" stroked="true" strokeweight=".06pt" strokecolor="#000000"/>
            <v:line style="position:absolute" from="7282,371" to="8579,371" stroked="true" strokeweight=".06pt" strokecolor="#000000"/>
            <v:line style="position:absolute" from="7282,372" to="8579,372" stroked="true" strokeweight=".06pt" strokecolor="#000000"/>
            <v:line style="position:absolute" from="7282,373" to="8579,373" stroked="true" strokeweight=".06pt" strokecolor="#000000"/>
            <v:line style="position:absolute" from="7282,375" to="8579,375" stroked="true" strokeweight=".06pt" strokecolor="#000000"/>
            <v:line style="position:absolute" from="7282,376" to="8579,376" stroked="true" strokeweight=".06pt" strokecolor="#000000"/>
            <v:line style="position:absolute" from="7282,377" to="8579,377" stroked="true" strokeweight=".06pt" strokecolor="#000000"/>
            <v:line style="position:absolute" from="7282,378" to="8579,378" stroked="true" strokeweight=".06pt" strokecolor="#000000"/>
            <v:line style="position:absolute" from="7282,379" to="8579,379" stroked="true" strokeweight=".06pt" strokecolor="#000000"/>
            <v:line style="position:absolute" from="7282,399" to="8579,399" stroked="true" strokeweight=".06pt" strokecolor="#000000"/>
            <v:line style="position:absolute" from="7282,400" to="8579,400" stroked="true" strokeweight=".06pt" strokecolor="#000000"/>
            <v:line style="position:absolute" from="7282,401" to="8579,401" stroked="true" strokeweight=".06pt" strokecolor="#000000"/>
            <v:line style="position:absolute" from="7282,402" to="8579,402" stroked="true" strokeweight=".06pt" strokecolor="#000000"/>
            <v:line style="position:absolute" from="7282,403" to="8579,403" stroked="true" strokeweight=".06pt" strokecolor="#000000"/>
            <v:line style="position:absolute" from="7282,405" to="8579,405" stroked="true" strokeweight=".06pt" strokecolor="#000000"/>
            <v:line style="position:absolute" from="7282,406" to="8579,406" stroked="true" strokeweight=".06pt" strokecolor="#000000"/>
            <v:line style="position:absolute" from="7282,407" to="8579,407" stroked="true" strokeweight=".06pt" strokecolor="#000000"/>
            <v:line style="position:absolute" from="7282,408" to="8579,408" stroked="true" strokeweight=".06pt" strokecolor="#000000"/>
            <v:line style="position:absolute" from="7282,409" to="8579,409" stroked="true" strokeweight=".06pt" strokecolor="#000000"/>
            <v:line style="position:absolute" from="7282,411" to="8579,411" stroked="true" strokeweight=".06pt" strokecolor="#000000"/>
            <v:line style="position:absolute" from="7282,412" to="8579,412" stroked="true" strokeweight=".06pt" strokecolor="#000000"/>
            <v:line style="position:absolute" from="7282,413" to="8579,413" stroked="true" strokeweight=".06pt" strokecolor="#000000"/>
            <v:line style="position:absolute" from="8579,365" to="8748,365" stroked="true" strokeweight=".06pt" strokecolor="#000000"/>
            <v:line style="position:absolute" from="8579,366" to="8748,366" stroked="true" strokeweight=".06pt" strokecolor="#000000"/>
            <v:line style="position:absolute" from="8579,367" to="8748,367" stroked="true" strokeweight=".06pt" strokecolor="#000000"/>
            <v:line style="position:absolute" from="8579,369" to="8748,369" stroked="true" strokeweight=".06pt" strokecolor="#000000"/>
            <v:line style="position:absolute" from="8579,370" to="8748,370" stroked="true" strokeweight=".06pt" strokecolor="#000000"/>
            <v:line style="position:absolute" from="8579,371" to="8748,371" stroked="true" strokeweight=".06pt" strokecolor="#000000"/>
            <v:line style="position:absolute" from="8579,372" to="8748,372" stroked="true" strokeweight=".06pt" strokecolor="#000000"/>
            <v:line style="position:absolute" from="8579,373" to="8748,373" stroked="true" strokeweight=".06pt" strokecolor="#000000"/>
            <v:line style="position:absolute" from="8579,375" to="8748,375" stroked="true" strokeweight=".06pt" strokecolor="#000000"/>
            <v:line style="position:absolute" from="8579,376" to="8748,376" stroked="true" strokeweight=".06pt" strokecolor="#000000"/>
            <v:line style="position:absolute" from="8579,377" to="8748,377" stroked="true" strokeweight=".06pt" strokecolor="#000000"/>
            <v:line style="position:absolute" from="8579,378" to="8748,378" stroked="true" strokeweight=".06pt" strokecolor="#000000"/>
            <v:line style="position:absolute" from="8579,379" to="8748,379" stroked="true" strokeweight=".06pt" strokecolor="#000000"/>
            <v:line style="position:absolute" from="8579,399" to="8748,399" stroked="true" strokeweight=".06pt" strokecolor="#000000"/>
            <v:line style="position:absolute" from="8579,400" to="8748,400" stroked="true" strokeweight=".06pt" strokecolor="#000000"/>
            <v:line style="position:absolute" from="8579,401" to="8748,401" stroked="true" strokeweight=".06pt" strokecolor="#000000"/>
            <v:line style="position:absolute" from="8579,402" to="8748,402" stroked="true" strokeweight=".06pt" strokecolor="#000000"/>
            <v:line style="position:absolute" from="8579,403" to="8748,403" stroked="true" strokeweight=".06pt" strokecolor="#000000"/>
            <v:line style="position:absolute" from="8579,405" to="8748,405" stroked="true" strokeweight=".06pt" strokecolor="#000000"/>
            <v:line style="position:absolute" from="8579,406" to="8748,406" stroked="true" strokeweight=".06pt" strokecolor="#000000"/>
            <v:line style="position:absolute" from="8579,407" to="8748,407" stroked="true" strokeweight=".06pt" strokecolor="#000000"/>
            <v:line style="position:absolute" from="8579,408" to="8748,408" stroked="true" strokeweight=".06pt" strokecolor="#000000"/>
            <v:line style="position:absolute" from="8579,409" to="8748,409" stroked="true" strokeweight=".06pt" strokecolor="#000000"/>
            <v:line style="position:absolute" from="8579,411" to="8748,411" stroked="true" strokeweight=".06pt" strokecolor="#000000"/>
            <v:line style="position:absolute" from="8579,412" to="8748,412" stroked="true" strokeweight=".06pt" strokecolor="#000000"/>
            <v:line style="position:absolute" from="8579,413" to="8748,413" stroked="true" strokeweight=".06pt" strokecolor="#000000"/>
            <v:line style="position:absolute" from="8748,365" to="10045,365" stroked="true" strokeweight=".06pt" strokecolor="#000000"/>
            <v:line style="position:absolute" from="8748,366" to="10045,366" stroked="true" strokeweight=".06pt" strokecolor="#000000"/>
            <v:line style="position:absolute" from="8748,367" to="10045,367" stroked="true" strokeweight=".06pt" strokecolor="#000000"/>
            <v:line style="position:absolute" from="8748,369" to="10045,369" stroked="true" strokeweight=".06pt" strokecolor="#000000"/>
            <v:line style="position:absolute" from="8748,370" to="10045,370" stroked="true" strokeweight=".06pt" strokecolor="#000000"/>
            <v:line style="position:absolute" from="8748,371" to="10045,371" stroked="true" strokeweight=".06pt" strokecolor="#000000"/>
            <v:line style="position:absolute" from="8748,372" to="10045,372" stroked="true" strokeweight=".06pt" strokecolor="#000000"/>
            <v:line style="position:absolute" from="8748,373" to="10045,373" stroked="true" strokeweight=".06pt" strokecolor="#000000"/>
            <v:line style="position:absolute" from="8748,375" to="10045,375" stroked="true" strokeweight=".06pt" strokecolor="#000000"/>
            <v:line style="position:absolute" from="8748,376" to="10045,376" stroked="true" strokeweight=".06pt" strokecolor="#000000"/>
            <v:line style="position:absolute" from="8748,377" to="10045,377" stroked="true" strokeweight=".06pt" strokecolor="#000000"/>
            <v:line style="position:absolute" from="8748,378" to="10045,378" stroked="true" strokeweight=".06pt" strokecolor="#000000"/>
            <v:line style="position:absolute" from="8748,379" to="10045,379" stroked="true" strokeweight=".06pt" strokecolor="#000000"/>
            <v:line style="position:absolute" from="8748,399" to="10045,399" stroked="true" strokeweight=".06pt" strokecolor="#000000"/>
            <v:line style="position:absolute" from="8748,400" to="10045,400" stroked="true" strokeweight=".06pt" strokecolor="#000000"/>
            <v:line style="position:absolute" from="8748,401" to="10045,401" stroked="true" strokeweight=".06pt" strokecolor="#000000"/>
            <v:line style="position:absolute" from="8748,402" to="10045,402" stroked="true" strokeweight=".06pt" strokecolor="#000000"/>
            <v:line style="position:absolute" from="8748,403" to="10045,403" stroked="true" strokeweight=".06pt" strokecolor="#000000"/>
            <v:line style="position:absolute" from="8748,405" to="10045,405" stroked="true" strokeweight=".06pt" strokecolor="#000000"/>
            <v:line style="position:absolute" from="8748,406" to="10045,406" stroked="true" strokeweight=".06pt" strokecolor="#000000"/>
            <v:line style="position:absolute" from="8748,407" to="10045,407" stroked="true" strokeweight=".06pt" strokecolor="#000000"/>
            <v:line style="position:absolute" from="8748,408" to="10045,408" stroked="true" strokeweight=".06pt" strokecolor="#000000"/>
            <v:line style="position:absolute" from="8748,409" to="10045,409" stroked="true" strokeweight=".06pt" strokecolor="#000000"/>
            <v:line style="position:absolute" from="8748,411" to="10045,411" stroked="true" strokeweight=".06pt" strokecolor="#000000"/>
            <v:line style="position:absolute" from="8748,412" to="10045,412" stroked="true" strokeweight=".06pt" strokecolor="#000000"/>
            <v:line style="position:absolute" from="8748,413" to="10045,413" stroked="true" strokeweight=".06pt" strokecolor="#000000"/>
            <v:line style="position:absolute" from="10045,365" to="11342,365" stroked="true" strokeweight=".06pt" strokecolor="#000000"/>
            <v:line style="position:absolute" from="10045,366" to="11342,366" stroked="true" strokeweight=".06pt" strokecolor="#000000"/>
            <v:line style="position:absolute" from="10045,367" to="11342,367" stroked="true" strokeweight=".06pt" strokecolor="#000000"/>
            <v:line style="position:absolute" from="10045,369" to="11342,369" stroked="true" strokeweight=".06pt" strokecolor="#000000"/>
            <v:line style="position:absolute" from="10045,370" to="11342,370" stroked="true" strokeweight=".06pt" strokecolor="#000000"/>
            <v:line style="position:absolute" from="10045,371" to="11342,371" stroked="true" strokeweight=".06pt" strokecolor="#000000"/>
            <v:line style="position:absolute" from="10045,372" to="11342,372" stroked="true" strokeweight=".06pt" strokecolor="#000000"/>
            <v:line style="position:absolute" from="10045,373" to="11342,373" stroked="true" strokeweight=".06pt" strokecolor="#000000"/>
            <v:line style="position:absolute" from="10045,375" to="11342,375" stroked="true" strokeweight=".06pt" strokecolor="#000000"/>
            <v:line style="position:absolute" from="10045,376" to="11342,376" stroked="true" strokeweight=".06pt" strokecolor="#000000"/>
            <v:line style="position:absolute" from="10045,377" to="11342,377" stroked="true" strokeweight=".06pt" strokecolor="#000000"/>
            <v:line style="position:absolute" from="10045,378" to="11342,378" stroked="true" strokeweight=".06pt" strokecolor="#000000"/>
            <v:line style="position:absolute" from="10045,379" to="11342,379" stroked="true" strokeweight=".06pt" strokecolor="#000000"/>
            <v:line style="position:absolute" from="10045,399" to="11342,399" stroked="true" strokeweight=".06pt" strokecolor="#000000"/>
            <v:line style="position:absolute" from="10045,400" to="11342,400" stroked="true" strokeweight=".06pt" strokecolor="#000000"/>
            <v:line style="position:absolute" from="10045,401" to="11342,401" stroked="true" strokeweight=".06pt" strokecolor="#000000"/>
            <v:line style="position:absolute" from="10045,402" to="11342,402" stroked="true" strokeweight=".06pt" strokecolor="#000000"/>
            <v:line style="position:absolute" from="10045,403" to="11342,403" stroked="true" strokeweight=".06pt" strokecolor="#000000"/>
            <v:line style="position:absolute" from="10045,405" to="11342,405" stroked="true" strokeweight=".06pt" strokecolor="#000000"/>
            <v:line style="position:absolute" from="10045,406" to="11342,406" stroked="true" strokeweight=".06pt" strokecolor="#000000"/>
            <v:line style="position:absolute" from="10045,407" to="11342,407" stroked="true" strokeweight=".06pt" strokecolor="#000000"/>
            <v:line style="position:absolute" from="10045,408" to="11342,408" stroked="true" strokeweight=".06pt" strokecolor="#000000"/>
            <v:line style="position:absolute" from="10045,409" to="11342,409" stroked="true" strokeweight=".06pt" strokecolor="#000000"/>
            <v:line style="position:absolute" from="10045,411" to="11342,411" stroked="true" strokeweight=".06pt" strokecolor="#000000"/>
            <v:line style="position:absolute" from="10045,412" to="11342,412" stroked="true" strokeweight=".06pt" strokecolor="#000000"/>
            <v:line style="position:absolute" from="10045,413" to="11342,413" stroked="true" strokeweight=".06pt" strokecolor="#000000"/>
            <w10:wrap type="none"/>
          </v:group>
        </w:pict>
      </w:r>
      <w:r>
        <w:rPr/>
        <w:t>Total paid for audit</w:t>
      </w:r>
      <w:r>
        <w:rPr>
          <w:spacing w:val="-4"/>
        </w:rPr>
        <w:t> </w:t>
      </w:r>
      <w:r>
        <w:rPr/>
        <w:t>and</w:t>
      </w:r>
      <w:r>
        <w:rPr>
          <w:spacing w:val="-1"/>
        </w:rPr>
        <w:t> </w:t>
      </w:r>
      <w:r>
        <w:rPr/>
        <w:t>review</w:t>
        <w:tab/>
        <w:t>376</w:t>
        <w:tab/>
      </w:r>
      <w:r>
        <w:rPr>
          <w:b w:val="0"/>
        </w:rPr>
        <w:t>385</w:t>
        <w:tab/>
      </w:r>
      <w:r>
        <w:rPr/>
        <w:t>276</w:t>
      </w:r>
      <w:r>
        <w:rPr>
          <w:rFonts w:ascii="Times New Roman"/>
          <w:b w:val="0"/>
        </w:rPr>
        <w:tab/>
      </w:r>
      <w:r>
        <w:rPr>
          <w:b w:val="0"/>
        </w:rPr>
        <w:t>276</w:t>
      </w:r>
    </w:p>
    <w:p>
      <w:pPr>
        <w:pStyle w:val="BodyText"/>
        <w:spacing w:before="336"/>
        <w:ind w:left="1825"/>
      </w:pPr>
      <w:r>
        <w:rPr/>
        <w:t>Fees shown are exclusive of Goods and Services Tax.</w:t>
      </w:r>
    </w:p>
    <w:p>
      <w:pPr>
        <w:spacing w:after="0"/>
        <w:sectPr>
          <w:type w:val="continuous"/>
          <w:pgSz w:w="12750" w:h="17680"/>
          <w:pgMar w:top="1660" w:bottom="0" w:left="0" w:right="0"/>
        </w:sectPr>
      </w:pPr>
    </w:p>
    <w:p>
      <w:pPr>
        <w:pStyle w:val="BodyText"/>
      </w:pPr>
    </w:p>
    <w:p>
      <w:pPr>
        <w:pStyle w:val="BodyText"/>
      </w:pPr>
    </w:p>
    <w:p>
      <w:pPr>
        <w:pStyle w:val="BodyText"/>
        <w:spacing w:before="4"/>
        <w:rPr>
          <w:sz w:val="22"/>
        </w:rPr>
      </w:pPr>
    </w:p>
    <w:p>
      <w:pPr>
        <w:pStyle w:val="Heading8"/>
        <w:numPr>
          <w:ilvl w:val="0"/>
          <w:numId w:val="29"/>
        </w:numPr>
        <w:tabs>
          <w:tab w:pos="1826" w:val="left" w:leader="none"/>
        </w:tabs>
        <w:spacing w:line="240" w:lineRule="auto" w:before="0" w:after="0"/>
        <w:ind w:left="1825" w:right="0" w:hanging="396"/>
        <w:jc w:val="left"/>
      </w:pPr>
      <w:bookmarkStart w:name="32 Contingencies" w:id="119"/>
      <w:bookmarkEnd w:id="119"/>
      <w:r>
        <w:rPr>
          <w:b w:val="0"/>
        </w:rPr>
      </w:r>
      <w:bookmarkStart w:name="(a) Contingent liabilities" w:id="120"/>
      <w:bookmarkEnd w:id="120"/>
      <w:r>
        <w:rPr>
          <w:b w:val="0"/>
        </w:rPr>
      </w:r>
      <w:bookmarkStart w:name="(a) Contingent liabilities" w:id="121"/>
      <w:bookmarkEnd w:id="121"/>
      <w:r>
        <w:rPr/>
        <w:t>Contingencies</w:t>
      </w:r>
    </w:p>
    <w:p>
      <w:pPr>
        <w:pStyle w:val="BodyText"/>
        <w:spacing w:before="7"/>
        <w:rPr>
          <w:b/>
          <w:sz w:val="26"/>
        </w:rPr>
      </w:pPr>
    </w:p>
    <w:p>
      <w:pPr>
        <w:pStyle w:val="ListParagraph"/>
        <w:numPr>
          <w:ilvl w:val="1"/>
          <w:numId w:val="29"/>
        </w:numPr>
        <w:tabs>
          <w:tab w:pos="2392" w:val="left" w:leader="none"/>
        </w:tabs>
        <w:spacing w:line="240" w:lineRule="auto" w:before="0" w:after="0"/>
        <w:ind w:left="2391" w:right="0" w:hanging="566"/>
        <w:jc w:val="left"/>
        <w:rPr>
          <w:sz w:val="18"/>
        </w:rPr>
      </w:pPr>
      <w:r>
        <w:rPr>
          <w:sz w:val="18"/>
        </w:rPr>
        <w:t>Contingent</w:t>
      </w:r>
      <w:r>
        <w:rPr>
          <w:spacing w:val="-22"/>
          <w:sz w:val="18"/>
        </w:rPr>
        <w:t> </w:t>
      </w:r>
      <w:r>
        <w:rPr>
          <w:sz w:val="18"/>
        </w:rPr>
        <w:t>liabilities</w:t>
      </w:r>
    </w:p>
    <w:p>
      <w:pPr>
        <w:pStyle w:val="BodyText"/>
        <w:spacing w:before="4"/>
        <w:rPr>
          <w:sz w:val="25"/>
        </w:rPr>
      </w:pPr>
    </w:p>
    <w:p>
      <w:pPr>
        <w:pStyle w:val="BodyText"/>
        <w:ind w:left="2390" w:right="1375"/>
      </w:pPr>
      <w:r>
        <w:rPr/>
        <w:t>The University currently has a jointly controlled operation with Urban Growth at the Campbelltown campus which may result in potential costs to the University from the removal of telecommunication equipment if the lease is terminated with the telecommunication company (costs associated with alternative site).</w:t>
      </w:r>
    </w:p>
    <w:p>
      <w:pPr>
        <w:pStyle w:val="BodyText"/>
        <w:spacing w:before="11"/>
        <w:rPr>
          <w:sz w:val="24"/>
        </w:rPr>
      </w:pPr>
    </w:p>
    <w:p>
      <w:pPr>
        <w:pStyle w:val="BodyText"/>
        <w:ind w:left="2390" w:right="1375"/>
      </w:pPr>
      <w:r>
        <w:rPr/>
        <w:t>The University has entered into an Agreement for Lease for 169 Macquarie Street Parramatta with Leighton Properties Pty Limited as the developer.</w:t>
      </w:r>
    </w:p>
    <w:p>
      <w:pPr>
        <w:pStyle w:val="BodyText"/>
        <w:spacing w:before="11"/>
        <w:rPr>
          <w:sz w:val="24"/>
        </w:rPr>
      </w:pPr>
    </w:p>
    <w:p>
      <w:pPr>
        <w:pStyle w:val="BodyText"/>
        <w:ind w:left="2390" w:right="1375"/>
      </w:pPr>
      <w:r>
        <w:rPr/>
        <w:t>The University has executed a Commercial Lease for an initial term of 15 years which is not immediately binding and is held in escrow pending practical completion under the Agreement for Lease as at 31 December 2016.</w:t>
      </w:r>
    </w:p>
    <w:p>
      <w:pPr>
        <w:pStyle w:val="BodyText"/>
        <w:ind w:left="2390" w:right="1375"/>
      </w:pPr>
      <w:r>
        <w:rPr/>
        <w:t>Subject to practical completion under the terms of the Agreement for Lease the Commercial Lease will then become binding on the later of the date of Practical Completion and 1 February 2017. Practical completion occured on 1 December 2016, and commencement of the Commercial Lease began on 1 February 2017 in line with the terms of the Agreement for Lease. No financial impact has occurred or is recorded in the University's Financial Statements relating to the Agreement for Lease or Commercial Lease for the 2016 period.</w:t>
      </w:r>
    </w:p>
    <w:p>
      <w:pPr>
        <w:pStyle w:val="BodyText"/>
        <w:spacing w:before="11"/>
        <w:rPr>
          <w:sz w:val="24"/>
        </w:rPr>
      </w:pPr>
    </w:p>
    <w:p>
      <w:pPr>
        <w:pStyle w:val="BodyText"/>
        <w:ind w:left="2390" w:right="1375"/>
      </w:pPr>
      <w:r>
        <w:rPr/>
        <w:drawing>
          <wp:anchor distT="0" distB="0" distL="0" distR="0" allowOverlap="1" layoutInCell="1" locked="0" behindDoc="0" simplePos="0" relativeHeight="4696">
            <wp:simplePos x="0" y="0"/>
            <wp:positionH relativeFrom="page">
              <wp:posOffset>-1587</wp:posOffset>
            </wp:positionH>
            <wp:positionV relativeFrom="paragraph">
              <wp:posOffset>662100</wp:posOffset>
            </wp:positionV>
            <wp:extent cx="135159" cy="154019"/>
            <wp:effectExtent l="0" t="0" r="0" b="0"/>
            <wp:wrapNone/>
            <wp:docPr id="297" name="image13.png" descr=""/>
            <wp:cNvGraphicFramePr>
              <a:graphicFrameLocks noChangeAspect="1"/>
            </wp:cNvGraphicFramePr>
            <a:graphic>
              <a:graphicData uri="http://schemas.openxmlformats.org/drawingml/2006/picture">
                <pic:pic>
                  <pic:nvPicPr>
                    <pic:cNvPr id="298" name="image13.png"/>
                    <pic:cNvPicPr/>
                  </pic:nvPicPr>
                  <pic:blipFill>
                    <a:blip r:embed="rId18" cstate="print"/>
                    <a:stretch>
                      <a:fillRect/>
                    </a:stretch>
                  </pic:blipFill>
                  <pic:spPr>
                    <a:xfrm>
                      <a:off x="0" y="0"/>
                      <a:ext cx="135159" cy="154019"/>
                    </a:xfrm>
                    <a:prstGeom prst="rect">
                      <a:avLst/>
                    </a:prstGeom>
                  </pic:spPr>
                </pic:pic>
              </a:graphicData>
            </a:graphic>
          </wp:anchor>
        </w:drawing>
      </w:r>
      <w:r>
        <w:rPr/>
        <w:drawing>
          <wp:anchor distT="0" distB="0" distL="0" distR="0" allowOverlap="1" layoutInCell="1" locked="0" behindDoc="0" simplePos="0" relativeHeight="4720">
            <wp:simplePos x="0" y="0"/>
            <wp:positionH relativeFrom="page">
              <wp:posOffset>7958429</wp:posOffset>
            </wp:positionH>
            <wp:positionV relativeFrom="paragraph">
              <wp:posOffset>662100</wp:posOffset>
            </wp:positionV>
            <wp:extent cx="135953" cy="155575"/>
            <wp:effectExtent l="0" t="0" r="0" b="0"/>
            <wp:wrapNone/>
            <wp:docPr id="299" name="image15.png" descr=""/>
            <wp:cNvGraphicFramePr>
              <a:graphicFrameLocks noChangeAspect="1"/>
            </wp:cNvGraphicFramePr>
            <a:graphic>
              <a:graphicData uri="http://schemas.openxmlformats.org/drawingml/2006/picture">
                <pic:pic>
                  <pic:nvPicPr>
                    <pic:cNvPr id="300" name="image15.png"/>
                    <pic:cNvPicPr/>
                  </pic:nvPicPr>
                  <pic:blipFill>
                    <a:blip r:embed="rId20" cstate="print"/>
                    <a:stretch>
                      <a:fillRect/>
                    </a:stretch>
                  </pic:blipFill>
                  <pic:spPr>
                    <a:xfrm>
                      <a:off x="0" y="0"/>
                      <a:ext cx="135953" cy="155575"/>
                    </a:xfrm>
                    <a:prstGeom prst="rect">
                      <a:avLst/>
                    </a:prstGeom>
                  </pic:spPr>
                </pic:pic>
              </a:graphicData>
            </a:graphic>
          </wp:anchor>
        </w:drawing>
      </w:r>
      <w:r>
        <w:rPr/>
        <w:t>It is the University's current policy to provide uwsconnect Limited with such support and assistance as may be required to allow them to meet their financial obligations in conformity with generally accepted standards of </w:t>
      </w:r>
      <w:bookmarkStart w:name="33 Commitments" w:id="122"/>
      <w:bookmarkEnd w:id="122"/>
      <w:r>
        <w:rPr/>
      </w:r>
      <w:r>
        <w:rPr/>
        <w:t>commercial and financial prudence for the period 1 January 2017 up until approximately twelve months from the date of the signed financial statements to the expected date of the auditor's report for the next annual reporting </w:t>
      </w:r>
      <w:bookmarkStart w:name="(a) Capital commitments" w:id="123"/>
      <w:bookmarkEnd w:id="123"/>
      <w:r>
        <w:rPr/>
      </w:r>
      <w:r>
        <w:rPr/>
        <w:t>period.</w:t>
      </w:r>
    </w:p>
    <w:p>
      <w:pPr>
        <w:pStyle w:val="BodyText"/>
        <w:spacing w:before="11"/>
        <w:rPr>
          <w:sz w:val="24"/>
        </w:rPr>
      </w:pPr>
    </w:p>
    <w:p>
      <w:pPr>
        <w:pStyle w:val="Heading8"/>
        <w:numPr>
          <w:ilvl w:val="0"/>
          <w:numId w:val="29"/>
        </w:numPr>
        <w:tabs>
          <w:tab w:pos="1826" w:val="left" w:leader="none"/>
        </w:tabs>
        <w:spacing w:line="240" w:lineRule="auto" w:before="0" w:after="0"/>
        <w:ind w:left="1825" w:right="0" w:hanging="396"/>
        <w:jc w:val="left"/>
      </w:pPr>
      <w:r>
        <w:rPr/>
        <w:t>Commitments</w:t>
      </w:r>
    </w:p>
    <w:p>
      <w:pPr>
        <w:pStyle w:val="BodyText"/>
        <w:spacing w:before="11"/>
        <w:rPr>
          <w:b/>
          <w:sz w:val="19"/>
        </w:rPr>
      </w:pPr>
    </w:p>
    <w:tbl>
      <w:tblPr>
        <w:tblW w:w="0" w:type="auto"/>
        <w:jc w:val="left"/>
        <w:tblInd w:w="179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27"/>
        <w:gridCol w:w="8246"/>
        <w:gridCol w:w="978"/>
      </w:tblGrid>
      <w:tr>
        <w:trPr>
          <w:trHeight w:val="809" w:hRule="exact"/>
        </w:trPr>
        <w:tc>
          <w:tcPr>
            <w:tcW w:w="427" w:type="dxa"/>
          </w:tcPr>
          <w:p>
            <w:pPr>
              <w:pStyle w:val="TableParagraph"/>
              <w:spacing w:before="77"/>
              <w:ind w:left="35"/>
              <w:jc w:val="left"/>
              <w:rPr>
                <w:sz w:val="18"/>
              </w:rPr>
            </w:pPr>
            <w:r>
              <w:rPr>
                <w:sz w:val="18"/>
              </w:rPr>
              <w:t>(a)</w:t>
            </w:r>
          </w:p>
        </w:tc>
        <w:tc>
          <w:tcPr>
            <w:tcW w:w="8246" w:type="dxa"/>
          </w:tcPr>
          <w:p>
            <w:pPr>
              <w:pStyle w:val="TableParagraph"/>
              <w:spacing w:before="77"/>
              <w:ind w:left="174"/>
              <w:jc w:val="left"/>
              <w:rPr>
                <w:sz w:val="18"/>
              </w:rPr>
            </w:pPr>
            <w:r>
              <w:rPr>
                <w:sz w:val="18"/>
              </w:rPr>
              <w:t>Capital commitments</w:t>
            </w:r>
          </w:p>
          <w:p>
            <w:pPr>
              <w:pStyle w:val="TableParagraph"/>
              <w:spacing w:before="4"/>
              <w:jc w:val="left"/>
              <w:rPr>
                <w:b/>
                <w:sz w:val="25"/>
              </w:rPr>
            </w:pPr>
          </w:p>
          <w:p>
            <w:pPr>
              <w:pStyle w:val="TableParagraph"/>
              <w:ind w:left="172"/>
              <w:jc w:val="left"/>
              <w:rPr>
                <w:sz w:val="18"/>
              </w:rPr>
            </w:pPr>
            <w:r>
              <w:rPr>
                <w:sz w:val="18"/>
              </w:rPr>
              <w:t>Capital expenditure contracted for at the reporting date but not recognised as liabilities are:</w:t>
            </w:r>
          </w:p>
        </w:tc>
        <w:tc>
          <w:tcPr>
            <w:tcW w:w="978" w:type="dxa"/>
            <w:vMerge w:val="restart"/>
          </w:tcPr>
          <w:p>
            <w:pPr/>
          </w:p>
        </w:tc>
      </w:tr>
      <w:tr>
        <w:trPr>
          <w:trHeight w:val="257" w:hRule="exact"/>
        </w:trPr>
        <w:tc>
          <w:tcPr>
            <w:tcW w:w="427" w:type="dxa"/>
          </w:tcPr>
          <w:p>
            <w:pPr/>
          </w:p>
        </w:tc>
        <w:tc>
          <w:tcPr>
            <w:tcW w:w="8246" w:type="dxa"/>
          </w:tcPr>
          <w:p>
            <w:pPr>
              <w:pStyle w:val="TableParagraph"/>
              <w:tabs>
                <w:tab w:pos="7572" w:val="left" w:leader="none"/>
              </w:tabs>
              <w:spacing w:before="7"/>
              <w:ind w:left="4515"/>
              <w:jc w:val="left"/>
              <w:rPr>
                <w:b/>
                <w:sz w:val="18"/>
              </w:rPr>
            </w:pPr>
            <w:r>
              <w:rPr>
                <w:b/>
                <w:sz w:val="18"/>
              </w:rPr>
              <w:t>Consolidated</w:t>
              <w:tab/>
              <w:t>Parent</w:t>
            </w:r>
          </w:p>
        </w:tc>
        <w:tc>
          <w:tcPr>
            <w:tcW w:w="978" w:type="dxa"/>
            <w:vMerge/>
          </w:tcPr>
          <w:p>
            <w:pPr/>
          </w:p>
        </w:tc>
      </w:tr>
      <w:tr>
        <w:trPr>
          <w:trHeight w:val="274" w:hRule="exact"/>
        </w:trPr>
        <w:tc>
          <w:tcPr>
            <w:tcW w:w="427" w:type="dxa"/>
          </w:tcPr>
          <w:p>
            <w:pPr/>
          </w:p>
        </w:tc>
        <w:tc>
          <w:tcPr>
            <w:tcW w:w="8246" w:type="dxa"/>
          </w:tcPr>
          <w:p>
            <w:pPr>
              <w:pStyle w:val="TableParagraph"/>
              <w:tabs>
                <w:tab w:pos="5614" w:val="left" w:leader="none"/>
                <w:tab w:pos="7098" w:val="left" w:leader="none"/>
              </w:tabs>
              <w:spacing w:before="24"/>
              <w:ind w:left="4330"/>
              <w:jc w:val="left"/>
              <w:rPr>
                <w:b/>
                <w:sz w:val="18"/>
              </w:rPr>
            </w:pPr>
            <w:r>
              <w:rPr>
                <w:b/>
                <w:sz w:val="18"/>
              </w:rPr>
              <w:t>2016</w:t>
              <w:tab/>
              <w:t>2015</w:t>
              <w:tab/>
              <w:t>2016</w:t>
            </w:r>
          </w:p>
        </w:tc>
        <w:tc>
          <w:tcPr>
            <w:tcW w:w="978" w:type="dxa"/>
          </w:tcPr>
          <w:p>
            <w:pPr>
              <w:pStyle w:val="TableParagraph"/>
              <w:spacing w:before="24"/>
              <w:ind w:left="136"/>
              <w:jc w:val="left"/>
              <w:rPr>
                <w:b/>
                <w:sz w:val="18"/>
              </w:rPr>
            </w:pPr>
            <w:r>
              <w:rPr>
                <w:b/>
                <w:sz w:val="18"/>
              </w:rPr>
              <w:t>2015</w:t>
            </w:r>
          </w:p>
        </w:tc>
      </w:tr>
      <w:tr>
        <w:trPr>
          <w:trHeight w:val="271" w:hRule="exact"/>
        </w:trPr>
        <w:tc>
          <w:tcPr>
            <w:tcW w:w="427" w:type="dxa"/>
          </w:tcPr>
          <w:p>
            <w:pPr/>
          </w:p>
        </w:tc>
        <w:tc>
          <w:tcPr>
            <w:tcW w:w="8246" w:type="dxa"/>
          </w:tcPr>
          <w:p>
            <w:pPr>
              <w:pStyle w:val="TableParagraph"/>
              <w:tabs>
                <w:tab w:pos="5593" w:val="left" w:leader="none"/>
                <w:tab w:pos="7076" w:val="left" w:leader="none"/>
              </w:tabs>
              <w:spacing w:before="24"/>
              <w:ind w:left="4309"/>
              <w:jc w:val="left"/>
              <w:rPr>
                <w:b/>
                <w:sz w:val="18"/>
              </w:rPr>
            </w:pPr>
            <w:r>
              <w:rPr>
                <w:b/>
                <w:sz w:val="18"/>
              </w:rPr>
              <w:t>$'000</w:t>
              <w:tab/>
              <w:t>$'000</w:t>
              <w:tab/>
              <w:t>$'000</w:t>
            </w:r>
          </w:p>
        </w:tc>
        <w:tc>
          <w:tcPr>
            <w:tcW w:w="978" w:type="dxa"/>
          </w:tcPr>
          <w:p>
            <w:pPr>
              <w:pStyle w:val="TableParagraph"/>
              <w:spacing w:before="24"/>
              <w:ind w:left="114"/>
              <w:jc w:val="left"/>
              <w:rPr>
                <w:b/>
                <w:sz w:val="18"/>
              </w:rPr>
            </w:pPr>
            <w:r>
              <w:rPr>
                <w:b/>
                <w:sz w:val="18"/>
              </w:rPr>
              <w:t>$'000</w:t>
            </w:r>
          </w:p>
        </w:tc>
      </w:tr>
      <w:tr>
        <w:trPr>
          <w:trHeight w:val="265" w:hRule="exact"/>
        </w:trPr>
        <w:tc>
          <w:tcPr>
            <w:tcW w:w="427" w:type="dxa"/>
          </w:tcPr>
          <w:p>
            <w:pPr/>
          </w:p>
        </w:tc>
        <w:tc>
          <w:tcPr>
            <w:tcW w:w="8246" w:type="dxa"/>
          </w:tcPr>
          <w:p>
            <w:pPr>
              <w:pStyle w:val="TableParagraph"/>
              <w:spacing w:before="21"/>
              <w:ind w:left="219"/>
              <w:jc w:val="left"/>
              <w:rPr>
                <w:sz w:val="18"/>
              </w:rPr>
            </w:pPr>
            <w:r>
              <w:rPr>
                <w:sz w:val="18"/>
              </w:rPr>
              <w:t>Property, plant and equipment</w:t>
            </w:r>
          </w:p>
        </w:tc>
        <w:tc>
          <w:tcPr>
            <w:tcW w:w="978" w:type="dxa"/>
          </w:tcPr>
          <w:p>
            <w:pPr/>
          </w:p>
        </w:tc>
      </w:tr>
      <w:tr>
        <w:trPr>
          <w:trHeight w:val="262" w:hRule="exact"/>
        </w:trPr>
        <w:tc>
          <w:tcPr>
            <w:tcW w:w="427" w:type="dxa"/>
          </w:tcPr>
          <w:p>
            <w:pPr/>
          </w:p>
        </w:tc>
        <w:tc>
          <w:tcPr>
            <w:tcW w:w="8246" w:type="dxa"/>
            <w:tcBorders>
              <w:bottom w:val="single" w:sz="0" w:space="0" w:color="000000"/>
            </w:tcBorders>
          </w:tcPr>
          <w:p>
            <w:pPr>
              <w:pStyle w:val="TableParagraph"/>
              <w:tabs>
                <w:tab w:pos="4520" w:val="left" w:leader="none"/>
                <w:tab w:pos="5817" w:val="left" w:leader="none"/>
                <w:tab w:pos="7287" w:val="left" w:leader="none"/>
              </w:tabs>
              <w:spacing w:before="19"/>
              <w:ind w:left="219"/>
              <w:jc w:val="left"/>
              <w:rPr>
                <w:b/>
                <w:sz w:val="18"/>
              </w:rPr>
            </w:pPr>
            <w:r>
              <w:rPr>
                <w:sz w:val="18"/>
              </w:rPr>
              <w:t>Within</w:t>
            </w:r>
            <w:r>
              <w:rPr>
                <w:spacing w:val="-4"/>
                <w:sz w:val="18"/>
              </w:rPr>
              <w:t> </w:t>
            </w:r>
            <w:r>
              <w:rPr>
                <w:sz w:val="18"/>
              </w:rPr>
              <w:t>one</w:t>
            </w:r>
            <w:r>
              <w:rPr>
                <w:spacing w:val="-4"/>
                <w:sz w:val="18"/>
              </w:rPr>
              <w:t> </w:t>
            </w:r>
            <w:r>
              <w:rPr>
                <w:sz w:val="18"/>
              </w:rPr>
              <w:t>year</w:t>
              <w:tab/>
            </w:r>
            <w:r>
              <w:rPr>
                <w:b/>
                <w:sz w:val="18"/>
              </w:rPr>
              <w:t>49,528</w:t>
              <w:tab/>
            </w:r>
            <w:r>
              <w:rPr>
                <w:sz w:val="18"/>
              </w:rPr>
              <w:t>73,476</w:t>
              <w:tab/>
            </w:r>
            <w:r>
              <w:rPr>
                <w:b/>
                <w:sz w:val="18"/>
              </w:rPr>
              <w:t>49,061</w:t>
            </w:r>
          </w:p>
        </w:tc>
        <w:tc>
          <w:tcPr>
            <w:tcW w:w="978" w:type="dxa"/>
            <w:tcBorders>
              <w:bottom w:val="single" w:sz="0" w:space="0" w:color="000000"/>
            </w:tcBorders>
          </w:tcPr>
          <w:p>
            <w:pPr>
              <w:pStyle w:val="TableParagraph"/>
              <w:spacing w:before="18"/>
              <w:ind w:right="87"/>
              <w:rPr>
                <w:sz w:val="18"/>
              </w:rPr>
            </w:pPr>
            <w:r>
              <w:rPr>
                <w:w w:val="95"/>
                <w:sz w:val="18"/>
              </w:rPr>
              <w:t>73,184</w:t>
            </w:r>
          </w:p>
        </w:tc>
      </w:tr>
      <w:tr>
        <w:trPr>
          <w:trHeight w:val="353" w:hRule="exact"/>
        </w:trPr>
        <w:tc>
          <w:tcPr>
            <w:tcW w:w="427" w:type="dxa"/>
          </w:tcPr>
          <w:p>
            <w:pPr/>
          </w:p>
        </w:tc>
        <w:tc>
          <w:tcPr>
            <w:tcW w:w="8246" w:type="dxa"/>
            <w:tcBorders>
              <w:top w:val="single" w:sz="0" w:space="0" w:color="000000"/>
              <w:bottom w:val="single" w:sz="0" w:space="0" w:color="000000"/>
            </w:tcBorders>
          </w:tcPr>
          <w:p>
            <w:pPr>
              <w:pStyle w:val="TableParagraph"/>
              <w:tabs>
                <w:tab w:pos="4520" w:val="left" w:leader="none"/>
                <w:tab w:pos="5817" w:val="left" w:leader="none"/>
                <w:tab w:pos="7287" w:val="left" w:leader="none"/>
              </w:tabs>
              <w:spacing w:before="92"/>
              <w:ind w:left="219"/>
              <w:jc w:val="left"/>
              <w:rPr>
                <w:b/>
                <w:sz w:val="18"/>
              </w:rPr>
            </w:pPr>
            <w:r>
              <w:rPr>
                <w:position w:val="3"/>
                <w:sz w:val="18"/>
              </w:rPr>
              <w:t>Total</w:t>
              <w:tab/>
            </w:r>
            <w:r>
              <w:rPr>
                <w:b/>
                <w:sz w:val="18"/>
              </w:rPr>
              <w:t>49,528</w:t>
              <w:tab/>
            </w:r>
            <w:r>
              <w:rPr>
                <w:sz w:val="18"/>
              </w:rPr>
              <w:t>73,476</w:t>
              <w:tab/>
            </w:r>
            <w:r>
              <w:rPr>
                <w:b/>
                <w:sz w:val="18"/>
              </w:rPr>
              <w:t>49,061</w:t>
            </w:r>
          </w:p>
        </w:tc>
        <w:tc>
          <w:tcPr>
            <w:tcW w:w="978" w:type="dxa"/>
            <w:tcBorders>
              <w:top w:val="single" w:sz="0" w:space="0" w:color="000000"/>
              <w:bottom w:val="single" w:sz="0" w:space="0" w:color="000000"/>
            </w:tcBorders>
          </w:tcPr>
          <w:p>
            <w:pPr>
              <w:pStyle w:val="TableParagraph"/>
              <w:spacing w:before="122"/>
              <w:ind w:right="87"/>
              <w:rPr>
                <w:sz w:val="18"/>
              </w:rPr>
            </w:pPr>
            <w:r>
              <w:rPr>
                <w:w w:val="95"/>
                <w:sz w:val="18"/>
              </w:rPr>
              <w:t>73,184</w:t>
            </w:r>
          </w:p>
        </w:tc>
      </w:tr>
    </w:tbl>
    <w:p>
      <w:pPr>
        <w:pStyle w:val="BodyText"/>
        <w:spacing w:before="6"/>
        <w:rPr>
          <w:b/>
          <w:sz w:val="20"/>
        </w:rPr>
      </w:pPr>
    </w:p>
    <w:p>
      <w:pPr>
        <w:pStyle w:val="BodyText"/>
        <w:spacing w:before="77"/>
        <w:ind w:left="2390" w:right="1375"/>
      </w:pPr>
      <w:r>
        <w:rPr/>
        <w:t>The above amounts included commitments for capital expenditure on joint operations of $11.8M payable within one year.</w:t>
      </w:r>
    </w:p>
    <w:p>
      <w:pPr>
        <w:spacing w:after="0"/>
        <w:sectPr>
          <w:pgSz w:w="12750" w:h="17680"/>
          <w:pgMar w:header="0" w:footer="907" w:top="2640" w:bottom="1120" w:left="0" w:right="0"/>
        </w:sectPr>
      </w:pPr>
    </w:p>
    <w:p>
      <w:pPr>
        <w:pStyle w:val="BodyText"/>
        <w:rPr>
          <w:sz w:val="20"/>
        </w:rPr>
      </w:pPr>
    </w:p>
    <w:p>
      <w:pPr>
        <w:pStyle w:val="BodyText"/>
        <w:rPr>
          <w:sz w:val="20"/>
        </w:rPr>
      </w:pPr>
    </w:p>
    <w:p>
      <w:pPr>
        <w:pStyle w:val="BodyText"/>
        <w:spacing w:before="8"/>
        <w:rPr>
          <w:sz w:val="11"/>
        </w:rPr>
      </w:pPr>
    </w:p>
    <w:tbl>
      <w:tblPr>
        <w:tblW w:w="0" w:type="auto"/>
        <w:jc w:val="left"/>
        <w:tblInd w:w="178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28"/>
        <w:gridCol w:w="8694"/>
        <w:gridCol w:w="988"/>
      </w:tblGrid>
      <w:tr>
        <w:trPr>
          <w:trHeight w:val="953" w:hRule="exact"/>
        </w:trPr>
        <w:tc>
          <w:tcPr>
            <w:tcW w:w="428" w:type="dxa"/>
          </w:tcPr>
          <w:p>
            <w:pPr>
              <w:pStyle w:val="TableParagraph"/>
              <w:spacing w:before="77"/>
              <w:ind w:left="35"/>
              <w:jc w:val="left"/>
              <w:rPr>
                <w:b/>
                <w:sz w:val="18"/>
              </w:rPr>
            </w:pPr>
            <w:bookmarkStart w:name="(b) Lease commitments" w:id="124"/>
            <w:bookmarkEnd w:id="124"/>
            <w:r>
              <w:rPr/>
            </w:r>
            <w:r>
              <w:rPr>
                <w:b/>
                <w:sz w:val="18"/>
              </w:rPr>
              <w:t>33</w:t>
            </w:r>
          </w:p>
          <w:p>
            <w:pPr>
              <w:pStyle w:val="TableParagraph"/>
              <w:spacing w:before="7"/>
              <w:jc w:val="left"/>
              <w:rPr>
                <w:sz w:val="26"/>
              </w:rPr>
            </w:pPr>
          </w:p>
          <w:p>
            <w:pPr>
              <w:pStyle w:val="TableParagraph"/>
              <w:ind w:left="36"/>
              <w:jc w:val="left"/>
              <w:rPr>
                <w:sz w:val="18"/>
              </w:rPr>
            </w:pPr>
            <w:r>
              <w:rPr>
                <w:sz w:val="18"/>
              </w:rPr>
              <w:t>(b)</w:t>
            </w:r>
          </w:p>
        </w:tc>
        <w:tc>
          <w:tcPr>
            <w:tcW w:w="8694" w:type="dxa"/>
          </w:tcPr>
          <w:p>
            <w:pPr>
              <w:pStyle w:val="TableParagraph"/>
              <w:spacing w:before="77"/>
              <w:ind w:left="174"/>
              <w:jc w:val="left"/>
              <w:rPr>
                <w:b/>
                <w:sz w:val="18"/>
              </w:rPr>
            </w:pPr>
            <w:r>
              <w:rPr>
                <w:b/>
                <w:sz w:val="18"/>
              </w:rPr>
              <w:t>Commitments (continued)</w:t>
            </w:r>
          </w:p>
          <w:p>
            <w:pPr>
              <w:pStyle w:val="TableParagraph"/>
              <w:spacing w:before="7"/>
              <w:jc w:val="left"/>
              <w:rPr>
                <w:sz w:val="26"/>
              </w:rPr>
            </w:pPr>
          </w:p>
          <w:p>
            <w:pPr>
              <w:pStyle w:val="TableParagraph"/>
              <w:ind w:left="174"/>
              <w:jc w:val="left"/>
              <w:rPr>
                <w:sz w:val="18"/>
              </w:rPr>
            </w:pPr>
            <w:r>
              <w:rPr>
                <w:sz w:val="18"/>
              </w:rPr>
              <w:t>Lease commitments</w:t>
            </w:r>
          </w:p>
        </w:tc>
        <w:tc>
          <w:tcPr>
            <w:tcW w:w="988" w:type="dxa"/>
            <w:vMerge w:val="restart"/>
          </w:tcPr>
          <w:p>
            <w:pPr/>
          </w:p>
        </w:tc>
      </w:tr>
      <w:tr>
        <w:trPr>
          <w:trHeight w:val="497" w:hRule="exact"/>
        </w:trPr>
        <w:tc>
          <w:tcPr>
            <w:tcW w:w="428" w:type="dxa"/>
          </w:tcPr>
          <w:p>
            <w:pPr/>
          </w:p>
        </w:tc>
        <w:tc>
          <w:tcPr>
            <w:tcW w:w="8694" w:type="dxa"/>
          </w:tcPr>
          <w:p>
            <w:pPr>
              <w:pStyle w:val="TableParagraph"/>
              <w:spacing w:before="136"/>
              <w:ind w:left="172"/>
              <w:jc w:val="left"/>
              <w:rPr>
                <w:b/>
                <w:sz w:val="18"/>
              </w:rPr>
            </w:pPr>
            <w:r>
              <w:rPr>
                <w:b/>
                <w:sz w:val="18"/>
              </w:rPr>
              <w:t>(i) Operating Leases</w:t>
            </w:r>
          </w:p>
        </w:tc>
        <w:tc>
          <w:tcPr>
            <w:tcW w:w="988" w:type="dxa"/>
            <w:vMerge/>
          </w:tcPr>
          <w:p>
            <w:pPr/>
          </w:p>
        </w:tc>
      </w:tr>
      <w:tr>
        <w:trPr>
          <w:trHeight w:val="701" w:hRule="exact"/>
        </w:trPr>
        <w:tc>
          <w:tcPr>
            <w:tcW w:w="428" w:type="dxa"/>
          </w:tcPr>
          <w:p>
            <w:pPr/>
          </w:p>
        </w:tc>
        <w:tc>
          <w:tcPr>
            <w:tcW w:w="8694" w:type="dxa"/>
          </w:tcPr>
          <w:p>
            <w:pPr>
              <w:pStyle w:val="TableParagraph"/>
              <w:spacing w:before="134"/>
              <w:ind w:left="172"/>
              <w:jc w:val="left"/>
              <w:rPr>
                <w:sz w:val="18"/>
              </w:rPr>
            </w:pPr>
            <w:r>
              <w:rPr>
                <w:sz w:val="18"/>
              </w:rPr>
              <w:t>The University leases computing equipment, printing equipment and building office space under operating leases.</w:t>
            </w:r>
          </w:p>
        </w:tc>
        <w:tc>
          <w:tcPr>
            <w:tcW w:w="988" w:type="dxa"/>
            <w:vMerge/>
          </w:tcPr>
          <w:p>
            <w:pPr/>
          </w:p>
        </w:tc>
      </w:tr>
      <w:tr>
        <w:trPr>
          <w:trHeight w:val="574" w:hRule="exact"/>
        </w:trPr>
        <w:tc>
          <w:tcPr>
            <w:tcW w:w="428" w:type="dxa"/>
          </w:tcPr>
          <w:p>
            <w:pPr/>
          </w:p>
        </w:tc>
        <w:tc>
          <w:tcPr>
            <w:tcW w:w="8694" w:type="dxa"/>
          </w:tcPr>
          <w:p>
            <w:pPr>
              <w:pStyle w:val="TableParagraph"/>
              <w:spacing w:before="134"/>
              <w:ind w:left="172"/>
              <w:jc w:val="left"/>
              <w:rPr>
                <w:sz w:val="18"/>
              </w:rPr>
            </w:pPr>
            <w:r>
              <w:rPr>
                <w:sz w:val="18"/>
              </w:rPr>
              <w:t>Commitments for minimum lease payments in relation to non-cancellable operating leases are payable as follows:</w:t>
            </w:r>
          </w:p>
        </w:tc>
        <w:tc>
          <w:tcPr>
            <w:tcW w:w="988" w:type="dxa"/>
            <w:vMerge/>
          </w:tcPr>
          <w:p>
            <w:pPr/>
          </w:p>
        </w:tc>
      </w:tr>
      <w:tr>
        <w:trPr>
          <w:trHeight w:val="257" w:hRule="exact"/>
        </w:trPr>
        <w:tc>
          <w:tcPr>
            <w:tcW w:w="428" w:type="dxa"/>
          </w:tcPr>
          <w:p>
            <w:pPr/>
          </w:p>
        </w:tc>
        <w:tc>
          <w:tcPr>
            <w:tcW w:w="8694" w:type="dxa"/>
          </w:tcPr>
          <w:p>
            <w:pPr>
              <w:pStyle w:val="TableParagraph"/>
              <w:tabs>
                <w:tab w:pos="8031" w:val="left" w:leader="none"/>
              </w:tabs>
              <w:spacing w:before="7"/>
              <w:ind w:left="4975"/>
              <w:jc w:val="left"/>
              <w:rPr>
                <w:b/>
                <w:sz w:val="18"/>
              </w:rPr>
            </w:pPr>
            <w:r>
              <w:rPr>
                <w:b/>
                <w:sz w:val="18"/>
              </w:rPr>
              <w:t>Consolidated</w:t>
              <w:tab/>
              <w:t>Parent</w:t>
            </w:r>
          </w:p>
        </w:tc>
        <w:tc>
          <w:tcPr>
            <w:tcW w:w="988" w:type="dxa"/>
            <w:vMerge/>
          </w:tcPr>
          <w:p>
            <w:pPr/>
          </w:p>
        </w:tc>
      </w:tr>
      <w:tr>
        <w:trPr>
          <w:trHeight w:val="274" w:hRule="exact"/>
        </w:trPr>
        <w:tc>
          <w:tcPr>
            <w:tcW w:w="428" w:type="dxa"/>
          </w:tcPr>
          <w:p>
            <w:pPr/>
          </w:p>
        </w:tc>
        <w:tc>
          <w:tcPr>
            <w:tcW w:w="8694" w:type="dxa"/>
          </w:tcPr>
          <w:p>
            <w:pPr>
              <w:pStyle w:val="TableParagraph"/>
              <w:tabs>
                <w:tab w:pos="6052" w:val="left" w:leader="none"/>
                <w:tab w:pos="7536" w:val="left" w:leader="none"/>
              </w:tabs>
              <w:spacing w:before="24"/>
              <w:ind w:left="4768"/>
              <w:jc w:val="left"/>
              <w:rPr>
                <w:b/>
                <w:sz w:val="18"/>
              </w:rPr>
            </w:pPr>
            <w:r>
              <w:rPr>
                <w:b/>
                <w:sz w:val="18"/>
              </w:rPr>
              <w:t>2016</w:t>
              <w:tab/>
              <w:t>2015</w:t>
              <w:tab/>
              <w:t>2016</w:t>
            </w:r>
          </w:p>
        </w:tc>
        <w:tc>
          <w:tcPr>
            <w:tcW w:w="988" w:type="dxa"/>
          </w:tcPr>
          <w:p>
            <w:pPr>
              <w:pStyle w:val="TableParagraph"/>
              <w:spacing w:before="24"/>
              <w:ind w:left="124"/>
              <w:jc w:val="left"/>
              <w:rPr>
                <w:b/>
                <w:sz w:val="18"/>
              </w:rPr>
            </w:pPr>
            <w:r>
              <w:rPr>
                <w:b/>
                <w:sz w:val="18"/>
              </w:rPr>
              <w:t>2015</w:t>
            </w:r>
          </w:p>
        </w:tc>
      </w:tr>
      <w:tr>
        <w:trPr>
          <w:trHeight w:val="286" w:hRule="exact"/>
        </w:trPr>
        <w:tc>
          <w:tcPr>
            <w:tcW w:w="428" w:type="dxa"/>
          </w:tcPr>
          <w:p>
            <w:pPr/>
          </w:p>
        </w:tc>
        <w:tc>
          <w:tcPr>
            <w:tcW w:w="8694" w:type="dxa"/>
          </w:tcPr>
          <w:p>
            <w:pPr>
              <w:pStyle w:val="TableParagraph"/>
              <w:tabs>
                <w:tab w:pos="6031" w:val="left" w:leader="none"/>
                <w:tab w:pos="7514" w:val="left" w:leader="none"/>
              </w:tabs>
              <w:spacing w:before="24"/>
              <w:ind w:left="4747"/>
              <w:jc w:val="left"/>
              <w:rPr>
                <w:b/>
                <w:sz w:val="18"/>
              </w:rPr>
            </w:pPr>
            <w:r>
              <w:rPr>
                <w:b/>
                <w:sz w:val="18"/>
              </w:rPr>
              <w:t>$'000</w:t>
              <w:tab/>
              <w:t>$'000</w:t>
              <w:tab/>
              <w:t>$'000</w:t>
            </w:r>
          </w:p>
        </w:tc>
        <w:tc>
          <w:tcPr>
            <w:tcW w:w="988" w:type="dxa"/>
          </w:tcPr>
          <w:p>
            <w:pPr>
              <w:pStyle w:val="TableParagraph"/>
              <w:spacing w:before="24"/>
              <w:ind w:left="103"/>
              <w:jc w:val="left"/>
              <w:rPr>
                <w:b/>
                <w:sz w:val="18"/>
              </w:rPr>
            </w:pPr>
            <w:r>
              <w:rPr>
                <w:b/>
                <w:sz w:val="18"/>
              </w:rPr>
              <w:t>$'000</w:t>
            </w:r>
          </w:p>
        </w:tc>
      </w:tr>
      <w:tr>
        <w:trPr>
          <w:trHeight w:val="282" w:hRule="exact"/>
        </w:trPr>
        <w:tc>
          <w:tcPr>
            <w:tcW w:w="428" w:type="dxa"/>
          </w:tcPr>
          <w:p>
            <w:pPr/>
          </w:p>
        </w:tc>
        <w:tc>
          <w:tcPr>
            <w:tcW w:w="8694" w:type="dxa"/>
          </w:tcPr>
          <w:p>
            <w:pPr>
              <w:pStyle w:val="TableParagraph"/>
              <w:tabs>
                <w:tab w:pos="4980" w:val="left" w:leader="none"/>
                <w:tab w:pos="6278" w:val="left" w:leader="none"/>
                <w:tab w:pos="7747" w:val="left" w:leader="none"/>
              </w:tabs>
              <w:spacing w:before="37"/>
              <w:ind w:left="202"/>
              <w:jc w:val="left"/>
              <w:rPr>
                <w:b/>
                <w:sz w:val="18"/>
              </w:rPr>
            </w:pPr>
            <w:r>
              <w:rPr>
                <w:sz w:val="18"/>
              </w:rPr>
              <w:t>Within</w:t>
            </w:r>
            <w:r>
              <w:rPr>
                <w:spacing w:val="-4"/>
                <w:sz w:val="18"/>
              </w:rPr>
              <w:t> </w:t>
            </w:r>
            <w:r>
              <w:rPr>
                <w:sz w:val="18"/>
              </w:rPr>
              <w:t>one</w:t>
            </w:r>
            <w:r>
              <w:rPr>
                <w:spacing w:val="-4"/>
                <w:sz w:val="18"/>
              </w:rPr>
              <w:t> </w:t>
            </w:r>
            <w:r>
              <w:rPr>
                <w:sz w:val="18"/>
              </w:rPr>
              <w:t>year</w:t>
              <w:tab/>
            </w:r>
            <w:r>
              <w:rPr>
                <w:b/>
                <w:sz w:val="18"/>
              </w:rPr>
              <w:t>10,731</w:t>
              <w:tab/>
            </w:r>
            <w:r>
              <w:rPr>
                <w:sz w:val="18"/>
              </w:rPr>
              <w:t>10,827</w:t>
              <w:tab/>
            </w:r>
            <w:r>
              <w:rPr>
                <w:b/>
                <w:sz w:val="18"/>
              </w:rPr>
              <w:t>10,209</w:t>
            </w:r>
          </w:p>
        </w:tc>
        <w:tc>
          <w:tcPr>
            <w:tcW w:w="988" w:type="dxa"/>
          </w:tcPr>
          <w:p>
            <w:pPr>
              <w:pStyle w:val="TableParagraph"/>
              <w:spacing w:before="36"/>
              <w:ind w:right="86"/>
              <w:rPr>
                <w:sz w:val="18"/>
              </w:rPr>
            </w:pPr>
            <w:r>
              <w:rPr>
                <w:w w:val="95"/>
                <w:sz w:val="18"/>
              </w:rPr>
              <w:t>10,530</w:t>
            </w:r>
          </w:p>
        </w:tc>
      </w:tr>
      <w:tr>
        <w:trPr>
          <w:trHeight w:val="264" w:hRule="exact"/>
        </w:trPr>
        <w:tc>
          <w:tcPr>
            <w:tcW w:w="428" w:type="dxa"/>
          </w:tcPr>
          <w:p>
            <w:pPr/>
          </w:p>
        </w:tc>
        <w:tc>
          <w:tcPr>
            <w:tcW w:w="8694" w:type="dxa"/>
          </w:tcPr>
          <w:p>
            <w:pPr>
              <w:pStyle w:val="TableParagraph"/>
              <w:tabs>
                <w:tab w:pos="4980" w:val="left" w:leader="none"/>
                <w:tab w:pos="6378" w:val="left" w:leader="none"/>
                <w:tab w:pos="7747" w:val="left" w:leader="none"/>
              </w:tabs>
              <w:spacing w:before="19"/>
              <w:ind w:left="202"/>
              <w:jc w:val="left"/>
              <w:rPr>
                <w:b/>
                <w:sz w:val="18"/>
              </w:rPr>
            </w:pPr>
            <w:r>
              <w:rPr>
                <w:sz w:val="18"/>
              </w:rPr>
              <w:t>Between one year and</w:t>
            </w:r>
            <w:r>
              <w:rPr>
                <w:spacing w:val="-18"/>
                <w:sz w:val="18"/>
              </w:rPr>
              <w:t> </w:t>
            </w:r>
            <w:r>
              <w:rPr>
                <w:sz w:val="18"/>
              </w:rPr>
              <w:t>five</w:t>
            </w:r>
            <w:r>
              <w:rPr>
                <w:spacing w:val="-5"/>
                <w:sz w:val="18"/>
              </w:rPr>
              <w:t> </w:t>
            </w:r>
            <w:r>
              <w:rPr>
                <w:sz w:val="18"/>
              </w:rPr>
              <w:t>years</w:t>
              <w:tab/>
            </w:r>
            <w:r>
              <w:rPr>
                <w:b/>
                <w:sz w:val="18"/>
              </w:rPr>
              <w:t>11,911</w:t>
              <w:tab/>
            </w:r>
            <w:r>
              <w:rPr>
                <w:sz w:val="18"/>
              </w:rPr>
              <w:t>6,603</w:t>
              <w:tab/>
            </w:r>
            <w:r>
              <w:rPr>
                <w:b/>
                <w:sz w:val="18"/>
              </w:rPr>
              <w:t>11,683</w:t>
            </w:r>
          </w:p>
        </w:tc>
        <w:tc>
          <w:tcPr>
            <w:tcW w:w="988" w:type="dxa"/>
          </w:tcPr>
          <w:p>
            <w:pPr>
              <w:pStyle w:val="TableParagraph"/>
              <w:spacing w:before="18"/>
              <w:ind w:right="86"/>
              <w:rPr>
                <w:sz w:val="18"/>
              </w:rPr>
            </w:pPr>
            <w:r>
              <w:rPr>
                <w:sz w:val="18"/>
              </w:rPr>
              <w:t>6,479</w:t>
            </w:r>
          </w:p>
        </w:tc>
      </w:tr>
      <w:tr>
        <w:trPr>
          <w:trHeight w:val="262" w:hRule="exact"/>
        </w:trPr>
        <w:tc>
          <w:tcPr>
            <w:tcW w:w="428" w:type="dxa"/>
          </w:tcPr>
          <w:p>
            <w:pPr/>
          </w:p>
        </w:tc>
        <w:tc>
          <w:tcPr>
            <w:tcW w:w="8694" w:type="dxa"/>
            <w:tcBorders>
              <w:bottom w:val="single" w:sz="0" w:space="0" w:color="000000"/>
            </w:tcBorders>
          </w:tcPr>
          <w:p>
            <w:pPr>
              <w:pStyle w:val="TableParagraph"/>
              <w:tabs>
                <w:tab w:pos="5079" w:val="left" w:leader="none"/>
                <w:tab w:pos="6528" w:val="left" w:leader="none"/>
                <w:tab w:pos="7846" w:val="left" w:leader="none"/>
              </w:tabs>
              <w:spacing w:before="19"/>
              <w:ind w:left="202"/>
              <w:jc w:val="left"/>
              <w:rPr>
                <w:b/>
                <w:sz w:val="18"/>
              </w:rPr>
            </w:pPr>
            <w:r>
              <w:rPr>
                <w:sz w:val="18"/>
              </w:rPr>
              <w:t>Later than</w:t>
            </w:r>
            <w:r>
              <w:rPr>
                <w:spacing w:val="-8"/>
                <w:sz w:val="18"/>
              </w:rPr>
              <w:t> </w:t>
            </w:r>
            <w:r>
              <w:rPr>
                <w:sz w:val="18"/>
              </w:rPr>
              <w:t>five</w:t>
            </w:r>
            <w:r>
              <w:rPr>
                <w:spacing w:val="-4"/>
                <w:sz w:val="18"/>
              </w:rPr>
              <w:t> </w:t>
            </w:r>
            <w:r>
              <w:rPr>
                <w:sz w:val="18"/>
              </w:rPr>
              <w:t>years</w:t>
              <w:tab/>
            </w:r>
            <w:r>
              <w:rPr>
                <w:b/>
                <w:sz w:val="18"/>
              </w:rPr>
              <w:t>1,358</w:t>
              <w:tab/>
            </w:r>
            <w:r>
              <w:rPr>
                <w:sz w:val="18"/>
              </w:rPr>
              <w:t>280</w:t>
              <w:tab/>
            </w:r>
            <w:r>
              <w:rPr>
                <w:b/>
                <w:sz w:val="18"/>
              </w:rPr>
              <w:t>1,358</w:t>
            </w:r>
          </w:p>
        </w:tc>
        <w:tc>
          <w:tcPr>
            <w:tcW w:w="988" w:type="dxa"/>
            <w:tcBorders>
              <w:bottom w:val="single" w:sz="0" w:space="0" w:color="000000"/>
            </w:tcBorders>
          </w:tcPr>
          <w:p>
            <w:pPr>
              <w:pStyle w:val="TableParagraph"/>
              <w:spacing w:before="18"/>
              <w:ind w:right="86"/>
              <w:rPr>
                <w:sz w:val="18"/>
              </w:rPr>
            </w:pPr>
            <w:r>
              <w:rPr>
                <w:sz w:val="18"/>
              </w:rPr>
              <w:t>280</w:t>
            </w:r>
          </w:p>
        </w:tc>
      </w:tr>
      <w:tr>
        <w:trPr>
          <w:trHeight w:val="353" w:hRule="exact"/>
        </w:trPr>
        <w:tc>
          <w:tcPr>
            <w:tcW w:w="428" w:type="dxa"/>
          </w:tcPr>
          <w:p>
            <w:pPr/>
          </w:p>
        </w:tc>
        <w:tc>
          <w:tcPr>
            <w:tcW w:w="8694" w:type="dxa"/>
            <w:tcBorders>
              <w:top w:val="single" w:sz="0" w:space="0" w:color="000000"/>
              <w:bottom w:val="single" w:sz="0" w:space="0" w:color="000000"/>
            </w:tcBorders>
          </w:tcPr>
          <w:p>
            <w:pPr>
              <w:pStyle w:val="TableParagraph"/>
              <w:tabs>
                <w:tab w:pos="4980" w:val="left" w:leader="none"/>
                <w:tab w:pos="6278" w:val="left" w:leader="none"/>
                <w:tab w:pos="7747" w:val="left" w:leader="none"/>
              </w:tabs>
              <w:spacing w:before="95"/>
              <w:ind w:left="202"/>
              <w:jc w:val="left"/>
              <w:rPr>
                <w:b/>
                <w:sz w:val="18"/>
              </w:rPr>
            </w:pPr>
            <w:bookmarkStart w:name="34 Related Parties" w:id="125"/>
            <w:bookmarkEnd w:id="125"/>
            <w:r>
              <w:rPr/>
            </w:r>
            <w:r>
              <w:rPr>
                <w:sz w:val="18"/>
              </w:rPr>
              <w:t>Total future minimum</w:t>
            </w:r>
            <w:r>
              <w:rPr>
                <w:spacing w:val="-16"/>
                <w:sz w:val="18"/>
              </w:rPr>
              <w:t> </w:t>
            </w:r>
            <w:r>
              <w:rPr>
                <w:sz w:val="18"/>
              </w:rPr>
              <w:t>lease</w:t>
            </w:r>
            <w:r>
              <w:rPr>
                <w:spacing w:val="-6"/>
                <w:sz w:val="18"/>
              </w:rPr>
              <w:t> </w:t>
            </w:r>
            <w:r>
              <w:rPr>
                <w:sz w:val="18"/>
              </w:rPr>
              <w:t>payments</w:t>
              <w:tab/>
            </w:r>
            <w:r>
              <w:rPr>
                <w:b/>
                <w:position w:val="-2"/>
                <w:sz w:val="18"/>
              </w:rPr>
              <w:t>24,000</w:t>
              <w:tab/>
            </w:r>
            <w:r>
              <w:rPr>
                <w:position w:val="-2"/>
                <w:sz w:val="18"/>
              </w:rPr>
              <w:t>17,710</w:t>
              <w:tab/>
            </w:r>
            <w:r>
              <w:rPr>
                <w:b/>
                <w:position w:val="-2"/>
                <w:sz w:val="18"/>
              </w:rPr>
              <w:t>23,250</w:t>
            </w:r>
          </w:p>
        </w:tc>
        <w:tc>
          <w:tcPr>
            <w:tcW w:w="988" w:type="dxa"/>
            <w:tcBorders>
              <w:top w:val="single" w:sz="0" w:space="0" w:color="000000"/>
              <w:bottom w:val="single" w:sz="0" w:space="0" w:color="000000"/>
            </w:tcBorders>
          </w:tcPr>
          <w:p>
            <w:pPr>
              <w:pStyle w:val="TableParagraph"/>
              <w:spacing w:before="122"/>
              <w:ind w:right="86"/>
              <w:rPr>
                <w:sz w:val="18"/>
              </w:rPr>
            </w:pPr>
            <w:r>
              <w:rPr>
                <w:w w:val="95"/>
                <w:sz w:val="18"/>
              </w:rPr>
              <w:t>17,289</w:t>
            </w:r>
          </w:p>
        </w:tc>
      </w:tr>
    </w:tbl>
    <w:p>
      <w:pPr>
        <w:pStyle w:val="BodyText"/>
        <w:rPr>
          <w:sz w:val="20"/>
        </w:rPr>
      </w:pPr>
    </w:p>
    <w:p>
      <w:pPr>
        <w:pStyle w:val="BodyText"/>
        <w:spacing w:before="6"/>
        <w:rPr>
          <w:sz w:val="24"/>
        </w:rPr>
      </w:pPr>
    </w:p>
    <w:p>
      <w:pPr>
        <w:pStyle w:val="Heading8"/>
        <w:numPr>
          <w:ilvl w:val="0"/>
          <w:numId w:val="29"/>
        </w:numPr>
        <w:tabs>
          <w:tab w:pos="1826" w:val="left" w:leader="none"/>
        </w:tabs>
        <w:spacing w:line="240" w:lineRule="auto" w:before="77" w:after="0"/>
        <w:ind w:left="1825" w:right="0" w:hanging="396"/>
        <w:jc w:val="left"/>
      </w:pPr>
      <w:r>
        <w:rPr/>
        <w:drawing>
          <wp:anchor distT="0" distB="0" distL="0" distR="0" allowOverlap="1" layoutInCell="1" locked="0" behindDoc="0" simplePos="0" relativeHeight="4744">
            <wp:simplePos x="0" y="0"/>
            <wp:positionH relativeFrom="page">
              <wp:posOffset>-1587</wp:posOffset>
            </wp:positionH>
            <wp:positionV relativeFrom="paragraph">
              <wp:posOffset>163879</wp:posOffset>
            </wp:positionV>
            <wp:extent cx="136525" cy="155575"/>
            <wp:effectExtent l="0" t="0" r="0" b="0"/>
            <wp:wrapNone/>
            <wp:docPr id="301" name="image13.png" descr=""/>
            <wp:cNvGraphicFramePr>
              <a:graphicFrameLocks noChangeAspect="1"/>
            </wp:cNvGraphicFramePr>
            <a:graphic>
              <a:graphicData uri="http://schemas.openxmlformats.org/drawingml/2006/picture">
                <pic:pic>
                  <pic:nvPicPr>
                    <pic:cNvPr id="302" name="image13.png"/>
                    <pic:cNvPicPr/>
                  </pic:nvPicPr>
                  <pic:blipFill>
                    <a:blip r:embed="rId18" cstate="print"/>
                    <a:stretch>
                      <a:fillRect/>
                    </a:stretch>
                  </pic:blipFill>
                  <pic:spPr>
                    <a:xfrm>
                      <a:off x="0" y="0"/>
                      <a:ext cx="136525" cy="155575"/>
                    </a:xfrm>
                    <a:prstGeom prst="rect">
                      <a:avLst/>
                    </a:prstGeom>
                  </pic:spPr>
                </pic:pic>
              </a:graphicData>
            </a:graphic>
          </wp:anchor>
        </w:drawing>
      </w:r>
      <w:r>
        <w:rPr/>
        <w:drawing>
          <wp:anchor distT="0" distB="0" distL="0" distR="0" allowOverlap="1" layoutInCell="1" locked="0" behindDoc="0" simplePos="0" relativeHeight="4768">
            <wp:simplePos x="0" y="0"/>
            <wp:positionH relativeFrom="page">
              <wp:posOffset>7958429</wp:posOffset>
            </wp:positionH>
            <wp:positionV relativeFrom="paragraph">
              <wp:posOffset>163879</wp:posOffset>
            </wp:positionV>
            <wp:extent cx="135953" cy="155575"/>
            <wp:effectExtent l="0" t="0" r="0" b="0"/>
            <wp:wrapNone/>
            <wp:docPr id="303" name="image15.png" descr=""/>
            <wp:cNvGraphicFramePr>
              <a:graphicFrameLocks noChangeAspect="1"/>
            </wp:cNvGraphicFramePr>
            <a:graphic>
              <a:graphicData uri="http://schemas.openxmlformats.org/drawingml/2006/picture">
                <pic:pic>
                  <pic:nvPicPr>
                    <pic:cNvPr id="304" name="image15.png"/>
                    <pic:cNvPicPr/>
                  </pic:nvPicPr>
                  <pic:blipFill>
                    <a:blip r:embed="rId20" cstate="print"/>
                    <a:stretch>
                      <a:fillRect/>
                    </a:stretch>
                  </pic:blipFill>
                  <pic:spPr>
                    <a:xfrm>
                      <a:off x="0" y="0"/>
                      <a:ext cx="135953" cy="155575"/>
                    </a:xfrm>
                    <a:prstGeom prst="rect">
                      <a:avLst/>
                    </a:prstGeom>
                  </pic:spPr>
                </pic:pic>
              </a:graphicData>
            </a:graphic>
          </wp:anchor>
        </w:drawing>
      </w:r>
      <w:bookmarkStart w:name="(a) Parent entities" w:id="126"/>
      <w:bookmarkEnd w:id="126"/>
      <w:r>
        <w:rPr>
          <w:b w:val="0"/>
        </w:rPr>
      </w:r>
      <w:bookmarkStart w:name="(a) Parent entities" w:id="127"/>
      <w:bookmarkEnd w:id="127"/>
      <w:r>
        <w:rPr/>
        <w:t>Relate</w:t>
      </w:r>
      <w:r>
        <w:rPr/>
        <w:t>d</w:t>
      </w:r>
      <w:r>
        <w:rPr>
          <w:spacing w:val="-15"/>
        </w:rPr>
        <w:t> </w:t>
      </w:r>
      <w:r>
        <w:rPr/>
        <w:t>Parties</w:t>
      </w:r>
    </w:p>
    <w:p>
      <w:pPr>
        <w:pStyle w:val="BodyText"/>
        <w:spacing w:before="7"/>
        <w:rPr>
          <w:b/>
          <w:sz w:val="26"/>
        </w:rPr>
      </w:pPr>
    </w:p>
    <w:p>
      <w:pPr>
        <w:pStyle w:val="ListParagraph"/>
        <w:numPr>
          <w:ilvl w:val="1"/>
          <w:numId w:val="29"/>
        </w:numPr>
        <w:tabs>
          <w:tab w:pos="2392" w:val="left" w:leader="none"/>
        </w:tabs>
        <w:spacing w:line="240" w:lineRule="auto" w:before="0" w:after="0"/>
        <w:ind w:left="2391" w:right="0" w:hanging="566"/>
        <w:jc w:val="left"/>
        <w:rPr>
          <w:sz w:val="18"/>
        </w:rPr>
      </w:pPr>
      <w:bookmarkStart w:name="(b) Subsidiaries" w:id="128"/>
      <w:bookmarkEnd w:id="128"/>
      <w:r>
        <w:rPr/>
      </w:r>
      <w:bookmarkStart w:name="(b) Subsidiaries" w:id="129"/>
      <w:bookmarkEnd w:id="129"/>
      <w:r>
        <w:rPr>
          <w:sz w:val="18"/>
        </w:rPr>
        <w:t>Paren</w:t>
      </w:r>
      <w:r>
        <w:rPr>
          <w:sz w:val="18"/>
        </w:rPr>
        <w:t>t</w:t>
      </w:r>
      <w:r>
        <w:rPr>
          <w:spacing w:val="-15"/>
          <w:sz w:val="18"/>
        </w:rPr>
        <w:t> </w:t>
      </w:r>
      <w:r>
        <w:rPr>
          <w:sz w:val="18"/>
        </w:rPr>
        <w:t>entities</w:t>
      </w:r>
    </w:p>
    <w:p>
      <w:pPr>
        <w:pStyle w:val="BodyText"/>
        <w:spacing w:before="4"/>
        <w:rPr>
          <w:sz w:val="25"/>
        </w:rPr>
      </w:pPr>
    </w:p>
    <w:p>
      <w:pPr>
        <w:pStyle w:val="BodyText"/>
        <w:ind w:left="2390"/>
      </w:pPr>
      <w:r>
        <w:rPr/>
        <w:t>The ultimate parent entity within the Group is Western Sydney University.</w:t>
      </w:r>
    </w:p>
    <w:p>
      <w:pPr>
        <w:pStyle w:val="BodyText"/>
        <w:spacing w:before="7"/>
        <w:rPr>
          <w:sz w:val="26"/>
        </w:rPr>
      </w:pPr>
    </w:p>
    <w:p>
      <w:pPr>
        <w:pStyle w:val="ListParagraph"/>
        <w:numPr>
          <w:ilvl w:val="1"/>
          <w:numId w:val="29"/>
        </w:numPr>
        <w:tabs>
          <w:tab w:pos="2392" w:val="left" w:leader="none"/>
        </w:tabs>
        <w:spacing w:line="240" w:lineRule="auto" w:before="0" w:after="0"/>
        <w:ind w:left="2391" w:right="0" w:hanging="566"/>
        <w:jc w:val="left"/>
        <w:rPr>
          <w:sz w:val="18"/>
        </w:rPr>
      </w:pPr>
      <w:bookmarkStart w:name="(c) Key management personnel" w:id="130"/>
      <w:bookmarkEnd w:id="130"/>
      <w:r>
        <w:rPr/>
      </w:r>
      <w:bookmarkStart w:name="(c) Key management personnel" w:id="131"/>
      <w:bookmarkEnd w:id="131"/>
      <w:r>
        <w:rPr>
          <w:sz w:val="18"/>
        </w:rPr>
        <w:t>Subsidiaries</w:t>
      </w:r>
    </w:p>
    <w:p>
      <w:pPr>
        <w:pStyle w:val="BodyText"/>
        <w:spacing w:before="4"/>
        <w:rPr>
          <w:sz w:val="25"/>
        </w:rPr>
      </w:pPr>
    </w:p>
    <w:p>
      <w:pPr>
        <w:pStyle w:val="BodyText"/>
        <w:ind w:left="2390"/>
      </w:pPr>
      <w:r>
        <w:rPr/>
        <w:t>Interests in subsidiaries are set out in note 37.</w:t>
      </w:r>
    </w:p>
    <w:p>
      <w:pPr>
        <w:pStyle w:val="BodyText"/>
        <w:spacing w:before="7"/>
        <w:rPr>
          <w:sz w:val="26"/>
        </w:rPr>
      </w:pPr>
    </w:p>
    <w:p>
      <w:pPr>
        <w:pStyle w:val="ListParagraph"/>
        <w:numPr>
          <w:ilvl w:val="1"/>
          <w:numId w:val="29"/>
        </w:numPr>
        <w:tabs>
          <w:tab w:pos="2392" w:val="left" w:leader="none"/>
        </w:tabs>
        <w:spacing w:line="240" w:lineRule="auto" w:before="0" w:after="0"/>
        <w:ind w:left="2391" w:right="0" w:hanging="566"/>
        <w:jc w:val="left"/>
        <w:rPr>
          <w:sz w:val="18"/>
        </w:rPr>
      </w:pPr>
      <w:r>
        <w:rPr>
          <w:sz w:val="18"/>
        </w:rPr>
        <w:t>Key management</w:t>
      </w:r>
      <w:r>
        <w:rPr>
          <w:spacing w:val="-23"/>
          <w:sz w:val="18"/>
        </w:rPr>
        <w:t> </w:t>
      </w:r>
      <w:r>
        <w:rPr>
          <w:sz w:val="18"/>
        </w:rPr>
        <w:t>personnel</w:t>
      </w:r>
    </w:p>
    <w:p>
      <w:pPr>
        <w:pStyle w:val="BodyText"/>
        <w:spacing w:before="4"/>
        <w:rPr>
          <w:sz w:val="25"/>
        </w:rPr>
      </w:pPr>
    </w:p>
    <w:p>
      <w:pPr>
        <w:pStyle w:val="BodyText"/>
        <w:ind w:left="2390"/>
      </w:pPr>
      <w:r>
        <w:rPr/>
        <w:t>Disclosures relating to directors and specified executives are set out in note 30</w:t>
      </w:r>
    </w:p>
    <w:p>
      <w:pPr>
        <w:spacing w:after="0"/>
        <w:sectPr>
          <w:pgSz w:w="12750" w:h="17680"/>
          <w:pgMar w:header="0" w:footer="907" w:top="2640" w:bottom="1120" w:left="0" w:right="0"/>
        </w:sectPr>
      </w:pPr>
    </w:p>
    <w:p>
      <w:pPr>
        <w:pStyle w:val="BodyText"/>
        <w:rPr>
          <w:sz w:val="20"/>
        </w:rPr>
      </w:pPr>
    </w:p>
    <w:p>
      <w:pPr>
        <w:pStyle w:val="BodyText"/>
        <w:rPr>
          <w:sz w:val="20"/>
        </w:rPr>
      </w:pPr>
    </w:p>
    <w:p>
      <w:pPr>
        <w:pStyle w:val="BodyText"/>
        <w:spacing w:before="4"/>
      </w:pPr>
    </w:p>
    <w:p>
      <w:pPr>
        <w:pStyle w:val="Heading8"/>
        <w:tabs>
          <w:tab w:pos="2391" w:val="left" w:leader="none"/>
        </w:tabs>
        <w:ind w:left="1824"/>
      </w:pPr>
      <w:bookmarkStart w:name="(d) Transactions with related parties" w:id="132"/>
      <w:bookmarkEnd w:id="132"/>
      <w:r>
        <w:rPr>
          <w:b w:val="0"/>
        </w:rPr>
      </w:r>
      <w:r>
        <w:rPr/>
        <w:t>34</w:t>
        <w:tab/>
        <w:t>Related Parties (continued)</w:t>
      </w:r>
    </w:p>
    <w:p>
      <w:pPr>
        <w:pStyle w:val="BodyText"/>
        <w:spacing w:before="7"/>
        <w:rPr>
          <w:b/>
          <w:sz w:val="26"/>
        </w:rPr>
      </w:pPr>
    </w:p>
    <w:p>
      <w:pPr>
        <w:pStyle w:val="ListParagraph"/>
        <w:numPr>
          <w:ilvl w:val="1"/>
          <w:numId w:val="29"/>
        </w:numPr>
        <w:tabs>
          <w:tab w:pos="2392" w:val="left" w:leader="none"/>
        </w:tabs>
        <w:spacing w:line="240" w:lineRule="auto" w:before="0" w:after="0"/>
        <w:ind w:left="2391" w:right="0" w:hanging="566"/>
        <w:jc w:val="left"/>
        <w:rPr>
          <w:sz w:val="18"/>
        </w:rPr>
      </w:pPr>
      <w:r>
        <w:rPr>
          <w:sz w:val="18"/>
        </w:rPr>
        <w:t>Transactions with related</w:t>
      </w:r>
      <w:r>
        <w:rPr>
          <w:spacing w:val="-23"/>
          <w:sz w:val="18"/>
        </w:rPr>
        <w:t> </w:t>
      </w:r>
      <w:r>
        <w:rPr>
          <w:sz w:val="18"/>
        </w:rPr>
        <w:t>parties</w:t>
      </w:r>
    </w:p>
    <w:p>
      <w:pPr>
        <w:pStyle w:val="BodyText"/>
        <w:spacing w:before="4"/>
        <w:rPr>
          <w:sz w:val="25"/>
        </w:rPr>
      </w:pPr>
    </w:p>
    <w:p>
      <w:pPr>
        <w:pStyle w:val="BodyText"/>
        <w:ind w:left="2390"/>
      </w:pPr>
      <w:r>
        <w:rPr/>
        <w:t>The following transactions occurred with related parties:</w:t>
      </w:r>
    </w:p>
    <w:p>
      <w:pPr>
        <w:pStyle w:val="BodyText"/>
        <w:spacing w:before="9"/>
        <w:rPr>
          <w:sz w:val="16"/>
        </w:rPr>
      </w:pPr>
    </w:p>
    <w:p>
      <w:pPr>
        <w:pStyle w:val="Heading8"/>
        <w:tabs>
          <w:tab w:pos="9680" w:val="left" w:leader="none"/>
        </w:tabs>
        <w:spacing w:before="1"/>
        <w:ind w:left="6640"/>
      </w:pPr>
      <w:r>
        <w:rPr/>
        <w:t>Consolidated</w:t>
        <w:tab/>
        <w:t>Parent</w:t>
      </w:r>
    </w:p>
    <w:p>
      <w:pPr>
        <w:spacing w:after="0"/>
        <w:sectPr>
          <w:pgSz w:w="12750" w:h="17680"/>
          <w:pgMar w:header="0" w:footer="907" w:top="2640" w:bottom="1120" w:left="0" w:right="0"/>
        </w:sectPr>
      </w:pPr>
    </w:p>
    <w:p>
      <w:pPr>
        <w:pStyle w:val="BodyText"/>
        <w:rPr>
          <w:b/>
        </w:rPr>
      </w:pPr>
    </w:p>
    <w:p>
      <w:pPr>
        <w:pStyle w:val="BodyText"/>
        <w:rPr>
          <w:b/>
        </w:rPr>
      </w:pPr>
    </w:p>
    <w:p>
      <w:pPr>
        <w:pStyle w:val="BodyText"/>
        <w:spacing w:before="5"/>
        <w:rPr>
          <w:b/>
          <w:sz w:val="19"/>
        </w:rPr>
      </w:pPr>
    </w:p>
    <w:p>
      <w:pPr>
        <w:spacing w:before="0"/>
        <w:ind w:left="2421" w:right="-13" w:firstLine="0"/>
        <w:jc w:val="left"/>
        <w:rPr>
          <w:b/>
          <w:sz w:val="18"/>
        </w:rPr>
      </w:pPr>
      <w:r>
        <w:rPr>
          <w:b/>
          <w:sz w:val="18"/>
        </w:rPr>
        <w:t>Sale of goods and</w:t>
      </w:r>
      <w:r>
        <w:rPr>
          <w:b/>
          <w:spacing w:val="-9"/>
          <w:sz w:val="18"/>
        </w:rPr>
        <w:t> </w:t>
      </w:r>
      <w:r>
        <w:rPr>
          <w:b/>
          <w:sz w:val="18"/>
        </w:rPr>
        <w:t>services</w:t>
      </w:r>
    </w:p>
    <w:p>
      <w:pPr>
        <w:spacing w:before="66"/>
        <w:ind w:left="0" w:right="19" w:firstLine="0"/>
        <w:jc w:val="right"/>
        <w:rPr>
          <w:b/>
          <w:sz w:val="18"/>
        </w:rPr>
      </w:pPr>
      <w:r>
        <w:rPr/>
        <w:br w:type="column"/>
      </w:r>
      <w:r>
        <w:rPr>
          <w:b/>
          <w:sz w:val="18"/>
        </w:rPr>
        <w:t>2016</w:t>
      </w:r>
    </w:p>
    <w:p>
      <w:pPr>
        <w:spacing w:before="66"/>
        <w:ind w:left="0" w:right="0" w:firstLine="0"/>
        <w:jc w:val="right"/>
        <w:rPr>
          <w:b/>
          <w:sz w:val="18"/>
        </w:rPr>
      </w:pPr>
      <w:r>
        <w:rPr>
          <w:b/>
          <w:sz w:val="18"/>
        </w:rPr>
        <w:t>$'000</w:t>
      </w:r>
    </w:p>
    <w:p>
      <w:pPr>
        <w:spacing w:before="66"/>
        <w:ind w:left="822" w:right="-17" w:firstLine="0"/>
        <w:jc w:val="left"/>
        <w:rPr>
          <w:b/>
          <w:sz w:val="18"/>
        </w:rPr>
      </w:pPr>
      <w:r>
        <w:rPr/>
        <w:br w:type="column"/>
      </w:r>
      <w:r>
        <w:rPr>
          <w:b/>
          <w:sz w:val="18"/>
        </w:rPr>
        <w:t>2015</w:t>
      </w:r>
    </w:p>
    <w:p>
      <w:pPr>
        <w:spacing w:before="66"/>
        <w:ind w:left="801" w:right="-17" w:firstLine="0"/>
        <w:jc w:val="left"/>
        <w:rPr>
          <w:b/>
          <w:sz w:val="18"/>
        </w:rPr>
      </w:pPr>
      <w:r>
        <w:rPr>
          <w:b/>
          <w:spacing w:val="-1"/>
          <w:sz w:val="18"/>
        </w:rPr>
        <w:t>$'000</w:t>
      </w:r>
    </w:p>
    <w:p>
      <w:pPr>
        <w:spacing w:before="66"/>
        <w:ind w:left="0" w:right="19" w:firstLine="0"/>
        <w:jc w:val="right"/>
        <w:rPr>
          <w:b/>
          <w:sz w:val="18"/>
        </w:rPr>
      </w:pPr>
      <w:r>
        <w:rPr/>
        <w:br w:type="column"/>
      </w:r>
      <w:r>
        <w:rPr>
          <w:b/>
          <w:sz w:val="18"/>
        </w:rPr>
        <w:t>2016</w:t>
      </w:r>
    </w:p>
    <w:p>
      <w:pPr>
        <w:spacing w:before="66"/>
        <w:ind w:left="0" w:right="0" w:firstLine="0"/>
        <w:jc w:val="right"/>
        <w:rPr>
          <w:b/>
          <w:sz w:val="18"/>
        </w:rPr>
      </w:pPr>
      <w:r>
        <w:rPr>
          <w:b/>
          <w:sz w:val="18"/>
        </w:rPr>
        <w:t>$'000</w:t>
      </w:r>
    </w:p>
    <w:p>
      <w:pPr>
        <w:spacing w:before="66"/>
        <w:ind w:left="822" w:right="0" w:firstLine="0"/>
        <w:jc w:val="left"/>
        <w:rPr>
          <w:b/>
          <w:sz w:val="18"/>
        </w:rPr>
      </w:pPr>
      <w:r>
        <w:rPr/>
        <w:br w:type="column"/>
      </w:r>
      <w:r>
        <w:rPr>
          <w:b/>
          <w:sz w:val="18"/>
        </w:rPr>
        <w:t>2015</w:t>
      </w:r>
    </w:p>
    <w:p>
      <w:pPr>
        <w:spacing w:before="66"/>
        <w:ind w:left="801" w:right="0" w:firstLine="0"/>
        <w:jc w:val="left"/>
        <w:rPr>
          <w:b/>
          <w:sz w:val="18"/>
        </w:rPr>
      </w:pPr>
      <w:r>
        <w:rPr>
          <w:b/>
          <w:sz w:val="18"/>
        </w:rPr>
        <w:t>$'000</w:t>
      </w:r>
    </w:p>
    <w:p>
      <w:pPr>
        <w:spacing w:after="0"/>
        <w:jc w:val="left"/>
        <w:rPr>
          <w:sz w:val="18"/>
        </w:rPr>
        <w:sectPr>
          <w:type w:val="continuous"/>
          <w:pgSz w:w="12750" w:h="17680"/>
          <w:pgMar w:top="1660" w:bottom="0" w:left="0" w:right="0"/>
          <w:cols w:num="5" w:equalWidth="0">
            <w:col w:w="4740" w:space="40"/>
            <w:col w:w="2074" w:space="40"/>
            <w:col w:w="1243" w:space="40"/>
            <w:col w:w="1441" w:space="40"/>
            <w:col w:w="3092"/>
          </w:cols>
        </w:sectPr>
      </w:pPr>
    </w:p>
    <w:p>
      <w:pPr>
        <w:pStyle w:val="BodyText"/>
        <w:tabs>
          <w:tab w:pos="7131" w:val="left" w:leader="none"/>
          <w:tab w:pos="8428" w:val="left" w:leader="none"/>
          <w:tab w:pos="9406" w:val="left" w:leader="none"/>
          <w:tab w:pos="10703" w:val="left" w:leader="none"/>
        </w:tabs>
        <w:spacing w:before="57"/>
        <w:ind w:left="2636"/>
      </w:pPr>
      <w:r>
        <w:rPr/>
        <w:pict>
          <v:group style="position:absolute;margin-left:290.649994pt;margin-top:14.481902pt;width:276.5pt;height:1pt;mso-position-horizontal-relative:page;mso-position-vertical-relative:paragraph;z-index:4792;mso-wrap-distance-left:0;mso-wrap-distance-right:0" coordorigin="5813,290" coordsize="5530,20">
            <v:line style="position:absolute" from="5814,291" to="5983,291" stroked="true" strokeweight=".06pt" strokecolor="#000000"/>
            <v:line style="position:absolute" from="5814,292" to="5983,292" stroked="true" strokeweight=".06pt" strokecolor="#000000"/>
            <v:line style="position:absolute" from="5814,293" to="5983,293" stroked="true" strokeweight=".06pt" strokecolor="#000000"/>
            <v:line style="position:absolute" from="5814,294" to="5983,294" stroked="true" strokeweight=".06pt" strokecolor="#000000"/>
            <v:line style="position:absolute" from="5814,295" to="5983,295" stroked="true" strokeweight=".06pt" strokecolor="#000000"/>
            <v:line style="position:absolute" from="5814,297" to="5983,297" stroked="true" strokeweight=".06pt" strokecolor="#000000"/>
            <v:line style="position:absolute" from="5814,298" to="5983,298" stroked="true" strokeweight=".06pt" strokecolor="#000000"/>
            <v:line style="position:absolute" from="5814,299" to="5983,299" stroked="true" strokeweight=".06pt" strokecolor="#000000"/>
            <v:line style="position:absolute" from="5814,300" to="5983,300" stroked="true" strokeweight=".06pt" strokecolor="#000000"/>
            <v:line style="position:absolute" from="5814,301" to="5983,301" stroked="true" strokeweight=".06pt" strokecolor="#000000"/>
            <v:line style="position:absolute" from="5814,303" to="5983,303" stroked="true" strokeweight=".06pt" strokecolor="#000000"/>
            <v:line style="position:absolute" from="5814,304" to="5983,304" stroked="true" strokeweight=".06pt" strokecolor="#000000"/>
            <v:line style="position:absolute" from="5814,305" to="5983,305" stroked="true" strokeweight=".06pt" strokecolor="#000000"/>
            <v:line style="position:absolute" from="5814,306" to="5983,306" stroked="true" strokeweight=".06pt" strokecolor="#000000"/>
            <v:line style="position:absolute" from="5814,307" to="5983,307" stroked="true" strokeweight=".06pt" strokecolor="#000000"/>
            <v:line style="position:absolute" from="5814,309" to="5983,309" stroked="true" strokeweight=".06pt" strokecolor="#000000"/>
            <v:line style="position:absolute" from="5983,291" to="7280,291" stroked="true" strokeweight=".06pt" strokecolor="#000000"/>
            <v:line style="position:absolute" from="5983,292" to="7280,292" stroked="true" strokeweight=".06pt" strokecolor="#000000"/>
            <v:line style="position:absolute" from="5983,293" to="7280,293" stroked="true" strokeweight=".06pt" strokecolor="#000000"/>
            <v:line style="position:absolute" from="5983,294" to="7280,294" stroked="true" strokeweight=".06pt" strokecolor="#000000"/>
            <v:line style="position:absolute" from="5983,295" to="7280,295" stroked="true" strokeweight=".06pt" strokecolor="#000000"/>
            <v:line style="position:absolute" from="5983,297" to="7280,297" stroked="true" strokeweight=".06pt" strokecolor="#000000"/>
            <v:line style="position:absolute" from="5983,298" to="7280,298" stroked="true" strokeweight=".06pt" strokecolor="#000000"/>
            <v:line style="position:absolute" from="5983,299" to="7280,299" stroked="true" strokeweight=".06pt" strokecolor="#000000"/>
            <v:line style="position:absolute" from="5983,300" to="7280,300" stroked="true" strokeweight=".06pt" strokecolor="#000000"/>
            <v:line style="position:absolute" from="5983,301" to="7280,301" stroked="true" strokeweight=".06pt" strokecolor="#000000"/>
            <v:line style="position:absolute" from="5983,303" to="7280,303" stroked="true" strokeweight=".06pt" strokecolor="#000000"/>
            <v:line style="position:absolute" from="5983,304" to="7280,304" stroked="true" strokeweight=".06pt" strokecolor="#000000"/>
            <v:line style="position:absolute" from="5983,305" to="7280,305" stroked="true" strokeweight=".06pt" strokecolor="#000000"/>
            <v:line style="position:absolute" from="5983,306" to="7280,306" stroked="true" strokeweight=".06pt" strokecolor="#000000"/>
            <v:line style="position:absolute" from="5983,307" to="7280,307" stroked="true" strokeweight=".06pt" strokecolor="#000000"/>
            <v:line style="position:absolute" from="5983,309" to="7280,309" stroked="true" strokeweight=".06pt" strokecolor="#000000"/>
            <v:line style="position:absolute" from="7280,291" to="8578,291" stroked="true" strokeweight=".06pt" strokecolor="#000000"/>
            <v:line style="position:absolute" from="7280,292" to="8578,292" stroked="true" strokeweight=".06pt" strokecolor="#000000"/>
            <v:line style="position:absolute" from="7280,293" to="8578,293" stroked="true" strokeweight=".06pt" strokecolor="#000000"/>
            <v:line style="position:absolute" from="7280,294" to="8578,294" stroked="true" strokeweight=".06pt" strokecolor="#000000"/>
            <v:line style="position:absolute" from="7280,295" to="8578,295" stroked="true" strokeweight=".06pt" strokecolor="#000000"/>
            <v:line style="position:absolute" from="7280,297" to="8578,297" stroked="true" strokeweight=".06pt" strokecolor="#000000"/>
            <v:line style="position:absolute" from="7280,298" to="8578,298" stroked="true" strokeweight=".06pt" strokecolor="#000000"/>
            <v:line style="position:absolute" from="7280,299" to="8578,299" stroked="true" strokeweight=".06pt" strokecolor="#000000"/>
            <v:line style="position:absolute" from="7280,300" to="8578,300" stroked="true" strokeweight=".06pt" strokecolor="#000000"/>
            <v:line style="position:absolute" from="7280,301" to="8578,301" stroked="true" strokeweight=".06pt" strokecolor="#000000"/>
            <v:line style="position:absolute" from="7280,303" to="8578,303" stroked="true" strokeweight=".06pt" strokecolor="#000000"/>
            <v:line style="position:absolute" from="7280,304" to="8578,304" stroked="true" strokeweight=".06pt" strokecolor="#000000"/>
            <v:line style="position:absolute" from="7280,305" to="8578,305" stroked="true" strokeweight=".06pt" strokecolor="#000000"/>
            <v:line style="position:absolute" from="7280,306" to="8578,306" stroked="true" strokeweight=".06pt" strokecolor="#000000"/>
            <v:line style="position:absolute" from="7280,307" to="8578,307" stroked="true" strokeweight=".06pt" strokecolor="#000000"/>
            <v:line style="position:absolute" from="7280,309" to="8578,309" stroked="true" strokeweight=".06pt" strokecolor="#000000"/>
            <v:line style="position:absolute" from="8578,291" to="8747,291" stroked="true" strokeweight=".06pt" strokecolor="#000000"/>
            <v:line style="position:absolute" from="8578,292" to="8747,292" stroked="true" strokeweight=".06pt" strokecolor="#000000"/>
            <v:line style="position:absolute" from="8578,293" to="8747,293" stroked="true" strokeweight=".06pt" strokecolor="#000000"/>
            <v:line style="position:absolute" from="8578,294" to="8747,294" stroked="true" strokeweight=".06pt" strokecolor="#000000"/>
            <v:line style="position:absolute" from="8578,295" to="8747,295" stroked="true" strokeweight=".06pt" strokecolor="#000000"/>
            <v:line style="position:absolute" from="8578,297" to="8747,297" stroked="true" strokeweight=".06pt" strokecolor="#000000"/>
            <v:line style="position:absolute" from="8578,298" to="8747,298" stroked="true" strokeweight=".06pt" strokecolor="#000000"/>
            <v:line style="position:absolute" from="8578,299" to="8747,299" stroked="true" strokeweight=".06pt" strokecolor="#000000"/>
            <v:line style="position:absolute" from="8578,300" to="8747,300" stroked="true" strokeweight=".06pt" strokecolor="#000000"/>
            <v:line style="position:absolute" from="8578,301" to="8747,301" stroked="true" strokeweight=".06pt" strokecolor="#000000"/>
            <v:line style="position:absolute" from="8578,303" to="8747,303" stroked="true" strokeweight=".06pt" strokecolor="#000000"/>
            <v:line style="position:absolute" from="8578,304" to="8747,304" stroked="true" strokeweight=".06pt" strokecolor="#000000"/>
            <v:line style="position:absolute" from="8578,305" to="8747,305" stroked="true" strokeweight=".06pt" strokecolor="#000000"/>
            <v:line style="position:absolute" from="8578,306" to="8747,306" stroked="true" strokeweight=".06pt" strokecolor="#000000"/>
            <v:line style="position:absolute" from="8578,307" to="8747,307" stroked="true" strokeweight=".06pt" strokecolor="#000000"/>
            <v:line style="position:absolute" from="8578,309" to="8747,309" stroked="true" strokeweight=".06pt" strokecolor="#000000"/>
            <v:line style="position:absolute" from="8747,291" to="10044,291" stroked="true" strokeweight=".06pt" strokecolor="#000000"/>
            <v:line style="position:absolute" from="8747,292" to="10044,292" stroked="true" strokeweight=".06pt" strokecolor="#000000"/>
            <v:line style="position:absolute" from="8747,293" to="10044,293" stroked="true" strokeweight=".06pt" strokecolor="#000000"/>
            <v:line style="position:absolute" from="8747,294" to="10044,294" stroked="true" strokeweight=".06pt" strokecolor="#000000"/>
            <v:line style="position:absolute" from="8747,295" to="10044,295" stroked="true" strokeweight=".06pt" strokecolor="#000000"/>
            <v:line style="position:absolute" from="8747,297" to="10044,297" stroked="true" strokeweight=".06pt" strokecolor="#000000"/>
            <v:line style="position:absolute" from="8747,298" to="10044,298" stroked="true" strokeweight=".06pt" strokecolor="#000000"/>
            <v:line style="position:absolute" from="8747,299" to="10044,299" stroked="true" strokeweight=".06pt" strokecolor="#000000"/>
            <v:line style="position:absolute" from="8747,300" to="10044,300" stroked="true" strokeweight=".06pt" strokecolor="#000000"/>
            <v:line style="position:absolute" from="8747,301" to="10044,301" stroked="true" strokeweight=".06pt" strokecolor="#000000"/>
            <v:line style="position:absolute" from="8747,303" to="10044,303" stroked="true" strokeweight=".06pt" strokecolor="#000000"/>
            <v:line style="position:absolute" from="8747,304" to="10044,304" stroked="true" strokeweight=".06pt" strokecolor="#000000"/>
            <v:line style="position:absolute" from="8747,305" to="10044,305" stroked="true" strokeweight=".06pt" strokecolor="#000000"/>
            <v:line style="position:absolute" from="8747,306" to="10044,306" stroked="true" strokeweight=".06pt" strokecolor="#000000"/>
            <v:line style="position:absolute" from="8747,307" to="10044,307" stroked="true" strokeweight=".06pt" strokecolor="#000000"/>
            <v:line style="position:absolute" from="8747,309" to="10044,309" stroked="true" strokeweight=".06pt" strokecolor="#000000"/>
            <v:line style="position:absolute" from="10044,291" to="11341,291" stroked="true" strokeweight=".06pt" strokecolor="#000000"/>
            <v:line style="position:absolute" from="10044,292" to="11341,292" stroked="true" strokeweight=".06pt" strokecolor="#000000"/>
            <v:line style="position:absolute" from="10044,293" to="11341,293" stroked="true" strokeweight=".06pt" strokecolor="#000000"/>
            <v:line style="position:absolute" from="10044,294" to="11341,294" stroked="true" strokeweight=".06pt" strokecolor="#000000"/>
            <v:line style="position:absolute" from="10044,295" to="11341,295" stroked="true" strokeweight=".06pt" strokecolor="#000000"/>
            <v:line style="position:absolute" from="10044,297" to="11341,297" stroked="true" strokeweight=".06pt" strokecolor="#000000"/>
            <v:line style="position:absolute" from="10044,298" to="11341,298" stroked="true" strokeweight=".06pt" strokecolor="#000000"/>
            <v:line style="position:absolute" from="10044,299" to="11341,299" stroked="true" strokeweight=".06pt" strokecolor="#000000"/>
            <v:line style="position:absolute" from="10044,300" to="11341,300" stroked="true" strokeweight=".06pt" strokecolor="#000000"/>
            <v:line style="position:absolute" from="10044,301" to="11341,301" stroked="true" strokeweight=".06pt" strokecolor="#000000"/>
            <v:line style="position:absolute" from="10044,303" to="11341,303" stroked="true" strokeweight=".06pt" strokecolor="#000000"/>
            <v:line style="position:absolute" from="10044,304" to="11341,304" stroked="true" strokeweight=".06pt" strokecolor="#000000"/>
            <v:line style="position:absolute" from="10044,305" to="11341,305" stroked="true" strokeweight=".06pt" strokecolor="#000000"/>
            <v:line style="position:absolute" from="10044,306" to="11341,306" stroked="true" strokeweight=".06pt" strokecolor="#000000"/>
            <v:line style="position:absolute" from="10044,307" to="11341,307" stroked="true" strokeweight=".06pt" strokecolor="#000000"/>
            <v:line style="position:absolute" from="10044,309" to="11341,309" stroked="true" strokeweight=".06pt" strokecolor="#000000"/>
            <w10:wrap type="topAndBottom"/>
          </v:group>
        </w:pict>
      </w:r>
      <w:r>
        <w:rPr/>
        <w:t>Royalty payments</w:t>
      </w:r>
      <w:r>
        <w:rPr>
          <w:spacing w:val="-11"/>
        </w:rPr>
        <w:t> </w:t>
      </w:r>
      <w:r>
        <w:rPr/>
        <w:t>to</w:t>
      </w:r>
      <w:r>
        <w:rPr>
          <w:spacing w:val="-6"/>
        </w:rPr>
        <w:t> </w:t>
      </w:r>
      <w:r>
        <w:rPr/>
        <w:t>University</w:t>
        <w:tab/>
      </w:r>
      <w:r>
        <w:rPr>
          <w:b/>
        </w:rPr>
        <w:t>-</w:t>
        <w:tab/>
      </w:r>
      <w:r>
        <w:rPr/>
        <w:t>-</w:t>
        <w:tab/>
      </w:r>
      <w:r>
        <w:rPr>
          <w:b/>
        </w:rPr>
        <w:t>20,092</w:t>
        <w:tab/>
      </w:r>
      <w:r>
        <w:rPr/>
        <w:t>14,964</w:t>
      </w:r>
    </w:p>
    <w:p>
      <w:pPr>
        <w:pStyle w:val="Heading8"/>
        <w:spacing w:line="207" w:lineRule="exact" w:before="84"/>
        <w:ind w:left="2421"/>
      </w:pPr>
      <w:r>
        <w:rPr/>
        <w:t>Total sales of goods and</w:t>
      </w:r>
    </w:p>
    <w:p>
      <w:pPr>
        <w:tabs>
          <w:tab w:pos="5813" w:val="left" w:leader="none"/>
          <w:tab w:pos="7131" w:val="left" w:leader="none"/>
          <w:tab w:pos="8428" w:val="left" w:leader="none"/>
          <w:tab w:pos="9406" w:val="left" w:leader="none"/>
          <w:tab w:pos="10703" w:val="left" w:leader="none"/>
        </w:tabs>
        <w:spacing w:line="207" w:lineRule="exact" w:before="0"/>
        <w:ind w:left="2421" w:right="0" w:firstLine="0"/>
        <w:jc w:val="left"/>
        <w:rPr>
          <w:sz w:val="18"/>
        </w:rPr>
      </w:pPr>
      <w:r>
        <w:rPr>
          <w:b/>
          <w:sz w:val="18"/>
        </w:rPr>
        <w:t>services</w:t>
        <w:tab/>
      </w:r>
      <w:r>
        <w:rPr>
          <w:rFonts w:ascii="Times New Roman"/>
          <w:sz w:val="18"/>
          <w:u w:val="single"/>
        </w:rPr>
        <w:t> </w:t>
        <w:tab/>
      </w:r>
      <w:r>
        <w:rPr>
          <w:b/>
          <w:sz w:val="18"/>
          <w:u w:val="single"/>
        </w:rPr>
        <w:t>-</w:t>
        <w:tab/>
      </w:r>
      <w:r>
        <w:rPr>
          <w:sz w:val="18"/>
          <w:u w:val="single"/>
        </w:rPr>
        <w:t>-</w:t>
        <w:tab/>
      </w:r>
      <w:r>
        <w:rPr>
          <w:b/>
          <w:sz w:val="18"/>
          <w:u w:val="single"/>
        </w:rPr>
        <w:t>20,092</w:t>
        <w:tab/>
      </w:r>
      <w:r>
        <w:rPr>
          <w:sz w:val="18"/>
          <w:u w:val="single"/>
        </w:rPr>
        <w:t>14,964</w:t>
      </w:r>
    </w:p>
    <w:p>
      <w:pPr>
        <w:pStyle w:val="BodyText"/>
        <w:rPr>
          <w:sz w:val="20"/>
        </w:rPr>
      </w:pPr>
    </w:p>
    <w:p>
      <w:pPr>
        <w:pStyle w:val="Heading8"/>
        <w:spacing w:before="78"/>
        <w:ind w:left="2421"/>
      </w:pPr>
      <w:r>
        <w:rPr/>
        <w:t>Purchase of goods</w:t>
      </w:r>
    </w:p>
    <w:p>
      <w:pPr>
        <w:tabs>
          <w:tab w:pos="7131" w:val="left" w:leader="none"/>
          <w:tab w:pos="8428" w:val="left" w:leader="none"/>
          <w:tab w:pos="9506" w:val="left" w:leader="none"/>
          <w:tab w:pos="10803" w:val="left" w:leader="none"/>
        </w:tabs>
        <w:spacing w:before="57"/>
        <w:ind w:left="2636" w:right="0" w:firstLine="0"/>
        <w:jc w:val="left"/>
        <w:rPr>
          <w:sz w:val="18"/>
        </w:rPr>
      </w:pPr>
      <w:r>
        <w:rPr>
          <w:sz w:val="18"/>
        </w:rPr>
        <w:t>Services</w:t>
      </w:r>
      <w:r>
        <w:rPr>
          <w:spacing w:val="-6"/>
          <w:sz w:val="18"/>
        </w:rPr>
        <w:t> </w:t>
      </w:r>
      <w:r>
        <w:rPr>
          <w:sz w:val="18"/>
        </w:rPr>
        <w:t>to</w:t>
      </w:r>
      <w:r>
        <w:rPr>
          <w:spacing w:val="-6"/>
          <w:sz w:val="18"/>
        </w:rPr>
        <w:t> </w:t>
      </w:r>
      <w:r>
        <w:rPr>
          <w:sz w:val="18"/>
        </w:rPr>
        <w:t>University</w:t>
        <w:tab/>
      </w:r>
      <w:r>
        <w:rPr>
          <w:b/>
          <w:sz w:val="18"/>
        </w:rPr>
        <w:t>-</w:t>
        <w:tab/>
      </w:r>
      <w:r>
        <w:rPr>
          <w:sz w:val="18"/>
        </w:rPr>
        <w:t>-</w:t>
        <w:tab/>
      </w:r>
      <w:r>
        <w:rPr>
          <w:b/>
          <w:sz w:val="18"/>
        </w:rPr>
        <w:t>1,097</w:t>
        <w:tab/>
      </w:r>
      <w:r>
        <w:rPr>
          <w:sz w:val="18"/>
        </w:rPr>
        <w:t>1,497</w:t>
      </w:r>
    </w:p>
    <w:p>
      <w:pPr>
        <w:pStyle w:val="BodyText"/>
        <w:tabs>
          <w:tab w:pos="7131" w:val="left" w:leader="none"/>
          <w:tab w:pos="8428" w:val="left" w:leader="none"/>
          <w:tab w:pos="9406" w:val="left" w:leader="none"/>
          <w:tab w:pos="10703" w:val="left" w:leader="none"/>
        </w:tabs>
        <w:spacing w:before="57"/>
        <w:ind w:left="2636"/>
      </w:pPr>
      <w:r>
        <w:rPr/>
        <w:pict>
          <v:group style="position:absolute;margin-left:290.649994pt;margin-top:14.481892pt;width:276.5pt;height:1pt;mso-position-horizontal-relative:page;mso-position-vertical-relative:paragraph;z-index:4816;mso-wrap-distance-left:0;mso-wrap-distance-right:0" coordorigin="5813,290" coordsize="5530,20">
            <v:line style="position:absolute" from="5814,291" to="5983,291" stroked="true" strokeweight=".06pt" strokecolor="#000000"/>
            <v:line style="position:absolute" from="5814,292" to="5983,292" stroked="true" strokeweight=".06pt" strokecolor="#000000"/>
            <v:line style="position:absolute" from="5814,293" to="5983,293" stroked="true" strokeweight=".06pt" strokecolor="#000000"/>
            <v:line style="position:absolute" from="5814,294" to="5983,294" stroked="true" strokeweight=".06pt" strokecolor="#000000"/>
            <v:line style="position:absolute" from="5814,295" to="5983,295" stroked="true" strokeweight=".06pt" strokecolor="#000000"/>
            <v:line style="position:absolute" from="5814,297" to="5983,297" stroked="true" strokeweight=".06pt" strokecolor="#000000"/>
            <v:line style="position:absolute" from="5814,298" to="5983,298" stroked="true" strokeweight=".06pt" strokecolor="#000000"/>
            <v:line style="position:absolute" from="5814,299" to="5983,299" stroked="true" strokeweight=".06pt" strokecolor="#000000"/>
            <v:line style="position:absolute" from="5814,300" to="5983,300" stroked="true" strokeweight=".06pt" strokecolor="#000000"/>
            <v:line style="position:absolute" from="5814,301" to="5983,301" stroked="true" strokeweight=".06pt" strokecolor="#000000"/>
            <v:line style="position:absolute" from="5814,303" to="5983,303" stroked="true" strokeweight=".06pt" strokecolor="#000000"/>
            <v:line style="position:absolute" from="5814,304" to="5983,304" stroked="true" strokeweight=".06pt" strokecolor="#000000"/>
            <v:line style="position:absolute" from="5814,305" to="5983,305" stroked="true" strokeweight=".06pt" strokecolor="#000000"/>
            <v:line style="position:absolute" from="5814,306" to="5983,306" stroked="true" strokeweight=".06pt" strokecolor="#000000"/>
            <v:line style="position:absolute" from="5814,307" to="5983,307" stroked="true" strokeweight=".06pt" strokecolor="#000000"/>
            <v:line style="position:absolute" from="5814,309" to="5983,309" stroked="true" strokeweight=".06pt" strokecolor="#000000"/>
            <v:line style="position:absolute" from="5983,291" to="7280,291" stroked="true" strokeweight=".06pt" strokecolor="#000000"/>
            <v:line style="position:absolute" from="5983,292" to="7280,292" stroked="true" strokeweight=".06pt" strokecolor="#000000"/>
            <v:line style="position:absolute" from="5983,293" to="7280,293" stroked="true" strokeweight=".06pt" strokecolor="#000000"/>
            <v:line style="position:absolute" from="5983,294" to="7280,294" stroked="true" strokeweight=".06pt" strokecolor="#000000"/>
            <v:line style="position:absolute" from="5983,295" to="7280,295" stroked="true" strokeweight=".06pt" strokecolor="#000000"/>
            <v:line style="position:absolute" from="5983,297" to="7280,297" stroked="true" strokeweight=".06pt" strokecolor="#000000"/>
            <v:line style="position:absolute" from="5983,298" to="7280,298" stroked="true" strokeweight=".06pt" strokecolor="#000000"/>
            <v:line style="position:absolute" from="5983,299" to="7280,299" stroked="true" strokeweight=".06pt" strokecolor="#000000"/>
            <v:line style="position:absolute" from="5983,300" to="7280,300" stroked="true" strokeweight=".06pt" strokecolor="#000000"/>
            <v:line style="position:absolute" from="5983,301" to="7280,301" stroked="true" strokeweight=".06pt" strokecolor="#000000"/>
            <v:line style="position:absolute" from="5983,303" to="7280,303" stroked="true" strokeweight=".06pt" strokecolor="#000000"/>
            <v:line style="position:absolute" from="5983,304" to="7280,304" stroked="true" strokeweight=".06pt" strokecolor="#000000"/>
            <v:line style="position:absolute" from="5983,305" to="7280,305" stroked="true" strokeweight=".06pt" strokecolor="#000000"/>
            <v:line style="position:absolute" from="5983,306" to="7280,306" stroked="true" strokeweight=".06pt" strokecolor="#000000"/>
            <v:line style="position:absolute" from="5983,307" to="7280,307" stroked="true" strokeweight=".06pt" strokecolor="#000000"/>
            <v:line style="position:absolute" from="5983,309" to="7280,309" stroked="true" strokeweight=".06pt" strokecolor="#000000"/>
            <v:line style="position:absolute" from="7280,291" to="8578,291" stroked="true" strokeweight=".06pt" strokecolor="#000000"/>
            <v:line style="position:absolute" from="7280,292" to="8578,292" stroked="true" strokeweight=".06pt" strokecolor="#000000"/>
            <v:line style="position:absolute" from="7280,293" to="8578,293" stroked="true" strokeweight=".06pt" strokecolor="#000000"/>
            <v:line style="position:absolute" from="7280,294" to="8578,294" stroked="true" strokeweight=".06pt" strokecolor="#000000"/>
            <v:line style="position:absolute" from="7280,295" to="8578,295" stroked="true" strokeweight=".06pt" strokecolor="#000000"/>
            <v:line style="position:absolute" from="7280,297" to="8578,297" stroked="true" strokeweight=".06pt" strokecolor="#000000"/>
            <v:line style="position:absolute" from="7280,298" to="8578,298" stroked="true" strokeweight=".06pt" strokecolor="#000000"/>
            <v:line style="position:absolute" from="7280,299" to="8578,299" stroked="true" strokeweight=".06pt" strokecolor="#000000"/>
            <v:line style="position:absolute" from="7280,300" to="8578,300" stroked="true" strokeweight=".06pt" strokecolor="#000000"/>
            <v:line style="position:absolute" from="7280,301" to="8578,301" stroked="true" strokeweight=".06pt" strokecolor="#000000"/>
            <v:line style="position:absolute" from="7280,303" to="8578,303" stroked="true" strokeweight=".06pt" strokecolor="#000000"/>
            <v:line style="position:absolute" from="7280,304" to="8578,304" stroked="true" strokeweight=".06pt" strokecolor="#000000"/>
            <v:line style="position:absolute" from="7280,305" to="8578,305" stroked="true" strokeweight=".06pt" strokecolor="#000000"/>
            <v:line style="position:absolute" from="7280,306" to="8578,306" stroked="true" strokeweight=".06pt" strokecolor="#000000"/>
            <v:line style="position:absolute" from="7280,307" to="8578,307" stroked="true" strokeweight=".06pt" strokecolor="#000000"/>
            <v:line style="position:absolute" from="7280,309" to="8578,309" stroked="true" strokeweight=".06pt" strokecolor="#000000"/>
            <v:line style="position:absolute" from="8578,291" to="8747,291" stroked="true" strokeweight=".06pt" strokecolor="#000000"/>
            <v:line style="position:absolute" from="8578,292" to="8747,292" stroked="true" strokeweight=".06pt" strokecolor="#000000"/>
            <v:line style="position:absolute" from="8578,293" to="8747,293" stroked="true" strokeweight=".06pt" strokecolor="#000000"/>
            <v:line style="position:absolute" from="8578,294" to="8747,294" stroked="true" strokeweight=".06pt" strokecolor="#000000"/>
            <v:line style="position:absolute" from="8578,295" to="8747,295" stroked="true" strokeweight=".06pt" strokecolor="#000000"/>
            <v:line style="position:absolute" from="8578,297" to="8747,297" stroked="true" strokeweight=".06pt" strokecolor="#000000"/>
            <v:line style="position:absolute" from="8578,298" to="8747,298" stroked="true" strokeweight=".06pt" strokecolor="#000000"/>
            <v:line style="position:absolute" from="8578,299" to="8747,299" stroked="true" strokeweight=".06pt" strokecolor="#000000"/>
            <v:line style="position:absolute" from="8578,300" to="8747,300" stroked="true" strokeweight=".06pt" strokecolor="#000000"/>
            <v:line style="position:absolute" from="8578,301" to="8747,301" stroked="true" strokeweight=".06pt" strokecolor="#000000"/>
            <v:line style="position:absolute" from="8578,303" to="8747,303" stroked="true" strokeweight=".06pt" strokecolor="#000000"/>
            <v:line style="position:absolute" from="8578,304" to="8747,304" stroked="true" strokeweight=".06pt" strokecolor="#000000"/>
            <v:line style="position:absolute" from="8578,305" to="8747,305" stroked="true" strokeweight=".06pt" strokecolor="#000000"/>
            <v:line style="position:absolute" from="8578,306" to="8747,306" stroked="true" strokeweight=".06pt" strokecolor="#000000"/>
            <v:line style="position:absolute" from="8578,307" to="8747,307" stroked="true" strokeweight=".06pt" strokecolor="#000000"/>
            <v:line style="position:absolute" from="8578,309" to="8747,309" stroked="true" strokeweight=".06pt" strokecolor="#000000"/>
            <v:line style="position:absolute" from="8747,291" to="10044,291" stroked="true" strokeweight=".06pt" strokecolor="#000000"/>
            <v:line style="position:absolute" from="8747,292" to="10044,292" stroked="true" strokeweight=".06pt" strokecolor="#000000"/>
            <v:line style="position:absolute" from="8747,293" to="10044,293" stroked="true" strokeweight=".06pt" strokecolor="#000000"/>
            <v:line style="position:absolute" from="8747,294" to="10044,294" stroked="true" strokeweight=".06pt" strokecolor="#000000"/>
            <v:line style="position:absolute" from="8747,295" to="10044,295" stroked="true" strokeweight=".06pt" strokecolor="#000000"/>
            <v:line style="position:absolute" from="8747,297" to="10044,297" stroked="true" strokeweight=".06pt" strokecolor="#000000"/>
            <v:line style="position:absolute" from="8747,298" to="10044,298" stroked="true" strokeweight=".06pt" strokecolor="#000000"/>
            <v:line style="position:absolute" from="8747,299" to="10044,299" stroked="true" strokeweight=".06pt" strokecolor="#000000"/>
            <v:line style="position:absolute" from="8747,300" to="10044,300" stroked="true" strokeweight=".06pt" strokecolor="#000000"/>
            <v:line style="position:absolute" from="8747,301" to="10044,301" stroked="true" strokeweight=".06pt" strokecolor="#000000"/>
            <v:line style="position:absolute" from="8747,303" to="10044,303" stroked="true" strokeweight=".06pt" strokecolor="#000000"/>
            <v:line style="position:absolute" from="8747,304" to="10044,304" stroked="true" strokeweight=".06pt" strokecolor="#000000"/>
            <v:line style="position:absolute" from="8747,305" to="10044,305" stroked="true" strokeweight=".06pt" strokecolor="#000000"/>
            <v:line style="position:absolute" from="8747,306" to="10044,306" stroked="true" strokeweight=".06pt" strokecolor="#000000"/>
            <v:line style="position:absolute" from="8747,307" to="10044,307" stroked="true" strokeweight=".06pt" strokecolor="#000000"/>
            <v:line style="position:absolute" from="8747,309" to="10044,309" stroked="true" strokeweight=".06pt" strokecolor="#000000"/>
            <v:line style="position:absolute" from="10044,291" to="11341,291" stroked="true" strokeweight=".06pt" strokecolor="#000000"/>
            <v:line style="position:absolute" from="10044,292" to="11341,292" stroked="true" strokeweight=".06pt" strokecolor="#000000"/>
            <v:line style="position:absolute" from="10044,293" to="11341,293" stroked="true" strokeweight=".06pt" strokecolor="#000000"/>
            <v:line style="position:absolute" from="10044,294" to="11341,294" stroked="true" strokeweight=".06pt" strokecolor="#000000"/>
            <v:line style="position:absolute" from="10044,295" to="11341,295" stroked="true" strokeweight=".06pt" strokecolor="#000000"/>
            <v:line style="position:absolute" from="10044,297" to="11341,297" stroked="true" strokeweight=".06pt" strokecolor="#000000"/>
            <v:line style="position:absolute" from="10044,298" to="11341,298" stroked="true" strokeweight=".06pt" strokecolor="#000000"/>
            <v:line style="position:absolute" from="10044,299" to="11341,299" stroked="true" strokeweight=".06pt" strokecolor="#000000"/>
            <v:line style="position:absolute" from="10044,300" to="11341,300" stroked="true" strokeweight=".06pt" strokecolor="#000000"/>
            <v:line style="position:absolute" from="10044,301" to="11341,301" stroked="true" strokeweight=".06pt" strokecolor="#000000"/>
            <v:line style="position:absolute" from="10044,303" to="11341,303" stroked="true" strokeweight=".06pt" strokecolor="#000000"/>
            <v:line style="position:absolute" from="10044,304" to="11341,304" stroked="true" strokeweight=".06pt" strokecolor="#000000"/>
            <v:line style="position:absolute" from="10044,305" to="11341,305" stroked="true" strokeweight=".06pt" strokecolor="#000000"/>
            <v:line style="position:absolute" from="10044,306" to="11341,306" stroked="true" strokeweight=".06pt" strokecolor="#000000"/>
            <v:line style="position:absolute" from="10044,307" to="11341,307" stroked="true" strokeweight=".06pt" strokecolor="#000000"/>
            <v:line style="position:absolute" from="10044,309" to="11341,309" stroked="true" strokeweight=".06pt" strokecolor="#000000"/>
            <v:line style="position:absolute" from="5814,291" to="5983,291" stroked="true" strokeweight=".06pt" strokecolor="#000000"/>
            <v:line style="position:absolute" from="5814,292" to="5983,292" stroked="true" strokeweight=".06pt" strokecolor="#000000"/>
            <v:line style="position:absolute" from="5814,293" to="5983,293" stroked="true" strokeweight=".06pt" strokecolor="#000000"/>
            <v:line style="position:absolute" from="5814,294" to="5983,294" stroked="true" strokeweight=".06pt" strokecolor="#000000"/>
            <v:line style="position:absolute" from="5814,295" to="5983,295" stroked="true" strokeweight=".06pt" strokecolor="#000000"/>
            <v:line style="position:absolute" from="5814,297" to="5983,297" stroked="true" strokeweight=".06pt" strokecolor="#000000"/>
            <v:line style="position:absolute" from="5814,298" to="5983,298" stroked="true" strokeweight=".06pt" strokecolor="#000000"/>
            <v:line style="position:absolute" from="5814,299" to="5983,299" stroked="true" strokeweight=".06pt" strokecolor="#000000"/>
            <v:line style="position:absolute" from="5814,300" to="5983,300" stroked="true" strokeweight=".06pt" strokecolor="#000000"/>
            <v:line style="position:absolute" from="5814,301" to="5983,301" stroked="true" strokeweight=".06pt" strokecolor="#000000"/>
            <v:line style="position:absolute" from="5814,303" to="5983,303" stroked="true" strokeweight=".06pt" strokecolor="#000000"/>
            <v:line style="position:absolute" from="5814,304" to="5983,304" stroked="true" strokeweight=".06pt" strokecolor="#000000"/>
            <v:line style="position:absolute" from="5814,305" to="5983,305" stroked="true" strokeweight=".06pt" strokecolor="#000000"/>
            <v:line style="position:absolute" from="5814,306" to="5983,306" stroked="true" strokeweight=".06pt" strokecolor="#000000"/>
            <v:line style="position:absolute" from="5814,307" to="5983,307" stroked="true" strokeweight=".06pt" strokecolor="#000000"/>
            <v:line style="position:absolute" from="5814,309" to="5983,309" stroked="true" strokeweight=".06pt" strokecolor="#000000"/>
            <v:line style="position:absolute" from="5983,291" to="7280,291" stroked="true" strokeweight=".06pt" strokecolor="#000000"/>
            <v:line style="position:absolute" from="5983,292" to="7280,292" stroked="true" strokeweight=".06pt" strokecolor="#000000"/>
            <v:line style="position:absolute" from="5983,293" to="7280,293" stroked="true" strokeweight=".06pt" strokecolor="#000000"/>
            <v:line style="position:absolute" from="5983,294" to="7280,294" stroked="true" strokeweight=".06pt" strokecolor="#000000"/>
            <v:line style="position:absolute" from="5983,295" to="7280,295" stroked="true" strokeweight=".06pt" strokecolor="#000000"/>
            <v:line style="position:absolute" from="5983,297" to="7280,297" stroked="true" strokeweight=".06pt" strokecolor="#000000"/>
            <v:line style="position:absolute" from="5983,298" to="7280,298" stroked="true" strokeweight=".06pt" strokecolor="#000000"/>
            <v:line style="position:absolute" from="5983,299" to="7280,299" stroked="true" strokeweight=".06pt" strokecolor="#000000"/>
            <v:line style="position:absolute" from="5983,300" to="7280,300" stroked="true" strokeweight=".06pt" strokecolor="#000000"/>
            <v:line style="position:absolute" from="5983,301" to="7280,301" stroked="true" strokeweight=".06pt" strokecolor="#000000"/>
            <v:line style="position:absolute" from="5983,303" to="7280,303" stroked="true" strokeweight=".06pt" strokecolor="#000000"/>
            <v:line style="position:absolute" from="5983,304" to="7280,304" stroked="true" strokeweight=".06pt" strokecolor="#000000"/>
            <v:line style="position:absolute" from="5983,305" to="7280,305" stroked="true" strokeweight=".06pt" strokecolor="#000000"/>
            <v:line style="position:absolute" from="5983,306" to="7280,306" stroked="true" strokeweight=".06pt" strokecolor="#000000"/>
            <v:line style="position:absolute" from="5983,307" to="7280,307" stroked="true" strokeweight=".06pt" strokecolor="#000000"/>
            <v:line style="position:absolute" from="5983,309" to="7280,309" stroked="true" strokeweight=".06pt" strokecolor="#000000"/>
            <v:line style="position:absolute" from="7280,291" to="8578,291" stroked="true" strokeweight=".06pt" strokecolor="#000000"/>
            <v:line style="position:absolute" from="7280,292" to="8578,292" stroked="true" strokeweight=".06pt" strokecolor="#000000"/>
            <v:line style="position:absolute" from="7280,293" to="8578,293" stroked="true" strokeweight=".06pt" strokecolor="#000000"/>
            <v:line style="position:absolute" from="7280,294" to="8578,294" stroked="true" strokeweight=".06pt" strokecolor="#000000"/>
            <v:line style="position:absolute" from="7280,295" to="8578,295" stroked="true" strokeweight=".06pt" strokecolor="#000000"/>
            <v:line style="position:absolute" from="7280,297" to="8578,297" stroked="true" strokeweight=".06pt" strokecolor="#000000"/>
            <v:line style="position:absolute" from="7280,298" to="8578,298" stroked="true" strokeweight=".06pt" strokecolor="#000000"/>
            <v:line style="position:absolute" from="7280,299" to="8578,299" stroked="true" strokeweight=".06pt" strokecolor="#000000"/>
            <v:line style="position:absolute" from="7280,300" to="8578,300" stroked="true" strokeweight=".06pt" strokecolor="#000000"/>
            <v:line style="position:absolute" from="7280,301" to="8578,301" stroked="true" strokeweight=".06pt" strokecolor="#000000"/>
            <v:line style="position:absolute" from="7280,303" to="8578,303" stroked="true" strokeweight=".06pt" strokecolor="#000000"/>
            <v:line style="position:absolute" from="7280,304" to="8578,304" stroked="true" strokeweight=".06pt" strokecolor="#000000"/>
            <v:line style="position:absolute" from="7280,305" to="8578,305" stroked="true" strokeweight=".06pt" strokecolor="#000000"/>
            <v:line style="position:absolute" from="7280,306" to="8578,306" stroked="true" strokeweight=".06pt" strokecolor="#000000"/>
            <v:line style="position:absolute" from="7280,307" to="8578,307" stroked="true" strokeweight=".06pt" strokecolor="#000000"/>
            <v:line style="position:absolute" from="7280,309" to="8578,309" stroked="true" strokeweight=".06pt" strokecolor="#000000"/>
            <v:line style="position:absolute" from="8578,291" to="8747,291" stroked="true" strokeweight=".06pt" strokecolor="#000000"/>
            <v:line style="position:absolute" from="8578,292" to="8747,292" stroked="true" strokeweight=".06pt" strokecolor="#000000"/>
            <v:line style="position:absolute" from="8578,293" to="8747,293" stroked="true" strokeweight=".06pt" strokecolor="#000000"/>
            <v:line style="position:absolute" from="8578,294" to="8747,294" stroked="true" strokeweight=".06pt" strokecolor="#000000"/>
            <v:line style="position:absolute" from="8578,295" to="8747,295" stroked="true" strokeweight=".06pt" strokecolor="#000000"/>
            <v:line style="position:absolute" from="8578,297" to="8747,297" stroked="true" strokeweight=".06pt" strokecolor="#000000"/>
            <v:line style="position:absolute" from="8578,298" to="8747,298" stroked="true" strokeweight=".06pt" strokecolor="#000000"/>
            <v:line style="position:absolute" from="8578,299" to="8747,299" stroked="true" strokeweight=".06pt" strokecolor="#000000"/>
            <v:line style="position:absolute" from="8578,300" to="8747,300" stroked="true" strokeweight=".06pt" strokecolor="#000000"/>
            <v:line style="position:absolute" from="8578,301" to="8747,301" stroked="true" strokeweight=".06pt" strokecolor="#000000"/>
            <v:line style="position:absolute" from="8578,303" to="8747,303" stroked="true" strokeweight=".06pt" strokecolor="#000000"/>
            <v:line style="position:absolute" from="8578,304" to="8747,304" stroked="true" strokeweight=".06pt" strokecolor="#000000"/>
            <v:line style="position:absolute" from="8578,305" to="8747,305" stroked="true" strokeweight=".06pt" strokecolor="#000000"/>
            <v:line style="position:absolute" from="8578,306" to="8747,306" stroked="true" strokeweight=".06pt" strokecolor="#000000"/>
            <v:line style="position:absolute" from="8578,307" to="8747,307" stroked="true" strokeweight=".06pt" strokecolor="#000000"/>
            <v:line style="position:absolute" from="8578,309" to="8747,309" stroked="true" strokeweight=".06pt" strokecolor="#000000"/>
            <v:line style="position:absolute" from="8747,291" to="10044,291" stroked="true" strokeweight=".06pt" strokecolor="#000000"/>
            <v:line style="position:absolute" from="8747,292" to="10044,292" stroked="true" strokeweight=".06pt" strokecolor="#000000"/>
            <v:line style="position:absolute" from="8747,293" to="10044,293" stroked="true" strokeweight=".06pt" strokecolor="#000000"/>
            <v:line style="position:absolute" from="8747,294" to="10044,294" stroked="true" strokeweight=".06pt" strokecolor="#000000"/>
            <v:line style="position:absolute" from="8747,295" to="10044,295" stroked="true" strokeweight=".06pt" strokecolor="#000000"/>
            <v:line style="position:absolute" from="8747,297" to="10044,297" stroked="true" strokeweight=".06pt" strokecolor="#000000"/>
            <v:line style="position:absolute" from="8747,298" to="10044,298" stroked="true" strokeweight=".06pt" strokecolor="#000000"/>
            <v:line style="position:absolute" from="8747,299" to="10044,299" stroked="true" strokeweight=".06pt" strokecolor="#000000"/>
            <v:line style="position:absolute" from="8747,300" to="10044,300" stroked="true" strokeweight=".06pt" strokecolor="#000000"/>
            <v:line style="position:absolute" from="8747,301" to="10044,301" stroked="true" strokeweight=".06pt" strokecolor="#000000"/>
            <v:line style="position:absolute" from="8747,303" to="10044,303" stroked="true" strokeweight=".06pt" strokecolor="#000000"/>
            <v:line style="position:absolute" from="8747,304" to="10044,304" stroked="true" strokeweight=".06pt" strokecolor="#000000"/>
            <v:line style="position:absolute" from="8747,305" to="10044,305" stroked="true" strokeweight=".06pt" strokecolor="#000000"/>
            <v:line style="position:absolute" from="8747,306" to="10044,306" stroked="true" strokeweight=".06pt" strokecolor="#000000"/>
            <v:line style="position:absolute" from="8747,307" to="10044,307" stroked="true" strokeweight=".06pt" strokecolor="#000000"/>
            <v:line style="position:absolute" from="8747,309" to="10044,309" stroked="true" strokeweight=".06pt" strokecolor="#000000"/>
            <v:line style="position:absolute" from="10044,291" to="11341,291" stroked="true" strokeweight=".06pt" strokecolor="#000000"/>
            <v:line style="position:absolute" from="10044,292" to="11341,292" stroked="true" strokeweight=".06pt" strokecolor="#000000"/>
            <v:line style="position:absolute" from="10044,293" to="11341,293" stroked="true" strokeweight=".06pt" strokecolor="#000000"/>
            <v:line style="position:absolute" from="10044,294" to="11341,294" stroked="true" strokeweight=".06pt" strokecolor="#000000"/>
            <v:line style="position:absolute" from="10044,295" to="11341,295" stroked="true" strokeweight=".06pt" strokecolor="#000000"/>
            <v:line style="position:absolute" from="10044,297" to="11341,297" stroked="true" strokeweight=".06pt" strokecolor="#000000"/>
            <v:line style="position:absolute" from="10044,298" to="11341,298" stroked="true" strokeweight=".06pt" strokecolor="#000000"/>
            <v:line style="position:absolute" from="10044,299" to="11341,299" stroked="true" strokeweight=".06pt" strokecolor="#000000"/>
            <v:line style="position:absolute" from="10044,300" to="11341,300" stroked="true" strokeweight=".06pt" strokecolor="#000000"/>
            <v:line style="position:absolute" from="10044,301" to="11341,301" stroked="true" strokeweight=".06pt" strokecolor="#000000"/>
            <v:line style="position:absolute" from="10044,303" to="11341,303" stroked="true" strokeweight=".06pt" strokecolor="#000000"/>
            <v:line style="position:absolute" from="10044,304" to="11341,304" stroked="true" strokeweight=".06pt" strokecolor="#000000"/>
            <v:line style="position:absolute" from="10044,305" to="11341,305" stroked="true" strokeweight=".06pt" strokecolor="#000000"/>
            <v:line style="position:absolute" from="10044,306" to="11341,306" stroked="true" strokeweight=".06pt" strokecolor="#000000"/>
            <v:line style="position:absolute" from="10044,307" to="11341,307" stroked="true" strokeweight=".06pt" strokecolor="#000000"/>
            <v:line style="position:absolute" from="10044,309" to="11341,309" stroked="true" strokeweight=".06pt" strokecolor="#000000"/>
            <w10:wrap type="topAndBottom"/>
          </v:group>
        </w:pict>
      </w:r>
      <w:bookmarkStart w:name="(e) Loans to/from related parties" w:id="133"/>
      <w:bookmarkEnd w:id="133"/>
      <w:r>
        <w:rPr/>
      </w:r>
      <w:r>
        <w:rPr/>
        <w:t>Funding to</w:t>
      </w:r>
      <w:r>
        <w:rPr>
          <w:spacing w:val="-11"/>
        </w:rPr>
        <w:t> </w:t>
      </w:r>
      <w:r>
        <w:rPr/>
        <w:t>controlled</w:t>
      </w:r>
      <w:r>
        <w:rPr>
          <w:spacing w:val="-6"/>
        </w:rPr>
        <w:t> </w:t>
      </w:r>
      <w:r>
        <w:rPr/>
        <w:t>entities</w:t>
        <w:tab/>
      </w:r>
      <w:r>
        <w:rPr>
          <w:b/>
        </w:rPr>
        <w:t>-</w:t>
        <w:tab/>
      </w:r>
      <w:r>
        <w:rPr/>
        <w:t>-</w:t>
        <w:tab/>
      </w:r>
      <w:r>
        <w:rPr>
          <w:b/>
        </w:rPr>
        <w:t>53,671</w:t>
        <w:tab/>
      </w:r>
      <w:r>
        <w:rPr/>
        <w:t>49,558</w:t>
      </w:r>
    </w:p>
    <w:p>
      <w:pPr>
        <w:pStyle w:val="Heading8"/>
        <w:tabs>
          <w:tab w:pos="7131" w:val="left" w:leader="none"/>
          <w:tab w:pos="8428" w:val="left" w:leader="none"/>
          <w:tab w:pos="9406" w:val="left" w:leader="none"/>
          <w:tab w:pos="10703" w:val="left" w:leader="none"/>
        </w:tabs>
        <w:spacing w:before="84"/>
        <w:ind w:left="2421"/>
        <w:rPr>
          <w:b w:val="0"/>
        </w:rPr>
      </w:pPr>
      <w:r>
        <w:rPr/>
        <w:t>Total purchase of goods</w:t>
        <w:tab/>
        <w:t>-</w:t>
        <w:tab/>
      </w:r>
      <w:r>
        <w:rPr>
          <w:b w:val="0"/>
        </w:rPr>
        <w:t>-</w:t>
        <w:tab/>
      </w:r>
      <w:r>
        <w:rPr/>
        <w:t>54,768</w:t>
        <w:tab/>
      </w:r>
      <w:r>
        <w:rPr>
          <w:b w:val="0"/>
        </w:rPr>
        <w:t>51,055</w:t>
      </w:r>
    </w:p>
    <w:p>
      <w:pPr>
        <w:pStyle w:val="BodyText"/>
        <w:spacing w:line="20" w:lineRule="exact"/>
        <w:ind w:left="5813"/>
        <w:rPr>
          <w:sz w:val="2"/>
        </w:rPr>
      </w:pPr>
      <w:r>
        <w:rPr>
          <w:sz w:val="2"/>
        </w:rPr>
        <w:pict>
          <v:group style="width:276.5pt;height:1pt;mso-position-horizontal-relative:char;mso-position-vertical-relative:line" coordorigin="0,0" coordsize="5530,20">
            <v:line style="position:absolute" from="1,1" to="170,1" stroked="true" strokeweight=".06pt" strokecolor="#000000"/>
            <v:line style="position:absolute" from="1,2" to="170,2" stroked="true" strokeweight=".06pt" strokecolor="#000000"/>
            <v:line style="position:absolute" from="1,3" to="170,3" stroked="true" strokeweight=".06pt" strokecolor="#000000"/>
            <v:line style="position:absolute" from="1,5" to="170,5" stroked="true" strokeweight=".06pt" strokecolor="#000000"/>
            <v:line style="position:absolute" from="1,6" to="170,6" stroked="true" strokeweight=".06pt" strokecolor="#000000"/>
            <v:line style="position:absolute" from="1,7" to="170,7" stroked="true" strokeweight=".06pt" strokecolor="#000000"/>
            <v:line style="position:absolute" from="1,8" to="170,8" stroked="true" strokeweight=".06pt" strokecolor="#000000"/>
            <v:line style="position:absolute" from="1,9" to="170,9" stroked="true" strokeweight=".06pt" strokecolor="#000000"/>
            <v:line style="position:absolute" from="1,11" to="170,11" stroked="true" strokeweight=".06pt" strokecolor="#000000"/>
            <v:line style="position:absolute" from="1,12" to="170,12" stroked="true" strokeweight=".06pt" strokecolor="#000000"/>
            <v:line style="position:absolute" from="1,13" to="170,13" stroked="true" strokeweight=".06pt" strokecolor="#000000"/>
            <v:line style="position:absolute" from="1,14" to="170,14" stroked="true" strokeweight=".06pt" strokecolor="#000000"/>
            <v:line style="position:absolute" from="1,15" to="170,15" stroked="true" strokeweight=".06pt" strokecolor="#000000"/>
            <v:line style="position:absolute" from="1,17" to="170,17" stroked="true" strokeweight=".06pt" strokecolor="#000000"/>
            <v:line style="position:absolute" from="1,18" to="170,18" stroked="true" strokeweight=".06pt" strokecolor="#000000"/>
            <v:line style="position:absolute" from="1,19" to="170,19" stroked="true" strokeweight=".06pt" strokecolor="#000000"/>
            <v:line style="position:absolute" from="170,1" to="1467,1" stroked="true" strokeweight=".06pt" strokecolor="#000000"/>
            <v:line style="position:absolute" from="170,2" to="1467,2" stroked="true" strokeweight=".06pt" strokecolor="#000000"/>
            <v:line style="position:absolute" from="170,3" to="1467,3" stroked="true" strokeweight=".06pt" strokecolor="#000000"/>
            <v:line style="position:absolute" from="170,5" to="1467,5" stroked="true" strokeweight=".06pt" strokecolor="#000000"/>
            <v:line style="position:absolute" from="170,6" to="1467,6" stroked="true" strokeweight=".06pt" strokecolor="#000000"/>
            <v:line style="position:absolute" from="170,7" to="1467,7" stroked="true" strokeweight=".06pt" strokecolor="#000000"/>
            <v:line style="position:absolute" from="170,8" to="1467,8" stroked="true" strokeweight=".06pt" strokecolor="#000000"/>
            <v:line style="position:absolute" from="170,9" to="1467,9" stroked="true" strokeweight=".06pt" strokecolor="#000000"/>
            <v:line style="position:absolute" from="170,11" to="1467,11" stroked="true" strokeweight=".06pt" strokecolor="#000000"/>
            <v:line style="position:absolute" from="170,12" to="1467,12" stroked="true" strokeweight=".06pt" strokecolor="#000000"/>
            <v:line style="position:absolute" from="170,13" to="1467,13" stroked="true" strokeweight=".06pt" strokecolor="#000000"/>
            <v:line style="position:absolute" from="170,14" to="1467,14" stroked="true" strokeweight=".06pt" strokecolor="#000000"/>
            <v:line style="position:absolute" from="170,15" to="1467,15" stroked="true" strokeweight=".06pt" strokecolor="#000000"/>
            <v:line style="position:absolute" from="170,17" to="1467,17" stroked="true" strokeweight=".06pt" strokecolor="#000000"/>
            <v:line style="position:absolute" from="170,18" to="1467,18" stroked="true" strokeweight=".06pt" strokecolor="#000000"/>
            <v:line style="position:absolute" from="170,19" to="1467,19" stroked="true" strokeweight=".06pt" strokecolor="#000000"/>
            <v:line style="position:absolute" from="1467,1" to="2765,1" stroked="true" strokeweight=".06pt" strokecolor="#000000"/>
            <v:line style="position:absolute" from="1467,2" to="2765,2" stroked="true" strokeweight=".06pt" strokecolor="#000000"/>
            <v:line style="position:absolute" from="1467,3" to="2765,3" stroked="true" strokeweight=".06pt" strokecolor="#000000"/>
            <v:line style="position:absolute" from="1467,5" to="2765,5" stroked="true" strokeweight=".06pt" strokecolor="#000000"/>
            <v:line style="position:absolute" from="1467,6" to="2765,6" stroked="true" strokeweight=".06pt" strokecolor="#000000"/>
            <v:line style="position:absolute" from="1467,7" to="2765,7" stroked="true" strokeweight=".06pt" strokecolor="#000000"/>
            <v:line style="position:absolute" from="1467,8" to="2765,8" stroked="true" strokeweight=".06pt" strokecolor="#000000"/>
            <v:line style="position:absolute" from="1467,9" to="2765,9" stroked="true" strokeweight=".06pt" strokecolor="#000000"/>
            <v:line style="position:absolute" from="1467,11" to="2765,11" stroked="true" strokeweight=".06pt" strokecolor="#000000"/>
            <v:line style="position:absolute" from="1467,12" to="2765,12" stroked="true" strokeweight=".06pt" strokecolor="#000000"/>
            <v:line style="position:absolute" from="1467,13" to="2765,13" stroked="true" strokeweight=".06pt" strokecolor="#000000"/>
            <v:line style="position:absolute" from="1467,14" to="2765,14" stroked="true" strokeweight=".06pt" strokecolor="#000000"/>
            <v:line style="position:absolute" from="1467,15" to="2765,15" stroked="true" strokeweight=".06pt" strokecolor="#000000"/>
            <v:line style="position:absolute" from="1467,17" to="2765,17" stroked="true" strokeweight=".06pt" strokecolor="#000000"/>
            <v:line style="position:absolute" from="1467,18" to="2765,18" stroked="true" strokeweight=".06pt" strokecolor="#000000"/>
            <v:line style="position:absolute" from="1467,19" to="2765,19" stroked="true" strokeweight=".06pt" strokecolor="#000000"/>
            <v:line style="position:absolute" from="2765,1" to="2934,1" stroked="true" strokeweight=".06pt" strokecolor="#000000"/>
            <v:line style="position:absolute" from="2765,2" to="2934,2" stroked="true" strokeweight=".06pt" strokecolor="#000000"/>
            <v:line style="position:absolute" from="2765,3" to="2934,3" stroked="true" strokeweight=".06pt" strokecolor="#000000"/>
            <v:line style="position:absolute" from="2765,5" to="2934,5" stroked="true" strokeweight=".06pt" strokecolor="#000000"/>
            <v:line style="position:absolute" from="2765,6" to="2934,6" stroked="true" strokeweight=".06pt" strokecolor="#000000"/>
            <v:line style="position:absolute" from="2765,7" to="2934,7" stroked="true" strokeweight=".06pt" strokecolor="#000000"/>
            <v:line style="position:absolute" from="2765,8" to="2934,8" stroked="true" strokeweight=".06pt" strokecolor="#000000"/>
            <v:line style="position:absolute" from="2765,9" to="2934,9" stroked="true" strokeweight=".06pt" strokecolor="#000000"/>
            <v:line style="position:absolute" from="2765,11" to="2934,11" stroked="true" strokeweight=".06pt" strokecolor="#000000"/>
            <v:line style="position:absolute" from="2765,12" to="2934,12" stroked="true" strokeweight=".06pt" strokecolor="#000000"/>
            <v:line style="position:absolute" from="2765,13" to="2934,13" stroked="true" strokeweight=".06pt" strokecolor="#000000"/>
            <v:line style="position:absolute" from="2765,14" to="2934,14" stroked="true" strokeweight=".06pt" strokecolor="#000000"/>
            <v:line style="position:absolute" from="2765,15" to="2934,15" stroked="true" strokeweight=".06pt" strokecolor="#000000"/>
            <v:line style="position:absolute" from="2765,17" to="2934,17" stroked="true" strokeweight=".06pt" strokecolor="#000000"/>
            <v:line style="position:absolute" from="2765,18" to="2934,18" stroked="true" strokeweight=".06pt" strokecolor="#000000"/>
            <v:line style="position:absolute" from="2765,19" to="2934,19" stroked="true" strokeweight=".06pt" strokecolor="#000000"/>
            <v:line style="position:absolute" from="2934,1" to="4231,1" stroked="true" strokeweight=".06pt" strokecolor="#000000"/>
            <v:line style="position:absolute" from="2934,2" to="4231,2" stroked="true" strokeweight=".06pt" strokecolor="#000000"/>
            <v:line style="position:absolute" from="2934,3" to="4231,3" stroked="true" strokeweight=".06pt" strokecolor="#000000"/>
            <v:line style="position:absolute" from="2934,5" to="4231,5" stroked="true" strokeweight=".06pt" strokecolor="#000000"/>
            <v:line style="position:absolute" from="2934,6" to="4231,6" stroked="true" strokeweight=".06pt" strokecolor="#000000"/>
            <v:line style="position:absolute" from="2934,7" to="4231,7" stroked="true" strokeweight=".06pt" strokecolor="#000000"/>
            <v:line style="position:absolute" from="2934,8" to="4231,8" stroked="true" strokeweight=".06pt" strokecolor="#000000"/>
            <v:line style="position:absolute" from="2934,9" to="4231,9" stroked="true" strokeweight=".06pt" strokecolor="#000000"/>
            <v:line style="position:absolute" from="2934,11" to="4231,11" stroked="true" strokeweight=".06pt" strokecolor="#000000"/>
            <v:line style="position:absolute" from="2934,12" to="4231,12" stroked="true" strokeweight=".06pt" strokecolor="#000000"/>
            <v:line style="position:absolute" from="2934,13" to="4231,13" stroked="true" strokeweight=".06pt" strokecolor="#000000"/>
            <v:line style="position:absolute" from="2934,14" to="4231,14" stroked="true" strokeweight=".06pt" strokecolor="#000000"/>
            <v:line style="position:absolute" from="2934,15" to="4231,15" stroked="true" strokeweight=".06pt" strokecolor="#000000"/>
            <v:line style="position:absolute" from="2934,17" to="4231,17" stroked="true" strokeweight=".06pt" strokecolor="#000000"/>
            <v:line style="position:absolute" from="2934,18" to="4231,18" stroked="true" strokeweight=".06pt" strokecolor="#000000"/>
            <v:line style="position:absolute" from="2934,19" to="4231,19" stroked="true" strokeweight=".06pt" strokecolor="#000000"/>
            <v:line style="position:absolute" from="4231,1" to="5528,1" stroked="true" strokeweight=".06pt" strokecolor="#000000"/>
            <v:line style="position:absolute" from="4231,2" to="5528,2" stroked="true" strokeweight=".06pt" strokecolor="#000000"/>
            <v:line style="position:absolute" from="4231,3" to="5528,3" stroked="true" strokeweight=".06pt" strokecolor="#000000"/>
            <v:line style="position:absolute" from="4231,5" to="5528,5" stroked="true" strokeweight=".06pt" strokecolor="#000000"/>
            <v:line style="position:absolute" from="4231,6" to="5528,6" stroked="true" strokeweight=".06pt" strokecolor="#000000"/>
            <v:line style="position:absolute" from="4231,7" to="5528,7" stroked="true" strokeweight=".06pt" strokecolor="#000000"/>
            <v:line style="position:absolute" from="4231,8" to="5528,8" stroked="true" strokeweight=".06pt" strokecolor="#000000"/>
            <v:line style="position:absolute" from="4231,9" to="5528,9" stroked="true" strokeweight=".06pt" strokecolor="#000000"/>
            <v:line style="position:absolute" from="4231,11" to="5528,11" stroked="true" strokeweight=".06pt" strokecolor="#000000"/>
            <v:line style="position:absolute" from="4231,12" to="5528,12" stroked="true" strokeweight=".06pt" strokecolor="#000000"/>
            <v:line style="position:absolute" from="4231,13" to="5528,13" stroked="true" strokeweight=".06pt" strokecolor="#000000"/>
            <v:line style="position:absolute" from="4231,14" to="5528,14" stroked="true" strokeweight=".06pt" strokecolor="#000000"/>
            <v:line style="position:absolute" from="4231,15" to="5528,15" stroked="true" strokeweight=".06pt" strokecolor="#000000"/>
            <v:line style="position:absolute" from="4231,17" to="5528,17" stroked="true" strokeweight=".06pt" strokecolor="#000000"/>
            <v:line style="position:absolute" from="4231,18" to="5528,18" stroked="true" strokeweight=".06pt" strokecolor="#000000"/>
            <v:line style="position:absolute" from="4231,19" to="5528,19" stroked="true" strokeweight=".06pt" strokecolor="#000000"/>
          </v:group>
        </w:pict>
      </w:r>
      <w:r>
        <w:rPr>
          <w:sz w:val="2"/>
        </w:rPr>
      </w:r>
    </w:p>
    <w:p>
      <w:pPr>
        <w:pStyle w:val="BodyText"/>
        <w:spacing w:before="10"/>
        <w:rPr>
          <w:sz w:val="19"/>
        </w:rPr>
      </w:pPr>
    </w:p>
    <w:p>
      <w:pPr>
        <w:pStyle w:val="ListParagraph"/>
        <w:numPr>
          <w:ilvl w:val="1"/>
          <w:numId w:val="29"/>
        </w:numPr>
        <w:tabs>
          <w:tab w:pos="2392" w:val="left" w:leader="none"/>
        </w:tabs>
        <w:spacing w:line="240" w:lineRule="auto" w:before="77" w:after="36"/>
        <w:ind w:left="2391" w:right="0" w:hanging="566"/>
        <w:jc w:val="left"/>
        <w:rPr>
          <w:sz w:val="18"/>
        </w:rPr>
      </w:pPr>
      <w:r>
        <w:rPr/>
        <w:drawing>
          <wp:anchor distT="0" distB="0" distL="0" distR="0" allowOverlap="1" layoutInCell="1" locked="0" behindDoc="0" simplePos="0" relativeHeight="4888">
            <wp:simplePos x="0" y="0"/>
            <wp:positionH relativeFrom="page">
              <wp:posOffset>-1587</wp:posOffset>
            </wp:positionH>
            <wp:positionV relativeFrom="paragraph">
              <wp:posOffset>277417</wp:posOffset>
            </wp:positionV>
            <wp:extent cx="135159" cy="154019"/>
            <wp:effectExtent l="0" t="0" r="0" b="0"/>
            <wp:wrapNone/>
            <wp:docPr id="305" name="image13.png" descr=""/>
            <wp:cNvGraphicFramePr>
              <a:graphicFrameLocks noChangeAspect="1"/>
            </wp:cNvGraphicFramePr>
            <a:graphic>
              <a:graphicData uri="http://schemas.openxmlformats.org/drawingml/2006/picture">
                <pic:pic>
                  <pic:nvPicPr>
                    <pic:cNvPr id="306" name="image13.png"/>
                    <pic:cNvPicPr/>
                  </pic:nvPicPr>
                  <pic:blipFill>
                    <a:blip r:embed="rId18" cstate="print"/>
                    <a:stretch>
                      <a:fillRect/>
                    </a:stretch>
                  </pic:blipFill>
                  <pic:spPr>
                    <a:xfrm>
                      <a:off x="0" y="0"/>
                      <a:ext cx="135159" cy="154019"/>
                    </a:xfrm>
                    <a:prstGeom prst="rect">
                      <a:avLst/>
                    </a:prstGeom>
                  </pic:spPr>
                </pic:pic>
              </a:graphicData>
            </a:graphic>
          </wp:anchor>
        </w:drawing>
      </w:r>
      <w:r>
        <w:rPr/>
        <w:drawing>
          <wp:anchor distT="0" distB="0" distL="0" distR="0" allowOverlap="1" layoutInCell="1" locked="0" behindDoc="0" simplePos="0" relativeHeight="4912">
            <wp:simplePos x="0" y="0"/>
            <wp:positionH relativeFrom="page">
              <wp:posOffset>7958429</wp:posOffset>
            </wp:positionH>
            <wp:positionV relativeFrom="paragraph">
              <wp:posOffset>277417</wp:posOffset>
            </wp:positionV>
            <wp:extent cx="135953" cy="155575"/>
            <wp:effectExtent l="0" t="0" r="0" b="0"/>
            <wp:wrapNone/>
            <wp:docPr id="307" name="image15.png" descr=""/>
            <wp:cNvGraphicFramePr>
              <a:graphicFrameLocks noChangeAspect="1"/>
            </wp:cNvGraphicFramePr>
            <a:graphic>
              <a:graphicData uri="http://schemas.openxmlformats.org/drawingml/2006/picture">
                <pic:pic>
                  <pic:nvPicPr>
                    <pic:cNvPr id="308" name="image15.png"/>
                    <pic:cNvPicPr/>
                  </pic:nvPicPr>
                  <pic:blipFill>
                    <a:blip r:embed="rId20" cstate="print"/>
                    <a:stretch>
                      <a:fillRect/>
                    </a:stretch>
                  </pic:blipFill>
                  <pic:spPr>
                    <a:xfrm>
                      <a:off x="0" y="0"/>
                      <a:ext cx="135953" cy="155575"/>
                    </a:xfrm>
                    <a:prstGeom prst="rect">
                      <a:avLst/>
                    </a:prstGeom>
                  </pic:spPr>
                </pic:pic>
              </a:graphicData>
            </a:graphic>
          </wp:anchor>
        </w:drawing>
      </w:r>
      <w:r>
        <w:rPr>
          <w:sz w:val="18"/>
        </w:rPr>
        <w:t>Loans to/from related</w:t>
      </w:r>
      <w:r>
        <w:rPr>
          <w:spacing w:val="-27"/>
          <w:sz w:val="18"/>
        </w:rPr>
        <w:t> </w:t>
      </w:r>
      <w:r>
        <w:rPr>
          <w:sz w:val="18"/>
        </w:rPr>
        <w:t>parties</w:t>
      </w:r>
    </w:p>
    <w:tbl>
      <w:tblPr>
        <w:tblW w:w="0" w:type="auto"/>
        <w:jc w:val="left"/>
        <w:tblInd w:w="179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28"/>
        <w:gridCol w:w="3596"/>
        <w:gridCol w:w="2468"/>
        <w:gridCol w:w="3059"/>
      </w:tblGrid>
      <w:tr>
        <w:trPr>
          <w:trHeight w:val="838" w:hRule="exact"/>
        </w:trPr>
        <w:tc>
          <w:tcPr>
            <w:tcW w:w="428" w:type="dxa"/>
            <w:vMerge w:val="restart"/>
          </w:tcPr>
          <w:p>
            <w:pPr/>
          </w:p>
        </w:tc>
        <w:tc>
          <w:tcPr>
            <w:tcW w:w="3596" w:type="dxa"/>
          </w:tcPr>
          <w:p>
            <w:pPr/>
          </w:p>
        </w:tc>
        <w:tc>
          <w:tcPr>
            <w:tcW w:w="2468" w:type="dxa"/>
          </w:tcPr>
          <w:p>
            <w:pPr>
              <w:pStyle w:val="TableParagraph"/>
              <w:tabs>
                <w:tab w:pos="1901" w:val="left" w:leader="none"/>
              </w:tabs>
              <w:spacing w:line="316" w:lineRule="auto" w:before="2"/>
              <w:ind w:left="618" w:right="166" w:firstLine="207"/>
              <w:jc w:val="left"/>
              <w:rPr>
                <w:b/>
                <w:sz w:val="18"/>
              </w:rPr>
            </w:pPr>
            <w:r>
              <w:rPr>
                <w:b/>
                <w:sz w:val="18"/>
              </w:rPr>
              <w:t>Consolidated 2016</w:t>
              <w:tab/>
            </w:r>
            <w:r>
              <w:rPr>
                <w:b/>
                <w:spacing w:val="-1"/>
                <w:sz w:val="18"/>
              </w:rPr>
              <w:t>2015</w:t>
            </w:r>
          </w:p>
          <w:p>
            <w:pPr>
              <w:pStyle w:val="TableParagraph"/>
              <w:tabs>
                <w:tab w:pos="1880" w:val="left" w:leader="none"/>
              </w:tabs>
              <w:spacing w:before="2"/>
              <w:ind w:left="596"/>
              <w:jc w:val="left"/>
              <w:rPr>
                <w:b/>
                <w:sz w:val="18"/>
              </w:rPr>
            </w:pPr>
            <w:r>
              <w:rPr>
                <w:b/>
                <w:sz w:val="18"/>
              </w:rPr>
              <w:t>$'000</w:t>
              <w:tab/>
              <w:t>$'000</w:t>
            </w:r>
          </w:p>
        </w:tc>
        <w:tc>
          <w:tcPr>
            <w:tcW w:w="3059" w:type="dxa"/>
          </w:tcPr>
          <w:p>
            <w:pPr>
              <w:pStyle w:val="TableParagraph"/>
              <w:spacing w:before="2"/>
              <w:ind w:left="322"/>
              <w:jc w:val="center"/>
              <w:rPr>
                <w:b/>
                <w:sz w:val="18"/>
              </w:rPr>
            </w:pPr>
            <w:r>
              <w:rPr>
                <w:b/>
                <w:sz w:val="18"/>
              </w:rPr>
              <w:t>Parent</w:t>
            </w:r>
          </w:p>
          <w:p>
            <w:pPr>
              <w:pStyle w:val="TableParagraph"/>
              <w:tabs>
                <w:tab w:pos="1733" w:val="left" w:leader="none"/>
              </w:tabs>
              <w:spacing w:before="66"/>
              <w:ind w:left="449"/>
              <w:jc w:val="center"/>
              <w:rPr>
                <w:b/>
                <w:sz w:val="18"/>
              </w:rPr>
            </w:pPr>
            <w:r>
              <w:rPr>
                <w:b/>
                <w:sz w:val="18"/>
              </w:rPr>
              <w:t>2016</w:t>
              <w:tab/>
              <w:t>2015</w:t>
            </w:r>
          </w:p>
          <w:p>
            <w:pPr>
              <w:pStyle w:val="TableParagraph"/>
              <w:tabs>
                <w:tab w:pos="1734" w:val="left" w:leader="none"/>
              </w:tabs>
              <w:spacing w:before="66"/>
              <w:ind w:left="450"/>
              <w:jc w:val="center"/>
              <w:rPr>
                <w:b/>
                <w:sz w:val="18"/>
              </w:rPr>
            </w:pPr>
            <w:r>
              <w:rPr>
                <w:b/>
                <w:sz w:val="18"/>
              </w:rPr>
              <w:t>$'000</w:t>
              <w:tab/>
              <w:t>$'000</w:t>
            </w:r>
          </w:p>
        </w:tc>
      </w:tr>
      <w:tr>
        <w:trPr>
          <w:trHeight w:val="544" w:hRule="exact"/>
        </w:trPr>
        <w:tc>
          <w:tcPr>
            <w:tcW w:w="428" w:type="dxa"/>
            <w:vMerge/>
          </w:tcPr>
          <w:p>
            <w:pPr/>
          </w:p>
        </w:tc>
        <w:tc>
          <w:tcPr>
            <w:tcW w:w="3596" w:type="dxa"/>
          </w:tcPr>
          <w:p>
            <w:pPr>
              <w:pStyle w:val="TableParagraph"/>
              <w:spacing w:before="63"/>
              <w:ind w:left="173"/>
              <w:jc w:val="left"/>
              <w:rPr>
                <w:b/>
                <w:sz w:val="18"/>
              </w:rPr>
            </w:pPr>
            <w:r>
              <w:rPr>
                <w:b/>
                <w:sz w:val="18"/>
              </w:rPr>
              <w:t>Loans to subsidiaries</w:t>
            </w:r>
          </w:p>
          <w:p>
            <w:pPr>
              <w:pStyle w:val="TableParagraph"/>
              <w:spacing w:before="29"/>
              <w:ind w:left="173"/>
              <w:jc w:val="left"/>
              <w:rPr>
                <w:sz w:val="18"/>
              </w:rPr>
            </w:pPr>
            <w:r>
              <w:rPr>
                <w:sz w:val="18"/>
              </w:rPr>
              <w:t>Beginning of the year</w:t>
            </w:r>
          </w:p>
        </w:tc>
        <w:tc>
          <w:tcPr>
            <w:tcW w:w="2468" w:type="dxa"/>
          </w:tcPr>
          <w:p>
            <w:pPr>
              <w:pStyle w:val="TableParagraph"/>
              <w:spacing w:before="11"/>
              <w:jc w:val="left"/>
              <w:rPr>
                <w:sz w:val="25"/>
              </w:rPr>
            </w:pPr>
          </w:p>
          <w:p>
            <w:pPr>
              <w:pStyle w:val="TableParagraph"/>
              <w:ind w:right="1088"/>
              <w:rPr>
                <w:b/>
                <w:sz w:val="18"/>
              </w:rPr>
            </w:pPr>
            <w:r>
              <w:rPr>
                <w:b/>
                <w:w w:val="99"/>
                <w:sz w:val="18"/>
              </w:rPr>
              <w:t>-</w:t>
            </w:r>
          </w:p>
        </w:tc>
        <w:tc>
          <w:tcPr>
            <w:tcW w:w="3059" w:type="dxa"/>
          </w:tcPr>
          <w:p>
            <w:pPr>
              <w:pStyle w:val="TableParagraph"/>
              <w:spacing w:before="11"/>
              <w:jc w:val="left"/>
              <w:rPr>
                <w:sz w:val="25"/>
              </w:rPr>
            </w:pPr>
          </w:p>
          <w:p>
            <w:pPr>
              <w:pStyle w:val="TableParagraph"/>
              <w:tabs>
                <w:tab w:pos="1136" w:val="left" w:leader="none"/>
                <w:tab w:pos="2434" w:val="left" w:leader="none"/>
              </w:tabs>
              <w:ind w:left="60"/>
              <w:jc w:val="center"/>
              <w:rPr>
                <w:sz w:val="18"/>
              </w:rPr>
            </w:pPr>
            <w:r>
              <w:rPr>
                <w:sz w:val="18"/>
              </w:rPr>
              <w:t>-</w:t>
              <w:tab/>
            </w:r>
            <w:r>
              <w:rPr>
                <w:b/>
                <w:sz w:val="18"/>
              </w:rPr>
              <w:t>5,011</w:t>
              <w:tab/>
            </w:r>
            <w:r>
              <w:rPr>
                <w:sz w:val="18"/>
              </w:rPr>
              <w:t>5,627</w:t>
            </w:r>
          </w:p>
        </w:tc>
      </w:tr>
      <w:tr>
        <w:trPr>
          <w:trHeight w:val="264" w:hRule="exact"/>
        </w:trPr>
        <w:tc>
          <w:tcPr>
            <w:tcW w:w="428" w:type="dxa"/>
            <w:vMerge/>
          </w:tcPr>
          <w:p>
            <w:pPr/>
          </w:p>
        </w:tc>
        <w:tc>
          <w:tcPr>
            <w:tcW w:w="3596" w:type="dxa"/>
          </w:tcPr>
          <w:p>
            <w:pPr>
              <w:pStyle w:val="TableParagraph"/>
              <w:spacing w:before="19"/>
              <w:ind w:left="173"/>
              <w:jc w:val="left"/>
              <w:rPr>
                <w:sz w:val="18"/>
              </w:rPr>
            </w:pPr>
            <w:r>
              <w:rPr>
                <w:sz w:val="18"/>
              </w:rPr>
              <w:t>Loans advanced</w:t>
            </w:r>
          </w:p>
        </w:tc>
        <w:tc>
          <w:tcPr>
            <w:tcW w:w="2468" w:type="dxa"/>
          </w:tcPr>
          <w:p>
            <w:pPr>
              <w:pStyle w:val="TableParagraph"/>
              <w:spacing w:before="18"/>
              <w:ind w:right="1088"/>
              <w:rPr>
                <w:b/>
                <w:sz w:val="18"/>
              </w:rPr>
            </w:pPr>
            <w:r>
              <w:rPr>
                <w:b/>
                <w:w w:val="99"/>
                <w:sz w:val="18"/>
              </w:rPr>
              <w:t>-</w:t>
            </w:r>
          </w:p>
        </w:tc>
        <w:tc>
          <w:tcPr>
            <w:tcW w:w="3059" w:type="dxa"/>
          </w:tcPr>
          <w:p>
            <w:pPr>
              <w:pStyle w:val="TableParagraph"/>
              <w:tabs>
                <w:tab w:pos="1136" w:val="left" w:leader="none"/>
                <w:tab w:pos="2335" w:val="left" w:leader="none"/>
              </w:tabs>
              <w:spacing w:before="18"/>
              <w:ind w:left="60"/>
              <w:jc w:val="center"/>
              <w:rPr>
                <w:sz w:val="18"/>
              </w:rPr>
            </w:pPr>
            <w:r>
              <w:rPr>
                <w:sz w:val="18"/>
              </w:rPr>
              <w:t>-</w:t>
              <w:tab/>
            </w:r>
            <w:r>
              <w:rPr>
                <w:b/>
                <w:sz w:val="18"/>
              </w:rPr>
              <w:t>1,600</w:t>
              <w:tab/>
            </w:r>
            <w:r>
              <w:rPr>
                <w:sz w:val="18"/>
              </w:rPr>
              <w:t>11,855</w:t>
            </w:r>
          </w:p>
        </w:tc>
      </w:tr>
      <w:tr>
        <w:trPr>
          <w:trHeight w:val="264" w:hRule="exact"/>
        </w:trPr>
        <w:tc>
          <w:tcPr>
            <w:tcW w:w="428" w:type="dxa"/>
            <w:vMerge/>
          </w:tcPr>
          <w:p>
            <w:pPr/>
          </w:p>
        </w:tc>
        <w:tc>
          <w:tcPr>
            <w:tcW w:w="3596" w:type="dxa"/>
          </w:tcPr>
          <w:p>
            <w:pPr>
              <w:pStyle w:val="TableParagraph"/>
              <w:spacing w:before="19"/>
              <w:ind w:left="173"/>
              <w:jc w:val="left"/>
              <w:rPr>
                <w:sz w:val="18"/>
              </w:rPr>
            </w:pPr>
            <w:r>
              <w:rPr>
                <w:sz w:val="18"/>
              </w:rPr>
              <w:t>Loan repayment received</w:t>
            </w:r>
          </w:p>
        </w:tc>
        <w:tc>
          <w:tcPr>
            <w:tcW w:w="2468" w:type="dxa"/>
          </w:tcPr>
          <w:p>
            <w:pPr>
              <w:pStyle w:val="TableParagraph"/>
              <w:spacing w:before="18"/>
              <w:ind w:right="1088"/>
              <w:rPr>
                <w:b/>
                <w:sz w:val="18"/>
              </w:rPr>
            </w:pPr>
            <w:r>
              <w:rPr>
                <w:b/>
                <w:w w:val="99"/>
                <w:sz w:val="18"/>
              </w:rPr>
              <w:t>-</w:t>
            </w:r>
          </w:p>
        </w:tc>
        <w:tc>
          <w:tcPr>
            <w:tcW w:w="3059" w:type="dxa"/>
          </w:tcPr>
          <w:p>
            <w:pPr>
              <w:pStyle w:val="TableParagraph"/>
              <w:tabs>
                <w:tab w:pos="1135" w:val="left" w:leader="none"/>
                <w:tab w:pos="2334" w:val="left" w:leader="none"/>
              </w:tabs>
              <w:spacing w:before="18"/>
              <w:ind w:left="119"/>
              <w:jc w:val="center"/>
              <w:rPr>
                <w:sz w:val="18"/>
              </w:rPr>
            </w:pPr>
            <w:r>
              <w:rPr>
                <w:sz w:val="18"/>
              </w:rPr>
              <w:t>-</w:t>
              <w:tab/>
            </w:r>
            <w:r>
              <w:rPr>
                <w:b/>
                <w:sz w:val="18"/>
              </w:rPr>
              <w:t>(1,000)</w:t>
              <w:tab/>
            </w:r>
            <w:r>
              <w:rPr>
                <w:sz w:val="18"/>
              </w:rPr>
              <w:t>(10,370)</w:t>
            </w:r>
          </w:p>
        </w:tc>
      </w:tr>
      <w:tr>
        <w:trPr>
          <w:trHeight w:val="264" w:hRule="exact"/>
        </w:trPr>
        <w:tc>
          <w:tcPr>
            <w:tcW w:w="428" w:type="dxa"/>
            <w:vMerge/>
          </w:tcPr>
          <w:p>
            <w:pPr/>
          </w:p>
        </w:tc>
        <w:tc>
          <w:tcPr>
            <w:tcW w:w="3596" w:type="dxa"/>
          </w:tcPr>
          <w:p>
            <w:pPr>
              <w:pStyle w:val="TableParagraph"/>
              <w:spacing w:before="19"/>
              <w:ind w:left="173"/>
              <w:jc w:val="left"/>
              <w:rPr>
                <w:sz w:val="18"/>
              </w:rPr>
            </w:pPr>
            <w:r>
              <w:rPr>
                <w:sz w:val="18"/>
              </w:rPr>
              <w:t>Interest charged</w:t>
            </w:r>
          </w:p>
        </w:tc>
        <w:tc>
          <w:tcPr>
            <w:tcW w:w="2468" w:type="dxa"/>
          </w:tcPr>
          <w:p>
            <w:pPr>
              <w:pStyle w:val="TableParagraph"/>
              <w:spacing w:before="18"/>
              <w:ind w:right="1088"/>
              <w:rPr>
                <w:b/>
                <w:sz w:val="18"/>
              </w:rPr>
            </w:pPr>
            <w:r>
              <w:rPr>
                <w:b/>
                <w:w w:val="99"/>
                <w:sz w:val="18"/>
              </w:rPr>
              <w:t>-</w:t>
            </w:r>
          </w:p>
        </w:tc>
        <w:tc>
          <w:tcPr>
            <w:tcW w:w="3059" w:type="dxa"/>
          </w:tcPr>
          <w:p>
            <w:pPr>
              <w:pStyle w:val="TableParagraph"/>
              <w:tabs>
                <w:tab w:pos="1286" w:val="left" w:leader="none"/>
                <w:tab w:pos="2584" w:val="left" w:leader="none"/>
              </w:tabs>
              <w:spacing w:before="18"/>
              <w:ind w:left="59"/>
              <w:jc w:val="center"/>
              <w:rPr>
                <w:sz w:val="18"/>
              </w:rPr>
            </w:pPr>
            <w:r>
              <w:rPr>
                <w:sz w:val="18"/>
              </w:rPr>
              <w:t>-</w:t>
              <w:tab/>
            </w:r>
            <w:r>
              <w:rPr>
                <w:b/>
                <w:sz w:val="18"/>
              </w:rPr>
              <w:t>199</w:t>
              <w:tab/>
            </w:r>
            <w:r>
              <w:rPr>
                <w:sz w:val="18"/>
              </w:rPr>
              <w:t>126</w:t>
            </w:r>
          </w:p>
        </w:tc>
      </w:tr>
      <w:tr>
        <w:trPr>
          <w:trHeight w:val="264" w:hRule="exact"/>
        </w:trPr>
        <w:tc>
          <w:tcPr>
            <w:tcW w:w="428" w:type="dxa"/>
            <w:vMerge/>
          </w:tcPr>
          <w:p>
            <w:pPr/>
          </w:p>
        </w:tc>
        <w:tc>
          <w:tcPr>
            <w:tcW w:w="3596" w:type="dxa"/>
          </w:tcPr>
          <w:p>
            <w:pPr>
              <w:pStyle w:val="TableParagraph"/>
              <w:spacing w:before="19"/>
              <w:ind w:left="173"/>
              <w:jc w:val="left"/>
              <w:rPr>
                <w:sz w:val="18"/>
              </w:rPr>
            </w:pPr>
            <w:r>
              <w:rPr>
                <w:sz w:val="18"/>
              </w:rPr>
              <w:t>Interest received</w:t>
            </w:r>
          </w:p>
        </w:tc>
        <w:tc>
          <w:tcPr>
            <w:tcW w:w="2468" w:type="dxa"/>
          </w:tcPr>
          <w:p>
            <w:pPr>
              <w:pStyle w:val="TableParagraph"/>
              <w:spacing w:before="18"/>
              <w:ind w:right="1088"/>
              <w:rPr>
                <w:b/>
                <w:sz w:val="18"/>
              </w:rPr>
            </w:pPr>
            <w:r>
              <w:rPr>
                <w:b/>
                <w:w w:val="99"/>
                <w:sz w:val="18"/>
              </w:rPr>
              <w:t>-</w:t>
            </w:r>
          </w:p>
        </w:tc>
        <w:tc>
          <w:tcPr>
            <w:tcW w:w="3059" w:type="dxa"/>
          </w:tcPr>
          <w:p>
            <w:pPr>
              <w:pStyle w:val="TableParagraph"/>
              <w:tabs>
                <w:tab w:pos="1285" w:val="left" w:leader="none"/>
                <w:tab w:pos="2584" w:val="left" w:leader="none"/>
              </w:tabs>
              <w:spacing w:before="18"/>
              <w:ind w:left="119"/>
              <w:jc w:val="center"/>
              <w:rPr>
                <w:sz w:val="18"/>
              </w:rPr>
            </w:pPr>
            <w:r>
              <w:rPr>
                <w:sz w:val="18"/>
              </w:rPr>
              <w:t>-</w:t>
              <w:tab/>
            </w:r>
            <w:r>
              <w:rPr>
                <w:b/>
                <w:sz w:val="18"/>
              </w:rPr>
              <w:t>(191)</w:t>
              <w:tab/>
            </w:r>
            <w:r>
              <w:rPr>
                <w:sz w:val="18"/>
              </w:rPr>
              <w:t>(133)</w:t>
            </w:r>
          </w:p>
        </w:tc>
      </w:tr>
      <w:tr>
        <w:trPr>
          <w:trHeight w:val="262" w:hRule="exact"/>
        </w:trPr>
        <w:tc>
          <w:tcPr>
            <w:tcW w:w="428" w:type="dxa"/>
          </w:tcPr>
          <w:p>
            <w:pPr/>
          </w:p>
        </w:tc>
        <w:tc>
          <w:tcPr>
            <w:tcW w:w="3596" w:type="dxa"/>
          </w:tcPr>
          <w:p>
            <w:pPr>
              <w:pStyle w:val="TableParagraph"/>
              <w:spacing w:before="19"/>
              <w:ind w:left="173"/>
              <w:jc w:val="left"/>
              <w:rPr>
                <w:sz w:val="18"/>
              </w:rPr>
            </w:pPr>
            <w:r>
              <w:rPr>
                <w:sz w:val="18"/>
              </w:rPr>
              <w:t>Loans forgiven by Parent</w:t>
            </w:r>
          </w:p>
        </w:tc>
        <w:tc>
          <w:tcPr>
            <w:tcW w:w="2468" w:type="dxa"/>
            <w:tcBorders>
              <w:bottom w:val="single" w:sz="0" w:space="0" w:color="000000"/>
            </w:tcBorders>
          </w:tcPr>
          <w:p>
            <w:pPr>
              <w:pStyle w:val="TableParagraph"/>
              <w:spacing w:before="18"/>
              <w:ind w:right="1088"/>
              <w:rPr>
                <w:b/>
                <w:sz w:val="18"/>
              </w:rPr>
            </w:pPr>
            <w:r>
              <w:rPr>
                <w:b/>
                <w:w w:val="99"/>
                <w:sz w:val="18"/>
              </w:rPr>
              <w:t>-</w:t>
            </w:r>
          </w:p>
        </w:tc>
        <w:tc>
          <w:tcPr>
            <w:tcW w:w="3059" w:type="dxa"/>
            <w:tcBorders>
              <w:bottom w:val="single" w:sz="0" w:space="0" w:color="000000"/>
            </w:tcBorders>
          </w:tcPr>
          <w:p>
            <w:pPr>
              <w:pStyle w:val="TableParagraph"/>
              <w:tabs>
                <w:tab w:pos="1584" w:val="left" w:leader="none"/>
                <w:tab w:pos="2434" w:val="left" w:leader="none"/>
              </w:tabs>
              <w:spacing w:before="18"/>
              <w:ind w:left="119"/>
              <w:jc w:val="center"/>
              <w:rPr>
                <w:sz w:val="18"/>
              </w:rPr>
            </w:pPr>
            <w:r>
              <w:rPr>
                <w:sz w:val="18"/>
              </w:rPr>
              <w:t>-</w:t>
              <w:tab/>
            </w:r>
            <w:r>
              <w:rPr>
                <w:b/>
                <w:sz w:val="18"/>
              </w:rPr>
              <w:t>-</w:t>
              <w:tab/>
            </w:r>
            <w:r>
              <w:rPr>
                <w:sz w:val="18"/>
              </w:rPr>
              <w:t>(2,094)</w:t>
            </w:r>
          </w:p>
        </w:tc>
      </w:tr>
    </w:tbl>
    <w:p>
      <w:pPr>
        <w:tabs>
          <w:tab w:pos="5411" w:val="left" w:leader="none"/>
          <w:tab w:pos="7131" w:val="left" w:leader="none"/>
          <w:tab w:pos="8429" w:val="left" w:leader="none"/>
          <w:tab w:pos="9506" w:val="left" w:leader="none"/>
          <w:tab w:pos="10804" w:val="left" w:leader="none"/>
        </w:tabs>
        <w:spacing w:before="33"/>
        <w:ind w:left="2391" w:right="0" w:firstLine="0"/>
        <w:jc w:val="left"/>
        <w:rPr>
          <w:sz w:val="18"/>
        </w:rPr>
      </w:pPr>
      <w:r>
        <w:rPr>
          <w:b/>
          <w:position w:val="3"/>
          <w:sz w:val="18"/>
        </w:rPr>
        <w:t>End</w:t>
      </w:r>
      <w:r>
        <w:rPr>
          <w:b/>
          <w:spacing w:val="-3"/>
          <w:position w:val="3"/>
          <w:sz w:val="18"/>
        </w:rPr>
        <w:t> </w:t>
      </w:r>
      <w:r>
        <w:rPr>
          <w:b/>
          <w:position w:val="3"/>
          <w:sz w:val="18"/>
        </w:rPr>
        <w:t>of</w:t>
      </w:r>
      <w:r>
        <w:rPr>
          <w:b/>
          <w:spacing w:val="-3"/>
          <w:position w:val="3"/>
          <w:sz w:val="18"/>
        </w:rPr>
        <w:t> </w:t>
      </w:r>
      <w:r>
        <w:rPr>
          <w:b/>
          <w:position w:val="3"/>
          <w:sz w:val="18"/>
        </w:rPr>
        <w:t>year</w:t>
        <w:tab/>
      </w:r>
      <w:r>
        <w:rPr>
          <w:position w:val="9"/>
          <w:sz w:val="18"/>
        </w:rPr>
        <w:t>25</w:t>
        <w:tab/>
      </w:r>
      <w:r>
        <w:rPr>
          <w:b/>
          <w:sz w:val="18"/>
        </w:rPr>
        <w:t>-</w:t>
        <w:tab/>
      </w:r>
      <w:r>
        <w:rPr>
          <w:sz w:val="18"/>
        </w:rPr>
        <w:t>-</w:t>
        <w:tab/>
      </w:r>
      <w:r>
        <w:rPr>
          <w:b/>
          <w:sz w:val="18"/>
        </w:rPr>
        <w:t>5,619</w:t>
        <w:tab/>
      </w:r>
      <w:r>
        <w:rPr>
          <w:sz w:val="18"/>
        </w:rPr>
        <w:t>5,011</w:t>
      </w:r>
    </w:p>
    <w:p>
      <w:pPr>
        <w:pStyle w:val="BodyText"/>
        <w:spacing w:line="50" w:lineRule="exact"/>
        <w:ind w:left="5813"/>
        <w:rPr>
          <w:sz w:val="5"/>
        </w:rPr>
      </w:pPr>
      <w:r>
        <w:rPr>
          <w:position w:val="0"/>
          <w:sz w:val="5"/>
        </w:rPr>
        <w:pict>
          <v:group style="width:276.5pt;height:2.5pt;mso-position-horizontal-relative:char;mso-position-vertical-relative:line" coordorigin="0,0" coordsize="5530,50">
            <v:line style="position:absolute" from="1,1" to="170,1" stroked="true" strokeweight=".06pt" strokecolor="#000000"/>
            <v:line style="position:absolute" from="1,2" to="170,2" stroked="true" strokeweight=".06pt" strokecolor="#000000"/>
            <v:line style="position:absolute" from="1,3" to="170,3" stroked="true" strokeweight=".06pt" strokecolor="#000000"/>
            <v:line style="position:absolute" from="1,5" to="170,5" stroked="true" strokeweight=".06pt" strokecolor="#000000"/>
            <v:line style="position:absolute" from="1,6" to="170,6" stroked="true" strokeweight=".06pt" strokecolor="#000000"/>
            <v:line style="position:absolute" from="1,7" to="170,7" stroked="true" strokeweight=".06pt" strokecolor="#000000"/>
            <v:line style="position:absolute" from="1,8" to="170,8" stroked="true" strokeweight=".06pt" strokecolor="#000000"/>
            <v:line style="position:absolute" from="1,9" to="170,9" stroked="true" strokeweight=".06pt" strokecolor="#000000"/>
            <v:line style="position:absolute" from="1,11" to="170,11" stroked="true" strokeweight=".06pt" strokecolor="#000000"/>
            <v:line style="position:absolute" from="1,12" to="170,12" stroked="true" strokeweight=".06pt" strokecolor="#000000"/>
            <v:line style="position:absolute" from="1,13" to="170,13" stroked="true" strokeweight=".06pt" strokecolor="#000000"/>
            <v:line style="position:absolute" from="1,14" to="170,14" stroked="true" strokeweight=".06pt" strokecolor="#000000"/>
            <v:line style="position:absolute" from="1,15" to="170,15" stroked="true" strokeweight=".06pt" strokecolor="#000000"/>
            <v:line style="position:absolute" from="1,35" to="170,35" stroked="true" strokeweight=".06pt" strokecolor="#000000"/>
            <v:line style="position:absolute" from="1,36" to="170,36" stroked="true" strokeweight=".06pt" strokecolor="#000000"/>
            <v:line style="position:absolute" from="1,37" to="170,37" stroked="true" strokeweight=".06pt" strokecolor="#000000"/>
            <v:line style="position:absolute" from="1,38" to="170,38" stroked="true" strokeweight=".06pt" strokecolor="#000000"/>
            <v:line style="position:absolute" from="1,39" to="170,39" stroked="true" strokeweight=".06pt" strokecolor="#000000"/>
            <v:line style="position:absolute" from="1,41" to="170,41" stroked="true" strokeweight=".06pt" strokecolor="#000000"/>
            <v:line style="position:absolute" from="1,42" to="170,42" stroked="true" strokeweight=".06pt" strokecolor="#000000"/>
            <v:line style="position:absolute" from="1,43" to="170,43" stroked="true" strokeweight=".06pt" strokecolor="#000000"/>
            <v:line style="position:absolute" from="1,44" to="170,44" stroked="true" strokeweight=".06pt" strokecolor="#000000"/>
            <v:line style="position:absolute" from="1,45" to="170,45" stroked="true" strokeweight=".06pt" strokecolor="#000000"/>
            <v:line style="position:absolute" from="1,47" to="170,47" stroked="true" strokeweight=".06pt" strokecolor="#000000"/>
            <v:line style="position:absolute" from="1,48" to="170,48" stroked="true" strokeweight=".06pt" strokecolor="#000000"/>
            <v:line style="position:absolute" from="1,49" to="170,49" stroked="true" strokeweight=".06pt" strokecolor="#000000"/>
            <v:line style="position:absolute" from="170,1" to="1467,1" stroked="true" strokeweight=".06pt" strokecolor="#000000"/>
            <v:line style="position:absolute" from="170,2" to="1467,2" stroked="true" strokeweight=".06pt" strokecolor="#000000"/>
            <v:line style="position:absolute" from="170,3" to="1467,3" stroked="true" strokeweight=".06pt" strokecolor="#000000"/>
            <v:line style="position:absolute" from="170,5" to="1467,5" stroked="true" strokeweight=".06pt" strokecolor="#000000"/>
            <v:line style="position:absolute" from="170,6" to="1467,6" stroked="true" strokeweight=".06pt" strokecolor="#000000"/>
            <v:line style="position:absolute" from="170,7" to="1467,7" stroked="true" strokeweight=".06pt" strokecolor="#000000"/>
            <v:line style="position:absolute" from="170,8" to="1467,8" stroked="true" strokeweight=".06pt" strokecolor="#000000"/>
            <v:line style="position:absolute" from="170,9" to="1467,9" stroked="true" strokeweight=".06pt" strokecolor="#000000"/>
            <v:line style="position:absolute" from="170,11" to="1467,11" stroked="true" strokeweight=".06pt" strokecolor="#000000"/>
            <v:line style="position:absolute" from="170,12" to="1467,12" stroked="true" strokeweight=".06pt" strokecolor="#000000"/>
            <v:line style="position:absolute" from="170,13" to="1467,13" stroked="true" strokeweight=".06pt" strokecolor="#000000"/>
            <v:line style="position:absolute" from="170,14" to="1467,14" stroked="true" strokeweight=".06pt" strokecolor="#000000"/>
            <v:line style="position:absolute" from="170,15" to="1467,15" stroked="true" strokeweight=".06pt" strokecolor="#000000"/>
            <v:line style="position:absolute" from="170,35" to="1467,35" stroked="true" strokeweight=".06pt" strokecolor="#000000"/>
            <v:line style="position:absolute" from="170,36" to="1467,36" stroked="true" strokeweight=".06pt" strokecolor="#000000"/>
            <v:line style="position:absolute" from="170,37" to="1467,37" stroked="true" strokeweight=".06pt" strokecolor="#000000"/>
            <v:line style="position:absolute" from="170,38" to="1467,38" stroked="true" strokeweight=".06pt" strokecolor="#000000"/>
            <v:line style="position:absolute" from="170,39" to="1467,39" stroked="true" strokeweight=".06pt" strokecolor="#000000"/>
            <v:line style="position:absolute" from="170,41" to="1467,41" stroked="true" strokeweight=".06pt" strokecolor="#000000"/>
            <v:line style="position:absolute" from="170,42" to="1467,42" stroked="true" strokeweight=".06pt" strokecolor="#000000"/>
            <v:line style="position:absolute" from="170,43" to="1467,43" stroked="true" strokeweight=".06pt" strokecolor="#000000"/>
            <v:line style="position:absolute" from="170,44" to="1467,44" stroked="true" strokeweight=".06pt" strokecolor="#000000"/>
            <v:line style="position:absolute" from="170,45" to="1467,45" stroked="true" strokeweight=".06pt" strokecolor="#000000"/>
            <v:line style="position:absolute" from="170,47" to="1467,47" stroked="true" strokeweight=".06pt" strokecolor="#000000"/>
            <v:line style="position:absolute" from="170,48" to="1467,48" stroked="true" strokeweight=".06pt" strokecolor="#000000"/>
            <v:line style="position:absolute" from="170,49" to="1467,49" stroked="true" strokeweight=".06pt" strokecolor="#000000"/>
            <v:line style="position:absolute" from="1467,1" to="2765,1" stroked="true" strokeweight=".06pt" strokecolor="#000000"/>
            <v:line style="position:absolute" from="1467,2" to="2765,2" stroked="true" strokeweight=".06pt" strokecolor="#000000"/>
            <v:line style="position:absolute" from="1467,3" to="2765,3" stroked="true" strokeweight=".06pt" strokecolor="#000000"/>
            <v:line style="position:absolute" from="1467,5" to="2765,5" stroked="true" strokeweight=".06pt" strokecolor="#000000"/>
            <v:line style="position:absolute" from="1467,6" to="2765,6" stroked="true" strokeweight=".06pt" strokecolor="#000000"/>
            <v:line style="position:absolute" from="1467,7" to="2765,7" stroked="true" strokeweight=".06pt" strokecolor="#000000"/>
            <v:line style="position:absolute" from="1467,8" to="2765,8" stroked="true" strokeweight=".06pt" strokecolor="#000000"/>
            <v:line style="position:absolute" from="1467,9" to="2765,9" stroked="true" strokeweight=".06pt" strokecolor="#000000"/>
            <v:line style="position:absolute" from="1467,11" to="2765,11" stroked="true" strokeweight=".06pt" strokecolor="#000000"/>
            <v:line style="position:absolute" from="1467,12" to="2765,12" stroked="true" strokeweight=".06pt" strokecolor="#000000"/>
            <v:line style="position:absolute" from="1467,13" to="2765,13" stroked="true" strokeweight=".06pt" strokecolor="#000000"/>
            <v:line style="position:absolute" from="1467,14" to="2765,14" stroked="true" strokeweight=".06pt" strokecolor="#000000"/>
            <v:line style="position:absolute" from="1467,15" to="2765,15" stroked="true" strokeweight=".06pt" strokecolor="#000000"/>
            <v:line style="position:absolute" from="1467,35" to="2765,35" stroked="true" strokeweight=".06pt" strokecolor="#000000"/>
            <v:line style="position:absolute" from="1467,36" to="2765,36" stroked="true" strokeweight=".06pt" strokecolor="#000000"/>
            <v:line style="position:absolute" from="1467,37" to="2765,37" stroked="true" strokeweight=".06pt" strokecolor="#000000"/>
            <v:line style="position:absolute" from="1467,38" to="2765,38" stroked="true" strokeweight=".06pt" strokecolor="#000000"/>
            <v:line style="position:absolute" from="1467,39" to="2765,39" stroked="true" strokeweight=".06pt" strokecolor="#000000"/>
            <v:line style="position:absolute" from="1467,41" to="2765,41" stroked="true" strokeweight=".06pt" strokecolor="#000000"/>
            <v:line style="position:absolute" from="1467,42" to="2765,42" stroked="true" strokeweight=".06pt" strokecolor="#000000"/>
            <v:line style="position:absolute" from="1467,43" to="2765,43" stroked="true" strokeweight=".06pt" strokecolor="#000000"/>
            <v:line style="position:absolute" from="1467,44" to="2765,44" stroked="true" strokeweight=".06pt" strokecolor="#000000"/>
            <v:line style="position:absolute" from="1467,45" to="2765,45" stroked="true" strokeweight=".06pt" strokecolor="#000000"/>
            <v:line style="position:absolute" from="1467,47" to="2765,47" stroked="true" strokeweight=".06pt" strokecolor="#000000"/>
            <v:line style="position:absolute" from="1467,48" to="2765,48" stroked="true" strokeweight=".06pt" strokecolor="#000000"/>
            <v:line style="position:absolute" from="1467,49" to="2765,49" stroked="true" strokeweight=".06pt" strokecolor="#000000"/>
            <v:line style="position:absolute" from="2765,1" to="2934,1" stroked="true" strokeweight=".06pt" strokecolor="#000000"/>
            <v:line style="position:absolute" from="2765,2" to="2934,2" stroked="true" strokeweight=".06pt" strokecolor="#000000"/>
            <v:line style="position:absolute" from="2765,3" to="2934,3" stroked="true" strokeweight=".06pt" strokecolor="#000000"/>
            <v:line style="position:absolute" from="2765,5" to="2934,5" stroked="true" strokeweight=".06pt" strokecolor="#000000"/>
            <v:line style="position:absolute" from="2765,6" to="2934,6" stroked="true" strokeweight=".06pt" strokecolor="#000000"/>
            <v:line style="position:absolute" from="2765,7" to="2934,7" stroked="true" strokeweight=".06pt" strokecolor="#000000"/>
            <v:line style="position:absolute" from="2765,8" to="2934,8" stroked="true" strokeweight=".06pt" strokecolor="#000000"/>
            <v:line style="position:absolute" from="2765,9" to="2934,9" stroked="true" strokeweight=".06pt" strokecolor="#000000"/>
            <v:line style="position:absolute" from="2765,11" to="2934,11" stroked="true" strokeweight=".06pt" strokecolor="#000000"/>
            <v:line style="position:absolute" from="2765,12" to="2934,12" stroked="true" strokeweight=".06pt" strokecolor="#000000"/>
            <v:line style="position:absolute" from="2765,13" to="2934,13" stroked="true" strokeweight=".06pt" strokecolor="#000000"/>
            <v:line style="position:absolute" from="2765,14" to="2934,14" stroked="true" strokeweight=".06pt" strokecolor="#000000"/>
            <v:line style="position:absolute" from="2765,15" to="2934,15" stroked="true" strokeweight=".06pt" strokecolor="#000000"/>
            <v:line style="position:absolute" from="2765,35" to="2934,35" stroked="true" strokeweight=".06pt" strokecolor="#000000"/>
            <v:line style="position:absolute" from="2765,36" to="2934,36" stroked="true" strokeweight=".06pt" strokecolor="#000000"/>
            <v:line style="position:absolute" from="2765,37" to="2934,37" stroked="true" strokeweight=".06pt" strokecolor="#000000"/>
            <v:line style="position:absolute" from="2765,38" to="2934,38" stroked="true" strokeweight=".06pt" strokecolor="#000000"/>
            <v:line style="position:absolute" from="2765,39" to="2934,39" stroked="true" strokeweight=".06pt" strokecolor="#000000"/>
            <v:line style="position:absolute" from="2765,41" to="2934,41" stroked="true" strokeweight=".06pt" strokecolor="#000000"/>
            <v:line style="position:absolute" from="2765,42" to="2934,42" stroked="true" strokeweight=".06pt" strokecolor="#000000"/>
            <v:line style="position:absolute" from="2765,43" to="2934,43" stroked="true" strokeweight=".06pt" strokecolor="#000000"/>
            <v:line style="position:absolute" from="2765,44" to="2934,44" stroked="true" strokeweight=".06pt" strokecolor="#000000"/>
            <v:line style="position:absolute" from="2765,45" to="2934,45" stroked="true" strokeweight=".06pt" strokecolor="#000000"/>
            <v:line style="position:absolute" from="2765,47" to="2934,47" stroked="true" strokeweight=".06pt" strokecolor="#000000"/>
            <v:line style="position:absolute" from="2765,48" to="2934,48" stroked="true" strokeweight=".06pt" strokecolor="#000000"/>
            <v:line style="position:absolute" from="2765,49" to="2934,49" stroked="true" strokeweight=".06pt" strokecolor="#000000"/>
            <v:line style="position:absolute" from="2934,1" to="4231,1" stroked="true" strokeweight=".06pt" strokecolor="#000000"/>
            <v:line style="position:absolute" from="2934,2" to="4231,2" stroked="true" strokeweight=".06pt" strokecolor="#000000"/>
            <v:line style="position:absolute" from="2934,3" to="4231,3" stroked="true" strokeweight=".06pt" strokecolor="#000000"/>
            <v:line style="position:absolute" from="2934,5" to="4231,5" stroked="true" strokeweight=".06pt" strokecolor="#000000"/>
            <v:line style="position:absolute" from="2934,6" to="4231,6" stroked="true" strokeweight=".06pt" strokecolor="#000000"/>
            <v:line style="position:absolute" from="2934,7" to="4231,7" stroked="true" strokeweight=".06pt" strokecolor="#000000"/>
            <v:line style="position:absolute" from="2934,8" to="4231,8" stroked="true" strokeweight=".06pt" strokecolor="#000000"/>
            <v:line style="position:absolute" from="2934,9" to="4231,9" stroked="true" strokeweight=".06pt" strokecolor="#000000"/>
            <v:line style="position:absolute" from="2934,11" to="4231,11" stroked="true" strokeweight=".06pt" strokecolor="#000000"/>
            <v:line style="position:absolute" from="2934,12" to="4231,12" stroked="true" strokeweight=".06pt" strokecolor="#000000"/>
            <v:line style="position:absolute" from="2934,13" to="4231,13" stroked="true" strokeweight=".06pt" strokecolor="#000000"/>
            <v:line style="position:absolute" from="2934,14" to="4231,14" stroked="true" strokeweight=".06pt" strokecolor="#000000"/>
            <v:line style="position:absolute" from="2934,15" to="4231,15" stroked="true" strokeweight=".06pt" strokecolor="#000000"/>
            <v:line style="position:absolute" from="2934,35" to="4231,35" stroked="true" strokeweight=".06pt" strokecolor="#000000"/>
            <v:line style="position:absolute" from="2934,36" to="4231,36" stroked="true" strokeweight=".06pt" strokecolor="#000000"/>
            <v:line style="position:absolute" from="2934,37" to="4231,37" stroked="true" strokeweight=".06pt" strokecolor="#000000"/>
            <v:line style="position:absolute" from="2934,38" to="4231,38" stroked="true" strokeweight=".06pt" strokecolor="#000000"/>
            <v:line style="position:absolute" from="2934,39" to="4231,39" stroked="true" strokeweight=".06pt" strokecolor="#000000"/>
            <v:line style="position:absolute" from="2934,41" to="4231,41" stroked="true" strokeweight=".06pt" strokecolor="#000000"/>
            <v:line style="position:absolute" from="2934,42" to="4231,42" stroked="true" strokeweight=".06pt" strokecolor="#000000"/>
            <v:line style="position:absolute" from="2934,43" to="4231,43" stroked="true" strokeweight=".06pt" strokecolor="#000000"/>
            <v:line style="position:absolute" from="2934,44" to="4231,44" stroked="true" strokeweight=".06pt" strokecolor="#000000"/>
            <v:line style="position:absolute" from="2934,45" to="4231,45" stroked="true" strokeweight=".06pt" strokecolor="#000000"/>
            <v:line style="position:absolute" from="2934,47" to="4231,47" stroked="true" strokeweight=".06pt" strokecolor="#000000"/>
            <v:line style="position:absolute" from="2934,48" to="4231,48" stroked="true" strokeweight=".06pt" strokecolor="#000000"/>
            <v:line style="position:absolute" from="2934,49" to="4231,49" stroked="true" strokeweight=".06pt" strokecolor="#000000"/>
            <v:line style="position:absolute" from="4231,1" to="5528,1" stroked="true" strokeweight=".06pt" strokecolor="#000000"/>
            <v:line style="position:absolute" from="4231,2" to="5528,2" stroked="true" strokeweight=".06pt" strokecolor="#000000"/>
            <v:line style="position:absolute" from="4231,3" to="5528,3" stroked="true" strokeweight=".06pt" strokecolor="#000000"/>
            <v:line style="position:absolute" from="4231,5" to="5528,5" stroked="true" strokeweight=".06pt" strokecolor="#000000"/>
            <v:line style="position:absolute" from="4231,6" to="5528,6" stroked="true" strokeweight=".06pt" strokecolor="#000000"/>
            <v:line style="position:absolute" from="4231,7" to="5528,7" stroked="true" strokeweight=".06pt" strokecolor="#000000"/>
            <v:line style="position:absolute" from="4231,8" to="5528,8" stroked="true" strokeweight=".06pt" strokecolor="#000000"/>
            <v:line style="position:absolute" from="4231,9" to="5528,9" stroked="true" strokeweight=".06pt" strokecolor="#000000"/>
            <v:line style="position:absolute" from="4231,11" to="5528,11" stroked="true" strokeweight=".06pt" strokecolor="#000000"/>
            <v:line style="position:absolute" from="4231,12" to="5528,12" stroked="true" strokeweight=".06pt" strokecolor="#000000"/>
            <v:line style="position:absolute" from="4231,13" to="5528,13" stroked="true" strokeweight=".06pt" strokecolor="#000000"/>
            <v:line style="position:absolute" from="4231,14" to="5528,14" stroked="true" strokeweight=".06pt" strokecolor="#000000"/>
            <v:line style="position:absolute" from="4231,15" to="5528,15" stroked="true" strokeweight=".06pt" strokecolor="#000000"/>
            <v:line style="position:absolute" from="4231,35" to="5528,35" stroked="true" strokeweight=".06pt" strokecolor="#000000"/>
            <v:line style="position:absolute" from="4231,36" to="5528,36" stroked="true" strokeweight=".06pt" strokecolor="#000000"/>
            <v:line style="position:absolute" from="4231,37" to="5528,37" stroked="true" strokeweight=".06pt" strokecolor="#000000"/>
            <v:line style="position:absolute" from="4231,38" to="5528,38" stroked="true" strokeweight=".06pt" strokecolor="#000000"/>
            <v:line style="position:absolute" from="4231,39" to="5528,39" stroked="true" strokeweight=".06pt" strokecolor="#000000"/>
            <v:line style="position:absolute" from="4231,41" to="5528,41" stroked="true" strokeweight=".06pt" strokecolor="#000000"/>
            <v:line style="position:absolute" from="4231,42" to="5528,42" stroked="true" strokeweight=".06pt" strokecolor="#000000"/>
            <v:line style="position:absolute" from="4231,43" to="5528,43" stroked="true" strokeweight=".06pt" strokecolor="#000000"/>
            <v:line style="position:absolute" from="4231,44" to="5528,44" stroked="true" strokeweight=".06pt" strokecolor="#000000"/>
            <v:line style="position:absolute" from="4231,45" to="5528,45" stroked="true" strokeweight=".06pt" strokecolor="#000000"/>
            <v:line style="position:absolute" from="4231,47" to="5528,47" stroked="true" strokeweight=".06pt" strokecolor="#000000"/>
            <v:line style="position:absolute" from="4231,48" to="5528,48" stroked="true" strokeweight=".06pt" strokecolor="#000000"/>
            <v:line style="position:absolute" from="4231,49" to="5528,49" stroked="true" strokeweight=".06pt" strokecolor="#000000"/>
          </v:group>
        </w:pict>
      </w:r>
      <w:r>
        <w:rPr>
          <w:position w:val="0"/>
          <w:sz w:val="5"/>
        </w:rPr>
      </w:r>
    </w:p>
    <w:p>
      <w:pPr>
        <w:pStyle w:val="BodyText"/>
        <w:rPr>
          <w:sz w:val="20"/>
        </w:rPr>
      </w:pPr>
    </w:p>
    <w:p>
      <w:pPr>
        <w:pStyle w:val="BodyText"/>
        <w:spacing w:before="1"/>
        <w:rPr>
          <w:sz w:val="19"/>
        </w:rPr>
      </w:pPr>
    </w:p>
    <w:p>
      <w:pPr>
        <w:pStyle w:val="Heading8"/>
        <w:tabs>
          <w:tab w:pos="9701" w:val="left" w:leader="none"/>
        </w:tabs>
        <w:spacing w:before="77" w:after="36"/>
        <w:ind w:left="6662"/>
      </w:pPr>
      <w:r>
        <w:rPr/>
        <w:t>Consolidated</w:t>
        <w:tab/>
        <w:t>Parent</w:t>
      </w:r>
    </w:p>
    <w:tbl>
      <w:tblPr>
        <w:tblW w:w="0" w:type="auto"/>
        <w:jc w:val="left"/>
        <w:tblInd w:w="235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457"/>
        <w:gridCol w:w="1178"/>
        <w:gridCol w:w="1291"/>
        <w:gridCol w:w="3058"/>
      </w:tblGrid>
      <w:tr>
        <w:trPr>
          <w:trHeight w:val="609" w:hRule="exact"/>
        </w:trPr>
        <w:tc>
          <w:tcPr>
            <w:tcW w:w="3457" w:type="dxa"/>
          </w:tcPr>
          <w:p>
            <w:pPr/>
          </w:p>
        </w:tc>
        <w:tc>
          <w:tcPr>
            <w:tcW w:w="1178" w:type="dxa"/>
          </w:tcPr>
          <w:p>
            <w:pPr>
              <w:pStyle w:val="TableParagraph"/>
              <w:spacing w:before="30"/>
              <w:ind w:left="618"/>
              <w:jc w:val="left"/>
              <w:rPr>
                <w:b/>
                <w:sz w:val="18"/>
              </w:rPr>
            </w:pPr>
            <w:r>
              <w:rPr>
                <w:b/>
                <w:sz w:val="18"/>
              </w:rPr>
              <w:t>2016</w:t>
            </w:r>
          </w:p>
          <w:p>
            <w:pPr>
              <w:pStyle w:val="TableParagraph"/>
              <w:spacing w:before="66"/>
              <w:ind w:left="596"/>
              <w:jc w:val="left"/>
              <w:rPr>
                <w:b/>
                <w:sz w:val="18"/>
              </w:rPr>
            </w:pPr>
            <w:r>
              <w:rPr>
                <w:b/>
                <w:sz w:val="18"/>
              </w:rPr>
              <w:t>$'000</w:t>
            </w:r>
          </w:p>
        </w:tc>
        <w:tc>
          <w:tcPr>
            <w:tcW w:w="1291" w:type="dxa"/>
          </w:tcPr>
          <w:p>
            <w:pPr>
              <w:pStyle w:val="TableParagraph"/>
              <w:spacing w:before="30"/>
              <w:ind w:left="724"/>
              <w:jc w:val="left"/>
              <w:rPr>
                <w:b/>
                <w:sz w:val="18"/>
              </w:rPr>
            </w:pPr>
            <w:r>
              <w:rPr>
                <w:b/>
                <w:sz w:val="18"/>
              </w:rPr>
              <w:t>2015</w:t>
            </w:r>
          </w:p>
          <w:p>
            <w:pPr>
              <w:pStyle w:val="TableParagraph"/>
              <w:spacing w:before="66"/>
              <w:ind w:left="702"/>
              <w:jc w:val="left"/>
              <w:rPr>
                <w:b/>
                <w:sz w:val="18"/>
              </w:rPr>
            </w:pPr>
            <w:r>
              <w:rPr>
                <w:b/>
                <w:sz w:val="18"/>
              </w:rPr>
              <w:t>$'000</w:t>
            </w:r>
          </w:p>
        </w:tc>
        <w:tc>
          <w:tcPr>
            <w:tcW w:w="3058" w:type="dxa"/>
          </w:tcPr>
          <w:p>
            <w:pPr>
              <w:pStyle w:val="TableParagraph"/>
              <w:tabs>
                <w:tab w:pos="2196" w:val="left" w:leader="none"/>
              </w:tabs>
              <w:spacing w:before="30"/>
              <w:ind w:left="912"/>
              <w:jc w:val="left"/>
              <w:rPr>
                <w:b/>
                <w:sz w:val="18"/>
              </w:rPr>
            </w:pPr>
            <w:r>
              <w:rPr>
                <w:b/>
                <w:sz w:val="18"/>
              </w:rPr>
              <w:t>2016</w:t>
              <w:tab/>
              <w:t>2015</w:t>
            </w:r>
          </w:p>
          <w:p>
            <w:pPr>
              <w:pStyle w:val="TableParagraph"/>
              <w:tabs>
                <w:tab w:pos="2174" w:val="left" w:leader="none"/>
              </w:tabs>
              <w:spacing w:before="66"/>
              <w:ind w:left="890"/>
              <w:jc w:val="left"/>
              <w:rPr>
                <w:b/>
                <w:sz w:val="18"/>
              </w:rPr>
            </w:pPr>
            <w:r>
              <w:rPr>
                <w:b/>
                <w:sz w:val="18"/>
              </w:rPr>
              <w:t>$'000</w:t>
              <w:tab/>
              <w:t>$'000</w:t>
            </w:r>
          </w:p>
        </w:tc>
      </w:tr>
      <w:tr>
        <w:trPr>
          <w:trHeight w:val="559" w:hRule="exact"/>
        </w:trPr>
        <w:tc>
          <w:tcPr>
            <w:tcW w:w="3457" w:type="dxa"/>
          </w:tcPr>
          <w:p>
            <w:pPr>
              <w:pStyle w:val="TableParagraph"/>
              <w:spacing w:before="78"/>
              <w:ind w:left="35"/>
              <w:jc w:val="left"/>
              <w:rPr>
                <w:b/>
                <w:sz w:val="18"/>
              </w:rPr>
            </w:pPr>
            <w:r>
              <w:rPr>
                <w:b/>
                <w:sz w:val="18"/>
              </w:rPr>
              <w:t>Loans from subsidiaries</w:t>
            </w:r>
          </w:p>
          <w:p>
            <w:pPr>
              <w:pStyle w:val="TableParagraph"/>
              <w:spacing w:before="29"/>
              <w:ind w:left="35"/>
              <w:jc w:val="left"/>
              <w:rPr>
                <w:sz w:val="18"/>
              </w:rPr>
            </w:pPr>
            <w:r>
              <w:rPr>
                <w:sz w:val="18"/>
              </w:rPr>
              <w:t>Beginning of the year</w:t>
            </w:r>
          </w:p>
        </w:tc>
        <w:tc>
          <w:tcPr>
            <w:tcW w:w="1178" w:type="dxa"/>
          </w:tcPr>
          <w:p>
            <w:pPr/>
          </w:p>
        </w:tc>
        <w:tc>
          <w:tcPr>
            <w:tcW w:w="1291" w:type="dxa"/>
          </w:tcPr>
          <w:p>
            <w:pPr>
              <w:pStyle w:val="TableParagraph"/>
              <w:jc w:val="left"/>
              <w:rPr>
                <w:b/>
                <w:sz w:val="18"/>
              </w:rPr>
            </w:pPr>
          </w:p>
          <w:p>
            <w:pPr>
              <w:pStyle w:val="TableParagraph"/>
              <w:spacing w:before="106"/>
              <w:ind w:left="139"/>
              <w:jc w:val="left"/>
              <w:rPr>
                <w:b/>
                <w:sz w:val="18"/>
              </w:rPr>
            </w:pPr>
            <w:r>
              <w:rPr>
                <w:b/>
                <w:w w:val="99"/>
                <w:sz w:val="18"/>
              </w:rPr>
              <w:t>-</w:t>
            </w:r>
          </w:p>
        </w:tc>
        <w:tc>
          <w:tcPr>
            <w:tcW w:w="3058" w:type="dxa"/>
          </w:tcPr>
          <w:p>
            <w:pPr>
              <w:pStyle w:val="TableParagraph"/>
              <w:jc w:val="left"/>
              <w:rPr>
                <w:b/>
                <w:sz w:val="18"/>
              </w:rPr>
            </w:pPr>
          </w:p>
          <w:p>
            <w:pPr>
              <w:pStyle w:val="TableParagraph"/>
              <w:tabs>
                <w:tab w:pos="1135" w:val="left" w:leader="none"/>
                <w:tab w:pos="2434" w:val="left" w:leader="none"/>
              </w:tabs>
              <w:spacing w:before="106"/>
              <w:ind w:left="59"/>
              <w:jc w:val="center"/>
              <w:rPr>
                <w:sz w:val="18"/>
              </w:rPr>
            </w:pPr>
            <w:r>
              <w:rPr>
                <w:sz w:val="18"/>
              </w:rPr>
              <w:t>-</w:t>
              <w:tab/>
            </w:r>
            <w:r>
              <w:rPr>
                <w:b/>
                <w:sz w:val="18"/>
              </w:rPr>
              <w:t>7,681</w:t>
              <w:tab/>
            </w:r>
            <w:r>
              <w:rPr>
                <w:sz w:val="18"/>
              </w:rPr>
              <w:t>8,863</w:t>
            </w:r>
          </w:p>
        </w:tc>
      </w:tr>
      <w:tr>
        <w:trPr>
          <w:trHeight w:val="264" w:hRule="exact"/>
        </w:trPr>
        <w:tc>
          <w:tcPr>
            <w:tcW w:w="3457" w:type="dxa"/>
          </w:tcPr>
          <w:p>
            <w:pPr>
              <w:pStyle w:val="TableParagraph"/>
              <w:spacing w:before="19"/>
              <w:ind w:left="35"/>
              <w:jc w:val="left"/>
              <w:rPr>
                <w:sz w:val="18"/>
              </w:rPr>
            </w:pPr>
            <w:r>
              <w:rPr>
                <w:sz w:val="18"/>
              </w:rPr>
              <w:t>Loans advanced</w:t>
            </w:r>
          </w:p>
        </w:tc>
        <w:tc>
          <w:tcPr>
            <w:tcW w:w="1178" w:type="dxa"/>
          </w:tcPr>
          <w:p>
            <w:pPr/>
          </w:p>
        </w:tc>
        <w:tc>
          <w:tcPr>
            <w:tcW w:w="1291" w:type="dxa"/>
          </w:tcPr>
          <w:p>
            <w:pPr>
              <w:pStyle w:val="TableParagraph"/>
              <w:spacing w:before="18"/>
              <w:ind w:left="139"/>
              <w:jc w:val="left"/>
              <w:rPr>
                <w:b/>
                <w:sz w:val="18"/>
              </w:rPr>
            </w:pPr>
            <w:r>
              <w:rPr>
                <w:b/>
                <w:w w:val="99"/>
                <w:sz w:val="18"/>
              </w:rPr>
              <w:t>-</w:t>
            </w:r>
          </w:p>
        </w:tc>
        <w:tc>
          <w:tcPr>
            <w:tcW w:w="3058" w:type="dxa"/>
          </w:tcPr>
          <w:p>
            <w:pPr>
              <w:pStyle w:val="TableParagraph"/>
              <w:tabs>
                <w:tab w:pos="1135" w:val="left" w:leader="none"/>
                <w:tab w:pos="2434" w:val="left" w:leader="none"/>
              </w:tabs>
              <w:spacing w:before="18"/>
              <w:ind w:left="59"/>
              <w:jc w:val="center"/>
              <w:rPr>
                <w:sz w:val="18"/>
              </w:rPr>
            </w:pPr>
            <w:r>
              <w:rPr>
                <w:sz w:val="18"/>
              </w:rPr>
              <w:t>-</w:t>
              <w:tab/>
            </w:r>
            <w:r>
              <w:rPr>
                <w:b/>
                <w:sz w:val="18"/>
              </w:rPr>
              <w:t>5,072</w:t>
              <w:tab/>
            </w:r>
            <w:r>
              <w:rPr>
                <w:sz w:val="18"/>
              </w:rPr>
              <w:t>2,307</w:t>
            </w:r>
          </w:p>
        </w:tc>
      </w:tr>
      <w:tr>
        <w:trPr>
          <w:trHeight w:val="264" w:hRule="exact"/>
        </w:trPr>
        <w:tc>
          <w:tcPr>
            <w:tcW w:w="3457" w:type="dxa"/>
          </w:tcPr>
          <w:p>
            <w:pPr>
              <w:pStyle w:val="TableParagraph"/>
              <w:spacing w:before="19"/>
              <w:ind w:left="35"/>
              <w:jc w:val="left"/>
              <w:rPr>
                <w:sz w:val="18"/>
              </w:rPr>
            </w:pPr>
            <w:r>
              <w:rPr>
                <w:sz w:val="18"/>
              </w:rPr>
              <w:t>Loan repayments paid</w:t>
            </w:r>
          </w:p>
        </w:tc>
        <w:tc>
          <w:tcPr>
            <w:tcW w:w="1178" w:type="dxa"/>
          </w:tcPr>
          <w:p>
            <w:pPr/>
          </w:p>
        </w:tc>
        <w:tc>
          <w:tcPr>
            <w:tcW w:w="1291" w:type="dxa"/>
          </w:tcPr>
          <w:p>
            <w:pPr>
              <w:pStyle w:val="TableParagraph"/>
              <w:spacing w:before="18"/>
              <w:ind w:left="139"/>
              <w:jc w:val="left"/>
              <w:rPr>
                <w:b/>
                <w:sz w:val="18"/>
              </w:rPr>
            </w:pPr>
            <w:r>
              <w:rPr>
                <w:b/>
                <w:w w:val="99"/>
                <w:sz w:val="18"/>
              </w:rPr>
              <w:t>-</w:t>
            </w:r>
          </w:p>
        </w:tc>
        <w:tc>
          <w:tcPr>
            <w:tcW w:w="3058" w:type="dxa"/>
          </w:tcPr>
          <w:p>
            <w:pPr>
              <w:pStyle w:val="TableParagraph"/>
              <w:tabs>
                <w:tab w:pos="1135" w:val="left" w:leader="none"/>
                <w:tab w:pos="2433" w:val="left" w:leader="none"/>
              </w:tabs>
              <w:spacing w:before="18"/>
              <w:ind w:left="118"/>
              <w:jc w:val="center"/>
              <w:rPr>
                <w:sz w:val="18"/>
              </w:rPr>
            </w:pPr>
            <w:r>
              <w:rPr>
                <w:sz w:val="18"/>
              </w:rPr>
              <w:t>-</w:t>
              <w:tab/>
            </w:r>
            <w:r>
              <w:rPr>
                <w:b/>
                <w:sz w:val="18"/>
              </w:rPr>
              <w:t>(5,664)</w:t>
              <w:tab/>
            </w:r>
            <w:r>
              <w:rPr>
                <w:sz w:val="18"/>
              </w:rPr>
              <w:t>(3,700)</w:t>
            </w:r>
          </w:p>
        </w:tc>
      </w:tr>
      <w:tr>
        <w:trPr>
          <w:trHeight w:val="262" w:hRule="exact"/>
        </w:trPr>
        <w:tc>
          <w:tcPr>
            <w:tcW w:w="3457" w:type="dxa"/>
          </w:tcPr>
          <w:p>
            <w:pPr>
              <w:pStyle w:val="TableParagraph"/>
              <w:spacing w:before="19"/>
              <w:ind w:left="35"/>
              <w:jc w:val="left"/>
              <w:rPr>
                <w:sz w:val="18"/>
              </w:rPr>
            </w:pPr>
            <w:bookmarkStart w:name="(f) Outstanding balances" w:id="134"/>
            <w:bookmarkEnd w:id="134"/>
            <w:r>
              <w:rPr/>
            </w:r>
            <w:r>
              <w:rPr>
                <w:sz w:val="18"/>
              </w:rPr>
              <w:t>Interest charged</w:t>
            </w:r>
          </w:p>
        </w:tc>
        <w:tc>
          <w:tcPr>
            <w:tcW w:w="1178" w:type="dxa"/>
            <w:tcBorders>
              <w:bottom w:val="single" w:sz="0" w:space="0" w:color="000000"/>
            </w:tcBorders>
          </w:tcPr>
          <w:p>
            <w:pPr/>
          </w:p>
        </w:tc>
        <w:tc>
          <w:tcPr>
            <w:tcW w:w="1291" w:type="dxa"/>
            <w:tcBorders>
              <w:bottom w:val="single" w:sz="0" w:space="0" w:color="000000"/>
            </w:tcBorders>
          </w:tcPr>
          <w:p>
            <w:pPr>
              <w:pStyle w:val="TableParagraph"/>
              <w:spacing w:before="18"/>
              <w:ind w:left="139"/>
              <w:jc w:val="left"/>
              <w:rPr>
                <w:b/>
                <w:sz w:val="18"/>
              </w:rPr>
            </w:pPr>
            <w:r>
              <w:rPr>
                <w:b/>
                <w:w w:val="99"/>
                <w:sz w:val="18"/>
              </w:rPr>
              <w:t>-</w:t>
            </w:r>
          </w:p>
        </w:tc>
        <w:tc>
          <w:tcPr>
            <w:tcW w:w="3058" w:type="dxa"/>
            <w:tcBorders>
              <w:bottom w:val="single" w:sz="0" w:space="0" w:color="000000"/>
            </w:tcBorders>
          </w:tcPr>
          <w:p>
            <w:pPr>
              <w:pStyle w:val="TableParagraph"/>
              <w:tabs>
                <w:tab w:pos="1285" w:val="left" w:leader="none"/>
                <w:tab w:pos="2583" w:val="left" w:leader="none"/>
              </w:tabs>
              <w:spacing w:before="18"/>
              <w:ind w:left="59"/>
              <w:jc w:val="center"/>
              <w:rPr>
                <w:sz w:val="18"/>
              </w:rPr>
            </w:pPr>
            <w:r>
              <w:rPr>
                <w:sz w:val="18"/>
              </w:rPr>
              <w:t>-</w:t>
              <w:tab/>
            </w:r>
            <w:r>
              <w:rPr>
                <w:b/>
                <w:sz w:val="18"/>
              </w:rPr>
              <w:t>139</w:t>
              <w:tab/>
            </w:r>
            <w:r>
              <w:rPr>
                <w:sz w:val="18"/>
              </w:rPr>
              <w:t>210</w:t>
            </w:r>
          </w:p>
        </w:tc>
      </w:tr>
      <w:tr>
        <w:trPr>
          <w:trHeight w:val="353" w:hRule="exact"/>
        </w:trPr>
        <w:tc>
          <w:tcPr>
            <w:tcW w:w="3457" w:type="dxa"/>
          </w:tcPr>
          <w:p>
            <w:pPr>
              <w:pStyle w:val="TableParagraph"/>
              <w:spacing w:before="95"/>
              <w:ind w:left="35"/>
              <w:jc w:val="left"/>
              <w:rPr>
                <w:b/>
                <w:sz w:val="18"/>
              </w:rPr>
            </w:pPr>
            <w:r>
              <w:rPr>
                <w:b/>
                <w:sz w:val="18"/>
              </w:rPr>
              <w:t>End of year</w:t>
            </w:r>
          </w:p>
        </w:tc>
        <w:tc>
          <w:tcPr>
            <w:tcW w:w="1178" w:type="dxa"/>
            <w:tcBorders>
              <w:top w:val="single" w:sz="0" w:space="0" w:color="000000"/>
              <w:bottom w:val="single" w:sz="0" w:space="0" w:color="000000"/>
            </w:tcBorders>
          </w:tcPr>
          <w:p>
            <w:pPr/>
          </w:p>
        </w:tc>
        <w:tc>
          <w:tcPr>
            <w:tcW w:w="1291" w:type="dxa"/>
            <w:tcBorders>
              <w:top w:val="single" w:sz="0" w:space="0" w:color="000000"/>
              <w:bottom w:val="single" w:sz="0" w:space="0" w:color="000000"/>
            </w:tcBorders>
          </w:tcPr>
          <w:p>
            <w:pPr>
              <w:pStyle w:val="TableParagraph"/>
              <w:spacing w:before="122"/>
              <w:ind w:left="139"/>
              <w:jc w:val="left"/>
              <w:rPr>
                <w:b/>
                <w:sz w:val="18"/>
              </w:rPr>
            </w:pPr>
            <w:r>
              <w:rPr>
                <w:b/>
                <w:w w:val="99"/>
                <w:sz w:val="18"/>
              </w:rPr>
              <w:t>-</w:t>
            </w:r>
          </w:p>
        </w:tc>
        <w:tc>
          <w:tcPr>
            <w:tcW w:w="3058" w:type="dxa"/>
            <w:tcBorders>
              <w:top w:val="single" w:sz="0" w:space="0" w:color="000000"/>
              <w:bottom w:val="single" w:sz="0" w:space="0" w:color="000000"/>
            </w:tcBorders>
          </w:tcPr>
          <w:p>
            <w:pPr>
              <w:pStyle w:val="TableParagraph"/>
              <w:tabs>
                <w:tab w:pos="1135" w:val="left" w:leader="none"/>
                <w:tab w:pos="2434" w:val="left" w:leader="none"/>
              </w:tabs>
              <w:spacing w:before="122"/>
              <w:ind w:left="59"/>
              <w:jc w:val="center"/>
              <w:rPr>
                <w:sz w:val="18"/>
              </w:rPr>
            </w:pPr>
            <w:r>
              <w:rPr>
                <w:sz w:val="18"/>
              </w:rPr>
              <w:t>-</w:t>
              <w:tab/>
            </w:r>
            <w:r>
              <w:rPr>
                <w:b/>
                <w:sz w:val="18"/>
              </w:rPr>
              <w:t>7,228</w:t>
              <w:tab/>
            </w:r>
            <w:r>
              <w:rPr>
                <w:sz w:val="18"/>
              </w:rPr>
              <w:t>7,680</w:t>
            </w:r>
          </w:p>
        </w:tc>
      </w:tr>
    </w:tbl>
    <w:p>
      <w:pPr>
        <w:spacing w:after="0"/>
        <w:jc w:val="center"/>
        <w:rPr>
          <w:sz w:val="18"/>
        </w:rPr>
        <w:sectPr>
          <w:type w:val="continuous"/>
          <w:pgSz w:w="12750" w:h="17680"/>
          <w:pgMar w:top="1660" w:bottom="0" w:left="0" w:right="0"/>
        </w:sectPr>
      </w:pPr>
    </w:p>
    <w:p>
      <w:pPr>
        <w:pStyle w:val="BodyText"/>
        <w:rPr>
          <w:b/>
          <w:sz w:val="20"/>
        </w:rPr>
      </w:pPr>
    </w:p>
    <w:p>
      <w:pPr>
        <w:pStyle w:val="BodyText"/>
        <w:rPr>
          <w:b/>
          <w:sz w:val="20"/>
        </w:rPr>
      </w:pPr>
    </w:p>
    <w:p>
      <w:pPr>
        <w:pStyle w:val="BodyText"/>
        <w:spacing w:before="4"/>
        <w:rPr>
          <w:b/>
        </w:rPr>
      </w:pPr>
    </w:p>
    <w:p>
      <w:pPr>
        <w:tabs>
          <w:tab w:pos="2391" w:val="left" w:leader="none"/>
        </w:tabs>
        <w:spacing w:before="0"/>
        <w:ind w:left="1824" w:right="0" w:firstLine="0"/>
        <w:jc w:val="left"/>
        <w:rPr>
          <w:b/>
          <w:sz w:val="18"/>
        </w:rPr>
      </w:pPr>
      <w:r>
        <w:rPr>
          <w:b/>
          <w:sz w:val="18"/>
        </w:rPr>
        <w:t>34</w:t>
        <w:tab/>
        <w:t>Related Parties (continued)</w:t>
      </w:r>
    </w:p>
    <w:p>
      <w:pPr>
        <w:pStyle w:val="BodyText"/>
        <w:spacing w:before="7"/>
        <w:rPr>
          <w:b/>
          <w:sz w:val="26"/>
        </w:rPr>
      </w:pPr>
    </w:p>
    <w:p>
      <w:pPr>
        <w:pStyle w:val="BodyText"/>
        <w:tabs>
          <w:tab w:pos="2391" w:val="left" w:leader="none"/>
        </w:tabs>
        <w:ind w:left="1825"/>
      </w:pPr>
      <w:r>
        <w:rPr/>
        <w:t>(f)</w:t>
        <w:tab/>
        <w:t>Outstanding</w:t>
      </w:r>
      <w:r>
        <w:rPr>
          <w:spacing w:val="-1"/>
        </w:rPr>
        <w:t> </w:t>
      </w:r>
      <w:r>
        <w:rPr/>
        <w:t>balances</w:t>
      </w:r>
    </w:p>
    <w:p>
      <w:pPr>
        <w:pStyle w:val="BodyText"/>
        <w:spacing w:before="4"/>
        <w:rPr>
          <w:sz w:val="25"/>
        </w:rPr>
      </w:pPr>
    </w:p>
    <w:p>
      <w:pPr>
        <w:pStyle w:val="BodyText"/>
        <w:ind w:left="2390"/>
      </w:pPr>
      <w:r>
        <w:rPr/>
        <w:t>The following balances are outstanding at the reporting date in relation to transactions with related parties:</w:t>
      </w:r>
    </w:p>
    <w:p>
      <w:pPr>
        <w:pStyle w:val="BodyText"/>
        <w:spacing w:before="9"/>
        <w:rPr>
          <w:sz w:val="16"/>
        </w:rPr>
      </w:pPr>
    </w:p>
    <w:p>
      <w:pPr>
        <w:pStyle w:val="Heading8"/>
        <w:tabs>
          <w:tab w:pos="9680" w:val="left" w:leader="none"/>
        </w:tabs>
        <w:spacing w:before="1"/>
        <w:ind w:left="6640"/>
      </w:pPr>
      <w:r>
        <w:rPr/>
        <w:t>Consolidated</w:t>
        <w:tab/>
        <w:t>Parent</w:t>
      </w:r>
    </w:p>
    <w:p>
      <w:pPr>
        <w:spacing w:after="0"/>
        <w:sectPr>
          <w:pgSz w:w="12750" w:h="17680"/>
          <w:pgMar w:header="0" w:footer="907" w:top="2660" w:bottom="1100" w:left="0" w:right="0"/>
        </w:sectPr>
      </w:pPr>
    </w:p>
    <w:p>
      <w:pPr>
        <w:pStyle w:val="BodyText"/>
        <w:rPr>
          <w:b/>
        </w:rPr>
      </w:pPr>
    </w:p>
    <w:p>
      <w:pPr>
        <w:pStyle w:val="BodyText"/>
        <w:rPr>
          <w:b/>
        </w:rPr>
      </w:pPr>
    </w:p>
    <w:p>
      <w:pPr>
        <w:pStyle w:val="BodyText"/>
        <w:spacing w:before="5"/>
        <w:rPr>
          <w:b/>
          <w:sz w:val="19"/>
        </w:rPr>
      </w:pPr>
    </w:p>
    <w:p>
      <w:pPr>
        <w:pStyle w:val="BodyText"/>
        <w:ind w:left="2421" w:right="-20"/>
      </w:pPr>
      <w:r>
        <w:rPr/>
        <w:t>Current receivables (sale of goods and services)</w:t>
      </w:r>
    </w:p>
    <w:p>
      <w:pPr>
        <w:pStyle w:val="Heading8"/>
        <w:spacing w:before="66"/>
        <w:ind w:right="19"/>
        <w:jc w:val="right"/>
      </w:pPr>
      <w:r>
        <w:rPr>
          <w:b w:val="0"/>
        </w:rPr>
        <w:br w:type="column"/>
      </w:r>
      <w:r>
        <w:rPr/>
        <w:t>2016</w:t>
      </w:r>
    </w:p>
    <w:p>
      <w:pPr>
        <w:spacing w:before="66"/>
        <w:ind w:left="0" w:right="0" w:firstLine="0"/>
        <w:jc w:val="right"/>
        <w:rPr>
          <w:b/>
          <w:sz w:val="18"/>
        </w:rPr>
      </w:pPr>
      <w:r>
        <w:rPr>
          <w:b/>
          <w:w w:val="95"/>
          <w:sz w:val="18"/>
        </w:rPr>
        <w:t>$'000</w:t>
      </w:r>
    </w:p>
    <w:p>
      <w:pPr>
        <w:spacing w:before="66"/>
        <w:ind w:left="821" w:right="-17" w:firstLine="0"/>
        <w:jc w:val="left"/>
        <w:rPr>
          <w:b/>
          <w:sz w:val="18"/>
        </w:rPr>
      </w:pPr>
      <w:r>
        <w:rPr/>
        <w:br w:type="column"/>
      </w:r>
      <w:r>
        <w:rPr>
          <w:b/>
          <w:sz w:val="18"/>
        </w:rPr>
        <w:t>2015</w:t>
      </w:r>
    </w:p>
    <w:p>
      <w:pPr>
        <w:spacing w:before="66"/>
        <w:ind w:left="799" w:right="-20" w:firstLine="0"/>
        <w:jc w:val="left"/>
        <w:rPr>
          <w:b/>
          <w:sz w:val="18"/>
        </w:rPr>
      </w:pPr>
      <w:r>
        <w:rPr>
          <w:b/>
          <w:sz w:val="18"/>
        </w:rPr>
        <w:t>$'000</w:t>
      </w:r>
    </w:p>
    <w:p>
      <w:pPr>
        <w:spacing w:before="66"/>
        <w:ind w:left="0" w:right="19" w:firstLine="0"/>
        <w:jc w:val="right"/>
        <w:rPr>
          <w:b/>
          <w:sz w:val="18"/>
        </w:rPr>
      </w:pPr>
      <w:r>
        <w:rPr/>
        <w:br w:type="column"/>
      </w:r>
      <w:r>
        <w:rPr>
          <w:b/>
          <w:sz w:val="18"/>
        </w:rPr>
        <w:t>2016</w:t>
      </w:r>
    </w:p>
    <w:p>
      <w:pPr>
        <w:spacing w:before="66"/>
        <w:ind w:left="0" w:right="0" w:firstLine="0"/>
        <w:jc w:val="right"/>
        <w:rPr>
          <w:b/>
          <w:sz w:val="18"/>
        </w:rPr>
      </w:pPr>
      <w:r>
        <w:rPr>
          <w:b/>
          <w:w w:val="95"/>
          <w:sz w:val="18"/>
        </w:rPr>
        <w:t>$'000</w:t>
      </w:r>
    </w:p>
    <w:p>
      <w:pPr>
        <w:spacing w:before="66"/>
        <w:ind w:left="821" w:right="0" w:firstLine="0"/>
        <w:jc w:val="left"/>
        <w:rPr>
          <w:b/>
          <w:sz w:val="18"/>
        </w:rPr>
      </w:pPr>
      <w:r>
        <w:rPr/>
        <w:br w:type="column"/>
      </w:r>
      <w:r>
        <w:rPr>
          <w:b/>
          <w:sz w:val="18"/>
        </w:rPr>
        <w:t>2015</w:t>
      </w:r>
    </w:p>
    <w:p>
      <w:pPr>
        <w:spacing w:before="66"/>
        <w:ind w:left="799" w:right="0" w:firstLine="0"/>
        <w:jc w:val="left"/>
        <w:rPr>
          <w:b/>
          <w:sz w:val="18"/>
        </w:rPr>
      </w:pPr>
      <w:r>
        <w:rPr>
          <w:b/>
          <w:sz w:val="18"/>
        </w:rPr>
        <w:t>$'000</w:t>
      </w:r>
    </w:p>
    <w:p>
      <w:pPr>
        <w:spacing w:after="0"/>
        <w:jc w:val="left"/>
        <w:rPr>
          <w:sz w:val="18"/>
        </w:rPr>
        <w:sectPr>
          <w:type w:val="continuous"/>
          <w:pgSz w:w="12750" w:h="17680"/>
          <w:pgMar w:top="1660" w:bottom="0" w:left="0" w:right="0"/>
          <w:cols w:num="5" w:equalWidth="0">
            <w:col w:w="5163" w:space="40"/>
            <w:col w:w="1651" w:space="40"/>
            <w:col w:w="1243" w:space="40"/>
            <w:col w:w="1441" w:space="40"/>
            <w:col w:w="3092"/>
          </w:cols>
        </w:sectPr>
      </w:pPr>
    </w:p>
    <w:p>
      <w:pPr>
        <w:pStyle w:val="BodyText"/>
        <w:tabs>
          <w:tab w:pos="7131" w:val="left" w:leader="none"/>
          <w:tab w:pos="8428" w:val="left" w:leader="none"/>
          <w:tab w:pos="9855" w:val="left" w:leader="none"/>
          <w:tab w:pos="11252" w:val="right" w:leader="none"/>
        </w:tabs>
        <w:spacing w:before="57"/>
        <w:ind w:left="2636"/>
      </w:pPr>
      <w:r>
        <w:rPr/>
        <w:t>Subsidiaries</w:t>
        <w:tab/>
      </w:r>
      <w:r>
        <w:rPr>
          <w:b/>
        </w:rPr>
        <w:t>-</w:t>
        <w:tab/>
      </w:r>
      <w:r>
        <w:rPr/>
        <w:t>-</w:t>
        <w:tab/>
      </w:r>
      <w:r>
        <w:rPr>
          <w:b/>
        </w:rPr>
        <w:t>1</w:t>
      </w:r>
      <w:r>
        <w:rPr/>
        <w:tab/>
        <w:t>6</w:t>
      </w:r>
    </w:p>
    <w:p>
      <w:pPr>
        <w:pStyle w:val="BodyText"/>
        <w:spacing w:before="54"/>
        <w:ind w:left="2421"/>
      </w:pPr>
      <w:r>
        <w:rPr/>
        <w:t>Current receivables (loans)</w:t>
      </w:r>
    </w:p>
    <w:p>
      <w:pPr>
        <w:pStyle w:val="BodyText"/>
        <w:tabs>
          <w:tab w:pos="7131" w:val="left" w:leader="none"/>
          <w:tab w:pos="8428" w:val="left" w:leader="none"/>
          <w:tab w:pos="9506" w:val="left" w:leader="none"/>
          <w:tab w:pos="10803" w:val="left" w:leader="none"/>
        </w:tabs>
        <w:spacing w:line="302" w:lineRule="auto" w:before="57"/>
        <w:ind w:left="2421" w:right="1488" w:firstLine="214"/>
      </w:pPr>
      <w:r>
        <w:rPr/>
        <w:t>Subsidiaries</w:t>
        <w:tab/>
      </w:r>
      <w:r>
        <w:rPr>
          <w:b/>
        </w:rPr>
        <w:t>-</w:t>
        <w:tab/>
      </w:r>
      <w:r>
        <w:rPr/>
        <w:t>-</w:t>
        <w:tab/>
      </w:r>
      <w:r>
        <w:rPr>
          <w:b/>
        </w:rPr>
        <w:t>5,619</w:t>
        <w:tab/>
      </w:r>
      <w:r>
        <w:rPr/>
        <w:t>5,010 Current payables (purchase</w:t>
      </w:r>
      <w:r>
        <w:rPr>
          <w:spacing w:val="-1"/>
        </w:rPr>
        <w:t> </w:t>
      </w:r>
      <w:r>
        <w:rPr/>
        <w:t>of</w:t>
      </w:r>
    </w:p>
    <w:p>
      <w:pPr>
        <w:pStyle w:val="BodyText"/>
        <w:spacing w:line="154" w:lineRule="exact"/>
        <w:ind w:left="2421"/>
      </w:pPr>
      <w:r>
        <w:rPr/>
        <w:t>goods)</w:t>
      </w:r>
    </w:p>
    <w:p>
      <w:pPr>
        <w:pStyle w:val="BodyText"/>
        <w:tabs>
          <w:tab w:pos="7131" w:val="left" w:leader="none"/>
          <w:tab w:pos="8428" w:val="left" w:leader="none"/>
          <w:tab w:pos="9755" w:val="left" w:leader="none"/>
          <w:tab w:pos="11053" w:val="left" w:leader="none"/>
        </w:tabs>
        <w:spacing w:before="57"/>
        <w:ind w:left="2636"/>
      </w:pPr>
      <w:r>
        <w:rPr/>
        <w:t>Subsidiaries</w:t>
        <w:tab/>
      </w:r>
      <w:r>
        <w:rPr>
          <w:b/>
        </w:rPr>
        <w:t>-</w:t>
        <w:tab/>
      </w:r>
      <w:r>
        <w:rPr/>
        <w:t>-</w:t>
        <w:tab/>
      </w:r>
      <w:r>
        <w:rPr>
          <w:b/>
        </w:rPr>
        <w:t>12</w:t>
      </w:r>
      <w:r>
        <w:rPr/>
        <w:tab/>
        <w:t>14</w:t>
      </w:r>
    </w:p>
    <w:p>
      <w:pPr>
        <w:pStyle w:val="BodyText"/>
        <w:spacing w:before="54"/>
        <w:ind w:left="2421"/>
      </w:pPr>
      <w:r>
        <w:rPr/>
        <w:t>Current payables (loans)</w:t>
      </w:r>
    </w:p>
    <w:p>
      <w:pPr>
        <w:pStyle w:val="BodyText"/>
        <w:tabs>
          <w:tab w:pos="7131" w:val="left" w:leader="none"/>
          <w:tab w:pos="8428" w:val="left" w:leader="none"/>
          <w:tab w:pos="9506" w:val="left" w:leader="none"/>
          <w:tab w:pos="10803" w:val="left" w:leader="none"/>
        </w:tabs>
        <w:spacing w:line="604" w:lineRule="auto" w:before="57"/>
        <w:ind w:left="2390" w:right="1488" w:firstLine="245"/>
      </w:pPr>
      <w:r>
        <w:rPr/>
        <w:drawing>
          <wp:anchor distT="0" distB="0" distL="0" distR="0" allowOverlap="1" layoutInCell="1" locked="0" behindDoc="0" simplePos="0" relativeHeight="4936">
            <wp:simplePos x="0" y="0"/>
            <wp:positionH relativeFrom="page">
              <wp:posOffset>-1587</wp:posOffset>
            </wp:positionH>
            <wp:positionV relativeFrom="paragraph">
              <wp:posOffset>598731</wp:posOffset>
            </wp:positionV>
            <wp:extent cx="136525" cy="155575"/>
            <wp:effectExtent l="0" t="0" r="0" b="0"/>
            <wp:wrapNone/>
            <wp:docPr id="309" name="image22.png" descr=""/>
            <wp:cNvGraphicFramePr>
              <a:graphicFrameLocks noChangeAspect="1"/>
            </wp:cNvGraphicFramePr>
            <a:graphic>
              <a:graphicData uri="http://schemas.openxmlformats.org/drawingml/2006/picture">
                <pic:pic>
                  <pic:nvPicPr>
                    <pic:cNvPr id="310" name="image22.png"/>
                    <pic:cNvPicPr/>
                  </pic:nvPicPr>
                  <pic:blipFill>
                    <a:blip r:embed="rId28" cstate="print"/>
                    <a:stretch>
                      <a:fillRect/>
                    </a:stretch>
                  </pic:blipFill>
                  <pic:spPr>
                    <a:xfrm>
                      <a:off x="0" y="0"/>
                      <a:ext cx="136525" cy="155575"/>
                    </a:xfrm>
                    <a:prstGeom prst="rect">
                      <a:avLst/>
                    </a:prstGeom>
                  </pic:spPr>
                </pic:pic>
              </a:graphicData>
            </a:graphic>
          </wp:anchor>
        </w:drawing>
      </w:r>
      <w:r>
        <w:rPr/>
        <w:drawing>
          <wp:anchor distT="0" distB="0" distL="0" distR="0" allowOverlap="1" layoutInCell="1" locked="0" behindDoc="0" simplePos="0" relativeHeight="4960">
            <wp:simplePos x="0" y="0"/>
            <wp:positionH relativeFrom="page">
              <wp:posOffset>7957756</wp:posOffset>
            </wp:positionH>
            <wp:positionV relativeFrom="paragraph">
              <wp:posOffset>598731</wp:posOffset>
            </wp:positionV>
            <wp:extent cx="136627" cy="155575"/>
            <wp:effectExtent l="0" t="0" r="0" b="0"/>
            <wp:wrapNone/>
            <wp:docPr id="311" name="image26.png" descr=""/>
            <wp:cNvGraphicFramePr>
              <a:graphicFrameLocks noChangeAspect="1"/>
            </wp:cNvGraphicFramePr>
            <a:graphic>
              <a:graphicData uri="http://schemas.openxmlformats.org/drawingml/2006/picture">
                <pic:pic>
                  <pic:nvPicPr>
                    <pic:cNvPr id="312" name="image26.png"/>
                    <pic:cNvPicPr/>
                  </pic:nvPicPr>
                  <pic:blipFill>
                    <a:blip r:embed="rId45" cstate="print"/>
                    <a:stretch>
                      <a:fillRect/>
                    </a:stretch>
                  </pic:blipFill>
                  <pic:spPr>
                    <a:xfrm>
                      <a:off x="0" y="0"/>
                      <a:ext cx="136627" cy="155575"/>
                    </a:xfrm>
                    <a:prstGeom prst="rect">
                      <a:avLst/>
                    </a:prstGeom>
                  </pic:spPr>
                </pic:pic>
              </a:graphicData>
            </a:graphic>
          </wp:anchor>
        </w:drawing>
      </w:r>
      <w:r>
        <w:rPr/>
        <w:t>Parent entity</w:t>
        <w:tab/>
      </w:r>
      <w:r>
        <w:rPr>
          <w:b/>
        </w:rPr>
        <w:t>-</w:t>
        <w:tab/>
      </w:r>
      <w:r>
        <w:rPr/>
        <w:t>-</w:t>
        <w:tab/>
      </w:r>
      <w:r>
        <w:rPr>
          <w:b/>
        </w:rPr>
        <w:t>6,583</w:t>
        <w:tab/>
      </w:r>
      <w:r>
        <w:rPr/>
        <w:t>7,681 No provision for doubtful debts has been raised in relation to outstanding balances from related</w:t>
      </w:r>
      <w:r>
        <w:rPr>
          <w:spacing w:val="-2"/>
        </w:rPr>
        <w:t> </w:t>
      </w:r>
      <w:r>
        <w:rPr/>
        <w:t>parties.</w:t>
      </w:r>
    </w:p>
    <w:p>
      <w:pPr>
        <w:pStyle w:val="Heading8"/>
        <w:spacing w:line="189" w:lineRule="exact"/>
        <w:ind w:left="1429"/>
      </w:pPr>
      <w:r>
        <w:rPr/>
        <w:t>35    Financial Risk Management</w:t>
      </w:r>
    </w:p>
    <w:p>
      <w:pPr>
        <w:pStyle w:val="BodyText"/>
        <w:spacing w:before="7"/>
        <w:rPr>
          <w:b/>
          <w:sz w:val="26"/>
        </w:rPr>
      </w:pPr>
    </w:p>
    <w:p>
      <w:pPr>
        <w:pStyle w:val="ListParagraph"/>
        <w:numPr>
          <w:ilvl w:val="0"/>
          <w:numId w:val="30"/>
        </w:numPr>
        <w:tabs>
          <w:tab w:pos="2392" w:val="left" w:leader="none"/>
        </w:tabs>
        <w:spacing w:line="240" w:lineRule="auto" w:before="0" w:after="0"/>
        <w:ind w:left="2391" w:right="0" w:hanging="566"/>
        <w:jc w:val="left"/>
        <w:rPr>
          <w:sz w:val="18"/>
        </w:rPr>
      </w:pPr>
      <w:r>
        <w:rPr>
          <w:sz w:val="18"/>
        </w:rPr>
        <w:t>Introduction</w:t>
      </w:r>
    </w:p>
    <w:p>
      <w:pPr>
        <w:pStyle w:val="BodyText"/>
        <w:spacing w:before="4"/>
        <w:rPr>
          <w:sz w:val="25"/>
        </w:rPr>
      </w:pPr>
    </w:p>
    <w:p>
      <w:pPr>
        <w:pStyle w:val="BodyText"/>
        <w:ind w:left="2390" w:right="1375"/>
      </w:pPr>
      <w:r>
        <w:rPr/>
        <w:t>The Group's activities expose it to a variety of financial risks: market risk (including currency risk, fair value interest rate risk, cash flow interest rate risk and price risk), credit risk and liquidity risk. The Group's overall risk management program focuses on the unpredictability of financial markets and seeks to minimise potential adverse effects on the financial performance of the Group. The Group uses different methods to measure different types of risk to which it is exposed. These methods include sensitivity analysis in the case of interest rate, foreign exchange and other price risks and ageing analysis for credit risk.</w:t>
      </w:r>
    </w:p>
    <w:p>
      <w:pPr>
        <w:pStyle w:val="BodyText"/>
        <w:rPr>
          <w:sz w:val="25"/>
        </w:rPr>
      </w:pPr>
    </w:p>
    <w:p>
      <w:pPr>
        <w:pStyle w:val="BodyText"/>
        <w:ind w:left="2390" w:right="1660"/>
      </w:pPr>
      <w:r>
        <w:rPr/>
        <w:t>The Group's principal financial instruments are investments in units in managed investment funds and held to maturity investments.</w:t>
      </w:r>
    </w:p>
    <w:p>
      <w:pPr>
        <w:pStyle w:val="BodyText"/>
        <w:rPr>
          <w:sz w:val="25"/>
        </w:rPr>
      </w:pPr>
    </w:p>
    <w:p>
      <w:pPr>
        <w:pStyle w:val="BodyText"/>
        <w:ind w:left="2390"/>
      </w:pPr>
      <w:r>
        <w:rPr/>
        <w:t>The main purposes of the managed investment funds and held to maturity investments are to:</w:t>
      </w:r>
    </w:p>
    <w:p>
      <w:pPr>
        <w:pStyle w:val="BodyText"/>
        <w:rPr>
          <w:sz w:val="25"/>
        </w:rPr>
      </w:pPr>
    </w:p>
    <w:p>
      <w:pPr>
        <w:pStyle w:val="ListParagraph"/>
        <w:numPr>
          <w:ilvl w:val="1"/>
          <w:numId w:val="30"/>
        </w:numPr>
        <w:tabs>
          <w:tab w:pos="2541" w:val="left" w:leader="none"/>
        </w:tabs>
        <w:spacing w:line="240" w:lineRule="auto" w:before="0" w:after="0"/>
        <w:ind w:left="2390" w:right="1668" w:firstLine="0"/>
        <w:jc w:val="left"/>
        <w:rPr>
          <w:sz w:val="18"/>
        </w:rPr>
      </w:pPr>
      <w:r>
        <w:rPr>
          <w:sz w:val="18"/>
        </w:rPr>
        <w:t>earn an income stream and provide long term growth to support the Western Sydney University Foundation Fund's objectives, and the University's teaching, learning and research initiatives,</w:t>
      </w:r>
      <w:r>
        <w:rPr>
          <w:spacing w:val="-1"/>
          <w:sz w:val="18"/>
        </w:rPr>
        <w:t> </w:t>
      </w:r>
      <w:r>
        <w:rPr>
          <w:sz w:val="18"/>
        </w:rPr>
        <w:t>and</w:t>
      </w:r>
    </w:p>
    <w:p>
      <w:pPr>
        <w:pStyle w:val="BodyText"/>
        <w:rPr>
          <w:sz w:val="25"/>
        </w:rPr>
      </w:pPr>
    </w:p>
    <w:p>
      <w:pPr>
        <w:pStyle w:val="ListParagraph"/>
        <w:numPr>
          <w:ilvl w:val="1"/>
          <w:numId w:val="30"/>
        </w:numPr>
        <w:tabs>
          <w:tab w:pos="2581" w:val="left" w:leader="none"/>
        </w:tabs>
        <w:spacing w:line="240" w:lineRule="auto" w:before="0" w:after="0"/>
        <w:ind w:left="2390" w:right="1598" w:firstLine="0"/>
        <w:jc w:val="left"/>
        <w:rPr>
          <w:sz w:val="18"/>
        </w:rPr>
      </w:pPr>
      <w:r>
        <w:rPr>
          <w:sz w:val="18"/>
        </w:rPr>
        <w:t>provide long term capital growth so that the Group can provide sufficient funds to meet longer term liabilities including deferred employee</w:t>
      </w:r>
      <w:r>
        <w:rPr>
          <w:spacing w:val="-1"/>
          <w:sz w:val="18"/>
        </w:rPr>
        <w:t> </w:t>
      </w:r>
      <w:r>
        <w:rPr>
          <w:sz w:val="18"/>
        </w:rPr>
        <w:t>benefits.</w:t>
      </w:r>
    </w:p>
    <w:p>
      <w:pPr>
        <w:pStyle w:val="BodyText"/>
        <w:rPr>
          <w:sz w:val="25"/>
        </w:rPr>
      </w:pPr>
    </w:p>
    <w:p>
      <w:pPr>
        <w:pStyle w:val="BodyText"/>
        <w:ind w:left="2390"/>
      </w:pPr>
      <w:r>
        <w:rPr/>
        <w:t>The Group also has various other financial instruments such as cash, receivables, payables and finance leases.</w:t>
      </w:r>
    </w:p>
    <w:p>
      <w:pPr>
        <w:spacing w:after="0"/>
        <w:sectPr>
          <w:type w:val="continuous"/>
          <w:pgSz w:w="12750" w:h="17680"/>
          <w:pgMar w:top="1660" w:bottom="0" w:left="0" w:right="0"/>
        </w:sectPr>
      </w:pPr>
    </w:p>
    <w:p>
      <w:pPr>
        <w:pStyle w:val="BodyText"/>
        <w:rPr>
          <w:sz w:val="20"/>
        </w:rPr>
      </w:pPr>
    </w:p>
    <w:p>
      <w:pPr>
        <w:pStyle w:val="BodyText"/>
        <w:rPr>
          <w:sz w:val="20"/>
        </w:rPr>
      </w:pPr>
    </w:p>
    <w:p>
      <w:pPr>
        <w:pStyle w:val="BodyText"/>
        <w:spacing w:before="4"/>
      </w:pPr>
    </w:p>
    <w:p>
      <w:pPr>
        <w:pStyle w:val="Heading8"/>
        <w:tabs>
          <w:tab w:pos="2391" w:val="left" w:leader="none"/>
        </w:tabs>
        <w:ind w:left="1824"/>
      </w:pPr>
      <w:r>
        <w:rPr/>
        <w:t>35</w:t>
        <w:tab/>
        <w:t>Financial Risk Management (continued)</w:t>
      </w:r>
    </w:p>
    <w:p>
      <w:pPr>
        <w:pStyle w:val="BodyText"/>
        <w:spacing w:before="7"/>
        <w:rPr>
          <w:b/>
          <w:sz w:val="26"/>
        </w:rPr>
      </w:pPr>
    </w:p>
    <w:p>
      <w:pPr>
        <w:pStyle w:val="ListParagraph"/>
        <w:numPr>
          <w:ilvl w:val="0"/>
          <w:numId w:val="31"/>
        </w:numPr>
        <w:tabs>
          <w:tab w:pos="2392" w:val="left" w:leader="none"/>
        </w:tabs>
        <w:spacing w:line="240" w:lineRule="auto" w:before="0" w:after="0"/>
        <w:ind w:left="2391" w:right="0" w:hanging="566"/>
        <w:jc w:val="left"/>
        <w:rPr>
          <w:sz w:val="18"/>
        </w:rPr>
      </w:pPr>
      <w:r>
        <w:rPr>
          <w:sz w:val="18"/>
        </w:rPr>
        <w:t>Introduction</w:t>
      </w:r>
      <w:r>
        <w:rPr>
          <w:spacing w:val="-24"/>
          <w:sz w:val="18"/>
        </w:rPr>
        <w:t> </w:t>
      </w:r>
      <w:r>
        <w:rPr>
          <w:sz w:val="18"/>
        </w:rPr>
        <w:t>(continued)</w:t>
      </w:r>
    </w:p>
    <w:p>
      <w:pPr>
        <w:pStyle w:val="BodyText"/>
        <w:spacing w:before="4"/>
        <w:rPr>
          <w:sz w:val="25"/>
        </w:rPr>
      </w:pPr>
    </w:p>
    <w:p>
      <w:pPr>
        <w:pStyle w:val="Heading8"/>
        <w:ind w:left="2390"/>
      </w:pPr>
      <w:r>
        <w:rPr/>
        <w:t>Treasury Risk Management</w:t>
      </w:r>
    </w:p>
    <w:p>
      <w:pPr>
        <w:pStyle w:val="BodyText"/>
        <w:spacing w:before="11"/>
        <w:rPr>
          <w:b/>
          <w:sz w:val="24"/>
        </w:rPr>
      </w:pPr>
    </w:p>
    <w:p>
      <w:pPr>
        <w:pStyle w:val="BodyText"/>
        <w:ind w:left="2390" w:right="1375"/>
      </w:pPr>
      <w:r>
        <w:rPr/>
        <w:t>The University only invests funds with fund managers that were approved by NSW Treasury under the previous requirements of the Western Sydney University Act or are now approved by the Finance and Investment Committee. Approved fund managers use a wide range of diversified strategic asset allocations. The performance of the fund managers is closely monitored by the University's Finance and Investment Committee. The Finance and Investment Committee has a number of external members with a high level of experience and expertise in funds management. The Committee provides written principles for overall risk management, as well as policies covering specific areas, such as investment of excess liquidity. The Finance and Investment </w:t>
      </w:r>
      <w:bookmarkStart w:name="(b) Market risk" w:id="135"/>
      <w:bookmarkEnd w:id="135"/>
      <w:r>
        <w:rPr/>
      </w:r>
      <w:r>
        <w:rPr/>
        <w:t>Committee also evaluates Treasury management strategies in the context of the most recent economic conditions and forecasts and the Group’s activities. The Finance and Investment Committee reports regularly to the Board of Trustees.</w:t>
      </w:r>
    </w:p>
    <w:p>
      <w:pPr>
        <w:pStyle w:val="BodyText"/>
        <w:spacing w:before="7"/>
        <w:rPr>
          <w:sz w:val="26"/>
        </w:rPr>
      </w:pPr>
    </w:p>
    <w:p>
      <w:pPr>
        <w:pStyle w:val="ListParagraph"/>
        <w:numPr>
          <w:ilvl w:val="0"/>
          <w:numId w:val="31"/>
        </w:numPr>
        <w:tabs>
          <w:tab w:pos="2392" w:val="left" w:leader="none"/>
        </w:tabs>
        <w:spacing w:line="240" w:lineRule="auto" w:before="0" w:after="0"/>
        <w:ind w:left="2391" w:right="0" w:hanging="566"/>
        <w:jc w:val="left"/>
        <w:rPr>
          <w:sz w:val="18"/>
        </w:rPr>
      </w:pPr>
      <w:r>
        <w:rPr>
          <w:sz w:val="18"/>
        </w:rPr>
        <w:t>Market</w:t>
      </w:r>
      <w:r>
        <w:rPr>
          <w:spacing w:val="-10"/>
          <w:sz w:val="18"/>
        </w:rPr>
        <w:t> </w:t>
      </w:r>
      <w:r>
        <w:rPr>
          <w:sz w:val="18"/>
        </w:rPr>
        <w:t>risk</w:t>
      </w:r>
    </w:p>
    <w:p>
      <w:pPr>
        <w:pStyle w:val="BodyText"/>
        <w:spacing w:before="4"/>
        <w:rPr>
          <w:sz w:val="25"/>
        </w:rPr>
      </w:pPr>
    </w:p>
    <w:p>
      <w:pPr>
        <w:pStyle w:val="BodyText"/>
        <w:ind w:left="2390" w:right="1338"/>
      </w:pPr>
      <w:r>
        <w:rPr/>
        <w:t>Market risk is the risk that changes in market prices, such as foreign exchange rates, interest rates and equity prices will affect the Group's income or the value of its holdings of financial instruments. The objective of market risk management is to manage and control market risk exposures within acceptable parameters, while optimising return.</w:t>
      </w:r>
    </w:p>
    <w:p>
      <w:pPr>
        <w:pStyle w:val="BodyText"/>
        <w:spacing w:before="11"/>
        <w:rPr>
          <w:sz w:val="24"/>
        </w:rPr>
      </w:pPr>
    </w:p>
    <w:p>
      <w:pPr>
        <w:pStyle w:val="Heading8"/>
        <w:numPr>
          <w:ilvl w:val="1"/>
          <w:numId w:val="31"/>
        </w:numPr>
        <w:tabs>
          <w:tab w:pos="2611" w:val="left" w:leader="none"/>
        </w:tabs>
        <w:spacing w:line="240" w:lineRule="auto" w:before="0" w:after="0"/>
        <w:ind w:left="2610" w:right="0" w:hanging="220"/>
        <w:jc w:val="left"/>
      </w:pPr>
      <w:r>
        <w:rPr/>
        <w:drawing>
          <wp:anchor distT="0" distB="0" distL="0" distR="0" allowOverlap="1" layoutInCell="1" locked="0" behindDoc="0" simplePos="0" relativeHeight="4984">
            <wp:simplePos x="0" y="0"/>
            <wp:positionH relativeFrom="page">
              <wp:posOffset>-1587</wp:posOffset>
            </wp:positionH>
            <wp:positionV relativeFrom="paragraph">
              <wp:posOffset>-60275</wp:posOffset>
            </wp:positionV>
            <wp:extent cx="136525" cy="155575"/>
            <wp:effectExtent l="0" t="0" r="0" b="0"/>
            <wp:wrapNone/>
            <wp:docPr id="313" name="image13.png" descr=""/>
            <wp:cNvGraphicFramePr>
              <a:graphicFrameLocks noChangeAspect="1"/>
            </wp:cNvGraphicFramePr>
            <a:graphic>
              <a:graphicData uri="http://schemas.openxmlformats.org/drawingml/2006/picture">
                <pic:pic>
                  <pic:nvPicPr>
                    <pic:cNvPr id="314" name="image13.png"/>
                    <pic:cNvPicPr/>
                  </pic:nvPicPr>
                  <pic:blipFill>
                    <a:blip r:embed="rId18" cstate="print"/>
                    <a:stretch>
                      <a:fillRect/>
                    </a:stretch>
                  </pic:blipFill>
                  <pic:spPr>
                    <a:xfrm>
                      <a:off x="0" y="0"/>
                      <a:ext cx="136525" cy="155575"/>
                    </a:xfrm>
                    <a:prstGeom prst="rect">
                      <a:avLst/>
                    </a:prstGeom>
                  </pic:spPr>
                </pic:pic>
              </a:graphicData>
            </a:graphic>
          </wp:anchor>
        </w:drawing>
      </w:r>
      <w:r>
        <w:rPr/>
        <w:drawing>
          <wp:anchor distT="0" distB="0" distL="0" distR="0" allowOverlap="1" layoutInCell="1" locked="0" behindDoc="0" simplePos="0" relativeHeight="5008">
            <wp:simplePos x="0" y="0"/>
            <wp:positionH relativeFrom="page">
              <wp:posOffset>7958429</wp:posOffset>
            </wp:positionH>
            <wp:positionV relativeFrom="paragraph">
              <wp:posOffset>-60275</wp:posOffset>
            </wp:positionV>
            <wp:extent cx="135953" cy="155575"/>
            <wp:effectExtent l="0" t="0" r="0" b="0"/>
            <wp:wrapNone/>
            <wp:docPr id="315" name="image15.png" descr=""/>
            <wp:cNvGraphicFramePr>
              <a:graphicFrameLocks noChangeAspect="1"/>
            </wp:cNvGraphicFramePr>
            <a:graphic>
              <a:graphicData uri="http://schemas.openxmlformats.org/drawingml/2006/picture">
                <pic:pic>
                  <pic:nvPicPr>
                    <pic:cNvPr id="316" name="image15.png"/>
                    <pic:cNvPicPr/>
                  </pic:nvPicPr>
                  <pic:blipFill>
                    <a:blip r:embed="rId20" cstate="print"/>
                    <a:stretch>
                      <a:fillRect/>
                    </a:stretch>
                  </pic:blipFill>
                  <pic:spPr>
                    <a:xfrm>
                      <a:off x="0" y="0"/>
                      <a:ext cx="135953" cy="155575"/>
                    </a:xfrm>
                    <a:prstGeom prst="rect">
                      <a:avLst/>
                    </a:prstGeom>
                  </pic:spPr>
                </pic:pic>
              </a:graphicData>
            </a:graphic>
          </wp:anchor>
        </w:drawing>
      </w:r>
      <w:r>
        <w:rPr/>
        <w:t>Foreign exchange risk</w:t>
      </w:r>
    </w:p>
    <w:p>
      <w:pPr>
        <w:pStyle w:val="BodyText"/>
        <w:spacing w:before="11"/>
        <w:rPr>
          <w:b/>
          <w:sz w:val="24"/>
        </w:rPr>
      </w:pPr>
    </w:p>
    <w:p>
      <w:pPr>
        <w:pStyle w:val="BodyText"/>
        <w:ind w:left="2390" w:right="1407"/>
      </w:pPr>
      <w:r>
        <w:rPr/>
        <w:t>Foreign exchange risk is the risk that the value of a financial instrument will fluctuate because of changes in foreign exchange rates.The Group is primarily exposed to foreign exchange risk on purchases that are denominated in a currency other than the Australian dollar (AUD). The Group undertakes a minor level of hedging associated with regular purchases for the Library, and specific one off purchases. The Group also ensures that its exposure is kept to an acceptable level by buying foreign currencies at spot rates when necessary to address any short term imbalances. The Group has no overseas investment operations likely to affect its statement of financial position by movement in exchange rates.</w:t>
      </w:r>
    </w:p>
    <w:p>
      <w:pPr>
        <w:pStyle w:val="BodyText"/>
        <w:spacing w:before="11"/>
        <w:rPr>
          <w:sz w:val="24"/>
        </w:rPr>
      </w:pPr>
    </w:p>
    <w:p>
      <w:pPr>
        <w:pStyle w:val="Heading8"/>
        <w:numPr>
          <w:ilvl w:val="1"/>
          <w:numId w:val="31"/>
        </w:numPr>
        <w:tabs>
          <w:tab w:pos="2662" w:val="left" w:leader="none"/>
        </w:tabs>
        <w:spacing w:line="240" w:lineRule="auto" w:before="0" w:after="0"/>
        <w:ind w:left="2661" w:right="0" w:hanging="271"/>
        <w:jc w:val="left"/>
      </w:pPr>
      <w:r>
        <w:rPr/>
        <w:t>Price</w:t>
      </w:r>
      <w:r>
        <w:rPr>
          <w:spacing w:val="-10"/>
        </w:rPr>
        <w:t> </w:t>
      </w:r>
      <w:r>
        <w:rPr/>
        <w:t>risk</w:t>
      </w:r>
    </w:p>
    <w:p>
      <w:pPr>
        <w:pStyle w:val="BodyText"/>
        <w:spacing w:before="11"/>
        <w:rPr>
          <w:b/>
          <w:sz w:val="24"/>
        </w:rPr>
      </w:pPr>
    </w:p>
    <w:p>
      <w:pPr>
        <w:pStyle w:val="BodyText"/>
        <w:ind w:left="2390" w:right="1482"/>
      </w:pPr>
      <w:r>
        <w:rPr/>
        <w:t>Price risk is risk that the value of a financial instrument will fluctuate as a result of changes in market prices. This arises from investments held by the University and classified on the Statement of Financial Position as available</w:t>
      </w:r>
      <w:r>
        <w:rPr>
          <w:spacing w:val="-6"/>
        </w:rPr>
        <w:t> </w:t>
      </w:r>
      <w:r>
        <w:rPr/>
        <w:t>for</w:t>
      </w:r>
      <w:r>
        <w:rPr>
          <w:spacing w:val="-6"/>
        </w:rPr>
        <w:t> </w:t>
      </w:r>
      <w:r>
        <w:rPr/>
        <w:t>sale</w:t>
      </w:r>
      <w:r>
        <w:rPr>
          <w:spacing w:val="-6"/>
        </w:rPr>
        <w:t> </w:t>
      </w:r>
      <w:r>
        <w:rPr/>
        <w:t>and</w:t>
      </w:r>
      <w:r>
        <w:rPr>
          <w:spacing w:val="-6"/>
        </w:rPr>
        <w:t> </w:t>
      </w:r>
      <w:r>
        <w:rPr/>
        <w:t>held-to-maturity.</w:t>
      </w:r>
      <w:r>
        <w:rPr>
          <w:spacing w:val="-6"/>
        </w:rPr>
        <w:t> </w:t>
      </w:r>
      <w:r>
        <w:rPr/>
        <w:t>To</w:t>
      </w:r>
      <w:r>
        <w:rPr>
          <w:spacing w:val="-6"/>
        </w:rPr>
        <w:t> </w:t>
      </w:r>
      <w:r>
        <w:rPr/>
        <w:t>manage</w:t>
      </w:r>
      <w:r>
        <w:rPr>
          <w:spacing w:val="-6"/>
        </w:rPr>
        <w:t> </w:t>
      </w:r>
      <w:r>
        <w:rPr/>
        <w:t>price</w:t>
      </w:r>
      <w:r>
        <w:rPr>
          <w:spacing w:val="-6"/>
        </w:rPr>
        <w:t> </w:t>
      </w:r>
      <w:r>
        <w:rPr/>
        <w:t>risk</w:t>
      </w:r>
      <w:r>
        <w:rPr>
          <w:spacing w:val="-6"/>
        </w:rPr>
        <w:t> </w:t>
      </w:r>
      <w:r>
        <w:rPr/>
        <w:t>from</w:t>
      </w:r>
      <w:r>
        <w:rPr>
          <w:spacing w:val="-6"/>
        </w:rPr>
        <w:t> </w:t>
      </w:r>
      <w:r>
        <w:rPr/>
        <w:t>investments</w:t>
      </w:r>
      <w:r>
        <w:rPr>
          <w:spacing w:val="-6"/>
        </w:rPr>
        <w:t> </w:t>
      </w:r>
      <w:r>
        <w:rPr/>
        <w:t>in</w:t>
      </w:r>
      <w:r>
        <w:rPr>
          <w:spacing w:val="-6"/>
        </w:rPr>
        <w:t> </w:t>
      </w:r>
      <w:r>
        <w:rPr/>
        <w:t>managed</w:t>
      </w:r>
      <w:r>
        <w:rPr>
          <w:spacing w:val="-6"/>
        </w:rPr>
        <w:t> </w:t>
      </w:r>
      <w:r>
        <w:rPr/>
        <w:t>investment</w:t>
      </w:r>
      <w:r>
        <w:rPr>
          <w:spacing w:val="-6"/>
        </w:rPr>
        <w:t> </w:t>
      </w:r>
      <w:r>
        <w:rPr/>
        <w:t>funds</w:t>
      </w:r>
      <w:r>
        <w:rPr>
          <w:spacing w:val="-6"/>
        </w:rPr>
        <w:t> </w:t>
      </w:r>
      <w:r>
        <w:rPr/>
        <w:t>the University</w:t>
      </w:r>
      <w:r>
        <w:rPr>
          <w:spacing w:val="-6"/>
        </w:rPr>
        <w:t> </w:t>
      </w:r>
      <w:r>
        <w:rPr/>
        <w:t>has</w:t>
      </w:r>
      <w:r>
        <w:rPr>
          <w:spacing w:val="-6"/>
        </w:rPr>
        <w:t> </w:t>
      </w:r>
      <w:r>
        <w:rPr/>
        <w:t>contracted</w:t>
      </w:r>
      <w:r>
        <w:rPr>
          <w:spacing w:val="-6"/>
        </w:rPr>
        <w:t> </w:t>
      </w:r>
      <w:r>
        <w:rPr/>
        <w:t>out</w:t>
      </w:r>
      <w:r>
        <w:rPr>
          <w:spacing w:val="-6"/>
        </w:rPr>
        <w:t> </w:t>
      </w:r>
      <w:r>
        <w:rPr/>
        <w:t>the</w:t>
      </w:r>
      <w:r>
        <w:rPr>
          <w:spacing w:val="-6"/>
        </w:rPr>
        <w:t> </w:t>
      </w:r>
      <w:r>
        <w:rPr/>
        <w:t>management</w:t>
      </w:r>
      <w:r>
        <w:rPr>
          <w:spacing w:val="-6"/>
        </w:rPr>
        <w:t> </w:t>
      </w:r>
      <w:r>
        <w:rPr/>
        <w:t>of</w:t>
      </w:r>
      <w:r>
        <w:rPr>
          <w:spacing w:val="-6"/>
        </w:rPr>
        <w:t> </w:t>
      </w:r>
      <w:r>
        <w:rPr/>
        <w:t>the</w:t>
      </w:r>
      <w:r>
        <w:rPr>
          <w:spacing w:val="-6"/>
        </w:rPr>
        <w:t> </w:t>
      </w:r>
      <w:r>
        <w:rPr/>
        <w:t>portfolio</w:t>
      </w:r>
      <w:r>
        <w:rPr>
          <w:spacing w:val="-6"/>
        </w:rPr>
        <w:t> </w:t>
      </w:r>
      <w:r>
        <w:rPr/>
        <w:t>to</w:t>
      </w:r>
      <w:r>
        <w:rPr>
          <w:spacing w:val="-6"/>
        </w:rPr>
        <w:t> </w:t>
      </w:r>
      <w:r>
        <w:rPr/>
        <w:t>external</w:t>
      </w:r>
      <w:r>
        <w:rPr>
          <w:spacing w:val="-6"/>
        </w:rPr>
        <w:t> </w:t>
      </w:r>
      <w:r>
        <w:rPr/>
        <w:t>fund</w:t>
      </w:r>
      <w:r>
        <w:rPr>
          <w:spacing w:val="-6"/>
        </w:rPr>
        <w:t> </w:t>
      </w:r>
      <w:r>
        <w:rPr/>
        <w:t>managers.</w:t>
      </w:r>
      <w:r>
        <w:rPr>
          <w:spacing w:val="-6"/>
        </w:rPr>
        <w:t> </w:t>
      </w:r>
      <w:r>
        <w:rPr/>
        <w:t>These</w:t>
      </w:r>
      <w:r>
        <w:rPr>
          <w:spacing w:val="-6"/>
        </w:rPr>
        <w:t> </w:t>
      </w:r>
      <w:r>
        <w:rPr/>
        <w:t>fund</w:t>
      </w:r>
      <w:r>
        <w:rPr>
          <w:spacing w:val="-6"/>
        </w:rPr>
        <w:t> </w:t>
      </w:r>
      <w:r>
        <w:rPr/>
        <w:t>managers are mandated to diversify investments of the portfolio under their management. The quantum of funds under management per external fund manager and the investment objectives of each external fund manager are in accordance</w:t>
      </w:r>
      <w:r>
        <w:rPr>
          <w:spacing w:val="-7"/>
        </w:rPr>
        <w:t> </w:t>
      </w:r>
      <w:r>
        <w:rPr/>
        <w:t>with</w:t>
      </w:r>
      <w:r>
        <w:rPr>
          <w:spacing w:val="-7"/>
        </w:rPr>
        <w:t> </w:t>
      </w:r>
      <w:r>
        <w:rPr/>
        <w:t>limits</w:t>
      </w:r>
      <w:r>
        <w:rPr>
          <w:spacing w:val="-7"/>
        </w:rPr>
        <w:t> </w:t>
      </w:r>
      <w:r>
        <w:rPr/>
        <w:t>/</w:t>
      </w:r>
      <w:r>
        <w:rPr>
          <w:spacing w:val="-7"/>
        </w:rPr>
        <w:t> </w:t>
      </w:r>
      <w:r>
        <w:rPr/>
        <w:t>policies</w:t>
      </w:r>
      <w:r>
        <w:rPr>
          <w:spacing w:val="-7"/>
        </w:rPr>
        <w:t> </w:t>
      </w:r>
      <w:r>
        <w:rPr/>
        <w:t>set</w:t>
      </w:r>
      <w:r>
        <w:rPr>
          <w:spacing w:val="-7"/>
        </w:rPr>
        <w:t> </w:t>
      </w:r>
      <w:r>
        <w:rPr/>
        <w:t>by</w:t>
      </w:r>
      <w:r>
        <w:rPr>
          <w:spacing w:val="-7"/>
        </w:rPr>
        <w:t> </w:t>
      </w:r>
      <w:r>
        <w:rPr/>
        <w:t>the</w:t>
      </w:r>
      <w:r>
        <w:rPr>
          <w:spacing w:val="-7"/>
        </w:rPr>
        <w:t> </w:t>
      </w:r>
      <w:r>
        <w:rPr/>
        <w:t>Finance</w:t>
      </w:r>
      <w:r>
        <w:rPr>
          <w:spacing w:val="-7"/>
        </w:rPr>
        <w:t> </w:t>
      </w:r>
      <w:r>
        <w:rPr/>
        <w:t>and</w:t>
      </w:r>
      <w:r>
        <w:rPr>
          <w:spacing w:val="-7"/>
        </w:rPr>
        <w:t> </w:t>
      </w:r>
      <w:r>
        <w:rPr/>
        <w:t>Investment</w:t>
      </w:r>
      <w:r>
        <w:rPr>
          <w:spacing w:val="-7"/>
        </w:rPr>
        <w:t> </w:t>
      </w:r>
      <w:r>
        <w:rPr/>
        <w:t>Committee.</w:t>
      </w:r>
    </w:p>
    <w:p>
      <w:pPr>
        <w:pStyle w:val="BodyText"/>
        <w:spacing w:before="11"/>
        <w:rPr>
          <w:sz w:val="24"/>
        </w:rPr>
      </w:pPr>
    </w:p>
    <w:p>
      <w:pPr>
        <w:pStyle w:val="Heading8"/>
        <w:numPr>
          <w:ilvl w:val="1"/>
          <w:numId w:val="31"/>
        </w:numPr>
        <w:tabs>
          <w:tab w:pos="2712" w:val="left" w:leader="none"/>
        </w:tabs>
        <w:spacing w:line="240" w:lineRule="auto" w:before="0" w:after="0"/>
        <w:ind w:left="2711" w:right="0" w:hanging="321"/>
        <w:jc w:val="left"/>
      </w:pPr>
      <w:r>
        <w:rPr/>
        <w:t>Cash flow and fair value interest rate</w:t>
      </w:r>
      <w:r>
        <w:rPr>
          <w:spacing w:val="-21"/>
        </w:rPr>
        <w:t> </w:t>
      </w:r>
      <w:r>
        <w:rPr/>
        <w:t>risk</w:t>
      </w:r>
    </w:p>
    <w:p>
      <w:pPr>
        <w:pStyle w:val="BodyText"/>
        <w:spacing w:before="11"/>
        <w:rPr>
          <w:b/>
          <w:sz w:val="24"/>
        </w:rPr>
      </w:pPr>
    </w:p>
    <w:p>
      <w:pPr>
        <w:pStyle w:val="BodyText"/>
        <w:ind w:left="2390" w:right="1450"/>
      </w:pPr>
      <w:r>
        <w:rPr/>
        <w:t>Fair value interest rate risk is the risk that the fair value of a financial instrument will fluctuate because of changes in interest rates. The Group's exposure to interest rate risk is relatively small, however this is likely to increase as additional debt is utilised in future years.</w:t>
      </w:r>
    </w:p>
    <w:p>
      <w:pPr>
        <w:spacing w:after="0"/>
        <w:sectPr>
          <w:pgSz w:w="12750" w:h="17680"/>
          <w:pgMar w:header="0" w:footer="907" w:top="2640" w:bottom="1120" w:left="0" w:right="0"/>
        </w:sectPr>
      </w:pPr>
    </w:p>
    <w:p>
      <w:pPr>
        <w:pStyle w:val="BodyText"/>
        <w:rPr>
          <w:sz w:val="20"/>
        </w:rPr>
      </w:pPr>
    </w:p>
    <w:p>
      <w:pPr>
        <w:pStyle w:val="BodyText"/>
        <w:rPr>
          <w:sz w:val="20"/>
        </w:rPr>
      </w:pPr>
    </w:p>
    <w:p>
      <w:pPr>
        <w:pStyle w:val="BodyText"/>
        <w:spacing w:before="4"/>
      </w:pPr>
    </w:p>
    <w:p>
      <w:pPr>
        <w:pStyle w:val="Heading8"/>
        <w:tabs>
          <w:tab w:pos="2391" w:val="left" w:leader="none"/>
        </w:tabs>
        <w:ind w:left="1824"/>
      </w:pPr>
      <w:r>
        <w:rPr/>
        <w:t>35</w:t>
        <w:tab/>
        <w:t>Financial Risk Management (continued)</w:t>
      </w:r>
    </w:p>
    <w:p>
      <w:pPr>
        <w:pStyle w:val="BodyText"/>
        <w:spacing w:before="7"/>
        <w:rPr>
          <w:b/>
          <w:sz w:val="26"/>
        </w:rPr>
      </w:pPr>
    </w:p>
    <w:p>
      <w:pPr>
        <w:pStyle w:val="ListParagraph"/>
        <w:numPr>
          <w:ilvl w:val="0"/>
          <w:numId w:val="32"/>
        </w:numPr>
        <w:tabs>
          <w:tab w:pos="2392" w:val="left" w:leader="none"/>
        </w:tabs>
        <w:spacing w:line="240" w:lineRule="auto" w:before="0" w:after="0"/>
        <w:ind w:left="2391" w:right="0" w:hanging="566"/>
        <w:jc w:val="left"/>
        <w:rPr>
          <w:sz w:val="18"/>
        </w:rPr>
      </w:pPr>
      <w:r>
        <w:rPr>
          <w:sz w:val="18"/>
        </w:rPr>
        <w:t>Market risk</w:t>
      </w:r>
      <w:r>
        <w:rPr>
          <w:spacing w:val="-22"/>
          <w:sz w:val="18"/>
        </w:rPr>
        <w:t> </w:t>
      </w:r>
      <w:r>
        <w:rPr>
          <w:sz w:val="18"/>
        </w:rPr>
        <w:t>(continued)</w:t>
      </w:r>
    </w:p>
    <w:p>
      <w:pPr>
        <w:pStyle w:val="BodyText"/>
        <w:spacing w:before="4"/>
        <w:rPr>
          <w:sz w:val="25"/>
        </w:rPr>
      </w:pPr>
    </w:p>
    <w:p>
      <w:pPr>
        <w:pStyle w:val="Heading8"/>
        <w:numPr>
          <w:ilvl w:val="1"/>
          <w:numId w:val="31"/>
        </w:numPr>
        <w:tabs>
          <w:tab w:pos="2707" w:val="left" w:leader="none"/>
        </w:tabs>
        <w:spacing w:line="240" w:lineRule="auto" w:before="0" w:after="0"/>
        <w:ind w:left="2706" w:right="0" w:hanging="316"/>
        <w:jc w:val="left"/>
      </w:pPr>
      <w:r>
        <w:rPr/>
        <w:t>Summarised sensitivity</w:t>
      </w:r>
      <w:r>
        <w:rPr>
          <w:spacing w:val="-33"/>
        </w:rPr>
        <w:t> </w:t>
      </w:r>
      <w:r>
        <w:rPr/>
        <w:t>analysis</w:t>
      </w:r>
    </w:p>
    <w:p>
      <w:pPr>
        <w:pStyle w:val="BodyText"/>
        <w:spacing w:before="11"/>
        <w:rPr>
          <w:b/>
          <w:sz w:val="24"/>
        </w:rPr>
      </w:pPr>
    </w:p>
    <w:p>
      <w:pPr>
        <w:pStyle w:val="BodyText"/>
        <w:ind w:left="2390" w:right="1375"/>
      </w:pPr>
      <w:r>
        <w:rPr/>
        <w:t>The following table summarises the sensitivity of the Group's financial assets and financial liabilities to interest rate risk, foreign exchange risk and other price risk.</w:t>
      </w:r>
    </w:p>
    <w:p>
      <w:pPr>
        <w:pStyle w:val="BodyText"/>
      </w:pPr>
    </w:p>
    <w:p>
      <w:pPr>
        <w:pStyle w:val="BodyText"/>
      </w:pPr>
    </w:p>
    <w:p>
      <w:pPr>
        <w:pStyle w:val="BodyText"/>
      </w:pPr>
    </w:p>
    <w:p>
      <w:pPr>
        <w:pStyle w:val="BodyText"/>
        <w:spacing w:before="4"/>
        <w:rPr>
          <w:sz w:val="17"/>
        </w:rPr>
      </w:pPr>
    </w:p>
    <w:p>
      <w:pPr>
        <w:spacing w:before="0"/>
        <w:ind w:left="2166" w:right="0" w:firstLine="0"/>
        <w:jc w:val="left"/>
        <w:rPr>
          <w:b/>
          <w:sz w:val="14"/>
        </w:rPr>
      </w:pPr>
      <w:r>
        <w:rPr/>
        <w:pict>
          <v:shape style="position:absolute;margin-left:213.899994pt;margin-top:-15.934072pt;width:353.05pt;height:195.1pt;mso-position-horizontal-relative:page;mso-position-vertical-relative:paragraph;z-index:5080" type="#_x0000_t202" filled="false" stroked="false">
            <v:textbox inset="0,0,0,0">
              <w:txbxContent>
                <w:tbl>
                  <w:tblPr>
                    <w:tblW w:w="0" w:type="auto"/>
                    <w:jc w:val="left"/>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Layout w:type="fixed"/>
                    <w:tblCellMar>
                      <w:top w:w="0" w:type="dxa"/>
                      <w:left w:w="0" w:type="dxa"/>
                      <w:bottom w:w="0" w:type="dxa"/>
                      <w:right w:w="0" w:type="dxa"/>
                    </w:tblCellMar>
                    <w:tblLook w:val="01E0"/>
                  </w:tblPr>
                  <w:tblGrid>
                    <w:gridCol w:w="674"/>
                    <w:gridCol w:w="623"/>
                    <w:gridCol w:w="533"/>
                    <w:gridCol w:w="533"/>
                    <w:gridCol w:w="442"/>
                    <w:gridCol w:w="662"/>
                    <w:gridCol w:w="509"/>
                    <w:gridCol w:w="556"/>
                    <w:gridCol w:w="403"/>
                    <w:gridCol w:w="600"/>
                    <w:gridCol w:w="673"/>
                    <w:gridCol w:w="416"/>
                    <w:gridCol w:w="433"/>
                  </w:tblGrid>
                  <w:tr>
                    <w:trPr>
                      <w:trHeight w:val="1250" w:hRule="exact"/>
                    </w:trPr>
                    <w:tc>
                      <w:tcPr>
                        <w:tcW w:w="674" w:type="dxa"/>
                      </w:tcPr>
                      <w:p>
                        <w:pPr>
                          <w:pStyle w:val="TableParagraph"/>
                          <w:jc w:val="left"/>
                          <w:rPr>
                            <w:sz w:val="14"/>
                          </w:rPr>
                        </w:pPr>
                      </w:p>
                      <w:p>
                        <w:pPr>
                          <w:pStyle w:val="TableParagraph"/>
                          <w:jc w:val="left"/>
                          <w:rPr>
                            <w:sz w:val="14"/>
                          </w:rPr>
                        </w:pPr>
                      </w:p>
                      <w:p>
                        <w:pPr>
                          <w:pStyle w:val="TableParagraph"/>
                          <w:jc w:val="left"/>
                          <w:rPr>
                            <w:sz w:val="14"/>
                          </w:rPr>
                        </w:pPr>
                      </w:p>
                      <w:p>
                        <w:pPr>
                          <w:pStyle w:val="TableParagraph"/>
                          <w:jc w:val="left"/>
                          <w:rPr>
                            <w:sz w:val="14"/>
                          </w:rPr>
                        </w:pPr>
                      </w:p>
                      <w:p>
                        <w:pPr>
                          <w:pStyle w:val="TableParagraph"/>
                          <w:jc w:val="left"/>
                          <w:rPr>
                            <w:sz w:val="14"/>
                          </w:rPr>
                        </w:pPr>
                      </w:p>
                      <w:p>
                        <w:pPr>
                          <w:pStyle w:val="TableParagraph"/>
                          <w:spacing w:before="81"/>
                          <w:ind w:left="83" w:right="28" w:hanging="34"/>
                          <w:jc w:val="left"/>
                          <w:rPr>
                            <w:b/>
                            <w:sz w:val="14"/>
                          </w:rPr>
                        </w:pPr>
                        <w:r>
                          <w:rPr>
                            <w:b/>
                            <w:sz w:val="14"/>
                          </w:rPr>
                          <w:t>Carrying amount</w:t>
                        </w:r>
                      </w:p>
                    </w:tc>
                    <w:tc>
                      <w:tcPr>
                        <w:tcW w:w="2131" w:type="dxa"/>
                        <w:gridSpan w:val="4"/>
                      </w:tcPr>
                      <w:p>
                        <w:pPr>
                          <w:pStyle w:val="TableParagraph"/>
                          <w:jc w:val="left"/>
                          <w:rPr>
                            <w:sz w:val="14"/>
                          </w:rPr>
                        </w:pPr>
                      </w:p>
                      <w:p>
                        <w:pPr>
                          <w:pStyle w:val="TableParagraph"/>
                          <w:spacing w:before="7"/>
                          <w:jc w:val="left"/>
                          <w:rPr>
                            <w:sz w:val="13"/>
                          </w:rPr>
                        </w:pPr>
                      </w:p>
                      <w:p>
                        <w:pPr>
                          <w:pStyle w:val="TableParagraph"/>
                          <w:ind w:left="21"/>
                          <w:jc w:val="center"/>
                          <w:rPr>
                            <w:b/>
                            <w:sz w:val="14"/>
                          </w:rPr>
                        </w:pPr>
                        <w:r>
                          <w:rPr>
                            <w:b/>
                            <w:sz w:val="14"/>
                          </w:rPr>
                          <w:t>Interest rate risk</w:t>
                        </w:r>
                      </w:p>
                      <w:p>
                        <w:pPr>
                          <w:pStyle w:val="TableParagraph"/>
                          <w:tabs>
                            <w:tab w:pos="1093" w:val="left" w:leader="none"/>
                          </w:tabs>
                          <w:spacing w:before="112"/>
                          <w:ind w:left="44"/>
                          <w:jc w:val="center"/>
                          <w:rPr>
                            <w:b/>
                            <w:sz w:val="14"/>
                          </w:rPr>
                        </w:pPr>
                        <w:r>
                          <w:rPr>
                            <w:b/>
                            <w:sz w:val="14"/>
                          </w:rPr>
                          <w:t>-0.25%</w:t>
                          <w:tab/>
                          <w:t>+0.25%</w:t>
                        </w:r>
                      </w:p>
                      <w:p>
                        <w:pPr>
                          <w:pStyle w:val="TableParagraph"/>
                          <w:spacing w:before="67"/>
                          <w:ind w:left="15"/>
                          <w:jc w:val="center"/>
                          <w:rPr>
                            <w:b/>
                            <w:sz w:val="14"/>
                          </w:rPr>
                        </w:pPr>
                        <w:r>
                          <w:rPr>
                            <w:b/>
                            <w:sz w:val="14"/>
                          </w:rPr>
                          <w:t>Result  Equity   Result  Equity</w:t>
                        </w:r>
                      </w:p>
                      <w:p>
                        <w:pPr>
                          <w:pStyle w:val="TableParagraph"/>
                          <w:spacing w:before="67"/>
                          <w:ind w:left="12"/>
                          <w:jc w:val="center"/>
                          <w:rPr>
                            <w:b/>
                            <w:sz w:val="14"/>
                          </w:rPr>
                        </w:pPr>
                        <w:r>
                          <w:rPr>
                            <w:b/>
                            <w:sz w:val="14"/>
                          </w:rPr>
                          <w:t>$'000     $'000     $'000    $'000</w:t>
                        </w:r>
                      </w:p>
                    </w:tc>
                    <w:tc>
                      <w:tcPr>
                        <w:tcW w:w="2131" w:type="dxa"/>
                        <w:gridSpan w:val="4"/>
                      </w:tcPr>
                      <w:p>
                        <w:pPr>
                          <w:pStyle w:val="TableParagraph"/>
                          <w:jc w:val="left"/>
                          <w:rPr>
                            <w:sz w:val="14"/>
                          </w:rPr>
                        </w:pPr>
                      </w:p>
                      <w:p>
                        <w:pPr>
                          <w:pStyle w:val="TableParagraph"/>
                          <w:spacing w:before="7"/>
                          <w:jc w:val="left"/>
                          <w:rPr>
                            <w:sz w:val="13"/>
                          </w:rPr>
                        </w:pPr>
                      </w:p>
                      <w:p>
                        <w:pPr>
                          <w:pStyle w:val="TableParagraph"/>
                          <w:ind w:left="21"/>
                          <w:jc w:val="center"/>
                          <w:rPr>
                            <w:b/>
                            <w:sz w:val="14"/>
                          </w:rPr>
                        </w:pPr>
                        <w:r>
                          <w:rPr>
                            <w:b/>
                            <w:sz w:val="14"/>
                          </w:rPr>
                          <w:t>Foreign exchange risk</w:t>
                        </w:r>
                      </w:p>
                      <w:p>
                        <w:pPr>
                          <w:pStyle w:val="TableParagraph"/>
                          <w:tabs>
                            <w:tab w:pos="1092" w:val="left" w:leader="none"/>
                          </w:tabs>
                          <w:spacing w:before="112"/>
                          <w:ind w:left="44"/>
                          <w:jc w:val="center"/>
                          <w:rPr>
                            <w:b/>
                            <w:sz w:val="14"/>
                          </w:rPr>
                        </w:pPr>
                        <w:r>
                          <w:rPr>
                            <w:b/>
                            <w:sz w:val="14"/>
                          </w:rPr>
                          <w:t>-10%</w:t>
                          <w:tab/>
                          <w:t>+10%</w:t>
                        </w:r>
                      </w:p>
                      <w:p>
                        <w:pPr>
                          <w:pStyle w:val="TableParagraph"/>
                          <w:spacing w:before="67"/>
                          <w:ind w:left="15"/>
                          <w:jc w:val="center"/>
                          <w:rPr>
                            <w:b/>
                            <w:sz w:val="14"/>
                          </w:rPr>
                        </w:pPr>
                        <w:r>
                          <w:rPr>
                            <w:b/>
                            <w:sz w:val="14"/>
                          </w:rPr>
                          <w:t>Result  Equity   Result  Equity</w:t>
                        </w:r>
                      </w:p>
                      <w:p>
                        <w:pPr>
                          <w:pStyle w:val="TableParagraph"/>
                          <w:spacing w:before="67"/>
                          <w:ind w:left="12"/>
                          <w:jc w:val="center"/>
                          <w:rPr>
                            <w:b/>
                            <w:sz w:val="14"/>
                          </w:rPr>
                        </w:pPr>
                        <w:r>
                          <w:rPr>
                            <w:b/>
                            <w:sz w:val="14"/>
                          </w:rPr>
                          <w:t>$'000     $'000     $'000    $'000</w:t>
                        </w:r>
                      </w:p>
                    </w:tc>
                    <w:tc>
                      <w:tcPr>
                        <w:tcW w:w="2122" w:type="dxa"/>
                        <w:gridSpan w:val="4"/>
                      </w:tcPr>
                      <w:p>
                        <w:pPr>
                          <w:pStyle w:val="TableParagraph"/>
                          <w:jc w:val="left"/>
                          <w:rPr>
                            <w:sz w:val="14"/>
                          </w:rPr>
                        </w:pPr>
                      </w:p>
                      <w:p>
                        <w:pPr>
                          <w:pStyle w:val="TableParagraph"/>
                          <w:spacing w:before="7"/>
                          <w:jc w:val="left"/>
                          <w:rPr>
                            <w:sz w:val="13"/>
                          </w:rPr>
                        </w:pPr>
                      </w:p>
                      <w:p>
                        <w:pPr>
                          <w:pStyle w:val="TableParagraph"/>
                          <w:ind w:left="31"/>
                          <w:jc w:val="center"/>
                          <w:rPr>
                            <w:b/>
                            <w:sz w:val="14"/>
                          </w:rPr>
                        </w:pPr>
                        <w:r>
                          <w:rPr>
                            <w:b/>
                            <w:sz w:val="14"/>
                          </w:rPr>
                          <w:t>Other price risk</w:t>
                        </w:r>
                      </w:p>
                      <w:p>
                        <w:pPr>
                          <w:pStyle w:val="TableParagraph"/>
                          <w:tabs>
                            <w:tab w:pos="1101" w:val="left" w:leader="none"/>
                          </w:tabs>
                          <w:spacing w:before="112"/>
                          <w:ind w:left="53"/>
                          <w:jc w:val="center"/>
                          <w:rPr>
                            <w:b/>
                            <w:sz w:val="14"/>
                          </w:rPr>
                        </w:pPr>
                        <w:r>
                          <w:rPr>
                            <w:b/>
                            <w:sz w:val="14"/>
                          </w:rPr>
                          <w:t>-1%</w:t>
                          <w:tab/>
                          <w:t>+1%</w:t>
                        </w:r>
                      </w:p>
                      <w:p>
                        <w:pPr>
                          <w:pStyle w:val="TableParagraph"/>
                          <w:spacing w:before="67"/>
                          <w:ind w:left="25"/>
                          <w:jc w:val="center"/>
                          <w:rPr>
                            <w:b/>
                            <w:sz w:val="14"/>
                          </w:rPr>
                        </w:pPr>
                        <w:r>
                          <w:rPr>
                            <w:b/>
                            <w:sz w:val="14"/>
                          </w:rPr>
                          <w:t>Result  Equity   Result  Equity</w:t>
                        </w:r>
                      </w:p>
                      <w:p>
                        <w:pPr>
                          <w:pStyle w:val="TableParagraph"/>
                          <w:spacing w:before="67"/>
                          <w:ind w:left="21"/>
                          <w:jc w:val="center"/>
                          <w:rPr>
                            <w:b/>
                            <w:sz w:val="14"/>
                          </w:rPr>
                        </w:pPr>
                        <w:r>
                          <w:rPr>
                            <w:b/>
                            <w:sz w:val="14"/>
                          </w:rPr>
                          <w:t>$'000     $'000     $'000    $'000</w:t>
                        </w:r>
                      </w:p>
                    </w:tc>
                  </w:tr>
                  <w:tr>
                    <w:trPr>
                      <w:trHeight w:val="510" w:hRule="exact"/>
                    </w:trPr>
                    <w:tc>
                      <w:tcPr>
                        <w:tcW w:w="674" w:type="dxa"/>
                        <w:tcBorders>
                          <w:bottom w:val="nil"/>
                        </w:tcBorders>
                      </w:tcPr>
                      <w:p>
                        <w:pPr>
                          <w:pStyle w:val="TableParagraph"/>
                          <w:jc w:val="left"/>
                          <w:rPr>
                            <w:sz w:val="14"/>
                          </w:rPr>
                        </w:pPr>
                      </w:p>
                      <w:p>
                        <w:pPr>
                          <w:pStyle w:val="TableParagraph"/>
                          <w:spacing w:before="2"/>
                          <w:jc w:val="left"/>
                          <w:rPr>
                            <w:sz w:val="13"/>
                          </w:rPr>
                        </w:pPr>
                      </w:p>
                      <w:p>
                        <w:pPr>
                          <w:pStyle w:val="TableParagraph"/>
                          <w:ind w:right="67"/>
                          <w:rPr>
                            <w:sz w:val="14"/>
                          </w:rPr>
                        </w:pPr>
                        <w:r>
                          <w:rPr>
                            <w:sz w:val="14"/>
                          </w:rPr>
                          <w:t>139,225</w:t>
                        </w:r>
                      </w:p>
                    </w:tc>
                    <w:tc>
                      <w:tcPr>
                        <w:tcW w:w="623" w:type="dxa"/>
                        <w:tcBorders>
                          <w:bottom w:val="nil"/>
                          <w:right w:val="nil"/>
                        </w:tcBorders>
                      </w:tcPr>
                      <w:p>
                        <w:pPr>
                          <w:pStyle w:val="TableParagraph"/>
                          <w:jc w:val="left"/>
                          <w:rPr>
                            <w:sz w:val="14"/>
                          </w:rPr>
                        </w:pPr>
                      </w:p>
                      <w:p>
                        <w:pPr>
                          <w:pStyle w:val="TableParagraph"/>
                          <w:spacing w:before="2"/>
                          <w:jc w:val="left"/>
                          <w:rPr>
                            <w:sz w:val="13"/>
                          </w:rPr>
                        </w:pPr>
                      </w:p>
                      <w:p>
                        <w:pPr>
                          <w:pStyle w:val="TableParagraph"/>
                          <w:ind w:right="89"/>
                          <w:rPr>
                            <w:sz w:val="14"/>
                          </w:rPr>
                        </w:pPr>
                        <w:r>
                          <w:rPr>
                            <w:sz w:val="14"/>
                          </w:rPr>
                          <w:t>(348)</w:t>
                        </w:r>
                      </w:p>
                    </w:tc>
                    <w:tc>
                      <w:tcPr>
                        <w:tcW w:w="533" w:type="dxa"/>
                        <w:tcBorders>
                          <w:left w:val="nil"/>
                          <w:bottom w:val="nil"/>
                          <w:right w:val="nil"/>
                        </w:tcBorders>
                      </w:tcPr>
                      <w:p>
                        <w:pPr>
                          <w:pStyle w:val="TableParagraph"/>
                          <w:jc w:val="left"/>
                          <w:rPr>
                            <w:sz w:val="14"/>
                          </w:rPr>
                        </w:pPr>
                      </w:p>
                      <w:p>
                        <w:pPr>
                          <w:pStyle w:val="TableParagraph"/>
                          <w:spacing w:before="2"/>
                          <w:jc w:val="left"/>
                          <w:rPr>
                            <w:sz w:val="13"/>
                          </w:rPr>
                        </w:pPr>
                      </w:p>
                      <w:p>
                        <w:pPr>
                          <w:pStyle w:val="TableParagraph"/>
                          <w:ind w:right="112"/>
                          <w:rPr>
                            <w:sz w:val="14"/>
                          </w:rPr>
                        </w:pPr>
                        <w:r>
                          <w:rPr>
                            <w:sz w:val="14"/>
                          </w:rPr>
                          <w:t>(348)</w:t>
                        </w:r>
                      </w:p>
                    </w:tc>
                    <w:tc>
                      <w:tcPr>
                        <w:tcW w:w="533" w:type="dxa"/>
                        <w:tcBorders>
                          <w:left w:val="nil"/>
                          <w:bottom w:val="nil"/>
                          <w:right w:val="nil"/>
                        </w:tcBorders>
                      </w:tcPr>
                      <w:p>
                        <w:pPr>
                          <w:pStyle w:val="TableParagraph"/>
                          <w:jc w:val="left"/>
                          <w:rPr>
                            <w:sz w:val="14"/>
                          </w:rPr>
                        </w:pPr>
                      </w:p>
                      <w:p>
                        <w:pPr>
                          <w:pStyle w:val="TableParagraph"/>
                          <w:spacing w:before="2"/>
                          <w:jc w:val="left"/>
                          <w:rPr>
                            <w:sz w:val="13"/>
                          </w:rPr>
                        </w:pPr>
                      </w:p>
                      <w:p>
                        <w:pPr>
                          <w:pStyle w:val="TableParagraph"/>
                          <w:ind w:right="136"/>
                          <w:rPr>
                            <w:sz w:val="14"/>
                          </w:rPr>
                        </w:pPr>
                        <w:r>
                          <w:rPr>
                            <w:sz w:val="14"/>
                          </w:rPr>
                          <w:t>348</w:t>
                        </w:r>
                      </w:p>
                    </w:tc>
                    <w:tc>
                      <w:tcPr>
                        <w:tcW w:w="442" w:type="dxa"/>
                        <w:tcBorders>
                          <w:left w:val="nil"/>
                          <w:bottom w:val="nil"/>
                        </w:tcBorders>
                      </w:tcPr>
                      <w:p>
                        <w:pPr>
                          <w:pStyle w:val="TableParagraph"/>
                          <w:jc w:val="left"/>
                          <w:rPr>
                            <w:sz w:val="14"/>
                          </w:rPr>
                        </w:pPr>
                      </w:p>
                      <w:p>
                        <w:pPr>
                          <w:pStyle w:val="TableParagraph"/>
                          <w:spacing w:before="2"/>
                          <w:jc w:val="left"/>
                          <w:rPr>
                            <w:sz w:val="13"/>
                          </w:rPr>
                        </w:pPr>
                      </w:p>
                      <w:p>
                        <w:pPr>
                          <w:pStyle w:val="TableParagraph"/>
                          <w:ind w:right="67"/>
                          <w:rPr>
                            <w:sz w:val="14"/>
                          </w:rPr>
                        </w:pPr>
                        <w:r>
                          <w:rPr>
                            <w:sz w:val="14"/>
                          </w:rPr>
                          <w:t>348</w:t>
                        </w:r>
                      </w:p>
                    </w:tc>
                    <w:tc>
                      <w:tcPr>
                        <w:tcW w:w="662" w:type="dxa"/>
                        <w:tcBorders>
                          <w:bottom w:val="nil"/>
                          <w:right w:val="nil"/>
                        </w:tcBorders>
                      </w:tcPr>
                      <w:p>
                        <w:pPr>
                          <w:pStyle w:val="TableParagraph"/>
                          <w:jc w:val="left"/>
                          <w:rPr>
                            <w:sz w:val="14"/>
                          </w:rPr>
                        </w:pPr>
                      </w:p>
                      <w:p>
                        <w:pPr>
                          <w:pStyle w:val="TableParagraph"/>
                          <w:spacing w:before="2"/>
                          <w:jc w:val="left"/>
                          <w:rPr>
                            <w:sz w:val="13"/>
                          </w:rPr>
                        </w:pPr>
                      </w:p>
                      <w:p>
                        <w:pPr>
                          <w:pStyle w:val="TableParagraph"/>
                          <w:ind w:right="175"/>
                          <w:rPr>
                            <w:sz w:val="14"/>
                          </w:rPr>
                        </w:pPr>
                        <w:r>
                          <w:rPr>
                            <w:w w:val="100"/>
                            <w:sz w:val="14"/>
                          </w:rPr>
                          <w:t>-</w:t>
                        </w:r>
                      </w:p>
                    </w:tc>
                    <w:tc>
                      <w:tcPr>
                        <w:tcW w:w="509" w:type="dxa"/>
                        <w:tcBorders>
                          <w:left w:val="nil"/>
                          <w:bottom w:val="nil"/>
                          <w:right w:val="nil"/>
                        </w:tcBorders>
                      </w:tcPr>
                      <w:p>
                        <w:pPr>
                          <w:pStyle w:val="TableParagraph"/>
                          <w:jc w:val="left"/>
                          <w:rPr>
                            <w:sz w:val="14"/>
                          </w:rPr>
                        </w:pPr>
                      </w:p>
                      <w:p>
                        <w:pPr>
                          <w:pStyle w:val="TableParagraph"/>
                          <w:spacing w:before="2"/>
                          <w:jc w:val="left"/>
                          <w:rPr>
                            <w:sz w:val="13"/>
                          </w:rPr>
                        </w:pPr>
                      </w:p>
                      <w:p>
                        <w:pPr>
                          <w:pStyle w:val="TableParagraph"/>
                          <w:ind w:left="109"/>
                          <w:jc w:val="center"/>
                          <w:rPr>
                            <w:sz w:val="14"/>
                          </w:rPr>
                        </w:pPr>
                        <w:r>
                          <w:rPr>
                            <w:w w:val="100"/>
                            <w:sz w:val="14"/>
                          </w:rPr>
                          <w:t>-</w:t>
                        </w:r>
                      </w:p>
                    </w:tc>
                    <w:tc>
                      <w:tcPr>
                        <w:tcW w:w="556" w:type="dxa"/>
                        <w:tcBorders>
                          <w:left w:val="nil"/>
                          <w:bottom w:val="nil"/>
                          <w:right w:val="nil"/>
                        </w:tcBorders>
                      </w:tcPr>
                      <w:p>
                        <w:pPr>
                          <w:pStyle w:val="TableParagraph"/>
                          <w:jc w:val="left"/>
                          <w:rPr>
                            <w:sz w:val="14"/>
                          </w:rPr>
                        </w:pPr>
                      </w:p>
                      <w:p>
                        <w:pPr>
                          <w:pStyle w:val="TableParagraph"/>
                          <w:spacing w:before="2"/>
                          <w:jc w:val="left"/>
                          <w:rPr>
                            <w:sz w:val="13"/>
                          </w:rPr>
                        </w:pPr>
                      </w:p>
                      <w:p>
                        <w:pPr>
                          <w:pStyle w:val="TableParagraph"/>
                          <w:ind w:left="332"/>
                          <w:jc w:val="left"/>
                          <w:rPr>
                            <w:sz w:val="14"/>
                          </w:rPr>
                        </w:pPr>
                        <w:r>
                          <w:rPr>
                            <w:w w:val="100"/>
                            <w:sz w:val="14"/>
                          </w:rPr>
                          <w:t>-</w:t>
                        </w:r>
                      </w:p>
                    </w:tc>
                    <w:tc>
                      <w:tcPr>
                        <w:tcW w:w="403" w:type="dxa"/>
                        <w:tcBorders>
                          <w:left w:val="nil"/>
                          <w:bottom w:val="nil"/>
                        </w:tcBorders>
                      </w:tcPr>
                      <w:p>
                        <w:pPr>
                          <w:pStyle w:val="TableParagraph"/>
                          <w:jc w:val="left"/>
                          <w:rPr>
                            <w:sz w:val="14"/>
                          </w:rPr>
                        </w:pPr>
                      </w:p>
                      <w:p>
                        <w:pPr>
                          <w:pStyle w:val="TableParagraph"/>
                          <w:spacing w:before="2"/>
                          <w:jc w:val="left"/>
                          <w:rPr>
                            <w:sz w:val="13"/>
                          </w:rPr>
                        </w:pPr>
                      </w:p>
                      <w:p>
                        <w:pPr>
                          <w:pStyle w:val="TableParagraph"/>
                          <w:ind w:right="67"/>
                          <w:rPr>
                            <w:sz w:val="14"/>
                          </w:rPr>
                        </w:pPr>
                        <w:r>
                          <w:rPr>
                            <w:w w:val="100"/>
                            <w:sz w:val="14"/>
                          </w:rPr>
                          <w:t>-</w:t>
                        </w:r>
                      </w:p>
                    </w:tc>
                    <w:tc>
                      <w:tcPr>
                        <w:tcW w:w="600" w:type="dxa"/>
                        <w:tcBorders>
                          <w:bottom w:val="nil"/>
                          <w:right w:val="nil"/>
                        </w:tcBorders>
                      </w:tcPr>
                      <w:p>
                        <w:pPr>
                          <w:pStyle w:val="TableParagraph"/>
                          <w:jc w:val="left"/>
                          <w:rPr>
                            <w:sz w:val="14"/>
                          </w:rPr>
                        </w:pPr>
                      </w:p>
                      <w:p>
                        <w:pPr>
                          <w:pStyle w:val="TableParagraph"/>
                          <w:spacing w:before="2"/>
                          <w:jc w:val="left"/>
                          <w:rPr>
                            <w:sz w:val="13"/>
                          </w:rPr>
                        </w:pPr>
                      </w:p>
                      <w:p>
                        <w:pPr>
                          <w:pStyle w:val="TableParagraph"/>
                          <w:ind w:right="112"/>
                          <w:rPr>
                            <w:sz w:val="14"/>
                          </w:rPr>
                        </w:pPr>
                        <w:r>
                          <w:rPr>
                            <w:w w:val="100"/>
                            <w:sz w:val="14"/>
                          </w:rPr>
                          <w:t>-</w:t>
                        </w:r>
                      </w:p>
                    </w:tc>
                    <w:tc>
                      <w:tcPr>
                        <w:tcW w:w="673" w:type="dxa"/>
                        <w:tcBorders>
                          <w:left w:val="nil"/>
                          <w:bottom w:val="nil"/>
                          <w:right w:val="nil"/>
                        </w:tcBorders>
                      </w:tcPr>
                      <w:p>
                        <w:pPr>
                          <w:pStyle w:val="TableParagraph"/>
                          <w:jc w:val="left"/>
                          <w:rPr>
                            <w:sz w:val="14"/>
                          </w:rPr>
                        </w:pPr>
                      </w:p>
                      <w:p>
                        <w:pPr>
                          <w:pStyle w:val="TableParagraph"/>
                          <w:spacing w:before="2"/>
                          <w:jc w:val="left"/>
                          <w:rPr>
                            <w:sz w:val="13"/>
                          </w:rPr>
                        </w:pPr>
                      </w:p>
                      <w:p>
                        <w:pPr>
                          <w:pStyle w:val="TableParagraph"/>
                          <w:ind w:right="275"/>
                          <w:rPr>
                            <w:sz w:val="14"/>
                          </w:rPr>
                        </w:pPr>
                        <w:r>
                          <w:rPr>
                            <w:w w:val="100"/>
                            <w:sz w:val="14"/>
                          </w:rPr>
                          <w:t>-</w:t>
                        </w:r>
                      </w:p>
                    </w:tc>
                    <w:tc>
                      <w:tcPr>
                        <w:tcW w:w="416" w:type="dxa"/>
                        <w:tcBorders>
                          <w:left w:val="nil"/>
                          <w:bottom w:val="nil"/>
                          <w:right w:val="nil"/>
                        </w:tcBorders>
                      </w:tcPr>
                      <w:p>
                        <w:pPr>
                          <w:pStyle w:val="TableParagraph"/>
                          <w:jc w:val="left"/>
                          <w:rPr>
                            <w:sz w:val="14"/>
                          </w:rPr>
                        </w:pPr>
                      </w:p>
                      <w:p>
                        <w:pPr>
                          <w:pStyle w:val="TableParagraph"/>
                          <w:spacing w:before="2"/>
                          <w:jc w:val="left"/>
                          <w:rPr>
                            <w:sz w:val="13"/>
                          </w:rPr>
                        </w:pPr>
                      </w:p>
                      <w:p>
                        <w:pPr>
                          <w:pStyle w:val="TableParagraph"/>
                          <w:ind w:right="136"/>
                          <w:rPr>
                            <w:sz w:val="14"/>
                          </w:rPr>
                        </w:pPr>
                        <w:r>
                          <w:rPr>
                            <w:w w:val="100"/>
                            <w:sz w:val="14"/>
                          </w:rPr>
                          <w:t>-</w:t>
                        </w:r>
                      </w:p>
                    </w:tc>
                    <w:tc>
                      <w:tcPr>
                        <w:tcW w:w="433" w:type="dxa"/>
                        <w:tcBorders>
                          <w:left w:val="nil"/>
                          <w:bottom w:val="nil"/>
                        </w:tcBorders>
                      </w:tcPr>
                      <w:p>
                        <w:pPr>
                          <w:pStyle w:val="TableParagraph"/>
                          <w:jc w:val="left"/>
                          <w:rPr>
                            <w:sz w:val="14"/>
                          </w:rPr>
                        </w:pPr>
                      </w:p>
                      <w:p>
                        <w:pPr>
                          <w:pStyle w:val="TableParagraph"/>
                          <w:spacing w:before="2"/>
                          <w:jc w:val="left"/>
                          <w:rPr>
                            <w:sz w:val="13"/>
                          </w:rPr>
                        </w:pPr>
                      </w:p>
                      <w:p>
                        <w:pPr>
                          <w:pStyle w:val="TableParagraph"/>
                          <w:ind w:right="58"/>
                          <w:rPr>
                            <w:sz w:val="14"/>
                          </w:rPr>
                        </w:pPr>
                        <w:r>
                          <w:rPr>
                            <w:w w:val="100"/>
                            <w:sz w:val="14"/>
                          </w:rPr>
                          <w:t>-</w:t>
                        </w:r>
                      </w:p>
                    </w:tc>
                  </w:tr>
                  <w:tr>
                    <w:trPr>
                      <w:trHeight w:val="298" w:hRule="exact"/>
                    </w:trPr>
                    <w:tc>
                      <w:tcPr>
                        <w:tcW w:w="674" w:type="dxa"/>
                        <w:tcBorders>
                          <w:top w:val="nil"/>
                          <w:bottom w:val="nil"/>
                        </w:tcBorders>
                      </w:tcPr>
                      <w:p>
                        <w:pPr>
                          <w:pStyle w:val="TableParagraph"/>
                          <w:spacing w:before="21"/>
                          <w:ind w:right="67"/>
                          <w:rPr>
                            <w:sz w:val="14"/>
                          </w:rPr>
                        </w:pPr>
                        <w:r>
                          <w:rPr>
                            <w:sz w:val="14"/>
                          </w:rPr>
                          <w:t>414,870</w:t>
                        </w:r>
                      </w:p>
                    </w:tc>
                    <w:tc>
                      <w:tcPr>
                        <w:tcW w:w="623" w:type="dxa"/>
                        <w:tcBorders>
                          <w:top w:val="nil"/>
                          <w:bottom w:val="nil"/>
                          <w:right w:val="nil"/>
                        </w:tcBorders>
                      </w:tcPr>
                      <w:p>
                        <w:pPr>
                          <w:pStyle w:val="TableParagraph"/>
                          <w:spacing w:before="21"/>
                          <w:ind w:right="136"/>
                          <w:rPr>
                            <w:sz w:val="14"/>
                          </w:rPr>
                        </w:pPr>
                        <w:r>
                          <w:rPr>
                            <w:w w:val="100"/>
                            <w:sz w:val="14"/>
                          </w:rPr>
                          <w:t>-</w:t>
                        </w:r>
                      </w:p>
                    </w:tc>
                    <w:tc>
                      <w:tcPr>
                        <w:tcW w:w="533" w:type="dxa"/>
                        <w:tcBorders>
                          <w:top w:val="nil"/>
                          <w:left w:val="nil"/>
                          <w:bottom w:val="nil"/>
                          <w:right w:val="nil"/>
                        </w:tcBorders>
                      </w:tcPr>
                      <w:p>
                        <w:pPr>
                          <w:pStyle w:val="TableParagraph"/>
                          <w:spacing w:before="21"/>
                          <w:ind w:right="158"/>
                          <w:rPr>
                            <w:sz w:val="14"/>
                          </w:rPr>
                        </w:pPr>
                        <w:r>
                          <w:rPr>
                            <w:w w:val="100"/>
                            <w:sz w:val="14"/>
                          </w:rPr>
                          <w:t>-</w:t>
                        </w:r>
                      </w:p>
                    </w:tc>
                    <w:tc>
                      <w:tcPr>
                        <w:tcW w:w="533" w:type="dxa"/>
                        <w:tcBorders>
                          <w:top w:val="nil"/>
                          <w:left w:val="nil"/>
                          <w:bottom w:val="nil"/>
                          <w:right w:val="nil"/>
                        </w:tcBorders>
                      </w:tcPr>
                      <w:p>
                        <w:pPr>
                          <w:pStyle w:val="TableParagraph"/>
                          <w:spacing w:before="21"/>
                          <w:ind w:right="136"/>
                          <w:rPr>
                            <w:sz w:val="14"/>
                          </w:rPr>
                        </w:pPr>
                        <w:r>
                          <w:rPr>
                            <w:w w:val="100"/>
                            <w:sz w:val="14"/>
                          </w:rPr>
                          <w:t>-</w:t>
                        </w:r>
                      </w:p>
                    </w:tc>
                    <w:tc>
                      <w:tcPr>
                        <w:tcW w:w="442" w:type="dxa"/>
                        <w:tcBorders>
                          <w:top w:val="nil"/>
                          <w:left w:val="nil"/>
                          <w:bottom w:val="nil"/>
                        </w:tcBorders>
                      </w:tcPr>
                      <w:p>
                        <w:pPr>
                          <w:pStyle w:val="TableParagraph"/>
                          <w:spacing w:before="21"/>
                          <w:ind w:right="67"/>
                          <w:rPr>
                            <w:sz w:val="14"/>
                          </w:rPr>
                        </w:pPr>
                        <w:r>
                          <w:rPr>
                            <w:w w:val="100"/>
                            <w:sz w:val="14"/>
                          </w:rPr>
                          <w:t>-</w:t>
                        </w:r>
                      </w:p>
                    </w:tc>
                    <w:tc>
                      <w:tcPr>
                        <w:tcW w:w="662" w:type="dxa"/>
                        <w:tcBorders>
                          <w:top w:val="nil"/>
                          <w:bottom w:val="nil"/>
                          <w:right w:val="nil"/>
                        </w:tcBorders>
                      </w:tcPr>
                      <w:p>
                        <w:pPr>
                          <w:pStyle w:val="TableParagraph"/>
                          <w:spacing w:before="21"/>
                          <w:ind w:right="175"/>
                          <w:rPr>
                            <w:sz w:val="14"/>
                          </w:rPr>
                        </w:pPr>
                        <w:r>
                          <w:rPr>
                            <w:w w:val="100"/>
                            <w:sz w:val="14"/>
                          </w:rPr>
                          <w:t>-</w:t>
                        </w:r>
                      </w:p>
                    </w:tc>
                    <w:tc>
                      <w:tcPr>
                        <w:tcW w:w="509" w:type="dxa"/>
                        <w:tcBorders>
                          <w:top w:val="nil"/>
                          <w:left w:val="nil"/>
                          <w:bottom w:val="nil"/>
                          <w:right w:val="nil"/>
                        </w:tcBorders>
                      </w:tcPr>
                      <w:p>
                        <w:pPr>
                          <w:pStyle w:val="TableParagraph"/>
                          <w:spacing w:before="21"/>
                          <w:ind w:left="109"/>
                          <w:jc w:val="center"/>
                          <w:rPr>
                            <w:sz w:val="14"/>
                          </w:rPr>
                        </w:pPr>
                        <w:r>
                          <w:rPr>
                            <w:w w:val="100"/>
                            <w:sz w:val="14"/>
                          </w:rPr>
                          <w:t>-</w:t>
                        </w:r>
                      </w:p>
                    </w:tc>
                    <w:tc>
                      <w:tcPr>
                        <w:tcW w:w="556" w:type="dxa"/>
                        <w:tcBorders>
                          <w:top w:val="nil"/>
                          <w:left w:val="nil"/>
                          <w:bottom w:val="nil"/>
                          <w:right w:val="nil"/>
                        </w:tcBorders>
                      </w:tcPr>
                      <w:p>
                        <w:pPr>
                          <w:pStyle w:val="TableParagraph"/>
                          <w:spacing w:before="21"/>
                          <w:ind w:left="332"/>
                          <w:jc w:val="left"/>
                          <w:rPr>
                            <w:sz w:val="14"/>
                          </w:rPr>
                        </w:pPr>
                        <w:r>
                          <w:rPr>
                            <w:w w:val="100"/>
                            <w:sz w:val="14"/>
                          </w:rPr>
                          <w:t>-</w:t>
                        </w:r>
                      </w:p>
                    </w:tc>
                    <w:tc>
                      <w:tcPr>
                        <w:tcW w:w="403" w:type="dxa"/>
                        <w:tcBorders>
                          <w:top w:val="nil"/>
                          <w:left w:val="nil"/>
                          <w:bottom w:val="nil"/>
                        </w:tcBorders>
                      </w:tcPr>
                      <w:p>
                        <w:pPr>
                          <w:pStyle w:val="TableParagraph"/>
                          <w:spacing w:before="21"/>
                          <w:ind w:right="67"/>
                          <w:rPr>
                            <w:sz w:val="14"/>
                          </w:rPr>
                        </w:pPr>
                        <w:r>
                          <w:rPr>
                            <w:w w:val="100"/>
                            <w:sz w:val="14"/>
                          </w:rPr>
                          <w:t>-</w:t>
                        </w:r>
                      </w:p>
                    </w:tc>
                    <w:tc>
                      <w:tcPr>
                        <w:tcW w:w="600" w:type="dxa"/>
                        <w:tcBorders>
                          <w:top w:val="nil"/>
                          <w:bottom w:val="nil"/>
                          <w:right w:val="nil"/>
                        </w:tcBorders>
                      </w:tcPr>
                      <w:p>
                        <w:pPr>
                          <w:pStyle w:val="TableParagraph"/>
                          <w:spacing w:before="21"/>
                          <w:ind w:right="112"/>
                          <w:rPr>
                            <w:sz w:val="14"/>
                          </w:rPr>
                        </w:pPr>
                        <w:r>
                          <w:rPr>
                            <w:w w:val="100"/>
                            <w:sz w:val="14"/>
                          </w:rPr>
                          <w:t>-</w:t>
                        </w:r>
                      </w:p>
                    </w:tc>
                    <w:tc>
                      <w:tcPr>
                        <w:tcW w:w="673" w:type="dxa"/>
                        <w:tcBorders>
                          <w:top w:val="nil"/>
                          <w:left w:val="nil"/>
                          <w:bottom w:val="nil"/>
                          <w:right w:val="nil"/>
                        </w:tcBorders>
                      </w:tcPr>
                      <w:p>
                        <w:pPr>
                          <w:pStyle w:val="TableParagraph"/>
                          <w:spacing w:before="21"/>
                          <w:ind w:right="275"/>
                          <w:rPr>
                            <w:sz w:val="14"/>
                          </w:rPr>
                        </w:pPr>
                        <w:r>
                          <w:rPr>
                            <w:w w:val="100"/>
                            <w:sz w:val="14"/>
                          </w:rPr>
                          <w:t>-</w:t>
                        </w:r>
                      </w:p>
                    </w:tc>
                    <w:tc>
                      <w:tcPr>
                        <w:tcW w:w="416" w:type="dxa"/>
                        <w:tcBorders>
                          <w:top w:val="nil"/>
                          <w:left w:val="nil"/>
                          <w:bottom w:val="nil"/>
                          <w:right w:val="nil"/>
                        </w:tcBorders>
                      </w:tcPr>
                      <w:p>
                        <w:pPr>
                          <w:pStyle w:val="TableParagraph"/>
                          <w:spacing w:before="21"/>
                          <w:ind w:right="136"/>
                          <w:rPr>
                            <w:sz w:val="14"/>
                          </w:rPr>
                        </w:pPr>
                        <w:r>
                          <w:rPr>
                            <w:w w:val="100"/>
                            <w:sz w:val="14"/>
                          </w:rPr>
                          <w:t>-</w:t>
                        </w:r>
                      </w:p>
                    </w:tc>
                    <w:tc>
                      <w:tcPr>
                        <w:tcW w:w="433" w:type="dxa"/>
                        <w:tcBorders>
                          <w:top w:val="nil"/>
                          <w:left w:val="nil"/>
                          <w:bottom w:val="nil"/>
                        </w:tcBorders>
                      </w:tcPr>
                      <w:p>
                        <w:pPr>
                          <w:pStyle w:val="TableParagraph"/>
                          <w:spacing w:before="21"/>
                          <w:ind w:right="58"/>
                          <w:rPr>
                            <w:sz w:val="14"/>
                          </w:rPr>
                        </w:pPr>
                        <w:r>
                          <w:rPr>
                            <w:w w:val="100"/>
                            <w:sz w:val="14"/>
                          </w:rPr>
                          <w:t>-</w:t>
                        </w:r>
                      </w:p>
                    </w:tc>
                  </w:tr>
                  <w:tr>
                    <w:trPr>
                      <w:trHeight w:val="377" w:hRule="exact"/>
                    </w:trPr>
                    <w:tc>
                      <w:tcPr>
                        <w:tcW w:w="674" w:type="dxa"/>
                        <w:tcBorders>
                          <w:top w:val="nil"/>
                          <w:bottom w:val="nil"/>
                        </w:tcBorders>
                      </w:tcPr>
                      <w:p>
                        <w:pPr>
                          <w:pStyle w:val="TableParagraph"/>
                          <w:spacing w:before="100"/>
                          <w:ind w:right="67"/>
                          <w:rPr>
                            <w:sz w:val="14"/>
                          </w:rPr>
                        </w:pPr>
                        <w:r>
                          <w:rPr>
                            <w:sz w:val="14"/>
                          </w:rPr>
                          <w:t>87,473</w:t>
                        </w:r>
                      </w:p>
                    </w:tc>
                    <w:tc>
                      <w:tcPr>
                        <w:tcW w:w="623" w:type="dxa"/>
                        <w:tcBorders>
                          <w:top w:val="nil"/>
                          <w:bottom w:val="nil"/>
                          <w:right w:val="nil"/>
                        </w:tcBorders>
                      </w:tcPr>
                      <w:p>
                        <w:pPr>
                          <w:pStyle w:val="TableParagraph"/>
                          <w:spacing w:before="100"/>
                          <w:ind w:right="136"/>
                          <w:rPr>
                            <w:sz w:val="14"/>
                          </w:rPr>
                        </w:pPr>
                        <w:r>
                          <w:rPr>
                            <w:w w:val="100"/>
                            <w:sz w:val="14"/>
                          </w:rPr>
                          <w:t>-</w:t>
                        </w:r>
                      </w:p>
                    </w:tc>
                    <w:tc>
                      <w:tcPr>
                        <w:tcW w:w="533" w:type="dxa"/>
                        <w:tcBorders>
                          <w:top w:val="nil"/>
                          <w:left w:val="nil"/>
                          <w:bottom w:val="nil"/>
                          <w:right w:val="nil"/>
                        </w:tcBorders>
                      </w:tcPr>
                      <w:p>
                        <w:pPr>
                          <w:pStyle w:val="TableParagraph"/>
                          <w:spacing w:before="100"/>
                          <w:ind w:right="158"/>
                          <w:rPr>
                            <w:sz w:val="14"/>
                          </w:rPr>
                        </w:pPr>
                        <w:r>
                          <w:rPr>
                            <w:w w:val="100"/>
                            <w:sz w:val="14"/>
                          </w:rPr>
                          <w:t>-</w:t>
                        </w:r>
                      </w:p>
                    </w:tc>
                    <w:tc>
                      <w:tcPr>
                        <w:tcW w:w="533" w:type="dxa"/>
                        <w:tcBorders>
                          <w:top w:val="nil"/>
                          <w:left w:val="nil"/>
                          <w:bottom w:val="nil"/>
                          <w:right w:val="nil"/>
                        </w:tcBorders>
                      </w:tcPr>
                      <w:p>
                        <w:pPr>
                          <w:pStyle w:val="TableParagraph"/>
                          <w:spacing w:before="100"/>
                          <w:ind w:right="136"/>
                          <w:rPr>
                            <w:sz w:val="14"/>
                          </w:rPr>
                        </w:pPr>
                        <w:r>
                          <w:rPr>
                            <w:w w:val="100"/>
                            <w:sz w:val="14"/>
                          </w:rPr>
                          <w:t>-</w:t>
                        </w:r>
                      </w:p>
                    </w:tc>
                    <w:tc>
                      <w:tcPr>
                        <w:tcW w:w="442" w:type="dxa"/>
                        <w:tcBorders>
                          <w:top w:val="nil"/>
                          <w:left w:val="nil"/>
                          <w:bottom w:val="nil"/>
                        </w:tcBorders>
                      </w:tcPr>
                      <w:p>
                        <w:pPr>
                          <w:pStyle w:val="TableParagraph"/>
                          <w:spacing w:before="100"/>
                          <w:ind w:right="67"/>
                          <w:rPr>
                            <w:sz w:val="14"/>
                          </w:rPr>
                        </w:pPr>
                        <w:r>
                          <w:rPr>
                            <w:w w:val="100"/>
                            <w:sz w:val="14"/>
                          </w:rPr>
                          <w:t>-</w:t>
                        </w:r>
                      </w:p>
                    </w:tc>
                    <w:tc>
                      <w:tcPr>
                        <w:tcW w:w="662" w:type="dxa"/>
                        <w:tcBorders>
                          <w:top w:val="nil"/>
                          <w:bottom w:val="nil"/>
                          <w:right w:val="nil"/>
                        </w:tcBorders>
                      </w:tcPr>
                      <w:p>
                        <w:pPr>
                          <w:pStyle w:val="TableParagraph"/>
                          <w:spacing w:before="100"/>
                          <w:ind w:right="175"/>
                          <w:rPr>
                            <w:sz w:val="14"/>
                          </w:rPr>
                        </w:pPr>
                        <w:r>
                          <w:rPr>
                            <w:w w:val="100"/>
                            <w:sz w:val="14"/>
                          </w:rPr>
                          <w:t>-</w:t>
                        </w:r>
                      </w:p>
                    </w:tc>
                    <w:tc>
                      <w:tcPr>
                        <w:tcW w:w="509" w:type="dxa"/>
                        <w:tcBorders>
                          <w:top w:val="nil"/>
                          <w:left w:val="nil"/>
                          <w:bottom w:val="nil"/>
                          <w:right w:val="nil"/>
                        </w:tcBorders>
                      </w:tcPr>
                      <w:p>
                        <w:pPr>
                          <w:pStyle w:val="TableParagraph"/>
                          <w:spacing w:before="100"/>
                          <w:ind w:left="109"/>
                          <w:jc w:val="center"/>
                          <w:rPr>
                            <w:sz w:val="14"/>
                          </w:rPr>
                        </w:pPr>
                        <w:r>
                          <w:rPr>
                            <w:w w:val="100"/>
                            <w:sz w:val="14"/>
                          </w:rPr>
                          <w:t>-</w:t>
                        </w:r>
                      </w:p>
                    </w:tc>
                    <w:tc>
                      <w:tcPr>
                        <w:tcW w:w="556" w:type="dxa"/>
                        <w:tcBorders>
                          <w:top w:val="nil"/>
                          <w:left w:val="nil"/>
                          <w:bottom w:val="nil"/>
                          <w:right w:val="nil"/>
                        </w:tcBorders>
                      </w:tcPr>
                      <w:p>
                        <w:pPr>
                          <w:pStyle w:val="TableParagraph"/>
                          <w:spacing w:before="100"/>
                          <w:ind w:left="332"/>
                          <w:jc w:val="left"/>
                          <w:rPr>
                            <w:sz w:val="14"/>
                          </w:rPr>
                        </w:pPr>
                        <w:r>
                          <w:rPr>
                            <w:w w:val="100"/>
                            <w:sz w:val="14"/>
                          </w:rPr>
                          <w:t>-</w:t>
                        </w:r>
                      </w:p>
                    </w:tc>
                    <w:tc>
                      <w:tcPr>
                        <w:tcW w:w="403" w:type="dxa"/>
                        <w:tcBorders>
                          <w:top w:val="nil"/>
                          <w:left w:val="nil"/>
                          <w:bottom w:val="nil"/>
                        </w:tcBorders>
                      </w:tcPr>
                      <w:p>
                        <w:pPr>
                          <w:pStyle w:val="TableParagraph"/>
                          <w:spacing w:before="100"/>
                          <w:ind w:right="67"/>
                          <w:rPr>
                            <w:sz w:val="14"/>
                          </w:rPr>
                        </w:pPr>
                        <w:r>
                          <w:rPr>
                            <w:w w:val="100"/>
                            <w:sz w:val="14"/>
                          </w:rPr>
                          <w:t>-</w:t>
                        </w:r>
                      </w:p>
                    </w:tc>
                    <w:tc>
                      <w:tcPr>
                        <w:tcW w:w="600" w:type="dxa"/>
                        <w:tcBorders>
                          <w:top w:val="nil"/>
                          <w:bottom w:val="nil"/>
                          <w:right w:val="nil"/>
                        </w:tcBorders>
                      </w:tcPr>
                      <w:p>
                        <w:pPr>
                          <w:pStyle w:val="TableParagraph"/>
                          <w:spacing w:before="100"/>
                          <w:ind w:right="112"/>
                          <w:rPr>
                            <w:sz w:val="14"/>
                          </w:rPr>
                        </w:pPr>
                        <w:r>
                          <w:rPr>
                            <w:w w:val="100"/>
                            <w:sz w:val="14"/>
                          </w:rPr>
                          <w:t>-</w:t>
                        </w:r>
                      </w:p>
                    </w:tc>
                    <w:tc>
                      <w:tcPr>
                        <w:tcW w:w="673" w:type="dxa"/>
                        <w:tcBorders>
                          <w:top w:val="nil"/>
                          <w:left w:val="nil"/>
                          <w:bottom w:val="nil"/>
                          <w:right w:val="nil"/>
                        </w:tcBorders>
                      </w:tcPr>
                      <w:p>
                        <w:pPr>
                          <w:pStyle w:val="TableParagraph"/>
                          <w:spacing w:before="100"/>
                          <w:ind w:right="229"/>
                          <w:rPr>
                            <w:sz w:val="14"/>
                          </w:rPr>
                        </w:pPr>
                        <w:r>
                          <w:rPr>
                            <w:sz w:val="14"/>
                          </w:rPr>
                          <w:t>(875)</w:t>
                        </w:r>
                      </w:p>
                    </w:tc>
                    <w:tc>
                      <w:tcPr>
                        <w:tcW w:w="416" w:type="dxa"/>
                        <w:tcBorders>
                          <w:top w:val="nil"/>
                          <w:left w:val="nil"/>
                          <w:bottom w:val="nil"/>
                          <w:right w:val="nil"/>
                        </w:tcBorders>
                      </w:tcPr>
                      <w:p>
                        <w:pPr>
                          <w:pStyle w:val="TableParagraph"/>
                          <w:spacing w:before="100"/>
                          <w:ind w:right="136"/>
                          <w:rPr>
                            <w:sz w:val="14"/>
                          </w:rPr>
                        </w:pPr>
                        <w:r>
                          <w:rPr>
                            <w:w w:val="100"/>
                            <w:sz w:val="14"/>
                          </w:rPr>
                          <w:t>-</w:t>
                        </w:r>
                      </w:p>
                    </w:tc>
                    <w:tc>
                      <w:tcPr>
                        <w:tcW w:w="433" w:type="dxa"/>
                        <w:tcBorders>
                          <w:top w:val="nil"/>
                          <w:left w:val="nil"/>
                          <w:bottom w:val="nil"/>
                        </w:tcBorders>
                      </w:tcPr>
                      <w:p>
                        <w:pPr>
                          <w:pStyle w:val="TableParagraph"/>
                          <w:spacing w:before="100"/>
                          <w:ind w:right="58"/>
                          <w:rPr>
                            <w:sz w:val="14"/>
                          </w:rPr>
                        </w:pPr>
                        <w:r>
                          <w:rPr>
                            <w:sz w:val="14"/>
                          </w:rPr>
                          <w:t>875</w:t>
                        </w:r>
                      </w:p>
                    </w:tc>
                  </w:tr>
                  <w:tr>
                    <w:trPr>
                      <w:trHeight w:val="434" w:hRule="exact"/>
                    </w:trPr>
                    <w:tc>
                      <w:tcPr>
                        <w:tcW w:w="674" w:type="dxa"/>
                        <w:tcBorders>
                          <w:top w:val="nil"/>
                          <w:bottom w:val="nil"/>
                        </w:tcBorders>
                      </w:tcPr>
                      <w:p>
                        <w:pPr>
                          <w:pStyle w:val="TableParagraph"/>
                          <w:spacing w:before="100"/>
                          <w:ind w:right="67"/>
                          <w:rPr>
                            <w:sz w:val="14"/>
                          </w:rPr>
                        </w:pPr>
                        <w:r>
                          <w:rPr>
                            <w:sz w:val="14"/>
                          </w:rPr>
                          <w:t>10,702</w:t>
                        </w:r>
                      </w:p>
                    </w:tc>
                    <w:tc>
                      <w:tcPr>
                        <w:tcW w:w="623" w:type="dxa"/>
                        <w:tcBorders>
                          <w:top w:val="nil"/>
                          <w:bottom w:val="nil"/>
                          <w:right w:val="nil"/>
                        </w:tcBorders>
                      </w:tcPr>
                      <w:p>
                        <w:pPr>
                          <w:pStyle w:val="TableParagraph"/>
                          <w:spacing w:before="100"/>
                          <w:ind w:right="89"/>
                          <w:rPr>
                            <w:sz w:val="14"/>
                          </w:rPr>
                        </w:pPr>
                        <w:r>
                          <w:rPr>
                            <w:sz w:val="14"/>
                          </w:rPr>
                          <w:t>(27)</w:t>
                        </w:r>
                      </w:p>
                    </w:tc>
                    <w:tc>
                      <w:tcPr>
                        <w:tcW w:w="533" w:type="dxa"/>
                        <w:tcBorders>
                          <w:top w:val="nil"/>
                          <w:left w:val="nil"/>
                          <w:bottom w:val="nil"/>
                          <w:right w:val="nil"/>
                        </w:tcBorders>
                      </w:tcPr>
                      <w:p>
                        <w:pPr>
                          <w:pStyle w:val="TableParagraph"/>
                          <w:spacing w:before="100"/>
                          <w:ind w:right="112"/>
                          <w:rPr>
                            <w:sz w:val="14"/>
                          </w:rPr>
                        </w:pPr>
                        <w:r>
                          <w:rPr>
                            <w:sz w:val="14"/>
                          </w:rPr>
                          <w:t>(27)</w:t>
                        </w:r>
                      </w:p>
                    </w:tc>
                    <w:tc>
                      <w:tcPr>
                        <w:tcW w:w="533" w:type="dxa"/>
                        <w:tcBorders>
                          <w:top w:val="nil"/>
                          <w:left w:val="nil"/>
                          <w:bottom w:val="nil"/>
                          <w:right w:val="nil"/>
                        </w:tcBorders>
                      </w:tcPr>
                      <w:p>
                        <w:pPr>
                          <w:pStyle w:val="TableParagraph"/>
                          <w:spacing w:before="100"/>
                          <w:ind w:right="136"/>
                          <w:rPr>
                            <w:sz w:val="14"/>
                          </w:rPr>
                        </w:pPr>
                        <w:r>
                          <w:rPr>
                            <w:sz w:val="14"/>
                          </w:rPr>
                          <w:t>27</w:t>
                        </w:r>
                      </w:p>
                    </w:tc>
                    <w:tc>
                      <w:tcPr>
                        <w:tcW w:w="442" w:type="dxa"/>
                        <w:tcBorders>
                          <w:top w:val="nil"/>
                          <w:left w:val="nil"/>
                          <w:bottom w:val="nil"/>
                        </w:tcBorders>
                      </w:tcPr>
                      <w:p>
                        <w:pPr>
                          <w:pStyle w:val="TableParagraph"/>
                          <w:spacing w:before="100"/>
                          <w:ind w:right="67"/>
                          <w:rPr>
                            <w:sz w:val="14"/>
                          </w:rPr>
                        </w:pPr>
                        <w:r>
                          <w:rPr>
                            <w:sz w:val="14"/>
                          </w:rPr>
                          <w:t>27</w:t>
                        </w:r>
                      </w:p>
                    </w:tc>
                    <w:tc>
                      <w:tcPr>
                        <w:tcW w:w="662" w:type="dxa"/>
                        <w:tcBorders>
                          <w:top w:val="nil"/>
                          <w:bottom w:val="nil"/>
                          <w:right w:val="nil"/>
                        </w:tcBorders>
                      </w:tcPr>
                      <w:p>
                        <w:pPr>
                          <w:pStyle w:val="TableParagraph"/>
                          <w:spacing w:before="100"/>
                          <w:ind w:right="175"/>
                          <w:rPr>
                            <w:sz w:val="14"/>
                          </w:rPr>
                        </w:pPr>
                        <w:r>
                          <w:rPr>
                            <w:w w:val="100"/>
                            <w:sz w:val="14"/>
                          </w:rPr>
                          <w:t>-</w:t>
                        </w:r>
                      </w:p>
                    </w:tc>
                    <w:tc>
                      <w:tcPr>
                        <w:tcW w:w="509" w:type="dxa"/>
                        <w:tcBorders>
                          <w:top w:val="nil"/>
                          <w:left w:val="nil"/>
                          <w:bottom w:val="nil"/>
                          <w:right w:val="nil"/>
                        </w:tcBorders>
                      </w:tcPr>
                      <w:p>
                        <w:pPr>
                          <w:pStyle w:val="TableParagraph"/>
                          <w:spacing w:before="100"/>
                          <w:ind w:left="109"/>
                          <w:jc w:val="center"/>
                          <w:rPr>
                            <w:sz w:val="14"/>
                          </w:rPr>
                        </w:pPr>
                        <w:r>
                          <w:rPr>
                            <w:w w:val="100"/>
                            <w:sz w:val="14"/>
                          </w:rPr>
                          <w:t>-</w:t>
                        </w:r>
                      </w:p>
                    </w:tc>
                    <w:tc>
                      <w:tcPr>
                        <w:tcW w:w="556" w:type="dxa"/>
                        <w:tcBorders>
                          <w:top w:val="nil"/>
                          <w:left w:val="nil"/>
                          <w:bottom w:val="nil"/>
                          <w:right w:val="nil"/>
                        </w:tcBorders>
                      </w:tcPr>
                      <w:p>
                        <w:pPr>
                          <w:pStyle w:val="TableParagraph"/>
                          <w:spacing w:before="100"/>
                          <w:ind w:left="332"/>
                          <w:jc w:val="left"/>
                          <w:rPr>
                            <w:sz w:val="14"/>
                          </w:rPr>
                        </w:pPr>
                        <w:r>
                          <w:rPr>
                            <w:w w:val="100"/>
                            <w:sz w:val="14"/>
                          </w:rPr>
                          <w:t>-</w:t>
                        </w:r>
                      </w:p>
                    </w:tc>
                    <w:tc>
                      <w:tcPr>
                        <w:tcW w:w="403" w:type="dxa"/>
                        <w:tcBorders>
                          <w:top w:val="nil"/>
                          <w:left w:val="nil"/>
                          <w:bottom w:val="nil"/>
                        </w:tcBorders>
                      </w:tcPr>
                      <w:p>
                        <w:pPr>
                          <w:pStyle w:val="TableParagraph"/>
                          <w:spacing w:before="100"/>
                          <w:ind w:right="67"/>
                          <w:rPr>
                            <w:sz w:val="14"/>
                          </w:rPr>
                        </w:pPr>
                        <w:r>
                          <w:rPr>
                            <w:w w:val="100"/>
                            <w:sz w:val="14"/>
                          </w:rPr>
                          <w:t>-</w:t>
                        </w:r>
                      </w:p>
                    </w:tc>
                    <w:tc>
                      <w:tcPr>
                        <w:tcW w:w="600" w:type="dxa"/>
                        <w:tcBorders>
                          <w:top w:val="nil"/>
                          <w:bottom w:val="nil"/>
                          <w:right w:val="nil"/>
                        </w:tcBorders>
                      </w:tcPr>
                      <w:p>
                        <w:pPr>
                          <w:pStyle w:val="TableParagraph"/>
                          <w:spacing w:before="100"/>
                          <w:ind w:right="112"/>
                          <w:rPr>
                            <w:sz w:val="14"/>
                          </w:rPr>
                        </w:pPr>
                        <w:r>
                          <w:rPr>
                            <w:w w:val="100"/>
                            <w:sz w:val="14"/>
                          </w:rPr>
                          <w:t>-</w:t>
                        </w:r>
                      </w:p>
                    </w:tc>
                    <w:tc>
                      <w:tcPr>
                        <w:tcW w:w="673" w:type="dxa"/>
                        <w:tcBorders>
                          <w:top w:val="nil"/>
                          <w:left w:val="nil"/>
                          <w:bottom w:val="nil"/>
                          <w:right w:val="nil"/>
                        </w:tcBorders>
                      </w:tcPr>
                      <w:p>
                        <w:pPr>
                          <w:pStyle w:val="TableParagraph"/>
                          <w:spacing w:before="100"/>
                          <w:ind w:right="275"/>
                          <w:rPr>
                            <w:sz w:val="14"/>
                          </w:rPr>
                        </w:pPr>
                        <w:r>
                          <w:rPr>
                            <w:w w:val="100"/>
                            <w:sz w:val="14"/>
                          </w:rPr>
                          <w:t>-</w:t>
                        </w:r>
                      </w:p>
                    </w:tc>
                    <w:tc>
                      <w:tcPr>
                        <w:tcW w:w="416" w:type="dxa"/>
                        <w:tcBorders>
                          <w:top w:val="nil"/>
                          <w:left w:val="nil"/>
                          <w:bottom w:val="nil"/>
                          <w:right w:val="nil"/>
                        </w:tcBorders>
                      </w:tcPr>
                      <w:p>
                        <w:pPr>
                          <w:pStyle w:val="TableParagraph"/>
                          <w:spacing w:before="100"/>
                          <w:ind w:right="136"/>
                          <w:rPr>
                            <w:sz w:val="14"/>
                          </w:rPr>
                        </w:pPr>
                        <w:r>
                          <w:rPr>
                            <w:w w:val="100"/>
                            <w:sz w:val="14"/>
                          </w:rPr>
                          <w:t>-</w:t>
                        </w:r>
                      </w:p>
                    </w:tc>
                    <w:tc>
                      <w:tcPr>
                        <w:tcW w:w="433" w:type="dxa"/>
                        <w:tcBorders>
                          <w:top w:val="nil"/>
                          <w:left w:val="nil"/>
                          <w:bottom w:val="nil"/>
                        </w:tcBorders>
                      </w:tcPr>
                      <w:p>
                        <w:pPr>
                          <w:pStyle w:val="TableParagraph"/>
                          <w:spacing w:before="100"/>
                          <w:ind w:right="58"/>
                          <w:rPr>
                            <w:sz w:val="14"/>
                          </w:rPr>
                        </w:pPr>
                        <w:r>
                          <w:rPr>
                            <w:w w:val="100"/>
                            <w:sz w:val="14"/>
                          </w:rPr>
                          <w:t>-</w:t>
                        </w:r>
                      </w:p>
                    </w:tc>
                  </w:tr>
                  <w:tr>
                    <w:trPr>
                      <w:trHeight w:val="355" w:hRule="exact"/>
                    </w:trPr>
                    <w:tc>
                      <w:tcPr>
                        <w:tcW w:w="674" w:type="dxa"/>
                        <w:tcBorders>
                          <w:top w:val="nil"/>
                          <w:bottom w:val="nil"/>
                        </w:tcBorders>
                      </w:tcPr>
                      <w:p>
                        <w:pPr>
                          <w:pStyle w:val="TableParagraph"/>
                          <w:spacing w:before="8"/>
                          <w:jc w:val="left"/>
                          <w:rPr>
                            <w:sz w:val="13"/>
                          </w:rPr>
                        </w:pPr>
                      </w:p>
                      <w:p>
                        <w:pPr>
                          <w:pStyle w:val="TableParagraph"/>
                          <w:ind w:right="67"/>
                          <w:rPr>
                            <w:sz w:val="14"/>
                          </w:rPr>
                        </w:pPr>
                        <w:r>
                          <w:rPr>
                            <w:sz w:val="14"/>
                          </w:rPr>
                          <w:t>47,695</w:t>
                        </w:r>
                      </w:p>
                    </w:tc>
                    <w:tc>
                      <w:tcPr>
                        <w:tcW w:w="623" w:type="dxa"/>
                        <w:tcBorders>
                          <w:top w:val="nil"/>
                          <w:bottom w:val="nil"/>
                          <w:right w:val="nil"/>
                        </w:tcBorders>
                      </w:tcPr>
                      <w:p>
                        <w:pPr>
                          <w:pStyle w:val="TableParagraph"/>
                          <w:spacing w:before="8"/>
                          <w:jc w:val="left"/>
                          <w:rPr>
                            <w:sz w:val="13"/>
                          </w:rPr>
                        </w:pPr>
                      </w:p>
                      <w:p>
                        <w:pPr>
                          <w:pStyle w:val="TableParagraph"/>
                          <w:ind w:right="136"/>
                          <w:rPr>
                            <w:sz w:val="14"/>
                          </w:rPr>
                        </w:pPr>
                        <w:r>
                          <w:rPr>
                            <w:w w:val="100"/>
                            <w:sz w:val="14"/>
                          </w:rPr>
                          <w:t>-</w:t>
                        </w:r>
                      </w:p>
                    </w:tc>
                    <w:tc>
                      <w:tcPr>
                        <w:tcW w:w="533" w:type="dxa"/>
                        <w:tcBorders>
                          <w:top w:val="nil"/>
                          <w:left w:val="nil"/>
                          <w:bottom w:val="nil"/>
                          <w:right w:val="nil"/>
                        </w:tcBorders>
                      </w:tcPr>
                      <w:p>
                        <w:pPr>
                          <w:pStyle w:val="TableParagraph"/>
                          <w:spacing w:before="8"/>
                          <w:jc w:val="left"/>
                          <w:rPr>
                            <w:sz w:val="13"/>
                          </w:rPr>
                        </w:pPr>
                      </w:p>
                      <w:p>
                        <w:pPr>
                          <w:pStyle w:val="TableParagraph"/>
                          <w:ind w:right="158"/>
                          <w:rPr>
                            <w:sz w:val="14"/>
                          </w:rPr>
                        </w:pPr>
                        <w:r>
                          <w:rPr>
                            <w:w w:val="100"/>
                            <w:sz w:val="14"/>
                          </w:rPr>
                          <w:t>-</w:t>
                        </w:r>
                      </w:p>
                    </w:tc>
                    <w:tc>
                      <w:tcPr>
                        <w:tcW w:w="533" w:type="dxa"/>
                        <w:tcBorders>
                          <w:top w:val="nil"/>
                          <w:left w:val="nil"/>
                          <w:bottom w:val="nil"/>
                          <w:right w:val="nil"/>
                        </w:tcBorders>
                      </w:tcPr>
                      <w:p>
                        <w:pPr>
                          <w:pStyle w:val="TableParagraph"/>
                          <w:spacing w:before="8"/>
                          <w:jc w:val="left"/>
                          <w:rPr>
                            <w:sz w:val="13"/>
                          </w:rPr>
                        </w:pPr>
                      </w:p>
                      <w:p>
                        <w:pPr>
                          <w:pStyle w:val="TableParagraph"/>
                          <w:ind w:right="136"/>
                          <w:rPr>
                            <w:sz w:val="14"/>
                          </w:rPr>
                        </w:pPr>
                        <w:r>
                          <w:rPr>
                            <w:w w:val="100"/>
                            <w:sz w:val="14"/>
                          </w:rPr>
                          <w:t>-</w:t>
                        </w:r>
                      </w:p>
                    </w:tc>
                    <w:tc>
                      <w:tcPr>
                        <w:tcW w:w="442" w:type="dxa"/>
                        <w:tcBorders>
                          <w:top w:val="nil"/>
                          <w:left w:val="nil"/>
                          <w:bottom w:val="nil"/>
                        </w:tcBorders>
                      </w:tcPr>
                      <w:p>
                        <w:pPr>
                          <w:pStyle w:val="TableParagraph"/>
                          <w:spacing w:before="8"/>
                          <w:jc w:val="left"/>
                          <w:rPr>
                            <w:sz w:val="13"/>
                          </w:rPr>
                        </w:pPr>
                      </w:p>
                      <w:p>
                        <w:pPr>
                          <w:pStyle w:val="TableParagraph"/>
                          <w:ind w:right="67"/>
                          <w:rPr>
                            <w:sz w:val="14"/>
                          </w:rPr>
                        </w:pPr>
                        <w:r>
                          <w:rPr>
                            <w:w w:val="100"/>
                            <w:sz w:val="14"/>
                          </w:rPr>
                          <w:t>-</w:t>
                        </w:r>
                      </w:p>
                    </w:tc>
                    <w:tc>
                      <w:tcPr>
                        <w:tcW w:w="662" w:type="dxa"/>
                        <w:tcBorders>
                          <w:top w:val="nil"/>
                          <w:bottom w:val="nil"/>
                          <w:right w:val="nil"/>
                        </w:tcBorders>
                      </w:tcPr>
                      <w:p>
                        <w:pPr>
                          <w:pStyle w:val="TableParagraph"/>
                          <w:spacing w:before="8"/>
                          <w:jc w:val="left"/>
                          <w:rPr>
                            <w:sz w:val="13"/>
                          </w:rPr>
                        </w:pPr>
                      </w:p>
                      <w:p>
                        <w:pPr>
                          <w:pStyle w:val="TableParagraph"/>
                          <w:ind w:right="175"/>
                          <w:rPr>
                            <w:sz w:val="14"/>
                          </w:rPr>
                        </w:pPr>
                        <w:r>
                          <w:rPr>
                            <w:sz w:val="14"/>
                          </w:rPr>
                          <w:t>86</w:t>
                        </w:r>
                      </w:p>
                    </w:tc>
                    <w:tc>
                      <w:tcPr>
                        <w:tcW w:w="509" w:type="dxa"/>
                        <w:tcBorders>
                          <w:top w:val="nil"/>
                          <w:left w:val="nil"/>
                          <w:bottom w:val="nil"/>
                          <w:right w:val="nil"/>
                        </w:tcBorders>
                      </w:tcPr>
                      <w:p>
                        <w:pPr>
                          <w:pStyle w:val="TableParagraph"/>
                          <w:spacing w:before="8"/>
                          <w:jc w:val="left"/>
                          <w:rPr>
                            <w:sz w:val="13"/>
                          </w:rPr>
                        </w:pPr>
                      </w:p>
                      <w:p>
                        <w:pPr>
                          <w:pStyle w:val="TableParagraph"/>
                          <w:ind w:left="156" w:right="156"/>
                          <w:jc w:val="center"/>
                          <w:rPr>
                            <w:sz w:val="14"/>
                          </w:rPr>
                        </w:pPr>
                        <w:r>
                          <w:rPr>
                            <w:sz w:val="14"/>
                          </w:rPr>
                          <w:t>86</w:t>
                        </w:r>
                      </w:p>
                    </w:tc>
                    <w:tc>
                      <w:tcPr>
                        <w:tcW w:w="556" w:type="dxa"/>
                        <w:tcBorders>
                          <w:top w:val="nil"/>
                          <w:left w:val="nil"/>
                          <w:bottom w:val="nil"/>
                          <w:right w:val="nil"/>
                        </w:tcBorders>
                      </w:tcPr>
                      <w:p>
                        <w:pPr>
                          <w:pStyle w:val="TableParagraph"/>
                          <w:spacing w:before="8"/>
                          <w:jc w:val="left"/>
                          <w:rPr>
                            <w:sz w:val="13"/>
                          </w:rPr>
                        </w:pPr>
                      </w:p>
                      <w:p>
                        <w:pPr>
                          <w:pStyle w:val="TableParagraph"/>
                          <w:ind w:right="128"/>
                          <w:rPr>
                            <w:sz w:val="14"/>
                          </w:rPr>
                        </w:pPr>
                        <w:r>
                          <w:rPr>
                            <w:sz w:val="14"/>
                          </w:rPr>
                          <w:t>(86)</w:t>
                        </w:r>
                      </w:p>
                    </w:tc>
                    <w:tc>
                      <w:tcPr>
                        <w:tcW w:w="403" w:type="dxa"/>
                        <w:tcBorders>
                          <w:top w:val="nil"/>
                          <w:left w:val="nil"/>
                          <w:bottom w:val="nil"/>
                        </w:tcBorders>
                      </w:tcPr>
                      <w:p>
                        <w:pPr>
                          <w:pStyle w:val="TableParagraph"/>
                          <w:spacing w:before="8"/>
                          <w:jc w:val="left"/>
                          <w:rPr>
                            <w:sz w:val="13"/>
                          </w:rPr>
                        </w:pPr>
                      </w:p>
                      <w:p>
                        <w:pPr>
                          <w:pStyle w:val="TableParagraph"/>
                          <w:ind w:right="20"/>
                          <w:rPr>
                            <w:sz w:val="14"/>
                          </w:rPr>
                        </w:pPr>
                        <w:r>
                          <w:rPr>
                            <w:sz w:val="14"/>
                          </w:rPr>
                          <w:t>(86)</w:t>
                        </w:r>
                      </w:p>
                    </w:tc>
                    <w:tc>
                      <w:tcPr>
                        <w:tcW w:w="600" w:type="dxa"/>
                        <w:tcBorders>
                          <w:top w:val="nil"/>
                          <w:bottom w:val="nil"/>
                          <w:right w:val="nil"/>
                        </w:tcBorders>
                      </w:tcPr>
                      <w:p>
                        <w:pPr>
                          <w:pStyle w:val="TableParagraph"/>
                          <w:spacing w:before="8"/>
                          <w:jc w:val="left"/>
                          <w:rPr>
                            <w:sz w:val="13"/>
                          </w:rPr>
                        </w:pPr>
                      </w:p>
                      <w:p>
                        <w:pPr>
                          <w:pStyle w:val="TableParagraph"/>
                          <w:ind w:right="112"/>
                          <w:rPr>
                            <w:sz w:val="14"/>
                          </w:rPr>
                        </w:pPr>
                        <w:r>
                          <w:rPr>
                            <w:w w:val="100"/>
                            <w:sz w:val="14"/>
                          </w:rPr>
                          <w:t>-</w:t>
                        </w:r>
                      </w:p>
                    </w:tc>
                    <w:tc>
                      <w:tcPr>
                        <w:tcW w:w="673" w:type="dxa"/>
                        <w:tcBorders>
                          <w:top w:val="nil"/>
                          <w:left w:val="nil"/>
                          <w:bottom w:val="nil"/>
                          <w:right w:val="nil"/>
                        </w:tcBorders>
                      </w:tcPr>
                      <w:p>
                        <w:pPr>
                          <w:pStyle w:val="TableParagraph"/>
                          <w:spacing w:before="8"/>
                          <w:jc w:val="left"/>
                          <w:rPr>
                            <w:sz w:val="13"/>
                          </w:rPr>
                        </w:pPr>
                      </w:p>
                      <w:p>
                        <w:pPr>
                          <w:pStyle w:val="TableParagraph"/>
                          <w:ind w:right="275"/>
                          <w:rPr>
                            <w:sz w:val="14"/>
                          </w:rPr>
                        </w:pPr>
                        <w:r>
                          <w:rPr>
                            <w:w w:val="100"/>
                            <w:sz w:val="14"/>
                          </w:rPr>
                          <w:t>-</w:t>
                        </w:r>
                      </w:p>
                    </w:tc>
                    <w:tc>
                      <w:tcPr>
                        <w:tcW w:w="416" w:type="dxa"/>
                        <w:tcBorders>
                          <w:top w:val="nil"/>
                          <w:left w:val="nil"/>
                          <w:bottom w:val="nil"/>
                          <w:right w:val="nil"/>
                        </w:tcBorders>
                      </w:tcPr>
                      <w:p>
                        <w:pPr>
                          <w:pStyle w:val="TableParagraph"/>
                          <w:spacing w:before="8"/>
                          <w:jc w:val="left"/>
                          <w:rPr>
                            <w:sz w:val="13"/>
                          </w:rPr>
                        </w:pPr>
                      </w:p>
                      <w:p>
                        <w:pPr>
                          <w:pStyle w:val="TableParagraph"/>
                          <w:ind w:right="136"/>
                          <w:rPr>
                            <w:sz w:val="14"/>
                          </w:rPr>
                        </w:pPr>
                        <w:r>
                          <w:rPr>
                            <w:w w:val="100"/>
                            <w:sz w:val="14"/>
                          </w:rPr>
                          <w:t>-</w:t>
                        </w:r>
                      </w:p>
                    </w:tc>
                    <w:tc>
                      <w:tcPr>
                        <w:tcW w:w="433" w:type="dxa"/>
                        <w:tcBorders>
                          <w:top w:val="nil"/>
                          <w:left w:val="nil"/>
                          <w:bottom w:val="nil"/>
                        </w:tcBorders>
                      </w:tcPr>
                      <w:p>
                        <w:pPr>
                          <w:pStyle w:val="TableParagraph"/>
                          <w:spacing w:before="8"/>
                          <w:jc w:val="left"/>
                          <w:rPr>
                            <w:sz w:val="13"/>
                          </w:rPr>
                        </w:pPr>
                      </w:p>
                      <w:p>
                        <w:pPr>
                          <w:pStyle w:val="TableParagraph"/>
                          <w:ind w:right="58"/>
                          <w:rPr>
                            <w:sz w:val="14"/>
                          </w:rPr>
                        </w:pPr>
                        <w:r>
                          <w:rPr>
                            <w:w w:val="100"/>
                            <w:sz w:val="14"/>
                          </w:rPr>
                          <w:t>-</w:t>
                        </w:r>
                      </w:p>
                    </w:tc>
                  </w:tr>
                  <w:tr>
                    <w:trPr>
                      <w:trHeight w:val="218" w:hRule="exact"/>
                    </w:trPr>
                    <w:tc>
                      <w:tcPr>
                        <w:tcW w:w="674" w:type="dxa"/>
                        <w:tcBorders>
                          <w:top w:val="nil"/>
                          <w:bottom w:val="nil"/>
                        </w:tcBorders>
                      </w:tcPr>
                      <w:p>
                        <w:pPr>
                          <w:pStyle w:val="TableParagraph"/>
                          <w:spacing w:before="21"/>
                          <w:ind w:right="67"/>
                          <w:rPr>
                            <w:sz w:val="14"/>
                          </w:rPr>
                        </w:pPr>
                        <w:r>
                          <w:rPr>
                            <w:sz w:val="14"/>
                          </w:rPr>
                          <w:t>155,000</w:t>
                        </w:r>
                      </w:p>
                    </w:tc>
                    <w:tc>
                      <w:tcPr>
                        <w:tcW w:w="623" w:type="dxa"/>
                        <w:tcBorders>
                          <w:top w:val="nil"/>
                          <w:bottom w:val="nil"/>
                          <w:right w:val="nil"/>
                        </w:tcBorders>
                      </w:tcPr>
                      <w:p>
                        <w:pPr>
                          <w:pStyle w:val="TableParagraph"/>
                          <w:spacing w:before="21"/>
                          <w:ind w:left="250"/>
                          <w:jc w:val="left"/>
                          <w:rPr>
                            <w:sz w:val="14"/>
                          </w:rPr>
                        </w:pPr>
                        <w:r>
                          <w:rPr>
                            <w:sz w:val="14"/>
                          </w:rPr>
                          <w:t>388</w:t>
                        </w:r>
                      </w:p>
                    </w:tc>
                    <w:tc>
                      <w:tcPr>
                        <w:tcW w:w="533" w:type="dxa"/>
                        <w:tcBorders>
                          <w:top w:val="nil"/>
                          <w:left w:val="nil"/>
                          <w:bottom w:val="nil"/>
                          <w:right w:val="nil"/>
                        </w:tcBorders>
                      </w:tcPr>
                      <w:p>
                        <w:pPr>
                          <w:pStyle w:val="TableParagraph"/>
                          <w:spacing w:before="21"/>
                          <w:ind w:right="158"/>
                          <w:rPr>
                            <w:sz w:val="14"/>
                          </w:rPr>
                        </w:pPr>
                        <w:r>
                          <w:rPr>
                            <w:sz w:val="14"/>
                          </w:rPr>
                          <w:t>388</w:t>
                        </w:r>
                      </w:p>
                    </w:tc>
                    <w:tc>
                      <w:tcPr>
                        <w:tcW w:w="533" w:type="dxa"/>
                        <w:tcBorders>
                          <w:top w:val="nil"/>
                          <w:left w:val="nil"/>
                          <w:bottom w:val="nil"/>
                          <w:right w:val="nil"/>
                        </w:tcBorders>
                      </w:tcPr>
                      <w:p>
                        <w:pPr>
                          <w:pStyle w:val="TableParagraph"/>
                          <w:spacing w:before="21"/>
                          <w:ind w:right="89"/>
                          <w:rPr>
                            <w:sz w:val="14"/>
                          </w:rPr>
                        </w:pPr>
                        <w:r>
                          <w:rPr>
                            <w:sz w:val="14"/>
                          </w:rPr>
                          <w:t>(388)</w:t>
                        </w:r>
                      </w:p>
                    </w:tc>
                    <w:tc>
                      <w:tcPr>
                        <w:tcW w:w="442" w:type="dxa"/>
                        <w:tcBorders>
                          <w:top w:val="nil"/>
                          <w:left w:val="nil"/>
                          <w:bottom w:val="nil"/>
                        </w:tcBorders>
                      </w:tcPr>
                      <w:p>
                        <w:pPr>
                          <w:pStyle w:val="TableParagraph"/>
                          <w:spacing w:before="21"/>
                          <w:ind w:right="20"/>
                          <w:rPr>
                            <w:sz w:val="14"/>
                          </w:rPr>
                        </w:pPr>
                        <w:r>
                          <w:rPr>
                            <w:sz w:val="14"/>
                          </w:rPr>
                          <w:t>(388)</w:t>
                        </w:r>
                      </w:p>
                    </w:tc>
                    <w:tc>
                      <w:tcPr>
                        <w:tcW w:w="662" w:type="dxa"/>
                        <w:tcBorders>
                          <w:top w:val="nil"/>
                          <w:bottom w:val="nil"/>
                          <w:right w:val="nil"/>
                        </w:tcBorders>
                      </w:tcPr>
                      <w:p>
                        <w:pPr>
                          <w:pStyle w:val="TableParagraph"/>
                          <w:spacing w:before="21"/>
                          <w:ind w:right="175"/>
                          <w:rPr>
                            <w:sz w:val="14"/>
                          </w:rPr>
                        </w:pPr>
                        <w:r>
                          <w:rPr>
                            <w:w w:val="100"/>
                            <w:sz w:val="14"/>
                          </w:rPr>
                          <w:t>-</w:t>
                        </w:r>
                      </w:p>
                    </w:tc>
                    <w:tc>
                      <w:tcPr>
                        <w:tcW w:w="509" w:type="dxa"/>
                        <w:tcBorders>
                          <w:top w:val="nil"/>
                          <w:left w:val="nil"/>
                          <w:bottom w:val="nil"/>
                          <w:right w:val="nil"/>
                        </w:tcBorders>
                      </w:tcPr>
                      <w:p>
                        <w:pPr>
                          <w:pStyle w:val="TableParagraph"/>
                          <w:spacing w:before="21"/>
                          <w:ind w:left="109"/>
                          <w:jc w:val="center"/>
                          <w:rPr>
                            <w:sz w:val="14"/>
                          </w:rPr>
                        </w:pPr>
                        <w:r>
                          <w:rPr>
                            <w:w w:val="100"/>
                            <w:sz w:val="14"/>
                          </w:rPr>
                          <w:t>-</w:t>
                        </w:r>
                      </w:p>
                    </w:tc>
                    <w:tc>
                      <w:tcPr>
                        <w:tcW w:w="556" w:type="dxa"/>
                        <w:tcBorders>
                          <w:top w:val="nil"/>
                          <w:left w:val="nil"/>
                          <w:bottom w:val="nil"/>
                          <w:right w:val="nil"/>
                        </w:tcBorders>
                      </w:tcPr>
                      <w:p>
                        <w:pPr>
                          <w:pStyle w:val="TableParagraph"/>
                          <w:spacing w:before="21"/>
                          <w:ind w:left="332"/>
                          <w:jc w:val="left"/>
                          <w:rPr>
                            <w:sz w:val="14"/>
                          </w:rPr>
                        </w:pPr>
                        <w:r>
                          <w:rPr>
                            <w:w w:val="100"/>
                            <w:sz w:val="14"/>
                          </w:rPr>
                          <w:t>-</w:t>
                        </w:r>
                      </w:p>
                    </w:tc>
                    <w:tc>
                      <w:tcPr>
                        <w:tcW w:w="403" w:type="dxa"/>
                        <w:tcBorders>
                          <w:top w:val="nil"/>
                          <w:left w:val="nil"/>
                          <w:bottom w:val="nil"/>
                        </w:tcBorders>
                      </w:tcPr>
                      <w:p>
                        <w:pPr>
                          <w:pStyle w:val="TableParagraph"/>
                          <w:spacing w:before="21"/>
                          <w:ind w:right="67"/>
                          <w:rPr>
                            <w:sz w:val="14"/>
                          </w:rPr>
                        </w:pPr>
                        <w:r>
                          <w:rPr>
                            <w:w w:val="100"/>
                            <w:sz w:val="14"/>
                          </w:rPr>
                          <w:t>-</w:t>
                        </w:r>
                      </w:p>
                    </w:tc>
                    <w:tc>
                      <w:tcPr>
                        <w:tcW w:w="600" w:type="dxa"/>
                        <w:tcBorders>
                          <w:top w:val="nil"/>
                          <w:bottom w:val="nil"/>
                          <w:right w:val="nil"/>
                        </w:tcBorders>
                      </w:tcPr>
                      <w:p>
                        <w:pPr>
                          <w:pStyle w:val="TableParagraph"/>
                          <w:spacing w:before="21"/>
                          <w:ind w:right="112"/>
                          <w:rPr>
                            <w:sz w:val="14"/>
                          </w:rPr>
                        </w:pPr>
                        <w:r>
                          <w:rPr>
                            <w:w w:val="100"/>
                            <w:sz w:val="14"/>
                          </w:rPr>
                          <w:t>-</w:t>
                        </w:r>
                      </w:p>
                    </w:tc>
                    <w:tc>
                      <w:tcPr>
                        <w:tcW w:w="673" w:type="dxa"/>
                        <w:tcBorders>
                          <w:top w:val="nil"/>
                          <w:left w:val="nil"/>
                          <w:bottom w:val="nil"/>
                          <w:right w:val="nil"/>
                        </w:tcBorders>
                      </w:tcPr>
                      <w:p>
                        <w:pPr>
                          <w:pStyle w:val="TableParagraph"/>
                          <w:spacing w:before="21"/>
                          <w:ind w:right="275"/>
                          <w:rPr>
                            <w:sz w:val="14"/>
                          </w:rPr>
                        </w:pPr>
                        <w:r>
                          <w:rPr>
                            <w:w w:val="100"/>
                            <w:sz w:val="14"/>
                          </w:rPr>
                          <w:t>-</w:t>
                        </w:r>
                      </w:p>
                    </w:tc>
                    <w:tc>
                      <w:tcPr>
                        <w:tcW w:w="416" w:type="dxa"/>
                        <w:tcBorders>
                          <w:top w:val="nil"/>
                          <w:left w:val="nil"/>
                          <w:bottom w:val="nil"/>
                          <w:right w:val="nil"/>
                        </w:tcBorders>
                      </w:tcPr>
                      <w:p>
                        <w:pPr>
                          <w:pStyle w:val="TableParagraph"/>
                          <w:spacing w:before="21"/>
                          <w:ind w:right="136"/>
                          <w:rPr>
                            <w:sz w:val="14"/>
                          </w:rPr>
                        </w:pPr>
                        <w:r>
                          <w:rPr>
                            <w:w w:val="100"/>
                            <w:sz w:val="14"/>
                          </w:rPr>
                          <w:t>-</w:t>
                        </w:r>
                      </w:p>
                    </w:tc>
                    <w:tc>
                      <w:tcPr>
                        <w:tcW w:w="433" w:type="dxa"/>
                        <w:tcBorders>
                          <w:top w:val="nil"/>
                          <w:left w:val="nil"/>
                          <w:bottom w:val="nil"/>
                        </w:tcBorders>
                      </w:tcPr>
                      <w:p>
                        <w:pPr>
                          <w:pStyle w:val="TableParagraph"/>
                          <w:spacing w:before="21"/>
                          <w:ind w:right="58"/>
                          <w:rPr>
                            <w:sz w:val="14"/>
                          </w:rPr>
                        </w:pPr>
                        <w:r>
                          <w:rPr>
                            <w:w w:val="100"/>
                            <w:sz w:val="14"/>
                          </w:rPr>
                          <w:t>-</w:t>
                        </w:r>
                      </w:p>
                    </w:tc>
                  </w:tr>
                  <w:tr>
                    <w:trPr>
                      <w:trHeight w:val="219" w:hRule="exact"/>
                    </w:trPr>
                    <w:tc>
                      <w:tcPr>
                        <w:tcW w:w="674" w:type="dxa"/>
                        <w:tcBorders>
                          <w:top w:val="nil"/>
                        </w:tcBorders>
                      </w:tcPr>
                      <w:p>
                        <w:pPr>
                          <w:pStyle w:val="TableParagraph"/>
                          <w:spacing w:before="21"/>
                          <w:ind w:right="67"/>
                          <w:rPr>
                            <w:sz w:val="14"/>
                          </w:rPr>
                        </w:pPr>
                        <w:r>
                          <w:rPr>
                            <w:sz w:val="14"/>
                          </w:rPr>
                          <w:t>61,595</w:t>
                        </w:r>
                      </w:p>
                    </w:tc>
                    <w:tc>
                      <w:tcPr>
                        <w:tcW w:w="623" w:type="dxa"/>
                        <w:tcBorders>
                          <w:top w:val="nil"/>
                          <w:right w:val="nil"/>
                        </w:tcBorders>
                      </w:tcPr>
                      <w:p>
                        <w:pPr>
                          <w:pStyle w:val="TableParagraph"/>
                          <w:spacing w:before="21"/>
                          <w:ind w:right="136"/>
                          <w:rPr>
                            <w:sz w:val="14"/>
                          </w:rPr>
                        </w:pPr>
                        <w:r>
                          <w:rPr>
                            <w:w w:val="100"/>
                            <w:sz w:val="14"/>
                          </w:rPr>
                          <w:t>-</w:t>
                        </w:r>
                      </w:p>
                    </w:tc>
                    <w:tc>
                      <w:tcPr>
                        <w:tcW w:w="533" w:type="dxa"/>
                        <w:tcBorders>
                          <w:top w:val="nil"/>
                          <w:left w:val="nil"/>
                          <w:right w:val="nil"/>
                        </w:tcBorders>
                      </w:tcPr>
                      <w:p>
                        <w:pPr>
                          <w:pStyle w:val="TableParagraph"/>
                          <w:spacing w:before="21"/>
                          <w:ind w:right="158"/>
                          <w:rPr>
                            <w:sz w:val="14"/>
                          </w:rPr>
                        </w:pPr>
                        <w:r>
                          <w:rPr>
                            <w:w w:val="100"/>
                            <w:sz w:val="14"/>
                          </w:rPr>
                          <w:t>-</w:t>
                        </w:r>
                      </w:p>
                    </w:tc>
                    <w:tc>
                      <w:tcPr>
                        <w:tcW w:w="533" w:type="dxa"/>
                        <w:tcBorders>
                          <w:top w:val="nil"/>
                          <w:left w:val="nil"/>
                          <w:right w:val="nil"/>
                        </w:tcBorders>
                      </w:tcPr>
                      <w:p>
                        <w:pPr>
                          <w:pStyle w:val="TableParagraph"/>
                          <w:spacing w:before="21"/>
                          <w:ind w:right="136"/>
                          <w:rPr>
                            <w:sz w:val="14"/>
                          </w:rPr>
                        </w:pPr>
                        <w:r>
                          <w:rPr>
                            <w:w w:val="100"/>
                            <w:sz w:val="14"/>
                          </w:rPr>
                          <w:t>-</w:t>
                        </w:r>
                      </w:p>
                    </w:tc>
                    <w:tc>
                      <w:tcPr>
                        <w:tcW w:w="442" w:type="dxa"/>
                        <w:tcBorders>
                          <w:top w:val="nil"/>
                          <w:left w:val="nil"/>
                        </w:tcBorders>
                      </w:tcPr>
                      <w:p>
                        <w:pPr>
                          <w:pStyle w:val="TableParagraph"/>
                          <w:spacing w:before="21"/>
                          <w:ind w:right="67"/>
                          <w:rPr>
                            <w:sz w:val="14"/>
                          </w:rPr>
                        </w:pPr>
                        <w:r>
                          <w:rPr>
                            <w:w w:val="100"/>
                            <w:sz w:val="14"/>
                          </w:rPr>
                          <w:t>-</w:t>
                        </w:r>
                      </w:p>
                    </w:tc>
                    <w:tc>
                      <w:tcPr>
                        <w:tcW w:w="662" w:type="dxa"/>
                        <w:tcBorders>
                          <w:top w:val="nil"/>
                          <w:right w:val="nil"/>
                        </w:tcBorders>
                      </w:tcPr>
                      <w:p>
                        <w:pPr>
                          <w:pStyle w:val="TableParagraph"/>
                          <w:spacing w:before="21"/>
                          <w:ind w:right="175"/>
                          <w:rPr>
                            <w:sz w:val="14"/>
                          </w:rPr>
                        </w:pPr>
                        <w:r>
                          <w:rPr>
                            <w:w w:val="100"/>
                            <w:sz w:val="14"/>
                          </w:rPr>
                          <w:t>-</w:t>
                        </w:r>
                      </w:p>
                    </w:tc>
                    <w:tc>
                      <w:tcPr>
                        <w:tcW w:w="509" w:type="dxa"/>
                        <w:tcBorders>
                          <w:top w:val="nil"/>
                          <w:left w:val="nil"/>
                          <w:right w:val="nil"/>
                        </w:tcBorders>
                      </w:tcPr>
                      <w:p>
                        <w:pPr>
                          <w:pStyle w:val="TableParagraph"/>
                          <w:spacing w:before="21"/>
                          <w:ind w:left="109"/>
                          <w:jc w:val="center"/>
                          <w:rPr>
                            <w:sz w:val="14"/>
                          </w:rPr>
                        </w:pPr>
                        <w:r>
                          <w:rPr>
                            <w:w w:val="100"/>
                            <w:sz w:val="14"/>
                          </w:rPr>
                          <w:t>-</w:t>
                        </w:r>
                      </w:p>
                    </w:tc>
                    <w:tc>
                      <w:tcPr>
                        <w:tcW w:w="556" w:type="dxa"/>
                        <w:tcBorders>
                          <w:top w:val="nil"/>
                          <w:left w:val="nil"/>
                          <w:right w:val="nil"/>
                        </w:tcBorders>
                      </w:tcPr>
                      <w:p>
                        <w:pPr>
                          <w:pStyle w:val="TableParagraph"/>
                          <w:spacing w:before="21"/>
                          <w:ind w:left="332"/>
                          <w:jc w:val="left"/>
                          <w:rPr>
                            <w:sz w:val="14"/>
                          </w:rPr>
                        </w:pPr>
                        <w:r>
                          <w:rPr>
                            <w:w w:val="100"/>
                            <w:sz w:val="14"/>
                          </w:rPr>
                          <w:t>-</w:t>
                        </w:r>
                      </w:p>
                    </w:tc>
                    <w:tc>
                      <w:tcPr>
                        <w:tcW w:w="403" w:type="dxa"/>
                        <w:tcBorders>
                          <w:top w:val="nil"/>
                          <w:left w:val="nil"/>
                        </w:tcBorders>
                      </w:tcPr>
                      <w:p>
                        <w:pPr>
                          <w:pStyle w:val="TableParagraph"/>
                          <w:spacing w:before="21"/>
                          <w:ind w:right="67"/>
                          <w:rPr>
                            <w:sz w:val="14"/>
                          </w:rPr>
                        </w:pPr>
                        <w:r>
                          <w:rPr>
                            <w:w w:val="100"/>
                            <w:sz w:val="14"/>
                          </w:rPr>
                          <w:t>-</w:t>
                        </w:r>
                      </w:p>
                    </w:tc>
                    <w:tc>
                      <w:tcPr>
                        <w:tcW w:w="600" w:type="dxa"/>
                        <w:tcBorders>
                          <w:top w:val="nil"/>
                          <w:right w:val="nil"/>
                        </w:tcBorders>
                      </w:tcPr>
                      <w:p>
                        <w:pPr>
                          <w:pStyle w:val="TableParagraph"/>
                          <w:spacing w:before="21"/>
                          <w:ind w:right="112"/>
                          <w:rPr>
                            <w:sz w:val="14"/>
                          </w:rPr>
                        </w:pPr>
                        <w:r>
                          <w:rPr>
                            <w:w w:val="100"/>
                            <w:sz w:val="14"/>
                          </w:rPr>
                          <w:t>-</w:t>
                        </w:r>
                      </w:p>
                    </w:tc>
                    <w:tc>
                      <w:tcPr>
                        <w:tcW w:w="673" w:type="dxa"/>
                        <w:tcBorders>
                          <w:top w:val="nil"/>
                          <w:left w:val="nil"/>
                          <w:right w:val="nil"/>
                        </w:tcBorders>
                      </w:tcPr>
                      <w:p>
                        <w:pPr>
                          <w:pStyle w:val="TableParagraph"/>
                          <w:spacing w:before="21"/>
                          <w:ind w:right="275"/>
                          <w:rPr>
                            <w:sz w:val="14"/>
                          </w:rPr>
                        </w:pPr>
                        <w:r>
                          <w:rPr>
                            <w:w w:val="100"/>
                            <w:sz w:val="14"/>
                          </w:rPr>
                          <w:t>-</w:t>
                        </w:r>
                      </w:p>
                    </w:tc>
                    <w:tc>
                      <w:tcPr>
                        <w:tcW w:w="416" w:type="dxa"/>
                        <w:tcBorders>
                          <w:top w:val="nil"/>
                          <w:left w:val="nil"/>
                          <w:right w:val="nil"/>
                        </w:tcBorders>
                      </w:tcPr>
                      <w:p>
                        <w:pPr>
                          <w:pStyle w:val="TableParagraph"/>
                          <w:spacing w:before="21"/>
                          <w:ind w:right="136"/>
                          <w:rPr>
                            <w:sz w:val="14"/>
                          </w:rPr>
                        </w:pPr>
                        <w:r>
                          <w:rPr>
                            <w:w w:val="100"/>
                            <w:sz w:val="14"/>
                          </w:rPr>
                          <w:t>-</w:t>
                        </w:r>
                      </w:p>
                    </w:tc>
                    <w:tc>
                      <w:tcPr>
                        <w:tcW w:w="433" w:type="dxa"/>
                        <w:tcBorders>
                          <w:top w:val="nil"/>
                          <w:left w:val="nil"/>
                        </w:tcBorders>
                      </w:tcPr>
                      <w:p>
                        <w:pPr>
                          <w:pStyle w:val="TableParagraph"/>
                          <w:spacing w:before="21"/>
                          <w:ind w:right="58"/>
                          <w:rPr>
                            <w:sz w:val="14"/>
                          </w:rPr>
                        </w:pPr>
                        <w:r>
                          <w:rPr>
                            <w:w w:val="100"/>
                            <w:sz w:val="14"/>
                          </w:rPr>
                          <w:t>-</w:t>
                        </w:r>
                      </w:p>
                    </w:tc>
                  </w:tr>
                  <w:tr>
                    <w:trPr>
                      <w:trHeight w:val="238" w:hRule="exact"/>
                    </w:trPr>
                    <w:tc>
                      <w:tcPr>
                        <w:tcW w:w="674" w:type="dxa"/>
                      </w:tcPr>
                      <w:p>
                        <w:pPr/>
                      </w:p>
                    </w:tc>
                    <w:tc>
                      <w:tcPr>
                        <w:tcW w:w="623" w:type="dxa"/>
                        <w:tcBorders>
                          <w:right w:val="nil"/>
                        </w:tcBorders>
                      </w:tcPr>
                      <w:p>
                        <w:pPr>
                          <w:pStyle w:val="TableParagraph"/>
                          <w:spacing w:before="39"/>
                          <w:ind w:left="328"/>
                          <w:jc w:val="left"/>
                          <w:rPr>
                            <w:sz w:val="14"/>
                          </w:rPr>
                        </w:pPr>
                        <w:r>
                          <w:rPr>
                            <w:sz w:val="14"/>
                          </w:rPr>
                          <w:t>13</w:t>
                        </w:r>
                      </w:p>
                    </w:tc>
                    <w:tc>
                      <w:tcPr>
                        <w:tcW w:w="533" w:type="dxa"/>
                        <w:tcBorders>
                          <w:left w:val="nil"/>
                          <w:right w:val="nil"/>
                        </w:tcBorders>
                      </w:tcPr>
                      <w:p>
                        <w:pPr>
                          <w:pStyle w:val="TableParagraph"/>
                          <w:spacing w:before="39"/>
                          <w:ind w:right="158"/>
                          <w:rPr>
                            <w:sz w:val="14"/>
                          </w:rPr>
                        </w:pPr>
                        <w:r>
                          <w:rPr>
                            <w:sz w:val="14"/>
                          </w:rPr>
                          <w:t>13</w:t>
                        </w:r>
                      </w:p>
                    </w:tc>
                    <w:tc>
                      <w:tcPr>
                        <w:tcW w:w="533" w:type="dxa"/>
                        <w:tcBorders>
                          <w:left w:val="nil"/>
                          <w:right w:val="nil"/>
                        </w:tcBorders>
                      </w:tcPr>
                      <w:p>
                        <w:pPr>
                          <w:pStyle w:val="TableParagraph"/>
                          <w:spacing w:before="39"/>
                          <w:ind w:right="89"/>
                          <w:rPr>
                            <w:sz w:val="14"/>
                          </w:rPr>
                        </w:pPr>
                        <w:r>
                          <w:rPr>
                            <w:sz w:val="14"/>
                          </w:rPr>
                          <w:t>(13)</w:t>
                        </w:r>
                      </w:p>
                    </w:tc>
                    <w:tc>
                      <w:tcPr>
                        <w:tcW w:w="442" w:type="dxa"/>
                        <w:tcBorders>
                          <w:left w:val="nil"/>
                        </w:tcBorders>
                      </w:tcPr>
                      <w:p>
                        <w:pPr>
                          <w:pStyle w:val="TableParagraph"/>
                          <w:spacing w:before="39"/>
                          <w:ind w:right="20"/>
                          <w:rPr>
                            <w:sz w:val="14"/>
                          </w:rPr>
                        </w:pPr>
                        <w:r>
                          <w:rPr>
                            <w:sz w:val="14"/>
                          </w:rPr>
                          <w:t>(13)</w:t>
                        </w:r>
                      </w:p>
                    </w:tc>
                    <w:tc>
                      <w:tcPr>
                        <w:tcW w:w="662" w:type="dxa"/>
                        <w:tcBorders>
                          <w:right w:val="nil"/>
                        </w:tcBorders>
                      </w:tcPr>
                      <w:p>
                        <w:pPr>
                          <w:pStyle w:val="TableParagraph"/>
                          <w:spacing w:before="39"/>
                          <w:ind w:right="175"/>
                          <w:rPr>
                            <w:sz w:val="14"/>
                          </w:rPr>
                        </w:pPr>
                        <w:r>
                          <w:rPr>
                            <w:sz w:val="14"/>
                          </w:rPr>
                          <w:t>86</w:t>
                        </w:r>
                      </w:p>
                    </w:tc>
                    <w:tc>
                      <w:tcPr>
                        <w:tcW w:w="509" w:type="dxa"/>
                        <w:tcBorders>
                          <w:left w:val="nil"/>
                          <w:right w:val="nil"/>
                        </w:tcBorders>
                      </w:tcPr>
                      <w:p>
                        <w:pPr>
                          <w:pStyle w:val="TableParagraph"/>
                          <w:spacing w:before="39"/>
                          <w:ind w:left="156" w:right="156"/>
                          <w:jc w:val="center"/>
                          <w:rPr>
                            <w:sz w:val="14"/>
                          </w:rPr>
                        </w:pPr>
                        <w:r>
                          <w:rPr>
                            <w:sz w:val="14"/>
                          </w:rPr>
                          <w:t>86</w:t>
                        </w:r>
                      </w:p>
                    </w:tc>
                    <w:tc>
                      <w:tcPr>
                        <w:tcW w:w="556" w:type="dxa"/>
                        <w:tcBorders>
                          <w:left w:val="nil"/>
                          <w:right w:val="nil"/>
                        </w:tcBorders>
                      </w:tcPr>
                      <w:p>
                        <w:pPr>
                          <w:pStyle w:val="TableParagraph"/>
                          <w:spacing w:before="39"/>
                          <w:ind w:right="128"/>
                          <w:rPr>
                            <w:sz w:val="14"/>
                          </w:rPr>
                        </w:pPr>
                        <w:r>
                          <w:rPr>
                            <w:sz w:val="14"/>
                          </w:rPr>
                          <w:t>(86)</w:t>
                        </w:r>
                      </w:p>
                    </w:tc>
                    <w:tc>
                      <w:tcPr>
                        <w:tcW w:w="403" w:type="dxa"/>
                        <w:tcBorders>
                          <w:left w:val="nil"/>
                        </w:tcBorders>
                      </w:tcPr>
                      <w:p>
                        <w:pPr>
                          <w:pStyle w:val="TableParagraph"/>
                          <w:spacing w:before="39"/>
                          <w:ind w:right="20"/>
                          <w:rPr>
                            <w:sz w:val="14"/>
                          </w:rPr>
                        </w:pPr>
                        <w:r>
                          <w:rPr>
                            <w:sz w:val="14"/>
                          </w:rPr>
                          <w:t>(86)</w:t>
                        </w:r>
                      </w:p>
                    </w:tc>
                    <w:tc>
                      <w:tcPr>
                        <w:tcW w:w="600" w:type="dxa"/>
                        <w:tcBorders>
                          <w:right w:val="nil"/>
                        </w:tcBorders>
                      </w:tcPr>
                      <w:p>
                        <w:pPr>
                          <w:pStyle w:val="TableParagraph"/>
                          <w:spacing w:before="39"/>
                          <w:ind w:right="112"/>
                          <w:rPr>
                            <w:sz w:val="14"/>
                          </w:rPr>
                        </w:pPr>
                        <w:r>
                          <w:rPr>
                            <w:w w:val="100"/>
                            <w:sz w:val="14"/>
                          </w:rPr>
                          <w:t>-</w:t>
                        </w:r>
                      </w:p>
                    </w:tc>
                    <w:tc>
                      <w:tcPr>
                        <w:tcW w:w="673" w:type="dxa"/>
                        <w:tcBorders>
                          <w:left w:val="nil"/>
                          <w:right w:val="nil"/>
                        </w:tcBorders>
                      </w:tcPr>
                      <w:p>
                        <w:pPr>
                          <w:pStyle w:val="TableParagraph"/>
                          <w:spacing w:before="39"/>
                          <w:ind w:right="229"/>
                          <w:rPr>
                            <w:sz w:val="14"/>
                          </w:rPr>
                        </w:pPr>
                        <w:r>
                          <w:rPr>
                            <w:sz w:val="14"/>
                          </w:rPr>
                          <w:t>(875)</w:t>
                        </w:r>
                      </w:p>
                    </w:tc>
                    <w:tc>
                      <w:tcPr>
                        <w:tcW w:w="416" w:type="dxa"/>
                        <w:tcBorders>
                          <w:left w:val="nil"/>
                          <w:right w:val="nil"/>
                        </w:tcBorders>
                      </w:tcPr>
                      <w:p>
                        <w:pPr>
                          <w:pStyle w:val="TableParagraph"/>
                          <w:spacing w:before="39"/>
                          <w:ind w:right="136"/>
                          <w:rPr>
                            <w:sz w:val="14"/>
                          </w:rPr>
                        </w:pPr>
                        <w:r>
                          <w:rPr>
                            <w:w w:val="100"/>
                            <w:sz w:val="14"/>
                          </w:rPr>
                          <w:t>-</w:t>
                        </w:r>
                      </w:p>
                    </w:tc>
                    <w:tc>
                      <w:tcPr>
                        <w:tcW w:w="433" w:type="dxa"/>
                        <w:tcBorders>
                          <w:left w:val="nil"/>
                        </w:tcBorders>
                      </w:tcPr>
                      <w:p>
                        <w:pPr>
                          <w:pStyle w:val="TableParagraph"/>
                          <w:spacing w:before="39"/>
                          <w:ind w:right="58"/>
                          <w:rPr>
                            <w:sz w:val="14"/>
                          </w:rPr>
                        </w:pPr>
                        <w:r>
                          <w:rPr>
                            <w:sz w:val="14"/>
                          </w:rPr>
                          <w:t>875</w:t>
                        </w:r>
                      </w:p>
                    </w:tc>
                  </w:tr>
                </w:tbl>
                <w:p>
                  <w:pPr>
                    <w:pStyle w:val="BodyText"/>
                  </w:pPr>
                </w:p>
              </w:txbxContent>
            </v:textbox>
            <w10:wrap type="none"/>
          </v:shape>
        </w:pict>
      </w:r>
      <w:r>
        <w:rPr>
          <w:b/>
          <w:sz w:val="14"/>
        </w:rPr>
        <w:t>31 December 2016</w:t>
      </w:r>
    </w:p>
    <w:p>
      <w:pPr>
        <w:pStyle w:val="BodyText"/>
        <w:rPr>
          <w:b/>
          <w:sz w:val="20"/>
        </w:rPr>
      </w:pPr>
    </w:p>
    <w:p>
      <w:pPr>
        <w:pStyle w:val="BodyText"/>
        <w:rPr>
          <w:b/>
          <w:sz w:val="20"/>
        </w:rPr>
      </w:pPr>
    </w:p>
    <w:p>
      <w:pPr>
        <w:pStyle w:val="BodyText"/>
        <w:rPr>
          <w:b/>
          <w:sz w:val="20"/>
        </w:rPr>
      </w:pPr>
    </w:p>
    <w:p>
      <w:pPr>
        <w:pStyle w:val="BodyText"/>
        <w:spacing w:before="9"/>
        <w:rPr>
          <w:b/>
          <w:sz w:val="17"/>
        </w:rPr>
      </w:pPr>
    </w:p>
    <w:p>
      <w:pPr>
        <w:spacing w:before="0"/>
        <w:ind w:left="1857" w:right="0" w:firstLine="0"/>
        <w:jc w:val="left"/>
        <w:rPr>
          <w:b/>
          <w:sz w:val="14"/>
        </w:rPr>
      </w:pPr>
      <w:r>
        <w:rPr>
          <w:b/>
          <w:sz w:val="14"/>
        </w:rPr>
        <w:t>Financial assets</w:t>
      </w:r>
    </w:p>
    <w:p>
      <w:pPr>
        <w:spacing w:line="326" w:lineRule="auto" w:before="30"/>
        <w:ind w:left="1857" w:right="9191" w:firstLine="0"/>
        <w:jc w:val="left"/>
        <w:rPr>
          <w:sz w:val="14"/>
        </w:rPr>
      </w:pPr>
      <w:r>
        <w:rPr>
          <w:sz w:val="14"/>
        </w:rPr>
        <w:t>Cash and cash equivalents Receivables</w:t>
      </w:r>
    </w:p>
    <w:p>
      <w:pPr>
        <w:spacing w:before="0"/>
        <w:ind w:left="1857" w:right="9057" w:firstLine="0"/>
        <w:jc w:val="left"/>
        <w:rPr>
          <w:sz w:val="14"/>
        </w:rPr>
      </w:pPr>
      <w:r>
        <w:rPr>
          <w:sz w:val="14"/>
        </w:rPr>
        <w:t>Financial assets - available for</w:t>
      </w:r>
      <w:r>
        <w:rPr>
          <w:spacing w:val="1"/>
          <w:sz w:val="14"/>
        </w:rPr>
        <w:t> </w:t>
      </w:r>
      <w:r>
        <w:rPr>
          <w:sz w:val="14"/>
        </w:rPr>
        <w:t>sale</w:t>
      </w:r>
    </w:p>
    <w:p>
      <w:pPr>
        <w:spacing w:before="55"/>
        <w:ind w:left="1857" w:right="8999" w:firstLine="0"/>
        <w:jc w:val="left"/>
        <w:rPr>
          <w:sz w:val="14"/>
        </w:rPr>
      </w:pPr>
      <w:r>
        <w:rPr>
          <w:sz w:val="14"/>
        </w:rPr>
        <w:t>Financial assets - Held to maturity</w:t>
      </w:r>
    </w:p>
    <w:p>
      <w:pPr>
        <w:pStyle w:val="BodyText"/>
        <w:spacing w:before="2"/>
        <w:rPr>
          <w:sz w:val="12"/>
        </w:rPr>
      </w:pPr>
    </w:p>
    <w:p>
      <w:pPr>
        <w:spacing w:line="304" w:lineRule="auto" w:before="0"/>
        <w:ind w:left="1857" w:right="9282" w:firstLine="0"/>
        <w:jc w:val="left"/>
        <w:rPr>
          <w:sz w:val="14"/>
        </w:rPr>
      </w:pPr>
      <w:r>
        <w:rPr/>
        <w:drawing>
          <wp:anchor distT="0" distB="0" distL="0" distR="0" allowOverlap="1" layoutInCell="1" locked="0" behindDoc="0" simplePos="0" relativeHeight="5032">
            <wp:simplePos x="0" y="0"/>
            <wp:positionH relativeFrom="page">
              <wp:posOffset>-1587</wp:posOffset>
            </wp:positionH>
            <wp:positionV relativeFrom="paragraph">
              <wp:posOffset>85825</wp:posOffset>
            </wp:positionV>
            <wp:extent cx="136525" cy="155575"/>
            <wp:effectExtent l="0" t="0" r="0" b="0"/>
            <wp:wrapNone/>
            <wp:docPr id="317" name="image13.png" descr=""/>
            <wp:cNvGraphicFramePr>
              <a:graphicFrameLocks noChangeAspect="1"/>
            </wp:cNvGraphicFramePr>
            <a:graphic>
              <a:graphicData uri="http://schemas.openxmlformats.org/drawingml/2006/picture">
                <pic:pic>
                  <pic:nvPicPr>
                    <pic:cNvPr id="318" name="image13.png"/>
                    <pic:cNvPicPr/>
                  </pic:nvPicPr>
                  <pic:blipFill>
                    <a:blip r:embed="rId18" cstate="print"/>
                    <a:stretch>
                      <a:fillRect/>
                    </a:stretch>
                  </pic:blipFill>
                  <pic:spPr>
                    <a:xfrm>
                      <a:off x="0" y="0"/>
                      <a:ext cx="136525" cy="155575"/>
                    </a:xfrm>
                    <a:prstGeom prst="rect">
                      <a:avLst/>
                    </a:prstGeom>
                  </pic:spPr>
                </pic:pic>
              </a:graphicData>
            </a:graphic>
          </wp:anchor>
        </w:drawing>
      </w:r>
      <w:r>
        <w:rPr/>
        <w:drawing>
          <wp:anchor distT="0" distB="0" distL="0" distR="0" allowOverlap="1" layoutInCell="1" locked="0" behindDoc="0" simplePos="0" relativeHeight="5056">
            <wp:simplePos x="0" y="0"/>
            <wp:positionH relativeFrom="page">
              <wp:posOffset>7958429</wp:posOffset>
            </wp:positionH>
            <wp:positionV relativeFrom="paragraph">
              <wp:posOffset>85825</wp:posOffset>
            </wp:positionV>
            <wp:extent cx="135953" cy="155575"/>
            <wp:effectExtent l="0" t="0" r="0" b="0"/>
            <wp:wrapNone/>
            <wp:docPr id="319" name="image15.png" descr=""/>
            <wp:cNvGraphicFramePr>
              <a:graphicFrameLocks noChangeAspect="1"/>
            </wp:cNvGraphicFramePr>
            <a:graphic>
              <a:graphicData uri="http://schemas.openxmlformats.org/drawingml/2006/picture">
                <pic:pic>
                  <pic:nvPicPr>
                    <pic:cNvPr id="320" name="image15.png"/>
                    <pic:cNvPicPr/>
                  </pic:nvPicPr>
                  <pic:blipFill>
                    <a:blip r:embed="rId20" cstate="print"/>
                    <a:stretch>
                      <a:fillRect/>
                    </a:stretch>
                  </pic:blipFill>
                  <pic:spPr>
                    <a:xfrm>
                      <a:off x="0" y="0"/>
                      <a:ext cx="135953" cy="155575"/>
                    </a:xfrm>
                    <a:prstGeom prst="rect">
                      <a:avLst/>
                    </a:prstGeom>
                  </pic:spPr>
                </pic:pic>
              </a:graphicData>
            </a:graphic>
          </wp:anchor>
        </w:drawing>
      </w:r>
      <w:r>
        <w:rPr>
          <w:b/>
          <w:sz w:val="14"/>
        </w:rPr>
        <w:t>Financial liabilities </w:t>
      </w:r>
      <w:r>
        <w:rPr>
          <w:sz w:val="14"/>
        </w:rPr>
        <w:t>Trade and other payables Borrowings</w:t>
      </w:r>
    </w:p>
    <w:p>
      <w:pPr>
        <w:spacing w:before="15"/>
        <w:ind w:left="1857" w:right="0" w:firstLine="0"/>
        <w:jc w:val="left"/>
        <w:rPr>
          <w:sz w:val="14"/>
        </w:rPr>
      </w:pPr>
      <w:r>
        <w:rPr>
          <w:sz w:val="14"/>
        </w:rPr>
        <w:t>Other liabilities</w:t>
      </w:r>
    </w:p>
    <w:p>
      <w:pPr>
        <w:spacing w:before="76"/>
        <w:ind w:left="1857" w:right="0" w:firstLine="0"/>
        <w:jc w:val="left"/>
        <w:rPr>
          <w:sz w:val="14"/>
        </w:rPr>
      </w:pPr>
      <w:r>
        <w:rPr>
          <w:sz w:val="14"/>
        </w:rPr>
        <w:t>Total increase/(decrease)</w:t>
      </w:r>
    </w:p>
    <w:p>
      <w:pPr>
        <w:pStyle w:val="BodyText"/>
        <w:rPr>
          <w:sz w:val="20"/>
        </w:rPr>
      </w:pPr>
    </w:p>
    <w:p>
      <w:pPr>
        <w:pStyle w:val="BodyText"/>
        <w:rPr>
          <w:sz w:val="20"/>
        </w:rPr>
      </w:pPr>
    </w:p>
    <w:p>
      <w:pPr>
        <w:pStyle w:val="BodyText"/>
        <w:spacing w:before="3"/>
        <w:rPr>
          <w:sz w:val="28"/>
        </w:rPr>
      </w:pPr>
    </w:p>
    <w:p>
      <w:pPr>
        <w:spacing w:before="82"/>
        <w:ind w:left="2166" w:right="0" w:firstLine="0"/>
        <w:jc w:val="left"/>
        <w:rPr>
          <w:b/>
          <w:sz w:val="14"/>
        </w:rPr>
      </w:pPr>
      <w:r>
        <w:rPr/>
        <w:pict>
          <v:shape style="position:absolute;margin-left:213.899994pt;margin-top:-11.834095pt;width:353.05pt;height:195.1pt;mso-position-horizontal-relative:page;mso-position-vertical-relative:paragraph;z-index:5104" type="#_x0000_t202" filled="false" stroked="false">
            <v:textbox inset="0,0,0,0">
              <w:txbxContent>
                <w:tbl>
                  <w:tblPr>
                    <w:tblW w:w="0" w:type="auto"/>
                    <w:jc w:val="left"/>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Layout w:type="fixed"/>
                    <w:tblCellMar>
                      <w:top w:w="0" w:type="dxa"/>
                      <w:left w:w="0" w:type="dxa"/>
                      <w:bottom w:w="0" w:type="dxa"/>
                      <w:right w:w="0" w:type="dxa"/>
                    </w:tblCellMar>
                    <w:tblLook w:val="01E0"/>
                  </w:tblPr>
                  <w:tblGrid>
                    <w:gridCol w:w="674"/>
                    <w:gridCol w:w="623"/>
                    <w:gridCol w:w="533"/>
                    <w:gridCol w:w="533"/>
                    <w:gridCol w:w="442"/>
                    <w:gridCol w:w="623"/>
                    <w:gridCol w:w="509"/>
                    <w:gridCol w:w="556"/>
                    <w:gridCol w:w="442"/>
                    <w:gridCol w:w="600"/>
                    <w:gridCol w:w="673"/>
                    <w:gridCol w:w="416"/>
                    <w:gridCol w:w="433"/>
                  </w:tblGrid>
                  <w:tr>
                    <w:trPr>
                      <w:trHeight w:val="1250" w:hRule="exact"/>
                    </w:trPr>
                    <w:tc>
                      <w:tcPr>
                        <w:tcW w:w="674" w:type="dxa"/>
                      </w:tcPr>
                      <w:p>
                        <w:pPr>
                          <w:pStyle w:val="TableParagraph"/>
                          <w:jc w:val="left"/>
                          <w:rPr>
                            <w:sz w:val="14"/>
                          </w:rPr>
                        </w:pPr>
                      </w:p>
                      <w:p>
                        <w:pPr>
                          <w:pStyle w:val="TableParagraph"/>
                          <w:jc w:val="left"/>
                          <w:rPr>
                            <w:sz w:val="14"/>
                          </w:rPr>
                        </w:pPr>
                      </w:p>
                      <w:p>
                        <w:pPr>
                          <w:pStyle w:val="TableParagraph"/>
                          <w:jc w:val="left"/>
                          <w:rPr>
                            <w:sz w:val="14"/>
                          </w:rPr>
                        </w:pPr>
                      </w:p>
                      <w:p>
                        <w:pPr>
                          <w:pStyle w:val="TableParagraph"/>
                          <w:jc w:val="left"/>
                          <w:rPr>
                            <w:sz w:val="14"/>
                          </w:rPr>
                        </w:pPr>
                      </w:p>
                      <w:p>
                        <w:pPr>
                          <w:pStyle w:val="TableParagraph"/>
                          <w:jc w:val="left"/>
                          <w:rPr>
                            <w:sz w:val="14"/>
                          </w:rPr>
                        </w:pPr>
                      </w:p>
                      <w:p>
                        <w:pPr>
                          <w:pStyle w:val="TableParagraph"/>
                          <w:spacing w:before="81"/>
                          <w:ind w:left="83" w:right="28" w:hanging="34"/>
                          <w:jc w:val="left"/>
                          <w:rPr>
                            <w:b/>
                            <w:sz w:val="14"/>
                          </w:rPr>
                        </w:pPr>
                        <w:r>
                          <w:rPr>
                            <w:b/>
                            <w:sz w:val="14"/>
                          </w:rPr>
                          <w:t>Carrying amount</w:t>
                        </w:r>
                      </w:p>
                    </w:tc>
                    <w:tc>
                      <w:tcPr>
                        <w:tcW w:w="2131" w:type="dxa"/>
                        <w:gridSpan w:val="4"/>
                      </w:tcPr>
                      <w:p>
                        <w:pPr>
                          <w:pStyle w:val="TableParagraph"/>
                          <w:jc w:val="left"/>
                          <w:rPr>
                            <w:sz w:val="14"/>
                          </w:rPr>
                        </w:pPr>
                      </w:p>
                      <w:p>
                        <w:pPr>
                          <w:pStyle w:val="TableParagraph"/>
                          <w:spacing w:before="7"/>
                          <w:jc w:val="left"/>
                          <w:rPr>
                            <w:sz w:val="13"/>
                          </w:rPr>
                        </w:pPr>
                      </w:p>
                      <w:p>
                        <w:pPr>
                          <w:pStyle w:val="TableParagraph"/>
                          <w:ind w:left="21"/>
                          <w:jc w:val="center"/>
                          <w:rPr>
                            <w:b/>
                            <w:sz w:val="14"/>
                          </w:rPr>
                        </w:pPr>
                        <w:r>
                          <w:rPr>
                            <w:b/>
                            <w:sz w:val="14"/>
                          </w:rPr>
                          <w:t>Interest rate risk</w:t>
                        </w:r>
                      </w:p>
                      <w:p>
                        <w:pPr>
                          <w:pStyle w:val="TableParagraph"/>
                          <w:tabs>
                            <w:tab w:pos="1093" w:val="left" w:leader="none"/>
                          </w:tabs>
                          <w:spacing w:before="112"/>
                          <w:ind w:left="44"/>
                          <w:jc w:val="center"/>
                          <w:rPr>
                            <w:b/>
                            <w:sz w:val="14"/>
                          </w:rPr>
                        </w:pPr>
                        <w:r>
                          <w:rPr>
                            <w:b/>
                            <w:sz w:val="14"/>
                          </w:rPr>
                          <w:t>-0.25%</w:t>
                          <w:tab/>
                          <w:t>+0.25%</w:t>
                        </w:r>
                      </w:p>
                      <w:p>
                        <w:pPr>
                          <w:pStyle w:val="TableParagraph"/>
                          <w:spacing w:before="67"/>
                          <w:ind w:left="15"/>
                          <w:jc w:val="center"/>
                          <w:rPr>
                            <w:b/>
                            <w:sz w:val="14"/>
                          </w:rPr>
                        </w:pPr>
                        <w:r>
                          <w:rPr>
                            <w:b/>
                            <w:sz w:val="14"/>
                          </w:rPr>
                          <w:t>Result  Equity   Result  Equity</w:t>
                        </w:r>
                      </w:p>
                      <w:p>
                        <w:pPr>
                          <w:pStyle w:val="TableParagraph"/>
                          <w:spacing w:before="67"/>
                          <w:ind w:left="12"/>
                          <w:jc w:val="center"/>
                          <w:rPr>
                            <w:b/>
                            <w:sz w:val="14"/>
                          </w:rPr>
                        </w:pPr>
                        <w:r>
                          <w:rPr>
                            <w:b/>
                            <w:sz w:val="14"/>
                          </w:rPr>
                          <w:t>$'000     $'000     $'000    $'000</w:t>
                        </w:r>
                      </w:p>
                    </w:tc>
                    <w:tc>
                      <w:tcPr>
                        <w:tcW w:w="2131" w:type="dxa"/>
                        <w:gridSpan w:val="4"/>
                      </w:tcPr>
                      <w:p>
                        <w:pPr>
                          <w:pStyle w:val="TableParagraph"/>
                          <w:jc w:val="left"/>
                          <w:rPr>
                            <w:sz w:val="14"/>
                          </w:rPr>
                        </w:pPr>
                      </w:p>
                      <w:p>
                        <w:pPr>
                          <w:pStyle w:val="TableParagraph"/>
                          <w:spacing w:before="7"/>
                          <w:jc w:val="left"/>
                          <w:rPr>
                            <w:sz w:val="13"/>
                          </w:rPr>
                        </w:pPr>
                      </w:p>
                      <w:p>
                        <w:pPr>
                          <w:pStyle w:val="TableParagraph"/>
                          <w:ind w:left="21"/>
                          <w:jc w:val="center"/>
                          <w:rPr>
                            <w:b/>
                            <w:sz w:val="14"/>
                          </w:rPr>
                        </w:pPr>
                        <w:r>
                          <w:rPr>
                            <w:b/>
                            <w:sz w:val="14"/>
                          </w:rPr>
                          <w:t>Foreign exchange risk</w:t>
                        </w:r>
                      </w:p>
                      <w:p>
                        <w:pPr>
                          <w:pStyle w:val="TableParagraph"/>
                          <w:tabs>
                            <w:tab w:pos="1092" w:val="left" w:leader="none"/>
                          </w:tabs>
                          <w:spacing w:before="112"/>
                          <w:ind w:left="44"/>
                          <w:jc w:val="center"/>
                          <w:rPr>
                            <w:b/>
                            <w:sz w:val="14"/>
                          </w:rPr>
                        </w:pPr>
                        <w:r>
                          <w:rPr>
                            <w:b/>
                            <w:sz w:val="14"/>
                          </w:rPr>
                          <w:t>-10%</w:t>
                          <w:tab/>
                          <w:t>+10%</w:t>
                        </w:r>
                      </w:p>
                      <w:p>
                        <w:pPr>
                          <w:pStyle w:val="TableParagraph"/>
                          <w:spacing w:before="67"/>
                          <w:ind w:left="15"/>
                          <w:jc w:val="center"/>
                          <w:rPr>
                            <w:b/>
                            <w:sz w:val="14"/>
                          </w:rPr>
                        </w:pPr>
                        <w:r>
                          <w:rPr>
                            <w:b/>
                            <w:sz w:val="14"/>
                          </w:rPr>
                          <w:t>Result  Equity   Result  Equity</w:t>
                        </w:r>
                      </w:p>
                      <w:p>
                        <w:pPr>
                          <w:pStyle w:val="TableParagraph"/>
                          <w:spacing w:before="67"/>
                          <w:ind w:left="12"/>
                          <w:jc w:val="center"/>
                          <w:rPr>
                            <w:b/>
                            <w:sz w:val="14"/>
                          </w:rPr>
                        </w:pPr>
                        <w:r>
                          <w:rPr>
                            <w:b/>
                            <w:sz w:val="14"/>
                          </w:rPr>
                          <w:t>$'000     $'000     $'000    $'000</w:t>
                        </w:r>
                      </w:p>
                    </w:tc>
                    <w:tc>
                      <w:tcPr>
                        <w:tcW w:w="2122" w:type="dxa"/>
                        <w:gridSpan w:val="4"/>
                      </w:tcPr>
                      <w:p>
                        <w:pPr>
                          <w:pStyle w:val="TableParagraph"/>
                          <w:jc w:val="left"/>
                          <w:rPr>
                            <w:sz w:val="14"/>
                          </w:rPr>
                        </w:pPr>
                      </w:p>
                      <w:p>
                        <w:pPr>
                          <w:pStyle w:val="TableParagraph"/>
                          <w:spacing w:before="7"/>
                          <w:jc w:val="left"/>
                          <w:rPr>
                            <w:sz w:val="13"/>
                          </w:rPr>
                        </w:pPr>
                      </w:p>
                      <w:p>
                        <w:pPr>
                          <w:pStyle w:val="TableParagraph"/>
                          <w:ind w:left="31"/>
                          <w:jc w:val="center"/>
                          <w:rPr>
                            <w:b/>
                            <w:sz w:val="14"/>
                          </w:rPr>
                        </w:pPr>
                        <w:r>
                          <w:rPr>
                            <w:b/>
                            <w:sz w:val="14"/>
                          </w:rPr>
                          <w:t>Other price risk</w:t>
                        </w:r>
                      </w:p>
                      <w:p>
                        <w:pPr>
                          <w:pStyle w:val="TableParagraph"/>
                          <w:tabs>
                            <w:tab w:pos="1101" w:val="left" w:leader="none"/>
                          </w:tabs>
                          <w:spacing w:before="112"/>
                          <w:ind w:left="53"/>
                          <w:jc w:val="center"/>
                          <w:rPr>
                            <w:b/>
                            <w:sz w:val="14"/>
                          </w:rPr>
                        </w:pPr>
                        <w:r>
                          <w:rPr>
                            <w:b/>
                            <w:sz w:val="14"/>
                          </w:rPr>
                          <w:t>-1%</w:t>
                          <w:tab/>
                          <w:t>+1%</w:t>
                        </w:r>
                      </w:p>
                      <w:p>
                        <w:pPr>
                          <w:pStyle w:val="TableParagraph"/>
                          <w:spacing w:before="67"/>
                          <w:ind w:left="25"/>
                          <w:jc w:val="center"/>
                          <w:rPr>
                            <w:b/>
                            <w:sz w:val="14"/>
                          </w:rPr>
                        </w:pPr>
                        <w:r>
                          <w:rPr>
                            <w:b/>
                            <w:sz w:val="14"/>
                          </w:rPr>
                          <w:t>Result  Equity   Result  Equity</w:t>
                        </w:r>
                      </w:p>
                      <w:p>
                        <w:pPr>
                          <w:pStyle w:val="TableParagraph"/>
                          <w:spacing w:before="67"/>
                          <w:ind w:left="21"/>
                          <w:jc w:val="center"/>
                          <w:rPr>
                            <w:b/>
                            <w:sz w:val="14"/>
                          </w:rPr>
                        </w:pPr>
                        <w:r>
                          <w:rPr>
                            <w:b/>
                            <w:sz w:val="14"/>
                          </w:rPr>
                          <w:t>$'000     $'000     $'000    $'000</w:t>
                        </w:r>
                      </w:p>
                    </w:tc>
                  </w:tr>
                  <w:tr>
                    <w:trPr>
                      <w:trHeight w:val="510" w:hRule="exact"/>
                    </w:trPr>
                    <w:tc>
                      <w:tcPr>
                        <w:tcW w:w="674" w:type="dxa"/>
                        <w:tcBorders>
                          <w:bottom w:val="nil"/>
                        </w:tcBorders>
                      </w:tcPr>
                      <w:p>
                        <w:pPr>
                          <w:pStyle w:val="TableParagraph"/>
                          <w:jc w:val="left"/>
                          <w:rPr>
                            <w:sz w:val="14"/>
                          </w:rPr>
                        </w:pPr>
                      </w:p>
                      <w:p>
                        <w:pPr>
                          <w:pStyle w:val="TableParagraph"/>
                          <w:spacing w:before="2"/>
                          <w:jc w:val="left"/>
                          <w:rPr>
                            <w:sz w:val="13"/>
                          </w:rPr>
                        </w:pPr>
                      </w:p>
                      <w:p>
                        <w:pPr>
                          <w:pStyle w:val="TableParagraph"/>
                          <w:ind w:right="67"/>
                          <w:rPr>
                            <w:sz w:val="14"/>
                          </w:rPr>
                        </w:pPr>
                        <w:r>
                          <w:rPr>
                            <w:sz w:val="14"/>
                          </w:rPr>
                          <w:t>132,544</w:t>
                        </w:r>
                      </w:p>
                    </w:tc>
                    <w:tc>
                      <w:tcPr>
                        <w:tcW w:w="623" w:type="dxa"/>
                        <w:tcBorders>
                          <w:bottom w:val="nil"/>
                          <w:right w:val="nil"/>
                        </w:tcBorders>
                      </w:tcPr>
                      <w:p>
                        <w:pPr>
                          <w:pStyle w:val="TableParagraph"/>
                          <w:jc w:val="left"/>
                          <w:rPr>
                            <w:sz w:val="14"/>
                          </w:rPr>
                        </w:pPr>
                      </w:p>
                      <w:p>
                        <w:pPr>
                          <w:pStyle w:val="TableParagraph"/>
                          <w:spacing w:before="2"/>
                          <w:jc w:val="left"/>
                          <w:rPr>
                            <w:sz w:val="13"/>
                          </w:rPr>
                        </w:pPr>
                      </w:p>
                      <w:p>
                        <w:pPr>
                          <w:pStyle w:val="TableParagraph"/>
                          <w:ind w:right="89"/>
                          <w:rPr>
                            <w:sz w:val="14"/>
                          </w:rPr>
                        </w:pPr>
                        <w:r>
                          <w:rPr>
                            <w:sz w:val="14"/>
                          </w:rPr>
                          <w:t>(331)</w:t>
                        </w:r>
                      </w:p>
                    </w:tc>
                    <w:tc>
                      <w:tcPr>
                        <w:tcW w:w="533" w:type="dxa"/>
                        <w:tcBorders>
                          <w:left w:val="nil"/>
                          <w:bottom w:val="nil"/>
                          <w:right w:val="nil"/>
                        </w:tcBorders>
                      </w:tcPr>
                      <w:p>
                        <w:pPr>
                          <w:pStyle w:val="TableParagraph"/>
                          <w:jc w:val="left"/>
                          <w:rPr>
                            <w:sz w:val="14"/>
                          </w:rPr>
                        </w:pPr>
                      </w:p>
                      <w:p>
                        <w:pPr>
                          <w:pStyle w:val="TableParagraph"/>
                          <w:spacing w:before="2"/>
                          <w:jc w:val="left"/>
                          <w:rPr>
                            <w:sz w:val="13"/>
                          </w:rPr>
                        </w:pPr>
                      </w:p>
                      <w:p>
                        <w:pPr>
                          <w:pStyle w:val="TableParagraph"/>
                          <w:ind w:right="112"/>
                          <w:rPr>
                            <w:sz w:val="14"/>
                          </w:rPr>
                        </w:pPr>
                        <w:r>
                          <w:rPr>
                            <w:sz w:val="14"/>
                          </w:rPr>
                          <w:t>(331)</w:t>
                        </w:r>
                      </w:p>
                    </w:tc>
                    <w:tc>
                      <w:tcPr>
                        <w:tcW w:w="533" w:type="dxa"/>
                        <w:tcBorders>
                          <w:left w:val="nil"/>
                          <w:bottom w:val="nil"/>
                          <w:right w:val="nil"/>
                        </w:tcBorders>
                      </w:tcPr>
                      <w:p>
                        <w:pPr>
                          <w:pStyle w:val="TableParagraph"/>
                          <w:jc w:val="left"/>
                          <w:rPr>
                            <w:sz w:val="14"/>
                          </w:rPr>
                        </w:pPr>
                      </w:p>
                      <w:p>
                        <w:pPr>
                          <w:pStyle w:val="TableParagraph"/>
                          <w:spacing w:before="2"/>
                          <w:jc w:val="left"/>
                          <w:rPr>
                            <w:sz w:val="13"/>
                          </w:rPr>
                        </w:pPr>
                      </w:p>
                      <w:p>
                        <w:pPr>
                          <w:pStyle w:val="TableParagraph"/>
                          <w:ind w:right="136"/>
                          <w:rPr>
                            <w:sz w:val="14"/>
                          </w:rPr>
                        </w:pPr>
                        <w:r>
                          <w:rPr>
                            <w:sz w:val="14"/>
                          </w:rPr>
                          <w:t>331</w:t>
                        </w:r>
                      </w:p>
                    </w:tc>
                    <w:tc>
                      <w:tcPr>
                        <w:tcW w:w="442" w:type="dxa"/>
                        <w:tcBorders>
                          <w:left w:val="nil"/>
                          <w:bottom w:val="nil"/>
                        </w:tcBorders>
                      </w:tcPr>
                      <w:p>
                        <w:pPr>
                          <w:pStyle w:val="TableParagraph"/>
                          <w:jc w:val="left"/>
                          <w:rPr>
                            <w:sz w:val="14"/>
                          </w:rPr>
                        </w:pPr>
                      </w:p>
                      <w:p>
                        <w:pPr>
                          <w:pStyle w:val="TableParagraph"/>
                          <w:spacing w:before="2"/>
                          <w:jc w:val="left"/>
                          <w:rPr>
                            <w:sz w:val="13"/>
                          </w:rPr>
                        </w:pPr>
                      </w:p>
                      <w:p>
                        <w:pPr>
                          <w:pStyle w:val="TableParagraph"/>
                          <w:ind w:right="67"/>
                          <w:rPr>
                            <w:sz w:val="14"/>
                          </w:rPr>
                        </w:pPr>
                        <w:r>
                          <w:rPr>
                            <w:sz w:val="14"/>
                          </w:rPr>
                          <w:t>331</w:t>
                        </w:r>
                      </w:p>
                    </w:tc>
                    <w:tc>
                      <w:tcPr>
                        <w:tcW w:w="623" w:type="dxa"/>
                        <w:tcBorders>
                          <w:bottom w:val="nil"/>
                          <w:right w:val="nil"/>
                        </w:tcBorders>
                      </w:tcPr>
                      <w:p>
                        <w:pPr>
                          <w:pStyle w:val="TableParagraph"/>
                          <w:jc w:val="left"/>
                          <w:rPr>
                            <w:sz w:val="14"/>
                          </w:rPr>
                        </w:pPr>
                      </w:p>
                      <w:p>
                        <w:pPr>
                          <w:pStyle w:val="TableParagraph"/>
                          <w:spacing w:before="2"/>
                          <w:jc w:val="left"/>
                          <w:rPr>
                            <w:sz w:val="13"/>
                          </w:rPr>
                        </w:pPr>
                      </w:p>
                      <w:p>
                        <w:pPr>
                          <w:pStyle w:val="TableParagraph"/>
                          <w:ind w:right="136"/>
                          <w:rPr>
                            <w:sz w:val="14"/>
                          </w:rPr>
                        </w:pPr>
                        <w:r>
                          <w:rPr>
                            <w:w w:val="100"/>
                            <w:sz w:val="14"/>
                          </w:rPr>
                          <w:t>-</w:t>
                        </w:r>
                      </w:p>
                    </w:tc>
                    <w:tc>
                      <w:tcPr>
                        <w:tcW w:w="509" w:type="dxa"/>
                        <w:tcBorders>
                          <w:left w:val="nil"/>
                          <w:bottom w:val="nil"/>
                          <w:right w:val="nil"/>
                        </w:tcBorders>
                      </w:tcPr>
                      <w:p>
                        <w:pPr>
                          <w:pStyle w:val="TableParagraph"/>
                          <w:jc w:val="left"/>
                          <w:rPr>
                            <w:sz w:val="14"/>
                          </w:rPr>
                        </w:pPr>
                      </w:p>
                      <w:p>
                        <w:pPr>
                          <w:pStyle w:val="TableParagraph"/>
                          <w:spacing w:before="2"/>
                          <w:jc w:val="left"/>
                          <w:rPr>
                            <w:sz w:val="13"/>
                          </w:rPr>
                        </w:pPr>
                      </w:p>
                      <w:p>
                        <w:pPr>
                          <w:pStyle w:val="TableParagraph"/>
                          <w:ind w:right="135"/>
                          <w:rPr>
                            <w:sz w:val="14"/>
                          </w:rPr>
                        </w:pPr>
                        <w:r>
                          <w:rPr>
                            <w:w w:val="100"/>
                            <w:sz w:val="14"/>
                          </w:rPr>
                          <w:t>-</w:t>
                        </w:r>
                      </w:p>
                    </w:tc>
                    <w:tc>
                      <w:tcPr>
                        <w:tcW w:w="556" w:type="dxa"/>
                        <w:tcBorders>
                          <w:left w:val="nil"/>
                          <w:bottom w:val="nil"/>
                          <w:right w:val="nil"/>
                        </w:tcBorders>
                      </w:tcPr>
                      <w:p>
                        <w:pPr>
                          <w:pStyle w:val="TableParagraph"/>
                          <w:jc w:val="left"/>
                          <w:rPr>
                            <w:sz w:val="14"/>
                          </w:rPr>
                        </w:pPr>
                      </w:p>
                      <w:p>
                        <w:pPr>
                          <w:pStyle w:val="TableParagraph"/>
                          <w:spacing w:before="2"/>
                          <w:jc w:val="left"/>
                          <w:rPr>
                            <w:sz w:val="13"/>
                          </w:rPr>
                        </w:pPr>
                      </w:p>
                      <w:p>
                        <w:pPr>
                          <w:pStyle w:val="TableParagraph"/>
                          <w:ind w:right="136"/>
                          <w:rPr>
                            <w:sz w:val="14"/>
                          </w:rPr>
                        </w:pPr>
                        <w:r>
                          <w:rPr>
                            <w:w w:val="100"/>
                            <w:sz w:val="14"/>
                          </w:rPr>
                          <w:t>-</w:t>
                        </w:r>
                      </w:p>
                    </w:tc>
                    <w:tc>
                      <w:tcPr>
                        <w:tcW w:w="442" w:type="dxa"/>
                        <w:tcBorders>
                          <w:left w:val="nil"/>
                          <w:bottom w:val="nil"/>
                        </w:tcBorders>
                      </w:tcPr>
                      <w:p>
                        <w:pPr>
                          <w:pStyle w:val="TableParagraph"/>
                          <w:jc w:val="left"/>
                          <w:rPr>
                            <w:sz w:val="14"/>
                          </w:rPr>
                        </w:pPr>
                      </w:p>
                      <w:p>
                        <w:pPr>
                          <w:pStyle w:val="TableParagraph"/>
                          <w:spacing w:before="2"/>
                          <w:jc w:val="left"/>
                          <w:rPr>
                            <w:sz w:val="13"/>
                          </w:rPr>
                        </w:pPr>
                      </w:p>
                      <w:p>
                        <w:pPr>
                          <w:pStyle w:val="TableParagraph"/>
                          <w:ind w:right="67"/>
                          <w:rPr>
                            <w:sz w:val="14"/>
                          </w:rPr>
                        </w:pPr>
                        <w:r>
                          <w:rPr>
                            <w:w w:val="100"/>
                            <w:sz w:val="14"/>
                          </w:rPr>
                          <w:t>-</w:t>
                        </w:r>
                      </w:p>
                    </w:tc>
                    <w:tc>
                      <w:tcPr>
                        <w:tcW w:w="600" w:type="dxa"/>
                        <w:tcBorders>
                          <w:bottom w:val="nil"/>
                          <w:right w:val="nil"/>
                        </w:tcBorders>
                      </w:tcPr>
                      <w:p>
                        <w:pPr>
                          <w:pStyle w:val="TableParagraph"/>
                          <w:jc w:val="left"/>
                          <w:rPr>
                            <w:sz w:val="14"/>
                          </w:rPr>
                        </w:pPr>
                      </w:p>
                      <w:p>
                        <w:pPr>
                          <w:pStyle w:val="TableParagraph"/>
                          <w:spacing w:before="2"/>
                          <w:jc w:val="left"/>
                          <w:rPr>
                            <w:sz w:val="13"/>
                          </w:rPr>
                        </w:pPr>
                      </w:p>
                      <w:p>
                        <w:pPr>
                          <w:pStyle w:val="TableParagraph"/>
                          <w:ind w:right="112"/>
                          <w:rPr>
                            <w:sz w:val="14"/>
                          </w:rPr>
                        </w:pPr>
                        <w:r>
                          <w:rPr>
                            <w:w w:val="100"/>
                            <w:sz w:val="14"/>
                          </w:rPr>
                          <w:t>-</w:t>
                        </w:r>
                      </w:p>
                    </w:tc>
                    <w:tc>
                      <w:tcPr>
                        <w:tcW w:w="673" w:type="dxa"/>
                        <w:tcBorders>
                          <w:left w:val="nil"/>
                          <w:bottom w:val="nil"/>
                          <w:right w:val="nil"/>
                        </w:tcBorders>
                      </w:tcPr>
                      <w:p>
                        <w:pPr>
                          <w:pStyle w:val="TableParagraph"/>
                          <w:jc w:val="left"/>
                          <w:rPr>
                            <w:sz w:val="14"/>
                          </w:rPr>
                        </w:pPr>
                      </w:p>
                      <w:p>
                        <w:pPr>
                          <w:pStyle w:val="TableParagraph"/>
                          <w:spacing w:before="2"/>
                          <w:jc w:val="left"/>
                          <w:rPr>
                            <w:sz w:val="13"/>
                          </w:rPr>
                        </w:pPr>
                      </w:p>
                      <w:p>
                        <w:pPr>
                          <w:pStyle w:val="TableParagraph"/>
                          <w:ind w:right="275"/>
                          <w:rPr>
                            <w:sz w:val="14"/>
                          </w:rPr>
                        </w:pPr>
                        <w:r>
                          <w:rPr>
                            <w:w w:val="100"/>
                            <w:sz w:val="14"/>
                          </w:rPr>
                          <w:t>-</w:t>
                        </w:r>
                      </w:p>
                    </w:tc>
                    <w:tc>
                      <w:tcPr>
                        <w:tcW w:w="416" w:type="dxa"/>
                        <w:tcBorders>
                          <w:left w:val="nil"/>
                          <w:bottom w:val="nil"/>
                          <w:right w:val="nil"/>
                        </w:tcBorders>
                      </w:tcPr>
                      <w:p>
                        <w:pPr>
                          <w:pStyle w:val="TableParagraph"/>
                          <w:jc w:val="left"/>
                          <w:rPr>
                            <w:sz w:val="14"/>
                          </w:rPr>
                        </w:pPr>
                      </w:p>
                      <w:p>
                        <w:pPr>
                          <w:pStyle w:val="TableParagraph"/>
                          <w:spacing w:before="2"/>
                          <w:jc w:val="left"/>
                          <w:rPr>
                            <w:sz w:val="13"/>
                          </w:rPr>
                        </w:pPr>
                      </w:p>
                      <w:p>
                        <w:pPr>
                          <w:pStyle w:val="TableParagraph"/>
                          <w:ind w:right="136"/>
                          <w:rPr>
                            <w:sz w:val="14"/>
                          </w:rPr>
                        </w:pPr>
                        <w:r>
                          <w:rPr>
                            <w:w w:val="100"/>
                            <w:sz w:val="14"/>
                          </w:rPr>
                          <w:t>-</w:t>
                        </w:r>
                      </w:p>
                    </w:tc>
                    <w:tc>
                      <w:tcPr>
                        <w:tcW w:w="433" w:type="dxa"/>
                        <w:tcBorders>
                          <w:left w:val="nil"/>
                          <w:bottom w:val="nil"/>
                        </w:tcBorders>
                      </w:tcPr>
                      <w:p>
                        <w:pPr>
                          <w:pStyle w:val="TableParagraph"/>
                          <w:jc w:val="left"/>
                          <w:rPr>
                            <w:sz w:val="14"/>
                          </w:rPr>
                        </w:pPr>
                      </w:p>
                      <w:p>
                        <w:pPr>
                          <w:pStyle w:val="TableParagraph"/>
                          <w:spacing w:before="2"/>
                          <w:jc w:val="left"/>
                          <w:rPr>
                            <w:sz w:val="13"/>
                          </w:rPr>
                        </w:pPr>
                      </w:p>
                      <w:p>
                        <w:pPr>
                          <w:pStyle w:val="TableParagraph"/>
                          <w:ind w:right="58"/>
                          <w:rPr>
                            <w:sz w:val="14"/>
                          </w:rPr>
                        </w:pPr>
                        <w:r>
                          <w:rPr>
                            <w:w w:val="100"/>
                            <w:sz w:val="14"/>
                          </w:rPr>
                          <w:t>-</w:t>
                        </w:r>
                      </w:p>
                    </w:tc>
                  </w:tr>
                  <w:tr>
                    <w:trPr>
                      <w:trHeight w:val="298" w:hRule="exact"/>
                    </w:trPr>
                    <w:tc>
                      <w:tcPr>
                        <w:tcW w:w="674" w:type="dxa"/>
                        <w:tcBorders>
                          <w:top w:val="nil"/>
                          <w:bottom w:val="nil"/>
                        </w:tcBorders>
                      </w:tcPr>
                      <w:p>
                        <w:pPr>
                          <w:pStyle w:val="TableParagraph"/>
                          <w:spacing w:before="21"/>
                          <w:ind w:right="67"/>
                          <w:rPr>
                            <w:sz w:val="14"/>
                          </w:rPr>
                        </w:pPr>
                        <w:r>
                          <w:rPr>
                            <w:sz w:val="14"/>
                          </w:rPr>
                          <w:t>400,932</w:t>
                        </w:r>
                      </w:p>
                    </w:tc>
                    <w:tc>
                      <w:tcPr>
                        <w:tcW w:w="623" w:type="dxa"/>
                        <w:tcBorders>
                          <w:top w:val="nil"/>
                          <w:bottom w:val="nil"/>
                          <w:right w:val="nil"/>
                        </w:tcBorders>
                      </w:tcPr>
                      <w:p>
                        <w:pPr>
                          <w:pStyle w:val="TableParagraph"/>
                          <w:spacing w:before="21"/>
                          <w:ind w:right="136"/>
                          <w:rPr>
                            <w:sz w:val="14"/>
                          </w:rPr>
                        </w:pPr>
                        <w:r>
                          <w:rPr>
                            <w:w w:val="100"/>
                            <w:sz w:val="14"/>
                          </w:rPr>
                          <w:t>-</w:t>
                        </w:r>
                      </w:p>
                    </w:tc>
                    <w:tc>
                      <w:tcPr>
                        <w:tcW w:w="533" w:type="dxa"/>
                        <w:tcBorders>
                          <w:top w:val="nil"/>
                          <w:left w:val="nil"/>
                          <w:bottom w:val="nil"/>
                          <w:right w:val="nil"/>
                        </w:tcBorders>
                      </w:tcPr>
                      <w:p>
                        <w:pPr>
                          <w:pStyle w:val="TableParagraph"/>
                          <w:spacing w:before="21"/>
                          <w:ind w:right="158"/>
                          <w:rPr>
                            <w:sz w:val="14"/>
                          </w:rPr>
                        </w:pPr>
                        <w:r>
                          <w:rPr>
                            <w:w w:val="100"/>
                            <w:sz w:val="14"/>
                          </w:rPr>
                          <w:t>-</w:t>
                        </w:r>
                      </w:p>
                    </w:tc>
                    <w:tc>
                      <w:tcPr>
                        <w:tcW w:w="533" w:type="dxa"/>
                        <w:tcBorders>
                          <w:top w:val="nil"/>
                          <w:left w:val="nil"/>
                          <w:bottom w:val="nil"/>
                          <w:right w:val="nil"/>
                        </w:tcBorders>
                      </w:tcPr>
                      <w:p>
                        <w:pPr>
                          <w:pStyle w:val="TableParagraph"/>
                          <w:spacing w:before="21"/>
                          <w:ind w:right="136"/>
                          <w:rPr>
                            <w:sz w:val="14"/>
                          </w:rPr>
                        </w:pPr>
                        <w:r>
                          <w:rPr>
                            <w:w w:val="100"/>
                            <w:sz w:val="14"/>
                          </w:rPr>
                          <w:t>-</w:t>
                        </w:r>
                      </w:p>
                    </w:tc>
                    <w:tc>
                      <w:tcPr>
                        <w:tcW w:w="442" w:type="dxa"/>
                        <w:tcBorders>
                          <w:top w:val="nil"/>
                          <w:left w:val="nil"/>
                          <w:bottom w:val="nil"/>
                        </w:tcBorders>
                      </w:tcPr>
                      <w:p>
                        <w:pPr>
                          <w:pStyle w:val="TableParagraph"/>
                          <w:spacing w:before="21"/>
                          <w:ind w:right="67"/>
                          <w:rPr>
                            <w:sz w:val="14"/>
                          </w:rPr>
                        </w:pPr>
                        <w:r>
                          <w:rPr>
                            <w:w w:val="100"/>
                            <w:sz w:val="14"/>
                          </w:rPr>
                          <w:t>-</w:t>
                        </w:r>
                      </w:p>
                    </w:tc>
                    <w:tc>
                      <w:tcPr>
                        <w:tcW w:w="623" w:type="dxa"/>
                        <w:tcBorders>
                          <w:top w:val="nil"/>
                          <w:bottom w:val="nil"/>
                          <w:right w:val="nil"/>
                        </w:tcBorders>
                      </w:tcPr>
                      <w:p>
                        <w:pPr>
                          <w:pStyle w:val="TableParagraph"/>
                          <w:spacing w:before="21"/>
                          <w:ind w:right="136"/>
                          <w:rPr>
                            <w:sz w:val="14"/>
                          </w:rPr>
                        </w:pPr>
                        <w:r>
                          <w:rPr>
                            <w:w w:val="100"/>
                            <w:sz w:val="14"/>
                          </w:rPr>
                          <w:t>-</w:t>
                        </w:r>
                      </w:p>
                    </w:tc>
                    <w:tc>
                      <w:tcPr>
                        <w:tcW w:w="509" w:type="dxa"/>
                        <w:tcBorders>
                          <w:top w:val="nil"/>
                          <w:left w:val="nil"/>
                          <w:bottom w:val="nil"/>
                          <w:right w:val="nil"/>
                        </w:tcBorders>
                      </w:tcPr>
                      <w:p>
                        <w:pPr>
                          <w:pStyle w:val="TableParagraph"/>
                          <w:spacing w:before="21"/>
                          <w:ind w:right="135"/>
                          <w:rPr>
                            <w:sz w:val="14"/>
                          </w:rPr>
                        </w:pPr>
                        <w:r>
                          <w:rPr>
                            <w:w w:val="100"/>
                            <w:sz w:val="14"/>
                          </w:rPr>
                          <w:t>-</w:t>
                        </w:r>
                      </w:p>
                    </w:tc>
                    <w:tc>
                      <w:tcPr>
                        <w:tcW w:w="556" w:type="dxa"/>
                        <w:tcBorders>
                          <w:top w:val="nil"/>
                          <w:left w:val="nil"/>
                          <w:bottom w:val="nil"/>
                          <w:right w:val="nil"/>
                        </w:tcBorders>
                      </w:tcPr>
                      <w:p>
                        <w:pPr>
                          <w:pStyle w:val="TableParagraph"/>
                          <w:spacing w:before="21"/>
                          <w:ind w:right="136"/>
                          <w:rPr>
                            <w:sz w:val="14"/>
                          </w:rPr>
                        </w:pPr>
                        <w:r>
                          <w:rPr>
                            <w:w w:val="100"/>
                            <w:sz w:val="14"/>
                          </w:rPr>
                          <w:t>-</w:t>
                        </w:r>
                      </w:p>
                    </w:tc>
                    <w:tc>
                      <w:tcPr>
                        <w:tcW w:w="442" w:type="dxa"/>
                        <w:tcBorders>
                          <w:top w:val="nil"/>
                          <w:left w:val="nil"/>
                          <w:bottom w:val="nil"/>
                        </w:tcBorders>
                      </w:tcPr>
                      <w:p>
                        <w:pPr>
                          <w:pStyle w:val="TableParagraph"/>
                          <w:spacing w:before="21"/>
                          <w:ind w:right="67"/>
                          <w:rPr>
                            <w:sz w:val="14"/>
                          </w:rPr>
                        </w:pPr>
                        <w:r>
                          <w:rPr>
                            <w:w w:val="100"/>
                            <w:sz w:val="14"/>
                          </w:rPr>
                          <w:t>-</w:t>
                        </w:r>
                      </w:p>
                    </w:tc>
                    <w:tc>
                      <w:tcPr>
                        <w:tcW w:w="600" w:type="dxa"/>
                        <w:tcBorders>
                          <w:top w:val="nil"/>
                          <w:bottom w:val="nil"/>
                          <w:right w:val="nil"/>
                        </w:tcBorders>
                      </w:tcPr>
                      <w:p>
                        <w:pPr>
                          <w:pStyle w:val="TableParagraph"/>
                          <w:spacing w:before="21"/>
                          <w:ind w:right="112"/>
                          <w:rPr>
                            <w:sz w:val="14"/>
                          </w:rPr>
                        </w:pPr>
                        <w:r>
                          <w:rPr>
                            <w:w w:val="100"/>
                            <w:sz w:val="14"/>
                          </w:rPr>
                          <w:t>-</w:t>
                        </w:r>
                      </w:p>
                    </w:tc>
                    <w:tc>
                      <w:tcPr>
                        <w:tcW w:w="673" w:type="dxa"/>
                        <w:tcBorders>
                          <w:top w:val="nil"/>
                          <w:left w:val="nil"/>
                          <w:bottom w:val="nil"/>
                          <w:right w:val="nil"/>
                        </w:tcBorders>
                      </w:tcPr>
                      <w:p>
                        <w:pPr>
                          <w:pStyle w:val="TableParagraph"/>
                          <w:spacing w:before="21"/>
                          <w:ind w:right="275"/>
                          <w:rPr>
                            <w:sz w:val="14"/>
                          </w:rPr>
                        </w:pPr>
                        <w:r>
                          <w:rPr>
                            <w:w w:val="100"/>
                            <w:sz w:val="14"/>
                          </w:rPr>
                          <w:t>-</w:t>
                        </w:r>
                      </w:p>
                    </w:tc>
                    <w:tc>
                      <w:tcPr>
                        <w:tcW w:w="416" w:type="dxa"/>
                        <w:tcBorders>
                          <w:top w:val="nil"/>
                          <w:left w:val="nil"/>
                          <w:bottom w:val="nil"/>
                          <w:right w:val="nil"/>
                        </w:tcBorders>
                      </w:tcPr>
                      <w:p>
                        <w:pPr>
                          <w:pStyle w:val="TableParagraph"/>
                          <w:spacing w:before="21"/>
                          <w:ind w:right="136"/>
                          <w:rPr>
                            <w:sz w:val="14"/>
                          </w:rPr>
                        </w:pPr>
                        <w:r>
                          <w:rPr>
                            <w:w w:val="100"/>
                            <w:sz w:val="14"/>
                          </w:rPr>
                          <w:t>-</w:t>
                        </w:r>
                      </w:p>
                    </w:tc>
                    <w:tc>
                      <w:tcPr>
                        <w:tcW w:w="433" w:type="dxa"/>
                        <w:tcBorders>
                          <w:top w:val="nil"/>
                          <w:left w:val="nil"/>
                          <w:bottom w:val="nil"/>
                        </w:tcBorders>
                      </w:tcPr>
                      <w:p>
                        <w:pPr>
                          <w:pStyle w:val="TableParagraph"/>
                          <w:spacing w:before="21"/>
                          <w:ind w:right="58"/>
                          <w:rPr>
                            <w:sz w:val="14"/>
                          </w:rPr>
                        </w:pPr>
                        <w:r>
                          <w:rPr>
                            <w:w w:val="100"/>
                            <w:sz w:val="14"/>
                          </w:rPr>
                          <w:t>-</w:t>
                        </w:r>
                      </w:p>
                    </w:tc>
                  </w:tr>
                  <w:tr>
                    <w:trPr>
                      <w:trHeight w:val="377" w:hRule="exact"/>
                    </w:trPr>
                    <w:tc>
                      <w:tcPr>
                        <w:tcW w:w="674" w:type="dxa"/>
                        <w:tcBorders>
                          <w:top w:val="nil"/>
                          <w:bottom w:val="nil"/>
                        </w:tcBorders>
                      </w:tcPr>
                      <w:p>
                        <w:pPr>
                          <w:pStyle w:val="TableParagraph"/>
                          <w:spacing w:before="100"/>
                          <w:ind w:right="67"/>
                          <w:rPr>
                            <w:sz w:val="14"/>
                          </w:rPr>
                        </w:pPr>
                        <w:r>
                          <w:rPr>
                            <w:sz w:val="14"/>
                          </w:rPr>
                          <w:t>79,203</w:t>
                        </w:r>
                      </w:p>
                    </w:tc>
                    <w:tc>
                      <w:tcPr>
                        <w:tcW w:w="623" w:type="dxa"/>
                        <w:tcBorders>
                          <w:top w:val="nil"/>
                          <w:bottom w:val="nil"/>
                          <w:right w:val="nil"/>
                        </w:tcBorders>
                      </w:tcPr>
                      <w:p>
                        <w:pPr>
                          <w:pStyle w:val="TableParagraph"/>
                          <w:spacing w:before="100"/>
                          <w:ind w:right="136"/>
                          <w:rPr>
                            <w:sz w:val="14"/>
                          </w:rPr>
                        </w:pPr>
                        <w:r>
                          <w:rPr>
                            <w:w w:val="100"/>
                            <w:sz w:val="14"/>
                          </w:rPr>
                          <w:t>-</w:t>
                        </w:r>
                      </w:p>
                    </w:tc>
                    <w:tc>
                      <w:tcPr>
                        <w:tcW w:w="533" w:type="dxa"/>
                        <w:tcBorders>
                          <w:top w:val="nil"/>
                          <w:left w:val="nil"/>
                          <w:bottom w:val="nil"/>
                          <w:right w:val="nil"/>
                        </w:tcBorders>
                      </w:tcPr>
                      <w:p>
                        <w:pPr>
                          <w:pStyle w:val="TableParagraph"/>
                          <w:spacing w:before="100"/>
                          <w:ind w:right="158"/>
                          <w:rPr>
                            <w:sz w:val="14"/>
                          </w:rPr>
                        </w:pPr>
                        <w:r>
                          <w:rPr>
                            <w:w w:val="100"/>
                            <w:sz w:val="14"/>
                          </w:rPr>
                          <w:t>-</w:t>
                        </w:r>
                      </w:p>
                    </w:tc>
                    <w:tc>
                      <w:tcPr>
                        <w:tcW w:w="533" w:type="dxa"/>
                        <w:tcBorders>
                          <w:top w:val="nil"/>
                          <w:left w:val="nil"/>
                          <w:bottom w:val="nil"/>
                          <w:right w:val="nil"/>
                        </w:tcBorders>
                      </w:tcPr>
                      <w:p>
                        <w:pPr>
                          <w:pStyle w:val="TableParagraph"/>
                          <w:spacing w:before="100"/>
                          <w:ind w:right="136"/>
                          <w:rPr>
                            <w:sz w:val="14"/>
                          </w:rPr>
                        </w:pPr>
                        <w:r>
                          <w:rPr>
                            <w:w w:val="100"/>
                            <w:sz w:val="14"/>
                          </w:rPr>
                          <w:t>-</w:t>
                        </w:r>
                      </w:p>
                    </w:tc>
                    <w:tc>
                      <w:tcPr>
                        <w:tcW w:w="442" w:type="dxa"/>
                        <w:tcBorders>
                          <w:top w:val="nil"/>
                          <w:left w:val="nil"/>
                          <w:bottom w:val="nil"/>
                        </w:tcBorders>
                      </w:tcPr>
                      <w:p>
                        <w:pPr>
                          <w:pStyle w:val="TableParagraph"/>
                          <w:spacing w:before="100"/>
                          <w:ind w:right="67"/>
                          <w:rPr>
                            <w:sz w:val="14"/>
                          </w:rPr>
                        </w:pPr>
                        <w:r>
                          <w:rPr>
                            <w:w w:val="100"/>
                            <w:sz w:val="14"/>
                          </w:rPr>
                          <w:t>-</w:t>
                        </w:r>
                      </w:p>
                    </w:tc>
                    <w:tc>
                      <w:tcPr>
                        <w:tcW w:w="623" w:type="dxa"/>
                        <w:tcBorders>
                          <w:top w:val="nil"/>
                          <w:bottom w:val="nil"/>
                          <w:right w:val="nil"/>
                        </w:tcBorders>
                      </w:tcPr>
                      <w:p>
                        <w:pPr>
                          <w:pStyle w:val="TableParagraph"/>
                          <w:spacing w:before="100"/>
                          <w:ind w:right="136"/>
                          <w:rPr>
                            <w:sz w:val="14"/>
                          </w:rPr>
                        </w:pPr>
                        <w:r>
                          <w:rPr>
                            <w:w w:val="100"/>
                            <w:sz w:val="14"/>
                          </w:rPr>
                          <w:t>-</w:t>
                        </w:r>
                      </w:p>
                    </w:tc>
                    <w:tc>
                      <w:tcPr>
                        <w:tcW w:w="509" w:type="dxa"/>
                        <w:tcBorders>
                          <w:top w:val="nil"/>
                          <w:left w:val="nil"/>
                          <w:bottom w:val="nil"/>
                          <w:right w:val="nil"/>
                        </w:tcBorders>
                      </w:tcPr>
                      <w:p>
                        <w:pPr>
                          <w:pStyle w:val="TableParagraph"/>
                          <w:spacing w:before="100"/>
                          <w:ind w:right="135"/>
                          <w:rPr>
                            <w:sz w:val="14"/>
                          </w:rPr>
                        </w:pPr>
                        <w:r>
                          <w:rPr>
                            <w:w w:val="100"/>
                            <w:sz w:val="14"/>
                          </w:rPr>
                          <w:t>-</w:t>
                        </w:r>
                      </w:p>
                    </w:tc>
                    <w:tc>
                      <w:tcPr>
                        <w:tcW w:w="556" w:type="dxa"/>
                        <w:tcBorders>
                          <w:top w:val="nil"/>
                          <w:left w:val="nil"/>
                          <w:bottom w:val="nil"/>
                          <w:right w:val="nil"/>
                        </w:tcBorders>
                      </w:tcPr>
                      <w:p>
                        <w:pPr>
                          <w:pStyle w:val="TableParagraph"/>
                          <w:spacing w:before="100"/>
                          <w:ind w:right="136"/>
                          <w:rPr>
                            <w:sz w:val="14"/>
                          </w:rPr>
                        </w:pPr>
                        <w:r>
                          <w:rPr>
                            <w:w w:val="100"/>
                            <w:sz w:val="14"/>
                          </w:rPr>
                          <w:t>-</w:t>
                        </w:r>
                      </w:p>
                    </w:tc>
                    <w:tc>
                      <w:tcPr>
                        <w:tcW w:w="442" w:type="dxa"/>
                        <w:tcBorders>
                          <w:top w:val="nil"/>
                          <w:left w:val="nil"/>
                          <w:bottom w:val="nil"/>
                        </w:tcBorders>
                      </w:tcPr>
                      <w:p>
                        <w:pPr>
                          <w:pStyle w:val="TableParagraph"/>
                          <w:spacing w:before="100"/>
                          <w:ind w:right="67"/>
                          <w:rPr>
                            <w:sz w:val="14"/>
                          </w:rPr>
                        </w:pPr>
                        <w:r>
                          <w:rPr>
                            <w:w w:val="100"/>
                            <w:sz w:val="14"/>
                          </w:rPr>
                          <w:t>-</w:t>
                        </w:r>
                      </w:p>
                    </w:tc>
                    <w:tc>
                      <w:tcPr>
                        <w:tcW w:w="600" w:type="dxa"/>
                        <w:tcBorders>
                          <w:top w:val="nil"/>
                          <w:bottom w:val="nil"/>
                          <w:right w:val="nil"/>
                        </w:tcBorders>
                      </w:tcPr>
                      <w:p>
                        <w:pPr>
                          <w:pStyle w:val="TableParagraph"/>
                          <w:spacing w:before="100"/>
                          <w:ind w:right="112"/>
                          <w:rPr>
                            <w:sz w:val="14"/>
                          </w:rPr>
                        </w:pPr>
                        <w:r>
                          <w:rPr>
                            <w:w w:val="100"/>
                            <w:sz w:val="14"/>
                          </w:rPr>
                          <w:t>-</w:t>
                        </w:r>
                      </w:p>
                    </w:tc>
                    <w:tc>
                      <w:tcPr>
                        <w:tcW w:w="673" w:type="dxa"/>
                        <w:tcBorders>
                          <w:top w:val="nil"/>
                          <w:left w:val="nil"/>
                          <w:bottom w:val="nil"/>
                          <w:right w:val="nil"/>
                        </w:tcBorders>
                      </w:tcPr>
                      <w:p>
                        <w:pPr>
                          <w:pStyle w:val="TableParagraph"/>
                          <w:spacing w:before="100"/>
                          <w:ind w:right="229"/>
                          <w:rPr>
                            <w:sz w:val="14"/>
                          </w:rPr>
                        </w:pPr>
                        <w:r>
                          <w:rPr>
                            <w:sz w:val="14"/>
                          </w:rPr>
                          <w:t>(792)</w:t>
                        </w:r>
                      </w:p>
                    </w:tc>
                    <w:tc>
                      <w:tcPr>
                        <w:tcW w:w="416" w:type="dxa"/>
                        <w:tcBorders>
                          <w:top w:val="nil"/>
                          <w:left w:val="nil"/>
                          <w:bottom w:val="nil"/>
                          <w:right w:val="nil"/>
                        </w:tcBorders>
                      </w:tcPr>
                      <w:p>
                        <w:pPr>
                          <w:pStyle w:val="TableParagraph"/>
                          <w:spacing w:before="100"/>
                          <w:ind w:right="136"/>
                          <w:rPr>
                            <w:sz w:val="14"/>
                          </w:rPr>
                        </w:pPr>
                        <w:r>
                          <w:rPr>
                            <w:w w:val="100"/>
                            <w:sz w:val="14"/>
                          </w:rPr>
                          <w:t>-</w:t>
                        </w:r>
                      </w:p>
                    </w:tc>
                    <w:tc>
                      <w:tcPr>
                        <w:tcW w:w="433" w:type="dxa"/>
                        <w:tcBorders>
                          <w:top w:val="nil"/>
                          <w:left w:val="nil"/>
                          <w:bottom w:val="nil"/>
                        </w:tcBorders>
                      </w:tcPr>
                      <w:p>
                        <w:pPr>
                          <w:pStyle w:val="TableParagraph"/>
                          <w:spacing w:before="100"/>
                          <w:ind w:right="58"/>
                          <w:rPr>
                            <w:sz w:val="14"/>
                          </w:rPr>
                        </w:pPr>
                        <w:r>
                          <w:rPr>
                            <w:sz w:val="14"/>
                          </w:rPr>
                          <w:t>792</w:t>
                        </w:r>
                      </w:p>
                    </w:tc>
                  </w:tr>
                  <w:tr>
                    <w:trPr>
                      <w:trHeight w:val="434" w:hRule="exact"/>
                    </w:trPr>
                    <w:tc>
                      <w:tcPr>
                        <w:tcW w:w="674" w:type="dxa"/>
                        <w:tcBorders>
                          <w:top w:val="nil"/>
                          <w:bottom w:val="nil"/>
                        </w:tcBorders>
                      </w:tcPr>
                      <w:p>
                        <w:pPr>
                          <w:pStyle w:val="TableParagraph"/>
                          <w:spacing w:before="100"/>
                          <w:ind w:right="67"/>
                          <w:rPr>
                            <w:sz w:val="14"/>
                          </w:rPr>
                        </w:pPr>
                        <w:r>
                          <w:rPr>
                            <w:sz w:val="14"/>
                          </w:rPr>
                          <w:t>6,333</w:t>
                        </w:r>
                      </w:p>
                    </w:tc>
                    <w:tc>
                      <w:tcPr>
                        <w:tcW w:w="623" w:type="dxa"/>
                        <w:tcBorders>
                          <w:top w:val="nil"/>
                          <w:bottom w:val="nil"/>
                          <w:right w:val="nil"/>
                        </w:tcBorders>
                      </w:tcPr>
                      <w:p>
                        <w:pPr>
                          <w:pStyle w:val="TableParagraph"/>
                          <w:spacing w:before="100"/>
                          <w:ind w:right="89"/>
                          <w:rPr>
                            <w:sz w:val="14"/>
                          </w:rPr>
                        </w:pPr>
                        <w:r>
                          <w:rPr>
                            <w:sz w:val="14"/>
                          </w:rPr>
                          <w:t>(16)</w:t>
                        </w:r>
                      </w:p>
                    </w:tc>
                    <w:tc>
                      <w:tcPr>
                        <w:tcW w:w="533" w:type="dxa"/>
                        <w:tcBorders>
                          <w:top w:val="nil"/>
                          <w:left w:val="nil"/>
                          <w:bottom w:val="nil"/>
                          <w:right w:val="nil"/>
                        </w:tcBorders>
                      </w:tcPr>
                      <w:p>
                        <w:pPr>
                          <w:pStyle w:val="TableParagraph"/>
                          <w:spacing w:before="100"/>
                          <w:ind w:right="112"/>
                          <w:rPr>
                            <w:sz w:val="14"/>
                          </w:rPr>
                        </w:pPr>
                        <w:r>
                          <w:rPr>
                            <w:sz w:val="14"/>
                          </w:rPr>
                          <w:t>(16)</w:t>
                        </w:r>
                      </w:p>
                    </w:tc>
                    <w:tc>
                      <w:tcPr>
                        <w:tcW w:w="533" w:type="dxa"/>
                        <w:tcBorders>
                          <w:top w:val="nil"/>
                          <w:left w:val="nil"/>
                          <w:bottom w:val="nil"/>
                          <w:right w:val="nil"/>
                        </w:tcBorders>
                      </w:tcPr>
                      <w:p>
                        <w:pPr>
                          <w:pStyle w:val="TableParagraph"/>
                          <w:spacing w:before="100"/>
                          <w:ind w:right="136"/>
                          <w:rPr>
                            <w:sz w:val="14"/>
                          </w:rPr>
                        </w:pPr>
                        <w:r>
                          <w:rPr>
                            <w:sz w:val="14"/>
                          </w:rPr>
                          <w:t>16</w:t>
                        </w:r>
                      </w:p>
                    </w:tc>
                    <w:tc>
                      <w:tcPr>
                        <w:tcW w:w="442" w:type="dxa"/>
                        <w:tcBorders>
                          <w:top w:val="nil"/>
                          <w:left w:val="nil"/>
                          <w:bottom w:val="nil"/>
                        </w:tcBorders>
                      </w:tcPr>
                      <w:p>
                        <w:pPr>
                          <w:pStyle w:val="TableParagraph"/>
                          <w:spacing w:before="100"/>
                          <w:ind w:right="67"/>
                          <w:rPr>
                            <w:sz w:val="14"/>
                          </w:rPr>
                        </w:pPr>
                        <w:r>
                          <w:rPr>
                            <w:sz w:val="14"/>
                          </w:rPr>
                          <w:t>16</w:t>
                        </w:r>
                      </w:p>
                    </w:tc>
                    <w:tc>
                      <w:tcPr>
                        <w:tcW w:w="623" w:type="dxa"/>
                        <w:tcBorders>
                          <w:top w:val="nil"/>
                          <w:bottom w:val="nil"/>
                          <w:right w:val="nil"/>
                        </w:tcBorders>
                      </w:tcPr>
                      <w:p>
                        <w:pPr>
                          <w:pStyle w:val="TableParagraph"/>
                          <w:spacing w:before="100"/>
                          <w:ind w:right="136"/>
                          <w:rPr>
                            <w:sz w:val="14"/>
                          </w:rPr>
                        </w:pPr>
                        <w:r>
                          <w:rPr>
                            <w:w w:val="100"/>
                            <w:sz w:val="14"/>
                          </w:rPr>
                          <w:t>-</w:t>
                        </w:r>
                      </w:p>
                    </w:tc>
                    <w:tc>
                      <w:tcPr>
                        <w:tcW w:w="509" w:type="dxa"/>
                        <w:tcBorders>
                          <w:top w:val="nil"/>
                          <w:left w:val="nil"/>
                          <w:bottom w:val="nil"/>
                          <w:right w:val="nil"/>
                        </w:tcBorders>
                      </w:tcPr>
                      <w:p>
                        <w:pPr>
                          <w:pStyle w:val="TableParagraph"/>
                          <w:spacing w:before="100"/>
                          <w:ind w:right="135"/>
                          <w:rPr>
                            <w:sz w:val="14"/>
                          </w:rPr>
                        </w:pPr>
                        <w:r>
                          <w:rPr>
                            <w:w w:val="100"/>
                            <w:sz w:val="14"/>
                          </w:rPr>
                          <w:t>-</w:t>
                        </w:r>
                      </w:p>
                    </w:tc>
                    <w:tc>
                      <w:tcPr>
                        <w:tcW w:w="556" w:type="dxa"/>
                        <w:tcBorders>
                          <w:top w:val="nil"/>
                          <w:left w:val="nil"/>
                          <w:bottom w:val="nil"/>
                          <w:right w:val="nil"/>
                        </w:tcBorders>
                      </w:tcPr>
                      <w:p>
                        <w:pPr>
                          <w:pStyle w:val="TableParagraph"/>
                          <w:spacing w:before="100"/>
                          <w:ind w:right="136"/>
                          <w:rPr>
                            <w:sz w:val="14"/>
                          </w:rPr>
                        </w:pPr>
                        <w:r>
                          <w:rPr>
                            <w:w w:val="100"/>
                            <w:sz w:val="14"/>
                          </w:rPr>
                          <w:t>-</w:t>
                        </w:r>
                      </w:p>
                    </w:tc>
                    <w:tc>
                      <w:tcPr>
                        <w:tcW w:w="442" w:type="dxa"/>
                        <w:tcBorders>
                          <w:top w:val="nil"/>
                          <w:left w:val="nil"/>
                          <w:bottom w:val="nil"/>
                        </w:tcBorders>
                      </w:tcPr>
                      <w:p>
                        <w:pPr>
                          <w:pStyle w:val="TableParagraph"/>
                          <w:spacing w:before="100"/>
                          <w:ind w:right="67"/>
                          <w:rPr>
                            <w:sz w:val="14"/>
                          </w:rPr>
                        </w:pPr>
                        <w:r>
                          <w:rPr>
                            <w:w w:val="100"/>
                            <w:sz w:val="14"/>
                          </w:rPr>
                          <w:t>-</w:t>
                        </w:r>
                      </w:p>
                    </w:tc>
                    <w:tc>
                      <w:tcPr>
                        <w:tcW w:w="600" w:type="dxa"/>
                        <w:tcBorders>
                          <w:top w:val="nil"/>
                          <w:bottom w:val="nil"/>
                          <w:right w:val="nil"/>
                        </w:tcBorders>
                      </w:tcPr>
                      <w:p>
                        <w:pPr>
                          <w:pStyle w:val="TableParagraph"/>
                          <w:spacing w:before="100"/>
                          <w:ind w:right="112"/>
                          <w:rPr>
                            <w:sz w:val="14"/>
                          </w:rPr>
                        </w:pPr>
                        <w:r>
                          <w:rPr>
                            <w:w w:val="100"/>
                            <w:sz w:val="14"/>
                          </w:rPr>
                          <w:t>-</w:t>
                        </w:r>
                      </w:p>
                    </w:tc>
                    <w:tc>
                      <w:tcPr>
                        <w:tcW w:w="673" w:type="dxa"/>
                        <w:tcBorders>
                          <w:top w:val="nil"/>
                          <w:left w:val="nil"/>
                          <w:bottom w:val="nil"/>
                          <w:right w:val="nil"/>
                        </w:tcBorders>
                      </w:tcPr>
                      <w:p>
                        <w:pPr>
                          <w:pStyle w:val="TableParagraph"/>
                          <w:spacing w:before="100"/>
                          <w:ind w:right="275"/>
                          <w:rPr>
                            <w:sz w:val="14"/>
                          </w:rPr>
                        </w:pPr>
                        <w:r>
                          <w:rPr>
                            <w:w w:val="100"/>
                            <w:sz w:val="14"/>
                          </w:rPr>
                          <w:t>-</w:t>
                        </w:r>
                      </w:p>
                    </w:tc>
                    <w:tc>
                      <w:tcPr>
                        <w:tcW w:w="416" w:type="dxa"/>
                        <w:tcBorders>
                          <w:top w:val="nil"/>
                          <w:left w:val="nil"/>
                          <w:bottom w:val="nil"/>
                          <w:right w:val="nil"/>
                        </w:tcBorders>
                      </w:tcPr>
                      <w:p>
                        <w:pPr>
                          <w:pStyle w:val="TableParagraph"/>
                          <w:spacing w:before="100"/>
                          <w:ind w:right="136"/>
                          <w:rPr>
                            <w:sz w:val="14"/>
                          </w:rPr>
                        </w:pPr>
                        <w:r>
                          <w:rPr>
                            <w:w w:val="100"/>
                            <w:sz w:val="14"/>
                          </w:rPr>
                          <w:t>-</w:t>
                        </w:r>
                      </w:p>
                    </w:tc>
                    <w:tc>
                      <w:tcPr>
                        <w:tcW w:w="433" w:type="dxa"/>
                        <w:tcBorders>
                          <w:top w:val="nil"/>
                          <w:left w:val="nil"/>
                          <w:bottom w:val="nil"/>
                        </w:tcBorders>
                      </w:tcPr>
                      <w:p>
                        <w:pPr>
                          <w:pStyle w:val="TableParagraph"/>
                          <w:spacing w:before="100"/>
                          <w:ind w:right="58"/>
                          <w:rPr>
                            <w:sz w:val="14"/>
                          </w:rPr>
                        </w:pPr>
                        <w:r>
                          <w:rPr>
                            <w:w w:val="100"/>
                            <w:sz w:val="14"/>
                          </w:rPr>
                          <w:t>-</w:t>
                        </w:r>
                      </w:p>
                    </w:tc>
                  </w:tr>
                  <w:tr>
                    <w:trPr>
                      <w:trHeight w:val="355" w:hRule="exact"/>
                    </w:trPr>
                    <w:tc>
                      <w:tcPr>
                        <w:tcW w:w="674" w:type="dxa"/>
                        <w:tcBorders>
                          <w:top w:val="nil"/>
                          <w:bottom w:val="nil"/>
                        </w:tcBorders>
                      </w:tcPr>
                      <w:p>
                        <w:pPr>
                          <w:pStyle w:val="TableParagraph"/>
                          <w:spacing w:before="8"/>
                          <w:jc w:val="left"/>
                          <w:rPr>
                            <w:sz w:val="13"/>
                          </w:rPr>
                        </w:pPr>
                      </w:p>
                      <w:p>
                        <w:pPr>
                          <w:pStyle w:val="TableParagraph"/>
                          <w:ind w:right="67"/>
                          <w:rPr>
                            <w:sz w:val="14"/>
                          </w:rPr>
                        </w:pPr>
                        <w:r>
                          <w:rPr>
                            <w:sz w:val="14"/>
                          </w:rPr>
                          <w:t>58,207</w:t>
                        </w:r>
                      </w:p>
                    </w:tc>
                    <w:tc>
                      <w:tcPr>
                        <w:tcW w:w="623" w:type="dxa"/>
                        <w:tcBorders>
                          <w:top w:val="nil"/>
                          <w:bottom w:val="nil"/>
                          <w:right w:val="nil"/>
                        </w:tcBorders>
                      </w:tcPr>
                      <w:p>
                        <w:pPr>
                          <w:pStyle w:val="TableParagraph"/>
                          <w:spacing w:before="8"/>
                          <w:jc w:val="left"/>
                          <w:rPr>
                            <w:sz w:val="13"/>
                          </w:rPr>
                        </w:pPr>
                      </w:p>
                      <w:p>
                        <w:pPr>
                          <w:pStyle w:val="TableParagraph"/>
                          <w:ind w:right="136"/>
                          <w:rPr>
                            <w:sz w:val="14"/>
                          </w:rPr>
                        </w:pPr>
                        <w:r>
                          <w:rPr>
                            <w:w w:val="100"/>
                            <w:sz w:val="14"/>
                          </w:rPr>
                          <w:t>-</w:t>
                        </w:r>
                      </w:p>
                    </w:tc>
                    <w:tc>
                      <w:tcPr>
                        <w:tcW w:w="533" w:type="dxa"/>
                        <w:tcBorders>
                          <w:top w:val="nil"/>
                          <w:left w:val="nil"/>
                          <w:bottom w:val="nil"/>
                          <w:right w:val="nil"/>
                        </w:tcBorders>
                      </w:tcPr>
                      <w:p>
                        <w:pPr>
                          <w:pStyle w:val="TableParagraph"/>
                          <w:spacing w:before="8"/>
                          <w:jc w:val="left"/>
                          <w:rPr>
                            <w:sz w:val="13"/>
                          </w:rPr>
                        </w:pPr>
                      </w:p>
                      <w:p>
                        <w:pPr>
                          <w:pStyle w:val="TableParagraph"/>
                          <w:ind w:right="158"/>
                          <w:rPr>
                            <w:sz w:val="14"/>
                          </w:rPr>
                        </w:pPr>
                        <w:r>
                          <w:rPr>
                            <w:w w:val="100"/>
                            <w:sz w:val="14"/>
                          </w:rPr>
                          <w:t>-</w:t>
                        </w:r>
                      </w:p>
                    </w:tc>
                    <w:tc>
                      <w:tcPr>
                        <w:tcW w:w="533" w:type="dxa"/>
                        <w:tcBorders>
                          <w:top w:val="nil"/>
                          <w:left w:val="nil"/>
                          <w:bottom w:val="nil"/>
                          <w:right w:val="nil"/>
                        </w:tcBorders>
                      </w:tcPr>
                      <w:p>
                        <w:pPr>
                          <w:pStyle w:val="TableParagraph"/>
                          <w:spacing w:before="8"/>
                          <w:jc w:val="left"/>
                          <w:rPr>
                            <w:sz w:val="13"/>
                          </w:rPr>
                        </w:pPr>
                      </w:p>
                      <w:p>
                        <w:pPr>
                          <w:pStyle w:val="TableParagraph"/>
                          <w:ind w:right="136"/>
                          <w:rPr>
                            <w:sz w:val="14"/>
                          </w:rPr>
                        </w:pPr>
                        <w:r>
                          <w:rPr>
                            <w:w w:val="100"/>
                            <w:sz w:val="14"/>
                          </w:rPr>
                          <w:t>-</w:t>
                        </w:r>
                      </w:p>
                    </w:tc>
                    <w:tc>
                      <w:tcPr>
                        <w:tcW w:w="442" w:type="dxa"/>
                        <w:tcBorders>
                          <w:top w:val="nil"/>
                          <w:left w:val="nil"/>
                          <w:bottom w:val="nil"/>
                        </w:tcBorders>
                      </w:tcPr>
                      <w:p>
                        <w:pPr>
                          <w:pStyle w:val="TableParagraph"/>
                          <w:spacing w:before="8"/>
                          <w:jc w:val="left"/>
                          <w:rPr>
                            <w:sz w:val="13"/>
                          </w:rPr>
                        </w:pPr>
                      </w:p>
                      <w:p>
                        <w:pPr>
                          <w:pStyle w:val="TableParagraph"/>
                          <w:ind w:right="67"/>
                          <w:rPr>
                            <w:sz w:val="14"/>
                          </w:rPr>
                        </w:pPr>
                        <w:r>
                          <w:rPr>
                            <w:w w:val="100"/>
                            <w:sz w:val="14"/>
                          </w:rPr>
                          <w:t>-</w:t>
                        </w:r>
                      </w:p>
                    </w:tc>
                    <w:tc>
                      <w:tcPr>
                        <w:tcW w:w="623" w:type="dxa"/>
                        <w:tcBorders>
                          <w:top w:val="nil"/>
                          <w:bottom w:val="nil"/>
                          <w:right w:val="nil"/>
                        </w:tcBorders>
                      </w:tcPr>
                      <w:p>
                        <w:pPr>
                          <w:pStyle w:val="TableParagraph"/>
                          <w:spacing w:before="8"/>
                          <w:jc w:val="left"/>
                          <w:rPr>
                            <w:sz w:val="13"/>
                          </w:rPr>
                        </w:pPr>
                      </w:p>
                      <w:p>
                        <w:pPr>
                          <w:pStyle w:val="TableParagraph"/>
                          <w:ind w:right="136"/>
                          <w:rPr>
                            <w:sz w:val="14"/>
                          </w:rPr>
                        </w:pPr>
                        <w:r>
                          <w:rPr>
                            <w:sz w:val="14"/>
                          </w:rPr>
                          <w:t>143</w:t>
                        </w:r>
                      </w:p>
                    </w:tc>
                    <w:tc>
                      <w:tcPr>
                        <w:tcW w:w="509" w:type="dxa"/>
                        <w:tcBorders>
                          <w:top w:val="nil"/>
                          <w:left w:val="nil"/>
                          <w:bottom w:val="nil"/>
                          <w:right w:val="nil"/>
                        </w:tcBorders>
                      </w:tcPr>
                      <w:p>
                        <w:pPr>
                          <w:pStyle w:val="TableParagraph"/>
                          <w:spacing w:before="8"/>
                          <w:jc w:val="left"/>
                          <w:rPr>
                            <w:sz w:val="13"/>
                          </w:rPr>
                        </w:pPr>
                      </w:p>
                      <w:p>
                        <w:pPr>
                          <w:pStyle w:val="TableParagraph"/>
                          <w:ind w:right="135"/>
                          <w:rPr>
                            <w:sz w:val="14"/>
                          </w:rPr>
                        </w:pPr>
                        <w:r>
                          <w:rPr>
                            <w:sz w:val="14"/>
                          </w:rPr>
                          <w:t>143</w:t>
                        </w:r>
                      </w:p>
                    </w:tc>
                    <w:tc>
                      <w:tcPr>
                        <w:tcW w:w="556" w:type="dxa"/>
                        <w:tcBorders>
                          <w:top w:val="nil"/>
                          <w:left w:val="nil"/>
                          <w:bottom w:val="nil"/>
                          <w:right w:val="nil"/>
                        </w:tcBorders>
                      </w:tcPr>
                      <w:p>
                        <w:pPr>
                          <w:pStyle w:val="TableParagraph"/>
                          <w:spacing w:before="8"/>
                          <w:jc w:val="left"/>
                          <w:rPr>
                            <w:sz w:val="13"/>
                          </w:rPr>
                        </w:pPr>
                      </w:p>
                      <w:p>
                        <w:pPr>
                          <w:pStyle w:val="TableParagraph"/>
                          <w:ind w:left="137"/>
                          <w:jc w:val="left"/>
                          <w:rPr>
                            <w:sz w:val="14"/>
                          </w:rPr>
                        </w:pPr>
                        <w:r>
                          <w:rPr>
                            <w:sz w:val="14"/>
                          </w:rPr>
                          <w:t>(143)</w:t>
                        </w:r>
                      </w:p>
                    </w:tc>
                    <w:tc>
                      <w:tcPr>
                        <w:tcW w:w="442" w:type="dxa"/>
                        <w:tcBorders>
                          <w:top w:val="nil"/>
                          <w:left w:val="nil"/>
                          <w:bottom w:val="nil"/>
                        </w:tcBorders>
                      </w:tcPr>
                      <w:p>
                        <w:pPr>
                          <w:pStyle w:val="TableParagraph"/>
                          <w:spacing w:before="8"/>
                          <w:jc w:val="left"/>
                          <w:rPr>
                            <w:sz w:val="13"/>
                          </w:rPr>
                        </w:pPr>
                      </w:p>
                      <w:p>
                        <w:pPr>
                          <w:pStyle w:val="TableParagraph"/>
                          <w:ind w:right="20"/>
                          <w:rPr>
                            <w:sz w:val="14"/>
                          </w:rPr>
                        </w:pPr>
                        <w:r>
                          <w:rPr>
                            <w:sz w:val="14"/>
                          </w:rPr>
                          <w:t>(143)</w:t>
                        </w:r>
                      </w:p>
                    </w:tc>
                    <w:tc>
                      <w:tcPr>
                        <w:tcW w:w="600" w:type="dxa"/>
                        <w:tcBorders>
                          <w:top w:val="nil"/>
                          <w:bottom w:val="nil"/>
                          <w:right w:val="nil"/>
                        </w:tcBorders>
                      </w:tcPr>
                      <w:p>
                        <w:pPr>
                          <w:pStyle w:val="TableParagraph"/>
                          <w:spacing w:before="8"/>
                          <w:jc w:val="left"/>
                          <w:rPr>
                            <w:sz w:val="13"/>
                          </w:rPr>
                        </w:pPr>
                      </w:p>
                      <w:p>
                        <w:pPr>
                          <w:pStyle w:val="TableParagraph"/>
                          <w:ind w:right="112"/>
                          <w:rPr>
                            <w:sz w:val="14"/>
                          </w:rPr>
                        </w:pPr>
                        <w:r>
                          <w:rPr>
                            <w:w w:val="100"/>
                            <w:sz w:val="14"/>
                          </w:rPr>
                          <w:t>-</w:t>
                        </w:r>
                      </w:p>
                    </w:tc>
                    <w:tc>
                      <w:tcPr>
                        <w:tcW w:w="673" w:type="dxa"/>
                        <w:tcBorders>
                          <w:top w:val="nil"/>
                          <w:left w:val="nil"/>
                          <w:bottom w:val="nil"/>
                          <w:right w:val="nil"/>
                        </w:tcBorders>
                      </w:tcPr>
                      <w:p>
                        <w:pPr>
                          <w:pStyle w:val="TableParagraph"/>
                          <w:spacing w:before="8"/>
                          <w:jc w:val="left"/>
                          <w:rPr>
                            <w:sz w:val="13"/>
                          </w:rPr>
                        </w:pPr>
                      </w:p>
                      <w:p>
                        <w:pPr>
                          <w:pStyle w:val="TableParagraph"/>
                          <w:ind w:right="275"/>
                          <w:rPr>
                            <w:sz w:val="14"/>
                          </w:rPr>
                        </w:pPr>
                        <w:r>
                          <w:rPr>
                            <w:w w:val="100"/>
                            <w:sz w:val="14"/>
                          </w:rPr>
                          <w:t>-</w:t>
                        </w:r>
                      </w:p>
                    </w:tc>
                    <w:tc>
                      <w:tcPr>
                        <w:tcW w:w="416" w:type="dxa"/>
                        <w:tcBorders>
                          <w:top w:val="nil"/>
                          <w:left w:val="nil"/>
                          <w:bottom w:val="nil"/>
                          <w:right w:val="nil"/>
                        </w:tcBorders>
                      </w:tcPr>
                      <w:p>
                        <w:pPr>
                          <w:pStyle w:val="TableParagraph"/>
                          <w:spacing w:before="8"/>
                          <w:jc w:val="left"/>
                          <w:rPr>
                            <w:sz w:val="13"/>
                          </w:rPr>
                        </w:pPr>
                      </w:p>
                      <w:p>
                        <w:pPr>
                          <w:pStyle w:val="TableParagraph"/>
                          <w:ind w:right="136"/>
                          <w:rPr>
                            <w:sz w:val="14"/>
                          </w:rPr>
                        </w:pPr>
                        <w:r>
                          <w:rPr>
                            <w:w w:val="100"/>
                            <w:sz w:val="14"/>
                          </w:rPr>
                          <w:t>-</w:t>
                        </w:r>
                      </w:p>
                    </w:tc>
                    <w:tc>
                      <w:tcPr>
                        <w:tcW w:w="433" w:type="dxa"/>
                        <w:tcBorders>
                          <w:top w:val="nil"/>
                          <w:left w:val="nil"/>
                          <w:bottom w:val="nil"/>
                        </w:tcBorders>
                      </w:tcPr>
                      <w:p>
                        <w:pPr>
                          <w:pStyle w:val="TableParagraph"/>
                          <w:spacing w:before="8"/>
                          <w:jc w:val="left"/>
                          <w:rPr>
                            <w:sz w:val="13"/>
                          </w:rPr>
                        </w:pPr>
                      </w:p>
                      <w:p>
                        <w:pPr>
                          <w:pStyle w:val="TableParagraph"/>
                          <w:ind w:right="58"/>
                          <w:rPr>
                            <w:sz w:val="14"/>
                          </w:rPr>
                        </w:pPr>
                        <w:r>
                          <w:rPr>
                            <w:w w:val="100"/>
                            <w:sz w:val="14"/>
                          </w:rPr>
                          <w:t>-</w:t>
                        </w:r>
                      </w:p>
                    </w:tc>
                  </w:tr>
                  <w:tr>
                    <w:trPr>
                      <w:trHeight w:val="218" w:hRule="exact"/>
                    </w:trPr>
                    <w:tc>
                      <w:tcPr>
                        <w:tcW w:w="674" w:type="dxa"/>
                        <w:tcBorders>
                          <w:top w:val="nil"/>
                          <w:bottom w:val="nil"/>
                        </w:tcBorders>
                      </w:tcPr>
                      <w:p>
                        <w:pPr>
                          <w:pStyle w:val="TableParagraph"/>
                          <w:spacing w:before="21"/>
                          <w:ind w:right="67"/>
                          <w:rPr>
                            <w:sz w:val="14"/>
                          </w:rPr>
                        </w:pPr>
                        <w:r>
                          <w:rPr>
                            <w:sz w:val="14"/>
                          </w:rPr>
                          <w:t>75,500</w:t>
                        </w:r>
                      </w:p>
                    </w:tc>
                    <w:tc>
                      <w:tcPr>
                        <w:tcW w:w="623" w:type="dxa"/>
                        <w:tcBorders>
                          <w:top w:val="nil"/>
                          <w:bottom w:val="nil"/>
                          <w:right w:val="nil"/>
                        </w:tcBorders>
                      </w:tcPr>
                      <w:p>
                        <w:pPr>
                          <w:pStyle w:val="TableParagraph"/>
                          <w:spacing w:before="21"/>
                          <w:ind w:left="250"/>
                          <w:jc w:val="left"/>
                          <w:rPr>
                            <w:sz w:val="14"/>
                          </w:rPr>
                        </w:pPr>
                        <w:r>
                          <w:rPr>
                            <w:sz w:val="14"/>
                          </w:rPr>
                          <w:t>189</w:t>
                        </w:r>
                      </w:p>
                    </w:tc>
                    <w:tc>
                      <w:tcPr>
                        <w:tcW w:w="533" w:type="dxa"/>
                        <w:tcBorders>
                          <w:top w:val="nil"/>
                          <w:left w:val="nil"/>
                          <w:bottom w:val="nil"/>
                          <w:right w:val="nil"/>
                        </w:tcBorders>
                      </w:tcPr>
                      <w:p>
                        <w:pPr>
                          <w:pStyle w:val="TableParagraph"/>
                          <w:spacing w:before="21"/>
                          <w:ind w:right="158"/>
                          <w:rPr>
                            <w:sz w:val="14"/>
                          </w:rPr>
                        </w:pPr>
                        <w:r>
                          <w:rPr>
                            <w:sz w:val="14"/>
                          </w:rPr>
                          <w:t>189</w:t>
                        </w:r>
                      </w:p>
                    </w:tc>
                    <w:tc>
                      <w:tcPr>
                        <w:tcW w:w="533" w:type="dxa"/>
                        <w:tcBorders>
                          <w:top w:val="nil"/>
                          <w:left w:val="nil"/>
                          <w:bottom w:val="nil"/>
                          <w:right w:val="nil"/>
                        </w:tcBorders>
                      </w:tcPr>
                      <w:p>
                        <w:pPr>
                          <w:pStyle w:val="TableParagraph"/>
                          <w:spacing w:before="21"/>
                          <w:ind w:right="89"/>
                          <w:rPr>
                            <w:sz w:val="14"/>
                          </w:rPr>
                        </w:pPr>
                        <w:r>
                          <w:rPr>
                            <w:sz w:val="14"/>
                          </w:rPr>
                          <w:t>(189)</w:t>
                        </w:r>
                      </w:p>
                    </w:tc>
                    <w:tc>
                      <w:tcPr>
                        <w:tcW w:w="442" w:type="dxa"/>
                        <w:tcBorders>
                          <w:top w:val="nil"/>
                          <w:left w:val="nil"/>
                          <w:bottom w:val="nil"/>
                        </w:tcBorders>
                      </w:tcPr>
                      <w:p>
                        <w:pPr>
                          <w:pStyle w:val="TableParagraph"/>
                          <w:spacing w:before="21"/>
                          <w:ind w:right="20"/>
                          <w:rPr>
                            <w:sz w:val="14"/>
                          </w:rPr>
                        </w:pPr>
                        <w:r>
                          <w:rPr>
                            <w:sz w:val="14"/>
                          </w:rPr>
                          <w:t>(189)</w:t>
                        </w:r>
                      </w:p>
                    </w:tc>
                    <w:tc>
                      <w:tcPr>
                        <w:tcW w:w="623" w:type="dxa"/>
                        <w:tcBorders>
                          <w:top w:val="nil"/>
                          <w:bottom w:val="nil"/>
                          <w:right w:val="nil"/>
                        </w:tcBorders>
                      </w:tcPr>
                      <w:p>
                        <w:pPr>
                          <w:pStyle w:val="TableParagraph"/>
                          <w:spacing w:before="21"/>
                          <w:ind w:right="136"/>
                          <w:rPr>
                            <w:sz w:val="14"/>
                          </w:rPr>
                        </w:pPr>
                        <w:r>
                          <w:rPr>
                            <w:w w:val="100"/>
                            <w:sz w:val="14"/>
                          </w:rPr>
                          <w:t>-</w:t>
                        </w:r>
                      </w:p>
                    </w:tc>
                    <w:tc>
                      <w:tcPr>
                        <w:tcW w:w="509" w:type="dxa"/>
                        <w:tcBorders>
                          <w:top w:val="nil"/>
                          <w:left w:val="nil"/>
                          <w:bottom w:val="nil"/>
                          <w:right w:val="nil"/>
                        </w:tcBorders>
                      </w:tcPr>
                      <w:p>
                        <w:pPr>
                          <w:pStyle w:val="TableParagraph"/>
                          <w:spacing w:before="21"/>
                          <w:ind w:right="135"/>
                          <w:rPr>
                            <w:sz w:val="14"/>
                          </w:rPr>
                        </w:pPr>
                        <w:r>
                          <w:rPr>
                            <w:w w:val="100"/>
                            <w:sz w:val="14"/>
                          </w:rPr>
                          <w:t>-</w:t>
                        </w:r>
                      </w:p>
                    </w:tc>
                    <w:tc>
                      <w:tcPr>
                        <w:tcW w:w="556" w:type="dxa"/>
                        <w:tcBorders>
                          <w:top w:val="nil"/>
                          <w:left w:val="nil"/>
                          <w:bottom w:val="nil"/>
                          <w:right w:val="nil"/>
                        </w:tcBorders>
                      </w:tcPr>
                      <w:p>
                        <w:pPr>
                          <w:pStyle w:val="TableParagraph"/>
                          <w:spacing w:before="21"/>
                          <w:ind w:right="136"/>
                          <w:rPr>
                            <w:sz w:val="14"/>
                          </w:rPr>
                        </w:pPr>
                        <w:r>
                          <w:rPr>
                            <w:w w:val="100"/>
                            <w:sz w:val="14"/>
                          </w:rPr>
                          <w:t>-</w:t>
                        </w:r>
                      </w:p>
                    </w:tc>
                    <w:tc>
                      <w:tcPr>
                        <w:tcW w:w="442" w:type="dxa"/>
                        <w:tcBorders>
                          <w:top w:val="nil"/>
                          <w:left w:val="nil"/>
                          <w:bottom w:val="nil"/>
                        </w:tcBorders>
                      </w:tcPr>
                      <w:p>
                        <w:pPr>
                          <w:pStyle w:val="TableParagraph"/>
                          <w:spacing w:before="21"/>
                          <w:ind w:right="67"/>
                          <w:rPr>
                            <w:sz w:val="14"/>
                          </w:rPr>
                        </w:pPr>
                        <w:r>
                          <w:rPr>
                            <w:w w:val="100"/>
                            <w:sz w:val="14"/>
                          </w:rPr>
                          <w:t>-</w:t>
                        </w:r>
                      </w:p>
                    </w:tc>
                    <w:tc>
                      <w:tcPr>
                        <w:tcW w:w="600" w:type="dxa"/>
                        <w:tcBorders>
                          <w:top w:val="nil"/>
                          <w:bottom w:val="nil"/>
                          <w:right w:val="nil"/>
                        </w:tcBorders>
                      </w:tcPr>
                      <w:p>
                        <w:pPr>
                          <w:pStyle w:val="TableParagraph"/>
                          <w:spacing w:before="21"/>
                          <w:ind w:right="112"/>
                          <w:rPr>
                            <w:sz w:val="14"/>
                          </w:rPr>
                        </w:pPr>
                        <w:r>
                          <w:rPr>
                            <w:w w:val="100"/>
                            <w:sz w:val="14"/>
                          </w:rPr>
                          <w:t>-</w:t>
                        </w:r>
                      </w:p>
                    </w:tc>
                    <w:tc>
                      <w:tcPr>
                        <w:tcW w:w="673" w:type="dxa"/>
                        <w:tcBorders>
                          <w:top w:val="nil"/>
                          <w:left w:val="nil"/>
                          <w:bottom w:val="nil"/>
                          <w:right w:val="nil"/>
                        </w:tcBorders>
                      </w:tcPr>
                      <w:p>
                        <w:pPr>
                          <w:pStyle w:val="TableParagraph"/>
                          <w:spacing w:before="21"/>
                          <w:ind w:right="275"/>
                          <w:rPr>
                            <w:sz w:val="14"/>
                          </w:rPr>
                        </w:pPr>
                        <w:r>
                          <w:rPr>
                            <w:w w:val="100"/>
                            <w:sz w:val="14"/>
                          </w:rPr>
                          <w:t>-</w:t>
                        </w:r>
                      </w:p>
                    </w:tc>
                    <w:tc>
                      <w:tcPr>
                        <w:tcW w:w="416" w:type="dxa"/>
                        <w:tcBorders>
                          <w:top w:val="nil"/>
                          <w:left w:val="nil"/>
                          <w:bottom w:val="nil"/>
                          <w:right w:val="nil"/>
                        </w:tcBorders>
                      </w:tcPr>
                      <w:p>
                        <w:pPr>
                          <w:pStyle w:val="TableParagraph"/>
                          <w:spacing w:before="21"/>
                          <w:ind w:right="136"/>
                          <w:rPr>
                            <w:sz w:val="14"/>
                          </w:rPr>
                        </w:pPr>
                        <w:r>
                          <w:rPr>
                            <w:w w:val="100"/>
                            <w:sz w:val="14"/>
                          </w:rPr>
                          <w:t>-</w:t>
                        </w:r>
                      </w:p>
                    </w:tc>
                    <w:tc>
                      <w:tcPr>
                        <w:tcW w:w="433" w:type="dxa"/>
                        <w:tcBorders>
                          <w:top w:val="nil"/>
                          <w:left w:val="nil"/>
                          <w:bottom w:val="nil"/>
                        </w:tcBorders>
                      </w:tcPr>
                      <w:p>
                        <w:pPr>
                          <w:pStyle w:val="TableParagraph"/>
                          <w:spacing w:before="21"/>
                          <w:ind w:right="58"/>
                          <w:rPr>
                            <w:sz w:val="14"/>
                          </w:rPr>
                        </w:pPr>
                        <w:r>
                          <w:rPr>
                            <w:w w:val="100"/>
                            <w:sz w:val="14"/>
                          </w:rPr>
                          <w:t>-</w:t>
                        </w:r>
                      </w:p>
                    </w:tc>
                  </w:tr>
                  <w:tr>
                    <w:trPr>
                      <w:trHeight w:val="219" w:hRule="exact"/>
                    </w:trPr>
                    <w:tc>
                      <w:tcPr>
                        <w:tcW w:w="674" w:type="dxa"/>
                        <w:tcBorders>
                          <w:top w:val="nil"/>
                        </w:tcBorders>
                      </w:tcPr>
                      <w:p>
                        <w:pPr>
                          <w:pStyle w:val="TableParagraph"/>
                          <w:spacing w:before="21"/>
                          <w:ind w:right="67"/>
                          <w:rPr>
                            <w:sz w:val="14"/>
                          </w:rPr>
                        </w:pPr>
                        <w:r>
                          <w:rPr>
                            <w:sz w:val="14"/>
                          </w:rPr>
                          <w:t>54,737</w:t>
                        </w:r>
                      </w:p>
                    </w:tc>
                    <w:tc>
                      <w:tcPr>
                        <w:tcW w:w="623" w:type="dxa"/>
                        <w:tcBorders>
                          <w:top w:val="nil"/>
                          <w:right w:val="nil"/>
                        </w:tcBorders>
                      </w:tcPr>
                      <w:p>
                        <w:pPr>
                          <w:pStyle w:val="TableParagraph"/>
                          <w:spacing w:before="21"/>
                          <w:ind w:right="136"/>
                          <w:rPr>
                            <w:sz w:val="14"/>
                          </w:rPr>
                        </w:pPr>
                        <w:r>
                          <w:rPr>
                            <w:w w:val="100"/>
                            <w:sz w:val="14"/>
                          </w:rPr>
                          <w:t>-</w:t>
                        </w:r>
                      </w:p>
                    </w:tc>
                    <w:tc>
                      <w:tcPr>
                        <w:tcW w:w="533" w:type="dxa"/>
                        <w:tcBorders>
                          <w:top w:val="nil"/>
                          <w:left w:val="nil"/>
                          <w:right w:val="nil"/>
                        </w:tcBorders>
                      </w:tcPr>
                      <w:p>
                        <w:pPr>
                          <w:pStyle w:val="TableParagraph"/>
                          <w:spacing w:before="21"/>
                          <w:ind w:right="158"/>
                          <w:rPr>
                            <w:sz w:val="14"/>
                          </w:rPr>
                        </w:pPr>
                        <w:r>
                          <w:rPr>
                            <w:w w:val="100"/>
                            <w:sz w:val="14"/>
                          </w:rPr>
                          <w:t>-</w:t>
                        </w:r>
                      </w:p>
                    </w:tc>
                    <w:tc>
                      <w:tcPr>
                        <w:tcW w:w="533" w:type="dxa"/>
                        <w:tcBorders>
                          <w:top w:val="nil"/>
                          <w:left w:val="nil"/>
                          <w:right w:val="nil"/>
                        </w:tcBorders>
                      </w:tcPr>
                      <w:p>
                        <w:pPr>
                          <w:pStyle w:val="TableParagraph"/>
                          <w:spacing w:before="21"/>
                          <w:ind w:right="136"/>
                          <w:rPr>
                            <w:sz w:val="14"/>
                          </w:rPr>
                        </w:pPr>
                        <w:r>
                          <w:rPr>
                            <w:w w:val="100"/>
                            <w:sz w:val="14"/>
                          </w:rPr>
                          <w:t>-</w:t>
                        </w:r>
                      </w:p>
                    </w:tc>
                    <w:tc>
                      <w:tcPr>
                        <w:tcW w:w="442" w:type="dxa"/>
                        <w:tcBorders>
                          <w:top w:val="nil"/>
                          <w:left w:val="nil"/>
                        </w:tcBorders>
                      </w:tcPr>
                      <w:p>
                        <w:pPr>
                          <w:pStyle w:val="TableParagraph"/>
                          <w:spacing w:before="21"/>
                          <w:ind w:right="67"/>
                          <w:rPr>
                            <w:sz w:val="14"/>
                          </w:rPr>
                        </w:pPr>
                        <w:r>
                          <w:rPr>
                            <w:w w:val="100"/>
                            <w:sz w:val="14"/>
                          </w:rPr>
                          <w:t>-</w:t>
                        </w:r>
                      </w:p>
                    </w:tc>
                    <w:tc>
                      <w:tcPr>
                        <w:tcW w:w="623" w:type="dxa"/>
                        <w:tcBorders>
                          <w:top w:val="nil"/>
                          <w:right w:val="nil"/>
                        </w:tcBorders>
                      </w:tcPr>
                      <w:p>
                        <w:pPr>
                          <w:pStyle w:val="TableParagraph"/>
                          <w:spacing w:before="21"/>
                          <w:ind w:right="136"/>
                          <w:rPr>
                            <w:sz w:val="14"/>
                          </w:rPr>
                        </w:pPr>
                        <w:r>
                          <w:rPr>
                            <w:w w:val="100"/>
                            <w:sz w:val="14"/>
                          </w:rPr>
                          <w:t>-</w:t>
                        </w:r>
                      </w:p>
                    </w:tc>
                    <w:tc>
                      <w:tcPr>
                        <w:tcW w:w="509" w:type="dxa"/>
                        <w:tcBorders>
                          <w:top w:val="nil"/>
                          <w:left w:val="nil"/>
                          <w:right w:val="nil"/>
                        </w:tcBorders>
                      </w:tcPr>
                      <w:p>
                        <w:pPr>
                          <w:pStyle w:val="TableParagraph"/>
                          <w:spacing w:before="21"/>
                          <w:ind w:right="135"/>
                          <w:rPr>
                            <w:sz w:val="14"/>
                          </w:rPr>
                        </w:pPr>
                        <w:r>
                          <w:rPr>
                            <w:w w:val="100"/>
                            <w:sz w:val="14"/>
                          </w:rPr>
                          <w:t>-</w:t>
                        </w:r>
                      </w:p>
                    </w:tc>
                    <w:tc>
                      <w:tcPr>
                        <w:tcW w:w="556" w:type="dxa"/>
                        <w:tcBorders>
                          <w:top w:val="nil"/>
                          <w:left w:val="nil"/>
                          <w:right w:val="nil"/>
                        </w:tcBorders>
                      </w:tcPr>
                      <w:p>
                        <w:pPr>
                          <w:pStyle w:val="TableParagraph"/>
                          <w:spacing w:before="21"/>
                          <w:ind w:right="136"/>
                          <w:rPr>
                            <w:sz w:val="14"/>
                          </w:rPr>
                        </w:pPr>
                        <w:r>
                          <w:rPr>
                            <w:w w:val="100"/>
                            <w:sz w:val="14"/>
                          </w:rPr>
                          <w:t>-</w:t>
                        </w:r>
                      </w:p>
                    </w:tc>
                    <w:tc>
                      <w:tcPr>
                        <w:tcW w:w="442" w:type="dxa"/>
                        <w:tcBorders>
                          <w:top w:val="nil"/>
                          <w:left w:val="nil"/>
                        </w:tcBorders>
                      </w:tcPr>
                      <w:p>
                        <w:pPr>
                          <w:pStyle w:val="TableParagraph"/>
                          <w:spacing w:before="21"/>
                          <w:ind w:right="67"/>
                          <w:rPr>
                            <w:sz w:val="14"/>
                          </w:rPr>
                        </w:pPr>
                        <w:r>
                          <w:rPr>
                            <w:w w:val="100"/>
                            <w:sz w:val="14"/>
                          </w:rPr>
                          <w:t>-</w:t>
                        </w:r>
                      </w:p>
                    </w:tc>
                    <w:tc>
                      <w:tcPr>
                        <w:tcW w:w="600" w:type="dxa"/>
                        <w:tcBorders>
                          <w:top w:val="nil"/>
                          <w:right w:val="nil"/>
                        </w:tcBorders>
                      </w:tcPr>
                      <w:p>
                        <w:pPr>
                          <w:pStyle w:val="TableParagraph"/>
                          <w:spacing w:before="21"/>
                          <w:ind w:right="112"/>
                          <w:rPr>
                            <w:sz w:val="14"/>
                          </w:rPr>
                        </w:pPr>
                        <w:r>
                          <w:rPr>
                            <w:w w:val="100"/>
                            <w:sz w:val="14"/>
                          </w:rPr>
                          <w:t>-</w:t>
                        </w:r>
                      </w:p>
                    </w:tc>
                    <w:tc>
                      <w:tcPr>
                        <w:tcW w:w="673" w:type="dxa"/>
                        <w:tcBorders>
                          <w:top w:val="nil"/>
                          <w:left w:val="nil"/>
                          <w:right w:val="nil"/>
                        </w:tcBorders>
                      </w:tcPr>
                      <w:p>
                        <w:pPr>
                          <w:pStyle w:val="TableParagraph"/>
                          <w:spacing w:before="21"/>
                          <w:ind w:right="275"/>
                          <w:rPr>
                            <w:sz w:val="14"/>
                          </w:rPr>
                        </w:pPr>
                        <w:r>
                          <w:rPr>
                            <w:w w:val="100"/>
                            <w:sz w:val="14"/>
                          </w:rPr>
                          <w:t>-</w:t>
                        </w:r>
                      </w:p>
                    </w:tc>
                    <w:tc>
                      <w:tcPr>
                        <w:tcW w:w="416" w:type="dxa"/>
                        <w:tcBorders>
                          <w:top w:val="nil"/>
                          <w:left w:val="nil"/>
                          <w:right w:val="nil"/>
                        </w:tcBorders>
                      </w:tcPr>
                      <w:p>
                        <w:pPr>
                          <w:pStyle w:val="TableParagraph"/>
                          <w:spacing w:before="21"/>
                          <w:ind w:right="136"/>
                          <w:rPr>
                            <w:sz w:val="14"/>
                          </w:rPr>
                        </w:pPr>
                        <w:r>
                          <w:rPr>
                            <w:w w:val="100"/>
                            <w:sz w:val="14"/>
                          </w:rPr>
                          <w:t>-</w:t>
                        </w:r>
                      </w:p>
                    </w:tc>
                    <w:tc>
                      <w:tcPr>
                        <w:tcW w:w="433" w:type="dxa"/>
                        <w:tcBorders>
                          <w:top w:val="nil"/>
                          <w:left w:val="nil"/>
                        </w:tcBorders>
                      </w:tcPr>
                      <w:p>
                        <w:pPr>
                          <w:pStyle w:val="TableParagraph"/>
                          <w:spacing w:before="21"/>
                          <w:ind w:right="58"/>
                          <w:rPr>
                            <w:sz w:val="14"/>
                          </w:rPr>
                        </w:pPr>
                        <w:r>
                          <w:rPr>
                            <w:w w:val="100"/>
                            <w:sz w:val="14"/>
                          </w:rPr>
                          <w:t>-</w:t>
                        </w:r>
                      </w:p>
                    </w:tc>
                  </w:tr>
                  <w:tr>
                    <w:trPr>
                      <w:trHeight w:val="238" w:hRule="exact"/>
                    </w:trPr>
                    <w:tc>
                      <w:tcPr>
                        <w:tcW w:w="674" w:type="dxa"/>
                      </w:tcPr>
                      <w:p>
                        <w:pPr/>
                      </w:p>
                    </w:tc>
                    <w:tc>
                      <w:tcPr>
                        <w:tcW w:w="623" w:type="dxa"/>
                        <w:tcBorders>
                          <w:right w:val="nil"/>
                        </w:tcBorders>
                      </w:tcPr>
                      <w:p>
                        <w:pPr>
                          <w:pStyle w:val="TableParagraph"/>
                          <w:spacing w:before="39"/>
                          <w:ind w:right="89"/>
                          <w:rPr>
                            <w:sz w:val="14"/>
                          </w:rPr>
                        </w:pPr>
                        <w:r>
                          <w:rPr>
                            <w:sz w:val="14"/>
                          </w:rPr>
                          <w:t>(158)</w:t>
                        </w:r>
                      </w:p>
                    </w:tc>
                    <w:tc>
                      <w:tcPr>
                        <w:tcW w:w="533" w:type="dxa"/>
                        <w:tcBorders>
                          <w:left w:val="nil"/>
                          <w:right w:val="nil"/>
                        </w:tcBorders>
                      </w:tcPr>
                      <w:p>
                        <w:pPr>
                          <w:pStyle w:val="TableParagraph"/>
                          <w:spacing w:before="39"/>
                          <w:ind w:right="112"/>
                          <w:rPr>
                            <w:sz w:val="14"/>
                          </w:rPr>
                        </w:pPr>
                        <w:r>
                          <w:rPr>
                            <w:sz w:val="14"/>
                          </w:rPr>
                          <w:t>(158)</w:t>
                        </w:r>
                      </w:p>
                    </w:tc>
                    <w:tc>
                      <w:tcPr>
                        <w:tcW w:w="533" w:type="dxa"/>
                        <w:tcBorders>
                          <w:left w:val="nil"/>
                          <w:right w:val="nil"/>
                        </w:tcBorders>
                      </w:tcPr>
                      <w:p>
                        <w:pPr>
                          <w:pStyle w:val="TableParagraph"/>
                          <w:spacing w:before="39"/>
                          <w:ind w:right="136"/>
                          <w:rPr>
                            <w:sz w:val="14"/>
                          </w:rPr>
                        </w:pPr>
                        <w:r>
                          <w:rPr>
                            <w:sz w:val="14"/>
                          </w:rPr>
                          <w:t>158</w:t>
                        </w:r>
                      </w:p>
                    </w:tc>
                    <w:tc>
                      <w:tcPr>
                        <w:tcW w:w="442" w:type="dxa"/>
                        <w:tcBorders>
                          <w:left w:val="nil"/>
                        </w:tcBorders>
                      </w:tcPr>
                      <w:p>
                        <w:pPr>
                          <w:pStyle w:val="TableParagraph"/>
                          <w:spacing w:before="39"/>
                          <w:ind w:right="67"/>
                          <w:rPr>
                            <w:sz w:val="14"/>
                          </w:rPr>
                        </w:pPr>
                        <w:r>
                          <w:rPr>
                            <w:sz w:val="14"/>
                          </w:rPr>
                          <w:t>158</w:t>
                        </w:r>
                      </w:p>
                    </w:tc>
                    <w:tc>
                      <w:tcPr>
                        <w:tcW w:w="623" w:type="dxa"/>
                        <w:tcBorders>
                          <w:right w:val="nil"/>
                        </w:tcBorders>
                      </w:tcPr>
                      <w:p>
                        <w:pPr>
                          <w:pStyle w:val="TableParagraph"/>
                          <w:spacing w:before="39"/>
                          <w:ind w:right="136"/>
                          <w:rPr>
                            <w:sz w:val="14"/>
                          </w:rPr>
                        </w:pPr>
                        <w:r>
                          <w:rPr>
                            <w:sz w:val="14"/>
                          </w:rPr>
                          <w:t>143</w:t>
                        </w:r>
                      </w:p>
                    </w:tc>
                    <w:tc>
                      <w:tcPr>
                        <w:tcW w:w="509" w:type="dxa"/>
                        <w:tcBorders>
                          <w:left w:val="nil"/>
                          <w:right w:val="nil"/>
                        </w:tcBorders>
                      </w:tcPr>
                      <w:p>
                        <w:pPr>
                          <w:pStyle w:val="TableParagraph"/>
                          <w:spacing w:before="39"/>
                          <w:ind w:right="135"/>
                          <w:rPr>
                            <w:sz w:val="14"/>
                          </w:rPr>
                        </w:pPr>
                        <w:r>
                          <w:rPr>
                            <w:sz w:val="14"/>
                          </w:rPr>
                          <w:t>143</w:t>
                        </w:r>
                      </w:p>
                    </w:tc>
                    <w:tc>
                      <w:tcPr>
                        <w:tcW w:w="556" w:type="dxa"/>
                        <w:tcBorders>
                          <w:left w:val="nil"/>
                          <w:right w:val="nil"/>
                        </w:tcBorders>
                      </w:tcPr>
                      <w:p>
                        <w:pPr>
                          <w:pStyle w:val="TableParagraph"/>
                          <w:spacing w:before="39"/>
                          <w:ind w:left="137"/>
                          <w:jc w:val="left"/>
                          <w:rPr>
                            <w:sz w:val="14"/>
                          </w:rPr>
                        </w:pPr>
                        <w:r>
                          <w:rPr>
                            <w:sz w:val="14"/>
                          </w:rPr>
                          <w:t>(143)</w:t>
                        </w:r>
                      </w:p>
                    </w:tc>
                    <w:tc>
                      <w:tcPr>
                        <w:tcW w:w="442" w:type="dxa"/>
                        <w:tcBorders>
                          <w:left w:val="nil"/>
                        </w:tcBorders>
                      </w:tcPr>
                      <w:p>
                        <w:pPr>
                          <w:pStyle w:val="TableParagraph"/>
                          <w:spacing w:before="39"/>
                          <w:ind w:right="20"/>
                          <w:rPr>
                            <w:sz w:val="14"/>
                          </w:rPr>
                        </w:pPr>
                        <w:r>
                          <w:rPr>
                            <w:sz w:val="14"/>
                          </w:rPr>
                          <w:t>(143)</w:t>
                        </w:r>
                      </w:p>
                    </w:tc>
                    <w:tc>
                      <w:tcPr>
                        <w:tcW w:w="600" w:type="dxa"/>
                        <w:tcBorders>
                          <w:right w:val="nil"/>
                        </w:tcBorders>
                      </w:tcPr>
                      <w:p>
                        <w:pPr>
                          <w:pStyle w:val="TableParagraph"/>
                          <w:spacing w:before="39"/>
                          <w:ind w:right="112"/>
                          <w:rPr>
                            <w:sz w:val="14"/>
                          </w:rPr>
                        </w:pPr>
                        <w:r>
                          <w:rPr>
                            <w:w w:val="100"/>
                            <w:sz w:val="14"/>
                          </w:rPr>
                          <w:t>-</w:t>
                        </w:r>
                      </w:p>
                    </w:tc>
                    <w:tc>
                      <w:tcPr>
                        <w:tcW w:w="673" w:type="dxa"/>
                        <w:tcBorders>
                          <w:left w:val="nil"/>
                          <w:right w:val="nil"/>
                        </w:tcBorders>
                      </w:tcPr>
                      <w:p>
                        <w:pPr>
                          <w:pStyle w:val="TableParagraph"/>
                          <w:spacing w:before="39"/>
                          <w:ind w:right="229"/>
                          <w:rPr>
                            <w:sz w:val="14"/>
                          </w:rPr>
                        </w:pPr>
                        <w:r>
                          <w:rPr>
                            <w:sz w:val="14"/>
                          </w:rPr>
                          <w:t>(792)</w:t>
                        </w:r>
                      </w:p>
                    </w:tc>
                    <w:tc>
                      <w:tcPr>
                        <w:tcW w:w="416" w:type="dxa"/>
                        <w:tcBorders>
                          <w:left w:val="nil"/>
                          <w:right w:val="nil"/>
                        </w:tcBorders>
                      </w:tcPr>
                      <w:p>
                        <w:pPr>
                          <w:pStyle w:val="TableParagraph"/>
                          <w:spacing w:before="39"/>
                          <w:ind w:right="136"/>
                          <w:rPr>
                            <w:sz w:val="14"/>
                          </w:rPr>
                        </w:pPr>
                        <w:r>
                          <w:rPr>
                            <w:w w:val="100"/>
                            <w:sz w:val="14"/>
                          </w:rPr>
                          <w:t>-</w:t>
                        </w:r>
                      </w:p>
                    </w:tc>
                    <w:tc>
                      <w:tcPr>
                        <w:tcW w:w="433" w:type="dxa"/>
                        <w:tcBorders>
                          <w:left w:val="nil"/>
                        </w:tcBorders>
                      </w:tcPr>
                      <w:p>
                        <w:pPr>
                          <w:pStyle w:val="TableParagraph"/>
                          <w:spacing w:before="39"/>
                          <w:ind w:right="58"/>
                          <w:rPr>
                            <w:sz w:val="14"/>
                          </w:rPr>
                        </w:pPr>
                        <w:r>
                          <w:rPr>
                            <w:sz w:val="14"/>
                          </w:rPr>
                          <w:t>792</w:t>
                        </w:r>
                      </w:p>
                    </w:tc>
                  </w:tr>
                </w:tbl>
                <w:p>
                  <w:pPr>
                    <w:pStyle w:val="BodyText"/>
                  </w:pPr>
                </w:p>
              </w:txbxContent>
            </v:textbox>
            <w10:wrap type="none"/>
          </v:shape>
        </w:pict>
      </w:r>
      <w:r>
        <w:rPr>
          <w:b/>
          <w:sz w:val="14"/>
        </w:rPr>
        <w:t>31 December 2015</w:t>
      </w:r>
    </w:p>
    <w:p>
      <w:pPr>
        <w:pStyle w:val="BodyText"/>
        <w:rPr>
          <w:b/>
          <w:sz w:val="20"/>
        </w:rPr>
      </w:pPr>
    </w:p>
    <w:p>
      <w:pPr>
        <w:pStyle w:val="BodyText"/>
        <w:rPr>
          <w:b/>
          <w:sz w:val="20"/>
        </w:rPr>
      </w:pPr>
    </w:p>
    <w:p>
      <w:pPr>
        <w:pStyle w:val="BodyText"/>
        <w:rPr>
          <w:b/>
          <w:sz w:val="20"/>
        </w:rPr>
      </w:pPr>
    </w:p>
    <w:p>
      <w:pPr>
        <w:pStyle w:val="BodyText"/>
        <w:spacing w:before="9"/>
        <w:rPr>
          <w:b/>
          <w:sz w:val="17"/>
        </w:rPr>
      </w:pPr>
    </w:p>
    <w:p>
      <w:pPr>
        <w:spacing w:before="0"/>
        <w:ind w:left="1857" w:right="0" w:firstLine="0"/>
        <w:jc w:val="left"/>
        <w:rPr>
          <w:b/>
          <w:sz w:val="14"/>
        </w:rPr>
      </w:pPr>
      <w:r>
        <w:rPr>
          <w:b/>
          <w:sz w:val="14"/>
        </w:rPr>
        <w:t>Financial assets</w:t>
      </w:r>
    </w:p>
    <w:p>
      <w:pPr>
        <w:spacing w:line="326" w:lineRule="auto" w:before="30"/>
        <w:ind w:left="1857" w:right="9191" w:firstLine="0"/>
        <w:jc w:val="left"/>
        <w:rPr>
          <w:sz w:val="14"/>
        </w:rPr>
      </w:pPr>
      <w:r>
        <w:rPr>
          <w:sz w:val="14"/>
        </w:rPr>
        <w:t>Cash and cash equivalents Receivables</w:t>
      </w:r>
    </w:p>
    <w:p>
      <w:pPr>
        <w:spacing w:before="0"/>
        <w:ind w:left="1857" w:right="9057" w:firstLine="0"/>
        <w:jc w:val="left"/>
        <w:rPr>
          <w:sz w:val="14"/>
        </w:rPr>
      </w:pPr>
      <w:r>
        <w:rPr>
          <w:sz w:val="14"/>
        </w:rPr>
        <w:t>Financial assets - available for</w:t>
      </w:r>
      <w:r>
        <w:rPr>
          <w:spacing w:val="1"/>
          <w:sz w:val="14"/>
        </w:rPr>
        <w:t> </w:t>
      </w:r>
      <w:r>
        <w:rPr>
          <w:sz w:val="14"/>
        </w:rPr>
        <w:t>sale</w:t>
      </w:r>
    </w:p>
    <w:p>
      <w:pPr>
        <w:spacing w:before="55"/>
        <w:ind w:left="1857" w:right="8999" w:firstLine="0"/>
        <w:jc w:val="left"/>
        <w:rPr>
          <w:sz w:val="14"/>
        </w:rPr>
      </w:pPr>
      <w:r>
        <w:rPr>
          <w:sz w:val="14"/>
        </w:rPr>
        <w:t>Financial assets - Held to maturity</w:t>
      </w:r>
    </w:p>
    <w:p>
      <w:pPr>
        <w:pStyle w:val="BodyText"/>
        <w:spacing w:before="2"/>
        <w:rPr>
          <w:sz w:val="12"/>
        </w:rPr>
      </w:pPr>
    </w:p>
    <w:p>
      <w:pPr>
        <w:spacing w:line="304" w:lineRule="auto" w:before="0"/>
        <w:ind w:left="1857" w:right="9282" w:firstLine="0"/>
        <w:jc w:val="left"/>
        <w:rPr>
          <w:sz w:val="14"/>
        </w:rPr>
      </w:pPr>
      <w:r>
        <w:rPr>
          <w:b/>
          <w:sz w:val="14"/>
        </w:rPr>
        <w:t>Financial liabilities </w:t>
      </w:r>
      <w:r>
        <w:rPr>
          <w:sz w:val="14"/>
        </w:rPr>
        <w:t>Trade and other payables Borrowings</w:t>
      </w:r>
    </w:p>
    <w:p>
      <w:pPr>
        <w:spacing w:before="15"/>
        <w:ind w:left="1857" w:right="0" w:firstLine="0"/>
        <w:jc w:val="left"/>
        <w:rPr>
          <w:sz w:val="14"/>
        </w:rPr>
      </w:pPr>
      <w:r>
        <w:rPr>
          <w:sz w:val="14"/>
        </w:rPr>
        <w:t>Other liabilities</w:t>
      </w:r>
    </w:p>
    <w:p>
      <w:pPr>
        <w:spacing w:before="76"/>
        <w:ind w:left="1857" w:right="0" w:firstLine="0"/>
        <w:jc w:val="left"/>
        <w:rPr>
          <w:sz w:val="14"/>
        </w:rPr>
      </w:pPr>
      <w:r>
        <w:rPr>
          <w:sz w:val="14"/>
        </w:rPr>
        <w:t>Total increase/(decrease)</w:t>
      </w:r>
    </w:p>
    <w:p>
      <w:pPr>
        <w:spacing w:after="0"/>
        <w:jc w:val="left"/>
        <w:rPr>
          <w:sz w:val="14"/>
        </w:rPr>
        <w:sectPr>
          <w:pgSz w:w="12750" w:h="17680"/>
          <w:pgMar w:header="0" w:footer="907" w:top="2640" w:bottom="1120" w:left="0" w:right="0"/>
        </w:sectPr>
      </w:pPr>
    </w:p>
    <w:p>
      <w:pPr>
        <w:pStyle w:val="BodyText"/>
        <w:rPr>
          <w:sz w:val="20"/>
        </w:rPr>
      </w:pPr>
    </w:p>
    <w:p>
      <w:pPr>
        <w:pStyle w:val="BodyText"/>
        <w:rPr>
          <w:sz w:val="20"/>
        </w:rPr>
      </w:pPr>
    </w:p>
    <w:p>
      <w:pPr>
        <w:pStyle w:val="BodyText"/>
        <w:spacing w:before="4"/>
      </w:pPr>
    </w:p>
    <w:p>
      <w:pPr>
        <w:pStyle w:val="Heading8"/>
        <w:tabs>
          <w:tab w:pos="2391" w:val="left" w:leader="none"/>
        </w:tabs>
        <w:ind w:left="1824"/>
      </w:pPr>
      <w:bookmarkStart w:name="(c) Credit risk" w:id="136"/>
      <w:bookmarkEnd w:id="136"/>
      <w:r>
        <w:rPr>
          <w:b w:val="0"/>
        </w:rPr>
      </w:r>
      <w:r>
        <w:rPr/>
        <w:t>35</w:t>
        <w:tab/>
        <w:t>Financial Risk Management (continued)</w:t>
      </w:r>
    </w:p>
    <w:p>
      <w:pPr>
        <w:pStyle w:val="BodyText"/>
        <w:spacing w:before="7"/>
        <w:rPr>
          <w:b/>
          <w:sz w:val="26"/>
        </w:rPr>
      </w:pPr>
    </w:p>
    <w:p>
      <w:pPr>
        <w:pStyle w:val="ListParagraph"/>
        <w:numPr>
          <w:ilvl w:val="0"/>
          <w:numId w:val="32"/>
        </w:numPr>
        <w:tabs>
          <w:tab w:pos="2392" w:val="left" w:leader="none"/>
        </w:tabs>
        <w:spacing w:line="240" w:lineRule="auto" w:before="0" w:after="0"/>
        <w:ind w:left="2391" w:right="0" w:hanging="566"/>
        <w:jc w:val="left"/>
        <w:rPr>
          <w:sz w:val="18"/>
        </w:rPr>
      </w:pPr>
      <w:r>
        <w:rPr>
          <w:sz w:val="18"/>
        </w:rPr>
        <w:t>Credit</w:t>
      </w:r>
      <w:r>
        <w:rPr>
          <w:spacing w:val="-11"/>
          <w:sz w:val="18"/>
        </w:rPr>
        <w:t> </w:t>
      </w:r>
      <w:r>
        <w:rPr>
          <w:sz w:val="18"/>
        </w:rPr>
        <w:t>risk</w:t>
      </w:r>
    </w:p>
    <w:p>
      <w:pPr>
        <w:pStyle w:val="BodyText"/>
        <w:spacing w:before="4"/>
        <w:rPr>
          <w:sz w:val="25"/>
        </w:rPr>
      </w:pPr>
    </w:p>
    <w:p>
      <w:pPr>
        <w:pStyle w:val="BodyText"/>
        <w:ind w:left="2391" w:right="1375"/>
      </w:pPr>
      <w:r>
        <w:rPr/>
        <w:t>Credit risk is the risk of financial loss to the Group if a customer or counterparty to a financial instrument fails to meet its contractual obligations and arises primarily from receivables from customers and investment securities.</w:t>
      </w:r>
    </w:p>
    <w:p>
      <w:pPr>
        <w:pStyle w:val="BodyText"/>
        <w:spacing w:before="11"/>
        <w:rPr>
          <w:sz w:val="24"/>
        </w:rPr>
      </w:pPr>
    </w:p>
    <w:p>
      <w:pPr>
        <w:spacing w:before="0"/>
        <w:ind w:left="2391" w:right="0" w:firstLine="0"/>
        <w:jc w:val="left"/>
        <w:rPr>
          <w:i/>
          <w:sz w:val="18"/>
        </w:rPr>
      </w:pPr>
      <w:r>
        <w:rPr>
          <w:i/>
          <w:sz w:val="18"/>
        </w:rPr>
        <w:t>Receivables</w:t>
      </w:r>
    </w:p>
    <w:p>
      <w:pPr>
        <w:pStyle w:val="BodyText"/>
        <w:spacing w:before="11"/>
        <w:rPr>
          <w:i/>
          <w:sz w:val="24"/>
        </w:rPr>
      </w:pPr>
    </w:p>
    <w:p>
      <w:pPr>
        <w:pStyle w:val="BodyText"/>
        <w:ind w:left="2392" w:right="1375" w:hanging="2"/>
      </w:pPr>
      <w:r>
        <w:rPr/>
        <w:t>The Group’s exposure to credit risk is influenced mainly by the individual characteristics of each customer. Receivables are mainly attributable to sales transactions with a single customer. Apart from the Government deferred debtor, the Group does not have any material risk exposure to any other single debtor or group of debtors.</w:t>
      </w:r>
    </w:p>
    <w:p>
      <w:pPr>
        <w:pStyle w:val="BodyText"/>
        <w:spacing w:before="11"/>
        <w:rPr>
          <w:sz w:val="24"/>
        </w:rPr>
      </w:pPr>
    </w:p>
    <w:p>
      <w:pPr>
        <w:spacing w:before="0"/>
        <w:ind w:left="2391" w:right="0" w:firstLine="0"/>
        <w:jc w:val="left"/>
        <w:rPr>
          <w:i/>
          <w:sz w:val="18"/>
        </w:rPr>
      </w:pPr>
      <w:r>
        <w:rPr>
          <w:i/>
          <w:sz w:val="18"/>
        </w:rPr>
        <w:t>Investments</w:t>
      </w:r>
    </w:p>
    <w:p>
      <w:pPr>
        <w:pStyle w:val="BodyText"/>
        <w:spacing w:before="11"/>
        <w:rPr>
          <w:i/>
          <w:sz w:val="24"/>
        </w:rPr>
      </w:pPr>
    </w:p>
    <w:p>
      <w:pPr>
        <w:pStyle w:val="BodyText"/>
        <w:ind w:left="2392" w:right="1357" w:hanging="2"/>
      </w:pPr>
      <w:r>
        <w:rPr/>
        <w:t>The Group limits its exposure to credit risk through its Credit Risk Policy which establishes eligible counterparties with credit limits based upon counterparty credit ratings and accessible shareholder funds. An eligible counterparty must be rated from Standard and Poors or Moodys at a minimum level equivalent to BBB+ (Standard and Poors long term) or Baa1(Moodys long term), and has accessible shareholder funds of at least</w:t>
      </w:r>
    </w:p>
    <w:p>
      <w:pPr>
        <w:pStyle w:val="BodyText"/>
        <w:ind w:left="2392" w:right="1375"/>
      </w:pPr>
      <w:bookmarkStart w:name="(d) Liquidity risk" w:id="137"/>
      <w:bookmarkEnd w:id="137"/>
      <w:r>
        <w:rPr/>
      </w:r>
      <w:r>
        <w:rPr/>
        <w:t>$100M. Given these high credit ratings, management does not expect any counterparty to fail to meet its obligations. Funds managers are closely monitored to ensure adherence to the Credit Risk policy.</w:t>
      </w:r>
    </w:p>
    <w:p>
      <w:pPr>
        <w:pStyle w:val="BodyText"/>
      </w:pPr>
    </w:p>
    <w:p>
      <w:pPr>
        <w:pStyle w:val="BodyText"/>
      </w:pPr>
    </w:p>
    <w:p>
      <w:pPr>
        <w:pStyle w:val="ListParagraph"/>
        <w:numPr>
          <w:ilvl w:val="0"/>
          <w:numId w:val="32"/>
        </w:numPr>
        <w:tabs>
          <w:tab w:pos="2392" w:val="left" w:leader="none"/>
        </w:tabs>
        <w:spacing w:line="240" w:lineRule="auto" w:before="123" w:after="0"/>
        <w:ind w:left="2391" w:right="0" w:hanging="566"/>
        <w:jc w:val="left"/>
        <w:rPr>
          <w:sz w:val="18"/>
        </w:rPr>
      </w:pPr>
      <w:r>
        <w:rPr/>
        <w:drawing>
          <wp:anchor distT="0" distB="0" distL="0" distR="0" allowOverlap="1" layoutInCell="1" locked="0" behindDoc="0" simplePos="0" relativeHeight="5128">
            <wp:simplePos x="0" y="0"/>
            <wp:positionH relativeFrom="page">
              <wp:posOffset>-1587</wp:posOffset>
            </wp:positionH>
            <wp:positionV relativeFrom="paragraph">
              <wp:posOffset>-46178</wp:posOffset>
            </wp:positionV>
            <wp:extent cx="136525" cy="155575"/>
            <wp:effectExtent l="0" t="0" r="0" b="0"/>
            <wp:wrapNone/>
            <wp:docPr id="321" name="image13.png" descr=""/>
            <wp:cNvGraphicFramePr>
              <a:graphicFrameLocks noChangeAspect="1"/>
            </wp:cNvGraphicFramePr>
            <a:graphic>
              <a:graphicData uri="http://schemas.openxmlformats.org/drawingml/2006/picture">
                <pic:pic>
                  <pic:nvPicPr>
                    <pic:cNvPr id="322" name="image13.png"/>
                    <pic:cNvPicPr/>
                  </pic:nvPicPr>
                  <pic:blipFill>
                    <a:blip r:embed="rId18" cstate="print"/>
                    <a:stretch>
                      <a:fillRect/>
                    </a:stretch>
                  </pic:blipFill>
                  <pic:spPr>
                    <a:xfrm>
                      <a:off x="0" y="0"/>
                      <a:ext cx="136525" cy="155575"/>
                    </a:xfrm>
                    <a:prstGeom prst="rect">
                      <a:avLst/>
                    </a:prstGeom>
                  </pic:spPr>
                </pic:pic>
              </a:graphicData>
            </a:graphic>
          </wp:anchor>
        </w:drawing>
      </w:r>
      <w:r>
        <w:rPr/>
        <w:drawing>
          <wp:anchor distT="0" distB="0" distL="0" distR="0" allowOverlap="1" layoutInCell="1" locked="0" behindDoc="0" simplePos="0" relativeHeight="5152">
            <wp:simplePos x="0" y="0"/>
            <wp:positionH relativeFrom="page">
              <wp:posOffset>7958429</wp:posOffset>
            </wp:positionH>
            <wp:positionV relativeFrom="paragraph">
              <wp:posOffset>-46178</wp:posOffset>
            </wp:positionV>
            <wp:extent cx="135953" cy="155575"/>
            <wp:effectExtent l="0" t="0" r="0" b="0"/>
            <wp:wrapNone/>
            <wp:docPr id="323" name="image15.png" descr=""/>
            <wp:cNvGraphicFramePr>
              <a:graphicFrameLocks noChangeAspect="1"/>
            </wp:cNvGraphicFramePr>
            <a:graphic>
              <a:graphicData uri="http://schemas.openxmlformats.org/drawingml/2006/picture">
                <pic:pic>
                  <pic:nvPicPr>
                    <pic:cNvPr id="324" name="image15.png"/>
                    <pic:cNvPicPr/>
                  </pic:nvPicPr>
                  <pic:blipFill>
                    <a:blip r:embed="rId20" cstate="print"/>
                    <a:stretch>
                      <a:fillRect/>
                    </a:stretch>
                  </pic:blipFill>
                  <pic:spPr>
                    <a:xfrm>
                      <a:off x="0" y="0"/>
                      <a:ext cx="135953" cy="155575"/>
                    </a:xfrm>
                    <a:prstGeom prst="rect">
                      <a:avLst/>
                    </a:prstGeom>
                  </pic:spPr>
                </pic:pic>
              </a:graphicData>
            </a:graphic>
          </wp:anchor>
        </w:drawing>
      </w:r>
      <w:r>
        <w:rPr>
          <w:sz w:val="18"/>
        </w:rPr>
        <w:t>Liquidity</w:t>
      </w:r>
      <w:r>
        <w:rPr>
          <w:spacing w:val="-14"/>
          <w:sz w:val="18"/>
        </w:rPr>
        <w:t> </w:t>
      </w:r>
      <w:r>
        <w:rPr>
          <w:sz w:val="18"/>
        </w:rPr>
        <w:t>risk</w:t>
      </w:r>
    </w:p>
    <w:p>
      <w:pPr>
        <w:pStyle w:val="BodyText"/>
        <w:spacing w:before="4"/>
        <w:rPr>
          <w:sz w:val="25"/>
        </w:rPr>
      </w:pPr>
    </w:p>
    <w:p>
      <w:pPr>
        <w:pStyle w:val="BodyText"/>
        <w:ind w:left="2392" w:right="1375" w:hanging="2"/>
      </w:pPr>
      <w:r>
        <w:rPr/>
        <w:t>Liquidity risk is the risk that the Group will not be able to meets its financial obligations as they fall due. The Group’s approach to managing liquidity is to ensure, as far as possible, that it will have sufficient liquidity to meet its liabilities when due under both normal and stressed conditions, without incurring unacceptable losses or reputational risk.</w:t>
      </w:r>
    </w:p>
    <w:p>
      <w:pPr>
        <w:pStyle w:val="BodyText"/>
        <w:spacing w:before="11"/>
        <w:rPr>
          <w:sz w:val="24"/>
        </w:rPr>
      </w:pPr>
    </w:p>
    <w:p>
      <w:pPr>
        <w:pStyle w:val="BodyText"/>
        <w:ind w:left="2392" w:right="1450" w:hanging="2"/>
      </w:pPr>
      <w:r>
        <w:rPr/>
        <w:t>The Group reviews its immediate and short term cash requirements on a daily basis with a three year rolling cash flow forecast regularly provided to management.</w:t>
      </w:r>
    </w:p>
    <w:p>
      <w:pPr>
        <w:spacing w:after="0"/>
        <w:sectPr>
          <w:pgSz w:w="12750" w:h="17680"/>
          <w:pgMar w:header="0" w:footer="907" w:top="2640" w:bottom="1120" w:left="0" w:right="0"/>
        </w:sectPr>
      </w:pPr>
    </w:p>
    <w:p>
      <w:pPr>
        <w:tabs>
          <w:tab w:pos="8296" w:val="left" w:leader="none"/>
          <w:tab w:pos="16305" w:val="left" w:leader="none"/>
        </w:tabs>
        <w:spacing w:line="240" w:lineRule="auto"/>
        <w:ind w:left="37" w:right="0" w:firstLine="0"/>
        <w:rPr>
          <w:sz w:val="20"/>
        </w:rPr>
      </w:pPr>
      <w:r>
        <w:rPr>
          <w:sz w:val="20"/>
        </w:rPr>
        <w:pict>
          <v:group style="width:24.75pt;height:24.75pt;mso-position-horizontal-relative:char;mso-position-vertical-relative:line" coordorigin="0,0" coordsize="495,495">
            <v:line style="position:absolute" from="303,483" to="3,483" stroked="true" strokeweight=".25pt" strokecolor="#000000"/>
            <v:line style="position:absolute" from="423,483" to="63,483" stroked="true" strokeweight="1.25pt" strokecolor="#ffffff"/>
            <v:line style="position:absolute" from="483,303" to="483,3" stroked="true" strokeweight=".25pt" strokecolor="#000000"/>
            <v:line style="position:absolute" from="483,423" to="483,63" stroked="true" strokeweight="1.25pt" strokecolor="#ffffff"/>
            <v:line style="position:absolute" from="423,483" to="63,483" stroked="true" strokeweight=".25pt" strokecolor="#000000"/>
            <v:line style="position:absolute" from="483,423" to="483,63" stroked="true" strokeweight=".25pt" strokecolor="#000000"/>
          </v:group>
        </w:pict>
      </w:r>
      <w:r>
        <w:rPr>
          <w:sz w:val="20"/>
        </w:rPr>
      </w:r>
      <w:r>
        <w:rPr>
          <w:sz w:val="20"/>
        </w:rPr>
        <w:tab/>
      </w:r>
      <w:r>
        <w:rPr>
          <w:position w:val="22"/>
          <w:sz w:val="20"/>
        </w:rPr>
        <w:drawing>
          <wp:inline distT="0" distB="0" distL="0" distR="0">
            <wp:extent cx="155448" cy="155448"/>
            <wp:effectExtent l="0" t="0" r="0" b="0"/>
            <wp:docPr id="325" name="image24.png" descr=""/>
            <wp:cNvGraphicFramePr>
              <a:graphicFrameLocks noChangeAspect="1"/>
            </wp:cNvGraphicFramePr>
            <a:graphic>
              <a:graphicData uri="http://schemas.openxmlformats.org/drawingml/2006/picture">
                <pic:pic>
                  <pic:nvPicPr>
                    <pic:cNvPr id="326" name="image24.png"/>
                    <pic:cNvPicPr/>
                  </pic:nvPicPr>
                  <pic:blipFill>
                    <a:blip r:embed="rId48" cstate="print"/>
                    <a:stretch>
                      <a:fillRect/>
                    </a:stretch>
                  </pic:blipFill>
                  <pic:spPr>
                    <a:xfrm>
                      <a:off x="0" y="0"/>
                      <a:ext cx="155448" cy="155448"/>
                    </a:xfrm>
                    <a:prstGeom prst="rect">
                      <a:avLst/>
                    </a:prstGeom>
                  </pic:spPr>
                </pic:pic>
              </a:graphicData>
            </a:graphic>
          </wp:inline>
        </w:drawing>
      </w:r>
      <w:r>
        <w:rPr>
          <w:position w:val="22"/>
          <w:sz w:val="20"/>
        </w:rPr>
      </w:r>
      <w:r>
        <w:rPr>
          <w:position w:val="22"/>
          <w:sz w:val="20"/>
        </w:rPr>
        <w:tab/>
      </w:r>
      <w:r>
        <w:rPr>
          <w:sz w:val="20"/>
        </w:rPr>
        <w:pict>
          <v:group style="width:24.75pt;height:24.75pt;mso-position-horizontal-relative:char;mso-position-vertical-relative:line" coordorigin="0,0" coordsize="495,495">
            <v:line style="position:absolute" from="193,483" to="493,483" stroked="true" strokeweight=".25pt" strokecolor="#000000"/>
            <v:line style="position:absolute" from="73,483" to="433,483" stroked="true" strokeweight="1.25pt" strokecolor="#ffffff"/>
            <v:line style="position:absolute" from="13,303" to="13,3" stroked="true" strokeweight=".25pt" strokecolor="#000000"/>
            <v:line style="position:absolute" from="13,423" to="13,63" stroked="true" strokeweight="1.25pt" strokecolor="#ffffff"/>
            <v:line style="position:absolute" from="73,483" to="433,483" stroked="true" strokeweight=".25pt" strokecolor="#000000"/>
            <v:line style="position:absolute" from="13,423" to="13,63" stroked="true" strokeweight=".25pt" strokecolor="#000000"/>
          </v:group>
        </w:pict>
      </w:r>
      <w:r>
        <w:rPr>
          <w:sz w:val="20"/>
        </w:rPr>
      </w:r>
    </w:p>
    <w:p>
      <w:pPr>
        <w:pStyle w:val="BodyText"/>
        <w:rPr>
          <w:sz w:val="20"/>
        </w:rPr>
      </w:pPr>
    </w:p>
    <w:p>
      <w:pPr>
        <w:pStyle w:val="BodyText"/>
        <w:spacing w:before="5"/>
        <w:rPr>
          <w:sz w:val="19"/>
        </w:rPr>
      </w:pPr>
    </w:p>
    <w:p>
      <w:pPr>
        <w:spacing w:before="0"/>
        <w:ind w:left="1008" w:right="0" w:firstLine="0"/>
        <w:jc w:val="left"/>
        <w:rPr>
          <w:b/>
          <w:sz w:val="22"/>
        </w:rPr>
      </w:pPr>
      <w:r>
        <w:rPr>
          <w:b/>
          <w:sz w:val="22"/>
        </w:rPr>
        <w:t>Western Sydney University</w:t>
      </w:r>
    </w:p>
    <w:p>
      <w:pPr>
        <w:pStyle w:val="BodyText"/>
        <w:spacing w:before="5"/>
        <w:rPr>
          <w:b/>
          <w:sz w:val="29"/>
        </w:rPr>
      </w:pPr>
    </w:p>
    <w:p>
      <w:pPr>
        <w:spacing w:before="0"/>
        <w:ind w:left="1008" w:right="0" w:firstLine="0"/>
        <w:jc w:val="left"/>
        <w:rPr>
          <w:b/>
          <w:sz w:val="28"/>
        </w:rPr>
      </w:pPr>
      <w:r>
        <w:rPr>
          <w:b/>
          <w:sz w:val="28"/>
        </w:rPr>
        <w:t>Notes to the Financial Statements</w:t>
      </w:r>
    </w:p>
    <w:p>
      <w:pPr>
        <w:spacing w:before="57"/>
        <w:ind w:left="1008" w:right="0" w:firstLine="0"/>
        <w:jc w:val="left"/>
        <w:rPr>
          <w:b/>
          <w:sz w:val="22"/>
        </w:rPr>
      </w:pPr>
      <w:r>
        <w:rPr>
          <w:b/>
          <w:sz w:val="22"/>
        </w:rPr>
        <w:t>For the Year Ended 31 December 2016</w:t>
      </w:r>
    </w:p>
    <w:p>
      <w:pPr>
        <w:pStyle w:val="BodyText"/>
        <w:rPr>
          <w:b/>
          <w:sz w:val="22"/>
        </w:rPr>
      </w:pPr>
    </w:p>
    <w:p>
      <w:pPr>
        <w:pStyle w:val="BodyText"/>
        <w:rPr>
          <w:b/>
          <w:sz w:val="22"/>
        </w:rPr>
      </w:pPr>
    </w:p>
    <w:p>
      <w:pPr>
        <w:pStyle w:val="Heading8"/>
        <w:numPr>
          <w:ilvl w:val="0"/>
          <w:numId w:val="33"/>
        </w:numPr>
        <w:tabs>
          <w:tab w:pos="1972" w:val="left" w:leader="none"/>
        </w:tabs>
        <w:spacing w:line="240" w:lineRule="auto" w:before="160" w:after="0"/>
        <w:ind w:left="1971" w:right="0" w:hanging="567"/>
        <w:jc w:val="left"/>
      </w:pPr>
      <w:r>
        <w:rPr/>
        <w:t>Financial Risk Management (continued)</w:t>
      </w:r>
    </w:p>
    <w:p>
      <w:pPr>
        <w:pStyle w:val="BodyText"/>
        <w:spacing w:before="7"/>
        <w:rPr>
          <w:b/>
          <w:sz w:val="26"/>
        </w:rPr>
      </w:pPr>
    </w:p>
    <w:p>
      <w:pPr>
        <w:pStyle w:val="ListParagraph"/>
        <w:numPr>
          <w:ilvl w:val="0"/>
          <w:numId w:val="34"/>
        </w:numPr>
        <w:tabs>
          <w:tab w:pos="1972" w:val="left" w:leader="none"/>
        </w:tabs>
        <w:spacing w:line="240" w:lineRule="auto" w:before="0" w:after="0"/>
        <w:ind w:left="1971" w:right="0" w:hanging="566"/>
        <w:jc w:val="left"/>
        <w:rPr>
          <w:sz w:val="18"/>
        </w:rPr>
      </w:pPr>
      <w:r>
        <w:rPr>
          <w:sz w:val="18"/>
        </w:rPr>
        <w:t>Liquidity risk</w:t>
      </w:r>
      <w:r>
        <w:rPr>
          <w:spacing w:val="-25"/>
          <w:sz w:val="18"/>
        </w:rPr>
        <w:t> </w:t>
      </w:r>
      <w:r>
        <w:rPr>
          <w:sz w:val="18"/>
        </w:rPr>
        <w:t>(continued)</w:t>
      </w:r>
    </w:p>
    <w:p>
      <w:pPr>
        <w:pStyle w:val="BodyText"/>
        <w:spacing w:before="8"/>
      </w:pPr>
    </w:p>
    <w:p>
      <w:pPr>
        <w:pStyle w:val="BodyText"/>
        <w:spacing w:before="77"/>
        <w:ind w:left="1970"/>
      </w:pPr>
      <w:r>
        <w:rPr/>
        <w:t>The following table summarises the maturity of the Group’s financial assets and financial liabilities:</w:t>
      </w:r>
    </w:p>
    <w:p>
      <w:pPr>
        <w:pStyle w:val="BodyText"/>
        <w:spacing w:before="3"/>
        <w:rPr>
          <w:sz w:val="21"/>
        </w:rPr>
      </w:pPr>
    </w:p>
    <w:p>
      <w:pPr>
        <w:spacing w:before="0"/>
        <w:ind w:left="4197" w:right="0" w:firstLine="0"/>
        <w:jc w:val="left"/>
        <w:rPr>
          <w:b/>
          <w:sz w:val="14"/>
        </w:rPr>
      </w:pPr>
      <w:r>
        <w:rPr>
          <w:b/>
          <w:sz w:val="14"/>
        </w:rPr>
        <w:t>Average Interest</w:t>
      </w:r>
    </w:p>
    <w:p>
      <w:pPr>
        <w:tabs>
          <w:tab w:pos="5516" w:val="left" w:leader="none"/>
          <w:tab w:pos="7535" w:val="left" w:leader="none"/>
          <w:tab w:pos="9385" w:val="left" w:leader="none"/>
          <w:tab w:pos="11203" w:val="left" w:leader="none"/>
          <w:tab w:pos="12832" w:val="left" w:leader="none"/>
          <w:tab w:pos="14831" w:val="left" w:leader="none"/>
        </w:tabs>
        <w:spacing w:before="0"/>
        <w:ind w:left="4616" w:right="0" w:firstLine="0"/>
        <w:jc w:val="left"/>
        <w:rPr>
          <w:b/>
          <w:sz w:val="14"/>
        </w:rPr>
      </w:pPr>
      <w:r>
        <w:rPr/>
        <w:drawing>
          <wp:anchor distT="0" distB="0" distL="0" distR="0" allowOverlap="1" layoutInCell="1" locked="0" behindDoc="0" simplePos="0" relativeHeight="5224">
            <wp:simplePos x="0" y="0"/>
            <wp:positionH relativeFrom="page">
              <wp:posOffset>42862</wp:posOffset>
            </wp:positionH>
            <wp:positionV relativeFrom="paragraph">
              <wp:posOffset>828858</wp:posOffset>
            </wp:positionV>
            <wp:extent cx="154019" cy="154019"/>
            <wp:effectExtent l="0" t="0" r="0" b="0"/>
            <wp:wrapTopAndBottom/>
            <wp:docPr id="327" name="image25.png" descr=""/>
            <wp:cNvGraphicFramePr>
              <a:graphicFrameLocks noChangeAspect="1"/>
            </wp:cNvGraphicFramePr>
            <a:graphic>
              <a:graphicData uri="http://schemas.openxmlformats.org/drawingml/2006/picture">
                <pic:pic>
                  <pic:nvPicPr>
                    <pic:cNvPr id="328" name="image25.png"/>
                    <pic:cNvPicPr/>
                  </pic:nvPicPr>
                  <pic:blipFill>
                    <a:blip r:embed="rId41" cstate="print"/>
                    <a:stretch>
                      <a:fillRect/>
                    </a:stretch>
                  </pic:blipFill>
                  <pic:spPr>
                    <a:xfrm>
                      <a:off x="0" y="0"/>
                      <a:ext cx="154019" cy="154019"/>
                    </a:xfrm>
                    <a:prstGeom prst="rect">
                      <a:avLst/>
                    </a:prstGeom>
                  </pic:spPr>
                </pic:pic>
              </a:graphicData>
            </a:graphic>
          </wp:anchor>
        </w:drawing>
      </w:r>
      <w:r>
        <w:rPr/>
        <w:pict>
          <v:shape style="position:absolute;margin-left:98.510002pt;margin-top:9.897500pt;width:694.55pt;height:191.85pt;mso-position-horizontal-relative:page;mso-position-vertical-relative:paragraph;z-index:0;mso-wrap-distance-left:0;mso-wrap-distance-right:0"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169"/>
                    <w:gridCol w:w="643"/>
                    <w:gridCol w:w="641"/>
                    <w:gridCol w:w="890"/>
                    <w:gridCol w:w="868"/>
                    <w:gridCol w:w="913"/>
                    <w:gridCol w:w="844"/>
                    <w:gridCol w:w="913"/>
                    <w:gridCol w:w="867"/>
                    <w:gridCol w:w="867"/>
                    <w:gridCol w:w="865"/>
                    <w:gridCol w:w="902"/>
                    <w:gridCol w:w="878"/>
                    <w:gridCol w:w="878"/>
                    <w:gridCol w:w="752"/>
                  </w:tblGrid>
                  <w:tr>
                    <w:trPr>
                      <w:trHeight w:val="499" w:hRule="exact"/>
                    </w:trPr>
                    <w:tc>
                      <w:tcPr>
                        <w:tcW w:w="2169" w:type="dxa"/>
                      </w:tcPr>
                      <w:p>
                        <w:pPr/>
                      </w:p>
                    </w:tc>
                    <w:tc>
                      <w:tcPr>
                        <w:tcW w:w="643" w:type="dxa"/>
                      </w:tcPr>
                      <w:p>
                        <w:pPr>
                          <w:pStyle w:val="TableParagraph"/>
                          <w:spacing w:before="30"/>
                          <w:ind w:left="136" w:right="155"/>
                          <w:jc w:val="center"/>
                          <w:rPr>
                            <w:b/>
                            <w:sz w:val="14"/>
                          </w:rPr>
                        </w:pPr>
                        <w:r>
                          <w:rPr>
                            <w:b/>
                            <w:sz w:val="14"/>
                          </w:rPr>
                          <w:t>2016</w:t>
                        </w:r>
                      </w:p>
                      <w:p>
                        <w:pPr>
                          <w:pStyle w:val="TableParagraph"/>
                          <w:spacing w:before="67"/>
                          <w:ind w:right="12"/>
                          <w:jc w:val="center"/>
                          <w:rPr>
                            <w:b/>
                            <w:sz w:val="14"/>
                          </w:rPr>
                        </w:pPr>
                        <w:r>
                          <w:rPr>
                            <w:b/>
                            <w:w w:val="100"/>
                            <w:sz w:val="14"/>
                          </w:rPr>
                          <w:t>%</w:t>
                        </w:r>
                      </w:p>
                    </w:tc>
                    <w:tc>
                      <w:tcPr>
                        <w:tcW w:w="641" w:type="dxa"/>
                      </w:tcPr>
                      <w:p>
                        <w:pPr>
                          <w:pStyle w:val="TableParagraph"/>
                          <w:spacing w:before="30"/>
                          <w:ind w:left="100"/>
                          <w:jc w:val="left"/>
                          <w:rPr>
                            <w:b/>
                            <w:sz w:val="14"/>
                          </w:rPr>
                        </w:pPr>
                        <w:r>
                          <w:rPr>
                            <w:b/>
                            <w:sz w:val="14"/>
                          </w:rPr>
                          <w:t>2015</w:t>
                        </w:r>
                      </w:p>
                      <w:p>
                        <w:pPr>
                          <w:pStyle w:val="TableParagraph"/>
                          <w:spacing w:before="67"/>
                          <w:ind w:left="197"/>
                          <w:jc w:val="left"/>
                          <w:rPr>
                            <w:b/>
                            <w:sz w:val="14"/>
                          </w:rPr>
                        </w:pPr>
                        <w:r>
                          <w:rPr>
                            <w:b/>
                            <w:w w:val="100"/>
                            <w:sz w:val="14"/>
                          </w:rPr>
                          <w:t>%</w:t>
                        </w:r>
                      </w:p>
                    </w:tc>
                    <w:tc>
                      <w:tcPr>
                        <w:tcW w:w="890" w:type="dxa"/>
                      </w:tcPr>
                      <w:p>
                        <w:pPr>
                          <w:pStyle w:val="TableParagraph"/>
                          <w:spacing w:before="30"/>
                          <w:ind w:left="192"/>
                          <w:jc w:val="left"/>
                          <w:rPr>
                            <w:b/>
                            <w:sz w:val="14"/>
                          </w:rPr>
                        </w:pPr>
                        <w:r>
                          <w:rPr>
                            <w:b/>
                            <w:sz w:val="14"/>
                          </w:rPr>
                          <w:t>2016</w:t>
                        </w:r>
                      </w:p>
                      <w:p>
                        <w:pPr>
                          <w:pStyle w:val="TableParagraph"/>
                          <w:spacing w:before="67"/>
                          <w:ind w:left="175"/>
                          <w:jc w:val="left"/>
                          <w:rPr>
                            <w:b/>
                            <w:sz w:val="14"/>
                          </w:rPr>
                        </w:pPr>
                        <w:r>
                          <w:rPr>
                            <w:b/>
                            <w:sz w:val="14"/>
                          </w:rPr>
                          <w:t>$'000</w:t>
                        </w:r>
                      </w:p>
                    </w:tc>
                    <w:tc>
                      <w:tcPr>
                        <w:tcW w:w="868" w:type="dxa"/>
                      </w:tcPr>
                      <w:p>
                        <w:pPr>
                          <w:pStyle w:val="TableParagraph"/>
                          <w:spacing w:before="30"/>
                          <w:ind w:left="183"/>
                          <w:jc w:val="left"/>
                          <w:rPr>
                            <w:b/>
                            <w:sz w:val="14"/>
                          </w:rPr>
                        </w:pPr>
                        <w:r>
                          <w:rPr>
                            <w:b/>
                            <w:sz w:val="14"/>
                          </w:rPr>
                          <w:t>2015</w:t>
                        </w:r>
                      </w:p>
                      <w:p>
                        <w:pPr>
                          <w:pStyle w:val="TableParagraph"/>
                          <w:spacing w:before="67"/>
                          <w:ind w:left="166"/>
                          <w:jc w:val="left"/>
                          <w:rPr>
                            <w:b/>
                            <w:sz w:val="14"/>
                          </w:rPr>
                        </w:pPr>
                        <w:r>
                          <w:rPr>
                            <w:b/>
                            <w:sz w:val="14"/>
                          </w:rPr>
                          <w:t>$'000</w:t>
                        </w:r>
                      </w:p>
                    </w:tc>
                    <w:tc>
                      <w:tcPr>
                        <w:tcW w:w="913" w:type="dxa"/>
                      </w:tcPr>
                      <w:p>
                        <w:pPr>
                          <w:pStyle w:val="TableParagraph"/>
                          <w:spacing w:before="30"/>
                          <w:ind w:left="192"/>
                          <w:jc w:val="left"/>
                          <w:rPr>
                            <w:b/>
                            <w:sz w:val="14"/>
                          </w:rPr>
                        </w:pPr>
                        <w:r>
                          <w:rPr>
                            <w:b/>
                            <w:sz w:val="14"/>
                          </w:rPr>
                          <w:t>2016</w:t>
                        </w:r>
                      </w:p>
                      <w:p>
                        <w:pPr>
                          <w:pStyle w:val="TableParagraph"/>
                          <w:spacing w:before="67"/>
                          <w:ind w:left="175"/>
                          <w:jc w:val="left"/>
                          <w:rPr>
                            <w:b/>
                            <w:sz w:val="14"/>
                          </w:rPr>
                        </w:pPr>
                        <w:r>
                          <w:rPr>
                            <w:b/>
                            <w:sz w:val="14"/>
                          </w:rPr>
                          <w:t>$'000</w:t>
                        </w:r>
                      </w:p>
                    </w:tc>
                    <w:tc>
                      <w:tcPr>
                        <w:tcW w:w="844" w:type="dxa"/>
                      </w:tcPr>
                      <w:p>
                        <w:pPr>
                          <w:pStyle w:val="TableParagraph"/>
                          <w:spacing w:before="30"/>
                          <w:ind w:left="159"/>
                          <w:jc w:val="left"/>
                          <w:rPr>
                            <w:b/>
                            <w:sz w:val="14"/>
                          </w:rPr>
                        </w:pPr>
                        <w:r>
                          <w:rPr>
                            <w:b/>
                            <w:sz w:val="14"/>
                          </w:rPr>
                          <w:t>2015</w:t>
                        </w:r>
                      </w:p>
                      <w:p>
                        <w:pPr>
                          <w:pStyle w:val="TableParagraph"/>
                          <w:spacing w:before="67"/>
                          <w:ind w:left="142"/>
                          <w:jc w:val="left"/>
                          <w:rPr>
                            <w:b/>
                            <w:sz w:val="14"/>
                          </w:rPr>
                        </w:pPr>
                        <w:r>
                          <w:rPr>
                            <w:b/>
                            <w:sz w:val="14"/>
                          </w:rPr>
                          <w:t>$'000</w:t>
                        </w:r>
                      </w:p>
                    </w:tc>
                    <w:tc>
                      <w:tcPr>
                        <w:tcW w:w="913" w:type="dxa"/>
                      </w:tcPr>
                      <w:p>
                        <w:pPr>
                          <w:pStyle w:val="TableParagraph"/>
                          <w:spacing w:before="30"/>
                          <w:ind w:left="192"/>
                          <w:jc w:val="left"/>
                          <w:rPr>
                            <w:b/>
                            <w:sz w:val="14"/>
                          </w:rPr>
                        </w:pPr>
                        <w:r>
                          <w:rPr>
                            <w:b/>
                            <w:sz w:val="14"/>
                          </w:rPr>
                          <w:t>2016</w:t>
                        </w:r>
                      </w:p>
                      <w:p>
                        <w:pPr>
                          <w:pStyle w:val="TableParagraph"/>
                          <w:spacing w:before="67"/>
                          <w:ind w:left="175"/>
                          <w:jc w:val="left"/>
                          <w:rPr>
                            <w:b/>
                            <w:sz w:val="14"/>
                          </w:rPr>
                        </w:pPr>
                        <w:r>
                          <w:rPr>
                            <w:b/>
                            <w:sz w:val="14"/>
                          </w:rPr>
                          <w:t>$'000</w:t>
                        </w:r>
                      </w:p>
                    </w:tc>
                    <w:tc>
                      <w:tcPr>
                        <w:tcW w:w="867" w:type="dxa"/>
                      </w:tcPr>
                      <w:p>
                        <w:pPr>
                          <w:pStyle w:val="TableParagraph"/>
                          <w:spacing w:before="30"/>
                          <w:ind w:left="159"/>
                          <w:jc w:val="left"/>
                          <w:rPr>
                            <w:b/>
                            <w:sz w:val="14"/>
                          </w:rPr>
                        </w:pPr>
                        <w:r>
                          <w:rPr>
                            <w:b/>
                            <w:sz w:val="14"/>
                          </w:rPr>
                          <w:t>2015</w:t>
                        </w:r>
                      </w:p>
                      <w:p>
                        <w:pPr>
                          <w:pStyle w:val="TableParagraph"/>
                          <w:spacing w:before="67"/>
                          <w:ind w:left="142"/>
                          <w:jc w:val="left"/>
                          <w:rPr>
                            <w:b/>
                            <w:sz w:val="14"/>
                          </w:rPr>
                        </w:pPr>
                        <w:r>
                          <w:rPr>
                            <w:b/>
                            <w:sz w:val="14"/>
                          </w:rPr>
                          <w:t>$'000</w:t>
                        </w:r>
                      </w:p>
                    </w:tc>
                    <w:tc>
                      <w:tcPr>
                        <w:tcW w:w="867" w:type="dxa"/>
                      </w:tcPr>
                      <w:p>
                        <w:pPr>
                          <w:pStyle w:val="TableParagraph"/>
                          <w:spacing w:before="30"/>
                          <w:ind w:left="169"/>
                          <w:jc w:val="left"/>
                          <w:rPr>
                            <w:b/>
                            <w:sz w:val="14"/>
                          </w:rPr>
                        </w:pPr>
                        <w:r>
                          <w:rPr>
                            <w:b/>
                            <w:sz w:val="14"/>
                          </w:rPr>
                          <w:t>2016</w:t>
                        </w:r>
                      </w:p>
                      <w:p>
                        <w:pPr>
                          <w:pStyle w:val="TableParagraph"/>
                          <w:spacing w:before="67"/>
                          <w:ind w:left="152"/>
                          <w:jc w:val="left"/>
                          <w:rPr>
                            <w:b/>
                            <w:sz w:val="14"/>
                          </w:rPr>
                        </w:pPr>
                        <w:r>
                          <w:rPr>
                            <w:b/>
                            <w:sz w:val="14"/>
                          </w:rPr>
                          <w:t>$'000</w:t>
                        </w:r>
                      </w:p>
                    </w:tc>
                    <w:tc>
                      <w:tcPr>
                        <w:tcW w:w="865" w:type="dxa"/>
                      </w:tcPr>
                      <w:p>
                        <w:pPr>
                          <w:pStyle w:val="TableParagraph"/>
                          <w:spacing w:before="30"/>
                          <w:ind w:left="182"/>
                          <w:jc w:val="left"/>
                          <w:rPr>
                            <w:b/>
                            <w:sz w:val="14"/>
                          </w:rPr>
                        </w:pPr>
                        <w:r>
                          <w:rPr>
                            <w:b/>
                            <w:sz w:val="14"/>
                          </w:rPr>
                          <w:t>2015</w:t>
                        </w:r>
                      </w:p>
                      <w:p>
                        <w:pPr>
                          <w:pStyle w:val="TableParagraph"/>
                          <w:spacing w:before="67"/>
                          <w:ind w:left="166"/>
                          <w:jc w:val="left"/>
                          <w:rPr>
                            <w:b/>
                            <w:sz w:val="14"/>
                          </w:rPr>
                        </w:pPr>
                        <w:r>
                          <w:rPr>
                            <w:b/>
                            <w:sz w:val="14"/>
                          </w:rPr>
                          <w:t>$'000</w:t>
                        </w:r>
                      </w:p>
                    </w:tc>
                    <w:tc>
                      <w:tcPr>
                        <w:tcW w:w="902" w:type="dxa"/>
                      </w:tcPr>
                      <w:p>
                        <w:pPr>
                          <w:pStyle w:val="TableParagraph"/>
                          <w:spacing w:before="30"/>
                          <w:ind w:left="195"/>
                          <w:jc w:val="left"/>
                          <w:rPr>
                            <w:b/>
                            <w:sz w:val="14"/>
                          </w:rPr>
                        </w:pPr>
                        <w:r>
                          <w:rPr>
                            <w:b/>
                            <w:sz w:val="14"/>
                          </w:rPr>
                          <w:t>2016</w:t>
                        </w:r>
                      </w:p>
                      <w:p>
                        <w:pPr>
                          <w:pStyle w:val="TableParagraph"/>
                          <w:spacing w:before="67"/>
                          <w:ind w:left="178"/>
                          <w:jc w:val="left"/>
                          <w:rPr>
                            <w:b/>
                            <w:sz w:val="14"/>
                          </w:rPr>
                        </w:pPr>
                        <w:r>
                          <w:rPr>
                            <w:b/>
                            <w:sz w:val="14"/>
                          </w:rPr>
                          <w:t>$'000</w:t>
                        </w:r>
                      </w:p>
                    </w:tc>
                    <w:tc>
                      <w:tcPr>
                        <w:tcW w:w="878" w:type="dxa"/>
                      </w:tcPr>
                      <w:p>
                        <w:pPr>
                          <w:pStyle w:val="TableParagraph"/>
                          <w:spacing w:before="30"/>
                          <w:ind w:left="173"/>
                          <w:jc w:val="left"/>
                          <w:rPr>
                            <w:b/>
                            <w:sz w:val="14"/>
                          </w:rPr>
                        </w:pPr>
                        <w:r>
                          <w:rPr>
                            <w:b/>
                            <w:sz w:val="14"/>
                          </w:rPr>
                          <w:t>2015</w:t>
                        </w:r>
                      </w:p>
                      <w:p>
                        <w:pPr>
                          <w:pStyle w:val="TableParagraph"/>
                          <w:spacing w:before="67"/>
                          <w:ind w:left="156"/>
                          <w:jc w:val="left"/>
                          <w:rPr>
                            <w:b/>
                            <w:sz w:val="14"/>
                          </w:rPr>
                        </w:pPr>
                        <w:r>
                          <w:rPr>
                            <w:b/>
                            <w:sz w:val="14"/>
                          </w:rPr>
                          <w:t>$'000</w:t>
                        </w:r>
                      </w:p>
                    </w:tc>
                    <w:tc>
                      <w:tcPr>
                        <w:tcW w:w="878" w:type="dxa"/>
                      </w:tcPr>
                      <w:p>
                        <w:pPr>
                          <w:pStyle w:val="TableParagraph"/>
                          <w:spacing w:before="30"/>
                          <w:ind w:left="172"/>
                          <w:jc w:val="left"/>
                          <w:rPr>
                            <w:b/>
                            <w:sz w:val="14"/>
                          </w:rPr>
                        </w:pPr>
                        <w:r>
                          <w:rPr>
                            <w:b/>
                            <w:sz w:val="14"/>
                          </w:rPr>
                          <w:t>2016</w:t>
                        </w:r>
                      </w:p>
                      <w:p>
                        <w:pPr>
                          <w:pStyle w:val="TableParagraph"/>
                          <w:spacing w:before="67"/>
                          <w:ind w:left="155"/>
                          <w:jc w:val="left"/>
                          <w:rPr>
                            <w:b/>
                            <w:sz w:val="14"/>
                          </w:rPr>
                        </w:pPr>
                        <w:r>
                          <w:rPr>
                            <w:b/>
                            <w:sz w:val="14"/>
                          </w:rPr>
                          <w:t>$'000</w:t>
                        </w:r>
                      </w:p>
                    </w:tc>
                    <w:tc>
                      <w:tcPr>
                        <w:tcW w:w="752" w:type="dxa"/>
                      </w:tcPr>
                      <w:p>
                        <w:pPr>
                          <w:pStyle w:val="TableParagraph"/>
                          <w:spacing w:before="30"/>
                          <w:ind w:left="173"/>
                          <w:jc w:val="left"/>
                          <w:rPr>
                            <w:b/>
                            <w:sz w:val="14"/>
                          </w:rPr>
                        </w:pPr>
                        <w:r>
                          <w:rPr>
                            <w:b/>
                            <w:sz w:val="14"/>
                          </w:rPr>
                          <w:t>2015</w:t>
                        </w:r>
                      </w:p>
                      <w:p>
                        <w:pPr>
                          <w:pStyle w:val="TableParagraph"/>
                          <w:spacing w:before="67"/>
                          <w:ind w:left="156"/>
                          <w:jc w:val="left"/>
                          <w:rPr>
                            <w:b/>
                            <w:sz w:val="14"/>
                          </w:rPr>
                        </w:pPr>
                        <w:r>
                          <w:rPr>
                            <w:b/>
                            <w:sz w:val="14"/>
                          </w:rPr>
                          <w:t>$'000</w:t>
                        </w:r>
                      </w:p>
                    </w:tc>
                  </w:tr>
                  <w:tr>
                    <w:trPr>
                      <w:trHeight w:val="248" w:hRule="exact"/>
                    </w:trPr>
                    <w:tc>
                      <w:tcPr>
                        <w:tcW w:w="2169" w:type="dxa"/>
                      </w:tcPr>
                      <w:p>
                        <w:pPr>
                          <w:pStyle w:val="TableParagraph"/>
                          <w:spacing w:before="66"/>
                          <w:ind w:left="35"/>
                          <w:jc w:val="left"/>
                          <w:rPr>
                            <w:b/>
                            <w:sz w:val="14"/>
                          </w:rPr>
                        </w:pPr>
                        <w:r>
                          <w:rPr>
                            <w:b/>
                            <w:sz w:val="14"/>
                          </w:rPr>
                          <w:t>Financial Assets:</w:t>
                        </w:r>
                      </w:p>
                    </w:tc>
                    <w:tc>
                      <w:tcPr>
                        <w:tcW w:w="643" w:type="dxa"/>
                      </w:tcPr>
                      <w:p>
                        <w:pPr/>
                      </w:p>
                    </w:tc>
                    <w:tc>
                      <w:tcPr>
                        <w:tcW w:w="641" w:type="dxa"/>
                      </w:tcPr>
                      <w:p>
                        <w:pPr/>
                      </w:p>
                    </w:tc>
                    <w:tc>
                      <w:tcPr>
                        <w:tcW w:w="890" w:type="dxa"/>
                      </w:tcPr>
                      <w:p>
                        <w:pPr/>
                      </w:p>
                    </w:tc>
                    <w:tc>
                      <w:tcPr>
                        <w:tcW w:w="868" w:type="dxa"/>
                      </w:tcPr>
                      <w:p>
                        <w:pPr/>
                      </w:p>
                    </w:tc>
                    <w:tc>
                      <w:tcPr>
                        <w:tcW w:w="913" w:type="dxa"/>
                      </w:tcPr>
                      <w:p>
                        <w:pPr/>
                      </w:p>
                    </w:tc>
                    <w:tc>
                      <w:tcPr>
                        <w:tcW w:w="844" w:type="dxa"/>
                      </w:tcPr>
                      <w:p>
                        <w:pPr/>
                      </w:p>
                    </w:tc>
                    <w:tc>
                      <w:tcPr>
                        <w:tcW w:w="913" w:type="dxa"/>
                      </w:tcPr>
                      <w:p>
                        <w:pPr/>
                      </w:p>
                    </w:tc>
                    <w:tc>
                      <w:tcPr>
                        <w:tcW w:w="867" w:type="dxa"/>
                      </w:tcPr>
                      <w:p>
                        <w:pPr/>
                      </w:p>
                    </w:tc>
                    <w:tc>
                      <w:tcPr>
                        <w:tcW w:w="867" w:type="dxa"/>
                      </w:tcPr>
                      <w:p>
                        <w:pPr/>
                      </w:p>
                    </w:tc>
                    <w:tc>
                      <w:tcPr>
                        <w:tcW w:w="865" w:type="dxa"/>
                      </w:tcPr>
                      <w:p>
                        <w:pPr/>
                      </w:p>
                    </w:tc>
                    <w:tc>
                      <w:tcPr>
                        <w:tcW w:w="902" w:type="dxa"/>
                      </w:tcPr>
                      <w:p>
                        <w:pPr/>
                      </w:p>
                    </w:tc>
                    <w:tc>
                      <w:tcPr>
                        <w:tcW w:w="878" w:type="dxa"/>
                      </w:tcPr>
                      <w:p>
                        <w:pPr/>
                      </w:p>
                    </w:tc>
                    <w:tc>
                      <w:tcPr>
                        <w:tcW w:w="878" w:type="dxa"/>
                      </w:tcPr>
                      <w:p>
                        <w:pPr/>
                      </w:p>
                    </w:tc>
                    <w:tc>
                      <w:tcPr>
                        <w:tcW w:w="752" w:type="dxa"/>
                      </w:tcPr>
                      <w:p>
                        <w:pPr/>
                      </w:p>
                    </w:tc>
                  </w:tr>
                  <w:tr>
                    <w:trPr>
                      <w:trHeight w:val="204" w:hRule="exact"/>
                    </w:trPr>
                    <w:tc>
                      <w:tcPr>
                        <w:tcW w:w="2812" w:type="dxa"/>
                        <w:gridSpan w:val="2"/>
                      </w:tcPr>
                      <w:p>
                        <w:pPr>
                          <w:pStyle w:val="TableParagraph"/>
                          <w:tabs>
                            <w:tab w:pos="2711" w:val="right" w:leader="none"/>
                          </w:tabs>
                          <w:spacing w:before="7"/>
                          <w:ind w:left="35"/>
                          <w:jc w:val="left"/>
                          <w:rPr>
                            <w:b/>
                            <w:sz w:val="14"/>
                          </w:rPr>
                        </w:pPr>
                        <w:r>
                          <w:rPr>
                            <w:sz w:val="14"/>
                          </w:rPr>
                          <w:t>Cash and cash equivalents</w:t>
                        </w:r>
                        <w:r>
                          <w:rPr>
                            <w:rFonts w:ascii="Times New Roman"/>
                            <w:sz w:val="14"/>
                          </w:rPr>
                          <w:tab/>
                        </w:r>
                        <w:r>
                          <w:rPr>
                            <w:b/>
                            <w:sz w:val="14"/>
                          </w:rPr>
                          <w:t>2.73</w:t>
                        </w:r>
                      </w:p>
                    </w:tc>
                    <w:tc>
                      <w:tcPr>
                        <w:tcW w:w="641" w:type="dxa"/>
                      </w:tcPr>
                      <w:p>
                        <w:pPr>
                          <w:pStyle w:val="TableParagraph"/>
                          <w:spacing w:before="7"/>
                          <w:ind w:right="173"/>
                          <w:rPr>
                            <w:sz w:val="14"/>
                          </w:rPr>
                        </w:pPr>
                        <w:r>
                          <w:rPr>
                            <w:sz w:val="14"/>
                          </w:rPr>
                          <w:t>3.04</w:t>
                        </w:r>
                      </w:p>
                    </w:tc>
                    <w:tc>
                      <w:tcPr>
                        <w:tcW w:w="890" w:type="dxa"/>
                      </w:tcPr>
                      <w:p>
                        <w:pPr>
                          <w:pStyle w:val="TableParagraph"/>
                          <w:spacing w:before="7"/>
                          <w:ind w:right="164"/>
                          <w:rPr>
                            <w:b/>
                            <w:sz w:val="14"/>
                          </w:rPr>
                        </w:pPr>
                        <w:r>
                          <w:rPr>
                            <w:b/>
                            <w:sz w:val="14"/>
                          </w:rPr>
                          <w:t>51,125</w:t>
                        </w:r>
                      </w:p>
                    </w:tc>
                    <w:tc>
                      <w:tcPr>
                        <w:tcW w:w="868" w:type="dxa"/>
                      </w:tcPr>
                      <w:p>
                        <w:pPr>
                          <w:pStyle w:val="TableParagraph"/>
                          <w:spacing w:before="7"/>
                          <w:ind w:right="173"/>
                          <w:rPr>
                            <w:sz w:val="14"/>
                          </w:rPr>
                        </w:pPr>
                        <w:r>
                          <w:rPr>
                            <w:sz w:val="14"/>
                          </w:rPr>
                          <w:t>38,168</w:t>
                        </w:r>
                      </w:p>
                    </w:tc>
                    <w:tc>
                      <w:tcPr>
                        <w:tcW w:w="913" w:type="dxa"/>
                      </w:tcPr>
                      <w:p>
                        <w:pPr>
                          <w:pStyle w:val="TableParagraph"/>
                          <w:spacing w:before="7"/>
                          <w:ind w:right="186"/>
                          <w:rPr>
                            <w:b/>
                            <w:sz w:val="14"/>
                          </w:rPr>
                        </w:pPr>
                        <w:r>
                          <w:rPr>
                            <w:b/>
                            <w:sz w:val="14"/>
                          </w:rPr>
                          <w:t>88,100</w:t>
                        </w:r>
                      </w:p>
                    </w:tc>
                    <w:tc>
                      <w:tcPr>
                        <w:tcW w:w="844" w:type="dxa"/>
                      </w:tcPr>
                      <w:p>
                        <w:pPr>
                          <w:pStyle w:val="TableParagraph"/>
                          <w:spacing w:before="7"/>
                          <w:ind w:right="173"/>
                          <w:rPr>
                            <w:sz w:val="14"/>
                          </w:rPr>
                        </w:pPr>
                        <w:r>
                          <w:rPr>
                            <w:sz w:val="14"/>
                          </w:rPr>
                          <w:t>94,376</w:t>
                        </w:r>
                      </w:p>
                    </w:tc>
                    <w:tc>
                      <w:tcPr>
                        <w:tcW w:w="913" w:type="dxa"/>
                      </w:tcPr>
                      <w:p>
                        <w:pPr>
                          <w:pStyle w:val="TableParagraph"/>
                          <w:spacing w:before="7"/>
                          <w:ind w:right="186"/>
                          <w:rPr>
                            <w:b/>
                            <w:sz w:val="14"/>
                          </w:rPr>
                        </w:pPr>
                        <w:r>
                          <w:rPr>
                            <w:b/>
                            <w:w w:val="100"/>
                            <w:sz w:val="14"/>
                          </w:rPr>
                          <w:t>-</w:t>
                        </w:r>
                      </w:p>
                    </w:tc>
                    <w:tc>
                      <w:tcPr>
                        <w:tcW w:w="867" w:type="dxa"/>
                      </w:tcPr>
                      <w:p>
                        <w:pPr>
                          <w:pStyle w:val="TableParagraph"/>
                          <w:spacing w:before="7"/>
                          <w:ind w:right="197"/>
                          <w:rPr>
                            <w:sz w:val="14"/>
                          </w:rPr>
                        </w:pPr>
                        <w:r>
                          <w:rPr>
                            <w:w w:val="100"/>
                            <w:sz w:val="14"/>
                          </w:rPr>
                          <w:t>-</w:t>
                        </w:r>
                      </w:p>
                    </w:tc>
                    <w:tc>
                      <w:tcPr>
                        <w:tcW w:w="867" w:type="dxa"/>
                      </w:tcPr>
                      <w:p>
                        <w:pPr>
                          <w:pStyle w:val="TableParagraph"/>
                          <w:spacing w:before="7"/>
                          <w:ind w:right="164"/>
                          <w:rPr>
                            <w:b/>
                            <w:sz w:val="14"/>
                          </w:rPr>
                        </w:pPr>
                        <w:r>
                          <w:rPr>
                            <w:b/>
                            <w:w w:val="100"/>
                            <w:sz w:val="14"/>
                          </w:rPr>
                          <w:t>-</w:t>
                        </w:r>
                      </w:p>
                    </w:tc>
                    <w:tc>
                      <w:tcPr>
                        <w:tcW w:w="865" w:type="dxa"/>
                      </w:tcPr>
                      <w:p>
                        <w:pPr>
                          <w:pStyle w:val="TableParagraph"/>
                          <w:spacing w:before="7"/>
                          <w:ind w:right="170"/>
                          <w:rPr>
                            <w:sz w:val="14"/>
                          </w:rPr>
                        </w:pPr>
                        <w:r>
                          <w:rPr>
                            <w:w w:val="100"/>
                            <w:sz w:val="14"/>
                          </w:rPr>
                          <w:t>-</w:t>
                        </w:r>
                      </w:p>
                    </w:tc>
                    <w:tc>
                      <w:tcPr>
                        <w:tcW w:w="902" w:type="dxa"/>
                      </w:tcPr>
                      <w:p>
                        <w:pPr>
                          <w:pStyle w:val="TableParagraph"/>
                          <w:spacing w:before="7"/>
                          <w:ind w:right="172"/>
                          <w:rPr>
                            <w:b/>
                            <w:sz w:val="14"/>
                          </w:rPr>
                        </w:pPr>
                        <w:r>
                          <w:rPr>
                            <w:b/>
                            <w:w w:val="100"/>
                            <w:sz w:val="14"/>
                          </w:rPr>
                          <w:t>-</w:t>
                        </w:r>
                      </w:p>
                    </w:tc>
                    <w:tc>
                      <w:tcPr>
                        <w:tcW w:w="878" w:type="dxa"/>
                      </w:tcPr>
                      <w:p>
                        <w:pPr>
                          <w:pStyle w:val="TableParagraph"/>
                          <w:spacing w:before="7"/>
                          <w:ind w:right="194"/>
                          <w:rPr>
                            <w:sz w:val="14"/>
                          </w:rPr>
                        </w:pPr>
                        <w:r>
                          <w:rPr>
                            <w:w w:val="100"/>
                            <w:sz w:val="14"/>
                          </w:rPr>
                          <w:t>-</w:t>
                        </w:r>
                      </w:p>
                    </w:tc>
                    <w:tc>
                      <w:tcPr>
                        <w:tcW w:w="878" w:type="dxa"/>
                      </w:tcPr>
                      <w:p>
                        <w:pPr>
                          <w:pStyle w:val="TableParagraph"/>
                          <w:spacing w:before="7"/>
                          <w:ind w:left="129" w:right="108"/>
                          <w:jc w:val="center"/>
                          <w:rPr>
                            <w:b/>
                            <w:sz w:val="14"/>
                          </w:rPr>
                        </w:pPr>
                        <w:r>
                          <w:rPr>
                            <w:b/>
                            <w:sz w:val="14"/>
                          </w:rPr>
                          <w:t>139,225</w:t>
                        </w:r>
                      </w:p>
                    </w:tc>
                    <w:tc>
                      <w:tcPr>
                        <w:tcW w:w="752" w:type="dxa"/>
                      </w:tcPr>
                      <w:p>
                        <w:pPr>
                          <w:pStyle w:val="TableParagraph"/>
                          <w:spacing w:before="7"/>
                          <w:ind w:right="67"/>
                          <w:rPr>
                            <w:sz w:val="14"/>
                          </w:rPr>
                        </w:pPr>
                        <w:r>
                          <w:rPr>
                            <w:sz w:val="14"/>
                          </w:rPr>
                          <w:t>132,544</w:t>
                        </w:r>
                      </w:p>
                    </w:tc>
                  </w:tr>
                  <w:tr>
                    <w:trPr>
                      <w:trHeight w:val="434" w:hRule="exact"/>
                    </w:trPr>
                    <w:tc>
                      <w:tcPr>
                        <w:tcW w:w="2812" w:type="dxa"/>
                        <w:gridSpan w:val="2"/>
                      </w:tcPr>
                      <w:p>
                        <w:pPr>
                          <w:pStyle w:val="TableParagraph"/>
                          <w:tabs>
                            <w:tab w:pos="2664" w:val="left" w:leader="none"/>
                          </w:tabs>
                          <w:spacing w:before="21"/>
                          <w:ind w:left="35"/>
                          <w:jc w:val="left"/>
                          <w:rPr>
                            <w:b/>
                            <w:sz w:val="14"/>
                          </w:rPr>
                        </w:pPr>
                        <w:r>
                          <w:rPr>
                            <w:sz w:val="14"/>
                          </w:rPr>
                          <w:t>Receivables</w:t>
                        </w:r>
                        <w:r>
                          <w:rPr>
                            <w:spacing w:val="-4"/>
                            <w:sz w:val="14"/>
                          </w:rPr>
                          <w:t> </w:t>
                        </w:r>
                        <w:r>
                          <w:rPr>
                            <w:sz w:val="14"/>
                          </w:rPr>
                          <w:t>(a)</w:t>
                          <w:tab/>
                        </w:r>
                        <w:r>
                          <w:rPr>
                            <w:b/>
                            <w:sz w:val="14"/>
                          </w:rPr>
                          <w:t>-</w:t>
                        </w:r>
                      </w:p>
                      <w:p>
                        <w:pPr>
                          <w:pStyle w:val="TableParagraph"/>
                          <w:spacing w:before="3"/>
                          <w:jc w:val="left"/>
                          <w:rPr>
                            <w:b/>
                            <w:sz w:val="12"/>
                          </w:rPr>
                        </w:pPr>
                      </w:p>
                      <w:p>
                        <w:pPr>
                          <w:pStyle w:val="TableParagraph"/>
                          <w:spacing w:line="151" w:lineRule="exact"/>
                          <w:ind w:left="35"/>
                          <w:jc w:val="left"/>
                          <w:rPr>
                            <w:sz w:val="14"/>
                          </w:rPr>
                        </w:pPr>
                        <w:r>
                          <w:rPr>
                            <w:sz w:val="14"/>
                          </w:rPr>
                          <w:t>Other Financial Assets:</w:t>
                        </w:r>
                      </w:p>
                    </w:tc>
                    <w:tc>
                      <w:tcPr>
                        <w:tcW w:w="641" w:type="dxa"/>
                      </w:tcPr>
                      <w:p>
                        <w:pPr>
                          <w:pStyle w:val="TableParagraph"/>
                          <w:spacing w:before="21"/>
                          <w:ind w:right="173"/>
                          <w:rPr>
                            <w:sz w:val="14"/>
                          </w:rPr>
                        </w:pPr>
                        <w:r>
                          <w:rPr>
                            <w:w w:val="100"/>
                            <w:sz w:val="14"/>
                          </w:rPr>
                          <w:t>-</w:t>
                        </w:r>
                      </w:p>
                    </w:tc>
                    <w:tc>
                      <w:tcPr>
                        <w:tcW w:w="890" w:type="dxa"/>
                      </w:tcPr>
                      <w:p>
                        <w:pPr>
                          <w:pStyle w:val="TableParagraph"/>
                          <w:spacing w:before="21"/>
                          <w:ind w:right="164"/>
                          <w:rPr>
                            <w:b/>
                            <w:sz w:val="14"/>
                          </w:rPr>
                        </w:pPr>
                        <w:r>
                          <w:rPr>
                            <w:b/>
                            <w:w w:val="100"/>
                            <w:sz w:val="14"/>
                          </w:rPr>
                          <w:t>-</w:t>
                        </w:r>
                      </w:p>
                    </w:tc>
                    <w:tc>
                      <w:tcPr>
                        <w:tcW w:w="868" w:type="dxa"/>
                      </w:tcPr>
                      <w:p>
                        <w:pPr>
                          <w:pStyle w:val="TableParagraph"/>
                          <w:spacing w:before="21"/>
                          <w:ind w:right="173"/>
                          <w:rPr>
                            <w:sz w:val="14"/>
                          </w:rPr>
                        </w:pPr>
                        <w:r>
                          <w:rPr>
                            <w:w w:val="100"/>
                            <w:sz w:val="14"/>
                          </w:rPr>
                          <w:t>-</w:t>
                        </w:r>
                      </w:p>
                    </w:tc>
                    <w:tc>
                      <w:tcPr>
                        <w:tcW w:w="913" w:type="dxa"/>
                      </w:tcPr>
                      <w:p>
                        <w:pPr>
                          <w:pStyle w:val="TableParagraph"/>
                          <w:spacing w:before="21"/>
                          <w:ind w:right="186"/>
                          <w:rPr>
                            <w:b/>
                            <w:sz w:val="14"/>
                          </w:rPr>
                        </w:pPr>
                        <w:r>
                          <w:rPr>
                            <w:b/>
                            <w:w w:val="100"/>
                            <w:sz w:val="14"/>
                          </w:rPr>
                          <w:t>-</w:t>
                        </w:r>
                      </w:p>
                    </w:tc>
                    <w:tc>
                      <w:tcPr>
                        <w:tcW w:w="844" w:type="dxa"/>
                      </w:tcPr>
                      <w:p>
                        <w:pPr>
                          <w:pStyle w:val="TableParagraph"/>
                          <w:spacing w:before="21"/>
                          <w:ind w:right="173"/>
                          <w:rPr>
                            <w:sz w:val="14"/>
                          </w:rPr>
                        </w:pPr>
                        <w:r>
                          <w:rPr>
                            <w:w w:val="100"/>
                            <w:sz w:val="14"/>
                          </w:rPr>
                          <w:t>-</w:t>
                        </w:r>
                      </w:p>
                    </w:tc>
                    <w:tc>
                      <w:tcPr>
                        <w:tcW w:w="913" w:type="dxa"/>
                      </w:tcPr>
                      <w:p>
                        <w:pPr>
                          <w:pStyle w:val="TableParagraph"/>
                          <w:spacing w:before="21"/>
                          <w:ind w:right="186"/>
                          <w:rPr>
                            <w:b/>
                            <w:sz w:val="14"/>
                          </w:rPr>
                        </w:pPr>
                        <w:r>
                          <w:rPr>
                            <w:b/>
                            <w:w w:val="100"/>
                            <w:sz w:val="14"/>
                          </w:rPr>
                          <w:t>-</w:t>
                        </w:r>
                      </w:p>
                    </w:tc>
                    <w:tc>
                      <w:tcPr>
                        <w:tcW w:w="867" w:type="dxa"/>
                      </w:tcPr>
                      <w:p>
                        <w:pPr>
                          <w:pStyle w:val="TableParagraph"/>
                          <w:spacing w:before="21"/>
                          <w:ind w:right="197"/>
                          <w:rPr>
                            <w:sz w:val="14"/>
                          </w:rPr>
                        </w:pPr>
                        <w:r>
                          <w:rPr>
                            <w:w w:val="100"/>
                            <w:sz w:val="14"/>
                          </w:rPr>
                          <w:t>-</w:t>
                        </w:r>
                      </w:p>
                    </w:tc>
                    <w:tc>
                      <w:tcPr>
                        <w:tcW w:w="867" w:type="dxa"/>
                      </w:tcPr>
                      <w:p>
                        <w:pPr>
                          <w:pStyle w:val="TableParagraph"/>
                          <w:spacing w:before="21"/>
                          <w:ind w:right="164"/>
                          <w:rPr>
                            <w:b/>
                            <w:sz w:val="14"/>
                          </w:rPr>
                        </w:pPr>
                        <w:r>
                          <w:rPr>
                            <w:b/>
                            <w:w w:val="100"/>
                            <w:sz w:val="14"/>
                          </w:rPr>
                          <w:t>-</w:t>
                        </w:r>
                      </w:p>
                    </w:tc>
                    <w:tc>
                      <w:tcPr>
                        <w:tcW w:w="865" w:type="dxa"/>
                      </w:tcPr>
                      <w:p>
                        <w:pPr>
                          <w:pStyle w:val="TableParagraph"/>
                          <w:spacing w:before="21"/>
                          <w:ind w:right="170"/>
                          <w:rPr>
                            <w:sz w:val="14"/>
                          </w:rPr>
                        </w:pPr>
                        <w:r>
                          <w:rPr>
                            <w:w w:val="100"/>
                            <w:sz w:val="14"/>
                          </w:rPr>
                          <w:t>-</w:t>
                        </w:r>
                      </w:p>
                    </w:tc>
                    <w:tc>
                      <w:tcPr>
                        <w:tcW w:w="902" w:type="dxa"/>
                      </w:tcPr>
                      <w:p>
                        <w:pPr>
                          <w:pStyle w:val="TableParagraph"/>
                          <w:spacing w:before="21"/>
                          <w:ind w:right="172"/>
                          <w:rPr>
                            <w:b/>
                            <w:sz w:val="14"/>
                          </w:rPr>
                        </w:pPr>
                        <w:r>
                          <w:rPr>
                            <w:b/>
                            <w:sz w:val="14"/>
                          </w:rPr>
                          <w:t>77,446</w:t>
                        </w:r>
                      </w:p>
                    </w:tc>
                    <w:tc>
                      <w:tcPr>
                        <w:tcW w:w="878" w:type="dxa"/>
                      </w:tcPr>
                      <w:p>
                        <w:pPr>
                          <w:pStyle w:val="TableParagraph"/>
                          <w:spacing w:before="21"/>
                          <w:ind w:left="252"/>
                          <w:jc w:val="left"/>
                          <w:rPr>
                            <w:sz w:val="14"/>
                          </w:rPr>
                        </w:pPr>
                        <w:r>
                          <w:rPr>
                            <w:sz w:val="14"/>
                          </w:rPr>
                          <w:t>60,131</w:t>
                        </w:r>
                      </w:p>
                    </w:tc>
                    <w:tc>
                      <w:tcPr>
                        <w:tcW w:w="878" w:type="dxa"/>
                      </w:tcPr>
                      <w:p>
                        <w:pPr>
                          <w:pStyle w:val="TableParagraph"/>
                          <w:spacing w:before="21"/>
                          <w:ind w:left="130" w:right="31"/>
                          <w:jc w:val="center"/>
                          <w:rPr>
                            <w:b/>
                            <w:sz w:val="14"/>
                          </w:rPr>
                        </w:pPr>
                        <w:r>
                          <w:rPr>
                            <w:b/>
                            <w:sz w:val="14"/>
                          </w:rPr>
                          <w:t>77,446</w:t>
                        </w:r>
                      </w:p>
                    </w:tc>
                    <w:tc>
                      <w:tcPr>
                        <w:tcW w:w="752" w:type="dxa"/>
                      </w:tcPr>
                      <w:p>
                        <w:pPr>
                          <w:pStyle w:val="TableParagraph"/>
                          <w:spacing w:before="21"/>
                          <w:ind w:right="67"/>
                          <w:rPr>
                            <w:sz w:val="14"/>
                          </w:rPr>
                        </w:pPr>
                        <w:r>
                          <w:rPr>
                            <w:sz w:val="14"/>
                          </w:rPr>
                          <w:t>60,131</w:t>
                        </w:r>
                      </w:p>
                    </w:tc>
                  </w:tr>
                  <w:tr>
                    <w:trPr>
                      <w:trHeight w:val="434" w:hRule="exact"/>
                    </w:trPr>
                    <w:tc>
                      <w:tcPr>
                        <w:tcW w:w="2812" w:type="dxa"/>
                        <w:gridSpan w:val="2"/>
                      </w:tcPr>
                      <w:p>
                        <w:pPr>
                          <w:pStyle w:val="TableParagraph"/>
                          <w:spacing w:before="78"/>
                          <w:ind w:left="249"/>
                          <w:jc w:val="left"/>
                          <w:rPr>
                            <w:sz w:val="14"/>
                          </w:rPr>
                        </w:pPr>
                        <w:r>
                          <w:rPr>
                            <w:sz w:val="14"/>
                          </w:rPr>
                          <w:t>Available for sale (Unlisted</w:t>
                        </w:r>
                      </w:p>
                      <w:p>
                        <w:pPr>
                          <w:pStyle w:val="TableParagraph"/>
                          <w:tabs>
                            <w:tab w:pos="2664" w:val="left" w:leader="none"/>
                          </w:tabs>
                          <w:ind w:left="249"/>
                          <w:jc w:val="left"/>
                          <w:rPr>
                            <w:b/>
                            <w:sz w:val="14"/>
                          </w:rPr>
                        </w:pPr>
                        <w:r>
                          <w:rPr>
                            <w:sz w:val="14"/>
                          </w:rPr>
                          <w:t>securities)</w:t>
                          <w:tab/>
                        </w:r>
                        <w:r>
                          <w:rPr>
                            <w:b/>
                            <w:sz w:val="14"/>
                          </w:rPr>
                          <w:t>-</w:t>
                        </w:r>
                      </w:p>
                    </w:tc>
                    <w:tc>
                      <w:tcPr>
                        <w:tcW w:w="641" w:type="dxa"/>
                      </w:tcPr>
                      <w:p>
                        <w:pPr>
                          <w:pStyle w:val="TableParagraph"/>
                          <w:spacing w:before="7"/>
                          <w:jc w:val="left"/>
                          <w:rPr>
                            <w:b/>
                            <w:sz w:val="20"/>
                          </w:rPr>
                        </w:pPr>
                      </w:p>
                      <w:p>
                        <w:pPr>
                          <w:pStyle w:val="TableParagraph"/>
                          <w:ind w:right="173"/>
                          <w:rPr>
                            <w:sz w:val="14"/>
                          </w:rPr>
                        </w:pPr>
                        <w:r>
                          <w:rPr>
                            <w:w w:val="100"/>
                            <w:sz w:val="14"/>
                          </w:rPr>
                          <w:t>-</w:t>
                        </w:r>
                      </w:p>
                    </w:tc>
                    <w:tc>
                      <w:tcPr>
                        <w:tcW w:w="890" w:type="dxa"/>
                      </w:tcPr>
                      <w:p>
                        <w:pPr>
                          <w:pStyle w:val="TableParagraph"/>
                          <w:spacing w:before="7"/>
                          <w:jc w:val="left"/>
                          <w:rPr>
                            <w:b/>
                            <w:sz w:val="20"/>
                          </w:rPr>
                        </w:pPr>
                      </w:p>
                      <w:p>
                        <w:pPr>
                          <w:pStyle w:val="TableParagraph"/>
                          <w:ind w:right="164"/>
                          <w:rPr>
                            <w:b/>
                            <w:sz w:val="14"/>
                          </w:rPr>
                        </w:pPr>
                        <w:r>
                          <w:rPr>
                            <w:b/>
                            <w:w w:val="100"/>
                            <w:sz w:val="14"/>
                          </w:rPr>
                          <w:t>-</w:t>
                        </w:r>
                      </w:p>
                    </w:tc>
                    <w:tc>
                      <w:tcPr>
                        <w:tcW w:w="868" w:type="dxa"/>
                      </w:tcPr>
                      <w:p>
                        <w:pPr>
                          <w:pStyle w:val="TableParagraph"/>
                          <w:spacing w:before="7"/>
                          <w:jc w:val="left"/>
                          <w:rPr>
                            <w:b/>
                            <w:sz w:val="20"/>
                          </w:rPr>
                        </w:pPr>
                      </w:p>
                      <w:p>
                        <w:pPr>
                          <w:pStyle w:val="TableParagraph"/>
                          <w:ind w:right="173"/>
                          <w:rPr>
                            <w:sz w:val="14"/>
                          </w:rPr>
                        </w:pPr>
                        <w:r>
                          <w:rPr>
                            <w:w w:val="100"/>
                            <w:sz w:val="14"/>
                          </w:rPr>
                          <w:t>-</w:t>
                        </w:r>
                      </w:p>
                    </w:tc>
                    <w:tc>
                      <w:tcPr>
                        <w:tcW w:w="913" w:type="dxa"/>
                      </w:tcPr>
                      <w:p>
                        <w:pPr>
                          <w:pStyle w:val="TableParagraph"/>
                          <w:spacing w:before="7"/>
                          <w:jc w:val="left"/>
                          <w:rPr>
                            <w:b/>
                            <w:sz w:val="20"/>
                          </w:rPr>
                        </w:pPr>
                      </w:p>
                      <w:p>
                        <w:pPr>
                          <w:pStyle w:val="TableParagraph"/>
                          <w:ind w:right="186"/>
                          <w:rPr>
                            <w:b/>
                            <w:sz w:val="14"/>
                          </w:rPr>
                        </w:pPr>
                        <w:r>
                          <w:rPr>
                            <w:b/>
                            <w:w w:val="100"/>
                            <w:sz w:val="14"/>
                          </w:rPr>
                          <w:t>-</w:t>
                        </w:r>
                      </w:p>
                    </w:tc>
                    <w:tc>
                      <w:tcPr>
                        <w:tcW w:w="844" w:type="dxa"/>
                      </w:tcPr>
                      <w:p>
                        <w:pPr>
                          <w:pStyle w:val="TableParagraph"/>
                          <w:spacing w:before="7"/>
                          <w:jc w:val="left"/>
                          <w:rPr>
                            <w:b/>
                            <w:sz w:val="20"/>
                          </w:rPr>
                        </w:pPr>
                      </w:p>
                      <w:p>
                        <w:pPr>
                          <w:pStyle w:val="TableParagraph"/>
                          <w:ind w:right="173"/>
                          <w:rPr>
                            <w:sz w:val="14"/>
                          </w:rPr>
                        </w:pPr>
                        <w:r>
                          <w:rPr>
                            <w:w w:val="100"/>
                            <w:sz w:val="14"/>
                          </w:rPr>
                          <w:t>-</w:t>
                        </w:r>
                      </w:p>
                    </w:tc>
                    <w:tc>
                      <w:tcPr>
                        <w:tcW w:w="913" w:type="dxa"/>
                      </w:tcPr>
                      <w:p>
                        <w:pPr>
                          <w:pStyle w:val="TableParagraph"/>
                          <w:spacing w:before="7"/>
                          <w:jc w:val="left"/>
                          <w:rPr>
                            <w:b/>
                            <w:sz w:val="20"/>
                          </w:rPr>
                        </w:pPr>
                      </w:p>
                      <w:p>
                        <w:pPr>
                          <w:pStyle w:val="TableParagraph"/>
                          <w:ind w:right="186"/>
                          <w:rPr>
                            <w:b/>
                            <w:sz w:val="14"/>
                          </w:rPr>
                        </w:pPr>
                        <w:r>
                          <w:rPr>
                            <w:b/>
                            <w:w w:val="100"/>
                            <w:sz w:val="14"/>
                          </w:rPr>
                          <w:t>-</w:t>
                        </w:r>
                      </w:p>
                    </w:tc>
                    <w:tc>
                      <w:tcPr>
                        <w:tcW w:w="867" w:type="dxa"/>
                      </w:tcPr>
                      <w:p>
                        <w:pPr>
                          <w:pStyle w:val="TableParagraph"/>
                          <w:spacing w:before="7"/>
                          <w:jc w:val="left"/>
                          <w:rPr>
                            <w:b/>
                            <w:sz w:val="20"/>
                          </w:rPr>
                        </w:pPr>
                      </w:p>
                      <w:p>
                        <w:pPr>
                          <w:pStyle w:val="TableParagraph"/>
                          <w:ind w:right="197"/>
                          <w:rPr>
                            <w:sz w:val="14"/>
                          </w:rPr>
                        </w:pPr>
                        <w:r>
                          <w:rPr>
                            <w:w w:val="100"/>
                            <w:sz w:val="14"/>
                          </w:rPr>
                          <w:t>-</w:t>
                        </w:r>
                      </w:p>
                    </w:tc>
                    <w:tc>
                      <w:tcPr>
                        <w:tcW w:w="867" w:type="dxa"/>
                      </w:tcPr>
                      <w:p>
                        <w:pPr>
                          <w:pStyle w:val="TableParagraph"/>
                          <w:spacing w:before="7"/>
                          <w:jc w:val="left"/>
                          <w:rPr>
                            <w:b/>
                            <w:sz w:val="20"/>
                          </w:rPr>
                        </w:pPr>
                      </w:p>
                      <w:p>
                        <w:pPr>
                          <w:pStyle w:val="TableParagraph"/>
                          <w:ind w:right="164"/>
                          <w:rPr>
                            <w:b/>
                            <w:sz w:val="14"/>
                          </w:rPr>
                        </w:pPr>
                        <w:r>
                          <w:rPr>
                            <w:b/>
                            <w:w w:val="100"/>
                            <w:sz w:val="14"/>
                          </w:rPr>
                          <w:t>-</w:t>
                        </w:r>
                      </w:p>
                    </w:tc>
                    <w:tc>
                      <w:tcPr>
                        <w:tcW w:w="865" w:type="dxa"/>
                      </w:tcPr>
                      <w:p>
                        <w:pPr>
                          <w:pStyle w:val="TableParagraph"/>
                          <w:spacing w:before="7"/>
                          <w:jc w:val="left"/>
                          <w:rPr>
                            <w:b/>
                            <w:sz w:val="20"/>
                          </w:rPr>
                        </w:pPr>
                      </w:p>
                      <w:p>
                        <w:pPr>
                          <w:pStyle w:val="TableParagraph"/>
                          <w:ind w:right="170"/>
                          <w:rPr>
                            <w:sz w:val="14"/>
                          </w:rPr>
                        </w:pPr>
                        <w:r>
                          <w:rPr>
                            <w:w w:val="100"/>
                            <w:sz w:val="14"/>
                          </w:rPr>
                          <w:t>-</w:t>
                        </w:r>
                      </w:p>
                    </w:tc>
                    <w:tc>
                      <w:tcPr>
                        <w:tcW w:w="902" w:type="dxa"/>
                      </w:tcPr>
                      <w:p>
                        <w:pPr>
                          <w:pStyle w:val="TableParagraph"/>
                          <w:spacing w:before="7"/>
                          <w:jc w:val="left"/>
                          <w:rPr>
                            <w:b/>
                            <w:sz w:val="20"/>
                          </w:rPr>
                        </w:pPr>
                      </w:p>
                      <w:p>
                        <w:pPr>
                          <w:pStyle w:val="TableParagraph"/>
                          <w:ind w:right="172"/>
                          <w:rPr>
                            <w:b/>
                            <w:sz w:val="14"/>
                          </w:rPr>
                        </w:pPr>
                        <w:r>
                          <w:rPr>
                            <w:b/>
                            <w:sz w:val="14"/>
                          </w:rPr>
                          <w:t>11,330</w:t>
                        </w:r>
                      </w:p>
                    </w:tc>
                    <w:tc>
                      <w:tcPr>
                        <w:tcW w:w="878" w:type="dxa"/>
                      </w:tcPr>
                      <w:p>
                        <w:pPr>
                          <w:pStyle w:val="TableParagraph"/>
                          <w:spacing w:before="7"/>
                          <w:jc w:val="left"/>
                          <w:rPr>
                            <w:b/>
                            <w:sz w:val="20"/>
                          </w:rPr>
                        </w:pPr>
                      </w:p>
                      <w:p>
                        <w:pPr>
                          <w:pStyle w:val="TableParagraph"/>
                          <w:ind w:left="330"/>
                          <w:jc w:val="left"/>
                          <w:rPr>
                            <w:sz w:val="14"/>
                          </w:rPr>
                        </w:pPr>
                        <w:r>
                          <w:rPr>
                            <w:sz w:val="14"/>
                          </w:rPr>
                          <w:t>9,500</w:t>
                        </w:r>
                      </w:p>
                    </w:tc>
                    <w:tc>
                      <w:tcPr>
                        <w:tcW w:w="878" w:type="dxa"/>
                      </w:tcPr>
                      <w:p>
                        <w:pPr>
                          <w:pStyle w:val="TableParagraph"/>
                          <w:spacing w:before="7"/>
                          <w:jc w:val="left"/>
                          <w:rPr>
                            <w:b/>
                            <w:sz w:val="20"/>
                          </w:rPr>
                        </w:pPr>
                      </w:p>
                      <w:p>
                        <w:pPr>
                          <w:pStyle w:val="TableParagraph"/>
                          <w:ind w:left="130" w:right="31"/>
                          <w:jc w:val="center"/>
                          <w:rPr>
                            <w:b/>
                            <w:sz w:val="14"/>
                          </w:rPr>
                        </w:pPr>
                        <w:r>
                          <w:rPr>
                            <w:b/>
                            <w:sz w:val="14"/>
                          </w:rPr>
                          <w:t>11,330</w:t>
                        </w:r>
                      </w:p>
                    </w:tc>
                    <w:tc>
                      <w:tcPr>
                        <w:tcW w:w="752" w:type="dxa"/>
                      </w:tcPr>
                      <w:p>
                        <w:pPr>
                          <w:pStyle w:val="TableParagraph"/>
                          <w:spacing w:before="7"/>
                          <w:jc w:val="left"/>
                          <w:rPr>
                            <w:b/>
                            <w:sz w:val="20"/>
                          </w:rPr>
                        </w:pPr>
                      </w:p>
                      <w:p>
                        <w:pPr>
                          <w:pStyle w:val="TableParagraph"/>
                          <w:ind w:right="67"/>
                          <w:rPr>
                            <w:sz w:val="14"/>
                          </w:rPr>
                        </w:pPr>
                        <w:r>
                          <w:rPr>
                            <w:sz w:val="14"/>
                          </w:rPr>
                          <w:t>9,500</w:t>
                        </w:r>
                      </w:p>
                    </w:tc>
                  </w:tr>
                  <w:tr>
                    <w:trPr>
                      <w:trHeight w:val="218" w:hRule="exact"/>
                    </w:trPr>
                    <w:tc>
                      <w:tcPr>
                        <w:tcW w:w="2812" w:type="dxa"/>
                        <w:gridSpan w:val="2"/>
                      </w:tcPr>
                      <w:p>
                        <w:pPr>
                          <w:pStyle w:val="TableParagraph"/>
                          <w:tabs>
                            <w:tab w:pos="2711" w:val="right" w:leader="none"/>
                          </w:tabs>
                          <w:spacing w:before="21"/>
                          <w:ind w:left="249"/>
                          <w:jc w:val="left"/>
                          <w:rPr>
                            <w:b/>
                            <w:sz w:val="14"/>
                          </w:rPr>
                        </w:pPr>
                        <w:r>
                          <w:rPr>
                            <w:sz w:val="14"/>
                          </w:rPr>
                          <w:t>Available for sale (Acadian)</w:t>
                        </w:r>
                        <w:r>
                          <w:rPr>
                            <w:rFonts w:ascii="Times New Roman"/>
                            <w:sz w:val="14"/>
                          </w:rPr>
                          <w:tab/>
                        </w:r>
                        <w:r>
                          <w:rPr>
                            <w:b/>
                            <w:sz w:val="14"/>
                          </w:rPr>
                          <w:t>11.41</w:t>
                        </w:r>
                      </w:p>
                    </w:tc>
                    <w:tc>
                      <w:tcPr>
                        <w:tcW w:w="641" w:type="dxa"/>
                      </w:tcPr>
                      <w:p>
                        <w:pPr>
                          <w:pStyle w:val="TableParagraph"/>
                          <w:spacing w:before="21"/>
                          <w:ind w:right="173"/>
                          <w:rPr>
                            <w:sz w:val="14"/>
                          </w:rPr>
                        </w:pPr>
                        <w:r>
                          <w:rPr>
                            <w:sz w:val="14"/>
                          </w:rPr>
                          <w:t>10.38</w:t>
                        </w:r>
                      </w:p>
                    </w:tc>
                    <w:tc>
                      <w:tcPr>
                        <w:tcW w:w="890" w:type="dxa"/>
                      </w:tcPr>
                      <w:p>
                        <w:pPr>
                          <w:pStyle w:val="TableParagraph"/>
                          <w:spacing w:before="21"/>
                          <w:ind w:right="164"/>
                          <w:rPr>
                            <w:b/>
                            <w:sz w:val="14"/>
                          </w:rPr>
                        </w:pPr>
                        <w:r>
                          <w:rPr>
                            <w:b/>
                            <w:sz w:val="14"/>
                          </w:rPr>
                          <w:t>76,143</w:t>
                        </w:r>
                      </w:p>
                    </w:tc>
                    <w:tc>
                      <w:tcPr>
                        <w:tcW w:w="868" w:type="dxa"/>
                      </w:tcPr>
                      <w:p>
                        <w:pPr>
                          <w:pStyle w:val="TableParagraph"/>
                          <w:spacing w:before="21"/>
                          <w:ind w:right="173"/>
                          <w:rPr>
                            <w:sz w:val="14"/>
                          </w:rPr>
                        </w:pPr>
                        <w:r>
                          <w:rPr>
                            <w:sz w:val="14"/>
                          </w:rPr>
                          <w:t>69,703</w:t>
                        </w:r>
                      </w:p>
                    </w:tc>
                    <w:tc>
                      <w:tcPr>
                        <w:tcW w:w="913" w:type="dxa"/>
                      </w:tcPr>
                      <w:p>
                        <w:pPr>
                          <w:pStyle w:val="TableParagraph"/>
                          <w:spacing w:before="21"/>
                          <w:ind w:right="186"/>
                          <w:rPr>
                            <w:b/>
                            <w:sz w:val="14"/>
                          </w:rPr>
                        </w:pPr>
                        <w:r>
                          <w:rPr>
                            <w:b/>
                            <w:w w:val="100"/>
                            <w:sz w:val="14"/>
                          </w:rPr>
                          <w:t>-</w:t>
                        </w:r>
                      </w:p>
                    </w:tc>
                    <w:tc>
                      <w:tcPr>
                        <w:tcW w:w="844" w:type="dxa"/>
                      </w:tcPr>
                      <w:p>
                        <w:pPr>
                          <w:pStyle w:val="TableParagraph"/>
                          <w:spacing w:before="21"/>
                          <w:ind w:right="173"/>
                          <w:rPr>
                            <w:sz w:val="14"/>
                          </w:rPr>
                        </w:pPr>
                        <w:r>
                          <w:rPr>
                            <w:w w:val="100"/>
                            <w:sz w:val="14"/>
                          </w:rPr>
                          <w:t>-</w:t>
                        </w:r>
                      </w:p>
                    </w:tc>
                    <w:tc>
                      <w:tcPr>
                        <w:tcW w:w="913" w:type="dxa"/>
                      </w:tcPr>
                      <w:p>
                        <w:pPr>
                          <w:pStyle w:val="TableParagraph"/>
                          <w:spacing w:before="21"/>
                          <w:ind w:right="186"/>
                          <w:rPr>
                            <w:b/>
                            <w:sz w:val="14"/>
                          </w:rPr>
                        </w:pPr>
                        <w:r>
                          <w:rPr>
                            <w:b/>
                            <w:w w:val="100"/>
                            <w:sz w:val="14"/>
                          </w:rPr>
                          <w:t>-</w:t>
                        </w:r>
                      </w:p>
                    </w:tc>
                    <w:tc>
                      <w:tcPr>
                        <w:tcW w:w="867" w:type="dxa"/>
                      </w:tcPr>
                      <w:p>
                        <w:pPr>
                          <w:pStyle w:val="TableParagraph"/>
                          <w:spacing w:before="21"/>
                          <w:ind w:right="197"/>
                          <w:rPr>
                            <w:sz w:val="14"/>
                          </w:rPr>
                        </w:pPr>
                        <w:r>
                          <w:rPr>
                            <w:w w:val="100"/>
                            <w:sz w:val="14"/>
                          </w:rPr>
                          <w:t>-</w:t>
                        </w:r>
                      </w:p>
                    </w:tc>
                    <w:tc>
                      <w:tcPr>
                        <w:tcW w:w="867" w:type="dxa"/>
                      </w:tcPr>
                      <w:p>
                        <w:pPr>
                          <w:pStyle w:val="TableParagraph"/>
                          <w:spacing w:before="21"/>
                          <w:ind w:right="164"/>
                          <w:rPr>
                            <w:b/>
                            <w:sz w:val="14"/>
                          </w:rPr>
                        </w:pPr>
                        <w:r>
                          <w:rPr>
                            <w:b/>
                            <w:w w:val="100"/>
                            <w:sz w:val="14"/>
                          </w:rPr>
                          <w:t>-</w:t>
                        </w:r>
                      </w:p>
                    </w:tc>
                    <w:tc>
                      <w:tcPr>
                        <w:tcW w:w="865" w:type="dxa"/>
                      </w:tcPr>
                      <w:p>
                        <w:pPr>
                          <w:pStyle w:val="TableParagraph"/>
                          <w:spacing w:before="21"/>
                          <w:ind w:right="170"/>
                          <w:rPr>
                            <w:sz w:val="14"/>
                          </w:rPr>
                        </w:pPr>
                        <w:r>
                          <w:rPr>
                            <w:w w:val="100"/>
                            <w:sz w:val="14"/>
                          </w:rPr>
                          <w:t>-</w:t>
                        </w:r>
                      </w:p>
                    </w:tc>
                    <w:tc>
                      <w:tcPr>
                        <w:tcW w:w="902" w:type="dxa"/>
                      </w:tcPr>
                      <w:p>
                        <w:pPr>
                          <w:pStyle w:val="TableParagraph"/>
                          <w:spacing w:before="21"/>
                          <w:ind w:right="172"/>
                          <w:rPr>
                            <w:b/>
                            <w:sz w:val="14"/>
                          </w:rPr>
                        </w:pPr>
                        <w:r>
                          <w:rPr>
                            <w:b/>
                            <w:w w:val="100"/>
                            <w:sz w:val="14"/>
                          </w:rPr>
                          <w:t>-</w:t>
                        </w:r>
                      </w:p>
                    </w:tc>
                    <w:tc>
                      <w:tcPr>
                        <w:tcW w:w="878" w:type="dxa"/>
                      </w:tcPr>
                      <w:p>
                        <w:pPr>
                          <w:pStyle w:val="TableParagraph"/>
                          <w:spacing w:before="21"/>
                          <w:ind w:right="194"/>
                          <w:rPr>
                            <w:sz w:val="14"/>
                          </w:rPr>
                        </w:pPr>
                        <w:r>
                          <w:rPr>
                            <w:w w:val="100"/>
                            <w:sz w:val="14"/>
                          </w:rPr>
                          <w:t>-</w:t>
                        </w:r>
                      </w:p>
                    </w:tc>
                    <w:tc>
                      <w:tcPr>
                        <w:tcW w:w="878" w:type="dxa"/>
                      </w:tcPr>
                      <w:p>
                        <w:pPr>
                          <w:pStyle w:val="TableParagraph"/>
                          <w:spacing w:before="21"/>
                          <w:ind w:left="130" w:right="31"/>
                          <w:jc w:val="center"/>
                          <w:rPr>
                            <w:b/>
                            <w:sz w:val="14"/>
                          </w:rPr>
                        </w:pPr>
                        <w:r>
                          <w:rPr>
                            <w:b/>
                            <w:sz w:val="14"/>
                          </w:rPr>
                          <w:t>76,143</w:t>
                        </w:r>
                      </w:p>
                    </w:tc>
                    <w:tc>
                      <w:tcPr>
                        <w:tcW w:w="752" w:type="dxa"/>
                      </w:tcPr>
                      <w:p>
                        <w:pPr>
                          <w:pStyle w:val="TableParagraph"/>
                          <w:spacing w:before="21"/>
                          <w:ind w:right="67"/>
                          <w:rPr>
                            <w:sz w:val="14"/>
                          </w:rPr>
                        </w:pPr>
                        <w:r>
                          <w:rPr>
                            <w:sz w:val="14"/>
                          </w:rPr>
                          <w:t>69,703</w:t>
                        </w:r>
                      </w:p>
                    </w:tc>
                  </w:tr>
                  <w:tr>
                    <w:trPr>
                      <w:trHeight w:val="219" w:hRule="exact"/>
                    </w:trPr>
                    <w:tc>
                      <w:tcPr>
                        <w:tcW w:w="2812" w:type="dxa"/>
                        <w:gridSpan w:val="2"/>
                      </w:tcPr>
                      <w:p>
                        <w:pPr>
                          <w:pStyle w:val="TableParagraph"/>
                          <w:tabs>
                            <w:tab w:pos="2711" w:val="right" w:leader="none"/>
                          </w:tabs>
                          <w:spacing w:before="21"/>
                          <w:ind w:left="249"/>
                          <w:jc w:val="left"/>
                          <w:rPr>
                            <w:b/>
                            <w:sz w:val="14"/>
                          </w:rPr>
                        </w:pPr>
                        <w:r>
                          <w:rPr>
                            <w:sz w:val="14"/>
                          </w:rPr>
                          <w:t>Held to maturity</w:t>
                        </w:r>
                        <w:r>
                          <w:rPr>
                            <w:rFonts w:ascii="Times New Roman"/>
                            <w:sz w:val="14"/>
                          </w:rPr>
                          <w:tab/>
                        </w:r>
                        <w:r>
                          <w:rPr>
                            <w:b/>
                            <w:sz w:val="14"/>
                          </w:rPr>
                          <w:t>3.50</w:t>
                        </w:r>
                      </w:p>
                    </w:tc>
                    <w:tc>
                      <w:tcPr>
                        <w:tcW w:w="641" w:type="dxa"/>
                        <w:tcBorders>
                          <w:bottom w:val="single" w:sz="0" w:space="0" w:color="000000"/>
                        </w:tcBorders>
                      </w:tcPr>
                      <w:p>
                        <w:pPr>
                          <w:pStyle w:val="TableParagraph"/>
                          <w:spacing w:before="21"/>
                          <w:ind w:right="173"/>
                          <w:rPr>
                            <w:sz w:val="14"/>
                          </w:rPr>
                        </w:pPr>
                        <w:r>
                          <w:rPr>
                            <w:sz w:val="14"/>
                          </w:rPr>
                          <w:t>4.04</w:t>
                        </w:r>
                      </w:p>
                    </w:tc>
                    <w:tc>
                      <w:tcPr>
                        <w:tcW w:w="890" w:type="dxa"/>
                        <w:tcBorders>
                          <w:bottom w:val="single" w:sz="0" w:space="0" w:color="000000"/>
                        </w:tcBorders>
                      </w:tcPr>
                      <w:p>
                        <w:pPr>
                          <w:pStyle w:val="TableParagraph"/>
                          <w:spacing w:before="21"/>
                          <w:ind w:right="164"/>
                          <w:rPr>
                            <w:b/>
                            <w:sz w:val="14"/>
                          </w:rPr>
                        </w:pPr>
                        <w:r>
                          <w:rPr>
                            <w:b/>
                            <w:sz w:val="14"/>
                          </w:rPr>
                          <w:t>152</w:t>
                        </w:r>
                      </w:p>
                    </w:tc>
                    <w:tc>
                      <w:tcPr>
                        <w:tcW w:w="868" w:type="dxa"/>
                        <w:tcBorders>
                          <w:bottom w:val="single" w:sz="0" w:space="0" w:color="000000"/>
                        </w:tcBorders>
                      </w:tcPr>
                      <w:p>
                        <w:pPr>
                          <w:pStyle w:val="TableParagraph"/>
                          <w:spacing w:before="21"/>
                          <w:ind w:right="173"/>
                          <w:rPr>
                            <w:sz w:val="14"/>
                          </w:rPr>
                        </w:pPr>
                        <w:r>
                          <w:rPr>
                            <w:sz w:val="14"/>
                          </w:rPr>
                          <w:t>292</w:t>
                        </w:r>
                      </w:p>
                    </w:tc>
                    <w:tc>
                      <w:tcPr>
                        <w:tcW w:w="913" w:type="dxa"/>
                        <w:tcBorders>
                          <w:bottom w:val="single" w:sz="0" w:space="0" w:color="000000"/>
                        </w:tcBorders>
                      </w:tcPr>
                      <w:p>
                        <w:pPr>
                          <w:pStyle w:val="TableParagraph"/>
                          <w:spacing w:before="21"/>
                          <w:ind w:right="186"/>
                          <w:rPr>
                            <w:b/>
                            <w:sz w:val="14"/>
                          </w:rPr>
                        </w:pPr>
                        <w:r>
                          <w:rPr>
                            <w:b/>
                            <w:sz w:val="14"/>
                          </w:rPr>
                          <w:t>501</w:t>
                        </w:r>
                      </w:p>
                    </w:tc>
                    <w:tc>
                      <w:tcPr>
                        <w:tcW w:w="844" w:type="dxa"/>
                        <w:tcBorders>
                          <w:bottom w:val="single" w:sz="0" w:space="0" w:color="000000"/>
                        </w:tcBorders>
                      </w:tcPr>
                      <w:p>
                        <w:pPr>
                          <w:pStyle w:val="TableParagraph"/>
                          <w:spacing w:before="21"/>
                          <w:ind w:right="173"/>
                          <w:rPr>
                            <w:sz w:val="14"/>
                          </w:rPr>
                        </w:pPr>
                        <w:r>
                          <w:rPr>
                            <w:sz w:val="14"/>
                          </w:rPr>
                          <w:t>498</w:t>
                        </w:r>
                      </w:p>
                    </w:tc>
                    <w:tc>
                      <w:tcPr>
                        <w:tcW w:w="913" w:type="dxa"/>
                        <w:tcBorders>
                          <w:bottom w:val="single" w:sz="0" w:space="0" w:color="000000"/>
                        </w:tcBorders>
                      </w:tcPr>
                      <w:p>
                        <w:pPr>
                          <w:pStyle w:val="TableParagraph"/>
                          <w:spacing w:before="21"/>
                          <w:ind w:right="186"/>
                          <w:rPr>
                            <w:b/>
                            <w:sz w:val="14"/>
                          </w:rPr>
                        </w:pPr>
                        <w:r>
                          <w:rPr>
                            <w:b/>
                            <w:sz w:val="14"/>
                          </w:rPr>
                          <w:t>8,540</w:t>
                        </w:r>
                      </w:p>
                    </w:tc>
                    <w:tc>
                      <w:tcPr>
                        <w:tcW w:w="867" w:type="dxa"/>
                        <w:tcBorders>
                          <w:bottom w:val="single" w:sz="0" w:space="0" w:color="000000"/>
                        </w:tcBorders>
                      </w:tcPr>
                      <w:p>
                        <w:pPr>
                          <w:pStyle w:val="TableParagraph"/>
                          <w:spacing w:before="21"/>
                          <w:ind w:left="316"/>
                          <w:jc w:val="left"/>
                          <w:rPr>
                            <w:sz w:val="14"/>
                          </w:rPr>
                        </w:pPr>
                        <w:r>
                          <w:rPr>
                            <w:sz w:val="14"/>
                          </w:rPr>
                          <w:t>3,541</w:t>
                        </w:r>
                      </w:p>
                    </w:tc>
                    <w:tc>
                      <w:tcPr>
                        <w:tcW w:w="867" w:type="dxa"/>
                        <w:tcBorders>
                          <w:bottom w:val="single" w:sz="0" w:space="0" w:color="000000"/>
                        </w:tcBorders>
                      </w:tcPr>
                      <w:p>
                        <w:pPr>
                          <w:pStyle w:val="TableParagraph"/>
                          <w:spacing w:before="21"/>
                          <w:ind w:right="164"/>
                          <w:rPr>
                            <w:b/>
                            <w:sz w:val="14"/>
                          </w:rPr>
                        </w:pPr>
                        <w:r>
                          <w:rPr>
                            <w:b/>
                            <w:sz w:val="14"/>
                          </w:rPr>
                          <w:t>1,509</w:t>
                        </w:r>
                      </w:p>
                    </w:tc>
                    <w:tc>
                      <w:tcPr>
                        <w:tcW w:w="865" w:type="dxa"/>
                        <w:tcBorders>
                          <w:bottom w:val="single" w:sz="0" w:space="0" w:color="000000"/>
                        </w:tcBorders>
                      </w:tcPr>
                      <w:p>
                        <w:pPr>
                          <w:pStyle w:val="TableParagraph"/>
                          <w:spacing w:before="21"/>
                          <w:ind w:right="170"/>
                          <w:rPr>
                            <w:sz w:val="14"/>
                          </w:rPr>
                        </w:pPr>
                        <w:r>
                          <w:rPr>
                            <w:sz w:val="14"/>
                          </w:rPr>
                          <w:t>2,002</w:t>
                        </w:r>
                      </w:p>
                    </w:tc>
                    <w:tc>
                      <w:tcPr>
                        <w:tcW w:w="902" w:type="dxa"/>
                        <w:tcBorders>
                          <w:bottom w:val="single" w:sz="0" w:space="0" w:color="000000"/>
                        </w:tcBorders>
                      </w:tcPr>
                      <w:p>
                        <w:pPr>
                          <w:pStyle w:val="TableParagraph"/>
                          <w:spacing w:before="21"/>
                          <w:ind w:right="172"/>
                          <w:rPr>
                            <w:b/>
                            <w:sz w:val="14"/>
                          </w:rPr>
                        </w:pPr>
                        <w:r>
                          <w:rPr>
                            <w:b/>
                            <w:w w:val="100"/>
                            <w:sz w:val="14"/>
                          </w:rPr>
                          <w:t>-</w:t>
                        </w:r>
                      </w:p>
                    </w:tc>
                    <w:tc>
                      <w:tcPr>
                        <w:tcW w:w="878" w:type="dxa"/>
                        <w:tcBorders>
                          <w:bottom w:val="single" w:sz="0" w:space="0" w:color="000000"/>
                        </w:tcBorders>
                      </w:tcPr>
                      <w:p>
                        <w:pPr>
                          <w:pStyle w:val="TableParagraph"/>
                          <w:spacing w:before="21"/>
                          <w:ind w:right="194"/>
                          <w:rPr>
                            <w:sz w:val="14"/>
                          </w:rPr>
                        </w:pPr>
                        <w:r>
                          <w:rPr>
                            <w:w w:val="100"/>
                            <w:sz w:val="14"/>
                          </w:rPr>
                          <w:t>-</w:t>
                        </w:r>
                      </w:p>
                    </w:tc>
                    <w:tc>
                      <w:tcPr>
                        <w:tcW w:w="878" w:type="dxa"/>
                        <w:tcBorders>
                          <w:bottom w:val="single" w:sz="0" w:space="0" w:color="000000"/>
                        </w:tcBorders>
                      </w:tcPr>
                      <w:p>
                        <w:pPr>
                          <w:pStyle w:val="TableParagraph"/>
                          <w:spacing w:before="21"/>
                          <w:ind w:left="130" w:right="31"/>
                          <w:jc w:val="center"/>
                          <w:rPr>
                            <w:b/>
                            <w:sz w:val="14"/>
                          </w:rPr>
                        </w:pPr>
                        <w:r>
                          <w:rPr>
                            <w:b/>
                            <w:sz w:val="14"/>
                          </w:rPr>
                          <w:t>10,702</w:t>
                        </w:r>
                      </w:p>
                    </w:tc>
                    <w:tc>
                      <w:tcPr>
                        <w:tcW w:w="752" w:type="dxa"/>
                        <w:tcBorders>
                          <w:bottom w:val="single" w:sz="0" w:space="0" w:color="000000"/>
                        </w:tcBorders>
                      </w:tcPr>
                      <w:p>
                        <w:pPr>
                          <w:pStyle w:val="TableParagraph"/>
                          <w:spacing w:before="21"/>
                          <w:ind w:right="67"/>
                          <w:rPr>
                            <w:sz w:val="14"/>
                          </w:rPr>
                        </w:pPr>
                        <w:r>
                          <w:rPr>
                            <w:sz w:val="14"/>
                          </w:rPr>
                          <w:t>6,333</w:t>
                        </w:r>
                      </w:p>
                    </w:tc>
                  </w:tr>
                  <w:tr>
                    <w:trPr>
                      <w:trHeight w:val="291" w:hRule="exact"/>
                    </w:trPr>
                    <w:tc>
                      <w:tcPr>
                        <w:tcW w:w="2812" w:type="dxa"/>
                        <w:gridSpan w:val="2"/>
                      </w:tcPr>
                      <w:p>
                        <w:pPr>
                          <w:pStyle w:val="TableParagraph"/>
                          <w:spacing w:before="123"/>
                          <w:ind w:left="35"/>
                          <w:jc w:val="left"/>
                          <w:rPr>
                            <w:b/>
                            <w:sz w:val="14"/>
                          </w:rPr>
                        </w:pPr>
                        <w:r>
                          <w:rPr>
                            <w:b/>
                            <w:sz w:val="14"/>
                          </w:rPr>
                          <w:t>Total Financial Assets</w:t>
                        </w:r>
                      </w:p>
                    </w:tc>
                    <w:tc>
                      <w:tcPr>
                        <w:tcW w:w="641" w:type="dxa"/>
                        <w:tcBorders>
                          <w:top w:val="single" w:sz="0" w:space="0" w:color="000000"/>
                          <w:bottom w:val="single" w:sz="0" w:space="0" w:color="000000"/>
                        </w:tcBorders>
                      </w:tcPr>
                      <w:p>
                        <w:pPr/>
                      </w:p>
                    </w:tc>
                    <w:tc>
                      <w:tcPr>
                        <w:tcW w:w="890" w:type="dxa"/>
                        <w:tcBorders>
                          <w:top w:val="single" w:sz="0" w:space="0" w:color="000000"/>
                          <w:bottom w:val="single" w:sz="0" w:space="0" w:color="000000"/>
                        </w:tcBorders>
                      </w:tcPr>
                      <w:p>
                        <w:pPr>
                          <w:pStyle w:val="TableParagraph"/>
                          <w:spacing w:before="123"/>
                          <w:ind w:right="164"/>
                          <w:rPr>
                            <w:b/>
                            <w:sz w:val="14"/>
                          </w:rPr>
                        </w:pPr>
                        <w:r>
                          <w:rPr>
                            <w:b/>
                            <w:sz w:val="14"/>
                          </w:rPr>
                          <w:t>127,420</w:t>
                        </w:r>
                      </w:p>
                    </w:tc>
                    <w:tc>
                      <w:tcPr>
                        <w:tcW w:w="868" w:type="dxa"/>
                        <w:tcBorders>
                          <w:top w:val="single" w:sz="0" w:space="0" w:color="000000"/>
                          <w:bottom w:val="single" w:sz="0" w:space="0" w:color="000000"/>
                        </w:tcBorders>
                      </w:tcPr>
                      <w:p>
                        <w:pPr>
                          <w:pStyle w:val="TableParagraph"/>
                          <w:spacing w:before="123"/>
                          <w:ind w:right="173"/>
                          <w:rPr>
                            <w:sz w:val="14"/>
                          </w:rPr>
                        </w:pPr>
                        <w:r>
                          <w:rPr>
                            <w:sz w:val="14"/>
                          </w:rPr>
                          <w:t>108,163</w:t>
                        </w:r>
                      </w:p>
                    </w:tc>
                    <w:tc>
                      <w:tcPr>
                        <w:tcW w:w="913" w:type="dxa"/>
                        <w:tcBorders>
                          <w:top w:val="single" w:sz="0" w:space="0" w:color="000000"/>
                          <w:bottom w:val="single" w:sz="0" w:space="0" w:color="000000"/>
                        </w:tcBorders>
                      </w:tcPr>
                      <w:p>
                        <w:pPr>
                          <w:pStyle w:val="TableParagraph"/>
                          <w:spacing w:before="123"/>
                          <w:ind w:right="186"/>
                          <w:rPr>
                            <w:b/>
                            <w:sz w:val="14"/>
                          </w:rPr>
                        </w:pPr>
                        <w:r>
                          <w:rPr>
                            <w:b/>
                            <w:sz w:val="14"/>
                          </w:rPr>
                          <w:t>88,601</w:t>
                        </w:r>
                      </w:p>
                    </w:tc>
                    <w:tc>
                      <w:tcPr>
                        <w:tcW w:w="844" w:type="dxa"/>
                        <w:tcBorders>
                          <w:top w:val="single" w:sz="0" w:space="0" w:color="000000"/>
                          <w:bottom w:val="single" w:sz="0" w:space="0" w:color="000000"/>
                        </w:tcBorders>
                      </w:tcPr>
                      <w:p>
                        <w:pPr>
                          <w:pStyle w:val="TableParagraph"/>
                          <w:spacing w:before="123"/>
                          <w:ind w:right="173"/>
                          <w:rPr>
                            <w:sz w:val="14"/>
                          </w:rPr>
                        </w:pPr>
                        <w:r>
                          <w:rPr>
                            <w:sz w:val="14"/>
                          </w:rPr>
                          <w:t>94,874</w:t>
                        </w:r>
                      </w:p>
                    </w:tc>
                    <w:tc>
                      <w:tcPr>
                        <w:tcW w:w="913" w:type="dxa"/>
                        <w:tcBorders>
                          <w:top w:val="single" w:sz="0" w:space="0" w:color="000000"/>
                          <w:bottom w:val="single" w:sz="0" w:space="0" w:color="000000"/>
                        </w:tcBorders>
                      </w:tcPr>
                      <w:p>
                        <w:pPr>
                          <w:pStyle w:val="TableParagraph"/>
                          <w:spacing w:before="123"/>
                          <w:ind w:right="186"/>
                          <w:rPr>
                            <w:b/>
                            <w:sz w:val="14"/>
                          </w:rPr>
                        </w:pPr>
                        <w:r>
                          <w:rPr>
                            <w:b/>
                            <w:sz w:val="14"/>
                          </w:rPr>
                          <w:t>8,540</w:t>
                        </w:r>
                      </w:p>
                    </w:tc>
                    <w:tc>
                      <w:tcPr>
                        <w:tcW w:w="867" w:type="dxa"/>
                        <w:tcBorders>
                          <w:top w:val="single" w:sz="0" w:space="0" w:color="000000"/>
                          <w:bottom w:val="single" w:sz="0" w:space="0" w:color="000000"/>
                        </w:tcBorders>
                      </w:tcPr>
                      <w:p>
                        <w:pPr>
                          <w:pStyle w:val="TableParagraph"/>
                          <w:spacing w:before="123"/>
                          <w:ind w:left="316"/>
                          <w:jc w:val="left"/>
                          <w:rPr>
                            <w:sz w:val="14"/>
                          </w:rPr>
                        </w:pPr>
                        <w:r>
                          <w:rPr>
                            <w:sz w:val="14"/>
                          </w:rPr>
                          <w:t>3,541</w:t>
                        </w:r>
                      </w:p>
                    </w:tc>
                    <w:tc>
                      <w:tcPr>
                        <w:tcW w:w="867" w:type="dxa"/>
                        <w:tcBorders>
                          <w:top w:val="single" w:sz="0" w:space="0" w:color="000000"/>
                          <w:bottom w:val="single" w:sz="0" w:space="0" w:color="000000"/>
                        </w:tcBorders>
                      </w:tcPr>
                      <w:p>
                        <w:pPr>
                          <w:pStyle w:val="TableParagraph"/>
                          <w:spacing w:before="123"/>
                          <w:ind w:right="164"/>
                          <w:rPr>
                            <w:b/>
                            <w:sz w:val="14"/>
                          </w:rPr>
                        </w:pPr>
                        <w:r>
                          <w:rPr>
                            <w:b/>
                            <w:sz w:val="14"/>
                          </w:rPr>
                          <w:t>1,509</w:t>
                        </w:r>
                      </w:p>
                    </w:tc>
                    <w:tc>
                      <w:tcPr>
                        <w:tcW w:w="865" w:type="dxa"/>
                        <w:tcBorders>
                          <w:top w:val="single" w:sz="0" w:space="0" w:color="000000"/>
                          <w:bottom w:val="single" w:sz="0" w:space="0" w:color="000000"/>
                        </w:tcBorders>
                      </w:tcPr>
                      <w:p>
                        <w:pPr>
                          <w:pStyle w:val="TableParagraph"/>
                          <w:spacing w:before="123"/>
                          <w:ind w:right="170"/>
                          <w:rPr>
                            <w:sz w:val="14"/>
                          </w:rPr>
                        </w:pPr>
                        <w:r>
                          <w:rPr>
                            <w:sz w:val="14"/>
                          </w:rPr>
                          <w:t>2,002</w:t>
                        </w:r>
                      </w:p>
                    </w:tc>
                    <w:tc>
                      <w:tcPr>
                        <w:tcW w:w="902" w:type="dxa"/>
                        <w:tcBorders>
                          <w:top w:val="single" w:sz="0" w:space="0" w:color="000000"/>
                          <w:bottom w:val="single" w:sz="0" w:space="0" w:color="000000"/>
                        </w:tcBorders>
                      </w:tcPr>
                      <w:p>
                        <w:pPr>
                          <w:pStyle w:val="TableParagraph"/>
                          <w:spacing w:before="123"/>
                          <w:ind w:right="172"/>
                          <w:rPr>
                            <w:b/>
                            <w:sz w:val="14"/>
                          </w:rPr>
                        </w:pPr>
                        <w:r>
                          <w:rPr>
                            <w:b/>
                            <w:sz w:val="14"/>
                          </w:rPr>
                          <w:t>88,776</w:t>
                        </w:r>
                      </w:p>
                    </w:tc>
                    <w:tc>
                      <w:tcPr>
                        <w:tcW w:w="878" w:type="dxa"/>
                        <w:tcBorders>
                          <w:top w:val="single" w:sz="0" w:space="0" w:color="000000"/>
                          <w:bottom w:val="single" w:sz="0" w:space="0" w:color="000000"/>
                        </w:tcBorders>
                      </w:tcPr>
                      <w:p>
                        <w:pPr>
                          <w:pStyle w:val="TableParagraph"/>
                          <w:spacing w:before="123"/>
                          <w:ind w:left="252"/>
                          <w:jc w:val="left"/>
                          <w:rPr>
                            <w:sz w:val="14"/>
                          </w:rPr>
                        </w:pPr>
                        <w:r>
                          <w:rPr>
                            <w:sz w:val="14"/>
                          </w:rPr>
                          <w:t>69,631</w:t>
                        </w:r>
                      </w:p>
                    </w:tc>
                    <w:tc>
                      <w:tcPr>
                        <w:tcW w:w="878" w:type="dxa"/>
                        <w:tcBorders>
                          <w:top w:val="single" w:sz="0" w:space="0" w:color="000000"/>
                          <w:bottom w:val="single" w:sz="0" w:space="0" w:color="000000"/>
                        </w:tcBorders>
                      </w:tcPr>
                      <w:p>
                        <w:pPr>
                          <w:pStyle w:val="TableParagraph"/>
                          <w:spacing w:before="123"/>
                          <w:ind w:left="129" w:right="108"/>
                          <w:jc w:val="center"/>
                          <w:rPr>
                            <w:b/>
                            <w:sz w:val="14"/>
                          </w:rPr>
                        </w:pPr>
                        <w:r>
                          <w:rPr>
                            <w:b/>
                            <w:sz w:val="14"/>
                          </w:rPr>
                          <w:t>314,846</w:t>
                        </w:r>
                      </w:p>
                    </w:tc>
                    <w:tc>
                      <w:tcPr>
                        <w:tcW w:w="752" w:type="dxa"/>
                        <w:tcBorders>
                          <w:top w:val="single" w:sz="0" w:space="0" w:color="000000"/>
                          <w:bottom w:val="single" w:sz="0" w:space="0" w:color="000000"/>
                        </w:tcBorders>
                      </w:tcPr>
                      <w:p>
                        <w:pPr>
                          <w:pStyle w:val="TableParagraph"/>
                          <w:spacing w:before="123"/>
                          <w:ind w:right="67"/>
                          <w:rPr>
                            <w:sz w:val="14"/>
                          </w:rPr>
                        </w:pPr>
                        <w:r>
                          <w:rPr>
                            <w:sz w:val="14"/>
                          </w:rPr>
                          <w:t>278,211</w:t>
                        </w:r>
                      </w:p>
                    </w:tc>
                  </w:tr>
                  <w:tr>
                    <w:trPr>
                      <w:trHeight w:val="542" w:hRule="exact"/>
                    </w:trPr>
                    <w:tc>
                      <w:tcPr>
                        <w:tcW w:w="2812" w:type="dxa"/>
                        <w:gridSpan w:val="2"/>
                      </w:tcPr>
                      <w:p>
                        <w:pPr>
                          <w:pStyle w:val="TableParagraph"/>
                          <w:spacing w:before="6"/>
                          <w:jc w:val="left"/>
                          <w:rPr>
                            <w:b/>
                            <w:sz w:val="13"/>
                          </w:rPr>
                        </w:pPr>
                      </w:p>
                      <w:p>
                        <w:pPr>
                          <w:pStyle w:val="TableParagraph"/>
                          <w:ind w:left="35"/>
                          <w:jc w:val="left"/>
                          <w:rPr>
                            <w:b/>
                            <w:sz w:val="14"/>
                          </w:rPr>
                        </w:pPr>
                        <w:r>
                          <w:rPr>
                            <w:b/>
                            <w:sz w:val="14"/>
                          </w:rPr>
                          <w:t>Financial Liabilities:</w:t>
                        </w:r>
                      </w:p>
                      <w:p>
                        <w:pPr>
                          <w:pStyle w:val="TableParagraph"/>
                          <w:tabs>
                            <w:tab w:pos="2664" w:val="left" w:leader="none"/>
                          </w:tabs>
                          <w:spacing w:before="28"/>
                          <w:ind w:left="35"/>
                          <w:jc w:val="left"/>
                          <w:rPr>
                            <w:b/>
                            <w:sz w:val="14"/>
                          </w:rPr>
                        </w:pPr>
                        <w:r>
                          <w:rPr>
                            <w:sz w:val="14"/>
                          </w:rPr>
                          <w:t>Payables</w:t>
                          <w:tab/>
                        </w:r>
                        <w:r>
                          <w:rPr>
                            <w:b/>
                            <w:sz w:val="14"/>
                          </w:rPr>
                          <w:t>-</w:t>
                        </w:r>
                      </w:p>
                    </w:tc>
                    <w:tc>
                      <w:tcPr>
                        <w:tcW w:w="641" w:type="dxa"/>
                        <w:tcBorders>
                          <w:top w:val="single" w:sz="0" w:space="0" w:color="000000"/>
                        </w:tcBorders>
                      </w:tcPr>
                      <w:p>
                        <w:pPr>
                          <w:pStyle w:val="TableParagraph"/>
                          <w:jc w:val="left"/>
                          <w:rPr>
                            <w:b/>
                            <w:sz w:val="14"/>
                          </w:rPr>
                        </w:pPr>
                      </w:p>
                      <w:p>
                        <w:pPr>
                          <w:pStyle w:val="TableParagraph"/>
                          <w:spacing w:before="11"/>
                          <w:jc w:val="left"/>
                          <w:rPr>
                            <w:b/>
                            <w:sz w:val="15"/>
                          </w:rPr>
                        </w:pPr>
                      </w:p>
                      <w:p>
                        <w:pPr>
                          <w:pStyle w:val="TableParagraph"/>
                          <w:ind w:right="173"/>
                          <w:rPr>
                            <w:sz w:val="14"/>
                          </w:rPr>
                        </w:pPr>
                        <w:r>
                          <w:rPr>
                            <w:w w:val="100"/>
                            <w:sz w:val="14"/>
                          </w:rPr>
                          <w:t>-</w:t>
                        </w:r>
                      </w:p>
                    </w:tc>
                    <w:tc>
                      <w:tcPr>
                        <w:tcW w:w="890" w:type="dxa"/>
                        <w:tcBorders>
                          <w:top w:val="single" w:sz="0" w:space="0" w:color="000000"/>
                        </w:tcBorders>
                      </w:tcPr>
                      <w:p>
                        <w:pPr>
                          <w:pStyle w:val="TableParagraph"/>
                          <w:jc w:val="left"/>
                          <w:rPr>
                            <w:b/>
                            <w:sz w:val="14"/>
                          </w:rPr>
                        </w:pPr>
                      </w:p>
                      <w:p>
                        <w:pPr>
                          <w:pStyle w:val="TableParagraph"/>
                          <w:spacing w:before="11"/>
                          <w:jc w:val="left"/>
                          <w:rPr>
                            <w:b/>
                            <w:sz w:val="15"/>
                          </w:rPr>
                        </w:pPr>
                      </w:p>
                      <w:p>
                        <w:pPr>
                          <w:pStyle w:val="TableParagraph"/>
                          <w:ind w:right="164"/>
                          <w:rPr>
                            <w:b/>
                            <w:sz w:val="14"/>
                          </w:rPr>
                        </w:pPr>
                        <w:r>
                          <w:rPr>
                            <w:b/>
                            <w:w w:val="100"/>
                            <w:sz w:val="14"/>
                          </w:rPr>
                          <w:t>-</w:t>
                        </w:r>
                      </w:p>
                    </w:tc>
                    <w:tc>
                      <w:tcPr>
                        <w:tcW w:w="868" w:type="dxa"/>
                        <w:tcBorders>
                          <w:top w:val="single" w:sz="0" w:space="0" w:color="000000"/>
                        </w:tcBorders>
                      </w:tcPr>
                      <w:p>
                        <w:pPr>
                          <w:pStyle w:val="TableParagraph"/>
                          <w:jc w:val="left"/>
                          <w:rPr>
                            <w:b/>
                            <w:sz w:val="14"/>
                          </w:rPr>
                        </w:pPr>
                      </w:p>
                      <w:p>
                        <w:pPr>
                          <w:pStyle w:val="TableParagraph"/>
                          <w:spacing w:before="11"/>
                          <w:jc w:val="left"/>
                          <w:rPr>
                            <w:b/>
                            <w:sz w:val="15"/>
                          </w:rPr>
                        </w:pPr>
                      </w:p>
                      <w:p>
                        <w:pPr>
                          <w:pStyle w:val="TableParagraph"/>
                          <w:ind w:right="173"/>
                          <w:rPr>
                            <w:sz w:val="14"/>
                          </w:rPr>
                        </w:pPr>
                        <w:r>
                          <w:rPr>
                            <w:w w:val="100"/>
                            <w:sz w:val="14"/>
                          </w:rPr>
                          <w:t>-</w:t>
                        </w:r>
                      </w:p>
                    </w:tc>
                    <w:tc>
                      <w:tcPr>
                        <w:tcW w:w="913" w:type="dxa"/>
                        <w:tcBorders>
                          <w:top w:val="single" w:sz="0" w:space="0" w:color="000000"/>
                        </w:tcBorders>
                      </w:tcPr>
                      <w:p>
                        <w:pPr>
                          <w:pStyle w:val="TableParagraph"/>
                          <w:jc w:val="left"/>
                          <w:rPr>
                            <w:b/>
                            <w:sz w:val="14"/>
                          </w:rPr>
                        </w:pPr>
                      </w:p>
                      <w:p>
                        <w:pPr>
                          <w:pStyle w:val="TableParagraph"/>
                          <w:spacing w:before="11"/>
                          <w:jc w:val="left"/>
                          <w:rPr>
                            <w:b/>
                            <w:sz w:val="15"/>
                          </w:rPr>
                        </w:pPr>
                      </w:p>
                      <w:p>
                        <w:pPr>
                          <w:pStyle w:val="TableParagraph"/>
                          <w:ind w:right="186"/>
                          <w:rPr>
                            <w:b/>
                            <w:sz w:val="14"/>
                          </w:rPr>
                        </w:pPr>
                        <w:r>
                          <w:rPr>
                            <w:b/>
                            <w:w w:val="100"/>
                            <w:sz w:val="14"/>
                          </w:rPr>
                          <w:t>-</w:t>
                        </w:r>
                      </w:p>
                    </w:tc>
                    <w:tc>
                      <w:tcPr>
                        <w:tcW w:w="844" w:type="dxa"/>
                        <w:tcBorders>
                          <w:top w:val="single" w:sz="0" w:space="0" w:color="000000"/>
                        </w:tcBorders>
                      </w:tcPr>
                      <w:p>
                        <w:pPr>
                          <w:pStyle w:val="TableParagraph"/>
                          <w:jc w:val="left"/>
                          <w:rPr>
                            <w:b/>
                            <w:sz w:val="14"/>
                          </w:rPr>
                        </w:pPr>
                      </w:p>
                      <w:p>
                        <w:pPr>
                          <w:pStyle w:val="TableParagraph"/>
                          <w:spacing w:before="11"/>
                          <w:jc w:val="left"/>
                          <w:rPr>
                            <w:b/>
                            <w:sz w:val="15"/>
                          </w:rPr>
                        </w:pPr>
                      </w:p>
                      <w:p>
                        <w:pPr>
                          <w:pStyle w:val="TableParagraph"/>
                          <w:ind w:right="173"/>
                          <w:rPr>
                            <w:sz w:val="14"/>
                          </w:rPr>
                        </w:pPr>
                        <w:r>
                          <w:rPr>
                            <w:w w:val="100"/>
                            <w:sz w:val="14"/>
                          </w:rPr>
                          <w:t>-</w:t>
                        </w:r>
                      </w:p>
                    </w:tc>
                    <w:tc>
                      <w:tcPr>
                        <w:tcW w:w="913" w:type="dxa"/>
                        <w:tcBorders>
                          <w:top w:val="single" w:sz="0" w:space="0" w:color="000000"/>
                        </w:tcBorders>
                      </w:tcPr>
                      <w:p>
                        <w:pPr>
                          <w:pStyle w:val="TableParagraph"/>
                          <w:jc w:val="left"/>
                          <w:rPr>
                            <w:b/>
                            <w:sz w:val="14"/>
                          </w:rPr>
                        </w:pPr>
                      </w:p>
                      <w:p>
                        <w:pPr>
                          <w:pStyle w:val="TableParagraph"/>
                          <w:spacing w:before="11"/>
                          <w:jc w:val="left"/>
                          <w:rPr>
                            <w:b/>
                            <w:sz w:val="15"/>
                          </w:rPr>
                        </w:pPr>
                      </w:p>
                      <w:p>
                        <w:pPr>
                          <w:pStyle w:val="TableParagraph"/>
                          <w:ind w:right="186"/>
                          <w:rPr>
                            <w:b/>
                            <w:sz w:val="14"/>
                          </w:rPr>
                        </w:pPr>
                        <w:r>
                          <w:rPr>
                            <w:b/>
                            <w:w w:val="100"/>
                            <w:sz w:val="14"/>
                          </w:rPr>
                          <w:t>-</w:t>
                        </w:r>
                      </w:p>
                    </w:tc>
                    <w:tc>
                      <w:tcPr>
                        <w:tcW w:w="867" w:type="dxa"/>
                        <w:tcBorders>
                          <w:top w:val="single" w:sz="0" w:space="0" w:color="000000"/>
                        </w:tcBorders>
                      </w:tcPr>
                      <w:p>
                        <w:pPr>
                          <w:pStyle w:val="TableParagraph"/>
                          <w:jc w:val="left"/>
                          <w:rPr>
                            <w:b/>
                            <w:sz w:val="14"/>
                          </w:rPr>
                        </w:pPr>
                      </w:p>
                      <w:p>
                        <w:pPr>
                          <w:pStyle w:val="TableParagraph"/>
                          <w:spacing w:before="11"/>
                          <w:jc w:val="left"/>
                          <w:rPr>
                            <w:b/>
                            <w:sz w:val="15"/>
                          </w:rPr>
                        </w:pPr>
                      </w:p>
                      <w:p>
                        <w:pPr>
                          <w:pStyle w:val="TableParagraph"/>
                          <w:ind w:right="197"/>
                          <w:rPr>
                            <w:sz w:val="14"/>
                          </w:rPr>
                        </w:pPr>
                        <w:r>
                          <w:rPr>
                            <w:w w:val="100"/>
                            <w:sz w:val="14"/>
                          </w:rPr>
                          <w:t>-</w:t>
                        </w:r>
                      </w:p>
                    </w:tc>
                    <w:tc>
                      <w:tcPr>
                        <w:tcW w:w="867" w:type="dxa"/>
                        <w:tcBorders>
                          <w:top w:val="single" w:sz="0" w:space="0" w:color="000000"/>
                        </w:tcBorders>
                      </w:tcPr>
                      <w:p>
                        <w:pPr>
                          <w:pStyle w:val="TableParagraph"/>
                          <w:jc w:val="left"/>
                          <w:rPr>
                            <w:b/>
                            <w:sz w:val="14"/>
                          </w:rPr>
                        </w:pPr>
                      </w:p>
                      <w:p>
                        <w:pPr>
                          <w:pStyle w:val="TableParagraph"/>
                          <w:spacing w:before="11"/>
                          <w:jc w:val="left"/>
                          <w:rPr>
                            <w:b/>
                            <w:sz w:val="15"/>
                          </w:rPr>
                        </w:pPr>
                      </w:p>
                      <w:p>
                        <w:pPr>
                          <w:pStyle w:val="TableParagraph"/>
                          <w:ind w:right="164"/>
                          <w:rPr>
                            <w:b/>
                            <w:sz w:val="14"/>
                          </w:rPr>
                        </w:pPr>
                        <w:r>
                          <w:rPr>
                            <w:b/>
                            <w:w w:val="100"/>
                            <w:sz w:val="14"/>
                          </w:rPr>
                          <w:t>-</w:t>
                        </w:r>
                      </w:p>
                    </w:tc>
                    <w:tc>
                      <w:tcPr>
                        <w:tcW w:w="865" w:type="dxa"/>
                        <w:tcBorders>
                          <w:top w:val="single" w:sz="0" w:space="0" w:color="000000"/>
                        </w:tcBorders>
                      </w:tcPr>
                      <w:p>
                        <w:pPr>
                          <w:pStyle w:val="TableParagraph"/>
                          <w:jc w:val="left"/>
                          <w:rPr>
                            <w:b/>
                            <w:sz w:val="14"/>
                          </w:rPr>
                        </w:pPr>
                      </w:p>
                      <w:p>
                        <w:pPr>
                          <w:pStyle w:val="TableParagraph"/>
                          <w:spacing w:before="11"/>
                          <w:jc w:val="left"/>
                          <w:rPr>
                            <w:b/>
                            <w:sz w:val="15"/>
                          </w:rPr>
                        </w:pPr>
                      </w:p>
                      <w:p>
                        <w:pPr>
                          <w:pStyle w:val="TableParagraph"/>
                          <w:ind w:right="170"/>
                          <w:rPr>
                            <w:sz w:val="14"/>
                          </w:rPr>
                        </w:pPr>
                        <w:r>
                          <w:rPr>
                            <w:w w:val="100"/>
                            <w:sz w:val="14"/>
                          </w:rPr>
                          <w:t>-</w:t>
                        </w:r>
                      </w:p>
                    </w:tc>
                    <w:tc>
                      <w:tcPr>
                        <w:tcW w:w="902" w:type="dxa"/>
                        <w:tcBorders>
                          <w:top w:val="single" w:sz="0" w:space="0" w:color="000000"/>
                        </w:tcBorders>
                      </w:tcPr>
                      <w:p>
                        <w:pPr>
                          <w:pStyle w:val="TableParagraph"/>
                          <w:jc w:val="left"/>
                          <w:rPr>
                            <w:b/>
                            <w:sz w:val="14"/>
                          </w:rPr>
                        </w:pPr>
                      </w:p>
                      <w:p>
                        <w:pPr>
                          <w:pStyle w:val="TableParagraph"/>
                          <w:spacing w:before="11"/>
                          <w:jc w:val="left"/>
                          <w:rPr>
                            <w:b/>
                            <w:sz w:val="15"/>
                          </w:rPr>
                        </w:pPr>
                      </w:p>
                      <w:p>
                        <w:pPr>
                          <w:pStyle w:val="TableParagraph"/>
                          <w:ind w:right="125"/>
                          <w:rPr>
                            <w:b/>
                            <w:sz w:val="14"/>
                          </w:rPr>
                        </w:pPr>
                        <w:r>
                          <w:rPr>
                            <w:b/>
                            <w:sz w:val="14"/>
                          </w:rPr>
                          <w:t>(43,995)</w:t>
                        </w:r>
                      </w:p>
                    </w:tc>
                    <w:tc>
                      <w:tcPr>
                        <w:tcW w:w="878" w:type="dxa"/>
                        <w:tcBorders>
                          <w:top w:val="single" w:sz="0" w:space="0" w:color="000000"/>
                        </w:tcBorders>
                      </w:tcPr>
                      <w:p>
                        <w:pPr>
                          <w:pStyle w:val="TableParagraph"/>
                          <w:jc w:val="left"/>
                          <w:rPr>
                            <w:b/>
                            <w:sz w:val="14"/>
                          </w:rPr>
                        </w:pPr>
                      </w:p>
                      <w:p>
                        <w:pPr>
                          <w:pStyle w:val="TableParagraph"/>
                          <w:spacing w:before="11"/>
                          <w:jc w:val="left"/>
                          <w:rPr>
                            <w:b/>
                            <w:sz w:val="15"/>
                          </w:rPr>
                        </w:pPr>
                      </w:p>
                      <w:p>
                        <w:pPr>
                          <w:pStyle w:val="TableParagraph"/>
                          <w:ind w:right="147"/>
                          <w:rPr>
                            <w:sz w:val="14"/>
                          </w:rPr>
                        </w:pPr>
                        <w:r>
                          <w:rPr>
                            <w:sz w:val="14"/>
                          </w:rPr>
                          <w:t>(54,418)</w:t>
                        </w:r>
                      </w:p>
                    </w:tc>
                    <w:tc>
                      <w:tcPr>
                        <w:tcW w:w="878" w:type="dxa"/>
                        <w:tcBorders>
                          <w:top w:val="single" w:sz="0" w:space="0" w:color="000000"/>
                        </w:tcBorders>
                      </w:tcPr>
                      <w:p>
                        <w:pPr>
                          <w:pStyle w:val="TableParagraph"/>
                          <w:jc w:val="left"/>
                          <w:rPr>
                            <w:b/>
                            <w:sz w:val="14"/>
                          </w:rPr>
                        </w:pPr>
                      </w:p>
                      <w:p>
                        <w:pPr>
                          <w:pStyle w:val="TableParagraph"/>
                          <w:spacing w:before="11"/>
                          <w:jc w:val="left"/>
                          <w:rPr>
                            <w:b/>
                            <w:sz w:val="15"/>
                          </w:rPr>
                        </w:pPr>
                      </w:p>
                      <w:p>
                        <w:pPr>
                          <w:pStyle w:val="TableParagraph"/>
                          <w:ind w:left="130" w:right="31"/>
                          <w:jc w:val="center"/>
                          <w:rPr>
                            <w:b/>
                            <w:sz w:val="14"/>
                          </w:rPr>
                        </w:pPr>
                        <w:r>
                          <w:rPr>
                            <w:b/>
                            <w:sz w:val="14"/>
                          </w:rPr>
                          <w:t>(43,995)</w:t>
                        </w:r>
                      </w:p>
                    </w:tc>
                    <w:tc>
                      <w:tcPr>
                        <w:tcW w:w="752" w:type="dxa"/>
                        <w:tcBorders>
                          <w:top w:val="single" w:sz="0" w:space="0" w:color="000000"/>
                        </w:tcBorders>
                      </w:tcPr>
                      <w:p>
                        <w:pPr>
                          <w:pStyle w:val="TableParagraph"/>
                          <w:jc w:val="left"/>
                          <w:rPr>
                            <w:b/>
                            <w:sz w:val="14"/>
                          </w:rPr>
                        </w:pPr>
                      </w:p>
                      <w:p>
                        <w:pPr>
                          <w:pStyle w:val="TableParagraph"/>
                          <w:spacing w:before="11"/>
                          <w:jc w:val="left"/>
                          <w:rPr>
                            <w:b/>
                            <w:sz w:val="15"/>
                          </w:rPr>
                        </w:pPr>
                      </w:p>
                      <w:p>
                        <w:pPr>
                          <w:pStyle w:val="TableParagraph"/>
                          <w:ind w:right="22"/>
                          <w:rPr>
                            <w:sz w:val="14"/>
                          </w:rPr>
                        </w:pPr>
                        <w:r>
                          <w:rPr>
                            <w:sz w:val="14"/>
                          </w:rPr>
                          <w:t>(54,418)</w:t>
                        </w:r>
                      </w:p>
                    </w:tc>
                  </w:tr>
                  <w:tr>
                    <w:trPr>
                      <w:trHeight w:val="218" w:hRule="exact"/>
                    </w:trPr>
                    <w:tc>
                      <w:tcPr>
                        <w:tcW w:w="2812" w:type="dxa"/>
                        <w:gridSpan w:val="2"/>
                      </w:tcPr>
                      <w:p>
                        <w:pPr>
                          <w:pStyle w:val="TableParagraph"/>
                          <w:tabs>
                            <w:tab w:pos="2711" w:val="right" w:leader="none"/>
                          </w:tabs>
                          <w:spacing w:before="21"/>
                          <w:ind w:left="34"/>
                          <w:jc w:val="left"/>
                          <w:rPr>
                            <w:b/>
                            <w:sz w:val="14"/>
                          </w:rPr>
                        </w:pPr>
                        <w:r>
                          <w:rPr>
                            <w:sz w:val="14"/>
                          </w:rPr>
                          <w:t>Borrowings</w:t>
                        </w:r>
                        <w:r>
                          <w:rPr>
                            <w:rFonts w:ascii="Times New Roman"/>
                            <w:sz w:val="14"/>
                          </w:rPr>
                          <w:tab/>
                        </w:r>
                        <w:r>
                          <w:rPr>
                            <w:b/>
                            <w:sz w:val="14"/>
                          </w:rPr>
                          <w:t>2.78</w:t>
                        </w:r>
                      </w:p>
                    </w:tc>
                    <w:tc>
                      <w:tcPr>
                        <w:tcW w:w="641" w:type="dxa"/>
                      </w:tcPr>
                      <w:p>
                        <w:pPr>
                          <w:pStyle w:val="TableParagraph"/>
                          <w:spacing w:before="21"/>
                          <w:ind w:right="173"/>
                          <w:rPr>
                            <w:sz w:val="14"/>
                          </w:rPr>
                        </w:pPr>
                        <w:r>
                          <w:rPr>
                            <w:sz w:val="14"/>
                          </w:rPr>
                          <w:t>3.15</w:t>
                        </w:r>
                      </w:p>
                    </w:tc>
                    <w:tc>
                      <w:tcPr>
                        <w:tcW w:w="890" w:type="dxa"/>
                      </w:tcPr>
                      <w:p>
                        <w:pPr>
                          <w:pStyle w:val="TableParagraph"/>
                          <w:spacing w:before="21"/>
                          <w:ind w:right="164"/>
                          <w:rPr>
                            <w:b/>
                            <w:sz w:val="14"/>
                          </w:rPr>
                        </w:pPr>
                        <w:r>
                          <w:rPr>
                            <w:b/>
                            <w:w w:val="100"/>
                            <w:sz w:val="14"/>
                          </w:rPr>
                          <w:t>-</w:t>
                        </w:r>
                      </w:p>
                    </w:tc>
                    <w:tc>
                      <w:tcPr>
                        <w:tcW w:w="868" w:type="dxa"/>
                      </w:tcPr>
                      <w:p>
                        <w:pPr>
                          <w:pStyle w:val="TableParagraph"/>
                          <w:spacing w:before="21"/>
                          <w:ind w:right="173"/>
                          <w:rPr>
                            <w:sz w:val="14"/>
                          </w:rPr>
                        </w:pPr>
                        <w:r>
                          <w:rPr>
                            <w:w w:val="100"/>
                            <w:sz w:val="14"/>
                          </w:rPr>
                          <w:t>-</w:t>
                        </w:r>
                      </w:p>
                    </w:tc>
                    <w:tc>
                      <w:tcPr>
                        <w:tcW w:w="913" w:type="dxa"/>
                      </w:tcPr>
                      <w:p>
                        <w:pPr>
                          <w:pStyle w:val="TableParagraph"/>
                          <w:spacing w:before="21"/>
                          <w:ind w:right="140"/>
                          <w:rPr>
                            <w:b/>
                            <w:sz w:val="14"/>
                          </w:rPr>
                        </w:pPr>
                        <w:r>
                          <w:rPr>
                            <w:b/>
                            <w:sz w:val="14"/>
                          </w:rPr>
                          <w:t>(72,000)</w:t>
                        </w:r>
                      </w:p>
                    </w:tc>
                    <w:tc>
                      <w:tcPr>
                        <w:tcW w:w="844" w:type="dxa"/>
                      </w:tcPr>
                      <w:p>
                        <w:pPr>
                          <w:pStyle w:val="TableParagraph"/>
                          <w:spacing w:before="21"/>
                          <w:ind w:right="173"/>
                          <w:rPr>
                            <w:sz w:val="14"/>
                          </w:rPr>
                        </w:pPr>
                        <w:r>
                          <w:rPr>
                            <w:w w:val="100"/>
                            <w:sz w:val="14"/>
                          </w:rPr>
                          <w:t>-</w:t>
                        </w:r>
                      </w:p>
                    </w:tc>
                    <w:tc>
                      <w:tcPr>
                        <w:tcW w:w="913" w:type="dxa"/>
                      </w:tcPr>
                      <w:p>
                        <w:pPr>
                          <w:pStyle w:val="TableParagraph"/>
                          <w:spacing w:before="21"/>
                          <w:ind w:right="140"/>
                          <w:rPr>
                            <w:b/>
                            <w:sz w:val="14"/>
                          </w:rPr>
                        </w:pPr>
                        <w:r>
                          <w:rPr>
                            <w:b/>
                            <w:sz w:val="14"/>
                          </w:rPr>
                          <w:t>(83,000)</w:t>
                        </w:r>
                      </w:p>
                    </w:tc>
                    <w:tc>
                      <w:tcPr>
                        <w:tcW w:w="867" w:type="dxa"/>
                      </w:tcPr>
                      <w:p>
                        <w:pPr>
                          <w:pStyle w:val="TableParagraph"/>
                          <w:spacing w:before="21"/>
                          <w:ind w:right="150"/>
                          <w:rPr>
                            <w:sz w:val="14"/>
                          </w:rPr>
                        </w:pPr>
                        <w:r>
                          <w:rPr>
                            <w:sz w:val="14"/>
                          </w:rPr>
                          <w:t>(75,500)</w:t>
                        </w:r>
                      </w:p>
                    </w:tc>
                    <w:tc>
                      <w:tcPr>
                        <w:tcW w:w="867" w:type="dxa"/>
                      </w:tcPr>
                      <w:p>
                        <w:pPr>
                          <w:pStyle w:val="TableParagraph"/>
                          <w:spacing w:before="21"/>
                          <w:ind w:right="164"/>
                          <w:rPr>
                            <w:b/>
                            <w:sz w:val="14"/>
                          </w:rPr>
                        </w:pPr>
                        <w:r>
                          <w:rPr>
                            <w:b/>
                            <w:w w:val="100"/>
                            <w:sz w:val="14"/>
                          </w:rPr>
                          <w:t>-</w:t>
                        </w:r>
                      </w:p>
                    </w:tc>
                    <w:tc>
                      <w:tcPr>
                        <w:tcW w:w="865" w:type="dxa"/>
                      </w:tcPr>
                      <w:p>
                        <w:pPr>
                          <w:pStyle w:val="TableParagraph"/>
                          <w:spacing w:before="21"/>
                          <w:ind w:right="170"/>
                          <w:rPr>
                            <w:sz w:val="14"/>
                          </w:rPr>
                        </w:pPr>
                        <w:r>
                          <w:rPr>
                            <w:w w:val="100"/>
                            <w:sz w:val="14"/>
                          </w:rPr>
                          <w:t>-</w:t>
                        </w:r>
                      </w:p>
                    </w:tc>
                    <w:tc>
                      <w:tcPr>
                        <w:tcW w:w="902" w:type="dxa"/>
                      </w:tcPr>
                      <w:p>
                        <w:pPr>
                          <w:pStyle w:val="TableParagraph"/>
                          <w:spacing w:before="21"/>
                          <w:ind w:right="172"/>
                          <w:rPr>
                            <w:b/>
                            <w:sz w:val="14"/>
                          </w:rPr>
                        </w:pPr>
                        <w:r>
                          <w:rPr>
                            <w:b/>
                            <w:w w:val="100"/>
                            <w:sz w:val="14"/>
                          </w:rPr>
                          <w:t>-</w:t>
                        </w:r>
                      </w:p>
                    </w:tc>
                    <w:tc>
                      <w:tcPr>
                        <w:tcW w:w="878" w:type="dxa"/>
                      </w:tcPr>
                      <w:p>
                        <w:pPr>
                          <w:pStyle w:val="TableParagraph"/>
                          <w:spacing w:before="21"/>
                          <w:ind w:right="194"/>
                          <w:rPr>
                            <w:sz w:val="14"/>
                          </w:rPr>
                        </w:pPr>
                        <w:r>
                          <w:rPr>
                            <w:w w:val="100"/>
                            <w:sz w:val="14"/>
                          </w:rPr>
                          <w:t>-</w:t>
                        </w:r>
                      </w:p>
                    </w:tc>
                    <w:tc>
                      <w:tcPr>
                        <w:tcW w:w="878" w:type="dxa"/>
                      </w:tcPr>
                      <w:p>
                        <w:pPr>
                          <w:pStyle w:val="TableParagraph"/>
                          <w:spacing w:before="21"/>
                          <w:ind w:left="129" w:right="108"/>
                          <w:jc w:val="center"/>
                          <w:rPr>
                            <w:b/>
                            <w:sz w:val="14"/>
                          </w:rPr>
                        </w:pPr>
                        <w:r>
                          <w:rPr>
                            <w:b/>
                            <w:sz w:val="14"/>
                          </w:rPr>
                          <w:t>(155,000)</w:t>
                        </w:r>
                      </w:p>
                    </w:tc>
                    <w:tc>
                      <w:tcPr>
                        <w:tcW w:w="752" w:type="dxa"/>
                      </w:tcPr>
                      <w:p>
                        <w:pPr>
                          <w:pStyle w:val="TableParagraph"/>
                          <w:spacing w:before="21"/>
                          <w:ind w:right="22"/>
                          <w:rPr>
                            <w:sz w:val="14"/>
                          </w:rPr>
                        </w:pPr>
                        <w:r>
                          <w:rPr>
                            <w:sz w:val="14"/>
                          </w:rPr>
                          <w:t>(75,500)</w:t>
                        </w:r>
                      </w:p>
                    </w:tc>
                  </w:tr>
                  <w:tr>
                    <w:trPr>
                      <w:trHeight w:val="219" w:hRule="exact"/>
                    </w:trPr>
                    <w:tc>
                      <w:tcPr>
                        <w:tcW w:w="2812" w:type="dxa"/>
                        <w:gridSpan w:val="2"/>
                      </w:tcPr>
                      <w:p>
                        <w:pPr>
                          <w:pStyle w:val="TableParagraph"/>
                          <w:tabs>
                            <w:tab w:pos="2664" w:val="left" w:leader="none"/>
                          </w:tabs>
                          <w:spacing w:before="21"/>
                          <w:ind w:left="34"/>
                          <w:jc w:val="left"/>
                          <w:rPr>
                            <w:b/>
                            <w:sz w:val="14"/>
                          </w:rPr>
                        </w:pPr>
                        <w:r>
                          <w:rPr>
                            <w:sz w:val="14"/>
                          </w:rPr>
                          <w:t>Other financial liabilities</w:t>
                          <w:tab/>
                        </w:r>
                        <w:r>
                          <w:rPr>
                            <w:b/>
                            <w:sz w:val="14"/>
                          </w:rPr>
                          <w:t>-</w:t>
                        </w:r>
                      </w:p>
                    </w:tc>
                    <w:tc>
                      <w:tcPr>
                        <w:tcW w:w="641" w:type="dxa"/>
                        <w:tcBorders>
                          <w:bottom w:val="single" w:sz="0" w:space="0" w:color="000000"/>
                        </w:tcBorders>
                      </w:tcPr>
                      <w:p>
                        <w:pPr>
                          <w:pStyle w:val="TableParagraph"/>
                          <w:spacing w:before="21"/>
                          <w:ind w:right="173"/>
                          <w:rPr>
                            <w:sz w:val="14"/>
                          </w:rPr>
                        </w:pPr>
                        <w:r>
                          <w:rPr>
                            <w:w w:val="100"/>
                            <w:sz w:val="14"/>
                          </w:rPr>
                          <w:t>-</w:t>
                        </w:r>
                      </w:p>
                    </w:tc>
                    <w:tc>
                      <w:tcPr>
                        <w:tcW w:w="890" w:type="dxa"/>
                        <w:tcBorders>
                          <w:bottom w:val="single" w:sz="0" w:space="0" w:color="000000"/>
                        </w:tcBorders>
                      </w:tcPr>
                      <w:p>
                        <w:pPr>
                          <w:pStyle w:val="TableParagraph"/>
                          <w:spacing w:before="21"/>
                          <w:ind w:right="164"/>
                          <w:rPr>
                            <w:b/>
                            <w:sz w:val="14"/>
                          </w:rPr>
                        </w:pPr>
                        <w:r>
                          <w:rPr>
                            <w:b/>
                            <w:w w:val="100"/>
                            <w:sz w:val="14"/>
                          </w:rPr>
                          <w:t>-</w:t>
                        </w:r>
                      </w:p>
                    </w:tc>
                    <w:tc>
                      <w:tcPr>
                        <w:tcW w:w="868" w:type="dxa"/>
                        <w:tcBorders>
                          <w:bottom w:val="single" w:sz="0" w:space="0" w:color="000000"/>
                        </w:tcBorders>
                      </w:tcPr>
                      <w:p>
                        <w:pPr>
                          <w:pStyle w:val="TableParagraph"/>
                          <w:spacing w:before="21"/>
                          <w:ind w:right="173"/>
                          <w:rPr>
                            <w:sz w:val="14"/>
                          </w:rPr>
                        </w:pPr>
                        <w:r>
                          <w:rPr>
                            <w:w w:val="100"/>
                            <w:sz w:val="14"/>
                          </w:rPr>
                          <w:t>-</w:t>
                        </w:r>
                      </w:p>
                    </w:tc>
                    <w:tc>
                      <w:tcPr>
                        <w:tcW w:w="913" w:type="dxa"/>
                        <w:tcBorders>
                          <w:bottom w:val="single" w:sz="0" w:space="0" w:color="000000"/>
                        </w:tcBorders>
                      </w:tcPr>
                      <w:p>
                        <w:pPr>
                          <w:pStyle w:val="TableParagraph"/>
                          <w:spacing w:before="21"/>
                          <w:ind w:right="186"/>
                          <w:rPr>
                            <w:b/>
                            <w:sz w:val="14"/>
                          </w:rPr>
                        </w:pPr>
                        <w:r>
                          <w:rPr>
                            <w:b/>
                            <w:w w:val="100"/>
                            <w:sz w:val="14"/>
                          </w:rPr>
                          <w:t>-</w:t>
                        </w:r>
                      </w:p>
                    </w:tc>
                    <w:tc>
                      <w:tcPr>
                        <w:tcW w:w="844" w:type="dxa"/>
                        <w:tcBorders>
                          <w:bottom w:val="single" w:sz="0" w:space="0" w:color="000000"/>
                        </w:tcBorders>
                      </w:tcPr>
                      <w:p>
                        <w:pPr>
                          <w:pStyle w:val="TableParagraph"/>
                          <w:spacing w:before="21"/>
                          <w:ind w:right="173"/>
                          <w:rPr>
                            <w:sz w:val="14"/>
                          </w:rPr>
                        </w:pPr>
                        <w:r>
                          <w:rPr>
                            <w:w w:val="100"/>
                            <w:sz w:val="14"/>
                          </w:rPr>
                          <w:t>-</w:t>
                        </w:r>
                      </w:p>
                    </w:tc>
                    <w:tc>
                      <w:tcPr>
                        <w:tcW w:w="913" w:type="dxa"/>
                        <w:tcBorders>
                          <w:bottom w:val="single" w:sz="0" w:space="0" w:color="000000"/>
                        </w:tcBorders>
                      </w:tcPr>
                      <w:p>
                        <w:pPr>
                          <w:pStyle w:val="TableParagraph"/>
                          <w:spacing w:before="21"/>
                          <w:ind w:right="186"/>
                          <w:rPr>
                            <w:b/>
                            <w:sz w:val="14"/>
                          </w:rPr>
                        </w:pPr>
                        <w:r>
                          <w:rPr>
                            <w:b/>
                            <w:w w:val="100"/>
                            <w:sz w:val="14"/>
                          </w:rPr>
                          <w:t>-</w:t>
                        </w:r>
                      </w:p>
                    </w:tc>
                    <w:tc>
                      <w:tcPr>
                        <w:tcW w:w="867" w:type="dxa"/>
                        <w:tcBorders>
                          <w:bottom w:val="single" w:sz="0" w:space="0" w:color="000000"/>
                        </w:tcBorders>
                      </w:tcPr>
                      <w:p>
                        <w:pPr>
                          <w:pStyle w:val="TableParagraph"/>
                          <w:spacing w:before="21"/>
                          <w:ind w:right="197"/>
                          <w:rPr>
                            <w:sz w:val="14"/>
                          </w:rPr>
                        </w:pPr>
                        <w:r>
                          <w:rPr>
                            <w:w w:val="100"/>
                            <w:sz w:val="14"/>
                          </w:rPr>
                          <w:t>-</w:t>
                        </w:r>
                      </w:p>
                    </w:tc>
                    <w:tc>
                      <w:tcPr>
                        <w:tcW w:w="867" w:type="dxa"/>
                        <w:tcBorders>
                          <w:bottom w:val="single" w:sz="0" w:space="0" w:color="000000"/>
                        </w:tcBorders>
                      </w:tcPr>
                      <w:p>
                        <w:pPr>
                          <w:pStyle w:val="TableParagraph"/>
                          <w:spacing w:before="21"/>
                          <w:ind w:right="164"/>
                          <w:rPr>
                            <w:b/>
                            <w:sz w:val="14"/>
                          </w:rPr>
                        </w:pPr>
                        <w:r>
                          <w:rPr>
                            <w:b/>
                            <w:w w:val="100"/>
                            <w:sz w:val="14"/>
                          </w:rPr>
                          <w:t>-</w:t>
                        </w:r>
                      </w:p>
                    </w:tc>
                    <w:tc>
                      <w:tcPr>
                        <w:tcW w:w="865" w:type="dxa"/>
                        <w:tcBorders>
                          <w:bottom w:val="single" w:sz="0" w:space="0" w:color="000000"/>
                        </w:tcBorders>
                      </w:tcPr>
                      <w:p>
                        <w:pPr>
                          <w:pStyle w:val="TableParagraph"/>
                          <w:spacing w:before="21"/>
                          <w:ind w:right="170"/>
                          <w:rPr>
                            <w:sz w:val="14"/>
                          </w:rPr>
                        </w:pPr>
                        <w:r>
                          <w:rPr>
                            <w:w w:val="100"/>
                            <w:sz w:val="14"/>
                          </w:rPr>
                          <w:t>-</w:t>
                        </w:r>
                      </w:p>
                    </w:tc>
                    <w:tc>
                      <w:tcPr>
                        <w:tcW w:w="902" w:type="dxa"/>
                        <w:tcBorders>
                          <w:bottom w:val="single" w:sz="0" w:space="0" w:color="000000"/>
                        </w:tcBorders>
                      </w:tcPr>
                      <w:p>
                        <w:pPr>
                          <w:pStyle w:val="TableParagraph"/>
                          <w:spacing w:before="21"/>
                          <w:ind w:right="125"/>
                          <w:rPr>
                            <w:b/>
                            <w:sz w:val="14"/>
                          </w:rPr>
                        </w:pPr>
                        <w:r>
                          <w:rPr>
                            <w:b/>
                            <w:sz w:val="14"/>
                          </w:rPr>
                          <w:t>(58,279)</w:t>
                        </w:r>
                      </w:p>
                    </w:tc>
                    <w:tc>
                      <w:tcPr>
                        <w:tcW w:w="878" w:type="dxa"/>
                        <w:tcBorders>
                          <w:bottom w:val="single" w:sz="0" w:space="0" w:color="000000"/>
                        </w:tcBorders>
                      </w:tcPr>
                      <w:p>
                        <w:pPr>
                          <w:pStyle w:val="TableParagraph"/>
                          <w:spacing w:before="21"/>
                          <w:ind w:right="147"/>
                          <w:rPr>
                            <w:sz w:val="14"/>
                          </w:rPr>
                        </w:pPr>
                        <w:r>
                          <w:rPr>
                            <w:sz w:val="14"/>
                          </w:rPr>
                          <w:t>(54,737)</w:t>
                        </w:r>
                      </w:p>
                    </w:tc>
                    <w:tc>
                      <w:tcPr>
                        <w:tcW w:w="878" w:type="dxa"/>
                        <w:tcBorders>
                          <w:bottom w:val="single" w:sz="0" w:space="0" w:color="000000"/>
                        </w:tcBorders>
                      </w:tcPr>
                      <w:p>
                        <w:pPr>
                          <w:pStyle w:val="TableParagraph"/>
                          <w:spacing w:before="21"/>
                          <w:ind w:left="130" w:right="31"/>
                          <w:jc w:val="center"/>
                          <w:rPr>
                            <w:b/>
                            <w:sz w:val="14"/>
                          </w:rPr>
                        </w:pPr>
                        <w:r>
                          <w:rPr>
                            <w:b/>
                            <w:sz w:val="14"/>
                          </w:rPr>
                          <w:t>(58,279)</w:t>
                        </w:r>
                      </w:p>
                    </w:tc>
                    <w:tc>
                      <w:tcPr>
                        <w:tcW w:w="752" w:type="dxa"/>
                        <w:tcBorders>
                          <w:bottom w:val="single" w:sz="0" w:space="0" w:color="000000"/>
                        </w:tcBorders>
                      </w:tcPr>
                      <w:p>
                        <w:pPr>
                          <w:pStyle w:val="TableParagraph"/>
                          <w:spacing w:before="21"/>
                          <w:ind w:right="22"/>
                          <w:rPr>
                            <w:sz w:val="14"/>
                          </w:rPr>
                        </w:pPr>
                        <w:r>
                          <w:rPr>
                            <w:sz w:val="14"/>
                          </w:rPr>
                          <w:t>(54,737)</w:t>
                        </w:r>
                      </w:p>
                    </w:tc>
                  </w:tr>
                  <w:tr>
                    <w:trPr>
                      <w:trHeight w:val="308" w:hRule="exact"/>
                    </w:trPr>
                    <w:tc>
                      <w:tcPr>
                        <w:tcW w:w="2812" w:type="dxa"/>
                        <w:gridSpan w:val="2"/>
                      </w:tcPr>
                      <w:p>
                        <w:pPr>
                          <w:pStyle w:val="TableParagraph"/>
                          <w:spacing w:before="123"/>
                          <w:ind w:left="35"/>
                          <w:jc w:val="left"/>
                          <w:rPr>
                            <w:b/>
                            <w:sz w:val="14"/>
                          </w:rPr>
                        </w:pPr>
                        <w:r>
                          <w:rPr>
                            <w:b/>
                            <w:sz w:val="14"/>
                          </w:rPr>
                          <w:t>Total Financial Liabilities</w:t>
                        </w:r>
                      </w:p>
                    </w:tc>
                    <w:tc>
                      <w:tcPr>
                        <w:tcW w:w="641" w:type="dxa"/>
                        <w:tcBorders>
                          <w:top w:val="single" w:sz="0" w:space="0" w:color="000000"/>
                          <w:bottom w:val="single" w:sz="0" w:space="0" w:color="000000"/>
                        </w:tcBorders>
                      </w:tcPr>
                      <w:p>
                        <w:pPr/>
                      </w:p>
                    </w:tc>
                    <w:tc>
                      <w:tcPr>
                        <w:tcW w:w="890" w:type="dxa"/>
                        <w:tcBorders>
                          <w:top w:val="single" w:sz="0" w:space="0" w:color="000000"/>
                          <w:bottom w:val="single" w:sz="0" w:space="0" w:color="000000"/>
                        </w:tcBorders>
                      </w:tcPr>
                      <w:p>
                        <w:pPr>
                          <w:pStyle w:val="TableParagraph"/>
                          <w:spacing w:before="123"/>
                          <w:ind w:right="164"/>
                          <w:rPr>
                            <w:b/>
                            <w:sz w:val="14"/>
                          </w:rPr>
                        </w:pPr>
                        <w:r>
                          <w:rPr>
                            <w:b/>
                            <w:w w:val="100"/>
                            <w:sz w:val="14"/>
                          </w:rPr>
                          <w:t>-</w:t>
                        </w:r>
                      </w:p>
                    </w:tc>
                    <w:tc>
                      <w:tcPr>
                        <w:tcW w:w="868" w:type="dxa"/>
                        <w:tcBorders>
                          <w:top w:val="single" w:sz="0" w:space="0" w:color="000000"/>
                          <w:bottom w:val="single" w:sz="0" w:space="0" w:color="000000"/>
                        </w:tcBorders>
                      </w:tcPr>
                      <w:p>
                        <w:pPr>
                          <w:pStyle w:val="TableParagraph"/>
                          <w:spacing w:before="123"/>
                          <w:ind w:right="173"/>
                          <w:rPr>
                            <w:sz w:val="14"/>
                          </w:rPr>
                        </w:pPr>
                        <w:r>
                          <w:rPr>
                            <w:w w:val="100"/>
                            <w:sz w:val="14"/>
                          </w:rPr>
                          <w:t>-</w:t>
                        </w:r>
                      </w:p>
                    </w:tc>
                    <w:tc>
                      <w:tcPr>
                        <w:tcW w:w="913" w:type="dxa"/>
                        <w:tcBorders>
                          <w:top w:val="single" w:sz="0" w:space="0" w:color="000000"/>
                          <w:bottom w:val="single" w:sz="0" w:space="0" w:color="000000"/>
                        </w:tcBorders>
                      </w:tcPr>
                      <w:p>
                        <w:pPr>
                          <w:pStyle w:val="TableParagraph"/>
                          <w:spacing w:before="123"/>
                          <w:ind w:right="140"/>
                          <w:rPr>
                            <w:b/>
                            <w:sz w:val="14"/>
                          </w:rPr>
                        </w:pPr>
                        <w:r>
                          <w:rPr>
                            <w:b/>
                            <w:sz w:val="14"/>
                          </w:rPr>
                          <w:t>(72,000)</w:t>
                        </w:r>
                      </w:p>
                    </w:tc>
                    <w:tc>
                      <w:tcPr>
                        <w:tcW w:w="844" w:type="dxa"/>
                        <w:tcBorders>
                          <w:top w:val="single" w:sz="0" w:space="0" w:color="000000"/>
                          <w:bottom w:val="single" w:sz="0" w:space="0" w:color="000000"/>
                        </w:tcBorders>
                      </w:tcPr>
                      <w:p>
                        <w:pPr>
                          <w:pStyle w:val="TableParagraph"/>
                          <w:spacing w:before="123"/>
                          <w:ind w:right="173"/>
                          <w:rPr>
                            <w:sz w:val="14"/>
                          </w:rPr>
                        </w:pPr>
                        <w:r>
                          <w:rPr>
                            <w:w w:val="100"/>
                            <w:sz w:val="14"/>
                          </w:rPr>
                          <w:t>-</w:t>
                        </w:r>
                      </w:p>
                    </w:tc>
                    <w:tc>
                      <w:tcPr>
                        <w:tcW w:w="913" w:type="dxa"/>
                        <w:tcBorders>
                          <w:top w:val="single" w:sz="0" w:space="0" w:color="000000"/>
                          <w:bottom w:val="single" w:sz="0" w:space="0" w:color="000000"/>
                        </w:tcBorders>
                      </w:tcPr>
                      <w:p>
                        <w:pPr>
                          <w:pStyle w:val="TableParagraph"/>
                          <w:spacing w:before="123"/>
                          <w:ind w:right="140"/>
                          <w:rPr>
                            <w:b/>
                            <w:sz w:val="14"/>
                          </w:rPr>
                        </w:pPr>
                        <w:r>
                          <w:rPr>
                            <w:b/>
                            <w:sz w:val="14"/>
                          </w:rPr>
                          <w:t>(83,000)</w:t>
                        </w:r>
                      </w:p>
                    </w:tc>
                    <w:tc>
                      <w:tcPr>
                        <w:tcW w:w="867" w:type="dxa"/>
                        <w:tcBorders>
                          <w:top w:val="single" w:sz="0" w:space="0" w:color="000000"/>
                          <w:bottom w:val="single" w:sz="0" w:space="0" w:color="000000"/>
                        </w:tcBorders>
                      </w:tcPr>
                      <w:p>
                        <w:pPr>
                          <w:pStyle w:val="TableParagraph"/>
                          <w:spacing w:before="123"/>
                          <w:ind w:right="150"/>
                          <w:rPr>
                            <w:sz w:val="14"/>
                          </w:rPr>
                        </w:pPr>
                        <w:r>
                          <w:rPr>
                            <w:sz w:val="14"/>
                          </w:rPr>
                          <w:t>(75,500)</w:t>
                        </w:r>
                      </w:p>
                    </w:tc>
                    <w:tc>
                      <w:tcPr>
                        <w:tcW w:w="867" w:type="dxa"/>
                        <w:tcBorders>
                          <w:top w:val="single" w:sz="0" w:space="0" w:color="000000"/>
                          <w:bottom w:val="single" w:sz="0" w:space="0" w:color="000000"/>
                        </w:tcBorders>
                      </w:tcPr>
                      <w:p>
                        <w:pPr>
                          <w:pStyle w:val="TableParagraph"/>
                          <w:spacing w:before="123"/>
                          <w:ind w:right="164"/>
                          <w:rPr>
                            <w:b/>
                            <w:sz w:val="14"/>
                          </w:rPr>
                        </w:pPr>
                        <w:r>
                          <w:rPr>
                            <w:b/>
                            <w:w w:val="100"/>
                            <w:sz w:val="14"/>
                          </w:rPr>
                          <w:t>-</w:t>
                        </w:r>
                      </w:p>
                    </w:tc>
                    <w:tc>
                      <w:tcPr>
                        <w:tcW w:w="865" w:type="dxa"/>
                        <w:tcBorders>
                          <w:top w:val="single" w:sz="0" w:space="0" w:color="000000"/>
                          <w:bottom w:val="single" w:sz="0" w:space="0" w:color="000000"/>
                        </w:tcBorders>
                      </w:tcPr>
                      <w:p>
                        <w:pPr>
                          <w:pStyle w:val="TableParagraph"/>
                          <w:spacing w:before="123"/>
                          <w:ind w:right="170"/>
                          <w:rPr>
                            <w:sz w:val="14"/>
                          </w:rPr>
                        </w:pPr>
                        <w:r>
                          <w:rPr>
                            <w:w w:val="100"/>
                            <w:sz w:val="14"/>
                          </w:rPr>
                          <w:t>-</w:t>
                        </w:r>
                      </w:p>
                    </w:tc>
                    <w:tc>
                      <w:tcPr>
                        <w:tcW w:w="902" w:type="dxa"/>
                        <w:tcBorders>
                          <w:top w:val="single" w:sz="0" w:space="0" w:color="000000"/>
                          <w:bottom w:val="single" w:sz="0" w:space="0" w:color="000000"/>
                        </w:tcBorders>
                      </w:tcPr>
                      <w:p>
                        <w:pPr>
                          <w:pStyle w:val="TableParagraph"/>
                          <w:spacing w:before="123"/>
                          <w:ind w:right="127"/>
                          <w:rPr>
                            <w:b/>
                            <w:sz w:val="14"/>
                          </w:rPr>
                        </w:pPr>
                        <w:r>
                          <w:rPr>
                            <w:b/>
                            <w:sz w:val="14"/>
                          </w:rPr>
                          <w:t>(102,274)</w:t>
                        </w:r>
                      </w:p>
                    </w:tc>
                    <w:tc>
                      <w:tcPr>
                        <w:tcW w:w="878" w:type="dxa"/>
                        <w:tcBorders>
                          <w:top w:val="single" w:sz="0" w:space="0" w:color="000000"/>
                          <w:bottom w:val="single" w:sz="0" w:space="0" w:color="000000"/>
                        </w:tcBorders>
                      </w:tcPr>
                      <w:p>
                        <w:pPr>
                          <w:pStyle w:val="TableParagraph"/>
                          <w:spacing w:before="123"/>
                          <w:ind w:right="147"/>
                          <w:rPr>
                            <w:sz w:val="14"/>
                          </w:rPr>
                        </w:pPr>
                        <w:r>
                          <w:rPr>
                            <w:sz w:val="14"/>
                          </w:rPr>
                          <w:t>(109,155)</w:t>
                        </w:r>
                      </w:p>
                    </w:tc>
                    <w:tc>
                      <w:tcPr>
                        <w:tcW w:w="878" w:type="dxa"/>
                        <w:tcBorders>
                          <w:top w:val="single" w:sz="0" w:space="0" w:color="000000"/>
                          <w:bottom w:val="single" w:sz="0" w:space="0" w:color="000000"/>
                        </w:tcBorders>
                      </w:tcPr>
                      <w:p>
                        <w:pPr>
                          <w:pStyle w:val="TableParagraph"/>
                          <w:spacing w:before="123"/>
                          <w:ind w:left="129" w:right="108"/>
                          <w:jc w:val="center"/>
                          <w:rPr>
                            <w:b/>
                            <w:sz w:val="14"/>
                          </w:rPr>
                        </w:pPr>
                        <w:r>
                          <w:rPr>
                            <w:b/>
                            <w:sz w:val="14"/>
                          </w:rPr>
                          <w:t>(257,274)</w:t>
                        </w:r>
                      </w:p>
                    </w:tc>
                    <w:tc>
                      <w:tcPr>
                        <w:tcW w:w="752" w:type="dxa"/>
                        <w:tcBorders>
                          <w:top w:val="single" w:sz="0" w:space="0" w:color="000000"/>
                          <w:bottom w:val="single" w:sz="0" w:space="0" w:color="000000"/>
                        </w:tcBorders>
                      </w:tcPr>
                      <w:p>
                        <w:pPr>
                          <w:pStyle w:val="TableParagraph"/>
                          <w:spacing w:before="123"/>
                          <w:ind w:right="21"/>
                          <w:rPr>
                            <w:sz w:val="14"/>
                          </w:rPr>
                        </w:pPr>
                        <w:r>
                          <w:rPr>
                            <w:sz w:val="14"/>
                          </w:rPr>
                          <w:t>(184,655)</w:t>
                        </w:r>
                      </w:p>
                    </w:tc>
                  </w:tr>
                </w:tbl>
                <w:p>
                  <w:pPr>
                    <w:pStyle w:val="BodyText"/>
                  </w:pPr>
                </w:p>
              </w:txbxContent>
            </v:textbox>
            <w10:wrap type="topAndBottom"/>
          </v:shape>
        </w:pict>
      </w:r>
      <w:r>
        <w:rPr/>
        <w:drawing>
          <wp:anchor distT="0" distB="0" distL="0" distR="0" allowOverlap="1" layoutInCell="1" locked="0" behindDoc="0" simplePos="0" relativeHeight="5248">
            <wp:simplePos x="0" y="0"/>
            <wp:positionH relativeFrom="page">
              <wp:posOffset>10493514</wp:posOffset>
            </wp:positionH>
            <wp:positionV relativeFrom="paragraph">
              <wp:posOffset>828858</wp:posOffset>
            </wp:positionV>
            <wp:extent cx="154019" cy="154019"/>
            <wp:effectExtent l="0" t="0" r="0" b="0"/>
            <wp:wrapTopAndBottom/>
            <wp:docPr id="329" name="image25.png" descr=""/>
            <wp:cNvGraphicFramePr>
              <a:graphicFrameLocks noChangeAspect="1"/>
            </wp:cNvGraphicFramePr>
            <a:graphic>
              <a:graphicData uri="http://schemas.openxmlformats.org/drawingml/2006/picture">
                <pic:pic>
                  <pic:nvPicPr>
                    <pic:cNvPr id="330" name="image25.png"/>
                    <pic:cNvPicPr/>
                  </pic:nvPicPr>
                  <pic:blipFill>
                    <a:blip r:embed="rId41" cstate="print"/>
                    <a:stretch>
                      <a:fillRect/>
                    </a:stretch>
                  </pic:blipFill>
                  <pic:spPr>
                    <a:xfrm>
                      <a:off x="0" y="0"/>
                      <a:ext cx="154019" cy="154019"/>
                    </a:xfrm>
                    <a:prstGeom prst="rect">
                      <a:avLst/>
                    </a:prstGeom>
                  </pic:spPr>
                </pic:pic>
              </a:graphicData>
            </a:graphic>
          </wp:anchor>
        </w:drawing>
      </w:r>
      <w:r>
        <w:rPr>
          <w:b/>
          <w:sz w:val="14"/>
        </w:rPr>
        <w:t>rate</w:t>
        <w:tab/>
        <w:t>Variable interest rate</w:t>
        <w:tab/>
        <w:t>Within</w:t>
      </w:r>
      <w:r>
        <w:rPr>
          <w:b/>
          <w:spacing w:val="-2"/>
          <w:sz w:val="14"/>
        </w:rPr>
        <w:t> </w:t>
      </w:r>
      <w:r>
        <w:rPr>
          <w:b/>
          <w:sz w:val="14"/>
        </w:rPr>
        <w:t>1</w:t>
      </w:r>
      <w:r>
        <w:rPr>
          <w:b/>
          <w:spacing w:val="-2"/>
          <w:sz w:val="14"/>
        </w:rPr>
        <w:t> </w:t>
      </w:r>
      <w:r>
        <w:rPr>
          <w:b/>
          <w:sz w:val="14"/>
        </w:rPr>
        <w:t>year</w:t>
        <w:tab/>
        <w:t>1 -</w:t>
      </w:r>
      <w:r>
        <w:rPr>
          <w:b/>
          <w:spacing w:val="-2"/>
          <w:sz w:val="14"/>
        </w:rPr>
        <w:t> </w:t>
      </w:r>
      <w:r>
        <w:rPr>
          <w:b/>
          <w:sz w:val="14"/>
        </w:rPr>
        <w:t>5</w:t>
      </w:r>
      <w:r>
        <w:rPr>
          <w:b/>
          <w:spacing w:val="-1"/>
          <w:sz w:val="14"/>
        </w:rPr>
        <w:t> </w:t>
      </w:r>
      <w:r>
        <w:rPr>
          <w:b/>
          <w:sz w:val="14"/>
        </w:rPr>
        <w:t>years</w:t>
        <w:tab/>
        <w:t>5+</w:t>
      </w:r>
      <w:r>
        <w:rPr>
          <w:b/>
          <w:spacing w:val="-2"/>
          <w:sz w:val="14"/>
        </w:rPr>
        <w:t> </w:t>
      </w:r>
      <w:r>
        <w:rPr>
          <w:b/>
          <w:sz w:val="14"/>
        </w:rPr>
        <w:t>years</w:t>
        <w:tab/>
        <w:t>Non</w:t>
      </w:r>
      <w:r>
        <w:rPr>
          <w:b/>
          <w:spacing w:val="-3"/>
          <w:sz w:val="14"/>
        </w:rPr>
        <w:t> </w:t>
      </w:r>
      <w:r>
        <w:rPr>
          <w:b/>
          <w:sz w:val="14"/>
        </w:rPr>
        <w:t>Interest</w:t>
        <w:tab/>
        <w:t>Total</w:t>
      </w:r>
    </w:p>
    <w:p>
      <w:pPr>
        <w:pStyle w:val="BodyText"/>
        <w:spacing w:before="3"/>
        <w:rPr>
          <w:b/>
          <w:sz w:val="5"/>
        </w:rPr>
      </w:pPr>
    </w:p>
    <w:p>
      <w:pPr>
        <w:pStyle w:val="ListParagraph"/>
        <w:numPr>
          <w:ilvl w:val="1"/>
          <w:numId w:val="34"/>
        </w:numPr>
        <w:tabs>
          <w:tab w:pos="2182" w:val="left" w:leader="none"/>
        </w:tabs>
        <w:spacing w:line="240" w:lineRule="auto" w:before="82" w:after="0"/>
        <w:ind w:left="2181" w:right="0" w:hanging="211"/>
        <w:jc w:val="left"/>
        <w:rPr>
          <w:sz w:val="14"/>
        </w:rPr>
      </w:pPr>
      <w:r>
        <w:rPr>
          <w:sz w:val="14"/>
        </w:rPr>
        <w:t>The University's deferred government contribution for superannuation included in note 18 is not included in the above analysis as the timing of the cash flows cannot be</w:t>
      </w:r>
      <w:r>
        <w:rPr>
          <w:spacing w:val="27"/>
          <w:sz w:val="14"/>
        </w:rPr>
        <w:t> </w:t>
      </w:r>
      <w:r>
        <w:rPr>
          <w:sz w:val="14"/>
        </w:rPr>
        <w:t>determined.</w:t>
      </w: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spacing w:before="7"/>
        <w:rPr>
          <w:sz w:val="16"/>
        </w:rPr>
      </w:pPr>
    </w:p>
    <w:p>
      <w:pPr>
        <w:spacing w:before="0" w:after="11"/>
        <w:ind w:left="8266" w:right="8266" w:firstLine="0"/>
        <w:jc w:val="center"/>
        <w:rPr>
          <w:sz w:val="16"/>
        </w:rPr>
      </w:pPr>
      <w:r>
        <w:rPr>
          <w:sz w:val="16"/>
        </w:rPr>
        <w:t>72</w:t>
      </w:r>
    </w:p>
    <w:p>
      <w:pPr>
        <w:tabs>
          <w:tab w:pos="8296" w:val="left" w:leader="none"/>
          <w:tab w:pos="16305" w:val="left" w:leader="none"/>
        </w:tabs>
        <w:spacing w:line="240" w:lineRule="auto"/>
        <w:ind w:left="37" w:right="0" w:firstLine="0"/>
        <w:rPr>
          <w:sz w:val="20"/>
        </w:rPr>
      </w:pPr>
      <w:r>
        <w:rPr>
          <w:sz w:val="20"/>
        </w:rPr>
        <w:pict>
          <v:group style="width:24.75pt;height:24.75pt;mso-position-horizontal-relative:char;mso-position-vertical-relative:line" coordorigin="0,0" coordsize="495,495">
            <v:line style="position:absolute" from="303,13" to="3,13" stroked="true" strokeweight=".25pt" strokecolor="#000000"/>
            <v:line style="position:absolute" from="423,13" to="63,13" stroked="true" strokeweight="1.25pt" strokecolor="#ffffff"/>
            <v:line style="position:absolute" from="483,193" to="483,493" stroked="true" strokeweight=".25pt" strokecolor="#000000"/>
            <v:line style="position:absolute" from="483,73" to="483,433" stroked="true" strokeweight="1.25pt" strokecolor="#ffffff"/>
            <v:line style="position:absolute" from="423,13" to="63,13" stroked="true" strokeweight=".25pt" strokecolor="#000000"/>
            <v:line style="position:absolute" from="483,73" to="483,433" stroked="true" strokeweight=".25pt" strokecolor="#000000"/>
          </v:group>
        </w:pict>
      </w:r>
      <w:r>
        <w:rPr>
          <w:sz w:val="20"/>
        </w:rPr>
      </w:r>
      <w:r>
        <w:rPr>
          <w:sz w:val="20"/>
        </w:rPr>
        <w:tab/>
      </w:r>
      <w:r>
        <w:rPr>
          <w:position w:val="3"/>
          <w:sz w:val="20"/>
        </w:rPr>
        <w:drawing>
          <wp:inline distT="0" distB="0" distL="0" distR="0">
            <wp:extent cx="154019" cy="154019"/>
            <wp:effectExtent l="0" t="0" r="0" b="0"/>
            <wp:docPr id="331" name="image25.png" descr=""/>
            <wp:cNvGraphicFramePr>
              <a:graphicFrameLocks noChangeAspect="1"/>
            </wp:cNvGraphicFramePr>
            <a:graphic>
              <a:graphicData uri="http://schemas.openxmlformats.org/drawingml/2006/picture">
                <pic:pic>
                  <pic:nvPicPr>
                    <pic:cNvPr id="332" name="image25.png"/>
                    <pic:cNvPicPr/>
                  </pic:nvPicPr>
                  <pic:blipFill>
                    <a:blip r:embed="rId41" cstate="print"/>
                    <a:stretch>
                      <a:fillRect/>
                    </a:stretch>
                  </pic:blipFill>
                  <pic:spPr>
                    <a:xfrm>
                      <a:off x="0" y="0"/>
                      <a:ext cx="154019" cy="154019"/>
                    </a:xfrm>
                    <a:prstGeom prst="rect">
                      <a:avLst/>
                    </a:prstGeom>
                  </pic:spPr>
                </pic:pic>
              </a:graphicData>
            </a:graphic>
          </wp:inline>
        </w:drawing>
      </w:r>
      <w:r>
        <w:rPr>
          <w:position w:val="3"/>
          <w:sz w:val="20"/>
        </w:rPr>
      </w:r>
      <w:r>
        <w:rPr>
          <w:position w:val="3"/>
          <w:sz w:val="20"/>
        </w:rPr>
        <w:tab/>
      </w:r>
      <w:r>
        <w:rPr>
          <w:sz w:val="20"/>
        </w:rPr>
        <w:pict>
          <v:group style="width:24.75pt;height:24.75pt;mso-position-horizontal-relative:char;mso-position-vertical-relative:line" coordorigin="0,0" coordsize="495,495">
            <v:line style="position:absolute" from="193,13" to="493,13" stroked="true" strokeweight=".25pt" strokecolor="#000000"/>
            <v:line style="position:absolute" from="73,13" to="433,13" stroked="true" strokeweight="1.25pt" strokecolor="#ffffff"/>
            <v:line style="position:absolute" from="13,193" to="13,493" stroked="true" strokeweight=".25pt" strokecolor="#000000"/>
            <v:line style="position:absolute" from="13,73" to="13,433" stroked="true" strokeweight="1.25pt" strokecolor="#ffffff"/>
            <v:line style="position:absolute" from="73,13" to="433,13" stroked="true" strokeweight=".25pt" strokecolor="#000000"/>
            <v:line style="position:absolute" from="13,73" to="13,433" stroked="true" strokeweight=".25pt" strokecolor="#000000"/>
          </v:group>
        </w:pict>
      </w:r>
      <w:r>
        <w:rPr>
          <w:sz w:val="20"/>
        </w:rPr>
      </w:r>
    </w:p>
    <w:p>
      <w:pPr>
        <w:spacing w:after="0" w:line="240" w:lineRule="auto"/>
        <w:rPr>
          <w:sz w:val="20"/>
        </w:rPr>
        <w:sectPr>
          <w:headerReference w:type="default" r:id="rId46"/>
          <w:footerReference w:type="default" r:id="rId47"/>
          <w:pgSz w:w="16840" w:h="11910" w:orient="landscape"/>
          <w:pgMar w:header="0" w:footer="0" w:top="40" w:bottom="0" w:left="0" w:right="0"/>
        </w:sectPr>
      </w:pPr>
    </w:p>
    <w:p>
      <w:pPr>
        <w:pStyle w:val="BodyText"/>
        <w:rPr>
          <w:sz w:val="20"/>
        </w:rPr>
      </w:pPr>
    </w:p>
    <w:p>
      <w:pPr>
        <w:pStyle w:val="BodyText"/>
        <w:rPr>
          <w:sz w:val="20"/>
        </w:rPr>
      </w:pPr>
    </w:p>
    <w:p>
      <w:pPr>
        <w:pStyle w:val="BodyText"/>
        <w:spacing w:before="4"/>
      </w:pPr>
    </w:p>
    <w:p>
      <w:pPr>
        <w:pStyle w:val="Heading8"/>
        <w:numPr>
          <w:ilvl w:val="0"/>
          <w:numId w:val="33"/>
        </w:numPr>
        <w:tabs>
          <w:tab w:pos="1826" w:val="left" w:leader="none"/>
        </w:tabs>
        <w:spacing w:line="240" w:lineRule="auto" w:before="0" w:after="0"/>
        <w:ind w:left="1825" w:right="0" w:hanging="396"/>
        <w:jc w:val="left"/>
      </w:pPr>
      <w:bookmarkStart w:name="36 Fair Value Measurement" w:id="138"/>
      <w:bookmarkEnd w:id="138"/>
      <w:r>
        <w:rPr>
          <w:b w:val="0"/>
        </w:rPr>
      </w:r>
      <w:bookmarkStart w:name="(a) Fair value measurements" w:id="139"/>
      <w:bookmarkEnd w:id="139"/>
      <w:r>
        <w:rPr>
          <w:b w:val="0"/>
        </w:rPr>
      </w:r>
      <w:bookmarkStart w:name="(a) Fair value measurements" w:id="140"/>
      <w:bookmarkEnd w:id="140"/>
      <w:r>
        <w:rPr/>
        <w:t>Fai</w:t>
      </w:r>
      <w:r>
        <w:rPr/>
        <w:t>r Value</w:t>
      </w:r>
      <w:r>
        <w:rPr>
          <w:spacing w:val="-21"/>
        </w:rPr>
        <w:t> </w:t>
      </w:r>
      <w:r>
        <w:rPr/>
        <w:t>Measurement</w:t>
      </w:r>
    </w:p>
    <w:p>
      <w:pPr>
        <w:pStyle w:val="BodyText"/>
        <w:spacing w:before="7"/>
        <w:rPr>
          <w:b/>
          <w:sz w:val="26"/>
        </w:rPr>
      </w:pPr>
    </w:p>
    <w:p>
      <w:pPr>
        <w:pStyle w:val="ListParagraph"/>
        <w:numPr>
          <w:ilvl w:val="1"/>
          <w:numId w:val="33"/>
        </w:numPr>
        <w:tabs>
          <w:tab w:pos="2392" w:val="left" w:leader="none"/>
        </w:tabs>
        <w:spacing w:line="240" w:lineRule="auto" w:before="0" w:after="0"/>
        <w:ind w:left="2391" w:right="0" w:hanging="566"/>
        <w:jc w:val="left"/>
        <w:rPr>
          <w:sz w:val="18"/>
        </w:rPr>
      </w:pPr>
      <w:r>
        <w:rPr>
          <w:sz w:val="18"/>
        </w:rPr>
        <w:t>Fair value</w:t>
      </w:r>
      <w:r>
        <w:rPr>
          <w:spacing w:val="-22"/>
          <w:sz w:val="18"/>
        </w:rPr>
        <w:t> </w:t>
      </w:r>
      <w:r>
        <w:rPr>
          <w:sz w:val="18"/>
        </w:rPr>
        <w:t>measurements</w:t>
      </w:r>
    </w:p>
    <w:p>
      <w:pPr>
        <w:pStyle w:val="BodyText"/>
        <w:spacing w:before="4"/>
        <w:rPr>
          <w:sz w:val="25"/>
        </w:rPr>
      </w:pPr>
    </w:p>
    <w:p>
      <w:pPr>
        <w:pStyle w:val="BodyText"/>
        <w:ind w:left="2390" w:right="1524"/>
        <w:jc w:val="both"/>
      </w:pPr>
      <w:r>
        <w:rPr/>
        <w:t>The</w:t>
      </w:r>
      <w:r>
        <w:rPr>
          <w:spacing w:val="-6"/>
        </w:rPr>
        <w:t> </w:t>
      </w:r>
      <w:r>
        <w:rPr/>
        <w:t>fair</w:t>
      </w:r>
      <w:r>
        <w:rPr>
          <w:spacing w:val="-6"/>
        </w:rPr>
        <w:t> </w:t>
      </w:r>
      <w:r>
        <w:rPr/>
        <w:t>value</w:t>
      </w:r>
      <w:r>
        <w:rPr>
          <w:spacing w:val="-6"/>
        </w:rPr>
        <w:t> </w:t>
      </w:r>
      <w:r>
        <w:rPr/>
        <w:t>financial</w:t>
      </w:r>
      <w:r>
        <w:rPr>
          <w:spacing w:val="-6"/>
        </w:rPr>
        <w:t> </w:t>
      </w:r>
      <w:r>
        <w:rPr/>
        <w:t>assets</w:t>
      </w:r>
      <w:r>
        <w:rPr>
          <w:spacing w:val="-6"/>
        </w:rPr>
        <w:t> </w:t>
      </w:r>
      <w:r>
        <w:rPr/>
        <w:t>and</w:t>
      </w:r>
      <w:r>
        <w:rPr>
          <w:spacing w:val="-6"/>
        </w:rPr>
        <w:t> </w:t>
      </w:r>
      <w:r>
        <w:rPr/>
        <w:t>financial</w:t>
      </w:r>
      <w:r>
        <w:rPr>
          <w:spacing w:val="-6"/>
        </w:rPr>
        <w:t> </w:t>
      </w:r>
      <w:r>
        <w:rPr/>
        <w:t>liabilities</w:t>
      </w:r>
      <w:r>
        <w:rPr>
          <w:spacing w:val="-6"/>
        </w:rPr>
        <w:t> </w:t>
      </w:r>
      <w:r>
        <w:rPr/>
        <w:t>must</w:t>
      </w:r>
      <w:r>
        <w:rPr>
          <w:spacing w:val="-6"/>
        </w:rPr>
        <w:t> </w:t>
      </w:r>
      <w:r>
        <w:rPr/>
        <w:t>be</w:t>
      </w:r>
      <w:r>
        <w:rPr>
          <w:spacing w:val="-6"/>
        </w:rPr>
        <w:t> </w:t>
      </w:r>
      <w:r>
        <w:rPr/>
        <w:t>estimated</w:t>
      </w:r>
      <w:r>
        <w:rPr>
          <w:spacing w:val="-6"/>
        </w:rPr>
        <w:t> </w:t>
      </w:r>
      <w:r>
        <w:rPr/>
        <w:t>for</w:t>
      </w:r>
      <w:r>
        <w:rPr>
          <w:spacing w:val="-6"/>
        </w:rPr>
        <w:t> </w:t>
      </w:r>
      <w:r>
        <w:rPr/>
        <w:t>recognition</w:t>
      </w:r>
      <w:r>
        <w:rPr>
          <w:spacing w:val="-6"/>
        </w:rPr>
        <w:t> </w:t>
      </w:r>
      <w:r>
        <w:rPr/>
        <w:t>and</w:t>
      </w:r>
      <w:r>
        <w:rPr>
          <w:spacing w:val="-6"/>
        </w:rPr>
        <w:t> </w:t>
      </w:r>
      <w:r>
        <w:rPr/>
        <w:t>measurement</w:t>
      </w:r>
      <w:r>
        <w:rPr>
          <w:spacing w:val="-6"/>
        </w:rPr>
        <w:t> </w:t>
      </w:r>
      <w:r>
        <w:rPr/>
        <w:t>or</w:t>
      </w:r>
      <w:r>
        <w:rPr>
          <w:spacing w:val="-6"/>
        </w:rPr>
        <w:t> </w:t>
      </w:r>
      <w:r>
        <w:rPr/>
        <w:t>for disclosure</w:t>
      </w:r>
      <w:r>
        <w:rPr>
          <w:spacing w:val="-20"/>
        </w:rPr>
        <w:t> </w:t>
      </w:r>
      <w:r>
        <w:rPr/>
        <w:t>purposes.</w:t>
      </w:r>
    </w:p>
    <w:p>
      <w:pPr>
        <w:pStyle w:val="BodyText"/>
        <w:spacing w:before="11"/>
        <w:rPr>
          <w:sz w:val="24"/>
        </w:rPr>
      </w:pPr>
    </w:p>
    <w:p>
      <w:pPr>
        <w:pStyle w:val="BodyText"/>
        <w:ind w:left="2390" w:right="1564"/>
        <w:jc w:val="both"/>
      </w:pPr>
      <w:r>
        <w:rPr/>
        <w:t>Due</w:t>
      </w:r>
      <w:r>
        <w:rPr>
          <w:spacing w:val="-6"/>
        </w:rPr>
        <w:t> </w:t>
      </w:r>
      <w:r>
        <w:rPr/>
        <w:t>to</w:t>
      </w:r>
      <w:r>
        <w:rPr>
          <w:spacing w:val="-6"/>
        </w:rPr>
        <w:t> </w:t>
      </w:r>
      <w:r>
        <w:rPr/>
        <w:t>the</w:t>
      </w:r>
      <w:r>
        <w:rPr>
          <w:spacing w:val="-6"/>
        </w:rPr>
        <w:t> </w:t>
      </w:r>
      <w:r>
        <w:rPr/>
        <w:t>short-term</w:t>
      </w:r>
      <w:r>
        <w:rPr>
          <w:spacing w:val="-6"/>
        </w:rPr>
        <w:t> </w:t>
      </w:r>
      <w:r>
        <w:rPr/>
        <w:t>nature</w:t>
      </w:r>
      <w:r>
        <w:rPr>
          <w:spacing w:val="-6"/>
        </w:rPr>
        <w:t> </w:t>
      </w:r>
      <w:r>
        <w:rPr/>
        <w:t>of</w:t>
      </w:r>
      <w:r>
        <w:rPr>
          <w:spacing w:val="-6"/>
        </w:rPr>
        <w:t> </w:t>
      </w:r>
      <w:r>
        <w:rPr/>
        <w:t>the</w:t>
      </w:r>
      <w:r>
        <w:rPr>
          <w:spacing w:val="-6"/>
        </w:rPr>
        <w:t> </w:t>
      </w:r>
      <w:r>
        <w:rPr/>
        <w:t>current</w:t>
      </w:r>
      <w:r>
        <w:rPr>
          <w:spacing w:val="-6"/>
        </w:rPr>
        <w:t> </w:t>
      </w:r>
      <w:r>
        <w:rPr/>
        <w:t>receivables</w:t>
      </w:r>
      <w:r>
        <w:rPr>
          <w:spacing w:val="-6"/>
        </w:rPr>
        <w:t> </w:t>
      </w:r>
      <w:r>
        <w:rPr/>
        <w:t>their</w:t>
      </w:r>
      <w:r>
        <w:rPr>
          <w:spacing w:val="-6"/>
        </w:rPr>
        <w:t> </w:t>
      </w:r>
      <w:r>
        <w:rPr/>
        <w:t>carrying</w:t>
      </w:r>
      <w:r>
        <w:rPr>
          <w:spacing w:val="-6"/>
        </w:rPr>
        <w:t> </w:t>
      </w:r>
      <w:r>
        <w:rPr/>
        <w:t>value</w:t>
      </w:r>
      <w:r>
        <w:rPr>
          <w:spacing w:val="-6"/>
        </w:rPr>
        <w:t> </w:t>
      </w:r>
      <w:r>
        <w:rPr/>
        <w:t>is</w:t>
      </w:r>
      <w:r>
        <w:rPr>
          <w:spacing w:val="-6"/>
        </w:rPr>
        <w:t> </w:t>
      </w:r>
      <w:r>
        <w:rPr/>
        <w:t>assumed</w:t>
      </w:r>
      <w:r>
        <w:rPr>
          <w:spacing w:val="-6"/>
        </w:rPr>
        <w:t> </w:t>
      </w:r>
      <w:r>
        <w:rPr/>
        <w:t>to</w:t>
      </w:r>
      <w:r>
        <w:rPr>
          <w:spacing w:val="-6"/>
        </w:rPr>
        <w:t> </w:t>
      </w:r>
      <w:r>
        <w:rPr/>
        <w:t>approximate</w:t>
      </w:r>
      <w:r>
        <w:rPr>
          <w:spacing w:val="-6"/>
        </w:rPr>
        <w:t> </w:t>
      </w:r>
      <w:r>
        <w:rPr/>
        <w:t>their</w:t>
      </w:r>
      <w:r>
        <w:rPr>
          <w:spacing w:val="-6"/>
        </w:rPr>
        <w:t> </w:t>
      </w:r>
      <w:r>
        <w:rPr/>
        <w:t>fair value</w:t>
      </w:r>
      <w:r>
        <w:rPr>
          <w:spacing w:val="-5"/>
        </w:rPr>
        <w:t> </w:t>
      </w:r>
      <w:r>
        <w:rPr/>
        <w:t>and</w:t>
      </w:r>
      <w:r>
        <w:rPr>
          <w:spacing w:val="-5"/>
        </w:rPr>
        <w:t> </w:t>
      </w:r>
      <w:r>
        <w:rPr/>
        <w:t>based</w:t>
      </w:r>
      <w:r>
        <w:rPr>
          <w:spacing w:val="-5"/>
        </w:rPr>
        <w:t> </w:t>
      </w:r>
      <w:r>
        <w:rPr/>
        <w:t>on</w:t>
      </w:r>
      <w:r>
        <w:rPr>
          <w:spacing w:val="-5"/>
        </w:rPr>
        <w:t> </w:t>
      </w:r>
      <w:r>
        <w:rPr/>
        <w:t>credit</w:t>
      </w:r>
      <w:r>
        <w:rPr>
          <w:spacing w:val="-5"/>
        </w:rPr>
        <w:t> </w:t>
      </w:r>
      <w:r>
        <w:rPr/>
        <w:t>history</w:t>
      </w:r>
      <w:r>
        <w:rPr>
          <w:spacing w:val="-5"/>
        </w:rPr>
        <w:t> </w:t>
      </w:r>
      <w:r>
        <w:rPr/>
        <w:t>it</w:t>
      </w:r>
      <w:r>
        <w:rPr>
          <w:spacing w:val="-5"/>
        </w:rPr>
        <w:t> </w:t>
      </w:r>
      <w:r>
        <w:rPr/>
        <w:t>is</w:t>
      </w:r>
      <w:r>
        <w:rPr>
          <w:spacing w:val="-5"/>
        </w:rPr>
        <w:t> </w:t>
      </w:r>
      <w:r>
        <w:rPr/>
        <w:t>expected</w:t>
      </w:r>
      <w:r>
        <w:rPr>
          <w:spacing w:val="-5"/>
        </w:rPr>
        <w:t> </w:t>
      </w:r>
      <w:r>
        <w:rPr/>
        <w:t>that</w:t>
      </w:r>
      <w:r>
        <w:rPr>
          <w:spacing w:val="-5"/>
        </w:rPr>
        <w:t> </w:t>
      </w:r>
      <w:r>
        <w:rPr/>
        <w:t>the</w:t>
      </w:r>
      <w:r>
        <w:rPr>
          <w:spacing w:val="-5"/>
        </w:rPr>
        <w:t> </w:t>
      </w:r>
      <w:r>
        <w:rPr/>
        <w:t>receivables,</w:t>
      </w:r>
      <w:r>
        <w:rPr>
          <w:spacing w:val="-5"/>
        </w:rPr>
        <w:t> </w:t>
      </w:r>
      <w:r>
        <w:rPr/>
        <w:t>that</w:t>
      </w:r>
      <w:r>
        <w:rPr>
          <w:spacing w:val="-5"/>
        </w:rPr>
        <w:t> </w:t>
      </w:r>
      <w:r>
        <w:rPr/>
        <w:t>are</w:t>
      </w:r>
      <w:r>
        <w:rPr>
          <w:spacing w:val="-5"/>
        </w:rPr>
        <w:t> </w:t>
      </w:r>
      <w:r>
        <w:rPr/>
        <w:t>neither</w:t>
      </w:r>
      <w:r>
        <w:rPr>
          <w:spacing w:val="-5"/>
        </w:rPr>
        <w:t> </w:t>
      </w:r>
      <w:r>
        <w:rPr/>
        <w:t>past</w:t>
      </w:r>
      <w:r>
        <w:rPr>
          <w:spacing w:val="-5"/>
        </w:rPr>
        <w:t> </w:t>
      </w:r>
      <w:r>
        <w:rPr/>
        <w:t>due</w:t>
      </w:r>
      <w:r>
        <w:rPr>
          <w:spacing w:val="-5"/>
        </w:rPr>
        <w:t> </w:t>
      </w:r>
      <w:r>
        <w:rPr/>
        <w:t>nor</w:t>
      </w:r>
      <w:r>
        <w:rPr>
          <w:spacing w:val="-5"/>
        </w:rPr>
        <w:t> </w:t>
      </w:r>
      <w:r>
        <w:rPr/>
        <w:t>impaired,</w:t>
      </w:r>
      <w:r>
        <w:rPr>
          <w:spacing w:val="-5"/>
        </w:rPr>
        <w:t> </w:t>
      </w:r>
      <w:r>
        <w:rPr/>
        <w:t>will be received when</w:t>
      </w:r>
      <w:r>
        <w:rPr>
          <w:spacing w:val="-23"/>
        </w:rPr>
        <w:t> </w:t>
      </w:r>
      <w:r>
        <w:rPr/>
        <w:t>due.</w:t>
      </w:r>
    </w:p>
    <w:p>
      <w:pPr>
        <w:pStyle w:val="BodyText"/>
        <w:spacing w:before="11"/>
        <w:rPr>
          <w:sz w:val="24"/>
        </w:rPr>
      </w:pPr>
    </w:p>
    <w:p>
      <w:pPr>
        <w:pStyle w:val="BodyText"/>
        <w:ind w:left="2390"/>
        <w:jc w:val="both"/>
      </w:pPr>
      <w:r>
        <w:rPr/>
        <w:t>The carrying amounts and aggregate net fair values of financial assets and liabilities at balance date are:</w:t>
      </w:r>
    </w:p>
    <w:p>
      <w:pPr>
        <w:pStyle w:val="BodyText"/>
      </w:pPr>
    </w:p>
    <w:p>
      <w:pPr>
        <w:pStyle w:val="BodyText"/>
      </w:pPr>
    </w:p>
    <w:p>
      <w:pPr>
        <w:pStyle w:val="Heading8"/>
        <w:tabs>
          <w:tab w:pos="9655" w:val="left" w:leader="none"/>
        </w:tabs>
        <w:spacing w:before="113" w:after="36"/>
        <w:ind w:left="6758"/>
      </w:pPr>
      <w:r>
        <w:rPr/>
        <w:drawing>
          <wp:anchor distT="0" distB="0" distL="0" distR="0" allowOverlap="1" layoutInCell="1" locked="0" behindDoc="0" simplePos="0" relativeHeight="5320">
            <wp:simplePos x="0" y="0"/>
            <wp:positionH relativeFrom="page">
              <wp:posOffset>-1587</wp:posOffset>
            </wp:positionH>
            <wp:positionV relativeFrom="paragraph">
              <wp:posOffset>1367839</wp:posOffset>
            </wp:positionV>
            <wp:extent cx="135159" cy="154019"/>
            <wp:effectExtent l="0" t="0" r="0" b="0"/>
            <wp:wrapNone/>
            <wp:docPr id="337" name="image13.png" descr=""/>
            <wp:cNvGraphicFramePr>
              <a:graphicFrameLocks noChangeAspect="1"/>
            </wp:cNvGraphicFramePr>
            <a:graphic>
              <a:graphicData uri="http://schemas.openxmlformats.org/drawingml/2006/picture">
                <pic:pic>
                  <pic:nvPicPr>
                    <pic:cNvPr id="338" name="image13.png"/>
                    <pic:cNvPicPr/>
                  </pic:nvPicPr>
                  <pic:blipFill>
                    <a:blip r:embed="rId18" cstate="print"/>
                    <a:stretch>
                      <a:fillRect/>
                    </a:stretch>
                  </pic:blipFill>
                  <pic:spPr>
                    <a:xfrm>
                      <a:off x="0" y="0"/>
                      <a:ext cx="135159" cy="154019"/>
                    </a:xfrm>
                    <a:prstGeom prst="rect">
                      <a:avLst/>
                    </a:prstGeom>
                  </pic:spPr>
                </pic:pic>
              </a:graphicData>
            </a:graphic>
          </wp:anchor>
        </w:drawing>
      </w:r>
      <w:r>
        <w:rPr/>
        <w:drawing>
          <wp:anchor distT="0" distB="0" distL="0" distR="0" allowOverlap="1" layoutInCell="1" locked="0" behindDoc="0" simplePos="0" relativeHeight="5344">
            <wp:simplePos x="0" y="0"/>
            <wp:positionH relativeFrom="page">
              <wp:posOffset>7958429</wp:posOffset>
            </wp:positionH>
            <wp:positionV relativeFrom="paragraph">
              <wp:posOffset>1367839</wp:posOffset>
            </wp:positionV>
            <wp:extent cx="135953" cy="155575"/>
            <wp:effectExtent l="0" t="0" r="0" b="0"/>
            <wp:wrapNone/>
            <wp:docPr id="339" name="image15.png" descr=""/>
            <wp:cNvGraphicFramePr>
              <a:graphicFrameLocks noChangeAspect="1"/>
            </wp:cNvGraphicFramePr>
            <a:graphic>
              <a:graphicData uri="http://schemas.openxmlformats.org/drawingml/2006/picture">
                <pic:pic>
                  <pic:nvPicPr>
                    <pic:cNvPr id="340" name="image15.png"/>
                    <pic:cNvPicPr/>
                  </pic:nvPicPr>
                  <pic:blipFill>
                    <a:blip r:embed="rId20" cstate="print"/>
                    <a:stretch>
                      <a:fillRect/>
                    </a:stretch>
                  </pic:blipFill>
                  <pic:spPr>
                    <a:xfrm>
                      <a:off x="0" y="0"/>
                      <a:ext cx="135953" cy="155575"/>
                    </a:xfrm>
                    <a:prstGeom prst="rect">
                      <a:avLst/>
                    </a:prstGeom>
                  </pic:spPr>
                </pic:pic>
              </a:graphicData>
            </a:graphic>
          </wp:anchor>
        </w:drawing>
      </w:r>
      <w:r>
        <w:rPr/>
        <w:t>Carrying</w:t>
      </w:r>
      <w:r>
        <w:rPr>
          <w:spacing w:val="-6"/>
        </w:rPr>
        <w:t> </w:t>
      </w:r>
      <w:r>
        <w:rPr/>
        <w:t>Amount</w:t>
        <w:tab/>
        <w:t>Fair Value</w:t>
      </w:r>
    </w:p>
    <w:tbl>
      <w:tblPr>
        <w:tblW w:w="0" w:type="auto"/>
        <w:jc w:val="left"/>
        <w:tblInd w:w="240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755"/>
        <w:gridCol w:w="1492"/>
        <w:gridCol w:w="1291"/>
        <w:gridCol w:w="1304"/>
        <w:gridCol w:w="1102"/>
      </w:tblGrid>
      <w:tr>
        <w:trPr>
          <w:trHeight w:val="594" w:hRule="exact"/>
        </w:trPr>
        <w:tc>
          <w:tcPr>
            <w:tcW w:w="3755" w:type="dxa"/>
          </w:tcPr>
          <w:p>
            <w:pPr/>
          </w:p>
        </w:tc>
        <w:tc>
          <w:tcPr>
            <w:tcW w:w="1492" w:type="dxa"/>
          </w:tcPr>
          <w:p>
            <w:pPr>
              <w:pStyle w:val="TableParagraph"/>
              <w:spacing w:before="30"/>
              <w:ind w:left="486"/>
              <w:jc w:val="left"/>
              <w:rPr>
                <w:b/>
                <w:sz w:val="18"/>
              </w:rPr>
            </w:pPr>
            <w:r>
              <w:rPr>
                <w:b/>
                <w:sz w:val="18"/>
              </w:rPr>
              <w:t>2016</w:t>
            </w:r>
          </w:p>
          <w:p>
            <w:pPr>
              <w:pStyle w:val="TableParagraph"/>
              <w:spacing w:before="66"/>
              <w:ind w:left="464"/>
              <w:jc w:val="left"/>
              <w:rPr>
                <w:b/>
                <w:sz w:val="18"/>
              </w:rPr>
            </w:pPr>
            <w:r>
              <w:rPr>
                <w:b/>
                <w:sz w:val="18"/>
              </w:rPr>
              <w:t>$'000</w:t>
            </w:r>
          </w:p>
        </w:tc>
        <w:tc>
          <w:tcPr>
            <w:tcW w:w="1291" w:type="dxa"/>
          </w:tcPr>
          <w:p>
            <w:pPr>
              <w:pStyle w:val="TableParagraph"/>
              <w:spacing w:before="30"/>
              <w:ind w:left="276"/>
              <w:jc w:val="left"/>
              <w:rPr>
                <w:b/>
                <w:sz w:val="18"/>
              </w:rPr>
            </w:pPr>
            <w:r>
              <w:rPr>
                <w:b/>
                <w:sz w:val="18"/>
              </w:rPr>
              <w:t>2015</w:t>
            </w:r>
          </w:p>
          <w:p>
            <w:pPr>
              <w:pStyle w:val="TableParagraph"/>
              <w:spacing w:before="66"/>
              <w:ind w:left="254"/>
              <w:jc w:val="left"/>
              <w:rPr>
                <w:b/>
                <w:sz w:val="18"/>
              </w:rPr>
            </w:pPr>
            <w:r>
              <w:rPr>
                <w:b/>
                <w:sz w:val="18"/>
              </w:rPr>
              <w:t>$'000</w:t>
            </w:r>
          </w:p>
        </w:tc>
        <w:tc>
          <w:tcPr>
            <w:tcW w:w="1304" w:type="dxa"/>
          </w:tcPr>
          <w:p>
            <w:pPr>
              <w:pStyle w:val="TableParagraph"/>
              <w:spacing w:before="30"/>
              <w:ind w:left="297"/>
              <w:jc w:val="left"/>
              <w:rPr>
                <w:b/>
                <w:sz w:val="18"/>
              </w:rPr>
            </w:pPr>
            <w:r>
              <w:rPr>
                <w:b/>
                <w:sz w:val="18"/>
              </w:rPr>
              <w:t>2016</w:t>
            </w:r>
          </w:p>
          <w:p>
            <w:pPr>
              <w:pStyle w:val="TableParagraph"/>
              <w:spacing w:before="66"/>
              <w:ind w:left="275"/>
              <w:jc w:val="left"/>
              <w:rPr>
                <w:b/>
                <w:sz w:val="18"/>
              </w:rPr>
            </w:pPr>
            <w:r>
              <w:rPr>
                <w:b/>
                <w:sz w:val="18"/>
              </w:rPr>
              <w:t>$'000</w:t>
            </w:r>
          </w:p>
        </w:tc>
        <w:tc>
          <w:tcPr>
            <w:tcW w:w="1102" w:type="dxa"/>
          </w:tcPr>
          <w:p>
            <w:pPr>
              <w:pStyle w:val="TableParagraph"/>
              <w:spacing w:before="30"/>
              <w:ind w:left="276"/>
              <w:jc w:val="left"/>
              <w:rPr>
                <w:b/>
                <w:sz w:val="18"/>
              </w:rPr>
            </w:pPr>
            <w:r>
              <w:rPr>
                <w:b/>
                <w:sz w:val="18"/>
              </w:rPr>
              <w:t>2015</w:t>
            </w:r>
          </w:p>
          <w:p>
            <w:pPr>
              <w:pStyle w:val="TableParagraph"/>
              <w:spacing w:before="66"/>
              <w:ind w:left="254"/>
              <w:jc w:val="left"/>
              <w:rPr>
                <w:b/>
                <w:sz w:val="18"/>
              </w:rPr>
            </w:pPr>
            <w:r>
              <w:rPr>
                <w:b/>
                <w:sz w:val="18"/>
              </w:rPr>
              <w:t>$'000</w:t>
            </w:r>
          </w:p>
        </w:tc>
      </w:tr>
      <w:tr>
        <w:trPr>
          <w:trHeight w:val="544" w:hRule="exact"/>
        </w:trPr>
        <w:tc>
          <w:tcPr>
            <w:tcW w:w="3755" w:type="dxa"/>
          </w:tcPr>
          <w:p>
            <w:pPr>
              <w:pStyle w:val="TableParagraph"/>
              <w:spacing w:before="63"/>
              <w:ind w:left="35"/>
              <w:jc w:val="left"/>
              <w:rPr>
                <w:b/>
                <w:sz w:val="18"/>
              </w:rPr>
            </w:pPr>
            <w:r>
              <w:rPr>
                <w:b/>
                <w:sz w:val="18"/>
              </w:rPr>
              <w:t>Financial assets</w:t>
            </w:r>
          </w:p>
          <w:p>
            <w:pPr>
              <w:pStyle w:val="TableParagraph"/>
              <w:spacing w:before="29"/>
              <w:ind w:left="35"/>
              <w:jc w:val="left"/>
              <w:rPr>
                <w:sz w:val="18"/>
              </w:rPr>
            </w:pPr>
            <w:r>
              <w:rPr>
                <w:sz w:val="18"/>
              </w:rPr>
              <w:t>Cash and cash equivalents</w:t>
            </w:r>
          </w:p>
        </w:tc>
        <w:tc>
          <w:tcPr>
            <w:tcW w:w="1492" w:type="dxa"/>
          </w:tcPr>
          <w:p>
            <w:pPr>
              <w:pStyle w:val="TableParagraph"/>
              <w:spacing w:before="11"/>
              <w:jc w:val="left"/>
              <w:rPr>
                <w:b/>
                <w:sz w:val="25"/>
              </w:rPr>
            </w:pPr>
          </w:p>
          <w:p>
            <w:pPr>
              <w:pStyle w:val="TableParagraph"/>
              <w:ind w:right="252"/>
              <w:rPr>
                <w:b/>
                <w:sz w:val="18"/>
              </w:rPr>
            </w:pPr>
            <w:r>
              <w:rPr>
                <w:b/>
                <w:w w:val="95"/>
                <w:sz w:val="18"/>
              </w:rPr>
              <w:t>139,225</w:t>
            </w:r>
          </w:p>
        </w:tc>
        <w:tc>
          <w:tcPr>
            <w:tcW w:w="1291" w:type="dxa"/>
          </w:tcPr>
          <w:p>
            <w:pPr>
              <w:pStyle w:val="TableParagraph"/>
              <w:spacing w:before="11"/>
              <w:jc w:val="left"/>
              <w:rPr>
                <w:b/>
                <w:sz w:val="25"/>
              </w:rPr>
            </w:pPr>
          </w:p>
          <w:p>
            <w:pPr>
              <w:pStyle w:val="TableParagraph"/>
              <w:ind w:right="273"/>
              <w:rPr>
                <w:sz w:val="18"/>
              </w:rPr>
            </w:pPr>
            <w:r>
              <w:rPr>
                <w:w w:val="95"/>
                <w:sz w:val="18"/>
              </w:rPr>
              <w:t>132,544</w:t>
            </w:r>
          </w:p>
        </w:tc>
        <w:tc>
          <w:tcPr>
            <w:tcW w:w="1304" w:type="dxa"/>
          </w:tcPr>
          <w:p>
            <w:pPr>
              <w:pStyle w:val="TableParagraph"/>
              <w:spacing w:before="11"/>
              <w:jc w:val="left"/>
              <w:rPr>
                <w:b/>
                <w:sz w:val="25"/>
              </w:rPr>
            </w:pPr>
          </w:p>
          <w:p>
            <w:pPr>
              <w:pStyle w:val="TableParagraph"/>
              <w:ind w:right="252"/>
              <w:rPr>
                <w:b/>
                <w:sz w:val="18"/>
              </w:rPr>
            </w:pPr>
            <w:r>
              <w:rPr>
                <w:b/>
                <w:w w:val="95"/>
                <w:sz w:val="18"/>
              </w:rPr>
              <w:t>139,225</w:t>
            </w:r>
          </w:p>
        </w:tc>
        <w:tc>
          <w:tcPr>
            <w:tcW w:w="1102" w:type="dxa"/>
          </w:tcPr>
          <w:p>
            <w:pPr>
              <w:pStyle w:val="TableParagraph"/>
              <w:spacing w:before="11"/>
              <w:jc w:val="left"/>
              <w:rPr>
                <w:b/>
                <w:sz w:val="25"/>
              </w:rPr>
            </w:pPr>
          </w:p>
          <w:p>
            <w:pPr>
              <w:pStyle w:val="TableParagraph"/>
              <w:ind w:right="85"/>
              <w:rPr>
                <w:sz w:val="18"/>
              </w:rPr>
            </w:pPr>
            <w:r>
              <w:rPr>
                <w:w w:val="95"/>
                <w:sz w:val="18"/>
              </w:rPr>
              <w:t>132,544</w:t>
            </w:r>
          </w:p>
        </w:tc>
      </w:tr>
      <w:tr>
        <w:trPr>
          <w:trHeight w:val="306" w:hRule="exact"/>
        </w:trPr>
        <w:tc>
          <w:tcPr>
            <w:tcW w:w="3755" w:type="dxa"/>
          </w:tcPr>
          <w:p>
            <w:pPr>
              <w:pStyle w:val="TableParagraph"/>
              <w:spacing w:before="19"/>
              <w:ind w:left="35"/>
              <w:jc w:val="left"/>
              <w:rPr>
                <w:sz w:val="18"/>
              </w:rPr>
            </w:pPr>
            <w:r>
              <w:rPr>
                <w:sz w:val="18"/>
              </w:rPr>
              <w:t>Receivables</w:t>
            </w:r>
          </w:p>
        </w:tc>
        <w:tc>
          <w:tcPr>
            <w:tcW w:w="1492" w:type="dxa"/>
          </w:tcPr>
          <w:p>
            <w:pPr>
              <w:pStyle w:val="TableParagraph"/>
              <w:spacing w:before="18"/>
              <w:ind w:right="252"/>
              <w:rPr>
                <w:b/>
                <w:sz w:val="18"/>
              </w:rPr>
            </w:pPr>
            <w:r>
              <w:rPr>
                <w:b/>
                <w:w w:val="95"/>
                <w:sz w:val="18"/>
              </w:rPr>
              <w:t>414,870</w:t>
            </w:r>
          </w:p>
        </w:tc>
        <w:tc>
          <w:tcPr>
            <w:tcW w:w="1291" w:type="dxa"/>
          </w:tcPr>
          <w:p>
            <w:pPr>
              <w:pStyle w:val="TableParagraph"/>
              <w:spacing w:before="18"/>
              <w:ind w:right="273"/>
              <w:rPr>
                <w:sz w:val="18"/>
              </w:rPr>
            </w:pPr>
            <w:r>
              <w:rPr>
                <w:w w:val="95"/>
                <w:sz w:val="18"/>
              </w:rPr>
              <w:t>400,932</w:t>
            </w:r>
          </w:p>
        </w:tc>
        <w:tc>
          <w:tcPr>
            <w:tcW w:w="1304" w:type="dxa"/>
          </w:tcPr>
          <w:p>
            <w:pPr>
              <w:pStyle w:val="TableParagraph"/>
              <w:spacing w:before="18"/>
              <w:ind w:right="252"/>
              <w:rPr>
                <w:b/>
                <w:sz w:val="18"/>
              </w:rPr>
            </w:pPr>
            <w:r>
              <w:rPr>
                <w:b/>
                <w:w w:val="95"/>
                <w:sz w:val="18"/>
              </w:rPr>
              <w:t>414,870</w:t>
            </w:r>
          </w:p>
        </w:tc>
        <w:tc>
          <w:tcPr>
            <w:tcW w:w="1102" w:type="dxa"/>
          </w:tcPr>
          <w:p>
            <w:pPr>
              <w:pStyle w:val="TableParagraph"/>
              <w:spacing w:before="18"/>
              <w:ind w:right="85"/>
              <w:rPr>
                <w:sz w:val="18"/>
              </w:rPr>
            </w:pPr>
            <w:r>
              <w:rPr>
                <w:w w:val="95"/>
                <w:sz w:val="18"/>
              </w:rPr>
              <w:t>400,932</w:t>
            </w:r>
          </w:p>
        </w:tc>
      </w:tr>
      <w:tr>
        <w:trPr>
          <w:trHeight w:val="541" w:hRule="exact"/>
        </w:trPr>
        <w:tc>
          <w:tcPr>
            <w:tcW w:w="3755" w:type="dxa"/>
          </w:tcPr>
          <w:p>
            <w:pPr>
              <w:pStyle w:val="TableParagraph"/>
              <w:spacing w:before="60"/>
              <w:ind w:left="35"/>
              <w:jc w:val="left"/>
              <w:rPr>
                <w:sz w:val="18"/>
              </w:rPr>
            </w:pPr>
            <w:r>
              <w:rPr>
                <w:sz w:val="18"/>
              </w:rPr>
              <w:t>Other financial assets</w:t>
            </w:r>
          </w:p>
          <w:p>
            <w:pPr>
              <w:pStyle w:val="TableParagraph"/>
              <w:spacing w:before="29"/>
              <w:ind w:left="249"/>
              <w:jc w:val="left"/>
              <w:rPr>
                <w:sz w:val="18"/>
              </w:rPr>
            </w:pPr>
            <w:r>
              <w:rPr>
                <w:sz w:val="18"/>
              </w:rPr>
              <w:t>Available for sale (Unlisted securities)</w:t>
            </w:r>
          </w:p>
        </w:tc>
        <w:tc>
          <w:tcPr>
            <w:tcW w:w="1492" w:type="dxa"/>
          </w:tcPr>
          <w:p>
            <w:pPr>
              <w:pStyle w:val="TableParagraph"/>
              <w:spacing w:before="8"/>
              <w:jc w:val="left"/>
              <w:rPr>
                <w:b/>
                <w:sz w:val="25"/>
              </w:rPr>
            </w:pPr>
          </w:p>
          <w:p>
            <w:pPr>
              <w:pStyle w:val="TableParagraph"/>
              <w:ind w:right="252"/>
              <w:rPr>
                <w:b/>
                <w:sz w:val="18"/>
              </w:rPr>
            </w:pPr>
            <w:r>
              <w:rPr>
                <w:b/>
                <w:w w:val="95"/>
                <w:sz w:val="18"/>
              </w:rPr>
              <w:t>11,330</w:t>
            </w:r>
          </w:p>
        </w:tc>
        <w:tc>
          <w:tcPr>
            <w:tcW w:w="1291" w:type="dxa"/>
          </w:tcPr>
          <w:p>
            <w:pPr>
              <w:pStyle w:val="TableParagraph"/>
              <w:spacing w:before="8"/>
              <w:jc w:val="left"/>
              <w:rPr>
                <w:b/>
                <w:sz w:val="25"/>
              </w:rPr>
            </w:pPr>
          </w:p>
          <w:p>
            <w:pPr>
              <w:pStyle w:val="TableParagraph"/>
              <w:ind w:right="273"/>
              <w:rPr>
                <w:sz w:val="18"/>
              </w:rPr>
            </w:pPr>
            <w:r>
              <w:rPr>
                <w:sz w:val="18"/>
              </w:rPr>
              <w:t>9,500</w:t>
            </w:r>
          </w:p>
        </w:tc>
        <w:tc>
          <w:tcPr>
            <w:tcW w:w="1304" w:type="dxa"/>
          </w:tcPr>
          <w:p>
            <w:pPr>
              <w:pStyle w:val="TableParagraph"/>
              <w:spacing w:before="8"/>
              <w:jc w:val="left"/>
              <w:rPr>
                <w:b/>
                <w:sz w:val="25"/>
              </w:rPr>
            </w:pPr>
          </w:p>
          <w:p>
            <w:pPr>
              <w:pStyle w:val="TableParagraph"/>
              <w:ind w:right="252"/>
              <w:rPr>
                <w:b/>
                <w:sz w:val="18"/>
              </w:rPr>
            </w:pPr>
            <w:r>
              <w:rPr>
                <w:b/>
                <w:w w:val="95"/>
                <w:sz w:val="18"/>
              </w:rPr>
              <w:t>11,330</w:t>
            </w:r>
          </w:p>
        </w:tc>
        <w:tc>
          <w:tcPr>
            <w:tcW w:w="1102" w:type="dxa"/>
          </w:tcPr>
          <w:p>
            <w:pPr>
              <w:pStyle w:val="TableParagraph"/>
              <w:spacing w:before="8"/>
              <w:jc w:val="left"/>
              <w:rPr>
                <w:b/>
                <w:sz w:val="25"/>
              </w:rPr>
            </w:pPr>
          </w:p>
          <w:p>
            <w:pPr>
              <w:pStyle w:val="TableParagraph"/>
              <w:ind w:right="85"/>
              <w:rPr>
                <w:sz w:val="18"/>
              </w:rPr>
            </w:pPr>
            <w:r>
              <w:rPr>
                <w:sz w:val="18"/>
              </w:rPr>
              <w:t>9,500</w:t>
            </w:r>
          </w:p>
        </w:tc>
      </w:tr>
      <w:tr>
        <w:trPr>
          <w:trHeight w:val="264" w:hRule="exact"/>
        </w:trPr>
        <w:tc>
          <w:tcPr>
            <w:tcW w:w="3755" w:type="dxa"/>
          </w:tcPr>
          <w:p>
            <w:pPr>
              <w:pStyle w:val="TableParagraph"/>
              <w:spacing w:before="19"/>
              <w:ind w:left="249"/>
              <w:jc w:val="left"/>
              <w:rPr>
                <w:sz w:val="18"/>
              </w:rPr>
            </w:pPr>
            <w:r>
              <w:rPr>
                <w:sz w:val="18"/>
              </w:rPr>
              <w:t>Available for sale (Acadian)</w:t>
            </w:r>
          </w:p>
        </w:tc>
        <w:tc>
          <w:tcPr>
            <w:tcW w:w="1492" w:type="dxa"/>
          </w:tcPr>
          <w:p>
            <w:pPr>
              <w:pStyle w:val="TableParagraph"/>
              <w:spacing w:before="18"/>
              <w:ind w:right="252"/>
              <w:rPr>
                <w:b/>
                <w:sz w:val="18"/>
              </w:rPr>
            </w:pPr>
            <w:r>
              <w:rPr>
                <w:b/>
                <w:w w:val="95"/>
                <w:sz w:val="18"/>
              </w:rPr>
              <w:t>76,143</w:t>
            </w:r>
          </w:p>
        </w:tc>
        <w:tc>
          <w:tcPr>
            <w:tcW w:w="1291" w:type="dxa"/>
          </w:tcPr>
          <w:p>
            <w:pPr>
              <w:pStyle w:val="TableParagraph"/>
              <w:spacing w:before="18"/>
              <w:ind w:right="273"/>
              <w:rPr>
                <w:sz w:val="18"/>
              </w:rPr>
            </w:pPr>
            <w:r>
              <w:rPr>
                <w:w w:val="95"/>
                <w:sz w:val="18"/>
              </w:rPr>
              <w:t>69,703</w:t>
            </w:r>
          </w:p>
        </w:tc>
        <w:tc>
          <w:tcPr>
            <w:tcW w:w="1304" w:type="dxa"/>
          </w:tcPr>
          <w:p>
            <w:pPr>
              <w:pStyle w:val="TableParagraph"/>
              <w:spacing w:before="18"/>
              <w:ind w:right="252"/>
              <w:rPr>
                <w:b/>
                <w:sz w:val="18"/>
              </w:rPr>
            </w:pPr>
            <w:r>
              <w:rPr>
                <w:b/>
                <w:w w:val="95"/>
                <w:sz w:val="18"/>
              </w:rPr>
              <w:t>76,143</w:t>
            </w:r>
          </w:p>
        </w:tc>
        <w:tc>
          <w:tcPr>
            <w:tcW w:w="1102" w:type="dxa"/>
          </w:tcPr>
          <w:p>
            <w:pPr>
              <w:pStyle w:val="TableParagraph"/>
              <w:spacing w:before="18"/>
              <w:ind w:right="85"/>
              <w:rPr>
                <w:sz w:val="18"/>
              </w:rPr>
            </w:pPr>
            <w:r>
              <w:rPr>
                <w:w w:val="95"/>
                <w:sz w:val="18"/>
              </w:rPr>
              <w:t>69,703</w:t>
            </w:r>
          </w:p>
        </w:tc>
      </w:tr>
      <w:tr>
        <w:trPr>
          <w:trHeight w:val="262" w:hRule="exact"/>
        </w:trPr>
        <w:tc>
          <w:tcPr>
            <w:tcW w:w="3755" w:type="dxa"/>
          </w:tcPr>
          <w:p>
            <w:pPr>
              <w:pStyle w:val="TableParagraph"/>
              <w:spacing w:before="19"/>
              <w:ind w:left="249"/>
              <w:jc w:val="left"/>
              <w:rPr>
                <w:sz w:val="18"/>
              </w:rPr>
            </w:pPr>
            <w:r>
              <w:rPr>
                <w:sz w:val="18"/>
              </w:rPr>
              <w:t>Held-to-maturity investments</w:t>
            </w:r>
          </w:p>
        </w:tc>
        <w:tc>
          <w:tcPr>
            <w:tcW w:w="1492" w:type="dxa"/>
            <w:tcBorders>
              <w:bottom w:val="single" w:sz="0" w:space="0" w:color="000000"/>
            </w:tcBorders>
          </w:tcPr>
          <w:p>
            <w:pPr>
              <w:pStyle w:val="TableParagraph"/>
              <w:spacing w:before="18"/>
              <w:ind w:right="252"/>
              <w:rPr>
                <w:b/>
                <w:sz w:val="18"/>
              </w:rPr>
            </w:pPr>
            <w:r>
              <w:rPr>
                <w:b/>
                <w:w w:val="95"/>
                <w:sz w:val="18"/>
              </w:rPr>
              <w:t>10,702</w:t>
            </w:r>
          </w:p>
        </w:tc>
        <w:tc>
          <w:tcPr>
            <w:tcW w:w="1291" w:type="dxa"/>
            <w:tcBorders>
              <w:bottom w:val="single" w:sz="0" w:space="0" w:color="000000"/>
            </w:tcBorders>
          </w:tcPr>
          <w:p>
            <w:pPr>
              <w:pStyle w:val="TableParagraph"/>
              <w:spacing w:before="18"/>
              <w:ind w:right="273"/>
              <w:rPr>
                <w:sz w:val="18"/>
              </w:rPr>
            </w:pPr>
            <w:r>
              <w:rPr>
                <w:sz w:val="18"/>
              </w:rPr>
              <w:t>6,333</w:t>
            </w:r>
          </w:p>
        </w:tc>
        <w:tc>
          <w:tcPr>
            <w:tcW w:w="1304" w:type="dxa"/>
            <w:tcBorders>
              <w:bottom w:val="single" w:sz="0" w:space="0" w:color="000000"/>
            </w:tcBorders>
          </w:tcPr>
          <w:p>
            <w:pPr>
              <w:pStyle w:val="TableParagraph"/>
              <w:spacing w:before="18"/>
              <w:ind w:right="252"/>
              <w:rPr>
                <w:b/>
                <w:sz w:val="18"/>
              </w:rPr>
            </w:pPr>
            <w:r>
              <w:rPr>
                <w:b/>
                <w:w w:val="95"/>
                <w:sz w:val="18"/>
              </w:rPr>
              <w:t>10,767</w:t>
            </w:r>
          </w:p>
        </w:tc>
        <w:tc>
          <w:tcPr>
            <w:tcW w:w="1102" w:type="dxa"/>
            <w:tcBorders>
              <w:bottom w:val="single" w:sz="0" w:space="0" w:color="000000"/>
            </w:tcBorders>
          </w:tcPr>
          <w:p>
            <w:pPr>
              <w:pStyle w:val="TableParagraph"/>
              <w:spacing w:before="18"/>
              <w:ind w:right="85"/>
              <w:rPr>
                <w:sz w:val="18"/>
              </w:rPr>
            </w:pPr>
            <w:r>
              <w:rPr>
                <w:sz w:val="18"/>
              </w:rPr>
              <w:t>6,285</w:t>
            </w:r>
          </w:p>
        </w:tc>
      </w:tr>
      <w:tr>
        <w:trPr>
          <w:trHeight w:val="338" w:hRule="exact"/>
        </w:trPr>
        <w:tc>
          <w:tcPr>
            <w:tcW w:w="3755" w:type="dxa"/>
          </w:tcPr>
          <w:p>
            <w:pPr>
              <w:pStyle w:val="TableParagraph"/>
              <w:spacing w:before="123"/>
              <w:ind w:left="35"/>
              <w:jc w:val="left"/>
              <w:rPr>
                <w:b/>
                <w:sz w:val="18"/>
              </w:rPr>
            </w:pPr>
            <w:r>
              <w:rPr>
                <w:b/>
                <w:sz w:val="18"/>
              </w:rPr>
              <w:t>Total financial assets</w:t>
            </w:r>
          </w:p>
        </w:tc>
        <w:tc>
          <w:tcPr>
            <w:tcW w:w="1492" w:type="dxa"/>
            <w:tcBorders>
              <w:top w:val="single" w:sz="0" w:space="0" w:color="000000"/>
              <w:bottom w:val="single" w:sz="0" w:space="0" w:color="000000"/>
            </w:tcBorders>
          </w:tcPr>
          <w:p>
            <w:pPr>
              <w:pStyle w:val="TableParagraph"/>
              <w:spacing w:before="122"/>
              <w:ind w:right="252"/>
              <w:rPr>
                <w:b/>
                <w:sz w:val="18"/>
              </w:rPr>
            </w:pPr>
            <w:r>
              <w:rPr>
                <w:b/>
                <w:w w:val="95"/>
                <w:sz w:val="18"/>
              </w:rPr>
              <w:t>652,270</w:t>
            </w:r>
          </w:p>
        </w:tc>
        <w:tc>
          <w:tcPr>
            <w:tcW w:w="1291" w:type="dxa"/>
            <w:tcBorders>
              <w:top w:val="single" w:sz="0" w:space="0" w:color="000000"/>
              <w:bottom w:val="single" w:sz="0" w:space="0" w:color="000000"/>
            </w:tcBorders>
          </w:tcPr>
          <w:p>
            <w:pPr>
              <w:pStyle w:val="TableParagraph"/>
              <w:spacing w:before="122"/>
              <w:ind w:right="273"/>
              <w:rPr>
                <w:sz w:val="18"/>
              </w:rPr>
            </w:pPr>
            <w:r>
              <w:rPr>
                <w:w w:val="95"/>
                <w:sz w:val="18"/>
              </w:rPr>
              <w:t>619,012</w:t>
            </w:r>
          </w:p>
        </w:tc>
        <w:tc>
          <w:tcPr>
            <w:tcW w:w="1304" w:type="dxa"/>
            <w:tcBorders>
              <w:top w:val="single" w:sz="0" w:space="0" w:color="000000"/>
              <w:bottom w:val="single" w:sz="0" w:space="0" w:color="000000"/>
            </w:tcBorders>
          </w:tcPr>
          <w:p>
            <w:pPr>
              <w:pStyle w:val="TableParagraph"/>
              <w:spacing w:before="122"/>
              <w:ind w:right="252"/>
              <w:rPr>
                <w:b/>
                <w:sz w:val="18"/>
              </w:rPr>
            </w:pPr>
            <w:r>
              <w:rPr>
                <w:b/>
                <w:w w:val="95"/>
                <w:sz w:val="18"/>
              </w:rPr>
              <w:t>652,335</w:t>
            </w:r>
          </w:p>
        </w:tc>
        <w:tc>
          <w:tcPr>
            <w:tcW w:w="1102" w:type="dxa"/>
            <w:tcBorders>
              <w:top w:val="single" w:sz="0" w:space="0" w:color="000000"/>
              <w:bottom w:val="single" w:sz="0" w:space="0" w:color="000000"/>
            </w:tcBorders>
          </w:tcPr>
          <w:p>
            <w:pPr>
              <w:pStyle w:val="TableParagraph"/>
              <w:spacing w:before="122"/>
              <w:ind w:right="85"/>
              <w:rPr>
                <w:sz w:val="18"/>
              </w:rPr>
            </w:pPr>
            <w:r>
              <w:rPr>
                <w:w w:val="95"/>
                <w:sz w:val="18"/>
              </w:rPr>
              <w:t>618,964</w:t>
            </w:r>
          </w:p>
        </w:tc>
      </w:tr>
      <w:tr>
        <w:trPr>
          <w:trHeight w:val="923" w:hRule="exact"/>
        </w:trPr>
        <w:tc>
          <w:tcPr>
            <w:tcW w:w="3755" w:type="dxa"/>
          </w:tcPr>
          <w:p>
            <w:pPr>
              <w:pStyle w:val="TableParagraph"/>
              <w:jc w:val="left"/>
              <w:rPr>
                <w:b/>
                <w:sz w:val="18"/>
              </w:rPr>
            </w:pPr>
          </w:p>
          <w:p>
            <w:pPr>
              <w:pStyle w:val="TableParagraph"/>
              <w:spacing w:before="5"/>
              <w:jc w:val="left"/>
              <w:rPr>
                <w:b/>
                <w:sz w:val="20"/>
              </w:rPr>
            </w:pPr>
          </w:p>
          <w:p>
            <w:pPr>
              <w:pStyle w:val="TableParagraph"/>
              <w:ind w:left="35"/>
              <w:jc w:val="left"/>
              <w:rPr>
                <w:b/>
                <w:sz w:val="18"/>
              </w:rPr>
            </w:pPr>
            <w:r>
              <w:rPr>
                <w:b/>
                <w:sz w:val="18"/>
              </w:rPr>
              <w:t>Financial Liabilities</w:t>
            </w:r>
          </w:p>
          <w:p>
            <w:pPr>
              <w:pStyle w:val="TableParagraph"/>
              <w:spacing w:before="29"/>
              <w:ind w:left="35"/>
              <w:jc w:val="left"/>
              <w:rPr>
                <w:sz w:val="18"/>
              </w:rPr>
            </w:pPr>
            <w:r>
              <w:rPr>
                <w:sz w:val="18"/>
              </w:rPr>
              <w:t>Payables</w:t>
            </w:r>
          </w:p>
        </w:tc>
        <w:tc>
          <w:tcPr>
            <w:tcW w:w="1492" w:type="dxa"/>
            <w:tcBorders>
              <w:top w:val="single" w:sz="0" w:space="0" w:color="000000"/>
            </w:tcBorders>
          </w:tcPr>
          <w:p>
            <w:pPr>
              <w:pStyle w:val="TableParagraph"/>
              <w:jc w:val="left"/>
              <w:rPr>
                <w:b/>
                <w:sz w:val="18"/>
              </w:rPr>
            </w:pPr>
          </w:p>
          <w:p>
            <w:pPr>
              <w:pStyle w:val="TableParagraph"/>
              <w:jc w:val="left"/>
              <w:rPr>
                <w:b/>
                <w:sz w:val="18"/>
              </w:rPr>
            </w:pPr>
          </w:p>
          <w:p>
            <w:pPr>
              <w:pStyle w:val="TableParagraph"/>
              <w:spacing w:before="10"/>
              <w:jc w:val="left"/>
              <w:rPr>
                <w:b/>
                <w:sz w:val="22"/>
              </w:rPr>
            </w:pPr>
          </w:p>
          <w:p>
            <w:pPr>
              <w:pStyle w:val="TableParagraph"/>
              <w:ind w:right="252"/>
              <w:rPr>
                <w:b/>
                <w:sz w:val="18"/>
              </w:rPr>
            </w:pPr>
            <w:r>
              <w:rPr>
                <w:b/>
                <w:w w:val="95"/>
                <w:sz w:val="18"/>
              </w:rPr>
              <w:t>47,695</w:t>
            </w:r>
          </w:p>
        </w:tc>
        <w:tc>
          <w:tcPr>
            <w:tcW w:w="1291" w:type="dxa"/>
            <w:tcBorders>
              <w:top w:val="single" w:sz="0" w:space="0" w:color="000000"/>
            </w:tcBorders>
          </w:tcPr>
          <w:p>
            <w:pPr>
              <w:pStyle w:val="TableParagraph"/>
              <w:jc w:val="left"/>
              <w:rPr>
                <w:b/>
                <w:sz w:val="18"/>
              </w:rPr>
            </w:pPr>
          </w:p>
          <w:p>
            <w:pPr>
              <w:pStyle w:val="TableParagraph"/>
              <w:jc w:val="left"/>
              <w:rPr>
                <w:b/>
                <w:sz w:val="18"/>
              </w:rPr>
            </w:pPr>
          </w:p>
          <w:p>
            <w:pPr>
              <w:pStyle w:val="TableParagraph"/>
              <w:spacing w:before="10"/>
              <w:jc w:val="left"/>
              <w:rPr>
                <w:b/>
                <w:sz w:val="22"/>
              </w:rPr>
            </w:pPr>
          </w:p>
          <w:p>
            <w:pPr>
              <w:pStyle w:val="TableParagraph"/>
              <w:ind w:right="273"/>
              <w:rPr>
                <w:sz w:val="18"/>
              </w:rPr>
            </w:pPr>
            <w:r>
              <w:rPr>
                <w:w w:val="95"/>
                <w:sz w:val="18"/>
              </w:rPr>
              <w:t>58,207</w:t>
            </w:r>
          </w:p>
        </w:tc>
        <w:tc>
          <w:tcPr>
            <w:tcW w:w="1304" w:type="dxa"/>
            <w:tcBorders>
              <w:top w:val="single" w:sz="0" w:space="0" w:color="000000"/>
            </w:tcBorders>
          </w:tcPr>
          <w:p>
            <w:pPr>
              <w:pStyle w:val="TableParagraph"/>
              <w:jc w:val="left"/>
              <w:rPr>
                <w:b/>
                <w:sz w:val="18"/>
              </w:rPr>
            </w:pPr>
          </w:p>
          <w:p>
            <w:pPr>
              <w:pStyle w:val="TableParagraph"/>
              <w:jc w:val="left"/>
              <w:rPr>
                <w:b/>
                <w:sz w:val="18"/>
              </w:rPr>
            </w:pPr>
          </w:p>
          <w:p>
            <w:pPr>
              <w:pStyle w:val="TableParagraph"/>
              <w:spacing w:before="10"/>
              <w:jc w:val="left"/>
              <w:rPr>
                <w:b/>
                <w:sz w:val="22"/>
              </w:rPr>
            </w:pPr>
          </w:p>
          <w:p>
            <w:pPr>
              <w:pStyle w:val="TableParagraph"/>
              <w:ind w:right="252"/>
              <w:rPr>
                <w:b/>
                <w:sz w:val="18"/>
              </w:rPr>
            </w:pPr>
            <w:r>
              <w:rPr>
                <w:b/>
                <w:w w:val="95"/>
                <w:sz w:val="18"/>
              </w:rPr>
              <w:t>47,695</w:t>
            </w:r>
          </w:p>
        </w:tc>
        <w:tc>
          <w:tcPr>
            <w:tcW w:w="1102" w:type="dxa"/>
            <w:tcBorders>
              <w:top w:val="single" w:sz="0" w:space="0" w:color="000000"/>
            </w:tcBorders>
          </w:tcPr>
          <w:p>
            <w:pPr>
              <w:pStyle w:val="TableParagraph"/>
              <w:jc w:val="left"/>
              <w:rPr>
                <w:b/>
                <w:sz w:val="18"/>
              </w:rPr>
            </w:pPr>
          </w:p>
          <w:p>
            <w:pPr>
              <w:pStyle w:val="TableParagraph"/>
              <w:jc w:val="left"/>
              <w:rPr>
                <w:b/>
                <w:sz w:val="18"/>
              </w:rPr>
            </w:pPr>
          </w:p>
          <w:p>
            <w:pPr>
              <w:pStyle w:val="TableParagraph"/>
              <w:spacing w:before="10"/>
              <w:jc w:val="left"/>
              <w:rPr>
                <w:b/>
                <w:sz w:val="22"/>
              </w:rPr>
            </w:pPr>
          </w:p>
          <w:p>
            <w:pPr>
              <w:pStyle w:val="TableParagraph"/>
              <w:ind w:right="85"/>
              <w:rPr>
                <w:sz w:val="18"/>
              </w:rPr>
            </w:pPr>
            <w:r>
              <w:rPr>
                <w:w w:val="95"/>
                <w:sz w:val="18"/>
              </w:rPr>
              <w:t>58,207</w:t>
            </w:r>
          </w:p>
        </w:tc>
      </w:tr>
      <w:tr>
        <w:trPr>
          <w:trHeight w:val="264" w:hRule="exact"/>
        </w:trPr>
        <w:tc>
          <w:tcPr>
            <w:tcW w:w="3755" w:type="dxa"/>
          </w:tcPr>
          <w:p>
            <w:pPr>
              <w:pStyle w:val="TableParagraph"/>
              <w:spacing w:before="19"/>
              <w:ind w:left="35"/>
              <w:jc w:val="left"/>
              <w:rPr>
                <w:sz w:val="18"/>
              </w:rPr>
            </w:pPr>
            <w:r>
              <w:rPr>
                <w:sz w:val="18"/>
              </w:rPr>
              <w:t>Borrowings</w:t>
            </w:r>
          </w:p>
        </w:tc>
        <w:tc>
          <w:tcPr>
            <w:tcW w:w="1492" w:type="dxa"/>
          </w:tcPr>
          <w:p>
            <w:pPr>
              <w:pStyle w:val="TableParagraph"/>
              <w:spacing w:before="18"/>
              <w:ind w:right="252"/>
              <w:rPr>
                <w:b/>
                <w:sz w:val="18"/>
              </w:rPr>
            </w:pPr>
            <w:r>
              <w:rPr>
                <w:b/>
                <w:w w:val="95"/>
                <w:sz w:val="18"/>
              </w:rPr>
              <w:t>155,000</w:t>
            </w:r>
          </w:p>
        </w:tc>
        <w:tc>
          <w:tcPr>
            <w:tcW w:w="1291" w:type="dxa"/>
          </w:tcPr>
          <w:p>
            <w:pPr>
              <w:pStyle w:val="TableParagraph"/>
              <w:spacing w:before="18"/>
              <w:ind w:right="273"/>
              <w:rPr>
                <w:sz w:val="18"/>
              </w:rPr>
            </w:pPr>
            <w:r>
              <w:rPr>
                <w:w w:val="95"/>
                <w:sz w:val="18"/>
              </w:rPr>
              <w:t>75,500</w:t>
            </w:r>
          </w:p>
        </w:tc>
        <w:tc>
          <w:tcPr>
            <w:tcW w:w="1304" w:type="dxa"/>
          </w:tcPr>
          <w:p>
            <w:pPr>
              <w:pStyle w:val="TableParagraph"/>
              <w:spacing w:before="18"/>
              <w:ind w:right="252"/>
              <w:rPr>
                <w:b/>
                <w:sz w:val="18"/>
              </w:rPr>
            </w:pPr>
            <w:r>
              <w:rPr>
                <w:b/>
                <w:w w:val="95"/>
                <w:sz w:val="18"/>
              </w:rPr>
              <w:t>155,000</w:t>
            </w:r>
          </w:p>
        </w:tc>
        <w:tc>
          <w:tcPr>
            <w:tcW w:w="1102" w:type="dxa"/>
          </w:tcPr>
          <w:p>
            <w:pPr>
              <w:pStyle w:val="TableParagraph"/>
              <w:spacing w:before="18"/>
              <w:ind w:right="85"/>
              <w:rPr>
                <w:sz w:val="18"/>
              </w:rPr>
            </w:pPr>
            <w:r>
              <w:rPr>
                <w:w w:val="95"/>
                <w:sz w:val="18"/>
              </w:rPr>
              <w:t>75,500</w:t>
            </w:r>
          </w:p>
        </w:tc>
      </w:tr>
      <w:tr>
        <w:trPr>
          <w:trHeight w:val="262" w:hRule="exact"/>
        </w:trPr>
        <w:tc>
          <w:tcPr>
            <w:tcW w:w="3755" w:type="dxa"/>
          </w:tcPr>
          <w:p>
            <w:pPr>
              <w:pStyle w:val="TableParagraph"/>
              <w:spacing w:before="19"/>
              <w:ind w:left="35"/>
              <w:jc w:val="left"/>
              <w:rPr>
                <w:sz w:val="18"/>
              </w:rPr>
            </w:pPr>
            <w:r>
              <w:rPr>
                <w:sz w:val="18"/>
              </w:rPr>
              <w:t>Other financial liabilities</w:t>
            </w:r>
          </w:p>
        </w:tc>
        <w:tc>
          <w:tcPr>
            <w:tcW w:w="1492" w:type="dxa"/>
            <w:tcBorders>
              <w:bottom w:val="single" w:sz="0" w:space="0" w:color="000000"/>
            </w:tcBorders>
          </w:tcPr>
          <w:p>
            <w:pPr>
              <w:pStyle w:val="TableParagraph"/>
              <w:spacing w:before="18"/>
              <w:ind w:right="252"/>
              <w:rPr>
                <w:b/>
                <w:sz w:val="18"/>
              </w:rPr>
            </w:pPr>
            <w:r>
              <w:rPr>
                <w:b/>
                <w:sz w:val="18"/>
              </w:rPr>
              <w:t>5,654</w:t>
            </w:r>
          </w:p>
        </w:tc>
        <w:tc>
          <w:tcPr>
            <w:tcW w:w="1291" w:type="dxa"/>
            <w:tcBorders>
              <w:bottom w:val="single" w:sz="0" w:space="0" w:color="000000"/>
            </w:tcBorders>
          </w:tcPr>
          <w:p>
            <w:pPr>
              <w:pStyle w:val="TableParagraph"/>
              <w:spacing w:before="18"/>
              <w:ind w:right="273"/>
              <w:rPr>
                <w:sz w:val="18"/>
              </w:rPr>
            </w:pPr>
            <w:r>
              <w:rPr>
                <w:sz w:val="18"/>
              </w:rPr>
              <w:t>2,148</w:t>
            </w:r>
          </w:p>
        </w:tc>
        <w:tc>
          <w:tcPr>
            <w:tcW w:w="1304" w:type="dxa"/>
            <w:tcBorders>
              <w:bottom w:val="single" w:sz="0" w:space="0" w:color="000000"/>
            </w:tcBorders>
          </w:tcPr>
          <w:p>
            <w:pPr>
              <w:pStyle w:val="TableParagraph"/>
              <w:spacing w:before="18"/>
              <w:ind w:right="252"/>
              <w:rPr>
                <w:b/>
                <w:sz w:val="18"/>
              </w:rPr>
            </w:pPr>
            <w:r>
              <w:rPr>
                <w:b/>
                <w:sz w:val="18"/>
              </w:rPr>
              <w:t>5,654</w:t>
            </w:r>
          </w:p>
        </w:tc>
        <w:tc>
          <w:tcPr>
            <w:tcW w:w="1102" w:type="dxa"/>
            <w:tcBorders>
              <w:bottom w:val="single" w:sz="0" w:space="0" w:color="000000"/>
            </w:tcBorders>
          </w:tcPr>
          <w:p>
            <w:pPr>
              <w:pStyle w:val="TableParagraph"/>
              <w:spacing w:before="18"/>
              <w:ind w:right="85"/>
              <w:rPr>
                <w:sz w:val="18"/>
              </w:rPr>
            </w:pPr>
            <w:r>
              <w:rPr>
                <w:sz w:val="18"/>
              </w:rPr>
              <w:t>2,148</w:t>
            </w:r>
          </w:p>
        </w:tc>
      </w:tr>
      <w:tr>
        <w:trPr>
          <w:trHeight w:val="353" w:hRule="exact"/>
        </w:trPr>
        <w:tc>
          <w:tcPr>
            <w:tcW w:w="3755" w:type="dxa"/>
          </w:tcPr>
          <w:p>
            <w:pPr>
              <w:pStyle w:val="TableParagraph"/>
              <w:spacing w:before="123"/>
              <w:ind w:left="35"/>
              <w:jc w:val="left"/>
              <w:rPr>
                <w:b/>
                <w:sz w:val="18"/>
              </w:rPr>
            </w:pPr>
            <w:r>
              <w:rPr>
                <w:b/>
                <w:sz w:val="18"/>
              </w:rPr>
              <w:t>Total financial liabilities</w:t>
            </w:r>
          </w:p>
        </w:tc>
        <w:tc>
          <w:tcPr>
            <w:tcW w:w="1492" w:type="dxa"/>
            <w:tcBorders>
              <w:top w:val="single" w:sz="0" w:space="0" w:color="000000"/>
              <w:bottom w:val="single" w:sz="0" w:space="0" w:color="000000"/>
            </w:tcBorders>
          </w:tcPr>
          <w:p>
            <w:pPr>
              <w:pStyle w:val="TableParagraph"/>
              <w:spacing w:before="122"/>
              <w:ind w:right="252"/>
              <w:rPr>
                <w:b/>
                <w:sz w:val="18"/>
              </w:rPr>
            </w:pPr>
            <w:r>
              <w:rPr>
                <w:b/>
                <w:w w:val="95"/>
                <w:sz w:val="18"/>
              </w:rPr>
              <w:t>208,349</w:t>
            </w:r>
          </w:p>
        </w:tc>
        <w:tc>
          <w:tcPr>
            <w:tcW w:w="1291" w:type="dxa"/>
            <w:tcBorders>
              <w:top w:val="single" w:sz="0" w:space="0" w:color="000000"/>
              <w:bottom w:val="single" w:sz="0" w:space="0" w:color="000000"/>
            </w:tcBorders>
          </w:tcPr>
          <w:p>
            <w:pPr>
              <w:pStyle w:val="TableParagraph"/>
              <w:spacing w:before="122"/>
              <w:ind w:right="273"/>
              <w:rPr>
                <w:sz w:val="18"/>
              </w:rPr>
            </w:pPr>
            <w:r>
              <w:rPr>
                <w:w w:val="95"/>
                <w:sz w:val="18"/>
              </w:rPr>
              <w:t>135,855</w:t>
            </w:r>
          </w:p>
        </w:tc>
        <w:tc>
          <w:tcPr>
            <w:tcW w:w="1304" w:type="dxa"/>
            <w:tcBorders>
              <w:top w:val="single" w:sz="0" w:space="0" w:color="000000"/>
              <w:bottom w:val="single" w:sz="0" w:space="0" w:color="000000"/>
            </w:tcBorders>
          </w:tcPr>
          <w:p>
            <w:pPr>
              <w:pStyle w:val="TableParagraph"/>
              <w:spacing w:before="122"/>
              <w:ind w:right="252"/>
              <w:rPr>
                <w:b/>
                <w:sz w:val="18"/>
              </w:rPr>
            </w:pPr>
            <w:r>
              <w:rPr>
                <w:b/>
                <w:w w:val="95"/>
                <w:sz w:val="18"/>
              </w:rPr>
              <w:t>208,349</w:t>
            </w:r>
          </w:p>
        </w:tc>
        <w:tc>
          <w:tcPr>
            <w:tcW w:w="1102" w:type="dxa"/>
            <w:tcBorders>
              <w:top w:val="single" w:sz="0" w:space="0" w:color="000000"/>
              <w:bottom w:val="single" w:sz="0" w:space="0" w:color="000000"/>
            </w:tcBorders>
          </w:tcPr>
          <w:p>
            <w:pPr>
              <w:pStyle w:val="TableParagraph"/>
              <w:spacing w:before="122"/>
              <w:ind w:right="85"/>
              <w:rPr>
                <w:sz w:val="18"/>
              </w:rPr>
            </w:pPr>
            <w:r>
              <w:rPr>
                <w:w w:val="95"/>
                <w:sz w:val="18"/>
              </w:rPr>
              <w:t>135,855</w:t>
            </w:r>
          </w:p>
        </w:tc>
      </w:tr>
    </w:tbl>
    <w:p>
      <w:pPr>
        <w:pStyle w:val="BodyText"/>
        <w:spacing w:before="6"/>
        <w:rPr>
          <w:b/>
          <w:sz w:val="20"/>
        </w:rPr>
      </w:pPr>
    </w:p>
    <w:p>
      <w:pPr>
        <w:pStyle w:val="BodyText"/>
        <w:spacing w:before="77"/>
        <w:ind w:left="2390"/>
      </w:pPr>
      <w:r>
        <w:rPr/>
        <w:t>The Group measure and recognise the following assets at fair value on a recurring basis:</w:t>
      </w:r>
    </w:p>
    <w:p>
      <w:pPr>
        <w:pStyle w:val="ListParagraph"/>
        <w:numPr>
          <w:ilvl w:val="2"/>
          <w:numId w:val="33"/>
        </w:numPr>
        <w:tabs>
          <w:tab w:pos="2958" w:val="left" w:leader="none"/>
        </w:tabs>
        <w:spacing w:line="240" w:lineRule="auto" w:before="151" w:after="0"/>
        <w:ind w:left="2958" w:right="0" w:hanging="568"/>
        <w:jc w:val="left"/>
        <w:rPr>
          <w:sz w:val="18"/>
        </w:rPr>
      </w:pPr>
      <w:r>
        <w:rPr>
          <w:sz w:val="18"/>
        </w:rPr>
        <w:t>Available-for-sale financial</w:t>
      </w:r>
      <w:r>
        <w:rPr>
          <w:spacing w:val="-34"/>
          <w:sz w:val="18"/>
        </w:rPr>
        <w:t> </w:t>
      </w:r>
      <w:r>
        <w:rPr>
          <w:sz w:val="18"/>
        </w:rPr>
        <w:t>assets</w:t>
      </w:r>
    </w:p>
    <w:p>
      <w:pPr>
        <w:pStyle w:val="ListParagraph"/>
        <w:numPr>
          <w:ilvl w:val="2"/>
          <w:numId w:val="33"/>
        </w:numPr>
        <w:tabs>
          <w:tab w:pos="2958" w:val="left" w:leader="none"/>
        </w:tabs>
        <w:spacing w:line="240" w:lineRule="auto" w:before="146" w:after="0"/>
        <w:ind w:left="2958" w:right="0" w:hanging="568"/>
        <w:jc w:val="left"/>
        <w:rPr>
          <w:sz w:val="18"/>
        </w:rPr>
      </w:pPr>
      <w:r>
        <w:rPr>
          <w:sz w:val="18"/>
        </w:rPr>
        <w:t>Land and</w:t>
      </w:r>
      <w:r>
        <w:rPr>
          <w:spacing w:val="-17"/>
          <w:sz w:val="18"/>
        </w:rPr>
        <w:t> </w:t>
      </w:r>
      <w:r>
        <w:rPr>
          <w:sz w:val="18"/>
        </w:rPr>
        <w:t>buildings</w:t>
      </w:r>
    </w:p>
    <w:p>
      <w:pPr>
        <w:pStyle w:val="BodyText"/>
        <w:spacing w:before="11"/>
        <w:rPr>
          <w:sz w:val="24"/>
        </w:rPr>
      </w:pPr>
    </w:p>
    <w:p>
      <w:pPr>
        <w:pStyle w:val="BodyText"/>
        <w:ind w:left="2390"/>
      </w:pPr>
      <w:r>
        <w:rPr/>
        <w:t>The Group has also measured non-current assets held for sale at fair value on a non-recurring basis.</w:t>
      </w:r>
    </w:p>
    <w:p>
      <w:pPr>
        <w:spacing w:after="0"/>
        <w:sectPr>
          <w:headerReference w:type="default" r:id="rId49"/>
          <w:footerReference w:type="default" r:id="rId50"/>
          <w:pgSz w:w="12750" w:h="17680"/>
          <w:pgMar w:header="0" w:footer="927" w:top="2640" w:bottom="1120" w:left="0" w:right="0"/>
          <w:pgNumType w:start="73"/>
        </w:sectPr>
      </w:pPr>
    </w:p>
    <w:p>
      <w:pPr>
        <w:pStyle w:val="BodyText"/>
        <w:rPr>
          <w:sz w:val="20"/>
        </w:rPr>
      </w:pPr>
    </w:p>
    <w:p>
      <w:pPr>
        <w:pStyle w:val="BodyText"/>
        <w:rPr>
          <w:sz w:val="20"/>
        </w:rPr>
      </w:pPr>
    </w:p>
    <w:p>
      <w:pPr>
        <w:pStyle w:val="BodyText"/>
        <w:spacing w:before="4"/>
      </w:pPr>
    </w:p>
    <w:p>
      <w:pPr>
        <w:pStyle w:val="Heading8"/>
        <w:tabs>
          <w:tab w:pos="2391" w:val="left" w:leader="none"/>
        </w:tabs>
        <w:ind w:left="1824"/>
      </w:pPr>
      <w:bookmarkStart w:name="(b) Fair value hierarchy" w:id="141"/>
      <w:bookmarkEnd w:id="141"/>
      <w:r>
        <w:rPr>
          <w:b w:val="0"/>
        </w:rPr>
      </w:r>
      <w:r>
        <w:rPr/>
        <w:t>36</w:t>
        <w:tab/>
        <w:t>Fair Value Measurement</w:t>
      </w:r>
      <w:r>
        <w:rPr>
          <w:spacing w:val="-1"/>
        </w:rPr>
        <w:t> </w:t>
      </w:r>
      <w:r>
        <w:rPr/>
        <w:t>(continued)</w:t>
      </w:r>
    </w:p>
    <w:p>
      <w:pPr>
        <w:pStyle w:val="BodyText"/>
        <w:spacing w:before="7"/>
        <w:rPr>
          <w:b/>
          <w:sz w:val="26"/>
        </w:rPr>
      </w:pPr>
    </w:p>
    <w:p>
      <w:pPr>
        <w:pStyle w:val="ListParagraph"/>
        <w:numPr>
          <w:ilvl w:val="1"/>
          <w:numId w:val="33"/>
        </w:numPr>
        <w:tabs>
          <w:tab w:pos="2392" w:val="left" w:leader="none"/>
        </w:tabs>
        <w:spacing w:line="240" w:lineRule="auto" w:before="0" w:after="0"/>
        <w:ind w:left="2391" w:right="0" w:hanging="566"/>
        <w:jc w:val="left"/>
        <w:rPr>
          <w:sz w:val="18"/>
        </w:rPr>
      </w:pPr>
      <w:r>
        <w:rPr>
          <w:sz w:val="18"/>
        </w:rPr>
        <w:t>Fair value</w:t>
      </w:r>
      <w:r>
        <w:rPr>
          <w:spacing w:val="-19"/>
          <w:sz w:val="18"/>
        </w:rPr>
        <w:t> </w:t>
      </w:r>
      <w:r>
        <w:rPr>
          <w:sz w:val="18"/>
        </w:rPr>
        <w:t>hierarchy</w:t>
      </w:r>
    </w:p>
    <w:p>
      <w:pPr>
        <w:pStyle w:val="BodyText"/>
        <w:spacing w:before="4"/>
        <w:rPr>
          <w:sz w:val="25"/>
        </w:rPr>
      </w:pPr>
    </w:p>
    <w:p>
      <w:pPr>
        <w:pStyle w:val="BodyText"/>
        <w:ind w:left="2390" w:right="1338"/>
      </w:pPr>
      <w:r>
        <w:rPr/>
        <w:t>Western Sydney University categorises assets and liabilities measured at fair value into a hierarchy based on the level of inputs used in measurements.</w:t>
      </w:r>
    </w:p>
    <w:p>
      <w:pPr>
        <w:pStyle w:val="BodyText"/>
        <w:spacing w:before="2"/>
        <w:rPr>
          <w:sz w:val="26"/>
        </w:rPr>
      </w:pPr>
    </w:p>
    <w:p>
      <w:pPr>
        <w:pStyle w:val="BodyText"/>
        <w:tabs>
          <w:tab w:pos="4261" w:val="left" w:leader="none"/>
        </w:tabs>
        <w:spacing w:before="1"/>
        <w:ind w:left="2392"/>
      </w:pPr>
      <w:r>
        <w:rPr/>
        <w:t>Level</w:t>
      </w:r>
      <w:r>
        <w:rPr>
          <w:spacing w:val="-3"/>
        </w:rPr>
        <w:t> </w:t>
      </w:r>
      <w:r>
        <w:rPr/>
        <w:t>1</w:t>
        <w:tab/>
        <w:t>quoted</w:t>
      </w:r>
      <w:r>
        <w:rPr>
          <w:spacing w:val="-8"/>
        </w:rPr>
        <w:t> </w:t>
      </w:r>
      <w:r>
        <w:rPr/>
        <w:t>prices</w:t>
      </w:r>
      <w:r>
        <w:rPr>
          <w:spacing w:val="-8"/>
        </w:rPr>
        <w:t> </w:t>
      </w:r>
      <w:r>
        <w:rPr/>
        <w:t>(unadjusted)</w:t>
      </w:r>
      <w:r>
        <w:rPr>
          <w:spacing w:val="-8"/>
        </w:rPr>
        <w:t> </w:t>
      </w:r>
      <w:r>
        <w:rPr/>
        <w:t>in</w:t>
      </w:r>
      <w:r>
        <w:rPr>
          <w:spacing w:val="-8"/>
        </w:rPr>
        <w:t> </w:t>
      </w:r>
      <w:r>
        <w:rPr/>
        <w:t>active</w:t>
      </w:r>
      <w:r>
        <w:rPr>
          <w:spacing w:val="-8"/>
        </w:rPr>
        <w:t> </w:t>
      </w:r>
      <w:r>
        <w:rPr/>
        <w:t>markets</w:t>
      </w:r>
      <w:r>
        <w:rPr>
          <w:spacing w:val="-8"/>
        </w:rPr>
        <w:t> </w:t>
      </w:r>
      <w:r>
        <w:rPr/>
        <w:t>for</w:t>
      </w:r>
      <w:r>
        <w:rPr>
          <w:spacing w:val="-8"/>
        </w:rPr>
        <w:t> </w:t>
      </w:r>
      <w:r>
        <w:rPr/>
        <w:t>identical</w:t>
      </w:r>
      <w:r>
        <w:rPr>
          <w:spacing w:val="-8"/>
        </w:rPr>
        <w:t> </w:t>
      </w:r>
      <w:r>
        <w:rPr/>
        <w:t>assets</w:t>
      </w:r>
      <w:r>
        <w:rPr>
          <w:spacing w:val="-8"/>
        </w:rPr>
        <w:t> </w:t>
      </w:r>
      <w:r>
        <w:rPr/>
        <w:t>or</w:t>
      </w:r>
      <w:r>
        <w:rPr>
          <w:spacing w:val="-8"/>
        </w:rPr>
        <w:t> </w:t>
      </w:r>
      <w:r>
        <w:rPr/>
        <w:t>liabilities.</w:t>
      </w:r>
    </w:p>
    <w:p>
      <w:pPr>
        <w:pStyle w:val="BodyText"/>
        <w:tabs>
          <w:tab w:pos="4261" w:val="left" w:leader="none"/>
        </w:tabs>
        <w:spacing w:before="57"/>
        <w:ind w:left="4261" w:right="1538" w:hanging="1869"/>
      </w:pPr>
      <w:r>
        <w:rPr/>
        <w:t>Level</w:t>
      </w:r>
      <w:r>
        <w:rPr>
          <w:spacing w:val="-3"/>
        </w:rPr>
        <w:t> </w:t>
      </w:r>
      <w:r>
        <w:rPr/>
        <w:t>2</w:t>
        <w:tab/>
        <w:t>inputs</w:t>
      </w:r>
      <w:r>
        <w:rPr>
          <w:spacing w:val="-6"/>
        </w:rPr>
        <w:t> </w:t>
      </w:r>
      <w:r>
        <w:rPr/>
        <w:t>other</w:t>
      </w:r>
      <w:r>
        <w:rPr>
          <w:spacing w:val="-6"/>
        </w:rPr>
        <w:t> </w:t>
      </w:r>
      <w:r>
        <w:rPr/>
        <w:t>than</w:t>
      </w:r>
      <w:r>
        <w:rPr>
          <w:spacing w:val="-6"/>
        </w:rPr>
        <w:t> </w:t>
      </w:r>
      <w:r>
        <w:rPr/>
        <w:t>quoted</w:t>
      </w:r>
      <w:r>
        <w:rPr>
          <w:spacing w:val="-6"/>
        </w:rPr>
        <w:t> </w:t>
      </w:r>
      <w:r>
        <w:rPr/>
        <w:t>prices</w:t>
      </w:r>
      <w:r>
        <w:rPr>
          <w:spacing w:val="-6"/>
        </w:rPr>
        <w:t> </w:t>
      </w:r>
      <w:r>
        <w:rPr/>
        <w:t>included</w:t>
      </w:r>
      <w:r>
        <w:rPr>
          <w:spacing w:val="-6"/>
        </w:rPr>
        <w:t> </w:t>
      </w:r>
      <w:r>
        <w:rPr/>
        <w:t>within</w:t>
      </w:r>
      <w:r>
        <w:rPr>
          <w:spacing w:val="-6"/>
        </w:rPr>
        <w:t> </w:t>
      </w:r>
      <w:r>
        <w:rPr/>
        <w:t>Level</w:t>
      </w:r>
      <w:r>
        <w:rPr>
          <w:spacing w:val="-6"/>
        </w:rPr>
        <w:t> </w:t>
      </w:r>
      <w:r>
        <w:rPr/>
        <w:t>1</w:t>
      </w:r>
      <w:r>
        <w:rPr>
          <w:spacing w:val="-6"/>
        </w:rPr>
        <w:t> </w:t>
      </w:r>
      <w:r>
        <w:rPr/>
        <w:t>that</w:t>
      </w:r>
      <w:r>
        <w:rPr>
          <w:spacing w:val="-6"/>
        </w:rPr>
        <w:t> </w:t>
      </w:r>
      <w:r>
        <w:rPr/>
        <w:t>are</w:t>
      </w:r>
      <w:r>
        <w:rPr>
          <w:spacing w:val="-6"/>
        </w:rPr>
        <w:t> </w:t>
      </w:r>
      <w:r>
        <w:rPr/>
        <w:t>observable</w:t>
      </w:r>
      <w:r>
        <w:rPr>
          <w:spacing w:val="-6"/>
        </w:rPr>
        <w:t> </w:t>
      </w:r>
      <w:r>
        <w:rPr/>
        <w:t>for</w:t>
      </w:r>
      <w:r>
        <w:rPr>
          <w:spacing w:val="-6"/>
        </w:rPr>
        <w:t> </w:t>
      </w:r>
      <w:r>
        <w:rPr/>
        <w:t>the</w:t>
      </w:r>
      <w:r>
        <w:rPr>
          <w:spacing w:val="-6"/>
        </w:rPr>
        <w:t> </w:t>
      </w:r>
      <w:r>
        <w:rPr/>
        <w:t>asset</w:t>
      </w:r>
      <w:r>
        <w:rPr>
          <w:spacing w:val="-1"/>
        </w:rPr>
        <w:t> </w:t>
      </w:r>
      <w:r>
        <w:rPr/>
        <w:t>or</w:t>
      </w:r>
      <w:r>
        <w:rPr>
          <w:spacing w:val="-8"/>
        </w:rPr>
        <w:t> </w:t>
      </w:r>
      <w:r>
        <w:rPr/>
        <w:t>liability,</w:t>
      </w:r>
      <w:r>
        <w:rPr>
          <w:spacing w:val="-8"/>
        </w:rPr>
        <w:t> </w:t>
      </w:r>
      <w:r>
        <w:rPr/>
        <w:t>either</w:t>
      </w:r>
      <w:r>
        <w:rPr>
          <w:spacing w:val="-8"/>
        </w:rPr>
        <w:t> </w:t>
      </w:r>
      <w:r>
        <w:rPr/>
        <w:t>directly</w:t>
      </w:r>
      <w:r>
        <w:rPr>
          <w:spacing w:val="-8"/>
        </w:rPr>
        <w:t> </w:t>
      </w:r>
      <w:r>
        <w:rPr/>
        <w:t>or</w:t>
      </w:r>
      <w:r>
        <w:rPr>
          <w:spacing w:val="-8"/>
        </w:rPr>
        <w:t> </w:t>
      </w:r>
      <w:r>
        <w:rPr/>
        <w:t>indirectly.</w:t>
      </w:r>
    </w:p>
    <w:p>
      <w:pPr>
        <w:pStyle w:val="BodyText"/>
        <w:tabs>
          <w:tab w:pos="4261" w:val="left" w:leader="none"/>
        </w:tabs>
        <w:spacing w:before="57"/>
        <w:ind w:left="4261" w:right="2490" w:hanging="1869"/>
      </w:pPr>
      <w:r>
        <w:rPr/>
        <w:t>Level</w:t>
      </w:r>
      <w:r>
        <w:rPr>
          <w:spacing w:val="-3"/>
        </w:rPr>
        <w:t> </w:t>
      </w:r>
      <w:r>
        <w:rPr/>
        <w:t>3</w:t>
        <w:tab/>
        <w:t>inputs</w:t>
      </w:r>
      <w:r>
        <w:rPr>
          <w:spacing w:val="-6"/>
        </w:rPr>
        <w:t> </w:t>
      </w:r>
      <w:r>
        <w:rPr/>
        <w:t>for</w:t>
      </w:r>
      <w:r>
        <w:rPr>
          <w:spacing w:val="-6"/>
        </w:rPr>
        <w:t> </w:t>
      </w:r>
      <w:r>
        <w:rPr/>
        <w:t>the</w:t>
      </w:r>
      <w:r>
        <w:rPr>
          <w:spacing w:val="-6"/>
        </w:rPr>
        <w:t> </w:t>
      </w:r>
      <w:r>
        <w:rPr/>
        <w:t>asset</w:t>
      </w:r>
      <w:r>
        <w:rPr>
          <w:spacing w:val="-6"/>
        </w:rPr>
        <w:t> </w:t>
      </w:r>
      <w:r>
        <w:rPr/>
        <w:t>or</w:t>
      </w:r>
      <w:r>
        <w:rPr>
          <w:spacing w:val="-6"/>
        </w:rPr>
        <w:t> </w:t>
      </w:r>
      <w:r>
        <w:rPr/>
        <w:t>liability</w:t>
      </w:r>
      <w:r>
        <w:rPr>
          <w:spacing w:val="-6"/>
        </w:rPr>
        <w:t> </w:t>
      </w:r>
      <w:r>
        <w:rPr/>
        <w:t>that</w:t>
      </w:r>
      <w:r>
        <w:rPr>
          <w:spacing w:val="-6"/>
        </w:rPr>
        <w:t> </w:t>
      </w:r>
      <w:r>
        <w:rPr/>
        <w:t>are</w:t>
      </w:r>
      <w:r>
        <w:rPr>
          <w:spacing w:val="-6"/>
        </w:rPr>
        <w:t> </w:t>
      </w:r>
      <w:r>
        <w:rPr/>
        <w:t>not</w:t>
      </w:r>
      <w:r>
        <w:rPr>
          <w:spacing w:val="-6"/>
        </w:rPr>
        <w:t> </w:t>
      </w:r>
      <w:r>
        <w:rPr/>
        <w:t>based</w:t>
      </w:r>
      <w:r>
        <w:rPr>
          <w:spacing w:val="-6"/>
        </w:rPr>
        <w:t> </w:t>
      </w:r>
      <w:r>
        <w:rPr/>
        <w:t>on</w:t>
      </w:r>
      <w:r>
        <w:rPr>
          <w:spacing w:val="-6"/>
        </w:rPr>
        <w:t> </w:t>
      </w:r>
      <w:r>
        <w:rPr/>
        <w:t>observable</w:t>
      </w:r>
      <w:r>
        <w:rPr>
          <w:spacing w:val="-6"/>
        </w:rPr>
        <w:t> </w:t>
      </w:r>
      <w:r>
        <w:rPr/>
        <w:t>market</w:t>
      </w:r>
      <w:r>
        <w:rPr>
          <w:spacing w:val="-6"/>
        </w:rPr>
        <w:t> </w:t>
      </w:r>
      <w:r>
        <w:rPr/>
        <w:t>data</w:t>
      </w:r>
      <w:r>
        <w:rPr>
          <w:spacing w:val="-1"/>
          <w:w w:val="99"/>
        </w:rPr>
        <w:t> </w:t>
      </w:r>
      <w:r>
        <w:rPr/>
        <w:t>(unobservable</w:t>
      </w:r>
      <w:r>
        <w:rPr>
          <w:spacing w:val="-21"/>
        </w:rPr>
        <w:t> </w:t>
      </w:r>
      <w:r>
        <w:rPr/>
        <w:t>inputs)</w:t>
      </w:r>
    </w:p>
    <w:p>
      <w:pPr>
        <w:pStyle w:val="BodyText"/>
      </w:pPr>
    </w:p>
    <w:p>
      <w:pPr>
        <w:pStyle w:val="ListParagraph"/>
        <w:numPr>
          <w:ilvl w:val="0"/>
          <w:numId w:val="35"/>
        </w:numPr>
        <w:tabs>
          <w:tab w:pos="2600" w:val="left" w:leader="none"/>
        </w:tabs>
        <w:spacing w:line="240" w:lineRule="auto" w:before="109" w:after="0"/>
        <w:ind w:left="2599" w:right="0" w:hanging="209"/>
        <w:jc w:val="left"/>
        <w:rPr>
          <w:sz w:val="18"/>
        </w:rPr>
      </w:pPr>
      <w:r>
        <w:rPr>
          <w:sz w:val="18"/>
        </w:rPr>
        <w:t>Recognised fair value</w:t>
      </w:r>
      <w:r>
        <w:rPr>
          <w:spacing w:val="-32"/>
          <w:sz w:val="18"/>
        </w:rPr>
        <w:t> </w:t>
      </w:r>
      <w:r>
        <w:rPr>
          <w:sz w:val="18"/>
        </w:rPr>
        <w:t>measurements</w:t>
      </w:r>
    </w:p>
    <w:p>
      <w:pPr>
        <w:pStyle w:val="BodyText"/>
        <w:spacing w:before="11"/>
        <w:rPr>
          <w:sz w:val="24"/>
        </w:rPr>
      </w:pPr>
    </w:p>
    <w:p>
      <w:pPr>
        <w:pStyle w:val="BodyText"/>
        <w:ind w:left="2390" w:right="1375"/>
      </w:pPr>
      <w:r>
        <w:rPr/>
        <w:drawing>
          <wp:anchor distT="0" distB="0" distL="0" distR="0" allowOverlap="1" layoutInCell="1" locked="0" behindDoc="0" simplePos="0" relativeHeight="5368">
            <wp:simplePos x="0" y="0"/>
            <wp:positionH relativeFrom="page">
              <wp:posOffset>-1587</wp:posOffset>
            </wp:positionH>
            <wp:positionV relativeFrom="paragraph">
              <wp:posOffset>1085772</wp:posOffset>
            </wp:positionV>
            <wp:extent cx="135159" cy="154019"/>
            <wp:effectExtent l="0" t="0" r="0" b="0"/>
            <wp:wrapNone/>
            <wp:docPr id="341" name="image13.png" descr=""/>
            <wp:cNvGraphicFramePr>
              <a:graphicFrameLocks noChangeAspect="1"/>
            </wp:cNvGraphicFramePr>
            <a:graphic>
              <a:graphicData uri="http://schemas.openxmlformats.org/drawingml/2006/picture">
                <pic:pic>
                  <pic:nvPicPr>
                    <pic:cNvPr id="342" name="image13.png"/>
                    <pic:cNvPicPr/>
                  </pic:nvPicPr>
                  <pic:blipFill>
                    <a:blip r:embed="rId18" cstate="print"/>
                    <a:stretch>
                      <a:fillRect/>
                    </a:stretch>
                  </pic:blipFill>
                  <pic:spPr>
                    <a:xfrm>
                      <a:off x="0" y="0"/>
                      <a:ext cx="135159" cy="154019"/>
                    </a:xfrm>
                    <a:prstGeom prst="rect">
                      <a:avLst/>
                    </a:prstGeom>
                  </pic:spPr>
                </pic:pic>
              </a:graphicData>
            </a:graphic>
          </wp:anchor>
        </w:drawing>
      </w:r>
      <w:r>
        <w:rPr/>
        <w:drawing>
          <wp:anchor distT="0" distB="0" distL="0" distR="0" allowOverlap="1" layoutInCell="1" locked="0" behindDoc="0" simplePos="0" relativeHeight="5392">
            <wp:simplePos x="0" y="0"/>
            <wp:positionH relativeFrom="page">
              <wp:posOffset>7958429</wp:posOffset>
            </wp:positionH>
            <wp:positionV relativeFrom="paragraph">
              <wp:posOffset>1085772</wp:posOffset>
            </wp:positionV>
            <wp:extent cx="135953" cy="155575"/>
            <wp:effectExtent l="0" t="0" r="0" b="0"/>
            <wp:wrapNone/>
            <wp:docPr id="343" name="image15.png" descr=""/>
            <wp:cNvGraphicFramePr>
              <a:graphicFrameLocks noChangeAspect="1"/>
            </wp:cNvGraphicFramePr>
            <a:graphic>
              <a:graphicData uri="http://schemas.openxmlformats.org/drawingml/2006/picture">
                <pic:pic>
                  <pic:nvPicPr>
                    <pic:cNvPr id="344" name="image15.png"/>
                    <pic:cNvPicPr/>
                  </pic:nvPicPr>
                  <pic:blipFill>
                    <a:blip r:embed="rId20" cstate="print"/>
                    <a:stretch>
                      <a:fillRect/>
                    </a:stretch>
                  </pic:blipFill>
                  <pic:spPr>
                    <a:xfrm>
                      <a:off x="0" y="0"/>
                      <a:ext cx="135953" cy="155575"/>
                    </a:xfrm>
                    <a:prstGeom prst="rect">
                      <a:avLst/>
                    </a:prstGeom>
                  </pic:spPr>
                </pic:pic>
              </a:graphicData>
            </a:graphic>
          </wp:anchor>
        </w:drawing>
      </w:r>
      <w:r>
        <w:rPr/>
        <w:t>Fair value measurements recognised in the statement of financial position are categorised into the following levels at 31 December 2016.</w:t>
      </w:r>
    </w:p>
    <w:p>
      <w:pPr>
        <w:pStyle w:val="BodyText"/>
        <w:spacing w:before="3"/>
      </w:pPr>
    </w:p>
    <w:tbl>
      <w:tblPr>
        <w:tblW w:w="0" w:type="auto"/>
        <w:jc w:val="left"/>
        <w:tblInd w:w="235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113"/>
        <w:gridCol w:w="1124"/>
        <w:gridCol w:w="1297"/>
        <w:gridCol w:w="1297"/>
        <w:gridCol w:w="1157"/>
      </w:tblGrid>
      <w:tr>
        <w:trPr>
          <w:trHeight w:val="567" w:hRule="exact"/>
        </w:trPr>
        <w:tc>
          <w:tcPr>
            <w:tcW w:w="4113" w:type="dxa"/>
          </w:tcPr>
          <w:p>
            <w:pPr>
              <w:pStyle w:val="TableParagraph"/>
              <w:spacing w:before="77"/>
              <w:ind w:left="35"/>
              <w:jc w:val="left"/>
              <w:rPr>
                <w:b/>
                <w:sz w:val="18"/>
              </w:rPr>
            </w:pPr>
            <w:r>
              <w:rPr>
                <w:b/>
                <w:sz w:val="18"/>
              </w:rPr>
              <w:t>Fair value measurements at 31 December 2016</w:t>
            </w:r>
          </w:p>
        </w:tc>
        <w:tc>
          <w:tcPr>
            <w:tcW w:w="1124" w:type="dxa"/>
          </w:tcPr>
          <w:p>
            <w:pPr>
              <w:pStyle w:val="TableParagraph"/>
              <w:jc w:val="left"/>
              <w:rPr>
                <w:sz w:val="18"/>
              </w:rPr>
            </w:pPr>
          </w:p>
          <w:p>
            <w:pPr>
              <w:pStyle w:val="TableParagraph"/>
              <w:spacing w:before="110"/>
              <w:ind w:left="157"/>
              <w:jc w:val="left"/>
              <w:rPr>
                <w:b/>
                <w:sz w:val="18"/>
              </w:rPr>
            </w:pPr>
            <w:r>
              <w:rPr>
                <w:b/>
                <w:sz w:val="18"/>
              </w:rPr>
              <w:t>2016</w:t>
            </w:r>
          </w:p>
        </w:tc>
        <w:tc>
          <w:tcPr>
            <w:tcW w:w="1297" w:type="dxa"/>
          </w:tcPr>
          <w:p>
            <w:pPr>
              <w:pStyle w:val="TableParagraph"/>
              <w:jc w:val="left"/>
              <w:rPr>
                <w:sz w:val="18"/>
              </w:rPr>
            </w:pPr>
          </w:p>
          <w:p>
            <w:pPr>
              <w:pStyle w:val="TableParagraph"/>
              <w:spacing w:before="110"/>
              <w:ind w:left="227"/>
              <w:jc w:val="left"/>
              <w:rPr>
                <w:b/>
                <w:sz w:val="18"/>
              </w:rPr>
            </w:pPr>
            <w:r>
              <w:rPr>
                <w:b/>
                <w:sz w:val="18"/>
              </w:rPr>
              <w:t>Level 1</w:t>
            </w:r>
          </w:p>
        </w:tc>
        <w:tc>
          <w:tcPr>
            <w:tcW w:w="1297" w:type="dxa"/>
          </w:tcPr>
          <w:p>
            <w:pPr>
              <w:pStyle w:val="TableParagraph"/>
              <w:jc w:val="left"/>
              <w:rPr>
                <w:sz w:val="18"/>
              </w:rPr>
            </w:pPr>
          </w:p>
          <w:p>
            <w:pPr>
              <w:pStyle w:val="TableParagraph"/>
              <w:spacing w:before="110"/>
              <w:ind w:left="227"/>
              <w:jc w:val="left"/>
              <w:rPr>
                <w:b/>
                <w:sz w:val="18"/>
              </w:rPr>
            </w:pPr>
            <w:r>
              <w:rPr>
                <w:b/>
                <w:sz w:val="18"/>
              </w:rPr>
              <w:t>Level 2</w:t>
            </w:r>
          </w:p>
        </w:tc>
        <w:tc>
          <w:tcPr>
            <w:tcW w:w="1157" w:type="dxa"/>
          </w:tcPr>
          <w:p>
            <w:pPr>
              <w:pStyle w:val="TableParagraph"/>
              <w:jc w:val="left"/>
              <w:rPr>
                <w:sz w:val="18"/>
              </w:rPr>
            </w:pPr>
          </w:p>
          <w:p>
            <w:pPr>
              <w:pStyle w:val="TableParagraph"/>
              <w:spacing w:before="110"/>
              <w:ind w:left="227"/>
              <w:jc w:val="left"/>
              <w:rPr>
                <w:b/>
                <w:sz w:val="18"/>
              </w:rPr>
            </w:pPr>
            <w:r>
              <w:rPr>
                <w:b/>
                <w:sz w:val="18"/>
              </w:rPr>
              <w:t>Level 3</w:t>
            </w:r>
          </w:p>
        </w:tc>
      </w:tr>
      <w:tr>
        <w:trPr>
          <w:trHeight w:val="313" w:hRule="exact"/>
        </w:trPr>
        <w:tc>
          <w:tcPr>
            <w:tcW w:w="4113" w:type="dxa"/>
          </w:tcPr>
          <w:p>
            <w:pPr>
              <w:pStyle w:val="TableParagraph"/>
              <w:spacing w:before="24"/>
              <w:ind w:right="391"/>
              <w:rPr>
                <w:b/>
                <w:sz w:val="18"/>
              </w:rPr>
            </w:pPr>
            <w:r>
              <w:rPr>
                <w:b/>
                <w:sz w:val="18"/>
              </w:rPr>
              <w:t>Note</w:t>
            </w:r>
          </w:p>
        </w:tc>
        <w:tc>
          <w:tcPr>
            <w:tcW w:w="1124" w:type="dxa"/>
          </w:tcPr>
          <w:p>
            <w:pPr>
              <w:pStyle w:val="TableParagraph"/>
              <w:spacing w:before="24"/>
              <w:ind w:left="136"/>
              <w:jc w:val="left"/>
              <w:rPr>
                <w:b/>
                <w:sz w:val="18"/>
              </w:rPr>
            </w:pPr>
            <w:r>
              <w:rPr>
                <w:b/>
                <w:sz w:val="18"/>
              </w:rPr>
              <w:t>$'000</w:t>
            </w:r>
          </w:p>
        </w:tc>
        <w:tc>
          <w:tcPr>
            <w:tcW w:w="1297" w:type="dxa"/>
          </w:tcPr>
          <w:p>
            <w:pPr>
              <w:pStyle w:val="TableParagraph"/>
              <w:spacing w:before="24"/>
              <w:ind w:left="309"/>
              <w:jc w:val="left"/>
              <w:rPr>
                <w:b/>
                <w:sz w:val="18"/>
              </w:rPr>
            </w:pPr>
            <w:r>
              <w:rPr>
                <w:b/>
                <w:sz w:val="18"/>
              </w:rPr>
              <w:t>$'000</w:t>
            </w:r>
          </w:p>
        </w:tc>
        <w:tc>
          <w:tcPr>
            <w:tcW w:w="1297" w:type="dxa"/>
          </w:tcPr>
          <w:p>
            <w:pPr>
              <w:pStyle w:val="TableParagraph"/>
              <w:spacing w:before="24"/>
              <w:ind w:left="309"/>
              <w:jc w:val="left"/>
              <w:rPr>
                <w:b/>
                <w:sz w:val="18"/>
              </w:rPr>
            </w:pPr>
            <w:r>
              <w:rPr>
                <w:b/>
                <w:sz w:val="18"/>
              </w:rPr>
              <w:t>$'000</w:t>
            </w:r>
          </w:p>
        </w:tc>
        <w:tc>
          <w:tcPr>
            <w:tcW w:w="1157" w:type="dxa"/>
          </w:tcPr>
          <w:p>
            <w:pPr>
              <w:pStyle w:val="TableParagraph"/>
              <w:spacing w:before="24"/>
              <w:ind w:left="309"/>
              <w:jc w:val="left"/>
              <w:rPr>
                <w:b/>
                <w:sz w:val="18"/>
              </w:rPr>
            </w:pPr>
            <w:r>
              <w:rPr>
                <w:b/>
                <w:sz w:val="18"/>
              </w:rPr>
              <w:t>$'000</w:t>
            </w:r>
          </w:p>
        </w:tc>
      </w:tr>
      <w:tr>
        <w:trPr>
          <w:trHeight w:val="336" w:hRule="exact"/>
        </w:trPr>
        <w:tc>
          <w:tcPr>
            <w:tcW w:w="4113" w:type="dxa"/>
          </w:tcPr>
          <w:p>
            <w:pPr>
              <w:pStyle w:val="TableParagraph"/>
              <w:spacing w:before="63"/>
              <w:ind w:left="80"/>
              <w:jc w:val="left"/>
              <w:rPr>
                <w:b/>
                <w:sz w:val="18"/>
              </w:rPr>
            </w:pPr>
            <w:r>
              <w:rPr>
                <w:b/>
                <w:sz w:val="18"/>
              </w:rPr>
              <w:t>Recurring fair value measurements</w:t>
            </w:r>
          </w:p>
        </w:tc>
        <w:tc>
          <w:tcPr>
            <w:tcW w:w="1124" w:type="dxa"/>
          </w:tcPr>
          <w:p>
            <w:pPr/>
          </w:p>
        </w:tc>
        <w:tc>
          <w:tcPr>
            <w:tcW w:w="1297" w:type="dxa"/>
          </w:tcPr>
          <w:p>
            <w:pPr/>
          </w:p>
        </w:tc>
        <w:tc>
          <w:tcPr>
            <w:tcW w:w="1297" w:type="dxa"/>
          </w:tcPr>
          <w:p>
            <w:pPr/>
          </w:p>
        </w:tc>
        <w:tc>
          <w:tcPr>
            <w:tcW w:w="1157" w:type="dxa"/>
          </w:tcPr>
          <w:p>
            <w:pPr/>
          </w:p>
        </w:tc>
      </w:tr>
      <w:tr>
        <w:trPr>
          <w:trHeight w:val="277" w:hRule="exact"/>
        </w:trPr>
        <w:tc>
          <w:tcPr>
            <w:tcW w:w="4113" w:type="dxa"/>
          </w:tcPr>
          <w:p>
            <w:pPr>
              <w:pStyle w:val="TableParagraph"/>
              <w:spacing w:before="46"/>
              <w:ind w:left="80"/>
              <w:jc w:val="left"/>
              <w:rPr>
                <w:b/>
                <w:sz w:val="18"/>
              </w:rPr>
            </w:pPr>
            <w:r>
              <w:rPr>
                <w:b/>
                <w:sz w:val="18"/>
              </w:rPr>
              <w:t>Financial assets</w:t>
            </w:r>
          </w:p>
        </w:tc>
        <w:tc>
          <w:tcPr>
            <w:tcW w:w="1124" w:type="dxa"/>
          </w:tcPr>
          <w:p>
            <w:pPr/>
          </w:p>
        </w:tc>
        <w:tc>
          <w:tcPr>
            <w:tcW w:w="1297" w:type="dxa"/>
          </w:tcPr>
          <w:p>
            <w:pPr/>
          </w:p>
        </w:tc>
        <w:tc>
          <w:tcPr>
            <w:tcW w:w="1297" w:type="dxa"/>
          </w:tcPr>
          <w:p>
            <w:pPr/>
          </w:p>
        </w:tc>
        <w:tc>
          <w:tcPr>
            <w:tcW w:w="1157" w:type="dxa"/>
          </w:tcPr>
          <w:p>
            <w:pPr/>
          </w:p>
        </w:tc>
      </w:tr>
      <w:tr>
        <w:trPr>
          <w:trHeight w:val="248" w:hRule="exact"/>
        </w:trPr>
        <w:tc>
          <w:tcPr>
            <w:tcW w:w="4113" w:type="dxa"/>
          </w:tcPr>
          <w:p>
            <w:pPr>
              <w:pStyle w:val="TableParagraph"/>
              <w:tabs>
                <w:tab w:pos="3465" w:val="right" w:leader="none"/>
              </w:tabs>
              <w:spacing w:before="4"/>
              <w:ind w:left="80"/>
              <w:jc w:val="left"/>
              <w:rPr>
                <w:sz w:val="18"/>
              </w:rPr>
            </w:pPr>
            <w:r>
              <w:rPr>
                <w:sz w:val="18"/>
              </w:rPr>
              <w:t>Available-for-sale</w:t>
            </w:r>
            <w:r>
              <w:rPr>
                <w:spacing w:val="-4"/>
                <w:sz w:val="18"/>
              </w:rPr>
              <w:t> </w:t>
            </w:r>
            <w:r>
              <w:rPr>
                <w:sz w:val="18"/>
              </w:rPr>
              <w:t>financial</w:t>
            </w:r>
            <w:r>
              <w:rPr>
                <w:spacing w:val="-4"/>
                <w:sz w:val="18"/>
              </w:rPr>
              <w:t> </w:t>
            </w:r>
            <w:r>
              <w:rPr>
                <w:sz w:val="18"/>
              </w:rPr>
              <w:t>assets</w:t>
            </w:r>
            <w:r>
              <w:rPr>
                <w:rFonts w:ascii="Times New Roman"/>
                <w:sz w:val="18"/>
              </w:rPr>
              <w:tab/>
            </w:r>
            <w:r>
              <w:rPr>
                <w:sz w:val="18"/>
              </w:rPr>
              <w:t>23</w:t>
            </w:r>
          </w:p>
        </w:tc>
        <w:tc>
          <w:tcPr>
            <w:tcW w:w="1124" w:type="dxa"/>
          </w:tcPr>
          <w:p>
            <w:pPr/>
          </w:p>
        </w:tc>
        <w:tc>
          <w:tcPr>
            <w:tcW w:w="1297" w:type="dxa"/>
          </w:tcPr>
          <w:p>
            <w:pPr/>
          </w:p>
        </w:tc>
        <w:tc>
          <w:tcPr>
            <w:tcW w:w="1297" w:type="dxa"/>
          </w:tcPr>
          <w:p>
            <w:pPr/>
          </w:p>
        </w:tc>
        <w:tc>
          <w:tcPr>
            <w:tcW w:w="1157" w:type="dxa"/>
          </w:tcPr>
          <w:p>
            <w:pPr/>
          </w:p>
        </w:tc>
      </w:tr>
      <w:tr>
        <w:trPr>
          <w:trHeight w:val="469" w:hRule="exact"/>
        </w:trPr>
        <w:tc>
          <w:tcPr>
            <w:tcW w:w="4113" w:type="dxa"/>
          </w:tcPr>
          <w:p>
            <w:pPr>
              <w:pStyle w:val="TableParagraph"/>
              <w:spacing w:before="18"/>
              <w:ind w:left="295" w:right="887"/>
              <w:jc w:val="left"/>
              <w:rPr>
                <w:sz w:val="18"/>
              </w:rPr>
            </w:pPr>
            <w:r>
              <w:rPr>
                <w:sz w:val="18"/>
              </w:rPr>
              <w:t>Available for sale (Unlisted securities)</w:t>
            </w:r>
          </w:p>
        </w:tc>
        <w:tc>
          <w:tcPr>
            <w:tcW w:w="1124" w:type="dxa"/>
          </w:tcPr>
          <w:p>
            <w:pPr>
              <w:pStyle w:val="TableParagraph"/>
              <w:spacing w:before="4"/>
              <w:jc w:val="left"/>
              <w:rPr>
                <w:sz w:val="19"/>
              </w:rPr>
            </w:pPr>
          </w:p>
          <w:p>
            <w:pPr>
              <w:pStyle w:val="TableParagraph"/>
              <w:ind w:right="225"/>
              <w:rPr>
                <w:sz w:val="18"/>
              </w:rPr>
            </w:pPr>
            <w:r>
              <w:rPr>
                <w:w w:val="95"/>
                <w:sz w:val="18"/>
              </w:rPr>
              <w:t>11,330</w:t>
            </w:r>
          </w:p>
        </w:tc>
        <w:tc>
          <w:tcPr>
            <w:tcW w:w="1297" w:type="dxa"/>
          </w:tcPr>
          <w:p>
            <w:pPr>
              <w:pStyle w:val="TableParagraph"/>
              <w:spacing w:before="4"/>
              <w:jc w:val="left"/>
              <w:rPr>
                <w:sz w:val="19"/>
              </w:rPr>
            </w:pPr>
          </w:p>
          <w:p>
            <w:pPr>
              <w:pStyle w:val="TableParagraph"/>
              <w:ind w:right="226"/>
              <w:rPr>
                <w:sz w:val="18"/>
              </w:rPr>
            </w:pPr>
            <w:r>
              <w:rPr>
                <w:w w:val="99"/>
                <w:sz w:val="18"/>
              </w:rPr>
              <w:t>-</w:t>
            </w:r>
          </w:p>
        </w:tc>
        <w:tc>
          <w:tcPr>
            <w:tcW w:w="1297" w:type="dxa"/>
          </w:tcPr>
          <w:p>
            <w:pPr>
              <w:pStyle w:val="TableParagraph"/>
              <w:spacing w:before="4"/>
              <w:jc w:val="left"/>
              <w:rPr>
                <w:sz w:val="19"/>
              </w:rPr>
            </w:pPr>
          </w:p>
          <w:p>
            <w:pPr>
              <w:pStyle w:val="TableParagraph"/>
              <w:ind w:right="225"/>
              <w:rPr>
                <w:sz w:val="18"/>
              </w:rPr>
            </w:pPr>
            <w:r>
              <w:rPr>
                <w:w w:val="95"/>
                <w:sz w:val="18"/>
              </w:rPr>
              <w:t>11,027</w:t>
            </w:r>
          </w:p>
        </w:tc>
        <w:tc>
          <w:tcPr>
            <w:tcW w:w="1157" w:type="dxa"/>
          </w:tcPr>
          <w:p>
            <w:pPr>
              <w:pStyle w:val="TableParagraph"/>
              <w:spacing w:before="4"/>
              <w:jc w:val="left"/>
              <w:rPr>
                <w:sz w:val="19"/>
              </w:rPr>
            </w:pPr>
          </w:p>
          <w:p>
            <w:pPr>
              <w:pStyle w:val="TableParagraph"/>
              <w:ind w:right="85"/>
              <w:rPr>
                <w:sz w:val="18"/>
              </w:rPr>
            </w:pPr>
            <w:r>
              <w:rPr>
                <w:sz w:val="18"/>
              </w:rPr>
              <w:t>303</w:t>
            </w:r>
          </w:p>
        </w:tc>
      </w:tr>
      <w:tr>
        <w:trPr>
          <w:trHeight w:val="262" w:hRule="exact"/>
        </w:trPr>
        <w:tc>
          <w:tcPr>
            <w:tcW w:w="4113" w:type="dxa"/>
            <w:tcBorders>
              <w:bottom w:val="single" w:sz="0" w:space="0" w:color="000000"/>
            </w:tcBorders>
          </w:tcPr>
          <w:p>
            <w:pPr>
              <w:pStyle w:val="TableParagraph"/>
              <w:spacing w:before="19"/>
              <w:ind w:left="295"/>
              <w:jc w:val="left"/>
              <w:rPr>
                <w:sz w:val="18"/>
              </w:rPr>
            </w:pPr>
            <w:r>
              <w:rPr>
                <w:sz w:val="18"/>
              </w:rPr>
              <w:t>Available for sale (Acadian)</w:t>
            </w:r>
          </w:p>
        </w:tc>
        <w:tc>
          <w:tcPr>
            <w:tcW w:w="1124" w:type="dxa"/>
            <w:tcBorders>
              <w:bottom w:val="single" w:sz="0" w:space="0" w:color="000000"/>
            </w:tcBorders>
          </w:tcPr>
          <w:p>
            <w:pPr>
              <w:pStyle w:val="TableParagraph"/>
              <w:spacing w:before="18"/>
              <w:ind w:right="225"/>
              <w:rPr>
                <w:sz w:val="18"/>
              </w:rPr>
            </w:pPr>
            <w:r>
              <w:rPr>
                <w:w w:val="95"/>
                <w:sz w:val="18"/>
              </w:rPr>
              <w:t>76,143</w:t>
            </w:r>
          </w:p>
        </w:tc>
        <w:tc>
          <w:tcPr>
            <w:tcW w:w="1297" w:type="dxa"/>
            <w:tcBorders>
              <w:bottom w:val="single" w:sz="0" w:space="0" w:color="000000"/>
            </w:tcBorders>
          </w:tcPr>
          <w:p>
            <w:pPr>
              <w:pStyle w:val="TableParagraph"/>
              <w:spacing w:before="18"/>
              <w:ind w:right="225"/>
              <w:rPr>
                <w:sz w:val="18"/>
              </w:rPr>
            </w:pPr>
            <w:r>
              <w:rPr>
                <w:w w:val="95"/>
                <w:sz w:val="18"/>
              </w:rPr>
              <w:t>76,143</w:t>
            </w:r>
          </w:p>
        </w:tc>
        <w:tc>
          <w:tcPr>
            <w:tcW w:w="1297" w:type="dxa"/>
            <w:tcBorders>
              <w:bottom w:val="single" w:sz="0" w:space="0" w:color="000000"/>
            </w:tcBorders>
          </w:tcPr>
          <w:p>
            <w:pPr>
              <w:pStyle w:val="TableParagraph"/>
              <w:spacing w:before="18"/>
              <w:ind w:right="226"/>
              <w:rPr>
                <w:sz w:val="18"/>
              </w:rPr>
            </w:pPr>
            <w:r>
              <w:rPr>
                <w:w w:val="99"/>
                <w:sz w:val="18"/>
              </w:rPr>
              <w:t>-</w:t>
            </w:r>
          </w:p>
        </w:tc>
        <w:tc>
          <w:tcPr>
            <w:tcW w:w="1157" w:type="dxa"/>
            <w:tcBorders>
              <w:bottom w:val="single" w:sz="0" w:space="0" w:color="000000"/>
            </w:tcBorders>
          </w:tcPr>
          <w:p>
            <w:pPr>
              <w:pStyle w:val="TableParagraph"/>
              <w:spacing w:before="18"/>
              <w:ind w:right="85"/>
              <w:rPr>
                <w:sz w:val="18"/>
              </w:rPr>
            </w:pPr>
            <w:r>
              <w:rPr>
                <w:w w:val="99"/>
                <w:sz w:val="18"/>
              </w:rPr>
              <w:t>-</w:t>
            </w:r>
          </w:p>
        </w:tc>
      </w:tr>
      <w:tr>
        <w:trPr>
          <w:trHeight w:val="337" w:hRule="exact"/>
        </w:trPr>
        <w:tc>
          <w:tcPr>
            <w:tcW w:w="4113" w:type="dxa"/>
            <w:tcBorders>
              <w:top w:val="single" w:sz="0" w:space="0" w:color="000000"/>
              <w:bottom w:val="single" w:sz="0" w:space="0" w:color="000000"/>
            </w:tcBorders>
          </w:tcPr>
          <w:p>
            <w:pPr>
              <w:pStyle w:val="TableParagraph"/>
              <w:spacing w:before="122"/>
              <w:ind w:left="80"/>
              <w:jc w:val="left"/>
              <w:rPr>
                <w:sz w:val="18"/>
              </w:rPr>
            </w:pPr>
            <w:r>
              <w:rPr>
                <w:sz w:val="18"/>
              </w:rPr>
              <w:t>Total financial assets</w:t>
            </w:r>
          </w:p>
        </w:tc>
        <w:tc>
          <w:tcPr>
            <w:tcW w:w="1124" w:type="dxa"/>
            <w:tcBorders>
              <w:top w:val="single" w:sz="0" w:space="0" w:color="000000"/>
              <w:bottom w:val="single" w:sz="0" w:space="0" w:color="000000"/>
            </w:tcBorders>
          </w:tcPr>
          <w:p>
            <w:pPr>
              <w:pStyle w:val="TableParagraph"/>
              <w:spacing w:before="122"/>
              <w:ind w:right="225"/>
              <w:rPr>
                <w:b/>
                <w:sz w:val="18"/>
              </w:rPr>
            </w:pPr>
            <w:r>
              <w:rPr>
                <w:b/>
                <w:w w:val="95"/>
                <w:sz w:val="18"/>
              </w:rPr>
              <w:t>87,473</w:t>
            </w:r>
          </w:p>
        </w:tc>
        <w:tc>
          <w:tcPr>
            <w:tcW w:w="1297" w:type="dxa"/>
            <w:tcBorders>
              <w:top w:val="single" w:sz="0" w:space="0" w:color="000000"/>
              <w:bottom w:val="single" w:sz="0" w:space="0" w:color="000000"/>
            </w:tcBorders>
          </w:tcPr>
          <w:p>
            <w:pPr>
              <w:pStyle w:val="TableParagraph"/>
              <w:spacing w:before="122"/>
              <w:ind w:right="225"/>
              <w:rPr>
                <w:b/>
                <w:sz w:val="18"/>
              </w:rPr>
            </w:pPr>
            <w:r>
              <w:rPr>
                <w:b/>
                <w:w w:val="95"/>
                <w:sz w:val="18"/>
              </w:rPr>
              <w:t>76,143</w:t>
            </w:r>
          </w:p>
        </w:tc>
        <w:tc>
          <w:tcPr>
            <w:tcW w:w="1297" w:type="dxa"/>
            <w:tcBorders>
              <w:top w:val="single" w:sz="0" w:space="0" w:color="000000"/>
              <w:bottom w:val="single" w:sz="0" w:space="0" w:color="000000"/>
            </w:tcBorders>
          </w:tcPr>
          <w:p>
            <w:pPr>
              <w:pStyle w:val="TableParagraph"/>
              <w:spacing w:before="122"/>
              <w:ind w:right="225"/>
              <w:rPr>
                <w:b/>
                <w:sz w:val="18"/>
              </w:rPr>
            </w:pPr>
            <w:r>
              <w:rPr>
                <w:b/>
                <w:w w:val="95"/>
                <w:sz w:val="18"/>
              </w:rPr>
              <w:t>11,027</w:t>
            </w:r>
          </w:p>
        </w:tc>
        <w:tc>
          <w:tcPr>
            <w:tcW w:w="1157" w:type="dxa"/>
            <w:tcBorders>
              <w:top w:val="single" w:sz="0" w:space="0" w:color="000000"/>
              <w:bottom w:val="single" w:sz="0" w:space="0" w:color="000000"/>
            </w:tcBorders>
          </w:tcPr>
          <w:p>
            <w:pPr>
              <w:pStyle w:val="TableParagraph"/>
              <w:spacing w:before="122"/>
              <w:ind w:right="85"/>
              <w:rPr>
                <w:b/>
                <w:sz w:val="18"/>
              </w:rPr>
            </w:pPr>
            <w:r>
              <w:rPr>
                <w:b/>
                <w:sz w:val="18"/>
              </w:rPr>
              <w:t>303</w:t>
            </w:r>
          </w:p>
        </w:tc>
      </w:tr>
      <w:tr>
        <w:trPr>
          <w:trHeight w:val="385" w:hRule="exact"/>
        </w:trPr>
        <w:tc>
          <w:tcPr>
            <w:tcW w:w="4113" w:type="dxa"/>
            <w:tcBorders>
              <w:top w:val="single" w:sz="0" w:space="0" w:color="000000"/>
            </w:tcBorders>
          </w:tcPr>
          <w:p>
            <w:pPr>
              <w:pStyle w:val="TableParagraph"/>
              <w:spacing w:before="154"/>
              <w:ind w:left="80"/>
              <w:jc w:val="left"/>
              <w:rPr>
                <w:b/>
                <w:sz w:val="18"/>
              </w:rPr>
            </w:pPr>
            <w:r>
              <w:rPr>
                <w:b/>
                <w:sz w:val="18"/>
              </w:rPr>
              <w:t>Non-financial assets</w:t>
            </w:r>
          </w:p>
        </w:tc>
        <w:tc>
          <w:tcPr>
            <w:tcW w:w="1124" w:type="dxa"/>
            <w:tcBorders>
              <w:top w:val="single" w:sz="0" w:space="0" w:color="000000"/>
            </w:tcBorders>
          </w:tcPr>
          <w:p>
            <w:pPr/>
          </w:p>
        </w:tc>
        <w:tc>
          <w:tcPr>
            <w:tcW w:w="1297" w:type="dxa"/>
            <w:tcBorders>
              <w:top w:val="single" w:sz="0" w:space="0" w:color="000000"/>
            </w:tcBorders>
          </w:tcPr>
          <w:p>
            <w:pPr/>
          </w:p>
        </w:tc>
        <w:tc>
          <w:tcPr>
            <w:tcW w:w="1297" w:type="dxa"/>
            <w:tcBorders>
              <w:top w:val="single" w:sz="0" w:space="0" w:color="000000"/>
            </w:tcBorders>
          </w:tcPr>
          <w:p>
            <w:pPr/>
          </w:p>
        </w:tc>
        <w:tc>
          <w:tcPr>
            <w:tcW w:w="1157" w:type="dxa"/>
            <w:tcBorders>
              <w:top w:val="single" w:sz="0" w:space="0" w:color="000000"/>
            </w:tcBorders>
          </w:tcPr>
          <w:p>
            <w:pPr/>
          </w:p>
        </w:tc>
      </w:tr>
      <w:tr>
        <w:trPr>
          <w:trHeight w:val="248" w:hRule="exact"/>
        </w:trPr>
        <w:tc>
          <w:tcPr>
            <w:tcW w:w="4113" w:type="dxa"/>
          </w:tcPr>
          <w:p>
            <w:pPr>
              <w:pStyle w:val="TableParagraph"/>
              <w:tabs>
                <w:tab w:pos="3465" w:val="right" w:leader="none"/>
              </w:tabs>
              <w:spacing w:before="4"/>
              <w:ind w:left="80"/>
              <w:jc w:val="left"/>
              <w:rPr>
                <w:sz w:val="18"/>
              </w:rPr>
            </w:pPr>
            <w:r>
              <w:rPr>
                <w:sz w:val="18"/>
              </w:rPr>
              <w:t>Property, plant</w:t>
            </w:r>
            <w:r>
              <w:rPr>
                <w:spacing w:val="-5"/>
                <w:sz w:val="18"/>
              </w:rPr>
              <w:t> </w:t>
            </w:r>
            <w:r>
              <w:rPr>
                <w:sz w:val="18"/>
              </w:rPr>
              <w:t>and</w:t>
            </w:r>
            <w:r>
              <w:rPr>
                <w:spacing w:val="-3"/>
                <w:sz w:val="18"/>
              </w:rPr>
              <w:t> </w:t>
            </w:r>
            <w:r>
              <w:rPr>
                <w:sz w:val="18"/>
              </w:rPr>
              <w:t>equipment</w:t>
            </w:r>
            <w:r>
              <w:rPr>
                <w:rFonts w:ascii="Times New Roman"/>
                <w:sz w:val="18"/>
              </w:rPr>
              <w:tab/>
            </w:r>
            <w:r>
              <w:rPr>
                <w:sz w:val="18"/>
              </w:rPr>
              <w:t>21</w:t>
            </w:r>
          </w:p>
        </w:tc>
        <w:tc>
          <w:tcPr>
            <w:tcW w:w="1124" w:type="dxa"/>
          </w:tcPr>
          <w:p>
            <w:pPr/>
          </w:p>
        </w:tc>
        <w:tc>
          <w:tcPr>
            <w:tcW w:w="1297" w:type="dxa"/>
          </w:tcPr>
          <w:p>
            <w:pPr/>
          </w:p>
        </w:tc>
        <w:tc>
          <w:tcPr>
            <w:tcW w:w="1297" w:type="dxa"/>
          </w:tcPr>
          <w:p>
            <w:pPr/>
          </w:p>
        </w:tc>
        <w:tc>
          <w:tcPr>
            <w:tcW w:w="1157" w:type="dxa"/>
          </w:tcPr>
          <w:p>
            <w:pPr/>
          </w:p>
        </w:tc>
      </w:tr>
      <w:tr>
        <w:trPr>
          <w:trHeight w:val="264" w:hRule="exact"/>
        </w:trPr>
        <w:tc>
          <w:tcPr>
            <w:tcW w:w="4113" w:type="dxa"/>
          </w:tcPr>
          <w:p>
            <w:pPr>
              <w:pStyle w:val="TableParagraph"/>
              <w:spacing w:before="19"/>
              <w:ind w:left="295"/>
              <w:jc w:val="left"/>
              <w:rPr>
                <w:sz w:val="18"/>
              </w:rPr>
            </w:pPr>
            <w:r>
              <w:rPr>
                <w:sz w:val="18"/>
              </w:rPr>
              <w:t>Land</w:t>
            </w:r>
          </w:p>
        </w:tc>
        <w:tc>
          <w:tcPr>
            <w:tcW w:w="1124" w:type="dxa"/>
          </w:tcPr>
          <w:p>
            <w:pPr>
              <w:pStyle w:val="TableParagraph"/>
              <w:spacing w:before="18"/>
              <w:ind w:right="225"/>
              <w:rPr>
                <w:sz w:val="18"/>
              </w:rPr>
            </w:pPr>
            <w:r>
              <w:rPr>
                <w:w w:val="95"/>
                <w:sz w:val="18"/>
              </w:rPr>
              <w:t>366,967</w:t>
            </w:r>
          </w:p>
        </w:tc>
        <w:tc>
          <w:tcPr>
            <w:tcW w:w="1297" w:type="dxa"/>
          </w:tcPr>
          <w:p>
            <w:pPr>
              <w:pStyle w:val="TableParagraph"/>
              <w:spacing w:before="18"/>
              <w:ind w:right="226"/>
              <w:rPr>
                <w:sz w:val="18"/>
              </w:rPr>
            </w:pPr>
            <w:r>
              <w:rPr>
                <w:w w:val="99"/>
                <w:sz w:val="18"/>
              </w:rPr>
              <w:t>-</w:t>
            </w:r>
          </w:p>
        </w:tc>
        <w:tc>
          <w:tcPr>
            <w:tcW w:w="1297" w:type="dxa"/>
          </w:tcPr>
          <w:p>
            <w:pPr>
              <w:pStyle w:val="TableParagraph"/>
              <w:spacing w:before="18"/>
              <w:ind w:right="225"/>
              <w:rPr>
                <w:sz w:val="18"/>
              </w:rPr>
            </w:pPr>
            <w:r>
              <w:rPr>
                <w:w w:val="95"/>
                <w:sz w:val="18"/>
              </w:rPr>
              <w:t>366,967</w:t>
            </w:r>
          </w:p>
        </w:tc>
        <w:tc>
          <w:tcPr>
            <w:tcW w:w="1157" w:type="dxa"/>
          </w:tcPr>
          <w:p>
            <w:pPr>
              <w:pStyle w:val="TableParagraph"/>
              <w:spacing w:before="18"/>
              <w:ind w:right="85"/>
              <w:rPr>
                <w:sz w:val="18"/>
              </w:rPr>
            </w:pPr>
            <w:r>
              <w:rPr>
                <w:w w:val="99"/>
                <w:sz w:val="18"/>
              </w:rPr>
              <w:t>-</w:t>
            </w:r>
          </w:p>
        </w:tc>
      </w:tr>
      <w:tr>
        <w:trPr>
          <w:trHeight w:val="264" w:hRule="exact"/>
        </w:trPr>
        <w:tc>
          <w:tcPr>
            <w:tcW w:w="4113" w:type="dxa"/>
          </w:tcPr>
          <w:p>
            <w:pPr>
              <w:pStyle w:val="TableParagraph"/>
              <w:spacing w:before="19"/>
              <w:ind w:left="295"/>
              <w:jc w:val="left"/>
              <w:rPr>
                <w:sz w:val="18"/>
              </w:rPr>
            </w:pPr>
            <w:r>
              <w:rPr>
                <w:sz w:val="18"/>
              </w:rPr>
              <w:t>Buildings</w:t>
            </w:r>
          </w:p>
        </w:tc>
        <w:tc>
          <w:tcPr>
            <w:tcW w:w="1124" w:type="dxa"/>
          </w:tcPr>
          <w:p>
            <w:pPr>
              <w:pStyle w:val="TableParagraph"/>
              <w:spacing w:before="18"/>
              <w:ind w:right="225"/>
              <w:rPr>
                <w:sz w:val="18"/>
              </w:rPr>
            </w:pPr>
            <w:r>
              <w:rPr>
                <w:w w:val="95"/>
                <w:sz w:val="18"/>
              </w:rPr>
              <w:t>960,757</w:t>
            </w:r>
          </w:p>
        </w:tc>
        <w:tc>
          <w:tcPr>
            <w:tcW w:w="1297" w:type="dxa"/>
          </w:tcPr>
          <w:p>
            <w:pPr>
              <w:pStyle w:val="TableParagraph"/>
              <w:spacing w:before="18"/>
              <w:ind w:right="226"/>
              <w:rPr>
                <w:sz w:val="18"/>
              </w:rPr>
            </w:pPr>
            <w:r>
              <w:rPr>
                <w:w w:val="99"/>
                <w:sz w:val="18"/>
              </w:rPr>
              <w:t>-</w:t>
            </w:r>
          </w:p>
        </w:tc>
        <w:tc>
          <w:tcPr>
            <w:tcW w:w="1297" w:type="dxa"/>
          </w:tcPr>
          <w:p>
            <w:pPr>
              <w:pStyle w:val="TableParagraph"/>
              <w:spacing w:before="18"/>
              <w:ind w:right="226"/>
              <w:rPr>
                <w:sz w:val="18"/>
              </w:rPr>
            </w:pPr>
            <w:r>
              <w:rPr>
                <w:w w:val="99"/>
                <w:sz w:val="18"/>
              </w:rPr>
              <w:t>-</w:t>
            </w:r>
          </w:p>
        </w:tc>
        <w:tc>
          <w:tcPr>
            <w:tcW w:w="1157" w:type="dxa"/>
          </w:tcPr>
          <w:p>
            <w:pPr>
              <w:pStyle w:val="TableParagraph"/>
              <w:spacing w:before="18"/>
              <w:ind w:right="85"/>
              <w:rPr>
                <w:sz w:val="18"/>
              </w:rPr>
            </w:pPr>
            <w:r>
              <w:rPr>
                <w:w w:val="95"/>
                <w:sz w:val="18"/>
              </w:rPr>
              <w:t>960,757</w:t>
            </w:r>
          </w:p>
        </w:tc>
      </w:tr>
      <w:tr>
        <w:trPr>
          <w:trHeight w:val="264" w:hRule="exact"/>
        </w:trPr>
        <w:tc>
          <w:tcPr>
            <w:tcW w:w="4113" w:type="dxa"/>
          </w:tcPr>
          <w:p>
            <w:pPr>
              <w:pStyle w:val="TableParagraph"/>
              <w:spacing w:before="19"/>
              <w:ind w:left="295"/>
              <w:jc w:val="left"/>
              <w:rPr>
                <w:sz w:val="18"/>
              </w:rPr>
            </w:pPr>
            <w:r>
              <w:rPr>
                <w:sz w:val="18"/>
              </w:rPr>
              <w:t>Infrastructure</w:t>
            </w:r>
          </w:p>
        </w:tc>
        <w:tc>
          <w:tcPr>
            <w:tcW w:w="1124" w:type="dxa"/>
          </w:tcPr>
          <w:p>
            <w:pPr>
              <w:pStyle w:val="TableParagraph"/>
              <w:spacing w:before="18"/>
              <w:ind w:right="225"/>
              <w:rPr>
                <w:sz w:val="18"/>
              </w:rPr>
            </w:pPr>
            <w:r>
              <w:rPr>
                <w:w w:val="95"/>
                <w:sz w:val="18"/>
              </w:rPr>
              <w:t>91,349</w:t>
            </w:r>
          </w:p>
        </w:tc>
        <w:tc>
          <w:tcPr>
            <w:tcW w:w="1297" w:type="dxa"/>
          </w:tcPr>
          <w:p>
            <w:pPr>
              <w:pStyle w:val="TableParagraph"/>
              <w:spacing w:before="18"/>
              <w:ind w:right="226"/>
              <w:rPr>
                <w:sz w:val="18"/>
              </w:rPr>
            </w:pPr>
            <w:r>
              <w:rPr>
                <w:w w:val="99"/>
                <w:sz w:val="18"/>
              </w:rPr>
              <w:t>-</w:t>
            </w:r>
          </w:p>
        </w:tc>
        <w:tc>
          <w:tcPr>
            <w:tcW w:w="1297" w:type="dxa"/>
          </w:tcPr>
          <w:p>
            <w:pPr>
              <w:pStyle w:val="TableParagraph"/>
              <w:spacing w:before="18"/>
              <w:ind w:right="226"/>
              <w:rPr>
                <w:sz w:val="18"/>
              </w:rPr>
            </w:pPr>
            <w:r>
              <w:rPr>
                <w:w w:val="99"/>
                <w:sz w:val="18"/>
              </w:rPr>
              <w:t>-</w:t>
            </w:r>
          </w:p>
        </w:tc>
        <w:tc>
          <w:tcPr>
            <w:tcW w:w="1157" w:type="dxa"/>
          </w:tcPr>
          <w:p>
            <w:pPr>
              <w:pStyle w:val="TableParagraph"/>
              <w:spacing w:before="18"/>
              <w:ind w:right="85"/>
              <w:rPr>
                <w:sz w:val="18"/>
              </w:rPr>
            </w:pPr>
            <w:r>
              <w:rPr>
                <w:w w:val="95"/>
                <w:sz w:val="18"/>
              </w:rPr>
              <w:t>91,349</w:t>
            </w:r>
          </w:p>
        </w:tc>
      </w:tr>
      <w:tr>
        <w:trPr>
          <w:trHeight w:val="264" w:hRule="exact"/>
        </w:trPr>
        <w:tc>
          <w:tcPr>
            <w:tcW w:w="4113" w:type="dxa"/>
          </w:tcPr>
          <w:p>
            <w:pPr>
              <w:pStyle w:val="TableParagraph"/>
              <w:spacing w:before="19"/>
              <w:ind w:left="295"/>
              <w:jc w:val="left"/>
              <w:rPr>
                <w:sz w:val="18"/>
              </w:rPr>
            </w:pPr>
            <w:r>
              <w:rPr>
                <w:sz w:val="18"/>
              </w:rPr>
              <w:t>Artwork</w:t>
            </w:r>
          </w:p>
        </w:tc>
        <w:tc>
          <w:tcPr>
            <w:tcW w:w="1124" w:type="dxa"/>
          </w:tcPr>
          <w:p>
            <w:pPr>
              <w:pStyle w:val="TableParagraph"/>
              <w:spacing w:before="18"/>
              <w:ind w:right="225"/>
              <w:rPr>
                <w:sz w:val="18"/>
              </w:rPr>
            </w:pPr>
            <w:r>
              <w:rPr>
                <w:sz w:val="18"/>
              </w:rPr>
              <w:t>4,204</w:t>
            </w:r>
          </w:p>
        </w:tc>
        <w:tc>
          <w:tcPr>
            <w:tcW w:w="1297" w:type="dxa"/>
          </w:tcPr>
          <w:p>
            <w:pPr>
              <w:pStyle w:val="TableParagraph"/>
              <w:spacing w:before="18"/>
              <w:ind w:right="226"/>
              <w:rPr>
                <w:sz w:val="18"/>
              </w:rPr>
            </w:pPr>
            <w:r>
              <w:rPr>
                <w:w w:val="99"/>
                <w:sz w:val="18"/>
              </w:rPr>
              <w:t>-</w:t>
            </w:r>
          </w:p>
        </w:tc>
        <w:tc>
          <w:tcPr>
            <w:tcW w:w="1297" w:type="dxa"/>
          </w:tcPr>
          <w:p>
            <w:pPr>
              <w:pStyle w:val="TableParagraph"/>
              <w:spacing w:before="18"/>
              <w:ind w:right="225"/>
              <w:rPr>
                <w:sz w:val="18"/>
              </w:rPr>
            </w:pPr>
            <w:r>
              <w:rPr>
                <w:sz w:val="18"/>
              </w:rPr>
              <w:t>4,204</w:t>
            </w:r>
          </w:p>
        </w:tc>
        <w:tc>
          <w:tcPr>
            <w:tcW w:w="1157" w:type="dxa"/>
          </w:tcPr>
          <w:p>
            <w:pPr>
              <w:pStyle w:val="TableParagraph"/>
              <w:spacing w:before="18"/>
              <w:ind w:right="85"/>
              <w:rPr>
                <w:sz w:val="18"/>
              </w:rPr>
            </w:pPr>
            <w:r>
              <w:rPr>
                <w:w w:val="99"/>
                <w:sz w:val="18"/>
              </w:rPr>
              <w:t>-</w:t>
            </w:r>
          </w:p>
        </w:tc>
      </w:tr>
      <w:tr>
        <w:trPr>
          <w:trHeight w:val="262" w:hRule="exact"/>
        </w:trPr>
        <w:tc>
          <w:tcPr>
            <w:tcW w:w="4113" w:type="dxa"/>
            <w:tcBorders>
              <w:bottom w:val="single" w:sz="0" w:space="0" w:color="000000"/>
            </w:tcBorders>
          </w:tcPr>
          <w:p>
            <w:pPr>
              <w:pStyle w:val="TableParagraph"/>
              <w:spacing w:before="19"/>
              <w:ind w:left="295"/>
              <w:jc w:val="left"/>
              <w:rPr>
                <w:sz w:val="18"/>
              </w:rPr>
            </w:pPr>
            <w:r>
              <w:rPr>
                <w:sz w:val="18"/>
              </w:rPr>
              <w:t>Rare book collection</w:t>
            </w:r>
          </w:p>
        </w:tc>
        <w:tc>
          <w:tcPr>
            <w:tcW w:w="1124" w:type="dxa"/>
            <w:tcBorders>
              <w:bottom w:val="single" w:sz="0" w:space="0" w:color="000000"/>
            </w:tcBorders>
          </w:tcPr>
          <w:p>
            <w:pPr>
              <w:pStyle w:val="TableParagraph"/>
              <w:spacing w:before="18"/>
              <w:ind w:right="225"/>
              <w:rPr>
                <w:sz w:val="18"/>
              </w:rPr>
            </w:pPr>
            <w:r>
              <w:rPr>
                <w:sz w:val="18"/>
              </w:rPr>
              <w:t>1,712</w:t>
            </w:r>
          </w:p>
        </w:tc>
        <w:tc>
          <w:tcPr>
            <w:tcW w:w="1297" w:type="dxa"/>
            <w:tcBorders>
              <w:bottom w:val="single" w:sz="0" w:space="0" w:color="000000"/>
            </w:tcBorders>
          </w:tcPr>
          <w:p>
            <w:pPr>
              <w:pStyle w:val="TableParagraph"/>
              <w:spacing w:before="18"/>
              <w:ind w:right="226"/>
              <w:rPr>
                <w:sz w:val="18"/>
              </w:rPr>
            </w:pPr>
            <w:r>
              <w:rPr>
                <w:w w:val="99"/>
                <w:sz w:val="18"/>
              </w:rPr>
              <w:t>-</w:t>
            </w:r>
          </w:p>
        </w:tc>
        <w:tc>
          <w:tcPr>
            <w:tcW w:w="1297" w:type="dxa"/>
            <w:tcBorders>
              <w:bottom w:val="single" w:sz="0" w:space="0" w:color="000000"/>
            </w:tcBorders>
          </w:tcPr>
          <w:p>
            <w:pPr>
              <w:pStyle w:val="TableParagraph"/>
              <w:spacing w:before="18"/>
              <w:ind w:right="225"/>
              <w:rPr>
                <w:sz w:val="18"/>
              </w:rPr>
            </w:pPr>
            <w:r>
              <w:rPr>
                <w:sz w:val="18"/>
              </w:rPr>
              <w:t>1,712</w:t>
            </w:r>
          </w:p>
        </w:tc>
        <w:tc>
          <w:tcPr>
            <w:tcW w:w="1157" w:type="dxa"/>
            <w:tcBorders>
              <w:bottom w:val="single" w:sz="0" w:space="0" w:color="000000"/>
            </w:tcBorders>
          </w:tcPr>
          <w:p>
            <w:pPr>
              <w:pStyle w:val="TableParagraph"/>
              <w:spacing w:before="18"/>
              <w:ind w:right="85"/>
              <w:rPr>
                <w:sz w:val="18"/>
              </w:rPr>
            </w:pPr>
            <w:r>
              <w:rPr>
                <w:w w:val="99"/>
                <w:sz w:val="18"/>
              </w:rPr>
              <w:t>-</w:t>
            </w:r>
          </w:p>
        </w:tc>
      </w:tr>
      <w:tr>
        <w:trPr>
          <w:trHeight w:val="353" w:hRule="exact"/>
        </w:trPr>
        <w:tc>
          <w:tcPr>
            <w:tcW w:w="4113" w:type="dxa"/>
            <w:tcBorders>
              <w:top w:val="single" w:sz="0" w:space="0" w:color="000000"/>
              <w:bottom w:val="single" w:sz="0" w:space="0" w:color="000000"/>
            </w:tcBorders>
          </w:tcPr>
          <w:p>
            <w:pPr>
              <w:pStyle w:val="TableParagraph"/>
              <w:spacing w:before="122"/>
              <w:ind w:left="80"/>
              <w:jc w:val="left"/>
              <w:rPr>
                <w:sz w:val="18"/>
              </w:rPr>
            </w:pPr>
            <w:r>
              <w:rPr>
                <w:sz w:val="18"/>
              </w:rPr>
              <w:t>Total non-financial assets</w:t>
            </w:r>
          </w:p>
        </w:tc>
        <w:tc>
          <w:tcPr>
            <w:tcW w:w="1124" w:type="dxa"/>
            <w:tcBorders>
              <w:top w:val="single" w:sz="0" w:space="0" w:color="000000"/>
              <w:bottom w:val="single" w:sz="0" w:space="0" w:color="000000"/>
            </w:tcBorders>
          </w:tcPr>
          <w:p>
            <w:pPr>
              <w:pStyle w:val="TableParagraph"/>
              <w:spacing w:before="122"/>
              <w:ind w:left="97"/>
              <w:jc w:val="left"/>
              <w:rPr>
                <w:b/>
                <w:sz w:val="18"/>
              </w:rPr>
            </w:pPr>
            <w:r>
              <w:rPr>
                <w:b/>
                <w:sz w:val="18"/>
              </w:rPr>
              <w:t>1,424,989</w:t>
            </w:r>
          </w:p>
        </w:tc>
        <w:tc>
          <w:tcPr>
            <w:tcW w:w="1297" w:type="dxa"/>
            <w:tcBorders>
              <w:top w:val="single" w:sz="0" w:space="0" w:color="000000"/>
              <w:bottom w:val="single" w:sz="0" w:space="0" w:color="000000"/>
            </w:tcBorders>
          </w:tcPr>
          <w:p>
            <w:pPr>
              <w:pStyle w:val="TableParagraph"/>
              <w:spacing w:before="122"/>
              <w:ind w:right="226"/>
              <w:rPr>
                <w:b/>
                <w:sz w:val="18"/>
              </w:rPr>
            </w:pPr>
            <w:r>
              <w:rPr>
                <w:b/>
                <w:w w:val="99"/>
                <w:sz w:val="18"/>
              </w:rPr>
              <w:t>-</w:t>
            </w:r>
          </w:p>
        </w:tc>
        <w:tc>
          <w:tcPr>
            <w:tcW w:w="1297" w:type="dxa"/>
            <w:tcBorders>
              <w:top w:val="single" w:sz="0" w:space="0" w:color="000000"/>
              <w:bottom w:val="single" w:sz="0" w:space="0" w:color="000000"/>
            </w:tcBorders>
          </w:tcPr>
          <w:p>
            <w:pPr>
              <w:pStyle w:val="TableParagraph"/>
              <w:spacing w:before="122"/>
              <w:ind w:right="225"/>
              <w:rPr>
                <w:b/>
                <w:sz w:val="18"/>
              </w:rPr>
            </w:pPr>
            <w:r>
              <w:rPr>
                <w:b/>
                <w:w w:val="95"/>
                <w:sz w:val="18"/>
              </w:rPr>
              <w:t>372,883</w:t>
            </w:r>
          </w:p>
        </w:tc>
        <w:tc>
          <w:tcPr>
            <w:tcW w:w="1157" w:type="dxa"/>
            <w:tcBorders>
              <w:top w:val="single" w:sz="0" w:space="0" w:color="000000"/>
              <w:bottom w:val="single" w:sz="0" w:space="0" w:color="000000"/>
            </w:tcBorders>
          </w:tcPr>
          <w:p>
            <w:pPr>
              <w:pStyle w:val="TableParagraph"/>
              <w:spacing w:before="122"/>
              <w:ind w:right="85"/>
              <w:rPr>
                <w:b/>
                <w:sz w:val="18"/>
              </w:rPr>
            </w:pPr>
            <w:r>
              <w:rPr>
                <w:b/>
                <w:w w:val="95"/>
                <w:sz w:val="18"/>
              </w:rPr>
              <w:t>1,052,106</w:t>
            </w:r>
          </w:p>
        </w:tc>
      </w:tr>
      <w:tr>
        <w:trPr>
          <w:trHeight w:val="575" w:hRule="exact"/>
        </w:trPr>
        <w:tc>
          <w:tcPr>
            <w:tcW w:w="4113" w:type="dxa"/>
            <w:tcBorders>
              <w:top w:val="single" w:sz="0" w:space="0" w:color="000000"/>
            </w:tcBorders>
          </w:tcPr>
          <w:p>
            <w:pPr>
              <w:pStyle w:val="TableParagraph"/>
              <w:spacing w:before="137"/>
              <w:ind w:left="80" w:right="887"/>
              <w:jc w:val="left"/>
              <w:rPr>
                <w:b/>
                <w:sz w:val="18"/>
              </w:rPr>
            </w:pPr>
            <w:r>
              <w:rPr>
                <w:b/>
                <w:sz w:val="18"/>
              </w:rPr>
              <w:t>Non-recurring fair value measurements</w:t>
            </w:r>
          </w:p>
        </w:tc>
        <w:tc>
          <w:tcPr>
            <w:tcW w:w="1124" w:type="dxa"/>
            <w:tcBorders>
              <w:top w:val="single" w:sz="0" w:space="0" w:color="000000"/>
            </w:tcBorders>
          </w:tcPr>
          <w:p>
            <w:pPr/>
          </w:p>
        </w:tc>
        <w:tc>
          <w:tcPr>
            <w:tcW w:w="1297" w:type="dxa"/>
            <w:tcBorders>
              <w:top w:val="single" w:sz="0" w:space="0" w:color="000000"/>
            </w:tcBorders>
          </w:tcPr>
          <w:p>
            <w:pPr/>
          </w:p>
        </w:tc>
        <w:tc>
          <w:tcPr>
            <w:tcW w:w="1297" w:type="dxa"/>
            <w:tcBorders>
              <w:top w:val="single" w:sz="0" w:space="0" w:color="000000"/>
            </w:tcBorders>
          </w:tcPr>
          <w:p>
            <w:pPr/>
          </w:p>
        </w:tc>
        <w:tc>
          <w:tcPr>
            <w:tcW w:w="1157" w:type="dxa"/>
            <w:tcBorders>
              <w:top w:val="single" w:sz="0" w:space="0" w:color="000000"/>
            </w:tcBorders>
          </w:tcPr>
          <w:p>
            <w:pPr/>
          </w:p>
        </w:tc>
      </w:tr>
      <w:tr>
        <w:trPr>
          <w:trHeight w:val="264" w:hRule="exact"/>
        </w:trPr>
        <w:tc>
          <w:tcPr>
            <w:tcW w:w="4113" w:type="dxa"/>
            <w:tcBorders>
              <w:bottom w:val="single" w:sz="0" w:space="0" w:color="000000"/>
            </w:tcBorders>
          </w:tcPr>
          <w:p>
            <w:pPr>
              <w:pStyle w:val="TableParagraph"/>
              <w:tabs>
                <w:tab w:pos="3465" w:val="right" w:leader="none"/>
              </w:tabs>
              <w:spacing w:before="6"/>
              <w:ind w:left="80"/>
              <w:jc w:val="left"/>
              <w:rPr>
                <w:sz w:val="18"/>
              </w:rPr>
            </w:pPr>
            <w:r>
              <w:rPr>
                <w:sz w:val="18"/>
              </w:rPr>
              <w:t>Non-current assets held</w:t>
            </w:r>
            <w:r>
              <w:rPr>
                <w:spacing w:val="-8"/>
                <w:sz w:val="18"/>
              </w:rPr>
              <w:t> </w:t>
            </w:r>
            <w:r>
              <w:rPr>
                <w:sz w:val="18"/>
              </w:rPr>
              <w:t>for</w:t>
            </w:r>
            <w:r>
              <w:rPr>
                <w:spacing w:val="-3"/>
                <w:sz w:val="18"/>
              </w:rPr>
              <w:t> </w:t>
            </w:r>
            <w:r>
              <w:rPr>
                <w:sz w:val="18"/>
              </w:rPr>
              <w:t>sale</w:t>
            </w:r>
            <w:r>
              <w:rPr>
                <w:rFonts w:ascii="Times New Roman"/>
                <w:sz w:val="18"/>
              </w:rPr>
              <w:tab/>
            </w:r>
            <w:r>
              <w:rPr>
                <w:sz w:val="18"/>
              </w:rPr>
              <w:t>20</w:t>
            </w:r>
          </w:p>
        </w:tc>
        <w:tc>
          <w:tcPr>
            <w:tcW w:w="1124" w:type="dxa"/>
            <w:tcBorders>
              <w:bottom w:val="single" w:sz="0" w:space="0" w:color="000000"/>
            </w:tcBorders>
          </w:tcPr>
          <w:p>
            <w:pPr>
              <w:pStyle w:val="TableParagraph"/>
              <w:spacing w:before="5"/>
              <w:ind w:right="225"/>
              <w:rPr>
                <w:b/>
                <w:sz w:val="18"/>
              </w:rPr>
            </w:pPr>
            <w:r>
              <w:rPr>
                <w:b/>
                <w:w w:val="95"/>
                <w:sz w:val="18"/>
              </w:rPr>
              <w:t>85,460</w:t>
            </w:r>
          </w:p>
        </w:tc>
        <w:tc>
          <w:tcPr>
            <w:tcW w:w="1297" w:type="dxa"/>
            <w:tcBorders>
              <w:bottom w:val="single" w:sz="0" w:space="0" w:color="000000"/>
            </w:tcBorders>
          </w:tcPr>
          <w:p>
            <w:pPr>
              <w:pStyle w:val="TableParagraph"/>
              <w:spacing w:before="5"/>
              <w:ind w:right="226"/>
              <w:rPr>
                <w:sz w:val="18"/>
              </w:rPr>
            </w:pPr>
            <w:r>
              <w:rPr>
                <w:w w:val="99"/>
                <w:sz w:val="18"/>
              </w:rPr>
              <w:t>-</w:t>
            </w:r>
          </w:p>
        </w:tc>
        <w:tc>
          <w:tcPr>
            <w:tcW w:w="1297" w:type="dxa"/>
            <w:tcBorders>
              <w:bottom w:val="single" w:sz="0" w:space="0" w:color="000000"/>
            </w:tcBorders>
          </w:tcPr>
          <w:p>
            <w:pPr>
              <w:pStyle w:val="TableParagraph"/>
              <w:spacing w:before="5"/>
              <w:ind w:right="225"/>
              <w:rPr>
                <w:b/>
                <w:sz w:val="18"/>
              </w:rPr>
            </w:pPr>
            <w:r>
              <w:rPr>
                <w:b/>
                <w:w w:val="95"/>
                <w:sz w:val="18"/>
              </w:rPr>
              <w:t>85,460</w:t>
            </w:r>
          </w:p>
        </w:tc>
        <w:tc>
          <w:tcPr>
            <w:tcW w:w="1157" w:type="dxa"/>
            <w:tcBorders>
              <w:bottom w:val="single" w:sz="0" w:space="0" w:color="000000"/>
            </w:tcBorders>
          </w:tcPr>
          <w:p>
            <w:pPr>
              <w:pStyle w:val="TableParagraph"/>
              <w:spacing w:before="5"/>
              <w:ind w:right="85"/>
              <w:rPr>
                <w:sz w:val="18"/>
              </w:rPr>
            </w:pPr>
            <w:r>
              <w:rPr>
                <w:w w:val="99"/>
                <w:sz w:val="18"/>
              </w:rPr>
              <w:t>-</w:t>
            </w:r>
          </w:p>
        </w:tc>
      </w:tr>
    </w:tbl>
    <w:p>
      <w:pPr>
        <w:spacing w:after="0"/>
        <w:rPr>
          <w:sz w:val="18"/>
        </w:rPr>
        <w:sectPr>
          <w:pgSz w:w="12750" w:h="17680"/>
          <w:pgMar w:header="0" w:footer="927" w:top="2640" w:bottom="1120" w:left="0" w:right="0"/>
        </w:sectPr>
      </w:pPr>
    </w:p>
    <w:p>
      <w:pPr>
        <w:pStyle w:val="BodyText"/>
        <w:rPr>
          <w:sz w:val="20"/>
        </w:rPr>
      </w:pPr>
      <w:r>
        <w:rPr/>
        <w:drawing>
          <wp:anchor distT="0" distB="0" distL="0" distR="0" allowOverlap="1" layoutInCell="1" locked="0" behindDoc="0" simplePos="0" relativeHeight="5416">
            <wp:simplePos x="0" y="0"/>
            <wp:positionH relativeFrom="page">
              <wp:posOffset>-1587</wp:posOffset>
            </wp:positionH>
            <wp:positionV relativeFrom="page">
              <wp:posOffset>5534342</wp:posOffset>
            </wp:positionV>
            <wp:extent cx="135159" cy="154019"/>
            <wp:effectExtent l="0" t="0" r="0" b="0"/>
            <wp:wrapNone/>
            <wp:docPr id="345" name="image13.png" descr=""/>
            <wp:cNvGraphicFramePr>
              <a:graphicFrameLocks noChangeAspect="1"/>
            </wp:cNvGraphicFramePr>
            <a:graphic>
              <a:graphicData uri="http://schemas.openxmlformats.org/drawingml/2006/picture">
                <pic:pic>
                  <pic:nvPicPr>
                    <pic:cNvPr id="346" name="image13.png"/>
                    <pic:cNvPicPr/>
                  </pic:nvPicPr>
                  <pic:blipFill>
                    <a:blip r:embed="rId18" cstate="print"/>
                    <a:stretch>
                      <a:fillRect/>
                    </a:stretch>
                  </pic:blipFill>
                  <pic:spPr>
                    <a:xfrm>
                      <a:off x="0" y="0"/>
                      <a:ext cx="135159" cy="154019"/>
                    </a:xfrm>
                    <a:prstGeom prst="rect">
                      <a:avLst/>
                    </a:prstGeom>
                  </pic:spPr>
                </pic:pic>
              </a:graphicData>
            </a:graphic>
          </wp:anchor>
        </w:drawing>
      </w:r>
      <w:r>
        <w:rPr/>
        <w:drawing>
          <wp:anchor distT="0" distB="0" distL="0" distR="0" allowOverlap="1" layoutInCell="1" locked="0" behindDoc="0" simplePos="0" relativeHeight="5440">
            <wp:simplePos x="0" y="0"/>
            <wp:positionH relativeFrom="page">
              <wp:posOffset>7958429</wp:posOffset>
            </wp:positionH>
            <wp:positionV relativeFrom="page">
              <wp:posOffset>5534342</wp:posOffset>
            </wp:positionV>
            <wp:extent cx="135953" cy="155575"/>
            <wp:effectExtent l="0" t="0" r="0" b="0"/>
            <wp:wrapNone/>
            <wp:docPr id="347" name="image15.png" descr=""/>
            <wp:cNvGraphicFramePr>
              <a:graphicFrameLocks noChangeAspect="1"/>
            </wp:cNvGraphicFramePr>
            <a:graphic>
              <a:graphicData uri="http://schemas.openxmlformats.org/drawingml/2006/picture">
                <pic:pic>
                  <pic:nvPicPr>
                    <pic:cNvPr id="348" name="image15.png"/>
                    <pic:cNvPicPr/>
                  </pic:nvPicPr>
                  <pic:blipFill>
                    <a:blip r:embed="rId20" cstate="print"/>
                    <a:stretch>
                      <a:fillRect/>
                    </a:stretch>
                  </pic:blipFill>
                  <pic:spPr>
                    <a:xfrm>
                      <a:off x="0" y="0"/>
                      <a:ext cx="135953" cy="155575"/>
                    </a:xfrm>
                    <a:prstGeom prst="rect">
                      <a:avLst/>
                    </a:prstGeom>
                  </pic:spPr>
                </pic:pic>
              </a:graphicData>
            </a:graphic>
          </wp:anchor>
        </w:drawing>
      </w:r>
    </w:p>
    <w:p>
      <w:pPr>
        <w:pStyle w:val="BodyText"/>
        <w:rPr>
          <w:sz w:val="20"/>
        </w:rPr>
      </w:pPr>
    </w:p>
    <w:p>
      <w:pPr>
        <w:pStyle w:val="BodyText"/>
        <w:spacing w:before="4"/>
      </w:pPr>
    </w:p>
    <w:p>
      <w:pPr>
        <w:pStyle w:val="Heading8"/>
        <w:tabs>
          <w:tab w:pos="2391" w:val="left" w:leader="none"/>
        </w:tabs>
        <w:ind w:left="1824"/>
      </w:pPr>
      <w:r>
        <w:rPr/>
        <w:t>36</w:t>
        <w:tab/>
        <w:t>Fair Value Measurement</w:t>
      </w:r>
      <w:r>
        <w:rPr>
          <w:spacing w:val="-1"/>
        </w:rPr>
        <w:t> </w:t>
      </w:r>
      <w:r>
        <w:rPr/>
        <w:t>(continued)</w:t>
      </w:r>
    </w:p>
    <w:p>
      <w:pPr>
        <w:pStyle w:val="BodyText"/>
        <w:spacing w:before="7"/>
        <w:rPr>
          <w:b/>
          <w:sz w:val="26"/>
        </w:rPr>
      </w:pPr>
    </w:p>
    <w:p>
      <w:pPr>
        <w:pStyle w:val="BodyText"/>
        <w:tabs>
          <w:tab w:pos="2391" w:val="left" w:leader="none"/>
        </w:tabs>
        <w:ind w:left="1825"/>
      </w:pPr>
      <w:r>
        <w:rPr/>
        <w:t>(b)</w:t>
        <w:tab/>
        <w:t>Fair value hierarchy</w:t>
      </w:r>
      <w:r>
        <w:rPr>
          <w:spacing w:val="-30"/>
        </w:rPr>
        <w:t> </w:t>
      </w:r>
      <w:r>
        <w:rPr/>
        <w:t>(continued)</w:t>
      </w:r>
    </w:p>
    <w:p>
      <w:pPr>
        <w:pStyle w:val="BodyText"/>
        <w:spacing w:before="4"/>
        <w:rPr>
          <w:sz w:val="25"/>
        </w:rPr>
      </w:pPr>
    </w:p>
    <w:p>
      <w:pPr>
        <w:pStyle w:val="Heading8"/>
        <w:ind w:left="2390"/>
      </w:pPr>
      <w:r>
        <w:rPr/>
        <w:t>Fair value measurements at 31 December 2015</w:t>
      </w:r>
    </w:p>
    <w:p>
      <w:pPr>
        <w:pStyle w:val="BodyText"/>
        <w:rPr>
          <w:b/>
          <w:sz w:val="20"/>
        </w:rPr>
      </w:pPr>
    </w:p>
    <w:p>
      <w:pPr>
        <w:pStyle w:val="BodyText"/>
        <w:spacing w:before="1" w:after="1"/>
        <w:rPr>
          <w:b/>
          <w:sz w:val="19"/>
        </w:rPr>
      </w:pPr>
    </w:p>
    <w:tbl>
      <w:tblPr>
        <w:tblW w:w="0" w:type="auto"/>
        <w:jc w:val="left"/>
        <w:tblInd w:w="240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130"/>
        <w:gridCol w:w="624"/>
        <w:gridCol w:w="1438"/>
        <w:gridCol w:w="1297"/>
        <w:gridCol w:w="2454"/>
      </w:tblGrid>
      <w:tr>
        <w:trPr>
          <w:trHeight w:val="640" w:hRule="exact"/>
        </w:trPr>
        <w:tc>
          <w:tcPr>
            <w:tcW w:w="3130" w:type="dxa"/>
          </w:tcPr>
          <w:p>
            <w:pPr/>
          </w:p>
        </w:tc>
        <w:tc>
          <w:tcPr>
            <w:tcW w:w="624" w:type="dxa"/>
          </w:tcPr>
          <w:p>
            <w:pPr>
              <w:pStyle w:val="TableParagraph"/>
              <w:jc w:val="left"/>
              <w:rPr>
                <w:b/>
                <w:sz w:val="18"/>
              </w:rPr>
            </w:pPr>
          </w:p>
          <w:p>
            <w:pPr>
              <w:pStyle w:val="TableParagraph"/>
              <w:spacing w:before="143"/>
              <w:ind w:left="143"/>
              <w:jc w:val="left"/>
              <w:rPr>
                <w:b/>
                <w:sz w:val="18"/>
              </w:rPr>
            </w:pPr>
            <w:r>
              <w:rPr>
                <w:b/>
                <w:sz w:val="18"/>
              </w:rPr>
              <w:t>Note</w:t>
            </w:r>
          </w:p>
        </w:tc>
        <w:tc>
          <w:tcPr>
            <w:tcW w:w="1438" w:type="dxa"/>
          </w:tcPr>
          <w:p>
            <w:pPr>
              <w:pStyle w:val="TableParagraph"/>
              <w:spacing w:before="77"/>
              <w:ind w:left="471"/>
              <w:jc w:val="left"/>
              <w:rPr>
                <w:b/>
                <w:sz w:val="18"/>
              </w:rPr>
            </w:pPr>
            <w:r>
              <w:rPr>
                <w:b/>
                <w:sz w:val="18"/>
              </w:rPr>
              <w:t>2015</w:t>
            </w:r>
          </w:p>
          <w:p>
            <w:pPr>
              <w:pStyle w:val="TableParagraph"/>
              <w:spacing w:before="66"/>
              <w:ind w:left="450"/>
              <w:jc w:val="left"/>
              <w:rPr>
                <w:b/>
                <w:sz w:val="18"/>
              </w:rPr>
            </w:pPr>
            <w:r>
              <w:rPr>
                <w:b/>
                <w:sz w:val="18"/>
              </w:rPr>
              <w:t>$'000</w:t>
            </w:r>
          </w:p>
        </w:tc>
        <w:tc>
          <w:tcPr>
            <w:tcW w:w="1297" w:type="dxa"/>
          </w:tcPr>
          <w:p>
            <w:pPr>
              <w:pStyle w:val="TableParagraph"/>
              <w:spacing w:before="77"/>
              <w:ind w:left="227"/>
              <w:jc w:val="left"/>
              <w:rPr>
                <w:b/>
                <w:sz w:val="18"/>
              </w:rPr>
            </w:pPr>
            <w:r>
              <w:rPr>
                <w:b/>
                <w:sz w:val="18"/>
              </w:rPr>
              <w:t>Level 1</w:t>
            </w:r>
          </w:p>
          <w:p>
            <w:pPr>
              <w:pStyle w:val="TableParagraph"/>
              <w:spacing w:before="66"/>
              <w:ind w:left="309"/>
              <w:jc w:val="left"/>
              <w:rPr>
                <w:b/>
                <w:sz w:val="18"/>
              </w:rPr>
            </w:pPr>
            <w:r>
              <w:rPr>
                <w:b/>
                <w:sz w:val="18"/>
              </w:rPr>
              <w:t>$'000</w:t>
            </w:r>
          </w:p>
        </w:tc>
        <w:tc>
          <w:tcPr>
            <w:tcW w:w="2454" w:type="dxa"/>
          </w:tcPr>
          <w:p>
            <w:pPr>
              <w:pStyle w:val="TableParagraph"/>
              <w:tabs>
                <w:tab w:pos="1525" w:val="left" w:leader="none"/>
              </w:tabs>
              <w:spacing w:before="77"/>
              <w:ind w:left="227"/>
              <w:jc w:val="left"/>
              <w:rPr>
                <w:b/>
                <w:sz w:val="18"/>
              </w:rPr>
            </w:pPr>
            <w:r>
              <w:rPr>
                <w:b/>
                <w:sz w:val="18"/>
              </w:rPr>
              <w:t>Level</w:t>
            </w:r>
            <w:r>
              <w:rPr>
                <w:b/>
                <w:spacing w:val="-2"/>
                <w:sz w:val="18"/>
              </w:rPr>
              <w:t> </w:t>
            </w:r>
            <w:r>
              <w:rPr>
                <w:b/>
                <w:sz w:val="18"/>
              </w:rPr>
              <w:t>2</w:t>
              <w:tab/>
              <w:t>Level</w:t>
            </w:r>
            <w:r>
              <w:rPr>
                <w:b/>
                <w:spacing w:val="-6"/>
                <w:sz w:val="18"/>
              </w:rPr>
              <w:t> </w:t>
            </w:r>
            <w:r>
              <w:rPr>
                <w:b/>
                <w:sz w:val="18"/>
              </w:rPr>
              <w:t>3</w:t>
            </w:r>
          </w:p>
          <w:p>
            <w:pPr>
              <w:pStyle w:val="TableParagraph"/>
              <w:tabs>
                <w:tab w:pos="1606" w:val="left" w:leader="none"/>
              </w:tabs>
              <w:spacing w:before="66"/>
              <w:ind w:left="309"/>
              <w:jc w:val="left"/>
              <w:rPr>
                <w:b/>
                <w:sz w:val="18"/>
              </w:rPr>
            </w:pPr>
            <w:r>
              <w:rPr>
                <w:b/>
                <w:sz w:val="18"/>
              </w:rPr>
              <w:t>$'000</w:t>
              <w:tab/>
              <w:t>$'000</w:t>
            </w:r>
          </w:p>
        </w:tc>
      </w:tr>
      <w:tr>
        <w:trPr>
          <w:trHeight w:val="336" w:hRule="exact"/>
        </w:trPr>
        <w:tc>
          <w:tcPr>
            <w:tcW w:w="3130" w:type="dxa"/>
          </w:tcPr>
          <w:p>
            <w:pPr>
              <w:pStyle w:val="TableParagraph"/>
              <w:spacing w:before="63"/>
              <w:ind w:left="35"/>
              <w:jc w:val="left"/>
              <w:rPr>
                <w:b/>
                <w:sz w:val="18"/>
              </w:rPr>
            </w:pPr>
            <w:r>
              <w:rPr>
                <w:b/>
                <w:sz w:val="18"/>
              </w:rPr>
              <w:t>Recurring fair value measurements</w:t>
            </w:r>
          </w:p>
        </w:tc>
        <w:tc>
          <w:tcPr>
            <w:tcW w:w="624" w:type="dxa"/>
          </w:tcPr>
          <w:p>
            <w:pPr/>
          </w:p>
        </w:tc>
        <w:tc>
          <w:tcPr>
            <w:tcW w:w="1438" w:type="dxa"/>
          </w:tcPr>
          <w:p>
            <w:pPr/>
          </w:p>
        </w:tc>
        <w:tc>
          <w:tcPr>
            <w:tcW w:w="1297" w:type="dxa"/>
          </w:tcPr>
          <w:p>
            <w:pPr/>
          </w:p>
        </w:tc>
        <w:tc>
          <w:tcPr>
            <w:tcW w:w="2454" w:type="dxa"/>
          </w:tcPr>
          <w:p>
            <w:pPr/>
          </w:p>
        </w:tc>
      </w:tr>
      <w:tr>
        <w:trPr>
          <w:trHeight w:val="277" w:hRule="exact"/>
        </w:trPr>
        <w:tc>
          <w:tcPr>
            <w:tcW w:w="3130" w:type="dxa"/>
          </w:tcPr>
          <w:p>
            <w:pPr>
              <w:pStyle w:val="TableParagraph"/>
              <w:spacing w:before="46"/>
              <w:ind w:left="35"/>
              <w:jc w:val="left"/>
              <w:rPr>
                <w:b/>
                <w:sz w:val="18"/>
              </w:rPr>
            </w:pPr>
            <w:r>
              <w:rPr>
                <w:b/>
                <w:sz w:val="18"/>
              </w:rPr>
              <w:t>Financial assets</w:t>
            </w:r>
          </w:p>
        </w:tc>
        <w:tc>
          <w:tcPr>
            <w:tcW w:w="624" w:type="dxa"/>
          </w:tcPr>
          <w:p>
            <w:pPr/>
          </w:p>
        </w:tc>
        <w:tc>
          <w:tcPr>
            <w:tcW w:w="1438" w:type="dxa"/>
          </w:tcPr>
          <w:p>
            <w:pPr/>
          </w:p>
        </w:tc>
        <w:tc>
          <w:tcPr>
            <w:tcW w:w="1297" w:type="dxa"/>
          </w:tcPr>
          <w:p>
            <w:pPr/>
          </w:p>
        </w:tc>
        <w:tc>
          <w:tcPr>
            <w:tcW w:w="2454" w:type="dxa"/>
          </w:tcPr>
          <w:p>
            <w:pPr/>
          </w:p>
        </w:tc>
      </w:tr>
      <w:tr>
        <w:trPr>
          <w:trHeight w:val="248" w:hRule="exact"/>
        </w:trPr>
        <w:tc>
          <w:tcPr>
            <w:tcW w:w="3130" w:type="dxa"/>
          </w:tcPr>
          <w:p>
            <w:pPr>
              <w:pStyle w:val="TableParagraph"/>
              <w:spacing w:before="4"/>
              <w:ind w:left="35"/>
              <w:jc w:val="left"/>
              <w:rPr>
                <w:sz w:val="18"/>
              </w:rPr>
            </w:pPr>
            <w:r>
              <w:rPr>
                <w:sz w:val="18"/>
              </w:rPr>
              <w:t>Available-for-sale financial assets</w:t>
            </w:r>
          </w:p>
        </w:tc>
        <w:tc>
          <w:tcPr>
            <w:tcW w:w="624" w:type="dxa"/>
          </w:tcPr>
          <w:p>
            <w:pPr>
              <w:pStyle w:val="TableParagraph"/>
              <w:spacing w:before="4"/>
              <w:ind w:left="91"/>
              <w:jc w:val="left"/>
              <w:rPr>
                <w:sz w:val="18"/>
              </w:rPr>
            </w:pPr>
            <w:r>
              <w:rPr>
                <w:sz w:val="18"/>
              </w:rPr>
              <w:t>23</w:t>
            </w:r>
          </w:p>
        </w:tc>
        <w:tc>
          <w:tcPr>
            <w:tcW w:w="1438" w:type="dxa"/>
          </w:tcPr>
          <w:p>
            <w:pPr/>
          </w:p>
        </w:tc>
        <w:tc>
          <w:tcPr>
            <w:tcW w:w="1297" w:type="dxa"/>
          </w:tcPr>
          <w:p>
            <w:pPr/>
          </w:p>
        </w:tc>
        <w:tc>
          <w:tcPr>
            <w:tcW w:w="2454" w:type="dxa"/>
          </w:tcPr>
          <w:p>
            <w:pPr/>
          </w:p>
        </w:tc>
      </w:tr>
      <w:tr>
        <w:trPr>
          <w:trHeight w:val="469" w:hRule="exact"/>
        </w:trPr>
        <w:tc>
          <w:tcPr>
            <w:tcW w:w="3130" w:type="dxa"/>
          </w:tcPr>
          <w:p>
            <w:pPr>
              <w:pStyle w:val="TableParagraph"/>
              <w:spacing w:before="18"/>
              <w:ind w:left="249"/>
              <w:jc w:val="left"/>
              <w:rPr>
                <w:sz w:val="18"/>
              </w:rPr>
            </w:pPr>
            <w:r>
              <w:rPr>
                <w:sz w:val="18"/>
              </w:rPr>
              <w:t>Available for sale (Unlisted securities)</w:t>
            </w:r>
          </w:p>
        </w:tc>
        <w:tc>
          <w:tcPr>
            <w:tcW w:w="624" w:type="dxa"/>
          </w:tcPr>
          <w:p>
            <w:pPr/>
          </w:p>
        </w:tc>
        <w:tc>
          <w:tcPr>
            <w:tcW w:w="1438" w:type="dxa"/>
          </w:tcPr>
          <w:p>
            <w:pPr>
              <w:pStyle w:val="TableParagraph"/>
              <w:spacing w:before="4"/>
              <w:jc w:val="left"/>
              <w:rPr>
                <w:b/>
                <w:sz w:val="19"/>
              </w:rPr>
            </w:pPr>
          </w:p>
          <w:p>
            <w:pPr>
              <w:pStyle w:val="TableParagraph"/>
              <w:ind w:right="225"/>
              <w:rPr>
                <w:sz w:val="18"/>
              </w:rPr>
            </w:pPr>
            <w:r>
              <w:rPr>
                <w:sz w:val="18"/>
              </w:rPr>
              <w:t>9,500</w:t>
            </w:r>
          </w:p>
        </w:tc>
        <w:tc>
          <w:tcPr>
            <w:tcW w:w="1297" w:type="dxa"/>
          </w:tcPr>
          <w:p>
            <w:pPr>
              <w:pStyle w:val="TableParagraph"/>
              <w:spacing w:before="4"/>
              <w:jc w:val="left"/>
              <w:rPr>
                <w:b/>
                <w:sz w:val="19"/>
              </w:rPr>
            </w:pPr>
          </w:p>
          <w:p>
            <w:pPr>
              <w:pStyle w:val="TableParagraph"/>
              <w:ind w:right="226"/>
              <w:rPr>
                <w:sz w:val="18"/>
              </w:rPr>
            </w:pPr>
            <w:r>
              <w:rPr>
                <w:w w:val="99"/>
                <w:sz w:val="18"/>
              </w:rPr>
              <w:t>-</w:t>
            </w:r>
          </w:p>
        </w:tc>
        <w:tc>
          <w:tcPr>
            <w:tcW w:w="2454" w:type="dxa"/>
          </w:tcPr>
          <w:p>
            <w:pPr>
              <w:pStyle w:val="TableParagraph"/>
              <w:spacing w:before="4"/>
              <w:jc w:val="left"/>
              <w:rPr>
                <w:b/>
                <w:sz w:val="19"/>
              </w:rPr>
            </w:pPr>
          </w:p>
          <w:p>
            <w:pPr>
              <w:pStyle w:val="TableParagraph"/>
              <w:tabs>
                <w:tab w:pos="908" w:val="left" w:leader="none"/>
              </w:tabs>
              <w:ind w:right="85"/>
              <w:rPr>
                <w:sz w:val="18"/>
              </w:rPr>
            </w:pPr>
            <w:r>
              <w:rPr>
                <w:sz w:val="18"/>
              </w:rPr>
              <w:t>-</w:t>
              <w:tab/>
            </w:r>
            <w:r>
              <w:rPr>
                <w:spacing w:val="-2"/>
                <w:sz w:val="18"/>
              </w:rPr>
              <w:t>9,500</w:t>
            </w:r>
          </w:p>
        </w:tc>
      </w:tr>
      <w:tr>
        <w:trPr>
          <w:trHeight w:val="262" w:hRule="exact"/>
        </w:trPr>
        <w:tc>
          <w:tcPr>
            <w:tcW w:w="3130" w:type="dxa"/>
          </w:tcPr>
          <w:p>
            <w:pPr>
              <w:pStyle w:val="TableParagraph"/>
              <w:spacing w:before="19"/>
              <w:ind w:left="249"/>
              <w:jc w:val="left"/>
              <w:rPr>
                <w:sz w:val="18"/>
              </w:rPr>
            </w:pPr>
            <w:r>
              <w:rPr>
                <w:sz w:val="18"/>
              </w:rPr>
              <w:t>Available for sale (Acadian)</w:t>
            </w:r>
          </w:p>
        </w:tc>
        <w:tc>
          <w:tcPr>
            <w:tcW w:w="624" w:type="dxa"/>
          </w:tcPr>
          <w:p>
            <w:pPr/>
          </w:p>
        </w:tc>
        <w:tc>
          <w:tcPr>
            <w:tcW w:w="1438" w:type="dxa"/>
            <w:tcBorders>
              <w:bottom w:val="single" w:sz="0" w:space="0" w:color="000000"/>
            </w:tcBorders>
          </w:tcPr>
          <w:p>
            <w:pPr>
              <w:pStyle w:val="TableParagraph"/>
              <w:spacing w:before="18"/>
              <w:ind w:right="225"/>
              <w:rPr>
                <w:sz w:val="18"/>
              </w:rPr>
            </w:pPr>
            <w:r>
              <w:rPr>
                <w:w w:val="95"/>
                <w:sz w:val="18"/>
              </w:rPr>
              <w:t>69,703</w:t>
            </w:r>
          </w:p>
        </w:tc>
        <w:tc>
          <w:tcPr>
            <w:tcW w:w="1297" w:type="dxa"/>
            <w:tcBorders>
              <w:bottom w:val="single" w:sz="0" w:space="0" w:color="000000"/>
            </w:tcBorders>
          </w:tcPr>
          <w:p>
            <w:pPr>
              <w:pStyle w:val="TableParagraph"/>
              <w:spacing w:before="18"/>
              <w:ind w:right="225"/>
              <w:rPr>
                <w:sz w:val="18"/>
              </w:rPr>
            </w:pPr>
            <w:r>
              <w:rPr>
                <w:w w:val="95"/>
                <w:sz w:val="18"/>
              </w:rPr>
              <w:t>69,703</w:t>
            </w:r>
          </w:p>
        </w:tc>
        <w:tc>
          <w:tcPr>
            <w:tcW w:w="2454" w:type="dxa"/>
            <w:tcBorders>
              <w:bottom w:val="single" w:sz="0" w:space="0" w:color="000000"/>
            </w:tcBorders>
          </w:tcPr>
          <w:p>
            <w:pPr>
              <w:pStyle w:val="TableParagraph"/>
              <w:tabs>
                <w:tab w:pos="1297" w:val="left" w:leader="none"/>
              </w:tabs>
              <w:spacing w:before="18"/>
              <w:ind w:right="85"/>
              <w:rPr>
                <w:sz w:val="18"/>
              </w:rPr>
            </w:pPr>
            <w:r>
              <w:rPr>
                <w:sz w:val="18"/>
              </w:rPr>
              <w:t>-</w:t>
              <w:tab/>
            </w:r>
            <w:r>
              <w:rPr>
                <w:spacing w:val="-1"/>
                <w:sz w:val="18"/>
              </w:rPr>
              <w:t>-</w:t>
            </w:r>
          </w:p>
        </w:tc>
      </w:tr>
      <w:tr>
        <w:trPr>
          <w:trHeight w:val="337" w:hRule="exact"/>
        </w:trPr>
        <w:tc>
          <w:tcPr>
            <w:tcW w:w="3130" w:type="dxa"/>
          </w:tcPr>
          <w:p>
            <w:pPr>
              <w:pStyle w:val="TableParagraph"/>
              <w:spacing w:before="94"/>
              <w:ind w:left="35"/>
              <w:jc w:val="left"/>
              <w:rPr>
                <w:b/>
                <w:sz w:val="18"/>
              </w:rPr>
            </w:pPr>
            <w:r>
              <w:rPr>
                <w:b/>
                <w:sz w:val="18"/>
              </w:rPr>
              <w:t>Total financial assets</w:t>
            </w:r>
          </w:p>
        </w:tc>
        <w:tc>
          <w:tcPr>
            <w:tcW w:w="624" w:type="dxa"/>
          </w:tcPr>
          <w:p>
            <w:pPr/>
          </w:p>
        </w:tc>
        <w:tc>
          <w:tcPr>
            <w:tcW w:w="1438" w:type="dxa"/>
            <w:tcBorders>
              <w:top w:val="single" w:sz="0" w:space="0" w:color="000000"/>
              <w:bottom w:val="single" w:sz="0" w:space="0" w:color="000000"/>
            </w:tcBorders>
          </w:tcPr>
          <w:p>
            <w:pPr>
              <w:pStyle w:val="TableParagraph"/>
              <w:spacing w:before="122"/>
              <w:ind w:right="225"/>
              <w:rPr>
                <w:b/>
                <w:sz w:val="18"/>
              </w:rPr>
            </w:pPr>
            <w:r>
              <w:rPr>
                <w:b/>
                <w:w w:val="95"/>
                <w:sz w:val="18"/>
              </w:rPr>
              <w:t>79,203</w:t>
            </w:r>
          </w:p>
        </w:tc>
        <w:tc>
          <w:tcPr>
            <w:tcW w:w="1297" w:type="dxa"/>
            <w:tcBorders>
              <w:top w:val="single" w:sz="0" w:space="0" w:color="000000"/>
              <w:bottom w:val="single" w:sz="0" w:space="0" w:color="000000"/>
            </w:tcBorders>
          </w:tcPr>
          <w:p>
            <w:pPr>
              <w:pStyle w:val="TableParagraph"/>
              <w:spacing w:before="122"/>
              <w:ind w:right="225"/>
              <w:rPr>
                <w:b/>
                <w:sz w:val="18"/>
              </w:rPr>
            </w:pPr>
            <w:r>
              <w:rPr>
                <w:b/>
                <w:w w:val="95"/>
                <w:sz w:val="18"/>
              </w:rPr>
              <w:t>69,703</w:t>
            </w:r>
          </w:p>
        </w:tc>
        <w:tc>
          <w:tcPr>
            <w:tcW w:w="2454" w:type="dxa"/>
            <w:tcBorders>
              <w:top w:val="single" w:sz="0" w:space="0" w:color="000000"/>
              <w:bottom w:val="single" w:sz="0" w:space="0" w:color="000000"/>
            </w:tcBorders>
          </w:tcPr>
          <w:p>
            <w:pPr>
              <w:pStyle w:val="TableParagraph"/>
              <w:tabs>
                <w:tab w:pos="908" w:val="left" w:leader="none"/>
              </w:tabs>
              <w:spacing w:before="122"/>
              <w:ind w:right="85"/>
              <w:rPr>
                <w:b/>
                <w:sz w:val="18"/>
              </w:rPr>
            </w:pPr>
            <w:r>
              <w:rPr>
                <w:sz w:val="18"/>
              </w:rPr>
              <w:t>-</w:t>
              <w:tab/>
            </w:r>
            <w:r>
              <w:rPr>
                <w:b/>
                <w:spacing w:val="-2"/>
                <w:sz w:val="18"/>
              </w:rPr>
              <w:t>9,500</w:t>
            </w:r>
          </w:p>
        </w:tc>
      </w:tr>
      <w:tr>
        <w:trPr>
          <w:trHeight w:val="385" w:hRule="exact"/>
        </w:trPr>
        <w:tc>
          <w:tcPr>
            <w:tcW w:w="3130" w:type="dxa"/>
          </w:tcPr>
          <w:p>
            <w:pPr>
              <w:pStyle w:val="TableParagraph"/>
              <w:spacing w:before="155"/>
              <w:ind w:left="35"/>
              <w:jc w:val="left"/>
              <w:rPr>
                <w:b/>
                <w:sz w:val="18"/>
              </w:rPr>
            </w:pPr>
            <w:r>
              <w:rPr>
                <w:b/>
                <w:sz w:val="18"/>
              </w:rPr>
              <w:t>Non-financial assets</w:t>
            </w:r>
          </w:p>
        </w:tc>
        <w:tc>
          <w:tcPr>
            <w:tcW w:w="624" w:type="dxa"/>
          </w:tcPr>
          <w:p>
            <w:pPr/>
          </w:p>
        </w:tc>
        <w:tc>
          <w:tcPr>
            <w:tcW w:w="1438" w:type="dxa"/>
            <w:tcBorders>
              <w:top w:val="single" w:sz="0" w:space="0" w:color="000000"/>
            </w:tcBorders>
          </w:tcPr>
          <w:p>
            <w:pPr/>
          </w:p>
        </w:tc>
        <w:tc>
          <w:tcPr>
            <w:tcW w:w="1297" w:type="dxa"/>
            <w:tcBorders>
              <w:top w:val="single" w:sz="0" w:space="0" w:color="000000"/>
            </w:tcBorders>
          </w:tcPr>
          <w:p>
            <w:pPr/>
          </w:p>
        </w:tc>
        <w:tc>
          <w:tcPr>
            <w:tcW w:w="2454" w:type="dxa"/>
            <w:tcBorders>
              <w:top w:val="single" w:sz="0" w:space="0" w:color="000000"/>
            </w:tcBorders>
          </w:tcPr>
          <w:p>
            <w:pPr/>
          </w:p>
        </w:tc>
      </w:tr>
      <w:tr>
        <w:trPr>
          <w:trHeight w:val="248" w:hRule="exact"/>
        </w:trPr>
        <w:tc>
          <w:tcPr>
            <w:tcW w:w="3130" w:type="dxa"/>
          </w:tcPr>
          <w:p>
            <w:pPr>
              <w:pStyle w:val="TableParagraph"/>
              <w:spacing w:before="4"/>
              <w:ind w:left="35"/>
              <w:jc w:val="left"/>
              <w:rPr>
                <w:sz w:val="18"/>
              </w:rPr>
            </w:pPr>
            <w:r>
              <w:rPr>
                <w:sz w:val="18"/>
              </w:rPr>
              <w:t>Property, plant and equipment</w:t>
            </w:r>
          </w:p>
        </w:tc>
        <w:tc>
          <w:tcPr>
            <w:tcW w:w="624" w:type="dxa"/>
          </w:tcPr>
          <w:p>
            <w:pPr>
              <w:pStyle w:val="TableParagraph"/>
              <w:spacing w:before="4"/>
              <w:ind w:left="91"/>
              <w:jc w:val="left"/>
              <w:rPr>
                <w:sz w:val="18"/>
              </w:rPr>
            </w:pPr>
            <w:r>
              <w:rPr>
                <w:sz w:val="18"/>
              </w:rPr>
              <w:t>21</w:t>
            </w:r>
          </w:p>
        </w:tc>
        <w:tc>
          <w:tcPr>
            <w:tcW w:w="1438" w:type="dxa"/>
          </w:tcPr>
          <w:p>
            <w:pPr/>
          </w:p>
        </w:tc>
        <w:tc>
          <w:tcPr>
            <w:tcW w:w="1297" w:type="dxa"/>
          </w:tcPr>
          <w:p>
            <w:pPr/>
          </w:p>
        </w:tc>
        <w:tc>
          <w:tcPr>
            <w:tcW w:w="2454" w:type="dxa"/>
          </w:tcPr>
          <w:p>
            <w:pPr/>
          </w:p>
        </w:tc>
      </w:tr>
      <w:tr>
        <w:trPr>
          <w:trHeight w:val="264" w:hRule="exact"/>
        </w:trPr>
        <w:tc>
          <w:tcPr>
            <w:tcW w:w="3130" w:type="dxa"/>
          </w:tcPr>
          <w:p>
            <w:pPr>
              <w:pStyle w:val="TableParagraph"/>
              <w:spacing w:before="19"/>
              <w:ind w:left="249"/>
              <w:jc w:val="left"/>
              <w:rPr>
                <w:sz w:val="18"/>
              </w:rPr>
            </w:pPr>
            <w:r>
              <w:rPr>
                <w:sz w:val="18"/>
              </w:rPr>
              <w:t>Land</w:t>
            </w:r>
          </w:p>
        </w:tc>
        <w:tc>
          <w:tcPr>
            <w:tcW w:w="624" w:type="dxa"/>
          </w:tcPr>
          <w:p>
            <w:pPr/>
          </w:p>
        </w:tc>
        <w:tc>
          <w:tcPr>
            <w:tcW w:w="1438" w:type="dxa"/>
          </w:tcPr>
          <w:p>
            <w:pPr>
              <w:pStyle w:val="TableParagraph"/>
              <w:spacing w:before="18"/>
              <w:ind w:right="225"/>
              <w:rPr>
                <w:sz w:val="18"/>
              </w:rPr>
            </w:pPr>
            <w:r>
              <w:rPr>
                <w:w w:val="95"/>
                <w:sz w:val="18"/>
              </w:rPr>
              <w:t>376,931</w:t>
            </w:r>
          </w:p>
        </w:tc>
        <w:tc>
          <w:tcPr>
            <w:tcW w:w="1297" w:type="dxa"/>
          </w:tcPr>
          <w:p>
            <w:pPr>
              <w:pStyle w:val="TableParagraph"/>
              <w:spacing w:before="18"/>
              <w:ind w:right="226"/>
              <w:rPr>
                <w:sz w:val="18"/>
              </w:rPr>
            </w:pPr>
            <w:r>
              <w:rPr>
                <w:w w:val="99"/>
                <w:sz w:val="18"/>
              </w:rPr>
              <w:t>-</w:t>
            </w:r>
          </w:p>
        </w:tc>
        <w:tc>
          <w:tcPr>
            <w:tcW w:w="2454" w:type="dxa"/>
          </w:tcPr>
          <w:p>
            <w:pPr>
              <w:pStyle w:val="TableParagraph"/>
              <w:tabs>
                <w:tab w:pos="1885" w:val="left" w:leader="none"/>
              </w:tabs>
              <w:spacing w:before="18"/>
              <w:ind w:right="85"/>
              <w:rPr>
                <w:sz w:val="18"/>
              </w:rPr>
            </w:pPr>
            <w:r>
              <w:rPr>
                <w:sz w:val="18"/>
              </w:rPr>
              <w:t>376,931</w:t>
              <w:tab/>
              <w:t>-</w:t>
            </w:r>
          </w:p>
        </w:tc>
      </w:tr>
      <w:tr>
        <w:trPr>
          <w:trHeight w:val="264" w:hRule="exact"/>
        </w:trPr>
        <w:tc>
          <w:tcPr>
            <w:tcW w:w="3130" w:type="dxa"/>
          </w:tcPr>
          <w:p>
            <w:pPr>
              <w:pStyle w:val="TableParagraph"/>
              <w:spacing w:before="19"/>
              <w:ind w:left="249"/>
              <w:jc w:val="left"/>
              <w:rPr>
                <w:sz w:val="18"/>
              </w:rPr>
            </w:pPr>
            <w:r>
              <w:rPr>
                <w:sz w:val="18"/>
              </w:rPr>
              <w:t>Buildings</w:t>
            </w:r>
          </w:p>
        </w:tc>
        <w:tc>
          <w:tcPr>
            <w:tcW w:w="624" w:type="dxa"/>
          </w:tcPr>
          <w:p>
            <w:pPr/>
          </w:p>
        </w:tc>
        <w:tc>
          <w:tcPr>
            <w:tcW w:w="1438" w:type="dxa"/>
          </w:tcPr>
          <w:p>
            <w:pPr>
              <w:pStyle w:val="TableParagraph"/>
              <w:spacing w:before="18"/>
              <w:ind w:right="225"/>
              <w:rPr>
                <w:sz w:val="18"/>
              </w:rPr>
            </w:pPr>
            <w:r>
              <w:rPr>
                <w:w w:val="95"/>
                <w:sz w:val="18"/>
              </w:rPr>
              <w:t>910,661</w:t>
            </w:r>
          </w:p>
        </w:tc>
        <w:tc>
          <w:tcPr>
            <w:tcW w:w="1297" w:type="dxa"/>
          </w:tcPr>
          <w:p>
            <w:pPr>
              <w:pStyle w:val="TableParagraph"/>
              <w:spacing w:before="18"/>
              <w:ind w:right="226"/>
              <w:rPr>
                <w:sz w:val="18"/>
              </w:rPr>
            </w:pPr>
            <w:r>
              <w:rPr>
                <w:w w:val="99"/>
                <w:sz w:val="18"/>
              </w:rPr>
              <w:t>-</w:t>
            </w:r>
          </w:p>
        </w:tc>
        <w:tc>
          <w:tcPr>
            <w:tcW w:w="2454" w:type="dxa"/>
          </w:tcPr>
          <w:p>
            <w:pPr>
              <w:pStyle w:val="TableParagraph"/>
              <w:tabs>
                <w:tab w:pos="709" w:val="left" w:leader="none"/>
              </w:tabs>
              <w:spacing w:before="18"/>
              <w:ind w:right="85"/>
              <w:rPr>
                <w:sz w:val="18"/>
              </w:rPr>
            </w:pPr>
            <w:r>
              <w:rPr>
                <w:sz w:val="18"/>
              </w:rPr>
              <w:t>-</w:t>
              <w:tab/>
            </w:r>
            <w:r>
              <w:rPr>
                <w:spacing w:val="-1"/>
                <w:w w:val="95"/>
                <w:sz w:val="18"/>
              </w:rPr>
              <w:t>910,661</w:t>
            </w:r>
          </w:p>
        </w:tc>
      </w:tr>
      <w:tr>
        <w:trPr>
          <w:trHeight w:val="264" w:hRule="exact"/>
        </w:trPr>
        <w:tc>
          <w:tcPr>
            <w:tcW w:w="3130" w:type="dxa"/>
          </w:tcPr>
          <w:p>
            <w:pPr>
              <w:pStyle w:val="TableParagraph"/>
              <w:spacing w:before="19"/>
              <w:ind w:left="249"/>
              <w:jc w:val="left"/>
              <w:rPr>
                <w:sz w:val="18"/>
              </w:rPr>
            </w:pPr>
            <w:r>
              <w:rPr>
                <w:sz w:val="18"/>
              </w:rPr>
              <w:t>Infrastructure</w:t>
            </w:r>
          </w:p>
        </w:tc>
        <w:tc>
          <w:tcPr>
            <w:tcW w:w="624" w:type="dxa"/>
          </w:tcPr>
          <w:p>
            <w:pPr/>
          </w:p>
        </w:tc>
        <w:tc>
          <w:tcPr>
            <w:tcW w:w="1438" w:type="dxa"/>
          </w:tcPr>
          <w:p>
            <w:pPr>
              <w:pStyle w:val="TableParagraph"/>
              <w:spacing w:before="18"/>
              <w:ind w:right="225"/>
              <w:rPr>
                <w:sz w:val="18"/>
              </w:rPr>
            </w:pPr>
            <w:r>
              <w:rPr>
                <w:w w:val="95"/>
                <w:sz w:val="18"/>
              </w:rPr>
              <w:t>85,395</w:t>
            </w:r>
          </w:p>
        </w:tc>
        <w:tc>
          <w:tcPr>
            <w:tcW w:w="1297" w:type="dxa"/>
          </w:tcPr>
          <w:p>
            <w:pPr>
              <w:pStyle w:val="TableParagraph"/>
              <w:spacing w:before="18"/>
              <w:ind w:right="226"/>
              <w:rPr>
                <w:sz w:val="18"/>
              </w:rPr>
            </w:pPr>
            <w:r>
              <w:rPr>
                <w:w w:val="99"/>
                <w:sz w:val="18"/>
              </w:rPr>
              <w:t>-</w:t>
            </w:r>
          </w:p>
        </w:tc>
        <w:tc>
          <w:tcPr>
            <w:tcW w:w="2454" w:type="dxa"/>
          </w:tcPr>
          <w:p>
            <w:pPr>
              <w:pStyle w:val="TableParagraph"/>
              <w:tabs>
                <w:tab w:pos="808" w:val="left" w:leader="none"/>
              </w:tabs>
              <w:spacing w:before="18"/>
              <w:ind w:right="85"/>
              <w:rPr>
                <w:sz w:val="18"/>
              </w:rPr>
            </w:pPr>
            <w:r>
              <w:rPr>
                <w:sz w:val="18"/>
              </w:rPr>
              <w:t>-</w:t>
              <w:tab/>
            </w:r>
            <w:r>
              <w:rPr>
                <w:spacing w:val="-1"/>
                <w:w w:val="95"/>
                <w:sz w:val="18"/>
              </w:rPr>
              <w:t>85,395</w:t>
            </w:r>
          </w:p>
        </w:tc>
      </w:tr>
      <w:tr>
        <w:trPr>
          <w:trHeight w:val="264" w:hRule="exact"/>
        </w:trPr>
        <w:tc>
          <w:tcPr>
            <w:tcW w:w="3130" w:type="dxa"/>
          </w:tcPr>
          <w:p>
            <w:pPr>
              <w:pStyle w:val="TableParagraph"/>
              <w:spacing w:before="19"/>
              <w:ind w:left="249"/>
              <w:jc w:val="left"/>
              <w:rPr>
                <w:sz w:val="18"/>
              </w:rPr>
            </w:pPr>
            <w:r>
              <w:rPr>
                <w:sz w:val="18"/>
              </w:rPr>
              <w:t>Artwork</w:t>
            </w:r>
          </w:p>
        </w:tc>
        <w:tc>
          <w:tcPr>
            <w:tcW w:w="624" w:type="dxa"/>
          </w:tcPr>
          <w:p>
            <w:pPr/>
          </w:p>
        </w:tc>
        <w:tc>
          <w:tcPr>
            <w:tcW w:w="1438" w:type="dxa"/>
          </w:tcPr>
          <w:p>
            <w:pPr>
              <w:pStyle w:val="TableParagraph"/>
              <w:spacing w:before="18"/>
              <w:ind w:right="225"/>
              <w:rPr>
                <w:sz w:val="18"/>
              </w:rPr>
            </w:pPr>
            <w:r>
              <w:rPr>
                <w:sz w:val="18"/>
              </w:rPr>
              <w:t>3,152</w:t>
            </w:r>
          </w:p>
        </w:tc>
        <w:tc>
          <w:tcPr>
            <w:tcW w:w="1297" w:type="dxa"/>
          </w:tcPr>
          <w:p>
            <w:pPr>
              <w:pStyle w:val="TableParagraph"/>
              <w:spacing w:before="18"/>
              <w:ind w:right="226"/>
              <w:rPr>
                <w:sz w:val="18"/>
              </w:rPr>
            </w:pPr>
            <w:r>
              <w:rPr>
                <w:w w:val="99"/>
                <w:sz w:val="18"/>
              </w:rPr>
              <w:t>-</w:t>
            </w:r>
          </w:p>
        </w:tc>
        <w:tc>
          <w:tcPr>
            <w:tcW w:w="2454" w:type="dxa"/>
          </w:tcPr>
          <w:p>
            <w:pPr>
              <w:pStyle w:val="TableParagraph"/>
              <w:tabs>
                <w:tab w:pos="1685" w:val="left" w:leader="none"/>
              </w:tabs>
              <w:spacing w:before="18"/>
              <w:ind w:right="85"/>
              <w:rPr>
                <w:sz w:val="18"/>
              </w:rPr>
            </w:pPr>
            <w:r>
              <w:rPr>
                <w:sz w:val="18"/>
              </w:rPr>
              <w:t>3,152</w:t>
              <w:tab/>
              <w:t>-</w:t>
            </w:r>
          </w:p>
        </w:tc>
      </w:tr>
      <w:tr>
        <w:trPr>
          <w:trHeight w:val="262" w:hRule="exact"/>
        </w:trPr>
        <w:tc>
          <w:tcPr>
            <w:tcW w:w="3130" w:type="dxa"/>
          </w:tcPr>
          <w:p>
            <w:pPr>
              <w:pStyle w:val="TableParagraph"/>
              <w:spacing w:before="19"/>
              <w:ind w:left="249"/>
              <w:jc w:val="left"/>
              <w:rPr>
                <w:sz w:val="18"/>
              </w:rPr>
            </w:pPr>
            <w:r>
              <w:rPr>
                <w:sz w:val="18"/>
              </w:rPr>
              <w:t>Rare book collection</w:t>
            </w:r>
          </w:p>
        </w:tc>
        <w:tc>
          <w:tcPr>
            <w:tcW w:w="624" w:type="dxa"/>
          </w:tcPr>
          <w:p>
            <w:pPr/>
          </w:p>
        </w:tc>
        <w:tc>
          <w:tcPr>
            <w:tcW w:w="1438" w:type="dxa"/>
            <w:tcBorders>
              <w:bottom w:val="single" w:sz="0" w:space="0" w:color="000000"/>
            </w:tcBorders>
          </w:tcPr>
          <w:p>
            <w:pPr>
              <w:pStyle w:val="TableParagraph"/>
              <w:spacing w:before="18"/>
              <w:ind w:right="225"/>
              <w:rPr>
                <w:sz w:val="18"/>
              </w:rPr>
            </w:pPr>
            <w:r>
              <w:rPr>
                <w:sz w:val="18"/>
              </w:rPr>
              <w:t>1,651</w:t>
            </w:r>
          </w:p>
        </w:tc>
        <w:tc>
          <w:tcPr>
            <w:tcW w:w="1297" w:type="dxa"/>
            <w:tcBorders>
              <w:bottom w:val="single" w:sz="0" w:space="0" w:color="000000"/>
            </w:tcBorders>
          </w:tcPr>
          <w:p>
            <w:pPr>
              <w:pStyle w:val="TableParagraph"/>
              <w:spacing w:before="18"/>
              <w:ind w:right="225"/>
              <w:rPr>
                <w:sz w:val="18"/>
              </w:rPr>
            </w:pPr>
            <w:r>
              <w:rPr>
                <w:sz w:val="18"/>
              </w:rPr>
              <w:t>1,651</w:t>
            </w:r>
          </w:p>
        </w:tc>
        <w:tc>
          <w:tcPr>
            <w:tcW w:w="2454" w:type="dxa"/>
            <w:tcBorders>
              <w:bottom w:val="single" w:sz="0" w:space="0" w:color="000000"/>
            </w:tcBorders>
          </w:tcPr>
          <w:p>
            <w:pPr>
              <w:pStyle w:val="TableParagraph"/>
              <w:tabs>
                <w:tab w:pos="1297" w:val="left" w:leader="none"/>
              </w:tabs>
              <w:spacing w:before="18"/>
              <w:ind w:right="85"/>
              <w:rPr>
                <w:sz w:val="18"/>
              </w:rPr>
            </w:pPr>
            <w:r>
              <w:rPr>
                <w:sz w:val="18"/>
              </w:rPr>
              <w:t>-</w:t>
              <w:tab/>
            </w:r>
            <w:r>
              <w:rPr>
                <w:spacing w:val="-1"/>
                <w:sz w:val="18"/>
              </w:rPr>
              <w:t>-</w:t>
            </w:r>
          </w:p>
        </w:tc>
      </w:tr>
      <w:tr>
        <w:trPr>
          <w:trHeight w:val="353" w:hRule="exact"/>
        </w:trPr>
        <w:tc>
          <w:tcPr>
            <w:tcW w:w="3130" w:type="dxa"/>
          </w:tcPr>
          <w:p>
            <w:pPr>
              <w:pStyle w:val="TableParagraph"/>
              <w:spacing w:before="94"/>
              <w:ind w:left="35"/>
              <w:jc w:val="left"/>
              <w:rPr>
                <w:b/>
                <w:sz w:val="18"/>
              </w:rPr>
            </w:pPr>
            <w:r>
              <w:rPr>
                <w:b/>
                <w:sz w:val="18"/>
              </w:rPr>
              <w:t>Total non-financial assets</w:t>
            </w:r>
          </w:p>
        </w:tc>
        <w:tc>
          <w:tcPr>
            <w:tcW w:w="624" w:type="dxa"/>
          </w:tcPr>
          <w:p>
            <w:pPr/>
          </w:p>
        </w:tc>
        <w:tc>
          <w:tcPr>
            <w:tcW w:w="1438" w:type="dxa"/>
            <w:tcBorders>
              <w:top w:val="single" w:sz="0" w:space="0" w:color="000000"/>
              <w:bottom w:val="single" w:sz="0" w:space="0" w:color="000000"/>
            </w:tcBorders>
          </w:tcPr>
          <w:p>
            <w:pPr>
              <w:pStyle w:val="TableParagraph"/>
              <w:spacing w:before="122"/>
              <w:ind w:right="225"/>
              <w:rPr>
                <w:b/>
                <w:sz w:val="18"/>
              </w:rPr>
            </w:pPr>
            <w:r>
              <w:rPr>
                <w:b/>
                <w:w w:val="95"/>
                <w:sz w:val="18"/>
              </w:rPr>
              <w:t>1,377,790</w:t>
            </w:r>
          </w:p>
        </w:tc>
        <w:tc>
          <w:tcPr>
            <w:tcW w:w="1297" w:type="dxa"/>
            <w:tcBorders>
              <w:top w:val="single" w:sz="0" w:space="0" w:color="000000"/>
              <w:bottom w:val="single" w:sz="0" w:space="0" w:color="000000"/>
            </w:tcBorders>
          </w:tcPr>
          <w:p>
            <w:pPr>
              <w:pStyle w:val="TableParagraph"/>
              <w:spacing w:before="122"/>
              <w:ind w:right="225"/>
              <w:rPr>
                <w:b/>
                <w:sz w:val="18"/>
              </w:rPr>
            </w:pPr>
            <w:r>
              <w:rPr>
                <w:b/>
                <w:sz w:val="18"/>
              </w:rPr>
              <w:t>1,651</w:t>
            </w:r>
          </w:p>
        </w:tc>
        <w:tc>
          <w:tcPr>
            <w:tcW w:w="2454" w:type="dxa"/>
            <w:tcBorders>
              <w:top w:val="single" w:sz="0" w:space="0" w:color="000000"/>
              <w:bottom w:val="single" w:sz="0" w:space="0" w:color="000000"/>
            </w:tcBorders>
          </w:tcPr>
          <w:p>
            <w:pPr>
              <w:pStyle w:val="TableParagraph"/>
              <w:tabs>
                <w:tab w:pos="1297" w:val="left" w:leader="none"/>
              </w:tabs>
              <w:spacing w:before="122"/>
              <w:ind w:right="85"/>
              <w:rPr>
                <w:b/>
                <w:sz w:val="18"/>
              </w:rPr>
            </w:pPr>
            <w:r>
              <w:rPr>
                <w:b/>
                <w:sz w:val="18"/>
              </w:rPr>
              <w:t>380,083</w:t>
              <w:tab/>
            </w:r>
            <w:r>
              <w:rPr>
                <w:b/>
                <w:spacing w:val="-1"/>
                <w:w w:val="95"/>
                <w:sz w:val="18"/>
              </w:rPr>
              <w:t>996,056</w:t>
            </w:r>
          </w:p>
        </w:tc>
      </w:tr>
      <w:tr>
        <w:trPr>
          <w:trHeight w:val="575" w:hRule="exact"/>
        </w:trPr>
        <w:tc>
          <w:tcPr>
            <w:tcW w:w="3130" w:type="dxa"/>
          </w:tcPr>
          <w:p>
            <w:pPr>
              <w:pStyle w:val="TableParagraph"/>
              <w:spacing w:before="138"/>
              <w:ind w:left="35"/>
              <w:jc w:val="left"/>
              <w:rPr>
                <w:b/>
                <w:sz w:val="18"/>
              </w:rPr>
            </w:pPr>
            <w:r>
              <w:rPr>
                <w:b/>
                <w:sz w:val="18"/>
              </w:rPr>
              <w:t>Non-recurring fair value</w:t>
            </w:r>
            <w:r>
              <w:rPr>
                <w:b/>
                <w:w w:val="100"/>
                <w:sz w:val="18"/>
              </w:rPr>
              <w:t> </w:t>
            </w:r>
            <w:r>
              <w:rPr>
                <w:b/>
                <w:sz w:val="18"/>
              </w:rPr>
              <w:t>measurements</w:t>
            </w:r>
          </w:p>
        </w:tc>
        <w:tc>
          <w:tcPr>
            <w:tcW w:w="624" w:type="dxa"/>
          </w:tcPr>
          <w:p>
            <w:pPr/>
          </w:p>
        </w:tc>
        <w:tc>
          <w:tcPr>
            <w:tcW w:w="1438" w:type="dxa"/>
            <w:tcBorders>
              <w:top w:val="single" w:sz="0" w:space="0" w:color="000000"/>
            </w:tcBorders>
          </w:tcPr>
          <w:p>
            <w:pPr/>
          </w:p>
        </w:tc>
        <w:tc>
          <w:tcPr>
            <w:tcW w:w="1297" w:type="dxa"/>
            <w:tcBorders>
              <w:top w:val="single" w:sz="0" w:space="0" w:color="000000"/>
            </w:tcBorders>
          </w:tcPr>
          <w:p>
            <w:pPr/>
          </w:p>
        </w:tc>
        <w:tc>
          <w:tcPr>
            <w:tcW w:w="2454" w:type="dxa"/>
            <w:tcBorders>
              <w:top w:val="single" w:sz="0" w:space="0" w:color="000000"/>
            </w:tcBorders>
          </w:tcPr>
          <w:p>
            <w:pPr/>
          </w:p>
        </w:tc>
      </w:tr>
      <w:tr>
        <w:trPr>
          <w:trHeight w:val="248" w:hRule="exact"/>
        </w:trPr>
        <w:tc>
          <w:tcPr>
            <w:tcW w:w="3130" w:type="dxa"/>
          </w:tcPr>
          <w:p>
            <w:pPr>
              <w:pStyle w:val="TableParagraph"/>
              <w:spacing w:before="6"/>
              <w:ind w:left="35"/>
              <w:jc w:val="left"/>
              <w:rPr>
                <w:sz w:val="18"/>
              </w:rPr>
            </w:pPr>
            <w:r>
              <w:rPr>
                <w:sz w:val="18"/>
              </w:rPr>
              <w:t>Non-current assets held for sale</w:t>
            </w:r>
          </w:p>
        </w:tc>
        <w:tc>
          <w:tcPr>
            <w:tcW w:w="624" w:type="dxa"/>
          </w:tcPr>
          <w:p>
            <w:pPr/>
          </w:p>
        </w:tc>
        <w:tc>
          <w:tcPr>
            <w:tcW w:w="1438" w:type="dxa"/>
            <w:tcBorders>
              <w:bottom w:val="single" w:sz="0" w:space="0" w:color="000000"/>
            </w:tcBorders>
          </w:tcPr>
          <w:p>
            <w:pPr>
              <w:pStyle w:val="TableParagraph"/>
              <w:spacing w:before="4"/>
              <w:ind w:right="225"/>
              <w:rPr>
                <w:sz w:val="18"/>
              </w:rPr>
            </w:pPr>
            <w:r>
              <w:rPr>
                <w:w w:val="95"/>
                <w:sz w:val="18"/>
              </w:rPr>
              <w:t>69,513</w:t>
            </w:r>
          </w:p>
        </w:tc>
        <w:tc>
          <w:tcPr>
            <w:tcW w:w="1297" w:type="dxa"/>
            <w:tcBorders>
              <w:bottom w:val="single" w:sz="0" w:space="0" w:color="000000"/>
            </w:tcBorders>
          </w:tcPr>
          <w:p>
            <w:pPr>
              <w:pStyle w:val="TableParagraph"/>
              <w:spacing w:before="4"/>
              <w:ind w:right="226"/>
              <w:rPr>
                <w:sz w:val="18"/>
              </w:rPr>
            </w:pPr>
            <w:r>
              <w:rPr>
                <w:w w:val="99"/>
                <w:sz w:val="18"/>
              </w:rPr>
              <w:t>-</w:t>
            </w:r>
          </w:p>
        </w:tc>
        <w:tc>
          <w:tcPr>
            <w:tcW w:w="2454" w:type="dxa"/>
            <w:tcBorders>
              <w:bottom w:val="single" w:sz="0" w:space="0" w:color="000000"/>
            </w:tcBorders>
          </w:tcPr>
          <w:p>
            <w:pPr>
              <w:pStyle w:val="TableParagraph"/>
              <w:tabs>
                <w:tab w:pos="1785" w:val="left" w:leader="none"/>
              </w:tabs>
              <w:spacing w:before="4"/>
              <w:ind w:right="85"/>
              <w:rPr>
                <w:sz w:val="18"/>
              </w:rPr>
            </w:pPr>
            <w:r>
              <w:rPr>
                <w:sz w:val="18"/>
              </w:rPr>
              <w:t>69,513</w:t>
              <w:tab/>
              <w:t>-</w:t>
            </w:r>
          </w:p>
        </w:tc>
      </w:tr>
      <w:tr>
        <w:trPr>
          <w:trHeight w:val="505" w:hRule="exact"/>
        </w:trPr>
        <w:tc>
          <w:tcPr>
            <w:tcW w:w="3130" w:type="dxa"/>
          </w:tcPr>
          <w:p>
            <w:pPr>
              <w:pStyle w:val="TableParagraph"/>
              <w:spacing w:before="39"/>
              <w:ind w:left="35"/>
              <w:jc w:val="left"/>
              <w:rPr>
                <w:b/>
                <w:sz w:val="18"/>
              </w:rPr>
            </w:pPr>
            <w:r>
              <w:rPr>
                <w:b/>
                <w:sz w:val="18"/>
              </w:rPr>
              <w:t>Total non-recurring fair value measurements</w:t>
            </w:r>
          </w:p>
        </w:tc>
        <w:tc>
          <w:tcPr>
            <w:tcW w:w="624" w:type="dxa"/>
          </w:tcPr>
          <w:p>
            <w:pPr/>
          </w:p>
        </w:tc>
        <w:tc>
          <w:tcPr>
            <w:tcW w:w="1438" w:type="dxa"/>
            <w:tcBorders>
              <w:top w:val="single" w:sz="0" w:space="0" w:color="000000"/>
              <w:bottom w:val="single" w:sz="0" w:space="0" w:color="000000"/>
            </w:tcBorders>
          </w:tcPr>
          <w:p>
            <w:pPr>
              <w:pStyle w:val="TableParagraph"/>
              <w:spacing w:before="9"/>
              <w:jc w:val="left"/>
              <w:rPr>
                <w:b/>
                <w:sz w:val="23"/>
              </w:rPr>
            </w:pPr>
          </w:p>
          <w:p>
            <w:pPr>
              <w:pStyle w:val="TableParagraph"/>
              <w:ind w:right="225"/>
              <w:rPr>
                <w:b/>
                <w:sz w:val="18"/>
              </w:rPr>
            </w:pPr>
            <w:r>
              <w:rPr>
                <w:b/>
                <w:w w:val="95"/>
                <w:sz w:val="18"/>
              </w:rPr>
              <w:t>69,513</w:t>
            </w:r>
          </w:p>
        </w:tc>
        <w:tc>
          <w:tcPr>
            <w:tcW w:w="1297" w:type="dxa"/>
            <w:tcBorders>
              <w:top w:val="single" w:sz="0" w:space="0" w:color="000000"/>
              <w:bottom w:val="single" w:sz="0" w:space="0" w:color="000000"/>
            </w:tcBorders>
          </w:tcPr>
          <w:p>
            <w:pPr>
              <w:pStyle w:val="TableParagraph"/>
              <w:spacing w:before="9"/>
              <w:jc w:val="left"/>
              <w:rPr>
                <w:b/>
                <w:sz w:val="23"/>
              </w:rPr>
            </w:pPr>
          </w:p>
          <w:p>
            <w:pPr>
              <w:pStyle w:val="TableParagraph"/>
              <w:ind w:right="226"/>
              <w:rPr>
                <w:sz w:val="18"/>
              </w:rPr>
            </w:pPr>
            <w:r>
              <w:rPr>
                <w:w w:val="99"/>
                <w:sz w:val="18"/>
              </w:rPr>
              <w:t>-</w:t>
            </w:r>
          </w:p>
        </w:tc>
        <w:tc>
          <w:tcPr>
            <w:tcW w:w="2454" w:type="dxa"/>
            <w:tcBorders>
              <w:top w:val="single" w:sz="0" w:space="0" w:color="000000"/>
              <w:bottom w:val="single" w:sz="0" w:space="0" w:color="000000"/>
            </w:tcBorders>
          </w:tcPr>
          <w:p>
            <w:pPr>
              <w:pStyle w:val="TableParagraph"/>
              <w:spacing w:before="9"/>
              <w:jc w:val="left"/>
              <w:rPr>
                <w:b/>
                <w:sz w:val="23"/>
              </w:rPr>
            </w:pPr>
          </w:p>
          <w:p>
            <w:pPr>
              <w:pStyle w:val="TableParagraph"/>
              <w:tabs>
                <w:tab w:pos="1785" w:val="left" w:leader="none"/>
              </w:tabs>
              <w:ind w:right="85"/>
              <w:rPr>
                <w:sz w:val="18"/>
              </w:rPr>
            </w:pPr>
            <w:r>
              <w:rPr>
                <w:sz w:val="18"/>
              </w:rPr>
              <w:t>69,513</w:t>
              <w:tab/>
              <w:t>-</w:t>
            </w:r>
          </w:p>
        </w:tc>
      </w:tr>
    </w:tbl>
    <w:p>
      <w:pPr>
        <w:pStyle w:val="BodyText"/>
        <w:spacing w:before="6"/>
        <w:rPr>
          <w:b/>
          <w:sz w:val="20"/>
        </w:rPr>
      </w:pPr>
    </w:p>
    <w:p>
      <w:pPr>
        <w:pStyle w:val="BodyText"/>
        <w:spacing w:before="77"/>
        <w:ind w:left="2390"/>
      </w:pPr>
      <w:r>
        <w:rPr/>
        <w:t>There were no transfers between levels 1, 2 and 3 for recurring fair value measurements during the year.</w:t>
      </w:r>
    </w:p>
    <w:p>
      <w:pPr>
        <w:pStyle w:val="BodyText"/>
        <w:spacing w:before="11"/>
        <w:rPr>
          <w:sz w:val="24"/>
        </w:rPr>
      </w:pPr>
    </w:p>
    <w:p>
      <w:pPr>
        <w:pStyle w:val="BodyText"/>
        <w:ind w:left="2390" w:right="1450"/>
      </w:pPr>
      <w:r>
        <w:rPr/>
        <w:t>Western Sydney University's policy is to recognise transfers into and transfers out of fair value hierarchy levels as at the end of the reporting period.</w:t>
      </w:r>
    </w:p>
    <w:p>
      <w:pPr>
        <w:pStyle w:val="BodyText"/>
        <w:spacing w:before="11"/>
        <w:rPr>
          <w:sz w:val="24"/>
        </w:rPr>
      </w:pPr>
    </w:p>
    <w:p>
      <w:pPr>
        <w:pStyle w:val="ListParagraph"/>
        <w:numPr>
          <w:ilvl w:val="0"/>
          <w:numId w:val="35"/>
        </w:numPr>
        <w:tabs>
          <w:tab w:pos="2640" w:val="left" w:leader="none"/>
        </w:tabs>
        <w:spacing w:line="240" w:lineRule="auto" w:before="0" w:after="0"/>
        <w:ind w:left="2639" w:right="0" w:hanging="249"/>
        <w:jc w:val="left"/>
        <w:rPr>
          <w:sz w:val="18"/>
        </w:rPr>
      </w:pPr>
      <w:r>
        <w:rPr>
          <w:sz w:val="18"/>
        </w:rPr>
        <w:t>Disclosed fair</w:t>
      </w:r>
      <w:r>
        <w:rPr>
          <w:spacing w:val="-20"/>
          <w:sz w:val="18"/>
        </w:rPr>
        <w:t> </w:t>
      </w:r>
      <w:r>
        <w:rPr>
          <w:sz w:val="18"/>
        </w:rPr>
        <w:t>values</w:t>
      </w:r>
    </w:p>
    <w:p>
      <w:pPr>
        <w:pStyle w:val="BodyText"/>
        <w:spacing w:before="11"/>
        <w:rPr>
          <w:sz w:val="24"/>
        </w:rPr>
      </w:pPr>
    </w:p>
    <w:p>
      <w:pPr>
        <w:pStyle w:val="BodyText"/>
        <w:ind w:left="2390" w:right="1375"/>
      </w:pPr>
      <w:r>
        <w:rPr/>
        <w:t>The fair value of assets or liabilities traded in active markets (such as available-for-sale securities) is based on quoted market prices for identical assets or liabilities at the reporting date (level 1). This is the most representative of fair value in the circumstances. The fair value of held-to-maturity investments were determined by reference to published price quotations in an active market.</w:t>
      </w:r>
    </w:p>
    <w:p>
      <w:pPr>
        <w:pStyle w:val="BodyText"/>
        <w:spacing w:before="11"/>
        <w:rPr>
          <w:sz w:val="24"/>
        </w:rPr>
      </w:pPr>
    </w:p>
    <w:p>
      <w:pPr>
        <w:pStyle w:val="BodyText"/>
        <w:ind w:left="2390" w:right="1364"/>
      </w:pPr>
      <w:r>
        <w:rPr/>
        <w:t>The carrying value less impairment provision of trade receivables and payables is a reasonable approximation of their fair values due to the short-term nature of trade receivables. The fair value of financial liabilities for disclosure purposes is estimated by discounting the future contractual cash flows at the current market interest rate that is available to the Group for similar financial instruments (level 3).</w:t>
      </w:r>
    </w:p>
    <w:p>
      <w:pPr>
        <w:spacing w:after="0"/>
        <w:sectPr>
          <w:pgSz w:w="12750" w:h="17680"/>
          <w:pgMar w:header="0" w:footer="927" w:top="2640" w:bottom="1120" w:left="0" w:right="0"/>
        </w:sectPr>
      </w:pPr>
    </w:p>
    <w:p>
      <w:pPr>
        <w:pStyle w:val="BodyText"/>
        <w:rPr>
          <w:sz w:val="20"/>
        </w:rPr>
      </w:pPr>
    </w:p>
    <w:p>
      <w:pPr>
        <w:pStyle w:val="BodyText"/>
        <w:rPr>
          <w:sz w:val="20"/>
        </w:rPr>
      </w:pPr>
    </w:p>
    <w:p>
      <w:pPr>
        <w:pStyle w:val="BodyText"/>
        <w:spacing w:before="4"/>
      </w:pPr>
    </w:p>
    <w:p>
      <w:pPr>
        <w:pStyle w:val="Heading8"/>
        <w:tabs>
          <w:tab w:pos="2391" w:val="left" w:leader="none"/>
        </w:tabs>
        <w:ind w:left="1824"/>
      </w:pPr>
      <w:r>
        <w:rPr/>
        <w:t>36</w:t>
        <w:tab/>
        <w:t>Fair Value Measurement</w:t>
      </w:r>
      <w:r>
        <w:rPr>
          <w:spacing w:val="-1"/>
        </w:rPr>
        <w:t> </w:t>
      </w:r>
      <w:r>
        <w:rPr/>
        <w:t>(continued)</w:t>
      </w:r>
    </w:p>
    <w:p>
      <w:pPr>
        <w:pStyle w:val="BodyText"/>
        <w:spacing w:before="7"/>
        <w:rPr>
          <w:b/>
          <w:sz w:val="26"/>
        </w:rPr>
      </w:pPr>
    </w:p>
    <w:p>
      <w:pPr>
        <w:pStyle w:val="ListParagraph"/>
        <w:numPr>
          <w:ilvl w:val="0"/>
          <w:numId w:val="36"/>
        </w:numPr>
        <w:tabs>
          <w:tab w:pos="2392" w:val="left" w:leader="none"/>
        </w:tabs>
        <w:spacing w:line="240" w:lineRule="auto" w:before="0" w:after="0"/>
        <w:ind w:left="2391" w:right="0" w:hanging="566"/>
        <w:jc w:val="left"/>
        <w:rPr>
          <w:sz w:val="18"/>
        </w:rPr>
      </w:pPr>
      <w:r>
        <w:rPr>
          <w:sz w:val="18"/>
        </w:rPr>
        <w:t>Fair value hierarchy</w:t>
      </w:r>
      <w:r>
        <w:rPr>
          <w:spacing w:val="-30"/>
          <w:sz w:val="18"/>
        </w:rPr>
        <w:t> </w:t>
      </w:r>
      <w:r>
        <w:rPr>
          <w:sz w:val="18"/>
        </w:rPr>
        <w:t>(continued)</w:t>
      </w:r>
    </w:p>
    <w:p>
      <w:pPr>
        <w:pStyle w:val="BodyText"/>
        <w:spacing w:before="4"/>
        <w:rPr>
          <w:sz w:val="25"/>
        </w:rPr>
      </w:pPr>
    </w:p>
    <w:p>
      <w:pPr>
        <w:pStyle w:val="BodyText"/>
        <w:ind w:left="2390" w:right="1406"/>
      </w:pPr>
      <w:r>
        <w:rPr/>
        <w:t>The fair value of non-current borrowings disclosed in note 26 is estimated by discounting the future contractual cash flows at the current market interest rates that are available to the Group for similar financial instruments. </w:t>
      </w:r>
      <w:bookmarkStart w:name="(c) Valuation techniques used to derive " w:id="142"/>
      <w:bookmarkEnd w:id="142"/>
      <w:r>
        <w:rPr/>
      </w:r>
      <w:r>
        <w:rPr/>
        <w:t>For the period ending 31 December 2016, the borrowing rates averaged 2.78% during the year. The fair value of current borrowings approximates the carrying amount, as the impact of discounting is not significant (level 2).</w:t>
      </w:r>
    </w:p>
    <w:p>
      <w:pPr>
        <w:pStyle w:val="BodyText"/>
      </w:pPr>
    </w:p>
    <w:p>
      <w:pPr>
        <w:pStyle w:val="BodyText"/>
        <w:spacing w:before="7"/>
        <w:rPr>
          <w:sz w:val="24"/>
        </w:rPr>
      </w:pPr>
    </w:p>
    <w:p>
      <w:pPr>
        <w:pStyle w:val="ListParagraph"/>
        <w:numPr>
          <w:ilvl w:val="0"/>
          <w:numId w:val="36"/>
        </w:numPr>
        <w:tabs>
          <w:tab w:pos="2392" w:val="left" w:leader="none"/>
        </w:tabs>
        <w:spacing w:line="240" w:lineRule="auto" w:before="0" w:after="0"/>
        <w:ind w:left="2391" w:right="0" w:hanging="566"/>
        <w:jc w:val="left"/>
        <w:rPr>
          <w:sz w:val="18"/>
        </w:rPr>
      </w:pPr>
      <w:r>
        <w:rPr>
          <w:sz w:val="18"/>
        </w:rPr>
        <w:t>Valuation</w:t>
      </w:r>
      <w:r>
        <w:rPr>
          <w:spacing w:val="-6"/>
          <w:sz w:val="18"/>
        </w:rPr>
        <w:t> </w:t>
      </w:r>
      <w:r>
        <w:rPr>
          <w:sz w:val="18"/>
        </w:rPr>
        <w:t>techniques</w:t>
      </w:r>
      <w:r>
        <w:rPr>
          <w:spacing w:val="-6"/>
          <w:sz w:val="18"/>
        </w:rPr>
        <w:t> </w:t>
      </w:r>
      <w:r>
        <w:rPr>
          <w:sz w:val="18"/>
        </w:rPr>
        <w:t>used</w:t>
      </w:r>
      <w:r>
        <w:rPr>
          <w:spacing w:val="-6"/>
          <w:sz w:val="18"/>
        </w:rPr>
        <w:t> </w:t>
      </w:r>
      <w:r>
        <w:rPr>
          <w:sz w:val="18"/>
        </w:rPr>
        <w:t>to</w:t>
      </w:r>
      <w:r>
        <w:rPr>
          <w:spacing w:val="-6"/>
          <w:sz w:val="18"/>
        </w:rPr>
        <w:t> </w:t>
      </w:r>
      <w:r>
        <w:rPr>
          <w:sz w:val="18"/>
        </w:rPr>
        <w:t>derive</w:t>
      </w:r>
      <w:r>
        <w:rPr>
          <w:spacing w:val="-6"/>
          <w:sz w:val="18"/>
        </w:rPr>
        <w:t> </w:t>
      </w:r>
      <w:r>
        <w:rPr>
          <w:sz w:val="18"/>
        </w:rPr>
        <w:t>level</w:t>
      </w:r>
      <w:r>
        <w:rPr>
          <w:spacing w:val="-6"/>
          <w:sz w:val="18"/>
        </w:rPr>
        <w:t> </w:t>
      </w:r>
      <w:r>
        <w:rPr>
          <w:sz w:val="18"/>
        </w:rPr>
        <w:t>2</w:t>
      </w:r>
      <w:r>
        <w:rPr>
          <w:spacing w:val="-6"/>
          <w:sz w:val="18"/>
        </w:rPr>
        <w:t> </w:t>
      </w:r>
      <w:r>
        <w:rPr>
          <w:sz w:val="18"/>
        </w:rPr>
        <w:t>and</w:t>
      </w:r>
      <w:r>
        <w:rPr>
          <w:spacing w:val="-6"/>
          <w:sz w:val="18"/>
        </w:rPr>
        <w:t> </w:t>
      </w:r>
      <w:r>
        <w:rPr>
          <w:sz w:val="18"/>
        </w:rPr>
        <w:t>level</w:t>
      </w:r>
      <w:r>
        <w:rPr>
          <w:spacing w:val="-6"/>
          <w:sz w:val="18"/>
        </w:rPr>
        <w:t> </w:t>
      </w:r>
      <w:r>
        <w:rPr>
          <w:sz w:val="18"/>
        </w:rPr>
        <w:t>3</w:t>
      </w:r>
      <w:r>
        <w:rPr>
          <w:spacing w:val="-6"/>
          <w:sz w:val="18"/>
        </w:rPr>
        <w:t> </w:t>
      </w:r>
      <w:r>
        <w:rPr>
          <w:sz w:val="18"/>
        </w:rPr>
        <w:t>fair</w:t>
      </w:r>
      <w:r>
        <w:rPr>
          <w:spacing w:val="-6"/>
          <w:sz w:val="18"/>
        </w:rPr>
        <w:t> </w:t>
      </w:r>
      <w:r>
        <w:rPr>
          <w:sz w:val="18"/>
        </w:rPr>
        <w:t>values</w:t>
      </w:r>
    </w:p>
    <w:p>
      <w:pPr>
        <w:pStyle w:val="BodyText"/>
        <w:spacing w:before="4"/>
        <w:rPr>
          <w:sz w:val="25"/>
        </w:rPr>
      </w:pPr>
    </w:p>
    <w:p>
      <w:pPr>
        <w:pStyle w:val="ListParagraph"/>
        <w:numPr>
          <w:ilvl w:val="1"/>
          <w:numId w:val="36"/>
        </w:numPr>
        <w:tabs>
          <w:tab w:pos="2600" w:val="left" w:leader="none"/>
        </w:tabs>
        <w:spacing w:line="240" w:lineRule="auto" w:before="0" w:after="0"/>
        <w:ind w:left="2599" w:right="0" w:hanging="209"/>
        <w:jc w:val="left"/>
        <w:rPr>
          <w:sz w:val="18"/>
        </w:rPr>
      </w:pPr>
      <w:r>
        <w:rPr>
          <w:sz w:val="18"/>
        </w:rPr>
        <w:t>Recurring fair value</w:t>
      </w:r>
      <w:r>
        <w:rPr>
          <w:spacing w:val="-31"/>
          <w:sz w:val="18"/>
        </w:rPr>
        <w:t> </w:t>
      </w:r>
      <w:r>
        <w:rPr>
          <w:sz w:val="18"/>
        </w:rPr>
        <w:t>measurements</w:t>
      </w:r>
    </w:p>
    <w:p>
      <w:pPr>
        <w:pStyle w:val="BodyText"/>
        <w:spacing w:before="11"/>
        <w:rPr>
          <w:sz w:val="24"/>
        </w:rPr>
      </w:pPr>
    </w:p>
    <w:p>
      <w:pPr>
        <w:pStyle w:val="BodyText"/>
        <w:ind w:left="2390" w:right="1450"/>
      </w:pPr>
      <w:r>
        <w:rPr/>
        <w:t>The fair value of financial instruments that are not traded in an active market are determined using valuation techniques. These valuation techniques maximise the use of observable market data where it is available and rely as little as possible on entity specific estimates. If all significant inputs required to fair value an instrument are observable, the instrument is included in level 2.</w:t>
      </w:r>
    </w:p>
    <w:p>
      <w:pPr>
        <w:pStyle w:val="BodyText"/>
        <w:spacing w:before="11"/>
        <w:rPr>
          <w:sz w:val="24"/>
        </w:rPr>
      </w:pPr>
    </w:p>
    <w:p>
      <w:pPr>
        <w:pStyle w:val="BodyText"/>
        <w:spacing w:line="207" w:lineRule="exact"/>
        <w:ind w:left="2390"/>
      </w:pPr>
      <w:r>
        <w:rPr/>
        <w:t>If one or more of the significant inputs is not based on observable market data, the instrument is included in level</w:t>
      </w:r>
    </w:p>
    <w:p>
      <w:pPr>
        <w:pStyle w:val="BodyText"/>
        <w:spacing w:line="207" w:lineRule="exact"/>
        <w:ind w:left="2390"/>
      </w:pPr>
      <w:r>
        <w:rPr/>
        <w:t>3. This is the case for unlisted equity securities.</w:t>
      </w:r>
    </w:p>
    <w:p>
      <w:pPr>
        <w:pStyle w:val="BodyText"/>
        <w:spacing w:before="11"/>
        <w:rPr>
          <w:sz w:val="24"/>
        </w:rPr>
      </w:pPr>
    </w:p>
    <w:p>
      <w:pPr>
        <w:pStyle w:val="BodyText"/>
        <w:ind w:left="2390" w:right="1607"/>
        <w:jc w:val="both"/>
      </w:pPr>
      <w:r>
        <w:rPr/>
        <w:drawing>
          <wp:anchor distT="0" distB="0" distL="0" distR="0" allowOverlap="1" layoutInCell="1" locked="0" behindDoc="0" simplePos="0" relativeHeight="5464">
            <wp:simplePos x="0" y="0"/>
            <wp:positionH relativeFrom="page">
              <wp:posOffset>-1587</wp:posOffset>
            </wp:positionH>
            <wp:positionV relativeFrom="paragraph">
              <wp:posOffset>164514</wp:posOffset>
            </wp:positionV>
            <wp:extent cx="136525" cy="155575"/>
            <wp:effectExtent l="0" t="0" r="0" b="0"/>
            <wp:wrapNone/>
            <wp:docPr id="349" name="image13.png" descr=""/>
            <wp:cNvGraphicFramePr>
              <a:graphicFrameLocks noChangeAspect="1"/>
            </wp:cNvGraphicFramePr>
            <a:graphic>
              <a:graphicData uri="http://schemas.openxmlformats.org/drawingml/2006/picture">
                <pic:pic>
                  <pic:nvPicPr>
                    <pic:cNvPr id="350" name="image13.png"/>
                    <pic:cNvPicPr/>
                  </pic:nvPicPr>
                  <pic:blipFill>
                    <a:blip r:embed="rId18" cstate="print"/>
                    <a:stretch>
                      <a:fillRect/>
                    </a:stretch>
                  </pic:blipFill>
                  <pic:spPr>
                    <a:xfrm>
                      <a:off x="0" y="0"/>
                      <a:ext cx="136525" cy="155575"/>
                    </a:xfrm>
                    <a:prstGeom prst="rect">
                      <a:avLst/>
                    </a:prstGeom>
                  </pic:spPr>
                </pic:pic>
              </a:graphicData>
            </a:graphic>
          </wp:anchor>
        </w:drawing>
      </w:r>
      <w:r>
        <w:rPr/>
        <w:drawing>
          <wp:anchor distT="0" distB="0" distL="0" distR="0" allowOverlap="1" layoutInCell="1" locked="0" behindDoc="0" simplePos="0" relativeHeight="5488">
            <wp:simplePos x="0" y="0"/>
            <wp:positionH relativeFrom="page">
              <wp:posOffset>7958429</wp:posOffset>
            </wp:positionH>
            <wp:positionV relativeFrom="paragraph">
              <wp:posOffset>164514</wp:posOffset>
            </wp:positionV>
            <wp:extent cx="135953" cy="155575"/>
            <wp:effectExtent l="0" t="0" r="0" b="0"/>
            <wp:wrapNone/>
            <wp:docPr id="351" name="image15.png" descr=""/>
            <wp:cNvGraphicFramePr>
              <a:graphicFrameLocks noChangeAspect="1"/>
            </wp:cNvGraphicFramePr>
            <a:graphic>
              <a:graphicData uri="http://schemas.openxmlformats.org/drawingml/2006/picture">
                <pic:pic>
                  <pic:nvPicPr>
                    <pic:cNvPr id="352" name="image15.png"/>
                    <pic:cNvPicPr/>
                  </pic:nvPicPr>
                  <pic:blipFill>
                    <a:blip r:embed="rId20" cstate="print"/>
                    <a:stretch>
                      <a:fillRect/>
                    </a:stretch>
                  </pic:blipFill>
                  <pic:spPr>
                    <a:xfrm>
                      <a:off x="0" y="0"/>
                      <a:ext cx="135953" cy="155575"/>
                    </a:xfrm>
                    <a:prstGeom prst="rect">
                      <a:avLst/>
                    </a:prstGeom>
                  </pic:spPr>
                </pic:pic>
              </a:graphicData>
            </a:graphic>
          </wp:anchor>
        </w:drawing>
      </w:r>
      <w:r>
        <w:rPr/>
        <w:t>The Group uses a variety of methods and makes assumptions that are based on market conditions existing at each</w:t>
      </w:r>
      <w:r>
        <w:rPr>
          <w:spacing w:val="-6"/>
        </w:rPr>
        <w:t> </w:t>
      </w:r>
      <w:r>
        <w:rPr/>
        <w:t>balance</w:t>
      </w:r>
      <w:r>
        <w:rPr>
          <w:spacing w:val="-6"/>
        </w:rPr>
        <w:t> </w:t>
      </w:r>
      <w:r>
        <w:rPr/>
        <w:t>date.</w:t>
      </w:r>
      <w:r>
        <w:rPr>
          <w:spacing w:val="-6"/>
        </w:rPr>
        <w:t> </w:t>
      </w:r>
      <w:r>
        <w:rPr/>
        <w:t>Specific</w:t>
      </w:r>
      <w:r>
        <w:rPr>
          <w:spacing w:val="-6"/>
        </w:rPr>
        <w:t> </w:t>
      </w:r>
      <w:r>
        <w:rPr/>
        <w:t>valuation</w:t>
      </w:r>
      <w:r>
        <w:rPr>
          <w:spacing w:val="-6"/>
        </w:rPr>
        <w:t> </w:t>
      </w:r>
      <w:r>
        <w:rPr/>
        <w:t>techniques</w:t>
      </w:r>
      <w:r>
        <w:rPr>
          <w:spacing w:val="-6"/>
        </w:rPr>
        <w:t> </w:t>
      </w:r>
      <w:r>
        <w:rPr/>
        <w:t>used</w:t>
      </w:r>
      <w:r>
        <w:rPr>
          <w:spacing w:val="-6"/>
        </w:rPr>
        <w:t> </w:t>
      </w:r>
      <w:r>
        <w:rPr/>
        <w:t>to</w:t>
      </w:r>
      <w:r>
        <w:rPr>
          <w:spacing w:val="-6"/>
        </w:rPr>
        <w:t> </w:t>
      </w:r>
      <w:r>
        <w:rPr/>
        <w:t>value</w:t>
      </w:r>
      <w:r>
        <w:rPr>
          <w:spacing w:val="-6"/>
        </w:rPr>
        <w:t> </w:t>
      </w:r>
      <w:r>
        <w:rPr/>
        <w:t>financial</w:t>
      </w:r>
      <w:r>
        <w:rPr>
          <w:spacing w:val="-6"/>
        </w:rPr>
        <w:t> </w:t>
      </w:r>
      <w:r>
        <w:rPr/>
        <w:t>instruments</w:t>
      </w:r>
      <w:r>
        <w:rPr>
          <w:spacing w:val="-6"/>
        </w:rPr>
        <w:t> </w:t>
      </w:r>
      <w:r>
        <w:rPr/>
        <w:t>include</w:t>
      </w:r>
      <w:r>
        <w:rPr>
          <w:spacing w:val="-6"/>
        </w:rPr>
        <w:t> </w:t>
      </w:r>
      <w:r>
        <w:rPr/>
        <w:t>the</w:t>
      </w:r>
      <w:r>
        <w:rPr>
          <w:spacing w:val="-6"/>
        </w:rPr>
        <w:t> </w:t>
      </w:r>
      <w:r>
        <w:rPr/>
        <w:t>use</w:t>
      </w:r>
      <w:r>
        <w:rPr>
          <w:spacing w:val="-6"/>
        </w:rPr>
        <w:t> </w:t>
      </w:r>
      <w:r>
        <w:rPr/>
        <w:t>of</w:t>
      </w:r>
      <w:r>
        <w:rPr>
          <w:spacing w:val="-6"/>
        </w:rPr>
        <w:t> </w:t>
      </w:r>
      <w:r>
        <w:rPr/>
        <w:t>quoted market</w:t>
      </w:r>
      <w:r>
        <w:rPr>
          <w:spacing w:val="-7"/>
        </w:rPr>
        <w:t> </w:t>
      </w:r>
      <w:r>
        <w:rPr/>
        <w:t>prices</w:t>
      </w:r>
      <w:r>
        <w:rPr>
          <w:spacing w:val="-7"/>
        </w:rPr>
        <w:t> </w:t>
      </w:r>
      <w:r>
        <w:rPr/>
        <w:t>or</w:t>
      </w:r>
      <w:r>
        <w:rPr>
          <w:spacing w:val="-7"/>
        </w:rPr>
        <w:t> </w:t>
      </w:r>
      <w:r>
        <w:rPr/>
        <w:t>dealer</w:t>
      </w:r>
      <w:r>
        <w:rPr>
          <w:spacing w:val="-7"/>
        </w:rPr>
        <w:t> </w:t>
      </w:r>
      <w:r>
        <w:rPr/>
        <w:t>quotes</w:t>
      </w:r>
      <w:r>
        <w:rPr>
          <w:spacing w:val="-7"/>
        </w:rPr>
        <w:t> </w:t>
      </w:r>
      <w:r>
        <w:rPr/>
        <w:t>for</w:t>
      </w:r>
      <w:r>
        <w:rPr>
          <w:spacing w:val="-7"/>
        </w:rPr>
        <w:t> </w:t>
      </w:r>
      <w:r>
        <w:rPr/>
        <w:t>similar</w:t>
      </w:r>
      <w:r>
        <w:rPr>
          <w:spacing w:val="-7"/>
        </w:rPr>
        <w:t> </w:t>
      </w:r>
      <w:r>
        <w:rPr/>
        <w:t>instruments.</w:t>
      </w:r>
    </w:p>
    <w:p>
      <w:pPr>
        <w:pStyle w:val="BodyText"/>
        <w:spacing w:before="11"/>
        <w:rPr>
          <w:sz w:val="24"/>
        </w:rPr>
      </w:pPr>
    </w:p>
    <w:p>
      <w:pPr>
        <w:pStyle w:val="BodyText"/>
        <w:spacing w:line="207" w:lineRule="exact"/>
        <w:ind w:left="2390"/>
      </w:pPr>
      <w:r>
        <w:rPr/>
        <w:t>All of the resulting fair value estimates are included in level 2 except for unlisted equity securities, explained in</w:t>
      </w:r>
    </w:p>
    <w:p>
      <w:pPr>
        <w:pStyle w:val="ListParagraph"/>
        <w:numPr>
          <w:ilvl w:val="0"/>
          <w:numId w:val="36"/>
        </w:numPr>
        <w:tabs>
          <w:tab w:pos="2660" w:val="left" w:leader="none"/>
        </w:tabs>
        <w:spacing w:line="207" w:lineRule="exact" w:before="0" w:after="0"/>
        <w:ind w:left="2659" w:right="0" w:hanging="269"/>
        <w:jc w:val="left"/>
        <w:rPr>
          <w:sz w:val="18"/>
        </w:rPr>
      </w:pPr>
      <w:r>
        <w:rPr>
          <w:sz w:val="18"/>
        </w:rPr>
        <w:t>below.</w:t>
      </w:r>
    </w:p>
    <w:p>
      <w:pPr>
        <w:pStyle w:val="BodyText"/>
        <w:spacing w:before="11"/>
        <w:rPr>
          <w:sz w:val="24"/>
        </w:rPr>
      </w:pPr>
    </w:p>
    <w:p>
      <w:pPr>
        <w:pStyle w:val="BodyText"/>
        <w:ind w:left="2390" w:right="1482"/>
      </w:pPr>
      <w:r>
        <w:rPr/>
        <w:t>Land and buildings (classified as property, plant and equipment) are calculated independently, at least every three years. At the end of each reporting period, the Group updates their assessment of the fair value of each property, taking into account the most recent independent valuations. The Group determines the property's value within a range of reasonable fair value estimates.</w:t>
      </w:r>
    </w:p>
    <w:p>
      <w:pPr>
        <w:pStyle w:val="BodyText"/>
        <w:spacing w:before="11"/>
        <w:rPr>
          <w:sz w:val="24"/>
        </w:rPr>
      </w:pPr>
    </w:p>
    <w:p>
      <w:pPr>
        <w:pStyle w:val="BodyText"/>
        <w:ind w:left="2390" w:right="1450"/>
      </w:pPr>
      <w:r>
        <w:rPr/>
        <w:t>The best evidence of fair value is current prices in an active market for similar properties. Where such information is not available, the Group considers information from a variety of sources, including discounted replacement cost - the cost to construct improvements as new is estimated and that amount depreciated, after taking into consideration the nature and design of the improvements, their age and current condition.</w:t>
      </w:r>
    </w:p>
    <w:p>
      <w:pPr>
        <w:pStyle w:val="BodyText"/>
        <w:spacing w:before="11"/>
        <w:rPr>
          <w:sz w:val="24"/>
        </w:rPr>
      </w:pPr>
    </w:p>
    <w:p>
      <w:pPr>
        <w:pStyle w:val="BodyText"/>
        <w:ind w:left="2390" w:right="1450"/>
      </w:pPr>
      <w:r>
        <w:rPr/>
        <w:t>All resulting fair value estimates for properties are included in level 3 except for vacant land. The level 2 fair value of vacant land has been derived using the sales comparison approach. Sale prices of comparable land in close proximity are adjusted for differences in key attributes such as property size.  The most significant input into this valuation approach is price per square metre.</w:t>
      </w:r>
    </w:p>
    <w:p>
      <w:pPr>
        <w:pStyle w:val="BodyText"/>
        <w:spacing w:before="11"/>
        <w:rPr>
          <w:sz w:val="24"/>
        </w:rPr>
      </w:pPr>
    </w:p>
    <w:p>
      <w:pPr>
        <w:pStyle w:val="BodyText"/>
        <w:ind w:left="2390"/>
      </w:pPr>
      <w:r>
        <w:rPr/>
        <w:t>(ii) Non-recurring fair value measurement</w:t>
      </w:r>
    </w:p>
    <w:p>
      <w:pPr>
        <w:pStyle w:val="BodyText"/>
        <w:spacing w:before="11"/>
        <w:rPr>
          <w:sz w:val="24"/>
        </w:rPr>
      </w:pPr>
    </w:p>
    <w:p>
      <w:pPr>
        <w:pStyle w:val="BodyText"/>
        <w:ind w:left="2390" w:right="1433"/>
        <w:jc w:val="both"/>
      </w:pPr>
      <w:r>
        <w:rPr/>
        <w:t>Land</w:t>
      </w:r>
      <w:r>
        <w:rPr>
          <w:spacing w:val="-5"/>
        </w:rPr>
        <w:t> </w:t>
      </w:r>
      <w:r>
        <w:rPr/>
        <w:t>classified</w:t>
      </w:r>
      <w:r>
        <w:rPr>
          <w:spacing w:val="-5"/>
        </w:rPr>
        <w:t> </w:t>
      </w:r>
      <w:r>
        <w:rPr/>
        <w:t>as</w:t>
      </w:r>
      <w:r>
        <w:rPr>
          <w:spacing w:val="-5"/>
        </w:rPr>
        <w:t> </w:t>
      </w:r>
      <w:r>
        <w:rPr/>
        <w:t>held</w:t>
      </w:r>
      <w:r>
        <w:rPr>
          <w:spacing w:val="-5"/>
        </w:rPr>
        <w:t> </w:t>
      </w:r>
      <w:r>
        <w:rPr/>
        <w:t>for</w:t>
      </w:r>
      <w:r>
        <w:rPr>
          <w:spacing w:val="-5"/>
        </w:rPr>
        <w:t> </w:t>
      </w:r>
      <w:r>
        <w:rPr/>
        <w:t>sale</w:t>
      </w:r>
      <w:r>
        <w:rPr>
          <w:spacing w:val="-5"/>
        </w:rPr>
        <w:t> </w:t>
      </w:r>
      <w:r>
        <w:rPr/>
        <w:t>during</w:t>
      </w:r>
      <w:r>
        <w:rPr>
          <w:spacing w:val="-5"/>
        </w:rPr>
        <w:t> </w:t>
      </w:r>
      <w:r>
        <w:rPr/>
        <w:t>the</w:t>
      </w:r>
      <w:r>
        <w:rPr>
          <w:spacing w:val="-5"/>
        </w:rPr>
        <w:t> </w:t>
      </w:r>
      <w:r>
        <w:rPr/>
        <w:t>reporting</w:t>
      </w:r>
      <w:r>
        <w:rPr>
          <w:spacing w:val="-5"/>
        </w:rPr>
        <w:t> </w:t>
      </w:r>
      <w:r>
        <w:rPr/>
        <w:t>period</w:t>
      </w:r>
      <w:r>
        <w:rPr>
          <w:spacing w:val="-5"/>
        </w:rPr>
        <w:t> </w:t>
      </w:r>
      <w:r>
        <w:rPr/>
        <w:t>was</w:t>
      </w:r>
      <w:r>
        <w:rPr>
          <w:spacing w:val="-5"/>
        </w:rPr>
        <w:t> </w:t>
      </w:r>
      <w:r>
        <w:rPr/>
        <w:t>measured</w:t>
      </w:r>
      <w:r>
        <w:rPr>
          <w:spacing w:val="-5"/>
        </w:rPr>
        <w:t> </w:t>
      </w:r>
      <w:r>
        <w:rPr/>
        <w:t>at</w:t>
      </w:r>
      <w:r>
        <w:rPr>
          <w:spacing w:val="-5"/>
        </w:rPr>
        <w:t> </w:t>
      </w:r>
      <w:r>
        <w:rPr/>
        <w:t>the</w:t>
      </w:r>
      <w:r>
        <w:rPr>
          <w:spacing w:val="-5"/>
        </w:rPr>
        <w:t> </w:t>
      </w:r>
      <w:r>
        <w:rPr/>
        <w:t>lower</w:t>
      </w:r>
      <w:r>
        <w:rPr>
          <w:spacing w:val="-4"/>
        </w:rPr>
        <w:t> </w:t>
      </w:r>
      <w:r>
        <w:rPr/>
        <w:t>of</w:t>
      </w:r>
      <w:r>
        <w:rPr>
          <w:spacing w:val="-4"/>
        </w:rPr>
        <w:t> </w:t>
      </w:r>
      <w:r>
        <w:rPr/>
        <w:t>its</w:t>
      </w:r>
      <w:r>
        <w:rPr>
          <w:spacing w:val="-4"/>
        </w:rPr>
        <w:t> </w:t>
      </w:r>
      <w:r>
        <w:rPr/>
        <w:t>carrying</w:t>
      </w:r>
      <w:r>
        <w:rPr>
          <w:spacing w:val="-5"/>
        </w:rPr>
        <w:t> </w:t>
      </w:r>
      <w:r>
        <w:rPr/>
        <w:t>amount</w:t>
      </w:r>
      <w:r>
        <w:rPr>
          <w:spacing w:val="-5"/>
        </w:rPr>
        <w:t> </w:t>
      </w:r>
      <w:r>
        <w:rPr/>
        <w:t>and fair value less cost to sell at the time of the reclassification. The fair value of the land was also determined using the</w:t>
      </w:r>
      <w:r>
        <w:rPr>
          <w:spacing w:val="-7"/>
        </w:rPr>
        <w:t> </w:t>
      </w:r>
      <w:r>
        <w:rPr/>
        <w:t>sales</w:t>
      </w:r>
      <w:r>
        <w:rPr>
          <w:spacing w:val="-7"/>
        </w:rPr>
        <w:t> </w:t>
      </w:r>
      <w:r>
        <w:rPr/>
        <w:t>comparison</w:t>
      </w:r>
      <w:r>
        <w:rPr>
          <w:spacing w:val="-7"/>
        </w:rPr>
        <w:t> </w:t>
      </w:r>
      <w:r>
        <w:rPr/>
        <w:t>approach</w:t>
      </w:r>
      <w:r>
        <w:rPr>
          <w:spacing w:val="-7"/>
        </w:rPr>
        <w:t> </w:t>
      </w:r>
      <w:r>
        <w:rPr/>
        <w:t>as</w:t>
      </w:r>
      <w:r>
        <w:rPr>
          <w:spacing w:val="-7"/>
        </w:rPr>
        <w:t> </w:t>
      </w:r>
      <w:r>
        <w:rPr/>
        <w:t>described</w:t>
      </w:r>
      <w:r>
        <w:rPr>
          <w:spacing w:val="-7"/>
        </w:rPr>
        <w:t> </w:t>
      </w:r>
      <w:r>
        <w:rPr/>
        <w:t>in</w:t>
      </w:r>
      <w:r>
        <w:rPr>
          <w:spacing w:val="-7"/>
        </w:rPr>
        <w:t> </w:t>
      </w:r>
      <w:r>
        <w:rPr/>
        <w:t>(i)</w:t>
      </w:r>
      <w:r>
        <w:rPr>
          <w:spacing w:val="-7"/>
        </w:rPr>
        <w:t> </w:t>
      </w:r>
      <w:r>
        <w:rPr/>
        <w:t>above.</w:t>
      </w:r>
    </w:p>
    <w:p>
      <w:pPr>
        <w:spacing w:after="0"/>
        <w:jc w:val="both"/>
        <w:sectPr>
          <w:pgSz w:w="12750" w:h="17680"/>
          <w:pgMar w:header="0" w:footer="927" w:top="2640" w:bottom="1120" w:left="0" w:right="0"/>
        </w:sectPr>
      </w:pPr>
    </w:p>
    <w:p>
      <w:pPr>
        <w:pStyle w:val="BodyText"/>
        <w:rPr>
          <w:sz w:val="20"/>
        </w:rPr>
      </w:pPr>
    </w:p>
    <w:p>
      <w:pPr>
        <w:pStyle w:val="BodyText"/>
        <w:rPr>
          <w:sz w:val="20"/>
        </w:rPr>
      </w:pPr>
    </w:p>
    <w:p>
      <w:pPr>
        <w:pStyle w:val="BodyText"/>
        <w:spacing w:before="4"/>
      </w:pPr>
    </w:p>
    <w:p>
      <w:pPr>
        <w:pStyle w:val="Heading8"/>
        <w:tabs>
          <w:tab w:pos="2391" w:val="left" w:leader="none"/>
        </w:tabs>
        <w:ind w:left="1824"/>
      </w:pPr>
      <w:bookmarkStart w:name="(d) Fair value measurements using signif" w:id="143"/>
      <w:bookmarkEnd w:id="143"/>
      <w:r>
        <w:rPr>
          <w:b w:val="0"/>
        </w:rPr>
      </w:r>
      <w:r>
        <w:rPr/>
        <w:t>36</w:t>
        <w:tab/>
        <w:t>Fair Value Measurement</w:t>
      </w:r>
      <w:r>
        <w:rPr>
          <w:spacing w:val="-1"/>
        </w:rPr>
        <w:t> </w:t>
      </w:r>
      <w:r>
        <w:rPr/>
        <w:t>(continued)</w:t>
      </w:r>
    </w:p>
    <w:p>
      <w:pPr>
        <w:pStyle w:val="BodyText"/>
        <w:spacing w:before="7"/>
        <w:rPr>
          <w:b/>
          <w:sz w:val="26"/>
        </w:rPr>
      </w:pPr>
    </w:p>
    <w:p>
      <w:pPr>
        <w:pStyle w:val="ListParagraph"/>
        <w:numPr>
          <w:ilvl w:val="0"/>
          <w:numId w:val="37"/>
        </w:numPr>
        <w:tabs>
          <w:tab w:pos="2392" w:val="left" w:leader="none"/>
        </w:tabs>
        <w:spacing w:line="240" w:lineRule="auto" w:before="0" w:after="0"/>
        <w:ind w:left="2391" w:right="0" w:hanging="566"/>
        <w:jc w:val="left"/>
        <w:rPr>
          <w:sz w:val="18"/>
        </w:rPr>
      </w:pPr>
      <w:r>
        <w:rPr>
          <w:sz w:val="18"/>
        </w:rPr>
        <w:t>Fair</w:t>
      </w:r>
      <w:r>
        <w:rPr>
          <w:spacing w:val="-8"/>
          <w:sz w:val="18"/>
        </w:rPr>
        <w:t> </w:t>
      </w:r>
      <w:r>
        <w:rPr>
          <w:sz w:val="18"/>
        </w:rPr>
        <w:t>value</w:t>
      </w:r>
      <w:r>
        <w:rPr>
          <w:spacing w:val="-8"/>
          <w:sz w:val="18"/>
        </w:rPr>
        <w:t> </w:t>
      </w:r>
      <w:r>
        <w:rPr>
          <w:sz w:val="18"/>
        </w:rPr>
        <w:t>measurements</w:t>
      </w:r>
      <w:r>
        <w:rPr>
          <w:spacing w:val="-8"/>
          <w:sz w:val="18"/>
        </w:rPr>
        <w:t> </w:t>
      </w:r>
      <w:r>
        <w:rPr>
          <w:sz w:val="18"/>
        </w:rPr>
        <w:t>using</w:t>
      </w:r>
      <w:r>
        <w:rPr>
          <w:spacing w:val="-8"/>
          <w:sz w:val="18"/>
        </w:rPr>
        <w:t> </w:t>
      </w:r>
      <w:r>
        <w:rPr>
          <w:sz w:val="18"/>
        </w:rPr>
        <w:t>significant</w:t>
      </w:r>
      <w:r>
        <w:rPr>
          <w:spacing w:val="-8"/>
          <w:sz w:val="18"/>
        </w:rPr>
        <w:t> </w:t>
      </w:r>
      <w:r>
        <w:rPr>
          <w:sz w:val="18"/>
        </w:rPr>
        <w:t>unobservable</w:t>
      </w:r>
      <w:r>
        <w:rPr>
          <w:spacing w:val="-8"/>
          <w:sz w:val="18"/>
        </w:rPr>
        <w:t> </w:t>
      </w:r>
      <w:r>
        <w:rPr>
          <w:sz w:val="18"/>
        </w:rPr>
        <w:t>inputs</w:t>
      </w:r>
      <w:r>
        <w:rPr>
          <w:spacing w:val="-8"/>
          <w:sz w:val="18"/>
        </w:rPr>
        <w:t> </w:t>
      </w:r>
      <w:r>
        <w:rPr>
          <w:sz w:val="18"/>
        </w:rPr>
        <w:t>(level</w:t>
      </w:r>
      <w:r>
        <w:rPr>
          <w:spacing w:val="-8"/>
          <w:sz w:val="18"/>
        </w:rPr>
        <w:t> </w:t>
      </w:r>
      <w:r>
        <w:rPr>
          <w:sz w:val="18"/>
        </w:rPr>
        <w:t>3)</w:t>
      </w:r>
    </w:p>
    <w:p>
      <w:pPr>
        <w:pStyle w:val="BodyText"/>
        <w:spacing w:before="4"/>
        <w:rPr>
          <w:sz w:val="25"/>
        </w:rPr>
      </w:pPr>
    </w:p>
    <w:p>
      <w:pPr>
        <w:pStyle w:val="BodyText"/>
        <w:ind w:left="2390"/>
      </w:pPr>
      <w:r>
        <w:rPr/>
        <w:t>The following table is a reconciliation of level 3 items for the periods ended 31 December 2016 and 2015.</w:t>
      </w:r>
    </w:p>
    <w:p>
      <w:pPr>
        <w:pStyle w:val="Heading8"/>
        <w:spacing w:before="33"/>
        <w:ind w:left="6370" w:right="5661"/>
        <w:jc w:val="center"/>
      </w:pPr>
      <w:r>
        <w:rPr/>
        <w:t>Unlisted equity</w:t>
      </w:r>
    </w:p>
    <w:p>
      <w:pPr>
        <w:pStyle w:val="BodyText"/>
        <w:spacing w:before="9"/>
        <w:rPr>
          <w:b/>
          <w:sz w:val="7"/>
        </w:rPr>
      </w:pPr>
    </w:p>
    <w:tbl>
      <w:tblPr>
        <w:tblW w:w="0" w:type="auto"/>
        <w:jc w:val="left"/>
        <w:tblInd w:w="240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640"/>
        <w:gridCol w:w="1544"/>
        <w:gridCol w:w="1326"/>
        <w:gridCol w:w="1313"/>
        <w:gridCol w:w="1121"/>
      </w:tblGrid>
      <w:tr>
        <w:trPr>
          <w:trHeight w:val="431" w:hRule="exact"/>
        </w:trPr>
        <w:tc>
          <w:tcPr>
            <w:tcW w:w="3640" w:type="dxa"/>
          </w:tcPr>
          <w:p>
            <w:pPr>
              <w:pStyle w:val="TableParagraph"/>
              <w:spacing w:line="184" w:lineRule="exact"/>
              <w:ind w:left="35" w:right="1433"/>
              <w:jc w:val="left"/>
              <w:rPr>
                <w:b/>
                <w:sz w:val="18"/>
              </w:rPr>
            </w:pPr>
            <w:r>
              <w:rPr>
                <w:b/>
                <w:sz w:val="18"/>
              </w:rPr>
              <w:t>Level 3 Fair Value</w:t>
            </w:r>
          </w:p>
          <w:p>
            <w:pPr>
              <w:pStyle w:val="TableParagraph"/>
              <w:spacing w:line="207" w:lineRule="exact"/>
              <w:ind w:left="35" w:right="1433"/>
              <w:jc w:val="left"/>
              <w:rPr>
                <w:b/>
                <w:sz w:val="18"/>
              </w:rPr>
            </w:pPr>
            <w:r>
              <w:rPr>
                <w:b/>
                <w:sz w:val="18"/>
              </w:rPr>
              <w:t>Measurement 2016</w:t>
            </w:r>
          </w:p>
        </w:tc>
        <w:tc>
          <w:tcPr>
            <w:tcW w:w="1544" w:type="dxa"/>
          </w:tcPr>
          <w:p>
            <w:pPr>
              <w:pStyle w:val="TableParagraph"/>
              <w:spacing w:line="117" w:lineRule="exact"/>
              <w:ind w:left="247" w:right="416"/>
              <w:jc w:val="center"/>
              <w:rPr>
                <w:b/>
                <w:sz w:val="18"/>
              </w:rPr>
            </w:pPr>
            <w:r>
              <w:rPr>
                <w:b/>
                <w:sz w:val="18"/>
              </w:rPr>
              <w:t>securities</w:t>
            </w:r>
          </w:p>
          <w:p>
            <w:pPr>
              <w:pStyle w:val="TableParagraph"/>
              <w:spacing w:before="66"/>
              <w:ind w:left="245" w:right="416"/>
              <w:jc w:val="center"/>
              <w:rPr>
                <w:b/>
                <w:sz w:val="18"/>
              </w:rPr>
            </w:pPr>
            <w:r>
              <w:rPr>
                <w:b/>
                <w:sz w:val="18"/>
              </w:rPr>
              <w:t>$'000</w:t>
            </w:r>
          </w:p>
        </w:tc>
        <w:tc>
          <w:tcPr>
            <w:tcW w:w="2639" w:type="dxa"/>
            <w:gridSpan w:val="2"/>
          </w:tcPr>
          <w:p>
            <w:pPr>
              <w:pStyle w:val="TableParagraph"/>
              <w:tabs>
                <w:tab w:pos="1151" w:val="left" w:leader="none"/>
              </w:tabs>
              <w:spacing w:line="117" w:lineRule="exact"/>
              <w:ind w:right="201"/>
              <w:jc w:val="center"/>
              <w:rPr>
                <w:b/>
                <w:sz w:val="18"/>
              </w:rPr>
            </w:pPr>
            <w:r>
              <w:rPr>
                <w:b/>
                <w:sz w:val="18"/>
              </w:rPr>
              <w:t>Buildings</w:t>
              <w:tab/>
              <w:t>Infrastructure</w:t>
            </w:r>
          </w:p>
          <w:p>
            <w:pPr>
              <w:pStyle w:val="TableParagraph"/>
              <w:tabs>
                <w:tab w:pos="1325" w:val="left" w:leader="none"/>
              </w:tabs>
              <w:spacing w:before="66"/>
              <w:ind w:right="376"/>
              <w:jc w:val="center"/>
              <w:rPr>
                <w:b/>
                <w:sz w:val="18"/>
              </w:rPr>
            </w:pPr>
            <w:r>
              <w:rPr>
                <w:b/>
                <w:sz w:val="18"/>
              </w:rPr>
              <w:t>$'000</w:t>
              <w:tab/>
              <w:t>$'000</w:t>
            </w:r>
          </w:p>
        </w:tc>
        <w:tc>
          <w:tcPr>
            <w:tcW w:w="1121" w:type="dxa"/>
          </w:tcPr>
          <w:p>
            <w:pPr>
              <w:pStyle w:val="TableParagraph"/>
              <w:spacing w:line="117" w:lineRule="exact"/>
              <w:ind w:left="265"/>
              <w:jc w:val="left"/>
              <w:rPr>
                <w:b/>
                <w:sz w:val="18"/>
              </w:rPr>
            </w:pPr>
            <w:r>
              <w:rPr>
                <w:b/>
                <w:sz w:val="18"/>
              </w:rPr>
              <w:t>Total</w:t>
            </w:r>
          </w:p>
          <w:p>
            <w:pPr>
              <w:pStyle w:val="TableParagraph"/>
              <w:spacing w:before="66"/>
              <w:ind w:left="259"/>
              <w:jc w:val="left"/>
              <w:rPr>
                <w:b/>
                <w:sz w:val="18"/>
              </w:rPr>
            </w:pPr>
            <w:r>
              <w:rPr>
                <w:b/>
                <w:sz w:val="18"/>
              </w:rPr>
              <w:t>$'000</w:t>
            </w:r>
          </w:p>
        </w:tc>
      </w:tr>
      <w:tr>
        <w:trPr>
          <w:trHeight w:val="267" w:hRule="exact"/>
        </w:trPr>
        <w:tc>
          <w:tcPr>
            <w:tcW w:w="3640" w:type="dxa"/>
          </w:tcPr>
          <w:p>
            <w:pPr>
              <w:pStyle w:val="TableParagraph"/>
              <w:spacing w:before="22"/>
              <w:ind w:left="35" w:right="1433"/>
              <w:jc w:val="left"/>
              <w:rPr>
                <w:sz w:val="18"/>
              </w:rPr>
            </w:pPr>
            <w:r>
              <w:rPr>
                <w:sz w:val="18"/>
              </w:rPr>
              <w:t>Opening balance</w:t>
            </w:r>
          </w:p>
        </w:tc>
        <w:tc>
          <w:tcPr>
            <w:tcW w:w="1544" w:type="dxa"/>
          </w:tcPr>
          <w:p>
            <w:pPr>
              <w:pStyle w:val="TableParagraph"/>
              <w:spacing w:before="21"/>
              <w:ind w:right="304"/>
              <w:rPr>
                <w:sz w:val="18"/>
              </w:rPr>
            </w:pPr>
            <w:r>
              <w:rPr>
                <w:sz w:val="18"/>
              </w:rPr>
              <w:t>9,500</w:t>
            </w:r>
          </w:p>
        </w:tc>
        <w:tc>
          <w:tcPr>
            <w:tcW w:w="1326" w:type="dxa"/>
          </w:tcPr>
          <w:p>
            <w:pPr>
              <w:pStyle w:val="TableParagraph"/>
              <w:spacing w:before="21"/>
              <w:ind w:right="304"/>
              <w:rPr>
                <w:sz w:val="18"/>
              </w:rPr>
            </w:pPr>
            <w:r>
              <w:rPr>
                <w:w w:val="95"/>
                <w:sz w:val="18"/>
              </w:rPr>
              <w:t>910,661</w:t>
            </w:r>
          </w:p>
        </w:tc>
        <w:tc>
          <w:tcPr>
            <w:tcW w:w="1313" w:type="dxa"/>
          </w:tcPr>
          <w:p>
            <w:pPr>
              <w:pStyle w:val="TableParagraph"/>
              <w:spacing w:before="21"/>
              <w:ind w:right="291"/>
              <w:rPr>
                <w:sz w:val="18"/>
              </w:rPr>
            </w:pPr>
            <w:r>
              <w:rPr>
                <w:w w:val="95"/>
                <w:sz w:val="18"/>
              </w:rPr>
              <w:t>85,395</w:t>
            </w:r>
          </w:p>
        </w:tc>
        <w:tc>
          <w:tcPr>
            <w:tcW w:w="1121" w:type="dxa"/>
          </w:tcPr>
          <w:p>
            <w:pPr>
              <w:pStyle w:val="TableParagraph"/>
              <w:spacing w:before="21"/>
              <w:ind w:right="86"/>
              <w:rPr>
                <w:sz w:val="18"/>
              </w:rPr>
            </w:pPr>
            <w:r>
              <w:rPr>
                <w:w w:val="95"/>
                <w:sz w:val="18"/>
              </w:rPr>
              <w:t>1,005,556</w:t>
            </w:r>
          </w:p>
        </w:tc>
      </w:tr>
      <w:tr>
        <w:trPr>
          <w:trHeight w:val="264" w:hRule="exact"/>
        </w:trPr>
        <w:tc>
          <w:tcPr>
            <w:tcW w:w="3640" w:type="dxa"/>
          </w:tcPr>
          <w:p>
            <w:pPr>
              <w:pStyle w:val="TableParagraph"/>
              <w:spacing w:before="19"/>
              <w:ind w:left="35" w:right="1433"/>
              <w:jc w:val="left"/>
              <w:rPr>
                <w:sz w:val="18"/>
              </w:rPr>
            </w:pPr>
            <w:r>
              <w:rPr>
                <w:sz w:val="18"/>
              </w:rPr>
              <w:t>Acquisitions</w:t>
            </w:r>
          </w:p>
        </w:tc>
        <w:tc>
          <w:tcPr>
            <w:tcW w:w="1544" w:type="dxa"/>
          </w:tcPr>
          <w:p>
            <w:pPr>
              <w:pStyle w:val="TableParagraph"/>
              <w:spacing w:before="18"/>
              <w:ind w:right="304"/>
              <w:rPr>
                <w:sz w:val="18"/>
              </w:rPr>
            </w:pPr>
            <w:r>
              <w:rPr>
                <w:w w:val="99"/>
                <w:sz w:val="18"/>
              </w:rPr>
              <w:t>-</w:t>
            </w:r>
          </w:p>
        </w:tc>
        <w:tc>
          <w:tcPr>
            <w:tcW w:w="1326" w:type="dxa"/>
          </w:tcPr>
          <w:p>
            <w:pPr>
              <w:pStyle w:val="TableParagraph"/>
              <w:spacing w:before="18"/>
              <w:ind w:right="304"/>
              <w:rPr>
                <w:sz w:val="18"/>
              </w:rPr>
            </w:pPr>
            <w:r>
              <w:rPr>
                <w:w w:val="95"/>
                <w:sz w:val="18"/>
              </w:rPr>
              <w:t>54,304</w:t>
            </w:r>
          </w:p>
        </w:tc>
        <w:tc>
          <w:tcPr>
            <w:tcW w:w="1313" w:type="dxa"/>
          </w:tcPr>
          <w:p>
            <w:pPr>
              <w:pStyle w:val="TableParagraph"/>
              <w:spacing w:before="18"/>
              <w:ind w:right="291"/>
              <w:rPr>
                <w:sz w:val="18"/>
              </w:rPr>
            </w:pPr>
            <w:r>
              <w:rPr>
                <w:w w:val="95"/>
                <w:sz w:val="18"/>
              </w:rPr>
              <w:t>11,674</w:t>
            </w:r>
          </w:p>
        </w:tc>
        <w:tc>
          <w:tcPr>
            <w:tcW w:w="1121" w:type="dxa"/>
          </w:tcPr>
          <w:p>
            <w:pPr>
              <w:pStyle w:val="TableParagraph"/>
              <w:spacing w:before="18"/>
              <w:ind w:right="86"/>
              <w:rPr>
                <w:sz w:val="18"/>
              </w:rPr>
            </w:pPr>
            <w:r>
              <w:rPr>
                <w:w w:val="95"/>
                <w:sz w:val="18"/>
              </w:rPr>
              <w:t>65,978</w:t>
            </w:r>
          </w:p>
        </w:tc>
      </w:tr>
      <w:tr>
        <w:trPr>
          <w:trHeight w:val="263" w:hRule="exact"/>
        </w:trPr>
        <w:tc>
          <w:tcPr>
            <w:tcW w:w="3640" w:type="dxa"/>
          </w:tcPr>
          <w:p>
            <w:pPr>
              <w:pStyle w:val="TableParagraph"/>
              <w:spacing w:before="19"/>
              <w:ind w:left="35" w:right="1433"/>
              <w:jc w:val="left"/>
              <w:rPr>
                <w:sz w:val="18"/>
              </w:rPr>
            </w:pPr>
            <w:r>
              <w:rPr>
                <w:sz w:val="18"/>
              </w:rPr>
              <w:t>Transfers out of level 3</w:t>
            </w:r>
          </w:p>
        </w:tc>
        <w:tc>
          <w:tcPr>
            <w:tcW w:w="1544" w:type="dxa"/>
          </w:tcPr>
          <w:p>
            <w:pPr>
              <w:pStyle w:val="TableParagraph"/>
              <w:spacing w:before="18"/>
              <w:ind w:right="244"/>
              <w:rPr>
                <w:sz w:val="18"/>
              </w:rPr>
            </w:pPr>
            <w:r>
              <w:rPr>
                <w:w w:val="95"/>
                <w:sz w:val="18"/>
              </w:rPr>
              <w:t>(11,027)</w:t>
            </w:r>
          </w:p>
        </w:tc>
        <w:tc>
          <w:tcPr>
            <w:tcW w:w="1326" w:type="dxa"/>
          </w:tcPr>
          <w:p>
            <w:pPr>
              <w:pStyle w:val="TableParagraph"/>
              <w:spacing w:before="18"/>
              <w:ind w:right="304"/>
              <w:rPr>
                <w:sz w:val="18"/>
              </w:rPr>
            </w:pPr>
            <w:r>
              <w:rPr>
                <w:w w:val="99"/>
                <w:sz w:val="18"/>
              </w:rPr>
              <w:t>-</w:t>
            </w:r>
          </w:p>
        </w:tc>
        <w:tc>
          <w:tcPr>
            <w:tcW w:w="1313" w:type="dxa"/>
          </w:tcPr>
          <w:p>
            <w:pPr>
              <w:pStyle w:val="TableParagraph"/>
              <w:spacing w:before="18"/>
              <w:ind w:right="291"/>
              <w:rPr>
                <w:sz w:val="18"/>
              </w:rPr>
            </w:pPr>
            <w:r>
              <w:rPr>
                <w:w w:val="99"/>
                <w:sz w:val="18"/>
              </w:rPr>
              <w:t>-</w:t>
            </w:r>
          </w:p>
        </w:tc>
        <w:tc>
          <w:tcPr>
            <w:tcW w:w="1121" w:type="dxa"/>
          </w:tcPr>
          <w:p>
            <w:pPr>
              <w:pStyle w:val="TableParagraph"/>
              <w:spacing w:before="18"/>
              <w:ind w:right="27"/>
              <w:rPr>
                <w:sz w:val="18"/>
              </w:rPr>
            </w:pPr>
            <w:r>
              <w:rPr>
                <w:w w:val="95"/>
                <w:sz w:val="18"/>
              </w:rPr>
              <w:t>(11,027)</w:t>
            </w:r>
          </w:p>
        </w:tc>
      </w:tr>
      <w:tr>
        <w:trPr>
          <w:trHeight w:val="469" w:hRule="exact"/>
        </w:trPr>
        <w:tc>
          <w:tcPr>
            <w:tcW w:w="3640" w:type="dxa"/>
          </w:tcPr>
          <w:p>
            <w:pPr>
              <w:pStyle w:val="TableParagraph"/>
              <w:spacing w:before="18"/>
              <w:ind w:left="35" w:right="1753"/>
              <w:jc w:val="left"/>
              <w:rPr>
                <w:sz w:val="18"/>
              </w:rPr>
            </w:pPr>
            <w:r>
              <w:rPr>
                <w:sz w:val="18"/>
              </w:rPr>
              <w:t>Transfer to held for  sale</w:t>
            </w:r>
            <w:r>
              <w:rPr>
                <w:spacing w:val="-11"/>
                <w:sz w:val="18"/>
              </w:rPr>
              <w:t> </w:t>
            </w:r>
            <w:r>
              <w:rPr>
                <w:sz w:val="18"/>
              </w:rPr>
              <w:t>assets</w:t>
            </w:r>
          </w:p>
        </w:tc>
        <w:tc>
          <w:tcPr>
            <w:tcW w:w="1544" w:type="dxa"/>
          </w:tcPr>
          <w:p>
            <w:pPr>
              <w:pStyle w:val="TableParagraph"/>
              <w:spacing w:before="4"/>
              <w:jc w:val="left"/>
              <w:rPr>
                <w:b/>
                <w:sz w:val="19"/>
              </w:rPr>
            </w:pPr>
          </w:p>
          <w:p>
            <w:pPr>
              <w:pStyle w:val="TableParagraph"/>
              <w:ind w:right="304"/>
              <w:rPr>
                <w:sz w:val="18"/>
              </w:rPr>
            </w:pPr>
            <w:r>
              <w:rPr>
                <w:w w:val="99"/>
                <w:sz w:val="18"/>
              </w:rPr>
              <w:t>-</w:t>
            </w:r>
          </w:p>
        </w:tc>
        <w:tc>
          <w:tcPr>
            <w:tcW w:w="1326" w:type="dxa"/>
          </w:tcPr>
          <w:p>
            <w:pPr>
              <w:pStyle w:val="TableParagraph"/>
              <w:spacing w:before="4"/>
              <w:jc w:val="left"/>
              <w:rPr>
                <w:b/>
                <w:sz w:val="19"/>
              </w:rPr>
            </w:pPr>
          </w:p>
          <w:p>
            <w:pPr>
              <w:pStyle w:val="TableParagraph"/>
              <w:ind w:right="304"/>
              <w:rPr>
                <w:sz w:val="18"/>
              </w:rPr>
            </w:pPr>
            <w:r>
              <w:rPr>
                <w:w w:val="99"/>
                <w:sz w:val="18"/>
              </w:rPr>
              <w:t>-</w:t>
            </w:r>
          </w:p>
        </w:tc>
        <w:tc>
          <w:tcPr>
            <w:tcW w:w="1313" w:type="dxa"/>
          </w:tcPr>
          <w:p>
            <w:pPr>
              <w:pStyle w:val="TableParagraph"/>
              <w:spacing w:before="4"/>
              <w:jc w:val="left"/>
              <w:rPr>
                <w:b/>
                <w:sz w:val="19"/>
              </w:rPr>
            </w:pPr>
          </w:p>
          <w:p>
            <w:pPr>
              <w:pStyle w:val="TableParagraph"/>
              <w:ind w:right="232"/>
              <w:rPr>
                <w:sz w:val="18"/>
              </w:rPr>
            </w:pPr>
            <w:r>
              <w:rPr>
                <w:w w:val="95"/>
                <w:sz w:val="18"/>
              </w:rPr>
              <w:t>(5,171)</w:t>
            </w:r>
          </w:p>
        </w:tc>
        <w:tc>
          <w:tcPr>
            <w:tcW w:w="1121" w:type="dxa"/>
          </w:tcPr>
          <w:p>
            <w:pPr>
              <w:pStyle w:val="TableParagraph"/>
              <w:spacing w:before="4"/>
              <w:jc w:val="left"/>
              <w:rPr>
                <w:b/>
                <w:sz w:val="19"/>
              </w:rPr>
            </w:pPr>
          </w:p>
          <w:p>
            <w:pPr>
              <w:pStyle w:val="TableParagraph"/>
              <w:ind w:right="27"/>
              <w:rPr>
                <w:sz w:val="18"/>
              </w:rPr>
            </w:pPr>
            <w:r>
              <w:rPr>
                <w:w w:val="95"/>
                <w:sz w:val="18"/>
              </w:rPr>
              <w:t>(5,171)</w:t>
            </w:r>
          </w:p>
        </w:tc>
      </w:tr>
      <w:tr>
        <w:trPr>
          <w:trHeight w:val="264" w:hRule="exact"/>
        </w:trPr>
        <w:tc>
          <w:tcPr>
            <w:tcW w:w="3640" w:type="dxa"/>
          </w:tcPr>
          <w:p>
            <w:pPr>
              <w:pStyle w:val="TableParagraph"/>
              <w:spacing w:before="19"/>
              <w:ind w:left="35" w:right="1433"/>
              <w:jc w:val="left"/>
              <w:rPr>
                <w:sz w:val="18"/>
              </w:rPr>
            </w:pPr>
            <w:r>
              <w:rPr>
                <w:sz w:val="18"/>
              </w:rPr>
              <w:t>Disposals</w:t>
            </w:r>
          </w:p>
        </w:tc>
        <w:tc>
          <w:tcPr>
            <w:tcW w:w="1544" w:type="dxa"/>
          </w:tcPr>
          <w:p>
            <w:pPr>
              <w:pStyle w:val="TableParagraph"/>
              <w:spacing w:before="18"/>
              <w:ind w:right="304"/>
              <w:rPr>
                <w:sz w:val="18"/>
              </w:rPr>
            </w:pPr>
            <w:r>
              <w:rPr>
                <w:w w:val="99"/>
                <w:sz w:val="18"/>
              </w:rPr>
              <w:t>-</w:t>
            </w:r>
          </w:p>
        </w:tc>
        <w:tc>
          <w:tcPr>
            <w:tcW w:w="1326" w:type="dxa"/>
          </w:tcPr>
          <w:p>
            <w:pPr>
              <w:pStyle w:val="TableParagraph"/>
              <w:spacing w:before="18"/>
              <w:ind w:right="244"/>
              <w:rPr>
                <w:sz w:val="18"/>
              </w:rPr>
            </w:pPr>
            <w:r>
              <w:rPr>
                <w:sz w:val="18"/>
              </w:rPr>
              <w:t>(758)</w:t>
            </w:r>
          </w:p>
        </w:tc>
        <w:tc>
          <w:tcPr>
            <w:tcW w:w="1313" w:type="dxa"/>
          </w:tcPr>
          <w:p>
            <w:pPr>
              <w:pStyle w:val="TableParagraph"/>
              <w:spacing w:before="18"/>
              <w:ind w:right="291"/>
              <w:rPr>
                <w:sz w:val="18"/>
              </w:rPr>
            </w:pPr>
            <w:r>
              <w:rPr>
                <w:w w:val="99"/>
                <w:sz w:val="18"/>
              </w:rPr>
              <w:t>-</w:t>
            </w:r>
          </w:p>
        </w:tc>
        <w:tc>
          <w:tcPr>
            <w:tcW w:w="1121" w:type="dxa"/>
          </w:tcPr>
          <w:p>
            <w:pPr>
              <w:pStyle w:val="TableParagraph"/>
              <w:spacing w:before="18"/>
              <w:ind w:right="27"/>
              <w:rPr>
                <w:sz w:val="18"/>
              </w:rPr>
            </w:pPr>
            <w:r>
              <w:rPr>
                <w:sz w:val="18"/>
              </w:rPr>
              <w:t>(758)</w:t>
            </w:r>
          </w:p>
        </w:tc>
      </w:tr>
      <w:tr>
        <w:trPr>
          <w:trHeight w:val="470" w:hRule="exact"/>
        </w:trPr>
        <w:tc>
          <w:tcPr>
            <w:tcW w:w="3640" w:type="dxa"/>
          </w:tcPr>
          <w:p>
            <w:pPr>
              <w:pStyle w:val="TableParagraph"/>
              <w:spacing w:before="18"/>
              <w:ind w:left="35" w:right="1433"/>
              <w:jc w:val="left"/>
              <w:rPr>
                <w:sz w:val="18"/>
              </w:rPr>
            </w:pPr>
            <w:r>
              <w:rPr>
                <w:sz w:val="18"/>
              </w:rPr>
              <w:t>Recognised in profit or loss*</w:t>
            </w:r>
          </w:p>
        </w:tc>
        <w:tc>
          <w:tcPr>
            <w:tcW w:w="1544" w:type="dxa"/>
          </w:tcPr>
          <w:p>
            <w:pPr>
              <w:pStyle w:val="TableParagraph"/>
              <w:spacing w:before="6"/>
              <w:jc w:val="left"/>
              <w:rPr>
                <w:b/>
                <w:sz w:val="19"/>
              </w:rPr>
            </w:pPr>
          </w:p>
          <w:p>
            <w:pPr>
              <w:pStyle w:val="TableParagraph"/>
              <w:ind w:right="304"/>
              <w:rPr>
                <w:sz w:val="18"/>
              </w:rPr>
            </w:pPr>
            <w:r>
              <w:rPr>
                <w:w w:val="99"/>
                <w:sz w:val="18"/>
              </w:rPr>
              <w:t>-</w:t>
            </w:r>
          </w:p>
        </w:tc>
        <w:tc>
          <w:tcPr>
            <w:tcW w:w="1326" w:type="dxa"/>
          </w:tcPr>
          <w:p>
            <w:pPr>
              <w:pStyle w:val="TableParagraph"/>
              <w:spacing w:before="6"/>
              <w:jc w:val="left"/>
              <w:rPr>
                <w:b/>
                <w:sz w:val="19"/>
              </w:rPr>
            </w:pPr>
          </w:p>
          <w:p>
            <w:pPr>
              <w:pStyle w:val="TableParagraph"/>
              <w:ind w:right="244"/>
              <w:rPr>
                <w:sz w:val="18"/>
              </w:rPr>
            </w:pPr>
            <w:r>
              <w:rPr>
                <w:w w:val="95"/>
                <w:sz w:val="18"/>
              </w:rPr>
              <w:t>(23,172)</w:t>
            </w:r>
          </w:p>
        </w:tc>
        <w:tc>
          <w:tcPr>
            <w:tcW w:w="1313" w:type="dxa"/>
          </w:tcPr>
          <w:p>
            <w:pPr>
              <w:pStyle w:val="TableParagraph"/>
              <w:spacing w:before="6"/>
              <w:jc w:val="left"/>
              <w:rPr>
                <w:b/>
                <w:sz w:val="19"/>
              </w:rPr>
            </w:pPr>
          </w:p>
          <w:p>
            <w:pPr>
              <w:pStyle w:val="TableParagraph"/>
              <w:ind w:right="232"/>
              <w:rPr>
                <w:sz w:val="18"/>
              </w:rPr>
            </w:pPr>
            <w:r>
              <w:rPr>
                <w:w w:val="95"/>
                <w:sz w:val="18"/>
              </w:rPr>
              <w:t>(2,752)</w:t>
            </w:r>
          </w:p>
        </w:tc>
        <w:tc>
          <w:tcPr>
            <w:tcW w:w="1121" w:type="dxa"/>
          </w:tcPr>
          <w:p>
            <w:pPr>
              <w:pStyle w:val="TableParagraph"/>
              <w:spacing w:before="6"/>
              <w:jc w:val="left"/>
              <w:rPr>
                <w:b/>
                <w:sz w:val="19"/>
              </w:rPr>
            </w:pPr>
          </w:p>
          <w:p>
            <w:pPr>
              <w:pStyle w:val="TableParagraph"/>
              <w:ind w:right="27"/>
              <w:rPr>
                <w:sz w:val="18"/>
              </w:rPr>
            </w:pPr>
            <w:r>
              <w:rPr>
                <w:w w:val="95"/>
                <w:sz w:val="18"/>
              </w:rPr>
              <w:t>(25,924)</w:t>
            </w:r>
          </w:p>
        </w:tc>
      </w:tr>
      <w:tr>
        <w:trPr>
          <w:trHeight w:val="469" w:hRule="exact"/>
        </w:trPr>
        <w:tc>
          <w:tcPr>
            <w:tcW w:w="3640" w:type="dxa"/>
          </w:tcPr>
          <w:p>
            <w:pPr>
              <w:pStyle w:val="TableParagraph"/>
              <w:spacing w:before="19"/>
              <w:ind w:left="35" w:right="1433"/>
              <w:jc w:val="left"/>
              <w:rPr>
                <w:sz w:val="18"/>
              </w:rPr>
            </w:pPr>
            <w:r>
              <w:rPr>
                <w:sz w:val="18"/>
              </w:rPr>
              <w:t>Recognised in other comprehensive income</w:t>
            </w:r>
          </w:p>
        </w:tc>
        <w:tc>
          <w:tcPr>
            <w:tcW w:w="1544" w:type="dxa"/>
            <w:tcBorders>
              <w:bottom w:val="single" w:sz="0" w:space="0" w:color="000000"/>
            </w:tcBorders>
          </w:tcPr>
          <w:p>
            <w:pPr>
              <w:pStyle w:val="TableParagraph"/>
              <w:spacing w:before="6"/>
              <w:jc w:val="left"/>
              <w:rPr>
                <w:b/>
                <w:sz w:val="19"/>
              </w:rPr>
            </w:pPr>
          </w:p>
          <w:p>
            <w:pPr>
              <w:pStyle w:val="TableParagraph"/>
              <w:spacing w:before="1"/>
              <w:ind w:right="304"/>
              <w:rPr>
                <w:sz w:val="18"/>
              </w:rPr>
            </w:pPr>
            <w:r>
              <w:rPr>
                <w:sz w:val="18"/>
              </w:rPr>
              <w:t>1,830</w:t>
            </w:r>
          </w:p>
        </w:tc>
        <w:tc>
          <w:tcPr>
            <w:tcW w:w="1326" w:type="dxa"/>
            <w:tcBorders>
              <w:bottom w:val="single" w:sz="0" w:space="0" w:color="000000"/>
            </w:tcBorders>
          </w:tcPr>
          <w:p>
            <w:pPr>
              <w:pStyle w:val="TableParagraph"/>
              <w:spacing w:before="6"/>
              <w:jc w:val="left"/>
              <w:rPr>
                <w:b/>
                <w:sz w:val="19"/>
              </w:rPr>
            </w:pPr>
          </w:p>
          <w:p>
            <w:pPr>
              <w:pStyle w:val="TableParagraph"/>
              <w:spacing w:before="1"/>
              <w:ind w:right="304"/>
              <w:rPr>
                <w:sz w:val="18"/>
              </w:rPr>
            </w:pPr>
            <w:r>
              <w:rPr>
                <w:w w:val="95"/>
                <w:sz w:val="18"/>
              </w:rPr>
              <w:t>19,722</w:t>
            </w:r>
          </w:p>
        </w:tc>
        <w:tc>
          <w:tcPr>
            <w:tcW w:w="1313" w:type="dxa"/>
            <w:tcBorders>
              <w:bottom w:val="single" w:sz="0" w:space="0" w:color="000000"/>
            </w:tcBorders>
          </w:tcPr>
          <w:p>
            <w:pPr>
              <w:pStyle w:val="TableParagraph"/>
              <w:spacing w:before="6"/>
              <w:jc w:val="left"/>
              <w:rPr>
                <w:b/>
                <w:sz w:val="19"/>
              </w:rPr>
            </w:pPr>
          </w:p>
          <w:p>
            <w:pPr>
              <w:pStyle w:val="TableParagraph"/>
              <w:spacing w:before="1"/>
              <w:ind w:right="291"/>
              <w:rPr>
                <w:sz w:val="18"/>
              </w:rPr>
            </w:pPr>
            <w:r>
              <w:rPr>
                <w:sz w:val="18"/>
              </w:rPr>
              <w:t>2,203</w:t>
            </w:r>
          </w:p>
        </w:tc>
        <w:tc>
          <w:tcPr>
            <w:tcW w:w="1121" w:type="dxa"/>
            <w:tcBorders>
              <w:bottom w:val="single" w:sz="0" w:space="0" w:color="000000"/>
            </w:tcBorders>
          </w:tcPr>
          <w:p>
            <w:pPr>
              <w:pStyle w:val="TableParagraph"/>
              <w:spacing w:before="6"/>
              <w:jc w:val="left"/>
              <w:rPr>
                <w:b/>
                <w:sz w:val="19"/>
              </w:rPr>
            </w:pPr>
          </w:p>
          <w:p>
            <w:pPr>
              <w:pStyle w:val="TableParagraph"/>
              <w:spacing w:before="1"/>
              <w:ind w:right="86"/>
              <w:rPr>
                <w:sz w:val="18"/>
              </w:rPr>
            </w:pPr>
            <w:r>
              <w:rPr>
                <w:w w:val="95"/>
                <w:sz w:val="18"/>
              </w:rPr>
              <w:t>23,755</w:t>
            </w:r>
          </w:p>
        </w:tc>
      </w:tr>
      <w:tr>
        <w:trPr>
          <w:trHeight w:val="353" w:hRule="exact"/>
        </w:trPr>
        <w:tc>
          <w:tcPr>
            <w:tcW w:w="3640" w:type="dxa"/>
          </w:tcPr>
          <w:p>
            <w:pPr>
              <w:pStyle w:val="TableParagraph"/>
              <w:spacing w:before="123"/>
              <w:ind w:left="35" w:right="1433"/>
              <w:jc w:val="left"/>
              <w:rPr>
                <w:b/>
                <w:sz w:val="18"/>
              </w:rPr>
            </w:pPr>
            <w:r>
              <w:rPr>
                <w:b/>
                <w:sz w:val="18"/>
              </w:rPr>
              <w:t>Closing balance</w:t>
            </w:r>
          </w:p>
        </w:tc>
        <w:tc>
          <w:tcPr>
            <w:tcW w:w="1544" w:type="dxa"/>
            <w:tcBorders>
              <w:top w:val="single" w:sz="0" w:space="0" w:color="000000"/>
              <w:bottom w:val="single" w:sz="0" w:space="0" w:color="000000"/>
            </w:tcBorders>
          </w:tcPr>
          <w:p>
            <w:pPr>
              <w:pStyle w:val="TableParagraph"/>
              <w:spacing w:before="122"/>
              <w:ind w:right="304"/>
              <w:rPr>
                <w:b/>
                <w:sz w:val="18"/>
              </w:rPr>
            </w:pPr>
            <w:r>
              <w:rPr>
                <w:b/>
                <w:sz w:val="18"/>
              </w:rPr>
              <w:t>303</w:t>
            </w:r>
          </w:p>
        </w:tc>
        <w:tc>
          <w:tcPr>
            <w:tcW w:w="1326" w:type="dxa"/>
            <w:tcBorders>
              <w:top w:val="single" w:sz="0" w:space="0" w:color="000000"/>
              <w:bottom w:val="single" w:sz="0" w:space="0" w:color="000000"/>
            </w:tcBorders>
          </w:tcPr>
          <w:p>
            <w:pPr>
              <w:pStyle w:val="TableParagraph"/>
              <w:spacing w:before="122"/>
              <w:ind w:right="304"/>
              <w:rPr>
                <w:b/>
                <w:sz w:val="18"/>
              </w:rPr>
            </w:pPr>
            <w:r>
              <w:rPr>
                <w:b/>
                <w:w w:val="95"/>
                <w:sz w:val="18"/>
              </w:rPr>
              <w:t>960,757</w:t>
            </w:r>
          </w:p>
        </w:tc>
        <w:tc>
          <w:tcPr>
            <w:tcW w:w="1313" w:type="dxa"/>
            <w:tcBorders>
              <w:top w:val="single" w:sz="0" w:space="0" w:color="000000"/>
              <w:bottom w:val="single" w:sz="0" w:space="0" w:color="000000"/>
            </w:tcBorders>
          </w:tcPr>
          <w:p>
            <w:pPr>
              <w:pStyle w:val="TableParagraph"/>
              <w:spacing w:before="122"/>
              <w:ind w:right="291"/>
              <w:rPr>
                <w:b/>
                <w:sz w:val="18"/>
              </w:rPr>
            </w:pPr>
            <w:r>
              <w:rPr>
                <w:b/>
                <w:w w:val="95"/>
                <w:sz w:val="18"/>
              </w:rPr>
              <w:t>91,349</w:t>
            </w:r>
          </w:p>
        </w:tc>
        <w:tc>
          <w:tcPr>
            <w:tcW w:w="1121" w:type="dxa"/>
            <w:tcBorders>
              <w:top w:val="single" w:sz="0" w:space="0" w:color="000000"/>
              <w:bottom w:val="single" w:sz="0" w:space="0" w:color="000000"/>
            </w:tcBorders>
          </w:tcPr>
          <w:p>
            <w:pPr>
              <w:pStyle w:val="TableParagraph"/>
              <w:spacing w:before="122"/>
              <w:ind w:right="86"/>
              <w:rPr>
                <w:b/>
                <w:sz w:val="18"/>
              </w:rPr>
            </w:pPr>
            <w:r>
              <w:rPr>
                <w:b/>
                <w:w w:val="95"/>
                <w:sz w:val="18"/>
              </w:rPr>
              <w:t>1,052,409</w:t>
            </w:r>
          </w:p>
        </w:tc>
      </w:tr>
    </w:tbl>
    <w:p>
      <w:pPr>
        <w:pStyle w:val="BodyText"/>
        <w:rPr>
          <w:b/>
          <w:sz w:val="20"/>
        </w:rPr>
      </w:pPr>
    </w:p>
    <w:p>
      <w:pPr>
        <w:pStyle w:val="BodyText"/>
        <w:spacing w:before="5"/>
        <w:rPr>
          <w:b/>
          <w:sz w:val="21"/>
        </w:rPr>
      </w:pPr>
    </w:p>
    <w:p>
      <w:pPr>
        <w:spacing w:after="0"/>
        <w:rPr>
          <w:sz w:val="21"/>
        </w:rPr>
        <w:sectPr>
          <w:pgSz w:w="12750" w:h="17680"/>
          <w:pgMar w:header="0" w:footer="927" w:top="2640" w:bottom="1120" w:left="0" w:right="0"/>
        </w:sectPr>
      </w:pPr>
    </w:p>
    <w:p>
      <w:pPr>
        <w:pStyle w:val="BodyText"/>
        <w:rPr>
          <w:b/>
        </w:rPr>
      </w:pPr>
    </w:p>
    <w:p>
      <w:pPr>
        <w:pStyle w:val="BodyText"/>
        <w:rPr>
          <w:b/>
        </w:rPr>
      </w:pPr>
    </w:p>
    <w:p>
      <w:pPr>
        <w:spacing w:before="143"/>
        <w:ind w:left="2436" w:right="-7" w:firstLine="0"/>
        <w:jc w:val="left"/>
        <w:rPr>
          <w:b/>
          <w:sz w:val="18"/>
        </w:rPr>
      </w:pPr>
      <w:r>
        <w:rPr>
          <w:b/>
          <w:sz w:val="18"/>
        </w:rPr>
        <w:t>Level 3 Fair Value Measurement</w:t>
      </w:r>
      <w:r>
        <w:rPr>
          <w:b/>
          <w:spacing w:val="-16"/>
          <w:sz w:val="18"/>
        </w:rPr>
        <w:t> </w:t>
      </w:r>
      <w:r>
        <w:rPr>
          <w:b/>
          <w:sz w:val="18"/>
        </w:rPr>
        <w:t>2015</w:t>
      </w:r>
    </w:p>
    <w:p>
      <w:pPr>
        <w:spacing w:before="77"/>
        <w:ind w:left="2224" w:right="0" w:hanging="2"/>
        <w:jc w:val="center"/>
        <w:rPr>
          <w:b/>
          <w:sz w:val="18"/>
        </w:rPr>
      </w:pPr>
      <w:r>
        <w:rPr/>
        <w:br w:type="column"/>
      </w:r>
      <w:r>
        <w:rPr>
          <w:b/>
          <w:sz w:val="18"/>
        </w:rPr>
        <w:t>Unlisted equity </w:t>
      </w:r>
      <w:r>
        <w:rPr>
          <w:b/>
          <w:spacing w:val="-1"/>
          <w:sz w:val="18"/>
        </w:rPr>
        <w:t>securities</w:t>
      </w:r>
    </w:p>
    <w:p>
      <w:pPr>
        <w:spacing w:before="66"/>
        <w:ind w:left="0" w:right="197" w:firstLine="0"/>
        <w:jc w:val="right"/>
        <w:rPr>
          <w:b/>
          <w:sz w:val="18"/>
        </w:rPr>
      </w:pPr>
      <w:r>
        <w:rPr>
          <w:b/>
          <w:sz w:val="18"/>
        </w:rPr>
        <w:t>$'000</w:t>
      </w:r>
    </w:p>
    <w:p>
      <w:pPr>
        <w:pStyle w:val="BodyText"/>
        <w:rPr>
          <w:b/>
        </w:rPr>
      </w:pPr>
      <w:r>
        <w:rPr/>
        <w:br w:type="column"/>
      </w:r>
      <w:r>
        <w:rPr>
          <w:b/>
        </w:rPr>
      </w:r>
    </w:p>
    <w:p>
      <w:pPr>
        <w:pStyle w:val="BodyText"/>
        <w:spacing w:before="7"/>
        <w:rPr>
          <w:b/>
          <w:sz w:val="24"/>
        </w:rPr>
      </w:pPr>
    </w:p>
    <w:p>
      <w:pPr>
        <w:spacing w:before="0"/>
        <w:ind w:left="455" w:right="0" w:firstLine="0"/>
        <w:jc w:val="center"/>
        <w:rPr>
          <w:b/>
          <w:sz w:val="18"/>
        </w:rPr>
      </w:pPr>
      <w:r>
        <w:rPr/>
        <w:drawing>
          <wp:anchor distT="0" distB="0" distL="0" distR="0" allowOverlap="1" layoutInCell="1" locked="0" behindDoc="0" simplePos="0" relativeHeight="5512">
            <wp:simplePos x="0" y="0"/>
            <wp:positionH relativeFrom="page">
              <wp:posOffset>-1587</wp:posOffset>
            </wp:positionH>
            <wp:positionV relativeFrom="paragraph">
              <wp:posOffset>-365837</wp:posOffset>
            </wp:positionV>
            <wp:extent cx="136525" cy="155575"/>
            <wp:effectExtent l="0" t="0" r="0" b="0"/>
            <wp:wrapNone/>
            <wp:docPr id="353" name="image13.png" descr=""/>
            <wp:cNvGraphicFramePr>
              <a:graphicFrameLocks noChangeAspect="1"/>
            </wp:cNvGraphicFramePr>
            <a:graphic>
              <a:graphicData uri="http://schemas.openxmlformats.org/drawingml/2006/picture">
                <pic:pic>
                  <pic:nvPicPr>
                    <pic:cNvPr id="354" name="image13.png"/>
                    <pic:cNvPicPr/>
                  </pic:nvPicPr>
                  <pic:blipFill>
                    <a:blip r:embed="rId18" cstate="print"/>
                    <a:stretch>
                      <a:fillRect/>
                    </a:stretch>
                  </pic:blipFill>
                  <pic:spPr>
                    <a:xfrm>
                      <a:off x="0" y="0"/>
                      <a:ext cx="136525" cy="155575"/>
                    </a:xfrm>
                    <a:prstGeom prst="rect">
                      <a:avLst/>
                    </a:prstGeom>
                  </pic:spPr>
                </pic:pic>
              </a:graphicData>
            </a:graphic>
          </wp:anchor>
        </w:drawing>
      </w:r>
      <w:r>
        <w:rPr>
          <w:b/>
          <w:sz w:val="18"/>
        </w:rPr>
        <w:t>Buildings</w:t>
      </w:r>
    </w:p>
    <w:p>
      <w:pPr>
        <w:spacing w:before="66"/>
        <w:ind w:left="453" w:right="0" w:firstLine="0"/>
        <w:jc w:val="center"/>
        <w:rPr>
          <w:b/>
          <w:sz w:val="18"/>
        </w:rPr>
      </w:pPr>
      <w:r>
        <w:rPr>
          <w:b/>
          <w:sz w:val="18"/>
        </w:rPr>
        <w:t>$'000</w:t>
      </w:r>
    </w:p>
    <w:p>
      <w:pPr>
        <w:pStyle w:val="BodyText"/>
        <w:rPr>
          <w:b/>
        </w:rPr>
      </w:pPr>
      <w:r>
        <w:rPr/>
        <w:br w:type="column"/>
      </w:r>
      <w:r>
        <w:rPr>
          <w:b/>
        </w:rPr>
      </w:r>
    </w:p>
    <w:p>
      <w:pPr>
        <w:pStyle w:val="BodyText"/>
        <w:spacing w:before="7"/>
        <w:rPr>
          <w:b/>
          <w:sz w:val="24"/>
        </w:rPr>
      </w:pPr>
    </w:p>
    <w:p>
      <w:pPr>
        <w:spacing w:before="0"/>
        <w:ind w:left="289" w:right="0" w:firstLine="0"/>
        <w:jc w:val="center"/>
        <w:rPr>
          <w:b/>
          <w:sz w:val="18"/>
        </w:rPr>
      </w:pPr>
      <w:r>
        <w:rPr>
          <w:b/>
          <w:spacing w:val="-1"/>
          <w:sz w:val="18"/>
        </w:rPr>
        <w:t>Infrastructure</w:t>
      </w:r>
    </w:p>
    <w:p>
      <w:pPr>
        <w:spacing w:before="66"/>
        <w:ind w:left="288" w:right="0" w:firstLine="0"/>
        <w:jc w:val="center"/>
        <w:rPr>
          <w:b/>
          <w:sz w:val="18"/>
        </w:rPr>
      </w:pPr>
      <w:r>
        <w:rPr>
          <w:b/>
          <w:sz w:val="18"/>
        </w:rPr>
        <w:t>$'000</w:t>
      </w:r>
    </w:p>
    <w:p>
      <w:pPr>
        <w:pStyle w:val="BodyText"/>
        <w:rPr>
          <w:b/>
        </w:rPr>
      </w:pPr>
      <w:r>
        <w:rPr/>
        <w:br w:type="column"/>
      </w:r>
      <w:r>
        <w:rPr>
          <w:b/>
        </w:rPr>
      </w:r>
    </w:p>
    <w:p>
      <w:pPr>
        <w:pStyle w:val="BodyText"/>
        <w:spacing w:before="7"/>
        <w:rPr>
          <w:b/>
          <w:sz w:val="24"/>
        </w:rPr>
      </w:pPr>
    </w:p>
    <w:p>
      <w:pPr>
        <w:spacing w:before="0"/>
        <w:ind w:left="486" w:right="0" w:firstLine="0"/>
        <w:jc w:val="left"/>
        <w:rPr>
          <w:b/>
          <w:sz w:val="18"/>
        </w:rPr>
      </w:pPr>
      <w:r>
        <w:rPr/>
        <w:drawing>
          <wp:anchor distT="0" distB="0" distL="0" distR="0" allowOverlap="1" layoutInCell="1" locked="0" behindDoc="0" simplePos="0" relativeHeight="5536">
            <wp:simplePos x="0" y="0"/>
            <wp:positionH relativeFrom="page">
              <wp:posOffset>7958429</wp:posOffset>
            </wp:positionH>
            <wp:positionV relativeFrom="paragraph">
              <wp:posOffset>-365837</wp:posOffset>
            </wp:positionV>
            <wp:extent cx="135953" cy="155575"/>
            <wp:effectExtent l="0" t="0" r="0" b="0"/>
            <wp:wrapNone/>
            <wp:docPr id="355" name="image15.png" descr=""/>
            <wp:cNvGraphicFramePr>
              <a:graphicFrameLocks noChangeAspect="1"/>
            </wp:cNvGraphicFramePr>
            <a:graphic>
              <a:graphicData uri="http://schemas.openxmlformats.org/drawingml/2006/picture">
                <pic:pic>
                  <pic:nvPicPr>
                    <pic:cNvPr id="356" name="image15.png"/>
                    <pic:cNvPicPr/>
                  </pic:nvPicPr>
                  <pic:blipFill>
                    <a:blip r:embed="rId20" cstate="print"/>
                    <a:stretch>
                      <a:fillRect/>
                    </a:stretch>
                  </pic:blipFill>
                  <pic:spPr>
                    <a:xfrm>
                      <a:off x="0" y="0"/>
                      <a:ext cx="135953" cy="155575"/>
                    </a:xfrm>
                    <a:prstGeom prst="rect">
                      <a:avLst/>
                    </a:prstGeom>
                  </pic:spPr>
                </pic:pic>
              </a:graphicData>
            </a:graphic>
          </wp:anchor>
        </w:drawing>
      </w:r>
      <w:r>
        <w:rPr>
          <w:b/>
          <w:sz w:val="18"/>
        </w:rPr>
        <w:t>Total</w:t>
      </w:r>
    </w:p>
    <w:p>
      <w:pPr>
        <w:spacing w:before="66"/>
        <w:ind w:left="480" w:right="0" w:firstLine="0"/>
        <w:jc w:val="left"/>
        <w:rPr>
          <w:b/>
          <w:sz w:val="18"/>
        </w:rPr>
      </w:pPr>
      <w:r>
        <w:rPr>
          <w:b/>
          <w:sz w:val="18"/>
        </w:rPr>
        <w:t>$'000</w:t>
      </w:r>
    </w:p>
    <w:p>
      <w:pPr>
        <w:spacing w:after="0"/>
        <w:jc w:val="left"/>
        <w:rPr>
          <w:sz w:val="18"/>
        </w:rPr>
        <w:sectPr>
          <w:type w:val="continuous"/>
          <w:pgSz w:w="12750" w:h="17680"/>
          <w:pgMar w:top="1660" w:bottom="0" w:left="0" w:right="0"/>
          <w:cols w:num="5" w:equalWidth="0">
            <w:col w:w="4044" w:space="40"/>
            <w:col w:w="3064" w:space="40"/>
            <w:col w:w="1279" w:space="40"/>
            <w:col w:w="1459" w:space="40"/>
            <w:col w:w="2744"/>
          </w:cols>
        </w:sectPr>
      </w:pPr>
    </w:p>
    <w:p>
      <w:pPr>
        <w:pStyle w:val="BodyText"/>
        <w:spacing w:before="1"/>
        <w:rPr>
          <w:b/>
          <w:sz w:val="3"/>
        </w:rPr>
      </w:pPr>
    </w:p>
    <w:tbl>
      <w:tblPr>
        <w:tblW w:w="0" w:type="auto"/>
        <w:jc w:val="left"/>
        <w:tblInd w:w="240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640"/>
        <w:gridCol w:w="1576"/>
        <w:gridCol w:w="1406"/>
        <w:gridCol w:w="1201"/>
        <w:gridCol w:w="1121"/>
      </w:tblGrid>
      <w:tr>
        <w:trPr>
          <w:trHeight w:val="271" w:hRule="exact"/>
        </w:trPr>
        <w:tc>
          <w:tcPr>
            <w:tcW w:w="3640" w:type="dxa"/>
          </w:tcPr>
          <w:p>
            <w:pPr>
              <w:pStyle w:val="TableParagraph"/>
              <w:spacing w:before="27"/>
              <w:ind w:left="35" w:right="1433"/>
              <w:jc w:val="left"/>
              <w:rPr>
                <w:sz w:val="18"/>
              </w:rPr>
            </w:pPr>
            <w:r>
              <w:rPr>
                <w:sz w:val="18"/>
              </w:rPr>
              <w:t>Opening balance</w:t>
            </w:r>
          </w:p>
        </w:tc>
        <w:tc>
          <w:tcPr>
            <w:tcW w:w="1576" w:type="dxa"/>
          </w:tcPr>
          <w:p>
            <w:pPr>
              <w:pStyle w:val="TableParagraph"/>
              <w:spacing w:before="26"/>
              <w:ind w:right="336"/>
              <w:rPr>
                <w:sz w:val="18"/>
              </w:rPr>
            </w:pPr>
            <w:r>
              <w:rPr>
                <w:sz w:val="18"/>
              </w:rPr>
              <w:t>5,196</w:t>
            </w:r>
          </w:p>
        </w:tc>
        <w:tc>
          <w:tcPr>
            <w:tcW w:w="1406" w:type="dxa"/>
          </w:tcPr>
          <w:p>
            <w:pPr>
              <w:pStyle w:val="TableParagraph"/>
              <w:spacing w:before="26"/>
              <w:ind w:right="416"/>
              <w:rPr>
                <w:sz w:val="18"/>
              </w:rPr>
            </w:pPr>
            <w:r>
              <w:rPr>
                <w:w w:val="95"/>
                <w:sz w:val="18"/>
              </w:rPr>
              <w:t>825,344</w:t>
            </w:r>
          </w:p>
        </w:tc>
        <w:tc>
          <w:tcPr>
            <w:tcW w:w="1201" w:type="dxa"/>
          </w:tcPr>
          <w:p>
            <w:pPr>
              <w:pStyle w:val="TableParagraph"/>
              <w:spacing w:before="26"/>
              <w:ind w:right="291"/>
              <w:rPr>
                <w:sz w:val="18"/>
              </w:rPr>
            </w:pPr>
            <w:r>
              <w:rPr>
                <w:w w:val="95"/>
                <w:sz w:val="18"/>
              </w:rPr>
              <w:t>81,337</w:t>
            </w:r>
          </w:p>
        </w:tc>
        <w:tc>
          <w:tcPr>
            <w:tcW w:w="1121" w:type="dxa"/>
          </w:tcPr>
          <w:p>
            <w:pPr>
              <w:pStyle w:val="TableParagraph"/>
              <w:spacing w:before="26"/>
              <w:ind w:right="86"/>
              <w:rPr>
                <w:sz w:val="18"/>
              </w:rPr>
            </w:pPr>
            <w:r>
              <w:rPr>
                <w:w w:val="95"/>
                <w:sz w:val="18"/>
              </w:rPr>
              <w:t>911,877</w:t>
            </w:r>
          </w:p>
        </w:tc>
      </w:tr>
      <w:tr>
        <w:trPr>
          <w:trHeight w:val="264" w:hRule="exact"/>
        </w:trPr>
        <w:tc>
          <w:tcPr>
            <w:tcW w:w="3640" w:type="dxa"/>
          </w:tcPr>
          <w:p>
            <w:pPr>
              <w:pStyle w:val="TableParagraph"/>
              <w:spacing w:before="19"/>
              <w:ind w:left="35" w:right="1433"/>
              <w:jc w:val="left"/>
              <w:rPr>
                <w:sz w:val="18"/>
              </w:rPr>
            </w:pPr>
            <w:r>
              <w:rPr>
                <w:sz w:val="18"/>
              </w:rPr>
              <w:t>Acquisitions</w:t>
            </w:r>
          </w:p>
        </w:tc>
        <w:tc>
          <w:tcPr>
            <w:tcW w:w="1576" w:type="dxa"/>
          </w:tcPr>
          <w:p>
            <w:pPr>
              <w:pStyle w:val="TableParagraph"/>
              <w:spacing w:before="18"/>
              <w:ind w:right="337"/>
              <w:rPr>
                <w:sz w:val="18"/>
              </w:rPr>
            </w:pPr>
            <w:r>
              <w:rPr>
                <w:w w:val="99"/>
                <w:sz w:val="18"/>
              </w:rPr>
              <w:t>-</w:t>
            </w:r>
          </w:p>
        </w:tc>
        <w:tc>
          <w:tcPr>
            <w:tcW w:w="1406" w:type="dxa"/>
          </w:tcPr>
          <w:p>
            <w:pPr>
              <w:pStyle w:val="TableParagraph"/>
              <w:spacing w:before="18"/>
              <w:ind w:right="416"/>
              <w:rPr>
                <w:sz w:val="18"/>
              </w:rPr>
            </w:pPr>
            <w:r>
              <w:rPr>
                <w:w w:val="95"/>
                <w:sz w:val="18"/>
              </w:rPr>
              <w:t>96,688</w:t>
            </w:r>
          </w:p>
        </w:tc>
        <w:tc>
          <w:tcPr>
            <w:tcW w:w="1201" w:type="dxa"/>
          </w:tcPr>
          <w:p>
            <w:pPr>
              <w:pStyle w:val="TableParagraph"/>
              <w:spacing w:before="18"/>
              <w:ind w:right="291"/>
              <w:rPr>
                <w:sz w:val="18"/>
              </w:rPr>
            </w:pPr>
            <w:r>
              <w:rPr>
                <w:sz w:val="18"/>
              </w:rPr>
              <w:t>5,295</w:t>
            </w:r>
          </w:p>
        </w:tc>
        <w:tc>
          <w:tcPr>
            <w:tcW w:w="1121" w:type="dxa"/>
          </w:tcPr>
          <w:p>
            <w:pPr>
              <w:pStyle w:val="TableParagraph"/>
              <w:spacing w:before="18"/>
              <w:ind w:right="86"/>
              <w:rPr>
                <w:sz w:val="18"/>
              </w:rPr>
            </w:pPr>
            <w:r>
              <w:rPr>
                <w:w w:val="95"/>
                <w:sz w:val="18"/>
              </w:rPr>
              <w:t>101,983</w:t>
            </w:r>
          </w:p>
        </w:tc>
      </w:tr>
      <w:tr>
        <w:trPr>
          <w:trHeight w:val="264" w:hRule="exact"/>
        </w:trPr>
        <w:tc>
          <w:tcPr>
            <w:tcW w:w="3640" w:type="dxa"/>
          </w:tcPr>
          <w:p>
            <w:pPr>
              <w:pStyle w:val="TableParagraph"/>
              <w:spacing w:before="19"/>
              <w:ind w:left="35" w:right="1433"/>
              <w:jc w:val="left"/>
              <w:rPr>
                <w:sz w:val="18"/>
              </w:rPr>
            </w:pPr>
            <w:r>
              <w:rPr>
                <w:sz w:val="18"/>
              </w:rPr>
              <w:t>Disposals</w:t>
            </w:r>
          </w:p>
        </w:tc>
        <w:tc>
          <w:tcPr>
            <w:tcW w:w="1576" w:type="dxa"/>
          </w:tcPr>
          <w:p>
            <w:pPr>
              <w:pStyle w:val="TableParagraph"/>
              <w:spacing w:before="18"/>
              <w:ind w:right="337"/>
              <w:rPr>
                <w:sz w:val="18"/>
              </w:rPr>
            </w:pPr>
            <w:r>
              <w:rPr>
                <w:w w:val="99"/>
                <w:sz w:val="18"/>
              </w:rPr>
              <w:t>-</w:t>
            </w:r>
          </w:p>
        </w:tc>
        <w:tc>
          <w:tcPr>
            <w:tcW w:w="1406" w:type="dxa"/>
          </w:tcPr>
          <w:p>
            <w:pPr>
              <w:pStyle w:val="TableParagraph"/>
              <w:spacing w:before="18"/>
              <w:ind w:right="357"/>
              <w:rPr>
                <w:sz w:val="18"/>
              </w:rPr>
            </w:pPr>
            <w:r>
              <w:rPr>
                <w:w w:val="95"/>
                <w:sz w:val="18"/>
              </w:rPr>
              <w:t>(4,998)</w:t>
            </w:r>
          </w:p>
        </w:tc>
        <w:tc>
          <w:tcPr>
            <w:tcW w:w="1201" w:type="dxa"/>
          </w:tcPr>
          <w:p>
            <w:pPr>
              <w:pStyle w:val="TableParagraph"/>
              <w:spacing w:before="18"/>
              <w:ind w:right="291"/>
              <w:rPr>
                <w:sz w:val="18"/>
              </w:rPr>
            </w:pPr>
            <w:r>
              <w:rPr>
                <w:w w:val="99"/>
                <w:sz w:val="18"/>
              </w:rPr>
              <w:t>-</w:t>
            </w:r>
          </w:p>
        </w:tc>
        <w:tc>
          <w:tcPr>
            <w:tcW w:w="1121" w:type="dxa"/>
          </w:tcPr>
          <w:p>
            <w:pPr>
              <w:pStyle w:val="TableParagraph"/>
              <w:spacing w:before="18"/>
              <w:ind w:right="27"/>
              <w:rPr>
                <w:sz w:val="18"/>
              </w:rPr>
            </w:pPr>
            <w:r>
              <w:rPr>
                <w:w w:val="95"/>
                <w:sz w:val="18"/>
              </w:rPr>
              <w:t>(4,998)</w:t>
            </w:r>
          </w:p>
        </w:tc>
      </w:tr>
      <w:tr>
        <w:trPr>
          <w:trHeight w:val="264" w:hRule="exact"/>
        </w:trPr>
        <w:tc>
          <w:tcPr>
            <w:tcW w:w="3640" w:type="dxa"/>
          </w:tcPr>
          <w:p>
            <w:pPr>
              <w:pStyle w:val="TableParagraph"/>
              <w:spacing w:before="19"/>
              <w:ind w:left="35" w:right="1433"/>
              <w:jc w:val="left"/>
              <w:rPr>
                <w:sz w:val="18"/>
              </w:rPr>
            </w:pPr>
            <w:r>
              <w:rPr>
                <w:sz w:val="18"/>
              </w:rPr>
              <w:t>Sales</w:t>
            </w:r>
          </w:p>
        </w:tc>
        <w:tc>
          <w:tcPr>
            <w:tcW w:w="1576" w:type="dxa"/>
          </w:tcPr>
          <w:p>
            <w:pPr>
              <w:pStyle w:val="TableParagraph"/>
              <w:spacing w:before="18"/>
              <w:ind w:right="337"/>
              <w:rPr>
                <w:sz w:val="18"/>
              </w:rPr>
            </w:pPr>
            <w:r>
              <w:rPr>
                <w:w w:val="99"/>
                <w:sz w:val="18"/>
              </w:rPr>
              <w:t>-</w:t>
            </w:r>
          </w:p>
        </w:tc>
        <w:tc>
          <w:tcPr>
            <w:tcW w:w="1406" w:type="dxa"/>
          </w:tcPr>
          <w:p>
            <w:pPr>
              <w:pStyle w:val="TableParagraph"/>
              <w:spacing w:before="18"/>
              <w:ind w:right="357"/>
              <w:rPr>
                <w:sz w:val="18"/>
              </w:rPr>
            </w:pPr>
            <w:r>
              <w:rPr>
                <w:sz w:val="18"/>
              </w:rPr>
              <w:t>(11)</w:t>
            </w:r>
          </w:p>
        </w:tc>
        <w:tc>
          <w:tcPr>
            <w:tcW w:w="1201" w:type="dxa"/>
          </w:tcPr>
          <w:p>
            <w:pPr>
              <w:pStyle w:val="TableParagraph"/>
              <w:spacing w:before="18"/>
              <w:ind w:right="291"/>
              <w:rPr>
                <w:sz w:val="18"/>
              </w:rPr>
            </w:pPr>
            <w:r>
              <w:rPr>
                <w:w w:val="99"/>
                <w:sz w:val="18"/>
              </w:rPr>
              <w:t>-</w:t>
            </w:r>
          </w:p>
        </w:tc>
        <w:tc>
          <w:tcPr>
            <w:tcW w:w="1121" w:type="dxa"/>
          </w:tcPr>
          <w:p>
            <w:pPr>
              <w:pStyle w:val="TableParagraph"/>
              <w:spacing w:before="18"/>
              <w:ind w:right="27"/>
              <w:rPr>
                <w:sz w:val="18"/>
              </w:rPr>
            </w:pPr>
            <w:r>
              <w:rPr>
                <w:sz w:val="18"/>
              </w:rPr>
              <w:t>(11)</w:t>
            </w:r>
          </w:p>
        </w:tc>
      </w:tr>
      <w:tr>
        <w:trPr>
          <w:trHeight w:val="470" w:hRule="exact"/>
        </w:trPr>
        <w:tc>
          <w:tcPr>
            <w:tcW w:w="3640" w:type="dxa"/>
          </w:tcPr>
          <w:p>
            <w:pPr>
              <w:pStyle w:val="TableParagraph"/>
              <w:spacing w:before="18"/>
              <w:ind w:left="35" w:right="1433"/>
              <w:jc w:val="left"/>
              <w:rPr>
                <w:sz w:val="18"/>
              </w:rPr>
            </w:pPr>
            <w:r>
              <w:rPr>
                <w:sz w:val="18"/>
              </w:rPr>
              <w:t>Recognised in profit or loss*</w:t>
            </w:r>
          </w:p>
        </w:tc>
        <w:tc>
          <w:tcPr>
            <w:tcW w:w="1576" w:type="dxa"/>
          </w:tcPr>
          <w:p>
            <w:pPr>
              <w:pStyle w:val="TableParagraph"/>
              <w:spacing w:before="6"/>
              <w:jc w:val="left"/>
              <w:rPr>
                <w:b/>
                <w:sz w:val="19"/>
              </w:rPr>
            </w:pPr>
          </w:p>
          <w:p>
            <w:pPr>
              <w:pStyle w:val="TableParagraph"/>
              <w:ind w:right="337"/>
              <w:rPr>
                <w:sz w:val="18"/>
              </w:rPr>
            </w:pPr>
            <w:r>
              <w:rPr>
                <w:w w:val="99"/>
                <w:sz w:val="18"/>
              </w:rPr>
              <w:t>-</w:t>
            </w:r>
          </w:p>
        </w:tc>
        <w:tc>
          <w:tcPr>
            <w:tcW w:w="1406" w:type="dxa"/>
          </w:tcPr>
          <w:p>
            <w:pPr>
              <w:pStyle w:val="TableParagraph"/>
              <w:spacing w:before="6"/>
              <w:jc w:val="left"/>
              <w:rPr>
                <w:b/>
                <w:sz w:val="19"/>
              </w:rPr>
            </w:pPr>
          </w:p>
          <w:p>
            <w:pPr>
              <w:pStyle w:val="TableParagraph"/>
              <w:ind w:right="356"/>
              <w:rPr>
                <w:sz w:val="18"/>
              </w:rPr>
            </w:pPr>
            <w:r>
              <w:rPr>
                <w:w w:val="95"/>
                <w:sz w:val="18"/>
              </w:rPr>
              <w:t>(21,561)</w:t>
            </w:r>
          </w:p>
        </w:tc>
        <w:tc>
          <w:tcPr>
            <w:tcW w:w="1201" w:type="dxa"/>
          </w:tcPr>
          <w:p>
            <w:pPr>
              <w:pStyle w:val="TableParagraph"/>
              <w:spacing w:before="6"/>
              <w:jc w:val="left"/>
              <w:rPr>
                <w:b/>
                <w:sz w:val="19"/>
              </w:rPr>
            </w:pPr>
          </w:p>
          <w:p>
            <w:pPr>
              <w:pStyle w:val="TableParagraph"/>
              <w:ind w:right="232"/>
              <w:rPr>
                <w:sz w:val="18"/>
              </w:rPr>
            </w:pPr>
            <w:r>
              <w:rPr>
                <w:w w:val="95"/>
                <w:sz w:val="18"/>
              </w:rPr>
              <w:t>(2,489)</w:t>
            </w:r>
          </w:p>
        </w:tc>
        <w:tc>
          <w:tcPr>
            <w:tcW w:w="1121" w:type="dxa"/>
          </w:tcPr>
          <w:p>
            <w:pPr>
              <w:pStyle w:val="TableParagraph"/>
              <w:spacing w:before="6"/>
              <w:jc w:val="left"/>
              <w:rPr>
                <w:b/>
                <w:sz w:val="19"/>
              </w:rPr>
            </w:pPr>
          </w:p>
          <w:p>
            <w:pPr>
              <w:pStyle w:val="TableParagraph"/>
              <w:ind w:right="27"/>
              <w:rPr>
                <w:sz w:val="18"/>
              </w:rPr>
            </w:pPr>
            <w:r>
              <w:rPr>
                <w:w w:val="95"/>
                <w:sz w:val="18"/>
              </w:rPr>
              <w:t>(24,050)</w:t>
            </w:r>
          </w:p>
        </w:tc>
      </w:tr>
      <w:tr>
        <w:trPr>
          <w:trHeight w:val="469" w:hRule="exact"/>
        </w:trPr>
        <w:tc>
          <w:tcPr>
            <w:tcW w:w="3640" w:type="dxa"/>
          </w:tcPr>
          <w:p>
            <w:pPr>
              <w:pStyle w:val="TableParagraph"/>
              <w:spacing w:before="19"/>
              <w:ind w:left="35" w:right="1433"/>
              <w:jc w:val="left"/>
              <w:rPr>
                <w:sz w:val="18"/>
              </w:rPr>
            </w:pPr>
            <w:r>
              <w:rPr>
                <w:sz w:val="18"/>
              </w:rPr>
              <w:t>Recognised in other comprehensive income</w:t>
            </w:r>
          </w:p>
        </w:tc>
        <w:tc>
          <w:tcPr>
            <w:tcW w:w="1576" w:type="dxa"/>
            <w:tcBorders>
              <w:bottom w:val="single" w:sz="0" w:space="0" w:color="000000"/>
            </w:tcBorders>
          </w:tcPr>
          <w:p>
            <w:pPr>
              <w:pStyle w:val="TableParagraph"/>
              <w:spacing w:before="6"/>
              <w:jc w:val="left"/>
              <w:rPr>
                <w:b/>
                <w:sz w:val="19"/>
              </w:rPr>
            </w:pPr>
          </w:p>
          <w:p>
            <w:pPr>
              <w:pStyle w:val="TableParagraph"/>
              <w:spacing w:before="1"/>
              <w:ind w:right="336"/>
              <w:rPr>
                <w:sz w:val="18"/>
              </w:rPr>
            </w:pPr>
            <w:r>
              <w:rPr>
                <w:sz w:val="18"/>
              </w:rPr>
              <w:t>4,304</w:t>
            </w:r>
          </w:p>
        </w:tc>
        <w:tc>
          <w:tcPr>
            <w:tcW w:w="1406" w:type="dxa"/>
            <w:tcBorders>
              <w:bottom w:val="single" w:sz="0" w:space="0" w:color="000000"/>
            </w:tcBorders>
          </w:tcPr>
          <w:p>
            <w:pPr>
              <w:pStyle w:val="TableParagraph"/>
              <w:spacing w:before="6"/>
              <w:jc w:val="left"/>
              <w:rPr>
                <w:b/>
                <w:sz w:val="19"/>
              </w:rPr>
            </w:pPr>
          </w:p>
          <w:p>
            <w:pPr>
              <w:pStyle w:val="TableParagraph"/>
              <w:spacing w:before="1"/>
              <w:ind w:right="416"/>
              <w:rPr>
                <w:sz w:val="18"/>
              </w:rPr>
            </w:pPr>
            <w:r>
              <w:rPr>
                <w:w w:val="95"/>
                <w:sz w:val="18"/>
              </w:rPr>
              <w:t>15,199</w:t>
            </w:r>
          </w:p>
        </w:tc>
        <w:tc>
          <w:tcPr>
            <w:tcW w:w="1201" w:type="dxa"/>
            <w:tcBorders>
              <w:bottom w:val="single" w:sz="0" w:space="0" w:color="000000"/>
            </w:tcBorders>
          </w:tcPr>
          <w:p>
            <w:pPr>
              <w:pStyle w:val="TableParagraph"/>
              <w:spacing w:before="6"/>
              <w:jc w:val="left"/>
              <w:rPr>
                <w:b/>
                <w:sz w:val="19"/>
              </w:rPr>
            </w:pPr>
          </w:p>
          <w:p>
            <w:pPr>
              <w:pStyle w:val="TableParagraph"/>
              <w:spacing w:before="1"/>
              <w:ind w:right="291"/>
              <w:rPr>
                <w:sz w:val="18"/>
              </w:rPr>
            </w:pPr>
            <w:r>
              <w:rPr>
                <w:sz w:val="18"/>
              </w:rPr>
              <w:t>1,252</w:t>
            </w:r>
          </w:p>
        </w:tc>
        <w:tc>
          <w:tcPr>
            <w:tcW w:w="1121" w:type="dxa"/>
            <w:tcBorders>
              <w:bottom w:val="single" w:sz="0" w:space="0" w:color="000000"/>
            </w:tcBorders>
          </w:tcPr>
          <w:p>
            <w:pPr>
              <w:pStyle w:val="TableParagraph"/>
              <w:spacing w:before="6"/>
              <w:jc w:val="left"/>
              <w:rPr>
                <w:b/>
                <w:sz w:val="19"/>
              </w:rPr>
            </w:pPr>
          </w:p>
          <w:p>
            <w:pPr>
              <w:pStyle w:val="TableParagraph"/>
              <w:spacing w:before="1"/>
              <w:ind w:right="86"/>
              <w:rPr>
                <w:sz w:val="18"/>
              </w:rPr>
            </w:pPr>
            <w:r>
              <w:rPr>
                <w:w w:val="95"/>
                <w:sz w:val="18"/>
              </w:rPr>
              <w:t>20,755</w:t>
            </w:r>
          </w:p>
        </w:tc>
      </w:tr>
      <w:tr>
        <w:trPr>
          <w:trHeight w:val="353" w:hRule="exact"/>
        </w:trPr>
        <w:tc>
          <w:tcPr>
            <w:tcW w:w="3640" w:type="dxa"/>
          </w:tcPr>
          <w:p>
            <w:pPr>
              <w:pStyle w:val="TableParagraph"/>
              <w:spacing w:before="123"/>
              <w:ind w:left="35" w:right="1433"/>
              <w:jc w:val="left"/>
              <w:rPr>
                <w:b/>
                <w:sz w:val="18"/>
              </w:rPr>
            </w:pPr>
            <w:r>
              <w:rPr>
                <w:b/>
                <w:sz w:val="18"/>
              </w:rPr>
              <w:t>Closing balance</w:t>
            </w:r>
          </w:p>
        </w:tc>
        <w:tc>
          <w:tcPr>
            <w:tcW w:w="1576" w:type="dxa"/>
            <w:tcBorders>
              <w:top w:val="single" w:sz="0" w:space="0" w:color="000000"/>
              <w:bottom w:val="single" w:sz="0" w:space="0" w:color="000000"/>
            </w:tcBorders>
          </w:tcPr>
          <w:p>
            <w:pPr>
              <w:pStyle w:val="TableParagraph"/>
              <w:spacing w:before="122"/>
              <w:ind w:right="336"/>
              <w:rPr>
                <w:sz w:val="18"/>
              </w:rPr>
            </w:pPr>
            <w:r>
              <w:rPr>
                <w:sz w:val="18"/>
              </w:rPr>
              <w:t>9,500</w:t>
            </w:r>
          </w:p>
        </w:tc>
        <w:tc>
          <w:tcPr>
            <w:tcW w:w="1406" w:type="dxa"/>
            <w:tcBorders>
              <w:top w:val="single" w:sz="0" w:space="0" w:color="000000"/>
              <w:bottom w:val="single" w:sz="0" w:space="0" w:color="000000"/>
            </w:tcBorders>
          </w:tcPr>
          <w:p>
            <w:pPr>
              <w:pStyle w:val="TableParagraph"/>
              <w:spacing w:before="122"/>
              <w:ind w:right="416"/>
              <w:rPr>
                <w:sz w:val="18"/>
              </w:rPr>
            </w:pPr>
            <w:r>
              <w:rPr>
                <w:w w:val="95"/>
                <w:sz w:val="18"/>
              </w:rPr>
              <w:t>910,661</w:t>
            </w:r>
          </w:p>
        </w:tc>
        <w:tc>
          <w:tcPr>
            <w:tcW w:w="1201" w:type="dxa"/>
            <w:tcBorders>
              <w:top w:val="single" w:sz="0" w:space="0" w:color="000000"/>
              <w:bottom w:val="single" w:sz="0" w:space="0" w:color="000000"/>
            </w:tcBorders>
          </w:tcPr>
          <w:p>
            <w:pPr>
              <w:pStyle w:val="TableParagraph"/>
              <w:spacing w:before="122"/>
              <w:ind w:right="291"/>
              <w:rPr>
                <w:sz w:val="18"/>
              </w:rPr>
            </w:pPr>
            <w:r>
              <w:rPr>
                <w:w w:val="95"/>
                <w:sz w:val="18"/>
              </w:rPr>
              <w:t>85,395</w:t>
            </w:r>
          </w:p>
        </w:tc>
        <w:tc>
          <w:tcPr>
            <w:tcW w:w="1121" w:type="dxa"/>
            <w:tcBorders>
              <w:top w:val="single" w:sz="0" w:space="0" w:color="000000"/>
              <w:bottom w:val="single" w:sz="0" w:space="0" w:color="000000"/>
            </w:tcBorders>
          </w:tcPr>
          <w:p>
            <w:pPr>
              <w:pStyle w:val="TableParagraph"/>
              <w:spacing w:before="122"/>
              <w:ind w:right="86"/>
              <w:rPr>
                <w:sz w:val="18"/>
              </w:rPr>
            </w:pPr>
            <w:r>
              <w:rPr>
                <w:w w:val="95"/>
                <w:sz w:val="18"/>
              </w:rPr>
              <w:t>1,005,556</w:t>
            </w:r>
          </w:p>
        </w:tc>
      </w:tr>
    </w:tbl>
    <w:p>
      <w:pPr>
        <w:pStyle w:val="BodyText"/>
        <w:spacing w:before="7"/>
        <w:rPr>
          <w:b/>
          <w:sz w:val="20"/>
        </w:rPr>
      </w:pPr>
    </w:p>
    <w:p>
      <w:pPr>
        <w:pStyle w:val="BodyText"/>
        <w:spacing w:before="77"/>
        <w:ind w:left="2390" w:right="1455"/>
      </w:pPr>
      <w:r>
        <w:rPr/>
        <w:t>* This includes nil gains / (losses) (2015: Nil) attributable to the change in unrealised gains / (losses) recognised in profit or loss attributable to unlisted securities, and $25.924M (2015: $21.005M) attributable to depreciation recognised in profit or loss.</w:t>
      </w:r>
    </w:p>
    <w:p>
      <w:pPr>
        <w:pStyle w:val="BodyText"/>
        <w:spacing w:before="11"/>
        <w:rPr>
          <w:sz w:val="24"/>
        </w:rPr>
      </w:pPr>
    </w:p>
    <w:p>
      <w:pPr>
        <w:pStyle w:val="ListParagraph"/>
        <w:numPr>
          <w:ilvl w:val="1"/>
          <w:numId w:val="37"/>
        </w:numPr>
        <w:tabs>
          <w:tab w:pos="2601" w:val="left" w:leader="none"/>
        </w:tabs>
        <w:spacing w:line="240" w:lineRule="auto" w:before="0" w:after="0"/>
        <w:ind w:left="2600" w:right="0" w:hanging="210"/>
        <w:jc w:val="left"/>
        <w:rPr>
          <w:sz w:val="18"/>
        </w:rPr>
      </w:pPr>
      <w:r>
        <w:rPr>
          <w:sz w:val="18"/>
        </w:rPr>
        <w:t>Transfers</w:t>
      </w:r>
      <w:r>
        <w:rPr>
          <w:spacing w:val="-5"/>
          <w:sz w:val="18"/>
        </w:rPr>
        <w:t> </w:t>
      </w:r>
      <w:r>
        <w:rPr>
          <w:sz w:val="18"/>
        </w:rPr>
        <w:t>between</w:t>
      </w:r>
      <w:r>
        <w:rPr>
          <w:spacing w:val="-6"/>
          <w:sz w:val="18"/>
        </w:rPr>
        <w:t> </w:t>
      </w:r>
      <w:r>
        <w:rPr>
          <w:sz w:val="18"/>
        </w:rPr>
        <w:t>levels</w:t>
      </w:r>
      <w:r>
        <w:rPr>
          <w:spacing w:val="-6"/>
          <w:sz w:val="18"/>
        </w:rPr>
        <w:t> </w:t>
      </w:r>
      <w:r>
        <w:rPr>
          <w:sz w:val="18"/>
        </w:rPr>
        <w:t>2</w:t>
      </w:r>
      <w:r>
        <w:rPr>
          <w:spacing w:val="-6"/>
          <w:sz w:val="18"/>
        </w:rPr>
        <w:t> </w:t>
      </w:r>
      <w:r>
        <w:rPr>
          <w:sz w:val="18"/>
        </w:rPr>
        <w:t>and</w:t>
      </w:r>
      <w:r>
        <w:rPr>
          <w:spacing w:val="-6"/>
          <w:sz w:val="18"/>
        </w:rPr>
        <w:t> </w:t>
      </w:r>
      <w:r>
        <w:rPr>
          <w:sz w:val="18"/>
        </w:rPr>
        <w:t>3</w:t>
      </w:r>
      <w:r>
        <w:rPr>
          <w:spacing w:val="-6"/>
          <w:sz w:val="18"/>
        </w:rPr>
        <w:t> </w:t>
      </w:r>
      <w:r>
        <w:rPr>
          <w:sz w:val="18"/>
        </w:rPr>
        <w:t>and</w:t>
      </w:r>
      <w:r>
        <w:rPr>
          <w:spacing w:val="-6"/>
          <w:sz w:val="18"/>
        </w:rPr>
        <w:t> </w:t>
      </w:r>
      <w:r>
        <w:rPr>
          <w:sz w:val="18"/>
        </w:rPr>
        <w:t>changes</w:t>
      </w:r>
      <w:r>
        <w:rPr>
          <w:spacing w:val="-6"/>
          <w:sz w:val="18"/>
        </w:rPr>
        <w:t> </w:t>
      </w:r>
      <w:r>
        <w:rPr>
          <w:sz w:val="18"/>
        </w:rPr>
        <w:t>in</w:t>
      </w:r>
      <w:r>
        <w:rPr>
          <w:spacing w:val="-6"/>
          <w:sz w:val="18"/>
        </w:rPr>
        <w:t> </w:t>
      </w:r>
      <w:r>
        <w:rPr>
          <w:sz w:val="18"/>
        </w:rPr>
        <w:t>valuation</w:t>
      </w:r>
      <w:r>
        <w:rPr>
          <w:spacing w:val="-6"/>
          <w:sz w:val="18"/>
        </w:rPr>
        <w:t> </w:t>
      </w:r>
      <w:r>
        <w:rPr>
          <w:sz w:val="18"/>
        </w:rPr>
        <w:t>techniques</w:t>
      </w:r>
    </w:p>
    <w:p>
      <w:pPr>
        <w:pStyle w:val="BodyText"/>
        <w:spacing w:before="11"/>
        <w:rPr>
          <w:sz w:val="24"/>
        </w:rPr>
      </w:pPr>
    </w:p>
    <w:p>
      <w:pPr>
        <w:pStyle w:val="BodyText"/>
        <w:ind w:left="2390" w:right="1375"/>
      </w:pPr>
      <w:r>
        <w:rPr/>
        <w:t>Due to the availability of observable market data, the University has transferred the value of one of its investments in unlisted securities from level 3 to level 2 at the end of the year.</w:t>
      </w:r>
    </w:p>
    <w:p>
      <w:pPr>
        <w:spacing w:after="0"/>
        <w:sectPr>
          <w:type w:val="continuous"/>
          <w:pgSz w:w="12750" w:h="17680"/>
          <w:pgMar w:top="1660" w:bottom="0" w:left="0" w:right="0"/>
        </w:sectPr>
      </w:pPr>
    </w:p>
    <w:p>
      <w:pPr>
        <w:pStyle w:val="BodyText"/>
        <w:rPr>
          <w:sz w:val="20"/>
        </w:rPr>
      </w:pPr>
    </w:p>
    <w:p>
      <w:pPr>
        <w:pStyle w:val="BodyText"/>
        <w:rPr>
          <w:sz w:val="20"/>
        </w:rPr>
      </w:pPr>
    </w:p>
    <w:p>
      <w:pPr>
        <w:pStyle w:val="BodyText"/>
        <w:spacing w:before="4"/>
      </w:pPr>
    </w:p>
    <w:p>
      <w:pPr>
        <w:pStyle w:val="Heading8"/>
        <w:tabs>
          <w:tab w:pos="2391" w:val="left" w:leader="none"/>
        </w:tabs>
        <w:ind w:left="1824"/>
      </w:pPr>
      <w:r>
        <w:rPr/>
        <w:t>36</w:t>
        <w:tab/>
        <w:t>Fair Value Measurement</w:t>
      </w:r>
      <w:r>
        <w:rPr>
          <w:spacing w:val="-1"/>
        </w:rPr>
        <w:t> </w:t>
      </w:r>
      <w:r>
        <w:rPr/>
        <w:t>(continued)</w:t>
      </w:r>
    </w:p>
    <w:p>
      <w:pPr>
        <w:pStyle w:val="BodyText"/>
        <w:spacing w:before="7"/>
        <w:rPr>
          <w:b/>
          <w:sz w:val="26"/>
        </w:rPr>
      </w:pPr>
    </w:p>
    <w:p>
      <w:pPr>
        <w:pStyle w:val="BodyText"/>
        <w:tabs>
          <w:tab w:pos="2391" w:val="left" w:leader="none"/>
        </w:tabs>
        <w:ind w:left="1825"/>
      </w:pPr>
      <w:r>
        <w:rPr/>
        <w:t>(d)</w:t>
        <w:tab/>
        <w:t>Fair</w:t>
      </w:r>
      <w:r>
        <w:rPr>
          <w:spacing w:val="-9"/>
        </w:rPr>
        <w:t> </w:t>
      </w:r>
      <w:r>
        <w:rPr/>
        <w:t>value</w:t>
      </w:r>
      <w:r>
        <w:rPr>
          <w:spacing w:val="-9"/>
        </w:rPr>
        <w:t> </w:t>
      </w:r>
      <w:r>
        <w:rPr/>
        <w:t>measurements</w:t>
      </w:r>
      <w:r>
        <w:rPr>
          <w:spacing w:val="-9"/>
        </w:rPr>
        <w:t> </w:t>
      </w:r>
      <w:r>
        <w:rPr/>
        <w:t>using</w:t>
      </w:r>
      <w:r>
        <w:rPr>
          <w:spacing w:val="-9"/>
        </w:rPr>
        <w:t> </w:t>
      </w:r>
      <w:r>
        <w:rPr/>
        <w:t>significant</w:t>
      </w:r>
      <w:r>
        <w:rPr>
          <w:spacing w:val="-9"/>
        </w:rPr>
        <w:t> </w:t>
      </w:r>
      <w:r>
        <w:rPr/>
        <w:t>unobservable</w:t>
      </w:r>
      <w:r>
        <w:rPr>
          <w:spacing w:val="-9"/>
        </w:rPr>
        <w:t> </w:t>
      </w:r>
      <w:r>
        <w:rPr/>
        <w:t>inputs</w:t>
      </w:r>
      <w:r>
        <w:rPr>
          <w:spacing w:val="-9"/>
        </w:rPr>
        <w:t> </w:t>
      </w:r>
      <w:r>
        <w:rPr/>
        <w:t>(level</w:t>
      </w:r>
      <w:r>
        <w:rPr>
          <w:spacing w:val="-9"/>
        </w:rPr>
        <w:t> </w:t>
      </w:r>
      <w:r>
        <w:rPr/>
        <w:t>3)</w:t>
      </w:r>
      <w:r>
        <w:rPr>
          <w:spacing w:val="-9"/>
        </w:rPr>
        <w:t> </w:t>
      </w:r>
      <w:r>
        <w:rPr/>
        <w:t>(continued)</w:t>
      </w:r>
    </w:p>
    <w:p>
      <w:pPr>
        <w:pStyle w:val="BodyText"/>
        <w:spacing w:before="4"/>
        <w:rPr>
          <w:sz w:val="25"/>
        </w:rPr>
      </w:pPr>
    </w:p>
    <w:p>
      <w:pPr>
        <w:pStyle w:val="ListParagraph"/>
        <w:numPr>
          <w:ilvl w:val="1"/>
          <w:numId w:val="37"/>
        </w:numPr>
        <w:tabs>
          <w:tab w:pos="2640" w:val="left" w:leader="none"/>
        </w:tabs>
        <w:spacing w:line="240" w:lineRule="auto" w:before="0" w:after="0"/>
        <w:ind w:left="2639" w:right="0" w:hanging="249"/>
        <w:jc w:val="left"/>
        <w:rPr>
          <w:sz w:val="18"/>
        </w:rPr>
      </w:pPr>
      <w:r>
        <w:rPr>
          <w:sz w:val="18"/>
        </w:rPr>
        <w:t>Valuation</w:t>
      </w:r>
      <w:r>
        <w:rPr>
          <w:spacing w:val="-8"/>
          <w:sz w:val="18"/>
        </w:rPr>
        <w:t> </w:t>
      </w:r>
      <w:r>
        <w:rPr>
          <w:sz w:val="18"/>
        </w:rPr>
        <w:t>inputs</w:t>
      </w:r>
      <w:r>
        <w:rPr>
          <w:spacing w:val="-8"/>
          <w:sz w:val="18"/>
        </w:rPr>
        <w:t> </w:t>
      </w:r>
      <w:r>
        <w:rPr>
          <w:sz w:val="18"/>
        </w:rPr>
        <w:t>and</w:t>
      </w:r>
      <w:r>
        <w:rPr>
          <w:spacing w:val="-8"/>
          <w:sz w:val="18"/>
        </w:rPr>
        <w:t> </w:t>
      </w:r>
      <w:r>
        <w:rPr>
          <w:sz w:val="18"/>
        </w:rPr>
        <w:t>relationships</w:t>
      </w:r>
      <w:r>
        <w:rPr>
          <w:spacing w:val="-8"/>
          <w:sz w:val="18"/>
        </w:rPr>
        <w:t> </w:t>
      </w:r>
      <w:r>
        <w:rPr>
          <w:sz w:val="18"/>
        </w:rPr>
        <w:t>to</w:t>
      </w:r>
      <w:r>
        <w:rPr>
          <w:spacing w:val="-8"/>
          <w:sz w:val="18"/>
        </w:rPr>
        <w:t> </w:t>
      </w:r>
      <w:r>
        <w:rPr>
          <w:sz w:val="18"/>
        </w:rPr>
        <w:t>fair</w:t>
      </w:r>
      <w:r>
        <w:rPr>
          <w:spacing w:val="-8"/>
          <w:sz w:val="18"/>
        </w:rPr>
        <w:t> </w:t>
      </w:r>
      <w:r>
        <w:rPr>
          <w:sz w:val="18"/>
        </w:rPr>
        <w:t>value</w:t>
      </w:r>
    </w:p>
    <w:p>
      <w:pPr>
        <w:pStyle w:val="BodyText"/>
        <w:spacing w:before="11"/>
        <w:rPr>
          <w:sz w:val="24"/>
        </w:rPr>
      </w:pPr>
    </w:p>
    <w:p>
      <w:pPr>
        <w:pStyle w:val="BodyText"/>
        <w:ind w:left="2390" w:right="1375"/>
      </w:pPr>
      <w:r>
        <w:rPr/>
        <w:t>The following table summarises the quantitative information about the significant unobservable inputs used in level 3 fair value measurements. See (c) above for the valuation techniques adopted.</w:t>
      </w:r>
    </w:p>
    <w:p>
      <w:pPr>
        <w:pStyle w:val="BodyText"/>
        <w:rPr>
          <w:sz w:val="20"/>
        </w:rPr>
      </w:pPr>
    </w:p>
    <w:p>
      <w:pPr>
        <w:pStyle w:val="BodyText"/>
        <w:rPr>
          <w:sz w:val="20"/>
        </w:rPr>
      </w:pPr>
    </w:p>
    <w:p>
      <w:pPr>
        <w:pStyle w:val="BodyText"/>
        <w:spacing w:before="11"/>
        <w:rPr>
          <w:sz w:val="22"/>
        </w:rPr>
      </w:pPr>
    </w:p>
    <w:p>
      <w:pPr>
        <w:spacing w:after="0"/>
        <w:rPr>
          <w:sz w:val="22"/>
        </w:rPr>
        <w:sectPr>
          <w:pgSz w:w="12750" w:h="17680"/>
          <w:pgMar w:header="0" w:footer="927" w:top="2640" w:bottom="1120" w:left="0" w:right="0"/>
        </w:sectPr>
      </w:pPr>
    </w:p>
    <w:p>
      <w:pPr>
        <w:pStyle w:val="BodyText"/>
      </w:pPr>
    </w:p>
    <w:p>
      <w:pPr>
        <w:pStyle w:val="BodyText"/>
      </w:pPr>
    </w:p>
    <w:p>
      <w:pPr>
        <w:pStyle w:val="BodyText"/>
      </w:pPr>
    </w:p>
    <w:p>
      <w:pPr>
        <w:pStyle w:val="BodyText"/>
      </w:pPr>
    </w:p>
    <w:p>
      <w:pPr>
        <w:pStyle w:val="BodyText"/>
      </w:pPr>
    </w:p>
    <w:p>
      <w:pPr>
        <w:pStyle w:val="BodyText"/>
        <w:spacing w:before="9"/>
        <w:rPr>
          <w:sz w:val="17"/>
        </w:rPr>
      </w:pPr>
    </w:p>
    <w:p>
      <w:pPr>
        <w:pStyle w:val="BodyText"/>
        <w:jc w:val="right"/>
      </w:pPr>
      <w:r>
        <w:rPr/>
        <w:t>Unlisted equity</w:t>
      </w:r>
    </w:p>
    <w:p>
      <w:pPr>
        <w:pStyle w:val="Heading8"/>
        <w:spacing w:before="77"/>
        <w:ind w:left="1106"/>
        <w:jc w:val="center"/>
      </w:pPr>
      <w:r>
        <w:rPr>
          <w:b w:val="0"/>
        </w:rPr>
        <w:br w:type="column"/>
      </w:r>
      <w:r>
        <w:rPr/>
        <w:t>Fair value</w:t>
      </w:r>
      <w:r>
        <w:rPr>
          <w:spacing w:val="-11"/>
        </w:rPr>
        <w:t> </w:t>
      </w:r>
      <w:r>
        <w:rPr/>
        <w:t>at 31</w:t>
      </w:r>
    </w:p>
    <w:p>
      <w:pPr>
        <w:spacing w:before="0"/>
        <w:ind w:left="1110" w:right="0" w:firstLine="0"/>
        <w:jc w:val="center"/>
        <w:rPr>
          <w:b/>
          <w:sz w:val="18"/>
        </w:rPr>
      </w:pPr>
      <w:r>
        <w:rPr>
          <w:b/>
          <w:sz w:val="18"/>
        </w:rPr>
        <w:t>December 2016</w:t>
      </w:r>
    </w:p>
    <w:p>
      <w:pPr>
        <w:spacing w:before="66"/>
        <w:ind w:left="1106" w:right="0" w:firstLine="0"/>
        <w:jc w:val="center"/>
        <w:rPr>
          <w:b/>
          <w:sz w:val="18"/>
        </w:rPr>
      </w:pPr>
      <w:r>
        <w:rPr>
          <w:b/>
          <w:sz w:val="18"/>
        </w:rPr>
        <w:t>$'000</w:t>
      </w:r>
    </w:p>
    <w:p>
      <w:pPr>
        <w:spacing w:before="77"/>
        <w:ind w:left="512" w:right="-12" w:hanging="288"/>
        <w:jc w:val="left"/>
        <w:rPr>
          <w:b/>
          <w:sz w:val="18"/>
        </w:rPr>
      </w:pPr>
      <w:r>
        <w:rPr/>
        <w:br w:type="column"/>
      </w:r>
      <w:r>
        <w:rPr>
          <w:b/>
          <w:spacing w:val="-1"/>
          <w:sz w:val="18"/>
        </w:rPr>
        <w:t>Unobservable </w:t>
      </w:r>
      <w:r>
        <w:rPr>
          <w:b/>
          <w:sz w:val="18"/>
        </w:rPr>
        <w:t>inputs*</w:t>
      </w:r>
    </w:p>
    <w:p>
      <w:pPr>
        <w:spacing w:before="77"/>
        <w:ind w:left="239" w:right="0" w:firstLine="0"/>
        <w:jc w:val="center"/>
        <w:rPr>
          <w:b/>
          <w:sz w:val="18"/>
        </w:rPr>
      </w:pPr>
      <w:r>
        <w:rPr/>
        <w:br w:type="column"/>
      </w:r>
      <w:r>
        <w:rPr>
          <w:b/>
          <w:sz w:val="18"/>
        </w:rPr>
        <w:t>Range of inputs</w:t>
      </w:r>
      <w:r>
        <w:rPr>
          <w:b/>
          <w:w w:val="100"/>
          <w:sz w:val="18"/>
        </w:rPr>
        <w:t> </w:t>
      </w:r>
      <w:r>
        <w:rPr>
          <w:b/>
          <w:sz w:val="18"/>
        </w:rPr>
        <w:t>(probability weighted average)</w:t>
      </w:r>
    </w:p>
    <w:p>
      <w:pPr>
        <w:spacing w:before="77"/>
        <w:ind w:left="253" w:right="1572" w:firstLine="0"/>
        <w:jc w:val="center"/>
        <w:rPr>
          <w:b/>
          <w:sz w:val="18"/>
        </w:rPr>
      </w:pPr>
      <w:r>
        <w:rPr/>
        <w:br w:type="column"/>
      </w:r>
      <w:r>
        <w:rPr>
          <w:b/>
          <w:sz w:val="18"/>
        </w:rPr>
        <w:t>Relationship of unobservable inputs to fair value</w:t>
      </w:r>
    </w:p>
    <w:p>
      <w:pPr>
        <w:spacing w:after="0"/>
        <w:jc w:val="center"/>
        <w:rPr>
          <w:sz w:val="18"/>
        </w:rPr>
        <w:sectPr>
          <w:type w:val="continuous"/>
          <w:pgSz w:w="12750" w:h="17680"/>
          <w:pgMar w:top="1660" w:bottom="0" w:left="0" w:right="0"/>
          <w:cols w:num="5" w:equalWidth="0">
            <w:col w:w="3615" w:space="40"/>
            <w:col w:w="2153" w:space="40"/>
            <w:col w:w="1411" w:space="40"/>
            <w:col w:w="1602" w:space="40"/>
            <w:col w:w="3809"/>
          </w:cols>
        </w:sectPr>
      </w:pPr>
    </w:p>
    <w:p>
      <w:pPr>
        <w:pStyle w:val="BodyText"/>
        <w:tabs>
          <w:tab w:pos="5128" w:val="left" w:leader="none"/>
          <w:tab w:pos="5477" w:val="left" w:leader="none"/>
          <w:tab w:pos="6628" w:val="left" w:leader="none"/>
          <w:tab w:pos="8181" w:val="left" w:leader="none"/>
          <w:tab w:pos="10145" w:val="left" w:leader="none"/>
        </w:tabs>
        <w:spacing w:line="307" w:lineRule="auto"/>
        <w:ind w:left="2437" w:right="2526"/>
      </w:pPr>
      <w:r>
        <w:rPr/>
        <w:t>securities</w:t>
        <w:tab/>
        <w:tab/>
        <w:t>303</w:t>
        <w:tab/>
        <w:t>*</w:t>
        <w:tab/>
        <w:t>*</w:t>
        <w:tab/>
        <w:t>* Buildings</w:t>
        <w:tab/>
        <w:t>960,757</w:t>
      </w:r>
    </w:p>
    <w:p>
      <w:pPr>
        <w:pStyle w:val="BodyText"/>
        <w:tabs>
          <w:tab w:pos="5228" w:val="left" w:leader="none"/>
        </w:tabs>
        <w:ind w:left="2437"/>
      </w:pPr>
      <w:r>
        <w:rPr/>
        <w:t>Infrastructure</w:t>
        <w:tab/>
        <w:t>91,349</w:t>
      </w:r>
    </w:p>
    <w:p>
      <w:pPr>
        <w:pStyle w:val="BodyText"/>
      </w:pPr>
    </w:p>
    <w:p>
      <w:pPr>
        <w:pStyle w:val="BodyText"/>
        <w:spacing w:before="108"/>
        <w:ind w:left="2390"/>
      </w:pPr>
      <w:r>
        <w:rPr/>
        <w:drawing>
          <wp:anchor distT="0" distB="0" distL="0" distR="0" allowOverlap="1" layoutInCell="1" locked="0" behindDoc="0" simplePos="0" relativeHeight="5560">
            <wp:simplePos x="0" y="0"/>
            <wp:positionH relativeFrom="page">
              <wp:posOffset>-1587</wp:posOffset>
            </wp:positionH>
            <wp:positionV relativeFrom="paragraph">
              <wp:posOffset>230808</wp:posOffset>
            </wp:positionV>
            <wp:extent cx="135159" cy="154019"/>
            <wp:effectExtent l="0" t="0" r="0" b="0"/>
            <wp:wrapNone/>
            <wp:docPr id="357" name="image13.png" descr=""/>
            <wp:cNvGraphicFramePr>
              <a:graphicFrameLocks noChangeAspect="1"/>
            </wp:cNvGraphicFramePr>
            <a:graphic>
              <a:graphicData uri="http://schemas.openxmlformats.org/drawingml/2006/picture">
                <pic:pic>
                  <pic:nvPicPr>
                    <pic:cNvPr id="358" name="image13.png"/>
                    <pic:cNvPicPr/>
                  </pic:nvPicPr>
                  <pic:blipFill>
                    <a:blip r:embed="rId18" cstate="print"/>
                    <a:stretch>
                      <a:fillRect/>
                    </a:stretch>
                  </pic:blipFill>
                  <pic:spPr>
                    <a:xfrm>
                      <a:off x="0" y="0"/>
                      <a:ext cx="135159" cy="154019"/>
                    </a:xfrm>
                    <a:prstGeom prst="rect">
                      <a:avLst/>
                    </a:prstGeom>
                  </pic:spPr>
                </pic:pic>
              </a:graphicData>
            </a:graphic>
          </wp:anchor>
        </w:drawing>
      </w:r>
      <w:r>
        <w:rPr/>
        <w:drawing>
          <wp:anchor distT="0" distB="0" distL="0" distR="0" allowOverlap="1" layoutInCell="1" locked="0" behindDoc="0" simplePos="0" relativeHeight="5584">
            <wp:simplePos x="0" y="0"/>
            <wp:positionH relativeFrom="page">
              <wp:posOffset>7958429</wp:posOffset>
            </wp:positionH>
            <wp:positionV relativeFrom="paragraph">
              <wp:posOffset>230808</wp:posOffset>
            </wp:positionV>
            <wp:extent cx="135953" cy="155575"/>
            <wp:effectExtent l="0" t="0" r="0" b="0"/>
            <wp:wrapNone/>
            <wp:docPr id="359" name="image15.png" descr=""/>
            <wp:cNvGraphicFramePr>
              <a:graphicFrameLocks noChangeAspect="1"/>
            </wp:cNvGraphicFramePr>
            <a:graphic>
              <a:graphicData uri="http://schemas.openxmlformats.org/drawingml/2006/picture">
                <pic:pic>
                  <pic:nvPicPr>
                    <pic:cNvPr id="360" name="image15.png"/>
                    <pic:cNvPicPr/>
                  </pic:nvPicPr>
                  <pic:blipFill>
                    <a:blip r:embed="rId20" cstate="print"/>
                    <a:stretch>
                      <a:fillRect/>
                    </a:stretch>
                  </pic:blipFill>
                  <pic:spPr>
                    <a:xfrm>
                      <a:off x="0" y="0"/>
                      <a:ext cx="135953" cy="155575"/>
                    </a:xfrm>
                    <a:prstGeom prst="rect">
                      <a:avLst/>
                    </a:prstGeom>
                  </pic:spPr>
                </pic:pic>
              </a:graphicData>
            </a:graphic>
          </wp:anchor>
        </w:drawing>
      </w:r>
      <w:r>
        <w:rPr/>
        <w:t>*There were no significant inter-relationship between unobservable inputs that materially affects fair value.</w:t>
      </w:r>
    </w:p>
    <w:p>
      <w:pPr>
        <w:spacing w:after="0"/>
        <w:sectPr>
          <w:type w:val="continuous"/>
          <w:pgSz w:w="12750" w:h="17680"/>
          <w:pgMar w:top="1660" w:bottom="0" w:left="0" w:right="0"/>
        </w:sectPr>
      </w:pPr>
    </w:p>
    <w:p>
      <w:pPr>
        <w:pStyle w:val="BodyText"/>
        <w:rPr>
          <w:sz w:val="20"/>
        </w:rPr>
      </w:pPr>
    </w:p>
    <w:p>
      <w:pPr>
        <w:pStyle w:val="BodyText"/>
        <w:rPr>
          <w:sz w:val="20"/>
        </w:rPr>
      </w:pPr>
    </w:p>
    <w:p>
      <w:pPr>
        <w:pStyle w:val="BodyText"/>
        <w:spacing w:before="4"/>
      </w:pPr>
    </w:p>
    <w:p>
      <w:pPr>
        <w:pStyle w:val="Heading8"/>
        <w:numPr>
          <w:ilvl w:val="0"/>
          <w:numId w:val="33"/>
        </w:numPr>
        <w:tabs>
          <w:tab w:pos="1826" w:val="left" w:leader="none"/>
        </w:tabs>
        <w:spacing w:line="240" w:lineRule="auto" w:before="0" w:after="0"/>
        <w:ind w:left="1825" w:right="0" w:hanging="396"/>
        <w:jc w:val="left"/>
      </w:pPr>
      <w:bookmarkStart w:name="37 Subsidiaries" w:id="144"/>
      <w:bookmarkEnd w:id="144"/>
      <w:r>
        <w:rPr>
          <w:b w:val="0"/>
        </w:rPr>
      </w:r>
      <w:bookmarkStart w:name="37 Subsidiaries" w:id="145"/>
      <w:bookmarkEnd w:id="145"/>
      <w:r>
        <w:rPr/>
        <w:t>Subsidiaries</w:t>
      </w:r>
    </w:p>
    <w:p>
      <w:pPr>
        <w:pStyle w:val="BodyText"/>
        <w:spacing w:before="11"/>
        <w:rPr>
          <w:b/>
          <w:sz w:val="24"/>
        </w:rPr>
      </w:pPr>
    </w:p>
    <w:p>
      <w:pPr>
        <w:pStyle w:val="BodyText"/>
        <w:ind w:left="1825" w:right="1375"/>
      </w:pPr>
      <w:r>
        <w:rPr/>
        <w:t>The consolidated financial statements incorporate the assets, liabilities and results of the following subsidiaries in accordance with the accounting policy described in note 1(b).</w:t>
      </w:r>
    </w:p>
    <w:p>
      <w:pPr>
        <w:pStyle w:val="Heading8"/>
        <w:spacing w:before="33"/>
        <w:ind w:right="1860"/>
        <w:jc w:val="right"/>
      </w:pPr>
      <w:r>
        <w:rPr/>
        <w:t>Ownership interest</w:t>
      </w:r>
    </w:p>
    <w:p>
      <w:pPr>
        <w:pStyle w:val="BodyText"/>
        <w:spacing w:before="7"/>
        <w:rPr>
          <w:b/>
          <w:sz w:val="13"/>
        </w:rPr>
      </w:pPr>
    </w:p>
    <w:tbl>
      <w:tblPr>
        <w:tblW w:w="0" w:type="auto"/>
        <w:jc w:val="left"/>
        <w:tblInd w:w="183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080"/>
        <w:gridCol w:w="3004"/>
        <w:gridCol w:w="674"/>
        <w:gridCol w:w="711"/>
        <w:gridCol w:w="565"/>
        <w:gridCol w:w="424"/>
      </w:tblGrid>
      <w:tr>
        <w:trPr>
          <w:trHeight w:val="431" w:hRule="exact"/>
        </w:trPr>
        <w:tc>
          <w:tcPr>
            <w:tcW w:w="4080" w:type="dxa"/>
          </w:tcPr>
          <w:p>
            <w:pPr>
              <w:pStyle w:val="TableParagraph"/>
              <w:spacing w:before="10"/>
              <w:jc w:val="left"/>
              <w:rPr>
                <w:b/>
                <w:sz w:val="15"/>
              </w:rPr>
            </w:pPr>
          </w:p>
          <w:p>
            <w:pPr>
              <w:pStyle w:val="TableParagraph"/>
              <w:spacing w:before="1"/>
              <w:ind w:left="1010" w:right="233"/>
              <w:jc w:val="left"/>
              <w:rPr>
                <w:b/>
                <w:sz w:val="18"/>
              </w:rPr>
            </w:pPr>
            <w:r>
              <w:rPr>
                <w:b/>
                <w:sz w:val="18"/>
              </w:rPr>
              <w:t>Name of Entity</w:t>
            </w:r>
          </w:p>
        </w:tc>
        <w:tc>
          <w:tcPr>
            <w:tcW w:w="3004" w:type="dxa"/>
          </w:tcPr>
          <w:p>
            <w:pPr>
              <w:pStyle w:val="TableParagraph"/>
              <w:spacing w:line="184" w:lineRule="exact"/>
              <w:ind w:left="1076" w:right="397"/>
              <w:jc w:val="center"/>
              <w:rPr>
                <w:b/>
                <w:sz w:val="18"/>
              </w:rPr>
            </w:pPr>
            <w:r>
              <w:rPr>
                <w:b/>
                <w:sz w:val="18"/>
              </w:rPr>
              <w:t>Principal place of</w:t>
            </w:r>
          </w:p>
          <w:p>
            <w:pPr>
              <w:pStyle w:val="TableParagraph"/>
              <w:spacing w:line="207" w:lineRule="exact"/>
              <w:ind w:left="1076" w:right="397"/>
              <w:jc w:val="center"/>
              <w:rPr>
                <w:b/>
                <w:sz w:val="18"/>
              </w:rPr>
            </w:pPr>
            <w:r>
              <w:rPr>
                <w:b/>
                <w:sz w:val="18"/>
              </w:rPr>
              <w:t>business</w:t>
            </w:r>
          </w:p>
        </w:tc>
        <w:tc>
          <w:tcPr>
            <w:tcW w:w="674" w:type="dxa"/>
          </w:tcPr>
          <w:p>
            <w:pPr>
              <w:pStyle w:val="TableParagraph"/>
              <w:spacing w:line="117" w:lineRule="exact"/>
              <w:ind w:left="296" w:right="-21"/>
              <w:jc w:val="center"/>
              <w:rPr>
                <w:b/>
                <w:sz w:val="18"/>
              </w:rPr>
            </w:pPr>
            <w:r>
              <w:rPr>
                <w:b/>
                <w:spacing w:val="-1"/>
                <w:sz w:val="18"/>
              </w:rPr>
              <w:t>2016</w:t>
            </w:r>
          </w:p>
          <w:p>
            <w:pPr>
              <w:pStyle w:val="TableParagraph"/>
              <w:spacing w:before="66"/>
              <w:ind w:left="318"/>
              <w:jc w:val="center"/>
              <w:rPr>
                <w:b/>
                <w:sz w:val="18"/>
              </w:rPr>
            </w:pPr>
            <w:r>
              <w:rPr>
                <w:b/>
                <w:w w:val="99"/>
                <w:sz w:val="18"/>
              </w:rPr>
              <w:t>%</w:t>
            </w:r>
          </w:p>
        </w:tc>
        <w:tc>
          <w:tcPr>
            <w:tcW w:w="711" w:type="dxa"/>
          </w:tcPr>
          <w:p>
            <w:pPr/>
          </w:p>
        </w:tc>
        <w:tc>
          <w:tcPr>
            <w:tcW w:w="565" w:type="dxa"/>
          </w:tcPr>
          <w:p>
            <w:pPr>
              <w:pStyle w:val="TableParagraph"/>
              <w:spacing w:line="117" w:lineRule="exact"/>
              <w:ind w:left="194" w:right="-28"/>
              <w:jc w:val="center"/>
              <w:rPr>
                <w:b/>
                <w:sz w:val="18"/>
              </w:rPr>
            </w:pPr>
            <w:r>
              <w:rPr>
                <w:b/>
                <w:spacing w:val="-1"/>
                <w:sz w:val="18"/>
              </w:rPr>
              <w:t>2015</w:t>
            </w:r>
          </w:p>
          <w:p>
            <w:pPr>
              <w:pStyle w:val="TableParagraph"/>
              <w:spacing w:before="66"/>
              <w:ind w:left="224"/>
              <w:jc w:val="center"/>
              <w:rPr>
                <w:b/>
                <w:sz w:val="18"/>
              </w:rPr>
            </w:pPr>
            <w:r>
              <w:rPr>
                <w:b/>
                <w:w w:val="99"/>
                <w:sz w:val="18"/>
              </w:rPr>
              <w:t>%</w:t>
            </w:r>
          </w:p>
        </w:tc>
        <w:tc>
          <w:tcPr>
            <w:tcW w:w="424" w:type="dxa"/>
          </w:tcPr>
          <w:p>
            <w:pPr/>
          </w:p>
        </w:tc>
      </w:tr>
      <w:tr>
        <w:trPr>
          <w:trHeight w:val="266" w:hRule="exact"/>
        </w:trPr>
        <w:tc>
          <w:tcPr>
            <w:tcW w:w="4080" w:type="dxa"/>
          </w:tcPr>
          <w:p>
            <w:pPr>
              <w:pStyle w:val="TableParagraph"/>
              <w:spacing w:before="22"/>
              <w:ind w:left="35" w:right="233"/>
              <w:jc w:val="left"/>
              <w:rPr>
                <w:sz w:val="18"/>
              </w:rPr>
            </w:pPr>
            <w:r>
              <w:rPr>
                <w:sz w:val="18"/>
              </w:rPr>
              <w:t>Television Sydney Limited</w:t>
            </w:r>
          </w:p>
        </w:tc>
        <w:tc>
          <w:tcPr>
            <w:tcW w:w="3004" w:type="dxa"/>
          </w:tcPr>
          <w:p>
            <w:pPr>
              <w:pStyle w:val="TableParagraph"/>
              <w:spacing w:before="21"/>
              <w:ind w:left="875"/>
              <w:jc w:val="left"/>
              <w:rPr>
                <w:sz w:val="18"/>
              </w:rPr>
            </w:pPr>
            <w:r>
              <w:rPr>
                <w:sz w:val="18"/>
              </w:rPr>
              <w:t>Australia</w:t>
            </w:r>
          </w:p>
        </w:tc>
        <w:tc>
          <w:tcPr>
            <w:tcW w:w="674" w:type="dxa"/>
          </w:tcPr>
          <w:p>
            <w:pPr/>
          </w:p>
        </w:tc>
        <w:tc>
          <w:tcPr>
            <w:tcW w:w="711" w:type="dxa"/>
          </w:tcPr>
          <w:p>
            <w:pPr>
              <w:pStyle w:val="TableParagraph"/>
              <w:spacing w:before="21"/>
              <w:ind w:right="312"/>
              <w:rPr>
                <w:sz w:val="18"/>
              </w:rPr>
            </w:pPr>
            <w:r>
              <w:rPr>
                <w:w w:val="99"/>
                <w:sz w:val="18"/>
              </w:rPr>
              <w:t>-</w:t>
            </w:r>
          </w:p>
        </w:tc>
        <w:tc>
          <w:tcPr>
            <w:tcW w:w="565" w:type="dxa"/>
          </w:tcPr>
          <w:p>
            <w:pPr/>
          </w:p>
        </w:tc>
        <w:tc>
          <w:tcPr>
            <w:tcW w:w="424" w:type="dxa"/>
          </w:tcPr>
          <w:p>
            <w:pPr>
              <w:pStyle w:val="TableParagraph"/>
              <w:spacing w:before="21"/>
              <w:ind w:right="33"/>
              <w:rPr>
                <w:sz w:val="18"/>
              </w:rPr>
            </w:pPr>
            <w:r>
              <w:rPr>
                <w:sz w:val="18"/>
              </w:rPr>
              <w:t>75</w:t>
            </w:r>
          </w:p>
        </w:tc>
      </w:tr>
      <w:tr>
        <w:trPr>
          <w:trHeight w:val="469" w:hRule="exact"/>
        </w:trPr>
        <w:tc>
          <w:tcPr>
            <w:tcW w:w="4080" w:type="dxa"/>
          </w:tcPr>
          <w:p>
            <w:pPr>
              <w:pStyle w:val="TableParagraph"/>
              <w:spacing w:before="18"/>
              <w:ind w:left="35" w:right="233"/>
              <w:jc w:val="left"/>
              <w:rPr>
                <w:sz w:val="18"/>
              </w:rPr>
            </w:pPr>
            <w:r>
              <w:rPr>
                <w:sz w:val="18"/>
              </w:rPr>
              <w:t>UWS Enterprises Pty Limited trading as Western Sydney University The College</w:t>
            </w:r>
          </w:p>
        </w:tc>
        <w:tc>
          <w:tcPr>
            <w:tcW w:w="3004" w:type="dxa"/>
          </w:tcPr>
          <w:p>
            <w:pPr>
              <w:pStyle w:val="TableParagraph"/>
              <w:spacing w:before="4"/>
              <w:jc w:val="left"/>
              <w:rPr>
                <w:b/>
                <w:sz w:val="19"/>
              </w:rPr>
            </w:pPr>
          </w:p>
          <w:p>
            <w:pPr>
              <w:pStyle w:val="TableParagraph"/>
              <w:ind w:left="875"/>
              <w:jc w:val="left"/>
              <w:rPr>
                <w:sz w:val="18"/>
              </w:rPr>
            </w:pPr>
            <w:r>
              <w:rPr>
                <w:sz w:val="18"/>
              </w:rPr>
              <w:t>Australia</w:t>
            </w:r>
          </w:p>
        </w:tc>
        <w:tc>
          <w:tcPr>
            <w:tcW w:w="674" w:type="dxa"/>
          </w:tcPr>
          <w:p>
            <w:pPr/>
          </w:p>
        </w:tc>
        <w:tc>
          <w:tcPr>
            <w:tcW w:w="711" w:type="dxa"/>
          </w:tcPr>
          <w:p>
            <w:pPr>
              <w:pStyle w:val="TableParagraph"/>
              <w:spacing w:before="4"/>
              <w:jc w:val="left"/>
              <w:rPr>
                <w:b/>
                <w:sz w:val="19"/>
              </w:rPr>
            </w:pPr>
          </w:p>
          <w:p>
            <w:pPr>
              <w:pStyle w:val="TableParagraph"/>
              <w:ind w:right="312"/>
              <w:rPr>
                <w:sz w:val="18"/>
              </w:rPr>
            </w:pPr>
            <w:r>
              <w:rPr>
                <w:sz w:val="18"/>
              </w:rPr>
              <w:t>100</w:t>
            </w:r>
          </w:p>
        </w:tc>
        <w:tc>
          <w:tcPr>
            <w:tcW w:w="565" w:type="dxa"/>
          </w:tcPr>
          <w:p>
            <w:pPr/>
          </w:p>
        </w:tc>
        <w:tc>
          <w:tcPr>
            <w:tcW w:w="424" w:type="dxa"/>
          </w:tcPr>
          <w:p>
            <w:pPr>
              <w:pStyle w:val="TableParagraph"/>
              <w:spacing w:before="4"/>
              <w:jc w:val="left"/>
              <w:rPr>
                <w:b/>
                <w:sz w:val="19"/>
              </w:rPr>
            </w:pPr>
          </w:p>
          <w:p>
            <w:pPr>
              <w:pStyle w:val="TableParagraph"/>
              <w:ind w:right="33"/>
              <w:rPr>
                <w:sz w:val="18"/>
              </w:rPr>
            </w:pPr>
            <w:r>
              <w:rPr>
                <w:sz w:val="18"/>
              </w:rPr>
              <w:t>100</w:t>
            </w:r>
          </w:p>
        </w:tc>
      </w:tr>
      <w:tr>
        <w:trPr>
          <w:trHeight w:val="264" w:hRule="exact"/>
        </w:trPr>
        <w:tc>
          <w:tcPr>
            <w:tcW w:w="4080" w:type="dxa"/>
          </w:tcPr>
          <w:p>
            <w:pPr>
              <w:pStyle w:val="TableParagraph"/>
              <w:spacing w:before="19"/>
              <w:ind w:left="35" w:right="233"/>
              <w:jc w:val="left"/>
              <w:rPr>
                <w:sz w:val="18"/>
              </w:rPr>
            </w:pPr>
            <w:r>
              <w:rPr>
                <w:sz w:val="18"/>
              </w:rPr>
              <w:t>UWS Early Learning Limited</w:t>
            </w:r>
          </w:p>
        </w:tc>
        <w:tc>
          <w:tcPr>
            <w:tcW w:w="3004" w:type="dxa"/>
          </w:tcPr>
          <w:p>
            <w:pPr>
              <w:pStyle w:val="TableParagraph"/>
              <w:spacing w:before="18"/>
              <w:ind w:left="875"/>
              <w:jc w:val="left"/>
              <w:rPr>
                <w:sz w:val="18"/>
              </w:rPr>
            </w:pPr>
            <w:r>
              <w:rPr>
                <w:sz w:val="18"/>
              </w:rPr>
              <w:t>Australia</w:t>
            </w:r>
          </w:p>
        </w:tc>
        <w:tc>
          <w:tcPr>
            <w:tcW w:w="674" w:type="dxa"/>
          </w:tcPr>
          <w:p>
            <w:pPr/>
          </w:p>
        </w:tc>
        <w:tc>
          <w:tcPr>
            <w:tcW w:w="711" w:type="dxa"/>
          </w:tcPr>
          <w:p>
            <w:pPr>
              <w:pStyle w:val="TableParagraph"/>
              <w:spacing w:before="18"/>
              <w:ind w:right="312"/>
              <w:rPr>
                <w:sz w:val="18"/>
              </w:rPr>
            </w:pPr>
            <w:r>
              <w:rPr>
                <w:sz w:val="18"/>
              </w:rPr>
              <w:t>100</w:t>
            </w:r>
          </w:p>
        </w:tc>
        <w:tc>
          <w:tcPr>
            <w:tcW w:w="565" w:type="dxa"/>
          </w:tcPr>
          <w:p>
            <w:pPr/>
          </w:p>
        </w:tc>
        <w:tc>
          <w:tcPr>
            <w:tcW w:w="424" w:type="dxa"/>
          </w:tcPr>
          <w:p>
            <w:pPr>
              <w:pStyle w:val="TableParagraph"/>
              <w:spacing w:before="18"/>
              <w:ind w:right="33"/>
              <w:rPr>
                <w:sz w:val="18"/>
              </w:rPr>
            </w:pPr>
            <w:r>
              <w:rPr>
                <w:sz w:val="18"/>
              </w:rPr>
              <w:t>100</w:t>
            </w:r>
          </w:p>
        </w:tc>
      </w:tr>
      <w:tr>
        <w:trPr>
          <w:trHeight w:val="263" w:hRule="exact"/>
        </w:trPr>
        <w:tc>
          <w:tcPr>
            <w:tcW w:w="4080" w:type="dxa"/>
          </w:tcPr>
          <w:p>
            <w:pPr>
              <w:pStyle w:val="TableParagraph"/>
              <w:spacing w:before="19"/>
              <w:ind w:left="35" w:right="233"/>
              <w:jc w:val="left"/>
              <w:rPr>
                <w:sz w:val="18"/>
              </w:rPr>
            </w:pPr>
            <w:r>
              <w:rPr>
                <w:sz w:val="18"/>
              </w:rPr>
              <w:t>uwsconnect Limited</w:t>
            </w:r>
          </w:p>
        </w:tc>
        <w:tc>
          <w:tcPr>
            <w:tcW w:w="3004" w:type="dxa"/>
          </w:tcPr>
          <w:p>
            <w:pPr>
              <w:pStyle w:val="TableParagraph"/>
              <w:spacing w:before="18"/>
              <w:ind w:left="875"/>
              <w:jc w:val="left"/>
              <w:rPr>
                <w:sz w:val="18"/>
              </w:rPr>
            </w:pPr>
            <w:r>
              <w:rPr>
                <w:sz w:val="18"/>
              </w:rPr>
              <w:t>Australia</w:t>
            </w:r>
          </w:p>
        </w:tc>
        <w:tc>
          <w:tcPr>
            <w:tcW w:w="674" w:type="dxa"/>
          </w:tcPr>
          <w:p>
            <w:pPr/>
          </w:p>
        </w:tc>
        <w:tc>
          <w:tcPr>
            <w:tcW w:w="711" w:type="dxa"/>
          </w:tcPr>
          <w:p>
            <w:pPr>
              <w:pStyle w:val="TableParagraph"/>
              <w:spacing w:before="18"/>
              <w:ind w:right="312"/>
              <w:rPr>
                <w:sz w:val="18"/>
              </w:rPr>
            </w:pPr>
            <w:r>
              <w:rPr>
                <w:sz w:val="18"/>
              </w:rPr>
              <w:t>100</w:t>
            </w:r>
          </w:p>
        </w:tc>
        <w:tc>
          <w:tcPr>
            <w:tcW w:w="565" w:type="dxa"/>
          </w:tcPr>
          <w:p>
            <w:pPr/>
          </w:p>
        </w:tc>
        <w:tc>
          <w:tcPr>
            <w:tcW w:w="424" w:type="dxa"/>
          </w:tcPr>
          <w:p>
            <w:pPr>
              <w:pStyle w:val="TableParagraph"/>
              <w:spacing w:before="18"/>
              <w:ind w:right="33"/>
              <w:rPr>
                <w:sz w:val="18"/>
              </w:rPr>
            </w:pPr>
            <w:r>
              <w:rPr>
                <w:sz w:val="18"/>
              </w:rPr>
              <w:t>100</w:t>
            </w:r>
          </w:p>
        </w:tc>
      </w:tr>
      <w:tr>
        <w:trPr>
          <w:trHeight w:val="527" w:hRule="exact"/>
        </w:trPr>
        <w:tc>
          <w:tcPr>
            <w:tcW w:w="4080" w:type="dxa"/>
          </w:tcPr>
          <w:p>
            <w:pPr>
              <w:pStyle w:val="TableParagraph"/>
              <w:spacing w:before="18"/>
              <w:ind w:left="35" w:right="843"/>
              <w:jc w:val="left"/>
              <w:rPr>
                <w:sz w:val="18"/>
              </w:rPr>
            </w:pPr>
            <w:r>
              <w:rPr>
                <w:sz w:val="18"/>
              </w:rPr>
              <w:t>Whitlam Institute (within Western Sydney University) Limited and Trust</w:t>
            </w:r>
          </w:p>
        </w:tc>
        <w:tc>
          <w:tcPr>
            <w:tcW w:w="3004" w:type="dxa"/>
          </w:tcPr>
          <w:p>
            <w:pPr>
              <w:pStyle w:val="TableParagraph"/>
              <w:spacing w:before="4"/>
              <w:jc w:val="left"/>
              <w:rPr>
                <w:b/>
                <w:sz w:val="19"/>
              </w:rPr>
            </w:pPr>
          </w:p>
          <w:p>
            <w:pPr>
              <w:pStyle w:val="TableParagraph"/>
              <w:ind w:left="875"/>
              <w:jc w:val="left"/>
              <w:rPr>
                <w:sz w:val="18"/>
              </w:rPr>
            </w:pPr>
            <w:r>
              <w:rPr>
                <w:sz w:val="18"/>
              </w:rPr>
              <w:t>Australia</w:t>
            </w:r>
          </w:p>
        </w:tc>
        <w:tc>
          <w:tcPr>
            <w:tcW w:w="674" w:type="dxa"/>
          </w:tcPr>
          <w:p>
            <w:pPr/>
          </w:p>
        </w:tc>
        <w:tc>
          <w:tcPr>
            <w:tcW w:w="711" w:type="dxa"/>
          </w:tcPr>
          <w:p>
            <w:pPr>
              <w:pStyle w:val="TableParagraph"/>
              <w:spacing w:before="4"/>
              <w:jc w:val="left"/>
              <w:rPr>
                <w:b/>
                <w:sz w:val="19"/>
              </w:rPr>
            </w:pPr>
          </w:p>
          <w:p>
            <w:pPr>
              <w:pStyle w:val="TableParagraph"/>
              <w:ind w:right="312"/>
              <w:rPr>
                <w:sz w:val="18"/>
              </w:rPr>
            </w:pPr>
            <w:r>
              <w:rPr>
                <w:sz w:val="18"/>
              </w:rPr>
              <w:t>100</w:t>
            </w:r>
          </w:p>
        </w:tc>
        <w:tc>
          <w:tcPr>
            <w:tcW w:w="565" w:type="dxa"/>
          </w:tcPr>
          <w:p>
            <w:pPr/>
          </w:p>
        </w:tc>
        <w:tc>
          <w:tcPr>
            <w:tcW w:w="424" w:type="dxa"/>
          </w:tcPr>
          <w:p>
            <w:pPr>
              <w:pStyle w:val="TableParagraph"/>
              <w:spacing w:before="4"/>
              <w:jc w:val="left"/>
              <w:rPr>
                <w:b/>
                <w:sz w:val="19"/>
              </w:rPr>
            </w:pPr>
          </w:p>
          <w:p>
            <w:pPr>
              <w:pStyle w:val="TableParagraph"/>
              <w:ind w:right="33"/>
              <w:rPr>
                <w:sz w:val="18"/>
              </w:rPr>
            </w:pPr>
            <w:r>
              <w:rPr>
                <w:sz w:val="18"/>
              </w:rPr>
              <w:t>100</w:t>
            </w:r>
          </w:p>
        </w:tc>
      </w:tr>
    </w:tbl>
    <w:p>
      <w:pPr>
        <w:pStyle w:val="BodyText"/>
        <w:spacing w:before="4"/>
        <w:rPr>
          <w:b/>
          <w:sz w:val="12"/>
        </w:rPr>
      </w:pPr>
    </w:p>
    <w:p>
      <w:pPr>
        <w:pStyle w:val="BodyText"/>
        <w:spacing w:before="77"/>
        <w:ind w:left="1825" w:right="1375"/>
      </w:pPr>
      <w:r>
        <w:rPr/>
        <w:t>Television Sydney (TVS) Limited received notice from the Federal Minister for Communications advising that the broadcast license would expire effective 31 December 2015. The Board of TVS decided to cease broadcasting on 20 December 2015, and finalise business operations on 31 December 2015. Television Sydney (TVS) Limited was</w:t>
      </w:r>
    </w:p>
    <w:p>
      <w:pPr>
        <w:pStyle w:val="BodyText"/>
        <w:spacing w:line="206" w:lineRule="exact"/>
        <w:ind w:left="1825"/>
      </w:pPr>
      <w:r>
        <w:rPr/>
        <w:t>de-registered on 9 November 2016.</w:t>
      </w:r>
    </w:p>
    <w:p>
      <w:pPr>
        <w:pStyle w:val="BodyText"/>
        <w:spacing w:before="11"/>
        <w:rPr>
          <w:sz w:val="24"/>
        </w:rPr>
      </w:pPr>
    </w:p>
    <w:p>
      <w:pPr>
        <w:pStyle w:val="BodyText"/>
        <w:ind w:left="1825" w:right="1375"/>
      </w:pPr>
      <w:r>
        <w:rPr/>
        <w:drawing>
          <wp:anchor distT="0" distB="0" distL="0" distR="0" allowOverlap="1" layoutInCell="1" locked="0" behindDoc="0" simplePos="0" relativeHeight="5608">
            <wp:simplePos x="0" y="0"/>
            <wp:positionH relativeFrom="page">
              <wp:posOffset>-1587</wp:posOffset>
            </wp:positionH>
            <wp:positionV relativeFrom="paragraph">
              <wp:posOffset>342060</wp:posOffset>
            </wp:positionV>
            <wp:extent cx="136525" cy="155575"/>
            <wp:effectExtent l="0" t="0" r="0" b="0"/>
            <wp:wrapNone/>
            <wp:docPr id="361" name="image13.png" descr=""/>
            <wp:cNvGraphicFramePr>
              <a:graphicFrameLocks noChangeAspect="1"/>
            </wp:cNvGraphicFramePr>
            <a:graphic>
              <a:graphicData uri="http://schemas.openxmlformats.org/drawingml/2006/picture">
                <pic:pic>
                  <pic:nvPicPr>
                    <pic:cNvPr id="362" name="image13.png"/>
                    <pic:cNvPicPr/>
                  </pic:nvPicPr>
                  <pic:blipFill>
                    <a:blip r:embed="rId18" cstate="print"/>
                    <a:stretch>
                      <a:fillRect/>
                    </a:stretch>
                  </pic:blipFill>
                  <pic:spPr>
                    <a:xfrm>
                      <a:off x="0" y="0"/>
                      <a:ext cx="136525" cy="155575"/>
                    </a:xfrm>
                    <a:prstGeom prst="rect">
                      <a:avLst/>
                    </a:prstGeom>
                  </pic:spPr>
                </pic:pic>
              </a:graphicData>
            </a:graphic>
          </wp:anchor>
        </w:drawing>
      </w:r>
      <w:r>
        <w:rPr/>
        <w:drawing>
          <wp:anchor distT="0" distB="0" distL="0" distR="0" allowOverlap="1" layoutInCell="1" locked="0" behindDoc="0" simplePos="0" relativeHeight="5632">
            <wp:simplePos x="0" y="0"/>
            <wp:positionH relativeFrom="page">
              <wp:posOffset>7958429</wp:posOffset>
            </wp:positionH>
            <wp:positionV relativeFrom="paragraph">
              <wp:posOffset>342060</wp:posOffset>
            </wp:positionV>
            <wp:extent cx="135953" cy="155575"/>
            <wp:effectExtent l="0" t="0" r="0" b="0"/>
            <wp:wrapNone/>
            <wp:docPr id="363" name="image15.png" descr=""/>
            <wp:cNvGraphicFramePr>
              <a:graphicFrameLocks noChangeAspect="1"/>
            </wp:cNvGraphicFramePr>
            <a:graphic>
              <a:graphicData uri="http://schemas.openxmlformats.org/drawingml/2006/picture">
                <pic:pic>
                  <pic:nvPicPr>
                    <pic:cNvPr id="364" name="image15.png"/>
                    <pic:cNvPicPr/>
                  </pic:nvPicPr>
                  <pic:blipFill>
                    <a:blip r:embed="rId20" cstate="print"/>
                    <a:stretch>
                      <a:fillRect/>
                    </a:stretch>
                  </pic:blipFill>
                  <pic:spPr>
                    <a:xfrm>
                      <a:off x="0" y="0"/>
                      <a:ext cx="135953" cy="155575"/>
                    </a:xfrm>
                    <a:prstGeom prst="rect">
                      <a:avLst/>
                    </a:prstGeom>
                  </pic:spPr>
                </pic:pic>
              </a:graphicData>
            </a:graphic>
          </wp:anchor>
        </w:drawing>
      </w:r>
      <w:bookmarkStart w:name="38 Joint Operations" w:id="146"/>
      <w:bookmarkEnd w:id="146"/>
      <w:r>
        <w:rPr/>
      </w:r>
      <w:r>
        <w:rPr/>
        <w:t>There are no significant restrictions on the group's ability to access or use the assets and settle the liabilities of the </w:t>
      </w:r>
      <w:bookmarkStart w:name=" Joint operation with Urban Growth at Ca" w:id="147"/>
      <w:bookmarkEnd w:id="147"/>
      <w:r>
        <w:rPr/>
      </w:r>
      <w:r>
        <w:rPr/>
        <w:t>group.</w:t>
      </w:r>
    </w:p>
    <w:p>
      <w:pPr>
        <w:pStyle w:val="BodyText"/>
        <w:spacing w:before="11"/>
        <w:rPr>
          <w:sz w:val="24"/>
        </w:rPr>
      </w:pPr>
    </w:p>
    <w:p>
      <w:pPr>
        <w:pStyle w:val="Heading8"/>
        <w:numPr>
          <w:ilvl w:val="0"/>
          <w:numId w:val="33"/>
        </w:numPr>
        <w:tabs>
          <w:tab w:pos="1826" w:val="left" w:leader="none"/>
        </w:tabs>
        <w:spacing w:line="240" w:lineRule="auto" w:before="0" w:after="0"/>
        <w:ind w:left="1825" w:right="0" w:hanging="396"/>
        <w:jc w:val="left"/>
      </w:pPr>
      <w:r>
        <w:rPr/>
        <w:t>Joint Operations</w:t>
      </w:r>
    </w:p>
    <w:p>
      <w:pPr>
        <w:pStyle w:val="BodyText"/>
        <w:spacing w:before="7"/>
        <w:rPr>
          <w:b/>
          <w:sz w:val="26"/>
        </w:rPr>
      </w:pPr>
    </w:p>
    <w:p>
      <w:pPr>
        <w:pStyle w:val="BodyText"/>
        <w:ind w:left="1825"/>
      </w:pPr>
      <w:r>
        <w:rPr/>
        <w:t>Joint operation with Urban Growth at Campbelltown</w:t>
      </w:r>
    </w:p>
    <w:p>
      <w:pPr>
        <w:pStyle w:val="BodyText"/>
        <w:spacing w:before="4"/>
        <w:rPr>
          <w:sz w:val="25"/>
        </w:rPr>
      </w:pPr>
    </w:p>
    <w:p>
      <w:pPr>
        <w:pStyle w:val="BodyText"/>
        <w:ind w:left="1825" w:right="1375"/>
      </w:pPr>
      <w:r>
        <w:rPr/>
        <w:t>The project is for the development of a residential subdivision comprising 966 lots over 122 hectares located on the south west portion of the Campbelltown property. Land sales commenced in 2014 and extend through a number of stages through 2017, subject to market demand. The development is located in a desirable south western portion of Campbelltown's Macarthur region, adjacent to the University campus, suburban shopping facilities, parks, and in close proximity to both a railway station and the Hume Highway. The infrastructure being built will also improve access to the University campus with a much needed second major entry road as part of the development.</w:t>
      </w:r>
    </w:p>
    <w:p>
      <w:pPr>
        <w:pStyle w:val="BodyText"/>
        <w:spacing w:before="11"/>
        <w:rPr>
          <w:sz w:val="24"/>
        </w:rPr>
      </w:pPr>
    </w:p>
    <w:p>
      <w:pPr>
        <w:pStyle w:val="BodyText"/>
        <w:ind w:left="1825" w:right="1407"/>
      </w:pPr>
      <w:r>
        <w:rPr/>
        <w:t>The University and Urban Growth each have a 50% interest in the operation, and share equally in the costs of development, and proceeds from sale of the developed lots. Due to decision making being shared equally, and the equal sharing of costs and output, the University has determined this to be a jointly controlled operation.</w:t>
      </w:r>
    </w:p>
    <w:p>
      <w:pPr>
        <w:pStyle w:val="BodyText"/>
      </w:pPr>
    </w:p>
    <w:p>
      <w:pPr>
        <w:pStyle w:val="BodyText"/>
      </w:pPr>
    </w:p>
    <w:p>
      <w:pPr>
        <w:pStyle w:val="Heading8"/>
        <w:spacing w:before="113"/>
        <w:ind w:left="9166" w:right="1971" w:hanging="88"/>
      </w:pPr>
      <w:r>
        <w:rPr/>
        <w:t>Ownership interest/ voting rights held</w:t>
      </w:r>
    </w:p>
    <w:p>
      <w:pPr>
        <w:spacing w:after="0"/>
        <w:sectPr>
          <w:pgSz w:w="12750" w:h="17680"/>
          <w:pgMar w:header="0" w:footer="927" w:top="2640" w:bottom="1120" w:left="0" w:right="0"/>
        </w:sectPr>
      </w:pPr>
    </w:p>
    <w:p>
      <w:pPr>
        <w:pStyle w:val="BodyText"/>
        <w:rPr>
          <w:b/>
        </w:rPr>
      </w:pPr>
    </w:p>
    <w:p>
      <w:pPr>
        <w:tabs>
          <w:tab w:pos="4286" w:val="left" w:leader="none"/>
        </w:tabs>
        <w:spacing w:before="133"/>
        <w:ind w:left="1948" w:right="0" w:firstLine="0"/>
        <w:jc w:val="left"/>
        <w:rPr>
          <w:b/>
          <w:sz w:val="18"/>
        </w:rPr>
      </w:pPr>
      <w:r>
        <w:rPr>
          <w:b/>
          <w:sz w:val="18"/>
        </w:rPr>
        <w:t>Name of joint operation</w:t>
        <w:tab/>
        <w:t>Nature of</w:t>
      </w:r>
      <w:r>
        <w:rPr>
          <w:b/>
          <w:spacing w:val="-1"/>
          <w:sz w:val="18"/>
        </w:rPr>
        <w:t> </w:t>
      </w:r>
      <w:r>
        <w:rPr>
          <w:b/>
          <w:sz w:val="18"/>
        </w:rPr>
        <w:t>relationship</w:t>
      </w:r>
    </w:p>
    <w:p>
      <w:pPr>
        <w:pStyle w:val="BodyText"/>
        <w:spacing w:before="62"/>
        <w:ind w:left="4113" w:right="-5"/>
      </w:pPr>
      <w:r>
        <w:rPr/>
        <w:t>Jointly controlled</w:t>
      </w:r>
      <w:r>
        <w:rPr>
          <w:spacing w:val="-23"/>
        </w:rPr>
        <w:t> </w:t>
      </w:r>
      <w:r>
        <w:rPr/>
        <w:t>operation with Urban Growth for</w:t>
      </w:r>
      <w:r>
        <w:rPr>
          <w:spacing w:val="-20"/>
        </w:rPr>
        <w:t> </w:t>
      </w:r>
      <w:r>
        <w:rPr/>
        <w:t>the</w:t>
      </w:r>
    </w:p>
    <w:p>
      <w:pPr>
        <w:pStyle w:val="Heading8"/>
        <w:spacing w:before="134"/>
        <w:ind w:left="802" w:right="-18" w:hanging="356"/>
      </w:pPr>
      <w:r>
        <w:rPr>
          <w:b w:val="0"/>
        </w:rPr>
        <w:br w:type="column"/>
      </w:r>
      <w:r>
        <w:rPr/>
        <w:t>Principal place of business</w:t>
      </w:r>
    </w:p>
    <w:p>
      <w:pPr>
        <w:spacing w:before="66"/>
        <w:ind w:left="0" w:right="0" w:firstLine="0"/>
        <w:jc w:val="right"/>
        <w:rPr>
          <w:b/>
          <w:sz w:val="18"/>
        </w:rPr>
      </w:pPr>
      <w:r>
        <w:rPr/>
        <w:br w:type="column"/>
      </w:r>
      <w:r>
        <w:rPr>
          <w:b/>
          <w:sz w:val="18"/>
        </w:rPr>
        <w:t>2016</w:t>
      </w:r>
    </w:p>
    <w:p>
      <w:pPr>
        <w:spacing w:before="66"/>
        <w:ind w:left="0" w:right="116" w:firstLine="0"/>
        <w:jc w:val="right"/>
        <w:rPr>
          <w:b/>
          <w:sz w:val="18"/>
        </w:rPr>
      </w:pPr>
      <w:r>
        <w:rPr>
          <w:b/>
          <w:w w:val="99"/>
          <w:sz w:val="18"/>
        </w:rPr>
        <w:t>%</w:t>
      </w:r>
    </w:p>
    <w:p>
      <w:pPr>
        <w:spacing w:before="66"/>
        <w:ind w:left="826" w:right="1969" w:firstLine="0"/>
        <w:jc w:val="center"/>
        <w:rPr>
          <w:b/>
          <w:sz w:val="18"/>
        </w:rPr>
      </w:pPr>
      <w:r>
        <w:rPr/>
        <w:br w:type="column"/>
      </w:r>
      <w:r>
        <w:rPr>
          <w:b/>
          <w:sz w:val="18"/>
        </w:rPr>
        <w:t>2015</w:t>
      </w:r>
    </w:p>
    <w:p>
      <w:pPr>
        <w:spacing w:before="66"/>
        <w:ind w:left="0" w:right="1142" w:firstLine="0"/>
        <w:jc w:val="center"/>
        <w:rPr>
          <w:b/>
          <w:sz w:val="18"/>
        </w:rPr>
      </w:pPr>
      <w:r>
        <w:rPr>
          <w:b/>
          <w:w w:val="99"/>
          <w:sz w:val="18"/>
        </w:rPr>
        <w:t>%</w:t>
      </w:r>
    </w:p>
    <w:p>
      <w:pPr>
        <w:spacing w:after="0"/>
        <w:jc w:val="center"/>
        <w:rPr>
          <w:sz w:val="18"/>
        </w:rPr>
        <w:sectPr>
          <w:type w:val="continuous"/>
          <w:pgSz w:w="12750" w:h="17680"/>
          <w:pgMar w:top="1660" w:bottom="0" w:left="0" w:right="0"/>
          <w:cols w:num="4" w:equalWidth="0">
            <w:col w:w="6247" w:space="40"/>
            <w:col w:w="1939" w:space="40"/>
            <w:col w:w="1207" w:space="40"/>
            <w:col w:w="3237"/>
          </w:cols>
        </w:sectPr>
      </w:pPr>
    </w:p>
    <w:p>
      <w:pPr>
        <w:pStyle w:val="BodyText"/>
        <w:ind w:left="1851" w:right="-10"/>
      </w:pPr>
      <w:r>
        <w:rPr/>
        <w:t>Campbelltown</w:t>
      </w:r>
      <w:r>
        <w:rPr>
          <w:spacing w:val="-20"/>
        </w:rPr>
        <w:t> </w:t>
      </w:r>
      <w:r>
        <w:rPr/>
        <w:t>residential development</w:t>
      </w:r>
    </w:p>
    <w:p>
      <w:pPr>
        <w:pStyle w:val="BodyText"/>
        <w:spacing w:line="206" w:lineRule="exact"/>
        <w:ind w:left="221"/>
      </w:pPr>
      <w:r>
        <w:rPr/>
        <w:br w:type="column"/>
      </w:r>
      <w:r>
        <w:rPr/>
        <w:t>residential subdivision of</w:t>
      </w:r>
    </w:p>
    <w:p>
      <w:pPr>
        <w:pStyle w:val="BodyText"/>
        <w:tabs>
          <w:tab w:pos="3237" w:val="left" w:leader="none"/>
          <w:tab w:pos="5755" w:val="left" w:leader="none"/>
          <w:tab w:pos="7223" w:val="right" w:leader="none"/>
        </w:tabs>
        <w:spacing w:line="207" w:lineRule="exact"/>
        <w:ind w:left="221"/>
      </w:pPr>
      <w:r>
        <w:rPr/>
        <w:t>land.</w:t>
        <w:tab/>
        <w:t>Australia</w:t>
        <w:tab/>
        <w:t>50</w:t>
      </w:r>
      <w:r>
        <w:rPr>
          <w:rFonts w:ascii="Times New Roman"/>
        </w:rPr>
        <w:tab/>
      </w:r>
      <w:r>
        <w:rPr/>
        <w:t>50</w:t>
      </w:r>
    </w:p>
    <w:p>
      <w:pPr>
        <w:spacing w:after="0" w:line="207" w:lineRule="exact"/>
        <w:sectPr>
          <w:type w:val="continuous"/>
          <w:pgSz w:w="12750" w:h="17680"/>
          <w:pgMar w:top="1660" w:bottom="0" w:left="0" w:right="0"/>
          <w:cols w:num="2" w:equalWidth="0">
            <w:col w:w="3853" w:space="40"/>
            <w:col w:w="8857"/>
          </w:cols>
        </w:sectPr>
      </w:pPr>
    </w:p>
    <w:p>
      <w:pPr>
        <w:pStyle w:val="BodyText"/>
      </w:pPr>
    </w:p>
    <w:p>
      <w:pPr>
        <w:pStyle w:val="BodyText"/>
      </w:pPr>
    </w:p>
    <w:p>
      <w:pPr>
        <w:pStyle w:val="BodyText"/>
        <w:spacing w:before="4"/>
        <w:rPr>
          <w:sz w:val="22"/>
        </w:rPr>
      </w:pPr>
    </w:p>
    <w:p>
      <w:pPr>
        <w:pStyle w:val="Heading8"/>
        <w:tabs>
          <w:tab w:pos="2391" w:val="left" w:leader="none"/>
        </w:tabs>
        <w:ind w:left="1824"/>
      </w:pPr>
      <w:r>
        <w:rPr/>
        <w:t>38</w:t>
        <w:tab/>
        <w:t>Joint Operations (continued)</w:t>
      </w:r>
    </w:p>
    <w:p>
      <w:pPr>
        <w:pStyle w:val="BodyText"/>
        <w:spacing w:before="7"/>
        <w:rPr>
          <w:b/>
          <w:sz w:val="26"/>
        </w:rPr>
      </w:pPr>
    </w:p>
    <w:p>
      <w:pPr>
        <w:pStyle w:val="BodyText"/>
        <w:ind w:left="2391"/>
      </w:pPr>
      <w:r>
        <w:rPr/>
        <w:t>Joint operation with Urban Growth at Campbelltown (continued)</w:t>
      </w:r>
    </w:p>
    <w:p>
      <w:pPr>
        <w:pStyle w:val="BodyText"/>
        <w:spacing w:before="4"/>
        <w:rPr>
          <w:sz w:val="25"/>
        </w:rPr>
      </w:pPr>
    </w:p>
    <w:p>
      <w:pPr>
        <w:pStyle w:val="BodyText"/>
        <w:ind w:left="1825" w:right="1407"/>
      </w:pPr>
      <w:r>
        <w:rPr/>
        <w:t>The assets and liabilities employed in the above jointly controlled operation, including Western Sydney University's share of any assets and liabilities held jointly, are detailed below. The amounts are included in the financial statements under their respective categories.</w:t>
      </w:r>
    </w:p>
    <w:p>
      <w:pPr>
        <w:pStyle w:val="BodyText"/>
      </w:pPr>
    </w:p>
    <w:p>
      <w:pPr>
        <w:pStyle w:val="BodyText"/>
      </w:pPr>
    </w:p>
    <w:p>
      <w:pPr>
        <w:pStyle w:val="Heading8"/>
        <w:tabs>
          <w:tab w:pos="9681" w:val="left" w:leader="none"/>
        </w:tabs>
        <w:spacing w:before="113"/>
        <w:ind w:left="6641"/>
      </w:pPr>
      <w:r>
        <w:rPr/>
        <w:t>Consolidated</w:t>
        <w:tab/>
        <w:t>Parent</w:t>
      </w:r>
    </w:p>
    <w:p>
      <w:pPr>
        <w:spacing w:after="0"/>
        <w:sectPr>
          <w:pgSz w:w="12750" w:h="17680"/>
          <w:pgMar w:header="0" w:footer="927" w:top="2640" w:bottom="1120" w:left="0" w:right="0"/>
        </w:sectPr>
      </w:pPr>
    </w:p>
    <w:p>
      <w:pPr>
        <w:spacing w:before="66"/>
        <w:ind w:left="0" w:right="19" w:firstLine="0"/>
        <w:jc w:val="right"/>
        <w:rPr>
          <w:b/>
          <w:sz w:val="18"/>
        </w:rPr>
      </w:pPr>
      <w:r>
        <w:rPr>
          <w:b/>
          <w:sz w:val="18"/>
        </w:rPr>
        <w:t>2016</w:t>
      </w:r>
    </w:p>
    <w:p>
      <w:pPr>
        <w:spacing w:before="66"/>
        <w:ind w:left="0" w:right="0" w:firstLine="0"/>
        <w:jc w:val="right"/>
        <w:rPr>
          <w:b/>
          <w:sz w:val="18"/>
        </w:rPr>
      </w:pPr>
      <w:r>
        <w:rPr>
          <w:b/>
          <w:sz w:val="18"/>
        </w:rPr>
        <w:t>$'000</w:t>
      </w:r>
    </w:p>
    <w:p>
      <w:pPr>
        <w:spacing w:before="66"/>
        <w:ind w:left="823" w:right="-16" w:firstLine="0"/>
        <w:jc w:val="left"/>
        <w:rPr>
          <w:b/>
          <w:sz w:val="18"/>
        </w:rPr>
      </w:pPr>
      <w:r>
        <w:rPr/>
        <w:br w:type="column"/>
      </w:r>
      <w:r>
        <w:rPr>
          <w:b/>
          <w:sz w:val="18"/>
        </w:rPr>
        <w:t>2015</w:t>
      </w:r>
    </w:p>
    <w:p>
      <w:pPr>
        <w:spacing w:before="66"/>
        <w:ind w:left="802" w:right="-16" w:firstLine="0"/>
        <w:jc w:val="left"/>
        <w:rPr>
          <w:b/>
          <w:sz w:val="18"/>
        </w:rPr>
      </w:pPr>
      <w:r>
        <w:rPr>
          <w:b/>
          <w:spacing w:val="-1"/>
          <w:sz w:val="18"/>
        </w:rPr>
        <w:t>$'000</w:t>
      </w:r>
    </w:p>
    <w:p>
      <w:pPr>
        <w:spacing w:before="66"/>
        <w:ind w:left="0" w:right="19" w:firstLine="0"/>
        <w:jc w:val="right"/>
        <w:rPr>
          <w:b/>
          <w:sz w:val="18"/>
        </w:rPr>
      </w:pPr>
      <w:r>
        <w:rPr/>
        <w:br w:type="column"/>
      </w:r>
      <w:r>
        <w:rPr>
          <w:b/>
          <w:sz w:val="18"/>
        </w:rPr>
        <w:t>2016</w:t>
      </w:r>
    </w:p>
    <w:p>
      <w:pPr>
        <w:spacing w:before="66"/>
        <w:ind w:left="0" w:right="0" w:firstLine="0"/>
        <w:jc w:val="right"/>
        <w:rPr>
          <w:b/>
          <w:sz w:val="18"/>
        </w:rPr>
      </w:pPr>
      <w:r>
        <w:rPr>
          <w:b/>
          <w:sz w:val="18"/>
        </w:rPr>
        <w:t>$'000</w:t>
      </w:r>
    </w:p>
    <w:p>
      <w:pPr>
        <w:spacing w:before="66"/>
        <w:ind w:left="823" w:right="0" w:firstLine="0"/>
        <w:jc w:val="left"/>
        <w:rPr>
          <w:b/>
          <w:sz w:val="18"/>
        </w:rPr>
      </w:pPr>
      <w:r>
        <w:rPr/>
        <w:br w:type="column"/>
      </w:r>
      <w:r>
        <w:rPr>
          <w:b/>
          <w:sz w:val="18"/>
        </w:rPr>
        <w:t>2015</w:t>
      </w:r>
    </w:p>
    <w:p>
      <w:pPr>
        <w:spacing w:before="66"/>
        <w:ind w:left="802" w:right="0" w:firstLine="0"/>
        <w:jc w:val="left"/>
        <w:rPr>
          <w:b/>
          <w:sz w:val="18"/>
        </w:rPr>
      </w:pPr>
      <w:r>
        <w:rPr>
          <w:b/>
          <w:sz w:val="18"/>
        </w:rPr>
        <w:t>$'000</w:t>
      </w:r>
    </w:p>
    <w:p>
      <w:pPr>
        <w:spacing w:after="0"/>
        <w:jc w:val="left"/>
        <w:rPr>
          <w:sz w:val="18"/>
        </w:rPr>
        <w:sectPr>
          <w:type w:val="continuous"/>
          <w:pgSz w:w="12750" w:h="17680"/>
          <w:pgMar w:top="1660" w:bottom="0" w:left="0" w:right="0"/>
          <w:cols w:num="4" w:equalWidth="0">
            <w:col w:w="6854" w:space="40"/>
            <w:col w:w="1245" w:space="40"/>
            <w:col w:w="1440" w:space="40"/>
            <w:col w:w="3091"/>
          </w:cols>
        </w:sectPr>
      </w:pPr>
    </w:p>
    <w:p>
      <w:pPr>
        <w:pStyle w:val="BodyText"/>
        <w:spacing w:before="11"/>
        <w:rPr>
          <w:b/>
          <w:sz w:val="5"/>
        </w:rPr>
      </w:pPr>
      <w:r>
        <w:rPr/>
        <w:drawing>
          <wp:anchor distT="0" distB="0" distL="0" distR="0" allowOverlap="1" layoutInCell="1" locked="0" behindDoc="0" simplePos="0" relativeHeight="5656">
            <wp:simplePos x="0" y="0"/>
            <wp:positionH relativeFrom="page">
              <wp:posOffset>-1587</wp:posOffset>
            </wp:positionH>
            <wp:positionV relativeFrom="page">
              <wp:posOffset>5534342</wp:posOffset>
            </wp:positionV>
            <wp:extent cx="135159" cy="154019"/>
            <wp:effectExtent l="0" t="0" r="0" b="0"/>
            <wp:wrapNone/>
            <wp:docPr id="365" name="image13.png" descr=""/>
            <wp:cNvGraphicFramePr>
              <a:graphicFrameLocks noChangeAspect="1"/>
            </wp:cNvGraphicFramePr>
            <a:graphic>
              <a:graphicData uri="http://schemas.openxmlformats.org/drawingml/2006/picture">
                <pic:pic>
                  <pic:nvPicPr>
                    <pic:cNvPr id="366" name="image13.png"/>
                    <pic:cNvPicPr/>
                  </pic:nvPicPr>
                  <pic:blipFill>
                    <a:blip r:embed="rId18" cstate="print"/>
                    <a:stretch>
                      <a:fillRect/>
                    </a:stretch>
                  </pic:blipFill>
                  <pic:spPr>
                    <a:xfrm>
                      <a:off x="0" y="0"/>
                      <a:ext cx="135159" cy="154019"/>
                    </a:xfrm>
                    <a:prstGeom prst="rect">
                      <a:avLst/>
                    </a:prstGeom>
                  </pic:spPr>
                </pic:pic>
              </a:graphicData>
            </a:graphic>
          </wp:anchor>
        </w:drawing>
      </w:r>
      <w:r>
        <w:rPr/>
        <w:drawing>
          <wp:anchor distT="0" distB="0" distL="0" distR="0" allowOverlap="1" layoutInCell="1" locked="0" behindDoc="0" simplePos="0" relativeHeight="5680">
            <wp:simplePos x="0" y="0"/>
            <wp:positionH relativeFrom="page">
              <wp:posOffset>7958429</wp:posOffset>
            </wp:positionH>
            <wp:positionV relativeFrom="page">
              <wp:posOffset>5534342</wp:posOffset>
            </wp:positionV>
            <wp:extent cx="135953" cy="155575"/>
            <wp:effectExtent l="0" t="0" r="0" b="0"/>
            <wp:wrapNone/>
            <wp:docPr id="367" name="image15.png" descr=""/>
            <wp:cNvGraphicFramePr>
              <a:graphicFrameLocks noChangeAspect="1"/>
            </wp:cNvGraphicFramePr>
            <a:graphic>
              <a:graphicData uri="http://schemas.openxmlformats.org/drawingml/2006/picture">
                <pic:pic>
                  <pic:nvPicPr>
                    <pic:cNvPr id="368" name="image15.png"/>
                    <pic:cNvPicPr/>
                  </pic:nvPicPr>
                  <pic:blipFill>
                    <a:blip r:embed="rId20" cstate="print"/>
                    <a:stretch>
                      <a:fillRect/>
                    </a:stretch>
                  </pic:blipFill>
                  <pic:spPr>
                    <a:xfrm>
                      <a:off x="0" y="0"/>
                      <a:ext cx="135953" cy="155575"/>
                    </a:xfrm>
                    <a:prstGeom prst="rect">
                      <a:avLst/>
                    </a:prstGeom>
                  </pic:spPr>
                </pic:pic>
              </a:graphicData>
            </a:graphic>
          </wp:anchor>
        </w:drawing>
      </w:r>
    </w:p>
    <w:tbl>
      <w:tblPr>
        <w:tblW w:w="0" w:type="auto"/>
        <w:jc w:val="left"/>
        <w:tblInd w:w="181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984"/>
        <w:gridCol w:w="1767"/>
        <w:gridCol w:w="1382"/>
        <w:gridCol w:w="1382"/>
        <w:gridCol w:w="1018"/>
      </w:tblGrid>
      <w:tr>
        <w:trPr>
          <w:trHeight w:val="558" w:hRule="exact"/>
        </w:trPr>
        <w:tc>
          <w:tcPr>
            <w:tcW w:w="3984" w:type="dxa"/>
          </w:tcPr>
          <w:p>
            <w:pPr>
              <w:pStyle w:val="TableParagraph"/>
              <w:spacing w:before="77"/>
              <w:ind w:left="35"/>
              <w:jc w:val="left"/>
              <w:rPr>
                <w:b/>
                <w:sz w:val="18"/>
              </w:rPr>
            </w:pPr>
            <w:r>
              <w:rPr>
                <w:b/>
                <w:sz w:val="18"/>
              </w:rPr>
              <w:t>Statement of Financial Position</w:t>
            </w:r>
          </w:p>
          <w:p>
            <w:pPr>
              <w:pStyle w:val="TableParagraph"/>
              <w:spacing w:before="29"/>
              <w:ind w:left="35"/>
              <w:jc w:val="left"/>
              <w:rPr>
                <w:sz w:val="18"/>
              </w:rPr>
            </w:pPr>
            <w:r>
              <w:rPr>
                <w:sz w:val="18"/>
              </w:rPr>
              <w:t>Other receivables</w:t>
            </w:r>
          </w:p>
        </w:tc>
        <w:tc>
          <w:tcPr>
            <w:tcW w:w="1767" w:type="dxa"/>
          </w:tcPr>
          <w:p>
            <w:pPr>
              <w:pStyle w:val="TableParagraph"/>
              <w:jc w:val="left"/>
              <w:rPr>
                <w:b/>
                <w:sz w:val="18"/>
              </w:rPr>
            </w:pPr>
          </w:p>
          <w:p>
            <w:pPr>
              <w:pStyle w:val="TableParagraph"/>
              <w:spacing w:before="105"/>
              <w:ind w:right="372"/>
              <w:rPr>
                <w:b/>
                <w:sz w:val="18"/>
              </w:rPr>
            </w:pPr>
            <w:r>
              <w:rPr>
                <w:b/>
                <w:sz w:val="18"/>
              </w:rPr>
              <w:t>2,083</w:t>
            </w:r>
          </w:p>
        </w:tc>
        <w:tc>
          <w:tcPr>
            <w:tcW w:w="1382" w:type="dxa"/>
          </w:tcPr>
          <w:p>
            <w:pPr>
              <w:pStyle w:val="TableParagraph"/>
              <w:jc w:val="left"/>
              <w:rPr>
                <w:b/>
                <w:sz w:val="18"/>
              </w:rPr>
            </w:pPr>
          </w:p>
          <w:p>
            <w:pPr>
              <w:pStyle w:val="TableParagraph"/>
              <w:spacing w:before="105"/>
              <w:ind w:right="456"/>
              <w:rPr>
                <w:sz w:val="18"/>
              </w:rPr>
            </w:pPr>
            <w:r>
              <w:rPr>
                <w:sz w:val="18"/>
              </w:rPr>
              <w:t>1,528</w:t>
            </w:r>
          </w:p>
        </w:tc>
        <w:tc>
          <w:tcPr>
            <w:tcW w:w="1382" w:type="dxa"/>
          </w:tcPr>
          <w:p>
            <w:pPr>
              <w:pStyle w:val="TableParagraph"/>
              <w:jc w:val="left"/>
              <w:rPr>
                <w:b/>
                <w:sz w:val="18"/>
              </w:rPr>
            </w:pPr>
          </w:p>
          <w:p>
            <w:pPr>
              <w:pStyle w:val="TableParagraph"/>
              <w:spacing w:before="105"/>
              <w:ind w:left="558"/>
              <w:jc w:val="left"/>
              <w:rPr>
                <w:b/>
                <w:sz w:val="18"/>
              </w:rPr>
            </w:pPr>
            <w:r>
              <w:rPr>
                <w:b/>
                <w:sz w:val="18"/>
              </w:rPr>
              <w:t>2,083</w:t>
            </w:r>
          </w:p>
        </w:tc>
        <w:tc>
          <w:tcPr>
            <w:tcW w:w="1018" w:type="dxa"/>
          </w:tcPr>
          <w:p>
            <w:pPr>
              <w:pStyle w:val="TableParagraph"/>
              <w:jc w:val="left"/>
              <w:rPr>
                <w:b/>
                <w:sz w:val="18"/>
              </w:rPr>
            </w:pPr>
          </w:p>
          <w:p>
            <w:pPr>
              <w:pStyle w:val="TableParagraph"/>
              <w:spacing w:before="105"/>
              <w:ind w:right="92"/>
              <w:rPr>
                <w:sz w:val="18"/>
              </w:rPr>
            </w:pPr>
            <w:r>
              <w:rPr>
                <w:sz w:val="18"/>
              </w:rPr>
              <w:t>1,528</w:t>
            </w:r>
          </w:p>
        </w:tc>
      </w:tr>
      <w:tr>
        <w:trPr>
          <w:trHeight w:val="264" w:hRule="exact"/>
        </w:trPr>
        <w:tc>
          <w:tcPr>
            <w:tcW w:w="3984" w:type="dxa"/>
          </w:tcPr>
          <w:p>
            <w:pPr>
              <w:pStyle w:val="TableParagraph"/>
              <w:spacing w:before="19"/>
              <w:ind w:left="35"/>
              <w:jc w:val="left"/>
              <w:rPr>
                <w:sz w:val="18"/>
              </w:rPr>
            </w:pPr>
            <w:r>
              <w:rPr>
                <w:sz w:val="18"/>
              </w:rPr>
              <w:t>Construction in Progress</w:t>
            </w:r>
          </w:p>
        </w:tc>
        <w:tc>
          <w:tcPr>
            <w:tcW w:w="1767" w:type="dxa"/>
          </w:tcPr>
          <w:p>
            <w:pPr>
              <w:pStyle w:val="TableParagraph"/>
              <w:spacing w:before="18"/>
              <w:ind w:right="372"/>
              <w:rPr>
                <w:b/>
                <w:sz w:val="18"/>
              </w:rPr>
            </w:pPr>
            <w:r>
              <w:rPr>
                <w:b/>
                <w:sz w:val="18"/>
              </w:rPr>
              <w:t>9,461</w:t>
            </w:r>
          </w:p>
        </w:tc>
        <w:tc>
          <w:tcPr>
            <w:tcW w:w="1382" w:type="dxa"/>
          </w:tcPr>
          <w:p>
            <w:pPr>
              <w:pStyle w:val="TableParagraph"/>
              <w:spacing w:before="18"/>
              <w:ind w:right="456"/>
              <w:rPr>
                <w:sz w:val="18"/>
              </w:rPr>
            </w:pPr>
            <w:r>
              <w:rPr>
                <w:w w:val="95"/>
                <w:sz w:val="18"/>
              </w:rPr>
              <w:t>12,079</w:t>
            </w:r>
          </w:p>
        </w:tc>
        <w:tc>
          <w:tcPr>
            <w:tcW w:w="1382" w:type="dxa"/>
          </w:tcPr>
          <w:p>
            <w:pPr>
              <w:pStyle w:val="TableParagraph"/>
              <w:spacing w:before="18"/>
              <w:ind w:left="558"/>
              <w:jc w:val="left"/>
              <w:rPr>
                <w:b/>
                <w:sz w:val="18"/>
              </w:rPr>
            </w:pPr>
            <w:r>
              <w:rPr>
                <w:b/>
                <w:sz w:val="18"/>
              </w:rPr>
              <w:t>9,461</w:t>
            </w:r>
          </w:p>
        </w:tc>
        <w:tc>
          <w:tcPr>
            <w:tcW w:w="1018" w:type="dxa"/>
          </w:tcPr>
          <w:p>
            <w:pPr>
              <w:pStyle w:val="TableParagraph"/>
              <w:spacing w:before="18"/>
              <w:ind w:right="92"/>
              <w:rPr>
                <w:sz w:val="18"/>
              </w:rPr>
            </w:pPr>
            <w:r>
              <w:rPr>
                <w:w w:val="95"/>
                <w:sz w:val="18"/>
              </w:rPr>
              <w:t>12,079</w:t>
            </w:r>
          </w:p>
        </w:tc>
      </w:tr>
      <w:tr>
        <w:trPr>
          <w:trHeight w:val="264" w:hRule="exact"/>
        </w:trPr>
        <w:tc>
          <w:tcPr>
            <w:tcW w:w="3984" w:type="dxa"/>
          </w:tcPr>
          <w:p>
            <w:pPr>
              <w:pStyle w:val="TableParagraph"/>
              <w:spacing w:before="19"/>
              <w:ind w:left="35"/>
              <w:jc w:val="left"/>
              <w:rPr>
                <w:sz w:val="18"/>
              </w:rPr>
            </w:pPr>
            <w:r>
              <w:rPr>
                <w:sz w:val="18"/>
              </w:rPr>
              <w:t>Deferred income</w:t>
            </w:r>
          </w:p>
        </w:tc>
        <w:tc>
          <w:tcPr>
            <w:tcW w:w="1767" w:type="dxa"/>
          </w:tcPr>
          <w:p>
            <w:pPr>
              <w:pStyle w:val="TableParagraph"/>
              <w:spacing w:before="18"/>
              <w:ind w:right="313"/>
              <w:rPr>
                <w:b/>
                <w:sz w:val="18"/>
              </w:rPr>
            </w:pPr>
            <w:r>
              <w:rPr>
                <w:b/>
                <w:sz w:val="18"/>
              </w:rPr>
              <w:t>(480)</w:t>
            </w:r>
          </w:p>
        </w:tc>
        <w:tc>
          <w:tcPr>
            <w:tcW w:w="1382" w:type="dxa"/>
          </w:tcPr>
          <w:p>
            <w:pPr>
              <w:pStyle w:val="TableParagraph"/>
              <w:spacing w:before="18"/>
              <w:ind w:right="396"/>
              <w:rPr>
                <w:sz w:val="18"/>
              </w:rPr>
            </w:pPr>
            <w:r>
              <w:rPr>
                <w:sz w:val="18"/>
              </w:rPr>
              <w:t>(495)</w:t>
            </w:r>
          </w:p>
        </w:tc>
        <w:tc>
          <w:tcPr>
            <w:tcW w:w="1382" w:type="dxa"/>
          </w:tcPr>
          <w:p>
            <w:pPr>
              <w:pStyle w:val="TableParagraph"/>
              <w:spacing w:before="18"/>
              <w:ind w:right="313"/>
              <w:rPr>
                <w:b/>
                <w:sz w:val="18"/>
              </w:rPr>
            </w:pPr>
            <w:r>
              <w:rPr>
                <w:b/>
                <w:sz w:val="18"/>
              </w:rPr>
              <w:t>(480)</w:t>
            </w:r>
          </w:p>
        </w:tc>
        <w:tc>
          <w:tcPr>
            <w:tcW w:w="1018" w:type="dxa"/>
          </w:tcPr>
          <w:p>
            <w:pPr>
              <w:pStyle w:val="TableParagraph"/>
              <w:spacing w:before="18"/>
              <w:ind w:right="33"/>
              <w:rPr>
                <w:sz w:val="18"/>
              </w:rPr>
            </w:pPr>
            <w:r>
              <w:rPr>
                <w:sz w:val="18"/>
              </w:rPr>
              <w:t>(495)</w:t>
            </w:r>
          </w:p>
        </w:tc>
      </w:tr>
      <w:tr>
        <w:trPr>
          <w:trHeight w:val="306" w:hRule="exact"/>
        </w:trPr>
        <w:tc>
          <w:tcPr>
            <w:tcW w:w="3984" w:type="dxa"/>
          </w:tcPr>
          <w:p>
            <w:pPr>
              <w:pStyle w:val="TableParagraph"/>
              <w:spacing w:before="19"/>
              <w:ind w:left="35"/>
              <w:jc w:val="left"/>
              <w:rPr>
                <w:sz w:val="18"/>
              </w:rPr>
            </w:pPr>
            <w:r>
              <w:rPr>
                <w:sz w:val="18"/>
              </w:rPr>
              <w:t>Trade and other payables</w:t>
            </w:r>
          </w:p>
        </w:tc>
        <w:tc>
          <w:tcPr>
            <w:tcW w:w="1767" w:type="dxa"/>
          </w:tcPr>
          <w:p>
            <w:pPr>
              <w:pStyle w:val="TableParagraph"/>
              <w:spacing w:before="18"/>
              <w:ind w:right="313"/>
              <w:rPr>
                <w:b/>
                <w:sz w:val="18"/>
              </w:rPr>
            </w:pPr>
            <w:r>
              <w:rPr>
                <w:b/>
                <w:w w:val="95"/>
                <w:sz w:val="18"/>
              </w:rPr>
              <w:t>(1,562)</w:t>
            </w:r>
          </w:p>
        </w:tc>
        <w:tc>
          <w:tcPr>
            <w:tcW w:w="1382" w:type="dxa"/>
          </w:tcPr>
          <w:p>
            <w:pPr>
              <w:pStyle w:val="TableParagraph"/>
              <w:spacing w:before="18"/>
              <w:ind w:right="396"/>
              <w:rPr>
                <w:sz w:val="18"/>
              </w:rPr>
            </w:pPr>
            <w:r>
              <w:rPr>
                <w:w w:val="95"/>
                <w:sz w:val="18"/>
              </w:rPr>
              <w:t>(1,744)</w:t>
            </w:r>
          </w:p>
        </w:tc>
        <w:tc>
          <w:tcPr>
            <w:tcW w:w="1382" w:type="dxa"/>
          </w:tcPr>
          <w:p>
            <w:pPr>
              <w:pStyle w:val="TableParagraph"/>
              <w:spacing w:before="18"/>
              <w:ind w:right="313"/>
              <w:rPr>
                <w:b/>
                <w:sz w:val="18"/>
              </w:rPr>
            </w:pPr>
            <w:r>
              <w:rPr>
                <w:b/>
                <w:w w:val="95"/>
                <w:sz w:val="18"/>
              </w:rPr>
              <w:t>(1,562)</w:t>
            </w:r>
          </w:p>
        </w:tc>
        <w:tc>
          <w:tcPr>
            <w:tcW w:w="1018" w:type="dxa"/>
          </w:tcPr>
          <w:p>
            <w:pPr>
              <w:pStyle w:val="TableParagraph"/>
              <w:spacing w:before="18"/>
              <w:ind w:right="33"/>
              <w:rPr>
                <w:sz w:val="18"/>
              </w:rPr>
            </w:pPr>
            <w:r>
              <w:rPr>
                <w:w w:val="95"/>
                <w:sz w:val="18"/>
              </w:rPr>
              <w:t>(1,744)</w:t>
            </w:r>
          </w:p>
        </w:tc>
      </w:tr>
      <w:tr>
        <w:trPr>
          <w:trHeight w:val="541" w:hRule="exact"/>
        </w:trPr>
        <w:tc>
          <w:tcPr>
            <w:tcW w:w="3984" w:type="dxa"/>
          </w:tcPr>
          <w:p>
            <w:pPr>
              <w:pStyle w:val="TableParagraph"/>
              <w:spacing w:before="60"/>
              <w:ind w:left="35"/>
              <w:jc w:val="left"/>
              <w:rPr>
                <w:b/>
                <w:sz w:val="18"/>
              </w:rPr>
            </w:pPr>
            <w:r>
              <w:rPr>
                <w:b/>
                <w:sz w:val="18"/>
              </w:rPr>
              <w:t>Statement of Comprehensive Income</w:t>
            </w:r>
          </w:p>
          <w:p>
            <w:pPr>
              <w:pStyle w:val="TableParagraph"/>
              <w:spacing w:before="29"/>
              <w:ind w:left="35"/>
              <w:jc w:val="left"/>
              <w:rPr>
                <w:sz w:val="18"/>
              </w:rPr>
            </w:pPr>
            <w:r>
              <w:rPr>
                <w:sz w:val="18"/>
              </w:rPr>
              <w:t>Proceeds from sale of assets</w:t>
            </w:r>
          </w:p>
        </w:tc>
        <w:tc>
          <w:tcPr>
            <w:tcW w:w="1767" w:type="dxa"/>
          </w:tcPr>
          <w:p>
            <w:pPr>
              <w:pStyle w:val="TableParagraph"/>
              <w:spacing w:before="8"/>
              <w:jc w:val="left"/>
              <w:rPr>
                <w:b/>
                <w:sz w:val="25"/>
              </w:rPr>
            </w:pPr>
          </w:p>
          <w:p>
            <w:pPr>
              <w:pStyle w:val="TableParagraph"/>
              <w:ind w:right="372"/>
              <w:rPr>
                <w:b/>
                <w:sz w:val="18"/>
              </w:rPr>
            </w:pPr>
            <w:r>
              <w:rPr>
                <w:b/>
                <w:w w:val="95"/>
                <w:sz w:val="18"/>
              </w:rPr>
              <w:t>25,173</w:t>
            </w:r>
          </w:p>
        </w:tc>
        <w:tc>
          <w:tcPr>
            <w:tcW w:w="1382" w:type="dxa"/>
          </w:tcPr>
          <w:p>
            <w:pPr>
              <w:pStyle w:val="TableParagraph"/>
              <w:spacing w:before="8"/>
              <w:jc w:val="left"/>
              <w:rPr>
                <w:b/>
                <w:sz w:val="25"/>
              </w:rPr>
            </w:pPr>
          </w:p>
          <w:p>
            <w:pPr>
              <w:pStyle w:val="TableParagraph"/>
              <w:ind w:right="456"/>
              <w:rPr>
                <w:sz w:val="18"/>
              </w:rPr>
            </w:pPr>
            <w:r>
              <w:rPr>
                <w:w w:val="95"/>
                <w:sz w:val="18"/>
              </w:rPr>
              <w:t>31,350</w:t>
            </w:r>
          </w:p>
        </w:tc>
        <w:tc>
          <w:tcPr>
            <w:tcW w:w="1382" w:type="dxa"/>
          </w:tcPr>
          <w:p>
            <w:pPr>
              <w:pStyle w:val="TableParagraph"/>
              <w:spacing w:before="8"/>
              <w:jc w:val="left"/>
              <w:rPr>
                <w:b/>
                <w:sz w:val="25"/>
              </w:rPr>
            </w:pPr>
          </w:p>
          <w:p>
            <w:pPr>
              <w:pStyle w:val="TableParagraph"/>
              <w:ind w:left="458"/>
              <w:jc w:val="left"/>
              <w:rPr>
                <w:b/>
                <w:sz w:val="18"/>
              </w:rPr>
            </w:pPr>
            <w:r>
              <w:rPr>
                <w:b/>
                <w:sz w:val="18"/>
              </w:rPr>
              <w:t>25,173</w:t>
            </w:r>
          </w:p>
        </w:tc>
        <w:tc>
          <w:tcPr>
            <w:tcW w:w="1018" w:type="dxa"/>
          </w:tcPr>
          <w:p>
            <w:pPr>
              <w:pStyle w:val="TableParagraph"/>
              <w:spacing w:before="8"/>
              <w:jc w:val="left"/>
              <w:rPr>
                <w:b/>
                <w:sz w:val="25"/>
              </w:rPr>
            </w:pPr>
          </w:p>
          <w:p>
            <w:pPr>
              <w:pStyle w:val="TableParagraph"/>
              <w:ind w:right="92"/>
              <w:rPr>
                <w:sz w:val="18"/>
              </w:rPr>
            </w:pPr>
            <w:r>
              <w:rPr>
                <w:w w:val="95"/>
                <w:sz w:val="18"/>
              </w:rPr>
              <w:t>31,350</w:t>
            </w:r>
          </w:p>
        </w:tc>
      </w:tr>
      <w:tr>
        <w:trPr>
          <w:trHeight w:val="264" w:hRule="exact"/>
        </w:trPr>
        <w:tc>
          <w:tcPr>
            <w:tcW w:w="3984" w:type="dxa"/>
          </w:tcPr>
          <w:p>
            <w:pPr>
              <w:pStyle w:val="TableParagraph"/>
              <w:spacing w:before="19"/>
              <w:ind w:left="35"/>
              <w:jc w:val="left"/>
              <w:rPr>
                <w:sz w:val="18"/>
              </w:rPr>
            </w:pPr>
            <w:r>
              <w:rPr>
                <w:sz w:val="18"/>
              </w:rPr>
              <w:t>Carrying amount of assets sold</w:t>
            </w:r>
          </w:p>
        </w:tc>
        <w:tc>
          <w:tcPr>
            <w:tcW w:w="1767" w:type="dxa"/>
          </w:tcPr>
          <w:p>
            <w:pPr>
              <w:pStyle w:val="TableParagraph"/>
              <w:spacing w:before="18"/>
              <w:ind w:right="313"/>
              <w:rPr>
                <w:b/>
                <w:sz w:val="18"/>
              </w:rPr>
            </w:pPr>
            <w:r>
              <w:rPr>
                <w:b/>
                <w:w w:val="95"/>
                <w:sz w:val="18"/>
              </w:rPr>
              <w:t>(11,310)</w:t>
            </w:r>
          </w:p>
        </w:tc>
        <w:tc>
          <w:tcPr>
            <w:tcW w:w="1382" w:type="dxa"/>
          </w:tcPr>
          <w:p>
            <w:pPr>
              <w:pStyle w:val="TableParagraph"/>
              <w:spacing w:before="18"/>
              <w:ind w:right="396"/>
              <w:rPr>
                <w:sz w:val="18"/>
              </w:rPr>
            </w:pPr>
            <w:r>
              <w:rPr>
                <w:w w:val="95"/>
                <w:sz w:val="18"/>
              </w:rPr>
              <w:t>(18,620)</w:t>
            </w:r>
          </w:p>
        </w:tc>
        <w:tc>
          <w:tcPr>
            <w:tcW w:w="1382" w:type="dxa"/>
          </w:tcPr>
          <w:p>
            <w:pPr>
              <w:pStyle w:val="TableParagraph"/>
              <w:spacing w:before="18"/>
              <w:ind w:right="313"/>
              <w:rPr>
                <w:b/>
                <w:sz w:val="18"/>
              </w:rPr>
            </w:pPr>
            <w:r>
              <w:rPr>
                <w:b/>
                <w:w w:val="95"/>
                <w:sz w:val="18"/>
              </w:rPr>
              <w:t>(11,310)</w:t>
            </w:r>
          </w:p>
        </w:tc>
        <w:tc>
          <w:tcPr>
            <w:tcW w:w="1018" w:type="dxa"/>
          </w:tcPr>
          <w:p>
            <w:pPr>
              <w:pStyle w:val="TableParagraph"/>
              <w:spacing w:before="18"/>
              <w:ind w:right="33"/>
              <w:rPr>
                <w:sz w:val="18"/>
              </w:rPr>
            </w:pPr>
            <w:r>
              <w:rPr>
                <w:w w:val="95"/>
                <w:sz w:val="18"/>
              </w:rPr>
              <w:t>(18,620)</w:t>
            </w:r>
          </w:p>
        </w:tc>
      </w:tr>
      <w:tr>
        <w:trPr>
          <w:trHeight w:val="264" w:hRule="exact"/>
        </w:trPr>
        <w:tc>
          <w:tcPr>
            <w:tcW w:w="3984" w:type="dxa"/>
          </w:tcPr>
          <w:p>
            <w:pPr>
              <w:pStyle w:val="TableParagraph"/>
              <w:spacing w:before="19"/>
              <w:ind w:left="35"/>
              <w:jc w:val="left"/>
              <w:rPr>
                <w:sz w:val="18"/>
              </w:rPr>
            </w:pPr>
            <w:r>
              <w:rPr>
                <w:sz w:val="18"/>
              </w:rPr>
              <w:t>Gain on disposal of assets</w:t>
            </w:r>
          </w:p>
        </w:tc>
        <w:tc>
          <w:tcPr>
            <w:tcW w:w="1767" w:type="dxa"/>
          </w:tcPr>
          <w:p>
            <w:pPr>
              <w:pStyle w:val="TableParagraph"/>
              <w:spacing w:before="18"/>
              <w:ind w:right="372"/>
              <w:rPr>
                <w:b/>
                <w:sz w:val="18"/>
              </w:rPr>
            </w:pPr>
            <w:r>
              <w:rPr>
                <w:b/>
                <w:w w:val="95"/>
                <w:sz w:val="18"/>
              </w:rPr>
              <w:t>13,863</w:t>
            </w:r>
          </w:p>
        </w:tc>
        <w:tc>
          <w:tcPr>
            <w:tcW w:w="1382" w:type="dxa"/>
          </w:tcPr>
          <w:p>
            <w:pPr>
              <w:pStyle w:val="TableParagraph"/>
              <w:spacing w:before="18"/>
              <w:ind w:right="456"/>
              <w:rPr>
                <w:sz w:val="18"/>
              </w:rPr>
            </w:pPr>
            <w:r>
              <w:rPr>
                <w:w w:val="95"/>
                <w:sz w:val="18"/>
              </w:rPr>
              <w:t>12,730</w:t>
            </w:r>
          </w:p>
        </w:tc>
        <w:tc>
          <w:tcPr>
            <w:tcW w:w="1382" w:type="dxa"/>
          </w:tcPr>
          <w:p>
            <w:pPr>
              <w:pStyle w:val="TableParagraph"/>
              <w:spacing w:before="18"/>
              <w:ind w:left="458"/>
              <w:jc w:val="left"/>
              <w:rPr>
                <w:b/>
                <w:sz w:val="18"/>
              </w:rPr>
            </w:pPr>
            <w:r>
              <w:rPr>
                <w:b/>
                <w:sz w:val="18"/>
              </w:rPr>
              <w:t>13,863</w:t>
            </w:r>
          </w:p>
        </w:tc>
        <w:tc>
          <w:tcPr>
            <w:tcW w:w="1018" w:type="dxa"/>
          </w:tcPr>
          <w:p>
            <w:pPr>
              <w:pStyle w:val="TableParagraph"/>
              <w:spacing w:before="18"/>
              <w:ind w:right="92"/>
              <w:rPr>
                <w:sz w:val="18"/>
              </w:rPr>
            </w:pPr>
            <w:r>
              <w:rPr>
                <w:w w:val="95"/>
                <w:sz w:val="18"/>
              </w:rPr>
              <w:t>12,730</w:t>
            </w:r>
          </w:p>
        </w:tc>
      </w:tr>
      <w:tr>
        <w:trPr>
          <w:trHeight w:val="264" w:hRule="exact"/>
        </w:trPr>
        <w:tc>
          <w:tcPr>
            <w:tcW w:w="3984" w:type="dxa"/>
          </w:tcPr>
          <w:p>
            <w:pPr>
              <w:pStyle w:val="TableParagraph"/>
              <w:spacing w:before="19"/>
              <w:ind w:left="35"/>
              <w:jc w:val="left"/>
              <w:rPr>
                <w:sz w:val="18"/>
              </w:rPr>
            </w:pPr>
            <w:r>
              <w:rPr>
                <w:sz w:val="18"/>
              </w:rPr>
              <w:t>Other expenses</w:t>
            </w:r>
          </w:p>
        </w:tc>
        <w:tc>
          <w:tcPr>
            <w:tcW w:w="1767" w:type="dxa"/>
          </w:tcPr>
          <w:p>
            <w:pPr>
              <w:pStyle w:val="TableParagraph"/>
              <w:spacing w:before="18"/>
              <w:ind w:right="372"/>
              <w:rPr>
                <w:b/>
                <w:sz w:val="18"/>
              </w:rPr>
            </w:pPr>
            <w:r>
              <w:rPr>
                <w:b/>
                <w:w w:val="99"/>
                <w:sz w:val="18"/>
              </w:rPr>
              <w:t>7</w:t>
            </w:r>
          </w:p>
        </w:tc>
        <w:tc>
          <w:tcPr>
            <w:tcW w:w="1382" w:type="dxa"/>
          </w:tcPr>
          <w:p>
            <w:pPr>
              <w:pStyle w:val="TableParagraph"/>
              <w:spacing w:before="18"/>
              <w:ind w:right="396"/>
              <w:rPr>
                <w:sz w:val="18"/>
              </w:rPr>
            </w:pPr>
            <w:r>
              <w:rPr>
                <w:sz w:val="18"/>
              </w:rPr>
              <w:t>(644)</w:t>
            </w:r>
          </w:p>
        </w:tc>
        <w:tc>
          <w:tcPr>
            <w:tcW w:w="1382" w:type="dxa"/>
          </w:tcPr>
          <w:p>
            <w:pPr>
              <w:pStyle w:val="TableParagraph"/>
              <w:spacing w:before="18"/>
              <w:ind w:right="372"/>
              <w:rPr>
                <w:b/>
                <w:sz w:val="18"/>
              </w:rPr>
            </w:pPr>
            <w:r>
              <w:rPr>
                <w:b/>
                <w:w w:val="99"/>
                <w:sz w:val="18"/>
              </w:rPr>
              <w:t>7</w:t>
            </w:r>
          </w:p>
        </w:tc>
        <w:tc>
          <w:tcPr>
            <w:tcW w:w="1018" w:type="dxa"/>
          </w:tcPr>
          <w:p>
            <w:pPr>
              <w:pStyle w:val="TableParagraph"/>
              <w:spacing w:before="18"/>
              <w:ind w:right="33"/>
              <w:rPr>
                <w:sz w:val="18"/>
              </w:rPr>
            </w:pPr>
            <w:r>
              <w:rPr>
                <w:sz w:val="18"/>
              </w:rPr>
              <w:t>(644)</w:t>
            </w:r>
          </w:p>
        </w:tc>
      </w:tr>
      <w:tr>
        <w:trPr>
          <w:trHeight w:val="323" w:hRule="exact"/>
        </w:trPr>
        <w:tc>
          <w:tcPr>
            <w:tcW w:w="3984" w:type="dxa"/>
          </w:tcPr>
          <w:p>
            <w:pPr>
              <w:pStyle w:val="TableParagraph"/>
              <w:spacing w:before="19"/>
              <w:ind w:left="35"/>
              <w:jc w:val="left"/>
              <w:rPr>
                <w:sz w:val="18"/>
              </w:rPr>
            </w:pPr>
            <w:r>
              <w:rPr>
                <w:sz w:val="18"/>
              </w:rPr>
              <w:t>Interest revenue</w:t>
            </w:r>
          </w:p>
        </w:tc>
        <w:tc>
          <w:tcPr>
            <w:tcW w:w="1767" w:type="dxa"/>
          </w:tcPr>
          <w:p>
            <w:pPr>
              <w:pStyle w:val="TableParagraph"/>
              <w:spacing w:before="18"/>
              <w:ind w:right="313"/>
              <w:rPr>
                <w:b/>
                <w:sz w:val="18"/>
              </w:rPr>
            </w:pPr>
            <w:r>
              <w:rPr>
                <w:b/>
                <w:sz w:val="18"/>
              </w:rPr>
              <w:t>(500)</w:t>
            </w:r>
          </w:p>
        </w:tc>
        <w:tc>
          <w:tcPr>
            <w:tcW w:w="1382" w:type="dxa"/>
          </w:tcPr>
          <w:p>
            <w:pPr>
              <w:pStyle w:val="TableParagraph"/>
              <w:spacing w:before="18"/>
              <w:ind w:right="456"/>
              <w:rPr>
                <w:sz w:val="18"/>
              </w:rPr>
            </w:pPr>
            <w:r>
              <w:rPr>
                <w:sz w:val="18"/>
              </w:rPr>
              <w:t>13</w:t>
            </w:r>
          </w:p>
        </w:tc>
        <w:tc>
          <w:tcPr>
            <w:tcW w:w="1382" w:type="dxa"/>
          </w:tcPr>
          <w:p>
            <w:pPr>
              <w:pStyle w:val="TableParagraph"/>
              <w:spacing w:before="18"/>
              <w:ind w:right="313"/>
              <w:rPr>
                <w:b/>
                <w:sz w:val="18"/>
              </w:rPr>
            </w:pPr>
            <w:r>
              <w:rPr>
                <w:b/>
                <w:sz w:val="18"/>
              </w:rPr>
              <w:t>(500)</w:t>
            </w:r>
          </w:p>
        </w:tc>
        <w:tc>
          <w:tcPr>
            <w:tcW w:w="1018" w:type="dxa"/>
          </w:tcPr>
          <w:p>
            <w:pPr>
              <w:pStyle w:val="TableParagraph"/>
              <w:spacing w:before="18"/>
              <w:ind w:right="92"/>
              <w:rPr>
                <w:sz w:val="18"/>
              </w:rPr>
            </w:pPr>
            <w:r>
              <w:rPr>
                <w:sz w:val="18"/>
              </w:rPr>
              <w:t>13</w:t>
            </w:r>
          </w:p>
        </w:tc>
      </w:tr>
    </w:tbl>
    <w:p>
      <w:pPr>
        <w:spacing w:after="0"/>
        <w:rPr>
          <w:sz w:val="18"/>
        </w:rPr>
        <w:sectPr>
          <w:type w:val="continuous"/>
          <w:pgSz w:w="12750" w:h="17680"/>
          <w:pgMar w:top="1660" w:bottom="0" w:left="0" w:right="0"/>
        </w:sectPr>
      </w:pPr>
    </w:p>
    <w:p>
      <w:pPr>
        <w:pStyle w:val="BodyText"/>
        <w:rPr>
          <w:b/>
          <w:sz w:val="20"/>
        </w:rPr>
      </w:pPr>
    </w:p>
    <w:p>
      <w:pPr>
        <w:pStyle w:val="BodyText"/>
        <w:rPr>
          <w:b/>
          <w:sz w:val="20"/>
        </w:rPr>
      </w:pPr>
    </w:p>
    <w:p>
      <w:pPr>
        <w:pStyle w:val="BodyText"/>
        <w:spacing w:before="4"/>
        <w:rPr>
          <w:b/>
        </w:rPr>
      </w:pPr>
    </w:p>
    <w:p>
      <w:pPr>
        <w:pStyle w:val="ListParagraph"/>
        <w:numPr>
          <w:ilvl w:val="0"/>
          <w:numId w:val="33"/>
        </w:numPr>
        <w:tabs>
          <w:tab w:pos="1826" w:val="left" w:leader="none"/>
        </w:tabs>
        <w:spacing w:line="240" w:lineRule="auto" w:before="0" w:after="0"/>
        <w:ind w:left="1825" w:right="0" w:hanging="396"/>
        <w:jc w:val="left"/>
        <w:rPr>
          <w:b/>
          <w:sz w:val="18"/>
        </w:rPr>
      </w:pPr>
      <w:bookmarkStart w:name="39 Reconciliation of Net Results to Net " w:id="148"/>
      <w:bookmarkEnd w:id="148"/>
      <w:r>
        <w:rPr/>
      </w:r>
      <w:bookmarkStart w:name="39 Reconciliation of Net Results to Net " w:id="149"/>
      <w:bookmarkEnd w:id="149"/>
      <w:r>
        <w:rPr>
          <w:b/>
          <w:sz w:val="18"/>
        </w:rPr>
        <w:t>Reconciliation</w:t>
      </w:r>
      <w:r>
        <w:rPr>
          <w:b/>
          <w:sz w:val="18"/>
        </w:rPr>
        <w:t> of Net Results to Net Cash Flows From Operating</w:t>
      </w:r>
      <w:r>
        <w:rPr>
          <w:b/>
          <w:spacing w:val="-7"/>
          <w:sz w:val="18"/>
        </w:rPr>
        <w:t> </w:t>
      </w:r>
      <w:r>
        <w:rPr>
          <w:b/>
          <w:sz w:val="18"/>
        </w:rPr>
        <w:t>Activities</w:t>
      </w:r>
    </w:p>
    <w:p>
      <w:pPr>
        <w:pStyle w:val="BodyText"/>
        <w:rPr>
          <w:b/>
        </w:rPr>
      </w:pPr>
    </w:p>
    <w:p>
      <w:pPr>
        <w:pStyle w:val="BodyText"/>
        <w:rPr>
          <w:b/>
        </w:rPr>
      </w:pPr>
    </w:p>
    <w:p>
      <w:pPr>
        <w:tabs>
          <w:tab w:pos="9703" w:val="left" w:leader="none"/>
        </w:tabs>
        <w:spacing w:before="113"/>
        <w:ind w:left="6649" w:right="0" w:firstLine="0"/>
        <w:jc w:val="left"/>
        <w:rPr>
          <w:b/>
          <w:sz w:val="18"/>
        </w:rPr>
      </w:pPr>
      <w:r>
        <w:rPr>
          <w:b/>
          <w:sz w:val="18"/>
        </w:rPr>
        <w:t>Consolidated</w:t>
        <w:tab/>
        <w:t>Parent</w:t>
      </w:r>
    </w:p>
    <w:p>
      <w:pPr>
        <w:spacing w:after="0"/>
        <w:jc w:val="left"/>
        <w:rPr>
          <w:sz w:val="18"/>
        </w:rPr>
        <w:sectPr>
          <w:pgSz w:w="12750" w:h="17680"/>
          <w:pgMar w:header="0" w:footer="927" w:top="2640" w:bottom="1120" w:left="0" w:right="0"/>
        </w:sectPr>
      </w:pPr>
    </w:p>
    <w:p>
      <w:pPr>
        <w:spacing w:before="66"/>
        <w:ind w:left="0" w:right="19" w:firstLine="0"/>
        <w:jc w:val="right"/>
        <w:rPr>
          <w:b/>
          <w:sz w:val="18"/>
        </w:rPr>
      </w:pPr>
      <w:r>
        <w:rPr>
          <w:b/>
          <w:sz w:val="18"/>
        </w:rPr>
        <w:t>2016</w:t>
      </w:r>
    </w:p>
    <w:p>
      <w:pPr>
        <w:spacing w:before="66"/>
        <w:ind w:left="0" w:right="0" w:firstLine="0"/>
        <w:jc w:val="right"/>
        <w:rPr>
          <w:b/>
          <w:sz w:val="18"/>
        </w:rPr>
      </w:pPr>
      <w:r>
        <w:rPr>
          <w:b/>
          <w:sz w:val="18"/>
        </w:rPr>
        <w:t>$'000</w:t>
      </w:r>
    </w:p>
    <w:p>
      <w:pPr>
        <w:spacing w:before="66"/>
        <w:ind w:left="822" w:right="-17" w:firstLine="0"/>
        <w:jc w:val="left"/>
        <w:rPr>
          <w:b/>
          <w:sz w:val="18"/>
        </w:rPr>
      </w:pPr>
      <w:r>
        <w:rPr/>
        <w:br w:type="column"/>
      </w:r>
      <w:r>
        <w:rPr>
          <w:b/>
          <w:sz w:val="18"/>
        </w:rPr>
        <w:t>2015</w:t>
      </w:r>
    </w:p>
    <w:p>
      <w:pPr>
        <w:spacing w:before="66"/>
        <w:ind w:left="801" w:right="-17" w:firstLine="0"/>
        <w:jc w:val="left"/>
        <w:rPr>
          <w:b/>
          <w:sz w:val="18"/>
        </w:rPr>
      </w:pPr>
      <w:r>
        <w:rPr>
          <w:b/>
          <w:spacing w:val="-1"/>
          <w:sz w:val="18"/>
        </w:rPr>
        <w:t>$'000</w:t>
      </w:r>
    </w:p>
    <w:p>
      <w:pPr>
        <w:spacing w:before="66"/>
        <w:ind w:left="0" w:right="19" w:firstLine="0"/>
        <w:jc w:val="right"/>
        <w:rPr>
          <w:b/>
          <w:sz w:val="18"/>
        </w:rPr>
      </w:pPr>
      <w:r>
        <w:rPr/>
        <w:br w:type="column"/>
      </w:r>
      <w:r>
        <w:rPr>
          <w:b/>
          <w:sz w:val="18"/>
        </w:rPr>
        <w:t>2016</w:t>
      </w:r>
    </w:p>
    <w:p>
      <w:pPr>
        <w:spacing w:before="66"/>
        <w:ind w:left="0" w:right="0" w:firstLine="0"/>
        <w:jc w:val="right"/>
        <w:rPr>
          <w:b/>
          <w:sz w:val="18"/>
        </w:rPr>
      </w:pPr>
      <w:r>
        <w:rPr>
          <w:b/>
          <w:sz w:val="18"/>
        </w:rPr>
        <w:t>$'000</w:t>
      </w:r>
    </w:p>
    <w:p>
      <w:pPr>
        <w:spacing w:before="66"/>
        <w:ind w:left="822" w:right="0" w:firstLine="0"/>
        <w:jc w:val="left"/>
        <w:rPr>
          <w:b/>
          <w:sz w:val="18"/>
        </w:rPr>
      </w:pPr>
      <w:r>
        <w:rPr/>
        <w:br w:type="column"/>
      </w:r>
      <w:r>
        <w:rPr>
          <w:b/>
          <w:sz w:val="18"/>
        </w:rPr>
        <w:t>2015</w:t>
      </w:r>
    </w:p>
    <w:p>
      <w:pPr>
        <w:spacing w:before="66"/>
        <w:ind w:left="801" w:right="0" w:firstLine="0"/>
        <w:jc w:val="left"/>
        <w:rPr>
          <w:b/>
          <w:sz w:val="18"/>
        </w:rPr>
      </w:pPr>
      <w:r>
        <w:rPr>
          <w:b/>
          <w:sz w:val="18"/>
        </w:rPr>
        <w:t>$'000</w:t>
      </w:r>
    </w:p>
    <w:p>
      <w:pPr>
        <w:spacing w:after="0"/>
        <w:jc w:val="left"/>
        <w:rPr>
          <w:sz w:val="18"/>
        </w:rPr>
        <w:sectPr>
          <w:type w:val="continuous"/>
          <w:pgSz w:w="12750" w:h="17680"/>
          <w:pgMar w:top="1660" w:bottom="0" w:left="0" w:right="0"/>
          <w:cols w:num="4" w:equalWidth="0">
            <w:col w:w="6875" w:space="40"/>
            <w:col w:w="1243" w:space="40"/>
            <w:col w:w="1441" w:space="40"/>
            <w:col w:w="3071"/>
          </w:cols>
        </w:sectPr>
      </w:pPr>
    </w:p>
    <w:p>
      <w:pPr>
        <w:pStyle w:val="BodyText"/>
        <w:spacing w:before="1"/>
        <w:rPr>
          <w:b/>
          <w:sz w:val="3"/>
        </w:rPr>
      </w:pPr>
    </w:p>
    <w:tbl>
      <w:tblPr>
        <w:tblW w:w="0" w:type="auto"/>
        <w:jc w:val="left"/>
        <w:tblInd w:w="183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979"/>
        <w:gridCol w:w="1753"/>
        <w:gridCol w:w="1382"/>
        <w:gridCol w:w="1382"/>
        <w:gridCol w:w="1011"/>
      </w:tblGrid>
      <w:tr>
        <w:trPr>
          <w:trHeight w:val="504" w:hRule="exact"/>
        </w:trPr>
        <w:tc>
          <w:tcPr>
            <w:tcW w:w="3979" w:type="dxa"/>
          </w:tcPr>
          <w:p>
            <w:pPr>
              <w:pStyle w:val="TableParagraph"/>
              <w:spacing w:before="24"/>
              <w:ind w:left="35" w:right="748"/>
              <w:jc w:val="left"/>
              <w:rPr>
                <w:sz w:val="18"/>
              </w:rPr>
            </w:pPr>
            <w:r>
              <w:rPr>
                <w:sz w:val="18"/>
              </w:rPr>
              <w:t>Net result for the period</w:t>
            </w:r>
          </w:p>
          <w:p>
            <w:pPr>
              <w:pStyle w:val="TableParagraph"/>
              <w:spacing w:before="57"/>
              <w:ind w:left="249" w:right="748"/>
              <w:jc w:val="left"/>
              <w:rPr>
                <w:sz w:val="18"/>
              </w:rPr>
            </w:pPr>
            <w:r>
              <w:rPr>
                <w:sz w:val="18"/>
              </w:rPr>
              <w:t>Net (gain)/loss on disposal of</w:t>
            </w:r>
          </w:p>
        </w:tc>
        <w:tc>
          <w:tcPr>
            <w:tcW w:w="1753" w:type="dxa"/>
          </w:tcPr>
          <w:p>
            <w:pPr>
              <w:pStyle w:val="TableParagraph"/>
              <w:spacing w:before="26"/>
              <w:ind w:right="372"/>
              <w:rPr>
                <w:b/>
                <w:sz w:val="18"/>
              </w:rPr>
            </w:pPr>
            <w:r>
              <w:rPr>
                <w:b/>
                <w:w w:val="95"/>
                <w:sz w:val="18"/>
              </w:rPr>
              <w:t>34,837</w:t>
            </w:r>
          </w:p>
        </w:tc>
        <w:tc>
          <w:tcPr>
            <w:tcW w:w="1382" w:type="dxa"/>
          </w:tcPr>
          <w:p>
            <w:pPr>
              <w:pStyle w:val="TableParagraph"/>
              <w:spacing w:before="26"/>
              <w:ind w:right="456"/>
              <w:rPr>
                <w:sz w:val="18"/>
              </w:rPr>
            </w:pPr>
            <w:r>
              <w:rPr>
                <w:w w:val="95"/>
                <w:sz w:val="18"/>
              </w:rPr>
              <w:t>41,323</w:t>
            </w:r>
          </w:p>
        </w:tc>
        <w:tc>
          <w:tcPr>
            <w:tcW w:w="1382" w:type="dxa"/>
          </w:tcPr>
          <w:p>
            <w:pPr>
              <w:pStyle w:val="TableParagraph"/>
              <w:spacing w:before="26"/>
              <w:ind w:left="459"/>
              <w:jc w:val="left"/>
              <w:rPr>
                <w:b/>
                <w:sz w:val="18"/>
              </w:rPr>
            </w:pPr>
            <w:r>
              <w:rPr>
                <w:b/>
                <w:sz w:val="18"/>
              </w:rPr>
              <w:t>36,018</w:t>
            </w:r>
          </w:p>
        </w:tc>
        <w:tc>
          <w:tcPr>
            <w:tcW w:w="1011" w:type="dxa"/>
          </w:tcPr>
          <w:p>
            <w:pPr>
              <w:pStyle w:val="TableParagraph"/>
              <w:spacing w:before="26"/>
              <w:ind w:right="85"/>
              <w:rPr>
                <w:sz w:val="18"/>
              </w:rPr>
            </w:pPr>
            <w:r>
              <w:rPr>
                <w:w w:val="95"/>
                <w:sz w:val="18"/>
              </w:rPr>
              <w:t>43,006</w:t>
            </w:r>
          </w:p>
        </w:tc>
      </w:tr>
      <w:tr>
        <w:trPr>
          <w:trHeight w:val="235" w:hRule="exact"/>
        </w:trPr>
        <w:tc>
          <w:tcPr>
            <w:tcW w:w="3979" w:type="dxa"/>
          </w:tcPr>
          <w:p>
            <w:pPr>
              <w:pStyle w:val="TableParagraph"/>
              <w:spacing w:line="198" w:lineRule="exact"/>
              <w:ind w:left="249" w:right="748"/>
              <w:jc w:val="left"/>
              <w:rPr>
                <w:sz w:val="18"/>
              </w:rPr>
            </w:pPr>
            <w:r>
              <w:rPr>
                <w:sz w:val="18"/>
              </w:rPr>
              <w:t>property, plant and equipment</w:t>
            </w:r>
          </w:p>
        </w:tc>
        <w:tc>
          <w:tcPr>
            <w:tcW w:w="1753" w:type="dxa"/>
          </w:tcPr>
          <w:p>
            <w:pPr>
              <w:pStyle w:val="TableParagraph"/>
              <w:spacing w:line="197" w:lineRule="exact"/>
              <w:ind w:right="312"/>
              <w:rPr>
                <w:b/>
                <w:sz w:val="18"/>
              </w:rPr>
            </w:pPr>
            <w:r>
              <w:rPr>
                <w:b/>
                <w:w w:val="95"/>
                <w:sz w:val="18"/>
              </w:rPr>
              <w:t>(13,191)</w:t>
            </w:r>
          </w:p>
        </w:tc>
        <w:tc>
          <w:tcPr>
            <w:tcW w:w="1382" w:type="dxa"/>
          </w:tcPr>
          <w:p>
            <w:pPr>
              <w:pStyle w:val="TableParagraph"/>
              <w:spacing w:line="197" w:lineRule="exact"/>
              <w:ind w:right="397"/>
              <w:rPr>
                <w:sz w:val="18"/>
              </w:rPr>
            </w:pPr>
            <w:r>
              <w:rPr>
                <w:w w:val="95"/>
                <w:sz w:val="18"/>
              </w:rPr>
              <w:t>(6,889)</w:t>
            </w:r>
          </w:p>
        </w:tc>
        <w:tc>
          <w:tcPr>
            <w:tcW w:w="1382" w:type="dxa"/>
          </w:tcPr>
          <w:p>
            <w:pPr>
              <w:pStyle w:val="TableParagraph"/>
              <w:spacing w:line="197" w:lineRule="exact"/>
              <w:ind w:right="312"/>
              <w:rPr>
                <w:b/>
                <w:sz w:val="18"/>
              </w:rPr>
            </w:pPr>
            <w:r>
              <w:rPr>
                <w:b/>
                <w:w w:val="95"/>
                <w:sz w:val="18"/>
              </w:rPr>
              <w:t>(12,842)</w:t>
            </w:r>
          </w:p>
        </w:tc>
        <w:tc>
          <w:tcPr>
            <w:tcW w:w="1011" w:type="dxa"/>
          </w:tcPr>
          <w:p>
            <w:pPr>
              <w:pStyle w:val="TableParagraph"/>
              <w:spacing w:line="197" w:lineRule="exact"/>
              <w:ind w:right="25"/>
              <w:rPr>
                <w:sz w:val="18"/>
              </w:rPr>
            </w:pPr>
            <w:r>
              <w:rPr>
                <w:w w:val="95"/>
                <w:sz w:val="18"/>
              </w:rPr>
              <w:t>(6,995)</w:t>
            </w:r>
          </w:p>
        </w:tc>
      </w:tr>
      <w:tr>
        <w:trPr>
          <w:trHeight w:val="263" w:hRule="exact"/>
        </w:trPr>
        <w:tc>
          <w:tcPr>
            <w:tcW w:w="3979" w:type="dxa"/>
          </w:tcPr>
          <w:p>
            <w:pPr>
              <w:pStyle w:val="TableParagraph"/>
              <w:spacing w:before="18"/>
              <w:ind w:left="249" w:right="748"/>
              <w:jc w:val="left"/>
              <w:rPr>
                <w:sz w:val="18"/>
              </w:rPr>
            </w:pPr>
            <w:r>
              <w:rPr>
                <w:sz w:val="18"/>
              </w:rPr>
              <w:t>Superannuation adjustments</w:t>
            </w:r>
          </w:p>
        </w:tc>
        <w:tc>
          <w:tcPr>
            <w:tcW w:w="1753" w:type="dxa"/>
          </w:tcPr>
          <w:p>
            <w:pPr>
              <w:pStyle w:val="TableParagraph"/>
              <w:spacing w:before="19"/>
              <w:ind w:right="372"/>
              <w:rPr>
                <w:b/>
                <w:sz w:val="18"/>
              </w:rPr>
            </w:pPr>
            <w:r>
              <w:rPr>
                <w:b/>
                <w:sz w:val="18"/>
              </w:rPr>
              <w:t>2,685</w:t>
            </w:r>
          </w:p>
        </w:tc>
        <w:tc>
          <w:tcPr>
            <w:tcW w:w="1382" w:type="dxa"/>
          </w:tcPr>
          <w:p>
            <w:pPr>
              <w:pStyle w:val="TableParagraph"/>
              <w:spacing w:before="19"/>
              <w:ind w:right="397"/>
              <w:rPr>
                <w:sz w:val="18"/>
              </w:rPr>
            </w:pPr>
            <w:r>
              <w:rPr>
                <w:w w:val="95"/>
                <w:sz w:val="18"/>
              </w:rPr>
              <w:t>(15,929)</w:t>
            </w:r>
          </w:p>
        </w:tc>
        <w:tc>
          <w:tcPr>
            <w:tcW w:w="1382" w:type="dxa"/>
          </w:tcPr>
          <w:p>
            <w:pPr>
              <w:pStyle w:val="TableParagraph"/>
              <w:spacing w:before="19"/>
              <w:ind w:left="558"/>
              <w:jc w:val="left"/>
              <w:rPr>
                <w:b/>
                <w:sz w:val="18"/>
              </w:rPr>
            </w:pPr>
            <w:r>
              <w:rPr>
                <w:b/>
                <w:sz w:val="18"/>
              </w:rPr>
              <w:t>2,685</w:t>
            </w:r>
          </w:p>
        </w:tc>
        <w:tc>
          <w:tcPr>
            <w:tcW w:w="1011" w:type="dxa"/>
          </w:tcPr>
          <w:p>
            <w:pPr>
              <w:pStyle w:val="TableParagraph"/>
              <w:spacing w:before="19"/>
              <w:ind w:right="25"/>
              <w:rPr>
                <w:sz w:val="18"/>
              </w:rPr>
            </w:pPr>
            <w:r>
              <w:rPr>
                <w:w w:val="95"/>
                <w:sz w:val="18"/>
              </w:rPr>
              <w:t>(15,929)</w:t>
            </w:r>
          </w:p>
        </w:tc>
      </w:tr>
      <w:tr>
        <w:trPr>
          <w:trHeight w:val="264" w:hRule="exact"/>
        </w:trPr>
        <w:tc>
          <w:tcPr>
            <w:tcW w:w="3979" w:type="dxa"/>
          </w:tcPr>
          <w:p>
            <w:pPr>
              <w:pStyle w:val="TableParagraph"/>
              <w:spacing w:before="18"/>
              <w:ind w:left="249" w:right="748"/>
              <w:jc w:val="left"/>
              <w:rPr>
                <w:sz w:val="18"/>
              </w:rPr>
            </w:pPr>
            <w:r>
              <w:rPr>
                <w:sz w:val="18"/>
              </w:rPr>
              <w:t>Depreciation and amortisation</w:t>
            </w:r>
          </w:p>
        </w:tc>
        <w:tc>
          <w:tcPr>
            <w:tcW w:w="1753" w:type="dxa"/>
          </w:tcPr>
          <w:p>
            <w:pPr>
              <w:pStyle w:val="TableParagraph"/>
              <w:spacing w:before="19"/>
              <w:ind w:right="372"/>
              <w:rPr>
                <w:b/>
                <w:sz w:val="18"/>
              </w:rPr>
            </w:pPr>
            <w:r>
              <w:rPr>
                <w:b/>
                <w:w w:val="95"/>
                <w:sz w:val="18"/>
              </w:rPr>
              <w:t>43,874</w:t>
            </w:r>
          </w:p>
        </w:tc>
        <w:tc>
          <w:tcPr>
            <w:tcW w:w="1382" w:type="dxa"/>
          </w:tcPr>
          <w:p>
            <w:pPr>
              <w:pStyle w:val="TableParagraph"/>
              <w:spacing w:before="19"/>
              <w:ind w:right="456"/>
              <w:rPr>
                <w:sz w:val="18"/>
              </w:rPr>
            </w:pPr>
            <w:r>
              <w:rPr>
                <w:w w:val="95"/>
                <w:sz w:val="18"/>
              </w:rPr>
              <w:t>39,637</w:t>
            </w:r>
          </w:p>
        </w:tc>
        <w:tc>
          <w:tcPr>
            <w:tcW w:w="1382" w:type="dxa"/>
          </w:tcPr>
          <w:p>
            <w:pPr>
              <w:pStyle w:val="TableParagraph"/>
              <w:spacing w:before="19"/>
              <w:ind w:left="459"/>
              <w:jc w:val="left"/>
              <w:rPr>
                <w:b/>
                <w:sz w:val="18"/>
              </w:rPr>
            </w:pPr>
            <w:r>
              <w:rPr>
                <w:b/>
                <w:sz w:val="18"/>
              </w:rPr>
              <w:t>42,580</w:t>
            </w:r>
          </w:p>
        </w:tc>
        <w:tc>
          <w:tcPr>
            <w:tcW w:w="1011" w:type="dxa"/>
          </w:tcPr>
          <w:p>
            <w:pPr>
              <w:pStyle w:val="TableParagraph"/>
              <w:spacing w:before="19"/>
              <w:ind w:right="85"/>
              <w:rPr>
                <w:sz w:val="18"/>
              </w:rPr>
            </w:pPr>
            <w:r>
              <w:rPr>
                <w:w w:val="95"/>
                <w:sz w:val="18"/>
              </w:rPr>
              <w:t>38,921</w:t>
            </w:r>
          </w:p>
        </w:tc>
      </w:tr>
      <w:tr>
        <w:trPr>
          <w:trHeight w:val="264" w:hRule="exact"/>
        </w:trPr>
        <w:tc>
          <w:tcPr>
            <w:tcW w:w="3979" w:type="dxa"/>
          </w:tcPr>
          <w:p>
            <w:pPr>
              <w:pStyle w:val="TableParagraph"/>
              <w:spacing w:before="18"/>
              <w:ind w:left="249" w:right="748"/>
              <w:jc w:val="left"/>
              <w:rPr>
                <w:sz w:val="18"/>
              </w:rPr>
            </w:pPr>
            <w:r>
              <w:rPr>
                <w:sz w:val="18"/>
              </w:rPr>
              <w:t>Impairment of receivables</w:t>
            </w:r>
          </w:p>
        </w:tc>
        <w:tc>
          <w:tcPr>
            <w:tcW w:w="1753" w:type="dxa"/>
          </w:tcPr>
          <w:p>
            <w:pPr>
              <w:pStyle w:val="TableParagraph"/>
              <w:spacing w:before="19"/>
              <w:ind w:right="312"/>
              <w:rPr>
                <w:b/>
                <w:sz w:val="18"/>
              </w:rPr>
            </w:pPr>
            <w:r>
              <w:rPr>
                <w:b/>
                <w:sz w:val="18"/>
              </w:rPr>
              <w:t>(558)</w:t>
            </w:r>
          </w:p>
        </w:tc>
        <w:tc>
          <w:tcPr>
            <w:tcW w:w="1382" w:type="dxa"/>
          </w:tcPr>
          <w:p>
            <w:pPr>
              <w:pStyle w:val="TableParagraph"/>
              <w:spacing w:before="19"/>
              <w:ind w:right="397"/>
              <w:rPr>
                <w:sz w:val="18"/>
              </w:rPr>
            </w:pPr>
            <w:r>
              <w:rPr>
                <w:sz w:val="18"/>
              </w:rPr>
              <w:t>(32)</w:t>
            </w:r>
          </w:p>
        </w:tc>
        <w:tc>
          <w:tcPr>
            <w:tcW w:w="1382" w:type="dxa"/>
          </w:tcPr>
          <w:p>
            <w:pPr>
              <w:pStyle w:val="TableParagraph"/>
              <w:spacing w:before="19"/>
              <w:ind w:right="312"/>
              <w:rPr>
                <w:b/>
                <w:sz w:val="18"/>
              </w:rPr>
            </w:pPr>
            <w:r>
              <w:rPr>
                <w:b/>
                <w:sz w:val="18"/>
              </w:rPr>
              <w:t>(311)</w:t>
            </w:r>
          </w:p>
        </w:tc>
        <w:tc>
          <w:tcPr>
            <w:tcW w:w="1011" w:type="dxa"/>
          </w:tcPr>
          <w:p>
            <w:pPr>
              <w:pStyle w:val="TableParagraph"/>
              <w:spacing w:before="19"/>
              <w:ind w:right="25"/>
              <w:rPr>
                <w:sz w:val="18"/>
              </w:rPr>
            </w:pPr>
            <w:r>
              <w:rPr>
                <w:w w:val="95"/>
                <w:sz w:val="18"/>
              </w:rPr>
              <w:t>(6,270)</w:t>
            </w:r>
          </w:p>
        </w:tc>
      </w:tr>
      <w:tr>
        <w:trPr>
          <w:trHeight w:val="264" w:hRule="exact"/>
        </w:trPr>
        <w:tc>
          <w:tcPr>
            <w:tcW w:w="3979" w:type="dxa"/>
          </w:tcPr>
          <w:p>
            <w:pPr>
              <w:pStyle w:val="TableParagraph"/>
              <w:spacing w:before="18"/>
              <w:ind w:left="249" w:right="748"/>
              <w:jc w:val="left"/>
              <w:rPr>
                <w:sz w:val="18"/>
              </w:rPr>
            </w:pPr>
            <w:r>
              <w:rPr>
                <w:sz w:val="18"/>
              </w:rPr>
              <w:t>Cost of goods sold - livestock</w:t>
            </w:r>
          </w:p>
        </w:tc>
        <w:tc>
          <w:tcPr>
            <w:tcW w:w="1753" w:type="dxa"/>
          </w:tcPr>
          <w:p>
            <w:pPr>
              <w:pStyle w:val="TableParagraph"/>
              <w:spacing w:before="19"/>
              <w:ind w:right="312"/>
              <w:rPr>
                <w:b/>
                <w:sz w:val="18"/>
              </w:rPr>
            </w:pPr>
            <w:r>
              <w:rPr>
                <w:b/>
                <w:sz w:val="18"/>
              </w:rPr>
              <w:t>(82)</w:t>
            </w:r>
          </w:p>
        </w:tc>
        <w:tc>
          <w:tcPr>
            <w:tcW w:w="1382" w:type="dxa"/>
          </w:tcPr>
          <w:p>
            <w:pPr>
              <w:pStyle w:val="TableParagraph"/>
              <w:spacing w:before="19"/>
              <w:ind w:right="456"/>
              <w:rPr>
                <w:sz w:val="18"/>
              </w:rPr>
            </w:pPr>
            <w:r>
              <w:rPr>
                <w:sz w:val="18"/>
              </w:rPr>
              <w:t>21</w:t>
            </w:r>
          </w:p>
        </w:tc>
        <w:tc>
          <w:tcPr>
            <w:tcW w:w="1382" w:type="dxa"/>
          </w:tcPr>
          <w:p>
            <w:pPr>
              <w:pStyle w:val="TableParagraph"/>
              <w:spacing w:before="19"/>
              <w:ind w:right="312"/>
              <w:rPr>
                <w:b/>
                <w:sz w:val="18"/>
              </w:rPr>
            </w:pPr>
            <w:r>
              <w:rPr>
                <w:b/>
                <w:sz w:val="18"/>
              </w:rPr>
              <w:t>(82)</w:t>
            </w:r>
          </w:p>
        </w:tc>
        <w:tc>
          <w:tcPr>
            <w:tcW w:w="1011" w:type="dxa"/>
          </w:tcPr>
          <w:p>
            <w:pPr>
              <w:pStyle w:val="TableParagraph"/>
              <w:spacing w:before="19"/>
              <w:ind w:right="85"/>
              <w:rPr>
                <w:sz w:val="18"/>
              </w:rPr>
            </w:pPr>
            <w:r>
              <w:rPr>
                <w:sz w:val="18"/>
              </w:rPr>
              <w:t>21</w:t>
            </w:r>
          </w:p>
        </w:tc>
      </w:tr>
      <w:tr>
        <w:trPr>
          <w:trHeight w:val="264" w:hRule="exact"/>
        </w:trPr>
        <w:tc>
          <w:tcPr>
            <w:tcW w:w="3979" w:type="dxa"/>
          </w:tcPr>
          <w:p>
            <w:pPr>
              <w:pStyle w:val="TableParagraph"/>
              <w:spacing w:before="18"/>
              <w:ind w:left="249" w:right="748"/>
              <w:jc w:val="left"/>
              <w:rPr>
                <w:sz w:val="18"/>
              </w:rPr>
            </w:pPr>
            <w:r>
              <w:rPr>
                <w:sz w:val="18"/>
              </w:rPr>
              <w:t>(Increase)/decrease in trade debtors</w:t>
            </w:r>
          </w:p>
        </w:tc>
        <w:tc>
          <w:tcPr>
            <w:tcW w:w="1753" w:type="dxa"/>
          </w:tcPr>
          <w:p>
            <w:pPr>
              <w:pStyle w:val="TableParagraph"/>
              <w:spacing w:before="19"/>
              <w:ind w:right="312"/>
              <w:rPr>
                <w:b/>
                <w:sz w:val="18"/>
              </w:rPr>
            </w:pPr>
            <w:r>
              <w:rPr>
                <w:b/>
                <w:w w:val="95"/>
                <w:sz w:val="18"/>
              </w:rPr>
              <w:t>(16,431)</w:t>
            </w:r>
          </w:p>
        </w:tc>
        <w:tc>
          <w:tcPr>
            <w:tcW w:w="1382" w:type="dxa"/>
          </w:tcPr>
          <w:p>
            <w:pPr>
              <w:pStyle w:val="TableParagraph"/>
              <w:spacing w:before="19"/>
              <w:ind w:right="397"/>
              <w:rPr>
                <w:sz w:val="18"/>
              </w:rPr>
            </w:pPr>
            <w:r>
              <w:rPr>
                <w:w w:val="95"/>
                <w:sz w:val="18"/>
              </w:rPr>
              <w:t>(14,249)</w:t>
            </w:r>
          </w:p>
        </w:tc>
        <w:tc>
          <w:tcPr>
            <w:tcW w:w="1382" w:type="dxa"/>
          </w:tcPr>
          <w:p>
            <w:pPr>
              <w:pStyle w:val="TableParagraph"/>
              <w:spacing w:before="19"/>
              <w:ind w:right="312"/>
              <w:rPr>
                <w:b/>
                <w:sz w:val="18"/>
              </w:rPr>
            </w:pPr>
            <w:r>
              <w:rPr>
                <w:b/>
                <w:w w:val="95"/>
                <w:sz w:val="18"/>
              </w:rPr>
              <w:t>(15,540)</w:t>
            </w:r>
          </w:p>
        </w:tc>
        <w:tc>
          <w:tcPr>
            <w:tcW w:w="1011" w:type="dxa"/>
          </w:tcPr>
          <w:p>
            <w:pPr>
              <w:pStyle w:val="TableParagraph"/>
              <w:spacing w:before="19"/>
              <w:ind w:right="25"/>
              <w:rPr>
                <w:sz w:val="18"/>
              </w:rPr>
            </w:pPr>
            <w:r>
              <w:rPr>
                <w:w w:val="95"/>
                <w:sz w:val="18"/>
              </w:rPr>
              <w:t>(9,614)</w:t>
            </w:r>
          </w:p>
        </w:tc>
      </w:tr>
      <w:tr>
        <w:trPr>
          <w:trHeight w:val="469" w:hRule="exact"/>
        </w:trPr>
        <w:tc>
          <w:tcPr>
            <w:tcW w:w="3979" w:type="dxa"/>
          </w:tcPr>
          <w:p>
            <w:pPr>
              <w:pStyle w:val="TableParagraph"/>
              <w:spacing w:before="18"/>
              <w:ind w:left="249" w:right="748"/>
              <w:jc w:val="left"/>
              <w:rPr>
                <w:sz w:val="18"/>
              </w:rPr>
            </w:pPr>
            <w:r>
              <w:rPr>
                <w:sz w:val="18"/>
              </w:rPr>
              <w:t>Increase/(decrease) in other operating liabilities</w:t>
            </w:r>
          </w:p>
        </w:tc>
        <w:tc>
          <w:tcPr>
            <w:tcW w:w="1753" w:type="dxa"/>
          </w:tcPr>
          <w:p>
            <w:pPr>
              <w:pStyle w:val="TableParagraph"/>
              <w:spacing w:before="5"/>
              <w:jc w:val="left"/>
              <w:rPr>
                <w:b/>
                <w:sz w:val="19"/>
              </w:rPr>
            </w:pPr>
          </w:p>
          <w:p>
            <w:pPr>
              <w:pStyle w:val="TableParagraph"/>
              <w:ind w:right="372"/>
              <w:rPr>
                <w:b/>
                <w:sz w:val="18"/>
              </w:rPr>
            </w:pPr>
            <w:r>
              <w:rPr>
                <w:b/>
                <w:sz w:val="18"/>
              </w:rPr>
              <w:t>7,111</w:t>
            </w:r>
          </w:p>
        </w:tc>
        <w:tc>
          <w:tcPr>
            <w:tcW w:w="1382" w:type="dxa"/>
          </w:tcPr>
          <w:p>
            <w:pPr>
              <w:pStyle w:val="TableParagraph"/>
              <w:spacing w:before="5"/>
              <w:jc w:val="left"/>
              <w:rPr>
                <w:b/>
                <w:sz w:val="19"/>
              </w:rPr>
            </w:pPr>
          </w:p>
          <w:p>
            <w:pPr>
              <w:pStyle w:val="TableParagraph"/>
              <w:ind w:right="456"/>
              <w:rPr>
                <w:sz w:val="18"/>
              </w:rPr>
            </w:pPr>
            <w:r>
              <w:rPr>
                <w:w w:val="95"/>
                <w:sz w:val="18"/>
              </w:rPr>
              <w:t>14,211</w:t>
            </w:r>
          </w:p>
        </w:tc>
        <w:tc>
          <w:tcPr>
            <w:tcW w:w="1382" w:type="dxa"/>
          </w:tcPr>
          <w:p>
            <w:pPr>
              <w:pStyle w:val="TableParagraph"/>
              <w:spacing w:before="5"/>
              <w:jc w:val="left"/>
              <w:rPr>
                <w:b/>
                <w:sz w:val="19"/>
              </w:rPr>
            </w:pPr>
          </w:p>
          <w:p>
            <w:pPr>
              <w:pStyle w:val="TableParagraph"/>
              <w:ind w:left="558"/>
              <w:jc w:val="left"/>
              <w:rPr>
                <w:b/>
                <w:sz w:val="18"/>
              </w:rPr>
            </w:pPr>
            <w:r>
              <w:rPr>
                <w:b/>
                <w:sz w:val="18"/>
              </w:rPr>
              <w:t>6,611</w:t>
            </w:r>
          </w:p>
        </w:tc>
        <w:tc>
          <w:tcPr>
            <w:tcW w:w="1011" w:type="dxa"/>
          </w:tcPr>
          <w:p>
            <w:pPr>
              <w:pStyle w:val="TableParagraph"/>
              <w:spacing w:before="5"/>
              <w:jc w:val="left"/>
              <w:rPr>
                <w:b/>
                <w:sz w:val="19"/>
              </w:rPr>
            </w:pPr>
          </w:p>
          <w:p>
            <w:pPr>
              <w:pStyle w:val="TableParagraph"/>
              <w:ind w:right="85"/>
              <w:rPr>
                <w:sz w:val="18"/>
              </w:rPr>
            </w:pPr>
            <w:r>
              <w:rPr>
                <w:w w:val="95"/>
                <w:sz w:val="18"/>
              </w:rPr>
              <w:t>15,581</w:t>
            </w:r>
          </w:p>
        </w:tc>
      </w:tr>
      <w:tr>
        <w:trPr>
          <w:trHeight w:val="263" w:hRule="exact"/>
        </w:trPr>
        <w:tc>
          <w:tcPr>
            <w:tcW w:w="3979" w:type="dxa"/>
          </w:tcPr>
          <w:p>
            <w:pPr>
              <w:pStyle w:val="TableParagraph"/>
              <w:spacing w:before="18"/>
              <w:ind w:left="249" w:right="748"/>
              <w:jc w:val="left"/>
              <w:rPr>
                <w:sz w:val="18"/>
              </w:rPr>
            </w:pPr>
            <w:r>
              <w:rPr>
                <w:sz w:val="18"/>
              </w:rPr>
              <w:t>(Increase)/decrease in inventories</w:t>
            </w:r>
          </w:p>
        </w:tc>
        <w:tc>
          <w:tcPr>
            <w:tcW w:w="1753" w:type="dxa"/>
          </w:tcPr>
          <w:p>
            <w:pPr>
              <w:pStyle w:val="TableParagraph"/>
              <w:spacing w:before="19"/>
              <w:ind w:right="372"/>
              <w:rPr>
                <w:b/>
                <w:sz w:val="18"/>
              </w:rPr>
            </w:pPr>
            <w:r>
              <w:rPr>
                <w:b/>
                <w:sz w:val="18"/>
              </w:rPr>
              <w:t>2,873</w:t>
            </w:r>
          </w:p>
        </w:tc>
        <w:tc>
          <w:tcPr>
            <w:tcW w:w="1382" w:type="dxa"/>
          </w:tcPr>
          <w:p>
            <w:pPr>
              <w:pStyle w:val="TableParagraph"/>
              <w:spacing w:before="19"/>
              <w:ind w:right="456"/>
              <w:rPr>
                <w:sz w:val="18"/>
              </w:rPr>
            </w:pPr>
            <w:r>
              <w:rPr>
                <w:sz w:val="18"/>
              </w:rPr>
              <w:t>1,008</w:t>
            </w:r>
          </w:p>
        </w:tc>
        <w:tc>
          <w:tcPr>
            <w:tcW w:w="1382" w:type="dxa"/>
          </w:tcPr>
          <w:p>
            <w:pPr>
              <w:pStyle w:val="TableParagraph"/>
              <w:spacing w:before="19"/>
              <w:ind w:right="372"/>
              <w:rPr>
                <w:b/>
                <w:sz w:val="18"/>
              </w:rPr>
            </w:pPr>
            <w:r>
              <w:rPr>
                <w:b/>
                <w:w w:val="99"/>
                <w:sz w:val="18"/>
              </w:rPr>
              <w:t>-</w:t>
            </w:r>
          </w:p>
        </w:tc>
        <w:tc>
          <w:tcPr>
            <w:tcW w:w="1011" w:type="dxa"/>
          </w:tcPr>
          <w:p>
            <w:pPr>
              <w:pStyle w:val="TableParagraph"/>
              <w:spacing w:before="19"/>
              <w:ind w:right="85"/>
              <w:rPr>
                <w:sz w:val="18"/>
              </w:rPr>
            </w:pPr>
            <w:r>
              <w:rPr>
                <w:w w:val="99"/>
                <w:sz w:val="18"/>
              </w:rPr>
              <w:t>-</w:t>
            </w:r>
          </w:p>
        </w:tc>
      </w:tr>
      <w:tr>
        <w:trPr>
          <w:trHeight w:val="469" w:hRule="exact"/>
        </w:trPr>
        <w:tc>
          <w:tcPr>
            <w:tcW w:w="3979" w:type="dxa"/>
          </w:tcPr>
          <w:p>
            <w:pPr>
              <w:pStyle w:val="TableParagraph"/>
              <w:spacing w:before="18"/>
              <w:ind w:left="249" w:right="748"/>
              <w:jc w:val="left"/>
              <w:rPr>
                <w:sz w:val="18"/>
              </w:rPr>
            </w:pPr>
            <w:r>
              <w:rPr>
                <w:sz w:val="18"/>
              </w:rPr>
              <w:t>(Increase)/decrease in other non- financial assets</w:t>
            </w:r>
          </w:p>
        </w:tc>
        <w:tc>
          <w:tcPr>
            <w:tcW w:w="1753" w:type="dxa"/>
          </w:tcPr>
          <w:p>
            <w:pPr>
              <w:pStyle w:val="TableParagraph"/>
              <w:spacing w:before="5"/>
              <w:jc w:val="left"/>
              <w:rPr>
                <w:b/>
                <w:sz w:val="19"/>
              </w:rPr>
            </w:pPr>
          </w:p>
          <w:p>
            <w:pPr>
              <w:pStyle w:val="TableParagraph"/>
              <w:ind w:right="312"/>
              <w:rPr>
                <w:b/>
                <w:sz w:val="18"/>
              </w:rPr>
            </w:pPr>
            <w:r>
              <w:rPr>
                <w:b/>
                <w:sz w:val="18"/>
              </w:rPr>
              <w:t>(602)</w:t>
            </w:r>
          </w:p>
        </w:tc>
        <w:tc>
          <w:tcPr>
            <w:tcW w:w="1382" w:type="dxa"/>
          </w:tcPr>
          <w:p>
            <w:pPr>
              <w:pStyle w:val="TableParagraph"/>
              <w:spacing w:before="5"/>
              <w:jc w:val="left"/>
              <w:rPr>
                <w:b/>
                <w:sz w:val="19"/>
              </w:rPr>
            </w:pPr>
          </w:p>
          <w:p>
            <w:pPr>
              <w:pStyle w:val="TableParagraph"/>
              <w:ind w:right="397"/>
              <w:rPr>
                <w:sz w:val="18"/>
              </w:rPr>
            </w:pPr>
            <w:r>
              <w:rPr>
                <w:sz w:val="18"/>
              </w:rPr>
              <w:t>(154)</w:t>
            </w:r>
          </w:p>
        </w:tc>
        <w:tc>
          <w:tcPr>
            <w:tcW w:w="1382" w:type="dxa"/>
          </w:tcPr>
          <w:p>
            <w:pPr>
              <w:pStyle w:val="TableParagraph"/>
              <w:spacing w:before="5"/>
              <w:jc w:val="left"/>
              <w:rPr>
                <w:b/>
                <w:sz w:val="19"/>
              </w:rPr>
            </w:pPr>
          </w:p>
          <w:p>
            <w:pPr>
              <w:pStyle w:val="TableParagraph"/>
              <w:ind w:right="312"/>
              <w:rPr>
                <w:b/>
                <w:sz w:val="18"/>
              </w:rPr>
            </w:pPr>
            <w:r>
              <w:rPr>
                <w:b/>
                <w:sz w:val="18"/>
              </w:rPr>
              <w:t>(602)</w:t>
            </w:r>
          </w:p>
        </w:tc>
        <w:tc>
          <w:tcPr>
            <w:tcW w:w="1011" w:type="dxa"/>
          </w:tcPr>
          <w:p>
            <w:pPr>
              <w:pStyle w:val="TableParagraph"/>
              <w:spacing w:before="5"/>
              <w:jc w:val="left"/>
              <w:rPr>
                <w:b/>
                <w:sz w:val="19"/>
              </w:rPr>
            </w:pPr>
          </w:p>
          <w:p>
            <w:pPr>
              <w:pStyle w:val="TableParagraph"/>
              <w:ind w:right="26"/>
              <w:rPr>
                <w:sz w:val="18"/>
              </w:rPr>
            </w:pPr>
            <w:r>
              <w:rPr>
                <w:sz w:val="18"/>
              </w:rPr>
              <w:t>(154)</w:t>
            </w:r>
          </w:p>
        </w:tc>
      </w:tr>
      <w:tr>
        <w:trPr>
          <w:trHeight w:val="468" w:hRule="exact"/>
        </w:trPr>
        <w:tc>
          <w:tcPr>
            <w:tcW w:w="3979" w:type="dxa"/>
          </w:tcPr>
          <w:p>
            <w:pPr>
              <w:pStyle w:val="TableParagraph"/>
              <w:spacing w:before="18"/>
              <w:ind w:left="249" w:right="809"/>
              <w:jc w:val="left"/>
              <w:rPr>
                <w:sz w:val="18"/>
              </w:rPr>
            </w:pPr>
            <w:r>
              <w:rPr>
                <w:sz w:val="18"/>
              </w:rPr>
              <w:t>Increase/(decrease) in trade creditors</w:t>
            </w:r>
          </w:p>
        </w:tc>
        <w:tc>
          <w:tcPr>
            <w:tcW w:w="1753" w:type="dxa"/>
          </w:tcPr>
          <w:p>
            <w:pPr>
              <w:pStyle w:val="TableParagraph"/>
              <w:spacing w:before="4"/>
              <w:jc w:val="left"/>
              <w:rPr>
                <w:b/>
                <w:sz w:val="19"/>
              </w:rPr>
            </w:pPr>
          </w:p>
          <w:p>
            <w:pPr>
              <w:pStyle w:val="TableParagraph"/>
              <w:ind w:right="312"/>
              <w:rPr>
                <w:b/>
                <w:sz w:val="18"/>
              </w:rPr>
            </w:pPr>
            <w:r>
              <w:rPr>
                <w:b/>
                <w:w w:val="95"/>
                <w:sz w:val="18"/>
              </w:rPr>
              <w:t>(10,765)</w:t>
            </w:r>
          </w:p>
        </w:tc>
        <w:tc>
          <w:tcPr>
            <w:tcW w:w="1382" w:type="dxa"/>
          </w:tcPr>
          <w:p>
            <w:pPr>
              <w:pStyle w:val="TableParagraph"/>
              <w:spacing w:before="4"/>
              <w:jc w:val="left"/>
              <w:rPr>
                <w:b/>
                <w:sz w:val="19"/>
              </w:rPr>
            </w:pPr>
          </w:p>
          <w:p>
            <w:pPr>
              <w:pStyle w:val="TableParagraph"/>
              <w:ind w:right="456"/>
              <w:rPr>
                <w:sz w:val="18"/>
              </w:rPr>
            </w:pPr>
            <w:r>
              <w:rPr>
                <w:w w:val="95"/>
                <w:sz w:val="18"/>
              </w:rPr>
              <w:t>20,154</w:t>
            </w:r>
          </w:p>
        </w:tc>
        <w:tc>
          <w:tcPr>
            <w:tcW w:w="1382" w:type="dxa"/>
          </w:tcPr>
          <w:p>
            <w:pPr>
              <w:pStyle w:val="TableParagraph"/>
              <w:spacing w:before="4"/>
              <w:jc w:val="left"/>
              <w:rPr>
                <w:b/>
                <w:sz w:val="19"/>
              </w:rPr>
            </w:pPr>
          </w:p>
          <w:p>
            <w:pPr>
              <w:pStyle w:val="TableParagraph"/>
              <w:ind w:right="312"/>
              <w:rPr>
                <w:b/>
                <w:sz w:val="18"/>
              </w:rPr>
            </w:pPr>
            <w:r>
              <w:rPr>
                <w:b/>
                <w:w w:val="95"/>
                <w:sz w:val="18"/>
              </w:rPr>
              <w:t>(10,151)</w:t>
            </w:r>
          </w:p>
        </w:tc>
        <w:tc>
          <w:tcPr>
            <w:tcW w:w="1011" w:type="dxa"/>
          </w:tcPr>
          <w:p>
            <w:pPr>
              <w:pStyle w:val="TableParagraph"/>
              <w:spacing w:before="4"/>
              <w:jc w:val="left"/>
              <w:rPr>
                <w:b/>
                <w:sz w:val="19"/>
              </w:rPr>
            </w:pPr>
          </w:p>
          <w:p>
            <w:pPr>
              <w:pStyle w:val="TableParagraph"/>
              <w:ind w:right="85"/>
              <w:rPr>
                <w:sz w:val="18"/>
              </w:rPr>
            </w:pPr>
            <w:r>
              <w:rPr>
                <w:w w:val="95"/>
                <w:sz w:val="18"/>
              </w:rPr>
              <w:t>20,048</w:t>
            </w:r>
          </w:p>
        </w:tc>
      </w:tr>
      <w:tr>
        <w:trPr>
          <w:trHeight w:val="467" w:hRule="exact"/>
        </w:trPr>
        <w:tc>
          <w:tcPr>
            <w:tcW w:w="3979" w:type="dxa"/>
          </w:tcPr>
          <w:p>
            <w:pPr>
              <w:pStyle w:val="TableParagraph"/>
              <w:spacing w:before="18"/>
              <w:ind w:left="249" w:right="748"/>
              <w:jc w:val="left"/>
              <w:rPr>
                <w:sz w:val="18"/>
              </w:rPr>
            </w:pPr>
            <w:r>
              <w:rPr>
                <w:sz w:val="18"/>
              </w:rPr>
              <w:t>Increase/(decrease) in other provisions</w:t>
            </w:r>
          </w:p>
        </w:tc>
        <w:tc>
          <w:tcPr>
            <w:tcW w:w="1753" w:type="dxa"/>
            <w:tcBorders>
              <w:bottom w:val="single" w:sz="0" w:space="0" w:color="000000"/>
            </w:tcBorders>
          </w:tcPr>
          <w:p>
            <w:pPr>
              <w:pStyle w:val="TableParagraph"/>
              <w:spacing w:before="4"/>
              <w:jc w:val="left"/>
              <w:rPr>
                <w:b/>
                <w:sz w:val="19"/>
              </w:rPr>
            </w:pPr>
          </w:p>
          <w:p>
            <w:pPr>
              <w:pStyle w:val="TableParagraph"/>
              <w:ind w:right="312"/>
              <w:rPr>
                <w:b/>
                <w:sz w:val="18"/>
              </w:rPr>
            </w:pPr>
            <w:r>
              <w:rPr>
                <w:b/>
                <w:w w:val="95"/>
                <w:sz w:val="18"/>
              </w:rPr>
              <w:t>(6,253)</w:t>
            </w:r>
          </w:p>
        </w:tc>
        <w:tc>
          <w:tcPr>
            <w:tcW w:w="1382" w:type="dxa"/>
            <w:tcBorders>
              <w:bottom w:val="single" w:sz="0" w:space="0" w:color="000000"/>
            </w:tcBorders>
          </w:tcPr>
          <w:p>
            <w:pPr>
              <w:pStyle w:val="TableParagraph"/>
              <w:spacing w:before="4"/>
              <w:jc w:val="left"/>
              <w:rPr>
                <w:b/>
                <w:sz w:val="19"/>
              </w:rPr>
            </w:pPr>
          </w:p>
          <w:p>
            <w:pPr>
              <w:pStyle w:val="TableParagraph"/>
              <w:ind w:right="456"/>
              <w:rPr>
                <w:sz w:val="18"/>
              </w:rPr>
            </w:pPr>
            <w:r>
              <w:rPr>
                <w:w w:val="95"/>
                <w:sz w:val="18"/>
              </w:rPr>
              <w:t>19,946</w:t>
            </w:r>
          </w:p>
        </w:tc>
        <w:tc>
          <w:tcPr>
            <w:tcW w:w="1382" w:type="dxa"/>
            <w:tcBorders>
              <w:bottom w:val="single" w:sz="0" w:space="0" w:color="000000"/>
            </w:tcBorders>
          </w:tcPr>
          <w:p>
            <w:pPr>
              <w:pStyle w:val="TableParagraph"/>
              <w:spacing w:before="4"/>
              <w:jc w:val="left"/>
              <w:rPr>
                <w:b/>
                <w:sz w:val="19"/>
              </w:rPr>
            </w:pPr>
          </w:p>
          <w:p>
            <w:pPr>
              <w:pStyle w:val="TableParagraph"/>
              <w:ind w:right="312"/>
              <w:rPr>
                <w:b/>
                <w:sz w:val="18"/>
              </w:rPr>
            </w:pPr>
            <w:r>
              <w:rPr>
                <w:b/>
                <w:w w:val="95"/>
                <w:sz w:val="18"/>
              </w:rPr>
              <w:t>(6,105)</w:t>
            </w:r>
          </w:p>
        </w:tc>
        <w:tc>
          <w:tcPr>
            <w:tcW w:w="1011" w:type="dxa"/>
            <w:tcBorders>
              <w:bottom w:val="single" w:sz="0" w:space="0" w:color="000000"/>
            </w:tcBorders>
          </w:tcPr>
          <w:p>
            <w:pPr>
              <w:pStyle w:val="TableParagraph"/>
              <w:spacing w:before="4"/>
              <w:jc w:val="left"/>
              <w:rPr>
                <w:b/>
                <w:sz w:val="19"/>
              </w:rPr>
            </w:pPr>
          </w:p>
          <w:p>
            <w:pPr>
              <w:pStyle w:val="TableParagraph"/>
              <w:ind w:right="85"/>
              <w:rPr>
                <w:sz w:val="18"/>
              </w:rPr>
            </w:pPr>
            <w:r>
              <w:rPr>
                <w:w w:val="95"/>
                <w:sz w:val="18"/>
              </w:rPr>
              <w:t>19,574</w:t>
            </w:r>
          </w:p>
        </w:tc>
      </w:tr>
    </w:tbl>
    <w:p>
      <w:pPr>
        <w:spacing w:line="207" w:lineRule="exact" w:before="124"/>
        <w:ind w:left="1869" w:right="0" w:firstLine="0"/>
        <w:jc w:val="left"/>
        <w:rPr>
          <w:b/>
          <w:sz w:val="18"/>
        </w:rPr>
      </w:pPr>
      <w:r>
        <w:rPr/>
        <w:drawing>
          <wp:anchor distT="0" distB="0" distL="0" distR="0" allowOverlap="1" layoutInCell="1" locked="0" behindDoc="0" simplePos="0" relativeHeight="5728">
            <wp:simplePos x="0" y="0"/>
            <wp:positionH relativeFrom="page">
              <wp:posOffset>-1587</wp:posOffset>
            </wp:positionH>
            <wp:positionV relativeFrom="paragraph">
              <wp:posOffset>-204039</wp:posOffset>
            </wp:positionV>
            <wp:extent cx="135159" cy="154019"/>
            <wp:effectExtent l="0" t="0" r="0" b="0"/>
            <wp:wrapNone/>
            <wp:docPr id="369" name="image13.png" descr=""/>
            <wp:cNvGraphicFramePr>
              <a:graphicFrameLocks noChangeAspect="1"/>
            </wp:cNvGraphicFramePr>
            <a:graphic>
              <a:graphicData uri="http://schemas.openxmlformats.org/drawingml/2006/picture">
                <pic:pic>
                  <pic:nvPicPr>
                    <pic:cNvPr id="370" name="image13.png"/>
                    <pic:cNvPicPr/>
                  </pic:nvPicPr>
                  <pic:blipFill>
                    <a:blip r:embed="rId18" cstate="print"/>
                    <a:stretch>
                      <a:fillRect/>
                    </a:stretch>
                  </pic:blipFill>
                  <pic:spPr>
                    <a:xfrm>
                      <a:off x="0" y="0"/>
                      <a:ext cx="135159" cy="154019"/>
                    </a:xfrm>
                    <a:prstGeom prst="rect">
                      <a:avLst/>
                    </a:prstGeom>
                  </pic:spPr>
                </pic:pic>
              </a:graphicData>
            </a:graphic>
          </wp:anchor>
        </w:drawing>
      </w:r>
      <w:r>
        <w:rPr/>
        <w:drawing>
          <wp:anchor distT="0" distB="0" distL="0" distR="0" allowOverlap="1" layoutInCell="1" locked="0" behindDoc="0" simplePos="0" relativeHeight="5752">
            <wp:simplePos x="0" y="0"/>
            <wp:positionH relativeFrom="page">
              <wp:posOffset>7958429</wp:posOffset>
            </wp:positionH>
            <wp:positionV relativeFrom="paragraph">
              <wp:posOffset>-204039</wp:posOffset>
            </wp:positionV>
            <wp:extent cx="135953" cy="155575"/>
            <wp:effectExtent l="0" t="0" r="0" b="0"/>
            <wp:wrapNone/>
            <wp:docPr id="371" name="image15.png" descr=""/>
            <wp:cNvGraphicFramePr>
              <a:graphicFrameLocks noChangeAspect="1"/>
            </wp:cNvGraphicFramePr>
            <a:graphic>
              <a:graphicData uri="http://schemas.openxmlformats.org/drawingml/2006/picture">
                <pic:pic>
                  <pic:nvPicPr>
                    <pic:cNvPr id="372" name="image15.png"/>
                    <pic:cNvPicPr/>
                  </pic:nvPicPr>
                  <pic:blipFill>
                    <a:blip r:embed="rId20" cstate="print"/>
                    <a:stretch>
                      <a:fillRect/>
                    </a:stretch>
                  </pic:blipFill>
                  <pic:spPr>
                    <a:xfrm>
                      <a:off x="0" y="0"/>
                      <a:ext cx="135953" cy="155575"/>
                    </a:xfrm>
                    <a:prstGeom prst="rect">
                      <a:avLst/>
                    </a:prstGeom>
                  </pic:spPr>
                </pic:pic>
              </a:graphicData>
            </a:graphic>
          </wp:anchor>
        </w:drawing>
      </w:r>
      <w:r>
        <w:rPr>
          <w:b/>
          <w:sz w:val="18"/>
        </w:rPr>
        <w:t>Net cash provided by operating</w:t>
      </w:r>
    </w:p>
    <w:p>
      <w:pPr>
        <w:tabs>
          <w:tab w:pos="6644" w:val="left" w:leader="none"/>
          <w:tab w:pos="7941" w:val="left" w:leader="none"/>
          <w:tab w:pos="9407" w:val="left" w:leader="none"/>
          <w:tab w:pos="10705" w:val="left" w:leader="none"/>
        </w:tabs>
        <w:spacing w:line="207" w:lineRule="exact" w:before="0"/>
        <w:ind w:left="1869" w:right="0" w:firstLine="0"/>
        <w:jc w:val="left"/>
        <w:rPr>
          <w:sz w:val="18"/>
        </w:rPr>
      </w:pPr>
      <w:r>
        <w:rPr>
          <w:b/>
          <w:sz w:val="18"/>
        </w:rPr>
        <w:t>activities</w:t>
        <w:tab/>
        <w:t>43,498</w:t>
        <w:tab/>
      </w:r>
      <w:r>
        <w:rPr>
          <w:sz w:val="18"/>
        </w:rPr>
        <w:t>99,047</w:t>
        <w:tab/>
      </w:r>
      <w:r>
        <w:rPr>
          <w:b/>
          <w:sz w:val="18"/>
        </w:rPr>
        <w:t>42,261</w:t>
        <w:tab/>
      </w:r>
      <w:r>
        <w:rPr>
          <w:sz w:val="18"/>
        </w:rPr>
        <w:t>98,189</w:t>
      </w:r>
    </w:p>
    <w:p>
      <w:pPr>
        <w:pStyle w:val="BodyText"/>
        <w:spacing w:line="50" w:lineRule="exact"/>
        <w:ind w:left="5813"/>
        <w:rPr>
          <w:sz w:val="5"/>
        </w:rPr>
      </w:pPr>
      <w:r>
        <w:rPr>
          <w:position w:val="0"/>
          <w:sz w:val="5"/>
        </w:rPr>
        <w:pict>
          <v:group style="width:276.5pt;height:2.5pt;mso-position-horizontal-relative:char;mso-position-vertical-relative:line" coordorigin="0,0" coordsize="5530,50">
            <v:line style="position:absolute" from="1,1" to="170,1" stroked="true" strokeweight=".06pt" strokecolor="#000000"/>
            <v:line style="position:absolute" from="1,2" to="170,2" stroked="true" strokeweight=".06pt" strokecolor="#000000"/>
            <v:line style="position:absolute" from="1,3" to="170,3" stroked="true" strokeweight=".06pt" strokecolor="#000000"/>
            <v:line style="position:absolute" from="1,5" to="170,5" stroked="true" strokeweight=".06pt" strokecolor="#000000"/>
            <v:line style="position:absolute" from="1,6" to="170,6" stroked="true" strokeweight=".06pt" strokecolor="#000000"/>
            <v:line style="position:absolute" from="1,7" to="170,7" stroked="true" strokeweight=".06pt" strokecolor="#000000"/>
            <v:line style="position:absolute" from="1,8" to="170,8" stroked="true" strokeweight=".06pt" strokecolor="#000000"/>
            <v:line style="position:absolute" from="1,9" to="170,9" stroked="true" strokeweight=".06pt" strokecolor="#000000"/>
            <v:line style="position:absolute" from="1,11" to="170,11" stroked="true" strokeweight=".06pt" strokecolor="#000000"/>
            <v:line style="position:absolute" from="1,12" to="170,12" stroked="true" strokeweight=".06pt" strokecolor="#000000"/>
            <v:line style="position:absolute" from="1,13" to="170,13" stroked="true" strokeweight=".06pt" strokecolor="#000000"/>
            <v:line style="position:absolute" from="1,14" to="170,14" stroked="true" strokeweight=".06pt" strokecolor="#000000"/>
            <v:line style="position:absolute" from="1,15" to="170,15" stroked="true" strokeweight=".06pt" strokecolor="#000000"/>
            <v:line style="position:absolute" from="1,35" to="170,35" stroked="true" strokeweight=".06pt" strokecolor="#000000"/>
            <v:line style="position:absolute" from="1,36" to="170,36" stroked="true" strokeweight=".06pt" strokecolor="#000000"/>
            <v:line style="position:absolute" from="1,37" to="170,37" stroked="true" strokeweight=".06pt" strokecolor="#000000"/>
            <v:line style="position:absolute" from="1,38" to="170,38" stroked="true" strokeweight=".06pt" strokecolor="#000000"/>
            <v:line style="position:absolute" from="1,39" to="170,39" stroked="true" strokeweight=".06pt" strokecolor="#000000"/>
            <v:line style="position:absolute" from="1,41" to="170,41" stroked="true" strokeweight=".06pt" strokecolor="#000000"/>
            <v:line style="position:absolute" from="1,42" to="170,42" stroked="true" strokeweight=".06pt" strokecolor="#000000"/>
            <v:line style="position:absolute" from="1,43" to="170,43" stroked="true" strokeweight=".06pt" strokecolor="#000000"/>
            <v:line style="position:absolute" from="1,44" to="170,44" stroked="true" strokeweight=".06pt" strokecolor="#000000"/>
            <v:line style="position:absolute" from="1,45" to="170,45" stroked="true" strokeweight=".06pt" strokecolor="#000000"/>
            <v:line style="position:absolute" from="1,47" to="170,47" stroked="true" strokeweight=".06pt" strokecolor="#000000"/>
            <v:line style="position:absolute" from="1,48" to="170,48" stroked="true" strokeweight=".06pt" strokecolor="#000000"/>
            <v:line style="position:absolute" from="1,49" to="170,49" stroked="true" strokeweight=".06pt" strokecolor="#000000"/>
            <v:line style="position:absolute" from="170,1" to="1467,1" stroked="true" strokeweight=".06pt" strokecolor="#000000"/>
            <v:line style="position:absolute" from="170,2" to="1467,2" stroked="true" strokeweight=".06pt" strokecolor="#000000"/>
            <v:line style="position:absolute" from="170,3" to="1467,3" stroked="true" strokeweight=".06pt" strokecolor="#000000"/>
            <v:line style="position:absolute" from="170,5" to="1467,5" stroked="true" strokeweight=".06pt" strokecolor="#000000"/>
            <v:line style="position:absolute" from="170,6" to="1467,6" stroked="true" strokeweight=".06pt" strokecolor="#000000"/>
            <v:line style="position:absolute" from="170,7" to="1467,7" stroked="true" strokeweight=".06pt" strokecolor="#000000"/>
            <v:line style="position:absolute" from="170,8" to="1467,8" stroked="true" strokeweight=".06pt" strokecolor="#000000"/>
            <v:line style="position:absolute" from="170,9" to="1467,9" stroked="true" strokeweight=".06pt" strokecolor="#000000"/>
            <v:line style="position:absolute" from="170,11" to="1467,11" stroked="true" strokeweight=".06pt" strokecolor="#000000"/>
            <v:line style="position:absolute" from="170,12" to="1467,12" stroked="true" strokeweight=".06pt" strokecolor="#000000"/>
            <v:line style="position:absolute" from="170,13" to="1467,13" stroked="true" strokeweight=".06pt" strokecolor="#000000"/>
            <v:line style="position:absolute" from="170,14" to="1467,14" stroked="true" strokeweight=".06pt" strokecolor="#000000"/>
            <v:line style="position:absolute" from="170,15" to="1467,15" stroked="true" strokeweight=".06pt" strokecolor="#000000"/>
            <v:line style="position:absolute" from="170,35" to="1467,35" stroked="true" strokeweight=".06pt" strokecolor="#000000"/>
            <v:line style="position:absolute" from="170,36" to="1467,36" stroked="true" strokeweight=".06pt" strokecolor="#000000"/>
            <v:line style="position:absolute" from="170,37" to="1467,37" stroked="true" strokeweight=".06pt" strokecolor="#000000"/>
            <v:line style="position:absolute" from="170,38" to="1467,38" stroked="true" strokeweight=".06pt" strokecolor="#000000"/>
            <v:line style="position:absolute" from="170,39" to="1467,39" stroked="true" strokeweight=".06pt" strokecolor="#000000"/>
            <v:line style="position:absolute" from="170,41" to="1467,41" stroked="true" strokeweight=".06pt" strokecolor="#000000"/>
            <v:line style="position:absolute" from="170,42" to="1467,42" stroked="true" strokeweight=".06pt" strokecolor="#000000"/>
            <v:line style="position:absolute" from="170,43" to="1467,43" stroked="true" strokeweight=".06pt" strokecolor="#000000"/>
            <v:line style="position:absolute" from="170,44" to="1467,44" stroked="true" strokeweight=".06pt" strokecolor="#000000"/>
            <v:line style="position:absolute" from="170,45" to="1467,45" stroked="true" strokeweight=".06pt" strokecolor="#000000"/>
            <v:line style="position:absolute" from="170,47" to="1467,47" stroked="true" strokeweight=".06pt" strokecolor="#000000"/>
            <v:line style="position:absolute" from="170,48" to="1467,48" stroked="true" strokeweight=".06pt" strokecolor="#000000"/>
            <v:line style="position:absolute" from="170,49" to="1467,49" stroked="true" strokeweight=".06pt" strokecolor="#000000"/>
            <v:line style="position:absolute" from="1467,1" to="2765,1" stroked="true" strokeweight=".06pt" strokecolor="#000000"/>
            <v:line style="position:absolute" from="1467,2" to="2765,2" stroked="true" strokeweight=".06pt" strokecolor="#000000"/>
            <v:line style="position:absolute" from="1467,3" to="2765,3" stroked="true" strokeweight=".06pt" strokecolor="#000000"/>
            <v:line style="position:absolute" from="1467,5" to="2765,5" stroked="true" strokeweight=".06pt" strokecolor="#000000"/>
            <v:line style="position:absolute" from="1467,6" to="2765,6" stroked="true" strokeweight=".06pt" strokecolor="#000000"/>
            <v:line style="position:absolute" from="1467,7" to="2765,7" stroked="true" strokeweight=".06pt" strokecolor="#000000"/>
            <v:line style="position:absolute" from="1467,8" to="2765,8" stroked="true" strokeweight=".06pt" strokecolor="#000000"/>
            <v:line style="position:absolute" from="1467,9" to="2765,9" stroked="true" strokeweight=".06pt" strokecolor="#000000"/>
            <v:line style="position:absolute" from="1467,11" to="2765,11" stroked="true" strokeweight=".06pt" strokecolor="#000000"/>
            <v:line style="position:absolute" from="1467,12" to="2765,12" stroked="true" strokeweight=".06pt" strokecolor="#000000"/>
            <v:line style="position:absolute" from="1467,13" to="2765,13" stroked="true" strokeweight=".06pt" strokecolor="#000000"/>
            <v:line style="position:absolute" from="1467,14" to="2765,14" stroked="true" strokeweight=".06pt" strokecolor="#000000"/>
            <v:line style="position:absolute" from="1467,15" to="2765,15" stroked="true" strokeweight=".06pt" strokecolor="#000000"/>
            <v:line style="position:absolute" from="1467,35" to="2765,35" stroked="true" strokeweight=".06pt" strokecolor="#000000"/>
            <v:line style="position:absolute" from="1467,36" to="2765,36" stroked="true" strokeweight=".06pt" strokecolor="#000000"/>
            <v:line style="position:absolute" from="1467,37" to="2765,37" stroked="true" strokeweight=".06pt" strokecolor="#000000"/>
            <v:line style="position:absolute" from="1467,38" to="2765,38" stroked="true" strokeweight=".06pt" strokecolor="#000000"/>
            <v:line style="position:absolute" from="1467,39" to="2765,39" stroked="true" strokeweight=".06pt" strokecolor="#000000"/>
            <v:line style="position:absolute" from="1467,41" to="2765,41" stroked="true" strokeweight=".06pt" strokecolor="#000000"/>
            <v:line style="position:absolute" from="1467,42" to="2765,42" stroked="true" strokeweight=".06pt" strokecolor="#000000"/>
            <v:line style="position:absolute" from="1467,43" to="2765,43" stroked="true" strokeweight=".06pt" strokecolor="#000000"/>
            <v:line style="position:absolute" from="1467,44" to="2765,44" stroked="true" strokeweight=".06pt" strokecolor="#000000"/>
            <v:line style="position:absolute" from="1467,45" to="2765,45" stroked="true" strokeweight=".06pt" strokecolor="#000000"/>
            <v:line style="position:absolute" from="1467,47" to="2765,47" stroked="true" strokeweight=".06pt" strokecolor="#000000"/>
            <v:line style="position:absolute" from="1467,48" to="2765,48" stroked="true" strokeweight=".06pt" strokecolor="#000000"/>
            <v:line style="position:absolute" from="1467,49" to="2765,49" stroked="true" strokeweight=".06pt" strokecolor="#000000"/>
            <v:line style="position:absolute" from="2765,1" to="2934,1" stroked="true" strokeweight=".06pt" strokecolor="#000000"/>
            <v:line style="position:absolute" from="2765,2" to="2934,2" stroked="true" strokeweight=".06pt" strokecolor="#000000"/>
            <v:line style="position:absolute" from="2765,3" to="2934,3" stroked="true" strokeweight=".06pt" strokecolor="#000000"/>
            <v:line style="position:absolute" from="2765,5" to="2934,5" stroked="true" strokeweight=".06pt" strokecolor="#000000"/>
            <v:line style="position:absolute" from="2765,6" to="2934,6" stroked="true" strokeweight=".06pt" strokecolor="#000000"/>
            <v:line style="position:absolute" from="2765,7" to="2934,7" stroked="true" strokeweight=".06pt" strokecolor="#000000"/>
            <v:line style="position:absolute" from="2765,8" to="2934,8" stroked="true" strokeweight=".06pt" strokecolor="#000000"/>
            <v:line style="position:absolute" from="2765,9" to="2934,9" stroked="true" strokeweight=".06pt" strokecolor="#000000"/>
            <v:line style="position:absolute" from="2765,11" to="2934,11" stroked="true" strokeweight=".06pt" strokecolor="#000000"/>
            <v:line style="position:absolute" from="2765,12" to="2934,12" stroked="true" strokeweight=".06pt" strokecolor="#000000"/>
            <v:line style="position:absolute" from="2765,13" to="2934,13" stroked="true" strokeweight=".06pt" strokecolor="#000000"/>
            <v:line style="position:absolute" from="2765,14" to="2934,14" stroked="true" strokeweight=".06pt" strokecolor="#000000"/>
            <v:line style="position:absolute" from="2765,15" to="2934,15" stroked="true" strokeweight=".06pt" strokecolor="#000000"/>
            <v:line style="position:absolute" from="2765,35" to="2934,35" stroked="true" strokeweight=".06pt" strokecolor="#000000"/>
            <v:line style="position:absolute" from="2765,36" to="2934,36" stroked="true" strokeweight=".06pt" strokecolor="#000000"/>
            <v:line style="position:absolute" from="2765,37" to="2934,37" stroked="true" strokeweight=".06pt" strokecolor="#000000"/>
            <v:line style="position:absolute" from="2765,38" to="2934,38" stroked="true" strokeweight=".06pt" strokecolor="#000000"/>
            <v:line style="position:absolute" from="2765,39" to="2934,39" stroked="true" strokeweight=".06pt" strokecolor="#000000"/>
            <v:line style="position:absolute" from="2765,41" to="2934,41" stroked="true" strokeweight=".06pt" strokecolor="#000000"/>
            <v:line style="position:absolute" from="2765,42" to="2934,42" stroked="true" strokeweight=".06pt" strokecolor="#000000"/>
            <v:line style="position:absolute" from="2765,43" to="2934,43" stroked="true" strokeweight=".06pt" strokecolor="#000000"/>
            <v:line style="position:absolute" from="2765,44" to="2934,44" stroked="true" strokeweight=".06pt" strokecolor="#000000"/>
            <v:line style="position:absolute" from="2765,45" to="2934,45" stroked="true" strokeweight=".06pt" strokecolor="#000000"/>
            <v:line style="position:absolute" from="2765,47" to="2934,47" stroked="true" strokeweight=".06pt" strokecolor="#000000"/>
            <v:line style="position:absolute" from="2765,48" to="2934,48" stroked="true" strokeweight=".06pt" strokecolor="#000000"/>
            <v:line style="position:absolute" from="2765,49" to="2934,49" stroked="true" strokeweight=".06pt" strokecolor="#000000"/>
            <v:line style="position:absolute" from="2934,1" to="4231,1" stroked="true" strokeweight=".06pt" strokecolor="#000000"/>
            <v:line style="position:absolute" from="2934,2" to="4231,2" stroked="true" strokeweight=".06pt" strokecolor="#000000"/>
            <v:line style="position:absolute" from="2934,3" to="4231,3" stroked="true" strokeweight=".06pt" strokecolor="#000000"/>
            <v:line style="position:absolute" from="2934,5" to="4231,5" stroked="true" strokeweight=".06pt" strokecolor="#000000"/>
            <v:line style="position:absolute" from="2934,6" to="4231,6" stroked="true" strokeweight=".06pt" strokecolor="#000000"/>
            <v:line style="position:absolute" from="2934,7" to="4231,7" stroked="true" strokeweight=".06pt" strokecolor="#000000"/>
            <v:line style="position:absolute" from="2934,8" to="4231,8" stroked="true" strokeweight=".06pt" strokecolor="#000000"/>
            <v:line style="position:absolute" from="2934,9" to="4231,9" stroked="true" strokeweight=".06pt" strokecolor="#000000"/>
            <v:line style="position:absolute" from="2934,11" to="4231,11" stroked="true" strokeweight=".06pt" strokecolor="#000000"/>
            <v:line style="position:absolute" from="2934,12" to="4231,12" stroked="true" strokeweight=".06pt" strokecolor="#000000"/>
            <v:line style="position:absolute" from="2934,13" to="4231,13" stroked="true" strokeweight=".06pt" strokecolor="#000000"/>
            <v:line style="position:absolute" from="2934,14" to="4231,14" stroked="true" strokeweight=".06pt" strokecolor="#000000"/>
            <v:line style="position:absolute" from="2934,15" to="4231,15" stroked="true" strokeweight=".06pt" strokecolor="#000000"/>
            <v:line style="position:absolute" from="2934,35" to="4231,35" stroked="true" strokeweight=".06pt" strokecolor="#000000"/>
            <v:line style="position:absolute" from="2934,36" to="4231,36" stroked="true" strokeweight=".06pt" strokecolor="#000000"/>
            <v:line style="position:absolute" from="2934,37" to="4231,37" stroked="true" strokeweight=".06pt" strokecolor="#000000"/>
            <v:line style="position:absolute" from="2934,38" to="4231,38" stroked="true" strokeweight=".06pt" strokecolor="#000000"/>
            <v:line style="position:absolute" from="2934,39" to="4231,39" stroked="true" strokeweight=".06pt" strokecolor="#000000"/>
            <v:line style="position:absolute" from="2934,41" to="4231,41" stroked="true" strokeweight=".06pt" strokecolor="#000000"/>
            <v:line style="position:absolute" from="2934,42" to="4231,42" stroked="true" strokeweight=".06pt" strokecolor="#000000"/>
            <v:line style="position:absolute" from="2934,43" to="4231,43" stroked="true" strokeweight=".06pt" strokecolor="#000000"/>
            <v:line style="position:absolute" from="2934,44" to="4231,44" stroked="true" strokeweight=".06pt" strokecolor="#000000"/>
            <v:line style="position:absolute" from="2934,45" to="4231,45" stroked="true" strokeweight=".06pt" strokecolor="#000000"/>
            <v:line style="position:absolute" from="2934,47" to="4231,47" stroked="true" strokeweight=".06pt" strokecolor="#000000"/>
            <v:line style="position:absolute" from="2934,48" to="4231,48" stroked="true" strokeweight=".06pt" strokecolor="#000000"/>
            <v:line style="position:absolute" from="2934,49" to="4231,49" stroked="true" strokeweight=".06pt" strokecolor="#000000"/>
            <v:line style="position:absolute" from="4231,1" to="5528,1" stroked="true" strokeweight=".06pt" strokecolor="#000000"/>
            <v:line style="position:absolute" from="4231,2" to="5528,2" stroked="true" strokeweight=".06pt" strokecolor="#000000"/>
            <v:line style="position:absolute" from="4231,3" to="5528,3" stroked="true" strokeweight=".06pt" strokecolor="#000000"/>
            <v:line style="position:absolute" from="4231,5" to="5528,5" stroked="true" strokeweight=".06pt" strokecolor="#000000"/>
            <v:line style="position:absolute" from="4231,6" to="5528,6" stroked="true" strokeweight=".06pt" strokecolor="#000000"/>
            <v:line style="position:absolute" from="4231,7" to="5528,7" stroked="true" strokeweight=".06pt" strokecolor="#000000"/>
            <v:line style="position:absolute" from="4231,8" to="5528,8" stroked="true" strokeweight=".06pt" strokecolor="#000000"/>
            <v:line style="position:absolute" from="4231,9" to="5528,9" stroked="true" strokeweight=".06pt" strokecolor="#000000"/>
            <v:line style="position:absolute" from="4231,11" to="5528,11" stroked="true" strokeweight=".06pt" strokecolor="#000000"/>
            <v:line style="position:absolute" from="4231,12" to="5528,12" stroked="true" strokeweight=".06pt" strokecolor="#000000"/>
            <v:line style="position:absolute" from="4231,13" to="5528,13" stroked="true" strokeweight=".06pt" strokecolor="#000000"/>
            <v:line style="position:absolute" from="4231,14" to="5528,14" stroked="true" strokeweight=".06pt" strokecolor="#000000"/>
            <v:line style="position:absolute" from="4231,15" to="5528,15" stroked="true" strokeweight=".06pt" strokecolor="#000000"/>
            <v:line style="position:absolute" from="4231,35" to="5528,35" stroked="true" strokeweight=".06pt" strokecolor="#000000"/>
            <v:line style="position:absolute" from="4231,36" to="5528,36" stroked="true" strokeweight=".06pt" strokecolor="#000000"/>
            <v:line style="position:absolute" from="4231,37" to="5528,37" stroked="true" strokeweight=".06pt" strokecolor="#000000"/>
            <v:line style="position:absolute" from="4231,38" to="5528,38" stroked="true" strokeweight=".06pt" strokecolor="#000000"/>
            <v:line style="position:absolute" from="4231,39" to="5528,39" stroked="true" strokeweight=".06pt" strokecolor="#000000"/>
            <v:line style="position:absolute" from="4231,41" to="5528,41" stroked="true" strokeweight=".06pt" strokecolor="#000000"/>
            <v:line style="position:absolute" from="4231,42" to="5528,42" stroked="true" strokeweight=".06pt" strokecolor="#000000"/>
            <v:line style="position:absolute" from="4231,43" to="5528,43" stroked="true" strokeweight=".06pt" strokecolor="#000000"/>
            <v:line style="position:absolute" from="4231,44" to="5528,44" stroked="true" strokeweight=".06pt" strokecolor="#000000"/>
            <v:line style="position:absolute" from="4231,45" to="5528,45" stroked="true" strokeweight=".06pt" strokecolor="#000000"/>
            <v:line style="position:absolute" from="4231,47" to="5528,47" stroked="true" strokeweight=".06pt" strokecolor="#000000"/>
            <v:line style="position:absolute" from="4231,48" to="5528,48" stroked="true" strokeweight=".06pt" strokecolor="#000000"/>
            <v:line style="position:absolute" from="4231,49" to="5528,49" stroked="true" strokeweight=".06pt" strokecolor="#000000"/>
          </v:group>
        </w:pict>
      </w:r>
      <w:r>
        <w:rPr>
          <w:position w:val="0"/>
          <w:sz w:val="5"/>
        </w:rPr>
      </w:r>
    </w:p>
    <w:p>
      <w:pPr>
        <w:spacing w:after="0" w:line="50" w:lineRule="exact"/>
        <w:rPr>
          <w:sz w:val="5"/>
        </w:rPr>
        <w:sectPr>
          <w:type w:val="continuous"/>
          <w:pgSz w:w="12750" w:h="17680"/>
          <w:pgMar w:top="1660" w:bottom="0" w:left="0" w:right="0"/>
        </w:sectPr>
      </w:pPr>
    </w:p>
    <w:p>
      <w:pPr>
        <w:pStyle w:val="BodyText"/>
        <w:rPr>
          <w:sz w:val="20"/>
        </w:rPr>
      </w:pPr>
    </w:p>
    <w:p>
      <w:pPr>
        <w:pStyle w:val="BodyText"/>
        <w:rPr>
          <w:sz w:val="20"/>
        </w:rPr>
      </w:pPr>
    </w:p>
    <w:p>
      <w:pPr>
        <w:pStyle w:val="BodyText"/>
        <w:spacing w:before="4"/>
      </w:pPr>
    </w:p>
    <w:p>
      <w:pPr>
        <w:pStyle w:val="Heading8"/>
        <w:numPr>
          <w:ilvl w:val="0"/>
          <w:numId w:val="33"/>
        </w:numPr>
        <w:tabs>
          <w:tab w:pos="1406" w:val="left" w:leader="none"/>
        </w:tabs>
        <w:spacing w:line="240" w:lineRule="auto" w:before="0" w:after="0"/>
        <w:ind w:left="1405" w:right="0" w:hanging="396"/>
        <w:jc w:val="left"/>
      </w:pPr>
      <w:bookmarkStart w:name="40 Acquittal of Australian Government Fi" w:id="150"/>
      <w:bookmarkEnd w:id="150"/>
      <w:r>
        <w:rPr>
          <w:b w:val="0"/>
        </w:rPr>
      </w:r>
      <w:bookmarkStart w:name="(a) Education - CGS and other Education " w:id="151"/>
      <w:bookmarkEnd w:id="151"/>
      <w:r>
        <w:rPr>
          <w:b w:val="0"/>
        </w:rPr>
      </w:r>
      <w:bookmarkStart w:name="(a) Education - CGS and other Education " w:id="152"/>
      <w:bookmarkEnd w:id="152"/>
      <w:r>
        <w:rPr/>
        <w:t>A</w:t>
      </w:r>
      <w:r>
        <w:rPr/>
        <w:t>cquittal of Australian Government Financial</w:t>
      </w:r>
      <w:r>
        <w:rPr>
          <w:spacing w:val="-33"/>
        </w:rPr>
        <w:t> </w:t>
      </w:r>
      <w:r>
        <w:rPr/>
        <w:t>Assistance</w:t>
      </w:r>
    </w:p>
    <w:p>
      <w:pPr>
        <w:pStyle w:val="BodyText"/>
        <w:spacing w:before="11"/>
        <w:rPr>
          <w:b/>
          <w:sz w:val="19"/>
        </w:rPr>
      </w:pPr>
    </w:p>
    <w:p>
      <w:pPr>
        <w:spacing w:after="0"/>
        <w:rPr>
          <w:sz w:val="19"/>
        </w:rPr>
        <w:sectPr>
          <w:headerReference w:type="default" r:id="rId51"/>
          <w:footerReference w:type="default" r:id="rId52"/>
          <w:pgSz w:w="16840" w:h="11910" w:orient="landscape"/>
          <w:pgMar w:header="38" w:footer="507" w:top="2220" w:bottom="700" w:left="0" w:right="0"/>
          <w:pgNumType w:start="82"/>
        </w:sectPr>
      </w:pPr>
    </w:p>
    <w:p>
      <w:pPr>
        <w:pStyle w:val="ListParagraph"/>
        <w:numPr>
          <w:ilvl w:val="1"/>
          <w:numId w:val="33"/>
        </w:numPr>
        <w:tabs>
          <w:tab w:pos="1972" w:val="left" w:leader="none"/>
        </w:tabs>
        <w:spacing w:line="240" w:lineRule="auto" w:before="77" w:after="0"/>
        <w:ind w:left="1971" w:right="0" w:hanging="566"/>
        <w:jc w:val="left"/>
        <w:rPr>
          <w:sz w:val="18"/>
        </w:rPr>
      </w:pPr>
      <w:r>
        <w:rPr>
          <w:sz w:val="18"/>
        </w:rPr>
        <w:t>Education</w:t>
      </w:r>
      <w:r>
        <w:rPr>
          <w:spacing w:val="-7"/>
          <w:sz w:val="18"/>
        </w:rPr>
        <w:t> </w:t>
      </w:r>
      <w:r>
        <w:rPr>
          <w:sz w:val="18"/>
        </w:rPr>
        <w:t>-</w:t>
      </w:r>
      <w:r>
        <w:rPr>
          <w:spacing w:val="-7"/>
          <w:sz w:val="18"/>
        </w:rPr>
        <w:t> </w:t>
      </w:r>
      <w:r>
        <w:rPr>
          <w:sz w:val="18"/>
        </w:rPr>
        <w:t>CGS</w:t>
      </w:r>
      <w:r>
        <w:rPr>
          <w:spacing w:val="-7"/>
          <w:sz w:val="18"/>
        </w:rPr>
        <w:t> </w:t>
      </w:r>
      <w:r>
        <w:rPr>
          <w:sz w:val="18"/>
        </w:rPr>
        <w:t>and</w:t>
      </w:r>
      <w:r>
        <w:rPr>
          <w:spacing w:val="-7"/>
          <w:sz w:val="18"/>
        </w:rPr>
        <w:t> </w:t>
      </w:r>
      <w:r>
        <w:rPr>
          <w:sz w:val="18"/>
        </w:rPr>
        <w:t>other</w:t>
      </w:r>
      <w:r>
        <w:rPr>
          <w:spacing w:val="-7"/>
          <w:sz w:val="18"/>
        </w:rPr>
        <w:t> </w:t>
      </w:r>
      <w:r>
        <w:rPr>
          <w:sz w:val="18"/>
        </w:rPr>
        <w:t>Education</w:t>
      </w:r>
      <w:r>
        <w:rPr>
          <w:spacing w:val="-7"/>
          <w:sz w:val="18"/>
        </w:rPr>
        <w:t> </w:t>
      </w:r>
      <w:r>
        <w:rPr>
          <w:sz w:val="18"/>
        </w:rPr>
        <w:t>grants</w:t>
      </w:r>
    </w:p>
    <w:p>
      <w:pPr>
        <w:pStyle w:val="BodyText"/>
        <w:rPr>
          <w:sz w:val="14"/>
        </w:rPr>
      </w:pPr>
      <w:r>
        <w:rPr/>
        <w:br w:type="column"/>
      </w:r>
      <w:r>
        <w:rPr>
          <w:sz w:val="14"/>
        </w:rPr>
      </w:r>
    </w:p>
    <w:p>
      <w:pPr>
        <w:pStyle w:val="BodyText"/>
        <w:rPr>
          <w:sz w:val="14"/>
        </w:rPr>
      </w:pPr>
    </w:p>
    <w:p>
      <w:pPr>
        <w:spacing w:before="0"/>
        <w:ind w:left="799" w:right="-13" w:hanging="423"/>
        <w:jc w:val="left"/>
        <w:rPr>
          <w:b/>
          <w:sz w:val="14"/>
        </w:rPr>
      </w:pPr>
      <w:r>
        <w:rPr>
          <w:b/>
          <w:sz w:val="14"/>
        </w:rPr>
        <w:t>Commonwealth Grants Scheme#1</w:t>
      </w:r>
    </w:p>
    <w:p>
      <w:pPr>
        <w:pStyle w:val="BodyText"/>
        <w:rPr>
          <w:b/>
          <w:sz w:val="14"/>
        </w:rPr>
      </w:pPr>
      <w:r>
        <w:rPr/>
        <w:br w:type="column"/>
      </w:r>
      <w:r>
        <w:rPr>
          <w:b/>
          <w:sz w:val="14"/>
        </w:rPr>
      </w:r>
    </w:p>
    <w:p>
      <w:pPr>
        <w:pStyle w:val="BodyText"/>
        <w:rPr>
          <w:b/>
          <w:sz w:val="14"/>
        </w:rPr>
      </w:pPr>
    </w:p>
    <w:p>
      <w:pPr>
        <w:spacing w:before="0"/>
        <w:ind w:left="546" w:right="-19" w:hanging="374"/>
        <w:jc w:val="left"/>
        <w:rPr>
          <w:b/>
          <w:sz w:val="14"/>
        </w:rPr>
      </w:pPr>
      <w:r>
        <w:rPr>
          <w:b/>
          <w:sz w:val="14"/>
        </w:rPr>
        <w:t>Indigenous Support Program</w:t>
      </w:r>
    </w:p>
    <w:p>
      <w:pPr>
        <w:pStyle w:val="BodyText"/>
        <w:rPr>
          <w:b/>
          <w:sz w:val="14"/>
        </w:rPr>
      </w:pPr>
      <w:r>
        <w:rPr/>
        <w:br w:type="column"/>
      </w:r>
      <w:r>
        <w:rPr>
          <w:b/>
          <w:sz w:val="14"/>
        </w:rPr>
      </w:r>
    </w:p>
    <w:p>
      <w:pPr>
        <w:pStyle w:val="BodyText"/>
        <w:rPr>
          <w:b/>
          <w:sz w:val="14"/>
        </w:rPr>
      </w:pPr>
    </w:p>
    <w:p>
      <w:pPr>
        <w:spacing w:before="0"/>
        <w:ind w:left="167" w:right="-14" w:firstLine="252"/>
        <w:jc w:val="left"/>
        <w:rPr>
          <w:b/>
          <w:sz w:val="14"/>
        </w:rPr>
      </w:pPr>
      <w:r>
        <w:rPr>
          <w:b/>
          <w:sz w:val="14"/>
        </w:rPr>
        <w:t>Higher Education Participation Program #2</w:t>
      </w:r>
    </w:p>
    <w:p>
      <w:pPr>
        <w:pStyle w:val="BodyText"/>
        <w:rPr>
          <w:b/>
          <w:sz w:val="14"/>
        </w:rPr>
      </w:pPr>
      <w:r>
        <w:rPr/>
        <w:br w:type="column"/>
      </w:r>
      <w:r>
        <w:rPr>
          <w:b/>
          <w:sz w:val="14"/>
        </w:rPr>
      </w:r>
    </w:p>
    <w:p>
      <w:pPr>
        <w:pStyle w:val="BodyText"/>
        <w:rPr>
          <w:b/>
          <w:sz w:val="14"/>
        </w:rPr>
      </w:pPr>
    </w:p>
    <w:p>
      <w:pPr>
        <w:spacing w:before="0"/>
        <w:ind w:left="541" w:right="-13" w:hanging="310"/>
        <w:jc w:val="left"/>
        <w:rPr>
          <w:b/>
          <w:sz w:val="14"/>
        </w:rPr>
      </w:pPr>
      <w:r>
        <w:rPr>
          <w:b/>
          <w:sz w:val="14"/>
        </w:rPr>
        <w:t>Disability</w:t>
      </w:r>
      <w:r>
        <w:rPr>
          <w:b/>
          <w:spacing w:val="-8"/>
          <w:sz w:val="14"/>
        </w:rPr>
        <w:t> </w:t>
      </w:r>
      <w:r>
        <w:rPr>
          <w:b/>
          <w:sz w:val="14"/>
        </w:rPr>
        <w:t>Support Program</w:t>
      </w:r>
    </w:p>
    <w:p>
      <w:pPr>
        <w:pStyle w:val="BodyText"/>
        <w:rPr>
          <w:b/>
          <w:sz w:val="14"/>
        </w:rPr>
      </w:pPr>
      <w:r>
        <w:rPr/>
        <w:br w:type="column"/>
      </w:r>
      <w:r>
        <w:rPr>
          <w:b/>
          <w:sz w:val="14"/>
        </w:rPr>
      </w:r>
    </w:p>
    <w:p>
      <w:pPr>
        <w:pStyle w:val="BodyText"/>
        <w:rPr>
          <w:b/>
          <w:sz w:val="14"/>
        </w:rPr>
      </w:pPr>
    </w:p>
    <w:p>
      <w:pPr>
        <w:spacing w:before="0"/>
        <w:ind w:left="334" w:right="-20" w:hanging="119"/>
        <w:jc w:val="left"/>
        <w:rPr>
          <w:b/>
          <w:sz w:val="14"/>
        </w:rPr>
      </w:pPr>
      <w:r>
        <w:rPr>
          <w:b/>
          <w:sz w:val="14"/>
        </w:rPr>
        <w:t>Diversity and Structural</w:t>
      </w:r>
      <w:r>
        <w:rPr>
          <w:b/>
          <w:w w:val="100"/>
          <w:sz w:val="14"/>
        </w:rPr>
        <w:t> </w:t>
      </w:r>
      <w:r>
        <w:rPr>
          <w:b/>
          <w:sz w:val="14"/>
        </w:rPr>
        <w:t>Adjustment Fund #3</w:t>
      </w:r>
    </w:p>
    <w:p>
      <w:pPr>
        <w:pStyle w:val="BodyText"/>
        <w:rPr>
          <w:b/>
          <w:sz w:val="14"/>
        </w:rPr>
      </w:pPr>
      <w:r>
        <w:rPr/>
        <w:br w:type="column"/>
      </w:r>
      <w:r>
        <w:rPr>
          <w:b/>
          <w:sz w:val="14"/>
        </w:rPr>
      </w:r>
    </w:p>
    <w:p>
      <w:pPr>
        <w:pStyle w:val="BodyText"/>
        <w:rPr>
          <w:b/>
          <w:sz w:val="14"/>
        </w:rPr>
      </w:pPr>
    </w:p>
    <w:p>
      <w:pPr>
        <w:spacing w:before="0"/>
        <w:ind w:left="47" w:right="1006" w:firstLine="232"/>
        <w:jc w:val="left"/>
        <w:rPr>
          <w:b/>
          <w:sz w:val="14"/>
        </w:rPr>
      </w:pPr>
      <w:r>
        <w:rPr>
          <w:b/>
          <w:sz w:val="14"/>
        </w:rPr>
        <w:t>Promo of Exc in Learning and Teaching</w:t>
      </w:r>
    </w:p>
    <w:p>
      <w:pPr>
        <w:spacing w:after="0"/>
        <w:jc w:val="left"/>
        <w:rPr>
          <w:sz w:val="14"/>
        </w:rPr>
        <w:sectPr>
          <w:type w:val="continuous"/>
          <w:pgSz w:w="16840" w:h="11910" w:orient="landscape"/>
          <w:pgMar w:top="1660" w:bottom="0" w:left="0" w:right="0"/>
          <w:cols w:num="7" w:equalWidth="0">
            <w:col w:w="5528" w:space="40"/>
            <w:col w:w="1916" w:space="40"/>
            <w:col w:w="1496" w:space="40"/>
            <w:col w:w="1831" w:space="40"/>
            <w:col w:w="1428" w:space="40"/>
            <w:col w:w="1795" w:space="40"/>
            <w:col w:w="2606"/>
          </w:cols>
        </w:sectPr>
      </w:pPr>
    </w:p>
    <w:p>
      <w:pPr>
        <w:pStyle w:val="BodyText"/>
        <w:spacing w:before="2"/>
        <w:rPr>
          <w:b/>
          <w:sz w:val="3"/>
        </w:rPr>
      </w:pPr>
    </w:p>
    <w:p>
      <w:pPr>
        <w:tabs>
          <w:tab w:pos="1976" w:val="left" w:leader="none"/>
          <w:tab w:pos="16525" w:val="left" w:leader="none"/>
        </w:tabs>
        <w:spacing w:line="240" w:lineRule="auto"/>
        <w:ind w:left="67" w:right="0" w:firstLine="0"/>
        <w:rPr>
          <w:sz w:val="20"/>
        </w:rPr>
      </w:pPr>
      <w:r>
        <w:rPr>
          <w:position w:val="37"/>
          <w:sz w:val="20"/>
        </w:rPr>
        <w:drawing>
          <wp:inline distT="0" distB="0" distL="0" distR="0">
            <wp:extent cx="154019" cy="154019"/>
            <wp:effectExtent l="0" t="0" r="0" b="0"/>
            <wp:docPr id="377" name="image25.png" descr=""/>
            <wp:cNvGraphicFramePr>
              <a:graphicFrameLocks noChangeAspect="1"/>
            </wp:cNvGraphicFramePr>
            <a:graphic>
              <a:graphicData uri="http://schemas.openxmlformats.org/drawingml/2006/picture">
                <pic:pic>
                  <pic:nvPicPr>
                    <pic:cNvPr id="378" name="image25.png"/>
                    <pic:cNvPicPr/>
                  </pic:nvPicPr>
                  <pic:blipFill>
                    <a:blip r:embed="rId41" cstate="print"/>
                    <a:stretch>
                      <a:fillRect/>
                    </a:stretch>
                  </pic:blipFill>
                  <pic:spPr>
                    <a:xfrm>
                      <a:off x="0" y="0"/>
                      <a:ext cx="154019" cy="154019"/>
                    </a:xfrm>
                    <a:prstGeom prst="rect">
                      <a:avLst/>
                    </a:prstGeom>
                  </pic:spPr>
                </pic:pic>
              </a:graphicData>
            </a:graphic>
          </wp:inline>
        </w:drawing>
      </w:r>
      <w:r>
        <w:rPr>
          <w:position w:val="37"/>
          <w:sz w:val="20"/>
        </w:rPr>
      </w:r>
      <w:r>
        <w:rPr>
          <w:position w:val="37"/>
          <w:sz w:val="20"/>
        </w:rPr>
        <w:tab/>
      </w:r>
      <w:r>
        <w:rPr>
          <w:sz w:val="20"/>
        </w:rPr>
        <w:pict>
          <v:shape style="width:694.15pt;height:121.35pt;mso-position-horizontal-relative:char;mso-position-vertical-relative:line" type="#_x0000_t202" filled="false" stroked="false">
            <w10:anchorlock/>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346"/>
                    <w:gridCol w:w="560"/>
                    <w:gridCol w:w="920"/>
                    <w:gridCol w:w="836"/>
                    <w:gridCol w:w="827"/>
                    <w:gridCol w:w="830"/>
                    <w:gridCol w:w="884"/>
                    <w:gridCol w:w="859"/>
                    <w:gridCol w:w="827"/>
                    <w:gridCol w:w="817"/>
                    <w:gridCol w:w="827"/>
                    <w:gridCol w:w="817"/>
                    <w:gridCol w:w="827"/>
                    <w:gridCol w:w="704"/>
                  </w:tblGrid>
                  <w:tr>
                    <w:trPr>
                      <w:trHeight w:val="502" w:hRule="exact"/>
                    </w:trPr>
                    <w:tc>
                      <w:tcPr>
                        <w:tcW w:w="3346" w:type="dxa"/>
                      </w:tcPr>
                      <w:p>
                        <w:pPr>
                          <w:pStyle w:val="TableParagraph"/>
                          <w:jc w:val="left"/>
                          <w:rPr>
                            <w:b/>
                            <w:sz w:val="14"/>
                          </w:rPr>
                        </w:pPr>
                      </w:p>
                      <w:p>
                        <w:pPr>
                          <w:pStyle w:val="TableParagraph"/>
                          <w:spacing w:before="4"/>
                          <w:jc w:val="left"/>
                          <w:rPr>
                            <w:b/>
                            <w:sz w:val="12"/>
                          </w:rPr>
                        </w:pPr>
                      </w:p>
                      <w:p>
                        <w:pPr>
                          <w:pStyle w:val="TableParagraph"/>
                          <w:ind w:left="35" w:right="77"/>
                          <w:jc w:val="left"/>
                          <w:rPr>
                            <w:b/>
                            <w:sz w:val="14"/>
                          </w:rPr>
                        </w:pPr>
                        <w:r>
                          <w:rPr>
                            <w:b/>
                            <w:sz w:val="14"/>
                          </w:rPr>
                          <w:t>Parent Entity (University) Only</w:t>
                        </w:r>
                      </w:p>
                    </w:tc>
                    <w:tc>
                      <w:tcPr>
                        <w:tcW w:w="560" w:type="dxa"/>
                      </w:tcPr>
                      <w:p>
                        <w:pPr>
                          <w:pStyle w:val="TableParagraph"/>
                          <w:jc w:val="left"/>
                          <w:rPr>
                            <w:b/>
                            <w:sz w:val="14"/>
                          </w:rPr>
                        </w:pPr>
                      </w:p>
                      <w:p>
                        <w:pPr>
                          <w:pStyle w:val="TableParagraph"/>
                          <w:spacing w:before="4"/>
                          <w:jc w:val="left"/>
                          <w:rPr>
                            <w:b/>
                            <w:sz w:val="12"/>
                          </w:rPr>
                        </w:pPr>
                      </w:p>
                      <w:p>
                        <w:pPr>
                          <w:pStyle w:val="TableParagraph"/>
                          <w:ind w:left="156"/>
                          <w:jc w:val="left"/>
                          <w:rPr>
                            <w:b/>
                            <w:sz w:val="14"/>
                          </w:rPr>
                        </w:pPr>
                        <w:r>
                          <w:rPr>
                            <w:b/>
                            <w:sz w:val="14"/>
                          </w:rPr>
                          <w:t>Note</w:t>
                        </w:r>
                      </w:p>
                    </w:tc>
                    <w:tc>
                      <w:tcPr>
                        <w:tcW w:w="920" w:type="dxa"/>
                      </w:tcPr>
                      <w:p>
                        <w:pPr>
                          <w:pStyle w:val="TableParagraph"/>
                          <w:spacing w:before="75"/>
                          <w:ind w:left="265"/>
                          <w:jc w:val="left"/>
                          <w:rPr>
                            <w:b/>
                            <w:sz w:val="14"/>
                          </w:rPr>
                        </w:pPr>
                        <w:r>
                          <w:rPr>
                            <w:b/>
                            <w:sz w:val="14"/>
                          </w:rPr>
                          <w:t>2016</w:t>
                        </w:r>
                      </w:p>
                      <w:p>
                        <w:pPr>
                          <w:pStyle w:val="TableParagraph"/>
                          <w:spacing w:before="67"/>
                          <w:ind w:left="248"/>
                          <w:jc w:val="left"/>
                          <w:rPr>
                            <w:b/>
                            <w:sz w:val="14"/>
                          </w:rPr>
                        </w:pPr>
                        <w:r>
                          <w:rPr>
                            <w:b/>
                            <w:sz w:val="14"/>
                          </w:rPr>
                          <w:t>$'000</w:t>
                        </w:r>
                      </w:p>
                    </w:tc>
                    <w:tc>
                      <w:tcPr>
                        <w:tcW w:w="836" w:type="dxa"/>
                      </w:tcPr>
                      <w:p>
                        <w:pPr>
                          <w:pStyle w:val="TableParagraph"/>
                          <w:spacing w:before="75"/>
                          <w:ind w:left="155"/>
                          <w:jc w:val="left"/>
                          <w:rPr>
                            <w:b/>
                            <w:sz w:val="14"/>
                          </w:rPr>
                        </w:pPr>
                        <w:r>
                          <w:rPr>
                            <w:b/>
                            <w:sz w:val="14"/>
                          </w:rPr>
                          <w:t>2015</w:t>
                        </w:r>
                      </w:p>
                      <w:p>
                        <w:pPr>
                          <w:pStyle w:val="TableParagraph"/>
                          <w:spacing w:before="67"/>
                          <w:ind w:left="138"/>
                          <w:jc w:val="left"/>
                          <w:rPr>
                            <w:b/>
                            <w:sz w:val="14"/>
                          </w:rPr>
                        </w:pPr>
                        <w:r>
                          <w:rPr>
                            <w:b/>
                            <w:sz w:val="14"/>
                          </w:rPr>
                          <w:t>$'000</w:t>
                        </w:r>
                      </w:p>
                    </w:tc>
                    <w:tc>
                      <w:tcPr>
                        <w:tcW w:w="827" w:type="dxa"/>
                      </w:tcPr>
                      <w:p>
                        <w:pPr>
                          <w:pStyle w:val="TableParagraph"/>
                          <w:spacing w:before="75"/>
                          <w:ind w:left="153"/>
                          <w:jc w:val="left"/>
                          <w:rPr>
                            <w:b/>
                            <w:sz w:val="14"/>
                          </w:rPr>
                        </w:pPr>
                        <w:r>
                          <w:rPr>
                            <w:b/>
                            <w:sz w:val="14"/>
                          </w:rPr>
                          <w:t>2016</w:t>
                        </w:r>
                      </w:p>
                      <w:p>
                        <w:pPr>
                          <w:pStyle w:val="TableParagraph"/>
                          <w:spacing w:before="67"/>
                          <w:ind w:left="136"/>
                          <w:jc w:val="left"/>
                          <w:rPr>
                            <w:b/>
                            <w:sz w:val="14"/>
                          </w:rPr>
                        </w:pPr>
                        <w:r>
                          <w:rPr>
                            <w:b/>
                            <w:sz w:val="14"/>
                          </w:rPr>
                          <w:t>$'000</w:t>
                        </w:r>
                      </w:p>
                    </w:tc>
                    <w:tc>
                      <w:tcPr>
                        <w:tcW w:w="830" w:type="dxa"/>
                      </w:tcPr>
                      <w:p>
                        <w:pPr>
                          <w:pStyle w:val="TableParagraph"/>
                          <w:spacing w:before="75"/>
                          <w:ind w:left="135"/>
                          <w:jc w:val="left"/>
                          <w:rPr>
                            <w:b/>
                            <w:sz w:val="14"/>
                          </w:rPr>
                        </w:pPr>
                        <w:r>
                          <w:rPr>
                            <w:b/>
                            <w:sz w:val="14"/>
                          </w:rPr>
                          <w:t>2015</w:t>
                        </w:r>
                      </w:p>
                      <w:p>
                        <w:pPr>
                          <w:pStyle w:val="TableParagraph"/>
                          <w:spacing w:before="67"/>
                          <w:ind w:left="118"/>
                          <w:jc w:val="left"/>
                          <w:rPr>
                            <w:b/>
                            <w:sz w:val="14"/>
                          </w:rPr>
                        </w:pPr>
                        <w:r>
                          <w:rPr>
                            <w:b/>
                            <w:sz w:val="14"/>
                          </w:rPr>
                          <w:t>$'000</w:t>
                        </w:r>
                      </w:p>
                    </w:tc>
                    <w:tc>
                      <w:tcPr>
                        <w:tcW w:w="884" w:type="dxa"/>
                      </w:tcPr>
                      <w:p>
                        <w:pPr>
                          <w:pStyle w:val="TableParagraph"/>
                          <w:spacing w:before="75"/>
                          <w:ind w:left="166"/>
                          <w:jc w:val="left"/>
                          <w:rPr>
                            <w:b/>
                            <w:sz w:val="14"/>
                          </w:rPr>
                        </w:pPr>
                        <w:r>
                          <w:rPr>
                            <w:b/>
                            <w:sz w:val="14"/>
                          </w:rPr>
                          <w:t>2016</w:t>
                        </w:r>
                      </w:p>
                      <w:p>
                        <w:pPr>
                          <w:pStyle w:val="TableParagraph"/>
                          <w:spacing w:before="67"/>
                          <w:ind w:left="150"/>
                          <w:jc w:val="left"/>
                          <w:rPr>
                            <w:b/>
                            <w:sz w:val="14"/>
                          </w:rPr>
                        </w:pPr>
                        <w:r>
                          <w:rPr>
                            <w:b/>
                            <w:sz w:val="14"/>
                          </w:rPr>
                          <w:t>$'000</w:t>
                        </w:r>
                      </w:p>
                    </w:tc>
                    <w:tc>
                      <w:tcPr>
                        <w:tcW w:w="859" w:type="dxa"/>
                      </w:tcPr>
                      <w:p>
                        <w:pPr>
                          <w:pStyle w:val="TableParagraph"/>
                          <w:spacing w:before="75"/>
                          <w:ind w:left="150"/>
                          <w:jc w:val="left"/>
                          <w:rPr>
                            <w:b/>
                            <w:sz w:val="14"/>
                          </w:rPr>
                        </w:pPr>
                        <w:r>
                          <w:rPr>
                            <w:b/>
                            <w:sz w:val="14"/>
                          </w:rPr>
                          <w:t>2015</w:t>
                        </w:r>
                      </w:p>
                      <w:p>
                        <w:pPr>
                          <w:pStyle w:val="TableParagraph"/>
                          <w:spacing w:before="67"/>
                          <w:ind w:left="133"/>
                          <w:jc w:val="left"/>
                          <w:rPr>
                            <w:b/>
                            <w:sz w:val="14"/>
                          </w:rPr>
                        </w:pPr>
                        <w:r>
                          <w:rPr>
                            <w:b/>
                            <w:sz w:val="14"/>
                          </w:rPr>
                          <w:t>$'000</w:t>
                        </w:r>
                      </w:p>
                    </w:tc>
                    <w:tc>
                      <w:tcPr>
                        <w:tcW w:w="827" w:type="dxa"/>
                      </w:tcPr>
                      <w:p>
                        <w:pPr>
                          <w:pStyle w:val="TableParagraph"/>
                          <w:spacing w:before="75"/>
                          <w:ind w:left="153"/>
                          <w:jc w:val="left"/>
                          <w:rPr>
                            <w:b/>
                            <w:sz w:val="14"/>
                          </w:rPr>
                        </w:pPr>
                        <w:r>
                          <w:rPr>
                            <w:b/>
                            <w:sz w:val="14"/>
                          </w:rPr>
                          <w:t>2016</w:t>
                        </w:r>
                      </w:p>
                      <w:p>
                        <w:pPr>
                          <w:pStyle w:val="TableParagraph"/>
                          <w:spacing w:before="67"/>
                          <w:ind w:left="136"/>
                          <w:jc w:val="left"/>
                          <w:rPr>
                            <w:b/>
                            <w:sz w:val="14"/>
                          </w:rPr>
                        </w:pPr>
                        <w:r>
                          <w:rPr>
                            <w:b/>
                            <w:sz w:val="14"/>
                          </w:rPr>
                          <w:t>$'000</w:t>
                        </w:r>
                      </w:p>
                    </w:tc>
                    <w:tc>
                      <w:tcPr>
                        <w:tcW w:w="817" w:type="dxa"/>
                      </w:tcPr>
                      <w:p>
                        <w:pPr>
                          <w:pStyle w:val="TableParagraph"/>
                          <w:spacing w:before="75"/>
                          <w:ind w:left="135"/>
                          <w:jc w:val="left"/>
                          <w:rPr>
                            <w:b/>
                            <w:sz w:val="14"/>
                          </w:rPr>
                        </w:pPr>
                        <w:r>
                          <w:rPr>
                            <w:b/>
                            <w:sz w:val="14"/>
                          </w:rPr>
                          <w:t>2015</w:t>
                        </w:r>
                      </w:p>
                      <w:p>
                        <w:pPr>
                          <w:pStyle w:val="TableParagraph"/>
                          <w:spacing w:before="67"/>
                          <w:ind w:left="118"/>
                          <w:jc w:val="left"/>
                          <w:rPr>
                            <w:b/>
                            <w:sz w:val="14"/>
                          </w:rPr>
                        </w:pPr>
                        <w:r>
                          <w:rPr>
                            <w:b/>
                            <w:sz w:val="14"/>
                          </w:rPr>
                          <w:t>$'000</w:t>
                        </w:r>
                      </w:p>
                    </w:tc>
                    <w:tc>
                      <w:tcPr>
                        <w:tcW w:w="827" w:type="dxa"/>
                      </w:tcPr>
                      <w:p>
                        <w:pPr>
                          <w:pStyle w:val="TableParagraph"/>
                          <w:spacing w:before="75"/>
                          <w:ind w:left="153"/>
                          <w:jc w:val="left"/>
                          <w:rPr>
                            <w:b/>
                            <w:sz w:val="14"/>
                          </w:rPr>
                        </w:pPr>
                        <w:r>
                          <w:rPr>
                            <w:b/>
                            <w:sz w:val="14"/>
                          </w:rPr>
                          <w:t>2016</w:t>
                        </w:r>
                      </w:p>
                      <w:p>
                        <w:pPr>
                          <w:pStyle w:val="TableParagraph"/>
                          <w:spacing w:before="67"/>
                          <w:ind w:left="136"/>
                          <w:jc w:val="left"/>
                          <w:rPr>
                            <w:b/>
                            <w:sz w:val="14"/>
                          </w:rPr>
                        </w:pPr>
                        <w:r>
                          <w:rPr>
                            <w:b/>
                            <w:sz w:val="14"/>
                          </w:rPr>
                          <w:t>$'000</w:t>
                        </w:r>
                      </w:p>
                    </w:tc>
                    <w:tc>
                      <w:tcPr>
                        <w:tcW w:w="817" w:type="dxa"/>
                      </w:tcPr>
                      <w:p>
                        <w:pPr>
                          <w:pStyle w:val="TableParagraph"/>
                          <w:spacing w:before="75"/>
                          <w:ind w:left="135"/>
                          <w:jc w:val="left"/>
                          <w:rPr>
                            <w:b/>
                            <w:sz w:val="14"/>
                          </w:rPr>
                        </w:pPr>
                        <w:r>
                          <w:rPr>
                            <w:b/>
                            <w:sz w:val="14"/>
                          </w:rPr>
                          <w:t>2015</w:t>
                        </w:r>
                      </w:p>
                      <w:p>
                        <w:pPr>
                          <w:pStyle w:val="TableParagraph"/>
                          <w:spacing w:before="67"/>
                          <w:ind w:left="118"/>
                          <w:jc w:val="left"/>
                          <w:rPr>
                            <w:b/>
                            <w:sz w:val="14"/>
                          </w:rPr>
                        </w:pPr>
                        <w:r>
                          <w:rPr>
                            <w:b/>
                            <w:sz w:val="14"/>
                          </w:rPr>
                          <w:t>$'000</w:t>
                        </w:r>
                      </w:p>
                    </w:tc>
                    <w:tc>
                      <w:tcPr>
                        <w:tcW w:w="827" w:type="dxa"/>
                      </w:tcPr>
                      <w:p>
                        <w:pPr>
                          <w:pStyle w:val="TableParagraph"/>
                          <w:spacing w:before="75"/>
                          <w:ind w:left="153"/>
                          <w:jc w:val="left"/>
                          <w:rPr>
                            <w:b/>
                            <w:sz w:val="14"/>
                          </w:rPr>
                        </w:pPr>
                        <w:r>
                          <w:rPr>
                            <w:b/>
                            <w:sz w:val="14"/>
                          </w:rPr>
                          <w:t>2016</w:t>
                        </w:r>
                      </w:p>
                      <w:p>
                        <w:pPr>
                          <w:pStyle w:val="TableParagraph"/>
                          <w:spacing w:before="67"/>
                          <w:ind w:left="136"/>
                          <w:jc w:val="left"/>
                          <w:rPr>
                            <w:b/>
                            <w:sz w:val="14"/>
                          </w:rPr>
                        </w:pPr>
                        <w:r>
                          <w:rPr>
                            <w:b/>
                            <w:sz w:val="14"/>
                          </w:rPr>
                          <w:t>$'000</w:t>
                        </w:r>
                      </w:p>
                    </w:tc>
                    <w:tc>
                      <w:tcPr>
                        <w:tcW w:w="704" w:type="dxa"/>
                      </w:tcPr>
                      <w:p>
                        <w:pPr>
                          <w:pStyle w:val="TableParagraph"/>
                          <w:spacing w:before="75"/>
                          <w:ind w:left="135"/>
                          <w:jc w:val="left"/>
                          <w:rPr>
                            <w:b/>
                            <w:sz w:val="14"/>
                          </w:rPr>
                        </w:pPr>
                        <w:r>
                          <w:rPr>
                            <w:b/>
                            <w:sz w:val="14"/>
                          </w:rPr>
                          <w:t>2015</w:t>
                        </w:r>
                      </w:p>
                      <w:p>
                        <w:pPr>
                          <w:pStyle w:val="TableParagraph"/>
                          <w:spacing w:before="67"/>
                          <w:ind w:left="118"/>
                          <w:jc w:val="left"/>
                          <w:rPr>
                            <w:b/>
                            <w:sz w:val="14"/>
                          </w:rPr>
                        </w:pPr>
                        <w:r>
                          <w:rPr>
                            <w:b/>
                            <w:sz w:val="14"/>
                          </w:rPr>
                          <w:t>$'000</w:t>
                        </w:r>
                      </w:p>
                    </w:tc>
                  </w:tr>
                  <w:tr>
                    <w:trPr>
                      <w:trHeight w:val="541" w:hRule="exact"/>
                    </w:trPr>
                    <w:tc>
                      <w:tcPr>
                        <w:tcW w:w="3346" w:type="dxa"/>
                      </w:tcPr>
                      <w:p>
                        <w:pPr>
                          <w:pStyle w:val="TableParagraph"/>
                          <w:spacing w:before="23"/>
                          <w:ind w:left="35" w:right="77"/>
                          <w:jc w:val="left"/>
                          <w:rPr>
                            <w:sz w:val="14"/>
                          </w:rPr>
                        </w:pPr>
                        <w:r>
                          <w:rPr>
                            <w:sz w:val="14"/>
                          </w:rPr>
                          <w:t>Financial assistance received in CASH during the reporting period (total cash received from Australian Government for the program)</w:t>
                        </w:r>
                      </w:p>
                    </w:tc>
                    <w:tc>
                      <w:tcPr>
                        <w:tcW w:w="560" w:type="dxa"/>
                      </w:tcPr>
                      <w:p>
                        <w:pPr/>
                      </w:p>
                    </w:tc>
                    <w:tc>
                      <w:tcPr>
                        <w:tcW w:w="920" w:type="dxa"/>
                      </w:tcPr>
                      <w:p>
                        <w:pPr>
                          <w:pStyle w:val="TableParagraph"/>
                          <w:jc w:val="left"/>
                          <w:rPr>
                            <w:b/>
                            <w:sz w:val="14"/>
                          </w:rPr>
                        </w:pPr>
                      </w:p>
                      <w:p>
                        <w:pPr>
                          <w:pStyle w:val="TableParagraph"/>
                          <w:spacing w:before="10"/>
                          <w:jc w:val="left"/>
                          <w:rPr>
                            <w:b/>
                            <w:sz w:val="15"/>
                          </w:rPr>
                        </w:pPr>
                      </w:p>
                      <w:p>
                        <w:pPr>
                          <w:pStyle w:val="TableParagraph"/>
                          <w:ind w:right="143"/>
                          <w:rPr>
                            <w:sz w:val="14"/>
                          </w:rPr>
                        </w:pPr>
                        <w:r>
                          <w:rPr>
                            <w:sz w:val="14"/>
                          </w:rPr>
                          <w:t>298,324</w:t>
                        </w:r>
                      </w:p>
                    </w:tc>
                    <w:tc>
                      <w:tcPr>
                        <w:tcW w:w="836" w:type="dxa"/>
                      </w:tcPr>
                      <w:p>
                        <w:pPr>
                          <w:pStyle w:val="TableParagraph"/>
                          <w:jc w:val="left"/>
                          <w:rPr>
                            <w:b/>
                            <w:sz w:val="14"/>
                          </w:rPr>
                        </w:pPr>
                      </w:p>
                      <w:p>
                        <w:pPr>
                          <w:pStyle w:val="TableParagraph"/>
                          <w:spacing w:before="10"/>
                          <w:jc w:val="left"/>
                          <w:rPr>
                            <w:b/>
                            <w:sz w:val="15"/>
                          </w:rPr>
                        </w:pPr>
                      </w:p>
                      <w:p>
                        <w:pPr>
                          <w:pStyle w:val="TableParagraph"/>
                          <w:ind w:right="180"/>
                          <w:rPr>
                            <w:sz w:val="14"/>
                          </w:rPr>
                        </w:pPr>
                        <w:r>
                          <w:rPr>
                            <w:sz w:val="14"/>
                          </w:rPr>
                          <w:t>287,130</w:t>
                        </w:r>
                      </w:p>
                    </w:tc>
                    <w:tc>
                      <w:tcPr>
                        <w:tcW w:w="827" w:type="dxa"/>
                      </w:tcPr>
                      <w:p>
                        <w:pPr>
                          <w:pStyle w:val="TableParagraph"/>
                          <w:jc w:val="left"/>
                          <w:rPr>
                            <w:b/>
                            <w:sz w:val="14"/>
                          </w:rPr>
                        </w:pPr>
                      </w:p>
                      <w:p>
                        <w:pPr>
                          <w:pStyle w:val="TableParagraph"/>
                          <w:spacing w:before="10"/>
                          <w:jc w:val="left"/>
                          <w:rPr>
                            <w:b/>
                            <w:sz w:val="15"/>
                          </w:rPr>
                        </w:pPr>
                      </w:p>
                      <w:p>
                        <w:pPr>
                          <w:pStyle w:val="TableParagraph"/>
                          <w:ind w:right="163"/>
                          <w:rPr>
                            <w:sz w:val="14"/>
                          </w:rPr>
                        </w:pPr>
                        <w:r>
                          <w:rPr>
                            <w:sz w:val="14"/>
                          </w:rPr>
                          <w:t>1,758</w:t>
                        </w:r>
                      </w:p>
                    </w:tc>
                    <w:tc>
                      <w:tcPr>
                        <w:tcW w:w="830" w:type="dxa"/>
                      </w:tcPr>
                      <w:p>
                        <w:pPr>
                          <w:pStyle w:val="TableParagraph"/>
                          <w:jc w:val="left"/>
                          <w:rPr>
                            <w:b/>
                            <w:sz w:val="14"/>
                          </w:rPr>
                        </w:pPr>
                      </w:p>
                      <w:p>
                        <w:pPr>
                          <w:pStyle w:val="TableParagraph"/>
                          <w:spacing w:before="10"/>
                          <w:jc w:val="left"/>
                          <w:rPr>
                            <w:b/>
                            <w:sz w:val="15"/>
                          </w:rPr>
                        </w:pPr>
                      </w:p>
                      <w:p>
                        <w:pPr>
                          <w:pStyle w:val="TableParagraph"/>
                          <w:ind w:right="194"/>
                          <w:rPr>
                            <w:sz w:val="14"/>
                          </w:rPr>
                        </w:pPr>
                        <w:r>
                          <w:rPr>
                            <w:sz w:val="14"/>
                          </w:rPr>
                          <w:t>1,749</w:t>
                        </w:r>
                      </w:p>
                    </w:tc>
                    <w:tc>
                      <w:tcPr>
                        <w:tcW w:w="884" w:type="dxa"/>
                      </w:tcPr>
                      <w:p>
                        <w:pPr>
                          <w:pStyle w:val="TableParagraph"/>
                          <w:jc w:val="left"/>
                          <w:rPr>
                            <w:b/>
                            <w:sz w:val="14"/>
                          </w:rPr>
                        </w:pPr>
                      </w:p>
                      <w:p>
                        <w:pPr>
                          <w:pStyle w:val="TableParagraph"/>
                          <w:spacing w:before="10"/>
                          <w:jc w:val="left"/>
                          <w:rPr>
                            <w:b/>
                            <w:sz w:val="15"/>
                          </w:rPr>
                        </w:pPr>
                      </w:p>
                      <w:p>
                        <w:pPr>
                          <w:pStyle w:val="TableParagraph"/>
                          <w:ind w:right="177"/>
                          <w:rPr>
                            <w:sz w:val="14"/>
                          </w:rPr>
                        </w:pPr>
                        <w:r>
                          <w:rPr>
                            <w:sz w:val="14"/>
                          </w:rPr>
                          <w:t>11,625</w:t>
                        </w:r>
                      </w:p>
                    </w:tc>
                    <w:tc>
                      <w:tcPr>
                        <w:tcW w:w="859" w:type="dxa"/>
                      </w:tcPr>
                      <w:p>
                        <w:pPr>
                          <w:pStyle w:val="TableParagraph"/>
                          <w:jc w:val="left"/>
                          <w:rPr>
                            <w:b/>
                            <w:sz w:val="14"/>
                          </w:rPr>
                        </w:pPr>
                      </w:p>
                      <w:p>
                        <w:pPr>
                          <w:pStyle w:val="TableParagraph"/>
                          <w:spacing w:before="10"/>
                          <w:jc w:val="left"/>
                          <w:rPr>
                            <w:b/>
                            <w:sz w:val="15"/>
                          </w:rPr>
                        </w:pPr>
                      </w:p>
                      <w:p>
                        <w:pPr>
                          <w:pStyle w:val="TableParagraph"/>
                          <w:ind w:right="180"/>
                          <w:rPr>
                            <w:sz w:val="14"/>
                          </w:rPr>
                        </w:pPr>
                        <w:r>
                          <w:rPr>
                            <w:sz w:val="14"/>
                          </w:rPr>
                          <w:t>13,074</w:t>
                        </w:r>
                      </w:p>
                    </w:tc>
                    <w:tc>
                      <w:tcPr>
                        <w:tcW w:w="827" w:type="dxa"/>
                      </w:tcPr>
                      <w:p>
                        <w:pPr>
                          <w:pStyle w:val="TableParagraph"/>
                          <w:jc w:val="left"/>
                          <w:rPr>
                            <w:b/>
                            <w:sz w:val="14"/>
                          </w:rPr>
                        </w:pPr>
                      </w:p>
                      <w:p>
                        <w:pPr>
                          <w:pStyle w:val="TableParagraph"/>
                          <w:spacing w:before="10"/>
                          <w:jc w:val="left"/>
                          <w:rPr>
                            <w:b/>
                            <w:sz w:val="15"/>
                          </w:rPr>
                        </w:pPr>
                      </w:p>
                      <w:p>
                        <w:pPr>
                          <w:pStyle w:val="TableParagraph"/>
                          <w:ind w:right="163"/>
                          <w:rPr>
                            <w:sz w:val="14"/>
                          </w:rPr>
                        </w:pPr>
                        <w:r>
                          <w:rPr>
                            <w:sz w:val="14"/>
                          </w:rPr>
                          <w:t>924</w:t>
                        </w:r>
                      </w:p>
                    </w:tc>
                    <w:tc>
                      <w:tcPr>
                        <w:tcW w:w="817" w:type="dxa"/>
                      </w:tcPr>
                      <w:p>
                        <w:pPr>
                          <w:pStyle w:val="TableParagraph"/>
                          <w:jc w:val="left"/>
                          <w:rPr>
                            <w:b/>
                            <w:sz w:val="14"/>
                          </w:rPr>
                        </w:pPr>
                      </w:p>
                      <w:p>
                        <w:pPr>
                          <w:pStyle w:val="TableParagraph"/>
                          <w:spacing w:before="10"/>
                          <w:jc w:val="left"/>
                          <w:rPr>
                            <w:b/>
                            <w:sz w:val="15"/>
                          </w:rPr>
                        </w:pPr>
                      </w:p>
                      <w:p>
                        <w:pPr>
                          <w:pStyle w:val="TableParagraph"/>
                          <w:ind w:right="181"/>
                          <w:rPr>
                            <w:sz w:val="14"/>
                          </w:rPr>
                        </w:pPr>
                        <w:r>
                          <w:rPr>
                            <w:sz w:val="14"/>
                          </w:rPr>
                          <w:t>823</w:t>
                        </w:r>
                      </w:p>
                    </w:tc>
                    <w:tc>
                      <w:tcPr>
                        <w:tcW w:w="827" w:type="dxa"/>
                      </w:tcPr>
                      <w:p>
                        <w:pPr>
                          <w:pStyle w:val="TableParagraph"/>
                          <w:jc w:val="left"/>
                          <w:rPr>
                            <w:b/>
                            <w:sz w:val="14"/>
                          </w:rPr>
                        </w:pPr>
                      </w:p>
                      <w:p>
                        <w:pPr>
                          <w:pStyle w:val="TableParagraph"/>
                          <w:spacing w:before="10"/>
                          <w:jc w:val="left"/>
                          <w:rPr>
                            <w:b/>
                            <w:sz w:val="15"/>
                          </w:rPr>
                        </w:pPr>
                      </w:p>
                      <w:p>
                        <w:pPr>
                          <w:pStyle w:val="TableParagraph"/>
                          <w:ind w:right="163"/>
                          <w:rPr>
                            <w:sz w:val="14"/>
                          </w:rPr>
                        </w:pPr>
                        <w:r>
                          <w:rPr>
                            <w:w w:val="100"/>
                            <w:sz w:val="14"/>
                          </w:rPr>
                          <w:t>-</w:t>
                        </w:r>
                      </w:p>
                    </w:tc>
                    <w:tc>
                      <w:tcPr>
                        <w:tcW w:w="817" w:type="dxa"/>
                      </w:tcPr>
                      <w:p>
                        <w:pPr>
                          <w:pStyle w:val="TableParagraph"/>
                          <w:jc w:val="left"/>
                          <w:rPr>
                            <w:b/>
                            <w:sz w:val="14"/>
                          </w:rPr>
                        </w:pPr>
                      </w:p>
                      <w:p>
                        <w:pPr>
                          <w:pStyle w:val="TableParagraph"/>
                          <w:spacing w:before="10"/>
                          <w:jc w:val="left"/>
                          <w:rPr>
                            <w:b/>
                            <w:sz w:val="15"/>
                          </w:rPr>
                        </w:pPr>
                      </w:p>
                      <w:p>
                        <w:pPr>
                          <w:pStyle w:val="TableParagraph"/>
                          <w:ind w:right="182"/>
                          <w:rPr>
                            <w:sz w:val="14"/>
                          </w:rPr>
                        </w:pPr>
                        <w:r>
                          <w:rPr>
                            <w:w w:val="100"/>
                            <w:sz w:val="14"/>
                          </w:rPr>
                          <w:t>-</w:t>
                        </w:r>
                      </w:p>
                    </w:tc>
                    <w:tc>
                      <w:tcPr>
                        <w:tcW w:w="827" w:type="dxa"/>
                      </w:tcPr>
                      <w:p>
                        <w:pPr>
                          <w:pStyle w:val="TableParagraph"/>
                          <w:jc w:val="left"/>
                          <w:rPr>
                            <w:b/>
                            <w:sz w:val="14"/>
                          </w:rPr>
                        </w:pPr>
                      </w:p>
                      <w:p>
                        <w:pPr>
                          <w:pStyle w:val="TableParagraph"/>
                          <w:spacing w:before="10"/>
                          <w:jc w:val="left"/>
                          <w:rPr>
                            <w:b/>
                            <w:sz w:val="15"/>
                          </w:rPr>
                        </w:pPr>
                      </w:p>
                      <w:p>
                        <w:pPr>
                          <w:pStyle w:val="TableParagraph"/>
                          <w:ind w:right="163"/>
                          <w:rPr>
                            <w:sz w:val="14"/>
                          </w:rPr>
                        </w:pPr>
                        <w:r>
                          <w:rPr>
                            <w:sz w:val="14"/>
                          </w:rPr>
                          <w:t>140</w:t>
                        </w:r>
                      </w:p>
                    </w:tc>
                    <w:tc>
                      <w:tcPr>
                        <w:tcW w:w="704" w:type="dxa"/>
                      </w:tcPr>
                      <w:p>
                        <w:pPr>
                          <w:pStyle w:val="TableParagraph"/>
                          <w:jc w:val="left"/>
                          <w:rPr>
                            <w:b/>
                            <w:sz w:val="14"/>
                          </w:rPr>
                        </w:pPr>
                      </w:p>
                      <w:p>
                        <w:pPr>
                          <w:pStyle w:val="TableParagraph"/>
                          <w:spacing w:before="10"/>
                          <w:jc w:val="left"/>
                          <w:rPr>
                            <w:b/>
                            <w:sz w:val="15"/>
                          </w:rPr>
                        </w:pPr>
                      </w:p>
                      <w:p>
                        <w:pPr>
                          <w:pStyle w:val="TableParagraph"/>
                          <w:ind w:right="68"/>
                          <w:rPr>
                            <w:sz w:val="14"/>
                          </w:rPr>
                        </w:pPr>
                        <w:r>
                          <w:rPr>
                            <w:sz w:val="14"/>
                          </w:rPr>
                          <w:t>175</w:t>
                        </w:r>
                      </w:p>
                    </w:tc>
                  </w:tr>
                  <w:tr>
                    <w:trPr>
                      <w:trHeight w:val="219" w:hRule="exact"/>
                    </w:trPr>
                    <w:tc>
                      <w:tcPr>
                        <w:tcW w:w="3346" w:type="dxa"/>
                      </w:tcPr>
                      <w:p>
                        <w:pPr>
                          <w:pStyle w:val="TableParagraph"/>
                          <w:spacing w:before="22"/>
                          <w:ind w:left="35" w:right="77"/>
                          <w:jc w:val="left"/>
                          <w:rPr>
                            <w:sz w:val="14"/>
                          </w:rPr>
                        </w:pPr>
                        <w:r>
                          <w:rPr>
                            <w:sz w:val="14"/>
                          </w:rPr>
                          <w:t>Net accrual adjustments</w:t>
                        </w:r>
                      </w:p>
                    </w:tc>
                    <w:tc>
                      <w:tcPr>
                        <w:tcW w:w="560" w:type="dxa"/>
                      </w:tcPr>
                      <w:p>
                        <w:pPr/>
                      </w:p>
                    </w:tc>
                    <w:tc>
                      <w:tcPr>
                        <w:tcW w:w="920" w:type="dxa"/>
                        <w:tcBorders>
                          <w:bottom w:val="single" w:sz="0" w:space="0" w:color="000000"/>
                        </w:tcBorders>
                      </w:tcPr>
                      <w:p>
                        <w:pPr>
                          <w:pStyle w:val="TableParagraph"/>
                          <w:spacing w:before="21"/>
                          <w:ind w:right="97"/>
                          <w:rPr>
                            <w:sz w:val="14"/>
                          </w:rPr>
                        </w:pPr>
                        <w:r>
                          <w:rPr>
                            <w:sz w:val="14"/>
                          </w:rPr>
                          <w:t>(813)</w:t>
                        </w:r>
                      </w:p>
                    </w:tc>
                    <w:tc>
                      <w:tcPr>
                        <w:tcW w:w="836" w:type="dxa"/>
                        <w:tcBorders>
                          <w:bottom w:val="single" w:sz="0" w:space="0" w:color="000000"/>
                        </w:tcBorders>
                      </w:tcPr>
                      <w:p>
                        <w:pPr>
                          <w:pStyle w:val="TableParagraph"/>
                          <w:spacing w:before="21"/>
                          <w:ind w:right="180"/>
                          <w:rPr>
                            <w:sz w:val="14"/>
                          </w:rPr>
                        </w:pPr>
                        <w:r>
                          <w:rPr>
                            <w:sz w:val="14"/>
                          </w:rPr>
                          <w:t>235</w:t>
                        </w:r>
                      </w:p>
                    </w:tc>
                    <w:tc>
                      <w:tcPr>
                        <w:tcW w:w="827" w:type="dxa"/>
                        <w:tcBorders>
                          <w:bottom w:val="single" w:sz="0" w:space="0" w:color="000000"/>
                        </w:tcBorders>
                      </w:tcPr>
                      <w:p>
                        <w:pPr>
                          <w:pStyle w:val="TableParagraph"/>
                          <w:spacing w:before="21"/>
                          <w:ind w:right="163"/>
                          <w:rPr>
                            <w:sz w:val="14"/>
                          </w:rPr>
                        </w:pPr>
                        <w:r>
                          <w:rPr>
                            <w:w w:val="100"/>
                            <w:sz w:val="14"/>
                          </w:rPr>
                          <w:t>-</w:t>
                        </w:r>
                      </w:p>
                    </w:tc>
                    <w:tc>
                      <w:tcPr>
                        <w:tcW w:w="830" w:type="dxa"/>
                        <w:tcBorders>
                          <w:bottom w:val="single" w:sz="0" w:space="0" w:color="000000"/>
                        </w:tcBorders>
                      </w:tcPr>
                      <w:p>
                        <w:pPr>
                          <w:pStyle w:val="TableParagraph"/>
                          <w:spacing w:before="21"/>
                          <w:ind w:right="194"/>
                          <w:rPr>
                            <w:sz w:val="14"/>
                          </w:rPr>
                        </w:pPr>
                        <w:r>
                          <w:rPr>
                            <w:w w:val="100"/>
                            <w:sz w:val="14"/>
                          </w:rPr>
                          <w:t>-</w:t>
                        </w:r>
                      </w:p>
                    </w:tc>
                    <w:tc>
                      <w:tcPr>
                        <w:tcW w:w="884" w:type="dxa"/>
                        <w:tcBorders>
                          <w:bottom w:val="single" w:sz="0" w:space="0" w:color="000000"/>
                        </w:tcBorders>
                      </w:tcPr>
                      <w:p>
                        <w:pPr>
                          <w:pStyle w:val="TableParagraph"/>
                          <w:spacing w:before="21"/>
                          <w:ind w:right="179"/>
                          <w:rPr>
                            <w:sz w:val="14"/>
                          </w:rPr>
                        </w:pPr>
                        <w:r>
                          <w:rPr>
                            <w:w w:val="100"/>
                            <w:sz w:val="14"/>
                          </w:rPr>
                          <w:t>-</w:t>
                        </w:r>
                      </w:p>
                    </w:tc>
                    <w:tc>
                      <w:tcPr>
                        <w:tcW w:w="859" w:type="dxa"/>
                        <w:tcBorders>
                          <w:bottom w:val="single" w:sz="0" w:space="0" w:color="000000"/>
                        </w:tcBorders>
                      </w:tcPr>
                      <w:p>
                        <w:pPr>
                          <w:pStyle w:val="TableParagraph"/>
                          <w:spacing w:before="21"/>
                          <w:ind w:right="180"/>
                          <w:rPr>
                            <w:sz w:val="14"/>
                          </w:rPr>
                        </w:pPr>
                        <w:r>
                          <w:rPr>
                            <w:w w:val="100"/>
                            <w:sz w:val="14"/>
                          </w:rPr>
                          <w:t>-</w:t>
                        </w:r>
                      </w:p>
                    </w:tc>
                    <w:tc>
                      <w:tcPr>
                        <w:tcW w:w="827" w:type="dxa"/>
                        <w:tcBorders>
                          <w:bottom w:val="single" w:sz="0" w:space="0" w:color="000000"/>
                        </w:tcBorders>
                      </w:tcPr>
                      <w:p>
                        <w:pPr>
                          <w:pStyle w:val="TableParagraph"/>
                          <w:spacing w:before="21"/>
                          <w:ind w:right="163"/>
                          <w:rPr>
                            <w:sz w:val="14"/>
                          </w:rPr>
                        </w:pPr>
                        <w:r>
                          <w:rPr>
                            <w:w w:val="100"/>
                            <w:sz w:val="14"/>
                          </w:rPr>
                          <w:t>-</w:t>
                        </w:r>
                      </w:p>
                    </w:tc>
                    <w:tc>
                      <w:tcPr>
                        <w:tcW w:w="817" w:type="dxa"/>
                        <w:tcBorders>
                          <w:bottom w:val="single" w:sz="0" w:space="0" w:color="000000"/>
                        </w:tcBorders>
                      </w:tcPr>
                      <w:p>
                        <w:pPr>
                          <w:pStyle w:val="TableParagraph"/>
                          <w:spacing w:before="21"/>
                          <w:ind w:right="182"/>
                          <w:rPr>
                            <w:sz w:val="14"/>
                          </w:rPr>
                        </w:pPr>
                        <w:r>
                          <w:rPr>
                            <w:w w:val="100"/>
                            <w:sz w:val="14"/>
                          </w:rPr>
                          <w:t>-</w:t>
                        </w:r>
                      </w:p>
                    </w:tc>
                    <w:tc>
                      <w:tcPr>
                        <w:tcW w:w="827" w:type="dxa"/>
                        <w:tcBorders>
                          <w:bottom w:val="single" w:sz="0" w:space="0" w:color="000000"/>
                        </w:tcBorders>
                      </w:tcPr>
                      <w:p>
                        <w:pPr>
                          <w:pStyle w:val="TableParagraph"/>
                          <w:spacing w:before="21"/>
                          <w:ind w:right="163"/>
                          <w:rPr>
                            <w:sz w:val="14"/>
                          </w:rPr>
                        </w:pPr>
                        <w:r>
                          <w:rPr>
                            <w:w w:val="100"/>
                            <w:sz w:val="14"/>
                          </w:rPr>
                          <w:t>-</w:t>
                        </w:r>
                      </w:p>
                    </w:tc>
                    <w:tc>
                      <w:tcPr>
                        <w:tcW w:w="817" w:type="dxa"/>
                        <w:tcBorders>
                          <w:bottom w:val="single" w:sz="0" w:space="0" w:color="000000"/>
                        </w:tcBorders>
                      </w:tcPr>
                      <w:p>
                        <w:pPr>
                          <w:pStyle w:val="TableParagraph"/>
                          <w:spacing w:before="21"/>
                          <w:ind w:right="182"/>
                          <w:rPr>
                            <w:sz w:val="14"/>
                          </w:rPr>
                        </w:pPr>
                        <w:r>
                          <w:rPr>
                            <w:w w:val="100"/>
                            <w:sz w:val="14"/>
                          </w:rPr>
                          <w:t>-</w:t>
                        </w:r>
                      </w:p>
                    </w:tc>
                    <w:tc>
                      <w:tcPr>
                        <w:tcW w:w="827" w:type="dxa"/>
                        <w:tcBorders>
                          <w:bottom w:val="single" w:sz="0" w:space="0" w:color="000000"/>
                        </w:tcBorders>
                      </w:tcPr>
                      <w:p>
                        <w:pPr>
                          <w:pStyle w:val="TableParagraph"/>
                          <w:spacing w:before="21"/>
                          <w:ind w:right="163"/>
                          <w:rPr>
                            <w:sz w:val="14"/>
                          </w:rPr>
                        </w:pPr>
                        <w:r>
                          <w:rPr>
                            <w:sz w:val="14"/>
                          </w:rPr>
                          <w:t>15</w:t>
                        </w:r>
                      </w:p>
                    </w:tc>
                    <w:tc>
                      <w:tcPr>
                        <w:tcW w:w="704" w:type="dxa"/>
                        <w:tcBorders>
                          <w:bottom w:val="single" w:sz="0" w:space="0" w:color="000000"/>
                        </w:tcBorders>
                      </w:tcPr>
                      <w:p>
                        <w:pPr>
                          <w:pStyle w:val="TableParagraph"/>
                          <w:spacing w:before="21"/>
                          <w:ind w:right="68"/>
                          <w:rPr>
                            <w:sz w:val="14"/>
                          </w:rPr>
                        </w:pPr>
                        <w:r>
                          <w:rPr>
                            <w:w w:val="100"/>
                            <w:sz w:val="14"/>
                          </w:rPr>
                          <w:t>-</w:t>
                        </w:r>
                      </w:p>
                    </w:tc>
                  </w:tr>
                  <w:tr>
                    <w:trPr>
                      <w:trHeight w:val="237" w:hRule="exact"/>
                    </w:trPr>
                    <w:tc>
                      <w:tcPr>
                        <w:tcW w:w="3346" w:type="dxa"/>
                      </w:tcPr>
                      <w:p>
                        <w:pPr>
                          <w:pStyle w:val="TableParagraph"/>
                          <w:spacing w:before="41"/>
                          <w:ind w:left="35" w:right="77"/>
                          <w:jc w:val="left"/>
                          <w:rPr>
                            <w:sz w:val="14"/>
                          </w:rPr>
                        </w:pPr>
                        <w:r>
                          <w:rPr>
                            <w:sz w:val="14"/>
                          </w:rPr>
                          <w:t>Revenue for the period</w:t>
                        </w:r>
                      </w:p>
                    </w:tc>
                    <w:tc>
                      <w:tcPr>
                        <w:tcW w:w="560" w:type="dxa"/>
                      </w:tcPr>
                      <w:p>
                        <w:pPr>
                          <w:pStyle w:val="TableParagraph"/>
                          <w:spacing w:before="38"/>
                          <w:ind w:left="84"/>
                          <w:jc w:val="left"/>
                          <w:rPr>
                            <w:sz w:val="14"/>
                          </w:rPr>
                        </w:pPr>
                        <w:r>
                          <w:rPr>
                            <w:sz w:val="14"/>
                          </w:rPr>
                          <w:t>2(a)</w:t>
                        </w:r>
                      </w:p>
                    </w:tc>
                    <w:tc>
                      <w:tcPr>
                        <w:tcW w:w="920" w:type="dxa"/>
                        <w:tcBorders>
                          <w:top w:val="single" w:sz="0" w:space="0" w:color="000000"/>
                        </w:tcBorders>
                      </w:tcPr>
                      <w:p>
                        <w:pPr>
                          <w:pStyle w:val="TableParagraph"/>
                          <w:spacing w:before="39"/>
                          <w:ind w:right="143"/>
                          <w:rPr>
                            <w:sz w:val="14"/>
                          </w:rPr>
                        </w:pPr>
                        <w:r>
                          <w:rPr>
                            <w:sz w:val="14"/>
                          </w:rPr>
                          <w:t>297,511</w:t>
                        </w:r>
                      </w:p>
                    </w:tc>
                    <w:tc>
                      <w:tcPr>
                        <w:tcW w:w="836" w:type="dxa"/>
                        <w:tcBorders>
                          <w:top w:val="single" w:sz="0" w:space="0" w:color="000000"/>
                        </w:tcBorders>
                      </w:tcPr>
                      <w:p>
                        <w:pPr>
                          <w:pStyle w:val="TableParagraph"/>
                          <w:spacing w:before="39"/>
                          <w:ind w:right="180"/>
                          <w:rPr>
                            <w:sz w:val="14"/>
                          </w:rPr>
                        </w:pPr>
                        <w:r>
                          <w:rPr>
                            <w:sz w:val="14"/>
                          </w:rPr>
                          <w:t>287,365</w:t>
                        </w:r>
                      </w:p>
                    </w:tc>
                    <w:tc>
                      <w:tcPr>
                        <w:tcW w:w="827" w:type="dxa"/>
                        <w:tcBorders>
                          <w:top w:val="single" w:sz="0" w:space="0" w:color="000000"/>
                        </w:tcBorders>
                      </w:tcPr>
                      <w:p>
                        <w:pPr>
                          <w:pStyle w:val="TableParagraph"/>
                          <w:spacing w:before="39"/>
                          <w:ind w:right="163"/>
                          <w:rPr>
                            <w:sz w:val="14"/>
                          </w:rPr>
                        </w:pPr>
                        <w:r>
                          <w:rPr>
                            <w:sz w:val="14"/>
                          </w:rPr>
                          <w:t>1,758</w:t>
                        </w:r>
                      </w:p>
                    </w:tc>
                    <w:tc>
                      <w:tcPr>
                        <w:tcW w:w="830" w:type="dxa"/>
                        <w:tcBorders>
                          <w:top w:val="single" w:sz="0" w:space="0" w:color="000000"/>
                        </w:tcBorders>
                      </w:tcPr>
                      <w:p>
                        <w:pPr>
                          <w:pStyle w:val="TableParagraph"/>
                          <w:spacing w:before="39"/>
                          <w:ind w:right="194"/>
                          <w:rPr>
                            <w:sz w:val="14"/>
                          </w:rPr>
                        </w:pPr>
                        <w:r>
                          <w:rPr>
                            <w:sz w:val="14"/>
                          </w:rPr>
                          <w:t>1,749</w:t>
                        </w:r>
                      </w:p>
                    </w:tc>
                    <w:tc>
                      <w:tcPr>
                        <w:tcW w:w="884" w:type="dxa"/>
                        <w:tcBorders>
                          <w:top w:val="single" w:sz="0" w:space="0" w:color="000000"/>
                        </w:tcBorders>
                      </w:tcPr>
                      <w:p>
                        <w:pPr>
                          <w:pStyle w:val="TableParagraph"/>
                          <w:spacing w:before="39"/>
                          <w:ind w:right="177"/>
                          <w:rPr>
                            <w:sz w:val="14"/>
                          </w:rPr>
                        </w:pPr>
                        <w:r>
                          <w:rPr>
                            <w:sz w:val="14"/>
                          </w:rPr>
                          <w:t>11,625</w:t>
                        </w:r>
                      </w:p>
                    </w:tc>
                    <w:tc>
                      <w:tcPr>
                        <w:tcW w:w="859" w:type="dxa"/>
                        <w:tcBorders>
                          <w:top w:val="single" w:sz="0" w:space="0" w:color="000000"/>
                        </w:tcBorders>
                      </w:tcPr>
                      <w:p>
                        <w:pPr>
                          <w:pStyle w:val="TableParagraph"/>
                          <w:spacing w:before="39"/>
                          <w:ind w:right="180"/>
                          <w:rPr>
                            <w:sz w:val="14"/>
                          </w:rPr>
                        </w:pPr>
                        <w:r>
                          <w:rPr>
                            <w:sz w:val="14"/>
                          </w:rPr>
                          <w:t>13,074</w:t>
                        </w:r>
                      </w:p>
                    </w:tc>
                    <w:tc>
                      <w:tcPr>
                        <w:tcW w:w="827" w:type="dxa"/>
                        <w:tcBorders>
                          <w:top w:val="single" w:sz="0" w:space="0" w:color="000000"/>
                        </w:tcBorders>
                      </w:tcPr>
                      <w:p>
                        <w:pPr>
                          <w:pStyle w:val="TableParagraph"/>
                          <w:spacing w:before="39"/>
                          <w:ind w:right="163"/>
                          <w:rPr>
                            <w:sz w:val="14"/>
                          </w:rPr>
                        </w:pPr>
                        <w:r>
                          <w:rPr>
                            <w:sz w:val="14"/>
                          </w:rPr>
                          <w:t>924</w:t>
                        </w:r>
                      </w:p>
                    </w:tc>
                    <w:tc>
                      <w:tcPr>
                        <w:tcW w:w="817" w:type="dxa"/>
                        <w:tcBorders>
                          <w:top w:val="single" w:sz="0" w:space="0" w:color="000000"/>
                        </w:tcBorders>
                      </w:tcPr>
                      <w:p>
                        <w:pPr>
                          <w:pStyle w:val="TableParagraph"/>
                          <w:spacing w:before="39"/>
                          <w:ind w:right="182"/>
                          <w:rPr>
                            <w:sz w:val="14"/>
                          </w:rPr>
                        </w:pPr>
                        <w:r>
                          <w:rPr>
                            <w:sz w:val="14"/>
                          </w:rPr>
                          <w:t>823</w:t>
                        </w:r>
                      </w:p>
                    </w:tc>
                    <w:tc>
                      <w:tcPr>
                        <w:tcW w:w="827" w:type="dxa"/>
                        <w:tcBorders>
                          <w:top w:val="single" w:sz="0" w:space="0" w:color="000000"/>
                        </w:tcBorders>
                      </w:tcPr>
                      <w:p>
                        <w:pPr>
                          <w:pStyle w:val="TableParagraph"/>
                          <w:spacing w:before="39"/>
                          <w:ind w:right="163"/>
                          <w:rPr>
                            <w:sz w:val="14"/>
                          </w:rPr>
                        </w:pPr>
                        <w:r>
                          <w:rPr>
                            <w:w w:val="100"/>
                            <w:sz w:val="14"/>
                          </w:rPr>
                          <w:t>-</w:t>
                        </w:r>
                      </w:p>
                    </w:tc>
                    <w:tc>
                      <w:tcPr>
                        <w:tcW w:w="817" w:type="dxa"/>
                        <w:tcBorders>
                          <w:top w:val="single" w:sz="0" w:space="0" w:color="000000"/>
                        </w:tcBorders>
                      </w:tcPr>
                      <w:p>
                        <w:pPr>
                          <w:pStyle w:val="TableParagraph"/>
                          <w:spacing w:before="39"/>
                          <w:ind w:right="182"/>
                          <w:rPr>
                            <w:sz w:val="14"/>
                          </w:rPr>
                        </w:pPr>
                        <w:r>
                          <w:rPr>
                            <w:w w:val="100"/>
                            <w:sz w:val="14"/>
                          </w:rPr>
                          <w:t>-</w:t>
                        </w:r>
                      </w:p>
                    </w:tc>
                    <w:tc>
                      <w:tcPr>
                        <w:tcW w:w="827" w:type="dxa"/>
                        <w:tcBorders>
                          <w:top w:val="single" w:sz="0" w:space="0" w:color="000000"/>
                        </w:tcBorders>
                      </w:tcPr>
                      <w:p>
                        <w:pPr>
                          <w:pStyle w:val="TableParagraph"/>
                          <w:spacing w:before="39"/>
                          <w:ind w:right="163"/>
                          <w:rPr>
                            <w:sz w:val="14"/>
                          </w:rPr>
                        </w:pPr>
                        <w:r>
                          <w:rPr>
                            <w:sz w:val="14"/>
                          </w:rPr>
                          <w:t>155</w:t>
                        </w:r>
                      </w:p>
                    </w:tc>
                    <w:tc>
                      <w:tcPr>
                        <w:tcW w:w="704" w:type="dxa"/>
                        <w:tcBorders>
                          <w:top w:val="single" w:sz="0" w:space="0" w:color="000000"/>
                        </w:tcBorders>
                      </w:tcPr>
                      <w:p>
                        <w:pPr>
                          <w:pStyle w:val="TableParagraph"/>
                          <w:spacing w:before="39"/>
                          <w:ind w:right="68"/>
                          <w:rPr>
                            <w:sz w:val="14"/>
                          </w:rPr>
                        </w:pPr>
                        <w:r>
                          <w:rPr>
                            <w:sz w:val="14"/>
                          </w:rPr>
                          <w:t>175</w:t>
                        </w:r>
                      </w:p>
                    </w:tc>
                  </w:tr>
                  <w:tr>
                    <w:trPr>
                      <w:trHeight w:val="219" w:hRule="exact"/>
                    </w:trPr>
                    <w:tc>
                      <w:tcPr>
                        <w:tcW w:w="3346" w:type="dxa"/>
                      </w:tcPr>
                      <w:p>
                        <w:pPr>
                          <w:pStyle w:val="TableParagraph"/>
                          <w:spacing w:before="22"/>
                          <w:ind w:left="35" w:right="77"/>
                          <w:jc w:val="left"/>
                          <w:rPr>
                            <w:sz w:val="14"/>
                          </w:rPr>
                        </w:pPr>
                        <w:r>
                          <w:rPr>
                            <w:sz w:val="14"/>
                          </w:rPr>
                          <w:t>Surplus/(deficit) from the previous year</w:t>
                        </w:r>
                      </w:p>
                    </w:tc>
                    <w:tc>
                      <w:tcPr>
                        <w:tcW w:w="560" w:type="dxa"/>
                      </w:tcPr>
                      <w:p>
                        <w:pPr/>
                      </w:p>
                    </w:tc>
                    <w:tc>
                      <w:tcPr>
                        <w:tcW w:w="920" w:type="dxa"/>
                        <w:tcBorders>
                          <w:bottom w:val="single" w:sz="0" w:space="0" w:color="000000"/>
                        </w:tcBorders>
                      </w:tcPr>
                      <w:p>
                        <w:pPr>
                          <w:pStyle w:val="TableParagraph"/>
                          <w:spacing w:before="21"/>
                          <w:ind w:right="143"/>
                          <w:rPr>
                            <w:sz w:val="14"/>
                          </w:rPr>
                        </w:pPr>
                        <w:r>
                          <w:rPr>
                            <w:w w:val="100"/>
                            <w:sz w:val="14"/>
                          </w:rPr>
                          <w:t>-</w:t>
                        </w:r>
                      </w:p>
                    </w:tc>
                    <w:tc>
                      <w:tcPr>
                        <w:tcW w:w="836" w:type="dxa"/>
                        <w:tcBorders>
                          <w:bottom w:val="single" w:sz="0" w:space="0" w:color="000000"/>
                        </w:tcBorders>
                      </w:tcPr>
                      <w:p>
                        <w:pPr>
                          <w:pStyle w:val="TableParagraph"/>
                          <w:spacing w:before="21"/>
                          <w:ind w:right="180"/>
                          <w:rPr>
                            <w:sz w:val="14"/>
                          </w:rPr>
                        </w:pPr>
                        <w:r>
                          <w:rPr>
                            <w:w w:val="100"/>
                            <w:sz w:val="14"/>
                          </w:rPr>
                          <w:t>-</w:t>
                        </w:r>
                      </w:p>
                    </w:tc>
                    <w:tc>
                      <w:tcPr>
                        <w:tcW w:w="827" w:type="dxa"/>
                        <w:tcBorders>
                          <w:bottom w:val="single" w:sz="0" w:space="0" w:color="000000"/>
                        </w:tcBorders>
                      </w:tcPr>
                      <w:p>
                        <w:pPr>
                          <w:pStyle w:val="TableParagraph"/>
                          <w:spacing w:before="21"/>
                          <w:ind w:right="163"/>
                          <w:rPr>
                            <w:sz w:val="14"/>
                          </w:rPr>
                        </w:pPr>
                        <w:r>
                          <w:rPr>
                            <w:w w:val="100"/>
                            <w:sz w:val="14"/>
                          </w:rPr>
                          <w:t>-</w:t>
                        </w:r>
                      </w:p>
                    </w:tc>
                    <w:tc>
                      <w:tcPr>
                        <w:tcW w:w="830" w:type="dxa"/>
                        <w:tcBorders>
                          <w:bottom w:val="single" w:sz="0" w:space="0" w:color="000000"/>
                        </w:tcBorders>
                      </w:tcPr>
                      <w:p>
                        <w:pPr>
                          <w:pStyle w:val="TableParagraph"/>
                          <w:spacing w:before="21"/>
                          <w:ind w:right="194"/>
                          <w:rPr>
                            <w:sz w:val="14"/>
                          </w:rPr>
                        </w:pPr>
                        <w:r>
                          <w:rPr>
                            <w:w w:val="100"/>
                            <w:sz w:val="14"/>
                          </w:rPr>
                          <w:t>-</w:t>
                        </w:r>
                      </w:p>
                    </w:tc>
                    <w:tc>
                      <w:tcPr>
                        <w:tcW w:w="884" w:type="dxa"/>
                        <w:tcBorders>
                          <w:bottom w:val="single" w:sz="0" w:space="0" w:color="000000"/>
                        </w:tcBorders>
                      </w:tcPr>
                      <w:p>
                        <w:pPr>
                          <w:pStyle w:val="TableParagraph"/>
                          <w:spacing w:before="21"/>
                          <w:ind w:right="177"/>
                          <w:rPr>
                            <w:sz w:val="14"/>
                          </w:rPr>
                        </w:pPr>
                        <w:r>
                          <w:rPr>
                            <w:sz w:val="14"/>
                          </w:rPr>
                          <w:t>6,811</w:t>
                        </w:r>
                      </w:p>
                    </w:tc>
                    <w:tc>
                      <w:tcPr>
                        <w:tcW w:w="859" w:type="dxa"/>
                        <w:tcBorders>
                          <w:bottom w:val="single" w:sz="0" w:space="0" w:color="000000"/>
                        </w:tcBorders>
                      </w:tcPr>
                      <w:p>
                        <w:pPr>
                          <w:pStyle w:val="TableParagraph"/>
                          <w:spacing w:before="21"/>
                          <w:ind w:right="180"/>
                          <w:rPr>
                            <w:sz w:val="14"/>
                          </w:rPr>
                        </w:pPr>
                        <w:r>
                          <w:rPr>
                            <w:sz w:val="14"/>
                          </w:rPr>
                          <w:t>4,850</w:t>
                        </w:r>
                      </w:p>
                    </w:tc>
                    <w:tc>
                      <w:tcPr>
                        <w:tcW w:w="827" w:type="dxa"/>
                        <w:tcBorders>
                          <w:bottom w:val="single" w:sz="0" w:space="0" w:color="000000"/>
                        </w:tcBorders>
                      </w:tcPr>
                      <w:p>
                        <w:pPr>
                          <w:pStyle w:val="TableParagraph"/>
                          <w:spacing w:before="21"/>
                          <w:ind w:right="163"/>
                          <w:rPr>
                            <w:sz w:val="14"/>
                          </w:rPr>
                        </w:pPr>
                        <w:r>
                          <w:rPr>
                            <w:sz w:val="14"/>
                          </w:rPr>
                          <w:t>787</w:t>
                        </w:r>
                      </w:p>
                    </w:tc>
                    <w:tc>
                      <w:tcPr>
                        <w:tcW w:w="817" w:type="dxa"/>
                        <w:tcBorders>
                          <w:bottom w:val="single" w:sz="0" w:space="0" w:color="000000"/>
                        </w:tcBorders>
                      </w:tcPr>
                      <w:p>
                        <w:pPr>
                          <w:pStyle w:val="TableParagraph"/>
                          <w:spacing w:before="21"/>
                          <w:ind w:right="181"/>
                          <w:rPr>
                            <w:sz w:val="14"/>
                          </w:rPr>
                        </w:pPr>
                        <w:r>
                          <w:rPr>
                            <w:sz w:val="14"/>
                          </w:rPr>
                          <w:t>476</w:t>
                        </w:r>
                      </w:p>
                    </w:tc>
                    <w:tc>
                      <w:tcPr>
                        <w:tcW w:w="827" w:type="dxa"/>
                        <w:tcBorders>
                          <w:bottom w:val="single" w:sz="0" w:space="0" w:color="000000"/>
                        </w:tcBorders>
                      </w:tcPr>
                      <w:p>
                        <w:pPr>
                          <w:pStyle w:val="TableParagraph"/>
                          <w:spacing w:before="21"/>
                          <w:ind w:right="163"/>
                          <w:rPr>
                            <w:sz w:val="14"/>
                          </w:rPr>
                        </w:pPr>
                        <w:r>
                          <w:rPr>
                            <w:sz w:val="14"/>
                          </w:rPr>
                          <w:t>306</w:t>
                        </w:r>
                      </w:p>
                    </w:tc>
                    <w:tc>
                      <w:tcPr>
                        <w:tcW w:w="817" w:type="dxa"/>
                        <w:tcBorders>
                          <w:bottom w:val="single" w:sz="0" w:space="0" w:color="000000"/>
                        </w:tcBorders>
                      </w:tcPr>
                      <w:p>
                        <w:pPr>
                          <w:pStyle w:val="TableParagraph"/>
                          <w:spacing w:before="21"/>
                          <w:ind w:right="181"/>
                          <w:rPr>
                            <w:sz w:val="14"/>
                          </w:rPr>
                        </w:pPr>
                        <w:r>
                          <w:rPr>
                            <w:sz w:val="14"/>
                          </w:rPr>
                          <w:t>537</w:t>
                        </w:r>
                      </w:p>
                    </w:tc>
                    <w:tc>
                      <w:tcPr>
                        <w:tcW w:w="827" w:type="dxa"/>
                        <w:tcBorders>
                          <w:bottom w:val="single" w:sz="0" w:space="0" w:color="000000"/>
                        </w:tcBorders>
                      </w:tcPr>
                      <w:p>
                        <w:pPr>
                          <w:pStyle w:val="TableParagraph"/>
                          <w:spacing w:before="21"/>
                          <w:ind w:right="163"/>
                          <w:rPr>
                            <w:sz w:val="14"/>
                          </w:rPr>
                        </w:pPr>
                        <w:r>
                          <w:rPr>
                            <w:sz w:val="14"/>
                          </w:rPr>
                          <w:t>461</w:t>
                        </w:r>
                      </w:p>
                    </w:tc>
                    <w:tc>
                      <w:tcPr>
                        <w:tcW w:w="704" w:type="dxa"/>
                        <w:tcBorders>
                          <w:bottom w:val="single" w:sz="0" w:space="0" w:color="000000"/>
                        </w:tcBorders>
                      </w:tcPr>
                      <w:p>
                        <w:pPr>
                          <w:pStyle w:val="TableParagraph"/>
                          <w:spacing w:before="21"/>
                          <w:ind w:right="68"/>
                          <w:rPr>
                            <w:sz w:val="14"/>
                          </w:rPr>
                        </w:pPr>
                        <w:r>
                          <w:rPr>
                            <w:sz w:val="14"/>
                          </w:rPr>
                          <w:t>980</w:t>
                        </w:r>
                      </w:p>
                    </w:tc>
                  </w:tr>
                  <w:tr>
                    <w:trPr>
                      <w:trHeight w:val="237" w:hRule="exact"/>
                    </w:trPr>
                    <w:tc>
                      <w:tcPr>
                        <w:tcW w:w="3346" w:type="dxa"/>
                      </w:tcPr>
                      <w:p>
                        <w:pPr>
                          <w:pStyle w:val="TableParagraph"/>
                          <w:spacing w:before="41"/>
                          <w:ind w:left="35" w:right="77"/>
                          <w:jc w:val="left"/>
                          <w:rPr>
                            <w:sz w:val="14"/>
                          </w:rPr>
                        </w:pPr>
                        <w:r>
                          <w:rPr>
                            <w:sz w:val="14"/>
                          </w:rPr>
                          <w:t>Total revenue including accrued revenue</w:t>
                        </w:r>
                      </w:p>
                    </w:tc>
                    <w:tc>
                      <w:tcPr>
                        <w:tcW w:w="560" w:type="dxa"/>
                      </w:tcPr>
                      <w:p>
                        <w:pPr/>
                      </w:p>
                    </w:tc>
                    <w:tc>
                      <w:tcPr>
                        <w:tcW w:w="920" w:type="dxa"/>
                        <w:tcBorders>
                          <w:top w:val="single" w:sz="0" w:space="0" w:color="000000"/>
                        </w:tcBorders>
                      </w:tcPr>
                      <w:p>
                        <w:pPr>
                          <w:pStyle w:val="TableParagraph"/>
                          <w:spacing w:before="39"/>
                          <w:ind w:right="143"/>
                          <w:rPr>
                            <w:sz w:val="14"/>
                          </w:rPr>
                        </w:pPr>
                        <w:r>
                          <w:rPr>
                            <w:sz w:val="14"/>
                          </w:rPr>
                          <w:t>297,511</w:t>
                        </w:r>
                      </w:p>
                    </w:tc>
                    <w:tc>
                      <w:tcPr>
                        <w:tcW w:w="836" w:type="dxa"/>
                        <w:tcBorders>
                          <w:top w:val="single" w:sz="0" w:space="0" w:color="000000"/>
                        </w:tcBorders>
                      </w:tcPr>
                      <w:p>
                        <w:pPr>
                          <w:pStyle w:val="TableParagraph"/>
                          <w:spacing w:before="39"/>
                          <w:ind w:right="180"/>
                          <w:rPr>
                            <w:sz w:val="14"/>
                          </w:rPr>
                        </w:pPr>
                        <w:r>
                          <w:rPr>
                            <w:sz w:val="14"/>
                          </w:rPr>
                          <w:t>287,365</w:t>
                        </w:r>
                      </w:p>
                    </w:tc>
                    <w:tc>
                      <w:tcPr>
                        <w:tcW w:w="827" w:type="dxa"/>
                        <w:tcBorders>
                          <w:top w:val="single" w:sz="0" w:space="0" w:color="000000"/>
                        </w:tcBorders>
                      </w:tcPr>
                      <w:p>
                        <w:pPr>
                          <w:pStyle w:val="TableParagraph"/>
                          <w:spacing w:before="39"/>
                          <w:ind w:right="163"/>
                          <w:rPr>
                            <w:sz w:val="14"/>
                          </w:rPr>
                        </w:pPr>
                        <w:r>
                          <w:rPr>
                            <w:sz w:val="14"/>
                          </w:rPr>
                          <w:t>1,758</w:t>
                        </w:r>
                      </w:p>
                    </w:tc>
                    <w:tc>
                      <w:tcPr>
                        <w:tcW w:w="830" w:type="dxa"/>
                        <w:tcBorders>
                          <w:top w:val="single" w:sz="0" w:space="0" w:color="000000"/>
                        </w:tcBorders>
                      </w:tcPr>
                      <w:p>
                        <w:pPr>
                          <w:pStyle w:val="TableParagraph"/>
                          <w:spacing w:before="39"/>
                          <w:ind w:right="194"/>
                          <w:rPr>
                            <w:sz w:val="14"/>
                          </w:rPr>
                        </w:pPr>
                        <w:r>
                          <w:rPr>
                            <w:sz w:val="14"/>
                          </w:rPr>
                          <w:t>1,749</w:t>
                        </w:r>
                      </w:p>
                    </w:tc>
                    <w:tc>
                      <w:tcPr>
                        <w:tcW w:w="884" w:type="dxa"/>
                        <w:tcBorders>
                          <w:top w:val="single" w:sz="0" w:space="0" w:color="000000"/>
                        </w:tcBorders>
                      </w:tcPr>
                      <w:p>
                        <w:pPr>
                          <w:pStyle w:val="TableParagraph"/>
                          <w:spacing w:before="39"/>
                          <w:ind w:right="177"/>
                          <w:rPr>
                            <w:sz w:val="14"/>
                          </w:rPr>
                        </w:pPr>
                        <w:r>
                          <w:rPr>
                            <w:sz w:val="14"/>
                          </w:rPr>
                          <w:t>18,436</w:t>
                        </w:r>
                      </w:p>
                    </w:tc>
                    <w:tc>
                      <w:tcPr>
                        <w:tcW w:w="859" w:type="dxa"/>
                        <w:tcBorders>
                          <w:top w:val="single" w:sz="0" w:space="0" w:color="000000"/>
                        </w:tcBorders>
                      </w:tcPr>
                      <w:p>
                        <w:pPr>
                          <w:pStyle w:val="TableParagraph"/>
                          <w:spacing w:before="39"/>
                          <w:ind w:right="180"/>
                          <w:rPr>
                            <w:sz w:val="14"/>
                          </w:rPr>
                        </w:pPr>
                        <w:r>
                          <w:rPr>
                            <w:sz w:val="14"/>
                          </w:rPr>
                          <w:t>17,924</w:t>
                        </w:r>
                      </w:p>
                    </w:tc>
                    <w:tc>
                      <w:tcPr>
                        <w:tcW w:w="827" w:type="dxa"/>
                        <w:tcBorders>
                          <w:top w:val="single" w:sz="0" w:space="0" w:color="000000"/>
                        </w:tcBorders>
                      </w:tcPr>
                      <w:p>
                        <w:pPr>
                          <w:pStyle w:val="TableParagraph"/>
                          <w:spacing w:before="39"/>
                          <w:ind w:right="163"/>
                          <w:rPr>
                            <w:sz w:val="14"/>
                          </w:rPr>
                        </w:pPr>
                        <w:r>
                          <w:rPr>
                            <w:sz w:val="14"/>
                          </w:rPr>
                          <w:t>1,711</w:t>
                        </w:r>
                      </w:p>
                    </w:tc>
                    <w:tc>
                      <w:tcPr>
                        <w:tcW w:w="817" w:type="dxa"/>
                        <w:tcBorders>
                          <w:top w:val="single" w:sz="0" w:space="0" w:color="000000"/>
                        </w:tcBorders>
                      </w:tcPr>
                      <w:p>
                        <w:pPr>
                          <w:pStyle w:val="TableParagraph"/>
                          <w:spacing w:before="39"/>
                          <w:ind w:right="180"/>
                          <w:rPr>
                            <w:sz w:val="14"/>
                          </w:rPr>
                        </w:pPr>
                        <w:r>
                          <w:rPr>
                            <w:sz w:val="14"/>
                          </w:rPr>
                          <w:t>1,299</w:t>
                        </w:r>
                      </w:p>
                    </w:tc>
                    <w:tc>
                      <w:tcPr>
                        <w:tcW w:w="827" w:type="dxa"/>
                        <w:tcBorders>
                          <w:top w:val="single" w:sz="0" w:space="0" w:color="000000"/>
                        </w:tcBorders>
                      </w:tcPr>
                      <w:p>
                        <w:pPr>
                          <w:pStyle w:val="TableParagraph"/>
                          <w:spacing w:before="39"/>
                          <w:ind w:right="163"/>
                          <w:rPr>
                            <w:sz w:val="14"/>
                          </w:rPr>
                        </w:pPr>
                        <w:r>
                          <w:rPr>
                            <w:sz w:val="14"/>
                          </w:rPr>
                          <w:t>306</w:t>
                        </w:r>
                      </w:p>
                    </w:tc>
                    <w:tc>
                      <w:tcPr>
                        <w:tcW w:w="817" w:type="dxa"/>
                        <w:tcBorders>
                          <w:top w:val="single" w:sz="0" w:space="0" w:color="000000"/>
                        </w:tcBorders>
                      </w:tcPr>
                      <w:p>
                        <w:pPr>
                          <w:pStyle w:val="TableParagraph"/>
                          <w:spacing w:before="39"/>
                          <w:ind w:right="182"/>
                          <w:rPr>
                            <w:sz w:val="14"/>
                          </w:rPr>
                        </w:pPr>
                        <w:r>
                          <w:rPr>
                            <w:sz w:val="14"/>
                          </w:rPr>
                          <w:t>537</w:t>
                        </w:r>
                      </w:p>
                    </w:tc>
                    <w:tc>
                      <w:tcPr>
                        <w:tcW w:w="827" w:type="dxa"/>
                        <w:tcBorders>
                          <w:top w:val="single" w:sz="0" w:space="0" w:color="000000"/>
                        </w:tcBorders>
                      </w:tcPr>
                      <w:p>
                        <w:pPr>
                          <w:pStyle w:val="TableParagraph"/>
                          <w:spacing w:before="39"/>
                          <w:ind w:right="163"/>
                          <w:rPr>
                            <w:sz w:val="14"/>
                          </w:rPr>
                        </w:pPr>
                        <w:r>
                          <w:rPr>
                            <w:sz w:val="14"/>
                          </w:rPr>
                          <w:t>616</w:t>
                        </w:r>
                      </w:p>
                    </w:tc>
                    <w:tc>
                      <w:tcPr>
                        <w:tcW w:w="704" w:type="dxa"/>
                        <w:tcBorders>
                          <w:top w:val="single" w:sz="0" w:space="0" w:color="000000"/>
                        </w:tcBorders>
                      </w:tcPr>
                      <w:p>
                        <w:pPr>
                          <w:pStyle w:val="TableParagraph"/>
                          <w:spacing w:before="39"/>
                          <w:ind w:right="68"/>
                          <w:rPr>
                            <w:sz w:val="14"/>
                          </w:rPr>
                        </w:pPr>
                        <w:r>
                          <w:rPr>
                            <w:sz w:val="14"/>
                          </w:rPr>
                          <w:t>1,155</w:t>
                        </w:r>
                      </w:p>
                    </w:tc>
                  </w:tr>
                  <w:tr>
                    <w:trPr>
                      <w:trHeight w:val="219" w:hRule="exact"/>
                    </w:trPr>
                    <w:tc>
                      <w:tcPr>
                        <w:tcW w:w="3346" w:type="dxa"/>
                      </w:tcPr>
                      <w:p>
                        <w:pPr>
                          <w:pStyle w:val="TableParagraph"/>
                          <w:spacing w:before="22"/>
                          <w:ind w:left="35" w:right="77"/>
                          <w:jc w:val="left"/>
                          <w:rPr>
                            <w:sz w:val="14"/>
                          </w:rPr>
                        </w:pPr>
                        <w:r>
                          <w:rPr>
                            <w:sz w:val="14"/>
                          </w:rPr>
                          <w:t>Less expenses including accrued expenses</w:t>
                        </w:r>
                      </w:p>
                    </w:tc>
                    <w:tc>
                      <w:tcPr>
                        <w:tcW w:w="560" w:type="dxa"/>
                      </w:tcPr>
                      <w:p>
                        <w:pPr/>
                      </w:p>
                    </w:tc>
                    <w:tc>
                      <w:tcPr>
                        <w:tcW w:w="920" w:type="dxa"/>
                        <w:tcBorders>
                          <w:bottom w:val="single" w:sz="0" w:space="0" w:color="000000"/>
                        </w:tcBorders>
                      </w:tcPr>
                      <w:p>
                        <w:pPr>
                          <w:pStyle w:val="TableParagraph"/>
                          <w:spacing w:before="21"/>
                          <w:ind w:right="97"/>
                          <w:rPr>
                            <w:sz w:val="14"/>
                          </w:rPr>
                        </w:pPr>
                        <w:r>
                          <w:rPr>
                            <w:sz w:val="14"/>
                          </w:rPr>
                          <w:t>(297,511)</w:t>
                        </w:r>
                      </w:p>
                    </w:tc>
                    <w:tc>
                      <w:tcPr>
                        <w:tcW w:w="836" w:type="dxa"/>
                        <w:tcBorders>
                          <w:bottom w:val="single" w:sz="0" w:space="0" w:color="000000"/>
                        </w:tcBorders>
                      </w:tcPr>
                      <w:p>
                        <w:pPr>
                          <w:pStyle w:val="TableParagraph"/>
                          <w:spacing w:before="21"/>
                          <w:ind w:right="134"/>
                          <w:rPr>
                            <w:sz w:val="14"/>
                          </w:rPr>
                        </w:pPr>
                        <w:r>
                          <w:rPr>
                            <w:sz w:val="14"/>
                          </w:rPr>
                          <w:t>(287,365)</w:t>
                        </w:r>
                      </w:p>
                    </w:tc>
                    <w:tc>
                      <w:tcPr>
                        <w:tcW w:w="827" w:type="dxa"/>
                        <w:tcBorders>
                          <w:bottom w:val="single" w:sz="0" w:space="0" w:color="000000"/>
                        </w:tcBorders>
                      </w:tcPr>
                      <w:p>
                        <w:pPr>
                          <w:pStyle w:val="TableParagraph"/>
                          <w:spacing w:before="21"/>
                          <w:ind w:right="116"/>
                          <w:rPr>
                            <w:sz w:val="14"/>
                          </w:rPr>
                        </w:pPr>
                        <w:r>
                          <w:rPr>
                            <w:sz w:val="14"/>
                          </w:rPr>
                          <w:t>(1,758)</w:t>
                        </w:r>
                      </w:p>
                    </w:tc>
                    <w:tc>
                      <w:tcPr>
                        <w:tcW w:w="830" w:type="dxa"/>
                        <w:tcBorders>
                          <w:bottom w:val="single" w:sz="0" w:space="0" w:color="000000"/>
                        </w:tcBorders>
                      </w:tcPr>
                      <w:p>
                        <w:pPr>
                          <w:pStyle w:val="TableParagraph"/>
                          <w:spacing w:before="21"/>
                          <w:ind w:right="148"/>
                          <w:rPr>
                            <w:sz w:val="14"/>
                          </w:rPr>
                        </w:pPr>
                        <w:r>
                          <w:rPr>
                            <w:sz w:val="14"/>
                          </w:rPr>
                          <w:t>(1,749)</w:t>
                        </w:r>
                      </w:p>
                    </w:tc>
                    <w:tc>
                      <w:tcPr>
                        <w:tcW w:w="884" w:type="dxa"/>
                        <w:tcBorders>
                          <w:bottom w:val="single" w:sz="0" w:space="0" w:color="000000"/>
                        </w:tcBorders>
                      </w:tcPr>
                      <w:p>
                        <w:pPr>
                          <w:pStyle w:val="TableParagraph"/>
                          <w:spacing w:before="21"/>
                          <w:ind w:right="131"/>
                          <w:rPr>
                            <w:sz w:val="14"/>
                          </w:rPr>
                        </w:pPr>
                        <w:r>
                          <w:rPr>
                            <w:sz w:val="14"/>
                          </w:rPr>
                          <w:t>(9,104)</w:t>
                        </w:r>
                      </w:p>
                    </w:tc>
                    <w:tc>
                      <w:tcPr>
                        <w:tcW w:w="859" w:type="dxa"/>
                        <w:tcBorders>
                          <w:bottom w:val="single" w:sz="0" w:space="0" w:color="000000"/>
                        </w:tcBorders>
                      </w:tcPr>
                      <w:p>
                        <w:pPr>
                          <w:pStyle w:val="TableParagraph"/>
                          <w:spacing w:before="21"/>
                          <w:ind w:right="134"/>
                          <w:rPr>
                            <w:sz w:val="14"/>
                          </w:rPr>
                        </w:pPr>
                        <w:r>
                          <w:rPr>
                            <w:sz w:val="14"/>
                          </w:rPr>
                          <w:t>(11,113)</w:t>
                        </w:r>
                      </w:p>
                    </w:tc>
                    <w:tc>
                      <w:tcPr>
                        <w:tcW w:w="827" w:type="dxa"/>
                        <w:tcBorders>
                          <w:bottom w:val="single" w:sz="0" w:space="0" w:color="000000"/>
                        </w:tcBorders>
                      </w:tcPr>
                      <w:p>
                        <w:pPr>
                          <w:pStyle w:val="TableParagraph"/>
                          <w:spacing w:before="21"/>
                          <w:ind w:right="116"/>
                          <w:rPr>
                            <w:sz w:val="14"/>
                          </w:rPr>
                        </w:pPr>
                        <w:r>
                          <w:rPr>
                            <w:sz w:val="14"/>
                          </w:rPr>
                          <w:t>(1,109)</w:t>
                        </w:r>
                      </w:p>
                    </w:tc>
                    <w:tc>
                      <w:tcPr>
                        <w:tcW w:w="817" w:type="dxa"/>
                        <w:tcBorders>
                          <w:bottom w:val="single" w:sz="0" w:space="0" w:color="000000"/>
                        </w:tcBorders>
                      </w:tcPr>
                      <w:p>
                        <w:pPr>
                          <w:pStyle w:val="TableParagraph"/>
                          <w:spacing w:before="21"/>
                          <w:ind w:right="134"/>
                          <w:rPr>
                            <w:sz w:val="14"/>
                          </w:rPr>
                        </w:pPr>
                        <w:r>
                          <w:rPr>
                            <w:sz w:val="14"/>
                          </w:rPr>
                          <w:t>(512)</w:t>
                        </w:r>
                      </w:p>
                    </w:tc>
                    <w:tc>
                      <w:tcPr>
                        <w:tcW w:w="827" w:type="dxa"/>
                        <w:tcBorders>
                          <w:bottom w:val="single" w:sz="0" w:space="0" w:color="000000"/>
                        </w:tcBorders>
                      </w:tcPr>
                      <w:p>
                        <w:pPr>
                          <w:pStyle w:val="TableParagraph"/>
                          <w:spacing w:before="21"/>
                          <w:ind w:right="116"/>
                          <w:rPr>
                            <w:sz w:val="14"/>
                          </w:rPr>
                        </w:pPr>
                        <w:r>
                          <w:rPr>
                            <w:sz w:val="14"/>
                          </w:rPr>
                          <w:t>(306)</w:t>
                        </w:r>
                      </w:p>
                    </w:tc>
                    <w:tc>
                      <w:tcPr>
                        <w:tcW w:w="817" w:type="dxa"/>
                        <w:tcBorders>
                          <w:bottom w:val="single" w:sz="0" w:space="0" w:color="000000"/>
                        </w:tcBorders>
                      </w:tcPr>
                      <w:p>
                        <w:pPr>
                          <w:pStyle w:val="TableParagraph"/>
                          <w:spacing w:before="21"/>
                          <w:ind w:right="134"/>
                          <w:rPr>
                            <w:sz w:val="14"/>
                          </w:rPr>
                        </w:pPr>
                        <w:r>
                          <w:rPr>
                            <w:sz w:val="14"/>
                          </w:rPr>
                          <w:t>(231)</w:t>
                        </w:r>
                      </w:p>
                    </w:tc>
                    <w:tc>
                      <w:tcPr>
                        <w:tcW w:w="827" w:type="dxa"/>
                        <w:tcBorders>
                          <w:bottom w:val="single" w:sz="0" w:space="0" w:color="000000"/>
                        </w:tcBorders>
                      </w:tcPr>
                      <w:p>
                        <w:pPr>
                          <w:pStyle w:val="TableParagraph"/>
                          <w:spacing w:before="21"/>
                          <w:ind w:right="116"/>
                          <w:rPr>
                            <w:sz w:val="14"/>
                          </w:rPr>
                        </w:pPr>
                        <w:r>
                          <w:rPr>
                            <w:sz w:val="14"/>
                          </w:rPr>
                          <w:t>(462)</w:t>
                        </w:r>
                      </w:p>
                    </w:tc>
                    <w:tc>
                      <w:tcPr>
                        <w:tcW w:w="704" w:type="dxa"/>
                        <w:tcBorders>
                          <w:bottom w:val="single" w:sz="0" w:space="0" w:color="000000"/>
                        </w:tcBorders>
                      </w:tcPr>
                      <w:p>
                        <w:pPr>
                          <w:pStyle w:val="TableParagraph"/>
                          <w:spacing w:before="21"/>
                          <w:ind w:right="22"/>
                          <w:rPr>
                            <w:sz w:val="14"/>
                          </w:rPr>
                        </w:pPr>
                        <w:r>
                          <w:rPr>
                            <w:sz w:val="14"/>
                          </w:rPr>
                          <w:t>(694)</w:t>
                        </w:r>
                      </w:p>
                    </w:tc>
                  </w:tr>
                  <w:tr>
                    <w:trPr>
                      <w:trHeight w:val="253" w:hRule="exact"/>
                    </w:trPr>
                    <w:tc>
                      <w:tcPr>
                        <w:tcW w:w="3346" w:type="dxa"/>
                      </w:tcPr>
                      <w:p>
                        <w:pPr>
                          <w:pStyle w:val="TableParagraph"/>
                          <w:spacing w:before="41"/>
                          <w:ind w:left="35" w:right="77"/>
                          <w:jc w:val="left"/>
                          <w:rPr>
                            <w:sz w:val="14"/>
                          </w:rPr>
                        </w:pPr>
                        <w:r>
                          <w:rPr>
                            <w:sz w:val="14"/>
                          </w:rPr>
                          <w:t>Surplus/(deficit) for the reporting period</w:t>
                        </w:r>
                      </w:p>
                    </w:tc>
                    <w:tc>
                      <w:tcPr>
                        <w:tcW w:w="560" w:type="dxa"/>
                      </w:tcPr>
                      <w:p>
                        <w:pPr/>
                      </w:p>
                    </w:tc>
                    <w:tc>
                      <w:tcPr>
                        <w:tcW w:w="920" w:type="dxa"/>
                        <w:tcBorders>
                          <w:top w:val="single" w:sz="0" w:space="0" w:color="000000"/>
                          <w:bottom w:val="single" w:sz="0" w:space="0" w:color="000000"/>
                        </w:tcBorders>
                      </w:tcPr>
                      <w:p>
                        <w:pPr>
                          <w:pStyle w:val="TableParagraph"/>
                          <w:spacing w:before="39"/>
                          <w:ind w:right="143"/>
                          <w:rPr>
                            <w:sz w:val="14"/>
                          </w:rPr>
                        </w:pPr>
                        <w:r>
                          <w:rPr>
                            <w:w w:val="100"/>
                            <w:sz w:val="14"/>
                          </w:rPr>
                          <w:t>-</w:t>
                        </w:r>
                      </w:p>
                    </w:tc>
                    <w:tc>
                      <w:tcPr>
                        <w:tcW w:w="836" w:type="dxa"/>
                        <w:tcBorders>
                          <w:top w:val="single" w:sz="0" w:space="0" w:color="000000"/>
                          <w:bottom w:val="single" w:sz="0" w:space="0" w:color="000000"/>
                        </w:tcBorders>
                      </w:tcPr>
                      <w:p>
                        <w:pPr>
                          <w:pStyle w:val="TableParagraph"/>
                          <w:spacing w:before="39"/>
                          <w:ind w:right="180"/>
                          <w:rPr>
                            <w:sz w:val="14"/>
                          </w:rPr>
                        </w:pPr>
                        <w:r>
                          <w:rPr>
                            <w:w w:val="100"/>
                            <w:sz w:val="14"/>
                          </w:rPr>
                          <w:t>-</w:t>
                        </w:r>
                      </w:p>
                    </w:tc>
                    <w:tc>
                      <w:tcPr>
                        <w:tcW w:w="827" w:type="dxa"/>
                        <w:tcBorders>
                          <w:top w:val="single" w:sz="0" w:space="0" w:color="000000"/>
                          <w:bottom w:val="single" w:sz="0" w:space="0" w:color="000000"/>
                        </w:tcBorders>
                      </w:tcPr>
                      <w:p>
                        <w:pPr>
                          <w:pStyle w:val="TableParagraph"/>
                          <w:spacing w:before="39"/>
                          <w:ind w:right="163"/>
                          <w:rPr>
                            <w:sz w:val="14"/>
                          </w:rPr>
                        </w:pPr>
                        <w:r>
                          <w:rPr>
                            <w:w w:val="100"/>
                            <w:sz w:val="14"/>
                          </w:rPr>
                          <w:t>-</w:t>
                        </w:r>
                      </w:p>
                    </w:tc>
                    <w:tc>
                      <w:tcPr>
                        <w:tcW w:w="830" w:type="dxa"/>
                        <w:tcBorders>
                          <w:top w:val="single" w:sz="0" w:space="0" w:color="000000"/>
                          <w:bottom w:val="single" w:sz="0" w:space="0" w:color="000000"/>
                        </w:tcBorders>
                      </w:tcPr>
                      <w:p>
                        <w:pPr>
                          <w:pStyle w:val="TableParagraph"/>
                          <w:spacing w:before="39"/>
                          <w:ind w:right="194"/>
                          <w:rPr>
                            <w:sz w:val="14"/>
                          </w:rPr>
                        </w:pPr>
                        <w:r>
                          <w:rPr>
                            <w:w w:val="100"/>
                            <w:sz w:val="14"/>
                          </w:rPr>
                          <w:t>-</w:t>
                        </w:r>
                      </w:p>
                    </w:tc>
                    <w:tc>
                      <w:tcPr>
                        <w:tcW w:w="884" w:type="dxa"/>
                        <w:tcBorders>
                          <w:top w:val="single" w:sz="0" w:space="0" w:color="000000"/>
                          <w:bottom w:val="single" w:sz="0" w:space="0" w:color="000000"/>
                        </w:tcBorders>
                      </w:tcPr>
                      <w:p>
                        <w:pPr>
                          <w:pStyle w:val="TableParagraph"/>
                          <w:spacing w:before="39"/>
                          <w:ind w:right="177"/>
                          <w:rPr>
                            <w:sz w:val="14"/>
                          </w:rPr>
                        </w:pPr>
                        <w:r>
                          <w:rPr>
                            <w:sz w:val="14"/>
                          </w:rPr>
                          <w:t>9,332</w:t>
                        </w:r>
                      </w:p>
                    </w:tc>
                    <w:tc>
                      <w:tcPr>
                        <w:tcW w:w="859" w:type="dxa"/>
                        <w:tcBorders>
                          <w:top w:val="single" w:sz="0" w:space="0" w:color="000000"/>
                          <w:bottom w:val="single" w:sz="0" w:space="0" w:color="000000"/>
                        </w:tcBorders>
                      </w:tcPr>
                      <w:p>
                        <w:pPr>
                          <w:pStyle w:val="TableParagraph"/>
                          <w:spacing w:before="39"/>
                          <w:ind w:right="180"/>
                          <w:rPr>
                            <w:sz w:val="14"/>
                          </w:rPr>
                        </w:pPr>
                        <w:r>
                          <w:rPr>
                            <w:sz w:val="14"/>
                          </w:rPr>
                          <w:t>6,811</w:t>
                        </w:r>
                      </w:p>
                    </w:tc>
                    <w:tc>
                      <w:tcPr>
                        <w:tcW w:w="827" w:type="dxa"/>
                        <w:tcBorders>
                          <w:top w:val="single" w:sz="0" w:space="0" w:color="000000"/>
                          <w:bottom w:val="single" w:sz="0" w:space="0" w:color="000000"/>
                        </w:tcBorders>
                      </w:tcPr>
                      <w:p>
                        <w:pPr>
                          <w:pStyle w:val="TableParagraph"/>
                          <w:spacing w:before="39"/>
                          <w:ind w:right="163"/>
                          <w:rPr>
                            <w:sz w:val="14"/>
                          </w:rPr>
                        </w:pPr>
                        <w:r>
                          <w:rPr>
                            <w:sz w:val="14"/>
                          </w:rPr>
                          <w:t>602</w:t>
                        </w:r>
                      </w:p>
                    </w:tc>
                    <w:tc>
                      <w:tcPr>
                        <w:tcW w:w="817" w:type="dxa"/>
                        <w:tcBorders>
                          <w:top w:val="single" w:sz="0" w:space="0" w:color="000000"/>
                          <w:bottom w:val="single" w:sz="0" w:space="0" w:color="000000"/>
                        </w:tcBorders>
                      </w:tcPr>
                      <w:p>
                        <w:pPr>
                          <w:pStyle w:val="TableParagraph"/>
                          <w:spacing w:before="39"/>
                          <w:ind w:right="182"/>
                          <w:rPr>
                            <w:sz w:val="14"/>
                          </w:rPr>
                        </w:pPr>
                        <w:r>
                          <w:rPr>
                            <w:sz w:val="14"/>
                          </w:rPr>
                          <w:t>787</w:t>
                        </w:r>
                      </w:p>
                    </w:tc>
                    <w:tc>
                      <w:tcPr>
                        <w:tcW w:w="827" w:type="dxa"/>
                        <w:tcBorders>
                          <w:top w:val="single" w:sz="0" w:space="0" w:color="000000"/>
                          <w:bottom w:val="single" w:sz="0" w:space="0" w:color="000000"/>
                        </w:tcBorders>
                      </w:tcPr>
                      <w:p>
                        <w:pPr>
                          <w:pStyle w:val="TableParagraph"/>
                          <w:spacing w:before="39"/>
                          <w:ind w:right="163"/>
                          <w:rPr>
                            <w:sz w:val="14"/>
                          </w:rPr>
                        </w:pPr>
                        <w:r>
                          <w:rPr>
                            <w:w w:val="100"/>
                            <w:sz w:val="14"/>
                          </w:rPr>
                          <w:t>-</w:t>
                        </w:r>
                      </w:p>
                    </w:tc>
                    <w:tc>
                      <w:tcPr>
                        <w:tcW w:w="817" w:type="dxa"/>
                        <w:tcBorders>
                          <w:top w:val="single" w:sz="0" w:space="0" w:color="000000"/>
                          <w:bottom w:val="single" w:sz="0" w:space="0" w:color="000000"/>
                        </w:tcBorders>
                      </w:tcPr>
                      <w:p>
                        <w:pPr>
                          <w:pStyle w:val="TableParagraph"/>
                          <w:spacing w:before="39"/>
                          <w:ind w:right="182"/>
                          <w:rPr>
                            <w:sz w:val="14"/>
                          </w:rPr>
                        </w:pPr>
                        <w:r>
                          <w:rPr>
                            <w:sz w:val="14"/>
                          </w:rPr>
                          <w:t>306</w:t>
                        </w:r>
                      </w:p>
                    </w:tc>
                    <w:tc>
                      <w:tcPr>
                        <w:tcW w:w="827" w:type="dxa"/>
                        <w:tcBorders>
                          <w:top w:val="single" w:sz="0" w:space="0" w:color="000000"/>
                          <w:bottom w:val="single" w:sz="0" w:space="0" w:color="000000"/>
                        </w:tcBorders>
                      </w:tcPr>
                      <w:p>
                        <w:pPr>
                          <w:pStyle w:val="TableParagraph"/>
                          <w:spacing w:before="39"/>
                          <w:ind w:right="163"/>
                          <w:rPr>
                            <w:sz w:val="14"/>
                          </w:rPr>
                        </w:pPr>
                        <w:r>
                          <w:rPr>
                            <w:sz w:val="14"/>
                          </w:rPr>
                          <w:t>154</w:t>
                        </w:r>
                      </w:p>
                    </w:tc>
                    <w:tc>
                      <w:tcPr>
                        <w:tcW w:w="704" w:type="dxa"/>
                        <w:tcBorders>
                          <w:top w:val="single" w:sz="0" w:space="0" w:color="000000"/>
                          <w:bottom w:val="single" w:sz="0" w:space="0" w:color="000000"/>
                        </w:tcBorders>
                      </w:tcPr>
                      <w:p>
                        <w:pPr>
                          <w:pStyle w:val="TableParagraph"/>
                          <w:spacing w:before="39"/>
                          <w:ind w:right="68"/>
                          <w:rPr>
                            <w:sz w:val="14"/>
                          </w:rPr>
                        </w:pPr>
                        <w:r>
                          <w:rPr>
                            <w:sz w:val="14"/>
                          </w:rPr>
                          <w:t>461</w:t>
                        </w:r>
                      </w:p>
                    </w:tc>
                  </w:tr>
                </w:tbl>
                <w:p>
                  <w:pPr>
                    <w:pStyle w:val="BodyText"/>
                  </w:pPr>
                </w:p>
              </w:txbxContent>
            </v:textbox>
          </v:shape>
        </w:pict>
      </w:r>
      <w:r>
        <w:rPr>
          <w:sz w:val="20"/>
        </w:rPr>
      </w:r>
      <w:r>
        <w:rPr>
          <w:sz w:val="20"/>
        </w:rPr>
        <w:tab/>
      </w:r>
      <w:r>
        <w:rPr>
          <w:position w:val="37"/>
          <w:sz w:val="20"/>
        </w:rPr>
        <w:drawing>
          <wp:inline distT="0" distB="0" distL="0" distR="0">
            <wp:extent cx="154019" cy="154019"/>
            <wp:effectExtent l="0" t="0" r="0" b="0"/>
            <wp:docPr id="379" name="image25.png" descr=""/>
            <wp:cNvGraphicFramePr>
              <a:graphicFrameLocks noChangeAspect="1"/>
            </wp:cNvGraphicFramePr>
            <a:graphic>
              <a:graphicData uri="http://schemas.openxmlformats.org/drawingml/2006/picture">
                <pic:pic>
                  <pic:nvPicPr>
                    <pic:cNvPr id="380" name="image25.png"/>
                    <pic:cNvPicPr/>
                  </pic:nvPicPr>
                  <pic:blipFill>
                    <a:blip r:embed="rId41" cstate="print"/>
                    <a:stretch>
                      <a:fillRect/>
                    </a:stretch>
                  </pic:blipFill>
                  <pic:spPr>
                    <a:xfrm>
                      <a:off x="0" y="0"/>
                      <a:ext cx="154019" cy="154019"/>
                    </a:xfrm>
                    <a:prstGeom prst="rect">
                      <a:avLst/>
                    </a:prstGeom>
                  </pic:spPr>
                </pic:pic>
              </a:graphicData>
            </a:graphic>
          </wp:inline>
        </w:drawing>
      </w:r>
      <w:r>
        <w:rPr>
          <w:position w:val="37"/>
          <w:sz w:val="20"/>
        </w:rPr>
      </w:r>
    </w:p>
    <w:p>
      <w:pPr>
        <w:pStyle w:val="BodyText"/>
        <w:spacing w:before="3"/>
        <w:rPr>
          <w:b/>
          <w:sz w:val="24"/>
        </w:rPr>
      </w:pPr>
    </w:p>
    <w:p>
      <w:pPr>
        <w:spacing w:before="83" w:after="37"/>
        <w:ind w:left="0" w:right="1621" w:firstLine="0"/>
        <w:jc w:val="right"/>
        <w:rPr>
          <w:b/>
          <w:sz w:val="14"/>
        </w:rPr>
      </w:pPr>
      <w:r>
        <w:rPr>
          <w:b/>
          <w:sz w:val="14"/>
        </w:rPr>
        <w:t>Total</w:t>
      </w:r>
    </w:p>
    <w:tbl>
      <w:tblPr>
        <w:tblW w:w="0" w:type="auto"/>
        <w:jc w:val="left"/>
        <w:tblInd w:w="197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513"/>
        <w:gridCol w:w="4726"/>
        <w:gridCol w:w="920"/>
        <w:gridCol w:w="724"/>
      </w:tblGrid>
      <w:tr>
        <w:trPr>
          <w:trHeight w:val="502" w:hRule="exact"/>
        </w:trPr>
        <w:tc>
          <w:tcPr>
            <w:tcW w:w="7513" w:type="dxa"/>
          </w:tcPr>
          <w:p>
            <w:pPr>
              <w:pStyle w:val="TableParagraph"/>
              <w:jc w:val="left"/>
              <w:rPr>
                <w:b/>
                <w:sz w:val="14"/>
              </w:rPr>
            </w:pPr>
          </w:p>
          <w:p>
            <w:pPr>
              <w:pStyle w:val="TableParagraph"/>
              <w:spacing w:before="4"/>
              <w:jc w:val="left"/>
              <w:rPr>
                <w:b/>
                <w:sz w:val="12"/>
              </w:rPr>
            </w:pPr>
          </w:p>
          <w:p>
            <w:pPr>
              <w:pStyle w:val="TableParagraph"/>
              <w:ind w:left="35" w:right="4244"/>
              <w:jc w:val="left"/>
              <w:rPr>
                <w:b/>
                <w:sz w:val="14"/>
              </w:rPr>
            </w:pPr>
            <w:r>
              <w:rPr>
                <w:b/>
                <w:sz w:val="14"/>
              </w:rPr>
              <w:t>Parent Entity (University) Only</w:t>
            </w:r>
          </w:p>
        </w:tc>
        <w:tc>
          <w:tcPr>
            <w:tcW w:w="4726" w:type="dxa"/>
          </w:tcPr>
          <w:p>
            <w:pPr>
              <w:pStyle w:val="TableParagraph"/>
              <w:jc w:val="left"/>
              <w:rPr>
                <w:b/>
                <w:sz w:val="14"/>
              </w:rPr>
            </w:pPr>
          </w:p>
          <w:p>
            <w:pPr>
              <w:pStyle w:val="TableParagraph"/>
              <w:spacing w:before="4"/>
              <w:jc w:val="left"/>
              <w:rPr>
                <w:b/>
                <w:sz w:val="12"/>
              </w:rPr>
            </w:pPr>
          </w:p>
          <w:p>
            <w:pPr>
              <w:pStyle w:val="TableParagraph"/>
              <w:ind w:right="90"/>
              <w:rPr>
                <w:b/>
                <w:sz w:val="14"/>
              </w:rPr>
            </w:pPr>
            <w:r>
              <w:rPr>
                <w:b/>
                <w:sz w:val="14"/>
              </w:rPr>
              <w:t>Note</w:t>
            </w:r>
          </w:p>
        </w:tc>
        <w:tc>
          <w:tcPr>
            <w:tcW w:w="920" w:type="dxa"/>
          </w:tcPr>
          <w:p>
            <w:pPr>
              <w:pStyle w:val="TableParagraph"/>
              <w:spacing w:before="75"/>
              <w:ind w:left="265"/>
              <w:jc w:val="left"/>
              <w:rPr>
                <w:b/>
                <w:sz w:val="14"/>
              </w:rPr>
            </w:pPr>
            <w:r>
              <w:rPr>
                <w:b/>
                <w:sz w:val="14"/>
              </w:rPr>
              <w:t>2016</w:t>
            </w:r>
          </w:p>
          <w:p>
            <w:pPr>
              <w:pStyle w:val="TableParagraph"/>
              <w:spacing w:before="67"/>
              <w:ind w:left="248"/>
              <w:jc w:val="left"/>
              <w:rPr>
                <w:b/>
                <w:sz w:val="14"/>
              </w:rPr>
            </w:pPr>
            <w:r>
              <w:rPr>
                <w:b/>
                <w:sz w:val="14"/>
              </w:rPr>
              <w:t>$'000</w:t>
            </w:r>
          </w:p>
        </w:tc>
        <w:tc>
          <w:tcPr>
            <w:tcW w:w="724" w:type="dxa"/>
          </w:tcPr>
          <w:p>
            <w:pPr>
              <w:pStyle w:val="TableParagraph"/>
              <w:spacing w:before="75"/>
              <w:ind w:left="155"/>
              <w:jc w:val="left"/>
              <w:rPr>
                <w:b/>
                <w:sz w:val="14"/>
              </w:rPr>
            </w:pPr>
            <w:r>
              <w:rPr>
                <w:b/>
                <w:sz w:val="14"/>
              </w:rPr>
              <w:t>2015</w:t>
            </w:r>
          </w:p>
          <w:p>
            <w:pPr>
              <w:pStyle w:val="TableParagraph"/>
              <w:spacing w:before="67"/>
              <w:ind w:left="138"/>
              <w:jc w:val="left"/>
              <w:rPr>
                <w:b/>
                <w:sz w:val="14"/>
              </w:rPr>
            </w:pPr>
            <w:r>
              <w:rPr>
                <w:b/>
                <w:sz w:val="14"/>
              </w:rPr>
              <w:t>$'000</w:t>
            </w:r>
          </w:p>
        </w:tc>
      </w:tr>
      <w:tr>
        <w:trPr>
          <w:trHeight w:val="541" w:hRule="exact"/>
        </w:trPr>
        <w:tc>
          <w:tcPr>
            <w:tcW w:w="7513" w:type="dxa"/>
          </w:tcPr>
          <w:p>
            <w:pPr>
              <w:pStyle w:val="TableParagraph"/>
              <w:spacing w:before="23"/>
              <w:ind w:left="35" w:right="4244"/>
              <w:jc w:val="left"/>
              <w:rPr>
                <w:sz w:val="14"/>
              </w:rPr>
            </w:pPr>
            <w:r>
              <w:rPr>
                <w:sz w:val="14"/>
              </w:rPr>
              <w:t>Financial assistance received in CASH during the reporting period (total cash received from Australian Government for the program)</w:t>
            </w:r>
          </w:p>
        </w:tc>
        <w:tc>
          <w:tcPr>
            <w:tcW w:w="4726" w:type="dxa"/>
          </w:tcPr>
          <w:p>
            <w:pPr/>
          </w:p>
        </w:tc>
        <w:tc>
          <w:tcPr>
            <w:tcW w:w="920" w:type="dxa"/>
          </w:tcPr>
          <w:p>
            <w:pPr>
              <w:pStyle w:val="TableParagraph"/>
              <w:jc w:val="left"/>
              <w:rPr>
                <w:b/>
                <w:sz w:val="14"/>
              </w:rPr>
            </w:pPr>
          </w:p>
          <w:p>
            <w:pPr>
              <w:pStyle w:val="TableParagraph"/>
              <w:spacing w:before="10"/>
              <w:jc w:val="left"/>
              <w:rPr>
                <w:b/>
                <w:sz w:val="15"/>
              </w:rPr>
            </w:pPr>
          </w:p>
          <w:p>
            <w:pPr>
              <w:pStyle w:val="TableParagraph"/>
              <w:ind w:right="143"/>
              <w:rPr>
                <w:sz w:val="14"/>
              </w:rPr>
            </w:pPr>
            <w:r>
              <w:rPr>
                <w:sz w:val="14"/>
              </w:rPr>
              <w:t>312,771</w:t>
            </w:r>
          </w:p>
        </w:tc>
        <w:tc>
          <w:tcPr>
            <w:tcW w:w="724" w:type="dxa"/>
          </w:tcPr>
          <w:p>
            <w:pPr>
              <w:pStyle w:val="TableParagraph"/>
              <w:jc w:val="left"/>
              <w:rPr>
                <w:b/>
                <w:sz w:val="14"/>
              </w:rPr>
            </w:pPr>
          </w:p>
          <w:p>
            <w:pPr>
              <w:pStyle w:val="TableParagraph"/>
              <w:spacing w:before="10"/>
              <w:jc w:val="left"/>
              <w:rPr>
                <w:b/>
                <w:sz w:val="15"/>
              </w:rPr>
            </w:pPr>
          </w:p>
          <w:p>
            <w:pPr>
              <w:pStyle w:val="TableParagraph"/>
              <w:ind w:right="68"/>
              <w:rPr>
                <w:sz w:val="14"/>
              </w:rPr>
            </w:pPr>
            <w:r>
              <w:rPr>
                <w:sz w:val="14"/>
              </w:rPr>
              <w:t>302,951</w:t>
            </w:r>
          </w:p>
        </w:tc>
      </w:tr>
      <w:tr>
        <w:trPr>
          <w:trHeight w:val="219" w:hRule="exact"/>
        </w:trPr>
        <w:tc>
          <w:tcPr>
            <w:tcW w:w="7513" w:type="dxa"/>
          </w:tcPr>
          <w:p>
            <w:pPr>
              <w:pStyle w:val="TableParagraph"/>
              <w:spacing w:before="22"/>
              <w:ind w:left="35" w:right="4244"/>
              <w:jc w:val="left"/>
              <w:rPr>
                <w:sz w:val="14"/>
              </w:rPr>
            </w:pPr>
            <w:r>
              <w:rPr>
                <w:sz w:val="14"/>
              </w:rPr>
              <w:t>Net accrual adjustments</w:t>
            </w:r>
          </w:p>
        </w:tc>
        <w:tc>
          <w:tcPr>
            <w:tcW w:w="4726" w:type="dxa"/>
          </w:tcPr>
          <w:p>
            <w:pPr/>
          </w:p>
        </w:tc>
        <w:tc>
          <w:tcPr>
            <w:tcW w:w="920" w:type="dxa"/>
            <w:tcBorders>
              <w:bottom w:val="single" w:sz="0" w:space="0" w:color="000000"/>
            </w:tcBorders>
          </w:tcPr>
          <w:p>
            <w:pPr>
              <w:pStyle w:val="TableParagraph"/>
              <w:spacing w:before="21"/>
              <w:ind w:right="97"/>
              <w:rPr>
                <w:sz w:val="14"/>
              </w:rPr>
            </w:pPr>
            <w:r>
              <w:rPr>
                <w:sz w:val="14"/>
              </w:rPr>
              <w:t>(798)</w:t>
            </w:r>
          </w:p>
        </w:tc>
        <w:tc>
          <w:tcPr>
            <w:tcW w:w="724" w:type="dxa"/>
            <w:tcBorders>
              <w:bottom w:val="single" w:sz="0" w:space="0" w:color="000000"/>
            </w:tcBorders>
          </w:tcPr>
          <w:p>
            <w:pPr>
              <w:pStyle w:val="TableParagraph"/>
              <w:spacing w:before="21"/>
              <w:ind w:right="68"/>
              <w:rPr>
                <w:sz w:val="14"/>
              </w:rPr>
            </w:pPr>
            <w:r>
              <w:rPr>
                <w:sz w:val="14"/>
              </w:rPr>
              <w:t>235</w:t>
            </w:r>
          </w:p>
        </w:tc>
      </w:tr>
      <w:tr>
        <w:trPr>
          <w:trHeight w:val="237" w:hRule="exact"/>
        </w:trPr>
        <w:tc>
          <w:tcPr>
            <w:tcW w:w="7513" w:type="dxa"/>
          </w:tcPr>
          <w:p>
            <w:pPr>
              <w:pStyle w:val="TableParagraph"/>
              <w:spacing w:before="41"/>
              <w:ind w:left="35" w:right="4244"/>
              <w:jc w:val="left"/>
              <w:rPr>
                <w:sz w:val="14"/>
              </w:rPr>
            </w:pPr>
            <w:r>
              <w:rPr>
                <w:sz w:val="14"/>
              </w:rPr>
              <w:t>Revenue for the period</w:t>
            </w:r>
          </w:p>
        </w:tc>
        <w:tc>
          <w:tcPr>
            <w:tcW w:w="4726" w:type="dxa"/>
          </w:tcPr>
          <w:p>
            <w:pPr>
              <w:pStyle w:val="TableParagraph"/>
              <w:spacing w:before="38"/>
              <w:ind w:right="223"/>
              <w:rPr>
                <w:sz w:val="14"/>
              </w:rPr>
            </w:pPr>
            <w:r>
              <w:rPr>
                <w:sz w:val="14"/>
              </w:rPr>
              <w:t>2(a)</w:t>
            </w:r>
          </w:p>
        </w:tc>
        <w:tc>
          <w:tcPr>
            <w:tcW w:w="920" w:type="dxa"/>
            <w:tcBorders>
              <w:top w:val="single" w:sz="0" w:space="0" w:color="000000"/>
            </w:tcBorders>
          </w:tcPr>
          <w:p>
            <w:pPr>
              <w:pStyle w:val="TableParagraph"/>
              <w:spacing w:before="39"/>
              <w:ind w:right="143"/>
              <w:rPr>
                <w:sz w:val="14"/>
              </w:rPr>
            </w:pPr>
            <w:r>
              <w:rPr>
                <w:sz w:val="14"/>
              </w:rPr>
              <w:t>311,973</w:t>
            </w:r>
          </w:p>
        </w:tc>
        <w:tc>
          <w:tcPr>
            <w:tcW w:w="724" w:type="dxa"/>
            <w:tcBorders>
              <w:top w:val="single" w:sz="0" w:space="0" w:color="000000"/>
            </w:tcBorders>
          </w:tcPr>
          <w:p>
            <w:pPr>
              <w:pStyle w:val="TableParagraph"/>
              <w:spacing w:before="39"/>
              <w:ind w:right="68"/>
              <w:rPr>
                <w:sz w:val="14"/>
              </w:rPr>
            </w:pPr>
            <w:r>
              <w:rPr>
                <w:sz w:val="14"/>
              </w:rPr>
              <w:t>303,186</w:t>
            </w:r>
          </w:p>
        </w:tc>
      </w:tr>
      <w:tr>
        <w:trPr>
          <w:trHeight w:val="219" w:hRule="exact"/>
        </w:trPr>
        <w:tc>
          <w:tcPr>
            <w:tcW w:w="7513" w:type="dxa"/>
          </w:tcPr>
          <w:p>
            <w:pPr>
              <w:pStyle w:val="TableParagraph"/>
              <w:spacing w:before="22"/>
              <w:ind w:left="35" w:right="4244"/>
              <w:jc w:val="left"/>
              <w:rPr>
                <w:sz w:val="14"/>
              </w:rPr>
            </w:pPr>
            <w:r>
              <w:rPr>
                <w:sz w:val="14"/>
              </w:rPr>
              <w:t>Surplus/(deficit) from the previous year</w:t>
            </w:r>
          </w:p>
        </w:tc>
        <w:tc>
          <w:tcPr>
            <w:tcW w:w="4726" w:type="dxa"/>
          </w:tcPr>
          <w:p>
            <w:pPr/>
          </w:p>
        </w:tc>
        <w:tc>
          <w:tcPr>
            <w:tcW w:w="920" w:type="dxa"/>
            <w:tcBorders>
              <w:bottom w:val="single" w:sz="0" w:space="0" w:color="000000"/>
            </w:tcBorders>
          </w:tcPr>
          <w:p>
            <w:pPr>
              <w:pStyle w:val="TableParagraph"/>
              <w:spacing w:before="21"/>
              <w:ind w:right="143"/>
              <w:rPr>
                <w:sz w:val="14"/>
              </w:rPr>
            </w:pPr>
            <w:r>
              <w:rPr>
                <w:sz w:val="14"/>
              </w:rPr>
              <w:t>8,365</w:t>
            </w:r>
          </w:p>
        </w:tc>
        <w:tc>
          <w:tcPr>
            <w:tcW w:w="724" w:type="dxa"/>
            <w:tcBorders>
              <w:bottom w:val="single" w:sz="0" w:space="0" w:color="000000"/>
            </w:tcBorders>
          </w:tcPr>
          <w:p>
            <w:pPr>
              <w:pStyle w:val="TableParagraph"/>
              <w:spacing w:before="21"/>
              <w:ind w:right="68"/>
              <w:rPr>
                <w:sz w:val="14"/>
              </w:rPr>
            </w:pPr>
            <w:r>
              <w:rPr>
                <w:sz w:val="14"/>
              </w:rPr>
              <w:t>6,843</w:t>
            </w:r>
          </w:p>
        </w:tc>
      </w:tr>
      <w:tr>
        <w:trPr>
          <w:trHeight w:val="237" w:hRule="exact"/>
        </w:trPr>
        <w:tc>
          <w:tcPr>
            <w:tcW w:w="7513" w:type="dxa"/>
          </w:tcPr>
          <w:p>
            <w:pPr>
              <w:pStyle w:val="TableParagraph"/>
              <w:spacing w:before="41"/>
              <w:ind w:left="35" w:right="4244"/>
              <w:jc w:val="left"/>
              <w:rPr>
                <w:sz w:val="14"/>
              </w:rPr>
            </w:pPr>
            <w:r>
              <w:rPr>
                <w:sz w:val="14"/>
              </w:rPr>
              <w:t>Total revenue including accrued revenue</w:t>
            </w:r>
          </w:p>
        </w:tc>
        <w:tc>
          <w:tcPr>
            <w:tcW w:w="4726" w:type="dxa"/>
          </w:tcPr>
          <w:p>
            <w:pPr/>
          </w:p>
        </w:tc>
        <w:tc>
          <w:tcPr>
            <w:tcW w:w="920" w:type="dxa"/>
            <w:tcBorders>
              <w:top w:val="single" w:sz="0" w:space="0" w:color="000000"/>
            </w:tcBorders>
          </w:tcPr>
          <w:p>
            <w:pPr>
              <w:pStyle w:val="TableParagraph"/>
              <w:spacing w:before="39"/>
              <w:ind w:right="143"/>
              <w:rPr>
                <w:sz w:val="14"/>
              </w:rPr>
            </w:pPr>
            <w:r>
              <w:rPr>
                <w:sz w:val="14"/>
              </w:rPr>
              <w:t>320,338</w:t>
            </w:r>
          </w:p>
        </w:tc>
        <w:tc>
          <w:tcPr>
            <w:tcW w:w="724" w:type="dxa"/>
            <w:tcBorders>
              <w:top w:val="single" w:sz="0" w:space="0" w:color="000000"/>
            </w:tcBorders>
          </w:tcPr>
          <w:p>
            <w:pPr>
              <w:pStyle w:val="TableParagraph"/>
              <w:spacing w:before="39"/>
              <w:ind w:right="68"/>
              <w:rPr>
                <w:sz w:val="14"/>
              </w:rPr>
            </w:pPr>
            <w:r>
              <w:rPr>
                <w:sz w:val="14"/>
              </w:rPr>
              <w:t>310,029</w:t>
            </w:r>
          </w:p>
        </w:tc>
      </w:tr>
      <w:tr>
        <w:trPr>
          <w:trHeight w:val="219" w:hRule="exact"/>
        </w:trPr>
        <w:tc>
          <w:tcPr>
            <w:tcW w:w="7513" w:type="dxa"/>
          </w:tcPr>
          <w:p>
            <w:pPr>
              <w:pStyle w:val="TableParagraph"/>
              <w:spacing w:before="22"/>
              <w:ind w:left="35" w:right="4244"/>
              <w:jc w:val="left"/>
              <w:rPr>
                <w:sz w:val="14"/>
              </w:rPr>
            </w:pPr>
            <w:r>
              <w:rPr>
                <w:sz w:val="14"/>
              </w:rPr>
              <w:t>Less expenses including accrued expenses</w:t>
            </w:r>
          </w:p>
        </w:tc>
        <w:tc>
          <w:tcPr>
            <w:tcW w:w="4726" w:type="dxa"/>
          </w:tcPr>
          <w:p>
            <w:pPr/>
          </w:p>
        </w:tc>
        <w:tc>
          <w:tcPr>
            <w:tcW w:w="920" w:type="dxa"/>
            <w:tcBorders>
              <w:bottom w:val="single" w:sz="0" w:space="0" w:color="000000"/>
            </w:tcBorders>
          </w:tcPr>
          <w:p>
            <w:pPr>
              <w:pStyle w:val="TableParagraph"/>
              <w:spacing w:before="21"/>
              <w:ind w:right="97"/>
              <w:rPr>
                <w:sz w:val="14"/>
              </w:rPr>
            </w:pPr>
            <w:r>
              <w:rPr>
                <w:sz w:val="14"/>
              </w:rPr>
              <w:t>(310,250)</w:t>
            </w:r>
          </w:p>
        </w:tc>
        <w:tc>
          <w:tcPr>
            <w:tcW w:w="724" w:type="dxa"/>
            <w:tcBorders>
              <w:bottom w:val="single" w:sz="0" w:space="0" w:color="000000"/>
            </w:tcBorders>
          </w:tcPr>
          <w:p>
            <w:pPr>
              <w:pStyle w:val="TableParagraph"/>
              <w:spacing w:before="21"/>
              <w:ind w:right="22"/>
              <w:rPr>
                <w:sz w:val="14"/>
              </w:rPr>
            </w:pPr>
            <w:r>
              <w:rPr>
                <w:sz w:val="14"/>
              </w:rPr>
              <w:t>(301,664)</w:t>
            </w:r>
          </w:p>
        </w:tc>
      </w:tr>
      <w:tr>
        <w:trPr>
          <w:trHeight w:val="253" w:hRule="exact"/>
        </w:trPr>
        <w:tc>
          <w:tcPr>
            <w:tcW w:w="7513" w:type="dxa"/>
          </w:tcPr>
          <w:p>
            <w:pPr>
              <w:pStyle w:val="TableParagraph"/>
              <w:spacing w:before="41"/>
              <w:ind w:left="35" w:right="4244"/>
              <w:jc w:val="left"/>
              <w:rPr>
                <w:sz w:val="14"/>
              </w:rPr>
            </w:pPr>
            <w:r>
              <w:rPr>
                <w:sz w:val="14"/>
              </w:rPr>
              <w:t>Surplus/(deficit) for the reporting period</w:t>
            </w:r>
          </w:p>
        </w:tc>
        <w:tc>
          <w:tcPr>
            <w:tcW w:w="4726" w:type="dxa"/>
          </w:tcPr>
          <w:p>
            <w:pPr/>
          </w:p>
        </w:tc>
        <w:tc>
          <w:tcPr>
            <w:tcW w:w="920" w:type="dxa"/>
            <w:tcBorders>
              <w:top w:val="single" w:sz="0" w:space="0" w:color="000000"/>
              <w:bottom w:val="single" w:sz="0" w:space="0" w:color="000000"/>
            </w:tcBorders>
          </w:tcPr>
          <w:p>
            <w:pPr>
              <w:pStyle w:val="TableParagraph"/>
              <w:spacing w:before="39"/>
              <w:ind w:right="143"/>
              <w:rPr>
                <w:sz w:val="14"/>
              </w:rPr>
            </w:pPr>
            <w:r>
              <w:rPr>
                <w:sz w:val="14"/>
              </w:rPr>
              <w:t>10,088</w:t>
            </w:r>
          </w:p>
        </w:tc>
        <w:tc>
          <w:tcPr>
            <w:tcW w:w="724" w:type="dxa"/>
            <w:tcBorders>
              <w:top w:val="single" w:sz="0" w:space="0" w:color="000000"/>
              <w:bottom w:val="single" w:sz="0" w:space="0" w:color="000000"/>
            </w:tcBorders>
          </w:tcPr>
          <w:p>
            <w:pPr>
              <w:pStyle w:val="TableParagraph"/>
              <w:spacing w:before="39"/>
              <w:ind w:right="68"/>
              <w:rPr>
                <w:sz w:val="14"/>
              </w:rPr>
            </w:pPr>
            <w:r>
              <w:rPr>
                <w:sz w:val="14"/>
              </w:rPr>
              <w:t>8,365</w:t>
            </w:r>
          </w:p>
        </w:tc>
      </w:tr>
    </w:tbl>
    <w:p>
      <w:pPr>
        <w:pStyle w:val="BodyText"/>
        <w:spacing w:before="2"/>
        <w:rPr>
          <w:b/>
          <w:sz w:val="20"/>
        </w:rPr>
      </w:pPr>
    </w:p>
    <w:p>
      <w:pPr>
        <w:spacing w:before="83"/>
        <w:ind w:left="2538" w:right="0" w:firstLine="0"/>
        <w:jc w:val="left"/>
        <w:rPr>
          <w:sz w:val="14"/>
        </w:rPr>
      </w:pPr>
      <w:r>
        <w:rPr>
          <w:sz w:val="14"/>
        </w:rPr>
        <w:t>#1 Basic CGS grant amount, CGS – Regional Loading, CGS – Enabling Loading, Maths and Science Transition Loading and Full Fee Places Transition Loading.</w:t>
      </w:r>
    </w:p>
    <w:p>
      <w:pPr>
        <w:spacing w:before="55"/>
        <w:ind w:left="2538" w:right="0" w:firstLine="0"/>
        <w:jc w:val="left"/>
        <w:rPr>
          <w:sz w:val="14"/>
        </w:rPr>
      </w:pPr>
      <w:r>
        <w:rPr>
          <w:sz w:val="14"/>
        </w:rPr>
        <w:t>#2 Includes Equity Support Program.</w:t>
      </w:r>
    </w:p>
    <w:p>
      <w:pPr>
        <w:spacing w:before="55"/>
        <w:ind w:left="2538" w:right="0" w:firstLine="0"/>
        <w:jc w:val="left"/>
        <w:rPr>
          <w:sz w:val="14"/>
        </w:rPr>
      </w:pPr>
      <w:r>
        <w:rPr>
          <w:sz w:val="14"/>
        </w:rPr>
        <w:t>#3 Includes Collaboration and Structural Adjustments Program</w:t>
      </w:r>
    </w:p>
    <w:p>
      <w:pPr>
        <w:spacing w:after="0"/>
        <w:jc w:val="left"/>
        <w:rPr>
          <w:sz w:val="14"/>
        </w:rPr>
        <w:sectPr>
          <w:type w:val="continuous"/>
          <w:pgSz w:w="16840" w:h="11910" w:orient="landscape"/>
          <w:pgMar w:top="1660" w:bottom="0" w:left="0" w:right="0"/>
        </w:sectPr>
      </w:pPr>
    </w:p>
    <w:p>
      <w:pPr>
        <w:pStyle w:val="BodyText"/>
        <w:rPr>
          <w:sz w:val="20"/>
        </w:rPr>
      </w:pPr>
    </w:p>
    <w:p>
      <w:pPr>
        <w:pStyle w:val="BodyText"/>
        <w:rPr>
          <w:sz w:val="20"/>
        </w:rPr>
      </w:pPr>
    </w:p>
    <w:p>
      <w:pPr>
        <w:spacing w:after="0"/>
        <w:rPr>
          <w:sz w:val="20"/>
        </w:rPr>
        <w:sectPr>
          <w:pgSz w:w="16840" w:h="11910" w:orient="landscape"/>
          <w:pgMar w:header="38" w:footer="507" w:top="2220" w:bottom="700" w:left="0" w:right="0"/>
        </w:sectPr>
      </w:pPr>
    </w:p>
    <w:p>
      <w:pPr>
        <w:pStyle w:val="BodyText"/>
        <w:spacing w:before="4"/>
      </w:pPr>
    </w:p>
    <w:p>
      <w:pPr>
        <w:pStyle w:val="Heading8"/>
        <w:tabs>
          <w:tab w:pos="1971" w:val="left" w:leader="none"/>
        </w:tabs>
        <w:ind w:left="1404"/>
      </w:pPr>
      <w:bookmarkStart w:name="(b) Higher education loan programmes (ex" w:id="153"/>
      <w:bookmarkEnd w:id="153"/>
      <w:r>
        <w:rPr>
          <w:b w:val="0"/>
        </w:rPr>
      </w:r>
      <w:r>
        <w:rPr/>
        <w:t>40</w:t>
        <w:tab/>
        <w:t>Acquittal of Australian Government Financial Assistance</w:t>
      </w:r>
      <w:r>
        <w:rPr>
          <w:spacing w:val="-24"/>
        </w:rPr>
        <w:t> </w:t>
      </w:r>
      <w:r>
        <w:rPr/>
        <w:t>(continued)</w:t>
      </w:r>
    </w:p>
    <w:p>
      <w:pPr>
        <w:pStyle w:val="ListParagraph"/>
        <w:numPr>
          <w:ilvl w:val="1"/>
          <w:numId w:val="33"/>
        </w:numPr>
        <w:tabs>
          <w:tab w:pos="1972" w:val="left" w:leader="none"/>
        </w:tabs>
        <w:spacing w:line="240" w:lineRule="auto" w:before="131" w:after="0"/>
        <w:ind w:left="1971" w:right="0" w:hanging="566"/>
        <w:jc w:val="left"/>
        <w:rPr>
          <w:sz w:val="18"/>
        </w:rPr>
      </w:pPr>
      <w:r>
        <w:rPr>
          <w:sz w:val="18"/>
        </w:rPr>
        <w:t>Higher</w:t>
      </w:r>
      <w:r>
        <w:rPr>
          <w:spacing w:val="-9"/>
          <w:sz w:val="18"/>
        </w:rPr>
        <w:t> </w:t>
      </w:r>
      <w:r>
        <w:rPr>
          <w:sz w:val="18"/>
        </w:rPr>
        <w:t>education</w:t>
      </w:r>
      <w:r>
        <w:rPr>
          <w:spacing w:val="-9"/>
          <w:sz w:val="18"/>
        </w:rPr>
        <w:t> </w:t>
      </w:r>
      <w:r>
        <w:rPr>
          <w:sz w:val="18"/>
        </w:rPr>
        <w:t>loan</w:t>
      </w:r>
      <w:r>
        <w:rPr>
          <w:spacing w:val="-9"/>
          <w:sz w:val="18"/>
        </w:rPr>
        <w:t> </w:t>
      </w:r>
      <w:r>
        <w:rPr>
          <w:sz w:val="18"/>
        </w:rPr>
        <w:t>programmes</w:t>
      </w:r>
      <w:r>
        <w:rPr>
          <w:spacing w:val="-9"/>
          <w:sz w:val="18"/>
        </w:rPr>
        <w:t> </w:t>
      </w:r>
      <w:r>
        <w:rPr>
          <w:sz w:val="18"/>
        </w:rPr>
        <w:t>(excl</w:t>
      </w:r>
      <w:r>
        <w:rPr>
          <w:spacing w:val="-9"/>
          <w:sz w:val="18"/>
        </w:rPr>
        <w:t> </w:t>
      </w:r>
      <w:r>
        <w:rPr>
          <w:sz w:val="18"/>
        </w:rPr>
        <w:t>OS-HELP)</w:t>
      </w:r>
    </w:p>
    <w:p>
      <w:pPr>
        <w:pStyle w:val="BodyText"/>
        <w:rPr>
          <w:sz w:val="14"/>
        </w:rPr>
      </w:pPr>
      <w:r>
        <w:rPr/>
        <w:br w:type="column"/>
      </w:r>
      <w:r>
        <w:rPr>
          <w:sz w:val="14"/>
        </w:rPr>
      </w:r>
    </w:p>
    <w:p>
      <w:pPr>
        <w:pStyle w:val="BodyText"/>
        <w:rPr>
          <w:sz w:val="14"/>
        </w:rPr>
      </w:pPr>
    </w:p>
    <w:p>
      <w:pPr>
        <w:pStyle w:val="BodyText"/>
        <w:rPr>
          <w:sz w:val="14"/>
        </w:rPr>
      </w:pPr>
    </w:p>
    <w:p>
      <w:pPr>
        <w:pStyle w:val="BodyText"/>
        <w:rPr>
          <w:sz w:val="14"/>
        </w:rPr>
      </w:pPr>
    </w:p>
    <w:p>
      <w:pPr>
        <w:pStyle w:val="BodyText"/>
        <w:spacing w:before="1"/>
        <w:rPr>
          <w:sz w:val="13"/>
        </w:rPr>
      </w:pPr>
    </w:p>
    <w:p>
      <w:pPr>
        <w:spacing w:before="0"/>
        <w:ind w:left="1383" w:right="5943" w:firstLine="0"/>
        <w:jc w:val="center"/>
        <w:rPr>
          <w:b/>
          <w:sz w:val="14"/>
        </w:rPr>
      </w:pPr>
      <w:r>
        <w:rPr>
          <w:b/>
          <w:sz w:val="14"/>
        </w:rPr>
        <w:t>HECS-HELP (Aust.</w:t>
      </w:r>
    </w:p>
    <w:p>
      <w:pPr>
        <w:spacing w:before="0"/>
        <w:ind w:left="1384" w:right="5943" w:firstLine="0"/>
        <w:jc w:val="center"/>
        <w:rPr>
          <w:b/>
          <w:sz w:val="14"/>
        </w:rPr>
      </w:pPr>
      <w:r>
        <w:rPr>
          <w:b/>
          <w:sz w:val="14"/>
        </w:rPr>
        <w:t>Government payments</w:t>
      </w:r>
    </w:p>
    <w:p>
      <w:pPr>
        <w:tabs>
          <w:tab w:pos="3359" w:val="left" w:leader="none"/>
          <w:tab w:pos="5143" w:val="left" w:leader="none"/>
          <w:tab w:pos="6925" w:val="left" w:leader="none"/>
        </w:tabs>
        <w:spacing w:before="0"/>
        <w:ind w:left="1995" w:right="0" w:firstLine="0"/>
        <w:jc w:val="left"/>
        <w:rPr>
          <w:b/>
          <w:sz w:val="14"/>
        </w:rPr>
      </w:pPr>
      <w:r>
        <w:rPr>
          <w:b/>
          <w:sz w:val="14"/>
        </w:rPr>
        <w:t>only)</w:t>
        <w:tab/>
        <w:t>FEE-HELP</w:t>
      </w:r>
      <w:r>
        <w:rPr>
          <w:b/>
          <w:spacing w:val="-3"/>
          <w:sz w:val="14"/>
        </w:rPr>
        <w:t> </w:t>
      </w:r>
      <w:r>
        <w:rPr>
          <w:b/>
          <w:sz w:val="14"/>
        </w:rPr>
        <w:t>#4</w:t>
        <w:tab/>
        <w:t>SA-HELP</w:t>
        <w:tab/>
        <w:t>Total</w:t>
      </w:r>
    </w:p>
    <w:p>
      <w:pPr>
        <w:spacing w:after="0"/>
        <w:jc w:val="left"/>
        <w:rPr>
          <w:sz w:val="14"/>
        </w:rPr>
        <w:sectPr>
          <w:type w:val="continuous"/>
          <w:pgSz w:w="16840" w:h="11910" w:orient="landscape"/>
          <w:pgMar w:top="1660" w:bottom="0" w:left="0" w:right="0"/>
          <w:cols w:num="2" w:equalWidth="0">
            <w:col w:w="7847" w:space="107"/>
            <w:col w:w="8886"/>
          </w:cols>
        </w:sectPr>
      </w:pPr>
    </w:p>
    <w:p>
      <w:pPr>
        <w:pStyle w:val="BodyText"/>
        <w:rPr>
          <w:b/>
          <w:sz w:val="14"/>
        </w:rPr>
      </w:pPr>
    </w:p>
    <w:p>
      <w:pPr>
        <w:pStyle w:val="BodyText"/>
        <w:spacing w:before="7"/>
        <w:rPr>
          <w:b/>
          <w:sz w:val="11"/>
        </w:rPr>
      </w:pPr>
    </w:p>
    <w:p>
      <w:pPr>
        <w:tabs>
          <w:tab w:pos="8881" w:val="left" w:leader="none"/>
        </w:tabs>
        <w:spacing w:before="0"/>
        <w:ind w:left="2005" w:right="0" w:firstLine="0"/>
        <w:jc w:val="left"/>
        <w:rPr>
          <w:b/>
          <w:sz w:val="14"/>
        </w:rPr>
      </w:pPr>
      <w:r>
        <w:rPr>
          <w:b/>
          <w:sz w:val="14"/>
        </w:rPr>
        <w:t>Parent Entity</w:t>
      </w:r>
      <w:r>
        <w:rPr>
          <w:b/>
          <w:spacing w:val="-5"/>
          <w:sz w:val="14"/>
        </w:rPr>
        <w:t> </w:t>
      </w:r>
      <w:r>
        <w:rPr>
          <w:b/>
          <w:sz w:val="14"/>
        </w:rPr>
        <w:t>(University) Only</w:t>
        <w:tab/>
      </w:r>
      <w:r>
        <w:rPr>
          <w:b/>
          <w:spacing w:val="-1"/>
          <w:sz w:val="14"/>
        </w:rPr>
        <w:t>Note</w:t>
      </w:r>
    </w:p>
    <w:p>
      <w:pPr>
        <w:spacing w:before="61"/>
        <w:ind w:left="2005" w:right="0" w:firstLine="0"/>
        <w:jc w:val="left"/>
        <w:rPr>
          <w:sz w:val="14"/>
        </w:rPr>
      </w:pPr>
      <w:r>
        <w:rPr>
          <w:sz w:val="14"/>
        </w:rPr>
        <w:t>Cash Payable/(Receivable) at the beginning of the</w:t>
      </w:r>
    </w:p>
    <w:p>
      <w:pPr>
        <w:spacing w:before="67"/>
        <w:ind w:left="316" w:right="-2" w:firstLine="0"/>
        <w:jc w:val="left"/>
        <w:rPr>
          <w:b/>
          <w:sz w:val="14"/>
        </w:rPr>
      </w:pPr>
      <w:r>
        <w:rPr/>
        <w:br w:type="column"/>
      </w:r>
      <w:r>
        <w:rPr>
          <w:b/>
          <w:sz w:val="14"/>
        </w:rPr>
        <w:t>2016</w:t>
      </w:r>
    </w:p>
    <w:p>
      <w:pPr>
        <w:spacing w:before="67"/>
        <w:ind w:left="299" w:right="-18" w:firstLine="0"/>
        <w:jc w:val="left"/>
        <w:rPr>
          <w:b/>
          <w:sz w:val="14"/>
        </w:rPr>
      </w:pPr>
      <w:r>
        <w:rPr>
          <w:b/>
          <w:sz w:val="14"/>
        </w:rPr>
        <w:t>$'000</w:t>
      </w:r>
    </w:p>
    <w:p>
      <w:pPr>
        <w:spacing w:before="67"/>
        <w:ind w:left="441" w:right="-3" w:firstLine="0"/>
        <w:jc w:val="left"/>
        <w:rPr>
          <w:b/>
          <w:sz w:val="14"/>
        </w:rPr>
      </w:pPr>
      <w:r>
        <w:rPr/>
        <w:br w:type="column"/>
      </w:r>
      <w:r>
        <w:rPr>
          <w:b/>
          <w:sz w:val="14"/>
        </w:rPr>
        <w:t>2015</w:t>
      </w:r>
    </w:p>
    <w:p>
      <w:pPr>
        <w:spacing w:before="67"/>
        <w:ind w:left="424" w:right="-19" w:firstLine="0"/>
        <w:jc w:val="left"/>
        <w:rPr>
          <w:b/>
          <w:sz w:val="14"/>
        </w:rPr>
      </w:pPr>
      <w:r>
        <w:rPr>
          <w:b/>
          <w:sz w:val="14"/>
        </w:rPr>
        <w:t>$'000</w:t>
      </w:r>
    </w:p>
    <w:p>
      <w:pPr>
        <w:spacing w:before="67"/>
        <w:ind w:left="465" w:right="-3" w:firstLine="0"/>
        <w:jc w:val="left"/>
        <w:rPr>
          <w:b/>
          <w:sz w:val="14"/>
        </w:rPr>
      </w:pPr>
      <w:r>
        <w:rPr/>
        <w:br w:type="column"/>
      </w:r>
      <w:r>
        <w:rPr>
          <w:b/>
          <w:sz w:val="14"/>
        </w:rPr>
        <w:t>2016</w:t>
      </w:r>
    </w:p>
    <w:p>
      <w:pPr>
        <w:spacing w:before="67"/>
        <w:ind w:left="448" w:right="-19" w:firstLine="0"/>
        <w:jc w:val="left"/>
        <w:rPr>
          <w:b/>
          <w:sz w:val="14"/>
        </w:rPr>
      </w:pPr>
      <w:r>
        <w:rPr>
          <w:b/>
          <w:sz w:val="14"/>
        </w:rPr>
        <w:t>$'000</w:t>
      </w:r>
    </w:p>
    <w:p>
      <w:pPr>
        <w:spacing w:before="67"/>
        <w:ind w:left="441" w:right="-3" w:firstLine="0"/>
        <w:jc w:val="left"/>
        <w:rPr>
          <w:b/>
          <w:sz w:val="14"/>
        </w:rPr>
      </w:pPr>
      <w:r>
        <w:rPr/>
        <w:br w:type="column"/>
      </w:r>
      <w:r>
        <w:rPr>
          <w:b/>
          <w:sz w:val="14"/>
        </w:rPr>
        <w:t>2015</w:t>
      </w:r>
    </w:p>
    <w:p>
      <w:pPr>
        <w:spacing w:before="67"/>
        <w:ind w:left="424" w:right="-19" w:firstLine="0"/>
        <w:jc w:val="left"/>
        <w:rPr>
          <w:b/>
          <w:sz w:val="14"/>
        </w:rPr>
      </w:pPr>
      <w:r>
        <w:rPr>
          <w:b/>
          <w:sz w:val="14"/>
        </w:rPr>
        <w:t>$'000</w:t>
      </w:r>
    </w:p>
    <w:p>
      <w:pPr>
        <w:spacing w:before="67"/>
        <w:ind w:left="465" w:right="-3" w:firstLine="0"/>
        <w:jc w:val="left"/>
        <w:rPr>
          <w:b/>
          <w:sz w:val="14"/>
        </w:rPr>
      </w:pPr>
      <w:r>
        <w:rPr/>
        <w:br w:type="column"/>
      </w:r>
      <w:r>
        <w:rPr>
          <w:b/>
          <w:sz w:val="14"/>
        </w:rPr>
        <w:t>2016</w:t>
      </w:r>
    </w:p>
    <w:p>
      <w:pPr>
        <w:spacing w:before="67"/>
        <w:ind w:left="448" w:right="-19" w:firstLine="0"/>
        <w:jc w:val="left"/>
        <w:rPr>
          <w:b/>
          <w:sz w:val="14"/>
        </w:rPr>
      </w:pPr>
      <w:r>
        <w:rPr>
          <w:b/>
          <w:sz w:val="14"/>
        </w:rPr>
        <w:t>$'000</w:t>
      </w:r>
    </w:p>
    <w:p>
      <w:pPr>
        <w:spacing w:before="67"/>
        <w:ind w:left="441" w:right="-3" w:firstLine="0"/>
        <w:jc w:val="left"/>
        <w:rPr>
          <w:b/>
          <w:sz w:val="14"/>
        </w:rPr>
      </w:pPr>
      <w:r>
        <w:rPr/>
        <w:br w:type="column"/>
      </w:r>
      <w:r>
        <w:rPr>
          <w:b/>
          <w:sz w:val="14"/>
        </w:rPr>
        <w:t>2015</w:t>
      </w:r>
    </w:p>
    <w:p>
      <w:pPr>
        <w:spacing w:before="67"/>
        <w:ind w:left="424" w:right="-19" w:firstLine="0"/>
        <w:jc w:val="left"/>
        <w:rPr>
          <w:b/>
          <w:sz w:val="14"/>
        </w:rPr>
      </w:pPr>
      <w:r>
        <w:rPr>
          <w:b/>
          <w:sz w:val="14"/>
        </w:rPr>
        <w:t>$'000</w:t>
      </w:r>
    </w:p>
    <w:p>
      <w:pPr>
        <w:spacing w:before="67"/>
        <w:ind w:left="465" w:right="-3" w:firstLine="0"/>
        <w:jc w:val="left"/>
        <w:rPr>
          <w:b/>
          <w:sz w:val="14"/>
        </w:rPr>
      </w:pPr>
      <w:r>
        <w:rPr/>
        <w:br w:type="column"/>
      </w:r>
      <w:r>
        <w:rPr>
          <w:b/>
          <w:sz w:val="14"/>
        </w:rPr>
        <w:t>2016</w:t>
      </w:r>
    </w:p>
    <w:p>
      <w:pPr>
        <w:spacing w:before="67"/>
        <w:ind w:left="448" w:right="-19" w:firstLine="0"/>
        <w:jc w:val="left"/>
        <w:rPr>
          <w:b/>
          <w:sz w:val="14"/>
        </w:rPr>
      </w:pPr>
      <w:r>
        <w:rPr>
          <w:b/>
          <w:sz w:val="14"/>
        </w:rPr>
        <w:t>$'000</w:t>
      </w:r>
    </w:p>
    <w:p>
      <w:pPr>
        <w:spacing w:before="67"/>
        <w:ind w:left="441" w:right="0" w:firstLine="0"/>
        <w:jc w:val="left"/>
        <w:rPr>
          <w:b/>
          <w:sz w:val="14"/>
        </w:rPr>
      </w:pPr>
      <w:r>
        <w:rPr/>
        <w:br w:type="column"/>
      </w:r>
      <w:r>
        <w:rPr>
          <w:b/>
          <w:sz w:val="14"/>
        </w:rPr>
        <w:t>2015</w:t>
      </w:r>
    </w:p>
    <w:p>
      <w:pPr>
        <w:spacing w:before="67"/>
        <w:ind w:left="424" w:right="0" w:firstLine="0"/>
        <w:jc w:val="left"/>
        <w:rPr>
          <w:b/>
          <w:sz w:val="14"/>
        </w:rPr>
      </w:pPr>
      <w:r>
        <w:rPr>
          <w:b/>
          <w:sz w:val="14"/>
        </w:rPr>
        <w:t>$'000</w:t>
      </w:r>
    </w:p>
    <w:p>
      <w:pPr>
        <w:spacing w:after="0"/>
        <w:jc w:val="left"/>
        <w:rPr>
          <w:sz w:val="14"/>
        </w:rPr>
        <w:sectPr>
          <w:type w:val="continuous"/>
          <w:pgSz w:w="16840" w:h="11910" w:orient="landscape"/>
          <w:pgMar w:top="1660" w:bottom="0" w:left="0" w:right="0"/>
          <w:cols w:num="9" w:equalWidth="0">
            <w:col w:w="9192" w:space="40"/>
            <w:col w:w="646" w:space="40"/>
            <w:col w:w="770" w:space="40"/>
            <w:col w:w="794" w:space="40"/>
            <w:col w:w="770" w:space="40"/>
            <w:col w:w="794" w:space="40"/>
            <w:col w:w="770" w:space="40"/>
            <w:col w:w="794" w:space="40"/>
            <w:col w:w="1990"/>
          </w:cols>
        </w:sectPr>
      </w:pPr>
    </w:p>
    <w:p>
      <w:pPr>
        <w:tabs>
          <w:tab w:pos="1970" w:val="left" w:leader="none"/>
          <w:tab w:pos="16525" w:val="left" w:leader="none"/>
        </w:tabs>
        <w:spacing w:line="240" w:lineRule="auto"/>
        <w:ind w:left="67" w:right="0" w:firstLine="0"/>
        <w:rPr>
          <w:sz w:val="20"/>
        </w:rPr>
      </w:pPr>
      <w:r>
        <w:rPr>
          <w:sz w:val="20"/>
        </w:rPr>
        <w:drawing>
          <wp:inline distT="0" distB="0" distL="0" distR="0">
            <wp:extent cx="154019" cy="154019"/>
            <wp:effectExtent l="0" t="0" r="0" b="0"/>
            <wp:docPr id="381" name="image25.png" descr=""/>
            <wp:cNvGraphicFramePr>
              <a:graphicFrameLocks noChangeAspect="1"/>
            </wp:cNvGraphicFramePr>
            <a:graphic>
              <a:graphicData uri="http://schemas.openxmlformats.org/drawingml/2006/picture">
                <pic:pic>
                  <pic:nvPicPr>
                    <pic:cNvPr id="382" name="image25.png"/>
                    <pic:cNvPicPr/>
                  </pic:nvPicPr>
                  <pic:blipFill>
                    <a:blip r:embed="rId41" cstate="print"/>
                    <a:stretch>
                      <a:fillRect/>
                    </a:stretch>
                  </pic:blipFill>
                  <pic:spPr>
                    <a:xfrm>
                      <a:off x="0" y="0"/>
                      <a:ext cx="154019" cy="154019"/>
                    </a:xfrm>
                    <a:prstGeom prst="rect">
                      <a:avLst/>
                    </a:prstGeom>
                  </pic:spPr>
                </pic:pic>
              </a:graphicData>
            </a:graphic>
          </wp:inline>
        </w:drawing>
      </w:r>
      <w:r>
        <w:rPr>
          <w:sz w:val="20"/>
        </w:rPr>
      </w:r>
      <w:r>
        <w:rPr>
          <w:sz w:val="20"/>
        </w:rPr>
        <w:tab/>
      </w:r>
      <w:r>
        <w:rPr>
          <w:position w:val="13"/>
          <w:sz w:val="20"/>
        </w:rPr>
        <w:pict>
          <v:shape style="width:694.45pt;height:64.25pt;mso-position-horizontal-relative:char;mso-position-vertical-relative:line" type="#_x0000_t202" filled="false" stroked="false">
            <w10:anchorlock/>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972"/>
                    <w:gridCol w:w="2341"/>
                    <w:gridCol w:w="920"/>
                    <w:gridCol w:w="861"/>
                    <w:gridCol w:w="884"/>
                    <w:gridCol w:w="822"/>
                    <w:gridCol w:w="822"/>
                    <w:gridCol w:w="744"/>
                    <w:gridCol w:w="822"/>
                    <w:gridCol w:w="701"/>
                  </w:tblGrid>
                  <w:tr>
                    <w:trPr>
                      <w:trHeight w:val="367" w:hRule="exact"/>
                    </w:trPr>
                    <w:tc>
                      <w:tcPr>
                        <w:tcW w:w="4972" w:type="dxa"/>
                      </w:tcPr>
                      <w:p>
                        <w:pPr>
                          <w:pStyle w:val="TableParagraph"/>
                          <w:spacing w:line="145" w:lineRule="exact"/>
                          <w:ind w:left="35"/>
                          <w:jc w:val="left"/>
                          <w:rPr>
                            <w:sz w:val="14"/>
                          </w:rPr>
                        </w:pPr>
                        <w:r>
                          <w:rPr>
                            <w:sz w:val="14"/>
                          </w:rPr>
                          <w:t>year</w:t>
                        </w:r>
                      </w:p>
                      <w:p>
                        <w:pPr>
                          <w:pStyle w:val="TableParagraph"/>
                          <w:spacing w:before="55"/>
                          <w:ind w:left="35"/>
                          <w:jc w:val="left"/>
                          <w:rPr>
                            <w:sz w:val="14"/>
                          </w:rPr>
                        </w:pPr>
                        <w:r>
                          <w:rPr>
                            <w:sz w:val="14"/>
                          </w:rPr>
                          <w:t>Financial assistance received in cash during the</w:t>
                        </w:r>
                      </w:p>
                    </w:tc>
                    <w:tc>
                      <w:tcPr>
                        <w:tcW w:w="2341" w:type="dxa"/>
                      </w:tcPr>
                      <w:p>
                        <w:pPr/>
                      </w:p>
                    </w:tc>
                    <w:tc>
                      <w:tcPr>
                        <w:tcW w:w="920" w:type="dxa"/>
                      </w:tcPr>
                      <w:p>
                        <w:pPr>
                          <w:pStyle w:val="TableParagraph"/>
                          <w:spacing w:line="143" w:lineRule="exact"/>
                          <w:ind w:right="143"/>
                          <w:rPr>
                            <w:sz w:val="14"/>
                          </w:rPr>
                        </w:pPr>
                        <w:r>
                          <w:rPr>
                            <w:sz w:val="14"/>
                          </w:rPr>
                          <w:t>916</w:t>
                        </w:r>
                      </w:p>
                    </w:tc>
                    <w:tc>
                      <w:tcPr>
                        <w:tcW w:w="861" w:type="dxa"/>
                      </w:tcPr>
                      <w:p>
                        <w:pPr>
                          <w:pStyle w:val="TableParagraph"/>
                          <w:spacing w:line="143" w:lineRule="exact"/>
                          <w:ind w:right="205"/>
                          <w:rPr>
                            <w:sz w:val="14"/>
                          </w:rPr>
                        </w:pPr>
                        <w:r>
                          <w:rPr>
                            <w:sz w:val="14"/>
                          </w:rPr>
                          <w:t>889</w:t>
                        </w:r>
                      </w:p>
                    </w:tc>
                    <w:tc>
                      <w:tcPr>
                        <w:tcW w:w="884" w:type="dxa"/>
                      </w:tcPr>
                      <w:p>
                        <w:pPr>
                          <w:pStyle w:val="TableParagraph"/>
                          <w:spacing w:line="143" w:lineRule="exact"/>
                          <w:ind w:left="189" w:right="34"/>
                          <w:jc w:val="center"/>
                          <w:rPr>
                            <w:sz w:val="14"/>
                          </w:rPr>
                        </w:pPr>
                        <w:r>
                          <w:rPr>
                            <w:sz w:val="14"/>
                          </w:rPr>
                          <w:t>(461)</w:t>
                        </w:r>
                      </w:p>
                    </w:tc>
                    <w:tc>
                      <w:tcPr>
                        <w:tcW w:w="822" w:type="dxa"/>
                      </w:tcPr>
                      <w:p>
                        <w:pPr>
                          <w:pStyle w:val="TableParagraph"/>
                          <w:spacing w:line="143" w:lineRule="exact"/>
                          <w:ind w:right="221"/>
                          <w:rPr>
                            <w:sz w:val="14"/>
                          </w:rPr>
                        </w:pPr>
                        <w:r>
                          <w:rPr>
                            <w:sz w:val="14"/>
                          </w:rPr>
                          <w:t>(224)</w:t>
                        </w:r>
                      </w:p>
                    </w:tc>
                    <w:tc>
                      <w:tcPr>
                        <w:tcW w:w="822" w:type="dxa"/>
                      </w:tcPr>
                      <w:p>
                        <w:pPr>
                          <w:pStyle w:val="TableParagraph"/>
                          <w:spacing w:line="143" w:lineRule="exact"/>
                          <w:ind w:right="245"/>
                          <w:rPr>
                            <w:sz w:val="14"/>
                          </w:rPr>
                        </w:pPr>
                        <w:r>
                          <w:rPr>
                            <w:sz w:val="14"/>
                          </w:rPr>
                          <w:t>44</w:t>
                        </w:r>
                      </w:p>
                    </w:tc>
                    <w:tc>
                      <w:tcPr>
                        <w:tcW w:w="744" w:type="dxa"/>
                      </w:tcPr>
                      <w:p>
                        <w:pPr>
                          <w:pStyle w:val="TableParagraph"/>
                          <w:spacing w:line="143" w:lineRule="exact"/>
                          <w:ind w:left="180" w:right="54"/>
                          <w:jc w:val="center"/>
                          <w:rPr>
                            <w:sz w:val="14"/>
                          </w:rPr>
                        </w:pPr>
                        <w:r>
                          <w:rPr>
                            <w:sz w:val="14"/>
                          </w:rPr>
                          <w:t>(263)</w:t>
                        </w:r>
                      </w:p>
                    </w:tc>
                    <w:tc>
                      <w:tcPr>
                        <w:tcW w:w="822" w:type="dxa"/>
                      </w:tcPr>
                      <w:p>
                        <w:pPr>
                          <w:pStyle w:val="TableParagraph"/>
                          <w:spacing w:line="143" w:lineRule="exact"/>
                          <w:ind w:right="167"/>
                          <w:rPr>
                            <w:sz w:val="14"/>
                          </w:rPr>
                        </w:pPr>
                        <w:r>
                          <w:rPr>
                            <w:sz w:val="14"/>
                          </w:rPr>
                          <w:t>499</w:t>
                        </w:r>
                      </w:p>
                    </w:tc>
                    <w:tc>
                      <w:tcPr>
                        <w:tcW w:w="701" w:type="dxa"/>
                      </w:tcPr>
                      <w:p>
                        <w:pPr>
                          <w:pStyle w:val="TableParagraph"/>
                          <w:spacing w:line="143" w:lineRule="exact"/>
                          <w:ind w:right="68"/>
                          <w:rPr>
                            <w:sz w:val="14"/>
                          </w:rPr>
                        </w:pPr>
                        <w:r>
                          <w:rPr>
                            <w:sz w:val="14"/>
                          </w:rPr>
                          <w:t>402</w:t>
                        </w:r>
                      </w:p>
                    </w:tc>
                  </w:tr>
                  <w:tr>
                    <w:trPr>
                      <w:trHeight w:val="190" w:hRule="exact"/>
                    </w:trPr>
                    <w:tc>
                      <w:tcPr>
                        <w:tcW w:w="4972" w:type="dxa"/>
                      </w:tcPr>
                      <w:p>
                        <w:pPr>
                          <w:pStyle w:val="TableParagraph"/>
                          <w:spacing w:line="154" w:lineRule="exact"/>
                          <w:ind w:left="35"/>
                          <w:jc w:val="left"/>
                          <w:rPr>
                            <w:sz w:val="14"/>
                          </w:rPr>
                        </w:pPr>
                        <w:r>
                          <w:rPr>
                            <w:sz w:val="14"/>
                          </w:rPr>
                          <w:t>reporting period</w:t>
                        </w:r>
                      </w:p>
                    </w:tc>
                    <w:tc>
                      <w:tcPr>
                        <w:tcW w:w="2341" w:type="dxa"/>
                      </w:tcPr>
                      <w:p>
                        <w:pPr/>
                      </w:p>
                    </w:tc>
                    <w:tc>
                      <w:tcPr>
                        <w:tcW w:w="920" w:type="dxa"/>
                        <w:tcBorders>
                          <w:bottom w:val="single" w:sz="0" w:space="0" w:color="000000"/>
                        </w:tcBorders>
                      </w:tcPr>
                      <w:p>
                        <w:pPr>
                          <w:pStyle w:val="TableParagraph"/>
                          <w:spacing w:line="153" w:lineRule="exact"/>
                          <w:ind w:right="143"/>
                          <w:rPr>
                            <w:sz w:val="14"/>
                          </w:rPr>
                        </w:pPr>
                        <w:r>
                          <w:rPr>
                            <w:sz w:val="14"/>
                          </w:rPr>
                          <w:t>205,336</w:t>
                        </w:r>
                      </w:p>
                    </w:tc>
                    <w:tc>
                      <w:tcPr>
                        <w:tcW w:w="861" w:type="dxa"/>
                        <w:tcBorders>
                          <w:bottom w:val="single" w:sz="0" w:space="0" w:color="000000"/>
                        </w:tcBorders>
                      </w:tcPr>
                      <w:p>
                        <w:pPr>
                          <w:pStyle w:val="TableParagraph"/>
                          <w:spacing w:line="153" w:lineRule="exact"/>
                          <w:ind w:right="205"/>
                          <w:rPr>
                            <w:sz w:val="14"/>
                          </w:rPr>
                        </w:pPr>
                        <w:r>
                          <w:rPr>
                            <w:sz w:val="14"/>
                          </w:rPr>
                          <w:t>205,005</w:t>
                        </w:r>
                      </w:p>
                    </w:tc>
                    <w:tc>
                      <w:tcPr>
                        <w:tcW w:w="884" w:type="dxa"/>
                        <w:tcBorders>
                          <w:bottom w:val="single" w:sz="0" w:space="0" w:color="000000"/>
                        </w:tcBorders>
                      </w:tcPr>
                      <w:p>
                        <w:pPr>
                          <w:pStyle w:val="TableParagraph"/>
                          <w:spacing w:line="153" w:lineRule="exact"/>
                          <w:ind w:left="144" w:right="181"/>
                          <w:jc w:val="center"/>
                          <w:rPr>
                            <w:sz w:val="14"/>
                          </w:rPr>
                        </w:pPr>
                        <w:r>
                          <w:rPr>
                            <w:sz w:val="14"/>
                          </w:rPr>
                          <w:t>11,060</w:t>
                        </w:r>
                      </w:p>
                    </w:tc>
                    <w:tc>
                      <w:tcPr>
                        <w:tcW w:w="822" w:type="dxa"/>
                        <w:tcBorders>
                          <w:bottom w:val="single" w:sz="0" w:space="0" w:color="000000"/>
                        </w:tcBorders>
                      </w:tcPr>
                      <w:p>
                        <w:pPr>
                          <w:pStyle w:val="TableParagraph"/>
                          <w:spacing w:line="153" w:lineRule="exact"/>
                          <w:ind w:right="267"/>
                          <w:rPr>
                            <w:sz w:val="14"/>
                          </w:rPr>
                        </w:pPr>
                        <w:r>
                          <w:rPr>
                            <w:sz w:val="14"/>
                          </w:rPr>
                          <w:t>8,982</w:t>
                        </w:r>
                      </w:p>
                    </w:tc>
                    <w:tc>
                      <w:tcPr>
                        <w:tcW w:w="822" w:type="dxa"/>
                        <w:tcBorders>
                          <w:bottom w:val="single" w:sz="0" w:space="0" w:color="000000"/>
                        </w:tcBorders>
                      </w:tcPr>
                      <w:p>
                        <w:pPr>
                          <w:pStyle w:val="TableParagraph"/>
                          <w:spacing w:line="153" w:lineRule="exact"/>
                          <w:ind w:right="245"/>
                          <w:rPr>
                            <w:sz w:val="14"/>
                          </w:rPr>
                        </w:pPr>
                        <w:r>
                          <w:rPr>
                            <w:sz w:val="14"/>
                          </w:rPr>
                          <w:t>6,495</w:t>
                        </w:r>
                      </w:p>
                    </w:tc>
                    <w:tc>
                      <w:tcPr>
                        <w:tcW w:w="744" w:type="dxa"/>
                        <w:tcBorders>
                          <w:bottom w:val="single" w:sz="0" w:space="0" w:color="000000"/>
                        </w:tcBorders>
                      </w:tcPr>
                      <w:p>
                        <w:pPr>
                          <w:pStyle w:val="TableParagraph"/>
                          <w:spacing w:line="153" w:lineRule="exact"/>
                          <w:ind w:left="133" w:right="125"/>
                          <w:jc w:val="center"/>
                          <w:rPr>
                            <w:sz w:val="14"/>
                          </w:rPr>
                        </w:pPr>
                        <w:r>
                          <w:rPr>
                            <w:sz w:val="14"/>
                          </w:rPr>
                          <w:t>7,426</w:t>
                        </w:r>
                      </w:p>
                    </w:tc>
                    <w:tc>
                      <w:tcPr>
                        <w:tcW w:w="822" w:type="dxa"/>
                        <w:tcBorders>
                          <w:bottom w:val="single" w:sz="0" w:space="0" w:color="000000"/>
                        </w:tcBorders>
                      </w:tcPr>
                      <w:p>
                        <w:pPr>
                          <w:pStyle w:val="TableParagraph"/>
                          <w:spacing w:line="153" w:lineRule="exact"/>
                          <w:ind w:right="167"/>
                          <w:rPr>
                            <w:sz w:val="14"/>
                          </w:rPr>
                        </w:pPr>
                        <w:r>
                          <w:rPr>
                            <w:sz w:val="14"/>
                          </w:rPr>
                          <w:t>222,891</w:t>
                        </w:r>
                      </w:p>
                    </w:tc>
                    <w:tc>
                      <w:tcPr>
                        <w:tcW w:w="701" w:type="dxa"/>
                        <w:tcBorders>
                          <w:bottom w:val="single" w:sz="0" w:space="0" w:color="000000"/>
                        </w:tcBorders>
                      </w:tcPr>
                      <w:p>
                        <w:pPr>
                          <w:pStyle w:val="TableParagraph"/>
                          <w:spacing w:line="153" w:lineRule="exact"/>
                          <w:ind w:right="68"/>
                          <w:rPr>
                            <w:sz w:val="14"/>
                          </w:rPr>
                        </w:pPr>
                        <w:r>
                          <w:rPr>
                            <w:sz w:val="14"/>
                          </w:rPr>
                          <w:t>221,413</w:t>
                        </w:r>
                      </w:p>
                    </w:tc>
                  </w:tr>
                  <w:tr>
                    <w:trPr>
                      <w:trHeight w:val="238" w:hRule="exact"/>
                    </w:trPr>
                    <w:tc>
                      <w:tcPr>
                        <w:tcW w:w="4972" w:type="dxa"/>
                      </w:tcPr>
                      <w:p>
                        <w:pPr>
                          <w:pStyle w:val="TableParagraph"/>
                          <w:spacing w:before="41"/>
                          <w:ind w:left="35"/>
                          <w:jc w:val="left"/>
                          <w:rPr>
                            <w:sz w:val="14"/>
                          </w:rPr>
                        </w:pPr>
                        <w:r>
                          <w:rPr>
                            <w:sz w:val="14"/>
                          </w:rPr>
                          <w:t>Cash available for the period</w:t>
                        </w:r>
                      </w:p>
                    </w:tc>
                    <w:tc>
                      <w:tcPr>
                        <w:tcW w:w="2341" w:type="dxa"/>
                      </w:tcPr>
                      <w:p>
                        <w:pPr/>
                      </w:p>
                    </w:tc>
                    <w:tc>
                      <w:tcPr>
                        <w:tcW w:w="920" w:type="dxa"/>
                        <w:tcBorders>
                          <w:top w:val="single" w:sz="0" w:space="0" w:color="000000"/>
                          <w:bottom w:val="single" w:sz="0" w:space="0" w:color="000000"/>
                        </w:tcBorders>
                      </w:tcPr>
                      <w:p>
                        <w:pPr>
                          <w:pStyle w:val="TableParagraph"/>
                          <w:spacing w:before="39"/>
                          <w:ind w:right="143"/>
                          <w:rPr>
                            <w:sz w:val="14"/>
                          </w:rPr>
                        </w:pPr>
                        <w:r>
                          <w:rPr>
                            <w:sz w:val="14"/>
                          </w:rPr>
                          <w:t>206,252</w:t>
                        </w:r>
                      </w:p>
                    </w:tc>
                    <w:tc>
                      <w:tcPr>
                        <w:tcW w:w="861" w:type="dxa"/>
                        <w:tcBorders>
                          <w:top w:val="single" w:sz="0" w:space="0" w:color="000000"/>
                          <w:bottom w:val="single" w:sz="0" w:space="0" w:color="000000"/>
                        </w:tcBorders>
                      </w:tcPr>
                      <w:p>
                        <w:pPr>
                          <w:pStyle w:val="TableParagraph"/>
                          <w:spacing w:before="39"/>
                          <w:ind w:right="205"/>
                          <w:rPr>
                            <w:sz w:val="14"/>
                          </w:rPr>
                        </w:pPr>
                        <w:r>
                          <w:rPr>
                            <w:sz w:val="14"/>
                          </w:rPr>
                          <w:t>205,894</w:t>
                        </w:r>
                      </w:p>
                    </w:tc>
                    <w:tc>
                      <w:tcPr>
                        <w:tcW w:w="884" w:type="dxa"/>
                        <w:tcBorders>
                          <w:top w:val="single" w:sz="0" w:space="0" w:color="000000"/>
                          <w:bottom w:val="single" w:sz="0" w:space="0" w:color="000000"/>
                        </w:tcBorders>
                      </w:tcPr>
                      <w:p>
                        <w:pPr>
                          <w:pStyle w:val="TableParagraph"/>
                          <w:spacing w:before="39"/>
                          <w:ind w:left="144" w:right="181"/>
                          <w:jc w:val="center"/>
                          <w:rPr>
                            <w:sz w:val="14"/>
                          </w:rPr>
                        </w:pPr>
                        <w:r>
                          <w:rPr>
                            <w:sz w:val="14"/>
                          </w:rPr>
                          <w:t>10,599</w:t>
                        </w:r>
                      </w:p>
                    </w:tc>
                    <w:tc>
                      <w:tcPr>
                        <w:tcW w:w="822" w:type="dxa"/>
                        <w:tcBorders>
                          <w:top w:val="single" w:sz="0" w:space="0" w:color="000000"/>
                          <w:bottom w:val="single" w:sz="0" w:space="0" w:color="000000"/>
                        </w:tcBorders>
                      </w:tcPr>
                      <w:p>
                        <w:pPr>
                          <w:pStyle w:val="TableParagraph"/>
                          <w:spacing w:before="39"/>
                          <w:ind w:right="267"/>
                          <w:rPr>
                            <w:sz w:val="14"/>
                          </w:rPr>
                        </w:pPr>
                        <w:r>
                          <w:rPr>
                            <w:sz w:val="14"/>
                          </w:rPr>
                          <w:t>8,758</w:t>
                        </w:r>
                      </w:p>
                    </w:tc>
                    <w:tc>
                      <w:tcPr>
                        <w:tcW w:w="822" w:type="dxa"/>
                        <w:tcBorders>
                          <w:top w:val="single" w:sz="0" w:space="0" w:color="000000"/>
                          <w:bottom w:val="single" w:sz="0" w:space="0" w:color="000000"/>
                        </w:tcBorders>
                      </w:tcPr>
                      <w:p>
                        <w:pPr>
                          <w:pStyle w:val="TableParagraph"/>
                          <w:spacing w:before="39"/>
                          <w:ind w:right="245"/>
                          <w:rPr>
                            <w:sz w:val="14"/>
                          </w:rPr>
                        </w:pPr>
                        <w:r>
                          <w:rPr>
                            <w:sz w:val="14"/>
                          </w:rPr>
                          <w:t>6,539</w:t>
                        </w:r>
                      </w:p>
                    </w:tc>
                    <w:tc>
                      <w:tcPr>
                        <w:tcW w:w="744" w:type="dxa"/>
                        <w:tcBorders>
                          <w:top w:val="single" w:sz="0" w:space="0" w:color="000000"/>
                          <w:bottom w:val="single" w:sz="0" w:space="0" w:color="000000"/>
                        </w:tcBorders>
                      </w:tcPr>
                      <w:p>
                        <w:pPr>
                          <w:pStyle w:val="TableParagraph"/>
                          <w:spacing w:before="39"/>
                          <w:ind w:left="133" w:right="125"/>
                          <w:jc w:val="center"/>
                          <w:rPr>
                            <w:sz w:val="14"/>
                          </w:rPr>
                        </w:pPr>
                        <w:r>
                          <w:rPr>
                            <w:sz w:val="14"/>
                          </w:rPr>
                          <w:t>7,163</w:t>
                        </w:r>
                      </w:p>
                    </w:tc>
                    <w:tc>
                      <w:tcPr>
                        <w:tcW w:w="822" w:type="dxa"/>
                        <w:tcBorders>
                          <w:top w:val="single" w:sz="0" w:space="0" w:color="000000"/>
                          <w:bottom w:val="single" w:sz="0" w:space="0" w:color="000000"/>
                        </w:tcBorders>
                      </w:tcPr>
                      <w:p>
                        <w:pPr>
                          <w:pStyle w:val="TableParagraph"/>
                          <w:spacing w:before="39"/>
                          <w:ind w:right="167"/>
                          <w:rPr>
                            <w:sz w:val="14"/>
                          </w:rPr>
                        </w:pPr>
                        <w:r>
                          <w:rPr>
                            <w:sz w:val="14"/>
                          </w:rPr>
                          <w:t>223,390</w:t>
                        </w:r>
                      </w:p>
                    </w:tc>
                    <w:tc>
                      <w:tcPr>
                        <w:tcW w:w="701" w:type="dxa"/>
                        <w:tcBorders>
                          <w:top w:val="single" w:sz="0" w:space="0" w:color="000000"/>
                          <w:bottom w:val="single" w:sz="0" w:space="0" w:color="000000"/>
                        </w:tcBorders>
                      </w:tcPr>
                      <w:p>
                        <w:pPr>
                          <w:pStyle w:val="TableParagraph"/>
                          <w:spacing w:before="39"/>
                          <w:ind w:right="68"/>
                          <w:rPr>
                            <w:sz w:val="14"/>
                          </w:rPr>
                        </w:pPr>
                        <w:r>
                          <w:rPr>
                            <w:sz w:val="14"/>
                          </w:rPr>
                          <w:t>221,815</w:t>
                        </w:r>
                      </w:p>
                    </w:tc>
                  </w:tr>
                  <w:tr>
                    <w:trPr>
                      <w:trHeight w:val="238" w:hRule="exact"/>
                    </w:trPr>
                    <w:tc>
                      <w:tcPr>
                        <w:tcW w:w="4972" w:type="dxa"/>
                      </w:tcPr>
                      <w:p>
                        <w:pPr>
                          <w:pStyle w:val="TableParagraph"/>
                          <w:spacing w:before="41"/>
                          <w:ind w:left="35"/>
                          <w:jc w:val="left"/>
                          <w:rPr>
                            <w:sz w:val="14"/>
                          </w:rPr>
                        </w:pPr>
                        <w:r>
                          <w:rPr>
                            <w:sz w:val="14"/>
                          </w:rPr>
                          <w:t>Revenue earned</w:t>
                        </w:r>
                      </w:p>
                    </w:tc>
                    <w:tc>
                      <w:tcPr>
                        <w:tcW w:w="2341" w:type="dxa"/>
                      </w:tcPr>
                      <w:p>
                        <w:pPr>
                          <w:pStyle w:val="TableParagraph"/>
                          <w:spacing w:before="38"/>
                          <w:ind w:right="218"/>
                          <w:rPr>
                            <w:sz w:val="14"/>
                          </w:rPr>
                        </w:pPr>
                        <w:r>
                          <w:rPr>
                            <w:sz w:val="14"/>
                          </w:rPr>
                          <w:t>2(b)</w:t>
                        </w:r>
                      </w:p>
                    </w:tc>
                    <w:tc>
                      <w:tcPr>
                        <w:tcW w:w="920" w:type="dxa"/>
                        <w:tcBorders>
                          <w:top w:val="single" w:sz="0" w:space="0" w:color="000000"/>
                          <w:bottom w:val="single" w:sz="0" w:space="0" w:color="000000"/>
                        </w:tcBorders>
                      </w:tcPr>
                      <w:p>
                        <w:pPr>
                          <w:pStyle w:val="TableParagraph"/>
                          <w:spacing w:before="39"/>
                          <w:ind w:right="143"/>
                          <w:rPr>
                            <w:sz w:val="14"/>
                          </w:rPr>
                        </w:pPr>
                        <w:r>
                          <w:rPr>
                            <w:sz w:val="14"/>
                          </w:rPr>
                          <w:t>204,836</w:t>
                        </w:r>
                      </w:p>
                    </w:tc>
                    <w:tc>
                      <w:tcPr>
                        <w:tcW w:w="861" w:type="dxa"/>
                        <w:tcBorders>
                          <w:top w:val="single" w:sz="0" w:space="0" w:color="000000"/>
                          <w:bottom w:val="single" w:sz="0" w:space="0" w:color="000000"/>
                        </w:tcBorders>
                      </w:tcPr>
                      <w:p>
                        <w:pPr>
                          <w:pStyle w:val="TableParagraph"/>
                          <w:spacing w:before="39"/>
                          <w:ind w:right="205"/>
                          <w:rPr>
                            <w:sz w:val="14"/>
                          </w:rPr>
                        </w:pPr>
                        <w:r>
                          <w:rPr>
                            <w:sz w:val="14"/>
                          </w:rPr>
                          <w:t>204,978</w:t>
                        </w:r>
                      </w:p>
                    </w:tc>
                    <w:tc>
                      <w:tcPr>
                        <w:tcW w:w="884" w:type="dxa"/>
                        <w:tcBorders>
                          <w:top w:val="single" w:sz="0" w:space="0" w:color="000000"/>
                          <w:bottom w:val="single" w:sz="0" w:space="0" w:color="000000"/>
                        </w:tcBorders>
                      </w:tcPr>
                      <w:p>
                        <w:pPr>
                          <w:pStyle w:val="TableParagraph"/>
                          <w:spacing w:before="39"/>
                          <w:ind w:left="144" w:right="181"/>
                          <w:jc w:val="center"/>
                          <w:rPr>
                            <w:sz w:val="14"/>
                          </w:rPr>
                        </w:pPr>
                        <w:r>
                          <w:rPr>
                            <w:sz w:val="14"/>
                          </w:rPr>
                          <w:t>11,862</w:t>
                        </w:r>
                      </w:p>
                    </w:tc>
                    <w:tc>
                      <w:tcPr>
                        <w:tcW w:w="822" w:type="dxa"/>
                        <w:tcBorders>
                          <w:top w:val="single" w:sz="0" w:space="0" w:color="000000"/>
                          <w:bottom w:val="single" w:sz="0" w:space="0" w:color="000000"/>
                        </w:tcBorders>
                      </w:tcPr>
                      <w:p>
                        <w:pPr>
                          <w:pStyle w:val="TableParagraph"/>
                          <w:spacing w:before="39"/>
                          <w:ind w:right="267"/>
                          <w:rPr>
                            <w:sz w:val="14"/>
                          </w:rPr>
                        </w:pPr>
                        <w:r>
                          <w:rPr>
                            <w:sz w:val="14"/>
                          </w:rPr>
                          <w:t>9,219</w:t>
                        </w:r>
                      </w:p>
                    </w:tc>
                    <w:tc>
                      <w:tcPr>
                        <w:tcW w:w="822" w:type="dxa"/>
                        <w:tcBorders>
                          <w:top w:val="single" w:sz="0" w:space="0" w:color="000000"/>
                          <w:bottom w:val="single" w:sz="0" w:space="0" w:color="000000"/>
                        </w:tcBorders>
                      </w:tcPr>
                      <w:p>
                        <w:pPr>
                          <w:pStyle w:val="TableParagraph"/>
                          <w:spacing w:before="39"/>
                          <w:ind w:right="245"/>
                          <w:rPr>
                            <w:sz w:val="14"/>
                          </w:rPr>
                        </w:pPr>
                        <w:r>
                          <w:rPr>
                            <w:sz w:val="14"/>
                          </w:rPr>
                          <w:t>7,059</w:t>
                        </w:r>
                      </w:p>
                    </w:tc>
                    <w:tc>
                      <w:tcPr>
                        <w:tcW w:w="744" w:type="dxa"/>
                        <w:tcBorders>
                          <w:top w:val="single" w:sz="0" w:space="0" w:color="000000"/>
                          <w:bottom w:val="single" w:sz="0" w:space="0" w:color="000000"/>
                        </w:tcBorders>
                      </w:tcPr>
                      <w:p>
                        <w:pPr>
                          <w:pStyle w:val="TableParagraph"/>
                          <w:spacing w:before="39"/>
                          <w:ind w:left="133" w:right="125"/>
                          <w:jc w:val="center"/>
                          <w:rPr>
                            <w:sz w:val="14"/>
                          </w:rPr>
                        </w:pPr>
                        <w:r>
                          <w:rPr>
                            <w:sz w:val="14"/>
                          </w:rPr>
                          <w:t>7,119</w:t>
                        </w:r>
                      </w:p>
                    </w:tc>
                    <w:tc>
                      <w:tcPr>
                        <w:tcW w:w="822" w:type="dxa"/>
                        <w:tcBorders>
                          <w:top w:val="single" w:sz="0" w:space="0" w:color="000000"/>
                          <w:bottom w:val="single" w:sz="0" w:space="0" w:color="000000"/>
                        </w:tcBorders>
                      </w:tcPr>
                      <w:p>
                        <w:pPr>
                          <w:pStyle w:val="TableParagraph"/>
                          <w:spacing w:before="39"/>
                          <w:ind w:right="167"/>
                          <w:rPr>
                            <w:sz w:val="14"/>
                          </w:rPr>
                        </w:pPr>
                        <w:r>
                          <w:rPr>
                            <w:sz w:val="14"/>
                          </w:rPr>
                          <w:t>223,757</w:t>
                        </w:r>
                      </w:p>
                    </w:tc>
                    <w:tc>
                      <w:tcPr>
                        <w:tcW w:w="701" w:type="dxa"/>
                        <w:tcBorders>
                          <w:top w:val="single" w:sz="0" w:space="0" w:color="000000"/>
                          <w:bottom w:val="single" w:sz="0" w:space="0" w:color="000000"/>
                        </w:tcBorders>
                      </w:tcPr>
                      <w:p>
                        <w:pPr>
                          <w:pStyle w:val="TableParagraph"/>
                          <w:spacing w:before="39"/>
                          <w:ind w:right="68"/>
                          <w:rPr>
                            <w:sz w:val="14"/>
                          </w:rPr>
                        </w:pPr>
                        <w:r>
                          <w:rPr>
                            <w:sz w:val="14"/>
                          </w:rPr>
                          <w:t>221,316</w:t>
                        </w:r>
                      </w:p>
                    </w:tc>
                  </w:tr>
                  <w:tr>
                    <w:trPr>
                      <w:trHeight w:val="253" w:hRule="exact"/>
                    </w:trPr>
                    <w:tc>
                      <w:tcPr>
                        <w:tcW w:w="4972" w:type="dxa"/>
                      </w:tcPr>
                      <w:p>
                        <w:pPr>
                          <w:pStyle w:val="TableParagraph"/>
                          <w:spacing w:before="41"/>
                          <w:ind w:left="35"/>
                          <w:jc w:val="left"/>
                          <w:rPr>
                            <w:sz w:val="14"/>
                          </w:rPr>
                        </w:pPr>
                        <w:r>
                          <w:rPr>
                            <w:sz w:val="14"/>
                          </w:rPr>
                          <w:t>Cash Payable/(Receivable) at the end of the year</w:t>
                        </w:r>
                      </w:p>
                    </w:tc>
                    <w:tc>
                      <w:tcPr>
                        <w:tcW w:w="2341" w:type="dxa"/>
                      </w:tcPr>
                      <w:p>
                        <w:pPr/>
                      </w:p>
                    </w:tc>
                    <w:tc>
                      <w:tcPr>
                        <w:tcW w:w="920" w:type="dxa"/>
                        <w:tcBorders>
                          <w:top w:val="single" w:sz="0" w:space="0" w:color="000000"/>
                          <w:bottom w:val="single" w:sz="0" w:space="0" w:color="000000"/>
                        </w:tcBorders>
                      </w:tcPr>
                      <w:p>
                        <w:pPr>
                          <w:pStyle w:val="TableParagraph"/>
                          <w:spacing w:before="39"/>
                          <w:ind w:right="143"/>
                          <w:rPr>
                            <w:sz w:val="14"/>
                          </w:rPr>
                        </w:pPr>
                        <w:r>
                          <w:rPr>
                            <w:sz w:val="14"/>
                          </w:rPr>
                          <w:t>1,416</w:t>
                        </w:r>
                      </w:p>
                    </w:tc>
                    <w:tc>
                      <w:tcPr>
                        <w:tcW w:w="861" w:type="dxa"/>
                        <w:tcBorders>
                          <w:top w:val="single" w:sz="0" w:space="0" w:color="000000"/>
                          <w:bottom w:val="single" w:sz="0" w:space="0" w:color="000000"/>
                        </w:tcBorders>
                      </w:tcPr>
                      <w:p>
                        <w:pPr>
                          <w:pStyle w:val="TableParagraph"/>
                          <w:spacing w:before="39"/>
                          <w:ind w:right="205"/>
                          <w:rPr>
                            <w:sz w:val="14"/>
                          </w:rPr>
                        </w:pPr>
                        <w:r>
                          <w:rPr>
                            <w:sz w:val="14"/>
                          </w:rPr>
                          <w:t>916</w:t>
                        </w:r>
                      </w:p>
                    </w:tc>
                    <w:tc>
                      <w:tcPr>
                        <w:tcW w:w="884" w:type="dxa"/>
                        <w:tcBorders>
                          <w:top w:val="single" w:sz="0" w:space="0" w:color="000000"/>
                          <w:bottom w:val="single" w:sz="0" w:space="0" w:color="000000"/>
                        </w:tcBorders>
                      </w:tcPr>
                      <w:p>
                        <w:pPr>
                          <w:pStyle w:val="TableParagraph"/>
                          <w:spacing w:before="39"/>
                          <w:ind w:left="189" w:right="151"/>
                          <w:jc w:val="center"/>
                          <w:rPr>
                            <w:sz w:val="14"/>
                          </w:rPr>
                        </w:pPr>
                        <w:r>
                          <w:rPr>
                            <w:sz w:val="14"/>
                          </w:rPr>
                          <w:t>(1,263)</w:t>
                        </w:r>
                      </w:p>
                    </w:tc>
                    <w:tc>
                      <w:tcPr>
                        <w:tcW w:w="822" w:type="dxa"/>
                        <w:tcBorders>
                          <w:top w:val="single" w:sz="0" w:space="0" w:color="000000"/>
                          <w:bottom w:val="single" w:sz="0" w:space="0" w:color="000000"/>
                        </w:tcBorders>
                      </w:tcPr>
                      <w:p>
                        <w:pPr>
                          <w:pStyle w:val="TableParagraph"/>
                          <w:spacing w:before="39"/>
                          <w:ind w:right="221"/>
                          <w:rPr>
                            <w:sz w:val="14"/>
                          </w:rPr>
                        </w:pPr>
                        <w:r>
                          <w:rPr>
                            <w:sz w:val="14"/>
                          </w:rPr>
                          <w:t>(461)</w:t>
                        </w:r>
                      </w:p>
                    </w:tc>
                    <w:tc>
                      <w:tcPr>
                        <w:tcW w:w="822" w:type="dxa"/>
                        <w:tcBorders>
                          <w:top w:val="single" w:sz="0" w:space="0" w:color="000000"/>
                          <w:bottom w:val="single" w:sz="0" w:space="0" w:color="000000"/>
                        </w:tcBorders>
                      </w:tcPr>
                      <w:p>
                        <w:pPr>
                          <w:pStyle w:val="TableParagraph"/>
                          <w:spacing w:before="39"/>
                          <w:ind w:right="198"/>
                          <w:rPr>
                            <w:sz w:val="14"/>
                          </w:rPr>
                        </w:pPr>
                        <w:r>
                          <w:rPr>
                            <w:sz w:val="14"/>
                          </w:rPr>
                          <w:t>(520)</w:t>
                        </w:r>
                      </w:p>
                    </w:tc>
                    <w:tc>
                      <w:tcPr>
                        <w:tcW w:w="744" w:type="dxa"/>
                        <w:tcBorders>
                          <w:top w:val="single" w:sz="0" w:space="0" w:color="000000"/>
                          <w:bottom w:val="single" w:sz="0" w:space="0" w:color="000000"/>
                        </w:tcBorders>
                      </w:tcPr>
                      <w:p>
                        <w:pPr>
                          <w:pStyle w:val="TableParagraph"/>
                          <w:spacing w:before="39"/>
                          <w:ind w:left="329" w:right="125"/>
                          <w:jc w:val="center"/>
                          <w:rPr>
                            <w:sz w:val="14"/>
                          </w:rPr>
                        </w:pPr>
                        <w:r>
                          <w:rPr>
                            <w:sz w:val="14"/>
                          </w:rPr>
                          <w:t>44</w:t>
                        </w:r>
                      </w:p>
                    </w:tc>
                    <w:tc>
                      <w:tcPr>
                        <w:tcW w:w="822" w:type="dxa"/>
                        <w:tcBorders>
                          <w:top w:val="single" w:sz="0" w:space="0" w:color="000000"/>
                          <w:bottom w:val="single" w:sz="0" w:space="0" w:color="000000"/>
                        </w:tcBorders>
                      </w:tcPr>
                      <w:p>
                        <w:pPr>
                          <w:pStyle w:val="TableParagraph"/>
                          <w:spacing w:before="39"/>
                          <w:ind w:right="120"/>
                          <w:rPr>
                            <w:sz w:val="14"/>
                          </w:rPr>
                        </w:pPr>
                        <w:r>
                          <w:rPr>
                            <w:sz w:val="14"/>
                          </w:rPr>
                          <w:t>(367)</w:t>
                        </w:r>
                      </w:p>
                    </w:tc>
                    <w:tc>
                      <w:tcPr>
                        <w:tcW w:w="701" w:type="dxa"/>
                        <w:tcBorders>
                          <w:top w:val="single" w:sz="0" w:space="0" w:color="000000"/>
                          <w:bottom w:val="single" w:sz="0" w:space="0" w:color="000000"/>
                        </w:tcBorders>
                      </w:tcPr>
                      <w:p>
                        <w:pPr>
                          <w:pStyle w:val="TableParagraph"/>
                          <w:spacing w:before="39"/>
                          <w:ind w:right="68"/>
                          <w:rPr>
                            <w:sz w:val="14"/>
                          </w:rPr>
                        </w:pPr>
                        <w:r>
                          <w:rPr>
                            <w:sz w:val="14"/>
                          </w:rPr>
                          <w:t>499</w:t>
                        </w:r>
                      </w:p>
                    </w:tc>
                  </w:tr>
                </w:tbl>
                <w:p>
                  <w:pPr>
                    <w:pStyle w:val="BodyText"/>
                  </w:pPr>
                </w:p>
              </w:txbxContent>
            </v:textbox>
          </v:shape>
        </w:pict>
      </w:r>
      <w:r>
        <w:rPr>
          <w:position w:val="13"/>
          <w:sz w:val="20"/>
        </w:rPr>
      </w:r>
      <w:r>
        <w:rPr>
          <w:position w:val="13"/>
          <w:sz w:val="20"/>
        </w:rPr>
        <w:tab/>
      </w:r>
      <w:r>
        <w:rPr>
          <w:sz w:val="20"/>
        </w:rPr>
        <w:drawing>
          <wp:inline distT="0" distB="0" distL="0" distR="0">
            <wp:extent cx="154019" cy="154019"/>
            <wp:effectExtent l="0" t="0" r="0" b="0"/>
            <wp:docPr id="383" name="image25.png" descr=""/>
            <wp:cNvGraphicFramePr>
              <a:graphicFrameLocks noChangeAspect="1"/>
            </wp:cNvGraphicFramePr>
            <a:graphic>
              <a:graphicData uri="http://schemas.openxmlformats.org/drawingml/2006/picture">
                <pic:pic>
                  <pic:nvPicPr>
                    <pic:cNvPr id="384" name="image25.png"/>
                    <pic:cNvPicPr/>
                  </pic:nvPicPr>
                  <pic:blipFill>
                    <a:blip r:embed="rId41" cstate="print"/>
                    <a:stretch>
                      <a:fillRect/>
                    </a:stretch>
                  </pic:blipFill>
                  <pic:spPr>
                    <a:xfrm>
                      <a:off x="0" y="0"/>
                      <a:ext cx="154019" cy="154019"/>
                    </a:xfrm>
                    <a:prstGeom prst="rect">
                      <a:avLst/>
                    </a:prstGeom>
                  </pic:spPr>
                </pic:pic>
              </a:graphicData>
            </a:graphic>
          </wp:inline>
        </w:drawing>
      </w:r>
      <w:r>
        <w:rPr>
          <w:sz w:val="20"/>
        </w:rPr>
      </w:r>
    </w:p>
    <w:p>
      <w:pPr>
        <w:pStyle w:val="BodyText"/>
        <w:spacing w:before="8"/>
        <w:rPr>
          <w:b/>
          <w:sz w:val="10"/>
        </w:rPr>
      </w:pPr>
    </w:p>
    <w:p>
      <w:pPr>
        <w:spacing w:before="79"/>
        <w:ind w:left="2538" w:right="0" w:firstLine="0"/>
        <w:jc w:val="left"/>
        <w:rPr>
          <w:sz w:val="16"/>
        </w:rPr>
      </w:pPr>
      <w:r>
        <w:rPr>
          <w:sz w:val="16"/>
        </w:rPr>
        <w:t>#4 Program is in respect of FEE-HELP for Higher Education only and excludes funds received in respect of VET FEE-HELP</w:t>
      </w:r>
    </w:p>
    <w:p>
      <w:pPr>
        <w:spacing w:after="0"/>
        <w:jc w:val="left"/>
        <w:rPr>
          <w:sz w:val="16"/>
        </w:rPr>
        <w:sectPr>
          <w:type w:val="continuous"/>
          <w:pgSz w:w="16840" w:h="11910" w:orient="landscape"/>
          <w:pgMar w:top="1660" w:bottom="0" w:left="0" w:right="0"/>
        </w:sectPr>
      </w:pPr>
    </w:p>
    <w:p>
      <w:pPr>
        <w:pStyle w:val="BodyText"/>
        <w:rPr>
          <w:sz w:val="20"/>
        </w:rPr>
      </w:pPr>
    </w:p>
    <w:p>
      <w:pPr>
        <w:pStyle w:val="BodyText"/>
        <w:rPr>
          <w:sz w:val="20"/>
        </w:rPr>
      </w:pPr>
    </w:p>
    <w:p>
      <w:pPr>
        <w:pStyle w:val="BodyText"/>
        <w:spacing w:before="4"/>
      </w:pPr>
    </w:p>
    <w:p>
      <w:pPr>
        <w:pStyle w:val="Heading8"/>
        <w:tabs>
          <w:tab w:pos="1971" w:val="left" w:leader="none"/>
        </w:tabs>
        <w:ind w:left="1404"/>
      </w:pPr>
      <w:bookmarkStart w:name="(c) Scholarships" w:id="154"/>
      <w:bookmarkEnd w:id="154"/>
      <w:r>
        <w:rPr>
          <w:b w:val="0"/>
        </w:rPr>
      </w:r>
      <w:r>
        <w:rPr/>
        <w:t>40</w:t>
        <w:tab/>
        <w:t>Acquittal of Australian Government Financial Assistance</w:t>
      </w:r>
      <w:r>
        <w:rPr>
          <w:spacing w:val="-24"/>
        </w:rPr>
        <w:t> </w:t>
      </w:r>
      <w:r>
        <w:rPr/>
        <w:t>(continued)</w:t>
      </w:r>
    </w:p>
    <w:p>
      <w:pPr>
        <w:pStyle w:val="BodyText"/>
        <w:spacing w:before="11"/>
        <w:rPr>
          <w:b/>
          <w:sz w:val="19"/>
        </w:rPr>
      </w:pPr>
    </w:p>
    <w:p>
      <w:pPr>
        <w:spacing w:after="0"/>
        <w:rPr>
          <w:sz w:val="19"/>
        </w:rPr>
        <w:sectPr>
          <w:pgSz w:w="16840" w:h="11910" w:orient="landscape"/>
          <w:pgMar w:header="38" w:footer="507" w:top="2220" w:bottom="700" w:left="0" w:right="0"/>
        </w:sectPr>
      </w:pPr>
    </w:p>
    <w:p>
      <w:pPr>
        <w:pStyle w:val="ListParagraph"/>
        <w:numPr>
          <w:ilvl w:val="1"/>
          <w:numId w:val="33"/>
        </w:numPr>
        <w:tabs>
          <w:tab w:pos="1972" w:val="left" w:leader="none"/>
        </w:tabs>
        <w:spacing w:line="240" w:lineRule="auto" w:before="77" w:after="0"/>
        <w:ind w:left="1971" w:right="0" w:hanging="566"/>
        <w:jc w:val="left"/>
        <w:rPr>
          <w:sz w:val="18"/>
        </w:rPr>
      </w:pPr>
      <w:r>
        <w:rPr>
          <w:spacing w:val="-1"/>
          <w:sz w:val="18"/>
        </w:rPr>
        <w:t>Scholarships</w:t>
      </w:r>
    </w:p>
    <w:p>
      <w:pPr>
        <w:pStyle w:val="BodyText"/>
        <w:rPr>
          <w:sz w:val="14"/>
        </w:rPr>
      </w:pPr>
      <w:r>
        <w:rPr/>
        <w:br w:type="column"/>
      </w:r>
      <w:r>
        <w:rPr>
          <w:sz w:val="14"/>
        </w:rPr>
      </w:r>
    </w:p>
    <w:p>
      <w:pPr>
        <w:pStyle w:val="BodyText"/>
        <w:rPr>
          <w:sz w:val="14"/>
        </w:rPr>
      </w:pPr>
    </w:p>
    <w:p>
      <w:pPr>
        <w:spacing w:before="0"/>
        <w:ind w:left="1405" w:right="-3" w:firstLine="2031"/>
        <w:jc w:val="left"/>
        <w:rPr>
          <w:b/>
          <w:sz w:val="14"/>
        </w:rPr>
      </w:pPr>
      <w:r>
        <w:rPr>
          <w:b/>
          <w:sz w:val="14"/>
        </w:rPr>
        <w:t>International Australian Postgraduate Postgraduate Research</w:t>
      </w:r>
    </w:p>
    <w:p>
      <w:pPr>
        <w:pStyle w:val="BodyText"/>
        <w:rPr>
          <w:b/>
          <w:sz w:val="14"/>
        </w:rPr>
      </w:pPr>
      <w:r>
        <w:rPr/>
        <w:br w:type="column"/>
      </w:r>
      <w:r>
        <w:rPr>
          <w:b/>
          <w:sz w:val="14"/>
        </w:rPr>
      </w:r>
    </w:p>
    <w:p>
      <w:pPr>
        <w:pStyle w:val="BodyText"/>
        <w:rPr>
          <w:b/>
          <w:sz w:val="14"/>
        </w:rPr>
      </w:pPr>
    </w:p>
    <w:p>
      <w:pPr>
        <w:spacing w:before="0"/>
        <w:ind w:left="306" w:right="-15" w:hanging="10"/>
        <w:jc w:val="left"/>
        <w:rPr>
          <w:b/>
          <w:sz w:val="14"/>
        </w:rPr>
      </w:pPr>
      <w:r>
        <w:rPr>
          <w:b/>
          <w:sz w:val="14"/>
        </w:rPr>
        <w:t>Commonwealth Education Cost</w:t>
      </w:r>
    </w:p>
    <w:p>
      <w:pPr>
        <w:pStyle w:val="BodyText"/>
        <w:rPr>
          <w:b/>
          <w:sz w:val="14"/>
        </w:rPr>
      </w:pPr>
      <w:r>
        <w:rPr/>
        <w:br w:type="column"/>
      </w:r>
      <w:r>
        <w:rPr>
          <w:b/>
          <w:sz w:val="14"/>
        </w:rPr>
      </w:r>
    </w:p>
    <w:p>
      <w:pPr>
        <w:pStyle w:val="BodyText"/>
        <w:rPr>
          <w:b/>
          <w:sz w:val="14"/>
        </w:rPr>
      </w:pPr>
    </w:p>
    <w:p>
      <w:pPr>
        <w:spacing w:before="0"/>
        <w:ind w:left="534" w:right="-10" w:firstLine="22"/>
        <w:jc w:val="left"/>
        <w:rPr>
          <w:b/>
          <w:sz w:val="14"/>
        </w:rPr>
      </w:pPr>
      <w:r>
        <w:rPr>
          <w:b/>
          <w:sz w:val="14"/>
        </w:rPr>
        <w:t>Commonwealth </w:t>
      </w:r>
      <w:r>
        <w:rPr>
          <w:b/>
          <w:spacing w:val="-1"/>
          <w:sz w:val="14"/>
        </w:rPr>
        <w:t>Accommodation</w:t>
      </w:r>
    </w:p>
    <w:p>
      <w:pPr>
        <w:pStyle w:val="BodyText"/>
        <w:rPr>
          <w:b/>
          <w:sz w:val="14"/>
        </w:rPr>
      </w:pPr>
      <w:r>
        <w:rPr/>
        <w:br w:type="column"/>
      </w:r>
      <w:r>
        <w:rPr>
          <w:b/>
          <w:sz w:val="14"/>
        </w:rPr>
      </w:r>
    </w:p>
    <w:p>
      <w:pPr>
        <w:pStyle w:val="BodyText"/>
        <w:rPr>
          <w:b/>
          <w:sz w:val="14"/>
        </w:rPr>
      </w:pPr>
    </w:p>
    <w:p>
      <w:pPr>
        <w:pStyle w:val="BodyText"/>
        <w:rPr>
          <w:b/>
          <w:sz w:val="14"/>
        </w:rPr>
      </w:pPr>
    </w:p>
    <w:p>
      <w:pPr>
        <w:spacing w:before="0"/>
        <w:ind w:left="420" w:right="0" w:firstLine="0"/>
        <w:jc w:val="left"/>
        <w:rPr>
          <w:b/>
          <w:sz w:val="14"/>
        </w:rPr>
      </w:pPr>
      <w:r>
        <w:rPr>
          <w:b/>
          <w:sz w:val="14"/>
        </w:rPr>
        <w:t>Indigenous Access</w:t>
      </w:r>
    </w:p>
    <w:p>
      <w:pPr>
        <w:spacing w:after="0"/>
        <w:jc w:val="left"/>
        <w:rPr>
          <w:sz w:val="14"/>
        </w:rPr>
        <w:sectPr>
          <w:type w:val="continuous"/>
          <w:pgSz w:w="16840" w:h="11910" w:orient="landscape"/>
          <w:pgMar w:top="1660" w:bottom="0" w:left="0" w:right="0"/>
          <w:cols w:num="5" w:equalWidth="0">
            <w:col w:w="2999" w:space="1615"/>
            <w:col w:w="4643" w:space="40"/>
            <w:col w:w="1344" w:space="40"/>
            <w:col w:w="1628" w:space="40"/>
            <w:col w:w="4491"/>
          </w:cols>
        </w:sectPr>
      </w:pPr>
    </w:p>
    <w:p>
      <w:pPr>
        <w:spacing w:before="0"/>
        <w:ind w:left="0" w:right="0" w:firstLine="0"/>
        <w:jc w:val="right"/>
        <w:rPr>
          <w:b/>
          <w:sz w:val="14"/>
        </w:rPr>
      </w:pPr>
      <w:r>
        <w:rPr>
          <w:b/>
          <w:sz w:val="14"/>
        </w:rPr>
        <w:t>Awards</w:t>
      </w:r>
    </w:p>
    <w:p>
      <w:pPr>
        <w:spacing w:before="0"/>
        <w:ind w:left="910" w:right="-18" w:firstLine="0"/>
        <w:jc w:val="left"/>
        <w:rPr>
          <w:b/>
          <w:sz w:val="14"/>
        </w:rPr>
      </w:pPr>
      <w:r>
        <w:rPr/>
        <w:br w:type="column"/>
      </w:r>
      <w:r>
        <w:rPr>
          <w:b/>
          <w:sz w:val="14"/>
        </w:rPr>
        <w:t>Scholarships</w:t>
      </w:r>
    </w:p>
    <w:p>
      <w:pPr>
        <w:spacing w:before="0"/>
        <w:ind w:left="625" w:right="-16" w:firstLine="0"/>
        <w:jc w:val="left"/>
        <w:rPr>
          <w:b/>
          <w:sz w:val="14"/>
        </w:rPr>
      </w:pPr>
      <w:r>
        <w:rPr/>
        <w:br w:type="column"/>
      </w:r>
      <w:r>
        <w:rPr>
          <w:b/>
          <w:sz w:val="14"/>
        </w:rPr>
        <w:t>Scholarships #5</w:t>
      </w:r>
    </w:p>
    <w:p>
      <w:pPr>
        <w:spacing w:before="0"/>
        <w:ind w:left="527" w:right="-17" w:firstLine="0"/>
        <w:jc w:val="left"/>
        <w:rPr>
          <w:b/>
          <w:sz w:val="14"/>
        </w:rPr>
      </w:pPr>
      <w:r>
        <w:rPr/>
        <w:br w:type="column"/>
      </w:r>
      <w:r>
        <w:rPr>
          <w:b/>
          <w:sz w:val="14"/>
        </w:rPr>
        <w:t>Scholarships #5</w:t>
      </w:r>
    </w:p>
    <w:p>
      <w:pPr>
        <w:tabs>
          <w:tab w:pos="2542" w:val="left" w:leader="none"/>
        </w:tabs>
        <w:spacing w:before="0"/>
        <w:ind w:left="664" w:right="0" w:firstLine="0"/>
        <w:jc w:val="left"/>
        <w:rPr>
          <w:b/>
          <w:sz w:val="14"/>
        </w:rPr>
      </w:pPr>
      <w:r>
        <w:rPr/>
        <w:br w:type="column"/>
      </w:r>
      <w:r>
        <w:rPr>
          <w:b/>
          <w:sz w:val="14"/>
        </w:rPr>
        <w:t>Scholarship</w:t>
        <w:tab/>
        <w:t>Total</w:t>
      </w:r>
    </w:p>
    <w:p>
      <w:pPr>
        <w:spacing w:after="0"/>
        <w:jc w:val="left"/>
        <w:rPr>
          <w:sz w:val="14"/>
        </w:rPr>
        <w:sectPr>
          <w:type w:val="continuous"/>
          <w:pgSz w:w="16840" w:h="11910" w:orient="landscape"/>
          <w:pgMar w:top="1660" w:bottom="0" w:left="0" w:right="0"/>
          <w:cols w:num="5" w:equalWidth="0">
            <w:col w:w="7082" w:space="40"/>
            <w:col w:w="1792" w:space="40"/>
            <w:col w:w="1703" w:space="40"/>
            <w:col w:w="1604" w:space="40"/>
            <w:col w:w="4499"/>
          </w:cols>
        </w:sectPr>
      </w:pPr>
    </w:p>
    <w:p>
      <w:pPr>
        <w:pStyle w:val="BodyText"/>
        <w:spacing w:before="2"/>
        <w:rPr>
          <w:b/>
          <w:sz w:val="3"/>
        </w:rPr>
      </w:pPr>
    </w:p>
    <w:p>
      <w:pPr>
        <w:tabs>
          <w:tab w:pos="1970" w:val="left" w:leader="none"/>
          <w:tab w:pos="16525" w:val="left" w:leader="none"/>
        </w:tabs>
        <w:spacing w:line="240" w:lineRule="auto"/>
        <w:ind w:left="67" w:right="0" w:firstLine="0"/>
        <w:rPr>
          <w:sz w:val="20"/>
        </w:rPr>
      </w:pPr>
      <w:r>
        <w:rPr>
          <w:position w:val="43"/>
          <w:sz w:val="20"/>
        </w:rPr>
        <w:drawing>
          <wp:inline distT="0" distB="0" distL="0" distR="0">
            <wp:extent cx="154019" cy="154019"/>
            <wp:effectExtent l="0" t="0" r="0" b="0"/>
            <wp:docPr id="385" name="image25.png" descr=""/>
            <wp:cNvGraphicFramePr>
              <a:graphicFrameLocks noChangeAspect="1"/>
            </wp:cNvGraphicFramePr>
            <a:graphic>
              <a:graphicData uri="http://schemas.openxmlformats.org/drawingml/2006/picture">
                <pic:pic>
                  <pic:nvPicPr>
                    <pic:cNvPr id="386" name="image25.png"/>
                    <pic:cNvPicPr/>
                  </pic:nvPicPr>
                  <pic:blipFill>
                    <a:blip r:embed="rId41" cstate="print"/>
                    <a:stretch>
                      <a:fillRect/>
                    </a:stretch>
                  </pic:blipFill>
                  <pic:spPr>
                    <a:xfrm>
                      <a:off x="0" y="0"/>
                      <a:ext cx="154019" cy="154019"/>
                    </a:xfrm>
                    <a:prstGeom prst="rect">
                      <a:avLst/>
                    </a:prstGeom>
                  </pic:spPr>
                </pic:pic>
              </a:graphicData>
            </a:graphic>
          </wp:inline>
        </w:drawing>
      </w:r>
      <w:r>
        <w:rPr>
          <w:position w:val="43"/>
          <w:sz w:val="20"/>
        </w:rPr>
      </w:r>
      <w:r>
        <w:rPr>
          <w:position w:val="43"/>
          <w:sz w:val="20"/>
        </w:rPr>
        <w:tab/>
      </w:r>
      <w:r>
        <w:rPr>
          <w:sz w:val="20"/>
        </w:rPr>
        <w:pict>
          <v:shape style="width:694.55pt;height:116.2pt;mso-position-horizontal-relative:char;mso-position-vertical-relative:line" type="#_x0000_t202" filled="false" stroked="false">
            <w10:anchorlock/>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177"/>
                    <w:gridCol w:w="849"/>
                    <w:gridCol w:w="940"/>
                    <w:gridCol w:w="817"/>
                    <w:gridCol w:w="827"/>
                    <w:gridCol w:w="817"/>
                    <w:gridCol w:w="827"/>
                    <w:gridCol w:w="817"/>
                    <w:gridCol w:w="494"/>
                    <w:gridCol w:w="310"/>
                    <w:gridCol w:w="494"/>
                    <w:gridCol w:w="322"/>
                    <w:gridCol w:w="851"/>
                    <w:gridCol w:w="817"/>
                    <w:gridCol w:w="827"/>
                    <w:gridCol w:w="704"/>
                  </w:tblGrid>
                  <w:tr>
                    <w:trPr>
                      <w:trHeight w:val="457" w:hRule="exact"/>
                    </w:trPr>
                    <w:tc>
                      <w:tcPr>
                        <w:tcW w:w="3177" w:type="dxa"/>
                      </w:tcPr>
                      <w:p>
                        <w:pPr>
                          <w:pStyle w:val="TableParagraph"/>
                          <w:jc w:val="left"/>
                          <w:rPr>
                            <w:b/>
                            <w:sz w:val="14"/>
                          </w:rPr>
                        </w:pPr>
                      </w:p>
                      <w:p>
                        <w:pPr>
                          <w:pStyle w:val="TableParagraph"/>
                          <w:spacing w:before="97"/>
                          <w:ind w:left="35" w:right="367"/>
                          <w:jc w:val="left"/>
                          <w:rPr>
                            <w:b/>
                            <w:sz w:val="14"/>
                          </w:rPr>
                        </w:pPr>
                        <w:r>
                          <w:rPr>
                            <w:b/>
                            <w:sz w:val="14"/>
                          </w:rPr>
                          <w:t>Parent Entity (University) Only</w:t>
                        </w:r>
                      </w:p>
                    </w:tc>
                    <w:tc>
                      <w:tcPr>
                        <w:tcW w:w="849" w:type="dxa"/>
                      </w:tcPr>
                      <w:p>
                        <w:pPr>
                          <w:pStyle w:val="TableParagraph"/>
                          <w:jc w:val="left"/>
                          <w:rPr>
                            <w:b/>
                            <w:sz w:val="14"/>
                          </w:rPr>
                        </w:pPr>
                      </w:p>
                      <w:p>
                        <w:pPr>
                          <w:pStyle w:val="TableParagraph"/>
                          <w:spacing w:before="97"/>
                          <w:ind w:left="447"/>
                          <w:jc w:val="left"/>
                          <w:rPr>
                            <w:b/>
                            <w:sz w:val="14"/>
                          </w:rPr>
                        </w:pPr>
                        <w:r>
                          <w:rPr>
                            <w:b/>
                            <w:sz w:val="14"/>
                          </w:rPr>
                          <w:t>Note</w:t>
                        </w:r>
                      </w:p>
                    </w:tc>
                    <w:tc>
                      <w:tcPr>
                        <w:tcW w:w="940" w:type="dxa"/>
                      </w:tcPr>
                      <w:p>
                        <w:pPr>
                          <w:pStyle w:val="TableParagraph"/>
                          <w:spacing w:before="30"/>
                          <w:ind w:left="265"/>
                          <w:jc w:val="left"/>
                          <w:rPr>
                            <w:b/>
                            <w:sz w:val="14"/>
                          </w:rPr>
                        </w:pPr>
                        <w:r>
                          <w:rPr>
                            <w:b/>
                            <w:sz w:val="14"/>
                          </w:rPr>
                          <w:t>2016</w:t>
                        </w:r>
                      </w:p>
                      <w:p>
                        <w:pPr>
                          <w:pStyle w:val="TableParagraph"/>
                          <w:spacing w:before="67"/>
                          <w:ind w:left="248"/>
                          <w:jc w:val="left"/>
                          <w:rPr>
                            <w:b/>
                            <w:sz w:val="14"/>
                          </w:rPr>
                        </w:pPr>
                        <w:r>
                          <w:rPr>
                            <w:b/>
                            <w:sz w:val="14"/>
                          </w:rPr>
                          <w:t>$'000</w:t>
                        </w:r>
                      </w:p>
                    </w:tc>
                    <w:tc>
                      <w:tcPr>
                        <w:tcW w:w="817" w:type="dxa"/>
                      </w:tcPr>
                      <w:p>
                        <w:pPr>
                          <w:pStyle w:val="TableParagraph"/>
                          <w:spacing w:before="30"/>
                          <w:ind w:left="135"/>
                          <w:jc w:val="left"/>
                          <w:rPr>
                            <w:b/>
                            <w:sz w:val="14"/>
                          </w:rPr>
                        </w:pPr>
                        <w:r>
                          <w:rPr>
                            <w:b/>
                            <w:sz w:val="14"/>
                          </w:rPr>
                          <w:t>2015</w:t>
                        </w:r>
                      </w:p>
                      <w:p>
                        <w:pPr>
                          <w:pStyle w:val="TableParagraph"/>
                          <w:spacing w:before="67"/>
                          <w:ind w:left="118"/>
                          <w:jc w:val="left"/>
                          <w:rPr>
                            <w:b/>
                            <w:sz w:val="14"/>
                          </w:rPr>
                        </w:pPr>
                        <w:r>
                          <w:rPr>
                            <w:b/>
                            <w:sz w:val="14"/>
                          </w:rPr>
                          <w:t>$'000</w:t>
                        </w:r>
                      </w:p>
                    </w:tc>
                    <w:tc>
                      <w:tcPr>
                        <w:tcW w:w="827" w:type="dxa"/>
                      </w:tcPr>
                      <w:p>
                        <w:pPr>
                          <w:pStyle w:val="TableParagraph"/>
                          <w:spacing w:before="30"/>
                          <w:ind w:left="153"/>
                          <w:jc w:val="left"/>
                          <w:rPr>
                            <w:b/>
                            <w:sz w:val="14"/>
                          </w:rPr>
                        </w:pPr>
                        <w:r>
                          <w:rPr>
                            <w:b/>
                            <w:sz w:val="14"/>
                          </w:rPr>
                          <w:t>2016</w:t>
                        </w:r>
                      </w:p>
                      <w:p>
                        <w:pPr>
                          <w:pStyle w:val="TableParagraph"/>
                          <w:spacing w:before="67"/>
                          <w:ind w:left="136"/>
                          <w:jc w:val="left"/>
                          <w:rPr>
                            <w:b/>
                            <w:sz w:val="14"/>
                          </w:rPr>
                        </w:pPr>
                        <w:r>
                          <w:rPr>
                            <w:b/>
                            <w:sz w:val="14"/>
                          </w:rPr>
                          <w:t>$'000</w:t>
                        </w:r>
                      </w:p>
                    </w:tc>
                    <w:tc>
                      <w:tcPr>
                        <w:tcW w:w="817" w:type="dxa"/>
                      </w:tcPr>
                      <w:p>
                        <w:pPr>
                          <w:pStyle w:val="TableParagraph"/>
                          <w:spacing w:before="30"/>
                          <w:ind w:left="135"/>
                          <w:jc w:val="left"/>
                          <w:rPr>
                            <w:b/>
                            <w:sz w:val="14"/>
                          </w:rPr>
                        </w:pPr>
                        <w:r>
                          <w:rPr>
                            <w:b/>
                            <w:sz w:val="14"/>
                          </w:rPr>
                          <w:t>2015</w:t>
                        </w:r>
                      </w:p>
                      <w:p>
                        <w:pPr>
                          <w:pStyle w:val="TableParagraph"/>
                          <w:spacing w:before="67"/>
                          <w:ind w:left="118"/>
                          <w:jc w:val="left"/>
                          <w:rPr>
                            <w:b/>
                            <w:sz w:val="14"/>
                          </w:rPr>
                        </w:pPr>
                        <w:r>
                          <w:rPr>
                            <w:b/>
                            <w:sz w:val="14"/>
                          </w:rPr>
                          <w:t>$'000</w:t>
                        </w:r>
                      </w:p>
                    </w:tc>
                    <w:tc>
                      <w:tcPr>
                        <w:tcW w:w="827" w:type="dxa"/>
                      </w:tcPr>
                      <w:p>
                        <w:pPr>
                          <w:pStyle w:val="TableParagraph"/>
                          <w:spacing w:before="30"/>
                          <w:ind w:left="153"/>
                          <w:jc w:val="left"/>
                          <w:rPr>
                            <w:b/>
                            <w:sz w:val="14"/>
                          </w:rPr>
                        </w:pPr>
                        <w:r>
                          <w:rPr>
                            <w:b/>
                            <w:sz w:val="14"/>
                          </w:rPr>
                          <w:t>2016</w:t>
                        </w:r>
                      </w:p>
                      <w:p>
                        <w:pPr>
                          <w:pStyle w:val="TableParagraph"/>
                          <w:spacing w:before="67"/>
                          <w:ind w:left="136"/>
                          <w:jc w:val="left"/>
                          <w:rPr>
                            <w:b/>
                            <w:sz w:val="14"/>
                          </w:rPr>
                        </w:pPr>
                        <w:r>
                          <w:rPr>
                            <w:b/>
                            <w:sz w:val="14"/>
                          </w:rPr>
                          <w:t>$'000</w:t>
                        </w:r>
                      </w:p>
                    </w:tc>
                    <w:tc>
                      <w:tcPr>
                        <w:tcW w:w="817" w:type="dxa"/>
                      </w:tcPr>
                      <w:p>
                        <w:pPr>
                          <w:pStyle w:val="TableParagraph"/>
                          <w:spacing w:before="30"/>
                          <w:ind w:left="135"/>
                          <w:jc w:val="left"/>
                          <w:rPr>
                            <w:b/>
                            <w:sz w:val="14"/>
                          </w:rPr>
                        </w:pPr>
                        <w:r>
                          <w:rPr>
                            <w:b/>
                            <w:sz w:val="14"/>
                          </w:rPr>
                          <w:t>2015</w:t>
                        </w:r>
                      </w:p>
                      <w:p>
                        <w:pPr>
                          <w:pStyle w:val="TableParagraph"/>
                          <w:spacing w:before="67"/>
                          <w:ind w:left="118"/>
                          <w:jc w:val="left"/>
                          <w:rPr>
                            <w:b/>
                            <w:sz w:val="14"/>
                          </w:rPr>
                        </w:pPr>
                        <w:r>
                          <w:rPr>
                            <w:b/>
                            <w:sz w:val="14"/>
                          </w:rPr>
                          <w:t>$'000</w:t>
                        </w:r>
                      </w:p>
                    </w:tc>
                    <w:tc>
                      <w:tcPr>
                        <w:tcW w:w="494" w:type="dxa"/>
                      </w:tcPr>
                      <w:p>
                        <w:pPr>
                          <w:pStyle w:val="TableParagraph"/>
                          <w:spacing w:before="30"/>
                          <w:ind w:left="153" w:right="-7"/>
                          <w:jc w:val="left"/>
                          <w:rPr>
                            <w:b/>
                            <w:sz w:val="14"/>
                          </w:rPr>
                        </w:pPr>
                        <w:r>
                          <w:rPr>
                            <w:b/>
                            <w:sz w:val="14"/>
                          </w:rPr>
                          <w:t>2016</w:t>
                        </w:r>
                      </w:p>
                      <w:p>
                        <w:pPr>
                          <w:pStyle w:val="TableParagraph"/>
                          <w:spacing w:before="67"/>
                          <w:ind w:left="136" w:right="-7"/>
                          <w:jc w:val="left"/>
                          <w:rPr>
                            <w:b/>
                            <w:sz w:val="14"/>
                          </w:rPr>
                        </w:pPr>
                        <w:r>
                          <w:rPr>
                            <w:b/>
                            <w:sz w:val="14"/>
                          </w:rPr>
                          <w:t>$'000</w:t>
                        </w:r>
                      </w:p>
                    </w:tc>
                    <w:tc>
                      <w:tcPr>
                        <w:tcW w:w="310" w:type="dxa"/>
                      </w:tcPr>
                      <w:p>
                        <w:pPr/>
                      </w:p>
                    </w:tc>
                    <w:tc>
                      <w:tcPr>
                        <w:tcW w:w="494" w:type="dxa"/>
                      </w:tcPr>
                      <w:p>
                        <w:pPr>
                          <w:pStyle w:val="TableParagraph"/>
                          <w:spacing w:before="30"/>
                          <w:ind w:left="159" w:right="-13"/>
                          <w:jc w:val="left"/>
                          <w:rPr>
                            <w:b/>
                            <w:sz w:val="14"/>
                          </w:rPr>
                        </w:pPr>
                        <w:r>
                          <w:rPr>
                            <w:b/>
                            <w:sz w:val="14"/>
                          </w:rPr>
                          <w:t>2015</w:t>
                        </w:r>
                      </w:p>
                      <w:p>
                        <w:pPr>
                          <w:pStyle w:val="TableParagraph"/>
                          <w:spacing w:before="67"/>
                          <w:ind w:left="142" w:right="-13"/>
                          <w:jc w:val="left"/>
                          <w:rPr>
                            <w:b/>
                            <w:sz w:val="14"/>
                          </w:rPr>
                        </w:pPr>
                        <w:r>
                          <w:rPr>
                            <w:b/>
                            <w:sz w:val="14"/>
                          </w:rPr>
                          <w:t>$'000</w:t>
                        </w:r>
                      </w:p>
                    </w:tc>
                    <w:tc>
                      <w:tcPr>
                        <w:tcW w:w="322" w:type="dxa"/>
                      </w:tcPr>
                      <w:p>
                        <w:pPr/>
                      </w:p>
                    </w:tc>
                    <w:tc>
                      <w:tcPr>
                        <w:tcW w:w="851" w:type="dxa"/>
                      </w:tcPr>
                      <w:p>
                        <w:pPr>
                          <w:pStyle w:val="TableParagraph"/>
                          <w:spacing w:before="30"/>
                          <w:ind w:left="176"/>
                          <w:jc w:val="left"/>
                          <w:rPr>
                            <w:b/>
                            <w:sz w:val="14"/>
                          </w:rPr>
                        </w:pPr>
                        <w:r>
                          <w:rPr>
                            <w:b/>
                            <w:sz w:val="14"/>
                          </w:rPr>
                          <w:t>2016</w:t>
                        </w:r>
                      </w:p>
                      <w:p>
                        <w:pPr>
                          <w:pStyle w:val="TableParagraph"/>
                          <w:spacing w:before="67"/>
                          <w:ind w:left="159"/>
                          <w:jc w:val="left"/>
                          <w:rPr>
                            <w:b/>
                            <w:sz w:val="14"/>
                          </w:rPr>
                        </w:pPr>
                        <w:r>
                          <w:rPr>
                            <w:b/>
                            <w:sz w:val="14"/>
                          </w:rPr>
                          <w:t>$'000</w:t>
                        </w:r>
                      </w:p>
                    </w:tc>
                    <w:tc>
                      <w:tcPr>
                        <w:tcW w:w="817" w:type="dxa"/>
                      </w:tcPr>
                      <w:p>
                        <w:pPr>
                          <w:pStyle w:val="TableParagraph"/>
                          <w:spacing w:before="30"/>
                          <w:ind w:left="135"/>
                          <w:jc w:val="left"/>
                          <w:rPr>
                            <w:b/>
                            <w:sz w:val="14"/>
                          </w:rPr>
                        </w:pPr>
                        <w:r>
                          <w:rPr>
                            <w:b/>
                            <w:sz w:val="14"/>
                          </w:rPr>
                          <w:t>2015</w:t>
                        </w:r>
                      </w:p>
                      <w:p>
                        <w:pPr>
                          <w:pStyle w:val="TableParagraph"/>
                          <w:spacing w:before="67"/>
                          <w:ind w:left="118"/>
                          <w:jc w:val="left"/>
                          <w:rPr>
                            <w:b/>
                            <w:sz w:val="14"/>
                          </w:rPr>
                        </w:pPr>
                        <w:r>
                          <w:rPr>
                            <w:b/>
                            <w:sz w:val="14"/>
                          </w:rPr>
                          <w:t>$'000</w:t>
                        </w:r>
                      </w:p>
                    </w:tc>
                    <w:tc>
                      <w:tcPr>
                        <w:tcW w:w="827" w:type="dxa"/>
                      </w:tcPr>
                      <w:p>
                        <w:pPr>
                          <w:pStyle w:val="TableParagraph"/>
                          <w:spacing w:before="30"/>
                          <w:ind w:left="153"/>
                          <w:jc w:val="left"/>
                          <w:rPr>
                            <w:b/>
                            <w:sz w:val="14"/>
                          </w:rPr>
                        </w:pPr>
                        <w:r>
                          <w:rPr>
                            <w:b/>
                            <w:sz w:val="14"/>
                          </w:rPr>
                          <w:t>2016</w:t>
                        </w:r>
                      </w:p>
                      <w:p>
                        <w:pPr>
                          <w:pStyle w:val="TableParagraph"/>
                          <w:spacing w:before="67"/>
                          <w:ind w:left="136"/>
                          <w:jc w:val="left"/>
                          <w:rPr>
                            <w:b/>
                            <w:sz w:val="14"/>
                          </w:rPr>
                        </w:pPr>
                        <w:r>
                          <w:rPr>
                            <w:b/>
                            <w:sz w:val="14"/>
                          </w:rPr>
                          <w:t>$'000</w:t>
                        </w:r>
                      </w:p>
                    </w:tc>
                    <w:tc>
                      <w:tcPr>
                        <w:tcW w:w="704" w:type="dxa"/>
                      </w:tcPr>
                      <w:p>
                        <w:pPr>
                          <w:pStyle w:val="TableParagraph"/>
                          <w:spacing w:before="30"/>
                          <w:ind w:left="135"/>
                          <w:jc w:val="left"/>
                          <w:rPr>
                            <w:b/>
                            <w:sz w:val="14"/>
                          </w:rPr>
                        </w:pPr>
                        <w:r>
                          <w:rPr>
                            <w:b/>
                            <w:sz w:val="14"/>
                          </w:rPr>
                          <w:t>2015</w:t>
                        </w:r>
                      </w:p>
                      <w:p>
                        <w:pPr>
                          <w:pStyle w:val="TableParagraph"/>
                          <w:spacing w:before="67"/>
                          <w:ind w:left="118"/>
                          <w:jc w:val="left"/>
                          <w:rPr>
                            <w:b/>
                            <w:sz w:val="14"/>
                          </w:rPr>
                        </w:pPr>
                        <w:r>
                          <w:rPr>
                            <w:b/>
                            <w:sz w:val="14"/>
                          </w:rPr>
                          <w:t>$'000</w:t>
                        </w:r>
                      </w:p>
                    </w:tc>
                  </w:tr>
                  <w:tr>
                    <w:trPr>
                      <w:trHeight w:val="702" w:hRule="exact"/>
                    </w:trPr>
                    <w:tc>
                      <w:tcPr>
                        <w:tcW w:w="3177" w:type="dxa"/>
                      </w:tcPr>
                      <w:p>
                        <w:pPr>
                          <w:pStyle w:val="TableParagraph"/>
                          <w:spacing w:before="23"/>
                          <w:ind w:left="35" w:right="367"/>
                          <w:jc w:val="left"/>
                          <w:rPr>
                            <w:sz w:val="14"/>
                          </w:rPr>
                        </w:pPr>
                        <w:r>
                          <w:rPr>
                            <w:sz w:val="14"/>
                          </w:rPr>
                          <w:t>Financial assistance received in CASH during the reporting period (total cash received from Australian Government for the program)</w:t>
                        </w:r>
                      </w:p>
                    </w:tc>
                    <w:tc>
                      <w:tcPr>
                        <w:tcW w:w="849" w:type="dxa"/>
                      </w:tcPr>
                      <w:p>
                        <w:pPr/>
                      </w:p>
                    </w:tc>
                    <w:tc>
                      <w:tcPr>
                        <w:tcW w:w="940" w:type="dxa"/>
                        <w:tcBorders>
                          <w:bottom w:val="single" w:sz="0" w:space="0" w:color="000000"/>
                        </w:tcBorders>
                      </w:tcPr>
                      <w:p>
                        <w:pPr>
                          <w:pStyle w:val="TableParagraph"/>
                          <w:jc w:val="left"/>
                          <w:rPr>
                            <w:b/>
                            <w:sz w:val="14"/>
                          </w:rPr>
                        </w:pPr>
                      </w:p>
                      <w:p>
                        <w:pPr>
                          <w:pStyle w:val="TableParagraph"/>
                          <w:jc w:val="left"/>
                          <w:rPr>
                            <w:b/>
                            <w:sz w:val="14"/>
                          </w:rPr>
                        </w:pPr>
                      </w:p>
                      <w:p>
                        <w:pPr>
                          <w:pStyle w:val="TableParagraph"/>
                          <w:spacing w:before="10"/>
                          <w:jc w:val="left"/>
                          <w:rPr>
                            <w:b/>
                            <w:sz w:val="15"/>
                          </w:rPr>
                        </w:pPr>
                      </w:p>
                      <w:p>
                        <w:pPr>
                          <w:pStyle w:val="TableParagraph"/>
                          <w:ind w:right="163"/>
                          <w:rPr>
                            <w:sz w:val="14"/>
                          </w:rPr>
                        </w:pPr>
                        <w:r>
                          <w:rPr>
                            <w:sz w:val="14"/>
                          </w:rPr>
                          <w:t>3,361</w:t>
                        </w:r>
                      </w:p>
                    </w:tc>
                    <w:tc>
                      <w:tcPr>
                        <w:tcW w:w="817" w:type="dxa"/>
                        <w:tcBorders>
                          <w:bottom w:val="single" w:sz="0" w:space="0" w:color="000000"/>
                        </w:tcBorders>
                      </w:tcPr>
                      <w:p>
                        <w:pPr>
                          <w:pStyle w:val="TableParagraph"/>
                          <w:jc w:val="left"/>
                          <w:rPr>
                            <w:b/>
                            <w:sz w:val="14"/>
                          </w:rPr>
                        </w:pPr>
                      </w:p>
                      <w:p>
                        <w:pPr>
                          <w:pStyle w:val="TableParagraph"/>
                          <w:jc w:val="left"/>
                          <w:rPr>
                            <w:b/>
                            <w:sz w:val="14"/>
                          </w:rPr>
                        </w:pPr>
                      </w:p>
                      <w:p>
                        <w:pPr>
                          <w:pStyle w:val="TableParagraph"/>
                          <w:spacing w:before="10"/>
                          <w:jc w:val="left"/>
                          <w:rPr>
                            <w:b/>
                            <w:sz w:val="15"/>
                          </w:rPr>
                        </w:pPr>
                      </w:p>
                      <w:p>
                        <w:pPr>
                          <w:pStyle w:val="TableParagraph"/>
                          <w:ind w:right="180"/>
                          <w:rPr>
                            <w:sz w:val="14"/>
                          </w:rPr>
                        </w:pPr>
                        <w:r>
                          <w:rPr>
                            <w:sz w:val="14"/>
                          </w:rPr>
                          <w:t>3,227</w:t>
                        </w:r>
                      </w:p>
                    </w:tc>
                    <w:tc>
                      <w:tcPr>
                        <w:tcW w:w="827" w:type="dxa"/>
                        <w:tcBorders>
                          <w:bottom w:val="single" w:sz="0" w:space="0" w:color="000000"/>
                        </w:tcBorders>
                      </w:tcPr>
                      <w:p>
                        <w:pPr>
                          <w:pStyle w:val="TableParagraph"/>
                          <w:jc w:val="left"/>
                          <w:rPr>
                            <w:b/>
                            <w:sz w:val="14"/>
                          </w:rPr>
                        </w:pPr>
                      </w:p>
                      <w:p>
                        <w:pPr>
                          <w:pStyle w:val="TableParagraph"/>
                          <w:jc w:val="left"/>
                          <w:rPr>
                            <w:b/>
                            <w:sz w:val="14"/>
                          </w:rPr>
                        </w:pPr>
                      </w:p>
                      <w:p>
                        <w:pPr>
                          <w:pStyle w:val="TableParagraph"/>
                          <w:spacing w:before="10"/>
                          <w:jc w:val="left"/>
                          <w:rPr>
                            <w:b/>
                            <w:sz w:val="15"/>
                          </w:rPr>
                        </w:pPr>
                      </w:p>
                      <w:p>
                        <w:pPr>
                          <w:pStyle w:val="TableParagraph"/>
                          <w:ind w:right="163"/>
                          <w:rPr>
                            <w:sz w:val="14"/>
                          </w:rPr>
                        </w:pPr>
                        <w:r>
                          <w:rPr>
                            <w:sz w:val="14"/>
                          </w:rPr>
                          <w:t>274</w:t>
                        </w:r>
                      </w:p>
                    </w:tc>
                    <w:tc>
                      <w:tcPr>
                        <w:tcW w:w="817" w:type="dxa"/>
                        <w:tcBorders>
                          <w:bottom w:val="single" w:sz="0" w:space="0" w:color="000000"/>
                        </w:tcBorders>
                      </w:tcPr>
                      <w:p>
                        <w:pPr>
                          <w:pStyle w:val="TableParagraph"/>
                          <w:jc w:val="left"/>
                          <w:rPr>
                            <w:b/>
                            <w:sz w:val="14"/>
                          </w:rPr>
                        </w:pPr>
                      </w:p>
                      <w:p>
                        <w:pPr>
                          <w:pStyle w:val="TableParagraph"/>
                          <w:jc w:val="left"/>
                          <w:rPr>
                            <w:b/>
                            <w:sz w:val="14"/>
                          </w:rPr>
                        </w:pPr>
                      </w:p>
                      <w:p>
                        <w:pPr>
                          <w:pStyle w:val="TableParagraph"/>
                          <w:spacing w:before="10"/>
                          <w:jc w:val="left"/>
                          <w:rPr>
                            <w:b/>
                            <w:sz w:val="15"/>
                          </w:rPr>
                        </w:pPr>
                      </w:p>
                      <w:p>
                        <w:pPr>
                          <w:pStyle w:val="TableParagraph"/>
                          <w:ind w:right="181"/>
                          <w:rPr>
                            <w:sz w:val="14"/>
                          </w:rPr>
                        </w:pPr>
                        <w:r>
                          <w:rPr>
                            <w:sz w:val="14"/>
                          </w:rPr>
                          <w:t>270</w:t>
                        </w:r>
                      </w:p>
                    </w:tc>
                    <w:tc>
                      <w:tcPr>
                        <w:tcW w:w="827" w:type="dxa"/>
                        <w:tcBorders>
                          <w:bottom w:val="single" w:sz="0" w:space="0" w:color="000000"/>
                        </w:tcBorders>
                      </w:tcPr>
                      <w:p>
                        <w:pPr>
                          <w:pStyle w:val="TableParagraph"/>
                          <w:jc w:val="left"/>
                          <w:rPr>
                            <w:b/>
                            <w:sz w:val="14"/>
                          </w:rPr>
                        </w:pPr>
                      </w:p>
                      <w:p>
                        <w:pPr>
                          <w:pStyle w:val="TableParagraph"/>
                          <w:jc w:val="left"/>
                          <w:rPr>
                            <w:b/>
                            <w:sz w:val="14"/>
                          </w:rPr>
                        </w:pPr>
                      </w:p>
                      <w:p>
                        <w:pPr>
                          <w:pStyle w:val="TableParagraph"/>
                          <w:spacing w:before="10"/>
                          <w:jc w:val="left"/>
                          <w:rPr>
                            <w:b/>
                            <w:sz w:val="15"/>
                          </w:rPr>
                        </w:pPr>
                      </w:p>
                      <w:p>
                        <w:pPr>
                          <w:pStyle w:val="TableParagraph"/>
                          <w:ind w:right="163"/>
                          <w:rPr>
                            <w:sz w:val="14"/>
                          </w:rPr>
                        </w:pPr>
                        <w:r>
                          <w:rPr>
                            <w:sz w:val="14"/>
                          </w:rPr>
                          <w:t>109</w:t>
                        </w:r>
                      </w:p>
                    </w:tc>
                    <w:tc>
                      <w:tcPr>
                        <w:tcW w:w="817" w:type="dxa"/>
                        <w:tcBorders>
                          <w:bottom w:val="single" w:sz="0" w:space="0" w:color="000000"/>
                        </w:tcBorders>
                      </w:tcPr>
                      <w:p>
                        <w:pPr>
                          <w:pStyle w:val="TableParagraph"/>
                          <w:jc w:val="left"/>
                          <w:rPr>
                            <w:b/>
                            <w:sz w:val="14"/>
                          </w:rPr>
                        </w:pPr>
                      </w:p>
                      <w:p>
                        <w:pPr>
                          <w:pStyle w:val="TableParagraph"/>
                          <w:jc w:val="left"/>
                          <w:rPr>
                            <w:b/>
                            <w:sz w:val="14"/>
                          </w:rPr>
                        </w:pPr>
                      </w:p>
                      <w:p>
                        <w:pPr>
                          <w:pStyle w:val="TableParagraph"/>
                          <w:spacing w:before="10"/>
                          <w:jc w:val="left"/>
                          <w:rPr>
                            <w:b/>
                            <w:sz w:val="15"/>
                          </w:rPr>
                        </w:pPr>
                      </w:p>
                      <w:p>
                        <w:pPr>
                          <w:pStyle w:val="TableParagraph"/>
                          <w:ind w:right="182"/>
                          <w:rPr>
                            <w:sz w:val="14"/>
                          </w:rPr>
                        </w:pPr>
                        <w:r>
                          <w:rPr>
                            <w:sz w:val="14"/>
                          </w:rPr>
                          <w:t>83</w:t>
                        </w:r>
                      </w:p>
                    </w:tc>
                    <w:tc>
                      <w:tcPr>
                        <w:tcW w:w="494" w:type="dxa"/>
                        <w:tcBorders>
                          <w:bottom w:val="single" w:sz="0" w:space="0" w:color="000000"/>
                        </w:tcBorders>
                      </w:tcPr>
                      <w:p>
                        <w:pPr/>
                      </w:p>
                    </w:tc>
                    <w:tc>
                      <w:tcPr>
                        <w:tcW w:w="310" w:type="dxa"/>
                        <w:tcBorders>
                          <w:bottom w:val="single" w:sz="0" w:space="0" w:color="000000"/>
                        </w:tcBorders>
                      </w:tcPr>
                      <w:p>
                        <w:pPr>
                          <w:pStyle w:val="TableParagraph"/>
                          <w:jc w:val="left"/>
                          <w:rPr>
                            <w:b/>
                            <w:sz w:val="14"/>
                          </w:rPr>
                        </w:pPr>
                      </w:p>
                      <w:p>
                        <w:pPr>
                          <w:pStyle w:val="TableParagraph"/>
                          <w:jc w:val="left"/>
                          <w:rPr>
                            <w:b/>
                            <w:sz w:val="14"/>
                          </w:rPr>
                        </w:pPr>
                      </w:p>
                      <w:p>
                        <w:pPr>
                          <w:pStyle w:val="TableParagraph"/>
                          <w:spacing w:before="10"/>
                          <w:jc w:val="left"/>
                          <w:rPr>
                            <w:b/>
                            <w:sz w:val="15"/>
                          </w:rPr>
                        </w:pPr>
                      </w:p>
                      <w:p>
                        <w:pPr>
                          <w:pStyle w:val="TableParagraph"/>
                          <w:ind w:right="140"/>
                          <w:rPr>
                            <w:sz w:val="14"/>
                          </w:rPr>
                        </w:pPr>
                        <w:r>
                          <w:rPr>
                            <w:sz w:val="14"/>
                          </w:rPr>
                          <w:t>21</w:t>
                        </w:r>
                      </w:p>
                    </w:tc>
                    <w:tc>
                      <w:tcPr>
                        <w:tcW w:w="494" w:type="dxa"/>
                        <w:tcBorders>
                          <w:bottom w:val="single" w:sz="0" w:space="0" w:color="000000"/>
                        </w:tcBorders>
                      </w:tcPr>
                      <w:p>
                        <w:pPr/>
                      </w:p>
                    </w:tc>
                    <w:tc>
                      <w:tcPr>
                        <w:tcW w:w="322" w:type="dxa"/>
                        <w:tcBorders>
                          <w:bottom w:val="single" w:sz="0" w:space="0" w:color="000000"/>
                        </w:tcBorders>
                      </w:tcPr>
                      <w:p>
                        <w:pPr>
                          <w:pStyle w:val="TableParagraph"/>
                          <w:jc w:val="left"/>
                          <w:rPr>
                            <w:b/>
                            <w:sz w:val="14"/>
                          </w:rPr>
                        </w:pPr>
                      </w:p>
                      <w:p>
                        <w:pPr>
                          <w:pStyle w:val="TableParagraph"/>
                          <w:jc w:val="left"/>
                          <w:rPr>
                            <w:b/>
                            <w:sz w:val="14"/>
                          </w:rPr>
                        </w:pPr>
                      </w:p>
                      <w:p>
                        <w:pPr>
                          <w:pStyle w:val="TableParagraph"/>
                          <w:spacing w:before="10"/>
                          <w:jc w:val="left"/>
                          <w:rPr>
                            <w:b/>
                            <w:sz w:val="15"/>
                          </w:rPr>
                        </w:pPr>
                      </w:p>
                      <w:p>
                        <w:pPr>
                          <w:pStyle w:val="TableParagraph"/>
                          <w:ind w:right="157"/>
                          <w:rPr>
                            <w:sz w:val="14"/>
                          </w:rPr>
                        </w:pPr>
                        <w:r>
                          <w:rPr>
                            <w:sz w:val="14"/>
                          </w:rPr>
                          <w:t>10</w:t>
                        </w:r>
                      </w:p>
                    </w:tc>
                    <w:tc>
                      <w:tcPr>
                        <w:tcW w:w="851" w:type="dxa"/>
                        <w:tcBorders>
                          <w:bottom w:val="single" w:sz="0" w:space="0" w:color="000000"/>
                        </w:tcBorders>
                      </w:tcPr>
                      <w:p>
                        <w:pPr>
                          <w:pStyle w:val="TableParagraph"/>
                          <w:jc w:val="left"/>
                          <w:rPr>
                            <w:b/>
                            <w:sz w:val="14"/>
                          </w:rPr>
                        </w:pPr>
                      </w:p>
                      <w:p>
                        <w:pPr>
                          <w:pStyle w:val="TableParagraph"/>
                          <w:jc w:val="left"/>
                          <w:rPr>
                            <w:b/>
                            <w:sz w:val="14"/>
                          </w:rPr>
                        </w:pPr>
                      </w:p>
                      <w:p>
                        <w:pPr>
                          <w:pStyle w:val="TableParagraph"/>
                          <w:spacing w:before="10"/>
                          <w:jc w:val="left"/>
                          <w:rPr>
                            <w:b/>
                            <w:sz w:val="15"/>
                          </w:rPr>
                        </w:pPr>
                      </w:p>
                      <w:p>
                        <w:pPr>
                          <w:pStyle w:val="TableParagraph"/>
                          <w:ind w:right="163"/>
                          <w:rPr>
                            <w:sz w:val="14"/>
                          </w:rPr>
                        </w:pPr>
                        <w:r>
                          <w:rPr>
                            <w:sz w:val="14"/>
                          </w:rPr>
                          <w:t>39</w:t>
                        </w:r>
                      </w:p>
                    </w:tc>
                    <w:tc>
                      <w:tcPr>
                        <w:tcW w:w="817" w:type="dxa"/>
                        <w:tcBorders>
                          <w:bottom w:val="single" w:sz="0" w:space="0" w:color="000000"/>
                        </w:tcBorders>
                      </w:tcPr>
                      <w:p>
                        <w:pPr>
                          <w:pStyle w:val="TableParagraph"/>
                          <w:jc w:val="left"/>
                          <w:rPr>
                            <w:b/>
                            <w:sz w:val="14"/>
                          </w:rPr>
                        </w:pPr>
                      </w:p>
                      <w:p>
                        <w:pPr>
                          <w:pStyle w:val="TableParagraph"/>
                          <w:jc w:val="left"/>
                          <w:rPr>
                            <w:b/>
                            <w:sz w:val="14"/>
                          </w:rPr>
                        </w:pPr>
                      </w:p>
                      <w:p>
                        <w:pPr>
                          <w:pStyle w:val="TableParagraph"/>
                          <w:spacing w:before="10"/>
                          <w:jc w:val="left"/>
                          <w:rPr>
                            <w:b/>
                            <w:sz w:val="15"/>
                          </w:rPr>
                        </w:pPr>
                      </w:p>
                      <w:p>
                        <w:pPr>
                          <w:pStyle w:val="TableParagraph"/>
                          <w:ind w:right="180"/>
                          <w:rPr>
                            <w:sz w:val="14"/>
                          </w:rPr>
                        </w:pPr>
                        <w:r>
                          <w:rPr>
                            <w:sz w:val="14"/>
                          </w:rPr>
                          <w:t>72</w:t>
                        </w:r>
                      </w:p>
                    </w:tc>
                    <w:tc>
                      <w:tcPr>
                        <w:tcW w:w="827" w:type="dxa"/>
                        <w:tcBorders>
                          <w:bottom w:val="single" w:sz="0" w:space="0" w:color="000000"/>
                        </w:tcBorders>
                      </w:tcPr>
                      <w:p>
                        <w:pPr>
                          <w:pStyle w:val="TableParagraph"/>
                          <w:jc w:val="left"/>
                          <w:rPr>
                            <w:b/>
                            <w:sz w:val="14"/>
                          </w:rPr>
                        </w:pPr>
                      </w:p>
                      <w:p>
                        <w:pPr>
                          <w:pStyle w:val="TableParagraph"/>
                          <w:jc w:val="left"/>
                          <w:rPr>
                            <w:b/>
                            <w:sz w:val="14"/>
                          </w:rPr>
                        </w:pPr>
                      </w:p>
                      <w:p>
                        <w:pPr>
                          <w:pStyle w:val="TableParagraph"/>
                          <w:spacing w:before="10"/>
                          <w:jc w:val="left"/>
                          <w:rPr>
                            <w:b/>
                            <w:sz w:val="15"/>
                          </w:rPr>
                        </w:pPr>
                      </w:p>
                      <w:p>
                        <w:pPr>
                          <w:pStyle w:val="TableParagraph"/>
                          <w:ind w:right="163"/>
                          <w:rPr>
                            <w:sz w:val="14"/>
                          </w:rPr>
                        </w:pPr>
                        <w:r>
                          <w:rPr>
                            <w:sz w:val="14"/>
                          </w:rPr>
                          <w:t>3,804</w:t>
                        </w:r>
                      </w:p>
                    </w:tc>
                    <w:tc>
                      <w:tcPr>
                        <w:tcW w:w="704" w:type="dxa"/>
                        <w:tcBorders>
                          <w:bottom w:val="single" w:sz="0" w:space="0" w:color="000000"/>
                        </w:tcBorders>
                      </w:tcPr>
                      <w:p>
                        <w:pPr>
                          <w:pStyle w:val="TableParagraph"/>
                          <w:jc w:val="left"/>
                          <w:rPr>
                            <w:b/>
                            <w:sz w:val="14"/>
                          </w:rPr>
                        </w:pPr>
                      </w:p>
                      <w:p>
                        <w:pPr>
                          <w:pStyle w:val="TableParagraph"/>
                          <w:jc w:val="left"/>
                          <w:rPr>
                            <w:b/>
                            <w:sz w:val="14"/>
                          </w:rPr>
                        </w:pPr>
                      </w:p>
                      <w:p>
                        <w:pPr>
                          <w:pStyle w:val="TableParagraph"/>
                          <w:spacing w:before="10"/>
                          <w:jc w:val="left"/>
                          <w:rPr>
                            <w:b/>
                            <w:sz w:val="15"/>
                          </w:rPr>
                        </w:pPr>
                      </w:p>
                      <w:p>
                        <w:pPr>
                          <w:pStyle w:val="TableParagraph"/>
                          <w:ind w:right="68"/>
                          <w:rPr>
                            <w:sz w:val="14"/>
                          </w:rPr>
                        </w:pPr>
                        <w:r>
                          <w:rPr>
                            <w:sz w:val="14"/>
                          </w:rPr>
                          <w:t>3,662</w:t>
                        </w:r>
                      </w:p>
                    </w:tc>
                  </w:tr>
                  <w:tr>
                    <w:trPr>
                      <w:trHeight w:val="237" w:hRule="exact"/>
                    </w:trPr>
                    <w:tc>
                      <w:tcPr>
                        <w:tcW w:w="3177" w:type="dxa"/>
                      </w:tcPr>
                      <w:p>
                        <w:pPr>
                          <w:pStyle w:val="TableParagraph"/>
                          <w:spacing w:before="41"/>
                          <w:ind w:left="35" w:right="367"/>
                          <w:jc w:val="left"/>
                          <w:rPr>
                            <w:sz w:val="14"/>
                          </w:rPr>
                        </w:pPr>
                        <w:r>
                          <w:rPr>
                            <w:sz w:val="14"/>
                          </w:rPr>
                          <w:t>Revenue for the period</w:t>
                        </w:r>
                      </w:p>
                    </w:tc>
                    <w:tc>
                      <w:tcPr>
                        <w:tcW w:w="849" w:type="dxa"/>
                      </w:tcPr>
                      <w:p>
                        <w:pPr>
                          <w:pStyle w:val="TableParagraph"/>
                          <w:spacing w:before="38"/>
                          <w:ind w:left="378"/>
                          <w:jc w:val="left"/>
                          <w:rPr>
                            <w:sz w:val="14"/>
                          </w:rPr>
                        </w:pPr>
                        <w:r>
                          <w:rPr>
                            <w:sz w:val="14"/>
                          </w:rPr>
                          <w:t>2(c)</w:t>
                        </w:r>
                      </w:p>
                    </w:tc>
                    <w:tc>
                      <w:tcPr>
                        <w:tcW w:w="940" w:type="dxa"/>
                        <w:tcBorders>
                          <w:top w:val="single" w:sz="0" w:space="0" w:color="000000"/>
                        </w:tcBorders>
                      </w:tcPr>
                      <w:p>
                        <w:pPr>
                          <w:pStyle w:val="TableParagraph"/>
                          <w:spacing w:before="39"/>
                          <w:ind w:right="163"/>
                          <w:rPr>
                            <w:sz w:val="14"/>
                          </w:rPr>
                        </w:pPr>
                        <w:r>
                          <w:rPr>
                            <w:sz w:val="14"/>
                          </w:rPr>
                          <w:t>3,361</w:t>
                        </w:r>
                      </w:p>
                    </w:tc>
                    <w:tc>
                      <w:tcPr>
                        <w:tcW w:w="817" w:type="dxa"/>
                        <w:tcBorders>
                          <w:top w:val="single" w:sz="0" w:space="0" w:color="000000"/>
                        </w:tcBorders>
                      </w:tcPr>
                      <w:p>
                        <w:pPr>
                          <w:pStyle w:val="TableParagraph"/>
                          <w:spacing w:before="39"/>
                          <w:ind w:right="180"/>
                          <w:rPr>
                            <w:sz w:val="14"/>
                          </w:rPr>
                        </w:pPr>
                        <w:r>
                          <w:rPr>
                            <w:sz w:val="14"/>
                          </w:rPr>
                          <w:t>3,227</w:t>
                        </w:r>
                      </w:p>
                    </w:tc>
                    <w:tc>
                      <w:tcPr>
                        <w:tcW w:w="827" w:type="dxa"/>
                        <w:tcBorders>
                          <w:top w:val="single" w:sz="0" w:space="0" w:color="000000"/>
                        </w:tcBorders>
                      </w:tcPr>
                      <w:p>
                        <w:pPr>
                          <w:pStyle w:val="TableParagraph"/>
                          <w:spacing w:before="39"/>
                          <w:ind w:right="163"/>
                          <w:rPr>
                            <w:sz w:val="14"/>
                          </w:rPr>
                        </w:pPr>
                        <w:r>
                          <w:rPr>
                            <w:sz w:val="14"/>
                          </w:rPr>
                          <w:t>274</w:t>
                        </w:r>
                      </w:p>
                    </w:tc>
                    <w:tc>
                      <w:tcPr>
                        <w:tcW w:w="817" w:type="dxa"/>
                        <w:tcBorders>
                          <w:top w:val="single" w:sz="0" w:space="0" w:color="000000"/>
                        </w:tcBorders>
                      </w:tcPr>
                      <w:p>
                        <w:pPr>
                          <w:pStyle w:val="TableParagraph"/>
                          <w:spacing w:before="39"/>
                          <w:ind w:right="182"/>
                          <w:rPr>
                            <w:sz w:val="14"/>
                          </w:rPr>
                        </w:pPr>
                        <w:r>
                          <w:rPr>
                            <w:sz w:val="14"/>
                          </w:rPr>
                          <w:t>270</w:t>
                        </w:r>
                      </w:p>
                    </w:tc>
                    <w:tc>
                      <w:tcPr>
                        <w:tcW w:w="827" w:type="dxa"/>
                        <w:tcBorders>
                          <w:top w:val="single" w:sz="0" w:space="0" w:color="000000"/>
                        </w:tcBorders>
                      </w:tcPr>
                      <w:p>
                        <w:pPr>
                          <w:pStyle w:val="TableParagraph"/>
                          <w:spacing w:before="39"/>
                          <w:ind w:right="163"/>
                          <w:rPr>
                            <w:sz w:val="14"/>
                          </w:rPr>
                        </w:pPr>
                        <w:r>
                          <w:rPr>
                            <w:sz w:val="14"/>
                          </w:rPr>
                          <w:t>109</w:t>
                        </w:r>
                      </w:p>
                    </w:tc>
                    <w:tc>
                      <w:tcPr>
                        <w:tcW w:w="817" w:type="dxa"/>
                        <w:tcBorders>
                          <w:top w:val="single" w:sz="0" w:space="0" w:color="000000"/>
                        </w:tcBorders>
                      </w:tcPr>
                      <w:p>
                        <w:pPr>
                          <w:pStyle w:val="TableParagraph"/>
                          <w:spacing w:before="39"/>
                          <w:ind w:right="182"/>
                          <w:rPr>
                            <w:sz w:val="14"/>
                          </w:rPr>
                        </w:pPr>
                        <w:r>
                          <w:rPr>
                            <w:sz w:val="14"/>
                          </w:rPr>
                          <w:t>83</w:t>
                        </w:r>
                      </w:p>
                    </w:tc>
                    <w:tc>
                      <w:tcPr>
                        <w:tcW w:w="494" w:type="dxa"/>
                        <w:tcBorders>
                          <w:top w:val="single" w:sz="0" w:space="0" w:color="000000"/>
                        </w:tcBorders>
                      </w:tcPr>
                      <w:p>
                        <w:pPr/>
                      </w:p>
                    </w:tc>
                    <w:tc>
                      <w:tcPr>
                        <w:tcW w:w="310" w:type="dxa"/>
                        <w:tcBorders>
                          <w:top w:val="single" w:sz="0" w:space="0" w:color="000000"/>
                        </w:tcBorders>
                      </w:tcPr>
                      <w:p>
                        <w:pPr>
                          <w:pStyle w:val="TableParagraph"/>
                          <w:spacing w:before="39"/>
                          <w:ind w:right="140"/>
                          <w:rPr>
                            <w:sz w:val="14"/>
                          </w:rPr>
                        </w:pPr>
                        <w:r>
                          <w:rPr>
                            <w:sz w:val="14"/>
                          </w:rPr>
                          <w:t>21</w:t>
                        </w:r>
                      </w:p>
                    </w:tc>
                    <w:tc>
                      <w:tcPr>
                        <w:tcW w:w="494" w:type="dxa"/>
                        <w:tcBorders>
                          <w:top w:val="single" w:sz="0" w:space="0" w:color="000000"/>
                        </w:tcBorders>
                      </w:tcPr>
                      <w:p>
                        <w:pPr/>
                      </w:p>
                    </w:tc>
                    <w:tc>
                      <w:tcPr>
                        <w:tcW w:w="322" w:type="dxa"/>
                        <w:tcBorders>
                          <w:top w:val="single" w:sz="0" w:space="0" w:color="000000"/>
                        </w:tcBorders>
                      </w:tcPr>
                      <w:p>
                        <w:pPr>
                          <w:pStyle w:val="TableParagraph"/>
                          <w:spacing w:before="39"/>
                          <w:ind w:right="157"/>
                          <w:rPr>
                            <w:sz w:val="14"/>
                          </w:rPr>
                        </w:pPr>
                        <w:r>
                          <w:rPr>
                            <w:sz w:val="14"/>
                          </w:rPr>
                          <w:t>10</w:t>
                        </w:r>
                      </w:p>
                    </w:tc>
                    <w:tc>
                      <w:tcPr>
                        <w:tcW w:w="851" w:type="dxa"/>
                        <w:tcBorders>
                          <w:top w:val="single" w:sz="0" w:space="0" w:color="000000"/>
                        </w:tcBorders>
                      </w:tcPr>
                      <w:p>
                        <w:pPr>
                          <w:pStyle w:val="TableParagraph"/>
                          <w:spacing w:before="39"/>
                          <w:ind w:right="163"/>
                          <w:rPr>
                            <w:sz w:val="14"/>
                          </w:rPr>
                        </w:pPr>
                        <w:r>
                          <w:rPr>
                            <w:sz w:val="14"/>
                          </w:rPr>
                          <w:t>39</w:t>
                        </w:r>
                      </w:p>
                    </w:tc>
                    <w:tc>
                      <w:tcPr>
                        <w:tcW w:w="817" w:type="dxa"/>
                        <w:tcBorders>
                          <w:top w:val="single" w:sz="0" w:space="0" w:color="000000"/>
                        </w:tcBorders>
                      </w:tcPr>
                      <w:p>
                        <w:pPr>
                          <w:pStyle w:val="TableParagraph"/>
                          <w:spacing w:before="39"/>
                          <w:ind w:right="180"/>
                          <w:rPr>
                            <w:sz w:val="14"/>
                          </w:rPr>
                        </w:pPr>
                        <w:r>
                          <w:rPr>
                            <w:sz w:val="14"/>
                          </w:rPr>
                          <w:t>72</w:t>
                        </w:r>
                      </w:p>
                    </w:tc>
                    <w:tc>
                      <w:tcPr>
                        <w:tcW w:w="827" w:type="dxa"/>
                        <w:tcBorders>
                          <w:top w:val="single" w:sz="0" w:space="0" w:color="000000"/>
                        </w:tcBorders>
                      </w:tcPr>
                      <w:p>
                        <w:pPr>
                          <w:pStyle w:val="TableParagraph"/>
                          <w:spacing w:before="39"/>
                          <w:ind w:right="163"/>
                          <w:rPr>
                            <w:sz w:val="14"/>
                          </w:rPr>
                        </w:pPr>
                        <w:r>
                          <w:rPr>
                            <w:sz w:val="14"/>
                          </w:rPr>
                          <w:t>3,804</w:t>
                        </w:r>
                      </w:p>
                    </w:tc>
                    <w:tc>
                      <w:tcPr>
                        <w:tcW w:w="704" w:type="dxa"/>
                        <w:tcBorders>
                          <w:top w:val="single" w:sz="0" w:space="0" w:color="000000"/>
                        </w:tcBorders>
                      </w:tcPr>
                      <w:p>
                        <w:pPr>
                          <w:pStyle w:val="TableParagraph"/>
                          <w:spacing w:before="39"/>
                          <w:ind w:right="68"/>
                          <w:rPr>
                            <w:sz w:val="14"/>
                          </w:rPr>
                        </w:pPr>
                        <w:r>
                          <w:rPr>
                            <w:sz w:val="14"/>
                          </w:rPr>
                          <w:t>3,662</w:t>
                        </w:r>
                      </w:p>
                    </w:tc>
                  </w:tr>
                  <w:tr>
                    <w:trPr>
                      <w:trHeight w:val="219" w:hRule="exact"/>
                    </w:trPr>
                    <w:tc>
                      <w:tcPr>
                        <w:tcW w:w="3177" w:type="dxa"/>
                      </w:tcPr>
                      <w:p>
                        <w:pPr>
                          <w:pStyle w:val="TableParagraph"/>
                          <w:spacing w:before="22"/>
                          <w:ind w:left="35" w:right="367"/>
                          <w:jc w:val="left"/>
                          <w:rPr>
                            <w:sz w:val="14"/>
                          </w:rPr>
                        </w:pPr>
                        <w:r>
                          <w:rPr>
                            <w:sz w:val="14"/>
                          </w:rPr>
                          <w:t>Surplus/(deficit) from the previous year</w:t>
                        </w:r>
                      </w:p>
                    </w:tc>
                    <w:tc>
                      <w:tcPr>
                        <w:tcW w:w="849" w:type="dxa"/>
                      </w:tcPr>
                      <w:p>
                        <w:pPr/>
                      </w:p>
                    </w:tc>
                    <w:tc>
                      <w:tcPr>
                        <w:tcW w:w="940" w:type="dxa"/>
                        <w:tcBorders>
                          <w:bottom w:val="single" w:sz="0" w:space="0" w:color="000000"/>
                        </w:tcBorders>
                      </w:tcPr>
                      <w:p>
                        <w:pPr>
                          <w:pStyle w:val="TableParagraph"/>
                          <w:spacing w:before="21"/>
                          <w:ind w:right="163"/>
                          <w:rPr>
                            <w:sz w:val="14"/>
                          </w:rPr>
                        </w:pPr>
                        <w:r>
                          <w:rPr>
                            <w:w w:val="100"/>
                            <w:sz w:val="14"/>
                          </w:rPr>
                          <w:t>-</w:t>
                        </w:r>
                      </w:p>
                    </w:tc>
                    <w:tc>
                      <w:tcPr>
                        <w:tcW w:w="817" w:type="dxa"/>
                        <w:tcBorders>
                          <w:bottom w:val="single" w:sz="0" w:space="0" w:color="000000"/>
                        </w:tcBorders>
                      </w:tcPr>
                      <w:p>
                        <w:pPr>
                          <w:pStyle w:val="TableParagraph"/>
                          <w:spacing w:before="21"/>
                          <w:ind w:right="180"/>
                          <w:rPr>
                            <w:sz w:val="14"/>
                          </w:rPr>
                        </w:pPr>
                        <w:r>
                          <w:rPr>
                            <w:w w:val="100"/>
                            <w:sz w:val="14"/>
                          </w:rPr>
                          <w:t>-</w:t>
                        </w:r>
                      </w:p>
                    </w:tc>
                    <w:tc>
                      <w:tcPr>
                        <w:tcW w:w="827" w:type="dxa"/>
                        <w:tcBorders>
                          <w:bottom w:val="single" w:sz="0" w:space="0" w:color="000000"/>
                        </w:tcBorders>
                      </w:tcPr>
                      <w:p>
                        <w:pPr>
                          <w:pStyle w:val="TableParagraph"/>
                          <w:spacing w:before="21"/>
                          <w:ind w:right="163"/>
                          <w:rPr>
                            <w:sz w:val="14"/>
                          </w:rPr>
                        </w:pPr>
                        <w:r>
                          <w:rPr>
                            <w:w w:val="100"/>
                            <w:sz w:val="14"/>
                          </w:rPr>
                          <w:t>-</w:t>
                        </w:r>
                      </w:p>
                    </w:tc>
                    <w:tc>
                      <w:tcPr>
                        <w:tcW w:w="817" w:type="dxa"/>
                        <w:tcBorders>
                          <w:bottom w:val="single" w:sz="0" w:space="0" w:color="000000"/>
                        </w:tcBorders>
                      </w:tcPr>
                      <w:p>
                        <w:pPr>
                          <w:pStyle w:val="TableParagraph"/>
                          <w:spacing w:before="21"/>
                          <w:ind w:right="182"/>
                          <w:rPr>
                            <w:sz w:val="14"/>
                          </w:rPr>
                        </w:pPr>
                        <w:r>
                          <w:rPr>
                            <w:sz w:val="14"/>
                          </w:rPr>
                          <w:t>134</w:t>
                        </w:r>
                      </w:p>
                    </w:tc>
                    <w:tc>
                      <w:tcPr>
                        <w:tcW w:w="827" w:type="dxa"/>
                        <w:tcBorders>
                          <w:bottom w:val="single" w:sz="0" w:space="0" w:color="000000"/>
                        </w:tcBorders>
                      </w:tcPr>
                      <w:p>
                        <w:pPr>
                          <w:pStyle w:val="TableParagraph"/>
                          <w:spacing w:before="21"/>
                          <w:ind w:right="163"/>
                          <w:rPr>
                            <w:sz w:val="14"/>
                          </w:rPr>
                        </w:pPr>
                        <w:r>
                          <w:rPr>
                            <w:sz w:val="14"/>
                          </w:rPr>
                          <w:t>17</w:t>
                        </w:r>
                      </w:p>
                    </w:tc>
                    <w:tc>
                      <w:tcPr>
                        <w:tcW w:w="817" w:type="dxa"/>
                        <w:tcBorders>
                          <w:bottom w:val="single" w:sz="0" w:space="0" w:color="000000"/>
                        </w:tcBorders>
                      </w:tcPr>
                      <w:p>
                        <w:pPr>
                          <w:pStyle w:val="TableParagraph"/>
                          <w:spacing w:before="21"/>
                          <w:ind w:right="182"/>
                          <w:rPr>
                            <w:sz w:val="14"/>
                          </w:rPr>
                        </w:pPr>
                        <w:r>
                          <w:rPr>
                            <w:sz w:val="14"/>
                          </w:rPr>
                          <w:t>57</w:t>
                        </w:r>
                      </w:p>
                    </w:tc>
                    <w:tc>
                      <w:tcPr>
                        <w:tcW w:w="494" w:type="dxa"/>
                        <w:tcBorders>
                          <w:bottom w:val="single" w:sz="0" w:space="0" w:color="000000"/>
                        </w:tcBorders>
                      </w:tcPr>
                      <w:p>
                        <w:pPr/>
                      </w:p>
                    </w:tc>
                    <w:tc>
                      <w:tcPr>
                        <w:tcW w:w="310" w:type="dxa"/>
                        <w:tcBorders>
                          <w:bottom w:val="single" w:sz="0" w:space="0" w:color="000000"/>
                        </w:tcBorders>
                      </w:tcPr>
                      <w:p>
                        <w:pPr>
                          <w:pStyle w:val="TableParagraph"/>
                          <w:spacing w:before="21"/>
                          <w:ind w:right="140"/>
                          <w:rPr>
                            <w:sz w:val="14"/>
                          </w:rPr>
                        </w:pPr>
                        <w:r>
                          <w:rPr>
                            <w:sz w:val="14"/>
                          </w:rPr>
                          <w:t>10</w:t>
                        </w:r>
                      </w:p>
                    </w:tc>
                    <w:tc>
                      <w:tcPr>
                        <w:tcW w:w="494" w:type="dxa"/>
                        <w:tcBorders>
                          <w:bottom w:val="single" w:sz="0" w:space="0" w:color="000000"/>
                        </w:tcBorders>
                      </w:tcPr>
                      <w:p>
                        <w:pPr/>
                      </w:p>
                    </w:tc>
                    <w:tc>
                      <w:tcPr>
                        <w:tcW w:w="322" w:type="dxa"/>
                        <w:tcBorders>
                          <w:bottom w:val="single" w:sz="0" w:space="0" w:color="000000"/>
                        </w:tcBorders>
                      </w:tcPr>
                      <w:p>
                        <w:pPr>
                          <w:pStyle w:val="TableParagraph"/>
                          <w:spacing w:before="21"/>
                          <w:ind w:right="157"/>
                          <w:rPr>
                            <w:sz w:val="14"/>
                          </w:rPr>
                        </w:pPr>
                        <w:r>
                          <w:rPr>
                            <w:w w:val="100"/>
                            <w:sz w:val="14"/>
                          </w:rPr>
                          <w:t>-</w:t>
                        </w:r>
                      </w:p>
                    </w:tc>
                    <w:tc>
                      <w:tcPr>
                        <w:tcW w:w="851" w:type="dxa"/>
                        <w:tcBorders>
                          <w:bottom w:val="single" w:sz="0" w:space="0" w:color="000000"/>
                        </w:tcBorders>
                      </w:tcPr>
                      <w:p>
                        <w:pPr>
                          <w:pStyle w:val="TableParagraph"/>
                          <w:spacing w:before="21"/>
                          <w:ind w:right="163"/>
                          <w:rPr>
                            <w:sz w:val="14"/>
                          </w:rPr>
                        </w:pPr>
                        <w:r>
                          <w:rPr>
                            <w:w w:val="100"/>
                            <w:sz w:val="14"/>
                          </w:rPr>
                          <w:t>-</w:t>
                        </w:r>
                      </w:p>
                    </w:tc>
                    <w:tc>
                      <w:tcPr>
                        <w:tcW w:w="817" w:type="dxa"/>
                        <w:tcBorders>
                          <w:bottom w:val="single" w:sz="0" w:space="0" w:color="000000"/>
                        </w:tcBorders>
                      </w:tcPr>
                      <w:p>
                        <w:pPr>
                          <w:pStyle w:val="TableParagraph"/>
                          <w:spacing w:before="21"/>
                          <w:ind w:right="182"/>
                          <w:rPr>
                            <w:sz w:val="14"/>
                          </w:rPr>
                        </w:pPr>
                        <w:r>
                          <w:rPr>
                            <w:w w:val="100"/>
                            <w:sz w:val="14"/>
                          </w:rPr>
                          <w:t>-</w:t>
                        </w:r>
                      </w:p>
                    </w:tc>
                    <w:tc>
                      <w:tcPr>
                        <w:tcW w:w="827" w:type="dxa"/>
                        <w:tcBorders>
                          <w:bottom w:val="single" w:sz="0" w:space="0" w:color="000000"/>
                        </w:tcBorders>
                      </w:tcPr>
                      <w:p>
                        <w:pPr>
                          <w:pStyle w:val="TableParagraph"/>
                          <w:spacing w:before="21"/>
                          <w:ind w:right="163"/>
                          <w:rPr>
                            <w:sz w:val="14"/>
                          </w:rPr>
                        </w:pPr>
                        <w:r>
                          <w:rPr>
                            <w:sz w:val="14"/>
                          </w:rPr>
                          <w:t>27</w:t>
                        </w:r>
                      </w:p>
                    </w:tc>
                    <w:tc>
                      <w:tcPr>
                        <w:tcW w:w="704" w:type="dxa"/>
                        <w:tcBorders>
                          <w:bottom w:val="single" w:sz="0" w:space="0" w:color="000000"/>
                        </w:tcBorders>
                      </w:tcPr>
                      <w:p>
                        <w:pPr>
                          <w:pStyle w:val="TableParagraph"/>
                          <w:spacing w:before="21"/>
                          <w:ind w:right="68"/>
                          <w:rPr>
                            <w:sz w:val="14"/>
                          </w:rPr>
                        </w:pPr>
                        <w:r>
                          <w:rPr>
                            <w:sz w:val="14"/>
                          </w:rPr>
                          <w:t>191</w:t>
                        </w:r>
                      </w:p>
                    </w:tc>
                  </w:tr>
                  <w:tr>
                    <w:trPr>
                      <w:trHeight w:val="237" w:hRule="exact"/>
                    </w:trPr>
                    <w:tc>
                      <w:tcPr>
                        <w:tcW w:w="3177" w:type="dxa"/>
                      </w:tcPr>
                      <w:p>
                        <w:pPr>
                          <w:pStyle w:val="TableParagraph"/>
                          <w:spacing w:before="41"/>
                          <w:ind w:left="35" w:right="367"/>
                          <w:jc w:val="left"/>
                          <w:rPr>
                            <w:sz w:val="14"/>
                          </w:rPr>
                        </w:pPr>
                        <w:r>
                          <w:rPr>
                            <w:sz w:val="14"/>
                          </w:rPr>
                          <w:t>Total revenue including accrued revenue</w:t>
                        </w:r>
                      </w:p>
                    </w:tc>
                    <w:tc>
                      <w:tcPr>
                        <w:tcW w:w="849" w:type="dxa"/>
                      </w:tcPr>
                      <w:p>
                        <w:pPr/>
                      </w:p>
                    </w:tc>
                    <w:tc>
                      <w:tcPr>
                        <w:tcW w:w="940" w:type="dxa"/>
                        <w:tcBorders>
                          <w:top w:val="single" w:sz="0" w:space="0" w:color="000000"/>
                        </w:tcBorders>
                      </w:tcPr>
                      <w:p>
                        <w:pPr>
                          <w:pStyle w:val="TableParagraph"/>
                          <w:spacing w:before="39"/>
                          <w:ind w:right="163"/>
                          <w:rPr>
                            <w:sz w:val="14"/>
                          </w:rPr>
                        </w:pPr>
                        <w:r>
                          <w:rPr>
                            <w:sz w:val="14"/>
                          </w:rPr>
                          <w:t>3,361</w:t>
                        </w:r>
                      </w:p>
                    </w:tc>
                    <w:tc>
                      <w:tcPr>
                        <w:tcW w:w="817" w:type="dxa"/>
                        <w:tcBorders>
                          <w:top w:val="single" w:sz="0" w:space="0" w:color="000000"/>
                        </w:tcBorders>
                      </w:tcPr>
                      <w:p>
                        <w:pPr>
                          <w:pStyle w:val="TableParagraph"/>
                          <w:spacing w:before="39"/>
                          <w:ind w:right="180"/>
                          <w:rPr>
                            <w:sz w:val="14"/>
                          </w:rPr>
                        </w:pPr>
                        <w:r>
                          <w:rPr>
                            <w:sz w:val="14"/>
                          </w:rPr>
                          <w:t>3,227</w:t>
                        </w:r>
                      </w:p>
                    </w:tc>
                    <w:tc>
                      <w:tcPr>
                        <w:tcW w:w="827" w:type="dxa"/>
                        <w:tcBorders>
                          <w:top w:val="single" w:sz="0" w:space="0" w:color="000000"/>
                        </w:tcBorders>
                      </w:tcPr>
                      <w:p>
                        <w:pPr>
                          <w:pStyle w:val="TableParagraph"/>
                          <w:spacing w:before="39"/>
                          <w:ind w:right="163"/>
                          <w:rPr>
                            <w:sz w:val="14"/>
                          </w:rPr>
                        </w:pPr>
                        <w:r>
                          <w:rPr>
                            <w:sz w:val="14"/>
                          </w:rPr>
                          <w:t>274</w:t>
                        </w:r>
                      </w:p>
                    </w:tc>
                    <w:tc>
                      <w:tcPr>
                        <w:tcW w:w="817" w:type="dxa"/>
                        <w:tcBorders>
                          <w:top w:val="single" w:sz="0" w:space="0" w:color="000000"/>
                        </w:tcBorders>
                      </w:tcPr>
                      <w:p>
                        <w:pPr>
                          <w:pStyle w:val="TableParagraph"/>
                          <w:spacing w:before="39"/>
                          <w:ind w:right="182"/>
                          <w:rPr>
                            <w:sz w:val="14"/>
                          </w:rPr>
                        </w:pPr>
                        <w:r>
                          <w:rPr>
                            <w:sz w:val="14"/>
                          </w:rPr>
                          <w:t>404</w:t>
                        </w:r>
                      </w:p>
                    </w:tc>
                    <w:tc>
                      <w:tcPr>
                        <w:tcW w:w="827" w:type="dxa"/>
                        <w:tcBorders>
                          <w:top w:val="single" w:sz="0" w:space="0" w:color="000000"/>
                        </w:tcBorders>
                      </w:tcPr>
                      <w:p>
                        <w:pPr>
                          <w:pStyle w:val="TableParagraph"/>
                          <w:spacing w:before="39"/>
                          <w:ind w:right="163"/>
                          <w:rPr>
                            <w:sz w:val="14"/>
                          </w:rPr>
                        </w:pPr>
                        <w:r>
                          <w:rPr>
                            <w:sz w:val="14"/>
                          </w:rPr>
                          <w:t>126</w:t>
                        </w:r>
                      </w:p>
                    </w:tc>
                    <w:tc>
                      <w:tcPr>
                        <w:tcW w:w="817" w:type="dxa"/>
                        <w:tcBorders>
                          <w:top w:val="single" w:sz="0" w:space="0" w:color="000000"/>
                        </w:tcBorders>
                      </w:tcPr>
                      <w:p>
                        <w:pPr>
                          <w:pStyle w:val="TableParagraph"/>
                          <w:spacing w:before="39"/>
                          <w:ind w:right="182"/>
                          <w:rPr>
                            <w:sz w:val="14"/>
                          </w:rPr>
                        </w:pPr>
                        <w:r>
                          <w:rPr>
                            <w:sz w:val="14"/>
                          </w:rPr>
                          <w:t>140</w:t>
                        </w:r>
                      </w:p>
                    </w:tc>
                    <w:tc>
                      <w:tcPr>
                        <w:tcW w:w="494" w:type="dxa"/>
                        <w:tcBorders>
                          <w:top w:val="single" w:sz="0" w:space="0" w:color="000000"/>
                        </w:tcBorders>
                      </w:tcPr>
                      <w:p>
                        <w:pPr/>
                      </w:p>
                    </w:tc>
                    <w:tc>
                      <w:tcPr>
                        <w:tcW w:w="310" w:type="dxa"/>
                        <w:tcBorders>
                          <w:top w:val="single" w:sz="0" w:space="0" w:color="000000"/>
                        </w:tcBorders>
                      </w:tcPr>
                      <w:p>
                        <w:pPr>
                          <w:pStyle w:val="TableParagraph"/>
                          <w:spacing w:before="39"/>
                          <w:ind w:right="140"/>
                          <w:rPr>
                            <w:sz w:val="14"/>
                          </w:rPr>
                        </w:pPr>
                        <w:r>
                          <w:rPr>
                            <w:sz w:val="14"/>
                          </w:rPr>
                          <w:t>31</w:t>
                        </w:r>
                      </w:p>
                    </w:tc>
                    <w:tc>
                      <w:tcPr>
                        <w:tcW w:w="494" w:type="dxa"/>
                        <w:tcBorders>
                          <w:top w:val="single" w:sz="0" w:space="0" w:color="000000"/>
                        </w:tcBorders>
                      </w:tcPr>
                      <w:p>
                        <w:pPr/>
                      </w:p>
                    </w:tc>
                    <w:tc>
                      <w:tcPr>
                        <w:tcW w:w="322" w:type="dxa"/>
                        <w:tcBorders>
                          <w:top w:val="single" w:sz="0" w:space="0" w:color="000000"/>
                        </w:tcBorders>
                      </w:tcPr>
                      <w:p>
                        <w:pPr>
                          <w:pStyle w:val="TableParagraph"/>
                          <w:spacing w:before="39"/>
                          <w:ind w:right="157"/>
                          <w:rPr>
                            <w:sz w:val="14"/>
                          </w:rPr>
                        </w:pPr>
                        <w:r>
                          <w:rPr>
                            <w:sz w:val="14"/>
                          </w:rPr>
                          <w:t>10</w:t>
                        </w:r>
                      </w:p>
                    </w:tc>
                    <w:tc>
                      <w:tcPr>
                        <w:tcW w:w="851" w:type="dxa"/>
                        <w:tcBorders>
                          <w:top w:val="single" w:sz="0" w:space="0" w:color="000000"/>
                        </w:tcBorders>
                      </w:tcPr>
                      <w:p>
                        <w:pPr>
                          <w:pStyle w:val="TableParagraph"/>
                          <w:spacing w:before="39"/>
                          <w:ind w:right="163"/>
                          <w:rPr>
                            <w:sz w:val="14"/>
                          </w:rPr>
                        </w:pPr>
                        <w:r>
                          <w:rPr>
                            <w:sz w:val="14"/>
                          </w:rPr>
                          <w:t>39</w:t>
                        </w:r>
                      </w:p>
                    </w:tc>
                    <w:tc>
                      <w:tcPr>
                        <w:tcW w:w="817" w:type="dxa"/>
                        <w:tcBorders>
                          <w:top w:val="single" w:sz="0" w:space="0" w:color="000000"/>
                        </w:tcBorders>
                      </w:tcPr>
                      <w:p>
                        <w:pPr>
                          <w:pStyle w:val="TableParagraph"/>
                          <w:spacing w:before="39"/>
                          <w:ind w:right="180"/>
                          <w:rPr>
                            <w:sz w:val="14"/>
                          </w:rPr>
                        </w:pPr>
                        <w:r>
                          <w:rPr>
                            <w:sz w:val="14"/>
                          </w:rPr>
                          <w:t>72</w:t>
                        </w:r>
                      </w:p>
                    </w:tc>
                    <w:tc>
                      <w:tcPr>
                        <w:tcW w:w="827" w:type="dxa"/>
                        <w:tcBorders>
                          <w:top w:val="single" w:sz="0" w:space="0" w:color="000000"/>
                        </w:tcBorders>
                      </w:tcPr>
                      <w:p>
                        <w:pPr>
                          <w:pStyle w:val="TableParagraph"/>
                          <w:spacing w:before="39"/>
                          <w:ind w:right="163"/>
                          <w:rPr>
                            <w:sz w:val="14"/>
                          </w:rPr>
                        </w:pPr>
                        <w:r>
                          <w:rPr>
                            <w:sz w:val="14"/>
                          </w:rPr>
                          <w:t>3,831</w:t>
                        </w:r>
                      </w:p>
                    </w:tc>
                    <w:tc>
                      <w:tcPr>
                        <w:tcW w:w="704" w:type="dxa"/>
                        <w:tcBorders>
                          <w:top w:val="single" w:sz="0" w:space="0" w:color="000000"/>
                        </w:tcBorders>
                      </w:tcPr>
                      <w:p>
                        <w:pPr>
                          <w:pStyle w:val="TableParagraph"/>
                          <w:spacing w:before="39"/>
                          <w:ind w:right="68"/>
                          <w:rPr>
                            <w:sz w:val="14"/>
                          </w:rPr>
                        </w:pPr>
                        <w:r>
                          <w:rPr>
                            <w:sz w:val="14"/>
                          </w:rPr>
                          <w:t>3,853</w:t>
                        </w:r>
                      </w:p>
                    </w:tc>
                  </w:tr>
                  <w:tr>
                    <w:trPr>
                      <w:trHeight w:val="219" w:hRule="exact"/>
                    </w:trPr>
                    <w:tc>
                      <w:tcPr>
                        <w:tcW w:w="3177" w:type="dxa"/>
                      </w:tcPr>
                      <w:p>
                        <w:pPr>
                          <w:pStyle w:val="TableParagraph"/>
                          <w:spacing w:before="22"/>
                          <w:ind w:left="35" w:right="367"/>
                          <w:jc w:val="left"/>
                          <w:rPr>
                            <w:sz w:val="14"/>
                          </w:rPr>
                        </w:pPr>
                        <w:r>
                          <w:rPr>
                            <w:sz w:val="14"/>
                          </w:rPr>
                          <w:t>Less expenses including accrued expenses</w:t>
                        </w:r>
                      </w:p>
                    </w:tc>
                    <w:tc>
                      <w:tcPr>
                        <w:tcW w:w="849" w:type="dxa"/>
                      </w:tcPr>
                      <w:p>
                        <w:pPr/>
                      </w:p>
                    </w:tc>
                    <w:tc>
                      <w:tcPr>
                        <w:tcW w:w="940" w:type="dxa"/>
                        <w:tcBorders>
                          <w:bottom w:val="single" w:sz="0" w:space="0" w:color="000000"/>
                        </w:tcBorders>
                      </w:tcPr>
                      <w:p>
                        <w:pPr>
                          <w:pStyle w:val="TableParagraph"/>
                          <w:spacing w:before="21"/>
                          <w:ind w:right="116"/>
                          <w:rPr>
                            <w:sz w:val="14"/>
                          </w:rPr>
                        </w:pPr>
                        <w:r>
                          <w:rPr>
                            <w:sz w:val="14"/>
                          </w:rPr>
                          <w:t>(3,361)</w:t>
                        </w:r>
                      </w:p>
                    </w:tc>
                    <w:tc>
                      <w:tcPr>
                        <w:tcW w:w="817" w:type="dxa"/>
                        <w:tcBorders>
                          <w:bottom w:val="single" w:sz="0" w:space="0" w:color="000000"/>
                        </w:tcBorders>
                      </w:tcPr>
                      <w:p>
                        <w:pPr>
                          <w:pStyle w:val="TableParagraph"/>
                          <w:spacing w:before="21"/>
                          <w:ind w:right="134"/>
                          <w:rPr>
                            <w:sz w:val="14"/>
                          </w:rPr>
                        </w:pPr>
                        <w:r>
                          <w:rPr>
                            <w:sz w:val="14"/>
                          </w:rPr>
                          <w:t>(3,227)</w:t>
                        </w:r>
                      </w:p>
                    </w:tc>
                    <w:tc>
                      <w:tcPr>
                        <w:tcW w:w="827" w:type="dxa"/>
                        <w:tcBorders>
                          <w:bottom w:val="single" w:sz="0" w:space="0" w:color="000000"/>
                        </w:tcBorders>
                      </w:tcPr>
                      <w:p>
                        <w:pPr>
                          <w:pStyle w:val="TableParagraph"/>
                          <w:spacing w:before="21"/>
                          <w:ind w:right="116"/>
                          <w:rPr>
                            <w:sz w:val="14"/>
                          </w:rPr>
                        </w:pPr>
                        <w:r>
                          <w:rPr>
                            <w:sz w:val="14"/>
                          </w:rPr>
                          <w:t>(274)</w:t>
                        </w:r>
                      </w:p>
                    </w:tc>
                    <w:tc>
                      <w:tcPr>
                        <w:tcW w:w="817" w:type="dxa"/>
                        <w:tcBorders>
                          <w:bottom w:val="single" w:sz="0" w:space="0" w:color="000000"/>
                        </w:tcBorders>
                      </w:tcPr>
                      <w:p>
                        <w:pPr>
                          <w:pStyle w:val="TableParagraph"/>
                          <w:spacing w:before="21"/>
                          <w:ind w:right="134"/>
                          <w:rPr>
                            <w:sz w:val="14"/>
                          </w:rPr>
                        </w:pPr>
                        <w:r>
                          <w:rPr>
                            <w:sz w:val="14"/>
                          </w:rPr>
                          <w:t>(404)</w:t>
                        </w:r>
                      </w:p>
                    </w:tc>
                    <w:tc>
                      <w:tcPr>
                        <w:tcW w:w="827" w:type="dxa"/>
                        <w:tcBorders>
                          <w:bottom w:val="single" w:sz="0" w:space="0" w:color="000000"/>
                        </w:tcBorders>
                      </w:tcPr>
                      <w:p>
                        <w:pPr>
                          <w:pStyle w:val="TableParagraph"/>
                          <w:spacing w:before="21"/>
                          <w:ind w:right="116"/>
                          <w:rPr>
                            <w:sz w:val="14"/>
                          </w:rPr>
                        </w:pPr>
                        <w:r>
                          <w:rPr>
                            <w:sz w:val="14"/>
                          </w:rPr>
                          <w:t>(126)</w:t>
                        </w:r>
                      </w:p>
                    </w:tc>
                    <w:tc>
                      <w:tcPr>
                        <w:tcW w:w="817" w:type="dxa"/>
                        <w:tcBorders>
                          <w:bottom w:val="single" w:sz="0" w:space="0" w:color="000000"/>
                        </w:tcBorders>
                      </w:tcPr>
                      <w:p>
                        <w:pPr>
                          <w:pStyle w:val="TableParagraph"/>
                          <w:spacing w:before="21"/>
                          <w:ind w:right="134"/>
                          <w:rPr>
                            <w:sz w:val="14"/>
                          </w:rPr>
                        </w:pPr>
                        <w:r>
                          <w:rPr>
                            <w:sz w:val="14"/>
                          </w:rPr>
                          <w:t>(123)</w:t>
                        </w:r>
                      </w:p>
                    </w:tc>
                    <w:tc>
                      <w:tcPr>
                        <w:tcW w:w="494" w:type="dxa"/>
                        <w:tcBorders>
                          <w:bottom w:val="single" w:sz="0" w:space="0" w:color="000000"/>
                        </w:tcBorders>
                      </w:tcPr>
                      <w:p>
                        <w:pPr/>
                      </w:p>
                    </w:tc>
                    <w:tc>
                      <w:tcPr>
                        <w:tcW w:w="310" w:type="dxa"/>
                        <w:tcBorders>
                          <w:bottom w:val="single" w:sz="0" w:space="0" w:color="000000"/>
                        </w:tcBorders>
                      </w:tcPr>
                      <w:p>
                        <w:pPr>
                          <w:pStyle w:val="TableParagraph"/>
                          <w:spacing w:before="21"/>
                          <w:ind w:right="140"/>
                          <w:rPr>
                            <w:sz w:val="14"/>
                          </w:rPr>
                        </w:pPr>
                        <w:r>
                          <w:rPr>
                            <w:w w:val="100"/>
                            <w:sz w:val="14"/>
                          </w:rPr>
                          <w:t>-</w:t>
                        </w:r>
                      </w:p>
                    </w:tc>
                    <w:tc>
                      <w:tcPr>
                        <w:tcW w:w="494" w:type="dxa"/>
                        <w:tcBorders>
                          <w:bottom w:val="single" w:sz="0" w:space="0" w:color="000000"/>
                        </w:tcBorders>
                      </w:tcPr>
                      <w:p>
                        <w:pPr/>
                      </w:p>
                    </w:tc>
                    <w:tc>
                      <w:tcPr>
                        <w:tcW w:w="322" w:type="dxa"/>
                        <w:tcBorders>
                          <w:bottom w:val="single" w:sz="0" w:space="0" w:color="000000"/>
                        </w:tcBorders>
                      </w:tcPr>
                      <w:p>
                        <w:pPr>
                          <w:pStyle w:val="TableParagraph"/>
                          <w:spacing w:before="21"/>
                          <w:ind w:right="157"/>
                          <w:rPr>
                            <w:sz w:val="14"/>
                          </w:rPr>
                        </w:pPr>
                        <w:r>
                          <w:rPr>
                            <w:w w:val="100"/>
                            <w:sz w:val="14"/>
                          </w:rPr>
                          <w:t>-</w:t>
                        </w:r>
                      </w:p>
                    </w:tc>
                    <w:tc>
                      <w:tcPr>
                        <w:tcW w:w="851" w:type="dxa"/>
                        <w:tcBorders>
                          <w:bottom w:val="single" w:sz="0" w:space="0" w:color="000000"/>
                        </w:tcBorders>
                      </w:tcPr>
                      <w:p>
                        <w:pPr>
                          <w:pStyle w:val="TableParagraph"/>
                          <w:spacing w:before="21"/>
                          <w:ind w:right="116"/>
                          <w:rPr>
                            <w:sz w:val="14"/>
                          </w:rPr>
                        </w:pPr>
                        <w:r>
                          <w:rPr>
                            <w:sz w:val="14"/>
                          </w:rPr>
                          <w:t>(39)</w:t>
                        </w:r>
                      </w:p>
                    </w:tc>
                    <w:tc>
                      <w:tcPr>
                        <w:tcW w:w="817" w:type="dxa"/>
                        <w:tcBorders>
                          <w:bottom w:val="single" w:sz="0" w:space="0" w:color="000000"/>
                        </w:tcBorders>
                      </w:tcPr>
                      <w:p>
                        <w:pPr>
                          <w:pStyle w:val="TableParagraph"/>
                          <w:spacing w:before="21"/>
                          <w:ind w:right="134"/>
                          <w:rPr>
                            <w:sz w:val="14"/>
                          </w:rPr>
                        </w:pPr>
                        <w:r>
                          <w:rPr>
                            <w:sz w:val="14"/>
                          </w:rPr>
                          <w:t>(72)</w:t>
                        </w:r>
                      </w:p>
                    </w:tc>
                    <w:tc>
                      <w:tcPr>
                        <w:tcW w:w="827" w:type="dxa"/>
                        <w:tcBorders>
                          <w:bottom w:val="single" w:sz="0" w:space="0" w:color="000000"/>
                        </w:tcBorders>
                      </w:tcPr>
                      <w:p>
                        <w:pPr>
                          <w:pStyle w:val="TableParagraph"/>
                          <w:spacing w:before="21"/>
                          <w:ind w:right="116"/>
                          <w:rPr>
                            <w:sz w:val="14"/>
                          </w:rPr>
                        </w:pPr>
                        <w:r>
                          <w:rPr>
                            <w:sz w:val="14"/>
                          </w:rPr>
                          <w:t>(3,800)</w:t>
                        </w:r>
                      </w:p>
                    </w:tc>
                    <w:tc>
                      <w:tcPr>
                        <w:tcW w:w="704" w:type="dxa"/>
                        <w:tcBorders>
                          <w:bottom w:val="single" w:sz="0" w:space="0" w:color="000000"/>
                        </w:tcBorders>
                      </w:tcPr>
                      <w:p>
                        <w:pPr>
                          <w:pStyle w:val="TableParagraph"/>
                          <w:spacing w:before="21"/>
                          <w:ind w:right="22"/>
                          <w:rPr>
                            <w:sz w:val="14"/>
                          </w:rPr>
                        </w:pPr>
                        <w:r>
                          <w:rPr>
                            <w:sz w:val="14"/>
                          </w:rPr>
                          <w:t>(3,826)</w:t>
                        </w:r>
                      </w:p>
                    </w:tc>
                  </w:tr>
                  <w:tr>
                    <w:trPr>
                      <w:trHeight w:val="253" w:hRule="exact"/>
                    </w:trPr>
                    <w:tc>
                      <w:tcPr>
                        <w:tcW w:w="3177" w:type="dxa"/>
                      </w:tcPr>
                      <w:p>
                        <w:pPr>
                          <w:pStyle w:val="TableParagraph"/>
                          <w:spacing w:before="41"/>
                          <w:ind w:left="35" w:right="367"/>
                          <w:jc w:val="left"/>
                          <w:rPr>
                            <w:sz w:val="14"/>
                          </w:rPr>
                        </w:pPr>
                        <w:r>
                          <w:rPr>
                            <w:sz w:val="14"/>
                          </w:rPr>
                          <w:t>Surplus/(deficit) for the reporting period</w:t>
                        </w:r>
                      </w:p>
                    </w:tc>
                    <w:tc>
                      <w:tcPr>
                        <w:tcW w:w="849" w:type="dxa"/>
                      </w:tcPr>
                      <w:p>
                        <w:pPr/>
                      </w:p>
                    </w:tc>
                    <w:tc>
                      <w:tcPr>
                        <w:tcW w:w="940" w:type="dxa"/>
                        <w:tcBorders>
                          <w:top w:val="single" w:sz="0" w:space="0" w:color="000000"/>
                          <w:bottom w:val="single" w:sz="0" w:space="0" w:color="000000"/>
                        </w:tcBorders>
                      </w:tcPr>
                      <w:p>
                        <w:pPr>
                          <w:pStyle w:val="TableParagraph"/>
                          <w:spacing w:before="39"/>
                          <w:ind w:right="163"/>
                          <w:rPr>
                            <w:sz w:val="14"/>
                          </w:rPr>
                        </w:pPr>
                        <w:r>
                          <w:rPr>
                            <w:w w:val="100"/>
                            <w:sz w:val="14"/>
                          </w:rPr>
                          <w:t>-</w:t>
                        </w:r>
                      </w:p>
                    </w:tc>
                    <w:tc>
                      <w:tcPr>
                        <w:tcW w:w="817" w:type="dxa"/>
                        <w:tcBorders>
                          <w:top w:val="single" w:sz="0" w:space="0" w:color="000000"/>
                          <w:bottom w:val="single" w:sz="0" w:space="0" w:color="000000"/>
                        </w:tcBorders>
                      </w:tcPr>
                      <w:p>
                        <w:pPr>
                          <w:pStyle w:val="TableParagraph"/>
                          <w:spacing w:before="39"/>
                          <w:ind w:right="180"/>
                          <w:rPr>
                            <w:sz w:val="14"/>
                          </w:rPr>
                        </w:pPr>
                        <w:r>
                          <w:rPr>
                            <w:w w:val="100"/>
                            <w:sz w:val="14"/>
                          </w:rPr>
                          <w:t>-</w:t>
                        </w:r>
                      </w:p>
                    </w:tc>
                    <w:tc>
                      <w:tcPr>
                        <w:tcW w:w="827" w:type="dxa"/>
                        <w:tcBorders>
                          <w:top w:val="single" w:sz="0" w:space="0" w:color="000000"/>
                          <w:bottom w:val="single" w:sz="0" w:space="0" w:color="000000"/>
                        </w:tcBorders>
                      </w:tcPr>
                      <w:p>
                        <w:pPr>
                          <w:pStyle w:val="TableParagraph"/>
                          <w:spacing w:before="39"/>
                          <w:ind w:right="163"/>
                          <w:rPr>
                            <w:sz w:val="14"/>
                          </w:rPr>
                        </w:pPr>
                        <w:r>
                          <w:rPr>
                            <w:w w:val="100"/>
                            <w:sz w:val="14"/>
                          </w:rPr>
                          <w:t>-</w:t>
                        </w:r>
                      </w:p>
                    </w:tc>
                    <w:tc>
                      <w:tcPr>
                        <w:tcW w:w="817" w:type="dxa"/>
                        <w:tcBorders>
                          <w:top w:val="single" w:sz="0" w:space="0" w:color="000000"/>
                          <w:bottom w:val="single" w:sz="0" w:space="0" w:color="000000"/>
                        </w:tcBorders>
                      </w:tcPr>
                      <w:p>
                        <w:pPr>
                          <w:pStyle w:val="TableParagraph"/>
                          <w:spacing w:before="39"/>
                          <w:ind w:right="182"/>
                          <w:rPr>
                            <w:sz w:val="14"/>
                          </w:rPr>
                        </w:pPr>
                        <w:r>
                          <w:rPr>
                            <w:w w:val="100"/>
                            <w:sz w:val="14"/>
                          </w:rPr>
                          <w:t>-</w:t>
                        </w:r>
                      </w:p>
                    </w:tc>
                    <w:tc>
                      <w:tcPr>
                        <w:tcW w:w="827" w:type="dxa"/>
                        <w:tcBorders>
                          <w:top w:val="single" w:sz="0" w:space="0" w:color="000000"/>
                          <w:bottom w:val="single" w:sz="0" w:space="0" w:color="000000"/>
                        </w:tcBorders>
                      </w:tcPr>
                      <w:p>
                        <w:pPr>
                          <w:pStyle w:val="TableParagraph"/>
                          <w:spacing w:before="39"/>
                          <w:ind w:right="163"/>
                          <w:rPr>
                            <w:sz w:val="14"/>
                          </w:rPr>
                        </w:pPr>
                        <w:r>
                          <w:rPr>
                            <w:w w:val="100"/>
                            <w:sz w:val="14"/>
                          </w:rPr>
                          <w:t>-</w:t>
                        </w:r>
                      </w:p>
                    </w:tc>
                    <w:tc>
                      <w:tcPr>
                        <w:tcW w:w="817" w:type="dxa"/>
                        <w:tcBorders>
                          <w:top w:val="single" w:sz="0" w:space="0" w:color="000000"/>
                          <w:bottom w:val="single" w:sz="0" w:space="0" w:color="000000"/>
                        </w:tcBorders>
                      </w:tcPr>
                      <w:p>
                        <w:pPr>
                          <w:pStyle w:val="TableParagraph"/>
                          <w:spacing w:before="39"/>
                          <w:ind w:right="182"/>
                          <w:rPr>
                            <w:sz w:val="14"/>
                          </w:rPr>
                        </w:pPr>
                        <w:r>
                          <w:rPr>
                            <w:sz w:val="14"/>
                          </w:rPr>
                          <w:t>17</w:t>
                        </w:r>
                      </w:p>
                    </w:tc>
                    <w:tc>
                      <w:tcPr>
                        <w:tcW w:w="494" w:type="dxa"/>
                        <w:tcBorders>
                          <w:top w:val="single" w:sz="0" w:space="0" w:color="000000"/>
                          <w:bottom w:val="single" w:sz="0" w:space="0" w:color="000000"/>
                        </w:tcBorders>
                      </w:tcPr>
                      <w:p>
                        <w:pPr/>
                      </w:p>
                    </w:tc>
                    <w:tc>
                      <w:tcPr>
                        <w:tcW w:w="310" w:type="dxa"/>
                        <w:tcBorders>
                          <w:top w:val="single" w:sz="0" w:space="0" w:color="000000"/>
                          <w:bottom w:val="single" w:sz="0" w:space="0" w:color="000000"/>
                        </w:tcBorders>
                      </w:tcPr>
                      <w:p>
                        <w:pPr>
                          <w:pStyle w:val="TableParagraph"/>
                          <w:spacing w:before="39"/>
                          <w:ind w:right="140"/>
                          <w:rPr>
                            <w:sz w:val="14"/>
                          </w:rPr>
                        </w:pPr>
                        <w:r>
                          <w:rPr>
                            <w:sz w:val="14"/>
                          </w:rPr>
                          <w:t>31</w:t>
                        </w:r>
                      </w:p>
                    </w:tc>
                    <w:tc>
                      <w:tcPr>
                        <w:tcW w:w="494" w:type="dxa"/>
                        <w:tcBorders>
                          <w:top w:val="single" w:sz="0" w:space="0" w:color="000000"/>
                          <w:bottom w:val="single" w:sz="0" w:space="0" w:color="000000"/>
                        </w:tcBorders>
                      </w:tcPr>
                      <w:p>
                        <w:pPr/>
                      </w:p>
                    </w:tc>
                    <w:tc>
                      <w:tcPr>
                        <w:tcW w:w="322" w:type="dxa"/>
                        <w:tcBorders>
                          <w:top w:val="single" w:sz="0" w:space="0" w:color="000000"/>
                          <w:bottom w:val="single" w:sz="0" w:space="0" w:color="000000"/>
                        </w:tcBorders>
                      </w:tcPr>
                      <w:p>
                        <w:pPr>
                          <w:pStyle w:val="TableParagraph"/>
                          <w:spacing w:before="39"/>
                          <w:ind w:right="157"/>
                          <w:rPr>
                            <w:sz w:val="14"/>
                          </w:rPr>
                        </w:pPr>
                        <w:r>
                          <w:rPr>
                            <w:sz w:val="14"/>
                          </w:rPr>
                          <w:t>10</w:t>
                        </w:r>
                      </w:p>
                    </w:tc>
                    <w:tc>
                      <w:tcPr>
                        <w:tcW w:w="851" w:type="dxa"/>
                        <w:tcBorders>
                          <w:top w:val="single" w:sz="0" w:space="0" w:color="000000"/>
                          <w:bottom w:val="single" w:sz="0" w:space="0" w:color="000000"/>
                        </w:tcBorders>
                      </w:tcPr>
                      <w:p>
                        <w:pPr>
                          <w:pStyle w:val="TableParagraph"/>
                          <w:spacing w:before="39"/>
                          <w:ind w:right="163"/>
                          <w:rPr>
                            <w:sz w:val="14"/>
                          </w:rPr>
                        </w:pPr>
                        <w:r>
                          <w:rPr>
                            <w:w w:val="100"/>
                            <w:sz w:val="14"/>
                          </w:rPr>
                          <w:t>-</w:t>
                        </w:r>
                      </w:p>
                    </w:tc>
                    <w:tc>
                      <w:tcPr>
                        <w:tcW w:w="817" w:type="dxa"/>
                        <w:tcBorders>
                          <w:top w:val="single" w:sz="0" w:space="0" w:color="000000"/>
                          <w:bottom w:val="single" w:sz="0" w:space="0" w:color="000000"/>
                        </w:tcBorders>
                      </w:tcPr>
                      <w:p>
                        <w:pPr>
                          <w:pStyle w:val="TableParagraph"/>
                          <w:spacing w:before="39"/>
                          <w:ind w:right="182"/>
                          <w:rPr>
                            <w:sz w:val="14"/>
                          </w:rPr>
                        </w:pPr>
                        <w:r>
                          <w:rPr>
                            <w:w w:val="100"/>
                            <w:sz w:val="14"/>
                          </w:rPr>
                          <w:t>-</w:t>
                        </w:r>
                      </w:p>
                    </w:tc>
                    <w:tc>
                      <w:tcPr>
                        <w:tcW w:w="827" w:type="dxa"/>
                        <w:tcBorders>
                          <w:top w:val="single" w:sz="0" w:space="0" w:color="000000"/>
                          <w:bottom w:val="single" w:sz="0" w:space="0" w:color="000000"/>
                        </w:tcBorders>
                      </w:tcPr>
                      <w:p>
                        <w:pPr>
                          <w:pStyle w:val="TableParagraph"/>
                          <w:spacing w:before="39"/>
                          <w:ind w:right="163"/>
                          <w:rPr>
                            <w:sz w:val="14"/>
                          </w:rPr>
                        </w:pPr>
                        <w:r>
                          <w:rPr>
                            <w:sz w:val="14"/>
                          </w:rPr>
                          <w:t>31</w:t>
                        </w:r>
                      </w:p>
                    </w:tc>
                    <w:tc>
                      <w:tcPr>
                        <w:tcW w:w="704" w:type="dxa"/>
                        <w:tcBorders>
                          <w:top w:val="single" w:sz="0" w:space="0" w:color="000000"/>
                          <w:bottom w:val="single" w:sz="0" w:space="0" w:color="000000"/>
                        </w:tcBorders>
                      </w:tcPr>
                      <w:p>
                        <w:pPr>
                          <w:pStyle w:val="TableParagraph"/>
                          <w:spacing w:before="39"/>
                          <w:ind w:right="68"/>
                          <w:rPr>
                            <w:sz w:val="14"/>
                          </w:rPr>
                        </w:pPr>
                        <w:r>
                          <w:rPr>
                            <w:sz w:val="14"/>
                          </w:rPr>
                          <w:t>27</w:t>
                        </w:r>
                      </w:p>
                    </w:tc>
                  </w:tr>
                </w:tbl>
                <w:p>
                  <w:pPr>
                    <w:pStyle w:val="BodyText"/>
                  </w:pPr>
                </w:p>
              </w:txbxContent>
            </v:textbox>
          </v:shape>
        </w:pict>
      </w:r>
      <w:r>
        <w:rPr>
          <w:sz w:val="20"/>
        </w:rPr>
      </w:r>
      <w:r>
        <w:rPr>
          <w:sz w:val="20"/>
        </w:rPr>
        <w:tab/>
      </w:r>
      <w:r>
        <w:rPr>
          <w:position w:val="43"/>
          <w:sz w:val="20"/>
        </w:rPr>
        <w:drawing>
          <wp:inline distT="0" distB="0" distL="0" distR="0">
            <wp:extent cx="154019" cy="154019"/>
            <wp:effectExtent l="0" t="0" r="0" b="0"/>
            <wp:docPr id="387" name="image25.png" descr=""/>
            <wp:cNvGraphicFramePr>
              <a:graphicFrameLocks noChangeAspect="1"/>
            </wp:cNvGraphicFramePr>
            <a:graphic>
              <a:graphicData uri="http://schemas.openxmlformats.org/drawingml/2006/picture">
                <pic:pic>
                  <pic:nvPicPr>
                    <pic:cNvPr id="388" name="image25.png"/>
                    <pic:cNvPicPr/>
                  </pic:nvPicPr>
                  <pic:blipFill>
                    <a:blip r:embed="rId41" cstate="print"/>
                    <a:stretch>
                      <a:fillRect/>
                    </a:stretch>
                  </pic:blipFill>
                  <pic:spPr>
                    <a:xfrm>
                      <a:off x="0" y="0"/>
                      <a:ext cx="154019" cy="154019"/>
                    </a:xfrm>
                    <a:prstGeom prst="rect">
                      <a:avLst/>
                    </a:prstGeom>
                  </pic:spPr>
                </pic:pic>
              </a:graphicData>
            </a:graphic>
          </wp:inline>
        </w:drawing>
      </w:r>
      <w:r>
        <w:rPr>
          <w:position w:val="43"/>
          <w:sz w:val="20"/>
        </w:rPr>
      </w:r>
    </w:p>
    <w:p>
      <w:pPr>
        <w:pStyle w:val="BodyText"/>
        <w:spacing w:before="5"/>
        <w:rPr>
          <w:b/>
          <w:sz w:val="20"/>
        </w:rPr>
      </w:pPr>
    </w:p>
    <w:p>
      <w:pPr>
        <w:spacing w:before="79"/>
        <w:ind w:left="2538" w:right="0" w:firstLine="0"/>
        <w:jc w:val="left"/>
        <w:rPr>
          <w:sz w:val="16"/>
        </w:rPr>
      </w:pPr>
      <w:r>
        <w:rPr>
          <w:sz w:val="16"/>
        </w:rPr>
        <w:t>#5 Includes Grandfathered Scholarships, National Priority and National Accommodation Priority Scholarships respectively.</w:t>
      </w:r>
    </w:p>
    <w:p>
      <w:pPr>
        <w:spacing w:after="0"/>
        <w:jc w:val="left"/>
        <w:rPr>
          <w:sz w:val="16"/>
        </w:rPr>
        <w:sectPr>
          <w:type w:val="continuous"/>
          <w:pgSz w:w="16840" w:h="11910" w:orient="landscape"/>
          <w:pgMar w:top="1660" w:bottom="0" w:left="0" w:right="0"/>
        </w:sectPr>
      </w:pPr>
    </w:p>
    <w:p>
      <w:pPr>
        <w:pStyle w:val="BodyText"/>
        <w:rPr>
          <w:sz w:val="20"/>
        </w:rPr>
      </w:pPr>
    </w:p>
    <w:p>
      <w:pPr>
        <w:pStyle w:val="BodyText"/>
        <w:rPr>
          <w:sz w:val="20"/>
        </w:rPr>
      </w:pPr>
    </w:p>
    <w:p>
      <w:pPr>
        <w:pStyle w:val="BodyText"/>
        <w:spacing w:before="4"/>
      </w:pPr>
    </w:p>
    <w:p>
      <w:pPr>
        <w:pStyle w:val="Heading8"/>
        <w:tabs>
          <w:tab w:pos="1971" w:val="left" w:leader="none"/>
        </w:tabs>
        <w:ind w:left="1404"/>
      </w:pPr>
      <w:bookmarkStart w:name="(d) Education Research" w:id="155"/>
      <w:bookmarkEnd w:id="155"/>
      <w:r>
        <w:rPr>
          <w:b w:val="0"/>
        </w:rPr>
      </w:r>
      <w:r>
        <w:rPr/>
        <w:t>40</w:t>
        <w:tab/>
        <w:t>Acquittal of Australian Government Financial Assistance</w:t>
      </w:r>
      <w:r>
        <w:rPr>
          <w:spacing w:val="-24"/>
        </w:rPr>
        <w:t> </w:t>
      </w:r>
      <w:r>
        <w:rPr/>
        <w:t>(continued)</w:t>
      </w:r>
    </w:p>
    <w:p>
      <w:pPr>
        <w:pStyle w:val="BodyText"/>
        <w:spacing w:before="11"/>
        <w:rPr>
          <w:b/>
          <w:sz w:val="19"/>
        </w:rPr>
      </w:pPr>
    </w:p>
    <w:p>
      <w:pPr>
        <w:spacing w:after="0"/>
        <w:rPr>
          <w:sz w:val="19"/>
        </w:rPr>
        <w:sectPr>
          <w:pgSz w:w="16840" w:h="11910" w:orient="landscape"/>
          <w:pgMar w:header="38" w:footer="507" w:top="2220" w:bottom="700" w:left="0" w:right="0"/>
        </w:sectPr>
      </w:pPr>
    </w:p>
    <w:p>
      <w:pPr>
        <w:pStyle w:val="ListParagraph"/>
        <w:numPr>
          <w:ilvl w:val="1"/>
          <w:numId w:val="33"/>
        </w:numPr>
        <w:tabs>
          <w:tab w:pos="1972" w:val="left" w:leader="none"/>
        </w:tabs>
        <w:spacing w:line="240" w:lineRule="auto" w:before="77" w:after="0"/>
        <w:ind w:left="1971" w:right="0" w:hanging="566"/>
        <w:jc w:val="left"/>
        <w:rPr>
          <w:sz w:val="18"/>
        </w:rPr>
      </w:pPr>
      <w:r>
        <w:rPr>
          <w:sz w:val="18"/>
        </w:rPr>
        <w:t>Education</w:t>
      </w:r>
      <w:r>
        <w:rPr>
          <w:spacing w:val="-18"/>
          <w:sz w:val="18"/>
        </w:rPr>
        <w:t> </w:t>
      </w:r>
      <w:r>
        <w:rPr>
          <w:sz w:val="18"/>
        </w:rPr>
        <w:t>Research</w:t>
      </w:r>
    </w:p>
    <w:p>
      <w:pPr>
        <w:pStyle w:val="BodyText"/>
        <w:rPr>
          <w:sz w:val="14"/>
        </w:rPr>
      </w:pPr>
      <w:r>
        <w:rPr/>
        <w:br w:type="column"/>
      </w:r>
      <w:r>
        <w:rPr>
          <w:sz w:val="14"/>
        </w:rPr>
      </w:r>
    </w:p>
    <w:p>
      <w:pPr>
        <w:pStyle w:val="BodyText"/>
        <w:rPr>
          <w:sz w:val="14"/>
        </w:rPr>
      </w:pPr>
    </w:p>
    <w:p>
      <w:pPr>
        <w:pStyle w:val="BodyText"/>
        <w:rPr>
          <w:sz w:val="14"/>
        </w:rPr>
      </w:pPr>
    </w:p>
    <w:p>
      <w:pPr>
        <w:spacing w:before="0"/>
        <w:ind w:left="1487" w:right="-16" w:hanging="83"/>
        <w:jc w:val="left"/>
        <w:rPr>
          <w:b/>
          <w:sz w:val="14"/>
        </w:rPr>
      </w:pPr>
      <w:r>
        <w:rPr>
          <w:b/>
          <w:sz w:val="14"/>
        </w:rPr>
        <w:t>Joint Research</w:t>
      </w:r>
      <w:r>
        <w:rPr>
          <w:b/>
          <w:w w:val="100"/>
          <w:sz w:val="14"/>
        </w:rPr>
        <w:t> </w:t>
      </w:r>
      <w:r>
        <w:rPr>
          <w:b/>
          <w:sz w:val="14"/>
        </w:rPr>
        <w:t>Engagement</w:t>
      </w:r>
    </w:p>
    <w:p>
      <w:pPr>
        <w:pStyle w:val="BodyText"/>
        <w:rPr>
          <w:b/>
          <w:sz w:val="14"/>
        </w:rPr>
      </w:pPr>
      <w:r>
        <w:rPr/>
        <w:br w:type="column"/>
      </w:r>
      <w:r>
        <w:rPr>
          <w:b/>
          <w:sz w:val="14"/>
        </w:rPr>
      </w:r>
    </w:p>
    <w:p>
      <w:pPr>
        <w:pStyle w:val="BodyText"/>
        <w:rPr>
          <w:b/>
          <w:sz w:val="14"/>
        </w:rPr>
      </w:pPr>
    </w:p>
    <w:p>
      <w:pPr>
        <w:pStyle w:val="BodyText"/>
        <w:rPr>
          <w:b/>
          <w:sz w:val="14"/>
        </w:rPr>
      </w:pPr>
    </w:p>
    <w:p>
      <w:pPr>
        <w:spacing w:before="0"/>
        <w:ind w:left="841" w:right="-16" w:hanging="344"/>
        <w:jc w:val="left"/>
        <w:rPr>
          <w:b/>
          <w:sz w:val="14"/>
        </w:rPr>
      </w:pPr>
      <w:r>
        <w:rPr>
          <w:b/>
          <w:sz w:val="14"/>
        </w:rPr>
        <w:t>Research Training</w:t>
      </w:r>
      <w:r>
        <w:rPr>
          <w:b/>
          <w:w w:val="100"/>
          <w:sz w:val="14"/>
        </w:rPr>
        <w:t> </w:t>
      </w:r>
      <w:r>
        <w:rPr>
          <w:b/>
          <w:sz w:val="14"/>
        </w:rPr>
        <w:t>Scheme</w:t>
      </w:r>
    </w:p>
    <w:p>
      <w:pPr>
        <w:pStyle w:val="BodyText"/>
        <w:rPr>
          <w:b/>
          <w:sz w:val="14"/>
        </w:rPr>
      </w:pPr>
      <w:r>
        <w:rPr/>
        <w:br w:type="column"/>
      </w:r>
      <w:r>
        <w:rPr>
          <w:b/>
          <w:sz w:val="14"/>
        </w:rPr>
      </w:r>
    </w:p>
    <w:p>
      <w:pPr>
        <w:pStyle w:val="BodyText"/>
        <w:rPr>
          <w:b/>
          <w:sz w:val="14"/>
        </w:rPr>
      </w:pPr>
    </w:p>
    <w:p>
      <w:pPr>
        <w:pStyle w:val="BodyText"/>
        <w:rPr>
          <w:b/>
          <w:sz w:val="14"/>
        </w:rPr>
      </w:pPr>
    </w:p>
    <w:p>
      <w:pPr>
        <w:spacing w:before="0"/>
        <w:ind w:left="564" w:right="-15" w:hanging="356"/>
        <w:jc w:val="left"/>
        <w:rPr>
          <w:b/>
          <w:sz w:val="14"/>
        </w:rPr>
      </w:pPr>
      <w:r>
        <w:rPr>
          <w:b/>
          <w:sz w:val="14"/>
        </w:rPr>
        <w:t>Research Infrastructure</w:t>
      </w:r>
      <w:r>
        <w:rPr>
          <w:b/>
          <w:w w:val="100"/>
          <w:sz w:val="14"/>
        </w:rPr>
        <w:t> </w:t>
      </w:r>
      <w:r>
        <w:rPr>
          <w:b/>
          <w:sz w:val="14"/>
        </w:rPr>
        <w:t>Block Grants</w:t>
      </w:r>
    </w:p>
    <w:p>
      <w:pPr>
        <w:pStyle w:val="BodyText"/>
        <w:rPr>
          <w:b/>
          <w:sz w:val="14"/>
        </w:rPr>
      </w:pPr>
      <w:r>
        <w:rPr/>
        <w:br w:type="column"/>
      </w:r>
      <w:r>
        <w:rPr>
          <w:b/>
          <w:sz w:val="14"/>
        </w:rPr>
      </w:r>
    </w:p>
    <w:p>
      <w:pPr>
        <w:pStyle w:val="BodyText"/>
        <w:rPr>
          <w:b/>
          <w:sz w:val="14"/>
        </w:rPr>
      </w:pPr>
    </w:p>
    <w:p>
      <w:pPr>
        <w:spacing w:before="0"/>
        <w:ind w:left="378" w:right="2708" w:hanging="284"/>
        <w:jc w:val="left"/>
        <w:rPr>
          <w:b/>
          <w:sz w:val="14"/>
        </w:rPr>
      </w:pPr>
      <w:r>
        <w:rPr>
          <w:b/>
          <w:sz w:val="14"/>
        </w:rPr>
        <w:t>Sustainable Research Excellence in</w:t>
      </w:r>
    </w:p>
    <w:p>
      <w:pPr>
        <w:tabs>
          <w:tab w:pos="2310" w:val="left" w:leader="none"/>
        </w:tabs>
        <w:spacing w:before="0"/>
        <w:ind w:left="426" w:right="0" w:firstLine="0"/>
        <w:jc w:val="left"/>
        <w:rPr>
          <w:b/>
          <w:sz w:val="14"/>
        </w:rPr>
      </w:pPr>
      <w:r>
        <w:rPr>
          <w:b/>
          <w:sz w:val="14"/>
        </w:rPr>
        <w:t>Universities</w:t>
        <w:tab/>
        <w:t>Total</w:t>
      </w:r>
    </w:p>
    <w:p>
      <w:pPr>
        <w:spacing w:after="0"/>
        <w:jc w:val="left"/>
        <w:rPr>
          <w:sz w:val="14"/>
        </w:rPr>
        <w:sectPr>
          <w:type w:val="continuous"/>
          <w:pgSz w:w="16840" w:h="11910" w:orient="landscape"/>
          <w:pgMar w:top="1660" w:bottom="0" w:left="0" w:right="0"/>
          <w:cols w:num="5" w:equalWidth="0">
            <w:col w:w="3589" w:space="2925"/>
            <w:col w:w="2412" w:space="40"/>
            <w:col w:w="1723" w:space="40"/>
            <w:col w:w="1793" w:space="40"/>
            <w:col w:w="4278"/>
          </w:cols>
        </w:sectPr>
      </w:pPr>
    </w:p>
    <w:p>
      <w:pPr>
        <w:pStyle w:val="BodyText"/>
        <w:rPr>
          <w:b/>
          <w:sz w:val="14"/>
        </w:rPr>
      </w:pPr>
    </w:p>
    <w:p>
      <w:pPr>
        <w:pStyle w:val="BodyText"/>
        <w:spacing w:before="7"/>
        <w:rPr>
          <w:b/>
          <w:sz w:val="11"/>
        </w:rPr>
      </w:pPr>
    </w:p>
    <w:p>
      <w:pPr>
        <w:tabs>
          <w:tab w:pos="7175" w:val="left" w:leader="none"/>
        </w:tabs>
        <w:spacing w:before="0"/>
        <w:ind w:left="2006" w:right="0" w:firstLine="0"/>
        <w:jc w:val="left"/>
        <w:rPr>
          <w:b/>
          <w:sz w:val="14"/>
        </w:rPr>
      </w:pPr>
      <w:r>
        <w:rPr>
          <w:b/>
          <w:sz w:val="14"/>
        </w:rPr>
        <w:t>Parent Entity</w:t>
      </w:r>
      <w:r>
        <w:rPr>
          <w:b/>
          <w:spacing w:val="-5"/>
          <w:sz w:val="14"/>
        </w:rPr>
        <w:t> </w:t>
      </w:r>
      <w:r>
        <w:rPr>
          <w:b/>
          <w:sz w:val="14"/>
        </w:rPr>
        <w:t>(University) Only</w:t>
        <w:tab/>
      </w:r>
      <w:r>
        <w:rPr>
          <w:b/>
          <w:spacing w:val="-1"/>
          <w:sz w:val="14"/>
        </w:rPr>
        <w:t>Note</w:t>
      </w:r>
    </w:p>
    <w:p>
      <w:pPr>
        <w:spacing w:before="67"/>
        <w:ind w:left="325" w:right="-3" w:firstLine="0"/>
        <w:jc w:val="left"/>
        <w:rPr>
          <w:b/>
          <w:sz w:val="14"/>
        </w:rPr>
      </w:pPr>
      <w:r>
        <w:rPr/>
        <w:br w:type="column"/>
      </w:r>
      <w:r>
        <w:rPr>
          <w:b/>
          <w:sz w:val="14"/>
        </w:rPr>
        <w:t>2016</w:t>
      </w:r>
    </w:p>
    <w:p>
      <w:pPr>
        <w:spacing w:before="67"/>
        <w:ind w:left="308" w:right="-19" w:firstLine="0"/>
        <w:jc w:val="left"/>
        <w:rPr>
          <w:b/>
          <w:sz w:val="14"/>
        </w:rPr>
      </w:pPr>
      <w:r>
        <w:rPr>
          <w:b/>
          <w:sz w:val="14"/>
        </w:rPr>
        <w:t>$'000</w:t>
      </w:r>
    </w:p>
    <w:p>
      <w:pPr>
        <w:spacing w:before="67"/>
        <w:ind w:left="449" w:right="-2" w:firstLine="0"/>
        <w:jc w:val="left"/>
        <w:rPr>
          <w:b/>
          <w:sz w:val="14"/>
        </w:rPr>
      </w:pPr>
      <w:r>
        <w:rPr/>
        <w:br w:type="column"/>
      </w:r>
      <w:r>
        <w:rPr>
          <w:b/>
          <w:sz w:val="14"/>
        </w:rPr>
        <w:t>2015</w:t>
      </w:r>
    </w:p>
    <w:p>
      <w:pPr>
        <w:spacing w:before="67"/>
        <w:ind w:left="432" w:right="-18" w:firstLine="0"/>
        <w:jc w:val="left"/>
        <w:rPr>
          <w:b/>
          <w:sz w:val="14"/>
        </w:rPr>
      </w:pPr>
      <w:r>
        <w:rPr>
          <w:b/>
          <w:sz w:val="14"/>
        </w:rPr>
        <w:t>$'000</w:t>
      </w:r>
    </w:p>
    <w:p>
      <w:pPr>
        <w:spacing w:before="67"/>
        <w:ind w:left="466" w:right="-2" w:firstLine="0"/>
        <w:jc w:val="left"/>
        <w:rPr>
          <w:b/>
          <w:sz w:val="14"/>
        </w:rPr>
      </w:pPr>
      <w:r>
        <w:rPr/>
        <w:br w:type="column"/>
      </w:r>
      <w:r>
        <w:rPr>
          <w:b/>
          <w:sz w:val="14"/>
        </w:rPr>
        <w:t>2016</w:t>
      </w:r>
    </w:p>
    <w:p>
      <w:pPr>
        <w:spacing w:before="67"/>
        <w:ind w:left="449" w:right="-18" w:firstLine="0"/>
        <w:jc w:val="left"/>
        <w:rPr>
          <w:b/>
          <w:sz w:val="14"/>
        </w:rPr>
      </w:pPr>
      <w:r>
        <w:rPr>
          <w:b/>
          <w:sz w:val="14"/>
        </w:rPr>
        <w:t>$'000</w:t>
      </w:r>
    </w:p>
    <w:p>
      <w:pPr>
        <w:spacing w:before="67"/>
        <w:ind w:left="449" w:right="-2" w:firstLine="0"/>
        <w:jc w:val="left"/>
        <w:rPr>
          <w:b/>
          <w:sz w:val="14"/>
        </w:rPr>
      </w:pPr>
      <w:r>
        <w:rPr/>
        <w:br w:type="column"/>
      </w:r>
      <w:r>
        <w:rPr>
          <w:b/>
          <w:sz w:val="14"/>
        </w:rPr>
        <w:t>2015</w:t>
      </w:r>
    </w:p>
    <w:p>
      <w:pPr>
        <w:spacing w:before="67"/>
        <w:ind w:left="432" w:right="-18" w:firstLine="0"/>
        <w:jc w:val="left"/>
        <w:rPr>
          <w:b/>
          <w:sz w:val="14"/>
        </w:rPr>
      </w:pPr>
      <w:r>
        <w:rPr>
          <w:b/>
          <w:sz w:val="14"/>
        </w:rPr>
        <w:t>$'000</w:t>
      </w:r>
    </w:p>
    <w:p>
      <w:pPr>
        <w:spacing w:before="67"/>
        <w:ind w:left="466" w:right="-2" w:firstLine="0"/>
        <w:jc w:val="left"/>
        <w:rPr>
          <w:b/>
          <w:sz w:val="14"/>
        </w:rPr>
      </w:pPr>
      <w:r>
        <w:rPr/>
        <w:br w:type="column"/>
      </w:r>
      <w:r>
        <w:rPr>
          <w:b/>
          <w:sz w:val="14"/>
        </w:rPr>
        <w:t>2016</w:t>
      </w:r>
    </w:p>
    <w:p>
      <w:pPr>
        <w:spacing w:before="67"/>
        <w:ind w:left="449" w:right="-18" w:firstLine="0"/>
        <w:jc w:val="left"/>
        <w:rPr>
          <w:b/>
          <w:sz w:val="14"/>
        </w:rPr>
      </w:pPr>
      <w:r>
        <w:rPr>
          <w:b/>
          <w:sz w:val="14"/>
        </w:rPr>
        <w:t>$'000</w:t>
      </w:r>
    </w:p>
    <w:p>
      <w:pPr>
        <w:spacing w:before="67"/>
        <w:ind w:left="447" w:right="-3" w:firstLine="0"/>
        <w:jc w:val="left"/>
        <w:rPr>
          <w:b/>
          <w:sz w:val="14"/>
        </w:rPr>
      </w:pPr>
      <w:r>
        <w:rPr/>
        <w:br w:type="column"/>
      </w:r>
      <w:r>
        <w:rPr>
          <w:b/>
          <w:sz w:val="14"/>
        </w:rPr>
        <w:t>2015</w:t>
      </w:r>
    </w:p>
    <w:p>
      <w:pPr>
        <w:spacing w:before="67"/>
        <w:ind w:left="430" w:right="-19" w:firstLine="0"/>
        <w:jc w:val="left"/>
        <w:rPr>
          <w:b/>
          <w:sz w:val="14"/>
        </w:rPr>
      </w:pPr>
      <w:r>
        <w:rPr>
          <w:b/>
          <w:sz w:val="14"/>
        </w:rPr>
        <w:t>$'000</w:t>
      </w:r>
    </w:p>
    <w:p>
      <w:pPr>
        <w:spacing w:before="67"/>
        <w:ind w:left="471" w:right="-3" w:firstLine="0"/>
        <w:jc w:val="left"/>
        <w:rPr>
          <w:b/>
          <w:sz w:val="14"/>
        </w:rPr>
      </w:pPr>
      <w:r>
        <w:rPr/>
        <w:br w:type="column"/>
      </w:r>
      <w:r>
        <w:rPr>
          <w:b/>
          <w:sz w:val="14"/>
        </w:rPr>
        <w:t>2016</w:t>
      </w:r>
    </w:p>
    <w:p>
      <w:pPr>
        <w:spacing w:before="67"/>
        <w:ind w:left="454" w:right="-19" w:firstLine="0"/>
        <w:jc w:val="left"/>
        <w:rPr>
          <w:b/>
          <w:sz w:val="14"/>
        </w:rPr>
      </w:pPr>
      <w:r>
        <w:rPr>
          <w:b/>
          <w:sz w:val="14"/>
        </w:rPr>
        <w:t>$'000</w:t>
      </w:r>
    </w:p>
    <w:p>
      <w:pPr>
        <w:spacing w:before="67"/>
        <w:ind w:left="444" w:right="-2" w:firstLine="0"/>
        <w:jc w:val="left"/>
        <w:rPr>
          <w:b/>
          <w:sz w:val="14"/>
        </w:rPr>
      </w:pPr>
      <w:r>
        <w:rPr/>
        <w:br w:type="column"/>
      </w:r>
      <w:r>
        <w:rPr>
          <w:b/>
          <w:sz w:val="14"/>
        </w:rPr>
        <w:t>2015</w:t>
      </w:r>
    </w:p>
    <w:p>
      <w:pPr>
        <w:spacing w:before="67"/>
        <w:ind w:left="427" w:right="-18" w:firstLine="0"/>
        <w:jc w:val="left"/>
        <w:rPr>
          <w:b/>
          <w:sz w:val="14"/>
        </w:rPr>
      </w:pPr>
      <w:r>
        <w:rPr>
          <w:b/>
          <w:sz w:val="14"/>
        </w:rPr>
        <w:t>$'000</w:t>
      </w:r>
    </w:p>
    <w:p>
      <w:pPr>
        <w:spacing w:before="67"/>
        <w:ind w:left="471" w:right="-3" w:firstLine="0"/>
        <w:jc w:val="left"/>
        <w:rPr>
          <w:b/>
          <w:sz w:val="14"/>
        </w:rPr>
      </w:pPr>
      <w:r>
        <w:rPr/>
        <w:br w:type="column"/>
      </w:r>
      <w:r>
        <w:rPr>
          <w:b/>
          <w:sz w:val="14"/>
        </w:rPr>
        <w:t>2016</w:t>
      </w:r>
    </w:p>
    <w:p>
      <w:pPr>
        <w:spacing w:before="67"/>
        <w:ind w:left="454" w:right="-19" w:firstLine="0"/>
        <w:jc w:val="left"/>
        <w:rPr>
          <w:b/>
          <w:sz w:val="14"/>
        </w:rPr>
      </w:pPr>
      <w:r>
        <w:rPr>
          <w:b/>
          <w:sz w:val="14"/>
        </w:rPr>
        <w:t>$'000</w:t>
      </w:r>
    </w:p>
    <w:p>
      <w:pPr>
        <w:spacing w:before="67"/>
        <w:ind w:left="444" w:right="0" w:firstLine="0"/>
        <w:jc w:val="left"/>
        <w:rPr>
          <w:b/>
          <w:sz w:val="14"/>
        </w:rPr>
      </w:pPr>
      <w:r>
        <w:rPr/>
        <w:br w:type="column"/>
      </w:r>
      <w:r>
        <w:rPr>
          <w:b/>
          <w:sz w:val="14"/>
        </w:rPr>
        <w:t>2015</w:t>
      </w:r>
    </w:p>
    <w:p>
      <w:pPr>
        <w:spacing w:before="67"/>
        <w:ind w:left="427" w:right="0" w:firstLine="0"/>
        <w:jc w:val="left"/>
        <w:rPr>
          <w:b/>
          <w:sz w:val="14"/>
        </w:rPr>
      </w:pPr>
      <w:r>
        <w:rPr>
          <w:b/>
          <w:sz w:val="14"/>
        </w:rPr>
        <w:t>$'000</w:t>
      </w:r>
    </w:p>
    <w:p>
      <w:pPr>
        <w:spacing w:after="0"/>
        <w:jc w:val="left"/>
        <w:rPr>
          <w:sz w:val="14"/>
        </w:rPr>
        <w:sectPr>
          <w:type w:val="continuous"/>
          <w:pgSz w:w="16840" w:h="11910" w:orient="landscape"/>
          <w:pgMar w:top="1660" w:bottom="0" w:left="0" w:right="0"/>
          <w:cols w:num="11" w:equalWidth="0">
            <w:col w:w="7487" w:space="40"/>
            <w:col w:w="654" w:space="40"/>
            <w:col w:w="779" w:space="40"/>
            <w:col w:w="796" w:space="40"/>
            <w:col w:w="779" w:space="40"/>
            <w:col w:w="796" w:space="40"/>
            <w:col w:w="776" w:space="40"/>
            <w:col w:w="800" w:space="40"/>
            <w:col w:w="774" w:space="40"/>
            <w:col w:w="800" w:space="40"/>
            <w:col w:w="1999"/>
          </w:cols>
        </w:sectPr>
      </w:pPr>
    </w:p>
    <w:p>
      <w:pPr>
        <w:pStyle w:val="BodyText"/>
        <w:spacing w:before="2"/>
        <w:rPr>
          <w:b/>
          <w:sz w:val="3"/>
        </w:rPr>
      </w:pPr>
    </w:p>
    <w:p>
      <w:pPr>
        <w:tabs>
          <w:tab w:pos="1971" w:val="left" w:leader="none"/>
          <w:tab w:pos="16525" w:val="left" w:leader="none"/>
        </w:tabs>
        <w:spacing w:line="240" w:lineRule="auto"/>
        <w:ind w:left="67" w:right="0" w:firstLine="0"/>
        <w:rPr>
          <w:sz w:val="20"/>
        </w:rPr>
      </w:pPr>
      <w:r>
        <w:rPr>
          <w:position w:val="65"/>
          <w:sz w:val="20"/>
        </w:rPr>
        <w:drawing>
          <wp:inline distT="0" distB="0" distL="0" distR="0">
            <wp:extent cx="154019" cy="154019"/>
            <wp:effectExtent l="0" t="0" r="0" b="0"/>
            <wp:docPr id="389" name="image25.png" descr=""/>
            <wp:cNvGraphicFramePr>
              <a:graphicFrameLocks noChangeAspect="1"/>
            </wp:cNvGraphicFramePr>
            <a:graphic>
              <a:graphicData uri="http://schemas.openxmlformats.org/drawingml/2006/picture">
                <pic:pic>
                  <pic:nvPicPr>
                    <pic:cNvPr id="390" name="image25.png"/>
                    <pic:cNvPicPr/>
                  </pic:nvPicPr>
                  <pic:blipFill>
                    <a:blip r:embed="rId41" cstate="print"/>
                    <a:stretch>
                      <a:fillRect/>
                    </a:stretch>
                  </pic:blipFill>
                  <pic:spPr>
                    <a:xfrm>
                      <a:off x="0" y="0"/>
                      <a:ext cx="154019" cy="154019"/>
                    </a:xfrm>
                    <a:prstGeom prst="rect">
                      <a:avLst/>
                    </a:prstGeom>
                  </pic:spPr>
                </pic:pic>
              </a:graphicData>
            </a:graphic>
          </wp:inline>
        </w:drawing>
      </w:r>
      <w:r>
        <w:rPr>
          <w:position w:val="65"/>
          <w:sz w:val="20"/>
        </w:rPr>
      </w:r>
      <w:r>
        <w:rPr>
          <w:position w:val="65"/>
          <w:sz w:val="20"/>
        </w:rPr>
        <w:tab/>
      </w:r>
      <w:r>
        <w:rPr>
          <w:sz w:val="20"/>
        </w:rPr>
        <w:pict>
          <v:shape style="width:694.05pt;height:104.35pt;mso-position-horizontal-relative:char;mso-position-vertical-relative:line" type="#_x0000_t202" filled="false" stroked="false">
            <w10:anchorlock/>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965"/>
                    <w:gridCol w:w="1647"/>
                    <w:gridCol w:w="1007"/>
                    <w:gridCol w:w="827"/>
                    <w:gridCol w:w="827"/>
                    <w:gridCol w:w="827"/>
                    <w:gridCol w:w="824"/>
                    <w:gridCol w:w="827"/>
                    <w:gridCol w:w="827"/>
                    <w:gridCol w:w="788"/>
                    <w:gridCol w:w="827"/>
                    <w:gridCol w:w="688"/>
                  </w:tblGrid>
                  <w:tr>
                    <w:trPr>
                      <w:trHeight w:val="703" w:hRule="exact"/>
                    </w:trPr>
                    <w:tc>
                      <w:tcPr>
                        <w:tcW w:w="3965" w:type="dxa"/>
                      </w:tcPr>
                      <w:p>
                        <w:pPr>
                          <w:pStyle w:val="TableParagraph"/>
                          <w:spacing w:before="24"/>
                          <w:ind w:left="35" w:right="1155"/>
                          <w:jc w:val="left"/>
                          <w:rPr>
                            <w:sz w:val="14"/>
                          </w:rPr>
                        </w:pPr>
                        <w:r>
                          <w:rPr>
                            <w:sz w:val="14"/>
                          </w:rPr>
                          <w:t>Financial assistance received in CASH during the reporting period (total cash received from the Australian Government for the program)</w:t>
                        </w:r>
                      </w:p>
                    </w:tc>
                    <w:tc>
                      <w:tcPr>
                        <w:tcW w:w="1647" w:type="dxa"/>
                      </w:tcPr>
                      <w:p>
                        <w:pPr/>
                      </w:p>
                    </w:tc>
                    <w:tc>
                      <w:tcPr>
                        <w:tcW w:w="1007" w:type="dxa"/>
                      </w:tcPr>
                      <w:p>
                        <w:pPr>
                          <w:pStyle w:val="TableParagraph"/>
                          <w:jc w:val="left"/>
                          <w:rPr>
                            <w:b/>
                            <w:sz w:val="14"/>
                          </w:rPr>
                        </w:pPr>
                      </w:p>
                      <w:p>
                        <w:pPr>
                          <w:pStyle w:val="TableParagraph"/>
                          <w:jc w:val="left"/>
                          <w:rPr>
                            <w:b/>
                            <w:sz w:val="14"/>
                          </w:rPr>
                        </w:pPr>
                      </w:p>
                      <w:p>
                        <w:pPr>
                          <w:pStyle w:val="TableParagraph"/>
                          <w:spacing w:before="10"/>
                          <w:jc w:val="left"/>
                          <w:rPr>
                            <w:b/>
                            <w:sz w:val="15"/>
                          </w:rPr>
                        </w:pPr>
                      </w:p>
                      <w:p>
                        <w:pPr>
                          <w:pStyle w:val="TableParagraph"/>
                          <w:ind w:right="225"/>
                          <w:rPr>
                            <w:sz w:val="14"/>
                          </w:rPr>
                        </w:pPr>
                        <w:r>
                          <w:rPr>
                            <w:sz w:val="14"/>
                          </w:rPr>
                          <w:t>3,813</w:t>
                        </w:r>
                      </w:p>
                    </w:tc>
                    <w:tc>
                      <w:tcPr>
                        <w:tcW w:w="827" w:type="dxa"/>
                      </w:tcPr>
                      <w:p>
                        <w:pPr>
                          <w:pStyle w:val="TableParagraph"/>
                          <w:jc w:val="left"/>
                          <w:rPr>
                            <w:b/>
                            <w:sz w:val="14"/>
                          </w:rPr>
                        </w:pPr>
                      </w:p>
                      <w:p>
                        <w:pPr>
                          <w:pStyle w:val="TableParagraph"/>
                          <w:jc w:val="left"/>
                          <w:rPr>
                            <w:b/>
                            <w:sz w:val="14"/>
                          </w:rPr>
                        </w:pPr>
                      </w:p>
                      <w:p>
                        <w:pPr>
                          <w:pStyle w:val="TableParagraph"/>
                          <w:spacing w:before="10"/>
                          <w:jc w:val="left"/>
                          <w:rPr>
                            <w:b/>
                            <w:sz w:val="15"/>
                          </w:rPr>
                        </w:pPr>
                      </w:p>
                      <w:p>
                        <w:pPr>
                          <w:pStyle w:val="TableParagraph"/>
                          <w:ind w:right="245"/>
                          <w:rPr>
                            <w:sz w:val="14"/>
                          </w:rPr>
                        </w:pPr>
                        <w:r>
                          <w:rPr>
                            <w:sz w:val="14"/>
                          </w:rPr>
                          <w:t>3,730</w:t>
                        </w:r>
                      </w:p>
                    </w:tc>
                    <w:tc>
                      <w:tcPr>
                        <w:tcW w:w="827" w:type="dxa"/>
                      </w:tcPr>
                      <w:p>
                        <w:pPr>
                          <w:pStyle w:val="TableParagraph"/>
                          <w:jc w:val="left"/>
                          <w:rPr>
                            <w:b/>
                            <w:sz w:val="14"/>
                          </w:rPr>
                        </w:pPr>
                      </w:p>
                      <w:p>
                        <w:pPr>
                          <w:pStyle w:val="TableParagraph"/>
                          <w:jc w:val="left"/>
                          <w:rPr>
                            <w:b/>
                            <w:sz w:val="14"/>
                          </w:rPr>
                        </w:pPr>
                      </w:p>
                      <w:p>
                        <w:pPr>
                          <w:pStyle w:val="TableParagraph"/>
                          <w:spacing w:before="10"/>
                          <w:jc w:val="left"/>
                          <w:rPr>
                            <w:b/>
                            <w:sz w:val="15"/>
                          </w:rPr>
                        </w:pPr>
                      </w:p>
                      <w:p>
                        <w:pPr>
                          <w:pStyle w:val="TableParagraph"/>
                          <w:ind w:right="225"/>
                          <w:rPr>
                            <w:sz w:val="14"/>
                          </w:rPr>
                        </w:pPr>
                        <w:r>
                          <w:rPr>
                            <w:sz w:val="14"/>
                          </w:rPr>
                          <w:t>7,070</w:t>
                        </w:r>
                      </w:p>
                    </w:tc>
                    <w:tc>
                      <w:tcPr>
                        <w:tcW w:w="827" w:type="dxa"/>
                      </w:tcPr>
                      <w:p>
                        <w:pPr>
                          <w:pStyle w:val="TableParagraph"/>
                          <w:jc w:val="left"/>
                          <w:rPr>
                            <w:b/>
                            <w:sz w:val="14"/>
                          </w:rPr>
                        </w:pPr>
                      </w:p>
                      <w:p>
                        <w:pPr>
                          <w:pStyle w:val="TableParagraph"/>
                          <w:jc w:val="left"/>
                          <w:rPr>
                            <w:b/>
                            <w:sz w:val="14"/>
                          </w:rPr>
                        </w:pPr>
                      </w:p>
                      <w:p>
                        <w:pPr>
                          <w:pStyle w:val="TableParagraph"/>
                          <w:spacing w:before="10"/>
                          <w:jc w:val="left"/>
                          <w:rPr>
                            <w:b/>
                            <w:sz w:val="15"/>
                          </w:rPr>
                        </w:pPr>
                      </w:p>
                      <w:p>
                        <w:pPr>
                          <w:pStyle w:val="TableParagraph"/>
                          <w:ind w:right="245"/>
                          <w:rPr>
                            <w:sz w:val="14"/>
                          </w:rPr>
                        </w:pPr>
                        <w:r>
                          <w:rPr>
                            <w:sz w:val="14"/>
                          </w:rPr>
                          <w:t>6,884</w:t>
                        </w:r>
                      </w:p>
                    </w:tc>
                    <w:tc>
                      <w:tcPr>
                        <w:tcW w:w="824" w:type="dxa"/>
                      </w:tcPr>
                      <w:p>
                        <w:pPr>
                          <w:pStyle w:val="TableParagraph"/>
                          <w:jc w:val="left"/>
                          <w:rPr>
                            <w:b/>
                            <w:sz w:val="14"/>
                          </w:rPr>
                        </w:pPr>
                      </w:p>
                      <w:p>
                        <w:pPr>
                          <w:pStyle w:val="TableParagraph"/>
                          <w:jc w:val="left"/>
                          <w:rPr>
                            <w:b/>
                            <w:sz w:val="14"/>
                          </w:rPr>
                        </w:pPr>
                      </w:p>
                      <w:p>
                        <w:pPr>
                          <w:pStyle w:val="TableParagraph"/>
                          <w:spacing w:before="10"/>
                          <w:jc w:val="left"/>
                          <w:rPr>
                            <w:b/>
                            <w:sz w:val="15"/>
                          </w:rPr>
                        </w:pPr>
                      </w:p>
                      <w:p>
                        <w:pPr>
                          <w:pStyle w:val="TableParagraph"/>
                          <w:ind w:right="222"/>
                          <w:rPr>
                            <w:sz w:val="14"/>
                          </w:rPr>
                        </w:pPr>
                        <w:r>
                          <w:rPr>
                            <w:sz w:val="14"/>
                          </w:rPr>
                          <w:t>1,896</w:t>
                        </w:r>
                      </w:p>
                    </w:tc>
                    <w:tc>
                      <w:tcPr>
                        <w:tcW w:w="827" w:type="dxa"/>
                      </w:tcPr>
                      <w:p>
                        <w:pPr>
                          <w:pStyle w:val="TableParagraph"/>
                          <w:jc w:val="left"/>
                          <w:rPr>
                            <w:b/>
                            <w:sz w:val="14"/>
                          </w:rPr>
                        </w:pPr>
                      </w:p>
                      <w:p>
                        <w:pPr>
                          <w:pStyle w:val="TableParagraph"/>
                          <w:jc w:val="left"/>
                          <w:rPr>
                            <w:b/>
                            <w:sz w:val="14"/>
                          </w:rPr>
                        </w:pPr>
                      </w:p>
                      <w:p>
                        <w:pPr>
                          <w:pStyle w:val="TableParagraph"/>
                          <w:spacing w:before="10"/>
                          <w:jc w:val="left"/>
                          <w:rPr>
                            <w:b/>
                            <w:sz w:val="15"/>
                          </w:rPr>
                        </w:pPr>
                      </w:p>
                      <w:p>
                        <w:pPr>
                          <w:pStyle w:val="TableParagraph"/>
                          <w:ind w:right="248"/>
                          <w:rPr>
                            <w:sz w:val="14"/>
                          </w:rPr>
                        </w:pPr>
                        <w:r>
                          <w:rPr>
                            <w:sz w:val="14"/>
                          </w:rPr>
                          <w:t>1,796</w:t>
                        </w:r>
                      </w:p>
                    </w:tc>
                    <w:tc>
                      <w:tcPr>
                        <w:tcW w:w="827" w:type="dxa"/>
                      </w:tcPr>
                      <w:p>
                        <w:pPr>
                          <w:pStyle w:val="TableParagraph"/>
                          <w:jc w:val="left"/>
                          <w:rPr>
                            <w:b/>
                            <w:sz w:val="14"/>
                          </w:rPr>
                        </w:pPr>
                      </w:p>
                      <w:p>
                        <w:pPr>
                          <w:pStyle w:val="TableParagraph"/>
                          <w:jc w:val="left"/>
                          <w:rPr>
                            <w:b/>
                            <w:sz w:val="14"/>
                          </w:rPr>
                        </w:pPr>
                      </w:p>
                      <w:p>
                        <w:pPr>
                          <w:pStyle w:val="TableParagraph"/>
                          <w:spacing w:before="10"/>
                          <w:jc w:val="left"/>
                          <w:rPr>
                            <w:b/>
                            <w:sz w:val="15"/>
                          </w:rPr>
                        </w:pPr>
                      </w:p>
                      <w:p>
                        <w:pPr>
                          <w:pStyle w:val="TableParagraph"/>
                          <w:ind w:right="224"/>
                          <w:rPr>
                            <w:sz w:val="14"/>
                          </w:rPr>
                        </w:pPr>
                        <w:r>
                          <w:rPr>
                            <w:sz w:val="14"/>
                          </w:rPr>
                          <w:t>175</w:t>
                        </w:r>
                      </w:p>
                    </w:tc>
                    <w:tc>
                      <w:tcPr>
                        <w:tcW w:w="788" w:type="dxa"/>
                      </w:tcPr>
                      <w:p>
                        <w:pPr>
                          <w:pStyle w:val="TableParagraph"/>
                          <w:jc w:val="left"/>
                          <w:rPr>
                            <w:b/>
                            <w:sz w:val="14"/>
                          </w:rPr>
                        </w:pPr>
                      </w:p>
                      <w:p>
                        <w:pPr>
                          <w:pStyle w:val="TableParagraph"/>
                          <w:jc w:val="left"/>
                          <w:rPr>
                            <w:b/>
                            <w:sz w:val="14"/>
                          </w:rPr>
                        </w:pPr>
                      </w:p>
                      <w:p>
                        <w:pPr>
                          <w:pStyle w:val="TableParagraph"/>
                          <w:spacing w:before="10"/>
                          <w:jc w:val="left"/>
                          <w:rPr>
                            <w:b/>
                            <w:sz w:val="15"/>
                          </w:rPr>
                        </w:pPr>
                      </w:p>
                      <w:p>
                        <w:pPr>
                          <w:pStyle w:val="TableParagraph"/>
                          <w:ind w:right="209"/>
                          <w:rPr>
                            <w:sz w:val="14"/>
                          </w:rPr>
                        </w:pPr>
                        <w:r>
                          <w:rPr>
                            <w:sz w:val="14"/>
                          </w:rPr>
                          <w:t>1,497</w:t>
                        </w:r>
                      </w:p>
                    </w:tc>
                    <w:tc>
                      <w:tcPr>
                        <w:tcW w:w="827" w:type="dxa"/>
                      </w:tcPr>
                      <w:p>
                        <w:pPr>
                          <w:pStyle w:val="TableParagraph"/>
                          <w:jc w:val="left"/>
                          <w:rPr>
                            <w:b/>
                            <w:sz w:val="14"/>
                          </w:rPr>
                        </w:pPr>
                      </w:p>
                      <w:p>
                        <w:pPr>
                          <w:pStyle w:val="TableParagraph"/>
                          <w:jc w:val="left"/>
                          <w:rPr>
                            <w:b/>
                            <w:sz w:val="14"/>
                          </w:rPr>
                        </w:pPr>
                      </w:p>
                      <w:p>
                        <w:pPr>
                          <w:pStyle w:val="TableParagraph"/>
                          <w:spacing w:before="10"/>
                          <w:jc w:val="left"/>
                          <w:rPr>
                            <w:b/>
                            <w:sz w:val="15"/>
                          </w:rPr>
                        </w:pPr>
                      </w:p>
                      <w:p>
                        <w:pPr>
                          <w:pStyle w:val="TableParagraph"/>
                          <w:ind w:right="183"/>
                          <w:rPr>
                            <w:sz w:val="14"/>
                          </w:rPr>
                        </w:pPr>
                        <w:r>
                          <w:rPr>
                            <w:sz w:val="14"/>
                          </w:rPr>
                          <w:t>12,954</w:t>
                        </w:r>
                      </w:p>
                    </w:tc>
                    <w:tc>
                      <w:tcPr>
                        <w:tcW w:w="688" w:type="dxa"/>
                      </w:tcPr>
                      <w:p>
                        <w:pPr>
                          <w:pStyle w:val="TableParagraph"/>
                          <w:jc w:val="left"/>
                          <w:rPr>
                            <w:b/>
                            <w:sz w:val="14"/>
                          </w:rPr>
                        </w:pPr>
                      </w:p>
                      <w:p>
                        <w:pPr>
                          <w:pStyle w:val="TableParagraph"/>
                          <w:jc w:val="left"/>
                          <w:rPr>
                            <w:b/>
                            <w:sz w:val="14"/>
                          </w:rPr>
                        </w:pPr>
                      </w:p>
                      <w:p>
                        <w:pPr>
                          <w:pStyle w:val="TableParagraph"/>
                          <w:spacing w:before="10"/>
                          <w:jc w:val="left"/>
                          <w:rPr>
                            <w:b/>
                            <w:sz w:val="15"/>
                          </w:rPr>
                        </w:pPr>
                      </w:p>
                      <w:p>
                        <w:pPr>
                          <w:pStyle w:val="TableParagraph"/>
                          <w:ind w:right="70"/>
                          <w:rPr>
                            <w:sz w:val="14"/>
                          </w:rPr>
                        </w:pPr>
                        <w:r>
                          <w:rPr>
                            <w:sz w:val="14"/>
                          </w:rPr>
                          <w:t>13,907</w:t>
                        </w:r>
                      </w:p>
                    </w:tc>
                  </w:tr>
                  <w:tr>
                    <w:trPr>
                      <w:trHeight w:val="219" w:hRule="exact"/>
                    </w:trPr>
                    <w:tc>
                      <w:tcPr>
                        <w:tcW w:w="3965" w:type="dxa"/>
                      </w:tcPr>
                      <w:p>
                        <w:pPr>
                          <w:pStyle w:val="TableParagraph"/>
                          <w:spacing w:before="22"/>
                          <w:ind w:left="35" w:right="1155"/>
                          <w:jc w:val="left"/>
                          <w:rPr>
                            <w:sz w:val="14"/>
                          </w:rPr>
                        </w:pPr>
                        <w:r>
                          <w:rPr>
                            <w:sz w:val="14"/>
                          </w:rPr>
                          <w:t>Net accrual adjustments</w:t>
                        </w:r>
                      </w:p>
                    </w:tc>
                    <w:tc>
                      <w:tcPr>
                        <w:tcW w:w="1647" w:type="dxa"/>
                      </w:tcPr>
                      <w:p>
                        <w:pPr/>
                      </w:p>
                    </w:tc>
                    <w:tc>
                      <w:tcPr>
                        <w:tcW w:w="1007" w:type="dxa"/>
                        <w:tcBorders>
                          <w:bottom w:val="single" w:sz="0" w:space="0" w:color="000000"/>
                        </w:tcBorders>
                      </w:tcPr>
                      <w:p>
                        <w:pPr>
                          <w:pStyle w:val="TableParagraph"/>
                          <w:spacing w:before="21"/>
                          <w:ind w:right="225"/>
                          <w:rPr>
                            <w:sz w:val="14"/>
                          </w:rPr>
                        </w:pPr>
                        <w:r>
                          <w:rPr>
                            <w:w w:val="100"/>
                            <w:sz w:val="14"/>
                          </w:rPr>
                          <w:t>-</w:t>
                        </w:r>
                      </w:p>
                    </w:tc>
                    <w:tc>
                      <w:tcPr>
                        <w:tcW w:w="827" w:type="dxa"/>
                        <w:tcBorders>
                          <w:bottom w:val="single" w:sz="0" w:space="0" w:color="000000"/>
                        </w:tcBorders>
                      </w:tcPr>
                      <w:p>
                        <w:pPr>
                          <w:pStyle w:val="TableParagraph"/>
                          <w:spacing w:before="21"/>
                          <w:ind w:right="245"/>
                          <w:rPr>
                            <w:sz w:val="14"/>
                          </w:rPr>
                        </w:pPr>
                        <w:r>
                          <w:rPr>
                            <w:w w:val="100"/>
                            <w:sz w:val="14"/>
                          </w:rPr>
                          <w:t>-</w:t>
                        </w:r>
                      </w:p>
                    </w:tc>
                    <w:tc>
                      <w:tcPr>
                        <w:tcW w:w="827" w:type="dxa"/>
                        <w:tcBorders>
                          <w:bottom w:val="single" w:sz="0" w:space="0" w:color="000000"/>
                        </w:tcBorders>
                      </w:tcPr>
                      <w:p>
                        <w:pPr>
                          <w:pStyle w:val="TableParagraph"/>
                          <w:spacing w:before="21"/>
                          <w:ind w:right="225"/>
                          <w:rPr>
                            <w:sz w:val="14"/>
                          </w:rPr>
                        </w:pPr>
                        <w:r>
                          <w:rPr>
                            <w:w w:val="100"/>
                            <w:sz w:val="14"/>
                          </w:rPr>
                          <w:t>-</w:t>
                        </w:r>
                      </w:p>
                    </w:tc>
                    <w:tc>
                      <w:tcPr>
                        <w:tcW w:w="827" w:type="dxa"/>
                        <w:tcBorders>
                          <w:bottom w:val="single" w:sz="0" w:space="0" w:color="000000"/>
                        </w:tcBorders>
                      </w:tcPr>
                      <w:p>
                        <w:pPr>
                          <w:pStyle w:val="TableParagraph"/>
                          <w:spacing w:before="21"/>
                          <w:ind w:right="245"/>
                          <w:rPr>
                            <w:sz w:val="14"/>
                          </w:rPr>
                        </w:pPr>
                        <w:r>
                          <w:rPr>
                            <w:w w:val="100"/>
                            <w:sz w:val="14"/>
                          </w:rPr>
                          <w:t>-</w:t>
                        </w:r>
                      </w:p>
                    </w:tc>
                    <w:tc>
                      <w:tcPr>
                        <w:tcW w:w="824" w:type="dxa"/>
                        <w:tcBorders>
                          <w:bottom w:val="single" w:sz="0" w:space="0" w:color="000000"/>
                        </w:tcBorders>
                      </w:tcPr>
                      <w:p>
                        <w:pPr>
                          <w:pStyle w:val="TableParagraph"/>
                          <w:spacing w:before="21"/>
                          <w:ind w:right="222"/>
                          <w:rPr>
                            <w:sz w:val="14"/>
                          </w:rPr>
                        </w:pPr>
                        <w:r>
                          <w:rPr>
                            <w:w w:val="100"/>
                            <w:sz w:val="14"/>
                          </w:rPr>
                          <w:t>-</w:t>
                        </w:r>
                      </w:p>
                    </w:tc>
                    <w:tc>
                      <w:tcPr>
                        <w:tcW w:w="827" w:type="dxa"/>
                        <w:tcBorders>
                          <w:bottom w:val="single" w:sz="0" w:space="0" w:color="000000"/>
                        </w:tcBorders>
                      </w:tcPr>
                      <w:p>
                        <w:pPr>
                          <w:pStyle w:val="TableParagraph"/>
                          <w:spacing w:before="21"/>
                          <w:ind w:right="248"/>
                          <w:rPr>
                            <w:sz w:val="14"/>
                          </w:rPr>
                        </w:pPr>
                        <w:r>
                          <w:rPr>
                            <w:w w:val="100"/>
                            <w:sz w:val="14"/>
                          </w:rPr>
                          <w:t>-</w:t>
                        </w:r>
                      </w:p>
                    </w:tc>
                    <w:tc>
                      <w:tcPr>
                        <w:tcW w:w="827" w:type="dxa"/>
                        <w:tcBorders>
                          <w:bottom w:val="single" w:sz="0" w:space="0" w:color="000000"/>
                        </w:tcBorders>
                      </w:tcPr>
                      <w:p>
                        <w:pPr>
                          <w:pStyle w:val="TableParagraph"/>
                          <w:spacing w:before="21"/>
                          <w:ind w:right="222"/>
                          <w:rPr>
                            <w:sz w:val="14"/>
                          </w:rPr>
                        </w:pPr>
                        <w:r>
                          <w:rPr>
                            <w:sz w:val="14"/>
                          </w:rPr>
                          <w:t>1,578</w:t>
                        </w:r>
                      </w:p>
                    </w:tc>
                    <w:tc>
                      <w:tcPr>
                        <w:tcW w:w="788" w:type="dxa"/>
                        <w:tcBorders>
                          <w:bottom w:val="single" w:sz="0" w:space="0" w:color="000000"/>
                        </w:tcBorders>
                      </w:tcPr>
                      <w:p>
                        <w:pPr>
                          <w:pStyle w:val="TableParagraph"/>
                          <w:spacing w:before="21"/>
                          <w:ind w:right="209"/>
                          <w:rPr>
                            <w:sz w:val="14"/>
                          </w:rPr>
                        </w:pPr>
                        <w:r>
                          <w:rPr>
                            <w:w w:val="100"/>
                            <w:sz w:val="14"/>
                          </w:rPr>
                          <w:t>-</w:t>
                        </w:r>
                      </w:p>
                    </w:tc>
                    <w:tc>
                      <w:tcPr>
                        <w:tcW w:w="827" w:type="dxa"/>
                        <w:tcBorders>
                          <w:bottom w:val="single" w:sz="0" w:space="0" w:color="000000"/>
                        </w:tcBorders>
                      </w:tcPr>
                      <w:p>
                        <w:pPr>
                          <w:pStyle w:val="TableParagraph"/>
                          <w:spacing w:before="21"/>
                          <w:ind w:right="183"/>
                          <w:rPr>
                            <w:sz w:val="14"/>
                          </w:rPr>
                        </w:pPr>
                        <w:r>
                          <w:rPr>
                            <w:sz w:val="14"/>
                          </w:rPr>
                          <w:t>1,578</w:t>
                        </w:r>
                      </w:p>
                    </w:tc>
                    <w:tc>
                      <w:tcPr>
                        <w:tcW w:w="688" w:type="dxa"/>
                        <w:tcBorders>
                          <w:bottom w:val="single" w:sz="0" w:space="0" w:color="000000"/>
                        </w:tcBorders>
                      </w:tcPr>
                      <w:p>
                        <w:pPr>
                          <w:pStyle w:val="TableParagraph"/>
                          <w:spacing w:before="21"/>
                          <w:ind w:right="70"/>
                          <w:rPr>
                            <w:sz w:val="14"/>
                          </w:rPr>
                        </w:pPr>
                        <w:r>
                          <w:rPr>
                            <w:w w:val="100"/>
                            <w:sz w:val="14"/>
                          </w:rPr>
                          <w:t>-</w:t>
                        </w:r>
                      </w:p>
                    </w:tc>
                  </w:tr>
                  <w:tr>
                    <w:trPr>
                      <w:trHeight w:val="237" w:hRule="exact"/>
                    </w:trPr>
                    <w:tc>
                      <w:tcPr>
                        <w:tcW w:w="3965" w:type="dxa"/>
                      </w:tcPr>
                      <w:p>
                        <w:pPr>
                          <w:pStyle w:val="TableParagraph"/>
                          <w:spacing w:before="41"/>
                          <w:ind w:left="35" w:right="1155"/>
                          <w:jc w:val="left"/>
                          <w:rPr>
                            <w:sz w:val="14"/>
                          </w:rPr>
                        </w:pPr>
                        <w:r>
                          <w:rPr>
                            <w:sz w:val="14"/>
                          </w:rPr>
                          <w:t>Revenue for the period</w:t>
                        </w:r>
                      </w:p>
                    </w:tc>
                    <w:tc>
                      <w:tcPr>
                        <w:tcW w:w="1647" w:type="dxa"/>
                      </w:tcPr>
                      <w:p>
                        <w:pPr>
                          <w:pStyle w:val="TableParagraph"/>
                          <w:spacing w:before="38"/>
                          <w:ind w:right="228"/>
                          <w:rPr>
                            <w:sz w:val="14"/>
                          </w:rPr>
                        </w:pPr>
                        <w:r>
                          <w:rPr>
                            <w:sz w:val="14"/>
                          </w:rPr>
                          <w:t>2(d)</w:t>
                        </w:r>
                      </w:p>
                    </w:tc>
                    <w:tc>
                      <w:tcPr>
                        <w:tcW w:w="1007" w:type="dxa"/>
                        <w:tcBorders>
                          <w:top w:val="single" w:sz="0" w:space="0" w:color="000000"/>
                        </w:tcBorders>
                      </w:tcPr>
                      <w:p>
                        <w:pPr>
                          <w:pStyle w:val="TableParagraph"/>
                          <w:spacing w:before="39"/>
                          <w:ind w:right="225"/>
                          <w:rPr>
                            <w:sz w:val="14"/>
                          </w:rPr>
                        </w:pPr>
                        <w:r>
                          <w:rPr>
                            <w:sz w:val="14"/>
                          </w:rPr>
                          <w:t>3,813</w:t>
                        </w:r>
                      </w:p>
                    </w:tc>
                    <w:tc>
                      <w:tcPr>
                        <w:tcW w:w="827" w:type="dxa"/>
                        <w:tcBorders>
                          <w:top w:val="single" w:sz="0" w:space="0" w:color="000000"/>
                        </w:tcBorders>
                      </w:tcPr>
                      <w:p>
                        <w:pPr>
                          <w:pStyle w:val="TableParagraph"/>
                          <w:spacing w:before="39"/>
                          <w:ind w:right="245"/>
                          <w:rPr>
                            <w:sz w:val="14"/>
                          </w:rPr>
                        </w:pPr>
                        <w:r>
                          <w:rPr>
                            <w:sz w:val="14"/>
                          </w:rPr>
                          <w:t>3,730</w:t>
                        </w:r>
                      </w:p>
                    </w:tc>
                    <w:tc>
                      <w:tcPr>
                        <w:tcW w:w="827" w:type="dxa"/>
                        <w:tcBorders>
                          <w:top w:val="single" w:sz="0" w:space="0" w:color="000000"/>
                        </w:tcBorders>
                      </w:tcPr>
                      <w:p>
                        <w:pPr>
                          <w:pStyle w:val="TableParagraph"/>
                          <w:spacing w:before="39"/>
                          <w:ind w:right="225"/>
                          <w:rPr>
                            <w:sz w:val="14"/>
                          </w:rPr>
                        </w:pPr>
                        <w:r>
                          <w:rPr>
                            <w:sz w:val="14"/>
                          </w:rPr>
                          <w:t>7,070</w:t>
                        </w:r>
                      </w:p>
                    </w:tc>
                    <w:tc>
                      <w:tcPr>
                        <w:tcW w:w="827" w:type="dxa"/>
                        <w:tcBorders>
                          <w:top w:val="single" w:sz="0" w:space="0" w:color="000000"/>
                        </w:tcBorders>
                      </w:tcPr>
                      <w:p>
                        <w:pPr>
                          <w:pStyle w:val="TableParagraph"/>
                          <w:spacing w:before="39"/>
                          <w:ind w:right="245"/>
                          <w:rPr>
                            <w:sz w:val="14"/>
                          </w:rPr>
                        </w:pPr>
                        <w:r>
                          <w:rPr>
                            <w:sz w:val="14"/>
                          </w:rPr>
                          <w:t>6,884</w:t>
                        </w:r>
                      </w:p>
                    </w:tc>
                    <w:tc>
                      <w:tcPr>
                        <w:tcW w:w="824" w:type="dxa"/>
                        <w:tcBorders>
                          <w:top w:val="single" w:sz="0" w:space="0" w:color="000000"/>
                        </w:tcBorders>
                      </w:tcPr>
                      <w:p>
                        <w:pPr>
                          <w:pStyle w:val="TableParagraph"/>
                          <w:spacing w:before="39"/>
                          <w:ind w:right="222"/>
                          <w:rPr>
                            <w:sz w:val="14"/>
                          </w:rPr>
                        </w:pPr>
                        <w:r>
                          <w:rPr>
                            <w:sz w:val="14"/>
                          </w:rPr>
                          <w:t>1,896</w:t>
                        </w:r>
                      </w:p>
                    </w:tc>
                    <w:tc>
                      <w:tcPr>
                        <w:tcW w:w="827" w:type="dxa"/>
                        <w:tcBorders>
                          <w:top w:val="single" w:sz="0" w:space="0" w:color="000000"/>
                        </w:tcBorders>
                      </w:tcPr>
                      <w:p>
                        <w:pPr>
                          <w:pStyle w:val="TableParagraph"/>
                          <w:spacing w:before="39"/>
                          <w:ind w:right="248"/>
                          <w:rPr>
                            <w:sz w:val="14"/>
                          </w:rPr>
                        </w:pPr>
                        <w:r>
                          <w:rPr>
                            <w:sz w:val="14"/>
                          </w:rPr>
                          <w:t>1,796</w:t>
                        </w:r>
                      </w:p>
                    </w:tc>
                    <w:tc>
                      <w:tcPr>
                        <w:tcW w:w="827" w:type="dxa"/>
                        <w:tcBorders>
                          <w:top w:val="single" w:sz="0" w:space="0" w:color="000000"/>
                        </w:tcBorders>
                      </w:tcPr>
                      <w:p>
                        <w:pPr>
                          <w:pStyle w:val="TableParagraph"/>
                          <w:spacing w:before="39"/>
                          <w:ind w:right="222"/>
                          <w:rPr>
                            <w:sz w:val="14"/>
                          </w:rPr>
                        </w:pPr>
                        <w:r>
                          <w:rPr>
                            <w:sz w:val="14"/>
                          </w:rPr>
                          <w:t>1,753</w:t>
                        </w:r>
                      </w:p>
                    </w:tc>
                    <w:tc>
                      <w:tcPr>
                        <w:tcW w:w="788" w:type="dxa"/>
                        <w:tcBorders>
                          <w:top w:val="single" w:sz="0" w:space="0" w:color="000000"/>
                        </w:tcBorders>
                      </w:tcPr>
                      <w:p>
                        <w:pPr>
                          <w:pStyle w:val="TableParagraph"/>
                          <w:spacing w:before="39"/>
                          <w:ind w:right="209"/>
                          <w:rPr>
                            <w:sz w:val="14"/>
                          </w:rPr>
                        </w:pPr>
                        <w:r>
                          <w:rPr>
                            <w:sz w:val="14"/>
                          </w:rPr>
                          <w:t>1,497</w:t>
                        </w:r>
                      </w:p>
                    </w:tc>
                    <w:tc>
                      <w:tcPr>
                        <w:tcW w:w="827" w:type="dxa"/>
                        <w:tcBorders>
                          <w:top w:val="single" w:sz="0" w:space="0" w:color="000000"/>
                        </w:tcBorders>
                      </w:tcPr>
                      <w:p>
                        <w:pPr>
                          <w:pStyle w:val="TableParagraph"/>
                          <w:spacing w:before="39"/>
                          <w:ind w:right="183"/>
                          <w:rPr>
                            <w:sz w:val="14"/>
                          </w:rPr>
                        </w:pPr>
                        <w:r>
                          <w:rPr>
                            <w:sz w:val="14"/>
                          </w:rPr>
                          <w:t>14,532</w:t>
                        </w:r>
                      </w:p>
                    </w:tc>
                    <w:tc>
                      <w:tcPr>
                        <w:tcW w:w="688" w:type="dxa"/>
                        <w:tcBorders>
                          <w:top w:val="single" w:sz="0" w:space="0" w:color="000000"/>
                        </w:tcBorders>
                      </w:tcPr>
                      <w:p>
                        <w:pPr>
                          <w:pStyle w:val="TableParagraph"/>
                          <w:spacing w:before="39"/>
                          <w:ind w:right="70"/>
                          <w:rPr>
                            <w:sz w:val="14"/>
                          </w:rPr>
                        </w:pPr>
                        <w:r>
                          <w:rPr>
                            <w:sz w:val="14"/>
                          </w:rPr>
                          <w:t>13,907</w:t>
                        </w:r>
                      </w:p>
                    </w:tc>
                  </w:tr>
                  <w:tr>
                    <w:trPr>
                      <w:trHeight w:val="219" w:hRule="exact"/>
                    </w:trPr>
                    <w:tc>
                      <w:tcPr>
                        <w:tcW w:w="3965" w:type="dxa"/>
                      </w:tcPr>
                      <w:p>
                        <w:pPr>
                          <w:pStyle w:val="TableParagraph"/>
                          <w:spacing w:before="22"/>
                          <w:ind w:left="35" w:right="1155"/>
                          <w:jc w:val="left"/>
                          <w:rPr>
                            <w:sz w:val="14"/>
                          </w:rPr>
                        </w:pPr>
                        <w:r>
                          <w:rPr>
                            <w:sz w:val="14"/>
                          </w:rPr>
                          <w:t>Surplus/(deficit) from the previous year</w:t>
                        </w:r>
                      </w:p>
                    </w:tc>
                    <w:tc>
                      <w:tcPr>
                        <w:tcW w:w="1647" w:type="dxa"/>
                      </w:tcPr>
                      <w:p>
                        <w:pPr/>
                      </w:p>
                    </w:tc>
                    <w:tc>
                      <w:tcPr>
                        <w:tcW w:w="1007" w:type="dxa"/>
                        <w:tcBorders>
                          <w:bottom w:val="single" w:sz="0" w:space="0" w:color="000000"/>
                        </w:tcBorders>
                      </w:tcPr>
                      <w:p>
                        <w:pPr>
                          <w:pStyle w:val="TableParagraph"/>
                          <w:spacing w:before="21"/>
                          <w:ind w:right="225"/>
                          <w:rPr>
                            <w:sz w:val="14"/>
                          </w:rPr>
                        </w:pPr>
                        <w:r>
                          <w:rPr>
                            <w:w w:val="100"/>
                            <w:sz w:val="14"/>
                          </w:rPr>
                          <w:t>-</w:t>
                        </w:r>
                      </w:p>
                    </w:tc>
                    <w:tc>
                      <w:tcPr>
                        <w:tcW w:w="827" w:type="dxa"/>
                        <w:tcBorders>
                          <w:bottom w:val="single" w:sz="0" w:space="0" w:color="000000"/>
                        </w:tcBorders>
                      </w:tcPr>
                      <w:p>
                        <w:pPr>
                          <w:pStyle w:val="TableParagraph"/>
                          <w:spacing w:before="21"/>
                          <w:ind w:right="245"/>
                          <w:rPr>
                            <w:sz w:val="14"/>
                          </w:rPr>
                        </w:pPr>
                        <w:r>
                          <w:rPr>
                            <w:w w:val="100"/>
                            <w:sz w:val="14"/>
                          </w:rPr>
                          <w:t>-</w:t>
                        </w:r>
                      </w:p>
                    </w:tc>
                    <w:tc>
                      <w:tcPr>
                        <w:tcW w:w="827" w:type="dxa"/>
                        <w:tcBorders>
                          <w:bottom w:val="single" w:sz="0" w:space="0" w:color="000000"/>
                        </w:tcBorders>
                      </w:tcPr>
                      <w:p>
                        <w:pPr>
                          <w:pStyle w:val="TableParagraph"/>
                          <w:spacing w:before="21"/>
                          <w:ind w:right="225"/>
                          <w:rPr>
                            <w:sz w:val="14"/>
                          </w:rPr>
                        </w:pPr>
                        <w:r>
                          <w:rPr>
                            <w:w w:val="100"/>
                            <w:sz w:val="14"/>
                          </w:rPr>
                          <w:t>-</w:t>
                        </w:r>
                      </w:p>
                    </w:tc>
                    <w:tc>
                      <w:tcPr>
                        <w:tcW w:w="827" w:type="dxa"/>
                        <w:tcBorders>
                          <w:bottom w:val="single" w:sz="0" w:space="0" w:color="000000"/>
                        </w:tcBorders>
                      </w:tcPr>
                      <w:p>
                        <w:pPr>
                          <w:pStyle w:val="TableParagraph"/>
                          <w:spacing w:before="21"/>
                          <w:ind w:right="245"/>
                          <w:rPr>
                            <w:sz w:val="14"/>
                          </w:rPr>
                        </w:pPr>
                        <w:r>
                          <w:rPr>
                            <w:w w:val="100"/>
                            <w:sz w:val="14"/>
                          </w:rPr>
                          <w:t>-</w:t>
                        </w:r>
                      </w:p>
                    </w:tc>
                    <w:tc>
                      <w:tcPr>
                        <w:tcW w:w="824" w:type="dxa"/>
                        <w:tcBorders>
                          <w:bottom w:val="single" w:sz="0" w:space="0" w:color="000000"/>
                        </w:tcBorders>
                      </w:tcPr>
                      <w:p>
                        <w:pPr>
                          <w:pStyle w:val="TableParagraph"/>
                          <w:spacing w:before="21"/>
                          <w:ind w:right="222"/>
                          <w:rPr>
                            <w:sz w:val="14"/>
                          </w:rPr>
                        </w:pPr>
                        <w:r>
                          <w:rPr>
                            <w:w w:val="100"/>
                            <w:sz w:val="14"/>
                          </w:rPr>
                          <w:t>-</w:t>
                        </w:r>
                      </w:p>
                    </w:tc>
                    <w:tc>
                      <w:tcPr>
                        <w:tcW w:w="827" w:type="dxa"/>
                        <w:tcBorders>
                          <w:bottom w:val="single" w:sz="0" w:space="0" w:color="000000"/>
                        </w:tcBorders>
                      </w:tcPr>
                      <w:p>
                        <w:pPr>
                          <w:pStyle w:val="TableParagraph"/>
                          <w:spacing w:before="21"/>
                          <w:ind w:right="248"/>
                          <w:rPr>
                            <w:sz w:val="14"/>
                          </w:rPr>
                        </w:pPr>
                        <w:r>
                          <w:rPr>
                            <w:w w:val="100"/>
                            <w:sz w:val="14"/>
                          </w:rPr>
                          <w:t>-</w:t>
                        </w:r>
                      </w:p>
                    </w:tc>
                    <w:tc>
                      <w:tcPr>
                        <w:tcW w:w="827" w:type="dxa"/>
                        <w:tcBorders>
                          <w:bottom w:val="single" w:sz="0" w:space="0" w:color="000000"/>
                        </w:tcBorders>
                      </w:tcPr>
                      <w:p>
                        <w:pPr>
                          <w:pStyle w:val="TableParagraph"/>
                          <w:spacing w:before="21"/>
                          <w:ind w:right="222"/>
                          <w:rPr>
                            <w:sz w:val="14"/>
                          </w:rPr>
                        </w:pPr>
                        <w:r>
                          <w:rPr>
                            <w:w w:val="100"/>
                            <w:sz w:val="14"/>
                          </w:rPr>
                          <w:t>-</w:t>
                        </w:r>
                      </w:p>
                    </w:tc>
                    <w:tc>
                      <w:tcPr>
                        <w:tcW w:w="788" w:type="dxa"/>
                        <w:tcBorders>
                          <w:bottom w:val="single" w:sz="0" w:space="0" w:color="000000"/>
                        </w:tcBorders>
                      </w:tcPr>
                      <w:p>
                        <w:pPr>
                          <w:pStyle w:val="TableParagraph"/>
                          <w:spacing w:before="21"/>
                          <w:ind w:right="209"/>
                          <w:rPr>
                            <w:sz w:val="14"/>
                          </w:rPr>
                        </w:pPr>
                        <w:r>
                          <w:rPr>
                            <w:sz w:val="14"/>
                          </w:rPr>
                          <w:t>41</w:t>
                        </w:r>
                      </w:p>
                    </w:tc>
                    <w:tc>
                      <w:tcPr>
                        <w:tcW w:w="827" w:type="dxa"/>
                        <w:tcBorders>
                          <w:bottom w:val="single" w:sz="0" w:space="0" w:color="000000"/>
                        </w:tcBorders>
                      </w:tcPr>
                      <w:p>
                        <w:pPr>
                          <w:pStyle w:val="TableParagraph"/>
                          <w:spacing w:before="21"/>
                          <w:ind w:right="183"/>
                          <w:rPr>
                            <w:sz w:val="14"/>
                          </w:rPr>
                        </w:pPr>
                        <w:r>
                          <w:rPr>
                            <w:w w:val="100"/>
                            <w:sz w:val="14"/>
                          </w:rPr>
                          <w:t>-</w:t>
                        </w:r>
                      </w:p>
                    </w:tc>
                    <w:tc>
                      <w:tcPr>
                        <w:tcW w:w="688" w:type="dxa"/>
                        <w:tcBorders>
                          <w:bottom w:val="single" w:sz="0" w:space="0" w:color="000000"/>
                        </w:tcBorders>
                      </w:tcPr>
                      <w:p>
                        <w:pPr>
                          <w:pStyle w:val="TableParagraph"/>
                          <w:spacing w:before="21"/>
                          <w:ind w:right="70"/>
                          <w:rPr>
                            <w:sz w:val="14"/>
                          </w:rPr>
                        </w:pPr>
                        <w:r>
                          <w:rPr>
                            <w:sz w:val="14"/>
                          </w:rPr>
                          <w:t>41</w:t>
                        </w:r>
                      </w:p>
                    </w:tc>
                  </w:tr>
                  <w:tr>
                    <w:trPr>
                      <w:trHeight w:val="237" w:hRule="exact"/>
                    </w:trPr>
                    <w:tc>
                      <w:tcPr>
                        <w:tcW w:w="3965" w:type="dxa"/>
                      </w:tcPr>
                      <w:p>
                        <w:pPr>
                          <w:pStyle w:val="TableParagraph"/>
                          <w:spacing w:before="41"/>
                          <w:ind w:left="35" w:right="1155"/>
                          <w:jc w:val="left"/>
                          <w:rPr>
                            <w:sz w:val="14"/>
                          </w:rPr>
                        </w:pPr>
                        <w:r>
                          <w:rPr>
                            <w:sz w:val="14"/>
                          </w:rPr>
                          <w:t>Total revenue including accrued revenue</w:t>
                        </w:r>
                      </w:p>
                    </w:tc>
                    <w:tc>
                      <w:tcPr>
                        <w:tcW w:w="1647" w:type="dxa"/>
                      </w:tcPr>
                      <w:p>
                        <w:pPr/>
                      </w:p>
                    </w:tc>
                    <w:tc>
                      <w:tcPr>
                        <w:tcW w:w="1007" w:type="dxa"/>
                        <w:tcBorders>
                          <w:top w:val="single" w:sz="0" w:space="0" w:color="000000"/>
                        </w:tcBorders>
                      </w:tcPr>
                      <w:p>
                        <w:pPr>
                          <w:pStyle w:val="TableParagraph"/>
                          <w:spacing w:before="39"/>
                          <w:ind w:right="225"/>
                          <w:rPr>
                            <w:sz w:val="14"/>
                          </w:rPr>
                        </w:pPr>
                        <w:r>
                          <w:rPr>
                            <w:sz w:val="14"/>
                          </w:rPr>
                          <w:t>3,813</w:t>
                        </w:r>
                      </w:p>
                    </w:tc>
                    <w:tc>
                      <w:tcPr>
                        <w:tcW w:w="827" w:type="dxa"/>
                        <w:tcBorders>
                          <w:top w:val="single" w:sz="0" w:space="0" w:color="000000"/>
                        </w:tcBorders>
                      </w:tcPr>
                      <w:p>
                        <w:pPr>
                          <w:pStyle w:val="TableParagraph"/>
                          <w:spacing w:before="39"/>
                          <w:ind w:right="245"/>
                          <w:rPr>
                            <w:sz w:val="14"/>
                          </w:rPr>
                        </w:pPr>
                        <w:r>
                          <w:rPr>
                            <w:sz w:val="14"/>
                          </w:rPr>
                          <w:t>3,730</w:t>
                        </w:r>
                      </w:p>
                    </w:tc>
                    <w:tc>
                      <w:tcPr>
                        <w:tcW w:w="827" w:type="dxa"/>
                        <w:tcBorders>
                          <w:top w:val="single" w:sz="0" w:space="0" w:color="000000"/>
                        </w:tcBorders>
                      </w:tcPr>
                      <w:p>
                        <w:pPr>
                          <w:pStyle w:val="TableParagraph"/>
                          <w:spacing w:before="39"/>
                          <w:ind w:right="225"/>
                          <w:rPr>
                            <w:sz w:val="14"/>
                          </w:rPr>
                        </w:pPr>
                        <w:r>
                          <w:rPr>
                            <w:sz w:val="14"/>
                          </w:rPr>
                          <w:t>7,070</w:t>
                        </w:r>
                      </w:p>
                    </w:tc>
                    <w:tc>
                      <w:tcPr>
                        <w:tcW w:w="827" w:type="dxa"/>
                        <w:tcBorders>
                          <w:top w:val="single" w:sz="0" w:space="0" w:color="000000"/>
                        </w:tcBorders>
                      </w:tcPr>
                      <w:p>
                        <w:pPr>
                          <w:pStyle w:val="TableParagraph"/>
                          <w:spacing w:before="39"/>
                          <w:ind w:right="245"/>
                          <w:rPr>
                            <w:sz w:val="14"/>
                          </w:rPr>
                        </w:pPr>
                        <w:r>
                          <w:rPr>
                            <w:sz w:val="14"/>
                          </w:rPr>
                          <w:t>6,884</w:t>
                        </w:r>
                      </w:p>
                    </w:tc>
                    <w:tc>
                      <w:tcPr>
                        <w:tcW w:w="824" w:type="dxa"/>
                        <w:tcBorders>
                          <w:top w:val="single" w:sz="0" w:space="0" w:color="000000"/>
                        </w:tcBorders>
                      </w:tcPr>
                      <w:p>
                        <w:pPr>
                          <w:pStyle w:val="TableParagraph"/>
                          <w:spacing w:before="39"/>
                          <w:ind w:right="222"/>
                          <w:rPr>
                            <w:sz w:val="14"/>
                          </w:rPr>
                        </w:pPr>
                        <w:r>
                          <w:rPr>
                            <w:sz w:val="14"/>
                          </w:rPr>
                          <w:t>1,896</w:t>
                        </w:r>
                      </w:p>
                    </w:tc>
                    <w:tc>
                      <w:tcPr>
                        <w:tcW w:w="827" w:type="dxa"/>
                        <w:tcBorders>
                          <w:top w:val="single" w:sz="0" w:space="0" w:color="000000"/>
                        </w:tcBorders>
                      </w:tcPr>
                      <w:p>
                        <w:pPr>
                          <w:pStyle w:val="TableParagraph"/>
                          <w:spacing w:before="39"/>
                          <w:ind w:right="248"/>
                          <w:rPr>
                            <w:sz w:val="14"/>
                          </w:rPr>
                        </w:pPr>
                        <w:r>
                          <w:rPr>
                            <w:sz w:val="14"/>
                          </w:rPr>
                          <w:t>1,796</w:t>
                        </w:r>
                      </w:p>
                    </w:tc>
                    <w:tc>
                      <w:tcPr>
                        <w:tcW w:w="827" w:type="dxa"/>
                        <w:tcBorders>
                          <w:top w:val="single" w:sz="0" w:space="0" w:color="000000"/>
                        </w:tcBorders>
                      </w:tcPr>
                      <w:p>
                        <w:pPr>
                          <w:pStyle w:val="TableParagraph"/>
                          <w:spacing w:before="39"/>
                          <w:ind w:right="222"/>
                          <w:rPr>
                            <w:sz w:val="14"/>
                          </w:rPr>
                        </w:pPr>
                        <w:r>
                          <w:rPr>
                            <w:sz w:val="14"/>
                          </w:rPr>
                          <w:t>1,753</w:t>
                        </w:r>
                      </w:p>
                    </w:tc>
                    <w:tc>
                      <w:tcPr>
                        <w:tcW w:w="788" w:type="dxa"/>
                        <w:tcBorders>
                          <w:top w:val="single" w:sz="0" w:space="0" w:color="000000"/>
                        </w:tcBorders>
                      </w:tcPr>
                      <w:p>
                        <w:pPr>
                          <w:pStyle w:val="TableParagraph"/>
                          <w:spacing w:before="39"/>
                          <w:ind w:right="209"/>
                          <w:rPr>
                            <w:sz w:val="14"/>
                          </w:rPr>
                        </w:pPr>
                        <w:r>
                          <w:rPr>
                            <w:sz w:val="14"/>
                          </w:rPr>
                          <w:t>1,538</w:t>
                        </w:r>
                      </w:p>
                    </w:tc>
                    <w:tc>
                      <w:tcPr>
                        <w:tcW w:w="827" w:type="dxa"/>
                        <w:tcBorders>
                          <w:top w:val="single" w:sz="0" w:space="0" w:color="000000"/>
                        </w:tcBorders>
                      </w:tcPr>
                      <w:p>
                        <w:pPr>
                          <w:pStyle w:val="TableParagraph"/>
                          <w:spacing w:before="39"/>
                          <w:ind w:right="183"/>
                          <w:rPr>
                            <w:sz w:val="14"/>
                          </w:rPr>
                        </w:pPr>
                        <w:r>
                          <w:rPr>
                            <w:sz w:val="14"/>
                          </w:rPr>
                          <w:t>14,532</w:t>
                        </w:r>
                      </w:p>
                    </w:tc>
                    <w:tc>
                      <w:tcPr>
                        <w:tcW w:w="688" w:type="dxa"/>
                        <w:tcBorders>
                          <w:top w:val="single" w:sz="0" w:space="0" w:color="000000"/>
                        </w:tcBorders>
                      </w:tcPr>
                      <w:p>
                        <w:pPr>
                          <w:pStyle w:val="TableParagraph"/>
                          <w:spacing w:before="39"/>
                          <w:ind w:right="70"/>
                          <w:rPr>
                            <w:sz w:val="14"/>
                          </w:rPr>
                        </w:pPr>
                        <w:r>
                          <w:rPr>
                            <w:sz w:val="14"/>
                          </w:rPr>
                          <w:t>13,948</w:t>
                        </w:r>
                      </w:p>
                    </w:tc>
                  </w:tr>
                  <w:tr>
                    <w:trPr>
                      <w:trHeight w:val="219" w:hRule="exact"/>
                    </w:trPr>
                    <w:tc>
                      <w:tcPr>
                        <w:tcW w:w="3965" w:type="dxa"/>
                      </w:tcPr>
                      <w:p>
                        <w:pPr>
                          <w:pStyle w:val="TableParagraph"/>
                          <w:spacing w:before="22"/>
                          <w:ind w:left="35" w:right="1155"/>
                          <w:jc w:val="left"/>
                          <w:rPr>
                            <w:sz w:val="14"/>
                          </w:rPr>
                        </w:pPr>
                        <w:r>
                          <w:rPr>
                            <w:sz w:val="14"/>
                          </w:rPr>
                          <w:t>Less expenses including accrued expenses</w:t>
                        </w:r>
                      </w:p>
                    </w:tc>
                    <w:tc>
                      <w:tcPr>
                        <w:tcW w:w="1647" w:type="dxa"/>
                      </w:tcPr>
                      <w:p>
                        <w:pPr/>
                      </w:p>
                    </w:tc>
                    <w:tc>
                      <w:tcPr>
                        <w:tcW w:w="1007" w:type="dxa"/>
                        <w:tcBorders>
                          <w:bottom w:val="single" w:sz="0" w:space="0" w:color="000000"/>
                        </w:tcBorders>
                      </w:tcPr>
                      <w:p>
                        <w:pPr>
                          <w:pStyle w:val="TableParagraph"/>
                          <w:spacing w:before="21"/>
                          <w:ind w:right="178"/>
                          <w:rPr>
                            <w:sz w:val="14"/>
                          </w:rPr>
                        </w:pPr>
                        <w:r>
                          <w:rPr>
                            <w:sz w:val="14"/>
                          </w:rPr>
                          <w:t>(3,813)</w:t>
                        </w:r>
                      </w:p>
                    </w:tc>
                    <w:tc>
                      <w:tcPr>
                        <w:tcW w:w="827" w:type="dxa"/>
                        <w:tcBorders>
                          <w:bottom w:val="single" w:sz="0" w:space="0" w:color="000000"/>
                        </w:tcBorders>
                      </w:tcPr>
                      <w:p>
                        <w:pPr>
                          <w:pStyle w:val="TableParagraph"/>
                          <w:spacing w:before="21"/>
                          <w:ind w:right="199"/>
                          <w:rPr>
                            <w:sz w:val="14"/>
                          </w:rPr>
                        </w:pPr>
                        <w:r>
                          <w:rPr>
                            <w:sz w:val="14"/>
                          </w:rPr>
                          <w:t>(3,730)</w:t>
                        </w:r>
                      </w:p>
                    </w:tc>
                    <w:tc>
                      <w:tcPr>
                        <w:tcW w:w="827" w:type="dxa"/>
                        <w:tcBorders>
                          <w:bottom w:val="single" w:sz="0" w:space="0" w:color="000000"/>
                        </w:tcBorders>
                      </w:tcPr>
                      <w:p>
                        <w:pPr>
                          <w:pStyle w:val="TableParagraph"/>
                          <w:spacing w:before="21"/>
                          <w:ind w:right="178"/>
                          <w:rPr>
                            <w:sz w:val="14"/>
                          </w:rPr>
                        </w:pPr>
                        <w:r>
                          <w:rPr>
                            <w:sz w:val="14"/>
                          </w:rPr>
                          <w:t>(7,070)</w:t>
                        </w:r>
                      </w:p>
                    </w:tc>
                    <w:tc>
                      <w:tcPr>
                        <w:tcW w:w="827" w:type="dxa"/>
                        <w:tcBorders>
                          <w:bottom w:val="single" w:sz="0" w:space="0" w:color="000000"/>
                        </w:tcBorders>
                      </w:tcPr>
                      <w:p>
                        <w:pPr>
                          <w:pStyle w:val="TableParagraph"/>
                          <w:spacing w:before="21"/>
                          <w:ind w:right="199"/>
                          <w:rPr>
                            <w:sz w:val="14"/>
                          </w:rPr>
                        </w:pPr>
                        <w:r>
                          <w:rPr>
                            <w:sz w:val="14"/>
                          </w:rPr>
                          <w:t>(6,884)</w:t>
                        </w:r>
                      </w:p>
                    </w:tc>
                    <w:tc>
                      <w:tcPr>
                        <w:tcW w:w="824" w:type="dxa"/>
                        <w:tcBorders>
                          <w:bottom w:val="single" w:sz="0" w:space="0" w:color="000000"/>
                        </w:tcBorders>
                      </w:tcPr>
                      <w:p>
                        <w:pPr>
                          <w:pStyle w:val="TableParagraph"/>
                          <w:spacing w:before="21"/>
                          <w:ind w:right="176"/>
                          <w:rPr>
                            <w:sz w:val="14"/>
                          </w:rPr>
                        </w:pPr>
                        <w:r>
                          <w:rPr>
                            <w:sz w:val="14"/>
                          </w:rPr>
                          <w:t>(1,896)</w:t>
                        </w:r>
                      </w:p>
                    </w:tc>
                    <w:tc>
                      <w:tcPr>
                        <w:tcW w:w="827" w:type="dxa"/>
                        <w:tcBorders>
                          <w:bottom w:val="single" w:sz="0" w:space="0" w:color="000000"/>
                        </w:tcBorders>
                      </w:tcPr>
                      <w:p>
                        <w:pPr>
                          <w:pStyle w:val="TableParagraph"/>
                          <w:spacing w:before="21"/>
                          <w:ind w:right="201"/>
                          <w:rPr>
                            <w:sz w:val="14"/>
                          </w:rPr>
                        </w:pPr>
                        <w:r>
                          <w:rPr>
                            <w:sz w:val="14"/>
                          </w:rPr>
                          <w:t>(1,796)</w:t>
                        </w:r>
                      </w:p>
                    </w:tc>
                    <w:tc>
                      <w:tcPr>
                        <w:tcW w:w="827" w:type="dxa"/>
                        <w:tcBorders>
                          <w:bottom w:val="single" w:sz="0" w:space="0" w:color="000000"/>
                        </w:tcBorders>
                      </w:tcPr>
                      <w:p>
                        <w:pPr>
                          <w:pStyle w:val="TableParagraph"/>
                          <w:spacing w:before="21"/>
                          <w:ind w:right="176"/>
                          <w:rPr>
                            <w:sz w:val="14"/>
                          </w:rPr>
                        </w:pPr>
                        <w:r>
                          <w:rPr>
                            <w:sz w:val="14"/>
                          </w:rPr>
                          <w:t>(1,753)</w:t>
                        </w:r>
                      </w:p>
                    </w:tc>
                    <w:tc>
                      <w:tcPr>
                        <w:tcW w:w="788" w:type="dxa"/>
                        <w:tcBorders>
                          <w:bottom w:val="single" w:sz="0" w:space="0" w:color="000000"/>
                        </w:tcBorders>
                      </w:tcPr>
                      <w:p>
                        <w:pPr>
                          <w:pStyle w:val="TableParagraph"/>
                          <w:spacing w:before="21"/>
                          <w:ind w:right="162"/>
                          <w:rPr>
                            <w:sz w:val="14"/>
                          </w:rPr>
                        </w:pPr>
                        <w:r>
                          <w:rPr>
                            <w:sz w:val="14"/>
                          </w:rPr>
                          <w:t>(1,538)</w:t>
                        </w:r>
                      </w:p>
                    </w:tc>
                    <w:tc>
                      <w:tcPr>
                        <w:tcW w:w="827" w:type="dxa"/>
                        <w:tcBorders>
                          <w:bottom w:val="single" w:sz="0" w:space="0" w:color="000000"/>
                        </w:tcBorders>
                      </w:tcPr>
                      <w:p>
                        <w:pPr>
                          <w:pStyle w:val="TableParagraph"/>
                          <w:spacing w:before="21"/>
                          <w:ind w:right="137"/>
                          <w:rPr>
                            <w:sz w:val="14"/>
                          </w:rPr>
                        </w:pPr>
                        <w:r>
                          <w:rPr>
                            <w:sz w:val="14"/>
                          </w:rPr>
                          <w:t>(14,532)</w:t>
                        </w:r>
                      </w:p>
                    </w:tc>
                    <w:tc>
                      <w:tcPr>
                        <w:tcW w:w="688" w:type="dxa"/>
                        <w:tcBorders>
                          <w:bottom w:val="single" w:sz="0" w:space="0" w:color="000000"/>
                        </w:tcBorders>
                      </w:tcPr>
                      <w:p>
                        <w:pPr>
                          <w:pStyle w:val="TableParagraph"/>
                          <w:spacing w:before="21"/>
                          <w:ind w:right="23"/>
                          <w:rPr>
                            <w:sz w:val="14"/>
                          </w:rPr>
                        </w:pPr>
                        <w:r>
                          <w:rPr>
                            <w:sz w:val="14"/>
                          </w:rPr>
                          <w:t>(13,948)</w:t>
                        </w:r>
                      </w:p>
                    </w:tc>
                  </w:tr>
                  <w:tr>
                    <w:trPr>
                      <w:trHeight w:val="253" w:hRule="exact"/>
                    </w:trPr>
                    <w:tc>
                      <w:tcPr>
                        <w:tcW w:w="3965" w:type="dxa"/>
                      </w:tcPr>
                      <w:p>
                        <w:pPr>
                          <w:pStyle w:val="TableParagraph"/>
                          <w:spacing w:before="41"/>
                          <w:ind w:left="35" w:right="1155"/>
                          <w:jc w:val="left"/>
                          <w:rPr>
                            <w:sz w:val="14"/>
                          </w:rPr>
                        </w:pPr>
                        <w:r>
                          <w:rPr>
                            <w:sz w:val="14"/>
                          </w:rPr>
                          <w:t>Surplus/(deficit) for reporting period</w:t>
                        </w:r>
                      </w:p>
                    </w:tc>
                    <w:tc>
                      <w:tcPr>
                        <w:tcW w:w="1647" w:type="dxa"/>
                      </w:tcPr>
                      <w:p>
                        <w:pPr/>
                      </w:p>
                    </w:tc>
                    <w:tc>
                      <w:tcPr>
                        <w:tcW w:w="1007" w:type="dxa"/>
                        <w:tcBorders>
                          <w:top w:val="single" w:sz="0" w:space="0" w:color="000000"/>
                          <w:bottom w:val="single" w:sz="0" w:space="0" w:color="000000"/>
                        </w:tcBorders>
                      </w:tcPr>
                      <w:p>
                        <w:pPr>
                          <w:pStyle w:val="TableParagraph"/>
                          <w:spacing w:before="39"/>
                          <w:ind w:right="225"/>
                          <w:rPr>
                            <w:sz w:val="14"/>
                          </w:rPr>
                        </w:pPr>
                        <w:r>
                          <w:rPr>
                            <w:w w:val="100"/>
                            <w:sz w:val="14"/>
                          </w:rPr>
                          <w:t>-</w:t>
                        </w:r>
                      </w:p>
                    </w:tc>
                    <w:tc>
                      <w:tcPr>
                        <w:tcW w:w="827" w:type="dxa"/>
                        <w:tcBorders>
                          <w:top w:val="single" w:sz="0" w:space="0" w:color="000000"/>
                          <w:bottom w:val="single" w:sz="0" w:space="0" w:color="000000"/>
                        </w:tcBorders>
                      </w:tcPr>
                      <w:p>
                        <w:pPr>
                          <w:pStyle w:val="TableParagraph"/>
                          <w:spacing w:before="39"/>
                          <w:ind w:right="245"/>
                          <w:rPr>
                            <w:sz w:val="14"/>
                          </w:rPr>
                        </w:pPr>
                        <w:r>
                          <w:rPr>
                            <w:w w:val="100"/>
                            <w:sz w:val="14"/>
                          </w:rPr>
                          <w:t>-</w:t>
                        </w:r>
                      </w:p>
                    </w:tc>
                    <w:tc>
                      <w:tcPr>
                        <w:tcW w:w="827" w:type="dxa"/>
                        <w:tcBorders>
                          <w:top w:val="single" w:sz="0" w:space="0" w:color="000000"/>
                          <w:bottom w:val="single" w:sz="0" w:space="0" w:color="000000"/>
                        </w:tcBorders>
                      </w:tcPr>
                      <w:p>
                        <w:pPr>
                          <w:pStyle w:val="TableParagraph"/>
                          <w:spacing w:before="39"/>
                          <w:ind w:right="225"/>
                          <w:rPr>
                            <w:sz w:val="14"/>
                          </w:rPr>
                        </w:pPr>
                        <w:r>
                          <w:rPr>
                            <w:w w:val="100"/>
                            <w:sz w:val="14"/>
                          </w:rPr>
                          <w:t>-</w:t>
                        </w:r>
                      </w:p>
                    </w:tc>
                    <w:tc>
                      <w:tcPr>
                        <w:tcW w:w="827" w:type="dxa"/>
                        <w:tcBorders>
                          <w:top w:val="single" w:sz="0" w:space="0" w:color="000000"/>
                          <w:bottom w:val="single" w:sz="0" w:space="0" w:color="000000"/>
                        </w:tcBorders>
                      </w:tcPr>
                      <w:p>
                        <w:pPr>
                          <w:pStyle w:val="TableParagraph"/>
                          <w:spacing w:before="39"/>
                          <w:ind w:right="245"/>
                          <w:rPr>
                            <w:sz w:val="14"/>
                          </w:rPr>
                        </w:pPr>
                        <w:r>
                          <w:rPr>
                            <w:w w:val="100"/>
                            <w:sz w:val="14"/>
                          </w:rPr>
                          <w:t>-</w:t>
                        </w:r>
                      </w:p>
                    </w:tc>
                    <w:tc>
                      <w:tcPr>
                        <w:tcW w:w="824" w:type="dxa"/>
                        <w:tcBorders>
                          <w:top w:val="single" w:sz="0" w:space="0" w:color="000000"/>
                          <w:bottom w:val="single" w:sz="0" w:space="0" w:color="000000"/>
                        </w:tcBorders>
                      </w:tcPr>
                      <w:p>
                        <w:pPr>
                          <w:pStyle w:val="TableParagraph"/>
                          <w:spacing w:before="39"/>
                          <w:ind w:right="222"/>
                          <w:rPr>
                            <w:sz w:val="14"/>
                          </w:rPr>
                        </w:pPr>
                        <w:r>
                          <w:rPr>
                            <w:w w:val="100"/>
                            <w:sz w:val="14"/>
                          </w:rPr>
                          <w:t>-</w:t>
                        </w:r>
                      </w:p>
                    </w:tc>
                    <w:tc>
                      <w:tcPr>
                        <w:tcW w:w="827" w:type="dxa"/>
                        <w:tcBorders>
                          <w:top w:val="single" w:sz="0" w:space="0" w:color="000000"/>
                          <w:bottom w:val="single" w:sz="0" w:space="0" w:color="000000"/>
                        </w:tcBorders>
                      </w:tcPr>
                      <w:p>
                        <w:pPr>
                          <w:pStyle w:val="TableParagraph"/>
                          <w:spacing w:before="39"/>
                          <w:ind w:right="248"/>
                          <w:rPr>
                            <w:sz w:val="14"/>
                          </w:rPr>
                        </w:pPr>
                        <w:r>
                          <w:rPr>
                            <w:w w:val="100"/>
                            <w:sz w:val="14"/>
                          </w:rPr>
                          <w:t>-</w:t>
                        </w:r>
                      </w:p>
                    </w:tc>
                    <w:tc>
                      <w:tcPr>
                        <w:tcW w:w="827" w:type="dxa"/>
                        <w:tcBorders>
                          <w:top w:val="single" w:sz="0" w:space="0" w:color="000000"/>
                          <w:bottom w:val="single" w:sz="0" w:space="0" w:color="000000"/>
                        </w:tcBorders>
                      </w:tcPr>
                      <w:p>
                        <w:pPr>
                          <w:pStyle w:val="TableParagraph"/>
                          <w:spacing w:before="39"/>
                          <w:ind w:right="222"/>
                          <w:rPr>
                            <w:sz w:val="14"/>
                          </w:rPr>
                        </w:pPr>
                        <w:r>
                          <w:rPr>
                            <w:w w:val="100"/>
                            <w:sz w:val="14"/>
                          </w:rPr>
                          <w:t>-</w:t>
                        </w:r>
                      </w:p>
                    </w:tc>
                    <w:tc>
                      <w:tcPr>
                        <w:tcW w:w="788" w:type="dxa"/>
                        <w:tcBorders>
                          <w:top w:val="single" w:sz="0" w:space="0" w:color="000000"/>
                          <w:bottom w:val="single" w:sz="0" w:space="0" w:color="000000"/>
                        </w:tcBorders>
                      </w:tcPr>
                      <w:p>
                        <w:pPr>
                          <w:pStyle w:val="TableParagraph"/>
                          <w:spacing w:before="39"/>
                          <w:ind w:right="209"/>
                          <w:rPr>
                            <w:sz w:val="14"/>
                          </w:rPr>
                        </w:pPr>
                        <w:r>
                          <w:rPr>
                            <w:w w:val="100"/>
                            <w:sz w:val="14"/>
                          </w:rPr>
                          <w:t>-</w:t>
                        </w:r>
                      </w:p>
                    </w:tc>
                    <w:tc>
                      <w:tcPr>
                        <w:tcW w:w="827" w:type="dxa"/>
                        <w:tcBorders>
                          <w:top w:val="single" w:sz="0" w:space="0" w:color="000000"/>
                          <w:bottom w:val="single" w:sz="0" w:space="0" w:color="000000"/>
                        </w:tcBorders>
                      </w:tcPr>
                      <w:p>
                        <w:pPr>
                          <w:pStyle w:val="TableParagraph"/>
                          <w:spacing w:before="39"/>
                          <w:ind w:right="183"/>
                          <w:rPr>
                            <w:sz w:val="14"/>
                          </w:rPr>
                        </w:pPr>
                        <w:r>
                          <w:rPr>
                            <w:w w:val="100"/>
                            <w:sz w:val="14"/>
                          </w:rPr>
                          <w:t>-</w:t>
                        </w:r>
                      </w:p>
                    </w:tc>
                    <w:tc>
                      <w:tcPr>
                        <w:tcW w:w="688" w:type="dxa"/>
                        <w:tcBorders>
                          <w:top w:val="single" w:sz="0" w:space="0" w:color="000000"/>
                          <w:bottom w:val="single" w:sz="0" w:space="0" w:color="000000"/>
                        </w:tcBorders>
                      </w:tcPr>
                      <w:p>
                        <w:pPr>
                          <w:pStyle w:val="TableParagraph"/>
                          <w:spacing w:before="39"/>
                          <w:ind w:right="70"/>
                          <w:rPr>
                            <w:sz w:val="14"/>
                          </w:rPr>
                        </w:pPr>
                        <w:r>
                          <w:rPr>
                            <w:w w:val="100"/>
                            <w:sz w:val="14"/>
                          </w:rPr>
                          <w:t>-</w:t>
                        </w:r>
                      </w:p>
                    </w:tc>
                  </w:tr>
                </w:tbl>
                <w:p>
                  <w:pPr>
                    <w:pStyle w:val="BodyText"/>
                  </w:pPr>
                </w:p>
              </w:txbxContent>
            </v:textbox>
          </v:shape>
        </w:pict>
      </w:r>
      <w:r>
        <w:rPr>
          <w:sz w:val="20"/>
        </w:rPr>
      </w:r>
      <w:r>
        <w:rPr>
          <w:sz w:val="20"/>
        </w:rPr>
        <w:tab/>
      </w:r>
      <w:r>
        <w:rPr>
          <w:position w:val="65"/>
          <w:sz w:val="20"/>
        </w:rPr>
        <w:drawing>
          <wp:inline distT="0" distB="0" distL="0" distR="0">
            <wp:extent cx="154019" cy="154019"/>
            <wp:effectExtent l="0" t="0" r="0" b="0"/>
            <wp:docPr id="391" name="image25.png" descr=""/>
            <wp:cNvGraphicFramePr>
              <a:graphicFrameLocks noChangeAspect="1"/>
            </wp:cNvGraphicFramePr>
            <a:graphic>
              <a:graphicData uri="http://schemas.openxmlformats.org/drawingml/2006/picture">
                <pic:pic>
                  <pic:nvPicPr>
                    <pic:cNvPr id="392" name="image25.png"/>
                    <pic:cNvPicPr/>
                  </pic:nvPicPr>
                  <pic:blipFill>
                    <a:blip r:embed="rId41" cstate="print"/>
                    <a:stretch>
                      <a:fillRect/>
                    </a:stretch>
                  </pic:blipFill>
                  <pic:spPr>
                    <a:xfrm>
                      <a:off x="0" y="0"/>
                      <a:ext cx="154019" cy="154019"/>
                    </a:xfrm>
                    <a:prstGeom prst="rect">
                      <a:avLst/>
                    </a:prstGeom>
                  </pic:spPr>
                </pic:pic>
              </a:graphicData>
            </a:graphic>
          </wp:inline>
        </w:drawing>
      </w:r>
      <w:r>
        <w:rPr>
          <w:position w:val="65"/>
          <w:sz w:val="20"/>
        </w:rPr>
      </w:r>
    </w:p>
    <w:p>
      <w:pPr>
        <w:spacing w:after="0" w:line="240" w:lineRule="auto"/>
        <w:rPr>
          <w:sz w:val="20"/>
        </w:rPr>
        <w:sectPr>
          <w:type w:val="continuous"/>
          <w:pgSz w:w="16840" w:h="11910" w:orient="landscape"/>
          <w:pgMar w:top="1660" w:bottom="0" w:left="0" w:right="0"/>
        </w:sectPr>
      </w:pPr>
    </w:p>
    <w:p>
      <w:pPr>
        <w:tabs>
          <w:tab w:pos="6250" w:val="left" w:leader="none"/>
          <w:tab w:pos="12322" w:val="left" w:leader="none"/>
        </w:tabs>
        <w:spacing w:line="240" w:lineRule="auto"/>
        <w:ind w:left="417" w:right="0" w:firstLine="0"/>
        <w:rPr>
          <w:sz w:val="20"/>
        </w:rPr>
      </w:pPr>
      <w:r>
        <w:rPr>
          <w:sz w:val="20"/>
        </w:rPr>
        <w:pict>
          <v:group style="width:.25pt;height:12.25pt;mso-position-horizontal-relative:char;mso-position-vertical-relative:line" coordorigin="0,0" coordsize="5,245">
            <v:line style="position:absolute" from="3,242" to="3,3" stroked="true" strokeweight=".25pt" strokecolor="#000000"/>
          </v:group>
        </w:pict>
      </w:r>
      <w:r>
        <w:rPr>
          <w:sz w:val="20"/>
        </w:rPr>
      </w:r>
      <w:r>
        <w:rPr>
          <w:sz w:val="20"/>
        </w:rPr>
        <w:tab/>
      </w:r>
      <w:r>
        <w:rPr>
          <w:position w:val="3"/>
          <w:sz w:val="20"/>
        </w:rPr>
        <w:drawing>
          <wp:inline distT="0" distB="0" distL="0" distR="0">
            <wp:extent cx="155618" cy="136017"/>
            <wp:effectExtent l="0" t="0" r="0" b="0"/>
            <wp:docPr id="393" name="image17.png" descr=""/>
            <wp:cNvGraphicFramePr>
              <a:graphicFrameLocks noChangeAspect="1"/>
            </wp:cNvGraphicFramePr>
            <a:graphic>
              <a:graphicData uri="http://schemas.openxmlformats.org/drawingml/2006/picture">
                <pic:pic>
                  <pic:nvPicPr>
                    <pic:cNvPr id="394" name="image17.png"/>
                    <pic:cNvPicPr/>
                  </pic:nvPicPr>
                  <pic:blipFill>
                    <a:blip r:embed="rId55" cstate="print"/>
                    <a:stretch>
                      <a:fillRect/>
                    </a:stretch>
                  </pic:blipFill>
                  <pic:spPr>
                    <a:xfrm>
                      <a:off x="0" y="0"/>
                      <a:ext cx="155618" cy="136017"/>
                    </a:xfrm>
                    <a:prstGeom prst="rect">
                      <a:avLst/>
                    </a:prstGeom>
                  </pic:spPr>
                </pic:pic>
              </a:graphicData>
            </a:graphic>
          </wp:inline>
        </w:drawing>
      </w:r>
      <w:r>
        <w:rPr>
          <w:position w:val="3"/>
          <w:sz w:val="20"/>
        </w:rPr>
      </w:r>
      <w:r>
        <w:rPr>
          <w:position w:val="3"/>
          <w:sz w:val="20"/>
        </w:rPr>
        <w:tab/>
      </w:r>
      <w:r>
        <w:rPr>
          <w:sz w:val="20"/>
        </w:rPr>
        <w:pict>
          <v:group style="width:.25pt;height:12.25pt;mso-position-horizontal-relative:char;mso-position-vertical-relative:line" coordorigin="0,0" coordsize="5,245">
            <v:line style="position:absolute" from="3,242" to="3,3" stroked="true" strokeweight=".25pt" strokecolor="#000000"/>
          </v:group>
        </w:pict>
      </w:r>
      <w:r>
        <w:rPr>
          <w:sz w:val="20"/>
        </w:rPr>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rPr>
      </w:pPr>
    </w:p>
    <w:p>
      <w:pPr>
        <w:spacing w:before="0"/>
        <w:ind w:left="1428" w:right="0" w:firstLine="0"/>
        <w:jc w:val="left"/>
        <w:rPr>
          <w:b/>
          <w:sz w:val="22"/>
        </w:rPr>
      </w:pPr>
      <w:r>
        <w:rPr/>
        <w:pict>
          <v:line style="position:absolute;mso-position-horizontal-relative:page;mso-position-vertical-relative:paragraph;z-index:5824" from="12pt,-50.488113pt" to="0pt,-50.488113pt" stroked="true" strokeweight=".25pt" strokecolor="#000000">
            <w10:wrap type="none"/>
          </v:line>
        </w:pict>
      </w:r>
      <w:r>
        <w:rPr/>
        <w:pict>
          <v:line style="position:absolute;mso-position-horizontal-relative:page;mso-position-vertical-relative:paragraph;z-index:5848" from="625.27301pt,-50.488113pt" to="637.228038pt,-50.488113pt" stroked="true" strokeweight=".25pt" strokecolor="#000000">
            <w10:wrap type="none"/>
          </v:line>
        </w:pict>
      </w:r>
      <w:r>
        <w:rPr>
          <w:b/>
          <w:sz w:val="22"/>
        </w:rPr>
        <w:t>Western Sydney University</w:t>
      </w:r>
    </w:p>
    <w:p>
      <w:pPr>
        <w:pStyle w:val="BodyText"/>
        <w:spacing w:before="5"/>
        <w:rPr>
          <w:b/>
          <w:sz w:val="29"/>
        </w:rPr>
      </w:pPr>
    </w:p>
    <w:p>
      <w:pPr>
        <w:spacing w:before="0"/>
        <w:ind w:left="1428" w:right="0" w:firstLine="0"/>
        <w:jc w:val="left"/>
        <w:rPr>
          <w:b/>
          <w:sz w:val="28"/>
        </w:rPr>
      </w:pPr>
      <w:r>
        <w:rPr>
          <w:b/>
          <w:sz w:val="28"/>
        </w:rPr>
        <w:t>Notes to the Financial Statements</w:t>
      </w:r>
    </w:p>
    <w:p>
      <w:pPr>
        <w:spacing w:before="57"/>
        <w:ind w:left="1428" w:right="0" w:firstLine="0"/>
        <w:jc w:val="left"/>
        <w:rPr>
          <w:b/>
          <w:sz w:val="22"/>
        </w:rPr>
      </w:pPr>
      <w:r>
        <w:rPr>
          <w:b/>
          <w:sz w:val="22"/>
        </w:rPr>
        <w:t>For the Year Ended 31 December 2016</w:t>
      </w:r>
    </w:p>
    <w:p>
      <w:pPr>
        <w:pStyle w:val="BodyText"/>
        <w:rPr>
          <w:b/>
          <w:sz w:val="22"/>
        </w:rPr>
      </w:pPr>
    </w:p>
    <w:p>
      <w:pPr>
        <w:pStyle w:val="BodyText"/>
        <w:rPr>
          <w:b/>
          <w:sz w:val="22"/>
        </w:rPr>
      </w:pPr>
    </w:p>
    <w:p>
      <w:pPr>
        <w:pStyle w:val="Heading8"/>
        <w:tabs>
          <w:tab w:pos="2391" w:val="left" w:leader="none"/>
        </w:tabs>
        <w:spacing w:before="160"/>
        <w:ind w:left="1824"/>
      </w:pPr>
      <w:bookmarkStart w:name="(e) Other Capital Funding" w:id="156"/>
      <w:bookmarkEnd w:id="156"/>
      <w:r>
        <w:rPr>
          <w:b w:val="0"/>
        </w:rPr>
      </w:r>
      <w:r>
        <w:rPr/>
        <w:t>40</w:t>
        <w:tab/>
        <w:t>Acquittal of Australian Government Financial Assistance</w:t>
      </w:r>
      <w:r>
        <w:rPr>
          <w:spacing w:val="-24"/>
        </w:rPr>
        <w:t> </w:t>
      </w:r>
      <w:r>
        <w:rPr/>
        <w:t>(continued)</w:t>
      </w:r>
    </w:p>
    <w:p>
      <w:pPr>
        <w:pStyle w:val="BodyText"/>
        <w:spacing w:before="11"/>
        <w:rPr>
          <w:b/>
          <w:sz w:val="19"/>
        </w:rPr>
      </w:pPr>
    </w:p>
    <w:p>
      <w:pPr>
        <w:spacing w:after="0"/>
        <w:rPr>
          <w:sz w:val="19"/>
        </w:rPr>
        <w:sectPr>
          <w:headerReference w:type="default" r:id="rId53"/>
          <w:footerReference w:type="default" r:id="rId54"/>
          <w:pgSz w:w="12750" w:h="17680"/>
          <w:pgMar w:header="0" w:footer="0" w:top="0" w:bottom="0" w:left="0" w:right="0"/>
        </w:sectPr>
      </w:pPr>
    </w:p>
    <w:p>
      <w:pPr>
        <w:pStyle w:val="ListParagraph"/>
        <w:numPr>
          <w:ilvl w:val="1"/>
          <w:numId w:val="33"/>
        </w:numPr>
        <w:tabs>
          <w:tab w:pos="2392" w:val="left" w:leader="none"/>
        </w:tabs>
        <w:spacing w:line="240" w:lineRule="auto" w:before="77" w:after="0"/>
        <w:ind w:left="2391" w:right="0" w:hanging="566"/>
        <w:jc w:val="left"/>
        <w:rPr>
          <w:sz w:val="18"/>
        </w:rPr>
      </w:pPr>
      <w:r>
        <w:rPr>
          <w:sz w:val="18"/>
        </w:rPr>
        <w:t>Other Capital</w:t>
      </w:r>
      <w:r>
        <w:rPr>
          <w:spacing w:val="-20"/>
          <w:sz w:val="18"/>
        </w:rPr>
        <w:t> </w:t>
      </w:r>
      <w:r>
        <w:rPr>
          <w:sz w:val="18"/>
        </w:rPr>
        <w:t>Funding</w:t>
      </w:r>
    </w:p>
    <w:p>
      <w:pPr>
        <w:pStyle w:val="BodyText"/>
        <w:rPr>
          <w:sz w:val="16"/>
        </w:rPr>
      </w:pPr>
      <w:r>
        <w:rPr/>
        <w:br w:type="column"/>
      </w:r>
      <w:r>
        <w:rPr>
          <w:sz w:val="16"/>
        </w:rPr>
      </w:r>
    </w:p>
    <w:p>
      <w:pPr>
        <w:spacing w:line="184" w:lineRule="exact" w:before="137"/>
        <w:ind w:left="1825" w:right="0" w:firstLine="0"/>
        <w:jc w:val="left"/>
        <w:rPr>
          <w:b/>
          <w:sz w:val="16"/>
        </w:rPr>
      </w:pPr>
      <w:r>
        <w:rPr>
          <w:b/>
          <w:sz w:val="16"/>
        </w:rPr>
        <w:t>Education Investment</w:t>
      </w:r>
    </w:p>
    <w:p>
      <w:pPr>
        <w:tabs>
          <w:tab w:pos="4263" w:val="left" w:leader="none"/>
        </w:tabs>
        <w:spacing w:before="0"/>
        <w:ind w:left="2456" w:right="0" w:firstLine="0"/>
        <w:jc w:val="left"/>
        <w:rPr>
          <w:b/>
          <w:sz w:val="16"/>
        </w:rPr>
      </w:pPr>
      <w:r>
        <w:rPr>
          <w:b/>
          <w:sz w:val="16"/>
        </w:rPr>
        <w:t>Fund</w:t>
        <w:tab/>
        <w:t>Total</w:t>
      </w:r>
    </w:p>
    <w:p>
      <w:pPr>
        <w:spacing w:after="0"/>
        <w:jc w:val="left"/>
        <w:rPr>
          <w:sz w:val="16"/>
        </w:rPr>
        <w:sectPr>
          <w:type w:val="continuous"/>
          <w:pgSz w:w="12750" w:h="17680"/>
          <w:pgMar w:top="1660" w:bottom="0" w:left="0" w:right="0"/>
          <w:cols w:num="2" w:equalWidth="0">
            <w:col w:w="4149" w:space="1853"/>
            <w:col w:w="6748"/>
          </w:cols>
        </w:sectPr>
      </w:pPr>
    </w:p>
    <w:p>
      <w:pPr>
        <w:pStyle w:val="BodyText"/>
        <w:rPr>
          <w:b/>
          <w:sz w:val="16"/>
        </w:rPr>
      </w:pPr>
    </w:p>
    <w:p>
      <w:pPr>
        <w:tabs>
          <w:tab w:pos="7293" w:val="left" w:leader="none"/>
        </w:tabs>
        <w:spacing w:before="133"/>
        <w:ind w:left="2428" w:right="0" w:firstLine="0"/>
        <w:jc w:val="left"/>
        <w:rPr>
          <w:b/>
          <w:sz w:val="16"/>
        </w:rPr>
      </w:pPr>
      <w:r>
        <w:rPr>
          <w:b/>
          <w:sz w:val="16"/>
        </w:rPr>
        <w:t>Parent Entity</w:t>
      </w:r>
      <w:r>
        <w:rPr>
          <w:b/>
          <w:spacing w:val="-13"/>
          <w:sz w:val="16"/>
        </w:rPr>
        <w:t> </w:t>
      </w:r>
      <w:r>
        <w:rPr>
          <w:b/>
          <w:sz w:val="16"/>
        </w:rPr>
        <w:t>(University)</w:t>
      </w:r>
      <w:r>
        <w:rPr>
          <w:b/>
          <w:spacing w:val="-6"/>
          <w:sz w:val="16"/>
        </w:rPr>
        <w:t> </w:t>
      </w:r>
      <w:r>
        <w:rPr>
          <w:b/>
          <w:sz w:val="16"/>
        </w:rPr>
        <w:t>Only</w:t>
        <w:tab/>
      </w:r>
      <w:r>
        <w:rPr>
          <w:b/>
          <w:spacing w:val="-1"/>
          <w:sz w:val="16"/>
        </w:rPr>
        <w:t>Note</w:t>
      </w:r>
    </w:p>
    <w:p>
      <w:pPr>
        <w:spacing w:before="67"/>
        <w:ind w:left="338" w:right="-1" w:firstLine="0"/>
        <w:jc w:val="left"/>
        <w:rPr>
          <w:b/>
          <w:sz w:val="16"/>
        </w:rPr>
      </w:pPr>
      <w:r>
        <w:rPr/>
        <w:br w:type="column"/>
      </w:r>
      <w:r>
        <w:rPr>
          <w:b/>
          <w:sz w:val="16"/>
        </w:rPr>
        <w:t>2016</w:t>
      </w:r>
    </w:p>
    <w:p>
      <w:pPr>
        <w:spacing w:before="67"/>
        <w:ind w:left="319" w:right="-1" w:firstLine="0"/>
        <w:jc w:val="left"/>
        <w:rPr>
          <w:b/>
          <w:sz w:val="16"/>
        </w:rPr>
      </w:pPr>
      <w:r>
        <w:rPr>
          <w:b/>
          <w:w w:val="95"/>
          <w:sz w:val="16"/>
        </w:rPr>
        <w:t>$'000</w:t>
      </w:r>
    </w:p>
    <w:p>
      <w:pPr>
        <w:spacing w:before="67"/>
        <w:ind w:left="473" w:right="-19" w:firstLine="0"/>
        <w:jc w:val="left"/>
        <w:rPr>
          <w:b/>
          <w:sz w:val="16"/>
        </w:rPr>
      </w:pPr>
      <w:r>
        <w:rPr/>
        <w:br w:type="column"/>
      </w:r>
      <w:r>
        <w:rPr>
          <w:b/>
          <w:sz w:val="16"/>
        </w:rPr>
        <w:t>2015</w:t>
      </w:r>
    </w:p>
    <w:p>
      <w:pPr>
        <w:spacing w:before="67"/>
        <w:ind w:left="454" w:right="-19" w:firstLine="0"/>
        <w:jc w:val="left"/>
        <w:rPr>
          <w:b/>
          <w:sz w:val="16"/>
        </w:rPr>
      </w:pPr>
      <w:r>
        <w:rPr>
          <w:b/>
          <w:sz w:val="16"/>
        </w:rPr>
        <w:t>$'000</w:t>
      </w:r>
    </w:p>
    <w:p>
      <w:pPr>
        <w:spacing w:before="67"/>
        <w:ind w:left="499" w:right="-19" w:firstLine="0"/>
        <w:jc w:val="left"/>
        <w:rPr>
          <w:b/>
          <w:sz w:val="16"/>
        </w:rPr>
      </w:pPr>
      <w:r>
        <w:rPr/>
        <w:br w:type="column"/>
      </w:r>
      <w:r>
        <w:rPr>
          <w:b/>
          <w:sz w:val="16"/>
        </w:rPr>
        <w:t>2016</w:t>
      </w:r>
    </w:p>
    <w:p>
      <w:pPr>
        <w:spacing w:before="67"/>
        <w:ind w:left="480" w:right="-19" w:firstLine="0"/>
        <w:jc w:val="left"/>
        <w:rPr>
          <w:b/>
          <w:sz w:val="16"/>
        </w:rPr>
      </w:pPr>
      <w:r>
        <w:rPr>
          <w:b/>
          <w:sz w:val="16"/>
        </w:rPr>
        <w:t>$'000</w:t>
      </w:r>
    </w:p>
    <w:p>
      <w:pPr>
        <w:spacing w:before="67"/>
        <w:ind w:left="473" w:right="0" w:firstLine="0"/>
        <w:jc w:val="left"/>
        <w:rPr>
          <w:b/>
          <w:sz w:val="16"/>
        </w:rPr>
      </w:pPr>
      <w:r>
        <w:rPr/>
        <w:br w:type="column"/>
      </w:r>
      <w:r>
        <w:rPr>
          <w:b/>
          <w:sz w:val="16"/>
        </w:rPr>
        <w:t>2015</w:t>
      </w:r>
    </w:p>
    <w:p>
      <w:pPr>
        <w:spacing w:before="67"/>
        <w:ind w:left="454" w:right="0" w:firstLine="0"/>
        <w:jc w:val="left"/>
        <w:rPr>
          <w:b/>
          <w:sz w:val="16"/>
        </w:rPr>
      </w:pPr>
      <w:r>
        <w:rPr>
          <w:b/>
          <w:sz w:val="16"/>
        </w:rPr>
        <w:t>$'000</w:t>
      </w:r>
    </w:p>
    <w:p>
      <w:pPr>
        <w:spacing w:after="0"/>
        <w:jc w:val="left"/>
        <w:rPr>
          <w:sz w:val="16"/>
        </w:rPr>
        <w:sectPr>
          <w:type w:val="continuous"/>
          <w:pgSz w:w="12750" w:h="17680"/>
          <w:pgMar w:top="1660" w:bottom="0" w:left="0" w:right="0"/>
          <w:cols w:num="5" w:equalWidth="0">
            <w:col w:w="7648" w:space="40"/>
            <w:col w:w="713" w:space="40"/>
            <w:col w:w="849" w:space="40"/>
            <w:col w:w="875" w:space="40"/>
            <w:col w:w="2505"/>
          </w:cols>
        </w:sectPr>
      </w:pPr>
    </w:p>
    <w:p>
      <w:pPr>
        <w:pStyle w:val="BodyText"/>
        <w:spacing w:before="1"/>
        <w:rPr>
          <w:b/>
          <w:sz w:val="3"/>
        </w:rPr>
      </w:pPr>
      <w:r>
        <w:rPr/>
        <w:drawing>
          <wp:anchor distT="0" distB="0" distL="0" distR="0" allowOverlap="1" layoutInCell="1" locked="0" behindDoc="1" simplePos="0" relativeHeight="267233111">
            <wp:simplePos x="0" y="0"/>
            <wp:positionH relativeFrom="page">
              <wp:posOffset>-1587</wp:posOffset>
            </wp:positionH>
            <wp:positionV relativeFrom="page">
              <wp:posOffset>5534342</wp:posOffset>
            </wp:positionV>
            <wp:extent cx="135159" cy="154019"/>
            <wp:effectExtent l="0" t="0" r="0" b="0"/>
            <wp:wrapNone/>
            <wp:docPr id="395" name="image13.png" descr=""/>
            <wp:cNvGraphicFramePr>
              <a:graphicFrameLocks noChangeAspect="1"/>
            </wp:cNvGraphicFramePr>
            <a:graphic>
              <a:graphicData uri="http://schemas.openxmlformats.org/drawingml/2006/picture">
                <pic:pic>
                  <pic:nvPicPr>
                    <pic:cNvPr id="396" name="image13.png"/>
                    <pic:cNvPicPr/>
                  </pic:nvPicPr>
                  <pic:blipFill>
                    <a:blip r:embed="rId18" cstate="print"/>
                    <a:stretch>
                      <a:fillRect/>
                    </a:stretch>
                  </pic:blipFill>
                  <pic:spPr>
                    <a:xfrm>
                      <a:off x="0" y="0"/>
                      <a:ext cx="135159" cy="154019"/>
                    </a:xfrm>
                    <a:prstGeom prst="rect">
                      <a:avLst/>
                    </a:prstGeom>
                  </pic:spPr>
                </pic:pic>
              </a:graphicData>
            </a:graphic>
          </wp:anchor>
        </w:drawing>
      </w:r>
      <w:r>
        <w:rPr/>
        <w:drawing>
          <wp:anchor distT="0" distB="0" distL="0" distR="0" allowOverlap="1" layoutInCell="1" locked="0" behindDoc="0" simplePos="0" relativeHeight="6016">
            <wp:simplePos x="0" y="0"/>
            <wp:positionH relativeFrom="page">
              <wp:posOffset>7958429</wp:posOffset>
            </wp:positionH>
            <wp:positionV relativeFrom="page">
              <wp:posOffset>5534342</wp:posOffset>
            </wp:positionV>
            <wp:extent cx="135953" cy="155575"/>
            <wp:effectExtent l="0" t="0" r="0" b="0"/>
            <wp:wrapNone/>
            <wp:docPr id="397" name="image15.png" descr=""/>
            <wp:cNvGraphicFramePr>
              <a:graphicFrameLocks noChangeAspect="1"/>
            </wp:cNvGraphicFramePr>
            <a:graphic>
              <a:graphicData uri="http://schemas.openxmlformats.org/drawingml/2006/picture">
                <pic:pic>
                  <pic:nvPicPr>
                    <pic:cNvPr id="398" name="image15.png"/>
                    <pic:cNvPicPr/>
                  </pic:nvPicPr>
                  <pic:blipFill>
                    <a:blip r:embed="rId20" cstate="print"/>
                    <a:stretch>
                      <a:fillRect/>
                    </a:stretch>
                  </pic:blipFill>
                  <pic:spPr>
                    <a:xfrm>
                      <a:off x="0" y="0"/>
                      <a:ext cx="135953" cy="155575"/>
                    </a:xfrm>
                    <a:prstGeom prst="rect">
                      <a:avLst/>
                    </a:prstGeom>
                  </pic:spPr>
                </pic:pic>
              </a:graphicData>
            </a:graphic>
          </wp:anchor>
        </w:drawing>
      </w:r>
    </w:p>
    <w:tbl>
      <w:tblPr>
        <w:tblW w:w="0" w:type="auto"/>
        <w:jc w:val="left"/>
        <w:tblInd w:w="239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876"/>
        <w:gridCol w:w="1471"/>
        <w:gridCol w:w="2187"/>
        <w:gridCol w:w="1418"/>
      </w:tblGrid>
      <w:tr>
        <w:trPr>
          <w:trHeight w:val="796" w:hRule="exact"/>
        </w:trPr>
        <w:tc>
          <w:tcPr>
            <w:tcW w:w="3876" w:type="dxa"/>
          </w:tcPr>
          <w:p>
            <w:pPr>
              <w:pStyle w:val="TableParagraph"/>
              <w:spacing w:before="24"/>
              <w:ind w:left="35" w:right="757"/>
              <w:jc w:val="left"/>
              <w:rPr>
                <w:sz w:val="16"/>
              </w:rPr>
            </w:pPr>
            <w:r>
              <w:rPr>
                <w:sz w:val="16"/>
              </w:rPr>
              <w:t>Financial assistance received in CASH during the reporting period (total cash received from Australian Government for the program)</w:t>
            </w:r>
          </w:p>
        </w:tc>
        <w:tc>
          <w:tcPr>
            <w:tcW w:w="1471" w:type="dxa"/>
          </w:tcPr>
          <w:p>
            <w:pPr/>
          </w:p>
        </w:tc>
        <w:tc>
          <w:tcPr>
            <w:tcW w:w="2187" w:type="dxa"/>
            <w:tcBorders>
              <w:bottom w:val="single" w:sz="0" w:space="0" w:color="000000"/>
            </w:tcBorders>
          </w:tcPr>
          <w:p>
            <w:pPr>
              <w:pStyle w:val="TableParagraph"/>
              <w:jc w:val="left"/>
              <w:rPr>
                <w:b/>
                <w:sz w:val="16"/>
              </w:rPr>
            </w:pPr>
          </w:p>
          <w:p>
            <w:pPr>
              <w:pStyle w:val="TableParagraph"/>
              <w:jc w:val="left"/>
              <w:rPr>
                <w:b/>
                <w:sz w:val="16"/>
              </w:rPr>
            </w:pPr>
          </w:p>
          <w:p>
            <w:pPr>
              <w:pStyle w:val="TableParagraph"/>
              <w:spacing w:before="10"/>
              <w:jc w:val="left"/>
              <w:rPr>
                <w:b/>
                <w:sz w:val="17"/>
              </w:rPr>
            </w:pPr>
          </w:p>
          <w:p>
            <w:pPr>
              <w:pStyle w:val="TableParagraph"/>
              <w:tabs>
                <w:tab w:pos="662" w:val="left" w:leader="none"/>
              </w:tabs>
              <w:ind w:right="461"/>
              <w:rPr>
                <w:sz w:val="16"/>
              </w:rPr>
            </w:pPr>
            <w:r>
              <w:rPr>
                <w:sz w:val="16"/>
              </w:rPr>
              <w:t>-</w:t>
              <w:tab/>
            </w:r>
            <w:r>
              <w:rPr>
                <w:spacing w:val="-1"/>
                <w:sz w:val="16"/>
              </w:rPr>
              <w:t>100</w:t>
            </w:r>
          </w:p>
        </w:tc>
        <w:tc>
          <w:tcPr>
            <w:tcW w:w="1418" w:type="dxa"/>
            <w:tcBorders>
              <w:bottom w:val="single" w:sz="0" w:space="0" w:color="000000"/>
            </w:tcBorders>
          </w:tcPr>
          <w:p>
            <w:pPr>
              <w:pStyle w:val="TableParagraph"/>
              <w:jc w:val="left"/>
              <w:rPr>
                <w:b/>
                <w:sz w:val="16"/>
              </w:rPr>
            </w:pPr>
          </w:p>
          <w:p>
            <w:pPr>
              <w:pStyle w:val="TableParagraph"/>
              <w:jc w:val="left"/>
              <w:rPr>
                <w:b/>
                <w:sz w:val="16"/>
              </w:rPr>
            </w:pPr>
          </w:p>
          <w:p>
            <w:pPr>
              <w:pStyle w:val="TableParagraph"/>
              <w:spacing w:before="10"/>
              <w:jc w:val="left"/>
              <w:rPr>
                <w:b/>
                <w:sz w:val="17"/>
              </w:rPr>
            </w:pPr>
          </w:p>
          <w:p>
            <w:pPr>
              <w:pStyle w:val="TableParagraph"/>
              <w:tabs>
                <w:tab w:pos="662" w:val="left" w:leader="none"/>
              </w:tabs>
              <w:ind w:right="77"/>
              <w:rPr>
                <w:sz w:val="16"/>
              </w:rPr>
            </w:pPr>
            <w:r>
              <w:rPr>
                <w:sz w:val="16"/>
              </w:rPr>
              <w:t>-</w:t>
              <w:tab/>
            </w:r>
            <w:r>
              <w:rPr>
                <w:spacing w:val="-1"/>
                <w:sz w:val="16"/>
              </w:rPr>
              <w:t>100</w:t>
            </w:r>
          </w:p>
        </w:tc>
      </w:tr>
      <w:tr>
        <w:trPr>
          <w:trHeight w:val="261" w:hRule="exact"/>
        </w:trPr>
        <w:tc>
          <w:tcPr>
            <w:tcW w:w="3876" w:type="dxa"/>
          </w:tcPr>
          <w:p>
            <w:pPr>
              <w:pStyle w:val="TableParagraph"/>
              <w:spacing w:before="40"/>
              <w:ind w:left="35" w:right="757"/>
              <w:jc w:val="left"/>
              <w:rPr>
                <w:sz w:val="16"/>
              </w:rPr>
            </w:pPr>
            <w:r>
              <w:rPr>
                <w:sz w:val="16"/>
              </w:rPr>
              <w:t>Revenue for the period</w:t>
            </w:r>
          </w:p>
        </w:tc>
        <w:tc>
          <w:tcPr>
            <w:tcW w:w="1471" w:type="dxa"/>
          </w:tcPr>
          <w:p>
            <w:pPr>
              <w:pStyle w:val="TableParagraph"/>
              <w:spacing w:before="37"/>
              <w:ind w:left="953"/>
              <w:jc w:val="left"/>
              <w:rPr>
                <w:sz w:val="16"/>
              </w:rPr>
            </w:pPr>
            <w:r>
              <w:rPr>
                <w:sz w:val="16"/>
              </w:rPr>
              <w:t>2(e)</w:t>
            </w:r>
          </w:p>
        </w:tc>
        <w:tc>
          <w:tcPr>
            <w:tcW w:w="2187" w:type="dxa"/>
            <w:tcBorders>
              <w:top w:val="single" w:sz="0" w:space="0" w:color="000000"/>
            </w:tcBorders>
          </w:tcPr>
          <w:p>
            <w:pPr>
              <w:pStyle w:val="TableParagraph"/>
              <w:tabs>
                <w:tab w:pos="662" w:val="left" w:leader="none"/>
              </w:tabs>
              <w:spacing w:before="38"/>
              <w:ind w:right="461"/>
              <w:rPr>
                <w:sz w:val="16"/>
              </w:rPr>
            </w:pPr>
            <w:r>
              <w:rPr>
                <w:sz w:val="16"/>
              </w:rPr>
              <w:t>-</w:t>
              <w:tab/>
            </w:r>
            <w:r>
              <w:rPr>
                <w:spacing w:val="-1"/>
                <w:sz w:val="16"/>
              </w:rPr>
              <w:t>100</w:t>
            </w:r>
          </w:p>
        </w:tc>
        <w:tc>
          <w:tcPr>
            <w:tcW w:w="1418" w:type="dxa"/>
            <w:tcBorders>
              <w:top w:val="single" w:sz="0" w:space="0" w:color="000000"/>
            </w:tcBorders>
          </w:tcPr>
          <w:p>
            <w:pPr>
              <w:pStyle w:val="TableParagraph"/>
              <w:tabs>
                <w:tab w:pos="662" w:val="left" w:leader="none"/>
              </w:tabs>
              <w:spacing w:before="38"/>
              <w:ind w:right="77"/>
              <w:rPr>
                <w:sz w:val="16"/>
              </w:rPr>
            </w:pPr>
            <w:r>
              <w:rPr>
                <w:sz w:val="16"/>
              </w:rPr>
              <w:t>-</w:t>
              <w:tab/>
            </w:r>
            <w:r>
              <w:rPr>
                <w:spacing w:val="-1"/>
                <w:sz w:val="16"/>
              </w:rPr>
              <w:t>100</w:t>
            </w:r>
          </w:p>
        </w:tc>
      </w:tr>
      <w:tr>
        <w:trPr>
          <w:trHeight w:val="241" w:hRule="exact"/>
        </w:trPr>
        <w:tc>
          <w:tcPr>
            <w:tcW w:w="3876" w:type="dxa"/>
          </w:tcPr>
          <w:p>
            <w:pPr>
              <w:pStyle w:val="TableParagraph"/>
              <w:spacing w:before="20"/>
              <w:ind w:left="35" w:right="757"/>
              <w:jc w:val="left"/>
              <w:rPr>
                <w:sz w:val="16"/>
              </w:rPr>
            </w:pPr>
            <w:r>
              <w:rPr>
                <w:sz w:val="16"/>
              </w:rPr>
              <w:t>Surplus/(deficit) from the previous year</w:t>
            </w:r>
          </w:p>
        </w:tc>
        <w:tc>
          <w:tcPr>
            <w:tcW w:w="1471" w:type="dxa"/>
          </w:tcPr>
          <w:p>
            <w:pPr/>
          </w:p>
        </w:tc>
        <w:tc>
          <w:tcPr>
            <w:tcW w:w="2187" w:type="dxa"/>
            <w:tcBorders>
              <w:bottom w:val="single" w:sz="0" w:space="0" w:color="000000"/>
            </w:tcBorders>
          </w:tcPr>
          <w:p>
            <w:pPr>
              <w:pStyle w:val="TableParagraph"/>
              <w:tabs>
                <w:tab w:pos="751" w:val="left" w:leader="none"/>
              </w:tabs>
              <w:spacing w:before="19"/>
              <w:ind w:right="461"/>
              <w:rPr>
                <w:sz w:val="16"/>
              </w:rPr>
            </w:pPr>
            <w:r>
              <w:rPr>
                <w:sz w:val="16"/>
              </w:rPr>
              <w:t>-</w:t>
              <w:tab/>
            </w:r>
            <w:r>
              <w:rPr>
                <w:spacing w:val="-1"/>
                <w:sz w:val="16"/>
              </w:rPr>
              <w:t>24</w:t>
            </w:r>
          </w:p>
        </w:tc>
        <w:tc>
          <w:tcPr>
            <w:tcW w:w="1418" w:type="dxa"/>
            <w:tcBorders>
              <w:bottom w:val="single" w:sz="0" w:space="0" w:color="000000"/>
            </w:tcBorders>
          </w:tcPr>
          <w:p>
            <w:pPr>
              <w:pStyle w:val="TableParagraph"/>
              <w:tabs>
                <w:tab w:pos="751" w:val="left" w:leader="none"/>
              </w:tabs>
              <w:spacing w:before="19"/>
              <w:ind w:right="77"/>
              <w:rPr>
                <w:sz w:val="16"/>
              </w:rPr>
            </w:pPr>
            <w:r>
              <w:rPr>
                <w:sz w:val="16"/>
              </w:rPr>
              <w:t>-</w:t>
              <w:tab/>
            </w:r>
            <w:r>
              <w:rPr>
                <w:spacing w:val="-1"/>
                <w:sz w:val="16"/>
              </w:rPr>
              <w:t>24</w:t>
            </w:r>
          </w:p>
        </w:tc>
      </w:tr>
      <w:tr>
        <w:trPr>
          <w:trHeight w:val="260" w:hRule="exact"/>
        </w:trPr>
        <w:tc>
          <w:tcPr>
            <w:tcW w:w="3876" w:type="dxa"/>
          </w:tcPr>
          <w:p>
            <w:pPr>
              <w:pStyle w:val="TableParagraph"/>
              <w:spacing w:before="40"/>
              <w:ind w:left="35" w:right="757"/>
              <w:jc w:val="left"/>
              <w:rPr>
                <w:sz w:val="16"/>
              </w:rPr>
            </w:pPr>
            <w:r>
              <w:rPr>
                <w:sz w:val="16"/>
              </w:rPr>
              <w:t>Total revenue including accrued revenue</w:t>
            </w:r>
          </w:p>
        </w:tc>
        <w:tc>
          <w:tcPr>
            <w:tcW w:w="1471" w:type="dxa"/>
          </w:tcPr>
          <w:p>
            <w:pPr/>
          </w:p>
        </w:tc>
        <w:tc>
          <w:tcPr>
            <w:tcW w:w="2187" w:type="dxa"/>
            <w:tcBorders>
              <w:top w:val="single" w:sz="0" w:space="0" w:color="000000"/>
            </w:tcBorders>
          </w:tcPr>
          <w:p>
            <w:pPr>
              <w:pStyle w:val="TableParagraph"/>
              <w:tabs>
                <w:tab w:pos="662" w:val="left" w:leader="none"/>
              </w:tabs>
              <w:spacing w:before="38"/>
              <w:ind w:right="461"/>
              <w:rPr>
                <w:sz w:val="16"/>
              </w:rPr>
            </w:pPr>
            <w:r>
              <w:rPr>
                <w:sz w:val="16"/>
              </w:rPr>
              <w:t>-</w:t>
              <w:tab/>
            </w:r>
            <w:r>
              <w:rPr>
                <w:spacing w:val="-1"/>
                <w:sz w:val="16"/>
              </w:rPr>
              <w:t>124</w:t>
            </w:r>
          </w:p>
        </w:tc>
        <w:tc>
          <w:tcPr>
            <w:tcW w:w="1418" w:type="dxa"/>
            <w:tcBorders>
              <w:top w:val="single" w:sz="0" w:space="0" w:color="000000"/>
            </w:tcBorders>
          </w:tcPr>
          <w:p>
            <w:pPr>
              <w:pStyle w:val="TableParagraph"/>
              <w:tabs>
                <w:tab w:pos="662" w:val="left" w:leader="none"/>
              </w:tabs>
              <w:spacing w:before="38"/>
              <w:ind w:right="77"/>
              <w:rPr>
                <w:sz w:val="16"/>
              </w:rPr>
            </w:pPr>
            <w:r>
              <w:rPr>
                <w:sz w:val="16"/>
              </w:rPr>
              <w:t>-</w:t>
              <w:tab/>
            </w:r>
            <w:r>
              <w:rPr>
                <w:w w:val="95"/>
                <w:sz w:val="16"/>
              </w:rPr>
              <w:t>124</w:t>
            </w:r>
          </w:p>
        </w:tc>
      </w:tr>
      <w:tr>
        <w:trPr>
          <w:trHeight w:val="423" w:hRule="exact"/>
        </w:trPr>
        <w:tc>
          <w:tcPr>
            <w:tcW w:w="3876" w:type="dxa"/>
          </w:tcPr>
          <w:p>
            <w:pPr>
              <w:pStyle w:val="TableParagraph"/>
              <w:spacing w:before="19"/>
              <w:ind w:left="35" w:right="1464"/>
              <w:jc w:val="left"/>
              <w:rPr>
                <w:sz w:val="16"/>
              </w:rPr>
            </w:pPr>
            <w:r>
              <w:rPr>
                <w:sz w:val="16"/>
              </w:rPr>
              <w:t>Less expenses including accrued expenses</w:t>
            </w:r>
          </w:p>
        </w:tc>
        <w:tc>
          <w:tcPr>
            <w:tcW w:w="1471" w:type="dxa"/>
          </w:tcPr>
          <w:p>
            <w:pPr/>
          </w:p>
        </w:tc>
        <w:tc>
          <w:tcPr>
            <w:tcW w:w="2187" w:type="dxa"/>
            <w:tcBorders>
              <w:bottom w:val="single" w:sz="0" w:space="0" w:color="000000"/>
            </w:tcBorders>
          </w:tcPr>
          <w:p>
            <w:pPr>
              <w:pStyle w:val="TableParagraph"/>
              <w:spacing w:before="5"/>
              <w:jc w:val="left"/>
              <w:rPr>
                <w:b/>
                <w:sz w:val="17"/>
              </w:rPr>
            </w:pPr>
          </w:p>
          <w:p>
            <w:pPr>
              <w:pStyle w:val="TableParagraph"/>
              <w:tabs>
                <w:tab w:pos="609" w:val="left" w:leader="none"/>
              </w:tabs>
              <w:ind w:right="408"/>
              <w:rPr>
                <w:sz w:val="16"/>
              </w:rPr>
            </w:pPr>
            <w:r>
              <w:rPr>
                <w:sz w:val="16"/>
              </w:rPr>
              <w:t>-</w:t>
              <w:tab/>
            </w:r>
            <w:r>
              <w:rPr>
                <w:spacing w:val="-2"/>
                <w:sz w:val="16"/>
              </w:rPr>
              <w:t>(124)</w:t>
            </w:r>
          </w:p>
        </w:tc>
        <w:tc>
          <w:tcPr>
            <w:tcW w:w="1418" w:type="dxa"/>
            <w:tcBorders>
              <w:bottom w:val="single" w:sz="0" w:space="0" w:color="000000"/>
            </w:tcBorders>
          </w:tcPr>
          <w:p>
            <w:pPr>
              <w:pStyle w:val="TableParagraph"/>
              <w:spacing w:before="5"/>
              <w:jc w:val="left"/>
              <w:rPr>
                <w:b/>
                <w:sz w:val="17"/>
              </w:rPr>
            </w:pPr>
          </w:p>
          <w:p>
            <w:pPr>
              <w:pStyle w:val="TableParagraph"/>
              <w:tabs>
                <w:tab w:pos="609" w:val="left" w:leader="none"/>
              </w:tabs>
              <w:ind w:right="24"/>
              <w:rPr>
                <w:sz w:val="16"/>
              </w:rPr>
            </w:pPr>
            <w:r>
              <w:rPr>
                <w:sz w:val="16"/>
              </w:rPr>
              <w:t>-</w:t>
              <w:tab/>
            </w:r>
            <w:r>
              <w:rPr>
                <w:spacing w:val="-2"/>
                <w:sz w:val="16"/>
              </w:rPr>
              <w:t>(124)</w:t>
            </w:r>
          </w:p>
        </w:tc>
      </w:tr>
      <w:tr>
        <w:trPr>
          <w:trHeight w:val="275" w:hRule="exact"/>
        </w:trPr>
        <w:tc>
          <w:tcPr>
            <w:tcW w:w="3876" w:type="dxa"/>
          </w:tcPr>
          <w:p>
            <w:pPr>
              <w:pStyle w:val="TableParagraph"/>
              <w:spacing w:before="40"/>
              <w:ind w:left="35" w:right="757"/>
              <w:jc w:val="left"/>
              <w:rPr>
                <w:sz w:val="16"/>
              </w:rPr>
            </w:pPr>
            <w:r>
              <w:rPr>
                <w:sz w:val="16"/>
              </w:rPr>
              <w:t>Surplus/(deficit) for the reporting period</w:t>
            </w:r>
          </w:p>
        </w:tc>
        <w:tc>
          <w:tcPr>
            <w:tcW w:w="1471" w:type="dxa"/>
          </w:tcPr>
          <w:p>
            <w:pPr/>
          </w:p>
        </w:tc>
        <w:tc>
          <w:tcPr>
            <w:tcW w:w="2187" w:type="dxa"/>
            <w:tcBorders>
              <w:top w:val="single" w:sz="0" w:space="0" w:color="000000"/>
              <w:bottom w:val="single" w:sz="0" w:space="0" w:color="000000"/>
            </w:tcBorders>
          </w:tcPr>
          <w:p>
            <w:pPr>
              <w:pStyle w:val="TableParagraph"/>
              <w:tabs>
                <w:tab w:pos="875" w:val="left" w:leader="none"/>
              </w:tabs>
              <w:spacing w:before="38"/>
              <w:ind w:right="461"/>
              <w:rPr>
                <w:sz w:val="16"/>
              </w:rPr>
            </w:pPr>
            <w:r>
              <w:rPr>
                <w:sz w:val="16"/>
              </w:rPr>
              <w:t>-</w:t>
              <w:tab/>
            </w:r>
            <w:r>
              <w:rPr>
                <w:spacing w:val="-1"/>
                <w:sz w:val="16"/>
              </w:rPr>
              <w:t>-</w:t>
            </w:r>
          </w:p>
        </w:tc>
        <w:tc>
          <w:tcPr>
            <w:tcW w:w="1418" w:type="dxa"/>
            <w:tcBorders>
              <w:top w:val="single" w:sz="0" w:space="0" w:color="000000"/>
              <w:bottom w:val="single" w:sz="0" w:space="0" w:color="000000"/>
            </w:tcBorders>
          </w:tcPr>
          <w:p>
            <w:pPr>
              <w:pStyle w:val="TableParagraph"/>
              <w:tabs>
                <w:tab w:pos="875" w:val="left" w:leader="none"/>
              </w:tabs>
              <w:spacing w:before="38"/>
              <w:ind w:right="76"/>
              <w:rPr>
                <w:sz w:val="16"/>
              </w:rPr>
            </w:pPr>
            <w:r>
              <w:rPr>
                <w:sz w:val="16"/>
              </w:rPr>
              <w:t>-</w:t>
              <w:tab/>
            </w:r>
            <w:r>
              <w:rPr>
                <w:spacing w:val="-1"/>
                <w:sz w:val="16"/>
              </w:rPr>
              <w:t>-</w:t>
            </w:r>
          </w:p>
        </w:tc>
      </w:tr>
    </w:tbl>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
        <w:rPr>
          <w:b/>
          <w:sz w:val="21"/>
        </w:rPr>
      </w:pPr>
    </w:p>
    <w:p>
      <w:pPr>
        <w:spacing w:before="80"/>
        <w:ind w:left="2107" w:right="2107" w:firstLine="0"/>
        <w:jc w:val="center"/>
        <w:rPr>
          <w:sz w:val="16"/>
        </w:rPr>
      </w:pPr>
      <w:r>
        <w:rPr/>
        <w:pict>
          <v:line style="position:absolute;mso-position-horizontal-relative:page;mso-position-vertical-relative:paragraph;z-index:-1202464" from="12pt,40.387859pt" to="0pt,40.387859pt" stroked="true" strokeweight=".25pt" strokecolor="#000000">
            <w10:wrap type="none"/>
          </v:line>
        </w:pict>
      </w:r>
      <w:r>
        <w:rPr/>
        <w:pict>
          <v:line style="position:absolute;mso-position-horizontal-relative:page;mso-position-vertical-relative:paragraph;z-index:5896" from="625.27301pt,40.387859pt" to="637.228038pt,40.387859pt" stroked="true" strokeweight=".25pt" strokecolor="#000000">
            <w10:wrap type="none"/>
          </v:line>
        </w:pict>
      </w:r>
      <w:r>
        <w:rPr/>
        <w:pict>
          <v:line style="position:absolute;mso-position-horizontal-relative:page;mso-position-vertical-relative:paragraph;z-index:5920" from="21pt,49.387859pt" to="21pt,61.387846pt" stroked="true" strokeweight=".25pt" strokecolor="#000000">
            <w10:wrap type="none"/>
          </v:line>
        </w:pict>
      </w:r>
      <w:r>
        <w:rPr/>
        <w:pict>
          <v:line style="position:absolute;mso-position-horizontal-relative:page;mso-position-vertical-relative:paragraph;z-index:5944" from="616.27301pt,49.387859pt" to="616.27301pt,61.387846pt" stroked="true" strokeweight=".25pt" strokecolor="#000000">
            <w10:wrap type="none"/>
          </v:line>
        </w:pict>
      </w:r>
      <w:r>
        <w:rPr/>
        <w:drawing>
          <wp:anchor distT="0" distB="0" distL="0" distR="0" allowOverlap="1" layoutInCell="1" locked="0" behindDoc="0" simplePos="0" relativeHeight="5968">
            <wp:simplePos x="0" y="0"/>
            <wp:positionH relativeFrom="page">
              <wp:posOffset>3968896</wp:posOffset>
            </wp:positionH>
            <wp:positionV relativeFrom="paragraph">
              <wp:posOffset>644688</wp:posOffset>
            </wp:positionV>
            <wp:extent cx="155575" cy="136525"/>
            <wp:effectExtent l="0" t="0" r="0" b="0"/>
            <wp:wrapNone/>
            <wp:docPr id="399" name="image12.png" descr=""/>
            <wp:cNvGraphicFramePr>
              <a:graphicFrameLocks noChangeAspect="1"/>
            </wp:cNvGraphicFramePr>
            <a:graphic>
              <a:graphicData uri="http://schemas.openxmlformats.org/drawingml/2006/picture">
                <pic:pic>
                  <pic:nvPicPr>
                    <pic:cNvPr id="400" name="image12.png"/>
                    <pic:cNvPicPr/>
                  </pic:nvPicPr>
                  <pic:blipFill>
                    <a:blip r:embed="rId56" cstate="print"/>
                    <a:stretch>
                      <a:fillRect/>
                    </a:stretch>
                  </pic:blipFill>
                  <pic:spPr>
                    <a:xfrm>
                      <a:off x="0" y="0"/>
                      <a:ext cx="155575" cy="136525"/>
                    </a:xfrm>
                    <a:prstGeom prst="rect">
                      <a:avLst/>
                    </a:prstGeom>
                  </pic:spPr>
                </pic:pic>
              </a:graphicData>
            </a:graphic>
          </wp:anchor>
        </w:drawing>
      </w:r>
      <w:r>
        <w:rPr>
          <w:sz w:val="16"/>
        </w:rPr>
        <w:t>86</w:t>
      </w:r>
    </w:p>
    <w:p>
      <w:pPr>
        <w:spacing w:after="0"/>
        <w:jc w:val="center"/>
        <w:rPr>
          <w:sz w:val="16"/>
        </w:rPr>
        <w:sectPr>
          <w:type w:val="continuous"/>
          <w:pgSz w:w="12750" w:h="17680"/>
          <w:pgMar w:top="1660" w:bottom="0" w:left="0" w:right="0"/>
        </w:sectPr>
      </w:pPr>
    </w:p>
    <w:p>
      <w:pPr>
        <w:pStyle w:val="BodyText"/>
        <w:rPr>
          <w:sz w:val="20"/>
        </w:rPr>
      </w:pPr>
    </w:p>
    <w:p>
      <w:pPr>
        <w:pStyle w:val="BodyText"/>
        <w:rPr>
          <w:sz w:val="20"/>
        </w:rPr>
      </w:pPr>
    </w:p>
    <w:p>
      <w:pPr>
        <w:pStyle w:val="BodyText"/>
        <w:spacing w:before="8"/>
        <w:rPr>
          <w:sz w:val="11"/>
        </w:rPr>
      </w:pPr>
    </w:p>
    <w:p>
      <w:pPr>
        <w:tabs>
          <w:tab w:pos="1369" w:val="left" w:leader="none"/>
          <w:tab w:pos="16525" w:val="left" w:leader="none"/>
        </w:tabs>
        <w:spacing w:line="240" w:lineRule="auto"/>
        <w:ind w:left="67" w:right="0" w:firstLine="0"/>
        <w:rPr>
          <w:sz w:val="20"/>
        </w:rPr>
      </w:pPr>
      <w:r>
        <w:rPr>
          <w:position w:val="33"/>
          <w:sz w:val="20"/>
        </w:rPr>
        <w:drawing>
          <wp:inline distT="0" distB="0" distL="0" distR="0">
            <wp:extent cx="154019" cy="154019"/>
            <wp:effectExtent l="0" t="0" r="0" b="0"/>
            <wp:docPr id="405" name="image25.png" descr=""/>
            <wp:cNvGraphicFramePr>
              <a:graphicFrameLocks noChangeAspect="1"/>
            </wp:cNvGraphicFramePr>
            <a:graphic>
              <a:graphicData uri="http://schemas.openxmlformats.org/drawingml/2006/picture">
                <pic:pic>
                  <pic:nvPicPr>
                    <pic:cNvPr id="406" name="image25.png"/>
                    <pic:cNvPicPr/>
                  </pic:nvPicPr>
                  <pic:blipFill>
                    <a:blip r:embed="rId41" cstate="print"/>
                    <a:stretch>
                      <a:fillRect/>
                    </a:stretch>
                  </pic:blipFill>
                  <pic:spPr>
                    <a:xfrm>
                      <a:off x="0" y="0"/>
                      <a:ext cx="154019" cy="154019"/>
                    </a:xfrm>
                    <a:prstGeom prst="rect">
                      <a:avLst/>
                    </a:prstGeom>
                  </pic:spPr>
                </pic:pic>
              </a:graphicData>
            </a:graphic>
          </wp:inline>
        </w:drawing>
      </w:r>
      <w:r>
        <w:rPr>
          <w:position w:val="33"/>
          <w:sz w:val="20"/>
        </w:rPr>
      </w:r>
      <w:r>
        <w:rPr>
          <w:position w:val="33"/>
          <w:sz w:val="20"/>
        </w:rPr>
        <w:tab/>
      </w:r>
      <w:r>
        <w:rPr>
          <w:sz w:val="20"/>
        </w:rPr>
        <w:pict>
          <v:shape style="width:724.25pt;height:178.8pt;mso-position-horizontal-relative:char;mso-position-vertical-relative:line" type="#_x0000_t202" filled="false" stroked="false">
            <w10:anchorlock/>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18"/>
                    <w:gridCol w:w="6515"/>
                    <w:gridCol w:w="936"/>
                    <w:gridCol w:w="1768"/>
                    <w:gridCol w:w="1543"/>
                    <w:gridCol w:w="1777"/>
                    <w:gridCol w:w="1528"/>
                  </w:tblGrid>
                  <w:tr>
                    <w:trPr>
                      <w:trHeight w:val="823" w:hRule="exact"/>
                    </w:trPr>
                    <w:tc>
                      <w:tcPr>
                        <w:tcW w:w="418" w:type="dxa"/>
                      </w:tcPr>
                      <w:p>
                        <w:pPr>
                          <w:pStyle w:val="TableParagraph"/>
                          <w:spacing w:before="77"/>
                          <w:ind w:left="35"/>
                          <w:jc w:val="left"/>
                          <w:rPr>
                            <w:b/>
                            <w:sz w:val="18"/>
                          </w:rPr>
                        </w:pPr>
                        <w:bookmarkStart w:name="(f) Australian Research Council Grants" w:id="157"/>
                        <w:bookmarkEnd w:id="157"/>
                        <w:r>
                          <w:rPr/>
                        </w:r>
                        <w:r>
                          <w:rPr>
                            <w:b/>
                            <w:sz w:val="18"/>
                          </w:rPr>
                          <w:t>40</w:t>
                        </w:r>
                      </w:p>
                      <w:p>
                        <w:pPr>
                          <w:pStyle w:val="TableParagraph"/>
                          <w:spacing w:before="7"/>
                          <w:jc w:val="left"/>
                          <w:rPr>
                            <w:sz w:val="26"/>
                          </w:rPr>
                        </w:pPr>
                      </w:p>
                      <w:p>
                        <w:pPr>
                          <w:pStyle w:val="TableParagraph"/>
                          <w:ind w:left="36"/>
                          <w:jc w:val="left"/>
                          <w:rPr>
                            <w:sz w:val="18"/>
                          </w:rPr>
                        </w:pPr>
                        <w:r>
                          <w:rPr>
                            <w:sz w:val="18"/>
                          </w:rPr>
                          <w:t>(f)</w:t>
                        </w:r>
                      </w:p>
                    </w:tc>
                    <w:tc>
                      <w:tcPr>
                        <w:tcW w:w="6515" w:type="dxa"/>
                      </w:tcPr>
                      <w:p>
                        <w:pPr>
                          <w:pStyle w:val="TableParagraph"/>
                          <w:spacing w:before="77"/>
                          <w:ind w:left="184"/>
                          <w:jc w:val="left"/>
                          <w:rPr>
                            <w:b/>
                            <w:sz w:val="18"/>
                          </w:rPr>
                        </w:pPr>
                        <w:r>
                          <w:rPr>
                            <w:b/>
                            <w:sz w:val="18"/>
                          </w:rPr>
                          <w:t>Acquittal of Australian Government Financial Assistance (continued)</w:t>
                        </w:r>
                      </w:p>
                      <w:p>
                        <w:pPr>
                          <w:pStyle w:val="TableParagraph"/>
                          <w:spacing w:before="7"/>
                          <w:jc w:val="left"/>
                          <w:rPr>
                            <w:sz w:val="26"/>
                          </w:rPr>
                        </w:pPr>
                      </w:p>
                      <w:p>
                        <w:pPr>
                          <w:pStyle w:val="TableParagraph"/>
                          <w:ind w:left="184"/>
                          <w:jc w:val="left"/>
                          <w:rPr>
                            <w:sz w:val="18"/>
                          </w:rPr>
                        </w:pPr>
                        <w:r>
                          <w:rPr>
                            <w:sz w:val="18"/>
                          </w:rPr>
                          <w:t>Australian Research Council Grants</w:t>
                        </w:r>
                      </w:p>
                    </w:tc>
                    <w:tc>
                      <w:tcPr>
                        <w:tcW w:w="7550" w:type="dxa"/>
                        <w:gridSpan w:val="5"/>
                      </w:tcPr>
                      <w:p>
                        <w:pPr/>
                      </w:p>
                    </w:tc>
                  </w:tr>
                  <w:tr>
                    <w:trPr>
                      <w:trHeight w:val="375" w:hRule="exact"/>
                    </w:trPr>
                    <w:tc>
                      <w:tcPr>
                        <w:tcW w:w="418" w:type="dxa"/>
                      </w:tcPr>
                      <w:p>
                        <w:pPr/>
                      </w:p>
                    </w:tc>
                    <w:tc>
                      <w:tcPr>
                        <w:tcW w:w="6515" w:type="dxa"/>
                      </w:tcPr>
                      <w:p>
                        <w:pPr/>
                      </w:p>
                    </w:tc>
                    <w:tc>
                      <w:tcPr>
                        <w:tcW w:w="936" w:type="dxa"/>
                      </w:tcPr>
                      <w:p>
                        <w:pPr/>
                      </w:p>
                    </w:tc>
                    <w:tc>
                      <w:tcPr>
                        <w:tcW w:w="1768" w:type="dxa"/>
                      </w:tcPr>
                      <w:p>
                        <w:pPr>
                          <w:pStyle w:val="TableParagraph"/>
                          <w:jc w:val="left"/>
                          <w:rPr>
                            <w:sz w:val="15"/>
                          </w:rPr>
                        </w:pPr>
                      </w:p>
                      <w:p>
                        <w:pPr>
                          <w:pStyle w:val="TableParagraph"/>
                          <w:ind w:left="560"/>
                          <w:jc w:val="left"/>
                          <w:rPr>
                            <w:b/>
                            <w:sz w:val="14"/>
                          </w:rPr>
                        </w:pPr>
                        <w:r>
                          <w:rPr>
                            <w:b/>
                            <w:sz w:val="14"/>
                          </w:rPr>
                          <w:t>Projects</w:t>
                        </w:r>
                      </w:p>
                    </w:tc>
                    <w:tc>
                      <w:tcPr>
                        <w:tcW w:w="1543" w:type="dxa"/>
                      </w:tcPr>
                      <w:p>
                        <w:pPr>
                          <w:pStyle w:val="TableParagraph"/>
                          <w:jc w:val="left"/>
                          <w:rPr>
                            <w:sz w:val="15"/>
                          </w:rPr>
                        </w:pPr>
                      </w:p>
                      <w:p>
                        <w:pPr>
                          <w:pStyle w:val="TableParagraph"/>
                          <w:ind w:left="322"/>
                          <w:jc w:val="left"/>
                          <w:rPr>
                            <w:b/>
                            <w:sz w:val="14"/>
                          </w:rPr>
                        </w:pPr>
                        <w:r>
                          <w:rPr>
                            <w:b/>
                            <w:sz w:val="14"/>
                          </w:rPr>
                          <w:t>Fellowships</w:t>
                        </w:r>
                      </w:p>
                    </w:tc>
                    <w:tc>
                      <w:tcPr>
                        <w:tcW w:w="1777" w:type="dxa"/>
                      </w:tcPr>
                      <w:p>
                        <w:pPr>
                          <w:pStyle w:val="TableParagraph"/>
                          <w:spacing w:before="12"/>
                          <w:ind w:left="397" w:right="108" w:hanging="375"/>
                          <w:jc w:val="left"/>
                          <w:rPr>
                            <w:b/>
                            <w:sz w:val="14"/>
                          </w:rPr>
                        </w:pPr>
                        <w:r>
                          <w:rPr>
                            <w:b/>
                            <w:sz w:val="14"/>
                          </w:rPr>
                          <w:t>Indigenous Researchers Development</w:t>
                        </w:r>
                      </w:p>
                    </w:tc>
                    <w:tc>
                      <w:tcPr>
                        <w:tcW w:w="1528" w:type="dxa"/>
                      </w:tcPr>
                      <w:p>
                        <w:pPr>
                          <w:pStyle w:val="TableParagraph"/>
                          <w:jc w:val="left"/>
                          <w:rPr>
                            <w:sz w:val="15"/>
                          </w:rPr>
                        </w:pPr>
                      </w:p>
                      <w:p>
                        <w:pPr>
                          <w:pStyle w:val="TableParagraph"/>
                          <w:ind w:left="191"/>
                          <w:jc w:val="left"/>
                          <w:rPr>
                            <w:b/>
                            <w:sz w:val="14"/>
                          </w:rPr>
                        </w:pPr>
                        <w:r>
                          <w:rPr>
                            <w:b/>
                            <w:sz w:val="14"/>
                          </w:rPr>
                          <w:t>Total Discovery</w:t>
                        </w:r>
                      </w:p>
                    </w:tc>
                  </w:tr>
                  <w:tr>
                    <w:trPr>
                      <w:trHeight w:val="228" w:hRule="exact"/>
                    </w:trPr>
                    <w:tc>
                      <w:tcPr>
                        <w:tcW w:w="418" w:type="dxa"/>
                      </w:tcPr>
                      <w:p>
                        <w:pPr/>
                      </w:p>
                    </w:tc>
                    <w:tc>
                      <w:tcPr>
                        <w:tcW w:w="6515" w:type="dxa"/>
                      </w:tcPr>
                      <w:p>
                        <w:pPr>
                          <w:pStyle w:val="TableParagraph"/>
                          <w:spacing w:before="26"/>
                          <w:ind w:left="219"/>
                          <w:jc w:val="left"/>
                          <w:rPr>
                            <w:b/>
                            <w:sz w:val="14"/>
                          </w:rPr>
                        </w:pPr>
                        <w:r>
                          <w:rPr>
                            <w:b/>
                            <w:sz w:val="14"/>
                          </w:rPr>
                          <w:t>(i) Discovery</w:t>
                        </w:r>
                      </w:p>
                    </w:tc>
                    <w:tc>
                      <w:tcPr>
                        <w:tcW w:w="936" w:type="dxa"/>
                      </w:tcPr>
                      <w:p>
                        <w:pPr/>
                      </w:p>
                    </w:tc>
                    <w:tc>
                      <w:tcPr>
                        <w:tcW w:w="1768" w:type="dxa"/>
                      </w:tcPr>
                      <w:p>
                        <w:pPr>
                          <w:pStyle w:val="TableParagraph"/>
                          <w:tabs>
                            <w:tab w:pos="1083" w:val="left" w:leader="none"/>
                          </w:tabs>
                          <w:spacing w:before="26"/>
                          <w:ind w:left="267"/>
                          <w:jc w:val="left"/>
                          <w:rPr>
                            <w:b/>
                            <w:sz w:val="14"/>
                          </w:rPr>
                        </w:pPr>
                        <w:r>
                          <w:rPr>
                            <w:b/>
                            <w:sz w:val="14"/>
                          </w:rPr>
                          <w:t>2016</w:t>
                          <w:tab/>
                          <w:t>2015</w:t>
                        </w:r>
                      </w:p>
                    </w:tc>
                    <w:tc>
                      <w:tcPr>
                        <w:tcW w:w="1543" w:type="dxa"/>
                      </w:tcPr>
                      <w:p>
                        <w:pPr>
                          <w:pStyle w:val="TableParagraph"/>
                          <w:tabs>
                            <w:tab w:pos="971" w:val="left" w:leader="none"/>
                          </w:tabs>
                          <w:spacing w:before="26"/>
                          <w:ind w:left="156"/>
                          <w:jc w:val="left"/>
                          <w:rPr>
                            <w:b/>
                            <w:sz w:val="14"/>
                          </w:rPr>
                        </w:pPr>
                        <w:r>
                          <w:rPr>
                            <w:b/>
                            <w:sz w:val="14"/>
                          </w:rPr>
                          <w:t>2016</w:t>
                          <w:tab/>
                          <w:t>2015</w:t>
                        </w:r>
                      </w:p>
                    </w:tc>
                    <w:tc>
                      <w:tcPr>
                        <w:tcW w:w="1777" w:type="dxa"/>
                      </w:tcPr>
                      <w:p>
                        <w:pPr>
                          <w:pStyle w:val="TableParagraph"/>
                          <w:tabs>
                            <w:tab w:pos="1082" w:val="left" w:leader="none"/>
                          </w:tabs>
                          <w:spacing w:before="26"/>
                          <w:ind w:left="267" w:right="108"/>
                          <w:jc w:val="left"/>
                          <w:rPr>
                            <w:b/>
                            <w:sz w:val="14"/>
                          </w:rPr>
                        </w:pPr>
                        <w:r>
                          <w:rPr>
                            <w:b/>
                            <w:sz w:val="14"/>
                          </w:rPr>
                          <w:t>2016</w:t>
                          <w:tab/>
                          <w:t>2015</w:t>
                        </w:r>
                      </w:p>
                    </w:tc>
                    <w:tc>
                      <w:tcPr>
                        <w:tcW w:w="1528" w:type="dxa"/>
                      </w:tcPr>
                      <w:p>
                        <w:pPr>
                          <w:pStyle w:val="TableParagraph"/>
                          <w:tabs>
                            <w:tab w:pos="959" w:val="left" w:leader="none"/>
                          </w:tabs>
                          <w:spacing w:before="26"/>
                          <w:ind w:left="141"/>
                          <w:jc w:val="left"/>
                          <w:rPr>
                            <w:b/>
                            <w:sz w:val="14"/>
                          </w:rPr>
                        </w:pPr>
                        <w:r>
                          <w:rPr>
                            <w:b/>
                            <w:sz w:val="14"/>
                          </w:rPr>
                          <w:t>2016</w:t>
                          <w:tab/>
                          <w:t>2015</w:t>
                        </w:r>
                      </w:p>
                    </w:tc>
                  </w:tr>
                  <w:tr>
                    <w:trPr>
                      <w:trHeight w:val="225" w:hRule="exact"/>
                    </w:trPr>
                    <w:tc>
                      <w:tcPr>
                        <w:tcW w:w="418" w:type="dxa"/>
                      </w:tcPr>
                      <w:p>
                        <w:pPr/>
                      </w:p>
                    </w:tc>
                    <w:tc>
                      <w:tcPr>
                        <w:tcW w:w="6515" w:type="dxa"/>
                      </w:tcPr>
                      <w:p>
                        <w:pPr>
                          <w:pStyle w:val="TableParagraph"/>
                          <w:spacing w:before="26"/>
                          <w:ind w:left="219"/>
                          <w:jc w:val="left"/>
                          <w:rPr>
                            <w:b/>
                            <w:sz w:val="14"/>
                          </w:rPr>
                        </w:pPr>
                        <w:r>
                          <w:rPr>
                            <w:b/>
                            <w:sz w:val="14"/>
                          </w:rPr>
                          <w:t>Parent Entity (University) Only</w:t>
                        </w:r>
                      </w:p>
                    </w:tc>
                    <w:tc>
                      <w:tcPr>
                        <w:tcW w:w="936" w:type="dxa"/>
                      </w:tcPr>
                      <w:p>
                        <w:pPr>
                          <w:pStyle w:val="TableParagraph"/>
                          <w:spacing w:before="26"/>
                          <w:ind w:right="95"/>
                          <w:rPr>
                            <w:b/>
                            <w:sz w:val="14"/>
                          </w:rPr>
                        </w:pPr>
                        <w:r>
                          <w:rPr>
                            <w:b/>
                            <w:sz w:val="14"/>
                          </w:rPr>
                          <w:t>Note</w:t>
                        </w:r>
                      </w:p>
                    </w:tc>
                    <w:tc>
                      <w:tcPr>
                        <w:tcW w:w="1768" w:type="dxa"/>
                      </w:tcPr>
                      <w:p>
                        <w:pPr>
                          <w:pStyle w:val="TableParagraph"/>
                          <w:tabs>
                            <w:tab w:pos="1066" w:val="left" w:leader="none"/>
                          </w:tabs>
                          <w:spacing w:before="26"/>
                          <w:ind w:left="250"/>
                          <w:jc w:val="left"/>
                          <w:rPr>
                            <w:b/>
                            <w:sz w:val="14"/>
                          </w:rPr>
                        </w:pPr>
                        <w:r>
                          <w:rPr>
                            <w:b/>
                            <w:sz w:val="14"/>
                          </w:rPr>
                          <w:t>$'000</w:t>
                          <w:tab/>
                          <w:t>$'000</w:t>
                        </w:r>
                      </w:p>
                    </w:tc>
                    <w:tc>
                      <w:tcPr>
                        <w:tcW w:w="1543" w:type="dxa"/>
                      </w:tcPr>
                      <w:p>
                        <w:pPr>
                          <w:pStyle w:val="TableParagraph"/>
                          <w:tabs>
                            <w:tab w:pos="955" w:val="left" w:leader="none"/>
                          </w:tabs>
                          <w:spacing w:before="26"/>
                          <w:ind w:left="139"/>
                          <w:jc w:val="left"/>
                          <w:rPr>
                            <w:b/>
                            <w:sz w:val="14"/>
                          </w:rPr>
                        </w:pPr>
                        <w:r>
                          <w:rPr>
                            <w:b/>
                            <w:sz w:val="14"/>
                          </w:rPr>
                          <w:t>$'000</w:t>
                          <w:tab/>
                          <w:t>$'000</w:t>
                        </w:r>
                      </w:p>
                    </w:tc>
                    <w:tc>
                      <w:tcPr>
                        <w:tcW w:w="1777" w:type="dxa"/>
                      </w:tcPr>
                      <w:p>
                        <w:pPr>
                          <w:pStyle w:val="TableParagraph"/>
                          <w:tabs>
                            <w:tab w:pos="1066" w:val="left" w:leader="none"/>
                          </w:tabs>
                          <w:spacing w:before="26"/>
                          <w:ind w:left="250" w:right="108"/>
                          <w:jc w:val="left"/>
                          <w:rPr>
                            <w:b/>
                            <w:sz w:val="14"/>
                          </w:rPr>
                        </w:pPr>
                        <w:r>
                          <w:rPr>
                            <w:b/>
                            <w:sz w:val="14"/>
                          </w:rPr>
                          <w:t>$'000</w:t>
                          <w:tab/>
                          <w:t>$'000</w:t>
                        </w:r>
                      </w:p>
                    </w:tc>
                    <w:tc>
                      <w:tcPr>
                        <w:tcW w:w="1528" w:type="dxa"/>
                      </w:tcPr>
                      <w:p>
                        <w:pPr>
                          <w:pStyle w:val="TableParagraph"/>
                          <w:tabs>
                            <w:tab w:pos="943" w:val="left" w:leader="none"/>
                          </w:tabs>
                          <w:spacing w:before="26"/>
                          <w:ind w:left="124"/>
                          <w:jc w:val="left"/>
                          <w:rPr>
                            <w:b/>
                            <w:sz w:val="14"/>
                          </w:rPr>
                        </w:pPr>
                        <w:r>
                          <w:rPr>
                            <w:b/>
                            <w:sz w:val="14"/>
                          </w:rPr>
                          <w:t>$'000</w:t>
                          <w:tab/>
                          <w:t>$'000</w:t>
                        </w:r>
                      </w:p>
                    </w:tc>
                  </w:tr>
                  <w:tr>
                    <w:trPr>
                      <w:trHeight w:val="541" w:hRule="exact"/>
                    </w:trPr>
                    <w:tc>
                      <w:tcPr>
                        <w:tcW w:w="418" w:type="dxa"/>
                      </w:tcPr>
                      <w:p>
                        <w:pPr/>
                      </w:p>
                    </w:tc>
                    <w:tc>
                      <w:tcPr>
                        <w:tcW w:w="6515" w:type="dxa"/>
                      </w:tcPr>
                      <w:p>
                        <w:pPr>
                          <w:pStyle w:val="TableParagraph"/>
                          <w:spacing w:before="23"/>
                          <w:ind w:left="219" w:right="3210"/>
                          <w:jc w:val="left"/>
                          <w:rPr>
                            <w:sz w:val="14"/>
                          </w:rPr>
                        </w:pPr>
                        <w:r>
                          <w:rPr>
                            <w:sz w:val="14"/>
                          </w:rPr>
                          <w:t>Financial assistance received in CASH during the reporting period (total cash received from the Australian Government for the program)</w:t>
                        </w:r>
                      </w:p>
                    </w:tc>
                    <w:tc>
                      <w:tcPr>
                        <w:tcW w:w="936" w:type="dxa"/>
                      </w:tcPr>
                      <w:p>
                        <w:pPr/>
                      </w:p>
                    </w:tc>
                    <w:tc>
                      <w:tcPr>
                        <w:tcW w:w="1768" w:type="dxa"/>
                      </w:tcPr>
                      <w:p>
                        <w:pPr>
                          <w:pStyle w:val="TableParagraph"/>
                          <w:jc w:val="left"/>
                          <w:rPr>
                            <w:sz w:val="14"/>
                          </w:rPr>
                        </w:pPr>
                      </w:p>
                      <w:p>
                        <w:pPr>
                          <w:pStyle w:val="TableParagraph"/>
                          <w:spacing w:before="10"/>
                          <w:jc w:val="left"/>
                          <w:rPr>
                            <w:sz w:val="15"/>
                          </w:rPr>
                        </w:pPr>
                      </w:p>
                      <w:p>
                        <w:pPr>
                          <w:pStyle w:val="TableParagraph"/>
                          <w:tabs>
                            <w:tab w:pos="801" w:val="left" w:leader="none"/>
                          </w:tabs>
                          <w:ind w:right="183"/>
                          <w:rPr>
                            <w:sz w:val="14"/>
                          </w:rPr>
                        </w:pPr>
                        <w:r>
                          <w:rPr>
                            <w:sz w:val="14"/>
                          </w:rPr>
                          <w:t>4,143</w:t>
                          <w:tab/>
                          <w:t>4,775</w:t>
                        </w:r>
                      </w:p>
                    </w:tc>
                    <w:tc>
                      <w:tcPr>
                        <w:tcW w:w="1543" w:type="dxa"/>
                      </w:tcPr>
                      <w:p>
                        <w:pPr>
                          <w:pStyle w:val="TableParagraph"/>
                          <w:jc w:val="left"/>
                          <w:rPr>
                            <w:sz w:val="14"/>
                          </w:rPr>
                        </w:pPr>
                      </w:p>
                      <w:p>
                        <w:pPr>
                          <w:pStyle w:val="TableParagraph"/>
                          <w:spacing w:before="10"/>
                          <w:jc w:val="left"/>
                          <w:rPr>
                            <w:sz w:val="15"/>
                          </w:rPr>
                        </w:pPr>
                      </w:p>
                      <w:p>
                        <w:pPr>
                          <w:pStyle w:val="TableParagraph"/>
                          <w:tabs>
                            <w:tab w:pos="688" w:val="left" w:leader="none"/>
                          </w:tabs>
                          <w:ind w:right="68"/>
                          <w:rPr>
                            <w:sz w:val="14"/>
                          </w:rPr>
                        </w:pPr>
                        <w:r>
                          <w:rPr>
                            <w:sz w:val="14"/>
                          </w:rPr>
                          <w:t>990</w:t>
                          <w:tab/>
                          <w:t>1,237</w:t>
                        </w:r>
                      </w:p>
                    </w:tc>
                    <w:tc>
                      <w:tcPr>
                        <w:tcW w:w="1777" w:type="dxa"/>
                      </w:tcPr>
                      <w:p>
                        <w:pPr>
                          <w:pStyle w:val="TableParagraph"/>
                          <w:jc w:val="left"/>
                          <w:rPr>
                            <w:sz w:val="14"/>
                          </w:rPr>
                        </w:pPr>
                      </w:p>
                      <w:p>
                        <w:pPr>
                          <w:pStyle w:val="TableParagraph"/>
                          <w:spacing w:before="10"/>
                          <w:jc w:val="left"/>
                          <w:rPr>
                            <w:sz w:val="15"/>
                          </w:rPr>
                        </w:pPr>
                      </w:p>
                      <w:p>
                        <w:pPr>
                          <w:pStyle w:val="TableParagraph"/>
                          <w:tabs>
                            <w:tab w:pos="619" w:val="left" w:leader="none"/>
                          </w:tabs>
                          <w:ind w:right="191"/>
                          <w:rPr>
                            <w:sz w:val="14"/>
                          </w:rPr>
                        </w:pPr>
                        <w:r>
                          <w:rPr>
                            <w:sz w:val="14"/>
                          </w:rPr>
                          <w:t>-</w:t>
                          <w:tab/>
                        </w:r>
                        <w:r>
                          <w:rPr>
                            <w:spacing w:val="-2"/>
                            <w:sz w:val="14"/>
                          </w:rPr>
                          <w:t>222</w:t>
                        </w:r>
                      </w:p>
                    </w:tc>
                    <w:tc>
                      <w:tcPr>
                        <w:tcW w:w="1528" w:type="dxa"/>
                      </w:tcPr>
                      <w:p>
                        <w:pPr>
                          <w:pStyle w:val="TableParagraph"/>
                          <w:jc w:val="left"/>
                          <w:rPr>
                            <w:sz w:val="14"/>
                          </w:rPr>
                        </w:pPr>
                      </w:p>
                      <w:p>
                        <w:pPr>
                          <w:pStyle w:val="TableParagraph"/>
                          <w:spacing w:before="10"/>
                          <w:jc w:val="left"/>
                          <w:rPr>
                            <w:sz w:val="15"/>
                          </w:rPr>
                        </w:pPr>
                      </w:p>
                      <w:p>
                        <w:pPr>
                          <w:pStyle w:val="TableParagraph"/>
                          <w:tabs>
                            <w:tab w:pos="806" w:val="left" w:leader="none"/>
                          </w:tabs>
                          <w:ind w:right="65"/>
                          <w:rPr>
                            <w:sz w:val="14"/>
                          </w:rPr>
                        </w:pPr>
                        <w:r>
                          <w:rPr>
                            <w:sz w:val="14"/>
                          </w:rPr>
                          <w:t>5,133</w:t>
                          <w:tab/>
                          <w:t>6,234</w:t>
                        </w:r>
                      </w:p>
                    </w:tc>
                  </w:tr>
                  <w:tr>
                    <w:trPr>
                      <w:trHeight w:val="219" w:hRule="exact"/>
                    </w:trPr>
                    <w:tc>
                      <w:tcPr>
                        <w:tcW w:w="418" w:type="dxa"/>
                      </w:tcPr>
                      <w:p>
                        <w:pPr/>
                      </w:p>
                    </w:tc>
                    <w:tc>
                      <w:tcPr>
                        <w:tcW w:w="6515" w:type="dxa"/>
                      </w:tcPr>
                      <w:p>
                        <w:pPr>
                          <w:pStyle w:val="TableParagraph"/>
                          <w:spacing w:before="22"/>
                          <w:ind w:left="219"/>
                          <w:jc w:val="left"/>
                          <w:rPr>
                            <w:sz w:val="14"/>
                          </w:rPr>
                        </w:pPr>
                        <w:r>
                          <w:rPr>
                            <w:sz w:val="14"/>
                          </w:rPr>
                          <w:t>Net accrual adjustments</w:t>
                        </w:r>
                      </w:p>
                    </w:tc>
                    <w:tc>
                      <w:tcPr>
                        <w:tcW w:w="936" w:type="dxa"/>
                      </w:tcPr>
                      <w:p>
                        <w:pPr/>
                      </w:p>
                    </w:tc>
                    <w:tc>
                      <w:tcPr>
                        <w:tcW w:w="1768" w:type="dxa"/>
                        <w:tcBorders>
                          <w:bottom w:val="single" w:sz="0" w:space="0" w:color="000000"/>
                        </w:tcBorders>
                      </w:tcPr>
                      <w:p>
                        <w:pPr>
                          <w:pStyle w:val="TableParagraph"/>
                          <w:tabs>
                            <w:tab w:pos="801" w:val="left" w:leader="none"/>
                          </w:tabs>
                          <w:spacing w:before="21"/>
                          <w:ind w:right="185"/>
                          <w:rPr>
                            <w:sz w:val="14"/>
                          </w:rPr>
                        </w:pPr>
                        <w:r>
                          <w:rPr>
                            <w:sz w:val="14"/>
                          </w:rPr>
                          <w:t>290</w:t>
                          <w:tab/>
                        </w:r>
                        <w:r>
                          <w:rPr>
                            <w:spacing w:val="-2"/>
                            <w:sz w:val="14"/>
                          </w:rPr>
                          <w:t>133</w:t>
                        </w:r>
                      </w:p>
                    </w:tc>
                    <w:tc>
                      <w:tcPr>
                        <w:tcW w:w="1543" w:type="dxa"/>
                        <w:tcBorders>
                          <w:bottom w:val="single" w:sz="0" w:space="0" w:color="000000"/>
                        </w:tcBorders>
                      </w:tcPr>
                      <w:p>
                        <w:pPr>
                          <w:pStyle w:val="TableParagraph"/>
                          <w:tabs>
                            <w:tab w:pos="806" w:val="left" w:leader="none"/>
                          </w:tabs>
                          <w:spacing w:before="21"/>
                          <w:ind w:right="68"/>
                          <w:rPr>
                            <w:sz w:val="14"/>
                          </w:rPr>
                        </w:pPr>
                        <w:r>
                          <w:rPr>
                            <w:sz w:val="14"/>
                          </w:rPr>
                          <w:t>-</w:t>
                          <w:tab/>
                          <w:t>-</w:t>
                        </w:r>
                      </w:p>
                    </w:tc>
                    <w:tc>
                      <w:tcPr>
                        <w:tcW w:w="1777" w:type="dxa"/>
                        <w:tcBorders>
                          <w:bottom w:val="single" w:sz="0" w:space="0" w:color="000000"/>
                        </w:tcBorders>
                      </w:tcPr>
                      <w:p>
                        <w:pPr>
                          <w:pStyle w:val="TableParagraph"/>
                          <w:tabs>
                            <w:tab w:pos="697" w:val="left" w:leader="none"/>
                          </w:tabs>
                          <w:spacing w:before="21"/>
                          <w:ind w:right="191"/>
                          <w:rPr>
                            <w:sz w:val="14"/>
                          </w:rPr>
                        </w:pPr>
                        <w:r>
                          <w:rPr>
                            <w:sz w:val="14"/>
                          </w:rPr>
                          <w:t>-</w:t>
                          <w:tab/>
                        </w:r>
                        <w:r>
                          <w:rPr>
                            <w:spacing w:val="-3"/>
                            <w:sz w:val="14"/>
                          </w:rPr>
                          <w:t>34</w:t>
                        </w:r>
                      </w:p>
                    </w:tc>
                    <w:tc>
                      <w:tcPr>
                        <w:tcW w:w="1528" w:type="dxa"/>
                        <w:tcBorders>
                          <w:bottom w:val="single" w:sz="0" w:space="0" w:color="000000"/>
                        </w:tcBorders>
                      </w:tcPr>
                      <w:p>
                        <w:pPr>
                          <w:pStyle w:val="TableParagraph"/>
                          <w:tabs>
                            <w:tab w:pos="806" w:val="left" w:leader="none"/>
                          </w:tabs>
                          <w:spacing w:before="21"/>
                          <w:ind w:right="65"/>
                          <w:rPr>
                            <w:sz w:val="14"/>
                          </w:rPr>
                        </w:pPr>
                        <w:r>
                          <w:rPr>
                            <w:sz w:val="14"/>
                          </w:rPr>
                          <w:t>290</w:t>
                          <w:tab/>
                        </w:r>
                        <w:r>
                          <w:rPr>
                            <w:spacing w:val="-2"/>
                            <w:sz w:val="14"/>
                          </w:rPr>
                          <w:t>167</w:t>
                        </w:r>
                      </w:p>
                    </w:tc>
                  </w:tr>
                  <w:tr>
                    <w:trPr>
                      <w:trHeight w:val="237" w:hRule="exact"/>
                    </w:trPr>
                    <w:tc>
                      <w:tcPr>
                        <w:tcW w:w="418" w:type="dxa"/>
                      </w:tcPr>
                      <w:p>
                        <w:pPr/>
                      </w:p>
                    </w:tc>
                    <w:tc>
                      <w:tcPr>
                        <w:tcW w:w="6515" w:type="dxa"/>
                      </w:tcPr>
                      <w:p>
                        <w:pPr>
                          <w:pStyle w:val="TableParagraph"/>
                          <w:spacing w:before="41"/>
                          <w:ind w:left="219"/>
                          <w:jc w:val="left"/>
                          <w:rPr>
                            <w:sz w:val="14"/>
                          </w:rPr>
                        </w:pPr>
                        <w:r>
                          <w:rPr>
                            <w:sz w:val="14"/>
                          </w:rPr>
                          <w:t>Revenue for the period</w:t>
                        </w:r>
                      </w:p>
                    </w:tc>
                    <w:tc>
                      <w:tcPr>
                        <w:tcW w:w="936" w:type="dxa"/>
                      </w:tcPr>
                      <w:p>
                        <w:pPr>
                          <w:pStyle w:val="TableParagraph"/>
                          <w:spacing w:before="38"/>
                          <w:ind w:right="142"/>
                          <w:rPr>
                            <w:sz w:val="14"/>
                          </w:rPr>
                        </w:pPr>
                        <w:r>
                          <w:rPr>
                            <w:sz w:val="14"/>
                          </w:rPr>
                          <w:t>2(f)(i)</w:t>
                        </w:r>
                      </w:p>
                    </w:tc>
                    <w:tc>
                      <w:tcPr>
                        <w:tcW w:w="1768" w:type="dxa"/>
                        <w:tcBorders>
                          <w:top w:val="single" w:sz="0" w:space="0" w:color="000000"/>
                        </w:tcBorders>
                      </w:tcPr>
                      <w:p>
                        <w:pPr>
                          <w:pStyle w:val="TableParagraph"/>
                          <w:tabs>
                            <w:tab w:pos="801" w:val="left" w:leader="none"/>
                          </w:tabs>
                          <w:spacing w:before="39"/>
                          <w:ind w:right="183"/>
                          <w:rPr>
                            <w:sz w:val="14"/>
                          </w:rPr>
                        </w:pPr>
                        <w:r>
                          <w:rPr>
                            <w:sz w:val="14"/>
                          </w:rPr>
                          <w:t>4,433</w:t>
                          <w:tab/>
                          <w:t>4,908</w:t>
                        </w:r>
                      </w:p>
                    </w:tc>
                    <w:tc>
                      <w:tcPr>
                        <w:tcW w:w="1543" w:type="dxa"/>
                        <w:tcBorders>
                          <w:top w:val="single" w:sz="0" w:space="0" w:color="000000"/>
                        </w:tcBorders>
                      </w:tcPr>
                      <w:p>
                        <w:pPr>
                          <w:pStyle w:val="TableParagraph"/>
                          <w:tabs>
                            <w:tab w:pos="688" w:val="left" w:leader="none"/>
                          </w:tabs>
                          <w:spacing w:before="39"/>
                          <w:ind w:right="68"/>
                          <w:rPr>
                            <w:sz w:val="14"/>
                          </w:rPr>
                        </w:pPr>
                        <w:r>
                          <w:rPr>
                            <w:sz w:val="14"/>
                          </w:rPr>
                          <w:t>990</w:t>
                          <w:tab/>
                          <w:t>1,237</w:t>
                        </w:r>
                      </w:p>
                    </w:tc>
                    <w:tc>
                      <w:tcPr>
                        <w:tcW w:w="1777" w:type="dxa"/>
                        <w:tcBorders>
                          <w:top w:val="single" w:sz="0" w:space="0" w:color="000000"/>
                        </w:tcBorders>
                      </w:tcPr>
                      <w:p>
                        <w:pPr>
                          <w:pStyle w:val="TableParagraph"/>
                          <w:tabs>
                            <w:tab w:pos="619" w:val="left" w:leader="none"/>
                          </w:tabs>
                          <w:spacing w:before="39"/>
                          <w:ind w:right="191"/>
                          <w:rPr>
                            <w:sz w:val="14"/>
                          </w:rPr>
                        </w:pPr>
                        <w:r>
                          <w:rPr>
                            <w:sz w:val="14"/>
                          </w:rPr>
                          <w:t>-</w:t>
                          <w:tab/>
                        </w:r>
                        <w:r>
                          <w:rPr>
                            <w:spacing w:val="-2"/>
                            <w:sz w:val="14"/>
                          </w:rPr>
                          <w:t>256</w:t>
                        </w:r>
                      </w:p>
                    </w:tc>
                    <w:tc>
                      <w:tcPr>
                        <w:tcW w:w="1528" w:type="dxa"/>
                        <w:tcBorders>
                          <w:top w:val="single" w:sz="0" w:space="0" w:color="000000"/>
                        </w:tcBorders>
                      </w:tcPr>
                      <w:p>
                        <w:pPr>
                          <w:pStyle w:val="TableParagraph"/>
                          <w:tabs>
                            <w:tab w:pos="806" w:val="left" w:leader="none"/>
                          </w:tabs>
                          <w:spacing w:before="39"/>
                          <w:ind w:right="65"/>
                          <w:rPr>
                            <w:sz w:val="14"/>
                          </w:rPr>
                        </w:pPr>
                        <w:r>
                          <w:rPr>
                            <w:sz w:val="14"/>
                          </w:rPr>
                          <w:t>5,423</w:t>
                          <w:tab/>
                          <w:t>6,401</w:t>
                        </w:r>
                      </w:p>
                    </w:tc>
                  </w:tr>
                  <w:tr>
                    <w:trPr>
                      <w:trHeight w:val="219" w:hRule="exact"/>
                    </w:trPr>
                    <w:tc>
                      <w:tcPr>
                        <w:tcW w:w="418" w:type="dxa"/>
                      </w:tcPr>
                      <w:p>
                        <w:pPr/>
                      </w:p>
                    </w:tc>
                    <w:tc>
                      <w:tcPr>
                        <w:tcW w:w="6515" w:type="dxa"/>
                      </w:tcPr>
                      <w:p>
                        <w:pPr>
                          <w:pStyle w:val="TableParagraph"/>
                          <w:spacing w:before="22"/>
                          <w:ind w:left="219"/>
                          <w:jc w:val="left"/>
                          <w:rPr>
                            <w:sz w:val="14"/>
                          </w:rPr>
                        </w:pPr>
                        <w:r>
                          <w:rPr>
                            <w:sz w:val="14"/>
                          </w:rPr>
                          <w:t>Surplus/(deficit) from the previous year</w:t>
                        </w:r>
                      </w:p>
                    </w:tc>
                    <w:tc>
                      <w:tcPr>
                        <w:tcW w:w="936" w:type="dxa"/>
                      </w:tcPr>
                      <w:p>
                        <w:pPr/>
                      </w:p>
                    </w:tc>
                    <w:tc>
                      <w:tcPr>
                        <w:tcW w:w="1768" w:type="dxa"/>
                        <w:tcBorders>
                          <w:bottom w:val="single" w:sz="0" w:space="0" w:color="000000"/>
                        </w:tcBorders>
                      </w:tcPr>
                      <w:p>
                        <w:pPr>
                          <w:pStyle w:val="TableParagraph"/>
                          <w:tabs>
                            <w:tab w:pos="801" w:val="left" w:leader="none"/>
                          </w:tabs>
                          <w:spacing w:before="21"/>
                          <w:ind w:right="183"/>
                          <w:rPr>
                            <w:sz w:val="14"/>
                          </w:rPr>
                        </w:pPr>
                        <w:r>
                          <w:rPr>
                            <w:sz w:val="14"/>
                          </w:rPr>
                          <w:t>4,018</w:t>
                          <w:tab/>
                          <w:t>3,071</w:t>
                        </w:r>
                      </w:p>
                    </w:tc>
                    <w:tc>
                      <w:tcPr>
                        <w:tcW w:w="1543" w:type="dxa"/>
                        <w:tcBorders>
                          <w:bottom w:val="single" w:sz="0" w:space="0" w:color="000000"/>
                        </w:tcBorders>
                      </w:tcPr>
                      <w:p>
                        <w:pPr>
                          <w:pStyle w:val="TableParagraph"/>
                          <w:tabs>
                            <w:tab w:pos="688" w:val="left" w:leader="none"/>
                          </w:tabs>
                          <w:spacing w:before="21"/>
                          <w:ind w:right="68"/>
                          <w:rPr>
                            <w:sz w:val="14"/>
                          </w:rPr>
                        </w:pPr>
                        <w:r>
                          <w:rPr>
                            <w:sz w:val="14"/>
                          </w:rPr>
                          <w:t>988</w:t>
                          <w:tab/>
                          <w:t>1,724</w:t>
                        </w:r>
                      </w:p>
                    </w:tc>
                    <w:tc>
                      <w:tcPr>
                        <w:tcW w:w="1777" w:type="dxa"/>
                        <w:tcBorders>
                          <w:bottom w:val="single" w:sz="0" w:space="0" w:color="000000"/>
                        </w:tcBorders>
                      </w:tcPr>
                      <w:p>
                        <w:pPr>
                          <w:pStyle w:val="TableParagraph"/>
                          <w:tabs>
                            <w:tab w:pos="806" w:val="left" w:leader="none"/>
                          </w:tabs>
                          <w:spacing w:before="21"/>
                          <w:ind w:right="191"/>
                          <w:rPr>
                            <w:sz w:val="14"/>
                          </w:rPr>
                        </w:pPr>
                        <w:r>
                          <w:rPr>
                            <w:sz w:val="14"/>
                          </w:rPr>
                          <w:t>66</w:t>
                          <w:tab/>
                        </w:r>
                        <w:r>
                          <w:rPr>
                            <w:spacing w:val="-3"/>
                            <w:sz w:val="14"/>
                          </w:rPr>
                          <w:t>81</w:t>
                        </w:r>
                      </w:p>
                    </w:tc>
                    <w:tc>
                      <w:tcPr>
                        <w:tcW w:w="1528" w:type="dxa"/>
                        <w:tcBorders>
                          <w:bottom w:val="single" w:sz="0" w:space="0" w:color="000000"/>
                        </w:tcBorders>
                      </w:tcPr>
                      <w:p>
                        <w:pPr>
                          <w:pStyle w:val="TableParagraph"/>
                          <w:tabs>
                            <w:tab w:pos="806" w:val="left" w:leader="none"/>
                          </w:tabs>
                          <w:spacing w:before="21"/>
                          <w:ind w:right="65"/>
                          <w:rPr>
                            <w:sz w:val="14"/>
                          </w:rPr>
                        </w:pPr>
                        <w:r>
                          <w:rPr>
                            <w:sz w:val="14"/>
                          </w:rPr>
                          <w:t>5,072</w:t>
                          <w:tab/>
                          <w:t>4,876</w:t>
                        </w:r>
                      </w:p>
                    </w:tc>
                  </w:tr>
                  <w:tr>
                    <w:trPr>
                      <w:trHeight w:val="237" w:hRule="exact"/>
                    </w:trPr>
                    <w:tc>
                      <w:tcPr>
                        <w:tcW w:w="418" w:type="dxa"/>
                      </w:tcPr>
                      <w:p>
                        <w:pPr/>
                      </w:p>
                    </w:tc>
                    <w:tc>
                      <w:tcPr>
                        <w:tcW w:w="6515" w:type="dxa"/>
                      </w:tcPr>
                      <w:p>
                        <w:pPr>
                          <w:pStyle w:val="TableParagraph"/>
                          <w:spacing w:before="41"/>
                          <w:ind w:left="219"/>
                          <w:jc w:val="left"/>
                          <w:rPr>
                            <w:sz w:val="14"/>
                          </w:rPr>
                        </w:pPr>
                        <w:r>
                          <w:rPr>
                            <w:sz w:val="14"/>
                          </w:rPr>
                          <w:t>Total revenue including accrued revenue</w:t>
                        </w:r>
                      </w:p>
                    </w:tc>
                    <w:tc>
                      <w:tcPr>
                        <w:tcW w:w="936" w:type="dxa"/>
                      </w:tcPr>
                      <w:p>
                        <w:pPr/>
                      </w:p>
                    </w:tc>
                    <w:tc>
                      <w:tcPr>
                        <w:tcW w:w="1768" w:type="dxa"/>
                        <w:tcBorders>
                          <w:top w:val="single" w:sz="0" w:space="0" w:color="000000"/>
                        </w:tcBorders>
                      </w:tcPr>
                      <w:p>
                        <w:pPr>
                          <w:pStyle w:val="TableParagraph"/>
                          <w:tabs>
                            <w:tab w:pos="801" w:val="left" w:leader="none"/>
                          </w:tabs>
                          <w:spacing w:before="39"/>
                          <w:ind w:right="183"/>
                          <w:rPr>
                            <w:sz w:val="14"/>
                          </w:rPr>
                        </w:pPr>
                        <w:r>
                          <w:rPr>
                            <w:sz w:val="14"/>
                          </w:rPr>
                          <w:t>8,451</w:t>
                          <w:tab/>
                          <w:t>7,979</w:t>
                        </w:r>
                      </w:p>
                    </w:tc>
                    <w:tc>
                      <w:tcPr>
                        <w:tcW w:w="1543" w:type="dxa"/>
                        <w:tcBorders>
                          <w:top w:val="single" w:sz="0" w:space="0" w:color="000000"/>
                        </w:tcBorders>
                      </w:tcPr>
                      <w:p>
                        <w:pPr>
                          <w:pStyle w:val="TableParagraph"/>
                          <w:tabs>
                            <w:tab w:pos="1120" w:val="left" w:leader="none"/>
                          </w:tabs>
                          <w:spacing w:before="39"/>
                          <w:ind w:left="314"/>
                          <w:jc w:val="left"/>
                          <w:rPr>
                            <w:sz w:val="14"/>
                          </w:rPr>
                        </w:pPr>
                        <w:r>
                          <w:rPr>
                            <w:sz w:val="14"/>
                          </w:rPr>
                          <w:t>1,978</w:t>
                          <w:tab/>
                          <w:t>2,961</w:t>
                        </w:r>
                      </w:p>
                    </w:tc>
                    <w:tc>
                      <w:tcPr>
                        <w:tcW w:w="1777" w:type="dxa"/>
                        <w:tcBorders>
                          <w:top w:val="single" w:sz="0" w:space="0" w:color="000000"/>
                        </w:tcBorders>
                      </w:tcPr>
                      <w:p>
                        <w:pPr>
                          <w:pStyle w:val="TableParagraph"/>
                          <w:tabs>
                            <w:tab w:pos="728" w:val="left" w:leader="none"/>
                          </w:tabs>
                          <w:spacing w:before="39"/>
                          <w:ind w:right="191"/>
                          <w:rPr>
                            <w:sz w:val="14"/>
                          </w:rPr>
                        </w:pPr>
                        <w:r>
                          <w:rPr>
                            <w:sz w:val="14"/>
                          </w:rPr>
                          <w:t>66</w:t>
                          <w:tab/>
                        </w:r>
                        <w:r>
                          <w:rPr>
                            <w:spacing w:val="-2"/>
                            <w:sz w:val="14"/>
                          </w:rPr>
                          <w:t>337</w:t>
                        </w:r>
                      </w:p>
                    </w:tc>
                    <w:tc>
                      <w:tcPr>
                        <w:tcW w:w="1528" w:type="dxa"/>
                        <w:tcBorders>
                          <w:top w:val="single" w:sz="0" w:space="0" w:color="000000"/>
                        </w:tcBorders>
                      </w:tcPr>
                      <w:p>
                        <w:pPr>
                          <w:pStyle w:val="TableParagraph"/>
                          <w:tabs>
                            <w:tab w:pos="806" w:val="left" w:leader="none"/>
                          </w:tabs>
                          <w:spacing w:before="39"/>
                          <w:ind w:right="65"/>
                          <w:rPr>
                            <w:sz w:val="14"/>
                          </w:rPr>
                        </w:pPr>
                        <w:r>
                          <w:rPr>
                            <w:sz w:val="14"/>
                          </w:rPr>
                          <w:t>10,495</w:t>
                          <w:tab/>
                          <w:t>11,277</w:t>
                        </w:r>
                      </w:p>
                    </w:tc>
                  </w:tr>
                  <w:tr>
                    <w:trPr>
                      <w:trHeight w:val="219" w:hRule="exact"/>
                    </w:trPr>
                    <w:tc>
                      <w:tcPr>
                        <w:tcW w:w="418" w:type="dxa"/>
                      </w:tcPr>
                      <w:p>
                        <w:pPr/>
                      </w:p>
                    </w:tc>
                    <w:tc>
                      <w:tcPr>
                        <w:tcW w:w="6515" w:type="dxa"/>
                      </w:tcPr>
                      <w:p>
                        <w:pPr>
                          <w:pStyle w:val="TableParagraph"/>
                          <w:spacing w:before="22"/>
                          <w:ind w:left="219"/>
                          <w:jc w:val="left"/>
                          <w:rPr>
                            <w:sz w:val="14"/>
                          </w:rPr>
                        </w:pPr>
                        <w:r>
                          <w:rPr>
                            <w:sz w:val="14"/>
                          </w:rPr>
                          <w:t>Less expenses including accrued expenses</w:t>
                        </w:r>
                      </w:p>
                    </w:tc>
                    <w:tc>
                      <w:tcPr>
                        <w:tcW w:w="936" w:type="dxa"/>
                      </w:tcPr>
                      <w:p>
                        <w:pPr/>
                      </w:p>
                    </w:tc>
                    <w:tc>
                      <w:tcPr>
                        <w:tcW w:w="1768" w:type="dxa"/>
                        <w:tcBorders>
                          <w:bottom w:val="single" w:sz="0" w:space="0" w:color="000000"/>
                        </w:tcBorders>
                      </w:tcPr>
                      <w:p>
                        <w:pPr>
                          <w:pStyle w:val="TableParagraph"/>
                          <w:tabs>
                            <w:tab w:pos="801" w:val="left" w:leader="none"/>
                          </w:tabs>
                          <w:spacing w:before="21"/>
                          <w:ind w:right="137"/>
                          <w:rPr>
                            <w:sz w:val="14"/>
                          </w:rPr>
                        </w:pPr>
                        <w:r>
                          <w:rPr>
                            <w:sz w:val="14"/>
                          </w:rPr>
                          <w:t>(4,873)</w:t>
                          <w:tab/>
                          <w:t>(3,961)</w:t>
                        </w:r>
                      </w:p>
                    </w:tc>
                    <w:tc>
                      <w:tcPr>
                        <w:tcW w:w="1543" w:type="dxa"/>
                        <w:tcBorders>
                          <w:bottom w:val="single" w:sz="0" w:space="0" w:color="000000"/>
                        </w:tcBorders>
                      </w:tcPr>
                      <w:p>
                        <w:pPr>
                          <w:pStyle w:val="TableParagraph"/>
                          <w:tabs>
                            <w:tab w:pos="806" w:val="left" w:leader="none"/>
                          </w:tabs>
                          <w:spacing w:before="21"/>
                          <w:ind w:right="21"/>
                          <w:rPr>
                            <w:sz w:val="14"/>
                          </w:rPr>
                        </w:pPr>
                        <w:r>
                          <w:rPr>
                            <w:sz w:val="14"/>
                          </w:rPr>
                          <w:t>(1,333)</w:t>
                          <w:tab/>
                          <w:t>(1,973)</w:t>
                        </w:r>
                      </w:p>
                    </w:tc>
                    <w:tc>
                      <w:tcPr>
                        <w:tcW w:w="1777" w:type="dxa"/>
                        <w:tcBorders>
                          <w:bottom w:val="single" w:sz="0" w:space="0" w:color="000000"/>
                        </w:tcBorders>
                      </w:tcPr>
                      <w:p>
                        <w:pPr>
                          <w:pStyle w:val="TableParagraph"/>
                          <w:tabs>
                            <w:tab w:pos="728" w:val="left" w:leader="none"/>
                          </w:tabs>
                          <w:spacing w:before="21"/>
                          <w:ind w:right="144"/>
                          <w:rPr>
                            <w:sz w:val="14"/>
                          </w:rPr>
                        </w:pPr>
                        <w:r>
                          <w:rPr>
                            <w:sz w:val="14"/>
                          </w:rPr>
                          <w:t>(50)</w:t>
                          <w:tab/>
                        </w:r>
                        <w:r>
                          <w:rPr>
                            <w:spacing w:val="-2"/>
                            <w:sz w:val="14"/>
                          </w:rPr>
                          <w:t>(271)</w:t>
                        </w:r>
                      </w:p>
                    </w:tc>
                    <w:tc>
                      <w:tcPr>
                        <w:tcW w:w="1528" w:type="dxa"/>
                        <w:tcBorders>
                          <w:bottom w:val="single" w:sz="0" w:space="0" w:color="000000"/>
                        </w:tcBorders>
                      </w:tcPr>
                      <w:p>
                        <w:pPr>
                          <w:pStyle w:val="TableParagraph"/>
                          <w:tabs>
                            <w:tab w:pos="806" w:val="left" w:leader="none"/>
                          </w:tabs>
                          <w:spacing w:before="21"/>
                          <w:ind w:right="18"/>
                          <w:rPr>
                            <w:sz w:val="14"/>
                          </w:rPr>
                        </w:pPr>
                        <w:r>
                          <w:rPr>
                            <w:sz w:val="14"/>
                          </w:rPr>
                          <w:t>(6,256)</w:t>
                          <w:tab/>
                          <w:t>(6,205)</w:t>
                        </w:r>
                      </w:p>
                    </w:tc>
                  </w:tr>
                  <w:tr>
                    <w:trPr>
                      <w:trHeight w:val="253" w:hRule="exact"/>
                    </w:trPr>
                    <w:tc>
                      <w:tcPr>
                        <w:tcW w:w="418" w:type="dxa"/>
                      </w:tcPr>
                      <w:p>
                        <w:pPr/>
                      </w:p>
                    </w:tc>
                    <w:tc>
                      <w:tcPr>
                        <w:tcW w:w="6515" w:type="dxa"/>
                      </w:tcPr>
                      <w:p>
                        <w:pPr>
                          <w:pStyle w:val="TableParagraph"/>
                          <w:spacing w:before="41"/>
                          <w:ind w:left="219"/>
                          <w:jc w:val="left"/>
                          <w:rPr>
                            <w:sz w:val="14"/>
                          </w:rPr>
                        </w:pPr>
                        <w:r>
                          <w:rPr>
                            <w:sz w:val="14"/>
                          </w:rPr>
                          <w:t>Surplus/(deficit) for reporting period</w:t>
                        </w:r>
                      </w:p>
                    </w:tc>
                    <w:tc>
                      <w:tcPr>
                        <w:tcW w:w="936" w:type="dxa"/>
                      </w:tcPr>
                      <w:p>
                        <w:pPr/>
                      </w:p>
                    </w:tc>
                    <w:tc>
                      <w:tcPr>
                        <w:tcW w:w="1768" w:type="dxa"/>
                        <w:tcBorders>
                          <w:top w:val="single" w:sz="0" w:space="0" w:color="000000"/>
                          <w:bottom w:val="single" w:sz="0" w:space="0" w:color="000000"/>
                        </w:tcBorders>
                      </w:tcPr>
                      <w:p>
                        <w:pPr>
                          <w:pStyle w:val="TableParagraph"/>
                          <w:tabs>
                            <w:tab w:pos="801" w:val="left" w:leader="none"/>
                          </w:tabs>
                          <w:spacing w:before="39"/>
                          <w:ind w:right="183"/>
                          <w:rPr>
                            <w:sz w:val="14"/>
                          </w:rPr>
                        </w:pPr>
                        <w:r>
                          <w:rPr>
                            <w:sz w:val="14"/>
                          </w:rPr>
                          <w:t>3,578</w:t>
                          <w:tab/>
                          <w:t>4,018</w:t>
                        </w:r>
                      </w:p>
                    </w:tc>
                    <w:tc>
                      <w:tcPr>
                        <w:tcW w:w="1543" w:type="dxa"/>
                        <w:tcBorders>
                          <w:top w:val="single" w:sz="0" w:space="0" w:color="000000"/>
                          <w:bottom w:val="single" w:sz="0" w:space="0" w:color="000000"/>
                        </w:tcBorders>
                      </w:tcPr>
                      <w:p>
                        <w:pPr>
                          <w:pStyle w:val="TableParagraph"/>
                          <w:tabs>
                            <w:tab w:pos="806" w:val="left" w:leader="none"/>
                          </w:tabs>
                          <w:spacing w:before="39"/>
                          <w:ind w:right="68"/>
                          <w:rPr>
                            <w:sz w:val="14"/>
                          </w:rPr>
                        </w:pPr>
                        <w:r>
                          <w:rPr>
                            <w:sz w:val="14"/>
                          </w:rPr>
                          <w:t>645</w:t>
                          <w:tab/>
                        </w:r>
                        <w:r>
                          <w:rPr>
                            <w:spacing w:val="-2"/>
                            <w:sz w:val="14"/>
                          </w:rPr>
                          <w:t>988</w:t>
                        </w:r>
                      </w:p>
                    </w:tc>
                    <w:tc>
                      <w:tcPr>
                        <w:tcW w:w="1777" w:type="dxa"/>
                        <w:tcBorders>
                          <w:top w:val="single" w:sz="0" w:space="0" w:color="000000"/>
                          <w:bottom w:val="single" w:sz="0" w:space="0" w:color="000000"/>
                        </w:tcBorders>
                      </w:tcPr>
                      <w:p>
                        <w:pPr>
                          <w:pStyle w:val="TableParagraph"/>
                          <w:tabs>
                            <w:tab w:pos="806" w:val="left" w:leader="none"/>
                          </w:tabs>
                          <w:spacing w:before="39"/>
                          <w:ind w:right="191"/>
                          <w:rPr>
                            <w:sz w:val="14"/>
                          </w:rPr>
                        </w:pPr>
                        <w:r>
                          <w:rPr>
                            <w:sz w:val="14"/>
                          </w:rPr>
                          <w:t>16</w:t>
                          <w:tab/>
                        </w:r>
                        <w:r>
                          <w:rPr>
                            <w:spacing w:val="-3"/>
                            <w:sz w:val="14"/>
                          </w:rPr>
                          <w:t>66</w:t>
                        </w:r>
                      </w:p>
                    </w:tc>
                    <w:tc>
                      <w:tcPr>
                        <w:tcW w:w="1528" w:type="dxa"/>
                        <w:tcBorders>
                          <w:top w:val="single" w:sz="0" w:space="0" w:color="000000"/>
                          <w:bottom w:val="single" w:sz="0" w:space="0" w:color="000000"/>
                        </w:tcBorders>
                      </w:tcPr>
                      <w:p>
                        <w:pPr>
                          <w:pStyle w:val="TableParagraph"/>
                          <w:tabs>
                            <w:tab w:pos="806" w:val="left" w:leader="none"/>
                          </w:tabs>
                          <w:spacing w:before="39"/>
                          <w:ind w:right="65"/>
                          <w:rPr>
                            <w:sz w:val="14"/>
                          </w:rPr>
                        </w:pPr>
                        <w:r>
                          <w:rPr>
                            <w:sz w:val="14"/>
                          </w:rPr>
                          <w:t>4,239</w:t>
                          <w:tab/>
                          <w:t>5,072</w:t>
                        </w:r>
                      </w:p>
                    </w:tc>
                  </w:tr>
                </w:tbl>
                <w:p>
                  <w:pPr>
                    <w:pStyle w:val="BodyText"/>
                  </w:pPr>
                </w:p>
              </w:txbxContent>
            </v:textbox>
          </v:shape>
        </w:pict>
      </w:r>
      <w:r>
        <w:rPr>
          <w:sz w:val="20"/>
        </w:rPr>
      </w:r>
      <w:r>
        <w:rPr>
          <w:sz w:val="20"/>
        </w:rPr>
        <w:tab/>
      </w:r>
      <w:r>
        <w:rPr>
          <w:position w:val="33"/>
          <w:sz w:val="20"/>
        </w:rPr>
        <w:drawing>
          <wp:inline distT="0" distB="0" distL="0" distR="0">
            <wp:extent cx="154019" cy="154019"/>
            <wp:effectExtent l="0" t="0" r="0" b="0"/>
            <wp:docPr id="407" name="image25.png" descr=""/>
            <wp:cNvGraphicFramePr>
              <a:graphicFrameLocks noChangeAspect="1"/>
            </wp:cNvGraphicFramePr>
            <a:graphic>
              <a:graphicData uri="http://schemas.openxmlformats.org/drawingml/2006/picture">
                <pic:pic>
                  <pic:nvPicPr>
                    <pic:cNvPr id="408" name="image25.png"/>
                    <pic:cNvPicPr/>
                  </pic:nvPicPr>
                  <pic:blipFill>
                    <a:blip r:embed="rId41" cstate="print"/>
                    <a:stretch>
                      <a:fillRect/>
                    </a:stretch>
                  </pic:blipFill>
                  <pic:spPr>
                    <a:xfrm>
                      <a:off x="0" y="0"/>
                      <a:ext cx="154019" cy="154019"/>
                    </a:xfrm>
                    <a:prstGeom prst="rect">
                      <a:avLst/>
                    </a:prstGeom>
                  </pic:spPr>
                </pic:pic>
              </a:graphicData>
            </a:graphic>
          </wp:inline>
        </w:drawing>
      </w:r>
      <w:r>
        <w:rPr>
          <w:position w:val="33"/>
          <w:sz w:val="20"/>
        </w:rPr>
      </w:r>
    </w:p>
    <w:p>
      <w:pPr>
        <w:pStyle w:val="BodyText"/>
        <w:rPr>
          <w:sz w:val="20"/>
        </w:rPr>
      </w:pPr>
    </w:p>
    <w:p>
      <w:pPr>
        <w:pStyle w:val="BodyText"/>
        <w:spacing w:before="10"/>
        <w:rPr>
          <w:sz w:val="24"/>
        </w:rPr>
      </w:pPr>
    </w:p>
    <w:p>
      <w:pPr>
        <w:tabs>
          <w:tab w:pos="11311" w:val="left" w:leader="none"/>
          <w:tab w:pos="13108" w:val="left" w:leader="none"/>
          <w:tab w:pos="14548" w:val="left" w:leader="none"/>
        </w:tabs>
        <w:spacing w:before="83" w:after="37"/>
        <w:ind w:left="9622" w:right="0" w:firstLine="0"/>
        <w:jc w:val="left"/>
        <w:rPr>
          <w:b/>
          <w:sz w:val="14"/>
        </w:rPr>
      </w:pPr>
      <w:r>
        <w:rPr>
          <w:b/>
          <w:sz w:val="14"/>
        </w:rPr>
        <w:t>Infrastructure</w:t>
        <w:tab/>
        <w:t>International</w:t>
        <w:tab/>
        <w:t>Projects</w:t>
        <w:tab/>
        <w:t>Total</w:t>
      </w:r>
      <w:r>
        <w:rPr>
          <w:b/>
          <w:spacing w:val="-11"/>
          <w:sz w:val="14"/>
        </w:rPr>
        <w:t> </w:t>
      </w:r>
      <w:r>
        <w:rPr>
          <w:b/>
          <w:sz w:val="14"/>
        </w:rPr>
        <w:t>Linkages</w:t>
      </w:r>
    </w:p>
    <w:tbl>
      <w:tblPr>
        <w:tblW w:w="0" w:type="auto"/>
        <w:jc w:val="left"/>
        <w:tblInd w:w="197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950"/>
        <w:gridCol w:w="2318"/>
        <w:gridCol w:w="627"/>
        <w:gridCol w:w="321"/>
        <w:gridCol w:w="822"/>
        <w:gridCol w:w="550"/>
        <w:gridCol w:w="1104"/>
        <w:gridCol w:w="832"/>
        <w:gridCol w:w="822"/>
        <w:gridCol w:w="830"/>
        <w:gridCol w:w="707"/>
      </w:tblGrid>
      <w:tr>
        <w:trPr>
          <w:trHeight w:val="457" w:hRule="exact"/>
        </w:trPr>
        <w:tc>
          <w:tcPr>
            <w:tcW w:w="4950" w:type="dxa"/>
          </w:tcPr>
          <w:p>
            <w:pPr>
              <w:pStyle w:val="TableParagraph"/>
              <w:spacing w:before="30"/>
              <w:ind w:left="35" w:right="1828"/>
              <w:jc w:val="left"/>
              <w:rPr>
                <w:b/>
                <w:sz w:val="14"/>
              </w:rPr>
            </w:pPr>
            <w:r>
              <w:rPr>
                <w:b/>
                <w:sz w:val="14"/>
              </w:rPr>
              <w:t>(ii) Linkages</w:t>
            </w:r>
          </w:p>
          <w:p>
            <w:pPr>
              <w:pStyle w:val="TableParagraph"/>
              <w:spacing w:before="67"/>
              <w:ind w:left="35" w:right="1828"/>
              <w:jc w:val="left"/>
              <w:rPr>
                <w:b/>
                <w:sz w:val="14"/>
              </w:rPr>
            </w:pPr>
            <w:r>
              <w:rPr>
                <w:b/>
                <w:sz w:val="14"/>
              </w:rPr>
              <w:t>Parent Entity (University) Only</w:t>
            </w:r>
          </w:p>
        </w:tc>
        <w:tc>
          <w:tcPr>
            <w:tcW w:w="2318" w:type="dxa"/>
          </w:tcPr>
          <w:p>
            <w:pPr>
              <w:pStyle w:val="TableParagraph"/>
              <w:jc w:val="left"/>
              <w:rPr>
                <w:b/>
                <w:sz w:val="14"/>
              </w:rPr>
            </w:pPr>
          </w:p>
          <w:p>
            <w:pPr>
              <w:pStyle w:val="TableParagraph"/>
              <w:spacing w:before="97"/>
              <w:ind w:right="95"/>
              <w:rPr>
                <w:b/>
                <w:sz w:val="14"/>
              </w:rPr>
            </w:pPr>
            <w:r>
              <w:rPr>
                <w:b/>
                <w:sz w:val="14"/>
              </w:rPr>
              <w:t>Note</w:t>
            </w:r>
          </w:p>
        </w:tc>
        <w:tc>
          <w:tcPr>
            <w:tcW w:w="627" w:type="dxa"/>
          </w:tcPr>
          <w:p>
            <w:pPr>
              <w:pStyle w:val="TableParagraph"/>
              <w:spacing w:before="30"/>
              <w:ind w:left="269"/>
              <w:jc w:val="left"/>
              <w:rPr>
                <w:b/>
                <w:sz w:val="14"/>
              </w:rPr>
            </w:pPr>
            <w:r>
              <w:rPr>
                <w:b/>
                <w:sz w:val="14"/>
              </w:rPr>
              <w:t>2016</w:t>
            </w:r>
          </w:p>
          <w:p>
            <w:pPr>
              <w:pStyle w:val="TableParagraph"/>
              <w:spacing w:before="67"/>
              <w:ind w:left="253"/>
              <w:jc w:val="left"/>
              <w:rPr>
                <w:b/>
                <w:sz w:val="14"/>
              </w:rPr>
            </w:pPr>
            <w:r>
              <w:rPr>
                <w:b/>
                <w:sz w:val="14"/>
              </w:rPr>
              <w:t>$'000</w:t>
            </w:r>
          </w:p>
        </w:tc>
        <w:tc>
          <w:tcPr>
            <w:tcW w:w="321" w:type="dxa"/>
          </w:tcPr>
          <w:p>
            <w:pPr/>
          </w:p>
        </w:tc>
        <w:tc>
          <w:tcPr>
            <w:tcW w:w="822" w:type="dxa"/>
          </w:tcPr>
          <w:p>
            <w:pPr>
              <w:pStyle w:val="TableParagraph"/>
              <w:spacing w:before="30"/>
              <w:ind w:left="138"/>
              <w:jc w:val="left"/>
              <w:rPr>
                <w:b/>
                <w:sz w:val="14"/>
              </w:rPr>
            </w:pPr>
            <w:r>
              <w:rPr>
                <w:b/>
                <w:sz w:val="14"/>
              </w:rPr>
              <w:t>2015</w:t>
            </w:r>
          </w:p>
          <w:p>
            <w:pPr>
              <w:pStyle w:val="TableParagraph"/>
              <w:spacing w:before="67"/>
              <w:ind w:left="121"/>
              <w:jc w:val="left"/>
              <w:rPr>
                <w:b/>
                <w:sz w:val="14"/>
              </w:rPr>
            </w:pPr>
            <w:r>
              <w:rPr>
                <w:b/>
                <w:sz w:val="14"/>
              </w:rPr>
              <w:t>$'000</w:t>
            </w:r>
          </w:p>
        </w:tc>
        <w:tc>
          <w:tcPr>
            <w:tcW w:w="550" w:type="dxa"/>
          </w:tcPr>
          <w:p>
            <w:pPr>
              <w:pStyle w:val="TableParagraph"/>
              <w:spacing w:before="30"/>
              <w:ind w:left="153"/>
              <w:jc w:val="left"/>
              <w:rPr>
                <w:b/>
                <w:sz w:val="14"/>
              </w:rPr>
            </w:pPr>
            <w:r>
              <w:rPr>
                <w:b/>
                <w:sz w:val="14"/>
              </w:rPr>
              <w:t>2016</w:t>
            </w:r>
          </w:p>
          <w:p>
            <w:pPr>
              <w:pStyle w:val="TableParagraph"/>
              <w:spacing w:before="67"/>
              <w:ind w:left="136"/>
              <w:jc w:val="left"/>
              <w:rPr>
                <w:b/>
                <w:sz w:val="14"/>
              </w:rPr>
            </w:pPr>
            <w:r>
              <w:rPr>
                <w:b/>
                <w:sz w:val="14"/>
              </w:rPr>
              <w:t>$'000</w:t>
            </w:r>
          </w:p>
        </w:tc>
        <w:tc>
          <w:tcPr>
            <w:tcW w:w="1104" w:type="dxa"/>
          </w:tcPr>
          <w:p>
            <w:pPr>
              <w:pStyle w:val="TableParagraph"/>
              <w:spacing w:before="30"/>
              <w:ind w:left="161" w:right="114"/>
              <w:jc w:val="center"/>
              <w:rPr>
                <w:b/>
                <w:sz w:val="14"/>
              </w:rPr>
            </w:pPr>
            <w:r>
              <w:rPr>
                <w:b/>
                <w:sz w:val="14"/>
              </w:rPr>
              <w:t>2015</w:t>
            </w:r>
          </w:p>
          <w:p>
            <w:pPr>
              <w:pStyle w:val="TableParagraph"/>
              <w:spacing w:before="67"/>
              <w:ind w:left="162" w:right="114"/>
              <w:jc w:val="center"/>
              <w:rPr>
                <w:b/>
                <w:sz w:val="14"/>
              </w:rPr>
            </w:pPr>
            <w:r>
              <w:rPr>
                <w:b/>
                <w:sz w:val="14"/>
              </w:rPr>
              <w:t>$'000</w:t>
            </w:r>
          </w:p>
        </w:tc>
        <w:tc>
          <w:tcPr>
            <w:tcW w:w="832" w:type="dxa"/>
          </w:tcPr>
          <w:p>
            <w:pPr>
              <w:pStyle w:val="TableParagraph"/>
              <w:spacing w:before="30"/>
              <w:ind w:left="153"/>
              <w:jc w:val="left"/>
              <w:rPr>
                <w:b/>
                <w:sz w:val="14"/>
              </w:rPr>
            </w:pPr>
            <w:r>
              <w:rPr>
                <w:b/>
                <w:sz w:val="14"/>
              </w:rPr>
              <w:t>2016</w:t>
            </w:r>
          </w:p>
          <w:p>
            <w:pPr>
              <w:pStyle w:val="TableParagraph"/>
              <w:spacing w:before="67"/>
              <w:ind w:left="136"/>
              <w:jc w:val="left"/>
              <w:rPr>
                <w:b/>
                <w:sz w:val="14"/>
              </w:rPr>
            </w:pPr>
            <w:r>
              <w:rPr>
                <w:b/>
                <w:sz w:val="14"/>
              </w:rPr>
              <w:t>$'000</w:t>
            </w:r>
          </w:p>
        </w:tc>
        <w:tc>
          <w:tcPr>
            <w:tcW w:w="822" w:type="dxa"/>
          </w:tcPr>
          <w:p>
            <w:pPr>
              <w:pStyle w:val="TableParagraph"/>
              <w:spacing w:before="30"/>
              <w:ind w:left="138"/>
              <w:jc w:val="left"/>
              <w:rPr>
                <w:b/>
                <w:sz w:val="14"/>
              </w:rPr>
            </w:pPr>
            <w:r>
              <w:rPr>
                <w:b/>
                <w:sz w:val="14"/>
              </w:rPr>
              <w:t>2015</w:t>
            </w:r>
          </w:p>
          <w:p>
            <w:pPr>
              <w:pStyle w:val="TableParagraph"/>
              <w:spacing w:before="67"/>
              <w:ind w:left="121"/>
              <w:jc w:val="left"/>
              <w:rPr>
                <w:b/>
                <w:sz w:val="14"/>
              </w:rPr>
            </w:pPr>
            <w:r>
              <w:rPr>
                <w:b/>
                <w:sz w:val="14"/>
              </w:rPr>
              <w:t>$'000</w:t>
            </w:r>
          </w:p>
        </w:tc>
        <w:tc>
          <w:tcPr>
            <w:tcW w:w="830" w:type="dxa"/>
          </w:tcPr>
          <w:p>
            <w:pPr>
              <w:pStyle w:val="TableParagraph"/>
              <w:spacing w:before="30"/>
              <w:ind w:left="153"/>
              <w:jc w:val="left"/>
              <w:rPr>
                <w:b/>
                <w:sz w:val="14"/>
              </w:rPr>
            </w:pPr>
            <w:r>
              <w:rPr>
                <w:b/>
                <w:sz w:val="14"/>
              </w:rPr>
              <w:t>2016</w:t>
            </w:r>
          </w:p>
          <w:p>
            <w:pPr>
              <w:pStyle w:val="TableParagraph"/>
              <w:spacing w:before="67"/>
              <w:ind w:left="136"/>
              <w:jc w:val="left"/>
              <w:rPr>
                <w:b/>
                <w:sz w:val="14"/>
              </w:rPr>
            </w:pPr>
            <w:r>
              <w:rPr>
                <w:b/>
                <w:sz w:val="14"/>
              </w:rPr>
              <w:t>$'000</w:t>
            </w:r>
          </w:p>
        </w:tc>
        <w:tc>
          <w:tcPr>
            <w:tcW w:w="707" w:type="dxa"/>
          </w:tcPr>
          <w:p>
            <w:pPr>
              <w:pStyle w:val="TableParagraph"/>
              <w:spacing w:before="30"/>
              <w:ind w:left="136"/>
              <w:jc w:val="left"/>
              <w:rPr>
                <w:b/>
                <w:sz w:val="14"/>
              </w:rPr>
            </w:pPr>
            <w:r>
              <w:rPr>
                <w:b/>
                <w:sz w:val="14"/>
              </w:rPr>
              <w:t>2015</w:t>
            </w:r>
          </w:p>
          <w:p>
            <w:pPr>
              <w:pStyle w:val="TableParagraph"/>
              <w:spacing w:before="67"/>
              <w:ind w:left="120"/>
              <w:jc w:val="left"/>
              <w:rPr>
                <w:b/>
                <w:sz w:val="14"/>
              </w:rPr>
            </w:pPr>
            <w:r>
              <w:rPr>
                <w:b/>
                <w:sz w:val="14"/>
              </w:rPr>
              <w:t>$'000</w:t>
            </w:r>
          </w:p>
        </w:tc>
      </w:tr>
      <w:tr>
        <w:trPr>
          <w:trHeight w:val="541" w:hRule="exact"/>
        </w:trPr>
        <w:tc>
          <w:tcPr>
            <w:tcW w:w="4950" w:type="dxa"/>
          </w:tcPr>
          <w:p>
            <w:pPr>
              <w:pStyle w:val="TableParagraph"/>
              <w:spacing w:before="23"/>
              <w:ind w:left="35" w:right="1828"/>
              <w:jc w:val="left"/>
              <w:rPr>
                <w:sz w:val="14"/>
              </w:rPr>
            </w:pPr>
            <w:r>
              <w:rPr>
                <w:sz w:val="14"/>
              </w:rPr>
              <w:t>Financial assistance received in CASH during the reporting period (total cash received from the Australian Government for the program)</w:t>
            </w:r>
          </w:p>
        </w:tc>
        <w:tc>
          <w:tcPr>
            <w:tcW w:w="2318" w:type="dxa"/>
          </w:tcPr>
          <w:p>
            <w:pPr/>
          </w:p>
        </w:tc>
        <w:tc>
          <w:tcPr>
            <w:tcW w:w="627" w:type="dxa"/>
          </w:tcPr>
          <w:p>
            <w:pPr/>
          </w:p>
        </w:tc>
        <w:tc>
          <w:tcPr>
            <w:tcW w:w="321" w:type="dxa"/>
          </w:tcPr>
          <w:p>
            <w:pPr>
              <w:pStyle w:val="TableParagraph"/>
              <w:jc w:val="left"/>
              <w:rPr>
                <w:b/>
                <w:sz w:val="14"/>
              </w:rPr>
            </w:pPr>
          </w:p>
          <w:p>
            <w:pPr>
              <w:pStyle w:val="TableParagraph"/>
              <w:spacing w:before="10"/>
              <w:jc w:val="left"/>
              <w:rPr>
                <w:b/>
                <w:sz w:val="15"/>
              </w:rPr>
            </w:pPr>
          </w:p>
          <w:p>
            <w:pPr>
              <w:pStyle w:val="TableParagraph"/>
              <w:ind w:left="106"/>
              <w:jc w:val="left"/>
              <w:rPr>
                <w:sz w:val="14"/>
              </w:rPr>
            </w:pPr>
            <w:r>
              <w:rPr>
                <w:w w:val="100"/>
                <w:sz w:val="14"/>
              </w:rPr>
              <w:t>-</w:t>
            </w:r>
          </w:p>
        </w:tc>
        <w:tc>
          <w:tcPr>
            <w:tcW w:w="822" w:type="dxa"/>
          </w:tcPr>
          <w:p>
            <w:pPr>
              <w:pStyle w:val="TableParagraph"/>
              <w:jc w:val="left"/>
              <w:rPr>
                <w:b/>
                <w:sz w:val="14"/>
              </w:rPr>
            </w:pPr>
          </w:p>
          <w:p>
            <w:pPr>
              <w:pStyle w:val="TableParagraph"/>
              <w:spacing w:before="10"/>
              <w:jc w:val="left"/>
              <w:rPr>
                <w:b/>
                <w:sz w:val="15"/>
              </w:rPr>
            </w:pPr>
          </w:p>
          <w:p>
            <w:pPr>
              <w:pStyle w:val="TableParagraph"/>
              <w:ind w:right="181"/>
              <w:rPr>
                <w:sz w:val="14"/>
              </w:rPr>
            </w:pPr>
            <w:r>
              <w:rPr>
                <w:w w:val="100"/>
                <w:sz w:val="14"/>
              </w:rPr>
              <w:t>-</w:t>
            </w:r>
          </w:p>
        </w:tc>
        <w:tc>
          <w:tcPr>
            <w:tcW w:w="550" w:type="dxa"/>
          </w:tcPr>
          <w:p>
            <w:pPr/>
          </w:p>
        </w:tc>
        <w:tc>
          <w:tcPr>
            <w:tcW w:w="1104" w:type="dxa"/>
          </w:tcPr>
          <w:p>
            <w:pPr>
              <w:pStyle w:val="TableParagraph"/>
              <w:jc w:val="left"/>
              <w:rPr>
                <w:b/>
                <w:sz w:val="14"/>
              </w:rPr>
            </w:pPr>
          </w:p>
          <w:p>
            <w:pPr>
              <w:pStyle w:val="TableParagraph"/>
              <w:spacing w:before="10"/>
              <w:jc w:val="left"/>
              <w:rPr>
                <w:b/>
                <w:sz w:val="15"/>
              </w:rPr>
            </w:pPr>
          </w:p>
          <w:p>
            <w:pPr>
              <w:pStyle w:val="TableParagraph"/>
              <w:tabs>
                <w:tab w:pos="806" w:val="left" w:leader="none"/>
              </w:tabs>
              <w:ind w:right="114"/>
              <w:jc w:val="center"/>
              <w:rPr>
                <w:sz w:val="14"/>
              </w:rPr>
            </w:pPr>
            <w:r>
              <w:rPr>
                <w:sz w:val="14"/>
              </w:rPr>
              <w:t>-</w:t>
              <w:tab/>
              <w:t>-</w:t>
            </w:r>
          </w:p>
        </w:tc>
        <w:tc>
          <w:tcPr>
            <w:tcW w:w="832" w:type="dxa"/>
          </w:tcPr>
          <w:p>
            <w:pPr>
              <w:pStyle w:val="TableParagraph"/>
              <w:jc w:val="left"/>
              <w:rPr>
                <w:b/>
                <w:sz w:val="14"/>
              </w:rPr>
            </w:pPr>
          </w:p>
          <w:p>
            <w:pPr>
              <w:pStyle w:val="TableParagraph"/>
              <w:spacing w:before="10"/>
              <w:jc w:val="left"/>
              <w:rPr>
                <w:b/>
                <w:sz w:val="15"/>
              </w:rPr>
            </w:pPr>
          </w:p>
          <w:p>
            <w:pPr>
              <w:pStyle w:val="TableParagraph"/>
              <w:ind w:right="165"/>
              <w:rPr>
                <w:sz w:val="14"/>
              </w:rPr>
            </w:pPr>
            <w:r>
              <w:rPr>
                <w:sz w:val="14"/>
              </w:rPr>
              <w:t>1,146</w:t>
            </w:r>
          </w:p>
        </w:tc>
        <w:tc>
          <w:tcPr>
            <w:tcW w:w="822" w:type="dxa"/>
          </w:tcPr>
          <w:p>
            <w:pPr>
              <w:pStyle w:val="TableParagraph"/>
              <w:jc w:val="left"/>
              <w:rPr>
                <w:b/>
                <w:sz w:val="14"/>
              </w:rPr>
            </w:pPr>
          </w:p>
          <w:p>
            <w:pPr>
              <w:pStyle w:val="TableParagraph"/>
              <w:spacing w:before="10"/>
              <w:jc w:val="left"/>
              <w:rPr>
                <w:b/>
                <w:sz w:val="15"/>
              </w:rPr>
            </w:pPr>
          </w:p>
          <w:p>
            <w:pPr>
              <w:pStyle w:val="TableParagraph"/>
              <w:ind w:right="181"/>
              <w:rPr>
                <w:sz w:val="14"/>
              </w:rPr>
            </w:pPr>
            <w:r>
              <w:rPr>
                <w:sz w:val="14"/>
              </w:rPr>
              <w:t>749</w:t>
            </w:r>
          </w:p>
        </w:tc>
        <w:tc>
          <w:tcPr>
            <w:tcW w:w="830" w:type="dxa"/>
          </w:tcPr>
          <w:p>
            <w:pPr>
              <w:pStyle w:val="TableParagraph"/>
              <w:jc w:val="left"/>
              <w:rPr>
                <w:b/>
                <w:sz w:val="14"/>
              </w:rPr>
            </w:pPr>
          </w:p>
          <w:p>
            <w:pPr>
              <w:pStyle w:val="TableParagraph"/>
              <w:spacing w:before="10"/>
              <w:jc w:val="left"/>
              <w:rPr>
                <w:b/>
                <w:sz w:val="15"/>
              </w:rPr>
            </w:pPr>
          </w:p>
          <w:p>
            <w:pPr>
              <w:pStyle w:val="TableParagraph"/>
              <w:ind w:right="164"/>
              <w:rPr>
                <w:sz w:val="14"/>
              </w:rPr>
            </w:pPr>
            <w:r>
              <w:rPr>
                <w:sz w:val="14"/>
              </w:rPr>
              <w:t>1,146</w:t>
            </w:r>
          </w:p>
        </w:tc>
        <w:tc>
          <w:tcPr>
            <w:tcW w:w="707" w:type="dxa"/>
          </w:tcPr>
          <w:p>
            <w:pPr>
              <w:pStyle w:val="TableParagraph"/>
              <w:jc w:val="left"/>
              <w:rPr>
                <w:b/>
                <w:sz w:val="14"/>
              </w:rPr>
            </w:pPr>
          </w:p>
          <w:p>
            <w:pPr>
              <w:pStyle w:val="TableParagraph"/>
              <w:spacing w:before="10"/>
              <w:jc w:val="left"/>
              <w:rPr>
                <w:b/>
                <w:sz w:val="15"/>
              </w:rPr>
            </w:pPr>
          </w:p>
          <w:p>
            <w:pPr>
              <w:pStyle w:val="TableParagraph"/>
              <w:ind w:right="70"/>
              <w:rPr>
                <w:sz w:val="14"/>
              </w:rPr>
            </w:pPr>
            <w:r>
              <w:rPr>
                <w:sz w:val="14"/>
              </w:rPr>
              <w:t>749</w:t>
            </w:r>
          </w:p>
        </w:tc>
      </w:tr>
      <w:tr>
        <w:trPr>
          <w:trHeight w:val="219" w:hRule="exact"/>
        </w:trPr>
        <w:tc>
          <w:tcPr>
            <w:tcW w:w="4950" w:type="dxa"/>
          </w:tcPr>
          <w:p>
            <w:pPr>
              <w:pStyle w:val="TableParagraph"/>
              <w:spacing w:before="22"/>
              <w:ind w:left="35" w:right="1828"/>
              <w:jc w:val="left"/>
              <w:rPr>
                <w:sz w:val="14"/>
              </w:rPr>
            </w:pPr>
            <w:r>
              <w:rPr>
                <w:sz w:val="14"/>
              </w:rPr>
              <w:t>Net accrual adjustments</w:t>
            </w:r>
          </w:p>
        </w:tc>
        <w:tc>
          <w:tcPr>
            <w:tcW w:w="2318" w:type="dxa"/>
          </w:tcPr>
          <w:p>
            <w:pPr/>
          </w:p>
        </w:tc>
        <w:tc>
          <w:tcPr>
            <w:tcW w:w="627" w:type="dxa"/>
            <w:tcBorders>
              <w:bottom w:val="single" w:sz="0" w:space="0" w:color="000000"/>
            </w:tcBorders>
          </w:tcPr>
          <w:p>
            <w:pPr/>
          </w:p>
        </w:tc>
        <w:tc>
          <w:tcPr>
            <w:tcW w:w="321" w:type="dxa"/>
            <w:tcBorders>
              <w:bottom w:val="single" w:sz="0" w:space="0" w:color="000000"/>
            </w:tcBorders>
          </w:tcPr>
          <w:p>
            <w:pPr>
              <w:pStyle w:val="TableParagraph"/>
              <w:spacing w:before="21"/>
              <w:ind w:left="106"/>
              <w:jc w:val="left"/>
              <w:rPr>
                <w:sz w:val="14"/>
              </w:rPr>
            </w:pPr>
            <w:r>
              <w:rPr>
                <w:w w:val="100"/>
                <w:sz w:val="14"/>
              </w:rPr>
              <w:t>-</w:t>
            </w:r>
          </w:p>
        </w:tc>
        <w:tc>
          <w:tcPr>
            <w:tcW w:w="822" w:type="dxa"/>
            <w:tcBorders>
              <w:bottom w:val="single" w:sz="0" w:space="0" w:color="000000"/>
            </w:tcBorders>
          </w:tcPr>
          <w:p>
            <w:pPr>
              <w:pStyle w:val="TableParagraph"/>
              <w:spacing w:before="21"/>
              <w:ind w:right="181"/>
              <w:rPr>
                <w:sz w:val="14"/>
              </w:rPr>
            </w:pPr>
            <w:r>
              <w:rPr>
                <w:sz w:val="14"/>
              </w:rPr>
              <w:t>18</w:t>
            </w:r>
          </w:p>
        </w:tc>
        <w:tc>
          <w:tcPr>
            <w:tcW w:w="550" w:type="dxa"/>
            <w:tcBorders>
              <w:bottom w:val="single" w:sz="0" w:space="0" w:color="000000"/>
            </w:tcBorders>
          </w:tcPr>
          <w:p>
            <w:pPr/>
          </w:p>
        </w:tc>
        <w:tc>
          <w:tcPr>
            <w:tcW w:w="1104" w:type="dxa"/>
            <w:tcBorders>
              <w:bottom w:val="single" w:sz="0" w:space="0" w:color="000000"/>
            </w:tcBorders>
          </w:tcPr>
          <w:p>
            <w:pPr>
              <w:pStyle w:val="TableParagraph"/>
              <w:tabs>
                <w:tab w:pos="806" w:val="left" w:leader="none"/>
              </w:tabs>
              <w:spacing w:before="21"/>
              <w:ind w:right="114"/>
              <w:jc w:val="center"/>
              <w:rPr>
                <w:sz w:val="14"/>
              </w:rPr>
            </w:pPr>
            <w:r>
              <w:rPr>
                <w:sz w:val="14"/>
              </w:rPr>
              <w:t>-</w:t>
              <w:tab/>
              <w:t>-</w:t>
            </w:r>
          </w:p>
        </w:tc>
        <w:tc>
          <w:tcPr>
            <w:tcW w:w="832" w:type="dxa"/>
            <w:tcBorders>
              <w:bottom w:val="single" w:sz="0" w:space="0" w:color="000000"/>
            </w:tcBorders>
          </w:tcPr>
          <w:p>
            <w:pPr>
              <w:pStyle w:val="TableParagraph"/>
              <w:spacing w:before="21"/>
              <w:ind w:right="167"/>
              <w:rPr>
                <w:sz w:val="14"/>
              </w:rPr>
            </w:pPr>
            <w:r>
              <w:rPr>
                <w:w w:val="100"/>
                <w:sz w:val="14"/>
              </w:rPr>
              <w:t>-</w:t>
            </w:r>
          </w:p>
        </w:tc>
        <w:tc>
          <w:tcPr>
            <w:tcW w:w="822" w:type="dxa"/>
            <w:tcBorders>
              <w:bottom w:val="single" w:sz="0" w:space="0" w:color="000000"/>
            </w:tcBorders>
          </w:tcPr>
          <w:p>
            <w:pPr>
              <w:pStyle w:val="TableParagraph"/>
              <w:spacing w:before="21"/>
              <w:ind w:right="134"/>
              <w:rPr>
                <w:sz w:val="14"/>
              </w:rPr>
            </w:pPr>
            <w:r>
              <w:rPr>
                <w:sz w:val="14"/>
              </w:rPr>
              <w:t>(33)</w:t>
            </w:r>
          </w:p>
        </w:tc>
        <w:tc>
          <w:tcPr>
            <w:tcW w:w="830" w:type="dxa"/>
            <w:tcBorders>
              <w:bottom w:val="single" w:sz="0" w:space="0" w:color="000000"/>
            </w:tcBorders>
          </w:tcPr>
          <w:p>
            <w:pPr>
              <w:pStyle w:val="TableParagraph"/>
              <w:spacing w:before="21"/>
              <w:ind w:right="164"/>
              <w:rPr>
                <w:sz w:val="14"/>
              </w:rPr>
            </w:pPr>
            <w:r>
              <w:rPr>
                <w:w w:val="100"/>
                <w:sz w:val="14"/>
              </w:rPr>
              <w:t>-</w:t>
            </w:r>
          </w:p>
        </w:tc>
        <w:tc>
          <w:tcPr>
            <w:tcW w:w="707" w:type="dxa"/>
            <w:tcBorders>
              <w:bottom w:val="single" w:sz="0" w:space="0" w:color="000000"/>
            </w:tcBorders>
          </w:tcPr>
          <w:p>
            <w:pPr>
              <w:pStyle w:val="TableParagraph"/>
              <w:spacing w:before="21"/>
              <w:ind w:right="23"/>
              <w:rPr>
                <w:sz w:val="14"/>
              </w:rPr>
            </w:pPr>
            <w:r>
              <w:rPr>
                <w:sz w:val="14"/>
              </w:rPr>
              <w:t>(15)</w:t>
            </w:r>
          </w:p>
        </w:tc>
      </w:tr>
      <w:tr>
        <w:trPr>
          <w:trHeight w:val="237" w:hRule="exact"/>
        </w:trPr>
        <w:tc>
          <w:tcPr>
            <w:tcW w:w="4950" w:type="dxa"/>
          </w:tcPr>
          <w:p>
            <w:pPr>
              <w:pStyle w:val="TableParagraph"/>
              <w:spacing w:before="41"/>
              <w:ind w:left="35" w:right="1828"/>
              <w:jc w:val="left"/>
              <w:rPr>
                <w:sz w:val="14"/>
              </w:rPr>
            </w:pPr>
            <w:r>
              <w:rPr>
                <w:sz w:val="14"/>
              </w:rPr>
              <w:t>Revenue for the period</w:t>
            </w:r>
          </w:p>
        </w:tc>
        <w:tc>
          <w:tcPr>
            <w:tcW w:w="2318" w:type="dxa"/>
          </w:tcPr>
          <w:p>
            <w:pPr>
              <w:pStyle w:val="TableParagraph"/>
              <w:spacing w:before="38"/>
              <w:ind w:right="110"/>
              <w:rPr>
                <w:sz w:val="14"/>
              </w:rPr>
            </w:pPr>
            <w:r>
              <w:rPr>
                <w:sz w:val="14"/>
              </w:rPr>
              <w:t>2(f)(ii)</w:t>
            </w:r>
          </w:p>
        </w:tc>
        <w:tc>
          <w:tcPr>
            <w:tcW w:w="627" w:type="dxa"/>
            <w:tcBorders>
              <w:top w:val="single" w:sz="0" w:space="0" w:color="000000"/>
            </w:tcBorders>
          </w:tcPr>
          <w:p>
            <w:pPr/>
          </w:p>
        </w:tc>
        <w:tc>
          <w:tcPr>
            <w:tcW w:w="321" w:type="dxa"/>
            <w:tcBorders>
              <w:top w:val="single" w:sz="0" w:space="0" w:color="000000"/>
            </w:tcBorders>
          </w:tcPr>
          <w:p>
            <w:pPr>
              <w:pStyle w:val="TableParagraph"/>
              <w:spacing w:before="39"/>
              <w:ind w:left="106"/>
              <w:jc w:val="left"/>
              <w:rPr>
                <w:sz w:val="14"/>
              </w:rPr>
            </w:pPr>
            <w:r>
              <w:rPr>
                <w:w w:val="100"/>
                <w:sz w:val="14"/>
              </w:rPr>
              <w:t>-</w:t>
            </w:r>
          </w:p>
        </w:tc>
        <w:tc>
          <w:tcPr>
            <w:tcW w:w="822" w:type="dxa"/>
            <w:tcBorders>
              <w:top w:val="single" w:sz="0" w:space="0" w:color="000000"/>
            </w:tcBorders>
          </w:tcPr>
          <w:p>
            <w:pPr>
              <w:pStyle w:val="TableParagraph"/>
              <w:spacing w:before="39"/>
              <w:ind w:right="181"/>
              <w:rPr>
                <w:sz w:val="14"/>
              </w:rPr>
            </w:pPr>
            <w:r>
              <w:rPr>
                <w:sz w:val="14"/>
              </w:rPr>
              <w:t>18</w:t>
            </w:r>
          </w:p>
        </w:tc>
        <w:tc>
          <w:tcPr>
            <w:tcW w:w="550" w:type="dxa"/>
            <w:tcBorders>
              <w:top w:val="single" w:sz="0" w:space="0" w:color="000000"/>
            </w:tcBorders>
          </w:tcPr>
          <w:p>
            <w:pPr/>
          </w:p>
        </w:tc>
        <w:tc>
          <w:tcPr>
            <w:tcW w:w="1104" w:type="dxa"/>
            <w:tcBorders>
              <w:top w:val="single" w:sz="0" w:space="0" w:color="000000"/>
            </w:tcBorders>
          </w:tcPr>
          <w:p>
            <w:pPr>
              <w:pStyle w:val="TableParagraph"/>
              <w:tabs>
                <w:tab w:pos="806" w:val="left" w:leader="none"/>
              </w:tabs>
              <w:spacing w:before="39"/>
              <w:ind w:right="114"/>
              <w:jc w:val="center"/>
              <w:rPr>
                <w:sz w:val="14"/>
              </w:rPr>
            </w:pPr>
            <w:r>
              <w:rPr>
                <w:sz w:val="14"/>
              </w:rPr>
              <w:t>-</w:t>
              <w:tab/>
              <w:t>-</w:t>
            </w:r>
          </w:p>
        </w:tc>
        <w:tc>
          <w:tcPr>
            <w:tcW w:w="832" w:type="dxa"/>
            <w:tcBorders>
              <w:top w:val="single" w:sz="0" w:space="0" w:color="000000"/>
            </w:tcBorders>
          </w:tcPr>
          <w:p>
            <w:pPr>
              <w:pStyle w:val="TableParagraph"/>
              <w:spacing w:before="39"/>
              <w:ind w:right="165"/>
              <w:rPr>
                <w:sz w:val="14"/>
              </w:rPr>
            </w:pPr>
            <w:r>
              <w:rPr>
                <w:sz w:val="14"/>
              </w:rPr>
              <w:t>1,146</w:t>
            </w:r>
          </w:p>
        </w:tc>
        <w:tc>
          <w:tcPr>
            <w:tcW w:w="822" w:type="dxa"/>
            <w:tcBorders>
              <w:top w:val="single" w:sz="0" w:space="0" w:color="000000"/>
            </w:tcBorders>
          </w:tcPr>
          <w:p>
            <w:pPr>
              <w:pStyle w:val="TableParagraph"/>
              <w:spacing w:before="39"/>
              <w:ind w:right="181"/>
              <w:rPr>
                <w:sz w:val="14"/>
              </w:rPr>
            </w:pPr>
            <w:r>
              <w:rPr>
                <w:sz w:val="14"/>
              </w:rPr>
              <w:t>716</w:t>
            </w:r>
          </w:p>
        </w:tc>
        <w:tc>
          <w:tcPr>
            <w:tcW w:w="830" w:type="dxa"/>
            <w:tcBorders>
              <w:top w:val="single" w:sz="0" w:space="0" w:color="000000"/>
            </w:tcBorders>
          </w:tcPr>
          <w:p>
            <w:pPr>
              <w:pStyle w:val="TableParagraph"/>
              <w:spacing w:before="39"/>
              <w:ind w:right="164"/>
              <w:rPr>
                <w:sz w:val="14"/>
              </w:rPr>
            </w:pPr>
            <w:r>
              <w:rPr>
                <w:sz w:val="14"/>
              </w:rPr>
              <w:t>1,146</w:t>
            </w:r>
          </w:p>
        </w:tc>
        <w:tc>
          <w:tcPr>
            <w:tcW w:w="707" w:type="dxa"/>
            <w:tcBorders>
              <w:top w:val="single" w:sz="0" w:space="0" w:color="000000"/>
            </w:tcBorders>
          </w:tcPr>
          <w:p>
            <w:pPr>
              <w:pStyle w:val="TableParagraph"/>
              <w:spacing w:before="39"/>
              <w:ind w:right="70"/>
              <w:rPr>
                <w:sz w:val="14"/>
              </w:rPr>
            </w:pPr>
            <w:r>
              <w:rPr>
                <w:sz w:val="14"/>
              </w:rPr>
              <w:t>734</w:t>
            </w:r>
          </w:p>
        </w:tc>
      </w:tr>
      <w:tr>
        <w:trPr>
          <w:trHeight w:val="219" w:hRule="exact"/>
        </w:trPr>
        <w:tc>
          <w:tcPr>
            <w:tcW w:w="4950" w:type="dxa"/>
          </w:tcPr>
          <w:p>
            <w:pPr>
              <w:pStyle w:val="TableParagraph"/>
              <w:spacing w:before="22"/>
              <w:ind w:left="35" w:right="1828"/>
              <w:jc w:val="left"/>
              <w:rPr>
                <w:sz w:val="14"/>
              </w:rPr>
            </w:pPr>
            <w:r>
              <w:rPr>
                <w:sz w:val="14"/>
              </w:rPr>
              <w:t>Surplus/(deficit) from the previous year</w:t>
            </w:r>
          </w:p>
        </w:tc>
        <w:tc>
          <w:tcPr>
            <w:tcW w:w="2318" w:type="dxa"/>
          </w:tcPr>
          <w:p>
            <w:pPr/>
          </w:p>
        </w:tc>
        <w:tc>
          <w:tcPr>
            <w:tcW w:w="627" w:type="dxa"/>
            <w:tcBorders>
              <w:bottom w:val="single" w:sz="0" w:space="0" w:color="000000"/>
            </w:tcBorders>
          </w:tcPr>
          <w:p>
            <w:pPr/>
          </w:p>
        </w:tc>
        <w:tc>
          <w:tcPr>
            <w:tcW w:w="321" w:type="dxa"/>
            <w:tcBorders>
              <w:bottom w:val="single" w:sz="0" w:space="0" w:color="000000"/>
            </w:tcBorders>
          </w:tcPr>
          <w:p>
            <w:pPr>
              <w:pStyle w:val="TableParagraph"/>
              <w:spacing w:before="21"/>
              <w:ind w:left="74"/>
              <w:jc w:val="left"/>
              <w:rPr>
                <w:sz w:val="14"/>
              </w:rPr>
            </w:pPr>
            <w:r>
              <w:rPr>
                <w:w w:val="100"/>
                <w:sz w:val="14"/>
              </w:rPr>
              <w:t>1</w:t>
            </w:r>
          </w:p>
        </w:tc>
        <w:tc>
          <w:tcPr>
            <w:tcW w:w="822" w:type="dxa"/>
            <w:tcBorders>
              <w:bottom w:val="single" w:sz="0" w:space="0" w:color="000000"/>
            </w:tcBorders>
          </w:tcPr>
          <w:p>
            <w:pPr>
              <w:pStyle w:val="TableParagraph"/>
              <w:spacing w:before="21"/>
              <w:ind w:right="181"/>
              <w:rPr>
                <w:sz w:val="14"/>
              </w:rPr>
            </w:pPr>
            <w:r>
              <w:rPr>
                <w:sz w:val="14"/>
              </w:rPr>
              <w:t>199</w:t>
            </w:r>
          </w:p>
        </w:tc>
        <w:tc>
          <w:tcPr>
            <w:tcW w:w="550" w:type="dxa"/>
            <w:tcBorders>
              <w:bottom w:val="single" w:sz="0" w:space="0" w:color="000000"/>
            </w:tcBorders>
          </w:tcPr>
          <w:p>
            <w:pPr/>
          </w:p>
        </w:tc>
        <w:tc>
          <w:tcPr>
            <w:tcW w:w="1104" w:type="dxa"/>
            <w:tcBorders>
              <w:bottom w:val="single" w:sz="0" w:space="0" w:color="000000"/>
            </w:tcBorders>
          </w:tcPr>
          <w:p>
            <w:pPr>
              <w:pStyle w:val="TableParagraph"/>
              <w:tabs>
                <w:tab w:pos="775" w:val="left" w:leader="none"/>
              </w:tabs>
              <w:spacing w:before="21"/>
              <w:ind w:right="114"/>
              <w:jc w:val="center"/>
              <w:rPr>
                <w:sz w:val="14"/>
              </w:rPr>
            </w:pPr>
            <w:r>
              <w:rPr>
                <w:sz w:val="14"/>
              </w:rPr>
              <w:t>-</w:t>
              <w:tab/>
              <w:t>9</w:t>
            </w:r>
          </w:p>
        </w:tc>
        <w:tc>
          <w:tcPr>
            <w:tcW w:w="832" w:type="dxa"/>
            <w:tcBorders>
              <w:bottom w:val="single" w:sz="0" w:space="0" w:color="000000"/>
            </w:tcBorders>
          </w:tcPr>
          <w:p>
            <w:pPr>
              <w:pStyle w:val="TableParagraph"/>
              <w:spacing w:before="21"/>
              <w:ind w:right="165"/>
              <w:rPr>
                <w:sz w:val="14"/>
              </w:rPr>
            </w:pPr>
            <w:r>
              <w:rPr>
                <w:sz w:val="14"/>
              </w:rPr>
              <w:t>1,057</w:t>
            </w:r>
          </w:p>
        </w:tc>
        <w:tc>
          <w:tcPr>
            <w:tcW w:w="822" w:type="dxa"/>
            <w:tcBorders>
              <w:bottom w:val="single" w:sz="0" w:space="0" w:color="000000"/>
            </w:tcBorders>
          </w:tcPr>
          <w:p>
            <w:pPr>
              <w:pStyle w:val="TableParagraph"/>
              <w:spacing w:before="21"/>
              <w:ind w:right="181"/>
              <w:rPr>
                <w:sz w:val="14"/>
              </w:rPr>
            </w:pPr>
            <w:r>
              <w:rPr>
                <w:sz w:val="14"/>
              </w:rPr>
              <w:t>1,264</w:t>
            </w:r>
          </w:p>
        </w:tc>
        <w:tc>
          <w:tcPr>
            <w:tcW w:w="830" w:type="dxa"/>
            <w:tcBorders>
              <w:bottom w:val="single" w:sz="0" w:space="0" w:color="000000"/>
            </w:tcBorders>
          </w:tcPr>
          <w:p>
            <w:pPr>
              <w:pStyle w:val="TableParagraph"/>
              <w:spacing w:before="21"/>
              <w:ind w:right="164"/>
              <w:rPr>
                <w:sz w:val="14"/>
              </w:rPr>
            </w:pPr>
            <w:r>
              <w:rPr>
                <w:sz w:val="14"/>
              </w:rPr>
              <w:t>1,058</w:t>
            </w:r>
          </w:p>
        </w:tc>
        <w:tc>
          <w:tcPr>
            <w:tcW w:w="707" w:type="dxa"/>
            <w:tcBorders>
              <w:bottom w:val="single" w:sz="0" w:space="0" w:color="000000"/>
            </w:tcBorders>
          </w:tcPr>
          <w:p>
            <w:pPr>
              <w:pStyle w:val="TableParagraph"/>
              <w:spacing w:before="21"/>
              <w:ind w:right="69"/>
              <w:rPr>
                <w:sz w:val="14"/>
              </w:rPr>
            </w:pPr>
            <w:r>
              <w:rPr>
                <w:sz w:val="14"/>
              </w:rPr>
              <w:t>1,472</w:t>
            </w:r>
          </w:p>
        </w:tc>
      </w:tr>
      <w:tr>
        <w:trPr>
          <w:trHeight w:val="237" w:hRule="exact"/>
        </w:trPr>
        <w:tc>
          <w:tcPr>
            <w:tcW w:w="4950" w:type="dxa"/>
          </w:tcPr>
          <w:p>
            <w:pPr>
              <w:pStyle w:val="TableParagraph"/>
              <w:spacing w:before="41"/>
              <w:ind w:left="35" w:right="1828"/>
              <w:jc w:val="left"/>
              <w:rPr>
                <w:sz w:val="14"/>
              </w:rPr>
            </w:pPr>
            <w:r>
              <w:rPr>
                <w:sz w:val="14"/>
              </w:rPr>
              <w:t>Total revenue including accrued revenue</w:t>
            </w:r>
          </w:p>
        </w:tc>
        <w:tc>
          <w:tcPr>
            <w:tcW w:w="2318" w:type="dxa"/>
          </w:tcPr>
          <w:p>
            <w:pPr/>
          </w:p>
        </w:tc>
        <w:tc>
          <w:tcPr>
            <w:tcW w:w="627" w:type="dxa"/>
            <w:tcBorders>
              <w:top w:val="single" w:sz="0" w:space="0" w:color="000000"/>
            </w:tcBorders>
          </w:tcPr>
          <w:p>
            <w:pPr/>
          </w:p>
        </w:tc>
        <w:tc>
          <w:tcPr>
            <w:tcW w:w="321" w:type="dxa"/>
            <w:tcBorders>
              <w:top w:val="single" w:sz="0" w:space="0" w:color="000000"/>
            </w:tcBorders>
          </w:tcPr>
          <w:p>
            <w:pPr>
              <w:pStyle w:val="TableParagraph"/>
              <w:spacing w:before="39"/>
              <w:ind w:left="74"/>
              <w:jc w:val="left"/>
              <w:rPr>
                <w:sz w:val="14"/>
              </w:rPr>
            </w:pPr>
            <w:r>
              <w:rPr>
                <w:w w:val="100"/>
                <w:sz w:val="14"/>
              </w:rPr>
              <w:t>1</w:t>
            </w:r>
          </w:p>
        </w:tc>
        <w:tc>
          <w:tcPr>
            <w:tcW w:w="822" w:type="dxa"/>
            <w:tcBorders>
              <w:top w:val="single" w:sz="0" w:space="0" w:color="000000"/>
            </w:tcBorders>
          </w:tcPr>
          <w:p>
            <w:pPr>
              <w:pStyle w:val="TableParagraph"/>
              <w:spacing w:before="39"/>
              <w:ind w:right="181"/>
              <w:rPr>
                <w:sz w:val="14"/>
              </w:rPr>
            </w:pPr>
            <w:r>
              <w:rPr>
                <w:sz w:val="14"/>
              </w:rPr>
              <w:t>217</w:t>
            </w:r>
          </w:p>
        </w:tc>
        <w:tc>
          <w:tcPr>
            <w:tcW w:w="550" w:type="dxa"/>
            <w:tcBorders>
              <w:top w:val="single" w:sz="0" w:space="0" w:color="000000"/>
            </w:tcBorders>
          </w:tcPr>
          <w:p>
            <w:pPr/>
          </w:p>
        </w:tc>
        <w:tc>
          <w:tcPr>
            <w:tcW w:w="1104" w:type="dxa"/>
            <w:tcBorders>
              <w:top w:val="single" w:sz="0" w:space="0" w:color="000000"/>
            </w:tcBorders>
          </w:tcPr>
          <w:p>
            <w:pPr>
              <w:pStyle w:val="TableParagraph"/>
              <w:tabs>
                <w:tab w:pos="775" w:val="left" w:leader="none"/>
              </w:tabs>
              <w:spacing w:before="39"/>
              <w:ind w:right="114"/>
              <w:jc w:val="center"/>
              <w:rPr>
                <w:sz w:val="14"/>
              </w:rPr>
            </w:pPr>
            <w:r>
              <w:rPr>
                <w:sz w:val="14"/>
              </w:rPr>
              <w:t>-</w:t>
              <w:tab/>
              <w:t>9</w:t>
            </w:r>
          </w:p>
        </w:tc>
        <w:tc>
          <w:tcPr>
            <w:tcW w:w="832" w:type="dxa"/>
            <w:tcBorders>
              <w:top w:val="single" w:sz="0" w:space="0" w:color="000000"/>
            </w:tcBorders>
          </w:tcPr>
          <w:p>
            <w:pPr>
              <w:pStyle w:val="TableParagraph"/>
              <w:spacing w:before="39"/>
              <w:ind w:right="165"/>
              <w:rPr>
                <w:sz w:val="14"/>
              </w:rPr>
            </w:pPr>
            <w:r>
              <w:rPr>
                <w:sz w:val="14"/>
              </w:rPr>
              <w:t>2,203</w:t>
            </w:r>
          </w:p>
        </w:tc>
        <w:tc>
          <w:tcPr>
            <w:tcW w:w="822" w:type="dxa"/>
            <w:tcBorders>
              <w:top w:val="single" w:sz="0" w:space="0" w:color="000000"/>
            </w:tcBorders>
          </w:tcPr>
          <w:p>
            <w:pPr>
              <w:pStyle w:val="TableParagraph"/>
              <w:spacing w:before="39"/>
              <w:ind w:right="181"/>
              <w:rPr>
                <w:sz w:val="14"/>
              </w:rPr>
            </w:pPr>
            <w:r>
              <w:rPr>
                <w:sz w:val="14"/>
              </w:rPr>
              <w:t>1,980</w:t>
            </w:r>
          </w:p>
        </w:tc>
        <w:tc>
          <w:tcPr>
            <w:tcW w:w="830" w:type="dxa"/>
            <w:tcBorders>
              <w:top w:val="single" w:sz="0" w:space="0" w:color="000000"/>
            </w:tcBorders>
          </w:tcPr>
          <w:p>
            <w:pPr>
              <w:pStyle w:val="TableParagraph"/>
              <w:spacing w:before="39"/>
              <w:ind w:right="164"/>
              <w:rPr>
                <w:sz w:val="14"/>
              </w:rPr>
            </w:pPr>
            <w:r>
              <w:rPr>
                <w:sz w:val="14"/>
              </w:rPr>
              <w:t>2,204</w:t>
            </w:r>
          </w:p>
        </w:tc>
        <w:tc>
          <w:tcPr>
            <w:tcW w:w="707" w:type="dxa"/>
            <w:tcBorders>
              <w:top w:val="single" w:sz="0" w:space="0" w:color="000000"/>
            </w:tcBorders>
          </w:tcPr>
          <w:p>
            <w:pPr>
              <w:pStyle w:val="TableParagraph"/>
              <w:spacing w:before="39"/>
              <w:ind w:right="69"/>
              <w:rPr>
                <w:sz w:val="14"/>
              </w:rPr>
            </w:pPr>
            <w:r>
              <w:rPr>
                <w:sz w:val="14"/>
              </w:rPr>
              <w:t>2,206</w:t>
            </w:r>
          </w:p>
        </w:tc>
      </w:tr>
      <w:tr>
        <w:trPr>
          <w:trHeight w:val="219" w:hRule="exact"/>
        </w:trPr>
        <w:tc>
          <w:tcPr>
            <w:tcW w:w="4950" w:type="dxa"/>
          </w:tcPr>
          <w:p>
            <w:pPr>
              <w:pStyle w:val="TableParagraph"/>
              <w:spacing w:before="22"/>
              <w:ind w:left="35" w:right="1828"/>
              <w:jc w:val="left"/>
              <w:rPr>
                <w:sz w:val="14"/>
              </w:rPr>
            </w:pPr>
            <w:r>
              <w:rPr>
                <w:sz w:val="14"/>
              </w:rPr>
              <w:t>Less expenses including accrued expenses</w:t>
            </w:r>
          </w:p>
        </w:tc>
        <w:tc>
          <w:tcPr>
            <w:tcW w:w="2318" w:type="dxa"/>
          </w:tcPr>
          <w:p>
            <w:pPr/>
          </w:p>
        </w:tc>
        <w:tc>
          <w:tcPr>
            <w:tcW w:w="627" w:type="dxa"/>
            <w:tcBorders>
              <w:bottom w:val="single" w:sz="0" w:space="0" w:color="000000"/>
            </w:tcBorders>
          </w:tcPr>
          <w:p>
            <w:pPr/>
          </w:p>
        </w:tc>
        <w:tc>
          <w:tcPr>
            <w:tcW w:w="321" w:type="dxa"/>
            <w:tcBorders>
              <w:bottom w:val="single" w:sz="0" w:space="0" w:color="000000"/>
            </w:tcBorders>
          </w:tcPr>
          <w:p>
            <w:pPr>
              <w:pStyle w:val="TableParagraph"/>
              <w:spacing w:before="21"/>
              <w:ind w:left="28"/>
              <w:jc w:val="left"/>
              <w:rPr>
                <w:sz w:val="14"/>
              </w:rPr>
            </w:pPr>
            <w:r>
              <w:rPr>
                <w:sz w:val="14"/>
              </w:rPr>
              <w:t>(1)</w:t>
            </w:r>
          </w:p>
        </w:tc>
        <w:tc>
          <w:tcPr>
            <w:tcW w:w="822" w:type="dxa"/>
            <w:tcBorders>
              <w:bottom w:val="single" w:sz="0" w:space="0" w:color="000000"/>
            </w:tcBorders>
          </w:tcPr>
          <w:p>
            <w:pPr>
              <w:pStyle w:val="TableParagraph"/>
              <w:spacing w:before="21"/>
              <w:ind w:right="134"/>
              <w:rPr>
                <w:sz w:val="14"/>
              </w:rPr>
            </w:pPr>
            <w:r>
              <w:rPr>
                <w:sz w:val="14"/>
              </w:rPr>
              <w:t>(216)</w:t>
            </w:r>
          </w:p>
        </w:tc>
        <w:tc>
          <w:tcPr>
            <w:tcW w:w="550" w:type="dxa"/>
            <w:tcBorders>
              <w:bottom w:val="single" w:sz="0" w:space="0" w:color="000000"/>
            </w:tcBorders>
          </w:tcPr>
          <w:p>
            <w:pPr/>
          </w:p>
        </w:tc>
        <w:tc>
          <w:tcPr>
            <w:tcW w:w="1104" w:type="dxa"/>
            <w:tcBorders>
              <w:bottom w:val="single" w:sz="0" w:space="0" w:color="000000"/>
            </w:tcBorders>
          </w:tcPr>
          <w:p>
            <w:pPr>
              <w:pStyle w:val="TableParagraph"/>
              <w:tabs>
                <w:tab w:pos="728" w:val="left" w:leader="none"/>
              </w:tabs>
              <w:spacing w:before="21"/>
              <w:ind w:right="67"/>
              <w:jc w:val="center"/>
              <w:rPr>
                <w:sz w:val="14"/>
              </w:rPr>
            </w:pPr>
            <w:r>
              <w:rPr>
                <w:sz w:val="14"/>
              </w:rPr>
              <w:t>-</w:t>
              <w:tab/>
              <w:t>(9)</w:t>
            </w:r>
          </w:p>
        </w:tc>
        <w:tc>
          <w:tcPr>
            <w:tcW w:w="832" w:type="dxa"/>
            <w:tcBorders>
              <w:bottom w:val="single" w:sz="0" w:space="0" w:color="000000"/>
            </w:tcBorders>
          </w:tcPr>
          <w:p>
            <w:pPr>
              <w:pStyle w:val="TableParagraph"/>
              <w:spacing w:before="21"/>
              <w:ind w:right="119"/>
              <w:rPr>
                <w:sz w:val="14"/>
              </w:rPr>
            </w:pPr>
            <w:r>
              <w:rPr>
                <w:sz w:val="14"/>
              </w:rPr>
              <w:t>(882)</w:t>
            </w:r>
          </w:p>
        </w:tc>
        <w:tc>
          <w:tcPr>
            <w:tcW w:w="822" w:type="dxa"/>
            <w:tcBorders>
              <w:bottom w:val="single" w:sz="0" w:space="0" w:color="000000"/>
            </w:tcBorders>
          </w:tcPr>
          <w:p>
            <w:pPr>
              <w:pStyle w:val="TableParagraph"/>
              <w:spacing w:before="21"/>
              <w:ind w:right="134"/>
              <w:rPr>
                <w:sz w:val="14"/>
              </w:rPr>
            </w:pPr>
            <w:r>
              <w:rPr>
                <w:sz w:val="14"/>
              </w:rPr>
              <w:t>(923)</w:t>
            </w:r>
          </w:p>
        </w:tc>
        <w:tc>
          <w:tcPr>
            <w:tcW w:w="830" w:type="dxa"/>
            <w:tcBorders>
              <w:bottom w:val="single" w:sz="0" w:space="0" w:color="000000"/>
            </w:tcBorders>
          </w:tcPr>
          <w:p>
            <w:pPr>
              <w:pStyle w:val="TableParagraph"/>
              <w:spacing w:before="21"/>
              <w:ind w:right="118"/>
              <w:rPr>
                <w:sz w:val="14"/>
              </w:rPr>
            </w:pPr>
            <w:r>
              <w:rPr>
                <w:sz w:val="14"/>
              </w:rPr>
              <w:t>(883)</w:t>
            </w:r>
          </w:p>
        </w:tc>
        <w:tc>
          <w:tcPr>
            <w:tcW w:w="707" w:type="dxa"/>
            <w:tcBorders>
              <w:bottom w:val="single" w:sz="0" w:space="0" w:color="000000"/>
            </w:tcBorders>
          </w:tcPr>
          <w:p>
            <w:pPr>
              <w:pStyle w:val="TableParagraph"/>
              <w:spacing w:before="21"/>
              <w:ind w:right="23"/>
              <w:rPr>
                <w:sz w:val="14"/>
              </w:rPr>
            </w:pPr>
            <w:r>
              <w:rPr>
                <w:sz w:val="14"/>
              </w:rPr>
              <w:t>(1,148)</w:t>
            </w:r>
          </w:p>
        </w:tc>
      </w:tr>
      <w:tr>
        <w:trPr>
          <w:trHeight w:val="253" w:hRule="exact"/>
        </w:trPr>
        <w:tc>
          <w:tcPr>
            <w:tcW w:w="4950" w:type="dxa"/>
          </w:tcPr>
          <w:p>
            <w:pPr>
              <w:pStyle w:val="TableParagraph"/>
              <w:spacing w:before="41"/>
              <w:ind w:left="35" w:right="1828"/>
              <w:jc w:val="left"/>
              <w:rPr>
                <w:sz w:val="14"/>
              </w:rPr>
            </w:pPr>
            <w:r>
              <w:rPr>
                <w:sz w:val="14"/>
              </w:rPr>
              <w:t>Surplus/(deficit) for reporting period</w:t>
            </w:r>
          </w:p>
        </w:tc>
        <w:tc>
          <w:tcPr>
            <w:tcW w:w="2318" w:type="dxa"/>
          </w:tcPr>
          <w:p>
            <w:pPr/>
          </w:p>
        </w:tc>
        <w:tc>
          <w:tcPr>
            <w:tcW w:w="627" w:type="dxa"/>
            <w:tcBorders>
              <w:top w:val="single" w:sz="0" w:space="0" w:color="000000"/>
              <w:bottom w:val="single" w:sz="0" w:space="0" w:color="000000"/>
            </w:tcBorders>
          </w:tcPr>
          <w:p>
            <w:pPr/>
          </w:p>
        </w:tc>
        <w:tc>
          <w:tcPr>
            <w:tcW w:w="321" w:type="dxa"/>
            <w:tcBorders>
              <w:top w:val="single" w:sz="0" w:space="0" w:color="000000"/>
              <w:bottom w:val="single" w:sz="0" w:space="0" w:color="000000"/>
            </w:tcBorders>
          </w:tcPr>
          <w:p>
            <w:pPr>
              <w:pStyle w:val="TableParagraph"/>
              <w:spacing w:before="39"/>
              <w:ind w:left="106"/>
              <w:jc w:val="left"/>
              <w:rPr>
                <w:sz w:val="14"/>
              </w:rPr>
            </w:pPr>
            <w:r>
              <w:rPr>
                <w:w w:val="100"/>
                <w:sz w:val="14"/>
              </w:rPr>
              <w:t>-</w:t>
            </w:r>
          </w:p>
        </w:tc>
        <w:tc>
          <w:tcPr>
            <w:tcW w:w="822" w:type="dxa"/>
            <w:tcBorders>
              <w:top w:val="single" w:sz="0" w:space="0" w:color="000000"/>
              <w:bottom w:val="single" w:sz="0" w:space="0" w:color="000000"/>
            </w:tcBorders>
          </w:tcPr>
          <w:p>
            <w:pPr>
              <w:pStyle w:val="TableParagraph"/>
              <w:spacing w:before="39"/>
              <w:ind w:right="181"/>
              <w:rPr>
                <w:sz w:val="14"/>
              </w:rPr>
            </w:pPr>
            <w:r>
              <w:rPr>
                <w:w w:val="100"/>
                <w:sz w:val="14"/>
              </w:rPr>
              <w:t>1</w:t>
            </w:r>
          </w:p>
        </w:tc>
        <w:tc>
          <w:tcPr>
            <w:tcW w:w="550" w:type="dxa"/>
            <w:tcBorders>
              <w:top w:val="single" w:sz="0" w:space="0" w:color="000000"/>
              <w:bottom w:val="single" w:sz="0" w:space="0" w:color="000000"/>
            </w:tcBorders>
          </w:tcPr>
          <w:p>
            <w:pPr/>
          </w:p>
        </w:tc>
        <w:tc>
          <w:tcPr>
            <w:tcW w:w="1104" w:type="dxa"/>
            <w:tcBorders>
              <w:top w:val="single" w:sz="0" w:space="0" w:color="000000"/>
              <w:bottom w:val="single" w:sz="0" w:space="0" w:color="000000"/>
            </w:tcBorders>
          </w:tcPr>
          <w:p>
            <w:pPr>
              <w:pStyle w:val="TableParagraph"/>
              <w:tabs>
                <w:tab w:pos="806" w:val="left" w:leader="none"/>
              </w:tabs>
              <w:spacing w:before="39"/>
              <w:ind w:right="114"/>
              <w:jc w:val="center"/>
              <w:rPr>
                <w:sz w:val="14"/>
              </w:rPr>
            </w:pPr>
            <w:r>
              <w:rPr>
                <w:sz w:val="14"/>
              </w:rPr>
              <w:t>-</w:t>
              <w:tab/>
              <w:t>-</w:t>
            </w:r>
          </w:p>
        </w:tc>
        <w:tc>
          <w:tcPr>
            <w:tcW w:w="832" w:type="dxa"/>
            <w:tcBorders>
              <w:top w:val="single" w:sz="0" w:space="0" w:color="000000"/>
              <w:bottom w:val="single" w:sz="0" w:space="0" w:color="000000"/>
            </w:tcBorders>
          </w:tcPr>
          <w:p>
            <w:pPr>
              <w:pStyle w:val="TableParagraph"/>
              <w:spacing w:before="39"/>
              <w:ind w:right="165"/>
              <w:rPr>
                <w:sz w:val="14"/>
              </w:rPr>
            </w:pPr>
            <w:r>
              <w:rPr>
                <w:sz w:val="14"/>
              </w:rPr>
              <w:t>1,321</w:t>
            </w:r>
          </w:p>
        </w:tc>
        <w:tc>
          <w:tcPr>
            <w:tcW w:w="822" w:type="dxa"/>
            <w:tcBorders>
              <w:top w:val="single" w:sz="0" w:space="0" w:color="000000"/>
              <w:bottom w:val="single" w:sz="0" w:space="0" w:color="000000"/>
            </w:tcBorders>
          </w:tcPr>
          <w:p>
            <w:pPr>
              <w:pStyle w:val="TableParagraph"/>
              <w:spacing w:before="39"/>
              <w:ind w:right="181"/>
              <w:rPr>
                <w:sz w:val="14"/>
              </w:rPr>
            </w:pPr>
            <w:r>
              <w:rPr>
                <w:sz w:val="14"/>
              </w:rPr>
              <w:t>1,057</w:t>
            </w:r>
          </w:p>
        </w:tc>
        <w:tc>
          <w:tcPr>
            <w:tcW w:w="830" w:type="dxa"/>
            <w:tcBorders>
              <w:top w:val="single" w:sz="0" w:space="0" w:color="000000"/>
              <w:bottom w:val="single" w:sz="0" w:space="0" w:color="000000"/>
            </w:tcBorders>
          </w:tcPr>
          <w:p>
            <w:pPr>
              <w:pStyle w:val="TableParagraph"/>
              <w:spacing w:before="39"/>
              <w:ind w:right="164"/>
              <w:rPr>
                <w:sz w:val="14"/>
              </w:rPr>
            </w:pPr>
            <w:r>
              <w:rPr>
                <w:sz w:val="14"/>
              </w:rPr>
              <w:t>1,321</w:t>
            </w:r>
          </w:p>
        </w:tc>
        <w:tc>
          <w:tcPr>
            <w:tcW w:w="707" w:type="dxa"/>
            <w:tcBorders>
              <w:top w:val="single" w:sz="0" w:space="0" w:color="000000"/>
              <w:bottom w:val="single" w:sz="0" w:space="0" w:color="000000"/>
            </w:tcBorders>
          </w:tcPr>
          <w:p>
            <w:pPr>
              <w:pStyle w:val="TableParagraph"/>
              <w:spacing w:before="39"/>
              <w:ind w:right="69"/>
              <w:rPr>
                <w:sz w:val="14"/>
              </w:rPr>
            </w:pPr>
            <w:r>
              <w:rPr>
                <w:sz w:val="14"/>
              </w:rPr>
              <w:t>1,058</w:t>
            </w:r>
          </w:p>
        </w:tc>
      </w:tr>
    </w:tbl>
    <w:p>
      <w:pPr>
        <w:spacing w:after="0"/>
        <w:rPr>
          <w:sz w:val="14"/>
        </w:rPr>
        <w:sectPr>
          <w:headerReference w:type="default" r:id="rId57"/>
          <w:footerReference w:type="default" r:id="rId58"/>
          <w:pgSz w:w="16840" w:h="11910" w:orient="landscape"/>
          <w:pgMar w:header="38" w:footer="507" w:top="2220" w:bottom="700" w:left="0" w:right="0"/>
          <w:pgNumType w:start="87"/>
        </w:sectPr>
      </w:pPr>
    </w:p>
    <w:p>
      <w:pPr>
        <w:pStyle w:val="BodyText"/>
        <w:rPr>
          <w:b/>
          <w:sz w:val="20"/>
        </w:rPr>
      </w:pPr>
    </w:p>
    <w:p>
      <w:pPr>
        <w:pStyle w:val="BodyText"/>
        <w:rPr>
          <w:b/>
          <w:sz w:val="20"/>
        </w:rPr>
      </w:pPr>
    </w:p>
    <w:p>
      <w:pPr>
        <w:pStyle w:val="BodyText"/>
        <w:spacing w:before="4"/>
        <w:rPr>
          <w:b/>
        </w:rPr>
      </w:pPr>
    </w:p>
    <w:p>
      <w:pPr>
        <w:pStyle w:val="Heading8"/>
        <w:numPr>
          <w:ilvl w:val="0"/>
          <w:numId w:val="38"/>
        </w:numPr>
        <w:tabs>
          <w:tab w:pos="1972" w:val="left" w:leader="none"/>
        </w:tabs>
        <w:spacing w:line="240" w:lineRule="auto" w:before="0" w:after="0"/>
        <w:ind w:left="1971" w:right="0" w:hanging="567"/>
        <w:jc w:val="left"/>
      </w:pPr>
      <w:r>
        <w:rPr/>
        <w:t>Acquittal of Australian Government Financial Assistance</w:t>
      </w:r>
      <w:r>
        <w:rPr>
          <w:spacing w:val="-24"/>
        </w:rPr>
        <w:t> </w:t>
      </w:r>
      <w:r>
        <w:rPr/>
        <w:t>(continued)</w:t>
      </w:r>
    </w:p>
    <w:p>
      <w:pPr>
        <w:pStyle w:val="BodyText"/>
        <w:spacing w:before="11"/>
        <w:rPr>
          <w:b/>
          <w:sz w:val="19"/>
        </w:rPr>
      </w:pPr>
    </w:p>
    <w:p>
      <w:pPr>
        <w:spacing w:after="0"/>
        <w:rPr>
          <w:sz w:val="19"/>
        </w:rPr>
        <w:sectPr>
          <w:pgSz w:w="16840" w:h="11910" w:orient="landscape"/>
          <w:pgMar w:header="38" w:footer="507" w:top="2220" w:bottom="700" w:left="0" w:right="0"/>
        </w:sectPr>
      </w:pPr>
    </w:p>
    <w:p>
      <w:pPr>
        <w:pStyle w:val="ListParagraph"/>
        <w:numPr>
          <w:ilvl w:val="1"/>
          <w:numId w:val="33"/>
        </w:numPr>
        <w:tabs>
          <w:tab w:pos="1972" w:val="left" w:leader="none"/>
        </w:tabs>
        <w:spacing w:line="240" w:lineRule="auto" w:before="77" w:after="0"/>
        <w:ind w:left="1971" w:right="0" w:hanging="566"/>
        <w:jc w:val="left"/>
        <w:rPr>
          <w:sz w:val="18"/>
        </w:rPr>
      </w:pPr>
      <w:r>
        <w:rPr>
          <w:sz w:val="18"/>
        </w:rPr>
        <w:t>Australian</w:t>
      </w:r>
      <w:r>
        <w:rPr>
          <w:spacing w:val="-11"/>
          <w:sz w:val="18"/>
        </w:rPr>
        <w:t> </w:t>
      </w:r>
      <w:r>
        <w:rPr>
          <w:sz w:val="18"/>
        </w:rPr>
        <w:t>Research</w:t>
      </w:r>
      <w:r>
        <w:rPr>
          <w:spacing w:val="-11"/>
          <w:sz w:val="18"/>
        </w:rPr>
        <w:t> </w:t>
      </w:r>
      <w:r>
        <w:rPr>
          <w:sz w:val="18"/>
        </w:rPr>
        <w:t>Council</w:t>
      </w:r>
      <w:r>
        <w:rPr>
          <w:spacing w:val="-11"/>
          <w:sz w:val="18"/>
        </w:rPr>
        <w:t> </w:t>
      </w:r>
      <w:r>
        <w:rPr>
          <w:sz w:val="18"/>
        </w:rPr>
        <w:t>Grants</w:t>
      </w:r>
      <w:r>
        <w:rPr>
          <w:spacing w:val="-11"/>
          <w:sz w:val="18"/>
        </w:rPr>
        <w:t> </w:t>
      </w:r>
      <w:r>
        <w:rPr>
          <w:sz w:val="18"/>
        </w:rPr>
        <w:t>(continued)</w:t>
      </w:r>
    </w:p>
    <w:p>
      <w:pPr>
        <w:pStyle w:val="BodyText"/>
      </w:pPr>
    </w:p>
    <w:p>
      <w:pPr>
        <w:pStyle w:val="BodyText"/>
        <w:spacing w:before="1"/>
        <w:rPr>
          <w:sz w:val="19"/>
        </w:rPr>
      </w:pPr>
    </w:p>
    <w:p>
      <w:pPr>
        <w:spacing w:before="0"/>
        <w:ind w:left="2006" w:right="0" w:firstLine="0"/>
        <w:jc w:val="left"/>
        <w:rPr>
          <w:b/>
          <w:sz w:val="14"/>
        </w:rPr>
      </w:pPr>
      <w:r>
        <w:rPr>
          <w:b/>
          <w:sz w:val="14"/>
        </w:rPr>
        <w:t>(iii) Networks and Centres and Special Research</w:t>
      </w:r>
    </w:p>
    <w:p>
      <w:pPr>
        <w:pStyle w:val="BodyText"/>
        <w:rPr>
          <w:b/>
          <w:sz w:val="14"/>
        </w:rPr>
      </w:pPr>
      <w:r>
        <w:rPr/>
        <w:br w:type="column"/>
      </w:r>
      <w:r>
        <w:rPr>
          <w:b/>
          <w:sz w:val="14"/>
        </w:rPr>
      </w:r>
    </w:p>
    <w:p>
      <w:pPr>
        <w:pStyle w:val="BodyText"/>
        <w:rPr>
          <w:b/>
          <w:sz w:val="14"/>
        </w:rPr>
      </w:pPr>
    </w:p>
    <w:p>
      <w:pPr>
        <w:pStyle w:val="BodyText"/>
        <w:rPr>
          <w:b/>
          <w:sz w:val="14"/>
        </w:rPr>
      </w:pPr>
    </w:p>
    <w:p>
      <w:pPr>
        <w:spacing w:before="0"/>
        <w:ind w:left="0" w:right="0" w:firstLine="0"/>
        <w:jc w:val="right"/>
        <w:rPr>
          <w:b/>
          <w:sz w:val="14"/>
        </w:rPr>
      </w:pPr>
      <w:r>
        <w:rPr>
          <w:b/>
          <w:sz w:val="14"/>
        </w:rPr>
        <w:t>Centres</w:t>
      </w:r>
    </w:p>
    <w:p>
      <w:pPr>
        <w:pStyle w:val="BodyText"/>
        <w:rPr>
          <w:b/>
          <w:sz w:val="14"/>
        </w:rPr>
      </w:pPr>
      <w:r>
        <w:rPr/>
        <w:br w:type="column"/>
      </w:r>
      <w:r>
        <w:rPr>
          <w:b/>
          <w:sz w:val="14"/>
        </w:rPr>
      </w:r>
    </w:p>
    <w:p>
      <w:pPr>
        <w:pStyle w:val="BodyText"/>
        <w:rPr>
          <w:b/>
          <w:sz w:val="14"/>
        </w:rPr>
      </w:pPr>
    </w:p>
    <w:p>
      <w:pPr>
        <w:spacing w:before="0"/>
        <w:ind w:left="1078" w:right="-13" w:hanging="388"/>
        <w:jc w:val="left"/>
        <w:rPr>
          <w:b/>
          <w:sz w:val="14"/>
        </w:rPr>
      </w:pPr>
      <w:r>
        <w:rPr>
          <w:b/>
          <w:sz w:val="14"/>
        </w:rPr>
        <w:t>Total Networks and Centres</w:t>
      </w:r>
    </w:p>
    <w:p>
      <w:pPr>
        <w:pStyle w:val="BodyText"/>
        <w:rPr>
          <w:b/>
          <w:sz w:val="14"/>
        </w:rPr>
      </w:pPr>
      <w:r>
        <w:rPr/>
        <w:br w:type="column"/>
      </w:r>
      <w:r>
        <w:rPr>
          <w:b/>
          <w:sz w:val="14"/>
        </w:rPr>
      </w:r>
    </w:p>
    <w:p>
      <w:pPr>
        <w:pStyle w:val="BodyText"/>
        <w:rPr>
          <w:b/>
          <w:sz w:val="14"/>
        </w:rPr>
      </w:pPr>
    </w:p>
    <w:p>
      <w:pPr>
        <w:spacing w:before="0"/>
        <w:ind w:left="382" w:right="0" w:firstLine="0"/>
        <w:jc w:val="left"/>
        <w:rPr>
          <w:b/>
          <w:sz w:val="14"/>
        </w:rPr>
      </w:pPr>
      <w:r>
        <w:rPr>
          <w:b/>
          <w:sz w:val="14"/>
        </w:rPr>
        <w:t>Special Research</w:t>
      </w:r>
    </w:p>
    <w:p>
      <w:pPr>
        <w:tabs>
          <w:tab w:pos="2463" w:val="left" w:leader="none"/>
        </w:tabs>
        <w:spacing w:before="0"/>
        <w:ind w:left="639" w:right="0" w:firstLine="0"/>
        <w:jc w:val="left"/>
        <w:rPr>
          <w:b/>
          <w:sz w:val="14"/>
        </w:rPr>
      </w:pPr>
      <w:r>
        <w:rPr>
          <w:b/>
          <w:sz w:val="14"/>
        </w:rPr>
        <w:t>Initiatives</w:t>
        <w:tab/>
        <w:t>Total</w:t>
      </w:r>
    </w:p>
    <w:p>
      <w:pPr>
        <w:spacing w:after="0"/>
        <w:jc w:val="left"/>
        <w:rPr>
          <w:sz w:val="14"/>
        </w:rPr>
        <w:sectPr>
          <w:type w:val="continuous"/>
          <w:pgSz w:w="16840" w:h="11910" w:orient="landscape"/>
          <w:pgMar w:top="1660" w:bottom="0" w:left="0" w:right="0"/>
          <w:cols w:num="4" w:equalWidth="0">
            <w:col w:w="5774" w:space="2639"/>
            <w:col w:w="1928" w:space="40"/>
            <w:col w:w="1989" w:space="40"/>
            <w:col w:w="4430"/>
          </w:cols>
        </w:sectPr>
      </w:pPr>
    </w:p>
    <w:p>
      <w:pPr>
        <w:spacing w:before="0"/>
        <w:ind w:left="2006" w:right="0" w:firstLine="0"/>
        <w:jc w:val="left"/>
        <w:rPr>
          <w:b/>
          <w:sz w:val="14"/>
        </w:rPr>
      </w:pPr>
      <w:r>
        <w:rPr>
          <w:b/>
          <w:sz w:val="14"/>
        </w:rPr>
        <w:t>Initiatives</w:t>
      </w:r>
    </w:p>
    <w:p>
      <w:pPr>
        <w:tabs>
          <w:tab w:pos="8830" w:val="left" w:leader="none"/>
        </w:tabs>
        <w:spacing w:before="67"/>
        <w:ind w:left="2006" w:right="0" w:firstLine="0"/>
        <w:jc w:val="left"/>
        <w:rPr>
          <w:b/>
          <w:sz w:val="14"/>
        </w:rPr>
      </w:pPr>
      <w:r>
        <w:rPr>
          <w:b/>
          <w:sz w:val="14"/>
        </w:rPr>
        <w:t>Parent Entity</w:t>
      </w:r>
      <w:r>
        <w:rPr>
          <w:b/>
          <w:spacing w:val="-5"/>
          <w:sz w:val="14"/>
        </w:rPr>
        <w:t> </w:t>
      </w:r>
      <w:r>
        <w:rPr>
          <w:b/>
          <w:sz w:val="14"/>
        </w:rPr>
        <w:t>(University) Only</w:t>
        <w:tab/>
      </w:r>
      <w:r>
        <w:rPr>
          <w:b/>
          <w:spacing w:val="-1"/>
          <w:sz w:val="14"/>
        </w:rPr>
        <w:t>Note</w:t>
      </w:r>
    </w:p>
    <w:p>
      <w:pPr>
        <w:spacing w:before="0"/>
        <w:ind w:left="327" w:right="-2" w:firstLine="0"/>
        <w:jc w:val="left"/>
        <w:rPr>
          <w:b/>
          <w:sz w:val="14"/>
        </w:rPr>
      </w:pPr>
      <w:r>
        <w:rPr/>
        <w:br w:type="column"/>
      </w:r>
      <w:r>
        <w:rPr>
          <w:b/>
          <w:sz w:val="14"/>
        </w:rPr>
        <w:t>2016</w:t>
      </w:r>
    </w:p>
    <w:p>
      <w:pPr>
        <w:spacing w:before="67"/>
        <w:ind w:left="310" w:right="-18" w:firstLine="0"/>
        <w:jc w:val="left"/>
        <w:rPr>
          <w:b/>
          <w:sz w:val="14"/>
        </w:rPr>
      </w:pPr>
      <w:r>
        <w:rPr>
          <w:b/>
          <w:sz w:val="14"/>
        </w:rPr>
        <w:t>$'000</w:t>
      </w:r>
    </w:p>
    <w:p>
      <w:pPr>
        <w:spacing w:before="0"/>
        <w:ind w:left="444" w:right="-2" w:firstLine="0"/>
        <w:jc w:val="left"/>
        <w:rPr>
          <w:b/>
          <w:sz w:val="14"/>
        </w:rPr>
      </w:pPr>
      <w:r>
        <w:rPr/>
        <w:br w:type="column"/>
      </w:r>
      <w:r>
        <w:rPr>
          <w:b/>
          <w:sz w:val="14"/>
        </w:rPr>
        <w:t>2015</w:t>
      </w:r>
    </w:p>
    <w:p>
      <w:pPr>
        <w:spacing w:before="67"/>
        <w:ind w:left="427" w:right="-18" w:firstLine="0"/>
        <w:jc w:val="left"/>
        <w:rPr>
          <w:b/>
          <w:sz w:val="14"/>
        </w:rPr>
      </w:pPr>
      <w:r>
        <w:rPr>
          <w:b/>
          <w:sz w:val="14"/>
        </w:rPr>
        <w:t>$'000</w:t>
      </w:r>
    </w:p>
    <w:p>
      <w:pPr>
        <w:spacing w:before="0"/>
        <w:ind w:left="457" w:right="-2" w:firstLine="0"/>
        <w:jc w:val="left"/>
        <w:rPr>
          <w:b/>
          <w:sz w:val="14"/>
        </w:rPr>
      </w:pPr>
      <w:r>
        <w:rPr/>
        <w:br w:type="column"/>
      </w:r>
      <w:r>
        <w:rPr>
          <w:b/>
          <w:sz w:val="14"/>
        </w:rPr>
        <w:t>2016</w:t>
      </w:r>
    </w:p>
    <w:p>
      <w:pPr>
        <w:spacing w:before="67"/>
        <w:ind w:left="441" w:right="-19" w:firstLine="0"/>
        <w:jc w:val="left"/>
        <w:rPr>
          <w:b/>
          <w:sz w:val="14"/>
        </w:rPr>
      </w:pPr>
      <w:r>
        <w:rPr>
          <w:b/>
          <w:sz w:val="14"/>
        </w:rPr>
        <w:t>$'000</w:t>
      </w:r>
    </w:p>
    <w:p>
      <w:pPr>
        <w:spacing w:before="0"/>
        <w:ind w:left="457" w:right="-2" w:firstLine="0"/>
        <w:jc w:val="left"/>
        <w:rPr>
          <w:b/>
          <w:sz w:val="14"/>
        </w:rPr>
      </w:pPr>
      <w:r>
        <w:rPr/>
        <w:br w:type="column"/>
      </w:r>
      <w:r>
        <w:rPr>
          <w:b/>
          <w:sz w:val="14"/>
        </w:rPr>
        <w:t>2015</w:t>
      </w:r>
    </w:p>
    <w:p>
      <w:pPr>
        <w:spacing w:before="67"/>
        <w:ind w:left="441" w:right="-19" w:firstLine="0"/>
        <w:jc w:val="left"/>
        <w:rPr>
          <w:b/>
          <w:sz w:val="14"/>
        </w:rPr>
      </w:pPr>
      <w:r>
        <w:rPr>
          <w:b/>
          <w:sz w:val="14"/>
        </w:rPr>
        <w:t>$'000</w:t>
      </w:r>
    </w:p>
    <w:p>
      <w:pPr>
        <w:spacing w:before="0"/>
        <w:ind w:left="457" w:right="-2" w:firstLine="0"/>
        <w:jc w:val="left"/>
        <w:rPr>
          <w:b/>
          <w:sz w:val="14"/>
        </w:rPr>
      </w:pPr>
      <w:r>
        <w:rPr/>
        <w:br w:type="column"/>
      </w:r>
      <w:r>
        <w:rPr>
          <w:b/>
          <w:sz w:val="14"/>
        </w:rPr>
        <w:t>2016</w:t>
      </w:r>
    </w:p>
    <w:p>
      <w:pPr>
        <w:spacing w:before="67"/>
        <w:ind w:left="441" w:right="-19" w:firstLine="0"/>
        <w:jc w:val="left"/>
        <w:rPr>
          <w:b/>
          <w:sz w:val="14"/>
        </w:rPr>
      </w:pPr>
      <w:r>
        <w:rPr>
          <w:b/>
          <w:sz w:val="14"/>
        </w:rPr>
        <w:t>$'000</w:t>
      </w:r>
    </w:p>
    <w:p>
      <w:pPr>
        <w:spacing w:before="0"/>
        <w:ind w:left="457" w:right="-2" w:firstLine="0"/>
        <w:jc w:val="left"/>
        <w:rPr>
          <w:b/>
          <w:sz w:val="14"/>
        </w:rPr>
      </w:pPr>
      <w:r>
        <w:rPr/>
        <w:br w:type="column"/>
      </w:r>
      <w:r>
        <w:rPr>
          <w:b/>
          <w:sz w:val="14"/>
        </w:rPr>
        <w:t>2015</w:t>
      </w:r>
    </w:p>
    <w:p>
      <w:pPr>
        <w:spacing w:before="67"/>
        <w:ind w:left="441" w:right="-19" w:firstLine="0"/>
        <w:jc w:val="left"/>
        <w:rPr>
          <w:b/>
          <w:sz w:val="14"/>
        </w:rPr>
      </w:pPr>
      <w:r>
        <w:rPr>
          <w:b/>
          <w:sz w:val="14"/>
        </w:rPr>
        <w:t>$'000</w:t>
      </w:r>
    </w:p>
    <w:p>
      <w:pPr>
        <w:spacing w:before="0"/>
        <w:ind w:left="471" w:right="-3" w:firstLine="0"/>
        <w:jc w:val="left"/>
        <w:rPr>
          <w:b/>
          <w:sz w:val="14"/>
        </w:rPr>
      </w:pPr>
      <w:r>
        <w:rPr/>
        <w:br w:type="column"/>
      </w:r>
      <w:r>
        <w:rPr>
          <w:b/>
          <w:sz w:val="14"/>
        </w:rPr>
        <w:t>2016</w:t>
      </w:r>
    </w:p>
    <w:p>
      <w:pPr>
        <w:spacing w:before="67"/>
        <w:ind w:left="454" w:right="-19" w:firstLine="0"/>
        <w:jc w:val="left"/>
        <w:rPr>
          <w:b/>
          <w:sz w:val="14"/>
        </w:rPr>
      </w:pPr>
      <w:r>
        <w:rPr>
          <w:b/>
          <w:sz w:val="14"/>
        </w:rPr>
        <w:t>$'000</w:t>
      </w:r>
    </w:p>
    <w:p>
      <w:pPr>
        <w:spacing w:before="0"/>
        <w:ind w:left="444" w:right="0" w:firstLine="0"/>
        <w:jc w:val="left"/>
        <w:rPr>
          <w:b/>
          <w:sz w:val="14"/>
        </w:rPr>
      </w:pPr>
      <w:r>
        <w:rPr/>
        <w:br w:type="column"/>
      </w:r>
      <w:r>
        <w:rPr>
          <w:b/>
          <w:sz w:val="14"/>
        </w:rPr>
        <w:t>2015</w:t>
      </w:r>
    </w:p>
    <w:p>
      <w:pPr>
        <w:spacing w:before="67"/>
        <w:ind w:left="427" w:right="0" w:firstLine="0"/>
        <w:jc w:val="left"/>
        <w:rPr>
          <w:b/>
          <w:sz w:val="14"/>
        </w:rPr>
      </w:pPr>
      <w:r>
        <w:rPr>
          <w:b/>
          <w:sz w:val="14"/>
        </w:rPr>
        <w:t>$'000</w:t>
      </w:r>
    </w:p>
    <w:p>
      <w:pPr>
        <w:spacing w:after="0"/>
        <w:jc w:val="left"/>
        <w:rPr>
          <w:sz w:val="14"/>
        </w:rPr>
        <w:sectPr>
          <w:type w:val="continuous"/>
          <w:pgSz w:w="16840" w:h="11910" w:orient="landscape"/>
          <w:pgMar w:top="1660" w:bottom="0" w:left="0" w:right="0"/>
          <w:cols w:num="9" w:equalWidth="0">
            <w:col w:w="9142" w:space="40"/>
            <w:col w:w="657" w:space="40"/>
            <w:col w:w="774" w:space="40"/>
            <w:col w:w="787" w:space="40"/>
            <w:col w:w="787" w:space="40"/>
            <w:col w:w="787" w:space="40"/>
            <w:col w:w="787" w:space="40"/>
            <w:col w:w="800" w:space="40"/>
            <w:col w:w="1999"/>
          </w:cols>
        </w:sectPr>
      </w:pPr>
    </w:p>
    <w:p>
      <w:pPr>
        <w:pStyle w:val="BodyText"/>
        <w:spacing w:before="2"/>
        <w:rPr>
          <w:b/>
          <w:sz w:val="3"/>
        </w:rPr>
      </w:pPr>
    </w:p>
    <w:p>
      <w:pPr>
        <w:tabs>
          <w:tab w:pos="1971" w:val="left" w:leader="none"/>
          <w:tab w:pos="16525" w:val="left" w:leader="none"/>
        </w:tabs>
        <w:spacing w:line="240" w:lineRule="auto"/>
        <w:ind w:left="67" w:right="0" w:firstLine="0"/>
        <w:rPr>
          <w:sz w:val="20"/>
        </w:rPr>
      </w:pPr>
      <w:r>
        <w:rPr>
          <w:position w:val="27"/>
          <w:sz w:val="20"/>
        </w:rPr>
        <w:drawing>
          <wp:inline distT="0" distB="0" distL="0" distR="0">
            <wp:extent cx="154019" cy="154019"/>
            <wp:effectExtent l="0" t="0" r="0" b="0"/>
            <wp:docPr id="409" name="image25.png" descr=""/>
            <wp:cNvGraphicFramePr>
              <a:graphicFrameLocks noChangeAspect="1"/>
            </wp:cNvGraphicFramePr>
            <a:graphic>
              <a:graphicData uri="http://schemas.openxmlformats.org/drawingml/2006/picture">
                <pic:pic>
                  <pic:nvPicPr>
                    <pic:cNvPr id="410" name="image25.png"/>
                    <pic:cNvPicPr/>
                  </pic:nvPicPr>
                  <pic:blipFill>
                    <a:blip r:embed="rId41" cstate="print"/>
                    <a:stretch>
                      <a:fillRect/>
                    </a:stretch>
                  </pic:blipFill>
                  <pic:spPr>
                    <a:xfrm>
                      <a:off x="0" y="0"/>
                      <a:ext cx="154019" cy="154019"/>
                    </a:xfrm>
                    <a:prstGeom prst="rect">
                      <a:avLst/>
                    </a:prstGeom>
                  </pic:spPr>
                </pic:pic>
              </a:graphicData>
            </a:graphic>
          </wp:inline>
        </w:drawing>
      </w:r>
      <w:r>
        <w:rPr>
          <w:position w:val="27"/>
          <w:sz w:val="20"/>
        </w:rPr>
      </w:r>
      <w:r>
        <w:rPr>
          <w:position w:val="27"/>
          <w:sz w:val="20"/>
        </w:rPr>
        <w:tab/>
      </w:r>
      <w:r>
        <w:rPr>
          <w:sz w:val="20"/>
        </w:rPr>
        <w:pict>
          <v:shape style="width:694.1pt;height:85.35pt;mso-position-horizontal-relative:char;mso-position-vertical-relative:line" type="#_x0000_t202" filled="false" stroked="false">
            <w10:anchorlock/>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950"/>
                    <w:gridCol w:w="2318"/>
                    <w:gridCol w:w="1028"/>
                    <w:gridCol w:w="791"/>
                    <w:gridCol w:w="850"/>
                    <w:gridCol w:w="925"/>
                    <w:gridCol w:w="803"/>
                    <w:gridCol w:w="718"/>
                    <w:gridCol w:w="874"/>
                    <w:gridCol w:w="625"/>
                  </w:tblGrid>
                  <w:tr>
                    <w:trPr>
                      <w:trHeight w:val="542" w:hRule="exact"/>
                    </w:trPr>
                    <w:tc>
                      <w:tcPr>
                        <w:tcW w:w="4950" w:type="dxa"/>
                      </w:tcPr>
                      <w:p>
                        <w:pPr>
                          <w:pStyle w:val="TableParagraph"/>
                          <w:spacing w:before="24"/>
                          <w:ind w:left="35" w:right="1828"/>
                          <w:jc w:val="left"/>
                          <w:rPr>
                            <w:sz w:val="14"/>
                          </w:rPr>
                        </w:pPr>
                        <w:r>
                          <w:rPr>
                            <w:sz w:val="14"/>
                          </w:rPr>
                          <w:t>Financial assistance received in CASH during the reporting period (total cash received from the Australian Government for the program)</w:t>
                        </w:r>
                      </w:p>
                    </w:tc>
                    <w:tc>
                      <w:tcPr>
                        <w:tcW w:w="2318" w:type="dxa"/>
                      </w:tcPr>
                      <w:p>
                        <w:pPr/>
                      </w:p>
                    </w:tc>
                    <w:tc>
                      <w:tcPr>
                        <w:tcW w:w="1028" w:type="dxa"/>
                        <w:tcBorders>
                          <w:bottom w:val="single" w:sz="0" w:space="0" w:color="000000"/>
                        </w:tcBorders>
                      </w:tcPr>
                      <w:p>
                        <w:pPr>
                          <w:pStyle w:val="TableParagraph"/>
                          <w:jc w:val="left"/>
                          <w:rPr>
                            <w:b/>
                            <w:sz w:val="14"/>
                          </w:rPr>
                        </w:pPr>
                      </w:p>
                      <w:p>
                        <w:pPr>
                          <w:pStyle w:val="TableParagraph"/>
                          <w:spacing w:before="10"/>
                          <w:jc w:val="left"/>
                          <w:rPr>
                            <w:b/>
                            <w:sz w:val="15"/>
                          </w:rPr>
                        </w:pPr>
                      </w:p>
                      <w:p>
                        <w:pPr>
                          <w:pStyle w:val="TableParagraph"/>
                          <w:spacing w:before="1"/>
                          <w:ind w:right="246"/>
                          <w:rPr>
                            <w:sz w:val="14"/>
                          </w:rPr>
                        </w:pPr>
                        <w:r>
                          <w:rPr>
                            <w:sz w:val="14"/>
                          </w:rPr>
                          <w:t>1,136</w:t>
                        </w:r>
                      </w:p>
                    </w:tc>
                    <w:tc>
                      <w:tcPr>
                        <w:tcW w:w="791" w:type="dxa"/>
                        <w:tcBorders>
                          <w:bottom w:val="single" w:sz="0" w:space="0" w:color="000000"/>
                        </w:tcBorders>
                      </w:tcPr>
                      <w:p>
                        <w:pPr>
                          <w:pStyle w:val="TableParagraph"/>
                          <w:jc w:val="left"/>
                          <w:rPr>
                            <w:b/>
                            <w:sz w:val="14"/>
                          </w:rPr>
                        </w:pPr>
                      </w:p>
                      <w:p>
                        <w:pPr>
                          <w:pStyle w:val="TableParagraph"/>
                          <w:spacing w:before="10"/>
                          <w:jc w:val="left"/>
                          <w:rPr>
                            <w:b/>
                            <w:sz w:val="15"/>
                          </w:rPr>
                        </w:pPr>
                      </w:p>
                      <w:p>
                        <w:pPr>
                          <w:pStyle w:val="TableParagraph"/>
                          <w:spacing w:before="1"/>
                          <w:ind w:left="138" w:right="171"/>
                          <w:jc w:val="center"/>
                          <w:rPr>
                            <w:sz w:val="14"/>
                          </w:rPr>
                        </w:pPr>
                        <w:r>
                          <w:rPr>
                            <w:sz w:val="14"/>
                          </w:rPr>
                          <w:t>1,069</w:t>
                        </w:r>
                      </w:p>
                    </w:tc>
                    <w:tc>
                      <w:tcPr>
                        <w:tcW w:w="850" w:type="dxa"/>
                        <w:tcBorders>
                          <w:bottom w:val="single" w:sz="0" w:space="0" w:color="000000"/>
                        </w:tcBorders>
                      </w:tcPr>
                      <w:p>
                        <w:pPr>
                          <w:pStyle w:val="TableParagraph"/>
                          <w:jc w:val="left"/>
                          <w:rPr>
                            <w:b/>
                            <w:sz w:val="14"/>
                          </w:rPr>
                        </w:pPr>
                      </w:p>
                      <w:p>
                        <w:pPr>
                          <w:pStyle w:val="TableParagraph"/>
                          <w:spacing w:before="10"/>
                          <w:jc w:val="left"/>
                          <w:rPr>
                            <w:b/>
                            <w:sz w:val="15"/>
                          </w:rPr>
                        </w:pPr>
                      </w:p>
                      <w:p>
                        <w:pPr>
                          <w:pStyle w:val="TableParagraph"/>
                          <w:spacing w:before="1"/>
                          <w:ind w:right="258"/>
                          <w:rPr>
                            <w:sz w:val="14"/>
                          </w:rPr>
                        </w:pPr>
                        <w:r>
                          <w:rPr>
                            <w:sz w:val="14"/>
                          </w:rPr>
                          <w:t>1,136</w:t>
                        </w:r>
                      </w:p>
                    </w:tc>
                    <w:tc>
                      <w:tcPr>
                        <w:tcW w:w="925" w:type="dxa"/>
                        <w:tcBorders>
                          <w:bottom w:val="single" w:sz="0" w:space="0" w:color="000000"/>
                        </w:tcBorders>
                      </w:tcPr>
                      <w:p>
                        <w:pPr>
                          <w:pStyle w:val="TableParagraph"/>
                          <w:jc w:val="left"/>
                          <w:rPr>
                            <w:b/>
                            <w:sz w:val="14"/>
                          </w:rPr>
                        </w:pPr>
                      </w:p>
                      <w:p>
                        <w:pPr>
                          <w:pStyle w:val="TableParagraph"/>
                          <w:spacing w:before="10"/>
                          <w:jc w:val="left"/>
                          <w:rPr>
                            <w:b/>
                            <w:sz w:val="15"/>
                          </w:rPr>
                        </w:pPr>
                      </w:p>
                      <w:p>
                        <w:pPr>
                          <w:pStyle w:val="TableParagraph"/>
                          <w:spacing w:before="1"/>
                          <w:ind w:left="149" w:right="291"/>
                          <w:jc w:val="center"/>
                          <w:rPr>
                            <w:sz w:val="14"/>
                          </w:rPr>
                        </w:pPr>
                        <w:r>
                          <w:rPr>
                            <w:sz w:val="14"/>
                          </w:rPr>
                          <w:t>1,069</w:t>
                        </w:r>
                      </w:p>
                    </w:tc>
                    <w:tc>
                      <w:tcPr>
                        <w:tcW w:w="803" w:type="dxa"/>
                        <w:tcBorders>
                          <w:bottom w:val="single" w:sz="0" w:space="0" w:color="000000"/>
                        </w:tcBorders>
                      </w:tcPr>
                      <w:p>
                        <w:pPr>
                          <w:pStyle w:val="TableParagraph"/>
                          <w:jc w:val="left"/>
                          <w:rPr>
                            <w:b/>
                            <w:sz w:val="14"/>
                          </w:rPr>
                        </w:pPr>
                      </w:p>
                      <w:p>
                        <w:pPr>
                          <w:pStyle w:val="TableParagraph"/>
                          <w:spacing w:before="10"/>
                          <w:jc w:val="left"/>
                          <w:rPr>
                            <w:b/>
                            <w:sz w:val="15"/>
                          </w:rPr>
                        </w:pPr>
                      </w:p>
                      <w:p>
                        <w:pPr>
                          <w:pStyle w:val="TableParagraph"/>
                          <w:spacing w:before="1"/>
                          <w:ind w:left="85"/>
                          <w:jc w:val="center"/>
                          <w:rPr>
                            <w:sz w:val="14"/>
                          </w:rPr>
                        </w:pPr>
                        <w:r>
                          <w:rPr>
                            <w:w w:val="100"/>
                            <w:sz w:val="14"/>
                          </w:rPr>
                          <w:t>-</w:t>
                        </w:r>
                      </w:p>
                    </w:tc>
                    <w:tc>
                      <w:tcPr>
                        <w:tcW w:w="718" w:type="dxa"/>
                        <w:tcBorders>
                          <w:bottom w:val="single" w:sz="0" w:space="0" w:color="000000"/>
                        </w:tcBorders>
                      </w:tcPr>
                      <w:p>
                        <w:pPr>
                          <w:pStyle w:val="TableParagraph"/>
                          <w:jc w:val="left"/>
                          <w:rPr>
                            <w:b/>
                            <w:sz w:val="14"/>
                          </w:rPr>
                        </w:pPr>
                      </w:p>
                      <w:p>
                        <w:pPr>
                          <w:pStyle w:val="TableParagraph"/>
                          <w:spacing w:before="10"/>
                          <w:jc w:val="left"/>
                          <w:rPr>
                            <w:b/>
                            <w:sz w:val="15"/>
                          </w:rPr>
                        </w:pPr>
                      </w:p>
                      <w:p>
                        <w:pPr>
                          <w:pStyle w:val="TableParagraph"/>
                          <w:spacing w:before="1"/>
                          <w:ind w:right="224"/>
                          <w:rPr>
                            <w:sz w:val="14"/>
                          </w:rPr>
                        </w:pPr>
                        <w:r>
                          <w:rPr>
                            <w:w w:val="100"/>
                            <w:sz w:val="14"/>
                          </w:rPr>
                          <w:t>-</w:t>
                        </w:r>
                      </w:p>
                    </w:tc>
                    <w:tc>
                      <w:tcPr>
                        <w:tcW w:w="874" w:type="dxa"/>
                        <w:tcBorders>
                          <w:bottom w:val="single" w:sz="0" w:space="0" w:color="000000"/>
                        </w:tcBorders>
                      </w:tcPr>
                      <w:p>
                        <w:pPr>
                          <w:pStyle w:val="TableParagraph"/>
                          <w:jc w:val="left"/>
                          <w:rPr>
                            <w:b/>
                            <w:sz w:val="14"/>
                          </w:rPr>
                        </w:pPr>
                      </w:p>
                      <w:p>
                        <w:pPr>
                          <w:pStyle w:val="TableParagraph"/>
                          <w:spacing w:before="10"/>
                          <w:jc w:val="left"/>
                          <w:rPr>
                            <w:b/>
                            <w:sz w:val="15"/>
                          </w:rPr>
                        </w:pPr>
                      </w:p>
                      <w:p>
                        <w:pPr>
                          <w:pStyle w:val="TableParagraph"/>
                          <w:spacing w:before="1"/>
                          <w:ind w:left="207" w:right="182"/>
                          <w:jc w:val="center"/>
                          <w:rPr>
                            <w:sz w:val="14"/>
                          </w:rPr>
                        </w:pPr>
                        <w:r>
                          <w:rPr>
                            <w:sz w:val="14"/>
                          </w:rPr>
                          <w:t>1,136</w:t>
                        </w:r>
                      </w:p>
                    </w:tc>
                    <w:tc>
                      <w:tcPr>
                        <w:tcW w:w="625" w:type="dxa"/>
                        <w:tcBorders>
                          <w:bottom w:val="single" w:sz="0" w:space="0" w:color="000000"/>
                        </w:tcBorders>
                      </w:tcPr>
                      <w:p>
                        <w:pPr>
                          <w:pStyle w:val="TableParagraph"/>
                          <w:jc w:val="left"/>
                          <w:rPr>
                            <w:b/>
                            <w:sz w:val="14"/>
                          </w:rPr>
                        </w:pPr>
                      </w:p>
                      <w:p>
                        <w:pPr>
                          <w:pStyle w:val="TableParagraph"/>
                          <w:spacing w:before="10"/>
                          <w:jc w:val="left"/>
                          <w:rPr>
                            <w:b/>
                            <w:sz w:val="15"/>
                          </w:rPr>
                        </w:pPr>
                      </w:p>
                      <w:p>
                        <w:pPr>
                          <w:pStyle w:val="TableParagraph"/>
                          <w:spacing w:before="1"/>
                          <w:ind w:right="69"/>
                          <w:rPr>
                            <w:sz w:val="14"/>
                          </w:rPr>
                        </w:pPr>
                        <w:r>
                          <w:rPr>
                            <w:sz w:val="14"/>
                          </w:rPr>
                          <w:t>1,069</w:t>
                        </w:r>
                      </w:p>
                    </w:tc>
                  </w:tr>
                  <w:tr>
                    <w:trPr>
                      <w:trHeight w:val="237" w:hRule="exact"/>
                    </w:trPr>
                    <w:tc>
                      <w:tcPr>
                        <w:tcW w:w="4950" w:type="dxa"/>
                      </w:tcPr>
                      <w:p>
                        <w:pPr>
                          <w:pStyle w:val="TableParagraph"/>
                          <w:spacing w:before="41"/>
                          <w:ind w:left="35" w:right="1828"/>
                          <w:jc w:val="left"/>
                          <w:rPr>
                            <w:sz w:val="14"/>
                          </w:rPr>
                        </w:pPr>
                        <w:r>
                          <w:rPr>
                            <w:sz w:val="14"/>
                          </w:rPr>
                          <w:t>Revenue for the period</w:t>
                        </w:r>
                      </w:p>
                    </w:tc>
                    <w:tc>
                      <w:tcPr>
                        <w:tcW w:w="2318" w:type="dxa"/>
                      </w:tcPr>
                      <w:p>
                        <w:pPr>
                          <w:pStyle w:val="TableParagraph"/>
                          <w:spacing w:before="38"/>
                          <w:ind w:right="79"/>
                          <w:rPr>
                            <w:sz w:val="14"/>
                          </w:rPr>
                        </w:pPr>
                        <w:r>
                          <w:rPr>
                            <w:sz w:val="14"/>
                          </w:rPr>
                          <w:t>2(f)(iii)</w:t>
                        </w:r>
                      </w:p>
                    </w:tc>
                    <w:tc>
                      <w:tcPr>
                        <w:tcW w:w="1028" w:type="dxa"/>
                        <w:tcBorders>
                          <w:top w:val="single" w:sz="0" w:space="0" w:color="000000"/>
                        </w:tcBorders>
                      </w:tcPr>
                      <w:p>
                        <w:pPr>
                          <w:pStyle w:val="TableParagraph"/>
                          <w:spacing w:before="39"/>
                          <w:ind w:right="246"/>
                          <w:rPr>
                            <w:sz w:val="14"/>
                          </w:rPr>
                        </w:pPr>
                        <w:r>
                          <w:rPr>
                            <w:sz w:val="14"/>
                          </w:rPr>
                          <w:t>1,136</w:t>
                        </w:r>
                      </w:p>
                    </w:tc>
                    <w:tc>
                      <w:tcPr>
                        <w:tcW w:w="791" w:type="dxa"/>
                        <w:tcBorders>
                          <w:top w:val="single" w:sz="0" w:space="0" w:color="000000"/>
                        </w:tcBorders>
                      </w:tcPr>
                      <w:p>
                        <w:pPr>
                          <w:pStyle w:val="TableParagraph"/>
                          <w:spacing w:before="39"/>
                          <w:ind w:left="138" w:right="171"/>
                          <w:jc w:val="center"/>
                          <w:rPr>
                            <w:sz w:val="14"/>
                          </w:rPr>
                        </w:pPr>
                        <w:r>
                          <w:rPr>
                            <w:sz w:val="14"/>
                          </w:rPr>
                          <w:t>1,069</w:t>
                        </w:r>
                      </w:p>
                    </w:tc>
                    <w:tc>
                      <w:tcPr>
                        <w:tcW w:w="850" w:type="dxa"/>
                        <w:tcBorders>
                          <w:top w:val="single" w:sz="0" w:space="0" w:color="000000"/>
                        </w:tcBorders>
                      </w:tcPr>
                      <w:p>
                        <w:pPr>
                          <w:pStyle w:val="TableParagraph"/>
                          <w:spacing w:before="39"/>
                          <w:ind w:right="258"/>
                          <w:rPr>
                            <w:sz w:val="14"/>
                          </w:rPr>
                        </w:pPr>
                        <w:r>
                          <w:rPr>
                            <w:sz w:val="14"/>
                          </w:rPr>
                          <w:t>1,136</w:t>
                        </w:r>
                      </w:p>
                    </w:tc>
                    <w:tc>
                      <w:tcPr>
                        <w:tcW w:w="925" w:type="dxa"/>
                        <w:tcBorders>
                          <w:top w:val="single" w:sz="0" w:space="0" w:color="000000"/>
                        </w:tcBorders>
                      </w:tcPr>
                      <w:p>
                        <w:pPr>
                          <w:pStyle w:val="TableParagraph"/>
                          <w:spacing w:before="39"/>
                          <w:ind w:left="149" w:right="291"/>
                          <w:jc w:val="center"/>
                          <w:rPr>
                            <w:sz w:val="14"/>
                          </w:rPr>
                        </w:pPr>
                        <w:r>
                          <w:rPr>
                            <w:sz w:val="14"/>
                          </w:rPr>
                          <w:t>1,069</w:t>
                        </w:r>
                      </w:p>
                    </w:tc>
                    <w:tc>
                      <w:tcPr>
                        <w:tcW w:w="803" w:type="dxa"/>
                        <w:tcBorders>
                          <w:top w:val="single" w:sz="0" w:space="0" w:color="000000"/>
                        </w:tcBorders>
                      </w:tcPr>
                      <w:p>
                        <w:pPr>
                          <w:pStyle w:val="TableParagraph"/>
                          <w:spacing w:before="39"/>
                          <w:ind w:left="85"/>
                          <w:jc w:val="center"/>
                          <w:rPr>
                            <w:sz w:val="14"/>
                          </w:rPr>
                        </w:pPr>
                        <w:r>
                          <w:rPr>
                            <w:w w:val="100"/>
                            <w:sz w:val="14"/>
                          </w:rPr>
                          <w:t>-</w:t>
                        </w:r>
                      </w:p>
                    </w:tc>
                    <w:tc>
                      <w:tcPr>
                        <w:tcW w:w="718" w:type="dxa"/>
                        <w:tcBorders>
                          <w:top w:val="single" w:sz="0" w:space="0" w:color="000000"/>
                        </w:tcBorders>
                      </w:tcPr>
                      <w:p>
                        <w:pPr>
                          <w:pStyle w:val="TableParagraph"/>
                          <w:spacing w:before="39"/>
                          <w:ind w:right="224"/>
                          <w:rPr>
                            <w:sz w:val="14"/>
                          </w:rPr>
                        </w:pPr>
                        <w:r>
                          <w:rPr>
                            <w:w w:val="100"/>
                            <w:sz w:val="14"/>
                          </w:rPr>
                          <w:t>-</w:t>
                        </w:r>
                      </w:p>
                    </w:tc>
                    <w:tc>
                      <w:tcPr>
                        <w:tcW w:w="874" w:type="dxa"/>
                        <w:tcBorders>
                          <w:top w:val="single" w:sz="0" w:space="0" w:color="000000"/>
                        </w:tcBorders>
                      </w:tcPr>
                      <w:p>
                        <w:pPr>
                          <w:pStyle w:val="TableParagraph"/>
                          <w:spacing w:before="39"/>
                          <w:ind w:left="207" w:right="182"/>
                          <w:jc w:val="center"/>
                          <w:rPr>
                            <w:sz w:val="14"/>
                          </w:rPr>
                        </w:pPr>
                        <w:r>
                          <w:rPr>
                            <w:sz w:val="14"/>
                          </w:rPr>
                          <w:t>1,136</w:t>
                        </w:r>
                      </w:p>
                    </w:tc>
                    <w:tc>
                      <w:tcPr>
                        <w:tcW w:w="625" w:type="dxa"/>
                        <w:tcBorders>
                          <w:top w:val="single" w:sz="0" w:space="0" w:color="000000"/>
                        </w:tcBorders>
                      </w:tcPr>
                      <w:p>
                        <w:pPr>
                          <w:pStyle w:val="TableParagraph"/>
                          <w:spacing w:before="39"/>
                          <w:ind w:right="69"/>
                          <w:rPr>
                            <w:sz w:val="14"/>
                          </w:rPr>
                        </w:pPr>
                        <w:r>
                          <w:rPr>
                            <w:sz w:val="14"/>
                          </w:rPr>
                          <w:t>1,069</w:t>
                        </w:r>
                      </w:p>
                    </w:tc>
                  </w:tr>
                  <w:tr>
                    <w:trPr>
                      <w:trHeight w:val="219" w:hRule="exact"/>
                    </w:trPr>
                    <w:tc>
                      <w:tcPr>
                        <w:tcW w:w="4950" w:type="dxa"/>
                      </w:tcPr>
                      <w:p>
                        <w:pPr>
                          <w:pStyle w:val="TableParagraph"/>
                          <w:spacing w:before="22"/>
                          <w:ind w:left="35" w:right="1828"/>
                          <w:jc w:val="left"/>
                          <w:rPr>
                            <w:sz w:val="14"/>
                          </w:rPr>
                        </w:pPr>
                        <w:r>
                          <w:rPr>
                            <w:sz w:val="14"/>
                          </w:rPr>
                          <w:t>Surplus/(deficit) from the previous year</w:t>
                        </w:r>
                      </w:p>
                    </w:tc>
                    <w:tc>
                      <w:tcPr>
                        <w:tcW w:w="2318" w:type="dxa"/>
                      </w:tcPr>
                      <w:p>
                        <w:pPr/>
                      </w:p>
                    </w:tc>
                    <w:tc>
                      <w:tcPr>
                        <w:tcW w:w="1028" w:type="dxa"/>
                        <w:tcBorders>
                          <w:bottom w:val="single" w:sz="0" w:space="0" w:color="000000"/>
                        </w:tcBorders>
                      </w:tcPr>
                      <w:p>
                        <w:pPr>
                          <w:pStyle w:val="TableParagraph"/>
                          <w:spacing w:before="21"/>
                          <w:ind w:right="246"/>
                          <w:rPr>
                            <w:sz w:val="14"/>
                          </w:rPr>
                        </w:pPr>
                        <w:r>
                          <w:rPr>
                            <w:sz w:val="14"/>
                          </w:rPr>
                          <w:t>1,052</w:t>
                        </w:r>
                      </w:p>
                    </w:tc>
                    <w:tc>
                      <w:tcPr>
                        <w:tcW w:w="791" w:type="dxa"/>
                        <w:tcBorders>
                          <w:bottom w:val="single" w:sz="0" w:space="0" w:color="000000"/>
                        </w:tcBorders>
                      </w:tcPr>
                      <w:p>
                        <w:pPr>
                          <w:pStyle w:val="TableParagraph"/>
                          <w:spacing w:before="21"/>
                          <w:ind w:left="183" w:right="102"/>
                          <w:jc w:val="center"/>
                          <w:rPr>
                            <w:sz w:val="14"/>
                          </w:rPr>
                        </w:pPr>
                        <w:r>
                          <w:rPr>
                            <w:sz w:val="14"/>
                          </w:rPr>
                          <w:t>848</w:t>
                        </w:r>
                      </w:p>
                    </w:tc>
                    <w:tc>
                      <w:tcPr>
                        <w:tcW w:w="850" w:type="dxa"/>
                        <w:tcBorders>
                          <w:bottom w:val="single" w:sz="0" w:space="0" w:color="000000"/>
                        </w:tcBorders>
                      </w:tcPr>
                      <w:p>
                        <w:pPr>
                          <w:pStyle w:val="TableParagraph"/>
                          <w:spacing w:before="21"/>
                          <w:ind w:right="258"/>
                          <w:rPr>
                            <w:sz w:val="14"/>
                          </w:rPr>
                        </w:pPr>
                        <w:r>
                          <w:rPr>
                            <w:sz w:val="14"/>
                          </w:rPr>
                          <w:t>1,052</w:t>
                        </w:r>
                      </w:p>
                    </w:tc>
                    <w:tc>
                      <w:tcPr>
                        <w:tcW w:w="925" w:type="dxa"/>
                        <w:tcBorders>
                          <w:bottom w:val="single" w:sz="0" w:space="0" w:color="000000"/>
                        </w:tcBorders>
                      </w:tcPr>
                      <w:p>
                        <w:pPr>
                          <w:pStyle w:val="TableParagraph"/>
                          <w:spacing w:before="21"/>
                          <w:ind w:left="196" w:right="220"/>
                          <w:jc w:val="center"/>
                          <w:rPr>
                            <w:sz w:val="14"/>
                          </w:rPr>
                        </w:pPr>
                        <w:r>
                          <w:rPr>
                            <w:sz w:val="14"/>
                          </w:rPr>
                          <w:t>848</w:t>
                        </w:r>
                      </w:p>
                    </w:tc>
                    <w:tc>
                      <w:tcPr>
                        <w:tcW w:w="803" w:type="dxa"/>
                        <w:tcBorders>
                          <w:bottom w:val="single" w:sz="0" w:space="0" w:color="000000"/>
                        </w:tcBorders>
                      </w:tcPr>
                      <w:p>
                        <w:pPr>
                          <w:pStyle w:val="TableParagraph"/>
                          <w:spacing w:before="21"/>
                          <w:ind w:left="293" w:right="314"/>
                          <w:jc w:val="center"/>
                          <w:rPr>
                            <w:sz w:val="14"/>
                          </w:rPr>
                        </w:pPr>
                        <w:r>
                          <w:rPr>
                            <w:sz w:val="14"/>
                          </w:rPr>
                          <w:t>20</w:t>
                        </w:r>
                      </w:p>
                    </w:tc>
                    <w:tc>
                      <w:tcPr>
                        <w:tcW w:w="718" w:type="dxa"/>
                        <w:tcBorders>
                          <w:bottom w:val="single" w:sz="0" w:space="0" w:color="000000"/>
                        </w:tcBorders>
                      </w:tcPr>
                      <w:p>
                        <w:pPr>
                          <w:pStyle w:val="TableParagraph"/>
                          <w:spacing w:before="21"/>
                          <w:ind w:right="224"/>
                          <w:rPr>
                            <w:sz w:val="14"/>
                          </w:rPr>
                        </w:pPr>
                        <w:r>
                          <w:rPr>
                            <w:sz w:val="14"/>
                          </w:rPr>
                          <w:t>20</w:t>
                        </w:r>
                      </w:p>
                    </w:tc>
                    <w:tc>
                      <w:tcPr>
                        <w:tcW w:w="874" w:type="dxa"/>
                        <w:tcBorders>
                          <w:bottom w:val="single" w:sz="0" w:space="0" w:color="000000"/>
                        </w:tcBorders>
                      </w:tcPr>
                      <w:p>
                        <w:pPr>
                          <w:pStyle w:val="TableParagraph"/>
                          <w:spacing w:before="21"/>
                          <w:ind w:left="207" w:right="182"/>
                          <w:jc w:val="center"/>
                          <w:rPr>
                            <w:sz w:val="14"/>
                          </w:rPr>
                        </w:pPr>
                        <w:r>
                          <w:rPr>
                            <w:sz w:val="14"/>
                          </w:rPr>
                          <w:t>1,072</w:t>
                        </w:r>
                      </w:p>
                    </w:tc>
                    <w:tc>
                      <w:tcPr>
                        <w:tcW w:w="625" w:type="dxa"/>
                        <w:tcBorders>
                          <w:bottom w:val="single" w:sz="0" w:space="0" w:color="000000"/>
                        </w:tcBorders>
                      </w:tcPr>
                      <w:p>
                        <w:pPr>
                          <w:pStyle w:val="TableParagraph"/>
                          <w:spacing w:before="21"/>
                          <w:ind w:right="70"/>
                          <w:rPr>
                            <w:sz w:val="14"/>
                          </w:rPr>
                        </w:pPr>
                        <w:r>
                          <w:rPr>
                            <w:sz w:val="14"/>
                          </w:rPr>
                          <w:t>868</w:t>
                        </w:r>
                      </w:p>
                    </w:tc>
                  </w:tr>
                  <w:tr>
                    <w:trPr>
                      <w:trHeight w:val="237" w:hRule="exact"/>
                    </w:trPr>
                    <w:tc>
                      <w:tcPr>
                        <w:tcW w:w="4950" w:type="dxa"/>
                      </w:tcPr>
                      <w:p>
                        <w:pPr>
                          <w:pStyle w:val="TableParagraph"/>
                          <w:spacing w:before="41"/>
                          <w:ind w:left="35" w:right="1828"/>
                          <w:jc w:val="left"/>
                          <w:rPr>
                            <w:sz w:val="14"/>
                          </w:rPr>
                        </w:pPr>
                        <w:r>
                          <w:rPr>
                            <w:sz w:val="14"/>
                          </w:rPr>
                          <w:t>Total revenue including accrued revenue</w:t>
                        </w:r>
                      </w:p>
                    </w:tc>
                    <w:tc>
                      <w:tcPr>
                        <w:tcW w:w="2318" w:type="dxa"/>
                      </w:tcPr>
                      <w:p>
                        <w:pPr/>
                      </w:p>
                    </w:tc>
                    <w:tc>
                      <w:tcPr>
                        <w:tcW w:w="1028" w:type="dxa"/>
                        <w:tcBorders>
                          <w:top w:val="single" w:sz="0" w:space="0" w:color="000000"/>
                        </w:tcBorders>
                      </w:tcPr>
                      <w:p>
                        <w:pPr>
                          <w:pStyle w:val="TableParagraph"/>
                          <w:spacing w:before="39"/>
                          <w:ind w:right="246"/>
                          <w:rPr>
                            <w:sz w:val="14"/>
                          </w:rPr>
                        </w:pPr>
                        <w:r>
                          <w:rPr>
                            <w:sz w:val="14"/>
                          </w:rPr>
                          <w:t>2,188</w:t>
                        </w:r>
                      </w:p>
                    </w:tc>
                    <w:tc>
                      <w:tcPr>
                        <w:tcW w:w="791" w:type="dxa"/>
                        <w:tcBorders>
                          <w:top w:val="single" w:sz="0" w:space="0" w:color="000000"/>
                        </w:tcBorders>
                      </w:tcPr>
                      <w:p>
                        <w:pPr>
                          <w:pStyle w:val="TableParagraph"/>
                          <w:spacing w:before="39"/>
                          <w:ind w:left="138" w:right="171"/>
                          <w:jc w:val="center"/>
                          <w:rPr>
                            <w:sz w:val="14"/>
                          </w:rPr>
                        </w:pPr>
                        <w:r>
                          <w:rPr>
                            <w:sz w:val="14"/>
                          </w:rPr>
                          <w:t>1,917</w:t>
                        </w:r>
                      </w:p>
                    </w:tc>
                    <w:tc>
                      <w:tcPr>
                        <w:tcW w:w="850" w:type="dxa"/>
                        <w:tcBorders>
                          <w:top w:val="single" w:sz="0" w:space="0" w:color="000000"/>
                        </w:tcBorders>
                      </w:tcPr>
                      <w:p>
                        <w:pPr>
                          <w:pStyle w:val="TableParagraph"/>
                          <w:spacing w:before="39"/>
                          <w:ind w:right="258"/>
                          <w:rPr>
                            <w:sz w:val="14"/>
                          </w:rPr>
                        </w:pPr>
                        <w:r>
                          <w:rPr>
                            <w:sz w:val="14"/>
                          </w:rPr>
                          <w:t>2,188</w:t>
                        </w:r>
                      </w:p>
                    </w:tc>
                    <w:tc>
                      <w:tcPr>
                        <w:tcW w:w="925" w:type="dxa"/>
                        <w:tcBorders>
                          <w:top w:val="single" w:sz="0" w:space="0" w:color="000000"/>
                        </w:tcBorders>
                      </w:tcPr>
                      <w:p>
                        <w:pPr>
                          <w:pStyle w:val="TableParagraph"/>
                          <w:spacing w:before="39"/>
                          <w:ind w:left="149" w:right="291"/>
                          <w:jc w:val="center"/>
                          <w:rPr>
                            <w:sz w:val="14"/>
                          </w:rPr>
                        </w:pPr>
                        <w:r>
                          <w:rPr>
                            <w:sz w:val="14"/>
                          </w:rPr>
                          <w:t>1,917</w:t>
                        </w:r>
                      </w:p>
                    </w:tc>
                    <w:tc>
                      <w:tcPr>
                        <w:tcW w:w="803" w:type="dxa"/>
                        <w:tcBorders>
                          <w:top w:val="single" w:sz="0" w:space="0" w:color="000000"/>
                        </w:tcBorders>
                      </w:tcPr>
                      <w:p>
                        <w:pPr>
                          <w:pStyle w:val="TableParagraph"/>
                          <w:spacing w:before="39"/>
                          <w:ind w:left="293" w:right="314"/>
                          <w:jc w:val="center"/>
                          <w:rPr>
                            <w:sz w:val="14"/>
                          </w:rPr>
                        </w:pPr>
                        <w:r>
                          <w:rPr>
                            <w:sz w:val="14"/>
                          </w:rPr>
                          <w:t>20</w:t>
                        </w:r>
                      </w:p>
                    </w:tc>
                    <w:tc>
                      <w:tcPr>
                        <w:tcW w:w="718" w:type="dxa"/>
                        <w:tcBorders>
                          <w:top w:val="single" w:sz="0" w:space="0" w:color="000000"/>
                        </w:tcBorders>
                      </w:tcPr>
                      <w:p>
                        <w:pPr>
                          <w:pStyle w:val="TableParagraph"/>
                          <w:spacing w:before="39"/>
                          <w:ind w:right="224"/>
                          <w:rPr>
                            <w:sz w:val="14"/>
                          </w:rPr>
                        </w:pPr>
                        <w:r>
                          <w:rPr>
                            <w:sz w:val="14"/>
                          </w:rPr>
                          <w:t>20</w:t>
                        </w:r>
                      </w:p>
                    </w:tc>
                    <w:tc>
                      <w:tcPr>
                        <w:tcW w:w="874" w:type="dxa"/>
                        <w:tcBorders>
                          <w:top w:val="single" w:sz="0" w:space="0" w:color="000000"/>
                        </w:tcBorders>
                      </w:tcPr>
                      <w:p>
                        <w:pPr>
                          <w:pStyle w:val="TableParagraph"/>
                          <w:spacing w:before="39"/>
                          <w:ind w:left="207" w:right="182"/>
                          <w:jc w:val="center"/>
                          <w:rPr>
                            <w:sz w:val="14"/>
                          </w:rPr>
                        </w:pPr>
                        <w:r>
                          <w:rPr>
                            <w:sz w:val="14"/>
                          </w:rPr>
                          <w:t>2,208</w:t>
                        </w:r>
                      </w:p>
                    </w:tc>
                    <w:tc>
                      <w:tcPr>
                        <w:tcW w:w="625" w:type="dxa"/>
                        <w:tcBorders>
                          <w:top w:val="single" w:sz="0" w:space="0" w:color="000000"/>
                        </w:tcBorders>
                      </w:tcPr>
                      <w:p>
                        <w:pPr>
                          <w:pStyle w:val="TableParagraph"/>
                          <w:spacing w:before="39"/>
                          <w:ind w:right="69"/>
                          <w:rPr>
                            <w:sz w:val="14"/>
                          </w:rPr>
                        </w:pPr>
                        <w:r>
                          <w:rPr>
                            <w:sz w:val="14"/>
                          </w:rPr>
                          <w:t>1,937</w:t>
                        </w:r>
                      </w:p>
                    </w:tc>
                  </w:tr>
                  <w:tr>
                    <w:trPr>
                      <w:trHeight w:val="219" w:hRule="exact"/>
                    </w:trPr>
                    <w:tc>
                      <w:tcPr>
                        <w:tcW w:w="4950" w:type="dxa"/>
                      </w:tcPr>
                      <w:p>
                        <w:pPr>
                          <w:pStyle w:val="TableParagraph"/>
                          <w:spacing w:before="22"/>
                          <w:ind w:left="35" w:right="1828"/>
                          <w:jc w:val="left"/>
                          <w:rPr>
                            <w:sz w:val="14"/>
                          </w:rPr>
                        </w:pPr>
                        <w:r>
                          <w:rPr>
                            <w:sz w:val="14"/>
                          </w:rPr>
                          <w:t>Less expenses including accrued expenses</w:t>
                        </w:r>
                      </w:p>
                    </w:tc>
                    <w:tc>
                      <w:tcPr>
                        <w:tcW w:w="2318" w:type="dxa"/>
                      </w:tcPr>
                      <w:p>
                        <w:pPr/>
                      </w:p>
                    </w:tc>
                    <w:tc>
                      <w:tcPr>
                        <w:tcW w:w="1028" w:type="dxa"/>
                        <w:tcBorders>
                          <w:bottom w:val="single" w:sz="0" w:space="0" w:color="000000"/>
                        </w:tcBorders>
                      </w:tcPr>
                      <w:p>
                        <w:pPr>
                          <w:pStyle w:val="TableParagraph"/>
                          <w:spacing w:before="21"/>
                          <w:ind w:right="199"/>
                          <w:rPr>
                            <w:sz w:val="14"/>
                          </w:rPr>
                        </w:pPr>
                        <w:r>
                          <w:rPr>
                            <w:sz w:val="14"/>
                          </w:rPr>
                          <w:t>(1,270)</w:t>
                        </w:r>
                      </w:p>
                    </w:tc>
                    <w:tc>
                      <w:tcPr>
                        <w:tcW w:w="791" w:type="dxa"/>
                        <w:tcBorders>
                          <w:bottom w:val="single" w:sz="0" w:space="0" w:color="000000"/>
                        </w:tcBorders>
                      </w:tcPr>
                      <w:p>
                        <w:pPr>
                          <w:pStyle w:val="TableParagraph"/>
                          <w:spacing w:before="21"/>
                          <w:ind w:left="183" w:right="102"/>
                          <w:jc w:val="center"/>
                          <w:rPr>
                            <w:sz w:val="14"/>
                          </w:rPr>
                        </w:pPr>
                        <w:r>
                          <w:rPr>
                            <w:sz w:val="14"/>
                          </w:rPr>
                          <w:t>(865)</w:t>
                        </w:r>
                      </w:p>
                    </w:tc>
                    <w:tc>
                      <w:tcPr>
                        <w:tcW w:w="850" w:type="dxa"/>
                        <w:tcBorders>
                          <w:bottom w:val="single" w:sz="0" w:space="0" w:color="000000"/>
                        </w:tcBorders>
                      </w:tcPr>
                      <w:p>
                        <w:pPr>
                          <w:pStyle w:val="TableParagraph"/>
                          <w:spacing w:before="21"/>
                          <w:ind w:right="212"/>
                          <w:rPr>
                            <w:sz w:val="14"/>
                          </w:rPr>
                        </w:pPr>
                        <w:r>
                          <w:rPr>
                            <w:sz w:val="14"/>
                          </w:rPr>
                          <w:t>(1,270)</w:t>
                        </w:r>
                      </w:p>
                    </w:tc>
                    <w:tc>
                      <w:tcPr>
                        <w:tcW w:w="925" w:type="dxa"/>
                        <w:tcBorders>
                          <w:bottom w:val="single" w:sz="0" w:space="0" w:color="000000"/>
                        </w:tcBorders>
                      </w:tcPr>
                      <w:p>
                        <w:pPr>
                          <w:pStyle w:val="TableParagraph"/>
                          <w:spacing w:before="21"/>
                          <w:ind w:left="196" w:right="222"/>
                          <w:jc w:val="center"/>
                          <w:rPr>
                            <w:sz w:val="14"/>
                          </w:rPr>
                        </w:pPr>
                        <w:r>
                          <w:rPr>
                            <w:sz w:val="14"/>
                          </w:rPr>
                          <w:t>(865)</w:t>
                        </w:r>
                      </w:p>
                    </w:tc>
                    <w:tc>
                      <w:tcPr>
                        <w:tcW w:w="803" w:type="dxa"/>
                        <w:tcBorders>
                          <w:bottom w:val="single" w:sz="0" w:space="0" w:color="000000"/>
                        </w:tcBorders>
                      </w:tcPr>
                      <w:p>
                        <w:pPr>
                          <w:pStyle w:val="TableParagraph"/>
                          <w:spacing w:before="21"/>
                          <w:ind w:left="85"/>
                          <w:jc w:val="center"/>
                          <w:rPr>
                            <w:sz w:val="14"/>
                          </w:rPr>
                        </w:pPr>
                        <w:r>
                          <w:rPr>
                            <w:w w:val="100"/>
                            <w:sz w:val="14"/>
                          </w:rPr>
                          <w:t>-</w:t>
                        </w:r>
                      </w:p>
                    </w:tc>
                    <w:tc>
                      <w:tcPr>
                        <w:tcW w:w="718" w:type="dxa"/>
                        <w:tcBorders>
                          <w:bottom w:val="single" w:sz="0" w:space="0" w:color="000000"/>
                        </w:tcBorders>
                      </w:tcPr>
                      <w:p>
                        <w:pPr>
                          <w:pStyle w:val="TableParagraph"/>
                          <w:spacing w:before="21"/>
                          <w:ind w:right="224"/>
                          <w:rPr>
                            <w:sz w:val="14"/>
                          </w:rPr>
                        </w:pPr>
                        <w:r>
                          <w:rPr>
                            <w:w w:val="100"/>
                            <w:sz w:val="14"/>
                          </w:rPr>
                          <w:t>-</w:t>
                        </w:r>
                      </w:p>
                    </w:tc>
                    <w:tc>
                      <w:tcPr>
                        <w:tcW w:w="874" w:type="dxa"/>
                        <w:tcBorders>
                          <w:bottom w:val="single" w:sz="0" w:space="0" w:color="000000"/>
                        </w:tcBorders>
                      </w:tcPr>
                      <w:p>
                        <w:pPr>
                          <w:pStyle w:val="TableParagraph"/>
                          <w:spacing w:before="21"/>
                          <w:ind w:left="207" w:right="182"/>
                          <w:jc w:val="center"/>
                          <w:rPr>
                            <w:sz w:val="14"/>
                          </w:rPr>
                        </w:pPr>
                        <w:r>
                          <w:rPr>
                            <w:sz w:val="14"/>
                          </w:rPr>
                          <w:t>(1,270)</w:t>
                        </w:r>
                      </w:p>
                    </w:tc>
                    <w:tc>
                      <w:tcPr>
                        <w:tcW w:w="625" w:type="dxa"/>
                        <w:tcBorders>
                          <w:bottom w:val="single" w:sz="0" w:space="0" w:color="000000"/>
                        </w:tcBorders>
                      </w:tcPr>
                      <w:p>
                        <w:pPr>
                          <w:pStyle w:val="TableParagraph"/>
                          <w:spacing w:before="21"/>
                          <w:ind w:right="23"/>
                          <w:rPr>
                            <w:sz w:val="14"/>
                          </w:rPr>
                        </w:pPr>
                        <w:r>
                          <w:rPr>
                            <w:sz w:val="14"/>
                          </w:rPr>
                          <w:t>(865)</w:t>
                        </w:r>
                      </w:p>
                    </w:tc>
                  </w:tr>
                  <w:tr>
                    <w:trPr>
                      <w:trHeight w:val="253" w:hRule="exact"/>
                    </w:trPr>
                    <w:tc>
                      <w:tcPr>
                        <w:tcW w:w="4950" w:type="dxa"/>
                      </w:tcPr>
                      <w:p>
                        <w:pPr>
                          <w:pStyle w:val="TableParagraph"/>
                          <w:spacing w:before="41"/>
                          <w:ind w:left="35" w:right="1828"/>
                          <w:jc w:val="left"/>
                          <w:rPr>
                            <w:sz w:val="14"/>
                          </w:rPr>
                        </w:pPr>
                        <w:r>
                          <w:rPr>
                            <w:sz w:val="14"/>
                          </w:rPr>
                          <w:t>Surplus/(deficit) for reporting period</w:t>
                        </w:r>
                      </w:p>
                    </w:tc>
                    <w:tc>
                      <w:tcPr>
                        <w:tcW w:w="2318" w:type="dxa"/>
                      </w:tcPr>
                      <w:p>
                        <w:pPr/>
                      </w:p>
                    </w:tc>
                    <w:tc>
                      <w:tcPr>
                        <w:tcW w:w="1028" w:type="dxa"/>
                        <w:tcBorders>
                          <w:top w:val="single" w:sz="0" w:space="0" w:color="000000"/>
                          <w:bottom w:val="single" w:sz="0" w:space="0" w:color="000000"/>
                        </w:tcBorders>
                      </w:tcPr>
                      <w:p>
                        <w:pPr>
                          <w:pStyle w:val="TableParagraph"/>
                          <w:spacing w:before="39"/>
                          <w:ind w:right="246"/>
                          <w:rPr>
                            <w:sz w:val="14"/>
                          </w:rPr>
                        </w:pPr>
                        <w:r>
                          <w:rPr>
                            <w:sz w:val="14"/>
                          </w:rPr>
                          <w:t>918</w:t>
                        </w:r>
                      </w:p>
                    </w:tc>
                    <w:tc>
                      <w:tcPr>
                        <w:tcW w:w="791" w:type="dxa"/>
                        <w:tcBorders>
                          <w:top w:val="single" w:sz="0" w:space="0" w:color="000000"/>
                          <w:bottom w:val="single" w:sz="0" w:space="0" w:color="000000"/>
                        </w:tcBorders>
                      </w:tcPr>
                      <w:p>
                        <w:pPr>
                          <w:pStyle w:val="TableParagraph"/>
                          <w:spacing w:before="39"/>
                          <w:ind w:left="138" w:right="171"/>
                          <w:jc w:val="center"/>
                          <w:rPr>
                            <w:sz w:val="14"/>
                          </w:rPr>
                        </w:pPr>
                        <w:r>
                          <w:rPr>
                            <w:sz w:val="14"/>
                          </w:rPr>
                          <w:t>1,052</w:t>
                        </w:r>
                      </w:p>
                    </w:tc>
                    <w:tc>
                      <w:tcPr>
                        <w:tcW w:w="850" w:type="dxa"/>
                        <w:tcBorders>
                          <w:top w:val="single" w:sz="0" w:space="0" w:color="000000"/>
                          <w:bottom w:val="single" w:sz="0" w:space="0" w:color="000000"/>
                        </w:tcBorders>
                      </w:tcPr>
                      <w:p>
                        <w:pPr>
                          <w:pStyle w:val="TableParagraph"/>
                          <w:spacing w:before="39"/>
                          <w:ind w:right="260"/>
                          <w:rPr>
                            <w:sz w:val="14"/>
                          </w:rPr>
                        </w:pPr>
                        <w:r>
                          <w:rPr>
                            <w:sz w:val="14"/>
                          </w:rPr>
                          <w:t>918</w:t>
                        </w:r>
                      </w:p>
                    </w:tc>
                    <w:tc>
                      <w:tcPr>
                        <w:tcW w:w="925" w:type="dxa"/>
                        <w:tcBorders>
                          <w:top w:val="single" w:sz="0" w:space="0" w:color="000000"/>
                          <w:bottom w:val="single" w:sz="0" w:space="0" w:color="000000"/>
                        </w:tcBorders>
                      </w:tcPr>
                      <w:p>
                        <w:pPr>
                          <w:pStyle w:val="TableParagraph"/>
                          <w:spacing w:before="39"/>
                          <w:ind w:left="149" w:right="291"/>
                          <w:jc w:val="center"/>
                          <w:rPr>
                            <w:sz w:val="14"/>
                          </w:rPr>
                        </w:pPr>
                        <w:r>
                          <w:rPr>
                            <w:sz w:val="14"/>
                          </w:rPr>
                          <w:t>1,052</w:t>
                        </w:r>
                      </w:p>
                    </w:tc>
                    <w:tc>
                      <w:tcPr>
                        <w:tcW w:w="803" w:type="dxa"/>
                        <w:tcBorders>
                          <w:top w:val="single" w:sz="0" w:space="0" w:color="000000"/>
                          <w:bottom w:val="single" w:sz="0" w:space="0" w:color="000000"/>
                        </w:tcBorders>
                      </w:tcPr>
                      <w:p>
                        <w:pPr>
                          <w:pStyle w:val="TableParagraph"/>
                          <w:spacing w:before="39"/>
                          <w:ind w:left="293" w:right="314"/>
                          <w:jc w:val="center"/>
                          <w:rPr>
                            <w:sz w:val="14"/>
                          </w:rPr>
                        </w:pPr>
                        <w:r>
                          <w:rPr>
                            <w:sz w:val="14"/>
                          </w:rPr>
                          <w:t>20</w:t>
                        </w:r>
                      </w:p>
                    </w:tc>
                    <w:tc>
                      <w:tcPr>
                        <w:tcW w:w="718" w:type="dxa"/>
                        <w:tcBorders>
                          <w:top w:val="single" w:sz="0" w:space="0" w:color="000000"/>
                          <w:bottom w:val="single" w:sz="0" w:space="0" w:color="000000"/>
                        </w:tcBorders>
                      </w:tcPr>
                      <w:p>
                        <w:pPr>
                          <w:pStyle w:val="TableParagraph"/>
                          <w:spacing w:before="39"/>
                          <w:ind w:right="224"/>
                          <w:rPr>
                            <w:sz w:val="14"/>
                          </w:rPr>
                        </w:pPr>
                        <w:r>
                          <w:rPr>
                            <w:sz w:val="14"/>
                          </w:rPr>
                          <w:t>20</w:t>
                        </w:r>
                      </w:p>
                    </w:tc>
                    <w:tc>
                      <w:tcPr>
                        <w:tcW w:w="874" w:type="dxa"/>
                        <w:tcBorders>
                          <w:top w:val="single" w:sz="0" w:space="0" w:color="000000"/>
                          <w:bottom w:val="single" w:sz="0" w:space="0" w:color="000000"/>
                        </w:tcBorders>
                      </w:tcPr>
                      <w:p>
                        <w:pPr>
                          <w:pStyle w:val="TableParagraph"/>
                          <w:spacing w:before="39"/>
                          <w:ind w:left="207" w:right="65"/>
                          <w:jc w:val="center"/>
                          <w:rPr>
                            <w:sz w:val="14"/>
                          </w:rPr>
                        </w:pPr>
                        <w:r>
                          <w:rPr>
                            <w:sz w:val="14"/>
                          </w:rPr>
                          <w:t>938</w:t>
                        </w:r>
                      </w:p>
                    </w:tc>
                    <w:tc>
                      <w:tcPr>
                        <w:tcW w:w="625" w:type="dxa"/>
                        <w:tcBorders>
                          <w:top w:val="single" w:sz="0" w:space="0" w:color="000000"/>
                          <w:bottom w:val="single" w:sz="0" w:space="0" w:color="000000"/>
                        </w:tcBorders>
                      </w:tcPr>
                      <w:p>
                        <w:pPr>
                          <w:pStyle w:val="TableParagraph"/>
                          <w:spacing w:before="39"/>
                          <w:ind w:right="69"/>
                          <w:rPr>
                            <w:sz w:val="14"/>
                          </w:rPr>
                        </w:pPr>
                        <w:r>
                          <w:rPr>
                            <w:sz w:val="14"/>
                          </w:rPr>
                          <w:t>1,072</w:t>
                        </w:r>
                      </w:p>
                    </w:tc>
                  </w:tr>
                </w:tbl>
                <w:p>
                  <w:pPr>
                    <w:pStyle w:val="BodyText"/>
                  </w:pPr>
                </w:p>
              </w:txbxContent>
            </v:textbox>
          </v:shape>
        </w:pict>
      </w:r>
      <w:r>
        <w:rPr>
          <w:sz w:val="20"/>
        </w:rPr>
      </w:r>
      <w:r>
        <w:rPr>
          <w:sz w:val="20"/>
        </w:rPr>
        <w:tab/>
      </w:r>
      <w:r>
        <w:rPr>
          <w:position w:val="27"/>
          <w:sz w:val="20"/>
        </w:rPr>
        <w:drawing>
          <wp:inline distT="0" distB="0" distL="0" distR="0">
            <wp:extent cx="154019" cy="154019"/>
            <wp:effectExtent l="0" t="0" r="0" b="0"/>
            <wp:docPr id="411" name="image25.png" descr=""/>
            <wp:cNvGraphicFramePr>
              <a:graphicFrameLocks noChangeAspect="1"/>
            </wp:cNvGraphicFramePr>
            <a:graphic>
              <a:graphicData uri="http://schemas.openxmlformats.org/drawingml/2006/picture">
                <pic:pic>
                  <pic:nvPicPr>
                    <pic:cNvPr id="412" name="image25.png"/>
                    <pic:cNvPicPr/>
                  </pic:nvPicPr>
                  <pic:blipFill>
                    <a:blip r:embed="rId41" cstate="print"/>
                    <a:stretch>
                      <a:fillRect/>
                    </a:stretch>
                  </pic:blipFill>
                  <pic:spPr>
                    <a:xfrm>
                      <a:off x="0" y="0"/>
                      <a:ext cx="154019" cy="154019"/>
                    </a:xfrm>
                    <a:prstGeom prst="rect">
                      <a:avLst/>
                    </a:prstGeom>
                  </pic:spPr>
                </pic:pic>
              </a:graphicData>
            </a:graphic>
          </wp:inline>
        </w:drawing>
      </w:r>
      <w:r>
        <w:rPr>
          <w:position w:val="27"/>
          <w:sz w:val="20"/>
        </w:rPr>
      </w:r>
    </w:p>
    <w:p>
      <w:pPr>
        <w:spacing w:after="0" w:line="240" w:lineRule="auto"/>
        <w:rPr>
          <w:sz w:val="20"/>
        </w:rPr>
        <w:sectPr>
          <w:type w:val="continuous"/>
          <w:pgSz w:w="16840" w:h="11910" w:orient="landscape"/>
          <w:pgMar w:top="1660" w:bottom="0" w:left="0" w:right="0"/>
        </w:sectPr>
      </w:pPr>
    </w:p>
    <w:p>
      <w:pPr>
        <w:pStyle w:val="BodyText"/>
        <w:rPr>
          <w:rFonts w:ascii="Times New Roman"/>
          <w:sz w:val="20"/>
        </w:rPr>
      </w:pPr>
      <w:r>
        <w:rPr/>
        <w:drawing>
          <wp:anchor distT="0" distB="0" distL="0" distR="0" allowOverlap="1" layoutInCell="1" locked="0" behindDoc="0" simplePos="0" relativeHeight="6040">
            <wp:simplePos x="0" y="0"/>
            <wp:positionH relativeFrom="page">
              <wp:posOffset>-1587</wp:posOffset>
            </wp:positionH>
            <wp:positionV relativeFrom="page">
              <wp:posOffset>5534342</wp:posOffset>
            </wp:positionV>
            <wp:extent cx="135159" cy="154019"/>
            <wp:effectExtent l="0" t="0" r="0" b="0"/>
            <wp:wrapNone/>
            <wp:docPr id="417" name="image13.png" descr=""/>
            <wp:cNvGraphicFramePr>
              <a:graphicFrameLocks noChangeAspect="1"/>
            </wp:cNvGraphicFramePr>
            <a:graphic>
              <a:graphicData uri="http://schemas.openxmlformats.org/drawingml/2006/picture">
                <pic:pic>
                  <pic:nvPicPr>
                    <pic:cNvPr id="418" name="image13.png"/>
                    <pic:cNvPicPr/>
                  </pic:nvPicPr>
                  <pic:blipFill>
                    <a:blip r:embed="rId18" cstate="print"/>
                    <a:stretch>
                      <a:fillRect/>
                    </a:stretch>
                  </pic:blipFill>
                  <pic:spPr>
                    <a:xfrm>
                      <a:off x="0" y="0"/>
                      <a:ext cx="135159" cy="154019"/>
                    </a:xfrm>
                    <a:prstGeom prst="rect">
                      <a:avLst/>
                    </a:prstGeom>
                  </pic:spPr>
                </pic:pic>
              </a:graphicData>
            </a:graphic>
          </wp:anchor>
        </w:drawing>
      </w:r>
      <w:r>
        <w:rPr/>
        <w:drawing>
          <wp:anchor distT="0" distB="0" distL="0" distR="0" allowOverlap="1" layoutInCell="1" locked="0" behindDoc="0" simplePos="0" relativeHeight="6064">
            <wp:simplePos x="0" y="0"/>
            <wp:positionH relativeFrom="page">
              <wp:posOffset>7958429</wp:posOffset>
            </wp:positionH>
            <wp:positionV relativeFrom="page">
              <wp:posOffset>5534342</wp:posOffset>
            </wp:positionV>
            <wp:extent cx="135953" cy="155575"/>
            <wp:effectExtent l="0" t="0" r="0" b="0"/>
            <wp:wrapNone/>
            <wp:docPr id="419" name="image15.png" descr=""/>
            <wp:cNvGraphicFramePr>
              <a:graphicFrameLocks noChangeAspect="1"/>
            </wp:cNvGraphicFramePr>
            <a:graphic>
              <a:graphicData uri="http://schemas.openxmlformats.org/drawingml/2006/picture">
                <pic:pic>
                  <pic:nvPicPr>
                    <pic:cNvPr id="420" name="image15.png"/>
                    <pic:cNvPicPr/>
                  </pic:nvPicPr>
                  <pic:blipFill>
                    <a:blip r:embed="rId20" cstate="print"/>
                    <a:stretch>
                      <a:fillRect/>
                    </a:stretch>
                  </pic:blipFill>
                  <pic:spPr>
                    <a:xfrm>
                      <a:off x="0" y="0"/>
                      <a:ext cx="135953" cy="155575"/>
                    </a:xfrm>
                    <a:prstGeom prst="rect">
                      <a:avLst/>
                    </a:prstGeom>
                  </pic:spPr>
                </pic:pic>
              </a:graphicData>
            </a:graphic>
          </wp:anchor>
        </w:drawing>
      </w:r>
    </w:p>
    <w:p>
      <w:pPr>
        <w:pStyle w:val="BodyText"/>
        <w:rPr>
          <w:rFonts w:ascii="Times New Roman"/>
          <w:sz w:val="20"/>
        </w:rPr>
      </w:pPr>
    </w:p>
    <w:p>
      <w:pPr>
        <w:pStyle w:val="BodyText"/>
        <w:spacing w:before="8"/>
        <w:rPr>
          <w:rFonts w:ascii="Times New Roman"/>
          <w:sz w:val="11"/>
        </w:rPr>
      </w:pPr>
    </w:p>
    <w:tbl>
      <w:tblPr>
        <w:tblW w:w="0" w:type="auto"/>
        <w:jc w:val="left"/>
        <w:tblInd w:w="178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29"/>
        <w:gridCol w:w="6274"/>
        <w:gridCol w:w="815"/>
        <w:gridCol w:w="1175"/>
        <w:gridCol w:w="865"/>
      </w:tblGrid>
      <w:tr>
        <w:trPr>
          <w:trHeight w:val="963" w:hRule="exact"/>
        </w:trPr>
        <w:tc>
          <w:tcPr>
            <w:tcW w:w="429" w:type="dxa"/>
          </w:tcPr>
          <w:p>
            <w:pPr>
              <w:pStyle w:val="TableParagraph"/>
              <w:spacing w:before="77"/>
              <w:ind w:left="35"/>
              <w:jc w:val="left"/>
              <w:rPr>
                <w:b/>
                <w:sz w:val="18"/>
              </w:rPr>
            </w:pPr>
            <w:bookmarkStart w:name="OS-HELP" w:id="158"/>
            <w:bookmarkEnd w:id="158"/>
            <w:r>
              <w:rPr/>
            </w:r>
            <w:r>
              <w:rPr>
                <w:b/>
                <w:sz w:val="18"/>
              </w:rPr>
              <w:t>40</w:t>
            </w:r>
          </w:p>
          <w:p>
            <w:pPr>
              <w:pStyle w:val="TableParagraph"/>
              <w:spacing w:before="7"/>
              <w:jc w:val="left"/>
              <w:rPr>
                <w:rFonts w:ascii="Times New Roman"/>
                <w:sz w:val="26"/>
              </w:rPr>
            </w:pPr>
          </w:p>
          <w:p>
            <w:pPr>
              <w:pStyle w:val="TableParagraph"/>
              <w:ind w:left="36"/>
              <w:jc w:val="left"/>
              <w:rPr>
                <w:sz w:val="18"/>
              </w:rPr>
            </w:pPr>
            <w:r>
              <w:rPr>
                <w:sz w:val="18"/>
              </w:rPr>
              <w:t>(g)</w:t>
            </w:r>
          </w:p>
        </w:tc>
        <w:tc>
          <w:tcPr>
            <w:tcW w:w="6274" w:type="dxa"/>
          </w:tcPr>
          <w:p>
            <w:pPr>
              <w:pStyle w:val="TableParagraph"/>
              <w:spacing w:before="77"/>
              <w:ind w:left="173"/>
              <w:jc w:val="left"/>
              <w:rPr>
                <w:b/>
                <w:sz w:val="18"/>
              </w:rPr>
            </w:pPr>
            <w:r>
              <w:rPr>
                <w:b/>
                <w:sz w:val="18"/>
              </w:rPr>
              <w:t>Acquittal of Australian Government Financial Assistance (continued)</w:t>
            </w:r>
          </w:p>
          <w:p>
            <w:pPr>
              <w:pStyle w:val="TableParagraph"/>
              <w:spacing w:before="7"/>
              <w:jc w:val="left"/>
              <w:rPr>
                <w:rFonts w:ascii="Times New Roman"/>
                <w:sz w:val="26"/>
              </w:rPr>
            </w:pPr>
          </w:p>
          <w:p>
            <w:pPr>
              <w:pStyle w:val="TableParagraph"/>
              <w:ind w:left="173"/>
              <w:jc w:val="left"/>
              <w:rPr>
                <w:sz w:val="18"/>
              </w:rPr>
            </w:pPr>
            <w:r>
              <w:rPr>
                <w:sz w:val="18"/>
              </w:rPr>
              <w:t>OS-HELP</w:t>
            </w:r>
          </w:p>
        </w:tc>
        <w:tc>
          <w:tcPr>
            <w:tcW w:w="2855" w:type="dxa"/>
            <w:gridSpan w:val="3"/>
          </w:tcPr>
          <w:p>
            <w:pPr/>
          </w:p>
        </w:tc>
      </w:tr>
      <w:tr>
        <w:trPr>
          <w:trHeight w:val="396" w:hRule="exact"/>
        </w:trPr>
        <w:tc>
          <w:tcPr>
            <w:tcW w:w="429" w:type="dxa"/>
          </w:tcPr>
          <w:p>
            <w:pPr/>
          </w:p>
        </w:tc>
        <w:tc>
          <w:tcPr>
            <w:tcW w:w="6274" w:type="dxa"/>
          </w:tcPr>
          <w:p>
            <w:pPr/>
          </w:p>
        </w:tc>
        <w:tc>
          <w:tcPr>
            <w:tcW w:w="815" w:type="dxa"/>
          </w:tcPr>
          <w:p>
            <w:pPr/>
          </w:p>
        </w:tc>
        <w:tc>
          <w:tcPr>
            <w:tcW w:w="1175" w:type="dxa"/>
          </w:tcPr>
          <w:p>
            <w:pPr>
              <w:pStyle w:val="TableParagraph"/>
              <w:spacing w:before="146"/>
              <w:ind w:left="346"/>
              <w:jc w:val="left"/>
              <w:rPr>
                <w:b/>
                <w:sz w:val="18"/>
              </w:rPr>
            </w:pPr>
            <w:r>
              <w:rPr>
                <w:b/>
                <w:sz w:val="18"/>
              </w:rPr>
              <w:t>2016</w:t>
            </w:r>
          </w:p>
        </w:tc>
        <w:tc>
          <w:tcPr>
            <w:tcW w:w="865" w:type="dxa"/>
          </w:tcPr>
          <w:p>
            <w:pPr>
              <w:pStyle w:val="TableParagraph"/>
              <w:spacing w:before="146"/>
              <w:ind w:left="177"/>
              <w:jc w:val="left"/>
              <w:rPr>
                <w:b/>
                <w:sz w:val="18"/>
              </w:rPr>
            </w:pPr>
            <w:r>
              <w:rPr>
                <w:b/>
                <w:sz w:val="18"/>
              </w:rPr>
              <w:t>2015</w:t>
            </w:r>
          </w:p>
        </w:tc>
      </w:tr>
      <w:tr>
        <w:trPr>
          <w:trHeight w:val="271" w:hRule="exact"/>
        </w:trPr>
        <w:tc>
          <w:tcPr>
            <w:tcW w:w="429" w:type="dxa"/>
          </w:tcPr>
          <w:p>
            <w:pPr/>
          </w:p>
        </w:tc>
        <w:tc>
          <w:tcPr>
            <w:tcW w:w="6274" w:type="dxa"/>
          </w:tcPr>
          <w:p>
            <w:pPr>
              <w:pStyle w:val="TableParagraph"/>
              <w:spacing w:before="24"/>
              <w:ind w:left="217"/>
              <w:jc w:val="left"/>
              <w:rPr>
                <w:b/>
                <w:sz w:val="18"/>
              </w:rPr>
            </w:pPr>
            <w:r>
              <w:rPr>
                <w:b/>
                <w:sz w:val="18"/>
              </w:rPr>
              <w:t>Parent Entity (University) Only</w:t>
            </w:r>
          </w:p>
        </w:tc>
        <w:tc>
          <w:tcPr>
            <w:tcW w:w="815" w:type="dxa"/>
          </w:tcPr>
          <w:p>
            <w:pPr>
              <w:pStyle w:val="TableParagraph"/>
              <w:spacing w:before="24"/>
              <w:ind w:left="305"/>
              <w:jc w:val="left"/>
              <w:rPr>
                <w:b/>
                <w:sz w:val="18"/>
              </w:rPr>
            </w:pPr>
            <w:r>
              <w:rPr>
                <w:b/>
                <w:sz w:val="18"/>
              </w:rPr>
              <w:t>Note</w:t>
            </w:r>
          </w:p>
        </w:tc>
        <w:tc>
          <w:tcPr>
            <w:tcW w:w="1175" w:type="dxa"/>
          </w:tcPr>
          <w:p>
            <w:pPr>
              <w:pStyle w:val="TableParagraph"/>
              <w:spacing w:before="24"/>
              <w:ind w:left="325"/>
              <w:jc w:val="left"/>
              <w:rPr>
                <w:b/>
                <w:sz w:val="18"/>
              </w:rPr>
            </w:pPr>
            <w:r>
              <w:rPr>
                <w:b/>
                <w:sz w:val="18"/>
              </w:rPr>
              <w:t>$'000</w:t>
            </w:r>
          </w:p>
        </w:tc>
        <w:tc>
          <w:tcPr>
            <w:tcW w:w="865" w:type="dxa"/>
          </w:tcPr>
          <w:p>
            <w:pPr>
              <w:pStyle w:val="TableParagraph"/>
              <w:spacing w:before="24"/>
              <w:ind w:left="155"/>
              <w:jc w:val="left"/>
              <w:rPr>
                <w:b/>
                <w:sz w:val="18"/>
              </w:rPr>
            </w:pPr>
            <w:r>
              <w:rPr>
                <w:b/>
                <w:sz w:val="18"/>
              </w:rPr>
              <w:t>$'000</w:t>
            </w:r>
          </w:p>
        </w:tc>
      </w:tr>
      <w:tr>
        <w:trPr>
          <w:trHeight w:val="268" w:hRule="exact"/>
        </w:trPr>
        <w:tc>
          <w:tcPr>
            <w:tcW w:w="429" w:type="dxa"/>
          </w:tcPr>
          <w:p>
            <w:pPr/>
          </w:p>
        </w:tc>
        <w:tc>
          <w:tcPr>
            <w:tcW w:w="6274" w:type="dxa"/>
          </w:tcPr>
          <w:p>
            <w:pPr>
              <w:pStyle w:val="TableParagraph"/>
              <w:spacing w:before="23"/>
              <w:ind w:left="217"/>
              <w:jc w:val="left"/>
              <w:rPr>
                <w:sz w:val="18"/>
              </w:rPr>
            </w:pPr>
            <w:r>
              <w:rPr>
                <w:sz w:val="18"/>
              </w:rPr>
              <w:t>Cash received during the reporting period</w:t>
            </w:r>
          </w:p>
        </w:tc>
        <w:tc>
          <w:tcPr>
            <w:tcW w:w="815" w:type="dxa"/>
          </w:tcPr>
          <w:p>
            <w:pPr>
              <w:pStyle w:val="TableParagraph"/>
              <w:spacing w:before="21"/>
              <w:ind w:left="224"/>
              <w:jc w:val="left"/>
              <w:rPr>
                <w:sz w:val="18"/>
              </w:rPr>
            </w:pPr>
            <w:r>
              <w:rPr>
                <w:sz w:val="18"/>
              </w:rPr>
              <w:t>2(h)</w:t>
            </w:r>
          </w:p>
        </w:tc>
        <w:tc>
          <w:tcPr>
            <w:tcW w:w="1175" w:type="dxa"/>
          </w:tcPr>
          <w:p>
            <w:pPr>
              <w:pStyle w:val="TableParagraph"/>
              <w:spacing w:before="22"/>
              <w:ind w:right="213"/>
              <w:rPr>
                <w:sz w:val="18"/>
              </w:rPr>
            </w:pPr>
            <w:r>
              <w:rPr>
                <w:sz w:val="18"/>
              </w:rPr>
              <w:t>2,658</w:t>
            </w:r>
          </w:p>
        </w:tc>
        <w:tc>
          <w:tcPr>
            <w:tcW w:w="865" w:type="dxa"/>
          </w:tcPr>
          <w:p>
            <w:pPr>
              <w:pStyle w:val="TableParagraph"/>
              <w:spacing w:before="22"/>
              <w:ind w:right="86"/>
              <w:rPr>
                <w:sz w:val="18"/>
              </w:rPr>
            </w:pPr>
            <w:r>
              <w:rPr>
                <w:sz w:val="18"/>
              </w:rPr>
              <w:t>483</w:t>
            </w:r>
          </w:p>
        </w:tc>
      </w:tr>
      <w:tr>
        <w:trPr>
          <w:trHeight w:val="262" w:hRule="exact"/>
        </w:trPr>
        <w:tc>
          <w:tcPr>
            <w:tcW w:w="429" w:type="dxa"/>
          </w:tcPr>
          <w:p>
            <w:pPr/>
          </w:p>
        </w:tc>
        <w:tc>
          <w:tcPr>
            <w:tcW w:w="6274" w:type="dxa"/>
          </w:tcPr>
          <w:p>
            <w:pPr>
              <w:pStyle w:val="TableParagraph"/>
              <w:spacing w:before="19"/>
              <w:ind w:left="217"/>
              <w:jc w:val="left"/>
              <w:rPr>
                <w:sz w:val="18"/>
              </w:rPr>
            </w:pPr>
            <w:r>
              <w:rPr>
                <w:sz w:val="18"/>
              </w:rPr>
              <w:t>Cash spent during the reporting period</w:t>
            </w:r>
          </w:p>
        </w:tc>
        <w:tc>
          <w:tcPr>
            <w:tcW w:w="815" w:type="dxa"/>
          </w:tcPr>
          <w:p>
            <w:pPr/>
          </w:p>
        </w:tc>
        <w:tc>
          <w:tcPr>
            <w:tcW w:w="1175" w:type="dxa"/>
            <w:tcBorders>
              <w:bottom w:val="single" w:sz="0" w:space="0" w:color="000000"/>
            </w:tcBorders>
          </w:tcPr>
          <w:p>
            <w:pPr>
              <w:pStyle w:val="TableParagraph"/>
              <w:spacing w:before="18"/>
              <w:ind w:right="153"/>
              <w:rPr>
                <w:sz w:val="18"/>
              </w:rPr>
            </w:pPr>
            <w:r>
              <w:rPr>
                <w:w w:val="95"/>
                <w:sz w:val="18"/>
              </w:rPr>
              <w:t>(1,772)</w:t>
            </w:r>
          </w:p>
        </w:tc>
        <w:tc>
          <w:tcPr>
            <w:tcW w:w="865" w:type="dxa"/>
            <w:tcBorders>
              <w:bottom w:val="single" w:sz="0" w:space="0" w:color="000000"/>
            </w:tcBorders>
          </w:tcPr>
          <w:p>
            <w:pPr>
              <w:pStyle w:val="TableParagraph"/>
              <w:spacing w:before="18"/>
              <w:ind w:right="27"/>
              <w:rPr>
                <w:sz w:val="18"/>
              </w:rPr>
            </w:pPr>
            <w:r>
              <w:rPr>
                <w:w w:val="95"/>
                <w:sz w:val="18"/>
              </w:rPr>
              <w:t>(1,901)</w:t>
            </w:r>
          </w:p>
        </w:tc>
      </w:tr>
      <w:tr>
        <w:trPr>
          <w:trHeight w:val="285" w:hRule="exact"/>
        </w:trPr>
        <w:tc>
          <w:tcPr>
            <w:tcW w:w="429" w:type="dxa"/>
          </w:tcPr>
          <w:p>
            <w:pPr/>
          </w:p>
        </w:tc>
        <w:tc>
          <w:tcPr>
            <w:tcW w:w="6274" w:type="dxa"/>
          </w:tcPr>
          <w:p>
            <w:pPr>
              <w:pStyle w:val="TableParagraph"/>
              <w:spacing w:before="40"/>
              <w:ind w:left="217"/>
              <w:jc w:val="left"/>
              <w:rPr>
                <w:sz w:val="18"/>
              </w:rPr>
            </w:pPr>
            <w:r>
              <w:rPr>
                <w:sz w:val="18"/>
              </w:rPr>
              <w:t>Net cash received</w:t>
            </w:r>
          </w:p>
        </w:tc>
        <w:tc>
          <w:tcPr>
            <w:tcW w:w="815" w:type="dxa"/>
          </w:tcPr>
          <w:p>
            <w:pPr/>
          </w:p>
        </w:tc>
        <w:tc>
          <w:tcPr>
            <w:tcW w:w="1175" w:type="dxa"/>
            <w:tcBorders>
              <w:top w:val="single" w:sz="0" w:space="0" w:color="000000"/>
            </w:tcBorders>
          </w:tcPr>
          <w:p>
            <w:pPr>
              <w:pStyle w:val="TableParagraph"/>
              <w:spacing w:before="38"/>
              <w:ind w:right="213"/>
              <w:rPr>
                <w:sz w:val="18"/>
              </w:rPr>
            </w:pPr>
            <w:r>
              <w:rPr>
                <w:sz w:val="18"/>
              </w:rPr>
              <w:t>886</w:t>
            </w:r>
          </w:p>
        </w:tc>
        <w:tc>
          <w:tcPr>
            <w:tcW w:w="865" w:type="dxa"/>
            <w:tcBorders>
              <w:top w:val="single" w:sz="0" w:space="0" w:color="000000"/>
            </w:tcBorders>
          </w:tcPr>
          <w:p>
            <w:pPr>
              <w:pStyle w:val="TableParagraph"/>
              <w:spacing w:before="38"/>
              <w:ind w:right="27"/>
              <w:rPr>
                <w:sz w:val="18"/>
              </w:rPr>
            </w:pPr>
            <w:r>
              <w:rPr>
                <w:w w:val="95"/>
                <w:sz w:val="18"/>
              </w:rPr>
              <w:t>(1,418)</w:t>
            </w:r>
          </w:p>
        </w:tc>
      </w:tr>
      <w:tr>
        <w:trPr>
          <w:trHeight w:val="262" w:hRule="exact"/>
        </w:trPr>
        <w:tc>
          <w:tcPr>
            <w:tcW w:w="429" w:type="dxa"/>
          </w:tcPr>
          <w:p>
            <w:pPr/>
          </w:p>
        </w:tc>
        <w:tc>
          <w:tcPr>
            <w:tcW w:w="6274" w:type="dxa"/>
          </w:tcPr>
          <w:p>
            <w:pPr>
              <w:pStyle w:val="TableParagraph"/>
              <w:spacing w:before="19"/>
              <w:ind w:left="217"/>
              <w:jc w:val="left"/>
              <w:rPr>
                <w:sz w:val="18"/>
              </w:rPr>
            </w:pPr>
            <w:r>
              <w:rPr>
                <w:sz w:val="18"/>
              </w:rPr>
              <w:t>Cash surplus / (deficit) from the previous period</w:t>
            </w:r>
          </w:p>
        </w:tc>
        <w:tc>
          <w:tcPr>
            <w:tcW w:w="815" w:type="dxa"/>
          </w:tcPr>
          <w:p>
            <w:pPr/>
          </w:p>
        </w:tc>
        <w:tc>
          <w:tcPr>
            <w:tcW w:w="1175" w:type="dxa"/>
            <w:tcBorders>
              <w:bottom w:val="single" w:sz="0" w:space="0" w:color="000000"/>
            </w:tcBorders>
          </w:tcPr>
          <w:p>
            <w:pPr>
              <w:pStyle w:val="TableParagraph"/>
              <w:spacing w:before="18"/>
              <w:ind w:right="153"/>
              <w:rPr>
                <w:sz w:val="18"/>
              </w:rPr>
            </w:pPr>
            <w:r>
              <w:rPr>
                <w:sz w:val="18"/>
              </w:rPr>
              <w:t>(564)</w:t>
            </w:r>
          </w:p>
        </w:tc>
        <w:tc>
          <w:tcPr>
            <w:tcW w:w="865" w:type="dxa"/>
            <w:tcBorders>
              <w:bottom w:val="single" w:sz="0" w:space="0" w:color="000000"/>
            </w:tcBorders>
          </w:tcPr>
          <w:p>
            <w:pPr>
              <w:pStyle w:val="TableParagraph"/>
              <w:spacing w:before="18"/>
              <w:ind w:right="86"/>
              <w:rPr>
                <w:sz w:val="18"/>
              </w:rPr>
            </w:pPr>
            <w:r>
              <w:rPr>
                <w:sz w:val="18"/>
              </w:rPr>
              <w:t>854</w:t>
            </w:r>
          </w:p>
        </w:tc>
      </w:tr>
      <w:tr>
        <w:trPr>
          <w:trHeight w:val="298" w:hRule="exact"/>
        </w:trPr>
        <w:tc>
          <w:tcPr>
            <w:tcW w:w="429" w:type="dxa"/>
          </w:tcPr>
          <w:p>
            <w:pPr/>
          </w:p>
        </w:tc>
        <w:tc>
          <w:tcPr>
            <w:tcW w:w="6274" w:type="dxa"/>
          </w:tcPr>
          <w:p>
            <w:pPr>
              <w:pStyle w:val="TableParagraph"/>
              <w:spacing w:before="40"/>
              <w:ind w:left="217"/>
              <w:jc w:val="left"/>
              <w:rPr>
                <w:sz w:val="18"/>
              </w:rPr>
            </w:pPr>
            <w:bookmarkStart w:name="(h) Student Services and Amenities Fee" w:id="159"/>
            <w:bookmarkEnd w:id="159"/>
            <w:r>
              <w:rPr/>
            </w:r>
            <w:r>
              <w:rPr>
                <w:sz w:val="18"/>
              </w:rPr>
              <w:t>Cash surplus/(deficit) for reporting period</w:t>
            </w:r>
          </w:p>
        </w:tc>
        <w:tc>
          <w:tcPr>
            <w:tcW w:w="815" w:type="dxa"/>
          </w:tcPr>
          <w:p>
            <w:pPr>
              <w:pStyle w:val="TableParagraph"/>
              <w:spacing w:before="38"/>
              <w:ind w:left="224"/>
              <w:jc w:val="left"/>
              <w:rPr>
                <w:sz w:val="18"/>
              </w:rPr>
            </w:pPr>
            <w:r>
              <w:rPr>
                <w:sz w:val="18"/>
              </w:rPr>
              <w:t>25</w:t>
            </w:r>
          </w:p>
        </w:tc>
        <w:tc>
          <w:tcPr>
            <w:tcW w:w="1175" w:type="dxa"/>
            <w:tcBorders>
              <w:top w:val="single" w:sz="0" w:space="0" w:color="000000"/>
              <w:bottom w:val="single" w:sz="0" w:space="0" w:color="000000"/>
            </w:tcBorders>
          </w:tcPr>
          <w:p>
            <w:pPr>
              <w:pStyle w:val="TableParagraph"/>
              <w:spacing w:before="38"/>
              <w:ind w:right="213"/>
              <w:rPr>
                <w:sz w:val="18"/>
              </w:rPr>
            </w:pPr>
            <w:r>
              <w:rPr>
                <w:sz w:val="18"/>
              </w:rPr>
              <w:t>322</w:t>
            </w:r>
          </w:p>
        </w:tc>
        <w:tc>
          <w:tcPr>
            <w:tcW w:w="865" w:type="dxa"/>
            <w:tcBorders>
              <w:top w:val="single" w:sz="0" w:space="0" w:color="000000"/>
              <w:bottom w:val="single" w:sz="0" w:space="0" w:color="000000"/>
            </w:tcBorders>
          </w:tcPr>
          <w:p>
            <w:pPr>
              <w:pStyle w:val="TableParagraph"/>
              <w:spacing w:before="38"/>
              <w:ind w:right="27"/>
              <w:rPr>
                <w:sz w:val="18"/>
              </w:rPr>
            </w:pPr>
            <w:r>
              <w:rPr>
                <w:sz w:val="18"/>
              </w:rPr>
              <w:t>(564)</w:t>
            </w:r>
          </w:p>
        </w:tc>
      </w:tr>
    </w:tbl>
    <w:p>
      <w:pPr>
        <w:pStyle w:val="BodyText"/>
        <w:rPr>
          <w:rFonts w:ascii="Times New Roman"/>
          <w:sz w:val="20"/>
        </w:rPr>
      </w:pPr>
    </w:p>
    <w:p>
      <w:pPr>
        <w:pStyle w:val="BodyText"/>
        <w:rPr>
          <w:rFonts w:ascii="Times New Roman"/>
          <w:sz w:val="20"/>
        </w:rPr>
      </w:pPr>
    </w:p>
    <w:p>
      <w:pPr>
        <w:pStyle w:val="BodyText"/>
        <w:spacing w:before="2"/>
        <w:rPr>
          <w:rFonts w:ascii="Times New Roman"/>
          <w:sz w:val="25"/>
        </w:rPr>
      </w:pPr>
    </w:p>
    <w:tbl>
      <w:tblPr>
        <w:tblW w:w="0" w:type="auto"/>
        <w:jc w:val="left"/>
        <w:tblInd w:w="179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099"/>
        <w:gridCol w:w="1418"/>
        <w:gridCol w:w="1175"/>
        <w:gridCol w:w="865"/>
      </w:tblGrid>
      <w:tr>
        <w:trPr>
          <w:trHeight w:val="845" w:hRule="exact"/>
        </w:trPr>
        <w:tc>
          <w:tcPr>
            <w:tcW w:w="6099" w:type="dxa"/>
          </w:tcPr>
          <w:p>
            <w:pPr>
              <w:pStyle w:val="TableParagraph"/>
              <w:tabs>
                <w:tab w:pos="601" w:val="left" w:leader="none"/>
              </w:tabs>
              <w:spacing w:before="77"/>
              <w:ind w:left="35" w:right="1395"/>
              <w:jc w:val="left"/>
              <w:rPr>
                <w:sz w:val="18"/>
              </w:rPr>
            </w:pPr>
            <w:r>
              <w:rPr>
                <w:sz w:val="18"/>
              </w:rPr>
              <w:t>(h)</w:t>
              <w:tab/>
              <w:t>Student Services and Amenities</w:t>
            </w:r>
            <w:r>
              <w:rPr>
                <w:spacing w:val="-31"/>
                <w:sz w:val="18"/>
              </w:rPr>
              <w:t> </w:t>
            </w:r>
            <w:r>
              <w:rPr>
                <w:sz w:val="18"/>
              </w:rPr>
              <w:t>Fee</w:t>
            </w:r>
          </w:p>
        </w:tc>
        <w:tc>
          <w:tcPr>
            <w:tcW w:w="1418" w:type="dxa"/>
          </w:tcPr>
          <w:p>
            <w:pPr/>
          </w:p>
        </w:tc>
        <w:tc>
          <w:tcPr>
            <w:tcW w:w="1175" w:type="dxa"/>
          </w:tcPr>
          <w:p>
            <w:pPr>
              <w:pStyle w:val="TableParagraph"/>
              <w:jc w:val="left"/>
              <w:rPr>
                <w:rFonts w:ascii="Times New Roman"/>
                <w:sz w:val="18"/>
              </w:rPr>
            </w:pPr>
          </w:p>
          <w:p>
            <w:pPr>
              <w:pStyle w:val="TableParagraph"/>
              <w:jc w:val="left"/>
              <w:rPr>
                <w:rFonts w:ascii="Times New Roman"/>
                <w:sz w:val="18"/>
              </w:rPr>
            </w:pPr>
          </w:p>
          <w:p>
            <w:pPr>
              <w:pStyle w:val="TableParagraph"/>
              <w:spacing w:before="8"/>
              <w:jc w:val="left"/>
              <w:rPr>
                <w:rFonts w:ascii="Times New Roman"/>
                <w:sz w:val="15"/>
              </w:rPr>
            </w:pPr>
          </w:p>
          <w:p>
            <w:pPr>
              <w:pStyle w:val="TableParagraph"/>
              <w:spacing w:before="1"/>
              <w:ind w:left="345" w:right="195"/>
              <w:jc w:val="left"/>
              <w:rPr>
                <w:b/>
                <w:sz w:val="18"/>
              </w:rPr>
            </w:pPr>
            <w:r>
              <w:rPr>
                <w:b/>
                <w:sz w:val="18"/>
              </w:rPr>
              <w:t>2016</w:t>
            </w:r>
          </w:p>
        </w:tc>
        <w:tc>
          <w:tcPr>
            <w:tcW w:w="865" w:type="dxa"/>
          </w:tcPr>
          <w:p>
            <w:pPr>
              <w:pStyle w:val="TableParagraph"/>
              <w:jc w:val="left"/>
              <w:rPr>
                <w:rFonts w:ascii="Times New Roman"/>
                <w:sz w:val="18"/>
              </w:rPr>
            </w:pPr>
          </w:p>
          <w:p>
            <w:pPr>
              <w:pStyle w:val="TableParagraph"/>
              <w:jc w:val="left"/>
              <w:rPr>
                <w:rFonts w:ascii="Times New Roman"/>
                <w:sz w:val="18"/>
              </w:rPr>
            </w:pPr>
          </w:p>
          <w:p>
            <w:pPr>
              <w:pStyle w:val="TableParagraph"/>
              <w:spacing w:before="8"/>
              <w:jc w:val="left"/>
              <w:rPr>
                <w:rFonts w:ascii="Times New Roman"/>
                <w:sz w:val="15"/>
              </w:rPr>
            </w:pPr>
          </w:p>
          <w:p>
            <w:pPr>
              <w:pStyle w:val="TableParagraph"/>
              <w:spacing w:before="1"/>
              <w:ind w:left="177" w:right="67"/>
              <w:jc w:val="left"/>
              <w:rPr>
                <w:b/>
                <w:sz w:val="18"/>
              </w:rPr>
            </w:pPr>
            <w:r>
              <w:rPr>
                <w:b/>
                <w:sz w:val="18"/>
              </w:rPr>
              <w:t>2015</w:t>
            </w:r>
          </w:p>
        </w:tc>
      </w:tr>
      <w:tr>
        <w:trPr>
          <w:trHeight w:val="271" w:hRule="exact"/>
        </w:trPr>
        <w:tc>
          <w:tcPr>
            <w:tcW w:w="6099" w:type="dxa"/>
          </w:tcPr>
          <w:p>
            <w:pPr>
              <w:pStyle w:val="TableParagraph"/>
              <w:spacing w:before="24"/>
              <w:ind w:left="645" w:right="1395"/>
              <w:jc w:val="left"/>
              <w:rPr>
                <w:b/>
                <w:sz w:val="18"/>
              </w:rPr>
            </w:pPr>
            <w:r>
              <w:rPr>
                <w:b/>
                <w:sz w:val="18"/>
              </w:rPr>
              <w:t>Parent Entity (University) Only</w:t>
            </w:r>
          </w:p>
        </w:tc>
        <w:tc>
          <w:tcPr>
            <w:tcW w:w="1418" w:type="dxa"/>
          </w:tcPr>
          <w:p>
            <w:pPr>
              <w:pStyle w:val="TableParagraph"/>
              <w:spacing w:before="24"/>
              <w:ind w:left="907"/>
              <w:jc w:val="left"/>
              <w:rPr>
                <w:b/>
                <w:sz w:val="18"/>
              </w:rPr>
            </w:pPr>
            <w:r>
              <w:rPr>
                <w:b/>
                <w:sz w:val="18"/>
              </w:rPr>
              <w:t>Note</w:t>
            </w:r>
          </w:p>
        </w:tc>
        <w:tc>
          <w:tcPr>
            <w:tcW w:w="1175" w:type="dxa"/>
          </w:tcPr>
          <w:p>
            <w:pPr>
              <w:pStyle w:val="TableParagraph"/>
              <w:spacing w:before="24"/>
              <w:ind w:left="323" w:right="195"/>
              <w:jc w:val="left"/>
              <w:rPr>
                <w:b/>
                <w:sz w:val="18"/>
              </w:rPr>
            </w:pPr>
            <w:r>
              <w:rPr>
                <w:b/>
                <w:sz w:val="18"/>
              </w:rPr>
              <w:t>$'000</w:t>
            </w:r>
          </w:p>
        </w:tc>
        <w:tc>
          <w:tcPr>
            <w:tcW w:w="865" w:type="dxa"/>
          </w:tcPr>
          <w:p>
            <w:pPr>
              <w:pStyle w:val="TableParagraph"/>
              <w:spacing w:before="24"/>
              <w:ind w:left="156" w:right="67"/>
              <w:jc w:val="left"/>
              <w:rPr>
                <w:b/>
                <w:sz w:val="18"/>
              </w:rPr>
            </w:pPr>
            <w:r>
              <w:rPr>
                <w:b/>
                <w:sz w:val="18"/>
              </w:rPr>
              <w:t>$'000</w:t>
            </w:r>
          </w:p>
        </w:tc>
      </w:tr>
      <w:tr>
        <w:trPr>
          <w:trHeight w:val="530" w:hRule="exact"/>
        </w:trPr>
        <w:tc>
          <w:tcPr>
            <w:tcW w:w="6099" w:type="dxa"/>
          </w:tcPr>
          <w:p>
            <w:pPr>
              <w:pStyle w:val="TableParagraph"/>
              <w:spacing w:line="307" w:lineRule="auto" w:before="22"/>
              <w:ind w:left="645" w:right="1395"/>
              <w:jc w:val="left"/>
              <w:rPr>
                <w:sz w:val="18"/>
              </w:rPr>
            </w:pPr>
            <w:r>
              <w:rPr>
                <w:sz w:val="18"/>
              </w:rPr>
              <w:t>Unspent/(overspent) revenue from previous period SA-HELP revenue earned</w:t>
            </w:r>
          </w:p>
        </w:tc>
        <w:tc>
          <w:tcPr>
            <w:tcW w:w="1418" w:type="dxa"/>
          </w:tcPr>
          <w:p>
            <w:pPr>
              <w:pStyle w:val="TableParagraph"/>
              <w:spacing w:before="8"/>
              <w:jc w:val="left"/>
              <w:rPr>
                <w:rFonts w:ascii="Times New Roman"/>
                <w:sz w:val="24"/>
              </w:rPr>
            </w:pPr>
          </w:p>
          <w:p>
            <w:pPr>
              <w:pStyle w:val="TableParagraph"/>
              <w:ind w:left="827"/>
              <w:jc w:val="left"/>
              <w:rPr>
                <w:sz w:val="18"/>
              </w:rPr>
            </w:pPr>
            <w:r>
              <w:rPr>
                <w:sz w:val="18"/>
              </w:rPr>
              <w:t>2(b)</w:t>
            </w:r>
          </w:p>
        </w:tc>
        <w:tc>
          <w:tcPr>
            <w:tcW w:w="1175" w:type="dxa"/>
          </w:tcPr>
          <w:p>
            <w:pPr>
              <w:pStyle w:val="TableParagraph"/>
              <w:spacing w:line="307" w:lineRule="auto" w:before="21"/>
              <w:ind w:left="509" w:right="195" w:firstLine="388"/>
              <w:jc w:val="left"/>
              <w:rPr>
                <w:sz w:val="18"/>
              </w:rPr>
            </w:pPr>
            <w:r>
              <w:rPr>
                <w:sz w:val="18"/>
              </w:rPr>
              <w:t>- 7,059</w:t>
            </w:r>
          </w:p>
        </w:tc>
        <w:tc>
          <w:tcPr>
            <w:tcW w:w="865" w:type="dxa"/>
          </w:tcPr>
          <w:p>
            <w:pPr>
              <w:pStyle w:val="TableParagraph"/>
              <w:spacing w:line="307" w:lineRule="auto" w:before="21"/>
              <w:ind w:left="327" w:right="67" w:firstLine="388"/>
              <w:jc w:val="left"/>
              <w:rPr>
                <w:sz w:val="18"/>
              </w:rPr>
            </w:pPr>
            <w:r>
              <w:rPr>
                <w:sz w:val="18"/>
              </w:rPr>
              <w:t>- 7,119</w:t>
            </w:r>
          </w:p>
        </w:tc>
      </w:tr>
      <w:tr>
        <w:trPr>
          <w:trHeight w:val="263" w:hRule="exact"/>
        </w:trPr>
        <w:tc>
          <w:tcPr>
            <w:tcW w:w="6099" w:type="dxa"/>
          </w:tcPr>
          <w:p>
            <w:pPr>
              <w:pStyle w:val="TableParagraph"/>
              <w:spacing w:before="20"/>
              <w:ind w:left="645"/>
              <w:jc w:val="left"/>
              <w:rPr>
                <w:sz w:val="18"/>
              </w:rPr>
            </w:pPr>
            <w:r>
              <w:rPr>
                <w:sz w:val="18"/>
              </w:rPr>
              <w:t>Student Services and Amenities Fees direct from students</w:t>
            </w:r>
          </w:p>
        </w:tc>
        <w:tc>
          <w:tcPr>
            <w:tcW w:w="1418" w:type="dxa"/>
          </w:tcPr>
          <w:p>
            <w:pPr>
              <w:pStyle w:val="TableParagraph"/>
              <w:spacing w:before="18"/>
              <w:ind w:left="827"/>
              <w:jc w:val="left"/>
              <w:rPr>
                <w:sz w:val="18"/>
              </w:rPr>
            </w:pPr>
            <w:r>
              <w:rPr>
                <w:w w:val="99"/>
                <w:sz w:val="18"/>
              </w:rPr>
              <w:t>4</w:t>
            </w:r>
          </w:p>
        </w:tc>
        <w:tc>
          <w:tcPr>
            <w:tcW w:w="1175" w:type="dxa"/>
            <w:tcBorders>
              <w:bottom w:val="single" w:sz="0" w:space="0" w:color="000000"/>
            </w:tcBorders>
          </w:tcPr>
          <w:p>
            <w:pPr>
              <w:pStyle w:val="TableParagraph"/>
              <w:spacing w:before="19"/>
              <w:ind w:right="213"/>
              <w:rPr>
                <w:sz w:val="18"/>
              </w:rPr>
            </w:pPr>
            <w:r>
              <w:rPr>
                <w:sz w:val="18"/>
              </w:rPr>
              <w:t>2,781</w:t>
            </w:r>
          </w:p>
        </w:tc>
        <w:tc>
          <w:tcPr>
            <w:tcW w:w="865" w:type="dxa"/>
            <w:tcBorders>
              <w:bottom w:val="single" w:sz="0" w:space="0" w:color="000000"/>
            </w:tcBorders>
          </w:tcPr>
          <w:p>
            <w:pPr>
              <w:pStyle w:val="TableParagraph"/>
              <w:spacing w:before="19"/>
              <w:ind w:right="86"/>
              <w:rPr>
                <w:sz w:val="18"/>
              </w:rPr>
            </w:pPr>
            <w:r>
              <w:rPr>
                <w:sz w:val="18"/>
              </w:rPr>
              <w:t>2,512</w:t>
            </w:r>
          </w:p>
        </w:tc>
      </w:tr>
      <w:tr>
        <w:trPr>
          <w:trHeight w:val="285" w:hRule="exact"/>
        </w:trPr>
        <w:tc>
          <w:tcPr>
            <w:tcW w:w="6099" w:type="dxa"/>
          </w:tcPr>
          <w:p>
            <w:pPr>
              <w:pStyle w:val="TableParagraph"/>
              <w:spacing w:before="40"/>
              <w:ind w:left="645" w:right="1395"/>
              <w:jc w:val="left"/>
              <w:rPr>
                <w:sz w:val="18"/>
              </w:rPr>
            </w:pPr>
            <w:r>
              <w:rPr>
                <w:sz w:val="18"/>
              </w:rPr>
              <w:t>Total revenue expendable in period</w:t>
            </w:r>
          </w:p>
        </w:tc>
        <w:tc>
          <w:tcPr>
            <w:tcW w:w="1418" w:type="dxa"/>
          </w:tcPr>
          <w:p>
            <w:pPr/>
          </w:p>
        </w:tc>
        <w:tc>
          <w:tcPr>
            <w:tcW w:w="1175" w:type="dxa"/>
            <w:tcBorders>
              <w:top w:val="single" w:sz="0" w:space="0" w:color="000000"/>
            </w:tcBorders>
          </w:tcPr>
          <w:p>
            <w:pPr>
              <w:pStyle w:val="TableParagraph"/>
              <w:spacing w:before="38"/>
              <w:ind w:right="213"/>
              <w:rPr>
                <w:sz w:val="18"/>
              </w:rPr>
            </w:pPr>
            <w:r>
              <w:rPr>
                <w:sz w:val="18"/>
              </w:rPr>
              <w:t>9,840</w:t>
            </w:r>
          </w:p>
        </w:tc>
        <w:tc>
          <w:tcPr>
            <w:tcW w:w="865" w:type="dxa"/>
            <w:tcBorders>
              <w:top w:val="single" w:sz="0" w:space="0" w:color="000000"/>
            </w:tcBorders>
          </w:tcPr>
          <w:p>
            <w:pPr>
              <w:pStyle w:val="TableParagraph"/>
              <w:spacing w:before="38"/>
              <w:ind w:right="86"/>
              <w:rPr>
                <w:sz w:val="18"/>
              </w:rPr>
            </w:pPr>
            <w:r>
              <w:rPr>
                <w:sz w:val="18"/>
              </w:rPr>
              <w:t>9,631</w:t>
            </w:r>
          </w:p>
        </w:tc>
      </w:tr>
      <w:tr>
        <w:trPr>
          <w:trHeight w:val="262" w:hRule="exact"/>
        </w:trPr>
        <w:tc>
          <w:tcPr>
            <w:tcW w:w="6099" w:type="dxa"/>
          </w:tcPr>
          <w:p>
            <w:pPr>
              <w:pStyle w:val="TableParagraph"/>
              <w:spacing w:before="19"/>
              <w:ind w:left="645" w:right="1395"/>
              <w:jc w:val="left"/>
              <w:rPr>
                <w:sz w:val="18"/>
              </w:rPr>
            </w:pPr>
            <w:r>
              <w:rPr>
                <w:sz w:val="18"/>
              </w:rPr>
              <w:t>Student services expenses during period</w:t>
            </w:r>
          </w:p>
        </w:tc>
        <w:tc>
          <w:tcPr>
            <w:tcW w:w="1418" w:type="dxa"/>
          </w:tcPr>
          <w:p>
            <w:pPr/>
          </w:p>
        </w:tc>
        <w:tc>
          <w:tcPr>
            <w:tcW w:w="1175" w:type="dxa"/>
            <w:tcBorders>
              <w:bottom w:val="single" w:sz="0" w:space="0" w:color="000000"/>
            </w:tcBorders>
          </w:tcPr>
          <w:p>
            <w:pPr>
              <w:pStyle w:val="TableParagraph"/>
              <w:spacing w:before="18"/>
              <w:ind w:right="154"/>
              <w:rPr>
                <w:sz w:val="18"/>
              </w:rPr>
            </w:pPr>
            <w:r>
              <w:rPr>
                <w:w w:val="95"/>
                <w:sz w:val="18"/>
              </w:rPr>
              <w:t>(9,840)</w:t>
            </w:r>
          </w:p>
        </w:tc>
        <w:tc>
          <w:tcPr>
            <w:tcW w:w="865" w:type="dxa"/>
            <w:tcBorders>
              <w:bottom w:val="single" w:sz="0" w:space="0" w:color="000000"/>
            </w:tcBorders>
          </w:tcPr>
          <w:p>
            <w:pPr>
              <w:pStyle w:val="TableParagraph"/>
              <w:spacing w:before="18"/>
              <w:ind w:right="27"/>
              <w:rPr>
                <w:sz w:val="18"/>
              </w:rPr>
            </w:pPr>
            <w:r>
              <w:rPr>
                <w:w w:val="95"/>
                <w:sz w:val="18"/>
              </w:rPr>
              <w:t>(9,631)</w:t>
            </w:r>
          </w:p>
        </w:tc>
      </w:tr>
      <w:tr>
        <w:trPr>
          <w:trHeight w:val="298" w:hRule="exact"/>
        </w:trPr>
        <w:tc>
          <w:tcPr>
            <w:tcW w:w="6099" w:type="dxa"/>
          </w:tcPr>
          <w:p>
            <w:pPr>
              <w:pStyle w:val="TableParagraph"/>
              <w:spacing w:before="40"/>
              <w:ind w:left="645" w:right="1395"/>
              <w:jc w:val="left"/>
              <w:rPr>
                <w:sz w:val="18"/>
              </w:rPr>
            </w:pPr>
            <w:r>
              <w:rPr>
                <w:sz w:val="18"/>
              </w:rPr>
              <w:t>Unspent/(overspent) student services revenue</w:t>
            </w:r>
          </w:p>
        </w:tc>
        <w:tc>
          <w:tcPr>
            <w:tcW w:w="1418" w:type="dxa"/>
          </w:tcPr>
          <w:p>
            <w:pPr/>
          </w:p>
        </w:tc>
        <w:tc>
          <w:tcPr>
            <w:tcW w:w="1175" w:type="dxa"/>
            <w:tcBorders>
              <w:top w:val="single" w:sz="0" w:space="0" w:color="000000"/>
              <w:bottom w:val="single" w:sz="0" w:space="0" w:color="000000"/>
            </w:tcBorders>
          </w:tcPr>
          <w:p>
            <w:pPr>
              <w:pStyle w:val="TableParagraph"/>
              <w:spacing w:before="38"/>
              <w:ind w:right="213"/>
              <w:rPr>
                <w:sz w:val="18"/>
              </w:rPr>
            </w:pPr>
            <w:r>
              <w:rPr>
                <w:w w:val="99"/>
                <w:sz w:val="18"/>
              </w:rPr>
              <w:t>-</w:t>
            </w:r>
          </w:p>
        </w:tc>
        <w:tc>
          <w:tcPr>
            <w:tcW w:w="865" w:type="dxa"/>
            <w:tcBorders>
              <w:top w:val="single" w:sz="0" w:space="0" w:color="000000"/>
              <w:bottom w:val="single" w:sz="0" w:space="0" w:color="000000"/>
            </w:tcBorders>
          </w:tcPr>
          <w:p>
            <w:pPr>
              <w:pStyle w:val="TableParagraph"/>
              <w:spacing w:before="38"/>
              <w:ind w:right="86"/>
              <w:rPr>
                <w:sz w:val="18"/>
              </w:rPr>
            </w:pPr>
            <w:r>
              <w:rPr>
                <w:w w:val="99"/>
                <w:sz w:val="18"/>
              </w:rPr>
              <w:t>-</w:t>
            </w:r>
          </w:p>
        </w:tc>
      </w:tr>
    </w:tbl>
    <w:p>
      <w:pPr>
        <w:spacing w:after="0"/>
        <w:rPr>
          <w:sz w:val="18"/>
        </w:rPr>
        <w:sectPr>
          <w:headerReference w:type="default" r:id="rId59"/>
          <w:footerReference w:type="default" r:id="rId60"/>
          <w:pgSz w:w="12750" w:h="17680"/>
          <w:pgMar w:header="0" w:footer="867" w:top="2640" w:bottom="1060" w:left="0" w:right="0"/>
          <w:pgNumType w:start="89"/>
        </w:sectPr>
      </w:pPr>
    </w:p>
    <w:p>
      <w:pPr>
        <w:pStyle w:val="BodyText"/>
        <w:rPr>
          <w:rFonts w:ascii="Times New Roman"/>
          <w:sz w:val="20"/>
        </w:rPr>
      </w:pPr>
    </w:p>
    <w:p>
      <w:pPr>
        <w:pStyle w:val="BodyText"/>
        <w:rPr>
          <w:rFonts w:ascii="Times New Roman"/>
          <w:sz w:val="20"/>
        </w:rPr>
      </w:pPr>
    </w:p>
    <w:p>
      <w:pPr>
        <w:pStyle w:val="BodyText"/>
        <w:spacing w:before="4"/>
        <w:rPr>
          <w:rFonts w:ascii="Times New Roman"/>
        </w:rPr>
      </w:pPr>
    </w:p>
    <w:p>
      <w:pPr>
        <w:pStyle w:val="Heading8"/>
        <w:numPr>
          <w:ilvl w:val="0"/>
          <w:numId w:val="38"/>
        </w:numPr>
        <w:tabs>
          <w:tab w:pos="1826" w:val="left" w:leader="none"/>
        </w:tabs>
        <w:spacing w:line="240" w:lineRule="auto" w:before="0" w:after="0"/>
        <w:ind w:left="1825" w:right="0" w:hanging="396"/>
        <w:jc w:val="left"/>
      </w:pPr>
      <w:bookmarkStart w:name="41 Defined Benefits Plans" w:id="160"/>
      <w:bookmarkEnd w:id="160"/>
      <w:r>
        <w:rPr>
          <w:b w:val="0"/>
        </w:rPr>
      </w:r>
      <w:bookmarkStart w:name="(a) Fund specific disclosure" w:id="161"/>
      <w:bookmarkEnd w:id="161"/>
      <w:r>
        <w:rPr>
          <w:b w:val="0"/>
        </w:rPr>
      </w:r>
      <w:bookmarkStart w:name="(a) Fund specific disclosure" w:id="162"/>
      <w:bookmarkEnd w:id="162"/>
      <w:r>
        <w:rPr/>
        <w:t>Defined</w:t>
      </w:r>
      <w:r>
        <w:rPr/>
        <w:t> Benefits Plans</w:t>
      </w:r>
    </w:p>
    <w:p>
      <w:pPr>
        <w:pStyle w:val="BodyText"/>
        <w:spacing w:before="7"/>
        <w:rPr>
          <w:b/>
          <w:sz w:val="26"/>
        </w:rPr>
      </w:pPr>
    </w:p>
    <w:p>
      <w:pPr>
        <w:pStyle w:val="ListParagraph"/>
        <w:numPr>
          <w:ilvl w:val="1"/>
          <w:numId w:val="38"/>
        </w:numPr>
        <w:tabs>
          <w:tab w:pos="2392" w:val="left" w:leader="none"/>
        </w:tabs>
        <w:spacing w:line="240" w:lineRule="auto" w:before="0" w:after="0"/>
        <w:ind w:left="2391" w:right="0" w:hanging="566"/>
        <w:jc w:val="left"/>
        <w:rPr>
          <w:sz w:val="18"/>
        </w:rPr>
      </w:pPr>
      <w:r>
        <w:rPr>
          <w:sz w:val="18"/>
        </w:rPr>
        <w:t>Fund specific</w:t>
      </w:r>
      <w:r>
        <w:rPr>
          <w:spacing w:val="-23"/>
          <w:sz w:val="18"/>
        </w:rPr>
        <w:t> </w:t>
      </w:r>
      <w:r>
        <w:rPr>
          <w:sz w:val="18"/>
        </w:rPr>
        <w:t>disclosure</w:t>
      </w:r>
    </w:p>
    <w:p>
      <w:pPr>
        <w:pStyle w:val="BodyText"/>
        <w:spacing w:before="4"/>
        <w:rPr>
          <w:sz w:val="25"/>
        </w:rPr>
      </w:pPr>
    </w:p>
    <w:p>
      <w:pPr>
        <w:pStyle w:val="BodyText"/>
        <w:ind w:left="2390" w:right="1375"/>
      </w:pPr>
      <w:r>
        <w:rPr/>
        <w:t>The Pooled Fund holds in trust the investments of the closed NSW public sector superannuation schemes, namely State Authorities Superannuation Scheme (SASS), State Superannuation Scheme (SSS) and State Authorities Non Contributory Superannuation Scheme (SANCS), which are State schemes and subject to reimbursement rights. These three schemes are all defined benefit schemes - at least a component of the final benefit is derived from a multiple of member salary and years of membership.</w:t>
      </w:r>
    </w:p>
    <w:p>
      <w:pPr>
        <w:pStyle w:val="BodyText"/>
        <w:spacing w:before="11"/>
        <w:rPr>
          <w:sz w:val="24"/>
        </w:rPr>
      </w:pPr>
    </w:p>
    <w:p>
      <w:pPr>
        <w:pStyle w:val="BodyText"/>
        <w:ind w:left="2390" w:right="1407"/>
      </w:pPr>
      <w:r>
        <w:rPr/>
        <w:t>These unfunded liabilities recorded in the Statement of Financial Position under provisions have been determined by independent actuaries.</w:t>
      </w:r>
    </w:p>
    <w:p>
      <w:pPr>
        <w:pStyle w:val="BodyText"/>
        <w:spacing w:before="11"/>
        <w:rPr>
          <w:sz w:val="24"/>
        </w:rPr>
      </w:pPr>
    </w:p>
    <w:p>
      <w:pPr>
        <w:pStyle w:val="BodyText"/>
        <w:ind w:left="2390" w:right="1396"/>
      </w:pPr>
      <w:r>
        <w:rPr/>
        <w:t>During 2015, University of Sydney on behalf of the NSW Universities, led a project to finalise the negotiation of an agreement between the Commonwealth and New South Wales Governments to provide certainty in respect to the funding of the defined benefits superannuation funds managed by the State Authorities Superannuation Trustees Corporation (STC). These discussions have now culminated in a memorandum of understanding being reached between the Commonwealth and the State Governments. This memorandum has now been executed with the effect that the Commonwealth and New South Wales Governments are taking on all of the risk of the liabilities</w:t>
      </w:r>
      <w:r>
        <w:rPr>
          <w:spacing w:val="-6"/>
        </w:rPr>
        <w:t> </w:t>
      </w:r>
      <w:r>
        <w:rPr/>
        <w:t>of</w:t>
      </w:r>
      <w:r>
        <w:rPr>
          <w:spacing w:val="-6"/>
        </w:rPr>
        <w:t> </w:t>
      </w:r>
      <w:r>
        <w:rPr/>
        <w:t>the</w:t>
      </w:r>
      <w:r>
        <w:rPr>
          <w:spacing w:val="-6"/>
        </w:rPr>
        <w:t> </w:t>
      </w:r>
      <w:r>
        <w:rPr/>
        <w:t>three</w:t>
      </w:r>
      <w:r>
        <w:rPr>
          <w:spacing w:val="-6"/>
        </w:rPr>
        <w:t> </w:t>
      </w:r>
      <w:r>
        <w:rPr/>
        <w:t>funds</w:t>
      </w:r>
      <w:r>
        <w:rPr>
          <w:spacing w:val="-6"/>
        </w:rPr>
        <w:t> </w:t>
      </w:r>
      <w:r>
        <w:rPr/>
        <w:t>(SASS,</w:t>
      </w:r>
      <w:r>
        <w:rPr>
          <w:spacing w:val="-6"/>
        </w:rPr>
        <w:t> </w:t>
      </w:r>
      <w:r>
        <w:rPr/>
        <w:t>SANCS</w:t>
      </w:r>
      <w:r>
        <w:rPr>
          <w:spacing w:val="-6"/>
        </w:rPr>
        <w:t> </w:t>
      </w:r>
      <w:r>
        <w:rPr/>
        <w:t>and</w:t>
      </w:r>
      <w:r>
        <w:rPr>
          <w:spacing w:val="-6"/>
        </w:rPr>
        <w:t> </w:t>
      </w:r>
      <w:r>
        <w:rPr/>
        <w:t>SSS)</w:t>
      </w:r>
      <w:r>
        <w:rPr>
          <w:spacing w:val="-6"/>
        </w:rPr>
        <w:t> </w:t>
      </w:r>
      <w:r>
        <w:rPr/>
        <w:t>for</w:t>
      </w:r>
      <w:r>
        <w:rPr>
          <w:spacing w:val="-6"/>
        </w:rPr>
        <w:t> </w:t>
      </w:r>
      <w:r>
        <w:rPr/>
        <w:t>the</w:t>
      </w:r>
      <w:r>
        <w:rPr>
          <w:spacing w:val="-6"/>
        </w:rPr>
        <w:t> </w:t>
      </w:r>
      <w:r>
        <w:rPr/>
        <w:t>next</w:t>
      </w:r>
      <w:r>
        <w:rPr>
          <w:spacing w:val="-6"/>
        </w:rPr>
        <w:t> </w:t>
      </w:r>
      <w:r>
        <w:rPr/>
        <w:t>seventy</w:t>
      </w:r>
      <w:r>
        <w:rPr>
          <w:spacing w:val="-6"/>
        </w:rPr>
        <w:t> </w:t>
      </w:r>
      <w:r>
        <w:rPr/>
        <w:t>years.</w:t>
      </w:r>
    </w:p>
    <w:p>
      <w:pPr>
        <w:pStyle w:val="BodyText"/>
        <w:spacing w:before="11"/>
        <w:rPr>
          <w:sz w:val="24"/>
        </w:rPr>
      </w:pPr>
    </w:p>
    <w:p>
      <w:pPr>
        <w:pStyle w:val="BodyText"/>
        <w:ind w:left="2390"/>
      </w:pPr>
      <w:r>
        <w:rPr/>
        <w:t>The significant elements of the agreement are that:</w:t>
      </w:r>
    </w:p>
    <w:p>
      <w:pPr>
        <w:pStyle w:val="BodyText"/>
        <w:spacing w:before="11"/>
        <w:rPr>
          <w:sz w:val="24"/>
        </w:rPr>
      </w:pPr>
    </w:p>
    <w:p>
      <w:pPr>
        <w:pStyle w:val="ListParagraph"/>
        <w:numPr>
          <w:ilvl w:val="0"/>
          <w:numId w:val="39"/>
        </w:numPr>
        <w:tabs>
          <w:tab w:pos="2550" w:val="left" w:leader="none"/>
        </w:tabs>
        <w:spacing w:line="240" w:lineRule="auto" w:before="0" w:after="0"/>
        <w:ind w:left="2390" w:right="0" w:firstLine="50"/>
        <w:jc w:val="left"/>
        <w:rPr>
          <w:sz w:val="18"/>
        </w:rPr>
      </w:pPr>
      <w:r>
        <w:rPr/>
        <w:drawing>
          <wp:anchor distT="0" distB="0" distL="0" distR="0" allowOverlap="1" layoutInCell="1" locked="0" behindDoc="0" simplePos="0" relativeHeight="6088">
            <wp:simplePos x="0" y="0"/>
            <wp:positionH relativeFrom="page">
              <wp:posOffset>-1587</wp:posOffset>
            </wp:positionH>
            <wp:positionV relativeFrom="paragraph">
              <wp:posOffset>86028</wp:posOffset>
            </wp:positionV>
            <wp:extent cx="136525" cy="155575"/>
            <wp:effectExtent l="0" t="0" r="0" b="0"/>
            <wp:wrapNone/>
            <wp:docPr id="421" name="image13.png" descr=""/>
            <wp:cNvGraphicFramePr>
              <a:graphicFrameLocks noChangeAspect="1"/>
            </wp:cNvGraphicFramePr>
            <a:graphic>
              <a:graphicData uri="http://schemas.openxmlformats.org/drawingml/2006/picture">
                <pic:pic>
                  <pic:nvPicPr>
                    <pic:cNvPr id="422" name="image13.png"/>
                    <pic:cNvPicPr/>
                  </pic:nvPicPr>
                  <pic:blipFill>
                    <a:blip r:embed="rId18" cstate="print"/>
                    <a:stretch>
                      <a:fillRect/>
                    </a:stretch>
                  </pic:blipFill>
                  <pic:spPr>
                    <a:xfrm>
                      <a:off x="0" y="0"/>
                      <a:ext cx="136525" cy="155575"/>
                    </a:xfrm>
                    <a:prstGeom prst="rect">
                      <a:avLst/>
                    </a:prstGeom>
                  </pic:spPr>
                </pic:pic>
              </a:graphicData>
            </a:graphic>
          </wp:anchor>
        </w:drawing>
      </w:r>
      <w:r>
        <w:rPr/>
        <w:drawing>
          <wp:anchor distT="0" distB="0" distL="0" distR="0" allowOverlap="1" layoutInCell="1" locked="0" behindDoc="0" simplePos="0" relativeHeight="6112">
            <wp:simplePos x="0" y="0"/>
            <wp:positionH relativeFrom="page">
              <wp:posOffset>7958429</wp:posOffset>
            </wp:positionH>
            <wp:positionV relativeFrom="paragraph">
              <wp:posOffset>86028</wp:posOffset>
            </wp:positionV>
            <wp:extent cx="135953" cy="155575"/>
            <wp:effectExtent l="0" t="0" r="0" b="0"/>
            <wp:wrapNone/>
            <wp:docPr id="423" name="image15.png" descr=""/>
            <wp:cNvGraphicFramePr>
              <a:graphicFrameLocks noChangeAspect="1"/>
            </wp:cNvGraphicFramePr>
            <a:graphic>
              <a:graphicData uri="http://schemas.openxmlformats.org/drawingml/2006/picture">
                <pic:pic>
                  <pic:nvPicPr>
                    <pic:cNvPr id="424" name="image15.png"/>
                    <pic:cNvPicPr/>
                  </pic:nvPicPr>
                  <pic:blipFill>
                    <a:blip r:embed="rId20" cstate="print"/>
                    <a:stretch>
                      <a:fillRect/>
                    </a:stretch>
                  </pic:blipFill>
                  <pic:spPr>
                    <a:xfrm>
                      <a:off x="0" y="0"/>
                      <a:ext cx="135953" cy="155575"/>
                    </a:xfrm>
                    <a:prstGeom prst="rect">
                      <a:avLst/>
                    </a:prstGeom>
                  </pic:spPr>
                </pic:pic>
              </a:graphicData>
            </a:graphic>
          </wp:anchor>
        </w:drawing>
      </w:r>
      <w:r>
        <w:rPr>
          <w:sz w:val="18"/>
        </w:rPr>
        <w:t>the</w:t>
      </w:r>
      <w:r>
        <w:rPr>
          <w:spacing w:val="-7"/>
          <w:sz w:val="18"/>
        </w:rPr>
        <w:t> </w:t>
      </w:r>
      <w:r>
        <w:rPr>
          <w:sz w:val="18"/>
        </w:rPr>
        <w:t>agreement</w:t>
      </w:r>
      <w:r>
        <w:rPr>
          <w:spacing w:val="-7"/>
          <w:sz w:val="18"/>
        </w:rPr>
        <w:t> </w:t>
      </w:r>
      <w:r>
        <w:rPr>
          <w:sz w:val="18"/>
        </w:rPr>
        <w:t>allows</w:t>
      </w:r>
      <w:r>
        <w:rPr>
          <w:spacing w:val="-7"/>
          <w:sz w:val="18"/>
        </w:rPr>
        <w:t> </w:t>
      </w:r>
      <w:r>
        <w:rPr>
          <w:sz w:val="18"/>
        </w:rPr>
        <w:t>for</w:t>
      </w:r>
      <w:r>
        <w:rPr>
          <w:spacing w:val="-7"/>
          <w:sz w:val="18"/>
        </w:rPr>
        <w:t> </w:t>
      </w:r>
      <w:r>
        <w:rPr>
          <w:sz w:val="18"/>
        </w:rPr>
        <w:t>funding</w:t>
      </w:r>
      <w:r>
        <w:rPr>
          <w:spacing w:val="-7"/>
          <w:sz w:val="18"/>
        </w:rPr>
        <w:t> </w:t>
      </w:r>
      <w:r>
        <w:rPr>
          <w:sz w:val="18"/>
        </w:rPr>
        <w:t>of</w:t>
      </w:r>
      <w:r>
        <w:rPr>
          <w:spacing w:val="-7"/>
          <w:sz w:val="18"/>
        </w:rPr>
        <w:t> </w:t>
      </w:r>
      <w:r>
        <w:rPr>
          <w:sz w:val="18"/>
        </w:rPr>
        <w:t>the</w:t>
      </w:r>
      <w:r>
        <w:rPr>
          <w:spacing w:val="-7"/>
          <w:sz w:val="18"/>
        </w:rPr>
        <w:t> </w:t>
      </w:r>
      <w:r>
        <w:rPr>
          <w:sz w:val="18"/>
        </w:rPr>
        <w:t>SANCS</w:t>
      </w:r>
      <w:r>
        <w:rPr>
          <w:spacing w:val="-7"/>
          <w:sz w:val="18"/>
        </w:rPr>
        <w:t> </w:t>
      </w:r>
      <w:r>
        <w:rPr>
          <w:sz w:val="18"/>
        </w:rPr>
        <w:t>accounts</w:t>
      </w:r>
      <w:r>
        <w:rPr>
          <w:spacing w:val="-7"/>
          <w:sz w:val="18"/>
        </w:rPr>
        <w:t> </w:t>
      </w:r>
      <w:r>
        <w:rPr>
          <w:sz w:val="18"/>
        </w:rPr>
        <w:t>that</w:t>
      </w:r>
      <w:r>
        <w:rPr>
          <w:spacing w:val="-7"/>
          <w:sz w:val="18"/>
        </w:rPr>
        <w:t> </w:t>
      </w:r>
      <w:r>
        <w:rPr>
          <w:sz w:val="18"/>
        </w:rPr>
        <w:t>were</w:t>
      </w:r>
      <w:r>
        <w:rPr>
          <w:spacing w:val="-7"/>
          <w:sz w:val="18"/>
        </w:rPr>
        <w:t> </w:t>
      </w:r>
      <w:r>
        <w:rPr>
          <w:sz w:val="18"/>
        </w:rPr>
        <w:t>previously</w:t>
      </w:r>
      <w:r>
        <w:rPr>
          <w:spacing w:val="-7"/>
          <w:sz w:val="18"/>
        </w:rPr>
        <w:t> </w:t>
      </w:r>
      <w:r>
        <w:rPr>
          <w:sz w:val="18"/>
        </w:rPr>
        <w:t>not</w:t>
      </w:r>
      <w:r>
        <w:rPr>
          <w:spacing w:val="-7"/>
          <w:sz w:val="18"/>
        </w:rPr>
        <w:t> </w:t>
      </w:r>
      <w:r>
        <w:rPr>
          <w:sz w:val="18"/>
        </w:rPr>
        <w:t>eligible</w:t>
      </w:r>
      <w:r>
        <w:rPr>
          <w:spacing w:val="-7"/>
          <w:sz w:val="18"/>
        </w:rPr>
        <w:t> </w:t>
      </w:r>
      <w:r>
        <w:rPr>
          <w:sz w:val="18"/>
        </w:rPr>
        <w:t>under</w:t>
      </w:r>
      <w:r>
        <w:rPr>
          <w:spacing w:val="-7"/>
          <w:sz w:val="18"/>
        </w:rPr>
        <w:t> </w:t>
      </w:r>
      <w:r>
        <w:rPr>
          <w:sz w:val="18"/>
        </w:rPr>
        <w:t>the</w:t>
      </w:r>
      <w:r>
        <w:rPr>
          <w:spacing w:val="-7"/>
          <w:sz w:val="18"/>
        </w:rPr>
        <w:t> </w:t>
      </w:r>
      <w:r>
        <w:rPr>
          <w:sz w:val="18"/>
        </w:rPr>
        <w:t>scheme</w:t>
      </w:r>
    </w:p>
    <w:p>
      <w:pPr>
        <w:pStyle w:val="BodyText"/>
        <w:spacing w:before="11"/>
        <w:rPr>
          <w:sz w:val="24"/>
        </w:rPr>
      </w:pPr>
    </w:p>
    <w:p>
      <w:pPr>
        <w:pStyle w:val="ListParagraph"/>
        <w:numPr>
          <w:ilvl w:val="0"/>
          <w:numId w:val="39"/>
        </w:numPr>
        <w:tabs>
          <w:tab w:pos="2551" w:val="left" w:leader="none"/>
        </w:tabs>
        <w:spacing w:line="240" w:lineRule="auto" w:before="0" w:after="0"/>
        <w:ind w:left="2390" w:right="1405" w:firstLine="50"/>
        <w:jc w:val="left"/>
        <w:rPr>
          <w:sz w:val="18"/>
        </w:rPr>
      </w:pPr>
      <w:r>
        <w:rPr>
          <w:sz w:val="18"/>
        </w:rPr>
        <w:t>in future, the Commonwealth will not contribute to costs associated with excess salary increases. Future fund liabilities</w:t>
      </w:r>
      <w:r>
        <w:rPr>
          <w:spacing w:val="-6"/>
          <w:sz w:val="18"/>
        </w:rPr>
        <w:t> </w:t>
      </w:r>
      <w:r>
        <w:rPr>
          <w:sz w:val="18"/>
        </w:rPr>
        <w:t>deemed</w:t>
      </w:r>
      <w:r>
        <w:rPr>
          <w:spacing w:val="-6"/>
          <w:sz w:val="18"/>
        </w:rPr>
        <w:t> </w:t>
      </w:r>
      <w:r>
        <w:rPr>
          <w:sz w:val="18"/>
        </w:rPr>
        <w:t>to</w:t>
      </w:r>
      <w:r>
        <w:rPr>
          <w:spacing w:val="-6"/>
          <w:sz w:val="18"/>
        </w:rPr>
        <w:t> </w:t>
      </w:r>
      <w:r>
        <w:rPr>
          <w:sz w:val="18"/>
        </w:rPr>
        <w:t>be</w:t>
      </w:r>
      <w:r>
        <w:rPr>
          <w:spacing w:val="-6"/>
          <w:sz w:val="18"/>
        </w:rPr>
        <w:t> </w:t>
      </w:r>
      <w:r>
        <w:rPr>
          <w:sz w:val="18"/>
        </w:rPr>
        <w:t>the</w:t>
      </w:r>
      <w:r>
        <w:rPr>
          <w:spacing w:val="-6"/>
          <w:sz w:val="18"/>
        </w:rPr>
        <w:t> </w:t>
      </w:r>
      <w:r>
        <w:rPr>
          <w:sz w:val="18"/>
        </w:rPr>
        <w:t>result</w:t>
      </w:r>
      <w:r>
        <w:rPr>
          <w:spacing w:val="-6"/>
          <w:sz w:val="18"/>
        </w:rPr>
        <w:t> </w:t>
      </w:r>
      <w:r>
        <w:rPr>
          <w:sz w:val="18"/>
        </w:rPr>
        <w:t>of</w:t>
      </w:r>
      <w:r>
        <w:rPr>
          <w:spacing w:val="-6"/>
          <w:sz w:val="18"/>
        </w:rPr>
        <w:t> </w:t>
      </w:r>
      <w:r>
        <w:rPr>
          <w:sz w:val="18"/>
        </w:rPr>
        <w:t>excess</w:t>
      </w:r>
      <w:r>
        <w:rPr>
          <w:spacing w:val="-6"/>
          <w:sz w:val="18"/>
        </w:rPr>
        <w:t> </w:t>
      </w:r>
      <w:r>
        <w:rPr>
          <w:sz w:val="18"/>
        </w:rPr>
        <w:t>salary</w:t>
      </w:r>
      <w:r>
        <w:rPr>
          <w:spacing w:val="-6"/>
          <w:sz w:val="18"/>
        </w:rPr>
        <w:t> </w:t>
      </w:r>
      <w:r>
        <w:rPr>
          <w:sz w:val="18"/>
        </w:rPr>
        <w:t>increases</w:t>
      </w:r>
      <w:r>
        <w:rPr>
          <w:spacing w:val="-6"/>
          <w:sz w:val="18"/>
        </w:rPr>
        <w:t> </w:t>
      </w:r>
      <w:r>
        <w:rPr>
          <w:sz w:val="18"/>
        </w:rPr>
        <w:t>will</w:t>
      </w:r>
      <w:r>
        <w:rPr>
          <w:spacing w:val="-6"/>
          <w:sz w:val="18"/>
        </w:rPr>
        <w:t> </w:t>
      </w:r>
      <w:r>
        <w:rPr>
          <w:sz w:val="18"/>
        </w:rPr>
        <w:t>be</w:t>
      </w:r>
      <w:r>
        <w:rPr>
          <w:spacing w:val="-6"/>
          <w:sz w:val="18"/>
        </w:rPr>
        <w:t> </w:t>
      </w:r>
      <w:r>
        <w:rPr>
          <w:sz w:val="18"/>
        </w:rPr>
        <w:t>recouped</w:t>
      </w:r>
      <w:r>
        <w:rPr>
          <w:spacing w:val="-6"/>
          <w:sz w:val="18"/>
        </w:rPr>
        <w:t> </w:t>
      </w:r>
      <w:r>
        <w:rPr>
          <w:sz w:val="18"/>
        </w:rPr>
        <w:t>from</w:t>
      </w:r>
      <w:r>
        <w:rPr>
          <w:spacing w:val="-6"/>
          <w:sz w:val="18"/>
        </w:rPr>
        <w:t> </w:t>
      </w:r>
      <w:r>
        <w:rPr>
          <w:sz w:val="18"/>
        </w:rPr>
        <w:t>each</w:t>
      </w:r>
      <w:r>
        <w:rPr>
          <w:spacing w:val="-6"/>
          <w:sz w:val="18"/>
        </w:rPr>
        <w:t> </w:t>
      </w:r>
      <w:r>
        <w:rPr>
          <w:sz w:val="18"/>
        </w:rPr>
        <w:t>relevant</w:t>
      </w:r>
      <w:r>
        <w:rPr>
          <w:spacing w:val="-6"/>
          <w:sz w:val="18"/>
        </w:rPr>
        <w:t> </w:t>
      </w:r>
      <w:r>
        <w:rPr>
          <w:sz w:val="18"/>
        </w:rPr>
        <w:t>university</w:t>
      </w:r>
      <w:r>
        <w:rPr>
          <w:spacing w:val="-6"/>
          <w:sz w:val="18"/>
        </w:rPr>
        <w:t> </w:t>
      </w:r>
      <w:r>
        <w:rPr>
          <w:sz w:val="18"/>
        </w:rPr>
        <w:t>in</w:t>
      </w:r>
      <w:r>
        <w:rPr>
          <w:spacing w:val="-6"/>
          <w:sz w:val="18"/>
        </w:rPr>
        <w:t> </w:t>
      </w:r>
      <w:r>
        <w:rPr>
          <w:sz w:val="18"/>
        </w:rPr>
        <w:t>the form of 'top-up'</w:t>
      </w:r>
      <w:r>
        <w:rPr>
          <w:spacing w:val="-23"/>
          <w:sz w:val="18"/>
        </w:rPr>
        <w:t> </w:t>
      </w:r>
      <w:r>
        <w:rPr>
          <w:sz w:val="18"/>
        </w:rPr>
        <w:t>payments.</w:t>
      </w:r>
    </w:p>
    <w:p>
      <w:pPr>
        <w:pStyle w:val="BodyText"/>
        <w:spacing w:before="11"/>
        <w:rPr>
          <w:sz w:val="24"/>
        </w:rPr>
      </w:pPr>
    </w:p>
    <w:p>
      <w:pPr>
        <w:pStyle w:val="BodyText"/>
        <w:ind w:left="2390" w:right="1493"/>
        <w:jc w:val="both"/>
      </w:pPr>
      <w:r>
        <w:rPr/>
        <w:t>The amount receivable from the Commonwealth or State in respect of the three funds as at 31 December 2016 was $332.281M (2015: $335.332M) and this is reflected in Note 18 as Non-current receivables. This receivable is net of the University's accrued and forecasted excess salary liability as at 31 December 2016 totalling</w:t>
      </w:r>
    </w:p>
    <w:p>
      <w:pPr>
        <w:pStyle w:val="BodyText"/>
        <w:ind w:left="2390" w:right="1407"/>
      </w:pPr>
      <w:r>
        <w:rPr/>
        <w:t>$0.701M (2015: $0.523M) as the liability is treated as a reduction of the Commonwealth and State reimbursement right. The amount owing to members of the three funds as at 31 December 2016 was</w:t>
      </w:r>
    </w:p>
    <w:p>
      <w:pPr>
        <w:pStyle w:val="BodyText"/>
        <w:ind w:left="2390" w:right="1375"/>
      </w:pPr>
      <w:r>
        <w:rPr/>
        <w:t>$332.982M (2015: $335.855M), including the University's accrued and forecasted excess salary liability, is recognised in the statement of financial position under provisions.</w:t>
      </w:r>
    </w:p>
    <w:p>
      <w:pPr>
        <w:pStyle w:val="BodyText"/>
        <w:spacing w:before="11"/>
        <w:rPr>
          <w:sz w:val="24"/>
        </w:rPr>
      </w:pPr>
    </w:p>
    <w:p>
      <w:pPr>
        <w:pStyle w:val="BodyText"/>
        <w:ind w:left="2390" w:right="1375"/>
      </w:pPr>
      <w:r>
        <w:rPr/>
        <w:t>The University expects to make a contribution of $1.48 million (2015: $1.80 million) to the defined benefit plan during the next financial year.</w:t>
      </w:r>
    </w:p>
    <w:p>
      <w:pPr>
        <w:pStyle w:val="BodyText"/>
        <w:spacing w:before="11"/>
        <w:rPr>
          <w:sz w:val="24"/>
        </w:rPr>
      </w:pPr>
    </w:p>
    <w:p>
      <w:pPr>
        <w:pStyle w:val="BodyText"/>
        <w:spacing w:line="573" w:lineRule="auto"/>
        <w:ind w:left="2390" w:right="2490"/>
      </w:pPr>
      <w:r>
        <w:rPr/>
        <w:t>The weighted average duration of the defined benefit obligation is 11.9 years (2015: 12.1 years). The expected maturity analysis of undiscounted benefit obligations is as follows:</w:t>
      </w:r>
    </w:p>
    <w:p>
      <w:pPr>
        <w:pStyle w:val="BodyText"/>
        <w:spacing w:before="9" w:after="1"/>
        <w:rPr>
          <w:sz w:val="14"/>
        </w:rPr>
      </w:pPr>
    </w:p>
    <w:tbl>
      <w:tblPr>
        <w:tblW w:w="0" w:type="auto"/>
        <w:jc w:val="left"/>
        <w:tblInd w:w="239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044"/>
        <w:gridCol w:w="1813"/>
        <w:gridCol w:w="1033"/>
        <w:gridCol w:w="1105"/>
        <w:gridCol w:w="1033"/>
        <w:gridCol w:w="869"/>
      </w:tblGrid>
      <w:tr>
        <w:trPr>
          <w:trHeight w:val="740" w:hRule="exact"/>
        </w:trPr>
        <w:tc>
          <w:tcPr>
            <w:tcW w:w="3044" w:type="dxa"/>
            <w:vMerge w:val="restart"/>
          </w:tcPr>
          <w:p>
            <w:pPr/>
          </w:p>
        </w:tc>
        <w:tc>
          <w:tcPr>
            <w:tcW w:w="1813" w:type="dxa"/>
          </w:tcPr>
          <w:p>
            <w:pPr>
              <w:pStyle w:val="TableParagraph"/>
              <w:spacing w:before="7"/>
              <w:jc w:val="left"/>
              <w:rPr>
                <w:sz w:val="24"/>
              </w:rPr>
            </w:pPr>
          </w:p>
          <w:p>
            <w:pPr>
              <w:pStyle w:val="TableParagraph"/>
              <w:ind w:left="1057" w:right="58" w:hanging="162"/>
              <w:jc w:val="left"/>
              <w:rPr>
                <w:b/>
                <w:sz w:val="18"/>
              </w:rPr>
            </w:pPr>
            <w:r>
              <w:rPr>
                <w:b/>
                <w:sz w:val="18"/>
              </w:rPr>
              <w:t>Less than 1 year</w:t>
            </w:r>
          </w:p>
        </w:tc>
        <w:tc>
          <w:tcPr>
            <w:tcW w:w="1033" w:type="dxa"/>
          </w:tcPr>
          <w:p>
            <w:pPr>
              <w:pStyle w:val="TableParagraph"/>
              <w:spacing w:line="207" w:lineRule="exact" w:before="77"/>
              <w:ind w:left="57" w:right="45"/>
              <w:jc w:val="center"/>
              <w:rPr>
                <w:b/>
                <w:sz w:val="18"/>
              </w:rPr>
            </w:pPr>
            <w:r>
              <w:rPr>
                <w:b/>
                <w:sz w:val="18"/>
              </w:rPr>
              <w:t>Between 1</w:t>
            </w:r>
          </w:p>
          <w:p>
            <w:pPr>
              <w:pStyle w:val="TableParagraph"/>
              <w:ind w:left="286" w:right="273"/>
              <w:jc w:val="center"/>
              <w:rPr>
                <w:b/>
                <w:sz w:val="18"/>
              </w:rPr>
            </w:pPr>
            <w:r>
              <w:rPr>
                <w:b/>
                <w:sz w:val="18"/>
              </w:rPr>
              <w:t>and 2</w:t>
            </w:r>
            <w:r>
              <w:rPr>
                <w:b/>
                <w:w w:val="99"/>
                <w:sz w:val="18"/>
              </w:rPr>
              <w:t> </w:t>
            </w:r>
            <w:r>
              <w:rPr>
                <w:b/>
                <w:sz w:val="18"/>
              </w:rPr>
              <w:t>years</w:t>
            </w:r>
          </w:p>
        </w:tc>
        <w:tc>
          <w:tcPr>
            <w:tcW w:w="1105" w:type="dxa"/>
          </w:tcPr>
          <w:p>
            <w:pPr>
              <w:pStyle w:val="TableParagraph"/>
              <w:spacing w:line="207" w:lineRule="exact" w:before="77"/>
              <w:ind w:left="46" w:right="128"/>
              <w:jc w:val="center"/>
              <w:rPr>
                <w:b/>
                <w:sz w:val="18"/>
              </w:rPr>
            </w:pPr>
            <w:r>
              <w:rPr>
                <w:b/>
                <w:sz w:val="18"/>
              </w:rPr>
              <w:t>Between 2</w:t>
            </w:r>
          </w:p>
          <w:p>
            <w:pPr>
              <w:pStyle w:val="TableParagraph"/>
              <w:ind w:left="273" w:right="357"/>
              <w:jc w:val="center"/>
              <w:rPr>
                <w:b/>
                <w:sz w:val="18"/>
              </w:rPr>
            </w:pPr>
            <w:r>
              <w:rPr>
                <w:b/>
                <w:sz w:val="18"/>
              </w:rPr>
              <w:t>and 5 years</w:t>
            </w:r>
          </w:p>
        </w:tc>
        <w:tc>
          <w:tcPr>
            <w:tcW w:w="1033" w:type="dxa"/>
          </w:tcPr>
          <w:p>
            <w:pPr>
              <w:pStyle w:val="TableParagraph"/>
              <w:spacing w:before="7"/>
              <w:jc w:val="left"/>
              <w:rPr>
                <w:sz w:val="24"/>
              </w:rPr>
            </w:pPr>
          </w:p>
          <w:p>
            <w:pPr>
              <w:pStyle w:val="TableParagraph"/>
              <w:ind w:left="191" w:hanging="45"/>
              <w:jc w:val="left"/>
              <w:rPr>
                <w:b/>
                <w:sz w:val="18"/>
              </w:rPr>
            </w:pPr>
            <w:r>
              <w:rPr>
                <w:b/>
                <w:sz w:val="18"/>
              </w:rPr>
              <w:t>Over 5 years</w:t>
            </w:r>
          </w:p>
        </w:tc>
        <w:tc>
          <w:tcPr>
            <w:tcW w:w="869" w:type="dxa"/>
          </w:tcPr>
          <w:p>
            <w:pPr>
              <w:pStyle w:val="TableParagraph"/>
              <w:jc w:val="left"/>
              <w:rPr>
                <w:sz w:val="18"/>
              </w:rPr>
            </w:pPr>
          </w:p>
          <w:p>
            <w:pPr>
              <w:pStyle w:val="TableParagraph"/>
              <w:spacing w:before="6"/>
              <w:jc w:val="left"/>
              <w:rPr>
                <w:sz w:val="24"/>
              </w:rPr>
            </w:pPr>
          </w:p>
          <w:p>
            <w:pPr>
              <w:pStyle w:val="TableParagraph"/>
              <w:spacing w:before="1"/>
              <w:ind w:left="196"/>
              <w:jc w:val="left"/>
              <w:rPr>
                <w:b/>
                <w:sz w:val="18"/>
              </w:rPr>
            </w:pPr>
            <w:r>
              <w:rPr>
                <w:b/>
                <w:sz w:val="18"/>
              </w:rPr>
              <w:t>Total</w:t>
            </w:r>
          </w:p>
        </w:tc>
      </w:tr>
      <w:tr>
        <w:trPr>
          <w:trHeight w:val="271" w:hRule="exact"/>
        </w:trPr>
        <w:tc>
          <w:tcPr>
            <w:tcW w:w="3044" w:type="dxa"/>
            <w:vMerge/>
          </w:tcPr>
          <w:p>
            <w:pPr/>
          </w:p>
        </w:tc>
        <w:tc>
          <w:tcPr>
            <w:tcW w:w="1813" w:type="dxa"/>
          </w:tcPr>
          <w:p>
            <w:pPr>
              <w:pStyle w:val="TableParagraph"/>
              <w:spacing w:before="24"/>
              <w:ind w:left="1094" w:right="58"/>
              <w:jc w:val="left"/>
              <w:rPr>
                <w:b/>
                <w:sz w:val="18"/>
              </w:rPr>
            </w:pPr>
            <w:r>
              <w:rPr>
                <w:b/>
                <w:sz w:val="18"/>
              </w:rPr>
              <w:t>$'000</w:t>
            </w:r>
          </w:p>
        </w:tc>
        <w:tc>
          <w:tcPr>
            <w:tcW w:w="1033" w:type="dxa"/>
          </w:tcPr>
          <w:p>
            <w:pPr>
              <w:pStyle w:val="TableParagraph"/>
              <w:spacing w:before="24"/>
              <w:ind w:left="301"/>
              <w:jc w:val="left"/>
              <w:rPr>
                <w:b/>
                <w:sz w:val="18"/>
              </w:rPr>
            </w:pPr>
            <w:r>
              <w:rPr>
                <w:b/>
                <w:sz w:val="18"/>
              </w:rPr>
              <w:t>$'000</w:t>
            </w:r>
          </w:p>
        </w:tc>
        <w:tc>
          <w:tcPr>
            <w:tcW w:w="1105" w:type="dxa"/>
          </w:tcPr>
          <w:p>
            <w:pPr>
              <w:pStyle w:val="TableParagraph"/>
              <w:spacing w:before="24"/>
              <w:ind w:left="288"/>
              <w:jc w:val="left"/>
              <w:rPr>
                <w:b/>
                <w:sz w:val="18"/>
              </w:rPr>
            </w:pPr>
            <w:r>
              <w:rPr>
                <w:b/>
                <w:sz w:val="18"/>
              </w:rPr>
              <w:t>$'000</w:t>
            </w:r>
          </w:p>
        </w:tc>
        <w:tc>
          <w:tcPr>
            <w:tcW w:w="1033" w:type="dxa"/>
          </w:tcPr>
          <w:p>
            <w:pPr>
              <w:pStyle w:val="TableParagraph"/>
              <w:spacing w:before="24"/>
              <w:ind w:left="203"/>
              <w:jc w:val="left"/>
              <w:rPr>
                <w:b/>
                <w:sz w:val="18"/>
              </w:rPr>
            </w:pPr>
            <w:r>
              <w:rPr>
                <w:b/>
                <w:sz w:val="18"/>
              </w:rPr>
              <w:t>$'000</w:t>
            </w:r>
          </w:p>
        </w:tc>
        <w:tc>
          <w:tcPr>
            <w:tcW w:w="869" w:type="dxa"/>
          </w:tcPr>
          <w:p>
            <w:pPr>
              <w:pStyle w:val="TableParagraph"/>
              <w:spacing w:before="24"/>
              <w:ind w:left="190"/>
              <w:jc w:val="left"/>
              <w:rPr>
                <w:b/>
                <w:sz w:val="18"/>
              </w:rPr>
            </w:pPr>
            <w:r>
              <w:rPr>
                <w:b/>
                <w:sz w:val="18"/>
              </w:rPr>
              <w:t>$'000</w:t>
            </w:r>
          </w:p>
        </w:tc>
      </w:tr>
      <w:tr>
        <w:trPr>
          <w:trHeight w:val="471" w:hRule="exact"/>
        </w:trPr>
        <w:tc>
          <w:tcPr>
            <w:tcW w:w="3044" w:type="dxa"/>
          </w:tcPr>
          <w:p>
            <w:pPr>
              <w:pStyle w:val="TableParagraph"/>
              <w:spacing w:line="207" w:lineRule="exact" w:before="21"/>
              <w:ind w:left="35"/>
              <w:jc w:val="left"/>
              <w:rPr>
                <w:sz w:val="18"/>
              </w:rPr>
            </w:pPr>
            <w:r>
              <w:rPr>
                <w:sz w:val="18"/>
              </w:rPr>
              <w:t>Defined benefit obligations</w:t>
            </w:r>
          </w:p>
          <w:p>
            <w:pPr>
              <w:pStyle w:val="TableParagraph"/>
              <w:spacing w:line="207" w:lineRule="exact"/>
              <w:ind w:left="35"/>
              <w:jc w:val="left"/>
              <w:rPr>
                <w:sz w:val="18"/>
              </w:rPr>
            </w:pPr>
            <w:r>
              <w:rPr>
                <w:sz w:val="18"/>
              </w:rPr>
              <w:t>- 31 December 2016</w:t>
            </w:r>
          </w:p>
        </w:tc>
        <w:tc>
          <w:tcPr>
            <w:tcW w:w="1813" w:type="dxa"/>
          </w:tcPr>
          <w:p>
            <w:pPr>
              <w:pStyle w:val="TableParagraph"/>
              <w:spacing w:before="7"/>
              <w:jc w:val="left"/>
              <w:rPr>
                <w:sz w:val="19"/>
              </w:rPr>
            </w:pPr>
          </w:p>
          <w:p>
            <w:pPr>
              <w:pStyle w:val="TableParagraph"/>
              <w:ind w:right="73"/>
              <w:rPr>
                <w:sz w:val="18"/>
              </w:rPr>
            </w:pPr>
            <w:r>
              <w:rPr>
                <w:w w:val="95"/>
                <w:sz w:val="18"/>
              </w:rPr>
              <w:t>24,435</w:t>
            </w:r>
          </w:p>
        </w:tc>
        <w:tc>
          <w:tcPr>
            <w:tcW w:w="1033" w:type="dxa"/>
          </w:tcPr>
          <w:p>
            <w:pPr>
              <w:pStyle w:val="TableParagraph"/>
              <w:spacing w:before="7"/>
              <w:jc w:val="left"/>
              <w:rPr>
                <w:sz w:val="19"/>
              </w:rPr>
            </w:pPr>
          </w:p>
          <w:p>
            <w:pPr>
              <w:pStyle w:val="TableParagraph"/>
              <w:ind w:right="86"/>
              <w:rPr>
                <w:sz w:val="18"/>
              </w:rPr>
            </w:pPr>
            <w:r>
              <w:rPr>
                <w:w w:val="95"/>
                <w:sz w:val="18"/>
              </w:rPr>
              <w:t>24,643</w:t>
            </w:r>
          </w:p>
        </w:tc>
        <w:tc>
          <w:tcPr>
            <w:tcW w:w="1105" w:type="dxa"/>
          </w:tcPr>
          <w:p>
            <w:pPr>
              <w:pStyle w:val="TableParagraph"/>
              <w:spacing w:before="7"/>
              <w:jc w:val="left"/>
              <w:rPr>
                <w:sz w:val="19"/>
              </w:rPr>
            </w:pPr>
          </w:p>
          <w:p>
            <w:pPr>
              <w:pStyle w:val="TableParagraph"/>
              <w:ind w:right="170"/>
              <w:rPr>
                <w:sz w:val="18"/>
              </w:rPr>
            </w:pPr>
            <w:r>
              <w:rPr>
                <w:w w:val="95"/>
                <w:sz w:val="18"/>
              </w:rPr>
              <w:t>74,836</w:t>
            </w:r>
          </w:p>
        </w:tc>
        <w:tc>
          <w:tcPr>
            <w:tcW w:w="1033" w:type="dxa"/>
          </w:tcPr>
          <w:p>
            <w:pPr>
              <w:pStyle w:val="TableParagraph"/>
              <w:spacing w:before="7"/>
              <w:jc w:val="left"/>
              <w:rPr>
                <w:sz w:val="19"/>
              </w:rPr>
            </w:pPr>
          </w:p>
          <w:p>
            <w:pPr>
              <w:pStyle w:val="TableParagraph"/>
              <w:ind w:left="198"/>
              <w:jc w:val="left"/>
              <w:rPr>
                <w:sz w:val="18"/>
              </w:rPr>
            </w:pPr>
            <w:r>
              <w:rPr>
                <w:sz w:val="18"/>
              </w:rPr>
              <w:t>467,758</w:t>
            </w:r>
          </w:p>
        </w:tc>
        <w:tc>
          <w:tcPr>
            <w:tcW w:w="869" w:type="dxa"/>
          </w:tcPr>
          <w:p>
            <w:pPr>
              <w:pStyle w:val="TableParagraph"/>
              <w:spacing w:before="7"/>
              <w:jc w:val="left"/>
              <w:rPr>
                <w:sz w:val="19"/>
              </w:rPr>
            </w:pPr>
          </w:p>
          <w:p>
            <w:pPr>
              <w:pStyle w:val="TableParagraph"/>
              <w:ind w:left="185"/>
              <w:jc w:val="left"/>
              <w:rPr>
                <w:sz w:val="18"/>
              </w:rPr>
            </w:pPr>
            <w:r>
              <w:rPr>
                <w:sz w:val="18"/>
              </w:rPr>
              <w:t>591,672</w:t>
            </w:r>
          </w:p>
        </w:tc>
      </w:tr>
      <w:tr>
        <w:trPr>
          <w:trHeight w:val="527" w:hRule="exact"/>
        </w:trPr>
        <w:tc>
          <w:tcPr>
            <w:tcW w:w="3044" w:type="dxa"/>
          </w:tcPr>
          <w:p>
            <w:pPr>
              <w:pStyle w:val="TableParagraph"/>
              <w:spacing w:line="207" w:lineRule="exact" w:before="18"/>
              <w:ind w:left="35"/>
              <w:jc w:val="left"/>
              <w:rPr>
                <w:sz w:val="18"/>
              </w:rPr>
            </w:pPr>
            <w:r>
              <w:rPr>
                <w:sz w:val="18"/>
              </w:rPr>
              <w:t>Defined benefit obligations</w:t>
            </w:r>
          </w:p>
          <w:p>
            <w:pPr>
              <w:pStyle w:val="TableParagraph"/>
              <w:spacing w:line="207" w:lineRule="exact"/>
              <w:ind w:left="35"/>
              <w:jc w:val="left"/>
              <w:rPr>
                <w:sz w:val="18"/>
              </w:rPr>
            </w:pPr>
            <w:r>
              <w:rPr>
                <w:sz w:val="18"/>
              </w:rPr>
              <w:t>- 31 December 2015</w:t>
            </w:r>
          </w:p>
        </w:tc>
        <w:tc>
          <w:tcPr>
            <w:tcW w:w="1813" w:type="dxa"/>
          </w:tcPr>
          <w:p>
            <w:pPr>
              <w:pStyle w:val="TableParagraph"/>
              <w:spacing w:before="4"/>
              <w:jc w:val="left"/>
              <w:rPr>
                <w:sz w:val="19"/>
              </w:rPr>
            </w:pPr>
          </w:p>
          <w:p>
            <w:pPr>
              <w:pStyle w:val="TableParagraph"/>
              <w:ind w:right="73"/>
              <w:rPr>
                <w:sz w:val="18"/>
              </w:rPr>
            </w:pPr>
            <w:r>
              <w:rPr>
                <w:w w:val="95"/>
                <w:sz w:val="18"/>
              </w:rPr>
              <w:t>24,326</w:t>
            </w:r>
          </w:p>
        </w:tc>
        <w:tc>
          <w:tcPr>
            <w:tcW w:w="1033" w:type="dxa"/>
          </w:tcPr>
          <w:p>
            <w:pPr>
              <w:pStyle w:val="TableParagraph"/>
              <w:spacing w:before="4"/>
              <w:jc w:val="left"/>
              <w:rPr>
                <w:sz w:val="19"/>
              </w:rPr>
            </w:pPr>
          </w:p>
          <w:p>
            <w:pPr>
              <w:pStyle w:val="TableParagraph"/>
              <w:ind w:right="86"/>
              <w:rPr>
                <w:sz w:val="18"/>
              </w:rPr>
            </w:pPr>
            <w:r>
              <w:rPr>
                <w:w w:val="95"/>
                <w:sz w:val="18"/>
              </w:rPr>
              <w:t>24,707</w:t>
            </w:r>
          </w:p>
        </w:tc>
        <w:tc>
          <w:tcPr>
            <w:tcW w:w="1105" w:type="dxa"/>
          </w:tcPr>
          <w:p>
            <w:pPr>
              <w:pStyle w:val="TableParagraph"/>
              <w:spacing w:before="4"/>
              <w:jc w:val="left"/>
              <w:rPr>
                <w:sz w:val="19"/>
              </w:rPr>
            </w:pPr>
          </w:p>
          <w:p>
            <w:pPr>
              <w:pStyle w:val="TableParagraph"/>
              <w:ind w:right="170"/>
              <w:rPr>
                <w:sz w:val="18"/>
              </w:rPr>
            </w:pPr>
            <w:r>
              <w:rPr>
                <w:w w:val="95"/>
                <w:sz w:val="18"/>
              </w:rPr>
              <w:t>75,728</w:t>
            </w:r>
          </w:p>
        </w:tc>
        <w:tc>
          <w:tcPr>
            <w:tcW w:w="1033" w:type="dxa"/>
          </w:tcPr>
          <w:p>
            <w:pPr>
              <w:pStyle w:val="TableParagraph"/>
              <w:spacing w:before="4"/>
              <w:jc w:val="left"/>
              <w:rPr>
                <w:sz w:val="19"/>
              </w:rPr>
            </w:pPr>
          </w:p>
          <w:p>
            <w:pPr>
              <w:pStyle w:val="TableParagraph"/>
              <w:ind w:left="198"/>
              <w:jc w:val="left"/>
              <w:rPr>
                <w:sz w:val="18"/>
              </w:rPr>
            </w:pPr>
            <w:r>
              <w:rPr>
                <w:sz w:val="18"/>
              </w:rPr>
              <w:t>472,141</w:t>
            </w:r>
          </w:p>
        </w:tc>
        <w:tc>
          <w:tcPr>
            <w:tcW w:w="869" w:type="dxa"/>
          </w:tcPr>
          <w:p>
            <w:pPr>
              <w:pStyle w:val="TableParagraph"/>
              <w:spacing w:before="4"/>
              <w:jc w:val="left"/>
              <w:rPr>
                <w:sz w:val="19"/>
              </w:rPr>
            </w:pPr>
          </w:p>
          <w:p>
            <w:pPr>
              <w:pStyle w:val="TableParagraph"/>
              <w:ind w:left="185"/>
              <w:jc w:val="left"/>
              <w:rPr>
                <w:sz w:val="18"/>
              </w:rPr>
            </w:pPr>
            <w:r>
              <w:rPr>
                <w:sz w:val="18"/>
              </w:rPr>
              <w:t>596,902</w:t>
            </w:r>
          </w:p>
        </w:tc>
      </w:tr>
    </w:tbl>
    <w:p>
      <w:pPr>
        <w:spacing w:after="0"/>
        <w:jc w:val="left"/>
        <w:rPr>
          <w:sz w:val="18"/>
        </w:rPr>
        <w:sectPr>
          <w:pgSz w:w="12750" w:h="17680"/>
          <w:pgMar w:header="0" w:footer="867" w:top="2640" w:bottom="1120" w:left="0" w:right="0"/>
        </w:sectPr>
      </w:pPr>
    </w:p>
    <w:p>
      <w:pPr>
        <w:pStyle w:val="BodyText"/>
        <w:rPr>
          <w:sz w:val="20"/>
        </w:rPr>
      </w:pPr>
    </w:p>
    <w:p>
      <w:pPr>
        <w:pStyle w:val="BodyText"/>
        <w:rPr>
          <w:sz w:val="20"/>
        </w:rPr>
      </w:pPr>
    </w:p>
    <w:p>
      <w:pPr>
        <w:pStyle w:val="BodyText"/>
        <w:spacing w:before="4"/>
      </w:pPr>
    </w:p>
    <w:p>
      <w:pPr>
        <w:pStyle w:val="Heading8"/>
        <w:tabs>
          <w:tab w:pos="2391" w:val="left" w:leader="none"/>
        </w:tabs>
        <w:ind w:left="1824"/>
      </w:pPr>
      <w:bookmarkStart w:name="(b) Categories of plan assets" w:id="163"/>
      <w:bookmarkEnd w:id="163"/>
      <w:r>
        <w:rPr>
          <w:b w:val="0"/>
        </w:rPr>
      </w:r>
      <w:r>
        <w:rPr/>
        <w:t>41</w:t>
        <w:tab/>
        <w:t>Defined Benefits Plans (continued)</w:t>
      </w:r>
    </w:p>
    <w:p>
      <w:pPr>
        <w:pStyle w:val="BodyText"/>
        <w:spacing w:before="7"/>
        <w:rPr>
          <w:b/>
          <w:sz w:val="26"/>
        </w:rPr>
      </w:pPr>
    </w:p>
    <w:p>
      <w:pPr>
        <w:pStyle w:val="ListParagraph"/>
        <w:numPr>
          <w:ilvl w:val="1"/>
          <w:numId w:val="38"/>
        </w:numPr>
        <w:tabs>
          <w:tab w:pos="2392" w:val="left" w:leader="none"/>
        </w:tabs>
        <w:spacing w:line="240" w:lineRule="auto" w:before="0" w:after="0"/>
        <w:ind w:left="2391" w:right="0" w:hanging="566"/>
        <w:jc w:val="left"/>
        <w:rPr>
          <w:sz w:val="18"/>
        </w:rPr>
      </w:pPr>
      <w:r>
        <w:rPr>
          <w:sz w:val="18"/>
        </w:rPr>
        <w:t>Categories of plan</w:t>
      </w:r>
      <w:r>
        <w:rPr>
          <w:spacing w:val="-23"/>
          <w:sz w:val="18"/>
        </w:rPr>
        <w:t> </w:t>
      </w:r>
      <w:r>
        <w:rPr>
          <w:sz w:val="18"/>
        </w:rPr>
        <w:t>assets</w:t>
      </w:r>
    </w:p>
    <w:p>
      <w:pPr>
        <w:pStyle w:val="BodyText"/>
        <w:spacing w:before="4"/>
        <w:rPr>
          <w:sz w:val="25"/>
        </w:rPr>
      </w:pPr>
    </w:p>
    <w:p>
      <w:pPr>
        <w:pStyle w:val="BodyText"/>
        <w:ind w:left="2390"/>
      </w:pPr>
      <w:r>
        <w:rPr/>
        <w:t>The analysis of the plan assets and the expected rate of return at the reporting date is as follows:</w:t>
      </w:r>
    </w:p>
    <w:p>
      <w:pPr>
        <w:pStyle w:val="BodyText"/>
      </w:pPr>
    </w:p>
    <w:p>
      <w:pPr>
        <w:pStyle w:val="BodyText"/>
      </w:pPr>
    </w:p>
    <w:p>
      <w:pPr>
        <w:pStyle w:val="Heading8"/>
        <w:tabs>
          <w:tab w:pos="9706" w:val="left" w:leader="none"/>
        </w:tabs>
        <w:spacing w:before="113"/>
        <w:ind w:left="7112"/>
      </w:pPr>
      <w:r>
        <w:rPr/>
        <w:t>2016</w:t>
      </w:r>
      <w:r>
        <w:rPr>
          <w:spacing w:val="-3"/>
        </w:rPr>
        <w:t> </w:t>
      </w:r>
      <w:r>
        <w:rPr/>
        <w:t>(%)</w:t>
        <w:tab/>
        <w:t>2015</w:t>
      </w:r>
      <w:r>
        <w:rPr>
          <w:spacing w:val="-8"/>
        </w:rPr>
        <w:t> </w:t>
      </w:r>
      <w:r>
        <w:rPr/>
        <w:t>(%)</w:t>
      </w:r>
    </w:p>
    <w:p>
      <w:pPr>
        <w:tabs>
          <w:tab w:pos="10307" w:val="left" w:leader="none"/>
        </w:tabs>
        <w:spacing w:before="66" w:after="22"/>
        <w:ind w:left="7713" w:right="0" w:firstLine="0"/>
        <w:jc w:val="left"/>
        <w:rPr>
          <w:b/>
          <w:sz w:val="18"/>
        </w:rPr>
      </w:pPr>
      <w:r>
        <w:rPr>
          <w:b/>
          <w:sz w:val="18"/>
        </w:rPr>
        <w:t>No</w:t>
      </w:r>
      <w:r>
        <w:rPr>
          <w:b/>
          <w:spacing w:val="-4"/>
          <w:sz w:val="18"/>
        </w:rPr>
        <w:t> </w:t>
      </w:r>
      <w:r>
        <w:rPr>
          <w:b/>
          <w:sz w:val="18"/>
        </w:rPr>
        <w:t>Active</w:t>
        <w:tab/>
        <w:t>No</w:t>
      </w:r>
      <w:r>
        <w:rPr>
          <w:b/>
          <w:spacing w:val="-12"/>
          <w:sz w:val="18"/>
        </w:rPr>
        <w:t> </w:t>
      </w:r>
      <w:r>
        <w:rPr>
          <w:b/>
          <w:sz w:val="18"/>
        </w:rPr>
        <w:t>Active</w:t>
      </w:r>
    </w:p>
    <w:tbl>
      <w:tblPr>
        <w:tblW w:w="0" w:type="auto"/>
        <w:jc w:val="left"/>
        <w:tblInd w:w="240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755"/>
        <w:gridCol w:w="1464"/>
        <w:gridCol w:w="818"/>
        <w:gridCol w:w="314"/>
        <w:gridCol w:w="1462"/>
        <w:gridCol w:w="818"/>
        <w:gridCol w:w="312"/>
      </w:tblGrid>
      <w:tr>
        <w:trPr>
          <w:trHeight w:val="491" w:hRule="exact"/>
        </w:trPr>
        <w:tc>
          <w:tcPr>
            <w:tcW w:w="3755" w:type="dxa"/>
          </w:tcPr>
          <w:p>
            <w:pPr>
              <w:pStyle w:val="TableParagraph"/>
              <w:spacing w:before="5"/>
              <w:jc w:val="left"/>
              <w:rPr>
                <w:b/>
                <w:sz w:val="21"/>
              </w:rPr>
            </w:pPr>
          </w:p>
          <w:p>
            <w:pPr>
              <w:pStyle w:val="TableParagraph"/>
              <w:ind w:left="35"/>
              <w:jc w:val="left"/>
              <w:rPr>
                <w:sz w:val="18"/>
              </w:rPr>
            </w:pPr>
            <w:r>
              <w:rPr>
                <w:sz w:val="18"/>
              </w:rPr>
              <w:t>Equity instruments</w:t>
            </w:r>
          </w:p>
        </w:tc>
        <w:tc>
          <w:tcPr>
            <w:tcW w:w="1464" w:type="dxa"/>
          </w:tcPr>
          <w:p>
            <w:pPr>
              <w:pStyle w:val="TableParagraph"/>
              <w:spacing w:line="184" w:lineRule="exact"/>
              <w:ind w:right="212"/>
              <w:rPr>
                <w:b/>
                <w:sz w:val="18"/>
              </w:rPr>
            </w:pPr>
            <w:r>
              <w:rPr>
                <w:b/>
                <w:sz w:val="18"/>
              </w:rPr>
              <w:t>Active Market</w:t>
            </w:r>
          </w:p>
          <w:p>
            <w:pPr>
              <w:pStyle w:val="TableParagraph"/>
              <w:spacing w:before="62"/>
              <w:ind w:right="252"/>
              <w:rPr>
                <w:sz w:val="18"/>
              </w:rPr>
            </w:pPr>
            <w:r>
              <w:rPr>
                <w:sz w:val="18"/>
              </w:rPr>
              <w:t>66</w:t>
            </w:r>
          </w:p>
        </w:tc>
        <w:tc>
          <w:tcPr>
            <w:tcW w:w="818" w:type="dxa"/>
          </w:tcPr>
          <w:p>
            <w:pPr>
              <w:pStyle w:val="TableParagraph"/>
              <w:spacing w:line="184" w:lineRule="exact"/>
              <w:ind w:left="214"/>
              <w:jc w:val="left"/>
              <w:rPr>
                <w:b/>
                <w:sz w:val="18"/>
              </w:rPr>
            </w:pPr>
            <w:r>
              <w:rPr>
                <w:b/>
                <w:sz w:val="18"/>
              </w:rPr>
              <w:t>Market</w:t>
            </w:r>
          </w:p>
        </w:tc>
        <w:tc>
          <w:tcPr>
            <w:tcW w:w="314" w:type="dxa"/>
          </w:tcPr>
          <w:p>
            <w:pPr>
              <w:pStyle w:val="TableParagraph"/>
              <w:spacing w:before="4"/>
              <w:jc w:val="left"/>
              <w:rPr>
                <w:b/>
                <w:sz w:val="21"/>
              </w:rPr>
            </w:pPr>
          </w:p>
          <w:p>
            <w:pPr>
              <w:pStyle w:val="TableParagraph"/>
              <w:ind w:left="35"/>
              <w:jc w:val="center"/>
              <w:rPr>
                <w:sz w:val="18"/>
              </w:rPr>
            </w:pPr>
            <w:r>
              <w:rPr>
                <w:w w:val="99"/>
                <w:sz w:val="18"/>
              </w:rPr>
              <w:t>3</w:t>
            </w:r>
          </w:p>
        </w:tc>
        <w:tc>
          <w:tcPr>
            <w:tcW w:w="1462" w:type="dxa"/>
          </w:tcPr>
          <w:p>
            <w:pPr>
              <w:pStyle w:val="TableParagraph"/>
              <w:spacing w:line="184" w:lineRule="exact"/>
              <w:ind w:right="212"/>
              <w:rPr>
                <w:b/>
                <w:sz w:val="18"/>
              </w:rPr>
            </w:pPr>
            <w:r>
              <w:rPr>
                <w:b/>
                <w:sz w:val="18"/>
              </w:rPr>
              <w:t>Active Market</w:t>
            </w:r>
          </w:p>
          <w:p>
            <w:pPr>
              <w:pStyle w:val="TableParagraph"/>
              <w:spacing w:before="62"/>
              <w:ind w:right="252"/>
              <w:rPr>
                <w:sz w:val="18"/>
              </w:rPr>
            </w:pPr>
            <w:r>
              <w:rPr>
                <w:sz w:val="18"/>
              </w:rPr>
              <w:t>69</w:t>
            </w:r>
          </w:p>
        </w:tc>
        <w:tc>
          <w:tcPr>
            <w:tcW w:w="818" w:type="dxa"/>
          </w:tcPr>
          <w:p>
            <w:pPr>
              <w:pStyle w:val="TableParagraph"/>
              <w:spacing w:line="184" w:lineRule="exact"/>
              <w:ind w:left="214"/>
              <w:jc w:val="left"/>
              <w:rPr>
                <w:b/>
                <w:sz w:val="18"/>
              </w:rPr>
            </w:pPr>
            <w:r>
              <w:rPr>
                <w:b/>
                <w:sz w:val="18"/>
              </w:rPr>
              <w:t>Market</w:t>
            </w:r>
          </w:p>
        </w:tc>
        <w:tc>
          <w:tcPr>
            <w:tcW w:w="312" w:type="dxa"/>
          </w:tcPr>
          <w:p>
            <w:pPr>
              <w:pStyle w:val="TableParagraph"/>
              <w:spacing w:before="4"/>
              <w:jc w:val="left"/>
              <w:rPr>
                <w:b/>
                <w:sz w:val="21"/>
              </w:rPr>
            </w:pPr>
          </w:p>
          <w:p>
            <w:pPr>
              <w:pStyle w:val="TableParagraph"/>
              <w:ind w:right="85"/>
              <w:rPr>
                <w:sz w:val="18"/>
              </w:rPr>
            </w:pPr>
            <w:r>
              <w:rPr>
                <w:w w:val="99"/>
                <w:sz w:val="18"/>
              </w:rPr>
              <w:t>3</w:t>
            </w:r>
          </w:p>
        </w:tc>
      </w:tr>
      <w:tr>
        <w:trPr>
          <w:trHeight w:val="264" w:hRule="exact"/>
        </w:trPr>
        <w:tc>
          <w:tcPr>
            <w:tcW w:w="3755" w:type="dxa"/>
          </w:tcPr>
          <w:p>
            <w:pPr>
              <w:pStyle w:val="TableParagraph"/>
              <w:spacing w:before="19"/>
              <w:ind w:left="35"/>
              <w:jc w:val="left"/>
              <w:rPr>
                <w:sz w:val="18"/>
              </w:rPr>
            </w:pPr>
            <w:r>
              <w:rPr>
                <w:sz w:val="18"/>
              </w:rPr>
              <w:t>Property</w:t>
            </w:r>
          </w:p>
        </w:tc>
        <w:tc>
          <w:tcPr>
            <w:tcW w:w="1464" w:type="dxa"/>
          </w:tcPr>
          <w:p>
            <w:pPr>
              <w:pStyle w:val="TableParagraph"/>
              <w:spacing w:before="18"/>
              <w:ind w:right="252"/>
              <w:rPr>
                <w:sz w:val="18"/>
              </w:rPr>
            </w:pPr>
            <w:r>
              <w:rPr>
                <w:w w:val="99"/>
                <w:sz w:val="18"/>
              </w:rPr>
              <w:t>4</w:t>
            </w:r>
          </w:p>
        </w:tc>
        <w:tc>
          <w:tcPr>
            <w:tcW w:w="818" w:type="dxa"/>
          </w:tcPr>
          <w:p>
            <w:pPr/>
          </w:p>
        </w:tc>
        <w:tc>
          <w:tcPr>
            <w:tcW w:w="314" w:type="dxa"/>
          </w:tcPr>
          <w:p>
            <w:pPr>
              <w:pStyle w:val="TableParagraph"/>
              <w:spacing w:before="18"/>
              <w:ind w:left="35"/>
              <w:jc w:val="center"/>
              <w:rPr>
                <w:sz w:val="18"/>
              </w:rPr>
            </w:pPr>
            <w:r>
              <w:rPr>
                <w:w w:val="99"/>
                <w:sz w:val="18"/>
              </w:rPr>
              <w:t>5</w:t>
            </w:r>
          </w:p>
        </w:tc>
        <w:tc>
          <w:tcPr>
            <w:tcW w:w="1462" w:type="dxa"/>
          </w:tcPr>
          <w:p>
            <w:pPr>
              <w:pStyle w:val="TableParagraph"/>
              <w:spacing w:before="18"/>
              <w:ind w:right="252"/>
              <w:rPr>
                <w:sz w:val="18"/>
              </w:rPr>
            </w:pPr>
            <w:r>
              <w:rPr>
                <w:w w:val="99"/>
                <w:sz w:val="18"/>
              </w:rPr>
              <w:t>4</w:t>
            </w:r>
          </w:p>
        </w:tc>
        <w:tc>
          <w:tcPr>
            <w:tcW w:w="818" w:type="dxa"/>
          </w:tcPr>
          <w:p>
            <w:pPr/>
          </w:p>
        </w:tc>
        <w:tc>
          <w:tcPr>
            <w:tcW w:w="312" w:type="dxa"/>
          </w:tcPr>
          <w:p>
            <w:pPr>
              <w:pStyle w:val="TableParagraph"/>
              <w:spacing w:before="18"/>
              <w:ind w:right="85"/>
              <w:rPr>
                <w:sz w:val="18"/>
              </w:rPr>
            </w:pPr>
            <w:r>
              <w:rPr>
                <w:w w:val="99"/>
                <w:sz w:val="18"/>
              </w:rPr>
              <w:t>4</w:t>
            </w:r>
          </w:p>
        </w:tc>
      </w:tr>
      <w:tr>
        <w:trPr>
          <w:trHeight w:val="262" w:hRule="exact"/>
        </w:trPr>
        <w:tc>
          <w:tcPr>
            <w:tcW w:w="3755" w:type="dxa"/>
          </w:tcPr>
          <w:p>
            <w:pPr>
              <w:pStyle w:val="TableParagraph"/>
              <w:spacing w:before="19"/>
              <w:ind w:left="35"/>
              <w:jc w:val="left"/>
              <w:rPr>
                <w:sz w:val="18"/>
              </w:rPr>
            </w:pPr>
            <w:r>
              <w:rPr>
                <w:sz w:val="18"/>
              </w:rPr>
              <w:t>Alternatives</w:t>
            </w:r>
          </w:p>
        </w:tc>
        <w:tc>
          <w:tcPr>
            <w:tcW w:w="1464" w:type="dxa"/>
            <w:tcBorders>
              <w:bottom w:val="single" w:sz="0" w:space="0" w:color="000000"/>
            </w:tcBorders>
          </w:tcPr>
          <w:p>
            <w:pPr>
              <w:pStyle w:val="TableParagraph"/>
              <w:spacing w:before="18"/>
              <w:ind w:right="252"/>
              <w:rPr>
                <w:sz w:val="18"/>
              </w:rPr>
            </w:pPr>
            <w:r>
              <w:rPr>
                <w:sz w:val="18"/>
              </w:rPr>
              <w:t>12</w:t>
            </w:r>
          </w:p>
        </w:tc>
        <w:tc>
          <w:tcPr>
            <w:tcW w:w="818" w:type="dxa"/>
            <w:tcBorders>
              <w:bottom w:val="single" w:sz="0" w:space="0" w:color="000000"/>
            </w:tcBorders>
          </w:tcPr>
          <w:p>
            <w:pPr/>
          </w:p>
        </w:tc>
        <w:tc>
          <w:tcPr>
            <w:tcW w:w="314" w:type="dxa"/>
            <w:tcBorders>
              <w:bottom w:val="single" w:sz="0" w:space="0" w:color="000000"/>
            </w:tcBorders>
          </w:tcPr>
          <w:p>
            <w:pPr>
              <w:pStyle w:val="TableParagraph"/>
              <w:spacing w:before="18"/>
              <w:ind w:left="6" w:right="68"/>
              <w:jc w:val="center"/>
              <w:rPr>
                <w:sz w:val="18"/>
              </w:rPr>
            </w:pPr>
            <w:r>
              <w:rPr>
                <w:sz w:val="18"/>
              </w:rPr>
              <w:t>10</w:t>
            </w:r>
          </w:p>
        </w:tc>
        <w:tc>
          <w:tcPr>
            <w:tcW w:w="1462" w:type="dxa"/>
            <w:tcBorders>
              <w:bottom w:val="single" w:sz="0" w:space="0" w:color="000000"/>
            </w:tcBorders>
          </w:tcPr>
          <w:p>
            <w:pPr>
              <w:pStyle w:val="TableParagraph"/>
              <w:spacing w:before="18"/>
              <w:ind w:right="252"/>
              <w:rPr>
                <w:sz w:val="18"/>
              </w:rPr>
            </w:pPr>
            <w:r>
              <w:rPr>
                <w:sz w:val="18"/>
              </w:rPr>
              <w:t>10</w:t>
            </w:r>
          </w:p>
        </w:tc>
        <w:tc>
          <w:tcPr>
            <w:tcW w:w="818" w:type="dxa"/>
            <w:tcBorders>
              <w:bottom w:val="single" w:sz="0" w:space="0" w:color="000000"/>
            </w:tcBorders>
          </w:tcPr>
          <w:p>
            <w:pPr/>
          </w:p>
        </w:tc>
        <w:tc>
          <w:tcPr>
            <w:tcW w:w="312" w:type="dxa"/>
            <w:tcBorders>
              <w:bottom w:val="single" w:sz="0" w:space="0" w:color="000000"/>
            </w:tcBorders>
          </w:tcPr>
          <w:p>
            <w:pPr>
              <w:pStyle w:val="TableParagraph"/>
              <w:spacing w:before="18"/>
              <w:ind w:right="85"/>
              <w:rPr>
                <w:sz w:val="18"/>
              </w:rPr>
            </w:pPr>
            <w:r>
              <w:rPr>
                <w:sz w:val="18"/>
              </w:rPr>
              <w:t>10</w:t>
            </w:r>
          </w:p>
        </w:tc>
      </w:tr>
      <w:tr>
        <w:trPr>
          <w:trHeight w:val="353" w:hRule="exact"/>
        </w:trPr>
        <w:tc>
          <w:tcPr>
            <w:tcW w:w="3755" w:type="dxa"/>
          </w:tcPr>
          <w:p>
            <w:pPr>
              <w:pStyle w:val="TableParagraph"/>
              <w:spacing w:before="123"/>
              <w:ind w:left="35"/>
              <w:jc w:val="left"/>
              <w:rPr>
                <w:b/>
                <w:sz w:val="18"/>
              </w:rPr>
            </w:pPr>
            <w:r>
              <w:rPr>
                <w:b/>
                <w:sz w:val="18"/>
              </w:rPr>
              <w:t>Total</w:t>
            </w:r>
          </w:p>
        </w:tc>
        <w:tc>
          <w:tcPr>
            <w:tcW w:w="1464" w:type="dxa"/>
            <w:tcBorders>
              <w:top w:val="single" w:sz="0" w:space="0" w:color="000000"/>
              <w:bottom w:val="single" w:sz="0" w:space="0" w:color="000000"/>
            </w:tcBorders>
          </w:tcPr>
          <w:p>
            <w:pPr>
              <w:pStyle w:val="TableParagraph"/>
              <w:spacing w:before="122"/>
              <w:ind w:right="252"/>
              <w:rPr>
                <w:b/>
                <w:sz w:val="18"/>
              </w:rPr>
            </w:pPr>
            <w:r>
              <w:rPr>
                <w:b/>
                <w:sz w:val="18"/>
              </w:rPr>
              <w:t>82</w:t>
            </w:r>
          </w:p>
        </w:tc>
        <w:tc>
          <w:tcPr>
            <w:tcW w:w="818" w:type="dxa"/>
            <w:tcBorders>
              <w:top w:val="single" w:sz="0" w:space="0" w:color="000000"/>
              <w:bottom w:val="single" w:sz="0" w:space="0" w:color="000000"/>
            </w:tcBorders>
          </w:tcPr>
          <w:p>
            <w:pPr/>
          </w:p>
        </w:tc>
        <w:tc>
          <w:tcPr>
            <w:tcW w:w="314" w:type="dxa"/>
            <w:tcBorders>
              <w:top w:val="single" w:sz="0" w:space="0" w:color="000000"/>
              <w:bottom w:val="single" w:sz="0" w:space="0" w:color="000000"/>
            </w:tcBorders>
          </w:tcPr>
          <w:p>
            <w:pPr>
              <w:pStyle w:val="TableParagraph"/>
              <w:spacing w:before="122"/>
              <w:ind w:left="6" w:right="68"/>
              <w:jc w:val="center"/>
              <w:rPr>
                <w:b/>
                <w:sz w:val="18"/>
              </w:rPr>
            </w:pPr>
            <w:r>
              <w:rPr>
                <w:b/>
                <w:sz w:val="18"/>
              </w:rPr>
              <w:t>18</w:t>
            </w:r>
          </w:p>
        </w:tc>
        <w:tc>
          <w:tcPr>
            <w:tcW w:w="1462" w:type="dxa"/>
            <w:tcBorders>
              <w:top w:val="single" w:sz="0" w:space="0" w:color="000000"/>
              <w:bottom w:val="single" w:sz="0" w:space="0" w:color="000000"/>
            </w:tcBorders>
          </w:tcPr>
          <w:p>
            <w:pPr>
              <w:pStyle w:val="TableParagraph"/>
              <w:spacing w:before="122"/>
              <w:ind w:right="252"/>
              <w:rPr>
                <w:sz w:val="18"/>
              </w:rPr>
            </w:pPr>
            <w:r>
              <w:rPr>
                <w:sz w:val="18"/>
              </w:rPr>
              <w:t>83</w:t>
            </w:r>
          </w:p>
        </w:tc>
        <w:tc>
          <w:tcPr>
            <w:tcW w:w="818" w:type="dxa"/>
            <w:tcBorders>
              <w:top w:val="single" w:sz="0" w:space="0" w:color="000000"/>
              <w:bottom w:val="single" w:sz="0" w:space="0" w:color="000000"/>
            </w:tcBorders>
          </w:tcPr>
          <w:p>
            <w:pPr/>
          </w:p>
        </w:tc>
        <w:tc>
          <w:tcPr>
            <w:tcW w:w="312" w:type="dxa"/>
            <w:tcBorders>
              <w:top w:val="single" w:sz="0" w:space="0" w:color="000000"/>
              <w:bottom w:val="single" w:sz="0" w:space="0" w:color="000000"/>
            </w:tcBorders>
          </w:tcPr>
          <w:p>
            <w:pPr>
              <w:pStyle w:val="TableParagraph"/>
              <w:spacing w:before="122"/>
              <w:ind w:right="85"/>
              <w:rPr>
                <w:sz w:val="18"/>
              </w:rPr>
            </w:pPr>
            <w:r>
              <w:rPr>
                <w:sz w:val="18"/>
              </w:rPr>
              <w:t>17</w:t>
            </w:r>
          </w:p>
        </w:tc>
      </w:tr>
    </w:tbl>
    <w:p>
      <w:pPr>
        <w:pStyle w:val="BodyText"/>
        <w:spacing w:before="6"/>
        <w:rPr>
          <w:b/>
          <w:sz w:val="20"/>
        </w:rPr>
      </w:pPr>
    </w:p>
    <w:p>
      <w:pPr>
        <w:pStyle w:val="BodyText"/>
        <w:spacing w:before="77" w:after="36"/>
        <w:ind w:left="2390" w:right="1375"/>
      </w:pPr>
      <w:r>
        <w:rPr/>
        <w:drawing>
          <wp:anchor distT="0" distB="0" distL="0" distR="0" allowOverlap="1" layoutInCell="1" locked="0" behindDoc="0" simplePos="0" relativeHeight="6136">
            <wp:simplePos x="0" y="0"/>
            <wp:positionH relativeFrom="page">
              <wp:posOffset>-1587</wp:posOffset>
            </wp:positionH>
            <wp:positionV relativeFrom="paragraph">
              <wp:posOffset>976933</wp:posOffset>
            </wp:positionV>
            <wp:extent cx="135159" cy="154019"/>
            <wp:effectExtent l="0" t="0" r="0" b="0"/>
            <wp:wrapNone/>
            <wp:docPr id="425" name="image13.png" descr=""/>
            <wp:cNvGraphicFramePr>
              <a:graphicFrameLocks noChangeAspect="1"/>
            </wp:cNvGraphicFramePr>
            <a:graphic>
              <a:graphicData uri="http://schemas.openxmlformats.org/drawingml/2006/picture">
                <pic:pic>
                  <pic:nvPicPr>
                    <pic:cNvPr id="426" name="image13.png"/>
                    <pic:cNvPicPr/>
                  </pic:nvPicPr>
                  <pic:blipFill>
                    <a:blip r:embed="rId18" cstate="print"/>
                    <a:stretch>
                      <a:fillRect/>
                    </a:stretch>
                  </pic:blipFill>
                  <pic:spPr>
                    <a:xfrm>
                      <a:off x="0" y="0"/>
                      <a:ext cx="135159" cy="154019"/>
                    </a:xfrm>
                    <a:prstGeom prst="rect">
                      <a:avLst/>
                    </a:prstGeom>
                  </pic:spPr>
                </pic:pic>
              </a:graphicData>
            </a:graphic>
          </wp:anchor>
        </w:drawing>
      </w:r>
      <w:r>
        <w:rPr/>
        <w:drawing>
          <wp:anchor distT="0" distB="0" distL="0" distR="0" allowOverlap="1" layoutInCell="1" locked="0" behindDoc="0" simplePos="0" relativeHeight="6160">
            <wp:simplePos x="0" y="0"/>
            <wp:positionH relativeFrom="page">
              <wp:posOffset>7958429</wp:posOffset>
            </wp:positionH>
            <wp:positionV relativeFrom="paragraph">
              <wp:posOffset>976933</wp:posOffset>
            </wp:positionV>
            <wp:extent cx="135953" cy="155575"/>
            <wp:effectExtent l="0" t="0" r="0" b="0"/>
            <wp:wrapNone/>
            <wp:docPr id="427" name="image15.png" descr=""/>
            <wp:cNvGraphicFramePr>
              <a:graphicFrameLocks noChangeAspect="1"/>
            </wp:cNvGraphicFramePr>
            <a:graphic>
              <a:graphicData uri="http://schemas.openxmlformats.org/drawingml/2006/picture">
                <pic:pic>
                  <pic:nvPicPr>
                    <pic:cNvPr id="428" name="image15.png"/>
                    <pic:cNvPicPr/>
                  </pic:nvPicPr>
                  <pic:blipFill>
                    <a:blip r:embed="rId20" cstate="print"/>
                    <a:stretch>
                      <a:fillRect/>
                    </a:stretch>
                  </pic:blipFill>
                  <pic:spPr>
                    <a:xfrm>
                      <a:off x="0" y="0"/>
                      <a:ext cx="135953" cy="155575"/>
                    </a:xfrm>
                    <a:prstGeom prst="rect">
                      <a:avLst/>
                    </a:prstGeom>
                  </pic:spPr>
                </pic:pic>
              </a:graphicData>
            </a:graphic>
          </wp:anchor>
        </w:drawing>
      </w:r>
      <w:r>
        <w:rPr/>
        <w:t>The principal assumptions used for the purposes of the actuarial valuations were as follows (expressed as weighted averages):</w:t>
      </w:r>
    </w:p>
    <w:tbl>
      <w:tblPr>
        <w:tblW w:w="0" w:type="auto"/>
        <w:jc w:val="left"/>
        <w:tblInd w:w="179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23"/>
        <w:gridCol w:w="5243"/>
        <w:gridCol w:w="2776"/>
        <w:gridCol w:w="673"/>
        <w:gridCol w:w="387"/>
      </w:tblGrid>
      <w:tr>
        <w:trPr>
          <w:trHeight w:val="785" w:hRule="exact"/>
        </w:trPr>
        <w:tc>
          <w:tcPr>
            <w:tcW w:w="423" w:type="dxa"/>
            <w:vMerge w:val="restart"/>
          </w:tcPr>
          <w:p>
            <w:pPr/>
          </w:p>
        </w:tc>
        <w:tc>
          <w:tcPr>
            <w:tcW w:w="5243" w:type="dxa"/>
          </w:tcPr>
          <w:p>
            <w:pPr>
              <w:pStyle w:val="TableParagraph"/>
              <w:jc w:val="left"/>
              <w:rPr>
                <w:sz w:val="18"/>
              </w:rPr>
            </w:pPr>
          </w:p>
          <w:p>
            <w:pPr>
              <w:pStyle w:val="TableParagraph"/>
              <w:jc w:val="left"/>
              <w:rPr>
                <w:sz w:val="18"/>
              </w:rPr>
            </w:pPr>
          </w:p>
          <w:p>
            <w:pPr>
              <w:pStyle w:val="TableParagraph"/>
              <w:spacing w:before="126"/>
              <w:ind w:left="223"/>
              <w:jc w:val="left"/>
              <w:rPr>
                <w:sz w:val="18"/>
              </w:rPr>
            </w:pPr>
            <w:r>
              <w:rPr>
                <w:sz w:val="18"/>
              </w:rPr>
              <w:t>Discount rate(s)</w:t>
            </w:r>
          </w:p>
        </w:tc>
        <w:tc>
          <w:tcPr>
            <w:tcW w:w="2776" w:type="dxa"/>
          </w:tcPr>
          <w:p>
            <w:pPr>
              <w:pStyle w:val="TableParagraph"/>
              <w:spacing w:line="204" w:lineRule="exact"/>
              <w:ind w:left="1744" w:right="591"/>
              <w:jc w:val="center"/>
              <w:rPr>
                <w:b/>
                <w:sz w:val="18"/>
              </w:rPr>
            </w:pPr>
            <w:r>
              <w:rPr>
                <w:b/>
                <w:sz w:val="18"/>
              </w:rPr>
              <w:t>2016</w:t>
            </w:r>
          </w:p>
          <w:p>
            <w:pPr>
              <w:pStyle w:val="TableParagraph"/>
              <w:spacing w:before="66"/>
              <w:ind w:right="728"/>
              <w:rPr>
                <w:b/>
                <w:sz w:val="18"/>
              </w:rPr>
            </w:pPr>
            <w:r>
              <w:rPr>
                <w:b/>
                <w:w w:val="99"/>
                <w:sz w:val="18"/>
              </w:rPr>
              <w:t>%</w:t>
            </w:r>
          </w:p>
          <w:p>
            <w:pPr>
              <w:pStyle w:val="TableParagraph"/>
              <w:spacing w:before="62"/>
              <w:ind w:right="270"/>
              <w:rPr>
                <w:b/>
                <w:sz w:val="18"/>
              </w:rPr>
            </w:pPr>
            <w:r>
              <w:rPr>
                <w:b/>
                <w:sz w:val="18"/>
              </w:rPr>
              <w:t>2.78</w:t>
            </w:r>
          </w:p>
        </w:tc>
        <w:tc>
          <w:tcPr>
            <w:tcW w:w="673" w:type="dxa"/>
          </w:tcPr>
          <w:p>
            <w:pPr>
              <w:pStyle w:val="TableParagraph"/>
              <w:spacing w:line="204" w:lineRule="exact"/>
              <w:ind w:left="269"/>
              <w:jc w:val="center"/>
              <w:rPr>
                <w:b/>
                <w:sz w:val="18"/>
              </w:rPr>
            </w:pPr>
            <w:r>
              <w:rPr>
                <w:b/>
                <w:sz w:val="18"/>
              </w:rPr>
              <w:t>2015</w:t>
            </w:r>
          </w:p>
          <w:p>
            <w:pPr>
              <w:pStyle w:val="TableParagraph"/>
              <w:spacing w:before="66"/>
              <w:ind w:left="271"/>
              <w:jc w:val="center"/>
              <w:rPr>
                <w:b/>
                <w:sz w:val="18"/>
              </w:rPr>
            </w:pPr>
            <w:r>
              <w:rPr>
                <w:b/>
                <w:w w:val="99"/>
                <w:sz w:val="18"/>
              </w:rPr>
              <w:t>%</w:t>
            </w:r>
          </w:p>
        </w:tc>
        <w:tc>
          <w:tcPr>
            <w:tcW w:w="387" w:type="dxa"/>
          </w:tcPr>
          <w:p>
            <w:pPr>
              <w:pStyle w:val="TableParagraph"/>
              <w:jc w:val="left"/>
              <w:rPr>
                <w:sz w:val="18"/>
              </w:rPr>
            </w:pPr>
          </w:p>
          <w:p>
            <w:pPr>
              <w:pStyle w:val="TableParagraph"/>
              <w:jc w:val="left"/>
              <w:rPr>
                <w:sz w:val="18"/>
              </w:rPr>
            </w:pPr>
          </w:p>
          <w:p>
            <w:pPr>
              <w:pStyle w:val="TableParagraph"/>
              <w:spacing w:before="125"/>
              <w:ind w:right="30"/>
              <w:jc w:val="center"/>
              <w:rPr>
                <w:sz w:val="18"/>
              </w:rPr>
            </w:pPr>
            <w:r>
              <w:rPr>
                <w:sz w:val="18"/>
              </w:rPr>
              <w:t>2.90</w:t>
            </w:r>
          </w:p>
        </w:tc>
      </w:tr>
      <w:tr>
        <w:trPr>
          <w:trHeight w:val="264" w:hRule="exact"/>
        </w:trPr>
        <w:tc>
          <w:tcPr>
            <w:tcW w:w="423" w:type="dxa"/>
            <w:vMerge/>
          </w:tcPr>
          <w:p>
            <w:pPr/>
          </w:p>
        </w:tc>
        <w:tc>
          <w:tcPr>
            <w:tcW w:w="5243" w:type="dxa"/>
          </w:tcPr>
          <w:p>
            <w:pPr>
              <w:pStyle w:val="TableParagraph"/>
              <w:spacing w:before="19"/>
              <w:ind w:left="223"/>
              <w:jc w:val="left"/>
              <w:rPr>
                <w:sz w:val="18"/>
              </w:rPr>
            </w:pPr>
            <w:r>
              <w:rPr>
                <w:sz w:val="18"/>
              </w:rPr>
              <w:t>Expected return on plan assets</w:t>
            </w:r>
          </w:p>
        </w:tc>
        <w:tc>
          <w:tcPr>
            <w:tcW w:w="2776" w:type="dxa"/>
          </w:tcPr>
          <w:p>
            <w:pPr>
              <w:pStyle w:val="TableParagraph"/>
              <w:spacing w:before="18"/>
              <w:ind w:right="270"/>
              <w:rPr>
                <w:b/>
                <w:sz w:val="18"/>
              </w:rPr>
            </w:pPr>
            <w:r>
              <w:rPr>
                <w:b/>
                <w:sz w:val="18"/>
              </w:rPr>
              <w:t>7.40</w:t>
            </w:r>
          </w:p>
        </w:tc>
        <w:tc>
          <w:tcPr>
            <w:tcW w:w="673" w:type="dxa"/>
          </w:tcPr>
          <w:p>
            <w:pPr/>
          </w:p>
        </w:tc>
        <w:tc>
          <w:tcPr>
            <w:tcW w:w="387" w:type="dxa"/>
          </w:tcPr>
          <w:p>
            <w:pPr>
              <w:pStyle w:val="TableParagraph"/>
              <w:spacing w:before="18"/>
              <w:ind w:right="30"/>
              <w:jc w:val="center"/>
              <w:rPr>
                <w:sz w:val="18"/>
              </w:rPr>
            </w:pPr>
            <w:r>
              <w:rPr>
                <w:sz w:val="18"/>
              </w:rPr>
              <w:t>7.80</w:t>
            </w:r>
          </w:p>
        </w:tc>
      </w:tr>
      <w:tr>
        <w:trPr>
          <w:trHeight w:val="264" w:hRule="exact"/>
        </w:trPr>
        <w:tc>
          <w:tcPr>
            <w:tcW w:w="423" w:type="dxa"/>
            <w:vMerge/>
          </w:tcPr>
          <w:p>
            <w:pPr/>
          </w:p>
        </w:tc>
        <w:tc>
          <w:tcPr>
            <w:tcW w:w="5243" w:type="dxa"/>
          </w:tcPr>
          <w:p>
            <w:pPr>
              <w:pStyle w:val="TableParagraph"/>
              <w:spacing w:before="19"/>
              <w:ind w:left="223"/>
              <w:jc w:val="left"/>
              <w:rPr>
                <w:sz w:val="18"/>
              </w:rPr>
            </w:pPr>
            <w:bookmarkStart w:name="(c) Actuarial assumptions and sensitivit" w:id="164"/>
            <w:bookmarkEnd w:id="164"/>
            <w:r>
              <w:rPr/>
            </w:r>
            <w:r>
              <w:rPr>
                <w:sz w:val="18"/>
              </w:rPr>
              <w:t>Expected return on reimbursement rights</w:t>
            </w:r>
          </w:p>
        </w:tc>
        <w:tc>
          <w:tcPr>
            <w:tcW w:w="2776" w:type="dxa"/>
          </w:tcPr>
          <w:p>
            <w:pPr>
              <w:pStyle w:val="TableParagraph"/>
              <w:spacing w:before="18"/>
              <w:ind w:right="270"/>
              <w:rPr>
                <w:b/>
                <w:sz w:val="18"/>
              </w:rPr>
            </w:pPr>
            <w:r>
              <w:rPr>
                <w:b/>
                <w:sz w:val="18"/>
              </w:rPr>
              <w:t>2.97</w:t>
            </w:r>
          </w:p>
        </w:tc>
        <w:tc>
          <w:tcPr>
            <w:tcW w:w="673" w:type="dxa"/>
          </w:tcPr>
          <w:p>
            <w:pPr/>
          </w:p>
        </w:tc>
        <w:tc>
          <w:tcPr>
            <w:tcW w:w="387" w:type="dxa"/>
          </w:tcPr>
          <w:p>
            <w:pPr>
              <w:pStyle w:val="TableParagraph"/>
              <w:spacing w:before="18"/>
              <w:ind w:right="30"/>
              <w:jc w:val="center"/>
              <w:rPr>
                <w:sz w:val="18"/>
              </w:rPr>
            </w:pPr>
            <w:r>
              <w:rPr>
                <w:sz w:val="18"/>
              </w:rPr>
              <w:t>2.95</w:t>
            </w:r>
          </w:p>
        </w:tc>
      </w:tr>
      <w:tr>
        <w:trPr>
          <w:trHeight w:val="264" w:hRule="exact"/>
        </w:trPr>
        <w:tc>
          <w:tcPr>
            <w:tcW w:w="423" w:type="dxa"/>
            <w:vMerge/>
          </w:tcPr>
          <w:p>
            <w:pPr/>
          </w:p>
        </w:tc>
        <w:tc>
          <w:tcPr>
            <w:tcW w:w="5243" w:type="dxa"/>
          </w:tcPr>
          <w:p>
            <w:pPr>
              <w:pStyle w:val="TableParagraph"/>
              <w:spacing w:before="19"/>
              <w:ind w:left="223"/>
              <w:jc w:val="left"/>
              <w:rPr>
                <w:sz w:val="18"/>
              </w:rPr>
            </w:pPr>
            <w:r>
              <w:rPr>
                <w:sz w:val="18"/>
              </w:rPr>
              <w:t>Expected rate(s) of salary increase</w:t>
            </w:r>
          </w:p>
        </w:tc>
        <w:tc>
          <w:tcPr>
            <w:tcW w:w="2776" w:type="dxa"/>
          </w:tcPr>
          <w:p>
            <w:pPr>
              <w:pStyle w:val="TableParagraph"/>
              <w:spacing w:before="18"/>
              <w:ind w:right="270"/>
              <w:rPr>
                <w:b/>
                <w:sz w:val="18"/>
              </w:rPr>
            </w:pPr>
            <w:r>
              <w:rPr>
                <w:b/>
                <w:sz w:val="18"/>
              </w:rPr>
              <w:t>2.50</w:t>
            </w:r>
          </w:p>
        </w:tc>
        <w:tc>
          <w:tcPr>
            <w:tcW w:w="673" w:type="dxa"/>
          </w:tcPr>
          <w:p>
            <w:pPr/>
          </w:p>
        </w:tc>
        <w:tc>
          <w:tcPr>
            <w:tcW w:w="387" w:type="dxa"/>
          </w:tcPr>
          <w:p>
            <w:pPr>
              <w:pStyle w:val="TableParagraph"/>
              <w:spacing w:before="18"/>
              <w:ind w:right="30"/>
              <w:jc w:val="center"/>
              <w:rPr>
                <w:sz w:val="18"/>
              </w:rPr>
            </w:pPr>
            <w:r>
              <w:rPr>
                <w:sz w:val="18"/>
              </w:rPr>
              <w:t>2.50</w:t>
            </w:r>
          </w:p>
        </w:tc>
      </w:tr>
      <w:tr>
        <w:trPr>
          <w:trHeight w:val="413" w:hRule="exact"/>
        </w:trPr>
        <w:tc>
          <w:tcPr>
            <w:tcW w:w="423" w:type="dxa"/>
            <w:vMerge/>
          </w:tcPr>
          <w:p>
            <w:pPr/>
          </w:p>
        </w:tc>
        <w:tc>
          <w:tcPr>
            <w:tcW w:w="5243" w:type="dxa"/>
          </w:tcPr>
          <w:p>
            <w:pPr>
              <w:pStyle w:val="TableParagraph"/>
              <w:spacing w:before="19"/>
              <w:ind w:left="223"/>
              <w:jc w:val="left"/>
              <w:rPr>
                <w:sz w:val="18"/>
              </w:rPr>
            </w:pPr>
            <w:r>
              <w:rPr>
                <w:sz w:val="18"/>
              </w:rPr>
              <w:t>Expected rate of CPI increase</w:t>
            </w:r>
          </w:p>
        </w:tc>
        <w:tc>
          <w:tcPr>
            <w:tcW w:w="2776" w:type="dxa"/>
          </w:tcPr>
          <w:p>
            <w:pPr>
              <w:pStyle w:val="TableParagraph"/>
              <w:spacing w:before="18"/>
              <w:ind w:right="270"/>
              <w:rPr>
                <w:b/>
                <w:sz w:val="18"/>
              </w:rPr>
            </w:pPr>
            <w:r>
              <w:rPr>
                <w:b/>
                <w:sz w:val="18"/>
              </w:rPr>
              <w:t>2.50</w:t>
            </w:r>
          </w:p>
        </w:tc>
        <w:tc>
          <w:tcPr>
            <w:tcW w:w="673" w:type="dxa"/>
          </w:tcPr>
          <w:p>
            <w:pPr/>
          </w:p>
        </w:tc>
        <w:tc>
          <w:tcPr>
            <w:tcW w:w="387" w:type="dxa"/>
          </w:tcPr>
          <w:p>
            <w:pPr>
              <w:pStyle w:val="TableParagraph"/>
              <w:spacing w:before="18"/>
              <w:ind w:right="30"/>
              <w:jc w:val="center"/>
              <w:rPr>
                <w:sz w:val="18"/>
              </w:rPr>
            </w:pPr>
            <w:r>
              <w:rPr>
                <w:sz w:val="18"/>
              </w:rPr>
              <w:t>2.50</w:t>
            </w:r>
          </w:p>
        </w:tc>
      </w:tr>
      <w:tr>
        <w:trPr>
          <w:trHeight w:val="470" w:hRule="exact"/>
        </w:trPr>
        <w:tc>
          <w:tcPr>
            <w:tcW w:w="423" w:type="dxa"/>
          </w:tcPr>
          <w:p>
            <w:pPr>
              <w:pStyle w:val="TableParagraph"/>
              <w:spacing w:before="6"/>
              <w:jc w:val="left"/>
              <w:rPr>
                <w:sz w:val="14"/>
              </w:rPr>
            </w:pPr>
          </w:p>
          <w:p>
            <w:pPr>
              <w:pStyle w:val="TableParagraph"/>
              <w:ind w:left="35"/>
              <w:jc w:val="left"/>
              <w:rPr>
                <w:sz w:val="18"/>
              </w:rPr>
            </w:pPr>
            <w:r>
              <w:rPr>
                <w:sz w:val="18"/>
              </w:rPr>
              <w:t>(c)</w:t>
            </w:r>
          </w:p>
        </w:tc>
        <w:tc>
          <w:tcPr>
            <w:tcW w:w="5243" w:type="dxa"/>
          </w:tcPr>
          <w:p>
            <w:pPr>
              <w:pStyle w:val="TableParagraph"/>
              <w:spacing w:before="6"/>
              <w:jc w:val="left"/>
              <w:rPr>
                <w:sz w:val="14"/>
              </w:rPr>
            </w:pPr>
          </w:p>
          <w:p>
            <w:pPr>
              <w:pStyle w:val="TableParagraph"/>
              <w:ind w:left="178"/>
              <w:jc w:val="left"/>
              <w:rPr>
                <w:sz w:val="18"/>
              </w:rPr>
            </w:pPr>
            <w:r>
              <w:rPr>
                <w:sz w:val="18"/>
              </w:rPr>
              <w:t>Actuarial assumptions and sensitivity</w:t>
            </w:r>
          </w:p>
        </w:tc>
        <w:tc>
          <w:tcPr>
            <w:tcW w:w="2776" w:type="dxa"/>
          </w:tcPr>
          <w:p>
            <w:pPr/>
          </w:p>
        </w:tc>
        <w:tc>
          <w:tcPr>
            <w:tcW w:w="673" w:type="dxa"/>
          </w:tcPr>
          <w:p>
            <w:pPr/>
          </w:p>
        </w:tc>
        <w:tc>
          <w:tcPr>
            <w:tcW w:w="387" w:type="dxa"/>
          </w:tcPr>
          <w:p>
            <w:pPr/>
          </w:p>
        </w:tc>
      </w:tr>
    </w:tbl>
    <w:p>
      <w:pPr>
        <w:pStyle w:val="BodyText"/>
        <w:spacing w:before="4"/>
        <w:rPr>
          <w:sz w:val="10"/>
        </w:rPr>
      </w:pPr>
    </w:p>
    <w:p>
      <w:pPr>
        <w:pStyle w:val="BodyText"/>
        <w:spacing w:before="77"/>
        <w:ind w:left="2390"/>
      </w:pPr>
      <w:r>
        <w:rPr/>
        <w:t>The sensitivity of the defined benefit obligation to change in the significant assumptions is:</w:t>
      </w:r>
    </w:p>
    <w:p>
      <w:pPr>
        <w:pStyle w:val="Heading8"/>
        <w:spacing w:line="207" w:lineRule="exact" w:before="33"/>
        <w:ind w:left="2107" w:right="2302"/>
        <w:jc w:val="center"/>
      </w:pPr>
      <w:r>
        <w:rPr/>
        <w:t>Change in</w:t>
      </w:r>
    </w:p>
    <w:p>
      <w:pPr>
        <w:tabs>
          <w:tab w:pos="7619" w:val="left" w:leader="none"/>
        </w:tabs>
        <w:spacing w:line="207" w:lineRule="exact" w:before="0" w:after="36"/>
        <w:ind w:left="5768" w:right="0" w:firstLine="0"/>
        <w:jc w:val="left"/>
        <w:rPr>
          <w:b/>
          <w:sz w:val="18"/>
        </w:rPr>
      </w:pPr>
      <w:r>
        <w:rPr>
          <w:b/>
          <w:sz w:val="18"/>
        </w:rPr>
        <w:t>assumption</w:t>
        <w:tab/>
        <w:t>Impact on defined benefit obligation</w:t>
      </w:r>
    </w:p>
    <w:tbl>
      <w:tblPr>
        <w:tblW w:w="0" w:type="auto"/>
        <w:jc w:val="left"/>
        <w:tblInd w:w="240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577"/>
        <w:gridCol w:w="1738"/>
        <w:gridCol w:w="2393"/>
        <w:gridCol w:w="2206"/>
      </w:tblGrid>
      <w:tr>
        <w:trPr>
          <w:trHeight w:val="545" w:hRule="exact"/>
        </w:trPr>
        <w:tc>
          <w:tcPr>
            <w:tcW w:w="2577" w:type="dxa"/>
          </w:tcPr>
          <w:p>
            <w:pPr>
              <w:pStyle w:val="TableParagraph"/>
              <w:spacing w:before="1"/>
              <w:jc w:val="left"/>
              <w:rPr>
                <w:b/>
                <w:sz w:val="26"/>
              </w:rPr>
            </w:pPr>
          </w:p>
          <w:p>
            <w:pPr>
              <w:pStyle w:val="TableParagraph"/>
              <w:ind w:left="35"/>
              <w:jc w:val="left"/>
              <w:rPr>
                <w:sz w:val="18"/>
              </w:rPr>
            </w:pPr>
            <w:r>
              <w:rPr>
                <w:sz w:val="18"/>
              </w:rPr>
              <w:t>Discount rate</w:t>
            </w:r>
          </w:p>
        </w:tc>
        <w:tc>
          <w:tcPr>
            <w:tcW w:w="1738" w:type="dxa"/>
          </w:tcPr>
          <w:p>
            <w:pPr>
              <w:pStyle w:val="TableParagraph"/>
              <w:spacing w:before="30"/>
              <w:ind w:right="361"/>
              <w:rPr>
                <w:b/>
                <w:sz w:val="18"/>
              </w:rPr>
            </w:pPr>
            <w:r>
              <w:rPr>
                <w:b/>
                <w:w w:val="99"/>
                <w:sz w:val="18"/>
              </w:rPr>
              <w:t>%</w:t>
            </w:r>
          </w:p>
          <w:p>
            <w:pPr>
              <w:pStyle w:val="TableParagraph"/>
              <w:spacing w:before="62"/>
              <w:ind w:right="296"/>
              <w:rPr>
                <w:sz w:val="18"/>
              </w:rPr>
            </w:pPr>
            <w:r>
              <w:rPr>
                <w:sz w:val="18"/>
              </w:rPr>
              <w:t>1.00</w:t>
            </w:r>
          </w:p>
        </w:tc>
        <w:tc>
          <w:tcPr>
            <w:tcW w:w="2393" w:type="dxa"/>
          </w:tcPr>
          <w:p>
            <w:pPr>
              <w:pStyle w:val="TableParagraph"/>
              <w:spacing w:before="30"/>
              <w:ind w:left="327"/>
              <w:jc w:val="left"/>
              <w:rPr>
                <w:b/>
                <w:sz w:val="18"/>
              </w:rPr>
            </w:pPr>
            <w:r>
              <w:rPr>
                <w:b/>
                <w:sz w:val="18"/>
              </w:rPr>
              <w:t>Increase in assumption</w:t>
            </w:r>
          </w:p>
          <w:p>
            <w:pPr>
              <w:pStyle w:val="TableParagraph"/>
              <w:spacing w:before="62"/>
              <w:ind w:left="298"/>
              <w:jc w:val="left"/>
              <w:rPr>
                <w:sz w:val="18"/>
              </w:rPr>
            </w:pPr>
            <w:r>
              <w:rPr>
                <w:sz w:val="18"/>
              </w:rPr>
              <w:t>Decrease by 10.7%</w:t>
            </w:r>
          </w:p>
        </w:tc>
        <w:tc>
          <w:tcPr>
            <w:tcW w:w="2206" w:type="dxa"/>
          </w:tcPr>
          <w:p>
            <w:pPr>
              <w:pStyle w:val="TableParagraph"/>
              <w:spacing w:before="30"/>
              <w:ind w:left="102"/>
              <w:jc w:val="left"/>
              <w:rPr>
                <w:b/>
                <w:sz w:val="18"/>
              </w:rPr>
            </w:pPr>
            <w:r>
              <w:rPr>
                <w:b/>
                <w:sz w:val="18"/>
              </w:rPr>
              <w:t>Decrease in assumption</w:t>
            </w:r>
          </w:p>
          <w:p>
            <w:pPr>
              <w:pStyle w:val="TableParagraph"/>
              <w:spacing w:before="62"/>
              <w:ind w:left="64"/>
              <w:jc w:val="left"/>
              <w:rPr>
                <w:sz w:val="18"/>
              </w:rPr>
            </w:pPr>
            <w:r>
              <w:rPr>
                <w:sz w:val="18"/>
              </w:rPr>
              <w:t>Increase by 12.9%</w:t>
            </w:r>
          </w:p>
        </w:tc>
      </w:tr>
      <w:tr>
        <w:trPr>
          <w:trHeight w:val="323" w:hRule="exact"/>
        </w:trPr>
        <w:tc>
          <w:tcPr>
            <w:tcW w:w="2577" w:type="dxa"/>
          </w:tcPr>
          <w:p>
            <w:pPr>
              <w:pStyle w:val="TableParagraph"/>
              <w:spacing w:before="19"/>
              <w:ind w:left="35"/>
              <w:jc w:val="left"/>
              <w:rPr>
                <w:sz w:val="18"/>
              </w:rPr>
            </w:pPr>
            <w:r>
              <w:rPr>
                <w:sz w:val="18"/>
              </w:rPr>
              <w:t>Salary growth rate</w:t>
            </w:r>
          </w:p>
        </w:tc>
        <w:tc>
          <w:tcPr>
            <w:tcW w:w="1738" w:type="dxa"/>
          </w:tcPr>
          <w:p>
            <w:pPr>
              <w:pStyle w:val="TableParagraph"/>
              <w:spacing w:before="18"/>
              <w:ind w:left="1089"/>
              <w:jc w:val="left"/>
              <w:rPr>
                <w:sz w:val="18"/>
              </w:rPr>
            </w:pPr>
            <w:r>
              <w:rPr>
                <w:sz w:val="18"/>
              </w:rPr>
              <w:t>0.50</w:t>
            </w:r>
          </w:p>
        </w:tc>
        <w:tc>
          <w:tcPr>
            <w:tcW w:w="2393" w:type="dxa"/>
          </w:tcPr>
          <w:p>
            <w:pPr>
              <w:pStyle w:val="TableParagraph"/>
              <w:spacing w:before="18"/>
              <w:ind w:left="298"/>
              <w:jc w:val="left"/>
              <w:rPr>
                <w:sz w:val="18"/>
              </w:rPr>
            </w:pPr>
            <w:r>
              <w:rPr>
                <w:sz w:val="18"/>
              </w:rPr>
              <w:t>Increase by 0.2%</w:t>
            </w:r>
          </w:p>
        </w:tc>
        <w:tc>
          <w:tcPr>
            <w:tcW w:w="2206" w:type="dxa"/>
          </w:tcPr>
          <w:p>
            <w:pPr>
              <w:pStyle w:val="TableParagraph"/>
              <w:spacing w:before="18"/>
              <w:ind w:left="64"/>
              <w:jc w:val="left"/>
              <w:rPr>
                <w:sz w:val="18"/>
              </w:rPr>
            </w:pPr>
            <w:r>
              <w:rPr>
                <w:sz w:val="18"/>
              </w:rPr>
              <w:t>Decrease by 0.2%</w:t>
            </w:r>
          </w:p>
        </w:tc>
      </w:tr>
    </w:tbl>
    <w:p>
      <w:pPr>
        <w:pStyle w:val="BodyText"/>
        <w:spacing w:before="4"/>
        <w:rPr>
          <w:b/>
          <w:sz w:val="12"/>
        </w:rPr>
      </w:pPr>
    </w:p>
    <w:p>
      <w:pPr>
        <w:pStyle w:val="BodyText"/>
        <w:spacing w:before="77"/>
        <w:ind w:left="2390" w:right="1424"/>
      </w:pPr>
      <w:r>
        <w:rPr/>
        <w:t>The above sensitivity analyses are based on a change in an assumption while holding all the other assumptions constant. In practice this is unlikely to occur, and changes in some of the assumptions may be correlated. When calculating the sensitivity of the defined benefit obligation to significant actuarial assumptions the same method has been applied as when calculating the defined benefit liability recognised in the statement of financial position.</w:t>
      </w:r>
    </w:p>
    <w:p>
      <w:pPr>
        <w:pStyle w:val="BodyText"/>
        <w:spacing w:before="11"/>
        <w:rPr>
          <w:sz w:val="24"/>
        </w:rPr>
      </w:pPr>
    </w:p>
    <w:p>
      <w:pPr>
        <w:pStyle w:val="BodyText"/>
        <w:ind w:left="2390" w:right="1375"/>
      </w:pPr>
      <w:r>
        <w:rPr/>
        <w:t>The methods and types of assumptions used in the preparation of the sensitivity analysis did not change compared to the prior period.</w:t>
      </w:r>
    </w:p>
    <w:p>
      <w:pPr>
        <w:spacing w:after="0"/>
        <w:sectPr>
          <w:pgSz w:w="12750" w:h="17680"/>
          <w:pgMar w:header="0" w:footer="867" w:top="2640" w:bottom="1120" w:left="0" w:right="0"/>
        </w:sectPr>
      </w:pPr>
    </w:p>
    <w:p>
      <w:pPr>
        <w:pStyle w:val="BodyText"/>
        <w:rPr>
          <w:sz w:val="20"/>
        </w:rPr>
      </w:pPr>
    </w:p>
    <w:p>
      <w:pPr>
        <w:pStyle w:val="BodyText"/>
        <w:rPr>
          <w:sz w:val="20"/>
        </w:rPr>
      </w:pPr>
    </w:p>
    <w:p>
      <w:pPr>
        <w:pStyle w:val="BodyText"/>
        <w:spacing w:before="4"/>
      </w:pPr>
    </w:p>
    <w:p>
      <w:pPr>
        <w:pStyle w:val="Heading8"/>
        <w:tabs>
          <w:tab w:pos="2391" w:val="left" w:leader="none"/>
        </w:tabs>
        <w:ind w:left="1824"/>
      </w:pPr>
      <w:bookmarkStart w:name="(d) Statement of financial position amou" w:id="165"/>
      <w:bookmarkEnd w:id="165"/>
      <w:r>
        <w:rPr>
          <w:b w:val="0"/>
        </w:rPr>
      </w:r>
      <w:r>
        <w:rPr/>
        <w:t>41</w:t>
        <w:tab/>
        <w:t>Defined Benefits Plans (continued)</w:t>
      </w:r>
    </w:p>
    <w:p>
      <w:pPr>
        <w:pStyle w:val="BodyText"/>
        <w:spacing w:before="7"/>
        <w:rPr>
          <w:b/>
          <w:sz w:val="26"/>
        </w:rPr>
      </w:pPr>
    </w:p>
    <w:p>
      <w:pPr>
        <w:pStyle w:val="BodyText"/>
        <w:tabs>
          <w:tab w:pos="2391" w:val="left" w:leader="none"/>
        </w:tabs>
        <w:ind w:left="1825"/>
      </w:pPr>
      <w:r>
        <w:rPr/>
        <w:t>(d)</w:t>
        <w:tab/>
        <w:t>Statement of financial position</w:t>
      </w:r>
      <w:r>
        <w:rPr>
          <w:spacing w:val="-36"/>
        </w:rPr>
        <w:t> </w:t>
      </w:r>
      <w:r>
        <w:rPr/>
        <w:t>amounts</w:t>
      </w:r>
    </w:p>
    <w:p>
      <w:pPr>
        <w:pStyle w:val="BodyText"/>
        <w:rPr>
          <w:sz w:val="20"/>
        </w:rPr>
      </w:pPr>
    </w:p>
    <w:p>
      <w:pPr>
        <w:pStyle w:val="BodyText"/>
        <w:spacing w:before="4"/>
        <w:rPr>
          <w:sz w:val="19"/>
        </w:rPr>
      </w:pPr>
    </w:p>
    <w:p>
      <w:pPr>
        <w:spacing w:after="0"/>
        <w:rPr>
          <w:sz w:val="19"/>
        </w:rPr>
        <w:sectPr>
          <w:pgSz w:w="12750" w:h="17680"/>
          <w:pgMar w:header="0" w:footer="867" w:top="2640" w:bottom="1120" w:left="0" w:right="0"/>
        </w:sectPr>
      </w:pPr>
    </w:p>
    <w:p>
      <w:pPr>
        <w:pStyle w:val="BodyText"/>
        <w:spacing w:before="8"/>
        <w:rPr>
          <w:sz w:val="12"/>
        </w:rPr>
      </w:pPr>
    </w:p>
    <w:p>
      <w:pPr>
        <w:spacing w:line="184" w:lineRule="exact" w:before="0"/>
        <w:ind w:left="2431" w:right="0" w:firstLine="0"/>
        <w:jc w:val="left"/>
        <w:rPr>
          <w:b/>
          <w:sz w:val="16"/>
        </w:rPr>
      </w:pPr>
      <w:r>
        <w:rPr>
          <w:b/>
          <w:sz w:val="16"/>
        </w:rPr>
        <w:t>Amounts recognised in the statement</w:t>
      </w:r>
    </w:p>
    <w:p>
      <w:pPr>
        <w:tabs>
          <w:tab w:pos="6245" w:val="left" w:leader="none"/>
        </w:tabs>
        <w:spacing w:before="0"/>
        <w:ind w:left="2431" w:right="0" w:firstLine="0"/>
        <w:jc w:val="left"/>
        <w:rPr>
          <w:b/>
          <w:sz w:val="16"/>
        </w:rPr>
      </w:pPr>
      <w:r>
        <w:rPr>
          <w:b/>
          <w:sz w:val="16"/>
        </w:rPr>
        <w:t>of financial position</w:t>
      </w:r>
      <w:r>
        <w:rPr>
          <w:b/>
          <w:spacing w:val="-15"/>
          <w:sz w:val="16"/>
        </w:rPr>
        <w:t> </w:t>
      </w:r>
      <w:r>
        <w:rPr>
          <w:b/>
          <w:sz w:val="16"/>
        </w:rPr>
        <w:t>-</w:t>
      </w:r>
      <w:r>
        <w:rPr>
          <w:b/>
          <w:spacing w:val="-5"/>
          <w:sz w:val="16"/>
        </w:rPr>
        <w:t> </w:t>
      </w:r>
      <w:r>
        <w:rPr>
          <w:b/>
          <w:sz w:val="16"/>
        </w:rPr>
        <w:t>2016</w:t>
        <w:tab/>
      </w:r>
      <w:r>
        <w:rPr>
          <w:b/>
          <w:spacing w:val="-1"/>
          <w:sz w:val="16"/>
        </w:rPr>
        <w:t>Note</w:t>
      </w:r>
    </w:p>
    <w:p>
      <w:pPr>
        <w:spacing w:before="79"/>
        <w:ind w:left="442" w:right="-2" w:firstLine="0"/>
        <w:jc w:val="left"/>
        <w:rPr>
          <w:b/>
          <w:sz w:val="16"/>
        </w:rPr>
      </w:pPr>
      <w:r>
        <w:rPr/>
        <w:br w:type="column"/>
      </w:r>
      <w:r>
        <w:rPr>
          <w:b/>
          <w:sz w:val="16"/>
        </w:rPr>
        <w:t>$'000</w:t>
      </w:r>
    </w:p>
    <w:p>
      <w:pPr>
        <w:spacing w:before="67"/>
        <w:ind w:left="424" w:right="-2" w:firstLine="0"/>
        <w:jc w:val="left"/>
        <w:rPr>
          <w:b/>
          <w:sz w:val="16"/>
        </w:rPr>
      </w:pPr>
      <w:r>
        <w:rPr>
          <w:b/>
          <w:w w:val="95"/>
          <w:sz w:val="16"/>
        </w:rPr>
        <w:t>SASS</w:t>
      </w:r>
    </w:p>
    <w:p>
      <w:pPr>
        <w:spacing w:before="79"/>
        <w:ind w:left="714" w:right="-16" w:firstLine="0"/>
        <w:jc w:val="left"/>
        <w:rPr>
          <w:b/>
          <w:sz w:val="16"/>
        </w:rPr>
      </w:pPr>
      <w:r>
        <w:rPr/>
        <w:br w:type="column"/>
      </w:r>
      <w:r>
        <w:rPr>
          <w:b/>
          <w:sz w:val="16"/>
        </w:rPr>
        <w:t>$'000</w:t>
      </w:r>
    </w:p>
    <w:p>
      <w:pPr>
        <w:spacing w:before="67"/>
        <w:ind w:left="634" w:right="-16" w:firstLine="0"/>
        <w:jc w:val="left"/>
        <w:rPr>
          <w:b/>
          <w:sz w:val="16"/>
        </w:rPr>
      </w:pPr>
      <w:r>
        <w:rPr>
          <w:b/>
          <w:spacing w:val="-2"/>
          <w:sz w:val="16"/>
        </w:rPr>
        <w:t>SANCS</w:t>
      </w:r>
    </w:p>
    <w:p>
      <w:pPr>
        <w:spacing w:before="79"/>
        <w:ind w:left="654" w:right="-1" w:firstLine="0"/>
        <w:jc w:val="left"/>
        <w:rPr>
          <w:b/>
          <w:sz w:val="16"/>
        </w:rPr>
      </w:pPr>
      <w:r>
        <w:rPr/>
        <w:br w:type="column"/>
      </w:r>
      <w:r>
        <w:rPr>
          <w:b/>
          <w:w w:val="95"/>
          <w:sz w:val="16"/>
        </w:rPr>
        <w:t>$'000</w:t>
      </w:r>
    </w:p>
    <w:p>
      <w:pPr>
        <w:spacing w:before="67"/>
        <w:ind w:left="691" w:right="-1" w:firstLine="0"/>
        <w:jc w:val="left"/>
        <w:rPr>
          <w:b/>
          <w:sz w:val="16"/>
        </w:rPr>
      </w:pPr>
      <w:r>
        <w:rPr>
          <w:b/>
          <w:sz w:val="16"/>
        </w:rPr>
        <w:t>SSS</w:t>
      </w:r>
    </w:p>
    <w:p>
      <w:pPr>
        <w:spacing w:before="79"/>
        <w:ind w:left="733" w:right="0" w:firstLine="0"/>
        <w:jc w:val="left"/>
        <w:rPr>
          <w:b/>
          <w:sz w:val="16"/>
        </w:rPr>
      </w:pPr>
      <w:r>
        <w:rPr/>
        <w:br w:type="column"/>
      </w:r>
      <w:r>
        <w:rPr>
          <w:b/>
          <w:sz w:val="16"/>
        </w:rPr>
        <w:t>$'000</w:t>
      </w:r>
    </w:p>
    <w:p>
      <w:pPr>
        <w:spacing w:before="67"/>
        <w:ind w:left="741" w:right="0" w:firstLine="0"/>
        <w:jc w:val="left"/>
        <w:rPr>
          <w:b/>
          <w:sz w:val="16"/>
        </w:rPr>
      </w:pPr>
      <w:r>
        <w:rPr>
          <w:b/>
          <w:sz w:val="16"/>
        </w:rPr>
        <w:t>Total</w:t>
      </w:r>
    </w:p>
    <w:p>
      <w:pPr>
        <w:spacing w:after="0"/>
        <w:jc w:val="left"/>
        <w:rPr>
          <w:sz w:val="16"/>
        </w:rPr>
        <w:sectPr>
          <w:type w:val="continuous"/>
          <w:pgSz w:w="12750" w:h="17680"/>
          <w:pgMar w:top="1660" w:bottom="0" w:left="0" w:right="0"/>
          <w:cols w:num="5" w:equalWidth="0">
            <w:col w:w="6600" w:space="40"/>
            <w:col w:w="856" w:space="40"/>
            <w:col w:w="1189" w:space="40"/>
            <w:col w:w="1048" w:space="40"/>
            <w:col w:w="2897"/>
          </w:cols>
        </w:sectPr>
      </w:pPr>
    </w:p>
    <w:p>
      <w:pPr>
        <w:pStyle w:val="BodyText"/>
        <w:spacing w:before="8"/>
        <w:rPr>
          <w:b/>
          <w:sz w:val="12"/>
        </w:rPr>
      </w:pPr>
      <w:r>
        <w:rPr/>
        <w:drawing>
          <wp:anchor distT="0" distB="0" distL="0" distR="0" allowOverlap="1" layoutInCell="1" locked="0" behindDoc="0" simplePos="0" relativeHeight="6184">
            <wp:simplePos x="0" y="0"/>
            <wp:positionH relativeFrom="page">
              <wp:posOffset>-1587</wp:posOffset>
            </wp:positionH>
            <wp:positionV relativeFrom="page">
              <wp:posOffset>5534342</wp:posOffset>
            </wp:positionV>
            <wp:extent cx="135159" cy="154019"/>
            <wp:effectExtent l="0" t="0" r="0" b="0"/>
            <wp:wrapNone/>
            <wp:docPr id="429" name="image13.png" descr=""/>
            <wp:cNvGraphicFramePr>
              <a:graphicFrameLocks noChangeAspect="1"/>
            </wp:cNvGraphicFramePr>
            <a:graphic>
              <a:graphicData uri="http://schemas.openxmlformats.org/drawingml/2006/picture">
                <pic:pic>
                  <pic:nvPicPr>
                    <pic:cNvPr id="430" name="image13.png"/>
                    <pic:cNvPicPr/>
                  </pic:nvPicPr>
                  <pic:blipFill>
                    <a:blip r:embed="rId18" cstate="print"/>
                    <a:stretch>
                      <a:fillRect/>
                    </a:stretch>
                  </pic:blipFill>
                  <pic:spPr>
                    <a:xfrm>
                      <a:off x="0" y="0"/>
                      <a:ext cx="135159" cy="154019"/>
                    </a:xfrm>
                    <a:prstGeom prst="rect">
                      <a:avLst/>
                    </a:prstGeom>
                  </pic:spPr>
                </pic:pic>
              </a:graphicData>
            </a:graphic>
          </wp:anchor>
        </w:drawing>
      </w:r>
      <w:r>
        <w:rPr/>
        <w:drawing>
          <wp:anchor distT="0" distB="0" distL="0" distR="0" allowOverlap="1" layoutInCell="1" locked="0" behindDoc="0" simplePos="0" relativeHeight="6208">
            <wp:simplePos x="0" y="0"/>
            <wp:positionH relativeFrom="page">
              <wp:posOffset>7958429</wp:posOffset>
            </wp:positionH>
            <wp:positionV relativeFrom="page">
              <wp:posOffset>5534342</wp:posOffset>
            </wp:positionV>
            <wp:extent cx="135953" cy="155575"/>
            <wp:effectExtent l="0" t="0" r="0" b="0"/>
            <wp:wrapNone/>
            <wp:docPr id="431" name="image15.png" descr=""/>
            <wp:cNvGraphicFramePr>
              <a:graphicFrameLocks noChangeAspect="1"/>
            </wp:cNvGraphicFramePr>
            <a:graphic>
              <a:graphicData uri="http://schemas.openxmlformats.org/drawingml/2006/picture">
                <pic:pic>
                  <pic:nvPicPr>
                    <pic:cNvPr id="432" name="image15.png"/>
                    <pic:cNvPicPr/>
                  </pic:nvPicPr>
                  <pic:blipFill>
                    <a:blip r:embed="rId20" cstate="print"/>
                    <a:stretch>
                      <a:fillRect/>
                    </a:stretch>
                  </pic:blipFill>
                  <pic:spPr>
                    <a:xfrm>
                      <a:off x="0" y="0"/>
                      <a:ext cx="135953" cy="155575"/>
                    </a:xfrm>
                    <a:prstGeom prst="rect">
                      <a:avLst/>
                    </a:prstGeom>
                  </pic:spPr>
                </pic:pic>
              </a:graphicData>
            </a:graphic>
          </wp:anchor>
        </w:drawing>
      </w:r>
    </w:p>
    <w:p>
      <w:pPr>
        <w:spacing w:before="0"/>
        <w:ind w:left="2431" w:right="0" w:firstLine="0"/>
        <w:jc w:val="left"/>
        <w:rPr>
          <w:b/>
          <w:sz w:val="16"/>
        </w:rPr>
      </w:pPr>
      <w:r>
        <w:rPr>
          <w:b/>
          <w:sz w:val="16"/>
        </w:rPr>
        <w:t>Liabilities</w:t>
      </w:r>
    </w:p>
    <w:p>
      <w:pPr>
        <w:tabs>
          <w:tab w:pos="3331" w:val="left" w:leader="none"/>
          <w:tab w:pos="3758" w:val="left" w:leader="none"/>
          <w:tab w:pos="4592" w:val="left" w:leader="none"/>
          <w:tab w:pos="6373" w:val="right" w:leader="none"/>
        </w:tabs>
        <w:spacing w:before="27" w:after="19"/>
        <w:ind w:left="2431" w:right="0" w:firstLine="0"/>
        <w:jc w:val="left"/>
        <w:rPr>
          <w:sz w:val="16"/>
        </w:rPr>
      </w:pPr>
      <w:r>
        <w:rPr>
          <w:sz w:val="16"/>
        </w:rPr>
        <w:t>Provision</w:t>
        <w:tab/>
        <w:t>for</w:t>
        <w:tab/>
        <w:t>deferred</w:t>
        <w:tab/>
        <w:t>government</w:t>
      </w:r>
      <w:r>
        <w:rPr>
          <w:rFonts w:ascii="Times New Roman"/>
          <w:sz w:val="16"/>
        </w:rPr>
        <w:tab/>
      </w:r>
      <w:r>
        <w:rPr>
          <w:sz w:val="16"/>
        </w:rPr>
        <w:t>27</w:t>
      </w:r>
    </w:p>
    <w:tbl>
      <w:tblPr>
        <w:tblW w:w="0" w:type="auto"/>
        <w:jc w:val="left"/>
        <w:tblInd w:w="239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420"/>
        <w:gridCol w:w="861"/>
        <w:gridCol w:w="1470"/>
        <w:gridCol w:w="1079"/>
        <w:gridCol w:w="1168"/>
        <w:gridCol w:w="954"/>
      </w:tblGrid>
      <w:tr>
        <w:trPr>
          <w:trHeight w:val="201" w:hRule="exact"/>
        </w:trPr>
        <w:tc>
          <w:tcPr>
            <w:tcW w:w="3420" w:type="dxa"/>
          </w:tcPr>
          <w:p>
            <w:pPr>
              <w:pStyle w:val="TableParagraph"/>
              <w:spacing w:line="164" w:lineRule="exact"/>
              <w:ind w:left="35" w:right="354"/>
              <w:jc w:val="left"/>
              <w:rPr>
                <w:sz w:val="16"/>
              </w:rPr>
            </w:pPr>
            <w:r>
              <w:rPr>
                <w:sz w:val="16"/>
              </w:rPr>
              <w:t>benefits for superannuation</w:t>
            </w:r>
          </w:p>
        </w:tc>
        <w:tc>
          <w:tcPr>
            <w:tcW w:w="861" w:type="dxa"/>
          </w:tcPr>
          <w:p>
            <w:pPr/>
          </w:p>
        </w:tc>
        <w:tc>
          <w:tcPr>
            <w:tcW w:w="1470" w:type="dxa"/>
            <w:tcBorders>
              <w:bottom w:val="single" w:sz="0" w:space="0" w:color="000000"/>
            </w:tcBorders>
          </w:tcPr>
          <w:p>
            <w:pPr>
              <w:pStyle w:val="TableParagraph"/>
              <w:spacing w:line="163" w:lineRule="exact"/>
              <w:ind w:right="382"/>
              <w:rPr>
                <w:sz w:val="16"/>
              </w:rPr>
            </w:pPr>
            <w:r>
              <w:rPr>
                <w:w w:val="95"/>
                <w:sz w:val="16"/>
              </w:rPr>
              <w:t>11,140</w:t>
            </w:r>
          </w:p>
        </w:tc>
        <w:tc>
          <w:tcPr>
            <w:tcW w:w="1079" w:type="dxa"/>
            <w:tcBorders>
              <w:bottom w:val="single" w:sz="0" w:space="0" w:color="000000"/>
            </w:tcBorders>
          </w:tcPr>
          <w:p>
            <w:pPr>
              <w:pStyle w:val="TableParagraph"/>
              <w:spacing w:line="163" w:lineRule="exact"/>
              <w:ind w:right="293"/>
              <w:rPr>
                <w:sz w:val="16"/>
              </w:rPr>
            </w:pPr>
            <w:r>
              <w:rPr>
                <w:w w:val="95"/>
                <w:sz w:val="16"/>
              </w:rPr>
              <w:t>3,843</w:t>
            </w:r>
          </w:p>
        </w:tc>
        <w:tc>
          <w:tcPr>
            <w:tcW w:w="1168" w:type="dxa"/>
            <w:tcBorders>
              <w:bottom w:val="single" w:sz="0" w:space="0" w:color="000000"/>
            </w:tcBorders>
          </w:tcPr>
          <w:p>
            <w:pPr>
              <w:pStyle w:val="TableParagraph"/>
              <w:spacing w:line="163" w:lineRule="exact"/>
              <w:ind w:right="293"/>
              <w:rPr>
                <w:sz w:val="16"/>
              </w:rPr>
            </w:pPr>
            <w:r>
              <w:rPr>
                <w:w w:val="95"/>
                <w:sz w:val="16"/>
              </w:rPr>
              <w:t>317,999</w:t>
            </w:r>
          </w:p>
        </w:tc>
        <w:tc>
          <w:tcPr>
            <w:tcW w:w="954" w:type="dxa"/>
            <w:tcBorders>
              <w:bottom w:val="single" w:sz="0" w:space="0" w:color="000000"/>
            </w:tcBorders>
          </w:tcPr>
          <w:p>
            <w:pPr>
              <w:pStyle w:val="TableParagraph"/>
              <w:spacing w:line="163" w:lineRule="exact"/>
              <w:ind w:right="79"/>
              <w:rPr>
                <w:sz w:val="16"/>
              </w:rPr>
            </w:pPr>
            <w:r>
              <w:rPr>
                <w:w w:val="95"/>
                <w:sz w:val="16"/>
              </w:rPr>
              <w:t>332,982</w:t>
            </w:r>
          </w:p>
        </w:tc>
      </w:tr>
      <w:tr>
        <w:trPr>
          <w:trHeight w:val="301" w:hRule="exact"/>
        </w:trPr>
        <w:tc>
          <w:tcPr>
            <w:tcW w:w="3420" w:type="dxa"/>
          </w:tcPr>
          <w:p>
            <w:pPr>
              <w:pStyle w:val="TableParagraph"/>
              <w:spacing w:before="123"/>
              <w:ind w:left="35" w:right="354"/>
              <w:jc w:val="left"/>
              <w:rPr>
                <w:b/>
                <w:sz w:val="16"/>
              </w:rPr>
            </w:pPr>
            <w:r>
              <w:rPr>
                <w:b/>
                <w:sz w:val="16"/>
              </w:rPr>
              <w:t>Total liabilities recognised in the</w:t>
            </w:r>
          </w:p>
        </w:tc>
        <w:tc>
          <w:tcPr>
            <w:tcW w:w="861" w:type="dxa"/>
          </w:tcPr>
          <w:p>
            <w:pPr/>
          </w:p>
        </w:tc>
        <w:tc>
          <w:tcPr>
            <w:tcW w:w="1470" w:type="dxa"/>
            <w:tcBorders>
              <w:top w:val="single" w:sz="0" w:space="0" w:color="000000"/>
            </w:tcBorders>
          </w:tcPr>
          <w:p>
            <w:pPr/>
          </w:p>
        </w:tc>
        <w:tc>
          <w:tcPr>
            <w:tcW w:w="1079" w:type="dxa"/>
            <w:tcBorders>
              <w:top w:val="single" w:sz="0" w:space="0" w:color="000000"/>
            </w:tcBorders>
          </w:tcPr>
          <w:p>
            <w:pPr/>
          </w:p>
        </w:tc>
        <w:tc>
          <w:tcPr>
            <w:tcW w:w="1168" w:type="dxa"/>
            <w:tcBorders>
              <w:top w:val="single" w:sz="0" w:space="0" w:color="000000"/>
            </w:tcBorders>
          </w:tcPr>
          <w:p>
            <w:pPr/>
          </w:p>
        </w:tc>
        <w:tc>
          <w:tcPr>
            <w:tcW w:w="954" w:type="dxa"/>
            <w:tcBorders>
              <w:top w:val="single" w:sz="0" w:space="0" w:color="000000"/>
            </w:tcBorders>
          </w:tcPr>
          <w:p>
            <w:pPr/>
          </w:p>
        </w:tc>
      </w:tr>
      <w:tr>
        <w:trPr>
          <w:trHeight w:val="198" w:hRule="exact"/>
        </w:trPr>
        <w:tc>
          <w:tcPr>
            <w:tcW w:w="3420" w:type="dxa"/>
          </w:tcPr>
          <w:p>
            <w:pPr>
              <w:pStyle w:val="TableParagraph"/>
              <w:spacing w:before="5"/>
              <w:ind w:left="35" w:right="354"/>
              <w:jc w:val="left"/>
              <w:rPr>
                <w:b/>
                <w:sz w:val="16"/>
              </w:rPr>
            </w:pPr>
            <w:r>
              <w:rPr>
                <w:b/>
                <w:sz w:val="16"/>
              </w:rPr>
              <w:t>statement of financial position</w:t>
            </w:r>
          </w:p>
        </w:tc>
        <w:tc>
          <w:tcPr>
            <w:tcW w:w="861" w:type="dxa"/>
          </w:tcPr>
          <w:p>
            <w:pPr/>
          </w:p>
        </w:tc>
        <w:tc>
          <w:tcPr>
            <w:tcW w:w="1470" w:type="dxa"/>
            <w:tcBorders>
              <w:bottom w:val="single" w:sz="0" w:space="0" w:color="000000"/>
            </w:tcBorders>
          </w:tcPr>
          <w:p>
            <w:pPr>
              <w:pStyle w:val="TableParagraph"/>
              <w:spacing w:line="161" w:lineRule="exact"/>
              <w:ind w:right="382"/>
              <w:rPr>
                <w:sz w:val="16"/>
              </w:rPr>
            </w:pPr>
            <w:r>
              <w:rPr>
                <w:w w:val="95"/>
                <w:sz w:val="16"/>
              </w:rPr>
              <w:t>11,140</w:t>
            </w:r>
          </w:p>
        </w:tc>
        <w:tc>
          <w:tcPr>
            <w:tcW w:w="1079" w:type="dxa"/>
            <w:tcBorders>
              <w:bottom w:val="single" w:sz="0" w:space="0" w:color="000000"/>
            </w:tcBorders>
          </w:tcPr>
          <w:p>
            <w:pPr>
              <w:pStyle w:val="TableParagraph"/>
              <w:spacing w:line="161" w:lineRule="exact"/>
              <w:ind w:right="293"/>
              <w:rPr>
                <w:sz w:val="16"/>
              </w:rPr>
            </w:pPr>
            <w:r>
              <w:rPr>
                <w:w w:val="95"/>
                <w:sz w:val="16"/>
              </w:rPr>
              <w:t>3,843</w:t>
            </w:r>
          </w:p>
        </w:tc>
        <w:tc>
          <w:tcPr>
            <w:tcW w:w="1168" w:type="dxa"/>
            <w:tcBorders>
              <w:bottom w:val="single" w:sz="0" w:space="0" w:color="000000"/>
            </w:tcBorders>
          </w:tcPr>
          <w:p>
            <w:pPr>
              <w:pStyle w:val="TableParagraph"/>
              <w:spacing w:line="161" w:lineRule="exact"/>
              <w:ind w:right="293"/>
              <w:rPr>
                <w:sz w:val="16"/>
              </w:rPr>
            </w:pPr>
            <w:r>
              <w:rPr>
                <w:w w:val="95"/>
                <w:sz w:val="16"/>
              </w:rPr>
              <w:t>317,999</w:t>
            </w:r>
          </w:p>
        </w:tc>
        <w:tc>
          <w:tcPr>
            <w:tcW w:w="954" w:type="dxa"/>
            <w:tcBorders>
              <w:bottom w:val="single" w:sz="0" w:space="0" w:color="000000"/>
            </w:tcBorders>
          </w:tcPr>
          <w:p>
            <w:pPr>
              <w:pStyle w:val="TableParagraph"/>
              <w:spacing w:line="161" w:lineRule="exact"/>
              <w:ind w:right="79"/>
              <w:rPr>
                <w:sz w:val="16"/>
              </w:rPr>
            </w:pPr>
            <w:r>
              <w:rPr>
                <w:w w:val="95"/>
                <w:sz w:val="16"/>
              </w:rPr>
              <w:t>332,982</w:t>
            </w:r>
          </w:p>
        </w:tc>
      </w:tr>
      <w:tr>
        <w:trPr>
          <w:trHeight w:val="329" w:hRule="exact"/>
        </w:trPr>
        <w:tc>
          <w:tcPr>
            <w:tcW w:w="3420" w:type="dxa"/>
          </w:tcPr>
          <w:p>
            <w:pPr>
              <w:pStyle w:val="TableParagraph"/>
              <w:spacing w:before="123"/>
              <w:ind w:left="35" w:right="354"/>
              <w:jc w:val="left"/>
              <w:rPr>
                <w:b/>
                <w:sz w:val="16"/>
              </w:rPr>
            </w:pPr>
            <w:r>
              <w:rPr>
                <w:b/>
                <w:sz w:val="16"/>
              </w:rPr>
              <w:t>Assets</w:t>
            </w:r>
          </w:p>
        </w:tc>
        <w:tc>
          <w:tcPr>
            <w:tcW w:w="861" w:type="dxa"/>
          </w:tcPr>
          <w:p>
            <w:pPr/>
          </w:p>
        </w:tc>
        <w:tc>
          <w:tcPr>
            <w:tcW w:w="1470" w:type="dxa"/>
            <w:tcBorders>
              <w:top w:val="single" w:sz="0" w:space="0" w:color="000000"/>
            </w:tcBorders>
          </w:tcPr>
          <w:p>
            <w:pPr/>
          </w:p>
        </w:tc>
        <w:tc>
          <w:tcPr>
            <w:tcW w:w="1079" w:type="dxa"/>
            <w:tcBorders>
              <w:top w:val="single" w:sz="0" w:space="0" w:color="000000"/>
            </w:tcBorders>
          </w:tcPr>
          <w:p>
            <w:pPr/>
          </w:p>
        </w:tc>
        <w:tc>
          <w:tcPr>
            <w:tcW w:w="1168" w:type="dxa"/>
            <w:tcBorders>
              <w:top w:val="single" w:sz="0" w:space="0" w:color="000000"/>
            </w:tcBorders>
          </w:tcPr>
          <w:p>
            <w:pPr/>
          </w:p>
        </w:tc>
        <w:tc>
          <w:tcPr>
            <w:tcW w:w="954" w:type="dxa"/>
            <w:tcBorders>
              <w:top w:val="single" w:sz="0" w:space="0" w:color="000000"/>
            </w:tcBorders>
          </w:tcPr>
          <w:p>
            <w:pPr/>
          </w:p>
        </w:tc>
      </w:tr>
      <w:tr>
        <w:trPr>
          <w:trHeight w:val="197" w:hRule="exact"/>
        </w:trPr>
        <w:tc>
          <w:tcPr>
            <w:tcW w:w="3420" w:type="dxa"/>
          </w:tcPr>
          <w:p>
            <w:pPr>
              <w:pStyle w:val="TableParagraph"/>
              <w:spacing w:before="5"/>
              <w:ind w:left="35" w:right="354"/>
              <w:jc w:val="left"/>
              <w:rPr>
                <w:sz w:val="16"/>
              </w:rPr>
            </w:pPr>
            <w:r>
              <w:rPr>
                <w:sz w:val="16"/>
              </w:rPr>
              <w:t>Receivables    for    deferred   government</w:t>
            </w:r>
          </w:p>
        </w:tc>
        <w:tc>
          <w:tcPr>
            <w:tcW w:w="861" w:type="dxa"/>
          </w:tcPr>
          <w:p>
            <w:pPr>
              <w:pStyle w:val="TableParagraph"/>
              <w:spacing w:before="5"/>
              <w:ind w:left="359" w:right="283"/>
              <w:jc w:val="center"/>
              <w:rPr>
                <w:sz w:val="16"/>
              </w:rPr>
            </w:pPr>
            <w:r>
              <w:rPr>
                <w:sz w:val="16"/>
              </w:rPr>
              <w:t>18</w:t>
            </w:r>
          </w:p>
        </w:tc>
        <w:tc>
          <w:tcPr>
            <w:tcW w:w="1470" w:type="dxa"/>
          </w:tcPr>
          <w:p>
            <w:pPr/>
          </w:p>
        </w:tc>
        <w:tc>
          <w:tcPr>
            <w:tcW w:w="1079" w:type="dxa"/>
          </w:tcPr>
          <w:p>
            <w:pPr/>
          </w:p>
        </w:tc>
        <w:tc>
          <w:tcPr>
            <w:tcW w:w="1168" w:type="dxa"/>
          </w:tcPr>
          <w:p>
            <w:pPr/>
          </w:p>
        </w:tc>
        <w:tc>
          <w:tcPr>
            <w:tcW w:w="954" w:type="dxa"/>
          </w:tcPr>
          <w:p>
            <w:pPr/>
          </w:p>
        </w:tc>
      </w:tr>
      <w:tr>
        <w:trPr>
          <w:trHeight w:val="212" w:hRule="exact"/>
        </w:trPr>
        <w:tc>
          <w:tcPr>
            <w:tcW w:w="3420" w:type="dxa"/>
          </w:tcPr>
          <w:p>
            <w:pPr>
              <w:pStyle w:val="TableParagraph"/>
              <w:spacing w:line="176" w:lineRule="exact"/>
              <w:ind w:left="35" w:right="354"/>
              <w:jc w:val="left"/>
              <w:rPr>
                <w:sz w:val="16"/>
              </w:rPr>
            </w:pPr>
            <w:r>
              <w:rPr>
                <w:sz w:val="16"/>
              </w:rPr>
              <w:t>contribution for superannuation</w:t>
            </w:r>
          </w:p>
        </w:tc>
        <w:tc>
          <w:tcPr>
            <w:tcW w:w="861" w:type="dxa"/>
          </w:tcPr>
          <w:p>
            <w:pPr/>
          </w:p>
        </w:tc>
        <w:tc>
          <w:tcPr>
            <w:tcW w:w="1470" w:type="dxa"/>
            <w:tcBorders>
              <w:bottom w:val="single" w:sz="0" w:space="0" w:color="000000"/>
            </w:tcBorders>
          </w:tcPr>
          <w:p>
            <w:pPr>
              <w:pStyle w:val="TableParagraph"/>
              <w:spacing w:line="175" w:lineRule="exact"/>
              <w:ind w:right="382"/>
              <w:rPr>
                <w:sz w:val="16"/>
              </w:rPr>
            </w:pPr>
            <w:r>
              <w:rPr>
                <w:w w:val="95"/>
                <w:sz w:val="16"/>
              </w:rPr>
              <w:t>10,605</w:t>
            </w:r>
          </w:p>
        </w:tc>
        <w:tc>
          <w:tcPr>
            <w:tcW w:w="1079" w:type="dxa"/>
            <w:tcBorders>
              <w:bottom w:val="single" w:sz="0" w:space="0" w:color="000000"/>
            </w:tcBorders>
          </w:tcPr>
          <w:p>
            <w:pPr>
              <w:pStyle w:val="TableParagraph"/>
              <w:spacing w:line="175" w:lineRule="exact"/>
              <w:ind w:right="293"/>
              <w:rPr>
                <w:sz w:val="16"/>
              </w:rPr>
            </w:pPr>
            <w:r>
              <w:rPr>
                <w:w w:val="95"/>
                <w:sz w:val="16"/>
              </w:rPr>
              <w:t>3,718</w:t>
            </w:r>
          </w:p>
        </w:tc>
        <w:tc>
          <w:tcPr>
            <w:tcW w:w="1168" w:type="dxa"/>
            <w:tcBorders>
              <w:bottom w:val="single" w:sz="0" w:space="0" w:color="000000"/>
            </w:tcBorders>
          </w:tcPr>
          <w:p>
            <w:pPr>
              <w:pStyle w:val="TableParagraph"/>
              <w:spacing w:line="175" w:lineRule="exact"/>
              <w:ind w:right="293"/>
              <w:rPr>
                <w:sz w:val="16"/>
              </w:rPr>
            </w:pPr>
            <w:r>
              <w:rPr>
                <w:w w:val="95"/>
                <w:sz w:val="16"/>
              </w:rPr>
              <w:t>317,958</w:t>
            </w:r>
          </w:p>
        </w:tc>
        <w:tc>
          <w:tcPr>
            <w:tcW w:w="954" w:type="dxa"/>
            <w:tcBorders>
              <w:bottom w:val="single" w:sz="0" w:space="0" w:color="000000"/>
            </w:tcBorders>
          </w:tcPr>
          <w:p>
            <w:pPr>
              <w:pStyle w:val="TableParagraph"/>
              <w:spacing w:line="175" w:lineRule="exact"/>
              <w:ind w:right="79"/>
              <w:rPr>
                <w:sz w:val="16"/>
              </w:rPr>
            </w:pPr>
            <w:r>
              <w:rPr>
                <w:w w:val="95"/>
                <w:sz w:val="16"/>
              </w:rPr>
              <w:t>332,281</w:t>
            </w:r>
          </w:p>
        </w:tc>
      </w:tr>
      <w:tr>
        <w:trPr>
          <w:trHeight w:val="301" w:hRule="exact"/>
        </w:trPr>
        <w:tc>
          <w:tcPr>
            <w:tcW w:w="3420" w:type="dxa"/>
          </w:tcPr>
          <w:p>
            <w:pPr>
              <w:pStyle w:val="TableParagraph"/>
              <w:spacing w:before="123"/>
              <w:ind w:left="35" w:right="354"/>
              <w:jc w:val="left"/>
              <w:rPr>
                <w:b/>
                <w:sz w:val="16"/>
              </w:rPr>
            </w:pPr>
            <w:r>
              <w:rPr>
                <w:b/>
                <w:sz w:val="16"/>
              </w:rPr>
              <w:t>Total assets recognised in the</w:t>
            </w:r>
          </w:p>
        </w:tc>
        <w:tc>
          <w:tcPr>
            <w:tcW w:w="861" w:type="dxa"/>
          </w:tcPr>
          <w:p>
            <w:pPr/>
          </w:p>
        </w:tc>
        <w:tc>
          <w:tcPr>
            <w:tcW w:w="1470" w:type="dxa"/>
            <w:tcBorders>
              <w:top w:val="single" w:sz="0" w:space="0" w:color="000000"/>
            </w:tcBorders>
          </w:tcPr>
          <w:p>
            <w:pPr/>
          </w:p>
        </w:tc>
        <w:tc>
          <w:tcPr>
            <w:tcW w:w="1079" w:type="dxa"/>
            <w:tcBorders>
              <w:top w:val="single" w:sz="0" w:space="0" w:color="000000"/>
            </w:tcBorders>
          </w:tcPr>
          <w:p>
            <w:pPr/>
          </w:p>
        </w:tc>
        <w:tc>
          <w:tcPr>
            <w:tcW w:w="1168" w:type="dxa"/>
            <w:tcBorders>
              <w:top w:val="single" w:sz="0" w:space="0" w:color="000000"/>
            </w:tcBorders>
          </w:tcPr>
          <w:p>
            <w:pPr/>
          </w:p>
        </w:tc>
        <w:tc>
          <w:tcPr>
            <w:tcW w:w="954" w:type="dxa"/>
            <w:tcBorders>
              <w:top w:val="single" w:sz="0" w:space="0" w:color="000000"/>
            </w:tcBorders>
          </w:tcPr>
          <w:p>
            <w:pPr/>
          </w:p>
        </w:tc>
      </w:tr>
      <w:tr>
        <w:trPr>
          <w:trHeight w:val="198" w:hRule="exact"/>
        </w:trPr>
        <w:tc>
          <w:tcPr>
            <w:tcW w:w="3420" w:type="dxa"/>
          </w:tcPr>
          <w:p>
            <w:pPr>
              <w:pStyle w:val="TableParagraph"/>
              <w:spacing w:before="5"/>
              <w:ind w:left="35" w:right="354"/>
              <w:jc w:val="left"/>
              <w:rPr>
                <w:b/>
                <w:sz w:val="16"/>
              </w:rPr>
            </w:pPr>
            <w:r>
              <w:rPr>
                <w:b/>
                <w:sz w:val="16"/>
              </w:rPr>
              <w:t>statement of financial position</w:t>
            </w:r>
          </w:p>
        </w:tc>
        <w:tc>
          <w:tcPr>
            <w:tcW w:w="861" w:type="dxa"/>
          </w:tcPr>
          <w:p>
            <w:pPr/>
          </w:p>
        </w:tc>
        <w:tc>
          <w:tcPr>
            <w:tcW w:w="1470" w:type="dxa"/>
            <w:tcBorders>
              <w:bottom w:val="single" w:sz="0" w:space="0" w:color="000000"/>
            </w:tcBorders>
          </w:tcPr>
          <w:p>
            <w:pPr>
              <w:pStyle w:val="TableParagraph"/>
              <w:spacing w:line="161" w:lineRule="exact"/>
              <w:ind w:right="382"/>
              <w:rPr>
                <w:sz w:val="16"/>
              </w:rPr>
            </w:pPr>
            <w:r>
              <w:rPr>
                <w:w w:val="95"/>
                <w:sz w:val="16"/>
              </w:rPr>
              <w:t>10,605</w:t>
            </w:r>
          </w:p>
        </w:tc>
        <w:tc>
          <w:tcPr>
            <w:tcW w:w="1079" w:type="dxa"/>
            <w:tcBorders>
              <w:bottom w:val="single" w:sz="0" w:space="0" w:color="000000"/>
            </w:tcBorders>
          </w:tcPr>
          <w:p>
            <w:pPr>
              <w:pStyle w:val="TableParagraph"/>
              <w:spacing w:line="161" w:lineRule="exact"/>
              <w:ind w:right="293"/>
              <w:rPr>
                <w:sz w:val="16"/>
              </w:rPr>
            </w:pPr>
            <w:r>
              <w:rPr>
                <w:w w:val="95"/>
                <w:sz w:val="16"/>
              </w:rPr>
              <w:t>3,718</w:t>
            </w:r>
          </w:p>
        </w:tc>
        <w:tc>
          <w:tcPr>
            <w:tcW w:w="1168" w:type="dxa"/>
            <w:tcBorders>
              <w:bottom w:val="single" w:sz="0" w:space="0" w:color="000000"/>
            </w:tcBorders>
          </w:tcPr>
          <w:p>
            <w:pPr>
              <w:pStyle w:val="TableParagraph"/>
              <w:spacing w:line="161" w:lineRule="exact"/>
              <w:ind w:right="293"/>
              <w:rPr>
                <w:sz w:val="16"/>
              </w:rPr>
            </w:pPr>
            <w:r>
              <w:rPr>
                <w:w w:val="95"/>
                <w:sz w:val="16"/>
              </w:rPr>
              <w:t>317,958</w:t>
            </w:r>
          </w:p>
        </w:tc>
        <w:tc>
          <w:tcPr>
            <w:tcW w:w="954" w:type="dxa"/>
            <w:tcBorders>
              <w:bottom w:val="single" w:sz="0" w:space="0" w:color="000000"/>
            </w:tcBorders>
          </w:tcPr>
          <w:p>
            <w:pPr>
              <w:pStyle w:val="TableParagraph"/>
              <w:spacing w:line="161" w:lineRule="exact"/>
              <w:ind w:right="79"/>
              <w:rPr>
                <w:sz w:val="16"/>
              </w:rPr>
            </w:pPr>
            <w:r>
              <w:rPr>
                <w:w w:val="95"/>
                <w:sz w:val="16"/>
              </w:rPr>
              <w:t>332,281</w:t>
            </w:r>
          </w:p>
        </w:tc>
      </w:tr>
      <w:tr>
        <w:trPr>
          <w:trHeight w:val="315" w:hRule="exact"/>
        </w:trPr>
        <w:tc>
          <w:tcPr>
            <w:tcW w:w="3420" w:type="dxa"/>
          </w:tcPr>
          <w:p>
            <w:pPr>
              <w:pStyle w:val="TableParagraph"/>
              <w:spacing w:before="123"/>
              <w:ind w:left="35" w:right="354"/>
              <w:jc w:val="left"/>
              <w:rPr>
                <w:b/>
                <w:sz w:val="16"/>
              </w:rPr>
            </w:pPr>
            <w:r>
              <w:rPr>
                <w:b/>
                <w:sz w:val="16"/>
              </w:rPr>
              <w:t>Net liability recognised in the</w:t>
            </w:r>
          </w:p>
        </w:tc>
        <w:tc>
          <w:tcPr>
            <w:tcW w:w="861" w:type="dxa"/>
          </w:tcPr>
          <w:p>
            <w:pPr/>
          </w:p>
        </w:tc>
        <w:tc>
          <w:tcPr>
            <w:tcW w:w="1470" w:type="dxa"/>
            <w:tcBorders>
              <w:top w:val="single" w:sz="0" w:space="0" w:color="000000"/>
            </w:tcBorders>
          </w:tcPr>
          <w:p>
            <w:pPr/>
          </w:p>
        </w:tc>
        <w:tc>
          <w:tcPr>
            <w:tcW w:w="1079" w:type="dxa"/>
            <w:tcBorders>
              <w:top w:val="single" w:sz="0" w:space="0" w:color="000000"/>
            </w:tcBorders>
          </w:tcPr>
          <w:p>
            <w:pPr/>
          </w:p>
        </w:tc>
        <w:tc>
          <w:tcPr>
            <w:tcW w:w="1168" w:type="dxa"/>
            <w:tcBorders>
              <w:top w:val="single" w:sz="0" w:space="0" w:color="000000"/>
            </w:tcBorders>
          </w:tcPr>
          <w:p>
            <w:pPr/>
          </w:p>
        </w:tc>
        <w:tc>
          <w:tcPr>
            <w:tcW w:w="954" w:type="dxa"/>
            <w:tcBorders>
              <w:top w:val="single" w:sz="0" w:space="0" w:color="000000"/>
            </w:tcBorders>
          </w:tcPr>
          <w:p>
            <w:pPr/>
          </w:p>
        </w:tc>
      </w:tr>
      <w:tr>
        <w:trPr>
          <w:trHeight w:val="199" w:hRule="exact"/>
        </w:trPr>
        <w:tc>
          <w:tcPr>
            <w:tcW w:w="3420" w:type="dxa"/>
          </w:tcPr>
          <w:p>
            <w:pPr>
              <w:pStyle w:val="TableParagraph"/>
              <w:spacing w:line="175" w:lineRule="exact"/>
              <w:ind w:left="35" w:right="354"/>
              <w:jc w:val="left"/>
              <w:rPr>
                <w:b/>
                <w:sz w:val="16"/>
              </w:rPr>
            </w:pPr>
            <w:r>
              <w:rPr>
                <w:b/>
                <w:sz w:val="16"/>
              </w:rPr>
              <w:t>statement of financial position</w:t>
            </w:r>
          </w:p>
        </w:tc>
        <w:tc>
          <w:tcPr>
            <w:tcW w:w="861" w:type="dxa"/>
          </w:tcPr>
          <w:p>
            <w:pPr/>
          </w:p>
        </w:tc>
        <w:tc>
          <w:tcPr>
            <w:tcW w:w="1470" w:type="dxa"/>
            <w:tcBorders>
              <w:bottom w:val="single" w:sz="0" w:space="0" w:color="000000"/>
            </w:tcBorders>
          </w:tcPr>
          <w:p>
            <w:pPr>
              <w:pStyle w:val="TableParagraph"/>
              <w:spacing w:line="175" w:lineRule="exact"/>
              <w:ind w:right="382"/>
              <w:rPr>
                <w:b/>
                <w:sz w:val="16"/>
              </w:rPr>
            </w:pPr>
            <w:r>
              <w:rPr>
                <w:b/>
                <w:w w:val="95"/>
                <w:sz w:val="16"/>
              </w:rPr>
              <w:t>535</w:t>
            </w:r>
          </w:p>
        </w:tc>
        <w:tc>
          <w:tcPr>
            <w:tcW w:w="1079" w:type="dxa"/>
            <w:tcBorders>
              <w:bottom w:val="single" w:sz="0" w:space="0" w:color="000000"/>
            </w:tcBorders>
          </w:tcPr>
          <w:p>
            <w:pPr>
              <w:pStyle w:val="TableParagraph"/>
              <w:spacing w:line="175" w:lineRule="exact"/>
              <w:ind w:right="293"/>
              <w:rPr>
                <w:b/>
                <w:sz w:val="16"/>
              </w:rPr>
            </w:pPr>
            <w:r>
              <w:rPr>
                <w:b/>
                <w:sz w:val="16"/>
              </w:rPr>
              <w:t>125</w:t>
            </w:r>
          </w:p>
        </w:tc>
        <w:tc>
          <w:tcPr>
            <w:tcW w:w="1168" w:type="dxa"/>
            <w:tcBorders>
              <w:bottom w:val="single" w:sz="0" w:space="0" w:color="000000"/>
            </w:tcBorders>
          </w:tcPr>
          <w:p>
            <w:pPr>
              <w:pStyle w:val="TableParagraph"/>
              <w:spacing w:line="175" w:lineRule="exact"/>
              <w:ind w:right="293"/>
              <w:rPr>
                <w:b/>
                <w:sz w:val="16"/>
              </w:rPr>
            </w:pPr>
            <w:r>
              <w:rPr>
                <w:b/>
                <w:w w:val="95"/>
                <w:sz w:val="16"/>
              </w:rPr>
              <w:t>41</w:t>
            </w:r>
          </w:p>
        </w:tc>
        <w:tc>
          <w:tcPr>
            <w:tcW w:w="954" w:type="dxa"/>
            <w:tcBorders>
              <w:bottom w:val="single" w:sz="0" w:space="0" w:color="000000"/>
            </w:tcBorders>
          </w:tcPr>
          <w:p>
            <w:pPr>
              <w:pStyle w:val="TableParagraph"/>
              <w:spacing w:line="175" w:lineRule="exact"/>
              <w:ind w:right="79"/>
              <w:rPr>
                <w:b/>
                <w:sz w:val="16"/>
              </w:rPr>
            </w:pPr>
            <w:r>
              <w:rPr>
                <w:b/>
                <w:sz w:val="16"/>
              </w:rPr>
              <w:t>701</w:t>
            </w:r>
          </w:p>
        </w:tc>
      </w:tr>
    </w:tbl>
    <w:p>
      <w:pPr>
        <w:pStyle w:val="BodyText"/>
        <w:rPr>
          <w:sz w:val="20"/>
        </w:rPr>
      </w:pPr>
    </w:p>
    <w:p>
      <w:pPr>
        <w:pStyle w:val="BodyText"/>
        <w:spacing w:before="1"/>
        <w:rPr>
          <w:sz w:val="28"/>
        </w:rPr>
      </w:pPr>
    </w:p>
    <w:tbl>
      <w:tblPr>
        <w:tblW w:w="0" w:type="auto"/>
        <w:jc w:val="left"/>
        <w:tblInd w:w="239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130"/>
        <w:gridCol w:w="1151"/>
        <w:gridCol w:w="1470"/>
        <w:gridCol w:w="1079"/>
        <w:gridCol w:w="1168"/>
        <w:gridCol w:w="954"/>
      </w:tblGrid>
      <w:tr>
        <w:trPr>
          <w:trHeight w:val="513" w:hRule="exact"/>
        </w:trPr>
        <w:tc>
          <w:tcPr>
            <w:tcW w:w="3130" w:type="dxa"/>
          </w:tcPr>
          <w:p>
            <w:pPr>
              <w:pStyle w:val="TableParagraph"/>
              <w:spacing w:before="79"/>
              <w:ind w:left="35"/>
              <w:jc w:val="left"/>
              <w:rPr>
                <w:b/>
                <w:sz w:val="16"/>
              </w:rPr>
            </w:pPr>
            <w:r>
              <w:rPr>
                <w:b/>
                <w:sz w:val="16"/>
              </w:rPr>
              <w:t>Net liability reconciliation - 2016</w:t>
            </w:r>
          </w:p>
          <w:p>
            <w:pPr>
              <w:pStyle w:val="TableParagraph"/>
              <w:spacing w:before="29"/>
              <w:ind w:left="35"/>
              <w:jc w:val="left"/>
              <w:rPr>
                <w:sz w:val="16"/>
              </w:rPr>
            </w:pPr>
            <w:r>
              <w:rPr>
                <w:sz w:val="16"/>
              </w:rPr>
              <w:t>Defined benefit obligation</w:t>
            </w:r>
          </w:p>
        </w:tc>
        <w:tc>
          <w:tcPr>
            <w:tcW w:w="1151" w:type="dxa"/>
          </w:tcPr>
          <w:p>
            <w:pPr/>
          </w:p>
        </w:tc>
        <w:tc>
          <w:tcPr>
            <w:tcW w:w="1470" w:type="dxa"/>
          </w:tcPr>
          <w:p>
            <w:pPr>
              <w:pStyle w:val="TableParagraph"/>
              <w:jc w:val="left"/>
              <w:rPr>
                <w:sz w:val="16"/>
              </w:rPr>
            </w:pPr>
          </w:p>
          <w:p>
            <w:pPr>
              <w:pStyle w:val="TableParagraph"/>
              <w:spacing w:before="107"/>
              <w:ind w:right="382"/>
              <w:rPr>
                <w:sz w:val="16"/>
              </w:rPr>
            </w:pPr>
            <w:r>
              <w:rPr>
                <w:w w:val="95"/>
                <w:sz w:val="16"/>
              </w:rPr>
              <w:t>38,794</w:t>
            </w:r>
          </w:p>
        </w:tc>
        <w:tc>
          <w:tcPr>
            <w:tcW w:w="1079" w:type="dxa"/>
          </w:tcPr>
          <w:p>
            <w:pPr>
              <w:pStyle w:val="TableParagraph"/>
              <w:jc w:val="left"/>
              <w:rPr>
                <w:sz w:val="16"/>
              </w:rPr>
            </w:pPr>
          </w:p>
          <w:p>
            <w:pPr>
              <w:pStyle w:val="TableParagraph"/>
              <w:spacing w:before="107"/>
              <w:ind w:right="293"/>
              <w:rPr>
                <w:sz w:val="16"/>
              </w:rPr>
            </w:pPr>
            <w:r>
              <w:rPr>
                <w:w w:val="95"/>
                <w:sz w:val="16"/>
              </w:rPr>
              <w:t>6,058</w:t>
            </w:r>
          </w:p>
        </w:tc>
        <w:tc>
          <w:tcPr>
            <w:tcW w:w="1168" w:type="dxa"/>
          </w:tcPr>
          <w:p>
            <w:pPr>
              <w:pStyle w:val="TableParagraph"/>
              <w:jc w:val="left"/>
              <w:rPr>
                <w:sz w:val="16"/>
              </w:rPr>
            </w:pPr>
          </w:p>
          <w:p>
            <w:pPr>
              <w:pStyle w:val="TableParagraph"/>
              <w:spacing w:before="107"/>
              <w:ind w:right="293"/>
              <w:rPr>
                <w:sz w:val="16"/>
              </w:rPr>
            </w:pPr>
            <w:r>
              <w:rPr>
                <w:w w:val="95"/>
                <w:sz w:val="16"/>
              </w:rPr>
              <w:t>409,418</w:t>
            </w:r>
          </w:p>
        </w:tc>
        <w:tc>
          <w:tcPr>
            <w:tcW w:w="954" w:type="dxa"/>
          </w:tcPr>
          <w:p>
            <w:pPr>
              <w:pStyle w:val="TableParagraph"/>
              <w:jc w:val="left"/>
              <w:rPr>
                <w:sz w:val="16"/>
              </w:rPr>
            </w:pPr>
          </w:p>
          <w:p>
            <w:pPr>
              <w:pStyle w:val="TableParagraph"/>
              <w:spacing w:before="107"/>
              <w:ind w:right="79"/>
              <w:rPr>
                <w:sz w:val="16"/>
              </w:rPr>
            </w:pPr>
            <w:r>
              <w:rPr>
                <w:w w:val="95"/>
                <w:sz w:val="16"/>
              </w:rPr>
              <w:t>454,270</w:t>
            </w:r>
          </w:p>
        </w:tc>
      </w:tr>
      <w:tr>
        <w:trPr>
          <w:trHeight w:val="241" w:hRule="exact"/>
        </w:trPr>
        <w:tc>
          <w:tcPr>
            <w:tcW w:w="3130" w:type="dxa"/>
          </w:tcPr>
          <w:p>
            <w:pPr>
              <w:pStyle w:val="TableParagraph"/>
              <w:spacing w:before="20"/>
              <w:ind w:left="35"/>
              <w:jc w:val="left"/>
              <w:rPr>
                <w:sz w:val="16"/>
              </w:rPr>
            </w:pPr>
            <w:r>
              <w:rPr>
                <w:sz w:val="16"/>
              </w:rPr>
              <w:t>Fair value of plan assets</w:t>
            </w:r>
          </w:p>
        </w:tc>
        <w:tc>
          <w:tcPr>
            <w:tcW w:w="1151" w:type="dxa"/>
          </w:tcPr>
          <w:p>
            <w:pPr/>
          </w:p>
        </w:tc>
        <w:tc>
          <w:tcPr>
            <w:tcW w:w="1470" w:type="dxa"/>
            <w:tcBorders>
              <w:bottom w:val="single" w:sz="0" w:space="0" w:color="000000"/>
            </w:tcBorders>
          </w:tcPr>
          <w:p>
            <w:pPr>
              <w:pStyle w:val="TableParagraph"/>
              <w:spacing w:before="19"/>
              <w:ind w:right="329"/>
              <w:rPr>
                <w:sz w:val="16"/>
              </w:rPr>
            </w:pPr>
            <w:r>
              <w:rPr>
                <w:sz w:val="16"/>
              </w:rPr>
              <w:t>(27,654)</w:t>
            </w:r>
          </w:p>
        </w:tc>
        <w:tc>
          <w:tcPr>
            <w:tcW w:w="1079" w:type="dxa"/>
            <w:tcBorders>
              <w:bottom w:val="single" w:sz="0" w:space="0" w:color="000000"/>
            </w:tcBorders>
          </w:tcPr>
          <w:p>
            <w:pPr>
              <w:pStyle w:val="TableParagraph"/>
              <w:spacing w:before="19"/>
              <w:ind w:right="240"/>
              <w:rPr>
                <w:sz w:val="16"/>
              </w:rPr>
            </w:pPr>
            <w:r>
              <w:rPr>
                <w:sz w:val="16"/>
              </w:rPr>
              <w:t>(2,215)</w:t>
            </w:r>
          </w:p>
        </w:tc>
        <w:tc>
          <w:tcPr>
            <w:tcW w:w="1168" w:type="dxa"/>
            <w:tcBorders>
              <w:bottom w:val="single" w:sz="0" w:space="0" w:color="000000"/>
            </w:tcBorders>
          </w:tcPr>
          <w:p>
            <w:pPr>
              <w:pStyle w:val="TableParagraph"/>
              <w:spacing w:before="19"/>
              <w:ind w:right="240"/>
              <w:rPr>
                <w:sz w:val="16"/>
              </w:rPr>
            </w:pPr>
            <w:r>
              <w:rPr>
                <w:sz w:val="16"/>
              </w:rPr>
              <w:t>(91,419)</w:t>
            </w:r>
          </w:p>
        </w:tc>
        <w:tc>
          <w:tcPr>
            <w:tcW w:w="954" w:type="dxa"/>
            <w:tcBorders>
              <w:bottom w:val="single" w:sz="0" w:space="0" w:color="000000"/>
            </w:tcBorders>
          </w:tcPr>
          <w:p>
            <w:pPr>
              <w:pStyle w:val="TableParagraph"/>
              <w:spacing w:before="19"/>
              <w:ind w:right="26"/>
              <w:rPr>
                <w:sz w:val="16"/>
              </w:rPr>
            </w:pPr>
            <w:r>
              <w:rPr>
                <w:w w:val="95"/>
                <w:sz w:val="16"/>
              </w:rPr>
              <w:t>(121,288)</w:t>
            </w:r>
          </w:p>
        </w:tc>
      </w:tr>
      <w:tr>
        <w:trPr>
          <w:trHeight w:val="316" w:hRule="exact"/>
        </w:trPr>
        <w:tc>
          <w:tcPr>
            <w:tcW w:w="3130" w:type="dxa"/>
          </w:tcPr>
          <w:p>
            <w:pPr>
              <w:pStyle w:val="TableParagraph"/>
              <w:spacing w:before="123"/>
              <w:ind w:left="35"/>
              <w:jc w:val="left"/>
              <w:rPr>
                <w:b/>
                <w:sz w:val="16"/>
              </w:rPr>
            </w:pPr>
            <w:r>
              <w:rPr>
                <w:b/>
                <w:sz w:val="16"/>
              </w:rPr>
              <w:t>Net liability</w:t>
            </w:r>
          </w:p>
        </w:tc>
        <w:tc>
          <w:tcPr>
            <w:tcW w:w="1151" w:type="dxa"/>
          </w:tcPr>
          <w:p>
            <w:pPr/>
          </w:p>
        </w:tc>
        <w:tc>
          <w:tcPr>
            <w:tcW w:w="1470" w:type="dxa"/>
            <w:tcBorders>
              <w:top w:val="single" w:sz="0" w:space="0" w:color="000000"/>
              <w:bottom w:val="single" w:sz="0" w:space="0" w:color="000000"/>
            </w:tcBorders>
          </w:tcPr>
          <w:p>
            <w:pPr>
              <w:pStyle w:val="TableParagraph"/>
              <w:spacing w:before="122"/>
              <w:ind w:right="382"/>
              <w:rPr>
                <w:b/>
                <w:sz w:val="16"/>
              </w:rPr>
            </w:pPr>
            <w:r>
              <w:rPr>
                <w:b/>
                <w:w w:val="95"/>
                <w:sz w:val="16"/>
              </w:rPr>
              <w:t>11,140</w:t>
            </w:r>
          </w:p>
        </w:tc>
        <w:tc>
          <w:tcPr>
            <w:tcW w:w="1079" w:type="dxa"/>
            <w:tcBorders>
              <w:top w:val="single" w:sz="0" w:space="0" w:color="000000"/>
              <w:bottom w:val="single" w:sz="0" w:space="0" w:color="000000"/>
            </w:tcBorders>
          </w:tcPr>
          <w:p>
            <w:pPr>
              <w:pStyle w:val="TableParagraph"/>
              <w:spacing w:before="122"/>
              <w:ind w:right="293"/>
              <w:rPr>
                <w:b/>
                <w:sz w:val="16"/>
              </w:rPr>
            </w:pPr>
            <w:r>
              <w:rPr>
                <w:b/>
                <w:w w:val="95"/>
                <w:sz w:val="16"/>
              </w:rPr>
              <w:t>3,843</w:t>
            </w:r>
          </w:p>
        </w:tc>
        <w:tc>
          <w:tcPr>
            <w:tcW w:w="1168" w:type="dxa"/>
            <w:tcBorders>
              <w:top w:val="single" w:sz="0" w:space="0" w:color="000000"/>
              <w:bottom w:val="single" w:sz="0" w:space="0" w:color="000000"/>
            </w:tcBorders>
          </w:tcPr>
          <w:p>
            <w:pPr>
              <w:pStyle w:val="TableParagraph"/>
              <w:spacing w:before="122"/>
              <w:ind w:right="293"/>
              <w:rPr>
                <w:b/>
                <w:sz w:val="16"/>
              </w:rPr>
            </w:pPr>
            <w:r>
              <w:rPr>
                <w:b/>
                <w:w w:val="95"/>
                <w:sz w:val="16"/>
              </w:rPr>
              <w:t>317,999</w:t>
            </w:r>
          </w:p>
        </w:tc>
        <w:tc>
          <w:tcPr>
            <w:tcW w:w="954" w:type="dxa"/>
            <w:tcBorders>
              <w:top w:val="single" w:sz="0" w:space="0" w:color="000000"/>
              <w:bottom w:val="single" w:sz="0" w:space="0" w:color="000000"/>
            </w:tcBorders>
          </w:tcPr>
          <w:p>
            <w:pPr>
              <w:pStyle w:val="TableParagraph"/>
              <w:spacing w:before="122"/>
              <w:ind w:right="79"/>
              <w:rPr>
                <w:b/>
                <w:sz w:val="16"/>
              </w:rPr>
            </w:pPr>
            <w:r>
              <w:rPr>
                <w:b/>
                <w:w w:val="95"/>
                <w:sz w:val="16"/>
              </w:rPr>
              <w:t>332,982</w:t>
            </w:r>
          </w:p>
        </w:tc>
      </w:tr>
      <w:tr>
        <w:trPr>
          <w:trHeight w:val="260" w:hRule="exact"/>
        </w:trPr>
        <w:tc>
          <w:tcPr>
            <w:tcW w:w="3130" w:type="dxa"/>
          </w:tcPr>
          <w:p>
            <w:pPr>
              <w:pStyle w:val="TableParagraph"/>
              <w:spacing w:before="40"/>
              <w:ind w:left="35"/>
              <w:jc w:val="left"/>
              <w:rPr>
                <w:sz w:val="16"/>
              </w:rPr>
            </w:pPr>
            <w:r>
              <w:rPr>
                <w:sz w:val="16"/>
              </w:rPr>
              <w:t>Reimbursement right</w:t>
            </w:r>
          </w:p>
        </w:tc>
        <w:tc>
          <w:tcPr>
            <w:tcW w:w="1151" w:type="dxa"/>
          </w:tcPr>
          <w:p>
            <w:pPr>
              <w:pStyle w:val="TableParagraph"/>
              <w:spacing w:before="37"/>
              <w:ind w:left="669"/>
              <w:jc w:val="left"/>
              <w:rPr>
                <w:sz w:val="16"/>
              </w:rPr>
            </w:pPr>
            <w:r>
              <w:rPr>
                <w:sz w:val="16"/>
              </w:rPr>
              <w:t>18</w:t>
            </w:r>
          </w:p>
        </w:tc>
        <w:tc>
          <w:tcPr>
            <w:tcW w:w="1470" w:type="dxa"/>
            <w:tcBorders>
              <w:top w:val="single" w:sz="0" w:space="0" w:color="000000"/>
              <w:bottom w:val="single" w:sz="0" w:space="0" w:color="000000"/>
            </w:tcBorders>
          </w:tcPr>
          <w:p>
            <w:pPr>
              <w:pStyle w:val="TableParagraph"/>
              <w:spacing w:before="38"/>
              <w:ind w:right="329"/>
              <w:rPr>
                <w:sz w:val="16"/>
              </w:rPr>
            </w:pPr>
            <w:r>
              <w:rPr>
                <w:sz w:val="16"/>
              </w:rPr>
              <w:t>(10,605)</w:t>
            </w:r>
          </w:p>
        </w:tc>
        <w:tc>
          <w:tcPr>
            <w:tcW w:w="1079" w:type="dxa"/>
            <w:tcBorders>
              <w:top w:val="single" w:sz="0" w:space="0" w:color="000000"/>
              <w:bottom w:val="single" w:sz="0" w:space="0" w:color="000000"/>
            </w:tcBorders>
          </w:tcPr>
          <w:p>
            <w:pPr>
              <w:pStyle w:val="TableParagraph"/>
              <w:spacing w:before="38"/>
              <w:ind w:right="240"/>
              <w:rPr>
                <w:sz w:val="16"/>
              </w:rPr>
            </w:pPr>
            <w:r>
              <w:rPr>
                <w:sz w:val="16"/>
              </w:rPr>
              <w:t>(3,718)</w:t>
            </w:r>
          </w:p>
        </w:tc>
        <w:tc>
          <w:tcPr>
            <w:tcW w:w="1168" w:type="dxa"/>
            <w:tcBorders>
              <w:top w:val="single" w:sz="0" w:space="0" w:color="000000"/>
              <w:bottom w:val="single" w:sz="0" w:space="0" w:color="000000"/>
            </w:tcBorders>
          </w:tcPr>
          <w:p>
            <w:pPr>
              <w:pStyle w:val="TableParagraph"/>
              <w:spacing w:before="38"/>
              <w:ind w:right="240"/>
              <w:rPr>
                <w:sz w:val="16"/>
              </w:rPr>
            </w:pPr>
            <w:r>
              <w:rPr>
                <w:w w:val="95"/>
                <w:sz w:val="16"/>
              </w:rPr>
              <w:t>(317,958)</w:t>
            </w:r>
          </w:p>
        </w:tc>
        <w:tc>
          <w:tcPr>
            <w:tcW w:w="954" w:type="dxa"/>
            <w:tcBorders>
              <w:top w:val="single" w:sz="0" w:space="0" w:color="000000"/>
              <w:bottom w:val="single" w:sz="0" w:space="0" w:color="000000"/>
            </w:tcBorders>
          </w:tcPr>
          <w:p>
            <w:pPr>
              <w:pStyle w:val="TableParagraph"/>
              <w:spacing w:before="38"/>
              <w:ind w:right="26"/>
              <w:rPr>
                <w:sz w:val="16"/>
              </w:rPr>
            </w:pPr>
            <w:r>
              <w:rPr>
                <w:w w:val="95"/>
                <w:sz w:val="16"/>
              </w:rPr>
              <w:t>(332,281)</w:t>
            </w:r>
          </w:p>
        </w:tc>
      </w:tr>
      <w:tr>
        <w:trPr>
          <w:trHeight w:val="331" w:hRule="exact"/>
        </w:trPr>
        <w:tc>
          <w:tcPr>
            <w:tcW w:w="3130" w:type="dxa"/>
          </w:tcPr>
          <w:p>
            <w:pPr>
              <w:pStyle w:val="TableParagraph"/>
              <w:spacing w:before="123"/>
              <w:ind w:left="35"/>
              <w:jc w:val="left"/>
              <w:rPr>
                <w:b/>
                <w:sz w:val="16"/>
              </w:rPr>
            </w:pPr>
            <w:r>
              <w:rPr>
                <w:b/>
                <w:sz w:val="16"/>
              </w:rPr>
              <w:t>Total net liability/(asset)</w:t>
            </w:r>
          </w:p>
        </w:tc>
        <w:tc>
          <w:tcPr>
            <w:tcW w:w="1151" w:type="dxa"/>
          </w:tcPr>
          <w:p>
            <w:pPr/>
          </w:p>
        </w:tc>
        <w:tc>
          <w:tcPr>
            <w:tcW w:w="1470" w:type="dxa"/>
            <w:tcBorders>
              <w:top w:val="single" w:sz="0" w:space="0" w:color="000000"/>
              <w:bottom w:val="single" w:sz="0" w:space="0" w:color="000000"/>
            </w:tcBorders>
          </w:tcPr>
          <w:p>
            <w:pPr>
              <w:pStyle w:val="TableParagraph"/>
              <w:spacing w:before="122"/>
              <w:ind w:right="382"/>
              <w:rPr>
                <w:b/>
                <w:sz w:val="16"/>
              </w:rPr>
            </w:pPr>
            <w:r>
              <w:rPr>
                <w:b/>
                <w:sz w:val="16"/>
              </w:rPr>
              <w:t>535</w:t>
            </w:r>
          </w:p>
        </w:tc>
        <w:tc>
          <w:tcPr>
            <w:tcW w:w="1079" w:type="dxa"/>
            <w:tcBorders>
              <w:top w:val="single" w:sz="0" w:space="0" w:color="000000"/>
              <w:bottom w:val="single" w:sz="0" w:space="0" w:color="000000"/>
            </w:tcBorders>
          </w:tcPr>
          <w:p>
            <w:pPr>
              <w:pStyle w:val="TableParagraph"/>
              <w:spacing w:before="122"/>
              <w:ind w:right="293"/>
              <w:rPr>
                <w:b/>
                <w:sz w:val="16"/>
              </w:rPr>
            </w:pPr>
            <w:r>
              <w:rPr>
                <w:b/>
                <w:w w:val="95"/>
                <w:sz w:val="16"/>
              </w:rPr>
              <w:t>125</w:t>
            </w:r>
          </w:p>
        </w:tc>
        <w:tc>
          <w:tcPr>
            <w:tcW w:w="1168" w:type="dxa"/>
            <w:tcBorders>
              <w:top w:val="single" w:sz="0" w:space="0" w:color="000000"/>
              <w:bottom w:val="single" w:sz="0" w:space="0" w:color="000000"/>
            </w:tcBorders>
          </w:tcPr>
          <w:p>
            <w:pPr>
              <w:pStyle w:val="TableParagraph"/>
              <w:spacing w:before="122"/>
              <w:ind w:right="293"/>
              <w:rPr>
                <w:b/>
                <w:sz w:val="16"/>
              </w:rPr>
            </w:pPr>
            <w:r>
              <w:rPr>
                <w:b/>
                <w:sz w:val="16"/>
              </w:rPr>
              <w:t>41</w:t>
            </w:r>
          </w:p>
        </w:tc>
        <w:tc>
          <w:tcPr>
            <w:tcW w:w="954" w:type="dxa"/>
            <w:tcBorders>
              <w:top w:val="single" w:sz="0" w:space="0" w:color="000000"/>
              <w:bottom w:val="single" w:sz="0" w:space="0" w:color="000000"/>
            </w:tcBorders>
          </w:tcPr>
          <w:p>
            <w:pPr>
              <w:pStyle w:val="TableParagraph"/>
              <w:spacing w:before="122"/>
              <w:ind w:right="79"/>
              <w:rPr>
                <w:b/>
                <w:sz w:val="16"/>
              </w:rPr>
            </w:pPr>
            <w:r>
              <w:rPr>
                <w:b/>
                <w:w w:val="95"/>
                <w:sz w:val="16"/>
              </w:rPr>
              <w:t>701</w:t>
            </w:r>
          </w:p>
        </w:tc>
      </w:tr>
    </w:tbl>
    <w:p>
      <w:pPr>
        <w:pStyle w:val="BodyText"/>
        <w:rPr>
          <w:sz w:val="20"/>
        </w:rPr>
      </w:pPr>
    </w:p>
    <w:p>
      <w:pPr>
        <w:pStyle w:val="BodyText"/>
        <w:spacing w:before="1"/>
        <w:rPr>
          <w:sz w:val="28"/>
        </w:rPr>
      </w:pPr>
    </w:p>
    <w:tbl>
      <w:tblPr>
        <w:tblW w:w="0" w:type="auto"/>
        <w:jc w:val="left"/>
        <w:tblInd w:w="239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281"/>
        <w:gridCol w:w="1497"/>
        <w:gridCol w:w="1079"/>
        <w:gridCol w:w="1168"/>
        <w:gridCol w:w="927"/>
      </w:tblGrid>
      <w:tr>
        <w:trPr>
          <w:trHeight w:val="513" w:hRule="exact"/>
        </w:trPr>
        <w:tc>
          <w:tcPr>
            <w:tcW w:w="4281" w:type="dxa"/>
          </w:tcPr>
          <w:p>
            <w:pPr>
              <w:pStyle w:val="TableParagraph"/>
              <w:spacing w:before="79"/>
              <w:ind w:left="35" w:right="1046"/>
              <w:jc w:val="left"/>
              <w:rPr>
                <w:b/>
                <w:sz w:val="16"/>
              </w:rPr>
            </w:pPr>
            <w:r>
              <w:rPr>
                <w:b/>
                <w:sz w:val="16"/>
              </w:rPr>
              <w:t>Reimbursement rights - 2016</w:t>
            </w:r>
          </w:p>
          <w:p>
            <w:pPr>
              <w:pStyle w:val="TableParagraph"/>
              <w:spacing w:before="29"/>
              <w:ind w:left="35" w:right="1046"/>
              <w:jc w:val="left"/>
              <w:rPr>
                <w:sz w:val="16"/>
              </w:rPr>
            </w:pPr>
            <w:r>
              <w:rPr>
                <w:sz w:val="16"/>
              </w:rPr>
              <w:t>Opening value of reimbursement right</w:t>
            </w:r>
          </w:p>
        </w:tc>
        <w:tc>
          <w:tcPr>
            <w:tcW w:w="1497" w:type="dxa"/>
          </w:tcPr>
          <w:p>
            <w:pPr>
              <w:pStyle w:val="TableParagraph"/>
              <w:jc w:val="left"/>
              <w:rPr>
                <w:sz w:val="16"/>
              </w:rPr>
            </w:pPr>
          </w:p>
          <w:p>
            <w:pPr>
              <w:pStyle w:val="TableParagraph"/>
              <w:spacing w:before="107"/>
              <w:ind w:right="408"/>
              <w:rPr>
                <w:sz w:val="16"/>
              </w:rPr>
            </w:pPr>
            <w:r>
              <w:rPr>
                <w:w w:val="95"/>
                <w:sz w:val="16"/>
              </w:rPr>
              <w:t>10,895</w:t>
            </w:r>
          </w:p>
        </w:tc>
        <w:tc>
          <w:tcPr>
            <w:tcW w:w="1079" w:type="dxa"/>
          </w:tcPr>
          <w:p>
            <w:pPr>
              <w:pStyle w:val="TableParagraph"/>
              <w:jc w:val="left"/>
              <w:rPr>
                <w:sz w:val="16"/>
              </w:rPr>
            </w:pPr>
          </w:p>
          <w:p>
            <w:pPr>
              <w:pStyle w:val="TableParagraph"/>
              <w:spacing w:before="107"/>
              <w:ind w:right="319"/>
              <w:rPr>
                <w:sz w:val="16"/>
              </w:rPr>
            </w:pPr>
            <w:r>
              <w:rPr>
                <w:w w:val="95"/>
                <w:sz w:val="16"/>
              </w:rPr>
              <w:t>3,387</w:t>
            </w:r>
          </w:p>
        </w:tc>
        <w:tc>
          <w:tcPr>
            <w:tcW w:w="1168" w:type="dxa"/>
          </w:tcPr>
          <w:p>
            <w:pPr>
              <w:pStyle w:val="TableParagraph"/>
              <w:jc w:val="left"/>
              <w:rPr>
                <w:sz w:val="16"/>
              </w:rPr>
            </w:pPr>
          </w:p>
          <w:p>
            <w:pPr>
              <w:pStyle w:val="TableParagraph"/>
              <w:spacing w:before="107"/>
              <w:ind w:right="319"/>
              <w:rPr>
                <w:sz w:val="16"/>
              </w:rPr>
            </w:pPr>
            <w:r>
              <w:rPr>
                <w:w w:val="95"/>
                <w:sz w:val="16"/>
              </w:rPr>
              <w:t>321,573</w:t>
            </w:r>
          </w:p>
        </w:tc>
        <w:tc>
          <w:tcPr>
            <w:tcW w:w="927" w:type="dxa"/>
          </w:tcPr>
          <w:p>
            <w:pPr>
              <w:pStyle w:val="TableParagraph"/>
              <w:jc w:val="left"/>
              <w:rPr>
                <w:sz w:val="16"/>
              </w:rPr>
            </w:pPr>
          </w:p>
          <w:p>
            <w:pPr>
              <w:pStyle w:val="TableParagraph"/>
              <w:spacing w:before="107"/>
              <w:ind w:right="79"/>
              <w:rPr>
                <w:sz w:val="16"/>
              </w:rPr>
            </w:pPr>
            <w:r>
              <w:rPr>
                <w:w w:val="95"/>
                <w:sz w:val="16"/>
              </w:rPr>
              <w:t>335,855</w:t>
            </w:r>
          </w:p>
        </w:tc>
      </w:tr>
      <w:tr>
        <w:trPr>
          <w:trHeight w:val="423" w:hRule="exact"/>
        </w:trPr>
        <w:tc>
          <w:tcPr>
            <w:tcW w:w="4281" w:type="dxa"/>
          </w:tcPr>
          <w:p>
            <w:pPr>
              <w:pStyle w:val="TableParagraph"/>
              <w:spacing w:before="19"/>
              <w:ind w:left="35" w:right="1046"/>
              <w:jc w:val="left"/>
              <w:rPr>
                <w:sz w:val="16"/>
              </w:rPr>
            </w:pPr>
            <w:r>
              <w:rPr>
                <w:sz w:val="16"/>
              </w:rPr>
              <w:t>Excess salary expense through profit and loss</w:t>
            </w:r>
          </w:p>
        </w:tc>
        <w:tc>
          <w:tcPr>
            <w:tcW w:w="1497" w:type="dxa"/>
          </w:tcPr>
          <w:p>
            <w:pPr>
              <w:pStyle w:val="TableParagraph"/>
              <w:spacing w:before="5"/>
              <w:jc w:val="left"/>
              <w:rPr>
                <w:sz w:val="17"/>
              </w:rPr>
            </w:pPr>
          </w:p>
          <w:p>
            <w:pPr>
              <w:pStyle w:val="TableParagraph"/>
              <w:ind w:right="355"/>
              <w:rPr>
                <w:sz w:val="16"/>
              </w:rPr>
            </w:pPr>
            <w:r>
              <w:rPr>
                <w:sz w:val="16"/>
              </w:rPr>
              <w:t>(8)</w:t>
            </w:r>
          </w:p>
        </w:tc>
        <w:tc>
          <w:tcPr>
            <w:tcW w:w="1079" w:type="dxa"/>
          </w:tcPr>
          <w:p>
            <w:pPr>
              <w:pStyle w:val="TableParagraph"/>
              <w:spacing w:before="5"/>
              <w:jc w:val="left"/>
              <w:rPr>
                <w:sz w:val="17"/>
              </w:rPr>
            </w:pPr>
          </w:p>
          <w:p>
            <w:pPr>
              <w:pStyle w:val="TableParagraph"/>
              <w:ind w:right="266"/>
              <w:rPr>
                <w:sz w:val="16"/>
              </w:rPr>
            </w:pPr>
            <w:r>
              <w:rPr>
                <w:sz w:val="16"/>
              </w:rPr>
              <w:t>(5)</w:t>
            </w:r>
          </w:p>
        </w:tc>
        <w:tc>
          <w:tcPr>
            <w:tcW w:w="1168" w:type="dxa"/>
          </w:tcPr>
          <w:p>
            <w:pPr>
              <w:pStyle w:val="TableParagraph"/>
              <w:spacing w:before="5"/>
              <w:jc w:val="left"/>
              <w:rPr>
                <w:sz w:val="17"/>
              </w:rPr>
            </w:pPr>
          </w:p>
          <w:p>
            <w:pPr>
              <w:pStyle w:val="TableParagraph"/>
              <w:ind w:right="266"/>
              <w:rPr>
                <w:sz w:val="16"/>
              </w:rPr>
            </w:pPr>
            <w:r>
              <w:rPr>
                <w:sz w:val="16"/>
              </w:rPr>
              <w:t>(42)</w:t>
            </w:r>
          </w:p>
        </w:tc>
        <w:tc>
          <w:tcPr>
            <w:tcW w:w="927" w:type="dxa"/>
          </w:tcPr>
          <w:p>
            <w:pPr>
              <w:pStyle w:val="TableParagraph"/>
              <w:spacing w:before="5"/>
              <w:jc w:val="left"/>
              <w:rPr>
                <w:sz w:val="17"/>
              </w:rPr>
            </w:pPr>
          </w:p>
          <w:p>
            <w:pPr>
              <w:pStyle w:val="TableParagraph"/>
              <w:ind w:right="26"/>
              <w:rPr>
                <w:sz w:val="16"/>
              </w:rPr>
            </w:pPr>
            <w:r>
              <w:rPr>
                <w:sz w:val="16"/>
              </w:rPr>
              <w:t>(55)</w:t>
            </w:r>
          </w:p>
        </w:tc>
      </w:tr>
      <w:tr>
        <w:trPr>
          <w:trHeight w:val="241" w:hRule="exact"/>
        </w:trPr>
        <w:tc>
          <w:tcPr>
            <w:tcW w:w="4281" w:type="dxa"/>
          </w:tcPr>
          <w:p>
            <w:pPr>
              <w:pStyle w:val="TableParagraph"/>
              <w:spacing w:before="20"/>
              <w:ind w:left="35" w:right="1046"/>
              <w:jc w:val="left"/>
              <w:rPr>
                <w:sz w:val="16"/>
              </w:rPr>
            </w:pPr>
            <w:r>
              <w:rPr>
                <w:sz w:val="16"/>
              </w:rPr>
              <w:t>Emerging liability for excess salaries</w:t>
            </w:r>
          </w:p>
        </w:tc>
        <w:tc>
          <w:tcPr>
            <w:tcW w:w="1497" w:type="dxa"/>
          </w:tcPr>
          <w:p>
            <w:pPr>
              <w:pStyle w:val="TableParagraph"/>
              <w:spacing w:before="19"/>
              <w:ind w:right="355"/>
              <w:rPr>
                <w:sz w:val="16"/>
              </w:rPr>
            </w:pPr>
            <w:r>
              <w:rPr>
                <w:sz w:val="16"/>
              </w:rPr>
              <w:t>(527)</w:t>
            </w:r>
          </w:p>
        </w:tc>
        <w:tc>
          <w:tcPr>
            <w:tcW w:w="1079" w:type="dxa"/>
          </w:tcPr>
          <w:p>
            <w:pPr>
              <w:pStyle w:val="TableParagraph"/>
              <w:spacing w:before="19"/>
              <w:ind w:right="266"/>
              <w:rPr>
                <w:sz w:val="16"/>
              </w:rPr>
            </w:pPr>
            <w:r>
              <w:rPr>
                <w:sz w:val="16"/>
              </w:rPr>
              <w:t>(119)</w:t>
            </w:r>
          </w:p>
        </w:tc>
        <w:tc>
          <w:tcPr>
            <w:tcW w:w="1168" w:type="dxa"/>
          </w:tcPr>
          <w:p>
            <w:pPr>
              <w:pStyle w:val="TableParagraph"/>
              <w:spacing w:before="19"/>
              <w:ind w:right="319"/>
              <w:rPr>
                <w:sz w:val="16"/>
              </w:rPr>
            </w:pPr>
            <w:r>
              <w:rPr>
                <w:w w:val="99"/>
                <w:sz w:val="16"/>
              </w:rPr>
              <w:t>-</w:t>
            </w:r>
          </w:p>
        </w:tc>
        <w:tc>
          <w:tcPr>
            <w:tcW w:w="927" w:type="dxa"/>
          </w:tcPr>
          <w:p>
            <w:pPr>
              <w:pStyle w:val="TableParagraph"/>
              <w:spacing w:before="19"/>
              <w:ind w:right="26"/>
              <w:rPr>
                <w:sz w:val="16"/>
              </w:rPr>
            </w:pPr>
            <w:r>
              <w:rPr>
                <w:sz w:val="16"/>
              </w:rPr>
              <w:t>(646)</w:t>
            </w:r>
          </w:p>
        </w:tc>
      </w:tr>
      <w:tr>
        <w:trPr>
          <w:trHeight w:val="241" w:hRule="exact"/>
        </w:trPr>
        <w:tc>
          <w:tcPr>
            <w:tcW w:w="4281" w:type="dxa"/>
          </w:tcPr>
          <w:p>
            <w:pPr>
              <w:pStyle w:val="TableParagraph"/>
              <w:spacing w:before="20"/>
              <w:ind w:left="35" w:right="1046"/>
              <w:jc w:val="left"/>
              <w:rPr>
                <w:sz w:val="16"/>
              </w:rPr>
            </w:pPr>
            <w:r>
              <w:rPr>
                <w:sz w:val="16"/>
              </w:rPr>
              <w:t>Return on reimbursement rights</w:t>
            </w:r>
          </w:p>
        </w:tc>
        <w:tc>
          <w:tcPr>
            <w:tcW w:w="1497" w:type="dxa"/>
          </w:tcPr>
          <w:p>
            <w:pPr>
              <w:pStyle w:val="TableParagraph"/>
              <w:spacing w:before="19"/>
              <w:ind w:right="408"/>
              <w:rPr>
                <w:sz w:val="16"/>
              </w:rPr>
            </w:pPr>
            <w:r>
              <w:rPr>
                <w:w w:val="95"/>
                <w:sz w:val="16"/>
              </w:rPr>
              <w:t>617</w:t>
            </w:r>
          </w:p>
        </w:tc>
        <w:tc>
          <w:tcPr>
            <w:tcW w:w="1079" w:type="dxa"/>
          </w:tcPr>
          <w:p>
            <w:pPr>
              <w:pStyle w:val="TableParagraph"/>
              <w:spacing w:before="19"/>
              <w:ind w:right="319"/>
              <w:rPr>
                <w:sz w:val="16"/>
              </w:rPr>
            </w:pPr>
            <w:r>
              <w:rPr>
                <w:sz w:val="16"/>
              </w:rPr>
              <w:t>112</w:t>
            </w:r>
          </w:p>
        </w:tc>
        <w:tc>
          <w:tcPr>
            <w:tcW w:w="1168" w:type="dxa"/>
          </w:tcPr>
          <w:p>
            <w:pPr>
              <w:pStyle w:val="TableParagraph"/>
              <w:spacing w:before="19"/>
              <w:ind w:right="319"/>
              <w:rPr>
                <w:sz w:val="16"/>
              </w:rPr>
            </w:pPr>
            <w:r>
              <w:rPr>
                <w:w w:val="95"/>
                <w:sz w:val="16"/>
              </w:rPr>
              <w:t>8,877</w:t>
            </w:r>
          </w:p>
        </w:tc>
        <w:tc>
          <w:tcPr>
            <w:tcW w:w="927" w:type="dxa"/>
          </w:tcPr>
          <w:p>
            <w:pPr>
              <w:pStyle w:val="TableParagraph"/>
              <w:spacing w:before="19"/>
              <w:ind w:right="79"/>
              <w:rPr>
                <w:sz w:val="16"/>
              </w:rPr>
            </w:pPr>
            <w:r>
              <w:rPr>
                <w:w w:val="95"/>
                <w:sz w:val="16"/>
              </w:rPr>
              <w:t>9,606</w:t>
            </w:r>
          </w:p>
        </w:tc>
      </w:tr>
      <w:tr>
        <w:trPr>
          <w:trHeight w:val="241" w:hRule="exact"/>
        </w:trPr>
        <w:tc>
          <w:tcPr>
            <w:tcW w:w="4281" w:type="dxa"/>
          </w:tcPr>
          <w:p>
            <w:pPr>
              <w:pStyle w:val="TableParagraph"/>
              <w:spacing w:before="20"/>
              <w:ind w:left="35" w:right="1046"/>
              <w:jc w:val="left"/>
              <w:rPr>
                <w:sz w:val="16"/>
              </w:rPr>
            </w:pPr>
            <w:r>
              <w:rPr>
                <w:sz w:val="16"/>
              </w:rPr>
              <w:t>Remeasurements</w:t>
            </w:r>
          </w:p>
        </w:tc>
        <w:tc>
          <w:tcPr>
            <w:tcW w:w="1497" w:type="dxa"/>
            <w:tcBorders>
              <w:bottom w:val="single" w:sz="0" w:space="0" w:color="000000"/>
            </w:tcBorders>
          </w:tcPr>
          <w:p>
            <w:pPr>
              <w:pStyle w:val="TableParagraph"/>
              <w:spacing w:before="19"/>
              <w:ind w:right="355"/>
              <w:rPr>
                <w:sz w:val="16"/>
              </w:rPr>
            </w:pPr>
            <w:r>
              <w:rPr>
                <w:sz w:val="16"/>
              </w:rPr>
              <w:t>(372)</w:t>
            </w:r>
          </w:p>
        </w:tc>
        <w:tc>
          <w:tcPr>
            <w:tcW w:w="1079" w:type="dxa"/>
            <w:tcBorders>
              <w:bottom w:val="single" w:sz="0" w:space="0" w:color="000000"/>
            </w:tcBorders>
          </w:tcPr>
          <w:p>
            <w:pPr>
              <w:pStyle w:val="TableParagraph"/>
              <w:spacing w:before="19"/>
              <w:ind w:right="319"/>
              <w:rPr>
                <w:sz w:val="16"/>
              </w:rPr>
            </w:pPr>
            <w:r>
              <w:rPr>
                <w:sz w:val="16"/>
              </w:rPr>
              <w:t>343</w:t>
            </w:r>
          </w:p>
        </w:tc>
        <w:tc>
          <w:tcPr>
            <w:tcW w:w="1168" w:type="dxa"/>
            <w:tcBorders>
              <w:bottom w:val="single" w:sz="0" w:space="0" w:color="000000"/>
            </w:tcBorders>
          </w:tcPr>
          <w:p>
            <w:pPr>
              <w:pStyle w:val="TableParagraph"/>
              <w:spacing w:before="19"/>
              <w:ind w:right="266"/>
              <w:rPr>
                <w:sz w:val="16"/>
              </w:rPr>
            </w:pPr>
            <w:r>
              <w:rPr>
                <w:sz w:val="16"/>
              </w:rPr>
              <w:t>(12,450)</w:t>
            </w:r>
          </w:p>
        </w:tc>
        <w:tc>
          <w:tcPr>
            <w:tcW w:w="927" w:type="dxa"/>
            <w:tcBorders>
              <w:bottom w:val="single" w:sz="0" w:space="0" w:color="000000"/>
            </w:tcBorders>
          </w:tcPr>
          <w:p>
            <w:pPr>
              <w:pStyle w:val="TableParagraph"/>
              <w:spacing w:before="19"/>
              <w:ind w:right="26"/>
              <w:rPr>
                <w:sz w:val="16"/>
              </w:rPr>
            </w:pPr>
            <w:r>
              <w:rPr>
                <w:sz w:val="16"/>
              </w:rPr>
              <w:t>(12,479)</w:t>
            </w:r>
          </w:p>
        </w:tc>
      </w:tr>
      <w:tr>
        <w:trPr>
          <w:trHeight w:val="331" w:hRule="exact"/>
        </w:trPr>
        <w:tc>
          <w:tcPr>
            <w:tcW w:w="4281" w:type="dxa"/>
          </w:tcPr>
          <w:p>
            <w:pPr>
              <w:pStyle w:val="TableParagraph"/>
              <w:tabs>
                <w:tab w:pos="3976" w:val="right" w:leader="none"/>
              </w:tabs>
              <w:spacing w:before="33"/>
              <w:ind w:left="35"/>
              <w:jc w:val="left"/>
              <w:rPr>
                <w:sz w:val="16"/>
              </w:rPr>
            </w:pPr>
            <w:r>
              <w:rPr>
                <w:b/>
                <w:sz w:val="16"/>
              </w:rPr>
              <w:t>Closing value of</w:t>
            </w:r>
            <w:r>
              <w:rPr>
                <w:b/>
                <w:spacing w:val="-8"/>
                <w:sz w:val="16"/>
              </w:rPr>
              <w:t> </w:t>
            </w:r>
            <w:r>
              <w:rPr>
                <w:b/>
                <w:sz w:val="16"/>
              </w:rPr>
              <w:t>reimbursement</w:t>
            </w:r>
            <w:r>
              <w:rPr>
                <w:b/>
                <w:spacing w:val="-3"/>
                <w:sz w:val="16"/>
              </w:rPr>
              <w:t> </w:t>
            </w:r>
            <w:r>
              <w:rPr>
                <w:b/>
                <w:sz w:val="16"/>
              </w:rPr>
              <w:t>right</w:t>
            </w:r>
            <w:r>
              <w:rPr>
                <w:rFonts w:ascii="Times New Roman"/>
                <w:position w:val="9"/>
                <w:sz w:val="16"/>
              </w:rPr>
              <w:tab/>
            </w:r>
            <w:r>
              <w:rPr>
                <w:position w:val="9"/>
                <w:sz w:val="16"/>
              </w:rPr>
              <w:t>18</w:t>
            </w:r>
          </w:p>
        </w:tc>
        <w:tc>
          <w:tcPr>
            <w:tcW w:w="1497" w:type="dxa"/>
            <w:tcBorders>
              <w:top w:val="single" w:sz="0" w:space="0" w:color="000000"/>
              <w:bottom w:val="single" w:sz="0" w:space="0" w:color="000000"/>
            </w:tcBorders>
          </w:tcPr>
          <w:p>
            <w:pPr>
              <w:pStyle w:val="TableParagraph"/>
              <w:spacing w:before="122"/>
              <w:ind w:right="408"/>
              <w:rPr>
                <w:b/>
                <w:sz w:val="16"/>
              </w:rPr>
            </w:pPr>
            <w:r>
              <w:rPr>
                <w:b/>
                <w:w w:val="95"/>
                <w:sz w:val="16"/>
              </w:rPr>
              <w:t>10,605</w:t>
            </w:r>
          </w:p>
        </w:tc>
        <w:tc>
          <w:tcPr>
            <w:tcW w:w="1079" w:type="dxa"/>
            <w:tcBorders>
              <w:top w:val="single" w:sz="0" w:space="0" w:color="000000"/>
              <w:bottom w:val="single" w:sz="0" w:space="0" w:color="000000"/>
            </w:tcBorders>
          </w:tcPr>
          <w:p>
            <w:pPr>
              <w:pStyle w:val="TableParagraph"/>
              <w:spacing w:before="122"/>
              <w:ind w:right="319"/>
              <w:rPr>
                <w:b/>
                <w:sz w:val="16"/>
              </w:rPr>
            </w:pPr>
            <w:r>
              <w:rPr>
                <w:b/>
                <w:w w:val="95"/>
                <w:sz w:val="16"/>
              </w:rPr>
              <w:t>3,718</w:t>
            </w:r>
          </w:p>
        </w:tc>
        <w:tc>
          <w:tcPr>
            <w:tcW w:w="1168" w:type="dxa"/>
            <w:tcBorders>
              <w:top w:val="single" w:sz="0" w:space="0" w:color="000000"/>
              <w:bottom w:val="single" w:sz="0" w:space="0" w:color="000000"/>
            </w:tcBorders>
          </w:tcPr>
          <w:p>
            <w:pPr>
              <w:pStyle w:val="TableParagraph"/>
              <w:spacing w:before="122"/>
              <w:ind w:right="319"/>
              <w:rPr>
                <w:b/>
                <w:sz w:val="16"/>
              </w:rPr>
            </w:pPr>
            <w:r>
              <w:rPr>
                <w:b/>
                <w:w w:val="95"/>
                <w:sz w:val="16"/>
              </w:rPr>
              <w:t>317,958</w:t>
            </w:r>
          </w:p>
        </w:tc>
        <w:tc>
          <w:tcPr>
            <w:tcW w:w="927" w:type="dxa"/>
            <w:tcBorders>
              <w:top w:val="single" w:sz="0" w:space="0" w:color="000000"/>
              <w:bottom w:val="single" w:sz="0" w:space="0" w:color="000000"/>
            </w:tcBorders>
          </w:tcPr>
          <w:p>
            <w:pPr>
              <w:pStyle w:val="TableParagraph"/>
              <w:spacing w:before="122"/>
              <w:ind w:right="79"/>
              <w:rPr>
                <w:b/>
                <w:sz w:val="16"/>
              </w:rPr>
            </w:pPr>
            <w:r>
              <w:rPr>
                <w:b/>
                <w:w w:val="95"/>
                <w:sz w:val="16"/>
              </w:rPr>
              <w:t>332,281</w:t>
            </w:r>
          </w:p>
        </w:tc>
      </w:tr>
    </w:tbl>
    <w:p>
      <w:pPr>
        <w:spacing w:after="0"/>
        <w:rPr>
          <w:sz w:val="16"/>
        </w:rPr>
        <w:sectPr>
          <w:type w:val="continuous"/>
          <w:pgSz w:w="12750" w:h="17680"/>
          <w:pgMar w:top="1660" w:bottom="0" w:left="0" w:right="0"/>
        </w:sectPr>
      </w:pPr>
    </w:p>
    <w:p>
      <w:pPr>
        <w:pStyle w:val="BodyText"/>
        <w:rPr>
          <w:rFonts w:ascii="Times New Roman"/>
          <w:sz w:val="20"/>
        </w:rPr>
      </w:pPr>
      <w:r>
        <w:rPr/>
        <w:drawing>
          <wp:anchor distT="0" distB="0" distL="0" distR="0" allowOverlap="1" layoutInCell="1" locked="0" behindDoc="0" simplePos="0" relativeHeight="6232">
            <wp:simplePos x="0" y="0"/>
            <wp:positionH relativeFrom="page">
              <wp:posOffset>-1587</wp:posOffset>
            </wp:positionH>
            <wp:positionV relativeFrom="page">
              <wp:posOffset>5534342</wp:posOffset>
            </wp:positionV>
            <wp:extent cx="135159" cy="154019"/>
            <wp:effectExtent l="0" t="0" r="0" b="0"/>
            <wp:wrapNone/>
            <wp:docPr id="433" name="image13.png" descr=""/>
            <wp:cNvGraphicFramePr>
              <a:graphicFrameLocks noChangeAspect="1"/>
            </wp:cNvGraphicFramePr>
            <a:graphic>
              <a:graphicData uri="http://schemas.openxmlformats.org/drawingml/2006/picture">
                <pic:pic>
                  <pic:nvPicPr>
                    <pic:cNvPr id="434" name="image13.png"/>
                    <pic:cNvPicPr/>
                  </pic:nvPicPr>
                  <pic:blipFill>
                    <a:blip r:embed="rId18" cstate="print"/>
                    <a:stretch>
                      <a:fillRect/>
                    </a:stretch>
                  </pic:blipFill>
                  <pic:spPr>
                    <a:xfrm>
                      <a:off x="0" y="0"/>
                      <a:ext cx="135159" cy="154019"/>
                    </a:xfrm>
                    <a:prstGeom prst="rect">
                      <a:avLst/>
                    </a:prstGeom>
                  </pic:spPr>
                </pic:pic>
              </a:graphicData>
            </a:graphic>
          </wp:anchor>
        </w:drawing>
      </w:r>
      <w:r>
        <w:rPr/>
        <w:drawing>
          <wp:anchor distT="0" distB="0" distL="0" distR="0" allowOverlap="1" layoutInCell="1" locked="0" behindDoc="0" simplePos="0" relativeHeight="6256">
            <wp:simplePos x="0" y="0"/>
            <wp:positionH relativeFrom="page">
              <wp:posOffset>7958429</wp:posOffset>
            </wp:positionH>
            <wp:positionV relativeFrom="page">
              <wp:posOffset>5534342</wp:posOffset>
            </wp:positionV>
            <wp:extent cx="135953" cy="155575"/>
            <wp:effectExtent l="0" t="0" r="0" b="0"/>
            <wp:wrapNone/>
            <wp:docPr id="435" name="image15.png" descr=""/>
            <wp:cNvGraphicFramePr>
              <a:graphicFrameLocks noChangeAspect="1"/>
            </wp:cNvGraphicFramePr>
            <a:graphic>
              <a:graphicData uri="http://schemas.openxmlformats.org/drawingml/2006/picture">
                <pic:pic>
                  <pic:nvPicPr>
                    <pic:cNvPr id="436" name="image15.png"/>
                    <pic:cNvPicPr/>
                  </pic:nvPicPr>
                  <pic:blipFill>
                    <a:blip r:embed="rId20" cstate="print"/>
                    <a:stretch>
                      <a:fillRect/>
                    </a:stretch>
                  </pic:blipFill>
                  <pic:spPr>
                    <a:xfrm>
                      <a:off x="0" y="0"/>
                      <a:ext cx="135953" cy="155575"/>
                    </a:xfrm>
                    <a:prstGeom prst="rect">
                      <a:avLst/>
                    </a:prstGeom>
                  </pic:spPr>
                </pic:pic>
              </a:graphicData>
            </a:graphic>
          </wp:anchor>
        </w:drawing>
      </w:r>
    </w:p>
    <w:p>
      <w:pPr>
        <w:pStyle w:val="BodyText"/>
        <w:rPr>
          <w:rFonts w:ascii="Times New Roman"/>
          <w:sz w:val="20"/>
        </w:rPr>
      </w:pPr>
    </w:p>
    <w:p>
      <w:pPr>
        <w:pStyle w:val="BodyText"/>
        <w:spacing w:before="8"/>
        <w:rPr>
          <w:rFonts w:ascii="Times New Roman"/>
          <w:sz w:val="11"/>
        </w:rPr>
      </w:pPr>
    </w:p>
    <w:tbl>
      <w:tblPr>
        <w:tblW w:w="0" w:type="auto"/>
        <w:jc w:val="left"/>
        <w:tblInd w:w="178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29"/>
        <w:gridCol w:w="4459"/>
        <w:gridCol w:w="1316"/>
        <w:gridCol w:w="1208"/>
        <w:gridCol w:w="1168"/>
        <w:gridCol w:w="979"/>
      </w:tblGrid>
      <w:tr>
        <w:trPr>
          <w:trHeight w:val="825" w:hRule="exact"/>
        </w:trPr>
        <w:tc>
          <w:tcPr>
            <w:tcW w:w="429" w:type="dxa"/>
          </w:tcPr>
          <w:p>
            <w:pPr>
              <w:pStyle w:val="TableParagraph"/>
              <w:spacing w:before="77"/>
              <w:ind w:left="35"/>
              <w:jc w:val="left"/>
              <w:rPr>
                <w:b/>
                <w:sz w:val="18"/>
              </w:rPr>
            </w:pPr>
            <w:r>
              <w:rPr>
                <w:b/>
                <w:sz w:val="18"/>
              </w:rPr>
              <w:t>41</w:t>
            </w:r>
          </w:p>
          <w:p>
            <w:pPr>
              <w:pStyle w:val="TableParagraph"/>
              <w:spacing w:before="7"/>
              <w:jc w:val="left"/>
              <w:rPr>
                <w:rFonts w:ascii="Times New Roman"/>
                <w:sz w:val="26"/>
              </w:rPr>
            </w:pPr>
          </w:p>
          <w:p>
            <w:pPr>
              <w:pStyle w:val="TableParagraph"/>
              <w:ind w:left="36"/>
              <w:jc w:val="left"/>
              <w:rPr>
                <w:sz w:val="18"/>
              </w:rPr>
            </w:pPr>
            <w:r>
              <w:rPr>
                <w:sz w:val="18"/>
              </w:rPr>
              <w:t>(d)</w:t>
            </w:r>
          </w:p>
        </w:tc>
        <w:tc>
          <w:tcPr>
            <w:tcW w:w="4459" w:type="dxa"/>
          </w:tcPr>
          <w:p>
            <w:pPr>
              <w:pStyle w:val="TableParagraph"/>
              <w:spacing w:before="77"/>
              <w:ind w:left="173"/>
              <w:jc w:val="left"/>
              <w:rPr>
                <w:b/>
                <w:sz w:val="18"/>
              </w:rPr>
            </w:pPr>
            <w:r>
              <w:rPr>
                <w:b/>
                <w:sz w:val="18"/>
              </w:rPr>
              <w:t>Defined Benefits Plans (continued)</w:t>
            </w:r>
          </w:p>
          <w:p>
            <w:pPr>
              <w:pStyle w:val="TableParagraph"/>
              <w:spacing w:before="7"/>
              <w:jc w:val="left"/>
              <w:rPr>
                <w:rFonts w:ascii="Times New Roman"/>
                <w:sz w:val="26"/>
              </w:rPr>
            </w:pPr>
          </w:p>
          <w:p>
            <w:pPr>
              <w:pStyle w:val="TableParagraph"/>
              <w:ind w:left="173"/>
              <w:jc w:val="left"/>
              <w:rPr>
                <w:sz w:val="18"/>
              </w:rPr>
            </w:pPr>
            <w:r>
              <w:rPr>
                <w:sz w:val="18"/>
              </w:rPr>
              <w:t>Statement of financial position amounts (continued)</w:t>
            </w:r>
          </w:p>
        </w:tc>
        <w:tc>
          <w:tcPr>
            <w:tcW w:w="4670" w:type="dxa"/>
            <w:gridSpan w:val="4"/>
          </w:tcPr>
          <w:p>
            <w:pPr/>
          </w:p>
        </w:tc>
      </w:tr>
      <w:tr>
        <w:trPr>
          <w:trHeight w:val="236" w:hRule="exact"/>
        </w:trPr>
        <w:tc>
          <w:tcPr>
            <w:tcW w:w="429" w:type="dxa"/>
          </w:tcPr>
          <w:p>
            <w:pPr/>
          </w:p>
        </w:tc>
        <w:tc>
          <w:tcPr>
            <w:tcW w:w="4459" w:type="dxa"/>
          </w:tcPr>
          <w:p>
            <w:pPr/>
          </w:p>
        </w:tc>
        <w:tc>
          <w:tcPr>
            <w:tcW w:w="1316" w:type="dxa"/>
          </w:tcPr>
          <w:p>
            <w:pPr>
              <w:pStyle w:val="TableParagraph"/>
              <w:spacing w:before="10"/>
              <w:ind w:left="405"/>
              <w:jc w:val="left"/>
              <w:rPr>
                <w:b/>
                <w:sz w:val="16"/>
              </w:rPr>
            </w:pPr>
            <w:r>
              <w:rPr>
                <w:b/>
                <w:sz w:val="16"/>
              </w:rPr>
              <w:t>$'000</w:t>
            </w:r>
          </w:p>
        </w:tc>
        <w:tc>
          <w:tcPr>
            <w:tcW w:w="1208" w:type="dxa"/>
          </w:tcPr>
          <w:p>
            <w:pPr>
              <w:pStyle w:val="TableParagraph"/>
              <w:spacing w:before="10"/>
              <w:ind w:left="257"/>
              <w:jc w:val="left"/>
              <w:rPr>
                <w:b/>
                <w:sz w:val="16"/>
              </w:rPr>
            </w:pPr>
            <w:r>
              <w:rPr>
                <w:b/>
                <w:sz w:val="16"/>
              </w:rPr>
              <w:t>$'000</w:t>
            </w:r>
          </w:p>
        </w:tc>
        <w:tc>
          <w:tcPr>
            <w:tcW w:w="1168" w:type="dxa"/>
          </w:tcPr>
          <w:p>
            <w:pPr>
              <w:pStyle w:val="TableParagraph"/>
              <w:spacing w:before="10"/>
              <w:ind w:left="217"/>
              <w:jc w:val="left"/>
              <w:rPr>
                <w:b/>
                <w:sz w:val="16"/>
              </w:rPr>
            </w:pPr>
            <w:r>
              <w:rPr>
                <w:b/>
                <w:sz w:val="16"/>
              </w:rPr>
              <w:t>$'000</w:t>
            </w:r>
          </w:p>
        </w:tc>
        <w:tc>
          <w:tcPr>
            <w:tcW w:w="979" w:type="dxa"/>
          </w:tcPr>
          <w:p>
            <w:pPr>
              <w:pStyle w:val="TableParagraph"/>
              <w:spacing w:before="10"/>
              <w:ind w:left="217"/>
              <w:jc w:val="left"/>
              <w:rPr>
                <w:b/>
                <w:sz w:val="16"/>
              </w:rPr>
            </w:pPr>
            <w:r>
              <w:rPr>
                <w:b/>
                <w:sz w:val="16"/>
              </w:rPr>
              <w:t>$'000</w:t>
            </w:r>
          </w:p>
        </w:tc>
      </w:tr>
      <w:tr>
        <w:trPr>
          <w:trHeight w:val="248" w:hRule="exact"/>
        </w:trPr>
        <w:tc>
          <w:tcPr>
            <w:tcW w:w="429" w:type="dxa"/>
          </w:tcPr>
          <w:p>
            <w:pPr/>
          </w:p>
        </w:tc>
        <w:tc>
          <w:tcPr>
            <w:tcW w:w="4459" w:type="dxa"/>
          </w:tcPr>
          <w:p>
            <w:pPr>
              <w:pStyle w:val="TableParagraph"/>
              <w:spacing w:before="25"/>
              <w:ind w:left="213"/>
              <w:jc w:val="left"/>
              <w:rPr>
                <w:b/>
                <w:sz w:val="16"/>
              </w:rPr>
            </w:pPr>
            <w:r>
              <w:rPr>
                <w:b/>
                <w:sz w:val="16"/>
              </w:rPr>
              <w:t>Present value obligations - 2016</w:t>
            </w:r>
          </w:p>
        </w:tc>
        <w:tc>
          <w:tcPr>
            <w:tcW w:w="1316" w:type="dxa"/>
          </w:tcPr>
          <w:p>
            <w:pPr>
              <w:pStyle w:val="TableParagraph"/>
              <w:spacing w:before="25"/>
              <w:ind w:left="387"/>
              <w:jc w:val="left"/>
              <w:rPr>
                <w:b/>
                <w:sz w:val="16"/>
              </w:rPr>
            </w:pPr>
            <w:r>
              <w:rPr>
                <w:b/>
                <w:sz w:val="16"/>
              </w:rPr>
              <w:t>SASS</w:t>
            </w:r>
          </w:p>
        </w:tc>
        <w:tc>
          <w:tcPr>
            <w:tcW w:w="1208" w:type="dxa"/>
          </w:tcPr>
          <w:p>
            <w:pPr>
              <w:pStyle w:val="TableParagraph"/>
              <w:spacing w:before="25"/>
              <w:ind w:left="176"/>
              <w:jc w:val="left"/>
              <w:rPr>
                <w:b/>
                <w:sz w:val="16"/>
              </w:rPr>
            </w:pPr>
            <w:r>
              <w:rPr>
                <w:b/>
                <w:sz w:val="16"/>
              </w:rPr>
              <w:t>SANCS</w:t>
            </w:r>
          </w:p>
        </w:tc>
        <w:tc>
          <w:tcPr>
            <w:tcW w:w="1168" w:type="dxa"/>
          </w:tcPr>
          <w:p>
            <w:pPr>
              <w:pStyle w:val="TableParagraph"/>
              <w:spacing w:before="25"/>
              <w:ind w:left="254"/>
              <w:jc w:val="left"/>
              <w:rPr>
                <w:b/>
                <w:sz w:val="16"/>
              </w:rPr>
            </w:pPr>
            <w:r>
              <w:rPr>
                <w:b/>
                <w:sz w:val="16"/>
              </w:rPr>
              <w:t>SSS</w:t>
            </w:r>
          </w:p>
        </w:tc>
        <w:tc>
          <w:tcPr>
            <w:tcW w:w="979" w:type="dxa"/>
          </w:tcPr>
          <w:p>
            <w:pPr>
              <w:pStyle w:val="TableParagraph"/>
              <w:spacing w:before="25"/>
              <w:ind w:left="224"/>
              <w:jc w:val="left"/>
              <w:rPr>
                <w:b/>
                <w:sz w:val="16"/>
              </w:rPr>
            </w:pPr>
            <w:r>
              <w:rPr>
                <w:b/>
                <w:sz w:val="16"/>
              </w:rPr>
              <w:t>Total</w:t>
            </w:r>
          </w:p>
        </w:tc>
      </w:tr>
      <w:tr>
        <w:trPr>
          <w:trHeight w:val="244" w:hRule="exact"/>
        </w:trPr>
        <w:tc>
          <w:tcPr>
            <w:tcW w:w="429" w:type="dxa"/>
          </w:tcPr>
          <w:p>
            <w:pPr/>
          </w:p>
        </w:tc>
        <w:tc>
          <w:tcPr>
            <w:tcW w:w="4459" w:type="dxa"/>
          </w:tcPr>
          <w:p>
            <w:pPr>
              <w:pStyle w:val="TableParagraph"/>
              <w:spacing w:before="23"/>
              <w:ind w:left="213"/>
              <w:jc w:val="left"/>
              <w:rPr>
                <w:sz w:val="16"/>
              </w:rPr>
            </w:pPr>
            <w:r>
              <w:rPr>
                <w:sz w:val="16"/>
              </w:rPr>
              <w:t>Opening defined benefit obligation</w:t>
            </w:r>
          </w:p>
        </w:tc>
        <w:tc>
          <w:tcPr>
            <w:tcW w:w="1316" w:type="dxa"/>
          </w:tcPr>
          <w:p>
            <w:pPr>
              <w:pStyle w:val="TableParagraph"/>
              <w:spacing w:before="22"/>
              <w:ind w:right="228"/>
              <w:rPr>
                <w:sz w:val="16"/>
              </w:rPr>
            </w:pPr>
            <w:r>
              <w:rPr>
                <w:w w:val="95"/>
                <w:sz w:val="16"/>
              </w:rPr>
              <w:t>43,556</w:t>
            </w:r>
          </w:p>
        </w:tc>
        <w:tc>
          <w:tcPr>
            <w:tcW w:w="1208" w:type="dxa"/>
          </w:tcPr>
          <w:p>
            <w:pPr>
              <w:pStyle w:val="TableParagraph"/>
              <w:spacing w:before="22"/>
              <w:ind w:right="268"/>
              <w:rPr>
                <w:sz w:val="16"/>
              </w:rPr>
            </w:pPr>
            <w:r>
              <w:rPr>
                <w:w w:val="95"/>
                <w:sz w:val="16"/>
              </w:rPr>
              <w:t>6,897</w:t>
            </w:r>
          </w:p>
        </w:tc>
        <w:tc>
          <w:tcPr>
            <w:tcW w:w="1168" w:type="dxa"/>
          </w:tcPr>
          <w:p>
            <w:pPr>
              <w:pStyle w:val="TableParagraph"/>
              <w:spacing w:before="22"/>
              <w:ind w:right="268"/>
              <w:rPr>
                <w:sz w:val="16"/>
              </w:rPr>
            </w:pPr>
            <w:r>
              <w:rPr>
                <w:w w:val="95"/>
                <w:sz w:val="16"/>
              </w:rPr>
              <w:t>422,251</w:t>
            </w:r>
          </w:p>
        </w:tc>
        <w:tc>
          <w:tcPr>
            <w:tcW w:w="979" w:type="dxa"/>
          </w:tcPr>
          <w:p>
            <w:pPr>
              <w:pStyle w:val="TableParagraph"/>
              <w:spacing w:before="22"/>
              <w:ind w:right="79"/>
              <w:rPr>
                <w:sz w:val="16"/>
              </w:rPr>
            </w:pPr>
            <w:r>
              <w:rPr>
                <w:w w:val="95"/>
                <w:sz w:val="16"/>
              </w:rPr>
              <w:t>472,704</w:t>
            </w:r>
          </w:p>
        </w:tc>
      </w:tr>
      <w:tr>
        <w:trPr>
          <w:trHeight w:val="241" w:hRule="exact"/>
        </w:trPr>
        <w:tc>
          <w:tcPr>
            <w:tcW w:w="429" w:type="dxa"/>
          </w:tcPr>
          <w:p>
            <w:pPr/>
          </w:p>
        </w:tc>
        <w:tc>
          <w:tcPr>
            <w:tcW w:w="4459" w:type="dxa"/>
          </w:tcPr>
          <w:p>
            <w:pPr>
              <w:pStyle w:val="TableParagraph"/>
              <w:spacing w:before="20"/>
              <w:ind w:left="213"/>
              <w:jc w:val="left"/>
              <w:rPr>
                <w:sz w:val="16"/>
              </w:rPr>
            </w:pPr>
            <w:r>
              <w:rPr>
                <w:sz w:val="16"/>
              </w:rPr>
              <w:t>Current service cost</w:t>
            </w:r>
          </w:p>
        </w:tc>
        <w:tc>
          <w:tcPr>
            <w:tcW w:w="1316" w:type="dxa"/>
          </w:tcPr>
          <w:p>
            <w:pPr>
              <w:pStyle w:val="TableParagraph"/>
              <w:spacing w:before="19"/>
              <w:ind w:right="228"/>
              <w:rPr>
                <w:sz w:val="16"/>
              </w:rPr>
            </w:pPr>
            <w:r>
              <w:rPr>
                <w:w w:val="95"/>
                <w:sz w:val="16"/>
              </w:rPr>
              <w:t>1,330</w:t>
            </w:r>
          </w:p>
        </w:tc>
        <w:tc>
          <w:tcPr>
            <w:tcW w:w="1208" w:type="dxa"/>
          </w:tcPr>
          <w:p>
            <w:pPr>
              <w:pStyle w:val="TableParagraph"/>
              <w:spacing w:before="19"/>
              <w:ind w:right="268"/>
              <w:rPr>
                <w:sz w:val="16"/>
              </w:rPr>
            </w:pPr>
            <w:r>
              <w:rPr>
                <w:w w:val="95"/>
                <w:sz w:val="16"/>
              </w:rPr>
              <w:t>283</w:t>
            </w:r>
          </w:p>
        </w:tc>
        <w:tc>
          <w:tcPr>
            <w:tcW w:w="1168" w:type="dxa"/>
          </w:tcPr>
          <w:p>
            <w:pPr>
              <w:pStyle w:val="TableParagraph"/>
              <w:spacing w:before="19"/>
              <w:ind w:right="268"/>
              <w:rPr>
                <w:sz w:val="16"/>
              </w:rPr>
            </w:pPr>
            <w:r>
              <w:rPr>
                <w:sz w:val="16"/>
              </w:rPr>
              <w:t>258</w:t>
            </w:r>
          </w:p>
        </w:tc>
        <w:tc>
          <w:tcPr>
            <w:tcW w:w="979" w:type="dxa"/>
          </w:tcPr>
          <w:p>
            <w:pPr>
              <w:pStyle w:val="TableParagraph"/>
              <w:spacing w:before="19"/>
              <w:ind w:right="79"/>
              <w:rPr>
                <w:sz w:val="16"/>
              </w:rPr>
            </w:pPr>
            <w:r>
              <w:rPr>
                <w:w w:val="95"/>
                <w:sz w:val="16"/>
              </w:rPr>
              <w:t>1,871</w:t>
            </w:r>
          </w:p>
        </w:tc>
      </w:tr>
      <w:tr>
        <w:trPr>
          <w:trHeight w:val="241" w:hRule="exact"/>
        </w:trPr>
        <w:tc>
          <w:tcPr>
            <w:tcW w:w="429" w:type="dxa"/>
          </w:tcPr>
          <w:p>
            <w:pPr/>
          </w:p>
        </w:tc>
        <w:tc>
          <w:tcPr>
            <w:tcW w:w="4459" w:type="dxa"/>
          </w:tcPr>
          <w:p>
            <w:pPr>
              <w:pStyle w:val="TableParagraph"/>
              <w:spacing w:before="20"/>
              <w:ind w:left="213"/>
              <w:jc w:val="left"/>
              <w:rPr>
                <w:sz w:val="16"/>
              </w:rPr>
            </w:pPr>
            <w:r>
              <w:rPr>
                <w:sz w:val="16"/>
              </w:rPr>
              <w:t>Interest expense</w:t>
            </w:r>
          </w:p>
        </w:tc>
        <w:tc>
          <w:tcPr>
            <w:tcW w:w="1316" w:type="dxa"/>
            <w:tcBorders>
              <w:bottom w:val="single" w:sz="0" w:space="0" w:color="000000"/>
            </w:tcBorders>
          </w:tcPr>
          <w:p>
            <w:pPr>
              <w:pStyle w:val="TableParagraph"/>
              <w:spacing w:before="19"/>
              <w:ind w:right="228"/>
              <w:rPr>
                <w:sz w:val="16"/>
              </w:rPr>
            </w:pPr>
            <w:r>
              <w:rPr>
                <w:w w:val="95"/>
                <w:sz w:val="16"/>
              </w:rPr>
              <w:t>1,193</w:t>
            </w:r>
          </w:p>
        </w:tc>
        <w:tc>
          <w:tcPr>
            <w:tcW w:w="1208" w:type="dxa"/>
            <w:tcBorders>
              <w:bottom w:val="single" w:sz="0" w:space="0" w:color="000000"/>
            </w:tcBorders>
          </w:tcPr>
          <w:p>
            <w:pPr>
              <w:pStyle w:val="TableParagraph"/>
              <w:spacing w:before="19"/>
              <w:ind w:right="268"/>
              <w:rPr>
                <w:sz w:val="16"/>
              </w:rPr>
            </w:pPr>
            <w:r>
              <w:rPr>
                <w:w w:val="95"/>
                <w:sz w:val="16"/>
              </w:rPr>
              <w:t>185</w:t>
            </w:r>
          </w:p>
        </w:tc>
        <w:tc>
          <w:tcPr>
            <w:tcW w:w="1168" w:type="dxa"/>
            <w:tcBorders>
              <w:bottom w:val="single" w:sz="0" w:space="0" w:color="000000"/>
            </w:tcBorders>
          </w:tcPr>
          <w:p>
            <w:pPr>
              <w:pStyle w:val="TableParagraph"/>
              <w:spacing w:before="19"/>
              <w:ind w:right="268"/>
              <w:rPr>
                <w:sz w:val="16"/>
              </w:rPr>
            </w:pPr>
            <w:r>
              <w:rPr>
                <w:w w:val="95"/>
                <w:sz w:val="16"/>
              </w:rPr>
              <w:t>11,986</w:t>
            </w:r>
          </w:p>
        </w:tc>
        <w:tc>
          <w:tcPr>
            <w:tcW w:w="979" w:type="dxa"/>
            <w:tcBorders>
              <w:bottom w:val="single" w:sz="0" w:space="0" w:color="000000"/>
            </w:tcBorders>
          </w:tcPr>
          <w:p>
            <w:pPr>
              <w:pStyle w:val="TableParagraph"/>
              <w:spacing w:before="19"/>
              <w:ind w:right="79"/>
              <w:rPr>
                <w:sz w:val="16"/>
              </w:rPr>
            </w:pPr>
            <w:r>
              <w:rPr>
                <w:w w:val="95"/>
                <w:sz w:val="16"/>
              </w:rPr>
              <w:t>13,364</w:t>
            </w:r>
          </w:p>
        </w:tc>
      </w:tr>
      <w:tr>
        <w:trPr>
          <w:trHeight w:val="316" w:hRule="exact"/>
        </w:trPr>
        <w:tc>
          <w:tcPr>
            <w:tcW w:w="429" w:type="dxa"/>
          </w:tcPr>
          <w:p>
            <w:pPr/>
          </w:p>
        </w:tc>
        <w:tc>
          <w:tcPr>
            <w:tcW w:w="4459" w:type="dxa"/>
          </w:tcPr>
          <w:p>
            <w:pPr/>
          </w:p>
        </w:tc>
        <w:tc>
          <w:tcPr>
            <w:tcW w:w="1316" w:type="dxa"/>
            <w:tcBorders>
              <w:top w:val="single" w:sz="0" w:space="0" w:color="000000"/>
              <w:bottom w:val="single" w:sz="0" w:space="0" w:color="000000"/>
            </w:tcBorders>
          </w:tcPr>
          <w:p>
            <w:pPr>
              <w:pStyle w:val="TableParagraph"/>
              <w:spacing w:before="122"/>
              <w:ind w:right="228"/>
              <w:rPr>
                <w:b/>
                <w:sz w:val="16"/>
              </w:rPr>
            </w:pPr>
            <w:r>
              <w:rPr>
                <w:b/>
                <w:w w:val="95"/>
                <w:sz w:val="16"/>
              </w:rPr>
              <w:t>46,079</w:t>
            </w:r>
          </w:p>
        </w:tc>
        <w:tc>
          <w:tcPr>
            <w:tcW w:w="1208" w:type="dxa"/>
            <w:tcBorders>
              <w:top w:val="single" w:sz="0" w:space="0" w:color="000000"/>
              <w:bottom w:val="single" w:sz="0" w:space="0" w:color="000000"/>
            </w:tcBorders>
          </w:tcPr>
          <w:p>
            <w:pPr>
              <w:pStyle w:val="TableParagraph"/>
              <w:spacing w:before="122"/>
              <w:ind w:right="268"/>
              <w:rPr>
                <w:b/>
                <w:sz w:val="16"/>
              </w:rPr>
            </w:pPr>
            <w:r>
              <w:rPr>
                <w:b/>
                <w:w w:val="95"/>
                <w:sz w:val="16"/>
              </w:rPr>
              <w:t>7,365</w:t>
            </w:r>
          </w:p>
        </w:tc>
        <w:tc>
          <w:tcPr>
            <w:tcW w:w="1168" w:type="dxa"/>
            <w:tcBorders>
              <w:top w:val="single" w:sz="0" w:space="0" w:color="000000"/>
              <w:bottom w:val="single" w:sz="0" w:space="0" w:color="000000"/>
            </w:tcBorders>
          </w:tcPr>
          <w:p>
            <w:pPr>
              <w:pStyle w:val="TableParagraph"/>
              <w:spacing w:before="122"/>
              <w:ind w:right="268"/>
              <w:rPr>
                <w:b/>
                <w:sz w:val="16"/>
              </w:rPr>
            </w:pPr>
            <w:r>
              <w:rPr>
                <w:b/>
                <w:w w:val="95"/>
                <w:sz w:val="16"/>
              </w:rPr>
              <w:t>434,495</w:t>
            </w:r>
          </w:p>
        </w:tc>
        <w:tc>
          <w:tcPr>
            <w:tcW w:w="979" w:type="dxa"/>
            <w:tcBorders>
              <w:top w:val="single" w:sz="0" w:space="0" w:color="000000"/>
              <w:bottom w:val="single" w:sz="0" w:space="0" w:color="000000"/>
            </w:tcBorders>
          </w:tcPr>
          <w:p>
            <w:pPr>
              <w:pStyle w:val="TableParagraph"/>
              <w:spacing w:before="122"/>
              <w:ind w:right="79"/>
              <w:rPr>
                <w:b/>
                <w:sz w:val="16"/>
              </w:rPr>
            </w:pPr>
            <w:r>
              <w:rPr>
                <w:b/>
                <w:w w:val="95"/>
                <w:sz w:val="16"/>
              </w:rPr>
              <w:t>487,939</w:t>
            </w:r>
          </w:p>
        </w:tc>
      </w:tr>
      <w:tr>
        <w:trPr>
          <w:trHeight w:val="329" w:hRule="exact"/>
        </w:trPr>
        <w:tc>
          <w:tcPr>
            <w:tcW w:w="429" w:type="dxa"/>
          </w:tcPr>
          <w:p>
            <w:pPr/>
          </w:p>
        </w:tc>
        <w:tc>
          <w:tcPr>
            <w:tcW w:w="4459" w:type="dxa"/>
          </w:tcPr>
          <w:p>
            <w:pPr>
              <w:pStyle w:val="TableParagraph"/>
              <w:spacing w:before="123"/>
              <w:ind w:left="213"/>
              <w:jc w:val="left"/>
              <w:rPr>
                <w:b/>
                <w:sz w:val="16"/>
              </w:rPr>
            </w:pPr>
            <w:r>
              <w:rPr>
                <w:b/>
                <w:sz w:val="16"/>
              </w:rPr>
              <w:t>Remeasurements</w:t>
            </w:r>
          </w:p>
        </w:tc>
        <w:tc>
          <w:tcPr>
            <w:tcW w:w="1316" w:type="dxa"/>
            <w:tcBorders>
              <w:top w:val="single" w:sz="0" w:space="0" w:color="000000"/>
            </w:tcBorders>
          </w:tcPr>
          <w:p>
            <w:pPr/>
          </w:p>
        </w:tc>
        <w:tc>
          <w:tcPr>
            <w:tcW w:w="1208" w:type="dxa"/>
            <w:tcBorders>
              <w:top w:val="single" w:sz="0" w:space="0" w:color="000000"/>
            </w:tcBorders>
          </w:tcPr>
          <w:p>
            <w:pPr/>
          </w:p>
        </w:tc>
        <w:tc>
          <w:tcPr>
            <w:tcW w:w="1168" w:type="dxa"/>
            <w:tcBorders>
              <w:top w:val="single" w:sz="0" w:space="0" w:color="000000"/>
            </w:tcBorders>
          </w:tcPr>
          <w:p>
            <w:pPr/>
          </w:p>
        </w:tc>
        <w:tc>
          <w:tcPr>
            <w:tcW w:w="979" w:type="dxa"/>
            <w:tcBorders>
              <w:top w:val="single" w:sz="0" w:space="0" w:color="000000"/>
            </w:tcBorders>
          </w:tcPr>
          <w:p>
            <w:pPr/>
          </w:p>
        </w:tc>
      </w:tr>
      <w:tr>
        <w:trPr>
          <w:trHeight w:val="409" w:hRule="exact"/>
        </w:trPr>
        <w:tc>
          <w:tcPr>
            <w:tcW w:w="429" w:type="dxa"/>
          </w:tcPr>
          <w:p>
            <w:pPr/>
          </w:p>
        </w:tc>
        <w:tc>
          <w:tcPr>
            <w:tcW w:w="4459" w:type="dxa"/>
          </w:tcPr>
          <w:p>
            <w:pPr>
              <w:pStyle w:val="TableParagraph"/>
              <w:tabs>
                <w:tab w:pos="1037" w:val="left" w:leader="none"/>
                <w:tab w:pos="2226" w:val="left" w:leader="none"/>
                <w:tab w:pos="2898" w:val="left" w:leader="none"/>
              </w:tabs>
              <w:spacing w:before="5"/>
              <w:ind w:left="213" w:right="1239"/>
              <w:jc w:val="left"/>
              <w:rPr>
                <w:sz w:val="16"/>
              </w:rPr>
            </w:pPr>
            <w:r>
              <w:rPr>
                <w:sz w:val="16"/>
              </w:rPr>
              <w:t>Actuarial</w:t>
              <w:tab/>
              <w:t>losses/(gains)</w:t>
              <w:tab/>
              <w:t>arising</w:t>
              <w:tab/>
            </w:r>
            <w:r>
              <w:rPr>
                <w:w w:val="95"/>
                <w:sz w:val="16"/>
              </w:rPr>
              <w:t>from </w:t>
            </w:r>
            <w:r>
              <w:rPr>
                <w:sz w:val="16"/>
              </w:rPr>
              <w:t>changes in financial</w:t>
            </w:r>
            <w:r>
              <w:rPr>
                <w:spacing w:val="-6"/>
                <w:sz w:val="16"/>
              </w:rPr>
              <w:t> </w:t>
            </w:r>
            <w:r>
              <w:rPr>
                <w:sz w:val="16"/>
              </w:rPr>
              <w:t>assumptions</w:t>
            </w:r>
          </w:p>
        </w:tc>
        <w:tc>
          <w:tcPr>
            <w:tcW w:w="1316" w:type="dxa"/>
          </w:tcPr>
          <w:p>
            <w:pPr>
              <w:pStyle w:val="TableParagraph"/>
              <w:spacing w:before="3"/>
              <w:jc w:val="left"/>
              <w:rPr>
                <w:rFonts w:ascii="Times New Roman"/>
                <w:sz w:val="16"/>
              </w:rPr>
            </w:pPr>
          </w:p>
          <w:p>
            <w:pPr>
              <w:pStyle w:val="TableParagraph"/>
              <w:ind w:right="228"/>
              <w:rPr>
                <w:sz w:val="16"/>
              </w:rPr>
            </w:pPr>
            <w:r>
              <w:rPr>
                <w:w w:val="95"/>
                <w:sz w:val="16"/>
              </w:rPr>
              <w:t>170</w:t>
            </w:r>
          </w:p>
        </w:tc>
        <w:tc>
          <w:tcPr>
            <w:tcW w:w="1208" w:type="dxa"/>
          </w:tcPr>
          <w:p>
            <w:pPr>
              <w:pStyle w:val="TableParagraph"/>
              <w:spacing w:before="3"/>
              <w:jc w:val="left"/>
              <w:rPr>
                <w:rFonts w:ascii="Times New Roman"/>
                <w:sz w:val="16"/>
              </w:rPr>
            </w:pPr>
          </w:p>
          <w:p>
            <w:pPr>
              <w:pStyle w:val="TableParagraph"/>
              <w:ind w:right="268"/>
              <w:rPr>
                <w:sz w:val="16"/>
              </w:rPr>
            </w:pPr>
            <w:r>
              <w:rPr>
                <w:w w:val="95"/>
                <w:sz w:val="16"/>
              </w:rPr>
              <w:t>42</w:t>
            </w:r>
          </w:p>
        </w:tc>
        <w:tc>
          <w:tcPr>
            <w:tcW w:w="1168" w:type="dxa"/>
          </w:tcPr>
          <w:p>
            <w:pPr>
              <w:pStyle w:val="TableParagraph"/>
              <w:spacing w:before="3"/>
              <w:jc w:val="left"/>
              <w:rPr>
                <w:rFonts w:ascii="Times New Roman"/>
                <w:sz w:val="16"/>
              </w:rPr>
            </w:pPr>
          </w:p>
          <w:p>
            <w:pPr>
              <w:pStyle w:val="TableParagraph"/>
              <w:ind w:right="268"/>
              <w:rPr>
                <w:sz w:val="16"/>
              </w:rPr>
            </w:pPr>
            <w:r>
              <w:rPr>
                <w:w w:val="95"/>
                <w:sz w:val="16"/>
              </w:rPr>
              <w:t>1,350</w:t>
            </w:r>
          </w:p>
        </w:tc>
        <w:tc>
          <w:tcPr>
            <w:tcW w:w="979" w:type="dxa"/>
          </w:tcPr>
          <w:p>
            <w:pPr>
              <w:pStyle w:val="TableParagraph"/>
              <w:spacing w:before="3"/>
              <w:jc w:val="left"/>
              <w:rPr>
                <w:rFonts w:ascii="Times New Roman"/>
                <w:sz w:val="16"/>
              </w:rPr>
            </w:pPr>
          </w:p>
          <w:p>
            <w:pPr>
              <w:pStyle w:val="TableParagraph"/>
              <w:ind w:right="79"/>
              <w:rPr>
                <w:sz w:val="16"/>
              </w:rPr>
            </w:pPr>
            <w:r>
              <w:rPr>
                <w:w w:val="95"/>
                <w:sz w:val="16"/>
              </w:rPr>
              <w:t>1,562</w:t>
            </w:r>
          </w:p>
        </w:tc>
      </w:tr>
      <w:tr>
        <w:trPr>
          <w:trHeight w:val="241" w:hRule="exact"/>
        </w:trPr>
        <w:tc>
          <w:tcPr>
            <w:tcW w:w="429" w:type="dxa"/>
          </w:tcPr>
          <w:p>
            <w:pPr/>
          </w:p>
        </w:tc>
        <w:tc>
          <w:tcPr>
            <w:tcW w:w="4459" w:type="dxa"/>
          </w:tcPr>
          <w:p>
            <w:pPr>
              <w:pStyle w:val="TableParagraph"/>
              <w:spacing w:before="20"/>
              <w:ind w:left="213"/>
              <w:jc w:val="left"/>
              <w:rPr>
                <w:sz w:val="16"/>
              </w:rPr>
            </w:pPr>
            <w:r>
              <w:rPr>
                <w:sz w:val="16"/>
              </w:rPr>
              <w:t>Experience (gains)/losses</w:t>
            </w:r>
          </w:p>
        </w:tc>
        <w:tc>
          <w:tcPr>
            <w:tcW w:w="1316" w:type="dxa"/>
            <w:tcBorders>
              <w:bottom w:val="single" w:sz="0" w:space="0" w:color="000000"/>
            </w:tcBorders>
          </w:tcPr>
          <w:p>
            <w:pPr>
              <w:pStyle w:val="TableParagraph"/>
              <w:spacing w:before="19"/>
              <w:ind w:right="228"/>
              <w:rPr>
                <w:sz w:val="16"/>
              </w:rPr>
            </w:pPr>
            <w:r>
              <w:rPr>
                <w:w w:val="95"/>
                <w:sz w:val="16"/>
              </w:rPr>
              <w:t>100</w:t>
            </w:r>
          </w:p>
        </w:tc>
        <w:tc>
          <w:tcPr>
            <w:tcW w:w="1208" w:type="dxa"/>
            <w:tcBorders>
              <w:bottom w:val="single" w:sz="0" w:space="0" w:color="000000"/>
            </w:tcBorders>
          </w:tcPr>
          <w:p>
            <w:pPr>
              <w:pStyle w:val="TableParagraph"/>
              <w:spacing w:before="19"/>
              <w:ind w:right="268"/>
              <w:rPr>
                <w:sz w:val="16"/>
              </w:rPr>
            </w:pPr>
            <w:r>
              <w:rPr>
                <w:w w:val="95"/>
                <w:sz w:val="16"/>
              </w:rPr>
              <w:t>318</w:t>
            </w:r>
          </w:p>
        </w:tc>
        <w:tc>
          <w:tcPr>
            <w:tcW w:w="1168" w:type="dxa"/>
            <w:tcBorders>
              <w:bottom w:val="single" w:sz="0" w:space="0" w:color="000000"/>
            </w:tcBorders>
          </w:tcPr>
          <w:p>
            <w:pPr>
              <w:pStyle w:val="TableParagraph"/>
              <w:spacing w:before="19"/>
              <w:ind w:right="215"/>
              <w:rPr>
                <w:sz w:val="16"/>
              </w:rPr>
            </w:pPr>
            <w:r>
              <w:rPr>
                <w:w w:val="95"/>
                <w:sz w:val="16"/>
              </w:rPr>
              <w:t>(12,665)</w:t>
            </w:r>
          </w:p>
        </w:tc>
        <w:tc>
          <w:tcPr>
            <w:tcW w:w="979" w:type="dxa"/>
            <w:tcBorders>
              <w:bottom w:val="single" w:sz="0" w:space="0" w:color="000000"/>
            </w:tcBorders>
          </w:tcPr>
          <w:p>
            <w:pPr>
              <w:pStyle w:val="TableParagraph"/>
              <w:spacing w:before="19"/>
              <w:ind w:right="26"/>
              <w:rPr>
                <w:sz w:val="16"/>
              </w:rPr>
            </w:pPr>
            <w:r>
              <w:rPr>
                <w:w w:val="95"/>
                <w:sz w:val="16"/>
              </w:rPr>
              <w:t>(12,247)</w:t>
            </w:r>
          </w:p>
        </w:tc>
      </w:tr>
      <w:tr>
        <w:trPr>
          <w:trHeight w:val="316" w:hRule="exact"/>
        </w:trPr>
        <w:tc>
          <w:tcPr>
            <w:tcW w:w="429" w:type="dxa"/>
          </w:tcPr>
          <w:p>
            <w:pPr/>
          </w:p>
        </w:tc>
        <w:tc>
          <w:tcPr>
            <w:tcW w:w="4459" w:type="dxa"/>
          </w:tcPr>
          <w:p>
            <w:pPr/>
          </w:p>
        </w:tc>
        <w:tc>
          <w:tcPr>
            <w:tcW w:w="1316" w:type="dxa"/>
            <w:tcBorders>
              <w:top w:val="single" w:sz="0" w:space="0" w:color="000000"/>
              <w:bottom w:val="single" w:sz="0" w:space="0" w:color="000000"/>
            </w:tcBorders>
          </w:tcPr>
          <w:p>
            <w:pPr>
              <w:pStyle w:val="TableParagraph"/>
              <w:spacing w:before="122"/>
              <w:ind w:right="228"/>
              <w:rPr>
                <w:b/>
                <w:sz w:val="16"/>
              </w:rPr>
            </w:pPr>
            <w:r>
              <w:rPr>
                <w:b/>
                <w:sz w:val="16"/>
              </w:rPr>
              <w:t>270</w:t>
            </w:r>
          </w:p>
        </w:tc>
        <w:tc>
          <w:tcPr>
            <w:tcW w:w="1208" w:type="dxa"/>
            <w:tcBorders>
              <w:top w:val="single" w:sz="0" w:space="0" w:color="000000"/>
              <w:bottom w:val="single" w:sz="0" w:space="0" w:color="000000"/>
            </w:tcBorders>
          </w:tcPr>
          <w:p>
            <w:pPr>
              <w:pStyle w:val="TableParagraph"/>
              <w:spacing w:before="122"/>
              <w:ind w:right="268"/>
              <w:rPr>
                <w:b/>
                <w:sz w:val="16"/>
              </w:rPr>
            </w:pPr>
            <w:r>
              <w:rPr>
                <w:b/>
                <w:sz w:val="16"/>
              </w:rPr>
              <w:t>360</w:t>
            </w:r>
          </w:p>
        </w:tc>
        <w:tc>
          <w:tcPr>
            <w:tcW w:w="1168" w:type="dxa"/>
            <w:tcBorders>
              <w:top w:val="single" w:sz="0" w:space="0" w:color="000000"/>
              <w:bottom w:val="single" w:sz="0" w:space="0" w:color="000000"/>
            </w:tcBorders>
          </w:tcPr>
          <w:p>
            <w:pPr>
              <w:pStyle w:val="TableParagraph"/>
              <w:spacing w:before="122"/>
              <w:ind w:right="215"/>
              <w:rPr>
                <w:b/>
                <w:sz w:val="16"/>
              </w:rPr>
            </w:pPr>
            <w:r>
              <w:rPr>
                <w:b/>
                <w:sz w:val="16"/>
              </w:rPr>
              <w:t>(11,315)</w:t>
            </w:r>
          </w:p>
        </w:tc>
        <w:tc>
          <w:tcPr>
            <w:tcW w:w="979" w:type="dxa"/>
            <w:tcBorders>
              <w:top w:val="single" w:sz="0" w:space="0" w:color="000000"/>
              <w:bottom w:val="single" w:sz="0" w:space="0" w:color="000000"/>
            </w:tcBorders>
          </w:tcPr>
          <w:p>
            <w:pPr>
              <w:pStyle w:val="TableParagraph"/>
              <w:spacing w:before="122"/>
              <w:ind w:right="26"/>
              <w:rPr>
                <w:b/>
                <w:sz w:val="16"/>
              </w:rPr>
            </w:pPr>
            <w:r>
              <w:rPr>
                <w:b/>
                <w:sz w:val="16"/>
              </w:rPr>
              <w:t>(10,685)</w:t>
            </w:r>
          </w:p>
        </w:tc>
      </w:tr>
      <w:tr>
        <w:trPr>
          <w:trHeight w:val="330" w:hRule="exact"/>
        </w:trPr>
        <w:tc>
          <w:tcPr>
            <w:tcW w:w="429" w:type="dxa"/>
          </w:tcPr>
          <w:p>
            <w:pPr/>
          </w:p>
        </w:tc>
        <w:tc>
          <w:tcPr>
            <w:tcW w:w="4459" w:type="dxa"/>
          </w:tcPr>
          <w:p>
            <w:pPr>
              <w:pStyle w:val="TableParagraph"/>
              <w:spacing w:before="123"/>
              <w:ind w:left="213"/>
              <w:jc w:val="left"/>
              <w:rPr>
                <w:b/>
                <w:sz w:val="16"/>
              </w:rPr>
            </w:pPr>
            <w:r>
              <w:rPr>
                <w:b/>
                <w:sz w:val="16"/>
              </w:rPr>
              <w:t>Contributions</w:t>
            </w:r>
          </w:p>
        </w:tc>
        <w:tc>
          <w:tcPr>
            <w:tcW w:w="1316" w:type="dxa"/>
            <w:tcBorders>
              <w:top w:val="single" w:sz="0" w:space="0" w:color="000000"/>
            </w:tcBorders>
          </w:tcPr>
          <w:p>
            <w:pPr/>
          </w:p>
        </w:tc>
        <w:tc>
          <w:tcPr>
            <w:tcW w:w="1208" w:type="dxa"/>
            <w:tcBorders>
              <w:top w:val="single" w:sz="0" w:space="0" w:color="000000"/>
            </w:tcBorders>
          </w:tcPr>
          <w:p>
            <w:pPr/>
          </w:p>
        </w:tc>
        <w:tc>
          <w:tcPr>
            <w:tcW w:w="1168" w:type="dxa"/>
            <w:tcBorders>
              <w:top w:val="single" w:sz="0" w:space="0" w:color="000000"/>
            </w:tcBorders>
          </w:tcPr>
          <w:p>
            <w:pPr/>
          </w:p>
        </w:tc>
        <w:tc>
          <w:tcPr>
            <w:tcW w:w="979" w:type="dxa"/>
            <w:tcBorders>
              <w:top w:val="single" w:sz="0" w:space="0" w:color="000000"/>
            </w:tcBorders>
          </w:tcPr>
          <w:p>
            <w:pPr/>
          </w:p>
        </w:tc>
      </w:tr>
      <w:tr>
        <w:trPr>
          <w:trHeight w:val="269" w:hRule="exact"/>
        </w:trPr>
        <w:tc>
          <w:tcPr>
            <w:tcW w:w="429" w:type="dxa"/>
          </w:tcPr>
          <w:p>
            <w:pPr/>
          </w:p>
        </w:tc>
        <w:tc>
          <w:tcPr>
            <w:tcW w:w="4459" w:type="dxa"/>
          </w:tcPr>
          <w:p>
            <w:pPr>
              <w:pStyle w:val="TableParagraph"/>
              <w:spacing w:before="7"/>
              <w:ind w:left="213"/>
              <w:jc w:val="left"/>
              <w:rPr>
                <w:sz w:val="16"/>
              </w:rPr>
            </w:pPr>
            <w:r>
              <w:rPr>
                <w:sz w:val="16"/>
              </w:rPr>
              <w:t>Plan participants</w:t>
            </w:r>
          </w:p>
        </w:tc>
        <w:tc>
          <w:tcPr>
            <w:tcW w:w="1316" w:type="dxa"/>
          </w:tcPr>
          <w:p>
            <w:pPr>
              <w:pStyle w:val="TableParagraph"/>
              <w:spacing w:before="5"/>
              <w:ind w:right="228"/>
              <w:rPr>
                <w:sz w:val="16"/>
              </w:rPr>
            </w:pPr>
            <w:r>
              <w:rPr>
                <w:sz w:val="16"/>
              </w:rPr>
              <w:t>571</w:t>
            </w:r>
          </w:p>
        </w:tc>
        <w:tc>
          <w:tcPr>
            <w:tcW w:w="1208" w:type="dxa"/>
          </w:tcPr>
          <w:p>
            <w:pPr>
              <w:pStyle w:val="TableParagraph"/>
              <w:spacing w:before="5"/>
              <w:ind w:right="267"/>
              <w:rPr>
                <w:sz w:val="16"/>
              </w:rPr>
            </w:pPr>
            <w:r>
              <w:rPr>
                <w:w w:val="99"/>
                <w:sz w:val="16"/>
              </w:rPr>
              <w:t>-</w:t>
            </w:r>
          </w:p>
        </w:tc>
        <w:tc>
          <w:tcPr>
            <w:tcW w:w="1168" w:type="dxa"/>
          </w:tcPr>
          <w:p>
            <w:pPr>
              <w:pStyle w:val="TableParagraph"/>
              <w:spacing w:before="5"/>
              <w:ind w:right="268"/>
              <w:rPr>
                <w:sz w:val="16"/>
              </w:rPr>
            </w:pPr>
            <w:r>
              <w:rPr>
                <w:w w:val="95"/>
                <w:sz w:val="16"/>
              </w:rPr>
              <w:t>178</w:t>
            </w:r>
          </w:p>
        </w:tc>
        <w:tc>
          <w:tcPr>
            <w:tcW w:w="979" w:type="dxa"/>
          </w:tcPr>
          <w:p>
            <w:pPr>
              <w:pStyle w:val="TableParagraph"/>
              <w:spacing w:before="5"/>
              <w:ind w:right="79"/>
              <w:rPr>
                <w:sz w:val="16"/>
              </w:rPr>
            </w:pPr>
            <w:r>
              <w:rPr>
                <w:w w:val="95"/>
                <w:sz w:val="16"/>
              </w:rPr>
              <w:t>749</w:t>
            </w:r>
          </w:p>
        </w:tc>
      </w:tr>
      <w:tr>
        <w:trPr>
          <w:trHeight w:val="268" w:hRule="exact"/>
        </w:trPr>
        <w:tc>
          <w:tcPr>
            <w:tcW w:w="429" w:type="dxa"/>
          </w:tcPr>
          <w:p>
            <w:pPr/>
          </w:p>
        </w:tc>
        <w:tc>
          <w:tcPr>
            <w:tcW w:w="4459" w:type="dxa"/>
          </w:tcPr>
          <w:p>
            <w:pPr>
              <w:pStyle w:val="TableParagraph"/>
              <w:spacing w:before="61"/>
              <w:ind w:left="213"/>
              <w:jc w:val="left"/>
              <w:rPr>
                <w:b/>
                <w:sz w:val="16"/>
              </w:rPr>
            </w:pPr>
            <w:r>
              <w:rPr>
                <w:b/>
                <w:sz w:val="16"/>
              </w:rPr>
              <w:t>Payments from plan</w:t>
            </w:r>
          </w:p>
        </w:tc>
        <w:tc>
          <w:tcPr>
            <w:tcW w:w="1316" w:type="dxa"/>
          </w:tcPr>
          <w:p>
            <w:pPr/>
          </w:p>
        </w:tc>
        <w:tc>
          <w:tcPr>
            <w:tcW w:w="1208" w:type="dxa"/>
          </w:tcPr>
          <w:p>
            <w:pPr/>
          </w:p>
        </w:tc>
        <w:tc>
          <w:tcPr>
            <w:tcW w:w="1168" w:type="dxa"/>
          </w:tcPr>
          <w:p>
            <w:pPr/>
          </w:p>
        </w:tc>
        <w:tc>
          <w:tcPr>
            <w:tcW w:w="979" w:type="dxa"/>
          </w:tcPr>
          <w:p>
            <w:pPr/>
          </w:p>
        </w:tc>
      </w:tr>
      <w:tr>
        <w:trPr>
          <w:trHeight w:val="227" w:hRule="exact"/>
        </w:trPr>
        <w:tc>
          <w:tcPr>
            <w:tcW w:w="429" w:type="dxa"/>
          </w:tcPr>
          <w:p>
            <w:pPr/>
          </w:p>
        </w:tc>
        <w:tc>
          <w:tcPr>
            <w:tcW w:w="4459" w:type="dxa"/>
          </w:tcPr>
          <w:p>
            <w:pPr>
              <w:pStyle w:val="TableParagraph"/>
              <w:spacing w:before="7"/>
              <w:ind w:left="213"/>
              <w:jc w:val="left"/>
              <w:rPr>
                <w:sz w:val="16"/>
              </w:rPr>
            </w:pPr>
            <w:r>
              <w:rPr>
                <w:sz w:val="16"/>
              </w:rPr>
              <w:t>Benefits paid</w:t>
            </w:r>
          </w:p>
        </w:tc>
        <w:tc>
          <w:tcPr>
            <w:tcW w:w="1316" w:type="dxa"/>
          </w:tcPr>
          <w:p>
            <w:pPr>
              <w:pStyle w:val="TableParagraph"/>
              <w:spacing w:before="5"/>
              <w:ind w:right="174"/>
              <w:rPr>
                <w:sz w:val="16"/>
              </w:rPr>
            </w:pPr>
            <w:r>
              <w:rPr>
                <w:sz w:val="16"/>
              </w:rPr>
              <w:t>(8,008)</w:t>
            </w:r>
          </w:p>
        </w:tc>
        <w:tc>
          <w:tcPr>
            <w:tcW w:w="1208" w:type="dxa"/>
          </w:tcPr>
          <w:p>
            <w:pPr>
              <w:pStyle w:val="TableParagraph"/>
              <w:spacing w:before="5"/>
              <w:ind w:right="215"/>
              <w:rPr>
                <w:sz w:val="16"/>
              </w:rPr>
            </w:pPr>
            <w:r>
              <w:rPr>
                <w:sz w:val="16"/>
              </w:rPr>
              <w:t>(1,609)</w:t>
            </w:r>
          </w:p>
        </w:tc>
        <w:tc>
          <w:tcPr>
            <w:tcW w:w="1168" w:type="dxa"/>
          </w:tcPr>
          <w:p>
            <w:pPr>
              <w:pStyle w:val="TableParagraph"/>
              <w:spacing w:before="5"/>
              <w:ind w:right="215"/>
              <w:rPr>
                <w:sz w:val="16"/>
              </w:rPr>
            </w:pPr>
            <w:r>
              <w:rPr>
                <w:sz w:val="16"/>
              </w:rPr>
              <w:t>(16,157)</w:t>
            </w:r>
          </w:p>
        </w:tc>
        <w:tc>
          <w:tcPr>
            <w:tcW w:w="979" w:type="dxa"/>
          </w:tcPr>
          <w:p>
            <w:pPr>
              <w:pStyle w:val="TableParagraph"/>
              <w:spacing w:before="5"/>
              <w:ind w:right="26"/>
              <w:rPr>
                <w:sz w:val="16"/>
              </w:rPr>
            </w:pPr>
            <w:r>
              <w:rPr>
                <w:sz w:val="16"/>
              </w:rPr>
              <w:t>(25,774)</w:t>
            </w:r>
          </w:p>
        </w:tc>
      </w:tr>
      <w:tr>
        <w:trPr>
          <w:trHeight w:val="241" w:hRule="exact"/>
        </w:trPr>
        <w:tc>
          <w:tcPr>
            <w:tcW w:w="429" w:type="dxa"/>
          </w:tcPr>
          <w:p>
            <w:pPr/>
          </w:p>
        </w:tc>
        <w:tc>
          <w:tcPr>
            <w:tcW w:w="4459" w:type="dxa"/>
          </w:tcPr>
          <w:p>
            <w:pPr>
              <w:pStyle w:val="TableParagraph"/>
              <w:spacing w:before="20"/>
              <w:ind w:left="213"/>
              <w:jc w:val="left"/>
              <w:rPr>
                <w:sz w:val="16"/>
              </w:rPr>
            </w:pPr>
            <w:r>
              <w:rPr>
                <w:sz w:val="16"/>
              </w:rPr>
              <w:t>Taxes, premiums and expenses paid</w:t>
            </w:r>
          </w:p>
        </w:tc>
        <w:tc>
          <w:tcPr>
            <w:tcW w:w="1316" w:type="dxa"/>
            <w:tcBorders>
              <w:bottom w:val="single" w:sz="0" w:space="0" w:color="000000"/>
            </w:tcBorders>
          </w:tcPr>
          <w:p>
            <w:pPr>
              <w:pStyle w:val="TableParagraph"/>
              <w:spacing w:before="19"/>
              <w:ind w:right="174"/>
              <w:rPr>
                <w:sz w:val="16"/>
              </w:rPr>
            </w:pPr>
            <w:r>
              <w:rPr>
                <w:sz w:val="16"/>
              </w:rPr>
              <w:t>(118)</w:t>
            </w:r>
          </w:p>
        </w:tc>
        <w:tc>
          <w:tcPr>
            <w:tcW w:w="1208" w:type="dxa"/>
            <w:tcBorders>
              <w:bottom w:val="single" w:sz="0" w:space="0" w:color="000000"/>
            </w:tcBorders>
          </w:tcPr>
          <w:p>
            <w:pPr>
              <w:pStyle w:val="TableParagraph"/>
              <w:spacing w:before="19"/>
              <w:ind w:right="215"/>
              <w:rPr>
                <w:sz w:val="16"/>
              </w:rPr>
            </w:pPr>
            <w:r>
              <w:rPr>
                <w:sz w:val="16"/>
              </w:rPr>
              <w:t>(58)</w:t>
            </w:r>
          </w:p>
        </w:tc>
        <w:tc>
          <w:tcPr>
            <w:tcW w:w="1168" w:type="dxa"/>
            <w:tcBorders>
              <w:bottom w:val="single" w:sz="0" w:space="0" w:color="000000"/>
            </w:tcBorders>
          </w:tcPr>
          <w:p>
            <w:pPr>
              <w:pStyle w:val="TableParagraph"/>
              <w:spacing w:before="19"/>
              <w:ind w:right="268"/>
              <w:rPr>
                <w:sz w:val="16"/>
              </w:rPr>
            </w:pPr>
            <w:r>
              <w:rPr>
                <w:w w:val="95"/>
                <w:sz w:val="16"/>
              </w:rPr>
              <w:t>2,217</w:t>
            </w:r>
          </w:p>
        </w:tc>
        <w:tc>
          <w:tcPr>
            <w:tcW w:w="979" w:type="dxa"/>
            <w:tcBorders>
              <w:bottom w:val="single" w:sz="0" w:space="0" w:color="000000"/>
            </w:tcBorders>
          </w:tcPr>
          <w:p>
            <w:pPr>
              <w:pStyle w:val="TableParagraph"/>
              <w:spacing w:before="19"/>
              <w:ind w:right="79"/>
              <w:rPr>
                <w:sz w:val="16"/>
              </w:rPr>
            </w:pPr>
            <w:r>
              <w:rPr>
                <w:w w:val="95"/>
                <w:sz w:val="16"/>
              </w:rPr>
              <w:t>2,041</w:t>
            </w:r>
          </w:p>
        </w:tc>
      </w:tr>
      <w:tr>
        <w:trPr>
          <w:trHeight w:val="316" w:hRule="exact"/>
        </w:trPr>
        <w:tc>
          <w:tcPr>
            <w:tcW w:w="429" w:type="dxa"/>
          </w:tcPr>
          <w:p>
            <w:pPr/>
          </w:p>
        </w:tc>
        <w:tc>
          <w:tcPr>
            <w:tcW w:w="4459" w:type="dxa"/>
          </w:tcPr>
          <w:p>
            <w:pPr/>
          </w:p>
        </w:tc>
        <w:tc>
          <w:tcPr>
            <w:tcW w:w="1316" w:type="dxa"/>
            <w:tcBorders>
              <w:top w:val="single" w:sz="0" w:space="0" w:color="000000"/>
              <w:bottom w:val="single" w:sz="0" w:space="0" w:color="000000"/>
            </w:tcBorders>
          </w:tcPr>
          <w:p>
            <w:pPr>
              <w:pStyle w:val="TableParagraph"/>
              <w:spacing w:before="122"/>
              <w:ind w:right="174"/>
              <w:rPr>
                <w:b/>
                <w:sz w:val="16"/>
              </w:rPr>
            </w:pPr>
            <w:r>
              <w:rPr>
                <w:b/>
                <w:sz w:val="16"/>
              </w:rPr>
              <w:t>(8,126)</w:t>
            </w:r>
          </w:p>
        </w:tc>
        <w:tc>
          <w:tcPr>
            <w:tcW w:w="1208" w:type="dxa"/>
            <w:tcBorders>
              <w:top w:val="single" w:sz="0" w:space="0" w:color="000000"/>
              <w:bottom w:val="single" w:sz="0" w:space="0" w:color="000000"/>
            </w:tcBorders>
          </w:tcPr>
          <w:p>
            <w:pPr>
              <w:pStyle w:val="TableParagraph"/>
              <w:spacing w:before="122"/>
              <w:ind w:right="215"/>
              <w:rPr>
                <w:b/>
                <w:sz w:val="16"/>
              </w:rPr>
            </w:pPr>
            <w:r>
              <w:rPr>
                <w:b/>
                <w:sz w:val="16"/>
              </w:rPr>
              <w:t>(1,667)</w:t>
            </w:r>
          </w:p>
        </w:tc>
        <w:tc>
          <w:tcPr>
            <w:tcW w:w="1168" w:type="dxa"/>
            <w:tcBorders>
              <w:top w:val="single" w:sz="0" w:space="0" w:color="000000"/>
              <w:bottom w:val="single" w:sz="0" w:space="0" w:color="000000"/>
            </w:tcBorders>
          </w:tcPr>
          <w:p>
            <w:pPr>
              <w:pStyle w:val="TableParagraph"/>
              <w:spacing w:before="122"/>
              <w:ind w:right="215"/>
              <w:rPr>
                <w:b/>
                <w:sz w:val="16"/>
              </w:rPr>
            </w:pPr>
            <w:r>
              <w:rPr>
                <w:b/>
                <w:sz w:val="16"/>
              </w:rPr>
              <w:t>(13,940)</w:t>
            </w:r>
          </w:p>
        </w:tc>
        <w:tc>
          <w:tcPr>
            <w:tcW w:w="979" w:type="dxa"/>
            <w:tcBorders>
              <w:top w:val="single" w:sz="0" w:space="0" w:color="000000"/>
              <w:bottom w:val="single" w:sz="0" w:space="0" w:color="000000"/>
            </w:tcBorders>
          </w:tcPr>
          <w:p>
            <w:pPr>
              <w:pStyle w:val="TableParagraph"/>
              <w:spacing w:before="122"/>
              <w:ind w:right="26"/>
              <w:rPr>
                <w:b/>
                <w:sz w:val="16"/>
              </w:rPr>
            </w:pPr>
            <w:r>
              <w:rPr>
                <w:b/>
                <w:sz w:val="16"/>
              </w:rPr>
              <w:t>(23,733)</w:t>
            </w:r>
          </w:p>
        </w:tc>
      </w:tr>
      <w:tr>
        <w:trPr>
          <w:trHeight w:val="331" w:hRule="exact"/>
        </w:trPr>
        <w:tc>
          <w:tcPr>
            <w:tcW w:w="429" w:type="dxa"/>
          </w:tcPr>
          <w:p>
            <w:pPr/>
          </w:p>
        </w:tc>
        <w:tc>
          <w:tcPr>
            <w:tcW w:w="4459" w:type="dxa"/>
          </w:tcPr>
          <w:p>
            <w:pPr>
              <w:pStyle w:val="TableParagraph"/>
              <w:spacing w:before="123"/>
              <w:ind w:left="213"/>
              <w:jc w:val="left"/>
              <w:rPr>
                <w:b/>
                <w:sz w:val="16"/>
              </w:rPr>
            </w:pPr>
            <w:r>
              <w:rPr>
                <w:b/>
                <w:sz w:val="16"/>
              </w:rPr>
              <w:t>Closing defined benefit obligation</w:t>
            </w:r>
          </w:p>
        </w:tc>
        <w:tc>
          <w:tcPr>
            <w:tcW w:w="1316" w:type="dxa"/>
            <w:tcBorders>
              <w:top w:val="single" w:sz="0" w:space="0" w:color="000000"/>
              <w:bottom w:val="single" w:sz="0" w:space="0" w:color="000000"/>
            </w:tcBorders>
          </w:tcPr>
          <w:p>
            <w:pPr>
              <w:pStyle w:val="TableParagraph"/>
              <w:spacing w:before="122"/>
              <w:ind w:right="228"/>
              <w:rPr>
                <w:b/>
                <w:sz w:val="16"/>
              </w:rPr>
            </w:pPr>
            <w:r>
              <w:rPr>
                <w:b/>
                <w:w w:val="95"/>
                <w:sz w:val="16"/>
              </w:rPr>
              <w:t>38,794</w:t>
            </w:r>
          </w:p>
        </w:tc>
        <w:tc>
          <w:tcPr>
            <w:tcW w:w="1208" w:type="dxa"/>
            <w:tcBorders>
              <w:top w:val="single" w:sz="0" w:space="0" w:color="000000"/>
              <w:bottom w:val="single" w:sz="0" w:space="0" w:color="000000"/>
            </w:tcBorders>
          </w:tcPr>
          <w:p>
            <w:pPr>
              <w:pStyle w:val="TableParagraph"/>
              <w:spacing w:before="122"/>
              <w:ind w:right="268"/>
              <w:rPr>
                <w:b/>
                <w:sz w:val="16"/>
              </w:rPr>
            </w:pPr>
            <w:r>
              <w:rPr>
                <w:b/>
                <w:w w:val="95"/>
                <w:sz w:val="16"/>
              </w:rPr>
              <w:t>6,058</w:t>
            </w:r>
          </w:p>
        </w:tc>
        <w:tc>
          <w:tcPr>
            <w:tcW w:w="1168" w:type="dxa"/>
            <w:tcBorders>
              <w:top w:val="single" w:sz="0" w:space="0" w:color="000000"/>
              <w:bottom w:val="single" w:sz="0" w:space="0" w:color="000000"/>
            </w:tcBorders>
          </w:tcPr>
          <w:p>
            <w:pPr>
              <w:pStyle w:val="TableParagraph"/>
              <w:spacing w:before="122"/>
              <w:ind w:right="268"/>
              <w:rPr>
                <w:b/>
                <w:sz w:val="16"/>
              </w:rPr>
            </w:pPr>
            <w:r>
              <w:rPr>
                <w:b/>
                <w:w w:val="95"/>
                <w:sz w:val="16"/>
              </w:rPr>
              <w:t>409,418</w:t>
            </w:r>
          </w:p>
        </w:tc>
        <w:tc>
          <w:tcPr>
            <w:tcW w:w="979" w:type="dxa"/>
            <w:tcBorders>
              <w:top w:val="single" w:sz="0" w:space="0" w:color="000000"/>
              <w:bottom w:val="single" w:sz="0" w:space="0" w:color="000000"/>
            </w:tcBorders>
          </w:tcPr>
          <w:p>
            <w:pPr>
              <w:pStyle w:val="TableParagraph"/>
              <w:spacing w:before="122"/>
              <w:ind w:right="79"/>
              <w:rPr>
                <w:b/>
                <w:sz w:val="16"/>
              </w:rPr>
            </w:pPr>
            <w:r>
              <w:rPr>
                <w:b/>
                <w:w w:val="95"/>
                <w:sz w:val="16"/>
              </w:rPr>
              <w:t>454,270</w:t>
            </w:r>
          </w:p>
        </w:tc>
      </w:tr>
    </w:tbl>
    <w:p>
      <w:pPr>
        <w:pStyle w:val="BodyText"/>
        <w:rPr>
          <w:rFonts w:ascii="Times New Roman"/>
          <w:sz w:val="20"/>
        </w:rPr>
      </w:pPr>
    </w:p>
    <w:p>
      <w:pPr>
        <w:pStyle w:val="BodyText"/>
        <w:spacing w:before="1"/>
        <w:rPr>
          <w:rFonts w:ascii="Times New Roman"/>
          <w:sz w:val="28"/>
        </w:rPr>
      </w:pPr>
    </w:p>
    <w:tbl>
      <w:tblPr>
        <w:tblW w:w="0" w:type="auto"/>
        <w:jc w:val="left"/>
        <w:tblInd w:w="239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281"/>
        <w:gridCol w:w="1470"/>
        <w:gridCol w:w="1105"/>
        <w:gridCol w:w="1168"/>
        <w:gridCol w:w="927"/>
      </w:tblGrid>
      <w:tr>
        <w:trPr>
          <w:trHeight w:val="513" w:hRule="exact"/>
        </w:trPr>
        <w:tc>
          <w:tcPr>
            <w:tcW w:w="4281" w:type="dxa"/>
          </w:tcPr>
          <w:p>
            <w:pPr>
              <w:pStyle w:val="TableParagraph"/>
              <w:spacing w:before="79"/>
              <w:ind w:left="35" w:right="1046"/>
              <w:jc w:val="left"/>
              <w:rPr>
                <w:b/>
                <w:sz w:val="16"/>
              </w:rPr>
            </w:pPr>
            <w:r>
              <w:rPr>
                <w:b/>
                <w:sz w:val="16"/>
              </w:rPr>
              <w:t>Present value of plan assets - 2016</w:t>
            </w:r>
          </w:p>
          <w:p>
            <w:pPr>
              <w:pStyle w:val="TableParagraph"/>
              <w:spacing w:before="29"/>
              <w:ind w:left="35" w:right="1046"/>
              <w:jc w:val="left"/>
              <w:rPr>
                <w:sz w:val="16"/>
              </w:rPr>
            </w:pPr>
            <w:r>
              <w:rPr>
                <w:sz w:val="16"/>
              </w:rPr>
              <w:t>Opening fair value of plan assets</w:t>
            </w:r>
          </w:p>
        </w:tc>
        <w:tc>
          <w:tcPr>
            <w:tcW w:w="1470" w:type="dxa"/>
          </w:tcPr>
          <w:p>
            <w:pPr>
              <w:pStyle w:val="TableParagraph"/>
              <w:jc w:val="left"/>
              <w:rPr>
                <w:rFonts w:ascii="Times New Roman"/>
                <w:sz w:val="16"/>
              </w:rPr>
            </w:pPr>
          </w:p>
          <w:p>
            <w:pPr>
              <w:pStyle w:val="TableParagraph"/>
              <w:spacing w:before="107"/>
              <w:ind w:right="382"/>
              <w:rPr>
                <w:sz w:val="16"/>
              </w:rPr>
            </w:pPr>
            <w:r>
              <w:rPr>
                <w:w w:val="95"/>
                <w:sz w:val="16"/>
              </w:rPr>
              <w:t>32,661</w:t>
            </w:r>
          </w:p>
        </w:tc>
        <w:tc>
          <w:tcPr>
            <w:tcW w:w="1105" w:type="dxa"/>
          </w:tcPr>
          <w:p>
            <w:pPr>
              <w:pStyle w:val="TableParagraph"/>
              <w:jc w:val="left"/>
              <w:rPr>
                <w:rFonts w:ascii="Times New Roman"/>
                <w:sz w:val="16"/>
              </w:rPr>
            </w:pPr>
          </w:p>
          <w:p>
            <w:pPr>
              <w:pStyle w:val="TableParagraph"/>
              <w:spacing w:before="107"/>
              <w:ind w:right="319"/>
              <w:rPr>
                <w:sz w:val="16"/>
              </w:rPr>
            </w:pPr>
            <w:r>
              <w:rPr>
                <w:w w:val="95"/>
                <w:sz w:val="16"/>
              </w:rPr>
              <w:t>3,510</w:t>
            </w:r>
          </w:p>
        </w:tc>
        <w:tc>
          <w:tcPr>
            <w:tcW w:w="1168" w:type="dxa"/>
          </w:tcPr>
          <w:p>
            <w:pPr>
              <w:pStyle w:val="TableParagraph"/>
              <w:jc w:val="left"/>
              <w:rPr>
                <w:rFonts w:ascii="Times New Roman"/>
                <w:sz w:val="16"/>
              </w:rPr>
            </w:pPr>
          </w:p>
          <w:p>
            <w:pPr>
              <w:pStyle w:val="TableParagraph"/>
              <w:spacing w:before="107"/>
              <w:ind w:right="319"/>
              <w:rPr>
                <w:sz w:val="16"/>
              </w:rPr>
            </w:pPr>
            <w:r>
              <w:rPr>
                <w:w w:val="95"/>
                <w:sz w:val="16"/>
              </w:rPr>
              <w:t>100,679</w:t>
            </w:r>
          </w:p>
        </w:tc>
        <w:tc>
          <w:tcPr>
            <w:tcW w:w="927" w:type="dxa"/>
          </w:tcPr>
          <w:p>
            <w:pPr>
              <w:pStyle w:val="TableParagraph"/>
              <w:jc w:val="left"/>
              <w:rPr>
                <w:rFonts w:ascii="Times New Roman"/>
                <w:sz w:val="16"/>
              </w:rPr>
            </w:pPr>
          </w:p>
          <w:p>
            <w:pPr>
              <w:pStyle w:val="TableParagraph"/>
              <w:spacing w:before="107"/>
              <w:ind w:right="79"/>
              <w:rPr>
                <w:sz w:val="16"/>
              </w:rPr>
            </w:pPr>
            <w:r>
              <w:rPr>
                <w:w w:val="95"/>
                <w:sz w:val="16"/>
              </w:rPr>
              <w:t>136,850</w:t>
            </w:r>
          </w:p>
        </w:tc>
      </w:tr>
      <w:tr>
        <w:trPr>
          <w:trHeight w:val="241" w:hRule="exact"/>
        </w:trPr>
        <w:tc>
          <w:tcPr>
            <w:tcW w:w="4281" w:type="dxa"/>
          </w:tcPr>
          <w:p>
            <w:pPr>
              <w:pStyle w:val="TableParagraph"/>
              <w:spacing w:before="20"/>
              <w:ind w:left="35" w:right="1046"/>
              <w:jc w:val="left"/>
              <w:rPr>
                <w:sz w:val="16"/>
              </w:rPr>
            </w:pPr>
            <w:r>
              <w:rPr>
                <w:sz w:val="16"/>
              </w:rPr>
              <w:t>Interest expense / (income)</w:t>
            </w:r>
          </w:p>
        </w:tc>
        <w:tc>
          <w:tcPr>
            <w:tcW w:w="1470" w:type="dxa"/>
            <w:tcBorders>
              <w:bottom w:val="single" w:sz="0" w:space="0" w:color="000000"/>
            </w:tcBorders>
          </w:tcPr>
          <w:p>
            <w:pPr>
              <w:pStyle w:val="TableParagraph"/>
              <w:spacing w:before="19"/>
              <w:ind w:right="382"/>
              <w:rPr>
                <w:sz w:val="16"/>
              </w:rPr>
            </w:pPr>
            <w:r>
              <w:rPr>
                <w:w w:val="95"/>
                <w:sz w:val="16"/>
              </w:rPr>
              <w:t>892</w:t>
            </w:r>
          </w:p>
        </w:tc>
        <w:tc>
          <w:tcPr>
            <w:tcW w:w="1105" w:type="dxa"/>
            <w:tcBorders>
              <w:bottom w:val="single" w:sz="0" w:space="0" w:color="000000"/>
            </w:tcBorders>
          </w:tcPr>
          <w:p>
            <w:pPr>
              <w:pStyle w:val="TableParagraph"/>
              <w:spacing w:before="19"/>
              <w:ind w:right="319"/>
              <w:rPr>
                <w:sz w:val="16"/>
              </w:rPr>
            </w:pPr>
            <w:r>
              <w:rPr>
                <w:w w:val="95"/>
                <w:sz w:val="16"/>
              </w:rPr>
              <w:t>91</w:t>
            </w:r>
          </w:p>
        </w:tc>
        <w:tc>
          <w:tcPr>
            <w:tcW w:w="1168" w:type="dxa"/>
            <w:tcBorders>
              <w:bottom w:val="single" w:sz="0" w:space="0" w:color="000000"/>
            </w:tcBorders>
          </w:tcPr>
          <w:p>
            <w:pPr>
              <w:pStyle w:val="TableParagraph"/>
              <w:spacing w:before="19"/>
              <w:ind w:right="319"/>
              <w:rPr>
                <w:sz w:val="16"/>
              </w:rPr>
            </w:pPr>
            <w:r>
              <w:rPr>
                <w:w w:val="95"/>
                <w:sz w:val="16"/>
              </w:rPr>
              <w:t>2,670</w:t>
            </w:r>
          </w:p>
        </w:tc>
        <w:tc>
          <w:tcPr>
            <w:tcW w:w="927" w:type="dxa"/>
            <w:tcBorders>
              <w:bottom w:val="single" w:sz="0" w:space="0" w:color="000000"/>
            </w:tcBorders>
          </w:tcPr>
          <w:p>
            <w:pPr>
              <w:pStyle w:val="TableParagraph"/>
              <w:spacing w:before="19"/>
              <w:ind w:right="79"/>
              <w:rPr>
                <w:sz w:val="16"/>
              </w:rPr>
            </w:pPr>
            <w:r>
              <w:rPr>
                <w:w w:val="95"/>
                <w:sz w:val="16"/>
              </w:rPr>
              <w:t>3,653</w:t>
            </w:r>
          </w:p>
        </w:tc>
      </w:tr>
      <w:tr>
        <w:trPr>
          <w:trHeight w:val="316" w:hRule="exact"/>
        </w:trPr>
        <w:tc>
          <w:tcPr>
            <w:tcW w:w="4281" w:type="dxa"/>
          </w:tcPr>
          <w:p>
            <w:pPr/>
          </w:p>
        </w:tc>
        <w:tc>
          <w:tcPr>
            <w:tcW w:w="1470" w:type="dxa"/>
            <w:tcBorders>
              <w:top w:val="single" w:sz="0" w:space="0" w:color="000000"/>
              <w:bottom w:val="single" w:sz="0" w:space="0" w:color="000000"/>
            </w:tcBorders>
          </w:tcPr>
          <w:p>
            <w:pPr>
              <w:pStyle w:val="TableParagraph"/>
              <w:spacing w:before="122"/>
              <w:ind w:right="382"/>
              <w:rPr>
                <w:b/>
                <w:sz w:val="16"/>
              </w:rPr>
            </w:pPr>
            <w:r>
              <w:rPr>
                <w:b/>
                <w:w w:val="95"/>
                <w:sz w:val="16"/>
              </w:rPr>
              <w:t>33,553</w:t>
            </w:r>
          </w:p>
        </w:tc>
        <w:tc>
          <w:tcPr>
            <w:tcW w:w="1105" w:type="dxa"/>
            <w:tcBorders>
              <w:top w:val="single" w:sz="0" w:space="0" w:color="000000"/>
              <w:bottom w:val="single" w:sz="0" w:space="0" w:color="000000"/>
            </w:tcBorders>
          </w:tcPr>
          <w:p>
            <w:pPr>
              <w:pStyle w:val="TableParagraph"/>
              <w:spacing w:before="122"/>
              <w:ind w:right="319"/>
              <w:rPr>
                <w:b/>
                <w:sz w:val="16"/>
              </w:rPr>
            </w:pPr>
            <w:r>
              <w:rPr>
                <w:b/>
                <w:w w:val="95"/>
                <w:sz w:val="16"/>
              </w:rPr>
              <w:t>3,601</w:t>
            </w:r>
          </w:p>
        </w:tc>
        <w:tc>
          <w:tcPr>
            <w:tcW w:w="1168" w:type="dxa"/>
            <w:tcBorders>
              <w:top w:val="single" w:sz="0" w:space="0" w:color="000000"/>
              <w:bottom w:val="single" w:sz="0" w:space="0" w:color="000000"/>
            </w:tcBorders>
          </w:tcPr>
          <w:p>
            <w:pPr>
              <w:pStyle w:val="TableParagraph"/>
              <w:spacing w:before="122"/>
              <w:ind w:right="319"/>
              <w:rPr>
                <w:b/>
                <w:sz w:val="16"/>
              </w:rPr>
            </w:pPr>
            <w:r>
              <w:rPr>
                <w:b/>
                <w:w w:val="95"/>
                <w:sz w:val="16"/>
              </w:rPr>
              <w:t>103,349</w:t>
            </w:r>
          </w:p>
        </w:tc>
        <w:tc>
          <w:tcPr>
            <w:tcW w:w="927" w:type="dxa"/>
            <w:tcBorders>
              <w:top w:val="single" w:sz="0" w:space="0" w:color="000000"/>
              <w:bottom w:val="single" w:sz="0" w:space="0" w:color="000000"/>
            </w:tcBorders>
          </w:tcPr>
          <w:p>
            <w:pPr>
              <w:pStyle w:val="TableParagraph"/>
              <w:spacing w:before="122"/>
              <w:ind w:right="79"/>
              <w:rPr>
                <w:b/>
                <w:sz w:val="16"/>
              </w:rPr>
            </w:pPr>
            <w:r>
              <w:rPr>
                <w:b/>
                <w:w w:val="95"/>
                <w:sz w:val="16"/>
              </w:rPr>
              <w:t>140,503</w:t>
            </w:r>
          </w:p>
        </w:tc>
      </w:tr>
      <w:tr>
        <w:trPr>
          <w:trHeight w:val="329" w:hRule="exact"/>
        </w:trPr>
        <w:tc>
          <w:tcPr>
            <w:tcW w:w="4281" w:type="dxa"/>
          </w:tcPr>
          <w:p>
            <w:pPr>
              <w:pStyle w:val="TableParagraph"/>
              <w:spacing w:before="123"/>
              <w:ind w:left="35" w:right="1046"/>
              <w:jc w:val="left"/>
              <w:rPr>
                <w:b/>
                <w:sz w:val="16"/>
              </w:rPr>
            </w:pPr>
            <w:r>
              <w:rPr>
                <w:b/>
                <w:sz w:val="16"/>
              </w:rPr>
              <w:t>Remeasurements</w:t>
            </w:r>
          </w:p>
        </w:tc>
        <w:tc>
          <w:tcPr>
            <w:tcW w:w="1470" w:type="dxa"/>
            <w:tcBorders>
              <w:top w:val="single" w:sz="0" w:space="0" w:color="000000"/>
            </w:tcBorders>
          </w:tcPr>
          <w:p>
            <w:pPr/>
          </w:p>
        </w:tc>
        <w:tc>
          <w:tcPr>
            <w:tcW w:w="1105" w:type="dxa"/>
            <w:tcBorders>
              <w:top w:val="single" w:sz="0" w:space="0" w:color="000000"/>
            </w:tcBorders>
          </w:tcPr>
          <w:p>
            <w:pPr/>
          </w:p>
        </w:tc>
        <w:tc>
          <w:tcPr>
            <w:tcW w:w="1168" w:type="dxa"/>
            <w:tcBorders>
              <w:top w:val="single" w:sz="0" w:space="0" w:color="000000"/>
            </w:tcBorders>
          </w:tcPr>
          <w:p>
            <w:pPr/>
          </w:p>
        </w:tc>
        <w:tc>
          <w:tcPr>
            <w:tcW w:w="927" w:type="dxa"/>
            <w:tcBorders>
              <w:top w:val="single" w:sz="0" w:space="0" w:color="000000"/>
            </w:tcBorders>
          </w:tcPr>
          <w:p>
            <w:pPr/>
          </w:p>
        </w:tc>
      </w:tr>
      <w:tr>
        <w:trPr>
          <w:trHeight w:val="451" w:hRule="exact"/>
        </w:trPr>
        <w:tc>
          <w:tcPr>
            <w:tcW w:w="4281" w:type="dxa"/>
          </w:tcPr>
          <w:p>
            <w:pPr>
              <w:pStyle w:val="TableParagraph"/>
              <w:spacing w:before="5"/>
              <w:ind w:left="35" w:right="1046"/>
              <w:jc w:val="left"/>
              <w:rPr>
                <w:sz w:val="16"/>
              </w:rPr>
            </w:pPr>
            <w:r>
              <w:rPr>
                <w:sz w:val="16"/>
              </w:rPr>
              <w:t>Return on plan assets, excluding amounts included in net interest expense</w:t>
            </w:r>
          </w:p>
        </w:tc>
        <w:tc>
          <w:tcPr>
            <w:tcW w:w="1470" w:type="dxa"/>
          </w:tcPr>
          <w:p>
            <w:pPr>
              <w:pStyle w:val="TableParagraph"/>
              <w:spacing w:before="3"/>
              <w:jc w:val="left"/>
              <w:rPr>
                <w:rFonts w:ascii="Times New Roman"/>
                <w:sz w:val="16"/>
              </w:rPr>
            </w:pPr>
          </w:p>
          <w:p>
            <w:pPr>
              <w:pStyle w:val="TableParagraph"/>
              <w:ind w:right="382"/>
              <w:rPr>
                <w:sz w:val="16"/>
              </w:rPr>
            </w:pPr>
            <w:r>
              <w:rPr>
                <w:sz w:val="16"/>
              </w:rPr>
              <w:t>642</w:t>
            </w:r>
          </w:p>
        </w:tc>
        <w:tc>
          <w:tcPr>
            <w:tcW w:w="1105" w:type="dxa"/>
          </w:tcPr>
          <w:p>
            <w:pPr>
              <w:pStyle w:val="TableParagraph"/>
              <w:spacing w:before="3"/>
              <w:jc w:val="left"/>
              <w:rPr>
                <w:rFonts w:ascii="Times New Roman"/>
                <w:sz w:val="16"/>
              </w:rPr>
            </w:pPr>
          </w:p>
          <w:p>
            <w:pPr>
              <w:pStyle w:val="TableParagraph"/>
              <w:ind w:right="319"/>
              <w:rPr>
                <w:sz w:val="16"/>
              </w:rPr>
            </w:pPr>
            <w:r>
              <w:rPr>
                <w:sz w:val="16"/>
              </w:rPr>
              <w:t>16</w:t>
            </w:r>
          </w:p>
        </w:tc>
        <w:tc>
          <w:tcPr>
            <w:tcW w:w="1168" w:type="dxa"/>
          </w:tcPr>
          <w:p>
            <w:pPr>
              <w:pStyle w:val="TableParagraph"/>
              <w:spacing w:before="3"/>
              <w:jc w:val="left"/>
              <w:rPr>
                <w:rFonts w:ascii="Times New Roman"/>
                <w:sz w:val="16"/>
              </w:rPr>
            </w:pPr>
          </w:p>
          <w:p>
            <w:pPr>
              <w:pStyle w:val="TableParagraph"/>
              <w:ind w:right="319"/>
              <w:rPr>
                <w:sz w:val="16"/>
              </w:rPr>
            </w:pPr>
            <w:r>
              <w:rPr>
                <w:w w:val="95"/>
                <w:sz w:val="16"/>
              </w:rPr>
              <w:t>1,135</w:t>
            </w:r>
          </w:p>
        </w:tc>
        <w:tc>
          <w:tcPr>
            <w:tcW w:w="927" w:type="dxa"/>
          </w:tcPr>
          <w:p>
            <w:pPr>
              <w:pStyle w:val="TableParagraph"/>
              <w:spacing w:before="3"/>
              <w:jc w:val="left"/>
              <w:rPr>
                <w:rFonts w:ascii="Times New Roman"/>
                <w:sz w:val="16"/>
              </w:rPr>
            </w:pPr>
          </w:p>
          <w:p>
            <w:pPr>
              <w:pStyle w:val="TableParagraph"/>
              <w:ind w:right="79"/>
              <w:rPr>
                <w:sz w:val="16"/>
              </w:rPr>
            </w:pPr>
            <w:r>
              <w:rPr>
                <w:w w:val="95"/>
                <w:sz w:val="16"/>
              </w:rPr>
              <w:t>1,793</w:t>
            </w:r>
          </w:p>
        </w:tc>
      </w:tr>
      <w:tr>
        <w:trPr>
          <w:trHeight w:val="268" w:hRule="exact"/>
        </w:trPr>
        <w:tc>
          <w:tcPr>
            <w:tcW w:w="4281" w:type="dxa"/>
          </w:tcPr>
          <w:p>
            <w:pPr>
              <w:pStyle w:val="TableParagraph"/>
              <w:spacing w:before="61"/>
              <w:ind w:left="35" w:right="1046"/>
              <w:jc w:val="left"/>
              <w:rPr>
                <w:b/>
                <w:sz w:val="16"/>
              </w:rPr>
            </w:pPr>
            <w:r>
              <w:rPr>
                <w:b/>
                <w:sz w:val="16"/>
              </w:rPr>
              <w:t>Contributions</w:t>
            </w:r>
          </w:p>
        </w:tc>
        <w:tc>
          <w:tcPr>
            <w:tcW w:w="1470" w:type="dxa"/>
          </w:tcPr>
          <w:p>
            <w:pPr/>
          </w:p>
        </w:tc>
        <w:tc>
          <w:tcPr>
            <w:tcW w:w="1105" w:type="dxa"/>
          </w:tcPr>
          <w:p>
            <w:pPr/>
          </w:p>
        </w:tc>
        <w:tc>
          <w:tcPr>
            <w:tcW w:w="1168" w:type="dxa"/>
          </w:tcPr>
          <w:p>
            <w:pPr/>
          </w:p>
        </w:tc>
        <w:tc>
          <w:tcPr>
            <w:tcW w:w="927" w:type="dxa"/>
          </w:tcPr>
          <w:p>
            <w:pPr/>
          </w:p>
        </w:tc>
      </w:tr>
      <w:tr>
        <w:trPr>
          <w:trHeight w:val="227" w:hRule="exact"/>
        </w:trPr>
        <w:tc>
          <w:tcPr>
            <w:tcW w:w="4281" w:type="dxa"/>
          </w:tcPr>
          <w:p>
            <w:pPr>
              <w:pStyle w:val="TableParagraph"/>
              <w:spacing w:before="7"/>
              <w:ind w:left="35" w:right="1046"/>
              <w:jc w:val="left"/>
              <w:rPr>
                <w:sz w:val="16"/>
              </w:rPr>
            </w:pPr>
            <w:r>
              <w:rPr>
                <w:sz w:val="16"/>
              </w:rPr>
              <w:t>Employers</w:t>
            </w:r>
          </w:p>
        </w:tc>
        <w:tc>
          <w:tcPr>
            <w:tcW w:w="1470" w:type="dxa"/>
          </w:tcPr>
          <w:p>
            <w:pPr>
              <w:pStyle w:val="TableParagraph"/>
              <w:spacing w:before="5"/>
              <w:ind w:right="382"/>
              <w:rPr>
                <w:sz w:val="16"/>
              </w:rPr>
            </w:pPr>
            <w:r>
              <w:rPr>
                <w:w w:val="95"/>
                <w:sz w:val="16"/>
              </w:rPr>
              <w:t>1,013</w:t>
            </w:r>
          </w:p>
        </w:tc>
        <w:tc>
          <w:tcPr>
            <w:tcW w:w="1105" w:type="dxa"/>
          </w:tcPr>
          <w:p>
            <w:pPr>
              <w:pStyle w:val="TableParagraph"/>
              <w:spacing w:before="5"/>
              <w:ind w:right="319"/>
              <w:rPr>
                <w:sz w:val="16"/>
              </w:rPr>
            </w:pPr>
            <w:r>
              <w:rPr>
                <w:sz w:val="16"/>
              </w:rPr>
              <w:t>265</w:t>
            </w:r>
          </w:p>
        </w:tc>
        <w:tc>
          <w:tcPr>
            <w:tcW w:w="1168" w:type="dxa"/>
          </w:tcPr>
          <w:p>
            <w:pPr>
              <w:pStyle w:val="TableParagraph"/>
              <w:spacing w:before="5"/>
              <w:ind w:right="319"/>
              <w:rPr>
                <w:sz w:val="16"/>
              </w:rPr>
            </w:pPr>
            <w:r>
              <w:rPr>
                <w:sz w:val="16"/>
              </w:rPr>
              <w:t>697</w:t>
            </w:r>
          </w:p>
        </w:tc>
        <w:tc>
          <w:tcPr>
            <w:tcW w:w="927" w:type="dxa"/>
          </w:tcPr>
          <w:p>
            <w:pPr>
              <w:pStyle w:val="TableParagraph"/>
              <w:spacing w:before="5"/>
              <w:ind w:right="79"/>
              <w:rPr>
                <w:sz w:val="16"/>
              </w:rPr>
            </w:pPr>
            <w:r>
              <w:rPr>
                <w:w w:val="95"/>
                <w:sz w:val="16"/>
              </w:rPr>
              <w:t>1,975</w:t>
            </w:r>
          </w:p>
        </w:tc>
      </w:tr>
      <w:tr>
        <w:trPr>
          <w:trHeight w:val="241" w:hRule="exact"/>
        </w:trPr>
        <w:tc>
          <w:tcPr>
            <w:tcW w:w="4281" w:type="dxa"/>
          </w:tcPr>
          <w:p>
            <w:pPr>
              <w:pStyle w:val="TableParagraph"/>
              <w:spacing w:before="20"/>
              <w:ind w:left="35" w:right="1046"/>
              <w:jc w:val="left"/>
              <w:rPr>
                <w:sz w:val="16"/>
              </w:rPr>
            </w:pPr>
            <w:r>
              <w:rPr>
                <w:sz w:val="16"/>
              </w:rPr>
              <w:t>Plan participants</w:t>
            </w:r>
          </w:p>
        </w:tc>
        <w:tc>
          <w:tcPr>
            <w:tcW w:w="1470" w:type="dxa"/>
            <w:tcBorders>
              <w:bottom w:val="single" w:sz="0" w:space="0" w:color="000000"/>
            </w:tcBorders>
          </w:tcPr>
          <w:p>
            <w:pPr>
              <w:pStyle w:val="TableParagraph"/>
              <w:spacing w:before="19"/>
              <w:ind w:right="382"/>
              <w:rPr>
                <w:sz w:val="16"/>
              </w:rPr>
            </w:pPr>
            <w:r>
              <w:rPr>
                <w:w w:val="95"/>
                <w:sz w:val="16"/>
              </w:rPr>
              <w:t>572</w:t>
            </w:r>
          </w:p>
        </w:tc>
        <w:tc>
          <w:tcPr>
            <w:tcW w:w="1105" w:type="dxa"/>
            <w:tcBorders>
              <w:bottom w:val="single" w:sz="0" w:space="0" w:color="000000"/>
            </w:tcBorders>
          </w:tcPr>
          <w:p>
            <w:pPr>
              <w:pStyle w:val="TableParagraph"/>
              <w:spacing w:before="19"/>
              <w:ind w:right="319"/>
              <w:rPr>
                <w:sz w:val="16"/>
              </w:rPr>
            </w:pPr>
            <w:r>
              <w:rPr>
                <w:w w:val="99"/>
                <w:sz w:val="16"/>
              </w:rPr>
              <w:t>-</w:t>
            </w:r>
          </w:p>
        </w:tc>
        <w:tc>
          <w:tcPr>
            <w:tcW w:w="1168" w:type="dxa"/>
            <w:tcBorders>
              <w:bottom w:val="single" w:sz="0" w:space="0" w:color="000000"/>
            </w:tcBorders>
          </w:tcPr>
          <w:p>
            <w:pPr>
              <w:pStyle w:val="TableParagraph"/>
              <w:spacing w:before="19"/>
              <w:ind w:right="319"/>
              <w:rPr>
                <w:sz w:val="16"/>
              </w:rPr>
            </w:pPr>
            <w:r>
              <w:rPr>
                <w:sz w:val="16"/>
              </w:rPr>
              <w:t>178</w:t>
            </w:r>
          </w:p>
        </w:tc>
        <w:tc>
          <w:tcPr>
            <w:tcW w:w="927" w:type="dxa"/>
            <w:tcBorders>
              <w:bottom w:val="single" w:sz="0" w:space="0" w:color="000000"/>
            </w:tcBorders>
          </w:tcPr>
          <w:p>
            <w:pPr>
              <w:pStyle w:val="TableParagraph"/>
              <w:spacing w:before="19"/>
              <w:ind w:right="79"/>
              <w:rPr>
                <w:sz w:val="16"/>
              </w:rPr>
            </w:pPr>
            <w:r>
              <w:rPr>
                <w:sz w:val="16"/>
              </w:rPr>
              <w:t>750</w:t>
            </w:r>
          </w:p>
        </w:tc>
      </w:tr>
      <w:tr>
        <w:trPr>
          <w:trHeight w:val="316" w:hRule="exact"/>
        </w:trPr>
        <w:tc>
          <w:tcPr>
            <w:tcW w:w="4281" w:type="dxa"/>
          </w:tcPr>
          <w:p>
            <w:pPr/>
          </w:p>
        </w:tc>
        <w:tc>
          <w:tcPr>
            <w:tcW w:w="1470" w:type="dxa"/>
            <w:tcBorders>
              <w:top w:val="single" w:sz="0" w:space="0" w:color="000000"/>
              <w:bottom w:val="single" w:sz="0" w:space="0" w:color="000000"/>
            </w:tcBorders>
          </w:tcPr>
          <w:p>
            <w:pPr>
              <w:pStyle w:val="TableParagraph"/>
              <w:spacing w:before="122"/>
              <w:ind w:right="382"/>
              <w:rPr>
                <w:b/>
                <w:sz w:val="16"/>
              </w:rPr>
            </w:pPr>
            <w:r>
              <w:rPr>
                <w:b/>
                <w:w w:val="95"/>
                <w:sz w:val="16"/>
              </w:rPr>
              <w:t>1,585</w:t>
            </w:r>
          </w:p>
        </w:tc>
        <w:tc>
          <w:tcPr>
            <w:tcW w:w="1105" w:type="dxa"/>
            <w:tcBorders>
              <w:top w:val="single" w:sz="0" w:space="0" w:color="000000"/>
              <w:bottom w:val="single" w:sz="0" w:space="0" w:color="000000"/>
            </w:tcBorders>
          </w:tcPr>
          <w:p>
            <w:pPr>
              <w:pStyle w:val="TableParagraph"/>
              <w:spacing w:before="122"/>
              <w:ind w:right="319"/>
              <w:rPr>
                <w:b/>
                <w:sz w:val="16"/>
              </w:rPr>
            </w:pPr>
            <w:r>
              <w:rPr>
                <w:b/>
                <w:sz w:val="16"/>
              </w:rPr>
              <w:t>265</w:t>
            </w:r>
          </w:p>
        </w:tc>
        <w:tc>
          <w:tcPr>
            <w:tcW w:w="1168" w:type="dxa"/>
            <w:tcBorders>
              <w:top w:val="single" w:sz="0" w:space="0" w:color="000000"/>
              <w:bottom w:val="single" w:sz="0" w:space="0" w:color="000000"/>
            </w:tcBorders>
          </w:tcPr>
          <w:p>
            <w:pPr>
              <w:pStyle w:val="TableParagraph"/>
              <w:spacing w:before="122"/>
              <w:ind w:right="319"/>
              <w:rPr>
                <w:b/>
                <w:sz w:val="16"/>
              </w:rPr>
            </w:pPr>
            <w:r>
              <w:rPr>
                <w:b/>
                <w:sz w:val="16"/>
              </w:rPr>
              <w:t>875</w:t>
            </w:r>
          </w:p>
        </w:tc>
        <w:tc>
          <w:tcPr>
            <w:tcW w:w="927" w:type="dxa"/>
            <w:tcBorders>
              <w:top w:val="single" w:sz="0" w:space="0" w:color="000000"/>
              <w:bottom w:val="single" w:sz="0" w:space="0" w:color="000000"/>
            </w:tcBorders>
          </w:tcPr>
          <w:p>
            <w:pPr>
              <w:pStyle w:val="TableParagraph"/>
              <w:spacing w:before="122"/>
              <w:ind w:right="79"/>
              <w:rPr>
                <w:b/>
                <w:sz w:val="16"/>
              </w:rPr>
            </w:pPr>
            <w:r>
              <w:rPr>
                <w:b/>
                <w:w w:val="95"/>
                <w:sz w:val="16"/>
              </w:rPr>
              <w:t>2,725</w:t>
            </w:r>
          </w:p>
        </w:tc>
      </w:tr>
      <w:tr>
        <w:trPr>
          <w:trHeight w:val="330" w:hRule="exact"/>
        </w:trPr>
        <w:tc>
          <w:tcPr>
            <w:tcW w:w="4281" w:type="dxa"/>
          </w:tcPr>
          <w:p>
            <w:pPr>
              <w:pStyle w:val="TableParagraph"/>
              <w:spacing w:before="123"/>
              <w:ind w:left="35" w:right="1046"/>
              <w:jc w:val="left"/>
              <w:rPr>
                <w:b/>
                <w:sz w:val="16"/>
              </w:rPr>
            </w:pPr>
            <w:r>
              <w:rPr>
                <w:b/>
                <w:sz w:val="16"/>
              </w:rPr>
              <w:t>Payments from plan</w:t>
            </w:r>
          </w:p>
        </w:tc>
        <w:tc>
          <w:tcPr>
            <w:tcW w:w="1470" w:type="dxa"/>
            <w:tcBorders>
              <w:top w:val="single" w:sz="0" w:space="0" w:color="000000"/>
            </w:tcBorders>
          </w:tcPr>
          <w:p>
            <w:pPr/>
          </w:p>
        </w:tc>
        <w:tc>
          <w:tcPr>
            <w:tcW w:w="1105" w:type="dxa"/>
            <w:tcBorders>
              <w:top w:val="single" w:sz="0" w:space="0" w:color="000000"/>
            </w:tcBorders>
          </w:tcPr>
          <w:p>
            <w:pPr/>
          </w:p>
        </w:tc>
        <w:tc>
          <w:tcPr>
            <w:tcW w:w="1168" w:type="dxa"/>
            <w:tcBorders>
              <w:top w:val="single" w:sz="0" w:space="0" w:color="000000"/>
            </w:tcBorders>
          </w:tcPr>
          <w:p>
            <w:pPr/>
          </w:p>
        </w:tc>
        <w:tc>
          <w:tcPr>
            <w:tcW w:w="927" w:type="dxa"/>
            <w:tcBorders>
              <w:top w:val="single" w:sz="0" w:space="0" w:color="000000"/>
            </w:tcBorders>
          </w:tcPr>
          <w:p>
            <w:pPr/>
          </w:p>
        </w:tc>
      </w:tr>
      <w:tr>
        <w:trPr>
          <w:trHeight w:val="227" w:hRule="exact"/>
        </w:trPr>
        <w:tc>
          <w:tcPr>
            <w:tcW w:w="4281" w:type="dxa"/>
          </w:tcPr>
          <w:p>
            <w:pPr>
              <w:pStyle w:val="TableParagraph"/>
              <w:spacing w:before="7"/>
              <w:ind w:left="35" w:right="1046"/>
              <w:jc w:val="left"/>
              <w:rPr>
                <w:sz w:val="16"/>
              </w:rPr>
            </w:pPr>
            <w:r>
              <w:rPr>
                <w:sz w:val="16"/>
              </w:rPr>
              <w:t>Benefits paid</w:t>
            </w:r>
          </w:p>
        </w:tc>
        <w:tc>
          <w:tcPr>
            <w:tcW w:w="1470" w:type="dxa"/>
          </w:tcPr>
          <w:p>
            <w:pPr>
              <w:pStyle w:val="TableParagraph"/>
              <w:spacing w:before="5"/>
              <w:ind w:right="329"/>
              <w:rPr>
                <w:sz w:val="16"/>
              </w:rPr>
            </w:pPr>
            <w:r>
              <w:rPr>
                <w:sz w:val="16"/>
              </w:rPr>
              <w:t>(8,008)</w:t>
            </w:r>
          </w:p>
        </w:tc>
        <w:tc>
          <w:tcPr>
            <w:tcW w:w="1105" w:type="dxa"/>
          </w:tcPr>
          <w:p>
            <w:pPr>
              <w:pStyle w:val="TableParagraph"/>
              <w:spacing w:before="5"/>
              <w:ind w:right="266"/>
              <w:rPr>
                <w:sz w:val="16"/>
              </w:rPr>
            </w:pPr>
            <w:r>
              <w:rPr>
                <w:sz w:val="16"/>
              </w:rPr>
              <w:t>(1,609)</w:t>
            </w:r>
          </w:p>
        </w:tc>
        <w:tc>
          <w:tcPr>
            <w:tcW w:w="1168" w:type="dxa"/>
          </w:tcPr>
          <w:p>
            <w:pPr>
              <w:pStyle w:val="TableParagraph"/>
              <w:spacing w:before="5"/>
              <w:ind w:right="266"/>
              <w:rPr>
                <w:sz w:val="16"/>
              </w:rPr>
            </w:pPr>
            <w:r>
              <w:rPr>
                <w:sz w:val="16"/>
              </w:rPr>
              <w:t>(16,157)</w:t>
            </w:r>
          </w:p>
        </w:tc>
        <w:tc>
          <w:tcPr>
            <w:tcW w:w="927" w:type="dxa"/>
          </w:tcPr>
          <w:p>
            <w:pPr>
              <w:pStyle w:val="TableParagraph"/>
              <w:spacing w:before="5"/>
              <w:ind w:right="26"/>
              <w:rPr>
                <w:sz w:val="16"/>
              </w:rPr>
            </w:pPr>
            <w:r>
              <w:rPr>
                <w:sz w:val="16"/>
              </w:rPr>
              <w:t>(25,774)</w:t>
            </w:r>
          </w:p>
        </w:tc>
      </w:tr>
      <w:tr>
        <w:trPr>
          <w:trHeight w:val="241" w:hRule="exact"/>
        </w:trPr>
        <w:tc>
          <w:tcPr>
            <w:tcW w:w="4281" w:type="dxa"/>
          </w:tcPr>
          <w:p>
            <w:pPr>
              <w:pStyle w:val="TableParagraph"/>
              <w:spacing w:before="20"/>
              <w:ind w:left="35" w:right="1046"/>
              <w:jc w:val="left"/>
              <w:rPr>
                <w:sz w:val="16"/>
              </w:rPr>
            </w:pPr>
            <w:r>
              <w:rPr>
                <w:sz w:val="16"/>
              </w:rPr>
              <w:t>Taxes, premiums and expenses paid</w:t>
            </w:r>
          </w:p>
        </w:tc>
        <w:tc>
          <w:tcPr>
            <w:tcW w:w="1470" w:type="dxa"/>
            <w:tcBorders>
              <w:bottom w:val="single" w:sz="0" w:space="0" w:color="000000"/>
            </w:tcBorders>
          </w:tcPr>
          <w:p>
            <w:pPr>
              <w:pStyle w:val="TableParagraph"/>
              <w:spacing w:before="19"/>
              <w:ind w:right="329"/>
              <w:rPr>
                <w:sz w:val="16"/>
              </w:rPr>
            </w:pPr>
            <w:r>
              <w:rPr>
                <w:sz w:val="16"/>
              </w:rPr>
              <w:t>(118)</w:t>
            </w:r>
          </w:p>
        </w:tc>
        <w:tc>
          <w:tcPr>
            <w:tcW w:w="1105" w:type="dxa"/>
            <w:tcBorders>
              <w:bottom w:val="single" w:sz="0" w:space="0" w:color="000000"/>
            </w:tcBorders>
          </w:tcPr>
          <w:p>
            <w:pPr>
              <w:pStyle w:val="TableParagraph"/>
              <w:spacing w:before="19"/>
              <w:ind w:right="266"/>
              <w:rPr>
                <w:sz w:val="16"/>
              </w:rPr>
            </w:pPr>
            <w:r>
              <w:rPr>
                <w:sz w:val="16"/>
              </w:rPr>
              <w:t>(58)</w:t>
            </w:r>
          </w:p>
        </w:tc>
        <w:tc>
          <w:tcPr>
            <w:tcW w:w="1168" w:type="dxa"/>
            <w:tcBorders>
              <w:bottom w:val="single" w:sz="0" w:space="0" w:color="000000"/>
            </w:tcBorders>
          </w:tcPr>
          <w:p>
            <w:pPr>
              <w:pStyle w:val="TableParagraph"/>
              <w:spacing w:before="19"/>
              <w:ind w:right="319"/>
              <w:rPr>
                <w:sz w:val="16"/>
              </w:rPr>
            </w:pPr>
            <w:r>
              <w:rPr>
                <w:w w:val="95"/>
                <w:sz w:val="16"/>
              </w:rPr>
              <w:t>2,217</w:t>
            </w:r>
          </w:p>
        </w:tc>
        <w:tc>
          <w:tcPr>
            <w:tcW w:w="927" w:type="dxa"/>
            <w:tcBorders>
              <w:bottom w:val="single" w:sz="0" w:space="0" w:color="000000"/>
            </w:tcBorders>
          </w:tcPr>
          <w:p>
            <w:pPr>
              <w:pStyle w:val="TableParagraph"/>
              <w:spacing w:before="19"/>
              <w:ind w:right="79"/>
              <w:rPr>
                <w:sz w:val="16"/>
              </w:rPr>
            </w:pPr>
            <w:r>
              <w:rPr>
                <w:w w:val="95"/>
                <w:sz w:val="16"/>
              </w:rPr>
              <w:t>2,041</w:t>
            </w:r>
          </w:p>
        </w:tc>
      </w:tr>
      <w:tr>
        <w:trPr>
          <w:trHeight w:val="316" w:hRule="exact"/>
        </w:trPr>
        <w:tc>
          <w:tcPr>
            <w:tcW w:w="4281" w:type="dxa"/>
          </w:tcPr>
          <w:p>
            <w:pPr/>
          </w:p>
        </w:tc>
        <w:tc>
          <w:tcPr>
            <w:tcW w:w="1470" w:type="dxa"/>
            <w:tcBorders>
              <w:top w:val="single" w:sz="0" w:space="0" w:color="000000"/>
              <w:bottom w:val="single" w:sz="0" w:space="0" w:color="000000"/>
            </w:tcBorders>
          </w:tcPr>
          <w:p>
            <w:pPr>
              <w:pStyle w:val="TableParagraph"/>
              <w:spacing w:before="122"/>
              <w:ind w:right="329"/>
              <w:rPr>
                <w:b/>
                <w:sz w:val="16"/>
              </w:rPr>
            </w:pPr>
            <w:r>
              <w:rPr>
                <w:b/>
                <w:sz w:val="16"/>
              </w:rPr>
              <w:t>(8,126)</w:t>
            </w:r>
          </w:p>
        </w:tc>
        <w:tc>
          <w:tcPr>
            <w:tcW w:w="1105" w:type="dxa"/>
            <w:tcBorders>
              <w:top w:val="single" w:sz="0" w:space="0" w:color="000000"/>
              <w:bottom w:val="single" w:sz="0" w:space="0" w:color="000000"/>
            </w:tcBorders>
          </w:tcPr>
          <w:p>
            <w:pPr>
              <w:pStyle w:val="TableParagraph"/>
              <w:spacing w:before="122"/>
              <w:ind w:right="266"/>
              <w:rPr>
                <w:b/>
                <w:sz w:val="16"/>
              </w:rPr>
            </w:pPr>
            <w:r>
              <w:rPr>
                <w:b/>
                <w:sz w:val="16"/>
              </w:rPr>
              <w:t>(1,667)</w:t>
            </w:r>
          </w:p>
        </w:tc>
        <w:tc>
          <w:tcPr>
            <w:tcW w:w="1168" w:type="dxa"/>
            <w:tcBorders>
              <w:top w:val="single" w:sz="0" w:space="0" w:color="000000"/>
              <w:bottom w:val="single" w:sz="0" w:space="0" w:color="000000"/>
            </w:tcBorders>
          </w:tcPr>
          <w:p>
            <w:pPr>
              <w:pStyle w:val="TableParagraph"/>
              <w:spacing w:before="122"/>
              <w:ind w:right="266"/>
              <w:rPr>
                <w:b/>
                <w:sz w:val="16"/>
              </w:rPr>
            </w:pPr>
            <w:r>
              <w:rPr>
                <w:b/>
                <w:sz w:val="16"/>
              </w:rPr>
              <w:t>(13,940)</w:t>
            </w:r>
          </w:p>
        </w:tc>
        <w:tc>
          <w:tcPr>
            <w:tcW w:w="927" w:type="dxa"/>
            <w:tcBorders>
              <w:top w:val="single" w:sz="0" w:space="0" w:color="000000"/>
              <w:bottom w:val="single" w:sz="0" w:space="0" w:color="000000"/>
            </w:tcBorders>
          </w:tcPr>
          <w:p>
            <w:pPr>
              <w:pStyle w:val="TableParagraph"/>
              <w:spacing w:before="122"/>
              <w:ind w:right="26"/>
              <w:rPr>
                <w:b/>
                <w:sz w:val="16"/>
              </w:rPr>
            </w:pPr>
            <w:r>
              <w:rPr>
                <w:b/>
                <w:sz w:val="16"/>
              </w:rPr>
              <w:t>(23,733)</w:t>
            </w:r>
          </w:p>
        </w:tc>
      </w:tr>
      <w:tr>
        <w:trPr>
          <w:trHeight w:val="331" w:hRule="exact"/>
        </w:trPr>
        <w:tc>
          <w:tcPr>
            <w:tcW w:w="4281" w:type="dxa"/>
          </w:tcPr>
          <w:p>
            <w:pPr>
              <w:pStyle w:val="TableParagraph"/>
              <w:spacing w:before="123"/>
              <w:ind w:left="35" w:right="1046"/>
              <w:jc w:val="left"/>
              <w:rPr>
                <w:b/>
                <w:sz w:val="16"/>
              </w:rPr>
            </w:pPr>
            <w:r>
              <w:rPr>
                <w:b/>
                <w:sz w:val="16"/>
              </w:rPr>
              <w:t>Closing fair value of plans assets</w:t>
            </w:r>
          </w:p>
        </w:tc>
        <w:tc>
          <w:tcPr>
            <w:tcW w:w="1470" w:type="dxa"/>
            <w:tcBorders>
              <w:top w:val="single" w:sz="0" w:space="0" w:color="000000"/>
              <w:bottom w:val="single" w:sz="0" w:space="0" w:color="000000"/>
            </w:tcBorders>
          </w:tcPr>
          <w:p>
            <w:pPr>
              <w:pStyle w:val="TableParagraph"/>
              <w:spacing w:before="122"/>
              <w:ind w:right="382"/>
              <w:rPr>
                <w:b/>
                <w:sz w:val="16"/>
              </w:rPr>
            </w:pPr>
            <w:r>
              <w:rPr>
                <w:b/>
                <w:w w:val="95"/>
                <w:sz w:val="16"/>
              </w:rPr>
              <w:t>27,654</w:t>
            </w:r>
          </w:p>
        </w:tc>
        <w:tc>
          <w:tcPr>
            <w:tcW w:w="1105" w:type="dxa"/>
            <w:tcBorders>
              <w:top w:val="single" w:sz="0" w:space="0" w:color="000000"/>
              <w:bottom w:val="single" w:sz="0" w:space="0" w:color="000000"/>
            </w:tcBorders>
          </w:tcPr>
          <w:p>
            <w:pPr>
              <w:pStyle w:val="TableParagraph"/>
              <w:spacing w:before="122"/>
              <w:ind w:right="319"/>
              <w:rPr>
                <w:b/>
                <w:sz w:val="16"/>
              </w:rPr>
            </w:pPr>
            <w:r>
              <w:rPr>
                <w:b/>
                <w:w w:val="95"/>
                <w:sz w:val="16"/>
              </w:rPr>
              <w:t>2,215</w:t>
            </w:r>
          </w:p>
        </w:tc>
        <w:tc>
          <w:tcPr>
            <w:tcW w:w="1168" w:type="dxa"/>
            <w:tcBorders>
              <w:top w:val="single" w:sz="0" w:space="0" w:color="000000"/>
              <w:bottom w:val="single" w:sz="0" w:space="0" w:color="000000"/>
            </w:tcBorders>
          </w:tcPr>
          <w:p>
            <w:pPr>
              <w:pStyle w:val="TableParagraph"/>
              <w:spacing w:before="122"/>
              <w:ind w:right="319"/>
              <w:rPr>
                <w:b/>
                <w:sz w:val="16"/>
              </w:rPr>
            </w:pPr>
            <w:r>
              <w:rPr>
                <w:b/>
                <w:w w:val="95"/>
                <w:sz w:val="16"/>
              </w:rPr>
              <w:t>91,419</w:t>
            </w:r>
          </w:p>
        </w:tc>
        <w:tc>
          <w:tcPr>
            <w:tcW w:w="927" w:type="dxa"/>
            <w:tcBorders>
              <w:top w:val="single" w:sz="0" w:space="0" w:color="000000"/>
              <w:bottom w:val="single" w:sz="0" w:space="0" w:color="000000"/>
            </w:tcBorders>
          </w:tcPr>
          <w:p>
            <w:pPr>
              <w:pStyle w:val="TableParagraph"/>
              <w:spacing w:before="122"/>
              <w:ind w:right="79"/>
              <w:rPr>
                <w:b/>
                <w:sz w:val="16"/>
              </w:rPr>
            </w:pPr>
            <w:r>
              <w:rPr>
                <w:b/>
                <w:w w:val="95"/>
                <w:sz w:val="16"/>
              </w:rPr>
              <w:t>121,288</w:t>
            </w:r>
          </w:p>
        </w:tc>
      </w:tr>
    </w:tbl>
    <w:p>
      <w:pPr>
        <w:spacing w:after="0"/>
        <w:rPr>
          <w:sz w:val="16"/>
        </w:rPr>
        <w:sectPr>
          <w:pgSz w:w="12750" w:h="17680"/>
          <w:pgMar w:header="0" w:footer="867" w:top="2640" w:bottom="1120" w:left="0" w:right="0"/>
        </w:sectPr>
      </w:pPr>
    </w:p>
    <w:p>
      <w:pPr>
        <w:pStyle w:val="BodyText"/>
        <w:rPr>
          <w:rFonts w:ascii="Times New Roman"/>
          <w:sz w:val="20"/>
        </w:rPr>
      </w:pPr>
    </w:p>
    <w:p>
      <w:pPr>
        <w:pStyle w:val="BodyText"/>
        <w:rPr>
          <w:rFonts w:ascii="Times New Roman"/>
          <w:sz w:val="20"/>
        </w:rPr>
      </w:pPr>
    </w:p>
    <w:p>
      <w:pPr>
        <w:pStyle w:val="BodyText"/>
        <w:spacing w:before="4"/>
        <w:rPr>
          <w:rFonts w:ascii="Times New Roman"/>
        </w:rPr>
      </w:pPr>
    </w:p>
    <w:p>
      <w:pPr>
        <w:pStyle w:val="Heading8"/>
        <w:tabs>
          <w:tab w:pos="2391" w:val="left" w:leader="none"/>
        </w:tabs>
        <w:ind w:left="1824"/>
      </w:pPr>
      <w:r>
        <w:rPr/>
        <w:t>41</w:t>
        <w:tab/>
        <w:t>Defined Benefits Plans (continued)</w:t>
      </w:r>
    </w:p>
    <w:p>
      <w:pPr>
        <w:pStyle w:val="BodyText"/>
        <w:spacing w:before="7"/>
        <w:rPr>
          <w:b/>
          <w:sz w:val="26"/>
        </w:rPr>
      </w:pPr>
    </w:p>
    <w:p>
      <w:pPr>
        <w:pStyle w:val="BodyText"/>
        <w:tabs>
          <w:tab w:pos="2391" w:val="left" w:leader="none"/>
        </w:tabs>
        <w:ind w:left="1825"/>
      </w:pPr>
      <w:r>
        <w:rPr/>
        <w:t>(d)</w:t>
        <w:tab/>
        <w:t>Statement</w:t>
      </w:r>
      <w:r>
        <w:rPr>
          <w:spacing w:val="-10"/>
        </w:rPr>
        <w:t> </w:t>
      </w:r>
      <w:r>
        <w:rPr/>
        <w:t>of</w:t>
      </w:r>
      <w:r>
        <w:rPr>
          <w:spacing w:val="-10"/>
        </w:rPr>
        <w:t> </w:t>
      </w:r>
      <w:r>
        <w:rPr/>
        <w:t>financial</w:t>
      </w:r>
      <w:r>
        <w:rPr>
          <w:spacing w:val="-10"/>
        </w:rPr>
        <w:t> </w:t>
      </w:r>
      <w:r>
        <w:rPr/>
        <w:t>position</w:t>
      </w:r>
      <w:r>
        <w:rPr>
          <w:spacing w:val="-10"/>
        </w:rPr>
        <w:t> </w:t>
      </w:r>
      <w:r>
        <w:rPr/>
        <w:t>amounts</w:t>
      </w:r>
      <w:r>
        <w:rPr>
          <w:spacing w:val="-10"/>
        </w:rPr>
        <w:t> </w:t>
      </w:r>
      <w:r>
        <w:rPr/>
        <w:t>(continued)</w:t>
      </w:r>
    </w:p>
    <w:p>
      <w:pPr>
        <w:pStyle w:val="BodyText"/>
        <w:rPr>
          <w:sz w:val="20"/>
        </w:rPr>
      </w:pPr>
    </w:p>
    <w:p>
      <w:pPr>
        <w:pStyle w:val="BodyText"/>
        <w:spacing w:before="4"/>
        <w:rPr>
          <w:sz w:val="19"/>
        </w:rPr>
      </w:pPr>
    </w:p>
    <w:p>
      <w:pPr>
        <w:spacing w:after="0"/>
        <w:rPr>
          <w:sz w:val="19"/>
        </w:rPr>
        <w:sectPr>
          <w:pgSz w:w="12750" w:h="17680"/>
          <w:pgMar w:header="0" w:footer="867" w:top="2640" w:bottom="1120" w:left="0" w:right="0"/>
        </w:sectPr>
      </w:pPr>
    </w:p>
    <w:p>
      <w:pPr>
        <w:pStyle w:val="BodyText"/>
        <w:spacing w:before="8"/>
        <w:rPr>
          <w:sz w:val="12"/>
        </w:rPr>
      </w:pPr>
    </w:p>
    <w:p>
      <w:pPr>
        <w:spacing w:line="184" w:lineRule="exact" w:before="0"/>
        <w:ind w:left="2510" w:right="0" w:firstLine="0"/>
        <w:jc w:val="left"/>
        <w:rPr>
          <w:b/>
          <w:sz w:val="16"/>
        </w:rPr>
      </w:pPr>
      <w:r>
        <w:rPr>
          <w:b/>
          <w:sz w:val="16"/>
        </w:rPr>
        <w:t>Amounts recognised in the statement</w:t>
      </w:r>
    </w:p>
    <w:p>
      <w:pPr>
        <w:tabs>
          <w:tab w:pos="6245" w:val="left" w:leader="none"/>
        </w:tabs>
        <w:spacing w:before="0"/>
        <w:ind w:left="2932" w:right="0" w:firstLine="0"/>
        <w:jc w:val="left"/>
        <w:rPr>
          <w:b/>
          <w:sz w:val="16"/>
        </w:rPr>
      </w:pPr>
      <w:r>
        <w:rPr>
          <w:b/>
          <w:sz w:val="16"/>
        </w:rPr>
        <w:t>of financial position</w:t>
      </w:r>
      <w:r>
        <w:rPr>
          <w:b/>
          <w:spacing w:val="-15"/>
          <w:sz w:val="16"/>
        </w:rPr>
        <w:t> </w:t>
      </w:r>
      <w:r>
        <w:rPr>
          <w:b/>
          <w:sz w:val="16"/>
        </w:rPr>
        <w:t>-</w:t>
      </w:r>
      <w:r>
        <w:rPr>
          <w:b/>
          <w:spacing w:val="-5"/>
          <w:sz w:val="16"/>
        </w:rPr>
        <w:t> </w:t>
      </w:r>
      <w:r>
        <w:rPr>
          <w:b/>
          <w:sz w:val="16"/>
        </w:rPr>
        <w:t>2015</w:t>
        <w:tab/>
      </w:r>
      <w:r>
        <w:rPr>
          <w:b/>
          <w:spacing w:val="-1"/>
          <w:sz w:val="16"/>
        </w:rPr>
        <w:t>Note</w:t>
      </w:r>
    </w:p>
    <w:p>
      <w:pPr>
        <w:spacing w:before="79"/>
        <w:ind w:left="442" w:right="-2" w:firstLine="0"/>
        <w:jc w:val="left"/>
        <w:rPr>
          <w:b/>
          <w:sz w:val="16"/>
        </w:rPr>
      </w:pPr>
      <w:r>
        <w:rPr/>
        <w:br w:type="column"/>
      </w:r>
      <w:r>
        <w:rPr>
          <w:b/>
          <w:sz w:val="16"/>
        </w:rPr>
        <w:t>$'000</w:t>
      </w:r>
    </w:p>
    <w:p>
      <w:pPr>
        <w:spacing w:before="67"/>
        <w:ind w:left="424" w:right="-2" w:firstLine="0"/>
        <w:jc w:val="left"/>
        <w:rPr>
          <w:b/>
          <w:sz w:val="16"/>
        </w:rPr>
      </w:pPr>
      <w:r>
        <w:rPr>
          <w:b/>
          <w:w w:val="95"/>
          <w:sz w:val="16"/>
        </w:rPr>
        <w:t>SASS</w:t>
      </w:r>
    </w:p>
    <w:p>
      <w:pPr>
        <w:spacing w:before="79"/>
        <w:ind w:left="714" w:right="-16" w:firstLine="0"/>
        <w:jc w:val="left"/>
        <w:rPr>
          <w:b/>
          <w:sz w:val="16"/>
        </w:rPr>
      </w:pPr>
      <w:r>
        <w:rPr/>
        <w:br w:type="column"/>
      </w:r>
      <w:r>
        <w:rPr>
          <w:b/>
          <w:sz w:val="16"/>
        </w:rPr>
        <w:t>$'000</w:t>
      </w:r>
    </w:p>
    <w:p>
      <w:pPr>
        <w:spacing w:before="67"/>
        <w:ind w:left="634" w:right="-16" w:firstLine="0"/>
        <w:jc w:val="left"/>
        <w:rPr>
          <w:b/>
          <w:sz w:val="16"/>
        </w:rPr>
      </w:pPr>
      <w:r>
        <w:rPr>
          <w:b/>
          <w:spacing w:val="-2"/>
          <w:sz w:val="16"/>
        </w:rPr>
        <w:t>SANCS</w:t>
      </w:r>
    </w:p>
    <w:p>
      <w:pPr>
        <w:spacing w:before="79"/>
        <w:ind w:left="654" w:right="-1" w:firstLine="0"/>
        <w:jc w:val="left"/>
        <w:rPr>
          <w:b/>
          <w:sz w:val="16"/>
        </w:rPr>
      </w:pPr>
      <w:r>
        <w:rPr/>
        <w:br w:type="column"/>
      </w:r>
      <w:r>
        <w:rPr>
          <w:b/>
          <w:w w:val="95"/>
          <w:sz w:val="16"/>
        </w:rPr>
        <w:t>$'000</w:t>
      </w:r>
    </w:p>
    <w:p>
      <w:pPr>
        <w:spacing w:before="67"/>
        <w:ind w:left="691" w:right="-1" w:firstLine="0"/>
        <w:jc w:val="left"/>
        <w:rPr>
          <w:b/>
          <w:sz w:val="16"/>
        </w:rPr>
      </w:pPr>
      <w:r>
        <w:rPr>
          <w:b/>
          <w:sz w:val="16"/>
        </w:rPr>
        <w:t>SSS</w:t>
      </w:r>
    </w:p>
    <w:p>
      <w:pPr>
        <w:spacing w:before="79"/>
        <w:ind w:left="733" w:right="0" w:firstLine="0"/>
        <w:jc w:val="left"/>
        <w:rPr>
          <w:b/>
          <w:sz w:val="16"/>
        </w:rPr>
      </w:pPr>
      <w:r>
        <w:rPr/>
        <w:br w:type="column"/>
      </w:r>
      <w:r>
        <w:rPr>
          <w:b/>
          <w:sz w:val="16"/>
        </w:rPr>
        <w:t>$'000</w:t>
      </w:r>
    </w:p>
    <w:p>
      <w:pPr>
        <w:spacing w:before="67"/>
        <w:ind w:left="741" w:right="0" w:firstLine="0"/>
        <w:jc w:val="left"/>
        <w:rPr>
          <w:b/>
          <w:sz w:val="16"/>
        </w:rPr>
      </w:pPr>
      <w:r>
        <w:rPr>
          <w:b/>
          <w:sz w:val="16"/>
        </w:rPr>
        <w:t>Total</w:t>
      </w:r>
    </w:p>
    <w:p>
      <w:pPr>
        <w:spacing w:after="0"/>
        <w:jc w:val="left"/>
        <w:rPr>
          <w:sz w:val="16"/>
        </w:rPr>
        <w:sectPr>
          <w:type w:val="continuous"/>
          <w:pgSz w:w="12750" w:h="17680"/>
          <w:pgMar w:top="1660" w:bottom="0" w:left="0" w:right="0"/>
          <w:cols w:num="5" w:equalWidth="0">
            <w:col w:w="6600" w:space="40"/>
            <w:col w:w="856" w:space="40"/>
            <w:col w:w="1189" w:space="40"/>
            <w:col w:w="1048" w:space="40"/>
            <w:col w:w="2897"/>
          </w:cols>
        </w:sectPr>
      </w:pPr>
    </w:p>
    <w:p>
      <w:pPr>
        <w:pStyle w:val="BodyText"/>
        <w:rPr>
          <w:b/>
          <w:sz w:val="20"/>
        </w:rPr>
      </w:pPr>
      <w:r>
        <w:rPr/>
        <w:drawing>
          <wp:anchor distT="0" distB="0" distL="0" distR="0" allowOverlap="1" layoutInCell="1" locked="0" behindDoc="0" simplePos="0" relativeHeight="6280">
            <wp:simplePos x="0" y="0"/>
            <wp:positionH relativeFrom="page">
              <wp:posOffset>-1587</wp:posOffset>
            </wp:positionH>
            <wp:positionV relativeFrom="page">
              <wp:posOffset>5534342</wp:posOffset>
            </wp:positionV>
            <wp:extent cx="135159" cy="154019"/>
            <wp:effectExtent l="0" t="0" r="0" b="0"/>
            <wp:wrapNone/>
            <wp:docPr id="437" name="image13.png" descr=""/>
            <wp:cNvGraphicFramePr>
              <a:graphicFrameLocks noChangeAspect="1"/>
            </wp:cNvGraphicFramePr>
            <a:graphic>
              <a:graphicData uri="http://schemas.openxmlformats.org/drawingml/2006/picture">
                <pic:pic>
                  <pic:nvPicPr>
                    <pic:cNvPr id="438" name="image13.png"/>
                    <pic:cNvPicPr/>
                  </pic:nvPicPr>
                  <pic:blipFill>
                    <a:blip r:embed="rId18" cstate="print"/>
                    <a:stretch>
                      <a:fillRect/>
                    </a:stretch>
                  </pic:blipFill>
                  <pic:spPr>
                    <a:xfrm>
                      <a:off x="0" y="0"/>
                      <a:ext cx="135159" cy="154019"/>
                    </a:xfrm>
                    <a:prstGeom prst="rect">
                      <a:avLst/>
                    </a:prstGeom>
                  </pic:spPr>
                </pic:pic>
              </a:graphicData>
            </a:graphic>
          </wp:anchor>
        </w:drawing>
      </w:r>
      <w:r>
        <w:rPr/>
        <w:drawing>
          <wp:anchor distT="0" distB="0" distL="0" distR="0" allowOverlap="1" layoutInCell="1" locked="0" behindDoc="0" simplePos="0" relativeHeight="6304">
            <wp:simplePos x="0" y="0"/>
            <wp:positionH relativeFrom="page">
              <wp:posOffset>7958429</wp:posOffset>
            </wp:positionH>
            <wp:positionV relativeFrom="page">
              <wp:posOffset>5534342</wp:posOffset>
            </wp:positionV>
            <wp:extent cx="135953" cy="155575"/>
            <wp:effectExtent l="0" t="0" r="0" b="0"/>
            <wp:wrapNone/>
            <wp:docPr id="439" name="image15.png" descr=""/>
            <wp:cNvGraphicFramePr>
              <a:graphicFrameLocks noChangeAspect="1"/>
            </wp:cNvGraphicFramePr>
            <a:graphic>
              <a:graphicData uri="http://schemas.openxmlformats.org/drawingml/2006/picture">
                <pic:pic>
                  <pic:nvPicPr>
                    <pic:cNvPr id="440" name="image15.png"/>
                    <pic:cNvPicPr/>
                  </pic:nvPicPr>
                  <pic:blipFill>
                    <a:blip r:embed="rId20" cstate="print"/>
                    <a:stretch>
                      <a:fillRect/>
                    </a:stretch>
                  </pic:blipFill>
                  <pic:spPr>
                    <a:xfrm>
                      <a:off x="0" y="0"/>
                      <a:ext cx="135953" cy="155575"/>
                    </a:xfrm>
                    <a:prstGeom prst="rect">
                      <a:avLst/>
                    </a:prstGeom>
                  </pic:spPr>
                </pic:pic>
              </a:graphicData>
            </a:graphic>
          </wp:anchor>
        </w:drawing>
      </w:r>
    </w:p>
    <w:p>
      <w:pPr>
        <w:pStyle w:val="BodyText"/>
        <w:spacing w:before="5"/>
        <w:rPr>
          <w:b/>
        </w:rPr>
      </w:pPr>
    </w:p>
    <w:p>
      <w:pPr>
        <w:spacing w:before="0"/>
        <w:ind w:left="2431" w:right="0" w:firstLine="0"/>
        <w:jc w:val="left"/>
        <w:rPr>
          <w:b/>
          <w:sz w:val="16"/>
        </w:rPr>
      </w:pPr>
      <w:r>
        <w:rPr>
          <w:b/>
          <w:sz w:val="16"/>
        </w:rPr>
        <w:t>Liabilities</w:t>
      </w:r>
    </w:p>
    <w:p>
      <w:pPr>
        <w:tabs>
          <w:tab w:pos="3331" w:val="left" w:leader="none"/>
          <w:tab w:pos="3758" w:val="left" w:leader="none"/>
          <w:tab w:pos="4592" w:val="left" w:leader="none"/>
          <w:tab w:pos="6373" w:val="right" w:leader="none"/>
        </w:tabs>
        <w:spacing w:before="27" w:after="19"/>
        <w:ind w:left="2431" w:right="0" w:firstLine="0"/>
        <w:jc w:val="left"/>
        <w:rPr>
          <w:sz w:val="16"/>
        </w:rPr>
      </w:pPr>
      <w:r>
        <w:rPr>
          <w:sz w:val="16"/>
        </w:rPr>
        <w:t>Provision</w:t>
        <w:tab/>
        <w:t>for</w:t>
        <w:tab/>
        <w:t>deferred</w:t>
        <w:tab/>
        <w:t>government</w:t>
      </w:r>
      <w:r>
        <w:rPr>
          <w:rFonts w:ascii="Times New Roman"/>
          <w:sz w:val="16"/>
        </w:rPr>
        <w:tab/>
      </w:r>
      <w:r>
        <w:rPr>
          <w:sz w:val="16"/>
        </w:rPr>
        <w:t>27</w:t>
      </w:r>
    </w:p>
    <w:tbl>
      <w:tblPr>
        <w:tblW w:w="0" w:type="auto"/>
        <w:jc w:val="left"/>
        <w:tblInd w:w="239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420"/>
        <w:gridCol w:w="861"/>
        <w:gridCol w:w="4670"/>
      </w:tblGrid>
      <w:tr>
        <w:trPr>
          <w:trHeight w:val="201" w:hRule="exact"/>
        </w:trPr>
        <w:tc>
          <w:tcPr>
            <w:tcW w:w="3420" w:type="dxa"/>
          </w:tcPr>
          <w:p>
            <w:pPr>
              <w:pStyle w:val="TableParagraph"/>
              <w:spacing w:line="164" w:lineRule="exact"/>
              <w:ind w:left="35" w:right="354"/>
              <w:jc w:val="left"/>
              <w:rPr>
                <w:sz w:val="16"/>
              </w:rPr>
            </w:pPr>
            <w:r>
              <w:rPr>
                <w:sz w:val="16"/>
              </w:rPr>
              <w:t>benefits for superannuation</w:t>
            </w:r>
          </w:p>
        </w:tc>
        <w:tc>
          <w:tcPr>
            <w:tcW w:w="861" w:type="dxa"/>
          </w:tcPr>
          <w:p>
            <w:pPr/>
          </w:p>
        </w:tc>
        <w:tc>
          <w:tcPr>
            <w:tcW w:w="4670" w:type="dxa"/>
            <w:tcBorders>
              <w:bottom w:val="single" w:sz="0" w:space="0" w:color="000000"/>
            </w:tcBorders>
          </w:tcPr>
          <w:p>
            <w:pPr>
              <w:pStyle w:val="TableParagraph"/>
              <w:tabs>
                <w:tab w:pos="1256" w:val="left" w:leader="none"/>
                <w:tab w:pos="2246" w:val="left" w:leader="none"/>
                <w:tab w:pos="3413" w:val="left" w:leader="none"/>
              </w:tabs>
              <w:spacing w:line="163" w:lineRule="exact"/>
              <w:ind w:right="79"/>
              <w:rPr>
                <w:sz w:val="16"/>
              </w:rPr>
            </w:pPr>
            <w:r>
              <w:rPr>
                <w:sz w:val="16"/>
              </w:rPr>
              <w:t>10,895</w:t>
              <w:tab/>
              <w:t>3,387</w:t>
              <w:tab/>
              <w:t>321,573</w:t>
              <w:tab/>
            </w:r>
            <w:r>
              <w:rPr>
                <w:w w:val="95"/>
                <w:sz w:val="16"/>
              </w:rPr>
              <w:t>335,855</w:t>
            </w:r>
          </w:p>
        </w:tc>
      </w:tr>
      <w:tr>
        <w:trPr>
          <w:trHeight w:val="565" w:hRule="exact"/>
        </w:trPr>
        <w:tc>
          <w:tcPr>
            <w:tcW w:w="3420" w:type="dxa"/>
          </w:tcPr>
          <w:p>
            <w:pPr>
              <w:pStyle w:val="TableParagraph"/>
              <w:spacing w:before="123"/>
              <w:ind w:left="35" w:right="354"/>
              <w:jc w:val="left"/>
              <w:rPr>
                <w:b/>
                <w:sz w:val="16"/>
              </w:rPr>
            </w:pPr>
            <w:r>
              <w:rPr>
                <w:b/>
                <w:sz w:val="16"/>
              </w:rPr>
              <w:t>Total liabilities recognised in the statement of financial position</w:t>
            </w:r>
          </w:p>
        </w:tc>
        <w:tc>
          <w:tcPr>
            <w:tcW w:w="861" w:type="dxa"/>
          </w:tcPr>
          <w:p>
            <w:pPr/>
          </w:p>
        </w:tc>
        <w:tc>
          <w:tcPr>
            <w:tcW w:w="4670" w:type="dxa"/>
            <w:tcBorders>
              <w:top w:val="single" w:sz="0" w:space="0" w:color="000000"/>
            </w:tcBorders>
          </w:tcPr>
          <w:p>
            <w:pPr>
              <w:pStyle w:val="TableParagraph"/>
              <w:jc w:val="left"/>
              <w:rPr>
                <w:sz w:val="16"/>
              </w:rPr>
            </w:pPr>
          </w:p>
          <w:p>
            <w:pPr>
              <w:pStyle w:val="TableParagraph"/>
              <w:tabs>
                <w:tab w:pos="597" w:val="left" w:leader="none"/>
                <w:tab w:pos="1853" w:val="left" w:leader="none"/>
                <w:tab w:pos="2843" w:val="left" w:leader="none"/>
                <w:tab w:pos="4011" w:val="left" w:leader="none"/>
              </w:tabs>
              <w:spacing w:before="122"/>
              <w:ind w:right="79"/>
              <w:rPr>
                <w:sz w:val="16"/>
              </w:rPr>
            </w:pPr>
            <w:r>
              <w:rPr>
                <w:rFonts w:ascii="Times New Roman"/>
                <w:w w:val="99"/>
                <w:sz w:val="16"/>
                <w:u w:val="single"/>
              </w:rPr>
              <w:t> </w:t>
            </w:r>
            <w:r>
              <w:rPr>
                <w:rFonts w:ascii="Times New Roman"/>
                <w:sz w:val="16"/>
                <w:u w:val="single"/>
              </w:rPr>
              <w:tab/>
            </w:r>
            <w:r>
              <w:rPr>
                <w:sz w:val="16"/>
                <w:u w:val="single"/>
              </w:rPr>
              <w:t>10,895</w:t>
              <w:tab/>
              <w:t>3,387</w:t>
              <w:tab/>
              <w:t>321,573</w:t>
              <w:tab/>
            </w:r>
            <w:r>
              <w:rPr>
                <w:w w:val="95"/>
                <w:sz w:val="16"/>
                <w:u w:val="single"/>
              </w:rPr>
              <w:t>335,855</w:t>
            </w:r>
          </w:p>
        </w:tc>
      </w:tr>
      <w:tr>
        <w:trPr>
          <w:trHeight w:val="263" w:hRule="exact"/>
        </w:trPr>
        <w:tc>
          <w:tcPr>
            <w:tcW w:w="3420" w:type="dxa"/>
          </w:tcPr>
          <w:p>
            <w:pPr>
              <w:pStyle w:val="TableParagraph"/>
              <w:spacing w:before="56"/>
              <w:ind w:left="35" w:right="354"/>
              <w:jc w:val="left"/>
              <w:rPr>
                <w:b/>
                <w:sz w:val="16"/>
              </w:rPr>
            </w:pPr>
            <w:r>
              <w:rPr>
                <w:b/>
                <w:sz w:val="16"/>
              </w:rPr>
              <w:t>Assets</w:t>
            </w:r>
          </w:p>
        </w:tc>
        <w:tc>
          <w:tcPr>
            <w:tcW w:w="861" w:type="dxa"/>
          </w:tcPr>
          <w:p>
            <w:pPr/>
          </w:p>
        </w:tc>
        <w:tc>
          <w:tcPr>
            <w:tcW w:w="4670" w:type="dxa"/>
          </w:tcPr>
          <w:p>
            <w:pPr/>
          </w:p>
        </w:tc>
      </w:tr>
      <w:tr>
        <w:trPr>
          <w:trHeight w:val="409" w:hRule="exact"/>
        </w:trPr>
        <w:tc>
          <w:tcPr>
            <w:tcW w:w="3420" w:type="dxa"/>
          </w:tcPr>
          <w:p>
            <w:pPr>
              <w:pStyle w:val="TableParagraph"/>
              <w:spacing w:before="5"/>
              <w:ind w:left="35" w:right="354"/>
              <w:jc w:val="left"/>
              <w:rPr>
                <w:sz w:val="16"/>
              </w:rPr>
            </w:pPr>
            <w:r>
              <w:rPr>
                <w:sz w:val="16"/>
              </w:rPr>
              <w:t>Receivables for deferred government contribution for superannuation</w:t>
            </w:r>
          </w:p>
        </w:tc>
        <w:tc>
          <w:tcPr>
            <w:tcW w:w="861" w:type="dxa"/>
          </w:tcPr>
          <w:p>
            <w:pPr>
              <w:pStyle w:val="TableParagraph"/>
              <w:spacing w:before="5"/>
              <w:ind w:right="301"/>
              <w:rPr>
                <w:sz w:val="16"/>
              </w:rPr>
            </w:pPr>
            <w:r>
              <w:rPr>
                <w:w w:val="95"/>
                <w:sz w:val="16"/>
              </w:rPr>
              <w:t>18</w:t>
            </w:r>
          </w:p>
        </w:tc>
        <w:tc>
          <w:tcPr>
            <w:tcW w:w="4670" w:type="dxa"/>
            <w:tcBorders>
              <w:bottom w:val="single" w:sz="0" w:space="0" w:color="000000"/>
            </w:tcBorders>
          </w:tcPr>
          <w:p>
            <w:pPr>
              <w:pStyle w:val="TableParagraph"/>
              <w:spacing w:before="3"/>
              <w:jc w:val="left"/>
              <w:rPr>
                <w:sz w:val="16"/>
              </w:rPr>
            </w:pPr>
          </w:p>
          <w:p>
            <w:pPr>
              <w:pStyle w:val="TableParagraph"/>
              <w:tabs>
                <w:tab w:pos="1256" w:val="left" w:leader="none"/>
                <w:tab w:pos="2246" w:val="left" w:leader="none"/>
                <w:tab w:pos="3413" w:val="left" w:leader="none"/>
              </w:tabs>
              <w:ind w:right="79"/>
              <w:rPr>
                <w:sz w:val="16"/>
              </w:rPr>
            </w:pPr>
            <w:r>
              <w:rPr>
                <w:sz w:val="16"/>
              </w:rPr>
              <w:t>10,641</w:t>
              <w:tab/>
              <w:t>3,311</w:t>
              <w:tab/>
              <w:t>321,380</w:t>
              <w:tab/>
            </w:r>
            <w:r>
              <w:rPr>
                <w:w w:val="95"/>
                <w:sz w:val="16"/>
              </w:rPr>
              <w:t>335,332</w:t>
            </w:r>
          </w:p>
        </w:tc>
      </w:tr>
      <w:tr>
        <w:trPr>
          <w:trHeight w:val="565" w:hRule="exact"/>
        </w:trPr>
        <w:tc>
          <w:tcPr>
            <w:tcW w:w="3420" w:type="dxa"/>
          </w:tcPr>
          <w:p>
            <w:pPr>
              <w:pStyle w:val="TableParagraph"/>
              <w:spacing w:before="123"/>
              <w:ind w:left="35" w:right="354"/>
              <w:jc w:val="left"/>
              <w:rPr>
                <w:b/>
                <w:sz w:val="16"/>
              </w:rPr>
            </w:pPr>
            <w:r>
              <w:rPr>
                <w:b/>
                <w:sz w:val="16"/>
              </w:rPr>
              <w:t>Total assets recognised in the statement of financial position</w:t>
            </w:r>
          </w:p>
        </w:tc>
        <w:tc>
          <w:tcPr>
            <w:tcW w:w="861" w:type="dxa"/>
          </w:tcPr>
          <w:p>
            <w:pPr>
              <w:pStyle w:val="TableParagraph"/>
              <w:spacing w:before="37"/>
              <w:ind w:right="301"/>
              <w:rPr>
                <w:sz w:val="16"/>
              </w:rPr>
            </w:pPr>
            <w:r>
              <w:rPr>
                <w:w w:val="95"/>
                <w:sz w:val="16"/>
              </w:rPr>
              <w:t>18</w:t>
            </w:r>
          </w:p>
        </w:tc>
        <w:tc>
          <w:tcPr>
            <w:tcW w:w="4670" w:type="dxa"/>
            <w:tcBorders>
              <w:top w:val="single" w:sz="0" w:space="0" w:color="000000"/>
            </w:tcBorders>
          </w:tcPr>
          <w:p>
            <w:pPr>
              <w:pStyle w:val="TableParagraph"/>
              <w:jc w:val="left"/>
              <w:rPr>
                <w:sz w:val="16"/>
              </w:rPr>
            </w:pPr>
          </w:p>
          <w:p>
            <w:pPr>
              <w:pStyle w:val="TableParagraph"/>
              <w:tabs>
                <w:tab w:pos="597" w:val="left" w:leader="none"/>
                <w:tab w:pos="1853" w:val="left" w:leader="none"/>
                <w:tab w:pos="2843" w:val="left" w:leader="none"/>
                <w:tab w:pos="4011" w:val="left" w:leader="none"/>
              </w:tabs>
              <w:spacing w:before="122"/>
              <w:ind w:right="79"/>
              <w:rPr>
                <w:sz w:val="16"/>
              </w:rPr>
            </w:pPr>
            <w:r>
              <w:rPr>
                <w:rFonts w:ascii="Times New Roman"/>
                <w:w w:val="99"/>
                <w:sz w:val="16"/>
                <w:u w:val="single"/>
              </w:rPr>
              <w:t> </w:t>
            </w:r>
            <w:r>
              <w:rPr>
                <w:rFonts w:ascii="Times New Roman"/>
                <w:sz w:val="16"/>
                <w:u w:val="single"/>
              </w:rPr>
              <w:tab/>
            </w:r>
            <w:r>
              <w:rPr>
                <w:sz w:val="16"/>
                <w:u w:val="single"/>
              </w:rPr>
              <w:t>10,641</w:t>
              <w:tab/>
              <w:t>3,311</w:t>
              <w:tab/>
              <w:t>321,380</w:t>
              <w:tab/>
            </w:r>
            <w:r>
              <w:rPr>
                <w:w w:val="95"/>
                <w:sz w:val="16"/>
                <w:u w:val="single"/>
              </w:rPr>
              <w:t>335,332</w:t>
            </w:r>
          </w:p>
        </w:tc>
      </w:tr>
      <w:tr>
        <w:trPr>
          <w:trHeight w:val="448" w:hRule="exact"/>
        </w:trPr>
        <w:tc>
          <w:tcPr>
            <w:tcW w:w="3420" w:type="dxa"/>
          </w:tcPr>
          <w:p>
            <w:pPr>
              <w:pStyle w:val="TableParagraph"/>
              <w:spacing w:before="56"/>
              <w:ind w:left="35" w:right="426"/>
              <w:jc w:val="left"/>
              <w:rPr>
                <w:b/>
                <w:sz w:val="16"/>
              </w:rPr>
            </w:pPr>
            <w:r>
              <w:rPr>
                <w:b/>
                <w:sz w:val="16"/>
              </w:rPr>
              <w:t>Net liability recognised in the statement of financial position</w:t>
            </w:r>
          </w:p>
        </w:tc>
        <w:tc>
          <w:tcPr>
            <w:tcW w:w="861" w:type="dxa"/>
          </w:tcPr>
          <w:p>
            <w:pPr/>
          </w:p>
        </w:tc>
        <w:tc>
          <w:tcPr>
            <w:tcW w:w="4670" w:type="dxa"/>
            <w:tcBorders>
              <w:bottom w:val="single" w:sz="0" w:space="0" w:color="000000"/>
            </w:tcBorders>
          </w:tcPr>
          <w:p>
            <w:pPr>
              <w:pStyle w:val="TableParagraph"/>
              <w:spacing w:before="10"/>
              <w:jc w:val="left"/>
              <w:rPr>
                <w:sz w:val="20"/>
              </w:rPr>
            </w:pPr>
          </w:p>
          <w:p>
            <w:pPr>
              <w:pStyle w:val="TableParagraph"/>
              <w:tabs>
                <w:tab w:pos="1256" w:val="left" w:leader="none"/>
                <w:tab w:pos="2335" w:val="left" w:leader="none"/>
                <w:tab w:pos="3502" w:val="left" w:leader="none"/>
              </w:tabs>
              <w:ind w:right="79"/>
              <w:rPr>
                <w:sz w:val="16"/>
              </w:rPr>
            </w:pPr>
            <w:r>
              <w:rPr>
                <w:sz w:val="16"/>
              </w:rPr>
              <w:t>254</w:t>
              <w:tab/>
              <w:t>76</w:t>
              <w:tab/>
              <w:t>193</w:t>
              <w:tab/>
            </w:r>
            <w:r>
              <w:rPr>
                <w:w w:val="95"/>
                <w:sz w:val="16"/>
              </w:rPr>
              <w:t>523</w:t>
            </w:r>
          </w:p>
        </w:tc>
      </w:tr>
    </w:tbl>
    <w:p>
      <w:pPr>
        <w:pStyle w:val="BodyText"/>
        <w:rPr>
          <w:sz w:val="20"/>
        </w:rPr>
      </w:pPr>
    </w:p>
    <w:p>
      <w:pPr>
        <w:pStyle w:val="BodyText"/>
        <w:spacing w:before="1"/>
        <w:rPr>
          <w:sz w:val="28"/>
        </w:rPr>
      </w:pPr>
    </w:p>
    <w:tbl>
      <w:tblPr>
        <w:tblW w:w="0" w:type="auto"/>
        <w:jc w:val="left"/>
        <w:tblInd w:w="239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130"/>
        <w:gridCol w:w="1151"/>
        <w:gridCol w:w="1470"/>
        <w:gridCol w:w="1079"/>
        <w:gridCol w:w="1168"/>
        <w:gridCol w:w="954"/>
      </w:tblGrid>
      <w:tr>
        <w:trPr>
          <w:trHeight w:val="513" w:hRule="exact"/>
        </w:trPr>
        <w:tc>
          <w:tcPr>
            <w:tcW w:w="3130" w:type="dxa"/>
          </w:tcPr>
          <w:p>
            <w:pPr>
              <w:pStyle w:val="TableParagraph"/>
              <w:spacing w:before="79"/>
              <w:ind w:left="35"/>
              <w:jc w:val="left"/>
              <w:rPr>
                <w:b/>
                <w:sz w:val="16"/>
              </w:rPr>
            </w:pPr>
            <w:r>
              <w:rPr>
                <w:b/>
                <w:sz w:val="16"/>
              </w:rPr>
              <w:t>Net liability reconciliation - 2015</w:t>
            </w:r>
          </w:p>
          <w:p>
            <w:pPr>
              <w:pStyle w:val="TableParagraph"/>
              <w:spacing w:before="29"/>
              <w:ind w:left="35"/>
              <w:jc w:val="left"/>
              <w:rPr>
                <w:sz w:val="16"/>
              </w:rPr>
            </w:pPr>
            <w:r>
              <w:rPr>
                <w:sz w:val="16"/>
              </w:rPr>
              <w:t>Defined benefit obligation</w:t>
            </w:r>
          </w:p>
        </w:tc>
        <w:tc>
          <w:tcPr>
            <w:tcW w:w="1151" w:type="dxa"/>
          </w:tcPr>
          <w:p>
            <w:pPr/>
          </w:p>
        </w:tc>
        <w:tc>
          <w:tcPr>
            <w:tcW w:w="1470" w:type="dxa"/>
          </w:tcPr>
          <w:p>
            <w:pPr>
              <w:pStyle w:val="TableParagraph"/>
              <w:jc w:val="left"/>
              <w:rPr>
                <w:sz w:val="16"/>
              </w:rPr>
            </w:pPr>
          </w:p>
          <w:p>
            <w:pPr>
              <w:pStyle w:val="TableParagraph"/>
              <w:spacing w:before="107"/>
              <w:ind w:right="382"/>
              <w:rPr>
                <w:sz w:val="16"/>
              </w:rPr>
            </w:pPr>
            <w:r>
              <w:rPr>
                <w:w w:val="95"/>
                <w:sz w:val="16"/>
              </w:rPr>
              <w:t>43,556</w:t>
            </w:r>
          </w:p>
        </w:tc>
        <w:tc>
          <w:tcPr>
            <w:tcW w:w="1079" w:type="dxa"/>
          </w:tcPr>
          <w:p>
            <w:pPr>
              <w:pStyle w:val="TableParagraph"/>
              <w:jc w:val="left"/>
              <w:rPr>
                <w:sz w:val="16"/>
              </w:rPr>
            </w:pPr>
          </w:p>
          <w:p>
            <w:pPr>
              <w:pStyle w:val="TableParagraph"/>
              <w:spacing w:before="107"/>
              <w:ind w:right="293"/>
              <w:rPr>
                <w:sz w:val="16"/>
              </w:rPr>
            </w:pPr>
            <w:r>
              <w:rPr>
                <w:w w:val="95"/>
                <w:sz w:val="16"/>
              </w:rPr>
              <w:t>6,897</w:t>
            </w:r>
          </w:p>
        </w:tc>
        <w:tc>
          <w:tcPr>
            <w:tcW w:w="1168" w:type="dxa"/>
          </w:tcPr>
          <w:p>
            <w:pPr>
              <w:pStyle w:val="TableParagraph"/>
              <w:jc w:val="left"/>
              <w:rPr>
                <w:sz w:val="16"/>
              </w:rPr>
            </w:pPr>
          </w:p>
          <w:p>
            <w:pPr>
              <w:pStyle w:val="TableParagraph"/>
              <w:spacing w:before="107"/>
              <w:ind w:right="293"/>
              <w:rPr>
                <w:sz w:val="16"/>
              </w:rPr>
            </w:pPr>
            <w:r>
              <w:rPr>
                <w:w w:val="95"/>
                <w:sz w:val="16"/>
              </w:rPr>
              <w:t>422,251</w:t>
            </w:r>
          </w:p>
        </w:tc>
        <w:tc>
          <w:tcPr>
            <w:tcW w:w="954" w:type="dxa"/>
          </w:tcPr>
          <w:p>
            <w:pPr>
              <w:pStyle w:val="TableParagraph"/>
              <w:jc w:val="left"/>
              <w:rPr>
                <w:sz w:val="16"/>
              </w:rPr>
            </w:pPr>
          </w:p>
          <w:p>
            <w:pPr>
              <w:pStyle w:val="TableParagraph"/>
              <w:spacing w:before="107"/>
              <w:ind w:right="79"/>
              <w:rPr>
                <w:sz w:val="16"/>
              </w:rPr>
            </w:pPr>
            <w:r>
              <w:rPr>
                <w:w w:val="95"/>
                <w:sz w:val="16"/>
              </w:rPr>
              <w:t>472,704</w:t>
            </w:r>
          </w:p>
        </w:tc>
      </w:tr>
      <w:tr>
        <w:trPr>
          <w:trHeight w:val="241" w:hRule="exact"/>
        </w:trPr>
        <w:tc>
          <w:tcPr>
            <w:tcW w:w="3130" w:type="dxa"/>
          </w:tcPr>
          <w:p>
            <w:pPr>
              <w:pStyle w:val="TableParagraph"/>
              <w:spacing w:before="20"/>
              <w:ind w:left="35"/>
              <w:jc w:val="left"/>
              <w:rPr>
                <w:sz w:val="16"/>
              </w:rPr>
            </w:pPr>
            <w:r>
              <w:rPr>
                <w:sz w:val="16"/>
              </w:rPr>
              <w:t>Fair value of plan assets</w:t>
            </w:r>
          </w:p>
        </w:tc>
        <w:tc>
          <w:tcPr>
            <w:tcW w:w="1151" w:type="dxa"/>
          </w:tcPr>
          <w:p>
            <w:pPr/>
          </w:p>
        </w:tc>
        <w:tc>
          <w:tcPr>
            <w:tcW w:w="1470" w:type="dxa"/>
            <w:tcBorders>
              <w:bottom w:val="single" w:sz="0" w:space="0" w:color="000000"/>
            </w:tcBorders>
          </w:tcPr>
          <w:p>
            <w:pPr>
              <w:pStyle w:val="TableParagraph"/>
              <w:spacing w:before="19"/>
              <w:ind w:right="329"/>
              <w:rPr>
                <w:sz w:val="16"/>
              </w:rPr>
            </w:pPr>
            <w:r>
              <w:rPr>
                <w:sz w:val="16"/>
              </w:rPr>
              <w:t>(32,661)</w:t>
            </w:r>
          </w:p>
        </w:tc>
        <w:tc>
          <w:tcPr>
            <w:tcW w:w="1079" w:type="dxa"/>
            <w:tcBorders>
              <w:bottom w:val="single" w:sz="0" w:space="0" w:color="000000"/>
            </w:tcBorders>
          </w:tcPr>
          <w:p>
            <w:pPr>
              <w:pStyle w:val="TableParagraph"/>
              <w:spacing w:before="19"/>
              <w:ind w:right="240"/>
              <w:rPr>
                <w:sz w:val="16"/>
              </w:rPr>
            </w:pPr>
            <w:r>
              <w:rPr>
                <w:sz w:val="16"/>
              </w:rPr>
              <w:t>(3,510)</w:t>
            </w:r>
          </w:p>
        </w:tc>
        <w:tc>
          <w:tcPr>
            <w:tcW w:w="1168" w:type="dxa"/>
            <w:tcBorders>
              <w:bottom w:val="single" w:sz="0" w:space="0" w:color="000000"/>
            </w:tcBorders>
          </w:tcPr>
          <w:p>
            <w:pPr>
              <w:pStyle w:val="TableParagraph"/>
              <w:spacing w:before="19"/>
              <w:ind w:right="240"/>
              <w:rPr>
                <w:sz w:val="16"/>
              </w:rPr>
            </w:pPr>
            <w:r>
              <w:rPr>
                <w:w w:val="95"/>
                <w:sz w:val="16"/>
              </w:rPr>
              <w:t>(100,678)</w:t>
            </w:r>
          </w:p>
        </w:tc>
        <w:tc>
          <w:tcPr>
            <w:tcW w:w="954" w:type="dxa"/>
            <w:tcBorders>
              <w:bottom w:val="single" w:sz="0" w:space="0" w:color="000000"/>
            </w:tcBorders>
          </w:tcPr>
          <w:p>
            <w:pPr>
              <w:pStyle w:val="TableParagraph"/>
              <w:spacing w:before="19"/>
              <w:ind w:right="26"/>
              <w:rPr>
                <w:sz w:val="16"/>
              </w:rPr>
            </w:pPr>
            <w:r>
              <w:rPr>
                <w:w w:val="95"/>
                <w:sz w:val="16"/>
              </w:rPr>
              <w:t>(136,849)</w:t>
            </w:r>
          </w:p>
        </w:tc>
      </w:tr>
      <w:tr>
        <w:trPr>
          <w:trHeight w:val="316" w:hRule="exact"/>
        </w:trPr>
        <w:tc>
          <w:tcPr>
            <w:tcW w:w="3130" w:type="dxa"/>
          </w:tcPr>
          <w:p>
            <w:pPr>
              <w:pStyle w:val="TableParagraph"/>
              <w:spacing w:before="123"/>
              <w:ind w:left="35"/>
              <w:jc w:val="left"/>
              <w:rPr>
                <w:b/>
                <w:sz w:val="16"/>
              </w:rPr>
            </w:pPr>
            <w:r>
              <w:rPr>
                <w:b/>
                <w:sz w:val="16"/>
              </w:rPr>
              <w:t>Net liability</w:t>
            </w:r>
          </w:p>
        </w:tc>
        <w:tc>
          <w:tcPr>
            <w:tcW w:w="1151" w:type="dxa"/>
          </w:tcPr>
          <w:p>
            <w:pPr>
              <w:pStyle w:val="TableParagraph"/>
              <w:spacing w:before="37"/>
              <w:ind w:right="301"/>
              <w:rPr>
                <w:sz w:val="16"/>
              </w:rPr>
            </w:pPr>
            <w:r>
              <w:rPr>
                <w:sz w:val="16"/>
              </w:rPr>
              <w:t>27</w:t>
            </w:r>
          </w:p>
        </w:tc>
        <w:tc>
          <w:tcPr>
            <w:tcW w:w="1470" w:type="dxa"/>
            <w:tcBorders>
              <w:top w:val="single" w:sz="0" w:space="0" w:color="000000"/>
              <w:bottom w:val="single" w:sz="0" w:space="0" w:color="000000"/>
            </w:tcBorders>
          </w:tcPr>
          <w:p>
            <w:pPr>
              <w:pStyle w:val="TableParagraph"/>
              <w:spacing w:before="122"/>
              <w:ind w:right="382"/>
              <w:rPr>
                <w:sz w:val="16"/>
              </w:rPr>
            </w:pPr>
            <w:r>
              <w:rPr>
                <w:w w:val="95"/>
                <w:sz w:val="16"/>
              </w:rPr>
              <w:t>10,895</w:t>
            </w:r>
          </w:p>
        </w:tc>
        <w:tc>
          <w:tcPr>
            <w:tcW w:w="1079" w:type="dxa"/>
            <w:tcBorders>
              <w:top w:val="single" w:sz="0" w:space="0" w:color="000000"/>
              <w:bottom w:val="single" w:sz="0" w:space="0" w:color="000000"/>
            </w:tcBorders>
          </w:tcPr>
          <w:p>
            <w:pPr>
              <w:pStyle w:val="TableParagraph"/>
              <w:spacing w:before="122"/>
              <w:ind w:right="293"/>
              <w:rPr>
                <w:sz w:val="16"/>
              </w:rPr>
            </w:pPr>
            <w:r>
              <w:rPr>
                <w:w w:val="95"/>
                <w:sz w:val="16"/>
              </w:rPr>
              <w:t>3,387</w:t>
            </w:r>
          </w:p>
        </w:tc>
        <w:tc>
          <w:tcPr>
            <w:tcW w:w="1168" w:type="dxa"/>
            <w:tcBorders>
              <w:top w:val="single" w:sz="0" w:space="0" w:color="000000"/>
              <w:bottom w:val="single" w:sz="0" w:space="0" w:color="000000"/>
            </w:tcBorders>
          </w:tcPr>
          <w:p>
            <w:pPr>
              <w:pStyle w:val="TableParagraph"/>
              <w:spacing w:before="122"/>
              <w:ind w:right="293"/>
              <w:rPr>
                <w:sz w:val="16"/>
              </w:rPr>
            </w:pPr>
            <w:r>
              <w:rPr>
                <w:w w:val="95"/>
                <w:sz w:val="16"/>
              </w:rPr>
              <w:t>321,573</w:t>
            </w:r>
          </w:p>
        </w:tc>
        <w:tc>
          <w:tcPr>
            <w:tcW w:w="954" w:type="dxa"/>
            <w:tcBorders>
              <w:top w:val="single" w:sz="0" w:space="0" w:color="000000"/>
              <w:bottom w:val="single" w:sz="0" w:space="0" w:color="000000"/>
            </w:tcBorders>
          </w:tcPr>
          <w:p>
            <w:pPr>
              <w:pStyle w:val="TableParagraph"/>
              <w:spacing w:before="122"/>
              <w:ind w:right="79"/>
              <w:rPr>
                <w:sz w:val="16"/>
              </w:rPr>
            </w:pPr>
            <w:r>
              <w:rPr>
                <w:w w:val="95"/>
                <w:sz w:val="16"/>
              </w:rPr>
              <w:t>335,855</w:t>
            </w:r>
          </w:p>
        </w:tc>
      </w:tr>
      <w:tr>
        <w:trPr>
          <w:trHeight w:val="260" w:hRule="exact"/>
        </w:trPr>
        <w:tc>
          <w:tcPr>
            <w:tcW w:w="3130" w:type="dxa"/>
          </w:tcPr>
          <w:p>
            <w:pPr>
              <w:pStyle w:val="TableParagraph"/>
              <w:spacing w:before="40"/>
              <w:ind w:left="35"/>
              <w:jc w:val="left"/>
              <w:rPr>
                <w:sz w:val="16"/>
              </w:rPr>
            </w:pPr>
            <w:r>
              <w:rPr>
                <w:sz w:val="16"/>
              </w:rPr>
              <w:t>Reimbursement right</w:t>
            </w:r>
          </w:p>
        </w:tc>
        <w:tc>
          <w:tcPr>
            <w:tcW w:w="1151" w:type="dxa"/>
          </w:tcPr>
          <w:p>
            <w:pPr>
              <w:pStyle w:val="TableParagraph"/>
              <w:spacing w:before="37"/>
              <w:ind w:right="301"/>
              <w:rPr>
                <w:sz w:val="16"/>
              </w:rPr>
            </w:pPr>
            <w:r>
              <w:rPr>
                <w:sz w:val="16"/>
              </w:rPr>
              <w:t>18</w:t>
            </w:r>
          </w:p>
        </w:tc>
        <w:tc>
          <w:tcPr>
            <w:tcW w:w="1470" w:type="dxa"/>
            <w:tcBorders>
              <w:top w:val="single" w:sz="0" w:space="0" w:color="000000"/>
              <w:bottom w:val="single" w:sz="0" w:space="0" w:color="000000"/>
            </w:tcBorders>
          </w:tcPr>
          <w:p>
            <w:pPr>
              <w:pStyle w:val="TableParagraph"/>
              <w:spacing w:before="38"/>
              <w:ind w:right="329"/>
              <w:rPr>
                <w:sz w:val="16"/>
              </w:rPr>
            </w:pPr>
            <w:r>
              <w:rPr>
                <w:sz w:val="16"/>
              </w:rPr>
              <w:t>(10,641)</w:t>
            </w:r>
          </w:p>
        </w:tc>
        <w:tc>
          <w:tcPr>
            <w:tcW w:w="1079" w:type="dxa"/>
            <w:tcBorders>
              <w:top w:val="single" w:sz="0" w:space="0" w:color="000000"/>
              <w:bottom w:val="single" w:sz="0" w:space="0" w:color="000000"/>
            </w:tcBorders>
          </w:tcPr>
          <w:p>
            <w:pPr>
              <w:pStyle w:val="TableParagraph"/>
              <w:spacing w:before="38"/>
              <w:ind w:right="240"/>
              <w:rPr>
                <w:sz w:val="16"/>
              </w:rPr>
            </w:pPr>
            <w:r>
              <w:rPr>
                <w:sz w:val="16"/>
              </w:rPr>
              <w:t>(3,311)</w:t>
            </w:r>
          </w:p>
        </w:tc>
        <w:tc>
          <w:tcPr>
            <w:tcW w:w="1168" w:type="dxa"/>
            <w:tcBorders>
              <w:top w:val="single" w:sz="0" w:space="0" w:color="000000"/>
              <w:bottom w:val="single" w:sz="0" w:space="0" w:color="000000"/>
            </w:tcBorders>
          </w:tcPr>
          <w:p>
            <w:pPr>
              <w:pStyle w:val="TableParagraph"/>
              <w:spacing w:before="38"/>
              <w:ind w:right="240"/>
              <w:rPr>
                <w:sz w:val="16"/>
              </w:rPr>
            </w:pPr>
            <w:r>
              <w:rPr>
                <w:w w:val="95"/>
                <w:sz w:val="16"/>
              </w:rPr>
              <w:t>(321,380)</w:t>
            </w:r>
          </w:p>
        </w:tc>
        <w:tc>
          <w:tcPr>
            <w:tcW w:w="954" w:type="dxa"/>
            <w:tcBorders>
              <w:top w:val="single" w:sz="0" w:space="0" w:color="000000"/>
              <w:bottom w:val="single" w:sz="0" w:space="0" w:color="000000"/>
            </w:tcBorders>
          </w:tcPr>
          <w:p>
            <w:pPr>
              <w:pStyle w:val="TableParagraph"/>
              <w:spacing w:before="38"/>
              <w:ind w:right="26"/>
              <w:rPr>
                <w:sz w:val="16"/>
              </w:rPr>
            </w:pPr>
            <w:r>
              <w:rPr>
                <w:w w:val="95"/>
                <w:sz w:val="16"/>
              </w:rPr>
              <w:t>(335,332)</w:t>
            </w:r>
          </w:p>
        </w:tc>
      </w:tr>
      <w:tr>
        <w:trPr>
          <w:trHeight w:val="331" w:hRule="exact"/>
        </w:trPr>
        <w:tc>
          <w:tcPr>
            <w:tcW w:w="3130" w:type="dxa"/>
          </w:tcPr>
          <w:p>
            <w:pPr>
              <w:pStyle w:val="TableParagraph"/>
              <w:spacing w:before="123"/>
              <w:ind w:left="35"/>
              <w:jc w:val="left"/>
              <w:rPr>
                <w:b/>
                <w:sz w:val="16"/>
              </w:rPr>
            </w:pPr>
            <w:r>
              <w:rPr>
                <w:b/>
                <w:sz w:val="16"/>
              </w:rPr>
              <w:t>Total net liability/(asset)</w:t>
            </w:r>
          </w:p>
        </w:tc>
        <w:tc>
          <w:tcPr>
            <w:tcW w:w="1151" w:type="dxa"/>
          </w:tcPr>
          <w:p>
            <w:pPr/>
          </w:p>
        </w:tc>
        <w:tc>
          <w:tcPr>
            <w:tcW w:w="1470" w:type="dxa"/>
            <w:tcBorders>
              <w:top w:val="single" w:sz="0" w:space="0" w:color="000000"/>
              <w:bottom w:val="single" w:sz="0" w:space="0" w:color="000000"/>
            </w:tcBorders>
          </w:tcPr>
          <w:p>
            <w:pPr>
              <w:pStyle w:val="TableParagraph"/>
              <w:spacing w:before="122"/>
              <w:ind w:right="382"/>
              <w:rPr>
                <w:sz w:val="16"/>
              </w:rPr>
            </w:pPr>
            <w:r>
              <w:rPr>
                <w:sz w:val="16"/>
              </w:rPr>
              <w:t>254</w:t>
            </w:r>
          </w:p>
        </w:tc>
        <w:tc>
          <w:tcPr>
            <w:tcW w:w="1079" w:type="dxa"/>
            <w:tcBorders>
              <w:top w:val="single" w:sz="0" w:space="0" w:color="000000"/>
              <w:bottom w:val="single" w:sz="0" w:space="0" w:color="000000"/>
            </w:tcBorders>
          </w:tcPr>
          <w:p>
            <w:pPr>
              <w:pStyle w:val="TableParagraph"/>
              <w:spacing w:before="122"/>
              <w:ind w:right="293"/>
              <w:rPr>
                <w:sz w:val="16"/>
              </w:rPr>
            </w:pPr>
            <w:r>
              <w:rPr>
                <w:sz w:val="16"/>
              </w:rPr>
              <w:t>76</w:t>
            </w:r>
          </w:p>
        </w:tc>
        <w:tc>
          <w:tcPr>
            <w:tcW w:w="1168" w:type="dxa"/>
            <w:tcBorders>
              <w:top w:val="single" w:sz="0" w:space="0" w:color="000000"/>
              <w:bottom w:val="single" w:sz="0" w:space="0" w:color="000000"/>
            </w:tcBorders>
          </w:tcPr>
          <w:p>
            <w:pPr>
              <w:pStyle w:val="TableParagraph"/>
              <w:spacing w:before="122"/>
              <w:ind w:right="293"/>
              <w:rPr>
                <w:sz w:val="16"/>
              </w:rPr>
            </w:pPr>
            <w:r>
              <w:rPr>
                <w:w w:val="95"/>
                <w:sz w:val="16"/>
              </w:rPr>
              <w:t>193</w:t>
            </w:r>
          </w:p>
        </w:tc>
        <w:tc>
          <w:tcPr>
            <w:tcW w:w="954" w:type="dxa"/>
            <w:tcBorders>
              <w:top w:val="single" w:sz="0" w:space="0" w:color="000000"/>
              <w:bottom w:val="single" w:sz="0" w:space="0" w:color="000000"/>
            </w:tcBorders>
          </w:tcPr>
          <w:p>
            <w:pPr>
              <w:pStyle w:val="TableParagraph"/>
              <w:spacing w:before="122"/>
              <w:ind w:right="79"/>
              <w:rPr>
                <w:sz w:val="16"/>
              </w:rPr>
            </w:pPr>
            <w:r>
              <w:rPr>
                <w:w w:val="95"/>
                <w:sz w:val="16"/>
              </w:rPr>
              <w:t>523</w:t>
            </w:r>
          </w:p>
        </w:tc>
      </w:tr>
    </w:tbl>
    <w:p>
      <w:pPr>
        <w:pStyle w:val="BodyText"/>
        <w:rPr>
          <w:sz w:val="20"/>
        </w:rPr>
      </w:pPr>
    </w:p>
    <w:p>
      <w:pPr>
        <w:pStyle w:val="BodyText"/>
        <w:spacing w:before="1"/>
        <w:rPr>
          <w:sz w:val="28"/>
        </w:rPr>
      </w:pPr>
    </w:p>
    <w:tbl>
      <w:tblPr>
        <w:tblW w:w="0" w:type="auto"/>
        <w:jc w:val="left"/>
        <w:tblInd w:w="239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281"/>
        <w:gridCol w:w="1497"/>
        <w:gridCol w:w="1079"/>
        <w:gridCol w:w="1168"/>
        <w:gridCol w:w="927"/>
      </w:tblGrid>
      <w:tr>
        <w:trPr>
          <w:trHeight w:val="513" w:hRule="exact"/>
        </w:trPr>
        <w:tc>
          <w:tcPr>
            <w:tcW w:w="4281" w:type="dxa"/>
          </w:tcPr>
          <w:p>
            <w:pPr>
              <w:pStyle w:val="TableParagraph"/>
              <w:spacing w:before="79"/>
              <w:ind w:left="35" w:right="1046"/>
              <w:jc w:val="left"/>
              <w:rPr>
                <w:b/>
                <w:sz w:val="16"/>
              </w:rPr>
            </w:pPr>
            <w:r>
              <w:rPr>
                <w:b/>
                <w:sz w:val="16"/>
              </w:rPr>
              <w:t>Reimbursement rights - 2015</w:t>
            </w:r>
          </w:p>
          <w:p>
            <w:pPr>
              <w:pStyle w:val="TableParagraph"/>
              <w:spacing w:before="29"/>
              <w:ind w:left="35" w:right="1046"/>
              <w:jc w:val="left"/>
              <w:rPr>
                <w:sz w:val="16"/>
              </w:rPr>
            </w:pPr>
            <w:r>
              <w:rPr>
                <w:sz w:val="16"/>
              </w:rPr>
              <w:t>Opening value of reimbursement right</w:t>
            </w:r>
          </w:p>
        </w:tc>
        <w:tc>
          <w:tcPr>
            <w:tcW w:w="1497" w:type="dxa"/>
          </w:tcPr>
          <w:p>
            <w:pPr>
              <w:pStyle w:val="TableParagraph"/>
              <w:jc w:val="left"/>
              <w:rPr>
                <w:sz w:val="16"/>
              </w:rPr>
            </w:pPr>
          </w:p>
          <w:p>
            <w:pPr>
              <w:pStyle w:val="TableParagraph"/>
              <w:spacing w:before="107"/>
              <w:ind w:right="408"/>
              <w:rPr>
                <w:sz w:val="16"/>
              </w:rPr>
            </w:pPr>
            <w:r>
              <w:rPr>
                <w:w w:val="95"/>
                <w:sz w:val="16"/>
              </w:rPr>
              <w:t>10,161</w:t>
            </w:r>
          </w:p>
        </w:tc>
        <w:tc>
          <w:tcPr>
            <w:tcW w:w="1079" w:type="dxa"/>
          </w:tcPr>
          <w:p>
            <w:pPr>
              <w:pStyle w:val="TableParagraph"/>
              <w:jc w:val="left"/>
              <w:rPr>
                <w:sz w:val="16"/>
              </w:rPr>
            </w:pPr>
          </w:p>
          <w:p>
            <w:pPr>
              <w:pStyle w:val="TableParagraph"/>
              <w:spacing w:before="107"/>
              <w:ind w:right="319"/>
              <w:rPr>
                <w:sz w:val="16"/>
              </w:rPr>
            </w:pPr>
            <w:r>
              <w:rPr>
                <w:w w:val="95"/>
                <w:sz w:val="16"/>
              </w:rPr>
              <w:t>3,506</w:t>
            </w:r>
          </w:p>
        </w:tc>
        <w:tc>
          <w:tcPr>
            <w:tcW w:w="1168" w:type="dxa"/>
          </w:tcPr>
          <w:p>
            <w:pPr>
              <w:pStyle w:val="TableParagraph"/>
              <w:jc w:val="left"/>
              <w:rPr>
                <w:sz w:val="16"/>
              </w:rPr>
            </w:pPr>
          </w:p>
          <w:p>
            <w:pPr>
              <w:pStyle w:val="TableParagraph"/>
              <w:spacing w:before="107"/>
              <w:ind w:right="319"/>
              <w:rPr>
                <w:sz w:val="16"/>
              </w:rPr>
            </w:pPr>
            <w:r>
              <w:rPr>
                <w:w w:val="95"/>
                <w:sz w:val="16"/>
              </w:rPr>
              <w:t>306,014</w:t>
            </w:r>
          </w:p>
        </w:tc>
        <w:tc>
          <w:tcPr>
            <w:tcW w:w="927" w:type="dxa"/>
          </w:tcPr>
          <w:p>
            <w:pPr>
              <w:pStyle w:val="TableParagraph"/>
              <w:jc w:val="left"/>
              <w:rPr>
                <w:sz w:val="16"/>
              </w:rPr>
            </w:pPr>
          </w:p>
          <w:p>
            <w:pPr>
              <w:pStyle w:val="TableParagraph"/>
              <w:spacing w:before="107"/>
              <w:ind w:right="79"/>
              <w:rPr>
                <w:sz w:val="16"/>
              </w:rPr>
            </w:pPr>
            <w:r>
              <w:rPr>
                <w:w w:val="95"/>
                <w:sz w:val="16"/>
              </w:rPr>
              <w:t>319,681</w:t>
            </w:r>
          </w:p>
        </w:tc>
      </w:tr>
      <w:tr>
        <w:trPr>
          <w:trHeight w:val="423" w:hRule="exact"/>
        </w:trPr>
        <w:tc>
          <w:tcPr>
            <w:tcW w:w="4281" w:type="dxa"/>
          </w:tcPr>
          <w:p>
            <w:pPr>
              <w:pStyle w:val="TableParagraph"/>
              <w:spacing w:before="19"/>
              <w:ind w:left="35" w:right="1046"/>
              <w:jc w:val="left"/>
              <w:rPr>
                <w:sz w:val="16"/>
              </w:rPr>
            </w:pPr>
            <w:r>
              <w:rPr>
                <w:sz w:val="16"/>
              </w:rPr>
              <w:t>Excess salary expense through profit and loss</w:t>
            </w:r>
          </w:p>
        </w:tc>
        <w:tc>
          <w:tcPr>
            <w:tcW w:w="1497" w:type="dxa"/>
          </w:tcPr>
          <w:p>
            <w:pPr>
              <w:pStyle w:val="TableParagraph"/>
              <w:spacing w:before="5"/>
              <w:jc w:val="left"/>
              <w:rPr>
                <w:sz w:val="17"/>
              </w:rPr>
            </w:pPr>
          </w:p>
          <w:p>
            <w:pPr>
              <w:pStyle w:val="TableParagraph"/>
              <w:ind w:right="355"/>
              <w:rPr>
                <w:sz w:val="16"/>
              </w:rPr>
            </w:pPr>
            <w:r>
              <w:rPr>
                <w:sz w:val="16"/>
              </w:rPr>
              <w:t>(29)</w:t>
            </w:r>
          </w:p>
        </w:tc>
        <w:tc>
          <w:tcPr>
            <w:tcW w:w="1079" w:type="dxa"/>
          </w:tcPr>
          <w:p>
            <w:pPr>
              <w:pStyle w:val="TableParagraph"/>
              <w:spacing w:before="5"/>
              <w:jc w:val="left"/>
              <w:rPr>
                <w:sz w:val="17"/>
              </w:rPr>
            </w:pPr>
          </w:p>
          <w:p>
            <w:pPr>
              <w:pStyle w:val="TableParagraph"/>
              <w:ind w:right="266"/>
              <w:rPr>
                <w:sz w:val="16"/>
              </w:rPr>
            </w:pPr>
            <w:r>
              <w:rPr>
                <w:sz w:val="16"/>
              </w:rPr>
              <w:t>(22)</w:t>
            </w:r>
          </w:p>
        </w:tc>
        <w:tc>
          <w:tcPr>
            <w:tcW w:w="1168" w:type="dxa"/>
          </w:tcPr>
          <w:p>
            <w:pPr>
              <w:pStyle w:val="TableParagraph"/>
              <w:spacing w:before="5"/>
              <w:jc w:val="left"/>
              <w:rPr>
                <w:sz w:val="17"/>
              </w:rPr>
            </w:pPr>
          </w:p>
          <w:p>
            <w:pPr>
              <w:pStyle w:val="TableParagraph"/>
              <w:ind w:right="266"/>
              <w:rPr>
                <w:sz w:val="16"/>
              </w:rPr>
            </w:pPr>
            <w:r>
              <w:rPr>
                <w:sz w:val="16"/>
              </w:rPr>
              <w:t>(192)</w:t>
            </w:r>
          </w:p>
        </w:tc>
        <w:tc>
          <w:tcPr>
            <w:tcW w:w="927" w:type="dxa"/>
          </w:tcPr>
          <w:p>
            <w:pPr>
              <w:pStyle w:val="TableParagraph"/>
              <w:spacing w:before="5"/>
              <w:jc w:val="left"/>
              <w:rPr>
                <w:sz w:val="17"/>
              </w:rPr>
            </w:pPr>
          </w:p>
          <w:p>
            <w:pPr>
              <w:pStyle w:val="TableParagraph"/>
              <w:ind w:right="26"/>
              <w:rPr>
                <w:sz w:val="16"/>
              </w:rPr>
            </w:pPr>
            <w:r>
              <w:rPr>
                <w:sz w:val="16"/>
              </w:rPr>
              <w:t>(243)</w:t>
            </w:r>
          </w:p>
        </w:tc>
      </w:tr>
      <w:tr>
        <w:trPr>
          <w:trHeight w:val="241" w:hRule="exact"/>
        </w:trPr>
        <w:tc>
          <w:tcPr>
            <w:tcW w:w="4281" w:type="dxa"/>
          </w:tcPr>
          <w:p>
            <w:pPr>
              <w:pStyle w:val="TableParagraph"/>
              <w:spacing w:before="20"/>
              <w:ind w:left="35" w:right="1046"/>
              <w:jc w:val="left"/>
              <w:rPr>
                <w:sz w:val="16"/>
              </w:rPr>
            </w:pPr>
            <w:r>
              <w:rPr>
                <w:sz w:val="16"/>
              </w:rPr>
              <w:t>Emerging liability for excess salaries</w:t>
            </w:r>
          </w:p>
        </w:tc>
        <w:tc>
          <w:tcPr>
            <w:tcW w:w="1497" w:type="dxa"/>
          </w:tcPr>
          <w:p>
            <w:pPr>
              <w:pStyle w:val="TableParagraph"/>
              <w:spacing w:before="19"/>
              <w:ind w:right="355"/>
              <w:rPr>
                <w:sz w:val="16"/>
              </w:rPr>
            </w:pPr>
            <w:r>
              <w:rPr>
                <w:sz w:val="16"/>
              </w:rPr>
              <w:t>(226)</w:t>
            </w:r>
          </w:p>
        </w:tc>
        <w:tc>
          <w:tcPr>
            <w:tcW w:w="1079" w:type="dxa"/>
          </w:tcPr>
          <w:p>
            <w:pPr>
              <w:pStyle w:val="TableParagraph"/>
              <w:spacing w:before="19"/>
              <w:ind w:right="266"/>
              <w:rPr>
                <w:sz w:val="16"/>
              </w:rPr>
            </w:pPr>
            <w:r>
              <w:rPr>
                <w:sz w:val="16"/>
              </w:rPr>
              <w:t>(54)</w:t>
            </w:r>
          </w:p>
        </w:tc>
        <w:tc>
          <w:tcPr>
            <w:tcW w:w="1168" w:type="dxa"/>
          </w:tcPr>
          <w:p>
            <w:pPr>
              <w:pStyle w:val="TableParagraph"/>
              <w:spacing w:before="19"/>
              <w:ind w:right="319"/>
              <w:rPr>
                <w:sz w:val="16"/>
              </w:rPr>
            </w:pPr>
            <w:r>
              <w:rPr>
                <w:w w:val="99"/>
                <w:sz w:val="16"/>
              </w:rPr>
              <w:t>-</w:t>
            </w:r>
          </w:p>
        </w:tc>
        <w:tc>
          <w:tcPr>
            <w:tcW w:w="927" w:type="dxa"/>
          </w:tcPr>
          <w:p>
            <w:pPr>
              <w:pStyle w:val="TableParagraph"/>
              <w:spacing w:before="19"/>
              <w:ind w:right="26"/>
              <w:rPr>
                <w:sz w:val="16"/>
              </w:rPr>
            </w:pPr>
            <w:r>
              <w:rPr>
                <w:sz w:val="16"/>
              </w:rPr>
              <w:t>(280)</w:t>
            </w:r>
          </w:p>
        </w:tc>
      </w:tr>
      <w:tr>
        <w:trPr>
          <w:trHeight w:val="241" w:hRule="exact"/>
        </w:trPr>
        <w:tc>
          <w:tcPr>
            <w:tcW w:w="4281" w:type="dxa"/>
          </w:tcPr>
          <w:p>
            <w:pPr>
              <w:pStyle w:val="TableParagraph"/>
              <w:spacing w:before="20"/>
              <w:ind w:left="35" w:right="1046"/>
              <w:jc w:val="left"/>
              <w:rPr>
                <w:sz w:val="16"/>
              </w:rPr>
            </w:pPr>
            <w:r>
              <w:rPr>
                <w:sz w:val="16"/>
              </w:rPr>
              <w:t>Return on reimbursement rights</w:t>
            </w:r>
          </w:p>
        </w:tc>
        <w:tc>
          <w:tcPr>
            <w:tcW w:w="1497" w:type="dxa"/>
          </w:tcPr>
          <w:p>
            <w:pPr>
              <w:pStyle w:val="TableParagraph"/>
              <w:spacing w:before="19"/>
              <w:ind w:right="408"/>
              <w:rPr>
                <w:sz w:val="16"/>
              </w:rPr>
            </w:pPr>
            <w:r>
              <w:rPr>
                <w:w w:val="95"/>
                <w:sz w:val="16"/>
              </w:rPr>
              <w:t>588</w:t>
            </w:r>
          </w:p>
        </w:tc>
        <w:tc>
          <w:tcPr>
            <w:tcW w:w="1079" w:type="dxa"/>
          </w:tcPr>
          <w:p>
            <w:pPr>
              <w:pStyle w:val="TableParagraph"/>
              <w:spacing w:before="19"/>
              <w:ind w:right="319"/>
              <w:rPr>
                <w:sz w:val="16"/>
              </w:rPr>
            </w:pPr>
            <w:r>
              <w:rPr>
                <w:sz w:val="16"/>
              </w:rPr>
              <w:t>258</w:t>
            </w:r>
          </w:p>
        </w:tc>
        <w:tc>
          <w:tcPr>
            <w:tcW w:w="1168" w:type="dxa"/>
          </w:tcPr>
          <w:p>
            <w:pPr>
              <w:pStyle w:val="TableParagraph"/>
              <w:spacing w:before="19"/>
              <w:ind w:right="319"/>
              <w:rPr>
                <w:sz w:val="16"/>
              </w:rPr>
            </w:pPr>
            <w:r>
              <w:rPr>
                <w:w w:val="95"/>
                <w:sz w:val="16"/>
              </w:rPr>
              <w:t>8,788</w:t>
            </w:r>
          </w:p>
        </w:tc>
        <w:tc>
          <w:tcPr>
            <w:tcW w:w="927" w:type="dxa"/>
          </w:tcPr>
          <w:p>
            <w:pPr>
              <w:pStyle w:val="TableParagraph"/>
              <w:spacing w:before="19"/>
              <w:ind w:right="79"/>
              <w:rPr>
                <w:sz w:val="16"/>
              </w:rPr>
            </w:pPr>
            <w:r>
              <w:rPr>
                <w:w w:val="95"/>
                <w:sz w:val="16"/>
              </w:rPr>
              <w:t>9,634</w:t>
            </w:r>
          </w:p>
        </w:tc>
      </w:tr>
      <w:tr>
        <w:trPr>
          <w:trHeight w:val="241" w:hRule="exact"/>
        </w:trPr>
        <w:tc>
          <w:tcPr>
            <w:tcW w:w="4281" w:type="dxa"/>
          </w:tcPr>
          <w:p>
            <w:pPr>
              <w:pStyle w:val="TableParagraph"/>
              <w:spacing w:before="20"/>
              <w:ind w:left="35" w:right="1046"/>
              <w:jc w:val="left"/>
              <w:rPr>
                <w:sz w:val="16"/>
              </w:rPr>
            </w:pPr>
            <w:r>
              <w:rPr>
                <w:sz w:val="16"/>
              </w:rPr>
              <w:t>Remeasurements</w:t>
            </w:r>
          </w:p>
        </w:tc>
        <w:tc>
          <w:tcPr>
            <w:tcW w:w="1497" w:type="dxa"/>
            <w:tcBorders>
              <w:bottom w:val="single" w:sz="0" w:space="0" w:color="000000"/>
            </w:tcBorders>
          </w:tcPr>
          <w:p>
            <w:pPr>
              <w:pStyle w:val="TableParagraph"/>
              <w:spacing w:before="19"/>
              <w:ind w:right="408"/>
              <w:rPr>
                <w:sz w:val="16"/>
              </w:rPr>
            </w:pPr>
            <w:r>
              <w:rPr>
                <w:w w:val="95"/>
                <w:sz w:val="16"/>
              </w:rPr>
              <w:t>147</w:t>
            </w:r>
          </w:p>
        </w:tc>
        <w:tc>
          <w:tcPr>
            <w:tcW w:w="1079" w:type="dxa"/>
            <w:tcBorders>
              <w:bottom w:val="single" w:sz="0" w:space="0" w:color="000000"/>
            </w:tcBorders>
          </w:tcPr>
          <w:p>
            <w:pPr>
              <w:pStyle w:val="TableParagraph"/>
              <w:spacing w:before="19"/>
              <w:ind w:right="266"/>
              <w:rPr>
                <w:sz w:val="16"/>
              </w:rPr>
            </w:pPr>
            <w:r>
              <w:rPr>
                <w:sz w:val="16"/>
              </w:rPr>
              <w:t>(377)</w:t>
            </w:r>
          </w:p>
        </w:tc>
        <w:tc>
          <w:tcPr>
            <w:tcW w:w="1168" w:type="dxa"/>
            <w:tcBorders>
              <w:bottom w:val="single" w:sz="0" w:space="0" w:color="000000"/>
            </w:tcBorders>
          </w:tcPr>
          <w:p>
            <w:pPr>
              <w:pStyle w:val="TableParagraph"/>
              <w:spacing w:before="19"/>
              <w:ind w:right="319"/>
              <w:rPr>
                <w:sz w:val="16"/>
              </w:rPr>
            </w:pPr>
            <w:r>
              <w:rPr>
                <w:w w:val="95"/>
                <w:sz w:val="16"/>
              </w:rPr>
              <w:t>6,770</w:t>
            </w:r>
          </w:p>
        </w:tc>
        <w:tc>
          <w:tcPr>
            <w:tcW w:w="927" w:type="dxa"/>
            <w:tcBorders>
              <w:bottom w:val="single" w:sz="0" w:space="0" w:color="000000"/>
            </w:tcBorders>
          </w:tcPr>
          <w:p>
            <w:pPr>
              <w:pStyle w:val="TableParagraph"/>
              <w:spacing w:before="19"/>
              <w:ind w:right="79"/>
              <w:rPr>
                <w:sz w:val="16"/>
              </w:rPr>
            </w:pPr>
            <w:r>
              <w:rPr>
                <w:w w:val="95"/>
                <w:sz w:val="16"/>
              </w:rPr>
              <w:t>6,540</w:t>
            </w:r>
          </w:p>
        </w:tc>
      </w:tr>
      <w:tr>
        <w:trPr>
          <w:trHeight w:val="331" w:hRule="exact"/>
        </w:trPr>
        <w:tc>
          <w:tcPr>
            <w:tcW w:w="4281" w:type="dxa"/>
          </w:tcPr>
          <w:p>
            <w:pPr>
              <w:pStyle w:val="TableParagraph"/>
              <w:tabs>
                <w:tab w:pos="3976" w:val="right" w:leader="none"/>
              </w:tabs>
              <w:spacing w:before="33"/>
              <w:ind w:left="35"/>
              <w:jc w:val="left"/>
              <w:rPr>
                <w:sz w:val="16"/>
              </w:rPr>
            </w:pPr>
            <w:r>
              <w:rPr>
                <w:b/>
                <w:sz w:val="16"/>
              </w:rPr>
              <w:t>Closing value of</w:t>
            </w:r>
            <w:r>
              <w:rPr>
                <w:b/>
                <w:spacing w:val="-8"/>
                <w:sz w:val="16"/>
              </w:rPr>
              <w:t> </w:t>
            </w:r>
            <w:r>
              <w:rPr>
                <w:b/>
                <w:sz w:val="16"/>
              </w:rPr>
              <w:t>reimbursement</w:t>
            </w:r>
            <w:r>
              <w:rPr>
                <w:b/>
                <w:spacing w:val="-3"/>
                <w:sz w:val="16"/>
              </w:rPr>
              <w:t> </w:t>
            </w:r>
            <w:r>
              <w:rPr>
                <w:b/>
                <w:sz w:val="16"/>
              </w:rPr>
              <w:t>right</w:t>
            </w:r>
            <w:r>
              <w:rPr>
                <w:rFonts w:ascii="Times New Roman"/>
                <w:position w:val="9"/>
                <w:sz w:val="16"/>
              </w:rPr>
              <w:tab/>
            </w:r>
            <w:r>
              <w:rPr>
                <w:position w:val="9"/>
                <w:sz w:val="16"/>
              </w:rPr>
              <w:t>18</w:t>
            </w:r>
          </w:p>
        </w:tc>
        <w:tc>
          <w:tcPr>
            <w:tcW w:w="1497" w:type="dxa"/>
            <w:tcBorders>
              <w:top w:val="single" w:sz="0" w:space="0" w:color="000000"/>
              <w:bottom w:val="single" w:sz="0" w:space="0" w:color="000000"/>
            </w:tcBorders>
          </w:tcPr>
          <w:p>
            <w:pPr>
              <w:pStyle w:val="TableParagraph"/>
              <w:spacing w:before="122"/>
              <w:ind w:right="408"/>
              <w:rPr>
                <w:sz w:val="16"/>
              </w:rPr>
            </w:pPr>
            <w:r>
              <w:rPr>
                <w:w w:val="95"/>
                <w:sz w:val="16"/>
              </w:rPr>
              <w:t>10,641</w:t>
            </w:r>
          </w:p>
        </w:tc>
        <w:tc>
          <w:tcPr>
            <w:tcW w:w="1079" w:type="dxa"/>
            <w:tcBorders>
              <w:top w:val="single" w:sz="0" w:space="0" w:color="000000"/>
              <w:bottom w:val="single" w:sz="0" w:space="0" w:color="000000"/>
            </w:tcBorders>
          </w:tcPr>
          <w:p>
            <w:pPr>
              <w:pStyle w:val="TableParagraph"/>
              <w:spacing w:before="122"/>
              <w:ind w:right="319"/>
              <w:rPr>
                <w:sz w:val="16"/>
              </w:rPr>
            </w:pPr>
            <w:r>
              <w:rPr>
                <w:w w:val="95"/>
                <w:sz w:val="16"/>
              </w:rPr>
              <w:t>3,311</w:t>
            </w:r>
          </w:p>
        </w:tc>
        <w:tc>
          <w:tcPr>
            <w:tcW w:w="1168" w:type="dxa"/>
            <w:tcBorders>
              <w:top w:val="single" w:sz="0" w:space="0" w:color="000000"/>
              <w:bottom w:val="single" w:sz="0" w:space="0" w:color="000000"/>
            </w:tcBorders>
          </w:tcPr>
          <w:p>
            <w:pPr>
              <w:pStyle w:val="TableParagraph"/>
              <w:spacing w:before="122"/>
              <w:ind w:right="319"/>
              <w:rPr>
                <w:sz w:val="16"/>
              </w:rPr>
            </w:pPr>
            <w:r>
              <w:rPr>
                <w:w w:val="95"/>
                <w:sz w:val="16"/>
              </w:rPr>
              <w:t>321,380</w:t>
            </w:r>
          </w:p>
        </w:tc>
        <w:tc>
          <w:tcPr>
            <w:tcW w:w="927" w:type="dxa"/>
            <w:tcBorders>
              <w:top w:val="single" w:sz="0" w:space="0" w:color="000000"/>
              <w:bottom w:val="single" w:sz="0" w:space="0" w:color="000000"/>
            </w:tcBorders>
          </w:tcPr>
          <w:p>
            <w:pPr>
              <w:pStyle w:val="TableParagraph"/>
              <w:spacing w:before="122"/>
              <w:ind w:right="79"/>
              <w:rPr>
                <w:sz w:val="16"/>
              </w:rPr>
            </w:pPr>
            <w:r>
              <w:rPr>
                <w:w w:val="95"/>
                <w:sz w:val="16"/>
              </w:rPr>
              <w:t>335,332</w:t>
            </w:r>
          </w:p>
        </w:tc>
      </w:tr>
    </w:tbl>
    <w:p>
      <w:pPr>
        <w:spacing w:after="0"/>
        <w:rPr>
          <w:sz w:val="16"/>
        </w:rPr>
        <w:sectPr>
          <w:type w:val="continuous"/>
          <w:pgSz w:w="12750" w:h="17680"/>
          <w:pgMar w:top="1660" w:bottom="0" w:left="0" w:right="0"/>
        </w:sectPr>
      </w:pPr>
    </w:p>
    <w:p>
      <w:pPr>
        <w:pStyle w:val="BodyText"/>
        <w:rPr>
          <w:rFonts w:ascii="Times New Roman"/>
          <w:sz w:val="20"/>
        </w:rPr>
      </w:pPr>
      <w:r>
        <w:rPr/>
        <w:drawing>
          <wp:anchor distT="0" distB="0" distL="0" distR="0" allowOverlap="1" layoutInCell="1" locked="0" behindDoc="0" simplePos="0" relativeHeight="6328">
            <wp:simplePos x="0" y="0"/>
            <wp:positionH relativeFrom="page">
              <wp:posOffset>-1587</wp:posOffset>
            </wp:positionH>
            <wp:positionV relativeFrom="page">
              <wp:posOffset>5534342</wp:posOffset>
            </wp:positionV>
            <wp:extent cx="135159" cy="154019"/>
            <wp:effectExtent l="0" t="0" r="0" b="0"/>
            <wp:wrapNone/>
            <wp:docPr id="441" name="image13.png" descr=""/>
            <wp:cNvGraphicFramePr>
              <a:graphicFrameLocks noChangeAspect="1"/>
            </wp:cNvGraphicFramePr>
            <a:graphic>
              <a:graphicData uri="http://schemas.openxmlformats.org/drawingml/2006/picture">
                <pic:pic>
                  <pic:nvPicPr>
                    <pic:cNvPr id="442" name="image13.png"/>
                    <pic:cNvPicPr/>
                  </pic:nvPicPr>
                  <pic:blipFill>
                    <a:blip r:embed="rId18" cstate="print"/>
                    <a:stretch>
                      <a:fillRect/>
                    </a:stretch>
                  </pic:blipFill>
                  <pic:spPr>
                    <a:xfrm>
                      <a:off x="0" y="0"/>
                      <a:ext cx="135159" cy="154019"/>
                    </a:xfrm>
                    <a:prstGeom prst="rect">
                      <a:avLst/>
                    </a:prstGeom>
                  </pic:spPr>
                </pic:pic>
              </a:graphicData>
            </a:graphic>
          </wp:anchor>
        </w:drawing>
      </w:r>
      <w:r>
        <w:rPr/>
        <w:drawing>
          <wp:anchor distT="0" distB="0" distL="0" distR="0" allowOverlap="1" layoutInCell="1" locked="0" behindDoc="0" simplePos="0" relativeHeight="6352">
            <wp:simplePos x="0" y="0"/>
            <wp:positionH relativeFrom="page">
              <wp:posOffset>7958429</wp:posOffset>
            </wp:positionH>
            <wp:positionV relativeFrom="page">
              <wp:posOffset>5534342</wp:posOffset>
            </wp:positionV>
            <wp:extent cx="135953" cy="155575"/>
            <wp:effectExtent l="0" t="0" r="0" b="0"/>
            <wp:wrapNone/>
            <wp:docPr id="443" name="image15.png" descr=""/>
            <wp:cNvGraphicFramePr>
              <a:graphicFrameLocks noChangeAspect="1"/>
            </wp:cNvGraphicFramePr>
            <a:graphic>
              <a:graphicData uri="http://schemas.openxmlformats.org/drawingml/2006/picture">
                <pic:pic>
                  <pic:nvPicPr>
                    <pic:cNvPr id="444" name="image15.png"/>
                    <pic:cNvPicPr/>
                  </pic:nvPicPr>
                  <pic:blipFill>
                    <a:blip r:embed="rId20" cstate="print"/>
                    <a:stretch>
                      <a:fillRect/>
                    </a:stretch>
                  </pic:blipFill>
                  <pic:spPr>
                    <a:xfrm>
                      <a:off x="0" y="0"/>
                      <a:ext cx="135953" cy="155575"/>
                    </a:xfrm>
                    <a:prstGeom prst="rect">
                      <a:avLst/>
                    </a:prstGeom>
                  </pic:spPr>
                </pic:pic>
              </a:graphicData>
            </a:graphic>
          </wp:anchor>
        </w:drawing>
      </w:r>
    </w:p>
    <w:p>
      <w:pPr>
        <w:pStyle w:val="BodyText"/>
        <w:rPr>
          <w:rFonts w:ascii="Times New Roman"/>
          <w:sz w:val="20"/>
        </w:rPr>
      </w:pPr>
    </w:p>
    <w:p>
      <w:pPr>
        <w:pStyle w:val="BodyText"/>
        <w:spacing w:before="8"/>
        <w:rPr>
          <w:rFonts w:ascii="Times New Roman"/>
          <w:sz w:val="11"/>
        </w:rPr>
      </w:pPr>
    </w:p>
    <w:tbl>
      <w:tblPr>
        <w:tblW w:w="0" w:type="auto"/>
        <w:jc w:val="left"/>
        <w:tblInd w:w="178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29"/>
        <w:gridCol w:w="4459"/>
        <w:gridCol w:w="1316"/>
        <w:gridCol w:w="1208"/>
        <w:gridCol w:w="1168"/>
        <w:gridCol w:w="979"/>
      </w:tblGrid>
      <w:tr>
        <w:trPr>
          <w:trHeight w:val="825" w:hRule="exact"/>
        </w:trPr>
        <w:tc>
          <w:tcPr>
            <w:tcW w:w="429" w:type="dxa"/>
          </w:tcPr>
          <w:p>
            <w:pPr>
              <w:pStyle w:val="TableParagraph"/>
              <w:spacing w:before="77"/>
              <w:ind w:left="35"/>
              <w:jc w:val="left"/>
              <w:rPr>
                <w:b/>
                <w:sz w:val="18"/>
              </w:rPr>
            </w:pPr>
            <w:r>
              <w:rPr>
                <w:b/>
                <w:sz w:val="18"/>
              </w:rPr>
              <w:t>41</w:t>
            </w:r>
          </w:p>
          <w:p>
            <w:pPr>
              <w:pStyle w:val="TableParagraph"/>
              <w:spacing w:before="7"/>
              <w:jc w:val="left"/>
              <w:rPr>
                <w:rFonts w:ascii="Times New Roman"/>
                <w:sz w:val="26"/>
              </w:rPr>
            </w:pPr>
          </w:p>
          <w:p>
            <w:pPr>
              <w:pStyle w:val="TableParagraph"/>
              <w:ind w:left="36"/>
              <w:jc w:val="left"/>
              <w:rPr>
                <w:sz w:val="18"/>
              </w:rPr>
            </w:pPr>
            <w:r>
              <w:rPr>
                <w:sz w:val="18"/>
              </w:rPr>
              <w:t>(d)</w:t>
            </w:r>
          </w:p>
        </w:tc>
        <w:tc>
          <w:tcPr>
            <w:tcW w:w="4459" w:type="dxa"/>
          </w:tcPr>
          <w:p>
            <w:pPr>
              <w:pStyle w:val="TableParagraph"/>
              <w:spacing w:before="77"/>
              <w:ind w:left="173"/>
              <w:jc w:val="left"/>
              <w:rPr>
                <w:b/>
                <w:sz w:val="18"/>
              </w:rPr>
            </w:pPr>
            <w:r>
              <w:rPr>
                <w:b/>
                <w:sz w:val="18"/>
              </w:rPr>
              <w:t>Defined Benefits Plans (continued)</w:t>
            </w:r>
          </w:p>
          <w:p>
            <w:pPr>
              <w:pStyle w:val="TableParagraph"/>
              <w:spacing w:before="7"/>
              <w:jc w:val="left"/>
              <w:rPr>
                <w:rFonts w:ascii="Times New Roman"/>
                <w:sz w:val="26"/>
              </w:rPr>
            </w:pPr>
          </w:p>
          <w:p>
            <w:pPr>
              <w:pStyle w:val="TableParagraph"/>
              <w:ind w:left="173"/>
              <w:jc w:val="left"/>
              <w:rPr>
                <w:sz w:val="18"/>
              </w:rPr>
            </w:pPr>
            <w:r>
              <w:rPr>
                <w:sz w:val="18"/>
              </w:rPr>
              <w:t>Statement of financial position amounts (continued)</w:t>
            </w:r>
          </w:p>
        </w:tc>
        <w:tc>
          <w:tcPr>
            <w:tcW w:w="4670" w:type="dxa"/>
            <w:gridSpan w:val="4"/>
          </w:tcPr>
          <w:p>
            <w:pPr/>
          </w:p>
        </w:tc>
      </w:tr>
      <w:tr>
        <w:trPr>
          <w:trHeight w:val="236" w:hRule="exact"/>
        </w:trPr>
        <w:tc>
          <w:tcPr>
            <w:tcW w:w="429" w:type="dxa"/>
          </w:tcPr>
          <w:p>
            <w:pPr/>
          </w:p>
        </w:tc>
        <w:tc>
          <w:tcPr>
            <w:tcW w:w="4459" w:type="dxa"/>
          </w:tcPr>
          <w:p>
            <w:pPr/>
          </w:p>
        </w:tc>
        <w:tc>
          <w:tcPr>
            <w:tcW w:w="1316" w:type="dxa"/>
          </w:tcPr>
          <w:p>
            <w:pPr>
              <w:pStyle w:val="TableParagraph"/>
              <w:spacing w:before="10"/>
              <w:ind w:left="405"/>
              <w:jc w:val="left"/>
              <w:rPr>
                <w:b/>
                <w:sz w:val="16"/>
              </w:rPr>
            </w:pPr>
            <w:r>
              <w:rPr>
                <w:b/>
                <w:sz w:val="16"/>
              </w:rPr>
              <w:t>$'000</w:t>
            </w:r>
          </w:p>
        </w:tc>
        <w:tc>
          <w:tcPr>
            <w:tcW w:w="1208" w:type="dxa"/>
          </w:tcPr>
          <w:p>
            <w:pPr>
              <w:pStyle w:val="TableParagraph"/>
              <w:spacing w:before="10"/>
              <w:ind w:left="257"/>
              <w:jc w:val="left"/>
              <w:rPr>
                <w:b/>
                <w:sz w:val="16"/>
              </w:rPr>
            </w:pPr>
            <w:r>
              <w:rPr>
                <w:b/>
                <w:sz w:val="16"/>
              </w:rPr>
              <w:t>$'000</w:t>
            </w:r>
          </w:p>
        </w:tc>
        <w:tc>
          <w:tcPr>
            <w:tcW w:w="1168" w:type="dxa"/>
          </w:tcPr>
          <w:p>
            <w:pPr>
              <w:pStyle w:val="TableParagraph"/>
              <w:spacing w:before="10"/>
              <w:ind w:left="217"/>
              <w:jc w:val="left"/>
              <w:rPr>
                <w:b/>
                <w:sz w:val="16"/>
              </w:rPr>
            </w:pPr>
            <w:r>
              <w:rPr>
                <w:b/>
                <w:sz w:val="16"/>
              </w:rPr>
              <w:t>$'000</w:t>
            </w:r>
          </w:p>
        </w:tc>
        <w:tc>
          <w:tcPr>
            <w:tcW w:w="979" w:type="dxa"/>
          </w:tcPr>
          <w:p>
            <w:pPr>
              <w:pStyle w:val="TableParagraph"/>
              <w:spacing w:before="10"/>
              <w:ind w:left="217"/>
              <w:jc w:val="left"/>
              <w:rPr>
                <w:b/>
                <w:sz w:val="16"/>
              </w:rPr>
            </w:pPr>
            <w:r>
              <w:rPr>
                <w:b/>
                <w:sz w:val="16"/>
              </w:rPr>
              <w:t>$'000</w:t>
            </w:r>
          </w:p>
        </w:tc>
      </w:tr>
      <w:tr>
        <w:trPr>
          <w:trHeight w:val="290" w:hRule="exact"/>
        </w:trPr>
        <w:tc>
          <w:tcPr>
            <w:tcW w:w="429" w:type="dxa"/>
          </w:tcPr>
          <w:p>
            <w:pPr/>
          </w:p>
        </w:tc>
        <w:tc>
          <w:tcPr>
            <w:tcW w:w="4459" w:type="dxa"/>
          </w:tcPr>
          <w:p>
            <w:pPr/>
          </w:p>
        </w:tc>
        <w:tc>
          <w:tcPr>
            <w:tcW w:w="1316" w:type="dxa"/>
          </w:tcPr>
          <w:p>
            <w:pPr>
              <w:pStyle w:val="TableParagraph"/>
              <w:spacing w:before="25"/>
              <w:ind w:left="387"/>
              <w:jc w:val="left"/>
              <w:rPr>
                <w:b/>
                <w:sz w:val="16"/>
              </w:rPr>
            </w:pPr>
            <w:r>
              <w:rPr>
                <w:b/>
                <w:sz w:val="16"/>
              </w:rPr>
              <w:t>SASS</w:t>
            </w:r>
          </w:p>
        </w:tc>
        <w:tc>
          <w:tcPr>
            <w:tcW w:w="1208" w:type="dxa"/>
          </w:tcPr>
          <w:p>
            <w:pPr>
              <w:pStyle w:val="TableParagraph"/>
              <w:spacing w:before="25"/>
              <w:ind w:left="176"/>
              <w:jc w:val="left"/>
              <w:rPr>
                <w:b/>
                <w:sz w:val="16"/>
              </w:rPr>
            </w:pPr>
            <w:r>
              <w:rPr>
                <w:b/>
                <w:sz w:val="16"/>
              </w:rPr>
              <w:t>SANCS</w:t>
            </w:r>
          </w:p>
        </w:tc>
        <w:tc>
          <w:tcPr>
            <w:tcW w:w="1168" w:type="dxa"/>
          </w:tcPr>
          <w:p>
            <w:pPr>
              <w:pStyle w:val="TableParagraph"/>
              <w:spacing w:before="25"/>
              <w:ind w:left="254"/>
              <w:jc w:val="left"/>
              <w:rPr>
                <w:b/>
                <w:sz w:val="16"/>
              </w:rPr>
            </w:pPr>
            <w:r>
              <w:rPr>
                <w:b/>
                <w:sz w:val="16"/>
              </w:rPr>
              <w:t>SSS</w:t>
            </w:r>
          </w:p>
        </w:tc>
        <w:tc>
          <w:tcPr>
            <w:tcW w:w="979" w:type="dxa"/>
          </w:tcPr>
          <w:p>
            <w:pPr>
              <w:pStyle w:val="TableParagraph"/>
              <w:spacing w:before="25"/>
              <w:ind w:left="224"/>
              <w:jc w:val="left"/>
              <w:rPr>
                <w:b/>
                <w:sz w:val="16"/>
              </w:rPr>
            </w:pPr>
            <w:r>
              <w:rPr>
                <w:b/>
                <w:sz w:val="16"/>
              </w:rPr>
              <w:t>Total</w:t>
            </w:r>
          </w:p>
        </w:tc>
      </w:tr>
      <w:tr>
        <w:trPr>
          <w:trHeight w:val="271" w:hRule="exact"/>
        </w:trPr>
        <w:tc>
          <w:tcPr>
            <w:tcW w:w="429" w:type="dxa"/>
          </w:tcPr>
          <w:p>
            <w:pPr/>
          </w:p>
        </w:tc>
        <w:tc>
          <w:tcPr>
            <w:tcW w:w="4459" w:type="dxa"/>
          </w:tcPr>
          <w:p>
            <w:pPr>
              <w:pStyle w:val="TableParagraph"/>
              <w:spacing w:before="64"/>
              <w:ind w:left="213"/>
              <w:jc w:val="left"/>
              <w:rPr>
                <w:b/>
                <w:sz w:val="16"/>
              </w:rPr>
            </w:pPr>
            <w:r>
              <w:rPr>
                <w:b/>
                <w:sz w:val="16"/>
              </w:rPr>
              <w:t>Present value obligations - 2015</w:t>
            </w:r>
          </w:p>
        </w:tc>
        <w:tc>
          <w:tcPr>
            <w:tcW w:w="1316" w:type="dxa"/>
          </w:tcPr>
          <w:p>
            <w:pPr/>
          </w:p>
        </w:tc>
        <w:tc>
          <w:tcPr>
            <w:tcW w:w="1208" w:type="dxa"/>
          </w:tcPr>
          <w:p>
            <w:pPr/>
          </w:p>
        </w:tc>
        <w:tc>
          <w:tcPr>
            <w:tcW w:w="1168" w:type="dxa"/>
          </w:tcPr>
          <w:p>
            <w:pPr/>
          </w:p>
        </w:tc>
        <w:tc>
          <w:tcPr>
            <w:tcW w:w="979" w:type="dxa"/>
          </w:tcPr>
          <w:p>
            <w:pPr/>
          </w:p>
        </w:tc>
      </w:tr>
      <w:tr>
        <w:trPr>
          <w:trHeight w:val="227" w:hRule="exact"/>
        </w:trPr>
        <w:tc>
          <w:tcPr>
            <w:tcW w:w="429" w:type="dxa"/>
          </w:tcPr>
          <w:p>
            <w:pPr/>
          </w:p>
        </w:tc>
        <w:tc>
          <w:tcPr>
            <w:tcW w:w="4459" w:type="dxa"/>
          </w:tcPr>
          <w:p>
            <w:pPr>
              <w:pStyle w:val="TableParagraph"/>
              <w:spacing w:before="7"/>
              <w:ind w:left="213"/>
              <w:jc w:val="left"/>
              <w:rPr>
                <w:sz w:val="16"/>
              </w:rPr>
            </w:pPr>
            <w:r>
              <w:rPr>
                <w:sz w:val="16"/>
              </w:rPr>
              <w:t>Opening defined benefit obligation</w:t>
            </w:r>
          </w:p>
        </w:tc>
        <w:tc>
          <w:tcPr>
            <w:tcW w:w="1316" w:type="dxa"/>
          </w:tcPr>
          <w:p>
            <w:pPr>
              <w:pStyle w:val="TableParagraph"/>
              <w:spacing w:before="5"/>
              <w:ind w:right="228"/>
              <w:rPr>
                <w:sz w:val="16"/>
              </w:rPr>
            </w:pPr>
            <w:r>
              <w:rPr>
                <w:w w:val="95"/>
                <w:sz w:val="16"/>
              </w:rPr>
              <w:t>45,840</w:t>
            </w:r>
          </w:p>
        </w:tc>
        <w:tc>
          <w:tcPr>
            <w:tcW w:w="1208" w:type="dxa"/>
          </w:tcPr>
          <w:p>
            <w:pPr>
              <w:pStyle w:val="TableParagraph"/>
              <w:spacing w:before="5"/>
              <w:ind w:right="268"/>
              <w:rPr>
                <w:sz w:val="16"/>
              </w:rPr>
            </w:pPr>
            <w:r>
              <w:rPr>
                <w:w w:val="95"/>
                <w:sz w:val="16"/>
              </w:rPr>
              <w:t>7,829</w:t>
            </w:r>
          </w:p>
        </w:tc>
        <w:tc>
          <w:tcPr>
            <w:tcW w:w="1168" w:type="dxa"/>
          </w:tcPr>
          <w:p>
            <w:pPr>
              <w:pStyle w:val="TableParagraph"/>
              <w:spacing w:before="5"/>
              <w:ind w:right="268"/>
              <w:rPr>
                <w:sz w:val="16"/>
              </w:rPr>
            </w:pPr>
            <w:r>
              <w:rPr>
                <w:w w:val="95"/>
                <w:sz w:val="16"/>
              </w:rPr>
              <w:t>417,591</w:t>
            </w:r>
          </w:p>
        </w:tc>
        <w:tc>
          <w:tcPr>
            <w:tcW w:w="979" w:type="dxa"/>
          </w:tcPr>
          <w:p>
            <w:pPr>
              <w:pStyle w:val="TableParagraph"/>
              <w:spacing w:before="5"/>
              <w:ind w:right="79"/>
              <w:rPr>
                <w:sz w:val="16"/>
              </w:rPr>
            </w:pPr>
            <w:r>
              <w:rPr>
                <w:w w:val="95"/>
                <w:sz w:val="16"/>
              </w:rPr>
              <w:t>471,260</w:t>
            </w:r>
          </w:p>
        </w:tc>
      </w:tr>
      <w:tr>
        <w:trPr>
          <w:trHeight w:val="241" w:hRule="exact"/>
        </w:trPr>
        <w:tc>
          <w:tcPr>
            <w:tcW w:w="429" w:type="dxa"/>
          </w:tcPr>
          <w:p>
            <w:pPr/>
          </w:p>
        </w:tc>
        <w:tc>
          <w:tcPr>
            <w:tcW w:w="4459" w:type="dxa"/>
          </w:tcPr>
          <w:p>
            <w:pPr>
              <w:pStyle w:val="TableParagraph"/>
              <w:spacing w:before="20"/>
              <w:ind w:left="213"/>
              <w:jc w:val="left"/>
              <w:rPr>
                <w:sz w:val="16"/>
              </w:rPr>
            </w:pPr>
            <w:r>
              <w:rPr>
                <w:sz w:val="16"/>
              </w:rPr>
              <w:t>Current service cost</w:t>
            </w:r>
          </w:p>
        </w:tc>
        <w:tc>
          <w:tcPr>
            <w:tcW w:w="1316" w:type="dxa"/>
          </w:tcPr>
          <w:p>
            <w:pPr>
              <w:pStyle w:val="TableParagraph"/>
              <w:spacing w:before="19"/>
              <w:ind w:right="228"/>
              <w:rPr>
                <w:sz w:val="16"/>
              </w:rPr>
            </w:pPr>
            <w:r>
              <w:rPr>
                <w:w w:val="95"/>
                <w:sz w:val="16"/>
              </w:rPr>
              <w:t>1,526</w:t>
            </w:r>
          </w:p>
        </w:tc>
        <w:tc>
          <w:tcPr>
            <w:tcW w:w="1208" w:type="dxa"/>
          </w:tcPr>
          <w:p>
            <w:pPr>
              <w:pStyle w:val="TableParagraph"/>
              <w:spacing w:before="19"/>
              <w:ind w:right="268"/>
              <w:rPr>
                <w:sz w:val="16"/>
              </w:rPr>
            </w:pPr>
            <w:r>
              <w:rPr>
                <w:w w:val="95"/>
                <w:sz w:val="16"/>
              </w:rPr>
              <w:t>337</w:t>
            </w:r>
          </w:p>
        </w:tc>
        <w:tc>
          <w:tcPr>
            <w:tcW w:w="1168" w:type="dxa"/>
          </w:tcPr>
          <w:p>
            <w:pPr>
              <w:pStyle w:val="TableParagraph"/>
              <w:spacing w:before="19"/>
              <w:ind w:right="268"/>
              <w:rPr>
                <w:sz w:val="16"/>
              </w:rPr>
            </w:pPr>
            <w:r>
              <w:rPr>
                <w:sz w:val="16"/>
              </w:rPr>
              <w:t>365</w:t>
            </w:r>
          </w:p>
        </w:tc>
        <w:tc>
          <w:tcPr>
            <w:tcW w:w="979" w:type="dxa"/>
          </w:tcPr>
          <w:p>
            <w:pPr>
              <w:pStyle w:val="TableParagraph"/>
              <w:spacing w:before="19"/>
              <w:ind w:right="79"/>
              <w:rPr>
                <w:sz w:val="16"/>
              </w:rPr>
            </w:pPr>
            <w:r>
              <w:rPr>
                <w:w w:val="95"/>
                <w:sz w:val="16"/>
              </w:rPr>
              <w:t>2,228</w:t>
            </w:r>
          </w:p>
        </w:tc>
      </w:tr>
      <w:tr>
        <w:trPr>
          <w:trHeight w:val="241" w:hRule="exact"/>
        </w:trPr>
        <w:tc>
          <w:tcPr>
            <w:tcW w:w="429" w:type="dxa"/>
          </w:tcPr>
          <w:p>
            <w:pPr/>
          </w:p>
        </w:tc>
        <w:tc>
          <w:tcPr>
            <w:tcW w:w="4459" w:type="dxa"/>
          </w:tcPr>
          <w:p>
            <w:pPr>
              <w:pStyle w:val="TableParagraph"/>
              <w:spacing w:before="20"/>
              <w:ind w:left="213"/>
              <w:jc w:val="left"/>
              <w:rPr>
                <w:sz w:val="16"/>
              </w:rPr>
            </w:pPr>
            <w:r>
              <w:rPr>
                <w:sz w:val="16"/>
              </w:rPr>
              <w:t>Interest expense</w:t>
            </w:r>
          </w:p>
        </w:tc>
        <w:tc>
          <w:tcPr>
            <w:tcW w:w="1316" w:type="dxa"/>
            <w:tcBorders>
              <w:bottom w:val="single" w:sz="0" w:space="0" w:color="000000"/>
            </w:tcBorders>
          </w:tcPr>
          <w:p>
            <w:pPr>
              <w:pStyle w:val="TableParagraph"/>
              <w:spacing w:before="19"/>
              <w:ind w:right="228"/>
              <w:rPr>
                <w:sz w:val="16"/>
              </w:rPr>
            </w:pPr>
            <w:r>
              <w:rPr>
                <w:w w:val="95"/>
                <w:sz w:val="16"/>
              </w:rPr>
              <w:t>1,215</w:t>
            </w:r>
          </w:p>
        </w:tc>
        <w:tc>
          <w:tcPr>
            <w:tcW w:w="1208" w:type="dxa"/>
            <w:tcBorders>
              <w:bottom w:val="single" w:sz="0" w:space="0" w:color="000000"/>
            </w:tcBorders>
          </w:tcPr>
          <w:p>
            <w:pPr>
              <w:pStyle w:val="TableParagraph"/>
              <w:spacing w:before="19"/>
              <w:ind w:right="268"/>
              <w:rPr>
                <w:sz w:val="16"/>
              </w:rPr>
            </w:pPr>
            <w:r>
              <w:rPr>
                <w:w w:val="95"/>
                <w:sz w:val="16"/>
              </w:rPr>
              <w:t>210</w:t>
            </w:r>
          </w:p>
        </w:tc>
        <w:tc>
          <w:tcPr>
            <w:tcW w:w="1168" w:type="dxa"/>
            <w:tcBorders>
              <w:bottom w:val="single" w:sz="0" w:space="0" w:color="000000"/>
            </w:tcBorders>
          </w:tcPr>
          <w:p>
            <w:pPr>
              <w:pStyle w:val="TableParagraph"/>
              <w:spacing w:before="19"/>
              <w:ind w:right="268"/>
              <w:rPr>
                <w:sz w:val="16"/>
              </w:rPr>
            </w:pPr>
            <w:r>
              <w:rPr>
                <w:w w:val="95"/>
                <w:sz w:val="16"/>
              </w:rPr>
              <w:t>11,574</w:t>
            </w:r>
          </w:p>
        </w:tc>
        <w:tc>
          <w:tcPr>
            <w:tcW w:w="979" w:type="dxa"/>
            <w:tcBorders>
              <w:bottom w:val="single" w:sz="0" w:space="0" w:color="000000"/>
            </w:tcBorders>
          </w:tcPr>
          <w:p>
            <w:pPr>
              <w:pStyle w:val="TableParagraph"/>
              <w:spacing w:before="19"/>
              <w:ind w:right="79"/>
              <w:rPr>
                <w:sz w:val="16"/>
              </w:rPr>
            </w:pPr>
            <w:r>
              <w:rPr>
                <w:w w:val="95"/>
                <w:sz w:val="16"/>
              </w:rPr>
              <w:t>12,999</w:t>
            </w:r>
          </w:p>
        </w:tc>
      </w:tr>
      <w:tr>
        <w:trPr>
          <w:trHeight w:val="316" w:hRule="exact"/>
        </w:trPr>
        <w:tc>
          <w:tcPr>
            <w:tcW w:w="429" w:type="dxa"/>
          </w:tcPr>
          <w:p>
            <w:pPr/>
          </w:p>
        </w:tc>
        <w:tc>
          <w:tcPr>
            <w:tcW w:w="4459" w:type="dxa"/>
          </w:tcPr>
          <w:p>
            <w:pPr/>
          </w:p>
        </w:tc>
        <w:tc>
          <w:tcPr>
            <w:tcW w:w="1316" w:type="dxa"/>
            <w:tcBorders>
              <w:top w:val="single" w:sz="0" w:space="0" w:color="000000"/>
              <w:bottom w:val="single" w:sz="0" w:space="0" w:color="000000"/>
            </w:tcBorders>
          </w:tcPr>
          <w:p>
            <w:pPr>
              <w:pStyle w:val="TableParagraph"/>
              <w:spacing w:before="122"/>
              <w:ind w:right="228"/>
              <w:rPr>
                <w:sz w:val="16"/>
              </w:rPr>
            </w:pPr>
            <w:r>
              <w:rPr>
                <w:w w:val="95"/>
                <w:sz w:val="16"/>
              </w:rPr>
              <w:t>48,581</w:t>
            </w:r>
          </w:p>
        </w:tc>
        <w:tc>
          <w:tcPr>
            <w:tcW w:w="1208" w:type="dxa"/>
            <w:tcBorders>
              <w:top w:val="single" w:sz="0" w:space="0" w:color="000000"/>
              <w:bottom w:val="single" w:sz="0" w:space="0" w:color="000000"/>
            </w:tcBorders>
          </w:tcPr>
          <w:p>
            <w:pPr>
              <w:pStyle w:val="TableParagraph"/>
              <w:spacing w:before="122"/>
              <w:ind w:right="268"/>
              <w:rPr>
                <w:sz w:val="16"/>
              </w:rPr>
            </w:pPr>
            <w:r>
              <w:rPr>
                <w:w w:val="95"/>
                <w:sz w:val="16"/>
              </w:rPr>
              <w:t>8,376</w:t>
            </w:r>
          </w:p>
        </w:tc>
        <w:tc>
          <w:tcPr>
            <w:tcW w:w="1168" w:type="dxa"/>
            <w:tcBorders>
              <w:top w:val="single" w:sz="0" w:space="0" w:color="000000"/>
              <w:bottom w:val="single" w:sz="0" w:space="0" w:color="000000"/>
            </w:tcBorders>
          </w:tcPr>
          <w:p>
            <w:pPr>
              <w:pStyle w:val="TableParagraph"/>
              <w:spacing w:before="122"/>
              <w:ind w:right="268"/>
              <w:rPr>
                <w:sz w:val="16"/>
              </w:rPr>
            </w:pPr>
            <w:r>
              <w:rPr>
                <w:w w:val="95"/>
                <w:sz w:val="16"/>
              </w:rPr>
              <w:t>429,530</w:t>
            </w:r>
          </w:p>
        </w:tc>
        <w:tc>
          <w:tcPr>
            <w:tcW w:w="979" w:type="dxa"/>
            <w:tcBorders>
              <w:top w:val="single" w:sz="0" w:space="0" w:color="000000"/>
              <w:bottom w:val="single" w:sz="0" w:space="0" w:color="000000"/>
            </w:tcBorders>
          </w:tcPr>
          <w:p>
            <w:pPr>
              <w:pStyle w:val="TableParagraph"/>
              <w:spacing w:before="122"/>
              <w:ind w:right="79"/>
              <w:rPr>
                <w:sz w:val="16"/>
              </w:rPr>
            </w:pPr>
            <w:r>
              <w:rPr>
                <w:w w:val="95"/>
                <w:sz w:val="16"/>
              </w:rPr>
              <w:t>486,487</w:t>
            </w:r>
          </w:p>
        </w:tc>
      </w:tr>
      <w:tr>
        <w:trPr>
          <w:trHeight w:val="329" w:hRule="exact"/>
        </w:trPr>
        <w:tc>
          <w:tcPr>
            <w:tcW w:w="429" w:type="dxa"/>
          </w:tcPr>
          <w:p>
            <w:pPr/>
          </w:p>
        </w:tc>
        <w:tc>
          <w:tcPr>
            <w:tcW w:w="4459" w:type="dxa"/>
          </w:tcPr>
          <w:p>
            <w:pPr>
              <w:pStyle w:val="TableParagraph"/>
              <w:spacing w:before="123"/>
              <w:ind w:left="213"/>
              <w:jc w:val="left"/>
              <w:rPr>
                <w:b/>
                <w:sz w:val="16"/>
              </w:rPr>
            </w:pPr>
            <w:r>
              <w:rPr>
                <w:b/>
                <w:sz w:val="16"/>
              </w:rPr>
              <w:t>Remeasurements</w:t>
            </w:r>
          </w:p>
        </w:tc>
        <w:tc>
          <w:tcPr>
            <w:tcW w:w="1316" w:type="dxa"/>
            <w:tcBorders>
              <w:top w:val="single" w:sz="0" w:space="0" w:color="000000"/>
            </w:tcBorders>
          </w:tcPr>
          <w:p>
            <w:pPr/>
          </w:p>
        </w:tc>
        <w:tc>
          <w:tcPr>
            <w:tcW w:w="1208" w:type="dxa"/>
            <w:tcBorders>
              <w:top w:val="single" w:sz="0" w:space="0" w:color="000000"/>
            </w:tcBorders>
          </w:tcPr>
          <w:p>
            <w:pPr/>
          </w:p>
        </w:tc>
        <w:tc>
          <w:tcPr>
            <w:tcW w:w="1168" w:type="dxa"/>
            <w:tcBorders>
              <w:top w:val="single" w:sz="0" w:space="0" w:color="000000"/>
            </w:tcBorders>
          </w:tcPr>
          <w:p>
            <w:pPr/>
          </w:p>
        </w:tc>
        <w:tc>
          <w:tcPr>
            <w:tcW w:w="979" w:type="dxa"/>
            <w:tcBorders>
              <w:top w:val="single" w:sz="0" w:space="0" w:color="000000"/>
            </w:tcBorders>
          </w:tcPr>
          <w:p>
            <w:pPr/>
          </w:p>
        </w:tc>
      </w:tr>
      <w:tr>
        <w:trPr>
          <w:trHeight w:val="409" w:hRule="exact"/>
        </w:trPr>
        <w:tc>
          <w:tcPr>
            <w:tcW w:w="429" w:type="dxa"/>
          </w:tcPr>
          <w:p>
            <w:pPr/>
          </w:p>
        </w:tc>
        <w:tc>
          <w:tcPr>
            <w:tcW w:w="4459" w:type="dxa"/>
          </w:tcPr>
          <w:p>
            <w:pPr>
              <w:pStyle w:val="TableParagraph"/>
              <w:tabs>
                <w:tab w:pos="1037" w:val="left" w:leader="none"/>
                <w:tab w:pos="2226" w:val="left" w:leader="none"/>
                <w:tab w:pos="2898" w:val="left" w:leader="none"/>
              </w:tabs>
              <w:spacing w:before="5"/>
              <w:ind w:left="213" w:right="1239"/>
              <w:jc w:val="left"/>
              <w:rPr>
                <w:sz w:val="16"/>
              </w:rPr>
            </w:pPr>
            <w:r>
              <w:rPr>
                <w:sz w:val="16"/>
              </w:rPr>
              <w:t>Actuarial</w:t>
              <w:tab/>
              <w:t>losses/(gains)</w:t>
              <w:tab/>
              <w:t>arising</w:t>
              <w:tab/>
            </w:r>
            <w:r>
              <w:rPr>
                <w:w w:val="95"/>
                <w:sz w:val="16"/>
              </w:rPr>
              <w:t>from </w:t>
            </w:r>
            <w:r>
              <w:rPr>
                <w:sz w:val="16"/>
              </w:rPr>
              <w:t>changes in demographic</w:t>
            </w:r>
            <w:r>
              <w:rPr>
                <w:spacing w:val="-7"/>
                <w:sz w:val="16"/>
              </w:rPr>
              <w:t> </w:t>
            </w:r>
            <w:r>
              <w:rPr>
                <w:sz w:val="16"/>
              </w:rPr>
              <w:t>assumptions</w:t>
            </w:r>
          </w:p>
        </w:tc>
        <w:tc>
          <w:tcPr>
            <w:tcW w:w="1316" w:type="dxa"/>
          </w:tcPr>
          <w:p>
            <w:pPr>
              <w:pStyle w:val="TableParagraph"/>
              <w:spacing w:before="3"/>
              <w:jc w:val="left"/>
              <w:rPr>
                <w:rFonts w:ascii="Times New Roman"/>
                <w:sz w:val="16"/>
              </w:rPr>
            </w:pPr>
          </w:p>
          <w:p>
            <w:pPr>
              <w:pStyle w:val="TableParagraph"/>
              <w:ind w:right="228"/>
              <w:rPr>
                <w:sz w:val="16"/>
              </w:rPr>
            </w:pPr>
            <w:r>
              <w:rPr>
                <w:w w:val="95"/>
                <w:sz w:val="16"/>
              </w:rPr>
              <w:t>666</w:t>
            </w:r>
          </w:p>
        </w:tc>
        <w:tc>
          <w:tcPr>
            <w:tcW w:w="1208" w:type="dxa"/>
          </w:tcPr>
          <w:p>
            <w:pPr>
              <w:pStyle w:val="TableParagraph"/>
              <w:spacing w:before="3"/>
              <w:jc w:val="left"/>
              <w:rPr>
                <w:rFonts w:ascii="Times New Roman"/>
                <w:sz w:val="16"/>
              </w:rPr>
            </w:pPr>
          </w:p>
          <w:p>
            <w:pPr>
              <w:pStyle w:val="TableParagraph"/>
              <w:ind w:right="215"/>
              <w:rPr>
                <w:sz w:val="16"/>
              </w:rPr>
            </w:pPr>
            <w:r>
              <w:rPr>
                <w:sz w:val="16"/>
              </w:rPr>
              <w:t>(74)</w:t>
            </w:r>
          </w:p>
        </w:tc>
        <w:tc>
          <w:tcPr>
            <w:tcW w:w="1168" w:type="dxa"/>
          </w:tcPr>
          <w:p>
            <w:pPr>
              <w:pStyle w:val="TableParagraph"/>
              <w:spacing w:before="3"/>
              <w:jc w:val="left"/>
              <w:rPr>
                <w:rFonts w:ascii="Times New Roman"/>
                <w:sz w:val="16"/>
              </w:rPr>
            </w:pPr>
          </w:p>
          <w:p>
            <w:pPr>
              <w:pStyle w:val="TableParagraph"/>
              <w:ind w:right="268"/>
              <w:rPr>
                <w:sz w:val="16"/>
              </w:rPr>
            </w:pPr>
            <w:r>
              <w:rPr>
                <w:w w:val="95"/>
                <w:sz w:val="16"/>
              </w:rPr>
              <w:t>13,453</w:t>
            </w:r>
          </w:p>
        </w:tc>
        <w:tc>
          <w:tcPr>
            <w:tcW w:w="979" w:type="dxa"/>
          </w:tcPr>
          <w:p>
            <w:pPr>
              <w:pStyle w:val="TableParagraph"/>
              <w:spacing w:before="3"/>
              <w:jc w:val="left"/>
              <w:rPr>
                <w:rFonts w:ascii="Times New Roman"/>
                <w:sz w:val="16"/>
              </w:rPr>
            </w:pPr>
          </w:p>
          <w:p>
            <w:pPr>
              <w:pStyle w:val="TableParagraph"/>
              <w:ind w:right="79"/>
              <w:rPr>
                <w:sz w:val="16"/>
              </w:rPr>
            </w:pPr>
            <w:r>
              <w:rPr>
                <w:w w:val="95"/>
                <w:sz w:val="16"/>
              </w:rPr>
              <w:t>14,045</w:t>
            </w:r>
          </w:p>
        </w:tc>
      </w:tr>
      <w:tr>
        <w:trPr>
          <w:trHeight w:val="423" w:hRule="exact"/>
        </w:trPr>
        <w:tc>
          <w:tcPr>
            <w:tcW w:w="429" w:type="dxa"/>
          </w:tcPr>
          <w:p>
            <w:pPr/>
          </w:p>
        </w:tc>
        <w:tc>
          <w:tcPr>
            <w:tcW w:w="4459" w:type="dxa"/>
          </w:tcPr>
          <w:p>
            <w:pPr>
              <w:pStyle w:val="TableParagraph"/>
              <w:tabs>
                <w:tab w:pos="1037" w:val="left" w:leader="none"/>
                <w:tab w:pos="2226" w:val="left" w:leader="none"/>
                <w:tab w:pos="2898" w:val="left" w:leader="none"/>
              </w:tabs>
              <w:spacing w:before="19"/>
              <w:ind w:left="213" w:right="1239"/>
              <w:jc w:val="left"/>
              <w:rPr>
                <w:sz w:val="16"/>
              </w:rPr>
            </w:pPr>
            <w:r>
              <w:rPr>
                <w:sz w:val="16"/>
              </w:rPr>
              <w:t>Actuarial</w:t>
              <w:tab/>
              <w:t>losses/(gains)</w:t>
              <w:tab/>
              <w:t>arising</w:t>
              <w:tab/>
            </w:r>
            <w:r>
              <w:rPr>
                <w:w w:val="95"/>
                <w:sz w:val="16"/>
              </w:rPr>
              <w:t>from </w:t>
            </w:r>
            <w:r>
              <w:rPr>
                <w:sz w:val="16"/>
              </w:rPr>
              <w:t>changes in financial</w:t>
            </w:r>
            <w:r>
              <w:rPr>
                <w:spacing w:val="-6"/>
                <w:sz w:val="16"/>
              </w:rPr>
              <w:t> </w:t>
            </w:r>
            <w:r>
              <w:rPr>
                <w:sz w:val="16"/>
              </w:rPr>
              <w:t>assumptions</w:t>
            </w:r>
          </w:p>
        </w:tc>
        <w:tc>
          <w:tcPr>
            <w:tcW w:w="1316" w:type="dxa"/>
          </w:tcPr>
          <w:p>
            <w:pPr>
              <w:pStyle w:val="TableParagraph"/>
              <w:spacing w:before="5"/>
              <w:jc w:val="left"/>
              <w:rPr>
                <w:rFonts w:ascii="Times New Roman"/>
                <w:sz w:val="17"/>
              </w:rPr>
            </w:pPr>
          </w:p>
          <w:p>
            <w:pPr>
              <w:pStyle w:val="TableParagraph"/>
              <w:ind w:right="174"/>
              <w:rPr>
                <w:sz w:val="16"/>
              </w:rPr>
            </w:pPr>
            <w:r>
              <w:rPr>
                <w:sz w:val="16"/>
              </w:rPr>
              <w:t>(24)</w:t>
            </w:r>
          </w:p>
        </w:tc>
        <w:tc>
          <w:tcPr>
            <w:tcW w:w="1208" w:type="dxa"/>
          </w:tcPr>
          <w:p>
            <w:pPr>
              <w:pStyle w:val="TableParagraph"/>
              <w:spacing w:before="5"/>
              <w:jc w:val="left"/>
              <w:rPr>
                <w:rFonts w:ascii="Times New Roman"/>
                <w:sz w:val="17"/>
              </w:rPr>
            </w:pPr>
          </w:p>
          <w:p>
            <w:pPr>
              <w:pStyle w:val="TableParagraph"/>
              <w:ind w:right="267"/>
              <w:rPr>
                <w:sz w:val="16"/>
              </w:rPr>
            </w:pPr>
            <w:r>
              <w:rPr>
                <w:w w:val="99"/>
                <w:sz w:val="16"/>
              </w:rPr>
              <w:t>-</w:t>
            </w:r>
          </w:p>
        </w:tc>
        <w:tc>
          <w:tcPr>
            <w:tcW w:w="1168" w:type="dxa"/>
          </w:tcPr>
          <w:p>
            <w:pPr>
              <w:pStyle w:val="TableParagraph"/>
              <w:spacing w:before="5"/>
              <w:jc w:val="left"/>
              <w:rPr>
                <w:rFonts w:ascii="Times New Roman"/>
                <w:sz w:val="17"/>
              </w:rPr>
            </w:pPr>
          </w:p>
          <w:p>
            <w:pPr>
              <w:pStyle w:val="TableParagraph"/>
              <w:ind w:right="215"/>
              <w:rPr>
                <w:sz w:val="16"/>
              </w:rPr>
            </w:pPr>
            <w:r>
              <w:rPr>
                <w:w w:val="95"/>
                <w:sz w:val="16"/>
              </w:rPr>
              <w:t>(3,887)</w:t>
            </w:r>
          </w:p>
        </w:tc>
        <w:tc>
          <w:tcPr>
            <w:tcW w:w="979" w:type="dxa"/>
          </w:tcPr>
          <w:p>
            <w:pPr>
              <w:pStyle w:val="TableParagraph"/>
              <w:spacing w:before="5"/>
              <w:jc w:val="left"/>
              <w:rPr>
                <w:rFonts w:ascii="Times New Roman"/>
                <w:sz w:val="17"/>
              </w:rPr>
            </w:pPr>
          </w:p>
          <w:p>
            <w:pPr>
              <w:pStyle w:val="TableParagraph"/>
              <w:ind w:right="26"/>
              <w:rPr>
                <w:sz w:val="16"/>
              </w:rPr>
            </w:pPr>
            <w:r>
              <w:rPr>
                <w:w w:val="95"/>
                <w:sz w:val="16"/>
              </w:rPr>
              <w:t>(3,911)</w:t>
            </w:r>
          </w:p>
        </w:tc>
      </w:tr>
      <w:tr>
        <w:trPr>
          <w:trHeight w:val="241" w:hRule="exact"/>
        </w:trPr>
        <w:tc>
          <w:tcPr>
            <w:tcW w:w="429" w:type="dxa"/>
          </w:tcPr>
          <w:p>
            <w:pPr/>
          </w:p>
        </w:tc>
        <w:tc>
          <w:tcPr>
            <w:tcW w:w="4459" w:type="dxa"/>
          </w:tcPr>
          <w:p>
            <w:pPr>
              <w:pStyle w:val="TableParagraph"/>
              <w:spacing w:before="20"/>
              <w:ind w:left="213"/>
              <w:jc w:val="left"/>
              <w:rPr>
                <w:sz w:val="16"/>
              </w:rPr>
            </w:pPr>
            <w:r>
              <w:rPr>
                <w:sz w:val="16"/>
              </w:rPr>
              <w:t>Experience (gains)/losses</w:t>
            </w:r>
          </w:p>
        </w:tc>
        <w:tc>
          <w:tcPr>
            <w:tcW w:w="1316" w:type="dxa"/>
            <w:tcBorders>
              <w:bottom w:val="single" w:sz="0" w:space="0" w:color="000000"/>
            </w:tcBorders>
          </w:tcPr>
          <w:p>
            <w:pPr>
              <w:pStyle w:val="TableParagraph"/>
              <w:spacing w:before="19"/>
              <w:ind w:right="228"/>
              <w:rPr>
                <w:sz w:val="16"/>
              </w:rPr>
            </w:pPr>
            <w:r>
              <w:rPr>
                <w:w w:val="95"/>
                <w:sz w:val="16"/>
              </w:rPr>
              <w:t>123</w:t>
            </w:r>
          </w:p>
        </w:tc>
        <w:tc>
          <w:tcPr>
            <w:tcW w:w="1208" w:type="dxa"/>
            <w:tcBorders>
              <w:bottom w:val="single" w:sz="0" w:space="0" w:color="000000"/>
            </w:tcBorders>
          </w:tcPr>
          <w:p>
            <w:pPr>
              <w:pStyle w:val="TableParagraph"/>
              <w:spacing w:before="19"/>
              <w:ind w:right="215"/>
              <w:rPr>
                <w:sz w:val="16"/>
              </w:rPr>
            </w:pPr>
            <w:r>
              <w:rPr>
                <w:sz w:val="16"/>
              </w:rPr>
              <w:t>(275)</w:t>
            </w:r>
          </w:p>
        </w:tc>
        <w:tc>
          <w:tcPr>
            <w:tcW w:w="1168" w:type="dxa"/>
            <w:tcBorders>
              <w:bottom w:val="single" w:sz="0" w:space="0" w:color="000000"/>
            </w:tcBorders>
          </w:tcPr>
          <w:p>
            <w:pPr>
              <w:pStyle w:val="TableParagraph"/>
              <w:spacing w:before="19"/>
              <w:ind w:right="215"/>
              <w:rPr>
                <w:sz w:val="16"/>
              </w:rPr>
            </w:pPr>
            <w:r>
              <w:rPr>
                <w:w w:val="95"/>
                <w:sz w:val="16"/>
              </w:rPr>
              <w:t>(2,029)</w:t>
            </w:r>
          </w:p>
        </w:tc>
        <w:tc>
          <w:tcPr>
            <w:tcW w:w="979" w:type="dxa"/>
            <w:tcBorders>
              <w:bottom w:val="single" w:sz="0" w:space="0" w:color="000000"/>
            </w:tcBorders>
          </w:tcPr>
          <w:p>
            <w:pPr>
              <w:pStyle w:val="TableParagraph"/>
              <w:spacing w:before="19"/>
              <w:ind w:right="26"/>
              <w:rPr>
                <w:sz w:val="16"/>
              </w:rPr>
            </w:pPr>
            <w:r>
              <w:rPr>
                <w:w w:val="95"/>
                <w:sz w:val="16"/>
              </w:rPr>
              <w:t>(2,181)</w:t>
            </w:r>
          </w:p>
        </w:tc>
      </w:tr>
      <w:tr>
        <w:trPr>
          <w:trHeight w:val="316" w:hRule="exact"/>
        </w:trPr>
        <w:tc>
          <w:tcPr>
            <w:tcW w:w="429" w:type="dxa"/>
          </w:tcPr>
          <w:p>
            <w:pPr/>
          </w:p>
        </w:tc>
        <w:tc>
          <w:tcPr>
            <w:tcW w:w="4459" w:type="dxa"/>
          </w:tcPr>
          <w:p>
            <w:pPr/>
          </w:p>
        </w:tc>
        <w:tc>
          <w:tcPr>
            <w:tcW w:w="1316" w:type="dxa"/>
            <w:tcBorders>
              <w:top w:val="single" w:sz="0" w:space="0" w:color="000000"/>
              <w:bottom w:val="single" w:sz="0" w:space="0" w:color="000000"/>
            </w:tcBorders>
          </w:tcPr>
          <w:p>
            <w:pPr>
              <w:pStyle w:val="TableParagraph"/>
              <w:spacing w:before="122"/>
              <w:ind w:right="228"/>
              <w:rPr>
                <w:sz w:val="16"/>
              </w:rPr>
            </w:pPr>
            <w:r>
              <w:rPr>
                <w:sz w:val="16"/>
              </w:rPr>
              <w:t>765</w:t>
            </w:r>
          </w:p>
        </w:tc>
        <w:tc>
          <w:tcPr>
            <w:tcW w:w="1208" w:type="dxa"/>
            <w:tcBorders>
              <w:top w:val="single" w:sz="0" w:space="0" w:color="000000"/>
              <w:bottom w:val="single" w:sz="0" w:space="0" w:color="000000"/>
            </w:tcBorders>
          </w:tcPr>
          <w:p>
            <w:pPr>
              <w:pStyle w:val="TableParagraph"/>
              <w:spacing w:before="122"/>
              <w:ind w:right="215"/>
              <w:rPr>
                <w:sz w:val="16"/>
              </w:rPr>
            </w:pPr>
            <w:r>
              <w:rPr>
                <w:sz w:val="16"/>
              </w:rPr>
              <w:t>(349)</w:t>
            </w:r>
          </w:p>
        </w:tc>
        <w:tc>
          <w:tcPr>
            <w:tcW w:w="1168" w:type="dxa"/>
            <w:tcBorders>
              <w:top w:val="single" w:sz="0" w:space="0" w:color="000000"/>
              <w:bottom w:val="single" w:sz="0" w:space="0" w:color="000000"/>
            </w:tcBorders>
          </w:tcPr>
          <w:p>
            <w:pPr>
              <w:pStyle w:val="TableParagraph"/>
              <w:spacing w:before="122"/>
              <w:ind w:right="268"/>
              <w:rPr>
                <w:sz w:val="16"/>
              </w:rPr>
            </w:pPr>
            <w:r>
              <w:rPr>
                <w:w w:val="95"/>
                <w:sz w:val="16"/>
              </w:rPr>
              <w:t>7,537</w:t>
            </w:r>
          </w:p>
        </w:tc>
        <w:tc>
          <w:tcPr>
            <w:tcW w:w="979" w:type="dxa"/>
            <w:tcBorders>
              <w:top w:val="single" w:sz="0" w:space="0" w:color="000000"/>
              <w:bottom w:val="single" w:sz="0" w:space="0" w:color="000000"/>
            </w:tcBorders>
          </w:tcPr>
          <w:p>
            <w:pPr>
              <w:pStyle w:val="TableParagraph"/>
              <w:spacing w:before="122"/>
              <w:ind w:right="79"/>
              <w:rPr>
                <w:sz w:val="16"/>
              </w:rPr>
            </w:pPr>
            <w:r>
              <w:rPr>
                <w:w w:val="95"/>
                <w:sz w:val="16"/>
              </w:rPr>
              <w:t>7,953</w:t>
            </w:r>
          </w:p>
        </w:tc>
      </w:tr>
      <w:tr>
        <w:trPr>
          <w:trHeight w:val="330" w:hRule="exact"/>
        </w:trPr>
        <w:tc>
          <w:tcPr>
            <w:tcW w:w="429" w:type="dxa"/>
          </w:tcPr>
          <w:p>
            <w:pPr/>
          </w:p>
        </w:tc>
        <w:tc>
          <w:tcPr>
            <w:tcW w:w="4459" w:type="dxa"/>
          </w:tcPr>
          <w:p>
            <w:pPr>
              <w:pStyle w:val="TableParagraph"/>
              <w:spacing w:before="123"/>
              <w:ind w:left="213"/>
              <w:jc w:val="left"/>
              <w:rPr>
                <w:b/>
                <w:sz w:val="16"/>
              </w:rPr>
            </w:pPr>
            <w:r>
              <w:rPr>
                <w:b/>
                <w:sz w:val="16"/>
              </w:rPr>
              <w:t>Contributions</w:t>
            </w:r>
          </w:p>
        </w:tc>
        <w:tc>
          <w:tcPr>
            <w:tcW w:w="1316" w:type="dxa"/>
            <w:tcBorders>
              <w:top w:val="single" w:sz="0" w:space="0" w:color="000000"/>
            </w:tcBorders>
          </w:tcPr>
          <w:p>
            <w:pPr/>
          </w:p>
        </w:tc>
        <w:tc>
          <w:tcPr>
            <w:tcW w:w="1208" w:type="dxa"/>
            <w:tcBorders>
              <w:top w:val="single" w:sz="0" w:space="0" w:color="000000"/>
            </w:tcBorders>
          </w:tcPr>
          <w:p>
            <w:pPr/>
          </w:p>
        </w:tc>
        <w:tc>
          <w:tcPr>
            <w:tcW w:w="1168" w:type="dxa"/>
            <w:tcBorders>
              <w:top w:val="single" w:sz="0" w:space="0" w:color="000000"/>
            </w:tcBorders>
          </w:tcPr>
          <w:p>
            <w:pPr/>
          </w:p>
        </w:tc>
        <w:tc>
          <w:tcPr>
            <w:tcW w:w="979" w:type="dxa"/>
            <w:tcBorders>
              <w:top w:val="single" w:sz="0" w:space="0" w:color="000000"/>
            </w:tcBorders>
          </w:tcPr>
          <w:p>
            <w:pPr/>
          </w:p>
        </w:tc>
      </w:tr>
      <w:tr>
        <w:trPr>
          <w:trHeight w:val="269" w:hRule="exact"/>
        </w:trPr>
        <w:tc>
          <w:tcPr>
            <w:tcW w:w="429" w:type="dxa"/>
          </w:tcPr>
          <w:p>
            <w:pPr/>
          </w:p>
        </w:tc>
        <w:tc>
          <w:tcPr>
            <w:tcW w:w="4459" w:type="dxa"/>
          </w:tcPr>
          <w:p>
            <w:pPr>
              <w:pStyle w:val="TableParagraph"/>
              <w:spacing w:before="7"/>
              <w:ind w:left="213"/>
              <w:jc w:val="left"/>
              <w:rPr>
                <w:sz w:val="16"/>
              </w:rPr>
            </w:pPr>
            <w:r>
              <w:rPr>
                <w:sz w:val="16"/>
              </w:rPr>
              <w:t>Plan participants</w:t>
            </w:r>
          </w:p>
        </w:tc>
        <w:tc>
          <w:tcPr>
            <w:tcW w:w="1316" w:type="dxa"/>
          </w:tcPr>
          <w:p>
            <w:pPr>
              <w:pStyle w:val="TableParagraph"/>
              <w:spacing w:before="5"/>
              <w:ind w:right="228"/>
              <w:rPr>
                <w:sz w:val="16"/>
              </w:rPr>
            </w:pPr>
            <w:r>
              <w:rPr>
                <w:sz w:val="16"/>
              </w:rPr>
              <w:t>607</w:t>
            </w:r>
          </w:p>
        </w:tc>
        <w:tc>
          <w:tcPr>
            <w:tcW w:w="1208" w:type="dxa"/>
          </w:tcPr>
          <w:p>
            <w:pPr>
              <w:pStyle w:val="TableParagraph"/>
              <w:spacing w:before="5"/>
              <w:ind w:right="267"/>
              <w:rPr>
                <w:sz w:val="16"/>
              </w:rPr>
            </w:pPr>
            <w:r>
              <w:rPr>
                <w:w w:val="99"/>
                <w:sz w:val="16"/>
              </w:rPr>
              <w:t>-</w:t>
            </w:r>
          </w:p>
        </w:tc>
        <w:tc>
          <w:tcPr>
            <w:tcW w:w="1168" w:type="dxa"/>
          </w:tcPr>
          <w:p>
            <w:pPr>
              <w:pStyle w:val="TableParagraph"/>
              <w:spacing w:before="5"/>
              <w:ind w:right="268"/>
              <w:rPr>
                <w:sz w:val="16"/>
              </w:rPr>
            </w:pPr>
            <w:r>
              <w:rPr>
                <w:w w:val="95"/>
                <w:sz w:val="16"/>
              </w:rPr>
              <w:t>348</w:t>
            </w:r>
          </w:p>
        </w:tc>
        <w:tc>
          <w:tcPr>
            <w:tcW w:w="979" w:type="dxa"/>
          </w:tcPr>
          <w:p>
            <w:pPr>
              <w:pStyle w:val="TableParagraph"/>
              <w:spacing w:before="5"/>
              <w:ind w:right="79"/>
              <w:rPr>
                <w:sz w:val="16"/>
              </w:rPr>
            </w:pPr>
            <w:r>
              <w:rPr>
                <w:w w:val="95"/>
                <w:sz w:val="16"/>
              </w:rPr>
              <w:t>955</w:t>
            </w:r>
          </w:p>
        </w:tc>
      </w:tr>
      <w:tr>
        <w:trPr>
          <w:trHeight w:val="268" w:hRule="exact"/>
        </w:trPr>
        <w:tc>
          <w:tcPr>
            <w:tcW w:w="429" w:type="dxa"/>
          </w:tcPr>
          <w:p>
            <w:pPr/>
          </w:p>
        </w:tc>
        <w:tc>
          <w:tcPr>
            <w:tcW w:w="4459" w:type="dxa"/>
          </w:tcPr>
          <w:p>
            <w:pPr>
              <w:pStyle w:val="TableParagraph"/>
              <w:spacing w:before="61"/>
              <w:ind w:left="213"/>
              <w:jc w:val="left"/>
              <w:rPr>
                <w:b/>
                <w:sz w:val="16"/>
              </w:rPr>
            </w:pPr>
            <w:r>
              <w:rPr>
                <w:b/>
                <w:sz w:val="16"/>
              </w:rPr>
              <w:t>Payments from plan</w:t>
            </w:r>
          </w:p>
        </w:tc>
        <w:tc>
          <w:tcPr>
            <w:tcW w:w="1316" w:type="dxa"/>
          </w:tcPr>
          <w:p>
            <w:pPr/>
          </w:p>
        </w:tc>
        <w:tc>
          <w:tcPr>
            <w:tcW w:w="1208" w:type="dxa"/>
          </w:tcPr>
          <w:p>
            <w:pPr/>
          </w:p>
        </w:tc>
        <w:tc>
          <w:tcPr>
            <w:tcW w:w="1168" w:type="dxa"/>
          </w:tcPr>
          <w:p>
            <w:pPr/>
          </w:p>
        </w:tc>
        <w:tc>
          <w:tcPr>
            <w:tcW w:w="979" w:type="dxa"/>
          </w:tcPr>
          <w:p>
            <w:pPr/>
          </w:p>
        </w:tc>
      </w:tr>
      <w:tr>
        <w:trPr>
          <w:trHeight w:val="227" w:hRule="exact"/>
        </w:trPr>
        <w:tc>
          <w:tcPr>
            <w:tcW w:w="429" w:type="dxa"/>
          </w:tcPr>
          <w:p>
            <w:pPr/>
          </w:p>
        </w:tc>
        <w:tc>
          <w:tcPr>
            <w:tcW w:w="4459" w:type="dxa"/>
          </w:tcPr>
          <w:p>
            <w:pPr>
              <w:pStyle w:val="TableParagraph"/>
              <w:spacing w:before="7"/>
              <w:ind w:left="213"/>
              <w:jc w:val="left"/>
              <w:rPr>
                <w:sz w:val="16"/>
              </w:rPr>
            </w:pPr>
            <w:r>
              <w:rPr>
                <w:sz w:val="16"/>
              </w:rPr>
              <w:t>Benefits paid</w:t>
            </w:r>
          </w:p>
        </w:tc>
        <w:tc>
          <w:tcPr>
            <w:tcW w:w="1316" w:type="dxa"/>
          </w:tcPr>
          <w:p>
            <w:pPr>
              <w:pStyle w:val="TableParagraph"/>
              <w:spacing w:before="5"/>
              <w:ind w:right="174"/>
              <w:rPr>
                <w:sz w:val="16"/>
              </w:rPr>
            </w:pPr>
            <w:r>
              <w:rPr>
                <w:sz w:val="16"/>
              </w:rPr>
              <w:t>(6,218)</w:t>
            </w:r>
          </w:p>
        </w:tc>
        <w:tc>
          <w:tcPr>
            <w:tcW w:w="1208" w:type="dxa"/>
          </w:tcPr>
          <w:p>
            <w:pPr>
              <w:pStyle w:val="TableParagraph"/>
              <w:spacing w:before="5"/>
              <w:ind w:right="215"/>
              <w:rPr>
                <w:sz w:val="16"/>
              </w:rPr>
            </w:pPr>
            <w:r>
              <w:rPr>
                <w:sz w:val="16"/>
              </w:rPr>
              <w:t>(1,268)</w:t>
            </w:r>
          </w:p>
        </w:tc>
        <w:tc>
          <w:tcPr>
            <w:tcW w:w="1168" w:type="dxa"/>
          </w:tcPr>
          <w:p>
            <w:pPr>
              <w:pStyle w:val="TableParagraph"/>
              <w:spacing w:before="5"/>
              <w:ind w:right="215"/>
              <w:rPr>
                <w:sz w:val="16"/>
              </w:rPr>
            </w:pPr>
            <w:r>
              <w:rPr>
                <w:sz w:val="16"/>
              </w:rPr>
              <w:t>(16,749)</w:t>
            </w:r>
          </w:p>
        </w:tc>
        <w:tc>
          <w:tcPr>
            <w:tcW w:w="979" w:type="dxa"/>
          </w:tcPr>
          <w:p>
            <w:pPr>
              <w:pStyle w:val="TableParagraph"/>
              <w:spacing w:before="5"/>
              <w:ind w:right="26"/>
              <w:rPr>
                <w:sz w:val="16"/>
              </w:rPr>
            </w:pPr>
            <w:r>
              <w:rPr>
                <w:sz w:val="16"/>
              </w:rPr>
              <w:t>(24,235)</w:t>
            </w:r>
          </w:p>
        </w:tc>
      </w:tr>
      <w:tr>
        <w:trPr>
          <w:trHeight w:val="241" w:hRule="exact"/>
        </w:trPr>
        <w:tc>
          <w:tcPr>
            <w:tcW w:w="429" w:type="dxa"/>
          </w:tcPr>
          <w:p>
            <w:pPr/>
          </w:p>
        </w:tc>
        <w:tc>
          <w:tcPr>
            <w:tcW w:w="4459" w:type="dxa"/>
          </w:tcPr>
          <w:p>
            <w:pPr>
              <w:pStyle w:val="TableParagraph"/>
              <w:spacing w:before="20"/>
              <w:ind w:left="213"/>
              <w:jc w:val="left"/>
              <w:rPr>
                <w:sz w:val="16"/>
              </w:rPr>
            </w:pPr>
            <w:r>
              <w:rPr>
                <w:sz w:val="16"/>
              </w:rPr>
              <w:t>Taxes, premiums and expenses paid</w:t>
            </w:r>
          </w:p>
        </w:tc>
        <w:tc>
          <w:tcPr>
            <w:tcW w:w="1316" w:type="dxa"/>
            <w:tcBorders>
              <w:bottom w:val="single" w:sz="0" w:space="0" w:color="000000"/>
            </w:tcBorders>
          </w:tcPr>
          <w:p>
            <w:pPr>
              <w:pStyle w:val="TableParagraph"/>
              <w:spacing w:before="19"/>
              <w:ind w:right="174"/>
              <w:rPr>
                <w:sz w:val="16"/>
              </w:rPr>
            </w:pPr>
            <w:r>
              <w:rPr>
                <w:sz w:val="16"/>
              </w:rPr>
              <w:t>(179)</w:t>
            </w:r>
          </w:p>
        </w:tc>
        <w:tc>
          <w:tcPr>
            <w:tcW w:w="1208" w:type="dxa"/>
            <w:tcBorders>
              <w:bottom w:val="single" w:sz="0" w:space="0" w:color="000000"/>
            </w:tcBorders>
          </w:tcPr>
          <w:p>
            <w:pPr>
              <w:pStyle w:val="TableParagraph"/>
              <w:spacing w:before="19"/>
              <w:ind w:right="268"/>
              <w:rPr>
                <w:sz w:val="16"/>
              </w:rPr>
            </w:pPr>
            <w:r>
              <w:rPr>
                <w:sz w:val="16"/>
              </w:rPr>
              <w:t>138</w:t>
            </w:r>
          </w:p>
        </w:tc>
        <w:tc>
          <w:tcPr>
            <w:tcW w:w="1168" w:type="dxa"/>
            <w:tcBorders>
              <w:bottom w:val="single" w:sz="0" w:space="0" w:color="000000"/>
            </w:tcBorders>
          </w:tcPr>
          <w:p>
            <w:pPr>
              <w:pStyle w:val="TableParagraph"/>
              <w:spacing w:before="19"/>
              <w:ind w:right="268"/>
              <w:rPr>
                <w:sz w:val="16"/>
              </w:rPr>
            </w:pPr>
            <w:r>
              <w:rPr>
                <w:w w:val="95"/>
                <w:sz w:val="16"/>
              </w:rPr>
              <w:t>1,585</w:t>
            </w:r>
          </w:p>
        </w:tc>
        <w:tc>
          <w:tcPr>
            <w:tcW w:w="979" w:type="dxa"/>
            <w:tcBorders>
              <w:bottom w:val="single" w:sz="0" w:space="0" w:color="000000"/>
            </w:tcBorders>
          </w:tcPr>
          <w:p>
            <w:pPr>
              <w:pStyle w:val="TableParagraph"/>
              <w:spacing w:before="19"/>
              <w:ind w:right="79"/>
              <w:rPr>
                <w:sz w:val="16"/>
              </w:rPr>
            </w:pPr>
            <w:r>
              <w:rPr>
                <w:w w:val="95"/>
                <w:sz w:val="16"/>
              </w:rPr>
              <w:t>1,544</w:t>
            </w:r>
          </w:p>
        </w:tc>
      </w:tr>
      <w:tr>
        <w:trPr>
          <w:trHeight w:val="316" w:hRule="exact"/>
        </w:trPr>
        <w:tc>
          <w:tcPr>
            <w:tcW w:w="429" w:type="dxa"/>
          </w:tcPr>
          <w:p>
            <w:pPr/>
          </w:p>
        </w:tc>
        <w:tc>
          <w:tcPr>
            <w:tcW w:w="4459" w:type="dxa"/>
          </w:tcPr>
          <w:p>
            <w:pPr/>
          </w:p>
        </w:tc>
        <w:tc>
          <w:tcPr>
            <w:tcW w:w="1316" w:type="dxa"/>
            <w:tcBorders>
              <w:top w:val="single" w:sz="0" w:space="0" w:color="000000"/>
              <w:bottom w:val="single" w:sz="0" w:space="0" w:color="000000"/>
            </w:tcBorders>
          </w:tcPr>
          <w:p>
            <w:pPr>
              <w:pStyle w:val="TableParagraph"/>
              <w:spacing w:before="122"/>
              <w:ind w:right="174"/>
              <w:rPr>
                <w:sz w:val="16"/>
              </w:rPr>
            </w:pPr>
            <w:r>
              <w:rPr>
                <w:sz w:val="16"/>
              </w:rPr>
              <w:t>(6,397)</w:t>
            </w:r>
          </w:p>
        </w:tc>
        <w:tc>
          <w:tcPr>
            <w:tcW w:w="1208" w:type="dxa"/>
            <w:tcBorders>
              <w:top w:val="single" w:sz="0" w:space="0" w:color="000000"/>
              <w:bottom w:val="single" w:sz="0" w:space="0" w:color="000000"/>
            </w:tcBorders>
          </w:tcPr>
          <w:p>
            <w:pPr>
              <w:pStyle w:val="TableParagraph"/>
              <w:spacing w:before="122"/>
              <w:ind w:right="215"/>
              <w:rPr>
                <w:sz w:val="16"/>
              </w:rPr>
            </w:pPr>
            <w:r>
              <w:rPr>
                <w:sz w:val="16"/>
              </w:rPr>
              <w:t>(1,130)</w:t>
            </w:r>
          </w:p>
        </w:tc>
        <w:tc>
          <w:tcPr>
            <w:tcW w:w="1168" w:type="dxa"/>
            <w:tcBorders>
              <w:top w:val="single" w:sz="0" w:space="0" w:color="000000"/>
              <w:bottom w:val="single" w:sz="0" w:space="0" w:color="000000"/>
            </w:tcBorders>
          </w:tcPr>
          <w:p>
            <w:pPr>
              <w:pStyle w:val="TableParagraph"/>
              <w:spacing w:before="122"/>
              <w:ind w:right="215"/>
              <w:rPr>
                <w:sz w:val="16"/>
              </w:rPr>
            </w:pPr>
            <w:r>
              <w:rPr>
                <w:sz w:val="16"/>
              </w:rPr>
              <w:t>(15,164)</w:t>
            </w:r>
          </w:p>
        </w:tc>
        <w:tc>
          <w:tcPr>
            <w:tcW w:w="979" w:type="dxa"/>
            <w:tcBorders>
              <w:top w:val="single" w:sz="0" w:space="0" w:color="000000"/>
              <w:bottom w:val="single" w:sz="0" w:space="0" w:color="000000"/>
            </w:tcBorders>
          </w:tcPr>
          <w:p>
            <w:pPr>
              <w:pStyle w:val="TableParagraph"/>
              <w:spacing w:before="122"/>
              <w:ind w:right="26"/>
              <w:rPr>
                <w:sz w:val="16"/>
              </w:rPr>
            </w:pPr>
            <w:r>
              <w:rPr>
                <w:sz w:val="16"/>
              </w:rPr>
              <w:t>(22,691)</w:t>
            </w:r>
          </w:p>
        </w:tc>
      </w:tr>
      <w:tr>
        <w:trPr>
          <w:trHeight w:val="331" w:hRule="exact"/>
        </w:trPr>
        <w:tc>
          <w:tcPr>
            <w:tcW w:w="429" w:type="dxa"/>
          </w:tcPr>
          <w:p>
            <w:pPr/>
          </w:p>
        </w:tc>
        <w:tc>
          <w:tcPr>
            <w:tcW w:w="4459" w:type="dxa"/>
          </w:tcPr>
          <w:p>
            <w:pPr>
              <w:pStyle w:val="TableParagraph"/>
              <w:spacing w:before="123"/>
              <w:ind w:left="213"/>
              <w:jc w:val="left"/>
              <w:rPr>
                <w:b/>
                <w:sz w:val="16"/>
              </w:rPr>
            </w:pPr>
            <w:r>
              <w:rPr>
                <w:b/>
                <w:sz w:val="16"/>
              </w:rPr>
              <w:t>Closing defined benefit obligation</w:t>
            </w:r>
          </w:p>
        </w:tc>
        <w:tc>
          <w:tcPr>
            <w:tcW w:w="1316" w:type="dxa"/>
            <w:tcBorders>
              <w:top w:val="single" w:sz="0" w:space="0" w:color="000000"/>
              <w:bottom w:val="single" w:sz="0" w:space="0" w:color="000000"/>
            </w:tcBorders>
          </w:tcPr>
          <w:p>
            <w:pPr>
              <w:pStyle w:val="TableParagraph"/>
              <w:spacing w:before="122"/>
              <w:ind w:right="228"/>
              <w:rPr>
                <w:sz w:val="16"/>
              </w:rPr>
            </w:pPr>
            <w:r>
              <w:rPr>
                <w:w w:val="95"/>
                <w:sz w:val="16"/>
              </w:rPr>
              <w:t>43,556</w:t>
            </w:r>
          </w:p>
        </w:tc>
        <w:tc>
          <w:tcPr>
            <w:tcW w:w="1208" w:type="dxa"/>
            <w:tcBorders>
              <w:top w:val="single" w:sz="0" w:space="0" w:color="000000"/>
              <w:bottom w:val="single" w:sz="0" w:space="0" w:color="000000"/>
            </w:tcBorders>
          </w:tcPr>
          <w:p>
            <w:pPr>
              <w:pStyle w:val="TableParagraph"/>
              <w:spacing w:before="122"/>
              <w:ind w:right="268"/>
              <w:rPr>
                <w:sz w:val="16"/>
              </w:rPr>
            </w:pPr>
            <w:r>
              <w:rPr>
                <w:w w:val="95"/>
                <w:sz w:val="16"/>
              </w:rPr>
              <w:t>6,897</w:t>
            </w:r>
          </w:p>
        </w:tc>
        <w:tc>
          <w:tcPr>
            <w:tcW w:w="1168" w:type="dxa"/>
            <w:tcBorders>
              <w:top w:val="single" w:sz="0" w:space="0" w:color="000000"/>
              <w:bottom w:val="single" w:sz="0" w:space="0" w:color="000000"/>
            </w:tcBorders>
          </w:tcPr>
          <w:p>
            <w:pPr>
              <w:pStyle w:val="TableParagraph"/>
              <w:spacing w:before="122"/>
              <w:ind w:right="268"/>
              <w:rPr>
                <w:sz w:val="16"/>
              </w:rPr>
            </w:pPr>
            <w:r>
              <w:rPr>
                <w:w w:val="95"/>
                <w:sz w:val="16"/>
              </w:rPr>
              <w:t>422,251</w:t>
            </w:r>
          </w:p>
        </w:tc>
        <w:tc>
          <w:tcPr>
            <w:tcW w:w="979" w:type="dxa"/>
            <w:tcBorders>
              <w:top w:val="single" w:sz="0" w:space="0" w:color="000000"/>
              <w:bottom w:val="single" w:sz="0" w:space="0" w:color="000000"/>
            </w:tcBorders>
          </w:tcPr>
          <w:p>
            <w:pPr>
              <w:pStyle w:val="TableParagraph"/>
              <w:spacing w:before="122"/>
              <w:ind w:right="79"/>
              <w:rPr>
                <w:sz w:val="16"/>
              </w:rPr>
            </w:pPr>
            <w:r>
              <w:rPr>
                <w:w w:val="95"/>
                <w:sz w:val="16"/>
              </w:rPr>
              <w:t>472,704</w:t>
            </w:r>
          </w:p>
        </w:tc>
      </w:tr>
    </w:tbl>
    <w:p>
      <w:pPr>
        <w:pStyle w:val="BodyText"/>
        <w:rPr>
          <w:rFonts w:ascii="Times New Roman"/>
          <w:sz w:val="20"/>
        </w:rPr>
      </w:pPr>
    </w:p>
    <w:p>
      <w:pPr>
        <w:pStyle w:val="BodyText"/>
        <w:spacing w:before="1"/>
        <w:rPr>
          <w:rFonts w:ascii="Times New Roman"/>
          <w:sz w:val="28"/>
        </w:rPr>
      </w:pPr>
    </w:p>
    <w:tbl>
      <w:tblPr>
        <w:tblW w:w="0" w:type="auto"/>
        <w:jc w:val="left"/>
        <w:tblInd w:w="239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281"/>
        <w:gridCol w:w="1470"/>
        <w:gridCol w:w="1105"/>
        <w:gridCol w:w="1168"/>
        <w:gridCol w:w="927"/>
      </w:tblGrid>
      <w:tr>
        <w:trPr>
          <w:trHeight w:val="513" w:hRule="exact"/>
        </w:trPr>
        <w:tc>
          <w:tcPr>
            <w:tcW w:w="4281" w:type="dxa"/>
          </w:tcPr>
          <w:p>
            <w:pPr>
              <w:pStyle w:val="TableParagraph"/>
              <w:spacing w:before="79"/>
              <w:ind w:left="35" w:right="1046"/>
              <w:jc w:val="left"/>
              <w:rPr>
                <w:b/>
                <w:sz w:val="16"/>
              </w:rPr>
            </w:pPr>
            <w:r>
              <w:rPr>
                <w:b/>
                <w:sz w:val="16"/>
              </w:rPr>
              <w:t>Present value of plan assets - 2015</w:t>
            </w:r>
          </w:p>
          <w:p>
            <w:pPr>
              <w:pStyle w:val="TableParagraph"/>
              <w:spacing w:before="29"/>
              <w:ind w:left="35" w:right="1046"/>
              <w:jc w:val="left"/>
              <w:rPr>
                <w:sz w:val="16"/>
              </w:rPr>
            </w:pPr>
            <w:r>
              <w:rPr>
                <w:sz w:val="16"/>
              </w:rPr>
              <w:t>Opening fair value of plan assets</w:t>
            </w:r>
          </w:p>
        </w:tc>
        <w:tc>
          <w:tcPr>
            <w:tcW w:w="1470" w:type="dxa"/>
          </w:tcPr>
          <w:p>
            <w:pPr>
              <w:pStyle w:val="TableParagraph"/>
              <w:jc w:val="left"/>
              <w:rPr>
                <w:rFonts w:ascii="Times New Roman"/>
                <w:sz w:val="16"/>
              </w:rPr>
            </w:pPr>
          </w:p>
          <w:p>
            <w:pPr>
              <w:pStyle w:val="TableParagraph"/>
              <w:spacing w:before="107"/>
              <w:ind w:right="382"/>
              <w:rPr>
                <w:sz w:val="16"/>
              </w:rPr>
            </w:pPr>
            <w:r>
              <w:rPr>
                <w:w w:val="95"/>
                <w:sz w:val="16"/>
              </w:rPr>
              <w:t>35,679</w:t>
            </w:r>
          </w:p>
        </w:tc>
        <w:tc>
          <w:tcPr>
            <w:tcW w:w="1105" w:type="dxa"/>
          </w:tcPr>
          <w:p>
            <w:pPr>
              <w:pStyle w:val="TableParagraph"/>
              <w:jc w:val="left"/>
              <w:rPr>
                <w:rFonts w:ascii="Times New Roman"/>
                <w:sz w:val="16"/>
              </w:rPr>
            </w:pPr>
          </w:p>
          <w:p>
            <w:pPr>
              <w:pStyle w:val="TableParagraph"/>
              <w:spacing w:before="107"/>
              <w:ind w:right="319"/>
              <w:rPr>
                <w:sz w:val="16"/>
              </w:rPr>
            </w:pPr>
            <w:r>
              <w:rPr>
                <w:w w:val="95"/>
                <w:sz w:val="16"/>
              </w:rPr>
              <w:t>4,323</w:t>
            </w:r>
          </w:p>
        </w:tc>
        <w:tc>
          <w:tcPr>
            <w:tcW w:w="1168" w:type="dxa"/>
          </w:tcPr>
          <w:p>
            <w:pPr>
              <w:pStyle w:val="TableParagraph"/>
              <w:jc w:val="left"/>
              <w:rPr>
                <w:rFonts w:ascii="Times New Roman"/>
                <w:sz w:val="16"/>
              </w:rPr>
            </w:pPr>
          </w:p>
          <w:p>
            <w:pPr>
              <w:pStyle w:val="TableParagraph"/>
              <w:spacing w:before="107"/>
              <w:ind w:right="319"/>
              <w:rPr>
                <w:sz w:val="16"/>
              </w:rPr>
            </w:pPr>
            <w:r>
              <w:rPr>
                <w:w w:val="95"/>
                <w:sz w:val="16"/>
              </w:rPr>
              <w:t>111,577</w:t>
            </w:r>
          </w:p>
        </w:tc>
        <w:tc>
          <w:tcPr>
            <w:tcW w:w="927" w:type="dxa"/>
          </w:tcPr>
          <w:p>
            <w:pPr>
              <w:pStyle w:val="TableParagraph"/>
              <w:jc w:val="left"/>
              <w:rPr>
                <w:rFonts w:ascii="Times New Roman"/>
                <w:sz w:val="16"/>
              </w:rPr>
            </w:pPr>
          </w:p>
          <w:p>
            <w:pPr>
              <w:pStyle w:val="TableParagraph"/>
              <w:spacing w:before="107"/>
              <w:ind w:right="79"/>
              <w:rPr>
                <w:sz w:val="16"/>
              </w:rPr>
            </w:pPr>
            <w:r>
              <w:rPr>
                <w:w w:val="95"/>
                <w:sz w:val="16"/>
              </w:rPr>
              <w:t>151,579</w:t>
            </w:r>
          </w:p>
        </w:tc>
      </w:tr>
      <w:tr>
        <w:trPr>
          <w:trHeight w:val="241" w:hRule="exact"/>
        </w:trPr>
        <w:tc>
          <w:tcPr>
            <w:tcW w:w="4281" w:type="dxa"/>
          </w:tcPr>
          <w:p>
            <w:pPr>
              <w:pStyle w:val="TableParagraph"/>
              <w:spacing w:before="20"/>
              <w:ind w:left="35" w:right="1046"/>
              <w:jc w:val="left"/>
              <w:rPr>
                <w:sz w:val="16"/>
              </w:rPr>
            </w:pPr>
            <w:r>
              <w:rPr>
                <w:sz w:val="16"/>
              </w:rPr>
              <w:t>Interest expense / (income)</w:t>
            </w:r>
          </w:p>
        </w:tc>
        <w:tc>
          <w:tcPr>
            <w:tcW w:w="1470" w:type="dxa"/>
            <w:tcBorders>
              <w:bottom w:val="single" w:sz="0" w:space="0" w:color="000000"/>
            </w:tcBorders>
          </w:tcPr>
          <w:p>
            <w:pPr>
              <w:pStyle w:val="TableParagraph"/>
              <w:spacing w:before="19"/>
              <w:ind w:right="382"/>
              <w:rPr>
                <w:sz w:val="16"/>
              </w:rPr>
            </w:pPr>
            <w:r>
              <w:rPr>
                <w:w w:val="95"/>
                <w:sz w:val="16"/>
              </w:rPr>
              <w:t>945</w:t>
            </w:r>
          </w:p>
        </w:tc>
        <w:tc>
          <w:tcPr>
            <w:tcW w:w="1105" w:type="dxa"/>
            <w:tcBorders>
              <w:bottom w:val="single" w:sz="0" w:space="0" w:color="000000"/>
            </w:tcBorders>
          </w:tcPr>
          <w:p>
            <w:pPr>
              <w:pStyle w:val="TableParagraph"/>
              <w:spacing w:before="19"/>
              <w:ind w:right="319"/>
              <w:rPr>
                <w:sz w:val="16"/>
              </w:rPr>
            </w:pPr>
            <w:r>
              <w:rPr>
                <w:sz w:val="16"/>
              </w:rPr>
              <w:t>113</w:t>
            </w:r>
          </w:p>
        </w:tc>
        <w:tc>
          <w:tcPr>
            <w:tcW w:w="1168" w:type="dxa"/>
            <w:tcBorders>
              <w:bottom w:val="single" w:sz="0" w:space="0" w:color="000000"/>
            </w:tcBorders>
          </w:tcPr>
          <w:p>
            <w:pPr>
              <w:pStyle w:val="TableParagraph"/>
              <w:spacing w:before="19"/>
              <w:ind w:right="319"/>
              <w:rPr>
                <w:sz w:val="16"/>
              </w:rPr>
            </w:pPr>
            <w:r>
              <w:rPr>
                <w:w w:val="95"/>
                <w:sz w:val="16"/>
              </w:rPr>
              <w:t>2,917</w:t>
            </w:r>
          </w:p>
        </w:tc>
        <w:tc>
          <w:tcPr>
            <w:tcW w:w="927" w:type="dxa"/>
            <w:tcBorders>
              <w:bottom w:val="single" w:sz="0" w:space="0" w:color="000000"/>
            </w:tcBorders>
          </w:tcPr>
          <w:p>
            <w:pPr>
              <w:pStyle w:val="TableParagraph"/>
              <w:spacing w:before="19"/>
              <w:ind w:right="79"/>
              <w:rPr>
                <w:sz w:val="16"/>
              </w:rPr>
            </w:pPr>
            <w:r>
              <w:rPr>
                <w:w w:val="95"/>
                <w:sz w:val="16"/>
              </w:rPr>
              <w:t>3,975</w:t>
            </w:r>
          </w:p>
        </w:tc>
      </w:tr>
      <w:tr>
        <w:trPr>
          <w:trHeight w:val="316" w:hRule="exact"/>
        </w:trPr>
        <w:tc>
          <w:tcPr>
            <w:tcW w:w="4281" w:type="dxa"/>
          </w:tcPr>
          <w:p>
            <w:pPr/>
          </w:p>
        </w:tc>
        <w:tc>
          <w:tcPr>
            <w:tcW w:w="1470" w:type="dxa"/>
            <w:tcBorders>
              <w:top w:val="single" w:sz="0" w:space="0" w:color="000000"/>
              <w:bottom w:val="single" w:sz="0" w:space="0" w:color="000000"/>
            </w:tcBorders>
          </w:tcPr>
          <w:p>
            <w:pPr>
              <w:pStyle w:val="TableParagraph"/>
              <w:spacing w:before="122"/>
              <w:ind w:right="382"/>
              <w:rPr>
                <w:sz w:val="16"/>
              </w:rPr>
            </w:pPr>
            <w:r>
              <w:rPr>
                <w:w w:val="95"/>
                <w:sz w:val="16"/>
              </w:rPr>
              <w:t>36,624</w:t>
            </w:r>
          </w:p>
        </w:tc>
        <w:tc>
          <w:tcPr>
            <w:tcW w:w="1105" w:type="dxa"/>
            <w:tcBorders>
              <w:top w:val="single" w:sz="0" w:space="0" w:color="000000"/>
              <w:bottom w:val="single" w:sz="0" w:space="0" w:color="000000"/>
            </w:tcBorders>
          </w:tcPr>
          <w:p>
            <w:pPr>
              <w:pStyle w:val="TableParagraph"/>
              <w:spacing w:before="122"/>
              <w:ind w:right="319"/>
              <w:rPr>
                <w:sz w:val="16"/>
              </w:rPr>
            </w:pPr>
            <w:r>
              <w:rPr>
                <w:w w:val="95"/>
                <w:sz w:val="16"/>
              </w:rPr>
              <w:t>4,436</w:t>
            </w:r>
          </w:p>
        </w:tc>
        <w:tc>
          <w:tcPr>
            <w:tcW w:w="1168" w:type="dxa"/>
            <w:tcBorders>
              <w:top w:val="single" w:sz="0" w:space="0" w:color="000000"/>
              <w:bottom w:val="single" w:sz="0" w:space="0" w:color="000000"/>
            </w:tcBorders>
          </w:tcPr>
          <w:p>
            <w:pPr>
              <w:pStyle w:val="TableParagraph"/>
              <w:spacing w:before="122"/>
              <w:ind w:right="319"/>
              <w:rPr>
                <w:sz w:val="16"/>
              </w:rPr>
            </w:pPr>
            <w:r>
              <w:rPr>
                <w:w w:val="95"/>
                <w:sz w:val="16"/>
              </w:rPr>
              <w:t>114,494</w:t>
            </w:r>
          </w:p>
        </w:tc>
        <w:tc>
          <w:tcPr>
            <w:tcW w:w="927" w:type="dxa"/>
            <w:tcBorders>
              <w:top w:val="single" w:sz="0" w:space="0" w:color="000000"/>
              <w:bottom w:val="single" w:sz="0" w:space="0" w:color="000000"/>
            </w:tcBorders>
          </w:tcPr>
          <w:p>
            <w:pPr>
              <w:pStyle w:val="TableParagraph"/>
              <w:spacing w:before="122"/>
              <w:ind w:right="79"/>
              <w:rPr>
                <w:sz w:val="16"/>
              </w:rPr>
            </w:pPr>
            <w:r>
              <w:rPr>
                <w:w w:val="95"/>
                <w:sz w:val="16"/>
              </w:rPr>
              <w:t>155,554</w:t>
            </w:r>
          </w:p>
        </w:tc>
      </w:tr>
      <w:tr>
        <w:trPr>
          <w:trHeight w:val="329" w:hRule="exact"/>
        </w:trPr>
        <w:tc>
          <w:tcPr>
            <w:tcW w:w="4281" w:type="dxa"/>
          </w:tcPr>
          <w:p>
            <w:pPr>
              <w:pStyle w:val="TableParagraph"/>
              <w:spacing w:before="123"/>
              <w:ind w:left="35" w:right="1046"/>
              <w:jc w:val="left"/>
              <w:rPr>
                <w:b/>
                <w:sz w:val="16"/>
              </w:rPr>
            </w:pPr>
            <w:r>
              <w:rPr>
                <w:b/>
                <w:sz w:val="16"/>
              </w:rPr>
              <w:t>Remeasurements</w:t>
            </w:r>
          </w:p>
        </w:tc>
        <w:tc>
          <w:tcPr>
            <w:tcW w:w="1470" w:type="dxa"/>
            <w:tcBorders>
              <w:top w:val="single" w:sz="0" w:space="0" w:color="000000"/>
            </w:tcBorders>
          </w:tcPr>
          <w:p>
            <w:pPr/>
          </w:p>
        </w:tc>
        <w:tc>
          <w:tcPr>
            <w:tcW w:w="1105" w:type="dxa"/>
            <w:tcBorders>
              <w:top w:val="single" w:sz="0" w:space="0" w:color="000000"/>
            </w:tcBorders>
          </w:tcPr>
          <w:p>
            <w:pPr/>
          </w:p>
        </w:tc>
        <w:tc>
          <w:tcPr>
            <w:tcW w:w="1168" w:type="dxa"/>
            <w:tcBorders>
              <w:top w:val="single" w:sz="0" w:space="0" w:color="000000"/>
            </w:tcBorders>
          </w:tcPr>
          <w:p>
            <w:pPr/>
          </w:p>
        </w:tc>
        <w:tc>
          <w:tcPr>
            <w:tcW w:w="927" w:type="dxa"/>
            <w:tcBorders>
              <w:top w:val="single" w:sz="0" w:space="0" w:color="000000"/>
            </w:tcBorders>
          </w:tcPr>
          <w:p>
            <w:pPr/>
          </w:p>
        </w:tc>
      </w:tr>
      <w:tr>
        <w:trPr>
          <w:trHeight w:val="409" w:hRule="exact"/>
        </w:trPr>
        <w:tc>
          <w:tcPr>
            <w:tcW w:w="4281" w:type="dxa"/>
          </w:tcPr>
          <w:p>
            <w:pPr>
              <w:pStyle w:val="TableParagraph"/>
              <w:spacing w:before="5"/>
              <w:ind w:left="35" w:right="1046"/>
              <w:jc w:val="left"/>
              <w:rPr>
                <w:sz w:val="16"/>
              </w:rPr>
            </w:pPr>
            <w:r>
              <w:rPr>
                <w:sz w:val="16"/>
              </w:rPr>
              <w:t>Return on plan assets, excluding amounts included in net interest expense</w:t>
            </w:r>
          </w:p>
        </w:tc>
        <w:tc>
          <w:tcPr>
            <w:tcW w:w="1470" w:type="dxa"/>
            <w:tcBorders>
              <w:bottom w:val="single" w:sz="0" w:space="0" w:color="000000"/>
            </w:tcBorders>
          </w:tcPr>
          <w:p>
            <w:pPr>
              <w:pStyle w:val="TableParagraph"/>
              <w:spacing w:before="3"/>
              <w:jc w:val="left"/>
              <w:rPr>
                <w:rFonts w:ascii="Times New Roman"/>
                <w:sz w:val="16"/>
              </w:rPr>
            </w:pPr>
          </w:p>
          <w:p>
            <w:pPr>
              <w:pStyle w:val="TableParagraph"/>
              <w:ind w:right="382"/>
              <w:rPr>
                <w:sz w:val="16"/>
              </w:rPr>
            </w:pPr>
            <w:r>
              <w:rPr>
                <w:w w:val="95"/>
                <w:sz w:val="16"/>
              </w:rPr>
              <w:t>617</w:t>
            </w:r>
          </w:p>
        </w:tc>
        <w:tc>
          <w:tcPr>
            <w:tcW w:w="1105" w:type="dxa"/>
            <w:tcBorders>
              <w:bottom w:val="single" w:sz="0" w:space="0" w:color="000000"/>
            </w:tcBorders>
          </w:tcPr>
          <w:p>
            <w:pPr>
              <w:pStyle w:val="TableParagraph"/>
              <w:spacing w:before="3"/>
              <w:jc w:val="left"/>
              <w:rPr>
                <w:rFonts w:ascii="Times New Roman"/>
                <w:sz w:val="16"/>
              </w:rPr>
            </w:pPr>
          </w:p>
          <w:p>
            <w:pPr>
              <w:pStyle w:val="TableParagraph"/>
              <w:ind w:right="319"/>
              <w:rPr>
                <w:sz w:val="16"/>
              </w:rPr>
            </w:pPr>
            <w:r>
              <w:rPr>
                <w:w w:val="95"/>
                <w:sz w:val="16"/>
              </w:rPr>
              <w:t>29</w:t>
            </w:r>
          </w:p>
        </w:tc>
        <w:tc>
          <w:tcPr>
            <w:tcW w:w="1168" w:type="dxa"/>
            <w:tcBorders>
              <w:bottom w:val="single" w:sz="0" w:space="0" w:color="000000"/>
            </w:tcBorders>
          </w:tcPr>
          <w:p>
            <w:pPr>
              <w:pStyle w:val="TableParagraph"/>
              <w:spacing w:before="3"/>
              <w:jc w:val="left"/>
              <w:rPr>
                <w:rFonts w:ascii="Times New Roman"/>
                <w:sz w:val="16"/>
              </w:rPr>
            </w:pPr>
          </w:p>
          <w:p>
            <w:pPr>
              <w:pStyle w:val="TableParagraph"/>
              <w:ind w:right="319"/>
              <w:rPr>
                <w:sz w:val="16"/>
              </w:rPr>
            </w:pPr>
            <w:r>
              <w:rPr>
                <w:sz w:val="16"/>
              </w:rPr>
              <w:t>766</w:t>
            </w:r>
          </w:p>
        </w:tc>
        <w:tc>
          <w:tcPr>
            <w:tcW w:w="927" w:type="dxa"/>
            <w:tcBorders>
              <w:bottom w:val="single" w:sz="0" w:space="0" w:color="000000"/>
            </w:tcBorders>
          </w:tcPr>
          <w:p>
            <w:pPr>
              <w:pStyle w:val="TableParagraph"/>
              <w:spacing w:before="3"/>
              <w:jc w:val="left"/>
              <w:rPr>
                <w:rFonts w:ascii="Times New Roman"/>
                <w:sz w:val="16"/>
              </w:rPr>
            </w:pPr>
          </w:p>
          <w:p>
            <w:pPr>
              <w:pStyle w:val="TableParagraph"/>
              <w:ind w:right="79"/>
              <w:rPr>
                <w:sz w:val="16"/>
              </w:rPr>
            </w:pPr>
            <w:r>
              <w:rPr>
                <w:w w:val="95"/>
                <w:sz w:val="16"/>
              </w:rPr>
              <w:t>1,412</w:t>
            </w:r>
          </w:p>
        </w:tc>
      </w:tr>
      <w:tr>
        <w:trPr>
          <w:trHeight w:val="316" w:hRule="exact"/>
        </w:trPr>
        <w:tc>
          <w:tcPr>
            <w:tcW w:w="4281" w:type="dxa"/>
          </w:tcPr>
          <w:p>
            <w:pPr/>
          </w:p>
        </w:tc>
        <w:tc>
          <w:tcPr>
            <w:tcW w:w="1470" w:type="dxa"/>
            <w:tcBorders>
              <w:top w:val="single" w:sz="0" w:space="0" w:color="000000"/>
              <w:bottom w:val="single" w:sz="0" w:space="0" w:color="000000"/>
            </w:tcBorders>
          </w:tcPr>
          <w:p>
            <w:pPr>
              <w:pStyle w:val="TableParagraph"/>
              <w:spacing w:before="122"/>
              <w:ind w:right="382"/>
              <w:rPr>
                <w:sz w:val="16"/>
              </w:rPr>
            </w:pPr>
            <w:r>
              <w:rPr>
                <w:w w:val="95"/>
                <w:sz w:val="16"/>
              </w:rPr>
              <w:t>617</w:t>
            </w:r>
          </w:p>
        </w:tc>
        <w:tc>
          <w:tcPr>
            <w:tcW w:w="1105" w:type="dxa"/>
            <w:tcBorders>
              <w:top w:val="single" w:sz="0" w:space="0" w:color="000000"/>
              <w:bottom w:val="single" w:sz="0" w:space="0" w:color="000000"/>
            </w:tcBorders>
          </w:tcPr>
          <w:p>
            <w:pPr>
              <w:pStyle w:val="TableParagraph"/>
              <w:spacing w:before="122"/>
              <w:ind w:right="319"/>
              <w:rPr>
                <w:sz w:val="16"/>
              </w:rPr>
            </w:pPr>
            <w:r>
              <w:rPr>
                <w:w w:val="95"/>
                <w:sz w:val="16"/>
              </w:rPr>
              <w:t>29</w:t>
            </w:r>
          </w:p>
        </w:tc>
        <w:tc>
          <w:tcPr>
            <w:tcW w:w="1168" w:type="dxa"/>
            <w:tcBorders>
              <w:top w:val="single" w:sz="0" w:space="0" w:color="000000"/>
              <w:bottom w:val="single" w:sz="0" w:space="0" w:color="000000"/>
            </w:tcBorders>
          </w:tcPr>
          <w:p>
            <w:pPr>
              <w:pStyle w:val="TableParagraph"/>
              <w:spacing w:before="122"/>
              <w:ind w:right="319"/>
              <w:rPr>
                <w:sz w:val="16"/>
              </w:rPr>
            </w:pPr>
            <w:r>
              <w:rPr>
                <w:sz w:val="16"/>
              </w:rPr>
              <w:t>766</w:t>
            </w:r>
          </w:p>
        </w:tc>
        <w:tc>
          <w:tcPr>
            <w:tcW w:w="927" w:type="dxa"/>
            <w:tcBorders>
              <w:top w:val="single" w:sz="0" w:space="0" w:color="000000"/>
              <w:bottom w:val="single" w:sz="0" w:space="0" w:color="000000"/>
            </w:tcBorders>
          </w:tcPr>
          <w:p>
            <w:pPr>
              <w:pStyle w:val="TableParagraph"/>
              <w:spacing w:before="122"/>
              <w:ind w:right="79"/>
              <w:rPr>
                <w:sz w:val="16"/>
              </w:rPr>
            </w:pPr>
            <w:r>
              <w:rPr>
                <w:w w:val="95"/>
                <w:sz w:val="16"/>
              </w:rPr>
              <w:t>1,412</w:t>
            </w:r>
          </w:p>
        </w:tc>
      </w:tr>
      <w:tr>
        <w:trPr>
          <w:trHeight w:val="330" w:hRule="exact"/>
        </w:trPr>
        <w:tc>
          <w:tcPr>
            <w:tcW w:w="4281" w:type="dxa"/>
          </w:tcPr>
          <w:p>
            <w:pPr>
              <w:pStyle w:val="TableParagraph"/>
              <w:spacing w:before="123"/>
              <w:ind w:left="35" w:right="1046"/>
              <w:jc w:val="left"/>
              <w:rPr>
                <w:b/>
                <w:sz w:val="16"/>
              </w:rPr>
            </w:pPr>
            <w:r>
              <w:rPr>
                <w:b/>
                <w:sz w:val="16"/>
              </w:rPr>
              <w:t>Contributions</w:t>
            </w:r>
          </w:p>
        </w:tc>
        <w:tc>
          <w:tcPr>
            <w:tcW w:w="1470" w:type="dxa"/>
            <w:tcBorders>
              <w:top w:val="single" w:sz="0" w:space="0" w:color="000000"/>
            </w:tcBorders>
          </w:tcPr>
          <w:p>
            <w:pPr/>
          </w:p>
        </w:tc>
        <w:tc>
          <w:tcPr>
            <w:tcW w:w="1105" w:type="dxa"/>
            <w:tcBorders>
              <w:top w:val="single" w:sz="0" w:space="0" w:color="000000"/>
            </w:tcBorders>
          </w:tcPr>
          <w:p>
            <w:pPr/>
          </w:p>
        </w:tc>
        <w:tc>
          <w:tcPr>
            <w:tcW w:w="1168" w:type="dxa"/>
            <w:tcBorders>
              <w:top w:val="single" w:sz="0" w:space="0" w:color="000000"/>
            </w:tcBorders>
          </w:tcPr>
          <w:p>
            <w:pPr/>
          </w:p>
        </w:tc>
        <w:tc>
          <w:tcPr>
            <w:tcW w:w="927" w:type="dxa"/>
            <w:tcBorders>
              <w:top w:val="single" w:sz="0" w:space="0" w:color="000000"/>
            </w:tcBorders>
          </w:tcPr>
          <w:p>
            <w:pPr/>
          </w:p>
        </w:tc>
      </w:tr>
      <w:tr>
        <w:trPr>
          <w:trHeight w:val="227" w:hRule="exact"/>
        </w:trPr>
        <w:tc>
          <w:tcPr>
            <w:tcW w:w="4281" w:type="dxa"/>
          </w:tcPr>
          <w:p>
            <w:pPr>
              <w:pStyle w:val="TableParagraph"/>
              <w:spacing w:before="7"/>
              <w:ind w:left="35" w:right="1046"/>
              <w:jc w:val="left"/>
              <w:rPr>
                <w:sz w:val="16"/>
              </w:rPr>
            </w:pPr>
            <w:r>
              <w:rPr>
                <w:sz w:val="16"/>
              </w:rPr>
              <w:t>Employers</w:t>
            </w:r>
          </w:p>
        </w:tc>
        <w:tc>
          <w:tcPr>
            <w:tcW w:w="1470" w:type="dxa"/>
          </w:tcPr>
          <w:p>
            <w:pPr>
              <w:pStyle w:val="TableParagraph"/>
              <w:spacing w:before="5"/>
              <w:ind w:right="382"/>
              <w:rPr>
                <w:sz w:val="16"/>
              </w:rPr>
            </w:pPr>
            <w:r>
              <w:rPr>
                <w:w w:val="95"/>
                <w:sz w:val="16"/>
              </w:rPr>
              <w:t>1,210</w:t>
            </w:r>
          </w:p>
        </w:tc>
        <w:tc>
          <w:tcPr>
            <w:tcW w:w="1105" w:type="dxa"/>
          </w:tcPr>
          <w:p>
            <w:pPr>
              <w:pStyle w:val="TableParagraph"/>
              <w:spacing w:before="5"/>
              <w:ind w:right="319"/>
              <w:rPr>
                <w:sz w:val="16"/>
              </w:rPr>
            </w:pPr>
            <w:r>
              <w:rPr>
                <w:sz w:val="16"/>
              </w:rPr>
              <w:t>175</w:t>
            </w:r>
          </w:p>
        </w:tc>
        <w:tc>
          <w:tcPr>
            <w:tcW w:w="1168" w:type="dxa"/>
          </w:tcPr>
          <w:p>
            <w:pPr>
              <w:pStyle w:val="TableParagraph"/>
              <w:spacing w:before="5"/>
              <w:ind w:right="319"/>
              <w:rPr>
                <w:sz w:val="16"/>
              </w:rPr>
            </w:pPr>
            <w:r>
              <w:rPr>
                <w:sz w:val="16"/>
              </w:rPr>
              <w:t>234</w:t>
            </w:r>
          </w:p>
        </w:tc>
        <w:tc>
          <w:tcPr>
            <w:tcW w:w="927" w:type="dxa"/>
          </w:tcPr>
          <w:p>
            <w:pPr>
              <w:pStyle w:val="TableParagraph"/>
              <w:spacing w:before="5"/>
              <w:ind w:right="79"/>
              <w:rPr>
                <w:sz w:val="16"/>
              </w:rPr>
            </w:pPr>
            <w:r>
              <w:rPr>
                <w:w w:val="95"/>
                <w:sz w:val="16"/>
              </w:rPr>
              <w:t>1,619</w:t>
            </w:r>
          </w:p>
        </w:tc>
      </w:tr>
      <w:tr>
        <w:trPr>
          <w:trHeight w:val="241" w:hRule="exact"/>
        </w:trPr>
        <w:tc>
          <w:tcPr>
            <w:tcW w:w="4281" w:type="dxa"/>
          </w:tcPr>
          <w:p>
            <w:pPr>
              <w:pStyle w:val="TableParagraph"/>
              <w:spacing w:before="20"/>
              <w:ind w:left="35" w:right="1046"/>
              <w:jc w:val="left"/>
              <w:rPr>
                <w:sz w:val="16"/>
              </w:rPr>
            </w:pPr>
            <w:r>
              <w:rPr>
                <w:sz w:val="16"/>
              </w:rPr>
              <w:t>Plan participants</w:t>
            </w:r>
          </w:p>
        </w:tc>
        <w:tc>
          <w:tcPr>
            <w:tcW w:w="1470" w:type="dxa"/>
            <w:tcBorders>
              <w:bottom w:val="single" w:sz="0" w:space="0" w:color="000000"/>
            </w:tcBorders>
          </w:tcPr>
          <w:p>
            <w:pPr>
              <w:pStyle w:val="TableParagraph"/>
              <w:spacing w:before="19"/>
              <w:ind w:right="382"/>
              <w:rPr>
                <w:sz w:val="16"/>
              </w:rPr>
            </w:pPr>
            <w:r>
              <w:rPr>
                <w:w w:val="95"/>
                <w:sz w:val="16"/>
              </w:rPr>
              <w:t>607</w:t>
            </w:r>
          </w:p>
        </w:tc>
        <w:tc>
          <w:tcPr>
            <w:tcW w:w="1105" w:type="dxa"/>
            <w:tcBorders>
              <w:bottom w:val="single" w:sz="0" w:space="0" w:color="000000"/>
            </w:tcBorders>
          </w:tcPr>
          <w:p>
            <w:pPr>
              <w:pStyle w:val="TableParagraph"/>
              <w:spacing w:before="19"/>
              <w:ind w:right="319"/>
              <w:rPr>
                <w:sz w:val="16"/>
              </w:rPr>
            </w:pPr>
            <w:r>
              <w:rPr>
                <w:w w:val="99"/>
                <w:sz w:val="16"/>
              </w:rPr>
              <w:t>-</w:t>
            </w:r>
          </w:p>
        </w:tc>
        <w:tc>
          <w:tcPr>
            <w:tcW w:w="1168" w:type="dxa"/>
            <w:tcBorders>
              <w:bottom w:val="single" w:sz="0" w:space="0" w:color="000000"/>
            </w:tcBorders>
          </w:tcPr>
          <w:p>
            <w:pPr>
              <w:pStyle w:val="TableParagraph"/>
              <w:spacing w:before="19"/>
              <w:ind w:right="319"/>
              <w:rPr>
                <w:sz w:val="16"/>
              </w:rPr>
            </w:pPr>
            <w:r>
              <w:rPr>
                <w:sz w:val="16"/>
              </w:rPr>
              <w:t>348</w:t>
            </w:r>
          </w:p>
        </w:tc>
        <w:tc>
          <w:tcPr>
            <w:tcW w:w="927" w:type="dxa"/>
            <w:tcBorders>
              <w:bottom w:val="single" w:sz="0" w:space="0" w:color="000000"/>
            </w:tcBorders>
          </w:tcPr>
          <w:p>
            <w:pPr>
              <w:pStyle w:val="TableParagraph"/>
              <w:spacing w:before="19"/>
              <w:ind w:right="79"/>
              <w:rPr>
                <w:sz w:val="16"/>
              </w:rPr>
            </w:pPr>
            <w:r>
              <w:rPr>
                <w:sz w:val="16"/>
              </w:rPr>
              <w:t>955</w:t>
            </w:r>
          </w:p>
        </w:tc>
      </w:tr>
      <w:tr>
        <w:trPr>
          <w:trHeight w:val="316" w:hRule="exact"/>
        </w:trPr>
        <w:tc>
          <w:tcPr>
            <w:tcW w:w="4281" w:type="dxa"/>
          </w:tcPr>
          <w:p>
            <w:pPr/>
          </w:p>
        </w:tc>
        <w:tc>
          <w:tcPr>
            <w:tcW w:w="1470" w:type="dxa"/>
            <w:tcBorders>
              <w:top w:val="single" w:sz="0" w:space="0" w:color="000000"/>
              <w:bottom w:val="single" w:sz="0" w:space="0" w:color="000000"/>
            </w:tcBorders>
          </w:tcPr>
          <w:p>
            <w:pPr>
              <w:pStyle w:val="TableParagraph"/>
              <w:spacing w:before="122"/>
              <w:ind w:right="382"/>
              <w:rPr>
                <w:sz w:val="16"/>
              </w:rPr>
            </w:pPr>
            <w:r>
              <w:rPr>
                <w:w w:val="95"/>
                <w:sz w:val="16"/>
              </w:rPr>
              <w:t>1,817</w:t>
            </w:r>
          </w:p>
        </w:tc>
        <w:tc>
          <w:tcPr>
            <w:tcW w:w="1105" w:type="dxa"/>
            <w:tcBorders>
              <w:top w:val="single" w:sz="0" w:space="0" w:color="000000"/>
              <w:bottom w:val="single" w:sz="0" w:space="0" w:color="000000"/>
            </w:tcBorders>
          </w:tcPr>
          <w:p>
            <w:pPr>
              <w:pStyle w:val="TableParagraph"/>
              <w:spacing w:before="122"/>
              <w:ind w:right="319"/>
              <w:rPr>
                <w:sz w:val="16"/>
              </w:rPr>
            </w:pPr>
            <w:r>
              <w:rPr>
                <w:sz w:val="16"/>
              </w:rPr>
              <w:t>175</w:t>
            </w:r>
          </w:p>
        </w:tc>
        <w:tc>
          <w:tcPr>
            <w:tcW w:w="1168" w:type="dxa"/>
            <w:tcBorders>
              <w:top w:val="single" w:sz="0" w:space="0" w:color="000000"/>
              <w:bottom w:val="single" w:sz="0" w:space="0" w:color="000000"/>
            </w:tcBorders>
          </w:tcPr>
          <w:p>
            <w:pPr>
              <w:pStyle w:val="TableParagraph"/>
              <w:spacing w:before="122"/>
              <w:ind w:right="319"/>
              <w:rPr>
                <w:sz w:val="16"/>
              </w:rPr>
            </w:pPr>
            <w:r>
              <w:rPr>
                <w:sz w:val="16"/>
              </w:rPr>
              <w:t>582</w:t>
            </w:r>
          </w:p>
        </w:tc>
        <w:tc>
          <w:tcPr>
            <w:tcW w:w="927" w:type="dxa"/>
            <w:tcBorders>
              <w:top w:val="single" w:sz="0" w:space="0" w:color="000000"/>
              <w:bottom w:val="single" w:sz="0" w:space="0" w:color="000000"/>
            </w:tcBorders>
          </w:tcPr>
          <w:p>
            <w:pPr>
              <w:pStyle w:val="TableParagraph"/>
              <w:spacing w:before="122"/>
              <w:ind w:right="79"/>
              <w:rPr>
                <w:sz w:val="16"/>
              </w:rPr>
            </w:pPr>
            <w:r>
              <w:rPr>
                <w:w w:val="95"/>
                <w:sz w:val="16"/>
              </w:rPr>
              <w:t>2,574</w:t>
            </w:r>
          </w:p>
        </w:tc>
      </w:tr>
      <w:tr>
        <w:trPr>
          <w:trHeight w:val="330" w:hRule="exact"/>
        </w:trPr>
        <w:tc>
          <w:tcPr>
            <w:tcW w:w="4281" w:type="dxa"/>
          </w:tcPr>
          <w:p>
            <w:pPr>
              <w:pStyle w:val="TableParagraph"/>
              <w:spacing w:before="123"/>
              <w:ind w:left="35" w:right="1046"/>
              <w:jc w:val="left"/>
              <w:rPr>
                <w:b/>
                <w:sz w:val="16"/>
              </w:rPr>
            </w:pPr>
            <w:r>
              <w:rPr>
                <w:b/>
                <w:sz w:val="16"/>
              </w:rPr>
              <w:t>Payments from plan</w:t>
            </w:r>
          </w:p>
        </w:tc>
        <w:tc>
          <w:tcPr>
            <w:tcW w:w="1470" w:type="dxa"/>
            <w:tcBorders>
              <w:top w:val="single" w:sz="0" w:space="0" w:color="000000"/>
            </w:tcBorders>
          </w:tcPr>
          <w:p>
            <w:pPr/>
          </w:p>
        </w:tc>
        <w:tc>
          <w:tcPr>
            <w:tcW w:w="1105" w:type="dxa"/>
            <w:tcBorders>
              <w:top w:val="single" w:sz="0" w:space="0" w:color="000000"/>
            </w:tcBorders>
          </w:tcPr>
          <w:p>
            <w:pPr/>
          </w:p>
        </w:tc>
        <w:tc>
          <w:tcPr>
            <w:tcW w:w="1168" w:type="dxa"/>
            <w:tcBorders>
              <w:top w:val="single" w:sz="0" w:space="0" w:color="000000"/>
            </w:tcBorders>
          </w:tcPr>
          <w:p>
            <w:pPr/>
          </w:p>
        </w:tc>
        <w:tc>
          <w:tcPr>
            <w:tcW w:w="927" w:type="dxa"/>
            <w:tcBorders>
              <w:top w:val="single" w:sz="0" w:space="0" w:color="000000"/>
            </w:tcBorders>
          </w:tcPr>
          <w:p>
            <w:pPr/>
          </w:p>
        </w:tc>
      </w:tr>
      <w:tr>
        <w:trPr>
          <w:trHeight w:val="227" w:hRule="exact"/>
        </w:trPr>
        <w:tc>
          <w:tcPr>
            <w:tcW w:w="4281" w:type="dxa"/>
          </w:tcPr>
          <w:p>
            <w:pPr>
              <w:pStyle w:val="TableParagraph"/>
              <w:spacing w:before="7"/>
              <w:ind w:left="35" w:right="1046"/>
              <w:jc w:val="left"/>
              <w:rPr>
                <w:sz w:val="16"/>
              </w:rPr>
            </w:pPr>
            <w:r>
              <w:rPr>
                <w:sz w:val="16"/>
              </w:rPr>
              <w:t>Benefits paid</w:t>
            </w:r>
          </w:p>
        </w:tc>
        <w:tc>
          <w:tcPr>
            <w:tcW w:w="1470" w:type="dxa"/>
          </w:tcPr>
          <w:p>
            <w:pPr>
              <w:pStyle w:val="TableParagraph"/>
              <w:spacing w:before="5"/>
              <w:ind w:right="329"/>
              <w:rPr>
                <w:sz w:val="16"/>
              </w:rPr>
            </w:pPr>
            <w:r>
              <w:rPr>
                <w:sz w:val="16"/>
              </w:rPr>
              <w:t>(6,218)</w:t>
            </w:r>
          </w:p>
        </w:tc>
        <w:tc>
          <w:tcPr>
            <w:tcW w:w="1105" w:type="dxa"/>
          </w:tcPr>
          <w:p>
            <w:pPr>
              <w:pStyle w:val="TableParagraph"/>
              <w:spacing w:before="5"/>
              <w:ind w:right="266"/>
              <w:rPr>
                <w:sz w:val="16"/>
              </w:rPr>
            </w:pPr>
            <w:r>
              <w:rPr>
                <w:sz w:val="16"/>
              </w:rPr>
              <w:t>(1,268)</w:t>
            </w:r>
          </w:p>
        </w:tc>
        <w:tc>
          <w:tcPr>
            <w:tcW w:w="1168" w:type="dxa"/>
          </w:tcPr>
          <w:p>
            <w:pPr>
              <w:pStyle w:val="TableParagraph"/>
              <w:spacing w:before="5"/>
              <w:ind w:right="266"/>
              <w:rPr>
                <w:sz w:val="16"/>
              </w:rPr>
            </w:pPr>
            <w:r>
              <w:rPr>
                <w:sz w:val="16"/>
              </w:rPr>
              <w:t>(16,749)</w:t>
            </w:r>
          </w:p>
        </w:tc>
        <w:tc>
          <w:tcPr>
            <w:tcW w:w="927" w:type="dxa"/>
          </w:tcPr>
          <w:p>
            <w:pPr>
              <w:pStyle w:val="TableParagraph"/>
              <w:spacing w:before="5"/>
              <w:ind w:right="26"/>
              <w:rPr>
                <w:sz w:val="16"/>
              </w:rPr>
            </w:pPr>
            <w:r>
              <w:rPr>
                <w:sz w:val="16"/>
              </w:rPr>
              <w:t>(24,235)</w:t>
            </w:r>
          </w:p>
        </w:tc>
      </w:tr>
      <w:tr>
        <w:trPr>
          <w:trHeight w:val="241" w:hRule="exact"/>
        </w:trPr>
        <w:tc>
          <w:tcPr>
            <w:tcW w:w="4281" w:type="dxa"/>
          </w:tcPr>
          <w:p>
            <w:pPr>
              <w:pStyle w:val="TableParagraph"/>
              <w:spacing w:before="20"/>
              <w:ind w:left="35" w:right="1046"/>
              <w:jc w:val="left"/>
              <w:rPr>
                <w:sz w:val="16"/>
              </w:rPr>
            </w:pPr>
            <w:r>
              <w:rPr>
                <w:sz w:val="16"/>
              </w:rPr>
              <w:t>Taxes, premiums and expenses paid</w:t>
            </w:r>
          </w:p>
        </w:tc>
        <w:tc>
          <w:tcPr>
            <w:tcW w:w="1470" w:type="dxa"/>
            <w:tcBorders>
              <w:bottom w:val="single" w:sz="0" w:space="0" w:color="000000"/>
            </w:tcBorders>
          </w:tcPr>
          <w:p>
            <w:pPr>
              <w:pStyle w:val="TableParagraph"/>
              <w:spacing w:before="19"/>
              <w:ind w:right="329"/>
              <w:rPr>
                <w:sz w:val="16"/>
              </w:rPr>
            </w:pPr>
            <w:r>
              <w:rPr>
                <w:sz w:val="16"/>
              </w:rPr>
              <w:t>(179)</w:t>
            </w:r>
          </w:p>
        </w:tc>
        <w:tc>
          <w:tcPr>
            <w:tcW w:w="1105" w:type="dxa"/>
            <w:tcBorders>
              <w:bottom w:val="single" w:sz="0" w:space="0" w:color="000000"/>
            </w:tcBorders>
          </w:tcPr>
          <w:p>
            <w:pPr>
              <w:pStyle w:val="TableParagraph"/>
              <w:spacing w:before="19"/>
              <w:ind w:right="319"/>
              <w:rPr>
                <w:sz w:val="16"/>
              </w:rPr>
            </w:pPr>
            <w:r>
              <w:rPr>
                <w:w w:val="95"/>
                <w:sz w:val="16"/>
              </w:rPr>
              <w:t>138</w:t>
            </w:r>
          </w:p>
        </w:tc>
        <w:tc>
          <w:tcPr>
            <w:tcW w:w="1168" w:type="dxa"/>
            <w:tcBorders>
              <w:bottom w:val="single" w:sz="0" w:space="0" w:color="000000"/>
            </w:tcBorders>
          </w:tcPr>
          <w:p>
            <w:pPr>
              <w:pStyle w:val="TableParagraph"/>
              <w:spacing w:before="19"/>
              <w:ind w:right="319"/>
              <w:rPr>
                <w:sz w:val="16"/>
              </w:rPr>
            </w:pPr>
            <w:r>
              <w:rPr>
                <w:w w:val="95"/>
                <w:sz w:val="16"/>
              </w:rPr>
              <w:t>1,585</w:t>
            </w:r>
          </w:p>
        </w:tc>
        <w:tc>
          <w:tcPr>
            <w:tcW w:w="927" w:type="dxa"/>
            <w:tcBorders>
              <w:bottom w:val="single" w:sz="0" w:space="0" w:color="000000"/>
            </w:tcBorders>
          </w:tcPr>
          <w:p>
            <w:pPr>
              <w:pStyle w:val="TableParagraph"/>
              <w:spacing w:before="19"/>
              <w:ind w:right="79"/>
              <w:rPr>
                <w:sz w:val="16"/>
              </w:rPr>
            </w:pPr>
            <w:r>
              <w:rPr>
                <w:w w:val="95"/>
                <w:sz w:val="16"/>
              </w:rPr>
              <w:t>1,544</w:t>
            </w:r>
          </w:p>
        </w:tc>
      </w:tr>
      <w:tr>
        <w:trPr>
          <w:trHeight w:val="316" w:hRule="exact"/>
        </w:trPr>
        <w:tc>
          <w:tcPr>
            <w:tcW w:w="4281" w:type="dxa"/>
          </w:tcPr>
          <w:p>
            <w:pPr/>
          </w:p>
        </w:tc>
        <w:tc>
          <w:tcPr>
            <w:tcW w:w="1470" w:type="dxa"/>
            <w:tcBorders>
              <w:top w:val="single" w:sz="0" w:space="0" w:color="000000"/>
              <w:bottom w:val="single" w:sz="0" w:space="0" w:color="000000"/>
            </w:tcBorders>
          </w:tcPr>
          <w:p>
            <w:pPr>
              <w:pStyle w:val="TableParagraph"/>
              <w:spacing w:before="122"/>
              <w:ind w:right="329"/>
              <w:rPr>
                <w:sz w:val="16"/>
              </w:rPr>
            </w:pPr>
            <w:r>
              <w:rPr>
                <w:sz w:val="16"/>
              </w:rPr>
              <w:t>(6,397)</w:t>
            </w:r>
          </w:p>
        </w:tc>
        <w:tc>
          <w:tcPr>
            <w:tcW w:w="1105" w:type="dxa"/>
            <w:tcBorders>
              <w:top w:val="single" w:sz="0" w:space="0" w:color="000000"/>
              <w:bottom w:val="single" w:sz="0" w:space="0" w:color="000000"/>
            </w:tcBorders>
          </w:tcPr>
          <w:p>
            <w:pPr>
              <w:pStyle w:val="TableParagraph"/>
              <w:spacing w:before="122"/>
              <w:ind w:right="266"/>
              <w:rPr>
                <w:sz w:val="16"/>
              </w:rPr>
            </w:pPr>
            <w:r>
              <w:rPr>
                <w:sz w:val="16"/>
              </w:rPr>
              <w:t>(1,130)</w:t>
            </w:r>
          </w:p>
        </w:tc>
        <w:tc>
          <w:tcPr>
            <w:tcW w:w="1168" w:type="dxa"/>
            <w:tcBorders>
              <w:top w:val="single" w:sz="0" w:space="0" w:color="000000"/>
              <w:bottom w:val="single" w:sz="0" w:space="0" w:color="000000"/>
            </w:tcBorders>
          </w:tcPr>
          <w:p>
            <w:pPr>
              <w:pStyle w:val="TableParagraph"/>
              <w:spacing w:before="122"/>
              <w:ind w:right="266"/>
              <w:rPr>
                <w:sz w:val="16"/>
              </w:rPr>
            </w:pPr>
            <w:r>
              <w:rPr>
                <w:sz w:val="16"/>
              </w:rPr>
              <w:t>(15,164)</w:t>
            </w:r>
          </w:p>
        </w:tc>
        <w:tc>
          <w:tcPr>
            <w:tcW w:w="927" w:type="dxa"/>
            <w:tcBorders>
              <w:top w:val="single" w:sz="0" w:space="0" w:color="000000"/>
              <w:bottom w:val="single" w:sz="0" w:space="0" w:color="000000"/>
            </w:tcBorders>
          </w:tcPr>
          <w:p>
            <w:pPr>
              <w:pStyle w:val="TableParagraph"/>
              <w:spacing w:before="122"/>
              <w:ind w:right="26"/>
              <w:rPr>
                <w:sz w:val="16"/>
              </w:rPr>
            </w:pPr>
            <w:r>
              <w:rPr>
                <w:sz w:val="16"/>
              </w:rPr>
              <w:t>(22,691)</w:t>
            </w:r>
          </w:p>
        </w:tc>
      </w:tr>
      <w:tr>
        <w:trPr>
          <w:trHeight w:val="331" w:hRule="exact"/>
        </w:trPr>
        <w:tc>
          <w:tcPr>
            <w:tcW w:w="4281" w:type="dxa"/>
          </w:tcPr>
          <w:p>
            <w:pPr>
              <w:pStyle w:val="TableParagraph"/>
              <w:spacing w:before="123"/>
              <w:ind w:left="35" w:right="1046"/>
              <w:jc w:val="left"/>
              <w:rPr>
                <w:b/>
                <w:sz w:val="16"/>
              </w:rPr>
            </w:pPr>
            <w:r>
              <w:rPr>
                <w:b/>
                <w:sz w:val="16"/>
              </w:rPr>
              <w:t>Closing fair value of plans assets</w:t>
            </w:r>
          </w:p>
        </w:tc>
        <w:tc>
          <w:tcPr>
            <w:tcW w:w="1470" w:type="dxa"/>
            <w:tcBorders>
              <w:top w:val="single" w:sz="0" w:space="0" w:color="000000"/>
              <w:bottom w:val="single" w:sz="0" w:space="0" w:color="000000"/>
            </w:tcBorders>
          </w:tcPr>
          <w:p>
            <w:pPr>
              <w:pStyle w:val="TableParagraph"/>
              <w:spacing w:before="122"/>
              <w:ind w:right="382"/>
              <w:rPr>
                <w:sz w:val="16"/>
              </w:rPr>
            </w:pPr>
            <w:r>
              <w:rPr>
                <w:w w:val="95"/>
                <w:sz w:val="16"/>
              </w:rPr>
              <w:t>32,661</w:t>
            </w:r>
          </w:p>
        </w:tc>
        <w:tc>
          <w:tcPr>
            <w:tcW w:w="1105" w:type="dxa"/>
            <w:tcBorders>
              <w:top w:val="single" w:sz="0" w:space="0" w:color="000000"/>
              <w:bottom w:val="single" w:sz="0" w:space="0" w:color="000000"/>
            </w:tcBorders>
          </w:tcPr>
          <w:p>
            <w:pPr>
              <w:pStyle w:val="TableParagraph"/>
              <w:spacing w:before="122"/>
              <w:ind w:right="319"/>
              <w:rPr>
                <w:sz w:val="16"/>
              </w:rPr>
            </w:pPr>
            <w:r>
              <w:rPr>
                <w:w w:val="95"/>
                <w:sz w:val="16"/>
              </w:rPr>
              <w:t>3,510</w:t>
            </w:r>
          </w:p>
        </w:tc>
        <w:tc>
          <w:tcPr>
            <w:tcW w:w="1168" w:type="dxa"/>
            <w:tcBorders>
              <w:top w:val="single" w:sz="0" w:space="0" w:color="000000"/>
              <w:bottom w:val="single" w:sz="0" w:space="0" w:color="000000"/>
            </w:tcBorders>
          </w:tcPr>
          <w:p>
            <w:pPr>
              <w:pStyle w:val="TableParagraph"/>
              <w:spacing w:before="122"/>
              <w:ind w:right="319"/>
              <w:rPr>
                <w:sz w:val="16"/>
              </w:rPr>
            </w:pPr>
            <w:r>
              <w:rPr>
                <w:w w:val="95"/>
                <w:sz w:val="16"/>
              </w:rPr>
              <w:t>100,678</w:t>
            </w:r>
          </w:p>
        </w:tc>
        <w:tc>
          <w:tcPr>
            <w:tcW w:w="927" w:type="dxa"/>
            <w:tcBorders>
              <w:top w:val="single" w:sz="0" w:space="0" w:color="000000"/>
              <w:bottom w:val="single" w:sz="0" w:space="0" w:color="000000"/>
            </w:tcBorders>
          </w:tcPr>
          <w:p>
            <w:pPr>
              <w:pStyle w:val="TableParagraph"/>
              <w:spacing w:before="122"/>
              <w:ind w:right="79"/>
              <w:rPr>
                <w:sz w:val="16"/>
              </w:rPr>
            </w:pPr>
            <w:r>
              <w:rPr>
                <w:w w:val="95"/>
                <w:sz w:val="16"/>
              </w:rPr>
              <w:t>136,849</w:t>
            </w:r>
          </w:p>
        </w:tc>
      </w:tr>
    </w:tbl>
    <w:p>
      <w:pPr>
        <w:spacing w:after="0"/>
        <w:rPr>
          <w:sz w:val="16"/>
        </w:rPr>
        <w:sectPr>
          <w:pgSz w:w="12750" w:h="17680"/>
          <w:pgMar w:header="0" w:footer="867" w:top="2640" w:bottom="1120" w:left="0" w:right="0"/>
        </w:sectPr>
      </w:pPr>
    </w:p>
    <w:p>
      <w:pPr>
        <w:pStyle w:val="BodyText"/>
        <w:rPr>
          <w:rFonts w:ascii="Times New Roman"/>
          <w:sz w:val="20"/>
        </w:rPr>
      </w:pPr>
      <w:r>
        <w:rPr/>
        <w:drawing>
          <wp:anchor distT="0" distB="0" distL="0" distR="0" allowOverlap="1" layoutInCell="1" locked="0" behindDoc="0" simplePos="0" relativeHeight="6376">
            <wp:simplePos x="0" y="0"/>
            <wp:positionH relativeFrom="page">
              <wp:posOffset>-1587</wp:posOffset>
            </wp:positionH>
            <wp:positionV relativeFrom="page">
              <wp:posOffset>5534342</wp:posOffset>
            </wp:positionV>
            <wp:extent cx="135159" cy="154019"/>
            <wp:effectExtent l="0" t="0" r="0" b="0"/>
            <wp:wrapNone/>
            <wp:docPr id="445" name="image13.png" descr=""/>
            <wp:cNvGraphicFramePr>
              <a:graphicFrameLocks noChangeAspect="1"/>
            </wp:cNvGraphicFramePr>
            <a:graphic>
              <a:graphicData uri="http://schemas.openxmlformats.org/drawingml/2006/picture">
                <pic:pic>
                  <pic:nvPicPr>
                    <pic:cNvPr id="446" name="image13.png"/>
                    <pic:cNvPicPr/>
                  </pic:nvPicPr>
                  <pic:blipFill>
                    <a:blip r:embed="rId18" cstate="print"/>
                    <a:stretch>
                      <a:fillRect/>
                    </a:stretch>
                  </pic:blipFill>
                  <pic:spPr>
                    <a:xfrm>
                      <a:off x="0" y="0"/>
                      <a:ext cx="135159" cy="154019"/>
                    </a:xfrm>
                    <a:prstGeom prst="rect">
                      <a:avLst/>
                    </a:prstGeom>
                  </pic:spPr>
                </pic:pic>
              </a:graphicData>
            </a:graphic>
          </wp:anchor>
        </w:drawing>
      </w:r>
      <w:r>
        <w:rPr/>
        <w:drawing>
          <wp:anchor distT="0" distB="0" distL="0" distR="0" allowOverlap="1" layoutInCell="1" locked="0" behindDoc="0" simplePos="0" relativeHeight="6400">
            <wp:simplePos x="0" y="0"/>
            <wp:positionH relativeFrom="page">
              <wp:posOffset>7958429</wp:posOffset>
            </wp:positionH>
            <wp:positionV relativeFrom="page">
              <wp:posOffset>5534342</wp:posOffset>
            </wp:positionV>
            <wp:extent cx="135953" cy="155575"/>
            <wp:effectExtent l="0" t="0" r="0" b="0"/>
            <wp:wrapNone/>
            <wp:docPr id="447" name="image15.png" descr=""/>
            <wp:cNvGraphicFramePr>
              <a:graphicFrameLocks noChangeAspect="1"/>
            </wp:cNvGraphicFramePr>
            <a:graphic>
              <a:graphicData uri="http://schemas.openxmlformats.org/drawingml/2006/picture">
                <pic:pic>
                  <pic:nvPicPr>
                    <pic:cNvPr id="448" name="image15.png"/>
                    <pic:cNvPicPr/>
                  </pic:nvPicPr>
                  <pic:blipFill>
                    <a:blip r:embed="rId20" cstate="print"/>
                    <a:stretch>
                      <a:fillRect/>
                    </a:stretch>
                  </pic:blipFill>
                  <pic:spPr>
                    <a:xfrm>
                      <a:off x="0" y="0"/>
                      <a:ext cx="135953" cy="155575"/>
                    </a:xfrm>
                    <a:prstGeom prst="rect">
                      <a:avLst/>
                    </a:prstGeom>
                  </pic:spPr>
                </pic:pic>
              </a:graphicData>
            </a:graphic>
          </wp:anchor>
        </w:drawing>
      </w:r>
    </w:p>
    <w:p>
      <w:pPr>
        <w:pStyle w:val="BodyText"/>
        <w:rPr>
          <w:rFonts w:ascii="Times New Roman"/>
          <w:sz w:val="20"/>
        </w:rPr>
      </w:pPr>
    </w:p>
    <w:p>
      <w:pPr>
        <w:pStyle w:val="BodyText"/>
        <w:spacing w:before="4"/>
        <w:rPr>
          <w:rFonts w:ascii="Times New Roman"/>
        </w:rPr>
      </w:pPr>
    </w:p>
    <w:p>
      <w:pPr>
        <w:pStyle w:val="Heading8"/>
        <w:numPr>
          <w:ilvl w:val="0"/>
          <w:numId w:val="38"/>
        </w:numPr>
        <w:tabs>
          <w:tab w:pos="1826" w:val="left" w:leader="none"/>
        </w:tabs>
        <w:spacing w:line="240" w:lineRule="auto" w:before="0" w:after="0"/>
        <w:ind w:left="1825" w:right="0" w:hanging="396"/>
        <w:jc w:val="left"/>
      </w:pPr>
      <w:bookmarkStart w:name="42 Events Occurring After the Reporting " w:id="166"/>
      <w:bookmarkEnd w:id="166"/>
      <w:r>
        <w:rPr>
          <w:b w:val="0"/>
        </w:rPr>
      </w:r>
      <w:bookmarkStart w:name="42 Events Occurring After the Reporting " w:id="167"/>
      <w:bookmarkEnd w:id="167"/>
      <w:r>
        <w:rPr/>
        <w:t>E</w:t>
      </w:r>
      <w:r>
        <w:rPr/>
        <w:t>vents Occurring After the Reporting</w:t>
      </w:r>
      <w:r>
        <w:rPr>
          <w:spacing w:val="-13"/>
        </w:rPr>
        <w:t> </w:t>
      </w:r>
      <w:r>
        <w:rPr/>
        <w:t>Date</w:t>
      </w:r>
    </w:p>
    <w:p>
      <w:pPr>
        <w:pStyle w:val="BodyText"/>
        <w:spacing w:before="11"/>
        <w:rPr>
          <w:b/>
          <w:sz w:val="24"/>
        </w:rPr>
      </w:pPr>
    </w:p>
    <w:p>
      <w:pPr>
        <w:pStyle w:val="BodyText"/>
        <w:ind w:left="1825" w:right="1375"/>
      </w:pPr>
      <w:r>
        <w:rPr/>
        <w:t>There are no events identified after the Statement of Financial Position date that would have a material impact on the financial statements.</w:t>
      </w:r>
    </w:p>
    <w:p>
      <w:pPr>
        <w:pStyle w:val="BodyText"/>
      </w:pPr>
    </w:p>
    <w:p>
      <w:pPr>
        <w:pStyle w:val="BodyText"/>
      </w:pPr>
    </w:p>
    <w:p>
      <w:pPr>
        <w:pStyle w:val="BodyText"/>
      </w:pPr>
    </w:p>
    <w:p>
      <w:pPr>
        <w:pStyle w:val="Heading8"/>
        <w:spacing w:before="161"/>
        <w:ind w:left="1429"/>
      </w:pPr>
      <w:r>
        <w:rPr/>
        <w:t>End of Audited Financial Statements.</w:t>
      </w:r>
    </w:p>
    <w:p>
      <w:pPr>
        <w:spacing w:after="0"/>
        <w:sectPr>
          <w:pgSz w:w="12750" w:h="17680"/>
          <w:pgMar w:header="0" w:footer="867" w:top="2640" w:bottom="1120" w:left="0" w:right="0"/>
        </w:sectPr>
      </w:pPr>
    </w:p>
    <w:p>
      <w:pPr>
        <w:pStyle w:val="BodyText"/>
        <w:spacing w:before="4"/>
        <w:rPr>
          <w:rFonts w:ascii="Times New Roman"/>
          <w:sz w:val="17"/>
        </w:rPr>
      </w:pPr>
      <w:r>
        <w:rPr/>
        <w:pict>
          <v:group style="position:absolute;margin-left:21.9pt;margin-top:22.343018pt;width:594.6pt;height:841pt;mso-position-horizontal-relative:page;mso-position-vertical-relative:page;z-index:6424" coordorigin="438,447" coordsize="11892,16820">
            <v:shape style="position:absolute;left:438;top:447;width:11866;height:16820" type="#_x0000_t75" stroked="false">
              <v:imagedata r:id="rId62" o:title=""/>
            </v:shape>
            <v:shape style="position:absolute;left:11723;top:7801;width:607;height:9356" coordorigin="11723,7801" coordsize="607,9356" path="m12330,13221l11723,13221,11723,17157,12330,17157,12330,13221m12330,7801l11915,7801,11915,10690,12330,10690,12330,7801e" filled="true" fillcolor="#ffffff" stroked="false">
              <v:path arrowok="t"/>
              <v:fill type="solid"/>
            </v:shape>
            <w10:wrap type="none"/>
          </v:group>
        </w:pict>
      </w:r>
      <w:r>
        <w:rPr/>
        <w:drawing>
          <wp:anchor distT="0" distB="0" distL="0" distR="0" allowOverlap="1" layoutInCell="1" locked="0" behindDoc="0" simplePos="0" relativeHeight="6448">
            <wp:simplePos x="0" y="0"/>
            <wp:positionH relativeFrom="page">
              <wp:posOffset>-1587</wp:posOffset>
            </wp:positionH>
            <wp:positionV relativeFrom="page">
              <wp:posOffset>5546318</wp:posOffset>
            </wp:positionV>
            <wp:extent cx="136413" cy="155448"/>
            <wp:effectExtent l="0" t="0" r="0" b="0"/>
            <wp:wrapNone/>
            <wp:docPr id="451" name="image22.png" descr=""/>
            <wp:cNvGraphicFramePr>
              <a:graphicFrameLocks noChangeAspect="1"/>
            </wp:cNvGraphicFramePr>
            <a:graphic>
              <a:graphicData uri="http://schemas.openxmlformats.org/drawingml/2006/picture">
                <pic:pic>
                  <pic:nvPicPr>
                    <pic:cNvPr id="452" name="image22.png"/>
                    <pic:cNvPicPr/>
                  </pic:nvPicPr>
                  <pic:blipFill>
                    <a:blip r:embed="rId28" cstate="print"/>
                    <a:stretch>
                      <a:fillRect/>
                    </a:stretch>
                  </pic:blipFill>
                  <pic:spPr>
                    <a:xfrm>
                      <a:off x="0" y="0"/>
                      <a:ext cx="136413" cy="155448"/>
                    </a:xfrm>
                    <a:prstGeom prst="rect">
                      <a:avLst/>
                    </a:prstGeom>
                  </pic:spPr>
                </pic:pic>
              </a:graphicData>
            </a:graphic>
          </wp:anchor>
        </w:drawing>
      </w:r>
      <w:r>
        <w:rPr/>
        <w:drawing>
          <wp:anchor distT="0" distB="0" distL="0" distR="0" allowOverlap="1" layoutInCell="1" locked="0" behindDoc="0" simplePos="0" relativeHeight="6472">
            <wp:simplePos x="0" y="0"/>
            <wp:positionH relativeFrom="page">
              <wp:posOffset>7954962</wp:posOffset>
            </wp:positionH>
            <wp:positionV relativeFrom="page">
              <wp:posOffset>5546318</wp:posOffset>
            </wp:positionV>
            <wp:extent cx="139420" cy="155575"/>
            <wp:effectExtent l="0" t="0" r="0" b="0"/>
            <wp:wrapNone/>
            <wp:docPr id="453" name="image23.png" descr=""/>
            <wp:cNvGraphicFramePr>
              <a:graphicFrameLocks noChangeAspect="1"/>
            </wp:cNvGraphicFramePr>
            <a:graphic>
              <a:graphicData uri="http://schemas.openxmlformats.org/drawingml/2006/picture">
                <pic:pic>
                  <pic:nvPicPr>
                    <pic:cNvPr id="454" name="image23.png"/>
                    <pic:cNvPicPr/>
                  </pic:nvPicPr>
                  <pic:blipFill>
                    <a:blip r:embed="rId29" cstate="print"/>
                    <a:stretch>
                      <a:fillRect/>
                    </a:stretch>
                  </pic:blipFill>
                  <pic:spPr>
                    <a:xfrm>
                      <a:off x="0" y="0"/>
                      <a:ext cx="139420" cy="155575"/>
                    </a:xfrm>
                    <a:prstGeom prst="rect">
                      <a:avLst/>
                    </a:prstGeom>
                  </pic:spPr>
                </pic:pic>
              </a:graphicData>
            </a:graphic>
          </wp:anchor>
        </w:drawing>
      </w:r>
    </w:p>
    <w:p>
      <w:pPr>
        <w:spacing w:after="0"/>
        <w:rPr>
          <w:rFonts w:ascii="Times New Roman"/>
          <w:sz w:val="17"/>
        </w:rPr>
        <w:sectPr>
          <w:headerReference w:type="default" r:id="rId61"/>
          <w:pgSz w:w="12750" w:h="17680"/>
          <w:pgMar w:header="0" w:footer="867" w:top="420" w:bottom="1060" w:left="0" w:right="0"/>
        </w:sectPr>
      </w:pPr>
    </w:p>
    <w:p>
      <w:pPr>
        <w:pStyle w:val="BodyText"/>
        <w:spacing w:before="4"/>
        <w:rPr>
          <w:rFonts w:ascii="Times New Roman"/>
          <w:sz w:val="17"/>
        </w:rPr>
      </w:pPr>
      <w:r>
        <w:rPr/>
        <w:pict>
          <v:group style="position:absolute;margin-left:22.200001pt;margin-top:22.65144pt;width:593.65pt;height:840.45pt;mso-position-horizontal-relative:page;mso-position-vertical-relative:page;z-index:-1201840" coordorigin="444,453" coordsize="11873,16809">
            <v:shape style="position:absolute;left:444;top:465;width:11852;height:16784" type="#_x0000_t75" stroked="false">
              <v:imagedata r:id="rId64" o:title=""/>
            </v:shape>
            <v:shape style="position:absolute;left:11898;top:453;width:419;height:16809" coordorigin="11898,453" coordsize="419,16809" path="m12317,12758l12255,12758,12255,6318,12308,6318,12308,5733,12299,5733,12299,453,11967,453,11967,5733,11941,5733,11941,6318,12002,6318,12002,12758,11898,12758,11898,17262,12317,17262,12317,12758e" filled="true" fillcolor="#ffffff" stroked="false">
              <v:path arrowok="t"/>
              <v:fill type="solid"/>
            </v:shape>
            <w10:wrap type="none"/>
          </v:group>
        </w:pict>
      </w:r>
      <w:r>
        <w:rPr/>
        <w:drawing>
          <wp:anchor distT="0" distB="0" distL="0" distR="0" allowOverlap="1" layoutInCell="1" locked="0" behindDoc="0" simplePos="0" relativeHeight="6520">
            <wp:simplePos x="0" y="0"/>
            <wp:positionH relativeFrom="page">
              <wp:posOffset>-1587</wp:posOffset>
            </wp:positionH>
            <wp:positionV relativeFrom="page">
              <wp:posOffset>5546318</wp:posOffset>
            </wp:positionV>
            <wp:extent cx="136413" cy="155448"/>
            <wp:effectExtent l="0" t="0" r="0" b="0"/>
            <wp:wrapNone/>
            <wp:docPr id="457" name="image22.png" descr=""/>
            <wp:cNvGraphicFramePr>
              <a:graphicFrameLocks noChangeAspect="1"/>
            </wp:cNvGraphicFramePr>
            <a:graphic>
              <a:graphicData uri="http://schemas.openxmlformats.org/drawingml/2006/picture">
                <pic:pic>
                  <pic:nvPicPr>
                    <pic:cNvPr id="458" name="image22.png"/>
                    <pic:cNvPicPr/>
                  </pic:nvPicPr>
                  <pic:blipFill>
                    <a:blip r:embed="rId28" cstate="print"/>
                    <a:stretch>
                      <a:fillRect/>
                    </a:stretch>
                  </pic:blipFill>
                  <pic:spPr>
                    <a:xfrm>
                      <a:off x="0" y="0"/>
                      <a:ext cx="136413" cy="155448"/>
                    </a:xfrm>
                    <a:prstGeom prst="rect">
                      <a:avLst/>
                    </a:prstGeom>
                  </pic:spPr>
                </pic:pic>
              </a:graphicData>
            </a:graphic>
          </wp:anchor>
        </w:drawing>
      </w:r>
      <w:r>
        <w:rPr/>
        <w:drawing>
          <wp:anchor distT="0" distB="0" distL="0" distR="0" allowOverlap="1" layoutInCell="1" locked="0" behindDoc="0" simplePos="0" relativeHeight="6544">
            <wp:simplePos x="0" y="0"/>
            <wp:positionH relativeFrom="page">
              <wp:posOffset>7954962</wp:posOffset>
            </wp:positionH>
            <wp:positionV relativeFrom="page">
              <wp:posOffset>5546318</wp:posOffset>
            </wp:positionV>
            <wp:extent cx="139420" cy="155575"/>
            <wp:effectExtent l="0" t="0" r="0" b="0"/>
            <wp:wrapNone/>
            <wp:docPr id="459" name="image23.png" descr=""/>
            <wp:cNvGraphicFramePr>
              <a:graphicFrameLocks noChangeAspect="1"/>
            </wp:cNvGraphicFramePr>
            <a:graphic>
              <a:graphicData uri="http://schemas.openxmlformats.org/drawingml/2006/picture">
                <pic:pic>
                  <pic:nvPicPr>
                    <pic:cNvPr id="460" name="image23.png"/>
                    <pic:cNvPicPr/>
                  </pic:nvPicPr>
                  <pic:blipFill>
                    <a:blip r:embed="rId29" cstate="print"/>
                    <a:stretch>
                      <a:fillRect/>
                    </a:stretch>
                  </pic:blipFill>
                  <pic:spPr>
                    <a:xfrm>
                      <a:off x="0" y="0"/>
                      <a:ext cx="139420" cy="155575"/>
                    </a:xfrm>
                    <a:prstGeom prst="rect">
                      <a:avLst/>
                    </a:prstGeom>
                  </pic:spPr>
                </pic:pic>
              </a:graphicData>
            </a:graphic>
          </wp:anchor>
        </w:drawing>
      </w:r>
    </w:p>
    <w:p>
      <w:pPr>
        <w:spacing w:after="0"/>
        <w:rPr>
          <w:rFonts w:ascii="Times New Roman"/>
          <w:sz w:val="17"/>
        </w:rPr>
        <w:sectPr>
          <w:footerReference w:type="default" r:id="rId63"/>
          <w:pgSz w:w="12750" w:h="17680"/>
          <w:pgMar w:footer="867" w:header="0" w:top="420" w:bottom="1060" w:left="0" w:right="0"/>
          <w:pgNumType w:start="98"/>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3"/>
        <w:rPr>
          <w:rFonts w:ascii="Times New Roman"/>
          <w:sz w:val="28"/>
        </w:rPr>
      </w:pPr>
    </w:p>
    <w:p>
      <w:pPr>
        <w:pStyle w:val="Heading1"/>
        <w:ind w:right="3584"/>
      </w:pPr>
      <w:bookmarkStart w:name="Cover page" w:id="168"/>
      <w:bookmarkEnd w:id="168"/>
      <w:r>
        <w:rPr>
          <w:b w:val="0"/>
        </w:rPr>
      </w:r>
      <w:r>
        <w:rPr/>
        <w:t>UWS Enterprises Pty Limited Trading as Western Sydney University The College</w:t>
      </w:r>
    </w:p>
    <w:p>
      <w:pPr>
        <w:spacing w:line="230" w:lineRule="exact" w:before="0"/>
        <w:ind w:left="1428" w:right="0" w:firstLine="0"/>
        <w:jc w:val="left"/>
        <w:rPr>
          <w:b/>
          <w:sz w:val="20"/>
        </w:rPr>
      </w:pPr>
      <w:r>
        <w:rPr/>
        <w:drawing>
          <wp:anchor distT="0" distB="0" distL="0" distR="0" allowOverlap="1" layoutInCell="1" locked="0" behindDoc="0" simplePos="0" relativeHeight="6568">
            <wp:simplePos x="0" y="0"/>
            <wp:positionH relativeFrom="page">
              <wp:posOffset>-1587</wp:posOffset>
            </wp:positionH>
            <wp:positionV relativeFrom="paragraph">
              <wp:posOffset>163301</wp:posOffset>
            </wp:positionV>
            <wp:extent cx="135159" cy="154019"/>
            <wp:effectExtent l="0" t="0" r="0" b="0"/>
            <wp:wrapNone/>
            <wp:docPr id="461" name="image13.png" descr=""/>
            <wp:cNvGraphicFramePr>
              <a:graphicFrameLocks noChangeAspect="1"/>
            </wp:cNvGraphicFramePr>
            <a:graphic>
              <a:graphicData uri="http://schemas.openxmlformats.org/drawingml/2006/picture">
                <pic:pic>
                  <pic:nvPicPr>
                    <pic:cNvPr id="462" name="image13.png"/>
                    <pic:cNvPicPr/>
                  </pic:nvPicPr>
                  <pic:blipFill>
                    <a:blip r:embed="rId18" cstate="print"/>
                    <a:stretch>
                      <a:fillRect/>
                    </a:stretch>
                  </pic:blipFill>
                  <pic:spPr>
                    <a:xfrm>
                      <a:off x="0" y="0"/>
                      <a:ext cx="135159" cy="154019"/>
                    </a:xfrm>
                    <a:prstGeom prst="rect">
                      <a:avLst/>
                    </a:prstGeom>
                  </pic:spPr>
                </pic:pic>
              </a:graphicData>
            </a:graphic>
          </wp:anchor>
        </w:drawing>
      </w:r>
      <w:r>
        <w:rPr/>
        <w:drawing>
          <wp:anchor distT="0" distB="0" distL="0" distR="0" allowOverlap="1" layoutInCell="1" locked="0" behindDoc="0" simplePos="0" relativeHeight="6592">
            <wp:simplePos x="0" y="0"/>
            <wp:positionH relativeFrom="page">
              <wp:posOffset>7958429</wp:posOffset>
            </wp:positionH>
            <wp:positionV relativeFrom="paragraph">
              <wp:posOffset>163301</wp:posOffset>
            </wp:positionV>
            <wp:extent cx="135953" cy="155575"/>
            <wp:effectExtent l="0" t="0" r="0" b="0"/>
            <wp:wrapNone/>
            <wp:docPr id="463" name="image15.png" descr=""/>
            <wp:cNvGraphicFramePr>
              <a:graphicFrameLocks noChangeAspect="1"/>
            </wp:cNvGraphicFramePr>
            <a:graphic>
              <a:graphicData uri="http://schemas.openxmlformats.org/drawingml/2006/picture">
                <pic:pic>
                  <pic:nvPicPr>
                    <pic:cNvPr id="464" name="image15.png"/>
                    <pic:cNvPicPr/>
                  </pic:nvPicPr>
                  <pic:blipFill>
                    <a:blip r:embed="rId20" cstate="print"/>
                    <a:stretch>
                      <a:fillRect/>
                    </a:stretch>
                  </pic:blipFill>
                  <pic:spPr>
                    <a:xfrm>
                      <a:off x="0" y="0"/>
                      <a:ext cx="135953" cy="155575"/>
                    </a:xfrm>
                    <a:prstGeom prst="rect">
                      <a:avLst/>
                    </a:prstGeom>
                  </pic:spPr>
                </pic:pic>
              </a:graphicData>
            </a:graphic>
          </wp:anchor>
        </w:drawing>
      </w:r>
      <w:r>
        <w:rPr>
          <w:b/>
          <w:sz w:val="20"/>
        </w:rPr>
        <w:t>ABN: 44 003 474 468</w:t>
      </w:r>
    </w:p>
    <w:p>
      <w:pPr>
        <w:pStyle w:val="BodyText"/>
        <w:spacing w:before="10"/>
        <w:rPr>
          <w:b/>
          <w:sz w:val="27"/>
        </w:rPr>
      </w:pPr>
    </w:p>
    <w:p>
      <w:pPr>
        <w:spacing w:before="1"/>
        <w:ind w:left="1428" w:right="0" w:firstLine="0"/>
        <w:jc w:val="left"/>
        <w:rPr>
          <w:b/>
          <w:sz w:val="28"/>
        </w:rPr>
      </w:pPr>
      <w:r>
        <w:rPr>
          <w:b/>
          <w:sz w:val="28"/>
        </w:rPr>
        <w:t>Financial Statements</w:t>
      </w:r>
    </w:p>
    <w:p>
      <w:pPr>
        <w:spacing w:before="230"/>
        <w:ind w:left="1428" w:right="0" w:firstLine="0"/>
        <w:jc w:val="left"/>
        <w:rPr>
          <w:b/>
          <w:sz w:val="20"/>
        </w:rPr>
      </w:pPr>
      <w:r>
        <w:rPr>
          <w:b/>
          <w:sz w:val="20"/>
        </w:rPr>
        <w:t>For the Year Ended 31 December 2016</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0"/>
        <w:rPr>
          <w:b/>
          <w:sz w:val="19"/>
        </w:rPr>
      </w:pPr>
    </w:p>
    <w:p>
      <w:pPr>
        <w:spacing w:before="0"/>
        <w:ind w:left="1315" w:right="1375" w:firstLine="0"/>
        <w:jc w:val="left"/>
        <w:rPr>
          <w:sz w:val="20"/>
        </w:rPr>
      </w:pPr>
      <w:r>
        <w:rPr>
          <w:sz w:val="20"/>
        </w:rPr>
        <w:t>These financial statements are of UWS Enterprises Pty Limited as an individual entity. The financial statements are presented in the Australian currency.</w:t>
      </w:r>
    </w:p>
    <w:p>
      <w:pPr>
        <w:spacing w:before="140"/>
        <w:ind w:left="1316" w:right="1375" w:firstLine="0"/>
        <w:jc w:val="left"/>
        <w:rPr>
          <w:sz w:val="20"/>
        </w:rPr>
      </w:pPr>
      <w:r>
        <w:rPr>
          <w:sz w:val="20"/>
        </w:rPr>
        <w:t>UWS Enterprises Pty Limited (the Company) is a company limited by shares, incorporated and domiciled in Australia. Its registered office and principal place of business is:</w:t>
      </w:r>
    </w:p>
    <w:p>
      <w:pPr>
        <w:spacing w:before="119"/>
        <w:ind w:left="1306" w:right="0" w:firstLine="0"/>
        <w:jc w:val="left"/>
        <w:rPr>
          <w:sz w:val="20"/>
        </w:rPr>
      </w:pPr>
      <w:r>
        <w:rPr>
          <w:sz w:val="20"/>
        </w:rPr>
        <w:t>Nirimba Education Precinct</w:t>
      </w:r>
    </w:p>
    <w:p>
      <w:pPr>
        <w:spacing w:before="122"/>
        <w:ind w:left="1312" w:right="0" w:firstLine="0"/>
        <w:jc w:val="left"/>
        <w:rPr>
          <w:sz w:val="20"/>
        </w:rPr>
      </w:pPr>
      <w:r>
        <w:rPr>
          <w:sz w:val="20"/>
        </w:rPr>
        <w:t>Eastern Road, Quakers Hill NSW 2763</w:t>
      </w:r>
    </w:p>
    <w:p>
      <w:pPr>
        <w:spacing w:before="120"/>
        <w:ind w:left="1306" w:right="2351" w:firstLine="0"/>
        <w:jc w:val="left"/>
        <w:rPr>
          <w:sz w:val="20"/>
        </w:rPr>
      </w:pPr>
      <w:r>
        <w:rPr>
          <w:sz w:val="20"/>
        </w:rPr>
        <w:t>A description of the nature of the Company's operations and its principal activities is included in the directors' report on pages 100 to 103, which is not part of these financial statements.</w:t>
      </w:r>
    </w:p>
    <w:p>
      <w:pPr>
        <w:spacing w:before="126"/>
        <w:ind w:left="1307" w:right="1375" w:firstLine="0"/>
        <w:jc w:val="left"/>
        <w:rPr>
          <w:sz w:val="20"/>
        </w:rPr>
      </w:pPr>
      <w:r>
        <w:rPr>
          <w:sz w:val="20"/>
        </w:rPr>
        <w:t>The financial statements were authorised for issue by the directors on 15 March 2017. The directors have the power to amend and reissue the financial statements.</w:t>
      </w:r>
    </w:p>
    <w:p>
      <w:pPr>
        <w:spacing w:after="0"/>
        <w:jc w:val="left"/>
        <w:rPr>
          <w:sz w:val="20"/>
        </w:rPr>
        <w:sectPr>
          <w:pgSz w:w="12750" w:h="17680"/>
          <w:pgMar w:header="0" w:footer="867" w:top="420" w:bottom="1080" w:left="0" w:right="0"/>
        </w:sectPr>
      </w:pPr>
    </w:p>
    <w:p>
      <w:pPr>
        <w:pStyle w:val="BodyText"/>
        <w:spacing w:before="2"/>
        <w:rPr>
          <w:sz w:val="24"/>
        </w:rPr>
      </w:pPr>
    </w:p>
    <w:p>
      <w:pPr>
        <w:spacing w:before="64"/>
        <w:ind w:left="1428" w:right="0" w:firstLine="0"/>
        <w:jc w:val="left"/>
        <w:rPr>
          <w:b/>
          <w:sz w:val="28"/>
        </w:rPr>
      </w:pPr>
      <w:bookmarkStart w:name="Directors' Report and Directors' Declara" w:id="169"/>
      <w:bookmarkEnd w:id="169"/>
      <w:r>
        <w:rPr/>
      </w:r>
      <w:r>
        <w:rPr>
          <w:b/>
          <w:sz w:val="28"/>
        </w:rPr>
        <w:t>Directors' Report</w:t>
      </w:r>
    </w:p>
    <w:p>
      <w:pPr>
        <w:pStyle w:val="Heading7"/>
      </w:pPr>
      <w:bookmarkStart w:name="1. General information" w:id="170"/>
      <w:bookmarkEnd w:id="170"/>
      <w:r>
        <w:rPr>
          <w:b w:val="0"/>
        </w:rPr>
      </w:r>
      <w:r>
        <w:rPr/>
        <w:t>31 December 2016</w:t>
      </w:r>
    </w:p>
    <w:p>
      <w:pPr>
        <w:pStyle w:val="BodyText"/>
        <w:spacing w:before="11"/>
        <w:rPr>
          <w:b/>
          <w:sz w:val="24"/>
        </w:rPr>
      </w:pPr>
    </w:p>
    <w:p>
      <w:pPr>
        <w:pStyle w:val="BodyText"/>
        <w:ind w:left="1824"/>
      </w:pPr>
      <w:r>
        <w:rPr/>
        <w:t>The directors present their report on the Company for the financial year ended 31 December 2016.</w:t>
      </w:r>
    </w:p>
    <w:p>
      <w:pPr>
        <w:pStyle w:val="BodyText"/>
        <w:spacing w:before="11"/>
        <w:rPr>
          <w:sz w:val="24"/>
        </w:rPr>
      </w:pPr>
    </w:p>
    <w:p>
      <w:pPr>
        <w:pStyle w:val="Heading8"/>
        <w:numPr>
          <w:ilvl w:val="0"/>
          <w:numId w:val="40"/>
        </w:numPr>
        <w:tabs>
          <w:tab w:pos="1823" w:val="left" w:leader="none"/>
        </w:tabs>
        <w:spacing w:line="595" w:lineRule="auto" w:before="0" w:after="0"/>
        <w:ind w:left="1822" w:right="8837" w:hanging="394"/>
        <w:jc w:val="left"/>
      </w:pPr>
      <w:r>
        <w:rPr/>
        <w:t>General information Information on directors</w:t>
      </w:r>
    </w:p>
    <w:p>
      <w:pPr>
        <w:pStyle w:val="BodyText"/>
        <w:spacing w:line="202" w:lineRule="exact"/>
        <w:ind w:left="1824"/>
      </w:pPr>
      <w:r>
        <w:rPr/>
        <w:t>The name and qualification of each person who has been a director during the year and to the date of this report are:</w:t>
      </w:r>
    </w:p>
    <w:p>
      <w:pPr>
        <w:pStyle w:val="BodyText"/>
      </w:pPr>
    </w:p>
    <w:p>
      <w:pPr>
        <w:pStyle w:val="BodyText"/>
      </w:pPr>
    </w:p>
    <w:p>
      <w:pPr>
        <w:pStyle w:val="BodyText"/>
      </w:pPr>
    </w:p>
    <w:p>
      <w:pPr>
        <w:pStyle w:val="BodyText"/>
        <w:tabs>
          <w:tab w:pos="4967" w:val="left" w:leader="none"/>
        </w:tabs>
        <w:spacing w:before="140"/>
        <w:ind w:left="1823"/>
      </w:pPr>
      <w:r>
        <w:rPr/>
        <w:t>Mr</w:t>
      </w:r>
      <w:r>
        <w:rPr>
          <w:spacing w:val="-3"/>
        </w:rPr>
        <w:t> </w:t>
      </w:r>
      <w:r>
        <w:rPr/>
        <w:t>Ramy</w:t>
      </w:r>
      <w:r>
        <w:rPr>
          <w:spacing w:val="-3"/>
        </w:rPr>
        <w:t> </w:t>
      </w:r>
      <w:r>
        <w:rPr/>
        <w:t>Aziz</w:t>
        <w:tab/>
        <w:t>B.Bus, CPA, FGIA</w:t>
      </w:r>
    </w:p>
    <w:p>
      <w:pPr>
        <w:pStyle w:val="BodyText"/>
        <w:spacing w:before="8"/>
        <w:rPr>
          <w:sz w:val="25"/>
        </w:rPr>
      </w:pPr>
    </w:p>
    <w:p>
      <w:pPr>
        <w:pStyle w:val="BodyText"/>
        <w:tabs>
          <w:tab w:pos="4967" w:val="left" w:leader="none"/>
        </w:tabs>
        <w:spacing w:line="612" w:lineRule="auto"/>
        <w:ind w:left="1824" w:right="2432"/>
      </w:pPr>
      <w:r>
        <w:rPr/>
        <w:t>Associate Professor</w:t>
      </w:r>
      <w:r>
        <w:rPr>
          <w:spacing w:val="-12"/>
        </w:rPr>
        <w:t> </w:t>
      </w:r>
      <w:r>
        <w:rPr/>
        <w:t>Craig</w:t>
      </w:r>
      <w:r>
        <w:rPr>
          <w:spacing w:val="-6"/>
        </w:rPr>
        <w:t> </w:t>
      </w:r>
      <w:r>
        <w:rPr/>
        <w:t>Ellis</w:t>
        <w:tab/>
        <w:t>BBus,</w:t>
      </w:r>
      <w:r>
        <w:rPr>
          <w:spacing w:val="-6"/>
        </w:rPr>
        <w:t> </w:t>
      </w:r>
      <w:r>
        <w:rPr/>
        <w:t>BComms</w:t>
      </w:r>
      <w:r>
        <w:rPr>
          <w:spacing w:val="-6"/>
        </w:rPr>
        <w:t> </w:t>
      </w:r>
      <w:r>
        <w:rPr/>
        <w:t>(Hons),</w:t>
      </w:r>
      <w:r>
        <w:rPr>
          <w:spacing w:val="-6"/>
        </w:rPr>
        <w:t> </w:t>
      </w:r>
      <w:r>
        <w:rPr/>
        <w:t>PhD,</w:t>
      </w:r>
      <w:r>
        <w:rPr>
          <w:spacing w:val="-6"/>
        </w:rPr>
        <w:t> </w:t>
      </w:r>
      <w:r>
        <w:rPr/>
        <w:t>SA</w:t>
      </w:r>
      <w:r>
        <w:rPr>
          <w:spacing w:val="-6"/>
        </w:rPr>
        <w:t> </w:t>
      </w:r>
      <w:r>
        <w:rPr/>
        <w:t>Fin</w:t>
      </w:r>
      <w:r>
        <w:rPr>
          <w:spacing w:val="-6"/>
        </w:rPr>
        <w:t> </w:t>
      </w:r>
      <w:r>
        <w:rPr/>
        <w:t>(Resigned</w:t>
      </w:r>
      <w:r>
        <w:rPr>
          <w:spacing w:val="-6"/>
        </w:rPr>
        <w:t> </w:t>
      </w:r>
      <w:r>
        <w:rPr/>
        <w:t>16</w:t>
      </w:r>
      <w:r>
        <w:rPr>
          <w:spacing w:val="-6"/>
        </w:rPr>
        <w:t> </w:t>
      </w:r>
      <w:r>
        <w:rPr/>
        <w:t>February</w:t>
      </w:r>
      <w:r>
        <w:rPr>
          <w:spacing w:val="-6"/>
        </w:rPr>
        <w:t> </w:t>
      </w:r>
      <w:r>
        <w:rPr/>
        <w:t>2016)</w:t>
      </w:r>
      <w:r>
        <w:rPr>
          <w:spacing w:val="-1"/>
          <w:w w:val="99"/>
        </w:rPr>
        <w:t> </w:t>
      </w:r>
      <w:r>
        <w:rPr/>
        <w:t>Ms</w:t>
      </w:r>
      <w:r>
        <w:rPr>
          <w:spacing w:val="-4"/>
        </w:rPr>
        <w:t> </w:t>
      </w:r>
      <w:r>
        <w:rPr/>
        <w:t>Jackie</w:t>
      </w:r>
      <w:r>
        <w:rPr>
          <w:spacing w:val="-4"/>
        </w:rPr>
        <w:t> </w:t>
      </w:r>
      <w:r>
        <w:rPr/>
        <w:t>Kelly</w:t>
        <w:tab/>
        <w:t>B.Law (Resigned 20 October</w:t>
      </w:r>
      <w:r>
        <w:rPr>
          <w:spacing w:val="-33"/>
        </w:rPr>
        <w:t> </w:t>
      </w:r>
      <w:r>
        <w:rPr/>
        <w:t>2016)</w:t>
      </w:r>
    </w:p>
    <w:p>
      <w:pPr>
        <w:pStyle w:val="BodyText"/>
        <w:tabs>
          <w:tab w:pos="4967" w:val="left" w:leader="none"/>
        </w:tabs>
        <w:spacing w:line="191" w:lineRule="exact"/>
        <w:ind w:left="1824"/>
      </w:pPr>
      <w:r>
        <w:rPr/>
        <w:t>Professor</w:t>
      </w:r>
      <w:r>
        <w:rPr>
          <w:spacing w:val="-7"/>
        </w:rPr>
        <w:t> </w:t>
      </w:r>
      <w:r>
        <w:rPr/>
        <w:t>Denise</w:t>
      </w:r>
      <w:r>
        <w:rPr>
          <w:spacing w:val="-7"/>
        </w:rPr>
        <w:t> </w:t>
      </w:r>
      <w:r>
        <w:rPr/>
        <w:t>Kirkpatrick</w:t>
        <w:tab/>
        <w:t>Doctor</w:t>
      </w:r>
      <w:r>
        <w:rPr>
          <w:spacing w:val="-9"/>
        </w:rPr>
        <w:t> </w:t>
      </w:r>
      <w:r>
        <w:rPr/>
        <w:t>of</w:t>
      </w:r>
      <w:r>
        <w:rPr>
          <w:spacing w:val="-9"/>
        </w:rPr>
        <w:t> </w:t>
      </w:r>
      <w:r>
        <w:rPr/>
        <w:t>Philosophy</w:t>
      </w:r>
      <w:r>
        <w:rPr>
          <w:spacing w:val="-9"/>
        </w:rPr>
        <w:t> </w:t>
      </w:r>
      <w:r>
        <w:rPr/>
        <w:t>(PhD),</w:t>
      </w:r>
      <w:r>
        <w:rPr>
          <w:spacing w:val="-9"/>
        </w:rPr>
        <w:t> </w:t>
      </w:r>
      <w:r>
        <w:rPr/>
        <w:t>Education</w:t>
      </w:r>
      <w:r>
        <w:rPr>
          <w:spacing w:val="-9"/>
        </w:rPr>
        <w:t> </w:t>
      </w:r>
      <w:r>
        <w:rPr/>
        <w:t>(Chair)</w:t>
      </w:r>
    </w:p>
    <w:p>
      <w:pPr>
        <w:pStyle w:val="BodyText"/>
        <w:spacing w:before="8"/>
        <w:rPr>
          <w:sz w:val="25"/>
        </w:rPr>
      </w:pPr>
    </w:p>
    <w:p>
      <w:pPr>
        <w:pStyle w:val="BodyText"/>
        <w:tabs>
          <w:tab w:pos="4967" w:val="left" w:leader="none"/>
        </w:tabs>
        <w:ind w:left="1824"/>
      </w:pPr>
      <w:r>
        <w:rPr/>
        <w:t>Mr</w:t>
      </w:r>
      <w:r>
        <w:rPr>
          <w:spacing w:val="-4"/>
        </w:rPr>
        <w:t> </w:t>
      </w:r>
      <w:r>
        <w:rPr/>
        <w:t>Angelo</w:t>
      </w:r>
      <w:r>
        <w:rPr>
          <w:spacing w:val="-4"/>
        </w:rPr>
        <w:t> </w:t>
      </w:r>
      <w:r>
        <w:rPr/>
        <w:t>Kourtis</w:t>
        <w:tab/>
        <w:t>BA</w:t>
      </w:r>
    </w:p>
    <w:p>
      <w:pPr>
        <w:pStyle w:val="BodyText"/>
        <w:spacing w:before="8"/>
        <w:rPr>
          <w:sz w:val="25"/>
        </w:rPr>
      </w:pPr>
    </w:p>
    <w:p>
      <w:pPr>
        <w:pStyle w:val="BodyText"/>
        <w:tabs>
          <w:tab w:pos="4967" w:val="left" w:leader="none"/>
        </w:tabs>
        <w:spacing w:line="612" w:lineRule="auto"/>
        <w:ind w:left="1824" w:right="2623"/>
      </w:pPr>
      <w:r>
        <w:rPr/>
        <w:drawing>
          <wp:anchor distT="0" distB="0" distL="0" distR="0" allowOverlap="1" layoutInCell="1" locked="0" behindDoc="0" simplePos="0" relativeHeight="6616">
            <wp:simplePos x="0" y="0"/>
            <wp:positionH relativeFrom="page">
              <wp:posOffset>-1587</wp:posOffset>
            </wp:positionH>
            <wp:positionV relativeFrom="paragraph">
              <wp:posOffset>345108</wp:posOffset>
            </wp:positionV>
            <wp:extent cx="136525" cy="155575"/>
            <wp:effectExtent l="0" t="0" r="0" b="0"/>
            <wp:wrapNone/>
            <wp:docPr id="467" name="image13.png" descr=""/>
            <wp:cNvGraphicFramePr>
              <a:graphicFrameLocks noChangeAspect="1"/>
            </wp:cNvGraphicFramePr>
            <a:graphic>
              <a:graphicData uri="http://schemas.openxmlformats.org/drawingml/2006/picture">
                <pic:pic>
                  <pic:nvPicPr>
                    <pic:cNvPr id="468" name="image13.png"/>
                    <pic:cNvPicPr/>
                  </pic:nvPicPr>
                  <pic:blipFill>
                    <a:blip r:embed="rId18" cstate="print"/>
                    <a:stretch>
                      <a:fillRect/>
                    </a:stretch>
                  </pic:blipFill>
                  <pic:spPr>
                    <a:xfrm>
                      <a:off x="0" y="0"/>
                      <a:ext cx="136525" cy="155575"/>
                    </a:xfrm>
                    <a:prstGeom prst="rect">
                      <a:avLst/>
                    </a:prstGeom>
                  </pic:spPr>
                </pic:pic>
              </a:graphicData>
            </a:graphic>
          </wp:anchor>
        </w:drawing>
      </w:r>
      <w:r>
        <w:rPr/>
        <w:drawing>
          <wp:anchor distT="0" distB="0" distL="0" distR="0" allowOverlap="1" layoutInCell="1" locked="0" behindDoc="0" simplePos="0" relativeHeight="6640">
            <wp:simplePos x="0" y="0"/>
            <wp:positionH relativeFrom="page">
              <wp:posOffset>7958429</wp:posOffset>
            </wp:positionH>
            <wp:positionV relativeFrom="paragraph">
              <wp:posOffset>345108</wp:posOffset>
            </wp:positionV>
            <wp:extent cx="135953" cy="155575"/>
            <wp:effectExtent l="0" t="0" r="0" b="0"/>
            <wp:wrapNone/>
            <wp:docPr id="469" name="image15.png" descr=""/>
            <wp:cNvGraphicFramePr>
              <a:graphicFrameLocks noChangeAspect="1"/>
            </wp:cNvGraphicFramePr>
            <a:graphic>
              <a:graphicData uri="http://schemas.openxmlformats.org/drawingml/2006/picture">
                <pic:pic>
                  <pic:nvPicPr>
                    <pic:cNvPr id="470" name="image15.png"/>
                    <pic:cNvPicPr/>
                  </pic:nvPicPr>
                  <pic:blipFill>
                    <a:blip r:embed="rId20" cstate="print"/>
                    <a:stretch>
                      <a:fillRect/>
                    </a:stretch>
                  </pic:blipFill>
                  <pic:spPr>
                    <a:xfrm>
                      <a:off x="0" y="0"/>
                      <a:ext cx="135953" cy="155575"/>
                    </a:xfrm>
                    <a:prstGeom prst="rect">
                      <a:avLst/>
                    </a:prstGeom>
                  </pic:spPr>
                </pic:pic>
              </a:graphicData>
            </a:graphic>
          </wp:anchor>
        </w:drawing>
      </w:r>
      <w:r>
        <w:rPr/>
        <w:t>Professor</w:t>
      </w:r>
      <w:r>
        <w:rPr>
          <w:spacing w:val="-6"/>
        </w:rPr>
        <w:t> </w:t>
      </w:r>
      <w:r>
        <w:rPr/>
        <w:t>Simon</w:t>
      </w:r>
      <w:r>
        <w:rPr>
          <w:spacing w:val="-6"/>
        </w:rPr>
        <w:t> </w:t>
      </w:r>
      <w:r>
        <w:rPr/>
        <w:t>Barrie</w:t>
        <w:tab/>
        <w:t>Doctor</w:t>
      </w:r>
      <w:r>
        <w:rPr>
          <w:spacing w:val="-7"/>
        </w:rPr>
        <w:t> </w:t>
      </w:r>
      <w:r>
        <w:rPr/>
        <w:t>of</w:t>
      </w:r>
      <w:r>
        <w:rPr>
          <w:spacing w:val="-7"/>
        </w:rPr>
        <w:t> </w:t>
      </w:r>
      <w:r>
        <w:rPr/>
        <w:t>Philosophy</w:t>
      </w:r>
      <w:r>
        <w:rPr>
          <w:spacing w:val="-7"/>
        </w:rPr>
        <w:t> </w:t>
      </w:r>
      <w:r>
        <w:rPr/>
        <w:t>(PhD),</w:t>
      </w:r>
      <w:r>
        <w:rPr>
          <w:spacing w:val="-7"/>
        </w:rPr>
        <w:t> </w:t>
      </w:r>
      <w:r>
        <w:rPr/>
        <w:t>B.App</w:t>
      </w:r>
      <w:r>
        <w:rPr>
          <w:spacing w:val="-7"/>
        </w:rPr>
        <w:t> </w:t>
      </w:r>
      <w:r>
        <w:rPr/>
        <w:t>Sci</w:t>
      </w:r>
      <w:r>
        <w:rPr>
          <w:spacing w:val="-7"/>
        </w:rPr>
        <w:t> </w:t>
      </w:r>
      <w:r>
        <w:rPr/>
        <w:t>(Appointed</w:t>
      </w:r>
      <w:r>
        <w:rPr>
          <w:spacing w:val="-7"/>
        </w:rPr>
        <w:t> </w:t>
      </w:r>
      <w:r>
        <w:rPr/>
        <w:t>19</w:t>
      </w:r>
      <w:r>
        <w:rPr>
          <w:spacing w:val="-7"/>
        </w:rPr>
        <w:t> </w:t>
      </w:r>
      <w:r>
        <w:rPr/>
        <w:t>April</w:t>
      </w:r>
      <w:r>
        <w:rPr>
          <w:spacing w:val="-7"/>
        </w:rPr>
        <w:t> </w:t>
      </w:r>
      <w:r>
        <w:rPr/>
        <w:t>2016)</w:t>
      </w:r>
      <w:r>
        <w:rPr>
          <w:spacing w:val="-1"/>
          <w:w w:val="99"/>
        </w:rPr>
        <w:t> </w:t>
      </w:r>
      <w:r>
        <w:rPr/>
        <w:t>Ms</w:t>
      </w:r>
      <w:r>
        <w:rPr>
          <w:spacing w:val="-6"/>
        </w:rPr>
        <w:t> </w:t>
      </w:r>
      <w:r>
        <w:rPr/>
        <w:t>Caroline</w:t>
      </w:r>
      <w:r>
        <w:rPr>
          <w:spacing w:val="-6"/>
        </w:rPr>
        <w:t> </w:t>
      </w:r>
      <w:r>
        <w:rPr/>
        <w:t>Hutchinson</w:t>
        <w:tab/>
        <w:t>B</w:t>
      </w:r>
      <w:r>
        <w:rPr>
          <w:spacing w:val="-7"/>
        </w:rPr>
        <w:t> </w:t>
      </w:r>
      <w:r>
        <w:rPr/>
        <w:t>Economics,</w:t>
      </w:r>
      <w:r>
        <w:rPr>
          <w:spacing w:val="-7"/>
        </w:rPr>
        <w:t> </w:t>
      </w:r>
      <w:r>
        <w:rPr/>
        <w:t>B</w:t>
      </w:r>
      <w:r>
        <w:rPr>
          <w:spacing w:val="-7"/>
        </w:rPr>
        <w:t> </w:t>
      </w:r>
      <w:r>
        <w:rPr/>
        <w:t>Laws</w:t>
      </w:r>
      <w:r>
        <w:rPr>
          <w:spacing w:val="-7"/>
        </w:rPr>
        <w:t> </w:t>
      </w:r>
      <w:r>
        <w:rPr/>
        <w:t>(Appointed</w:t>
      </w:r>
      <w:r>
        <w:rPr>
          <w:spacing w:val="-7"/>
        </w:rPr>
        <w:t> </w:t>
      </w:r>
      <w:r>
        <w:rPr/>
        <w:t>01</w:t>
      </w:r>
      <w:r>
        <w:rPr>
          <w:spacing w:val="-7"/>
        </w:rPr>
        <w:t> </w:t>
      </w:r>
      <w:r>
        <w:rPr/>
        <w:t>January</w:t>
      </w:r>
      <w:r>
        <w:rPr>
          <w:spacing w:val="-7"/>
        </w:rPr>
        <w:t> </w:t>
      </w:r>
      <w:r>
        <w:rPr/>
        <w:t>2017)</w:t>
      </w:r>
    </w:p>
    <w:p>
      <w:pPr>
        <w:pStyle w:val="BodyText"/>
        <w:spacing w:before="4"/>
        <w:ind w:left="1824"/>
      </w:pPr>
      <w:r>
        <w:rPr/>
        <w:t>Directors have been in office since the start of the financial year to the date of this report unless otherwise stated.</w:t>
      </w:r>
    </w:p>
    <w:p>
      <w:pPr>
        <w:pStyle w:val="BodyText"/>
        <w:spacing w:before="7"/>
        <w:rPr>
          <w:sz w:val="26"/>
        </w:rPr>
      </w:pPr>
    </w:p>
    <w:p>
      <w:pPr>
        <w:pStyle w:val="Heading8"/>
        <w:ind w:left="1822"/>
      </w:pPr>
      <w:r>
        <w:rPr/>
        <w:t>Principal activities and significant changes in nature of activities</w:t>
      </w:r>
    </w:p>
    <w:p>
      <w:pPr>
        <w:pStyle w:val="BodyText"/>
        <w:spacing w:before="4"/>
        <w:rPr>
          <w:b/>
          <w:sz w:val="25"/>
        </w:rPr>
      </w:pPr>
    </w:p>
    <w:p>
      <w:pPr>
        <w:pStyle w:val="BodyText"/>
        <w:ind w:left="1823"/>
      </w:pPr>
      <w:r>
        <w:rPr/>
        <w:t>The principal activities of the Company during the financial year were:</w:t>
      </w:r>
    </w:p>
    <w:p>
      <w:pPr>
        <w:pStyle w:val="BodyText"/>
        <w:spacing w:before="5"/>
        <w:rPr>
          <w:sz w:val="25"/>
        </w:rPr>
      </w:pPr>
    </w:p>
    <w:p>
      <w:pPr>
        <w:pStyle w:val="ListParagraph"/>
        <w:numPr>
          <w:ilvl w:val="1"/>
          <w:numId w:val="40"/>
        </w:numPr>
        <w:tabs>
          <w:tab w:pos="2391" w:val="left" w:leader="none"/>
        </w:tabs>
        <w:spacing w:line="240" w:lineRule="auto" w:before="1" w:after="0"/>
        <w:ind w:left="2390" w:right="0" w:hanging="566"/>
        <w:jc w:val="left"/>
        <w:rPr>
          <w:sz w:val="18"/>
        </w:rPr>
      </w:pPr>
      <w:r>
        <w:rPr>
          <w:sz w:val="18"/>
        </w:rPr>
        <w:t>Provision of educational</w:t>
      </w:r>
      <w:r>
        <w:rPr>
          <w:spacing w:val="-31"/>
          <w:sz w:val="18"/>
        </w:rPr>
        <w:t> </w:t>
      </w:r>
      <w:r>
        <w:rPr>
          <w:sz w:val="18"/>
        </w:rPr>
        <w:t>services</w:t>
      </w:r>
    </w:p>
    <w:p>
      <w:pPr>
        <w:pStyle w:val="BodyText"/>
        <w:spacing w:before="11"/>
        <w:rPr>
          <w:sz w:val="24"/>
        </w:rPr>
      </w:pPr>
    </w:p>
    <w:p>
      <w:pPr>
        <w:pStyle w:val="BodyText"/>
        <w:ind w:left="1823"/>
      </w:pPr>
      <w:r>
        <w:rPr/>
        <w:t>There were no significant changes in the nature of the Company's principal activities during the financial year.</w:t>
      </w:r>
    </w:p>
    <w:p>
      <w:pPr>
        <w:spacing w:after="0"/>
        <w:sectPr>
          <w:headerReference w:type="default" r:id="rId65"/>
          <w:pgSz w:w="12750" w:h="17680"/>
          <w:pgMar w:header="0" w:footer="867" w:top="1880" w:bottom="1120" w:left="0" w:right="0"/>
        </w:sectPr>
      </w:pPr>
    </w:p>
    <w:p>
      <w:pPr>
        <w:pStyle w:val="BodyText"/>
        <w:spacing w:before="2"/>
        <w:rPr>
          <w:sz w:val="24"/>
        </w:rPr>
      </w:pPr>
    </w:p>
    <w:p>
      <w:pPr>
        <w:pStyle w:val="Heading4"/>
      </w:pPr>
      <w:bookmarkStart w:name="2. Operating results and review of opera" w:id="171"/>
      <w:bookmarkEnd w:id="171"/>
      <w:r>
        <w:rPr>
          <w:b w:val="0"/>
        </w:rPr>
      </w:r>
      <w:r>
        <w:rPr/>
        <w:t>Directors' Report</w:t>
      </w:r>
    </w:p>
    <w:p>
      <w:pPr>
        <w:pStyle w:val="Heading7"/>
      </w:pPr>
      <w:r>
        <w:rPr/>
        <w:t>31 December 2016</w:t>
      </w:r>
    </w:p>
    <w:p>
      <w:pPr>
        <w:pStyle w:val="BodyText"/>
        <w:spacing w:before="11"/>
        <w:rPr>
          <w:b/>
          <w:sz w:val="24"/>
        </w:rPr>
      </w:pPr>
    </w:p>
    <w:p>
      <w:pPr>
        <w:pStyle w:val="Heading8"/>
        <w:numPr>
          <w:ilvl w:val="0"/>
          <w:numId w:val="40"/>
        </w:numPr>
        <w:tabs>
          <w:tab w:pos="1823" w:val="left" w:leader="none"/>
        </w:tabs>
        <w:spacing w:line="240" w:lineRule="auto" w:before="0" w:after="0"/>
        <w:ind w:left="1822" w:right="0" w:hanging="394"/>
        <w:jc w:val="left"/>
      </w:pPr>
      <w:r>
        <w:rPr/>
        <w:t>Operating results and review of operations for the</w:t>
      </w:r>
      <w:r>
        <w:rPr>
          <w:spacing w:val="-2"/>
        </w:rPr>
        <w:t> </w:t>
      </w:r>
      <w:r>
        <w:rPr/>
        <w:t>year</w:t>
      </w:r>
    </w:p>
    <w:p>
      <w:pPr>
        <w:pStyle w:val="BodyText"/>
        <w:spacing w:before="11"/>
        <w:rPr>
          <w:b/>
          <w:sz w:val="24"/>
        </w:rPr>
      </w:pPr>
    </w:p>
    <w:p>
      <w:pPr>
        <w:pStyle w:val="BodyText"/>
        <w:ind w:left="1823" w:right="1375"/>
      </w:pPr>
      <w:bookmarkStart w:name="3. Other items" w:id="172"/>
      <w:bookmarkEnd w:id="172"/>
      <w:r>
        <w:rPr/>
      </w:r>
      <w:r>
        <w:rPr/>
        <w:t>The net result of the Company for the year ended 31 December 2016 amounted to NIL (2015: NIL) which included a royalty payment to the parent entity of $20,092,238 (2015: $14,083,420).</w:t>
      </w:r>
    </w:p>
    <w:p>
      <w:pPr>
        <w:pStyle w:val="BodyText"/>
        <w:spacing w:before="11"/>
        <w:rPr>
          <w:sz w:val="24"/>
        </w:rPr>
      </w:pPr>
    </w:p>
    <w:p>
      <w:pPr>
        <w:pStyle w:val="Heading8"/>
        <w:numPr>
          <w:ilvl w:val="0"/>
          <w:numId w:val="40"/>
        </w:numPr>
        <w:tabs>
          <w:tab w:pos="1823" w:val="left" w:leader="none"/>
        </w:tabs>
        <w:spacing w:line="240" w:lineRule="auto" w:before="0" w:after="0"/>
        <w:ind w:left="1822" w:right="0" w:hanging="394"/>
        <w:jc w:val="left"/>
      </w:pPr>
      <w:r>
        <w:rPr/>
        <w:t>Other</w:t>
      </w:r>
      <w:r>
        <w:rPr>
          <w:spacing w:val="-1"/>
        </w:rPr>
        <w:t> </w:t>
      </w:r>
      <w:r>
        <w:rPr/>
        <w:t>items</w:t>
      </w:r>
    </w:p>
    <w:p>
      <w:pPr>
        <w:pStyle w:val="BodyText"/>
        <w:spacing w:before="7"/>
        <w:rPr>
          <w:b/>
          <w:sz w:val="26"/>
        </w:rPr>
      </w:pPr>
    </w:p>
    <w:p>
      <w:pPr>
        <w:spacing w:before="0"/>
        <w:ind w:left="1822" w:right="0" w:firstLine="0"/>
        <w:jc w:val="left"/>
        <w:rPr>
          <w:b/>
          <w:sz w:val="18"/>
        </w:rPr>
      </w:pPr>
      <w:r>
        <w:rPr>
          <w:b/>
          <w:sz w:val="18"/>
        </w:rPr>
        <w:t>Significant changes in state of affairs</w:t>
      </w:r>
    </w:p>
    <w:p>
      <w:pPr>
        <w:pStyle w:val="BodyText"/>
        <w:spacing w:before="4"/>
        <w:rPr>
          <w:b/>
          <w:sz w:val="25"/>
        </w:rPr>
      </w:pPr>
    </w:p>
    <w:p>
      <w:pPr>
        <w:pStyle w:val="BodyText"/>
        <w:ind w:left="1824"/>
      </w:pPr>
      <w:r>
        <w:rPr/>
        <w:t>No significant changes in the nature of the Company's activities occurred during the year.</w:t>
      </w:r>
    </w:p>
    <w:p>
      <w:pPr>
        <w:pStyle w:val="BodyText"/>
        <w:spacing w:before="7"/>
        <w:rPr>
          <w:sz w:val="26"/>
        </w:rPr>
      </w:pPr>
    </w:p>
    <w:p>
      <w:pPr>
        <w:pStyle w:val="Heading8"/>
        <w:ind w:left="1822"/>
      </w:pPr>
      <w:r>
        <w:rPr/>
        <w:t>Events after the reporting date</w:t>
      </w:r>
    </w:p>
    <w:p>
      <w:pPr>
        <w:pStyle w:val="BodyText"/>
        <w:spacing w:before="4"/>
        <w:rPr>
          <w:b/>
          <w:sz w:val="25"/>
        </w:rPr>
      </w:pPr>
    </w:p>
    <w:p>
      <w:pPr>
        <w:pStyle w:val="BodyText"/>
        <w:ind w:left="1824" w:right="1450"/>
      </w:pPr>
      <w:r>
        <w:rPr/>
        <w:t>No matters or circumstances have arisen since the end of the financial year which significantly affected or could significantly affect the operations of the Company, the results of those operations or the state of affairs of the Company in future financial years.</w:t>
      </w:r>
    </w:p>
    <w:p>
      <w:pPr>
        <w:pStyle w:val="BodyText"/>
        <w:spacing w:before="7"/>
        <w:rPr>
          <w:sz w:val="26"/>
        </w:rPr>
      </w:pPr>
    </w:p>
    <w:p>
      <w:pPr>
        <w:pStyle w:val="Heading8"/>
        <w:ind w:left="1822"/>
      </w:pPr>
      <w:r>
        <w:rPr/>
        <w:t>Future developments and results</w:t>
      </w:r>
    </w:p>
    <w:p>
      <w:pPr>
        <w:pStyle w:val="BodyText"/>
        <w:spacing w:before="4"/>
        <w:rPr>
          <w:b/>
          <w:sz w:val="25"/>
        </w:rPr>
      </w:pPr>
    </w:p>
    <w:p>
      <w:pPr>
        <w:pStyle w:val="BodyText"/>
        <w:ind w:left="1823" w:right="1375"/>
      </w:pPr>
      <w:r>
        <w:rPr/>
        <w:t>Likely developments in the operations of the Company and the expected results of those operations in future financial years have not been included in this report as the inclusion of such information is likely to result in unreasonable prejudice to the Company.</w:t>
      </w:r>
    </w:p>
    <w:p>
      <w:pPr>
        <w:pStyle w:val="BodyText"/>
        <w:spacing w:before="7"/>
        <w:rPr>
          <w:sz w:val="26"/>
        </w:rPr>
      </w:pPr>
    </w:p>
    <w:p>
      <w:pPr>
        <w:pStyle w:val="Heading8"/>
        <w:ind w:left="1822"/>
      </w:pPr>
      <w:r>
        <w:rPr/>
        <w:drawing>
          <wp:anchor distT="0" distB="0" distL="0" distR="0" allowOverlap="1" layoutInCell="1" locked="0" behindDoc="0" simplePos="0" relativeHeight="6664">
            <wp:simplePos x="0" y="0"/>
            <wp:positionH relativeFrom="page">
              <wp:posOffset>-1587</wp:posOffset>
            </wp:positionH>
            <wp:positionV relativeFrom="paragraph">
              <wp:posOffset>-9221</wp:posOffset>
            </wp:positionV>
            <wp:extent cx="136525" cy="155575"/>
            <wp:effectExtent l="0" t="0" r="0" b="0"/>
            <wp:wrapNone/>
            <wp:docPr id="471" name="image13.png" descr=""/>
            <wp:cNvGraphicFramePr>
              <a:graphicFrameLocks noChangeAspect="1"/>
            </wp:cNvGraphicFramePr>
            <a:graphic>
              <a:graphicData uri="http://schemas.openxmlformats.org/drawingml/2006/picture">
                <pic:pic>
                  <pic:nvPicPr>
                    <pic:cNvPr id="472" name="image13.png"/>
                    <pic:cNvPicPr/>
                  </pic:nvPicPr>
                  <pic:blipFill>
                    <a:blip r:embed="rId18" cstate="print"/>
                    <a:stretch>
                      <a:fillRect/>
                    </a:stretch>
                  </pic:blipFill>
                  <pic:spPr>
                    <a:xfrm>
                      <a:off x="0" y="0"/>
                      <a:ext cx="136525" cy="155575"/>
                    </a:xfrm>
                    <a:prstGeom prst="rect">
                      <a:avLst/>
                    </a:prstGeom>
                  </pic:spPr>
                </pic:pic>
              </a:graphicData>
            </a:graphic>
          </wp:anchor>
        </w:drawing>
      </w:r>
      <w:r>
        <w:rPr/>
        <w:drawing>
          <wp:anchor distT="0" distB="0" distL="0" distR="0" allowOverlap="1" layoutInCell="1" locked="0" behindDoc="0" simplePos="0" relativeHeight="6688">
            <wp:simplePos x="0" y="0"/>
            <wp:positionH relativeFrom="page">
              <wp:posOffset>7958429</wp:posOffset>
            </wp:positionH>
            <wp:positionV relativeFrom="paragraph">
              <wp:posOffset>-9221</wp:posOffset>
            </wp:positionV>
            <wp:extent cx="135953" cy="155575"/>
            <wp:effectExtent l="0" t="0" r="0" b="0"/>
            <wp:wrapNone/>
            <wp:docPr id="473" name="image15.png" descr=""/>
            <wp:cNvGraphicFramePr>
              <a:graphicFrameLocks noChangeAspect="1"/>
            </wp:cNvGraphicFramePr>
            <a:graphic>
              <a:graphicData uri="http://schemas.openxmlformats.org/drawingml/2006/picture">
                <pic:pic>
                  <pic:nvPicPr>
                    <pic:cNvPr id="474" name="image15.png"/>
                    <pic:cNvPicPr/>
                  </pic:nvPicPr>
                  <pic:blipFill>
                    <a:blip r:embed="rId20" cstate="print"/>
                    <a:stretch>
                      <a:fillRect/>
                    </a:stretch>
                  </pic:blipFill>
                  <pic:spPr>
                    <a:xfrm>
                      <a:off x="0" y="0"/>
                      <a:ext cx="135953" cy="155575"/>
                    </a:xfrm>
                    <a:prstGeom prst="rect">
                      <a:avLst/>
                    </a:prstGeom>
                  </pic:spPr>
                </pic:pic>
              </a:graphicData>
            </a:graphic>
          </wp:anchor>
        </w:drawing>
      </w:r>
      <w:r>
        <w:rPr/>
        <w:t>Environmental issues</w:t>
      </w:r>
    </w:p>
    <w:p>
      <w:pPr>
        <w:pStyle w:val="BodyText"/>
        <w:spacing w:before="4"/>
        <w:rPr>
          <w:b/>
          <w:sz w:val="25"/>
        </w:rPr>
      </w:pPr>
    </w:p>
    <w:p>
      <w:pPr>
        <w:pStyle w:val="BodyText"/>
        <w:ind w:left="1823" w:right="1375"/>
      </w:pPr>
      <w:r>
        <w:rPr/>
        <w:t>The Company's operations are not regulated by any significant environmental regulations under a law of the Commonwealth or of a state or territory of Australia.</w:t>
      </w:r>
    </w:p>
    <w:p>
      <w:pPr>
        <w:pStyle w:val="BodyText"/>
        <w:spacing w:before="7"/>
        <w:rPr>
          <w:sz w:val="26"/>
        </w:rPr>
      </w:pPr>
    </w:p>
    <w:p>
      <w:pPr>
        <w:pStyle w:val="Heading8"/>
        <w:ind w:left="1822"/>
      </w:pPr>
      <w:r>
        <w:rPr/>
        <w:t>Dividends paid or recommended</w:t>
      </w:r>
    </w:p>
    <w:p>
      <w:pPr>
        <w:pStyle w:val="BodyText"/>
        <w:spacing w:before="4"/>
        <w:rPr>
          <w:b/>
          <w:sz w:val="25"/>
        </w:rPr>
      </w:pPr>
    </w:p>
    <w:p>
      <w:pPr>
        <w:pStyle w:val="BodyText"/>
        <w:ind w:left="1823" w:right="1375"/>
      </w:pPr>
      <w:bookmarkStart w:name=" Company secretary" w:id="173"/>
      <w:bookmarkEnd w:id="173"/>
      <w:r>
        <w:rPr/>
      </w:r>
      <w:r>
        <w:rPr/>
        <w:t>No dividend was paid or payable since the commencement of the financial year and up to and including the date of signing the report (2015: nil).</w:t>
      </w:r>
    </w:p>
    <w:p>
      <w:pPr>
        <w:pStyle w:val="BodyText"/>
        <w:spacing w:before="7"/>
        <w:rPr>
          <w:sz w:val="26"/>
        </w:rPr>
      </w:pPr>
    </w:p>
    <w:p>
      <w:pPr>
        <w:pStyle w:val="Heading8"/>
        <w:ind w:left="1822"/>
      </w:pPr>
      <w:r>
        <w:rPr/>
        <w:t>Company secretary</w:t>
      </w:r>
    </w:p>
    <w:p>
      <w:pPr>
        <w:pStyle w:val="BodyText"/>
        <w:spacing w:before="4"/>
        <w:rPr>
          <w:b/>
          <w:sz w:val="25"/>
        </w:rPr>
      </w:pPr>
    </w:p>
    <w:p>
      <w:pPr>
        <w:pStyle w:val="BodyText"/>
        <w:ind w:left="1823" w:right="1375"/>
      </w:pPr>
      <w:r>
        <w:rPr/>
        <w:t>Ms Wendy Barker and Mr Ian Londish held the position of Company Secretary for the whole of the financial year and to the date of this report.</w:t>
      </w:r>
    </w:p>
    <w:p>
      <w:pPr>
        <w:spacing w:after="0"/>
        <w:sectPr>
          <w:pgSz w:w="12750" w:h="17680"/>
          <w:pgMar w:header="0" w:footer="867" w:top="1880" w:bottom="1120" w:left="0" w:right="0"/>
        </w:sectPr>
      </w:pPr>
    </w:p>
    <w:p>
      <w:pPr>
        <w:pStyle w:val="BodyText"/>
        <w:spacing w:before="2"/>
        <w:rPr>
          <w:sz w:val="24"/>
        </w:rPr>
      </w:pPr>
    </w:p>
    <w:p>
      <w:pPr>
        <w:pStyle w:val="Heading4"/>
      </w:pPr>
      <w:bookmarkStart w:name=" Meetings of directors" w:id="174"/>
      <w:bookmarkEnd w:id="174"/>
      <w:r>
        <w:rPr>
          <w:b w:val="0"/>
        </w:rPr>
      </w:r>
      <w:r>
        <w:rPr/>
        <w:t>Directors' Report</w:t>
      </w:r>
    </w:p>
    <w:p>
      <w:pPr>
        <w:pStyle w:val="Heading7"/>
      </w:pPr>
      <w:r>
        <w:rPr/>
        <w:t>31 December 2016</w:t>
      </w:r>
    </w:p>
    <w:p>
      <w:pPr>
        <w:pStyle w:val="BodyText"/>
        <w:spacing w:before="7"/>
        <w:rPr>
          <w:b/>
          <w:sz w:val="26"/>
        </w:rPr>
      </w:pPr>
    </w:p>
    <w:p>
      <w:pPr>
        <w:pStyle w:val="Heading8"/>
        <w:ind w:left="1822"/>
      </w:pPr>
      <w:r>
        <w:rPr/>
        <w:t>Meetings of directors</w:t>
      </w:r>
    </w:p>
    <w:p>
      <w:pPr>
        <w:pStyle w:val="BodyText"/>
        <w:spacing w:before="5"/>
        <w:rPr>
          <w:b/>
          <w:sz w:val="25"/>
        </w:rPr>
      </w:pPr>
    </w:p>
    <w:p>
      <w:pPr>
        <w:pStyle w:val="BodyText"/>
        <w:ind w:left="1824" w:right="1375"/>
      </w:pPr>
      <w:r>
        <w:rPr/>
        <w:t>During the </w:t>
      </w:r>
      <w:r>
        <w:rPr>
          <w:sz w:val="20"/>
        </w:rPr>
        <w:t>financial </w:t>
      </w:r>
      <w:r>
        <w:rPr/>
        <w:t>year ended 31 December 2016, 6 meetings of directors were held. Attendances by each director during the year were as follows:</w:t>
      </w:r>
    </w:p>
    <w:p>
      <w:pPr>
        <w:pStyle w:val="BodyText"/>
        <w:spacing w:before="1"/>
        <w:rPr>
          <w:sz w:val="26"/>
        </w:rPr>
      </w:pPr>
    </w:p>
    <w:tbl>
      <w:tblPr>
        <w:tblW w:w="0" w:type="auto"/>
        <w:jc w:val="left"/>
        <w:tblInd w:w="182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530"/>
        <w:gridCol w:w="737"/>
        <w:gridCol w:w="732"/>
      </w:tblGrid>
      <w:tr>
        <w:trPr>
          <w:trHeight w:val="490" w:hRule="exact"/>
        </w:trPr>
        <w:tc>
          <w:tcPr>
            <w:tcW w:w="4530" w:type="dxa"/>
            <w:vMerge w:val="restart"/>
            <w:tcBorders>
              <w:right w:val="single" w:sz="0" w:space="0" w:color="000000"/>
            </w:tcBorders>
          </w:tcPr>
          <w:p>
            <w:pPr/>
          </w:p>
        </w:tc>
        <w:tc>
          <w:tcPr>
            <w:tcW w:w="1469" w:type="dxa"/>
            <w:gridSpan w:val="2"/>
            <w:tcBorders>
              <w:top w:val="single" w:sz="0" w:space="0" w:color="000000"/>
              <w:left w:val="single" w:sz="0" w:space="0" w:color="000000"/>
              <w:bottom w:val="single" w:sz="0" w:space="0" w:color="000000"/>
              <w:right w:val="single" w:sz="0" w:space="0" w:color="000000"/>
            </w:tcBorders>
          </w:tcPr>
          <w:p>
            <w:pPr>
              <w:pStyle w:val="TableParagraph"/>
              <w:spacing w:line="268" w:lineRule="auto" w:before="57"/>
              <w:ind w:left="410" w:right="321" w:hanging="24"/>
              <w:jc w:val="left"/>
              <w:rPr>
                <w:b/>
                <w:sz w:val="16"/>
              </w:rPr>
            </w:pPr>
            <w:r>
              <w:rPr>
                <w:b/>
                <w:sz w:val="16"/>
              </w:rPr>
              <w:t>Directors'</w:t>
            </w:r>
            <w:r>
              <w:rPr>
                <w:b/>
                <w:w w:val="99"/>
                <w:sz w:val="16"/>
              </w:rPr>
              <w:t> </w:t>
            </w:r>
            <w:r>
              <w:rPr>
                <w:b/>
                <w:sz w:val="16"/>
              </w:rPr>
              <w:t>Meetings</w:t>
            </w:r>
          </w:p>
        </w:tc>
      </w:tr>
      <w:tr>
        <w:trPr>
          <w:trHeight w:val="696" w:hRule="exact"/>
        </w:trPr>
        <w:tc>
          <w:tcPr>
            <w:tcW w:w="4530" w:type="dxa"/>
            <w:vMerge/>
            <w:tcBorders>
              <w:bottom w:val="single" w:sz="0" w:space="0" w:color="000000"/>
              <w:right w:val="single" w:sz="0" w:space="0" w:color="000000"/>
            </w:tcBorders>
          </w:tcPr>
          <w:p>
            <w:pPr/>
          </w:p>
        </w:tc>
        <w:tc>
          <w:tcPr>
            <w:tcW w:w="737" w:type="dxa"/>
            <w:tcBorders>
              <w:top w:val="single" w:sz="0" w:space="0" w:color="000000"/>
              <w:left w:val="single" w:sz="0" w:space="0" w:color="000000"/>
              <w:bottom w:val="single" w:sz="0" w:space="0" w:color="000000"/>
              <w:right w:val="single" w:sz="0" w:space="0" w:color="000000"/>
            </w:tcBorders>
          </w:tcPr>
          <w:p>
            <w:pPr>
              <w:pStyle w:val="TableParagraph"/>
              <w:spacing w:line="307" w:lineRule="auto" w:before="76"/>
              <w:ind w:left="59" w:right="16" w:hanging="2"/>
              <w:jc w:val="center"/>
              <w:rPr>
                <w:b/>
                <w:sz w:val="14"/>
              </w:rPr>
            </w:pPr>
            <w:r>
              <w:rPr>
                <w:b/>
                <w:sz w:val="14"/>
              </w:rPr>
              <w:t>Number eligible to attend</w:t>
            </w:r>
          </w:p>
        </w:tc>
        <w:tc>
          <w:tcPr>
            <w:tcW w:w="732" w:type="dxa"/>
            <w:tcBorders>
              <w:top w:val="single" w:sz="0" w:space="0" w:color="000000"/>
              <w:left w:val="single" w:sz="0" w:space="0" w:color="000000"/>
              <w:bottom w:val="single" w:sz="0" w:space="0" w:color="000000"/>
              <w:right w:val="single" w:sz="0" w:space="0" w:color="000000"/>
            </w:tcBorders>
          </w:tcPr>
          <w:p>
            <w:pPr>
              <w:pStyle w:val="TableParagraph"/>
              <w:jc w:val="left"/>
              <w:rPr>
                <w:sz w:val="14"/>
              </w:rPr>
            </w:pPr>
          </w:p>
          <w:p>
            <w:pPr>
              <w:pStyle w:val="TableParagraph"/>
              <w:spacing w:line="307" w:lineRule="auto" w:before="121"/>
              <w:ind w:left="98" w:right="29" w:firstLine="27"/>
              <w:jc w:val="left"/>
              <w:rPr>
                <w:b/>
                <w:sz w:val="14"/>
              </w:rPr>
            </w:pPr>
            <w:r>
              <w:rPr>
                <w:b/>
                <w:sz w:val="14"/>
              </w:rPr>
              <w:t>Number attended</w:t>
            </w:r>
          </w:p>
        </w:tc>
      </w:tr>
      <w:tr>
        <w:trPr>
          <w:trHeight w:val="256" w:hRule="exact"/>
        </w:trPr>
        <w:tc>
          <w:tcPr>
            <w:tcW w:w="4530" w:type="dxa"/>
            <w:tcBorders>
              <w:top w:val="single" w:sz="0" w:space="0" w:color="000000"/>
              <w:left w:val="single" w:sz="0" w:space="0" w:color="000000"/>
              <w:right w:val="single" w:sz="0" w:space="0" w:color="000000"/>
            </w:tcBorders>
          </w:tcPr>
          <w:p>
            <w:pPr>
              <w:pStyle w:val="TableParagraph"/>
              <w:spacing w:before="34"/>
              <w:ind w:left="68"/>
              <w:jc w:val="left"/>
              <w:rPr>
                <w:sz w:val="16"/>
              </w:rPr>
            </w:pPr>
            <w:r>
              <w:rPr>
                <w:sz w:val="16"/>
              </w:rPr>
              <w:t>Mr Ramy Aziz</w:t>
            </w:r>
          </w:p>
        </w:tc>
        <w:tc>
          <w:tcPr>
            <w:tcW w:w="737" w:type="dxa"/>
            <w:tcBorders>
              <w:top w:val="single" w:sz="0" w:space="0" w:color="000000"/>
              <w:left w:val="single" w:sz="0" w:space="0" w:color="000000"/>
              <w:right w:val="single" w:sz="0" w:space="0" w:color="000000"/>
            </w:tcBorders>
          </w:tcPr>
          <w:p>
            <w:pPr>
              <w:pStyle w:val="TableParagraph"/>
              <w:spacing w:before="33"/>
              <w:ind w:right="246"/>
              <w:rPr>
                <w:sz w:val="16"/>
              </w:rPr>
            </w:pPr>
            <w:r>
              <w:rPr>
                <w:w w:val="99"/>
                <w:sz w:val="16"/>
              </w:rPr>
              <w:t>6</w:t>
            </w:r>
          </w:p>
        </w:tc>
        <w:tc>
          <w:tcPr>
            <w:tcW w:w="732" w:type="dxa"/>
            <w:tcBorders>
              <w:top w:val="single" w:sz="0" w:space="0" w:color="000000"/>
              <w:left w:val="single" w:sz="0" w:space="0" w:color="000000"/>
              <w:right w:val="single" w:sz="0" w:space="0" w:color="000000"/>
            </w:tcBorders>
          </w:tcPr>
          <w:p>
            <w:pPr>
              <w:pStyle w:val="TableParagraph"/>
              <w:spacing w:before="33"/>
              <w:ind w:right="239"/>
              <w:rPr>
                <w:sz w:val="16"/>
              </w:rPr>
            </w:pPr>
            <w:r>
              <w:rPr>
                <w:w w:val="99"/>
                <w:sz w:val="16"/>
              </w:rPr>
              <w:t>6</w:t>
            </w:r>
          </w:p>
        </w:tc>
      </w:tr>
      <w:tr>
        <w:trPr>
          <w:trHeight w:val="241" w:hRule="exact"/>
        </w:trPr>
        <w:tc>
          <w:tcPr>
            <w:tcW w:w="4530" w:type="dxa"/>
            <w:tcBorders>
              <w:left w:val="single" w:sz="0" w:space="0" w:color="000000"/>
              <w:right w:val="single" w:sz="0" w:space="0" w:color="000000"/>
            </w:tcBorders>
          </w:tcPr>
          <w:p>
            <w:pPr>
              <w:pStyle w:val="TableParagraph"/>
              <w:spacing w:before="20"/>
              <w:ind w:left="68"/>
              <w:jc w:val="left"/>
              <w:rPr>
                <w:sz w:val="16"/>
              </w:rPr>
            </w:pPr>
            <w:r>
              <w:rPr>
                <w:sz w:val="16"/>
              </w:rPr>
              <w:t>Associate Professor Craig Ellis</w:t>
            </w:r>
          </w:p>
        </w:tc>
        <w:tc>
          <w:tcPr>
            <w:tcW w:w="737" w:type="dxa"/>
            <w:tcBorders>
              <w:left w:val="single" w:sz="0" w:space="0" w:color="000000"/>
              <w:right w:val="single" w:sz="0" w:space="0" w:color="000000"/>
            </w:tcBorders>
          </w:tcPr>
          <w:p>
            <w:pPr>
              <w:pStyle w:val="TableParagraph"/>
              <w:spacing w:before="19"/>
              <w:ind w:right="246"/>
              <w:rPr>
                <w:sz w:val="16"/>
              </w:rPr>
            </w:pPr>
            <w:r>
              <w:rPr>
                <w:w w:val="99"/>
                <w:sz w:val="16"/>
              </w:rPr>
              <w:t>-</w:t>
            </w:r>
          </w:p>
        </w:tc>
        <w:tc>
          <w:tcPr>
            <w:tcW w:w="732" w:type="dxa"/>
            <w:tcBorders>
              <w:left w:val="single" w:sz="0" w:space="0" w:color="000000"/>
              <w:right w:val="single" w:sz="0" w:space="0" w:color="000000"/>
            </w:tcBorders>
          </w:tcPr>
          <w:p>
            <w:pPr>
              <w:pStyle w:val="TableParagraph"/>
              <w:spacing w:before="19"/>
              <w:ind w:right="238"/>
              <w:rPr>
                <w:sz w:val="16"/>
              </w:rPr>
            </w:pPr>
            <w:r>
              <w:rPr>
                <w:w w:val="99"/>
                <w:sz w:val="16"/>
              </w:rPr>
              <w:t>-</w:t>
            </w:r>
          </w:p>
        </w:tc>
      </w:tr>
      <w:tr>
        <w:trPr>
          <w:trHeight w:val="241" w:hRule="exact"/>
        </w:trPr>
        <w:tc>
          <w:tcPr>
            <w:tcW w:w="4530" w:type="dxa"/>
            <w:tcBorders>
              <w:left w:val="single" w:sz="0" w:space="0" w:color="000000"/>
              <w:right w:val="single" w:sz="0" w:space="0" w:color="000000"/>
            </w:tcBorders>
          </w:tcPr>
          <w:p>
            <w:pPr>
              <w:pStyle w:val="TableParagraph"/>
              <w:spacing w:before="20"/>
              <w:ind w:left="68"/>
              <w:jc w:val="left"/>
              <w:rPr>
                <w:sz w:val="16"/>
              </w:rPr>
            </w:pPr>
            <w:r>
              <w:rPr>
                <w:sz w:val="16"/>
              </w:rPr>
              <w:t>Ms Jackie Kelly</w:t>
            </w:r>
          </w:p>
        </w:tc>
        <w:tc>
          <w:tcPr>
            <w:tcW w:w="737" w:type="dxa"/>
            <w:tcBorders>
              <w:left w:val="single" w:sz="0" w:space="0" w:color="000000"/>
              <w:right w:val="single" w:sz="0" w:space="0" w:color="000000"/>
            </w:tcBorders>
          </w:tcPr>
          <w:p>
            <w:pPr>
              <w:pStyle w:val="TableParagraph"/>
              <w:spacing w:before="19"/>
              <w:ind w:right="246"/>
              <w:rPr>
                <w:sz w:val="16"/>
              </w:rPr>
            </w:pPr>
            <w:r>
              <w:rPr>
                <w:w w:val="99"/>
                <w:sz w:val="16"/>
              </w:rPr>
              <w:t>5</w:t>
            </w:r>
          </w:p>
        </w:tc>
        <w:tc>
          <w:tcPr>
            <w:tcW w:w="732" w:type="dxa"/>
            <w:tcBorders>
              <w:left w:val="single" w:sz="0" w:space="0" w:color="000000"/>
              <w:right w:val="single" w:sz="0" w:space="0" w:color="000000"/>
            </w:tcBorders>
          </w:tcPr>
          <w:p>
            <w:pPr>
              <w:pStyle w:val="TableParagraph"/>
              <w:spacing w:before="19"/>
              <w:ind w:right="239"/>
              <w:rPr>
                <w:sz w:val="16"/>
              </w:rPr>
            </w:pPr>
            <w:r>
              <w:rPr>
                <w:w w:val="99"/>
                <w:sz w:val="16"/>
              </w:rPr>
              <w:t>4</w:t>
            </w:r>
          </w:p>
        </w:tc>
      </w:tr>
      <w:tr>
        <w:trPr>
          <w:trHeight w:val="241" w:hRule="exact"/>
        </w:trPr>
        <w:tc>
          <w:tcPr>
            <w:tcW w:w="4530" w:type="dxa"/>
            <w:tcBorders>
              <w:left w:val="single" w:sz="0" w:space="0" w:color="000000"/>
              <w:right w:val="single" w:sz="0" w:space="0" w:color="000000"/>
            </w:tcBorders>
          </w:tcPr>
          <w:p>
            <w:pPr>
              <w:pStyle w:val="TableParagraph"/>
              <w:spacing w:before="20"/>
              <w:ind w:left="68"/>
              <w:jc w:val="left"/>
              <w:rPr>
                <w:sz w:val="16"/>
              </w:rPr>
            </w:pPr>
            <w:r>
              <w:rPr>
                <w:sz w:val="16"/>
              </w:rPr>
              <w:t>Professor Denise Kirkpatrick</w:t>
            </w:r>
          </w:p>
        </w:tc>
        <w:tc>
          <w:tcPr>
            <w:tcW w:w="737" w:type="dxa"/>
            <w:tcBorders>
              <w:left w:val="single" w:sz="0" w:space="0" w:color="000000"/>
              <w:right w:val="single" w:sz="0" w:space="0" w:color="000000"/>
            </w:tcBorders>
          </w:tcPr>
          <w:p>
            <w:pPr>
              <w:pStyle w:val="TableParagraph"/>
              <w:spacing w:before="19"/>
              <w:ind w:right="246"/>
              <w:rPr>
                <w:sz w:val="16"/>
              </w:rPr>
            </w:pPr>
            <w:r>
              <w:rPr>
                <w:w w:val="99"/>
                <w:sz w:val="16"/>
              </w:rPr>
              <w:t>6</w:t>
            </w:r>
          </w:p>
        </w:tc>
        <w:tc>
          <w:tcPr>
            <w:tcW w:w="732" w:type="dxa"/>
            <w:tcBorders>
              <w:left w:val="single" w:sz="0" w:space="0" w:color="000000"/>
              <w:right w:val="single" w:sz="0" w:space="0" w:color="000000"/>
            </w:tcBorders>
          </w:tcPr>
          <w:p>
            <w:pPr>
              <w:pStyle w:val="TableParagraph"/>
              <w:spacing w:before="19"/>
              <w:ind w:right="239"/>
              <w:rPr>
                <w:sz w:val="16"/>
              </w:rPr>
            </w:pPr>
            <w:r>
              <w:rPr>
                <w:w w:val="99"/>
                <w:sz w:val="16"/>
              </w:rPr>
              <w:t>5</w:t>
            </w:r>
          </w:p>
        </w:tc>
      </w:tr>
      <w:tr>
        <w:trPr>
          <w:trHeight w:val="241" w:hRule="exact"/>
        </w:trPr>
        <w:tc>
          <w:tcPr>
            <w:tcW w:w="4530" w:type="dxa"/>
            <w:tcBorders>
              <w:left w:val="single" w:sz="0" w:space="0" w:color="000000"/>
              <w:right w:val="single" w:sz="0" w:space="0" w:color="000000"/>
            </w:tcBorders>
          </w:tcPr>
          <w:p>
            <w:pPr>
              <w:pStyle w:val="TableParagraph"/>
              <w:spacing w:before="20"/>
              <w:ind w:left="68"/>
              <w:jc w:val="left"/>
              <w:rPr>
                <w:sz w:val="16"/>
              </w:rPr>
            </w:pPr>
            <w:r>
              <w:rPr>
                <w:sz w:val="16"/>
              </w:rPr>
              <w:t>Mr Angelo Kourtis</w:t>
            </w:r>
          </w:p>
        </w:tc>
        <w:tc>
          <w:tcPr>
            <w:tcW w:w="737" w:type="dxa"/>
            <w:tcBorders>
              <w:left w:val="single" w:sz="0" w:space="0" w:color="000000"/>
              <w:right w:val="single" w:sz="0" w:space="0" w:color="000000"/>
            </w:tcBorders>
          </w:tcPr>
          <w:p>
            <w:pPr>
              <w:pStyle w:val="TableParagraph"/>
              <w:spacing w:before="19"/>
              <w:ind w:right="246"/>
              <w:rPr>
                <w:sz w:val="16"/>
              </w:rPr>
            </w:pPr>
            <w:r>
              <w:rPr>
                <w:w w:val="99"/>
                <w:sz w:val="16"/>
              </w:rPr>
              <w:t>6</w:t>
            </w:r>
          </w:p>
        </w:tc>
        <w:tc>
          <w:tcPr>
            <w:tcW w:w="732" w:type="dxa"/>
            <w:tcBorders>
              <w:left w:val="single" w:sz="0" w:space="0" w:color="000000"/>
              <w:right w:val="single" w:sz="0" w:space="0" w:color="000000"/>
            </w:tcBorders>
          </w:tcPr>
          <w:p>
            <w:pPr>
              <w:pStyle w:val="TableParagraph"/>
              <w:spacing w:before="19"/>
              <w:ind w:right="239"/>
              <w:rPr>
                <w:sz w:val="16"/>
              </w:rPr>
            </w:pPr>
            <w:r>
              <w:rPr>
                <w:w w:val="99"/>
                <w:sz w:val="16"/>
              </w:rPr>
              <w:t>5</w:t>
            </w:r>
          </w:p>
        </w:tc>
      </w:tr>
      <w:tr>
        <w:trPr>
          <w:trHeight w:val="241" w:hRule="exact"/>
        </w:trPr>
        <w:tc>
          <w:tcPr>
            <w:tcW w:w="4530" w:type="dxa"/>
            <w:tcBorders>
              <w:left w:val="single" w:sz="0" w:space="0" w:color="000000"/>
              <w:right w:val="single" w:sz="0" w:space="0" w:color="000000"/>
            </w:tcBorders>
          </w:tcPr>
          <w:p>
            <w:pPr>
              <w:pStyle w:val="TableParagraph"/>
              <w:spacing w:before="20"/>
              <w:ind w:left="68"/>
              <w:jc w:val="left"/>
              <w:rPr>
                <w:sz w:val="16"/>
              </w:rPr>
            </w:pPr>
            <w:bookmarkStart w:name=" Indemnification and insurance of office" w:id="175"/>
            <w:bookmarkEnd w:id="175"/>
            <w:r>
              <w:rPr/>
            </w:r>
            <w:r>
              <w:rPr>
                <w:sz w:val="16"/>
              </w:rPr>
              <w:t>Professor Simon Barrie</w:t>
            </w:r>
          </w:p>
        </w:tc>
        <w:tc>
          <w:tcPr>
            <w:tcW w:w="737" w:type="dxa"/>
            <w:tcBorders>
              <w:left w:val="single" w:sz="0" w:space="0" w:color="000000"/>
              <w:right w:val="single" w:sz="0" w:space="0" w:color="000000"/>
            </w:tcBorders>
          </w:tcPr>
          <w:p>
            <w:pPr>
              <w:pStyle w:val="TableParagraph"/>
              <w:spacing w:before="19"/>
              <w:ind w:right="246"/>
              <w:rPr>
                <w:sz w:val="16"/>
              </w:rPr>
            </w:pPr>
            <w:r>
              <w:rPr>
                <w:w w:val="99"/>
                <w:sz w:val="16"/>
              </w:rPr>
              <w:t>5</w:t>
            </w:r>
          </w:p>
        </w:tc>
        <w:tc>
          <w:tcPr>
            <w:tcW w:w="732" w:type="dxa"/>
            <w:tcBorders>
              <w:left w:val="single" w:sz="0" w:space="0" w:color="000000"/>
              <w:right w:val="single" w:sz="0" w:space="0" w:color="000000"/>
            </w:tcBorders>
          </w:tcPr>
          <w:p>
            <w:pPr>
              <w:pStyle w:val="TableParagraph"/>
              <w:spacing w:before="19"/>
              <w:ind w:right="239"/>
              <w:rPr>
                <w:sz w:val="16"/>
              </w:rPr>
            </w:pPr>
            <w:r>
              <w:rPr>
                <w:w w:val="99"/>
                <w:sz w:val="16"/>
              </w:rPr>
              <w:t>3</w:t>
            </w:r>
          </w:p>
        </w:tc>
      </w:tr>
      <w:tr>
        <w:trPr>
          <w:trHeight w:val="477" w:hRule="exact"/>
        </w:trPr>
        <w:tc>
          <w:tcPr>
            <w:tcW w:w="4530" w:type="dxa"/>
            <w:tcBorders>
              <w:left w:val="single" w:sz="0" w:space="0" w:color="000000"/>
              <w:bottom w:val="single" w:sz="0" w:space="0" w:color="000000"/>
              <w:right w:val="single" w:sz="0" w:space="0" w:color="000000"/>
            </w:tcBorders>
          </w:tcPr>
          <w:p>
            <w:pPr>
              <w:pStyle w:val="TableParagraph"/>
              <w:spacing w:before="20"/>
              <w:ind w:left="68"/>
              <w:jc w:val="left"/>
              <w:rPr>
                <w:sz w:val="16"/>
              </w:rPr>
            </w:pPr>
            <w:r>
              <w:rPr>
                <w:sz w:val="16"/>
              </w:rPr>
              <w:t>Ms Caroline Hutchinson</w:t>
            </w:r>
          </w:p>
        </w:tc>
        <w:tc>
          <w:tcPr>
            <w:tcW w:w="737" w:type="dxa"/>
            <w:tcBorders>
              <w:left w:val="single" w:sz="0" w:space="0" w:color="000000"/>
              <w:bottom w:val="single" w:sz="0" w:space="0" w:color="000000"/>
              <w:right w:val="single" w:sz="0" w:space="0" w:color="000000"/>
            </w:tcBorders>
          </w:tcPr>
          <w:p>
            <w:pPr>
              <w:pStyle w:val="TableParagraph"/>
              <w:spacing w:before="19"/>
              <w:ind w:right="246"/>
              <w:rPr>
                <w:sz w:val="16"/>
              </w:rPr>
            </w:pPr>
            <w:r>
              <w:rPr>
                <w:w w:val="99"/>
                <w:sz w:val="16"/>
              </w:rPr>
              <w:t>-</w:t>
            </w:r>
          </w:p>
        </w:tc>
        <w:tc>
          <w:tcPr>
            <w:tcW w:w="732" w:type="dxa"/>
            <w:tcBorders>
              <w:left w:val="single" w:sz="0" w:space="0" w:color="000000"/>
              <w:bottom w:val="single" w:sz="0" w:space="0" w:color="000000"/>
              <w:right w:val="single" w:sz="0" w:space="0" w:color="000000"/>
            </w:tcBorders>
          </w:tcPr>
          <w:p>
            <w:pPr>
              <w:pStyle w:val="TableParagraph"/>
              <w:spacing w:before="19"/>
              <w:ind w:right="238"/>
              <w:rPr>
                <w:sz w:val="16"/>
              </w:rPr>
            </w:pPr>
            <w:r>
              <w:rPr>
                <w:w w:val="99"/>
                <w:sz w:val="16"/>
              </w:rPr>
              <w:t>-</w:t>
            </w:r>
          </w:p>
        </w:tc>
      </w:tr>
    </w:tbl>
    <w:p>
      <w:pPr>
        <w:pStyle w:val="BodyText"/>
        <w:spacing w:before="9"/>
      </w:pPr>
    </w:p>
    <w:p>
      <w:pPr>
        <w:pStyle w:val="Heading8"/>
        <w:spacing w:before="77"/>
        <w:ind w:left="1822"/>
      </w:pPr>
      <w:r>
        <w:rPr/>
        <w:t>Indemnification and insurance of officers and auditors</w:t>
      </w:r>
    </w:p>
    <w:p>
      <w:pPr>
        <w:pStyle w:val="BodyText"/>
        <w:spacing w:before="11"/>
        <w:rPr>
          <w:b/>
          <w:sz w:val="24"/>
        </w:rPr>
      </w:pPr>
    </w:p>
    <w:p>
      <w:pPr>
        <w:pStyle w:val="BodyText"/>
        <w:ind w:left="1823" w:right="1375"/>
      </w:pPr>
      <w:r>
        <w:rPr/>
        <w:drawing>
          <wp:anchor distT="0" distB="0" distL="0" distR="0" allowOverlap="1" layoutInCell="1" locked="0" behindDoc="0" simplePos="0" relativeHeight="6856">
            <wp:simplePos x="0" y="0"/>
            <wp:positionH relativeFrom="page">
              <wp:posOffset>-1587</wp:posOffset>
            </wp:positionH>
            <wp:positionV relativeFrom="paragraph">
              <wp:posOffset>246810</wp:posOffset>
            </wp:positionV>
            <wp:extent cx="136525" cy="155575"/>
            <wp:effectExtent l="0" t="0" r="0" b="0"/>
            <wp:wrapNone/>
            <wp:docPr id="475" name="image13.png" descr=""/>
            <wp:cNvGraphicFramePr>
              <a:graphicFrameLocks noChangeAspect="1"/>
            </wp:cNvGraphicFramePr>
            <a:graphic>
              <a:graphicData uri="http://schemas.openxmlformats.org/drawingml/2006/picture">
                <pic:pic>
                  <pic:nvPicPr>
                    <pic:cNvPr id="476" name="image13.png"/>
                    <pic:cNvPicPr/>
                  </pic:nvPicPr>
                  <pic:blipFill>
                    <a:blip r:embed="rId18" cstate="print"/>
                    <a:stretch>
                      <a:fillRect/>
                    </a:stretch>
                  </pic:blipFill>
                  <pic:spPr>
                    <a:xfrm>
                      <a:off x="0" y="0"/>
                      <a:ext cx="136525" cy="155575"/>
                    </a:xfrm>
                    <a:prstGeom prst="rect">
                      <a:avLst/>
                    </a:prstGeom>
                  </pic:spPr>
                </pic:pic>
              </a:graphicData>
            </a:graphic>
          </wp:anchor>
        </w:drawing>
      </w:r>
      <w:r>
        <w:rPr/>
        <w:drawing>
          <wp:anchor distT="0" distB="0" distL="0" distR="0" allowOverlap="1" layoutInCell="1" locked="0" behindDoc="0" simplePos="0" relativeHeight="6880">
            <wp:simplePos x="0" y="0"/>
            <wp:positionH relativeFrom="page">
              <wp:posOffset>7958429</wp:posOffset>
            </wp:positionH>
            <wp:positionV relativeFrom="paragraph">
              <wp:posOffset>246810</wp:posOffset>
            </wp:positionV>
            <wp:extent cx="135953" cy="155575"/>
            <wp:effectExtent l="0" t="0" r="0" b="0"/>
            <wp:wrapNone/>
            <wp:docPr id="477" name="image15.png" descr=""/>
            <wp:cNvGraphicFramePr>
              <a:graphicFrameLocks noChangeAspect="1"/>
            </wp:cNvGraphicFramePr>
            <a:graphic>
              <a:graphicData uri="http://schemas.openxmlformats.org/drawingml/2006/picture">
                <pic:pic>
                  <pic:nvPicPr>
                    <pic:cNvPr id="478" name="image15.png"/>
                    <pic:cNvPicPr/>
                  </pic:nvPicPr>
                  <pic:blipFill>
                    <a:blip r:embed="rId20" cstate="print"/>
                    <a:stretch>
                      <a:fillRect/>
                    </a:stretch>
                  </pic:blipFill>
                  <pic:spPr>
                    <a:xfrm>
                      <a:off x="0" y="0"/>
                      <a:ext cx="135953" cy="155575"/>
                    </a:xfrm>
                    <a:prstGeom prst="rect">
                      <a:avLst/>
                    </a:prstGeom>
                  </pic:spPr>
                </pic:pic>
              </a:graphicData>
            </a:graphic>
          </wp:anchor>
        </w:drawing>
      </w:r>
      <w:bookmarkStart w:name=" Proceedings on behalf of company" w:id="176"/>
      <w:bookmarkEnd w:id="176"/>
      <w:r>
        <w:rPr/>
      </w:r>
      <w:r>
        <w:rPr/>
        <w:t>The Company is insured externally and in line with the parent entity's policies for all significant areas of risk exposure and accordingly, is not a self-insurer and makes no provision in its financial statements for internal coverage.</w:t>
      </w:r>
    </w:p>
    <w:p>
      <w:pPr>
        <w:pStyle w:val="BodyText"/>
        <w:spacing w:before="11"/>
        <w:rPr>
          <w:sz w:val="24"/>
        </w:rPr>
      </w:pPr>
    </w:p>
    <w:p>
      <w:pPr>
        <w:pStyle w:val="Heading8"/>
        <w:ind w:left="1822"/>
      </w:pPr>
      <w:r>
        <w:rPr/>
        <w:t>Proceedings on behalf of company</w:t>
      </w:r>
    </w:p>
    <w:p>
      <w:pPr>
        <w:pStyle w:val="BodyText"/>
        <w:spacing w:before="11"/>
        <w:rPr>
          <w:b/>
          <w:sz w:val="24"/>
        </w:rPr>
      </w:pPr>
    </w:p>
    <w:p>
      <w:pPr>
        <w:pStyle w:val="BodyText"/>
        <w:ind w:left="1823" w:right="1338"/>
      </w:pPr>
      <w:r>
        <w:rPr/>
        <w:t>No person has applied for leave of court to bring proceedings on behalf of the Company or intervene in any proceedings to which the Company is a party for the purpose of taking responsibility on behalf of the Company for all or any part of </w:t>
      </w:r>
      <w:bookmarkStart w:name=" Auditor's independence declaration" w:id="177"/>
      <w:bookmarkEnd w:id="177"/>
      <w:r>
        <w:rPr/>
      </w:r>
      <w:r>
        <w:rPr/>
        <w:t>those proceedings.</w:t>
      </w:r>
    </w:p>
    <w:p>
      <w:pPr>
        <w:pStyle w:val="BodyText"/>
        <w:spacing w:before="11"/>
        <w:rPr>
          <w:sz w:val="24"/>
        </w:rPr>
      </w:pPr>
    </w:p>
    <w:p>
      <w:pPr>
        <w:pStyle w:val="BodyText"/>
        <w:ind w:left="1824"/>
      </w:pPr>
      <w:r>
        <w:rPr/>
        <w:t>The Company was not a party to any such proceedings during the year.</w:t>
      </w:r>
    </w:p>
    <w:p>
      <w:pPr>
        <w:pStyle w:val="BodyText"/>
        <w:spacing w:before="7"/>
        <w:rPr>
          <w:sz w:val="26"/>
        </w:rPr>
      </w:pPr>
    </w:p>
    <w:p>
      <w:pPr>
        <w:pStyle w:val="Heading8"/>
        <w:ind w:left="1822"/>
      </w:pPr>
      <w:r>
        <w:rPr/>
        <w:t>Auditor's independence declaration</w:t>
      </w:r>
    </w:p>
    <w:p>
      <w:pPr>
        <w:pStyle w:val="BodyText"/>
        <w:spacing w:before="5"/>
        <w:rPr>
          <w:b/>
          <w:sz w:val="25"/>
        </w:rPr>
      </w:pPr>
    </w:p>
    <w:p>
      <w:pPr>
        <w:pStyle w:val="BodyText"/>
        <w:ind w:left="1823" w:right="1375"/>
      </w:pPr>
      <w:r>
        <w:rPr/>
        <w:t>The auditor's independence declaration in accordance with section 307C of the </w:t>
      </w:r>
      <w:r>
        <w:rPr>
          <w:i/>
        </w:rPr>
        <w:t>Corporations Act 2001</w:t>
      </w:r>
      <w:r>
        <w:rPr/>
        <w:t>, for the year ended 31 December 2016 has been received and can be found on page 105 of the financial statements.</w:t>
      </w:r>
    </w:p>
    <w:p>
      <w:pPr>
        <w:pStyle w:val="BodyText"/>
        <w:spacing w:before="11"/>
        <w:rPr>
          <w:sz w:val="24"/>
        </w:rPr>
      </w:pPr>
    </w:p>
    <w:p>
      <w:pPr>
        <w:pStyle w:val="BodyText"/>
        <w:ind w:left="1824"/>
      </w:pPr>
      <w:r>
        <w:rPr/>
        <w:t>The Audit Office of New South Wales GPO Box 12 Sydney NSW 2001</w:t>
      </w:r>
    </w:p>
    <w:p>
      <w:pPr>
        <w:pStyle w:val="BodyText"/>
        <w:spacing w:before="11"/>
        <w:rPr>
          <w:sz w:val="24"/>
        </w:rPr>
      </w:pPr>
    </w:p>
    <w:p>
      <w:pPr>
        <w:pStyle w:val="BodyText"/>
        <w:ind w:left="1824"/>
      </w:pPr>
      <w:r>
        <w:rPr/>
        <w:pict>
          <v:shape style="position:absolute;margin-left:364.678986pt;margin-top:15.197037pt;width:164.55pt;height:59.75pt;mso-position-horizontal-relative:page;mso-position-vertical-relative:paragraph;z-index:-1201624" type="#_x0000_t202" filled="false" stroked="false">
            <v:textbox inset="0,0,0,0">
              <w:txbxContent>
                <w:p>
                  <w:pPr>
                    <w:pStyle w:val="BodyText"/>
                  </w:pPr>
                </w:p>
                <w:p>
                  <w:pPr>
                    <w:pStyle w:val="BodyText"/>
                  </w:pPr>
                </w:p>
                <w:p>
                  <w:pPr>
                    <w:pStyle w:val="BodyText"/>
                    <w:spacing w:before="6"/>
                    <w:rPr>
                      <w:sz w:val="23"/>
                    </w:rPr>
                  </w:pPr>
                </w:p>
                <w:p>
                  <w:pPr>
                    <w:pStyle w:val="BodyText"/>
                    <w:ind w:left="67"/>
                  </w:pPr>
                  <w:r>
                    <w:rPr/>
                    <w:t>................................................................</w:t>
                  </w:r>
                </w:p>
              </w:txbxContent>
            </v:textbox>
            <w10:wrap type="none"/>
          </v:shape>
        </w:pict>
      </w:r>
      <w:r>
        <w:rPr/>
        <w:pict>
          <v:group style="position:absolute;margin-left:364.678986pt;margin-top:15.197037pt;width:164.25pt;height:59.75pt;mso-position-horizontal-relative:page;mso-position-vertical-relative:paragraph;z-index:-1201552" coordorigin="7294,304" coordsize="3285,1195">
            <v:shape style="position:absolute;left:7294;top:304;width:3284;height:1194" type="#_x0000_t75" stroked="false">
              <v:imagedata r:id="rId66" o:title=""/>
            </v:shape>
            <v:shape style="position:absolute;left:7294;top:304;width:3285;height:1195" type="#_x0000_t202" filled="false" stroked="false">
              <v:textbox inset="0,0,0,0">
                <w:txbxContent>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4"/>
                      <w:rPr>
                        <w:sz w:val="18"/>
                      </w:rPr>
                    </w:pPr>
                  </w:p>
                  <w:p>
                    <w:pPr>
                      <w:spacing w:before="0"/>
                      <w:ind w:left="50" w:right="0" w:firstLine="0"/>
                      <w:jc w:val="left"/>
                      <w:rPr>
                        <w:sz w:val="16"/>
                      </w:rPr>
                    </w:pPr>
                    <w:r>
                      <w:rPr>
                        <w:sz w:val="16"/>
                      </w:rPr>
                      <w:t>Profesor Simon Barrie</w:t>
                    </w:r>
                  </w:p>
                </w:txbxContent>
              </v:textbox>
              <w10:wrap type="none"/>
            </v:shape>
            <w10:wrap type="none"/>
          </v:group>
        </w:pict>
      </w:r>
      <w:r>
        <w:rPr/>
        <w:t>This report is made in accordance with a resolution of the Board of Directors.</w:t>
      </w:r>
    </w:p>
    <w:p>
      <w:pPr>
        <w:pStyle w:val="BodyText"/>
      </w:pPr>
    </w:p>
    <w:p>
      <w:pPr>
        <w:pStyle w:val="BodyText"/>
      </w:pPr>
    </w:p>
    <w:p>
      <w:pPr>
        <w:pStyle w:val="BodyText"/>
      </w:pPr>
    </w:p>
    <w:p>
      <w:pPr>
        <w:pStyle w:val="BodyText"/>
        <w:tabs>
          <w:tab w:pos="6627" w:val="left" w:leader="none"/>
        </w:tabs>
        <w:spacing w:before="161"/>
        <w:ind w:left="1822"/>
      </w:pPr>
      <w:r>
        <w:rPr/>
        <w:pict>
          <v:shape style="position:absolute;margin-left:126.132416pt;margin-top:-11.333545pt;width:160.35pt;height:97.75pt;mso-position-horizontal-relative:page;mso-position-vertical-relative:paragraph;z-index:-1201600" type="#_x0000_t202" filled="false" stroked="false">
            <v:textbox inset="0,0,0,0">
              <w:txbxContent>
                <w:p>
                  <w:pPr>
                    <w:pStyle w:val="BodyText"/>
                  </w:pPr>
                </w:p>
                <w:p>
                  <w:pPr>
                    <w:pStyle w:val="BodyText"/>
                    <w:spacing w:before="8"/>
                    <w:rPr>
                      <w:sz w:val="15"/>
                    </w:rPr>
                  </w:pPr>
                </w:p>
                <w:p>
                  <w:pPr>
                    <w:pStyle w:val="BodyText"/>
                    <w:ind w:left="33"/>
                  </w:pPr>
                  <w:r>
                    <w:rPr/>
                    <w:t>...............................................................</w:t>
                  </w:r>
                </w:p>
              </w:txbxContent>
            </v:textbox>
            <w10:wrap type="none"/>
          </v:shape>
        </w:pict>
      </w:r>
      <w:r>
        <w:rPr/>
        <w:pict>
          <v:group style="position:absolute;margin-left:126.132416pt;margin-top:-11.333545pt;width:159.950pt;height:97.75pt;mso-position-horizontal-relative:page;mso-position-vertical-relative:paragraph;z-index:-1201504" coordorigin="2523,-227" coordsize="3199,1955">
            <v:shape style="position:absolute;left:2523;top:-227;width:3198;height:1955" type="#_x0000_t75" stroked="false">
              <v:imagedata r:id="rId67" o:title=""/>
            </v:shape>
            <v:shape style="position:absolute;left:2523;top:-227;width:3199;height:1955" type="#_x0000_t202" filled="false" stroked="false">
              <v:textbox inset="0,0,0,0">
                <w:txbxContent>
                  <w:p>
                    <w:pPr>
                      <w:spacing w:line="240" w:lineRule="auto" w:before="0"/>
                      <w:rPr>
                        <w:sz w:val="16"/>
                      </w:rPr>
                    </w:pPr>
                  </w:p>
                  <w:p>
                    <w:pPr>
                      <w:spacing w:line="240" w:lineRule="auto" w:before="0"/>
                      <w:rPr>
                        <w:sz w:val="16"/>
                      </w:rPr>
                    </w:pPr>
                  </w:p>
                  <w:p>
                    <w:pPr>
                      <w:spacing w:line="240" w:lineRule="auto" w:before="0"/>
                      <w:rPr>
                        <w:sz w:val="16"/>
                      </w:rPr>
                    </w:pPr>
                  </w:p>
                  <w:p>
                    <w:pPr>
                      <w:spacing w:before="98"/>
                      <w:ind w:left="12" w:right="0" w:firstLine="0"/>
                      <w:jc w:val="left"/>
                      <w:rPr>
                        <w:sz w:val="16"/>
                      </w:rPr>
                    </w:pPr>
                    <w:r>
                      <w:rPr>
                        <w:sz w:val="16"/>
                      </w:rPr>
                      <w:t>Professor Denise Kirkpatrick</w:t>
                    </w:r>
                  </w:p>
                </w:txbxContent>
              </v:textbox>
              <w10:wrap type="none"/>
            </v:shape>
            <w10:wrap type="none"/>
          </v:group>
        </w:pict>
      </w:r>
      <w:r>
        <w:rPr/>
        <w:t>Director:</w:t>
        <w:tab/>
        <w:t>Director:</w:t>
      </w:r>
    </w:p>
    <w:p>
      <w:pPr>
        <w:pStyle w:val="BodyText"/>
      </w:pPr>
    </w:p>
    <w:p>
      <w:pPr>
        <w:pStyle w:val="BodyText"/>
      </w:pPr>
    </w:p>
    <w:p>
      <w:pPr>
        <w:pStyle w:val="BodyText"/>
      </w:pPr>
    </w:p>
    <w:p>
      <w:pPr>
        <w:pStyle w:val="BodyText"/>
      </w:pPr>
    </w:p>
    <w:p>
      <w:pPr>
        <w:pStyle w:val="BodyText"/>
        <w:spacing w:before="8"/>
      </w:pPr>
    </w:p>
    <w:p>
      <w:pPr>
        <w:pStyle w:val="BodyText"/>
        <w:ind w:left="1823"/>
      </w:pPr>
      <w:r>
        <w:rPr/>
        <w:t>Dated:</w:t>
      </w:r>
    </w:p>
    <w:p>
      <w:pPr>
        <w:spacing w:after="0"/>
        <w:sectPr>
          <w:pgSz w:w="12750" w:h="17680"/>
          <w:pgMar w:header="0" w:footer="867" w:top="1880" w:bottom="1120" w:left="0" w:right="0"/>
        </w:sectPr>
      </w:pPr>
    </w:p>
    <w:p>
      <w:pPr>
        <w:pStyle w:val="BodyText"/>
        <w:spacing w:before="2"/>
        <w:rPr>
          <w:sz w:val="24"/>
        </w:rPr>
      </w:pPr>
    </w:p>
    <w:p>
      <w:pPr>
        <w:pStyle w:val="Heading4"/>
      </w:pPr>
      <w:r>
        <w:rPr/>
        <w:t>Directors' Declaration</w:t>
      </w:r>
    </w:p>
    <w:p>
      <w:pPr>
        <w:pStyle w:val="BodyText"/>
        <w:rPr>
          <w:b/>
          <w:sz w:val="25"/>
        </w:rPr>
      </w:pPr>
    </w:p>
    <w:p>
      <w:pPr>
        <w:pStyle w:val="BodyText"/>
        <w:ind w:left="1428"/>
      </w:pPr>
      <w:r>
        <w:rPr/>
        <w:t>In the directors' opinion:</w:t>
      </w:r>
    </w:p>
    <w:p>
      <w:pPr>
        <w:pStyle w:val="BodyText"/>
        <w:spacing w:before="6"/>
        <w:rPr>
          <w:sz w:val="19"/>
        </w:rPr>
      </w:pPr>
    </w:p>
    <w:p>
      <w:pPr>
        <w:pStyle w:val="ListParagraph"/>
        <w:numPr>
          <w:ilvl w:val="0"/>
          <w:numId w:val="41"/>
        </w:numPr>
        <w:tabs>
          <w:tab w:pos="1824" w:val="left" w:leader="none"/>
        </w:tabs>
        <w:spacing w:line="408" w:lineRule="auto" w:before="0" w:after="0"/>
        <w:ind w:left="1824" w:right="2036" w:hanging="396"/>
        <w:jc w:val="left"/>
        <w:rPr>
          <w:sz w:val="18"/>
        </w:rPr>
      </w:pPr>
      <w:r>
        <w:rPr>
          <w:sz w:val="18"/>
        </w:rPr>
        <w:t>the</w:t>
      </w:r>
      <w:r>
        <w:rPr>
          <w:spacing w:val="-4"/>
          <w:sz w:val="18"/>
        </w:rPr>
        <w:t> </w:t>
      </w:r>
      <w:r>
        <w:rPr>
          <w:sz w:val="18"/>
        </w:rPr>
        <w:t>financial</w:t>
      </w:r>
      <w:r>
        <w:rPr>
          <w:spacing w:val="-5"/>
          <w:sz w:val="18"/>
        </w:rPr>
        <w:t> </w:t>
      </w:r>
      <w:r>
        <w:rPr>
          <w:sz w:val="18"/>
        </w:rPr>
        <w:t>statements</w:t>
      </w:r>
      <w:r>
        <w:rPr>
          <w:spacing w:val="-5"/>
          <w:sz w:val="18"/>
        </w:rPr>
        <w:t> </w:t>
      </w:r>
      <w:r>
        <w:rPr>
          <w:sz w:val="18"/>
        </w:rPr>
        <w:t>and</w:t>
      </w:r>
      <w:r>
        <w:rPr>
          <w:spacing w:val="-5"/>
          <w:sz w:val="18"/>
        </w:rPr>
        <w:t> </w:t>
      </w:r>
      <w:r>
        <w:rPr>
          <w:sz w:val="18"/>
        </w:rPr>
        <w:t>notes,</w:t>
      </w:r>
      <w:r>
        <w:rPr>
          <w:spacing w:val="-5"/>
          <w:sz w:val="18"/>
        </w:rPr>
        <w:t> </w:t>
      </w:r>
      <w:r>
        <w:rPr>
          <w:sz w:val="18"/>
        </w:rPr>
        <w:t>as</w:t>
      </w:r>
      <w:r>
        <w:rPr>
          <w:spacing w:val="-5"/>
          <w:sz w:val="18"/>
        </w:rPr>
        <w:t> </w:t>
      </w:r>
      <w:r>
        <w:rPr>
          <w:sz w:val="18"/>
        </w:rPr>
        <w:t>set</w:t>
      </w:r>
      <w:r>
        <w:rPr>
          <w:spacing w:val="-5"/>
          <w:sz w:val="18"/>
        </w:rPr>
        <w:t> </w:t>
      </w:r>
      <w:r>
        <w:rPr>
          <w:sz w:val="18"/>
        </w:rPr>
        <w:t>out</w:t>
      </w:r>
      <w:r>
        <w:rPr>
          <w:spacing w:val="-5"/>
          <w:sz w:val="18"/>
        </w:rPr>
        <w:t> </w:t>
      </w:r>
      <w:r>
        <w:rPr>
          <w:sz w:val="18"/>
        </w:rPr>
        <w:t>on</w:t>
      </w:r>
      <w:r>
        <w:rPr>
          <w:spacing w:val="-5"/>
          <w:sz w:val="18"/>
        </w:rPr>
        <w:t> </w:t>
      </w:r>
      <w:r>
        <w:rPr>
          <w:sz w:val="18"/>
        </w:rPr>
        <w:t>pages</w:t>
      </w:r>
      <w:r>
        <w:rPr>
          <w:spacing w:val="-5"/>
          <w:sz w:val="18"/>
        </w:rPr>
        <w:t> </w:t>
      </w:r>
      <w:r>
        <w:rPr>
          <w:sz w:val="18"/>
        </w:rPr>
        <w:t>106</w:t>
      </w:r>
      <w:r>
        <w:rPr>
          <w:spacing w:val="-5"/>
          <w:sz w:val="18"/>
        </w:rPr>
        <w:t> </w:t>
      </w:r>
      <w:r>
        <w:rPr>
          <w:sz w:val="18"/>
        </w:rPr>
        <w:t>to</w:t>
      </w:r>
      <w:r>
        <w:rPr>
          <w:spacing w:val="-5"/>
          <w:sz w:val="18"/>
        </w:rPr>
        <w:t> </w:t>
      </w:r>
      <w:r>
        <w:rPr>
          <w:sz w:val="18"/>
        </w:rPr>
        <w:t>136,</w:t>
      </w:r>
      <w:r>
        <w:rPr>
          <w:spacing w:val="-5"/>
          <w:sz w:val="18"/>
        </w:rPr>
        <w:t> </w:t>
      </w:r>
      <w:r>
        <w:rPr>
          <w:sz w:val="18"/>
        </w:rPr>
        <w:t>are</w:t>
      </w:r>
      <w:r>
        <w:rPr>
          <w:spacing w:val="-5"/>
          <w:sz w:val="18"/>
        </w:rPr>
        <w:t> </w:t>
      </w:r>
      <w:r>
        <w:rPr>
          <w:sz w:val="18"/>
        </w:rPr>
        <w:t>in</w:t>
      </w:r>
      <w:r>
        <w:rPr>
          <w:spacing w:val="-5"/>
          <w:sz w:val="18"/>
        </w:rPr>
        <w:t> </w:t>
      </w:r>
      <w:r>
        <w:rPr>
          <w:sz w:val="18"/>
        </w:rPr>
        <w:t>accordance</w:t>
      </w:r>
      <w:r>
        <w:rPr>
          <w:spacing w:val="-5"/>
          <w:sz w:val="18"/>
        </w:rPr>
        <w:t> </w:t>
      </w:r>
      <w:r>
        <w:rPr>
          <w:sz w:val="18"/>
        </w:rPr>
        <w:t>with</w:t>
      </w:r>
      <w:r>
        <w:rPr>
          <w:spacing w:val="-5"/>
          <w:sz w:val="18"/>
        </w:rPr>
        <w:t> </w:t>
      </w:r>
      <w:r>
        <w:rPr>
          <w:sz w:val="18"/>
        </w:rPr>
        <w:t>the</w:t>
      </w:r>
      <w:r>
        <w:rPr>
          <w:spacing w:val="-4"/>
          <w:sz w:val="18"/>
        </w:rPr>
        <w:t> </w:t>
      </w:r>
      <w:r>
        <w:rPr>
          <w:i/>
          <w:sz w:val="18"/>
        </w:rPr>
        <w:t>Corporations</w:t>
      </w:r>
      <w:r>
        <w:rPr>
          <w:i/>
          <w:spacing w:val="-5"/>
          <w:sz w:val="18"/>
        </w:rPr>
        <w:t> </w:t>
      </w:r>
      <w:r>
        <w:rPr>
          <w:i/>
          <w:sz w:val="18"/>
        </w:rPr>
        <w:t>Act </w:t>
      </w:r>
      <w:r>
        <w:rPr>
          <w:i/>
          <w:sz w:val="18"/>
        </w:rPr>
        <w:t>2001</w:t>
      </w:r>
      <w:r>
        <w:rPr>
          <w:sz w:val="18"/>
        </w:rPr>
        <w:t>,</w:t>
      </w:r>
      <w:r>
        <w:rPr>
          <w:spacing w:val="-15"/>
          <w:sz w:val="18"/>
        </w:rPr>
        <w:t> </w:t>
      </w:r>
      <w:r>
        <w:rPr>
          <w:sz w:val="18"/>
        </w:rPr>
        <w:t>including:</w:t>
      </w:r>
    </w:p>
    <w:p>
      <w:pPr>
        <w:pStyle w:val="ListParagraph"/>
        <w:numPr>
          <w:ilvl w:val="1"/>
          <w:numId w:val="41"/>
        </w:numPr>
        <w:tabs>
          <w:tab w:pos="2221" w:val="left" w:leader="none"/>
        </w:tabs>
        <w:spacing w:line="207" w:lineRule="exact" w:before="5" w:after="0"/>
        <w:ind w:left="2221" w:right="0" w:hanging="397"/>
        <w:jc w:val="left"/>
        <w:rPr>
          <w:i/>
          <w:sz w:val="18"/>
        </w:rPr>
      </w:pPr>
      <w:r>
        <w:rPr>
          <w:sz w:val="18"/>
        </w:rPr>
        <w:t>complying</w:t>
      </w:r>
      <w:r>
        <w:rPr>
          <w:spacing w:val="-8"/>
          <w:sz w:val="18"/>
        </w:rPr>
        <w:t> </w:t>
      </w:r>
      <w:r>
        <w:rPr>
          <w:sz w:val="18"/>
        </w:rPr>
        <w:t>with</w:t>
      </w:r>
      <w:r>
        <w:rPr>
          <w:spacing w:val="-8"/>
          <w:sz w:val="18"/>
        </w:rPr>
        <w:t> </w:t>
      </w:r>
      <w:r>
        <w:rPr>
          <w:sz w:val="18"/>
        </w:rPr>
        <w:t>Accounting</w:t>
      </w:r>
      <w:r>
        <w:rPr>
          <w:spacing w:val="-8"/>
          <w:sz w:val="18"/>
        </w:rPr>
        <w:t> </w:t>
      </w:r>
      <w:r>
        <w:rPr>
          <w:sz w:val="18"/>
        </w:rPr>
        <w:t>Standards,</w:t>
      </w:r>
      <w:r>
        <w:rPr>
          <w:spacing w:val="-8"/>
          <w:sz w:val="18"/>
        </w:rPr>
        <w:t> </w:t>
      </w:r>
      <w:r>
        <w:rPr>
          <w:sz w:val="18"/>
        </w:rPr>
        <w:t>the</w:t>
      </w:r>
      <w:r>
        <w:rPr>
          <w:spacing w:val="-7"/>
          <w:sz w:val="18"/>
        </w:rPr>
        <w:t> </w:t>
      </w:r>
      <w:r>
        <w:rPr>
          <w:i/>
          <w:sz w:val="18"/>
        </w:rPr>
        <w:t>Corporations</w:t>
      </w:r>
      <w:r>
        <w:rPr>
          <w:i/>
          <w:spacing w:val="-8"/>
          <w:sz w:val="18"/>
        </w:rPr>
        <w:t> </w:t>
      </w:r>
      <w:r>
        <w:rPr>
          <w:i/>
          <w:sz w:val="18"/>
        </w:rPr>
        <w:t>Regulations</w:t>
      </w:r>
      <w:r>
        <w:rPr>
          <w:i/>
          <w:spacing w:val="-8"/>
          <w:sz w:val="18"/>
        </w:rPr>
        <w:t> </w:t>
      </w:r>
      <w:r>
        <w:rPr>
          <w:i/>
          <w:sz w:val="18"/>
        </w:rPr>
        <w:t>2001,</w:t>
      </w:r>
      <w:r>
        <w:rPr>
          <w:i/>
          <w:spacing w:val="-8"/>
          <w:sz w:val="18"/>
        </w:rPr>
        <w:t> </w:t>
      </w:r>
      <w:r>
        <w:rPr>
          <w:i/>
          <w:sz w:val="18"/>
        </w:rPr>
        <w:t>Public</w:t>
      </w:r>
      <w:r>
        <w:rPr>
          <w:i/>
          <w:spacing w:val="-8"/>
          <w:sz w:val="18"/>
        </w:rPr>
        <w:t> </w:t>
      </w:r>
      <w:r>
        <w:rPr>
          <w:i/>
          <w:sz w:val="18"/>
        </w:rPr>
        <w:t>Finance</w:t>
      </w:r>
      <w:r>
        <w:rPr>
          <w:i/>
          <w:spacing w:val="-8"/>
          <w:sz w:val="18"/>
        </w:rPr>
        <w:t> </w:t>
      </w:r>
      <w:r>
        <w:rPr>
          <w:i/>
          <w:sz w:val="18"/>
        </w:rPr>
        <w:t>and</w:t>
      </w:r>
      <w:r>
        <w:rPr>
          <w:i/>
          <w:spacing w:val="-8"/>
          <w:sz w:val="18"/>
        </w:rPr>
        <w:t> </w:t>
      </w:r>
      <w:r>
        <w:rPr>
          <w:i/>
          <w:sz w:val="18"/>
        </w:rPr>
        <w:t>Audit</w:t>
      </w:r>
      <w:r>
        <w:rPr>
          <w:i/>
          <w:spacing w:val="-8"/>
          <w:sz w:val="18"/>
        </w:rPr>
        <w:t> </w:t>
      </w:r>
      <w:r>
        <w:rPr>
          <w:i/>
          <w:sz w:val="18"/>
        </w:rPr>
        <w:t>Act</w:t>
      </w:r>
      <w:r>
        <w:rPr>
          <w:i/>
          <w:spacing w:val="-8"/>
          <w:sz w:val="18"/>
        </w:rPr>
        <w:t> </w:t>
      </w:r>
      <w:r>
        <w:rPr>
          <w:i/>
          <w:sz w:val="18"/>
        </w:rPr>
        <w:t>1983,</w:t>
      </w:r>
    </w:p>
    <w:p>
      <w:pPr>
        <w:spacing w:line="207" w:lineRule="exact" w:before="0"/>
        <w:ind w:left="2221" w:right="0" w:firstLine="0"/>
        <w:jc w:val="left"/>
        <w:rPr>
          <w:sz w:val="18"/>
        </w:rPr>
      </w:pPr>
      <w:r>
        <w:rPr>
          <w:i/>
          <w:sz w:val="18"/>
        </w:rPr>
        <w:t>Public Finance and Audit Regulation 201</w:t>
      </w:r>
      <w:r>
        <w:rPr>
          <w:sz w:val="18"/>
        </w:rPr>
        <w:t>5 and other mandatory professional reporting requirements, and</w:t>
      </w:r>
    </w:p>
    <w:p>
      <w:pPr>
        <w:pStyle w:val="BodyText"/>
        <w:spacing w:before="11"/>
        <w:rPr>
          <w:sz w:val="24"/>
        </w:rPr>
      </w:pPr>
    </w:p>
    <w:p>
      <w:pPr>
        <w:pStyle w:val="ListParagraph"/>
        <w:numPr>
          <w:ilvl w:val="1"/>
          <w:numId w:val="41"/>
        </w:numPr>
        <w:tabs>
          <w:tab w:pos="2222" w:val="left" w:leader="none"/>
        </w:tabs>
        <w:spacing w:line="240" w:lineRule="auto" w:before="0" w:after="0"/>
        <w:ind w:left="2221" w:right="1594" w:hanging="397"/>
        <w:jc w:val="left"/>
        <w:rPr>
          <w:sz w:val="18"/>
        </w:rPr>
      </w:pPr>
      <w:r>
        <w:rPr>
          <w:sz w:val="18"/>
        </w:rPr>
        <w:t>giving</w:t>
      </w:r>
      <w:r>
        <w:rPr>
          <w:spacing w:val="-5"/>
          <w:sz w:val="18"/>
        </w:rPr>
        <w:t> </w:t>
      </w:r>
      <w:r>
        <w:rPr>
          <w:sz w:val="18"/>
        </w:rPr>
        <w:t>a</w:t>
      </w:r>
      <w:r>
        <w:rPr>
          <w:spacing w:val="-5"/>
          <w:sz w:val="18"/>
        </w:rPr>
        <w:t> </w:t>
      </w:r>
      <w:r>
        <w:rPr>
          <w:sz w:val="18"/>
        </w:rPr>
        <w:t>true</w:t>
      </w:r>
      <w:r>
        <w:rPr>
          <w:spacing w:val="-5"/>
          <w:sz w:val="18"/>
        </w:rPr>
        <w:t> </w:t>
      </w:r>
      <w:r>
        <w:rPr>
          <w:sz w:val="18"/>
        </w:rPr>
        <w:t>and</w:t>
      </w:r>
      <w:r>
        <w:rPr>
          <w:spacing w:val="-5"/>
          <w:sz w:val="18"/>
        </w:rPr>
        <w:t> </w:t>
      </w:r>
      <w:r>
        <w:rPr>
          <w:sz w:val="18"/>
        </w:rPr>
        <w:t>fair</w:t>
      </w:r>
      <w:r>
        <w:rPr>
          <w:spacing w:val="-5"/>
          <w:sz w:val="18"/>
        </w:rPr>
        <w:t> </w:t>
      </w:r>
      <w:r>
        <w:rPr>
          <w:sz w:val="18"/>
        </w:rPr>
        <w:t>view</w:t>
      </w:r>
      <w:r>
        <w:rPr>
          <w:spacing w:val="-8"/>
          <w:sz w:val="18"/>
        </w:rPr>
        <w:t> </w:t>
      </w:r>
      <w:r>
        <w:rPr>
          <w:sz w:val="18"/>
        </w:rPr>
        <w:t>of</w:t>
      </w:r>
      <w:r>
        <w:rPr>
          <w:spacing w:val="-5"/>
          <w:sz w:val="18"/>
        </w:rPr>
        <w:t> </w:t>
      </w:r>
      <w:r>
        <w:rPr>
          <w:sz w:val="18"/>
        </w:rPr>
        <w:t>the</w:t>
      </w:r>
      <w:r>
        <w:rPr>
          <w:spacing w:val="-5"/>
          <w:sz w:val="18"/>
        </w:rPr>
        <w:t> </w:t>
      </w:r>
      <w:r>
        <w:rPr>
          <w:sz w:val="18"/>
        </w:rPr>
        <w:t>company's</w:t>
      </w:r>
      <w:r>
        <w:rPr>
          <w:spacing w:val="-5"/>
          <w:sz w:val="18"/>
        </w:rPr>
        <w:t> </w:t>
      </w:r>
      <w:r>
        <w:rPr>
          <w:sz w:val="18"/>
        </w:rPr>
        <w:t>financial</w:t>
      </w:r>
      <w:r>
        <w:rPr>
          <w:spacing w:val="-5"/>
          <w:sz w:val="18"/>
        </w:rPr>
        <w:t> </w:t>
      </w:r>
      <w:r>
        <w:rPr>
          <w:sz w:val="18"/>
        </w:rPr>
        <w:t>position</w:t>
      </w:r>
      <w:r>
        <w:rPr>
          <w:spacing w:val="-5"/>
          <w:sz w:val="18"/>
        </w:rPr>
        <w:t> </w:t>
      </w:r>
      <w:r>
        <w:rPr>
          <w:sz w:val="18"/>
        </w:rPr>
        <w:t>as</w:t>
      </w:r>
      <w:r>
        <w:rPr>
          <w:spacing w:val="-5"/>
          <w:sz w:val="18"/>
        </w:rPr>
        <w:t> </w:t>
      </w:r>
      <w:r>
        <w:rPr>
          <w:sz w:val="18"/>
        </w:rPr>
        <w:t>at</w:t>
      </w:r>
      <w:r>
        <w:rPr>
          <w:spacing w:val="-5"/>
          <w:sz w:val="18"/>
        </w:rPr>
        <w:t> </w:t>
      </w:r>
      <w:r>
        <w:rPr>
          <w:sz w:val="18"/>
        </w:rPr>
        <w:t>31</w:t>
      </w:r>
      <w:r>
        <w:rPr>
          <w:spacing w:val="-5"/>
          <w:sz w:val="18"/>
        </w:rPr>
        <w:t> </w:t>
      </w:r>
      <w:r>
        <w:rPr>
          <w:sz w:val="18"/>
        </w:rPr>
        <w:t>December</w:t>
      </w:r>
      <w:r>
        <w:rPr>
          <w:spacing w:val="-5"/>
          <w:sz w:val="18"/>
        </w:rPr>
        <w:t> </w:t>
      </w:r>
      <w:r>
        <w:rPr>
          <w:sz w:val="18"/>
        </w:rPr>
        <w:t>2016</w:t>
      </w:r>
      <w:r>
        <w:rPr>
          <w:spacing w:val="-5"/>
          <w:sz w:val="18"/>
        </w:rPr>
        <w:t> </w:t>
      </w:r>
      <w:r>
        <w:rPr>
          <w:sz w:val="18"/>
        </w:rPr>
        <w:t>and</w:t>
      </w:r>
      <w:r>
        <w:rPr>
          <w:spacing w:val="-5"/>
          <w:sz w:val="18"/>
        </w:rPr>
        <w:t> </w:t>
      </w:r>
      <w:r>
        <w:rPr>
          <w:sz w:val="18"/>
        </w:rPr>
        <w:t>of</w:t>
      </w:r>
      <w:r>
        <w:rPr>
          <w:spacing w:val="-5"/>
          <w:sz w:val="18"/>
        </w:rPr>
        <w:t> </w:t>
      </w:r>
      <w:r>
        <w:rPr>
          <w:sz w:val="18"/>
        </w:rPr>
        <w:t>its</w:t>
      </w:r>
      <w:r>
        <w:rPr>
          <w:spacing w:val="-5"/>
          <w:sz w:val="18"/>
        </w:rPr>
        <w:t> </w:t>
      </w:r>
      <w:r>
        <w:rPr>
          <w:sz w:val="18"/>
        </w:rPr>
        <w:t>performance</w:t>
      </w:r>
      <w:r>
        <w:rPr>
          <w:spacing w:val="-5"/>
          <w:sz w:val="18"/>
        </w:rPr>
        <w:t> </w:t>
      </w:r>
      <w:r>
        <w:rPr>
          <w:sz w:val="18"/>
        </w:rPr>
        <w:t>for the</w:t>
      </w:r>
      <w:r>
        <w:rPr>
          <w:spacing w:val="-6"/>
          <w:sz w:val="18"/>
        </w:rPr>
        <w:t> </w:t>
      </w:r>
      <w:r>
        <w:rPr>
          <w:sz w:val="18"/>
        </w:rPr>
        <w:t>financial</w:t>
      </w:r>
      <w:r>
        <w:rPr>
          <w:spacing w:val="-6"/>
          <w:sz w:val="18"/>
        </w:rPr>
        <w:t> </w:t>
      </w:r>
      <w:r>
        <w:rPr>
          <w:sz w:val="18"/>
        </w:rPr>
        <w:t>year</w:t>
      </w:r>
      <w:r>
        <w:rPr>
          <w:spacing w:val="-6"/>
          <w:sz w:val="18"/>
        </w:rPr>
        <w:t> </w:t>
      </w:r>
      <w:r>
        <w:rPr>
          <w:sz w:val="18"/>
        </w:rPr>
        <w:t>ended</w:t>
      </w:r>
      <w:r>
        <w:rPr>
          <w:spacing w:val="-6"/>
          <w:sz w:val="18"/>
        </w:rPr>
        <w:t> </w:t>
      </w:r>
      <w:r>
        <w:rPr>
          <w:sz w:val="18"/>
        </w:rPr>
        <w:t>on</w:t>
      </w:r>
      <w:r>
        <w:rPr>
          <w:spacing w:val="-6"/>
          <w:sz w:val="18"/>
        </w:rPr>
        <w:t> </w:t>
      </w:r>
      <w:r>
        <w:rPr>
          <w:sz w:val="18"/>
        </w:rPr>
        <w:t>that</w:t>
      </w:r>
      <w:r>
        <w:rPr>
          <w:spacing w:val="-6"/>
          <w:sz w:val="18"/>
        </w:rPr>
        <w:t> </w:t>
      </w:r>
      <w:r>
        <w:rPr>
          <w:sz w:val="18"/>
        </w:rPr>
        <w:t>date,</w:t>
      </w:r>
      <w:r>
        <w:rPr>
          <w:spacing w:val="-6"/>
          <w:sz w:val="18"/>
        </w:rPr>
        <w:t> </w:t>
      </w:r>
      <w:r>
        <w:rPr>
          <w:sz w:val="18"/>
        </w:rPr>
        <w:t>and;</w:t>
      </w:r>
    </w:p>
    <w:p>
      <w:pPr>
        <w:pStyle w:val="BodyText"/>
        <w:spacing w:before="10"/>
        <w:rPr>
          <w:sz w:val="17"/>
        </w:rPr>
      </w:pPr>
    </w:p>
    <w:p>
      <w:pPr>
        <w:pStyle w:val="ListParagraph"/>
        <w:numPr>
          <w:ilvl w:val="0"/>
          <w:numId w:val="41"/>
        </w:numPr>
        <w:tabs>
          <w:tab w:pos="1824" w:val="left" w:leader="none"/>
        </w:tabs>
        <w:spacing w:line="240" w:lineRule="auto" w:before="0" w:after="0"/>
        <w:ind w:left="1824" w:right="1637" w:hanging="396"/>
        <w:jc w:val="left"/>
        <w:rPr>
          <w:sz w:val="18"/>
        </w:rPr>
      </w:pPr>
      <w:r>
        <w:rPr>
          <w:sz w:val="18"/>
        </w:rPr>
        <w:t>there</w:t>
      </w:r>
      <w:r>
        <w:rPr>
          <w:spacing w:val="-5"/>
          <w:sz w:val="18"/>
        </w:rPr>
        <w:t> </w:t>
      </w:r>
      <w:r>
        <w:rPr>
          <w:sz w:val="18"/>
        </w:rPr>
        <w:t>are</w:t>
      </w:r>
      <w:r>
        <w:rPr>
          <w:spacing w:val="-5"/>
          <w:sz w:val="18"/>
        </w:rPr>
        <w:t> </w:t>
      </w:r>
      <w:r>
        <w:rPr>
          <w:sz w:val="18"/>
        </w:rPr>
        <w:t>reasonable</w:t>
      </w:r>
      <w:r>
        <w:rPr>
          <w:spacing w:val="-5"/>
          <w:sz w:val="18"/>
        </w:rPr>
        <w:t> </w:t>
      </w:r>
      <w:r>
        <w:rPr>
          <w:sz w:val="18"/>
        </w:rPr>
        <w:t>grounds</w:t>
      </w:r>
      <w:r>
        <w:rPr>
          <w:spacing w:val="-5"/>
          <w:sz w:val="18"/>
        </w:rPr>
        <w:t> </w:t>
      </w:r>
      <w:r>
        <w:rPr>
          <w:sz w:val="18"/>
        </w:rPr>
        <w:t>to</w:t>
      </w:r>
      <w:r>
        <w:rPr>
          <w:spacing w:val="-5"/>
          <w:sz w:val="18"/>
        </w:rPr>
        <w:t> </w:t>
      </w:r>
      <w:r>
        <w:rPr>
          <w:sz w:val="18"/>
        </w:rPr>
        <w:t>believe</w:t>
      </w:r>
      <w:r>
        <w:rPr>
          <w:spacing w:val="-5"/>
          <w:sz w:val="18"/>
        </w:rPr>
        <w:t> </w:t>
      </w:r>
      <w:r>
        <w:rPr>
          <w:sz w:val="18"/>
        </w:rPr>
        <w:t>that</w:t>
      </w:r>
      <w:r>
        <w:rPr>
          <w:spacing w:val="-5"/>
          <w:sz w:val="18"/>
        </w:rPr>
        <w:t> </w:t>
      </w:r>
      <w:r>
        <w:rPr>
          <w:sz w:val="18"/>
        </w:rPr>
        <w:t>the</w:t>
      </w:r>
      <w:r>
        <w:rPr>
          <w:spacing w:val="-5"/>
          <w:sz w:val="18"/>
        </w:rPr>
        <w:t> </w:t>
      </w:r>
      <w:r>
        <w:rPr>
          <w:sz w:val="18"/>
        </w:rPr>
        <w:t>company</w:t>
      </w:r>
      <w:r>
        <w:rPr>
          <w:spacing w:val="-5"/>
          <w:sz w:val="18"/>
        </w:rPr>
        <w:t> </w:t>
      </w:r>
      <w:r>
        <w:rPr>
          <w:sz w:val="18"/>
        </w:rPr>
        <w:t>will</w:t>
      </w:r>
      <w:r>
        <w:rPr>
          <w:spacing w:val="-5"/>
          <w:sz w:val="18"/>
        </w:rPr>
        <w:t> </w:t>
      </w:r>
      <w:r>
        <w:rPr>
          <w:sz w:val="18"/>
        </w:rPr>
        <w:t>be</w:t>
      </w:r>
      <w:r>
        <w:rPr>
          <w:spacing w:val="-5"/>
          <w:sz w:val="18"/>
        </w:rPr>
        <w:t> </w:t>
      </w:r>
      <w:r>
        <w:rPr>
          <w:sz w:val="18"/>
        </w:rPr>
        <w:t>able</w:t>
      </w:r>
      <w:r>
        <w:rPr>
          <w:spacing w:val="-5"/>
          <w:sz w:val="18"/>
        </w:rPr>
        <w:t> </w:t>
      </w:r>
      <w:r>
        <w:rPr>
          <w:sz w:val="18"/>
        </w:rPr>
        <w:t>to</w:t>
      </w:r>
      <w:r>
        <w:rPr>
          <w:spacing w:val="-5"/>
          <w:sz w:val="18"/>
        </w:rPr>
        <w:t> </w:t>
      </w:r>
      <w:r>
        <w:rPr>
          <w:sz w:val="18"/>
        </w:rPr>
        <w:t>pay</w:t>
      </w:r>
      <w:r>
        <w:rPr>
          <w:spacing w:val="-5"/>
          <w:sz w:val="18"/>
        </w:rPr>
        <w:t> </w:t>
      </w:r>
      <w:r>
        <w:rPr>
          <w:sz w:val="18"/>
        </w:rPr>
        <w:t>its</w:t>
      </w:r>
      <w:r>
        <w:rPr>
          <w:spacing w:val="-5"/>
          <w:sz w:val="18"/>
        </w:rPr>
        <w:t> </w:t>
      </w:r>
      <w:r>
        <w:rPr>
          <w:sz w:val="18"/>
        </w:rPr>
        <w:t>debts</w:t>
      </w:r>
      <w:r>
        <w:rPr>
          <w:spacing w:val="-5"/>
          <w:sz w:val="18"/>
        </w:rPr>
        <w:t> </w:t>
      </w:r>
      <w:r>
        <w:rPr>
          <w:sz w:val="18"/>
        </w:rPr>
        <w:t>as</w:t>
      </w:r>
      <w:r>
        <w:rPr>
          <w:spacing w:val="-5"/>
          <w:sz w:val="18"/>
        </w:rPr>
        <w:t> </w:t>
      </w:r>
      <w:r>
        <w:rPr>
          <w:sz w:val="18"/>
        </w:rPr>
        <w:t>and</w:t>
      </w:r>
      <w:r>
        <w:rPr>
          <w:spacing w:val="-5"/>
          <w:sz w:val="18"/>
        </w:rPr>
        <w:t> </w:t>
      </w:r>
      <w:r>
        <w:rPr>
          <w:sz w:val="18"/>
        </w:rPr>
        <w:t>when</w:t>
      </w:r>
      <w:r>
        <w:rPr>
          <w:spacing w:val="-5"/>
          <w:sz w:val="18"/>
        </w:rPr>
        <w:t> </w:t>
      </w:r>
      <w:r>
        <w:rPr>
          <w:sz w:val="18"/>
        </w:rPr>
        <w:t>they</w:t>
      </w:r>
      <w:r>
        <w:rPr>
          <w:spacing w:val="-5"/>
          <w:sz w:val="18"/>
        </w:rPr>
        <w:t> </w:t>
      </w:r>
      <w:r>
        <w:rPr>
          <w:sz w:val="18"/>
        </w:rPr>
        <w:t>become</w:t>
      </w:r>
      <w:r>
        <w:rPr>
          <w:spacing w:val="-5"/>
          <w:sz w:val="18"/>
        </w:rPr>
        <w:t> </w:t>
      </w:r>
      <w:r>
        <w:rPr>
          <w:sz w:val="18"/>
        </w:rPr>
        <w:t>due and</w:t>
      </w:r>
      <w:r>
        <w:rPr>
          <w:spacing w:val="-13"/>
          <w:sz w:val="18"/>
        </w:rPr>
        <w:t> </w:t>
      </w:r>
      <w:r>
        <w:rPr>
          <w:sz w:val="18"/>
        </w:rPr>
        <w:t>payable,</w:t>
      </w:r>
    </w:p>
    <w:p>
      <w:pPr>
        <w:pStyle w:val="BodyText"/>
      </w:pPr>
    </w:p>
    <w:p>
      <w:pPr>
        <w:pStyle w:val="BodyText"/>
        <w:spacing w:before="10"/>
        <w:rPr>
          <w:sz w:val="24"/>
        </w:rPr>
      </w:pPr>
    </w:p>
    <w:p>
      <w:pPr>
        <w:pStyle w:val="BodyText"/>
        <w:spacing w:before="1"/>
        <w:ind w:left="1428"/>
      </w:pPr>
      <w:r>
        <w:rPr/>
        <w:t>This declaration is made in accordance with a resolution of the Board of Directors.</w:t>
      </w:r>
    </w:p>
    <w:p>
      <w:pPr>
        <w:pStyle w:val="BodyText"/>
      </w:pPr>
    </w:p>
    <w:p>
      <w:pPr>
        <w:pStyle w:val="BodyText"/>
      </w:pPr>
    </w:p>
    <w:p>
      <w:pPr>
        <w:pStyle w:val="BodyText"/>
      </w:pPr>
    </w:p>
    <w:p>
      <w:pPr>
        <w:pStyle w:val="BodyText"/>
      </w:pPr>
    </w:p>
    <w:p>
      <w:pPr>
        <w:pStyle w:val="BodyText"/>
      </w:pPr>
    </w:p>
    <w:p>
      <w:pPr>
        <w:pStyle w:val="BodyText"/>
        <w:spacing w:before="11"/>
        <w:rPr>
          <w:sz w:val="20"/>
        </w:rPr>
      </w:pPr>
    </w:p>
    <w:p>
      <w:pPr>
        <w:pStyle w:val="BodyText"/>
        <w:tabs>
          <w:tab w:pos="6429" w:val="left" w:leader="none"/>
        </w:tabs>
        <w:ind w:left="1470"/>
      </w:pPr>
      <w:r>
        <w:rPr/>
        <w:pict>
          <v:shape style="position:absolute;margin-left:107.489182pt;margin-top:-16.749741pt;width:168.75pt;height:79.3pt;mso-position-horizontal-relative:page;mso-position-vertical-relative:paragraph;z-index:-1201432" type="#_x0000_t202" filled="false" stroked="false">
            <v:textbox inset="0,0,0,0">
              <w:txbxContent>
                <w:p>
                  <w:pPr>
                    <w:pStyle w:val="BodyText"/>
                  </w:pPr>
                </w:p>
                <w:p>
                  <w:pPr>
                    <w:pStyle w:val="BodyText"/>
                    <w:spacing w:before="128"/>
                    <w:ind w:left="3"/>
                  </w:pPr>
                  <w:r>
                    <w:rPr/>
                    <w:t>..................................................................</w:t>
                  </w:r>
                </w:p>
              </w:txbxContent>
            </v:textbox>
            <w10:wrap type="none"/>
          </v:shape>
        </w:pict>
      </w:r>
      <w:r>
        <w:rPr/>
        <w:pict>
          <v:shape style="position:absolute;margin-left:355.626312pt;margin-top:-27.507904pt;width:166.2pt;height:46.75pt;mso-position-horizontal-relative:page;mso-position-vertical-relative:paragraph;z-index:-1201408" type="#_x0000_t202" filled="false" stroked="false">
            <v:textbox inset="0,0,0,0">
              <w:txbxContent>
                <w:p>
                  <w:pPr>
                    <w:pStyle w:val="BodyText"/>
                  </w:pPr>
                </w:p>
                <w:p>
                  <w:pPr>
                    <w:pStyle w:val="BodyText"/>
                  </w:pPr>
                </w:p>
                <w:p>
                  <w:pPr>
                    <w:pStyle w:val="BodyText"/>
                    <w:spacing w:before="136"/>
                  </w:pPr>
                  <w:r>
                    <w:rPr/>
                    <w:t>..................................................................</w:t>
                  </w:r>
                </w:p>
              </w:txbxContent>
            </v:textbox>
            <w10:wrap type="none"/>
          </v:shape>
        </w:pict>
      </w:r>
      <w:r>
        <w:rPr/>
        <w:pict>
          <v:group style="position:absolute;margin-left:107.489182pt;margin-top:-16.749741pt;width:168.75pt;height:79.3pt;mso-position-horizontal-relative:page;mso-position-vertical-relative:paragraph;z-index:-1201360" coordorigin="2150,-335" coordsize="3375,1586">
            <v:shape style="position:absolute;left:2150;top:-335;width:3375;height:1586" type="#_x0000_t75" stroked="false">
              <v:imagedata r:id="rId68" o:title=""/>
            </v:shape>
            <v:shape style="position:absolute;left:2150;top:-335;width:3375;height:1586" type="#_x0000_t202" filled="false" stroked="false">
              <v:textbox inset="0,0,0,0">
                <w:txbxContent>
                  <w:p>
                    <w:pPr>
                      <w:spacing w:line="240" w:lineRule="auto" w:before="0"/>
                      <w:rPr>
                        <w:sz w:val="16"/>
                      </w:rPr>
                    </w:pPr>
                  </w:p>
                  <w:p>
                    <w:pPr>
                      <w:spacing w:line="240" w:lineRule="auto" w:before="0"/>
                      <w:rPr>
                        <w:sz w:val="16"/>
                      </w:rPr>
                    </w:pPr>
                  </w:p>
                  <w:p>
                    <w:pPr>
                      <w:spacing w:line="240" w:lineRule="auto" w:before="2"/>
                      <w:rPr>
                        <w:sz w:val="19"/>
                      </w:rPr>
                    </w:pPr>
                  </w:p>
                  <w:p>
                    <w:pPr>
                      <w:spacing w:before="0"/>
                      <w:ind w:left="11" w:right="0" w:firstLine="0"/>
                      <w:jc w:val="left"/>
                      <w:rPr>
                        <w:sz w:val="16"/>
                      </w:rPr>
                    </w:pPr>
                    <w:r>
                      <w:rPr>
                        <w:sz w:val="16"/>
                      </w:rPr>
                      <w:t>Professor Denise Kirkpatrick</w:t>
                    </w:r>
                  </w:p>
                </w:txbxContent>
              </v:textbox>
              <w10:wrap type="none"/>
            </v:shape>
            <w10:wrap type="none"/>
          </v:group>
        </w:pict>
      </w:r>
      <w:r>
        <w:rPr/>
        <w:pict>
          <v:group style="position:absolute;margin-left:356.129395pt;margin-top:-27.507904pt;width:165.6pt;height:49.25pt;mso-position-horizontal-relative:page;mso-position-vertical-relative:paragraph;z-index:7024" coordorigin="7123,-550" coordsize="3312,985">
            <v:shape style="position:absolute;left:7123;top:-550;width:3312;height:935" type="#_x0000_t75" stroked="false">
              <v:imagedata r:id="rId69" o:title=""/>
            </v:shape>
            <v:shape style="position:absolute;left:7123;top:-550;width:3312;height:985" type="#_x0000_t202" filled="false" stroked="false">
              <v:textbox inset="0,0,0,0">
                <w:txbxContent>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10"/>
                      <w:rPr>
                        <w:sz w:val="21"/>
                      </w:rPr>
                    </w:pPr>
                  </w:p>
                  <w:p>
                    <w:pPr>
                      <w:spacing w:line="180" w:lineRule="exact" w:before="0"/>
                      <w:ind w:left="34" w:right="0" w:firstLine="0"/>
                      <w:jc w:val="left"/>
                      <w:rPr>
                        <w:sz w:val="16"/>
                      </w:rPr>
                    </w:pPr>
                    <w:r>
                      <w:rPr>
                        <w:sz w:val="16"/>
                      </w:rPr>
                      <w:t>Professor Simon Barrie</w:t>
                    </w:r>
                  </w:p>
                </w:txbxContent>
              </v:textbox>
              <w10:wrap type="none"/>
            </v:shape>
            <w10:wrap type="none"/>
          </v:group>
        </w:pict>
      </w:r>
      <w:r>
        <w:rPr/>
        <w:t>Director</w:t>
        <w:tab/>
        <w:t>Director</w:t>
      </w:r>
    </w:p>
    <w:p>
      <w:pPr>
        <w:pStyle w:val="BodyText"/>
      </w:pPr>
    </w:p>
    <w:p>
      <w:pPr>
        <w:pStyle w:val="BodyText"/>
      </w:pPr>
    </w:p>
    <w:p>
      <w:pPr>
        <w:pStyle w:val="BodyText"/>
        <w:spacing w:before="6"/>
        <w:rPr>
          <w:sz w:val="22"/>
        </w:rPr>
      </w:pPr>
    </w:p>
    <w:p>
      <w:pPr>
        <w:pStyle w:val="BodyText"/>
        <w:spacing w:before="1"/>
        <w:ind w:left="1428"/>
      </w:pPr>
      <w:r>
        <w:rPr/>
        <w:drawing>
          <wp:anchor distT="0" distB="0" distL="0" distR="0" allowOverlap="1" layoutInCell="1" locked="0" behindDoc="0" simplePos="0" relativeHeight="7048">
            <wp:simplePos x="0" y="0"/>
            <wp:positionH relativeFrom="page">
              <wp:posOffset>-1587</wp:posOffset>
            </wp:positionH>
            <wp:positionV relativeFrom="paragraph">
              <wp:posOffset>88949</wp:posOffset>
            </wp:positionV>
            <wp:extent cx="136525" cy="155575"/>
            <wp:effectExtent l="0" t="0" r="0" b="0"/>
            <wp:wrapNone/>
            <wp:docPr id="479" name="image13.png" descr=""/>
            <wp:cNvGraphicFramePr>
              <a:graphicFrameLocks noChangeAspect="1"/>
            </wp:cNvGraphicFramePr>
            <a:graphic>
              <a:graphicData uri="http://schemas.openxmlformats.org/drawingml/2006/picture">
                <pic:pic>
                  <pic:nvPicPr>
                    <pic:cNvPr id="480" name="image13.png"/>
                    <pic:cNvPicPr/>
                  </pic:nvPicPr>
                  <pic:blipFill>
                    <a:blip r:embed="rId18" cstate="print"/>
                    <a:stretch>
                      <a:fillRect/>
                    </a:stretch>
                  </pic:blipFill>
                  <pic:spPr>
                    <a:xfrm>
                      <a:off x="0" y="0"/>
                      <a:ext cx="136525" cy="155575"/>
                    </a:xfrm>
                    <a:prstGeom prst="rect">
                      <a:avLst/>
                    </a:prstGeom>
                  </pic:spPr>
                </pic:pic>
              </a:graphicData>
            </a:graphic>
          </wp:anchor>
        </w:drawing>
      </w:r>
      <w:r>
        <w:rPr/>
        <w:drawing>
          <wp:anchor distT="0" distB="0" distL="0" distR="0" allowOverlap="1" layoutInCell="1" locked="0" behindDoc="0" simplePos="0" relativeHeight="7072">
            <wp:simplePos x="0" y="0"/>
            <wp:positionH relativeFrom="page">
              <wp:posOffset>7958429</wp:posOffset>
            </wp:positionH>
            <wp:positionV relativeFrom="paragraph">
              <wp:posOffset>88949</wp:posOffset>
            </wp:positionV>
            <wp:extent cx="135953" cy="155575"/>
            <wp:effectExtent l="0" t="0" r="0" b="0"/>
            <wp:wrapNone/>
            <wp:docPr id="481" name="image15.png" descr=""/>
            <wp:cNvGraphicFramePr>
              <a:graphicFrameLocks noChangeAspect="1"/>
            </wp:cNvGraphicFramePr>
            <a:graphic>
              <a:graphicData uri="http://schemas.openxmlformats.org/drawingml/2006/picture">
                <pic:pic>
                  <pic:nvPicPr>
                    <pic:cNvPr id="482" name="image15.png"/>
                    <pic:cNvPicPr/>
                  </pic:nvPicPr>
                  <pic:blipFill>
                    <a:blip r:embed="rId20" cstate="print"/>
                    <a:stretch>
                      <a:fillRect/>
                    </a:stretch>
                  </pic:blipFill>
                  <pic:spPr>
                    <a:xfrm>
                      <a:off x="0" y="0"/>
                      <a:ext cx="135953" cy="155575"/>
                    </a:xfrm>
                    <a:prstGeom prst="rect">
                      <a:avLst/>
                    </a:prstGeom>
                  </pic:spPr>
                </pic:pic>
              </a:graphicData>
            </a:graphic>
          </wp:anchor>
        </w:drawing>
      </w:r>
      <w:r>
        <w:rPr/>
        <w:t>Dated</w:t>
      </w:r>
    </w:p>
    <w:p>
      <w:pPr>
        <w:spacing w:after="0"/>
        <w:sectPr>
          <w:pgSz w:w="12750" w:h="17680"/>
          <w:pgMar w:header="0" w:footer="867" w:top="1880" w:bottom="1120" w:left="0" w:right="0"/>
        </w:sectPr>
      </w:pPr>
    </w:p>
    <w:p>
      <w:pPr>
        <w:pStyle w:val="BodyText"/>
        <w:spacing w:before="7"/>
        <w:rPr>
          <w:sz w:val="19"/>
        </w:rPr>
      </w:pPr>
      <w:r>
        <w:rPr/>
        <w:drawing>
          <wp:anchor distT="0" distB="0" distL="0" distR="0" allowOverlap="1" layoutInCell="1" locked="0" behindDoc="0" simplePos="0" relativeHeight="7168">
            <wp:simplePos x="0" y="0"/>
            <wp:positionH relativeFrom="page">
              <wp:posOffset>-1587</wp:posOffset>
            </wp:positionH>
            <wp:positionV relativeFrom="page">
              <wp:posOffset>5534342</wp:posOffset>
            </wp:positionV>
            <wp:extent cx="135159" cy="154019"/>
            <wp:effectExtent l="0" t="0" r="0" b="0"/>
            <wp:wrapNone/>
            <wp:docPr id="483" name="image13.png" descr=""/>
            <wp:cNvGraphicFramePr>
              <a:graphicFrameLocks noChangeAspect="1"/>
            </wp:cNvGraphicFramePr>
            <a:graphic>
              <a:graphicData uri="http://schemas.openxmlformats.org/drawingml/2006/picture">
                <pic:pic>
                  <pic:nvPicPr>
                    <pic:cNvPr id="484" name="image13.png"/>
                    <pic:cNvPicPr/>
                  </pic:nvPicPr>
                  <pic:blipFill>
                    <a:blip r:embed="rId18" cstate="print"/>
                    <a:stretch>
                      <a:fillRect/>
                    </a:stretch>
                  </pic:blipFill>
                  <pic:spPr>
                    <a:xfrm>
                      <a:off x="0" y="0"/>
                      <a:ext cx="135159" cy="154019"/>
                    </a:xfrm>
                    <a:prstGeom prst="rect">
                      <a:avLst/>
                    </a:prstGeom>
                  </pic:spPr>
                </pic:pic>
              </a:graphicData>
            </a:graphic>
          </wp:anchor>
        </w:drawing>
      </w:r>
      <w:r>
        <w:rPr/>
        <w:drawing>
          <wp:anchor distT="0" distB="0" distL="0" distR="0" allowOverlap="1" layoutInCell="1" locked="0" behindDoc="0" simplePos="0" relativeHeight="7192">
            <wp:simplePos x="0" y="0"/>
            <wp:positionH relativeFrom="page">
              <wp:posOffset>7958429</wp:posOffset>
            </wp:positionH>
            <wp:positionV relativeFrom="page">
              <wp:posOffset>5534342</wp:posOffset>
            </wp:positionV>
            <wp:extent cx="135953" cy="155575"/>
            <wp:effectExtent l="0" t="0" r="0" b="0"/>
            <wp:wrapNone/>
            <wp:docPr id="485" name="image15.png" descr=""/>
            <wp:cNvGraphicFramePr>
              <a:graphicFrameLocks noChangeAspect="1"/>
            </wp:cNvGraphicFramePr>
            <a:graphic>
              <a:graphicData uri="http://schemas.openxmlformats.org/drawingml/2006/picture">
                <pic:pic>
                  <pic:nvPicPr>
                    <pic:cNvPr id="486" name="image15.png"/>
                    <pic:cNvPicPr/>
                  </pic:nvPicPr>
                  <pic:blipFill>
                    <a:blip r:embed="rId20" cstate="print"/>
                    <a:stretch>
                      <a:fillRect/>
                    </a:stretch>
                  </pic:blipFill>
                  <pic:spPr>
                    <a:xfrm>
                      <a:off x="0" y="0"/>
                      <a:ext cx="135953" cy="155575"/>
                    </a:xfrm>
                    <a:prstGeom prst="rect">
                      <a:avLst/>
                    </a:prstGeom>
                  </pic:spPr>
                </pic:pic>
              </a:graphicData>
            </a:graphic>
          </wp:anchor>
        </w:drawing>
      </w:r>
    </w:p>
    <w:p>
      <w:pPr>
        <w:spacing w:before="65"/>
        <w:ind w:left="1428" w:right="1375" w:firstLine="0"/>
        <w:jc w:val="left"/>
        <w:rPr>
          <w:i/>
          <w:sz w:val="18"/>
        </w:rPr>
      </w:pPr>
      <w:bookmarkStart w:name="Responsible Entities Declaration" w:id="178"/>
      <w:bookmarkEnd w:id="178"/>
      <w:r>
        <w:rPr/>
      </w:r>
      <w:r>
        <w:rPr>
          <w:b/>
          <w:sz w:val="28"/>
        </w:rPr>
        <w:t>Responsible Entities Declaration </w:t>
      </w:r>
      <w:r>
        <w:rPr>
          <w:sz w:val="18"/>
        </w:rPr>
        <w:t>- </w:t>
      </w:r>
      <w:r>
        <w:rPr>
          <w:i/>
          <w:sz w:val="18"/>
        </w:rPr>
        <w:t>per section 60.15 of the Australian Charities and Not-for-profit</w:t>
      </w:r>
      <w:r>
        <w:rPr>
          <w:sz w:val="18"/>
        </w:rPr>
        <w:t>s </w:t>
      </w:r>
      <w:r>
        <w:rPr>
          <w:i/>
          <w:sz w:val="18"/>
        </w:rPr>
        <w:t>Commission Regulation 2013</w:t>
      </w:r>
    </w:p>
    <w:p>
      <w:pPr>
        <w:pStyle w:val="BodyText"/>
        <w:spacing w:before="11"/>
        <w:rPr>
          <w:i/>
          <w:sz w:val="24"/>
        </w:rPr>
      </w:pPr>
    </w:p>
    <w:p>
      <w:pPr>
        <w:pStyle w:val="BodyText"/>
        <w:ind w:left="1428"/>
      </w:pPr>
      <w:r>
        <w:rPr/>
        <w:t>The responsible entities declare that in the responsible entities' opinion:</w:t>
      </w:r>
    </w:p>
    <w:p>
      <w:pPr>
        <w:pStyle w:val="BodyText"/>
        <w:spacing w:before="11"/>
        <w:rPr>
          <w:sz w:val="24"/>
        </w:rPr>
      </w:pPr>
    </w:p>
    <w:p>
      <w:pPr>
        <w:pStyle w:val="ListParagraph"/>
        <w:numPr>
          <w:ilvl w:val="0"/>
          <w:numId w:val="42"/>
        </w:numPr>
        <w:tabs>
          <w:tab w:pos="2148" w:val="left" w:leader="none"/>
        </w:tabs>
        <w:spacing w:line="240" w:lineRule="auto" w:before="0" w:after="0"/>
        <w:ind w:left="2148" w:right="1684" w:hanging="720"/>
        <w:jc w:val="left"/>
        <w:rPr>
          <w:sz w:val="18"/>
        </w:rPr>
      </w:pPr>
      <w:r>
        <w:rPr>
          <w:sz w:val="18"/>
        </w:rPr>
        <w:t>there</w:t>
      </w:r>
      <w:r>
        <w:rPr>
          <w:spacing w:val="-5"/>
          <w:sz w:val="18"/>
        </w:rPr>
        <w:t> </w:t>
      </w:r>
      <w:r>
        <w:rPr>
          <w:sz w:val="18"/>
        </w:rPr>
        <w:t>are</w:t>
      </w:r>
      <w:r>
        <w:rPr>
          <w:spacing w:val="-5"/>
          <w:sz w:val="18"/>
        </w:rPr>
        <w:t> </w:t>
      </w:r>
      <w:r>
        <w:rPr>
          <w:sz w:val="18"/>
        </w:rPr>
        <w:t>reasonable</w:t>
      </w:r>
      <w:r>
        <w:rPr>
          <w:spacing w:val="-5"/>
          <w:sz w:val="18"/>
        </w:rPr>
        <w:t> </w:t>
      </w:r>
      <w:r>
        <w:rPr>
          <w:sz w:val="18"/>
        </w:rPr>
        <w:t>grounds</w:t>
      </w:r>
      <w:r>
        <w:rPr>
          <w:spacing w:val="-5"/>
          <w:sz w:val="18"/>
        </w:rPr>
        <w:t> </w:t>
      </w:r>
      <w:r>
        <w:rPr>
          <w:sz w:val="18"/>
        </w:rPr>
        <w:t>to</w:t>
      </w:r>
      <w:r>
        <w:rPr>
          <w:spacing w:val="-5"/>
          <w:sz w:val="18"/>
        </w:rPr>
        <w:t> </w:t>
      </w:r>
      <w:r>
        <w:rPr>
          <w:sz w:val="18"/>
        </w:rPr>
        <w:t>believe</w:t>
      </w:r>
      <w:r>
        <w:rPr>
          <w:spacing w:val="-5"/>
          <w:sz w:val="18"/>
        </w:rPr>
        <w:t> </w:t>
      </w:r>
      <w:r>
        <w:rPr>
          <w:sz w:val="18"/>
        </w:rPr>
        <w:t>that</w:t>
      </w:r>
      <w:r>
        <w:rPr>
          <w:spacing w:val="-5"/>
          <w:sz w:val="18"/>
        </w:rPr>
        <w:t> </w:t>
      </w:r>
      <w:r>
        <w:rPr>
          <w:sz w:val="18"/>
        </w:rPr>
        <w:t>the</w:t>
      </w:r>
      <w:r>
        <w:rPr>
          <w:spacing w:val="-5"/>
          <w:sz w:val="18"/>
        </w:rPr>
        <w:t> </w:t>
      </w:r>
      <w:r>
        <w:rPr>
          <w:sz w:val="18"/>
        </w:rPr>
        <w:t>registered</w:t>
      </w:r>
      <w:r>
        <w:rPr>
          <w:spacing w:val="-5"/>
          <w:sz w:val="18"/>
        </w:rPr>
        <w:t> </w:t>
      </w:r>
      <w:r>
        <w:rPr>
          <w:sz w:val="18"/>
        </w:rPr>
        <w:t>entity</w:t>
      </w:r>
      <w:r>
        <w:rPr>
          <w:spacing w:val="-5"/>
          <w:sz w:val="18"/>
        </w:rPr>
        <w:t> </w:t>
      </w:r>
      <w:r>
        <w:rPr>
          <w:sz w:val="18"/>
        </w:rPr>
        <w:t>is</w:t>
      </w:r>
      <w:r>
        <w:rPr>
          <w:spacing w:val="-5"/>
          <w:sz w:val="18"/>
        </w:rPr>
        <w:t> </w:t>
      </w:r>
      <w:r>
        <w:rPr>
          <w:sz w:val="18"/>
        </w:rPr>
        <w:t>able</w:t>
      </w:r>
      <w:r>
        <w:rPr>
          <w:spacing w:val="-5"/>
          <w:sz w:val="18"/>
        </w:rPr>
        <w:t> </w:t>
      </w:r>
      <w:r>
        <w:rPr>
          <w:sz w:val="18"/>
        </w:rPr>
        <w:t>to</w:t>
      </w:r>
      <w:r>
        <w:rPr>
          <w:spacing w:val="-5"/>
          <w:sz w:val="18"/>
        </w:rPr>
        <w:t> </w:t>
      </w:r>
      <w:r>
        <w:rPr>
          <w:sz w:val="18"/>
        </w:rPr>
        <w:t>pay</w:t>
      </w:r>
      <w:r>
        <w:rPr>
          <w:spacing w:val="-5"/>
          <w:sz w:val="18"/>
        </w:rPr>
        <w:t> </w:t>
      </w:r>
      <w:r>
        <w:rPr>
          <w:sz w:val="18"/>
        </w:rPr>
        <w:t>all</w:t>
      </w:r>
      <w:r>
        <w:rPr>
          <w:spacing w:val="-5"/>
          <w:sz w:val="18"/>
        </w:rPr>
        <w:t> </w:t>
      </w:r>
      <w:r>
        <w:rPr>
          <w:sz w:val="18"/>
        </w:rPr>
        <w:t>of</w:t>
      </w:r>
      <w:r>
        <w:rPr>
          <w:spacing w:val="-5"/>
          <w:sz w:val="18"/>
        </w:rPr>
        <w:t> </w:t>
      </w:r>
      <w:r>
        <w:rPr>
          <w:sz w:val="18"/>
        </w:rPr>
        <w:t>its</w:t>
      </w:r>
      <w:r>
        <w:rPr>
          <w:spacing w:val="-5"/>
          <w:sz w:val="18"/>
        </w:rPr>
        <w:t> </w:t>
      </w:r>
      <w:r>
        <w:rPr>
          <w:sz w:val="18"/>
        </w:rPr>
        <w:t>debts,</w:t>
      </w:r>
      <w:r>
        <w:rPr>
          <w:spacing w:val="-5"/>
          <w:sz w:val="18"/>
        </w:rPr>
        <w:t> </w:t>
      </w:r>
      <w:r>
        <w:rPr>
          <w:sz w:val="18"/>
        </w:rPr>
        <w:t>as</w:t>
      </w:r>
      <w:r>
        <w:rPr>
          <w:spacing w:val="-5"/>
          <w:sz w:val="18"/>
        </w:rPr>
        <w:t> </w:t>
      </w:r>
      <w:r>
        <w:rPr>
          <w:sz w:val="18"/>
        </w:rPr>
        <w:t>and</w:t>
      </w:r>
      <w:r>
        <w:rPr>
          <w:spacing w:val="-5"/>
          <w:sz w:val="18"/>
        </w:rPr>
        <w:t> </w:t>
      </w:r>
      <w:r>
        <w:rPr>
          <w:sz w:val="18"/>
        </w:rPr>
        <w:t>when</w:t>
      </w:r>
      <w:r>
        <w:rPr>
          <w:spacing w:val="-5"/>
          <w:sz w:val="18"/>
        </w:rPr>
        <w:t> </w:t>
      </w:r>
      <w:r>
        <w:rPr>
          <w:sz w:val="18"/>
        </w:rPr>
        <w:t>they become due and payable;</w:t>
      </w:r>
      <w:r>
        <w:rPr>
          <w:spacing w:val="-24"/>
          <w:sz w:val="18"/>
        </w:rPr>
        <w:t> </w:t>
      </w:r>
      <w:r>
        <w:rPr>
          <w:sz w:val="18"/>
        </w:rPr>
        <w:t>and</w:t>
      </w:r>
    </w:p>
    <w:p>
      <w:pPr>
        <w:pStyle w:val="BodyText"/>
        <w:spacing w:before="11"/>
        <w:rPr>
          <w:sz w:val="24"/>
        </w:rPr>
      </w:pPr>
    </w:p>
    <w:p>
      <w:pPr>
        <w:pStyle w:val="ListParagraph"/>
        <w:numPr>
          <w:ilvl w:val="0"/>
          <w:numId w:val="42"/>
        </w:numPr>
        <w:tabs>
          <w:tab w:pos="2148" w:val="left" w:leader="none"/>
        </w:tabs>
        <w:spacing w:line="240" w:lineRule="auto" w:before="0" w:after="0"/>
        <w:ind w:left="2148" w:right="2306" w:hanging="720"/>
        <w:jc w:val="left"/>
        <w:rPr>
          <w:i/>
          <w:sz w:val="18"/>
        </w:rPr>
      </w:pPr>
      <w:r>
        <w:rPr>
          <w:sz w:val="18"/>
        </w:rPr>
        <w:t>the</w:t>
      </w:r>
      <w:r>
        <w:rPr>
          <w:spacing w:val="-7"/>
          <w:sz w:val="18"/>
        </w:rPr>
        <w:t> </w:t>
      </w:r>
      <w:r>
        <w:rPr>
          <w:sz w:val="18"/>
        </w:rPr>
        <w:t>financial</w:t>
      </w:r>
      <w:r>
        <w:rPr>
          <w:spacing w:val="-7"/>
          <w:sz w:val="18"/>
        </w:rPr>
        <w:t> </w:t>
      </w:r>
      <w:r>
        <w:rPr>
          <w:sz w:val="18"/>
        </w:rPr>
        <w:t>statements</w:t>
      </w:r>
      <w:r>
        <w:rPr>
          <w:spacing w:val="-7"/>
          <w:sz w:val="18"/>
        </w:rPr>
        <w:t> </w:t>
      </w:r>
      <w:r>
        <w:rPr>
          <w:sz w:val="18"/>
        </w:rPr>
        <w:t>and</w:t>
      </w:r>
      <w:r>
        <w:rPr>
          <w:spacing w:val="-7"/>
          <w:sz w:val="18"/>
        </w:rPr>
        <w:t> </w:t>
      </w:r>
      <w:r>
        <w:rPr>
          <w:sz w:val="18"/>
        </w:rPr>
        <w:t>notes</w:t>
      </w:r>
      <w:r>
        <w:rPr>
          <w:spacing w:val="-7"/>
          <w:sz w:val="18"/>
        </w:rPr>
        <w:t> </w:t>
      </w:r>
      <w:r>
        <w:rPr>
          <w:sz w:val="18"/>
        </w:rPr>
        <w:t>satisfy</w:t>
      </w:r>
      <w:r>
        <w:rPr>
          <w:spacing w:val="-7"/>
          <w:sz w:val="18"/>
        </w:rPr>
        <w:t> </w:t>
      </w:r>
      <w:r>
        <w:rPr>
          <w:sz w:val="18"/>
        </w:rPr>
        <w:t>the</w:t>
      </w:r>
      <w:r>
        <w:rPr>
          <w:spacing w:val="-7"/>
          <w:sz w:val="18"/>
        </w:rPr>
        <w:t> </w:t>
      </w:r>
      <w:r>
        <w:rPr>
          <w:sz w:val="18"/>
        </w:rPr>
        <w:t>requirements</w:t>
      </w:r>
      <w:r>
        <w:rPr>
          <w:spacing w:val="-7"/>
          <w:sz w:val="18"/>
        </w:rPr>
        <w:t> </w:t>
      </w:r>
      <w:r>
        <w:rPr>
          <w:sz w:val="18"/>
        </w:rPr>
        <w:t>of</w:t>
      </w:r>
      <w:r>
        <w:rPr>
          <w:spacing w:val="-7"/>
          <w:sz w:val="18"/>
        </w:rPr>
        <w:t> </w:t>
      </w:r>
      <w:r>
        <w:rPr>
          <w:sz w:val="18"/>
        </w:rPr>
        <w:t>the</w:t>
      </w:r>
      <w:r>
        <w:rPr>
          <w:spacing w:val="-7"/>
          <w:sz w:val="18"/>
        </w:rPr>
        <w:t> </w:t>
      </w:r>
      <w:r>
        <w:rPr>
          <w:i/>
          <w:sz w:val="18"/>
        </w:rPr>
        <w:t>Australian</w:t>
      </w:r>
      <w:r>
        <w:rPr>
          <w:i/>
          <w:spacing w:val="-7"/>
          <w:sz w:val="18"/>
        </w:rPr>
        <w:t> </w:t>
      </w:r>
      <w:r>
        <w:rPr>
          <w:i/>
          <w:sz w:val="18"/>
        </w:rPr>
        <w:t>Charities</w:t>
      </w:r>
      <w:r>
        <w:rPr>
          <w:i/>
          <w:spacing w:val="-7"/>
          <w:sz w:val="18"/>
        </w:rPr>
        <w:t> </w:t>
      </w:r>
      <w:r>
        <w:rPr>
          <w:i/>
          <w:sz w:val="18"/>
        </w:rPr>
        <w:t>and</w:t>
      </w:r>
      <w:r>
        <w:rPr>
          <w:i/>
          <w:spacing w:val="-7"/>
          <w:sz w:val="18"/>
        </w:rPr>
        <w:t> </w:t>
      </w:r>
      <w:r>
        <w:rPr>
          <w:i/>
          <w:sz w:val="18"/>
        </w:rPr>
        <w:t>Not-for-profits </w:t>
      </w:r>
      <w:r>
        <w:rPr>
          <w:i/>
          <w:sz w:val="18"/>
        </w:rPr>
        <w:t>Commission Act</w:t>
      </w:r>
      <w:r>
        <w:rPr>
          <w:i/>
          <w:spacing w:val="-19"/>
          <w:sz w:val="18"/>
        </w:rPr>
        <w:t> </w:t>
      </w:r>
      <w:r>
        <w:rPr>
          <w:i/>
          <w:sz w:val="18"/>
        </w:rPr>
        <w:t>2012.</w:t>
      </w:r>
    </w:p>
    <w:p>
      <w:pPr>
        <w:pStyle w:val="BodyText"/>
        <w:spacing w:before="11"/>
        <w:rPr>
          <w:i/>
          <w:sz w:val="24"/>
        </w:rPr>
      </w:pPr>
    </w:p>
    <w:p>
      <w:pPr>
        <w:spacing w:before="0"/>
        <w:ind w:left="1428" w:right="0" w:firstLine="0"/>
        <w:jc w:val="left"/>
        <w:rPr>
          <w:i/>
          <w:sz w:val="18"/>
        </w:rPr>
      </w:pPr>
      <w:r>
        <w:rPr/>
        <w:pict>
          <v:shape style="position:absolute;margin-left:105.546005pt;margin-top:21.642548pt;width:448.15pt;height:76.650pt;mso-position-horizontal-relative:page;mso-position-vertical-relative:paragraph;z-index:-1201192" type="#_x0000_t202" filled="false" stroked="false">
            <v:textbox inset="0,0,0,0">
              <w:txbxContent>
                <w:p>
                  <w:pPr>
                    <w:pStyle w:val="BodyText"/>
                    <w:rPr>
                      <w:i/>
                    </w:rPr>
                  </w:pPr>
                </w:p>
                <w:p>
                  <w:pPr>
                    <w:pStyle w:val="BodyText"/>
                    <w:rPr>
                      <w:i/>
                    </w:rPr>
                  </w:pPr>
                </w:p>
                <w:p>
                  <w:pPr>
                    <w:pStyle w:val="BodyText"/>
                    <w:spacing w:before="142"/>
                  </w:pPr>
                  <w:r>
                    <w:rPr/>
                    <w:t>..................................................................</w:t>
                  </w:r>
                </w:p>
              </w:txbxContent>
            </v:textbox>
            <w10:wrap type="none"/>
          </v:shape>
        </w:pict>
      </w:r>
      <w:r>
        <w:rPr>
          <w:sz w:val="18"/>
        </w:rPr>
        <w:t>Signed in accordance with subsection 60.15(2) of the </w:t>
      </w:r>
      <w:r>
        <w:rPr>
          <w:i/>
          <w:sz w:val="18"/>
        </w:rPr>
        <w:t>Australian Charities and Not-for-profits Commission Regulation 2013.</w:t>
      </w:r>
    </w:p>
    <w:p>
      <w:pPr>
        <w:pStyle w:val="BodyText"/>
        <w:spacing w:before="2"/>
        <w:rPr>
          <w:i/>
          <w:sz w:val="16"/>
        </w:rPr>
      </w:pPr>
      <w:r>
        <w:rPr/>
        <w:pict>
          <v:group style="position:absolute;margin-left:71.400002pt;margin-top:11.293427pt;width:482.3pt;height:87.75pt;mso-position-horizontal-relative:page;mso-position-vertical-relative:paragraph;z-index:7120;mso-wrap-distance-left:0;mso-wrap-distance-right:0" coordorigin="1428,226" coordsize="9646,1755">
            <v:shape style="position:absolute;left:2141;top:226;width:8932;height:1533" type="#_x0000_t75" stroked="false">
              <v:imagedata r:id="rId70" o:title=""/>
            </v:shape>
            <v:rect style="position:absolute;left:8285;top:1116;width:2409;height:864" filled="true" fillcolor="#ffffff" stroked="false">
              <v:fill type="solid"/>
            </v:rect>
            <v:shape style="position:absolute;left:1785;top:1126;width:1313;height:616" type="#_x0000_t75" stroked="false">
              <v:imagedata r:id="rId71" o:title=""/>
            </v:shape>
            <v:shape style="position:absolute;left:1428;top:805;width:633;height:387" type="#_x0000_t202" filled="false" stroked="false">
              <v:textbox inset="0,0,0,0">
                <w:txbxContent>
                  <w:p>
                    <w:pPr>
                      <w:spacing w:line="184" w:lineRule="exact" w:before="0"/>
                      <w:ind w:left="0" w:right="-18" w:firstLine="0"/>
                      <w:jc w:val="left"/>
                      <w:rPr>
                        <w:sz w:val="18"/>
                      </w:rPr>
                    </w:pPr>
                    <w:r>
                      <w:rPr>
                        <w:sz w:val="18"/>
                      </w:rPr>
                      <w:t>Director</w:t>
                    </w:r>
                  </w:p>
                  <w:p>
                    <w:pPr>
                      <w:spacing w:line="203" w:lineRule="exact" w:before="0"/>
                      <w:ind w:left="0" w:right="-18" w:firstLine="0"/>
                      <w:jc w:val="left"/>
                      <w:rPr>
                        <w:sz w:val="18"/>
                      </w:rPr>
                    </w:pPr>
                    <w:r>
                      <w:rPr>
                        <w:sz w:val="18"/>
                      </w:rPr>
                      <w:t>Date</w:t>
                    </w:r>
                  </w:p>
                </w:txbxContent>
              </v:textbox>
              <w10:wrap type="none"/>
            </v:shape>
            <w10:wrap type="topAndBottom"/>
          </v:group>
        </w:pict>
      </w:r>
    </w:p>
    <w:p>
      <w:pPr>
        <w:spacing w:after="0"/>
        <w:rPr>
          <w:sz w:val="16"/>
        </w:rPr>
        <w:sectPr>
          <w:pgSz w:w="12750" w:h="17680"/>
          <w:pgMar w:header="0" w:footer="867" w:top="1880" w:bottom="1120" w:left="0" w:right="0"/>
        </w:sectPr>
      </w:pPr>
    </w:p>
    <w:p>
      <w:pPr>
        <w:pStyle w:val="BodyText"/>
        <w:spacing w:before="4"/>
        <w:rPr>
          <w:rFonts w:ascii="Times New Roman"/>
          <w:sz w:val="17"/>
        </w:rPr>
      </w:pPr>
      <w:r>
        <w:rPr/>
        <w:pict>
          <v:group style="position:absolute;margin-left:22.200001pt;margin-top:23.243017pt;width:594.3pt;height:840.1pt;mso-position-horizontal-relative:page;mso-position-vertical-relative:page;z-index:7216" coordorigin="444,465" coordsize="11886,16802">
            <v:shape style="position:absolute;left:444;top:465;width:11852;height:16784" type="#_x0000_t75" stroked="false">
              <v:imagedata r:id="rId73" o:title=""/>
            </v:shape>
            <v:shape style="position:absolute;left:7119;top:466;width:5211;height:16801" coordorigin="7119,466" coordsize="5211,16801" path="m11243,4459l10733,4459,10733,4930,11243,4930,11243,4459m11688,8203l10890,8203,10890,8033,7119,8033,7119,8213,7119,8959,7119,9211,10890,9211,10890,8959,10173,8959,10173,8213,10183,8213,10183,8949,11688,8949,11688,8203m12330,12759l11937,12759,11937,17267,12330,17267,12330,12759m12330,466l11924,466,11924,12745,12330,12745,12330,466e" filled="true" fillcolor="#ffffff" stroked="false">
              <v:path arrowok="t"/>
              <v:fill type="solid"/>
            </v:shape>
            <w10:wrap type="none"/>
          </v:group>
        </w:pict>
      </w:r>
      <w:r>
        <w:rPr/>
        <w:drawing>
          <wp:anchor distT="0" distB="0" distL="0" distR="0" allowOverlap="1" layoutInCell="1" locked="0" behindDoc="0" simplePos="0" relativeHeight="7240">
            <wp:simplePos x="0" y="0"/>
            <wp:positionH relativeFrom="page">
              <wp:posOffset>-1587</wp:posOffset>
            </wp:positionH>
            <wp:positionV relativeFrom="page">
              <wp:posOffset>5546318</wp:posOffset>
            </wp:positionV>
            <wp:extent cx="136413" cy="155448"/>
            <wp:effectExtent l="0" t="0" r="0" b="0"/>
            <wp:wrapNone/>
            <wp:docPr id="489" name="image22.png" descr=""/>
            <wp:cNvGraphicFramePr>
              <a:graphicFrameLocks noChangeAspect="1"/>
            </wp:cNvGraphicFramePr>
            <a:graphic>
              <a:graphicData uri="http://schemas.openxmlformats.org/drawingml/2006/picture">
                <pic:pic>
                  <pic:nvPicPr>
                    <pic:cNvPr id="490" name="image22.png"/>
                    <pic:cNvPicPr/>
                  </pic:nvPicPr>
                  <pic:blipFill>
                    <a:blip r:embed="rId28" cstate="print"/>
                    <a:stretch>
                      <a:fillRect/>
                    </a:stretch>
                  </pic:blipFill>
                  <pic:spPr>
                    <a:xfrm>
                      <a:off x="0" y="0"/>
                      <a:ext cx="136413" cy="155448"/>
                    </a:xfrm>
                    <a:prstGeom prst="rect">
                      <a:avLst/>
                    </a:prstGeom>
                  </pic:spPr>
                </pic:pic>
              </a:graphicData>
            </a:graphic>
          </wp:anchor>
        </w:drawing>
      </w:r>
      <w:r>
        <w:rPr/>
        <w:drawing>
          <wp:anchor distT="0" distB="0" distL="0" distR="0" allowOverlap="1" layoutInCell="1" locked="0" behindDoc="0" simplePos="0" relativeHeight="7264">
            <wp:simplePos x="0" y="0"/>
            <wp:positionH relativeFrom="page">
              <wp:posOffset>7954962</wp:posOffset>
            </wp:positionH>
            <wp:positionV relativeFrom="page">
              <wp:posOffset>5546318</wp:posOffset>
            </wp:positionV>
            <wp:extent cx="139420" cy="155575"/>
            <wp:effectExtent l="0" t="0" r="0" b="0"/>
            <wp:wrapNone/>
            <wp:docPr id="491" name="image23.png" descr=""/>
            <wp:cNvGraphicFramePr>
              <a:graphicFrameLocks noChangeAspect="1"/>
            </wp:cNvGraphicFramePr>
            <a:graphic>
              <a:graphicData uri="http://schemas.openxmlformats.org/drawingml/2006/picture">
                <pic:pic>
                  <pic:nvPicPr>
                    <pic:cNvPr id="492" name="image23.png"/>
                    <pic:cNvPicPr/>
                  </pic:nvPicPr>
                  <pic:blipFill>
                    <a:blip r:embed="rId29" cstate="print"/>
                    <a:stretch>
                      <a:fillRect/>
                    </a:stretch>
                  </pic:blipFill>
                  <pic:spPr>
                    <a:xfrm>
                      <a:off x="0" y="0"/>
                      <a:ext cx="139420" cy="155575"/>
                    </a:xfrm>
                    <a:prstGeom prst="rect">
                      <a:avLst/>
                    </a:prstGeom>
                  </pic:spPr>
                </pic:pic>
              </a:graphicData>
            </a:graphic>
          </wp:anchor>
        </w:drawing>
      </w:r>
    </w:p>
    <w:p>
      <w:pPr>
        <w:spacing w:after="0"/>
        <w:rPr>
          <w:rFonts w:ascii="Times New Roman"/>
          <w:sz w:val="17"/>
        </w:rPr>
        <w:sectPr>
          <w:headerReference w:type="default" r:id="rId72"/>
          <w:pgSz w:w="12750" w:h="17680"/>
          <w:pgMar w:header="0" w:footer="867" w:top="420" w:bottom="1060" w:left="0" w:right="0"/>
        </w:sectPr>
      </w:pPr>
    </w:p>
    <w:p>
      <w:pPr>
        <w:pStyle w:val="BodyText"/>
        <w:spacing w:before="2"/>
        <w:rPr>
          <w:rFonts w:ascii="Times New Roman"/>
          <w:sz w:val="24"/>
        </w:rPr>
      </w:pPr>
      <w:r>
        <w:rPr/>
        <w:drawing>
          <wp:anchor distT="0" distB="0" distL="0" distR="0" allowOverlap="1" layoutInCell="1" locked="0" behindDoc="0" simplePos="0" relativeHeight="7288">
            <wp:simplePos x="0" y="0"/>
            <wp:positionH relativeFrom="page">
              <wp:posOffset>-1587</wp:posOffset>
            </wp:positionH>
            <wp:positionV relativeFrom="page">
              <wp:posOffset>5534342</wp:posOffset>
            </wp:positionV>
            <wp:extent cx="135159" cy="154019"/>
            <wp:effectExtent l="0" t="0" r="0" b="0"/>
            <wp:wrapNone/>
            <wp:docPr id="495" name="image13.png" descr=""/>
            <wp:cNvGraphicFramePr>
              <a:graphicFrameLocks noChangeAspect="1"/>
            </wp:cNvGraphicFramePr>
            <a:graphic>
              <a:graphicData uri="http://schemas.openxmlformats.org/drawingml/2006/picture">
                <pic:pic>
                  <pic:nvPicPr>
                    <pic:cNvPr id="496" name="image13.png"/>
                    <pic:cNvPicPr/>
                  </pic:nvPicPr>
                  <pic:blipFill>
                    <a:blip r:embed="rId18" cstate="print"/>
                    <a:stretch>
                      <a:fillRect/>
                    </a:stretch>
                  </pic:blipFill>
                  <pic:spPr>
                    <a:xfrm>
                      <a:off x="0" y="0"/>
                      <a:ext cx="135159" cy="154019"/>
                    </a:xfrm>
                    <a:prstGeom prst="rect">
                      <a:avLst/>
                    </a:prstGeom>
                  </pic:spPr>
                </pic:pic>
              </a:graphicData>
            </a:graphic>
          </wp:anchor>
        </w:drawing>
      </w:r>
      <w:r>
        <w:rPr/>
        <w:drawing>
          <wp:anchor distT="0" distB="0" distL="0" distR="0" allowOverlap="1" layoutInCell="1" locked="0" behindDoc="0" simplePos="0" relativeHeight="7312">
            <wp:simplePos x="0" y="0"/>
            <wp:positionH relativeFrom="page">
              <wp:posOffset>7958429</wp:posOffset>
            </wp:positionH>
            <wp:positionV relativeFrom="page">
              <wp:posOffset>5534342</wp:posOffset>
            </wp:positionV>
            <wp:extent cx="135953" cy="155575"/>
            <wp:effectExtent l="0" t="0" r="0" b="0"/>
            <wp:wrapNone/>
            <wp:docPr id="497" name="image15.png" descr=""/>
            <wp:cNvGraphicFramePr>
              <a:graphicFrameLocks noChangeAspect="1"/>
            </wp:cNvGraphicFramePr>
            <a:graphic>
              <a:graphicData uri="http://schemas.openxmlformats.org/drawingml/2006/picture">
                <pic:pic>
                  <pic:nvPicPr>
                    <pic:cNvPr id="498" name="image15.png"/>
                    <pic:cNvPicPr/>
                  </pic:nvPicPr>
                  <pic:blipFill>
                    <a:blip r:embed="rId20" cstate="print"/>
                    <a:stretch>
                      <a:fillRect/>
                    </a:stretch>
                  </pic:blipFill>
                  <pic:spPr>
                    <a:xfrm>
                      <a:off x="0" y="0"/>
                      <a:ext cx="135953" cy="155575"/>
                    </a:xfrm>
                    <a:prstGeom prst="rect">
                      <a:avLst/>
                    </a:prstGeom>
                  </pic:spPr>
                </pic:pic>
              </a:graphicData>
            </a:graphic>
          </wp:anchor>
        </w:drawing>
      </w:r>
    </w:p>
    <w:tbl>
      <w:tblPr>
        <w:tblW w:w="0" w:type="auto"/>
        <w:jc w:val="left"/>
        <w:tblInd w:w="139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892"/>
        <w:gridCol w:w="1467"/>
        <w:gridCol w:w="1408"/>
        <w:gridCol w:w="1186"/>
      </w:tblGrid>
      <w:tr>
        <w:trPr>
          <w:trHeight w:val="911" w:hRule="exact"/>
        </w:trPr>
        <w:tc>
          <w:tcPr>
            <w:tcW w:w="5892" w:type="dxa"/>
          </w:tcPr>
          <w:p>
            <w:pPr>
              <w:pStyle w:val="TableParagraph"/>
              <w:spacing w:before="64"/>
              <w:ind w:left="35"/>
              <w:jc w:val="left"/>
              <w:rPr>
                <w:b/>
                <w:sz w:val="28"/>
              </w:rPr>
            </w:pPr>
            <w:r>
              <w:rPr>
                <w:b/>
                <w:sz w:val="28"/>
              </w:rPr>
              <w:t>Statement of Comprehensive Income</w:t>
            </w:r>
          </w:p>
          <w:p>
            <w:pPr>
              <w:pStyle w:val="TableParagraph"/>
              <w:spacing w:before="57"/>
              <w:ind w:left="35"/>
              <w:jc w:val="left"/>
              <w:rPr>
                <w:b/>
                <w:sz w:val="22"/>
              </w:rPr>
            </w:pPr>
            <w:bookmarkStart w:name="Statement of Comprehensive Income" w:id="179"/>
            <w:bookmarkEnd w:id="179"/>
            <w:r>
              <w:rPr/>
            </w:r>
            <w:r>
              <w:rPr>
                <w:b/>
                <w:sz w:val="22"/>
              </w:rPr>
              <w:t>For the Year Ended 31 December 2016</w:t>
            </w:r>
          </w:p>
        </w:tc>
        <w:tc>
          <w:tcPr>
            <w:tcW w:w="4061" w:type="dxa"/>
            <w:gridSpan w:val="3"/>
          </w:tcPr>
          <w:p>
            <w:pPr/>
          </w:p>
        </w:tc>
      </w:tr>
      <w:tr>
        <w:trPr>
          <w:trHeight w:val="447" w:hRule="exact"/>
        </w:trPr>
        <w:tc>
          <w:tcPr>
            <w:tcW w:w="5892" w:type="dxa"/>
          </w:tcPr>
          <w:p>
            <w:pPr/>
          </w:p>
        </w:tc>
        <w:tc>
          <w:tcPr>
            <w:tcW w:w="1467" w:type="dxa"/>
          </w:tcPr>
          <w:p>
            <w:pPr/>
          </w:p>
        </w:tc>
        <w:tc>
          <w:tcPr>
            <w:tcW w:w="1408" w:type="dxa"/>
          </w:tcPr>
          <w:p>
            <w:pPr>
              <w:pStyle w:val="TableParagraph"/>
              <w:spacing w:before="1"/>
              <w:jc w:val="left"/>
              <w:rPr>
                <w:rFonts w:ascii="Times New Roman"/>
                <w:sz w:val="17"/>
              </w:rPr>
            </w:pPr>
          </w:p>
          <w:p>
            <w:pPr>
              <w:pStyle w:val="TableParagraph"/>
              <w:ind w:left="675"/>
              <w:jc w:val="left"/>
              <w:rPr>
                <w:b/>
                <w:sz w:val="18"/>
              </w:rPr>
            </w:pPr>
            <w:r>
              <w:rPr>
                <w:b/>
                <w:sz w:val="18"/>
              </w:rPr>
              <w:t>2016</w:t>
            </w:r>
          </w:p>
        </w:tc>
        <w:tc>
          <w:tcPr>
            <w:tcW w:w="1186" w:type="dxa"/>
          </w:tcPr>
          <w:p>
            <w:pPr>
              <w:pStyle w:val="TableParagraph"/>
              <w:spacing w:before="1"/>
              <w:jc w:val="left"/>
              <w:rPr>
                <w:rFonts w:ascii="Times New Roman"/>
                <w:sz w:val="17"/>
              </w:rPr>
            </w:pPr>
          </w:p>
          <w:p>
            <w:pPr>
              <w:pStyle w:val="TableParagraph"/>
              <w:ind w:left="589"/>
              <w:jc w:val="left"/>
              <w:rPr>
                <w:b/>
                <w:sz w:val="18"/>
              </w:rPr>
            </w:pPr>
            <w:r>
              <w:rPr>
                <w:b/>
                <w:sz w:val="18"/>
              </w:rPr>
              <w:t>2015</w:t>
            </w:r>
          </w:p>
        </w:tc>
      </w:tr>
      <w:tr>
        <w:trPr>
          <w:trHeight w:val="313" w:hRule="exact"/>
        </w:trPr>
        <w:tc>
          <w:tcPr>
            <w:tcW w:w="5892" w:type="dxa"/>
          </w:tcPr>
          <w:p>
            <w:pPr/>
          </w:p>
        </w:tc>
        <w:tc>
          <w:tcPr>
            <w:tcW w:w="1467" w:type="dxa"/>
          </w:tcPr>
          <w:p>
            <w:pPr>
              <w:pStyle w:val="TableParagraph"/>
              <w:spacing w:before="24"/>
              <w:ind w:right="37"/>
              <w:rPr>
                <w:b/>
                <w:sz w:val="18"/>
              </w:rPr>
            </w:pPr>
            <w:r>
              <w:rPr>
                <w:b/>
                <w:sz w:val="18"/>
              </w:rPr>
              <w:t>Notes</w:t>
            </w:r>
          </w:p>
        </w:tc>
        <w:tc>
          <w:tcPr>
            <w:tcW w:w="1408" w:type="dxa"/>
          </w:tcPr>
          <w:p>
            <w:pPr>
              <w:pStyle w:val="TableParagraph"/>
              <w:spacing w:before="24"/>
              <w:ind w:left="926"/>
              <w:jc w:val="left"/>
              <w:rPr>
                <w:b/>
                <w:sz w:val="18"/>
              </w:rPr>
            </w:pPr>
            <w:r>
              <w:rPr>
                <w:b/>
                <w:w w:val="99"/>
                <w:sz w:val="18"/>
              </w:rPr>
              <w:t>$</w:t>
            </w:r>
          </w:p>
        </w:tc>
        <w:tc>
          <w:tcPr>
            <w:tcW w:w="1186" w:type="dxa"/>
          </w:tcPr>
          <w:p>
            <w:pPr>
              <w:pStyle w:val="TableParagraph"/>
              <w:spacing w:before="24"/>
              <w:ind w:right="243"/>
              <w:rPr>
                <w:b/>
                <w:sz w:val="18"/>
              </w:rPr>
            </w:pPr>
            <w:r>
              <w:rPr>
                <w:b/>
                <w:w w:val="99"/>
                <w:sz w:val="18"/>
              </w:rPr>
              <w:t>$</w:t>
            </w:r>
          </w:p>
        </w:tc>
      </w:tr>
      <w:tr>
        <w:trPr>
          <w:trHeight w:val="293" w:hRule="exact"/>
        </w:trPr>
        <w:tc>
          <w:tcPr>
            <w:tcW w:w="5892" w:type="dxa"/>
          </w:tcPr>
          <w:p>
            <w:pPr>
              <w:pStyle w:val="TableParagraph"/>
              <w:spacing w:before="63"/>
              <w:ind w:left="62"/>
              <w:jc w:val="left"/>
              <w:rPr>
                <w:b/>
                <w:sz w:val="18"/>
              </w:rPr>
            </w:pPr>
            <w:r>
              <w:rPr>
                <w:b/>
                <w:sz w:val="18"/>
              </w:rPr>
              <w:t>Revenue</w:t>
            </w:r>
          </w:p>
        </w:tc>
        <w:tc>
          <w:tcPr>
            <w:tcW w:w="1467" w:type="dxa"/>
          </w:tcPr>
          <w:p>
            <w:pPr/>
          </w:p>
        </w:tc>
        <w:tc>
          <w:tcPr>
            <w:tcW w:w="1408" w:type="dxa"/>
          </w:tcPr>
          <w:p>
            <w:pPr/>
          </w:p>
        </w:tc>
        <w:tc>
          <w:tcPr>
            <w:tcW w:w="1186" w:type="dxa"/>
          </w:tcPr>
          <w:p>
            <w:pPr/>
          </w:p>
        </w:tc>
      </w:tr>
      <w:tr>
        <w:trPr>
          <w:trHeight w:val="250" w:hRule="exact"/>
        </w:trPr>
        <w:tc>
          <w:tcPr>
            <w:tcW w:w="5892" w:type="dxa"/>
          </w:tcPr>
          <w:p>
            <w:pPr>
              <w:pStyle w:val="TableParagraph"/>
              <w:spacing w:before="4"/>
              <w:ind w:left="62"/>
              <w:jc w:val="left"/>
              <w:rPr>
                <w:sz w:val="18"/>
              </w:rPr>
            </w:pPr>
            <w:r>
              <w:rPr>
                <w:sz w:val="18"/>
              </w:rPr>
              <w:t>Rendering of services</w:t>
            </w:r>
          </w:p>
        </w:tc>
        <w:tc>
          <w:tcPr>
            <w:tcW w:w="1467" w:type="dxa"/>
          </w:tcPr>
          <w:p>
            <w:pPr>
              <w:pStyle w:val="TableParagraph"/>
              <w:spacing w:before="5"/>
              <w:ind w:right="77"/>
              <w:rPr>
                <w:sz w:val="18"/>
              </w:rPr>
            </w:pPr>
            <w:r>
              <w:rPr>
                <w:sz w:val="18"/>
              </w:rPr>
              <w:t>14(a)</w:t>
            </w:r>
          </w:p>
        </w:tc>
        <w:tc>
          <w:tcPr>
            <w:tcW w:w="1408" w:type="dxa"/>
          </w:tcPr>
          <w:p>
            <w:pPr>
              <w:pStyle w:val="TableParagraph"/>
              <w:spacing w:before="5"/>
              <w:ind w:right="197"/>
              <w:rPr>
                <w:b/>
                <w:sz w:val="18"/>
              </w:rPr>
            </w:pPr>
            <w:r>
              <w:rPr>
                <w:b/>
                <w:w w:val="95"/>
                <w:sz w:val="18"/>
              </w:rPr>
              <w:t>60,565,646</w:t>
            </w:r>
          </w:p>
        </w:tc>
        <w:tc>
          <w:tcPr>
            <w:tcW w:w="1186" w:type="dxa"/>
          </w:tcPr>
          <w:p>
            <w:pPr>
              <w:pStyle w:val="TableParagraph"/>
              <w:spacing w:before="5"/>
              <w:ind w:right="86"/>
              <w:rPr>
                <w:sz w:val="18"/>
              </w:rPr>
            </w:pPr>
            <w:r>
              <w:rPr>
                <w:w w:val="95"/>
                <w:sz w:val="18"/>
              </w:rPr>
              <w:t>61,068,828</w:t>
            </w:r>
          </w:p>
        </w:tc>
      </w:tr>
      <w:tr>
        <w:trPr>
          <w:trHeight w:val="264" w:hRule="exact"/>
        </w:trPr>
        <w:tc>
          <w:tcPr>
            <w:tcW w:w="5892" w:type="dxa"/>
          </w:tcPr>
          <w:p>
            <w:pPr>
              <w:pStyle w:val="TableParagraph"/>
              <w:spacing w:before="18"/>
              <w:ind w:left="62"/>
              <w:jc w:val="left"/>
              <w:rPr>
                <w:sz w:val="18"/>
              </w:rPr>
            </w:pPr>
            <w:r>
              <w:rPr>
                <w:sz w:val="18"/>
              </w:rPr>
              <w:t>Interest revenue</w:t>
            </w:r>
          </w:p>
        </w:tc>
        <w:tc>
          <w:tcPr>
            <w:tcW w:w="1467" w:type="dxa"/>
          </w:tcPr>
          <w:p>
            <w:pPr/>
          </w:p>
        </w:tc>
        <w:tc>
          <w:tcPr>
            <w:tcW w:w="1408" w:type="dxa"/>
          </w:tcPr>
          <w:p>
            <w:pPr>
              <w:pStyle w:val="TableParagraph"/>
              <w:spacing w:before="19"/>
              <w:ind w:right="197"/>
              <w:rPr>
                <w:b/>
                <w:sz w:val="18"/>
              </w:rPr>
            </w:pPr>
            <w:r>
              <w:rPr>
                <w:b/>
                <w:w w:val="95"/>
                <w:sz w:val="18"/>
              </w:rPr>
              <w:t>149,633</w:t>
            </w:r>
          </w:p>
        </w:tc>
        <w:tc>
          <w:tcPr>
            <w:tcW w:w="1186" w:type="dxa"/>
          </w:tcPr>
          <w:p>
            <w:pPr>
              <w:pStyle w:val="TableParagraph"/>
              <w:spacing w:before="19"/>
              <w:ind w:right="86"/>
              <w:rPr>
                <w:sz w:val="18"/>
              </w:rPr>
            </w:pPr>
            <w:r>
              <w:rPr>
                <w:w w:val="95"/>
                <w:sz w:val="18"/>
              </w:rPr>
              <w:t>195,466</w:t>
            </w:r>
          </w:p>
        </w:tc>
      </w:tr>
      <w:tr>
        <w:trPr>
          <w:trHeight w:val="469" w:hRule="exact"/>
        </w:trPr>
        <w:tc>
          <w:tcPr>
            <w:tcW w:w="5892" w:type="dxa"/>
          </w:tcPr>
          <w:p>
            <w:pPr>
              <w:pStyle w:val="TableParagraph"/>
              <w:spacing w:before="18"/>
              <w:ind w:left="62" w:right="1007"/>
              <w:jc w:val="left"/>
              <w:rPr>
                <w:sz w:val="18"/>
              </w:rPr>
            </w:pPr>
            <w:r>
              <w:rPr>
                <w:sz w:val="18"/>
              </w:rPr>
              <w:t>Share of net profit or loss on investments accounted for using the equity method</w:t>
            </w:r>
          </w:p>
        </w:tc>
        <w:tc>
          <w:tcPr>
            <w:tcW w:w="1467" w:type="dxa"/>
          </w:tcPr>
          <w:p>
            <w:pPr>
              <w:pStyle w:val="TableParagraph"/>
              <w:spacing w:before="19"/>
              <w:ind w:right="236"/>
              <w:rPr>
                <w:sz w:val="18"/>
              </w:rPr>
            </w:pPr>
            <w:r>
              <w:rPr>
                <w:w w:val="99"/>
                <w:sz w:val="18"/>
              </w:rPr>
              <w:t>7</w:t>
            </w:r>
          </w:p>
        </w:tc>
        <w:tc>
          <w:tcPr>
            <w:tcW w:w="1408" w:type="dxa"/>
          </w:tcPr>
          <w:p>
            <w:pPr>
              <w:pStyle w:val="TableParagraph"/>
              <w:spacing w:before="19"/>
              <w:ind w:right="137"/>
              <w:rPr>
                <w:b/>
                <w:sz w:val="18"/>
              </w:rPr>
            </w:pPr>
            <w:r>
              <w:rPr>
                <w:b/>
                <w:w w:val="95"/>
                <w:sz w:val="18"/>
              </w:rPr>
              <w:t>(1,052,110)</w:t>
            </w:r>
          </w:p>
        </w:tc>
        <w:tc>
          <w:tcPr>
            <w:tcW w:w="1186" w:type="dxa"/>
          </w:tcPr>
          <w:p>
            <w:pPr>
              <w:pStyle w:val="TableParagraph"/>
              <w:spacing w:before="19"/>
              <w:ind w:right="27"/>
              <w:rPr>
                <w:sz w:val="18"/>
              </w:rPr>
            </w:pPr>
            <w:r>
              <w:rPr>
                <w:w w:val="95"/>
                <w:sz w:val="18"/>
              </w:rPr>
              <w:t>(119,417)</w:t>
            </w:r>
          </w:p>
        </w:tc>
      </w:tr>
      <w:tr>
        <w:trPr>
          <w:trHeight w:val="263" w:hRule="exact"/>
        </w:trPr>
        <w:tc>
          <w:tcPr>
            <w:tcW w:w="5892" w:type="dxa"/>
          </w:tcPr>
          <w:p>
            <w:pPr>
              <w:pStyle w:val="TableParagraph"/>
              <w:spacing w:before="18"/>
              <w:ind w:left="62"/>
              <w:jc w:val="left"/>
              <w:rPr>
                <w:sz w:val="18"/>
              </w:rPr>
            </w:pPr>
            <w:r>
              <w:rPr>
                <w:sz w:val="18"/>
              </w:rPr>
              <w:t>Other revenue</w:t>
            </w:r>
          </w:p>
        </w:tc>
        <w:tc>
          <w:tcPr>
            <w:tcW w:w="1467" w:type="dxa"/>
          </w:tcPr>
          <w:p>
            <w:pPr>
              <w:pStyle w:val="TableParagraph"/>
              <w:spacing w:before="19"/>
              <w:ind w:right="77"/>
              <w:rPr>
                <w:sz w:val="18"/>
              </w:rPr>
            </w:pPr>
            <w:r>
              <w:rPr>
                <w:sz w:val="18"/>
              </w:rPr>
              <w:t>14(b)</w:t>
            </w:r>
          </w:p>
        </w:tc>
        <w:tc>
          <w:tcPr>
            <w:tcW w:w="1408" w:type="dxa"/>
            <w:tcBorders>
              <w:bottom w:val="single" w:sz="0" w:space="0" w:color="000000"/>
            </w:tcBorders>
          </w:tcPr>
          <w:p>
            <w:pPr>
              <w:pStyle w:val="TableParagraph"/>
              <w:spacing w:before="19"/>
              <w:ind w:right="197"/>
              <w:rPr>
                <w:b/>
                <w:sz w:val="18"/>
              </w:rPr>
            </w:pPr>
            <w:r>
              <w:rPr>
                <w:b/>
                <w:w w:val="95"/>
                <w:sz w:val="18"/>
              </w:rPr>
              <w:t>329,105</w:t>
            </w:r>
          </w:p>
        </w:tc>
        <w:tc>
          <w:tcPr>
            <w:tcW w:w="1186" w:type="dxa"/>
            <w:tcBorders>
              <w:bottom w:val="single" w:sz="0" w:space="0" w:color="000000"/>
            </w:tcBorders>
          </w:tcPr>
          <w:p>
            <w:pPr>
              <w:pStyle w:val="TableParagraph"/>
              <w:spacing w:before="19"/>
              <w:ind w:right="86"/>
              <w:rPr>
                <w:sz w:val="18"/>
              </w:rPr>
            </w:pPr>
            <w:r>
              <w:rPr>
                <w:w w:val="95"/>
                <w:sz w:val="18"/>
              </w:rPr>
              <w:t>307,378</w:t>
            </w:r>
          </w:p>
        </w:tc>
      </w:tr>
      <w:tr>
        <w:trPr>
          <w:trHeight w:val="424" w:hRule="exact"/>
        </w:trPr>
        <w:tc>
          <w:tcPr>
            <w:tcW w:w="5892" w:type="dxa"/>
          </w:tcPr>
          <w:p>
            <w:pPr>
              <w:pStyle w:val="TableParagraph"/>
              <w:spacing w:before="123"/>
              <w:ind w:left="62"/>
              <w:jc w:val="left"/>
              <w:rPr>
                <w:b/>
                <w:sz w:val="18"/>
              </w:rPr>
            </w:pPr>
            <w:r>
              <w:rPr>
                <w:b/>
                <w:sz w:val="18"/>
              </w:rPr>
              <w:t>Total revenue</w:t>
            </w:r>
          </w:p>
        </w:tc>
        <w:tc>
          <w:tcPr>
            <w:tcW w:w="1467" w:type="dxa"/>
          </w:tcPr>
          <w:p>
            <w:pPr/>
          </w:p>
        </w:tc>
        <w:tc>
          <w:tcPr>
            <w:tcW w:w="1408" w:type="dxa"/>
            <w:tcBorders>
              <w:top w:val="single" w:sz="0" w:space="0" w:color="000000"/>
            </w:tcBorders>
          </w:tcPr>
          <w:p>
            <w:pPr>
              <w:pStyle w:val="TableParagraph"/>
              <w:spacing w:before="122"/>
              <w:ind w:right="197"/>
              <w:rPr>
                <w:b/>
                <w:sz w:val="18"/>
              </w:rPr>
            </w:pPr>
            <w:r>
              <w:rPr>
                <w:b/>
                <w:w w:val="95"/>
                <w:sz w:val="18"/>
              </w:rPr>
              <w:t>59,992,274</w:t>
            </w:r>
          </w:p>
        </w:tc>
        <w:tc>
          <w:tcPr>
            <w:tcW w:w="1186" w:type="dxa"/>
            <w:tcBorders>
              <w:top w:val="single" w:sz="0" w:space="0" w:color="000000"/>
            </w:tcBorders>
          </w:tcPr>
          <w:p>
            <w:pPr>
              <w:pStyle w:val="TableParagraph"/>
              <w:spacing w:before="122"/>
              <w:ind w:right="86"/>
              <w:rPr>
                <w:sz w:val="18"/>
              </w:rPr>
            </w:pPr>
            <w:r>
              <w:rPr>
                <w:w w:val="95"/>
                <w:sz w:val="18"/>
              </w:rPr>
              <w:t>61,452,255</w:t>
            </w:r>
          </w:p>
        </w:tc>
      </w:tr>
      <w:tr>
        <w:trPr>
          <w:trHeight w:val="418" w:hRule="exact"/>
        </w:trPr>
        <w:tc>
          <w:tcPr>
            <w:tcW w:w="5892" w:type="dxa"/>
          </w:tcPr>
          <w:p>
            <w:pPr>
              <w:pStyle w:val="TableParagraph"/>
              <w:spacing w:before="75"/>
              <w:ind w:left="62"/>
              <w:jc w:val="left"/>
              <w:rPr>
                <w:sz w:val="18"/>
              </w:rPr>
            </w:pPr>
            <w:r>
              <w:rPr>
                <w:sz w:val="18"/>
              </w:rPr>
              <w:t>Net loss on disposal of assets</w:t>
            </w:r>
          </w:p>
        </w:tc>
        <w:tc>
          <w:tcPr>
            <w:tcW w:w="1467" w:type="dxa"/>
          </w:tcPr>
          <w:p>
            <w:pPr/>
          </w:p>
        </w:tc>
        <w:tc>
          <w:tcPr>
            <w:tcW w:w="1408" w:type="dxa"/>
          </w:tcPr>
          <w:p>
            <w:pPr>
              <w:pStyle w:val="TableParagraph"/>
              <w:spacing w:before="75"/>
              <w:ind w:right="110"/>
              <w:jc w:val="center"/>
              <w:rPr>
                <w:b/>
                <w:sz w:val="18"/>
              </w:rPr>
            </w:pPr>
            <w:r>
              <w:rPr>
                <w:b/>
                <w:w w:val="99"/>
                <w:sz w:val="18"/>
              </w:rPr>
              <w:t>-</w:t>
            </w:r>
          </w:p>
        </w:tc>
        <w:tc>
          <w:tcPr>
            <w:tcW w:w="1186" w:type="dxa"/>
          </w:tcPr>
          <w:p>
            <w:pPr>
              <w:pStyle w:val="TableParagraph"/>
              <w:spacing w:before="75"/>
              <w:ind w:right="27"/>
              <w:rPr>
                <w:sz w:val="18"/>
              </w:rPr>
            </w:pPr>
            <w:r>
              <w:rPr>
                <w:w w:val="95"/>
                <w:sz w:val="18"/>
              </w:rPr>
              <w:t>(9,122)</w:t>
            </w:r>
          </w:p>
        </w:tc>
      </w:tr>
      <w:tr>
        <w:trPr>
          <w:trHeight w:val="347" w:hRule="exact"/>
        </w:trPr>
        <w:tc>
          <w:tcPr>
            <w:tcW w:w="5892" w:type="dxa"/>
          </w:tcPr>
          <w:p>
            <w:pPr>
              <w:pStyle w:val="TableParagraph"/>
              <w:spacing w:before="117"/>
              <w:ind w:left="62"/>
              <w:jc w:val="left"/>
              <w:rPr>
                <w:b/>
                <w:sz w:val="18"/>
              </w:rPr>
            </w:pPr>
            <w:r>
              <w:rPr>
                <w:b/>
                <w:sz w:val="18"/>
              </w:rPr>
              <w:t>Expenses</w:t>
            </w:r>
          </w:p>
        </w:tc>
        <w:tc>
          <w:tcPr>
            <w:tcW w:w="1467" w:type="dxa"/>
          </w:tcPr>
          <w:p>
            <w:pPr/>
          </w:p>
        </w:tc>
        <w:tc>
          <w:tcPr>
            <w:tcW w:w="1408" w:type="dxa"/>
          </w:tcPr>
          <w:p>
            <w:pPr/>
          </w:p>
        </w:tc>
        <w:tc>
          <w:tcPr>
            <w:tcW w:w="1186" w:type="dxa"/>
          </w:tcPr>
          <w:p>
            <w:pPr/>
          </w:p>
        </w:tc>
      </w:tr>
      <w:tr>
        <w:trPr>
          <w:trHeight w:val="250" w:hRule="exact"/>
        </w:trPr>
        <w:tc>
          <w:tcPr>
            <w:tcW w:w="5892" w:type="dxa"/>
          </w:tcPr>
          <w:p>
            <w:pPr>
              <w:pStyle w:val="TableParagraph"/>
              <w:spacing w:before="4"/>
              <w:ind w:left="62"/>
              <w:jc w:val="left"/>
              <w:rPr>
                <w:sz w:val="18"/>
              </w:rPr>
            </w:pPr>
            <w:r>
              <w:rPr>
                <w:sz w:val="18"/>
              </w:rPr>
              <w:t>Employee benefits expense</w:t>
            </w:r>
          </w:p>
        </w:tc>
        <w:tc>
          <w:tcPr>
            <w:tcW w:w="1467" w:type="dxa"/>
          </w:tcPr>
          <w:p>
            <w:pPr>
              <w:pStyle w:val="TableParagraph"/>
              <w:spacing w:before="5"/>
              <w:ind w:right="187"/>
              <w:rPr>
                <w:sz w:val="18"/>
              </w:rPr>
            </w:pPr>
            <w:r>
              <w:rPr>
                <w:sz w:val="18"/>
              </w:rPr>
              <w:t>15</w:t>
            </w:r>
          </w:p>
        </w:tc>
        <w:tc>
          <w:tcPr>
            <w:tcW w:w="1408" w:type="dxa"/>
          </w:tcPr>
          <w:p>
            <w:pPr>
              <w:pStyle w:val="TableParagraph"/>
              <w:spacing w:before="5"/>
              <w:ind w:right="139"/>
              <w:rPr>
                <w:b/>
                <w:sz w:val="18"/>
              </w:rPr>
            </w:pPr>
            <w:r>
              <w:rPr>
                <w:b/>
                <w:w w:val="95"/>
                <w:sz w:val="18"/>
              </w:rPr>
              <w:t>(31,835,140)</w:t>
            </w:r>
          </w:p>
        </w:tc>
        <w:tc>
          <w:tcPr>
            <w:tcW w:w="1186" w:type="dxa"/>
          </w:tcPr>
          <w:p>
            <w:pPr>
              <w:pStyle w:val="TableParagraph"/>
              <w:spacing w:before="5"/>
              <w:ind w:right="27"/>
              <w:rPr>
                <w:sz w:val="18"/>
              </w:rPr>
            </w:pPr>
            <w:r>
              <w:rPr>
                <w:w w:val="95"/>
                <w:sz w:val="18"/>
              </w:rPr>
              <w:t>(36,982,679)</w:t>
            </w:r>
          </w:p>
        </w:tc>
      </w:tr>
      <w:tr>
        <w:trPr>
          <w:trHeight w:val="264" w:hRule="exact"/>
        </w:trPr>
        <w:tc>
          <w:tcPr>
            <w:tcW w:w="5892" w:type="dxa"/>
          </w:tcPr>
          <w:p>
            <w:pPr>
              <w:pStyle w:val="TableParagraph"/>
              <w:spacing w:before="18"/>
              <w:ind w:left="62"/>
              <w:jc w:val="left"/>
              <w:rPr>
                <w:sz w:val="18"/>
              </w:rPr>
            </w:pPr>
            <w:r>
              <w:rPr>
                <w:sz w:val="18"/>
              </w:rPr>
              <w:t>Fees for service</w:t>
            </w:r>
          </w:p>
        </w:tc>
        <w:tc>
          <w:tcPr>
            <w:tcW w:w="1467" w:type="dxa"/>
          </w:tcPr>
          <w:p>
            <w:pPr>
              <w:pStyle w:val="TableParagraph"/>
              <w:spacing w:before="19"/>
              <w:ind w:right="187"/>
              <w:rPr>
                <w:sz w:val="18"/>
              </w:rPr>
            </w:pPr>
            <w:r>
              <w:rPr>
                <w:sz w:val="18"/>
              </w:rPr>
              <w:t>15</w:t>
            </w:r>
          </w:p>
        </w:tc>
        <w:tc>
          <w:tcPr>
            <w:tcW w:w="1408" w:type="dxa"/>
          </w:tcPr>
          <w:p>
            <w:pPr>
              <w:pStyle w:val="TableParagraph"/>
              <w:spacing w:before="19"/>
              <w:ind w:right="137"/>
              <w:rPr>
                <w:b/>
                <w:sz w:val="18"/>
              </w:rPr>
            </w:pPr>
            <w:r>
              <w:rPr>
                <w:b/>
                <w:w w:val="95"/>
                <w:sz w:val="18"/>
              </w:rPr>
              <w:t>(3,696,121)</w:t>
            </w:r>
          </w:p>
        </w:tc>
        <w:tc>
          <w:tcPr>
            <w:tcW w:w="1186" w:type="dxa"/>
          </w:tcPr>
          <w:p>
            <w:pPr>
              <w:pStyle w:val="TableParagraph"/>
              <w:spacing w:before="19"/>
              <w:ind w:right="27"/>
              <w:rPr>
                <w:sz w:val="18"/>
              </w:rPr>
            </w:pPr>
            <w:r>
              <w:rPr>
                <w:w w:val="95"/>
                <w:sz w:val="18"/>
              </w:rPr>
              <w:t>(5,562,708)</w:t>
            </w:r>
          </w:p>
        </w:tc>
      </w:tr>
      <w:tr>
        <w:trPr>
          <w:trHeight w:val="264" w:hRule="exact"/>
        </w:trPr>
        <w:tc>
          <w:tcPr>
            <w:tcW w:w="5892" w:type="dxa"/>
          </w:tcPr>
          <w:p>
            <w:pPr>
              <w:pStyle w:val="TableParagraph"/>
              <w:spacing w:before="18"/>
              <w:ind w:left="62"/>
              <w:jc w:val="left"/>
              <w:rPr>
                <w:sz w:val="18"/>
              </w:rPr>
            </w:pPr>
            <w:r>
              <w:rPr>
                <w:sz w:val="18"/>
              </w:rPr>
              <w:t>Occupancy expenses</w:t>
            </w:r>
          </w:p>
        </w:tc>
        <w:tc>
          <w:tcPr>
            <w:tcW w:w="1467" w:type="dxa"/>
          </w:tcPr>
          <w:p>
            <w:pPr>
              <w:pStyle w:val="TableParagraph"/>
              <w:spacing w:before="19"/>
              <w:ind w:right="187"/>
              <w:rPr>
                <w:sz w:val="18"/>
              </w:rPr>
            </w:pPr>
            <w:r>
              <w:rPr>
                <w:sz w:val="18"/>
              </w:rPr>
              <w:t>15</w:t>
            </w:r>
          </w:p>
        </w:tc>
        <w:tc>
          <w:tcPr>
            <w:tcW w:w="1408" w:type="dxa"/>
          </w:tcPr>
          <w:p>
            <w:pPr>
              <w:pStyle w:val="TableParagraph"/>
              <w:spacing w:before="19"/>
              <w:ind w:right="138"/>
              <w:rPr>
                <w:b/>
                <w:sz w:val="18"/>
              </w:rPr>
            </w:pPr>
            <w:r>
              <w:rPr>
                <w:b/>
                <w:w w:val="95"/>
                <w:sz w:val="18"/>
              </w:rPr>
              <w:t>(339,947)</w:t>
            </w:r>
          </w:p>
        </w:tc>
        <w:tc>
          <w:tcPr>
            <w:tcW w:w="1186" w:type="dxa"/>
          </w:tcPr>
          <w:p>
            <w:pPr>
              <w:pStyle w:val="TableParagraph"/>
              <w:spacing w:before="19"/>
              <w:ind w:right="27"/>
              <w:rPr>
                <w:sz w:val="18"/>
              </w:rPr>
            </w:pPr>
            <w:r>
              <w:rPr>
                <w:w w:val="95"/>
                <w:sz w:val="18"/>
              </w:rPr>
              <w:t>(183,692)</w:t>
            </w:r>
          </w:p>
        </w:tc>
      </w:tr>
      <w:tr>
        <w:trPr>
          <w:trHeight w:val="264" w:hRule="exact"/>
        </w:trPr>
        <w:tc>
          <w:tcPr>
            <w:tcW w:w="5892" w:type="dxa"/>
          </w:tcPr>
          <w:p>
            <w:pPr>
              <w:pStyle w:val="TableParagraph"/>
              <w:spacing w:before="18"/>
              <w:ind w:left="62"/>
              <w:jc w:val="left"/>
              <w:rPr>
                <w:sz w:val="18"/>
              </w:rPr>
            </w:pPr>
            <w:r>
              <w:rPr>
                <w:sz w:val="18"/>
              </w:rPr>
              <w:t>Royalty to parent</w:t>
            </w:r>
          </w:p>
        </w:tc>
        <w:tc>
          <w:tcPr>
            <w:tcW w:w="1467" w:type="dxa"/>
          </w:tcPr>
          <w:p>
            <w:pPr>
              <w:pStyle w:val="TableParagraph"/>
              <w:spacing w:before="19"/>
              <w:ind w:right="187"/>
              <w:rPr>
                <w:sz w:val="18"/>
              </w:rPr>
            </w:pPr>
            <w:r>
              <w:rPr>
                <w:sz w:val="18"/>
              </w:rPr>
              <w:t>16</w:t>
            </w:r>
          </w:p>
        </w:tc>
        <w:tc>
          <w:tcPr>
            <w:tcW w:w="1408" w:type="dxa"/>
          </w:tcPr>
          <w:p>
            <w:pPr>
              <w:pStyle w:val="TableParagraph"/>
              <w:spacing w:before="19"/>
              <w:ind w:right="139"/>
              <w:rPr>
                <w:b/>
                <w:sz w:val="18"/>
              </w:rPr>
            </w:pPr>
            <w:r>
              <w:rPr>
                <w:b/>
                <w:w w:val="95"/>
                <w:sz w:val="18"/>
              </w:rPr>
              <w:t>(20,092,238)</w:t>
            </w:r>
          </w:p>
        </w:tc>
        <w:tc>
          <w:tcPr>
            <w:tcW w:w="1186" w:type="dxa"/>
          </w:tcPr>
          <w:p>
            <w:pPr>
              <w:pStyle w:val="TableParagraph"/>
              <w:spacing w:before="19"/>
              <w:ind w:right="27"/>
              <w:rPr>
                <w:sz w:val="18"/>
              </w:rPr>
            </w:pPr>
            <w:r>
              <w:rPr>
                <w:w w:val="95"/>
                <w:sz w:val="18"/>
              </w:rPr>
              <w:t>(14,083,420)</w:t>
            </w:r>
          </w:p>
        </w:tc>
      </w:tr>
      <w:tr>
        <w:trPr>
          <w:trHeight w:val="264" w:hRule="exact"/>
        </w:trPr>
        <w:tc>
          <w:tcPr>
            <w:tcW w:w="5892" w:type="dxa"/>
          </w:tcPr>
          <w:p>
            <w:pPr>
              <w:pStyle w:val="TableParagraph"/>
              <w:spacing w:before="18"/>
              <w:ind w:left="62"/>
              <w:jc w:val="left"/>
              <w:rPr>
                <w:sz w:val="18"/>
              </w:rPr>
            </w:pPr>
            <w:r>
              <w:rPr>
                <w:sz w:val="18"/>
              </w:rPr>
              <w:t>Depreciation and amortisation expense</w:t>
            </w:r>
          </w:p>
        </w:tc>
        <w:tc>
          <w:tcPr>
            <w:tcW w:w="1467" w:type="dxa"/>
          </w:tcPr>
          <w:p>
            <w:pPr>
              <w:pStyle w:val="TableParagraph"/>
              <w:spacing w:before="19"/>
              <w:ind w:right="187"/>
              <w:rPr>
                <w:sz w:val="18"/>
              </w:rPr>
            </w:pPr>
            <w:r>
              <w:rPr>
                <w:sz w:val="18"/>
              </w:rPr>
              <w:t>15</w:t>
            </w:r>
          </w:p>
        </w:tc>
        <w:tc>
          <w:tcPr>
            <w:tcW w:w="1408" w:type="dxa"/>
          </w:tcPr>
          <w:p>
            <w:pPr>
              <w:pStyle w:val="TableParagraph"/>
              <w:spacing w:before="19"/>
              <w:ind w:right="137"/>
              <w:rPr>
                <w:b/>
                <w:sz w:val="18"/>
              </w:rPr>
            </w:pPr>
            <w:r>
              <w:rPr>
                <w:b/>
                <w:w w:val="95"/>
                <w:sz w:val="18"/>
              </w:rPr>
              <w:t>(1,235,440)</w:t>
            </w:r>
          </w:p>
        </w:tc>
        <w:tc>
          <w:tcPr>
            <w:tcW w:w="1186" w:type="dxa"/>
          </w:tcPr>
          <w:p>
            <w:pPr>
              <w:pStyle w:val="TableParagraph"/>
              <w:spacing w:before="19"/>
              <w:ind w:right="27"/>
              <w:rPr>
                <w:sz w:val="18"/>
              </w:rPr>
            </w:pPr>
            <w:r>
              <w:rPr>
                <w:w w:val="95"/>
                <w:sz w:val="18"/>
              </w:rPr>
              <w:t>(570,772)</w:t>
            </w:r>
          </w:p>
        </w:tc>
      </w:tr>
      <w:tr>
        <w:trPr>
          <w:trHeight w:val="264" w:hRule="exact"/>
        </w:trPr>
        <w:tc>
          <w:tcPr>
            <w:tcW w:w="5892" w:type="dxa"/>
          </w:tcPr>
          <w:p>
            <w:pPr>
              <w:pStyle w:val="TableParagraph"/>
              <w:spacing w:before="18"/>
              <w:ind w:left="62"/>
              <w:jc w:val="left"/>
              <w:rPr>
                <w:sz w:val="18"/>
              </w:rPr>
            </w:pPr>
            <w:r>
              <w:rPr>
                <w:sz w:val="18"/>
              </w:rPr>
              <w:t>Consumables and supplies</w:t>
            </w:r>
          </w:p>
        </w:tc>
        <w:tc>
          <w:tcPr>
            <w:tcW w:w="1467" w:type="dxa"/>
          </w:tcPr>
          <w:p>
            <w:pPr/>
          </w:p>
        </w:tc>
        <w:tc>
          <w:tcPr>
            <w:tcW w:w="1408" w:type="dxa"/>
          </w:tcPr>
          <w:p>
            <w:pPr>
              <w:pStyle w:val="TableParagraph"/>
              <w:spacing w:before="19"/>
              <w:ind w:right="138"/>
              <w:rPr>
                <w:b/>
                <w:sz w:val="18"/>
              </w:rPr>
            </w:pPr>
            <w:r>
              <w:rPr>
                <w:b/>
                <w:w w:val="95"/>
                <w:sz w:val="18"/>
              </w:rPr>
              <w:t>(302,139)</w:t>
            </w:r>
          </w:p>
        </w:tc>
        <w:tc>
          <w:tcPr>
            <w:tcW w:w="1186" w:type="dxa"/>
          </w:tcPr>
          <w:p>
            <w:pPr>
              <w:pStyle w:val="TableParagraph"/>
              <w:spacing w:before="19"/>
              <w:ind w:right="27"/>
              <w:rPr>
                <w:sz w:val="18"/>
              </w:rPr>
            </w:pPr>
            <w:r>
              <w:rPr>
                <w:w w:val="95"/>
                <w:sz w:val="18"/>
              </w:rPr>
              <w:t>(538,517)</w:t>
            </w:r>
          </w:p>
        </w:tc>
      </w:tr>
      <w:tr>
        <w:trPr>
          <w:trHeight w:val="264" w:hRule="exact"/>
        </w:trPr>
        <w:tc>
          <w:tcPr>
            <w:tcW w:w="5892" w:type="dxa"/>
          </w:tcPr>
          <w:p>
            <w:pPr>
              <w:pStyle w:val="TableParagraph"/>
              <w:spacing w:before="18"/>
              <w:ind w:left="62"/>
              <w:jc w:val="left"/>
              <w:rPr>
                <w:sz w:val="18"/>
              </w:rPr>
            </w:pPr>
            <w:r>
              <w:rPr>
                <w:sz w:val="18"/>
              </w:rPr>
              <w:t>Advertising, marketing and promotional expenses</w:t>
            </w:r>
          </w:p>
        </w:tc>
        <w:tc>
          <w:tcPr>
            <w:tcW w:w="1467" w:type="dxa"/>
          </w:tcPr>
          <w:p>
            <w:pPr/>
          </w:p>
        </w:tc>
        <w:tc>
          <w:tcPr>
            <w:tcW w:w="1408" w:type="dxa"/>
          </w:tcPr>
          <w:p>
            <w:pPr>
              <w:pStyle w:val="TableParagraph"/>
              <w:spacing w:before="19"/>
              <w:ind w:right="138"/>
              <w:rPr>
                <w:b/>
                <w:sz w:val="18"/>
              </w:rPr>
            </w:pPr>
            <w:r>
              <w:rPr>
                <w:b/>
                <w:w w:val="95"/>
                <w:sz w:val="18"/>
              </w:rPr>
              <w:t>(132,018)</w:t>
            </w:r>
          </w:p>
        </w:tc>
        <w:tc>
          <w:tcPr>
            <w:tcW w:w="1186" w:type="dxa"/>
          </w:tcPr>
          <w:p>
            <w:pPr>
              <w:pStyle w:val="TableParagraph"/>
              <w:spacing w:before="19"/>
              <w:ind w:right="27"/>
              <w:rPr>
                <w:sz w:val="18"/>
              </w:rPr>
            </w:pPr>
            <w:r>
              <w:rPr>
                <w:w w:val="95"/>
                <w:sz w:val="18"/>
              </w:rPr>
              <w:t>(506,123)</w:t>
            </w:r>
          </w:p>
        </w:tc>
      </w:tr>
      <w:tr>
        <w:trPr>
          <w:trHeight w:val="264" w:hRule="exact"/>
        </w:trPr>
        <w:tc>
          <w:tcPr>
            <w:tcW w:w="5892" w:type="dxa"/>
          </w:tcPr>
          <w:p>
            <w:pPr>
              <w:pStyle w:val="TableParagraph"/>
              <w:spacing w:before="18"/>
              <w:ind w:left="62"/>
              <w:jc w:val="left"/>
              <w:rPr>
                <w:sz w:val="18"/>
              </w:rPr>
            </w:pPr>
            <w:r>
              <w:rPr>
                <w:sz w:val="18"/>
              </w:rPr>
              <w:t>Student expenses</w:t>
            </w:r>
          </w:p>
        </w:tc>
        <w:tc>
          <w:tcPr>
            <w:tcW w:w="1467" w:type="dxa"/>
          </w:tcPr>
          <w:p>
            <w:pPr/>
          </w:p>
        </w:tc>
        <w:tc>
          <w:tcPr>
            <w:tcW w:w="1408" w:type="dxa"/>
          </w:tcPr>
          <w:p>
            <w:pPr>
              <w:pStyle w:val="TableParagraph"/>
              <w:spacing w:before="19"/>
              <w:ind w:right="138"/>
              <w:rPr>
                <w:b/>
                <w:sz w:val="18"/>
              </w:rPr>
            </w:pPr>
            <w:r>
              <w:rPr>
                <w:b/>
                <w:w w:val="95"/>
                <w:sz w:val="18"/>
              </w:rPr>
              <w:t>(491,411)</w:t>
            </w:r>
          </w:p>
        </w:tc>
        <w:tc>
          <w:tcPr>
            <w:tcW w:w="1186" w:type="dxa"/>
          </w:tcPr>
          <w:p>
            <w:pPr>
              <w:pStyle w:val="TableParagraph"/>
              <w:spacing w:before="19"/>
              <w:ind w:right="27"/>
              <w:rPr>
                <w:sz w:val="18"/>
              </w:rPr>
            </w:pPr>
            <w:r>
              <w:rPr>
                <w:w w:val="95"/>
                <w:sz w:val="18"/>
              </w:rPr>
              <w:t>(618,110)</w:t>
            </w:r>
          </w:p>
        </w:tc>
      </w:tr>
      <w:tr>
        <w:trPr>
          <w:trHeight w:val="263" w:hRule="exact"/>
        </w:trPr>
        <w:tc>
          <w:tcPr>
            <w:tcW w:w="5892" w:type="dxa"/>
          </w:tcPr>
          <w:p>
            <w:pPr>
              <w:pStyle w:val="TableParagraph"/>
              <w:spacing w:before="18"/>
              <w:ind w:left="62"/>
              <w:jc w:val="left"/>
              <w:rPr>
                <w:sz w:val="18"/>
              </w:rPr>
            </w:pPr>
            <w:r>
              <w:rPr>
                <w:sz w:val="18"/>
              </w:rPr>
              <w:t>Other expenses</w:t>
            </w:r>
          </w:p>
        </w:tc>
        <w:tc>
          <w:tcPr>
            <w:tcW w:w="1467" w:type="dxa"/>
          </w:tcPr>
          <w:p>
            <w:pPr>
              <w:pStyle w:val="TableParagraph"/>
              <w:spacing w:before="19"/>
              <w:ind w:right="187"/>
              <w:rPr>
                <w:sz w:val="18"/>
              </w:rPr>
            </w:pPr>
            <w:r>
              <w:rPr>
                <w:sz w:val="18"/>
              </w:rPr>
              <w:t>15</w:t>
            </w:r>
          </w:p>
        </w:tc>
        <w:tc>
          <w:tcPr>
            <w:tcW w:w="1408" w:type="dxa"/>
            <w:tcBorders>
              <w:bottom w:val="single" w:sz="0" w:space="0" w:color="000000"/>
            </w:tcBorders>
          </w:tcPr>
          <w:p>
            <w:pPr>
              <w:pStyle w:val="TableParagraph"/>
              <w:spacing w:before="19"/>
              <w:ind w:right="137"/>
              <w:rPr>
                <w:b/>
                <w:sz w:val="18"/>
              </w:rPr>
            </w:pPr>
            <w:r>
              <w:rPr>
                <w:b/>
                <w:w w:val="95"/>
                <w:sz w:val="18"/>
              </w:rPr>
              <w:t>(1,867,820)</w:t>
            </w:r>
          </w:p>
        </w:tc>
        <w:tc>
          <w:tcPr>
            <w:tcW w:w="1186" w:type="dxa"/>
            <w:tcBorders>
              <w:bottom w:val="single" w:sz="0" w:space="0" w:color="000000"/>
            </w:tcBorders>
          </w:tcPr>
          <w:p>
            <w:pPr>
              <w:pStyle w:val="TableParagraph"/>
              <w:spacing w:before="19"/>
              <w:ind w:right="27"/>
              <w:rPr>
                <w:sz w:val="18"/>
              </w:rPr>
            </w:pPr>
            <w:r>
              <w:rPr>
                <w:w w:val="95"/>
                <w:sz w:val="18"/>
              </w:rPr>
              <w:t>(2,397,112)</w:t>
            </w:r>
          </w:p>
        </w:tc>
      </w:tr>
      <w:tr>
        <w:trPr>
          <w:trHeight w:val="350" w:hRule="exact"/>
        </w:trPr>
        <w:tc>
          <w:tcPr>
            <w:tcW w:w="5892" w:type="dxa"/>
          </w:tcPr>
          <w:p>
            <w:pPr>
              <w:pStyle w:val="TableParagraph"/>
              <w:spacing w:before="123"/>
              <w:ind w:left="62"/>
              <w:jc w:val="left"/>
              <w:rPr>
                <w:b/>
                <w:sz w:val="18"/>
              </w:rPr>
            </w:pPr>
            <w:r>
              <w:rPr>
                <w:b/>
                <w:sz w:val="18"/>
              </w:rPr>
              <w:t>Total Expenses</w:t>
            </w:r>
          </w:p>
        </w:tc>
        <w:tc>
          <w:tcPr>
            <w:tcW w:w="1467" w:type="dxa"/>
          </w:tcPr>
          <w:p>
            <w:pPr/>
          </w:p>
        </w:tc>
        <w:tc>
          <w:tcPr>
            <w:tcW w:w="1408" w:type="dxa"/>
            <w:tcBorders>
              <w:top w:val="single" w:sz="0" w:space="0" w:color="000000"/>
              <w:bottom w:val="single" w:sz="0" w:space="0" w:color="000000"/>
            </w:tcBorders>
          </w:tcPr>
          <w:p>
            <w:pPr>
              <w:pStyle w:val="TableParagraph"/>
              <w:spacing w:before="122"/>
              <w:ind w:right="139"/>
              <w:rPr>
                <w:b/>
                <w:sz w:val="18"/>
              </w:rPr>
            </w:pPr>
            <w:r>
              <w:rPr>
                <w:b/>
                <w:w w:val="95"/>
                <w:sz w:val="18"/>
              </w:rPr>
              <w:t>(59,992,274)</w:t>
            </w:r>
          </w:p>
        </w:tc>
        <w:tc>
          <w:tcPr>
            <w:tcW w:w="1186" w:type="dxa"/>
            <w:tcBorders>
              <w:top w:val="single" w:sz="0" w:space="0" w:color="000000"/>
              <w:bottom w:val="single" w:sz="0" w:space="0" w:color="000000"/>
            </w:tcBorders>
          </w:tcPr>
          <w:p>
            <w:pPr>
              <w:pStyle w:val="TableParagraph"/>
              <w:spacing w:before="122"/>
              <w:ind w:right="27"/>
              <w:rPr>
                <w:sz w:val="18"/>
              </w:rPr>
            </w:pPr>
            <w:r>
              <w:rPr>
                <w:w w:val="95"/>
                <w:sz w:val="18"/>
              </w:rPr>
              <w:t>(61,443,133)</w:t>
            </w:r>
          </w:p>
        </w:tc>
      </w:tr>
      <w:tr>
        <w:trPr>
          <w:trHeight w:val="301" w:hRule="exact"/>
        </w:trPr>
        <w:tc>
          <w:tcPr>
            <w:tcW w:w="5892" w:type="dxa"/>
          </w:tcPr>
          <w:p>
            <w:pPr>
              <w:pStyle w:val="TableParagraph"/>
              <w:spacing w:before="56"/>
              <w:ind w:left="62"/>
              <w:jc w:val="left"/>
              <w:rPr>
                <w:sz w:val="18"/>
              </w:rPr>
            </w:pPr>
            <w:r>
              <w:rPr>
                <w:sz w:val="18"/>
              </w:rPr>
              <w:t>Other comprehensive income</w:t>
            </w:r>
          </w:p>
        </w:tc>
        <w:tc>
          <w:tcPr>
            <w:tcW w:w="1467" w:type="dxa"/>
          </w:tcPr>
          <w:p>
            <w:pPr/>
          </w:p>
        </w:tc>
        <w:tc>
          <w:tcPr>
            <w:tcW w:w="1408" w:type="dxa"/>
            <w:tcBorders>
              <w:top w:val="single" w:sz="0" w:space="0" w:color="000000"/>
              <w:bottom w:val="single" w:sz="0" w:space="0" w:color="000000"/>
            </w:tcBorders>
          </w:tcPr>
          <w:p>
            <w:pPr>
              <w:pStyle w:val="TableParagraph"/>
              <w:spacing w:before="56"/>
              <w:ind w:right="110"/>
              <w:jc w:val="center"/>
              <w:rPr>
                <w:b/>
                <w:sz w:val="18"/>
              </w:rPr>
            </w:pPr>
            <w:r>
              <w:rPr>
                <w:b/>
                <w:w w:val="99"/>
                <w:sz w:val="18"/>
              </w:rPr>
              <w:t>-</w:t>
            </w:r>
          </w:p>
        </w:tc>
        <w:tc>
          <w:tcPr>
            <w:tcW w:w="1186" w:type="dxa"/>
            <w:tcBorders>
              <w:top w:val="single" w:sz="0" w:space="0" w:color="000000"/>
              <w:bottom w:val="single" w:sz="0" w:space="0" w:color="000000"/>
            </w:tcBorders>
          </w:tcPr>
          <w:p>
            <w:pPr>
              <w:pStyle w:val="TableParagraph"/>
              <w:spacing w:before="56"/>
              <w:ind w:right="110"/>
              <w:jc w:val="center"/>
              <w:rPr>
                <w:sz w:val="18"/>
              </w:rPr>
            </w:pPr>
            <w:r>
              <w:rPr>
                <w:w w:val="99"/>
                <w:sz w:val="18"/>
              </w:rPr>
              <w:t>-</w:t>
            </w:r>
          </w:p>
        </w:tc>
      </w:tr>
      <w:tr>
        <w:trPr>
          <w:trHeight w:val="353" w:hRule="exact"/>
        </w:trPr>
        <w:tc>
          <w:tcPr>
            <w:tcW w:w="5892" w:type="dxa"/>
          </w:tcPr>
          <w:p>
            <w:pPr>
              <w:pStyle w:val="TableParagraph"/>
              <w:spacing w:before="123"/>
              <w:ind w:left="62"/>
              <w:jc w:val="left"/>
              <w:rPr>
                <w:b/>
                <w:sz w:val="18"/>
              </w:rPr>
            </w:pPr>
            <w:r>
              <w:rPr>
                <w:b/>
                <w:sz w:val="18"/>
              </w:rPr>
              <w:t>Total comprehensive income for the year</w:t>
            </w:r>
          </w:p>
        </w:tc>
        <w:tc>
          <w:tcPr>
            <w:tcW w:w="1467" w:type="dxa"/>
          </w:tcPr>
          <w:p>
            <w:pPr/>
          </w:p>
        </w:tc>
        <w:tc>
          <w:tcPr>
            <w:tcW w:w="1408" w:type="dxa"/>
            <w:tcBorders>
              <w:top w:val="single" w:sz="0" w:space="0" w:color="000000"/>
              <w:bottom w:val="single" w:sz="0" w:space="0" w:color="000000"/>
            </w:tcBorders>
          </w:tcPr>
          <w:p>
            <w:pPr>
              <w:pStyle w:val="TableParagraph"/>
              <w:spacing w:before="122"/>
              <w:ind w:right="110"/>
              <w:jc w:val="center"/>
              <w:rPr>
                <w:b/>
                <w:sz w:val="18"/>
              </w:rPr>
            </w:pPr>
            <w:r>
              <w:rPr>
                <w:b/>
                <w:w w:val="99"/>
                <w:sz w:val="18"/>
              </w:rPr>
              <w:t>-</w:t>
            </w:r>
          </w:p>
        </w:tc>
        <w:tc>
          <w:tcPr>
            <w:tcW w:w="1186" w:type="dxa"/>
            <w:tcBorders>
              <w:top w:val="single" w:sz="0" w:space="0" w:color="000000"/>
              <w:bottom w:val="single" w:sz="0" w:space="0" w:color="000000"/>
            </w:tcBorders>
          </w:tcPr>
          <w:p>
            <w:pPr>
              <w:pStyle w:val="TableParagraph"/>
              <w:spacing w:before="122"/>
              <w:ind w:right="110"/>
              <w:jc w:val="center"/>
              <w:rPr>
                <w:sz w:val="18"/>
              </w:rPr>
            </w:pPr>
            <w:r>
              <w:rPr>
                <w:w w:val="99"/>
                <w:sz w:val="18"/>
              </w:rPr>
              <w:t>-</w:t>
            </w:r>
          </w:p>
        </w:tc>
      </w:tr>
      <w:tr>
        <w:trPr>
          <w:trHeight w:val="368" w:hRule="exact"/>
        </w:trPr>
        <w:tc>
          <w:tcPr>
            <w:tcW w:w="5892" w:type="dxa"/>
          </w:tcPr>
          <w:p>
            <w:pPr>
              <w:pStyle w:val="TableParagraph"/>
              <w:spacing w:before="138"/>
              <w:ind w:left="62"/>
              <w:jc w:val="left"/>
              <w:rPr>
                <w:b/>
                <w:sz w:val="18"/>
              </w:rPr>
            </w:pPr>
            <w:r>
              <w:rPr>
                <w:b/>
                <w:sz w:val="18"/>
              </w:rPr>
              <w:t>Comprehensive income for the year attributable to</w:t>
            </w:r>
          </w:p>
        </w:tc>
        <w:tc>
          <w:tcPr>
            <w:tcW w:w="1467" w:type="dxa"/>
          </w:tcPr>
          <w:p>
            <w:pPr/>
          </w:p>
        </w:tc>
        <w:tc>
          <w:tcPr>
            <w:tcW w:w="1408" w:type="dxa"/>
            <w:tcBorders>
              <w:top w:val="single" w:sz="0" w:space="0" w:color="000000"/>
            </w:tcBorders>
          </w:tcPr>
          <w:p>
            <w:pPr/>
          </w:p>
        </w:tc>
        <w:tc>
          <w:tcPr>
            <w:tcW w:w="1186" w:type="dxa"/>
            <w:tcBorders>
              <w:top w:val="single" w:sz="0" w:space="0" w:color="000000"/>
            </w:tcBorders>
          </w:tcPr>
          <w:p>
            <w:pPr/>
          </w:p>
        </w:tc>
      </w:tr>
      <w:tr>
        <w:trPr>
          <w:trHeight w:val="250" w:hRule="exact"/>
        </w:trPr>
        <w:tc>
          <w:tcPr>
            <w:tcW w:w="5892" w:type="dxa"/>
          </w:tcPr>
          <w:p>
            <w:pPr>
              <w:pStyle w:val="TableParagraph"/>
              <w:spacing w:before="4"/>
              <w:ind w:left="62"/>
              <w:jc w:val="left"/>
              <w:rPr>
                <w:sz w:val="18"/>
              </w:rPr>
            </w:pPr>
            <w:r>
              <w:rPr>
                <w:sz w:val="18"/>
              </w:rPr>
              <w:t>Non - controlling interest</w:t>
            </w:r>
          </w:p>
        </w:tc>
        <w:tc>
          <w:tcPr>
            <w:tcW w:w="1467" w:type="dxa"/>
          </w:tcPr>
          <w:p>
            <w:pPr/>
          </w:p>
        </w:tc>
        <w:tc>
          <w:tcPr>
            <w:tcW w:w="1408" w:type="dxa"/>
          </w:tcPr>
          <w:p>
            <w:pPr>
              <w:pStyle w:val="TableParagraph"/>
              <w:spacing w:before="5"/>
              <w:ind w:right="110"/>
              <w:jc w:val="center"/>
              <w:rPr>
                <w:b/>
                <w:sz w:val="18"/>
              </w:rPr>
            </w:pPr>
            <w:r>
              <w:rPr>
                <w:b/>
                <w:w w:val="99"/>
                <w:sz w:val="18"/>
              </w:rPr>
              <w:t>-</w:t>
            </w:r>
          </w:p>
        </w:tc>
        <w:tc>
          <w:tcPr>
            <w:tcW w:w="1186" w:type="dxa"/>
          </w:tcPr>
          <w:p>
            <w:pPr>
              <w:pStyle w:val="TableParagraph"/>
              <w:spacing w:before="5"/>
              <w:ind w:right="110"/>
              <w:jc w:val="center"/>
              <w:rPr>
                <w:sz w:val="18"/>
              </w:rPr>
            </w:pPr>
            <w:r>
              <w:rPr>
                <w:w w:val="99"/>
                <w:sz w:val="18"/>
              </w:rPr>
              <w:t>-</w:t>
            </w:r>
          </w:p>
        </w:tc>
      </w:tr>
      <w:tr>
        <w:trPr>
          <w:trHeight w:val="263" w:hRule="exact"/>
        </w:trPr>
        <w:tc>
          <w:tcPr>
            <w:tcW w:w="5892" w:type="dxa"/>
          </w:tcPr>
          <w:p>
            <w:pPr>
              <w:pStyle w:val="TableParagraph"/>
              <w:spacing w:before="18"/>
              <w:ind w:left="62"/>
              <w:jc w:val="left"/>
              <w:rPr>
                <w:sz w:val="18"/>
              </w:rPr>
            </w:pPr>
            <w:r>
              <w:rPr>
                <w:sz w:val="18"/>
              </w:rPr>
              <w:t>Western Sydney University (The Parent)</w:t>
            </w:r>
          </w:p>
        </w:tc>
        <w:tc>
          <w:tcPr>
            <w:tcW w:w="1467" w:type="dxa"/>
          </w:tcPr>
          <w:p>
            <w:pPr/>
          </w:p>
        </w:tc>
        <w:tc>
          <w:tcPr>
            <w:tcW w:w="1408" w:type="dxa"/>
            <w:tcBorders>
              <w:bottom w:val="single" w:sz="0" w:space="0" w:color="000000"/>
            </w:tcBorders>
          </w:tcPr>
          <w:p>
            <w:pPr>
              <w:pStyle w:val="TableParagraph"/>
              <w:spacing w:before="19"/>
              <w:ind w:right="110"/>
              <w:jc w:val="center"/>
              <w:rPr>
                <w:b/>
                <w:sz w:val="18"/>
              </w:rPr>
            </w:pPr>
            <w:r>
              <w:rPr>
                <w:b/>
                <w:w w:val="99"/>
                <w:sz w:val="18"/>
              </w:rPr>
              <w:t>-</w:t>
            </w:r>
          </w:p>
        </w:tc>
        <w:tc>
          <w:tcPr>
            <w:tcW w:w="1186" w:type="dxa"/>
            <w:tcBorders>
              <w:bottom w:val="single" w:sz="0" w:space="0" w:color="000000"/>
            </w:tcBorders>
          </w:tcPr>
          <w:p>
            <w:pPr>
              <w:pStyle w:val="TableParagraph"/>
              <w:spacing w:before="19"/>
              <w:ind w:right="110"/>
              <w:jc w:val="center"/>
              <w:rPr>
                <w:sz w:val="18"/>
              </w:rPr>
            </w:pPr>
            <w:r>
              <w:rPr>
                <w:w w:val="99"/>
                <w:sz w:val="18"/>
              </w:rPr>
              <w:t>-</w:t>
            </w:r>
          </w:p>
        </w:tc>
      </w:tr>
      <w:tr>
        <w:trPr>
          <w:trHeight w:val="353" w:hRule="exact"/>
        </w:trPr>
        <w:tc>
          <w:tcPr>
            <w:tcW w:w="5892" w:type="dxa"/>
          </w:tcPr>
          <w:p>
            <w:pPr>
              <w:pStyle w:val="TableParagraph"/>
              <w:spacing w:before="123"/>
              <w:ind w:left="62"/>
              <w:jc w:val="left"/>
              <w:rPr>
                <w:b/>
                <w:sz w:val="18"/>
              </w:rPr>
            </w:pPr>
            <w:r>
              <w:rPr>
                <w:b/>
                <w:sz w:val="18"/>
              </w:rPr>
              <w:t>Total comprehensive income for the year</w:t>
            </w:r>
          </w:p>
        </w:tc>
        <w:tc>
          <w:tcPr>
            <w:tcW w:w="1467" w:type="dxa"/>
          </w:tcPr>
          <w:p>
            <w:pPr/>
          </w:p>
        </w:tc>
        <w:tc>
          <w:tcPr>
            <w:tcW w:w="1408" w:type="dxa"/>
            <w:tcBorders>
              <w:top w:val="single" w:sz="0" w:space="0" w:color="000000"/>
              <w:bottom w:val="single" w:sz="0" w:space="0" w:color="000000"/>
            </w:tcBorders>
          </w:tcPr>
          <w:p>
            <w:pPr>
              <w:pStyle w:val="TableParagraph"/>
              <w:spacing w:before="122"/>
              <w:ind w:right="110"/>
              <w:jc w:val="center"/>
              <w:rPr>
                <w:b/>
                <w:sz w:val="18"/>
              </w:rPr>
            </w:pPr>
            <w:r>
              <w:rPr>
                <w:b/>
                <w:w w:val="99"/>
                <w:sz w:val="18"/>
              </w:rPr>
              <w:t>-</w:t>
            </w:r>
          </w:p>
        </w:tc>
        <w:tc>
          <w:tcPr>
            <w:tcW w:w="1186" w:type="dxa"/>
            <w:tcBorders>
              <w:top w:val="single" w:sz="0" w:space="0" w:color="000000"/>
              <w:bottom w:val="single" w:sz="0" w:space="0" w:color="000000"/>
            </w:tcBorders>
          </w:tcPr>
          <w:p>
            <w:pPr>
              <w:pStyle w:val="TableParagraph"/>
              <w:spacing w:before="122"/>
              <w:ind w:right="110"/>
              <w:jc w:val="center"/>
              <w:rPr>
                <w:sz w:val="18"/>
              </w:rPr>
            </w:pPr>
            <w:r>
              <w:rPr>
                <w:w w:val="99"/>
                <w:sz w:val="18"/>
              </w:rPr>
              <w:t>-</w:t>
            </w:r>
          </w:p>
        </w:tc>
      </w:tr>
    </w:tbl>
    <w:p>
      <w:pPr>
        <w:spacing w:after="0"/>
        <w:jc w:val="center"/>
        <w:rPr>
          <w:sz w:val="18"/>
        </w:rPr>
        <w:sectPr>
          <w:headerReference w:type="default" r:id="rId74"/>
          <w:pgSz w:w="12750" w:h="17680"/>
          <w:pgMar w:header="0" w:footer="867" w:top="1880" w:bottom="1080" w:left="0" w:right="0"/>
        </w:sectPr>
      </w:pPr>
    </w:p>
    <w:p>
      <w:pPr>
        <w:pStyle w:val="BodyText"/>
        <w:spacing w:before="2"/>
        <w:rPr>
          <w:rFonts w:ascii="Times New Roman"/>
          <w:sz w:val="24"/>
        </w:rPr>
      </w:pPr>
    </w:p>
    <w:tbl>
      <w:tblPr>
        <w:tblW w:w="0" w:type="auto"/>
        <w:jc w:val="left"/>
        <w:tblInd w:w="139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804"/>
        <w:gridCol w:w="553"/>
        <w:gridCol w:w="1408"/>
        <w:gridCol w:w="1186"/>
      </w:tblGrid>
      <w:tr>
        <w:trPr>
          <w:trHeight w:val="911" w:hRule="exact"/>
        </w:trPr>
        <w:tc>
          <w:tcPr>
            <w:tcW w:w="6804" w:type="dxa"/>
          </w:tcPr>
          <w:p>
            <w:pPr>
              <w:pStyle w:val="TableParagraph"/>
              <w:spacing w:before="64"/>
              <w:ind w:left="35"/>
              <w:jc w:val="left"/>
              <w:rPr>
                <w:b/>
                <w:sz w:val="28"/>
              </w:rPr>
            </w:pPr>
            <w:r>
              <w:rPr>
                <w:b/>
                <w:sz w:val="28"/>
              </w:rPr>
              <w:t>Statement of Financial Position</w:t>
            </w:r>
          </w:p>
          <w:p>
            <w:pPr>
              <w:pStyle w:val="TableParagraph"/>
              <w:spacing w:before="57"/>
              <w:ind w:left="35"/>
              <w:jc w:val="left"/>
              <w:rPr>
                <w:b/>
                <w:sz w:val="22"/>
              </w:rPr>
            </w:pPr>
            <w:bookmarkStart w:name="Statement of Financial Position" w:id="180"/>
            <w:bookmarkEnd w:id="180"/>
            <w:r>
              <w:rPr/>
            </w:r>
            <w:r>
              <w:rPr>
                <w:b/>
                <w:sz w:val="22"/>
              </w:rPr>
              <w:t>As At 31 December 2016</w:t>
            </w:r>
          </w:p>
        </w:tc>
        <w:tc>
          <w:tcPr>
            <w:tcW w:w="3148" w:type="dxa"/>
            <w:gridSpan w:val="3"/>
          </w:tcPr>
          <w:p>
            <w:pPr/>
          </w:p>
        </w:tc>
      </w:tr>
      <w:tr>
        <w:trPr>
          <w:trHeight w:val="447" w:hRule="exact"/>
        </w:trPr>
        <w:tc>
          <w:tcPr>
            <w:tcW w:w="6804" w:type="dxa"/>
          </w:tcPr>
          <w:p>
            <w:pPr/>
          </w:p>
        </w:tc>
        <w:tc>
          <w:tcPr>
            <w:tcW w:w="553" w:type="dxa"/>
          </w:tcPr>
          <w:p>
            <w:pPr/>
          </w:p>
        </w:tc>
        <w:tc>
          <w:tcPr>
            <w:tcW w:w="1408" w:type="dxa"/>
          </w:tcPr>
          <w:p>
            <w:pPr>
              <w:pStyle w:val="TableParagraph"/>
              <w:spacing w:before="1"/>
              <w:jc w:val="left"/>
              <w:rPr>
                <w:rFonts w:ascii="Times New Roman"/>
                <w:sz w:val="17"/>
              </w:rPr>
            </w:pPr>
          </w:p>
          <w:p>
            <w:pPr>
              <w:pStyle w:val="TableParagraph"/>
              <w:ind w:right="307"/>
              <w:rPr>
                <w:b/>
                <w:sz w:val="18"/>
              </w:rPr>
            </w:pPr>
            <w:r>
              <w:rPr>
                <w:b/>
                <w:sz w:val="18"/>
              </w:rPr>
              <w:t>2016</w:t>
            </w:r>
          </w:p>
        </w:tc>
        <w:tc>
          <w:tcPr>
            <w:tcW w:w="1186" w:type="dxa"/>
          </w:tcPr>
          <w:p>
            <w:pPr>
              <w:pStyle w:val="TableParagraph"/>
              <w:spacing w:before="1"/>
              <w:jc w:val="left"/>
              <w:rPr>
                <w:rFonts w:ascii="Times New Roman"/>
                <w:sz w:val="17"/>
              </w:rPr>
            </w:pPr>
          </w:p>
          <w:p>
            <w:pPr>
              <w:pStyle w:val="TableParagraph"/>
              <w:ind w:right="170"/>
              <w:rPr>
                <w:b/>
                <w:sz w:val="18"/>
              </w:rPr>
            </w:pPr>
            <w:r>
              <w:rPr>
                <w:b/>
                <w:sz w:val="18"/>
              </w:rPr>
              <w:t>2015</w:t>
            </w:r>
          </w:p>
        </w:tc>
      </w:tr>
      <w:tr>
        <w:trPr>
          <w:trHeight w:val="313" w:hRule="exact"/>
        </w:trPr>
        <w:tc>
          <w:tcPr>
            <w:tcW w:w="6804" w:type="dxa"/>
          </w:tcPr>
          <w:p>
            <w:pPr/>
          </w:p>
        </w:tc>
        <w:tc>
          <w:tcPr>
            <w:tcW w:w="553" w:type="dxa"/>
          </w:tcPr>
          <w:p>
            <w:pPr>
              <w:pStyle w:val="TableParagraph"/>
              <w:spacing w:before="24"/>
              <w:ind w:right="22"/>
              <w:jc w:val="center"/>
              <w:rPr>
                <w:b/>
                <w:sz w:val="18"/>
              </w:rPr>
            </w:pPr>
            <w:r>
              <w:rPr>
                <w:b/>
                <w:sz w:val="18"/>
              </w:rPr>
              <w:t>Notes</w:t>
            </w:r>
          </w:p>
        </w:tc>
        <w:tc>
          <w:tcPr>
            <w:tcW w:w="1408" w:type="dxa"/>
          </w:tcPr>
          <w:p>
            <w:pPr>
              <w:pStyle w:val="TableParagraph"/>
              <w:spacing w:before="24"/>
              <w:ind w:left="926"/>
              <w:jc w:val="left"/>
              <w:rPr>
                <w:b/>
                <w:sz w:val="18"/>
              </w:rPr>
            </w:pPr>
            <w:r>
              <w:rPr>
                <w:b/>
                <w:w w:val="99"/>
                <w:sz w:val="18"/>
              </w:rPr>
              <w:t>$</w:t>
            </w:r>
          </w:p>
        </w:tc>
        <w:tc>
          <w:tcPr>
            <w:tcW w:w="1186" w:type="dxa"/>
          </w:tcPr>
          <w:p>
            <w:pPr>
              <w:pStyle w:val="TableParagraph"/>
              <w:spacing w:before="24"/>
              <w:ind w:right="243"/>
              <w:rPr>
                <w:b/>
                <w:sz w:val="18"/>
              </w:rPr>
            </w:pPr>
            <w:r>
              <w:rPr>
                <w:b/>
                <w:w w:val="99"/>
                <w:sz w:val="18"/>
              </w:rPr>
              <w:t>$</w:t>
            </w:r>
          </w:p>
        </w:tc>
      </w:tr>
      <w:tr>
        <w:trPr>
          <w:trHeight w:val="541" w:hRule="exact"/>
        </w:trPr>
        <w:tc>
          <w:tcPr>
            <w:tcW w:w="6804" w:type="dxa"/>
          </w:tcPr>
          <w:p>
            <w:pPr>
              <w:pStyle w:val="TableParagraph"/>
              <w:spacing w:before="63"/>
              <w:ind w:left="62"/>
              <w:jc w:val="left"/>
              <w:rPr>
                <w:b/>
                <w:sz w:val="18"/>
              </w:rPr>
            </w:pPr>
            <w:r>
              <w:rPr>
                <w:b/>
                <w:sz w:val="18"/>
              </w:rPr>
              <w:t>ASSETS</w:t>
            </w:r>
          </w:p>
          <w:p>
            <w:pPr>
              <w:pStyle w:val="TableParagraph"/>
              <w:spacing w:before="27"/>
              <w:ind w:left="62"/>
              <w:jc w:val="left"/>
              <w:rPr>
                <w:b/>
                <w:sz w:val="18"/>
              </w:rPr>
            </w:pPr>
            <w:r>
              <w:rPr>
                <w:b/>
                <w:sz w:val="18"/>
              </w:rPr>
              <w:t>Current Assets</w:t>
            </w:r>
          </w:p>
        </w:tc>
        <w:tc>
          <w:tcPr>
            <w:tcW w:w="553" w:type="dxa"/>
          </w:tcPr>
          <w:p>
            <w:pPr/>
          </w:p>
        </w:tc>
        <w:tc>
          <w:tcPr>
            <w:tcW w:w="1408" w:type="dxa"/>
          </w:tcPr>
          <w:p>
            <w:pPr/>
          </w:p>
        </w:tc>
        <w:tc>
          <w:tcPr>
            <w:tcW w:w="1186" w:type="dxa"/>
          </w:tcPr>
          <w:p>
            <w:pPr/>
          </w:p>
        </w:tc>
      </w:tr>
      <w:tr>
        <w:trPr>
          <w:trHeight w:val="263" w:hRule="exact"/>
        </w:trPr>
        <w:tc>
          <w:tcPr>
            <w:tcW w:w="6804" w:type="dxa"/>
          </w:tcPr>
          <w:p>
            <w:pPr>
              <w:pStyle w:val="TableParagraph"/>
              <w:spacing w:before="18"/>
              <w:ind w:left="62"/>
              <w:jc w:val="left"/>
              <w:rPr>
                <w:sz w:val="18"/>
              </w:rPr>
            </w:pPr>
            <w:r>
              <w:rPr>
                <w:sz w:val="18"/>
              </w:rPr>
              <w:t>Cash and cash equivalents</w:t>
            </w:r>
          </w:p>
        </w:tc>
        <w:tc>
          <w:tcPr>
            <w:tcW w:w="553" w:type="dxa"/>
          </w:tcPr>
          <w:p>
            <w:pPr>
              <w:pStyle w:val="TableParagraph"/>
              <w:spacing w:before="19"/>
              <w:ind w:right="21"/>
              <w:jc w:val="center"/>
              <w:rPr>
                <w:sz w:val="18"/>
              </w:rPr>
            </w:pPr>
            <w:r>
              <w:rPr>
                <w:w w:val="99"/>
                <w:sz w:val="18"/>
              </w:rPr>
              <w:t>2</w:t>
            </w:r>
          </w:p>
        </w:tc>
        <w:tc>
          <w:tcPr>
            <w:tcW w:w="1408" w:type="dxa"/>
          </w:tcPr>
          <w:p>
            <w:pPr>
              <w:pStyle w:val="TableParagraph"/>
              <w:spacing w:before="19"/>
              <w:ind w:right="197"/>
              <w:rPr>
                <w:b/>
                <w:sz w:val="18"/>
              </w:rPr>
            </w:pPr>
            <w:r>
              <w:rPr>
                <w:b/>
                <w:w w:val="95"/>
                <w:sz w:val="18"/>
              </w:rPr>
              <w:t>1,109,058</w:t>
            </w:r>
          </w:p>
        </w:tc>
        <w:tc>
          <w:tcPr>
            <w:tcW w:w="1186" w:type="dxa"/>
          </w:tcPr>
          <w:p>
            <w:pPr>
              <w:pStyle w:val="TableParagraph"/>
              <w:spacing w:before="19"/>
              <w:ind w:right="86"/>
              <w:rPr>
                <w:sz w:val="18"/>
              </w:rPr>
            </w:pPr>
            <w:r>
              <w:rPr>
                <w:w w:val="95"/>
                <w:sz w:val="18"/>
              </w:rPr>
              <w:t>696,371</w:t>
            </w:r>
          </w:p>
        </w:tc>
      </w:tr>
      <w:tr>
        <w:trPr>
          <w:trHeight w:val="264" w:hRule="exact"/>
        </w:trPr>
        <w:tc>
          <w:tcPr>
            <w:tcW w:w="6804" w:type="dxa"/>
          </w:tcPr>
          <w:p>
            <w:pPr>
              <w:pStyle w:val="TableParagraph"/>
              <w:spacing w:before="18"/>
              <w:ind w:left="62"/>
              <w:jc w:val="left"/>
              <w:rPr>
                <w:sz w:val="18"/>
              </w:rPr>
            </w:pPr>
            <w:r>
              <w:rPr>
                <w:sz w:val="18"/>
              </w:rPr>
              <w:t>Loans to parent entity</w:t>
            </w:r>
          </w:p>
        </w:tc>
        <w:tc>
          <w:tcPr>
            <w:tcW w:w="553" w:type="dxa"/>
          </w:tcPr>
          <w:p>
            <w:pPr/>
          </w:p>
        </w:tc>
        <w:tc>
          <w:tcPr>
            <w:tcW w:w="1408" w:type="dxa"/>
          </w:tcPr>
          <w:p>
            <w:pPr>
              <w:pStyle w:val="TableParagraph"/>
              <w:spacing w:before="19"/>
              <w:ind w:right="197"/>
              <w:rPr>
                <w:b/>
                <w:sz w:val="18"/>
              </w:rPr>
            </w:pPr>
            <w:r>
              <w:rPr>
                <w:b/>
                <w:w w:val="95"/>
                <w:sz w:val="18"/>
              </w:rPr>
              <w:t>5,651,726</w:t>
            </w:r>
          </w:p>
        </w:tc>
        <w:tc>
          <w:tcPr>
            <w:tcW w:w="1186" w:type="dxa"/>
          </w:tcPr>
          <w:p>
            <w:pPr>
              <w:pStyle w:val="TableParagraph"/>
              <w:spacing w:before="19"/>
              <w:ind w:right="86"/>
              <w:rPr>
                <w:sz w:val="18"/>
              </w:rPr>
            </w:pPr>
            <w:r>
              <w:rPr>
                <w:w w:val="95"/>
                <w:sz w:val="18"/>
              </w:rPr>
              <w:t>6,560,759</w:t>
            </w:r>
          </w:p>
        </w:tc>
      </w:tr>
      <w:tr>
        <w:trPr>
          <w:trHeight w:val="264" w:hRule="exact"/>
        </w:trPr>
        <w:tc>
          <w:tcPr>
            <w:tcW w:w="6804" w:type="dxa"/>
          </w:tcPr>
          <w:p>
            <w:pPr>
              <w:pStyle w:val="TableParagraph"/>
              <w:spacing w:before="18"/>
              <w:ind w:left="62"/>
              <w:jc w:val="left"/>
              <w:rPr>
                <w:sz w:val="18"/>
              </w:rPr>
            </w:pPr>
            <w:r>
              <w:rPr>
                <w:sz w:val="18"/>
              </w:rPr>
              <w:t>Trade and other receivables</w:t>
            </w:r>
          </w:p>
        </w:tc>
        <w:tc>
          <w:tcPr>
            <w:tcW w:w="553" w:type="dxa"/>
          </w:tcPr>
          <w:p>
            <w:pPr>
              <w:pStyle w:val="TableParagraph"/>
              <w:spacing w:before="19"/>
              <w:ind w:right="21"/>
              <w:jc w:val="center"/>
              <w:rPr>
                <w:sz w:val="18"/>
              </w:rPr>
            </w:pPr>
            <w:r>
              <w:rPr>
                <w:w w:val="99"/>
                <w:sz w:val="18"/>
              </w:rPr>
              <w:t>3</w:t>
            </w:r>
          </w:p>
        </w:tc>
        <w:tc>
          <w:tcPr>
            <w:tcW w:w="1408" w:type="dxa"/>
          </w:tcPr>
          <w:p>
            <w:pPr>
              <w:pStyle w:val="TableParagraph"/>
              <w:spacing w:before="19"/>
              <w:ind w:right="197"/>
              <w:rPr>
                <w:b/>
                <w:sz w:val="18"/>
              </w:rPr>
            </w:pPr>
            <w:r>
              <w:rPr>
                <w:b/>
                <w:w w:val="95"/>
                <w:sz w:val="18"/>
              </w:rPr>
              <w:t>401,737</w:t>
            </w:r>
          </w:p>
        </w:tc>
        <w:tc>
          <w:tcPr>
            <w:tcW w:w="1186" w:type="dxa"/>
          </w:tcPr>
          <w:p>
            <w:pPr>
              <w:pStyle w:val="TableParagraph"/>
              <w:spacing w:before="19"/>
              <w:ind w:right="86"/>
              <w:rPr>
                <w:sz w:val="18"/>
              </w:rPr>
            </w:pPr>
            <w:r>
              <w:rPr>
                <w:w w:val="95"/>
                <w:sz w:val="18"/>
              </w:rPr>
              <w:t>369,087</w:t>
            </w:r>
          </w:p>
        </w:tc>
      </w:tr>
      <w:tr>
        <w:trPr>
          <w:trHeight w:val="264" w:hRule="exact"/>
        </w:trPr>
        <w:tc>
          <w:tcPr>
            <w:tcW w:w="6804" w:type="dxa"/>
          </w:tcPr>
          <w:p>
            <w:pPr>
              <w:pStyle w:val="TableParagraph"/>
              <w:spacing w:before="18"/>
              <w:ind w:left="62"/>
              <w:jc w:val="left"/>
              <w:rPr>
                <w:sz w:val="18"/>
              </w:rPr>
            </w:pPr>
            <w:r>
              <w:rPr>
                <w:sz w:val="18"/>
              </w:rPr>
              <w:t>Receivables from related parties</w:t>
            </w:r>
          </w:p>
        </w:tc>
        <w:tc>
          <w:tcPr>
            <w:tcW w:w="553" w:type="dxa"/>
          </w:tcPr>
          <w:p>
            <w:pPr>
              <w:pStyle w:val="TableParagraph"/>
              <w:spacing w:before="19"/>
              <w:ind w:right="22"/>
              <w:jc w:val="center"/>
              <w:rPr>
                <w:sz w:val="18"/>
              </w:rPr>
            </w:pPr>
            <w:r>
              <w:rPr>
                <w:sz w:val="18"/>
              </w:rPr>
              <w:t>20(d)</w:t>
            </w:r>
          </w:p>
        </w:tc>
        <w:tc>
          <w:tcPr>
            <w:tcW w:w="1408" w:type="dxa"/>
          </w:tcPr>
          <w:p>
            <w:pPr>
              <w:pStyle w:val="TableParagraph"/>
              <w:spacing w:before="19"/>
              <w:ind w:right="197"/>
              <w:rPr>
                <w:b/>
                <w:sz w:val="18"/>
              </w:rPr>
            </w:pPr>
            <w:r>
              <w:rPr>
                <w:b/>
                <w:w w:val="95"/>
                <w:sz w:val="18"/>
              </w:rPr>
              <w:t>585,588</w:t>
            </w:r>
          </w:p>
        </w:tc>
        <w:tc>
          <w:tcPr>
            <w:tcW w:w="1186" w:type="dxa"/>
          </w:tcPr>
          <w:p>
            <w:pPr>
              <w:pStyle w:val="TableParagraph"/>
              <w:spacing w:before="19"/>
              <w:ind w:right="86"/>
              <w:rPr>
                <w:sz w:val="18"/>
              </w:rPr>
            </w:pPr>
            <w:r>
              <w:rPr>
                <w:w w:val="95"/>
                <w:sz w:val="18"/>
              </w:rPr>
              <w:t>86,250</w:t>
            </w:r>
          </w:p>
        </w:tc>
      </w:tr>
      <w:tr>
        <w:trPr>
          <w:trHeight w:val="263" w:hRule="exact"/>
        </w:trPr>
        <w:tc>
          <w:tcPr>
            <w:tcW w:w="6804" w:type="dxa"/>
          </w:tcPr>
          <w:p>
            <w:pPr>
              <w:pStyle w:val="TableParagraph"/>
              <w:spacing w:before="18"/>
              <w:ind w:left="62"/>
              <w:jc w:val="left"/>
              <w:rPr>
                <w:sz w:val="18"/>
              </w:rPr>
            </w:pPr>
            <w:r>
              <w:rPr>
                <w:sz w:val="18"/>
              </w:rPr>
              <w:t>Prepayments</w:t>
            </w:r>
          </w:p>
        </w:tc>
        <w:tc>
          <w:tcPr>
            <w:tcW w:w="553" w:type="dxa"/>
          </w:tcPr>
          <w:p>
            <w:pPr>
              <w:pStyle w:val="TableParagraph"/>
              <w:spacing w:before="19"/>
              <w:ind w:right="21"/>
              <w:jc w:val="center"/>
              <w:rPr>
                <w:sz w:val="18"/>
              </w:rPr>
            </w:pPr>
            <w:r>
              <w:rPr>
                <w:w w:val="99"/>
                <w:sz w:val="18"/>
              </w:rPr>
              <w:t>4</w:t>
            </w:r>
          </w:p>
        </w:tc>
        <w:tc>
          <w:tcPr>
            <w:tcW w:w="1408" w:type="dxa"/>
            <w:tcBorders>
              <w:bottom w:val="single" w:sz="0" w:space="0" w:color="000000"/>
            </w:tcBorders>
          </w:tcPr>
          <w:p>
            <w:pPr>
              <w:pStyle w:val="TableParagraph"/>
              <w:spacing w:before="19"/>
              <w:ind w:right="197"/>
              <w:rPr>
                <w:b/>
                <w:sz w:val="18"/>
              </w:rPr>
            </w:pPr>
            <w:r>
              <w:rPr>
                <w:b/>
                <w:w w:val="95"/>
                <w:sz w:val="18"/>
              </w:rPr>
              <w:t>879,154</w:t>
            </w:r>
          </w:p>
        </w:tc>
        <w:tc>
          <w:tcPr>
            <w:tcW w:w="1186" w:type="dxa"/>
            <w:tcBorders>
              <w:bottom w:val="single" w:sz="0" w:space="0" w:color="000000"/>
            </w:tcBorders>
          </w:tcPr>
          <w:p>
            <w:pPr>
              <w:pStyle w:val="TableParagraph"/>
              <w:spacing w:before="19"/>
              <w:ind w:right="86"/>
              <w:rPr>
                <w:sz w:val="18"/>
              </w:rPr>
            </w:pPr>
            <w:r>
              <w:rPr>
                <w:w w:val="95"/>
                <w:sz w:val="18"/>
              </w:rPr>
              <w:t>3,451,055</w:t>
            </w:r>
          </w:p>
        </w:tc>
      </w:tr>
      <w:tr>
        <w:trPr>
          <w:trHeight w:val="338" w:hRule="exact"/>
        </w:trPr>
        <w:tc>
          <w:tcPr>
            <w:tcW w:w="7357" w:type="dxa"/>
            <w:gridSpan w:val="2"/>
          </w:tcPr>
          <w:p>
            <w:pPr>
              <w:pStyle w:val="TableParagraph"/>
              <w:spacing w:before="28"/>
              <w:ind w:left="62"/>
              <w:jc w:val="left"/>
              <w:rPr>
                <w:b/>
                <w:sz w:val="18"/>
              </w:rPr>
            </w:pPr>
            <w:r>
              <w:rPr>
                <w:b/>
                <w:sz w:val="18"/>
              </w:rPr>
              <w:t>Total Current Assets</w:t>
            </w:r>
          </w:p>
        </w:tc>
        <w:tc>
          <w:tcPr>
            <w:tcW w:w="1408" w:type="dxa"/>
            <w:tcBorders>
              <w:bottom w:val="single" w:sz="0" w:space="0" w:color="000000"/>
            </w:tcBorders>
          </w:tcPr>
          <w:p>
            <w:pPr>
              <w:pStyle w:val="TableParagraph"/>
              <w:spacing w:before="113"/>
              <w:ind w:right="197"/>
              <w:rPr>
                <w:b/>
                <w:sz w:val="18"/>
              </w:rPr>
            </w:pPr>
            <w:r>
              <w:rPr>
                <w:b/>
                <w:w w:val="95"/>
                <w:sz w:val="18"/>
              </w:rPr>
              <w:t>8,627,263</w:t>
            </w:r>
          </w:p>
        </w:tc>
        <w:tc>
          <w:tcPr>
            <w:tcW w:w="1186" w:type="dxa"/>
            <w:tcBorders>
              <w:bottom w:val="single" w:sz="0" w:space="0" w:color="000000"/>
            </w:tcBorders>
          </w:tcPr>
          <w:p>
            <w:pPr>
              <w:pStyle w:val="TableParagraph"/>
              <w:spacing w:before="113"/>
              <w:ind w:right="86"/>
              <w:rPr>
                <w:sz w:val="18"/>
              </w:rPr>
            </w:pPr>
            <w:r>
              <w:rPr>
                <w:w w:val="95"/>
                <w:sz w:val="18"/>
              </w:rPr>
              <w:t>11,163,522</w:t>
            </w:r>
          </w:p>
        </w:tc>
      </w:tr>
      <w:tr>
        <w:trPr>
          <w:trHeight w:val="282" w:hRule="exact"/>
        </w:trPr>
        <w:tc>
          <w:tcPr>
            <w:tcW w:w="6804" w:type="dxa"/>
          </w:tcPr>
          <w:p>
            <w:pPr>
              <w:pStyle w:val="TableParagraph"/>
              <w:spacing w:before="28"/>
              <w:ind w:left="62"/>
              <w:jc w:val="left"/>
              <w:rPr>
                <w:b/>
                <w:sz w:val="18"/>
              </w:rPr>
            </w:pPr>
            <w:r>
              <w:rPr>
                <w:b/>
                <w:sz w:val="18"/>
              </w:rPr>
              <w:t>Non-Current Assets</w:t>
            </w:r>
          </w:p>
        </w:tc>
        <w:tc>
          <w:tcPr>
            <w:tcW w:w="553" w:type="dxa"/>
          </w:tcPr>
          <w:p>
            <w:pPr/>
          </w:p>
        </w:tc>
        <w:tc>
          <w:tcPr>
            <w:tcW w:w="1408" w:type="dxa"/>
          </w:tcPr>
          <w:p>
            <w:pPr/>
          </w:p>
        </w:tc>
        <w:tc>
          <w:tcPr>
            <w:tcW w:w="1186" w:type="dxa"/>
          </w:tcPr>
          <w:p>
            <w:pPr/>
          </w:p>
        </w:tc>
      </w:tr>
      <w:tr>
        <w:trPr>
          <w:trHeight w:val="263" w:hRule="exact"/>
        </w:trPr>
        <w:tc>
          <w:tcPr>
            <w:tcW w:w="6804" w:type="dxa"/>
          </w:tcPr>
          <w:p>
            <w:pPr>
              <w:pStyle w:val="TableParagraph"/>
              <w:spacing w:before="18"/>
              <w:ind w:left="62"/>
              <w:jc w:val="left"/>
              <w:rPr>
                <w:sz w:val="18"/>
              </w:rPr>
            </w:pPr>
            <w:r>
              <w:rPr>
                <w:sz w:val="18"/>
              </w:rPr>
              <w:t>Loans to joint venture</w:t>
            </w:r>
          </w:p>
        </w:tc>
        <w:tc>
          <w:tcPr>
            <w:tcW w:w="553" w:type="dxa"/>
          </w:tcPr>
          <w:p>
            <w:pPr/>
          </w:p>
        </w:tc>
        <w:tc>
          <w:tcPr>
            <w:tcW w:w="1408" w:type="dxa"/>
          </w:tcPr>
          <w:p>
            <w:pPr>
              <w:pStyle w:val="TableParagraph"/>
              <w:spacing w:before="19"/>
              <w:ind w:right="197"/>
              <w:rPr>
                <w:b/>
                <w:sz w:val="18"/>
              </w:rPr>
            </w:pPr>
            <w:r>
              <w:rPr>
                <w:b/>
                <w:w w:val="95"/>
                <w:sz w:val="18"/>
              </w:rPr>
              <w:t>247,890</w:t>
            </w:r>
          </w:p>
        </w:tc>
        <w:tc>
          <w:tcPr>
            <w:tcW w:w="1186" w:type="dxa"/>
          </w:tcPr>
          <w:p>
            <w:pPr>
              <w:pStyle w:val="TableParagraph"/>
              <w:spacing w:before="19"/>
              <w:ind w:right="110"/>
              <w:jc w:val="center"/>
              <w:rPr>
                <w:sz w:val="18"/>
              </w:rPr>
            </w:pPr>
            <w:r>
              <w:rPr>
                <w:w w:val="99"/>
                <w:sz w:val="18"/>
              </w:rPr>
              <w:t>-</w:t>
            </w:r>
          </w:p>
        </w:tc>
      </w:tr>
      <w:tr>
        <w:trPr>
          <w:trHeight w:val="264" w:hRule="exact"/>
        </w:trPr>
        <w:tc>
          <w:tcPr>
            <w:tcW w:w="6804" w:type="dxa"/>
          </w:tcPr>
          <w:p>
            <w:pPr>
              <w:pStyle w:val="TableParagraph"/>
              <w:spacing w:before="18"/>
              <w:ind w:left="62"/>
              <w:jc w:val="left"/>
              <w:rPr>
                <w:sz w:val="18"/>
              </w:rPr>
            </w:pPr>
            <w:r>
              <w:rPr>
                <w:sz w:val="18"/>
              </w:rPr>
              <w:t>Property, plant and equipment</w:t>
            </w:r>
          </w:p>
        </w:tc>
        <w:tc>
          <w:tcPr>
            <w:tcW w:w="553" w:type="dxa"/>
          </w:tcPr>
          <w:p>
            <w:pPr>
              <w:pStyle w:val="TableParagraph"/>
              <w:spacing w:before="19"/>
              <w:ind w:right="21"/>
              <w:jc w:val="center"/>
              <w:rPr>
                <w:sz w:val="18"/>
              </w:rPr>
            </w:pPr>
            <w:r>
              <w:rPr>
                <w:w w:val="99"/>
                <w:sz w:val="18"/>
              </w:rPr>
              <w:t>5</w:t>
            </w:r>
          </w:p>
        </w:tc>
        <w:tc>
          <w:tcPr>
            <w:tcW w:w="1408" w:type="dxa"/>
          </w:tcPr>
          <w:p>
            <w:pPr>
              <w:pStyle w:val="TableParagraph"/>
              <w:spacing w:before="19"/>
              <w:ind w:right="197"/>
              <w:rPr>
                <w:b/>
                <w:sz w:val="18"/>
              </w:rPr>
            </w:pPr>
            <w:r>
              <w:rPr>
                <w:b/>
                <w:w w:val="95"/>
                <w:sz w:val="18"/>
              </w:rPr>
              <w:t>5,262,295</w:t>
            </w:r>
          </w:p>
        </w:tc>
        <w:tc>
          <w:tcPr>
            <w:tcW w:w="1186" w:type="dxa"/>
          </w:tcPr>
          <w:p>
            <w:pPr>
              <w:pStyle w:val="TableParagraph"/>
              <w:spacing w:before="19"/>
              <w:ind w:right="86"/>
              <w:rPr>
                <w:sz w:val="18"/>
              </w:rPr>
            </w:pPr>
            <w:r>
              <w:rPr>
                <w:w w:val="95"/>
                <w:sz w:val="18"/>
              </w:rPr>
              <w:t>2,359,451</w:t>
            </w:r>
          </w:p>
        </w:tc>
      </w:tr>
      <w:tr>
        <w:trPr>
          <w:trHeight w:val="263" w:hRule="exact"/>
        </w:trPr>
        <w:tc>
          <w:tcPr>
            <w:tcW w:w="6804" w:type="dxa"/>
          </w:tcPr>
          <w:p>
            <w:pPr>
              <w:pStyle w:val="TableParagraph"/>
              <w:spacing w:before="18"/>
              <w:ind w:left="62"/>
              <w:jc w:val="left"/>
              <w:rPr>
                <w:sz w:val="18"/>
              </w:rPr>
            </w:pPr>
            <w:r>
              <w:rPr>
                <w:sz w:val="18"/>
              </w:rPr>
              <w:t>Intangible assets</w:t>
            </w:r>
          </w:p>
        </w:tc>
        <w:tc>
          <w:tcPr>
            <w:tcW w:w="553" w:type="dxa"/>
          </w:tcPr>
          <w:p>
            <w:pPr>
              <w:pStyle w:val="TableParagraph"/>
              <w:spacing w:before="19"/>
              <w:ind w:right="21"/>
              <w:jc w:val="center"/>
              <w:rPr>
                <w:sz w:val="18"/>
              </w:rPr>
            </w:pPr>
            <w:r>
              <w:rPr>
                <w:w w:val="99"/>
                <w:sz w:val="18"/>
              </w:rPr>
              <w:t>6</w:t>
            </w:r>
          </w:p>
        </w:tc>
        <w:tc>
          <w:tcPr>
            <w:tcW w:w="1408" w:type="dxa"/>
            <w:tcBorders>
              <w:bottom w:val="single" w:sz="0" w:space="0" w:color="000000"/>
            </w:tcBorders>
          </w:tcPr>
          <w:p>
            <w:pPr>
              <w:pStyle w:val="TableParagraph"/>
              <w:spacing w:before="19"/>
              <w:ind w:right="197"/>
              <w:rPr>
                <w:b/>
                <w:sz w:val="18"/>
              </w:rPr>
            </w:pPr>
            <w:r>
              <w:rPr>
                <w:b/>
                <w:w w:val="95"/>
                <w:sz w:val="18"/>
              </w:rPr>
              <w:t>153,658</w:t>
            </w:r>
          </w:p>
        </w:tc>
        <w:tc>
          <w:tcPr>
            <w:tcW w:w="1186" w:type="dxa"/>
            <w:tcBorders>
              <w:bottom w:val="single" w:sz="0" w:space="0" w:color="000000"/>
            </w:tcBorders>
          </w:tcPr>
          <w:p>
            <w:pPr>
              <w:pStyle w:val="TableParagraph"/>
              <w:spacing w:before="19"/>
              <w:ind w:right="86"/>
              <w:rPr>
                <w:sz w:val="18"/>
              </w:rPr>
            </w:pPr>
            <w:r>
              <w:rPr>
                <w:w w:val="95"/>
                <w:sz w:val="18"/>
              </w:rPr>
              <w:t>263,414</w:t>
            </w:r>
          </w:p>
        </w:tc>
      </w:tr>
    </w:tbl>
    <w:p>
      <w:pPr>
        <w:tabs>
          <w:tab w:pos="9160" w:val="left" w:leader="none"/>
          <w:tab w:pos="10457" w:val="left" w:leader="none"/>
        </w:tabs>
        <w:spacing w:before="38" w:after="13"/>
        <w:ind w:left="1455" w:right="0" w:firstLine="0"/>
        <w:jc w:val="left"/>
        <w:rPr>
          <w:sz w:val="18"/>
        </w:rPr>
      </w:pPr>
      <w:r>
        <w:rPr/>
        <w:pict>
          <v:group style="position:absolute;margin-left:437.470001pt;margin-top:16.411888pt;width:129.85pt;height:1pt;mso-position-horizontal-relative:page;mso-position-vertical-relative:paragraph;z-index:-1201000" coordorigin="8749,328" coordsize="2597,20">
            <v:line style="position:absolute" from="8750,329" to="10048,329" stroked="true" strokeweight=".06pt" strokecolor="#000000"/>
            <v:line style="position:absolute" from="8750,330" to="10048,330" stroked="true" strokeweight=".06pt" strokecolor="#000000"/>
            <v:line style="position:absolute" from="8750,332" to="10048,332" stroked="true" strokeweight=".06pt" strokecolor="#000000"/>
            <v:line style="position:absolute" from="8750,333" to="10048,333" stroked="true" strokeweight=".06pt" strokecolor="#000000"/>
            <v:line style="position:absolute" from="8750,334" to="10048,334" stroked="true" strokeweight=".06pt" strokecolor="#000000"/>
            <v:line style="position:absolute" from="8750,335" to="10048,335" stroked="true" strokeweight=".06pt" strokecolor="#000000"/>
            <v:line style="position:absolute" from="8750,336" to="10048,336" stroked="true" strokeweight=".06pt" strokecolor="#000000"/>
            <v:line style="position:absolute" from="8750,338" to="10048,338" stroked="true" strokeweight=".06pt" strokecolor="#000000"/>
            <v:line style="position:absolute" from="8750,339" to="10048,339" stroked="true" strokeweight=".06pt" strokecolor="#000000"/>
            <v:line style="position:absolute" from="8750,340" to="10048,340" stroked="true" strokeweight=".06pt" strokecolor="#000000"/>
            <v:line style="position:absolute" from="8750,341" to="10048,341" stroked="true" strokeweight=".06pt" strokecolor="#000000"/>
            <v:line style="position:absolute" from="8750,342" to="10048,342" stroked="true" strokeweight=".06pt" strokecolor="#000000"/>
            <v:line style="position:absolute" from="8750,344" to="10048,344" stroked="true" strokeweight=".06pt" strokecolor="#000000"/>
            <v:line style="position:absolute" from="8750,345" to="10048,345" stroked="true" strokeweight=".06pt" strokecolor="#000000"/>
            <v:line style="position:absolute" from="8750,346" to="10048,346" stroked="true" strokeweight=".06pt" strokecolor="#000000"/>
            <v:line style="position:absolute" from="8750,347" to="10048,347" stroked="true" strokeweight=".06pt" strokecolor="#000000"/>
            <v:line style="position:absolute" from="10048,329" to="11345,329" stroked="true" strokeweight=".06pt" strokecolor="#000000"/>
            <v:line style="position:absolute" from="10048,330" to="11345,330" stroked="true" strokeweight=".06pt" strokecolor="#000000"/>
            <v:line style="position:absolute" from="10048,332" to="11345,332" stroked="true" strokeweight=".06pt" strokecolor="#000000"/>
            <v:line style="position:absolute" from="10048,333" to="11345,333" stroked="true" strokeweight=".06pt" strokecolor="#000000"/>
            <v:line style="position:absolute" from="10048,334" to="11345,334" stroked="true" strokeweight=".06pt" strokecolor="#000000"/>
            <v:line style="position:absolute" from="10048,335" to="11345,335" stroked="true" strokeweight=".06pt" strokecolor="#000000"/>
            <v:line style="position:absolute" from="10048,336" to="11345,336" stroked="true" strokeweight=".06pt" strokecolor="#000000"/>
            <v:line style="position:absolute" from="10048,338" to="11345,338" stroked="true" strokeweight=".06pt" strokecolor="#000000"/>
            <v:line style="position:absolute" from="10048,339" to="11345,339" stroked="true" strokeweight=".06pt" strokecolor="#000000"/>
            <v:line style="position:absolute" from="10048,340" to="11345,340" stroked="true" strokeweight=".06pt" strokecolor="#000000"/>
            <v:line style="position:absolute" from="10048,341" to="11345,341" stroked="true" strokeweight=".06pt" strokecolor="#000000"/>
            <v:line style="position:absolute" from="10048,342" to="11345,342" stroked="true" strokeweight=".06pt" strokecolor="#000000"/>
            <v:line style="position:absolute" from="10048,344" to="11345,344" stroked="true" strokeweight=".06pt" strokecolor="#000000"/>
            <v:line style="position:absolute" from="10048,345" to="11345,345" stroked="true" strokeweight=".06pt" strokecolor="#000000"/>
            <v:line style="position:absolute" from="10048,346" to="11345,346" stroked="true" strokeweight=".06pt" strokecolor="#000000"/>
            <v:line style="position:absolute" from="10048,347" to="11345,347" stroked="true" strokeweight=".06pt" strokecolor="#000000"/>
            <v:line style="position:absolute" from="8750,329" to="10048,329" stroked="true" strokeweight=".06pt" strokecolor="#000000"/>
            <v:line style="position:absolute" from="8750,330" to="10048,330" stroked="true" strokeweight=".06pt" strokecolor="#000000"/>
            <v:line style="position:absolute" from="8750,332" to="10048,332" stroked="true" strokeweight=".06pt" strokecolor="#000000"/>
            <v:line style="position:absolute" from="8750,333" to="10048,333" stroked="true" strokeweight=".06pt" strokecolor="#000000"/>
            <v:line style="position:absolute" from="8750,334" to="10048,334" stroked="true" strokeweight=".06pt" strokecolor="#000000"/>
            <v:line style="position:absolute" from="8750,335" to="10048,335" stroked="true" strokeweight=".06pt" strokecolor="#000000"/>
            <v:line style="position:absolute" from="8750,336" to="10048,336" stroked="true" strokeweight=".06pt" strokecolor="#000000"/>
            <v:line style="position:absolute" from="8750,338" to="10048,338" stroked="true" strokeweight=".06pt" strokecolor="#000000"/>
            <v:line style="position:absolute" from="8750,339" to="10048,339" stroked="true" strokeweight=".06pt" strokecolor="#000000"/>
            <v:line style="position:absolute" from="8750,340" to="10048,340" stroked="true" strokeweight=".06pt" strokecolor="#000000"/>
            <v:line style="position:absolute" from="8750,341" to="10048,341" stroked="true" strokeweight=".06pt" strokecolor="#000000"/>
            <v:line style="position:absolute" from="8750,342" to="10048,342" stroked="true" strokeweight=".06pt" strokecolor="#000000"/>
            <v:line style="position:absolute" from="8750,344" to="10048,344" stroked="true" strokeweight=".06pt" strokecolor="#000000"/>
            <v:line style="position:absolute" from="8750,345" to="10048,345" stroked="true" strokeweight=".06pt" strokecolor="#000000"/>
            <v:line style="position:absolute" from="8750,346" to="10048,346" stroked="true" strokeweight=".06pt" strokecolor="#000000"/>
            <v:line style="position:absolute" from="8750,347" to="10048,347" stroked="true" strokeweight=".06pt" strokecolor="#000000"/>
            <v:line style="position:absolute" from="10048,329" to="11345,329" stroked="true" strokeweight=".06pt" strokecolor="#000000"/>
            <v:line style="position:absolute" from="10048,330" to="11345,330" stroked="true" strokeweight=".06pt" strokecolor="#000000"/>
            <v:line style="position:absolute" from="10048,332" to="11345,332" stroked="true" strokeweight=".06pt" strokecolor="#000000"/>
            <v:line style="position:absolute" from="10048,333" to="11345,333" stroked="true" strokeweight=".06pt" strokecolor="#000000"/>
            <v:line style="position:absolute" from="10048,334" to="11345,334" stroked="true" strokeweight=".06pt" strokecolor="#000000"/>
            <v:line style="position:absolute" from="10048,335" to="11345,335" stroked="true" strokeweight=".06pt" strokecolor="#000000"/>
            <v:line style="position:absolute" from="10048,336" to="11345,336" stroked="true" strokeweight=".06pt" strokecolor="#000000"/>
            <v:line style="position:absolute" from="10048,338" to="11345,338" stroked="true" strokeweight=".06pt" strokecolor="#000000"/>
            <v:line style="position:absolute" from="10048,339" to="11345,339" stroked="true" strokeweight=".06pt" strokecolor="#000000"/>
            <v:line style="position:absolute" from="10048,340" to="11345,340" stroked="true" strokeweight=".06pt" strokecolor="#000000"/>
            <v:line style="position:absolute" from="10048,341" to="11345,341" stroked="true" strokeweight=".06pt" strokecolor="#000000"/>
            <v:line style="position:absolute" from="10048,342" to="11345,342" stroked="true" strokeweight=".06pt" strokecolor="#000000"/>
            <v:line style="position:absolute" from="10048,344" to="11345,344" stroked="true" strokeweight=".06pt" strokecolor="#000000"/>
            <v:line style="position:absolute" from="10048,345" to="11345,345" stroked="true" strokeweight=".06pt" strokecolor="#000000"/>
            <v:line style="position:absolute" from="10048,346" to="11345,346" stroked="true" strokeweight=".06pt" strokecolor="#000000"/>
            <v:line style="position:absolute" from="10048,347" to="11345,347" stroked="true" strokeweight=".06pt" strokecolor="#000000"/>
            <w10:wrap type="none"/>
          </v:group>
        </w:pict>
      </w:r>
      <w:r>
        <w:rPr/>
        <w:drawing>
          <wp:anchor distT="0" distB="0" distL="0" distR="0" allowOverlap="1" layoutInCell="1" locked="0" behindDoc="0" simplePos="0" relativeHeight="7360">
            <wp:simplePos x="0" y="0"/>
            <wp:positionH relativeFrom="page">
              <wp:posOffset>-1587</wp:posOffset>
            </wp:positionH>
            <wp:positionV relativeFrom="paragraph">
              <wp:posOffset>1015414</wp:posOffset>
            </wp:positionV>
            <wp:extent cx="135159" cy="154019"/>
            <wp:effectExtent l="0" t="0" r="0" b="0"/>
            <wp:wrapNone/>
            <wp:docPr id="499" name="image13.png" descr=""/>
            <wp:cNvGraphicFramePr>
              <a:graphicFrameLocks noChangeAspect="1"/>
            </wp:cNvGraphicFramePr>
            <a:graphic>
              <a:graphicData uri="http://schemas.openxmlformats.org/drawingml/2006/picture">
                <pic:pic>
                  <pic:nvPicPr>
                    <pic:cNvPr id="500" name="image13.png"/>
                    <pic:cNvPicPr/>
                  </pic:nvPicPr>
                  <pic:blipFill>
                    <a:blip r:embed="rId18" cstate="print"/>
                    <a:stretch>
                      <a:fillRect/>
                    </a:stretch>
                  </pic:blipFill>
                  <pic:spPr>
                    <a:xfrm>
                      <a:off x="0" y="0"/>
                      <a:ext cx="135159" cy="154019"/>
                    </a:xfrm>
                    <a:prstGeom prst="rect">
                      <a:avLst/>
                    </a:prstGeom>
                  </pic:spPr>
                </pic:pic>
              </a:graphicData>
            </a:graphic>
          </wp:anchor>
        </w:drawing>
      </w:r>
      <w:r>
        <w:rPr/>
        <w:drawing>
          <wp:anchor distT="0" distB="0" distL="0" distR="0" allowOverlap="1" layoutInCell="1" locked="0" behindDoc="0" simplePos="0" relativeHeight="7384">
            <wp:simplePos x="0" y="0"/>
            <wp:positionH relativeFrom="page">
              <wp:posOffset>7958429</wp:posOffset>
            </wp:positionH>
            <wp:positionV relativeFrom="paragraph">
              <wp:posOffset>1015414</wp:posOffset>
            </wp:positionV>
            <wp:extent cx="135953" cy="155575"/>
            <wp:effectExtent l="0" t="0" r="0" b="0"/>
            <wp:wrapNone/>
            <wp:docPr id="501" name="image15.png" descr=""/>
            <wp:cNvGraphicFramePr>
              <a:graphicFrameLocks noChangeAspect="1"/>
            </wp:cNvGraphicFramePr>
            <a:graphic>
              <a:graphicData uri="http://schemas.openxmlformats.org/drawingml/2006/picture">
                <pic:pic>
                  <pic:nvPicPr>
                    <pic:cNvPr id="502" name="image15.png"/>
                    <pic:cNvPicPr/>
                  </pic:nvPicPr>
                  <pic:blipFill>
                    <a:blip r:embed="rId20" cstate="print"/>
                    <a:stretch>
                      <a:fillRect/>
                    </a:stretch>
                  </pic:blipFill>
                  <pic:spPr>
                    <a:xfrm>
                      <a:off x="0" y="0"/>
                      <a:ext cx="135953" cy="155575"/>
                    </a:xfrm>
                    <a:prstGeom prst="rect">
                      <a:avLst/>
                    </a:prstGeom>
                  </pic:spPr>
                </pic:pic>
              </a:graphicData>
            </a:graphic>
          </wp:anchor>
        </w:drawing>
      </w:r>
      <w:r>
        <w:rPr>
          <w:b/>
          <w:sz w:val="18"/>
        </w:rPr>
        <w:t>Total</w:t>
      </w:r>
      <w:r>
        <w:rPr>
          <w:b/>
          <w:spacing w:val="-2"/>
          <w:sz w:val="18"/>
        </w:rPr>
        <w:t> </w:t>
      </w:r>
      <w:r>
        <w:rPr>
          <w:b/>
          <w:sz w:val="18"/>
        </w:rPr>
        <w:t>Non-Current</w:t>
      </w:r>
      <w:r>
        <w:rPr>
          <w:b/>
          <w:spacing w:val="-2"/>
          <w:sz w:val="18"/>
        </w:rPr>
        <w:t> </w:t>
      </w:r>
      <w:r>
        <w:rPr>
          <w:b/>
          <w:sz w:val="18"/>
        </w:rPr>
        <w:t>Assets</w:t>
        <w:tab/>
      </w:r>
      <w:r>
        <w:rPr>
          <w:b/>
          <w:position w:val="-8"/>
          <w:sz w:val="18"/>
        </w:rPr>
        <w:t>5,663,843</w:t>
        <w:tab/>
      </w:r>
      <w:r>
        <w:rPr>
          <w:position w:val="-8"/>
          <w:sz w:val="18"/>
        </w:rPr>
        <w:t>2,622,865</w:t>
      </w:r>
    </w:p>
    <w:tbl>
      <w:tblPr>
        <w:tblW w:w="0" w:type="auto"/>
        <w:jc w:val="left"/>
        <w:tblInd w:w="142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851"/>
        <w:gridCol w:w="478"/>
        <w:gridCol w:w="1408"/>
        <w:gridCol w:w="1186"/>
      </w:tblGrid>
      <w:tr>
        <w:trPr>
          <w:trHeight w:val="344" w:hRule="exact"/>
        </w:trPr>
        <w:tc>
          <w:tcPr>
            <w:tcW w:w="6851" w:type="dxa"/>
          </w:tcPr>
          <w:p>
            <w:pPr>
              <w:pStyle w:val="TableParagraph"/>
              <w:spacing w:before="28"/>
              <w:ind w:left="35"/>
              <w:jc w:val="left"/>
              <w:rPr>
                <w:b/>
                <w:sz w:val="18"/>
              </w:rPr>
            </w:pPr>
            <w:r>
              <w:rPr>
                <w:b/>
                <w:sz w:val="18"/>
              </w:rPr>
              <w:t>Total Assets</w:t>
            </w:r>
          </w:p>
        </w:tc>
        <w:tc>
          <w:tcPr>
            <w:tcW w:w="478" w:type="dxa"/>
          </w:tcPr>
          <w:p>
            <w:pPr/>
          </w:p>
        </w:tc>
        <w:tc>
          <w:tcPr>
            <w:tcW w:w="1408" w:type="dxa"/>
            <w:tcBorders>
              <w:bottom w:val="single" w:sz="0" w:space="0" w:color="000000"/>
            </w:tcBorders>
          </w:tcPr>
          <w:p>
            <w:pPr>
              <w:pStyle w:val="TableParagraph"/>
              <w:spacing w:before="113"/>
              <w:ind w:right="197"/>
              <w:rPr>
                <w:b/>
                <w:sz w:val="18"/>
              </w:rPr>
            </w:pPr>
            <w:r>
              <w:rPr>
                <w:b/>
                <w:w w:val="95"/>
                <w:sz w:val="18"/>
              </w:rPr>
              <w:t>14,291,106</w:t>
            </w:r>
          </w:p>
        </w:tc>
        <w:tc>
          <w:tcPr>
            <w:tcW w:w="1186" w:type="dxa"/>
            <w:tcBorders>
              <w:bottom w:val="single" w:sz="0" w:space="0" w:color="000000"/>
            </w:tcBorders>
          </w:tcPr>
          <w:p>
            <w:pPr>
              <w:pStyle w:val="TableParagraph"/>
              <w:spacing w:before="113"/>
              <w:ind w:right="86"/>
              <w:rPr>
                <w:sz w:val="18"/>
              </w:rPr>
            </w:pPr>
            <w:r>
              <w:rPr>
                <w:w w:val="95"/>
                <w:sz w:val="18"/>
              </w:rPr>
              <w:t>13,786,387</w:t>
            </w:r>
          </w:p>
        </w:tc>
      </w:tr>
      <w:tr>
        <w:trPr>
          <w:trHeight w:val="616" w:hRule="exact"/>
        </w:trPr>
        <w:tc>
          <w:tcPr>
            <w:tcW w:w="6851" w:type="dxa"/>
          </w:tcPr>
          <w:p>
            <w:pPr>
              <w:pStyle w:val="TableParagraph"/>
              <w:spacing w:before="138"/>
              <w:ind w:left="35"/>
              <w:jc w:val="left"/>
              <w:rPr>
                <w:b/>
                <w:sz w:val="18"/>
              </w:rPr>
            </w:pPr>
            <w:r>
              <w:rPr>
                <w:b/>
                <w:sz w:val="18"/>
              </w:rPr>
              <w:t>LIABILITIES</w:t>
            </w:r>
          </w:p>
          <w:p>
            <w:pPr>
              <w:pStyle w:val="TableParagraph"/>
              <w:spacing w:before="27"/>
              <w:ind w:left="35"/>
              <w:jc w:val="left"/>
              <w:rPr>
                <w:b/>
                <w:sz w:val="18"/>
              </w:rPr>
            </w:pPr>
            <w:r>
              <w:rPr>
                <w:b/>
                <w:sz w:val="18"/>
              </w:rPr>
              <w:t>Current Liabilities</w:t>
            </w:r>
          </w:p>
        </w:tc>
        <w:tc>
          <w:tcPr>
            <w:tcW w:w="478" w:type="dxa"/>
          </w:tcPr>
          <w:p>
            <w:pPr/>
          </w:p>
        </w:tc>
        <w:tc>
          <w:tcPr>
            <w:tcW w:w="1408" w:type="dxa"/>
            <w:tcBorders>
              <w:top w:val="single" w:sz="0" w:space="0" w:color="000000"/>
            </w:tcBorders>
          </w:tcPr>
          <w:p>
            <w:pPr/>
          </w:p>
        </w:tc>
        <w:tc>
          <w:tcPr>
            <w:tcW w:w="1186" w:type="dxa"/>
            <w:tcBorders>
              <w:top w:val="single" w:sz="0" w:space="0" w:color="000000"/>
            </w:tcBorders>
          </w:tcPr>
          <w:p>
            <w:pPr/>
          </w:p>
        </w:tc>
      </w:tr>
      <w:tr>
        <w:trPr>
          <w:trHeight w:val="263" w:hRule="exact"/>
        </w:trPr>
        <w:tc>
          <w:tcPr>
            <w:tcW w:w="6851" w:type="dxa"/>
          </w:tcPr>
          <w:p>
            <w:pPr>
              <w:pStyle w:val="TableParagraph"/>
              <w:spacing w:before="18"/>
              <w:ind w:left="35"/>
              <w:jc w:val="left"/>
              <w:rPr>
                <w:sz w:val="18"/>
              </w:rPr>
            </w:pPr>
            <w:r>
              <w:rPr>
                <w:sz w:val="18"/>
              </w:rPr>
              <w:t>Trade payables</w:t>
            </w:r>
          </w:p>
        </w:tc>
        <w:tc>
          <w:tcPr>
            <w:tcW w:w="478" w:type="dxa"/>
          </w:tcPr>
          <w:p>
            <w:pPr/>
          </w:p>
        </w:tc>
        <w:tc>
          <w:tcPr>
            <w:tcW w:w="1408" w:type="dxa"/>
          </w:tcPr>
          <w:p>
            <w:pPr>
              <w:pStyle w:val="TableParagraph"/>
              <w:spacing w:before="19"/>
              <w:ind w:right="197"/>
              <w:rPr>
                <w:b/>
                <w:sz w:val="18"/>
              </w:rPr>
            </w:pPr>
            <w:r>
              <w:rPr>
                <w:b/>
                <w:w w:val="95"/>
                <w:sz w:val="18"/>
              </w:rPr>
              <w:t>139,066</w:t>
            </w:r>
          </w:p>
        </w:tc>
        <w:tc>
          <w:tcPr>
            <w:tcW w:w="1186" w:type="dxa"/>
          </w:tcPr>
          <w:p>
            <w:pPr>
              <w:pStyle w:val="TableParagraph"/>
              <w:spacing w:before="19"/>
              <w:ind w:right="86"/>
              <w:rPr>
                <w:sz w:val="18"/>
              </w:rPr>
            </w:pPr>
            <w:r>
              <w:rPr>
                <w:w w:val="95"/>
                <w:sz w:val="18"/>
              </w:rPr>
              <w:t>491,163</w:t>
            </w:r>
          </w:p>
        </w:tc>
      </w:tr>
      <w:tr>
        <w:trPr>
          <w:trHeight w:val="264" w:hRule="exact"/>
        </w:trPr>
        <w:tc>
          <w:tcPr>
            <w:tcW w:w="6851" w:type="dxa"/>
          </w:tcPr>
          <w:p>
            <w:pPr>
              <w:pStyle w:val="TableParagraph"/>
              <w:spacing w:before="18"/>
              <w:ind w:left="35"/>
              <w:jc w:val="left"/>
              <w:rPr>
                <w:sz w:val="18"/>
              </w:rPr>
            </w:pPr>
            <w:r>
              <w:rPr>
                <w:sz w:val="18"/>
              </w:rPr>
              <w:t>Tuition fees advance receipts</w:t>
            </w:r>
          </w:p>
        </w:tc>
        <w:tc>
          <w:tcPr>
            <w:tcW w:w="478" w:type="dxa"/>
          </w:tcPr>
          <w:p>
            <w:pPr/>
          </w:p>
        </w:tc>
        <w:tc>
          <w:tcPr>
            <w:tcW w:w="1408" w:type="dxa"/>
          </w:tcPr>
          <w:p>
            <w:pPr>
              <w:pStyle w:val="TableParagraph"/>
              <w:spacing w:before="19"/>
              <w:ind w:right="197"/>
              <w:rPr>
                <w:b/>
                <w:sz w:val="18"/>
              </w:rPr>
            </w:pPr>
            <w:r>
              <w:rPr>
                <w:b/>
                <w:w w:val="95"/>
                <w:sz w:val="18"/>
              </w:rPr>
              <w:t>776,051</w:t>
            </w:r>
          </w:p>
        </w:tc>
        <w:tc>
          <w:tcPr>
            <w:tcW w:w="1186" w:type="dxa"/>
          </w:tcPr>
          <w:p>
            <w:pPr>
              <w:pStyle w:val="TableParagraph"/>
              <w:spacing w:before="19"/>
              <w:ind w:right="86"/>
              <w:rPr>
                <w:sz w:val="18"/>
              </w:rPr>
            </w:pPr>
            <w:r>
              <w:rPr>
                <w:w w:val="95"/>
                <w:sz w:val="18"/>
              </w:rPr>
              <w:t>779,699</w:t>
            </w:r>
          </w:p>
        </w:tc>
      </w:tr>
      <w:tr>
        <w:trPr>
          <w:trHeight w:val="264" w:hRule="exact"/>
        </w:trPr>
        <w:tc>
          <w:tcPr>
            <w:tcW w:w="6851" w:type="dxa"/>
          </w:tcPr>
          <w:p>
            <w:pPr>
              <w:pStyle w:val="TableParagraph"/>
              <w:spacing w:before="18"/>
              <w:ind w:left="35"/>
              <w:jc w:val="left"/>
              <w:rPr>
                <w:sz w:val="18"/>
              </w:rPr>
            </w:pPr>
            <w:r>
              <w:rPr>
                <w:sz w:val="18"/>
              </w:rPr>
              <w:t>Amounts due to related parties</w:t>
            </w:r>
          </w:p>
        </w:tc>
        <w:tc>
          <w:tcPr>
            <w:tcW w:w="478" w:type="dxa"/>
          </w:tcPr>
          <w:p>
            <w:pPr>
              <w:pStyle w:val="TableParagraph"/>
              <w:spacing w:before="19"/>
              <w:ind w:left="-20" w:right="77"/>
              <w:jc w:val="center"/>
              <w:rPr>
                <w:sz w:val="18"/>
              </w:rPr>
            </w:pPr>
            <w:r>
              <w:rPr>
                <w:spacing w:val="-1"/>
                <w:sz w:val="18"/>
              </w:rPr>
              <w:t>20(d)</w:t>
            </w:r>
          </w:p>
        </w:tc>
        <w:tc>
          <w:tcPr>
            <w:tcW w:w="1408" w:type="dxa"/>
          </w:tcPr>
          <w:p>
            <w:pPr>
              <w:pStyle w:val="TableParagraph"/>
              <w:spacing w:before="19"/>
              <w:ind w:right="197"/>
              <w:rPr>
                <w:b/>
                <w:sz w:val="18"/>
              </w:rPr>
            </w:pPr>
            <w:r>
              <w:rPr>
                <w:b/>
                <w:w w:val="95"/>
                <w:sz w:val="18"/>
              </w:rPr>
              <w:t>684,058</w:t>
            </w:r>
          </w:p>
        </w:tc>
        <w:tc>
          <w:tcPr>
            <w:tcW w:w="1186" w:type="dxa"/>
          </w:tcPr>
          <w:p>
            <w:pPr>
              <w:pStyle w:val="TableParagraph"/>
              <w:spacing w:before="19"/>
              <w:ind w:right="86"/>
              <w:rPr>
                <w:sz w:val="18"/>
              </w:rPr>
            </w:pPr>
            <w:r>
              <w:rPr>
                <w:w w:val="95"/>
                <w:sz w:val="18"/>
              </w:rPr>
              <w:t>78,698</w:t>
            </w:r>
          </w:p>
        </w:tc>
      </w:tr>
      <w:tr>
        <w:trPr>
          <w:trHeight w:val="264" w:hRule="exact"/>
        </w:trPr>
        <w:tc>
          <w:tcPr>
            <w:tcW w:w="6851" w:type="dxa"/>
          </w:tcPr>
          <w:p>
            <w:pPr>
              <w:pStyle w:val="TableParagraph"/>
              <w:spacing w:before="18"/>
              <w:ind w:left="35"/>
              <w:jc w:val="left"/>
              <w:rPr>
                <w:sz w:val="18"/>
              </w:rPr>
            </w:pPr>
            <w:r>
              <w:rPr>
                <w:sz w:val="18"/>
              </w:rPr>
              <w:t>Accrued expenses</w:t>
            </w:r>
          </w:p>
        </w:tc>
        <w:tc>
          <w:tcPr>
            <w:tcW w:w="478" w:type="dxa"/>
          </w:tcPr>
          <w:p>
            <w:pPr>
              <w:pStyle w:val="TableParagraph"/>
              <w:spacing w:before="19"/>
              <w:ind w:right="96"/>
              <w:jc w:val="center"/>
              <w:rPr>
                <w:sz w:val="18"/>
              </w:rPr>
            </w:pPr>
            <w:r>
              <w:rPr>
                <w:w w:val="99"/>
                <w:sz w:val="18"/>
              </w:rPr>
              <w:t>8</w:t>
            </w:r>
          </w:p>
        </w:tc>
        <w:tc>
          <w:tcPr>
            <w:tcW w:w="1408" w:type="dxa"/>
          </w:tcPr>
          <w:p>
            <w:pPr>
              <w:pStyle w:val="TableParagraph"/>
              <w:spacing w:before="19"/>
              <w:ind w:right="197"/>
              <w:rPr>
                <w:b/>
                <w:sz w:val="18"/>
              </w:rPr>
            </w:pPr>
            <w:r>
              <w:rPr>
                <w:b/>
                <w:w w:val="95"/>
                <w:sz w:val="18"/>
              </w:rPr>
              <w:t>2,210,500</w:t>
            </w:r>
          </w:p>
        </w:tc>
        <w:tc>
          <w:tcPr>
            <w:tcW w:w="1186" w:type="dxa"/>
          </w:tcPr>
          <w:p>
            <w:pPr>
              <w:pStyle w:val="TableParagraph"/>
              <w:spacing w:before="19"/>
              <w:ind w:right="86"/>
              <w:rPr>
                <w:sz w:val="18"/>
              </w:rPr>
            </w:pPr>
            <w:r>
              <w:rPr>
                <w:w w:val="95"/>
                <w:sz w:val="18"/>
              </w:rPr>
              <w:t>2,142,802</w:t>
            </w:r>
          </w:p>
        </w:tc>
      </w:tr>
      <w:tr>
        <w:trPr>
          <w:trHeight w:val="264" w:hRule="exact"/>
        </w:trPr>
        <w:tc>
          <w:tcPr>
            <w:tcW w:w="6851" w:type="dxa"/>
          </w:tcPr>
          <w:p>
            <w:pPr>
              <w:pStyle w:val="TableParagraph"/>
              <w:spacing w:before="18"/>
              <w:ind w:left="35"/>
              <w:jc w:val="left"/>
              <w:rPr>
                <w:sz w:val="18"/>
              </w:rPr>
            </w:pPr>
            <w:r>
              <w:rPr>
                <w:sz w:val="18"/>
              </w:rPr>
              <w:t>Provisions</w:t>
            </w:r>
          </w:p>
        </w:tc>
        <w:tc>
          <w:tcPr>
            <w:tcW w:w="478" w:type="dxa"/>
          </w:tcPr>
          <w:p>
            <w:pPr>
              <w:pStyle w:val="TableParagraph"/>
              <w:spacing w:before="19"/>
              <w:ind w:right="96"/>
              <w:jc w:val="center"/>
              <w:rPr>
                <w:sz w:val="18"/>
              </w:rPr>
            </w:pPr>
            <w:r>
              <w:rPr>
                <w:w w:val="99"/>
                <w:sz w:val="18"/>
              </w:rPr>
              <w:t>9</w:t>
            </w:r>
          </w:p>
        </w:tc>
        <w:tc>
          <w:tcPr>
            <w:tcW w:w="1408" w:type="dxa"/>
          </w:tcPr>
          <w:p>
            <w:pPr>
              <w:pStyle w:val="TableParagraph"/>
              <w:spacing w:before="19"/>
              <w:ind w:right="197"/>
              <w:rPr>
                <w:b/>
                <w:sz w:val="18"/>
              </w:rPr>
            </w:pPr>
            <w:r>
              <w:rPr>
                <w:b/>
                <w:w w:val="95"/>
                <w:sz w:val="18"/>
              </w:rPr>
              <w:t>1,838,997</w:t>
            </w:r>
          </w:p>
        </w:tc>
        <w:tc>
          <w:tcPr>
            <w:tcW w:w="1186" w:type="dxa"/>
          </w:tcPr>
          <w:p>
            <w:pPr>
              <w:pStyle w:val="TableParagraph"/>
              <w:spacing w:before="19"/>
              <w:ind w:right="86"/>
              <w:rPr>
                <w:sz w:val="18"/>
              </w:rPr>
            </w:pPr>
            <w:r>
              <w:rPr>
                <w:w w:val="95"/>
                <w:sz w:val="18"/>
              </w:rPr>
              <w:t>1,885,873</w:t>
            </w:r>
          </w:p>
        </w:tc>
      </w:tr>
      <w:tr>
        <w:trPr>
          <w:trHeight w:val="263" w:hRule="exact"/>
        </w:trPr>
        <w:tc>
          <w:tcPr>
            <w:tcW w:w="6851" w:type="dxa"/>
          </w:tcPr>
          <w:p>
            <w:pPr>
              <w:pStyle w:val="TableParagraph"/>
              <w:spacing w:before="18"/>
              <w:ind w:left="35"/>
              <w:jc w:val="left"/>
              <w:rPr>
                <w:sz w:val="18"/>
              </w:rPr>
            </w:pPr>
            <w:r>
              <w:rPr>
                <w:sz w:val="18"/>
              </w:rPr>
              <w:t>Other liabilities</w:t>
            </w:r>
          </w:p>
        </w:tc>
        <w:tc>
          <w:tcPr>
            <w:tcW w:w="478" w:type="dxa"/>
          </w:tcPr>
          <w:p>
            <w:pPr>
              <w:pStyle w:val="TableParagraph"/>
              <w:spacing w:before="19"/>
              <w:ind w:left="70" w:right="168"/>
              <w:jc w:val="center"/>
              <w:rPr>
                <w:sz w:val="18"/>
              </w:rPr>
            </w:pPr>
            <w:r>
              <w:rPr>
                <w:sz w:val="18"/>
              </w:rPr>
              <w:t>10</w:t>
            </w:r>
          </w:p>
        </w:tc>
        <w:tc>
          <w:tcPr>
            <w:tcW w:w="1408" w:type="dxa"/>
            <w:tcBorders>
              <w:bottom w:val="single" w:sz="0" w:space="0" w:color="000000"/>
            </w:tcBorders>
          </w:tcPr>
          <w:p>
            <w:pPr>
              <w:pStyle w:val="TableParagraph"/>
              <w:spacing w:before="19"/>
              <w:ind w:right="197"/>
              <w:rPr>
                <w:b/>
                <w:sz w:val="18"/>
              </w:rPr>
            </w:pPr>
            <w:r>
              <w:rPr>
                <w:b/>
                <w:w w:val="95"/>
                <w:sz w:val="18"/>
              </w:rPr>
              <w:t>1,113,673</w:t>
            </w:r>
          </w:p>
        </w:tc>
        <w:tc>
          <w:tcPr>
            <w:tcW w:w="1186" w:type="dxa"/>
            <w:tcBorders>
              <w:bottom w:val="single" w:sz="0" w:space="0" w:color="000000"/>
            </w:tcBorders>
          </w:tcPr>
          <w:p>
            <w:pPr>
              <w:pStyle w:val="TableParagraph"/>
              <w:spacing w:before="19"/>
              <w:ind w:right="86"/>
              <w:rPr>
                <w:sz w:val="18"/>
              </w:rPr>
            </w:pPr>
            <w:r>
              <w:rPr>
                <w:w w:val="95"/>
                <w:sz w:val="18"/>
              </w:rPr>
              <w:t>731,071</w:t>
            </w:r>
          </w:p>
        </w:tc>
      </w:tr>
      <w:tr>
        <w:trPr>
          <w:trHeight w:val="338" w:hRule="exact"/>
        </w:trPr>
        <w:tc>
          <w:tcPr>
            <w:tcW w:w="6851" w:type="dxa"/>
          </w:tcPr>
          <w:p>
            <w:pPr>
              <w:pStyle w:val="TableParagraph"/>
              <w:spacing w:before="38"/>
              <w:ind w:left="35"/>
              <w:jc w:val="left"/>
              <w:rPr>
                <w:b/>
                <w:sz w:val="18"/>
              </w:rPr>
            </w:pPr>
            <w:r>
              <w:rPr>
                <w:b/>
                <w:sz w:val="18"/>
              </w:rPr>
              <w:t>Total Current Liabilities</w:t>
            </w:r>
          </w:p>
        </w:tc>
        <w:tc>
          <w:tcPr>
            <w:tcW w:w="478" w:type="dxa"/>
          </w:tcPr>
          <w:p>
            <w:pPr/>
          </w:p>
        </w:tc>
        <w:tc>
          <w:tcPr>
            <w:tcW w:w="1408" w:type="dxa"/>
            <w:tcBorders>
              <w:top w:val="single" w:sz="0" w:space="0" w:color="000000"/>
              <w:bottom w:val="single" w:sz="0" w:space="0" w:color="000000"/>
            </w:tcBorders>
          </w:tcPr>
          <w:p>
            <w:pPr>
              <w:pStyle w:val="TableParagraph"/>
              <w:spacing w:before="122"/>
              <w:ind w:right="197"/>
              <w:rPr>
                <w:b/>
                <w:sz w:val="18"/>
              </w:rPr>
            </w:pPr>
            <w:r>
              <w:rPr>
                <w:b/>
                <w:w w:val="95"/>
                <w:sz w:val="18"/>
              </w:rPr>
              <w:t>6,762,345</w:t>
            </w:r>
          </w:p>
        </w:tc>
        <w:tc>
          <w:tcPr>
            <w:tcW w:w="1186" w:type="dxa"/>
            <w:tcBorders>
              <w:top w:val="single" w:sz="0" w:space="0" w:color="000000"/>
              <w:bottom w:val="single" w:sz="0" w:space="0" w:color="000000"/>
            </w:tcBorders>
          </w:tcPr>
          <w:p>
            <w:pPr>
              <w:pStyle w:val="TableParagraph"/>
              <w:spacing w:before="122"/>
              <w:ind w:right="86"/>
              <w:rPr>
                <w:sz w:val="18"/>
              </w:rPr>
            </w:pPr>
            <w:r>
              <w:rPr>
                <w:w w:val="95"/>
                <w:sz w:val="18"/>
              </w:rPr>
              <w:t>6,109,306</w:t>
            </w:r>
          </w:p>
        </w:tc>
      </w:tr>
      <w:tr>
        <w:trPr>
          <w:trHeight w:val="282" w:hRule="exact"/>
        </w:trPr>
        <w:tc>
          <w:tcPr>
            <w:tcW w:w="6851" w:type="dxa"/>
          </w:tcPr>
          <w:p>
            <w:pPr>
              <w:pStyle w:val="TableParagraph"/>
              <w:spacing w:before="38"/>
              <w:ind w:left="35"/>
              <w:jc w:val="left"/>
              <w:rPr>
                <w:b/>
                <w:sz w:val="18"/>
              </w:rPr>
            </w:pPr>
            <w:r>
              <w:rPr>
                <w:b/>
                <w:sz w:val="18"/>
              </w:rPr>
              <w:t>Non-Current Liabilities</w:t>
            </w:r>
          </w:p>
        </w:tc>
        <w:tc>
          <w:tcPr>
            <w:tcW w:w="478" w:type="dxa"/>
          </w:tcPr>
          <w:p>
            <w:pPr/>
          </w:p>
        </w:tc>
        <w:tc>
          <w:tcPr>
            <w:tcW w:w="1408" w:type="dxa"/>
            <w:tcBorders>
              <w:top w:val="single" w:sz="0" w:space="0" w:color="000000"/>
            </w:tcBorders>
          </w:tcPr>
          <w:p>
            <w:pPr/>
          </w:p>
        </w:tc>
        <w:tc>
          <w:tcPr>
            <w:tcW w:w="1186" w:type="dxa"/>
            <w:tcBorders>
              <w:top w:val="single" w:sz="0" w:space="0" w:color="000000"/>
            </w:tcBorders>
          </w:tcPr>
          <w:p>
            <w:pPr/>
          </w:p>
        </w:tc>
      </w:tr>
      <w:tr>
        <w:trPr>
          <w:trHeight w:val="263" w:hRule="exact"/>
        </w:trPr>
        <w:tc>
          <w:tcPr>
            <w:tcW w:w="6851" w:type="dxa"/>
          </w:tcPr>
          <w:p>
            <w:pPr>
              <w:pStyle w:val="TableParagraph"/>
              <w:spacing w:before="18"/>
              <w:ind w:left="35"/>
              <w:jc w:val="left"/>
              <w:rPr>
                <w:sz w:val="18"/>
              </w:rPr>
            </w:pPr>
            <w:r>
              <w:rPr>
                <w:sz w:val="18"/>
              </w:rPr>
              <w:t>Provisions</w:t>
            </w:r>
          </w:p>
        </w:tc>
        <w:tc>
          <w:tcPr>
            <w:tcW w:w="478" w:type="dxa"/>
          </w:tcPr>
          <w:p>
            <w:pPr>
              <w:pStyle w:val="TableParagraph"/>
              <w:spacing w:before="19"/>
              <w:ind w:right="96"/>
              <w:jc w:val="center"/>
              <w:rPr>
                <w:sz w:val="18"/>
              </w:rPr>
            </w:pPr>
            <w:r>
              <w:rPr>
                <w:w w:val="99"/>
                <w:sz w:val="18"/>
              </w:rPr>
              <w:t>9</w:t>
            </w:r>
          </w:p>
        </w:tc>
        <w:tc>
          <w:tcPr>
            <w:tcW w:w="1408" w:type="dxa"/>
            <w:tcBorders>
              <w:bottom w:val="single" w:sz="0" w:space="0" w:color="000000"/>
            </w:tcBorders>
          </w:tcPr>
          <w:p>
            <w:pPr>
              <w:pStyle w:val="TableParagraph"/>
              <w:spacing w:before="19"/>
              <w:ind w:right="197"/>
              <w:rPr>
                <w:b/>
                <w:sz w:val="18"/>
              </w:rPr>
            </w:pPr>
            <w:r>
              <w:rPr>
                <w:b/>
                <w:w w:val="95"/>
                <w:sz w:val="18"/>
              </w:rPr>
              <w:t>763,312</w:t>
            </w:r>
          </w:p>
        </w:tc>
        <w:tc>
          <w:tcPr>
            <w:tcW w:w="1186" w:type="dxa"/>
            <w:tcBorders>
              <w:bottom w:val="single" w:sz="0" w:space="0" w:color="000000"/>
            </w:tcBorders>
          </w:tcPr>
          <w:p>
            <w:pPr>
              <w:pStyle w:val="TableParagraph"/>
              <w:spacing w:before="19"/>
              <w:ind w:right="86"/>
              <w:rPr>
                <w:sz w:val="18"/>
              </w:rPr>
            </w:pPr>
            <w:r>
              <w:rPr>
                <w:w w:val="95"/>
                <w:sz w:val="18"/>
              </w:rPr>
              <w:t>911,632</w:t>
            </w:r>
          </w:p>
        </w:tc>
      </w:tr>
      <w:tr>
        <w:trPr>
          <w:trHeight w:val="338" w:hRule="exact"/>
        </w:trPr>
        <w:tc>
          <w:tcPr>
            <w:tcW w:w="7330" w:type="dxa"/>
            <w:gridSpan w:val="2"/>
          </w:tcPr>
          <w:p>
            <w:pPr>
              <w:pStyle w:val="TableParagraph"/>
              <w:spacing w:before="28"/>
              <w:ind w:left="35"/>
              <w:jc w:val="left"/>
              <w:rPr>
                <w:b/>
                <w:sz w:val="18"/>
              </w:rPr>
            </w:pPr>
            <w:r>
              <w:rPr>
                <w:b/>
                <w:sz w:val="18"/>
              </w:rPr>
              <w:t>Total Non-Current Liabilities</w:t>
            </w:r>
          </w:p>
        </w:tc>
        <w:tc>
          <w:tcPr>
            <w:tcW w:w="1408" w:type="dxa"/>
            <w:tcBorders>
              <w:bottom w:val="single" w:sz="0" w:space="0" w:color="000000"/>
            </w:tcBorders>
          </w:tcPr>
          <w:p>
            <w:pPr>
              <w:pStyle w:val="TableParagraph"/>
              <w:spacing w:before="113"/>
              <w:ind w:right="197"/>
              <w:rPr>
                <w:b/>
                <w:sz w:val="18"/>
              </w:rPr>
            </w:pPr>
            <w:r>
              <w:rPr>
                <w:b/>
                <w:w w:val="95"/>
                <w:sz w:val="18"/>
              </w:rPr>
              <w:t>763,312</w:t>
            </w:r>
          </w:p>
        </w:tc>
        <w:tc>
          <w:tcPr>
            <w:tcW w:w="1186" w:type="dxa"/>
            <w:tcBorders>
              <w:bottom w:val="single" w:sz="0" w:space="0" w:color="000000"/>
            </w:tcBorders>
          </w:tcPr>
          <w:p>
            <w:pPr>
              <w:pStyle w:val="TableParagraph"/>
              <w:spacing w:before="113"/>
              <w:ind w:right="86"/>
              <w:rPr>
                <w:sz w:val="18"/>
              </w:rPr>
            </w:pPr>
            <w:r>
              <w:rPr>
                <w:w w:val="95"/>
                <w:sz w:val="18"/>
              </w:rPr>
              <w:t>911,632</w:t>
            </w:r>
          </w:p>
        </w:tc>
      </w:tr>
      <w:tr>
        <w:trPr>
          <w:trHeight w:val="338" w:hRule="exact"/>
        </w:trPr>
        <w:tc>
          <w:tcPr>
            <w:tcW w:w="7330" w:type="dxa"/>
            <w:gridSpan w:val="2"/>
          </w:tcPr>
          <w:p>
            <w:pPr>
              <w:pStyle w:val="TableParagraph"/>
              <w:spacing w:before="38"/>
              <w:ind w:left="35"/>
              <w:jc w:val="left"/>
              <w:rPr>
                <w:b/>
                <w:sz w:val="18"/>
              </w:rPr>
            </w:pPr>
            <w:r>
              <w:rPr>
                <w:b/>
                <w:sz w:val="18"/>
              </w:rPr>
              <w:t>Total Liabilities</w:t>
            </w:r>
          </w:p>
        </w:tc>
        <w:tc>
          <w:tcPr>
            <w:tcW w:w="1408" w:type="dxa"/>
            <w:tcBorders>
              <w:top w:val="single" w:sz="0" w:space="0" w:color="000000"/>
              <w:bottom w:val="single" w:sz="0" w:space="0" w:color="000000"/>
            </w:tcBorders>
          </w:tcPr>
          <w:p>
            <w:pPr>
              <w:pStyle w:val="TableParagraph"/>
              <w:spacing w:before="122"/>
              <w:ind w:right="197"/>
              <w:rPr>
                <w:b/>
                <w:sz w:val="18"/>
              </w:rPr>
            </w:pPr>
            <w:r>
              <w:rPr>
                <w:b/>
                <w:w w:val="95"/>
                <w:sz w:val="18"/>
              </w:rPr>
              <w:t>7,525,657</w:t>
            </w:r>
          </w:p>
        </w:tc>
        <w:tc>
          <w:tcPr>
            <w:tcW w:w="1186" w:type="dxa"/>
            <w:tcBorders>
              <w:top w:val="single" w:sz="0" w:space="0" w:color="000000"/>
              <w:bottom w:val="single" w:sz="0" w:space="0" w:color="000000"/>
            </w:tcBorders>
          </w:tcPr>
          <w:p>
            <w:pPr>
              <w:pStyle w:val="TableParagraph"/>
              <w:spacing w:before="122"/>
              <w:ind w:right="86"/>
              <w:rPr>
                <w:sz w:val="18"/>
              </w:rPr>
            </w:pPr>
            <w:r>
              <w:rPr>
                <w:w w:val="95"/>
                <w:sz w:val="18"/>
              </w:rPr>
              <w:t>7,020,938</w:t>
            </w:r>
          </w:p>
        </w:tc>
      </w:tr>
      <w:tr>
        <w:trPr>
          <w:trHeight w:val="353" w:hRule="exact"/>
        </w:trPr>
        <w:tc>
          <w:tcPr>
            <w:tcW w:w="6851" w:type="dxa"/>
          </w:tcPr>
          <w:p>
            <w:pPr>
              <w:pStyle w:val="TableParagraph"/>
              <w:spacing w:before="28"/>
              <w:ind w:left="35"/>
              <w:jc w:val="left"/>
              <w:rPr>
                <w:b/>
                <w:sz w:val="18"/>
              </w:rPr>
            </w:pPr>
            <w:r>
              <w:rPr>
                <w:b/>
                <w:sz w:val="18"/>
              </w:rPr>
              <w:t>Net Assets</w:t>
            </w:r>
          </w:p>
        </w:tc>
        <w:tc>
          <w:tcPr>
            <w:tcW w:w="478" w:type="dxa"/>
          </w:tcPr>
          <w:p>
            <w:pPr/>
          </w:p>
        </w:tc>
        <w:tc>
          <w:tcPr>
            <w:tcW w:w="1408" w:type="dxa"/>
            <w:tcBorders>
              <w:bottom w:val="single" w:sz="0" w:space="0" w:color="000000"/>
            </w:tcBorders>
          </w:tcPr>
          <w:p>
            <w:pPr>
              <w:pStyle w:val="TableParagraph"/>
              <w:spacing w:before="113"/>
              <w:ind w:right="197"/>
              <w:rPr>
                <w:b/>
                <w:sz w:val="18"/>
              </w:rPr>
            </w:pPr>
            <w:r>
              <w:rPr>
                <w:b/>
                <w:w w:val="95"/>
                <w:sz w:val="18"/>
              </w:rPr>
              <w:t>6,765,449</w:t>
            </w:r>
          </w:p>
        </w:tc>
        <w:tc>
          <w:tcPr>
            <w:tcW w:w="1186" w:type="dxa"/>
            <w:tcBorders>
              <w:bottom w:val="single" w:sz="0" w:space="0" w:color="000000"/>
            </w:tcBorders>
          </w:tcPr>
          <w:p>
            <w:pPr>
              <w:pStyle w:val="TableParagraph"/>
              <w:spacing w:before="113"/>
              <w:ind w:right="86"/>
              <w:rPr>
                <w:sz w:val="18"/>
              </w:rPr>
            </w:pPr>
            <w:r>
              <w:rPr>
                <w:w w:val="95"/>
                <w:sz w:val="18"/>
              </w:rPr>
              <w:t>6,765,449</w:t>
            </w:r>
          </w:p>
        </w:tc>
      </w:tr>
      <w:tr>
        <w:trPr>
          <w:trHeight w:val="913" w:hRule="exact"/>
        </w:trPr>
        <w:tc>
          <w:tcPr>
            <w:tcW w:w="6851" w:type="dxa"/>
          </w:tcPr>
          <w:p>
            <w:pPr>
              <w:pStyle w:val="TableParagraph"/>
              <w:jc w:val="left"/>
              <w:rPr>
                <w:sz w:val="18"/>
              </w:rPr>
            </w:pPr>
          </w:p>
          <w:p>
            <w:pPr>
              <w:pStyle w:val="TableParagraph"/>
              <w:spacing w:before="8"/>
              <w:jc w:val="left"/>
              <w:rPr>
                <w:sz w:val="19"/>
              </w:rPr>
            </w:pPr>
          </w:p>
          <w:p>
            <w:pPr>
              <w:pStyle w:val="TableParagraph"/>
              <w:ind w:left="35"/>
              <w:jc w:val="left"/>
              <w:rPr>
                <w:b/>
                <w:sz w:val="18"/>
              </w:rPr>
            </w:pPr>
            <w:r>
              <w:rPr>
                <w:b/>
                <w:sz w:val="18"/>
              </w:rPr>
              <w:t>EQUITY</w:t>
            </w:r>
          </w:p>
          <w:p>
            <w:pPr>
              <w:pStyle w:val="TableParagraph"/>
              <w:spacing w:before="27"/>
              <w:ind w:left="35"/>
              <w:jc w:val="left"/>
              <w:rPr>
                <w:sz w:val="18"/>
              </w:rPr>
            </w:pPr>
            <w:r>
              <w:rPr>
                <w:sz w:val="18"/>
              </w:rPr>
              <w:t>Issued capital</w:t>
            </w:r>
          </w:p>
        </w:tc>
        <w:tc>
          <w:tcPr>
            <w:tcW w:w="478" w:type="dxa"/>
          </w:tcPr>
          <w:p>
            <w:pPr>
              <w:pStyle w:val="TableParagraph"/>
              <w:jc w:val="left"/>
              <w:rPr>
                <w:sz w:val="18"/>
              </w:rPr>
            </w:pPr>
          </w:p>
          <w:p>
            <w:pPr>
              <w:pStyle w:val="TableParagraph"/>
              <w:jc w:val="left"/>
              <w:rPr>
                <w:sz w:val="18"/>
              </w:rPr>
            </w:pPr>
          </w:p>
          <w:p>
            <w:pPr>
              <w:pStyle w:val="TableParagraph"/>
              <w:spacing w:before="1"/>
              <w:jc w:val="left"/>
              <w:rPr>
                <w:sz w:val="22"/>
              </w:rPr>
            </w:pPr>
          </w:p>
          <w:p>
            <w:pPr>
              <w:pStyle w:val="TableParagraph"/>
              <w:spacing w:before="1"/>
              <w:ind w:left="70" w:right="168"/>
              <w:jc w:val="center"/>
              <w:rPr>
                <w:sz w:val="18"/>
              </w:rPr>
            </w:pPr>
            <w:r>
              <w:rPr>
                <w:sz w:val="18"/>
              </w:rPr>
              <w:t>11</w:t>
            </w:r>
          </w:p>
        </w:tc>
        <w:tc>
          <w:tcPr>
            <w:tcW w:w="1408" w:type="dxa"/>
            <w:tcBorders>
              <w:top w:val="single" w:sz="0" w:space="0" w:color="000000"/>
            </w:tcBorders>
          </w:tcPr>
          <w:p>
            <w:pPr>
              <w:pStyle w:val="TableParagraph"/>
              <w:jc w:val="left"/>
              <w:rPr>
                <w:sz w:val="18"/>
              </w:rPr>
            </w:pPr>
          </w:p>
          <w:p>
            <w:pPr>
              <w:pStyle w:val="TableParagraph"/>
              <w:jc w:val="left"/>
              <w:rPr>
                <w:sz w:val="18"/>
              </w:rPr>
            </w:pPr>
          </w:p>
          <w:p>
            <w:pPr>
              <w:pStyle w:val="TableParagraph"/>
              <w:spacing w:before="1"/>
              <w:jc w:val="left"/>
              <w:rPr>
                <w:sz w:val="22"/>
              </w:rPr>
            </w:pPr>
          </w:p>
          <w:p>
            <w:pPr>
              <w:pStyle w:val="TableParagraph"/>
              <w:ind w:right="197"/>
              <w:rPr>
                <w:b/>
                <w:sz w:val="18"/>
              </w:rPr>
            </w:pPr>
            <w:r>
              <w:rPr>
                <w:b/>
                <w:w w:val="99"/>
                <w:sz w:val="18"/>
              </w:rPr>
              <w:t>1</w:t>
            </w:r>
          </w:p>
        </w:tc>
        <w:tc>
          <w:tcPr>
            <w:tcW w:w="1186" w:type="dxa"/>
            <w:tcBorders>
              <w:top w:val="single" w:sz="0" w:space="0" w:color="000000"/>
            </w:tcBorders>
          </w:tcPr>
          <w:p>
            <w:pPr>
              <w:pStyle w:val="TableParagraph"/>
              <w:jc w:val="left"/>
              <w:rPr>
                <w:sz w:val="18"/>
              </w:rPr>
            </w:pPr>
          </w:p>
          <w:p>
            <w:pPr>
              <w:pStyle w:val="TableParagraph"/>
              <w:jc w:val="left"/>
              <w:rPr>
                <w:sz w:val="18"/>
              </w:rPr>
            </w:pPr>
          </w:p>
          <w:p>
            <w:pPr>
              <w:pStyle w:val="TableParagraph"/>
              <w:spacing w:before="1"/>
              <w:jc w:val="left"/>
              <w:rPr>
                <w:sz w:val="22"/>
              </w:rPr>
            </w:pPr>
          </w:p>
          <w:p>
            <w:pPr>
              <w:pStyle w:val="TableParagraph"/>
              <w:ind w:right="86"/>
              <w:rPr>
                <w:sz w:val="18"/>
              </w:rPr>
            </w:pPr>
            <w:r>
              <w:rPr>
                <w:w w:val="99"/>
                <w:sz w:val="18"/>
              </w:rPr>
              <w:t>1</w:t>
            </w:r>
          </w:p>
        </w:tc>
      </w:tr>
      <w:tr>
        <w:trPr>
          <w:trHeight w:val="263" w:hRule="exact"/>
        </w:trPr>
        <w:tc>
          <w:tcPr>
            <w:tcW w:w="6851" w:type="dxa"/>
          </w:tcPr>
          <w:p>
            <w:pPr>
              <w:pStyle w:val="TableParagraph"/>
              <w:spacing w:before="18"/>
              <w:ind w:left="35"/>
              <w:jc w:val="left"/>
              <w:rPr>
                <w:sz w:val="18"/>
              </w:rPr>
            </w:pPr>
            <w:r>
              <w:rPr>
                <w:sz w:val="18"/>
              </w:rPr>
              <w:t>Retained earnings</w:t>
            </w:r>
          </w:p>
        </w:tc>
        <w:tc>
          <w:tcPr>
            <w:tcW w:w="478" w:type="dxa"/>
          </w:tcPr>
          <w:p>
            <w:pPr/>
          </w:p>
        </w:tc>
        <w:tc>
          <w:tcPr>
            <w:tcW w:w="1408" w:type="dxa"/>
            <w:tcBorders>
              <w:bottom w:val="single" w:sz="0" w:space="0" w:color="000000"/>
            </w:tcBorders>
          </w:tcPr>
          <w:p>
            <w:pPr>
              <w:pStyle w:val="TableParagraph"/>
              <w:spacing w:before="19"/>
              <w:ind w:right="197"/>
              <w:rPr>
                <w:b/>
                <w:sz w:val="18"/>
              </w:rPr>
            </w:pPr>
            <w:r>
              <w:rPr>
                <w:b/>
                <w:w w:val="95"/>
                <w:sz w:val="18"/>
              </w:rPr>
              <w:t>6,765,448</w:t>
            </w:r>
          </w:p>
        </w:tc>
        <w:tc>
          <w:tcPr>
            <w:tcW w:w="1186" w:type="dxa"/>
            <w:tcBorders>
              <w:bottom w:val="single" w:sz="0" w:space="0" w:color="000000"/>
            </w:tcBorders>
          </w:tcPr>
          <w:p>
            <w:pPr>
              <w:pStyle w:val="TableParagraph"/>
              <w:spacing w:before="19"/>
              <w:ind w:right="86"/>
              <w:rPr>
                <w:sz w:val="18"/>
              </w:rPr>
            </w:pPr>
            <w:r>
              <w:rPr>
                <w:w w:val="95"/>
                <w:sz w:val="18"/>
              </w:rPr>
              <w:t>6,765,448</w:t>
            </w:r>
          </w:p>
        </w:tc>
      </w:tr>
      <w:tr>
        <w:trPr>
          <w:trHeight w:val="353" w:hRule="exact"/>
        </w:trPr>
        <w:tc>
          <w:tcPr>
            <w:tcW w:w="7330" w:type="dxa"/>
            <w:gridSpan w:val="2"/>
          </w:tcPr>
          <w:p>
            <w:pPr>
              <w:pStyle w:val="TableParagraph"/>
              <w:spacing w:before="28"/>
              <w:ind w:left="35"/>
              <w:jc w:val="left"/>
              <w:rPr>
                <w:b/>
                <w:sz w:val="18"/>
              </w:rPr>
            </w:pPr>
            <w:r>
              <w:rPr>
                <w:b/>
                <w:sz w:val="18"/>
              </w:rPr>
              <w:t>Total Equity</w:t>
            </w:r>
          </w:p>
        </w:tc>
        <w:tc>
          <w:tcPr>
            <w:tcW w:w="1408" w:type="dxa"/>
            <w:tcBorders>
              <w:bottom w:val="single" w:sz="0" w:space="0" w:color="000000"/>
            </w:tcBorders>
          </w:tcPr>
          <w:p>
            <w:pPr>
              <w:pStyle w:val="TableParagraph"/>
              <w:spacing w:before="113"/>
              <w:ind w:right="197"/>
              <w:rPr>
                <w:b/>
                <w:sz w:val="18"/>
              </w:rPr>
            </w:pPr>
            <w:r>
              <w:rPr>
                <w:b/>
                <w:w w:val="95"/>
                <w:sz w:val="18"/>
              </w:rPr>
              <w:t>6,765,449</w:t>
            </w:r>
          </w:p>
        </w:tc>
        <w:tc>
          <w:tcPr>
            <w:tcW w:w="1186" w:type="dxa"/>
            <w:tcBorders>
              <w:bottom w:val="single" w:sz="0" w:space="0" w:color="000000"/>
            </w:tcBorders>
          </w:tcPr>
          <w:p>
            <w:pPr>
              <w:pStyle w:val="TableParagraph"/>
              <w:spacing w:before="113"/>
              <w:ind w:right="86"/>
              <w:rPr>
                <w:sz w:val="18"/>
              </w:rPr>
            </w:pPr>
            <w:r>
              <w:rPr>
                <w:w w:val="95"/>
                <w:sz w:val="18"/>
              </w:rPr>
              <w:t>6,765,449</w:t>
            </w:r>
          </w:p>
        </w:tc>
      </w:tr>
    </w:tbl>
    <w:p>
      <w:pPr>
        <w:spacing w:after="0"/>
        <w:rPr>
          <w:sz w:val="18"/>
        </w:rPr>
        <w:sectPr>
          <w:pgSz w:w="12750" w:h="17680"/>
          <w:pgMar w:header="0" w:footer="867" w:top="1880" w:bottom="1120" w:left="0" w:right="0"/>
        </w:sectPr>
      </w:pPr>
    </w:p>
    <w:p>
      <w:pPr>
        <w:pStyle w:val="BodyText"/>
        <w:spacing w:before="2"/>
        <w:rPr>
          <w:sz w:val="24"/>
        </w:rPr>
      </w:pPr>
    </w:p>
    <w:p>
      <w:pPr>
        <w:pStyle w:val="Heading4"/>
      </w:pPr>
      <w:r>
        <w:rPr/>
        <w:t>Statement of Changes in Equity</w:t>
      </w:r>
    </w:p>
    <w:p>
      <w:pPr>
        <w:pStyle w:val="Heading7"/>
      </w:pPr>
      <w:bookmarkStart w:name="Statement of Changes in Equity" w:id="181"/>
      <w:bookmarkEnd w:id="181"/>
      <w:r>
        <w:rPr>
          <w:b w:val="0"/>
        </w:rPr>
      </w:r>
      <w:r>
        <w:rPr/>
        <w:t>For the Year Ended 31 December 2016</w:t>
      </w:r>
    </w:p>
    <w:p>
      <w:pPr>
        <w:pStyle w:val="BodyText"/>
        <w:spacing w:before="1"/>
        <w:rPr>
          <w:b/>
          <w:sz w:val="29"/>
        </w:rPr>
      </w:pPr>
    </w:p>
    <w:p>
      <w:pPr>
        <w:spacing w:after="0"/>
        <w:rPr>
          <w:sz w:val="29"/>
        </w:rPr>
        <w:sectPr>
          <w:pgSz w:w="12750" w:h="17680"/>
          <w:pgMar w:header="0" w:footer="867" w:top="1880" w:bottom="1120" w:left="0" w:right="0"/>
        </w:sectPr>
      </w:pPr>
    </w:p>
    <w:p>
      <w:pPr>
        <w:pStyle w:val="Heading8"/>
        <w:spacing w:before="77"/>
        <w:ind w:left="7984" w:firstLine="15"/>
        <w:jc w:val="right"/>
      </w:pPr>
      <w:r>
        <w:rPr/>
        <w:t>Issued</w:t>
      </w:r>
      <w:r>
        <w:rPr>
          <w:w w:val="100"/>
        </w:rPr>
        <w:t> </w:t>
      </w:r>
      <w:r>
        <w:rPr/>
        <w:t>Capital</w:t>
      </w:r>
    </w:p>
    <w:p>
      <w:pPr>
        <w:spacing w:before="66"/>
        <w:ind w:left="0" w:right="246" w:firstLine="0"/>
        <w:jc w:val="right"/>
        <w:rPr>
          <w:b/>
          <w:sz w:val="18"/>
        </w:rPr>
      </w:pPr>
      <w:r>
        <w:rPr>
          <w:b/>
          <w:w w:val="99"/>
          <w:sz w:val="18"/>
        </w:rPr>
        <w:t>$</w:t>
      </w:r>
    </w:p>
    <w:p>
      <w:pPr>
        <w:spacing w:before="77"/>
        <w:ind w:left="499" w:right="0" w:firstLine="0"/>
        <w:jc w:val="center"/>
        <w:rPr>
          <w:b/>
          <w:sz w:val="18"/>
        </w:rPr>
      </w:pPr>
      <w:r>
        <w:rPr/>
        <w:br w:type="column"/>
      </w:r>
      <w:r>
        <w:rPr>
          <w:b/>
          <w:sz w:val="18"/>
        </w:rPr>
        <w:t>Retained Earnings</w:t>
      </w:r>
    </w:p>
    <w:p>
      <w:pPr>
        <w:spacing w:before="66"/>
        <w:ind w:left="500" w:right="0" w:firstLine="0"/>
        <w:jc w:val="center"/>
        <w:rPr>
          <w:b/>
          <w:sz w:val="18"/>
        </w:rPr>
      </w:pPr>
      <w:r>
        <w:rPr>
          <w:b/>
          <w:w w:val="99"/>
          <w:sz w:val="18"/>
        </w:rPr>
        <w:t>$</w:t>
      </w:r>
    </w:p>
    <w:p>
      <w:pPr>
        <w:pStyle w:val="BodyText"/>
        <w:spacing w:before="8"/>
        <w:rPr>
          <w:b/>
          <w:sz w:val="24"/>
        </w:rPr>
      </w:pPr>
      <w:r>
        <w:rPr/>
        <w:br w:type="column"/>
      </w:r>
      <w:r>
        <w:rPr>
          <w:b/>
          <w:sz w:val="24"/>
        </w:rPr>
      </w:r>
    </w:p>
    <w:p>
      <w:pPr>
        <w:spacing w:before="0"/>
        <w:ind w:left="553" w:right="1790" w:firstLine="0"/>
        <w:jc w:val="center"/>
        <w:rPr>
          <w:b/>
          <w:sz w:val="18"/>
        </w:rPr>
      </w:pPr>
      <w:r>
        <w:rPr>
          <w:b/>
          <w:sz w:val="18"/>
        </w:rPr>
        <w:t>Total</w:t>
      </w:r>
    </w:p>
    <w:p>
      <w:pPr>
        <w:spacing w:before="66"/>
        <w:ind w:left="0" w:right="1236" w:firstLine="0"/>
        <w:jc w:val="center"/>
        <w:rPr>
          <w:b/>
          <w:sz w:val="18"/>
        </w:rPr>
      </w:pPr>
      <w:r>
        <w:rPr>
          <w:b/>
          <w:w w:val="99"/>
          <w:sz w:val="18"/>
        </w:rPr>
        <w:t>$</w:t>
      </w:r>
    </w:p>
    <w:p>
      <w:pPr>
        <w:spacing w:after="0"/>
        <w:jc w:val="center"/>
        <w:rPr>
          <w:sz w:val="18"/>
        </w:rPr>
        <w:sectPr>
          <w:type w:val="continuous"/>
          <w:pgSz w:w="12750" w:h="17680"/>
          <w:pgMar w:top="1660" w:bottom="0" w:left="0" w:right="0"/>
          <w:cols w:num="3" w:equalWidth="0">
            <w:col w:w="8585" w:space="40"/>
            <w:col w:w="1271" w:space="40"/>
            <w:col w:w="2814"/>
          </w:cols>
        </w:sectPr>
      </w:pPr>
    </w:p>
    <w:p>
      <w:pPr>
        <w:pStyle w:val="BodyText"/>
        <w:spacing w:before="8"/>
        <w:rPr>
          <w:b/>
          <w:sz w:val="2"/>
        </w:rPr>
      </w:pPr>
    </w:p>
    <w:p>
      <w:pPr>
        <w:pStyle w:val="BodyText"/>
        <w:spacing w:line="20" w:lineRule="exact"/>
        <w:ind w:left="7673"/>
        <w:rPr>
          <w:sz w:val="2"/>
        </w:rPr>
      </w:pPr>
      <w:r>
        <w:rPr>
          <w:sz w:val="2"/>
        </w:rPr>
        <w:pict>
          <v:group style="width:183.7pt;height:1pt;mso-position-horizontal-relative:char;mso-position-vertical-relative:line" coordorigin="0,0" coordsize="3674,20">
            <v:line style="position:absolute" from="1,1" to="1225,1" stroked="true" strokeweight=".06pt" strokecolor="#000000"/>
            <v:line style="position:absolute" from="1,2" to="1225,2" stroked="true" strokeweight=".06pt" strokecolor="#000000"/>
            <v:line style="position:absolute" from="1,3" to="1225,3" stroked="true" strokeweight=".06pt" strokecolor="#000000"/>
            <v:line style="position:absolute" from="1,5" to="1225,5" stroked="true" strokeweight=".06pt" strokecolor="#000000"/>
            <v:line style="position:absolute" from="1,6" to="1225,6" stroked="true" strokeweight=".06pt" strokecolor="#000000"/>
            <v:line style="position:absolute" from="1,7" to="1225,7" stroked="true" strokeweight=".06pt" strokecolor="#000000"/>
            <v:line style="position:absolute" from="1,8" to="1225,8" stroked="true" strokeweight=".06pt" strokecolor="#000000"/>
            <v:line style="position:absolute" from="1,9" to="1225,9" stroked="true" strokeweight=".06pt" strokecolor="#000000"/>
            <v:line style="position:absolute" from="1,11" to="1225,11" stroked="true" strokeweight=".06pt" strokecolor="#000000"/>
            <v:line style="position:absolute" from="1,12" to="1225,12" stroked="true" strokeweight=".06pt" strokecolor="#000000"/>
            <v:line style="position:absolute" from="1,13" to="1225,13" stroked="true" strokeweight=".06pt" strokecolor="#000000"/>
            <v:line style="position:absolute" from="1,14" to="1225,14" stroked="true" strokeweight=".06pt" strokecolor="#000000"/>
            <v:line style="position:absolute" from="1,15" to="1225,15" stroked="true" strokeweight=".06pt" strokecolor="#000000"/>
            <v:line style="position:absolute" from="1,17" to="1225,17" stroked="true" strokeweight=".06pt" strokecolor="#000000"/>
            <v:line style="position:absolute" from="1,18" to="1225,18" stroked="true" strokeweight=".06pt" strokecolor="#000000"/>
            <v:line style="position:absolute" from="1,19" to="1225,19" stroked="true" strokeweight=".06pt" strokecolor="#000000"/>
            <v:line style="position:absolute" from="1225,1" to="2449,1" stroked="true" strokeweight=".06pt" strokecolor="#000000"/>
            <v:line style="position:absolute" from="1225,2" to="2449,2" stroked="true" strokeweight=".06pt" strokecolor="#000000"/>
            <v:line style="position:absolute" from="1225,3" to="2449,3" stroked="true" strokeweight=".06pt" strokecolor="#000000"/>
            <v:line style="position:absolute" from="1225,5" to="2449,5" stroked="true" strokeweight=".06pt" strokecolor="#000000"/>
            <v:line style="position:absolute" from="1225,6" to="2449,6" stroked="true" strokeweight=".06pt" strokecolor="#000000"/>
            <v:line style="position:absolute" from="1225,7" to="2449,7" stroked="true" strokeweight=".06pt" strokecolor="#000000"/>
            <v:line style="position:absolute" from="1225,8" to="2449,8" stroked="true" strokeweight=".06pt" strokecolor="#000000"/>
            <v:line style="position:absolute" from="1225,9" to="2449,9" stroked="true" strokeweight=".06pt" strokecolor="#000000"/>
            <v:line style="position:absolute" from="1225,11" to="2449,11" stroked="true" strokeweight=".06pt" strokecolor="#000000"/>
            <v:line style="position:absolute" from="1225,12" to="2449,12" stroked="true" strokeweight=".06pt" strokecolor="#000000"/>
            <v:line style="position:absolute" from="1225,13" to="2449,13" stroked="true" strokeweight=".06pt" strokecolor="#000000"/>
            <v:line style="position:absolute" from="1225,14" to="2449,14" stroked="true" strokeweight=".06pt" strokecolor="#000000"/>
            <v:line style="position:absolute" from="1225,15" to="2449,15" stroked="true" strokeweight=".06pt" strokecolor="#000000"/>
            <v:line style="position:absolute" from="1225,17" to="2449,17" stroked="true" strokeweight=".06pt" strokecolor="#000000"/>
            <v:line style="position:absolute" from="1225,18" to="2449,18" stroked="true" strokeweight=".06pt" strokecolor="#000000"/>
            <v:line style="position:absolute" from="1225,19" to="2449,19" stroked="true" strokeweight=".06pt" strokecolor="#000000"/>
            <v:line style="position:absolute" from="2449,1" to="3673,1" stroked="true" strokeweight=".06pt" strokecolor="#000000"/>
            <v:line style="position:absolute" from="2449,2" to="3673,2" stroked="true" strokeweight=".06pt" strokecolor="#000000"/>
            <v:line style="position:absolute" from="2449,3" to="3673,3" stroked="true" strokeweight=".06pt" strokecolor="#000000"/>
            <v:line style="position:absolute" from="2449,5" to="3673,5" stroked="true" strokeweight=".06pt" strokecolor="#000000"/>
            <v:line style="position:absolute" from="2449,6" to="3673,6" stroked="true" strokeweight=".06pt" strokecolor="#000000"/>
            <v:line style="position:absolute" from="2449,7" to="3673,7" stroked="true" strokeweight=".06pt" strokecolor="#000000"/>
            <v:line style="position:absolute" from="2449,8" to="3673,8" stroked="true" strokeweight=".06pt" strokecolor="#000000"/>
            <v:line style="position:absolute" from="2449,9" to="3673,9" stroked="true" strokeweight=".06pt" strokecolor="#000000"/>
            <v:line style="position:absolute" from="2449,11" to="3673,11" stroked="true" strokeweight=".06pt" strokecolor="#000000"/>
            <v:line style="position:absolute" from="2449,12" to="3673,12" stroked="true" strokeweight=".06pt" strokecolor="#000000"/>
            <v:line style="position:absolute" from="2449,13" to="3673,13" stroked="true" strokeweight=".06pt" strokecolor="#000000"/>
            <v:line style="position:absolute" from="2449,14" to="3673,14" stroked="true" strokeweight=".06pt" strokecolor="#000000"/>
            <v:line style="position:absolute" from="2449,15" to="3673,15" stroked="true" strokeweight=".06pt" strokecolor="#000000"/>
            <v:line style="position:absolute" from="2449,17" to="3673,17" stroked="true" strokeweight=".06pt" strokecolor="#000000"/>
            <v:line style="position:absolute" from="2449,18" to="3673,18" stroked="true" strokeweight=".06pt" strokecolor="#000000"/>
            <v:line style="position:absolute" from="2449,19" to="3673,19" stroked="true" strokeweight=".06pt" strokecolor="#000000"/>
            <v:line style="position:absolute" from="1,1" to="1225,1" stroked="true" strokeweight=".06pt" strokecolor="#000000"/>
            <v:line style="position:absolute" from="1,2" to="1225,2" stroked="true" strokeweight=".06pt" strokecolor="#000000"/>
            <v:line style="position:absolute" from="1,3" to="1225,3" stroked="true" strokeweight=".06pt" strokecolor="#000000"/>
            <v:line style="position:absolute" from="1,5" to="1225,5" stroked="true" strokeweight=".06pt" strokecolor="#000000"/>
            <v:line style="position:absolute" from="1,6" to="1225,6" stroked="true" strokeweight=".06pt" strokecolor="#000000"/>
            <v:line style="position:absolute" from="1,7" to="1225,7" stroked="true" strokeweight=".06pt" strokecolor="#000000"/>
            <v:line style="position:absolute" from="1,8" to="1225,8" stroked="true" strokeweight=".06pt" strokecolor="#000000"/>
            <v:line style="position:absolute" from="1,9" to="1225,9" stroked="true" strokeweight=".06pt" strokecolor="#000000"/>
            <v:line style="position:absolute" from="1,11" to="1225,11" stroked="true" strokeweight=".06pt" strokecolor="#000000"/>
            <v:line style="position:absolute" from="1,12" to="1225,12" stroked="true" strokeweight=".06pt" strokecolor="#000000"/>
            <v:line style="position:absolute" from="1,13" to="1225,13" stroked="true" strokeweight=".06pt" strokecolor="#000000"/>
            <v:line style="position:absolute" from="1,14" to="1225,14" stroked="true" strokeweight=".06pt" strokecolor="#000000"/>
            <v:line style="position:absolute" from="1,15" to="1225,15" stroked="true" strokeweight=".06pt" strokecolor="#000000"/>
            <v:line style="position:absolute" from="1,17" to="1225,17" stroked="true" strokeweight=".06pt" strokecolor="#000000"/>
            <v:line style="position:absolute" from="1,18" to="1225,18" stroked="true" strokeweight=".06pt" strokecolor="#000000"/>
            <v:line style="position:absolute" from="1,19" to="1225,19" stroked="true" strokeweight=".06pt" strokecolor="#000000"/>
            <v:line style="position:absolute" from="1225,1" to="2449,1" stroked="true" strokeweight=".06pt" strokecolor="#000000"/>
            <v:line style="position:absolute" from="1225,2" to="2449,2" stroked="true" strokeweight=".06pt" strokecolor="#000000"/>
            <v:line style="position:absolute" from="1225,3" to="2449,3" stroked="true" strokeweight=".06pt" strokecolor="#000000"/>
            <v:line style="position:absolute" from="1225,5" to="2449,5" stroked="true" strokeweight=".06pt" strokecolor="#000000"/>
            <v:line style="position:absolute" from="1225,6" to="2449,6" stroked="true" strokeweight=".06pt" strokecolor="#000000"/>
            <v:line style="position:absolute" from="1225,7" to="2449,7" stroked="true" strokeweight=".06pt" strokecolor="#000000"/>
            <v:line style="position:absolute" from="1225,8" to="2449,8" stroked="true" strokeweight=".06pt" strokecolor="#000000"/>
            <v:line style="position:absolute" from="1225,9" to="2449,9" stroked="true" strokeweight=".06pt" strokecolor="#000000"/>
            <v:line style="position:absolute" from="1225,11" to="2449,11" stroked="true" strokeweight=".06pt" strokecolor="#000000"/>
            <v:line style="position:absolute" from="1225,12" to="2449,12" stroked="true" strokeweight=".06pt" strokecolor="#000000"/>
            <v:line style="position:absolute" from="1225,13" to="2449,13" stroked="true" strokeweight=".06pt" strokecolor="#000000"/>
            <v:line style="position:absolute" from="1225,14" to="2449,14" stroked="true" strokeweight=".06pt" strokecolor="#000000"/>
            <v:line style="position:absolute" from="1225,15" to="2449,15" stroked="true" strokeweight=".06pt" strokecolor="#000000"/>
            <v:line style="position:absolute" from="1225,17" to="2449,17" stroked="true" strokeweight=".06pt" strokecolor="#000000"/>
            <v:line style="position:absolute" from="1225,18" to="2449,18" stroked="true" strokeweight=".06pt" strokecolor="#000000"/>
            <v:line style="position:absolute" from="1225,19" to="2449,19" stroked="true" strokeweight=".06pt" strokecolor="#000000"/>
            <v:line style="position:absolute" from="2449,1" to="3673,1" stroked="true" strokeweight=".06pt" strokecolor="#000000"/>
            <v:line style="position:absolute" from="2449,2" to="3673,2" stroked="true" strokeweight=".06pt" strokecolor="#000000"/>
            <v:line style="position:absolute" from="2449,3" to="3673,3" stroked="true" strokeweight=".06pt" strokecolor="#000000"/>
            <v:line style="position:absolute" from="2449,5" to="3673,5" stroked="true" strokeweight=".06pt" strokecolor="#000000"/>
            <v:line style="position:absolute" from="2449,6" to="3673,6" stroked="true" strokeweight=".06pt" strokecolor="#000000"/>
            <v:line style="position:absolute" from="2449,7" to="3673,7" stroked="true" strokeweight=".06pt" strokecolor="#000000"/>
            <v:line style="position:absolute" from="2449,8" to="3673,8" stroked="true" strokeweight=".06pt" strokecolor="#000000"/>
            <v:line style="position:absolute" from="2449,9" to="3673,9" stroked="true" strokeweight=".06pt" strokecolor="#000000"/>
            <v:line style="position:absolute" from="2449,11" to="3673,11" stroked="true" strokeweight=".06pt" strokecolor="#000000"/>
            <v:line style="position:absolute" from="2449,12" to="3673,12" stroked="true" strokeweight=".06pt" strokecolor="#000000"/>
            <v:line style="position:absolute" from="2449,13" to="3673,13" stroked="true" strokeweight=".06pt" strokecolor="#000000"/>
            <v:line style="position:absolute" from="2449,14" to="3673,14" stroked="true" strokeweight=".06pt" strokecolor="#000000"/>
            <v:line style="position:absolute" from="2449,15" to="3673,15" stroked="true" strokeweight=".06pt" strokecolor="#000000"/>
            <v:line style="position:absolute" from="2449,17" to="3673,17" stroked="true" strokeweight=".06pt" strokecolor="#000000"/>
            <v:line style="position:absolute" from="2449,18" to="3673,18" stroked="true" strokeweight=".06pt" strokecolor="#000000"/>
            <v:line style="position:absolute" from="2449,19" to="3673,19" stroked="true" strokeweight=".06pt" strokecolor="#000000"/>
          </v:group>
        </w:pict>
      </w:r>
      <w:r>
        <w:rPr>
          <w:sz w:val="2"/>
        </w:rPr>
      </w:r>
    </w:p>
    <w:p>
      <w:pPr>
        <w:tabs>
          <w:tab w:pos="8709" w:val="left" w:leader="none"/>
          <w:tab w:pos="9235" w:val="left" w:leader="none"/>
          <w:tab w:pos="10459" w:val="left" w:leader="none"/>
        </w:tabs>
        <w:spacing w:before="39"/>
        <w:ind w:left="1455" w:right="0" w:firstLine="0"/>
        <w:jc w:val="left"/>
        <w:rPr>
          <w:b/>
          <w:sz w:val="18"/>
        </w:rPr>
      </w:pPr>
      <w:r>
        <w:rPr>
          <w:b/>
          <w:sz w:val="18"/>
        </w:rPr>
        <w:t>Balance at 1</w:t>
      </w:r>
      <w:r>
        <w:rPr>
          <w:b/>
          <w:spacing w:val="-10"/>
          <w:sz w:val="18"/>
        </w:rPr>
        <w:t> </w:t>
      </w:r>
      <w:r>
        <w:rPr>
          <w:b/>
          <w:sz w:val="18"/>
        </w:rPr>
        <w:t>January</w:t>
      </w:r>
      <w:r>
        <w:rPr>
          <w:b/>
          <w:spacing w:val="-4"/>
          <w:sz w:val="18"/>
        </w:rPr>
        <w:t> </w:t>
      </w:r>
      <w:r>
        <w:rPr>
          <w:b/>
          <w:sz w:val="18"/>
        </w:rPr>
        <w:t>2016</w:t>
        <w:tab/>
        <w:t>1</w:t>
        <w:tab/>
        <w:t>6,765,448</w:t>
        <w:tab/>
        <w:t>6,765,449</w:t>
      </w:r>
    </w:p>
    <w:p>
      <w:pPr>
        <w:spacing w:before="141"/>
        <w:ind w:left="1455" w:right="0" w:firstLine="0"/>
        <w:jc w:val="left"/>
        <w:rPr>
          <w:b/>
          <w:sz w:val="18"/>
        </w:rPr>
      </w:pPr>
      <w:r>
        <w:rPr>
          <w:b/>
          <w:sz w:val="18"/>
        </w:rPr>
        <w:t>Total comprehensive income for the year</w:t>
      </w:r>
    </w:p>
    <w:p>
      <w:pPr>
        <w:pStyle w:val="BodyText"/>
        <w:tabs>
          <w:tab w:pos="8254" w:val="left" w:leader="none"/>
          <w:tab w:pos="9478" w:val="left" w:leader="none"/>
          <w:tab w:pos="10689" w:val="left" w:leader="none"/>
        </w:tabs>
        <w:spacing w:before="29"/>
        <w:ind w:left="1455"/>
        <w:rPr>
          <w:b/>
        </w:rPr>
      </w:pPr>
      <w:r>
        <w:rPr/>
        <w:t>Surplus / (deficit) for</w:t>
      </w:r>
      <w:r>
        <w:rPr>
          <w:spacing w:val="-16"/>
        </w:rPr>
        <w:t> </w:t>
      </w:r>
      <w:r>
        <w:rPr/>
        <w:t>the</w:t>
      </w:r>
      <w:r>
        <w:rPr>
          <w:spacing w:val="-4"/>
        </w:rPr>
        <w:t> </w:t>
      </w:r>
      <w:r>
        <w:rPr/>
        <w:t>year</w:t>
        <w:tab/>
      </w:r>
      <w:r>
        <w:rPr>
          <w:b/>
        </w:rPr>
        <w:t>-</w:t>
        <w:tab/>
        <w:t>-</w:t>
        <w:tab/>
        <w:t>-</w:t>
      </w:r>
    </w:p>
    <w:p>
      <w:pPr>
        <w:tabs>
          <w:tab w:pos="8254" w:val="left" w:leader="none"/>
          <w:tab w:pos="8709" w:val="left" w:leader="none"/>
          <w:tab w:pos="9235" w:val="left" w:leader="none"/>
          <w:tab w:pos="9478" w:val="left" w:leader="none"/>
          <w:tab w:pos="10459" w:val="left" w:leader="none"/>
          <w:tab w:pos="10689" w:val="left" w:leader="none"/>
        </w:tabs>
        <w:spacing w:line="424" w:lineRule="auto" w:before="57"/>
        <w:ind w:left="1455" w:right="1485" w:firstLine="0"/>
        <w:jc w:val="left"/>
        <w:rPr>
          <w:b/>
          <w:sz w:val="18"/>
        </w:rPr>
      </w:pPr>
      <w:r>
        <w:rPr/>
        <w:pict>
          <v:group style="position:absolute;margin-left:383.649994pt;margin-top:14.481894pt;width:183.7pt;height:1pt;mso-position-horizontal-relative:page;mso-position-vertical-relative:paragraph;z-index:-1200832" coordorigin="7673,290" coordsize="3674,20">
            <v:line style="position:absolute" from="7674,291" to="8898,291" stroked="true" strokeweight=".06pt" strokecolor="#000000"/>
            <v:line style="position:absolute" from="7674,292" to="8898,292" stroked="true" strokeweight=".06pt" strokecolor="#000000"/>
            <v:line style="position:absolute" from="7674,293" to="8898,293" stroked="true" strokeweight=".06pt" strokecolor="#000000"/>
            <v:line style="position:absolute" from="7674,294" to="8898,294" stroked="true" strokeweight=".06pt" strokecolor="#000000"/>
            <v:line style="position:absolute" from="7674,295" to="8898,295" stroked="true" strokeweight=".06pt" strokecolor="#000000"/>
            <v:line style="position:absolute" from="7674,297" to="8898,297" stroked="true" strokeweight=".06pt" strokecolor="#000000"/>
            <v:line style="position:absolute" from="7674,298" to="8898,298" stroked="true" strokeweight=".06pt" strokecolor="#000000"/>
            <v:line style="position:absolute" from="7674,299" to="8898,299" stroked="true" strokeweight=".06pt" strokecolor="#000000"/>
            <v:line style="position:absolute" from="7674,300" to="8898,300" stroked="true" strokeweight=".06pt" strokecolor="#000000"/>
            <v:line style="position:absolute" from="7674,301" to="8898,301" stroked="true" strokeweight=".06pt" strokecolor="#000000"/>
            <v:line style="position:absolute" from="7674,303" to="8898,303" stroked="true" strokeweight=".06pt" strokecolor="#000000"/>
            <v:line style="position:absolute" from="7674,304" to="8898,304" stroked="true" strokeweight=".06pt" strokecolor="#000000"/>
            <v:line style="position:absolute" from="7674,305" to="8898,305" stroked="true" strokeweight=".06pt" strokecolor="#000000"/>
            <v:line style="position:absolute" from="7674,306" to="8898,306" stroked="true" strokeweight=".06pt" strokecolor="#000000"/>
            <v:line style="position:absolute" from="7674,307" to="8898,307" stroked="true" strokeweight=".06pt" strokecolor="#000000"/>
            <v:line style="position:absolute" from="7674,309" to="8898,309" stroked="true" strokeweight=".06pt" strokecolor="#000000"/>
            <v:line style="position:absolute" from="8898,291" to="10122,291" stroked="true" strokeweight=".06pt" strokecolor="#000000"/>
            <v:line style="position:absolute" from="8898,292" to="10122,292" stroked="true" strokeweight=".06pt" strokecolor="#000000"/>
            <v:line style="position:absolute" from="8898,293" to="10122,293" stroked="true" strokeweight=".06pt" strokecolor="#000000"/>
            <v:line style="position:absolute" from="8898,294" to="10122,294" stroked="true" strokeweight=".06pt" strokecolor="#000000"/>
            <v:line style="position:absolute" from="8898,295" to="10122,295" stroked="true" strokeweight=".06pt" strokecolor="#000000"/>
            <v:line style="position:absolute" from="8898,297" to="10122,297" stroked="true" strokeweight=".06pt" strokecolor="#000000"/>
            <v:line style="position:absolute" from="8898,298" to="10122,298" stroked="true" strokeweight=".06pt" strokecolor="#000000"/>
            <v:line style="position:absolute" from="8898,299" to="10122,299" stroked="true" strokeweight=".06pt" strokecolor="#000000"/>
            <v:line style="position:absolute" from="8898,300" to="10122,300" stroked="true" strokeweight=".06pt" strokecolor="#000000"/>
            <v:line style="position:absolute" from="8898,301" to="10122,301" stroked="true" strokeweight=".06pt" strokecolor="#000000"/>
            <v:line style="position:absolute" from="8898,303" to="10122,303" stroked="true" strokeweight=".06pt" strokecolor="#000000"/>
            <v:line style="position:absolute" from="8898,304" to="10122,304" stroked="true" strokeweight=".06pt" strokecolor="#000000"/>
            <v:line style="position:absolute" from="8898,305" to="10122,305" stroked="true" strokeweight=".06pt" strokecolor="#000000"/>
            <v:line style="position:absolute" from="8898,306" to="10122,306" stroked="true" strokeweight=".06pt" strokecolor="#000000"/>
            <v:line style="position:absolute" from="8898,307" to="10122,307" stroked="true" strokeweight=".06pt" strokecolor="#000000"/>
            <v:line style="position:absolute" from="8898,309" to="10122,309" stroked="true" strokeweight=".06pt" strokecolor="#000000"/>
            <v:line style="position:absolute" from="10122,291" to="11346,291" stroked="true" strokeweight=".06pt" strokecolor="#000000"/>
            <v:line style="position:absolute" from="10122,292" to="11346,292" stroked="true" strokeweight=".06pt" strokecolor="#000000"/>
            <v:line style="position:absolute" from="10122,293" to="11346,293" stroked="true" strokeweight=".06pt" strokecolor="#000000"/>
            <v:line style="position:absolute" from="10122,294" to="11346,294" stroked="true" strokeweight=".06pt" strokecolor="#000000"/>
            <v:line style="position:absolute" from="10122,295" to="11346,295" stroked="true" strokeweight=".06pt" strokecolor="#000000"/>
            <v:line style="position:absolute" from="10122,297" to="11346,297" stroked="true" strokeweight=".06pt" strokecolor="#000000"/>
            <v:line style="position:absolute" from="10122,298" to="11346,298" stroked="true" strokeweight=".06pt" strokecolor="#000000"/>
            <v:line style="position:absolute" from="10122,299" to="11346,299" stroked="true" strokeweight=".06pt" strokecolor="#000000"/>
            <v:line style="position:absolute" from="10122,300" to="11346,300" stroked="true" strokeweight=".06pt" strokecolor="#000000"/>
            <v:line style="position:absolute" from="10122,301" to="11346,301" stroked="true" strokeweight=".06pt" strokecolor="#000000"/>
            <v:line style="position:absolute" from="10122,303" to="11346,303" stroked="true" strokeweight=".06pt" strokecolor="#000000"/>
            <v:line style="position:absolute" from="10122,304" to="11346,304" stroked="true" strokeweight=".06pt" strokecolor="#000000"/>
            <v:line style="position:absolute" from="10122,305" to="11346,305" stroked="true" strokeweight=".06pt" strokecolor="#000000"/>
            <v:line style="position:absolute" from="10122,306" to="11346,306" stroked="true" strokeweight=".06pt" strokecolor="#000000"/>
            <v:line style="position:absolute" from="10122,307" to="11346,307" stroked="true" strokeweight=".06pt" strokecolor="#000000"/>
            <v:line style="position:absolute" from="10122,309" to="11346,309" stroked="true" strokeweight=".06pt" strokecolor="#000000"/>
            <w10:wrap type="none"/>
          </v:group>
        </w:pict>
      </w:r>
      <w:r>
        <w:rPr/>
        <w:pict>
          <v:group style="position:absolute;margin-left:383.649994pt;margin-top:31.401894pt;width:183.7pt;height:2.5pt;mso-position-horizontal-relative:page;mso-position-vertical-relative:paragraph;z-index:-1200808" coordorigin="7673,628" coordsize="3674,50">
            <v:line style="position:absolute" from="7674,629" to="8898,629" stroked="true" strokeweight=".06pt" strokecolor="#000000"/>
            <v:line style="position:absolute" from="7674,630" to="8898,630" stroked="true" strokeweight=".06pt" strokecolor="#000000"/>
            <v:line style="position:absolute" from="7674,631" to="8898,631" stroked="true" strokeweight=".06pt" strokecolor="#000000"/>
            <v:line style="position:absolute" from="7674,633" to="8898,633" stroked="true" strokeweight=".06pt" strokecolor="#000000"/>
            <v:line style="position:absolute" from="7674,634" to="8898,634" stroked="true" strokeweight=".06pt" strokecolor="#000000"/>
            <v:line style="position:absolute" from="7674,635" to="8898,635" stroked="true" strokeweight=".06pt" strokecolor="#000000"/>
            <v:line style="position:absolute" from="7674,636" to="8898,636" stroked="true" strokeweight=".06pt" strokecolor="#000000"/>
            <v:line style="position:absolute" from="7674,637" to="8898,637" stroked="true" strokeweight=".06pt" strokecolor="#000000"/>
            <v:line style="position:absolute" from="7674,639" to="8898,639" stroked="true" strokeweight=".06pt" strokecolor="#000000"/>
            <v:line style="position:absolute" from="7674,640" to="8898,640" stroked="true" strokeweight=".06pt" strokecolor="#000000"/>
            <v:line style="position:absolute" from="7674,641" to="8898,641" stroked="true" strokeweight=".06pt" strokecolor="#000000"/>
            <v:line style="position:absolute" from="7674,642" to="8898,642" stroked="true" strokeweight=".06pt" strokecolor="#000000"/>
            <v:line style="position:absolute" from="7674,643" to="8898,643" stroked="true" strokeweight=".06pt" strokecolor="#000000"/>
            <v:line style="position:absolute" from="7674,663" to="8898,663" stroked="true" strokeweight=".06pt" strokecolor="#000000"/>
            <v:line style="position:absolute" from="7674,664" to="8898,664" stroked="true" strokeweight=".06pt" strokecolor="#000000"/>
            <v:line style="position:absolute" from="7674,665" to="8898,665" stroked="true" strokeweight=".06pt" strokecolor="#000000"/>
            <v:line style="position:absolute" from="7674,666" to="8898,666" stroked="true" strokeweight=".06pt" strokecolor="#000000"/>
            <v:line style="position:absolute" from="7674,667" to="8898,667" stroked="true" strokeweight=".06pt" strokecolor="#000000"/>
            <v:line style="position:absolute" from="7674,669" to="8898,669" stroked="true" strokeweight=".06pt" strokecolor="#000000"/>
            <v:line style="position:absolute" from="7674,670" to="8898,670" stroked="true" strokeweight=".06pt" strokecolor="#000000"/>
            <v:line style="position:absolute" from="7674,671" to="8898,671" stroked="true" strokeweight=".06pt" strokecolor="#000000"/>
            <v:line style="position:absolute" from="7674,672" to="8898,672" stroked="true" strokeweight=".06pt" strokecolor="#000000"/>
            <v:line style="position:absolute" from="7674,673" to="8898,673" stroked="true" strokeweight=".06pt" strokecolor="#000000"/>
            <v:line style="position:absolute" from="7674,675" to="8898,675" stroked="true" strokeweight=".06pt" strokecolor="#000000"/>
            <v:line style="position:absolute" from="7674,676" to="8898,676" stroked="true" strokeweight=".06pt" strokecolor="#000000"/>
            <v:line style="position:absolute" from="7674,677" to="8898,677" stroked="true" strokeweight=".06pt" strokecolor="#000000"/>
            <v:line style="position:absolute" from="8898,629" to="10122,629" stroked="true" strokeweight=".06pt" strokecolor="#000000"/>
            <v:line style="position:absolute" from="8898,630" to="10122,630" stroked="true" strokeweight=".06pt" strokecolor="#000000"/>
            <v:line style="position:absolute" from="8898,631" to="10122,631" stroked="true" strokeweight=".06pt" strokecolor="#000000"/>
            <v:line style="position:absolute" from="8898,633" to="10122,633" stroked="true" strokeweight=".06pt" strokecolor="#000000"/>
            <v:line style="position:absolute" from="8898,634" to="10122,634" stroked="true" strokeweight=".06pt" strokecolor="#000000"/>
            <v:line style="position:absolute" from="8898,635" to="10122,635" stroked="true" strokeweight=".06pt" strokecolor="#000000"/>
            <v:line style="position:absolute" from="8898,636" to="10122,636" stroked="true" strokeweight=".06pt" strokecolor="#000000"/>
            <v:line style="position:absolute" from="8898,637" to="10122,637" stroked="true" strokeweight=".06pt" strokecolor="#000000"/>
            <v:line style="position:absolute" from="8898,639" to="10122,639" stroked="true" strokeweight=".06pt" strokecolor="#000000"/>
            <v:line style="position:absolute" from="8898,640" to="10122,640" stroked="true" strokeweight=".06pt" strokecolor="#000000"/>
            <v:line style="position:absolute" from="8898,641" to="10122,641" stroked="true" strokeweight=".06pt" strokecolor="#000000"/>
            <v:line style="position:absolute" from="8898,642" to="10122,642" stroked="true" strokeweight=".06pt" strokecolor="#000000"/>
            <v:line style="position:absolute" from="8898,643" to="10122,643" stroked="true" strokeweight=".06pt" strokecolor="#000000"/>
            <v:line style="position:absolute" from="8898,663" to="10122,663" stroked="true" strokeweight=".06pt" strokecolor="#000000"/>
            <v:line style="position:absolute" from="8898,664" to="10122,664" stroked="true" strokeweight=".06pt" strokecolor="#000000"/>
            <v:line style="position:absolute" from="8898,665" to="10122,665" stroked="true" strokeweight=".06pt" strokecolor="#000000"/>
            <v:line style="position:absolute" from="8898,666" to="10122,666" stroked="true" strokeweight=".06pt" strokecolor="#000000"/>
            <v:line style="position:absolute" from="8898,667" to="10122,667" stroked="true" strokeweight=".06pt" strokecolor="#000000"/>
            <v:line style="position:absolute" from="8898,669" to="10122,669" stroked="true" strokeweight=".06pt" strokecolor="#000000"/>
            <v:line style="position:absolute" from="8898,670" to="10122,670" stroked="true" strokeweight=".06pt" strokecolor="#000000"/>
            <v:line style="position:absolute" from="8898,671" to="10122,671" stroked="true" strokeweight=".06pt" strokecolor="#000000"/>
            <v:line style="position:absolute" from="8898,672" to="10122,672" stroked="true" strokeweight=".06pt" strokecolor="#000000"/>
            <v:line style="position:absolute" from="8898,673" to="10122,673" stroked="true" strokeweight=".06pt" strokecolor="#000000"/>
            <v:line style="position:absolute" from="8898,675" to="10122,675" stroked="true" strokeweight=".06pt" strokecolor="#000000"/>
            <v:line style="position:absolute" from="8898,676" to="10122,676" stroked="true" strokeweight=".06pt" strokecolor="#000000"/>
            <v:line style="position:absolute" from="8898,677" to="10122,677" stroked="true" strokeweight=".06pt" strokecolor="#000000"/>
            <v:line style="position:absolute" from="10122,629" to="11346,629" stroked="true" strokeweight=".06pt" strokecolor="#000000"/>
            <v:line style="position:absolute" from="10122,630" to="11346,630" stroked="true" strokeweight=".06pt" strokecolor="#000000"/>
            <v:line style="position:absolute" from="10122,631" to="11346,631" stroked="true" strokeweight=".06pt" strokecolor="#000000"/>
            <v:line style="position:absolute" from="10122,633" to="11346,633" stroked="true" strokeweight=".06pt" strokecolor="#000000"/>
            <v:line style="position:absolute" from="10122,634" to="11346,634" stroked="true" strokeweight=".06pt" strokecolor="#000000"/>
            <v:line style="position:absolute" from="10122,635" to="11346,635" stroked="true" strokeweight=".06pt" strokecolor="#000000"/>
            <v:line style="position:absolute" from="10122,636" to="11346,636" stroked="true" strokeweight=".06pt" strokecolor="#000000"/>
            <v:line style="position:absolute" from="10122,637" to="11346,637" stroked="true" strokeweight=".06pt" strokecolor="#000000"/>
            <v:line style="position:absolute" from="10122,639" to="11346,639" stroked="true" strokeweight=".06pt" strokecolor="#000000"/>
            <v:line style="position:absolute" from="10122,640" to="11346,640" stroked="true" strokeweight=".06pt" strokecolor="#000000"/>
            <v:line style="position:absolute" from="10122,641" to="11346,641" stroked="true" strokeweight=".06pt" strokecolor="#000000"/>
            <v:line style="position:absolute" from="10122,642" to="11346,642" stroked="true" strokeweight=".06pt" strokecolor="#000000"/>
            <v:line style="position:absolute" from="10122,643" to="11346,643" stroked="true" strokeweight=".06pt" strokecolor="#000000"/>
            <v:line style="position:absolute" from="10122,663" to="11346,663" stroked="true" strokeweight=".06pt" strokecolor="#000000"/>
            <v:line style="position:absolute" from="10122,664" to="11346,664" stroked="true" strokeweight=".06pt" strokecolor="#000000"/>
            <v:line style="position:absolute" from="10122,665" to="11346,665" stroked="true" strokeweight=".06pt" strokecolor="#000000"/>
            <v:line style="position:absolute" from="10122,666" to="11346,666" stroked="true" strokeweight=".06pt" strokecolor="#000000"/>
            <v:line style="position:absolute" from="10122,667" to="11346,667" stroked="true" strokeweight=".06pt" strokecolor="#000000"/>
            <v:line style="position:absolute" from="10122,669" to="11346,669" stroked="true" strokeweight=".06pt" strokecolor="#000000"/>
            <v:line style="position:absolute" from="10122,670" to="11346,670" stroked="true" strokeweight=".06pt" strokecolor="#000000"/>
            <v:line style="position:absolute" from="10122,671" to="11346,671" stroked="true" strokeweight=".06pt" strokecolor="#000000"/>
            <v:line style="position:absolute" from="10122,672" to="11346,672" stroked="true" strokeweight=".06pt" strokecolor="#000000"/>
            <v:line style="position:absolute" from="10122,673" to="11346,673" stroked="true" strokeweight=".06pt" strokecolor="#000000"/>
            <v:line style="position:absolute" from="10122,675" to="11346,675" stroked="true" strokeweight=".06pt" strokecolor="#000000"/>
            <v:line style="position:absolute" from="10122,676" to="11346,676" stroked="true" strokeweight=".06pt" strokecolor="#000000"/>
            <v:line style="position:absolute" from="10122,677" to="11346,677" stroked="true" strokeweight=".06pt" strokecolor="#000000"/>
            <w10:wrap type="none"/>
          </v:group>
        </w:pict>
      </w:r>
      <w:r>
        <w:rPr>
          <w:sz w:val="18"/>
        </w:rPr>
        <w:t>Other</w:t>
      </w:r>
      <w:r>
        <w:rPr>
          <w:spacing w:val="-7"/>
          <w:sz w:val="18"/>
        </w:rPr>
        <w:t> </w:t>
      </w:r>
      <w:r>
        <w:rPr>
          <w:sz w:val="18"/>
        </w:rPr>
        <w:t>comprehensive</w:t>
      </w:r>
      <w:r>
        <w:rPr>
          <w:spacing w:val="-7"/>
          <w:sz w:val="18"/>
        </w:rPr>
        <w:t> </w:t>
      </w:r>
      <w:r>
        <w:rPr>
          <w:sz w:val="18"/>
        </w:rPr>
        <w:t>income</w:t>
        <w:tab/>
      </w:r>
      <w:r>
        <w:rPr>
          <w:b/>
          <w:sz w:val="18"/>
        </w:rPr>
        <w:t>-</w:t>
        <w:tab/>
        <w:tab/>
        <w:tab/>
        <w:t>-</w:t>
        <w:tab/>
        <w:tab/>
        <w:t>- Balance at 31</w:t>
      </w:r>
      <w:r>
        <w:rPr>
          <w:b/>
          <w:spacing w:val="-12"/>
          <w:sz w:val="18"/>
        </w:rPr>
        <w:t> </w:t>
      </w:r>
      <w:r>
        <w:rPr>
          <w:b/>
          <w:sz w:val="18"/>
        </w:rPr>
        <w:t>December</w:t>
      </w:r>
      <w:r>
        <w:rPr>
          <w:b/>
          <w:spacing w:val="-4"/>
          <w:sz w:val="18"/>
        </w:rPr>
        <w:t> </w:t>
      </w:r>
      <w:r>
        <w:rPr>
          <w:b/>
          <w:sz w:val="18"/>
        </w:rPr>
        <w:t>2016</w:t>
        <w:tab/>
        <w:tab/>
        <w:t>1</w:t>
        <w:tab/>
        <w:t>6,765,448</w:t>
        <w:tab/>
        <w:t>6,765,449</w:t>
      </w:r>
    </w:p>
    <w:p>
      <w:pPr>
        <w:pStyle w:val="BodyText"/>
        <w:rPr>
          <w:b/>
          <w:sz w:val="20"/>
        </w:rPr>
      </w:pPr>
    </w:p>
    <w:p>
      <w:pPr>
        <w:pStyle w:val="BodyText"/>
        <w:rPr>
          <w:b/>
          <w:sz w:val="20"/>
        </w:rPr>
      </w:pPr>
    </w:p>
    <w:p>
      <w:pPr>
        <w:pStyle w:val="BodyText"/>
        <w:rPr>
          <w:b/>
          <w:sz w:val="24"/>
        </w:rPr>
      </w:pPr>
    </w:p>
    <w:p>
      <w:pPr>
        <w:spacing w:after="0"/>
        <w:rPr>
          <w:sz w:val="24"/>
        </w:rPr>
        <w:sectPr>
          <w:type w:val="continuous"/>
          <w:pgSz w:w="12750" w:h="17680"/>
          <w:pgMar w:top="1660" w:bottom="0" w:left="0" w:right="0"/>
        </w:sectPr>
      </w:pPr>
    </w:p>
    <w:p>
      <w:pPr>
        <w:pStyle w:val="Heading8"/>
        <w:spacing w:before="77"/>
        <w:ind w:left="7984" w:firstLine="15"/>
        <w:jc w:val="right"/>
      </w:pPr>
      <w:r>
        <w:rPr/>
        <w:t>Issued</w:t>
      </w:r>
      <w:r>
        <w:rPr>
          <w:w w:val="100"/>
        </w:rPr>
        <w:t> </w:t>
      </w:r>
      <w:r>
        <w:rPr/>
        <w:t>Capital</w:t>
      </w:r>
    </w:p>
    <w:p>
      <w:pPr>
        <w:spacing w:before="66"/>
        <w:ind w:left="0" w:right="246" w:firstLine="0"/>
        <w:jc w:val="right"/>
        <w:rPr>
          <w:b/>
          <w:sz w:val="18"/>
        </w:rPr>
      </w:pPr>
      <w:r>
        <w:rPr>
          <w:b/>
          <w:w w:val="99"/>
          <w:sz w:val="18"/>
        </w:rPr>
        <w:t>$</w:t>
      </w:r>
    </w:p>
    <w:p>
      <w:pPr>
        <w:spacing w:before="77"/>
        <w:ind w:left="499" w:right="0" w:firstLine="0"/>
        <w:jc w:val="center"/>
        <w:rPr>
          <w:b/>
          <w:sz w:val="18"/>
        </w:rPr>
      </w:pPr>
      <w:r>
        <w:rPr/>
        <w:br w:type="column"/>
      </w:r>
      <w:r>
        <w:rPr>
          <w:b/>
          <w:sz w:val="18"/>
        </w:rPr>
        <w:t>Retained Earnings</w:t>
      </w:r>
    </w:p>
    <w:p>
      <w:pPr>
        <w:spacing w:before="66"/>
        <w:ind w:left="500" w:right="0" w:firstLine="0"/>
        <w:jc w:val="center"/>
        <w:rPr>
          <w:b/>
          <w:sz w:val="18"/>
        </w:rPr>
      </w:pPr>
      <w:r>
        <w:rPr>
          <w:b/>
          <w:w w:val="99"/>
          <w:sz w:val="18"/>
        </w:rPr>
        <w:t>$</w:t>
      </w:r>
    </w:p>
    <w:p>
      <w:pPr>
        <w:pStyle w:val="BodyText"/>
        <w:spacing w:before="7"/>
        <w:rPr>
          <w:b/>
          <w:sz w:val="24"/>
        </w:rPr>
      </w:pPr>
      <w:r>
        <w:rPr/>
        <w:br w:type="column"/>
      </w:r>
      <w:r>
        <w:rPr>
          <w:b/>
          <w:sz w:val="24"/>
        </w:rPr>
      </w:r>
    </w:p>
    <w:p>
      <w:pPr>
        <w:spacing w:before="0"/>
        <w:ind w:left="553" w:right="1790" w:firstLine="0"/>
        <w:jc w:val="center"/>
        <w:rPr>
          <w:b/>
          <w:sz w:val="18"/>
        </w:rPr>
      </w:pPr>
      <w:r>
        <w:rPr>
          <w:b/>
          <w:sz w:val="18"/>
        </w:rPr>
        <w:t>Total</w:t>
      </w:r>
    </w:p>
    <w:p>
      <w:pPr>
        <w:spacing w:before="66"/>
        <w:ind w:left="0" w:right="1236" w:firstLine="0"/>
        <w:jc w:val="center"/>
        <w:rPr>
          <w:b/>
          <w:sz w:val="18"/>
        </w:rPr>
      </w:pPr>
      <w:r>
        <w:rPr>
          <w:b/>
          <w:w w:val="99"/>
          <w:sz w:val="18"/>
        </w:rPr>
        <w:t>$</w:t>
      </w:r>
    </w:p>
    <w:p>
      <w:pPr>
        <w:spacing w:after="0"/>
        <w:jc w:val="center"/>
        <w:rPr>
          <w:sz w:val="18"/>
        </w:rPr>
        <w:sectPr>
          <w:type w:val="continuous"/>
          <w:pgSz w:w="12750" w:h="17680"/>
          <w:pgMar w:top="1660" w:bottom="0" w:left="0" w:right="0"/>
          <w:cols w:num="3" w:equalWidth="0">
            <w:col w:w="8585" w:space="40"/>
            <w:col w:w="1271" w:space="40"/>
            <w:col w:w="2814"/>
          </w:cols>
        </w:sectPr>
      </w:pPr>
    </w:p>
    <w:p>
      <w:pPr>
        <w:pStyle w:val="BodyText"/>
        <w:spacing w:before="8"/>
        <w:rPr>
          <w:b/>
          <w:sz w:val="2"/>
        </w:rPr>
      </w:pPr>
    </w:p>
    <w:p>
      <w:pPr>
        <w:pStyle w:val="BodyText"/>
        <w:spacing w:line="20" w:lineRule="exact"/>
        <w:ind w:left="7673"/>
        <w:rPr>
          <w:sz w:val="2"/>
        </w:rPr>
      </w:pPr>
      <w:r>
        <w:rPr>
          <w:sz w:val="2"/>
        </w:rPr>
        <w:pict>
          <v:group style="width:183.7pt;height:1pt;mso-position-horizontal-relative:char;mso-position-vertical-relative:line" coordorigin="0,0" coordsize="3674,20">
            <v:line style="position:absolute" from="1,1" to="1225,1" stroked="true" strokeweight=".06pt" strokecolor="#000000"/>
            <v:line style="position:absolute" from="1,2" to="1225,2" stroked="true" strokeweight=".06pt" strokecolor="#000000"/>
            <v:line style="position:absolute" from="1,3" to="1225,3" stroked="true" strokeweight=".06pt" strokecolor="#000000"/>
            <v:line style="position:absolute" from="1,5" to="1225,5" stroked="true" strokeweight=".06pt" strokecolor="#000000"/>
            <v:line style="position:absolute" from="1,6" to="1225,6" stroked="true" strokeweight=".06pt" strokecolor="#000000"/>
            <v:line style="position:absolute" from="1,7" to="1225,7" stroked="true" strokeweight=".06pt" strokecolor="#000000"/>
            <v:line style="position:absolute" from="1,8" to="1225,8" stroked="true" strokeweight=".06pt" strokecolor="#000000"/>
            <v:line style="position:absolute" from="1,9" to="1225,9" stroked="true" strokeweight=".06pt" strokecolor="#000000"/>
            <v:line style="position:absolute" from="1,11" to="1225,11" stroked="true" strokeweight=".06pt" strokecolor="#000000"/>
            <v:line style="position:absolute" from="1,12" to="1225,12" stroked="true" strokeweight=".06pt" strokecolor="#000000"/>
            <v:line style="position:absolute" from="1,13" to="1225,13" stroked="true" strokeweight=".06pt" strokecolor="#000000"/>
            <v:line style="position:absolute" from="1,14" to="1225,14" stroked="true" strokeweight=".06pt" strokecolor="#000000"/>
            <v:line style="position:absolute" from="1,15" to="1225,15" stroked="true" strokeweight=".06pt" strokecolor="#000000"/>
            <v:line style="position:absolute" from="1,17" to="1225,17" stroked="true" strokeweight=".06pt" strokecolor="#000000"/>
            <v:line style="position:absolute" from="1,18" to="1225,18" stroked="true" strokeweight=".06pt" strokecolor="#000000"/>
            <v:line style="position:absolute" from="1,19" to="1225,19" stroked="true" strokeweight=".06pt" strokecolor="#000000"/>
            <v:line style="position:absolute" from="1225,1" to="2449,1" stroked="true" strokeweight=".06pt" strokecolor="#000000"/>
            <v:line style="position:absolute" from="1225,2" to="2449,2" stroked="true" strokeweight=".06pt" strokecolor="#000000"/>
            <v:line style="position:absolute" from="1225,3" to="2449,3" stroked="true" strokeweight=".06pt" strokecolor="#000000"/>
            <v:line style="position:absolute" from="1225,5" to="2449,5" stroked="true" strokeweight=".06pt" strokecolor="#000000"/>
            <v:line style="position:absolute" from="1225,6" to="2449,6" stroked="true" strokeweight=".06pt" strokecolor="#000000"/>
            <v:line style="position:absolute" from="1225,7" to="2449,7" stroked="true" strokeweight=".06pt" strokecolor="#000000"/>
            <v:line style="position:absolute" from="1225,8" to="2449,8" stroked="true" strokeweight=".06pt" strokecolor="#000000"/>
            <v:line style="position:absolute" from="1225,9" to="2449,9" stroked="true" strokeweight=".06pt" strokecolor="#000000"/>
            <v:line style="position:absolute" from="1225,11" to="2449,11" stroked="true" strokeweight=".06pt" strokecolor="#000000"/>
            <v:line style="position:absolute" from="1225,12" to="2449,12" stroked="true" strokeweight=".06pt" strokecolor="#000000"/>
            <v:line style="position:absolute" from="1225,13" to="2449,13" stroked="true" strokeweight=".06pt" strokecolor="#000000"/>
            <v:line style="position:absolute" from="1225,14" to="2449,14" stroked="true" strokeweight=".06pt" strokecolor="#000000"/>
            <v:line style="position:absolute" from="1225,15" to="2449,15" stroked="true" strokeweight=".06pt" strokecolor="#000000"/>
            <v:line style="position:absolute" from="1225,17" to="2449,17" stroked="true" strokeweight=".06pt" strokecolor="#000000"/>
            <v:line style="position:absolute" from="1225,18" to="2449,18" stroked="true" strokeweight=".06pt" strokecolor="#000000"/>
            <v:line style="position:absolute" from="1225,19" to="2449,19" stroked="true" strokeweight=".06pt" strokecolor="#000000"/>
            <v:line style="position:absolute" from="2449,1" to="3673,1" stroked="true" strokeweight=".06pt" strokecolor="#000000"/>
            <v:line style="position:absolute" from="2449,2" to="3673,2" stroked="true" strokeweight=".06pt" strokecolor="#000000"/>
            <v:line style="position:absolute" from="2449,3" to="3673,3" stroked="true" strokeweight=".06pt" strokecolor="#000000"/>
            <v:line style="position:absolute" from="2449,5" to="3673,5" stroked="true" strokeweight=".06pt" strokecolor="#000000"/>
            <v:line style="position:absolute" from="2449,6" to="3673,6" stroked="true" strokeweight=".06pt" strokecolor="#000000"/>
            <v:line style="position:absolute" from="2449,7" to="3673,7" stroked="true" strokeweight=".06pt" strokecolor="#000000"/>
            <v:line style="position:absolute" from="2449,8" to="3673,8" stroked="true" strokeweight=".06pt" strokecolor="#000000"/>
            <v:line style="position:absolute" from="2449,9" to="3673,9" stroked="true" strokeweight=".06pt" strokecolor="#000000"/>
            <v:line style="position:absolute" from="2449,11" to="3673,11" stroked="true" strokeweight=".06pt" strokecolor="#000000"/>
            <v:line style="position:absolute" from="2449,12" to="3673,12" stroked="true" strokeweight=".06pt" strokecolor="#000000"/>
            <v:line style="position:absolute" from="2449,13" to="3673,13" stroked="true" strokeweight=".06pt" strokecolor="#000000"/>
            <v:line style="position:absolute" from="2449,14" to="3673,14" stroked="true" strokeweight=".06pt" strokecolor="#000000"/>
            <v:line style="position:absolute" from="2449,15" to="3673,15" stroked="true" strokeweight=".06pt" strokecolor="#000000"/>
            <v:line style="position:absolute" from="2449,17" to="3673,17" stroked="true" strokeweight=".06pt" strokecolor="#000000"/>
            <v:line style="position:absolute" from="2449,18" to="3673,18" stroked="true" strokeweight=".06pt" strokecolor="#000000"/>
            <v:line style="position:absolute" from="2449,19" to="3673,19" stroked="true" strokeweight=".06pt" strokecolor="#000000"/>
            <v:line style="position:absolute" from="1,1" to="1225,1" stroked="true" strokeweight=".06pt" strokecolor="#000000"/>
            <v:line style="position:absolute" from="1,2" to="1225,2" stroked="true" strokeweight=".06pt" strokecolor="#000000"/>
            <v:line style="position:absolute" from="1,3" to="1225,3" stroked="true" strokeweight=".06pt" strokecolor="#000000"/>
            <v:line style="position:absolute" from="1,5" to="1225,5" stroked="true" strokeweight=".06pt" strokecolor="#000000"/>
            <v:line style="position:absolute" from="1,6" to="1225,6" stroked="true" strokeweight=".06pt" strokecolor="#000000"/>
            <v:line style="position:absolute" from="1,7" to="1225,7" stroked="true" strokeweight=".06pt" strokecolor="#000000"/>
            <v:line style="position:absolute" from="1,8" to="1225,8" stroked="true" strokeweight=".06pt" strokecolor="#000000"/>
            <v:line style="position:absolute" from="1,9" to="1225,9" stroked="true" strokeweight=".06pt" strokecolor="#000000"/>
            <v:line style="position:absolute" from="1,11" to="1225,11" stroked="true" strokeweight=".06pt" strokecolor="#000000"/>
            <v:line style="position:absolute" from="1,12" to="1225,12" stroked="true" strokeweight=".06pt" strokecolor="#000000"/>
            <v:line style="position:absolute" from="1,13" to="1225,13" stroked="true" strokeweight=".06pt" strokecolor="#000000"/>
            <v:line style="position:absolute" from="1,14" to="1225,14" stroked="true" strokeweight=".06pt" strokecolor="#000000"/>
            <v:line style="position:absolute" from="1,15" to="1225,15" stroked="true" strokeweight=".06pt" strokecolor="#000000"/>
            <v:line style="position:absolute" from="1,17" to="1225,17" stroked="true" strokeweight=".06pt" strokecolor="#000000"/>
            <v:line style="position:absolute" from="1,18" to="1225,18" stroked="true" strokeweight=".06pt" strokecolor="#000000"/>
            <v:line style="position:absolute" from="1,19" to="1225,19" stroked="true" strokeweight=".06pt" strokecolor="#000000"/>
            <v:line style="position:absolute" from="1225,1" to="2449,1" stroked="true" strokeweight=".06pt" strokecolor="#000000"/>
            <v:line style="position:absolute" from="1225,2" to="2449,2" stroked="true" strokeweight=".06pt" strokecolor="#000000"/>
            <v:line style="position:absolute" from="1225,3" to="2449,3" stroked="true" strokeweight=".06pt" strokecolor="#000000"/>
            <v:line style="position:absolute" from="1225,5" to="2449,5" stroked="true" strokeweight=".06pt" strokecolor="#000000"/>
            <v:line style="position:absolute" from="1225,6" to="2449,6" stroked="true" strokeweight=".06pt" strokecolor="#000000"/>
            <v:line style="position:absolute" from="1225,7" to="2449,7" stroked="true" strokeweight=".06pt" strokecolor="#000000"/>
            <v:line style="position:absolute" from="1225,8" to="2449,8" stroked="true" strokeweight=".06pt" strokecolor="#000000"/>
            <v:line style="position:absolute" from="1225,9" to="2449,9" stroked="true" strokeweight=".06pt" strokecolor="#000000"/>
            <v:line style="position:absolute" from="1225,11" to="2449,11" stroked="true" strokeweight=".06pt" strokecolor="#000000"/>
            <v:line style="position:absolute" from="1225,12" to="2449,12" stroked="true" strokeweight=".06pt" strokecolor="#000000"/>
            <v:line style="position:absolute" from="1225,13" to="2449,13" stroked="true" strokeweight=".06pt" strokecolor="#000000"/>
            <v:line style="position:absolute" from="1225,14" to="2449,14" stroked="true" strokeweight=".06pt" strokecolor="#000000"/>
            <v:line style="position:absolute" from="1225,15" to="2449,15" stroked="true" strokeweight=".06pt" strokecolor="#000000"/>
            <v:line style="position:absolute" from="1225,17" to="2449,17" stroked="true" strokeweight=".06pt" strokecolor="#000000"/>
            <v:line style="position:absolute" from="1225,18" to="2449,18" stroked="true" strokeweight=".06pt" strokecolor="#000000"/>
            <v:line style="position:absolute" from="1225,19" to="2449,19" stroked="true" strokeweight=".06pt" strokecolor="#000000"/>
            <v:line style="position:absolute" from="2449,1" to="3673,1" stroked="true" strokeweight=".06pt" strokecolor="#000000"/>
            <v:line style="position:absolute" from="2449,2" to="3673,2" stroked="true" strokeweight=".06pt" strokecolor="#000000"/>
            <v:line style="position:absolute" from="2449,3" to="3673,3" stroked="true" strokeweight=".06pt" strokecolor="#000000"/>
            <v:line style="position:absolute" from="2449,5" to="3673,5" stroked="true" strokeweight=".06pt" strokecolor="#000000"/>
            <v:line style="position:absolute" from="2449,6" to="3673,6" stroked="true" strokeweight=".06pt" strokecolor="#000000"/>
            <v:line style="position:absolute" from="2449,7" to="3673,7" stroked="true" strokeweight=".06pt" strokecolor="#000000"/>
            <v:line style="position:absolute" from="2449,8" to="3673,8" stroked="true" strokeweight=".06pt" strokecolor="#000000"/>
            <v:line style="position:absolute" from="2449,9" to="3673,9" stroked="true" strokeweight=".06pt" strokecolor="#000000"/>
            <v:line style="position:absolute" from="2449,11" to="3673,11" stroked="true" strokeweight=".06pt" strokecolor="#000000"/>
            <v:line style="position:absolute" from="2449,12" to="3673,12" stroked="true" strokeweight=".06pt" strokecolor="#000000"/>
            <v:line style="position:absolute" from="2449,13" to="3673,13" stroked="true" strokeweight=".06pt" strokecolor="#000000"/>
            <v:line style="position:absolute" from="2449,14" to="3673,14" stroked="true" strokeweight=".06pt" strokecolor="#000000"/>
            <v:line style="position:absolute" from="2449,15" to="3673,15" stroked="true" strokeweight=".06pt" strokecolor="#000000"/>
            <v:line style="position:absolute" from="2449,17" to="3673,17" stroked="true" strokeweight=".06pt" strokecolor="#000000"/>
            <v:line style="position:absolute" from="2449,18" to="3673,18" stroked="true" strokeweight=".06pt" strokecolor="#000000"/>
            <v:line style="position:absolute" from="2449,19" to="3673,19" stroked="true" strokeweight=".06pt" strokecolor="#000000"/>
          </v:group>
        </w:pict>
      </w:r>
      <w:r>
        <w:rPr>
          <w:sz w:val="2"/>
        </w:rPr>
      </w:r>
    </w:p>
    <w:p>
      <w:pPr>
        <w:tabs>
          <w:tab w:pos="8709" w:val="left" w:leader="none"/>
          <w:tab w:pos="9235" w:val="left" w:leader="none"/>
          <w:tab w:pos="10459" w:val="left" w:leader="none"/>
        </w:tabs>
        <w:spacing w:before="39"/>
        <w:ind w:left="1455" w:right="0" w:firstLine="0"/>
        <w:jc w:val="left"/>
        <w:rPr>
          <w:sz w:val="18"/>
        </w:rPr>
      </w:pPr>
      <w:r>
        <w:rPr>
          <w:b/>
          <w:sz w:val="18"/>
        </w:rPr>
        <w:t>Balance at 1</w:t>
      </w:r>
      <w:r>
        <w:rPr>
          <w:b/>
          <w:spacing w:val="-10"/>
          <w:sz w:val="18"/>
        </w:rPr>
        <w:t> </w:t>
      </w:r>
      <w:r>
        <w:rPr>
          <w:b/>
          <w:sz w:val="18"/>
        </w:rPr>
        <w:t>January</w:t>
      </w:r>
      <w:r>
        <w:rPr>
          <w:b/>
          <w:spacing w:val="-4"/>
          <w:sz w:val="18"/>
        </w:rPr>
        <w:t> </w:t>
      </w:r>
      <w:r>
        <w:rPr>
          <w:b/>
          <w:sz w:val="18"/>
        </w:rPr>
        <w:t>2015</w:t>
        <w:tab/>
      </w:r>
      <w:r>
        <w:rPr>
          <w:sz w:val="18"/>
        </w:rPr>
        <w:t>1</w:t>
        <w:tab/>
        <w:t>6,765,448</w:t>
        <w:tab/>
        <w:t>6,765,449</w:t>
      </w:r>
    </w:p>
    <w:p>
      <w:pPr>
        <w:pStyle w:val="Heading8"/>
        <w:spacing w:before="141"/>
        <w:ind w:left="1455"/>
      </w:pPr>
      <w:r>
        <w:rPr/>
        <w:t>Total comprehensive income for the year</w:t>
      </w:r>
    </w:p>
    <w:p>
      <w:pPr>
        <w:pStyle w:val="BodyText"/>
        <w:tabs>
          <w:tab w:pos="8254" w:val="left" w:leader="none"/>
          <w:tab w:pos="9478" w:val="left" w:leader="none"/>
          <w:tab w:pos="10689" w:val="left" w:leader="none"/>
        </w:tabs>
        <w:spacing w:before="29"/>
        <w:ind w:left="1455"/>
      </w:pPr>
      <w:r>
        <w:rPr/>
        <w:t>Surplus / (deficit) for</w:t>
      </w:r>
      <w:r>
        <w:rPr>
          <w:spacing w:val="-16"/>
        </w:rPr>
        <w:t> </w:t>
      </w:r>
      <w:r>
        <w:rPr/>
        <w:t>the</w:t>
      </w:r>
      <w:r>
        <w:rPr>
          <w:spacing w:val="-4"/>
        </w:rPr>
        <w:t> </w:t>
      </w:r>
      <w:r>
        <w:rPr/>
        <w:t>year</w:t>
        <w:tab/>
        <w:t>-</w:t>
        <w:tab/>
        <w:t>-</w:t>
        <w:tab/>
        <w:t>-</w:t>
      </w:r>
    </w:p>
    <w:p>
      <w:pPr>
        <w:pStyle w:val="BodyText"/>
        <w:tabs>
          <w:tab w:pos="8254" w:val="left" w:leader="none"/>
          <w:tab w:pos="9478" w:val="left" w:leader="none"/>
          <w:tab w:pos="10689" w:val="left" w:leader="none"/>
        </w:tabs>
        <w:spacing w:before="57"/>
        <w:ind w:left="1455"/>
      </w:pPr>
      <w:r>
        <w:rPr/>
        <w:pict>
          <v:group style="position:absolute;margin-left:383.649994pt;margin-top:14.481898pt;width:183.7pt;height:1pt;mso-position-horizontal-relative:page;mso-position-vertical-relative:paragraph;z-index:7456;mso-wrap-distance-left:0;mso-wrap-distance-right:0" coordorigin="7673,290" coordsize="3674,20">
            <v:line style="position:absolute" from="7674,291" to="8898,291" stroked="true" strokeweight=".06pt" strokecolor="#000000"/>
            <v:line style="position:absolute" from="7674,292" to="8898,292" stroked="true" strokeweight=".06pt" strokecolor="#000000"/>
            <v:line style="position:absolute" from="7674,293" to="8898,293" stroked="true" strokeweight=".06pt" strokecolor="#000000"/>
            <v:line style="position:absolute" from="7674,294" to="8898,294" stroked="true" strokeweight=".06pt" strokecolor="#000000"/>
            <v:line style="position:absolute" from="7674,295" to="8898,295" stroked="true" strokeweight=".06pt" strokecolor="#000000"/>
            <v:line style="position:absolute" from="7674,297" to="8898,297" stroked="true" strokeweight=".06pt" strokecolor="#000000"/>
            <v:line style="position:absolute" from="7674,298" to="8898,298" stroked="true" strokeweight=".06pt" strokecolor="#000000"/>
            <v:line style="position:absolute" from="7674,299" to="8898,299" stroked="true" strokeweight=".06pt" strokecolor="#000000"/>
            <v:line style="position:absolute" from="7674,300" to="8898,300" stroked="true" strokeweight=".06pt" strokecolor="#000000"/>
            <v:line style="position:absolute" from="7674,301" to="8898,301" stroked="true" strokeweight=".06pt" strokecolor="#000000"/>
            <v:line style="position:absolute" from="7674,303" to="8898,303" stroked="true" strokeweight=".06pt" strokecolor="#000000"/>
            <v:line style="position:absolute" from="7674,304" to="8898,304" stroked="true" strokeweight=".06pt" strokecolor="#000000"/>
            <v:line style="position:absolute" from="7674,305" to="8898,305" stroked="true" strokeweight=".06pt" strokecolor="#000000"/>
            <v:line style="position:absolute" from="7674,306" to="8898,306" stroked="true" strokeweight=".06pt" strokecolor="#000000"/>
            <v:line style="position:absolute" from="7674,307" to="8898,307" stroked="true" strokeweight=".06pt" strokecolor="#000000"/>
            <v:line style="position:absolute" from="7674,309" to="8898,309" stroked="true" strokeweight=".06pt" strokecolor="#000000"/>
            <v:line style="position:absolute" from="8898,291" to="10122,291" stroked="true" strokeweight=".06pt" strokecolor="#000000"/>
            <v:line style="position:absolute" from="8898,292" to="10122,292" stroked="true" strokeweight=".06pt" strokecolor="#000000"/>
            <v:line style="position:absolute" from="8898,293" to="10122,293" stroked="true" strokeweight=".06pt" strokecolor="#000000"/>
            <v:line style="position:absolute" from="8898,294" to="10122,294" stroked="true" strokeweight=".06pt" strokecolor="#000000"/>
            <v:line style="position:absolute" from="8898,295" to="10122,295" stroked="true" strokeweight=".06pt" strokecolor="#000000"/>
            <v:line style="position:absolute" from="8898,297" to="10122,297" stroked="true" strokeweight=".06pt" strokecolor="#000000"/>
            <v:line style="position:absolute" from="8898,298" to="10122,298" stroked="true" strokeweight=".06pt" strokecolor="#000000"/>
            <v:line style="position:absolute" from="8898,299" to="10122,299" stroked="true" strokeweight=".06pt" strokecolor="#000000"/>
            <v:line style="position:absolute" from="8898,300" to="10122,300" stroked="true" strokeweight=".06pt" strokecolor="#000000"/>
            <v:line style="position:absolute" from="8898,301" to="10122,301" stroked="true" strokeweight=".06pt" strokecolor="#000000"/>
            <v:line style="position:absolute" from="8898,303" to="10122,303" stroked="true" strokeweight=".06pt" strokecolor="#000000"/>
            <v:line style="position:absolute" from="8898,304" to="10122,304" stroked="true" strokeweight=".06pt" strokecolor="#000000"/>
            <v:line style="position:absolute" from="8898,305" to="10122,305" stroked="true" strokeweight=".06pt" strokecolor="#000000"/>
            <v:line style="position:absolute" from="8898,306" to="10122,306" stroked="true" strokeweight=".06pt" strokecolor="#000000"/>
            <v:line style="position:absolute" from="8898,307" to="10122,307" stroked="true" strokeweight=".06pt" strokecolor="#000000"/>
            <v:line style="position:absolute" from="8898,309" to="10122,309" stroked="true" strokeweight=".06pt" strokecolor="#000000"/>
            <v:line style="position:absolute" from="10122,291" to="11346,291" stroked="true" strokeweight=".06pt" strokecolor="#000000"/>
            <v:line style="position:absolute" from="10122,292" to="11346,292" stroked="true" strokeweight=".06pt" strokecolor="#000000"/>
            <v:line style="position:absolute" from="10122,293" to="11346,293" stroked="true" strokeweight=".06pt" strokecolor="#000000"/>
            <v:line style="position:absolute" from="10122,294" to="11346,294" stroked="true" strokeweight=".06pt" strokecolor="#000000"/>
            <v:line style="position:absolute" from="10122,295" to="11346,295" stroked="true" strokeweight=".06pt" strokecolor="#000000"/>
            <v:line style="position:absolute" from="10122,297" to="11346,297" stroked="true" strokeweight=".06pt" strokecolor="#000000"/>
            <v:line style="position:absolute" from="10122,298" to="11346,298" stroked="true" strokeweight=".06pt" strokecolor="#000000"/>
            <v:line style="position:absolute" from="10122,299" to="11346,299" stroked="true" strokeweight=".06pt" strokecolor="#000000"/>
            <v:line style="position:absolute" from="10122,300" to="11346,300" stroked="true" strokeweight=".06pt" strokecolor="#000000"/>
            <v:line style="position:absolute" from="10122,301" to="11346,301" stroked="true" strokeweight=".06pt" strokecolor="#000000"/>
            <v:line style="position:absolute" from="10122,303" to="11346,303" stroked="true" strokeweight=".06pt" strokecolor="#000000"/>
            <v:line style="position:absolute" from="10122,304" to="11346,304" stroked="true" strokeweight=".06pt" strokecolor="#000000"/>
            <v:line style="position:absolute" from="10122,305" to="11346,305" stroked="true" strokeweight=".06pt" strokecolor="#000000"/>
            <v:line style="position:absolute" from="10122,306" to="11346,306" stroked="true" strokeweight=".06pt" strokecolor="#000000"/>
            <v:line style="position:absolute" from="10122,307" to="11346,307" stroked="true" strokeweight=".06pt" strokecolor="#000000"/>
            <v:line style="position:absolute" from="10122,309" to="11346,309" stroked="true" strokeweight=".06pt" strokecolor="#000000"/>
            <w10:wrap type="topAndBottom"/>
          </v:group>
        </w:pict>
      </w:r>
      <w:r>
        <w:rPr/>
        <w:drawing>
          <wp:anchor distT="0" distB="0" distL="0" distR="0" allowOverlap="1" layoutInCell="1" locked="0" behindDoc="0" simplePos="0" relativeHeight="7552">
            <wp:simplePos x="0" y="0"/>
            <wp:positionH relativeFrom="page">
              <wp:posOffset>-1587</wp:posOffset>
            </wp:positionH>
            <wp:positionV relativeFrom="paragraph">
              <wp:posOffset>443025</wp:posOffset>
            </wp:positionV>
            <wp:extent cx="135159" cy="154019"/>
            <wp:effectExtent l="0" t="0" r="0" b="0"/>
            <wp:wrapNone/>
            <wp:docPr id="503" name="image13.png" descr=""/>
            <wp:cNvGraphicFramePr>
              <a:graphicFrameLocks noChangeAspect="1"/>
            </wp:cNvGraphicFramePr>
            <a:graphic>
              <a:graphicData uri="http://schemas.openxmlformats.org/drawingml/2006/picture">
                <pic:pic>
                  <pic:nvPicPr>
                    <pic:cNvPr id="504" name="image13.png"/>
                    <pic:cNvPicPr/>
                  </pic:nvPicPr>
                  <pic:blipFill>
                    <a:blip r:embed="rId18" cstate="print"/>
                    <a:stretch>
                      <a:fillRect/>
                    </a:stretch>
                  </pic:blipFill>
                  <pic:spPr>
                    <a:xfrm>
                      <a:off x="0" y="0"/>
                      <a:ext cx="135159" cy="154019"/>
                    </a:xfrm>
                    <a:prstGeom prst="rect">
                      <a:avLst/>
                    </a:prstGeom>
                  </pic:spPr>
                </pic:pic>
              </a:graphicData>
            </a:graphic>
          </wp:anchor>
        </w:drawing>
      </w:r>
      <w:r>
        <w:rPr/>
        <w:drawing>
          <wp:anchor distT="0" distB="0" distL="0" distR="0" allowOverlap="1" layoutInCell="1" locked="0" behindDoc="0" simplePos="0" relativeHeight="7576">
            <wp:simplePos x="0" y="0"/>
            <wp:positionH relativeFrom="page">
              <wp:posOffset>7958429</wp:posOffset>
            </wp:positionH>
            <wp:positionV relativeFrom="paragraph">
              <wp:posOffset>443025</wp:posOffset>
            </wp:positionV>
            <wp:extent cx="135953" cy="155575"/>
            <wp:effectExtent l="0" t="0" r="0" b="0"/>
            <wp:wrapNone/>
            <wp:docPr id="505" name="image15.png" descr=""/>
            <wp:cNvGraphicFramePr>
              <a:graphicFrameLocks noChangeAspect="1"/>
            </wp:cNvGraphicFramePr>
            <a:graphic>
              <a:graphicData uri="http://schemas.openxmlformats.org/drawingml/2006/picture">
                <pic:pic>
                  <pic:nvPicPr>
                    <pic:cNvPr id="506" name="image15.png"/>
                    <pic:cNvPicPr/>
                  </pic:nvPicPr>
                  <pic:blipFill>
                    <a:blip r:embed="rId20" cstate="print"/>
                    <a:stretch>
                      <a:fillRect/>
                    </a:stretch>
                  </pic:blipFill>
                  <pic:spPr>
                    <a:xfrm>
                      <a:off x="0" y="0"/>
                      <a:ext cx="135953" cy="155575"/>
                    </a:xfrm>
                    <a:prstGeom prst="rect">
                      <a:avLst/>
                    </a:prstGeom>
                  </pic:spPr>
                </pic:pic>
              </a:graphicData>
            </a:graphic>
          </wp:anchor>
        </w:drawing>
      </w:r>
      <w:r>
        <w:rPr/>
        <w:t>Other</w:t>
      </w:r>
      <w:r>
        <w:rPr>
          <w:spacing w:val="-7"/>
        </w:rPr>
        <w:t> </w:t>
      </w:r>
      <w:r>
        <w:rPr/>
        <w:t>comprehensive</w:t>
      </w:r>
      <w:r>
        <w:rPr>
          <w:spacing w:val="-7"/>
        </w:rPr>
        <w:t> </w:t>
      </w:r>
      <w:r>
        <w:rPr/>
        <w:t>income</w:t>
        <w:tab/>
        <w:t>-</w:t>
        <w:tab/>
        <w:t>-</w:t>
        <w:tab/>
        <w:t>-</w:t>
      </w:r>
    </w:p>
    <w:p>
      <w:pPr>
        <w:tabs>
          <w:tab w:pos="8709" w:val="left" w:leader="none"/>
          <w:tab w:pos="9235" w:val="left" w:leader="none"/>
          <w:tab w:pos="10459" w:val="left" w:leader="none"/>
        </w:tabs>
        <w:spacing w:before="84"/>
        <w:ind w:left="1455" w:right="0" w:firstLine="0"/>
        <w:jc w:val="left"/>
        <w:rPr>
          <w:sz w:val="18"/>
        </w:rPr>
      </w:pPr>
      <w:r>
        <w:rPr>
          <w:b/>
          <w:sz w:val="18"/>
        </w:rPr>
        <w:t>Balance at 31</w:t>
      </w:r>
      <w:r>
        <w:rPr>
          <w:b/>
          <w:spacing w:val="-11"/>
          <w:sz w:val="18"/>
        </w:rPr>
        <w:t> </w:t>
      </w:r>
      <w:r>
        <w:rPr>
          <w:b/>
          <w:sz w:val="18"/>
        </w:rPr>
        <w:t>December</w:t>
      </w:r>
      <w:r>
        <w:rPr>
          <w:b/>
          <w:spacing w:val="-4"/>
          <w:sz w:val="18"/>
        </w:rPr>
        <w:t> </w:t>
      </w:r>
      <w:r>
        <w:rPr>
          <w:b/>
          <w:sz w:val="18"/>
        </w:rPr>
        <w:t>2015</w:t>
        <w:tab/>
      </w:r>
      <w:r>
        <w:rPr>
          <w:sz w:val="18"/>
        </w:rPr>
        <w:t>1</w:t>
        <w:tab/>
        <w:t>6,765,448</w:t>
        <w:tab/>
        <w:t>6,765,449</w:t>
      </w:r>
    </w:p>
    <w:p>
      <w:pPr>
        <w:pStyle w:val="BodyText"/>
        <w:spacing w:line="50" w:lineRule="exact"/>
        <w:ind w:left="7673"/>
        <w:rPr>
          <w:sz w:val="5"/>
        </w:rPr>
      </w:pPr>
      <w:r>
        <w:rPr>
          <w:position w:val="0"/>
          <w:sz w:val="5"/>
        </w:rPr>
        <w:pict>
          <v:group style="width:183.7pt;height:2.5pt;mso-position-horizontal-relative:char;mso-position-vertical-relative:line" coordorigin="0,0" coordsize="3674,50">
            <v:line style="position:absolute" from="1,1" to="1225,1" stroked="true" strokeweight=".06pt" strokecolor="#000000"/>
            <v:line style="position:absolute" from="1,2" to="1225,2" stroked="true" strokeweight=".06pt" strokecolor="#000000"/>
            <v:line style="position:absolute" from="1,3" to="1225,3" stroked="true" strokeweight=".06pt" strokecolor="#000000"/>
            <v:line style="position:absolute" from="1,5" to="1225,5" stroked="true" strokeweight=".06pt" strokecolor="#000000"/>
            <v:line style="position:absolute" from="1,6" to="1225,6" stroked="true" strokeweight=".06pt" strokecolor="#000000"/>
            <v:line style="position:absolute" from="1,7" to="1225,7" stroked="true" strokeweight=".06pt" strokecolor="#000000"/>
            <v:line style="position:absolute" from="1,8" to="1225,8" stroked="true" strokeweight=".06pt" strokecolor="#000000"/>
            <v:line style="position:absolute" from="1,9" to="1225,9" stroked="true" strokeweight=".06pt" strokecolor="#000000"/>
            <v:line style="position:absolute" from="1,11" to="1225,11" stroked="true" strokeweight=".06pt" strokecolor="#000000"/>
            <v:line style="position:absolute" from="1,12" to="1225,12" stroked="true" strokeweight=".06pt" strokecolor="#000000"/>
            <v:line style="position:absolute" from="1,13" to="1225,13" stroked="true" strokeweight=".06pt" strokecolor="#000000"/>
            <v:line style="position:absolute" from="1,14" to="1225,14" stroked="true" strokeweight=".06pt" strokecolor="#000000"/>
            <v:line style="position:absolute" from="1,15" to="1225,15" stroked="true" strokeweight=".06pt" strokecolor="#000000"/>
            <v:line style="position:absolute" from="1,35" to="1225,35" stroked="true" strokeweight=".06pt" strokecolor="#000000"/>
            <v:line style="position:absolute" from="1,36" to="1225,36" stroked="true" strokeweight=".06pt" strokecolor="#000000"/>
            <v:line style="position:absolute" from="1,37" to="1225,37" stroked="true" strokeweight=".06pt" strokecolor="#000000"/>
            <v:line style="position:absolute" from="1,38" to="1225,38" stroked="true" strokeweight=".06pt" strokecolor="#000000"/>
            <v:line style="position:absolute" from="1,39" to="1225,39" stroked="true" strokeweight=".06pt" strokecolor="#000000"/>
            <v:line style="position:absolute" from="1,41" to="1225,41" stroked="true" strokeweight=".06pt" strokecolor="#000000"/>
            <v:line style="position:absolute" from="1,42" to="1225,42" stroked="true" strokeweight=".06pt" strokecolor="#000000"/>
            <v:line style="position:absolute" from="1,43" to="1225,43" stroked="true" strokeweight=".06pt" strokecolor="#000000"/>
            <v:line style="position:absolute" from="1,44" to="1225,44" stroked="true" strokeweight=".06pt" strokecolor="#000000"/>
            <v:line style="position:absolute" from="1,45" to="1225,45" stroked="true" strokeweight=".06pt" strokecolor="#000000"/>
            <v:line style="position:absolute" from="1,47" to="1225,47" stroked="true" strokeweight=".06pt" strokecolor="#000000"/>
            <v:line style="position:absolute" from="1,48" to="1225,48" stroked="true" strokeweight=".06pt" strokecolor="#000000"/>
            <v:line style="position:absolute" from="1,49" to="1225,49" stroked="true" strokeweight=".06pt" strokecolor="#000000"/>
            <v:line style="position:absolute" from="1225,1" to="2449,1" stroked="true" strokeweight=".06pt" strokecolor="#000000"/>
            <v:line style="position:absolute" from="1225,2" to="2449,2" stroked="true" strokeweight=".06pt" strokecolor="#000000"/>
            <v:line style="position:absolute" from="1225,3" to="2449,3" stroked="true" strokeweight=".06pt" strokecolor="#000000"/>
            <v:line style="position:absolute" from="1225,5" to="2449,5" stroked="true" strokeweight=".06pt" strokecolor="#000000"/>
            <v:line style="position:absolute" from="1225,6" to="2449,6" stroked="true" strokeweight=".06pt" strokecolor="#000000"/>
            <v:line style="position:absolute" from="1225,7" to="2449,7" stroked="true" strokeweight=".06pt" strokecolor="#000000"/>
            <v:line style="position:absolute" from="1225,8" to="2449,8" stroked="true" strokeweight=".06pt" strokecolor="#000000"/>
            <v:line style="position:absolute" from="1225,9" to="2449,9" stroked="true" strokeweight=".06pt" strokecolor="#000000"/>
            <v:line style="position:absolute" from="1225,11" to="2449,11" stroked="true" strokeweight=".06pt" strokecolor="#000000"/>
            <v:line style="position:absolute" from="1225,12" to="2449,12" stroked="true" strokeweight=".06pt" strokecolor="#000000"/>
            <v:line style="position:absolute" from="1225,13" to="2449,13" stroked="true" strokeweight=".06pt" strokecolor="#000000"/>
            <v:line style="position:absolute" from="1225,14" to="2449,14" stroked="true" strokeweight=".06pt" strokecolor="#000000"/>
            <v:line style="position:absolute" from="1225,15" to="2449,15" stroked="true" strokeweight=".06pt" strokecolor="#000000"/>
            <v:line style="position:absolute" from="1225,35" to="2449,35" stroked="true" strokeweight=".06pt" strokecolor="#000000"/>
            <v:line style="position:absolute" from="1225,36" to="2449,36" stroked="true" strokeweight=".06pt" strokecolor="#000000"/>
            <v:line style="position:absolute" from="1225,37" to="2449,37" stroked="true" strokeweight=".06pt" strokecolor="#000000"/>
            <v:line style="position:absolute" from="1225,38" to="2449,38" stroked="true" strokeweight=".06pt" strokecolor="#000000"/>
            <v:line style="position:absolute" from="1225,39" to="2449,39" stroked="true" strokeweight=".06pt" strokecolor="#000000"/>
            <v:line style="position:absolute" from="1225,41" to="2449,41" stroked="true" strokeweight=".06pt" strokecolor="#000000"/>
            <v:line style="position:absolute" from="1225,42" to="2449,42" stroked="true" strokeweight=".06pt" strokecolor="#000000"/>
            <v:line style="position:absolute" from="1225,43" to="2449,43" stroked="true" strokeweight=".06pt" strokecolor="#000000"/>
            <v:line style="position:absolute" from="1225,44" to="2449,44" stroked="true" strokeweight=".06pt" strokecolor="#000000"/>
            <v:line style="position:absolute" from="1225,45" to="2449,45" stroked="true" strokeweight=".06pt" strokecolor="#000000"/>
            <v:line style="position:absolute" from="1225,47" to="2449,47" stroked="true" strokeweight=".06pt" strokecolor="#000000"/>
            <v:line style="position:absolute" from="1225,48" to="2449,48" stroked="true" strokeweight=".06pt" strokecolor="#000000"/>
            <v:line style="position:absolute" from="1225,49" to="2449,49" stroked="true" strokeweight=".06pt" strokecolor="#000000"/>
            <v:line style="position:absolute" from="2449,1" to="3673,1" stroked="true" strokeweight=".06pt" strokecolor="#000000"/>
            <v:line style="position:absolute" from="2449,2" to="3673,2" stroked="true" strokeweight=".06pt" strokecolor="#000000"/>
            <v:line style="position:absolute" from="2449,3" to="3673,3" stroked="true" strokeweight=".06pt" strokecolor="#000000"/>
            <v:line style="position:absolute" from="2449,5" to="3673,5" stroked="true" strokeweight=".06pt" strokecolor="#000000"/>
            <v:line style="position:absolute" from="2449,6" to="3673,6" stroked="true" strokeweight=".06pt" strokecolor="#000000"/>
            <v:line style="position:absolute" from="2449,7" to="3673,7" stroked="true" strokeweight=".06pt" strokecolor="#000000"/>
            <v:line style="position:absolute" from="2449,8" to="3673,8" stroked="true" strokeweight=".06pt" strokecolor="#000000"/>
            <v:line style="position:absolute" from="2449,9" to="3673,9" stroked="true" strokeweight=".06pt" strokecolor="#000000"/>
            <v:line style="position:absolute" from="2449,11" to="3673,11" stroked="true" strokeweight=".06pt" strokecolor="#000000"/>
            <v:line style="position:absolute" from="2449,12" to="3673,12" stroked="true" strokeweight=".06pt" strokecolor="#000000"/>
            <v:line style="position:absolute" from="2449,13" to="3673,13" stroked="true" strokeweight=".06pt" strokecolor="#000000"/>
            <v:line style="position:absolute" from="2449,14" to="3673,14" stroked="true" strokeweight=".06pt" strokecolor="#000000"/>
            <v:line style="position:absolute" from="2449,15" to="3673,15" stroked="true" strokeweight=".06pt" strokecolor="#000000"/>
            <v:line style="position:absolute" from="2449,35" to="3673,35" stroked="true" strokeweight=".06pt" strokecolor="#000000"/>
            <v:line style="position:absolute" from="2449,36" to="3673,36" stroked="true" strokeweight=".06pt" strokecolor="#000000"/>
            <v:line style="position:absolute" from="2449,37" to="3673,37" stroked="true" strokeweight=".06pt" strokecolor="#000000"/>
            <v:line style="position:absolute" from="2449,38" to="3673,38" stroked="true" strokeweight=".06pt" strokecolor="#000000"/>
            <v:line style="position:absolute" from="2449,39" to="3673,39" stroked="true" strokeweight=".06pt" strokecolor="#000000"/>
            <v:line style="position:absolute" from="2449,41" to="3673,41" stroked="true" strokeweight=".06pt" strokecolor="#000000"/>
            <v:line style="position:absolute" from="2449,42" to="3673,42" stroked="true" strokeweight=".06pt" strokecolor="#000000"/>
            <v:line style="position:absolute" from="2449,43" to="3673,43" stroked="true" strokeweight=".06pt" strokecolor="#000000"/>
            <v:line style="position:absolute" from="2449,44" to="3673,44" stroked="true" strokeweight=".06pt" strokecolor="#000000"/>
            <v:line style="position:absolute" from="2449,45" to="3673,45" stroked="true" strokeweight=".06pt" strokecolor="#000000"/>
            <v:line style="position:absolute" from="2449,47" to="3673,47" stroked="true" strokeweight=".06pt" strokecolor="#000000"/>
            <v:line style="position:absolute" from="2449,48" to="3673,48" stroked="true" strokeweight=".06pt" strokecolor="#000000"/>
            <v:line style="position:absolute" from="2449,49" to="3673,49" stroked="true" strokeweight=".06pt" strokecolor="#000000"/>
          </v:group>
        </w:pict>
      </w:r>
      <w:r>
        <w:rPr>
          <w:position w:val="0"/>
          <w:sz w:val="5"/>
        </w:rPr>
      </w:r>
    </w:p>
    <w:p>
      <w:pPr>
        <w:spacing w:after="0" w:line="50" w:lineRule="exact"/>
        <w:rPr>
          <w:sz w:val="5"/>
        </w:rPr>
        <w:sectPr>
          <w:type w:val="continuous"/>
          <w:pgSz w:w="12750" w:h="17680"/>
          <w:pgMar w:top="1660" w:bottom="0" w:left="0" w:right="0"/>
        </w:sectPr>
      </w:pPr>
    </w:p>
    <w:p>
      <w:pPr>
        <w:pStyle w:val="BodyText"/>
        <w:spacing w:before="2"/>
        <w:rPr>
          <w:sz w:val="24"/>
        </w:rPr>
      </w:pPr>
    </w:p>
    <w:tbl>
      <w:tblPr>
        <w:tblW w:w="0" w:type="auto"/>
        <w:jc w:val="left"/>
        <w:tblInd w:w="139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440"/>
        <w:gridCol w:w="1917"/>
        <w:gridCol w:w="1408"/>
        <w:gridCol w:w="1186"/>
      </w:tblGrid>
      <w:tr>
        <w:trPr>
          <w:trHeight w:val="911" w:hRule="exact"/>
        </w:trPr>
        <w:tc>
          <w:tcPr>
            <w:tcW w:w="5440" w:type="dxa"/>
          </w:tcPr>
          <w:p>
            <w:pPr>
              <w:pStyle w:val="TableParagraph"/>
              <w:spacing w:before="64"/>
              <w:ind w:left="35"/>
              <w:jc w:val="left"/>
              <w:rPr>
                <w:b/>
                <w:sz w:val="28"/>
              </w:rPr>
            </w:pPr>
            <w:r>
              <w:rPr>
                <w:b/>
                <w:sz w:val="28"/>
              </w:rPr>
              <w:t>Statement of Cash Flows</w:t>
            </w:r>
          </w:p>
          <w:p>
            <w:pPr>
              <w:pStyle w:val="TableParagraph"/>
              <w:spacing w:before="57"/>
              <w:ind w:left="35"/>
              <w:jc w:val="left"/>
              <w:rPr>
                <w:b/>
                <w:sz w:val="22"/>
              </w:rPr>
            </w:pPr>
            <w:bookmarkStart w:name="Statement of Cash Flows" w:id="182"/>
            <w:bookmarkEnd w:id="182"/>
            <w:r>
              <w:rPr/>
            </w:r>
            <w:r>
              <w:rPr>
                <w:b/>
                <w:sz w:val="22"/>
              </w:rPr>
              <w:t>For the Year Ended 31 December 2016</w:t>
            </w:r>
          </w:p>
        </w:tc>
        <w:tc>
          <w:tcPr>
            <w:tcW w:w="4511" w:type="dxa"/>
            <w:gridSpan w:val="3"/>
          </w:tcPr>
          <w:p>
            <w:pPr/>
          </w:p>
        </w:tc>
      </w:tr>
      <w:tr>
        <w:trPr>
          <w:trHeight w:val="447" w:hRule="exact"/>
        </w:trPr>
        <w:tc>
          <w:tcPr>
            <w:tcW w:w="5440" w:type="dxa"/>
          </w:tcPr>
          <w:p>
            <w:pPr/>
          </w:p>
        </w:tc>
        <w:tc>
          <w:tcPr>
            <w:tcW w:w="1917" w:type="dxa"/>
          </w:tcPr>
          <w:p>
            <w:pPr/>
          </w:p>
        </w:tc>
        <w:tc>
          <w:tcPr>
            <w:tcW w:w="1408" w:type="dxa"/>
          </w:tcPr>
          <w:p>
            <w:pPr>
              <w:pStyle w:val="TableParagraph"/>
              <w:spacing w:before="1"/>
              <w:jc w:val="left"/>
              <w:rPr>
                <w:sz w:val="17"/>
              </w:rPr>
            </w:pPr>
          </w:p>
          <w:p>
            <w:pPr>
              <w:pStyle w:val="TableParagraph"/>
              <w:ind w:left="675"/>
              <w:jc w:val="left"/>
              <w:rPr>
                <w:b/>
                <w:sz w:val="18"/>
              </w:rPr>
            </w:pPr>
            <w:r>
              <w:rPr>
                <w:b/>
                <w:sz w:val="18"/>
              </w:rPr>
              <w:t>2016</w:t>
            </w:r>
          </w:p>
        </w:tc>
        <w:tc>
          <w:tcPr>
            <w:tcW w:w="1186" w:type="dxa"/>
          </w:tcPr>
          <w:p>
            <w:pPr>
              <w:pStyle w:val="TableParagraph"/>
              <w:spacing w:before="1"/>
              <w:jc w:val="left"/>
              <w:rPr>
                <w:sz w:val="17"/>
              </w:rPr>
            </w:pPr>
          </w:p>
          <w:p>
            <w:pPr>
              <w:pStyle w:val="TableParagraph"/>
              <w:ind w:left="564"/>
              <w:jc w:val="left"/>
              <w:rPr>
                <w:b/>
                <w:sz w:val="18"/>
              </w:rPr>
            </w:pPr>
            <w:r>
              <w:rPr>
                <w:b/>
                <w:sz w:val="18"/>
              </w:rPr>
              <w:t>2015</w:t>
            </w:r>
          </w:p>
        </w:tc>
      </w:tr>
      <w:tr>
        <w:trPr>
          <w:trHeight w:val="313" w:hRule="exact"/>
        </w:trPr>
        <w:tc>
          <w:tcPr>
            <w:tcW w:w="5440" w:type="dxa"/>
          </w:tcPr>
          <w:p>
            <w:pPr/>
          </w:p>
        </w:tc>
        <w:tc>
          <w:tcPr>
            <w:tcW w:w="1917" w:type="dxa"/>
          </w:tcPr>
          <w:p>
            <w:pPr>
              <w:pStyle w:val="TableParagraph"/>
              <w:spacing w:before="24"/>
              <w:ind w:left="1357" w:right="19"/>
              <w:jc w:val="center"/>
              <w:rPr>
                <w:b/>
                <w:sz w:val="18"/>
              </w:rPr>
            </w:pPr>
            <w:r>
              <w:rPr>
                <w:b/>
                <w:sz w:val="18"/>
              </w:rPr>
              <w:t>Notes</w:t>
            </w:r>
          </w:p>
        </w:tc>
        <w:tc>
          <w:tcPr>
            <w:tcW w:w="1408" w:type="dxa"/>
          </w:tcPr>
          <w:p>
            <w:pPr>
              <w:pStyle w:val="TableParagraph"/>
              <w:spacing w:before="24"/>
              <w:ind w:right="354"/>
              <w:rPr>
                <w:b/>
                <w:sz w:val="18"/>
              </w:rPr>
            </w:pPr>
            <w:r>
              <w:rPr>
                <w:b/>
                <w:w w:val="99"/>
                <w:sz w:val="18"/>
              </w:rPr>
              <w:t>$</w:t>
            </w:r>
          </w:p>
        </w:tc>
        <w:tc>
          <w:tcPr>
            <w:tcW w:w="1186" w:type="dxa"/>
          </w:tcPr>
          <w:p>
            <w:pPr>
              <w:pStyle w:val="TableParagraph"/>
              <w:spacing w:before="24"/>
              <w:ind w:right="268"/>
              <w:rPr>
                <w:b/>
                <w:sz w:val="18"/>
              </w:rPr>
            </w:pPr>
            <w:r>
              <w:rPr>
                <w:b/>
                <w:w w:val="99"/>
                <w:sz w:val="18"/>
              </w:rPr>
              <w:t>$</w:t>
            </w:r>
          </w:p>
        </w:tc>
      </w:tr>
      <w:tr>
        <w:trPr>
          <w:trHeight w:val="543" w:hRule="exact"/>
        </w:trPr>
        <w:tc>
          <w:tcPr>
            <w:tcW w:w="5440" w:type="dxa"/>
          </w:tcPr>
          <w:p>
            <w:pPr>
              <w:pStyle w:val="TableParagraph"/>
              <w:spacing w:before="63"/>
              <w:ind w:left="62"/>
              <w:jc w:val="left"/>
              <w:rPr>
                <w:b/>
                <w:sz w:val="18"/>
              </w:rPr>
            </w:pPr>
            <w:r>
              <w:rPr>
                <w:b/>
                <w:sz w:val="18"/>
              </w:rPr>
              <w:t>CASH FLOWS FROM OPERATING ACTIVITIES:</w:t>
            </w:r>
          </w:p>
          <w:p>
            <w:pPr>
              <w:pStyle w:val="TableParagraph"/>
              <w:spacing w:before="27"/>
              <w:ind w:left="62"/>
              <w:jc w:val="left"/>
              <w:rPr>
                <w:sz w:val="18"/>
              </w:rPr>
            </w:pPr>
            <w:r>
              <w:rPr>
                <w:sz w:val="18"/>
              </w:rPr>
              <w:t>Receipts from customers</w:t>
            </w:r>
          </w:p>
        </w:tc>
        <w:tc>
          <w:tcPr>
            <w:tcW w:w="1917" w:type="dxa"/>
          </w:tcPr>
          <w:p>
            <w:pPr/>
          </w:p>
        </w:tc>
        <w:tc>
          <w:tcPr>
            <w:tcW w:w="1408" w:type="dxa"/>
          </w:tcPr>
          <w:p>
            <w:pPr>
              <w:pStyle w:val="TableParagraph"/>
              <w:spacing w:before="11"/>
              <w:jc w:val="left"/>
              <w:rPr>
                <w:sz w:val="25"/>
              </w:rPr>
            </w:pPr>
          </w:p>
          <w:p>
            <w:pPr>
              <w:pStyle w:val="TableParagraph"/>
              <w:ind w:left="310"/>
              <w:jc w:val="left"/>
              <w:rPr>
                <w:b/>
                <w:sz w:val="18"/>
              </w:rPr>
            </w:pPr>
            <w:r>
              <w:rPr>
                <w:b/>
                <w:sz w:val="18"/>
              </w:rPr>
              <w:t>60,604,124</w:t>
            </w:r>
          </w:p>
        </w:tc>
        <w:tc>
          <w:tcPr>
            <w:tcW w:w="1186" w:type="dxa"/>
          </w:tcPr>
          <w:p>
            <w:pPr>
              <w:pStyle w:val="TableParagraph"/>
              <w:spacing w:before="11"/>
              <w:jc w:val="left"/>
              <w:rPr>
                <w:sz w:val="25"/>
              </w:rPr>
            </w:pPr>
          </w:p>
          <w:p>
            <w:pPr>
              <w:pStyle w:val="TableParagraph"/>
              <w:ind w:right="86"/>
              <w:rPr>
                <w:sz w:val="18"/>
              </w:rPr>
            </w:pPr>
            <w:r>
              <w:rPr>
                <w:w w:val="95"/>
                <w:sz w:val="18"/>
              </w:rPr>
              <w:t>61,405,545</w:t>
            </w:r>
          </w:p>
        </w:tc>
      </w:tr>
      <w:tr>
        <w:trPr>
          <w:trHeight w:val="264" w:hRule="exact"/>
        </w:trPr>
        <w:tc>
          <w:tcPr>
            <w:tcW w:w="5440" w:type="dxa"/>
          </w:tcPr>
          <w:p>
            <w:pPr>
              <w:pStyle w:val="TableParagraph"/>
              <w:spacing w:before="18"/>
              <w:ind w:left="62"/>
              <w:jc w:val="left"/>
              <w:rPr>
                <w:sz w:val="18"/>
              </w:rPr>
            </w:pPr>
            <w:r>
              <w:rPr>
                <w:sz w:val="18"/>
              </w:rPr>
              <w:t>Payments to suppliers and employees</w:t>
            </w:r>
          </w:p>
        </w:tc>
        <w:tc>
          <w:tcPr>
            <w:tcW w:w="1917" w:type="dxa"/>
          </w:tcPr>
          <w:p>
            <w:pPr/>
          </w:p>
        </w:tc>
        <w:tc>
          <w:tcPr>
            <w:tcW w:w="1408" w:type="dxa"/>
          </w:tcPr>
          <w:p>
            <w:pPr>
              <w:pStyle w:val="TableParagraph"/>
              <w:spacing w:before="19"/>
              <w:ind w:right="139"/>
              <w:rPr>
                <w:b/>
                <w:sz w:val="18"/>
              </w:rPr>
            </w:pPr>
            <w:r>
              <w:rPr>
                <w:b/>
                <w:w w:val="95"/>
                <w:sz w:val="18"/>
              </w:rPr>
              <w:t>(58,698,091)</w:t>
            </w:r>
          </w:p>
        </w:tc>
        <w:tc>
          <w:tcPr>
            <w:tcW w:w="1186" w:type="dxa"/>
          </w:tcPr>
          <w:p>
            <w:pPr>
              <w:pStyle w:val="TableParagraph"/>
              <w:spacing w:before="19"/>
              <w:ind w:right="27"/>
              <w:rPr>
                <w:sz w:val="18"/>
              </w:rPr>
            </w:pPr>
            <w:r>
              <w:rPr>
                <w:w w:val="95"/>
                <w:sz w:val="18"/>
              </w:rPr>
              <w:t>(60,022,386)</w:t>
            </w:r>
          </w:p>
        </w:tc>
      </w:tr>
      <w:tr>
        <w:trPr>
          <w:trHeight w:val="264" w:hRule="exact"/>
        </w:trPr>
        <w:tc>
          <w:tcPr>
            <w:tcW w:w="5440" w:type="dxa"/>
          </w:tcPr>
          <w:p>
            <w:pPr>
              <w:pStyle w:val="TableParagraph"/>
              <w:spacing w:before="18"/>
              <w:ind w:left="62"/>
              <w:jc w:val="left"/>
              <w:rPr>
                <w:sz w:val="18"/>
              </w:rPr>
            </w:pPr>
            <w:r>
              <w:rPr>
                <w:sz w:val="18"/>
              </w:rPr>
              <w:t>Interest received</w:t>
            </w:r>
          </w:p>
        </w:tc>
        <w:tc>
          <w:tcPr>
            <w:tcW w:w="1917" w:type="dxa"/>
          </w:tcPr>
          <w:p>
            <w:pPr/>
          </w:p>
        </w:tc>
        <w:tc>
          <w:tcPr>
            <w:tcW w:w="1408" w:type="dxa"/>
          </w:tcPr>
          <w:p>
            <w:pPr>
              <w:pStyle w:val="TableParagraph"/>
              <w:spacing w:before="19"/>
              <w:ind w:right="197"/>
              <w:rPr>
                <w:b/>
                <w:sz w:val="18"/>
              </w:rPr>
            </w:pPr>
            <w:r>
              <w:rPr>
                <w:b/>
                <w:w w:val="95"/>
                <w:sz w:val="18"/>
              </w:rPr>
              <w:t>49,502</w:t>
            </w:r>
          </w:p>
        </w:tc>
        <w:tc>
          <w:tcPr>
            <w:tcW w:w="1186" w:type="dxa"/>
          </w:tcPr>
          <w:p>
            <w:pPr>
              <w:pStyle w:val="TableParagraph"/>
              <w:spacing w:before="19"/>
              <w:ind w:right="86"/>
              <w:rPr>
                <w:sz w:val="18"/>
              </w:rPr>
            </w:pPr>
            <w:r>
              <w:rPr>
                <w:w w:val="95"/>
                <w:sz w:val="18"/>
              </w:rPr>
              <w:t>17,661</w:t>
            </w:r>
          </w:p>
        </w:tc>
      </w:tr>
      <w:tr>
        <w:trPr>
          <w:trHeight w:val="264" w:hRule="exact"/>
        </w:trPr>
        <w:tc>
          <w:tcPr>
            <w:tcW w:w="5440" w:type="dxa"/>
          </w:tcPr>
          <w:p>
            <w:pPr>
              <w:pStyle w:val="TableParagraph"/>
              <w:spacing w:before="18"/>
              <w:ind w:left="62"/>
              <w:jc w:val="left"/>
              <w:rPr>
                <w:sz w:val="18"/>
              </w:rPr>
            </w:pPr>
            <w:r>
              <w:rPr>
                <w:sz w:val="18"/>
              </w:rPr>
              <w:t>Australian Government Grants</w:t>
            </w:r>
          </w:p>
        </w:tc>
        <w:tc>
          <w:tcPr>
            <w:tcW w:w="1917" w:type="dxa"/>
          </w:tcPr>
          <w:p>
            <w:pPr/>
          </w:p>
        </w:tc>
        <w:tc>
          <w:tcPr>
            <w:tcW w:w="1408" w:type="dxa"/>
          </w:tcPr>
          <w:p>
            <w:pPr>
              <w:pStyle w:val="TableParagraph"/>
              <w:spacing w:before="19"/>
              <w:ind w:right="110"/>
              <w:jc w:val="center"/>
              <w:rPr>
                <w:b/>
                <w:sz w:val="18"/>
              </w:rPr>
            </w:pPr>
            <w:r>
              <w:rPr>
                <w:b/>
                <w:w w:val="99"/>
                <w:sz w:val="18"/>
              </w:rPr>
              <w:t>-</w:t>
            </w:r>
          </w:p>
        </w:tc>
        <w:tc>
          <w:tcPr>
            <w:tcW w:w="1186" w:type="dxa"/>
          </w:tcPr>
          <w:p>
            <w:pPr>
              <w:pStyle w:val="TableParagraph"/>
              <w:spacing w:before="19"/>
              <w:ind w:right="86"/>
              <w:rPr>
                <w:sz w:val="18"/>
              </w:rPr>
            </w:pPr>
            <w:r>
              <w:rPr>
                <w:w w:val="95"/>
                <w:sz w:val="18"/>
              </w:rPr>
              <w:t>160,000</w:t>
            </w:r>
          </w:p>
        </w:tc>
      </w:tr>
      <w:tr>
        <w:trPr>
          <w:trHeight w:val="263" w:hRule="exact"/>
        </w:trPr>
        <w:tc>
          <w:tcPr>
            <w:tcW w:w="5440" w:type="dxa"/>
          </w:tcPr>
          <w:p>
            <w:pPr>
              <w:pStyle w:val="TableParagraph"/>
              <w:spacing w:before="18"/>
              <w:ind w:left="62"/>
              <w:jc w:val="left"/>
              <w:rPr>
                <w:sz w:val="18"/>
              </w:rPr>
            </w:pPr>
            <w:r>
              <w:rPr>
                <w:sz w:val="18"/>
              </w:rPr>
              <w:t>Other receipts / (payments)</w:t>
            </w:r>
          </w:p>
        </w:tc>
        <w:tc>
          <w:tcPr>
            <w:tcW w:w="1917" w:type="dxa"/>
          </w:tcPr>
          <w:p>
            <w:pPr/>
          </w:p>
        </w:tc>
        <w:tc>
          <w:tcPr>
            <w:tcW w:w="1408" w:type="dxa"/>
            <w:tcBorders>
              <w:bottom w:val="single" w:sz="0" w:space="0" w:color="000000"/>
            </w:tcBorders>
          </w:tcPr>
          <w:p>
            <w:pPr>
              <w:pStyle w:val="TableParagraph"/>
              <w:spacing w:before="19"/>
              <w:ind w:right="197"/>
              <w:rPr>
                <w:b/>
                <w:sz w:val="18"/>
              </w:rPr>
            </w:pPr>
            <w:r>
              <w:rPr>
                <w:b/>
                <w:w w:val="95"/>
                <w:sz w:val="18"/>
              </w:rPr>
              <w:t>329,105</w:t>
            </w:r>
          </w:p>
        </w:tc>
        <w:tc>
          <w:tcPr>
            <w:tcW w:w="1186" w:type="dxa"/>
            <w:tcBorders>
              <w:bottom w:val="single" w:sz="0" w:space="0" w:color="000000"/>
            </w:tcBorders>
          </w:tcPr>
          <w:p>
            <w:pPr>
              <w:pStyle w:val="TableParagraph"/>
              <w:spacing w:before="19"/>
              <w:ind w:right="86"/>
              <w:rPr>
                <w:sz w:val="18"/>
              </w:rPr>
            </w:pPr>
            <w:r>
              <w:rPr>
                <w:w w:val="95"/>
                <w:sz w:val="18"/>
              </w:rPr>
              <w:t>222,744</w:t>
            </w:r>
          </w:p>
        </w:tc>
      </w:tr>
      <w:tr>
        <w:trPr>
          <w:trHeight w:val="338" w:hRule="exact"/>
        </w:trPr>
        <w:tc>
          <w:tcPr>
            <w:tcW w:w="5440" w:type="dxa"/>
          </w:tcPr>
          <w:p>
            <w:pPr>
              <w:pStyle w:val="TableParagraph"/>
              <w:spacing w:before="38"/>
              <w:ind w:left="62"/>
              <w:jc w:val="left"/>
              <w:rPr>
                <w:sz w:val="18"/>
              </w:rPr>
            </w:pPr>
            <w:r>
              <w:rPr>
                <w:sz w:val="18"/>
              </w:rPr>
              <w:t>Net cash provided by operating activities</w:t>
            </w:r>
          </w:p>
        </w:tc>
        <w:tc>
          <w:tcPr>
            <w:tcW w:w="1917" w:type="dxa"/>
          </w:tcPr>
          <w:p>
            <w:pPr>
              <w:pStyle w:val="TableParagraph"/>
              <w:spacing w:before="39"/>
              <w:ind w:left="1357" w:right="19"/>
              <w:jc w:val="center"/>
              <w:rPr>
                <w:sz w:val="18"/>
              </w:rPr>
            </w:pPr>
            <w:r>
              <w:rPr>
                <w:sz w:val="18"/>
              </w:rPr>
              <w:t>21</w:t>
            </w:r>
          </w:p>
        </w:tc>
        <w:tc>
          <w:tcPr>
            <w:tcW w:w="1408" w:type="dxa"/>
            <w:tcBorders>
              <w:top w:val="single" w:sz="0" w:space="0" w:color="000000"/>
              <w:bottom w:val="single" w:sz="0" w:space="0" w:color="000000"/>
            </w:tcBorders>
          </w:tcPr>
          <w:p>
            <w:pPr>
              <w:pStyle w:val="TableParagraph"/>
              <w:spacing w:before="122"/>
              <w:ind w:left="410"/>
              <w:jc w:val="left"/>
              <w:rPr>
                <w:b/>
                <w:sz w:val="18"/>
              </w:rPr>
            </w:pPr>
            <w:r>
              <w:rPr>
                <w:b/>
                <w:sz w:val="18"/>
              </w:rPr>
              <w:t>2,284,640</w:t>
            </w:r>
          </w:p>
        </w:tc>
        <w:tc>
          <w:tcPr>
            <w:tcW w:w="1186" w:type="dxa"/>
            <w:tcBorders>
              <w:top w:val="single" w:sz="0" w:space="0" w:color="000000"/>
              <w:bottom w:val="single" w:sz="0" w:space="0" w:color="000000"/>
            </w:tcBorders>
          </w:tcPr>
          <w:p>
            <w:pPr>
              <w:pStyle w:val="TableParagraph"/>
              <w:spacing w:before="122"/>
              <w:ind w:right="86"/>
              <w:rPr>
                <w:sz w:val="18"/>
              </w:rPr>
            </w:pPr>
            <w:r>
              <w:rPr>
                <w:w w:val="95"/>
                <w:sz w:val="18"/>
              </w:rPr>
              <w:t>1,783,564</w:t>
            </w:r>
          </w:p>
        </w:tc>
      </w:tr>
      <w:tr>
        <w:trPr>
          <w:trHeight w:val="898" w:hRule="exact"/>
        </w:trPr>
        <w:tc>
          <w:tcPr>
            <w:tcW w:w="5440" w:type="dxa"/>
          </w:tcPr>
          <w:p>
            <w:pPr>
              <w:pStyle w:val="TableParagraph"/>
              <w:jc w:val="left"/>
              <w:rPr>
                <w:sz w:val="18"/>
              </w:rPr>
            </w:pPr>
          </w:p>
          <w:p>
            <w:pPr>
              <w:pStyle w:val="TableParagraph"/>
              <w:spacing w:before="4"/>
              <w:jc w:val="left"/>
              <w:rPr>
                <w:sz w:val="18"/>
              </w:rPr>
            </w:pPr>
          </w:p>
          <w:p>
            <w:pPr>
              <w:pStyle w:val="TableParagraph"/>
              <w:ind w:left="62"/>
              <w:jc w:val="left"/>
              <w:rPr>
                <w:b/>
                <w:sz w:val="18"/>
              </w:rPr>
            </w:pPr>
            <w:r>
              <w:rPr>
                <w:b/>
                <w:sz w:val="18"/>
              </w:rPr>
              <w:t>CASH FLOWS FROM INVESTING ACTIVITIES:</w:t>
            </w:r>
          </w:p>
          <w:p>
            <w:pPr>
              <w:pStyle w:val="TableParagraph"/>
              <w:spacing w:before="27"/>
              <w:ind w:left="62"/>
              <w:jc w:val="left"/>
              <w:rPr>
                <w:sz w:val="18"/>
              </w:rPr>
            </w:pPr>
            <w:r>
              <w:rPr>
                <w:sz w:val="18"/>
              </w:rPr>
              <w:t>Proceeds from sale of plant and equipment</w:t>
            </w:r>
          </w:p>
        </w:tc>
        <w:tc>
          <w:tcPr>
            <w:tcW w:w="1917" w:type="dxa"/>
          </w:tcPr>
          <w:p>
            <w:pPr/>
          </w:p>
        </w:tc>
        <w:tc>
          <w:tcPr>
            <w:tcW w:w="1408" w:type="dxa"/>
            <w:tcBorders>
              <w:top w:val="single" w:sz="0" w:space="0" w:color="000000"/>
            </w:tcBorders>
          </w:tcPr>
          <w:p>
            <w:pPr>
              <w:pStyle w:val="TableParagraph"/>
              <w:jc w:val="left"/>
              <w:rPr>
                <w:sz w:val="18"/>
              </w:rPr>
            </w:pPr>
          </w:p>
          <w:p>
            <w:pPr>
              <w:pStyle w:val="TableParagraph"/>
              <w:jc w:val="left"/>
              <w:rPr>
                <w:sz w:val="18"/>
              </w:rPr>
            </w:pPr>
          </w:p>
          <w:p>
            <w:pPr>
              <w:pStyle w:val="TableParagraph"/>
              <w:spacing w:before="9"/>
              <w:jc w:val="left"/>
              <w:rPr>
                <w:sz w:val="20"/>
              </w:rPr>
            </w:pPr>
          </w:p>
          <w:p>
            <w:pPr>
              <w:pStyle w:val="TableParagraph"/>
              <w:ind w:right="110"/>
              <w:jc w:val="center"/>
              <w:rPr>
                <w:b/>
                <w:sz w:val="18"/>
              </w:rPr>
            </w:pPr>
            <w:r>
              <w:rPr>
                <w:b/>
                <w:w w:val="99"/>
                <w:sz w:val="18"/>
              </w:rPr>
              <w:t>-</w:t>
            </w:r>
          </w:p>
        </w:tc>
        <w:tc>
          <w:tcPr>
            <w:tcW w:w="1186" w:type="dxa"/>
            <w:tcBorders>
              <w:top w:val="single" w:sz="0" w:space="0" w:color="000000"/>
            </w:tcBorders>
          </w:tcPr>
          <w:p>
            <w:pPr>
              <w:pStyle w:val="TableParagraph"/>
              <w:jc w:val="left"/>
              <w:rPr>
                <w:sz w:val="18"/>
              </w:rPr>
            </w:pPr>
          </w:p>
          <w:p>
            <w:pPr>
              <w:pStyle w:val="TableParagraph"/>
              <w:jc w:val="left"/>
              <w:rPr>
                <w:sz w:val="18"/>
              </w:rPr>
            </w:pPr>
          </w:p>
          <w:p>
            <w:pPr>
              <w:pStyle w:val="TableParagraph"/>
              <w:spacing w:before="9"/>
              <w:jc w:val="left"/>
              <w:rPr>
                <w:sz w:val="20"/>
              </w:rPr>
            </w:pPr>
          </w:p>
          <w:p>
            <w:pPr>
              <w:pStyle w:val="TableParagraph"/>
              <w:ind w:right="86"/>
              <w:rPr>
                <w:sz w:val="18"/>
              </w:rPr>
            </w:pPr>
            <w:r>
              <w:rPr>
                <w:w w:val="95"/>
                <w:sz w:val="18"/>
              </w:rPr>
              <w:t>30,100</w:t>
            </w:r>
          </w:p>
        </w:tc>
      </w:tr>
      <w:tr>
        <w:trPr>
          <w:trHeight w:val="264" w:hRule="exact"/>
        </w:trPr>
        <w:tc>
          <w:tcPr>
            <w:tcW w:w="5440" w:type="dxa"/>
          </w:tcPr>
          <w:p>
            <w:pPr>
              <w:pStyle w:val="TableParagraph"/>
              <w:spacing w:before="18"/>
              <w:ind w:left="62"/>
              <w:jc w:val="left"/>
              <w:rPr>
                <w:sz w:val="18"/>
              </w:rPr>
            </w:pPr>
            <w:r>
              <w:rPr>
                <w:sz w:val="18"/>
              </w:rPr>
              <w:t>Purchase of property, plant and equipment</w:t>
            </w:r>
          </w:p>
        </w:tc>
        <w:tc>
          <w:tcPr>
            <w:tcW w:w="1917" w:type="dxa"/>
          </w:tcPr>
          <w:p>
            <w:pPr/>
          </w:p>
        </w:tc>
        <w:tc>
          <w:tcPr>
            <w:tcW w:w="1408" w:type="dxa"/>
          </w:tcPr>
          <w:p>
            <w:pPr>
              <w:pStyle w:val="TableParagraph"/>
              <w:spacing w:before="19"/>
              <w:ind w:right="137"/>
              <w:rPr>
                <w:b/>
                <w:sz w:val="18"/>
              </w:rPr>
            </w:pPr>
            <w:r>
              <w:rPr>
                <w:b/>
                <w:w w:val="95"/>
                <w:sz w:val="18"/>
              </w:rPr>
              <w:t>(1,581,117)</w:t>
            </w:r>
          </w:p>
        </w:tc>
        <w:tc>
          <w:tcPr>
            <w:tcW w:w="1186" w:type="dxa"/>
          </w:tcPr>
          <w:p>
            <w:pPr>
              <w:pStyle w:val="TableParagraph"/>
              <w:spacing w:before="19"/>
              <w:ind w:right="27"/>
              <w:rPr>
                <w:sz w:val="18"/>
              </w:rPr>
            </w:pPr>
            <w:r>
              <w:rPr>
                <w:w w:val="95"/>
                <w:sz w:val="18"/>
              </w:rPr>
              <w:t>(2,055,703)</w:t>
            </w:r>
          </w:p>
        </w:tc>
      </w:tr>
      <w:tr>
        <w:trPr>
          <w:trHeight w:val="264" w:hRule="exact"/>
        </w:trPr>
        <w:tc>
          <w:tcPr>
            <w:tcW w:w="5440" w:type="dxa"/>
          </w:tcPr>
          <w:p>
            <w:pPr>
              <w:pStyle w:val="TableParagraph"/>
              <w:spacing w:before="18"/>
              <w:ind w:left="62"/>
              <w:jc w:val="left"/>
              <w:rPr>
                <w:sz w:val="18"/>
              </w:rPr>
            </w:pPr>
            <w:r>
              <w:rPr>
                <w:sz w:val="18"/>
              </w:rPr>
              <w:t>Payment for intangible asset</w:t>
            </w:r>
          </w:p>
        </w:tc>
        <w:tc>
          <w:tcPr>
            <w:tcW w:w="1917" w:type="dxa"/>
          </w:tcPr>
          <w:p>
            <w:pPr/>
          </w:p>
        </w:tc>
        <w:tc>
          <w:tcPr>
            <w:tcW w:w="1408" w:type="dxa"/>
          </w:tcPr>
          <w:p>
            <w:pPr>
              <w:pStyle w:val="TableParagraph"/>
              <w:spacing w:before="19"/>
              <w:ind w:right="110"/>
              <w:jc w:val="center"/>
              <w:rPr>
                <w:b/>
                <w:sz w:val="18"/>
              </w:rPr>
            </w:pPr>
            <w:r>
              <w:rPr>
                <w:b/>
                <w:w w:val="99"/>
                <w:sz w:val="18"/>
              </w:rPr>
              <w:t>-</w:t>
            </w:r>
          </w:p>
        </w:tc>
        <w:tc>
          <w:tcPr>
            <w:tcW w:w="1186" w:type="dxa"/>
          </w:tcPr>
          <w:p>
            <w:pPr>
              <w:pStyle w:val="TableParagraph"/>
              <w:spacing w:before="19"/>
              <w:ind w:right="27"/>
              <w:rPr>
                <w:sz w:val="18"/>
              </w:rPr>
            </w:pPr>
            <w:r>
              <w:rPr>
                <w:w w:val="95"/>
                <w:sz w:val="18"/>
              </w:rPr>
              <w:t>(263,414)</w:t>
            </w:r>
          </w:p>
        </w:tc>
      </w:tr>
      <w:tr>
        <w:trPr>
          <w:trHeight w:val="264" w:hRule="exact"/>
        </w:trPr>
        <w:tc>
          <w:tcPr>
            <w:tcW w:w="5440" w:type="dxa"/>
          </w:tcPr>
          <w:p>
            <w:pPr>
              <w:pStyle w:val="TableParagraph"/>
              <w:spacing w:before="18"/>
              <w:ind w:left="62"/>
              <w:jc w:val="left"/>
              <w:rPr>
                <w:sz w:val="18"/>
              </w:rPr>
            </w:pPr>
            <w:r>
              <w:rPr>
                <w:sz w:val="18"/>
              </w:rPr>
              <w:t>Payments for operations of joint venture</w:t>
            </w:r>
          </w:p>
        </w:tc>
        <w:tc>
          <w:tcPr>
            <w:tcW w:w="1917" w:type="dxa"/>
          </w:tcPr>
          <w:p>
            <w:pPr/>
          </w:p>
        </w:tc>
        <w:tc>
          <w:tcPr>
            <w:tcW w:w="1408" w:type="dxa"/>
          </w:tcPr>
          <w:p>
            <w:pPr>
              <w:pStyle w:val="TableParagraph"/>
              <w:spacing w:before="19"/>
              <w:ind w:right="137"/>
              <w:rPr>
                <w:b/>
                <w:sz w:val="18"/>
              </w:rPr>
            </w:pPr>
            <w:r>
              <w:rPr>
                <w:b/>
                <w:w w:val="95"/>
                <w:sz w:val="18"/>
              </w:rPr>
              <w:t>(1,300,000)</w:t>
            </w:r>
          </w:p>
        </w:tc>
        <w:tc>
          <w:tcPr>
            <w:tcW w:w="1186" w:type="dxa"/>
          </w:tcPr>
          <w:p>
            <w:pPr>
              <w:pStyle w:val="TableParagraph"/>
              <w:spacing w:before="19"/>
              <w:ind w:right="27"/>
              <w:rPr>
                <w:sz w:val="18"/>
              </w:rPr>
            </w:pPr>
            <w:r>
              <w:rPr>
                <w:w w:val="95"/>
                <w:sz w:val="18"/>
              </w:rPr>
              <w:t>(119,417)</w:t>
            </w:r>
          </w:p>
        </w:tc>
      </w:tr>
      <w:tr>
        <w:trPr>
          <w:trHeight w:val="264" w:hRule="exact"/>
        </w:trPr>
        <w:tc>
          <w:tcPr>
            <w:tcW w:w="5440" w:type="dxa"/>
          </w:tcPr>
          <w:p>
            <w:pPr>
              <w:pStyle w:val="TableParagraph"/>
              <w:spacing w:before="18"/>
              <w:ind w:left="62"/>
              <w:jc w:val="left"/>
              <w:rPr>
                <w:sz w:val="18"/>
              </w:rPr>
            </w:pPr>
            <w:r>
              <w:rPr>
                <w:sz w:val="18"/>
              </w:rPr>
              <w:t>Repayments received from the parent entity</w:t>
            </w:r>
          </w:p>
        </w:tc>
        <w:tc>
          <w:tcPr>
            <w:tcW w:w="1917" w:type="dxa"/>
          </w:tcPr>
          <w:p>
            <w:pPr/>
          </w:p>
        </w:tc>
        <w:tc>
          <w:tcPr>
            <w:tcW w:w="1408" w:type="dxa"/>
          </w:tcPr>
          <w:p>
            <w:pPr>
              <w:pStyle w:val="TableParagraph"/>
              <w:spacing w:before="19"/>
              <w:ind w:left="410"/>
              <w:jc w:val="left"/>
              <w:rPr>
                <w:b/>
                <w:sz w:val="18"/>
              </w:rPr>
            </w:pPr>
            <w:r>
              <w:rPr>
                <w:b/>
                <w:sz w:val="18"/>
              </w:rPr>
              <w:t>7,978,278</w:t>
            </w:r>
          </w:p>
        </w:tc>
        <w:tc>
          <w:tcPr>
            <w:tcW w:w="1186" w:type="dxa"/>
          </w:tcPr>
          <w:p>
            <w:pPr>
              <w:pStyle w:val="TableParagraph"/>
              <w:spacing w:before="19"/>
              <w:ind w:right="86"/>
              <w:rPr>
                <w:sz w:val="18"/>
              </w:rPr>
            </w:pPr>
            <w:r>
              <w:rPr>
                <w:w w:val="95"/>
                <w:sz w:val="18"/>
              </w:rPr>
              <w:t>8,080,191</w:t>
            </w:r>
          </w:p>
        </w:tc>
      </w:tr>
      <w:tr>
        <w:trPr>
          <w:trHeight w:val="263" w:hRule="exact"/>
        </w:trPr>
        <w:tc>
          <w:tcPr>
            <w:tcW w:w="5440" w:type="dxa"/>
          </w:tcPr>
          <w:p>
            <w:pPr>
              <w:pStyle w:val="TableParagraph"/>
              <w:spacing w:before="18"/>
              <w:ind w:left="62"/>
              <w:jc w:val="left"/>
              <w:rPr>
                <w:sz w:val="18"/>
              </w:rPr>
            </w:pPr>
            <w:r>
              <w:rPr>
                <w:sz w:val="18"/>
              </w:rPr>
              <w:t>Advances made to the parent entity</w:t>
            </w:r>
          </w:p>
        </w:tc>
        <w:tc>
          <w:tcPr>
            <w:tcW w:w="1917" w:type="dxa"/>
          </w:tcPr>
          <w:p>
            <w:pPr/>
          </w:p>
        </w:tc>
        <w:tc>
          <w:tcPr>
            <w:tcW w:w="1408" w:type="dxa"/>
            <w:tcBorders>
              <w:bottom w:val="single" w:sz="0" w:space="0" w:color="000000"/>
            </w:tcBorders>
          </w:tcPr>
          <w:p>
            <w:pPr>
              <w:pStyle w:val="TableParagraph"/>
              <w:spacing w:before="19"/>
              <w:ind w:right="137"/>
              <w:rPr>
                <w:b/>
                <w:sz w:val="18"/>
              </w:rPr>
            </w:pPr>
            <w:r>
              <w:rPr>
                <w:b/>
                <w:w w:val="95"/>
                <w:sz w:val="18"/>
              </w:rPr>
              <w:t>(6,969,114)</w:t>
            </w:r>
          </w:p>
        </w:tc>
        <w:tc>
          <w:tcPr>
            <w:tcW w:w="1186" w:type="dxa"/>
            <w:tcBorders>
              <w:bottom w:val="single" w:sz="0" w:space="0" w:color="000000"/>
            </w:tcBorders>
          </w:tcPr>
          <w:p>
            <w:pPr>
              <w:pStyle w:val="TableParagraph"/>
              <w:spacing w:before="19"/>
              <w:ind w:right="27"/>
              <w:rPr>
                <w:sz w:val="18"/>
              </w:rPr>
            </w:pPr>
            <w:r>
              <w:rPr>
                <w:w w:val="95"/>
                <w:sz w:val="18"/>
              </w:rPr>
              <w:t>(7,556,296)</w:t>
            </w:r>
          </w:p>
        </w:tc>
      </w:tr>
      <w:tr>
        <w:trPr>
          <w:trHeight w:val="338" w:hRule="exact"/>
        </w:trPr>
        <w:tc>
          <w:tcPr>
            <w:tcW w:w="5440" w:type="dxa"/>
          </w:tcPr>
          <w:p>
            <w:pPr>
              <w:pStyle w:val="TableParagraph"/>
              <w:spacing w:before="38"/>
              <w:ind w:left="62"/>
              <w:jc w:val="left"/>
              <w:rPr>
                <w:sz w:val="18"/>
              </w:rPr>
            </w:pPr>
            <w:r>
              <w:rPr>
                <w:sz w:val="18"/>
              </w:rPr>
              <w:t>Net cash used in investing activities</w:t>
            </w:r>
          </w:p>
        </w:tc>
        <w:tc>
          <w:tcPr>
            <w:tcW w:w="1917" w:type="dxa"/>
          </w:tcPr>
          <w:p>
            <w:pPr/>
          </w:p>
        </w:tc>
        <w:tc>
          <w:tcPr>
            <w:tcW w:w="1408" w:type="dxa"/>
            <w:tcBorders>
              <w:top w:val="single" w:sz="0" w:space="0" w:color="000000"/>
              <w:bottom w:val="single" w:sz="0" w:space="0" w:color="000000"/>
            </w:tcBorders>
          </w:tcPr>
          <w:p>
            <w:pPr>
              <w:pStyle w:val="TableParagraph"/>
              <w:spacing w:before="122"/>
              <w:ind w:right="137"/>
              <w:rPr>
                <w:b/>
                <w:sz w:val="18"/>
              </w:rPr>
            </w:pPr>
            <w:r>
              <w:rPr>
                <w:b/>
                <w:w w:val="95"/>
                <w:sz w:val="18"/>
              </w:rPr>
              <w:t>(1,871,953)</w:t>
            </w:r>
          </w:p>
        </w:tc>
        <w:tc>
          <w:tcPr>
            <w:tcW w:w="1186" w:type="dxa"/>
            <w:tcBorders>
              <w:top w:val="single" w:sz="0" w:space="0" w:color="000000"/>
              <w:bottom w:val="single" w:sz="0" w:space="0" w:color="000000"/>
            </w:tcBorders>
          </w:tcPr>
          <w:p>
            <w:pPr>
              <w:pStyle w:val="TableParagraph"/>
              <w:spacing w:before="122"/>
              <w:ind w:right="27"/>
              <w:rPr>
                <w:sz w:val="18"/>
              </w:rPr>
            </w:pPr>
            <w:r>
              <w:rPr>
                <w:w w:val="95"/>
                <w:sz w:val="18"/>
              </w:rPr>
              <w:t>(1,884,539)</w:t>
            </w:r>
          </w:p>
        </w:tc>
      </w:tr>
      <w:tr>
        <w:trPr>
          <w:trHeight w:val="622" w:hRule="exact"/>
        </w:trPr>
        <w:tc>
          <w:tcPr>
            <w:tcW w:w="5440" w:type="dxa"/>
          </w:tcPr>
          <w:p>
            <w:pPr>
              <w:pStyle w:val="TableParagraph"/>
              <w:jc w:val="left"/>
              <w:rPr>
                <w:sz w:val="18"/>
              </w:rPr>
            </w:pPr>
          </w:p>
          <w:p>
            <w:pPr>
              <w:pStyle w:val="TableParagraph"/>
              <w:spacing w:before="4"/>
              <w:jc w:val="left"/>
              <w:rPr>
                <w:sz w:val="18"/>
              </w:rPr>
            </w:pPr>
          </w:p>
          <w:p>
            <w:pPr>
              <w:pStyle w:val="TableParagraph"/>
              <w:ind w:left="62"/>
              <w:jc w:val="left"/>
              <w:rPr>
                <w:b/>
                <w:sz w:val="18"/>
              </w:rPr>
            </w:pPr>
            <w:r>
              <w:rPr>
                <w:b/>
                <w:sz w:val="18"/>
              </w:rPr>
              <w:t>CASH FLOWS FROM FINANCING ACTIVITIES:</w:t>
            </w:r>
          </w:p>
        </w:tc>
        <w:tc>
          <w:tcPr>
            <w:tcW w:w="1917" w:type="dxa"/>
          </w:tcPr>
          <w:p>
            <w:pPr/>
          </w:p>
        </w:tc>
        <w:tc>
          <w:tcPr>
            <w:tcW w:w="1408" w:type="dxa"/>
            <w:tcBorders>
              <w:top w:val="single" w:sz="0" w:space="0" w:color="000000"/>
            </w:tcBorders>
          </w:tcPr>
          <w:p>
            <w:pPr/>
          </w:p>
        </w:tc>
        <w:tc>
          <w:tcPr>
            <w:tcW w:w="1186" w:type="dxa"/>
            <w:tcBorders>
              <w:top w:val="single" w:sz="0" w:space="0" w:color="000000"/>
            </w:tcBorders>
          </w:tcPr>
          <w:p>
            <w:pPr/>
          </w:p>
        </w:tc>
      </w:tr>
      <w:tr>
        <w:trPr>
          <w:trHeight w:val="523" w:hRule="exact"/>
        </w:trPr>
        <w:tc>
          <w:tcPr>
            <w:tcW w:w="9952" w:type="dxa"/>
            <w:gridSpan w:val="4"/>
          </w:tcPr>
          <w:p>
            <w:pPr>
              <w:pStyle w:val="TableParagraph"/>
              <w:tabs>
                <w:tab w:pos="7357" w:val="left" w:leader="none"/>
                <w:tab w:pos="7975" w:val="left" w:leader="none"/>
                <w:tab w:pos="9272" w:val="left" w:leader="none"/>
                <w:tab w:pos="9951" w:val="left" w:leader="none"/>
              </w:tabs>
              <w:spacing w:before="50"/>
              <w:ind w:left="62"/>
              <w:jc w:val="left"/>
              <w:rPr>
                <w:sz w:val="18"/>
              </w:rPr>
            </w:pPr>
            <w:r>
              <w:rPr>
                <w:sz w:val="18"/>
              </w:rPr>
              <w:t>Net cash provided by</w:t>
            </w:r>
            <w:r>
              <w:rPr>
                <w:spacing w:val="-20"/>
                <w:sz w:val="18"/>
              </w:rPr>
              <w:t> </w:t>
            </w:r>
            <w:r>
              <w:rPr>
                <w:sz w:val="18"/>
              </w:rPr>
              <w:t>financing</w:t>
            </w:r>
            <w:r>
              <w:rPr>
                <w:spacing w:val="-5"/>
                <w:sz w:val="18"/>
              </w:rPr>
              <w:t> </w:t>
            </w:r>
            <w:r>
              <w:rPr>
                <w:sz w:val="18"/>
              </w:rPr>
              <w:t>activities</w:t>
              <w:tab/>
            </w:r>
            <w:r>
              <w:rPr>
                <w:rFonts w:ascii="Times New Roman"/>
                <w:position w:val="-8"/>
                <w:sz w:val="18"/>
                <w:u w:val="single"/>
              </w:rPr>
              <w:t> </w:t>
              <w:tab/>
            </w:r>
            <w:r>
              <w:rPr>
                <w:b/>
                <w:position w:val="-8"/>
                <w:sz w:val="18"/>
                <w:u w:val="single"/>
              </w:rPr>
              <w:t>-</w:t>
              <w:tab/>
            </w:r>
            <w:r>
              <w:rPr>
                <w:position w:val="-8"/>
                <w:sz w:val="18"/>
                <w:u w:val="single"/>
              </w:rPr>
              <w:t>-</w:t>
              <w:tab/>
            </w:r>
          </w:p>
        </w:tc>
      </w:tr>
      <w:tr>
        <w:trPr>
          <w:trHeight w:val="407" w:hRule="exact"/>
        </w:trPr>
        <w:tc>
          <w:tcPr>
            <w:tcW w:w="7357" w:type="dxa"/>
            <w:gridSpan w:val="2"/>
          </w:tcPr>
          <w:p>
            <w:pPr>
              <w:pStyle w:val="TableParagraph"/>
              <w:spacing w:before="161"/>
              <w:ind w:left="62"/>
              <w:jc w:val="left"/>
              <w:rPr>
                <w:b/>
                <w:sz w:val="18"/>
              </w:rPr>
            </w:pPr>
            <w:r>
              <w:rPr>
                <w:b/>
                <w:sz w:val="18"/>
              </w:rPr>
              <w:t>Net increase / (decrease) in cash and cash equivalents held</w:t>
            </w:r>
          </w:p>
        </w:tc>
        <w:tc>
          <w:tcPr>
            <w:tcW w:w="1408" w:type="dxa"/>
          </w:tcPr>
          <w:p>
            <w:pPr>
              <w:pStyle w:val="TableParagraph"/>
              <w:spacing w:before="1"/>
              <w:jc w:val="left"/>
              <w:rPr>
                <w:sz w:val="14"/>
              </w:rPr>
            </w:pPr>
          </w:p>
          <w:p>
            <w:pPr>
              <w:pStyle w:val="TableParagraph"/>
              <w:ind w:right="197"/>
              <w:rPr>
                <w:b/>
                <w:sz w:val="18"/>
              </w:rPr>
            </w:pPr>
            <w:r>
              <w:rPr>
                <w:b/>
                <w:w w:val="95"/>
                <w:sz w:val="18"/>
              </w:rPr>
              <w:t>412,687</w:t>
            </w:r>
          </w:p>
        </w:tc>
        <w:tc>
          <w:tcPr>
            <w:tcW w:w="1186" w:type="dxa"/>
          </w:tcPr>
          <w:p>
            <w:pPr>
              <w:pStyle w:val="TableParagraph"/>
              <w:spacing w:before="1"/>
              <w:jc w:val="left"/>
              <w:rPr>
                <w:sz w:val="14"/>
              </w:rPr>
            </w:pPr>
          </w:p>
          <w:p>
            <w:pPr>
              <w:pStyle w:val="TableParagraph"/>
              <w:ind w:right="27"/>
              <w:rPr>
                <w:sz w:val="18"/>
              </w:rPr>
            </w:pPr>
            <w:r>
              <w:rPr>
                <w:w w:val="95"/>
                <w:sz w:val="18"/>
              </w:rPr>
              <w:t>(100,975)</w:t>
            </w:r>
          </w:p>
        </w:tc>
      </w:tr>
      <w:tr>
        <w:trPr>
          <w:trHeight w:val="263" w:hRule="exact"/>
        </w:trPr>
        <w:tc>
          <w:tcPr>
            <w:tcW w:w="7357" w:type="dxa"/>
            <w:gridSpan w:val="2"/>
          </w:tcPr>
          <w:p>
            <w:pPr>
              <w:pStyle w:val="TableParagraph"/>
              <w:spacing w:before="18"/>
              <w:ind w:left="62"/>
              <w:jc w:val="left"/>
              <w:rPr>
                <w:b/>
                <w:sz w:val="18"/>
              </w:rPr>
            </w:pPr>
            <w:r>
              <w:rPr>
                <w:b/>
                <w:sz w:val="18"/>
              </w:rPr>
              <w:t>Cash and cash equivalents at beginning of year</w:t>
            </w:r>
          </w:p>
        </w:tc>
        <w:tc>
          <w:tcPr>
            <w:tcW w:w="1408" w:type="dxa"/>
            <w:tcBorders>
              <w:bottom w:val="single" w:sz="0" w:space="0" w:color="000000"/>
            </w:tcBorders>
          </w:tcPr>
          <w:p>
            <w:pPr>
              <w:pStyle w:val="TableParagraph"/>
              <w:spacing w:before="19"/>
              <w:ind w:right="197"/>
              <w:rPr>
                <w:b/>
                <w:sz w:val="18"/>
              </w:rPr>
            </w:pPr>
            <w:r>
              <w:rPr>
                <w:b/>
                <w:w w:val="95"/>
                <w:sz w:val="18"/>
              </w:rPr>
              <w:t>696,371</w:t>
            </w:r>
          </w:p>
        </w:tc>
        <w:tc>
          <w:tcPr>
            <w:tcW w:w="1186" w:type="dxa"/>
            <w:tcBorders>
              <w:bottom w:val="single" w:sz="0" w:space="0" w:color="000000"/>
            </w:tcBorders>
          </w:tcPr>
          <w:p>
            <w:pPr>
              <w:pStyle w:val="TableParagraph"/>
              <w:spacing w:before="19"/>
              <w:ind w:right="86"/>
              <w:rPr>
                <w:sz w:val="18"/>
              </w:rPr>
            </w:pPr>
            <w:r>
              <w:rPr>
                <w:w w:val="95"/>
                <w:sz w:val="18"/>
              </w:rPr>
              <w:t>797,346</w:t>
            </w:r>
          </w:p>
        </w:tc>
      </w:tr>
    </w:tbl>
    <w:p>
      <w:pPr>
        <w:pStyle w:val="Heading8"/>
        <w:tabs>
          <w:tab w:pos="8411" w:val="left" w:leader="none"/>
          <w:tab w:pos="9160" w:val="left" w:leader="none"/>
          <w:tab w:pos="10607" w:val="left" w:leader="none"/>
        </w:tabs>
        <w:spacing w:before="39" w:after="2"/>
        <w:ind w:left="1455"/>
        <w:rPr>
          <w:b w:val="0"/>
        </w:rPr>
      </w:pPr>
      <w:r>
        <w:rPr/>
        <w:drawing>
          <wp:anchor distT="0" distB="0" distL="0" distR="0" allowOverlap="1" layoutInCell="1" locked="0" behindDoc="0" simplePos="0" relativeHeight="7624">
            <wp:simplePos x="0" y="0"/>
            <wp:positionH relativeFrom="page">
              <wp:posOffset>-1587</wp:posOffset>
            </wp:positionH>
            <wp:positionV relativeFrom="paragraph">
              <wp:posOffset>-912572</wp:posOffset>
            </wp:positionV>
            <wp:extent cx="135159" cy="154019"/>
            <wp:effectExtent l="0" t="0" r="0" b="0"/>
            <wp:wrapNone/>
            <wp:docPr id="507" name="image13.png" descr=""/>
            <wp:cNvGraphicFramePr>
              <a:graphicFrameLocks noChangeAspect="1"/>
            </wp:cNvGraphicFramePr>
            <a:graphic>
              <a:graphicData uri="http://schemas.openxmlformats.org/drawingml/2006/picture">
                <pic:pic>
                  <pic:nvPicPr>
                    <pic:cNvPr id="508" name="image13.png"/>
                    <pic:cNvPicPr/>
                  </pic:nvPicPr>
                  <pic:blipFill>
                    <a:blip r:embed="rId18" cstate="print"/>
                    <a:stretch>
                      <a:fillRect/>
                    </a:stretch>
                  </pic:blipFill>
                  <pic:spPr>
                    <a:xfrm>
                      <a:off x="0" y="0"/>
                      <a:ext cx="135159" cy="154019"/>
                    </a:xfrm>
                    <a:prstGeom prst="rect">
                      <a:avLst/>
                    </a:prstGeom>
                  </pic:spPr>
                </pic:pic>
              </a:graphicData>
            </a:graphic>
          </wp:anchor>
        </w:drawing>
      </w:r>
      <w:r>
        <w:rPr/>
        <w:drawing>
          <wp:anchor distT="0" distB="0" distL="0" distR="0" allowOverlap="1" layoutInCell="1" locked="0" behindDoc="0" simplePos="0" relativeHeight="7648">
            <wp:simplePos x="0" y="0"/>
            <wp:positionH relativeFrom="page">
              <wp:posOffset>7958429</wp:posOffset>
            </wp:positionH>
            <wp:positionV relativeFrom="paragraph">
              <wp:posOffset>-912572</wp:posOffset>
            </wp:positionV>
            <wp:extent cx="135953" cy="155575"/>
            <wp:effectExtent l="0" t="0" r="0" b="0"/>
            <wp:wrapNone/>
            <wp:docPr id="509" name="image15.png" descr=""/>
            <wp:cNvGraphicFramePr>
              <a:graphicFrameLocks noChangeAspect="1"/>
            </wp:cNvGraphicFramePr>
            <a:graphic>
              <a:graphicData uri="http://schemas.openxmlformats.org/drawingml/2006/picture">
                <pic:pic>
                  <pic:nvPicPr>
                    <pic:cNvPr id="510" name="image15.png"/>
                    <pic:cNvPicPr/>
                  </pic:nvPicPr>
                  <pic:blipFill>
                    <a:blip r:embed="rId20" cstate="print"/>
                    <a:stretch>
                      <a:fillRect/>
                    </a:stretch>
                  </pic:blipFill>
                  <pic:spPr>
                    <a:xfrm>
                      <a:off x="0" y="0"/>
                      <a:ext cx="135953" cy="155575"/>
                    </a:xfrm>
                    <a:prstGeom prst="rect">
                      <a:avLst/>
                    </a:prstGeom>
                  </pic:spPr>
                </pic:pic>
              </a:graphicData>
            </a:graphic>
          </wp:anchor>
        </w:drawing>
      </w:r>
      <w:r>
        <w:rPr/>
        <w:t>Cash and cash equivalents at end of</w:t>
      </w:r>
      <w:r>
        <w:rPr>
          <w:spacing w:val="-3"/>
        </w:rPr>
        <w:t> </w:t>
      </w:r>
      <w:r>
        <w:rPr/>
        <w:t>financial</w:t>
      </w:r>
      <w:r>
        <w:rPr>
          <w:spacing w:val="-1"/>
        </w:rPr>
        <w:t> </w:t>
      </w:r>
      <w:r>
        <w:rPr/>
        <w:t>year</w:t>
        <w:tab/>
      </w:r>
      <w:r>
        <w:rPr>
          <w:b w:val="0"/>
        </w:rPr>
        <w:t>2</w:t>
        <w:tab/>
      </w:r>
      <w:r>
        <w:rPr>
          <w:position w:val="-7"/>
        </w:rPr>
        <w:t>1,109,058</w:t>
        <w:tab/>
      </w:r>
      <w:r>
        <w:rPr>
          <w:b w:val="0"/>
          <w:position w:val="-7"/>
        </w:rPr>
        <w:t>696,371</w:t>
      </w:r>
    </w:p>
    <w:p>
      <w:pPr>
        <w:pStyle w:val="BodyText"/>
        <w:spacing w:line="50" w:lineRule="exact"/>
        <w:ind w:left="8749"/>
        <w:rPr>
          <w:sz w:val="5"/>
        </w:rPr>
      </w:pPr>
      <w:r>
        <w:rPr>
          <w:position w:val="0"/>
          <w:sz w:val="5"/>
        </w:rPr>
        <w:pict>
          <v:group style="width:129.85pt;height:2.5pt;mso-position-horizontal-relative:char;mso-position-vertical-relative:line" coordorigin="0,0" coordsize="2597,50">
            <v:line style="position:absolute" from="1,1" to="1298,1" stroked="true" strokeweight=".06pt" strokecolor="#000000"/>
            <v:line style="position:absolute" from="1,2" to="1298,2" stroked="true" strokeweight=".06pt" strokecolor="#000000"/>
            <v:line style="position:absolute" from="1,3" to="1298,3" stroked="true" strokeweight=".06pt" strokecolor="#000000"/>
            <v:line style="position:absolute" from="1,5" to="1298,5" stroked="true" strokeweight=".06pt" strokecolor="#000000"/>
            <v:line style="position:absolute" from="1,6" to="1298,6" stroked="true" strokeweight=".06pt" strokecolor="#000000"/>
            <v:line style="position:absolute" from="1,7" to="1298,7" stroked="true" strokeweight=".06pt" strokecolor="#000000"/>
            <v:line style="position:absolute" from="1,8" to="1298,8" stroked="true" strokeweight=".06pt" strokecolor="#000000"/>
            <v:line style="position:absolute" from="1,9" to="1298,9" stroked="true" strokeweight=".06pt" strokecolor="#000000"/>
            <v:line style="position:absolute" from="1,11" to="1298,11" stroked="true" strokeweight=".06pt" strokecolor="#000000"/>
            <v:line style="position:absolute" from="1,12" to="1298,12" stroked="true" strokeweight=".06pt" strokecolor="#000000"/>
            <v:line style="position:absolute" from="1,13" to="1298,13" stroked="true" strokeweight=".06pt" strokecolor="#000000"/>
            <v:line style="position:absolute" from="1,14" to="1298,14" stroked="true" strokeweight=".06pt" strokecolor="#000000"/>
            <v:line style="position:absolute" from="1,15" to="1298,15" stroked="true" strokeweight=".06pt" strokecolor="#000000"/>
            <v:line style="position:absolute" from="1,35" to="1298,35" stroked="true" strokeweight=".06pt" strokecolor="#000000"/>
            <v:line style="position:absolute" from="1,36" to="1298,36" stroked="true" strokeweight=".06pt" strokecolor="#000000"/>
            <v:line style="position:absolute" from="1,37" to="1298,37" stroked="true" strokeweight=".06pt" strokecolor="#000000"/>
            <v:line style="position:absolute" from="1,38" to="1298,38" stroked="true" strokeweight=".06pt" strokecolor="#000000"/>
            <v:line style="position:absolute" from="1,39" to="1298,39" stroked="true" strokeweight=".06pt" strokecolor="#000000"/>
            <v:line style="position:absolute" from="1,41" to="1298,41" stroked="true" strokeweight=".06pt" strokecolor="#000000"/>
            <v:line style="position:absolute" from="1,42" to="1298,42" stroked="true" strokeweight=".06pt" strokecolor="#000000"/>
            <v:line style="position:absolute" from="1,43" to="1298,43" stroked="true" strokeweight=".06pt" strokecolor="#000000"/>
            <v:line style="position:absolute" from="1,44" to="1298,44" stroked="true" strokeweight=".06pt" strokecolor="#000000"/>
            <v:line style="position:absolute" from="1,45" to="1298,45" stroked="true" strokeweight=".06pt" strokecolor="#000000"/>
            <v:line style="position:absolute" from="1,47" to="1298,47" stroked="true" strokeweight=".06pt" strokecolor="#000000"/>
            <v:line style="position:absolute" from="1,48" to="1298,48" stroked="true" strokeweight=".06pt" strokecolor="#000000"/>
            <v:line style="position:absolute" from="1,49" to="1298,49" stroked="true" strokeweight=".06pt" strokecolor="#000000"/>
            <v:line style="position:absolute" from="1298,1" to="2595,1" stroked="true" strokeweight=".06pt" strokecolor="#000000"/>
            <v:line style="position:absolute" from="1298,2" to="2595,2" stroked="true" strokeweight=".06pt" strokecolor="#000000"/>
            <v:line style="position:absolute" from="1298,3" to="2595,3" stroked="true" strokeweight=".06pt" strokecolor="#000000"/>
            <v:line style="position:absolute" from="1298,5" to="2595,5" stroked="true" strokeweight=".06pt" strokecolor="#000000"/>
            <v:line style="position:absolute" from="1298,6" to="2595,6" stroked="true" strokeweight=".06pt" strokecolor="#000000"/>
            <v:line style="position:absolute" from="1298,7" to="2595,7" stroked="true" strokeweight=".06pt" strokecolor="#000000"/>
            <v:line style="position:absolute" from="1298,8" to="2595,8" stroked="true" strokeweight=".06pt" strokecolor="#000000"/>
            <v:line style="position:absolute" from="1298,9" to="2595,9" stroked="true" strokeweight=".06pt" strokecolor="#000000"/>
            <v:line style="position:absolute" from="1298,11" to="2595,11" stroked="true" strokeweight=".06pt" strokecolor="#000000"/>
            <v:line style="position:absolute" from="1298,12" to="2595,12" stroked="true" strokeweight=".06pt" strokecolor="#000000"/>
            <v:line style="position:absolute" from="1298,13" to="2595,13" stroked="true" strokeweight=".06pt" strokecolor="#000000"/>
            <v:line style="position:absolute" from="1298,14" to="2595,14" stroked="true" strokeweight=".06pt" strokecolor="#000000"/>
            <v:line style="position:absolute" from="1298,15" to="2595,15" stroked="true" strokeweight=".06pt" strokecolor="#000000"/>
            <v:line style="position:absolute" from="1298,35" to="2595,35" stroked="true" strokeweight=".06pt" strokecolor="#000000"/>
            <v:line style="position:absolute" from="1298,36" to="2595,36" stroked="true" strokeweight=".06pt" strokecolor="#000000"/>
            <v:line style="position:absolute" from="1298,37" to="2595,37" stroked="true" strokeweight=".06pt" strokecolor="#000000"/>
            <v:line style="position:absolute" from="1298,38" to="2595,38" stroked="true" strokeweight=".06pt" strokecolor="#000000"/>
            <v:line style="position:absolute" from="1298,39" to="2595,39" stroked="true" strokeweight=".06pt" strokecolor="#000000"/>
            <v:line style="position:absolute" from="1298,41" to="2595,41" stroked="true" strokeweight=".06pt" strokecolor="#000000"/>
            <v:line style="position:absolute" from="1298,42" to="2595,42" stroked="true" strokeweight=".06pt" strokecolor="#000000"/>
            <v:line style="position:absolute" from="1298,43" to="2595,43" stroked="true" strokeweight=".06pt" strokecolor="#000000"/>
            <v:line style="position:absolute" from="1298,44" to="2595,44" stroked="true" strokeweight=".06pt" strokecolor="#000000"/>
            <v:line style="position:absolute" from="1298,45" to="2595,45" stroked="true" strokeweight=".06pt" strokecolor="#000000"/>
            <v:line style="position:absolute" from="1298,47" to="2595,47" stroked="true" strokeweight=".06pt" strokecolor="#000000"/>
            <v:line style="position:absolute" from="1298,48" to="2595,48" stroked="true" strokeweight=".06pt" strokecolor="#000000"/>
            <v:line style="position:absolute" from="1298,49" to="2595,49" stroked="true" strokeweight=".06pt" strokecolor="#000000"/>
          </v:group>
        </w:pict>
      </w:r>
      <w:r>
        <w:rPr>
          <w:position w:val="0"/>
          <w:sz w:val="5"/>
        </w:rPr>
      </w:r>
    </w:p>
    <w:p>
      <w:pPr>
        <w:spacing w:after="0" w:line="50" w:lineRule="exact"/>
        <w:rPr>
          <w:sz w:val="5"/>
        </w:rPr>
        <w:sectPr>
          <w:pgSz w:w="12750" w:h="17680"/>
          <w:pgMar w:header="0" w:footer="867" w:top="1880" w:bottom="1120" w:left="0" w:right="0"/>
        </w:sectPr>
      </w:pPr>
    </w:p>
    <w:p>
      <w:pPr>
        <w:pStyle w:val="BodyText"/>
        <w:spacing w:before="2"/>
        <w:rPr>
          <w:sz w:val="24"/>
        </w:rPr>
      </w:pPr>
    </w:p>
    <w:p>
      <w:pPr>
        <w:spacing w:before="64"/>
        <w:ind w:left="1428" w:right="0" w:firstLine="0"/>
        <w:jc w:val="left"/>
        <w:rPr>
          <w:b/>
          <w:sz w:val="28"/>
        </w:rPr>
      </w:pPr>
      <w:r>
        <w:rPr>
          <w:b/>
          <w:sz w:val="28"/>
        </w:rPr>
        <w:t>Notes to the Financial Statements</w:t>
      </w:r>
    </w:p>
    <w:p>
      <w:pPr>
        <w:spacing w:before="57"/>
        <w:ind w:left="1428" w:right="0" w:firstLine="0"/>
        <w:jc w:val="left"/>
        <w:rPr>
          <w:b/>
          <w:sz w:val="22"/>
        </w:rPr>
      </w:pPr>
      <w:bookmarkStart w:name="Notes to the Financial Statements" w:id="183"/>
      <w:bookmarkEnd w:id="183"/>
      <w:r>
        <w:rPr/>
      </w:r>
      <w:r>
        <w:rPr>
          <w:b/>
          <w:sz w:val="22"/>
        </w:rPr>
        <w:t>For the Year Ended 31 December 2016</w:t>
      </w:r>
    </w:p>
    <w:p>
      <w:pPr>
        <w:pStyle w:val="BodyText"/>
        <w:rPr>
          <w:b/>
          <w:sz w:val="22"/>
        </w:rPr>
      </w:pPr>
    </w:p>
    <w:p>
      <w:pPr>
        <w:pStyle w:val="BodyText"/>
        <w:rPr>
          <w:b/>
          <w:sz w:val="22"/>
        </w:rPr>
      </w:pPr>
    </w:p>
    <w:p>
      <w:pPr>
        <w:pStyle w:val="BodyText"/>
        <w:spacing w:before="160"/>
        <w:ind w:left="1429" w:right="1375"/>
      </w:pPr>
      <w:bookmarkStart w:name="1 Summary of Significant Accounting Poli" w:id="184"/>
      <w:bookmarkEnd w:id="184"/>
      <w:r>
        <w:rPr/>
      </w:r>
      <w:r>
        <w:rPr/>
        <w:t>The principal accounting policies adopted in the preparation of these financial statements are set out below. These policies </w:t>
      </w:r>
      <w:bookmarkStart w:name="(a) Basis of Preparation" w:id="185"/>
      <w:bookmarkEnd w:id="185"/>
      <w:r>
        <w:rPr/>
      </w:r>
      <w:r>
        <w:rPr/>
        <w:t>have been consistently applied to all the years reported, unless otherwise stated.</w:t>
      </w:r>
    </w:p>
    <w:p>
      <w:pPr>
        <w:pStyle w:val="BodyText"/>
        <w:spacing w:before="11"/>
        <w:rPr>
          <w:sz w:val="24"/>
        </w:rPr>
      </w:pPr>
    </w:p>
    <w:p>
      <w:pPr>
        <w:pStyle w:val="Heading8"/>
        <w:tabs>
          <w:tab w:pos="1823" w:val="left" w:leader="none"/>
        </w:tabs>
        <w:ind w:left="1429"/>
      </w:pPr>
      <w:r>
        <w:rPr/>
        <w:t>1</w:t>
        <w:tab/>
        <w:t>Summary of Significant Accounting</w:t>
      </w:r>
      <w:r>
        <w:rPr>
          <w:spacing w:val="-6"/>
        </w:rPr>
        <w:t> </w:t>
      </w:r>
      <w:r>
        <w:rPr/>
        <w:t>Policies</w:t>
      </w:r>
    </w:p>
    <w:p>
      <w:pPr>
        <w:pStyle w:val="BodyText"/>
        <w:spacing w:before="11"/>
        <w:rPr>
          <w:b/>
          <w:sz w:val="24"/>
        </w:rPr>
      </w:pPr>
    </w:p>
    <w:p>
      <w:pPr>
        <w:pStyle w:val="ListParagraph"/>
        <w:numPr>
          <w:ilvl w:val="0"/>
          <w:numId w:val="43"/>
        </w:numPr>
        <w:tabs>
          <w:tab w:pos="2391" w:val="left" w:leader="none"/>
        </w:tabs>
        <w:spacing w:line="240" w:lineRule="auto" w:before="0" w:after="0"/>
        <w:ind w:left="2390" w:right="0" w:hanging="566"/>
        <w:jc w:val="left"/>
        <w:rPr>
          <w:b/>
          <w:sz w:val="18"/>
        </w:rPr>
      </w:pPr>
      <w:r>
        <w:rPr>
          <w:b/>
          <w:sz w:val="18"/>
        </w:rPr>
        <w:t>Basis of</w:t>
      </w:r>
      <w:r>
        <w:rPr>
          <w:b/>
          <w:spacing w:val="-18"/>
          <w:sz w:val="18"/>
        </w:rPr>
        <w:t> </w:t>
      </w:r>
      <w:r>
        <w:rPr>
          <w:b/>
          <w:sz w:val="18"/>
        </w:rPr>
        <w:t>Preparation</w:t>
      </w:r>
    </w:p>
    <w:p>
      <w:pPr>
        <w:pStyle w:val="BodyText"/>
        <w:spacing w:before="11"/>
        <w:rPr>
          <w:b/>
          <w:sz w:val="24"/>
        </w:rPr>
      </w:pPr>
    </w:p>
    <w:p>
      <w:pPr>
        <w:spacing w:before="0"/>
        <w:ind w:left="2390" w:right="1338" w:firstLine="0"/>
        <w:jc w:val="left"/>
        <w:rPr>
          <w:sz w:val="18"/>
        </w:rPr>
      </w:pPr>
      <w:r>
        <w:rPr>
          <w:sz w:val="18"/>
        </w:rPr>
        <w:t>The financial statements are general purpose financial statements which have been prepared in accordance with Australian Accounting Standards, Australian Accounting Interpretations, the </w:t>
      </w:r>
      <w:r>
        <w:rPr>
          <w:i/>
          <w:sz w:val="18"/>
        </w:rPr>
        <w:t>Corporations Act 2001</w:t>
      </w:r>
      <w:r>
        <w:rPr>
          <w:sz w:val="18"/>
        </w:rPr>
        <w:t>, Section 41B(1) of the </w:t>
      </w:r>
      <w:r>
        <w:rPr>
          <w:i/>
          <w:sz w:val="18"/>
        </w:rPr>
        <w:t>Public Finance &amp; Audit Act 1983</w:t>
      </w:r>
      <w:r>
        <w:rPr>
          <w:sz w:val="18"/>
        </w:rPr>
        <w:t>, </w:t>
      </w:r>
      <w:r>
        <w:rPr>
          <w:i/>
          <w:sz w:val="18"/>
        </w:rPr>
        <w:t>Public Finance &amp; Audit Regulation 2015</w:t>
      </w:r>
      <w:r>
        <w:rPr>
          <w:sz w:val="18"/>
        </w:rPr>
        <w:t>, the </w:t>
      </w:r>
      <w:r>
        <w:rPr>
          <w:i/>
          <w:sz w:val="18"/>
        </w:rPr>
        <w:t>Australian Charities </w:t>
      </w:r>
      <w:r>
        <w:rPr>
          <w:i/>
          <w:sz w:val="18"/>
        </w:rPr>
        <w:t>and Not-for profits Commission Act 2012 </w:t>
      </w:r>
      <w:r>
        <w:rPr>
          <w:sz w:val="18"/>
        </w:rPr>
        <w:t>and </w:t>
      </w:r>
      <w:r>
        <w:rPr>
          <w:i/>
          <w:sz w:val="18"/>
        </w:rPr>
        <w:t>Regulation 2013 </w:t>
      </w:r>
      <w:r>
        <w:rPr>
          <w:sz w:val="18"/>
        </w:rPr>
        <w:t>and other legislative requirements.</w:t>
      </w:r>
    </w:p>
    <w:p>
      <w:pPr>
        <w:pStyle w:val="BodyText"/>
        <w:spacing w:before="11"/>
        <w:rPr>
          <w:sz w:val="24"/>
        </w:rPr>
      </w:pPr>
    </w:p>
    <w:p>
      <w:pPr>
        <w:pStyle w:val="BodyText"/>
        <w:ind w:left="2390" w:right="1375"/>
      </w:pPr>
      <w:r>
        <w:rPr/>
        <w:t>Australian Accounting Standards set out accounting policies that the AASB has concluded would result in the financial statements containing relevant and reliable information about transactions, events and conditions.</w:t>
      </w:r>
    </w:p>
    <w:p>
      <w:pPr>
        <w:pStyle w:val="BodyText"/>
        <w:spacing w:before="11"/>
        <w:rPr>
          <w:sz w:val="24"/>
        </w:rPr>
      </w:pPr>
    </w:p>
    <w:p>
      <w:pPr>
        <w:pStyle w:val="BodyText"/>
        <w:ind w:left="2390" w:right="1450"/>
      </w:pPr>
      <w:r>
        <w:rPr/>
        <w:t>The financial statements and notes of the Company comply with Australian Accounting Standards, some of which contain requirements specific to not-for-profit entities that are inconsistent with IFRS requirements.</w:t>
      </w:r>
    </w:p>
    <w:p>
      <w:pPr>
        <w:pStyle w:val="BodyText"/>
        <w:spacing w:before="11"/>
        <w:rPr>
          <w:sz w:val="24"/>
        </w:rPr>
      </w:pPr>
    </w:p>
    <w:p>
      <w:pPr>
        <w:pStyle w:val="BodyText"/>
        <w:ind w:left="2390" w:right="1375"/>
      </w:pPr>
      <w:r>
        <w:rPr/>
        <w:t>Material accounting policies adopted in the preparation of these financial statements are presented below and have been consistently applied unless otherwise stated.</w:t>
      </w:r>
    </w:p>
    <w:p>
      <w:pPr>
        <w:pStyle w:val="BodyText"/>
        <w:spacing w:before="11"/>
        <w:rPr>
          <w:sz w:val="24"/>
        </w:rPr>
      </w:pPr>
    </w:p>
    <w:p>
      <w:pPr>
        <w:pStyle w:val="BodyText"/>
        <w:ind w:left="2390" w:right="1375"/>
      </w:pPr>
      <w:r>
        <w:rPr/>
        <w:drawing>
          <wp:anchor distT="0" distB="0" distL="0" distR="0" allowOverlap="1" layoutInCell="1" locked="0" behindDoc="0" simplePos="0" relativeHeight="7672">
            <wp:simplePos x="0" y="0"/>
            <wp:positionH relativeFrom="page">
              <wp:posOffset>-1587</wp:posOffset>
            </wp:positionH>
            <wp:positionV relativeFrom="paragraph">
              <wp:posOffset>173658</wp:posOffset>
            </wp:positionV>
            <wp:extent cx="136525" cy="155575"/>
            <wp:effectExtent l="0" t="0" r="0" b="0"/>
            <wp:wrapNone/>
            <wp:docPr id="511" name="image13.png" descr=""/>
            <wp:cNvGraphicFramePr>
              <a:graphicFrameLocks noChangeAspect="1"/>
            </wp:cNvGraphicFramePr>
            <a:graphic>
              <a:graphicData uri="http://schemas.openxmlformats.org/drawingml/2006/picture">
                <pic:pic>
                  <pic:nvPicPr>
                    <pic:cNvPr id="512" name="image13.png"/>
                    <pic:cNvPicPr/>
                  </pic:nvPicPr>
                  <pic:blipFill>
                    <a:blip r:embed="rId18" cstate="print"/>
                    <a:stretch>
                      <a:fillRect/>
                    </a:stretch>
                  </pic:blipFill>
                  <pic:spPr>
                    <a:xfrm>
                      <a:off x="0" y="0"/>
                      <a:ext cx="136525" cy="155575"/>
                    </a:xfrm>
                    <a:prstGeom prst="rect">
                      <a:avLst/>
                    </a:prstGeom>
                  </pic:spPr>
                </pic:pic>
              </a:graphicData>
            </a:graphic>
          </wp:anchor>
        </w:drawing>
      </w:r>
      <w:r>
        <w:rPr/>
        <w:drawing>
          <wp:anchor distT="0" distB="0" distL="0" distR="0" allowOverlap="1" layoutInCell="1" locked="0" behindDoc="0" simplePos="0" relativeHeight="7696">
            <wp:simplePos x="0" y="0"/>
            <wp:positionH relativeFrom="page">
              <wp:posOffset>7958429</wp:posOffset>
            </wp:positionH>
            <wp:positionV relativeFrom="paragraph">
              <wp:posOffset>173658</wp:posOffset>
            </wp:positionV>
            <wp:extent cx="135953" cy="155575"/>
            <wp:effectExtent l="0" t="0" r="0" b="0"/>
            <wp:wrapNone/>
            <wp:docPr id="513" name="image15.png" descr=""/>
            <wp:cNvGraphicFramePr>
              <a:graphicFrameLocks noChangeAspect="1"/>
            </wp:cNvGraphicFramePr>
            <a:graphic>
              <a:graphicData uri="http://schemas.openxmlformats.org/drawingml/2006/picture">
                <pic:pic>
                  <pic:nvPicPr>
                    <pic:cNvPr id="514" name="image15.png"/>
                    <pic:cNvPicPr/>
                  </pic:nvPicPr>
                  <pic:blipFill>
                    <a:blip r:embed="rId20" cstate="print"/>
                    <a:stretch>
                      <a:fillRect/>
                    </a:stretch>
                  </pic:blipFill>
                  <pic:spPr>
                    <a:xfrm>
                      <a:off x="0" y="0"/>
                      <a:ext cx="135953" cy="155575"/>
                    </a:xfrm>
                    <a:prstGeom prst="rect">
                      <a:avLst/>
                    </a:prstGeom>
                  </pic:spPr>
                </pic:pic>
              </a:graphicData>
            </a:graphic>
          </wp:anchor>
        </w:drawing>
      </w:r>
      <w:bookmarkStart w:name="(b) Principles of Consolidation" w:id="186"/>
      <w:bookmarkEnd w:id="186"/>
      <w:r>
        <w:rPr/>
      </w:r>
      <w:r>
        <w:rPr/>
        <w:t>The financial statements have been prepared on an accruals basis and are based on historical costs, modified, where applicable, by the measurement at fair value of selected non-current assets, financial assets and financial liabilities.</w:t>
      </w:r>
    </w:p>
    <w:p>
      <w:pPr>
        <w:pStyle w:val="BodyText"/>
        <w:spacing w:before="11"/>
        <w:rPr>
          <w:sz w:val="24"/>
        </w:rPr>
      </w:pPr>
    </w:p>
    <w:p>
      <w:pPr>
        <w:pStyle w:val="Heading8"/>
        <w:numPr>
          <w:ilvl w:val="0"/>
          <w:numId w:val="43"/>
        </w:numPr>
        <w:tabs>
          <w:tab w:pos="2391" w:val="left" w:leader="none"/>
        </w:tabs>
        <w:spacing w:line="240" w:lineRule="auto" w:before="0" w:after="0"/>
        <w:ind w:left="2390" w:right="0" w:hanging="566"/>
        <w:jc w:val="left"/>
      </w:pPr>
      <w:r>
        <w:rPr/>
        <w:t>Principles of Consolidation</w:t>
      </w:r>
    </w:p>
    <w:p>
      <w:pPr>
        <w:pStyle w:val="BodyText"/>
        <w:spacing w:before="11"/>
        <w:rPr>
          <w:b/>
          <w:sz w:val="24"/>
        </w:rPr>
      </w:pPr>
    </w:p>
    <w:p>
      <w:pPr>
        <w:spacing w:before="0"/>
        <w:ind w:left="2390" w:right="0" w:firstLine="0"/>
        <w:jc w:val="left"/>
        <w:rPr>
          <w:i/>
          <w:sz w:val="18"/>
        </w:rPr>
      </w:pPr>
      <w:r>
        <w:rPr>
          <w:i/>
          <w:sz w:val="18"/>
        </w:rPr>
        <w:t>Joint Arrangements</w:t>
      </w:r>
    </w:p>
    <w:p>
      <w:pPr>
        <w:pStyle w:val="BodyText"/>
        <w:spacing w:before="11"/>
        <w:rPr>
          <w:i/>
          <w:sz w:val="24"/>
        </w:rPr>
      </w:pPr>
    </w:p>
    <w:p>
      <w:pPr>
        <w:pStyle w:val="BodyText"/>
        <w:ind w:left="2390" w:right="1375"/>
      </w:pPr>
      <w:r>
        <w:rPr/>
        <w:t>The Company determined that the Joint Arrangement with Navitas Ltd for the establishment of the Western Sydney University International College Pty Ltd ("the International College") is a Joint Venture equally controlled by the Company and Navitas Ltd.</w:t>
      </w:r>
    </w:p>
    <w:p>
      <w:pPr>
        <w:pStyle w:val="BodyText"/>
        <w:spacing w:before="11"/>
        <w:rPr>
          <w:sz w:val="24"/>
        </w:rPr>
      </w:pPr>
    </w:p>
    <w:p>
      <w:pPr>
        <w:pStyle w:val="BodyText"/>
        <w:ind w:left="2390" w:right="1375"/>
      </w:pPr>
      <w:r>
        <w:rPr/>
        <w:t>The Company's share of assets, liabilities, revenue and expenses of the Joint Venture has been incorporated by using the equity method in accordance with AASB 11 Joint Arrangements.</w:t>
      </w:r>
    </w:p>
    <w:p>
      <w:pPr>
        <w:pStyle w:val="BodyText"/>
        <w:spacing w:before="11"/>
        <w:rPr>
          <w:sz w:val="24"/>
        </w:rPr>
      </w:pPr>
    </w:p>
    <w:p>
      <w:pPr>
        <w:pStyle w:val="BodyText"/>
        <w:ind w:left="2390" w:right="1375"/>
      </w:pPr>
      <w:r>
        <w:rPr/>
        <w:t>Under the equity method of accounting, the Company recognises its share of the profit and net assets in the International College as a one line item in the income statement and statement of financial position, respectively.</w:t>
      </w:r>
    </w:p>
    <w:p>
      <w:pPr>
        <w:pStyle w:val="BodyText"/>
        <w:spacing w:before="11"/>
        <w:rPr>
          <w:sz w:val="24"/>
        </w:rPr>
      </w:pPr>
    </w:p>
    <w:p>
      <w:pPr>
        <w:pStyle w:val="BodyText"/>
        <w:ind w:left="2390" w:right="1375"/>
      </w:pPr>
      <w:r>
        <w:rPr/>
        <w:t>The initial recognition of the investment in joint venture is recognised at cost, which includes the purchase price and any directly attributable expenditures necessary to obtain it.</w:t>
      </w:r>
    </w:p>
    <w:p>
      <w:pPr>
        <w:pStyle w:val="BodyText"/>
        <w:spacing w:before="11"/>
        <w:rPr>
          <w:sz w:val="24"/>
        </w:rPr>
      </w:pPr>
    </w:p>
    <w:p>
      <w:pPr>
        <w:pStyle w:val="BodyText"/>
        <w:ind w:left="2390" w:right="1407"/>
      </w:pPr>
      <w:r>
        <w:rPr/>
        <w:t>The carrying amount is adjusted to recognise the company's share of the profit or loss of the International College after the date of acquisition.</w:t>
      </w:r>
    </w:p>
    <w:p>
      <w:pPr>
        <w:pStyle w:val="BodyText"/>
        <w:spacing w:before="11"/>
        <w:rPr>
          <w:sz w:val="24"/>
        </w:rPr>
      </w:pPr>
    </w:p>
    <w:p>
      <w:pPr>
        <w:pStyle w:val="BodyText"/>
        <w:ind w:left="2390" w:right="1375"/>
      </w:pPr>
      <w:r>
        <w:rPr/>
        <w:t>Any shareholder loans, in substance, could form a part of the company's net investment in the joint venture and are taken into account when assessing the amount of any losses recognised by the Company relating to its interest in the International College and distributions received from the International College reduce the carrying amount of the investment.</w:t>
      </w:r>
    </w:p>
    <w:p>
      <w:pPr>
        <w:spacing w:after="0"/>
        <w:sectPr>
          <w:pgSz w:w="12750" w:h="17680"/>
          <w:pgMar w:header="0" w:footer="867" w:top="1880" w:bottom="1120" w:left="0" w:right="0"/>
        </w:sectPr>
      </w:pPr>
    </w:p>
    <w:p>
      <w:pPr>
        <w:pStyle w:val="BodyText"/>
        <w:spacing w:before="2"/>
        <w:rPr>
          <w:sz w:val="24"/>
        </w:rPr>
      </w:pPr>
    </w:p>
    <w:p>
      <w:pPr>
        <w:pStyle w:val="Heading4"/>
      </w:pPr>
      <w:r>
        <w:rPr/>
        <w:t>Notes to the Financial Statements</w:t>
      </w:r>
    </w:p>
    <w:p>
      <w:pPr>
        <w:pStyle w:val="Heading7"/>
      </w:pPr>
      <w:r>
        <w:rPr/>
        <w:t>For the Year Ended 31 December 2016</w:t>
      </w:r>
    </w:p>
    <w:p>
      <w:pPr>
        <w:pStyle w:val="BodyText"/>
        <w:rPr>
          <w:b/>
          <w:sz w:val="22"/>
        </w:rPr>
      </w:pPr>
    </w:p>
    <w:p>
      <w:pPr>
        <w:pStyle w:val="BodyText"/>
        <w:rPr>
          <w:b/>
          <w:sz w:val="22"/>
        </w:rPr>
      </w:pPr>
    </w:p>
    <w:p>
      <w:pPr>
        <w:pStyle w:val="Heading8"/>
        <w:tabs>
          <w:tab w:pos="1823" w:val="left" w:leader="none"/>
        </w:tabs>
        <w:spacing w:before="160"/>
        <w:ind w:left="1429"/>
      </w:pPr>
      <w:bookmarkStart w:name="(c) Foreign currency transactions and ba" w:id="187"/>
      <w:bookmarkEnd w:id="187"/>
      <w:r>
        <w:rPr>
          <w:b w:val="0"/>
        </w:rPr>
      </w:r>
      <w:r>
        <w:rPr/>
        <w:t>1</w:t>
        <w:tab/>
        <w:t>Summary of Significant Accounting Policies</w:t>
      </w:r>
      <w:r>
        <w:rPr>
          <w:spacing w:val="-6"/>
        </w:rPr>
        <w:t> </w:t>
      </w:r>
      <w:r>
        <w:rPr/>
        <w:t>continued</w:t>
      </w:r>
    </w:p>
    <w:p>
      <w:pPr>
        <w:pStyle w:val="BodyText"/>
        <w:spacing w:before="11"/>
        <w:rPr>
          <w:b/>
          <w:sz w:val="24"/>
        </w:rPr>
      </w:pPr>
    </w:p>
    <w:p>
      <w:pPr>
        <w:pStyle w:val="ListParagraph"/>
        <w:numPr>
          <w:ilvl w:val="0"/>
          <w:numId w:val="43"/>
        </w:numPr>
        <w:tabs>
          <w:tab w:pos="2391" w:val="left" w:leader="none"/>
        </w:tabs>
        <w:spacing w:line="240" w:lineRule="auto" w:before="0" w:after="0"/>
        <w:ind w:left="2390" w:right="0" w:hanging="566"/>
        <w:jc w:val="left"/>
        <w:rPr>
          <w:b/>
          <w:sz w:val="18"/>
        </w:rPr>
      </w:pPr>
      <w:r>
        <w:rPr>
          <w:b/>
          <w:sz w:val="18"/>
        </w:rPr>
        <w:t>Foreign</w:t>
      </w:r>
      <w:r>
        <w:rPr>
          <w:b/>
          <w:spacing w:val="-10"/>
          <w:sz w:val="18"/>
        </w:rPr>
        <w:t> </w:t>
      </w:r>
      <w:r>
        <w:rPr>
          <w:b/>
          <w:sz w:val="18"/>
        </w:rPr>
        <w:t>currency</w:t>
      </w:r>
      <w:r>
        <w:rPr>
          <w:b/>
          <w:spacing w:val="-10"/>
          <w:sz w:val="18"/>
        </w:rPr>
        <w:t> </w:t>
      </w:r>
      <w:r>
        <w:rPr>
          <w:b/>
          <w:sz w:val="18"/>
        </w:rPr>
        <w:t>transactions</w:t>
      </w:r>
      <w:r>
        <w:rPr>
          <w:b/>
          <w:spacing w:val="-10"/>
          <w:sz w:val="18"/>
        </w:rPr>
        <w:t> </w:t>
      </w:r>
      <w:r>
        <w:rPr>
          <w:b/>
          <w:sz w:val="18"/>
        </w:rPr>
        <w:t>and</w:t>
      </w:r>
      <w:r>
        <w:rPr>
          <w:b/>
          <w:spacing w:val="-10"/>
          <w:sz w:val="18"/>
        </w:rPr>
        <w:t> </w:t>
      </w:r>
      <w:r>
        <w:rPr>
          <w:b/>
          <w:sz w:val="18"/>
        </w:rPr>
        <w:t>balances</w:t>
      </w:r>
    </w:p>
    <w:p>
      <w:pPr>
        <w:pStyle w:val="BodyText"/>
        <w:spacing w:before="11"/>
        <w:rPr>
          <w:b/>
          <w:sz w:val="24"/>
        </w:rPr>
      </w:pPr>
    </w:p>
    <w:p>
      <w:pPr>
        <w:pStyle w:val="BodyText"/>
        <w:ind w:left="2390" w:right="1375"/>
      </w:pPr>
      <w:bookmarkStart w:name="(d) Comparative Amounts" w:id="188"/>
      <w:bookmarkEnd w:id="188"/>
      <w:r>
        <w:rPr/>
      </w:r>
      <w:r>
        <w:rPr/>
        <w:t>The functional currency of the Company is measured using the currency of the primary economic environment which is Australian dollars. The financial statements are presented in Australian dollars which is the parent entity's functional and presentation currency.</w:t>
      </w:r>
    </w:p>
    <w:p>
      <w:pPr>
        <w:pStyle w:val="BodyText"/>
        <w:spacing w:before="11"/>
        <w:rPr>
          <w:sz w:val="24"/>
        </w:rPr>
      </w:pPr>
    </w:p>
    <w:p>
      <w:pPr>
        <w:pStyle w:val="Heading8"/>
        <w:numPr>
          <w:ilvl w:val="0"/>
          <w:numId w:val="43"/>
        </w:numPr>
        <w:tabs>
          <w:tab w:pos="2391" w:val="left" w:leader="none"/>
        </w:tabs>
        <w:spacing w:line="240" w:lineRule="auto" w:before="0" w:after="0"/>
        <w:ind w:left="2390" w:right="0" w:hanging="566"/>
        <w:jc w:val="left"/>
      </w:pPr>
      <w:r>
        <w:rPr/>
        <w:t>Comparative</w:t>
      </w:r>
      <w:r>
        <w:rPr>
          <w:spacing w:val="-21"/>
        </w:rPr>
        <w:t> </w:t>
      </w:r>
      <w:r>
        <w:rPr/>
        <w:t>Amounts</w:t>
      </w:r>
    </w:p>
    <w:p>
      <w:pPr>
        <w:pStyle w:val="BodyText"/>
        <w:spacing w:before="11"/>
        <w:rPr>
          <w:b/>
          <w:sz w:val="24"/>
        </w:rPr>
      </w:pPr>
    </w:p>
    <w:p>
      <w:pPr>
        <w:pStyle w:val="BodyText"/>
        <w:ind w:left="2390" w:right="1375"/>
      </w:pPr>
      <w:r>
        <w:rPr/>
        <w:t>When required by Accounting Standards, comparative figures have been adjusted to conform to changes in presentation for the current financial year.</w:t>
      </w:r>
    </w:p>
    <w:p>
      <w:pPr>
        <w:pStyle w:val="BodyText"/>
        <w:spacing w:before="11"/>
        <w:rPr>
          <w:sz w:val="24"/>
        </w:rPr>
      </w:pPr>
    </w:p>
    <w:p>
      <w:pPr>
        <w:pStyle w:val="BodyText"/>
        <w:ind w:left="2390" w:right="1375"/>
      </w:pPr>
      <w:r>
        <w:rPr/>
        <w:t>When the Company applies an accounting policy retrospectively, makes a retrospective restatement or reclassifies items in its financial statements, a statement of financial position as at the beginning of the earliest comparative period will be presented.</w:t>
      </w:r>
    </w:p>
    <w:p>
      <w:pPr>
        <w:pStyle w:val="BodyText"/>
        <w:spacing w:before="11"/>
        <w:rPr>
          <w:sz w:val="24"/>
        </w:rPr>
      </w:pPr>
    </w:p>
    <w:p>
      <w:pPr>
        <w:pStyle w:val="BodyText"/>
        <w:ind w:left="2390"/>
      </w:pPr>
      <w:r>
        <w:rPr/>
        <w:drawing>
          <wp:anchor distT="0" distB="0" distL="0" distR="0" allowOverlap="1" layoutInCell="1" locked="0" behindDoc="0" simplePos="0" relativeHeight="7720">
            <wp:simplePos x="0" y="0"/>
            <wp:positionH relativeFrom="page">
              <wp:posOffset>-1587</wp:posOffset>
            </wp:positionH>
            <wp:positionV relativeFrom="paragraph">
              <wp:posOffset>749730</wp:posOffset>
            </wp:positionV>
            <wp:extent cx="135159" cy="154019"/>
            <wp:effectExtent l="0" t="0" r="0" b="0"/>
            <wp:wrapNone/>
            <wp:docPr id="515" name="image13.png" descr=""/>
            <wp:cNvGraphicFramePr>
              <a:graphicFrameLocks noChangeAspect="1"/>
            </wp:cNvGraphicFramePr>
            <a:graphic>
              <a:graphicData uri="http://schemas.openxmlformats.org/drawingml/2006/picture">
                <pic:pic>
                  <pic:nvPicPr>
                    <pic:cNvPr id="516" name="image13.png"/>
                    <pic:cNvPicPr/>
                  </pic:nvPicPr>
                  <pic:blipFill>
                    <a:blip r:embed="rId18" cstate="print"/>
                    <a:stretch>
                      <a:fillRect/>
                    </a:stretch>
                  </pic:blipFill>
                  <pic:spPr>
                    <a:xfrm>
                      <a:off x="0" y="0"/>
                      <a:ext cx="135159" cy="154019"/>
                    </a:xfrm>
                    <a:prstGeom prst="rect">
                      <a:avLst/>
                    </a:prstGeom>
                  </pic:spPr>
                </pic:pic>
              </a:graphicData>
            </a:graphic>
          </wp:anchor>
        </w:drawing>
      </w:r>
      <w:r>
        <w:rPr/>
        <w:drawing>
          <wp:anchor distT="0" distB="0" distL="0" distR="0" allowOverlap="1" layoutInCell="1" locked="0" behindDoc="0" simplePos="0" relativeHeight="7744">
            <wp:simplePos x="0" y="0"/>
            <wp:positionH relativeFrom="page">
              <wp:posOffset>7958429</wp:posOffset>
            </wp:positionH>
            <wp:positionV relativeFrom="paragraph">
              <wp:posOffset>749730</wp:posOffset>
            </wp:positionV>
            <wp:extent cx="135953" cy="155575"/>
            <wp:effectExtent l="0" t="0" r="0" b="0"/>
            <wp:wrapNone/>
            <wp:docPr id="517" name="image15.png" descr=""/>
            <wp:cNvGraphicFramePr>
              <a:graphicFrameLocks noChangeAspect="1"/>
            </wp:cNvGraphicFramePr>
            <a:graphic>
              <a:graphicData uri="http://schemas.openxmlformats.org/drawingml/2006/picture">
                <pic:pic>
                  <pic:nvPicPr>
                    <pic:cNvPr id="518" name="image15.png"/>
                    <pic:cNvPicPr/>
                  </pic:nvPicPr>
                  <pic:blipFill>
                    <a:blip r:embed="rId20" cstate="print"/>
                    <a:stretch>
                      <a:fillRect/>
                    </a:stretch>
                  </pic:blipFill>
                  <pic:spPr>
                    <a:xfrm>
                      <a:off x="0" y="0"/>
                      <a:ext cx="135953" cy="155575"/>
                    </a:xfrm>
                    <a:prstGeom prst="rect">
                      <a:avLst/>
                    </a:prstGeom>
                  </pic:spPr>
                </pic:pic>
              </a:graphicData>
            </a:graphic>
          </wp:anchor>
        </w:drawing>
      </w:r>
      <w:r>
        <w:rPr/>
        <w:t>The following items have been adjusted to conform with the current year's presentation.</w:t>
      </w:r>
    </w:p>
    <w:p>
      <w:pPr>
        <w:pStyle w:val="BodyText"/>
        <w:rPr>
          <w:sz w:val="20"/>
        </w:rPr>
      </w:pPr>
    </w:p>
    <w:p>
      <w:pPr>
        <w:pStyle w:val="BodyText"/>
        <w:spacing w:before="1" w:after="1"/>
        <w:rPr>
          <w:sz w:val="19"/>
        </w:rPr>
      </w:pPr>
    </w:p>
    <w:tbl>
      <w:tblPr>
        <w:tblW w:w="0" w:type="auto"/>
        <w:jc w:val="left"/>
        <w:tblInd w:w="238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707"/>
        <w:gridCol w:w="659"/>
        <w:gridCol w:w="1436"/>
        <w:gridCol w:w="1159"/>
      </w:tblGrid>
      <w:tr>
        <w:trPr>
          <w:trHeight w:val="914" w:hRule="exact"/>
        </w:trPr>
        <w:tc>
          <w:tcPr>
            <w:tcW w:w="5707" w:type="dxa"/>
          </w:tcPr>
          <w:p>
            <w:pPr/>
          </w:p>
        </w:tc>
        <w:tc>
          <w:tcPr>
            <w:tcW w:w="659" w:type="dxa"/>
          </w:tcPr>
          <w:p>
            <w:pPr>
              <w:pStyle w:val="TableParagraph"/>
              <w:jc w:val="left"/>
              <w:rPr>
                <w:sz w:val="18"/>
              </w:rPr>
            </w:pPr>
          </w:p>
          <w:p>
            <w:pPr>
              <w:pStyle w:val="TableParagraph"/>
              <w:jc w:val="left"/>
              <w:rPr>
                <w:sz w:val="18"/>
              </w:rPr>
            </w:pPr>
          </w:p>
          <w:p>
            <w:pPr>
              <w:pStyle w:val="TableParagraph"/>
              <w:spacing w:before="3"/>
              <w:jc w:val="left"/>
              <w:rPr>
                <w:sz w:val="18"/>
              </w:rPr>
            </w:pPr>
          </w:p>
          <w:p>
            <w:pPr>
              <w:pStyle w:val="TableParagraph"/>
              <w:ind w:left="140" w:right="58"/>
              <w:jc w:val="center"/>
              <w:rPr>
                <w:b/>
                <w:sz w:val="18"/>
              </w:rPr>
            </w:pPr>
            <w:r>
              <w:rPr>
                <w:b/>
                <w:sz w:val="18"/>
              </w:rPr>
              <w:t>Note</w:t>
            </w:r>
          </w:p>
        </w:tc>
        <w:tc>
          <w:tcPr>
            <w:tcW w:w="1436" w:type="dxa"/>
          </w:tcPr>
          <w:p>
            <w:pPr>
              <w:pStyle w:val="TableParagraph"/>
              <w:spacing w:before="77"/>
              <w:ind w:left="233" w:right="370"/>
              <w:jc w:val="center"/>
              <w:rPr>
                <w:b/>
                <w:sz w:val="18"/>
              </w:rPr>
            </w:pPr>
            <w:r>
              <w:rPr>
                <w:b/>
                <w:sz w:val="18"/>
              </w:rPr>
              <w:t>2015</w:t>
            </w:r>
          </w:p>
          <w:p>
            <w:pPr>
              <w:pStyle w:val="TableParagraph"/>
              <w:spacing w:before="66"/>
              <w:ind w:left="233" w:right="371"/>
              <w:jc w:val="center"/>
              <w:rPr>
                <w:b/>
                <w:sz w:val="18"/>
              </w:rPr>
            </w:pPr>
            <w:r>
              <w:rPr>
                <w:b/>
                <w:sz w:val="18"/>
              </w:rPr>
              <w:t>Reported</w:t>
            </w:r>
          </w:p>
          <w:p>
            <w:pPr>
              <w:pStyle w:val="TableParagraph"/>
              <w:spacing w:before="66"/>
              <w:ind w:right="135"/>
              <w:jc w:val="center"/>
              <w:rPr>
                <w:b/>
                <w:sz w:val="18"/>
              </w:rPr>
            </w:pPr>
            <w:r>
              <w:rPr>
                <w:b/>
                <w:w w:val="99"/>
                <w:sz w:val="18"/>
              </w:rPr>
              <w:t>$</w:t>
            </w:r>
          </w:p>
        </w:tc>
        <w:tc>
          <w:tcPr>
            <w:tcW w:w="1159" w:type="dxa"/>
          </w:tcPr>
          <w:p>
            <w:pPr>
              <w:pStyle w:val="TableParagraph"/>
              <w:spacing w:before="77"/>
              <w:ind w:left="145" w:right="282"/>
              <w:jc w:val="center"/>
              <w:rPr>
                <w:b/>
                <w:sz w:val="18"/>
              </w:rPr>
            </w:pPr>
            <w:r>
              <w:rPr>
                <w:b/>
                <w:sz w:val="18"/>
              </w:rPr>
              <w:t>2015</w:t>
            </w:r>
          </w:p>
          <w:p>
            <w:pPr>
              <w:pStyle w:val="TableParagraph"/>
              <w:spacing w:before="66"/>
              <w:ind w:left="145" w:right="282"/>
              <w:jc w:val="center"/>
              <w:rPr>
                <w:b/>
                <w:sz w:val="18"/>
              </w:rPr>
            </w:pPr>
            <w:r>
              <w:rPr>
                <w:b/>
                <w:sz w:val="18"/>
              </w:rPr>
              <w:t>Revised</w:t>
            </w:r>
          </w:p>
          <w:p>
            <w:pPr>
              <w:pStyle w:val="TableParagraph"/>
              <w:spacing w:before="66"/>
              <w:ind w:right="135"/>
              <w:jc w:val="center"/>
              <w:rPr>
                <w:b/>
                <w:sz w:val="18"/>
              </w:rPr>
            </w:pPr>
            <w:r>
              <w:rPr>
                <w:b/>
                <w:w w:val="99"/>
                <w:sz w:val="18"/>
              </w:rPr>
              <w:t>$</w:t>
            </w:r>
          </w:p>
        </w:tc>
      </w:tr>
      <w:tr>
        <w:trPr>
          <w:trHeight w:val="543" w:hRule="exact"/>
        </w:trPr>
        <w:tc>
          <w:tcPr>
            <w:tcW w:w="5707" w:type="dxa"/>
          </w:tcPr>
          <w:p>
            <w:pPr>
              <w:pStyle w:val="TableParagraph"/>
              <w:spacing w:before="63"/>
              <w:ind w:left="35"/>
              <w:jc w:val="left"/>
              <w:rPr>
                <w:b/>
                <w:sz w:val="18"/>
              </w:rPr>
            </w:pPr>
            <w:r>
              <w:rPr>
                <w:b/>
                <w:sz w:val="18"/>
              </w:rPr>
              <w:t>Current assets</w:t>
            </w:r>
          </w:p>
          <w:p>
            <w:pPr>
              <w:pStyle w:val="TableParagraph"/>
              <w:spacing w:before="27"/>
              <w:ind w:left="35"/>
              <w:jc w:val="left"/>
              <w:rPr>
                <w:sz w:val="18"/>
              </w:rPr>
            </w:pPr>
            <w:r>
              <w:rPr>
                <w:sz w:val="18"/>
              </w:rPr>
              <w:t>Trade and other receivables</w:t>
            </w:r>
          </w:p>
        </w:tc>
        <w:tc>
          <w:tcPr>
            <w:tcW w:w="659" w:type="dxa"/>
          </w:tcPr>
          <w:p>
            <w:pPr>
              <w:pStyle w:val="TableParagraph"/>
              <w:spacing w:before="9"/>
              <w:jc w:val="left"/>
              <w:rPr>
                <w:sz w:val="25"/>
              </w:rPr>
            </w:pPr>
          </w:p>
          <w:p>
            <w:pPr>
              <w:pStyle w:val="TableParagraph"/>
              <w:spacing w:before="1"/>
              <w:ind w:left="82"/>
              <w:jc w:val="center"/>
              <w:rPr>
                <w:sz w:val="18"/>
              </w:rPr>
            </w:pPr>
            <w:r>
              <w:rPr>
                <w:w w:val="99"/>
                <w:sz w:val="18"/>
              </w:rPr>
              <w:t>3</w:t>
            </w:r>
          </w:p>
        </w:tc>
        <w:tc>
          <w:tcPr>
            <w:tcW w:w="1436" w:type="dxa"/>
          </w:tcPr>
          <w:p>
            <w:pPr>
              <w:pStyle w:val="TableParagraph"/>
              <w:spacing w:before="11"/>
              <w:jc w:val="left"/>
              <w:rPr>
                <w:sz w:val="25"/>
              </w:rPr>
            </w:pPr>
          </w:p>
          <w:p>
            <w:pPr>
              <w:pStyle w:val="TableParagraph"/>
              <w:ind w:right="225"/>
              <w:rPr>
                <w:sz w:val="18"/>
              </w:rPr>
            </w:pPr>
            <w:r>
              <w:rPr>
                <w:w w:val="95"/>
                <w:sz w:val="18"/>
              </w:rPr>
              <w:t>455,337</w:t>
            </w:r>
          </w:p>
        </w:tc>
        <w:tc>
          <w:tcPr>
            <w:tcW w:w="1159" w:type="dxa"/>
          </w:tcPr>
          <w:p>
            <w:pPr>
              <w:pStyle w:val="TableParagraph"/>
              <w:spacing w:before="11"/>
              <w:jc w:val="left"/>
              <w:rPr>
                <w:sz w:val="25"/>
              </w:rPr>
            </w:pPr>
          </w:p>
          <w:p>
            <w:pPr>
              <w:pStyle w:val="TableParagraph"/>
              <w:ind w:right="86"/>
              <w:rPr>
                <w:sz w:val="18"/>
              </w:rPr>
            </w:pPr>
            <w:r>
              <w:rPr>
                <w:w w:val="95"/>
                <w:sz w:val="18"/>
              </w:rPr>
              <w:t>369,087</w:t>
            </w:r>
          </w:p>
        </w:tc>
      </w:tr>
      <w:tr>
        <w:trPr>
          <w:trHeight w:val="263" w:hRule="exact"/>
        </w:trPr>
        <w:tc>
          <w:tcPr>
            <w:tcW w:w="5707" w:type="dxa"/>
          </w:tcPr>
          <w:p>
            <w:pPr>
              <w:pStyle w:val="TableParagraph"/>
              <w:spacing w:before="18"/>
              <w:ind w:left="35"/>
              <w:jc w:val="left"/>
              <w:rPr>
                <w:sz w:val="18"/>
              </w:rPr>
            </w:pPr>
            <w:r>
              <w:rPr>
                <w:sz w:val="18"/>
              </w:rPr>
              <w:t>Receivables from related parties</w:t>
            </w:r>
          </w:p>
        </w:tc>
        <w:tc>
          <w:tcPr>
            <w:tcW w:w="659" w:type="dxa"/>
          </w:tcPr>
          <w:p>
            <w:pPr>
              <w:pStyle w:val="TableParagraph"/>
              <w:spacing w:before="18"/>
              <w:ind w:left="140" w:right="59"/>
              <w:jc w:val="center"/>
              <w:rPr>
                <w:sz w:val="18"/>
              </w:rPr>
            </w:pPr>
            <w:r>
              <w:rPr>
                <w:sz w:val="18"/>
              </w:rPr>
              <w:t>20(d)</w:t>
            </w:r>
          </w:p>
        </w:tc>
        <w:tc>
          <w:tcPr>
            <w:tcW w:w="1436" w:type="dxa"/>
            <w:tcBorders>
              <w:bottom w:val="single" w:sz="0" w:space="0" w:color="000000"/>
            </w:tcBorders>
          </w:tcPr>
          <w:p>
            <w:pPr>
              <w:pStyle w:val="TableParagraph"/>
              <w:spacing w:before="19"/>
              <w:ind w:right="137"/>
              <w:jc w:val="center"/>
              <w:rPr>
                <w:sz w:val="18"/>
              </w:rPr>
            </w:pPr>
            <w:r>
              <w:rPr>
                <w:w w:val="99"/>
                <w:sz w:val="18"/>
              </w:rPr>
              <w:t>-</w:t>
            </w:r>
          </w:p>
        </w:tc>
        <w:tc>
          <w:tcPr>
            <w:tcW w:w="1159" w:type="dxa"/>
            <w:tcBorders>
              <w:bottom w:val="single" w:sz="0" w:space="0" w:color="000000"/>
            </w:tcBorders>
          </w:tcPr>
          <w:p>
            <w:pPr>
              <w:pStyle w:val="TableParagraph"/>
              <w:spacing w:before="19"/>
              <w:ind w:right="86"/>
              <w:rPr>
                <w:sz w:val="18"/>
              </w:rPr>
            </w:pPr>
            <w:r>
              <w:rPr>
                <w:w w:val="95"/>
                <w:sz w:val="18"/>
              </w:rPr>
              <w:t>86,250</w:t>
            </w:r>
          </w:p>
        </w:tc>
      </w:tr>
      <w:tr>
        <w:trPr>
          <w:trHeight w:val="353" w:hRule="exact"/>
        </w:trPr>
        <w:tc>
          <w:tcPr>
            <w:tcW w:w="5707" w:type="dxa"/>
          </w:tcPr>
          <w:p>
            <w:pPr/>
          </w:p>
        </w:tc>
        <w:tc>
          <w:tcPr>
            <w:tcW w:w="659" w:type="dxa"/>
          </w:tcPr>
          <w:p>
            <w:pPr/>
          </w:p>
        </w:tc>
        <w:tc>
          <w:tcPr>
            <w:tcW w:w="1436" w:type="dxa"/>
            <w:tcBorders>
              <w:top w:val="single" w:sz="0" w:space="0" w:color="000000"/>
              <w:bottom w:val="single" w:sz="0" w:space="0" w:color="000000"/>
            </w:tcBorders>
          </w:tcPr>
          <w:p>
            <w:pPr>
              <w:pStyle w:val="TableParagraph"/>
              <w:spacing w:before="122"/>
              <w:ind w:right="225"/>
              <w:rPr>
                <w:sz w:val="18"/>
              </w:rPr>
            </w:pPr>
            <w:r>
              <w:rPr>
                <w:w w:val="95"/>
                <w:sz w:val="18"/>
              </w:rPr>
              <w:t>455,337</w:t>
            </w:r>
          </w:p>
        </w:tc>
        <w:tc>
          <w:tcPr>
            <w:tcW w:w="1159" w:type="dxa"/>
            <w:tcBorders>
              <w:top w:val="single" w:sz="0" w:space="0" w:color="000000"/>
              <w:bottom w:val="single" w:sz="0" w:space="0" w:color="000000"/>
            </w:tcBorders>
          </w:tcPr>
          <w:p>
            <w:pPr>
              <w:pStyle w:val="TableParagraph"/>
              <w:spacing w:before="122"/>
              <w:ind w:right="86"/>
              <w:rPr>
                <w:sz w:val="18"/>
              </w:rPr>
            </w:pPr>
            <w:r>
              <w:rPr>
                <w:w w:val="95"/>
                <w:sz w:val="18"/>
              </w:rPr>
              <w:t>455,337</w:t>
            </w:r>
          </w:p>
        </w:tc>
      </w:tr>
      <w:tr>
        <w:trPr>
          <w:trHeight w:val="937" w:hRule="exact"/>
        </w:trPr>
        <w:tc>
          <w:tcPr>
            <w:tcW w:w="5707" w:type="dxa"/>
          </w:tcPr>
          <w:p>
            <w:pPr>
              <w:pStyle w:val="TableParagraph"/>
              <w:jc w:val="left"/>
              <w:rPr>
                <w:sz w:val="18"/>
              </w:rPr>
            </w:pPr>
          </w:p>
          <w:p>
            <w:pPr>
              <w:pStyle w:val="TableParagraph"/>
              <w:spacing w:before="9"/>
              <w:jc w:val="left"/>
              <w:rPr>
                <w:sz w:val="21"/>
              </w:rPr>
            </w:pPr>
          </w:p>
          <w:p>
            <w:pPr>
              <w:pStyle w:val="TableParagraph"/>
              <w:ind w:left="35"/>
              <w:jc w:val="left"/>
              <w:rPr>
                <w:b/>
                <w:sz w:val="18"/>
              </w:rPr>
            </w:pPr>
            <w:r>
              <w:rPr>
                <w:b/>
                <w:sz w:val="18"/>
              </w:rPr>
              <w:t>Cash flows from investing activities</w:t>
            </w:r>
          </w:p>
          <w:p>
            <w:pPr>
              <w:pStyle w:val="TableParagraph"/>
              <w:spacing w:before="27"/>
              <w:ind w:left="35"/>
              <w:jc w:val="left"/>
              <w:rPr>
                <w:sz w:val="18"/>
              </w:rPr>
            </w:pPr>
            <w:r>
              <w:rPr>
                <w:sz w:val="18"/>
              </w:rPr>
              <w:t>Repayments received from the parent entity</w:t>
            </w:r>
          </w:p>
        </w:tc>
        <w:tc>
          <w:tcPr>
            <w:tcW w:w="659" w:type="dxa"/>
          </w:tcPr>
          <w:p>
            <w:pPr/>
          </w:p>
        </w:tc>
        <w:tc>
          <w:tcPr>
            <w:tcW w:w="1436" w:type="dxa"/>
            <w:tcBorders>
              <w:top w:val="single" w:sz="0" w:space="0" w:color="000000"/>
            </w:tcBorders>
          </w:tcPr>
          <w:p>
            <w:pPr>
              <w:pStyle w:val="TableParagraph"/>
              <w:jc w:val="left"/>
              <w:rPr>
                <w:sz w:val="18"/>
              </w:rPr>
            </w:pPr>
          </w:p>
          <w:p>
            <w:pPr>
              <w:pStyle w:val="TableParagraph"/>
              <w:jc w:val="left"/>
              <w:rPr>
                <w:sz w:val="18"/>
              </w:rPr>
            </w:pPr>
          </w:p>
          <w:p>
            <w:pPr>
              <w:pStyle w:val="TableParagraph"/>
              <w:spacing w:before="2"/>
              <w:jc w:val="left"/>
              <w:rPr>
                <w:sz w:val="24"/>
              </w:rPr>
            </w:pPr>
          </w:p>
          <w:p>
            <w:pPr>
              <w:pStyle w:val="TableParagraph"/>
              <w:ind w:right="137"/>
              <w:jc w:val="center"/>
              <w:rPr>
                <w:sz w:val="18"/>
              </w:rPr>
            </w:pPr>
            <w:r>
              <w:rPr>
                <w:w w:val="99"/>
                <w:sz w:val="18"/>
              </w:rPr>
              <w:t>-</w:t>
            </w:r>
          </w:p>
        </w:tc>
        <w:tc>
          <w:tcPr>
            <w:tcW w:w="1159" w:type="dxa"/>
            <w:tcBorders>
              <w:top w:val="single" w:sz="0" w:space="0" w:color="000000"/>
            </w:tcBorders>
          </w:tcPr>
          <w:p>
            <w:pPr>
              <w:pStyle w:val="TableParagraph"/>
              <w:jc w:val="left"/>
              <w:rPr>
                <w:sz w:val="18"/>
              </w:rPr>
            </w:pPr>
          </w:p>
          <w:p>
            <w:pPr>
              <w:pStyle w:val="TableParagraph"/>
              <w:jc w:val="left"/>
              <w:rPr>
                <w:sz w:val="18"/>
              </w:rPr>
            </w:pPr>
          </w:p>
          <w:p>
            <w:pPr>
              <w:pStyle w:val="TableParagraph"/>
              <w:spacing w:before="2"/>
              <w:jc w:val="left"/>
              <w:rPr>
                <w:sz w:val="24"/>
              </w:rPr>
            </w:pPr>
          </w:p>
          <w:p>
            <w:pPr>
              <w:pStyle w:val="TableParagraph"/>
              <w:ind w:right="86"/>
              <w:rPr>
                <w:sz w:val="18"/>
              </w:rPr>
            </w:pPr>
            <w:r>
              <w:rPr>
                <w:w w:val="95"/>
                <w:sz w:val="18"/>
              </w:rPr>
              <w:t>8,080,191</w:t>
            </w:r>
          </w:p>
        </w:tc>
      </w:tr>
      <w:tr>
        <w:trPr>
          <w:trHeight w:val="263" w:hRule="exact"/>
        </w:trPr>
        <w:tc>
          <w:tcPr>
            <w:tcW w:w="5707" w:type="dxa"/>
          </w:tcPr>
          <w:p>
            <w:pPr>
              <w:pStyle w:val="TableParagraph"/>
              <w:spacing w:before="18"/>
              <w:ind w:left="35"/>
              <w:jc w:val="left"/>
              <w:rPr>
                <w:sz w:val="18"/>
              </w:rPr>
            </w:pPr>
            <w:r>
              <w:rPr>
                <w:sz w:val="18"/>
              </w:rPr>
              <w:t>Advances made to the parent entity</w:t>
            </w:r>
          </w:p>
        </w:tc>
        <w:tc>
          <w:tcPr>
            <w:tcW w:w="659" w:type="dxa"/>
          </w:tcPr>
          <w:p>
            <w:pPr/>
          </w:p>
        </w:tc>
        <w:tc>
          <w:tcPr>
            <w:tcW w:w="1436" w:type="dxa"/>
            <w:tcBorders>
              <w:bottom w:val="single" w:sz="0" w:space="0" w:color="000000"/>
            </w:tcBorders>
          </w:tcPr>
          <w:p>
            <w:pPr>
              <w:pStyle w:val="TableParagraph"/>
              <w:spacing w:before="19"/>
              <w:ind w:right="137"/>
              <w:jc w:val="center"/>
              <w:rPr>
                <w:sz w:val="18"/>
              </w:rPr>
            </w:pPr>
            <w:r>
              <w:rPr>
                <w:w w:val="99"/>
                <w:sz w:val="18"/>
              </w:rPr>
              <w:t>-</w:t>
            </w:r>
          </w:p>
        </w:tc>
        <w:tc>
          <w:tcPr>
            <w:tcW w:w="1159" w:type="dxa"/>
            <w:tcBorders>
              <w:bottom w:val="single" w:sz="0" w:space="0" w:color="000000"/>
            </w:tcBorders>
          </w:tcPr>
          <w:p>
            <w:pPr>
              <w:pStyle w:val="TableParagraph"/>
              <w:spacing w:before="19"/>
              <w:ind w:right="27"/>
              <w:rPr>
                <w:sz w:val="18"/>
              </w:rPr>
            </w:pPr>
            <w:r>
              <w:rPr>
                <w:w w:val="95"/>
                <w:sz w:val="18"/>
              </w:rPr>
              <w:t>(7,556,296)</w:t>
            </w:r>
          </w:p>
        </w:tc>
      </w:tr>
      <w:tr>
        <w:trPr>
          <w:trHeight w:val="353" w:hRule="exact"/>
        </w:trPr>
        <w:tc>
          <w:tcPr>
            <w:tcW w:w="5707" w:type="dxa"/>
          </w:tcPr>
          <w:p>
            <w:pPr/>
          </w:p>
        </w:tc>
        <w:tc>
          <w:tcPr>
            <w:tcW w:w="659" w:type="dxa"/>
          </w:tcPr>
          <w:p>
            <w:pPr/>
          </w:p>
        </w:tc>
        <w:tc>
          <w:tcPr>
            <w:tcW w:w="1436" w:type="dxa"/>
            <w:tcBorders>
              <w:top w:val="single" w:sz="0" w:space="0" w:color="000000"/>
              <w:bottom w:val="single" w:sz="0" w:space="0" w:color="000000"/>
            </w:tcBorders>
          </w:tcPr>
          <w:p>
            <w:pPr>
              <w:pStyle w:val="TableParagraph"/>
              <w:spacing w:before="122"/>
              <w:ind w:right="137"/>
              <w:jc w:val="center"/>
              <w:rPr>
                <w:sz w:val="18"/>
              </w:rPr>
            </w:pPr>
            <w:r>
              <w:rPr>
                <w:w w:val="99"/>
                <w:sz w:val="18"/>
              </w:rPr>
              <w:t>-</w:t>
            </w:r>
          </w:p>
        </w:tc>
        <w:tc>
          <w:tcPr>
            <w:tcW w:w="1159" w:type="dxa"/>
            <w:tcBorders>
              <w:top w:val="single" w:sz="0" w:space="0" w:color="000000"/>
              <w:bottom w:val="single" w:sz="0" w:space="0" w:color="000000"/>
            </w:tcBorders>
          </w:tcPr>
          <w:p>
            <w:pPr>
              <w:pStyle w:val="TableParagraph"/>
              <w:spacing w:before="122"/>
              <w:ind w:right="86"/>
              <w:rPr>
                <w:sz w:val="18"/>
              </w:rPr>
            </w:pPr>
            <w:r>
              <w:rPr>
                <w:w w:val="95"/>
                <w:sz w:val="18"/>
              </w:rPr>
              <w:t>523,895</w:t>
            </w:r>
          </w:p>
        </w:tc>
      </w:tr>
      <w:tr>
        <w:trPr>
          <w:trHeight w:val="937" w:hRule="exact"/>
        </w:trPr>
        <w:tc>
          <w:tcPr>
            <w:tcW w:w="5707" w:type="dxa"/>
          </w:tcPr>
          <w:p>
            <w:pPr>
              <w:pStyle w:val="TableParagraph"/>
              <w:jc w:val="left"/>
              <w:rPr>
                <w:sz w:val="18"/>
              </w:rPr>
            </w:pPr>
          </w:p>
          <w:p>
            <w:pPr>
              <w:pStyle w:val="TableParagraph"/>
              <w:spacing w:before="9"/>
              <w:jc w:val="left"/>
              <w:rPr>
                <w:sz w:val="21"/>
              </w:rPr>
            </w:pPr>
          </w:p>
          <w:p>
            <w:pPr>
              <w:pStyle w:val="TableParagraph"/>
              <w:ind w:left="35"/>
              <w:jc w:val="left"/>
              <w:rPr>
                <w:b/>
                <w:sz w:val="18"/>
              </w:rPr>
            </w:pPr>
            <w:r>
              <w:rPr>
                <w:b/>
                <w:sz w:val="18"/>
              </w:rPr>
              <w:t>Cash flows from financing activities</w:t>
            </w:r>
          </w:p>
          <w:p>
            <w:pPr>
              <w:pStyle w:val="TableParagraph"/>
              <w:spacing w:before="27"/>
              <w:ind w:left="35"/>
              <w:jc w:val="left"/>
              <w:rPr>
                <w:sz w:val="18"/>
              </w:rPr>
            </w:pPr>
            <w:r>
              <w:rPr>
                <w:sz w:val="18"/>
              </w:rPr>
              <w:t>Repayments received from the parent entity</w:t>
            </w:r>
          </w:p>
        </w:tc>
        <w:tc>
          <w:tcPr>
            <w:tcW w:w="659" w:type="dxa"/>
          </w:tcPr>
          <w:p>
            <w:pPr/>
          </w:p>
        </w:tc>
        <w:tc>
          <w:tcPr>
            <w:tcW w:w="1436" w:type="dxa"/>
            <w:tcBorders>
              <w:top w:val="single" w:sz="0" w:space="0" w:color="000000"/>
            </w:tcBorders>
          </w:tcPr>
          <w:p>
            <w:pPr>
              <w:pStyle w:val="TableParagraph"/>
              <w:jc w:val="left"/>
              <w:rPr>
                <w:sz w:val="18"/>
              </w:rPr>
            </w:pPr>
          </w:p>
          <w:p>
            <w:pPr>
              <w:pStyle w:val="TableParagraph"/>
              <w:jc w:val="left"/>
              <w:rPr>
                <w:sz w:val="18"/>
              </w:rPr>
            </w:pPr>
          </w:p>
          <w:p>
            <w:pPr>
              <w:pStyle w:val="TableParagraph"/>
              <w:spacing w:before="2"/>
              <w:jc w:val="left"/>
              <w:rPr>
                <w:sz w:val="24"/>
              </w:rPr>
            </w:pPr>
          </w:p>
          <w:p>
            <w:pPr>
              <w:pStyle w:val="TableParagraph"/>
              <w:ind w:left="410"/>
              <w:jc w:val="left"/>
              <w:rPr>
                <w:sz w:val="18"/>
              </w:rPr>
            </w:pPr>
            <w:r>
              <w:rPr>
                <w:sz w:val="18"/>
              </w:rPr>
              <w:t>8,080,191</w:t>
            </w:r>
          </w:p>
        </w:tc>
        <w:tc>
          <w:tcPr>
            <w:tcW w:w="1159" w:type="dxa"/>
            <w:tcBorders>
              <w:top w:val="single" w:sz="0" w:space="0" w:color="000000"/>
            </w:tcBorders>
          </w:tcPr>
          <w:p>
            <w:pPr>
              <w:pStyle w:val="TableParagraph"/>
              <w:jc w:val="left"/>
              <w:rPr>
                <w:sz w:val="18"/>
              </w:rPr>
            </w:pPr>
          </w:p>
          <w:p>
            <w:pPr>
              <w:pStyle w:val="TableParagraph"/>
              <w:jc w:val="left"/>
              <w:rPr>
                <w:sz w:val="18"/>
              </w:rPr>
            </w:pPr>
          </w:p>
          <w:p>
            <w:pPr>
              <w:pStyle w:val="TableParagraph"/>
              <w:spacing w:before="2"/>
              <w:jc w:val="left"/>
              <w:rPr>
                <w:sz w:val="24"/>
              </w:rPr>
            </w:pPr>
          </w:p>
          <w:p>
            <w:pPr>
              <w:pStyle w:val="TableParagraph"/>
              <w:ind w:right="137"/>
              <w:jc w:val="center"/>
              <w:rPr>
                <w:sz w:val="18"/>
              </w:rPr>
            </w:pPr>
            <w:r>
              <w:rPr>
                <w:w w:val="99"/>
                <w:sz w:val="18"/>
              </w:rPr>
              <w:t>-</w:t>
            </w:r>
          </w:p>
        </w:tc>
      </w:tr>
      <w:tr>
        <w:trPr>
          <w:trHeight w:val="263" w:hRule="exact"/>
        </w:trPr>
        <w:tc>
          <w:tcPr>
            <w:tcW w:w="5707" w:type="dxa"/>
          </w:tcPr>
          <w:p>
            <w:pPr>
              <w:pStyle w:val="TableParagraph"/>
              <w:spacing w:before="18"/>
              <w:ind w:left="35"/>
              <w:jc w:val="left"/>
              <w:rPr>
                <w:sz w:val="18"/>
              </w:rPr>
            </w:pPr>
            <w:r>
              <w:rPr>
                <w:sz w:val="18"/>
              </w:rPr>
              <w:t>Advances made to the parent entity</w:t>
            </w:r>
          </w:p>
        </w:tc>
        <w:tc>
          <w:tcPr>
            <w:tcW w:w="659" w:type="dxa"/>
          </w:tcPr>
          <w:p>
            <w:pPr/>
          </w:p>
        </w:tc>
        <w:tc>
          <w:tcPr>
            <w:tcW w:w="1436" w:type="dxa"/>
            <w:tcBorders>
              <w:bottom w:val="single" w:sz="0" w:space="0" w:color="000000"/>
            </w:tcBorders>
          </w:tcPr>
          <w:p>
            <w:pPr>
              <w:pStyle w:val="TableParagraph"/>
              <w:spacing w:before="19"/>
              <w:ind w:right="165"/>
              <w:rPr>
                <w:sz w:val="18"/>
              </w:rPr>
            </w:pPr>
            <w:r>
              <w:rPr>
                <w:w w:val="95"/>
                <w:sz w:val="18"/>
              </w:rPr>
              <w:t>(7,556,296)</w:t>
            </w:r>
          </w:p>
        </w:tc>
        <w:tc>
          <w:tcPr>
            <w:tcW w:w="1159" w:type="dxa"/>
            <w:tcBorders>
              <w:bottom w:val="single" w:sz="0" w:space="0" w:color="000000"/>
            </w:tcBorders>
          </w:tcPr>
          <w:p>
            <w:pPr>
              <w:pStyle w:val="TableParagraph"/>
              <w:spacing w:before="19"/>
              <w:ind w:right="137"/>
              <w:jc w:val="center"/>
              <w:rPr>
                <w:sz w:val="18"/>
              </w:rPr>
            </w:pPr>
            <w:r>
              <w:rPr>
                <w:w w:val="99"/>
                <w:sz w:val="18"/>
              </w:rPr>
              <w:t>-</w:t>
            </w:r>
          </w:p>
        </w:tc>
      </w:tr>
      <w:tr>
        <w:trPr>
          <w:trHeight w:val="353" w:hRule="exact"/>
        </w:trPr>
        <w:tc>
          <w:tcPr>
            <w:tcW w:w="5707" w:type="dxa"/>
          </w:tcPr>
          <w:p>
            <w:pPr/>
          </w:p>
        </w:tc>
        <w:tc>
          <w:tcPr>
            <w:tcW w:w="659" w:type="dxa"/>
          </w:tcPr>
          <w:p>
            <w:pPr/>
          </w:p>
        </w:tc>
        <w:tc>
          <w:tcPr>
            <w:tcW w:w="1436" w:type="dxa"/>
            <w:tcBorders>
              <w:top w:val="single" w:sz="0" w:space="0" w:color="000000"/>
              <w:bottom w:val="single" w:sz="0" w:space="0" w:color="000000"/>
            </w:tcBorders>
          </w:tcPr>
          <w:p>
            <w:pPr>
              <w:pStyle w:val="TableParagraph"/>
              <w:spacing w:before="122"/>
              <w:ind w:right="225"/>
              <w:rPr>
                <w:sz w:val="18"/>
              </w:rPr>
            </w:pPr>
            <w:r>
              <w:rPr>
                <w:w w:val="95"/>
                <w:sz w:val="18"/>
              </w:rPr>
              <w:t>523,895</w:t>
            </w:r>
          </w:p>
        </w:tc>
        <w:tc>
          <w:tcPr>
            <w:tcW w:w="1159" w:type="dxa"/>
            <w:tcBorders>
              <w:top w:val="single" w:sz="0" w:space="0" w:color="000000"/>
              <w:bottom w:val="single" w:sz="0" w:space="0" w:color="000000"/>
            </w:tcBorders>
          </w:tcPr>
          <w:p>
            <w:pPr>
              <w:pStyle w:val="TableParagraph"/>
              <w:spacing w:before="122"/>
              <w:ind w:right="137"/>
              <w:jc w:val="center"/>
              <w:rPr>
                <w:sz w:val="18"/>
              </w:rPr>
            </w:pPr>
            <w:r>
              <w:rPr>
                <w:w w:val="99"/>
                <w:sz w:val="18"/>
              </w:rPr>
              <w:t>-</w:t>
            </w:r>
          </w:p>
        </w:tc>
      </w:tr>
      <w:tr>
        <w:trPr>
          <w:trHeight w:val="952" w:hRule="exact"/>
        </w:trPr>
        <w:tc>
          <w:tcPr>
            <w:tcW w:w="5707" w:type="dxa"/>
          </w:tcPr>
          <w:p>
            <w:pPr>
              <w:pStyle w:val="TableParagraph"/>
              <w:jc w:val="left"/>
              <w:rPr>
                <w:sz w:val="18"/>
              </w:rPr>
            </w:pPr>
          </w:p>
          <w:p>
            <w:pPr>
              <w:pStyle w:val="TableParagraph"/>
              <w:spacing w:before="9"/>
              <w:jc w:val="left"/>
              <w:rPr>
                <w:sz w:val="21"/>
              </w:rPr>
            </w:pPr>
          </w:p>
          <w:p>
            <w:pPr>
              <w:pStyle w:val="TableParagraph"/>
              <w:ind w:left="35"/>
              <w:jc w:val="left"/>
              <w:rPr>
                <w:b/>
                <w:sz w:val="18"/>
              </w:rPr>
            </w:pPr>
            <w:r>
              <w:rPr>
                <w:b/>
                <w:sz w:val="18"/>
              </w:rPr>
              <w:t>Note 9 - Employee Benefits</w:t>
            </w:r>
          </w:p>
          <w:p>
            <w:pPr>
              <w:pStyle w:val="TableParagraph"/>
              <w:spacing w:before="27"/>
              <w:ind w:left="35"/>
              <w:jc w:val="left"/>
              <w:rPr>
                <w:sz w:val="18"/>
              </w:rPr>
            </w:pPr>
            <w:r>
              <w:rPr>
                <w:sz w:val="18"/>
              </w:rPr>
              <w:t>Long service leave obligations expected to be settled after 12 months</w:t>
            </w:r>
          </w:p>
        </w:tc>
        <w:tc>
          <w:tcPr>
            <w:tcW w:w="659" w:type="dxa"/>
          </w:tcPr>
          <w:p>
            <w:pPr>
              <w:pStyle w:val="TableParagraph"/>
              <w:jc w:val="left"/>
              <w:rPr>
                <w:sz w:val="18"/>
              </w:rPr>
            </w:pPr>
          </w:p>
          <w:p>
            <w:pPr>
              <w:pStyle w:val="TableParagraph"/>
              <w:jc w:val="left"/>
              <w:rPr>
                <w:sz w:val="18"/>
              </w:rPr>
            </w:pPr>
          </w:p>
          <w:p>
            <w:pPr>
              <w:pStyle w:val="TableParagraph"/>
              <w:spacing w:before="1"/>
              <w:jc w:val="left"/>
              <w:rPr>
                <w:sz w:val="24"/>
              </w:rPr>
            </w:pPr>
          </w:p>
          <w:p>
            <w:pPr>
              <w:pStyle w:val="TableParagraph"/>
              <w:ind w:left="82"/>
              <w:jc w:val="center"/>
              <w:rPr>
                <w:sz w:val="18"/>
              </w:rPr>
            </w:pPr>
            <w:r>
              <w:rPr>
                <w:w w:val="99"/>
                <w:sz w:val="18"/>
              </w:rPr>
              <w:t>9</w:t>
            </w:r>
          </w:p>
        </w:tc>
        <w:tc>
          <w:tcPr>
            <w:tcW w:w="1436" w:type="dxa"/>
            <w:tcBorders>
              <w:top w:val="single" w:sz="0" w:space="0" w:color="000000"/>
              <w:bottom w:val="single" w:sz="0" w:space="0" w:color="000000"/>
            </w:tcBorders>
          </w:tcPr>
          <w:p>
            <w:pPr>
              <w:pStyle w:val="TableParagraph"/>
              <w:jc w:val="left"/>
              <w:rPr>
                <w:sz w:val="18"/>
              </w:rPr>
            </w:pPr>
          </w:p>
          <w:p>
            <w:pPr>
              <w:pStyle w:val="TableParagraph"/>
              <w:jc w:val="left"/>
              <w:rPr>
                <w:sz w:val="18"/>
              </w:rPr>
            </w:pPr>
          </w:p>
          <w:p>
            <w:pPr>
              <w:pStyle w:val="TableParagraph"/>
              <w:spacing w:before="2"/>
              <w:jc w:val="left"/>
              <w:rPr>
                <w:sz w:val="24"/>
              </w:rPr>
            </w:pPr>
          </w:p>
          <w:p>
            <w:pPr>
              <w:pStyle w:val="TableParagraph"/>
              <w:ind w:right="137"/>
              <w:jc w:val="center"/>
              <w:rPr>
                <w:sz w:val="18"/>
              </w:rPr>
            </w:pPr>
            <w:r>
              <w:rPr>
                <w:w w:val="99"/>
                <w:sz w:val="18"/>
              </w:rPr>
              <w:t>-</w:t>
            </w:r>
          </w:p>
        </w:tc>
        <w:tc>
          <w:tcPr>
            <w:tcW w:w="1159" w:type="dxa"/>
            <w:tcBorders>
              <w:top w:val="single" w:sz="0" w:space="0" w:color="000000"/>
              <w:bottom w:val="single" w:sz="0" w:space="0" w:color="000000"/>
            </w:tcBorders>
          </w:tcPr>
          <w:p>
            <w:pPr>
              <w:pStyle w:val="TableParagraph"/>
              <w:jc w:val="left"/>
              <w:rPr>
                <w:sz w:val="18"/>
              </w:rPr>
            </w:pPr>
          </w:p>
          <w:p>
            <w:pPr>
              <w:pStyle w:val="TableParagraph"/>
              <w:jc w:val="left"/>
              <w:rPr>
                <w:sz w:val="18"/>
              </w:rPr>
            </w:pPr>
          </w:p>
          <w:p>
            <w:pPr>
              <w:pStyle w:val="TableParagraph"/>
              <w:spacing w:before="2"/>
              <w:jc w:val="left"/>
              <w:rPr>
                <w:sz w:val="24"/>
              </w:rPr>
            </w:pPr>
          </w:p>
          <w:p>
            <w:pPr>
              <w:pStyle w:val="TableParagraph"/>
              <w:ind w:right="86"/>
              <w:rPr>
                <w:sz w:val="18"/>
              </w:rPr>
            </w:pPr>
            <w:r>
              <w:rPr>
                <w:w w:val="95"/>
                <w:sz w:val="18"/>
              </w:rPr>
              <w:t>173,206</w:t>
            </w:r>
          </w:p>
        </w:tc>
      </w:tr>
      <w:tr>
        <w:trPr>
          <w:trHeight w:val="937" w:hRule="exact"/>
        </w:trPr>
        <w:tc>
          <w:tcPr>
            <w:tcW w:w="5707" w:type="dxa"/>
          </w:tcPr>
          <w:p>
            <w:pPr>
              <w:pStyle w:val="TableParagraph"/>
              <w:jc w:val="left"/>
              <w:rPr>
                <w:sz w:val="18"/>
              </w:rPr>
            </w:pPr>
          </w:p>
          <w:p>
            <w:pPr>
              <w:pStyle w:val="TableParagraph"/>
              <w:spacing w:before="9"/>
              <w:jc w:val="left"/>
              <w:rPr>
                <w:sz w:val="21"/>
              </w:rPr>
            </w:pPr>
          </w:p>
          <w:p>
            <w:pPr>
              <w:pStyle w:val="TableParagraph"/>
              <w:ind w:left="35"/>
              <w:jc w:val="left"/>
              <w:rPr>
                <w:b/>
                <w:sz w:val="18"/>
              </w:rPr>
            </w:pPr>
            <w:r>
              <w:rPr>
                <w:b/>
                <w:sz w:val="18"/>
              </w:rPr>
              <w:t>Note 13 - Financial Risk Management</w:t>
            </w:r>
          </w:p>
          <w:p>
            <w:pPr>
              <w:pStyle w:val="TableParagraph"/>
              <w:spacing w:before="27"/>
              <w:ind w:left="35"/>
              <w:jc w:val="left"/>
              <w:rPr>
                <w:sz w:val="18"/>
              </w:rPr>
            </w:pPr>
            <w:r>
              <w:rPr>
                <w:sz w:val="18"/>
              </w:rPr>
              <w:t>Trade and other receivables</w:t>
            </w:r>
          </w:p>
        </w:tc>
        <w:tc>
          <w:tcPr>
            <w:tcW w:w="659" w:type="dxa"/>
          </w:tcPr>
          <w:p>
            <w:pPr>
              <w:pStyle w:val="TableParagraph"/>
              <w:jc w:val="left"/>
              <w:rPr>
                <w:sz w:val="18"/>
              </w:rPr>
            </w:pPr>
          </w:p>
          <w:p>
            <w:pPr>
              <w:pStyle w:val="TableParagraph"/>
              <w:jc w:val="left"/>
              <w:rPr>
                <w:sz w:val="18"/>
              </w:rPr>
            </w:pPr>
          </w:p>
          <w:p>
            <w:pPr>
              <w:pStyle w:val="TableParagraph"/>
              <w:spacing w:before="1"/>
              <w:jc w:val="left"/>
              <w:rPr>
                <w:sz w:val="24"/>
              </w:rPr>
            </w:pPr>
          </w:p>
          <w:p>
            <w:pPr>
              <w:pStyle w:val="TableParagraph"/>
              <w:ind w:left="139" w:right="59"/>
              <w:jc w:val="center"/>
              <w:rPr>
                <w:sz w:val="18"/>
              </w:rPr>
            </w:pPr>
            <w:r>
              <w:rPr>
                <w:sz w:val="18"/>
              </w:rPr>
              <w:t>13</w:t>
            </w:r>
          </w:p>
        </w:tc>
        <w:tc>
          <w:tcPr>
            <w:tcW w:w="1436" w:type="dxa"/>
            <w:tcBorders>
              <w:top w:val="single" w:sz="0" w:space="0" w:color="000000"/>
            </w:tcBorders>
          </w:tcPr>
          <w:p>
            <w:pPr>
              <w:pStyle w:val="TableParagraph"/>
              <w:jc w:val="left"/>
              <w:rPr>
                <w:sz w:val="18"/>
              </w:rPr>
            </w:pPr>
          </w:p>
          <w:p>
            <w:pPr>
              <w:pStyle w:val="TableParagraph"/>
              <w:jc w:val="left"/>
              <w:rPr>
                <w:sz w:val="18"/>
              </w:rPr>
            </w:pPr>
          </w:p>
          <w:p>
            <w:pPr>
              <w:pStyle w:val="TableParagraph"/>
              <w:spacing w:before="2"/>
              <w:jc w:val="left"/>
              <w:rPr>
                <w:sz w:val="24"/>
              </w:rPr>
            </w:pPr>
          </w:p>
          <w:p>
            <w:pPr>
              <w:pStyle w:val="TableParagraph"/>
              <w:ind w:right="225"/>
              <w:rPr>
                <w:sz w:val="18"/>
              </w:rPr>
            </w:pPr>
            <w:r>
              <w:rPr>
                <w:w w:val="95"/>
                <w:sz w:val="18"/>
              </w:rPr>
              <w:t>448,392</w:t>
            </w:r>
          </w:p>
        </w:tc>
        <w:tc>
          <w:tcPr>
            <w:tcW w:w="1159" w:type="dxa"/>
            <w:tcBorders>
              <w:top w:val="single" w:sz="0" w:space="0" w:color="000000"/>
            </w:tcBorders>
          </w:tcPr>
          <w:p>
            <w:pPr>
              <w:pStyle w:val="TableParagraph"/>
              <w:jc w:val="left"/>
              <w:rPr>
                <w:sz w:val="18"/>
              </w:rPr>
            </w:pPr>
          </w:p>
          <w:p>
            <w:pPr>
              <w:pStyle w:val="TableParagraph"/>
              <w:jc w:val="left"/>
              <w:rPr>
                <w:sz w:val="18"/>
              </w:rPr>
            </w:pPr>
          </w:p>
          <w:p>
            <w:pPr>
              <w:pStyle w:val="TableParagraph"/>
              <w:spacing w:before="2"/>
              <w:jc w:val="left"/>
              <w:rPr>
                <w:sz w:val="24"/>
              </w:rPr>
            </w:pPr>
          </w:p>
          <w:p>
            <w:pPr>
              <w:pStyle w:val="TableParagraph"/>
              <w:ind w:right="86"/>
              <w:rPr>
                <w:sz w:val="18"/>
              </w:rPr>
            </w:pPr>
            <w:r>
              <w:rPr>
                <w:w w:val="95"/>
                <w:sz w:val="18"/>
              </w:rPr>
              <w:t>362,142</w:t>
            </w:r>
          </w:p>
        </w:tc>
      </w:tr>
      <w:tr>
        <w:trPr>
          <w:trHeight w:val="263" w:hRule="exact"/>
        </w:trPr>
        <w:tc>
          <w:tcPr>
            <w:tcW w:w="5707" w:type="dxa"/>
          </w:tcPr>
          <w:p>
            <w:pPr>
              <w:pStyle w:val="TableParagraph"/>
              <w:spacing w:before="18"/>
              <w:ind w:left="35"/>
              <w:jc w:val="left"/>
              <w:rPr>
                <w:sz w:val="18"/>
              </w:rPr>
            </w:pPr>
            <w:r>
              <w:rPr>
                <w:sz w:val="18"/>
              </w:rPr>
              <w:t>Receivables from related parties</w:t>
            </w:r>
          </w:p>
        </w:tc>
        <w:tc>
          <w:tcPr>
            <w:tcW w:w="659" w:type="dxa"/>
          </w:tcPr>
          <w:p>
            <w:pPr>
              <w:pStyle w:val="TableParagraph"/>
              <w:spacing w:before="18"/>
              <w:ind w:left="139" w:right="59"/>
              <w:jc w:val="center"/>
              <w:rPr>
                <w:sz w:val="18"/>
              </w:rPr>
            </w:pPr>
            <w:r>
              <w:rPr>
                <w:sz w:val="18"/>
              </w:rPr>
              <w:t>13</w:t>
            </w:r>
          </w:p>
        </w:tc>
        <w:tc>
          <w:tcPr>
            <w:tcW w:w="1436" w:type="dxa"/>
            <w:tcBorders>
              <w:bottom w:val="single" w:sz="0" w:space="0" w:color="000000"/>
            </w:tcBorders>
          </w:tcPr>
          <w:p>
            <w:pPr>
              <w:pStyle w:val="TableParagraph"/>
              <w:spacing w:before="19"/>
              <w:ind w:right="137"/>
              <w:jc w:val="center"/>
              <w:rPr>
                <w:sz w:val="18"/>
              </w:rPr>
            </w:pPr>
            <w:r>
              <w:rPr>
                <w:w w:val="99"/>
                <w:sz w:val="18"/>
              </w:rPr>
              <w:t>-</w:t>
            </w:r>
          </w:p>
        </w:tc>
        <w:tc>
          <w:tcPr>
            <w:tcW w:w="1159" w:type="dxa"/>
            <w:tcBorders>
              <w:bottom w:val="single" w:sz="0" w:space="0" w:color="000000"/>
            </w:tcBorders>
          </w:tcPr>
          <w:p>
            <w:pPr>
              <w:pStyle w:val="TableParagraph"/>
              <w:spacing w:before="19"/>
              <w:ind w:right="86"/>
              <w:rPr>
                <w:sz w:val="18"/>
              </w:rPr>
            </w:pPr>
            <w:r>
              <w:rPr>
                <w:w w:val="95"/>
                <w:sz w:val="18"/>
              </w:rPr>
              <w:t>86,250</w:t>
            </w:r>
          </w:p>
        </w:tc>
      </w:tr>
      <w:tr>
        <w:trPr>
          <w:trHeight w:val="353" w:hRule="exact"/>
        </w:trPr>
        <w:tc>
          <w:tcPr>
            <w:tcW w:w="5707" w:type="dxa"/>
          </w:tcPr>
          <w:p>
            <w:pPr/>
          </w:p>
        </w:tc>
        <w:tc>
          <w:tcPr>
            <w:tcW w:w="659" w:type="dxa"/>
          </w:tcPr>
          <w:p>
            <w:pPr/>
          </w:p>
        </w:tc>
        <w:tc>
          <w:tcPr>
            <w:tcW w:w="1436" w:type="dxa"/>
            <w:tcBorders>
              <w:top w:val="single" w:sz="0" w:space="0" w:color="000000"/>
              <w:bottom w:val="single" w:sz="0" w:space="0" w:color="000000"/>
            </w:tcBorders>
          </w:tcPr>
          <w:p>
            <w:pPr>
              <w:pStyle w:val="TableParagraph"/>
              <w:spacing w:before="122"/>
              <w:ind w:right="225"/>
              <w:rPr>
                <w:sz w:val="18"/>
              </w:rPr>
            </w:pPr>
            <w:r>
              <w:rPr>
                <w:w w:val="95"/>
                <w:sz w:val="18"/>
              </w:rPr>
              <w:t>448,392</w:t>
            </w:r>
          </w:p>
        </w:tc>
        <w:tc>
          <w:tcPr>
            <w:tcW w:w="1159" w:type="dxa"/>
            <w:tcBorders>
              <w:top w:val="single" w:sz="0" w:space="0" w:color="000000"/>
              <w:bottom w:val="single" w:sz="0" w:space="0" w:color="000000"/>
            </w:tcBorders>
          </w:tcPr>
          <w:p>
            <w:pPr>
              <w:pStyle w:val="TableParagraph"/>
              <w:spacing w:before="122"/>
              <w:ind w:right="86"/>
              <w:rPr>
                <w:sz w:val="18"/>
              </w:rPr>
            </w:pPr>
            <w:r>
              <w:rPr>
                <w:w w:val="95"/>
                <w:sz w:val="18"/>
              </w:rPr>
              <w:t>448,392</w:t>
            </w:r>
          </w:p>
        </w:tc>
      </w:tr>
    </w:tbl>
    <w:p>
      <w:pPr>
        <w:spacing w:after="0"/>
        <w:rPr>
          <w:sz w:val="18"/>
        </w:rPr>
        <w:sectPr>
          <w:pgSz w:w="12750" w:h="17680"/>
          <w:pgMar w:header="0" w:footer="867" w:top="1880" w:bottom="1120" w:left="0" w:right="0"/>
        </w:sectPr>
      </w:pPr>
    </w:p>
    <w:p>
      <w:pPr>
        <w:pStyle w:val="BodyText"/>
        <w:spacing w:before="2"/>
        <w:rPr>
          <w:sz w:val="24"/>
        </w:rPr>
      </w:pPr>
    </w:p>
    <w:p>
      <w:pPr>
        <w:pStyle w:val="Heading4"/>
      </w:pPr>
      <w:r>
        <w:rPr/>
        <w:t>Notes to the Financial Statements</w:t>
      </w:r>
    </w:p>
    <w:p>
      <w:pPr>
        <w:pStyle w:val="Heading7"/>
      </w:pPr>
      <w:r>
        <w:rPr/>
        <w:t>For the Year Ended 31 December 2016</w:t>
      </w:r>
    </w:p>
    <w:p>
      <w:pPr>
        <w:pStyle w:val="BodyText"/>
        <w:rPr>
          <w:b/>
          <w:sz w:val="22"/>
        </w:rPr>
      </w:pPr>
    </w:p>
    <w:p>
      <w:pPr>
        <w:pStyle w:val="BodyText"/>
        <w:rPr>
          <w:b/>
          <w:sz w:val="22"/>
        </w:rPr>
      </w:pPr>
    </w:p>
    <w:p>
      <w:pPr>
        <w:pStyle w:val="Heading8"/>
        <w:tabs>
          <w:tab w:pos="1823" w:val="left" w:leader="none"/>
        </w:tabs>
        <w:spacing w:before="160"/>
        <w:ind w:left="1429"/>
      </w:pPr>
      <w:bookmarkStart w:name="(e) Financial assets" w:id="189"/>
      <w:bookmarkEnd w:id="189"/>
      <w:r>
        <w:rPr>
          <w:b w:val="0"/>
        </w:rPr>
      </w:r>
      <w:r>
        <w:rPr/>
        <w:t>1</w:t>
        <w:tab/>
        <w:t>Summary of Significant Accounting Policies</w:t>
      </w:r>
      <w:r>
        <w:rPr>
          <w:spacing w:val="-6"/>
        </w:rPr>
        <w:t> </w:t>
      </w:r>
      <w:r>
        <w:rPr/>
        <w:t>continued</w:t>
      </w:r>
    </w:p>
    <w:p>
      <w:pPr>
        <w:pStyle w:val="BodyText"/>
        <w:spacing w:before="11"/>
        <w:rPr>
          <w:b/>
          <w:sz w:val="24"/>
        </w:rPr>
      </w:pPr>
    </w:p>
    <w:p>
      <w:pPr>
        <w:pStyle w:val="ListParagraph"/>
        <w:numPr>
          <w:ilvl w:val="0"/>
          <w:numId w:val="43"/>
        </w:numPr>
        <w:tabs>
          <w:tab w:pos="2391" w:val="left" w:leader="none"/>
        </w:tabs>
        <w:spacing w:line="573" w:lineRule="auto" w:before="0" w:after="0"/>
        <w:ind w:left="2390" w:right="8961" w:hanging="566"/>
        <w:jc w:val="left"/>
        <w:rPr>
          <w:b/>
          <w:sz w:val="18"/>
        </w:rPr>
      </w:pPr>
      <w:r>
        <w:rPr>
          <w:b/>
          <w:sz w:val="18"/>
        </w:rPr>
        <w:t>Financial assets Classification</w:t>
      </w:r>
    </w:p>
    <w:p>
      <w:pPr>
        <w:pStyle w:val="BodyText"/>
        <w:spacing w:before="8"/>
        <w:ind w:left="2390"/>
      </w:pPr>
      <w:r>
        <w:rPr/>
        <w:t>The Company classifies its financial assets as loans and receivables.</w:t>
      </w:r>
    </w:p>
    <w:p>
      <w:pPr>
        <w:pStyle w:val="BodyText"/>
        <w:spacing w:before="11"/>
        <w:rPr>
          <w:sz w:val="24"/>
        </w:rPr>
      </w:pPr>
    </w:p>
    <w:p>
      <w:pPr>
        <w:pStyle w:val="ListParagraph"/>
        <w:numPr>
          <w:ilvl w:val="1"/>
          <w:numId w:val="43"/>
        </w:numPr>
        <w:tabs>
          <w:tab w:pos="2838" w:val="left" w:leader="none"/>
        </w:tabs>
        <w:spacing w:line="240" w:lineRule="auto" w:before="0" w:after="0"/>
        <w:ind w:left="2837" w:right="0" w:hanging="447"/>
        <w:jc w:val="left"/>
        <w:rPr>
          <w:i/>
          <w:sz w:val="18"/>
        </w:rPr>
      </w:pPr>
      <w:r>
        <w:rPr>
          <w:i/>
          <w:sz w:val="18"/>
        </w:rPr>
        <w:t>Loans and</w:t>
      </w:r>
      <w:r>
        <w:rPr>
          <w:i/>
          <w:spacing w:val="-20"/>
          <w:sz w:val="18"/>
        </w:rPr>
        <w:t> </w:t>
      </w:r>
      <w:r>
        <w:rPr>
          <w:i/>
          <w:sz w:val="18"/>
        </w:rPr>
        <w:t>receivables</w:t>
      </w:r>
    </w:p>
    <w:p>
      <w:pPr>
        <w:pStyle w:val="BodyText"/>
        <w:spacing w:before="11"/>
        <w:rPr>
          <w:i/>
          <w:sz w:val="24"/>
        </w:rPr>
      </w:pPr>
    </w:p>
    <w:p>
      <w:pPr>
        <w:pStyle w:val="BodyText"/>
        <w:ind w:left="2390" w:right="1375"/>
      </w:pPr>
      <w:r>
        <w:rPr/>
        <w:t>Loans and receivables are non-derivative financial assets with fixed or determinable payments that are not quoted in an active market and are subsequently measured at amortised cost .</w:t>
      </w:r>
    </w:p>
    <w:p>
      <w:pPr>
        <w:pStyle w:val="BodyText"/>
        <w:spacing w:before="11"/>
        <w:rPr>
          <w:sz w:val="24"/>
        </w:rPr>
      </w:pPr>
    </w:p>
    <w:p>
      <w:pPr>
        <w:pStyle w:val="BodyText"/>
        <w:ind w:left="2390" w:right="1375"/>
      </w:pPr>
      <w:bookmarkStart w:name="(f) Trade receivables" w:id="190"/>
      <w:bookmarkEnd w:id="190"/>
      <w:r>
        <w:rPr/>
      </w:r>
      <w:r>
        <w:rPr/>
        <w:t>Loans and receivables are included in current assets, except for those which are not expected to be realised within 12 months after the end of the reporting period.</w:t>
      </w:r>
    </w:p>
    <w:p>
      <w:pPr>
        <w:pStyle w:val="BodyText"/>
        <w:spacing w:before="11"/>
        <w:rPr>
          <w:sz w:val="24"/>
        </w:rPr>
      </w:pPr>
    </w:p>
    <w:p>
      <w:pPr>
        <w:pStyle w:val="Heading8"/>
        <w:numPr>
          <w:ilvl w:val="0"/>
          <w:numId w:val="43"/>
        </w:numPr>
        <w:tabs>
          <w:tab w:pos="2391" w:val="left" w:leader="none"/>
        </w:tabs>
        <w:spacing w:line="240" w:lineRule="auto" w:before="0" w:after="0"/>
        <w:ind w:left="2390" w:right="0" w:hanging="566"/>
        <w:jc w:val="left"/>
      </w:pPr>
      <w:r>
        <w:rPr/>
        <w:t>Trade</w:t>
      </w:r>
      <w:r>
        <w:rPr>
          <w:spacing w:val="-21"/>
        </w:rPr>
        <w:t> </w:t>
      </w:r>
      <w:r>
        <w:rPr/>
        <w:t>receivables</w:t>
      </w:r>
    </w:p>
    <w:p>
      <w:pPr>
        <w:pStyle w:val="BodyText"/>
        <w:spacing w:before="11"/>
        <w:rPr>
          <w:b/>
          <w:sz w:val="24"/>
        </w:rPr>
      </w:pPr>
    </w:p>
    <w:p>
      <w:pPr>
        <w:pStyle w:val="BodyText"/>
        <w:ind w:left="2390" w:right="1407"/>
      </w:pPr>
      <w:r>
        <w:rPr/>
        <w:drawing>
          <wp:anchor distT="0" distB="0" distL="0" distR="0" allowOverlap="1" layoutInCell="1" locked="0" behindDoc="0" simplePos="0" relativeHeight="7768">
            <wp:simplePos x="0" y="0"/>
            <wp:positionH relativeFrom="page">
              <wp:posOffset>-1587</wp:posOffset>
            </wp:positionH>
            <wp:positionV relativeFrom="paragraph">
              <wp:posOffset>515034</wp:posOffset>
            </wp:positionV>
            <wp:extent cx="135159" cy="154019"/>
            <wp:effectExtent l="0" t="0" r="0" b="0"/>
            <wp:wrapNone/>
            <wp:docPr id="519" name="image13.png" descr=""/>
            <wp:cNvGraphicFramePr>
              <a:graphicFrameLocks noChangeAspect="1"/>
            </wp:cNvGraphicFramePr>
            <a:graphic>
              <a:graphicData uri="http://schemas.openxmlformats.org/drawingml/2006/picture">
                <pic:pic>
                  <pic:nvPicPr>
                    <pic:cNvPr id="520" name="image13.png"/>
                    <pic:cNvPicPr/>
                  </pic:nvPicPr>
                  <pic:blipFill>
                    <a:blip r:embed="rId18" cstate="print"/>
                    <a:stretch>
                      <a:fillRect/>
                    </a:stretch>
                  </pic:blipFill>
                  <pic:spPr>
                    <a:xfrm>
                      <a:off x="0" y="0"/>
                      <a:ext cx="135159" cy="154019"/>
                    </a:xfrm>
                    <a:prstGeom prst="rect">
                      <a:avLst/>
                    </a:prstGeom>
                  </pic:spPr>
                </pic:pic>
              </a:graphicData>
            </a:graphic>
          </wp:anchor>
        </w:drawing>
      </w:r>
      <w:r>
        <w:rPr/>
        <w:drawing>
          <wp:anchor distT="0" distB="0" distL="0" distR="0" allowOverlap="1" layoutInCell="1" locked="0" behindDoc="0" simplePos="0" relativeHeight="7792">
            <wp:simplePos x="0" y="0"/>
            <wp:positionH relativeFrom="page">
              <wp:posOffset>7958429</wp:posOffset>
            </wp:positionH>
            <wp:positionV relativeFrom="paragraph">
              <wp:posOffset>515034</wp:posOffset>
            </wp:positionV>
            <wp:extent cx="135953" cy="155575"/>
            <wp:effectExtent l="0" t="0" r="0" b="0"/>
            <wp:wrapNone/>
            <wp:docPr id="521" name="image15.png" descr=""/>
            <wp:cNvGraphicFramePr>
              <a:graphicFrameLocks noChangeAspect="1"/>
            </wp:cNvGraphicFramePr>
            <a:graphic>
              <a:graphicData uri="http://schemas.openxmlformats.org/drawingml/2006/picture">
                <pic:pic>
                  <pic:nvPicPr>
                    <pic:cNvPr id="522" name="image15.png"/>
                    <pic:cNvPicPr/>
                  </pic:nvPicPr>
                  <pic:blipFill>
                    <a:blip r:embed="rId20" cstate="print"/>
                    <a:stretch>
                      <a:fillRect/>
                    </a:stretch>
                  </pic:blipFill>
                  <pic:spPr>
                    <a:xfrm>
                      <a:off x="0" y="0"/>
                      <a:ext cx="135953" cy="155575"/>
                    </a:xfrm>
                    <a:prstGeom prst="rect">
                      <a:avLst/>
                    </a:prstGeom>
                  </pic:spPr>
                </pic:pic>
              </a:graphicData>
            </a:graphic>
          </wp:anchor>
        </w:drawing>
      </w:r>
      <w:r>
        <w:rPr/>
        <w:t>Trade receivables are recognised initially at fair value and subsequently measured at amortised cost less provision for impairment. The Company's standard terms of trade for trade receivables is 14 days from the date of recognition. They are presented as current assets unless collection is not expected for more than 12 months after the reporting date.</w:t>
      </w:r>
    </w:p>
    <w:p>
      <w:pPr>
        <w:pStyle w:val="BodyText"/>
        <w:spacing w:before="11"/>
        <w:rPr>
          <w:sz w:val="24"/>
        </w:rPr>
      </w:pPr>
    </w:p>
    <w:p>
      <w:pPr>
        <w:pStyle w:val="BodyText"/>
        <w:ind w:left="2390" w:right="1375"/>
      </w:pPr>
      <w:r>
        <w:rPr/>
        <w:t>Collectability of trade receivables is reviewed on an ongoing basis. Debts which are known to be uncollectable are written off. A provision for impairment of receivables is established when there is objective evidence that the Company will not be able to collect all amounts due according to the original terms of receivables. Significant financial difficulties of the debtor, probability that the debtor will enter bankruptcy or financial reorganisation and default or delinquency in payments are considered indicators that the trade receivable is impaired.</w:t>
      </w:r>
    </w:p>
    <w:p>
      <w:pPr>
        <w:pStyle w:val="BodyText"/>
        <w:spacing w:before="11"/>
        <w:rPr>
          <w:sz w:val="24"/>
        </w:rPr>
      </w:pPr>
    </w:p>
    <w:p>
      <w:pPr>
        <w:pStyle w:val="BodyText"/>
        <w:ind w:left="2390" w:right="1375"/>
      </w:pPr>
      <w:r>
        <w:rPr/>
        <w:t>The amount of the provision is the difference between the book value and the amount expected to be recovered from the debtor. The amount of the movement in the provision is recognised in the income statement.</w:t>
      </w:r>
    </w:p>
    <w:p>
      <w:pPr>
        <w:pStyle w:val="BodyText"/>
        <w:spacing w:before="11"/>
        <w:rPr>
          <w:sz w:val="24"/>
        </w:rPr>
      </w:pPr>
    </w:p>
    <w:p>
      <w:pPr>
        <w:pStyle w:val="BodyText"/>
        <w:ind w:left="2390" w:right="1375"/>
      </w:pPr>
      <w:bookmarkStart w:name="(g) Cash and cash equivalents" w:id="191"/>
      <w:bookmarkEnd w:id="191"/>
      <w:r>
        <w:rPr/>
      </w:r>
      <w:r>
        <w:rPr/>
        <w:t>When a trade receivable is uncollectable the amount of the loss is recognised in the income statement within ‘Other Expenses’. Subsequent recoveries of amounts previously written off are credited to ‘other revenue’ in the income statement.</w:t>
      </w:r>
    </w:p>
    <w:p>
      <w:pPr>
        <w:pStyle w:val="BodyText"/>
        <w:spacing w:before="11"/>
        <w:rPr>
          <w:sz w:val="24"/>
        </w:rPr>
      </w:pPr>
    </w:p>
    <w:p>
      <w:pPr>
        <w:pStyle w:val="Heading8"/>
        <w:numPr>
          <w:ilvl w:val="0"/>
          <w:numId w:val="43"/>
        </w:numPr>
        <w:tabs>
          <w:tab w:pos="2391" w:val="left" w:leader="none"/>
        </w:tabs>
        <w:spacing w:line="240" w:lineRule="auto" w:before="0" w:after="0"/>
        <w:ind w:left="2390" w:right="0" w:hanging="566"/>
        <w:jc w:val="left"/>
      </w:pPr>
      <w:r>
        <w:rPr/>
        <w:t>Cash and cash</w:t>
      </w:r>
      <w:r>
        <w:rPr>
          <w:spacing w:val="-5"/>
        </w:rPr>
        <w:t> </w:t>
      </w:r>
      <w:r>
        <w:rPr/>
        <w:t>equivalents</w:t>
      </w:r>
    </w:p>
    <w:p>
      <w:pPr>
        <w:pStyle w:val="BodyText"/>
        <w:spacing w:before="11"/>
        <w:rPr>
          <w:b/>
          <w:sz w:val="24"/>
        </w:rPr>
      </w:pPr>
    </w:p>
    <w:p>
      <w:pPr>
        <w:pStyle w:val="BodyText"/>
        <w:ind w:left="2390" w:right="1338"/>
      </w:pPr>
      <w:r>
        <w:rPr/>
        <w:t>Cash and cash equivalents include cash on hand, deposits held at call with banks, other short-term highly liquid </w:t>
      </w:r>
      <w:bookmarkStart w:name="(h) Employee benefits" w:id="192"/>
      <w:bookmarkEnd w:id="192"/>
      <w:r>
        <w:rPr/>
      </w:r>
      <w:r>
        <w:rPr/>
        <w:t>investments with original maturities of three months or less which are convertible to a known amount of cash and subject to an insignificant risk of change in value. Bank overdrafts are shown within short-term borrowings in current liabilities on the statement of financial position.</w:t>
      </w:r>
    </w:p>
    <w:p>
      <w:pPr>
        <w:pStyle w:val="BodyText"/>
        <w:spacing w:before="11"/>
        <w:rPr>
          <w:sz w:val="24"/>
        </w:rPr>
      </w:pPr>
    </w:p>
    <w:p>
      <w:pPr>
        <w:pStyle w:val="Heading8"/>
        <w:numPr>
          <w:ilvl w:val="0"/>
          <w:numId w:val="43"/>
        </w:numPr>
        <w:tabs>
          <w:tab w:pos="2391" w:val="left" w:leader="none"/>
        </w:tabs>
        <w:spacing w:line="240" w:lineRule="auto" w:before="0" w:after="0"/>
        <w:ind w:left="2390" w:right="0" w:hanging="566"/>
        <w:jc w:val="left"/>
      </w:pPr>
      <w:r>
        <w:rPr/>
        <w:t>Employee</w:t>
      </w:r>
      <w:r>
        <w:rPr>
          <w:spacing w:val="-16"/>
        </w:rPr>
        <w:t> </w:t>
      </w:r>
      <w:r>
        <w:rPr/>
        <w:t>benefits</w:t>
      </w:r>
    </w:p>
    <w:p>
      <w:pPr>
        <w:pStyle w:val="BodyText"/>
        <w:spacing w:before="11"/>
        <w:rPr>
          <w:b/>
          <w:sz w:val="24"/>
        </w:rPr>
      </w:pPr>
    </w:p>
    <w:p>
      <w:pPr>
        <w:pStyle w:val="BodyText"/>
        <w:ind w:left="2390" w:right="1566"/>
        <w:jc w:val="both"/>
      </w:pPr>
      <w:r>
        <w:rPr/>
        <w:t>The</w:t>
      </w:r>
      <w:r>
        <w:rPr>
          <w:spacing w:val="-5"/>
        </w:rPr>
        <w:t> </w:t>
      </w:r>
      <w:r>
        <w:rPr/>
        <w:t>Company's</w:t>
      </w:r>
      <w:r>
        <w:rPr>
          <w:spacing w:val="-6"/>
        </w:rPr>
        <w:t> </w:t>
      </w:r>
      <w:r>
        <w:rPr/>
        <w:t>liability</w:t>
      </w:r>
      <w:r>
        <w:rPr>
          <w:spacing w:val="-6"/>
        </w:rPr>
        <w:t> </w:t>
      </w:r>
      <w:r>
        <w:rPr/>
        <w:t>for</w:t>
      </w:r>
      <w:r>
        <w:rPr>
          <w:spacing w:val="-6"/>
        </w:rPr>
        <w:t> </w:t>
      </w:r>
      <w:r>
        <w:rPr/>
        <w:t>employee</w:t>
      </w:r>
      <w:r>
        <w:rPr>
          <w:spacing w:val="-6"/>
        </w:rPr>
        <w:t> </w:t>
      </w:r>
      <w:r>
        <w:rPr/>
        <w:t>benefits</w:t>
      </w:r>
      <w:r>
        <w:rPr>
          <w:spacing w:val="-6"/>
        </w:rPr>
        <w:t> </w:t>
      </w:r>
      <w:r>
        <w:rPr/>
        <w:t>arises</w:t>
      </w:r>
      <w:r>
        <w:rPr>
          <w:spacing w:val="-6"/>
        </w:rPr>
        <w:t> </w:t>
      </w:r>
      <w:r>
        <w:rPr/>
        <w:t>from</w:t>
      </w:r>
      <w:r>
        <w:rPr>
          <w:spacing w:val="-6"/>
        </w:rPr>
        <w:t> </w:t>
      </w:r>
      <w:r>
        <w:rPr/>
        <w:t>services</w:t>
      </w:r>
      <w:r>
        <w:rPr>
          <w:spacing w:val="-6"/>
        </w:rPr>
        <w:t> </w:t>
      </w:r>
      <w:r>
        <w:rPr/>
        <w:t>rendered</w:t>
      </w:r>
      <w:r>
        <w:rPr>
          <w:spacing w:val="-6"/>
        </w:rPr>
        <w:t> </w:t>
      </w:r>
      <w:r>
        <w:rPr/>
        <w:t>by</w:t>
      </w:r>
      <w:r>
        <w:rPr>
          <w:spacing w:val="-6"/>
        </w:rPr>
        <w:t> </w:t>
      </w:r>
      <w:r>
        <w:rPr/>
        <w:t>employees</w:t>
      </w:r>
      <w:r>
        <w:rPr>
          <w:spacing w:val="-6"/>
        </w:rPr>
        <w:t> </w:t>
      </w:r>
      <w:r>
        <w:rPr/>
        <w:t>are</w:t>
      </w:r>
      <w:r>
        <w:rPr>
          <w:spacing w:val="-6"/>
        </w:rPr>
        <w:t> </w:t>
      </w:r>
      <w:r>
        <w:rPr/>
        <w:t>up</w:t>
      </w:r>
      <w:r>
        <w:rPr>
          <w:spacing w:val="-6"/>
        </w:rPr>
        <w:t> </w:t>
      </w:r>
      <w:r>
        <w:rPr/>
        <w:t>to</w:t>
      </w:r>
      <w:r>
        <w:rPr>
          <w:spacing w:val="-6"/>
        </w:rPr>
        <w:t> </w:t>
      </w:r>
      <w:r>
        <w:rPr/>
        <w:t>the</w:t>
      </w:r>
      <w:r>
        <w:rPr>
          <w:spacing w:val="-6"/>
        </w:rPr>
        <w:t> </w:t>
      </w:r>
      <w:r>
        <w:rPr/>
        <w:t>end</w:t>
      </w:r>
      <w:r>
        <w:rPr>
          <w:spacing w:val="-6"/>
        </w:rPr>
        <w:t> </w:t>
      </w:r>
      <w:r>
        <w:rPr/>
        <w:t>of the</w:t>
      </w:r>
      <w:r>
        <w:rPr>
          <w:spacing w:val="-6"/>
        </w:rPr>
        <w:t> </w:t>
      </w:r>
      <w:r>
        <w:rPr/>
        <w:t>reporting</w:t>
      </w:r>
      <w:r>
        <w:rPr>
          <w:spacing w:val="-6"/>
        </w:rPr>
        <w:t> </w:t>
      </w:r>
      <w:r>
        <w:rPr/>
        <w:t>period.</w:t>
      </w:r>
      <w:r>
        <w:rPr>
          <w:spacing w:val="-6"/>
        </w:rPr>
        <w:t> </w:t>
      </w:r>
      <w:r>
        <w:rPr/>
        <w:t>Employee</w:t>
      </w:r>
      <w:r>
        <w:rPr>
          <w:spacing w:val="-6"/>
        </w:rPr>
        <w:t> </w:t>
      </w:r>
      <w:r>
        <w:rPr/>
        <w:t>benefits</w:t>
      </w:r>
      <w:r>
        <w:rPr>
          <w:spacing w:val="-6"/>
        </w:rPr>
        <w:t> </w:t>
      </w:r>
      <w:r>
        <w:rPr/>
        <w:t>that</w:t>
      </w:r>
      <w:r>
        <w:rPr>
          <w:spacing w:val="-6"/>
        </w:rPr>
        <w:t> </w:t>
      </w:r>
      <w:r>
        <w:rPr/>
        <w:t>are</w:t>
      </w:r>
      <w:r>
        <w:rPr>
          <w:spacing w:val="-6"/>
        </w:rPr>
        <w:t> </w:t>
      </w:r>
      <w:r>
        <w:rPr/>
        <w:t>expected</w:t>
      </w:r>
      <w:r>
        <w:rPr>
          <w:spacing w:val="-6"/>
        </w:rPr>
        <w:t> </w:t>
      </w:r>
      <w:r>
        <w:rPr/>
        <w:t>to</w:t>
      </w:r>
      <w:r>
        <w:rPr>
          <w:spacing w:val="-6"/>
        </w:rPr>
        <w:t> </w:t>
      </w:r>
      <w:r>
        <w:rPr/>
        <w:t>be</w:t>
      </w:r>
      <w:r>
        <w:rPr>
          <w:spacing w:val="-6"/>
        </w:rPr>
        <w:t> </w:t>
      </w:r>
      <w:r>
        <w:rPr/>
        <w:t>settled</w:t>
      </w:r>
      <w:r>
        <w:rPr>
          <w:spacing w:val="-6"/>
        </w:rPr>
        <w:t> </w:t>
      </w:r>
      <w:r>
        <w:rPr/>
        <w:t>within</w:t>
      </w:r>
      <w:r>
        <w:rPr>
          <w:spacing w:val="-6"/>
        </w:rPr>
        <w:t> </w:t>
      </w:r>
      <w:r>
        <w:rPr/>
        <w:t>one</w:t>
      </w:r>
      <w:r>
        <w:rPr>
          <w:spacing w:val="-6"/>
        </w:rPr>
        <w:t> </w:t>
      </w:r>
      <w:r>
        <w:rPr/>
        <w:t>year</w:t>
      </w:r>
      <w:r>
        <w:rPr>
          <w:spacing w:val="-6"/>
        </w:rPr>
        <w:t> </w:t>
      </w:r>
      <w:r>
        <w:rPr/>
        <w:t>have</w:t>
      </w:r>
      <w:r>
        <w:rPr>
          <w:spacing w:val="-6"/>
        </w:rPr>
        <w:t> </w:t>
      </w:r>
      <w:r>
        <w:rPr/>
        <w:t>been</w:t>
      </w:r>
      <w:r>
        <w:rPr>
          <w:spacing w:val="-6"/>
        </w:rPr>
        <w:t> </w:t>
      </w:r>
      <w:r>
        <w:rPr/>
        <w:t>measured</w:t>
      </w:r>
      <w:r>
        <w:rPr>
          <w:spacing w:val="-6"/>
        </w:rPr>
        <w:t> </w:t>
      </w:r>
      <w:r>
        <w:rPr/>
        <w:t>at the</w:t>
      </w:r>
      <w:r>
        <w:rPr>
          <w:spacing w:val="-6"/>
        </w:rPr>
        <w:t> </w:t>
      </w:r>
      <w:r>
        <w:rPr/>
        <w:t>amounts</w:t>
      </w:r>
      <w:r>
        <w:rPr>
          <w:spacing w:val="-6"/>
        </w:rPr>
        <w:t> </w:t>
      </w:r>
      <w:r>
        <w:rPr/>
        <w:t>expected</w:t>
      </w:r>
      <w:r>
        <w:rPr>
          <w:spacing w:val="-6"/>
        </w:rPr>
        <w:t> </w:t>
      </w:r>
      <w:r>
        <w:rPr/>
        <w:t>to</w:t>
      </w:r>
      <w:r>
        <w:rPr>
          <w:spacing w:val="-6"/>
        </w:rPr>
        <w:t> </w:t>
      </w:r>
      <w:r>
        <w:rPr/>
        <w:t>be</w:t>
      </w:r>
      <w:r>
        <w:rPr>
          <w:spacing w:val="-6"/>
        </w:rPr>
        <w:t> </w:t>
      </w:r>
      <w:r>
        <w:rPr/>
        <w:t>paid</w:t>
      </w:r>
      <w:r>
        <w:rPr>
          <w:spacing w:val="-6"/>
        </w:rPr>
        <w:t> </w:t>
      </w:r>
      <w:r>
        <w:rPr/>
        <w:t>when</w:t>
      </w:r>
      <w:r>
        <w:rPr>
          <w:spacing w:val="-6"/>
        </w:rPr>
        <w:t> </w:t>
      </w:r>
      <w:r>
        <w:rPr/>
        <w:t>the</w:t>
      </w:r>
      <w:r>
        <w:rPr>
          <w:spacing w:val="-6"/>
        </w:rPr>
        <w:t> </w:t>
      </w:r>
      <w:r>
        <w:rPr/>
        <w:t>liability</w:t>
      </w:r>
      <w:r>
        <w:rPr>
          <w:spacing w:val="-6"/>
        </w:rPr>
        <w:t> </w:t>
      </w:r>
      <w:r>
        <w:rPr/>
        <w:t>is</w:t>
      </w:r>
      <w:r>
        <w:rPr>
          <w:spacing w:val="-6"/>
        </w:rPr>
        <w:t> </w:t>
      </w:r>
      <w:r>
        <w:rPr/>
        <w:t>settled,</w:t>
      </w:r>
      <w:r>
        <w:rPr>
          <w:spacing w:val="-6"/>
        </w:rPr>
        <w:t> </w:t>
      </w:r>
      <w:r>
        <w:rPr/>
        <w:t>plus</w:t>
      </w:r>
      <w:r>
        <w:rPr>
          <w:spacing w:val="-6"/>
        </w:rPr>
        <w:t> </w:t>
      </w:r>
      <w:r>
        <w:rPr/>
        <w:t>related</w:t>
      </w:r>
      <w:r>
        <w:rPr>
          <w:spacing w:val="-6"/>
        </w:rPr>
        <w:t> </w:t>
      </w:r>
      <w:r>
        <w:rPr/>
        <w:t>on-costs.</w:t>
      </w:r>
    </w:p>
    <w:p>
      <w:pPr>
        <w:pStyle w:val="BodyText"/>
        <w:spacing w:before="11"/>
        <w:rPr>
          <w:sz w:val="24"/>
        </w:rPr>
      </w:pPr>
    </w:p>
    <w:p>
      <w:pPr>
        <w:pStyle w:val="BodyText"/>
        <w:ind w:left="2390" w:right="1407"/>
      </w:pPr>
      <w:r>
        <w:rPr/>
        <w:t>Employee benefits payable later than one year have been measured as the present value of expected future payments to be made in respect of services provided by employees up to the reporting date using the projected unit credit method. Those cashflows are discounted using market yields on national government bonds with terms to maturity that match the expected timing of cashflows.</w:t>
      </w:r>
    </w:p>
    <w:p>
      <w:pPr>
        <w:spacing w:after="0"/>
        <w:sectPr>
          <w:pgSz w:w="12750" w:h="17680"/>
          <w:pgMar w:header="0" w:footer="867" w:top="1880" w:bottom="1120" w:left="0" w:right="0"/>
        </w:sectPr>
      </w:pPr>
    </w:p>
    <w:p>
      <w:pPr>
        <w:pStyle w:val="BodyText"/>
        <w:spacing w:before="2"/>
        <w:rPr>
          <w:sz w:val="24"/>
        </w:rPr>
      </w:pPr>
    </w:p>
    <w:p>
      <w:pPr>
        <w:pStyle w:val="Heading4"/>
      </w:pPr>
      <w:r>
        <w:rPr/>
        <w:t>Notes to the Financial Statements</w:t>
      </w:r>
    </w:p>
    <w:p>
      <w:pPr>
        <w:pStyle w:val="Heading7"/>
      </w:pPr>
      <w:r>
        <w:rPr/>
        <w:t>For the Year Ended 31 December 2016</w:t>
      </w:r>
    </w:p>
    <w:p>
      <w:pPr>
        <w:pStyle w:val="BodyText"/>
        <w:rPr>
          <w:b/>
          <w:sz w:val="22"/>
        </w:rPr>
      </w:pPr>
    </w:p>
    <w:p>
      <w:pPr>
        <w:pStyle w:val="BodyText"/>
        <w:rPr>
          <w:b/>
          <w:sz w:val="22"/>
        </w:rPr>
      </w:pPr>
    </w:p>
    <w:p>
      <w:pPr>
        <w:pStyle w:val="Heading8"/>
        <w:tabs>
          <w:tab w:pos="1823" w:val="left" w:leader="none"/>
        </w:tabs>
        <w:spacing w:before="160"/>
        <w:ind w:left="1429"/>
      </w:pPr>
      <w:bookmarkStart w:name="(i) Provisions" w:id="193"/>
      <w:bookmarkEnd w:id="193"/>
      <w:r>
        <w:rPr>
          <w:b w:val="0"/>
        </w:rPr>
      </w:r>
      <w:r>
        <w:rPr/>
        <w:t>1</w:t>
        <w:tab/>
        <w:t>Summary of Significant Accounting Policies</w:t>
      </w:r>
      <w:r>
        <w:rPr>
          <w:spacing w:val="-6"/>
        </w:rPr>
        <w:t> </w:t>
      </w:r>
      <w:r>
        <w:rPr/>
        <w:t>continued</w:t>
      </w:r>
    </w:p>
    <w:p>
      <w:pPr>
        <w:pStyle w:val="BodyText"/>
        <w:spacing w:before="11"/>
        <w:rPr>
          <w:b/>
          <w:sz w:val="24"/>
        </w:rPr>
      </w:pPr>
    </w:p>
    <w:p>
      <w:pPr>
        <w:pStyle w:val="ListParagraph"/>
        <w:numPr>
          <w:ilvl w:val="0"/>
          <w:numId w:val="44"/>
        </w:numPr>
        <w:tabs>
          <w:tab w:pos="2391" w:val="left" w:leader="none"/>
        </w:tabs>
        <w:spacing w:line="240" w:lineRule="auto" w:before="0" w:after="0"/>
        <w:ind w:left="2390" w:right="0" w:hanging="566"/>
        <w:jc w:val="left"/>
        <w:rPr>
          <w:b/>
          <w:sz w:val="18"/>
        </w:rPr>
      </w:pPr>
      <w:r>
        <w:rPr>
          <w:b/>
          <w:sz w:val="18"/>
        </w:rPr>
        <w:t>Provisions</w:t>
      </w:r>
    </w:p>
    <w:p>
      <w:pPr>
        <w:pStyle w:val="BodyText"/>
        <w:spacing w:before="11"/>
        <w:rPr>
          <w:b/>
          <w:sz w:val="24"/>
        </w:rPr>
      </w:pPr>
    </w:p>
    <w:p>
      <w:pPr>
        <w:pStyle w:val="BodyText"/>
        <w:ind w:left="2390" w:right="1391"/>
      </w:pPr>
      <w:r>
        <w:rPr/>
        <w:t>Provisions are recognised when the Company has a legal or constructive obligation, as a result of past events, for which it is probable that an outflow of economic benefits will result and that outflow can be reliably measured.</w:t>
      </w:r>
    </w:p>
    <w:p>
      <w:pPr>
        <w:pStyle w:val="BodyText"/>
        <w:spacing w:before="11"/>
        <w:rPr>
          <w:sz w:val="24"/>
        </w:rPr>
      </w:pPr>
    </w:p>
    <w:p>
      <w:pPr>
        <w:pStyle w:val="BodyText"/>
        <w:ind w:left="2390" w:right="1403"/>
      </w:pPr>
      <w:r>
        <w:rPr/>
        <w:t>Termination benefits are payable when employment is terminated before the normal retirement date, or when an employee accepts voluntary redundancy in exchange for these benefits. The Company recognises termination benefits</w:t>
      </w:r>
      <w:r>
        <w:rPr>
          <w:spacing w:val="-7"/>
        </w:rPr>
        <w:t> </w:t>
      </w:r>
      <w:r>
        <w:rPr/>
        <w:t>when</w:t>
      </w:r>
      <w:r>
        <w:rPr>
          <w:spacing w:val="-7"/>
        </w:rPr>
        <w:t> </w:t>
      </w:r>
      <w:r>
        <w:rPr/>
        <w:t>it</w:t>
      </w:r>
      <w:r>
        <w:rPr>
          <w:spacing w:val="-7"/>
        </w:rPr>
        <w:t> </w:t>
      </w:r>
      <w:r>
        <w:rPr/>
        <w:t>is</w:t>
      </w:r>
      <w:r>
        <w:rPr>
          <w:spacing w:val="-7"/>
        </w:rPr>
        <w:t> </w:t>
      </w:r>
      <w:r>
        <w:rPr/>
        <w:t>demonstrably</w:t>
      </w:r>
      <w:r>
        <w:rPr>
          <w:spacing w:val="-7"/>
        </w:rPr>
        <w:t> </w:t>
      </w:r>
      <w:r>
        <w:rPr/>
        <w:t>committed</w:t>
      </w:r>
      <w:r>
        <w:rPr>
          <w:spacing w:val="-7"/>
        </w:rPr>
        <w:t> </w:t>
      </w:r>
      <w:r>
        <w:rPr/>
        <w:t>to</w:t>
      </w:r>
      <w:r>
        <w:rPr>
          <w:spacing w:val="-7"/>
        </w:rPr>
        <w:t> </w:t>
      </w:r>
      <w:r>
        <w:rPr/>
        <w:t>either</w:t>
      </w:r>
      <w:r>
        <w:rPr>
          <w:spacing w:val="-7"/>
        </w:rPr>
        <w:t> </w:t>
      </w:r>
      <w:r>
        <w:rPr/>
        <w:t>terminating</w:t>
      </w:r>
      <w:r>
        <w:rPr>
          <w:spacing w:val="-7"/>
        </w:rPr>
        <w:t> </w:t>
      </w:r>
      <w:r>
        <w:rPr/>
        <w:t>the</w:t>
      </w:r>
      <w:r>
        <w:rPr>
          <w:spacing w:val="-7"/>
        </w:rPr>
        <w:t> </w:t>
      </w:r>
      <w:r>
        <w:rPr/>
        <w:t>employment</w:t>
      </w:r>
      <w:r>
        <w:rPr>
          <w:spacing w:val="-7"/>
        </w:rPr>
        <w:t> </w:t>
      </w:r>
      <w:r>
        <w:rPr/>
        <w:t>of</w:t>
      </w:r>
      <w:r>
        <w:rPr>
          <w:spacing w:val="-7"/>
        </w:rPr>
        <w:t> </w:t>
      </w:r>
      <w:r>
        <w:rPr/>
        <w:t>current</w:t>
      </w:r>
      <w:r>
        <w:rPr>
          <w:spacing w:val="-7"/>
        </w:rPr>
        <w:t> </w:t>
      </w:r>
      <w:r>
        <w:rPr/>
        <w:t>employees</w:t>
      </w:r>
      <w:r>
        <w:rPr>
          <w:spacing w:val="-7"/>
        </w:rPr>
        <w:t> </w:t>
      </w:r>
      <w:r>
        <w:rPr/>
        <w:t>according to a detailed formal plan without possibility of withdrawal or to providing termination benefits as a result of an offer made to encourage voluntary redundancy. Benefits falling due more than 12 months after the end of the reporting</w:t>
      </w:r>
      <w:r>
        <w:rPr>
          <w:spacing w:val="-8"/>
        </w:rPr>
        <w:t> </w:t>
      </w:r>
      <w:r>
        <w:rPr/>
        <w:t>period</w:t>
      </w:r>
      <w:r>
        <w:rPr>
          <w:spacing w:val="-8"/>
        </w:rPr>
        <w:t> </w:t>
      </w:r>
      <w:r>
        <w:rPr/>
        <w:t>are</w:t>
      </w:r>
      <w:r>
        <w:rPr>
          <w:spacing w:val="-8"/>
        </w:rPr>
        <w:t> </w:t>
      </w:r>
      <w:r>
        <w:rPr/>
        <w:t>discounted</w:t>
      </w:r>
      <w:r>
        <w:rPr>
          <w:spacing w:val="-8"/>
        </w:rPr>
        <w:t> </w:t>
      </w:r>
      <w:r>
        <w:rPr/>
        <w:t>to</w:t>
      </w:r>
      <w:r>
        <w:rPr>
          <w:spacing w:val="-8"/>
        </w:rPr>
        <w:t> </w:t>
      </w:r>
      <w:r>
        <w:rPr/>
        <w:t>present</w:t>
      </w:r>
      <w:r>
        <w:rPr>
          <w:spacing w:val="-8"/>
        </w:rPr>
        <w:t> </w:t>
      </w:r>
      <w:r>
        <w:rPr/>
        <w:t>value.</w:t>
      </w:r>
    </w:p>
    <w:p>
      <w:pPr>
        <w:pStyle w:val="BodyText"/>
        <w:spacing w:before="11"/>
        <w:rPr>
          <w:sz w:val="24"/>
        </w:rPr>
      </w:pPr>
    </w:p>
    <w:p>
      <w:pPr>
        <w:pStyle w:val="BodyText"/>
        <w:ind w:left="2390" w:right="1450"/>
      </w:pPr>
      <w:r>
        <w:rPr/>
        <w:t>Provisions are measured at the present value of management's best estimate of the outflow required to settle the obligation at the end of the reporting period. The discount rate used is a pre-tax rate that reflects current market assessments of the time value of money and the risks specific to the liability. The increase in the provision due to the unwinding of the discount is taken to finance costs in the statement of comprehensive income.</w:t>
      </w:r>
    </w:p>
    <w:p>
      <w:pPr>
        <w:pStyle w:val="BodyText"/>
        <w:spacing w:before="11"/>
        <w:rPr>
          <w:sz w:val="24"/>
        </w:rPr>
      </w:pPr>
    </w:p>
    <w:p>
      <w:pPr>
        <w:pStyle w:val="BodyText"/>
        <w:ind w:left="2390" w:right="1375"/>
      </w:pPr>
      <w:r>
        <w:rPr/>
        <w:drawing>
          <wp:anchor distT="0" distB="0" distL="0" distR="0" allowOverlap="1" layoutInCell="1" locked="0" behindDoc="0" simplePos="0" relativeHeight="7816">
            <wp:simplePos x="0" y="0"/>
            <wp:positionH relativeFrom="page">
              <wp:posOffset>-1587</wp:posOffset>
            </wp:positionH>
            <wp:positionV relativeFrom="paragraph">
              <wp:posOffset>408354</wp:posOffset>
            </wp:positionV>
            <wp:extent cx="135159" cy="154019"/>
            <wp:effectExtent l="0" t="0" r="0" b="0"/>
            <wp:wrapNone/>
            <wp:docPr id="523" name="image13.png" descr=""/>
            <wp:cNvGraphicFramePr>
              <a:graphicFrameLocks noChangeAspect="1"/>
            </wp:cNvGraphicFramePr>
            <a:graphic>
              <a:graphicData uri="http://schemas.openxmlformats.org/drawingml/2006/picture">
                <pic:pic>
                  <pic:nvPicPr>
                    <pic:cNvPr id="524" name="image13.png"/>
                    <pic:cNvPicPr/>
                  </pic:nvPicPr>
                  <pic:blipFill>
                    <a:blip r:embed="rId18" cstate="print"/>
                    <a:stretch>
                      <a:fillRect/>
                    </a:stretch>
                  </pic:blipFill>
                  <pic:spPr>
                    <a:xfrm>
                      <a:off x="0" y="0"/>
                      <a:ext cx="135159" cy="154019"/>
                    </a:xfrm>
                    <a:prstGeom prst="rect">
                      <a:avLst/>
                    </a:prstGeom>
                  </pic:spPr>
                </pic:pic>
              </a:graphicData>
            </a:graphic>
          </wp:anchor>
        </w:drawing>
      </w:r>
      <w:r>
        <w:rPr/>
        <w:drawing>
          <wp:anchor distT="0" distB="0" distL="0" distR="0" allowOverlap="1" layoutInCell="1" locked="0" behindDoc="0" simplePos="0" relativeHeight="7840">
            <wp:simplePos x="0" y="0"/>
            <wp:positionH relativeFrom="page">
              <wp:posOffset>7958429</wp:posOffset>
            </wp:positionH>
            <wp:positionV relativeFrom="paragraph">
              <wp:posOffset>408354</wp:posOffset>
            </wp:positionV>
            <wp:extent cx="135953" cy="155575"/>
            <wp:effectExtent l="0" t="0" r="0" b="0"/>
            <wp:wrapNone/>
            <wp:docPr id="525" name="image15.png" descr=""/>
            <wp:cNvGraphicFramePr>
              <a:graphicFrameLocks noChangeAspect="1"/>
            </wp:cNvGraphicFramePr>
            <a:graphic>
              <a:graphicData uri="http://schemas.openxmlformats.org/drawingml/2006/picture">
                <pic:pic>
                  <pic:nvPicPr>
                    <pic:cNvPr id="526" name="image15.png"/>
                    <pic:cNvPicPr/>
                  </pic:nvPicPr>
                  <pic:blipFill>
                    <a:blip r:embed="rId20" cstate="print"/>
                    <a:stretch>
                      <a:fillRect/>
                    </a:stretch>
                  </pic:blipFill>
                  <pic:spPr>
                    <a:xfrm>
                      <a:off x="0" y="0"/>
                      <a:ext cx="135953" cy="155575"/>
                    </a:xfrm>
                    <a:prstGeom prst="rect">
                      <a:avLst/>
                    </a:prstGeom>
                  </pic:spPr>
                </pic:pic>
              </a:graphicData>
            </a:graphic>
          </wp:anchor>
        </w:drawing>
      </w:r>
      <w:bookmarkStart w:name="(j) Trade and other payables" w:id="194"/>
      <w:bookmarkEnd w:id="194"/>
      <w:r>
        <w:rPr/>
      </w:r>
      <w:r>
        <w:rPr/>
        <w:t>Regardless of the expected timing of settlement, provisions made in respect of employee benefits are classified as a current liability, unless there is an unconditional right to defer the settlement of the liability for at least 12 months after the reporting date, in which case it would be classified as a non-current liability.</w:t>
      </w:r>
    </w:p>
    <w:p>
      <w:pPr>
        <w:pStyle w:val="BodyText"/>
        <w:spacing w:before="11"/>
        <w:rPr>
          <w:sz w:val="24"/>
        </w:rPr>
      </w:pPr>
    </w:p>
    <w:p>
      <w:pPr>
        <w:pStyle w:val="Heading8"/>
        <w:numPr>
          <w:ilvl w:val="0"/>
          <w:numId w:val="45"/>
        </w:numPr>
        <w:tabs>
          <w:tab w:pos="2391" w:val="left" w:leader="none"/>
        </w:tabs>
        <w:spacing w:line="240" w:lineRule="auto" w:before="0" w:after="0"/>
        <w:ind w:left="2390" w:right="0" w:hanging="566"/>
        <w:jc w:val="left"/>
      </w:pPr>
      <w:r>
        <w:rPr/>
        <w:t>Trade and other</w:t>
      </w:r>
      <w:r>
        <w:rPr>
          <w:spacing w:val="-21"/>
        </w:rPr>
        <w:t> </w:t>
      </w:r>
      <w:r>
        <w:rPr/>
        <w:t>payables</w:t>
      </w:r>
    </w:p>
    <w:p>
      <w:pPr>
        <w:pStyle w:val="BodyText"/>
        <w:spacing w:before="11"/>
        <w:rPr>
          <w:b/>
          <w:sz w:val="24"/>
        </w:rPr>
      </w:pPr>
    </w:p>
    <w:p>
      <w:pPr>
        <w:pStyle w:val="BodyText"/>
        <w:ind w:left="2390" w:right="1375"/>
      </w:pPr>
      <w:r>
        <w:rPr/>
        <w:t>Trade and other payables represent the liability outstanding at the end of the reporting period for goods and </w:t>
      </w:r>
      <w:bookmarkStart w:name="(k) Leases" w:id="195"/>
      <w:bookmarkEnd w:id="195"/>
      <w:r>
        <w:rPr/>
      </w:r>
      <w:r>
        <w:rPr/>
        <w:t>services received by the Company during the reporting period which remain unpaid. The balance is recognised as a current liability in the statement of financial position with the amounts normally paid within 30 days of recognition of the liability.</w:t>
      </w:r>
    </w:p>
    <w:p>
      <w:pPr>
        <w:pStyle w:val="BodyText"/>
        <w:spacing w:before="11"/>
        <w:rPr>
          <w:sz w:val="24"/>
        </w:rPr>
      </w:pPr>
    </w:p>
    <w:p>
      <w:pPr>
        <w:pStyle w:val="Heading8"/>
        <w:numPr>
          <w:ilvl w:val="0"/>
          <w:numId w:val="45"/>
        </w:numPr>
        <w:tabs>
          <w:tab w:pos="2391" w:val="left" w:leader="none"/>
        </w:tabs>
        <w:spacing w:line="240" w:lineRule="auto" w:before="0" w:after="0"/>
        <w:ind w:left="2390" w:right="0" w:hanging="566"/>
        <w:jc w:val="left"/>
      </w:pPr>
      <w:r>
        <w:rPr/>
        <w:t>Leases</w:t>
      </w:r>
    </w:p>
    <w:p>
      <w:pPr>
        <w:pStyle w:val="BodyText"/>
        <w:spacing w:before="11"/>
        <w:rPr>
          <w:b/>
          <w:sz w:val="24"/>
        </w:rPr>
      </w:pPr>
    </w:p>
    <w:p>
      <w:pPr>
        <w:pStyle w:val="BodyText"/>
        <w:ind w:left="2390" w:right="1375"/>
      </w:pPr>
      <w:r>
        <w:rPr/>
        <w:t>Lease payments for operating leases, where substantially all of the risks and benefits remain with the lessor, are charged as expenses on a straight-line basis over the life of the lease term.</w:t>
      </w:r>
    </w:p>
    <w:p>
      <w:pPr>
        <w:pStyle w:val="BodyText"/>
        <w:spacing w:before="11"/>
        <w:rPr>
          <w:sz w:val="24"/>
        </w:rPr>
      </w:pPr>
    </w:p>
    <w:p>
      <w:pPr>
        <w:pStyle w:val="BodyText"/>
        <w:ind w:left="2390" w:right="1375"/>
      </w:pPr>
      <w:bookmarkStart w:name="(l) Revenue and other income" w:id="196"/>
      <w:bookmarkEnd w:id="196"/>
      <w:r>
        <w:rPr/>
      </w:r>
      <w:r>
        <w:rPr/>
        <w:t>Leased assets are depreciated on a straight-line basis over their estimated useful lives where it is likely that the Company will obtain ownership of the asset or over the term of the lease.</w:t>
      </w:r>
    </w:p>
    <w:p>
      <w:pPr>
        <w:pStyle w:val="BodyText"/>
        <w:spacing w:before="11"/>
        <w:rPr>
          <w:sz w:val="24"/>
        </w:rPr>
      </w:pPr>
    </w:p>
    <w:p>
      <w:pPr>
        <w:pStyle w:val="Heading8"/>
        <w:numPr>
          <w:ilvl w:val="0"/>
          <w:numId w:val="45"/>
        </w:numPr>
        <w:tabs>
          <w:tab w:pos="2391" w:val="left" w:leader="none"/>
        </w:tabs>
        <w:spacing w:line="240" w:lineRule="auto" w:before="0" w:after="0"/>
        <w:ind w:left="2390" w:right="0" w:hanging="566"/>
        <w:jc w:val="left"/>
      </w:pPr>
      <w:r>
        <w:rPr/>
        <w:t>Revenue and other</w:t>
      </w:r>
      <w:r>
        <w:rPr>
          <w:spacing w:val="-8"/>
        </w:rPr>
        <w:t> </w:t>
      </w:r>
      <w:r>
        <w:rPr/>
        <w:t>income</w:t>
      </w:r>
    </w:p>
    <w:p>
      <w:pPr>
        <w:pStyle w:val="BodyText"/>
        <w:spacing w:before="11"/>
        <w:rPr>
          <w:b/>
          <w:sz w:val="24"/>
        </w:rPr>
      </w:pPr>
    </w:p>
    <w:p>
      <w:pPr>
        <w:pStyle w:val="BodyText"/>
        <w:ind w:left="2390" w:right="1375"/>
      </w:pPr>
      <w:r>
        <w:rPr/>
        <w:t>The Company recognises revenue when the amount of revenue can be reliably measured, it is probable that future economic benefits will flow to the Company and specific criteria have been met for each of the Company's activities as discussed below.</w:t>
      </w:r>
    </w:p>
    <w:p>
      <w:pPr>
        <w:pStyle w:val="BodyText"/>
        <w:spacing w:before="11"/>
        <w:rPr>
          <w:sz w:val="24"/>
        </w:rPr>
      </w:pPr>
    </w:p>
    <w:p>
      <w:pPr>
        <w:pStyle w:val="BodyText"/>
        <w:ind w:left="2390" w:right="1407"/>
      </w:pPr>
      <w:r>
        <w:rPr/>
        <w:t>Revenue is measured at the fair value of the consideration received or receivable after taking into account any trade discounts and volume rebates allowed. Any consideration deferred is treated as the provision of finance and is discounted at a rate of interest that is generally accepted in the market for similar arrangements. The difference between the amount initially recognised and the amount ultimately received is interest revenue.</w:t>
      </w:r>
    </w:p>
    <w:p>
      <w:pPr>
        <w:pStyle w:val="BodyText"/>
        <w:spacing w:before="11"/>
        <w:rPr>
          <w:sz w:val="24"/>
        </w:rPr>
      </w:pPr>
    </w:p>
    <w:p>
      <w:pPr>
        <w:pStyle w:val="BodyText"/>
        <w:ind w:left="2390"/>
      </w:pPr>
      <w:r>
        <w:rPr/>
        <w:t>All revenue is stated net of the amount of goods and services tax (GST).</w:t>
      </w:r>
    </w:p>
    <w:p>
      <w:pPr>
        <w:spacing w:after="0"/>
        <w:sectPr>
          <w:pgSz w:w="12750" w:h="17680"/>
          <w:pgMar w:header="0" w:footer="867" w:top="1880" w:bottom="1120" w:left="0" w:right="0"/>
        </w:sectPr>
      </w:pPr>
    </w:p>
    <w:p>
      <w:pPr>
        <w:pStyle w:val="BodyText"/>
        <w:spacing w:before="2"/>
        <w:rPr>
          <w:sz w:val="24"/>
        </w:rPr>
      </w:pPr>
    </w:p>
    <w:p>
      <w:pPr>
        <w:pStyle w:val="Heading4"/>
      </w:pPr>
      <w:r>
        <w:rPr/>
        <w:t>Notes to the Financial Statements</w:t>
      </w:r>
    </w:p>
    <w:p>
      <w:pPr>
        <w:pStyle w:val="Heading7"/>
      </w:pPr>
      <w:r>
        <w:rPr/>
        <w:t>For the Year Ended 31 December 2016</w:t>
      </w:r>
    </w:p>
    <w:p>
      <w:pPr>
        <w:pStyle w:val="BodyText"/>
        <w:rPr>
          <w:b/>
          <w:sz w:val="22"/>
        </w:rPr>
      </w:pPr>
    </w:p>
    <w:p>
      <w:pPr>
        <w:pStyle w:val="BodyText"/>
        <w:rPr>
          <w:b/>
          <w:sz w:val="22"/>
        </w:rPr>
      </w:pPr>
    </w:p>
    <w:p>
      <w:pPr>
        <w:pStyle w:val="Heading8"/>
        <w:tabs>
          <w:tab w:pos="1823" w:val="left" w:leader="none"/>
        </w:tabs>
        <w:spacing w:before="160"/>
        <w:ind w:left="1429"/>
      </w:pPr>
      <w:r>
        <w:rPr/>
        <w:t>1</w:t>
        <w:tab/>
        <w:t>Summary of Significant Accounting Policies</w:t>
      </w:r>
      <w:r>
        <w:rPr>
          <w:spacing w:val="-6"/>
        </w:rPr>
        <w:t> </w:t>
      </w:r>
      <w:r>
        <w:rPr/>
        <w:t>continued</w:t>
      </w:r>
    </w:p>
    <w:p>
      <w:pPr>
        <w:pStyle w:val="BodyText"/>
        <w:spacing w:before="11"/>
        <w:rPr>
          <w:b/>
          <w:sz w:val="24"/>
        </w:rPr>
      </w:pPr>
    </w:p>
    <w:p>
      <w:pPr>
        <w:pStyle w:val="ListParagraph"/>
        <w:numPr>
          <w:ilvl w:val="0"/>
          <w:numId w:val="46"/>
        </w:numPr>
        <w:tabs>
          <w:tab w:pos="2391" w:val="left" w:leader="none"/>
        </w:tabs>
        <w:spacing w:line="595" w:lineRule="auto" w:before="0" w:after="0"/>
        <w:ind w:left="2390" w:right="7143" w:hanging="566"/>
        <w:jc w:val="left"/>
        <w:rPr>
          <w:b/>
          <w:sz w:val="18"/>
        </w:rPr>
      </w:pPr>
      <w:r>
        <w:rPr>
          <w:b/>
          <w:sz w:val="18"/>
        </w:rPr>
        <w:t>Revenue and other income continued Rendering of</w:t>
      </w:r>
      <w:r>
        <w:rPr>
          <w:b/>
          <w:spacing w:val="-9"/>
          <w:sz w:val="18"/>
        </w:rPr>
        <w:t> </w:t>
      </w:r>
      <w:r>
        <w:rPr>
          <w:b/>
          <w:sz w:val="18"/>
        </w:rPr>
        <w:t>services</w:t>
      </w:r>
    </w:p>
    <w:p>
      <w:pPr>
        <w:pStyle w:val="BodyText"/>
        <w:ind w:left="2390" w:right="1375"/>
      </w:pPr>
      <w:r>
        <w:rPr/>
        <w:t>Revenue recognition relating to the rendering of services is determined with reference to the stage of completion of the transaction at the end of the reporting period and where the outcome of the contract can be estimated </w:t>
      </w:r>
      <w:bookmarkStart w:name="(m) Goods and Services Tax (GST)" w:id="197"/>
      <w:bookmarkEnd w:id="197"/>
      <w:r>
        <w:rPr/>
      </w:r>
      <w:r>
        <w:rPr/>
        <w:t>reliably. Stage of completion is determined with reference to the services performed to date as a percentage of total anticipated services to be performed. Where the outcome cannot be estimated reliably, revenue is recognised only to the extent that related expenditure is recoverable.</w:t>
      </w:r>
    </w:p>
    <w:p>
      <w:pPr>
        <w:pStyle w:val="BodyText"/>
        <w:spacing w:before="11"/>
        <w:rPr>
          <w:sz w:val="24"/>
        </w:rPr>
      </w:pPr>
    </w:p>
    <w:p>
      <w:pPr>
        <w:pStyle w:val="Heading8"/>
        <w:numPr>
          <w:ilvl w:val="0"/>
          <w:numId w:val="46"/>
        </w:numPr>
        <w:tabs>
          <w:tab w:pos="2391" w:val="left" w:leader="none"/>
        </w:tabs>
        <w:spacing w:line="240" w:lineRule="auto" w:before="0" w:after="0"/>
        <w:ind w:left="2390" w:right="0" w:hanging="566"/>
        <w:jc w:val="left"/>
      </w:pPr>
      <w:r>
        <w:rPr/>
        <w:t>Goods and Services Tax</w:t>
      </w:r>
      <w:r>
        <w:rPr>
          <w:spacing w:val="-5"/>
        </w:rPr>
        <w:t> </w:t>
      </w:r>
      <w:r>
        <w:rPr/>
        <w:t>(GST)</w:t>
      </w:r>
    </w:p>
    <w:p>
      <w:pPr>
        <w:pStyle w:val="BodyText"/>
        <w:spacing w:before="11"/>
        <w:rPr>
          <w:b/>
          <w:sz w:val="24"/>
        </w:rPr>
      </w:pPr>
    </w:p>
    <w:p>
      <w:pPr>
        <w:pStyle w:val="BodyText"/>
        <w:ind w:left="2390" w:right="1375"/>
      </w:pPr>
      <w:r>
        <w:rPr/>
        <w:t>Revenues, expenses and assets are recognised net of the amount of GST, except where the amount of GST incurred is not recoverable from the Australian Tax Office. In these circumstances the GST is recognised as part of the cost of acquisition of the asset or as part of an item of the expense. Receivables and payables in the statement of financial position are shown inclusive of GST.</w:t>
      </w:r>
    </w:p>
    <w:p>
      <w:pPr>
        <w:pStyle w:val="BodyText"/>
        <w:spacing w:before="11"/>
        <w:rPr>
          <w:sz w:val="24"/>
        </w:rPr>
      </w:pPr>
    </w:p>
    <w:p>
      <w:pPr>
        <w:pStyle w:val="BodyText"/>
        <w:ind w:left="2390" w:right="1375"/>
      </w:pPr>
      <w:r>
        <w:rPr/>
        <w:t>Cash flows are presented in the statement of cash flows on a gross basis, except for the GST component of investing and financing activities, which are disclosed as operating cash flows.</w:t>
      </w:r>
    </w:p>
    <w:p>
      <w:pPr>
        <w:pStyle w:val="BodyText"/>
        <w:spacing w:before="11"/>
        <w:rPr>
          <w:sz w:val="24"/>
        </w:rPr>
      </w:pPr>
    </w:p>
    <w:p>
      <w:pPr>
        <w:pStyle w:val="BodyText"/>
        <w:ind w:left="2390" w:right="1375"/>
      </w:pPr>
      <w:r>
        <w:rPr/>
        <w:drawing>
          <wp:anchor distT="0" distB="0" distL="0" distR="0" allowOverlap="1" layoutInCell="1" locked="0" behindDoc="0" simplePos="0" relativeHeight="7864">
            <wp:simplePos x="0" y="0"/>
            <wp:positionH relativeFrom="page">
              <wp:posOffset>-1587</wp:posOffset>
            </wp:positionH>
            <wp:positionV relativeFrom="paragraph">
              <wp:posOffset>27354</wp:posOffset>
            </wp:positionV>
            <wp:extent cx="136525" cy="155575"/>
            <wp:effectExtent l="0" t="0" r="0" b="0"/>
            <wp:wrapNone/>
            <wp:docPr id="527" name="image13.png" descr=""/>
            <wp:cNvGraphicFramePr>
              <a:graphicFrameLocks noChangeAspect="1"/>
            </wp:cNvGraphicFramePr>
            <a:graphic>
              <a:graphicData uri="http://schemas.openxmlformats.org/drawingml/2006/picture">
                <pic:pic>
                  <pic:nvPicPr>
                    <pic:cNvPr id="528" name="image13.png"/>
                    <pic:cNvPicPr/>
                  </pic:nvPicPr>
                  <pic:blipFill>
                    <a:blip r:embed="rId18" cstate="print"/>
                    <a:stretch>
                      <a:fillRect/>
                    </a:stretch>
                  </pic:blipFill>
                  <pic:spPr>
                    <a:xfrm>
                      <a:off x="0" y="0"/>
                      <a:ext cx="136525" cy="155575"/>
                    </a:xfrm>
                    <a:prstGeom prst="rect">
                      <a:avLst/>
                    </a:prstGeom>
                  </pic:spPr>
                </pic:pic>
              </a:graphicData>
            </a:graphic>
          </wp:anchor>
        </w:drawing>
      </w:r>
      <w:r>
        <w:rPr/>
        <w:drawing>
          <wp:anchor distT="0" distB="0" distL="0" distR="0" allowOverlap="1" layoutInCell="1" locked="0" behindDoc="0" simplePos="0" relativeHeight="7888">
            <wp:simplePos x="0" y="0"/>
            <wp:positionH relativeFrom="page">
              <wp:posOffset>7958429</wp:posOffset>
            </wp:positionH>
            <wp:positionV relativeFrom="paragraph">
              <wp:posOffset>27354</wp:posOffset>
            </wp:positionV>
            <wp:extent cx="135953" cy="155575"/>
            <wp:effectExtent l="0" t="0" r="0" b="0"/>
            <wp:wrapNone/>
            <wp:docPr id="529" name="image15.png" descr=""/>
            <wp:cNvGraphicFramePr>
              <a:graphicFrameLocks noChangeAspect="1"/>
            </wp:cNvGraphicFramePr>
            <a:graphic>
              <a:graphicData uri="http://schemas.openxmlformats.org/drawingml/2006/picture">
                <pic:pic>
                  <pic:nvPicPr>
                    <pic:cNvPr id="530" name="image15.png"/>
                    <pic:cNvPicPr/>
                  </pic:nvPicPr>
                  <pic:blipFill>
                    <a:blip r:embed="rId20" cstate="print"/>
                    <a:stretch>
                      <a:fillRect/>
                    </a:stretch>
                  </pic:blipFill>
                  <pic:spPr>
                    <a:xfrm>
                      <a:off x="0" y="0"/>
                      <a:ext cx="135953" cy="155575"/>
                    </a:xfrm>
                    <a:prstGeom prst="rect">
                      <a:avLst/>
                    </a:prstGeom>
                  </pic:spPr>
                </pic:pic>
              </a:graphicData>
            </a:graphic>
          </wp:anchor>
        </w:drawing>
      </w:r>
      <w:bookmarkStart w:name="(n) Critical accounting estimates and ju" w:id="198"/>
      <w:bookmarkEnd w:id="198"/>
      <w:r>
        <w:rPr/>
      </w:r>
      <w:r>
        <w:rPr/>
        <w:t>The Company is grouped with the parent entity for GST purposes and therefore the net GST receivable or GST payable is not reflected within these statements.</w:t>
      </w:r>
    </w:p>
    <w:p>
      <w:pPr>
        <w:pStyle w:val="BodyText"/>
        <w:spacing w:before="11"/>
        <w:rPr>
          <w:sz w:val="24"/>
        </w:rPr>
      </w:pPr>
    </w:p>
    <w:p>
      <w:pPr>
        <w:pStyle w:val="Heading8"/>
        <w:numPr>
          <w:ilvl w:val="0"/>
          <w:numId w:val="46"/>
        </w:numPr>
        <w:tabs>
          <w:tab w:pos="2391" w:val="left" w:leader="none"/>
        </w:tabs>
        <w:spacing w:line="240" w:lineRule="auto" w:before="0" w:after="0"/>
        <w:ind w:left="2390" w:right="0" w:hanging="566"/>
        <w:jc w:val="left"/>
      </w:pPr>
      <w:r>
        <w:rPr/>
        <w:t>Critical accounting estimates and</w:t>
      </w:r>
      <w:r>
        <w:rPr>
          <w:spacing w:val="-1"/>
        </w:rPr>
        <w:t> </w:t>
      </w:r>
      <w:r>
        <w:rPr/>
        <w:t>judgements</w:t>
      </w:r>
    </w:p>
    <w:p>
      <w:pPr>
        <w:pStyle w:val="BodyText"/>
        <w:spacing w:before="11"/>
        <w:rPr>
          <w:b/>
          <w:sz w:val="24"/>
        </w:rPr>
      </w:pPr>
    </w:p>
    <w:p>
      <w:pPr>
        <w:pStyle w:val="BodyText"/>
        <w:ind w:left="2390" w:right="1375"/>
      </w:pPr>
      <w:r>
        <w:rPr/>
        <w:t>The below areas involve a high degree of judgement where assumptions and estimates are significant to the financial statements of the Company.</w:t>
      </w:r>
    </w:p>
    <w:p>
      <w:pPr>
        <w:pStyle w:val="BodyText"/>
        <w:spacing w:before="7"/>
        <w:rPr>
          <w:sz w:val="26"/>
        </w:rPr>
      </w:pPr>
    </w:p>
    <w:p>
      <w:pPr>
        <w:pStyle w:val="Heading8"/>
        <w:ind w:left="2390"/>
      </w:pPr>
      <w:r>
        <w:rPr/>
        <w:t>Key judgements - provision for impairment of receivables</w:t>
      </w:r>
    </w:p>
    <w:p>
      <w:pPr>
        <w:pStyle w:val="BodyText"/>
        <w:spacing w:before="4"/>
        <w:rPr>
          <w:b/>
          <w:sz w:val="25"/>
        </w:rPr>
      </w:pPr>
    </w:p>
    <w:p>
      <w:pPr>
        <w:pStyle w:val="BodyText"/>
        <w:ind w:left="2390" w:right="1375"/>
      </w:pPr>
      <w:r>
        <w:rPr/>
        <w:t>The value of the provision for impairment of receivables is estimated by considering the ageing of receivables, communication with the debtors and prior history.</w:t>
      </w:r>
    </w:p>
    <w:p>
      <w:pPr>
        <w:pStyle w:val="BodyText"/>
        <w:spacing w:before="11"/>
        <w:rPr>
          <w:sz w:val="24"/>
        </w:rPr>
      </w:pPr>
    </w:p>
    <w:p>
      <w:pPr>
        <w:pStyle w:val="Heading8"/>
        <w:ind w:left="2390"/>
      </w:pPr>
      <w:r>
        <w:rPr/>
        <w:t>Key judgements - provision for long service leave</w:t>
      </w:r>
    </w:p>
    <w:p>
      <w:pPr>
        <w:pStyle w:val="BodyText"/>
        <w:spacing w:before="11"/>
        <w:rPr>
          <w:b/>
          <w:sz w:val="24"/>
        </w:rPr>
      </w:pPr>
    </w:p>
    <w:p>
      <w:pPr>
        <w:pStyle w:val="BodyText"/>
        <w:ind w:left="2390" w:right="1520"/>
        <w:jc w:val="both"/>
      </w:pPr>
      <w:bookmarkStart w:name="(o) New and revised accounting standards" w:id="199"/>
      <w:bookmarkEnd w:id="199"/>
      <w:r>
        <w:rPr/>
      </w:r>
      <w:r>
        <w:rPr/>
        <w:t>The value of the provision for long service leave is measured as the present value of expected future payments to</w:t>
      </w:r>
      <w:r>
        <w:rPr>
          <w:spacing w:val="-5"/>
        </w:rPr>
        <w:t> </w:t>
      </w:r>
      <w:r>
        <w:rPr/>
        <w:t>be</w:t>
      </w:r>
      <w:r>
        <w:rPr>
          <w:spacing w:val="-5"/>
        </w:rPr>
        <w:t> </w:t>
      </w:r>
      <w:r>
        <w:rPr/>
        <w:t>made</w:t>
      </w:r>
      <w:r>
        <w:rPr>
          <w:spacing w:val="-5"/>
        </w:rPr>
        <w:t> </w:t>
      </w:r>
      <w:r>
        <w:rPr/>
        <w:t>in</w:t>
      </w:r>
      <w:r>
        <w:rPr>
          <w:spacing w:val="-5"/>
        </w:rPr>
        <w:t> </w:t>
      </w:r>
      <w:r>
        <w:rPr/>
        <w:t>respect</w:t>
      </w:r>
      <w:r>
        <w:rPr>
          <w:spacing w:val="-5"/>
        </w:rPr>
        <w:t> </w:t>
      </w:r>
      <w:r>
        <w:rPr/>
        <w:t>of</w:t>
      </w:r>
      <w:r>
        <w:rPr>
          <w:spacing w:val="-5"/>
        </w:rPr>
        <w:t> </w:t>
      </w:r>
      <w:r>
        <w:rPr/>
        <w:t>services</w:t>
      </w:r>
      <w:r>
        <w:rPr>
          <w:spacing w:val="-5"/>
        </w:rPr>
        <w:t> </w:t>
      </w:r>
      <w:r>
        <w:rPr/>
        <w:t>provided</w:t>
      </w:r>
      <w:r>
        <w:rPr>
          <w:spacing w:val="-5"/>
        </w:rPr>
        <w:t> </w:t>
      </w:r>
      <w:r>
        <w:rPr/>
        <w:t>by</w:t>
      </w:r>
      <w:r>
        <w:rPr>
          <w:spacing w:val="-5"/>
        </w:rPr>
        <w:t> </w:t>
      </w:r>
      <w:r>
        <w:rPr/>
        <w:t>employees</w:t>
      </w:r>
      <w:r>
        <w:rPr>
          <w:spacing w:val="-5"/>
        </w:rPr>
        <w:t> </w:t>
      </w:r>
      <w:r>
        <w:rPr/>
        <w:t>up</w:t>
      </w:r>
      <w:r>
        <w:rPr>
          <w:spacing w:val="-5"/>
        </w:rPr>
        <w:t> </w:t>
      </w:r>
      <w:r>
        <w:rPr/>
        <w:t>to</w:t>
      </w:r>
      <w:r>
        <w:rPr>
          <w:spacing w:val="-5"/>
        </w:rPr>
        <w:t> </w:t>
      </w:r>
      <w:r>
        <w:rPr/>
        <w:t>the</w:t>
      </w:r>
      <w:r>
        <w:rPr>
          <w:spacing w:val="-5"/>
        </w:rPr>
        <w:t> </w:t>
      </w:r>
      <w:r>
        <w:rPr/>
        <w:t>reporting</w:t>
      </w:r>
      <w:r>
        <w:rPr>
          <w:spacing w:val="-5"/>
        </w:rPr>
        <w:t> </w:t>
      </w:r>
      <w:r>
        <w:rPr/>
        <w:t>date</w:t>
      </w:r>
      <w:r>
        <w:rPr>
          <w:spacing w:val="-5"/>
        </w:rPr>
        <w:t> </w:t>
      </w:r>
      <w:r>
        <w:rPr/>
        <w:t>using</w:t>
      </w:r>
      <w:r>
        <w:rPr>
          <w:spacing w:val="-5"/>
        </w:rPr>
        <w:t> </w:t>
      </w:r>
      <w:r>
        <w:rPr/>
        <w:t>the</w:t>
      </w:r>
      <w:r>
        <w:rPr>
          <w:spacing w:val="-5"/>
        </w:rPr>
        <w:t> </w:t>
      </w:r>
      <w:r>
        <w:rPr/>
        <w:t>projected</w:t>
      </w:r>
      <w:r>
        <w:rPr>
          <w:spacing w:val="-5"/>
        </w:rPr>
        <w:t> </w:t>
      </w:r>
      <w:r>
        <w:rPr/>
        <w:t>unit</w:t>
      </w:r>
      <w:r>
        <w:rPr>
          <w:spacing w:val="-5"/>
        </w:rPr>
        <w:t> </w:t>
      </w:r>
      <w:r>
        <w:rPr/>
        <w:t>credit method.</w:t>
      </w:r>
    </w:p>
    <w:p>
      <w:pPr>
        <w:pStyle w:val="BodyText"/>
        <w:spacing w:before="11"/>
        <w:rPr>
          <w:sz w:val="24"/>
        </w:rPr>
      </w:pPr>
    </w:p>
    <w:p>
      <w:pPr>
        <w:pStyle w:val="Heading8"/>
        <w:numPr>
          <w:ilvl w:val="0"/>
          <w:numId w:val="46"/>
        </w:numPr>
        <w:tabs>
          <w:tab w:pos="2391" w:val="left" w:leader="none"/>
        </w:tabs>
        <w:spacing w:line="240" w:lineRule="auto" w:before="0" w:after="0"/>
        <w:ind w:left="2390" w:right="0" w:hanging="566"/>
        <w:jc w:val="left"/>
      </w:pPr>
      <w:r>
        <w:rPr/>
        <w:t>New and revised accounting</w:t>
      </w:r>
      <w:r>
        <w:rPr>
          <w:spacing w:val="-3"/>
        </w:rPr>
        <w:t> </w:t>
      </w:r>
      <w:r>
        <w:rPr/>
        <w:t>standards</w:t>
      </w:r>
    </w:p>
    <w:p>
      <w:pPr>
        <w:pStyle w:val="BodyText"/>
        <w:spacing w:before="11"/>
        <w:rPr>
          <w:b/>
          <w:sz w:val="24"/>
        </w:rPr>
      </w:pPr>
    </w:p>
    <w:p>
      <w:pPr>
        <w:pStyle w:val="BodyText"/>
        <w:ind w:left="2390" w:right="1338"/>
      </w:pPr>
      <w:r>
        <w:rPr/>
        <w:t>Certain new accounting standards and interpretations have been published that are not mandatory for 31 December 2016 reporting periods and have not yet been applied to the financial statements. The Company’s assessment of the impact of the new standards and interpretations is that they will not materially affect any of the amounts recognised in the financial statements or significantly impact the disclosures in relation to the Company.</w:t>
      </w:r>
    </w:p>
    <w:p>
      <w:pPr>
        <w:spacing w:after="0"/>
        <w:sectPr>
          <w:pgSz w:w="12750" w:h="17680"/>
          <w:pgMar w:header="0" w:footer="867" w:top="1880" w:bottom="1120" w:left="0" w:right="0"/>
        </w:sectPr>
      </w:pPr>
    </w:p>
    <w:p>
      <w:pPr>
        <w:pStyle w:val="BodyText"/>
        <w:spacing w:before="2"/>
        <w:rPr>
          <w:sz w:val="24"/>
        </w:rPr>
      </w:pPr>
    </w:p>
    <w:p>
      <w:pPr>
        <w:pStyle w:val="Heading4"/>
      </w:pPr>
      <w:r>
        <w:rPr/>
        <w:t>Notes to the Financial Statements</w:t>
      </w:r>
    </w:p>
    <w:p>
      <w:pPr>
        <w:pStyle w:val="Heading7"/>
      </w:pPr>
      <w:r>
        <w:rPr/>
        <w:t>For the Year Ended 31 December 2016</w:t>
      </w:r>
    </w:p>
    <w:p>
      <w:pPr>
        <w:pStyle w:val="BodyText"/>
        <w:rPr>
          <w:b/>
          <w:sz w:val="22"/>
        </w:rPr>
      </w:pPr>
    </w:p>
    <w:p>
      <w:pPr>
        <w:pStyle w:val="BodyText"/>
        <w:rPr>
          <w:b/>
          <w:sz w:val="22"/>
        </w:rPr>
      </w:pPr>
    </w:p>
    <w:p>
      <w:pPr>
        <w:pStyle w:val="Heading8"/>
        <w:tabs>
          <w:tab w:pos="1823" w:val="left" w:leader="none"/>
        </w:tabs>
        <w:spacing w:before="160"/>
        <w:ind w:left="1429"/>
      </w:pPr>
      <w:bookmarkStart w:name="(p) Property, Plant and Equipment" w:id="200"/>
      <w:bookmarkEnd w:id="200"/>
      <w:r>
        <w:rPr>
          <w:b w:val="0"/>
        </w:rPr>
      </w:r>
      <w:r>
        <w:rPr/>
        <w:t>1</w:t>
        <w:tab/>
        <w:t>Summary of Significant Accounting Policies</w:t>
      </w:r>
      <w:r>
        <w:rPr>
          <w:spacing w:val="-6"/>
        </w:rPr>
        <w:t> </w:t>
      </w:r>
      <w:r>
        <w:rPr/>
        <w:t>continued</w:t>
      </w:r>
    </w:p>
    <w:p>
      <w:pPr>
        <w:pStyle w:val="BodyText"/>
        <w:spacing w:before="11"/>
        <w:rPr>
          <w:b/>
          <w:sz w:val="24"/>
        </w:rPr>
      </w:pPr>
    </w:p>
    <w:p>
      <w:pPr>
        <w:pStyle w:val="ListParagraph"/>
        <w:numPr>
          <w:ilvl w:val="0"/>
          <w:numId w:val="46"/>
        </w:numPr>
        <w:tabs>
          <w:tab w:pos="2391" w:val="left" w:leader="none"/>
        </w:tabs>
        <w:spacing w:line="240" w:lineRule="auto" w:before="0" w:after="0"/>
        <w:ind w:left="2390" w:right="0" w:hanging="566"/>
        <w:jc w:val="left"/>
        <w:rPr>
          <w:b/>
          <w:sz w:val="18"/>
        </w:rPr>
      </w:pPr>
      <w:r>
        <w:rPr>
          <w:b/>
          <w:sz w:val="18"/>
        </w:rPr>
        <w:t>Property, Plant and Equipment</w:t>
      </w:r>
    </w:p>
    <w:p>
      <w:pPr>
        <w:pStyle w:val="BodyText"/>
        <w:spacing w:before="11"/>
        <w:rPr>
          <w:b/>
          <w:sz w:val="24"/>
        </w:rPr>
      </w:pPr>
    </w:p>
    <w:p>
      <w:pPr>
        <w:pStyle w:val="BodyText"/>
        <w:ind w:left="2390" w:right="1375"/>
      </w:pPr>
      <w:r>
        <w:rPr/>
        <w:t>Each class of property, plant and equipment is carried at cost as indicated less, where applicable, any accumulated depreciation and impairment losses.</w:t>
      </w:r>
    </w:p>
    <w:p>
      <w:pPr>
        <w:pStyle w:val="BodyText"/>
        <w:spacing w:before="7"/>
        <w:rPr>
          <w:sz w:val="26"/>
        </w:rPr>
      </w:pPr>
    </w:p>
    <w:p>
      <w:pPr>
        <w:pStyle w:val="Heading8"/>
        <w:ind w:left="2390"/>
      </w:pPr>
      <w:r>
        <w:rPr/>
        <w:t>Plant and equipment</w:t>
      </w:r>
    </w:p>
    <w:p>
      <w:pPr>
        <w:pStyle w:val="BodyText"/>
        <w:spacing w:before="4"/>
        <w:rPr>
          <w:b/>
          <w:sz w:val="25"/>
        </w:rPr>
      </w:pPr>
    </w:p>
    <w:p>
      <w:pPr>
        <w:pStyle w:val="BodyText"/>
        <w:ind w:left="2390" w:right="1450"/>
      </w:pPr>
      <w:r>
        <w:rPr/>
        <w:t>Plant and equipment are measured on a cost basis (cost less depreciation and impairment losses). Cost includes expenditure that is directly attributable to the asset.</w:t>
      </w:r>
    </w:p>
    <w:p>
      <w:pPr>
        <w:pStyle w:val="BodyText"/>
        <w:spacing w:before="11"/>
        <w:rPr>
          <w:sz w:val="24"/>
        </w:rPr>
      </w:pPr>
    </w:p>
    <w:p>
      <w:pPr>
        <w:pStyle w:val="Heading8"/>
        <w:ind w:left="2390"/>
      </w:pPr>
      <w:r>
        <w:rPr/>
        <w:t>Artwork</w:t>
      </w:r>
    </w:p>
    <w:p>
      <w:pPr>
        <w:pStyle w:val="BodyText"/>
        <w:spacing w:before="11"/>
        <w:rPr>
          <w:b/>
          <w:sz w:val="24"/>
        </w:rPr>
      </w:pPr>
    </w:p>
    <w:p>
      <w:pPr>
        <w:pStyle w:val="BodyText"/>
        <w:ind w:left="2390" w:right="1530"/>
      </w:pPr>
      <w:r>
        <w:rPr/>
        <w:t>Artwork is measured on a cost basis. Cost includes expenditure that is directly attributable to the asset. Art is a non-depreciable asset.</w:t>
      </w:r>
    </w:p>
    <w:p>
      <w:pPr>
        <w:pStyle w:val="BodyText"/>
        <w:spacing w:before="11"/>
        <w:rPr>
          <w:sz w:val="24"/>
        </w:rPr>
      </w:pPr>
    </w:p>
    <w:p>
      <w:pPr>
        <w:pStyle w:val="Heading8"/>
        <w:ind w:left="2390"/>
      </w:pPr>
      <w:r>
        <w:rPr/>
        <w:t>Leasehold Improvements</w:t>
      </w:r>
    </w:p>
    <w:p>
      <w:pPr>
        <w:pStyle w:val="BodyText"/>
        <w:spacing w:before="11"/>
        <w:rPr>
          <w:b/>
          <w:sz w:val="24"/>
        </w:rPr>
      </w:pPr>
    </w:p>
    <w:p>
      <w:pPr>
        <w:pStyle w:val="BodyText"/>
        <w:ind w:left="2390" w:right="1375"/>
      </w:pPr>
      <w:r>
        <w:rPr/>
        <w:t>Leasehold improvements are measured on a cost basis. Cost includes expenditure that is directly attributable to the asset.</w:t>
      </w:r>
    </w:p>
    <w:p>
      <w:pPr>
        <w:pStyle w:val="BodyText"/>
        <w:spacing w:before="7"/>
        <w:rPr>
          <w:sz w:val="26"/>
        </w:rPr>
      </w:pPr>
    </w:p>
    <w:p>
      <w:pPr>
        <w:pStyle w:val="Heading8"/>
        <w:ind w:left="2390"/>
      </w:pPr>
      <w:r>
        <w:rPr/>
        <w:drawing>
          <wp:anchor distT="0" distB="0" distL="0" distR="0" allowOverlap="1" layoutInCell="1" locked="0" behindDoc="0" simplePos="0" relativeHeight="7912">
            <wp:simplePos x="0" y="0"/>
            <wp:positionH relativeFrom="page">
              <wp:posOffset>-1587</wp:posOffset>
            </wp:positionH>
            <wp:positionV relativeFrom="paragraph">
              <wp:posOffset>-88469</wp:posOffset>
            </wp:positionV>
            <wp:extent cx="136525" cy="155575"/>
            <wp:effectExtent l="0" t="0" r="0" b="0"/>
            <wp:wrapNone/>
            <wp:docPr id="531" name="image13.png" descr=""/>
            <wp:cNvGraphicFramePr>
              <a:graphicFrameLocks noChangeAspect="1"/>
            </wp:cNvGraphicFramePr>
            <a:graphic>
              <a:graphicData uri="http://schemas.openxmlformats.org/drawingml/2006/picture">
                <pic:pic>
                  <pic:nvPicPr>
                    <pic:cNvPr id="532" name="image13.png"/>
                    <pic:cNvPicPr/>
                  </pic:nvPicPr>
                  <pic:blipFill>
                    <a:blip r:embed="rId18" cstate="print"/>
                    <a:stretch>
                      <a:fillRect/>
                    </a:stretch>
                  </pic:blipFill>
                  <pic:spPr>
                    <a:xfrm>
                      <a:off x="0" y="0"/>
                      <a:ext cx="136525" cy="155575"/>
                    </a:xfrm>
                    <a:prstGeom prst="rect">
                      <a:avLst/>
                    </a:prstGeom>
                  </pic:spPr>
                </pic:pic>
              </a:graphicData>
            </a:graphic>
          </wp:anchor>
        </w:drawing>
      </w:r>
      <w:r>
        <w:rPr/>
        <w:drawing>
          <wp:anchor distT="0" distB="0" distL="0" distR="0" allowOverlap="1" layoutInCell="1" locked="0" behindDoc="0" simplePos="0" relativeHeight="7936">
            <wp:simplePos x="0" y="0"/>
            <wp:positionH relativeFrom="page">
              <wp:posOffset>7958429</wp:posOffset>
            </wp:positionH>
            <wp:positionV relativeFrom="paragraph">
              <wp:posOffset>-88469</wp:posOffset>
            </wp:positionV>
            <wp:extent cx="135953" cy="155575"/>
            <wp:effectExtent l="0" t="0" r="0" b="0"/>
            <wp:wrapNone/>
            <wp:docPr id="533" name="image15.png" descr=""/>
            <wp:cNvGraphicFramePr>
              <a:graphicFrameLocks noChangeAspect="1"/>
            </wp:cNvGraphicFramePr>
            <a:graphic>
              <a:graphicData uri="http://schemas.openxmlformats.org/drawingml/2006/picture">
                <pic:pic>
                  <pic:nvPicPr>
                    <pic:cNvPr id="534" name="image15.png"/>
                    <pic:cNvPicPr/>
                  </pic:nvPicPr>
                  <pic:blipFill>
                    <a:blip r:embed="rId20" cstate="print"/>
                    <a:stretch>
                      <a:fillRect/>
                    </a:stretch>
                  </pic:blipFill>
                  <pic:spPr>
                    <a:xfrm>
                      <a:off x="0" y="0"/>
                      <a:ext cx="135953" cy="155575"/>
                    </a:xfrm>
                    <a:prstGeom prst="rect">
                      <a:avLst/>
                    </a:prstGeom>
                  </pic:spPr>
                </pic:pic>
              </a:graphicData>
            </a:graphic>
          </wp:anchor>
        </w:drawing>
      </w:r>
      <w:r>
        <w:rPr/>
        <w:t>Depreciation</w:t>
      </w:r>
    </w:p>
    <w:p>
      <w:pPr>
        <w:pStyle w:val="BodyText"/>
        <w:spacing w:before="4"/>
        <w:rPr>
          <w:b/>
          <w:sz w:val="25"/>
        </w:rPr>
      </w:pPr>
    </w:p>
    <w:p>
      <w:pPr>
        <w:pStyle w:val="BodyText"/>
        <w:ind w:left="2390" w:right="1375"/>
      </w:pPr>
      <w:r>
        <w:rPr/>
        <w:t>The depreciable amount of all fixed assets including capitalised leased assets, is depreciated on a straight-line basis over the asset's useful life to the Company commencing from the time the asset is held ready for use.</w:t>
      </w:r>
    </w:p>
    <w:p>
      <w:pPr>
        <w:pStyle w:val="BodyText"/>
        <w:ind w:left="2390" w:right="1375"/>
      </w:pPr>
      <w:r>
        <w:rPr/>
        <w:t>Leasehold improvements are depreciated over the shorter of either the unexpired period of the lease or the estimated useful lives of the improvements.</w:t>
      </w:r>
    </w:p>
    <w:p>
      <w:pPr>
        <w:pStyle w:val="BodyText"/>
        <w:spacing w:before="11"/>
        <w:rPr>
          <w:sz w:val="24"/>
        </w:rPr>
      </w:pPr>
    </w:p>
    <w:p>
      <w:pPr>
        <w:pStyle w:val="BodyText"/>
        <w:ind w:left="2390"/>
      </w:pPr>
      <w:r>
        <w:rPr/>
        <w:t>The estimated useful lives/depreciation rates used for each class of depreciable assets are:</w:t>
      </w:r>
    </w:p>
    <w:p>
      <w:pPr>
        <w:pStyle w:val="BodyText"/>
      </w:pPr>
    </w:p>
    <w:p>
      <w:pPr>
        <w:pStyle w:val="BodyText"/>
      </w:pPr>
    </w:p>
    <w:p>
      <w:pPr>
        <w:pStyle w:val="Heading8"/>
        <w:tabs>
          <w:tab w:pos="6448" w:val="left" w:leader="none"/>
        </w:tabs>
        <w:spacing w:before="113"/>
        <w:ind w:left="2390"/>
      </w:pPr>
      <w:r>
        <w:rPr/>
        <w:t>Class of</w:t>
      </w:r>
      <w:r>
        <w:rPr>
          <w:spacing w:val="-4"/>
        </w:rPr>
        <w:t> </w:t>
      </w:r>
      <w:r>
        <w:rPr/>
        <w:t>Fixed</w:t>
      </w:r>
      <w:r>
        <w:rPr>
          <w:spacing w:val="-2"/>
        </w:rPr>
        <w:t> </w:t>
      </w:r>
      <w:r>
        <w:rPr/>
        <w:t>Asset</w:t>
        <w:tab/>
        <w:t>Depreciation Rate / Useful</w:t>
      </w:r>
      <w:r>
        <w:rPr>
          <w:spacing w:val="-1"/>
        </w:rPr>
        <w:t> </w:t>
      </w:r>
      <w:r>
        <w:rPr/>
        <w:t>Life</w:t>
      </w:r>
    </w:p>
    <w:p>
      <w:pPr>
        <w:pStyle w:val="BodyText"/>
        <w:rPr>
          <w:b/>
        </w:rPr>
      </w:pPr>
    </w:p>
    <w:p>
      <w:pPr>
        <w:pStyle w:val="BodyText"/>
        <w:tabs>
          <w:tab w:pos="7393" w:val="left" w:leader="none"/>
        </w:tabs>
        <w:spacing w:before="129"/>
        <w:ind w:left="2390"/>
      </w:pPr>
      <w:r>
        <w:rPr/>
        <w:t>Computer</w:t>
      </w:r>
      <w:r>
        <w:rPr>
          <w:spacing w:val="-6"/>
        </w:rPr>
        <w:t> </w:t>
      </w:r>
      <w:r>
        <w:rPr/>
        <w:t>Equipment</w:t>
        <w:tab/>
        <w:t>3-4</w:t>
      </w:r>
      <w:r>
        <w:rPr>
          <w:spacing w:val="-9"/>
        </w:rPr>
        <w:t> </w:t>
      </w:r>
      <w:r>
        <w:rPr/>
        <w:t>years</w:t>
      </w:r>
    </w:p>
    <w:p>
      <w:pPr>
        <w:pStyle w:val="BodyText"/>
        <w:tabs>
          <w:tab w:pos="7393" w:val="left" w:leader="none"/>
        </w:tabs>
        <w:spacing w:before="57"/>
        <w:ind w:left="2390"/>
      </w:pPr>
      <w:r>
        <w:rPr/>
        <w:t>Leasehold</w:t>
      </w:r>
      <w:r>
        <w:rPr>
          <w:spacing w:val="-8"/>
        </w:rPr>
        <w:t> </w:t>
      </w:r>
      <w:r>
        <w:rPr/>
        <w:t>improvements</w:t>
        <w:tab/>
        <w:t>2-6</w:t>
      </w:r>
      <w:r>
        <w:rPr>
          <w:spacing w:val="-9"/>
        </w:rPr>
        <w:t> </w:t>
      </w:r>
      <w:r>
        <w:rPr/>
        <w:t>years</w:t>
      </w:r>
    </w:p>
    <w:p>
      <w:pPr>
        <w:pStyle w:val="BodyText"/>
        <w:tabs>
          <w:tab w:pos="7393" w:val="left" w:leader="none"/>
        </w:tabs>
        <w:spacing w:before="57"/>
        <w:ind w:left="2390"/>
      </w:pPr>
      <w:r>
        <w:rPr/>
        <w:t>Motor</w:t>
      </w:r>
      <w:r>
        <w:rPr>
          <w:spacing w:val="-5"/>
        </w:rPr>
        <w:t> </w:t>
      </w:r>
      <w:r>
        <w:rPr/>
        <w:t>Vehicles</w:t>
        <w:tab/>
        <w:t>6-7</w:t>
      </w:r>
      <w:r>
        <w:rPr>
          <w:spacing w:val="-9"/>
        </w:rPr>
        <w:t> </w:t>
      </w:r>
      <w:r>
        <w:rPr/>
        <w:t>years</w:t>
      </w:r>
    </w:p>
    <w:p>
      <w:pPr>
        <w:pStyle w:val="BodyText"/>
        <w:tabs>
          <w:tab w:pos="7293" w:val="left" w:leader="none"/>
        </w:tabs>
        <w:spacing w:before="57"/>
        <w:ind w:left="2390"/>
      </w:pPr>
      <w:r>
        <w:rPr/>
        <w:t>Other</w:t>
      </w:r>
      <w:r>
        <w:rPr>
          <w:spacing w:val="-5"/>
        </w:rPr>
        <w:t> </w:t>
      </w:r>
      <w:r>
        <w:rPr/>
        <w:t>Equipment</w:t>
        <w:tab/>
        <w:t>10-20</w:t>
      </w:r>
      <w:r>
        <w:rPr>
          <w:spacing w:val="-11"/>
        </w:rPr>
        <w:t> </w:t>
      </w:r>
      <w:r>
        <w:rPr/>
        <w:t>years</w:t>
      </w:r>
    </w:p>
    <w:p>
      <w:pPr>
        <w:pStyle w:val="BodyText"/>
      </w:pPr>
    </w:p>
    <w:p>
      <w:pPr>
        <w:pStyle w:val="BodyText"/>
        <w:spacing w:before="108"/>
        <w:ind w:left="2390" w:right="1375"/>
      </w:pPr>
      <w:r>
        <w:rPr/>
        <w:t>The assets' residual values, depreciation methods and useful lives are reviewed, and adjusted if appropriate, at the end of each reporting period.</w:t>
      </w:r>
    </w:p>
    <w:p>
      <w:pPr>
        <w:pStyle w:val="BodyText"/>
        <w:spacing w:before="11"/>
        <w:rPr>
          <w:sz w:val="24"/>
        </w:rPr>
      </w:pPr>
    </w:p>
    <w:p>
      <w:pPr>
        <w:pStyle w:val="BodyText"/>
        <w:ind w:left="2390" w:right="1467"/>
      </w:pPr>
      <w:r>
        <w:rPr/>
        <w:t>An asset's carrying amount is written down immediately to its recoverable amount if the asset's carrying amount is greater than its estimated recoverable amount.</w:t>
      </w:r>
    </w:p>
    <w:p>
      <w:pPr>
        <w:spacing w:after="0"/>
        <w:sectPr>
          <w:pgSz w:w="12750" w:h="17680"/>
          <w:pgMar w:header="0" w:footer="867" w:top="1880" w:bottom="1120" w:left="0" w:right="0"/>
        </w:sectPr>
      </w:pPr>
    </w:p>
    <w:p>
      <w:pPr>
        <w:pStyle w:val="BodyText"/>
        <w:spacing w:before="2"/>
        <w:rPr>
          <w:sz w:val="24"/>
        </w:rPr>
      </w:pPr>
    </w:p>
    <w:p>
      <w:pPr>
        <w:pStyle w:val="Heading4"/>
      </w:pPr>
      <w:r>
        <w:rPr/>
        <w:t>Notes to the Financial Statements</w:t>
      </w:r>
    </w:p>
    <w:p>
      <w:pPr>
        <w:pStyle w:val="Heading7"/>
      </w:pPr>
      <w:r>
        <w:rPr/>
        <w:t>For the Year Ended 31 December 2016</w:t>
      </w:r>
    </w:p>
    <w:p>
      <w:pPr>
        <w:pStyle w:val="BodyText"/>
        <w:rPr>
          <w:b/>
          <w:sz w:val="22"/>
        </w:rPr>
      </w:pPr>
    </w:p>
    <w:p>
      <w:pPr>
        <w:pStyle w:val="BodyText"/>
        <w:rPr>
          <w:b/>
          <w:sz w:val="22"/>
        </w:rPr>
      </w:pPr>
    </w:p>
    <w:p>
      <w:pPr>
        <w:pStyle w:val="Heading8"/>
        <w:tabs>
          <w:tab w:pos="1823" w:val="left" w:leader="none"/>
        </w:tabs>
        <w:spacing w:before="160"/>
        <w:ind w:left="1429"/>
      </w:pPr>
      <w:r>
        <w:rPr/>
        <w:t>1</w:t>
        <w:tab/>
        <w:t>Summary of Significant Accounting Policies</w:t>
      </w:r>
      <w:r>
        <w:rPr>
          <w:spacing w:val="-6"/>
        </w:rPr>
        <w:t> </w:t>
      </w:r>
      <w:r>
        <w:rPr/>
        <w:t>continued</w:t>
      </w:r>
    </w:p>
    <w:p>
      <w:pPr>
        <w:pStyle w:val="BodyText"/>
        <w:spacing w:before="11"/>
        <w:rPr>
          <w:b/>
          <w:sz w:val="24"/>
        </w:rPr>
      </w:pPr>
    </w:p>
    <w:p>
      <w:pPr>
        <w:pStyle w:val="ListParagraph"/>
        <w:numPr>
          <w:ilvl w:val="0"/>
          <w:numId w:val="47"/>
        </w:numPr>
        <w:tabs>
          <w:tab w:pos="2391" w:val="left" w:leader="none"/>
        </w:tabs>
        <w:spacing w:line="240" w:lineRule="auto" w:before="0" w:after="0"/>
        <w:ind w:left="2390" w:right="0" w:hanging="566"/>
        <w:jc w:val="left"/>
        <w:rPr>
          <w:b/>
          <w:sz w:val="18"/>
        </w:rPr>
      </w:pPr>
      <w:r>
        <w:rPr>
          <w:b/>
          <w:sz w:val="18"/>
        </w:rPr>
        <w:t>Property, Plant and Equipment continued</w:t>
      </w:r>
    </w:p>
    <w:p>
      <w:pPr>
        <w:pStyle w:val="BodyText"/>
        <w:spacing w:before="11"/>
        <w:rPr>
          <w:b/>
          <w:sz w:val="24"/>
        </w:rPr>
      </w:pPr>
    </w:p>
    <w:p>
      <w:pPr>
        <w:pStyle w:val="BodyText"/>
        <w:ind w:left="2390" w:right="1674"/>
        <w:jc w:val="both"/>
      </w:pPr>
      <w:bookmarkStart w:name="(q) Intangible Assets" w:id="201"/>
      <w:bookmarkEnd w:id="201"/>
      <w:r>
        <w:rPr/>
      </w:r>
      <w:r>
        <w:rPr/>
        <w:t>Gains</w:t>
      </w:r>
      <w:r>
        <w:rPr>
          <w:spacing w:val="-6"/>
        </w:rPr>
        <w:t> </w:t>
      </w:r>
      <w:r>
        <w:rPr/>
        <w:t>and</w:t>
      </w:r>
      <w:r>
        <w:rPr>
          <w:spacing w:val="-6"/>
        </w:rPr>
        <w:t> </w:t>
      </w:r>
      <w:r>
        <w:rPr/>
        <w:t>losses</w:t>
      </w:r>
      <w:r>
        <w:rPr>
          <w:spacing w:val="-6"/>
        </w:rPr>
        <w:t> </w:t>
      </w:r>
      <w:r>
        <w:rPr/>
        <w:t>on</w:t>
      </w:r>
      <w:r>
        <w:rPr>
          <w:spacing w:val="-6"/>
        </w:rPr>
        <w:t> </w:t>
      </w:r>
      <w:r>
        <w:rPr/>
        <w:t>disposals</w:t>
      </w:r>
      <w:r>
        <w:rPr>
          <w:spacing w:val="-6"/>
        </w:rPr>
        <w:t> </w:t>
      </w:r>
      <w:r>
        <w:rPr/>
        <w:t>are</w:t>
      </w:r>
      <w:r>
        <w:rPr>
          <w:spacing w:val="-6"/>
        </w:rPr>
        <w:t> </w:t>
      </w:r>
      <w:r>
        <w:rPr/>
        <w:t>determined</w:t>
      </w:r>
      <w:r>
        <w:rPr>
          <w:spacing w:val="-6"/>
        </w:rPr>
        <w:t> </w:t>
      </w:r>
      <w:r>
        <w:rPr/>
        <w:t>by</w:t>
      </w:r>
      <w:r>
        <w:rPr>
          <w:spacing w:val="-6"/>
        </w:rPr>
        <w:t> </w:t>
      </w:r>
      <w:r>
        <w:rPr/>
        <w:t>comparing</w:t>
      </w:r>
      <w:r>
        <w:rPr>
          <w:spacing w:val="-6"/>
        </w:rPr>
        <w:t> </w:t>
      </w:r>
      <w:r>
        <w:rPr/>
        <w:t>proceeds</w:t>
      </w:r>
      <w:r>
        <w:rPr>
          <w:spacing w:val="-6"/>
        </w:rPr>
        <w:t> </w:t>
      </w:r>
      <w:r>
        <w:rPr/>
        <w:t>with</w:t>
      </w:r>
      <w:r>
        <w:rPr>
          <w:spacing w:val="-6"/>
        </w:rPr>
        <w:t> </w:t>
      </w:r>
      <w:r>
        <w:rPr/>
        <w:t>the</w:t>
      </w:r>
      <w:r>
        <w:rPr>
          <w:spacing w:val="-6"/>
        </w:rPr>
        <w:t> </w:t>
      </w:r>
      <w:r>
        <w:rPr/>
        <w:t>carrying</w:t>
      </w:r>
      <w:r>
        <w:rPr>
          <w:spacing w:val="-6"/>
        </w:rPr>
        <w:t> </w:t>
      </w:r>
      <w:r>
        <w:rPr/>
        <w:t>amount.</w:t>
      </w:r>
      <w:r>
        <w:rPr>
          <w:spacing w:val="-6"/>
        </w:rPr>
        <w:t> </w:t>
      </w:r>
      <w:r>
        <w:rPr/>
        <w:t>These</w:t>
      </w:r>
      <w:r>
        <w:rPr>
          <w:spacing w:val="-6"/>
        </w:rPr>
        <w:t> </w:t>
      </w:r>
      <w:r>
        <w:rPr/>
        <w:t>gains and</w:t>
      </w:r>
      <w:r>
        <w:rPr>
          <w:spacing w:val="-6"/>
        </w:rPr>
        <w:t> </w:t>
      </w:r>
      <w:r>
        <w:rPr/>
        <w:t>losses</w:t>
      </w:r>
      <w:r>
        <w:rPr>
          <w:spacing w:val="-6"/>
        </w:rPr>
        <w:t> </w:t>
      </w:r>
      <w:r>
        <w:rPr/>
        <w:t>are</w:t>
      </w:r>
      <w:r>
        <w:rPr>
          <w:spacing w:val="-6"/>
        </w:rPr>
        <w:t> </w:t>
      </w:r>
      <w:r>
        <w:rPr/>
        <w:t>included</w:t>
      </w:r>
      <w:r>
        <w:rPr>
          <w:spacing w:val="-6"/>
        </w:rPr>
        <w:t> </w:t>
      </w:r>
      <w:r>
        <w:rPr/>
        <w:t>in</w:t>
      </w:r>
      <w:r>
        <w:rPr>
          <w:spacing w:val="-6"/>
        </w:rPr>
        <w:t> </w:t>
      </w:r>
      <w:r>
        <w:rPr/>
        <w:t>the</w:t>
      </w:r>
      <w:r>
        <w:rPr>
          <w:spacing w:val="-5"/>
        </w:rPr>
        <w:t> </w:t>
      </w:r>
      <w:r>
        <w:rPr/>
        <w:t>statement</w:t>
      </w:r>
      <w:r>
        <w:rPr>
          <w:spacing w:val="-6"/>
        </w:rPr>
        <w:t> </w:t>
      </w:r>
      <w:r>
        <w:rPr/>
        <w:t>of</w:t>
      </w:r>
      <w:r>
        <w:rPr>
          <w:spacing w:val="-6"/>
        </w:rPr>
        <w:t> </w:t>
      </w:r>
      <w:r>
        <w:rPr/>
        <w:t>comprehensive</w:t>
      </w:r>
      <w:r>
        <w:rPr>
          <w:spacing w:val="-6"/>
        </w:rPr>
        <w:t> </w:t>
      </w:r>
      <w:r>
        <w:rPr/>
        <w:t>income.</w:t>
      </w:r>
      <w:r>
        <w:rPr>
          <w:spacing w:val="-6"/>
        </w:rPr>
        <w:t> </w:t>
      </w:r>
      <w:r>
        <w:rPr/>
        <w:t>When</w:t>
      </w:r>
      <w:r>
        <w:rPr>
          <w:spacing w:val="-6"/>
        </w:rPr>
        <w:t> </w:t>
      </w:r>
      <w:r>
        <w:rPr/>
        <w:t>revalued</w:t>
      </w:r>
      <w:r>
        <w:rPr>
          <w:spacing w:val="-6"/>
        </w:rPr>
        <w:t> </w:t>
      </w:r>
      <w:r>
        <w:rPr/>
        <w:t>assets</w:t>
      </w:r>
      <w:r>
        <w:rPr>
          <w:spacing w:val="-6"/>
        </w:rPr>
        <w:t> </w:t>
      </w:r>
      <w:r>
        <w:rPr/>
        <w:t>are</w:t>
      </w:r>
      <w:r>
        <w:rPr>
          <w:spacing w:val="-6"/>
        </w:rPr>
        <w:t> </w:t>
      </w:r>
      <w:r>
        <w:rPr/>
        <w:t>sold,</w:t>
      </w:r>
      <w:r>
        <w:rPr>
          <w:spacing w:val="-6"/>
        </w:rPr>
        <w:t> </w:t>
      </w:r>
      <w:r>
        <w:rPr/>
        <w:t>amounts included</w:t>
      </w:r>
      <w:r>
        <w:rPr>
          <w:spacing w:val="-7"/>
        </w:rPr>
        <w:t> </w:t>
      </w:r>
      <w:r>
        <w:rPr/>
        <w:t>in</w:t>
      </w:r>
      <w:r>
        <w:rPr>
          <w:spacing w:val="-7"/>
        </w:rPr>
        <w:t> </w:t>
      </w:r>
      <w:r>
        <w:rPr/>
        <w:t>the</w:t>
      </w:r>
      <w:r>
        <w:rPr>
          <w:spacing w:val="-7"/>
        </w:rPr>
        <w:t> </w:t>
      </w:r>
      <w:r>
        <w:rPr/>
        <w:t>revaluation</w:t>
      </w:r>
      <w:r>
        <w:rPr>
          <w:spacing w:val="-7"/>
        </w:rPr>
        <w:t> </w:t>
      </w:r>
      <w:r>
        <w:rPr/>
        <w:t>reserve</w:t>
      </w:r>
      <w:r>
        <w:rPr>
          <w:spacing w:val="-7"/>
        </w:rPr>
        <w:t> </w:t>
      </w:r>
      <w:r>
        <w:rPr/>
        <w:t>relating</w:t>
      </w:r>
      <w:r>
        <w:rPr>
          <w:spacing w:val="-7"/>
        </w:rPr>
        <w:t> </w:t>
      </w:r>
      <w:r>
        <w:rPr/>
        <w:t>to</w:t>
      </w:r>
      <w:r>
        <w:rPr>
          <w:spacing w:val="-7"/>
        </w:rPr>
        <w:t> </w:t>
      </w:r>
      <w:r>
        <w:rPr/>
        <w:t>that</w:t>
      </w:r>
      <w:r>
        <w:rPr>
          <w:spacing w:val="-7"/>
        </w:rPr>
        <w:t> </w:t>
      </w:r>
      <w:r>
        <w:rPr/>
        <w:t>asset</w:t>
      </w:r>
      <w:r>
        <w:rPr>
          <w:spacing w:val="-7"/>
        </w:rPr>
        <w:t> </w:t>
      </w:r>
      <w:r>
        <w:rPr/>
        <w:t>are</w:t>
      </w:r>
      <w:r>
        <w:rPr>
          <w:spacing w:val="-7"/>
        </w:rPr>
        <w:t> </w:t>
      </w:r>
      <w:r>
        <w:rPr/>
        <w:t>transferred</w:t>
      </w:r>
      <w:r>
        <w:rPr>
          <w:spacing w:val="-7"/>
        </w:rPr>
        <w:t> </w:t>
      </w:r>
      <w:r>
        <w:rPr/>
        <w:t>to</w:t>
      </w:r>
      <w:r>
        <w:rPr>
          <w:spacing w:val="-7"/>
        </w:rPr>
        <w:t> </w:t>
      </w:r>
      <w:r>
        <w:rPr/>
        <w:t>retained</w:t>
      </w:r>
      <w:r>
        <w:rPr>
          <w:spacing w:val="-7"/>
        </w:rPr>
        <w:t> </w:t>
      </w:r>
      <w:r>
        <w:rPr/>
        <w:t>earnings.</w:t>
      </w:r>
    </w:p>
    <w:p>
      <w:pPr>
        <w:pStyle w:val="BodyText"/>
        <w:spacing w:before="11"/>
        <w:rPr>
          <w:sz w:val="24"/>
        </w:rPr>
      </w:pPr>
    </w:p>
    <w:p>
      <w:pPr>
        <w:pStyle w:val="Heading8"/>
        <w:numPr>
          <w:ilvl w:val="0"/>
          <w:numId w:val="47"/>
        </w:numPr>
        <w:tabs>
          <w:tab w:pos="2391" w:val="left" w:leader="none"/>
        </w:tabs>
        <w:spacing w:line="240" w:lineRule="auto" w:before="0" w:after="0"/>
        <w:ind w:left="2390" w:right="0" w:hanging="566"/>
        <w:jc w:val="left"/>
      </w:pPr>
      <w:r>
        <w:rPr/>
        <w:t>Intangible</w:t>
      </w:r>
      <w:r>
        <w:rPr>
          <w:spacing w:val="-11"/>
        </w:rPr>
        <w:t> </w:t>
      </w:r>
      <w:r>
        <w:rPr/>
        <w:t>Assets</w:t>
      </w:r>
    </w:p>
    <w:p>
      <w:pPr>
        <w:pStyle w:val="BodyText"/>
        <w:spacing w:before="7"/>
        <w:rPr>
          <w:b/>
          <w:sz w:val="26"/>
        </w:rPr>
      </w:pPr>
    </w:p>
    <w:p>
      <w:pPr>
        <w:spacing w:before="0"/>
        <w:ind w:left="2390" w:right="0" w:firstLine="0"/>
        <w:jc w:val="left"/>
        <w:rPr>
          <w:b/>
          <w:sz w:val="18"/>
        </w:rPr>
      </w:pPr>
      <w:r>
        <w:rPr>
          <w:b/>
          <w:sz w:val="18"/>
        </w:rPr>
        <w:t>Development costs of Online Teaching Units</w:t>
      </w:r>
    </w:p>
    <w:p>
      <w:pPr>
        <w:pStyle w:val="BodyText"/>
        <w:spacing w:before="4"/>
        <w:rPr>
          <w:b/>
          <w:sz w:val="25"/>
        </w:rPr>
      </w:pPr>
    </w:p>
    <w:p>
      <w:pPr>
        <w:pStyle w:val="BodyText"/>
        <w:ind w:left="2390" w:right="1375"/>
      </w:pPr>
      <w:r>
        <w:rPr/>
        <w:t>Costs directly attributable to the development of online teaching units are capitalised as intangible assets only when technical feasibility of the project is demonstrated, the Company has the intention and ability to complete and use the online units and the costs can be measured reliably. Such costs include the purchases of materials and services and payroll-related costs of employees directly involved in the project. Research costs are recognised as an expense when incurred.</w:t>
      </w:r>
    </w:p>
    <w:p>
      <w:pPr>
        <w:pStyle w:val="BodyText"/>
        <w:spacing w:before="11"/>
        <w:rPr>
          <w:sz w:val="24"/>
        </w:rPr>
      </w:pPr>
    </w:p>
    <w:p>
      <w:pPr>
        <w:pStyle w:val="BodyText"/>
        <w:ind w:left="2390"/>
      </w:pPr>
      <w:r>
        <w:rPr/>
        <w:t>Costs associated with the development of online teaching units are captured initially as Work in Progress (WIP).</w:t>
      </w:r>
    </w:p>
    <w:p>
      <w:pPr>
        <w:pStyle w:val="BodyText"/>
        <w:spacing w:before="11"/>
        <w:rPr>
          <w:sz w:val="24"/>
        </w:rPr>
      </w:pPr>
    </w:p>
    <w:p>
      <w:pPr>
        <w:pStyle w:val="Heading8"/>
        <w:ind w:left="2390"/>
      </w:pPr>
      <w:r>
        <w:rPr/>
        <w:t>Amortisation</w:t>
      </w:r>
    </w:p>
    <w:p>
      <w:pPr>
        <w:pStyle w:val="BodyText"/>
        <w:spacing w:before="11"/>
        <w:rPr>
          <w:b/>
          <w:sz w:val="24"/>
        </w:rPr>
      </w:pPr>
    </w:p>
    <w:p>
      <w:pPr>
        <w:pStyle w:val="BodyText"/>
        <w:ind w:left="2390" w:right="1375"/>
      </w:pPr>
      <w:r>
        <w:rPr/>
        <w:drawing>
          <wp:anchor distT="0" distB="0" distL="0" distR="0" allowOverlap="1" layoutInCell="1" locked="0" behindDoc="0" simplePos="0" relativeHeight="7960">
            <wp:simplePos x="0" y="0"/>
            <wp:positionH relativeFrom="page">
              <wp:posOffset>-1587</wp:posOffset>
            </wp:positionH>
            <wp:positionV relativeFrom="paragraph">
              <wp:posOffset>-24461</wp:posOffset>
            </wp:positionV>
            <wp:extent cx="136525" cy="155575"/>
            <wp:effectExtent l="0" t="0" r="0" b="0"/>
            <wp:wrapNone/>
            <wp:docPr id="535" name="image13.png" descr=""/>
            <wp:cNvGraphicFramePr>
              <a:graphicFrameLocks noChangeAspect="1"/>
            </wp:cNvGraphicFramePr>
            <a:graphic>
              <a:graphicData uri="http://schemas.openxmlformats.org/drawingml/2006/picture">
                <pic:pic>
                  <pic:nvPicPr>
                    <pic:cNvPr id="536" name="image13.png"/>
                    <pic:cNvPicPr/>
                  </pic:nvPicPr>
                  <pic:blipFill>
                    <a:blip r:embed="rId18" cstate="print"/>
                    <a:stretch>
                      <a:fillRect/>
                    </a:stretch>
                  </pic:blipFill>
                  <pic:spPr>
                    <a:xfrm>
                      <a:off x="0" y="0"/>
                      <a:ext cx="136525" cy="155575"/>
                    </a:xfrm>
                    <a:prstGeom prst="rect">
                      <a:avLst/>
                    </a:prstGeom>
                  </pic:spPr>
                </pic:pic>
              </a:graphicData>
            </a:graphic>
          </wp:anchor>
        </w:drawing>
      </w:r>
      <w:r>
        <w:rPr/>
        <w:drawing>
          <wp:anchor distT="0" distB="0" distL="0" distR="0" allowOverlap="1" layoutInCell="1" locked="0" behindDoc="0" simplePos="0" relativeHeight="7984">
            <wp:simplePos x="0" y="0"/>
            <wp:positionH relativeFrom="page">
              <wp:posOffset>7958429</wp:posOffset>
            </wp:positionH>
            <wp:positionV relativeFrom="paragraph">
              <wp:posOffset>-24461</wp:posOffset>
            </wp:positionV>
            <wp:extent cx="135953" cy="155575"/>
            <wp:effectExtent l="0" t="0" r="0" b="0"/>
            <wp:wrapNone/>
            <wp:docPr id="537" name="image15.png" descr=""/>
            <wp:cNvGraphicFramePr>
              <a:graphicFrameLocks noChangeAspect="1"/>
            </wp:cNvGraphicFramePr>
            <a:graphic>
              <a:graphicData uri="http://schemas.openxmlformats.org/drawingml/2006/picture">
                <pic:pic>
                  <pic:nvPicPr>
                    <pic:cNvPr id="538" name="image15.png"/>
                    <pic:cNvPicPr/>
                  </pic:nvPicPr>
                  <pic:blipFill>
                    <a:blip r:embed="rId20" cstate="print"/>
                    <a:stretch>
                      <a:fillRect/>
                    </a:stretch>
                  </pic:blipFill>
                  <pic:spPr>
                    <a:xfrm>
                      <a:off x="0" y="0"/>
                      <a:ext cx="135953" cy="155575"/>
                    </a:xfrm>
                    <a:prstGeom prst="rect">
                      <a:avLst/>
                    </a:prstGeom>
                  </pic:spPr>
                </pic:pic>
              </a:graphicData>
            </a:graphic>
          </wp:anchor>
        </w:drawing>
      </w:r>
      <w:r>
        <w:rPr/>
        <w:t>Total costs captured for the units will be transferred from WIP to Intangible Asset upon completion of the development.</w:t>
      </w:r>
    </w:p>
    <w:p>
      <w:pPr>
        <w:pStyle w:val="BodyText"/>
        <w:spacing w:before="11"/>
        <w:rPr>
          <w:sz w:val="24"/>
        </w:rPr>
      </w:pPr>
    </w:p>
    <w:p>
      <w:pPr>
        <w:pStyle w:val="BodyText"/>
        <w:ind w:left="2390" w:right="1375"/>
      </w:pPr>
      <w:bookmarkStart w:name="(r) Royalties" w:id="202"/>
      <w:bookmarkEnd w:id="202"/>
      <w:r>
        <w:rPr/>
      </w:r>
      <w:r>
        <w:rPr/>
        <w:t>Amortisation will commence when teaching of the units commences. Amortisation period will be two years on a straight line basis.</w:t>
      </w:r>
    </w:p>
    <w:p>
      <w:pPr>
        <w:pStyle w:val="BodyText"/>
        <w:spacing w:before="11"/>
        <w:rPr>
          <w:sz w:val="24"/>
        </w:rPr>
      </w:pPr>
    </w:p>
    <w:p>
      <w:pPr>
        <w:pStyle w:val="Heading8"/>
        <w:numPr>
          <w:ilvl w:val="0"/>
          <w:numId w:val="47"/>
        </w:numPr>
        <w:tabs>
          <w:tab w:pos="2391" w:val="left" w:leader="none"/>
        </w:tabs>
        <w:spacing w:line="240" w:lineRule="auto" w:before="0" w:after="0"/>
        <w:ind w:left="2390" w:right="0" w:hanging="566"/>
        <w:jc w:val="left"/>
      </w:pPr>
      <w:r>
        <w:rPr/>
        <w:t>Royalties</w:t>
      </w:r>
    </w:p>
    <w:p>
      <w:pPr>
        <w:pStyle w:val="BodyText"/>
        <w:spacing w:before="11"/>
        <w:rPr>
          <w:b/>
          <w:sz w:val="24"/>
        </w:rPr>
      </w:pPr>
    </w:p>
    <w:p>
      <w:pPr>
        <w:pStyle w:val="BodyText"/>
        <w:ind w:left="2390" w:right="1407"/>
      </w:pPr>
      <w:r>
        <w:rPr/>
        <w:t>Royalties are due by the Company for its access to the parent entity's intellectual property, infrastructure, </w:t>
      </w:r>
      <w:bookmarkStart w:name="(s) Income Tax" w:id="203"/>
      <w:bookmarkEnd w:id="203"/>
      <w:r>
        <w:rPr/>
      </w:r>
      <w:r>
        <w:rPr/>
        <w:t>premises and business services. Royalty is accrued on a monthly basis based on budgeted and forecasted total revenue for the related period and is effected by an intercompany transfer. Adjustment is made at the end of each financial year to reflect the agreed final contribution for the year.</w:t>
      </w:r>
    </w:p>
    <w:p>
      <w:pPr>
        <w:pStyle w:val="BodyText"/>
        <w:spacing w:before="11"/>
        <w:rPr>
          <w:sz w:val="24"/>
        </w:rPr>
      </w:pPr>
    </w:p>
    <w:p>
      <w:pPr>
        <w:pStyle w:val="Heading8"/>
        <w:numPr>
          <w:ilvl w:val="0"/>
          <w:numId w:val="47"/>
        </w:numPr>
        <w:tabs>
          <w:tab w:pos="2391" w:val="left" w:leader="none"/>
        </w:tabs>
        <w:spacing w:line="240" w:lineRule="auto" w:before="0" w:after="0"/>
        <w:ind w:left="2390" w:right="0" w:hanging="566"/>
        <w:jc w:val="left"/>
      </w:pPr>
      <w:r>
        <w:rPr/>
        <w:t>Income Tax</w:t>
      </w:r>
    </w:p>
    <w:p>
      <w:pPr>
        <w:pStyle w:val="BodyText"/>
        <w:spacing w:before="11"/>
        <w:rPr>
          <w:b/>
          <w:sz w:val="24"/>
        </w:rPr>
      </w:pPr>
    </w:p>
    <w:p>
      <w:pPr>
        <w:pStyle w:val="BodyText"/>
        <w:ind w:left="2390" w:right="1375"/>
      </w:pPr>
      <w:r>
        <w:rPr/>
        <w:t>The Company is exempt from the payment of tax by virtue of section 50-5 of the </w:t>
      </w:r>
      <w:r>
        <w:rPr>
          <w:i/>
        </w:rPr>
        <w:t>Income Tax Assessment Act </w:t>
      </w:r>
      <w:r>
        <w:rPr>
          <w:i/>
        </w:rPr>
        <w:t>1997</w:t>
      </w:r>
      <w:r>
        <w:rPr/>
        <w:t>. Accordingly, no provision for income tax liability or future income tax benefit has been included in the accounts.</w:t>
      </w:r>
    </w:p>
    <w:p>
      <w:pPr>
        <w:spacing w:after="0"/>
        <w:sectPr>
          <w:pgSz w:w="12750" w:h="17680"/>
          <w:pgMar w:header="0" w:footer="867" w:top="1880" w:bottom="1120" w:left="0" w:right="0"/>
        </w:sectPr>
      </w:pPr>
    </w:p>
    <w:p>
      <w:pPr>
        <w:pStyle w:val="BodyText"/>
        <w:spacing w:before="2"/>
        <w:rPr>
          <w:sz w:val="24"/>
        </w:rPr>
      </w:pPr>
      <w:r>
        <w:rPr/>
        <w:drawing>
          <wp:anchor distT="0" distB="0" distL="0" distR="0" allowOverlap="1" layoutInCell="1" locked="0" behindDoc="0" simplePos="0" relativeHeight="8008">
            <wp:simplePos x="0" y="0"/>
            <wp:positionH relativeFrom="page">
              <wp:posOffset>-1587</wp:posOffset>
            </wp:positionH>
            <wp:positionV relativeFrom="page">
              <wp:posOffset>5534342</wp:posOffset>
            </wp:positionV>
            <wp:extent cx="135159" cy="154019"/>
            <wp:effectExtent l="0" t="0" r="0" b="0"/>
            <wp:wrapNone/>
            <wp:docPr id="539" name="image13.png" descr=""/>
            <wp:cNvGraphicFramePr>
              <a:graphicFrameLocks noChangeAspect="1"/>
            </wp:cNvGraphicFramePr>
            <a:graphic>
              <a:graphicData uri="http://schemas.openxmlformats.org/drawingml/2006/picture">
                <pic:pic>
                  <pic:nvPicPr>
                    <pic:cNvPr id="540" name="image13.png"/>
                    <pic:cNvPicPr/>
                  </pic:nvPicPr>
                  <pic:blipFill>
                    <a:blip r:embed="rId18" cstate="print"/>
                    <a:stretch>
                      <a:fillRect/>
                    </a:stretch>
                  </pic:blipFill>
                  <pic:spPr>
                    <a:xfrm>
                      <a:off x="0" y="0"/>
                      <a:ext cx="135159" cy="154019"/>
                    </a:xfrm>
                    <a:prstGeom prst="rect">
                      <a:avLst/>
                    </a:prstGeom>
                  </pic:spPr>
                </pic:pic>
              </a:graphicData>
            </a:graphic>
          </wp:anchor>
        </w:drawing>
      </w:r>
      <w:r>
        <w:rPr/>
        <w:drawing>
          <wp:anchor distT="0" distB="0" distL="0" distR="0" allowOverlap="1" layoutInCell="1" locked="0" behindDoc="0" simplePos="0" relativeHeight="8032">
            <wp:simplePos x="0" y="0"/>
            <wp:positionH relativeFrom="page">
              <wp:posOffset>7958429</wp:posOffset>
            </wp:positionH>
            <wp:positionV relativeFrom="page">
              <wp:posOffset>5534342</wp:posOffset>
            </wp:positionV>
            <wp:extent cx="135953" cy="155575"/>
            <wp:effectExtent l="0" t="0" r="0" b="0"/>
            <wp:wrapNone/>
            <wp:docPr id="541" name="image15.png" descr=""/>
            <wp:cNvGraphicFramePr>
              <a:graphicFrameLocks noChangeAspect="1"/>
            </wp:cNvGraphicFramePr>
            <a:graphic>
              <a:graphicData uri="http://schemas.openxmlformats.org/drawingml/2006/picture">
                <pic:pic>
                  <pic:nvPicPr>
                    <pic:cNvPr id="542" name="image15.png"/>
                    <pic:cNvPicPr/>
                  </pic:nvPicPr>
                  <pic:blipFill>
                    <a:blip r:embed="rId20" cstate="print"/>
                    <a:stretch>
                      <a:fillRect/>
                    </a:stretch>
                  </pic:blipFill>
                  <pic:spPr>
                    <a:xfrm>
                      <a:off x="0" y="0"/>
                      <a:ext cx="135953" cy="155575"/>
                    </a:xfrm>
                    <a:prstGeom prst="rect">
                      <a:avLst/>
                    </a:prstGeom>
                  </pic:spPr>
                </pic:pic>
              </a:graphicData>
            </a:graphic>
          </wp:anchor>
        </w:drawing>
      </w:r>
    </w:p>
    <w:p>
      <w:pPr>
        <w:pStyle w:val="Heading4"/>
      </w:pPr>
      <w:r>
        <w:rPr/>
        <w:t>Notes to the Financial Statements</w:t>
      </w:r>
    </w:p>
    <w:p>
      <w:pPr>
        <w:pStyle w:val="Heading7"/>
      </w:pPr>
      <w:bookmarkStart w:name="Cash and cash equivalents" w:id="204"/>
      <w:bookmarkEnd w:id="204"/>
      <w:r>
        <w:rPr>
          <w:b w:val="0"/>
        </w:rPr>
      </w:r>
      <w:r>
        <w:rPr/>
        <w:t>For the Year Ended 31 December 2016</w:t>
      </w:r>
    </w:p>
    <w:p>
      <w:pPr>
        <w:pStyle w:val="BodyText"/>
        <w:rPr>
          <w:b/>
          <w:sz w:val="20"/>
        </w:rPr>
      </w:pPr>
    </w:p>
    <w:p>
      <w:pPr>
        <w:pStyle w:val="BodyText"/>
        <w:rPr>
          <w:b/>
          <w:sz w:val="20"/>
        </w:rPr>
      </w:pPr>
    </w:p>
    <w:p>
      <w:pPr>
        <w:pStyle w:val="BodyText"/>
        <w:spacing w:before="3"/>
        <w:rPr>
          <w:b/>
          <w:sz w:val="11"/>
        </w:rPr>
      </w:pPr>
    </w:p>
    <w:tbl>
      <w:tblPr>
        <w:tblW w:w="0" w:type="auto"/>
        <w:jc w:val="left"/>
        <w:tblInd w:w="139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82"/>
        <w:gridCol w:w="6156"/>
        <w:gridCol w:w="2177"/>
        <w:gridCol w:w="1336"/>
      </w:tblGrid>
      <w:tr>
        <w:trPr>
          <w:trHeight w:val="567" w:hRule="exact"/>
        </w:trPr>
        <w:tc>
          <w:tcPr>
            <w:tcW w:w="282" w:type="dxa"/>
          </w:tcPr>
          <w:p>
            <w:pPr>
              <w:pStyle w:val="TableParagraph"/>
              <w:spacing w:before="77"/>
              <w:ind w:left="35"/>
              <w:jc w:val="left"/>
              <w:rPr>
                <w:b/>
                <w:sz w:val="18"/>
              </w:rPr>
            </w:pPr>
            <w:r>
              <w:rPr>
                <w:b/>
                <w:w w:val="99"/>
                <w:sz w:val="18"/>
              </w:rPr>
              <w:t>2</w:t>
            </w:r>
          </w:p>
        </w:tc>
        <w:tc>
          <w:tcPr>
            <w:tcW w:w="6156" w:type="dxa"/>
          </w:tcPr>
          <w:p>
            <w:pPr>
              <w:pStyle w:val="TableParagraph"/>
              <w:spacing w:before="77"/>
              <w:ind w:left="148"/>
              <w:jc w:val="left"/>
              <w:rPr>
                <w:b/>
                <w:sz w:val="18"/>
              </w:rPr>
            </w:pPr>
            <w:r>
              <w:rPr>
                <w:b/>
                <w:sz w:val="18"/>
              </w:rPr>
              <w:t>Cash and cash equivalents</w:t>
            </w:r>
          </w:p>
        </w:tc>
        <w:tc>
          <w:tcPr>
            <w:tcW w:w="2177" w:type="dxa"/>
          </w:tcPr>
          <w:p>
            <w:pPr>
              <w:pStyle w:val="TableParagraph"/>
              <w:jc w:val="left"/>
              <w:rPr>
                <w:b/>
                <w:sz w:val="18"/>
              </w:rPr>
            </w:pPr>
          </w:p>
          <w:p>
            <w:pPr>
              <w:pStyle w:val="TableParagraph"/>
              <w:spacing w:before="110"/>
              <w:ind w:left="934" w:right="803"/>
              <w:jc w:val="center"/>
              <w:rPr>
                <w:b/>
                <w:sz w:val="18"/>
              </w:rPr>
            </w:pPr>
            <w:r>
              <w:rPr>
                <w:b/>
                <w:sz w:val="18"/>
              </w:rPr>
              <w:t>2016</w:t>
            </w:r>
          </w:p>
        </w:tc>
        <w:tc>
          <w:tcPr>
            <w:tcW w:w="1336" w:type="dxa"/>
          </w:tcPr>
          <w:p>
            <w:pPr>
              <w:pStyle w:val="TableParagraph"/>
              <w:jc w:val="left"/>
              <w:rPr>
                <w:b/>
                <w:sz w:val="18"/>
              </w:rPr>
            </w:pPr>
          </w:p>
          <w:p>
            <w:pPr>
              <w:pStyle w:val="TableParagraph"/>
              <w:spacing w:before="110"/>
              <w:ind w:left="509"/>
              <w:jc w:val="left"/>
              <w:rPr>
                <w:b/>
                <w:sz w:val="18"/>
              </w:rPr>
            </w:pPr>
            <w:r>
              <w:rPr>
                <w:b/>
                <w:sz w:val="18"/>
              </w:rPr>
              <w:t>2015</w:t>
            </w:r>
          </w:p>
        </w:tc>
      </w:tr>
      <w:tr>
        <w:trPr>
          <w:trHeight w:val="271" w:hRule="exact"/>
        </w:trPr>
        <w:tc>
          <w:tcPr>
            <w:tcW w:w="282" w:type="dxa"/>
          </w:tcPr>
          <w:p>
            <w:pPr/>
          </w:p>
        </w:tc>
        <w:tc>
          <w:tcPr>
            <w:tcW w:w="6156" w:type="dxa"/>
          </w:tcPr>
          <w:p>
            <w:pPr/>
          </w:p>
        </w:tc>
        <w:tc>
          <w:tcPr>
            <w:tcW w:w="2177" w:type="dxa"/>
          </w:tcPr>
          <w:p>
            <w:pPr>
              <w:pStyle w:val="TableParagraph"/>
              <w:spacing w:before="24"/>
              <w:ind w:left="334"/>
              <w:jc w:val="center"/>
              <w:rPr>
                <w:b/>
                <w:sz w:val="18"/>
              </w:rPr>
            </w:pPr>
            <w:r>
              <w:rPr>
                <w:b/>
                <w:w w:val="99"/>
                <w:sz w:val="18"/>
              </w:rPr>
              <w:t>$</w:t>
            </w:r>
          </w:p>
        </w:tc>
        <w:tc>
          <w:tcPr>
            <w:tcW w:w="1336" w:type="dxa"/>
          </w:tcPr>
          <w:p>
            <w:pPr>
              <w:pStyle w:val="TableParagraph"/>
              <w:spacing w:before="24"/>
              <w:ind w:left="284"/>
              <w:jc w:val="center"/>
              <w:rPr>
                <w:b/>
                <w:sz w:val="18"/>
              </w:rPr>
            </w:pPr>
            <w:r>
              <w:rPr>
                <w:b/>
                <w:w w:val="99"/>
                <w:sz w:val="18"/>
              </w:rPr>
              <w:t>$</w:t>
            </w:r>
          </w:p>
        </w:tc>
      </w:tr>
      <w:tr>
        <w:trPr>
          <w:trHeight w:val="267" w:hRule="exact"/>
        </w:trPr>
        <w:tc>
          <w:tcPr>
            <w:tcW w:w="282" w:type="dxa"/>
          </w:tcPr>
          <w:p>
            <w:pPr/>
          </w:p>
        </w:tc>
        <w:tc>
          <w:tcPr>
            <w:tcW w:w="6156" w:type="dxa"/>
          </w:tcPr>
          <w:p>
            <w:pPr>
              <w:pStyle w:val="TableParagraph"/>
              <w:spacing w:before="22"/>
              <w:ind w:left="148"/>
              <w:jc w:val="left"/>
              <w:rPr>
                <w:sz w:val="18"/>
              </w:rPr>
            </w:pPr>
            <w:r>
              <w:rPr>
                <w:sz w:val="18"/>
              </w:rPr>
              <w:t>Cash at bank and in hand</w:t>
            </w:r>
          </w:p>
        </w:tc>
        <w:tc>
          <w:tcPr>
            <w:tcW w:w="2177" w:type="dxa"/>
          </w:tcPr>
          <w:p>
            <w:pPr>
              <w:pStyle w:val="TableParagraph"/>
              <w:spacing w:before="21"/>
              <w:ind w:right="507"/>
              <w:rPr>
                <w:b/>
                <w:sz w:val="18"/>
              </w:rPr>
            </w:pPr>
            <w:r>
              <w:rPr>
                <w:b/>
                <w:w w:val="95"/>
                <w:sz w:val="18"/>
              </w:rPr>
              <w:t>886,197</w:t>
            </w:r>
          </w:p>
        </w:tc>
        <w:tc>
          <w:tcPr>
            <w:tcW w:w="1336" w:type="dxa"/>
          </w:tcPr>
          <w:p>
            <w:pPr>
              <w:pStyle w:val="TableParagraph"/>
              <w:spacing w:before="21"/>
              <w:ind w:right="86"/>
              <w:rPr>
                <w:sz w:val="18"/>
              </w:rPr>
            </w:pPr>
            <w:r>
              <w:rPr>
                <w:w w:val="95"/>
                <w:sz w:val="18"/>
              </w:rPr>
              <w:t>283,509</w:t>
            </w:r>
          </w:p>
        </w:tc>
      </w:tr>
      <w:tr>
        <w:trPr>
          <w:trHeight w:val="262" w:hRule="exact"/>
        </w:trPr>
        <w:tc>
          <w:tcPr>
            <w:tcW w:w="282" w:type="dxa"/>
          </w:tcPr>
          <w:p>
            <w:pPr/>
          </w:p>
        </w:tc>
        <w:tc>
          <w:tcPr>
            <w:tcW w:w="6156" w:type="dxa"/>
          </w:tcPr>
          <w:p>
            <w:pPr>
              <w:pStyle w:val="TableParagraph"/>
              <w:spacing w:before="19"/>
              <w:ind w:left="148"/>
              <w:jc w:val="left"/>
              <w:rPr>
                <w:sz w:val="18"/>
              </w:rPr>
            </w:pPr>
            <w:bookmarkStart w:name="Reconciliation of cash" w:id="205"/>
            <w:bookmarkEnd w:id="205"/>
            <w:r>
              <w:rPr/>
            </w:r>
            <w:r>
              <w:rPr>
                <w:sz w:val="18"/>
              </w:rPr>
              <w:t>TCorp Hour-Glass Investment Facility</w:t>
            </w:r>
          </w:p>
        </w:tc>
        <w:tc>
          <w:tcPr>
            <w:tcW w:w="2177" w:type="dxa"/>
            <w:tcBorders>
              <w:bottom w:val="single" w:sz="0" w:space="0" w:color="000000"/>
            </w:tcBorders>
          </w:tcPr>
          <w:p>
            <w:pPr>
              <w:pStyle w:val="TableParagraph"/>
              <w:spacing w:before="18"/>
              <w:ind w:right="507"/>
              <w:rPr>
                <w:b/>
                <w:sz w:val="18"/>
              </w:rPr>
            </w:pPr>
            <w:r>
              <w:rPr>
                <w:b/>
                <w:w w:val="95"/>
                <w:sz w:val="18"/>
              </w:rPr>
              <w:t>222,861</w:t>
            </w:r>
          </w:p>
        </w:tc>
        <w:tc>
          <w:tcPr>
            <w:tcW w:w="1336" w:type="dxa"/>
            <w:tcBorders>
              <w:bottom w:val="single" w:sz="0" w:space="0" w:color="000000"/>
            </w:tcBorders>
          </w:tcPr>
          <w:p>
            <w:pPr>
              <w:pStyle w:val="TableParagraph"/>
              <w:spacing w:before="18"/>
              <w:ind w:right="86"/>
              <w:rPr>
                <w:sz w:val="18"/>
              </w:rPr>
            </w:pPr>
            <w:r>
              <w:rPr>
                <w:w w:val="95"/>
                <w:sz w:val="18"/>
              </w:rPr>
              <w:t>412,862</w:t>
            </w:r>
          </w:p>
        </w:tc>
      </w:tr>
      <w:tr>
        <w:trPr>
          <w:trHeight w:val="353" w:hRule="exact"/>
        </w:trPr>
        <w:tc>
          <w:tcPr>
            <w:tcW w:w="282" w:type="dxa"/>
          </w:tcPr>
          <w:p>
            <w:pPr/>
          </w:p>
        </w:tc>
        <w:tc>
          <w:tcPr>
            <w:tcW w:w="6156" w:type="dxa"/>
          </w:tcPr>
          <w:p>
            <w:pPr>
              <w:pStyle w:val="TableParagraph"/>
              <w:spacing w:before="123"/>
              <w:ind w:left="148"/>
              <w:jc w:val="left"/>
              <w:rPr>
                <w:sz w:val="18"/>
              </w:rPr>
            </w:pPr>
            <w:r>
              <w:rPr>
                <w:sz w:val="18"/>
              </w:rPr>
              <w:t>Total cash and cash equivalents</w:t>
            </w:r>
          </w:p>
        </w:tc>
        <w:tc>
          <w:tcPr>
            <w:tcW w:w="2177" w:type="dxa"/>
            <w:tcBorders>
              <w:top w:val="single" w:sz="0" w:space="0" w:color="000000"/>
              <w:bottom w:val="single" w:sz="0" w:space="0" w:color="000000"/>
            </w:tcBorders>
          </w:tcPr>
          <w:p>
            <w:pPr>
              <w:pStyle w:val="TableParagraph"/>
              <w:spacing w:before="122"/>
              <w:ind w:right="507"/>
              <w:rPr>
                <w:b/>
                <w:sz w:val="18"/>
              </w:rPr>
            </w:pPr>
            <w:r>
              <w:rPr>
                <w:b/>
                <w:w w:val="95"/>
                <w:sz w:val="18"/>
              </w:rPr>
              <w:t>1,109,058</w:t>
            </w:r>
          </w:p>
        </w:tc>
        <w:tc>
          <w:tcPr>
            <w:tcW w:w="1336" w:type="dxa"/>
            <w:tcBorders>
              <w:top w:val="single" w:sz="0" w:space="0" w:color="000000"/>
              <w:bottom w:val="single" w:sz="0" w:space="0" w:color="000000"/>
            </w:tcBorders>
          </w:tcPr>
          <w:p>
            <w:pPr>
              <w:pStyle w:val="TableParagraph"/>
              <w:spacing w:before="122"/>
              <w:ind w:right="86"/>
              <w:rPr>
                <w:sz w:val="18"/>
              </w:rPr>
            </w:pPr>
            <w:r>
              <w:rPr>
                <w:w w:val="95"/>
                <w:sz w:val="18"/>
              </w:rPr>
              <w:t>696,371</w:t>
            </w:r>
          </w:p>
        </w:tc>
      </w:tr>
      <w:tr>
        <w:trPr>
          <w:trHeight w:val="636" w:hRule="exact"/>
        </w:trPr>
        <w:tc>
          <w:tcPr>
            <w:tcW w:w="282" w:type="dxa"/>
          </w:tcPr>
          <w:p>
            <w:pPr/>
          </w:p>
        </w:tc>
        <w:tc>
          <w:tcPr>
            <w:tcW w:w="6156" w:type="dxa"/>
          </w:tcPr>
          <w:p>
            <w:pPr>
              <w:pStyle w:val="TableParagraph"/>
              <w:jc w:val="left"/>
              <w:rPr>
                <w:b/>
                <w:sz w:val="18"/>
              </w:rPr>
            </w:pPr>
          </w:p>
          <w:p>
            <w:pPr>
              <w:pStyle w:val="TableParagraph"/>
              <w:spacing w:before="125"/>
              <w:ind w:left="147"/>
              <w:jc w:val="left"/>
              <w:rPr>
                <w:b/>
                <w:sz w:val="18"/>
              </w:rPr>
            </w:pPr>
            <w:r>
              <w:rPr>
                <w:b/>
                <w:sz w:val="18"/>
              </w:rPr>
              <w:t>Reconciliation of cash</w:t>
            </w:r>
          </w:p>
        </w:tc>
        <w:tc>
          <w:tcPr>
            <w:tcW w:w="2177" w:type="dxa"/>
            <w:tcBorders>
              <w:top w:val="single" w:sz="0" w:space="0" w:color="000000"/>
            </w:tcBorders>
          </w:tcPr>
          <w:p>
            <w:pPr/>
          </w:p>
        </w:tc>
        <w:tc>
          <w:tcPr>
            <w:tcW w:w="1336" w:type="dxa"/>
            <w:tcBorders>
              <w:top w:val="single" w:sz="0" w:space="0" w:color="000000"/>
            </w:tcBorders>
          </w:tcPr>
          <w:p>
            <w:pPr/>
          </w:p>
        </w:tc>
      </w:tr>
    </w:tbl>
    <w:p>
      <w:pPr>
        <w:pStyle w:val="BodyText"/>
        <w:spacing w:before="4"/>
        <w:rPr>
          <w:b/>
          <w:sz w:val="10"/>
        </w:rPr>
      </w:pPr>
    </w:p>
    <w:p>
      <w:pPr>
        <w:pStyle w:val="BodyText"/>
        <w:spacing w:before="77" w:after="36"/>
        <w:ind w:left="1825" w:right="1375"/>
      </w:pPr>
      <w:r>
        <w:rPr/>
        <w:t>Cash at the end of the financial year as shown in the statement of cash flows is reconciled to items in the statement of financial position as follows:</w:t>
      </w:r>
    </w:p>
    <w:tbl>
      <w:tblPr>
        <w:tblW w:w="0" w:type="auto"/>
        <w:jc w:val="left"/>
        <w:tblInd w:w="179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042"/>
        <w:gridCol w:w="2209"/>
        <w:gridCol w:w="1305"/>
      </w:tblGrid>
      <w:tr>
        <w:trPr>
          <w:trHeight w:val="783" w:hRule="exact"/>
        </w:trPr>
        <w:tc>
          <w:tcPr>
            <w:tcW w:w="6042" w:type="dxa"/>
          </w:tcPr>
          <w:p>
            <w:pPr>
              <w:pStyle w:val="TableParagraph"/>
              <w:jc w:val="left"/>
              <w:rPr>
                <w:sz w:val="18"/>
              </w:rPr>
            </w:pPr>
          </w:p>
          <w:p>
            <w:pPr>
              <w:pStyle w:val="TableParagraph"/>
              <w:jc w:val="left"/>
              <w:rPr>
                <w:sz w:val="18"/>
              </w:rPr>
            </w:pPr>
          </w:p>
          <w:p>
            <w:pPr>
              <w:pStyle w:val="TableParagraph"/>
              <w:spacing w:before="126"/>
              <w:ind w:left="35"/>
              <w:jc w:val="left"/>
              <w:rPr>
                <w:sz w:val="18"/>
              </w:rPr>
            </w:pPr>
            <w:r>
              <w:rPr>
                <w:sz w:val="18"/>
              </w:rPr>
              <w:t>Cash and cash equivalents</w:t>
            </w:r>
          </w:p>
        </w:tc>
        <w:tc>
          <w:tcPr>
            <w:tcW w:w="2209" w:type="dxa"/>
            <w:tcBorders>
              <w:bottom w:val="single" w:sz="0" w:space="0" w:color="000000"/>
            </w:tcBorders>
          </w:tcPr>
          <w:p>
            <w:pPr>
              <w:pStyle w:val="TableParagraph"/>
              <w:spacing w:line="204" w:lineRule="exact"/>
              <w:ind w:left="908" w:right="859"/>
              <w:jc w:val="center"/>
              <w:rPr>
                <w:b/>
                <w:sz w:val="18"/>
              </w:rPr>
            </w:pPr>
            <w:r>
              <w:rPr>
                <w:b/>
                <w:sz w:val="18"/>
              </w:rPr>
              <w:t>2016</w:t>
            </w:r>
          </w:p>
          <w:p>
            <w:pPr>
              <w:pStyle w:val="TableParagraph"/>
              <w:spacing w:line="312" w:lineRule="auto" w:before="66"/>
              <w:ind w:left="869" w:right="518" w:firstLine="285"/>
              <w:jc w:val="left"/>
              <w:rPr>
                <w:b/>
                <w:sz w:val="18"/>
              </w:rPr>
            </w:pPr>
            <w:r>
              <w:rPr>
                <w:b/>
                <w:sz w:val="18"/>
              </w:rPr>
              <w:t>$ 1,109,058</w:t>
            </w:r>
          </w:p>
        </w:tc>
        <w:tc>
          <w:tcPr>
            <w:tcW w:w="1305" w:type="dxa"/>
            <w:tcBorders>
              <w:bottom w:val="single" w:sz="0" w:space="0" w:color="000000"/>
            </w:tcBorders>
          </w:tcPr>
          <w:p>
            <w:pPr>
              <w:pStyle w:val="TableParagraph"/>
              <w:spacing w:line="204" w:lineRule="exact"/>
              <w:ind w:left="540"/>
              <w:jc w:val="left"/>
              <w:rPr>
                <w:b/>
                <w:sz w:val="18"/>
              </w:rPr>
            </w:pPr>
            <w:r>
              <w:rPr>
                <w:b/>
                <w:sz w:val="18"/>
              </w:rPr>
              <w:t>2015</w:t>
            </w:r>
          </w:p>
          <w:p>
            <w:pPr>
              <w:pStyle w:val="TableParagraph"/>
              <w:spacing w:before="66"/>
              <w:ind w:left="377"/>
              <w:jc w:val="center"/>
              <w:rPr>
                <w:b/>
                <w:sz w:val="18"/>
              </w:rPr>
            </w:pPr>
            <w:r>
              <w:rPr>
                <w:b/>
                <w:w w:val="99"/>
                <w:sz w:val="18"/>
              </w:rPr>
              <w:t>$</w:t>
            </w:r>
          </w:p>
          <w:p>
            <w:pPr>
              <w:pStyle w:val="TableParagraph"/>
              <w:spacing w:before="62"/>
              <w:ind w:left="569"/>
              <w:jc w:val="left"/>
              <w:rPr>
                <w:sz w:val="18"/>
              </w:rPr>
            </w:pPr>
            <w:r>
              <w:rPr>
                <w:sz w:val="18"/>
              </w:rPr>
              <w:t>696,371</w:t>
            </w:r>
          </w:p>
        </w:tc>
      </w:tr>
      <w:tr>
        <w:trPr>
          <w:trHeight w:val="353" w:hRule="exact"/>
        </w:trPr>
        <w:tc>
          <w:tcPr>
            <w:tcW w:w="6042" w:type="dxa"/>
          </w:tcPr>
          <w:p>
            <w:pPr>
              <w:pStyle w:val="TableParagraph"/>
              <w:spacing w:before="123"/>
              <w:ind w:left="35"/>
              <w:jc w:val="left"/>
              <w:rPr>
                <w:b/>
                <w:sz w:val="18"/>
              </w:rPr>
            </w:pPr>
            <w:r>
              <w:rPr>
                <w:b/>
                <w:sz w:val="18"/>
              </w:rPr>
              <w:t>Balance as per statement of cash flows</w:t>
            </w:r>
          </w:p>
        </w:tc>
        <w:tc>
          <w:tcPr>
            <w:tcW w:w="2209" w:type="dxa"/>
            <w:tcBorders>
              <w:top w:val="single" w:sz="0" w:space="0" w:color="000000"/>
              <w:bottom w:val="single" w:sz="0" w:space="0" w:color="000000"/>
            </w:tcBorders>
          </w:tcPr>
          <w:p>
            <w:pPr>
              <w:pStyle w:val="TableParagraph"/>
              <w:spacing w:before="122"/>
              <w:ind w:left="870"/>
              <w:jc w:val="left"/>
              <w:rPr>
                <w:b/>
                <w:sz w:val="18"/>
              </w:rPr>
            </w:pPr>
            <w:r>
              <w:rPr>
                <w:b/>
                <w:sz w:val="18"/>
              </w:rPr>
              <w:t>1,109,058</w:t>
            </w:r>
          </w:p>
        </w:tc>
        <w:tc>
          <w:tcPr>
            <w:tcW w:w="1305" w:type="dxa"/>
            <w:tcBorders>
              <w:top w:val="single" w:sz="0" w:space="0" w:color="000000"/>
              <w:bottom w:val="single" w:sz="0" w:space="0" w:color="000000"/>
            </w:tcBorders>
          </w:tcPr>
          <w:p>
            <w:pPr>
              <w:pStyle w:val="TableParagraph"/>
              <w:spacing w:before="122"/>
              <w:ind w:left="569"/>
              <w:jc w:val="left"/>
              <w:rPr>
                <w:sz w:val="18"/>
              </w:rPr>
            </w:pPr>
            <w:r>
              <w:rPr>
                <w:sz w:val="18"/>
              </w:rPr>
              <w:t>696,371</w:t>
            </w:r>
          </w:p>
        </w:tc>
      </w:tr>
      <w:tr>
        <w:trPr>
          <w:trHeight w:val="617" w:hRule="exact"/>
        </w:trPr>
        <w:tc>
          <w:tcPr>
            <w:tcW w:w="6042" w:type="dxa"/>
          </w:tcPr>
          <w:p>
            <w:pPr>
              <w:pStyle w:val="TableParagraph"/>
              <w:jc w:val="left"/>
              <w:rPr>
                <w:sz w:val="18"/>
              </w:rPr>
            </w:pPr>
          </w:p>
          <w:p>
            <w:pPr>
              <w:pStyle w:val="TableParagraph"/>
              <w:spacing w:before="106"/>
              <w:ind w:left="35"/>
              <w:jc w:val="left"/>
              <w:rPr>
                <w:sz w:val="18"/>
              </w:rPr>
            </w:pPr>
            <w:r>
              <w:rPr>
                <w:sz w:val="18"/>
              </w:rPr>
              <w:t>The Company's exposure to interest rate risk is discussed in Note 13.</w:t>
            </w:r>
          </w:p>
        </w:tc>
        <w:tc>
          <w:tcPr>
            <w:tcW w:w="2209" w:type="dxa"/>
            <w:tcBorders>
              <w:top w:val="single" w:sz="0" w:space="0" w:color="000000"/>
            </w:tcBorders>
          </w:tcPr>
          <w:p>
            <w:pPr/>
          </w:p>
        </w:tc>
        <w:tc>
          <w:tcPr>
            <w:tcW w:w="1305" w:type="dxa"/>
            <w:tcBorders>
              <w:top w:val="single" w:sz="0" w:space="0" w:color="000000"/>
            </w:tcBorders>
          </w:tcPr>
          <w:p>
            <w:pPr/>
          </w:p>
        </w:tc>
      </w:tr>
    </w:tbl>
    <w:p>
      <w:pPr>
        <w:spacing w:after="0"/>
        <w:sectPr>
          <w:pgSz w:w="12750" w:h="17680"/>
          <w:pgMar w:header="0" w:footer="867" w:top="1880" w:bottom="1120" w:left="0" w:right="0"/>
        </w:sectPr>
      </w:pPr>
    </w:p>
    <w:p>
      <w:pPr>
        <w:pStyle w:val="BodyText"/>
        <w:spacing w:before="2"/>
        <w:rPr>
          <w:sz w:val="24"/>
        </w:rPr>
      </w:pPr>
    </w:p>
    <w:p>
      <w:pPr>
        <w:pStyle w:val="Heading4"/>
      </w:pPr>
      <w:r>
        <w:rPr/>
        <w:t>Notes to the Financial Statements</w:t>
      </w:r>
    </w:p>
    <w:p>
      <w:pPr>
        <w:pStyle w:val="Heading7"/>
      </w:pPr>
      <w:bookmarkStart w:name="3 Trade and other receivables" w:id="206"/>
      <w:bookmarkEnd w:id="206"/>
      <w:r>
        <w:rPr>
          <w:b w:val="0"/>
        </w:rPr>
      </w:r>
      <w:r>
        <w:rPr/>
        <w:t>For the Year Ended 31 December 2016</w:t>
      </w:r>
    </w:p>
    <w:p>
      <w:pPr>
        <w:pStyle w:val="BodyText"/>
        <w:rPr>
          <w:b/>
          <w:sz w:val="20"/>
        </w:rPr>
      </w:pPr>
    </w:p>
    <w:p>
      <w:pPr>
        <w:pStyle w:val="BodyText"/>
        <w:rPr>
          <w:b/>
          <w:sz w:val="20"/>
        </w:rPr>
      </w:pPr>
    </w:p>
    <w:p>
      <w:pPr>
        <w:pStyle w:val="BodyText"/>
        <w:spacing w:before="3"/>
        <w:rPr>
          <w:b/>
          <w:sz w:val="11"/>
        </w:rPr>
      </w:pPr>
    </w:p>
    <w:tbl>
      <w:tblPr>
        <w:tblW w:w="0" w:type="auto"/>
        <w:jc w:val="left"/>
        <w:tblInd w:w="139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83"/>
        <w:gridCol w:w="6264"/>
        <w:gridCol w:w="810"/>
        <w:gridCol w:w="1534"/>
        <w:gridCol w:w="1060"/>
      </w:tblGrid>
      <w:tr>
        <w:trPr>
          <w:trHeight w:val="567" w:hRule="exact"/>
        </w:trPr>
        <w:tc>
          <w:tcPr>
            <w:tcW w:w="283" w:type="dxa"/>
          </w:tcPr>
          <w:p>
            <w:pPr>
              <w:pStyle w:val="TableParagraph"/>
              <w:spacing w:before="77"/>
              <w:ind w:left="35"/>
              <w:jc w:val="left"/>
              <w:rPr>
                <w:b/>
                <w:sz w:val="18"/>
              </w:rPr>
            </w:pPr>
            <w:r>
              <w:rPr>
                <w:b/>
                <w:w w:val="99"/>
                <w:sz w:val="18"/>
              </w:rPr>
              <w:t>3</w:t>
            </w:r>
          </w:p>
        </w:tc>
        <w:tc>
          <w:tcPr>
            <w:tcW w:w="6264" w:type="dxa"/>
          </w:tcPr>
          <w:p>
            <w:pPr>
              <w:pStyle w:val="TableParagraph"/>
              <w:spacing w:before="77"/>
              <w:ind w:left="147"/>
              <w:jc w:val="left"/>
              <w:rPr>
                <w:b/>
                <w:sz w:val="18"/>
              </w:rPr>
            </w:pPr>
            <w:r>
              <w:rPr>
                <w:b/>
                <w:sz w:val="18"/>
              </w:rPr>
              <w:t>Trade and other receivables</w:t>
            </w:r>
          </w:p>
        </w:tc>
        <w:tc>
          <w:tcPr>
            <w:tcW w:w="810" w:type="dxa"/>
          </w:tcPr>
          <w:p>
            <w:pPr/>
          </w:p>
        </w:tc>
        <w:tc>
          <w:tcPr>
            <w:tcW w:w="1534" w:type="dxa"/>
          </w:tcPr>
          <w:p>
            <w:pPr>
              <w:pStyle w:val="TableParagraph"/>
              <w:jc w:val="left"/>
              <w:rPr>
                <w:b/>
                <w:sz w:val="18"/>
              </w:rPr>
            </w:pPr>
          </w:p>
          <w:p>
            <w:pPr>
              <w:pStyle w:val="TableParagraph"/>
              <w:spacing w:before="110"/>
              <w:ind w:right="384"/>
              <w:rPr>
                <w:b/>
                <w:sz w:val="18"/>
              </w:rPr>
            </w:pPr>
            <w:r>
              <w:rPr>
                <w:b/>
                <w:sz w:val="18"/>
              </w:rPr>
              <w:t>2016</w:t>
            </w:r>
          </w:p>
        </w:tc>
        <w:tc>
          <w:tcPr>
            <w:tcW w:w="1060" w:type="dxa"/>
          </w:tcPr>
          <w:p>
            <w:pPr>
              <w:pStyle w:val="TableParagraph"/>
              <w:jc w:val="left"/>
              <w:rPr>
                <w:b/>
                <w:sz w:val="18"/>
              </w:rPr>
            </w:pPr>
          </w:p>
          <w:p>
            <w:pPr>
              <w:pStyle w:val="TableParagraph"/>
              <w:spacing w:before="110"/>
              <w:ind w:right="137"/>
              <w:rPr>
                <w:b/>
                <w:sz w:val="18"/>
              </w:rPr>
            </w:pPr>
            <w:r>
              <w:rPr>
                <w:b/>
                <w:sz w:val="18"/>
              </w:rPr>
              <w:t>2015</w:t>
            </w:r>
          </w:p>
        </w:tc>
      </w:tr>
      <w:tr>
        <w:trPr>
          <w:trHeight w:val="271" w:hRule="exact"/>
        </w:trPr>
        <w:tc>
          <w:tcPr>
            <w:tcW w:w="283" w:type="dxa"/>
          </w:tcPr>
          <w:p>
            <w:pPr/>
          </w:p>
        </w:tc>
        <w:tc>
          <w:tcPr>
            <w:tcW w:w="6264" w:type="dxa"/>
          </w:tcPr>
          <w:p>
            <w:pPr/>
          </w:p>
        </w:tc>
        <w:tc>
          <w:tcPr>
            <w:tcW w:w="810" w:type="dxa"/>
          </w:tcPr>
          <w:p>
            <w:pPr>
              <w:pStyle w:val="TableParagraph"/>
              <w:spacing w:before="24"/>
              <w:ind w:right="77"/>
              <w:rPr>
                <w:b/>
                <w:sz w:val="18"/>
              </w:rPr>
            </w:pPr>
            <w:r>
              <w:rPr>
                <w:b/>
                <w:w w:val="95"/>
                <w:sz w:val="18"/>
              </w:rPr>
              <w:t>Note</w:t>
            </w:r>
          </w:p>
        </w:tc>
        <w:tc>
          <w:tcPr>
            <w:tcW w:w="1534" w:type="dxa"/>
          </w:tcPr>
          <w:p>
            <w:pPr>
              <w:pStyle w:val="TableParagraph"/>
              <w:spacing w:before="24"/>
              <w:ind w:left="999"/>
              <w:jc w:val="left"/>
              <w:rPr>
                <w:b/>
                <w:sz w:val="18"/>
              </w:rPr>
            </w:pPr>
            <w:r>
              <w:rPr>
                <w:b/>
                <w:w w:val="99"/>
                <w:sz w:val="18"/>
              </w:rPr>
              <w:t>$</w:t>
            </w:r>
          </w:p>
        </w:tc>
        <w:tc>
          <w:tcPr>
            <w:tcW w:w="1060" w:type="dxa"/>
          </w:tcPr>
          <w:p>
            <w:pPr>
              <w:pStyle w:val="TableParagraph"/>
              <w:spacing w:before="24"/>
              <w:ind w:right="209"/>
              <w:rPr>
                <w:b/>
                <w:sz w:val="18"/>
              </w:rPr>
            </w:pPr>
            <w:r>
              <w:rPr>
                <w:b/>
                <w:w w:val="99"/>
                <w:sz w:val="18"/>
              </w:rPr>
              <w:t>$</w:t>
            </w:r>
          </w:p>
        </w:tc>
      </w:tr>
      <w:tr>
        <w:trPr>
          <w:trHeight w:val="266" w:hRule="exact"/>
        </w:trPr>
        <w:tc>
          <w:tcPr>
            <w:tcW w:w="283" w:type="dxa"/>
          </w:tcPr>
          <w:p>
            <w:pPr/>
          </w:p>
        </w:tc>
        <w:tc>
          <w:tcPr>
            <w:tcW w:w="6264" w:type="dxa"/>
          </w:tcPr>
          <w:p>
            <w:pPr>
              <w:pStyle w:val="TableParagraph"/>
              <w:spacing w:before="21"/>
              <w:ind w:left="192"/>
              <w:jc w:val="left"/>
              <w:rPr>
                <w:sz w:val="18"/>
              </w:rPr>
            </w:pPr>
            <w:r>
              <w:rPr>
                <w:sz w:val="18"/>
              </w:rPr>
              <w:t>Student receivables</w:t>
            </w:r>
          </w:p>
        </w:tc>
        <w:tc>
          <w:tcPr>
            <w:tcW w:w="810" w:type="dxa"/>
          </w:tcPr>
          <w:p>
            <w:pPr/>
          </w:p>
        </w:tc>
        <w:tc>
          <w:tcPr>
            <w:tcW w:w="1534" w:type="dxa"/>
          </w:tcPr>
          <w:p>
            <w:pPr>
              <w:pStyle w:val="TableParagraph"/>
              <w:spacing w:before="22"/>
              <w:ind w:right="322"/>
              <w:rPr>
                <w:b/>
                <w:sz w:val="18"/>
              </w:rPr>
            </w:pPr>
            <w:r>
              <w:rPr>
                <w:b/>
                <w:w w:val="95"/>
                <w:sz w:val="18"/>
              </w:rPr>
              <w:t>121,248</w:t>
            </w:r>
          </w:p>
        </w:tc>
        <w:tc>
          <w:tcPr>
            <w:tcW w:w="1060" w:type="dxa"/>
          </w:tcPr>
          <w:p>
            <w:pPr>
              <w:pStyle w:val="TableParagraph"/>
              <w:spacing w:before="22"/>
              <w:ind w:right="85"/>
              <w:rPr>
                <w:sz w:val="18"/>
              </w:rPr>
            </w:pPr>
            <w:r>
              <w:rPr>
                <w:w w:val="95"/>
                <w:sz w:val="18"/>
              </w:rPr>
              <w:t>397,242</w:t>
            </w:r>
          </w:p>
        </w:tc>
      </w:tr>
      <w:tr>
        <w:trPr>
          <w:trHeight w:val="264" w:hRule="exact"/>
        </w:trPr>
        <w:tc>
          <w:tcPr>
            <w:tcW w:w="283" w:type="dxa"/>
          </w:tcPr>
          <w:p>
            <w:pPr/>
          </w:p>
        </w:tc>
        <w:tc>
          <w:tcPr>
            <w:tcW w:w="6264" w:type="dxa"/>
          </w:tcPr>
          <w:p>
            <w:pPr>
              <w:pStyle w:val="TableParagraph"/>
              <w:spacing w:before="18"/>
              <w:ind w:left="192"/>
              <w:jc w:val="left"/>
              <w:rPr>
                <w:sz w:val="18"/>
              </w:rPr>
            </w:pPr>
            <w:r>
              <w:rPr>
                <w:sz w:val="18"/>
              </w:rPr>
              <w:t>Trade receivables</w:t>
            </w:r>
          </w:p>
        </w:tc>
        <w:tc>
          <w:tcPr>
            <w:tcW w:w="810" w:type="dxa"/>
          </w:tcPr>
          <w:p>
            <w:pPr/>
          </w:p>
        </w:tc>
        <w:tc>
          <w:tcPr>
            <w:tcW w:w="1534" w:type="dxa"/>
          </w:tcPr>
          <w:p>
            <w:pPr>
              <w:pStyle w:val="TableParagraph"/>
              <w:spacing w:before="19"/>
              <w:ind w:right="322"/>
              <w:rPr>
                <w:b/>
                <w:sz w:val="18"/>
              </w:rPr>
            </w:pPr>
            <w:r>
              <w:rPr>
                <w:b/>
                <w:w w:val="95"/>
                <w:sz w:val="18"/>
              </w:rPr>
              <w:t>304,953</w:t>
            </w:r>
          </w:p>
        </w:tc>
        <w:tc>
          <w:tcPr>
            <w:tcW w:w="1060" w:type="dxa"/>
          </w:tcPr>
          <w:p>
            <w:pPr>
              <w:pStyle w:val="TableParagraph"/>
              <w:spacing w:before="19"/>
              <w:ind w:right="85"/>
              <w:rPr>
                <w:sz w:val="18"/>
              </w:rPr>
            </w:pPr>
            <w:r>
              <w:rPr>
                <w:w w:val="95"/>
                <w:sz w:val="18"/>
              </w:rPr>
              <w:t>213,292</w:t>
            </w:r>
          </w:p>
        </w:tc>
      </w:tr>
      <w:tr>
        <w:trPr>
          <w:trHeight w:val="265" w:hRule="exact"/>
        </w:trPr>
        <w:tc>
          <w:tcPr>
            <w:tcW w:w="283" w:type="dxa"/>
          </w:tcPr>
          <w:p>
            <w:pPr/>
          </w:p>
        </w:tc>
        <w:tc>
          <w:tcPr>
            <w:tcW w:w="6264" w:type="dxa"/>
          </w:tcPr>
          <w:p>
            <w:pPr>
              <w:pStyle w:val="TableParagraph"/>
              <w:spacing w:before="18"/>
              <w:ind w:left="192"/>
              <w:jc w:val="left"/>
              <w:rPr>
                <w:sz w:val="18"/>
              </w:rPr>
            </w:pPr>
            <w:r>
              <w:rPr>
                <w:sz w:val="18"/>
              </w:rPr>
              <w:t>Provision for doubtful receivables</w:t>
            </w:r>
          </w:p>
        </w:tc>
        <w:tc>
          <w:tcPr>
            <w:tcW w:w="810" w:type="dxa"/>
          </w:tcPr>
          <w:p>
            <w:pPr>
              <w:pStyle w:val="TableParagraph"/>
              <w:spacing w:before="21"/>
              <w:ind w:right="119"/>
              <w:rPr>
                <w:sz w:val="18"/>
              </w:rPr>
            </w:pPr>
            <w:r>
              <w:rPr>
                <w:sz w:val="18"/>
              </w:rPr>
              <w:t>3(a)</w:t>
            </w:r>
          </w:p>
        </w:tc>
        <w:tc>
          <w:tcPr>
            <w:tcW w:w="1534" w:type="dxa"/>
          </w:tcPr>
          <w:p>
            <w:pPr>
              <w:pStyle w:val="TableParagraph"/>
              <w:spacing w:before="19"/>
              <w:ind w:right="262"/>
              <w:rPr>
                <w:b/>
                <w:sz w:val="18"/>
              </w:rPr>
            </w:pPr>
            <w:r>
              <w:rPr>
                <w:b/>
                <w:w w:val="95"/>
                <w:sz w:val="18"/>
              </w:rPr>
              <w:t>(26,379)</w:t>
            </w:r>
          </w:p>
        </w:tc>
        <w:tc>
          <w:tcPr>
            <w:tcW w:w="1060" w:type="dxa"/>
          </w:tcPr>
          <w:p>
            <w:pPr>
              <w:pStyle w:val="TableParagraph"/>
              <w:spacing w:before="19"/>
              <w:ind w:right="26"/>
              <w:rPr>
                <w:sz w:val="18"/>
              </w:rPr>
            </w:pPr>
            <w:r>
              <w:rPr>
                <w:w w:val="95"/>
                <w:sz w:val="18"/>
              </w:rPr>
              <w:t>(258,905)</w:t>
            </w:r>
          </w:p>
        </w:tc>
      </w:tr>
      <w:tr>
        <w:trPr>
          <w:trHeight w:val="264" w:hRule="exact"/>
        </w:trPr>
        <w:tc>
          <w:tcPr>
            <w:tcW w:w="283" w:type="dxa"/>
          </w:tcPr>
          <w:p>
            <w:pPr/>
          </w:p>
        </w:tc>
        <w:tc>
          <w:tcPr>
            <w:tcW w:w="6264" w:type="dxa"/>
          </w:tcPr>
          <w:p>
            <w:pPr>
              <w:pStyle w:val="TableParagraph"/>
              <w:spacing w:before="18"/>
              <w:ind w:left="192"/>
              <w:jc w:val="left"/>
              <w:rPr>
                <w:sz w:val="18"/>
              </w:rPr>
            </w:pPr>
            <w:r>
              <w:rPr>
                <w:sz w:val="18"/>
              </w:rPr>
              <w:t>Accrued interest</w:t>
            </w:r>
          </w:p>
        </w:tc>
        <w:tc>
          <w:tcPr>
            <w:tcW w:w="810" w:type="dxa"/>
          </w:tcPr>
          <w:p>
            <w:pPr/>
          </w:p>
        </w:tc>
        <w:tc>
          <w:tcPr>
            <w:tcW w:w="1534" w:type="dxa"/>
          </w:tcPr>
          <w:p>
            <w:pPr>
              <w:pStyle w:val="TableParagraph"/>
              <w:spacing w:before="19"/>
              <w:ind w:right="322"/>
              <w:rPr>
                <w:b/>
                <w:sz w:val="18"/>
              </w:rPr>
            </w:pPr>
            <w:r>
              <w:rPr>
                <w:b/>
                <w:sz w:val="18"/>
              </w:rPr>
              <w:t>344</w:t>
            </w:r>
          </w:p>
        </w:tc>
        <w:tc>
          <w:tcPr>
            <w:tcW w:w="1060" w:type="dxa"/>
          </w:tcPr>
          <w:p>
            <w:pPr>
              <w:pStyle w:val="TableParagraph"/>
              <w:spacing w:before="19"/>
              <w:ind w:right="85"/>
              <w:rPr>
                <w:sz w:val="18"/>
              </w:rPr>
            </w:pPr>
            <w:r>
              <w:rPr>
                <w:sz w:val="18"/>
              </w:rPr>
              <w:t>311</w:t>
            </w:r>
          </w:p>
        </w:tc>
      </w:tr>
      <w:tr>
        <w:trPr>
          <w:trHeight w:val="263" w:hRule="exact"/>
        </w:trPr>
        <w:tc>
          <w:tcPr>
            <w:tcW w:w="283" w:type="dxa"/>
          </w:tcPr>
          <w:p>
            <w:pPr/>
          </w:p>
        </w:tc>
        <w:tc>
          <w:tcPr>
            <w:tcW w:w="6264" w:type="dxa"/>
          </w:tcPr>
          <w:p>
            <w:pPr>
              <w:pStyle w:val="TableParagraph"/>
              <w:spacing w:before="20"/>
              <w:ind w:left="192"/>
              <w:jc w:val="left"/>
              <w:rPr>
                <w:sz w:val="18"/>
              </w:rPr>
            </w:pPr>
            <w:bookmarkStart w:name="(a) Provision for impairment of receivab" w:id="207"/>
            <w:bookmarkEnd w:id="207"/>
            <w:r>
              <w:rPr/>
            </w:r>
            <w:r>
              <w:rPr>
                <w:sz w:val="18"/>
              </w:rPr>
              <w:t>Other receivables</w:t>
            </w:r>
          </w:p>
        </w:tc>
        <w:tc>
          <w:tcPr>
            <w:tcW w:w="810" w:type="dxa"/>
          </w:tcPr>
          <w:p>
            <w:pPr/>
          </w:p>
        </w:tc>
        <w:tc>
          <w:tcPr>
            <w:tcW w:w="1534" w:type="dxa"/>
            <w:tcBorders>
              <w:bottom w:val="single" w:sz="0" w:space="0" w:color="000000"/>
            </w:tcBorders>
          </w:tcPr>
          <w:p>
            <w:pPr>
              <w:pStyle w:val="TableParagraph"/>
              <w:spacing w:before="19"/>
              <w:ind w:right="322"/>
              <w:rPr>
                <w:b/>
                <w:sz w:val="18"/>
              </w:rPr>
            </w:pPr>
            <w:r>
              <w:rPr>
                <w:b/>
                <w:sz w:val="18"/>
              </w:rPr>
              <w:t>1,571</w:t>
            </w:r>
          </w:p>
        </w:tc>
        <w:tc>
          <w:tcPr>
            <w:tcW w:w="1060" w:type="dxa"/>
            <w:tcBorders>
              <w:bottom w:val="single" w:sz="0" w:space="0" w:color="000000"/>
            </w:tcBorders>
          </w:tcPr>
          <w:p>
            <w:pPr>
              <w:pStyle w:val="TableParagraph"/>
              <w:spacing w:before="19"/>
              <w:ind w:right="85"/>
              <w:rPr>
                <w:sz w:val="18"/>
              </w:rPr>
            </w:pPr>
            <w:r>
              <w:rPr>
                <w:w w:val="95"/>
                <w:sz w:val="18"/>
              </w:rPr>
              <w:t>17,147</w:t>
            </w:r>
          </w:p>
        </w:tc>
      </w:tr>
      <w:tr>
        <w:trPr>
          <w:trHeight w:val="353" w:hRule="exact"/>
        </w:trPr>
        <w:tc>
          <w:tcPr>
            <w:tcW w:w="283" w:type="dxa"/>
          </w:tcPr>
          <w:p>
            <w:pPr/>
          </w:p>
        </w:tc>
        <w:tc>
          <w:tcPr>
            <w:tcW w:w="6264" w:type="dxa"/>
          </w:tcPr>
          <w:p>
            <w:pPr>
              <w:pStyle w:val="TableParagraph"/>
              <w:spacing w:before="123"/>
              <w:ind w:left="192"/>
              <w:jc w:val="left"/>
              <w:rPr>
                <w:b/>
                <w:sz w:val="18"/>
              </w:rPr>
            </w:pPr>
            <w:r>
              <w:rPr>
                <w:b/>
                <w:sz w:val="18"/>
              </w:rPr>
              <w:t>Total current trade and other receivables</w:t>
            </w:r>
          </w:p>
        </w:tc>
        <w:tc>
          <w:tcPr>
            <w:tcW w:w="810" w:type="dxa"/>
          </w:tcPr>
          <w:p>
            <w:pPr/>
          </w:p>
        </w:tc>
        <w:tc>
          <w:tcPr>
            <w:tcW w:w="1534" w:type="dxa"/>
            <w:tcBorders>
              <w:top w:val="single" w:sz="0" w:space="0" w:color="000000"/>
              <w:bottom w:val="single" w:sz="0" w:space="0" w:color="000000"/>
            </w:tcBorders>
          </w:tcPr>
          <w:p>
            <w:pPr>
              <w:pStyle w:val="TableParagraph"/>
              <w:spacing w:before="122"/>
              <w:ind w:right="322"/>
              <w:rPr>
                <w:b/>
                <w:sz w:val="18"/>
              </w:rPr>
            </w:pPr>
            <w:r>
              <w:rPr>
                <w:b/>
                <w:w w:val="95"/>
                <w:sz w:val="18"/>
              </w:rPr>
              <w:t>401,737</w:t>
            </w:r>
          </w:p>
        </w:tc>
        <w:tc>
          <w:tcPr>
            <w:tcW w:w="1060" w:type="dxa"/>
            <w:tcBorders>
              <w:top w:val="single" w:sz="0" w:space="0" w:color="000000"/>
              <w:bottom w:val="single" w:sz="0" w:space="0" w:color="000000"/>
            </w:tcBorders>
          </w:tcPr>
          <w:p>
            <w:pPr>
              <w:pStyle w:val="TableParagraph"/>
              <w:spacing w:before="122"/>
              <w:ind w:right="85"/>
              <w:rPr>
                <w:sz w:val="18"/>
              </w:rPr>
            </w:pPr>
            <w:r>
              <w:rPr>
                <w:w w:val="95"/>
                <w:sz w:val="18"/>
              </w:rPr>
              <w:t>369,087</w:t>
            </w:r>
          </w:p>
        </w:tc>
      </w:tr>
      <w:tr>
        <w:trPr>
          <w:trHeight w:val="695" w:hRule="exact"/>
        </w:trPr>
        <w:tc>
          <w:tcPr>
            <w:tcW w:w="283" w:type="dxa"/>
          </w:tcPr>
          <w:p>
            <w:pPr/>
          </w:p>
        </w:tc>
        <w:tc>
          <w:tcPr>
            <w:tcW w:w="6264" w:type="dxa"/>
          </w:tcPr>
          <w:p>
            <w:pPr>
              <w:pStyle w:val="TableParagraph"/>
              <w:jc w:val="left"/>
              <w:rPr>
                <w:b/>
                <w:sz w:val="18"/>
              </w:rPr>
            </w:pPr>
          </w:p>
          <w:p>
            <w:pPr>
              <w:pStyle w:val="TableParagraph"/>
              <w:tabs>
                <w:tab w:pos="714" w:val="left" w:leader="none"/>
              </w:tabs>
              <w:spacing w:before="125"/>
              <w:ind w:left="147"/>
              <w:jc w:val="left"/>
              <w:rPr>
                <w:b/>
                <w:sz w:val="18"/>
              </w:rPr>
            </w:pPr>
            <w:r>
              <w:rPr>
                <w:b/>
                <w:sz w:val="18"/>
              </w:rPr>
              <w:t>(a)</w:t>
              <w:tab/>
              <w:t>Provision for impairment of</w:t>
            </w:r>
            <w:r>
              <w:rPr>
                <w:b/>
                <w:spacing w:val="-14"/>
                <w:sz w:val="18"/>
              </w:rPr>
              <w:t> </w:t>
            </w:r>
            <w:r>
              <w:rPr>
                <w:b/>
                <w:sz w:val="18"/>
              </w:rPr>
              <w:t>receivables</w:t>
            </w:r>
          </w:p>
        </w:tc>
        <w:tc>
          <w:tcPr>
            <w:tcW w:w="810" w:type="dxa"/>
          </w:tcPr>
          <w:p>
            <w:pPr/>
          </w:p>
        </w:tc>
        <w:tc>
          <w:tcPr>
            <w:tcW w:w="1534" w:type="dxa"/>
            <w:tcBorders>
              <w:top w:val="single" w:sz="0" w:space="0" w:color="000000"/>
            </w:tcBorders>
          </w:tcPr>
          <w:p>
            <w:pPr/>
          </w:p>
        </w:tc>
        <w:tc>
          <w:tcPr>
            <w:tcW w:w="1060" w:type="dxa"/>
            <w:tcBorders>
              <w:top w:val="single" w:sz="0" w:space="0" w:color="000000"/>
            </w:tcBorders>
          </w:tcPr>
          <w:p>
            <w:pPr/>
          </w:p>
        </w:tc>
      </w:tr>
      <w:tr>
        <w:trPr>
          <w:trHeight w:val="626" w:hRule="exact"/>
        </w:trPr>
        <w:tc>
          <w:tcPr>
            <w:tcW w:w="283" w:type="dxa"/>
          </w:tcPr>
          <w:p>
            <w:pPr/>
          </w:p>
        </w:tc>
        <w:tc>
          <w:tcPr>
            <w:tcW w:w="6264" w:type="dxa"/>
          </w:tcPr>
          <w:p>
            <w:pPr>
              <w:pStyle w:val="TableParagraph"/>
              <w:spacing w:before="136"/>
              <w:ind w:left="715"/>
              <w:jc w:val="left"/>
              <w:rPr>
                <w:sz w:val="18"/>
              </w:rPr>
            </w:pPr>
            <w:r>
              <w:rPr>
                <w:sz w:val="18"/>
              </w:rPr>
              <w:t>Movement in provision for impairment of receivables is as follows:</w:t>
            </w:r>
          </w:p>
        </w:tc>
        <w:tc>
          <w:tcPr>
            <w:tcW w:w="810" w:type="dxa"/>
          </w:tcPr>
          <w:p>
            <w:pPr/>
          </w:p>
        </w:tc>
        <w:tc>
          <w:tcPr>
            <w:tcW w:w="1534" w:type="dxa"/>
          </w:tcPr>
          <w:p>
            <w:pPr>
              <w:pStyle w:val="TableParagraph"/>
              <w:jc w:val="left"/>
              <w:rPr>
                <w:b/>
                <w:sz w:val="18"/>
              </w:rPr>
            </w:pPr>
          </w:p>
          <w:p>
            <w:pPr>
              <w:pStyle w:val="TableParagraph"/>
              <w:spacing w:before="8"/>
              <w:jc w:val="left"/>
              <w:rPr>
                <w:b/>
                <w:sz w:val="14"/>
              </w:rPr>
            </w:pPr>
          </w:p>
          <w:p>
            <w:pPr>
              <w:pStyle w:val="TableParagraph"/>
              <w:ind w:left="651"/>
              <w:jc w:val="left"/>
              <w:rPr>
                <w:b/>
                <w:sz w:val="18"/>
              </w:rPr>
            </w:pPr>
            <w:r>
              <w:rPr>
                <w:b/>
                <w:sz w:val="18"/>
              </w:rPr>
              <w:t>2016</w:t>
            </w:r>
          </w:p>
        </w:tc>
        <w:tc>
          <w:tcPr>
            <w:tcW w:w="1060" w:type="dxa"/>
          </w:tcPr>
          <w:p>
            <w:pPr>
              <w:pStyle w:val="TableParagraph"/>
              <w:jc w:val="left"/>
              <w:rPr>
                <w:b/>
                <w:sz w:val="18"/>
              </w:rPr>
            </w:pPr>
          </w:p>
          <w:p>
            <w:pPr>
              <w:pStyle w:val="TableParagraph"/>
              <w:spacing w:before="8"/>
              <w:jc w:val="left"/>
              <w:rPr>
                <w:b/>
                <w:sz w:val="14"/>
              </w:rPr>
            </w:pPr>
          </w:p>
          <w:p>
            <w:pPr>
              <w:pStyle w:val="TableParagraph"/>
              <w:ind w:left="465"/>
              <w:jc w:val="left"/>
              <w:rPr>
                <w:b/>
                <w:sz w:val="18"/>
              </w:rPr>
            </w:pPr>
            <w:r>
              <w:rPr>
                <w:b/>
                <w:sz w:val="18"/>
              </w:rPr>
              <w:t>2015</w:t>
            </w:r>
          </w:p>
        </w:tc>
      </w:tr>
      <w:tr>
        <w:trPr>
          <w:trHeight w:val="271" w:hRule="exact"/>
        </w:trPr>
        <w:tc>
          <w:tcPr>
            <w:tcW w:w="283" w:type="dxa"/>
          </w:tcPr>
          <w:p>
            <w:pPr/>
          </w:p>
        </w:tc>
        <w:tc>
          <w:tcPr>
            <w:tcW w:w="6264" w:type="dxa"/>
          </w:tcPr>
          <w:p>
            <w:pPr/>
          </w:p>
        </w:tc>
        <w:tc>
          <w:tcPr>
            <w:tcW w:w="810" w:type="dxa"/>
          </w:tcPr>
          <w:p>
            <w:pPr/>
          </w:p>
        </w:tc>
        <w:tc>
          <w:tcPr>
            <w:tcW w:w="1534" w:type="dxa"/>
          </w:tcPr>
          <w:p>
            <w:pPr>
              <w:pStyle w:val="TableParagraph"/>
              <w:spacing w:before="24"/>
              <w:ind w:left="370"/>
              <w:jc w:val="center"/>
              <w:rPr>
                <w:b/>
                <w:sz w:val="18"/>
              </w:rPr>
            </w:pPr>
            <w:r>
              <w:rPr>
                <w:b/>
                <w:w w:val="99"/>
                <w:sz w:val="18"/>
              </w:rPr>
              <w:t>$</w:t>
            </w:r>
          </w:p>
        </w:tc>
        <w:tc>
          <w:tcPr>
            <w:tcW w:w="1060" w:type="dxa"/>
          </w:tcPr>
          <w:p>
            <w:pPr>
              <w:pStyle w:val="TableParagraph"/>
              <w:spacing w:before="24"/>
              <w:ind w:left="690"/>
              <w:jc w:val="left"/>
              <w:rPr>
                <w:b/>
                <w:sz w:val="18"/>
              </w:rPr>
            </w:pPr>
            <w:r>
              <w:rPr>
                <w:b/>
                <w:w w:val="99"/>
                <w:sz w:val="18"/>
              </w:rPr>
              <w:t>$</w:t>
            </w:r>
          </w:p>
        </w:tc>
      </w:tr>
      <w:tr>
        <w:trPr>
          <w:trHeight w:val="267" w:hRule="exact"/>
        </w:trPr>
        <w:tc>
          <w:tcPr>
            <w:tcW w:w="283" w:type="dxa"/>
          </w:tcPr>
          <w:p>
            <w:pPr/>
          </w:p>
        </w:tc>
        <w:tc>
          <w:tcPr>
            <w:tcW w:w="6264" w:type="dxa"/>
          </w:tcPr>
          <w:p>
            <w:pPr>
              <w:pStyle w:val="TableParagraph"/>
              <w:spacing w:before="22"/>
              <w:ind w:left="715"/>
              <w:jc w:val="left"/>
              <w:rPr>
                <w:sz w:val="18"/>
              </w:rPr>
            </w:pPr>
            <w:r>
              <w:rPr>
                <w:sz w:val="18"/>
              </w:rPr>
              <w:t>Opening balance as at 1 January</w:t>
            </w:r>
          </w:p>
        </w:tc>
        <w:tc>
          <w:tcPr>
            <w:tcW w:w="810" w:type="dxa"/>
          </w:tcPr>
          <w:p>
            <w:pPr/>
          </w:p>
        </w:tc>
        <w:tc>
          <w:tcPr>
            <w:tcW w:w="1534" w:type="dxa"/>
          </w:tcPr>
          <w:p>
            <w:pPr>
              <w:pStyle w:val="TableParagraph"/>
              <w:spacing w:before="21"/>
              <w:ind w:right="322"/>
              <w:rPr>
                <w:b/>
                <w:sz w:val="18"/>
              </w:rPr>
            </w:pPr>
            <w:r>
              <w:rPr>
                <w:b/>
                <w:w w:val="95"/>
                <w:sz w:val="18"/>
              </w:rPr>
              <w:t>258,905</w:t>
            </w:r>
          </w:p>
        </w:tc>
        <w:tc>
          <w:tcPr>
            <w:tcW w:w="1060" w:type="dxa"/>
          </w:tcPr>
          <w:p>
            <w:pPr>
              <w:pStyle w:val="TableParagraph"/>
              <w:spacing w:before="21"/>
              <w:ind w:right="85"/>
              <w:rPr>
                <w:sz w:val="18"/>
              </w:rPr>
            </w:pPr>
            <w:r>
              <w:rPr>
                <w:w w:val="95"/>
                <w:sz w:val="18"/>
              </w:rPr>
              <w:t>137,882</w:t>
            </w:r>
          </w:p>
        </w:tc>
      </w:tr>
      <w:tr>
        <w:trPr>
          <w:trHeight w:val="264" w:hRule="exact"/>
        </w:trPr>
        <w:tc>
          <w:tcPr>
            <w:tcW w:w="283" w:type="dxa"/>
          </w:tcPr>
          <w:p>
            <w:pPr/>
          </w:p>
        </w:tc>
        <w:tc>
          <w:tcPr>
            <w:tcW w:w="6264" w:type="dxa"/>
          </w:tcPr>
          <w:p>
            <w:pPr>
              <w:pStyle w:val="TableParagraph"/>
              <w:spacing w:before="19"/>
              <w:ind w:left="715"/>
              <w:jc w:val="left"/>
              <w:rPr>
                <w:sz w:val="18"/>
              </w:rPr>
            </w:pPr>
            <w:r>
              <w:rPr>
                <w:sz w:val="18"/>
              </w:rPr>
              <w:t>Doubtful debt provision</w:t>
            </w:r>
          </w:p>
        </w:tc>
        <w:tc>
          <w:tcPr>
            <w:tcW w:w="810" w:type="dxa"/>
          </w:tcPr>
          <w:p>
            <w:pPr/>
          </w:p>
        </w:tc>
        <w:tc>
          <w:tcPr>
            <w:tcW w:w="1534" w:type="dxa"/>
          </w:tcPr>
          <w:p>
            <w:pPr>
              <w:pStyle w:val="TableParagraph"/>
              <w:spacing w:before="18"/>
              <w:ind w:right="322"/>
              <w:rPr>
                <w:b/>
                <w:sz w:val="18"/>
              </w:rPr>
            </w:pPr>
            <w:r>
              <w:rPr>
                <w:b/>
                <w:w w:val="95"/>
                <w:sz w:val="18"/>
              </w:rPr>
              <w:t>16,137</w:t>
            </w:r>
          </w:p>
        </w:tc>
        <w:tc>
          <w:tcPr>
            <w:tcW w:w="1060" w:type="dxa"/>
          </w:tcPr>
          <w:p>
            <w:pPr>
              <w:pStyle w:val="TableParagraph"/>
              <w:spacing w:before="18"/>
              <w:ind w:right="85"/>
              <w:rPr>
                <w:sz w:val="18"/>
              </w:rPr>
            </w:pPr>
            <w:r>
              <w:rPr>
                <w:w w:val="95"/>
                <w:sz w:val="18"/>
              </w:rPr>
              <w:t>121,023</w:t>
            </w:r>
          </w:p>
        </w:tc>
      </w:tr>
      <w:tr>
        <w:trPr>
          <w:trHeight w:val="262" w:hRule="exact"/>
        </w:trPr>
        <w:tc>
          <w:tcPr>
            <w:tcW w:w="283" w:type="dxa"/>
          </w:tcPr>
          <w:p>
            <w:pPr/>
          </w:p>
        </w:tc>
        <w:tc>
          <w:tcPr>
            <w:tcW w:w="6264" w:type="dxa"/>
          </w:tcPr>
          <w:p>
            <w:pPr>
              <w:pStyle w:val="TableParagraph"/>
              <w:spacing w:before="19"/>
              <w:ind w:left="715"/>
              <w:jc w:val="left"/>
              <w:rPr>
                <w:sz w:val="18"/>
              </w:rPr>
            </w:pPr>
            <w:r>
              <w:rPr>
                <w:sz w:val="18"/>
              </w:rPr>
              <w:t>Bad debts written off</w:t>
            </w:r>
          </w:p>
        </w:tc>
        <w:tc>
          <w:tcPr>
            <w:tcW w:w="810" w:type="dxa"/>
          </w:tcPr>
          <w:p>
            <w:pPr/>
          </w:p>
        </w:tc>
        <w:tc>
          <w:tcPr>
            <w:tcW w:w="1534" w:type="dxa"/>
            <w:tcBorders>
              <w:bottom w:val="single" w:sz="0" w:space="0" w:color="000000"/>
            </w:tcBorders>
          </w:tcPr>
          <w:p>
            <w:pPr>
              <w:pStyle w:val="TableParagraph"/>
              <w:spacing w:before="18"/>
              <w:ind w:right="262"/>
              <w:rPr>
                <w:b/>
                <w:sz w:val="18"/>
              </w:rPr>
            </w:pPr>
            <w:r>
              <w:rPr>
                <w:b/>
                <w:w w:val="95"/>
                <w:sz w:val="18"/>
              </w:rPr>
              <w:t>(248,663)</w:t>
            </w:r>
          </w:p>
        </w:tc>
        <w:tc>
          <w:tcPr>
            <w:tcW w:w="1060" w:type="dxa"/>
            <w:tcBorders>
              <w:bottom w:val="single" w:sz="0" w:space="0" w:color="000000"/>
            </w:tcBorders>
          </w:tcPr>
          <w:p>
            <w:pPr>
              <w:pStyle w:val="TableParagraph"/>
              <w:spacing w:before="18"/>
              <w:ind w:right="233"/>
              <w:jc w:val="center"/>
              <w:rPr>
                <w:sz w:val="18"/>
              </w:rPr>
            </w:pPr>
            <w:r>
              <w:rPr>
                <w:w w:val="99"/>
                <w:sz w:val="18"/>
              </w:rPr>
              <w:t>-</w:t>
            </w:r>
          </w:p>
        </w:tc>
      </w:tr>
      <w:tr>
        <w:trPr>
          <w:trHeight w:val="338" w:hRule="exact"/>
        </w:trPr>
        <w:tc>
          <w:tcPr>
            <w:tcW w:w="283" w:type="dxa"/>
          </w:tcPr>
          <w:p>
            <w:pPr/>
          </w:p>
        </w:tc>
        <w:tc>
          <w:tcPr>
            <w:tcW w:w="6264" w:type="dxa"/>
          </w:tcPr>
          <w:p>
            <w:pPr>
              <w:pStyle w:val="TableParagraph"/>
              <w:spacing w:before="123"/>
              <w:ind w:left="715"/>
              <w:jc w:val="left"/>
              <w:rPr>
                <w:b/>
                <w:sz w:val="18"/>
              </w:rPr>
            </w:pPr>
            <w:r>
              <w:rPr>
                <w:b/>
                <w:sz w:val="18"/>
              </w:rPr>
              <w:t>Balance as at 31 December</w:t>
            </w:r>
          </w:p>
        </w:tc>
        <w:tc>
          <w:tcPr>
            <w:tcW w:w="810" w:type="dxa"/>
          </w:tcPr>
          <w:p>
            <w:pPr/>
          </w:p>
        </w:tc>
        <w:tc>
          <w:tcPr>
            <w:tcW w:w="1534" w:type="dxa"/>
            <w:tcBorders>
              <w:top w:val="single" w:sz="0" w:space="0" w:color="000000"/>
              <w:bottom w:val="single" w:sz="0" w:space="0" w:color="000000"/>
            </w:tcBorders>
          </w:tcPr>
          <w:p>
            <w:pPr>
              <w:pStyle w:val="TableParagraph"/>
              <w:spacing w:before="122"/>
              <w:ind w:right="322"/>
              <w:rPr>
                <w:b/>
                <w:sz w:val="18"/>
              </w:rPr>
            </w:pPr>
            <w:r>
              <w:rPr>
                <w:b/>
                <w:w w:val="95"/>
                <w:sz w:val="18"/>
              </w:rPr>
              <w:t>26,379</w:t>
            </w:r>
          </w:p>
        </w:tc>
        <w:tc>
          <w:tcPr>
            <w:tcW w:w="1060" w:type="dxa"/>
            <w:tcBorders>
              <w:top w:val="single" w:sz="0" w:space="0" w:color="000000"/>
              <w:bottom w:val="single" w:sz="0" w:space="0" w:color="000000"/>
            </w:tcBorders>
          </w:tcPr>
          <w:p>
            <w:pPr>
              <w:pStyle w:val="TableParagraph"/>
              <w:spacing w:before="122"/>
              <w:ind w:right="85"/>
              <w:rPr>
                <w:sz w:val="18"/>
              </w:rPr>
            </w:pPr>
            <w:r>
              <w:rPr>
                <w:w w:val="95"/>
                <w:sz w:val="18"/>
              </w:rPr>
              <w:t>258,905</w:t>
            </w:r>
          </w:p>
        </w:tc>
      </w:tr>
      <w:tr>
        <w:trPr>
          <w:trHeight w:val="602" w:hRule="exact"/>
        </w:trPr>
        <w:tc>
          <w:tcPr>
            <w:tcW w:w="283" w:type="dxa"/>
          </w:tcPr>
          <w:p>
            <w:pPr/>
          </w:p>
        </w:tc>
        <w:tc>
          <w:tcPr>
            <w:tcW w:w="6264" w:type="dxa"/>
          </w:tcPr>
          <w:p>
            <w:pPr>
              <w:pStyle w:val="TableParagraph"/>
              <w:spacing w:before="11"/>
              <w:jc w:val="left"/>
              <w:rPr>
                <w:b/>
                <w:sz w:val="25"/>
              </w:rPr>
            </w:pPr>
          </w:p>
          <w:p>
            <w:pPr>
              <w:pStyle w:val="TableParagraph"/>
              <w:ind w:left="715"/>
              <w:jc w:val="left"/>
              <w:rPr>
                <w:b/>
                <w:sz w:val="18"/>
              </w:rPr>
            </w:pPr>
            <w:r>
              <w:rPr>
                <w:b/>
                <w:sz w:val="18"/>
              </w:rPr>
              <w:t>Credit risk</w:t>
            </w:r>
          </w:p>
        </w:tc>
        <w:tc>
          <w:tcPr>
            <w:tcW w:w="810" w:type="dxa"/>
          </w:tcPr>
          <w:p>
            <w:pPr/>
          </w:p>
        </w:tc>
        <w:tc>
          <w:tcPr>
            <w:tcW w:w="1534" w:type="dxa"/>
            <w:tcBorders>
              <w:top w:val="single" w:sz="0" w:space="0" w:color="000000"/>
            </w:tcBorders>
          </w:tcPr>
          <w:p>
            <w:pPr/>
          </w:p>
        </w:tc>
        <w:tc>
          <w:tcPr>
            <w:tcW w:w="1060" w:type="dxa"/>
            <w:tcBorders>
              <w:top w:val="single" w:sz="0" w:space="0" w:color="000000"/>
            </w:tcBorders>
          </w:tcPr>
          <w:p>
            <w:pPr/>
          </w:p>
        </w:tc>
      </w:tr>
    </w:tbl>
    <w:p>
      <w:pPr>
        <w:pStyle w:val="BodyText"/>
        <w:spacing w:before="10"/>
        <w:rPr>
          <w:b/>
          <w:sz w:val="9"/>
        </w:rPr>
      </w:pPr>
    </w:p>
    <w:p>
      <w:pPr>
        <w:pStyle w:val="BodyText"/>
        <w:spacing w:before="78"/>
        <w:ind w:left="2392" w:right="1407"/>
      </w:pPr>
      <w:r>
        <w:rPr/>
        <w:drawing>
          <wp:anchor distT="0" distB="0" distL="0" distR="0" allowOverlap="1" layoutInCell="1" locked="0" behindDoc="0" simplePos="0" relativeHeight="8056">
            <wp:simplePos x="0" y="0"/>
            <wp:positionH relativeFrom="page">
              <wp:posOffset>-1587</wp:posOffset>
            </wp:positionH>
            <wp:positionV relativeFrom="paragraph">
              <wp:posOffset>-442037</wp:posOffset>
            </wp:positionV>
            <wp:extent cx="135159" cy="154019"/>
            <wp:effectExtent l="0" t="0" r="0" b="0"/>
            <wp:wrapNone/>
            <wp:docPr id="543" name="image13.png" descr=""/>
            <wp:cNvGraphicFramePr>
              <a:graphicFrameLocks noChangeAspect="1"/>
            </wp:cNvGraphicFramePr>
            <a:graphic>
              <a:graphicData uri="http://schemas.openxmlformats.org/drawingml/2006/picture">
                <pic:pic>
                  <pic:nvPicPr>
                    <pic:cNvPr id="544" name="image13.png"/>
                    <pic:cNvPicPr/>
                  </pic:nvPicPr>
                  <pic:blipFill>
                    <a:blip r:embed="rId18" cstate="print"/>
                    <a:stretch>
                      <a:fillRect/>
                    </a:stretch>
                  </pic:blipFill>
                  <pic:spPr>
                    <a:xfrm>
                      <a:off x="0" y="0"/>
                      <a:ext cx="135159" cy="154019"/>
                    </a:xfrm>
                    <a:prstGeom prst="rect">
                      <a:avLst/>
                    </a:prstGeom>
                  </pic:spPr>
                </pic:pic>
              </a:graphicData>
            </a:graphic>
          </wp:anchor>
        </w:drawing>
      </w:r>
      <w:r>
        <w:rPr/>
        <w:drawing>
          <wp:anchor distT="0" distB="0" distL="0" distR="0" allowOverlap="1" layoutInCell="1" locked="0" behindDoc="0" simplePos="0" relativeHeight="8080">
            <wp:simplePos x="0" y="0"/>
            <wp:positionH relativeFrom="page">
              <wp:posOffset>7958429</wp:posOffset>
            </wp:positionH>
            <wp:positionV relativeFrom="paragraph">
              <wp:posOffset>-442037</wp:posOffset>
            </wp:positionV>
            <wp:extent cx="135953" cy="155575"/>
            <wp:effectExtent l="0" t="0" r="0" b="0"/>
            <wp:wrapNone/>
            <wp:docPr id="545" name="image15.png" descr=""/>
            <wp:cNvGraphicFramePr>
              <a:graphicFrameLocks noChangeAspect="1"/>
            </wp:cNvGraphicFramePr>
            <a:graphic>
              <a:graphicData uri="http://schemas.openxmlformats.org/drawingml/2006/picture">
                <pic:pic>
                  <pic:nvPicPr>
                    <pic:cNvPr id="546" name="image15.png"/>
                    <pic:cNvPicPr/>
                  </pic:nvPicPr>
                  <pic:blipFill>
                    <a:blip r:embed="rId20" cstate="print"/>
                    <a:stretch>
                      <a:fillRect/>
                    </a:stretch>
                  </pic:blipFill>
                  <pic:spPr>
                    <a:xfrm>
                      <a:off x="0" y="0"/>
                      <a:ext cx="135953" cy="155575"/>
                    </a:xfrm>
                    <a:prstGeom prst="rect">
                      <a:avLst/>
                    </a:prstGeom>
                  </pic:spPr>
                </pic:pic>
              </a:graphicData>
            </a:graphic>
          </wp:anchor>
        </w:drawing>
      </w:r>
      <w:r>
        <w:rPr/>
        <w:t>The Company has no significant concentration of credit risk with respect to any single counterparty or group of counterparties. The class of assets described as 'trade and other receivables' is considered to be the main source of credit risk related to the Company.</w:t>
      </w:r>
    </w:p>
    <w:p>
      <w:pPr>
        <w:pStyle w:val="BodyText"/>
        <w:spacing w:before="11"/>
        <w:rPr>
          <w:sz w:val="24"/>
        </w:rPr>
      </w:pPr>
    </w:p>
    <w:p>
      <w:pPr>
        <w:pStyle w:val="BodyText"/>
        <w:ind w:left="2392" w:right="1375"/>
      </w:pPr>
      <w:r>
        <w:rPr/>
        <w:t>On a geographical basis, the Company has credit risk exposures in Australia only as all transactions are conducted in Australian dollars.</w:t>
      </w:r>
    </w:p>
    <w:p>
      <w:pPr>
        <w:pStyle w:val="BodyText"/>
        <w:spacing w:before="11"/>
        <w:rPr>
          <w:sz w:val="24"/>
        </w:rPr>
      </w:pPr>
    </w:p>
    <w:p>
      <w:pPr>
        <w:pStyle w:val="BodyText"/>
        <w:ind w:left="2392" w:right="1450"/>
      </w:pPr>
      <w:r>
        <w:rPr/>
        <w:t>The following table details the Company's trade and other receivables exposure to credit risk (prior to collateral and other credit enhancements) with ageing analysis and impairment provided for thereon. Amounts are considered as 'past due' when the debt has not been settled, within the terms and conditions agreed between the Company and the customer or counter party to the transaction. Receivables that are past due are assessed for impairment by ascertaining solvency of the debtors and are provided for where there is objective evidence indicating that the debt may not be fully repaid to the Company.</w:t>
      </w:r>
    </w:p>
    <w:p>
      <w:pPr>
        <w:spacing w:after="0"/>
        <w:sectPr>
          <w:pgSz w:w="12750" w:h="17680"/>
          <w:pgMar w:header="0" w:footer="867" w:top="1880" w:bottom="1120" w:left="0" w:right="0"/>
        </w:sectPr>
      </w:pPr>
    </w:p>
    <w:p>
      <w:pPr>
        <w:pStyle w:val="BodyText"/>
        <w:spacing w:before="2"/>
        <w:rPr>
          <w:sz w:val="24"/>
        </w:rPr>
      </w:pPr>
    </w:p>
    <w:p>
      <w:pPr>
        <w:pStyle w:val="Heading4"/>
      </w:pPr>
      <w:r>
        <w:rPr/>
        <w:t>Notes to the Financial Statements</w:t>
      </w:r>
    </w:p>
    <w:p>
      <w:pPr>
        <w:pStyle w:val="Heading7"/>
      </w:pPr>
      <w:r>
        <w:rPr/>
        <w:t>For the Year Ended 31 December 2016</w:t>
      </w:r>
    </w:p>
    <w:p>
      <w:pPr>
        <w:pStyle w:val="BodyText"/>
        <w:rPr>
          <w:b/>
          <w:sz w:val="22"/>
        </w:rPr>
      </w:pPr>
    </w:p>
    <w:p>
      <w:pPr>
        <w:pStyle w:val="BodyText"/>
        <w:rPr>
          <w:b/>
          <w:sz w:val="22"/>
        </w:rPr>
      </w:pPr>
    </w:p>
    <w:p>
      <w:pPr>
        <w:pStyle w:val="Heading8"/>
        <w:tabs>
          <w:tab w:pos="1825" w:val="left" w:leader="none"/>
        </w:tabs>
        <w:spacing w:before="160"/>
        <w:ind w:left="1429"/>
      </w:pPr>
      <w:r>
        <w:rPr/>
        <w:t>3</w:t>
        <w:tab/>
        <w:t>Trade and other receivables</w:t>
      </w:r>
      <w:r>
        <w:rPr>
          <w:spacing w:val="-6"/>
        </w:rPr>
        <w:t> </w:t>
      </w:r>
      <w:r>
        <w:rPr/>
        <w:t>continued</w:t>
      </w:r>
    </w:p>
    <w:p>
      <w:pPr>
        <w:pStyle w:val="BodyText"/>
        <w:spacing w:before="11"/>
        <w:rPr>
          <w:b/>
          <w:sz w:val="24"/>
        </w:rPr>
      </w:pPr>
    </w:p>
    <w:p>
      <w:pPr>
        <w:pStyle w:val="BodyText"/>
        <w:spacing w:after="36"/>
        <w:ind w:left="1825" w:right="1375"/>
      </w:pPr>
      <w:r>
        <w:rPr/>
        <w:t>The balances of receivables that remain within initial trade terms (as detailed in the table) are considered to be of high credit quality.</w:t>
      </w:r>
    </w:p>
    <w:tbl>
      <w:tblPr>
        <w:tblW w:w="0" w:type="auto"/>
        <w:jc w:val="left"/>
        <w:tblInd w:w="186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259"/>
        <w:gridCol w:w="893"/>
        <w:gridCol w:w="911"/>
        <w:gridCol w:w="816"/>
        <w:gridCol w:w="843"/>
        <w:gridCol w:w="890"/>
        <w:gridCol w:w="873"/>
      </w:tblGrid>
      <w:tr>
        <w:trPr>
          <w:trHeight w:val="294" w:hRule="exact"/>
        </w:trPr>
        <w:tc>
          <w:tcPr>
            <w:tcW w:w="9485" w:type="dxa"/>
            <w:gridSpan w:val="7"/>
          </w:tcPr>
          <w:p>
            <w:pPr>
              <w:pStyle w:val="TableParagraph"/>
              <w:spacing w:line="204" w:lineRule="exact"/>
              <w:ind w:left="6218"/>
              <w:jc w:val="left"/>
              <w:rPr>
                <w:b/>
                <w:sz w:val="18"/>
              </w:rPr>
            </w:pPr>
            <w:r>
              <w:rPr>
                <w:b/>
                <w:sz w:val="18"/>
              </w:rPr>
              <w:t>(Days overdue)</w:t>
            </w:r>
          </w:p>
        </w:tc>
      </w:tr>
      <w:tr>
        <w:trPr>
          <w:trHeight w:val="225" w:hRule="exact"/>
        </w:trPr>
        <w:tc>
          <w:tcPr>
            <w:tcW w:w="4259" w:type="dxa"/>
          </w:tcPr>
          <w:p>
            <w:pPr/>
          </w:p>
        </w:tc>
        <w:tc>
          <w:tcPr>
            <w:tcW w:w="893" w:type="dxa"/>
          </w:tcPr>
          <w:p>
            <w:pPr>
              <w:pStyle w:val="TableParagraph"/>
              <w:spacing w:line="184" w:lineRule="exact"/>
              <w:ind w:left="259"/>
              <w:jc w:val="left"/>
              <w:rPr>
                <w:b/>
                <w:sz w:val="18"/>
              </w:rPr>
            </w:pPr>
            <w:r>
              <w:rPr>
                <w:b/>
                <w:sz w:val="18"/>
              </w:rPr>
              <w:t>0-30</w:t>
            </w:r>
          </w:p>
        </w:tc>
        <w:tc>
          <w:tcPr>
            <w:tcW w:w="911" w:type="dxa"/>
          </w:tcPr>
          <w:p>
            <w:pPr>
              <w:pStyle w:val="TableParagraph"/>
              <w:spacing w:line="184" w:lineRule="exact"/>
              <w:ind w:left="52" w:right="119"/>
              <w:jc w:val="center"/>
              <w:rPr>
                <w:b/>
                <w:sz w:val="18"/>
              </w:rPr>
            </w:pPr>
            <w:r>
              <w:rPr>
                <w:b/>
                <w:sz w:val="18"/>
              </w:rPr>
              <w:t>30-60</w:t>
            </w:r>
          </w:p>
        </w:tc>
        <w:tc>
          <w:tcPr>
            <w:tcW w:w="816" w:type="dxa"/>
          </w:tcPr>
          <w:p>
            <w:pPr>
              <w:pStyle w:val="TableParagraph"/>
              <w:spacing w:line="184" w:lineRule="exact"/>
              <w:ind w:left="142"/>
              <w:jc w:val="left"/>
              <w:rPr>
                <w:b/>
                <w:sz w:val="18"/>
              </w:rPr>
            </w:pPr>
            <w:r>
              <w:rPr>
                <w:b/>
                <w:sz w:val="18"/>
              </w:rPr>
              <w:t>60-90</w:t>
            </w:r>
          </w:p>
        </w:tc>
        <w:tc>
          <w:tcPr>
            <w:tcW w:w="843" w:type="dxa"/>
          </w:tcPr>
          <w:p>
            <w:pPr>
              <w:pStyle w:val="TableParagraph"/>
              <w:spacing w:line="184" w:lineRule="exact"/>
              <w:ind w:right="158"/>
              <w:rPr>
                <w:b/>
                <w:sz w:val="18"/>
              </w:rPr>
            </w:pPr>
            <w:r>
              <w:rPr>
                <w:b/>
                <w:w w:val="95"/>
                <w:sz w:val="18"/>
              </w:rPr>
              <w:t>90-180</w:t>
            </w:r>
          </w:p>
        </w:tc>
        <w:tc>
          <w:tcPr>
            <w:tcW w:w="890" w:type="dxa"/>
          </w:tcPr>
          <w:p>
            <w:pPr>
              <w:pStyle w:val="TableParagraph"/>
              <w:spacing w:line="184" w:lineRule="exact"/>
              <w:ind w:left="194"/>
              <w:jc w:val="left"/>
              <w:rPr>
                <w:b/>
                <w:sz w:val="18"/>
              </w:rPr>
            </w:pPr>
            <w:r>
              <w:rPr>
                <w:b/>
                <w:sz w:val="18"/>
              </w:rPr>
              <w:t>&gt; 180</w:t>
            </w:r>
          </w:p>
        </w:tc>
        <w:tc>
          <w:tcPr>
            <w:tcW w:w="873" w:type="dxa"/>
          </w:tcPr>
          <w:p>
            <w:pPr>
              <w:pStyle w:val="TableParagraph"/>
              <w:spacing w:line="184" w:lineRule="exact"/>
              <w:ind w:left="206"/>
              <w:jc w:val="left"/>
              <w:rPr>
                <w:b/>
                <w:sz w:val="18"/>
              </w:rPr>
            </w:pPr>
            <w:r>
              <w:rPr>
                <w:b/>
                <w:sz w:val="18"/>
              </w:rPr>
              <w:t>Total</w:t>
            </w:r>
          </w:p>
        </w:tc>
      </w:tr>
      <w:tr>
        <w:trPr>
          <w:trHeight w:val="292" w:hRule="exact"/>
        </w:trPr>
        <w:tc>
          <w:tcPr>
            <w:tcW w:w="4259" w:type="dxa"/>
          </w:tcPr>
          <w:p>
            <w:pPr/>
          </w:p>
        </w:tc>
        <w:tc>
          <w:tcPr>
            <w:tcW w:w="893" w:type="dxa"/>
          </w:tcPr>
          <w:p>
            <w:pPr>
              <w:pStyle w:val="TableParagraph"/>
              <w:spacing w:before="24"/>
              <w:ind w:right="14"/>
              <w:jc w:val="center"/>
              <w:rPr>
                <w:b/>
                <w:sz w:val="16"/>
              </w:rPr>
            </w:pPr>
            <w:r>
              <w:rPr>
                <w:b/>
                <w:w w:val="99"/>
                <w:sz w:val="16"/>
              </w:rPr>
              <w:t>$</w:t>
            </w:r>
          </w:p>
        </w:tc>
        <w:tc>
          <w:tcPr>
            <w:tcW w:w="911" w:type="dxa"/>
          </w:tcPr>
          <w:p>
            <w:pPr>
              <w:pStyle w:val="TableParagraph"/>
              <w:spacing w:before="24"/>
              <w:ind w:right="67"/>
              <w:jc w:val="center"/>
              <w:rPr>
                <w:b/>
                <w:sz w:val="16"/>
              </w:rPr>
            </w:pPr>
            <w:r>
              <w:rPr>
                <w:b/>
                <w:w w:val="99"/>
                <w:sz w:val="16"/>
              </w:rPr>
              <w:t>$</w:t>
            </w:r>
          </w:p>
        </w:tc>
        <w:tc>
          <w:tcPr>
            <w:tcW w:w="816" w:type="dxa"/>
          </w:tcPr>
          <w:p>
            <w:pPr>
              <w:pStyle w:val="TableParagraph"/>
              <w:spacing w:before="24"/>
              <w:ind w:right="71"/>
              <w:jc w:val="center"/>
              <w:rPr>
                <w:b/>
                <w:sz w:val="16"/>
              </w:rPr>
            </w:pPr>
            <w:r>
              <w:rPr>
                <w:b/>
                <w:w w:val="99"/>
                <w:sz w:val="16"/>
              </w:rPr>
              <w:t>$</w:t>
            </w:r>
          </w:p>
        </w:tc>
        <w:tc>
          <w:tcPr>
            <w:tcW w:w="843" w:type="dxa"/>
          </w:tcPr>
          <w:p>
            <w:pPr>
              <w:pStyle w:val="TableParagraph"/>
              <w:spacing w:before="24"/>
              <w:ind w:right="35"/>
              <w:jc w:val="center"/>
              <w:rPr>
                <w:b/>
                <w:sz w:val="16"/>
              </w:rPr>
            </w:pPr>
            <w:r>
              <w:rPr>
                <w:b/>
                <w:w w:val="99"/>
                <w:sz w:val="16"/>
              </w:rPr>
              <w:t>$</w:t>
            </w:r>
          </w:p>
        </w:tc>
        <w:tc>
          <w:tcPr>
            <w:tcW w:w="890" w:type="dxa"/>
          </w:tcPr>
          <w:p>
            <w:pPr>
              <w:pStyle w:val="TableParagraph"/>
              <w:spacing w:before="24"/>
              <w:ind w:right="45"/>
              <w:jc w:val="center"/>
              <w:rPr>
                <w:b/>
                <w:sz w:val="16"/>
              </w:rPr>
            </w:pPr>
            <w:r>
              <w:rPr>
                <w:b/>
                <w:w w:val="99"/>
                <w:sz w:val="16"/>
              </w:rPr>
              <w:t>$</w:t>
            </w:r>
          </w:p>
        </w:tc>
        <w:tc>
          <w:tcPr>
            <w:tcW w:w="873" w:type="dxa"/>
          </w:tcPr>
          <w:p>
            <w:pPr>
              <w:pStyle w:val="TableParagraph"/>
              <w:spacing w:before="24"/>
              <w:ind w:right="27"/>
              <w:jc w:val="center"/>
              <w:rPr>
                <w:b/>
                <w:sz w:val="16"/>
              </w:rPr>
            </w:pPr>
            <w:r>
              <w:rPr>
                <w:b/>
                <w:w w:val="99"/>
                <w:sz w:val="16"/>
              </w:rPr>
              <w:t>$</w:t>
            </w:r>
          </w:p>
        </w:tc>
      </w:tr>
      <w:tr>
        <w:trPr>
          <w:trHeight w:val="513" w:hRule="exact"/>
        </w:trPr>
        <w:tc>
          <w:tcPr>
            <w:tcW w:w="4259" w:type="dxa"/>
          </w:tcPr>
          <w:p>
            <w:pPr>
              <w:pStyle w:val="TableParagraph"/>
              <w:spacing w:before="63"/>
              <w:ind w:left="35"/>
              <w:jc w:val="left"/>
              <w:rPr>
                <w:b/>
                <w:sz w:val="18"/>
              </w:rPr>
            </w:pPr>
            <w:r>
              <w:rPr>
                <w:b/>
                <w:sz w:val="18"/>
              </w:rPr>
              <w:t>2016</w:t>
            </w:r>
          </w:p>
          <w:p>
            <w:pPr>
              <w:pStyle w:val="TableParagraph"/>
              <w:spacing w:before="39"/>
              <w:ind w:left="35"/>
              <w:jc w:val="left"/>
              <w:rPr>
                <w:sz w:val="18"/>
              </w:rPr>
            </w:pPr>
            <w:r>
              <w:rPr>
                <w:sz w:val="18"/>
              </w:rPr>
              <w:t>Trade and student receivables</w:t>
            </w:r>
          </w:p>
        </w:tc>
        <w:tc>
          <w:tcPr>
            <w:tcW w:w="893" w:type="dxa"/>
          </w:tcPr>
          <w:p>
            <w:pPr>
              <w:pStyle w:val="TableParagraph"/>
              <w:spacing w:before="4"/>
              <w:jc w:val="left"/>
              <w:rPr>
                <w:sz w:val="26"/>
              </w:rPr>
            </w:pPr>
          </w:p>
          <w:p>
            <w:pPr>
              <w:pStyle w:val="TableParagraph"/>
              <w:ind w:right="119"/>
              <w:rPr>
                <w:b/>
                <w:sz w:val="18"/>
              </w:rPr>
            </w:pPr>
            <w:r>
              <w:rPr>
                <w:b/>
                <w:w w:val="95"/>
                <w:sz w:val="18"/>
              </w:rPr>
              <w:t>159,805</w:t>
            </w:r>
          </w:p>
        </w:tc>
        <w:tc>
          <w:tcPr>
            <w:tcW w:w="911" w:type="dxa"/>
          </w:tcPr>
          <w:p>
            <w:pPr>
              <w:pStyle w:val="TableParagraph"/>
              <w:spacing w:before="4"/>
              <w:jc w:val="left"/>
              <w:rPr>
                <w:sz w:val="26"/>
              </w:rPr>
            </w:pPr>
          </w:p>
          <w:p>
            <w:pPr>
              <w:pStyle w:val="TableParagraph"/>
              <w:ind w:left="100" w:right="119"/>
              <w:jc w:val="center"/>
              <w:rPr>
                <w:b/>
                <w:sz w:val="18"/>
              </w:rPr>
            </w:pPr>
            <w:r>
              <w:rPr>
                <w:b/>
                <w:sz w:val="18"/>
              </w:rPr>
              <w:t>176,871</w:t>
            </w:r>
          </w:p>
        </w:tc>
        <w:tc>
          <w:tcPr>
            <w:tcW w:w="816" w:type="dxa"/>
          </w:tcPr>
          <w:p>
            <w:pPr>
              <w:pStyle w:val="TableParagraph"/>
              <w:spacing w:before="4"/>
              <w:jc w:val="left"/>
              <w:rPr>
                <w:sz w:val="26"/>
              </w:rPr>
            </w:pPr>
          </w:p>
          <w:p>
            <w:pPr>
              <w:pStyle w:val="TableParagraph"/>
              <w:ind w:right="122"/>
              <w:rPr>
                <w:b/>
                <w:sz w:val="18"/>
              </w:rPr>
            </w:pPr>
            <w:r>
              <w:rPr>
                <w:b/>
                <w:sz w:val="18"/>
              </w:rPr>
              <w:t>4,893</w:t>
            </w:r>
          </w:p>
        </w:tc>
        <w:tc>
          <w:tcPr>
            <w:tcW w:w="843" w:type="dxa"/>
          </w:tcPr>
          <w:p>
            <w:pPr>
              <w:pStyle w:val="TableParagraph"/>
              <w:spacing w:before="4"/>
              <w:jc w:val="left"/>
              <w:rPr>
                <w:sz w:val="26"/>
              </w:rPr>
            </w:pPr>
          </w:p>
          <w:p>
            <w:pPr>
              <w:pStyle w:val="TableParagraph"/>
              <w:ind w:right="104"/>
              <w:rPr>
                <w:b/>
                <w:sz w:val="18"/>
              </w:rPr>
            </w:pPr>
            <w:r>
              <w:rPr>
                <w:b/>
                <w:w w:val="95"/>
                <w:sz w:val="18"/>
              </w:rPr>
              <w:t>40,633</w:t>
            </w:r>
          </w:p>
        </w:tc>
        <w:tc>
          <w:tcPr>
            <w:tcW w:w="890" w:type="dxa"/>
          </w:tcPr>
          <w:p>
            <w:pPr>
              <w:pStyle w:val="TableParagraph"/>
              <w:spacing w:before="4"/>
              <w:jc w:val="left"/>
              <w:rPr>
                <w:sz w:val="26"/>
              </w:rPr>
            </w:pPr>
          </w:p>
          <w:p>
            <w:pPr>
              <w:pStyle w:val="TableParagraph"/>
              <w:ind w:right="133"/>
              <w:rPr>
                <w:b/>
                <w:sz w:val="18"/>
              </w:rPr>
            </w:pPr>
            <w:r>
              <w:rPr>
                <w:b/>
                <w:w w:val="95"/>
                <w:sz w:val="18"/>
              </w:rPr>
              <w:t>43,999</w:t>
            </w:r>
          </w:p>
        </w:tc>
        <w:tc>
          <w:tcPr>
            <w:tcW w:w="873" w:type="dxa"/>
          </w:tcPr>
          <w:p>
            <w:pPr>
              <w:pStyle w:val="TableParagraph"/>
              <w:spacing w:before="4"/>
              <w:jc w:val="left"/>
              <w:rPr>
                <w:sz w:val="26"/>
              </w:rPr>
            </w:pPr>
          </w:p>
          <w:p>
            <w:pPr>
              <w:pStyle w:val="TableParagraph"/>
              <w:ind w:right="86"/>
              <w:rPr>
                <w:b/>
                <w:sz w:val="18"/>
              </w:rPr>
            </w:pPr>
            <w:r>
              <w:rPr>
                <w:b/>
                <w:w w:val="95"/>
                <w:sz w:val="18"/>
              </w:rPr>
              <w:t>426,201</w:t>
            </w:r>
          </w:p>
        </w:tc>
      </w:tr>
      <w:tr>
        <w:trPr>
          <w:trHeight w:val="317" w:hRule="exact"/>
        </w:trPr>
        <w:tc>
          <w:tcPr>
            <w:tcW w:w="4259" w:type="dxa"/>
          </w:tcPr>
          <w:p>
            <w:pPr>
              <w:pStyle w:val="TableParagraph"/>
              <w:spacing w:before="70"/>
              <w:ind w:left="34"/>
              <w:jc w:val="left"/>
              <w:rPr>
                <w:sz w:val="18"/>
              </w:rPr>
            </w:pPr>
            <w:r>
              <w:rPr>
                <w:sz w:val="18"/>
              </w:rPr>
              <w:t>Other receivables</w:t>
            </w:r>
          </w:p>
        </w:tc>
        <w:tc>
          <w:tcPr>
            <w:tcW w:w="893" w:type="dxa"/>
          </w:tcPr>
          <w:p>
            <w:pPr>
              <w:pStyle w:val="TableParagraph"/>
              <w:spacing w:before="64"/>
              <w:ind w:right="119"/>
              <w:rPr>
                <w:b/>
                <w:sz w:val="18"/>
              </w:rPr>
            </w:pPr>
            <w:r>
              <w:rPr>
                <w:b/>
                <w:sz w:val="18"/>
              </w:rPr>
              <w:t>1,571</w:t>
            </w:r>
          </w:p>
        </w:tc>
        <w:tc>
          <w:tcPr>
            <w:tcW w:w="911" w:type="dxa"/>
          </w:tcPr>
          <w:p>
            <w:pPr>
              <w:pStyle w:val="TableParagraph"/>
              <w:spacing w:before="64"/>
              <w:ind w:right="67"/>
              <w:jc w:val="center"/>
              <w:rPr>
                <w:b/>
                <w:sz w:val="18"/>
              </w:rPr>
            </w:pPr>
            <w:r>
              <w:rPr>
                <w:b/>
                <w:w w:val="99"/>
                <w:sz w:val="18"/>
              </w:rPr>
              <w:t>-</w:t>
            </w:r>
          </w:p>
        </w:tc>
        <w:tc>
          <w:tcPr>
            <w:tcW w:w="816" w:type="dxa"/>
          </w:tcPr>
          <w:p>
            <w:pPr>
              <w:pStyle w:val="TableParagraph"/>
              <w:spacing w:before="64"/>
              <w:ind w:right="71"/>
              <w:jc w:val="center"/>
              <w:rPr>
                <w:b/>
                <w:sz w:val="18"/>
              </w:rPr>
            </w:pPr>
            <w:r>
              <w:rPr>
                <w:b/>
                <w:w w:val="99"/>
                <w:sz w:val="18"/>
              </w:rPr>
              <w:t>-</w:t>
            </w:r>
          </w:p>
        </w:tc>
        <w:tc>
          <w:tcPr>
            <w:tcW w:w="843" w:type="dxa"/>
          </w:tcPr>
          <w:p>
            <w:pPr>
              <w:pStyle w:val="TableParagraph"/>
              <w:spacing w:before="64"/>
              <w:ind w:right="35"/>
              <w:jc w:val="center"/>
              <w:rPr>
                <w:b/>
                <w:sz w:val="18"/>
              </w:rPr>
            </w:pPr>
            <w:r>
              <w:rPr>
                <w:b/>
                <w:w w:val="99"/>
                <w:sz w:val="18"/>
              </w:rPr>
              <w:t>-</w:t>
            </w:r>
          </w:p>
        </w:tc>
        <w:tc>
          <w:tcPr>
            <w:tcW w:w="890" w:type="dxa"/>
          </w:tcPr>
          <w:p>
            <w:pPr>
              <w:pStyle w:val="TableParagraph"/>
              <w:spacing w:before="64"/>
              <w:ind w:right="45"/>
              <w:jc w:val="center"/>
              <w:rPr>
                <w:b/>
                <w:sz w:val="18"/>
              </w:rPr>
            </w:pPr>
            <w:r>
              <w:rPr>
                <w:b/>
                <w:w w:val="99"/>
                <w:sz w:val="18"/>
              </w:rPr>
              <w:t>-</w:t>
            </w:r>
          </w:p>
        </w:tc>
        <w:tc>
          <w:tcPr>
            <w:tcW w:w="873" w:type="dxa"/>
          </w:tcPr>
          <w:p>
            <w:pPr>
              <w:pStyle w:val="TableParagraph"/>
              <w:spacing w:before="64"/>
              <w:ind w:right="86"/>
              <w:rPr>
                <w:b/>
                <w:sz w:val="18"/>
              </w:rPr>
            </w:pPr>
            <w:r>
              <w:rPr>
                <w:b/>
                <w:sz w:val="18"/>
              </w:rPr>
              <w:t>1,571</w:t>
            </w:r>
          </w:p>
        </w:tc>
      </w:tr>
      <w:tr>
        <w:trPr>
          <w:trHeight w:val="274" w:hRule="exact"/>
        </w:trPr>
        <w:tc>
          <w:tcPr>
            <w:tcW w:w="4259" w:type="dxa"/>
          </w:tcPr>
          <w:p>
            <w:pPr>
              <w:pStyle w:val="TableParagraph"/>
              <w:spacing w:before="27"/>
              <w:ind w:left="35"/>
              <w:jc w:val="left"/>
              <w:rPr>
                <w:sz w:val="18"/>
              </w:rPr>
            </w:pPr>
            <w:r>
              <w:rPr>
                <w:sz w:val="18"/>
              </w:rPr>
              <w:t>Accrued interest</w:t>
            </w:r>
          </w:p>
        </w:tc>
        <w:tc>
          <w:tcPr>
            <w:tcW w:w="893" w:type="dxa"/>
          </w:tcPr>
          <w:p>
            <w:pPr>
              <w:pStyle w:val="TableParagraph"/>
              <w:spacing w:before="21"/>
              <w:ind w:right="119"/>
              <w:rPr>
                <w:b/>
                <w:sz w:val="18"/>
              </w:rPr>
            </w:pPr>
            <w:r>
              <w:rPr>
                <w:b/>
                <w:sz w:val="18"/>
              </w:rPr>
              <w:t>344</w:t>
            </w:r>
          </w:p>
        </w:tc>
        <w:tc>
          <w:tcPr>
            <w:tcW w:w="2570" w:type="dxa"/>
            <w:gridSpan w:val="3"/>
          </w:tcPr>
          <w:p>
            <w:pPr>
              <w:pStyle w:val="TableParagraph"/>
              <w:tabs>
                <w:tab w:pos="1252" w:val="left" w:leader="none"/>
                <w:tab w:pos="2099" w:val="left" w:leader="none"/>
              </w:tabs>
              <w:spacing w:before="21"/>
              <w:ind w:left="391"/>
              <w:jc w:val="left"/>
              <w:rPr>
                <w:b/>
                <w:sz w:val="18"/>
              </w:rPr>
            </w:pPr>
            <w:r>
              <w:rPr>
                <w:b/>
                <w:sz w:val="18"/>
              </w:rPr>
              <w:t>-</w:t>
              <w:tab/>
              <w:t>-</w:t>
              <w:tab/>
              <w:t>-</w:t>
            </w:r>
          </w:p>
        </w:tc>
        <w:tc>
          <w:tcPr>
            <w:tcW w:w="890" w:type="dxa"/>
          </w:tcPr>
          <w:p>
            <w:pPr>
              <w:pStyle w:val="TableParagraph"/>
              <w:spacing w:before="21"/>
              <w:ind w:right="45"/>
              <w:jc w:val="center"/>
              <w:rPr>
                <w:b/>
                <w:sz w:val="18"/>
              </w:rPr>
            </w:pPr>
            <w:r>
              <w:rPr>
                <w:b/>
                <w:w w:val="99"/>
                <w:sz w:val="18"/>
              </w:rPr>
              <w:t>-</w:t>
            </w:r>
          </w:p>
        </w:tc>
        <w:tc>
          <w:tcPr>
            <w:tcW w:w="873" w:type="dxa"/>
          </w:tcPr>
          <w:p>
            <w:pPr>
              <w:pStyle w:val="TableParagraph"/>
              <w:spacing w:before="21"/>
              <w:ind w:right="86"/>
              <w:rPr>
                <w:b/>
                <w:sz w:val="18"/>
              </w:rPr>
            </w:pPr>
            <w:r>
              <w:rPr>
                <w:b/>
                <w:sz w:val="18"/>
              </w:rPr>
              <w:t>344</w:t>
            </w:r>
          </w:p>
        </w:tc>
      </w:tr>
      <w:tr>
        <w:trPr>
          <w:trHeight w:val="269" w:hRule="exact"/>
        </w:trPr>
        <w:tc>
          <w:tcPr>
            <w:tcW w:w="4259" w:type="dxa"/>
          </w:tcPr>
          <w:p>
            <w:pPr>
              <w:pStyle w:val="TableParagraph"/>
              <w:spacing w:before="27"/>
              <w:ind w:left="35"/>
              <w:jc w:val="left"/>
              <w:rPr>
                <w:sz w:val="18"/>
              </w:rPr>
            </w:pPr>
            <w:r>
              <w:rPr>
                <w:sz w:val="18"/>
              </w:rPr>
              <w:t>Provision for doubtful receivables</w:t>
            </w:r>
          </w:p>
        </w:tc>
        <w:tc>
          <w:tcPr>
            <w:tcW w:w="893" w:type="dxa"/>
            <w:tcBorders>
              <w:bottom w:val="single" w:sz="0" w:space="0" w:color="000000"/>
            </w:tcBorders>
          </w:tcPr>
          <w:p>
            <w:pPr>
              <w:pStyle w:val="TableParagraph"/>
              <w:spacing w:before="21"/>
              <w:ind w:right="14"/>
              <w:jc w:val="center"/>
              <w:rPr>
                <w:b/>
                <w:sz w:val="18"/>
              </w:rPr>
            </w:pPr>
            <w:r>
              <w:rPr>
                <w:b/>
                <w:w w:val="99"/>
                <w:sz w:val="18"/>
              </w:rPr>
              <w:t>-</w:t>
            </w:r>
          </w:p>
        </w:tc>
        <w:tc>
          <w:tcPr>
            <w:tcW w:w="2570" w:type="dxa"/>
            <w:gridSpan w:val="3"/>
            <w:tcBorders>
              <w:bottom w:val="single" w:sz="0" w:space="0" w:color="000000"/>
            </w:tcBorders>
          </w:tcPr>
          <w:p>
            <w:pPr>
              <w:pStyle w:val="TableParagraph"/>
              <w:tabs>
                <w:tab w:pos="1252" w:val="left" w:leader="none"/>
                <w:tab w:pos="2104" w:val="left" w:leader="none"/>
              </w:tabs>
              <w:spacing w:before="21"/>
              <w:ind w:left="391"/>
              <w:jc w:val="left"/>
              <w:rPr>
                <w:b/>
                <w:sz w:val="18"/>
              </w:rPr>
            </w:pPr>
            <w:r>
              <w:rPr>
                <w:b/>
                <w:sz w:val="18"/>
              </w:rPr>
              <w:t>-</w:t>
              <w:tab/>
              <w:t>-</w:t>
              <w:tab/>
              <w:t>(200)</w:t>
            </w:r>
          </w:p>
        </w:tc>
        <w:tc>
          <w:tcPr>
            <w:tcW w:w="890" w:type="dxa"/>
            <w:tcBorders>
              <w:bottom w:val="single" w:sz="0" w:space="0" w:color="000000"/>
            </w:tcBorders>
          </w:tcPr>
          <w:p>
            <w:pPr>
              <w:pStyle w:val="TableParagraph"/>
              <w:spacing w:before="21"/>
              <w:ind w:right="73"/>
              <w:rPr>
                <w:b/>
                <w:sz w:val="18"/>
              </w:rPr>
            </w:pPr>
            <w:r>
              <w:rPr>
                <w:b/>
                <w:w w:val="95"/>
                <w:sz w:val="18"/>
              </w:rPr>
              <w:t>(26,179)</w:t>
            </w:r>
          </w:p>
        </w:tc>
        <w:tc>
          <w:tcPr>
            <w:tcW w:w="873" w:type="dxa"/>
            <w:tcBorders>
              <w:bottom w:val="single" w:sz="0" w:space="0" w:color="000000"/>
            </w:tcBorders>
          </w:tcPr>
          <w:p>
            <w:pPr>
              <w:pStyle w:val="TableParagraph"/>
              <w:spacing w:before="21"/>
              <w:ind w:right="27"/>
              <w:rPr>
                <w:b/>
                <w:sz w:val="18"/>
              </w:rPr>
            </w:pPr>
            <w:r>
              <w:rPr>
                <w:b/>
                <w:w w:val="95"/>
                <w:sz w:val="18"/>
              </w:rPr>
              <w:t>(26,379)</w:t>
            </w:r>
          </w:p>
        </w:tc>
      </w:tr>
      <w:tr>
        <w:trPr>
          <w:trHeight w:val="293" w:hRule="exact"/>
        </w:trPr>
        <w:tc>
          <w:tcPr>
            <w:tcW w:w="4259" w:type="dxa"/>
          </w:tcPr>
          <w:p>
            <w:pPr>
              <w:pStyle w:val="TableParagraph"/>
              <w:spacing w:before="40"/>
              <w:ind w:left="35"/>
              <w:jc w:val="left"/>
              <w:rPr>
                <w:sz w:val="18"/>
              </w:rPr>
            </w:pPr>
            <w:r>
              <w:rPr>
                <w:sz w:val="18"/>
              </w:rPr>
              <w:t>Total</w:t>
            </w:r>
          </w:p>
        </w:tc>
        <w:tc>
          <w:tcPr>
            <w:tcW w:w="893" w:type="dxa"/>
            <w:tcBorders>
              <w:bottom w:val="single" w:sz="0" w:space="0" w:color="000000"/>
            </w:tcBorders>
          </w:tcPr>
          <w:p>
            <w:pPr>
              <w:pStyle w:val="TableParagraph"/>
              <w:spacing w:before="34"/>
              <w:ind w:right="119"/>
              <w:rPr>
                <w:b/>
                <w:sz w:val="18"/>
              </w:rPr>
            </w:pPr>
            <w:r>
              <w:rPr>
                <w:b/>
                <w:w w:val="95"/>
                <w:sz w:val="18"/>
              </w:rPr>
              <w:t>161,720</w:t>
            </w:r>
          </w:p>
        </w:tc>
        <w:tc>
          <w:tcPr>
            <w:tcW w:w="911" w:type="dxa"/>
            <w:tcBorders>
              <w:bottom w:val="single" w:sz="0" w:space="0" w:color="000000"/>
            </w:tcBorders>
          </w:tcPr>
          <w:p>
            <w:pPr>
              <w:pStyle w:val="TableParagraph"/>
              <w:spacing w:before="34"/>
              <w:ind w:left="100" w:right="119"/>
              <w:jc w:val="center"/>
              <w:rPr>
                <w:b/>
                <w:sz w:val="18"/>
              </w:rPr>
            </w:pPr>
            <w:r>
              <w:rPr>
                <w:b/>
                <w:sz w:val="18"/>
              </w:rPr>
              <w:t>176,871</w:t>
            </w:r>
          </w:p>
        </w:tc>
        <w:tc>
          <w:tcPr>
            <w:tcW w:w="816" w:type="dxa"/>
            <w:tcBorders>
              <w:bottom w:val="single" w:sz="0" w:space="0" w:color="000000"/>
            </w:tcBorders>
          </w:tcPr>
          <w:p>
            <w:pPr>
              <w:pStyle w:val="TableParagraph"/>
              <w:spacing w:before="34"/>
              <w:ind w:right="122"/>
              <w:rPr>
                <w:b/>
                <w:sz w:val="18"/>
              </w:rPr>
            </w:pPr>
            <w:r>
              <w:rPr>
                <w:b/>
                <w:sz w:val="18"/>
              </w:rPr>
              <w:t>4,893</w:t>
            </w:r>
          </w:p>
        </w:tc>
        <w:tc>
          <w:tcPr>
            <w:tcW w:w="843" w:type="dxa"/>
            <w:tcBorders>
              <w:bottom w:val="single" w:sz="0" w:space="0" w:color="000000"/>
            </w:tcBorders>
          </w:tcPr>
          <w:p>
            <w:pPr>
              <w:pStyle w:val="TableParagraph"/>
              <w:spacing w:before="34"/>
              <w:ind w:right="104"/>
              <w:rPr>
                <w:b/>
                <w:sz w:val="18"/>
              </w:rPr>
            </w:pPr>
            <w:r>
              <w:rPr>
                <w:b/>
                <w:w w:val="95"/>
                <w:sz w:val="18"/>
              </w:rPr>
              <w:t>40,433</w:t>
            </w:r>
          </w:p>
        </w:tc>
        <w:tc>
          <w:tcPr>
            <w:tcW w:w="890" w:type="dxa"/>
            <w:tcBorders>
              <w:bottom w:val="single" w:sz="0" w:space="0" w:color="000000"/>
            </w:tcBorders>
          </w:tcPr>
          <w:p>
            <w:pPr>
              <w:pStyle w:val="TableParagraph"/>
              <w:spacing w:before="34"/>
              <w:ind w:right="133"/>
              <w:rPr>
                <w:b/>
                <w:sz w:val="18"/>
              </w:rPr>
            </w:pPr>
            <w:r>
              <w:rPr>
                <w:b/>
                <w:w w:val="95"/>
                <w:sz w:val="18"/>
              </w:rPr>
              <w:t>17,820</w:t>
            </w:r>
          </w:p>
        </w:tc>
        <w:tc>
          <w:tcPr>
            <w:tcW w:w="873" w:type="dxa"/>
            <w:tcBorders>
              <w:bottom w:val="single" w:sz="0" w:space="0" w:color="000000"/>
            </w:tcBorders>
          </w:tcPr>
          <w:p>
            <w:pPr>
              <w:pStyle w:val="TableParagraph"/>
              <w:spacing w:before="34"/>
              <w:ind w:right="86"/>
              <w:rPr>
                <w:b/>
                <w:sz w:val="18"/>
              </w:rPr>
            </w:pPr>
            <w:r>
              <w:rPr>
                <w:b/>
                <w:w w:val="95"/>
                <w:sz w:val="18"/>
              </w:rPr>
              <w:t>401,737</w:t>
            </w:r>
          </w:p>
        </w:tc>
      </w:tr>
      <w:tr>
        <w:trPr>
          <w:trHeight w:val="604" w:hRule="exact"/>
        </w:trPr>
        <w:tc>
          <w:tcPr>
            <w:tcW w:w="4259" w:type="dxa"/>
          </w:tcPr>
          <w:p>
            <w:pPr>
              <w:pStyle w:val="TableParagraph"/>
              <w:spacing w:before="123"/>
              <w:ind w:left="35"/>
              <w:jc w:val="left"/>
              <w:rPr>
                <w:b/>
                <w:sz w:val="18"/>
              </w:rPr>
            </w:pPr>
            <w:r>
              <w:rPr>
                <w:b/>
                <w:sz w:val="18"/>
              </w:rPr>
              <w:t>2015</w:t>
            </w:r>
          </w:p>
          <w:p>
            <w:pPr>
              <w:pStyle w:val="TableParagraph"/>
              <w:spacing w:before="29"/>
              <w:ind w:left="35"/>
              <w:jc w:val="left"/>
              <w:rPr>
                <w:sz w:val="18"/>
              </w:rPr>
            </w:pPr>
            <w:r>
              <w:rPr>
                <w:sz w:val="18"/>
              </w:rPr>
              <w:t>Trade and student receivables</w:t>
            </w:r>
          </w:p>
        </w:tc>
        <w:tc>
          <w:tcPr>
            <w:tcW w:w="893" w:type="dxa"/>
            <w:tcBorders>
              <w:top w:val="single" w:sz="0" w:space="0" w:color="000000"/>
            </w:tcBorders>
          </w:tcPr>
          <w:p>
            <w:pPr>
              <w:pStyle w:val="TableParagraph"/>
              <w:jc w:val="left"/>
              <w:rPr>
                <w:sz w:val="18"/>
              </w:rPr>
            </w:pPr>
          </w:p>
          <w:p>
            <w:pPr>
              <w:pStyle w:val="TableParagraph"/>
              <w:spacing w:before="151"/>
              <w:ind w:right="119"/>
              <w:rPr>
                <w:sz w:val="18"/>
              </w:rPr>
            </w:pPr>
            <w:r>
              <w:rPr>
                <w:w w:val="95"/>
                <w:sz w:val="18"/>
              </w:rPr>
              <w:t>94,242</w:t>
            </w:r>
          </w:p>
        </w:tc>
        <w:tc>
          <w:tcPr>
            <w:tcW w:w="911" w:type="dxa"/>
            <w:tcBorders>
              <w:top w:val="single" w:sz="0" w:space="0" w:color="000000"/>
            </w:tcBorders>
          </w:tcPr>
          <w:p>
            <w:pPr>
              <w:pStyle w:val="TableParagraph"/>
              <w:jc w:val="left"/>
              <w:rPr>
                <w:sz w:val="18"/>
              </w:rPr>
            </w:pPr>
          </w:p>
          <w:p>
            <w:pPr>
              <w:pStyle w:val="TableParagraph"/>
              <w:spacing w:before="151"/>
              <w:ind w:left="99" w:right="119"/>
              <w:jc w:val="center"/>
              <w:rPr>
                <w:sz w:val="18"/>
              </w:rPr>
            </w:pPr>
            <w:r>
              <w:rPr>
                <w:sz w:val="18"/>
              </w:rPr>
              <w:t>160,674</w:t>
            </w:r>
          </w:p>
        </w:tc>
        <w:tc>
          <w:tcPr>
            <w:tcW w:w="816" w:type="dxa"/>
            <w:tcBorders>
              <w:top w:val="single" w:sz="0" w:space="0" w:color="000000"/>
            </w:tcBorders>
          </w:tcPr>
          <w:p>
            <w:pPr>
              <w:pStyle w:val="TableParagraph"/>
              <w:jc w:val="left"/>
              <w:rPr>
                <w:sz w:val="18"/>
              </w:rPr>
            </w:pPr>
          </w:p>
          <w:p>
            <w:pPr>
              <w:pStyle w:val="TableParagraph"/>
              <w:spacing w:before="151"/>
              <w:ind w:right="122"/>
              <w:rPr>
                <w:sz w:val="18"/>
              </w:rPr>
            </w:pPr>
            <w:r>
              <w:rPr>
                <w:w w:val="95"/>
                <w:sz w:val="18"/>
              </w:rPr>
              <w:t>12,968</w:t>
            </w:r>
          </w:p>
        </w:tc>
        <w:tc>
          <w:tcPr>
            <w:tcW w:w="843" w:type="dxa"/>
            <w:tcBorders>
              <w:top w:val="single" w:sz="0" w:space="0" w:color="000000"/>
            </w:tcBorders>
          </w:tcPr>
          <w:p>
            <w:pPr>
              <w:pStyle w:val="TableParagraph"/>
              <w:jc w:val="left"/>
              <w:rPr>
                <w:sz w:val="18"/>
              </w:rPr>
            </w:pPr>
          </w:p>
          <w:p>
            <w:pPr>
              <w:pStyle w:val="TableParagraph"/>
              <w:spacing w:before="151"/>
              <w:ind w:right="104"/>
              <w:rPr>
                <w:sz w:val="18"/>
              </w:rPr>
            </w:pPr>
            <w:r>
              <w:rPr>
                <w:w w:val="95"/>
                <w:sz w:val="18"/>
              </w:rPr>
              <w:t>61,148</w:t>
            </w:r>
          </w:p>
        </w:tc>
        <w:tc>
          <w:tcPr>
            <w:tcW w:w="890" w:type="dxa"/>
            <w:tcBorders>
              <w:top w:val="single" w:sz="0" w:space="0" w:color="000000"/>
            </w:tcBorders>
          </w:tcPr>
          <w:p>
            <w:pPr>
              <w:pStyle w:val="TableParagraph"/>
              <w:jc w:val="left"/>
              <w:rPr>
                <w:sz w:val="18"/>
              </w:rPr>
            </w:pPr>
          </w:p>
          <w:p>
            <w:pPr>
              <w:pStyle w:val="TableParagraph"/>
              <w:spacing w:before="151"/>
              <w:ind w:right="133"/>
              <w:rPr>
                <w:sz w:val="18"/>
              </w:rPr>
            </w:pPr>
            <w:r>
              <w:rPr>
                <w:w w:val="95"/>
                <w:sz w:val="18"/>
              </w:rPr>
              <w:t>281,503</w:t>
            </w:r>
          </w:p>
        </w:tc>
        <w:tc>
          <w:tcPr>
            <w:tcW w:w="873" w:type="dxa"/>
            <w:tcBorders>
              <w:top w:val="single" w:sz="0" w:space="0" w:color="000000"/>
            </w:tcBorders>
          </w:tcPr>
          <w:p>
            <w:pPr>
              <w:pStyle w:val="TableParagraph"/>
              <w:jc w:val="left"/>
              <w:rPr>
                <w:sz w:val="18"/>
              </w:rPr>
            </w:pPr>
          </w:p>
          <w:p>
            <w:pPr>
              <w:pStyle w:val="TableParagraph"/>
              <w:spacing w:before="151"/>
              <w:ind w:right="86"/>
              <w:rPr>
                <w:sz w:val="18"/>
              </w:rPr>
            </w:pPr>
            <w:r>
              <w:rPr>
                <w:w w:val="95"/>
                <w:sz w:val="18"/>
              </w:rPr>
              <w:t>610,534</w:t>
            </w:r>
          </w:p>
        </w:tc>
      </w:tr>
      <w:tr>
        <w:trPr>
          <w:trHeight w:val="223" w:hRule="exact"/>
        </w:trPr>
        <w:tc>
          <w:tcPr>
            <w:tcW w:w="4259" w:type="dxa"/>
          </w:tcPr>
          <w:p>
            <w:pPr>
              <w:pStyle w:val="TableParagraph"/>
              <w:spacing w:before="19"/>
              <w:ind w:left="35"/>
              <w:jc w:val="left"/>
              <w:rPr>
                <w:sz w:val="18"/>
              </w:rPr>
            </w:pPr>
            <w:r>
              <w:rPr>
                <w:sz w:val="18"/>
              </w:rPr>
              <w:t>Other receivables</w:t>
            </w:r>
          </w:p>
        </w:tc>
        <w:tc>
          <w:tcPr>
            <w:tcW w:w="893" w:type="dxa"/>
          </w:tcPr>
          <w:p>
            <w:pPr>
              <w:pStyle w:val="TableParagraph"/>
              <w:spacing w:before="18"/>
              <w:ind w:right="119"/>
              <w:rPr>
                <w:sz w:val="18"/>
              </w:rPr>
            </w:pPr>
            <w:r>
              <w:rPr>
                <w:w w:val="95"/>
                <w:sz w:val="18"/>
              </w:rPr>
              <w:t>11,101</w:t>
            </w:r>
          </w:p>
        </w:tc>
        <w:tc>
          <w:tcPr>
            <w:tcW w:w="911" w:type="dxa"/>
          </w:tcPr>
          <w:p>
            <w:pPr>
              <w:pStyle w:val="TableParagraph"/>
              <w:spacing w:before="18"/>
              <w:ind w:right="67"/>
              <w:jc w:val="center"/>
              <w:rPr>
                <w:sz w:val="18"/>
              </w:rPr>
            </w:pPr>
            <w:r>
              <w:rPr>
                <w:w w:val="99"/>
                <w:sz w:val="18"/>
              </w:rPr>
              <w:t>-</w:t>
            </w:r>
          </w:p>
        </w:tc>
        <w:tc>
          <w:tcPr>
            <w:tcW w:w="816" w:type="dxa"/>
          </w:tcPr>
          <w:p>
            <w:pPr>
              <w:pStyle w:val="TableParagraph"/>
              <w:spacing w:before="18"/>
              <w:ind w:right="122"/>
              <w:rPr>
                <w:sz w:val="18"/>
              </w:rPr>
            </w:pPr>
            <w:r>
              <w:rPr>
                <w:sz w:val="18"/>
              </w:rPr>
              <w:t>15</w:t>
            </w:r>
          </w:p>
        </w:tc>
        <w:tc>
          <w:tcPr>
            <w:tcW w:w="843" w:type="dxa"/>
          </w:tcPr>
          <w:p>
            <w:pPr>
              <w:pStyle w:val="TableParagraph"/>
              <w:spacing w:before="18"/>
              <w:ind w:right="104"/>
              <w:rPr>
                <w:sz w:val="18"/>
              </w:rPr>
            </w:pPr>
            <w:r>
              <w:rPr>
                <w:sz w:val="18"/>
              </w:rPr>
              <w:t>4,831</w:t>
            </w:r>
          </w:p>
        </w:tc>
        <w:tc>
          <w:tcPr>
            <w:tcW w:w="890" w:type="dxa"/>
          </w:tcPr>
          <w:p>
            <w:pPr>
              <w:pStyle w:val="TableParagraph"/>
              <w:spacing w:before="18"/>
              <w:ind w:right="133"/>
              <w:rPr>
                <w:sz w:val="18"/>
              </w:rPr>
            </w:pPr>
            <w:r>
              <w:rPr>
                <w:sz w:val="18"/>
              </w:rPr>
              <w:t>1,200</w:t>
            </w:r>
          </w:p>
        </w:tc>
        <w:tc>
          <w:tcPr>
            <w:tcW w:w="873" w:type="dxa"/>
          </w:tcPr>
          <w:p>
            <w:pPr>
              <w:pStyle w:val="TableParagraph"/>
              <w:spacing w:before="18"/>
              <w:ind w:right="86"/>
              <w:rPr>
                <w:sz w:val="18"/>
              </w:rPr>
            </w:pPr>
            <w:r>
              <w:rPr>
                <w:w w:val="95"/>
                <w:sz w:val="18"/>
              </w:rPr>
              <w:t>17,147</w:t>
            </w:r>
          </w:p>
        </w:tc>
      </w:tr>
      <w:tr>
        <w:trPr>
          <w:trHeight w:val="305" w:hRule="exact"/>
        </w:trPr>
        <w:tc>
          <w:tcPr>
            <w:tcW w:w="4259" w:type="dxa"/>
          </w:tcPr>
          <w:p>
            <w:pPr>
              <w:pStyle w:val="TableParagraph"/>
              <w:spacing w:before="61"/>
              <w:ind w:left="35"/>
              <w:jc w:val="left"/>
              <w:rPr>
                <w:sz w:val="18"/>
              </w:rPr>
            </w:pPr>
            <w:r>
              <w:rPr>
                <w:sz w:val="18"/>
              </w:rPr>
              <w:t>Accrued interest</w:t>
            </w:r>
          </w:p>
        </w:tc>
        <w:tc>
          <w:tcPr>
            <w:tcW w:w="893" w:type="dxa"/>
          </w:tcPr>
          <w:p>
            <w:pPr>
              <w:pStyle w:val="TableParagraph"/>
              <w:spacing w:before="60"/>
              <w:ind w:right="119"/>
              <w:rPr>
                <w:sz w:val="18"/>
              </w:rPr>
            </w:pPr>
            <w:r>
              <w:rPr>
                <w:sz w:val="18"/>
              </w:rPr>
              <w:t>311</w:t>
            </w:r>
          </w:p>
        </w:tc>
        <w:tc>
          <w:tcPr>
            <w:tcW w:w="911" w:type="dxa"/>
          </w:tcPr>
          <w:p>
            <w:pPr>
              <w:pStyle w:val="TableParagraph"/>
              <w:spacing w:before="60"/>
              <w:ind w:right="67"/>
              <w:jc w:val="center"/>
              <w:rPr>
                <w:sz w:val="18"/>
              </w:rPr>
            </w:pPr>
            <w:r>
              <w:rPr>
                <w:w w:val="99"/>
                <w:sz w:val="18"/>
              </w:rPr>
              <w:t>-</w:t>
            </w:r>
          </w:p>
        </w:tc>
        <w:tc>
          <w:tcPr>
            <w:tcW w:w="816" w:type="dxa"/>
          </w:tcPr>
          <w:p>
            <w:pPr>
              <w:pStyle w:val="TableParagraph"/>
              <w:spacing w:before="60"/>
              <w:ind w:right="71"/>
              <w:jc w:val="center"/>
              <w:rPr>
                <w:sz w:val="18"/>
              </w:rPr>
            </w:pPr>
            <w:r>
              <w:rPr>
                <w:w w:val="99"/>
                <w:sz w:val="18"/>
              </w:rPr>
              <w:t>-</w:t>
            </w:r>
          </w:p>
        </w:tc>
        <w:tc>
          <w:tcPr>
            <w:tcW w:w="843" w:type="dxa"/>
          </w:tcPr>
          <w:p>
            <w:pPr>
              <w:pStyle w:val="TableParagraph"/>
              <w:spacing w:before="60"/>
              <w:ind w:right="35"/>
              <w:jc w:val="center"/>
              <w:rPr>
                <w:sz w:val="18"/>
              </w:rPr>
            </w:pPr>
            <w:r>
              <w:rPr>
                <w:w w:val="99"/>
                <w:sz w:val="18"/>
              </w:rPr>
              <w:t>-</w:t>
            </w:r>
          </w:p>
        </w:tc>
        <w:tc>
          <w:tcPr>
            <w:tcW w:w="890" w:type="dxa"/>
          </w:tcPr>
          <w:p>
            <w:pPr>
              <w:pStyle w:val="TableParagraph"/>
              <w:spacing w:before="60"/>
              <w:ind w:right="45"/>
              <w:jc w:val="center"/>
              <w:rPr>
                <w:sz w:val="18"/>
              </w:rPr>
            </w:pPr>
            <w:r>
              <w:rPr>
                <w:w w:val="99"/>
                <w:sz w:val="18"/>
              </w:rPr>
              <w:t>-</w:t>
            </w:r>
          </w:p>
        </w:tc>
        <w:tc>
          <w:tcPr>
            <w:tcW w:w="873" w:type="dxa"/>
          </w:tcPr>
          <w:p>
            <w:pPr>
              <w:pStyle w:val="TableParagraph"/>
              <w:spacing w:before="60"/>
              <w:ind w:right="86"/>
              <w:rPr>
                <w:sz w:val="18"/>
              </w:rPr>
            </w:pPr>
            <w:r>
              <w:rPr>
                <w:sz w:val="18"/>
              </w:rPr>
              <w:t>311</w:t>
            </w:r>
          </w:p>
        </w:tc>
      </w:tr>
      <w:tr>
        <w:trPr>
          <w:trHeight w:val="262" w:hRule="exact"/>
        </w:trPr>
        <w:tc>
          <w:tcPr>
            <w:tcW w:w="4259" w:type="dxa"/>
          </w:tcPr>
          <w:p>
            <w:pPr>
              <w:pStyle w:val="TableParagraph"/>
              <w:spacing w:before="19"/>
              <w:ind w:left="35"/>
              <w:jc w:val="left"/>
              <w:rPr>
                <w:sz w:val="18"/>
              </w:rPr>
            </w:pPr>
            <w:r>
              <w:rPr>
                <w:sz w:val="18"/>
              </w:rPr>
              <w:t>Provision for doubtful receivables</w:t>
            </w:r>
          </w:p>
        </w:tc>
        <w:tc>
          <w:tcPr>
            <w:tcW w:w="893" w:type="dxa"/>
            <w:tcBorders>
              <w:bottom w:val="single" w:sz="0" w:space="0" w:color="000000"/>
            </w:tcBorders>
          </w:tcPr>
          <w:p>
            <w:pPr>
              <w:pStyle w:val="TableParagraph"/>
              <w:spacing w:before="18"/>
              <w:ind w:right="14"/>
              <w:jc w:val="center"/>
              <w:rPr>
                <w:sz w:val="18"/>
              </w:rPr>
            </w:pPr>
            <w:r>
              <w:rPr>
                <w:w w:val="99"/>
                <w:sz w:val="18"/>
              </w:rPr>
              <w:t>-</w:t>
            </w:r>
          </w:p>
        </w:tc>
        <w:tc>
          <w:tcPr>
            <w:tcW w:w="911" w:type="dxa"/>
            <w:tcBorders>
              <w:bottom w:val="single" w:sz="0" w:space="0" w:color="000000"/>
            </w:tcBorders>
          </w:tcPr>
          <w:p>
            <w:pPr>
              <w:pStyle w:val="TableParagraph"/>
              <w:spacing w:before="18"/>
              <w:ind w:right="67"/>
              <w:jc w:val="center"/>
              <w:rPr>
                <w:sz w:val="18"/>
              </w:rPr>
            </w:pPr>
            <w:r>
              <w:rPr>
                <w:w w:val="99"/>
                <w:sz w:val="18"/>
              </w:rPr>
              <w:t>-</w:t>
            </w:r>
          </w:p>
        </w:tc>
        <w:tc>
          <w:tcPr>
            <w:tcW w:w="816" w:type="dxa"/>
            <w:tcBorders>
              <w:bottom w:val="single" w:sz="0" w:space="0" w:color="000000"/>
            </w:tcBorders>
          </w:tcPr>
          <w:p>
            <w:pPr>
              <w:pStyle w:val="TableParagraph"/>
              <w:spacing w:before="18"/>
              <w:ind w:right="71"/>
              <w:jc w:val="center"/>
              <w:rPr>
                <w:sz w:val="18"/>
              </w:rPr>
            </w:pPr>
            <w:r>
              <w:rPr>
                <w:w w:val="99"/>
                <w:sz w:val="18"/>
              </w:rPr>
              <w:t>-</w:t>
            </w:r>
          </w:p>
        </w:tc>
        <w:tc>
          <w:tcPr>
            <w:tcW w:w="843" w:type="dxa"/>
            <w:tcBorders>
              <w:bottom w:val="single" w:sz="0" w:space="0" w:color="000000"/>
            </w:tcBorders>
          </w:tcPr>
          <w:p>
            <w:pPr>
              <w:pStyle w:val="TableParagraph"/>
              <w:spacing w:before="18"/>
              <w:ind w:right="35"/>
              <w:jc w:val="center"/>
              <w:rPr>
                <w:sz w:val="18"/>
              </w:rPr>
            </w:pPr>
            <w:r>
              <w:rPr>
                <w:w w:val="99"/>
                <w:sz w:val="18"/>
              </w:rPr>
              <w:t>-</w:t>
            </w:r>
          </w:p>
        </w:tc>
        <w:tc>
          <w:tcPr>
            <w:tcW w:w="890" w:type="dxa"/>
            <w:tcBorders>
              <w:bottom w:val="single" w:sz="0" w:space="0" w:color="000000"/>
            </w:tcBorders>
          </w:tcPr>
          <w:p>
            <w:pPr>
              <w:pStyle w:val="TableParagraph"/>
              <w:spacing w:before="18"/>
              <w:ind w:right="73"/>
              <w:rPr>
                <w:sz w:val="18"/>
              </w:rPr>
            </w:pPr>
            <w:r>
              <w:rPr>
                <w:w w:val="95"/>
                <w:sz w:val="18"/>
              </w:rPr>
              <w:t>(258,905)</w:t>
            </w:r>
          </w:p>
        </w:tc>
        <w:tc>
          <w:tcPr>
            <w:tcW w:w="873" w:type="dxa"/>
            <w:tcBorders>
              <w:bottom w:val="single" w:sz="0" w:space="0" w:color="000000"/>
            </w:tcBorders>
          </w:tcPr>
          <w:p>
            <w:pPr>
              <w:pStyle w:val="TableParagraph"/>
              <w:spacing w:before="18"/>
              <w:ind w:right="27"/>
              <w:rPr>
                <w:sz w:val="18"/>
              </w:rPr>
            </w:pPr>
            <w:r>
              <w:rPr>
                <w:w w:val="95"/>
                <w:sz w:val="18"/>
              </w:rPr>
              <w:t>(258,905)</w:t>
            </w:r>
          </w:p>
        </w:tc>
      </w:tr>
      <w:tr>
        <w:trPr>
          <w:trHeight w:val="338" w:hRule="exact"/>
        </w:trPr>
        <w:tc>
          <w:tcPr>
            <w:tcW w:w="4259" w:type="dxa"/>
          </w:tcPr>
          <w:p>
            <w:pPr>
              <w:pStyle w:val="TableParagraph"/>
              <w:spacing w:before="95"/>
              <w:ind w:left="35"/>
              <w:jc w:val="left"/>
              <w:rPr>
                <w:sz w:val="18"/>
              </w:rPr>
            </w:pPr>
            <w:r>
              <w:rPr>
                <w:sz w:val="18"/>
              </w:rPr>
              <w:t>Total</w:t>
            </w:r>
          </w:p>
        </w:tc>
        <w:tc>
          <w:tcPr>
            <w:tcW w:w="893" w:type="dxa"/>
            <w:tcBorders>
              <w:top w:val="single" w:sz="0" w:space="0" w:color="000000"/>
              <w:bottom w:val="single" w:sz="0" w:space="0" w:color="000000"/>
            </w:tcBorders>
          </w:tcPr>
          <w:p>
            <w:pPr>
              <w:pStyle w:val="TableParagraph"/>
              <w:spacing w:before="122"/>
              <w:ind w:right="119"/>
              <w:rPr>
                <w:sz w:val="18"/>
              </w:rPr>
            </w:pPr>
            <w:r>
              <w:rPr>
                <w:w w:val="95"/>
                <w:sz w:val="18"/>
              </w:rPr>
              <w:t>105,654</w:t>
            </w:r>
          </w:p>
        </w:tc>
        <w:tc>
          <w:tcPr>
            <w:tcW w:w="911" w:type="dxa"/>
            <w:tcBorders>
              <w:top w:val="single" w:sz="0" w:space="0" w:color="000000"/>
              <w:bottom w:val="single" w:sz="0" w:space="0" w:color="000000"/>
            </w:tcBorders>
          </w:tcPr>
          <w:p>
            <w:pPr>
              <w:pStyle w:val="TableParagraph"/>
              <w:spacing w:before="122"/>
              <w:ind w:left="100" w:right="119"/>
              <w:jc w:val="center"/>
              <w:rPr>
                <w:sz w:val="18"/>
              </w:rPr>
            </w:pPr>
            <w:r>
              <w:rPr>
                <w:sz w:val="18"/>
              </w:rPr>
              <w:t>160,674</w:t>
            </w:r>
          </w:p>
        </w:tc>
        <w:tc>
          <w:tcPr>
            <w:tcW w:w="816" w:type="dxa"/>
            <w:tcBorders>
              <w:top w:val="single" w:sz="0" w:space="0" w:color="000000"/>
              <w:bottom w:val="single" w:sz="0" w:space="0" w:color="000000"/>
            </w:tcBorders>
          </w:tcPr>
          <w:p>
            <w:pPr>
              <w:pStyle w:val="TableParagraph"/>
              <w:spacing w:before="122"/>
              <w:ind w:right="122"/>
              <w:rPr>
                <w:sz w:val="18"/>
              </w:rPr>
            </w:pPr>
            <w:r>
              <w:rPr>
                <w:w w:val="95"/>
                <w:sz w:val="18"/>
              </w:rPr>
              <w:t>12,983</w:t>
            </w:r>
          </w:p>
        </w:tc>
        <w:tc>
          <w:tcPr>
            <w:tcW w:w="843" w:type="dxa"/>
            <w:tcBorders>
              <w:top w:val="single" w:sz="0" w:space="0" w:color="000000"/>
              <w:bottom w:val="single" w:sz="0" w:space="0" w:color="000000"/>
            </w:tcBorders>
          </w:tcPr>
          <w:p>
            <w:pPr>
              <w:pStyle w:val="TableParagraph"/>
              <w:spacing w:before="122"/>
              <w:ind w:right="104"/>
              <w:rPr>
                <w:sz w:val="18"/>
              </w:rPr>
            </w:pPr>
            <w:r>
              <w:rPr>
                <w:w w:val="95"/>
                <w:sz w:val="18"/>
              </w:rPr>
              <w:t>65,979</w:t>
            </w:r>
          </w:p>
        </w:tc>
        <w:tc>
          <w:tcPr>
            <w:tcW w:w="890" w:type="dxa"/>
            <w:tcBorders>
              <w:top w:val="single" w:sz="0" w:space="0" w:color="000000"/>
              <w:bottom w:val="single" w:sz="0" w:space="0" w:color="000000"/>
            </w:tcBorders>
          </w:tcPr>
          <w:p>
            <w:pPr>
              <w:pStyle w:val="TableParagraph"/>
              <w:spacing w:before="122"/>
              <w:ind w:right="133"/>
              <w:rPr>
                <w:sz w:val="18"/>
              </w:rPr>
            </w:pPr>
            <w:r>
              <w:rPr>
                <w:w w:val="95"/>
                <w:sz w:val="18"/>
              </w:rPr>
              <w:t>23,798</w:t>
            </w:r>
          </w:p>
        </w:tc>
        <w:tc>
          <w:tcPr>
            <w:tcW w:w="873" w:type="dxa"/>
            <w:tcBorders>
              <w:top w:val="single" w:sz="0" w:space="0" w:color="000000"/>
              <w:bottom w:val="single" w:sz="0" w:space="0" w:color="000000"/>
            </w:tcBorders>
          </w:tcPr>
          <w:p>
            <w:pPr>
              <w:pStyle w:val="TableParagraph"/>
              <w:spacing w:before="122"/>
              <w:ind w:right="86"/>
              <w:rPr>
                <w:sz w:val="18"/>
              </w:rPr>
            </w:pPr>
            <w:r>
              <w:rPr>
                <w:w w:val="95"/>
                <w:sz w:val="18"/>
              </w:rPr>
              <w:t>369,087</w:t>
            </w:r>
          </w:p>
        </w:tc>
      </w:tr>
    </w:tbl>
    <w:p>
      <w:pPr>
        <w:pStyle w:val="BodyText"/>
        <w:spacing w:before="3"/>
        <w:rPr>
          <w:sz w:val="19"/>
        </w:rPr>
      </w:pPr>
    </w:p>
    <w:p>
      <w:pPr>
        <w:pStyle w:val="BodyText"/>
        <w:spacing w:before="77"/>
        <w:ind w:left="1825" w:right="1375"/>
      </w:pPr>
      <w:r>
        <w:rPr/>
        <w:drawing>
          <wp:anchor distT="0" distB="0" distL="0" distR="0" allowOverlap="1" layoutInCell="1" locked="0" behindDoc="0" simplePos="0" relativeHeight="8104">
            <wp:simplePos x="0" y="0"/>
            <wp:positionH relativeFrom="page">
              <wp:posOffset>-1587</wp:posOffset>
            </wp:positionH>
            <wp:positionV relativeFrom="paragraph">
              <wp:posOffset>-124156</wp:posOffset>
            </wp:positionV>
            <wp:extent cx="135159" cy="154019"/>
            <wp:effectExtent l="0" t="0" r="0" b="0"/>
            <wp:wrapNone/>
            <wp:docPr id="547" name="image13.png" descr=""/>
            <wp:cNvGraphicFramePr>
              <a:graphicFrameLocks noChangeAspect="1"/>
            </wp:cNvGraphicFramePr>
            <a:graphic>
              <a:graphicData uri="http://schemas.openxmlformats.org/drawingml/2006/picture">
                <pic:pic>
                  <pic:nvPicPr>
                    <pic:cNvPr id="548" name="image13.png"/>
                    <pic:cNvPicPr/>
                  </pic:nvPicPr>
                  <pic:blipFill>
                    <a:blip r:embed="rId18" cstate="print"/>
                    <a:stretch>
                      <a:fillRect/>
                    </a:stretch>
                  </pic:blipFill>
                  <pic:spPr>
                    <a:xfrm>
                      <a:off x="0" y="0"/>
                      <a:ext cx="135159" cy="154019"/>
                    </a:xfrm>
                    <a:prstGeom prst="rect">
                      <a:avLst/>
                    </a:prstGeom>
                  </pic:spPr>
                </pic:pic>
              </a:graphicData>
            </a:graphic>
          </wp:anchor>
        </w:drawing>
      </w:r>
      <w:r>
        <w:rPr/>
        <w:drawing>
          <wp:anchor distT="0" distB="0" distL="0" distR="0" allowOverlap="1" layoutInCell="1" locked="0" behindDoc="0" simplePos="0" relativeHeight="8128">
            <wp:simplePos x="0" y="0"/>
            <wp:positionH relativeFrom="page">
              <wp:posOffset>7958429</wp:posOffset>
            </wp:positionH>
            <wp:positionV relativeFrom="paragraph">
              <wp:posOffset>-124156</wp:posOffset>
            </wp:positionV>
            <wp:extent cx="135953" cy="155575"/>
            <wp:effectExtent l="0" t="0" r="0" b="0"/>
            <wp:wrapNone/>
            <wp:docPr id="549" name="image15.png" descr=""/>
            <wp:cNvGraphicFramePr>
              <a:graphicFrameLocks noChangeAspect="1"/>
            </wp:cNvGraphicFramePr>
            <a:graphic>
              <a:graphicData uri="http://schemas.openxmlformats.org/drawingml/2006/picture">
                <pic:pic>
                  <pic:nvPicPr>
                    <pic:cNvPr id="550" name="image15.png"/>
                    <pic:cNvPicPr/>
                  </pic:nvPicPr>
                  <pic:blipFill>
                    <a:blip r:embed="rId20" cstate="print"/>
                    <a:stretch>
                      <a:fillRect/>
                    </a:stretch>
                  </pic:blipFill>
                  <pic:spPr>
                    <a:xfrm>
                      <a:off x="0" y="0"/>
                      <a:ext cx="135953" cy="155575"/>
                    </a:xfrm>
                    <a:prstGeom prst="rect">
                      <a:avLst/>
                    </a:prstGeom>
                  </pic:spPr>
                </pic:pic>
              </a:graphicData>
            </a:graphic>
          </wp:anchor>
        </w:drawing>
      </w:r>
      <w:bookmarkStart w:name="4 Prepayments" w:id="208"/>
      <w:bookmarkEnd w:id="208"/>
      <w:r>
        <w:rPr/>
      </w:r>
      <w:r>
        <w:rPr/>
        <w:t>The Company does not hold any financial assets with renegotiated terms. The other class of receivables do not contain impaired assets. It is expected that these balances will be received when due.</w:t>
      </w:r>
    </w:p>
    <w:p>
      <w:pPr>
        <w:pStyle w:val="BodyText"/>
        <w:spacing w:before="3"/>
      </w:pPr>
    </w:p>
    <w:tbl>
      <w:tblPr>
        <w:tblW w:w="0" w:type="auto"/>
        <w:jc w:val="left"/>
        <w:tblInd w:w="139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82"/>
        <w:gridCol w:w="7075"/>
        <w:gridCol w:w="1459"/>
        <w:gridCol w:w="1135"/>
      </w:tblGrid>
      <w:tr>
        <w:trPr>
          <w:trHeight w:val="567" w:hRule="exact"/>
        </w:trPr>
        <w:tc>
          <w:tcPr>
            <w:tcW w:w="282" w:type="dxa"/>
          </w:tcPr>
          <w:p>
            <w:pPr>
              <w:pStyle w:val="TableParagraph"/>
              <w:spacing w:before="77"/>
              <w:ind w:left="35"/>
              <w:jc w:val="left"/>
              <w:rPr>
                <w:b/>
                <w:sz w:val="18"/>
              </w:rPr>
            </w:pPr>
            <w:r>
              <w:rPr>
                <w:b/>
                <w:w w:val="99"/>
                <w:sz w:val="18"/>
              </w:rPr>
              <w:t>4</w:t>
            </w:r>
          </w:p>
        </w:tc>
        <w:tc>
          <w:tcPr>
            <w:tcW w:w="7075" w:type="dxa"/>
          </w:tcPr>
          <w:p>
            <w:pPr>
              <w:pStyle w:val="TableParagraph"/>
              <w:spacing w:before="77"/>
              <w:ind w:left="147"/>
              <w:jc w:val="left"/>
              <w:rPr>
                <w:b/>
                <w:sz w:val="18"/>
              </w:rPr>
            </w:pPr>
            <w:r>
              <w:rPr>
                <w:b/>
                <w:sz w:val="18"/>
              </w:rPr>
              <w:t>Prepayments</w:t>
            </w:r>
          </w:p>
        </w:tc>
        <w:tc>
          <w:tcPr>
            <w:tcW w:w="1459" w:type="dxa"/>
          </w:tcPr>
          <w:p>
            <w:pPr>
              <w:pStyle w:val="TableParagraph"/>
              <w:jc w:val="left"/>
              <w:rPr>
                <w:sz w:val="18"/>
              </w:rPr>
            </w:pPr>
          </w:p>
          <w:p>
            <w:pPr>
              <w:pStyle w:val="TableParagraph"/>
              <w:spacing w:before="110"/>
              <w:ind w:left="698"/>
              <w:jc w:val="left"/>
              <w:rPr>
                <w:b/>
                <w:sz w:val="18"/>
              </w:rPr>
            </w:pPr>
            <w:r>
              <w:rPr>
                <w:b/>
                <w:sz w:val="18"/>
              </w:rPr>
              <w:t>2016</w:t>
            </w:r>
          </w:p>
        </w:tc>
        <w:tc>
          <w:tcPr>
            <w:tcW w:w="1135" w:type="dxa"/>
          </w:tcPr>
          <w:p>
            <w:pPr>
              <w:pStyle w:val="TableParagraph"/>
              <w:jc w:val="left"/>
              <w:rPr>
                <w:sz w:val="18"/>
              </w:rPr>
            </w:pPr>
          </w:p>
          <w:p>
            <w:pPr>
              <w:pStyle w:val="TableParagraph"/>
              <w:spacing w:before="110"/>
              <w:ind w:left="511"/>
              <w:jc w:val="left"/>
              <w:rPr>
                <w:b/>
                <w:sz w:val="18"/>
              </w:rPr>
            </w:pPr>
            <w:r>
              <w:rPr>
                <w:b/>
                <w:sz w:val="18"/>
              </w:rPr>
              <w:t>2015</w:t>
            </w:r>
          </w:p>
        </w:tc>
      </w:tr>
      <w:tr>
        <w:trPr>
          <w:trHeight w:val="271" w:hRule="exact"/>
        </w:trPr>
        <w:tc>
          <w:tcPr>
            <w:tcW w:w="282" w:type="dxa"/>
          </w:tcPr>
          <w:p>
            <w:pPr/>
          </w:p>
        </w:tc>
        <w:tc>
          <w:tcPr>
            <w:tcW w:w="7075" w:type="dxa"/>
          </w:tcPr>
          <w:p>
            <w:pPr/>
          </w:p>
        </w:tc>
        <w:tc>
          <w:tcPr>
            <w:tcW w:w="1459" w:type="dxa"/>
          </w:tcPr>
          <w:p>
            <w:pPr>
              <w:pStyle w:val="TableParagraph"/>
              <w:spacing w:before="24"/>
              <w:ind w:left="949"/>
              <w:jc w:val="left"/>
              <w:rPr>
                <w:b/>
                <w:sz w:val="18"/>
              </w:rPr>
            </w:pPr>
            <w:r>
              <w:rPr>
                <w:b/>
                <w:w w:val="99"/>
                <w:sz w:val="18"/>
              </w:rPr>
              <w:t>$</w:t>
            </w:r>
          </w:p>
        </w:tc>
        <w:tc>
          <w:tcPr>
            <w:tcW w:w="1135" w:type="dxa"/>
          </w:tcPr>
          <w:p>
            <w:pPr>
              <w:pStyle w:val="TableParagraph"/>
              <w:spacing w:before="24"/>
              <w:ind w:right="271"/>
              <w:rPr>
                <w:b/>
                <w:sz w:val="18"/>
              </w:rPr>
            </w:pPr>
            <w:r>
              <w:rPr>
                <w:b/>
                <w:w w:val="99"/>
                <w:sz w:val="18"/>
              </w:rPr>
              <w:t>$</w:t>
            </w:r>
          </w:p>
        </w:tc>
      </w:tr>
      <w:tr>
        <w:trPr>
          <w:trHeight w:val="267" w:hRule="exact"/>
        </w:trPr>
        <w:tc>
          <w:tcPr>
            <w:tcW w:w="282" w:type="dxa"/>
          </w:tcPr>
          <w:p>
            <w:pPr/>
          </w:p>
        </w:tc>
        <w:tc>
          <w:tcPr>
            <w:tcW w:w="7075" w:type="dxa"/>
          </w:tcPr>
          <w:p>
            <w:pPr>
              <w:pStyle w:val="TableParagraph"/>
              <w:spacing w:before="22"/>
              <w:ind w:left="192"/>
              <w:jc w:val="left"/>
              <w:rPr>
                <w:sz w:val="18"/>
              </w:rPr>
            </w:pPr>
            <w:r>
              <w:rPr>
                <w:sz w:val="18"/>
              </w:rPr>
              <w:t>Prepayments</w:t>
            </w:r>
          </w:p>
        </w:tc>
        <w:tc>
          <w:tcPr>
            <w:tcW w:w="1459" w:type="dxa"/>
          </w:tcPr>
          <w:p>
            <w:pPr>
              <w:pStyle w:val="TableParagraph"/>
              <w:spacing w:before="21"/>
              <w:ind w:right="247"/>
              <w:rPr>
                <w:b/>
                <w:sz w:val="18"/>
              </w:rPr>
            </w:pPr>
            <w:r>
              <w:rPr>
                <w:b/>
                <w:sz w:val="18"/>
              </w:rPr>
              <w:t>6,754</w:t>
            </w:r>
          </w:p>
        </w:tc>
        <w:tc>
          <w:tcPr>
            <w:tcW w:w="1135" w:type="dxa"/>
          </w:tcPr>
          <w:p>
            <w:pPr>
              <w:pStyle w:val="TableParagraph"/>
              <w:spacing w:before="21"/>
              <w:ind w:right="85"/>
              <w:rPr>
                <w:sz w:val="18"/>
              </w:rPr>
            </w:pPr>
            <w:r>
              <w:rPr>
                <w:w w:val="95"/>
                <w:sz w:val="18"/>
              </w:rPr>
              <w:t>131,242</w:t>
            </w:r>
          </w:p>
        </w:tc>
      </w:tr>
      <w:tr>
        <w:trPr>
          <w:trHeight w:val="262" w:hRule="exact"/>
        </w:trPr>
        <w:tc>
          <w:tcPr>
            <w:tcW w:w="282" w:type="dxa"/>
          </w:tcPr>
          <w:p>
            <w:pPr/>
          </w:p>
        </w:tc>
        <w:tc>
          <w:tcPr>
            <w:tcW w:w="7075" w:type="dxa"/>
          </w:tcPr>
          <w:p>
            <w:pPr>
              <w:pStyle w:val="TableParagraph"/>
              <w:spacing w:before="19"/>
              <w:ind w:left="192"/>
              <w:jc w:val="left"/>
              <w:rPr>
                <w:sz w:val="18"/>
              </w:rPr>
            </w:pPr>
            <w:r>
              <w:rPr>
                <w:sz w:val="18"/>
              </w:rPr>
              <w:t>Internal capital funding for capital projects</w:t>
            </w:r>
          </w:p>
        </w:tc>
        <w:tc>
          <w:tcPr>
            <w:tcW w:w="1459" w:type="dxa"/>
            <w:tcBorders>
              <w:bottom w:val="single" w:sz="0" w:space="0" w:color="000000"/>
            </w:tcBorders>
          </w:tcPr>
          <w:p>
            <w:pPr>
              <w:pStyle w:val="TableParagraph"/>
              <w:spacing w:before="18"/>
              <w:ind w:right="247"/>
              <w:rPr>
                <w:b/>
                <w:sz w:val="18"/>
              </w:rPr>
            </w:pPr>
            <w:r>
              <w:rPr>
                <w:b/>
                <w:w w:val="95"/>
                <w:sz w:val="18"/>
              </w:rPr>
              <w:t>872,400</w:t>
            </w:r>
          </w:p>
        </w:tc>
        <w:tc>
          <w:tcPr>
            <w:tcW w:w="1135" w:type="dxa"/>
            <w:tcBorders>
              <w:bottom w:val="single" w:sz="0" w:space="0" w:color="000000"/>
            </w:tcBorders>
          </w:tcPr>
          <w:p>
            <w:pPr>
              <w:pStyle w:val="TableParagraph"/>
              <w:spacing w:before="18"/>
              <w:ind w:right="85"/>
              <w:rPr>
                <w:sz w:val="18"/>
              </w:rPr>
            </w:pPr>
            <w:r>
              <w:rPr>
                <w:w w:val="95"/>
                <w:sz w:val="18"/>
              </w:rPr>
              <w:t>3,319,813</w:t>
            </w:r>
          </w:p>
        </w:tc>
      </w:tr>
      <w:tr>
        <w:trPr>
          <w:trHeight w:val="338" w:hRule="exact"/>
        </w:trPr>
        <w:tc>
          <w:tcPr>
            <w:tcW w:w="282" w:type="dxa"/>
          </w:tcPr>
          <w:p>
            <w:pPr/>
          </w:p>
        </w:tc>
        <w:tc>
          <w:tcPr>
            <w:tcW w:w="7075" w:type="dxa"/>
          </w:tcPr>
          <w:p>
            <w:pPr>
              <w:pStyle w:val="TableParagraph"/>
              <w:spacing w:before="123"/>
              <w:ind w:left="192"/>
              <w:jc w:val="left"/>
              <w:rPr>
                <w:b/>
                <w:sz w:val="18"/>
              </w:rPr>
            </w:pPr>
            <w:r>
              <w:rPr>
                <w:b/>
                <w:sz w:val="18"/>
              </w:rPr>
              <w:t>Total Prepayments</w:t>
            </w:r>
          </w:p>
        </w:tc>
        <w:tc>
          <w:tcPr>
            <w:tcW w:w="1459" w:type="dxa"/>
            <w:tcBorders>
              <w:top w:val="single" w:sz="0" w:space="0" w:color="000000"/>
              <w:bottom w:val="single" w:sz="0" w:space="0" w:color="000000"/>
            </w:tcBorders>
          </w:tcPr>
          <w:p>
            <w:pPr>
              <w:pStyle w:val="TableParagraph"/>
              <w:spacing w:before="122"/>
              <w:ind w:right="247"/>
              <w:rPr>
                <w:b/>
                <w:sz w:val="18"/>
              </w:rPr>
            </w:pPr>
            <w:r>
              <w:rPr>
                <w:b/>
                <w:w w:val="95"/>
                <w:sz w:val="18"/>
              </w:rPr>
              <w:t>879,154</w:t>
            </w:r>
          </w:p>
        </w:tc>
        <w:tc>
          <w:tcPr>
            <w:tcW w:w="1135" w:type="dxa"/>
            <w:tcBorders>
              <w:top w:val="single" w:sz="0" w:space="0" w:color="000000"/>
              <w:bottom w:val="single" w:sz="0" w:space="0" w:color="000000"/>
            </w:tcBorders>
          </w:tcPr>
          <w:p>
            <w:pPr>
              <w:pStyle w:val="TableParagraph"/>
              <w:spacing w:before="122"/>
              <w:ind w:right="85"/>
              <w:rPr>
                <w:sz w:val="18"/>
              </w:rPr>
            </w:pPr>
            <w:r>
              <w:rPr>
                <w:w w:val="95"/>
                <w:sz w:val="18"/>
              </w:rPr>
              <w:t>3,451,055</w:t>
            </w:r>
          </w:p>
        </w:tc>
      </w:tr>
    </w:tbl>
    <w:p>
      <w:pPr>
        <w:spacing w:after="0"/>
        <w:rPr>
          <w:sz w:val="18"/>
        </w:rPr>
        <w:sectPr>
          <w:pgSz w:w="12750" w:h="17680"/>
          <w:pgMar w:header="0" w:footer="867" w:top="1880" w:bottom="1120" w:left="0" w:right="0"/>
        </w:sectPr>
      </w:pPr>
    </w:p>
    <w:p>
      <w:pPr>
        <w:pStyle w:val="BodyText"/>
        <w:spacing w:before="2"/>
        <w:rPr>
          <w:sz w:val="24"/>
        </w:rPr>
      </w:pPr>
    </w:p>
    <w:p>
      <w:pPr>
        <w:pStyle w:val="Heading4"/>
      </w:pPr>
      <w:r>
        <w:rPr/>
        <w:t>Notes to the Financial Statements</w:t>
      </w:r>
    </w:p>
    <w:p>
      <w:pPr>
        <w:pStyle w:val="Heading7"/>
      </w:pPr>
      <w:bookmarkStart w:name="Property, plant and equipment" w:id="209"/>
      <w:bookmarkEnd w:id="209"/>
      <w:r>
        <w:rPr>
          <w:b w:val="0"/>
        </w:rPr>
      </w:r>
      <w:r>
        <w:rPr/>
        <w:t>For the Year Ended 31 December 2016</w:t>
      </w:r>
    </w:p>
    <w:p>
      <w:pPr>
        <w:pStyle w:val="BodyText"/>
        <w:rPr>
          <w:b/>
          <w:sz w:val="20"/>
        </w:rPr>
      </w:pPr>
    </w:p>
    <w:p>
      <w:pPr>
        <w:pStyle w:val="BodyText"/>
        <w:rPr>
          <w:b/>
          <w:sz w:val="20"/>
        </w:rPr>
      </w:pPr>
    </w:p>
    <w:p>
      <w:pPr>
        <w:pStyle w:val="BodyText"/>
        <w:spacing w:before="3"/>
        <w:rPr>
          <w:b/>
          <w:sz w:val="11"/>
        </w:rPr>
      </w:pPr>
    </w:p>
    <w:tbl>
      <w:tblPr>
        <w:tblW w:w="0" w:type="auto"/>
        <w:jc w:val="left"/>
        <w:tblInd w:w="139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83"/>
        <w:gridCol w:w="7074"/>
        <w:gridCol w:w="1459"/>
        <w:gridCol w:w="1135"/>
      </w:tblGrid>
      <w:tr>
        <w:trPr>
          <w:trHeight w:val="567" w:hRule="exact"/>
        </w:trPr>
        <w:tc>
          <w:tcPr>
            <w:tcW w:w="283" w:type="dxa"/>
          </w:tcPr>
          <w:p>
            <w:pPr>
              <w:pStyle w:val="TableParagraph"/>
              <w:spacing w:before="77"/>
              <w:ind w:left="35"/>
              <w:jc w:val="left"/>
              <w:rPr>
                <w:b/>
                <w:sz w:val="18"/>
              </w:rPr>
            </w:pPr>
            <w:r>
              <w:rPr>
                <w:b/>
                <w:w w:val="99"/>
                <w:sz w:val="18"/>
              </w:rPr>
              <w:t>5</w:t>
            </w:r>
          </w:p>
        </w:tc>
        <w:tc>
          <w:tcPr>
            <w:tcW w:w="7074" w:type="dxa"/>
          </w:tcPr>
          <w:p>
            <w:pPr>
              <w:pStyle w:val="TableParagraph"/>
              <w:spacing w:before="77"/>
              <w:ind w:left="147"/>
              <w:jc w:val="left"/>
              <w:rPr>
                <w:b/>
                <w:sz w:val="18"/>
              </w:rPr>
            </w:pPr>
            <w:r>
              <w:rPr>
                <w:b/>
                <w:sz w:val="18"/>
              </w:rPr>
              <w:t>Property, plant and equipment</w:t>
            </w:r>
          </w:p>
        </w:tc>
        <w:tc>
          <w:tcPr>
            <w:tcW w:w="1459" w:type="dxa"/>
          </w:tcPr>
          <w:p>
            <w:pPr>
              <w:pStyle w:val="TableParagraph"/>
              <w:jc w:val="left"/>
              <w:rPr>
                <w:b/>
                <w:sz w:val="18"/>
              </w:rPr>
            </w:pPr>
          </w:p>
          <w:p>
            <w:pPr>
              <w:pStyle w:val="TableParagraph"/>
              <w:spacing w:before="110"/>
              <w:ind w:left="471"/>
              <w:jc w:val="left"/>
              <w:rPr>
                <w:b/>
                <w:sz w:val="18"/>
              </w:rPr>
            </w:pPr>
            <w:r>
              <w:rPr>
                <w:b/>
                <w:sz w:val="18"/>
              </w:rPr>
              <w:t>2016</w:t>
            </w:r>
          </w:p>
        </w:tc>
        <w:tc>
          <w:tcPr>
            <w:tcW w:w="1135" w:type="dxa"/>
          </w:tcPr>
          <w:p>
            <w:pPr>
              <w:pStyle w:val="TableParagraph"/>
              <w:jc w:val="left"/>
              <w:rPr>
                <w:b/>
                <w:sz w:val="18"/>
              </w:rPr>
            </w:pPr>
          </w:p>
          <w:p>
            <w:pPr>
              <w:pStyle w:val="TableParagraph"/>
              <w:spacing w:before="110"/>
              <w:ind w:left="295"/>
              <w:jc w:val="left"/>
              <w:rPr>
                <w:b/>
                <w:sz w:val="18"/>
              </w:rPr>
            </w:pPr>
            <w:r>
              <w:rPr>
                <w:b/>
                <w:sz w:val="18"/>
              </w:rPr>
              <w:t>2015</w:t>
            </w:r>
          </w:p>
        </w:tc>
      </w:tr>
      <w:tr>
        <w:trPr>
          <w:trHeight w:val="313" w:hRule="exact"/>
        </w:trPr>
        <w:tc>
          <w:tcPr>
            <w:tcW w:w="283" w:type="dxa"/>
          </w:tcPr>
          <w:p>
            <w:pPr/>
          </w:p>
        </w:tc>
        <w:tc>
          <w:tcPr>
            <w:tcW w:w="7074" w:type="dxa"/>
          </w:tcPr>
          <w:p>
            <w:pPr/>
          </w:p>
        </w:tc>
        <w:tc>
          <w:tcPr>
            <w:tcW w:w="1459" w:type="dxa"/>
          </w:tcPr>
          <w:p>
            <w:pPr>
              <w:pStyle w:val="TableParagraph"/>
              <w:spacing w:before="24"/>
              <w:ind w:right="113"/>
              <w:jc w:val="center"/>
              <w:rPr>
                <w:b/>
                <w:sz w:val="18"/>
              </w:rPr>
            </w:pPr>
            <w:r>
              <w:rPr>
                <w:b/>
                <w:w w:val="99"/>
                <w:sz w:val="18"/>
              </w:rPr>
              <w:t>$</w:t>
            </w:r>
          </w:p>
        </w:tc>
        <w:tc>
          <w:tcPr>
            <w:tcW w:w="1135" w:type="dxa"/>
          </w:tcPr>
          <w:p>
            <w:pPr>
              <w:pStyle w:val="TableParagraph"/>
              <w:spacing w:before="24"/>
              <w:ind w:right="142"/>
              <w:jc w:val="center"/>
              <w:rPr>
                <w:b/>
                <w:sz w:val="18"/>
              </w:rPr>
            </w:pPr>
            <w:r>
              <w:rPr>
                <w:b/>
                <w:w w:val="99"/>
                <w:sz w:val="18"/>
              </w:rPr>
              <w:t>$</w:t>
            </w:r>
          </w:p>
        </w:tc>
      </w:tr>
      <w:tr>
        <w:trPr>
          <w:trHeight w:val="544" w:hRule="exact"/>
        </w:trPr>
        <w:tc>
          <w:tcPr>
            <w:tcW w:w="283" w:type="dxa"/>
          </w:tcPr>
          <w:p>
            <w:pPr/>
          </w:p>
        </w:tc>
        <w:tc>
          <w:tcPr>
            <w:tcW w:w="7074" w:type="dxa"/>
          </w:tcPr>
          <w:p>
            <w:pPr>
              <w:pStyle w:val="TableParagraph"/>
              <w:spacing w:before="63"/>
              <w:ind w:left="192"/>
              <w:jc w:val="left"/>
              <w:rPr>
                <w:b/>
                <w:sz w:val="18"/>
              </w:rPr>
            </w:pPr>
            <w:r>
              <w:rPr>
                <w:b/>
                <w:sz w:val="18"/>
              </w:rPr>
              <w:t>Leasehold Improvements</w:t>
            </w:r>
          </w:p>
          <w:p>
            <w:pPr>
              <w:pStyle w:val="TableParagraph"/>
              <w:spacing w:before="29"/>
              <w:ind w:left="192"/>
              <w:jc w:val="left"/>
              <w:rPr>
                <w:sz w:val="18"/>
              </w:rPr>
            </w:pPr>
            <w:r>
              <w:rPr>
                <w:sz w:val="18"/>
              </w:rPr>
              <w:t>Leasehold improvements</w:t>
            </w:r>
          </w:p>
        </w:tc>
        <w:tc>
          <w:tcPr>
            <w:tcW w:w="1459" w:type="dxa"/>
          </w:tcPr>
          <w:p>
            <w:pPr>
              <w:pStyle w:val="TableParagraph"/>
              <w:spacing w:before="11"/>
              <w:jc w:val="left"/>
              <w:rPr>
                <w:b/>
                <w:sz w:val="25"/>
              </w:rPr>
            </w:pPr>
          </w:p>
          <w:p>
            <w:pPr>
              <w:pStyle w:val="TableParagraph"/>
              <w:ind w:right="247"/>
              <w:rPr>
                <w:b/>
                <w:sz w:val="18"/>
              </w:rPr>
            </w:pPr>
            <w:r>
              <w:rPr>
                <w:b/>
                <w:w w:val="95"/>
                <w:sz w:val="18"/>
              </w:rPr>
              <w:t>8,742,040</w:t>
            </w:r>
          </w:p>
        </w:tc>
        <w:tc>
          <w:tcPr>
            <w:tcW w:w="1135" w:type="dxa"/>
          </w:tcPr>
          <w:p>
            <w:pPr>
              <w:pStyle w:val="TableParagraph"/>
              <w:spacing w:before="11"/>
              <w:jc w:val="left"/>
              <w:rPr>
                <w:b/>
                <w:sz w:val="25"/>
              </w:rPr>
            </w:pPr>
          </w:p>
          <w:p>
            <w:pPr>
              <w:pStyle w:val="TableParagraph"/>
              <w:ind w:right="85"/>
              <w:rPr>
                <w:sz w:val="18"/>
              </w:rPr>
            </w:pPr>
            <w:r>
              <w:rPr>
                <w:w w:val="95"/>
                <w:sz w:val="18"/>
              </w:rPr>
              <w:t>4,993,196</w:t>
            </w:r>
          </w:p>
        </w:tc>
      </w:tr>
      <w:tr>
        <w:trPr>
          <w:trHeight w:val="262" w:hRule="exact"/>
        </w:trPr>
        <w:tc>
          <w:tcPr>
            <w:tcW w:w="283" w:type="dxa"/>
          </w:tcPr>
          <w:p>
            <w:pPr/>
          </w:p>
        </w:tc>
        <w:tc>
          <w:tcPr>
            <w:tcW w:w="7074" w:type="dxa"/>
          </w:tcPr>
          <w:p>
            <w:pPr>
              <w:pStyle w:val="TableParagraph"/>
              <w:spacing w:before="19"/>
              <w:ind w:left="192"/>
              <w:jc w:val="left"/>
              <w:rPr>
                <w:sz w:val="18"/>
              </w:rPr>
            </w:pPr>
            <w:r>
              <w:rPr>
                <w:sz w:val="18"/>
              </w:rPr>
              <w:t>Accumulated depreciation</w:t>
            </w:r>
          </w:p>
        </w:tc>
        <w:tc>
          <w:tcPr>
            <w:tcW w:w="1459" w:type="dxa"/>
            <w:tcBorders>
              <w:bottom w:val="single" w:sz="0" w:space="0" w:color="000000"/>
            </w:tcBorders>
          </w:tcPr>
          <w:p>
            <w:pPr>
              <w:pStyle w:val="TableParagraph"/>
              <w:spacing w:before="18"/>
              <w:ind w:right="187"/>
              <w:rPr>
                <w:b/>
                <w:sz w:val="18"/>
              </w:rPr>
            </w:pPr>
            <w:r>
              <w:rPr>
                <w:b/>
                <w:w w:val="95"/>
                <w:sz w:val="18"/>
              </w:rPr>
              <w:t>(3,841,451)</w:t>
            </w:r>
          </w:p>
        </w:tc>
        <w:tc>
          <w:tcPr>
            <w:tcW w:w="1135" w:type="dxa"/>
            <w:tcBorders>
              <w:bottom w:val="single" w:sz="0" w:space="0" w:color="000000"/>
            </w:tcBorders>
          </w:tcPr>
          <w:p>
            <w:pPr>
              <w:pStyle w:val="TableParagraph"/>
              <w:spacing w:before="18"/>
              <w:ind w:right="25"/>
              <w:rPr>
                <w:sz w:val="18"/>
              </w:rPr>
            </w:pPr>
            <w:r>
              <w:rPr>
                <w:w w:val="95"/>
                <w:sz w:val="18"/>
              </w:rPr>
              <w:t>(2,815,932)</w:t>
            </w:r>
          </w:p>
        </w:tc>
      </w:tr>
      <w:tr>
        <w:trPr>
          <w:trHeight w:val="338" w:hRule="exact"/>
        </w:trPr>
        <w:tc>
          <w:tcPr>
            <w:tcW w:w="283" w:type="dxa"/>
          </w:tcPr>
          <w:p>
            <w:pPr/>
          </w:p>
        </w:tc>
        <w:tc>
          <w:tcPr>
            <w:tcW w:w="7074" w:type="dxa"/>
          </w:tcPr>
          <w:p>
            <w:pPr>
              <w:pStyle w:val="TableParagraph"/>
              <w:spacing w:before="95"/>
              <w:ind w:left="192"/>
              <w:jc w:val="left"/>
              <w:rPr>
                <w:b/>
                <w:sz w:val="18"/>
              </w:rPr>
            </w:pPr>
            <w:r>
              <w:rPr>
                <w:b/>
                <w:sz w:val="18"/>
              </w:rPr>
              <w:t>Total leasehold improvements</w:t>
            </w:r>
          </w:p>
        </w:tc>
        <w:tc>
          <w:tcPr>
            <w:tcW w:w="1459" w:type="dxa"/>
            <w:tcBorders>
              <w:top w:val="single" w:sz="0" w:space="0" w:color="000000"/>
              <w:bottom w:val="single" w:sz="0" w:space="0" w:color="000000"/>
            </w:tcBorders>
          </w:tcPr>
          <w:p>
            <w:pPr>
              <w:pStyle w:val="TableParagraph"/>
              <w:spacing w:before="122"/>
              <w:ind w:right="247"/>
              <w:rPr>
                <w:b/>
                <w:sz w:val="18"/>
              </w:rPr>
            </w:pPr>
            <w:r>
              <w:rPr>
                <w:b/>
                <w:w w:val="95"/>
                <w:sz w:val="18"/>
              </w:rPr>
              <w:t>4,900,589</w:t>
            </w:r>
          </w:p>
        </w:tc>
        <w:tc>
          <w:tcPr>
            <w:tcW w:w="1135" w:type="dxa"/>
            <w:tcBorders>
              <w:top w:val="single" w:sz="0" w:space="0" w:color="000000"/>
              <w:bottom w:val="single" w:sz="0" w:space="0" w:color="000000"/>
            </w:tcBorders>
          </w:tcPr>
          <w:p>
            <w:pPr>
              <w:pStyle w:val="TableParagraph"/>
              <w:spacing w:before="122"/>
              <w:ind w:right="85"/>
              <w:rPr>
                <w:sz w:val="18"/>
              </w:rPr>
            </w:pPr>
            <w:r>
              <w:rPr>
                <w:w w:val="95"/>
                <w:sz w:val="18"/>
              </w:rPr>
              <w:t>2,177,264</w:t>
            </w:r>
          </w:p>
        </w:tc>
      </w:tr>
      <w:tr>
        <w:trPr>
          <w:trHeight w:val="604" w:hRule="exact"/>
        </w:trPr>
        <w:tc>
          <w:tcPr>
            <w:tcW w:w="283" w:type="dxa"/>
          </w:tcPr>
          <w:p>
            <w:pPr/>
          </w:p>
        </w:tc>
        <w:tc>
          <w:tcPr>
            <w:tcW w:w="7074" w:type="dxa"/>
          </w:tcPr>
          <w:p>
            <w:pPr>
              <w:pStyle w:val="TableParagraph"/>
              <w:spacing w:before="123"/>
              <w:ind w:left="192"/>
              <w:jc w:val="left"/>
              <w:rPr>
                <w:b/>
                <w:sz w:val="18"/>
              </w:rPr>
            </w:pPr>
            <w:r>
              <w:rPr>
                <w:b/>
                <w:sz w:val="18"/>
              </w:rPr>
              <w:t>Plant and equipment</w:t>
            </w:r>
          </w:p>
          <w:p>
            <w:pPr>
              <w:pStyle w:val="TableParagraph"/>
              <w:spacing w:before="29"/>
              <w:ind w:left="192"/>
              <w:jc w:val="left"/>
              <w:rPr>
                <w:sz w:val="18"/>
              </w:rPr>
            </w:pPr>
            <w:r>
              <w:rPr>
                <w:sz w:val="18"/>
              </w:rPr>
              <w:t>Property, Plant and Equipment</w:t>
            </w:r>
          </w:p>
        </w:tc>
        <w:tc>
          <w:tcPr>
            <w:tcW w:w="1459" w:type="dxa"/>
            <w:tcBorders>
              <w:top w:val="single" w:sz="0" w:space="0" w:color="000000"/>
            </w:tcBorders>
          </w:tcPr>
          <w:p>
            <w:pPr>
              <w:pStyle w:val="TableParagraph"/>
              <w:jc w:val="left"/>
              <w:rPr>
                <w:b/>
                <w:sz w:val="18"/>
              </w:rPr>
            </w:pPr>
          </w:p>
          <w:p>
            <w:pPr>
              <w:pStyle w:val="TableParagraph"/>
              <w:spacing w:before="151"/>
              <w:ind w:right="247"/>
              <w:rPr>
                <w:b/>
                <w:sz w:val="18"/>
              </w:rPr>
            </w:pPr>
            <w:r>
              <w:rPr>
                <w:b/>
                <w:w w:val="95"/>
                <w:sz w:val="18"/>
              </w:rPr>
              <w:t>901,463</w:t>
            </w:r>
          </w:p>
        </w:tc>
        <w:tc>
          <w:tcPr>
            <w:tcW w:w="1135" w:type="dxa"/>
            <w:tcBorders>
              <w:top w:val="single" w:sz="0" w:space="0" w:color="000000"/>
            </w:tcBorders>
          </w:tcPr>
          <w:p>
            <w:pPr>
              <w:pStyle w:val="TableParagraph"/>
              <w:jc w:val="left"/>
              <w:rPr>
                <w:b/>
                <w:sz w:val="18"/>
              </w:rPr>
            </w:pPr>
          </w:p>
          <w:p>
            <w:pPr>
              <w:pStyle w:val="TableParagraph"/>
              <w:spacing w:before="151"/>
              <w:ind w:right="85"/>
              <w:rPr>
                <w:sz w:val="18"/>
              </w:rPr>
            </w:pPr>
            <w:r>
              <w:rPr>
                <w:w w:val="95"/>
                <w:sz w:val="18"/>
              </w:rPr>
              <w:t>628,318</w:t>
            </w:r>
          </w:p>
        </w:tc>
      </w:tr>
      <w:tr>
        <w:trPr>
          <w:trHeight w:val="262" w:hRule="exact"/>
        </w:trPr>
        <w:tc>
          <w:tcPr>
            <w:tcW w:w="283" w:type="dxa"/>
          </w:tcPr>
          <w:p>
            <w:pPr/>
          </w:p>
        </w:tc>
        <w:tc>
          <w:tcPr>
            <w:tcW w:w="7074" w:type="dxa"/>
          </w:tcPr>
          <w:p>
            <w:pPr>
              <w:pStyle w:val="TableParagraph"/>
              <w:spacing w:before="19"/>
              <w:ind w:left="192"/>
              <w:jc w:val="left"/>
              <w:rPr>
                <w:sz w:val="18"/>
              </w:rPr>
            </w:pPr>
            <w:r>
              <w:rPr>
                <w:sz w:val="18"/>
              </w:rPr>
              <w:t>Accumulated depreciation</w:t>
            </w:r>
          </w:p>
        </w:tc>
        <w:tc>
          <w:tcPr>
            <w:tcW w:w="1459" w:type="dxa"/>
            <w:tcBorders>
              <w:bottom w:val="single" w:sz="0" w:space="0" w:color="000000"/>
            </w:tcBorders>
          </w:tcPr>
          <w:p>
            <w:pPr>
              <w:pStyle w:val="TableParagraph"/>
              <w:spacing w:before="18"/>
              <w:ind w:right="187"/>
              <w:rPr>
                <w:b/>
                <w:sz w:val="18"/>
              </w:rPr>
            </w:pPr>
            <w:r>
              <w:rPr>
                <w:b/>
                <w:w w:val="95"/>
                <w:sz w:val="18"/>
              </w:rPr>
              <w:t>(551,666)</w:t>
            </w:r>
          </w:p>
        </w:tc>
        <w:tc>
          <w:tcPr>
            <w:tcW w:w="1135" w:type="dxa"/>
            <w:tcBorders>
              <w:bottom w:val="single" w:sz="0" w:space="0" w:color="000000"/>
            </w:tcBorders>
          </w:tcPr>
          <w:p>
            <w:pPr>
              <w:pStyle w:val="TableParagraph"/>
              <w:spacing w:before="18"/>
              <w:ind w:right="26"/>
              <w:rPr>
                <w:sz w:val="18"/>
              </w:rPr>
            </w:pPr>
            <w:r>
              <w:rPr>
                <w:w w:val="95"/>
                <w:sz w:val="18"/>
              </w:rPr>
              <w:t>(458,040)</w:t>
            </w:r>
          </w:p>
        </w:tc>
      </w:tr>
      <w:tr>
        <w:trPr>
          <w:trHeight w:val="338" w:hRule="exact"/>
        </w:trPr>
        <w:tc>
          <w:tcPr>
            <w:tcW w:w="283" w:type="dxa"/>
          </w:tcPr>
          <w:p>
            <w:pPr/>
          </w:p>
        </w:tc>
        <w:tc>
          <w:tcPr>
            <w:tcW w:w="7074" w:type="dxa"/>
          </w:tcPr>
          <w:p>
            <w:pPr>
              <w:pStyle w:val="TableParagraph"/>
              <w:spacing w:before="95"/>
              <w:ind w:left="192"/>
              <w:jc w:val="left"/>
              <w:rPr>
                <w:b/>
                <w:sz w:val="18"/>
              </w:rPr>
            </w:pPr>
            <w:r>
              <w:rPr>
                <w:b/>
                <w:sz w:val="18"/>
              </w:rPr>
              <w:t>Total plant and equipment</w:t>
            </w:r>
          </w:p>
        </w:tc>
        <w:tc>
          <w:tcPr>
            <w:tcW w:w="1459" w:type="dxa"/>
            <w:tcBorders>
              <w:top w:val="single" w:sz="0" w:space="0" w:color="000000"/>
              <w:bottom w:val="single" w:sz="0" w:space="0" w:color="000000"/>
            </w:tcBorders>
          </w:tcPr>
          <w:p>
            <w:pPr>
              <w:pStyle w:val="TableParagraph"/>
              <w:spacing w:before="122"/>
              <w:ind w:right="247"/>
              <w:rPr>
                <w:b/>
                <w:sz w:val="18"/>
              </w:rPr>
            </w:pPr>
            <w:r>
              <w:rPr>
                <w:b/>
                <w:w w:val="95"/>
                <w:sz w:val="18"/>
              </w:rPr>
              <w:t>349,797</w:t>
            </w:r>
          </w:p>
        </w:tc>
        <w:tc>
          <w:tcPr>
            <w:tcW w:w="1135" w:type="dxa"/>
            <w:tcBorders>
              <w:top w:val="single" w:sz="0" w:space="0" w:color="000000"/>
              <w:bottom w:val="single" w:sz="0" w:space="0" w:color="000000"/>
            </w:tcBorders>
          </w:tcPr>
          <w:p>
            <w:pPr>
              <w:pStyle w:val="TableParagraph"/>
              <w:spacing w:before="122"/>
              <w:ind w:right="85"/>
              <w:rPr>
                <w:sz w:val="18"/>
              </w:rPr>
            </w:pPr>
            <w:r>
              <w:rPr>
                <w:w w:val="95"/>
                <w:sz w:val="18"/>
              </w:rPr>
              <w:t>170,278</w:t>
            </w:r>
          </w:p>
        </w:tc>
      </w:tr>
      <w:tr>
        <w:trPr>
          <w:trHeight w:val="602" w:hRule="exact"/>
        </w:trPr>
        <w:tc>
          <w:tcPr>
            <w:tcW w:w="283" w:type="dxa"/>
          </w:tcPr>
          <w:p>
            <w:pPr/>
          </w:p>
        </w:tc>
        <w:tc>
          <w:tcPr>
            <w:tcW w:w="7074" w:type="dxa"/>
          </w:tcPr>
          <w:p>
            <w:pPr>
              <w:pStyle w:val="TableParagraph"/>
              <w:spacing w:before="123"/>
              <w:ind w:left="192"/>
              <w:jc w:val="left"/>
              <w:rPr>
                <w:b/>
                <w:sz w:val="18"/>
              </w:rPr>
            </w:pPr>
            <w:r>
              <w:rPr>
                <w:b/>
                <w:sz w:val="18"/>
              </w:rPr>
              <w:t>Artwork</w:t>
            </w:r>
          </w:p>
          <w:p>
            <w:pPr>
              <w:pStyle w:val="TableParagraph"/>
              <w:spacing w:before="29"/>
              <w:ind w:left="192"/>
              <w:jc w:val="left"/>
              <w:rPr>
                <w:sz w:val="18"/>
              </w:rPr>
            </w:pPr>
            <w:r>
              <w:rPr>
                <w:sz w:val="18"/>
              </w:rPr>
              <w:t>At cost</w:t>
            </w:r>
          </w:p>
        </w:tc>
        <w:tc>
          <w:tcPr>
            <w:tcW w:w="1459" w:type="dxa"/>
            <w:tcBorders>
              <w:top w:val="single" w:sz="0" w:space="0" w:color="000000"/>
              <w:bottom w:val="single" w:sz="0" w:space="0" w:color="000000"/>
            </w:tcBorders>
          </w:tcPr>
          <w:p>
            <w:pPr>
              <w:pStyle w:val="TableParagraph"/>
              <w:jc w:val="left"/>
              <w:rPr>
                <w:b/>
                <w:sz w:val="18"/>
              </w:rPr>
            </w:pPr>
          </w:p>
          <w:p>
            <w:pPr>
              <w:pStyle w:val="TableParagraph"/>
              <w:spacing w:before="151"/>
              <w:ind w:right="247"/>
              <w:rPr>
                <w:b/>
                <w:sz w:val="18"/>
              </w:rPr>
            </w:pPr>
            <w:r>
              <w:rPr>
                <w:b/>
                <w:w w:val="95"/>
                <w:sz w:val="18"/>
              </w:rPr>
              <w:t>11,909</w:t>
            </w:r>
          </w:p>
        </w:tc>
        <w:tc>
          <w:tcPr>
            <w:tcW w:w="1135" w:type="dxa"/>
            <w:tcBorders>
              <w:top w:val="single" w:sz="0" w:space="0" w:color="000000"/>
              <w:bottom w:val="single" w:sz="0" w:space="0" w:color="000000"/>
            </w:tcBorders>
          </w:tcPr>
          <w:p>
            <w:pPr>
              <w:pStyle w:val="TableParagraph"/>
              <w:jc w:val="left"/>
              <w:rPr>
                <w:b/>
                <w:sz w:val="18"/>
              </w:rPr>
            </w:pPr>
          </w:p>
          <w:p>
            <w:pPr>
              <w:pStyle w:val="TableParagraph"/>
              <w:spacing w:before="151"/>
              <w:ind w:right="85"/>
              <w:rPr>
                <w:sz w:val="18"/>
              </w:rPr>
            </w:pPr>
            <w:r>
              <w:rPr>
                <w:w w:val="95"/>
                <w:sz w:val="18"/>
              </w:rPr>
              <w:t>11,909</w:t>
            </w:r>
          </w:p>
        </w:tc>
      </w:tr>
      <w:tr>
        <w:trPr>
          <w:trHeight w:val="338" w:hRule="exact"/>
        </w:trPr>
        <w:tc>
          <w:tcPr>
            <w:tcW w:w="283" w:type="dxa"/>
          </w:tcPr>
          <w:p>
            <w:pPr/>
          </w:p>
        </w:tc>
        <w:tc>
          <w:tcPr>
            <w:tcW w:w="7074" w:type="dxa"/>
          </w:tcPr>
          <w:p>
            <w:pPr>
              <w:pStyle w:val="TableParagraph"/>
              <w:spacing w:before="95"/>
              <w:ind w:left="192"/>
              <w:jc w:val="left"/>
              <w:rPr>
                <w:b/>
                <w:sz w:val="18"/>
              </w:rPr>
            </w:pPr>
            <w:r>
              <w:rPr>
                <w:b/>
                <w:sz w:val="18"/>
              </w:rPr>
              <w:t>Total artwork</w:t>
            </w:r>
          </w:p>
        </w:tc>
        <w:tc>
          <w:tcPr>
            <w:tcW w:w="1459" w:type="dxa"/>
            <w:tcBorders>
              <w:top w:val="single" w:sz="0" w:space="0" w:color="000000"/>
              <w:bottom w:val="single" w:sz="0" w:space="0" w:color="000000"/>
            </w:tcBorders>
          </w:tcPr>
          <w:p>
            <w:pPr>
              <w:pStyle w:val="TableParagraph"/>
              <w:spacing w:before="122"/>
              <w:ind w:right="247"/>
              <w:rPr>
                <w:b/>
                <w:sz w:val="18"/>
              </w:rPr>
            </w:pPr>
            <w:bookmarkStart w:name="(a) Movements in Carrying Amounts" w:id="210"/>
            <w:bookmarkEnd w:id="210"/>
            <w:r>
              <w:rPr/>
            </w:r>
            <w:r>
              <w:rPr>
                <w:b/>
                <w:w w:val="95"/>
                <w:sz w:val="18"/>
              </w:rPr>
              <w:t>11,909</w:t>
            </w:r>
          </w:p>
        </w:tc>
        <w:tc>
          <w:tcPr>
            <w:tcW w:w="1135" w:type="dxa"/>
            <w:tcBorders>
              <w:top w:val="single" w:sz="0" w:space="0" w:color="000000"/>
              <w:bottom w:val="single" w:sz="0" w:space="0" w:color="000000"/>
            </w:tcBorders>
          </w:tcPr>
          <w:p>
            <w:pPr>
              <w:pStyle w:val="TableParagraph"/>
              <w:spacing w:before="122"/>
              <w:ind w:right="85"/>
              <w:rPr>
                <w:sz w:val="18"/>
              </w:rPr>
            </w:pPr>
            <w:r>
              <w:rPr>
                <w:w w:val="95"/>
                <w:sz w:val="18"/>
              </w:rPr>
              <w:t>11,909</w:t>
            </w:r>
          </w:p>
        </w:tc>
      </w:tr>
      <w:tr>
        <w:trPr>
          <w:trHeight w:val="353" w:hRule="exact"/>
        </w:trPr>
        <w:tc>
          <w:tcPr>
            <w:tcW w:w="283" w:type="dxa"/>
          </w:tcPr>
          <w:p>
            <w:pPr/>
          </w:p>
        </w:tc>
        <w:tc>
          <w:tcPr>
            <w:tcW w:w="7074" w:type="dxa"/>
          </w:tcPr>
          <w:p>
            <w:pPr>
              <w:pStyle w:val="TableParagraph"/>
              <w:spacing w:before="123"/>
              <w:ind w:left="192"/>
              <w:jc w:val="left"/>
              <w:rPr>
                <w:b/>
                <w:sz w:val="18"/>
              </w:rPr>
            </w:pPr>
            <w:r>
              <w:rPr>
                <w:b/>
                <w:sz w:val="18"/>
              </w:rPr>
              <w:t>Total property, plant and equipment</w:t>
            </w:r>
          </w:p>
        </w:tc>
        <w:tc>
          <w:tcPr>
            <w:tcW w:w="1459" w:type="dxa"/>
            <w:tcBorders>
              <w:top w:val="single" w:sz="0" w:space="0" w:color="000000"/>
              <w:bottom w:val="single" w:sz="0" w:space="0" w:color="000000"/>
            </w:tcBorders>
          </w:tcPr>
          <w:p>
            <w:pPr>
              <w:pStyle w:val="TableParagraph"/>
              <w:spacing w:before="122"/>
              <w:ind w:right="247"/>
              <w:rPr>
                <w:b/>
                <w:sz w:val="18"/>
              </w:rPr>
            </w:pPr>
            <w:r>
              <w:rPr>
                <w:b/>
                <w:w w:val="95"/>
                <w:sz w:val="18"/>
              </w:rPr>
              <w:t>5,262,295</w:t>
            </w:r>
          </w:p>
        </w:tc>
        <w:tc>
          <w:tcPr>
            <w:tcW w:w="1135" w:type="dxa"/>
            <w:tcBorders>
              <w:top w:val="single" w:sz="0" w:space="0" w:color="000000"/>
              <w:bottom w:val="single" w:sz="0" w:space="0" w:color="000000"/>
            </w:tcBorders>
          </w:tcPr>
          <w:p>
            <w:pPr>
              <w:pStyle w:val="TableParagraph"/>
              <w:spacing w:before="122"/>
              <w:ind w:right="85"/>
              <w:rPr>
                <w:sz w:val="18"/>
              </w:rPr>
            </w:pPr>
            <w:r>
              <w:rPr>
                <w:w w:val="95"/>
                <w:sz w:val="18"/>
              </w:rPr>
              <w:t>2,359,451</w:t>
            </w:r>
          </w:p>
        </w:tc>
      </w:tr>
    </w:tbl>
    <w:p>
      <w:pPr>
        <w:pStyle w:val="BodyText"/>
        <w:rPr>
          <w:b/>
          <w:sz w:val="20"/>
        </w:rPr>
      </w:pPr>
    </w:p>
    <w:p>
      <w:pPr>
        <w:pStyle w:val="BodyText"/>
        <w:spacing w:before="2"/>
        <w:rPr>
          <w:b/>
          <w:sz w:val="20"/>
        </w:rPr>
      </w:pPr>
    </w:p>
    <w:p>
      <w:pPr>
        <w:pStyle w:val="Heading8"/>
        <w:numPr>
          <w:ilvl w:val="0"/>
          <w:numId w:val="48"/>
        </w:numPr>
        <w:tabs>
          <w:tab w:pos="2392" w:val="left" w:leader="none"/>
        </w:tabs>
        <w:spacing w:line="240" w:lineRule="auto" w:before="77" w:after="0"/>
        <w:ind w:left="2391" w:right="0" w:hanging="566"/>
        <w:jc w:val="left"/>
      </w:pPr>
      <w:r>
        <w:rPr/>
        <w:drawing>
          <wp:anchor distT="0" distB="0" distL="0" distR="0" allowOverlap="1" layoutInCell="1" locked="0" behindDoc="0" simplePos="0" relativeHeight="8152">
            <wp:simplePos x="0" y="0"/>
            <wp:positionH relativeFrom="page">
              <wp:posOffset>-1587</wp:posOffset>
            </wp:positionH>
            <wp:positionV relativeFrom="paragraph">
              <wp:posOffset>171499</wp:posOffset>
            </wp:positionV>
            <wp:extent cx="135159" cy="154019"/>
            <wp:effectExtent l="0" t="0" r="0" b="0"/>
            <wp:wrapNone/>
            <wp:docPr id="551" name="image13.png" descr=""/>
            <wp:cNvGraphicFramePr>
              <a:graphicFrameLocks noChangeAspect="1"/>
            </wp:cNvGraphicFramePr>
            <a:graphic>
              <a:graphicData uri="http://schemas.openxmlformats.org/drawingml/2006/picture">
                <pic:pic>
                  <pic:nvPicPr>
                    <pic:cNvPr id="552" name="image13.png"/>
                    <pic:cNvPicPr/>
                  </pic:nvPicPr>
                  <pic:blipFill>
                    <a:blip r:embed="rId18" cstate="print"/>
                    <a:stretch>
                      <a:fillRect/>
                    </a:stretch>
                  </pic:blipFill>
                  <pic:spPr>
                    <a:xfrm>
                      <a:off x="0" y="0"/>
                      <a:ext cx="135159" cy="154019"/>
                    </a:xfrm>
                    <a:prstGeom prst="rect">
                      <a:avLst/>
                    </a:prstGeom>
                  </pic:spPr>
                </pic:pic>
              </a:graphicData>
            </a:graphic>
          </wp:anchor>
        </w:drawing>
      </w:r>
      <w:r>
        <w:rPr/>
        <w:drawing>
          <wp:anchor distT="0" distB="0" distL="0" distR="0" allowOverlap="1" layoutInCell="1" locked="0" behindDoc="0" simplePos="0" relativeHeight="8176">
            <wp:simplePos x="0" y="0"/>
            <wp:positionH relativeFrom="page">
              <wp:posOffset>7958429</wp:posOffset>
            </wp:positionH>
            <wp:positionV relativeFrom="paragraph">
              <wp:posOffset>171499</wp:posOffset>
            </wp:positionV>
            <wp:extent cx="135953" cy="155575"/>
            <wp:effectExtent l="0" t="0" r="0" b="0"/>
            <wp:wrapNone/>
            <wp:docPr id="553" name="image15.png" descr=""/>
            <wp:cNvGraphicFramePr>
              <a:graphicFrameLocks noChangeAspect="1"/>
            </wp:cNvGraphicFramePr>
            <a:graphic>
              <a:graphicData uri="http://schemas.openxmlformats.org/drawingml/2006/picture">
                <pic:pic>
                  <pic:nvPicPr>
                    <pic:cNvPr id="554" name="image15.png"/>
                    <pic:cNvPicPr/>
                  </pic:nvPicPr>
                  <pic:blipFill>
                    <a:blip r:embed="rId20" cstate="print"/>
                    <a:stretch>
                      <a:fillRect/>
                    </a:stretch>
                  </pic:blipFill>
                  <pic:spPr>
                    <a:xfrm>
                      <a:off x="0" y="0"/>
                      <a:ext cx="135953" cy="155575"/>
                    </a:xfrm>
                    <a:prstGeom prst="rect">
                      <a:avLst/>
                    </a:prstGeom>
                  </pic:spPr>
                </pic:pic>
              </a:graphicData>
            </a:graphic>
          </wp:anchor>
        </w:drawing>
      </w:r>
      <w:r>
        <w:rPr/>
        <w:t>Movements in Carrying</w:t>
      </w:r>
      <w:r>
        <w:rPr>
          <w:spacing w:val="-27"/>
        </w:rPr>
        <w:t> </w:t>
      </w:r>
      <w:r>
        <w:rPr/>
        <w:t>Amounts</w:t>
      </w:r>
    </w:p>
    <w:p>
      <w:pPr>
        <w:pStyle w:val="BodyText"/>
        <w:spacing w:before="4"/>
        <w:rPr>
          <w:b/>
          <w:sz w:val="25"/>
        </w:rPr>
      </w:pPr>
    </w:p>
    <w:p>
      <w:pPr>
        <w:pStyle w:val="BodyText"/>
        <w:ind w:left="2392" w:right="1375"/>
      </w:pPr>
      <w:r>
        <w:rPr/>
        <w:t>Movement in the carrying amounts for each class of property, plant and equipment between the beginning and the end of the financial year:</w:t>
      </w:r>
    </w:p>
    <w:p>
      <w:pPr>
        <w:pStyle w:val="Heading8"/>
        <w:tabs>
          <w:tab w:pos="7363" w:val="left" w:leader="none"/>
        </w:tabs>
        <w:spacing w:before="33"/>
        <w:ind w:left="6225"/>
      </w:pPr>
      <w:r>
        <w:rPr/>
        <w:t>Leasehold</w:t>
        <w:tab/>
        <w:t>Property,</w:t>
      </w:r>
      <w:r>
        <w:rPr>
          <w:spacing w:val="-14"/>
        </w:rPr>
        <w:t> </w:t>
      </w:r>
      <w:r>
        <w:rPr/>
        <w:t>Plant</w:t>
      </w:r>
    </w:p>
    <w:p>
      <w:pPr>
        <w:spacing w:after="0"/>
        <w:sectPr>
          <w:pgSz w:w="12750" w:h="17680"/>
          <w:pgMar w:header="0" w:footer="867" w:top="1880" w:bottom="1120" w:left="0" w:right="0"/>
        </w:sectPr>
      </w:pPr>
    </w:p>
    <w:p>
      <w:pPr>
        <w:spacing w:line="206" w:lineRule="exact" w:before="0"/>
        <w:ind w:left="0" w:right="0" w:firstLine="0"/>
        <w:jc w:val="right"/>
        <w:rPr>
          <w:b/>
          <w:sz w:val="18"/>
        </w:rPr>
      </w:pPr>
      <w:r>
        <w:rPr>
          <w:b/>
          <w:sz w:val="18"/>
        </w:rPr>
        <w:t>improvements and Equipment</w:t>
      </w:r>
    </w:p>
    <w:p>
      <w:pPr>
        <w:spacing w:line="206" w:lineRule="exact" w:before="0"/>
        <w:ind w:left="300" w:right="-20" w:firstLine="0"/>
        <w:jc w:val="left"/>
        <w:rPr>
          <w:b/>
          <w:sz w:val="18"/>
        </w:rPr>
      </w:pPr>
      <w:r>
        <w:rPr/>
        <w:br w:type="column"/>
      </w:r>
      <w:r>
        <w:rPr>
          <w:b/>
          <w:sz w:val="18"/>
        </w:rPr>
        <w:t>Artwork</w:t>
      </w:r>
    </w:p>
    <w:p>
      <w:pPr>
        <w:spacing w:line="206" w:lineRule="exact" w:before="0"/>
        <w:ind w:left="737" w:right="0" w:firstLine="0"/>
        <w:jc w:val="left"/>
        <w:rPr>
          <w:b/>
          <w:sz w:val="18"/>
        </w:rPr>
      </w:pPr>
      <w:r>
        <w:rPr/>
        <w:br w:type="column"/>
      </w:r>
      <w:r>
        <w:rPr>
          <w:b/>
          <w:sz w:val="18"/>
        </w:rPr>
        <w:t>Total</w:t>
      </w:r>
    </w:p>
    <w:p>
      <w:pPr>
        <w:spacing w:after="0" w:line="206" w:lineRule="exact"/>
        <w:jc w:val="left"/>
        <w:rPr>
          <w:sz w:val="18"/>
        </w:rPr>
        <w:sectPr>
          <w:type w:val="continuous"/>
          <w:pgSz w:w="12750" w:h="17680"/>
          <w:pgMar w:top="1660" w:bottom="0" w:left="0" w:right="0"/>
          <w:cols w:num="3" w:equalWidth="0">
            <w:col w:w="8655" w:space="40"/>
            <w:col w:w="981" w:space="40"/>
            <w:col w:w="3034"/>
          </w:cols>
        </w:sectPr>
      </w:pPr>
    </w:p>
    <w:p>
      <w:pPr>
        <w:tabs>
          <w:tab w:pos="7953" w:val="left" w:leader="none"/>
          <w:tab w:pos="9285" w:val="left" w:leader="none"/>
          <w:tab w:pos="10617" w:val="left" w:leader="none"/>
        </w:tabs>
        <w:spacing w:before="66"/>
        <w:ind w:left="6646" w:right="0" w:firstLine="0"/>
        <w:jc w:val="left"/>
        <w:rPr>
          <w:b/>
          <w:sz w:val="18"/>
        </w:rPr>
      </w:pPr>
      <w:r>
        <w:rPr>
          <w:b/>
          <w:sz w:val="18"/>
        </w:rPr>
        <w:t>$</w:t>
        <w:tab/>
        <w:t>$</w:t>
        <w:tab/>
        <w:t>$</w:t>
        <w:tab/>
        <w:t>$</w:t>
      </w:r>
    </w:p>
    <w:p>
      <w:pPr>
        <w:pStyle w:val="BodyText"/>
        <w:spacing w:before="11"/>
        <w:rPr>
          <w:b/>
          <w:sz w:val="5"/>
        </w:rPr>
      </w:pPr>
    </w:p>
    <w:tbl>
      <w:tblPr>
        <w:tblW w:w="0" w:type="auto"/>
        <w:jc w:val="left"/>
        <w:tblInd w:w="178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230"/>
        <w:gridCol w:w="1615"/>
        <w:gridCol w:w="1345"/>
        <w:gridCol w:w="1214"/>
        <w:gridCol w:w="1154"/>
      </w:tblGrid>
      <w:tr>
        <w:trPr>
          <w:trHeight w:val="558" w:hRule="exact"/>
        </w:trPr>
        <w:tc>
          <w:tcPr>
            <w:tcW w:w="4230" w:type="dxa"/>
          </w:tcPr>
          <w:p>
            <w:pPr>
              <w:pStyle w:val="TableParagraph"/>
              <w:spacing w:before="77"/>
              <w:ind w:left="35"/>
              <w:jc w:val="left"/>
              <w:rPr>
                <w:b/>
                <w:sz w:val="18"/>
              </w:rPr>
            </w:pPr>
            <w:r>
              <w:rPr>
                <w:b/>
                <w:sz w:val="18"/>
              </w:rPr>
              <w:t>2016</w:t>
            </w:r>
          </w:p>
          <w:p>
            <w:pPr>
              <w:pStyle w:val="TableParagraph"/>
              <w:spacing w:before="29"/>
              <w:ind w:left="35"/>
              <w:jc w:val="left"/>
              <w:rPr>
                <w:sz w:val="18"/>
              </w:rPr>
            </w:pPr>
            <w:r>
              <w:rPr>
                <w:sz w:val="18"/>
              </w:rPr>
              <w:t>Balance at the beginning of year</w:t>
            </w:r>
          </w:p>
        </w:tc>
        <w:tc>
          <w:tcPr>
            <w:tcW w:w="1615" w:type="dxa"/>
          </w:tcPr>
          <w:p>
            <w:pPr>
              <w:pStyle w:val="TableParagraph"/>
              <w:jc w:val="left"/>
              <w:rPr>
                <w:b/>
                <w:sz w:val="18"/>
              </w:rPr>
            </w:pPr>
          </w:p>
          <w:p>
            <w:pPr>
              <w:pStyle w:val="TableParagraph"/>
              <w:spacing w:before="105"/>
              <w:ind w:right="369"/>
              <w:rPr>
                <w:b/>
                <w:sz w:val="18"/>
              </w:rPr>
            </w:pPr>
            <w:r>
              <w:rPr>
                <w:b/>
                <w:w w:val="95"/>
                <w:sz w:val="18"/>
              </w:rPr>
              <w:t>2,177,264</w:t>
            </w:r>
          </w:p>
        </w:tc>
        <w:tc>
          <w:tcPr>
            <w:tcW w:w="1345" w:type="dxa"/>
          </w:tcPr>
          <w:p>
            <w:pPr>
              <w:pStyle w:val="TableParagraph"/>
              <w:jc w:val="left"/>
              <w:rPr>
                <w:b/>
                <w:sz w:val="18"/>
              </w:rPr>
            </w:pPr>
          </w:p>
          <w:p>
            <w:pPr>
              <w:pStyle w:val="TableParagraph"/>
              <w:spacing w:before="105"/>
              <w:ind w:left="312" w:right="196"/>
              <w:jc w:val="left"/>
              <w:rPr>
                <w:b/>
                <w:sz w:val="18"/>
              </w:rPr>
            </w:pPr>
            <w:r>
              <w:rPr>
                <w:b/>
                <w:sz w:val="18"/>
              </w:rPr>
              <w:t>170,278</w:t>
            </w:r>
          </w:p>
        </w:tc>
        <w:tc>
          <w:tcPr>
            <w:tcW w:w="1214" w:type="dxa"/>
          </w:tcPr>
          <w:p>
            <w:pPr>
              <w:pStyle w:val="TableParagraph"/>
              <w:jc w:val="left"/>
              <w:rPr>
                <w:b/>
                <w:sz w:val="18"/>
              </w:rPr>
            </w:pPr>
          </w:p>
          <w:p>
            <w:pPr>
              <w:pStyle w:val="TableParagraph"/>
              <w:spacing w:before="105"/>
              <w:ind w:right="264"/>
              <w:rPr>
                <w:b/>
                <w:sz w:val="18"/>
              </w:rPr>
            </w:pPr>
            <w:r>
              <w:rPr>
                <w:b/>
                <w:w w:val="95"/>
                <w:sz w:val="18"/>
              </w:rPr>
              <w:t>11,909</w:t>
            </w:r>
          </w:p>
        </w:tc>
        <w:tc>
          <w:tcPr>
            <w:tcW w:w="1154" w:type="dxa"/>
          </w:tcPr>
          <w:p>
            <w:pPr>
              <w:pStyle w:val="TableParagraph"/>
              <w:jc w:val="left"/>
              <w:rPr>
                <w:b/>
                <w:sz w:val="18"/>
              </w:rPr>
            </w:pPr>
          </w:p>
          <w:p>
            <w:pPr>
              <w:pStyle w:val="TableParagraph"/>
              <w:spacing w:before="105"/>
              <w:ind w:right="86"/>
              <w:rPr>
                <w:b/>
                <w:sz w:val="18"/>
              </w:rPr>
            </w:pPr>
            <w:r>
              <w:rPr>
                <w:b/>
                <w:w w:val="95"/>
                <w:sz w:val="18"/>
              </w:rPr>
              <w:t>2,359,451</w:t>
            </w:r>
          </w:p>
        </w:tc>
      </w:tr>
      <w:tr>
        <w:trPr>
          <w:trHeight w:val="223" w:hRule="exact"/>
        </w:trPr>
        <w:tc>
          <w:tcPr>
            <w:tcW w:w="4230" w:type="dxa"/>
          </w:tcPr>
          <w:p>
            <w:pPr>
              <w:pStyle w:val="TableParagraph"/>
              <w:spacing w:before="19"/>
              <w:ind w:left="35"/>
              <w:jc w:val="left"/>
              <w:rPr>
                <w:sz w:val="18"/>
              </w:rPr>
            </w:pPr>
            <w:r>
              <w:rPr>
                <w:sz w:val="18"/>
              </w:rPr>
              <w:t>Additions</w:t>
            </w:r>
          </w:p>
        </w:tc>
        <w:tc>
          <w:tcPr>
            <w:tcW w:w="1615" w:type="dxa"/>
          </w:tcPr>
          <w:p>
            <w:pPr>
              <w:pStyle w:val="TableParagraph"/>
              <w:spacing w:before="18"/>
              <w:ind w:right="369"/>
              <w:rPr>
                <w:b/>
                <w:sz w:val="18"/>
              </w:rPr>
            </w:pPr>
            <w:r>
              <w:rPr>
                <w:b/>
                <w:w w:val="95"/>
                <w:sz w:val="18"/>
              </w:rPr>
              <w:t>3,748,843</w:t>
            </w:r>
          </w:p>
        </w:tc>
        <w:tc>
          <w:tcPr>
            <w:tcW w:w="1345" w:type="dxa"/>
          </w:tcPr>
          <w:p>
            <w:pPr>
              <w:pStyle w:val="TableParagraph"/>
              <w:spacing w:before="18"/>
              <w:ind w:left="312" w:right="196"/>
              <w:jc w:val="left"/>
              <w:rPr>
                <w:b/>
                <w:sz w:val="18"/>
              </w:rPr>
            </w:pPr>
            <w:r>
              <w:rPr>
                <w:b/>
                <w:sz w:val="18"/>
              </w:rPr>
              <w:t>279,685</w:t>
            </w:r>
          </w:p>
        </w:tc>
        <w:tc>
          <w:tcPr>
            <w:tcW w:w="1214" w:type="dxa"/>
          </w:tcPr>
          <w:p>
            <w:pPr>
              <w:pStyle w:val="TableParagraph"/>
              <w:spacing w:before="18"/>
              <w:ind w:left="325"/>
              <w:jc w:val="left"/>
              <w:rPr>
                <w:b/>
                <w:sz w:val="18"/>
              </w:rPr>
            </w:pPr>
            <w:r>
              <w:rPr>
                <w:b/>
                <w:w w:val="99"/>
                <w:sz w:val="18"/>
              </w:rPr>
              <w:t>-</w:t>
            </w:r>
          </w:p>
        </w:tc>
        <w:tc>
          <w:tcPr>
            <w:tcW w:w="1154" w:type="dxa"/>
          </w:tcPr>
          <w:p>
            <w:pPr>
              <w:pStyle w:val="TableParagraph"/>
              <w:spacing w:before="18"/>
              <w:ind w:right="86"/>
              <w:rPr>
                <w:b/>
                <w:sz w:val="18"/>
              </w:rPr>
            </w:pPr>
            <w:r>
              <w:rPr>
                <w:b/>
                <w:w w:val="95"/>
                <w:sz w:val="18"/>
              </w:rPr>
              <w:t>4,028,528</w:t>
            </w:r>
          </w:p>
        </w:tc>
      </w:tr>
      <w:tr>
        <w:trPr>
          <w:trHeight w:val="568" w:hRule="exact"/>
        </w:trPr>
        <w:tc>
          <w:tcPr>
            <w:tcW w:w="4230" w:type="dxa"/>
          </w:tcPr>
          <w:p>
            <w:pPr>
              <w:pStyle w:val="TableParagraph"/>
              <w:spacing w:line="307" w:lineRule="auto" w:before="61"/>
              <w:ind w:left="35" w:right="2424"/>
              <w:jc w:val="left"/>
              <w:rPr>
                <w:sz w:val="18"/>
              </w:rPr>
            </w:pPr>
            <w:r>
              <w:rPr>
                <w:sz w:val="18"/>
              </w:rPr>
              <w:t>Disposals Depreciation expense</w:t>
            </w:r>
          </w:p>
        </w:tc>
        <w:tc>
          <w:tcPr>
            <w:tcW w:w="1615" w:type="dxa"/>
          </w:tcPr>
          <w:p>
            <w:pPr>
              <w:pStyle w:val="TableParagraph"/>
              <w:spacing w:line="307" w:lineRule="auto" w:before="60"/>
              <w:ind w:left="385" w:right="33" w:firstLine="236"/>
              <w:jc w:val="left"/>
              <w:rPr>
                <w:b/>
                <w:sz w:val="18"/>
              </w:rPr>
            </w:pPr>
            <w:r>
              <w:rPr>
                <w:b/>
                <w:sz w:val="18"/>
              </w:rPr>
              <w:t>- (1,025,518)</w:t>
            </w:r>
          </w:p>
        </w:tc>
        <w:tc>
          <w:tcPr>
            <w:tcW w:w="1345" w:type="dxa"/>
          </w:tcPr>
          <w:p>
            <w:pPr>
              <w:pStyle w:val="TableParagraph"/>
              <w:spacing w:line="307" w:lineRule="auto" w:before="60"/>
              <w:ind w:left="252" w:right="196" w:firstLine="86"/>
              <w:jc w:val="left"/>
              <w:rPr>
                <w:b/>
                <w:sz w:val="18"/>
              </w:rPr>
            </w:pPr>
            <w:r>
              <w:rPr>
                <w:b/>
                <w:sz w:val="18"/>
              </w:rPr>
              <w:t>- (100,166)</w:t>
            </w:r>
          </w:p>
        </w:tc>
        <w:tc>
          <w:tcPr>
            <w:tcW w:w="1214" w:type="dxa"/>
          </w:tcPr>
          <w:p>
            <w:pPr>
              <w:pStyle w:val="TableParagraph"/>
              <w:spacing w:before="60"/>
              <w:ind w:left="325"/>
              <w:jc w:val="left"/>
              <w:rPr>
                <w:b/>
                <w:sz w:val="18"/>
              </w:rPr>
            </w:pPr>
            <w:r>
              <w:rPr>
                <w:b/>
                <w:w w:val="99"/>
                <w:sz w:val="18"/>
              </w:rPr>
              <w:t>-</w:t>
            </w:r>
          </w:p>
          <w:p>
            <w:pPr>
              <w:pStyle w:val="TableParagraph"/>
              <w:spacing w:before="57"/>
              <w:ind w:left="325"/>
              <w:jc w:val="left"/>
              <w:rPr>
                <w:b/>
                <w:sz w:val="18"/>
              </w:rPr>
            </w:pPr>
            <w:r>
              <w:rPr>
                <w:b/>
                <w:w w:val="99"/>
                <w:sz w:val="18"/>
              </w:rPr>
              <w:t>-</w:t>
            </w:r>
          </w:p>
        </w:tc>
        <w:tc>
          <w:tcPr>
            <w:tcW w:w="1154" w:type="dxa"/>
          </w:tcPr>
          <w:p>
            <w:pPr>
              <w:pStyle w:val="TableParagraph"/>
              <w:spacing w:line="307" w:lineRule="auto" w:before="60"/>
              <w:ind w:left="206" w:right="7" w:firstLine="236"/>
              <w:jc w:val="left"/>
              <w:rPr>
                <w:b/>
                <w:sz w:val="18"/>
              </w:rPr>
            </w:pPr>
            <w:r>
              <w:rPr>
                <w:b/>
                <w:sz w:val="18"/>
              </w:rPr>
              <w:t>- (1,125,684)</w:t>
            </w:r>
          </w:p>
        </w:tc>
      </w:tr>
      <w:tr>
        <w:trPr>
          <w:trHeight w:val="353" w:hRule="exact"/>
        </w:trPr>
        <w:tc>
          <w:tcPr>
            <w:tcW w:w="4230" w:type="dxa"/>
          </w:tcPr>
          <w:p>
            <w:pPr>
              <w:pStyle w:val="TableParagraph"/>
              <w:spacing w:before="123"/>
              <w:ind w:left="35"/>
              <w:jc w:val="left"/>
              <w:rPr>
                <w:b/>
                <w:sz w:val="18"/>
              </w:rPr>
            </w:pPr>
            <w:r>
              <w:rPr>
                <w:b/>
                <w:sz w:val="18"/>
              </w:rPr>
              <w:t>Balance at 31 December 2016</w:t>
            </w:r>
          </w:p>
        </w:tc>
        <w:tc>
          <w:tcPr>
            <w:tcW w:w="1615" w:type="dxa"/>
            <w:tcBorders>
              <w:top w:val="single" w:sz="0" w:space="0" w:color="000000"/>
              <w:bottom w:val="single" w:sz="0" w:space="0" w:color="000000"/>
            </w:tcBorders>
          </w:tcPr>
          <w:p>
            <w:pPr>
              <w:pStyle w:val="TableParagraph"/>
              <w:spacing w:before="38"/>
              <w:ind w:right="369"/>
              <w:rPr>
                <w:b/>
                <w:sz w:val="18"/>
              </w:rPr>
            </w:pPr>
            <w:r>
              <w:rPr>
                <w:b/>
                <w:w w:val="95"/>
                <w:sz w:val="18"/>
              </w:rPr>
              <w:t>4,900,589</w:t>
            </w:r>
          </w:p>
        </w:tc>
        <w:tc>
          <w:tcPr>
            <w:tcW w:w="1345" w:type="dxa"/>
            <w:tcBorders>
              <w:top w:val="single" w:sz="0" w:space="0" w:color="000000"/>
              <w:bottom w:val="single" w:sz="0" w:space="0" w:color="000000"/>
            </w:tcBorders>
          </w:tcPr>
          <w:p>
            <w:pPr>
              <w:pStyle w:val="TableParagraph"/>
              <w:spacing w:before="38"/>
              <w:ind w:left="312" w:right="196"/>
              <w:jc w:val="left"/>
              <w:rPr>
                <w:b/>
                <w:sz w:val="18"/>
              </w:rPr>
            </w:pPr>
            <w:r>
              <w:rPr>
                <w:b/>
                <w:sz w:val="18"/>
              </w:rPr>
              <w:t>349,797</w:t>
            </w:r>
          </w:p>
        </w:tc>
        <w:tc>
          <w:tcPr>
            <w:tcW w:w="1214" w:type="dxa"/>
            <w:tcBorders>
              <w:top w:val="single" w:sz="0" w:space="0" w:color="000000"/>
              <w:bottom w:val="single" w:sz="0" w:space="0" w:color="000000"/>
            </w:tcBorders>
          </w:tcPr>
          <w:p>
            <w:pPr>
              <w:pStyle w:val="TableParagraph"/>
              <w:spacing w:before="38"/>
              <w:ind w:right="264"/>
              <w:rPr>
                <w:b/>
                <w:sz w:val="18"/>
              </w:rPr>
            </w:pPr>
            <w:r>
              <w:rPr>
                <w:b/>
                <w:w w:val="95"/>
                <w:sz w:val="18"/>
              </w:rPr>
              <w:t>11,909</w:t>
            </w:r>
          </w:p>
        </w:tc>
        <w:tc>
          <w:tcPr>
            <w:tcW w:w="1154" w:type="dxa"/>
            <w:tcBorders>
              <w:top w:val="single" w:sz="0" w:space="0" w:color="000000"/>
              <w:bottom w:val="single" w:sz="0" w:space="0" w:color="000000"/>
            </w:tcBorders>
          </w:tcPr>
          <w:p>
            <w:pPr>
              <w:pStyle w:val="TableParagraph"/>
              <w:spacing w:before="38"/>
              <w:ind w:right="86"/>
              <w:rPr>
                <w:b/>
                <w:sz w:val="18"/>
              </w:rPr>
            </w:pPr>
            <w:r>
              <w:rPr>
                <w:b/>
                <w:w w:val="95"/>
                <w:sz w:val="18"/>
              </w:rPr>
              <w:t>5,262,295</w:t>
            </w:r>
          </w:p>
        </w:tc>
      </w:tr>
      <w:tr>
        <w:trPr>
          <w:trHeight w:val="938" w:hRule="exact"/>
        </w:trPr>
        <w:tc>
          <w:tcPr>
            <w:tcW w:w="4230" w:type="dxa"/>
          </w:tcPr>
          <w:p>
            <w:pPr>
              <w:pStyle w:val="TableParagraph"/>
              <w:jc w:val="left"/>
              <w:rPr>
                <w:b/>
                <w:sz w:val="18"/>
              </w:rPr>
            </w:pPr>
          </w:p>
          <w:p>
            <w:pPr>
              <w:pStyle w:val="TableParagraph"/>
              <w:spacing w:before="9"/>
              <w:jc w:val="left"/>
              <w:rPr>
                <w:b/>
                <w:sz w:val="21"/>
              </w:rPr>
            </w:pPr>
          </w:p>
          <w:p>
            <w:pPr>
              <w:pStyle w:val="TableParagraph"/>
              <w:ind w:left="35"/>
              <w:jc w:val="left"/>
              <w:rPr>
                <w:b/>
                <w:sz w:val="18"/>
              </w:rPr>
            </w:pPr>
            <w:r>
              <w:rPr>
                <w:b/>
                <w:sz w:val="18"/>
              </w:rPr>
              <w:t>2015</w:t>
            </w:r>
          </w:p>
          <w:p>
            <w:pPr>
              <w:pStyle w:val="TableParagraph"/>
              <w:spacing w:before="29"/>
              <w:ind w:left="35"/>
              <w:jc w:val="left"/>
              <w:rPr>
                <w:sz w:val="18"/>
              </w:rPr>
            </w:pPr>
            <w:r>
              <w:rPr>
                <w:sz w:val="18"/>
              </w:rPr>
              <w:t>Balance at the beginning of year</w:t>
            </w:r>
          </w:p>
        </w:tc>
        <w:tc>
          <w:tcPr>
            <w:tcW w:w="1615" w:type="dxa"/>
            <w:tcBorders>
              <w:top w:val="single" w:sz="0" w:space="0" w:color="000000"/>
            </w:tcBorders>
          </w:tcPr>
          <w:p>
            <w:pPr>
              <w:pStyle w:val="TableParagraph"/>
              <w:jc w:val="left"/>
              <w:rPr>
                <w:b/>
                <w:sz w:val="18"/>
              </w:rPr>
            </w:pPr>
          </w:p>
          <w:p>
            <w:pPr>
              <w:pStyle w:val="TableParagraph"/>
              <w:jc w:val="left"/>
              <w:rPr>
                <w:b/>
                <w:sz w:val="18"/>
              </w:rPr>
            </w:pPr>
          </w:p>
          <w:p>
            <w:pPr>
              <w:pStyle w:val="TableParagraph"/>
              <w:spacing w:before="2"/>
              <w:jc w:val="left"/>
              <w:rPr>
                <w:b/>
                <w:sz w:val="24"/>
              </w:rPr>
            </w:pPr>
          </w:p>
          <w:p>
            <w:pPr>
              <w:pStyle w:val="TableParagraph"/>
              <w:ind w:right="369"/>
              <w:rPr>
                <w:sz w:val="18"/>
              </w:rPr>
            </w:pPr>
            <w:r>
              <w:rPr>
                <w:w w:val="95"/>
                <w:sz w:val="18"/>
              </w:rPr>
              <w:t>337,247</w:t>
            </w:r>
          </w:p>
        </w:tc>
        <w:tc>
          <w:tcPr>
            <w:tcW w:w="1345" w:type="dxa"/>
            <w:tcBorders>
              <w:top w:val="single" w:sz="0" w:space="0" w:color="000000"/>
            </w:tcBorders>
          </w:tcPr>
          <w:p>
            <w:pPr>
              <w:pStyle w:val="TableParagraph"/>
              <w:jc w:val="left"/>
              <w:rPr>
                <w:b/>
                <w:sz w:val="18"/>
              </w:rPr>
            </w:pPr>
          </w:p>
          <w:p>
            <w:pPr>
              <w:pStyle w:val="TableParagraph"/>
              <w:jc w:val="left"/>
              <w:rPr>
                <w:b/>
                <w:sz w:val="18"/>
              </w:rPr>
            </w:pPr>
          </w:p>
          <w:p>
            <w:pPr>
              <w:pStyle w:val="TableParagraph"/>
              <w:spacing w:before="2"/>
              <w:jc w:val="left"/>
              <w:rPr>
                <w:b/>
                <w:sz w:val="24"/>
              </w:rPr>
            </w:pPr>
          </w:p>
          <w:p>
            <w:pPr>
              <w:pStyle w:val="TableParagraph"/>
              <w:ind w:left="312" w:right="196"/>
              <w:jc w:val="left"/>
              <w:rPr>
                <w:sz w:val="18"/>
              </w:rPr>
            </w:pPr>
            <w:r>
              <w:rPr>
                <w:sz w:val="18"/>
              </w:rPr>
              <w:t>199,962</w:t>
            </w:r>
          </w:p>
        </w:tc>
        <w:tc>
          <w:tcPr>
            <w:tcW w:w="1214" w:type="dxa"/>
            <w:tcBorders>
              <w:top w:val="single" w:sz="0" w:space="0" w:color="000000"/>
            </w:tcBorders>
          </w:tcPr>
          <w:p>
            <w:pPr>
              <w:pStyle w:val="TableParagraph"/>
              <w:jc w:val="left"/>
              <w:rPr>
                <w:b/>
                <w:sz w:val="18"/>
              </w:rPr>
            </w:pPr>
          </w:p>
          <w:p>
            <w:pPr>
              <w:pStyle w:val="TableParagraph"/>
              <w:jc w:val="left"/>
              <w:rPr>
                <w:b/>
                <w:sz w:val="18"/>
              </w:rPr>
            </w:pPr>
          </w:p>
          <w:p>
            <w:pPr>
              <w:pStyle w:val="TableParagraph"/>
              <w:spacing w:before="2"/>
              <w:jc w:val="left"/>
              <w:rPr>
                <w:b/>
                <w:sz w:val="24"/>
              </w:rPr>
            </w:pPr>
          </w:p>
          <w:p>
            <w:pPr>
              <w:pStyle w:val="TableParagraph"/>
              <w:ind w:right="264"/>
              <w:rPr>
                <w:sz w:val="18"/>
              </w:rPr>
            </w:pPr>
            <w:r>
              <w:rPr>
                <w:w w:val="95"/>
                <w:sz w:val="18"/>
              </w:rPr>
              <w:t>11,909</w:t>
            </w:r>
          </w:p>
        </w:tc>
        <w:tc>
          <w:tcPr>
            <w:tcW w:w="1154" w:type="dxa"/>
            <w:tcBorders>
              <w:top w:val="single" w:sz="0" w:space="0" w:color="000000"/>
            </w:tcBorders>
          </w:tcPr>
          <w:p>
            <w:pPr>
              <w:pStyle w:val="TableParagraph"/>
              <w:jc w:val="left"/>
              <w:rPr>
                <w:b/>
                <w:sz w:val="18"/>
              </w:rPr>
            </w:pPr>
          </w:p>
          <w:p>
            <w:pPr>
              <w:pStyle w:val="TableParagraph"/>
              <w:jc w:val="left"/>
              <w:rPr>
                <w:b/>
                <w:sz w:val="18"/>
              </w:rPr>
            </w:pPr>
          </w:p>
          <w:p>
            <w:pPr>
              <w:pStyle w:val="TableParagraph"/>
              <w:spacing w:before="2"/>
              <w:jc w:val="left"/>
              <w:rPr>
                <w:b/>
                <w:sz w:val="24"/>
              </w:rPr>
            </w:pPr>
          </w:p>
          <w:p>
            <w:pPr>
              <w:pStyle w:val="TableParagraph"/>
              <w:ind w:right="86"/>
              <w:rPr>
                <w:sz w:val="18"/>
              </w:rPr>
            </w:pPr>
            <w:r>
              <w:rPr>
                <w:w w:val="95"/>
                <w:sz w:val="18"/>
              </w:rPr>
              <w:t>549,118</w:t>
            </w:r>
          </w:p>
        </w:tc>
      </w:tr>
      <w:tr>
        <w:trPr>
          <w:trHeight w:val="264" w:hRule="exact"/>
        </w:trPr>
        <w:tc>
          <w:tcPr>
            <w:tcW w:w="4230" w:type="dxa"/>
          </w:tcPr>
          <w:p>
            <w:pPr>
              <w:pStyle w:val="TableParagraph"/>
              <w:spacing w:before="19"/>
              <w:ind w:left="35"/>
              <w:jc w:val="left"/>
              <w:rPr>
                <w:sz w:val="18"/>
              </w:rPr>
            </w:pPr>
            <w:r>
              <w:rPr>
                <w:sz w:val="18"/>
              </w:rPr>
              <w:t>Additions</w:t>
            </w:r>
          </w:p>
        </w:tc>
        <w:tc>
          <w:tcPr>
            <w:tcW w:w="1615" w:type="dxa"/>
          </w:tcPr>
          <w:p>
            <w:pPr>
              <w:pStyle w:val="TableParagraph"/>
              <w:spacing w:before="18"/>
              <w:ind w:right="369"/>
              <w:rPr>
                <w:sz w:val="18"/>
              </w:rPr>
            </w:pPr>
            <w:r>
              <w:rPr>
                <w:w w:val="95"/>
                <w:sz w:val="18"/>
              </w:rPr>
              <w:t>2,318,362</w:t>
            </w:r>
          </w:p>
        </w:tc>
        <w:tc>
          <w:tcPr>
            <w:tcW w:w="1345" w:type="dxa"/>
          </w:tcPr>
          <w:p>
            <w:pPr>
              <w:pStyle w:val="TableParagraph"/>
              <w:spacing w:before="18"/>
              <w:ind w:left="312" w:right="196"/>
              <w:jc w:val="left"/>
              <w:rPr>
                <w:sz w:val="18"/>
              </w:rPr>
            </w:pPr>
            <w:r>
              <w:rPr>
                <w:sz w:val="18"/>
              </w:rPr>
              <w:t>101,964</w:t>
            </w:r>
          </w:p>
        </w:tc>
        <w:tc>
          <w:tcPr>
            <w:tcW w:w="1214" w:type="dxa"/>
          </w:tcPr>
          <w:p>
            <w:pPr>
              <w:pStyle w:val="TableParagraph"/>
              <w:spacing w:before="18"/>
              <w:ind w:left="325"/>
              <w:jc w:val="left"/>
              <w:rPr>
                <w:sz w:val="18"/>
              </w:rPr>
            </w:pPr>
            <w:r>
              <w:rPr>
                <w:w w:val="99"/>
                <w:sz w:val="18"/>
              </w:rPr>
              <w:t>-</w:t>
            </w:r>
          </w:p>
        </w:tc>
        <w:tc>
          <w:tcPr>
            <w:tcW w:w="1154" w:type="dxa"/>
          </w:tcPr>
          <w:p>
            <w:pPr>
              <w:pStyle w:val="TableParagraph"/>
              <w:spacing w:before="18"/>
              <w:ind w:right="86"/>
              <w:rPr>
                <w:sz w:val="18"/>
              </w:rPr>
            </w:pPr>
            <w:r>
              <w:rPr>
                <w:w w:val="95"/>
                <w:sz w:val="18"/>
              </w:rPr>
              <w:t>2,420,326</w:t>
            </w:r>
          </w:p>
        </w:tc>
      </w:tr>
      <w:tr>
        <w:trPr>
          <w:trHeight w:val="264" w:hRule="exact"/>
        </w:trPr>
        <w:tc>
          <w:tcPr>
            <w:tcW w:w="4230" w:type="dxa"/>
          </w:tcPr>
          <w:p>
            <w:pPr>
              <w:pStyle w:val="TableParagraph"/>
              <w:spacing w:before="19"/>
              <w:ind w:left="35"/>
              <w:jc w:val="left"/>
              <w:rPr>
                <w:sz w:val="18"/>
              </w:rPr>
            </w:pPr>
            <w:r>
              <w:rPr>
                <w:sz w:val="18"/>
              </w:rPr>
              <w:t>Disposals</w:t>
            </w:r>
          </w:p>
        </w:tc>
        <w:tc>
          <w:tcPr>
            <w:tcW w:w="1615" w:type="dxa"/>
          </w:tcPr>
          <w:p>
            <w:pPr>
              <w:pStyle w:val="TableParagraph"/>
              <w:spacing w:before="18"/>
              <w:ind w:right="309"/>
              <w:jc w:val="center"/>
              <w:rPr>
                <w:sz w:val="18"/>
              </w:rPr>
            </w:pPr>
            <w:r>
              <w:rPr>
                <w:w w:val="99"/>
                <w:sz w:val="18"/>
              </w:rPr>
              <w:t>-</w:t>
            </w:r>
          </w:p>
        </w:tc>
        <w:tc>
          <w:tcPr>
            <w:tcW w:w="1345" w:type="dxa"/>
          </w:tcPr>
          <w:p>
            <w:pPr>
              <w:pStyle w:val="TableParagraph"/>
              <w:spacing w:before="18"/>
              <w:ind w:left="351" w:right="196"/>
              <w:jc w:val="left"/>
              <w:rPr>
                <w:sz w:val="18"/>
              </w:rPr>
            </w:pPr>
            <w:r>
              <w:rPr>
                <w:sz w:val="18"/>
              </w:rPr>
              <w:t>(39,221)</w:t>
            </w:r>
          </w:p>
        </w:tc>
        <w:tc>
          <w:tcPr>
            <w:tcW w:w="1214" w:type="dxa"/>
          </w:tcPr>
          <w:p>
            <w:pPr>
              <w:pStyle w:val="TableParagraph"/>
              <w:spacing w:before="18"/>
              <w:ind w:left="325"/>
              <w:jc w:val="left"/>
              <w:rPr>
                <w:sz w:val="18"/>
              </w:rPr>
            </w:pPr>
            <w:r>
              <w:rPr>
                <w:w w:val="99"/>
                <w:sz w:val="18"/>
              </w:rPr>
              <w:t>-</w:t>
            </w:r>
          </w:p>
        </w:tc>
        <w:tc>
          <w:tcPr>
            <w:tcW w:w="1154" w:type="dxa"/>
          </w:tcPr>
          <w:p>
            <w:pPr>
              <w:pStyle w:val="TableParagraph"/>
              <w:spacing w:before="18"/>
              <w:ind w:right="27"/>
              <w:rPr>
                <w:sz w:val="18"/>
              </w:rPr>
            </w:pPr>
            <w:r>
              <w:rPr>
                <w:w w:val="95"/>
                <w:sz w:val="18"/>
              </w:rPr>
              <w:t>(39,221)</w:t>
            </w:r>
          </w:p>
        </w:tc>
      </w:tr>
      <w:tr>
        <w:trPr>
          <w:trHeight w:val="262" w:hRule="exact"/>
        </w:trPr>
        <w:tc>
          <w:tcPr>
            <w:tcW w:w="5845" w:type="dxa"/>
            <w:gridSpan w:val="2"/>
          </w:tcPr>
          <w:p>
            <w:pPr>
              <w:pStyle w:val="TableParagraph"/>
              <w:tabs>
                <w:tab w:pos="4765" w:val="left" w:leader="none"/>
              </w:tabs>
              <w:spacing w:before="19"/>
              <w:ind w:left="35"/>
              <w:jc w:val="left"/>
              <w:rPr>
                <w:sz w:val="18"/>
              </w:rPr>
            </w:pPr>
            <w:r>
              <w:rPr>
                <w:sz w:val="18"/>
              </w:rPr>
              <w:t>Depreciation</w:t>
            </w:r>
            <w:r>
              <w:rPr>
                <w:spacing w:val="-7"/>
                <w:sz w:val="18"/>
              </w:rPr>
              <w:t> </w:t>
            </w:r>
            <w:r>
              <w:rPr>
                <w:sz w:val="18"/>
              </w:rPr>
              <w:t>expense</w:t>
              <w:tab/>
              <w:t>(478,345)</w:t>
            </w:r>
          </w:p>
        </w:tc>
        <w:tc>
          <w:tcPr>
            <w:tcW w:w="1345" w:type="dxa"/>
            <w:tcBorders>
              <w:bottom w:val="single" w:sz="0" w:space="0" w:color="000000"/>
            </w:tcBorders>
          </w:tcPr>
          <w:p>
            <w:pPr>
              <w:pStyle w:val="TableParagraph"/>
              <w:spacing w:before="18"/>
              <w:ind w:left="351" w:right="196"/>
              <w:jc w:val="left"/>
              <w:rPr>
                <w:sz w:val="18"/>
              </w:rPr>
            </w:pPr>
            <w:r>
              <w:rPr>
                <w:sz w:val="18"/>
              </w:rPr>
              <w:t>(92,427)</w:t>
            </w:r>
          </w:p>
        </w:tc>
        <w:tc>
          <w:tcPr>
            <w:tcW w:w="1214" w:type="dxa"/>
            <w:tcBorders>
              <w:bottom w:val="single" w:sz="0" w:space="0" w:color="000000"/>
            </w:tcBorders>
          </w:tcPr>
          <w:p>
            <w:pPr>
              <w:pStyle w:val="TableParagraph"/>
              <w:spacing w:before="18"/>
              <w:ind w:left="325"/>
              <w:jc w:val="left"/>
              <w:rPr>
                <w:sz w:val="18"/>
              </w:rPr>
            </w:pPr>
            <w:r>
              <w:rPr>
                <w:w w:val="99"/>
                <w:sz w:val="18"/>
              </w:rPr>
              <w:t>-</w:t>
            </w:r>
          </w:p>
        </w:tc>
        <w:tc>
          <w:tcPr>
            <w:tcW w:w="1154" w:type="dxa"/>
            <w:tcBorders>
              <w:bottom w:val="single" w:sz="0" w:space="0" w:color="000000"/>
            </w:tcBorders>
          </w:tcPr>
          <w:p>
            <w:pPr>
              <w:pStyle w:val="TableParagraph"/>
              <w:spacing w:before="18"/>
              <w:ind w:right="27"/>
              <w:rPr>
                <w:sz w:val="18"/>
              </w:rPr>
            </w:pPr>
            <w:r>
              <w:rPr>
                <w:w w:val="95"/>
                <w:sz w:val="18"/>
              </w:rPr>
              <w:t>(570,772)</w:t>
            </w:r>
          </w:p>
        </w:tc>
      </w:tr>
      <w:tr>
        <w:trPr>
          <w:trHeight w:val="353" w:hRule="exact"/>
        </w:trPr>
        <w:tc>
          <w:tcPr>
            <w:tcW w:w="5845" w:type="dxa"/>
            <w:gridSpan w:val="2"/>
          </w:tcPr>
          <w:p>
            <w:pPr>
              <w:pStyle w:val="TableParagraph"/>
              <w:tabs>
                <w:tab w:pos="4675" w:val="left" w:leader="none"/>
              </w:tabs>
              <w:spacing w:before="43"/>
              <w:ind w:left="35"/>
              <w:jc w:val="left"/>
              <w:rPr>
                <w:sz w:val="18"/>
              </w:rPr>
            </w:pPr>
            <w:r>
              <w:rPr>
                <w:b/>
                <w:sz w:val="18"/>
              </w:rPr>
              <w:t>Balance at 31</w:t>
            </w:r>
            <w:r>
              <w:rPr>
                <w:b/>
                <w:spacing w:val="-10"/>
                <w:sz w:val="18"/>
              </w:rPr>
              <w:t> </w:t>
            </w:r>
            <w:r>
              <w:rPr>
                <w:b/>
                <w:sz w:val="18"/>
              </w:rPr>
              <w:t>December</w:t>
            </w:r>
            <w:r>
              <w:rPr>
                <w:b/>
                <w:spacing w:val="-4"/>
                <w:sz w:val="18"/>
              </w:rPr>
              <w:t> </w:t>
            </w:r>
            <w:r>
              <w:rPr>
                <w:b/>
                <w:sz w:val="18"/>
              </w:rPr>
              <w:t>2015</w:t>
              <w:tab/>
            </w:r>
            <w:r>
              <w:rPr>
                <w:position w:val="8"/>
                <w:sz w:val="18"/>
              </w:rPr>
              <w:t>2,177,264</w:t>
            </w:r>
          </w:p>
        </w:tc>
        <w:tc>
          <w:tcPr>
            <w:tcW w:w="1345" w:type="dxa"/>
            <w:tcBorders>
              <w:top w:val="single" w:sz="0" w:space="0" w:color="000000"/>
              <w:bottom w:val="single" w:sz="0" w:space="0" w:color="000000"/>
            </w:tcBorders>
          </w:tcPr>
          <w:p>
            <w:pPr>
              <w:pStyle w:val="TableParagraph"/>
              <w:spacing w:before="38"/>
              <w:ind w:left="312" w:right="196"/>
              <w:jc w:val="left"/>
              <w:rPr>
                <w:sz w:val="18"/>
              </w:rPr>
            </w:pPr>
            <w:r>
              <w:rPr>
                <w:sz w:val="18"/>
              </w:rPr>
              <w:t>170,278</w:t>
            </w:r>
          </w:p>
        </w:tc>
        <w:tc>
          <w:tcPr>
            <w:tcW w:w="1214" w:type="dxa"/>
            <w:tcBorders>
              <w:top w:val="single" w:sz="0" w:space="0" w:color="000000"/>
              <w:bottom w:val="single" w:sz="0" w:space="0" w:color="000000"/>
            </w:tcBorders>
          </w:tcPr>
          <w:p>
            <w:pPr>
              <w:pStyle w:val="TableParagraph"/>
              <w:spacing w:before="38"/>
              <w:ind w:right="264"/>
              <w:rPr>
                <w:sz w:val="18"/>
              </w:rPr>
            </w:pPr>
            <w:r>
              <w:rPr>
                <w:w w:val="95"/>
                <w:sz w:val="18"/>
              </w:rPr>
              <w:t>11,909</w:t>
            </w:r>
          </w:p>
        </w:tc>
        <w:tc>
          <w:tcPr>
            <w:tcW w:w="1154" w:type="dxa"/>
            <w:tcBorders>
              <w:top w:val="single" w:sz="0" w:space="0" w:color="000000"/>
              <w:bottom w:val="single" w:sz="0" w:space="0" w:color="000000"/>
            </w:tcBorders>
          </w:tcPr>
          <w:p>
            <w:pPr>
              <w:pStyle w:val="TableParagraph"/>
              <w:spacing w:before="38"/>
              <w:ind w:right="86"/>
              <w:rPr>
                <w:sz w:val="18"/>
              </w:rPr>
            </w:pPr>
            <w:r>
              <w:rPr>
                <w:w w:val="95"/>
                <w:sz w:val="18"/>
              </w:rPr>
              <w:t>2,359,451</w:t>
            </w:r>
          </w:p>
        </w:tc>
      </w:tr>
    </w:tbl>
    <w:p>
      <w:pPr>
        <w:spacing w:after="0"/>
        <w:rPr>
          <w:sz w:val="18"/>
        </w:rPr>
        <w:sectPr>
          <w:type w:val="continuous"/>
          <w:pgSz w:w="12750" w:h="17680"/>
          <w:pgMar w:top="1660" w:bottom="0" w:left="0" w:right="0"/>
        </w:sectPr>
      </w:pPr>
    </w:p>
    <w:p>
      <w:pPr>
        <w:pStyle w:val="BodyText"/>
        <w:rPr>
          <w:b/>
          <w:sz w:val="20"/>
        </w:rPr>
      </w:pPr>
    </w:p>
    <w:p>
      <w:pPr>
        <w:pStyle w:val="BodyText"/>
        <w:rPr>
          <w:b/>
          <w:sz w:val="20"/>
        </w:rPr>
      </w:pPr>
    </w:p>
    <w:p>
      <w:pPr>
        <w:pStyle w:val="BodyText"/>
        <w:spacing w:before="8"/>
        <w:rPr>
          <w:b/>
          <w:sz w:val="11"/>
        </w:rPr>
      </w:pPr>
    </w:p>
    <w:tbl>
      <w:tblPr>
        <w:tblW w:w="0" w:type="auto"/>
        <w:jc w:val="left"/>
        <w:tblInd w:w="139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82"/>
        <w:gridCol w:w="7074"/>
        <w:gridCol w:w="1500"/>
        <w:gridCol w:w="1094"/>
      </w:tblGrid>
      <w:tr>
        <w:trPr>
          <w:trHeight w:val="567" w:hRule="exact"/>
        </w:trPr>
        <w:tc>
          <w:tcPr>
            <w:tcW w:w="282" w:type="dxa"/>
          </w:tcPr>
          <w:p>
            <w:pPr>
              <w:pStyle w:val="TableParagraph"/>
              <w:spacing w:before="77"/>
              <w:ind w:left="35"/>
              <w:jc w:val="left"/>
              <w:rPr>
                <w:b/>
                <w:sz w:val="18"/>
              </w:rPr>
            </w:pPr>
            <w:bookmarkStart w:name="Intangible assets" w:id="211"/>
            <w:bookmarkEnd w:id="211"/>
            <w:r>
              <w:rPr/>
            </w:r>
            <w:r>
              <w:rPr>
                <w:b/>
                <w:w w:val="99"/>
                <w:sz w:val="18"/>
              </w:rPr>
              <w:t>6</w:t>
            </w:r>
          </w:p>
        </w:tc>
        <w:tc>
          <w:tcPr>
            <w:tcW w:w="7074" w:type="dxa"/>
          </w:tcPr>
          <w:p>
            <w:pPr>
              <w:pStyle w:val="TableParagraph"/>
              <w:spacing w:before="77"/>
              <w:ind w:left="148"/>
              <w:jc w:val="left"/>
              <w:rPr>
                <w:b/>
                <w:sz w:val="18"/>
              </w:rPr>
            </w:pPr>
            <w:r>
              <w:rPr>
                <w:b/>
                <w:sz w:val="18"/>
              </w:rPr>
              <w:t>Intangible assets</w:t>
            </w:r>
          </w:p>
        </w:tc>
        <w:tc>
          <w:tcPr>
            <w:tcW w:w="1500" w:type="dxa"/>
          </w:tcPr>
          <w:p>
            <w:pPr>
              <w:pStyle w:val="TableParagraph"/>
              <w:jc w:val="left"/>
              <w:rPr>
                <w:b/>
                <w:sz w:val="18"/>
              </w:rPr>
            </w:pPr>
          </w:p>
          <w:p>
            <w:pPr>
              <w:pStyle w:val="TableParagraph"/>
              <w:spacing w:before="110"/>
              <w:ind w:left="448"/>
              <w:jc w:val="left"/>
              <w:rPr>
                <w:b/>
                <w:sz w:val="18"/>
              </w:rPr>
            </w:pPr>
            <w:r>
              <w:rPr>
                <w:b/>
                <w:sz w:val="18"/>
              </w:rPr>
              <w:t>2016</w:t>
            </w:r>
          </w:p>
        </w:tc>
        <w:tc>
          <w:tcPr>
            <w:tcW w:w="1094" w:type="dxa"/>
          </w:tcPr>
          <w:p>
            <w:pPr>
              <w:pStyle w:val="TableParagraph"/>
              <w:jc w:val="left"/>
              <w:rPr>
                <w:b/>
                <w:sz w:val="18"/>
              </w:rPr>
            </w:pPr>
          </w:p>
          <w:p>
            <w:pPr>
              <w:pStyle w:val="TableParagraph"/>
              <w:spacing w:before="110"/>
              <w:ind w:left="232"/>
              <w:jc w:val="left"/>
              <w:rPr>
                <w:b/>
                <w:sz w:val="18"/>
              </w:rPr>
            </w:pPr>
            <w:r>
              <w:rPr>
                <w:b/>
                <w:sz w:val="18"/>
              </w:rPr>
              <w:t>2015</w:t>
            </w:r>
          </w:p>
        </w:tc>
      </w:tr>
      <w:tr>
        <w:trPr>
          <w:trHeight w:val="313" w:hRule="exact"/>
        </w:trPr>
        <w:tc>
          <w:tcPr>
            <w:tcW w:w="282" w:type="dxa"/>
          </w:tcPr>
          <w:p>
            <w:pPr/>
          </w:p>
        </w:tc>
        <w:tc>
          <w:tcPr>
            <w:tcW w:w="7074" w:type="dxa"/>
          </w:tcPr>
          <w:p>
            <w:pPr/>
          </w:p>
        </w:tc>
        <w:tc>
          <w:tcPr>
            <w:tcW w:w="1500" w:type="dxa"/>
          </w:tcPr>
          <w:p>
            <w:pPr>
              <w:pStyle w:val="TableParagraph"/>
              <w:spacing w:before="24"/>
              <w:ind w:right="200"/>
              <w:jc w:val="center"/>
              <w:rPr>
                <w:b/>
                <w:sz w:val="18"/>
              </w:rPr>
            </w:pPr>
            <w:r>
              <w:rPr>
                <w:b/>
                <w:w w:val="99"/>
                <w:sz w:val="18"/>
              </w:rPr>
              <w:t>$</w:t>
            </w:r>
          </w:p>
        </w:tc>
        <w:tc>
          <w:tcPr>
            <w:tcW w:w="1094" w:type="dxa"/>
          </w:tcPr>
          <w:p>
            <w:pPr>
              <w:pStyle w:val="TableParagraph"/>
              <w:spacing w:before="24"/>
              <w:ind w:right="227"/>
              <w:jc w:val="center"/>
              <w:rPr>
                <w:b/>
                <w:sz w:val="18"/>
              </w:rPr>
            </w:pPr>
            <w:r>
              <w:rPr>
                <w:b/>
                <w:w w:val="99"/>
                <w:sz w:val="18"/>
              </w:rPr>
              <w:t>$</w:t>
            </w:r>
          </w:p>
        </w:tc>
      </w:tr>
      <w:tr>
        <w:trPr>
          <w:trHeight w:val="544" w:hRule="exact"/>
        </w:trPr>
        <w:tc>
          <w:tcPr>
            <w:tcW w:w="282" w:type="dxa"/>
          </w:tcPr>
          <w:p>
            <w:pPr/>
          </w:p>
        </w:tc>
        <w:tc>
          <w:tcPr>
            <w:tcW w:w="7074" w:type="dxa"/>
          </w:tcPr>
          <w:p>
            <w:pPr>
              <w:pStyle w:val="TableParagraph"/>
              <w:spacing w:before="63"/>
              <w:ind w:left="147"/>
              <w:jc w:val="left"/>
              <w:rPr>
                <w:b/>
                <w:sz w:val="18"/>
              </w:rPr>
            </w:pPr>
            <w:r>
              <w:rPr>
                <w:b/>
                <w:sz w:val="18"/>
              </w:rPr>
              <w:t>Online teaching units</w:t>
            </w:r>
          </w:p>
          <w:p>
            <w:pPr>
              <w:pStyle w:val="TableParagraph"/>
              <w:spacing w:before="29"/>
              <w:ind w:left="147"/>
              <w:jc w:val="left"/>
              <w:rPr>
                <w:sz w:val="18"/>
              </w:rPr>
            </w:pPr>
            <w:r>
              <w:rPr>
                <w:sz w:val="18"/>
              </w:rPr>
              <w:t>Online teaching units - at cost</w:t>
            </w:r>
          </w:p>
        </w:tc>
        <w:tc>
          <w:tcPr>
            <w:tcW w:w="1500" w:type="dxa"/>
          </w:tcPr>
          <w:p>
            <w:pPr>
              <w:pStyle w:val="TableParagraph"/>
              <w:spacing w:before="11"/>
              <w:jc w:val="left"/>
              <w:rPr>
                <w:b/>
                <w:sz w:val="25"/>
              </w:rPr>
            </w:pPr>
          </w:p>
          <w:p>
            <w:pPr>
              <w:pStyle w:val="TableParagraph"/>
              <w:ind w:left="560"/>
              <w:jc w:val="left"/>
              <w:rPr>
                <w:b/>
                <w:sz w:val="18"/>
              </w:rPr>
            </w:pPr>
            <w:r>
              <w:rPr>
                <w:b/>
                <w:sz w:val="18"/>
              </w:rPr>
              <w:t>263,414</w:t>
            </w:r>
          </w:p>
        </w:tc>
        <w:tc>
          <w:tcPr>
            <w:tcW w:w="1094" w:type="dxa"/>
          </w:tcPr>
          <w:p>
            <w:pPr>
              <w:pStyle w:val="TableParagraph"/>
              <w:spacing w:before="11"/>
              <w:jc w:val="left"/>
              <w:rPr>
                <w:b/>
                <w:sz w:val="25"/>
              </w:rPr>
            </w:pPr>
          </w:p>
          <w:p>
            <w:pPr>
              <w:pStyle w:val="TableParagraph"/>
              <w:ind w:right="85"/>
              <w:rPr>
                <w:sz w:val="18"/>
              </w:rPr>
            </w:pPr>
            <w:r>
              <w:rPr>
                <w:w w:val="95"/>
                <w:sz w:val="18"/>
              </w:rPr>
              <w:t>263,414</w:t>
            </w:r>
          </w:p>
        </w:tc>
      </w:tr>
      <w:tr>
        <w:trPr>
          <w:trHeight w:val="262" w:hRule="exact"/>
        </w:trPr>
        <w:tc>
          <w:tcPr>
            <w:tcW w:w="282" w:type="dxa"/>
          </w:tcPr>
          <w:p>
            <w:pPr/>
          </w:p>
        </w:tc>
        <w:tc>
          <w:tcPr>
            <w:tcW w:w="7074" w:type="dxa"/>
          </w:tcPr>
          <w:p>
            <w:pPr>
              <w:pStyle w:val="TableParagraph"/>
              <w:spacing w:before="19"/>
              <w:ind w:left="147"/>
              <w:jc w:val="left"/>
              <w:rPr>
                <w:sz w:val="18"/>
              </w:rPr>
            </w:pPr>
            <w:r>
              <w:rPr>
                <w:sz w:val="18"/>
              </w:rPr>
              <w:t>Accumulated amortisation</w:t>
            </w:r>
          </w:p>
        </w:tc>
        <w:tc>
          <w:tcPr>
            <w:tcW w:w="1500" w:type="dxa"/>
            <w:tcBorders>
              <w:bottom w:val="single" w:sz="0" w:space="0" w:color="000000"/>
            </w:tcBorders>
          </w:tcPr>
          <w:p>
            <w:pPr>
              <w:pStyle w:val="TableParagraph"/>
              <w:spacing w:before="18"/>
              <w:ind w:left="500"/>
              <w:jc w:val="left"/>
              <w:rPr>
                <w:b/>
                <w:sz w:val="18"/>
              </w:rPr>
            </w:pPr>
            <w:r>
              <w:rPr>
                <w:b/>
                <w:sz w:val="18"/>
              </w:rPr>
              <w:t>(109,756)</w:t>
            </w:r>
          </w:p>
        </w:tc>
        <w:tc>
          <w:tcPr>
            <w:tcW w:w="1094" w:type="dxa"/>
            <w:tcBorders>
              <w:bottom w:val="single" w:sz="0" w:space="0" w:color="000000"/>
            </w:tcBorders>
          </w:tcPr>
          <w:p>
            <w:pPr>
              <w:pStyle w:val="TableParagraph"/>
              <w:spacing w:before="18"/>
              <w:ind w:right="228"/>
              <w:jc w:val="center"/>
              <w:rPr>
                <w:sz w:val="18"/>
              </w:rPr>
            </w:pPr>
            <w:r>
              <w:rPr>
                <w:w w:val="99"/>
                <w:sz w:val="18"/>
              </w:rPr>
              <w:t>-</w:t>
            </w:r>
          </w:p>
        </w:tc>
      </w:tr>
      <w:tr>
        <w:trPr>
          <w:trHeight w:val="338" w:hRule="exact"/>
        </w:trPr>
        <w:tc>
          <w:tcPr>
            <w:tcW w:w="282" w:type="dxa"/>
          </w:tcPr>
          <w:p>
            <w:pPr/>
          </w:p>
        </w:tc>
        <w:tc>
          <w:tcPr>
            <w:tcW w:w="7074" w:type="dxa"/>
          </w:tcPr>
          <w:p>
            <w:pPr>
              <w:pStyle w:val="TableParagraph"/>
              <w:spacing w:before="123"/>
              <w:ind w:left="147"/>
              <w:jc w:val="left"/>
              <w:rPr>
                <w:b/>
                <w:sz w:val="18"/>
              </w:rPr>
            </w:pPr>
            <w:bookmarkStart w:name="(a) Movements in carrying amounts of int" w:id="212"/>
            <w:bookmarkEnd w:id="212"/>
            <w:r>
              <w:rPr/>
            </w:r>
            <w:r>
              <w:rPr>
                <w:b/>
                <w:sz w:val="18"/>
              </w:rPr>
              <w:t>Net carrying value</w:t>
            </w:r>
          </w:p>
        </w:tc>
        <w:tc>
          <w:tcPr>
            <w:tcW w:w="1500" w:type="dxa"/>
            <w:tcBorders>
              <w:top w:val="single" w:sz="0" w:space="0" w:color="000000"/>
              <w:bottom w:val="single" w:sz="0" w:space="0" w:color="000000"/>
            </w:tcBorders>
          </w:tcPr>
          <w:p>
            <w:pPr>
              <w:pStyle w:val="TableParagraph"/>
              <w:spacing w:before="122"/>
              <w:ind w:left="560"/>
              <w:jc w:val="left"/>
              <w:rPr>
                <w:b/>
                <w:sz w:val="18"/>
              </w:rPr>
            </w:pPr>
            <w:r>
              <w:rPr>
                <w:b/>
                <w:sz w:val="18"/>
              </w:rPr>
              <w:t>153,658</w:t>
            </w:r>
          </w:p>
        </w:tc>
        <w:tc>
          <w:tcPr>
            <w:tcW w:w="1094" w:type="dxa"/>
            <w:tcBorders>
              <w:top w:val="single" w:sz="0" w:space="0" w:color="000000"/>
              <w:bottom w:val="single" w:sz="0" w:space="0" w:color="000000"/>
            </w:tcBorders>
          </w:tcPr>
          <w:p>
            <w:pPr>
              <w:pStyle w:val="TableParagraph"/>
              <w:spacing w:before="122"/>
              <w:ind w:right="85"/>
              <w:rPr>
                <w:sz w:val="18"/>
              </w:rPr>
            </w:pPr>
            <w:r>
              <w:rPr>
                <w:w w:val="95"/>
                <w:sz w:val="18"/>
              </w:rPr>
              <w:t>263,414</w:t>
            </w:r>
          </w:p>
        </w:tc>
      </w:tr>
      <w:tr>
        <w:trPr>
          <w:trHeight w:val="353" w:hRule="exact"/>
        </w:trPr>
        <w:tc>
          <w:tcPr>
            <w:tcW w:w="282" w:type="dxa"/>
          </w:tcPr>
          <w:p>
            <w:pPr/>
          </w:p>
        </w:tc>
        <w:tc>
          <w:tcPr>
            <w:tcW w:w="7074" w:type="dxa"/>
          </w:tcPr>
          <w:p>
            <w:pPr>
              <w:pStyle w:val="TableParagraph"/>
              <w:spacing w:before="123"/>
              <w:ind w:left="147"/>
              <w:jc w:val="left"/>
              <w:rPr>
                <w:b/>
                <w:sz w:val="18"/>
              </w:rPr>
            </w:pPr>
            <w:r>
              <w:rPr>
                <w:b/>
                <w:sz w:val="18"/>
              </w:rPr>
              <w:t>Total Intangibles</w:t>
            </w:r>
          </w:p>
        </w:tc>
        <w:tc>
          <w:tcPr>
            <w:tcW w:w="1500" w:type="dxa"/>
            <w:tcBorders>
              <w:top w:val="single" w:sz="0" w:space="0" w:color="000000"/>
              <w:bottom w:val="single" w:sz="0" w:space="0" w:color="000000"/>
            </w:tcBorders>
          </w:tcPr>
          <w:p>
            <w:pPr>
              <w:pStyle w:val="TableParagraph"/>
              <w:spacing w:before="122"/>
              <w:ind w:left="560"/>
              <w:jc w:val="left"/>
              <w:rPr>
                <w:b/>
                <w:sz w:val="18"/>
              </w:rPr>
            </w:pPr>
            <w:r>
              <w:rPr>
                <w:b/>
                <w:sz w:val="18"/>
              </w:rPr>
              <w:t>153,658</w:t>
            </w:r>
          </w:p>
        </w:tc>
        <w:tc>
          <w:tcPr>
            <w:tcW w:w="1094" w:type="dxa"/>
            <w:tcBorders>
              <w:top w:val="single" w:sz="0" w:space="0" w:color="000000"/>
              <w:bottom w:val="single" w:sz="0" w:space="0" w:color="000000"/>
            </w:tcBorders>
          </w:tcPr>
          <w:p>
            <w:pPr>
              <w:pStyle w:val="TableParagraph"/>
              <w:spacing w:before="122"/>
              <w:ind w:right="85"/>
              <w:rPr>
                <w:sz w:val="18"/>
              </w:rPr>
            </w:pPr>
            <w:r>
              <w:rPr>
                <w:w w:val="95"/>
                <w:sz w:val="18"/>
              </w:rPr>
              <w:t>263,414</w:t>
            </w:r>
          </w:p>
        </w:tc>
      </w:tr>
    </w:tbl>
    <w:p>
      <w:pPr>
        <w:pStyle w:val="BodyText"/>
        <w:spacing w:before="2"/>
        <w:rPr>
          <w:b/>
          <w:sz w:val="22"/>
        </w:rPr>
      </w:pPr>
    </w:p>
    <w:p>
      <w:pPr>
        <w:pStyle w:val="Heading8"/>
        <w:tabs>
          <w:tab w:pos="2391" w:val="left" w:leader="none"/>
        </w:tabs>
        <w:spacing w:before="77"/>
        <w:ind w:left="1825"/>
      </w:pPr>
      <w:r>
        <w:rPr/>
        <w:t>(a)</w:t>
        <w:tab/>
        <w:t>Movements in carrying amounts of intangible</w:t>
      </w:r>
      <w:r>
        <w:rPr>
          <w:spacing w:val="-5"/>
        </w:rPr>
        <w:t> </w:t>
      </w:r>
      <w:r>
        <w:rPr/>
        <w:t>assets</w:t>
      </w:r>
    </w:p>
    <w:p>
      <w:pPr>
        <w:pStyle w:val="BodyText"/>
        <w:rPr>
          <w:b/>
          <w:sz w:val="20"/>
        </w:rPr>
      </w:pPr>
    </w:p>
    <w:p>
      <w:pPr>
        <w:pStyle w:val="BodyText"/>
        <w:spacing w:before="6"/>
        <w:rPr>
          <w:b/>
          <w:sz w:val="19"/>
        </w:rPr>
      </w:pPr>
    </w:p>
    <w:tbl>
      <w:tblPr>
        <w:tblW w:w="0" w:type="auto"/>
        <w:jc w:val="left"/>
        <w:tblInd w:w="240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349"/>
        <w:gridCol w:w="1511"/>
        <w:gridCol w:w="1084"/>
      </w:tblGrid>
      <w:tr>
        <w:trPr>
          <w:trHeight w:val="740" w:hRule="exact"/>
        </w:trPr>
        <w:tc>
          <w:tcPr>
            <w:tcW w:w="6349" w:type="dxa"/>
            <w:vMerge w:val="restart"/>
          </w:tcPr>
          <w:p>
            <w:pPr/>
          </w:p>
        </w:tc>
        <w:tc>
          <w:tcPr>
            <w:tcW w:w="1511" w:type="dxa"/>
          </w:tcPr>
          <w:p>
            <w:pPr>
              <w:pStyle w:val="TableParagraph"/>
              <w:spacing w:before="77"/>
              <w:ind w:left="276" w:right="442"/>
              <w:jc w:val="center"/>
              <w:rPr>
                <w:b/>
                <w:sz w:val="18"/>
              </w:rPr>
            </w:pPr>
            <w:r>
              <w:rPr>
                <w:b/>
                <w:sz w:val="18"/>
              </w:rPr>
              <w:t>Online Teaching</w:t>
            </w:r>
            <w:r>
              <w:rPr>
                <w:b/>
                <w:w w:val="100"/>
                <w:sz w:val="18"/>
              </w:rPr>
              <w:t> </w:t>
            </w:r>
            <w:r>
              <w:rPr>
                <w:b/>
                <w:sz w:val="18"/>
              </w:rPr>
              <w:t>Units</w:t>
            </w:r>
          </w:p>
        </w:tc>
        <w:tc>
          <w:tcPr>
            <w:tcW w:w="1084" w:type="dxa"/>
          </w:tcPr>
          <w:p>
            <w:pPr>
              <w:pStyle w:val="TableParagraph"/>
              <w:jc w:val="left"/>
              <w:rPr>
                <w:b/>
                <w:sz w:val="18"/>
              </w:rPr>
            </w:pPr>
          </w:p>
          <w:p>
            <w:pPr>
              <w:pStyle w:val="TableParagraph"/>
              <w:spacing w:before="6"/>
              <w:jc w:val="left"/>
              <w:rPr>
                <w:b/>
                <w:sz w:val="24"/>
              </w:rPr>
            </w:pPr>
          </w:p>
          <w:p>
            <w:pPr>
              <w:pStyle w:val="TableParagraph"/>
              <w:spacing w:before="1"/>
              <w:ind w:left="242"/>
              <w:jc w:val="left"/>
              <w:rPr>
                <w:b/>
                <w:sz w:val="18"/>
              </w:rPr>
            </w:pPr>
            <w:r>
              <w:rPr>
                <w:b/>
                <w:sz w:val="18"/>
              </w:rPr>
              <w:t>Total</w:t>
            </w:r>
          </w:p>
        </w:tc>
      </w:tr>
      <w:tr>
        <w:trPr>
          <w:trHeight w:val="313" w:hRule="exact"/>
        </w:trPr>
        <w:tc>
          <w:tcPr>
            <w:tcW w:w="6349" w:type="dxa"/>
            <w:vMerge/>
          </w:tcPr>
          <w:p>
            <w:pPr/>
          </w:p>
        </w:tc>
        <w:tc>
          <w:tcPr>
            <w:tcW w:w="1511" w:type="dxa"/>
          </w:tcPr>
          <w:p>
            <w:pPr>
              <w:pStyle w:val="TableParagraph"/>
              <w:spacing w:before="24"/>
              <w:ind w:right="165"/>
              <w:jc w:val="center"/>
              <w:rPr>
                <w:b/>
                <w:sz w:val="18"/>
              </w:rPr>
            </w:pPr>
            <w:r>
              <w:rPr>
                <w:b/>
                <w:w w:val="99"/>
                <w:sz w:val="18"/>
              </w:rPr>
              <w:t>$</w:t>
            </w:r>
          </w:p>
        </w:tc>
        <w:tc>
          <w:tcPr>
            <w:tcW w:w="1084" w:type="dxa"/>
          </w:tcPr>
          <w:p>
            <w:pPr>
              <w:pStyle w:val="TableParagraph"/>
              <w:spacing w:before="24"/>
              <w:ind w:right="165"/>
              <w:jc w:val="center"/>
              <w:rPr>
                <w:b/>
                <w:sz w:val="18"/>
              </w:rPr>
            </w:pPr>
            <w:r>
              <w:rPr>
                <w:b/>
                <w:w w:val="99"/>
                <w:sz w:val="18"/>
              </w:rPr>
              <w:t>$</w:t>
            </w:r>
          </w:p>
        </w:tc>
      </w:tr>
      <w:tr>
        <w:trPr>
          <w:trHeight w:val="544" w:hRule="exact"/>
        </w:trPr>
        <w:tc>
          <w:tcPr>
            <w:tcW w:w="6349" w:type="dxa"/>
          </w:tcPr>
          <w:p>
            <w:pPr>
              <w:pStyle w:val="TableParagraph"/>
              <w:spacing w:before="63"/>
              <w:ind w:left="35"/>
              <w:jc w:val="left"/>
              <w:rPr>
                <w:b/>
                <w:sz w:val="18"/>
              </w:rPr>
            </w:pPr>
            <w:r>
              <w:rPr>
                <w:b/>
                <w:sz w:val="18"/>
              </w:rPr>
              <w:t>2016</w:t>
            </w:r>
          </w:p>
          <w:p>
            <w:pPr>
              <w:pStyle w:val="TableParagraph"/>
              <w:spacing w:before="29"/>
              <w:ind w:left="35"/>
              <w:jc w:val="left"/>
              <w:rPr>
                <w:sz w:val="18"/>
              </w:rPr>
            </w:pPr>
            <w:r>
              <w:rPr>
                <w:sz w:val="18"/>
              </w:rPr>
              <w:t>Balance at the beginning of the year</w:t>
            </w:r>
          </w:p>
        </w:tc>
        <w:tc>
          <w:tcPr>
            <w:tcW w:w="1511" w:type="dxa"/>
          </w:tcPr>
          <w:p>
            <w:pPr>
              <w:pStyle w:val="TableParagraph"/>
              <w:spacing w:before="11"/>
              <w:jc w:val="left"/>
              <w:rPr>
                <w:b/>
                <w:sz w:val="25"/>
              </w:rPr>
            </w:pPr>
          </w:p>
          <w:p>
            <w:pPr>
              <w:pStyle w:val="TableParagraph"/>
              <w:ind w:right="300"/>
              <w:rPr>
                <w:b/>
                <w:sz w:val="18"/>
              </w:rPr>
            </w:pPr>
            <w:r>
              <w:rPr>
                <w:b/>
                <w:w w:val="95"/>
                <w:sz w:val="18"/>
              </w:rPr>
              <w:t>263,414</w:t>
            </w:r>
          </w:p>
        </w:tc>
        <w:tc>
          <w:tcPr>
            <w:tcW w:w="1084" w:type="dxa"/>
          </w:tcPr>
          <w:p>
            <w:pPr>
              <w:pStyle w:val="TableParagraph"/>
              <w:spacing w:before="11"/>
              <w:jc w:val="left"/>
              <w:rPr>
                <w:b/>
                <w:sz w:val="25"/>
              </w:rPr>
            </w:pPr>
          </w:p>
          <w:p>
            <w:pPr>
              <w:pStyle w:val="TableParagraph"/>
              <w:ind w:right="86"/>
              <w:rPr>
                <w:b/>
                <w:sz w:val="18"/>
              </w:rPr>
            </w:pPr>
            <w:r>
              <w:rPr>
                <w:b/>
                <w:w w:val="95"/>
                <w:sz w:val="18"/>
              </w:rPr>
              <w:t>263,414</w:t>
            </w:r>
          </w:p>
        </w:tc>
      </w:tr>
      <w:tr>
        <w:trPr>
          <w:trHeight w:val="262" w:hRule="exact"/>
        </w:trPr>
        <w:tc>
          <w:tcPr>
            <w:tcW w:w="6349" w:type="dxa"/>
          </w:tcPr>
          <w:p>
            <w:pPr>
              <w:pStyle w:val="TableParagraph"/>
              <w:spacing w:before="19"/>
              <w:ind w:left="35"/>
              <w:jc w:val="left"/>
              <w:rPr>
                <w:sz w:val="18"/>
              </w:rPr>
            </w:pPr>
            <w:r>
              <w:rPr>
                <w:sz w:val="18"/>
              </w:rPr>
              <w:t>Amortisation</w:t>
            </w:r>
          </w:p>
        </w:tc>
        <w:tc>
          <w:tcPr>
            <w:tcW w:w="1511" w:type="dxa"/>
            <w:tcBorders>
              <w:bottom w:val="single" w:sz="0" w:space="0" w:color="000000"/>
            </w:tcBorders>
          </w:tcPr>
          <w:p>
            <w:pPr>
              <w:pStyle w:val="TableParagraph"/>
              <w:spacing w:before="18"/>
              <w:ind w:right="240"/>
              <w:rPr>
                <w:b/>
                <w:sz w:val="18"/>
              </w:rPr>
            </w:pPr>
            <w:r>
              <w:rPr>
                <w:b/>
                <w:w w:val="95"/>
                <w:sz w:val="18"/>
              </w:rPr>
              <w:t>(109,756)</w:t>
            </w:r>
          </w:p>
        </w:tc>
        <w:tc>
          <w:tcPr>
            <w:tcW w:w="1084" w:type="dxa"/>
            <w:tcBorders>
              <w:bottom w:val="single" w:sz="0" w:space="0" w:color="000000"/>
            </w:tcBorders>
          </w:tcPr>
          <w:p>
            <w:pPr>
              <w:pStyle w:val="TableParagraph"/>
              <w:spacing w:before="18"/>
              <w:ind w:right="27"/>
              <w:rPr>
                <w:b/>
                <w:sz w:val="18"/>
              </w:rPr>
            </w:pPr>
            <w:r>
              <w:rPr>
                <w:b/>
                <w:w w:val="95"/>
                <w:sz w:val="18"/>
              </w:rPr>
              <w:t>(109,756)</w:t>
            </w:r>
          </w:p>
        </w:tc>
      </w:tr>
      <w:tr>
        <w:trPr>
          <w:trHeight w:val="344" w:hRule="exact"/>
        </w:trPr>
        <w:tc>
          <w:tcPr>
            <w:tcW w:w="6349" w:type="dxa"/>
          </w:tcPr>
          <w:p>
            <w:pPr>
              <w:pStyle w:val="TableParagraph"/>
              <w:spacing w:before="123"/>
              <w:ind w:left="35"/>
              <w:jc w:val="left"/>
              <w:rPr>
                <w:b/>
                <w:sz w:val="18"/>
              </w:rPr>
            </w:pPr>
            <w:r>
              <w:rPr>
                <w:b/>
                <w:sz w:val="18"/>
              </w:rPr>
              <w:t>Closing value at 31 December 2016</w:t>
            </w:r>
          </w:p>
        </w:tc>
        <w:tc>
          <w:tcPr>
            <w:tcW w:w="1511" w:type="dxa"/>
            <w:tcBorders>
              <w:top w:val="single" w:sz="0" w:space="0" w:color="000000"/>
              <w:bottom w:val="single" w:sz="0" w:space="0" w:color="000000"/>
            </w:tcBorders>
          </w:tcPr>
          <w:p>
            <w:pPr>
              <w:pStyle w:val="TableParagraph"/>
              <w:spacing w:before="122"/>
              <w:ind w:right="300"/>
              <w:rPr>
                <w:b/>
                <w:sz w:val="18"/>
              </w:rPr>
            </w:pPr>
            <w:r>
              <w:rPr>
                <w:b/>
                <w:w w:val="95"/>
                <w:sz w:val="18"/>
              </w:rPr>
              <w:t>153,658</w:t>
            </w:r>
          </w:p>
        </w:tc>
        <w:tc>
          <w:tcPr>
            <w:tcW w:w="1084" w:type="dxa"/>
            <w:tcBorders>
              <w:top w:val="single" w:sz="0" w:space="0" w:color="000000"/>
              <w:bottom w:val="single" w:sz="0" w:space="0" w:color="000000"/>
            </w:tcBorders>
          </w:tcPr>
          <w:p>
            <w:pPr>
              <w:pStyle w:val="TableParagraph"/>
              <w:spacing w:before="122"/>
              <w:ind w:right="86"/>
              <w:rPr>
                <w:b/>
                <w:sz w:val="18"/>
              </w:rPr>
            </w:pPr>
            <w:r>
              <w:rPr>
                <w:b/>
                <w:w w:val="95"/>
                <w:sz w:val="18"/>
              </w:rPr>
              <w:t>153,658</w:t>
            </w:r>
          </w:p>
        </w:tc>
      </w:tr>
    </w:tbl>
    <w:p>
      <w:pPr>
        <w:pStyle w:val="BodyText"/>
        <w:rPr>
          <w:b/>
          <w:sz w:val="20"/>
        </w:rPr>
      </w:pPr>
    </w:p>
    <w:p>
      <w:pPr>
        <w:pStyle w:val="BodyText"/>
        <w:spacing w:before="5"/>
        <w:rPr>
          <w:b/>
          <w:sz w:val="27"/>
        </w:rPr>
      </w:pPr>
    </w:p>
    <w:p>
      <w:pPr>
        <w:spacing w:before="77"/>
        <w:ind w:left="2437" w:right="0" w:firstLine="0"/>
        <w:jc w:val="left"/>
        <w:rPr>
          <w:b/>
          <w:sz w:val="18"/>
        </w:rPr>
      </w:pPr>
      <w:r>
        <w:rPr/>
        <w:drawing>
          <wp:anchor distT="0" distB="0" distL="0" distR="0" allowOverlap="1" layoutInCell="1" locked="0" behindDoc="0" simplePos="0" relativeHeight="8248">
            <wp:simplePos x="0" y="0"/>
            <wp:positionH relativeFrom="page">
              <wp:posOffset>-1587</wp:posOffset>
            </wp:positionH>
            <wp:positionV relativeFrom="paragraph">
              <wp:posOffset>-550114</wp:posOffset>
            </wp:positionV>
            <wp:extent cx="135159" cy="154019"/>
            <wp:effectExtent l="0" t="0" r="0" b="0"/>
            <wp:wrapNone/>
            <wp:docPr id="557" name="image13.png" descr=""/>
            <wp:cNvGraphicFramePr>
              <a:graphicFrameLocks noChangeAspect="1"/>
            </wp:cNvGraphicFramePr>
            <a:graphic>
              <a:graphicData uri="http://schemas.openxmlformats.org/drawingml/2006/picture">
                <pic:pic>
                  <pic:nvPicPr>
                    <pic:cNvPr id="558" name="image13.png"/>
                    <pic:cNvPicPr/>
                  </pic:nvPicPr>
                  <pic:blipFill>
                    <a:blip r:embed="rId18" cstate="print"/>
                    <a:stretch>
                      <a:fillRect/>
                    </a:stretch>
                  </pic:blipFill>
                  <pic:spPr>
                    <a:xfrm>
                      <a:off x="0" y="0"/>
                      <a:ext cx="135159" cy="154019"/>
                    </a:xfrm>
                    <a:prstGeom prst="rect">
                      <a:avLst/>
                    </a:prstGeom>
                  </pic:spPr>
                </pic:pic>
              </a:graphicData>
            </a:graphic>
          </wp:anchor>
        </w:drawing>
      </w:r>
      <w:r>
        <w:rPr/>
        <w:drawing>
          <wp:anchor distT="0" distB="0" distL="0" distR="0" allowOverlap="1" layoutInCell="1" locked="0" behindDoc="0" simplePos="0" relativeHeight="8272">
            <wp:simplePos x="0" y="0"/>
            <wp:positionH relativeFrom="page">
              <wp:posOffset>7958429</wp:posOffset>
            </wp:positionH>
            <wp:positionV relativeFrom="paragraph">
              <wp:posOffset>-550114</wp:posOffset>
            </wp:positionV>
            <wp:extent cx="135953" cy="155575"/>
            <wp:effectExtent l="0" t="0" r="0" b="0"/>
            <wp:wrapNone/>
            <wp:docPr id="559" name="image15.png" descr=""/>
            <wp:cNvGraphicFramePr>
              <a:graphicFrameLocks noChangeAspect="1"/>
            </wp:cNvGraphicFramePr>
            <a:graphic>
              <a:graphicData uri="http://schemas.openxmlformats.org/drawingml/2006/picture">
                <pic:pic>
                  <pic:nvPicPr>
                    <pic:cNvPr id="560" name="image15.png"/>
                    <pic:cNvPicPr/>
                  </pic:nvPicPr>
                  <pic:blipFill>
                    <a:blip r:embed="rId20" cstate="print"/>
                    <a:stretch>
                      <a:fillRect/>
                    </a:stretch>
                  </pic:blipFill>
                  <pic:spPr>
                    <a:xfrm>
                      <a:off x="0" y="0"/>
                      <a:ext cx="135953" cy="155575"/>
                    </a:xfrm>
                    <a:prstGeom prst="rect">
                      <a:avLst/>
                    </a:prstGeom>
                  </pic:spPr>
                </pic:pic>
              </a:graphicData>
            </a:graphic>
          </wp:anchor>
        </w:drawing>
      </w:r>
      <w:r>
        <w:rPr>
          <w:b/>
          <w:sz w:val="18"/>
        </w:rPr>
        <w:t>2015</w:t>
      </w:r>
    </w:p>
    <w:p>
      <w:pPr>
        <w:pStyle w:val="BodyText"/>
        <w:tabs>
          <w:tab w:pos="9392" w:val="left" w:leader="none"/>
          <w:tab w:pos="10689" w:val="left" w:leader="none"/>
        </w:tabs>
        <w:spacing w:before="29"/>
        <w:ind w:left="2437"/>
      </w:pPr>
      <w:r>
        <w:rPr/>
        <w:t>Balance at the beginning of</w:t>
      </w:r>
      <w:r>
        <w:rPr>
          <w:spacing w:val="-20"/>
        </w:rPr>
        <w:t> </w:t>
      </w:r>
      <w:r>
        <w:rPr/>
        <w:t>the</w:t>
      </w:r>
      <w:r>
        <w:rPr>
          <w:spacing w:val="-4"/>
        </w:rPr>
        <w:t> </w:t>
      </w:r>
      <w:r>
        <w:rPr/>
        <w:t>year</w:t>
        <w:tab/>
        <w:t>-</w:t>
        <w:tab/>
        <w:t>-</w:t>
      </w:r>
    </w:p>
    <w:p>
      <w:pPr>
        <w:pStyle w:val="BodyText"/>
        <w:tabs>
          <w:tab w:pos="9311" w:val="left" w:leader="none"/>
          <w:tab w:pos="10609" w:val="left" w:leader="none"/>
        </w:tabs>
        <w:spacing w:before="57"/>
        <w:ind w:left="2437"/>
      </w:pPr>
      <w:r>
        <w:rPr/>
        <w:t>Additions</w:t>
        <w:tab/>
        <w:t>263,414</w:t>
        <w:tab/>
        <w:t>263,414</w:t>
      </w:r>
    </w:p>
    <w:p>
      <w:pPr>
        <w:pStyle w:val="BodyText"/>
        <w:tabs>
          <w:tab w:pos="9392" w:val="left" w:leader="none"/>
          <w:tab w:pos="10689" w:val="left" w:leader="none"/>
        </w:tabs>
        <w:spacing w:before="57"/>
        <w:ind w:left="2437"/>
      </w:pPr>
      <w:r>
        <w:rPr/>
        <w:pict>
          <v:group style="position:absolute;margin-left:437.529999pt;margin-top:14.481885pt;width:129.85pt;height:1pt;mso-position-horizontal-relative:page;mso-position-vertical-relative:paragraph;z-index:8200;mso-wrap-distance-left:0;mso-wrap-distance-right:0" coordorigin="8751,290" coordsize="2597,20">
            <v:line style="position:absolute" from="8752,291" to="10049,291" stroked="true" strokeweight=".06pt" strokecolor="#000000"/>
            <v:line style="position:absolute" from="8752,292" to="10049,292" stroked="true" strokeweight=".06pt" strokecolor="#000000"/>
            <v:line style="position:absolute" from="8752,293" to="10049,293" stroked="true" strokeweight=".06pt" strokecolor="#000000"/>
            <v:line style="position:absolute" from="8752,294" to="10049,294" stroked="true" strokeweight=".06pt" strokecolor="#000000"/>
            <v:line style="position:absolute" from="8752,295" to="10049,295" stroked="true" strokeweight=".06pt" strokecolor="#000000"/>
            <v:line style="position:absolute" from="8752,297" to="10049,297" stroked="true" strokeweight=".06pt" strokecolor="#000000"/>
            <v:line style="position:absolute" from="8752,298" to="10049,298" stroked="true" strokeweight=".06pt" strokecolor="#000000"/>
            <v:line style="position:absolute" from="8752,299" to="10049,299" stroked="true" strokeweight=".06pt" strokecolor="#000000"/>
            <v:line style="position:absolute" from="8752,300" to="10049,300" stroked="true" strokeweight=".06pt" strokecolor="#000000"/>
            <v:line style="position:absolute" from="8752,301" to="10049,301" stroked="true" strokeweight=".06pt" strokecolor="#000000"/>
            <v:line style="position:absolute" from="8752,303" to="10049,303" stroked="true" strokeweight=".06pt" strokecolor="#000000"/>
            <v:line style="position:absolute" from="8752,304" to="10049,304" stroked="true" strokeweight=".06pt" strokecolor="#000000"/>
            <v:line style="position:absolute" from="8752,305" to="10049,305" stroked="true" strokeweight=".06pt" strokecolor="#000000"/>
            <v:line style="position:absolute" from="8752,306" to="10049,306" stroked="true" strokeweight=".06pt" strokecolor="#000000"/>
            <v:line style="position:absolute" from="8752,307" to="10049,307" stroked="true" strokeweight=".06pt" strokecolor="#000000"/>
            <v:line style="position:absolute" from="8752,309" to="10049,309" stroked="true" strokeweight=".06pt" strokecolor="#000000"/>
            <v:line style="position:absolute" from="10049,291" to="11346,291" stroked="true" strokeweight=".06pt" strokecolor="#000000"/>
            <v:line style="position:absolute" from="10049,292" to="11346,292" stroked="true" strokeweight=".06pt" strokecolor="#000000"/>
            <v:line style="position:absolute" from="10049,293" to="11346,293" stroked="true" strokeweight=".06pt" strokecolor="#000000"/>
            <v:line style="position:absolute" from="10049,294" to="11346,294" stroked="true" strokeweight=".06pt" strokecolor="#000000"/>
            <v:line style="position:absolute" from="10049,295" to="11346,295" stroked="true" strokeweight=".06pt" strokecolor="#000000"/>
            <v:line style="position:absolute" from="10049,297" to="11346,297" stroked="true" strokeweight=".06pt" strokecolor="#000000"/>
            <v:line style="position:absolute" from="10049,298" to="11346,298" stroked="true" strokeweight=".06pt" strokecolor="#000000"/>
            <v:line style="position:absolute" from="10049,299" to="11346,299" stroked="true" strokeweight=".06pt" strokecolor="#000000"/>
            <v:line style="position:absolute" from="10049,300" to="11346,300" stroked="true" strokeweight=".06pt" strokecolor="#000000"/>
            <v:line style="position:absolute" from="10049,301" to="11346,301" stroked="true" strokeweight=".06pt" strokecolor="#000000"/>
            <v:line style="position:absolute" from="10049,303" to="11346,303" stroked="true" strokeweight=".06pt" strokecolor="#000000"/>
            <v:line style="position:absolute" from="10049,304" to="11346,304" stroked="true" strokeweight=".06pt" strokecolor="#000000"/>
            <v:line style="position:absolute" from="10049,305" to="11346,305" stroked="true" strokeweight=".06pt" strokecolor="#000000"/>
            <v:line style="position:absolute" from="10049,306" to="11346,306" stroked="true" strokeweight=".06pt" strokecolor="#000000"/>
            <v:line style="position:absolute" from="10049,307" to="11346,307" stroked="true" strokeweight=".06pt" strokecolor="#000000"/>
            <v:line style="position:absolute" from="10049,309" to="11346,309" stroked="true" strokeweight=".06pt" strokecolor="#000000"/>
            <w10:wrap type="topAndBottom"/>
          </v:group>
        </w:pict>
      </w:r>
      <w:r>
        <w:rPr/>
        <w:t>Amortisation</w:t>
        <w:tab/>
        <w:t>-</w:t>
        <w:tab/>
        <w:t>-</w:t>
      </w:r>
    </w:p>
    <w:p>
      <w:pPr>
        <w:tabs>
          <w:tab w:pos="9311" w:val="left" w:leader="none"/>
          <w:tab w:pos="10609" w:val="left" w:leader="none"/>
        </w:tabs>
        <w:spacing w:before="84"/>
        <w:ind w:left="2437" w:right="0" w:firstLine="0"/>
        <w:jc w:val="left"/>
        <w:rPr>
          <w:sz w:val="18"/>
        </w:rPr>
      </w:pPr>
      <w:r>
        <w:rPr>
          <w:b/>
          <w:sz w:val="18"/>
        </w:rPr>
        <w:t>Closing value at 31</w:t>
      </w:r>
      <w:r>
        <w:rPr>
          <w:b/>
          <w:spacing w:val="-15"/>
          <w:sz w:val="18"/>
        </w:rPr>
        <w:t> </w:t>
      </w:r>
      <w:r>
        <w:rPr>
          <w:b/>
          <w:sz w:val="18"/>
        </w:rPr>
        <w:t>December</w:t>
      </w:r>
      <w:r>
        <w:rPr>
          <w:b/>
          <w:spacing w:val="-4"/>
          <w:sz w:val="18"/>
        </w:rPr>
        <w:t> </w:t>
      </w:r>
      <w:r>
        <w:rPr>
          <w:b/>
          <w:sz w:val="18"/>
        </w:rPr>
        <w:t>2015</w:t>
        <w:tab/>
      </w:r>
      <w:r>
        <w:rPr>
          <w:sz w:val="18"/>
        </w:rPr>
        <w:t>263,414</w:t>
        <w:tab/>
        <w:t>263,414</w:t>
      </w:r>
    </w:p>
    <w:p>
      <w:pPr>
        <w:pStyle w:val="BodyText"/>
        <w:spacing w:line="30" w:lineRule="exact"/>
        <w:ind w:left="8750"/>
        <w:rPr>
          <w:sz w:val="3"/>
        </w:rPr>
      </w:pPr>
      <w:r>
        <w:rPr>
          <w:position w:val="0"/>
          <w:sz w:val="3"/>
        </w:rPr>
        <w:pict>
          <v:group style="width:129.85pt;height:1.55pt;mso-position-horizontal-relative:char;mso-position-vertical-relative:line" coordorigin="0,0" coordsize="2597,31">
            <v:line style="position:absolute" from="1,1" to="1298,1" stroked="true" strokeweight=".06pt" strokecolor="#000000"/>
            <v:line style="position:absolute" from="1,2" to="1298,2" stroked="true" strokeweight=".06pt" strokecolor="#000000"/>
            <v:line style="position:absolute" from="1,3" to="1298,3" stroked="true" strokeweight=".06pt" strokecolor="#000000"/>
            <v:line style="position:absolute" from="1,5" to="1298,5" stroked="true" strokeweight=".06pt" strokecolor="#000000"/>
            <v:line style="position:absolute" from="1,6" to="1298,6" stroked="true" strokeweight=".06pt" strokecolor="#000000"/>
            <v:line style="position:absolute" from="1,7" to="1298,7" stroked="true" strokeweight=".06pt" strokecolor="#000000"/>
            <v:line style="position:absolute" from="1,8" to="1298,8" stroked="true" strokeweight=".06pt" strokecolor="#000000"/>
            <v:line style="position:absolute" from="1,9" to="1298,9" stroked="true" strokeweight=".06pt" strokecolor="#000000"/>
            <v:line style="position:absolute" from="1,11" to="1298,11" stroked="true" strokeweight=".06pt" strokecolor="#000000"/>
            <v:line style="position:absolute" from="1,12" to="1298,12" stroked="true" strokeweight=".06pt" strokecolor="#000000"/>
            <v:line style="position:absolute" from="1,13" to="1298,13" stroked="true" strokeweight=".06pt" strokecolor="#000000"/>
            <v:line style="position:absolute" from="1,14" to="1298,14" stroked="true" strokeweight=".06pt" strokecolor="#000000"/>
            <v:line style="position:absolute" from="1,15" to="1298,15" stroked="true" strokeweight=".06pt" strokecolor="#000000"/>
            <v:line style="position:absolute" from="1,17" to="1298,17" stroked="true" strokeweight=".06pt" strokecolor="#000000"/>
            <v:line style="position:absolute" from="1,18" to="1298,18" stroked="true" strokeweight=".06pt" strokecolor="#000000"/>
            <v:line style="position:absolute" from="1,19" to="1298,19" stroked="true" strokeweight=".06pt" strokecolor="#000000"/>
            <v:line style="position:absolute" from="1,20" to="1298,20" stroked="true" strokeweight=".06pt" strokecolor="#000000"/>
            <v:line style="position:absolute" from="1,21" to="1298,21" stroked="true" strokeweight=".06pt" strokecolor="#000000"/>
            <v:line style="position:absolute" from="1,23" to="1298,23" stroked="true" strokeweight=".06pt" strokecolor="#000000"/>
            <v:line style="position:absolute" from="1,24" to="1298,24" stroked="true" strokeweight=".06pt" strokecolor="#000000"/>
            <v:line style="position:absolute" from="1,25" to="1298,25" stroked="true" strokeweight=".06pt" strokecolor="#000000"/>
            <v:line style="position:absolute" from="1,26" to="1298,26" stroked="true" strokeweight=".06pt" strokecolor="#000000"/>
            <v:line style="position:absolute" from="1,27" to="1298,27" stroked="true" strokeweight=".06pt" strokecolor="#000000"/>
            <v:line style="position:absolute" from="1,29" to="1298,29" stroked="true" strokeweight=".06pt" strokecolor="#000000"/>
            <v:line style="position:absolute" from="1,30" to="1298,30" stroked="true" strokeweight=".06pt" strokecolor="#000000"/>
            <v:line style="position:absolute" from="1298,1" to="2595,1" stroked="true" strokeweight=".06pt" strokecolor="#000000"/>
            <v:line style="position:absolute" from="1298,2" to="2595,2" stroked="true" strokeweight=".06pt" strokecolor="#000000"/>
            <v:line style="position:absolute" from="1298,3" to="2595,3" stroked="true" strokeweight=".06pt" strokecolor="#000000"/>
            <v:line style="position:absolute" from="1298,5" to="2595,5" stroked="true" strokeweight=".06pt" strokecolor="#000000"/>
            <v:line style="position:absolute" from="1298,6" to="2595,6" stroked="true" strokeweight=".06pt" strokecolor="#000000"/>
            <v:line style="position:absolute" from="1298,7" to="2595,7" stroked="true" strokeweight=".06pt" strokecolor="#000000"/>
            <v:line style="position:absolute" from="1298,8" to="2595,8" stroked="true" strokeweight=".06pt" strokecolor="#000000"/>
            <v:line style="position:absolute" from="1298,9" to="2595,9" stroked="true" strokeweight=".06pt" strokecolor="#000000"/>
            <v:line style="position:absolute" from="1298,11" to="2595,11" stroked="true" strokeweight=".06pt" strokecolor="#000000"/>
            <v:line style="position:absolute" from="1298,12" to="2595,12" stroked="true" strokeweight=".06pt" strokecolor="#000000"/>
            <v:line style="position:absolute" from="1298,13" to="2595,13" stroked="true" strokeweight=".06pt" strokecolor="#000000"/>
            <v:line style="position:absolute" from="1298,14" to="2595,14" stroked="true" strokeweight=".06pt" strokecolor="#000000"/>
            <v:line style="position:absolute" from="1298,15" to="2595,15" stroked="true" strokeweight=".06pt" strokecolor="#000000"/>
            <v:line style="position:absolute" from="1298,17" to="2595,17" stroked="true" strokeweight=".06pt" strokecolor="#000000"/>
            <v:line style="position:absolute" from="1298,18" to="2595,18" stroked="true" strokeweight=".06pt" strokecolor="#000000"/>
            <v:line style="position:absolute" from="1298,19" to="2595,19" stroked="true" strokeweight=".06pt" strokecolor="#000000"/>
            <v:line style="position:absolute" from="1298,20" to="2595,20" stroked="true" strokeweight=".06pt" strokecolor="#000000"/>
            <v:line style="position:absolute" from="1298,21" to="2595,21" stroked="true" strokeweight=".06pt" strokecolor="#000000"/>
            <v:line style="position:absolute" from="1298,23" to="2595,23" stroked="true" strokeweight=".06pt" strokecolor="#000000"/>
            <v:line style="position:absolute" from="1298,24" to="2595,24" stroked="true" strokeweight=".06pt" strokecolor="#000000"/>
            <v:line style="position:absolute" from="1298,25" to="2595,25" stroked="true" strokeweight=".06pt" strokecolor="#000000"/>
            <v:line style="position:absolute" from="1298,26" to="2595,26" stroked="true" strokeweight=".06pt" strokecolor="#000000"/>
            <v:line style="position:absolute" from="1298,27" to="2595,27" stroked="true" strokeweight=".06pt" strokecolor="#000000"/>
            <v:line style="position:absolute" from="1298,29" to="2595,29" stroked="true" strokeweight=".06pt" strokecolor="#000000"/>
            <v:line style="position:absolute" from="1298,30" to="2595,30" stroked="true" strokeweight=".06pt" strokecolor="#000000"/>
          </v:group>
        </w:pict>
      </w:r>
      <w:r>
        <w:rPr>
          <w:position w:val="0"/>
          <w:sz w:val="3"/>
        </w:rPr>
      </w:r>
    </w:p>
    <w:p>
      <w:pPr>
        <w:spacing w:after="0" w:line="30" w:lineRule="exact"/>
        <w:rPr>
          <w:sz w:val="3"/>
        </w:rPr>
        <w:sectPr>
          <w:headerReference w:type="default" r:id="rId75"/>
          <w:pgSz w:w="12750" w:h="17680"/>
          <w:pgMar w:header="0" w:footer="867" w:top="2860" w:bottom="1120" w:left="0" w:right="0"/>
        </w:sectPr>
      </w:pPr>
    </w:p>
    <w:p>
      <w:pPr>
        <w:pStyle w:val="BodyText"/>
        <w:rPr>
          <w:sz w:val="20"/>
        </w:rPr>
      </w:pPr>
    </w:p>
    <w:p>
      <w:pPr>
        <w:pStyle w:val="BodyText"/>
        <w:rPr>
          <w:sz w:val="20"/>
        </w:rPr>
      </w:pPr>
    </w:p>
    <w:p>
      <w:pPr>
        <w:pStyle w:val="BodyText"/>
        <w:spacing w:before="4"/>
      </w:pPr>
    </w:p>
    <w:p>
      <w:pPr>
        <w:pStyle w:val="Heading8"/>
        <w:numPr>
          <w:ilvl w:val="0"/>
          <w:numId w:val="49"/>
        </w:numPr>
        <w:tabs>
          <w:tab w:pos="1826" w:val="left" w:leader="none"/>
        </w:tabs>
        <w:spacing w:line="240" w:lineRule="auto" w:before="0" w:after="0"/>
        <w:ind w:left="1825" w:right="0" w:hanging="396"/>
        <w:jc w:val="left"/>
      </w:pPr>
      <w:bookmarkStart w:name="Investments accounted for using the equi" w:id="213"/>
      <w:bookmarkEnd w:id="213"/>
      <w:r>
        <w:rPr>
          <w:b w:val="0"/>
        </w:rPr>
      </w:r>
      <w:bookmarkStart w:name="(a) Restrictions" w:id="214"/>
      <w:bookmarkEnd w:id="214"/>
      <w:r>
        <w:rPr>
          <w:b w:val="0"/>
        </w:rPr>
      </w:r>
      <w:bookmarkStart w:name="(a) Restrictions" w:id="215"/>
      <w:bookmarkEnd w:id="215"/>
      <w:r>
        <w:rPr/>
        <w:t>In</w:t>
      </w:r>
      <w:r>
        <w:rPr/>
        <w:t>vestments accounted for using the equity</w:t>
      </w:r>
      <w:r>
        <w:rPr>
          <w:spacing w:val="-5"/>
        </w:rPr>
        <w:t> </w:t>
      </w:r>
      <w:r>
        <w:rPr/>
        <w:t>method</w:t>
      </w:r>
    </w:p>
    <w:p>
      <w:pPr>
        <w:pStyle w:val="BodyText"/>
        <w:spacing w:before="7"/>
        <w:rPr>
          <w:b/>
          <w:sz w:val="26"/>
        </w:rPr>
      </w:pPr>
    </w:p>
    <w:p>
      <w:pPr>
        <w:pStyle w:val="ListParagraph"/>
        <w:numPr>
          <w:ilvl w:val="1"/>
          <w:numId w:val="49"/>
        </w:numPr>
        <w:tabs>
          <w:tab w:pos="2392" w:val="left" w:leader="none"/>
        </w:tabs>
        <w:spacing w:line="240" w:lineRule="auto" w:before="0" w:after="0"/>
        <w:ind w:left="2391" w:right="0" w:hanging="566"/>
        <w:jc w:val="left"/>
        <w:rPr>
          <w:b/>
          <w:sz w:val="18"/>
        </w:rPr>
      </w:pPr>
      <w:bookmarkStart w:name="(b) Individually immaterial joint ventur" w:id="216"/>
      <w:bookmarkEnd w:id="216"/>
      <w:r>
        <w:rPr/>
      </w:r>
      <w:bookmarkStart w:name="(b) Individually immaterial joint ventur" w:id="217"/>
      <w:bookmarkEnd w:id="217"/>
      <w:r>
        <w:rPr>
          <w:b/>
          <w:sz w:val="18"/>
        </w:rPr>
        <w:t>Restrictions</w:t>
      </w:r>
    </w:p>
    <w:p>
      <w:pPr>
        <w:pStyle w:val="BodyText"/>
        <w:spacing w:before="4"/>
        <w:rPr>
          <w:b/>
          <w:sz w:val="25"/>
        </w:rPr>
      </w:pPr>
    </w:p>
    <w:p>
      <w:pPr>
        <w:pStyle w:val="BodyText"/>
        <w:ind w:left="2392"/>
      </w:pPr>
      <w:r>
        <w:rPr/>
        <w:t>The Company has nil restrictions from the joint venture with Navitas Ltd.</w:t>
      </w:r>
    </w:p>
    <w:p>
      <w:pPr>
        <w:pStyle w:val="BodyText"/>
        <w:spacing w:before="7"/>
        <w:rPr>
          <w:sz w:val="26"/>
        </w:rPr>
      </w:pPr>
    </w:p>
    <w:p>
      <w:pPr>
        <w:pStyle w:val="Heading8"/>
        <w:numPr>
          <w:ilvl w:val="1"/>
          <w:numId w:val="49"/>
        </w:numPr>
        <w:tabs>
          <w:tab w:pos="2392" w:val="left" w:leader="none"/>
        </w:tabs>
        <w:spacing w:line="240" w:lineRule="auto" w:before="0" w:after="0"/>
        <w:ind w:left="2391" w:right="0" w:hanging="516"/>
        <w:jc w:val="left"/>
      </w:pPr>
      <w:r>
        <w:rPr/>
        <w:t>Individually immaterial joint</w:t>
      </w:r>
      <w:r>
        <w:rPr>
          <w:spacing w:val="-10"/>
        </w:rPr>
        <w:t> </w:t>
      </w:r>
      <w:r>
        <w:rPr/>
        <w:t>venture</w:t>
      </w:r>
    </w:p>
    <w:p>
      <w:pPr>
        <w:pStyle w:val="BodyText"/>
        <w:spacing w:before="4"/>
        <w:rPr>
          <w:b/>
          <w:sz w:val="25"/>
        </w:rPr>
      </w:pPr>
    </w:p>
    <w:p>
      <w:pPr>
        <w:pStyle w:val="BodyText"/>
        <w:ind w:left="2392" w:right="1375"/>
      </w:pPr>
      <w:r>
        <w:rPr/>
        <w:t>Aggregate carrying amount of interests in joint venture accounted for using the equity method that are not individually material in the financial statements:</w:t>
      </w:r>
    </w:p>
    <w:p>
      <w:pPr>
        <w:pStyle w:val="Heading8"/>
        <w:spacing w:before="33" w:after="36"/>
        <w:ind w:right="2094"/>
        <w:jc w:val="right"/>
      </w:pPr>
      <w:r>
        <w:rPr/>
        <w:t>Joint Venture</w:t>
      </w:r>
    </w:p>
    <w:tbl>
      <w:tblPr>
        <w:tblW w:w="0" w:type="auto"/>
        <w:jc w:val="left"/>
        <w:tblInd w:w="240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351"/>
        <w:gridCol w:w="1519"/>
        <w:gridCol w:w="1075"/>
      </w:tblGrid>
      <w:tr>
        <w:trPr>
          <w:trHeight w:val="817" w:hRule="exact"/>
        </w:trPr>
        <w:tc>
          <w:tcPr>
            <w:tcW w:w="6351" w:type="dxa"/>
          </w:tcPr>
          <w:p>
            <w:pPr>
              <w:pStyle w:val="TableParagraph"/>
              <w:jc w:val="left"/>
              <w:rPr>
                <w:b/>
                <w:sz w:val="18"/>
              </w:rPr>
            </w:pPr>
          </w:p>
          <w:p>
            <w:pPr>
              <w:pStyle w:val="TableParagraph"/>
              <w:jc w:val="left"/>
              <w:rPr>
                <w:b/>
                <w:sz w:val="18"/>
              </w:rPr>
            </w:pPr>
          </w:p>
          <w:p>
            <w:pPr>
              <w:pStyle w:val="TableParagraph"/>
              <w:spacing w:before="160"/>
              <w:ind w:left="35"/>
              <w:jc w:val="left"/>
              <w:rPr>
                <w:sz w:val="18"/>
              </w:rPr>
            </w:pPr>
            <w:r>
              <w:rPr>
                <w:sz w:val="18"/>
              </w:rPr>
              <w:t>Profit/(loss) from continuing operations</w:t>
            </w:r>
          </w:p>
        </w:tc>
        <w:tc>
          <w:tcPr>
            <w:tcW w:w="1519" w:type="dxa"/>
            <w:tcBorders>
              <w:bottom w:val="single" w:sz="0" w:space="0" w:color="000000"/>
            </w:tcBorders>
          </w:tcPr>
          <w:p>
            <w:pPr>
              <w:pStyle w:val="TableParagraph"/>
              <w:spacing w:before="30"/>
              <w:ind w:left="471" w:right="227"/>
              <w:jc w:val="left"/>
              <w:rPr>
                <w:b/>
                <w:sz w:val="18"/>
              </w:rPr>
            </w:pPr>
            <w:r>
              <w:rPr>
                <w:b/>
                <w:sz w:val="18"/>
              </w:rPr>
              <w:t>2016</w:t>
            </w:r>
          </w:p>
          <w:p>
            <w:pPr>
              <w:pStyle w:val="TableParagraph"/>
              <w:spacing w:line="312" w:lineRule="auto" w:before="66"/>
              <w:ind w:left="351" w:right="227" w:firstLine="270"/>
              <w:jc w:val="left"/>
              <w:rPr>
                <w:b/>
                <w:sz w:val="18"/>
              </w:rPr>
            </w:pPr>
            <w:r>
              <w:rPr>
                <w:b/>
                <w:sz w:val="18"/>
              </w:rPr>
              <w:t>$ (1,052,110)</w:t>
            </w:r>
          </w:p>
        </w:tc>
        <w:tc>
          <w:tcPr>
            <w:tcW w:w="1075" w:type="dxa"/>
            <w:tcBorders>
              <w:bottom w:val="single" w:sz="0" w:space="0" w:color="000000"/>
            </w:tcBorders>
          </w:tcPr>
          <w:p>
            <w:pPr>
              <w:pStyle w:val="TableParagraph"/>
              <w:spacing w:before="30"/>
              <w:ind w:left="229" w:right="404"/>
              <w:jc w:val="center"/>
              <w:rPr>
                <w:b/>
                <w:sz w:val="18"/>
              </w:rPr>
            </w:pPr>
            <w:r>
              <w:rPr>
                <w:b/>
                <w:sz w:val="18"/>
              </w:rPr>
              <w:t>2015</w:t>
            </w:r>
          </w:p>
          <w:p>
            <w:pPr>
              <w:pStyle w:val="TableParagraph"/>
              <w:spacing w:before="66"/>
              <w:ind w:right="173"/>
              <w:jc w:val="center"/>
              <w:rPr>
                <w:b/>
                <w:sz w:val="18"/>
              </w:rPr>
            </w:pPr>
            <w:r>
              <w:rPr>
                <w:b/>
                <w:w w:val="99"/>
                <w:sz w:val="18"/>
              </w:rPr>
              <w:t>$</w:t>
            </w:r>
          </w:p>
          <w:p>
            <w:pPr>
              <w:pStyle w:val="TableParagraph"/>
              <w:spacing w:before="62"/>
              <w:ind w:left="279"/>
              <w:jc w:val="left"/>
              <w:rPr>
                <w:sz w:val="18"/>
              </w:rPr>
            </w:pPr>
            <w:r>
              <w:rPr>
                <w:sz w:val="18"/>
              </w:rPr>
              <w:t>(119,417)</w:t>
            </w:r>
          </w:p>
        </w:tc>
      </w:tr>
      <w:tr>
        <w:trPr>
          <w:trHeight w:val="285" w:hRule="exact"/>
        </w:trPr>
        <w:tc>
          <w:tcPr>
            <w:tcW w:w="6351" w:type="dxa"/>
          </w:tcPr>
          <w:p>
            <w:pPr>
              <w:pStyle w:val="TableParagraph"/>
              <w:spacing w:before="40"/>
              <w:ind w:left="35"/>
              <w:jc w:val="left"/>
              <w:rPr>
                <w:sz w:val="18"/>
              </w:rPr>
            </w:pPr>
            <w:r>
              <w:rPr>
                <w:sz w:val="18"/>
              </w:rPr>
              <w:t>Profit/(loss) from continuing operations after income tax</w:t>
            </w:r>
          </w:p>
        </w:tc>
        <w:tc>
          <w:tcPr>
            <w:tcW w:w="1519" w:type="dxa"/>
            <w:tcBorders>
              <w:top w:val="single" w:sz="0" w:space="0" w:color="000000"/>
            </w:tcBorders>
          </w:tcPr>
          <w:p>
            <w:pPr>
              <w:pStyle w:val="TableParagraph"/>
              <w:spacing w:before="38"/>
              <w:ind w:right="247"/>
              <w:rPr>
                <w:b/>
                <w:sz w:val="18"/>
              </w:rPr>
            </w:pPr>
            <w:r>
              <w:rPr>
                <w:b/>
                <w:w w:val="95"/>
                <w:sz w:val="18"/>
              </w:rPr>
              <w:t>(1,052,110)</w:t>
            </w:r>
          </w:p>
        </w:tc>
        <w:tc>
          <w:tcPr>
            <w:tcW w:w="1075" w:type="dxa"/>
            <w:tcBorders>
              <w:top w:val="single" w:sz="0" w:space="0" w:color="000000"/>
            </w:tcBorders>
          </w:tcPr>
          <w:p>
            <w:pPr>
              <w:pStyle w:val="TableParagraph"/>
              <w:spacing w:before="38"/>
              <w:ind w:right="26"/>
              <w:rPr>
                <w:sz w:val="18"/>
              </w:rPr>
            </w:pPr>
            <w:r>
              <w:rPr>
                <w:w w:val="95"/>
                <w:sz w:val="18"/>
              </w:rPr>
              <w:t>(119,417)</w:t>
            </w:r>
          </w:p>
        </w:tc>
      </w:tr>
      <w:tr>
        <w:trPr>
          <w:trHeight w:val="262" w:hRule="exact"/>
        </w:trPr>
        <w:tc>
          <w:tcPr>
            <w:tcW w:w="6351" w:type="dxa"/>
          </w:tcPr>
          <w:p>
            <w:pPr>
              <w:pStyle w:val="TableParagraph"/>
              <w:spacing w:before="19"/>
              <w:ind w:left="35"/>
              <w:jc w:val="left"/>
              <w:rPr>
                <w:sz w:val="18"/>
              </w:rPr>
            </w:pPr>
            <w:r>
              <w:rPr>
                <w:sz w:val="18"/>
              </w:rPr>
              <w:t>Other comprehensive income</w:t>
            </w:r>
          </w:p>
        </w:tc>
        <w:tc>
          <w:tcPr>
            <w:tcW w:w="1519" w:type="dxa"/>
            <w:tcBorders>
              <w:bottom w:val="single" w:sz="0" w:space="0" w:color="000000"/>
            </w:tcBorders>
          </w:tcPr>
          <w:p>
            <w:pPr>
              <w:pStyle w:val="TableParagraph"/>
              <w:spacing w:before="18"/>
              <w:ind w:right="175"/>
              <w:jc w:val="center"/>
              <w:rPr>
                <w:b/>
                <w:sz w:val="18"/>
              </w:rPr>
            </w:pPr>
            <w:r>
              <w:rPr>
                <w:b/>
                <w:w w:val="99"/>
                <w:sz w:val="18"/>
              </w:rPr>
              <w:t>-</w:t>
            </w:r>
          </w:p>
        </w:tc>
        <w:tc>
          <w:tcPr>
            <w:tcW w:w="1075" w:type="dxa"/>
            <w:tcBorders>
              <w:bottom w:val="single" w:sz="0" w:space="0" w:color="000000"/>
            </w:tcBorders>
          </w:tcPr>
          <w:p>
            <w:pPr>
              <w:pStyle w:val="TableParagraph"/>
              <w:spacing w:before="18"/>
              <w:ind w:right="175"/>
              <w:jc w:val="center"/>
              <w:rPr>
                <w:sz w:val="18"/>
              </w:rPr>
            </w:pPr>
            <w:r>
              <w:rPr>
                <w:w w:val="99"/>
                <w:sz w:val="18"/>
              </w:rPr>
              <w:t>-</w:t>
            </w:r>
          </w:p>
        </w:tc>
      </w:tr>
      <w:tr>
        <w:trPr>
          <w:trHeight w:val="353" w:hRule="exact"/>
        </w:trPr>
        <w:tc>
          <w:tcPr>
            <w:tcW w:w="6351" w:type="dxa"/>
          </w:tcPr>
          <w:p>
            <w:pPr>
              <w:pStyle w:val="TableParagraph"/>
              <w:spacing w:before="123"/>
              <w:ind w:left="35"/>
              <w:jc w:val="left"/>
              <w:rPr>
                <w:b/>
                <w:sz w:val="18"/>
              </w:rPr>
            </w:pPr>
            <w:r>
              <w:rPr>
                <w:b/>
                <w:sz w:val="18"/>
              </w:rPr>
              <w:t>Total comprehensive income</w:t>
            </w:r>
          </w:p>
        </w:tc>
        <w:tc>
          <w:tcPr>
            <w:tcW w:w="1519" w:type="dxa"/>
            <w:tcBorders>
              <w:top w:val="single" w:sz="0" w:space="0" w:color="000000"/>
              <w:bottom w:val="single" w:sz="0" w:space="0" w:color="000000"/>
            </w:tcBorders>
          </w:tcPr>
          <w:p>
            <w:pPr>
              <w:pStyle w:val="TableParagraph"/>
              <w:spacing w:before="122"/>
              <w:ind w:right="247"/>
              <w:rPr>
                <w:b/>
                <w:sz w:val="18"/>
              </w:rPr>
            </w:pPr>
            <w:r>
              <w:rPr>
                <w:b/>
                <w:w w:val="95"/>
                <w:sz w:val="18"/>
              </w:rPr>
              <w:t>(1,052,110)</w:t>
            </w:r>
          </w:p>
        </w:tc>
        <w:tc>
          <w:tcPr>
            <w:tcW w:w="1075" w:type="dxa"/>
            <w:tcBorders>
              <w:top w:val="single" w:sz="0" w:space="0" w:color="000000"/>
              <w:bottom w:val="single" w:sz="0" w:space="0" w:color="000000"/>
            </w:tcBorders>
          </w:tcPr>
          <w:p>
            <w:pPr>
              <w:pStyle w:val="TableParagraph"/>
              <w:spacing w:before="122"/>
              <w:ind w:right="26"/>
              <w:rPr>
                <w:sz w:val="18"/>
              </w:rPr>
            </w:pPr>
            <w:r>
              <w:rPr>
                <w:w w:val="95"/>
                <w:sz w:val="18"/>
              </w:rPr>
              <w:t>(119,417)</w:t>
            </w:r>
          </w:p>
        </w:tc>
      </w:tr>
    </w:tbl>
    <w:p>
      <w:pPr>
        <w:pStyle w:val="BodyText"/>
        <w:spacing w:before="6"/>
        <w:rPr>
          <w:b/>
          <w:sz w:val="20"/>
        </w:rPr>
      </w:pPr>
    </w:p>
    <w:p>
      <w:pPr>
        <w:pStyle w:val="BodyText"/>
        <w:spacing w:before="77"/>
        <w:ind w:left="2392" w:right="1375"/>
      </w:pPr>
      <w:r>
        <w:rPr/>
        <w:drawing>
          <wp:anchor distT="0" distB="0" distL="0" distR="0" allowOverlap="1" layoutInCell="1" locked="0" behindDoc="0" simplePos="0" relativeHeight="8296">
            <wp:simplePos x="0" y="0"/>
            <wp:positionH relativeFrom="page">
              <wp:posOffset>-1587</wp:posOffset>
            </wp:positionH>
            <wp:positionV relativeFrom="paragraph">
              <wp:posOffset>323899</wp:posOffset>
            </wp:positionV>
            <wp:extent cx="135159" cy="154019"/>
            <wp:effectExtent l="0" t="0" r="0" b="0"/>
            <wp:wrapNone/>
            <wp:docPr id="561" name="image13.png" descr=""/>
            <wp:cNvGraphicFramePr>
              <a:graphicFrameLocks noChangeAspect="1"/>
            </wp:cNvGraphicFramePr>
            <a:graphic>
              <a:graphicData uri="http://schemas.openxmlformats.org/drawingml/2006/picture">
                <pic:pic>
                  <pic:nvPicPr>
                    <pic:cNvPr id="562" name="image13.png"/>
                    <pic:cNvPicPr/>
                  </pic:nvPicPr>
                  <pic:blipFill>
                    <a:blip r:embed="rId18" cstate="print"/>
                    <a:stretch>
                      <a:fillRect/>
                    </a:stretch>
                  </pic:blipFill>
                  <pic:spPr>
                    <a:xfrm>
                      <a:off x="0" y="0"/>
                      <a:ext cx="135159" cy="154019"/>
                    </a:xfrm>
                    <a:prstGeom prst="rect">
                      <a:avLst/>
                    </a:prstGeom>
                  </pic:spPr>
                </pic:pic>
              </a:graphicData>
            </a:graphic>
          </wp:anchor>
        </w:drawing>
      </w:r>
      <w:r>
        <w:rPr/>
        <w:drawing>
          <wp:anchor distT="0" distB="0" distL="0" distR="0" allowOverlap="1" layoutInCell="1" locked="0" behindDoc="0" simplePos="0" relativeHeight="8320">
            <wp:simplePos x="0" y="0"/>
            <wp:positionH relativeFrom="page">
              <wp:posOffset>7958429</wp:posOffset>
            </wp:positionH>
            <wp:positionV relativeFrom="paragraph">
              <wp:posOffset>323899</wp:posOffset>
            </wp:positionV>
            <wp:extent cx="135953" cy="155575"/>
            <wp:effectExtent l="0" t="0" r="0" b="0"/>
            <wp:wrapNone/>
            <wp:docPr id="563" name="image15.png" descr=""/>
            <wp:cNvGraphicFramePr>
              <a:graphicFrameLocks noChangeAspect="1"/>
            </wp:cNvGraphicFramePr>
            <a:graphic>
              <a:graphicData uri="http://schemas.openxmlformats.org/drawingml/2006/picture">
                <pic:pic>
                  <pic:nvPicPr>
                    <pic:cNvPr id="564" name="image15.png"/>
                    <pic:cNvPicPr/>
                  </pic:nvPicPr>
                  <pic:blipFill>
                    <a:blip r:embed="rId20" cstate="print"/>
                    <a:stretch>
                      <a:fillRect/>
                    </a:stretch>
                  </pic:blipFill>
                  <pic:spPr>
                    <a:xfrm>
                      <a:off x="0" y="0"/>
                      <a:ext cx="135953" cy="155575"/>
                    </a:xfrm>
                    <a:prstGeom prst="rect">
                      <a:avLst/>
                    </a:prstGeom>
                  </pic:spPr>
                </pic:pic>
              </a:graphicData>
            </a:graphic>
          </wp:anchor>
        </w:drawing>
      </w:r>
      <w:r>
        <w:rPr/>
        <w:t>Capital commitments and contingent liabilities arising from the Company's interests in joint venture are disclosed </w:t>
      </w:r>
      <w:bookmarkStart w:name="(c) Unrecognised share of losses of join" w:id="218"/>
      <w:bookmarkEnd w:id="218"/>
      <w:r>
        <w:rPr/>
      </w:r>
      <w:r>
        <w:rPr/>
        <w:t>in notes 12 and 18, respectively.</w:t>
      </w:r>
    </w:p>
    <w:p>
      <w:pPr>
        <w:pStyle w:val="BodyText"/>
        <w:spacing w:before="11"/>
        <w:rPr>
          <w:sz w:val="24"/>
        </w:rPr>
      </w:pPr>
    </w:p>
    <w:p>
      <w:pPr>
        <w:pStyle w:val="BodyText"/>
        <w:ind w:left="2392"/>
      </w:pPr>
      <w:r>
        <w:rPr/>
        <w:t>The Western Sydney University International College Pty Ltd has a reporting date of 30 June.</w:t>
      </w:r>
    </w:p>
    <w:p>
      <w:pPr>
        <w:pStyle w:val="BodyText"/>
        <w:spacing w:before="7"/>
        <w:rPr>
          <w:sz w:val="26"/>
        </w:rPr>
      </w:pPr>
    </w:p>
    <w:p>
      <w:pPr>
        <w:pStyle w:val="Heading8"/>
        <w:numPr>
          <w:ilvl w:val="1"/>
          <w:numId w:val="49"/>
        </w:numPr>
        <w:tabs>
          <w:tab w:pos="2392" w:val="left" w:leader="none"/>
        </w:tabs>
        <w:spacing w:line="240" w:lineRule="auto" w:before="0" w:after="0"/>
        <w:ind w:left="2391" w:right="0" w:hanging="566"/>
        <w:jc w:val="left"/>
      </w:pPr>
      <w:bookmarkStart w:name="(d) Events Occurring After the Reporting" w:id="219"/>
      <w:bookmarkEnd w:id="219"/>
      <w:r>
        <w:rPr>
          <w:b w:val="0"/>
        </w:rPr>
      </w:r>
      <w:bookmarkStart w:name="(d) Events Occurring After the Reporting" w:id="220"/>
      <w:bookmarkEnd w:id="220"/>
      <w:r>
        <w:rPr/>
        <w:t>Unrecognised</w:t>
      </w:r>
      <w:r>
        <w:rPr/>
        <w:t> share of losses of joint venture or</w:t>
      </w:r>
      <w:r>
        <w:rPr>
          <w:spacing w:val="-21"/>
        </w:rPr>
        <w:t> </w:t>
      </w:r>
      <w:r>
        <w:rPr/>
        <w:t>associate</w:t>
      </w:r>
    </w:p>
    <w:p>
      <w:pPr>
        <w:pStyle w:val="BodyText"/>
        <w:spacing w:before="4"/>
        <w:rPr>
          <w:b/>
          <w:sz w:val="25"/>
        </w:rPr>
      </w:pPr>
    </w:p>
    <w:p>
      <w:pPr>
        <w:pStyle w:val="BodyText"/>
        <w:ind w:left="2392"/>
      </w:pPr>
      <w:r>
        <w:rPr/>
        <w:t>The Company has no unrecognised share of losses from the joint venture with Navitas Ltd (2015: $67,068).</w:t>
      </w:r>
    </w:p>
    <w:p>
      <w:pPr>
        <w:pStyle w:val="BodyText"/>
        <w:spacing w:before="7"/>
        <w:rPr>
          <w:sz w:val="26"/>
        </w:rPr>
      </w:pPr>
    </w:p>
    <w:p>
      <w:pPr>
        <w:pStyle w:val="Heading8"/>
        <w:numPr>
          <w:ilvl w:val="1"/>
          <w:numId w:val="49"/>
        </w:numPr>
        <w:tabs>
          <w:tab w:pos="2392" w:val="left" w:leader="none"/>
        </w:tabs>
        <w:spacing w:line="240" w:lineRule="auto" w:before="0" w:after="0"/>
        <w:ind w:left="2391" w:right="0" w:hanging="566"/>
        <w:jc w:val="left"/>
      </w:pPr>
      <w:r>
        <w:rPr/>
        <w:t>Events Occurring After the Reporting</w:t>
      </w:r>
      <w:r>
        <w:rPr>
          <w:spacing w:val="-13"/>
        </w:rPr>
        <w:t> </w:t>
      </w:r>
      <w:r>
        <w:rPr/>
        <w:t>Date</w:t>
      </w:r>
    </w:p>
    <w:p>
      <w:pPr>
        <w:pStyle w:val="BodyText"/>
        <w:spacing w:before="4"/>
        <w:rPr>
          <w:b/>
          <w:sz w:val="25"/>
        </w:rPr>
      </w:pPr>
    </w:p>
    <w:p>
      <w:pPr>
        <w:pStyle w:val="BodyText"/>
        <w:ind w:left="2392" w:right="1375"/>
      </w:pPr>
      <w:bookmarkStart w:name="8 Accrued expenses" w:id="221"/>
      <w:bookmarkEnd w:id="221"/>
      <w:r>
        <w:rPr/>
      </w:r>
      <w:r>
        <w:rPr/>
        <w:t>There are no events identified after the reporting date that would have a material impact on the financial statements.</w:t>
      </w:r>
    </w:p>
    <w:p>
      <w:pPr>
        <w:pStyle w:val="BodyText"/>
        <w:spacing w:before="3"/>
      </w:pPr>
    </w:p>
    <w:p>
      <w:pPr>
        <w:spacing w:after="0"/>
        <w:sectPr>
          <w:pgSz w:w="12750" w:h="17680"/>
          <w:pgMar w:header="0" w:footer="867" w:top="2860" w:bottom="1120" w:left="0" w:right="0"/>
        </w:sectPr>
      </w:pPr>
    </w:p>
    <w:p>
      <w:pPr>
        <w:pStyle w:val="Heading8"/>
        <w:numPr>
          <w:ilvl w:val="0"/>
          <w:numId w:val="49"/>
        </w:numPr>
        <w:tabs>
          <w:tab w:pos="1826" w:val="left" w:leader="none"/>
        </w:tabs>
        <w:spacing w:line="240" w:lineRule="auto" w:before="77" w:after="0"/>
        <w:ind w:left="1825" w:right="0" w:hanging="396"/>
        <w:jc w:val="left"/>
      </w:pPr>
      <w:r>
        <w:rPr/>
        <w:t>Accrued</w:t>
      </w:r>
      <w:r>
        <w:rPr>
          <w:spacing w:val="-21"/>
        </w:rPr>
        <w:t> </w:t>
      </w:r>
      <w:r>
        <w:rPr/>
        <w:t>expenses</w:t>
      </w:r>
    </w:p>
    <w:p>
      <w:pPr>
        <w:pStyle w:val="BodyText"/>
        <w:rPr>
          <w:b/>
        </w:rPr>
      </w:pPr>
      <w:r>
        <w:rPr/>
        <w:br w:type="column"/>
      </w:r>
      <w:r>
        <w:rPr>
          <w:b/>
        </w:rPr>
      </w:r>
    </w:p>
    <w:p>
      <w:pPr>
        <w:spacing w:before="110"/>
        <w:ind w:left="0" w:right="0" w:firstLine="0"/>
        <w:jc w:val="right"/>
        <w:rPr>
          <w:b/>
          <w:sz w:val="18"/>
        </w:rPr>
      </w:pPr>
      <w:r>
        <w:rPr>
          <w:b/>
          <w:sz w:val="18"/>
        </w:rPr>
        <w:t>2016</w:t>
      </w:r>
    </w:p>
    <w:p>
      <w:pPr>
        <w:spacing w:before="66"/>
        <w:ind w:left="0" w:right="146" w:firstLine="0"/>
        <w:jc w:val="right"/>
        <w:rPr>
          <w:b/>
          <w:sz w:val="18"/>
        </w:rPr>
      </w:pPr>
      <w:r>
        <w:rPr>
          <w:b/>
          <w:w w:val="99"/>
          <w:sz w:val="18"/>
        </w:rPr>
        <w:t>$</w:t>
      </w:r>
    </w:p>
    <w:p>
      <w:pPr>
        <w:pStyle w:val="BodyText"/>
        <w:rPr>
          <w:b/>
        </w:rPr>
      </w:pPr>
      <w:r>
        <w:rPr/>
        <w:br w:type="column"/>
      </w:r>
      <w:r>
        <w:rPr>
          <w:b/>
        </w:rPr>
      </w:r>
    </w:p>
    <w:p>
      <w:pPr>
        <w:spacing w:before="110"/>
        <w:ind w:left="827" w:right="1821" w:firstLine="0"/>
        <w:jc w:val="center"/>
        <w:rPr>
          <w:b/>
          <w:sz w:val="18"/>
        </w:rPr>
      </w:pPr>
      <w:r>
        <w:rPr>
          <w:b/>
          <w:sz w:val="18"/>
        </w:rPr>
        <w:t>2015</w:t>
      </w:r>
    </w:p>
    <w:p>
      <w:pPr>
        <w:spacing w:before="66"/>
        <w:ind w:left="0" w:right="993" w:firstLine="0"/>
        <w:jc w:val="center"/>
        <w:rPr>
          <w:b/>
          <w:sz w:val="18"/>
        </w:rPr>
      </w:pPr>
      <w:r>
        <w:rPr>
          <w:b/>
          <w:w w:val="99"/>
          <w:sz w:val="18"/>
        </w:rPr>
        <w:t>$</w:t>
      </w:r>
    </w:p>
    <w:p>
      <w:pPr>
        <w:spacing w:after="0"/>
        <w:jc w:val="center"/>
        <w:rPr>
          <w:sz w:val="18"/>
        </w:rPr>
        <w:sectPr>
          <w:type w:val="continuous"/>
          <w:pgSz w:w="12750" w:h="17680"/>
          <w:pgMar w:top="1660" w:bottom="0" w:left="0" w:right="0"/>
          <w:cols w:num="3" w:equalWidth="0">
            <w:col w:w="3409" w:space="4384"/>
            <w:col w:w="1828" w:space="40"/>
            <w:col w:w="3089"/>
          </w:cols>
        </w:sectPr>
      </w:pPr>
    </w:p>
    <w:p>
      <w:pPr>
        <w:pStyle w:val="BodyText"/>
        <w:spacing w:before="11"/>
        <w:rPr>
          <w:b/>
          <w:sz w:val="5"/>
        </w:rPr>
      </w:pPr>
    </w:p>
    <w:tbl>
      <w:tblPr>
        <w:tblW w:w="0" w:type="auto"/>
        <w:jc w:val="left"/>
        <w:tblInd w:w="183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918"/>
        <w:gridCol w:w="1458"/>
        <w:gridCol w:w="1136"/>
      </w:tblGrid>
      <w:tr>
        <w:trPr>
          <w:trHeight w:val="557" w:hRule="exact"/>
        </w:trPr>
        <w:tc>
          <w:tcPr>
            <w:tcW w:w="6918" w:type="dxa"/>
          </w:tcPr>
          <w:p>
            <w:pPr>
              <w:pStyle w:val="TableParagraph"/>
              <w:spacing w:before="77"/>
              <w:ind w:left="35"/>
              <w:jc w:val="left"/>
              <w:rPr>
                <w:b/>
                <w:sz w:val="18"/>
              </w:rPr>
            </w:pPr>
            <w:r>
              <w:rPr>
                <w:b/>
                <w:sz w:val="18"/>
              </w:rPr>
              <w:t>Current</w:t>
            </w:r>
          </w:p>
          <w:p>
            <w:pPr>
              <w:pStyle w:val="TableParagraph"/>
              <w:spacing w:before="27"/>
              <w:ind w:left="35"/>
              <w:jc w:val="left"/>
              <w:rPr>
                <w:sz w:val="18"/>
              </w:rPr>
            </w:pPr>
            <w:r>
              <w:rPr>
                <w:sz w:val="18"/>
              </w:rPr>
              <w:t>Salary</w:t>
            </w:r>
          </w:p>
        </w:tc>
        <w:tc>
          <w:tcPr>
            <w:tcW w:w="1458" w:type="dxa"/>
          </w:tcPr>
          <w:p>
            <w:pPr>
              <w:pStyle w:val="TableParagraph"/>
              <w:jc w:val="left"/>
              <w:rPr>
                <w:b/>
                <w:sz w:val="18"/>
              </w:rPr>
            </w:pPr>
          </w:p>
          <w:p>
            <w:pPr>
              <w:pStyle w:val="TableParagraph"/>
              <w:spacing w:before="105"/>
              <w:ind w:right="247"/>
              <w:rPr>
                <w:b/>
                <w:sz w:val="18"/>
              </w:rPr>
            </w:pPr>
            <w:r>
              <w:rPr>
                <w:b/>
                <w:w w:val="95"/>
                <w:sz w:val="18"/>
              </w:rPr>
              <w:t>329,858</w:t>
            </w:r>
          </w:p>
        </w:tc>
        <w:tc>
          <w:tcPr>
            <w:tcW w:w="1136" w:type="dxa"/>
          </w:tcPr>
          <w:p>
            <w:pPr>
              <w:pStyle w:val="TableParagraph"/>
              <w:jc w:val="left"/>
              <w:rPr>
                <w:b/>
                <w:sz w:val="18"/>
              </w:rPr>
            </w:pPr>
          </w:p>
          <w:p>
            <w:pPr>
              <w:pStyle w:val="TableParagraph"/>
              <w:spacing w:before="105"/>
              <w:ind w:right="86"/>
              <w:rPr>
                <w:sz w:val="18"/>
              </w:rPr>
            </w:pPr>
            <w:r>
              <w:rPr>
                <w:w w:val="95"/>
                <w:sz w:val="18"/>
              </w:rPr>
              <w:t>319,283</w:t>
            </w:r>
          </w:p>
        </w:tc>
      </w:tr>
      <w:tr>
        <w:trPr>
          <w:trHeight w:val="264" w:hRule="exact"/>
        </w:trPr>
        <w:tc>
          <w:tcPr>
            <w:tcW w:w="6918" w:type="dxa"/>
          </w:tcPr>
          <w:p>
            <w:pPr>
              <w:pStyle w:val="TableParagraph"/>
              <w:spacing w:before="18"/>
              <w:ind w:left="35"/>
              <w:jc w:val="left"/>
              <w:rPr>
                <w:sz w:val="18"/>
              </w:rPr>
            </w:pPr>
            <w:r>
              <w:rPr>
                <w:sz w:val="18"/>
              </w:rPr>
              <w:t>Non-salary overheads</w:t>
            </w:r>
          </w:p>
        </w:tc>
        <w:tc>
          <w:tcPr>
            <w:tcW w:w="1458" w:type="dxa"/>
          </w:tcPr>
          <w:p>
            <w:pPr>
              <w:pStyle w:val="TableParagraph"/>
              <w:spacing w:before="19"/>
              <w:ind w:right="247"/>
              <w:rPr>
                <w:b/>
                <w:sz w:val="18"/>
              </w:rPr>
            </w:pPr>
            <w:r>
              <w:rPr>
                <w:b/>
                <w:w w:val="95"/>
                <w:sz w:val="18"/>
              </w:rPr>
              <w:t>391,568</w:t>
            </w:r>
          </w:p>
        </w:tc>
        <w:tc>
          <w:tcPr>
            <w:tcW w:w="1136" w:type="dxa"/>
          </w:tcPr>
          <w:p>
            <w:pPr>
              <w:pStyle w:val="TableParagraph"/>
              <w:spacing w:before="19"/>
              <w:ind w:right="86"/>
              <w:rPr>
                <w:sz w:val="18"/>
              </w:rPr>
            </w:pPr>
            <w:r>
              <w:rPr>
                <w:w w:val="95"/>
                <w:sz w:val="18"/>
              </w:rPr>
              <w:t>315,628</w:t>
            </w:r>
          </w:p>
        </w:tc>
      </w:tr>
      <w:tr>
        <w:trPr>
          <w:trHeight w:val="264" w:hRule="exact"/>
        </w:trPr>
        <w:tc>
          <w:tcPr>
            <w:tcW w:w="6918" w:type="dxa"/>
          </w:tcPr>
          <w:p>
            <w:pPr>
              <w:pStyle w:val="TableParagraph"/>
              <w:spacing w:before="18"/>
              <w:ind w:left="35"/>
              <w:jc w:val="left"/>
              <w:rPr>
                <w:sz w:val="18"/>
              </w:rPr>
            </w:pPr>
            <w:r>
              <w:rPr>
                <w:sz w:val="18"/>
              </w:rPr>
              <w:t>Agents' commissions</w:t>
            </w:r>
          </w:p>
        </w:tc>
        <w:tc>
          <w:tcPr>
            <w:tcW w:w="1458" w:type="dxa"/>
          </w:tcPr>
          <w:p>
            <w:pPr>
              <w:pStyle w:val="TableParagraph"/>
              <w:spacing w:before="19"/>
              <w:ind w:right="247"/>
              <w:rPr>
                <w:b/>
                <w:sz w:val="18"/>
              </w:rPr>
            </w:pPr>
            <w:r>
              <w:rPr>
                <w:b/>
                <w:w w:val="95"/>
                <w:sz w:val="18"/>
              </w:rPr>
              <w:t>1,371,074</w:t>
            </w:r>
          </w:p>
        </w:tc>
        <w:tc>
          <w:tcPr>
            <w:tcW w:w="1136" w:type="dxa"/>
          </w:tcPr>
          <w:p>
            <w:pPr>
              <w:pStyle w:val="TableParagraph"/>
              <w:spacing w:before="19"/>
              <w:ind w:right="86"/>
              <w:rPr>
                <w:sz w:val="18"/>
              </w:rPr>
            </w:pPr>
            <w:r>
              <w:rPr>
                <w:w w:val="95"/>
                <w:sz w:val="18"/>
              </w:rPr>
              <w:t>1,118,007</w:t>
            </w:r>
          </w:p>
        </w:tc>
      </w:tr>
      <w:tr>
        <w:trPr>
          <w:trHeight w:val="263" w:hRule="exact"/>
        </w:trPr>
        <w:tc>
          <w:tcPr>
            <w:tcW w:w="6918" w:type="dxa"/>
          </w:tcPr>
          <w:p>
            <w:pPr>
              <w:pStyle w:val="TableParagraph"/>
              <w:spacing w:before="18"/>
              <w:ind w:left="35"/>
              <w:jc w:val="left"/>
              <w:rPr>
                <w:sz w:val="18"/>
              </w:rPr>
            </w:pPr>
            <w:r>
              <w:rPr>
                <w:sz w:val="18"/>
              </w:rPr>
              <w:t>Provision for staff redundancy</w:t>
            </w:r>
          </w:p>
        </w:tc>
        <w:tc>
          <w:tcPr>
            <w:tcW w:w="1458" w:type="dxa"/>
            <w:tcBorders>
              <w:bottom w:val="single" w:sz="0" w:space="0" w:color="000000"/>
            </w:tcBorders>
          </w:tcPr>
          <w:p>
            <w:pPr>
              <w:pStyle w:val="TableParagraph"/>
              <w:spacing w:before="19"/>
              <w:ind w:right="247"/>
              <w:rPr>
                <w:b/>
                <w:sz w:val="18"/>
              </w:rPr>
            </w:pPr>
            <w:r>
              <w:rPr>
                <w:b/>
                <w:w w:val="95"/>
                <w:sz w:val="18"/>
              </w:rPr>
              <w:t>118,000</w:t>
            </w:r>
          </w:p>
        </w:tc>
        <w:tc>
          <w:tcPr>
            <w:tcW w:w="1136" w:type="dxa"/>
            <w:tcBorders>
              <w:bottom w:val="single" w:sz="0" w:space="0" w:color="000000"/>
            </w:tcBorders>
          </w:tcPr>
          <w:p>
            <w:pPr>
              <w:pStyle w:val="TableParagraph"/>
              <w:spacing w:before="19"/>
              <w:ind w:right="86"/>
              <w:rPr>
                <w:sz w:val="18"/>
              </w:rPr>
            </w:pPr>
            <w:r>
              <w:rPr>
                <w:w w:val="95"/>
                <w:sz w:val="18"/>
              </w:rPr>
              <w:t>389,884</w:t>
            </w:r>
          </w:p>
        </w:tc>
      </w:tr>
      <w:tr>
        <w:trPr>
          <w:trHeight w:val="353" w:hRule="exact"/>
        </w:trPr>
        <w:tc>
          <w:tcPr>
            <w:tcW w:w="6918" w:type="dxa"/>
          </w:tcPr>
          <w:p>
            <w:pPr/>
          </w:p>
        </w:tc>
        <w:tc>
          <w:tcPr>
            <w:tcW w:w="1458" w:type="dxa"/>
            <w:tcBorders>
              <w:top w:val="single" w:sz="0" w:space="0" w:color="000000"/>
              <w:bottom w:val="single" w:sz="0" w:space="0" w:color="000000"/>
            </w:tcBorders>
          </w:tcPr>
          <w:p>
            <w:pPr>
              <w:pStyle w:val="TableParagraph"/>
              <w:spacing w:before="122"/>
              <w:ind w:right="247"/>
              <w:rPr>
                <w:b/>
                <w:sz w:val="18"/>
              </w:rPr>
            </w:pPr>
            <w:r>
              <w:rPr>
                <w:b/>
                <w:w w:val="95"/>
                <w:sz w:val="18"/>
              </w:rPr>
              <w:t>2,210,500</w:t>
            </w:r>
          </w:p>
        </w:tc>
        <w:tc>
          <w:tcPr>
            <w:tcW w:w="1136" w:type="dxa"/>
            <w:tcBorders>
              <w:top w:val="single" w:sz="0" w:space="0" w:color="000000"/>
              <w:bottom w:val="single" w:sz="0" w:space="0" w:color="000000"/>
            </w:tcBorders>
          </w:tcPr>
          <w:p>
            <w:pPr>
              <w:pStyle w:val="TableParagraph"/>
              <w:spacing w:before="122"/>
              <w:ind w:right="86"/>
              <w:rPr>
                <w:sz w:val="18"/>
              </w:rPr>
            </w:pPr>
            <w:r>
              <w:rPr>
                <w:w w:val="95"/>
                <w:sz w:val="18"/>
              </w:rPr>
              <w:t>2,142,802</w:t>
            </w:r>
          </w:p>
        </w:tc>
      </w:tr>
    </w:tbl>
    <w:p>
      <w:pPr>
        <w:spacing w:after="0"/>
        <w:rPr>
          <w:sz w:val="18"/>
        </w:rPr>
        <w:sectPr>
          <w:type w:val="continuous"/>
          <w:pgSz w:w="12750" w:h="17680"/>
          <w:pgMar w:top="1660" w:bottom="0" w:left="0" w:right="0"/>
        </w:sectPr>
      </w:pPr>
    </w:p>
    <w:p>
      <w:pPr>
        <w:pStyle w:val="BodyText"/>
        <w:rPr>
          <w:b/>
          <w:sz w:val="20"/>
        </w:rPr>
      </w:pPr>
    </w:p>
    <w:p>
      <w:pPr>
        <w:pStyle w:val="BodyText"/>
        <w:rPr>
          <w:b/>
          <w:sz w:val="20"/>
        </w:rPr>
      </w:pPr>
    </w:p>
    <w:p>
      <w:pPr>
        <w:spacing w:after="0"/>
        <w:rPr>
          <w:sz w:val="20"/>
        </w:rPr>
        <w:sectPr>
          <w:pgSz w:w="12750" w:h="17680"/>
          <w:pgMar w:header="0" w:footer="867" w:top="2860" w:bottom="1120" w:left="0" w:right="0"/>
        </w:sectPr>
      </w:pPr>
    </w:p>
    <w:p>
      <w:pPr>
        <w:pStyle w:val="BodyText"/>
        <w:spacing w:before="4"/>
        <w:rPr>
          <w:b/>
        </w:rPr>
      </w:pPr>
    </w:p>
    <w:p>
      <w:pPr>
        <w:pStyle w:val="ListParagraph"/>
        <w:numPr>
          <w:ilvl w:val="0"/>
          <w:numId w:val="49"/>
        </w:numPr>
        <w:tabs>
          <w:tab w:pos="1826" w:val="left" w:leader="none"/>
        </w:tabs>
        <w:spacing w:line="240" w:lineRule="auto" w:before="0" w:after="0"/>
        <w:ind w:left="1825" w:right="0" w:hanging="396"/>
        <w:jc w:val="left"/>
        <w:rPr>
          <w:b/>
          <w:sz w:val="18"/>
        </w:rPr>
      </w:pPr>
      <w:bookmarkStart w:name="Employee Benefits" w:id="222"/>
      <w:bookmarkEnd w:id="222"/>
      <w:r>
        <w:rPr/>
      </w:r>
      <w:bookmarkStart w:name="Employee Benefits" w:id="223"/>
      <w:bookmarkEnd w:id="223"/>
      <w:r>
        <w:rPr>
          <w:b/>
          <w:sz w:val="18"/>
        </w:rPr>
        <w:t>Employe</w:t>
      </w:r>
      <w:r>
        <w:rPr>
          <w:b/>
          <w:sz w:val="18"/>
        </w:rPr>
        <w:t>e</w:t>
      </w:r>
      <w:r>
        <w:rPr>
          <w:b/>
          <w:spacing w:val="-16"/>
          <w:sz w:val="18"/>
        </w:rPr>
        <w:t> </w:t>
      </w:r>
      <w:r>
        <w:rPr>
          <w:b/>
          <w:sz w:val="18"/>
        </w:rPr>
        <w:t>Benefits</w:t>
      </w:r>
    </w:p>
    <w:p>
      <w:pPr>
        <w:pStyle w:val="BodyText"/>
        <w:rPr>
          <w:b/>
        </w:rPr>
      </w:pPr>
    </w:p>
    <w:p>
      <w:pPr>
        <w:pStyle w:val="BodyText"/>
        <w:rPr>
          <w:b/>
        </w:rPr>
      </w:pPr>
    </w:p>
    <w:p>
      <w:pPr>
        <w:spacing w:before="160"/>
        <w:ind w:left="1825" w:right="0" w:firstLine="0"/>
        <w:jc w:val="left"/>
        <w:rPr>
          <w:b/>
          <w:sz w:val="18"/>
        </w:rPr>
      </w:pPr>
      <w:r>
        <w:rPr>
          <w:b/>
          <w:sz w:val="18"/>
        </w:rPr>
        <w:t>Current</w:t>
      </w:r>
    </w:p>
    <w:p>
      <w:pPr>
        <w:pStyle w:val="BodyText"/>
        <w:rPr>
          <w:b/>
        </w:rPr>
      </w:pPr>
      <w:r>
        <w:rPr/>
        <w:br w:type="column"/>
      </w:r>
      <w:r>
        <w:rPr>
          <w:b/>
        </w:rPr>
      </w:r>
    </w:p>
    <w:p>
      <w:pPr>
        <w:pStyle w:val="BodyText"/>
        <w:spacing w:before="3"/>
        <w:rPr>
          <w:b/>
          <w:sz w:val="21"/>
        </w:rPr>
      </w:pPr>
    </w:p>
    <w:p>
      <w:pPr>
        <w:spacing w:before="0"/>
        <w:ind w:left="0" w:right="0" w:firstLine="0"/>
        <w:jc w:val="right"/>
        <w:rPr>
          <w:b/>
          <w:sz w:val="18"/>
        </w:rPr>
      </w:pPr>
      <w:r>
        <w:rPr>
          <w:b/>
          <w:sz w:val="18"/>
        </w:rPr>
        <w:t>2016</w:t>
      </w:r>
    </w:p>
    <w:p>
      <w:pPr>
        <w:spacing w:before="66"/>
        <w:ind w:left="0" w:right="146" w:firstLine="0"/>
        <w:jc w:val="right"/>
        <w:rPr>
          <w:b/>
          <w:sz w:val="18"/>
        </w:rPr>
      </w:pPr>
      <w:r>
        <w:rPr>
          <w:b/>
          <w:w w:val="99"/>
          <w:sz w:val="18"/>
        </w:rPr>
        <w:t>$</w:t>
      </w:r>
    </w:p>
    <w:p>
      <w:pPr>
        <w:pStyle w:val="BodyText"/>
        <w:rPr>
          <w:b/>
        </w:rPr>
      </w:pPr>
      <w:r>
        <w:rPr/>
        <w:br w:type="column"/>
      </w:r>
      <w:r>
        <w:rPr>
          <w:b/>
        </w:rPr>
      </w:r>
    </w:p>
    <w:p>
      <w:pPr>
        <w:pStyle w:val="BodyText"/>
        <w:spacing w:before="3"/>
        <w:rPr>
          <w:b/>
          <w:sz w:val="21"/>
        </w:rPr>
      </w:pPr>
    </w:p>
    <w:p>
      <w:pPr>
        <w:spacing w:before="0"/>
        <w:ind w:left="814" w:right="1829" w:firstLine="0"/>
        <w:jc w:val="center"/>
        <w:rPr>
          <w:b/>
          <w:sz w:val="18"/>
        </w:rPr>
      </w:pPr>
      <w:r>
        <w:rPr>
          <w:b/>
          <w:sz w:val="18"/>
        </w:rPr>
        <w:t>2015</w:t>
      </w:r>
    </w:p>
    <w:p>
      <w:pPr>
        <w:spacing w:before="66"/>
        <w:ind w:left="0" w:right="1013" w:firstLine="0"/>
        <w:jc w:val="center"/>
        <w:rPr>
          <w:b/>
          <w:sz w:val="18"/>
        </w:rPr>
      </w:pPr>
      <w:r>
        <w:rPr>
          <w:b/>
          <w:w w:val="99"/>
          <w:sz w:val="18"/>
        </w:rPr>
        <w:t>$</w:t>
      </w:r>
    </w:p>
    <w:p>
      <w:pPr>
        <w:spacing w:after="0"/>
        <w:jc w:val="center"/>
        <w:rPr>
          <w:sz w:val="18"/>
        </w:rPr>
        <w:sectPr>
          <w:type w:val="continuous"/>
          <w:pgSz w:w="12750" w:h="17680"/>
          <w:pgMar w:top="1660" w:bottom="0" w:left="0" w:right="0"/>
          <w:cols w:num="3" w:equalWidth="0">
            <w:col w:w="3434" w:space="4336"/>
            <w:col w:w="1828" w:space="40"/>
            <w:col w:w="3112"/>
          </w:cols>
        </w:sectPr>
      </w:pPr>
    </w:p>
    <w:p>
      <w:pPr>
        <w:pStyle w:val="BodyText"/>
        <w:tabs>
          <w:tab w:pos="9160" w:val="left" w:leader="none"/>
          <w:tab w:pos="10459" w:val="left" w:leader="none"/>
        </w:tabs>
        <w:spacing w:before="57"/>
        <w:ind w:left="1825"/>
      </w:pPr>
      <w:r>
        <w:rPr/>
        <w:t>Employee benefits -</w:t>
      </w:r>
      <w:r>
        <w:rPr>
          <w:spacing w:val="-15"/>
        </w:rPr>
        <w:t> </w:t>
      </w:r>
      <w:r>
        <w:rPr/>
        <w:t>annual</w:t>
      </w:r>
      <w:r>
        <w:rPr>
          <w:spacing w:val="-5"/>
        </w:rPr>
        <w:t> </w:t>
      </w:r>
      <w:r>
        <w:rPr/>
        <w:t>leave</w:t>
        <w:tab/>
      </w:r>
      <w:r>
        <w:rPr>
          <w:b/>
        </w:rPr>
        <w:t>1,396,560</w:t>
        <w:tab/>
      </w:r>
      <w:r>
        <w:rPr/>
        <w:t>1,565,400</w:t>
      </w:r>
    </w:p>
    <w:p>
      <w:pPr>
        <w:pStyle w:val="BodyText"/>
        <w:tabs>
          <w:tab w:pos="9310" w:val="left" w:leader="none"/>
          <w:tab w:pos="10609" w:val="left" w:leader="none"/>
        </w:tabs>
        <w:spacing w:before="57"/>
        <w:ind w:left="1825"/>
      </w:pPr>
      <w:r>
        <w:rPr/>
        <w:pict>
          <v:group style="position:absolute;margin-left:437.470001pt;margin-top:14.48189pt;width:129.85pt;height:1pt;mso-position-horizontal-relative:page;mso-position-vertical-relative:paragraph;z-index:8344;mso-wrap-distance-left:0;mso-wrap-distance-right:0" coordorigin="8749,290" coordsize="2597,20">
            <v:line style="position:absolute" from="8750,291" to="10048,291" stroked="true" strokeweight=".06pt" strokecolor="#000000"/>
            <v:line style="position:absolute" from="8750,292" to="10048,292" stroked="true" strokeweight=".06pt" strokecolor="#000000"/>
            <v:line style="position:absolute" from="8750,293" to="10048,293" stroked="true" strokeweight=".06pt" strokecolor="#000000"/>
            <v:line style="position:absolute" from="8750,294" to="10048,294" stroked="true" strokeweight=".06pt" strokecolor="#000000"/>
            <v:line style="position:absolute" from="8750,295" to="10048,295" stroked="true" strokeweight=".06pt" strokecolor="#000000"/>
            <v:line style="position:absolute" from="8750,297" to="10048,297" stroked="true" strokeweight=".06pt" strokecolor="#000000"/>
            <v:line style="position:absolute" from="8750,298" to="10048,298" stroked="true" strokeweight=".06pt" strokecolor="#000000"/>
            <v:line style="position:absolute" from="8750,299" to="10048,299" stroked="true" strokeweight=".06pt" strokecolor="#000000"/>
            <v:line style="position:absolute" from="8750,300" to="10048,300" stroked="true" strokeweight=".06pt" strokecolor="#000000"/>
            <v:line style="position:absolute" from="8750,301" to="10048,301" stroked="true" strokeweight=".06pt" strokecolor="#000000"/>
            <v:line style="position:absolute" from="8750,303" to="10048,303" stroked="true" strokeweight=".06pt" strokecolor="#000000"/>
            <v:line style="position:absolute" from="8750,304" to="10048,304" stroked="true" strokeweight=".06pt" strokecolor="#000000"/>
            <v:line style="position:absolute" from="8750,305" to="10048,305" stroked="true" strokeweight=".06pt" strokecolor="#000000"/>
            <v:line style="position:absolute" from="8750,306" to="10048,306" stroked="true" strokeweight=".06pt" strokecolor="#000000"/>
            <v:line style="position:absolute" from="8750,307" to="10048,307" stroked="true" strokeweight=".06pt" strokecolor="#000000"/>
            <v:line style="position:absolute" from="8750,309" to="10048,309" stroked="true" strokeweight=".06pt" strokecolor="#000000"/>
            <v:line style="position:absolute" from="10048,291" to="11345,291" stroked="true" strokeweight=".06pt" strokecolor="#000000"/>
            <v:line style="position:absolute" from="10048,292" to="11345,292" stroked="true" strokeweight=".06pt" strokecolor="#000000"/>
            <v:line style="position:absolute" from="10048,293" to="11345,293" stroked="true" strokeweight=".06pt" strokecolor="#000000"/>
            <v:line style="position:absolute" from="10048,294" to="11345,294" stroked="true" strokeweight=".06pt" strokecolor="#000000"/>
            <v:line style="position:absolute" from="10048,295" to="11345,295" stroked="true" strokeweight=".06pt" strokecolor="#000000"/>
            <v:line style="position:absolute" from="10048,297" to="11345,297" stroked="true" strokeweight=".06pt" strokecolor="#000000"/>
            <v:line style="position:absolute" from="10048,298" to="11345,298" stroked="true" strokeweight=".06pt" strokecolor="#000000"/>
            <v:line style="position:absolute" from="10048,299" to="11345,299" stroked="true" strokeweight=".06pt" strokecolor="#000000"/>
            <v:line style="position:absolute" from="10048,300" to="11345,300" stroked="true" strokeweight=".06pt" strokecolor="#000000"/>
            <v:line style="position:absolute" from="10048,301" to="11345,301" stroked="true" strokeweight=".06pt" strokecolor="#000000"/>
            <v:line style="position:absolute" from="10048,303" to="11345,303" stroked="true" strokeweight=".06pt" strokecolor="#000000"/>
            <v:line style="position:absolute" from="10048,304" to="11345,304" stroked="true" strokeweight=".06pt" strokecolor="#000000"/>
            <v:line style="position:absolute" from="10048,305" to="11345,305" stroked="true" strokeweight=".06pt" strokecolor="#000000"/>
            <v:line style="position:absolute" from="10048,306" to="11345,306" stroked="true" strokeweight=".06pt" strokecolor="#000000"/>
            <v:line style="position:absolute" from="10048,307" to="11345,307" stroked="true" strokeweight=".06pt" strokecolor="#000000"/>
            <v:line style="position:absolute" from="10048,309" to="11345,309" stroked="true" strokeweight=".06pt" strokecolor="#000000"/>
            <w10:wrap type="topAndBottom"/>
          </v:group>
        </w:pict>
      </w:r>
      <w:bookmarkStart w:name="Amounts not expected to be settled withi" w:id="224"/>
      <w:bookmarkEnd w:id="224"/>
      <w:r>
        <w:rPr/>
      </w:r>
      <w:r>
        <w:rPr/>
        <w:t>Employee benefits - long</w:t>
      </w:r>
      <w:r>
        <w:rPr>
          <w:spacing w:val="-20"/>
        </w:rPr>
        <w:t> </w:t>
      </w:r>
      <w:r>
        <w:rPr/>
        <w:t>service</w:t>
      </w:r>
      <w:r>
        <w:rPr>
          <w:spacing w:val="-5"/>
        </w:rPr>
        <w:t> </w:t>
      </w:r>
      <w:r>
        <w:rPr/>
        <w:t>leave</w:t>
        <w:tab/>
      </w:r>
      <w:r>
        <w:rPr>
          <w:b/>
        </w:rPr>
        <w:t>442,437</w:t>
        <w:tab/>
      </w:r>
      <w:r>
        <w:rPr/>
        <w:t>320,473</w:t>
      </w:r>
    </w:p>
    <w:p>
      <w:pPr>
        <w:tabs>
          <w:tab w:pos="1298" w:val="left" w:leader="none"/>
        </w:tabs>
        <w:spacing w:before="84"/>
        <w:ind w:left="0" w:right="1485" w:firstLine="0"/>
        <w:jc w:val="right"/>
        <w:rPr>
          <w:sz w:val="18"/>
        </w:rPr>
      </w:pPr>
      <w:r>
        <w:rPr>
          <w:b/>
          <w:sz w:val="18"/>
        </w:rPr>
        <w:t>1,838,997</w:t>
        <w:tab/>
      </w:r>
      <w:r>
        <w:rPr>
          <w:spacing w:val="-1"/>
          <w:w w:val="95"/>
          <w:sz w:val="18"/>
        </w:rPr>
        <w:t>1,885,873</w:t>
      </w:r>
    </w:p>
    <w:p>
      <w:pPr>
        <w:pStyle w:val="BodyText"/>
        <w:spacing w:line="50" w:lineRule="exact"/>
        <w:ind w:left="8749"/>
        <w:rPr>
          <w:sz w:val="5"/>
        </w:rPr>
      </w:pPr>
      <w:r>
        <w:rPr>
          <w:position w:val="0"/>
          <w:sz w:val="5"/>
        </w:rPr>
        <w:pict>
          <v:group style="width:129.85pt;height:2.5pt;mso-position-horizontal-relative:char;mso-position-vertical-relative:line" coordorigin="0,0" coordsize="2597,50">
            <v:line style="position:absolute" from="1,1" to="1298,1" stroked="true" strokeweight=".06pt" strokecolor="#000000"/>
            <v:line style="position:absolute" from="1,2" to="1298,2" stroked="true" strokeweight=".06pt" strokecolor="#000000"/>
            <v:line style="position:absolute" from="1,3" to="1298,3" stroked="true" strokeweight=".06pt" strokecolor="#000000"/>
            <v:line style="position:absolute" from="1,5" to="1298,5" stroked="true" strokeweight=".06pt" strokecolor="#000000"/>
            <v:line style="position:absolute" from="1,6" to="1298,6" stroked="true" strokeweight=".06pt" strokecolor="#000000"/>
            <v:line style="position:absolute" from="1,7" to="1298,7" stroked="true" strokeweight=".06pt" strokecolor="#000000"/>
            <v:line style="position:absolute" from="1,8" to="1298,8" stroked="true" strokeweight=".06pt" strokecolor="#000000"/>
            <v:line style="position:absolute" from="1,9" to="1298,9" stroked="true" strokeweight=".06pt" strokecolor="#000000"/>
            <v:line style="position:absolute" from="1,11" to="1298,11" stroked="true" strokeweight=".06pt" strokecolor="#000000"/>
            <v:line style="position:absolute" from="1,12" to="1298,12" stroked="true" strokeweight=".06pt" strokecolor="#000000"/>
            <v:line style="position:absolute" from="1,13" to="1298,13" stroked="true" strokeweight=".06pt" strokecolor="#000000"/>
            <v:line style="position:absolute" from="1,14" to="1298,14" stroked="true" strokeweight=".06pt" strokecolor="#000000"/>
            <v:line style="position:absolute" from="1,15" to="1298,15" stroked="true" strokeweight=".06pt" strokecolor="#000000"/>
            <v:line style="position:absolute" from="1,35" to="1298,35" stroked="true" strokeweight=".06pt" strokecolor="#000000"/>
            <v:line style="position:absolute" from="1,36" to="1298,36" stroked="true" strokeweight=".06pt" strokecolor="#000000"/>
            <v:line style="position:absolute" from="1,37" to="1298,37" stroked="true" strokeweight=".06pt" strokecolor="#000000"/>
            <v:line style="position:absolute" from="1,38" to="1298,38" stroked="true" strokeweight=".06pt" strokecolor="#000000"/>
            <v:line style="position:absolute" from="1,39" to="1298,39" stroked="true" strokeweight=".06pt" strokecolor="#000000"/>
            <v:line style="position:absolute" from="1,41" to="1298,41" stroked="true" strokeweight=".06pt" strokecolor="#000000"/>
            <v:line style="position:absolute" from="1,42" to="1298,42" stroked="true" strokeweight=".06pt" strokecolor="#000000"/>
            <v:line style="position:absolute" from="1,43" to="1298,43" stroked="true" strokeweight=".06pt" strokecolor="#000000"/>
            <v:line style="position:absolute" from="1,44" to="1298,44" stroked="true" strokeweight=".06pt" strokecolor="#000000"/>
            <v:line style="position:absolute" from="1,45" to="1298,45" stroked="true" strokeweight=".06pt" strokecolor="#000000"/>
            <v:line style="position:absolute" from="1,47" to="1298,47" stroked="true" strokeweight=".06pt" strokecolor="#000000"/>
            <v:line style="position:absolute" from="1,48" to="1298,48" stroked="true" strokeweight=".06pt" strokecolor="#000000"/>
            <v:line style="position:absolute" from="1,49" to="1298,49" stroked="true" strokeweight=".06pt" strokecolor="#000000"/>
            <v:line style="position:absolute" from="1298,1" to="2595,1" stroked="true" strokeweight=".06pt" strokecolor="#000000"/>
            <v:line style="position:absolute" from="1298,2" to="2595,2" stroked="true" strokeweight=".06pt" strokecolor="#000000"/>
            <v:line style="position:absolute" from="1298,3" to="2595,3" stroked="true" strokeweight=".06pt" strokecolor="#000000"/>
            <v:line style="position:absolute" from="1298,5" to="2595,5" stroked="true" strokeweight=".06pt" strokecolor="#000000"/>
            <v:line style="position:absolute" from="1298,6" to="2595,6" stroked="true" strokeweight=".06pt" strokecolor="#000000"/>
            <v:line style="position:absolute" from="1298,7" to="2595,7" stroked="true" strokeweight=".06pt" strokecolor="#000000"/>
            <v:line style="position:absolute" from="1298,8" to="2595,8" stroked="true" strokeweight=".06pt" strokecolor="#000000"/>
            <v:line style="position:absolute" from="1298,9" to="2595,9" stroked="true" strokeweight=".06pt" strokecolor="#000000"/>
            <v:line style="position:absolute" from="1298,11" to="2595,11" stroked="true" strokeweight=".06pt" strokecolor="#000000"/>
            <v:line style="position:absolute" from="1298,12" to="2595,12" stroked="true" strokeweight=".06pt" strokecolor="#000000"/>
            <v:line style="position:absolute" from="1298,13" to="2595,13" stroked="true" strokeweight=".06pt" strokecolor="#000000"/>
            <v:line style="position:absolute" from="1298,14" to="2595,14" stroked="true" strokeweight=".06pt" strokecolor="#000000"/>
            <v:line style="position:absolute" from="1298,15" to="2595,15" stroked="true" strokeweight=".06pt" strokecolor="#000000"/>
            <v:line style="position:absolute" from="1298,35" to="2595,35" stroked="true" strokeweight=".06pt" strokecolor="#000000"/>
            <v:line style="position:absolute" from="1298,36" to="2595,36" stroked="true" strokeweight=".06pt" strokecolor="#000000"/>
            <v:line style="position:absolute" from="1298,37" to="2595,37" stroked="true" strokeweight=".06pt" strokecolor="#000000"/>
            <v:line style="position:absolute" from="1298,38" to="2595,38" stroked="true" strokeweight=".06pt" strokecolor="#000000"/>
            <v:line style="position:absolute" from="1298,39" to="2595,39" stroked="true" strokeweight=".06pt" strokecolor="#000000"/>
            <v:line style="position:absolute" from="1298,41" to="2595,41" stroked="true" strokeweight=".06pt" strokecolor="#000000"/>
            <v:line style="position:absolute" from="1298,42" to="2595,42" stroked="true" strokeweight=".06pt" strokecolor="#000000"/>
            <v:line style="position:absolute" from="1298,43" to="2595,43" stroked="true" strokeweight=".06pt" strokecolor="#000000"/>
            <v:line style="position:absolute" from="1298,44" to="2595,44" stroked="true" strokeweight=".06pt" strokecolor="#000000"/>
            <v:line style="position:absolute" from="1298,45" to="2595,45" stroked="true" strokeweight=".06pt" strokecolor="#000000"/>
            <v:line style="position:absolute" from="1298,47" to="2595,47" stroked="true" strokeweight=".06pt" strokecolor="#000000"/>
            <v:line style="position:absolute" from="1298,48" to="2595,48" stroked="true" strokeweight=".06pt" strokecolor="#000000"/>
            <v:line style="position:absolute" from="1298,49" to="2595,49" stroked="true" strokeweight=".06pt" strokecolor="#000000"/>
          </v:group>
        </w:pict>
      </w:r>
      <w:r>
        <w:rPr>
          <w:position w:val="0"/>
          <w:sz w:val="5"/>
        </w:rPr>
      </w:r>
    </w:p>
    <w:p>
      <w:pPr>
        <w:pStyle w:val="BodyText"/>
        <w:spacing w:before="10"/>
        <w:rPr>
          <w:sz w:val="19"/>
        </w:rPr>
      </w:pPr>
    </w:p>
    <w:p>
      <w:pPr>
        <w:pStyle w:val="Heading8"/>
        <w:spacing w:before="77"/>
        <w:ind w:left="1824"/>
      </w:pPr>
      <w:r>
        <w:rPr/>
        <w:t>Amounts not expected to be settled within the next 12 months</w:t>
      </w:r>
    </w:p>
    <w:p>
      <w:pPr>
        <w:pStyle w:val="BodyText"/>
        <w:spacing w:before="4"/>
        <w:rPr>
          <w:b/>
          <w:sz w:val="25"/>
        </w:rPr>
      </w:pPr>
    </w:p>
    <w:p>
      <w:pPr>
        <w:pStyle w:val="BodyText"/>
        <w:spacing w:after="36"/>
        <w:ind w:left="1825" w:right="1375"/>
      </w:pPr>
      <w:r>
        <w:rPr/>
        <w:drawing>
          <wp:anchor distT="0" distB="0" distL="0" distR="0" allowOverlap="1" layoutInCell="1" locked="0" behindDoc="0" simplePos="0" relativeHeight="8392">
            <wp:simplePos x="0" y="0"/>
            <wp:positionH relativeFrom="page">
              <wp:posOffset>-1587</wp:posOffset>
            </wp:positionH>
            <wp:positionV relativeFrom="paragraph">
              <wp:posOffset>1550592</wp:posOffset>
            </wp:positionV>
            <wp:extent cx="135159" cy="154019"/>
            <wp:effectExtent l="0" t="0" r="0" b="0"/>
            <wp:wrapNone/>
            <wp:docPr id="565" name="image13.png" descr=""/>
            <wp:cNvGraphicFramePr>
              <a:graphicFrameLocks noChangeAspect="1"/>
            </wp:cNvGraphicFramePr>
            <a:graphic>
              <a:graphicData uri="http://schemas.openxmlformats.org/drawingml/2006/picture">
                <pic:pic>
                  <pic:nvPicPr>
                    <pic:cNvPr id="566" name="image13.png"/>
                    <pic:cNvPicPr/>
                  </pic:nvPicPr>
                  <pic:blipFill>
                    <a:blip r:embed="rId18" cstate="print"/>
                    <a:stretch>
                      <a:fillRect/>
                    </a:stretch>
                  </pic:blipFill>
                  <pic:spPr>
                    <a:xfrm>
                      <a:off x="0" y="0"/>
                      <a:ext cx="135159" cy="154019"/>
                    </a:xfrm>
                    <a:prstGeom prst="rect">
                      <a:avLst/>
                    </a:prstGeom>
                  </pic:spPr>
                </pic:pic>
              </a:graphicData>
            </a:graphic>
          </wp:anchor>
        </w:drawing>
      </w:r>
      <w:r>
        <w:rPr/>
        <w:drawing>
          <wp:anchor distT="0" distB="0" distL="0" distR="0" allowOverlap="1" layoutInCell="1" locked="0" behindDoc="0" simplePos="0" relativeHeight="8416">
            <wp:simplePos x="0" y="0"/>
            <wp:positionH relativeFrom="page">
              <wp:posOffset>7958429</wp:posOffset>
            </wp:positionH>
            <wp:positionV relativeFrom="paragraph">
              <wp:posOffset>1550592</wp:posOffset>
            </wp:positionV>
            <wp:extent cx="135953" cy="155575"/>
            <wp:effectExtent l="0" t="0" r="0" b="0"/>
            <wp:wrapNone/>
            <wp:docPr id="567" name="image15.png" descr=""/>
            <wp:cNvGraphicFramePr>
              <a:graphicFrameLocks noChangeAspect="1"/>
            </wp:cNvGraphicFramePr>
            <a:graphic>
              <a:graphicData uri="http://schemas.openxmlformats.org/drawingml/2006/picture">
                <pic:pic>
                  <pic:nvPicPr>
                    <pic:cNvPr id="568" name="image15.png"/>
                    <pic:cNvPicPr/>
                  </pic:nvPicPr>
                  <pic:blipFill>
                    <a:blip r:embed="rId20" cstate="print"/>
                    <a:stretch>
                      <a:fillRect/>
                    </a:stretch>
                  </pic:blipFill>
                  <pic:spPr>
                    <a:xfrm>
                      <a:off x="0" y="0"/>
                      <a:ext cx="135953" cy="155575"/>
                    </a:xfrm>
                    <a:prstGeom prst="rect">
                      <a:avLst/>
                    </a:prstGeom>
                  </pic:spPr>
                </pic:pic>
              </a:graphicData>
            </a:graphic>
          </wp:anchor>
        </w:drawing>
      </w:r>
      <w:r>
        <w:rPr/>
        <w:t>The current provision for employee benefits includes accrued annual leave. The entire amount of the provision is presented as current, since the Company does not have an unconditional right to defer settlement of any of these obligations. However, based on past experience, the Company does not expect all employees to take the full amount of accrued leave or require payment within the next 12 months. The following amounts reflect leave that is not expected to be taken or paid within the next 12 months.</w:t>
      </w:r>
    </w:p>
    <w:tbl>
      <w:tblPr>
        <w:tblW w:w="0" w:type="auto"/>
        <w:jc w:val="left"/>
        <w:tblInd w:w="139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32"/>
        <w:gridCol w:w="7025"/>
        <w:gridCol w:w="1471"/>
        <w:gridCol w:w="1123"/>
      </w:tblGrid>
      <w:tr>
        <w:trPr>
          <w:trHeight w:val="795" w:hRule="exact"/>
        </w:trPr>
        <w:tc>
          <w:tcPr>
            <w:tcW w:w="332" w:type="dxa"/>
            <w:vMerge w:val="restart"/>
          </w:tcPr>
          <w:p>
            <w:pPr/>
          </w:p>
        </w:tc>
        <w:tc>
          <w:tcPr>
            <w:tcW w:w="7025" w:type="dxa"/>
          </w:tcPr>
          <w:p>
            <w:pPr>
              <w:pStyle w:val="TableParagraph"/>
              <w:jc w:val="left"/>
              <w:rPr>
                <w:sz w:val="18"/>
              </w:rPr>
            </w:pPr>
          </w:p>
          <w:p>
            <w:pPr>
              <w:pStyle w:val="TableParagraph"/>
              <w:jc w:val="left"/>
              <w:rPr>
                <w:sz w:val="18"/>
              </w:rPr>
            </w:pPr>
          </w:p>
          <w:p>
            <w:pPr>
              <w:pStyle w:val="TableParagraph"/>
              <w:spacing w:before="126"/>
              <w:ind w:left="97"/>
              <w:jc w:val="left"/>
              <w:rPr>
                <w:sz w:val="18"/>
              </w:rPr>
            </w:pPr>
            <w:r>
              <w:rPr>
                <w:sz w:val="18"/>
              </w:rPr>
              <w:t>Annual leave obligations expected to be settled after 12 months</w:t>
            </w:r>
          </w:p>
        </w:tc>
        <w:tc>
          <w:tcPr>
            <w:tcW w:w="1471" w:type="dxa"/>
          </w:tcPr>
          <w:p>
            <w:pPr>
              <w:pStyle w:val="TableParagraph"/>
              <w:spacing w:line="204" w:lineRule="exact"/>
              <w:ind w:left="448" w:right="240"/>
              <w:jc w:val="left"/>
              <w:rPr>
                <w:b/>
                <w:sz w:val="18"/>
              </w:rPr>
            </w:pPr>
            <w:r>
              <w:rPr>
                <w:b/>
                <w:sz w:val="18"/>
              </w:rPr>
              <w:t>2016</w:t>
            </w:r>
          </w:p>
          <w:p>
            <w:pPr>
              <w:pStyle w:val="TableParagraph"/>
              <w:spacing w:line="312" w:lineRule="auto" w:before="66"/>
              <w:ind w:left="560" w:right="240" w:firstLine="38"/>
              <w:jc w:val="left"/>
              <w:rPr>
                <w:b/>
                <w:sz w:val="18"/>
              </w:rPr>
            </w:pPr>
            <w:r>
              <w:rPr>
                <w:b/>
                <w:sz w:val="18"/>
              </w:rPr>
              <w:t>$ 140,585</w:t>
            </w:r>
          </w:p>
        </w:tc>
        <w:tc>
          <w:tcPr>
            <w:tcW w:w="1123" w:type="dxa"/>
          </w:tcPr>
          <w:p>
            <w:pPr>
              <w:pStyle w:val="TableParagraph"/>
              <w:spacing w:line="204" w:lineRule="exact"/>
              <w:ind w:left="241" w:right="440"/>
              <w:jc w:val="center"/>
              <w:rPr>
                <w:b/>
                <w:sz w:val="18"/>
              </w:rPr>
            </w:pPr>
            <w:r>
              <w:rPr>
                <w:b/>
                <w:sz w:val="18"/>
              </w:rPr>
              <w:t>2015</w:t>
            </w:r>
          </w:p>
          <w:p>
            <w:pPr>
              <w:pStyle w:val="TableParagraph"/>
              <w:spacing w:before="66"/>
              <w:ind w:right="199"/>
              <w:jc w:val="center"/>
              <w:rPr>
                <w:b/>
                <w:sz w:val="18"/>
              </w:rPr>
            </w:pPr>
            <w:r>
              <w:rPr>
                <w:b/>
                <w:w w:val="99"/>
                <w:sz w:val="18"/>
              </w:rPr>
              <w:t>$</w:t>
            </w:r>
          </w:p>
          <w:p>
            <w:pPr>
              <w:pStyle w:val="TableParagraph"/>
              <w:spacing w:before="62"/>
              <w:ind w:left="387"/>
              <w:jc w:val="left"/>
              <w:rPr>
                <w:sz w:val="18"/>
              </w:rPr>
            </w:pPr>
            <w:r>
              <w:rPr>
                <w:sz w:val="18"/>
              </w:rPr>
              <w:t>272,214</w:t>
            </w:r>
          </w:p>
        </w:tc>
      </w:tr>
      <w:tr>
        <w:trPr>
          <w:trHeight w:val="272" w:hRule="exact"/>
        </w:trPr>
        <w:tc>
          <w:tcPr>
            <w:tcW w:w="332" w:type="dxa"/>
            <w:vMerge/>
          </w:tcPr>
          <w:p>
            <w:pPr/>
          </w:p>
        </w:tc>
        <w:tc>
          <w:tcPr>
            <w:tcW w:w="7025" w:type="dxa"/>
          </w:tcPr>
          <w:p>
            <w:pPr>
              <w:pStyle w:val="TableParagraph"/>
              <w:spacing w:before="29"/>
              <w:ind w:left="97"/>
              <w:jc w:val="left"/>
              <w:rPr>
                <w:sz w:val="18"/>
              </w:rPr>
            </w:pPr>
            <w:r>
              <w:rPr>
                <w:sz w:val="18"/>
              </w:rPr>
              <w:t>Long service leave obligations expected to be settled after 12 months</w:t>
            </w:r>
          </w:p>
        </w:tc>
        <w:tc>
          <w:tcPr>
            <w:tcW w:w="1471" w:type="dxa"/>
            <w:tcBorders>
              <w:bottom w:val="single" w:sz="0" w:space="0" w:color="000000"/>
            </w:tcBorders>
          </w:tcPr>
          <w:p>
            <w:pPr>
              <w:pStyle w:val="TableParagraph"/>
              <w:spacing w:before="28"/>
              <w:ind w:right="260"/>
              <w:rPr>
                <w:b/>
                <w:sz w:val="18"/>
              </w:rPr>
            </w:pPr>
            <w:r>
              <w:rPr>
                <w:b/>
                <w:w w:val="95"/>
                <w:sz w:val="18"/>
              </w:rPr>
              <w:t>228,962</w:t>
            </w:r>
          </w:p>
        </w:tc>
        <w:tc>
          <w:tcPr>
            <w:tcW w:w="1123" w:type="dxa"/>
            <w:tcBorders>
              <w:bottom w:val="single" w:sz="0" w:space="0" w:color="000000"/>
            </w:tcBorders>
          </w:tcPr>
          <w:p>
            <w:pPr>
              <w:pStyle w:val="TableParagraph"/>
              <w:spacing w:before="28"/>
              <w:ind w:right="85"/>
              <w:rPr>
                <w:sz w:val="18"/>
              </w:rPr>
            </w:pPr>
            <w:r>
              <w:rPr>
                <w:w w:val="95"/>
                <w:sz w:val="18"/>
              </w:rPr>
              <w:t>173,206</w:t>
            </w:r>
          </w:p>
        </w:tc>
      </w:tr>
      <w:tr>
        <w:trPr>
          <w:trHeight w:val="353" w:hRule="exact"/>
        </w:trPr>
        <w:tc>
          <w:tcPr>
            <w:tcW w:w="332" w:type="dxa"/>
            <w:vMerge/>
          </w:tcPr>
          <w:p>
            <w:pPr/>
          </w:p>
        </w:tc>
        <w:tc>
          <w:tcPr>
            <w:tcW w:w="7025" w:type="dxa"/>
          </w:tcPr>
          <w:p>
            <w:pPr/>
          </w:p>
        </w:tc>
        <w:tc>
          <w:tcPr>
            <w:tcW w:w="1471" w:type="dxa"/>
            <w:tcBorders>
              <w:top w:val="single" w:sz="0" w:space="0" w:color="000000"/>
              <w:bottom w:val="single" w:sz="0" w:space="0" w:color="000000"/>
            </w:tcBorders>
          </w:tcPr>
          <w:p>
            <w:pPr>
              <w:pStyle w:val="TableParagraph"/>
              <w:spacing w:before="122"/>
              <w:ind w:right="260"/>
              <w:rPr>
                <w:b/>
                <w:sz w:val="18"/>
              </w:rPr>
            </w:pPr>
            <w:r>
              <w:rPr>
                <w:b/>
                <w:w w:val="95"/>
                <w:sz w:val="18"/>
              </w:rPr>
              <w:t>369,547</w:t>
            </w:r>
          </w:p>
        </w:tc>
        <w:tc>
          <w:tcPr>
            <w:tcW w:w="1123" w:type="dxa"/>
            <w:tcBorders>
              <w:top w:val="single" w:sz="0" w:space="0" w:color="000000"/>
              <w:bottom w:val="single" w:sz="0" w:space="0" w:color="000000"/>
            </w:tcBorders>
          </w:tcPr>
          <w:p>
            <w:pPr>
              <w:pStyle w:val="TableParagraph"/>
              <w:spacing w:before="122"/>
              <w:ind w:right="85"/>
              <w:rPr>
                <w:sz w:val="18"/>
              </w:rPr>
            </w:pPr>
            <w:r>
              <w:rPr>
                <w:w w:val="95"/>
                <w:sz w:val="18"/>
              </w:rPr>
              <w:t>445,420</w:t>
            </w:r>
          </w:p>
        </w:tc>
      </w:tr>
      <w:tr>
        <w:trPr>
          <w:trHeight w:val="583" w:hRule="exact"/>
        </w:trPr>
        <w:tc>
          <w:tcPr>
            <w:tcW w:w="332" w:type="dxa"/>
            <w:vMerge/>
          </w:tcPr>
          <w:p>
            <w:pPr/>
          </w:p>
        </w:tc>
        <w:tc>
          <w:tcPr>
            <w:tcW w:w="7025" w:type="dxa"/>
          </w:tcPr>
          <w:p>
            <w:pPr/>
          </w:p>
        </w:tc>
        <w:tc>
          <w:tcPr>
            <w:tcW w:w="1471" w:type="dxa"/>
            <w:tcBorders>
              <w:top w:val="single" w:sz="0" w:space="0" w:color="000000"/>
            </w:tcBorders>
          </w:tcPr>
          <w:p>
            <w:pPr>
              <w:pStyle w:val="TableParagraph"/>
              <w:jc w:val="left"/>
              <w:rPr>
                <w:sz w:val="18"/>
              </w:rPr>
            </w:pPr>
          </w:p>
          <w:p>
            <w:pPr>
              <w:pStyle w:val="TableParagraph"/>
              <w:spacing w:before="125"/>
              <w:ind w:left="471" w:right="240"/>
              <w:jc w:val="left"/>
              <w:rPr>
                <w:b/>
                <w:sz w:val="18"/>
              </w:rPr>
            </w:pPr>
            <w:r>
              <w:rPr>
                <w:b/>
                <w:sz w:val="18"/>
              </w:rPr>
              <w:t>2016</w:t>
            </w:r>
          </w:p>
        </w:tc>
        <w:tc>
          <w:tcPr>
            <w:tcW w:w="1123" w:type="dxa"/>
            <w:tcBorders>
              <w:top w:val="single" w:sz="0" w:space="0" w:color="000000"/>
            </w:tcBorders>
          </w:tcPr>
          <w:p>
            <w:pPr>
              <w:pStyle w:val="TableParagraph"/>
              <w:jc w:val="left"/>
              <w:rPr>
                <w:sz w:val="18"/>
              </w:rPr>
            </w:pPr>
          </w:p>
          <w:p>
            <w:pPr>
              <w:pStyle w:val="TableParagraph"/>
              <w:spacing w:before="125"/>
              <w:ind w:left="283"/>
              <w:jc w:val="left"/>
              <w:rPr>
                <w:b/>
                <w:sz w:val="18"/>
              </w:rPr>
            </w:pPr>
            <w:r>
              <w:rPr>
                <w:b/>
                <w:sz w:val="18"/>
              </w:rPr>
              <w:t>2015</w:t>
            </w:r>
          </w:p>
        </w:tc>
      </w:tr>
      <w:tr>
        <w:trPr>
          <w:trHeight w:val="271" w:hRule="exact"/>
        </w:trPr>
        <w:tc>
          <w:tcPr>
            <w:tcW w:w="332" w:type="dxa"/>
            <w:vMerge/>
          </w:tcPr>
          <w:p>
            <w:pPr/>
          </w:p>
        </w:tc>
        <w:tc>
          <w:tcPr>
            <w:tcW w:w="7025" w:type="dxa"/>
          </w:tcPr>
          <w:p>
            <w:pPr/>
          </w:p>
        </w:tc>
        <w:tc>
          <w:tcPr>
            <w:tcW w:w="1471" w:type="dxa"/>
          </w:tcPr>
          <w:p>
            <w:pPr>
              <w:pStyle w:val="TableParagraph"/>
              <w:spacing w:before="24"/>
              <w:ind w:right="127"/>
              <w:jc w:val="center"/>
              <w:rPr>
                <w:b/>
                <w:sz w:val="18"/>
              </w:rPr>
            </w:pPr>
            <w:r>
              <w:rPr>
                <w:b/>
                <w:w w:val="99"/>
                <w:sz w:val="18"/>
              </w:rPr>
              <w:t>$</w:t>
            </w:r>
          </w:p>
        </w:tc>
        <w:tc>
          <w:tcPr>
            <w:tcW w:w="1123" w:type="dxa"/>
          </w:tcPr>
          <w:p>
            <w:pPr>
              <w:pStyle w:val="TableParagraph"/>
              <w:spacing w:before="24"/>
              <w:ind w:right="154"/>
              <w:jc w:val="center"/>
              <w:rPr>
                <w:b/>
                <w:sz w:val="18"/>
              </w:rPr>
            </w:pPr>
            <w:r>
              <w:rPr>
                <w:b/>
                <w:w w:val="99"/>
                <w:sz w:val="18"/>
              </w:rPr>
              <w:t>$</w:t>
            </w:r>
          </w:p>
        </w:tc>
      </w:tr>
      <w:tr>
        <w:trPr>
          <w:trHeight w:val="265" w:hRule="exact"/>
        </w:trPr>
        <w:tc>
          <w:tcPr>
            <w:tcW w:w="332" w:type="dxa"/>
            <w:vMerge/>
          </w:tcPr>
          <w:p>
            <w:pPr/>
          </w:p>
        </w:tc>
        <w:tc>
          <w:tcPr>
            <w:tcW w:w="7025" w:type="dxa"/>
          </w:tcPr>
          <w:p>
            <w:pPr>
              <w:pStyle w:val="TableParagraph"/>
              <w:spacing w:before="21"/>
              <w:ind w:left="138"/>
              <w:jc w:val="left"/>
              <w:rPr>
                <w:b/>
                <w:sz w:val="18"/>
              </w:rPr>
            </w:pPr>
            <w:bookmarkStart w:name="10 Other liabilities" w:id="225"/>
            <w:bookmarkEnd w:id="225"/>
            <w:r>
              <w:rPr/>
            </w:r>
            <w:r>
              <w:rPr>
                <w:b/>
                <w:sz w:val="18"/>
              </w:rPr>
              <w:t>Non-Current</w:t>
            </w:r>
          </w:p>
        </w:tc>
        <w:tc>
          <w:tcPr>
            <w:tcW w:w="1471" w:type="dxa"/>
          </w:tcPr>
          <w:p>
            <w:pPr/>
          </w:p>
        </w:tc>
        <w:tc>
          <w:tcPr>
            <w:tcW w:w="1123" w:type="dxa"/>
          </w:tcPr>
          <w:p>
            <w:pPr/>
          </w:p>
        </w:tc>
      </w:tr>
      <w:tr>
        <w:trPr>
          <w:trHeight w:val="277" w:hRule="exact"/>
        </w:trPr>
        <w:tc>
          <w:tcPr>
            <w:tcW w:w="332" w:type="dxa"/>
            <w:vMerge/>
          </w:tcPr>
          <w:p>
            <w:pPr/>
          </w:p>
        </w:tc>
        <w:tc>
          <w:tcPr>
            <w:tcW w:w="7025" w:type="dxa"/>
          </w:tcPr>
          <w:p>
            <w:pPr>
              <w:pStyle w:val="TableParagraph"/>
              <w:spacing w:before="19"/>
              <w:ind w:left="138"/>
              <w:jc w:val="left"/>
              <w:rPr>
                <w:sz w:val="18"/>
              </w:rPr>
            </w:pPr>
            <w:r>
              <w:rPr>
                <w:sz w:val="18"/>
              </w:rPr>
              <w:t>Employee benefits - long service leave</w:t>
            </w:r>
          </w:p>
        </w:tc>
        <w:tc>
          <w:tcPr>
            <w:tcW w:w="1471" w:type="dxa"/>
            <w:tcBorders>
              <w:bottom w:val="single" w:sz="0" w:space="0" w:color="000000"/>
            </w:tcBorders>
          </w:tcPr>
          <w:p>
            <w:pPr>
              <w:pStyle w:val="TableParagraph"/>
              <w:spacing w:before="18"/>
              <w:ind w:right="259"/>
              <w:rPr>
                <w:b/>
                <w:sz w:val="18"/>
              </w:rPr>
            </w:pPr>
            <w:r>
              <w:rPr>
                <w:b/>
                <w:w w:val="95"/>
                <w:sz w:val="18"/>
              </w:rPr>
              <w:t>763,312</w:t>
            </w:r>
          </w:p>
        </w:tc>
        <w:tc>
          <w:tcPr>
            <w:tcW w:w="1123" w:type="dxa"/>
            <w:tcBorders>
              <w:bottom w:val="single" w:sz="0" w:space="0" w:color="000000"/>
            </w:tcBorders>
          </w:tcPr>
          <w:p>
            <w:pPr>
              <w:pStyle w:val="TableParagraph"/>
              <w:spacing w:before="18"/>
              <w:ind w:right="86"/>
              <w:rPr>
                <w:sz w:val="18"/>
              </w:rPr>
            </w:pPr>
            <w:r>
              <w:rPr>
                <w:w w:val="95"/>
                <w:sz w:val="18"/>
              </w:rPr>
              <w:t>911,632</w:t>
            </w:r>
          </w:p>
        </w:tc>
      </w:tr>
      <w:tr>
        <w:trPr>
          <w:trHeight w:val="803" w:hRule="exact"/>
        </w:trPr>
        <w:tc>
          <w:tcPr>
            <w:tcW w:w="332" w:type="dxa"/>
          </w:tcPr>
          <w:p>
            <w:pPr>
              <w:pStyle w:val="TableParagraph"/>
              <w:jc w:val="left"/>
              <w:rPr>
                <w:sz w:val="18"/>
              </w:rPr>
            </w:pPr>
          </w:p>
          <w:p>
            <w:pPr>
              <w:pStyle w:val="TableParagraph"/>
              <w:spacing w:before="106"/>
              <w:ind w:left="35"/>
              <w:jc w:val="left"/>
              <w:rPr>
                <w:b/>
                <w:sz w:val="18"/>
              </w:rPr>
            </w:pPr>
            <w:r>
              <w:rPr>
                <w:b/>
                <w:sz w:val="18"/>
              </w:rPr>
              <w:t>10</w:t>
            </w:r>
          </w:p>
        </w:tc>
        <w:tc>
          <w:tcPr>
            <w:tcW w:w="7025" w:type="dxa"/>
          </w:tcPr>
          <w:p>
            <w:pPr>
              <w:pStyle w:val="TableParagraph"/>
              <w:jc w:val="left"/>
              <w:rPr>
                <w:sz w:val="18"/>
              </w:rPr>
            </w:pPr>
          </w:p>
          <w:p>
            <w:pPr>
              <w:pStyle w:val="TableParagraph"/>
              <w:spacing w:before="106"/>
              <w:ind w:left="99"/>
              <w:jc w:val="left"/>
              <w:rPr>
                <w:b/>
                <w:sz w:val="18"/>
              </w:rPr>
            </w:pPr>
            <w:r>
              <w:rPr>
                <w:b/>
                <w:sz w:val="18"/>
              </w:rPr>
              <w:t>Other liabilities</w:t>
            </w:r>
          </w:p>
        </w:tc>
        <w:tc>
          <w:tcPr>
            <w:tcW w:w="1471" w:type="dxa"/>
            <w:tcBorders>
              <w:top w:val="single" w:sz="0" w:space="0" w:color="000000"/>
            </w:tcBorders>
          </w:tcPr>
          <w:p>
            <w:pPr>
              <w:pStyle w:val="TableParagraph"/>
              <w:jc w:val="left"/>
              <w:rPr>
                <w:sz w:val="18"/>
              </w:rPr>
            </w:pPr>
          </w:p>
          <w:p>
            <w:pPr>
              <w:pStyle w:val="TableParagraph"/>
              <w:jc w:val="left"/>
              <w:rPr>
                <w:sz w:val="18"/>
              </w:rPr>
            </w:pPr>
          </w:p>
          <w:p>
            <w:pPr>
              <w:pStyle w:val="TableParagraph"/>
              <w:spacing w:before="139"/>
              <w:ind w:left="470" w:right="240"/>
              <w:jc w:val="left"/>
              <w:rPr>
                <w:b/>
                <w:sz w:val="18"/>
              </w:rPr>
            </w:pPr>
            <w:r>
              <w:rPr>
                <w:b/>
                <w:sz w:val="18"/>
              </w:rPr>
              <w:t>2016</w:t>
            </w:r>
          </w:p>
        </w:tc>
        <w:tc>
          <w:tcPr>
            <w:tcW w:w="1123" w:type="dxa"/>
            <w:tcBorders>
              <w:top w:val="single" w:sz="0" w:space="0" w:color="000000"/>
            </w:tcBorders>
          </w:tcPr>
          <w:p>
            <w:pPr>
              <w:pStyle w:val="TableParagraph"/>
              <w:jc w:val="left"/>
              <w:rPr>
                <w:sz w:val="18"/>
              </w:rPr>
            </w:pPr>
          </w:p>
          <w:p>
            <w:pPr>
              <w:pStyle w:val="TableParagraph"/>
              <w:jc w:val="left"/>
              <w:rPr>
                <w:sz w:val="18"/>
              </w:rPr>
            </w:pPr>
          </w:p>
          <w:p>
            <w:pPr>
              <w:pStyle w:val="TableParagraph"/>
              <w:spacing w:before="139"/>
              <w:ind w:left="261"/>
              <w:jc w:val="left"/>
              <w:rPr>
                <w:b/>
                <w:sz w:val="18"/>
              </w:rPr>
            </w:pPr>
            <w:r>
              <w:rPr>
                <w:b/>
                <w:sz w:val="18"/>
              </w:rPr>
              <w:t>2015</w:t>
            </w:r>
          </w:p>
        </w:tc>
      </w:tr>
      <w:tr>
        <w:trPr>
          <w:trHeight w:val="271" w:hRule="exact"/>
        </w:trPr>
        <w:tc>
          <w:tcPr>
            <w:tcW w:w="332" w:type="dxa"/>
          </w:tcPr>
          <w:p>
            <w:pPr/>
          </w:p>
        </w:tc>
        <w:tc>
          <w:tcPr>
            <w:tcW w:w="7025" w:type="dxa"/>
          </w:tcPr>
          <w:p>
            <w:pPr/>
          </w:p>
        </w:tc>
        <w:tc>
          <w:tcPr>
            <w:tcW w:w="1471" w:type="dxa"/>
          </w:tcPr>
          <w:p>
            <w:pPr>
              <w:pStyle w:val="TableParagraph"/>
              <w:spacing w:before="24"/>
              <w:ind w:right="128"/>
              <w:jc w:val="center"/>
              <w:rPr>
                <w:b/>
                <w:sz w:val="18"/>
              </w:rPr>
            </w:pPr>
            <w:r>
              <w:rPr>
                <w:b/>
                <w:w w:val="99"/>
                <w:sz w:val="18"/>
              </w:rPr>
              <w:t>$</w:t>
            </w:r>
          </w:p>
        </w:tc>
        <w:tc>
          <w:tcPr>
            <w:tcW w:w="1123" w:type="dxa"/>
          </w:tcPr>
          <w:p>
            <w:pPr>
              <w:pStyle w:val="TableParagraph"/>
              <w:spacing w:before="24"/>
              <w:ind w:right="199"/>
              <w:jc w:val="center"/>
              <w:rPr>
                <w:b/>
                <w:sz w:val="18"/>
              </w:rPr>
            </w:pPr>
            <w:r>
              <w:rPr>
                <w:b/>
                <w:w w:val="99"/>
                <w:sz w:val="18"/>
              </w:rPr>
              <w:t>$</w:t>
            </w:r>
          </w:p>
        </w:tc>
      </w:tr>
      <w:tr>
        <w:trPr>
          <w:trHeight w:val="266" w:hRule="exact"/>
        </w:trPr>
        <w:tc>
          <w:tcPr>
            <w:tcW w:w="332" w:type="dxa"/>
          </w:tcPr>
          <w:p>
            <w:pPr/>
          </w:p>
        </w:tc>
        <w:tc>
          <w:tcPr>
            <w:tcW w:w="7025" w:type="dxa"/>
          </w:tcPr>
          <w:p>
            <w:pPr>
              <w:pStyle w:val="TableParagraph"/>
              <w:spacing w:before="21"/>
              <w:ind w:left="99"/>
              <w:jc w:val="left"/>
              <w:rPr>
                <w:sz w:val="18"/>
              </w:rPr>
            </w:pPr>
            <w:r>
              <w:rPr>
                <w:sz w:val="18"/>
              </w:rPr>
              <w:t>Unearned IELTS revenue *</w:t>
            </w:r>
          </w:p>
        </w:tc>
        <w:tc>
          <w:tcPr>
            <w:tcW w:w="1471" w:type="dxa"/>
          </w:tcPr>
          <w:p>
            <w:pPr>
              <w:pStyle w:val="TableParagraph"/>
              <w:spacing w:before="22"/>
              <w:ind w:right="260"/>
              <w:rPr>
                <w:b/>
                <w:sz w:val="18"/>
              </w:rPr>
            </w:pPr>
            <w:r>
              <w:rPr>
                <w:b/>
                <w:w w:val="95"/>
                <w:sz w:val="18"/>
              </w:rPr>
              <w:t>160,710</w:t>
            </w:r>
          </w:p>
        </w:tc>
        <w:tc>
          <w:tcPr>
            <w:tcW w:w="1123" w:type="dxa"/>
          </w:tcPr>
          <w:p>
            <w:pPr>
              <w:pStyle w:val="TableParagraph"/>
              <w:spacing w:before="22"/>
              <w:ind w:right="85"/>
              <w:rPr>
                <w:sz w:val="18"/>
              </w:rPr>
            </w:pPr>
            <w:r>
              <w:rPr>
                <w:w w:val="95"/>
                <w:sz w:val="18"/>
              </w:rPr>
              <w:t>191,064</w:t>
            </w:r>
          </w:p>
        </w:tc>
      </w:tr>
      <w:tr>
        <w:trPr>
          <w:trHeight w:val="264" w:hRule="exact"/>
        </w:trPr>
        <w:tc>
          <w:tcPr>
            <w:tcW w:w="332" w:type="dxa"/>
          </w:tcPr>
          <w:p>
            <w:pPr/>
          </w:p>
        </w:tc>
        <w:tc>
          <w:tcPr>
            <w:tcW w:w="7025" w:type="dxa"/>
          </w:tcPr>
          <w:p>
            <w:pPr>
              <w:pStyle w:val="TableParagraph"/>
              <w:spacing w:before="18"/>
              <w:ind w:left="99"/>
              <w:jc w:val="left"/>
              <w:rPr>
                <w:sz w:val="18"/>
              </w:rPr>
            </w:pPr>
            <w:r>
              <w:rPr>
                <w:sz w:val="18"/>
              </w:rPr>
              <w:t>Payroll tax</w:t>
            </w:r>
          </w:p>
        </w:tc>
        <w:tc>
          <w:tcPr>
            <w:tcW w:w="1471" w:type="dxa"/>
          </w:tcPr>
          <w:p>
            <w:pPr>
              <w:pStyle w:val="TableParagraph"/>
              <w:spacing w:before="19"/>
              <w:ind w:right="260"/>
              <w:rPr>
                <w:b/>
                <w:sz w:val="18"/>
              </w:rPr>
            </w:pPr>
            <w:r>
              <w:rPr>
                <w:b/>
                <w:w w:val="95"/>
                <w:sz w:val="18"/>
              </w:rPr>
              <w:t>245,554</w:t>
            </w:r>
          </w:p>
        </w:tc>
        <w:tc>
          <w:tcPr>
            <w:tcW w:w="1123" w:type="dxa"/>
          </w:tcPr>
          <w:p>
            <w:pPr>
              <w:pStyle w:val="TableParagraph"/>
              <w:spacing w:before="19"/>
              <w:ind w:right="85"/>
              <w:rPr>
                <w:sz w:val="18"/>
              </w:rPr>
            </w:pPr>
            <w:r>
              <w:rPr>
                <w:w w:val="95"/>
                <w:sz w:val="18"/>
              </w:rPr>
              <w:t>202,720</w:t>
            </w:r>
          </w:p>
        </w:tc>
      </w:tr>
      <w:tr>
        <w:trPr>
          <w:trHeight w:val="264" w:hRule="exact"/>
        </w:trPr>
        <w:tc>
          <w:tcPr>
            <w:tcW w:w="332" w:type="dxa"/>
          </w:tcPr>
          <w:p>
            <w:pPr/>
          </w:p>
        </w:tc>
        <w:tc>
          <w:tcPr>
            <w:tcW w:w="7025" w:type="dxa"/>
          </w:tcPr>
          <w:p>
            <w:pPr>
              <w:pStyle w:val="TableParagraph"/>
              <w:spacing w:before="18"/>
              <w:ind w:left="99"/>
              <w:jc w:val="left"/>
              <w:rPr>
                <w:sz w:val="18"/>
              </w:rPr>
            </w:pPr>
            <w:r>
              <w:rPr>
                <w:sz w:val="18"/>
              </w:rPr>
              <w:t>Fringe benefits tax</w:t>
            </w:r>
          </w:p>
        </w:tc>
        <w:tc>
          <w:tcPr>
            <w:tcW w:w="1471" w:type="dxa"/>
          </w:tcPr>
          <w:p>
            <w:pPr>
              <w:pStyle w:val="TableParagraph"/>
              <w:spacing w:before="19"/>
              <w:ind w:right="260"/>
              <w:rPr>
                <w:b/>
                <w:sz w:val="18"/>
              </w:rPr>
            </w:pPr>
            <w:r>
              <w:rPr>
                <w:b/>
                <w:w w:val="95"/>
                <w:sz w:val="18"/>
              </w:rPr>
              <w:t>18,587</w:t>
            </w:r>
          </w:p>
        </w:tc>
        <w:tc>
          <w:tcPr>
            <w:tcW w:w="1123" w:type="dxa"/>
          </w:tcPr>
          <w:p>
            <w:pPr>
              <w:pStyle w:val="TableParagraph"/>
              <w:spacing w:before="19"/>
              <w:ind w:right="85"/>
              <w:rPr>
                <w:sz w:val="18"/>
              </w:rPr>
            </w:pPr>
            <w:r>
              <w:rPr>
                <w:w w:val="95"/>
                <w:sz w:val="18"/>
              </w:rPr>
              <w:t>74,776</w:t>
            </w:r>
          </w:p>
        </w:tc>
      </w:tr>
      <w:tr>
        <w:trPr>
          <w:trHeight w:val="264" w:hRule="exact"/>
        </w:trPr>
        <w:tc>
          <w:tcPr>
            <w:tcW w:w="332" w:type="dxa"/>
          </w:tcPr>
          <w:p>
            <w:pPr/>
          </w:p>
        </w:tc>
        <w:tc>
          <w:tcPr>
            <w:tcW w:w="7025" w:type="dxa"/>
          </w:tcPr>
          <w:p>
            <w:pPr>
              <w:pStyle w:val="TableParagraph"/>
              <w:spacing w:before="18"/>
              <w:ind w:left="99"/>
              <w:jc w:val="left"/>
              <w:rPr>
                <w:sz w:val="18"/>
              </w:rPr>
            </w:pPr>
            <w:r>
              <w:rPr>
                <w:sz w:val="18"/>
              </w:rPr>
              <w:t>Unallocated student receipts</w:t>
            </w:r>
          </w:p>
        </w:tc>
        <w:tc>
          <w:tcPr>
            <w:tcW w:w="1471" w:type="dxa"/>
          </w:tcPr>
          <w:p>
            <w:pPr>
              <w:pStyle w:val="TableParagraph"/>
              <w:spacing w:before="19"/>
              <w:ind w:right="130"/>
              <w:jc w:val="center"/>
              <w:rPr>
                <w:b/>
                <w:sz w:val="18"/>
              </w:rPr>
            </w:pPr>
            <w:r>
              <w:rPr>
                <w:b/>
                <w:w w:val="99"/>
                <w:sz w:val="18"/>
              </w:rPr>
              <w:t>-</w:t>
            </w:r>
          </w:p>
        </w:tc>
        <w:tc>
          <w:tcPr>
            <w:tcW w:w="1123" w:type="dxa"/>
          </w:tcPr>
          <w:p>
            <w:pPr>
              <w:pStyle w:val="TableParagraph"/>
              <w:spacing w:before="19"/>
              <w:ind w:right="85"/>
              <w:rPr>
                <w:sz w:val="18"/>
              </w:rPr>
            </w:pPr>
            <w:r>
              <w:rPr>
                <w:w w:val="95"/>
                <w:sz w:val="18"/>
              </w:rPr>
              <w:t>35,748</w:t>
            </w:r>
          </w:p>
        </w:tc>
      </w:tr>
      <w:tr>
        <w:trPr>
          <w:trHeight w:val="263" w:hRule="exact"/>
        </w:trPr>
        <w:tc>
          <w:tcPr>
            <w:tcW w:w="332" w:type="dxa"/>
          </w:tcPr>
          <w:p>
            <w:pPr/>
          </w:p>
        </w:tc>
        <w:tc>
          <w:tcPr>
            <w:tcW w:w="7025" w:type="dxa"/>
          </w:tcPr>
          <w:p>
            <w:pPr>
              <w:pStyle w:val="TableParagraph"/>
              <w:spacing w:before="18"/>
              <w:ind w:left="99"/>
              <w:jc w:val="left"/>
              <w:rPr>
                <w:sz w:val="18"/>
              </w:rPr>
            </w:pPr>
            <w:r>
              <w:rPr>
                <w:sz w:val="18"/>
              </w:rPr>
              <w:t>Other liabilities</w:t>
            </w:r>
          </w:p>
        </w:tc>
        <w:tc>
          <w:tcPr>
            <w:tcW w:w="1471" w:type="dxa"/>
            <w:tcBorders>
              <w:bottom w:val="single" w:sz="0" w:space="0" w:color="000000"/>
            </w:tcBorders>
          </w:tcPr>
          <w:p>
            <w:pPr>
              <w:pStyle w:val="TableParagraph"/>
              <w:spacing w:before="19"/>
              <w:ind w:right="260"/>
              <w:rPr>
                <w:b/>
                <w:sz w:val="18"/>
              </w:rPr>
            </w:pPr>
            <w:r>
              <w:rPr>
                <w:b/>
                <w:w w:val="95"/>
                <w:sz w:val="18"/>
              </w:rPr>
              <w:t>688,822</w:t>
            </w:r>
          </w:p>
        </w:tc>
        <w:tc>
          <w:tcPr>
            <w:tcW w:w="1123" w:type="dxa"/>
            <w:tcBorders>
              <w:bottom w:val="single" w:sz="0" w:space="0" w:color="000000"/>
            </w:tcBorders>
          </w:tcPr>
          <w:p>
            <w:pPr>
              <w:pStyle w:val="TableParagraph"/>
              <w:spacing w:before="19"/>
              <w:ind w:right="85"/>
              <w:rPr>
                <w:sz w:val="18"/>
              </w:rPr>
            </w:pPr>
            <w:r>
              <w:rPr>
                <w:w w:val="95"/>
                <w:sz w:val="18"/>
              </w:rPr>
              <w:t>226,763</w:t>
            </w:r>
          </w:p>
        </w:tc>
      </w:tr>
      <w:tr>
        <w:trPr>
          <w:trHeight w:val="353" w:hRule="exact"/>
        </w:trPr>
        <w:tc>
          <w:tcPr>
            <w:tcW w:w="332" w:type="dxa"/>
          </w:tcPr>
          <w:p>
            <w:pPr/>
          </w:p>
        </w:tc>
        <w:tc>
          <w:tcPr>
            <w:tcW w:w="7025" w:type="dxa"/>
          </w:tcPr>
          <w:p>
            <w:pPr/>
          </w:p>
        </w:tc>
        <w:tc>
          <w:tcPr>
            <w:tcW w:w="1471" w:type="dxa"/>
            <w:tcBorders>
              <w:top w:val="single" w:sz="0" w:space="0" w:color="000000"/>
              <w:bottom w:val="single" w:sz="0" w:space="0" w:color="000000"/>
            </w:tcBorders>
          </w:tcPr>
          <w:p>
            <w:pPr>
              <w:pStyle w:val="TableParagraph"/>
              <w:spacing w:before="122"/>
              <w:ind w:right="260"/>
              <w:rPr>
                <w:b/>
                <w:sz w:val="18"/>
              </w:rPr>
            </w:pPr>
            <w:bookmarkStart w:name="11 Issued Capital" w:id="226"/>
            <w:bookmarkEnd w:id="226"/>
            <w:r>
              <w:rPr/>
            </w:r>
            <w:r>
              <w:rPr>
                <w:b/>
                <w:w w:val="95"/>
                <w:sz w:val="18"/>
              </w:rPr>
              <w:t>1,113,673</w:t>
            </w:r>
          </w:p>
        </w:tc>
        <w:tc>
          <w:tcPr>
            <w:tcW w:w="1123" w:type="dxa"/>
            <w:tcBorders>
              <w:top w:val="single" w:sz="0" w:space="0" w:color="000000"/>
              <w:bottom w:val="single" w:sz="0" w:space="0" w:color="000000"/>
            </w:tcBorders>
          </w:tcPr>
          <w:p>
            <w:pPr>
              <w:pStyle w:val="TableParagraph"/>
              <w:spacing w:before="122"/>
              <w:ind w:right="85"/>
              <w:rPr>
                <w:sz w:val="18"/>
              </w:rPr>
            </w:pPr>
            <w:r>
              <w:rPr>
                <w:w w:val="95"/>
                <w:sz w:val="18"/>
              </w:rPr>
              <w:t>731,071</w:t>
            </w:r>
          </w:p>
        </w:tc>
      </w:tr>
      <w:tr>
        <w:trPr>
          <w:trHeight w:val="674" w:hRule="exact"/>
        </w:trPr>
        <w:tc>
          <w:tcPr>
            <w:tcW w:w="332" w:type="dxa"/>
          </w:tcPr>
          <w:p>
            <w:pPr/>
          </w:p>
        </w:tc>
        <w:tc>
          <w:tcPr>
            <w:tcW w:w="7025" w:type="dxa"/>
          </w:tcPr>
          <w:p>
            <w:pPr>
              <w:pStyle w:val="TableParagraph"/>
              <w:jc w:val="left"/>
              <w:rPr>
                <w:sz w:val="18"/>
              </w:rPr>
            </w:pPr>
          </w:p>
          <w:p>
            <w:pPr>
              <w:pStyle w:val="TableParagraph"/>
              <w:spacing w:before="106"/>
              <w:ind w:left="99"/>
              <w:jc w:val="left"/>
              <w:rPr>
                <w:sz w:val="18"/>
              </w:rPr>
            </w:pPr>
            <w:r>
              <w:rPr>
                <w:sz w:val="18"/>
              </w:rPr>
              <w:t>*Represents IELTS test fees paid in advance.</w:t>
            </w:r>
          </w:p>
        </w:tc>
        <w:tc>
          <w:tcPr>
            <w:tcW w:w="1471" w:type="dxa"/>
            <w:tcBorders>
              <w:top w:val="single" w:sz="0" w:space="0" w:color="000000"/>
            </w:tcBorders>
          </w:tcPr>
          <w:p>
            <w:pPr/>
          </w:p>
        </w:tc>
        <w:tc>
          <w:tcPr>
            <w:tcW w:w="1123" w:type="dxa"/>
            <w:tcBorders>
              <w:top w:val="single" w:sz="0" w:space="0" w:color="000000"/>
            </w:tcBorders>
          </w:tcPr>
          <w:p>
            <w:pPr/>
          </w:p>
        </w:tc>
      </w:tr>
      <w:tr>
        <w:trPr>
          <w:trHeight w:val="624" w:hRule="exact"/>
        </w:trPr>
        <w:tc>
          <w:tcPr>
            <w:tcW w:w="332" w:type="dxa"/>
          </w:tcPr>
          <w:p>
            <w:pPr>
              <w:pStyle w:val="TableParagraph"/>
              <w:spacing w:before="134"/>
              <w:ind w:left="35"/>
              <w:jc w:val="left"/>
              <w:rPr>
                <w:b/>
                <w:sz w:val="18"/>
              </w:rPr>
            </w:pPr>
            <w:r>
              <w:rPr>
                <w:b/>
                <w:sz w:val="18"/>
              </w:rPr>
              <w:t>11</w:t>
            </w:r>
          </w:p>
        </w:tc>
        <w:tc>
          <w:tcPr>
            <w:tcW w:w="7025" w:type="dxa"/>
          </w:tcPr>
          <w:p>
            <w:pPr>
              <w:pStyle w:val="TableParagraph"/>
              <w:spacing w:before="134"/>
              <w:ind w:left="99"/>
              <w:jc w:val="left"/>
              <w:rPr>
                <w:b/>
                <w:sz w:val="18"/>
              </w:rPr>
            </w:pPr>
            <w:r>
              <w:rPr>
                <w:b/>
                <w:sz w:val="18"/>
              </w:rPr>
              <w:t>Issued Capital</w:t>
            </w:r>
          </w:p>
        </w:tc>
        <w:tc>
          <w:tcPr>
            <w:tcW w:w="1471" w:type="dxa"/>
          </w:tcPr>
          <w:p>
            <w:pPr>
              <w:pStyle w:val="TableParagraph"/>
              <w:jc w:val="left"/>
              <w:rPr>
                <w:sz w:val="18"/>
              </w:rPr>
            </w:pPr>
          </w:p>
          <w:p>
            <w:pPr>
              <w:pStyle w:val="TableParagraph"/>
              <w:spacing w:before="6"/>
              <w:jc w:val="left"/>
              <w:rPr>
                <w:sz w:val="14"/>
              </w:rPr>
            </w:pPr>
          </w:p>
          <w:p>
            <w:pPr>
              <w:pStyle w:val="TableParagraph"/>
              <w:ind w:left="448" w:right="240"/>
              <w:jc w:val="left"/>
              <w:rPr>
                <w:b/>
                <w:sz w:val="18"/>
              </w:rPr>
            </w:pPr>
            <w:r>
              <w:rPr>
                <w:b/>
                <w:sz w:val="18"/>
              </w:rPr>
              <w:t>2016</w:t>
            </w:r>
          </w:p>
        </w:tc>
        <w:tc>
          <w:tcPr>
            <w:tcW w:w="1123" w:type="dxa"/>
          </w:tcPr>
          <w:p>
            <w:pPr>
              <w:pStyle w:val="TableParagraph"/>
              <w:jc w:val="left"/>
              <w:rPr>
                <w:sz w:val="18"/>
              </w:rPr>
            </w:pPr>
          </w:p>
          <w:p>
            <w:pPr>
              <w:pStyle w:val="TableParagraph"/>
              <w:spacing w:before="6"/>
              <w:jc w:val="left"/>
              <w:rPr>
                <w:sz w:val="14"/>
              </w:rPr>
            </w:pPr>
          </w:p>
          <w:p>
            <w:pPr>
              <w:pStyle w:val="TableParagraph"/>
              <w:ind w:left="261"/>
              <w:jc w:val="left"/>
              <w:rPr>
                <w:b/>
                <w:sz w:val="18"/>
              </w:rPr>
            </w:pPr>
            <w:r>
              <w:rPr>
                <w:b/>
                <w:sz w:val="18"/>
              </w:rPr>
              <w:t>2015</w:t>
            </w:r>
          </w:p>
        </w:tc>
      </w:tr>
      <w:tr>
        <w:trPr>
          <w:trHeight w:val="271" w:hRule="exact"/>
        </w:trPr>
        <w:tc>
          <w:tcPr>
            <w:tcW w:w="332" w:type="dxa"/>
          </w:tcPr>
          <w:p>
            <w:pPr/>
          </w:p>
        </w:tc>
        <w:tc>
          <w:tcPr>
            <w:tcW w:w="7025" w:type="dxa"/>
          </w:tcPr>
          <w:p>
            <w:pPr/>
          </w:p>
        </w:tc>
        <w:tc>
          <w:tcPr>
            <w:tcW w:w="1471" w:type="dxa"/>
          </w:tcPr>
          <w:p>
            <w:pPr>
              <w:pStyle w:val="TableParagraph"/>
              <w:spacing w:before="24"/>
              <w:ind w:right="171"/>
              <w:jc w:val="center"/>
              <w:rPr>
                <w:b/>
                <w:sz w:val="18"/>
              </w:rPr>
            </w:pPr>
            <w:r>
              <w:rPr>
                <w:b/>
                <w:w w:val="99"/>
                <w:sz w:val="18"/>
              </w:rPr>
              <w:t>$</w:t>
            </w:r>
          </w:p>
        </w:tc>
        <w:tc>
          <w:tcPr>
            <w:tcW w:w="1123" w:type="dxa"/>
          </w:tcPr>
          <w:p>
            <w:pPr>
              <w:pStyle w:val="TableParagraph"/>
              <w:spacing w:before="24"/>
              <w:ind w:right="199"/>
              <w:jc w:val="center"/>
              <w:rPr>
                <w:b/>
                <w:sz w:val="18"/>
              </w:rPr>
            </w:pPr>
            <w:r>
              <w:rPr>
                <w:b/>
                <w:w w:val="99"/>
                <w:sz w:val="18"/>
              </w:rPr>
              <w:t>$</w:t>
            </w:r>
          </w:p>
        </w:tc>
      </w:tr>
      <w:tr>
        <w:trPr>
          <w:trHeight w:val="265" w:hRule="exact"/>
        </w:trPr>
        <w:tc>
          <w:tcPr>
            <w:tcW w:w="332" w:type="dxa"/>
          </w:tcPr>
          <w:p>
            <w:pPr/>
          </w:p>
        </w:tc>
        <w:tc>
          <w:tcPr>
            <w:tcW w:w="7025" w:type="dxa"/>
          </w:tcPr>
          <w:p>
            <w:pPr>
              <w:pStyle w:val="TableParagraph"/>
              <w:spacing w:before="22"/>
              <w:ind w:left="99"/>
              <w:jc w:val="left"/>
              <w:rPr>
                <w:sz w:val="18"/>
              </w:rPr>
            </w:pPr>
            <w:r>
              <w:rPr>
                <w:sz w:val="18"/>
              </w:rPr>
              <w:t>Ordinary shares</w:t>
            </w:r>
          </w:p>
        </w:tc>
        <w:tc>
          <w:tcPr>
            <w:tcW w:w="1471" w:type="dxa"/>
            <w:tcBorders>
              <w:bottom w:val="single" w:sz="0" w:space="0" w:color="000000"/>
            </w:tcBorders>
          </w:tcPr>
          <w:p>
            <w:pPr>
              <w:pStyle w:val="TableParagraph"/>
              <w:spacing w:before="21"/>
              <w:ind w:right="260"/>
              <w:rPr>
                <w:b/>
                <w:sz w:val="18"/>
              </w:rPr>
            </w:pPr>
            <w:r>
              <w:rPr>
                <w:b/>
                <w:w w:val="99"/>
                <w:sz w:val="18"/>
              </w:rPr>
              <w:t>1</w:t>
            </w:r>
          </w:p>
        </w:tc>
        <w:tc>
          <w:tcPr>
            <w:tcW w:w="1123" w:type="dxa"/>
            <w:tcBorders>
              <w:bottom w:val="single" w:sz="0" w:space="0" w:color="000000"/>
            </w:tcBorders>
          </w:tcPr>
          <w:p>
            <w:pPr>
              <w:pStyle w:val="TableParagraph"/>
              <w:spacing w:before="21"/>
              <w:ind w:right="85"/>
              <w:rPr>
                <w:sz w:val="18"/>
              </w:rPr>
            </w:pPr>
            <w:r>
              <w:rPr>
                <w:w w:val="99"/>
                <w:sz w:val="18"/>
              </w:rPr>
              <w:t>1</w:t>
            </w:r>
          </w:p>
        </w:tc>
      </w:tr>
      <w:tr>
        <w:trPr>
          <w:trHeight w:val="353" w:hRule="exact"/>
        </w:trPr>
        <w:tc>
          <w:tcPr>
            <w:tcW w:w="332" w:type="dxa"/>
          </w:tcPr>
          <w:p>
            <w:pPr/>
          </w:p>
        </w:tc>
        <w:tc>
          <w:tcPr>
            <w:tcW w:w="7025" w:type="dxa"/>
          </w:tcPr>
          <w:p>
            <w:pPr>
              <w:pStyle w:val="TableParagraph"/>
              <w:spacing w:before="123"/>
              <w:ind w:left="99"/>
              <w:jc w:val="left"/>
              <w:rPr>
                <w:b/>
                <w:sz w:val="18"/>
              </w:rPr>
            </w:pPr>
            <w:r>
              <w:rPr>
                <w:b/>
                <w:sz w:val="18"/>
              </w:rPr>
              <w:t>Total contributed equity</w:t>
            </w:r>
          </w:p>
        </w:tc>
        <w:tc>
          <w:tcPr>
            <w:tcW w:w="1471" w:type="dxa"/>
            <w:tcBorders>
              <w:top w:val="single" w:sz="0" w:space="0" w:color="000000"/>
              <w:bottom w:val="single" w:sz="0" w:space="0" w:color="000000"/>
            </w:tcBorders>
          </w:tcPr>
          <w:p>
            <w:pPr>
              <w:pStyle w:val="TableParagraph"/>
              <w:spacing w:before="122"/>
              <w:ind w:right="260"/>
              <w:rPr>
                <w:b/>
                <w:sz w:val="18"/>
              </w:rPr>
            </w:pPr>
            <w:r>
              <w:rPr>
                <w:b/>
                <w:w w:val="99"/>
                <w:sz w:val="18"/>
              </w:rPr>
              <w:t>1</w:t>
            </w:r>
          </w:p>
        </w:tc>
        <w:tc>
          <w:tcPr>
            <w:tcW w:w="1123" w:type="dxa"/>
            <w:tcBorders>
              <w:top w:val="single" w:sz="0" w:space="0" w:color="000000"/>
              <w:bottom w:val="single" w:sz="0" w:space="0" w:color="000000"/>
            </w:tcBorders>
          </w:tcPr>
          <w:p>
            <w:pPr>
              <w:pStyle w:val="TableParagraph"/>
              <w:spacing w:before="122"/>
              <w:ind w:right="85"/>
              <w:rPr>
                <w:sz w:val="18"/>
              </w:rPr>
            </w:pPr>
            <w:r>
              <w:rPr>
                <w:w w:val="99"/>
                <w:sz w:val="18"/>
              </w:rPr>
              <w:t>1</w:t>
            </w:r>
          </w:p>
        </w:tc>
      </w:tr>
    </w:tbl>
    <w:p>
      <w:pPr>
        <w:spacing w:after="0"/>
        <w:rPr>
          <w:sz w:val="18"/>
        </w:rPr>
        <w:sectPr>
          <w:type w:val="continuous"/>
          <w:pgSz w:w="12750" w:h="17680"/>
          <w:pgMar w:top="1660" w:bottom="0" w:left="0" w:right="0"/>
        </w:sectPr>
      </w:pPr>
    </w:p>
    <w:p>
      <w:pPr>
        <w:pStyle w:val="BodyText"/>
        <w:rPr>
          <w:sz w:val="20"/>
        </w:rPr>
      </w:pPr>
    </w:p>
    <w:p>
      <w:pPr>
        <w:pStyle w:val="BodyText"/>
        <w:rPr>
          <w:sz w:val="20"/>
        </w:rPr>
      </w:pPr>
    </w:p>
    <w:p>
      <w:pPr>
        <w:pStyle w:val="BodyText"/>
        <w:spacing w:before="4"/>
      </w:pPr>
    </w:p>
    <w:p>
      <w:pPr>
        <w:pStyle w:val="Heading8"/>
        <w:numPr>
          <w:ilvl w:val="0"/>
          <w:numId w:val="50"/>
        </w:numPr>
        <w:tabs>
          <w:tab w:pos="1826" w:val="left" w:leader="none"/>
        </w:tabs>
        <w:spacing w:line="240" w:lineRule="auto" w:before="0" w:after="0"/>
        <w:ind w:left="1825" w:right="0" w:hanging="396"/>
        <w:jc w:val="left"/>
      </w:pPr>
      <w:bookmarkStart w:name="Capital and Leasing Commitments" w:id="227"/>
      <w:bookmarkEnd w:id="227"/>
      <w:r>
        <w:rPr>
          <w:b w:val="0"/>
        </w:rPr>
      </w:r>
      <w:bookmarkStart w:name="(a) Operating lease commitments" w:id="228"/>
      <w:bookmarkEnd w:id="228"/>
      <w:r>
        <w:rPr>
          <w:b w:val="0"/>
        </w:rPr>
      </w:r>
      <w:bookmarkStart w:name="(a) Operating lease commitments" w:id="229"/>
      <w:bookmarkEnd w:id="229"/>
      <w:r>
        <w:rPr/>
        <w:t>Capital</w:t>
      </w:r>
      <w:r>
        <w:rPr/>
        <w:t> and Leasing Commitments</w:t>
      </w:r>
    </w:p>
    <w:p>
      <w:pPr>
        <w:pStyle w:val="BodyText"/>
        <w:spacing w:before="7"/>
        <w:rPr>
          <w:b/>
          <w:sz w:val="26"/>
        </w:rPr>
      </w:pPr>
    </w:p>
    <w:p>
      <w:pPr>
        <w:pStyle w:val="ListParagraph"/>
        <w:numPr>
          <w:ilvl w:val="1"/>
          <w:numId w:val="50"/>
        </w:numPr>
        <w:tabs>
          <w:tab w:pos="2392" w:val="left" w:leader="none"/>
        </w:tabs>
        <w:spacing w:line="240" w:lineRule="auto" w:before="0" w:after="0"/>
        <w:ind w:left="2391" w:right="0" w:hanging="566"/>
        <w:jc w:val="left"/>
        <w:rPr>
          <w:b/>
          <w:sz w:val="18"/>
        </w:rPr>
      </w:pPr>
      <w:r>
        <w:rPr>
          <w:b/>
          <w:sz w:val="18"/>
        </w:rPr>
        <w:t>Operating lease</w:t>
      </w:r>
      <w:r>
        <w:rPr>
          <w:b/>
          <w:spacing w:val="-25"/>
          <w:sz w:val="18"/>
        </w:rPr>
        <w:t> </w:t>
      </w:r>
      <w:r>
        <w:rPr>
          <w:b/>
          <w:sz w:val="18"/>
        </w:rPr>
        <w:t>commitments</w:t>
      </w:r>
    </w:p>
    <w:p>
      <w:pPr>
        <w:pStyle w:val="BodyText"/>
        <w:spacing w:before="4"/>
        <w:rPr>
          <w:b/>
          <w:sz w:val="25"/>
        </w:rPr>
      </w:pPr>
    </w:p>
    <w:p>
      <w:pPr>
        <w:pStyle w:val="BodyText"/>
        <w:ind w:left="2392" w:right="1338"/>
      </w:pPr>
      <w:r>
        <w:rPr/>
        <w:t>The Company leases plant and office equipment and building teaching space under non-cancellable operating leases contracted for but not capitalised in the financial statements. The leases have renewal rights, whereby the terms of the lease are renegotiated.</w:t>
      </w:r>
    </w:p>
    <w:p>
      <w:pPr>
        <w:pStyle w:val="BodyText"/>
        <w:rPr>
          <w:sz w:val="20"/>
        </w:rPr>
      </w:pPr>
    </w:p>
    <w:p>
      <w:pPr>
        <w:pStyle w:val="BodyText"/>
        <w:spacing w:before="1"/>
        <w:rPr>
          <w:sz w:val="19"/>
        </w:rPr>
      </w:pPr>
    </w:p>
    <w:p>
      <w:pPr>
        <w:pStyle w:val="Heading8"/>
        <w:tabs>
          <w:tab w:pos="1282" w:val="left" w:leader="none"/>
        </w:tabs>
        <w:spacing w:before="78" w:after="36"/>
        <w:ind w:right="1839"/>
        <w:jc w:val="right"/>
      </w:pPr>
      <w:r>
        <w:rPr/>
        <w:t>2016</w:t>
        <w:tab/>
      </w:r>
      <w:r>
        <w:rPr>
          <w:spacing w:val="-2"/>
        </w:rPr>
        <w:t>2015</w:t>
      </w:r>
    </w:p>
    <w:tbl>
      <w:tblPr>
        <w:tblW w:w="0" w:type="auto"/>
        <w:jc w:val="left"/>
        <w:tblInd w:w="239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353"/>
        <w:gridCol w:w="1533"/>
        <w:gridCol w:w="1061"/>
      </w:tblGrid>
      <w:tr>
        <w:trPr>
          <w:trHeight w:val="542" w:hRule="exact"/>
        </w:trPr>
        <w:tc>
          <w:tcPr>
            <w:tcW w:w="6353" w:type="dxa"/>
          </w:tcPr>
          <w:p>
            <w:pPr>
              <w:pStyle w:val="TableParagraph"/>
              <w:spacing w:before="10"/>
              <w:jc w:val="left"/>
              <w:rPr>
                <w:b/>
                <w:sz w:val="25"/>
              </w:rPr>
            </w:pPr>
          </w:p>
          <w:p>
            <w:pPr>
              <w:pStyle w:val="TableParagraph"/>
              <w:ind w:left="35"/>
              <w:jc w:val="left"/>
              <w:rPr>
                <w:sz w:val="18"/>
              </w:rPr>
            </w:pPr>
            <w:r>
              <w:rPr>
                <w:sz w:val="18"/>
              </w:rPr>
              <w:t>Payable - minimum lease payments:</w:t>
            </w:r>
          </w:p>
        </w:tc>
        <w:tc>
          <w:tcPr>
            <w:tcW w:w="1533" w:type="dxa"/>
          </w:tcPr>
          <w:p>
            <w:pPr>
              <w:pStyle w:val="TableParagraph"/>
              <w:spacing w:before="30"/>
              <w:ind w:right="190"/>
              <w:jc w:val="center"/>
              <w:rPr>
                <w:b/>
                <w:sz w:val="18"/>
              </w:rPr>
            </w:pPr>
            <w:r>
              <w:rPr>
                <w:b/>
                <w:w w:val="99"/>
                <w:sz w:val="18"/>
              </w:rPr>
              <w:t>$</w:t>
            </w:r>
          </w:p>
        </w:tc>
        <w:tc>
          <w:tcPr>
            <w:tcW w:w="1061" w:type="dxa"/>
          </w:tcPr>
          <w:p>
            <w:pPr>
              <w:pStyle w:val="TableParagraph"/>
              <w:spacing w:before="30"/>
              <w:ind w:left="370"/>
              <w:jc w:val="left"/>
              <w:rPr>
                <w:b/>
                <w:sz w:val="18"/>
              </w:rPr>
            </w:pPr>
            <w:r>
              <w:rPr>
                <w:b/>
                <w:w w:val="99"/>
                <w:sz w:val="18"/>
              </w:rPr>
              <w:t>$</w:t>
            </w:r>
          </w:p>
        </w:tc>
      </w:tr>
      <w:tr>
        <w:trPr>
          <w:trHeight w:val="263" w:hRule="exact"/>
        </w:trPr>
        <w:tc>
          <w:tcPr>
            <w:tcW w:w="6353" w:type="dxa"/>
          </w:tcPr>
          <w:p>
            <w:pPr>
              <w:pStyle w:val="TableParagraph"/>
              <w:spacing w:before="18"/>
              <w:ind w:left="35"/>
              <w:jc w:val="left"/>
              <w:rPr>
                <w:sz w:val="18"/>
              </w:rPr>
            </w:pPr>
            <w:r>
              <w:rPr>
                <w:sz w:val="18"/>
              </w:rPr>
              <w:t>- no later than 1 year</w:t>
            </w:r>
          </w:p>
        </w:tc>
        <w:tc>
          <w:tcPr>
            <w:tcW w:w="1533" w:type="dxa"/>
          </w:tcPr>
          <w:p>
            <w:pPr>
              <w:pStyle w:val="TableParagraph"/>
              <w:spacing w:before="19"/>
              <w:ind w:right="322"/>
              <w:rPr>
                <w:b/>
                <w:sz w:val="18"/>
              </w:rPr>
            </w:pPr>
            <w:r>
              <w:rPr>
                <w:b/>
                <w:w w:val="95"/>
                <w:sz w:val="18"/>
              </w:rPr>
              <w:t>496,600</w:t>
            </w:r>
          </w:p>
        </w:tc>
        <w:tc>
          <w:tcPr>
            <w:tcW w:w="1061" w:type="dxa"/>
          </w:tcPr>
          <w:p>
            <w:pPr>
              <w:pStyle w:val="TableParagraph"/>
              <w:spacing w:before="19"/>
              <w:ind w:left="324"/>
              <w:jc w:val="left"/>
              <w:rPr>
                <w:sz w:val="18"/>
              </w:rPr>
            </w:pPr>
            <w:r>
              <w:rPr>
                <w:sz w:val="18"/>
              </w:rPr>
              <w:t>310,571</w:t>
            </w:r>
          </w:p>
        </w:tc>
      </w:tr>
      <w:tr>
        <w:trPr>
          <w:trHeight w:val="264" w:hRule="exact"/>
        </w:trPr>
        <w:tc>
          <w:tcPr>
            <w:tcW w:w="6353" w:type="dxa"/>
          </w:tcPr>
          <w:p>
            <w:pPr>
              <w:pStyle w:val="TableParagraph"/>
              <w:spacing w:before="18"/>
              <w:ind w:left="35"/>
              <w:jc w:val="left"/>
              <w:rPr>
                <w:sz w:val="18"/>
              </w:rPr>
            </w:pPr>
            <w:r>
              <w:rPr>
                <w:sz w:val="18"/>
              </w:rPr>
              <w:t>- between 1 year and 5 years</w:t>
            </w:r>
          </w:p>
        </w:tc>
        <w:tc>
          <w:tcPr>
            <w:tcW w:w="1533" w:type="dxa"/>
          </w:tcPr>
          <w:p>
            <w:pPr>
              <w:pStyle w:val="TableParagraph"/>
              <w:spacing w:before="19"/>
              <w:ind w:right="322"/>
              <w:rPr>
                <w:b/>
                <w:sz w:val="18"/>
              </w:rPr>
            </w:pPr>
            <w:r>
              <w:rPr>
                <w:b/>
                <w:w w:val="95"/>
                <w:sz w:val="18"/>
              </w:rPr>
              <w:t>194,769</w:t>
            </w:r>
          </w:p>
        </w:tc>
        <w:tc>
          <w:tcPr>
            <w:tcW w:w="1061" w:type="dxa"/>
          </w:tcPr>
          <w:p>
            <w:pPr>
              <w:pStyle w:val="TableParagraph"/>
              <w:spacing w:before="19"/>
              <w:ind w:left="324"/>
              <w:jc w:val="left"/>
              <w:rPr>
                <w:sz w:val="18"/>
              </w:rPr>
            </w:pPr>
            <w:r>
              <w:rPr>
                <w:sz w:val="18"/>
              </w:rPr>
              <w:t>102,467</w:t>
            </w:r>
          </w:p>
        </w:tc>
      </w:tr>
      <w:tr>
        <w:trPr>
          <w:trHeight w:val="263" w:hRule="exact"/>
        </w:trPr>
        <w:tc>
          <w:tcPr>
            <w:tcW w:w="6353" w:type="dxa"/>
          </w:tcPr>
          <w:p>
            <w:pPr>
              <w:pStyle w:val="TableParagraph"/>
              <w:spacing w:before="18"/>
              <w:ind w:left="35"/>
              <w:jc w:val="left"/>
              <w:rPr>
                <w:sz w:val="18"/>
              </w:rPr>
            </w:pPr>
            <w:r>
              <w:rPr>
                <w:sz w:val="18"/>
              </w:rPr>
              <w:t>- greater than 5 years</w:t>
            </w:r>
          </w:p>
        </w:tc>
        <w:tc>
          <w:tcPr>
            <w:tcW w:w="1533" w:type="dxa"/>
            <w:tcBorders>
              <w:bottom w:val="single" w:sz="0" w:space="0" w:color="000000"/>
            </w:tcBorders>
          </w:tcPr>
          <w:p>
            <w:pPr>
              <w:pStyle w:val="TableParagraph"/>
              <w:spacing w:before="19"/>
              <w:ind w:right="191"/>
              <w:jc w:val="center"/>
              <w:rPr>
                <w:b/>
                <w:sz w:val="18"/>
              </w:rPr>
            </w:pPr>
            <w:r>
              <w:rPr>
                <w:b/>
                <w:w w:val="99"/>
                <w:sz w:val="18"/>
              </w:rPr>
              <w:t>-</w:t>
            </w:r>
          </w:p>
        </w:tc>
        <w:tc>
          <w:tcPr>
            <w:tcW w:w="1061" w:type="dxa"/>
            <w:tcBorders>
              <w:bottom w:val="single" w:sz="0" w:space="0" w:color="000000"/>
            </w:tcBorders>
          </w:tcPr>
          <w:p>
            <w:pPr>
              <w:pStyle w:val="TableParagraph"/>
              <w:spacing w:before="19"/>
              <w:ind w:left="389"/>
              <w:jc w:val="left"/>
              <w:rPr>
                <w:sz w:val="18"/>
              </w:rPr>
            </w:pPr>
            <w:r>
              <w:rPr>
                <w:w w:val="99"/>
                <w:sz w:val="18"/>
              </w:rPr>
              <w:t>-</w:t>
            </w:r>
          </w:p>
        </w:tc>
      </w:tr>
      <w:tr>
        <w:trPr>
          <w:trHeight w:val="359" w:hRule="exact"/>
        </w:trPr>
        <w:tc>
          <w:tcPr>
            <w:tcW w:w="6353" w:type="dxa"/>
          </w:tcPr>
          <w:p>
            <w:pPr/>
          </w:p>
        </w:tc>
        <w:tc>
          <w:tcPr>
            <w:tcW w:w="1533" w:type="dxa"/>
            <w:tcBorders>
              <w:top w:val="single" w:sz="0" w:space="0" w:color="000000"/>
              <w:bottom w:val="single" w:sz="0" w:space="0" w:color="000000"/>
            </w:tcBorders>
          </w:tcPr>
          <w:p>
            <w:pPr>
              <w:pStyle w:val="TableParagraph"/>
              <w:spacing w:before="122"/>
              <w:ind w:right="322"/>
              <w:rPr>
                <w:b/>
                <w:sz w:val="18"/>
              </w:rPr>
            </w:pPr>
            <w:bookmarkStart w:name="(b) Capital commitments" w:id="230"/>
            <w:bookmarkEnd w:id="230"/>
            <w:r>
              <w:rPr/>
            </w:r>
            <w:r>
              <w:rPr>
                <w:b/>
                <w:w w:val="95"/>
                <w:sz w:val="18"/>
              </w:rPr>
              <w:t>691,369</w:t>
            </w:r>
          </w:p>
        </w:tc>
        <w:tc>
          <w:tcPr>
            <w:tcW w:w="1061" w:type="dxa"/>
            <w:tcBorders>
              <w:top w:val="single" w:sz="0" w:space="0" w:color="000000"/>
              <w:bottom w:val="single" w:sz="0" w:space="0" w:color="000000"/>
            </w:tcBorders>
          </w:tcPr>
          <w:p>
            <w:pPr>
              <w:pStyle w:val="TableParagraph"/>
              <w:spacing w:before="122"/>
              <w:ind w:left="324"/>
              <w:jc w:val="left"/>
              <w:rPr>
                <w:sz w:val="18"/>
              </w:rPr>
            </w:pPr>
            <w:r>
              <w:rPr>
                <w:sz w:val="18"/>
              </w:rPr>
              <w:t>413,038</w:t>
            </w:r>
          </w:p>
        </w:tc>
      </w:tr>
    </w:tbl>
    <w:p>
      <w:pPr>
        <w:pStyle w:val="BodyText"/>
        <w:rPr>
          <w:b/>
          <w:sz w:val="20"/>
        </w:rPr>
      </w:pPr>
    </w:p>
    <w:p>
      <w:pPr>
        <w:pStyle w:val="BodyText"/>
        <w:rPr>
          <w:b/>
          <w:sz w:val="20"/>
        </w:rPr>
      </w:pPr>
    </w:p>
    <w:p>
      <w:pPr>
        <w:pStyle w:val="BodyText"/>
        <w:spacing w:before="8"/>
        <w:rPr>
          <w:b/>
          <w:sz w:val="25"/>
        </w:rPr>
      </w:pPr>
    </w:p>
    <w:p>
      <w:pPr>
        <w:pStyle w:val="ListParagraph"/>
        <w:numPr>
          <w:ilvl w:val="1"/>
          <w:numId w:val="50"/>
        </w:numPr>
        <w:tabs>
          <w:tab w:pos="2392" w:val="left" w:leader="none"/>
        </w:tabs>
        <w:spacing w:line="240" w:lineRule="auto" w:before="77" w:after="0"/>
        <w:ind w:left="2391" w:right="0" w:hanging="566"/>
        <w:jc w:val="left"/>
        <w:rPr>
          <w:b/>
          <w:sz w:val="18"/>
        </w:rPr>
      </w:pPr>
      <w:r>
        <w:rPr/>
        <w:drawing>
          <wp:anchor distT="0" distB="0" distL="0" distR="0" allowOverlap="1" layoutInCell="1" locked="0" behindDoc="0" simplePos="0" relativeHeight="8440">
            <wp:simplePos x="0" y="0"/>
            <wp:positionH relativeFrom="page">
              <wp:posOffset>-1587</wp:posOffset>
            </wp:positionH>
            <wp:positionV relativeFrom="paragraph">
              <wp:posOffset>208837</wp:posOffset>
            </wp:positionV>
            <wp:extent cx="135159" cy="154019"/>
            <wp:effectExtent l="0" t="0" r="0" b="0"/>
            <wp:wrapNone/>
            <wp:docPr id="569" name="image13.png" descr=""/>
            <wp:cNvGraphicFramePr>
              <a:graphicFrameLocks noChangeAspect="1"/>
            </wp:cNvGraphicFramePr>
            <a:graphic>
              <a:graphicData uri="http://schemas.openxmlformats.org/drawingml/2006/picture">
                <pic:pic>
                  <pic:nvPicPr>
                    <pic:cNvPr id="570" name="image13.png"/>
                    <pic:cNvPicPr/>
                  </pic:nvPicPr>
                  <pic:blipFill>
                    <a:blip r:embed="rId18" cstate="print"/>
                    <a:stretch>
                      <a:fillRect/>
                    </a:stretch>
                  </pic:blipFill>
                  <pic:spPr>
                    <a:xfrm>
                      <a:off x="0" y="0"/>
                      <a:ext cx="135159" cy="154019"/>
                    </a:xfrm>
                    <a:prstGeom prst="rect">
                      <a:avLst/>
                    </a:prstGeom>
                  </pic:spPr>
                </pic:pic>
              </a:graphicData>
            </a:graphic>
          </wp:anchor>
        </w:drawing>
      </w:r>
      <w:r>
        <w:rPr/>
        <w:drawing>
          <wp:anchor distT="0" distB="0" distL="0" distR="0" allowOverlap="1" layoutInCell="1" locked="0" behindDoc="0" simplePos="0" relativeHeight="8464">
            <wp:simplePos x="0" y="0"/>
            <wp:positionH relativeFrom="page">
              <wp:posOffset>7958429</wp:posOffset>
            </wp:positionH>
            <wp:positionV relativeFrom="paragraph">
              <wp:posOffset>208837</wp:posOffset>
            </wp:positionV>
            <wp:extent cx="135953" cy="155575"/>
            <wp:effectExtent l="0" t="0" r="0" b="0"/>
            <wp:wrapNone/>
            <wp:docPr id="571" name="image15.png" descr=""/>
            <wp:cNvGraphicFramePr>
              <a:graphicFrameLocks noChangeAspect="1"/>
            </wp:cNvGraphicFramePr>
            <a:graphic>
              <a:graphicData uri="http://schemas.openxmlformats.org/drawingml/2006/picture">
                <pic:pic>
                  <pic:nvPicPr>
                    <pic:cNvPr id="572" name="image15.png"/>
                    <pic:cNvPicPr/>
                  </pic:nvPicPr>
                  <pic:blipFill>
                    <a:blip r:embed="rId20" cstate="print"/>
                    <a:stretch>
                      <a:fillRect/>
                    </a:stretch>
                  </pic:blipFill>
                  <pic:spPr>
                    <a:xfrm>
                      <a:off x="0" y="0"/>
                      <a:ext cx="135953" cy="155575"/>
                    </a:xfrm>
                    <a:prstGeom prst="rect">
                      <a:avLst/>
                    </a:prstGeom>
                  </pic:spPr>
                </pic:pic>
              </a:graphicData>
            </a:graphic>
          </wp:anchor>
        </w:drawing>
      </w:r>
      <w:r>
        <w:rPr>
          <w:b/>
          <w:sz w:val="18"/>
        </w:rPr>
        <w:t>Capital commitments</w:t>
      </w:r>
    </w:p>
    <w:p>
      <w:pPr>
        <w:pStyle w:val="BodyText"/>
        <w:rPr>
          <w:b/>
          <w:sz w:val="20"/>
        </w:rPr>
      </w:pPr>
    </w:p>
    <w:p>
      <w:pPr>
        <w:pStyle w:val="BodyText"/>
        <w:spacing w:before="6"/>
        <w:rPr>
          <w:b/>
          <w:sz w:val="19"/>
        </w:rPr>
      </w:pPr>
    </w:p>
    <w:tbl>
      <w:tblPr>
        <w:tblW w:w="0" w:type="auto"/>
        <w:jc w:val="left"/>
        <w:tblInd w:w="240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349"/>
        <w:gridCol w:w="1482"/>
        <w:gridCol w:w="1112"/>
      </w:tblGrid>
      <w:tr>
        <w:trPr>
          <w:trHeight w:val="640" w:hRule="exact"/>
        </w:trPr>
        <w:tc>
          <w:tcPr>
            <w:tcW w:w="6349" w:type="dxa"/>
          </w:tcPr>
          <w:p>
            <w:pPr/>
          </w:p>
        </w:tc>
        <w:tc>
          <w:tcPr>
            <w:tcW w:w="1482" w:type="dxa"/>
          </w:tcPr>
          <w:p>
            <w:pPr>
              <w:pStyle w:val="TableParagraph"/>
              <w:spacing w:before="77"/>
              <w:ind w:left="451" w:right="589"/>
              <w:jc w:val="center"/>
              <w:rPr>
                <w:b/>
                <w:sz w:val="18"/>
              </w:rPr>
            </w:pPr>
            <w:r>
              <w:rPr>
                <w:b/>
                <w:sz w:val="18"/>
              </w:rPr>
              <w:t>2016</w:t>
            </w:r>
          </w:p>
          <w:p>
            <w:pPr>
              <w:pStyle w:val="TableParagraph"/>
              <w:spacing w:before="66"/>
              <w:ind w:right="136"/>
              <w:jc w:val="center"/>
              <w:rPr>
                <w:b/>
                <w:sz w:val="18"/>
              </w:rPr>
            </w:pPr>
            <w:r>
              <w:rPr>
                <w:b/>
                <w:w w:val="99"/>
                <w:sz w:val="18"/>
              </w:rPr>
              <w:t>$</w:t>
            </w:r>
          </w:p>
        </w:tc>
        <w:tc>
          <w:tcPr>
            <w:tcW w:w="1112" w:type="dxa"/>
          </w:tcPr>
          <w:p>
            <w:pPr>
              <w:pStyle w:val="TableParagraph"/>
              <w:spacing w:before="77"/>
              <w:ind w:left="252" w:right="419"/>
              <w:jc w:val="center"/>
              <w:rPr>
                <w:b/>
                <w:sz w:val="18"/>
              </w:rPr>
            </w:pPr>
            <w:r>
              <w:rPr>
                <w:b/>
                <w:sz w:val="18"/>
              </w:rPr>
              <w:t>2015</w:t>
            </w:r>
          </w:p>
          <w:p>
            <w:pPr>
              <w:pStyle w:val="TableParagraph"/>
              <w:spacing w:before="66"/>
              <w:ind w:right="165"/>
              <w:jc w:val="center"/>
              <w:rPr>
                <w:b/>
                <w:sz w:val="18"/>
              </w:rPr>
            </w:pPr>
            <w:r>
              <w:rPr>
                <w:b/>
                <w:w w:val="99"/>
                <w:sz w:val="18"/>
              </w:rPr>
              <w:t>$</w:t>
            </w:r>
          </w:p>
        </w:tc>
      </w:tr>
      <w:tr>
        <w:trPr>
          <w:trHeight w:val="543" w:hRule="exact"/>
        </w:trPr>
        <w:tc>
          <w:tcPr>
            <w:tcW w:w="6349" w:type="dxa"/>
          </w:tcPr>
          <w:p>
            <w:pPr>
              <w:pStyle w:val="TableParagraph"/>
              <w:spacing w:before="63"/>
              <w:ind w:left="35"/>
              <w:jc w:val="left"/>
              <w:rPr>
                <w:b/>
                <w:sz w:val="18"/>
              </w:rPr>
            </w:pPr>
            <w:r>
              <w:rPr>
                <w:b/>
                <w:sz w:val="18"/>
              </w:rPr>
              <w:t>Capital expenditure commitments contracted for:</w:t>
            </w:r>
          </w:p>
          <w:p>
            <w:pPr>
              <w:pStyle w:val="TableParagraph"/>
              <w:spacing w:before="27"/>
              <w:ind w:left="35"/>
              <w:jc w:val="left"/>
              <w:rPr>
                <w:sz w:val="18"/>
              </w:rPr>
            </w:pPr>
            <w:r>
              <w:rPr>
                <w:sz w:val="18"/>
              </w:rPr>
              <w:t>- no later than 1 year</w:t>
            </w:r>
          </w:p>
        </w:tc>
        <w:tc>
          <w:tcPr>
            <w:tcW w:w="1482" w:type="dxa"/>
          </w:tcPr>
          <w:p>
            <w:pPr>
              <w:pStyle w:val="TableParagraph"/>
              <w:spacing w:before="11"/>
              <w:jc w:val="left"/>
              <w:rPr>
                <w:b/>
                <w:sz w:val="25"/>
              </w:rPr>
            </w:pPr>
          </w:p>
          <w:p>
            <w:pPr>
              <w:pStyle w:val="TableParagraph"/>
              <w:ind w:right="270"/>
              <w:rPr>
                <w:b/>
                <w:sz w:val="18"/>
              </w:rPr>
            </w:pPr>
            <w:r>
              <w:rPr>
                <w:b/>
                <w:w w:val="95"/>
                <w:sz w:val="18"/>
              </w:rPr>
              <w:t>365,312</w:t>
            </w:r>
          </w:p>
        </w:tc>
        <w:tc>
          <w:tcPr>
            <w:tcW w:w="1112" w:type="dxa"/>
          </w:tcPr>
          <w:p>
            <w:pPr>
              <w:pStyle w:val="TableParagraph"/>
              <w:spacing w:before="11"/>
              <w:jc w:val="left"/>
              <w:rPr>
                <w:b/>
                <w:sz w:val="25"/>
              </w:rPr>
            </w:pPr>
          </w:p>
          <w:p>
            <w:pPr>
              <w:pStyle w:val="TableParagraph"/>
              <w:ind w:left="375"/>
              <w:jc w:val="left"/>
              <w:rPr>
                <w:sz w:val="18"/>
              </w:rPr>
            </w:pPr>
            <w:r>
              <w:rPr>
                <w:sz w:val="18"/>
              </w:rPr>
              <w:t>288,763</w:t>
            </w:r>
          </w:p>
        </w:tc>
      </w:tr>
      <w:tr>
        <w:trPr>
          <w:trHeight w:val="264" w:hRule="exact"/>
        </w:trPr>
        <w:tc>
          <w:tcPr>
            <w:tcW w:w="6349" w:type="dxa"/>
          </w:tcPr>
          <w:p>
            <w:pPr>
              <w:pStyle w:val="TableParagraph"/>
              <w:spacing w:before="18"/>
              <w:ind w:left="35"/>
              <w:jc w:val="left"/>
              <w:rPr>
                <w:sz w:val="18"/>
              </w:rPr>
            </w:pPr>
            <w:r>
              <w:rPr>
                <w:sz w:val="18"/>
              </w:rPr>
              <w:t>- between 1 year and 5 years</w:t>
            </w:r>
          </w:p>
        </w:tc>
        <w:tc>
          <w:tcPr>
            <w:tcW w:w="1482" w:type="dxa"/>
          </w:tcPr>
          <w:p>
            <w:pPr>
              <w:pStyle w:val="TableParagraph"/>
              <w:spacing w:before="19"/>
              <w:ind w:right="138"/>
              <w:jc w:val="center"/>
              <w:rPr>
                <w:b/>
                <w:sz w:val="18"/>
              </w:rPr>
            </w:pPr>
            <w:r>
              <w:rPr>
                <w:b/>
                <w:w w:val="99"/>
                <w:sz w:val="18"/>
              </w:rPr>
              <w:t>-</w:t>
            </w:r>
          </w:p>
        </w:tc>
        <w:tc>
          <w:tcPr>
            <w:tcW w:w="1112" w:type="dxa"/>
          </w:tcPr>
          <w:p>
            <w:pPr>
              <w:pStyle w:val="TableParagraph"/>
              <w:spacing w:before="19"/>
              <w:ind w:left="441"/>
              <w:jc w:val="left"/>
              <w:rPr>
                <w:sz w:val="18"/>
              </w:rPr>
            </w:pPr>
            <w:r>
              <w:rPr>
                <w:w w:val="99"/>
                <w:sz w:val="18"/>
              </w:rPr>
              <w:t>-</w:t>
            </w:r>
          </w:p>
        </w:tc>
      </w:tr>
      <w:tr>
        <w:trPr>
          <w:trHeight w:val="263" w:hRule="exact"/>
        </w:trPr>
        <w:tc>
          <w:tcPr>
            <w:tcW w:w="6349" w:type="dxa"/>
          </w:tcPr>
          <w:p>
            <w:pPr>
              <w:pStyle w:val="TableParagraph"/>
              <w:spacing w:before="18"/>
              <w:ind w:left="35"/>
              <w:jc w:val="left"/>
              <w:rPr>
                <w:sz w:val="18"/>
              </w:rPr>
            </w:pPr>
            <w:r>
              <w:rPr>
                <w:sz w:val="18"/>
              </w:rPr>
              <w:t>- greater than 5 years</w:t>
            </w:r>
          </w:p>
        </w:tc>
        <w:tc>
          <w:tcPr>
            <w:tcW w:w="1482" w:type="dxa"/>
            <w:tcBorders>
              <w:bottom w:val="single" w:sz="0" w:space="0" w:color="000000"/>
            </w:tcBorders>
          </w:tcPr>
          <w:p>
            <w:pPr>
              <w:pStyle w:val="TableParagraph"/>
              <w:spacing w:before="19"/>
              <w:ind w:right="138"/>
              <w:jc w:val="center"/>
              <w:rPr>
                <w:b/>
                <w:sz w:val="18"/>
              </w:rPr>
            </w:pPr>
            <w:r>
              <w:rPr>
                <w:b/>
                <w:w w:val="99"/>
                <w:sz w:val="18"/>
              </w:rPr>
              <w:t>-</w:t>
            </w:r>
          </w:p>
        </w:tc>
        <w:tc>
          <w:tcPr>
            <w:tcW w:w="1112" w:type="dxa"/>
            <w:tcBorders>
              <w:bottom w:val="single" w:sz="0" w:space="0" w:color="000000"/>
            </w:tcBorders>
          </w:tcPr>
          <w:p>
            <w:pPr>
              <w:pStyle w:val="TableParagraph"/>
              <w:spacing w:before="19"/>
              <w:ind w:left="441"/>
              <w:jc w:val="left"/>
              <w:rPr>
                <w:sz w:val="18"/>
              </w:rPr>
            </w:pPr>
            <w:r>
              <w:rPr>
                <w:w w:val="99"/>
                <w:sz w:val="18"/>
              </w:rPr>
              <w:t>-</w:t>
            </w:r>
          </w:p>
        </w:tc>
      </w:tr>
      <w:tr>
        <w:trPr>
          <w:trHeight w:val="353" w:hRule="exact"/>
        </w:trPr>
        <w:tc>
          <w:tcPr>
            <w:tcW w:w="6349" w:type="dxa"/>
          </w:tcPr>
          <w:p>
            <w:pPr/>
          </w:p>
        </w:tc>
        <w:tc>
          <w:tcPr>
            <w:tcW w:w="1482" w:type="dxa"/>
            <w:tcBorders>
              <w:top w:val="single" w:sz="0" w:space="0" w:color="000000"/>
              <w:bottom w:val="single" w:sz="0" w:space="0" w:color="000000"/>
            </w:tcBorders>
          </w:tcPr>
          <w:p>
            <w:pPr>
              <w:pStyle w:val="TableParagraph"/>
              <w:spacing w:before="122"/>
              <w:ind w:right="270"/>
              <w:rPr>
                <w:b/>
                <w:sz w:val="18"/>
              </w:rPr>
            </w:pPr>
            <w:bookmarkStart w:name="(c) Expenditure commitments from joint v" w:id="231"/>
            <w:bookmarkEnd w:id="231"/>
            <w:r>
              <w:rPr/>
            </w:r>
            <w:r>
              <w:rPr>
                <w:b/>
                <w:w w:val="95"/>
                <w:sz w:val="18"/>
              </w:rPr>
              <w:t>365,312</w:t>
            </w:r>
          </w:p>
        </w:tc>
        <w:tc>
          <w:tcPr>
            <w:tcW w:w="1112" w:type="dxa"/>
            <w:tcBorders>
              <w:top w:val="single" w:sz="0" w:space="0" w:color="000000"/>
              <w:bottom w:val="single" w:sz="0" w:space="0" w:color="000000"/>
            </w:tcBorders>
          </w:tcPr>
          <w:p>
            <w:pPr>
              <w:pStyle w:val="TableParagraph"/>
              <w:spacing w:before="122"/>
              <w:ind w:left="375"/>
              <w:jc w:val="left"/>
              <w:rPr>
                <w:sz w:val="18"/>
              </w:rPr>
            </w:pPr>
            <w:r>
              <w:rPr>
                <w:sz w:val="18"/>
              </w:rPr>
              <w:t>288,763</w:t>
            </w:r>
          </w:p>
        </w:tc>
      </w:tr>
    </w:tbl>
    <w:p>
      <w:pPr>
        <w:pStyle w:val="BodyText"/>
        <w:rPr>
          <w:b/>
          <w:sz w:val="20"/>
        </w:rPr>
      </w:pPr>
    </w:p>
    <w:p>
      <w:pPr>
        <w:pStyle w:val="BodyText"/>
        <w:rPr>
          <w:b/>
          <w:sz w:val="20"/>
        </w:rPr>
      </w:pPr>
    </w:p>
    <w:p>
      <w:pPr>
        <w:pStyle w:val="BodyText"/>
        <w:spacing w:before="2"/>
        <w:rPr>
          <w:b/>
          <w:sz w:val="25"/>
        </w:rPr>
      </w:pPr>
    </w:p>
    <w:tbl>
      <w:tblPr>
        <w:tblW w:w="0" w:type="auto"/>
        <w:jc w:val="left"/>
        <w:tblInd w:w="179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960"/>
        <w:gridCol w:w="1482"/>
        <w:gridCol w:w="1112"/>
      </w:tblGrid>
      <w:tr>
        <w:trPr>
          <w:trHeight w:val="845" w:hRule="exact"/>
        </w:trPr>
        <w:tc>
          <w:tcPr>
            <w:tcW w:w="6960" w:type="dxa"/>
          </w:tcPr>
          <w:p>
            <w:pPr>
              <w:pStyle w:val="TableParagraph"/>
              <w:tabs>
                <w:tab w:pos="601" w:val="left" w:leader="none"/>
              </w:tabs>
              <w:spacing w:before="77"/>
              <w:ind w:left="35"/>
              <w:jc w:val="left"/>
              <w:rPr>
                <w:b/>
                <w:sz w:val="18"/>
              </w:rPr>
            </w:pPr>
            <w:r>
              <w:rPr>
                <w:b/>
                <w:sz w:val="18"/>
              </w:rPr>
              <w:t>(c)</w:t>
              <w:tab/>
              <w:t>Expenditure commitments from joint venture</w:t>
            </w:r>
            <w:r>
              <w:rPr>
                <w:b/>
                <w:spacing w:val="-4"/>
                <w:sz w:val="18"/>
              </w:rPr>
              <w:t> </w:t>
            </w:r>
            <w:r>
              <w:rPr>
                <w:b/>
                <w:sz w:val="18"/>
              </w:rPr>
              <w:t>entities</w:t>
            </w:r>
          </w:p>
        </w:tc>
        <w:tc>
          <w:tcPr>
            <w:tcW w:w="1482" w:type="dxa"/>
          </w:tcPr>
          <w:p>
            <w:pPr>
              <w:pStyle w:val="TableParagraph"/>
              <w:jc w:val="left"/>
              <w:rPr>
                <w:b/>
                <w:sz w:val="18"/>
              </w:rPr>
            </w:pPr>
          </w:p>
          <w:p>
            <w:pPr>
              <w:pStyle w:val="TableParagraph"/>
              <w:jc w:val="left"/>
              <w:rPr>
                <w:b/>
                <w:sz w:val="18"/>
              </w:rPr>
            </w:pPr>
          </w:p>
          <w:p>
            <w:pPr>
              <w:pStyle w:val="TableParagraph"/>
              <w:spacing w:before="8"/>
              <w:jc w:val="left"/>
              <w:rPr>
                <w:b/>
                <w:sz w:val="15"/>
              </w:rPr>
            </w:pPr>
          </w:p>
          <w:p>
            <w:pPr>
              <w:pStyle w:val="TableParagraph"/>
              <w:spacing w:before="1"/>
              <w:ind w:left="471"/>
              <w:jc w:val="left"/>
              <w:rPr>
                <w:b/>
                <w:sz w:val="18"/>
              </w:rPr>
            </w:pPr>
            <w:r>
              <w:rPr>
                <w:b/>
                <w:sz w:val="18"/>
              </w:rPr>
              <w:t>2016</w:t>
            </w:r>
          </w:p>
        </w:tc>
        <w:tc>
          <w:tcPr>
            <w:tcW w:w="1112" w:type="dxa"/>
          </w:tcPr>
          <w:p>
            <w:pPr>
              <w:pStyle w:val="TableParagraph"/>
              <w:jc w:val="left"/>
              <w:rPr>
                <w:b/>
                <w:sz w:val="18"/>
              </w:rPr>
            </w:pPr>
          </w:p>
          <w:p>
            <w:pPr>
              <w:pStyle w:val="TableParagraph"/>
              <w:jc w:val="left"/>
              <w:rPr>
                <w:b/>
                <w:sz w:val="18"/>
              </w:rPr>
            </w:pPr>
          </w:p>
          <w:p>
            <w:pPr>
              <w:pStyle w:val="TableParagraph"/>
              <w:spacing w:before="8"/>
              <w:jc w:val="left"/>
              <w:rPr>
                <w:b/>
                <w:sz w:val="15"/>
              </w:rPr>
            </w:pPr>
          </w:p>
          <w:p>
            <w:pPr>
              <w:pStyle w:val="TableParagraph"/>
              <w:spacing w:before="1"/>
              <w:ind w:left="252" w:right="419"/>
              <w:jc w:val="center"/>
              <w:rPr>
                <w:b/>
                <w:sz w:val="18"/>
              </w:rPr>
            </w:pPr>
            <w:r>
              <w:rPr>
                <w:b/>
                <w:sz w:val="18"/>
              </w:rPr>
              <w:t>2015</w:t>
            </w:r>
          </w:p>
        </w:tc>
      </w:tr>
      <w:tr>
        <w:trPr>
          <w:trHeight w:val="313" w:hRule="exact"/>
        </w:trPr>
        <w:tc>
          <w:tcPr>
            <w:tcW w:w="6960" w:type="dxa"/>
          </w:tcPr>
          <w:p>
            <w:pPr/>
          </w:p>
        </w:tc>
        <w:tc>
          <w:tcPr>
            <w:tcW w:w="1482" w:type="dxa"/>
          </w:tcPr>
          <w:p>
            <w:pPr>
              <w:pStyle w:val="TableParagraph"/>
              <w:spacing w:before="24"/>
              <w:ind w:right="136"/>
              <w:jc w:val="center"/>
              <w:rPr>
                <w:b/>
                <w:sz w:val="18"/>
              </w:rPr>
            </w:pPr>
            <w:r>
              <w:rPr>
                <w:b/>
                <w:w w:val="99"/>
                <w:sz w:val="18"/>
              </w:rPr>
              <w:t>$</w:t>
            </w:r>
          </w:p>
        </w:tc>
        <w:tc>
          <w:tcPr>
            <w:tcW w:w="1112" w:type="dxa"/>
          </w:tcPr>
          <w:p>
            <w:pPr>
              <w:pStyle w:val="TableParagraph"/>
              <w:spacing w:before="24"/>
              <w:ind w:right="165"/>
              <w:jc w:val="center"/>
              <w:rPr>
                <w:b/>
                <w:sz w:val="18"/>
              </w:rPr>
            </w:pPr>
            <w:r>
              <w:rPr>
                <w:b/>
                <w:w w:val="99"/>
                <w:sz w:val="18"/>
              </w:rPr>
              <w:t>$</w:t>
            </w:r>
          </w:p>
        </w:tc>
      </w:tr>
      <w:tr>
        <w:trPr>
          <w:trHeight w:val="543" w:hRule="exact"/>
        </w:trPr>
        <w:tc>
          <w:tcPr>
            <w:tcW w:w="6960" w:type="dxa"/>
          </w:tcPr>
          <w:p>
            <w:pPr>
              <w:pStyle w:val="TableParagraph"/>
              <w:spacing w:before="63"/>
              <w:ind w:left="645"/>
              <w:jc w:val="left"/>
              <w:rPr>
                <w:b/>
                <w:sz w:val="18"/>
              </w:rPr>
            </w:pPr>
            <w:r>
              <w:rPr>
                <w:b/>
                <w:sz w:val="18"/>
              </w:rPr>
              <w:t>Capital expenditure commitments contracted for:</w:t>
            </w:r>
          </w:p>
          <w:p>
            <w:pPr>
              <w:pStyle w:val="TableParagraph"/>
              <w:spacing w:before="27"/>
              <w:ind w:left="645"/>
              <w:jc w:val="left"/>
              <w:rPr>
                <w:sz w:val="18"/>
              </w:rPr>
            </w:pPr>
            <w:r>
              <w:rPr>
                <w:sz w:val="18"/>
              </w:rPr>
              <w:t>- no later than 1 year</w:t>
            </w:r>
          </w:p>
        </w:tc>
        <w:tc>
          <w:tcPr>
            <w:tcW w:w="1482" w:type="dxa"/>
          </w:tcPr>
          <w:p>
            <w:pPr>
              <w:pStyle w:val="TableParagraph"/>
              <w:spacing w:before="11"/>
              <w:jc w:val="left"/>
              <w:rPr>
                <w:b/>
                <w:sz w:val="25"/>
              </w:rPr>
            </w:pPr>
          </w:p>
          <w:p>
            <w:pPr>
              <w:pStyle w:val="TableParagraph"/>
              <w:ind w:right="270"/>
              <w:rPr>
                <w:b/>
                <w:sz w:val="18"/>
              </w:rPr>
            </w:pPr>
            <w:r>
              <w:rPr>
                <w:b/>
                <w:w w:val="95"/>
                <w:sz w:val="18"/>
              </w:rPr>
              <w:t>101,408</w:t>
            </w:r>
          </w:p>
        </w:tc>
        <w:tc>
          <w:tcPr>
            <w:tcW w:w="1112" w:type="dxa"/>
          </w:tcPr>
          <w:p>
            <w:pPr>
              <w:pStyle w:val="TableParagraph"/>
              <w:spacing w:before="11"/>
              <w:jc w:val="left"/>
              <w:rPr>
                <w:b/>
                <w:sz w:val="25"/>
              </w:rPr>
            </w:pPr>
          </w:p>
          <w:p>
            <w:pPr>
              <w:pStyle w:val="TableParagraph"/>
              <w:ind w:right="167"/>
              <w:jc w:val="center"/>
              <w:rPr>
                <w:sz w:val="18"/>
              </w:rPr>
            </w:pPr>
            <w:r>
              <w:rPr>
                <w:w w:val="99"/>
                <w:sz w:val="18"/>
              </w:rPr>
              <w:t>-</w:t>
            </w:r>
          </w:p>
        </w:tc>
      </w:tr>
      <w:tr>
        <w:trPr>
          <w:trHeight w:val="264" w:hRule="exact"/>
        </w:trPr>
        <w:tc>
          <w:tcPr>
            <w:tcW w:w="6960" w:type="dxa"/>
          </w:tcPr>
          <w:p>
            <w:pPr>
              <w:pStyle w:val="TableParagraph"/>
              <w:spacing w:before="18"/>
              <w:ind w:left="645"/>
              <w:jc w:val="left"/>
              <w:rPr>
                <w:sz w:val="18"/>
              </w:rPr>
            </w:pPr>
            <w:r>
              <w:rPr>
                <w:sz w:val="18"/>
              </w:rPr>
              <w:t>- between 1 year and 5 years</w:t>
            </w:r>
          </w:p>
        </w:tc>
        <w:tc>
          <w:tcPr>
            <w:tcW w:w="1482" w:type="dxa"/>
          </w:tcPr>
          <w:p>
            <w:pPr>
              <w:pStyle w:val="TableParagraph"/>
              <w:spacing w:before="19"/>
              <w:ind w:right="138"/>
              <w:jc w:val="center"/>
              <w:rPr>
                <w:b/>
                <w:sz w:val="18"/>
              </w:rPr>
            </w:pPr>
            <w:r>
              <w:rPr>
                <w:b/>
                <w:w w:val="99"/>
                <w:sz w:val="18"/>
              </w:rPr>
              <w:t>-</w:t>
            </w:r>
          </w:p>
        </w:tc>
        <w:tc>
          <w:tcPr>
            <w:tcW w:w="1112" w:type="dxa"/>
          </w:tcPr>
          <w:p>
            <w:pPr>
              <w:pStyle w:val="TableParagraph"/>
              <w:spacing w:before="19"/>
              <w:ind w:right="167"/>
              <w:jc w:val="center"/>
              <w:rPr>
                <w:sz w:val="18"/>
              </w:rPr>
            </w:pPr>
            <w:r>
              <w:rPr>
                <w:w w:val="99"/>
                <w:sz w:val="18"/>
              </w:rPr>
              <w:t>-</w:t>
            </w:r>
          </w:p>
        </w:tc>
      </w:tr>
      <w:tr>
        <w:trPr>
          <w:trHeight w:val="263" w:hRule="exact"/>
        </w:trPr>
        <w:tc>
          <w:tcPr>
            <w:tcW w:w="6960" w:type="dxa"/>
          </w:tcPr>
          <w:p>
            <w:pPr>
              <w:pStyle w:val="TableParagraph"/>
              <w:spacing w:before="18"/>
              <w:ind w:left="645"/>
              <w:jc w:val="left"/>
              <w:rPr>
                <w:sz w:val="18"/>
              </w:rPr>
            </w:pPr>
            <w:r>
              <w:rPr>
                <w:sz w:val="18"/>
              </w:rPr>
              <w:t>- greater than 5 years</w:t>
            </w:r>
          </w:p>
        </w:tc>
        <w:tc>
          <w:tcPr>
            <w:tcW w:w="1482" w:type="dxa"/>
            <w:tcBorders>
              <w:bottom w:val="single" w:sz="0" w:space="0" w:color="000000"/>
            </w:tcBorders>
          </w:tcPr>
          <w:p>
            <w:pPr>
              <w:pStyle w:val="TableParagraph"/>
              <w:spacing w:before="19"/>
              <w:ind w:right="138"/>
              <w:jc w:val="center"/>
              <w:rPr>
                <w:b/>
                <w:sz w:val="18"/>
              </w:rPr>
            </w:pPr>
            <w:r>
              <w:rPr>
                <w:b/>
                <w:w w:val="99"/>
                <w:sz w:val="18"/>
              </w:rPr>
              <w:t>-</w:t>
            </w:r>
          </w:p>
        </w:tc>
        <w:tc>
          <w:tcPr>
            <w:tcW w:w="1112" w:type="dxa"/>
            <w:tcBorders>
              <w:bottom w:val="single" w:sz="0" w:space="0" w:color="000000"/>
            </w:tcBorders>
          </w:tcPr>
          <w:p>
            <w:pPr>
              <w:pStyle w:val="TableParagraph"/>
              <w:spacing w:before="19"/>
              <w:ind w:right="167"/>
              <w:jc w:val="center"/>
              <w:rPr>
                <w:sz w:val="18"/>
              </w:rPr>
            </w:pPr>
            <w:r>
              <w:rPr>
                <w:w w:val="99"/>
                <w:sz w:val="18"/>
              </w:rPr>
              <w:t>-</w:t>
            </w:r>
          </w:p>
        </w:tc>
      </w:tr>
      <w:tr>
        <w:trPr>
          <w:trHeight w:val="353" w:hRule="exact"/>
        </w:trPr>
        <w:tc>
          <w:tcPr>
            <w:tcW w:w="6960" w:type="dxa"/>
          </w:tcPr>
          <w:p>
            <w:pPr/>
          </w:p>
        </w:tc>
        <w:tc>
          <w:tcPr>
            <w:tcW w:w="1482" w:type="dxa"/>
            <w:tcBorders>
              <w:top w:val="single" w:sz="0" w:space="0" w:color="000000"/>
              <w:bottom w:val="single" w:sz="0" w:space="0" w:color="000000"/>
            </w:tcBorders>
          </w:tcPr>
          <w:p>
            <w:pPr>
              <w:pStyle w:val="TableParagraph"/>
              <w:spacing w:before="122"/>
              <w:ind w:right="270"/>
              <w:rPr>
                <w:b/>
                <w:sz w:val="18"/>
              </w:rPr>
            </w:pPr>
            <w:r>
              <w:rPr>
                <w:b/>
                <w:w w:val="95"/>
                <w:sz w:val="18"/>
              </w:rPr>
              <w:t>101,408</w:t>
            </w:r>
          </w:p>
        </w:tc>
        <w:tc>
          <w:tcPr>
            <w:tcW w:w="1112" w:type="dxa"/>
            <w:tcBorders>
              <w:top w:val="single" w:sz="0" w:space="0" w:color="000000"/>
              <w:bottom w:val="single" w:sz="0" w:space="0" w:color="000000"/>
            </w:tcBorders>
          </w:tcPr>
          <w:p>
            <w:pPr>
              <w:pStyle w:val="TableParagraph"/>
              <w:spacing w:before="122"/>
              <w:ind w:right="167"/>
              <w:jc w:val="center"/>
              <w:rPr>
                <w:sz w:val="18"/>
              </w:rPr>
            </w:pPr>
            <w:r>
              <w:rPr>
                <w:w w:val="99"/>
                <w:sz w:val="18"/>
              </w:rPr>
              <w:t>-</w:t>
            </w:r>
          </w:p>
        </w:tc>
      </w:tr>
    </w:tbl>
    <w:p>
      <w:pPr>
        <w:spacing w:after="0"/>
        <w:jc w:val="center"/>
        <w:rPr>
          <w:sz w:val="18"/>
        </w:rPr>
        <w:sectPr>
          <w:pgSz w:w="12750" w:h="17680"/>
          <w:pgMar w:header="0" w:footer="867" w:top="2860" w:bottom="1120" w:left="0" w:right="0"/>
        </w:sectPr>
      </w:pPr>
    </w:p>
    <w:p>
      <w:pPr>
        <w:pStyle w:val="BodyText"/>
        <w:rPr>
          <w:b/>
          <w:sz w:val="20"/>
        </w:rPr>
      </w:pPr>
    </w:p>
    <w:p>
      <w:pPr>
        <w:pStyle w:val="BodyText"/>
        <w:rPr>
          <w:b/>
          <w:sz w:val="20"/>
        </w:rPr>
      </w:pPr>
    </w:p>
    <w:p>
      <w:pPr>
        <w:pStyle w:val="BodyText"/>
        <w:spacing w:before="4"/>
        <w:rPr>
          <w:b/>
        </w:rPr>
      </w:pPr>
    </w:p>
    <w:p>
      <w:pPr>
        <w:pStyle w:val="ListParagraph"/>
        <w:numPr>
          <w:ilvl w:val="0"/>
          <w:numId w:val="50"/>
        </w:numPr>
        <w:tabs>
          <w:tab w:pos="1826" w:val="left" w:leader="none"/>
        </w:tabs>
        <w:spacing w:line="240" w:lineRule="auto" w:before="0" w:after="0"/>
        <w:ind w:left="1825" w:right="0" w:hanging="396"/>
        <w:jc w:val="left"/>
        <w:rPr>
          <w:b/>
          <w:sz w:val="18"/>
        </w:rPr>
      </w:pPr>
      <w:bookmarkStart w:name="13 Financial Risk Management" w:id="232"/>
      <w:bookmarkEnd w:id="232"/>
      <w:r>
        <w:rPr/>
      </w:r>
      <w:bookmarkStart w:name="13 Financial Risk Management" w:id="233"/>
      <w:bookmarkEnd w:id="233"/>
      <w:r>
        <w:rPr>
          <w:b/>
          <w:sz w:val="18"/>
        </w:rPr>
        <w:t>Financial</w:t>
      </w:r>
      <w:r>
        <w:rPr>
          <w:b/>
          <w:sz w:val="18"/>
        </w:rPr>
        <w:t> Risk Management</w:t>
      </w:r>
    </w:p>
    <w:p>
      <w:pPr>
        <w:pStyle w:val="BodyText"/>
        <w:spacing w:before="11"/>
        <w:rPr>
          <w:b/>
          <w:sz w:val="24"/>
        </w:rPr>
      </w:pPr>
    </w:p>
    <w:p>
      <w:pPr>
        <w:pStyle w:val="BodyText"/>
        <w:ind w:left="1825" w:right="1375"/>
      </w:pPr>
      <w:r>
        <w:rPr/>
        <w:t>The main risks the Company is exposed to through its financial instruments are credit risk, liquidity risk and market risk consisting of interest rate risk.</w:t>
      </w:r>
    </w:p>
    <w:p>
      <w:pPr>
        <w:pStyle w:val="BodyText"/>
        <w:spacing w:before="11"/>
        <w:rPr>
          <w:sz w:val="24"/>
        </w:rPr>
      </w:pPr>
    </w:p>
    <w:p>
      <w:pPr>
        <w:pStyle w:val="BodyText"/>
        <w:ind w:left="1825"/>
      </w:pPr>
      <w:r>
        <w:rPr/>
        <w:t>The Company's financial instruments consist mainly of deposits with banks and local money market instruments.</w:t>
      </w:r>
    </w:p>
    <w:p>
      <w:pPr>
        <w:pStyle w:val="BodyText"/>
        <w:spacing w:before="11"/>
        <w:rPr>
          <w:sz w:val="24"/>
        </w:rPr>
      </w:pPr>
    </w:p>
    <w:p>
      <w:pPr>
        <w:pStyle w:val="BodyText"/>
        <w:ind w:left="1825" w:right="1375"/>
      </w:pPr>
      <w:r>
        <w:rPr/>
        <w:t>The totals for each category of financial instruments, measured in accordance with AASB 139 as detailed in the accounting policies to these financial statements, are as follows:</w:t>
      </w:r>
    </w:p>
    <w:p>
      <w:pPr>
        <w:pStyle w:val="BodyText"/>
      </w:pPr>
    </w:p>
    <w:p>
      <w:pPr>
        <w:pStyle w:val="BodyText"/>
      </w:pPr>
    </w:p>
    <w:p>
      <w:pPr>
        <w:pStyle w:val="Heading8"/>
        <w:spacing w:before="113"/>
        <w:ind w:left="7893" w:right="4096" w:hanging="69"/>
      </w:pPr>
      <w:r>
        <w:rPr/>
        <w:t>Weighted average</w:t>
      </w:r>
    </w:p>
    <w:p>
      <w:pPr>
        <w:tabs>
          <w:tab w:pos="9727" w:val="left" w:leader="none"/>
        </w:tabs>
        <w:spacing w:line="206" w:lineRule="exact" w:before="0"/>
        <w:ind w:left="7717" w:right="0" w:firstLine="0"/>
        <w:jc w:val="left"/>
        <w:rPr>
          <w:b/>
          <w:sz w:val="18"/>
        </w:rPr>
      </w:pPr>
      <w:r>
        <w:rPr>
          <w:b/>
          <w:sz w:val="18"/>
        </w:rPr>
        <w:t>interest</w:t>
      </w:r>
      <w:r>
        <w:rPr>
          <w:b/>
          <w:spacing w:val="-5"/>
          <w:sz w:val="18"/>
        </w:rPr>
        <w:t> </w:t>
      </w:r>
      <w:r>
        <w:rPr>
          <w:b/>
          <w:sz w:val="18"/>
        </w:rPr>
        <w:t>rate</w:t>
        <w:tab/>
        <w:t>Balance</w:t>
      </w:r>
    </w:p>
    <w:p>
      <w:pPr>
        <w:pStyle w:val="BodyText"/>
        <w:spacing w:before="10"/>
        <w:rPr>
          <w:b/>
          <w:sz w:val="22"/>
        </w:rPr>
      </w:pPr>
    </w:p>
    <w:p>
      <w:pPr>
        <w:spacing w:after="0"/>
        <w:rPr>
          <w:sz w:val="22"/>
        </w:rPr>
        <w:sectPr>
          <w:pgSz w:w="12750" w:h="17680"/>
          <w:pgMar w:header="0" w:footer="867" w:top="2860" w:bottom="1120" w:left="0" w:right="0"/>
        </w:sectPr>
      </w:pPr>
    </w:p>
    <w:p>
      <w:pPr>
        <w:spacing w:before="77"/>
        <w:ind w:left="0" w:right="0" w:firstLine="0"/>
        <w:jc w:val="right"/>
        <w:rPr>
          <w:b/>
          <w:sz w:val="18"/>
        </w:rPr>
      </w:pPr>
      <w:r>
        <w:rPr>
          <w:b/>
          <w:sz w:val="18"/>
        </w:rPr>
        <w:t>2016</w:t>
      </w:r>
    </w:p>
    <w:p>
      <w:pPr>
        <w:spacing w:before="66"/>
        <w:ind w:left="0" w:right="116" w:firstLine="0"/>
        <w:jc w:val="right"/>
        <w:rPr>
          <w:b/>
          <w:sz w:val="18"/>
        </w:rPr>
      </w:pPr>
      <w:r>
        <w:rPr/>
        <w:drawing>
          <wp:anchor distT="0" distB="0" distL="0" distR="0" allowOverlap="1" layoutInCell="1" locked="0" behindDoc="0" simplePos="0" relativeHeight="8488">
            <wp:simplePos x="0" y="0"/>
            <wp:positionH relativeFrom="page">
              <wp:posOffset>-1587</wp:posOffset>
            </wp:positionH>
            <wp:positionV relativeFrom="paragraph">
              <wp:posOffset>876984</wp:posOffset>
            </wp:positionV>
            <wp:extent cx="135159" cy="154019"/>
            <wp:effectExtent l="0" t="0" r="0" b="0"/>
            <wp:wrapNone/>
            <wp:docPr id="573" name="image13.png" descr=""/>
            <wp:cNvGraphicFramePr>
              <a:graphicFrameLocks noChangeAspect="1"/>
            </wp:cNvGraphicFramePr>
            <a:graphic>
              <a:graphicData uri="http://schemas.openxmlformats.org/drawingml/2006/picture">
                <pic:pic>
                  <pic:nvPicPr>
                    <pic:cNvPr id="574" name="image13.png"/>
                    <pic:cNvPicPr/>
                  </pic:nvPicPr>
                  <pic:blipFill>
                    <a:blip r:embed="rId18" cstate="print"/>
                    <a:stretch>
                      <a:fillRect/>
                    </a:stretch>
                  </pic:blipFill>
                  <pic:spPr>
                    <a:xfrm>
                      <a:off x="0" y="0"/>
                      <a:ext cx="135159" cy="154019"/>
                    </a:xfrm>
                    <a:prstGeom prst="rect">
                      <a:avLst/>
                    </a:prstGeom>
                  </pic:spPr>
                </pic:pic>
              </a:graphicData>
            </a:graphic>
          </wp:anchor>
        </w:drawing>
      </w:r>
      <w:r>
        <w:rPr>
          <w:b/>
          <w:w w:val="99"/>
          <w:sz w:val="18"/>
        </w:rPr>
        <w:t>%</w:t>
      </w:r>
    </w:p>
    <w:p>
      <w:pPr>
        <w:spacing w:before="77"/>
        <w:ind w:left="88" w:right="0" w:firstLine="0"/>
        <w:jc w:val="center"/>
        <w:rPr>
          <w:b/>
          <w:sz w:val="18"/>
        </w:rPr>
      </w:pPr>
      <w:r>
        <w:rPr/>
        <w:br w:type="column"/>
      </w:r>
      <w:r>
        <w:rPr>
          <w:b/>
          <w:spacing w:val="-1"/>
          <w:sz w:val="18"/>
        </w:rPr>
        <w:t>2015</w:t>
      </w:r>
    </w:p>
    <w:p>
      <w:pPr>
        <w:spacing w:before="66"/>
        <w:ind w:left="90" w:right="0" w:firstLine="0"/>
        <w:jc w:val="center"/>
        <w:rPr>
          <w:b/>
          <w:sz w:val="18"/>
        </w:rPr>
      </w:pPr>
      <w:r>
        <w:rPr>
          <w:b/>
          <w:w w:val="99"/>
          <w:sz w:val="18"/>
        </w:rPr>
        <w:t>%</w:t>
      </w:r>
    </w:p>
    <w:p>
      <w:pPr>
        <w:spacing w:before="77"/>
        <w:ind w:left="491" w:right="0" w:firstLine="0"/>
        <w:jc w:val="center"/>
        <w:rPr>
          <w:b/>
          <w:sz w:val="18"/>
        </w:rPr>
      </w:pPr>
      <w:r>
        <w:rPr/>
        <w:br w:type="column"/>
      </w:r>
      <w:r>
        <w:rPr>
          <w:b/>
          <w:spacing w:val="-1"/>
          <w:sz w:val="18"/>
        </w:rPr>
        <w:t>2016</w:t>
      </w:r>
    </w:p>
    <w:p>
      <w:pPr>
        <w:spacing w:before="66"/>
        <w:ind w:left="0" w:right="146" w:firstLine="0"/>
        <w:jc w:val="right"/>
        <w:rPr>
          <w:b/>
          <w:sz w:val="18"/>
        </w:rPr>
      </w:pPr>
      <w:r>
        <w:rPr>
          <w:b/>
          <w:w w:val="99"/>
          <w:sz w:val="18"/>
        </w:rPr>
        <w:t>$</w:t>
      </w:r>
    </w:p>
    <w:p>
      <w:pPr>
        <w:spacing w:before="77"/>
        <w:ind w:left="827" w:right="1820" w:firstLine="0"/>
        <w:jc w:val="center"/>
        <w:rPr>
          <w:b/>
          <w:sz w:val="18"/>
        </w:rPr>
      </w:pPr>
      <w:r>
        <w:rPr/>
        <w:br w:type="column"/>
      </w:r>
      <w:r>
        <w:rPr>
          <w:b/>
          <w:sz w:val="18"/>
        </w:rPr>
        <w:t>2015</w:t>
      </w:r>
    </w:p>
    <w:p>
      <w:pPr>
        <w:spacing w:before="66"/>
        <w:ind w:left="0" w:right="992" w:firstLine="0"/>
        <w:jc w:val="center"/>
        <w:rPr>
          <w:b/>
          <w:sz w:val="18"/>
        </w:rPr>
      </w:pPr>
      <w:r>
        <w:rPr/>
        <w:drawing>
          <wp:anchor distT="0" distB="0" distL="0" distR="0" allowOverlap="1" layoutInCell="1" locked="0" behindDoc="0" simplePos="0" relativeHeight="8512">
            <wp:simplePos x="0" y="0"/>
            <wp:positionH relativeFrom="page">
              <wp:posOffset>7958429</wp:posOffset>
            </wp:positionH>
            <wp:positionV relativeFrom="paragraph">
              <wp:posOffset>876984</wp:posOffset>
            </wp:positionV>
            <wp:extent cx="135953" cy="155575"/>
            <wp:effectExtent l="0" t="0" r="0" b="0"/>
            <wp:wrapNone/>
            <wp:docPr id="575" name="image15.png" descr=""/>
            <wp:cNvGraphicFramePr>
              <a:graphicFrameLocks noChangeAspect="1"/>
            </wp:cNvGraphicFramePr>
            <a:graphic>
              <a:graphicData uri="http://schemas.openxmlformats.org/drawingml/2006/picture">
                <pic:pic>
                  <pic:nvPicPr>
                    <pic:cNvPr id="576" name="image15.png"/>
                    <pic:cNvPicPr/>
                  </pic:nvPicPr>
                  <pic:blipFill>
                    <a:blip r:embed="rId20" cstate="print"/>
                    <a:stretch>
                      <a:fillRect/>
                    </a:stretch>
                  </pic:blipFill>
                  <pic:spPr>
                    <a:xfrm>
                      <a:off x="0" y="0"/>
                      <a:ext cx="135953" cy="155575"/>
                    </a:xfrm>
                    <a:prstGeom prst="rect">
                      <a:avLst/>
                    </a:prstGeom>
                  </pic:spPr>
                </pic:pic>
              </a:graphicData>
            </a:graphic>
          </wp:anchor>
        </w:drawing>
      </w:r>
      <w:r>
        <w:rPr>
          <w:b/>
          <w:w w:val="99"/>
          <w:sz w:val="18"/>
        </w:rPr>
        <w:t>$</w:t>
      </w:r>
    </w:p>
    <w:p>
      <w:pPr>
        <w:spacing w:after="0"/>
        <w:jc w:val="center"/>
        <w:rPr>
          <w:sz w:val="18"/>
        </w:rPr>
        <w:sectPr>
          <w:type w:val="continuous"/>
          <w:pgSz w:w="12750" w:h="17680"/>
          <w:pgMar w:top="1660" w:bottom="0" w:left="0" w:right="0"/>
          <w:cols w:num="4" w:equalWidth="0">
            <w:col w:w="8165" w:space="40"/>
            <w:col w:w="487" w:space="40"/>
            <w:col w:w="890" w:space="40"/>
            <w:col w:w="3088"/>
          </w:cols>
        </w:sectPr>
      </w:pPr>
    </w:p>
    <w:p>
      <w:pPr>
        <w:pStyle w:val="BodyText"/>
        <w:spacing w:before="11"/>
        <w:rPr>
          <w:b/>
          <w:sz w:val="5"/>
        </w:rPr>
      </w:pPr>
    </w:p>
    <w:tbl>
      <w:tblPr>
        <w:tblW w:w="0" w:type="auto"/>
        <w:jc w:val="left"/>
        <w:tblInd w:w="179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01"/>
        <w:gridCol w:w="4020"/>
        <w:gridCol w:w="1825"/>
        <w:gridCol w:w="516"/>
        <w:gridCol w:w="1472"/>
        <w:gridCol w:w="1122"/>
      </w:tblGrid>
      <w:tr>
        <w:trPr>
          <w:trHeight w:val="566" w:hRule="exact"/>
        </w:trPr>
        <w:tc>
          <w:tcPr>
            <w:tcW w:w="601" w:type="dxa"/>
            <w:vMerge w:val="restart"/>
          </w:tcPr>
          <w:p>
            <w:pPr/>
          </w:p>
        </w:tc>
        <w:tc>
          <w:tcPr>
            <w:tcW w:w="4020" w:type="dxa"/>
          </w:tcPr>
          <w:p>
            <w:pPr>
              <w:pStyle w:val="TableParagraph"/>
              <w:spacing w:before="77"/>
              <w:ind w:left="46"/>
              <w:jc w:val="left"/>
              <w:rPr>
                <w:b/>
                <w:sz w:val="18"/>
              </w:rPr>
            </w:pPr>
            <w:r>
              <w:rPr>
                <w:b/>
                <w:sz w:val="18"/>
              </w:rPr>
              <w:t>Financial Assets</w:t>
            </w:r>
          </w:p>
          <w:p>
            <w:pPr>
              <w:pStyle w:val="TableParagraph"/>
              <w:spacing w:before="27"/>
              <w:ind w:left="46"/>
              <w:jc w:val="left"/>
              <w:rPr>
                <w:sz w:val="18"/>
              </w:rPr>
            </w:pPr>
            <w:r>
              <w:rPr>
                <w:sz w:val="18"/>
              </w:rPr>
              <w:t>Cash and cash equivalents</w:t>
            </w:r>
          </w:p>
        </w:tc>
        <w:tc>
          <w:tcPr>
            <w:tcW w:w="1825" w:type="dxa"/>
          </w:tcPr>
          <w:p>
            <w:pPr>
              <w:pStyle w:val="TableParagraph"/>
              <w:jc w:val="left"/>
              <w:rPr>
                <w:b/>
                <w:sz w:val="18"/>
              </w:rPr>
            </w:pPr>
          </w:p>
          <w:p>
            <w:pPr>
              <w:pStyle w:val="TableParagraph"/>
              <w:spacing w:before="105"/>
              <w:ind w:right="75"/>
              <w:rPr>
                <w:b/>
                <w:sz w:val="18"/>
              </w:rPr>
            </w:pPr>
            <w:r>
              <w:rPr>
                <w:b/>
                <w:sz w:val="18"/>
              </w:rPr>
              <w:t>1.73</w:t>
            </w:r>
          </w:p>
        </w:tc>
        <w:tc>
          <w:tcPr>
            <w:tcW w:w="516" w:type="dxa"/>
          </w:tcPr>
          <w:p>
            <w:pPr>
              <w:pStyle w:val="TableParagraph"/>
              <w:jc w:val="left"/>
              <w:rPr>
                <w:b/>
                <w:sz w:val="18"/>
              </w:rPr>
            </w:pPr>
          </w:p>
          <w:p>
            <w:pPr>
              <w:pStyle w:val="TableParagraph"/>
              <w:spacing w:before="105"/>
              <w:ind w:left="58" w:right="68"/>
              <w:jc w:val="center"/>
              <w:rPr>
                <w:sz w:val="18"/>
              </w:rPr>
            </w:pPr>
            <w:r>
              <w:rPr>
                <w:sz w:val="18"/>
              </w:rPr>
              <w:t>2.09</w:t>
            </w:r>
          </w:p>
        </w:tc>
        <w:tc>
          <w:tcPr>
            <w:tcW w:w="1472" w:type="dxa"/>
          </w:tcPr>
          <w:p>
            <w:pPr>
              <w:pStyle w:val="TableParagraph"/>
              <w:jc w:val="left"/>
              <w:rPr>
                <w:b/>
                <w:sz w:val="18"/>
              </w:rPr>
            </w:pPr>
          </w:p>
          <w:p>
            <w:pPr>
              <w:pStyle w:val="TableParagraph"/>
              <w:spacing w:before="105"/>
              <w:ind w:right="233"/>
              <w:rPr>
                <w:b/>
                <w:sz w:val="18"/>
              </w:rPr>
            </w:pPr>
            <w:r>
              <w:rPr>
                <w:b/>
                <w:w w:val="95"/>
                <w:sz w:val="18"/>
              </w:rPr>
              <w:t>1,109,058</w:t>
            </w:r>
          </w:p>
        </w:tc>
        <w:tc>
          <w:tcPr>
            <w:tcW w:w="1122" w:type="dxa"/>
          </w:tcPr>
          <w:p>
            <w:pPr>
              <w:pStyle w:val="TableParagraph"/>
              <w:jc w:val="left"/>
              <w:rPr>
                <w:b/>
                <w:sz w:val="18"/>
              </w:rPr>
            </w:pPr>
          </w:p>
          <w:p>
            <w:pPr>
              <w:pStyle w:val="TableParagraph"/>
              <w:spacing w:before="105"/>
              <w:ind w:right="86"/>
              <w:rPr>
                <w:sz w:val="18"/>
              </w:rPr>
            </w:pPr>
            <w:r>
              <w:rPr>
                <w:w w:val="95"/>
                <w:sz w:val="18"/>
              </w:rPr>
              <w:t>696,371</w:t>
            </w:r>
          </w:p>
        </w:tc>
      </w:tr>
      <w:tr>
        <w:trPr>
          <w:trHeight w:val="274" w:hRule="exact"/>
        </w:trPr>
        <w:tc>
          <w:tcPr>
            <w:tcW w:w="601" w:type="dxa"/>
            <w:vMerge/>
          </w:tcPr>
          <w:p>
            <w:pPr/>
          </w:p>
        </w:tc>
        <w:tc>
          <w:tcPr>
            <w:tcW w:w="4020" w:type="dxa"/>
          </w:tcPr>
          <w:p>
            <w:pPr>
              <w:pStyle w:val="TableParagraph"/>
              <w:spacing w:before="28"/>
              <w:ind w:left="46"/>
              <w:jc w:val="left"/>
              <w:rPr>
                <w:sz w:val="18"/>
              </w:rPr>
            </w:pPr>
            <w:r>
              <w:rPr>
                <w:sz w:val="18"/>
              </w:rPr>
              <w:t>Loans to parent entity</w:t>
            </w:r>
          </w:p>
        </w:tc>
        <w:tc>
          <w:tcPr>
            <w:tcW w:w="1825" w:type="dxa"/>
          </w:tcPr>
          <w:p>
            <w:pPr>
              <w:pStyle w:val="TableParagraph"/>
              <w:spacing w:before="29"/>
              <w:ind w:right="75"/>
              <w:rPr>
                <w:b/>
                <w:sz w:val="18"/>
              </w:rPr>
            </w:pPr>
            <w:r>
              <w:rPr>
                <w:b/>
                <w:sz w:val="18"/>
              </w:rPr>
              <w:t>2.40</w:t>
            </w:r>
          </w:p>
        </w:tc>
        <w:tc>
          <w:tcPr>
            <w:tcW w:w="516" w:type="dxa"/>
          </w:tcPr>
          <w:p>
            <w:pPr>
              <w:pStyle w:val="TableParagraph"/>
              <w:spacing w:before="29"/>
              <w:ind w:left="58" w:right="68"/>
              <w:jc w:val="center"/>
              <w:rPr>
                <w:sz w:val="18"/>
              </w:rPr>
            </w:pPr>
            <w:r>
              <w:rPr>
                <w:sz w:val="18"/>
              </w:rPr>
              <w:t>2.47</w:t>
            </w:r>
          </w:p>
        </w:tc>
        <w:tc>
          <w:tcPr>
            <w:tcW w:w="1472" w:type="dxa"/>
          </w:tcPr>
          <w:p>
            <w:pPr>
              <w:pStyle w:val="TableParagraph"/>
              <w:spacing w:before="29"/>
              <w:ind w:right="233"/>
              <w:rPr>
                <w:b/>
                <w:sz w:val="18"/>
              </w:rPr>
            </w:pPr>
            <w:r>
              <w:rPr>
                <w:b/>
                <w:w w:val="95"/>
                <w:sz w:val="18"/>
              </w:rPr>
              <w:t>5,651,726</w:t>
            </w:r>
          </w:p>
        </w:tc>
        <w:tc>
          <w:tcPr>
            <w:tcW w:w="1122" w:type="dxa"/>
          </w:tcPr>
          <w:p>
            <w:pPr>
              <w:pStyle w:val="TableParagraph"/>
              <w:spacing w:before="29"/>
              <w:ind w:right="86"/>
              <w:rPr>
                <w:sz w:val="18"/>
              </w:rPr>
            </w:pPr>
            <w:r>
              <w:rPr>
                <w:w w:val="95"/>
                <w:sz w:val="18"/>
              </w:rPr>
              <w:t>6,560,759</w:t>
            </w:r>
          </w:p>
        </w:tc>
      </w:tr>
      <w:tr>
        <w:trPr>
          <w:trHeight w:val="264" w:hRule="exact"/>
        </w:trPr>
        <w:tc>
          <w:tcPr>
            <w:tcW w:w="601" w:type="dxa"/>
            <w:vMerge/>
          </w:tcPr>
          <w:p>
            <w:pPr/>
          </w:p>
        </w:tc>
        <w:tc>
          <w:tcPr>
            <w:tcW w:w="4020" w:type="dxa"/>
          </w:tcPr>
          <w:p>
            <w:pPr>
              <w:pStyle w:val="TableParagraph"/>
              <w:spacing w:before="18"/>
              <w:ind w:left="46"/>
              <w:jc w:val="left"/>
              <w:rPr>
                <w:sz w:val="18"/>
              </w:rPr>
            </w:pPr>
            <w:r>
              <w:rPr>
                <w:sz w:val="18"/>
              </w:rPr>
              <w:t>Trade and other receivables (1)</w:t>
            </w:r>
          </w:p>
        </w:tc>
        <w:tc>
          <w:tcPr>
            <w:tcW w:w="1825" w:type="dxa"/>
          </w:tcPr>
          <w:p>
            <w:pPr/>
          </w:p>
        </w:tc>
        <w:tc>
          <w:tcPr>
            <w:tcW w:w="516" w:type="dxa"/>
          </w:tcPr>
          <w:p>
            <w:pPr/>
          </w:p>
        </w:tc>
        <w:tc>
          <w:tcPr>
            <w:tcW w:w="1472" w:type="dxa"/>
          </w:tcPr>
          <w:p>
            <w:pPr>
              <w:pStyle w:val="TableParagraph"/>
              <w:spacing w:before="19"/>
              <w:ind w:right="233"/>
              <w:rPr>
                <w:b/>
                <w:sz w:val="18"/>
              </w:rPr>
            </w:pPr>
            <w:r>
              <w:rPr>
                <w:b/>
                <w:w w:val="95"/>
                <w:sz w:val="18"/>
              </w:rPr>
              <w:t>401,737</w:t>
            </w:r>
          </w:p>
        </w:tc>
        <w:tc>
          <w:tcPr>
            <w:tcW w:w="1122" w:type="dxa"/>
          </w:tcPr>
          <w:p>
            <w:pPr>
              <w:pStyle w:val="TableParagraph"/>
              <w:spacing w:before="19"/>
              <w:ind w:right="86"/>
              <w:rPr>
                <w:sz w:val="18"/>
              </w:rPr>
            </w:pPr>
            <w:r>
              <w:rPr>
                <w:w w:val="95"/>
                <w:sz w:val="18"/>
              </w:rPr>
              <w:t>362,142</w:t>
            </w:r>
          </w:p>
        </w:tc>
      </w:tr>
      <w:tr>
        <w:trPr>
          <w:trHeight w:val="264" w:hRule="exact"/>
        </w:trPr>
        <w:tc>
          <w:tcPr>
            <w:tcW w:w="601" w:type="dxa"/>
            <w:vMerge/>
          </w:tcPr>
          <w:p>
            <w:pPr/>
          </w:p>
        </w:tc>
        <w:tc>
          <w:tcPr>
            <w:tcW w:w="4020" w:type="dxa"/>
          </w:tcPr>
          <w:p>
            <w:pPr>
              <w:pStyle w:val="TableParagraph"/>
              <w:spacing w:before="18"/>
              <w:ind w:left="46"/>
              <w:jc w:val="left"/>
              <w:rPr>
                <w:sz w:val="18"/>
              </w:rPr>
            </w:pPr>
            <w:r>
              <w:rPr>
                <w:sz w:val="18"/>
              </w:rPr>
              <w:t>Receivables from related parties</w:t>
            </w:r>
          </w:p>
        </w:tc>
        <w:tc>
          <w:tcPr>
            <w:tcW w:w="1825" w:type="dxa"/>
          </w:tcPr>
          <w:p>
            <w:pPr/>
          </w:p>
        </w:tc>
        <w:tc>
          <w:tcPr>
            <w:tcW w:w="516" w:type="dxa"/>
          </w:tcPr>
          <w:p>
            <w:pPr/>
          </w:p>
        </w:tc>
        <w:tc>
          <w:tcPr>
            <w:tcW w:w="1472" w:type="dxa"/>
          </w:tcPr>
          <w:p>
            <w:pPr>
              <w:pStyle w:val="TableParagraph"/>
              <w:spacing w:before="19"/>
              <w:ind w:right="233"/>
              <w:rPr>
                <w:b/>
                <w:sz w:val="18"/>
              </w:rPr>
            </w:pPr>
            <w:r>
              <w:rPr>
                <w:b/>
                <w:w w:val="95"/>
                <w:sz w:val="18"/>
              </w:rPr>
              <w:t>585,588</w:t>
            </w:r>
          </w:p>
        </w:tc>
        <w:tc>
          <w:tcPr>
            <w:tcW w:w="1122" w:type="dxa"/>
          </w:tcPr>
          <w:p>
            <w:pPr>
              <w:pStyle w:val="TableParagraph"/>
              <w:spacing w:before="19"/>
              <w:ind w:right="86"/>
              <w:rPr>
                <w:sz w:val="18"/>
              </w:rPr>
            </w:pPr>
            <w:r>
              <w:rPr>
                <w:w w:val="95"/>
                <w:sz w:val="18"/>
              </w:rPr>
              <w:t>86,250</w:t>
            </w:r>
          </w:p>
        </w:tc>
      </w:tr>
      <w:tr>
        <w:trPr>
          <w:trHeight w:val="263" w:hRule="exact"/>
        </w:trPr>
        <w:tc>
          <w:tcPr>
            <w:tcW w:w="601" w:type="dxa"/>
            <w:vMerge/>
          </w:tcPr>
          <w:p>
            <w:pPr/>
          </w:p>
        </w:tc>
        <w:tc>
          <w:tcPr>
            <w:tcW w:w="4020" w:type="dxa"/>
          </w:tcPr>
          <w:p>
            <w:pPr>
              <w:pStyle w:val="TableParagraph"/>
              <w:spacing w:before="18"/>
              <w:ind w:left="46"/>
              <w:jc w:val="left"/>
              <w:rPr>
                <w:sz w:val="18"/>
              </w:rPr>
            </w:pPr>
            <w:r>
              <w:rPr>
                <w:sz w:val="18"/>
              </w:rPr>
              <w:t>Loans to joint venture</w:t>
            </w:r>
          </w:p>
        </w:tc>
        <w:tc>
          <w:tcPr>
            <w:tcW w:w="1825" w:type="dxa"/>
          </w:tcPr>
          <w:p>
            <w:pPr>
              <w:pStyle w:val="TableParagraph"/>
              <w:spacing w:before="19"/>
              <w:ind w:right="75"/>
              <w:rPr>
                <w:b/>
                <w:sz w:val="18"/>
              </w:rPr>
            </w:pPr>
            <w:r>
              <w:rPr>
                <w:b/>
                <w:sz w:val="18"/>
              </w:rPr>
              <w:t>4.67</w:t>
            </w:r>
          </w:p>
        </w:tc>
        <w:tc>
          <w:tcPr>
            <w:tcW w:w="516" w:type="dxa"/>
          </w:tcPr>
          <w:p>
            <w:pPr>
              <w:pStyle w:val="TableParagraph"/>
              <w:spacing w:before="19"/>
              <w:jc w:val="center"/>
              <w:rPr>
                <w:sz w:val="18"/>
              </w:rPr>
            </w:pPr>
            <w:r>
              <w:rPr>
                <w:w w:val="99"/>
                <w:sz w:val="18"/>
              </w:rPr>
              <w:t>-</w:t>
            </w:r>
          </w:p>
        </w:tc>
        <w:tc>
          <w:tcPr>
            <w:tcW w:w="1472" w:type="dxa"/>
            <w:tcBorders>
              <w:bottom w:val="single" w:sz="0" w:space="0" w:color="000000"/>
            </w:tcBorders>
          </w:tcPr>
          <w:p>
            <w:pPr>
              <w:pStyle w:val="TableParagraph"/>
              <w:spacing w:before="19"/>
              <w:ind w:right="233"/>
              <w:rPr>
                <w:b/>
                <w:sz w:val="18"/>
              </w:rPr>
            </w:pPr>
            <w:r>
              <w:rPr>
                <w:b/>
                <w:w w:val="95"/>
                <w:sz w:val="18"/>
              </w:rPr>
              <w:t>247,890</w:t>
            </w:r>
          </w:p>
        </w:tc>
        <w:tc>
          <w:tcPr>
            <w:tcW w:w="1122" w:type="dxa"/>
            <w:tcBorders>
              <w:bottom w:val="single" w:sz="0" w:space="0" w:color="000000"/>
            </w:tcBorders>
          </w:tcPr>
          <w:p>
            <w:pPr>
              <w:pStyle w:val="TableParagraph"/>
              <w:spacing w:before="19"/>
              <w:ind w:right="157"/>
              <w:jc w:val="center"/>
              <w:rPr>
                <w:sz w:val="18"/>
              </w:rPr>
            </w:pPr>
            <w:r>
              <w:rPr>
                <w:w w:val="99"/>
                <w:sz w:val="18"/>
              </w:rPr>
              <w:t>-</w:t>
            </w:r>
          </w:p>
        </w:tc>
      </w:tr>
      <w:tr>
        <w:trPr>
          <w:trHeight w:val="298" w:hRule="exact"/>
        </w:trPr>
        <w:tc>
          <w:tcPr>
            <w:tcW w:w="601" w:type="dxa"/>
            <w:vMerge/>
          </w:tcPr>
          <w:p>
            <w:pPr/>
          </w:p>
        </w:tc>
        <w:tc>
          <w:tcPr>
            <w:tcW w:w="4020" w:type="dxa"/>
          </w:tcPr>
          <w:p>
            <w:pPr>
              <w:pStyle w:val="TableParagraph"/>
              <w:spacing w:before="39"/>
              <w:ind w:left="46"/>
              <w:jc w:val="left"/>
              <w:rPr>
                <w:b/>
                <w:sz w:val="18"/>
              </w:rPr>
            </w:pPr>
            <w:r>
              <w:rPr>
                <w:b/>
                <w:sz w:val="18"/>
              </w:rPr>
              <w:t>Total financial assets</w:t>
            </w:r>
          </w:p>
        </w:tc>
        <w:tc>
          <w:tcPr>
            <w:tcW w:w="1825" w:type="dxa"/>
          </w:tcPr>
          <w:p>
            <w:pPr/>
          </w:p>
        </w:tc>
        <w:tc>
          <w:tcPr>
            <w:tcW w:w="516" w:type="dxa"/>
          </w:tcPr>
          <w:p>
            <w:pPr/>
          </w:p>
        </w:tc>
        <w:tc>
          <w:tcPr>
            <w:tcW w:w="1472" w:type="dxa"/>
            <w:tcBorders>
              <w:top w:val="single" w:sz="0" w:space="0" w:color="000000"/>
              <w:bottom w:val="single" w:sz="0" w:space="0" w:color="000000"/>
            </w:tcBorders>
          </w:tcPr>
          <w:p>
            <w:pPr>
              <w:pStyle w:val="TableParagraph"/>
              <w:spacing w:before="38"/>
              <w:ind w:right="233"/>
              <w:rPr>
                <w:b/>
                <w:sz w:val="18"/>
              </w:rPr>
            </w:pPr>
            <w:r>
              <w:rPr>
                <w:b/>
                <w:w w:val="95"/>
                <w:sz w:val="18"/>
              </w:rPr>
              <w:t>7,995,999</w:t>
            </w:r>
          </w:p>
        </w:tc>
        <w:tc>
          <w:tcPr>
            <w:tcW w:w="1122" w:type="dxa"/>
            <w:tcBorders>
              <w:top w:val="single" w:sz="0" w:space="0" w:color="000000"/>
              <w:bottom w:val="single" w:sz="0" w:space="0" w:color="000000"/>
            </w:tcBorders>
          </w:tcPr>
          <w:p>
            <w:pPr>
              <w:pStyle w:val="TableParagraph"/>
              <w:spacing w:before="38"/>
              <w:ind w:right="86"/>
              <w:rPr>
                <w:sz w:val="18"/>
              </w:rPr>
            </w:pPr>
            <w:r>
              <w:rPr>
                <w:w w:val="95"/>
                <w:sz w:val="18"/>
              </w:rPr>
              <w:t>7,705,522</w:t>
            </w:r>
          </w:p>
        </w:tc>
      </w:tr>
      <w:tr>
        <w:trPr>
          <w:trHeight w:val="618" w:hRule="exact"/>
        </w:trPr>
        <w:tc>
          <w:tcPr>
            <w:tcW w:w="601" w:type="dxa"/>
            <w:vMerge/>
          </w:tcPr>
          <w:p>
            <w:pPr/>
          </w:p>
        </w:tc>
        <w:tc>
          <w:tcPr>
            <w:tcW w:w="4020" w:type="dxa"/>
          </w:tcPr>
          <w:p>
            <w:pPr>
              <w:pStyle w:val="TableParagraph"/>
              <w:spacing w:before="138"/>
              <w:ind w:left="46"/>
              <w:jc w:val="left"/>
              <w:rPr>
                <w:b/>
                <w:sz w:val="18"/>
              </w:rPr>
            </w:pPr>
            <w:r>
              <w:rPr>
                <w:b/>
                <w:sz w:val="18"/>
              </w:rPr>
              <w:t>Financial Liabilities</w:t>
            </w:r>
          </w:p>
          <w:p>
            <w:pPr>
              <w:pStyle w:val="TableParagraph"/>
              <w:spacing w:before="27"/>
              <w:ind w:left="46"/>
              <w:jc w:val="left"/>
              <w:rPr>
                <w:sz w:val="18"/>
              </w:rPr>
            </w:pPr>
            <w:r>
              <w:rPr>
                <w:sz w:val="18"/>
              </w:rPr>
              <w:t>Trade payables (2)</w:t>
            </w:r>
          </w:p>
        </w:tc>
        <w:tc>
          <w:tcPr>
            <w:tcW w:w="1825" w:type="dxa"/>
          </w:tcPr>
          <w:p>
            <w:pPr/>
          </w:p>
        </w:tc>
        <w:tc>
          <w:tcPr>
            <w:tcW w:w="516" w:type="dxa"/>
          </w:tcPr>
          <w:p>
            <w:pPr/>
          </w:p>
        </w:tc>
        <w:tc>
          <w:tcPr>
            <w:tcW w:w="1472" w:type="dxa"/>
            <w:tcBorders>
              <w:top w:val="single" w:sz="0" w:space="0" w:color="000000"/>
            </w:tcBorders>
          </w:tcPr>
          <w:p>
            <w:pPr>
              <w:pStyle w:val="TableParagraph"/>
              <w:jc w:val="left"/>
              <w:rPr>
                <w:b/>
                <w:sz w:val="18"/>
              </w:rPr>
            </w:pPr>
          </w:p>
          <w:p>
            <w:pPr>
              <w:pStyle w:val="TableParagraph"/>
              <w:spacing w:before="5"/>
              <w:jc w:val="left"/>
              <w:rPr>
                <w:b/>
                <w:sz w:val="14"/>
              </w:rPr>
            </w:pPr>
          </w:p>
          <w:p>
            <w:pPr>
              <w:pStyle w:val="TableParagraph"/>
              <w:ind w:right="233"/>
              <w:rPr>
                <w:b/>
                <w:sz w:val="18"/>
              </w:rPr>
            </w:pPr>
            <w:r>
              <w:rPr>
                <w:b/>
                <w:w w:val="95"/>
                <w:sz w:val="18"/>
              </w:rPr>
              <w:t>139,066</w:t>
            </w:r>
          </w:p>
        </w:tc>
        <w:tc>
          <w:tcPr>
            <w:tcW w:w="1122" w:type="dxa"/>
            <w:tcBorders>
              <w:top w:val="single" w:sz="0" w:space="0" w:color="000000"/>
            </w:tcBorders>
          </w:tcPr>
          <w:p>
            <w:pPr>
              <w:pStyle w:val="TableParagraph"/>
              <w:jc w:val="left"/>
              <w:rPr>
                <w:b/>
                <w:sz w:val="18"/>
              </w:rPr>
            </w:pPr>
          </w:p>
          <w:p>
            <w:pPr>
              <w:pStyle w:val="TableParagraph"/>
              <w:spacing w:before="5"/>
              <w:jc w:val="left"/>
              <w:rPr>
                <w:b/>
                <w:sz w:val="14"/>
              </w:rPr>
            </w:pPr>
          </w:p>
          <w:p>
            <w:pPr>
              <w:pStyle w:val="TableParagraph"/>
              <w:ind w:right="86"/>
              <w:rPr>
                <w:sz w:val="18"/>
              </w:rPr>
            </w:pPr>
            <w:r>
              <w:rPr>
                <w:w w:val="95"/>
                <w:sz w:val="18"/>
              </w:rPr>
              <w:t>491,164</w:t>
            </w:r>
          </w:p>
        </w:tc>
      </w:tr>
      <w:tr>
        <w:trPr>
          <w:trHeight w:val="264" w:hRule="exact"/>
        </w:trPr>
        <w:tc>
          <w:tcPr>
            <w:tcW w:w="601" w:type="dxa"/>
            <w:vMerge/>
          </w:tcPr>
          <w:p>
            <w:pPr/>
          </w:p>
        </w:tc>
        <w:tc>
          <w:tcPr>
            <w:tcW w:w="4020" w:type="dxa"/>
          </w:tcPr>
          <w:p>
            <w:pPr>
              <w:pStyle w:val="TableParagraph"/>
              <w:spacing w:before="18"/>
              <w:ind w:left="46"/>
              <w:jc w:val="left"/>
              <w:rPr>
                <w:sz w:val="18"/>
              </w:rPr>
            </w:pPr>
            <w:r>
              <w:rPr>
                <w:sz w:val="18"/>
              </w:rPr>
              <w:t>Amounts due to related parties</w:t>
            </w:r>
          </w:p>
        </w:tc>
        <w:tc>
          <w:tcPr>
            <w:tcW w:w="1825" w:type="dxa"/>
          </w:tcPr>
          <w:p>
            <w:pPr/>
          </w:p>
        </w:tc>
        <w:tc>
          <w:tcPr>
            <w:tcW w:w="516" w:type="dxa"/>
          </w:tcPr>
          <w:p>
            <w:pPr/>
          </w:p>
        </w:tc>
        <w:tc>
          <w:tcPr>
            <w:tcW w:w="1472" w:type="dxa"/>
          </w:tcPr>
          <w:p>
            <w:pPr>
              <w:pStyle w:val="TableParagraph"/>
              <w:spacing w:before="19"/>
              <w:ind w:right="233"/>
              <w:rPr>
                <w:b/>
                <w:sz w:val="18"/>
              </w:rPr>
            </w:pPr>
            <w:r>
              <w:rPr>
                <w:b/>
                <w:w w:val="95"/>
                <w:sz w:val="18"/>
              </w:rPr>
              <w:t>684,058</w:t>
            </w:r>
          </w:p>
        </w:tc>
        <w:tc>
          <w:tcPr>
            <w:tcW w:w="1122" w:type="dxa"/>
          </w:tcPr>
          <w:p>
            <w:pPr>
              <w:pStyle w:val="TableParagraph"/>
              <w:spacing w:before="19"/>
              <w:ind w:right="86"/>
              <w:rPr>
                <w:sz w:val="18"/>
              </w:rPr>
            </w:pPr>
            <w:r>
              <w:rPr>
                <w:w w:val="95"/>
                <w:sz w:val="18"/>
              </w:rPr>
              <w:t>78,698</w:t>
            </w:r>
          </w:p>
        </w:tc>
      </w:tr>
      <w:tr>
        <w:trPr>
          <w:trHeight w:val="264" w:hRule="exact"/>
        </w:trPr>
        <w:tc>
          <w:tcPr>
            <w:tcW w:w="601" w:type="dxa"/>
            <w:vMerge/>
          </w:tcPr>
          <w:p>
            <w:pPr/>
          </w:p>
        </w:tc>
        <w:tc>
          <w:tcPr>
            <w:tcW w:w="4020" w:type="dxa"/>
          </w:tcPr>
          <w:p>
            <w:pPr>
              <w:pStyle w:val="TableParagraph"/>
              <w:spacing w:before="18"/>
              <w:ind w:left="46"/>
              <w:jc w:val="left"/>
              <w:rPr>
                <w:sz w:val="18"/>
              </w:rPr>
            </w:pPr>
            <w:r>
              <w:rPr>
                <w:sz w:val="18"/>
              </w:rPr>
              <w:t>Accrued expenses</w:t>
            </w:r>
          </w:p>
        </w:tc>
        <w:tc>
          <w:tcPr>
            <w:tcW w:w="1825" w:type="dxa"/>
          </w:tcPr>
          <w:p>
            <w:pPr/>
          </w:p>
        </w:tc>
        <w:tc>
          <w:tcPr>
            <w:tcW w:w="516" w:type="dxa"/>
          </w:tcPr>
          <w:p>
            <w:pPr/>
          </w:p>
        </w:tc>
        <w:tc>
          <w:tcPr>
            <w:tcW w:w="1472" w:type="dxa"/>
          </w:tcPr>
          <w:p>
            <w:pPr>
              <w:pStyle w:val="TableParagraph"/>
              <w:spacing w:before="19"/>
              <w:ind w:right="233"/>
              <w:rPr>
                <w:b/>
                <w:sz w:val="18"/>
              </w:rPr>
            </w:pPr>
            <w:r>
              <w:rPr>
                <w:b/>
                <w:w w:val="95"/>
                <w:sz w:val="18"/>
              </w:rPr>
              <w:t>2,210,500</w:t>
            </w:r>
          </w:p>
        </w:tc>
        <w:tc>
          <w:tcPr>
            <w:tcW w:w="1122" w:type="dxa"/>
          </w:tcPr>
          <w:p>
            <w:pPr>
              <w:pStyle w:val="TableParagraph"/>
              <w:spacing w:before="19"/>
              <w:ind w:right="86"/>
              <w:rPr>
                <w:sz w:val="18"/>
              </w:rPr>
            </w:pPr>
            <w:r>
              <w:rPr>
                <w:w w:val="95"/>
                <w:sz w:val="18"/>
              </w:rPr>
              <w:t>2,148,802</w:t>
            </w:r>
          </w:p>
        </w:tc>
      </w:tr>
      <w:tr>
        <w:trPr>
          <w:trHeight w:val="263" w:hRule="exact"/>
        </w:trPr>
        <w:tc>
          <w:tcPr>
            <w:tcW w:w="601" w:type="dxa"/>
            <w:vMerge/>
          </w:tcPr>
          <w:p>
            <w:pPr/>
          </w:p>
        </w:tc>
        <w:tc>
          <w:tcPr>
            <w:tcW w:w="4020" w:type="dxa"/>
          </w:tcPr>
          <w:p>
            <w:pPr>
              <w:pStyle w:val="TableParagraph"/>
              <w:spacing w:before="18"/>
              <w:ind w:left="46"/>
              <w:jc w:val="left"/>
              <w:rPr>
                <w:sz w:val="18"/>
              </w:rPr>
            </w:pPr>
            <w:r>
              <w:rPr>
                <w:sz w:val="18"/>
              </w:rPr>
              <w:t>Other liabilities (2)</w:t>
            </w:r>
          </w:p>
        </w:tc>
        <w:tc>
          <w:tcPr>
            <w:tcW w:w="1825" w:type="dxa"/>
          </w:tcPr>
          <w:p>
            <w:pPr/>
          </w:p>
        </w:tc>
        <w:tc>
          <w:tcPr>
            <w:tcW w:w="516" w:type="dxa"/>
          </w:tcPr>
          <w:p>
            <w:pPr/>
          </w:p>
        </w:tc>
        <w:tc>
          <w:tcPr>
            <w:tcW w:w="1472" w:type="dxa"/>
            <w:tcBorders>
              <w:bottom w:val="single" w:sz="0" w:space="0" w:color="000000"/>
            </w:tcBorders>
          </w:tcPr>
          <w:p>
            <w:pPr>
              <w:pStyle w:val="TableParagraph"/>
              <w:spacing w:before="19"/>
              <w:ind w:right="233"/>
              <w:rPr>
                <w:b/>
                <w:sz w:val="18"/>
              </w:rPr>
            </w:pPr>
            <w:r>
              <w:rPr>
                <w:b/>
                <w:w w:val="95"/>
                <w:sz w:val="18"/>
              </w:rPr>
              <w:t>380,756</w:t>
            </w:r>
          </w:p>
        </w:tc>
        <w:tc>
          <w:tcPr>
            <w:tcW w:w="1122" w:type="dxa"/>
            <w:tcBorders>
              <w:bottom w:val="single" w:sz="0" w:space="0" w:color="000000"/>
            </w:tcBorders>
          </w:tcPr>
          <w:p>
            <w:pPr>
              <w:pStyle w:val="TableParagraph"/>
              <w:spacing w:before="19"/>
              <w:ind w:right="86"/>
              <w:rPr>
                <w:sz w:val="18"/>
              </w:rPr>
            </w:pPr>
            <w:r>
              <w:rPr>
                <w:w w:val="95"/>
                <w:sz w:val="18"/>
              </w:rPr>
              <w:t>224,836</w:t>
            </w:r>
          </w:p>
        </w:tc>
      </w:tr>
      <w:tr>
        <w:trPr>
          <w:trHeight w:val="298" w:hRule="exact"/>
        </w:trPr>
        <w:tc>
          <w:tcPr>
            <w:tcW w:w="601" w:type="dxa"/>
            <w:vMerge/>
          </w:tcPr>
          <w:p>
            <w:pPr/>
          </w:p>
        </w:tc>
        <w:tc>
          <w:tcPr>
            <w:tcW w:w="4020" w:type="dxa"/>
          </w:tcPr>
          <w:p>
            <w:pPr>
              <w:pStyle w:val="TableParagraph"/>
              <w:spacing w:before="39"/>
              <w:ind w:left="46"/>
              <w:jc w:val="left"/>
              <w:rPr>
                <w:b/>
                <w:sz w:val="18"/>
              </w:rPr>
            </w:pPr>
            <w:r>
              <w:rPr>
                <w:b/>
                <w:sz w:val="18"/>
              </w:rPr>
              <w:t>Total financial liabilities</w:t>
            </w:r>
          </w:p>
        </w:tc>
        <w:tc>
          <w:tcPr>
            <w:tcW w:w="1825" w:type="dxa"/>
          </w:tcPr>
          <w:p>
            <w:pPr/>
          </w:p>
        </w:tc>
        <w:tc>
          <w:tcPr>
            <w:tcW w:w="516" w:type="dxa"/>
          </w:tcPr>
          <w:p>
            <w:pPr/>
          </w:p>
        </w:tc>
        <w:tc>
          <w:tcPr>
            <w:tcW w:w="1472" w:type="dxa"/>
            <w:tcBorders>
              <w:top w:val="single" w:sz="0" w:space="0" w:color="000000"/>
              <w:bottom w:val="single" w:sz="0" w:space="0" w:color="000000"/>
            </w:tcBorders>
          </w:tcPr>
          <w:p>
            <w:pPr>
              <w:pStyle w:val="TableParagraph"/>
              <w:spacing w:before="38"/>
              <w:ind w:right="233"/>
              <w:rPr>
                <w:b/>
                <w:sz w:val="18"/>
              </w:rPr>
            </w:pPr>
            <w:r>
              <w:rPr>
                <w:b/>
                <w:w w:val="95"/>
                <w:sz w:val="18"/>
              </w:rPr>
              <w:t>3,414,380</w:t>
            </w:r>
          </w:p>
        </w:tc>
        <w:tc>
          <w:tcPr>
            <w:tcW w:w="1122" w:type="dxa"/>
            <w:tcBorders>
              <w:top w:val="single" w:sz="0" w:space="0" w:color="000000"/>
              <w:bottom w:val="single" w:sz="0" w:space="0" w:color="000000"/>
            </w:tcBorders>
          </w:tcPr>
          <w:p>
            <w:pPr>
              <w:pStyle w:val="TableParagraph"/>
              <w:spacing w:before="38"/>
              <w:ind w:right="86"/>
              <w:rPr>
                <w:sz w:val="18"/>
              </w:rPr>
            </w:pPr>
            <w:r>
              <w:rPr>
                <w:w w:val="95"/>
                <w:sz w:val="18"/>
              </w:rPr>
              <w:t>2,943,500</w:t>
            </w:r>
          </w:p>
        </w:tc>
      </w:tr>
      <w:tr>
        <w:trPr>
          <w:trHeight w:val="617" w:hRule="exact"/>
        </w:trPr>
        <w:tc>
          <w:tcPr>
            <w:tcW w:w="601" w:type="dxa"/>
          </w:tcPr>
          <w:p>
            <w:pPr>
              <w:pStyle w:val="TableParagraph"/>
              <w:jc w:val="left"/>
              <w:rPr>
                <w:b/>
                <w:sz w:val="18"/>
              </w:rPr>
            </w:pPr>
          </w:p>
          <w:p>
            <w:pPr>
              <w:pStyle w:val="TableParagraph"/>
              <w:spacing w:before="106"/>
              <w:ind w:left="35"/>
              <w:jc w:val="left"/>
              <w:rPr>
                <w:sz w:val="18"/>
              </w:rPr>
            </w:pPr>
            <w:r>
              <w:rPr>
                <w:sz w:val="18"/>
              </w:rPr>
              <w:t>Notes:</w:t>
            </w:r>
          </w:p>
        </w:tc>
        <w:tc>
          <w:tcPr>
            <w:tcW w:w="4020" w:type="dxa"/>
          </w:tcPr>
          <w:p>
            <w:pPr/>
          </w:p>
        </w:tc>
        <w:tc>
          <w:tcPr>
            <w:tcW w:w="1825" w:type="dxa"/>
          </w:tcPr>
          <w:p>
            <w:pPr/>
          </w:p>
        </w:tc>
        <w:tc>
          <w:tcPr>
            <w:tcW w:w="516" w:type="dxa"/>
          </w:tcPr>
          <w:p>
            <w:pPr/>
          </w:p>
        </w:tc>
        <w:tc>
          <w:tcPr>
            <w:tcW w:w="1472" w:type="dxa"/>
            <w:tcBorders>
              <w:top w:val="single" w:sz="0" w:space="0" w:color="000000"/>
            </w:tcBorders>
          </w:tcPr>
          <w:p>
            <w:pPr/>
          </w:p>
        </w:tc>
        <w:tc>
          <w:tcPr>
            <w:tcW w:w="1122" w:type="dxa"/>
            <w:tcBorders>
              <w:top w:val="single" w:sz="0" w:space="0" w:color="000000"/>
            </w:tcBorders>
          </w:tcPr>
          <w:p>
            <w:pPr/>
          </w:p>
        </w:tc>
      </w:tr>
    </w:tbl>
    <w:p>
      <w:pPr>
        <w:pStyle w:val="BodyText"/>
        <w:spacing w:before="11"/>
        <w:rPr>
          <w:b/>
          <w:sz w:val="9"/>
        </w:rPr>
      </w:pPr>
    </w:p>
    <w:p>
      <w:pPr>
        <w:pStyle w:val="ListParagraph"/>
        <w:numPr>
          <w:ilvl w:val="0"/>
          <w:numId w:val="51"/>
        </w:numPr>
        <w:tabs>
          <w:tab w:pos="2095" w:val="left" w:leader="none"/>
        </w:tabs>
        <w:spacing w:line="240" w:lineRule="auto" w:before="77" w:after="0"/>
        <w:ind w:left="2094" w:right="0" w:hanging="269"/>
        <w:jc w:val="left"/>
        <w:rPr>
          <w:sz w:val="18"/>
        </w:rPr>
      </w:pPr>
      <w:r>
        <w:rPr>
          <w:sz w:val="18"/>
        </w:rPr>
        <w:t>Excludes</w:t>
      </w:r>
      <w:r>
        <w:rPr>
          <w:spacing w:val="-7"/>
          <w:sz w:val="18"/>
        </w:rPr>
        <w:t> </w:t>
      </w:r>
      <w:r>
        <w:rPr>
          <w:sz w:val="18"/>
        </w:rPr>
        <w:t>statutory</w:t>
      </w:r>
      <w:r>
        <w:rPr>
          <w:spacing w:val="-7"/>
          <w:sz w:val="18"/>
        </w:rPr>
        <w:t> </w:t>
      </w:r>
      <w:r>
        <w:rPr>
          <w:sz w:val="18"/>
        </w:rPr>
        <w:t>receivable</w:t>
      </w:r>
      <w:r>
        <w:rPr>
          <w:spacing w:val="-7"/>
          <w:sz w:val="18"/>
        </w:rPr>
        <w:t> </w:t>
      </w:r>
      <w:r>
        <w:rPr>
          <w:sz w:val="18"/>
        </w:rPr>
        <w:t>and</w:t>
      </w:r>
      <w:r>
        <w:rPr>
          <w:spacing w:val="-7"/>
          <w:sz w:val="18"/>
        </w:rPr>
        <w:t> </w:t>
      </w:r>
      <w:r>
        <w:rPr>
          <w:sz w:val="18"/>
        </w:rPr>
        <w:t>prepayments</w:t>
      </w:r>
      <w:r>
        <w:rPr>
          <w:spacing w:val="-7"/>
          <w:sz w:val="18"/>
        </w:rPr>
        <w:t> </w:t>
      </w:r>
      <w:r>
        <w:rPr>
          <w:sz w:val="18"/>
        </w:rPr>
        <w:t>(not</w:t>
      </w:r>
      <w:r>
        <w:rPr>
          <w:spacing w:val="-7"/>
          <w:sz w:val="18"/>
        </w:rPr>
        <w:t> </w:t>
      </w:r>
      <w:r>
        <w:rPr>
          <w:sz w:val="18"/>
        </w:rPr>
        <w:t>within</w:t>
      </w:r>
      <w:r>
        <w:rPr>
          <w:spacing w:val="-7"/>
          <w:sz w:val="18"/>
        </w:rPr>
        <w:t> </w:t>
      </w:r>
      <w:r>
        <w:rPr>
          <w:sz w:val="18"/>
        </w:rPr>
        <w:t>the</w:t>
      </w:r>
      <w:r>
        <w:rPr>
          <w:spacing w:val="-7"/>
          <w:sz w:val="18"/>
        </w:rPr>
        <w:t> </w:t>
      </w:r>
      <w:r>
        <w:rPr>
          <w:sz w:val="18"/>
        </w:rPr>
        <w:t>scope</w:t>
      </w:r>
      <w:r>
        <w:rPr>
          <w:spacing w:val="-7"/>
          <w:sz w:val="18"/>
        </w:rPr>
        <w:t> </w:t>
      </w:r>
      <w:r>
        <w:rPr>
          <w:sz w:val="18"/>
        </w:rPr>
        <w:t>of</w:t>
      </w:r>
      <w:r>
        <w:rPr>
          <w:spacing w:val="-7"/>
          <w:sz w:val="18"/>
        </w:rPr>
        <w:t> </w:t>
      </w:r>
      <w:r>
        <w:rPr>
          <w:sz w:val="18"/>
        </w:rPr>
        <w:t>AASB</w:t>
      </w:r>
      <w:r>
        <w:rPr>
          <w:spacing w:val="-7"/>
          <w:sz w:val="18"/>
        </w:rPr>
        <w:t> </w:t>
      </w:r>
      <w:r>
        <w:rPr>
          <w:sz w:val="18"/>
        </w:rPr>
        <w:t>7).</w:t>
      </w:r>
    </w:p>
    <w:p>
      <w:pPr>
        <w:pStyle w:val="BodyText"/>
        <w:spacing w:before="11"/>
        <w:rPr>
          <w:sz w:val="24"/>
        </w:rPr>
      </w:pPr>
    </w:p>
    <w:p>
      <w:pPr>
        <w:pStyle w:val="ListParagraph"/>
        <w:numPr>
          <w:ilvl w:val="0"/>
          <w:numId w:val="51"/>
        </w:numPr>
        <w:tabs>
          <w:tab w:pos="2095" w:val="left" w:leader="none"/>
        </w:tabs>
        <w:spacing w:line="240" w:lineRule="auto" w:before="0" w:after="0"/>
        <w:ind w:left="2094" w:right="0" w:hanging="269"/>
        <w:jc w:val="left"/>
        <w:rPr>
          <w:sz w:val="18"/>
        </w:rPr>
      </w:pPr>
      <w:r>
        <w:rPr>
          <w:sz w:val="18"/>
        </w:rPr>
        <w:t>Excludes</w:t>
      </w:r>
      <w:r>
        <w:rPr>
          <w:spacing w:val="-7"/>
          <w:sz w:val="18"/>
        </w:rPr>
        <w:t> </w:t>
      </w:r>
      <w:r>
        <w:rPr>
          <w:sz w:val="18"/>
        </w:rPr>
        <w:t>statutory</w:t>
      </w:r>
      <w:r>
        <w:rPr>
          <w:spacing w:val="-7"/>
          <w:sz w:val="18"/>
        </w:rPr>
        <w:t> </w:t>
      </w:r>
      <w:r>
        <w:rPr>
          <w:sz w:val="18"/>
        </w:rPr>
        <w:t>payables</w:t>
      </w:r>
      <w:r>
        <w:rPr>
          <w:spacing w:val="-7"/>
          <w:sz w:val="18"/>
        </w:rPr>
        <w:t> </w:t>
      </w:r>
      <w:r>
        <w:rPr>
          <w:sz w:val="18"/>
        </w:rPr>
        <w:t>and</w:t>
      </w:r>
      <w:r>
        <w:rPr>
          <w:spacing w:val="-7"/>
          <w:sz w:val="18"/>
        </w:rPr>
        <w:t> </w:t>
      </w:r>
      <w:r>
        <w:rPr>
          <w:sz w:val="18"/>
        </w:rPr>
        <w:t>unearned</w:t>
      </w:r>
      <w:r>
        <w:rPr>
          <w:spacing w:val="-7"/>
          <w:sz w:val="18"/>
        </w:rPr>
        <w:t> </w:t>
      </w:r>
      <w:r>
        <w:rPr>
          <w:sz w:val="18"/>
        </w:rPr>
        <w:t>revenue</w:t>
      </w:r>
      <w:r>
        <w:rPr>
          <w:spacing w:val="-7"/>
          <w:sz w:val="18"/>
        </w:rPr>
        <w:t> </w:t>
      </w:r>
      <w:r>
        <w:rPr>
          <w:sz w:val="18"/>
        </w:rPr>
        <w:t>(not</w:t>
      </w:r>
      <w:r>
        <w:rPr>
          <w:spacing w:val="-7"/>
          <w:sz w:val="18"/>
        </w:rPr>
        <w:t> </w:t>
      </w:r>
      <w:r>
        <w:rPr>
          <w:sz w:val="18"/>
        </w:rPr>
        <w:t>within</w:t>
      </w:r>
      <w:r>
        <w:rPr>
          <w:spacing w:val="-7"/>
          <w:sz w:val="18"/>
        </w:rPr>
        <w:t> </w:t>
      </w:r>
      <w:r>
        <w:rPr>
          <w:sz w:val="18"/>
        </w:rPr>
        <w:t>the</w:t>
      </w:r>
      <w:r>
        <w:rPr>
          <w:spacing w:val="-7"/>
          <w:sz w:val="18"/>
        </w:rPr>
        <w:t> </w:t>
      </w:r>
      <w:r>
        <w:rPr>
          <w:sz w:val="18"/>
        </w:rPr>
        <w:t>scope</w:t>
      </w:r>
      <w:r>
        <w:rPr>
          <w:spacing w:val="-7"/>
          <w:sz w:val="18"/>
        </w:rPr>
        <w:t> </w:t>
      </w:r>
      <w:r>
        <w:rPr>
          <w:sz w:val="18"/>
        </w:rPr>
        <w:t>of</w:t>
      </w:r>
      <w:r>
        <w:rPr>
          <w:spacing w:val="-7"/>
          <w:sz w:val="18"/>
        </w:rPr>
        <w:t> </w:t>
      </w:r>
      <w:r>
        <w:rPr>
          <w:sz w:val="18"/>
        </w:rPr>
        <w:t>AASB</w:t>
      </w:r>
      <w:r>
        <w:rPr>
          <w:spacing w:val="-7"/>
          <w:sz w:val="18"/>
        </w:rPr>
        <w:t> </w:t>
      </w:r>
      <w:r>
        <w:rPr>
          <w:sz w:val="18"/>
        </w:rPr>
        <w:t>7).</w:t>
      </w:r>
    </w:p>
    <w:p>
      <w:pPr>
        <w:spacing w:after="0" w:line="240" w:lineRule="auto"/>
        <w:jc w:val="left"/>
        <w:rPr>
          <w:sz w:val="18"/>
        </w:rPr>
        <w:sectPr>
          <w:type w:val="continuous"/>
          <w:pgSz w:w="12750" w:h="17680"/>
          <w:pgMar w:top="1660" w:bottom="0" w:left="0" w:right="0"/>
        </w:sectPr>
      </w:pPr>
    </w:p>
    <w:p>
      <w:pPr>
        <w:pStyle w:val="BodyText"/>
        <w:rPr>
          <w:sz w:val="20"/>
        </w:rPr>
      </w:pPr>
    </w:p>
    <w:p>
      <w:pPr>
        <w:pStyle w:val="BodyText"/>
        <w:rPr>
          <w:sz w:val="20"/>
        </w:rPr>
      </w:pPr>
    </w:p>
    <w:p>
      <w:pPr>
        <w:pStyle w:val="BodyText"/>
        <w:spacing w:before="4"/>
      </w:pPr>
    </w:p>
    <w:p>
      <w:pPr>
        <w:pStyle w:val="Heading8"/>
        <w:spacing w:line="595" w:lineRule="auto"/>
        <w:ind w:left="1824" w:right="7040" w:hanging="395"/>
      </w:pPr>
      <w:bookmarkStart w:name="Financial risk management policies" w:id="234"/>
      <w:bookmarkEnd w:id="234"/>
      <w:r>
        <w:rPr>
          <w:b w:val="0"/>
        </w:rPr>
      </w:r>
      <w:r>
        <w:rPr/>
        <w:t>13 Financial Risk Management continued Financial risk management policies</w:t>
      </w:r>
    </w:p>
    <w:p>
      <w:pPr>
        <w:pStyle w:val="BodyText"/>
        <w:ind w:left="1825" w:right="1375"/>
      </w:pPr>
      <w:r>
        <w:rPr/>
        <w:t>The Board of Directors has overall responsibility for the establishment of the Company’s financial risk management framework.</w:t>
      </w:r>
    </w:p>
    <w:p>
      <w:pPr>
        <w:pStyle w:val="BodyText"/>
        <w:spacing w:before="11"/>
        <w:rPr>
          <w:sz w:val="24"/>
        </w:rPr>
      </w:pPr>
    </w:p>
    <w:p>
      <w:pPr>
        <w:pStyle w:val="BodyText"/>
        <w:ind w:left="1825" w:right="1375"/>
      </w:pPr>
      <w:r>
        <w:rPr/>
        <w:t>Risk management policies and systems are reviewed regularly to reflect changes in market conditions and the Company's activities.</w:t>
      </w:r>
    </w:p>
    <w:p>
      <w:pPr>
        <w:pStyle w:val="BodyText"/>
        <w:spacing w:before="11"/>
        <w:rPr>
          <w:sz w:val="24"/>
        </w:rPr>
      </w:pPr>
    </w:p>
    <w:p>
      <w:pPr>
        <w:pStyle w:val="BodyText"/>
        <w:ind w:left="1825" w:right="1407"/>
      </w:pPr>
      <w:r>
        <w:rPr/>
        <w:t>The Company does not actively engage in the trading of financial assets for speculative purposes nor does it write or </w:t>
      </w:r>
      <w:bookmarkStart w:name="(a) Credit risk" w:id="235"/>
      <w:bookmarkEnd w:id="235"/>
      <w:r>
        <w:rPr/>
      </w:r>
      <w:r>
        <w:rPr/>
        <w:t>buy options.</w:t>
      </w:r>
    </w:p>
    <w:p>
      <w:pPr>
        <w:pStyle w:val="BodyText"/>
        <w:spacing w:before="11"/>
        <w:rPr>
          <w:sz w:val="24"/>
        </w:rPr>
      </w:pPr>
    </w:p>
    <w:p>
      <w:pPr>
        <w:pStyle w:val="BodyText"/>
        <w:ind w:left="1825"/>
      </w:pPr>
      <w:r>
        <w:rPr/>
        <w:t>Mitigation strategies for specific risks faced are described below:</w:t>
      </w:r>
    </w:p>
    <w:p>
      <w:pPr>
        <w:pStyle w:val="BodyText"/>
        <w:spacing w:before="7"/>
        <w:rPr>
          <w:sz w:val="26"/>
        </w:rPr>
      </w:pPr>
    </w:p>
    <w:p>
      <w:pPr>
        <w:pStyle w:val="Heading8"/>
        <w:numPr>
          <w:ilvl w:val="0"/>
          <w:numId w:val="52"/>
        </w:numPr>
        <w:tabs>
          <w:tab w:pos="2392" w:val="left" w:leader="none"/>
        </w:tabs>
        <w:spacing w:line="240" w:lineRule="auto" w:before="0" w:after="0"/>
        <w:ind w:left="2391" w:right="0" w:hanging="566"/>
        <w:jc w:val="left"/>
      </w:pPr>
      <w:r>
        <w:rPr/>
        <w:t>Credit</w:t>
      </w:r>
      <w:r>
        <w:rPr>
          <w:spacing w:val="-10"/>
        </w:rPr>
        <w:t> </w:t>
      </w:r>
      <w:r>
        <w:rPr/>
        <w:t>risk</w:t>
      </w:r>
    </w:p>
    <w:p>
      <w:pPr>
        <w:pStyle w:val="BodyText"/>
        <w:spacing w:before="4"/>
        <w:rPr>
          <w:b/>
          <w:sz w:val="25"/>
        </w:rPr>
      </w:pPr>
    </w:p>
    <w:p>
      <w:pPr>
        <w:pStyle w:val="BodyText"/>
        <w:ind w:left="2392" w:right="1444"/>
        <w:jc w:val="both"/>
      </w:pPr>
      <w:r>
        <w:rPr/>
        <w:t>Exposure</w:t>
      </w:r>
      <w:r>
        <w:rPr>
          <w:spacing w:val="-7"/>
        </w:rPr>
        <w:t> </w:t>
      </w:r>
      <w:r>
        <w:rPr/>
        <w:t>to</w:t>
      </w:r>
      <w:r>
        <w:rPr>
          <w:spacing w:val="-7"/>
        </w:rPr>
        <w:t> </w:t>
      </w:r>
      <w:r>
        <w:rPr/>
        <w:t>credit</w:t>
      </w:r>
      <w:r>
        <w:rPr>
          <w:spacing w:val="-7"/>
        </w:rPr>
        <w:t> </w:t>
      </w:r>
      <w:r>
        <w:rPr/>
        <w:t>risk</w:t>
      </w:r>
      <w:r>
        <w:rPr>
          <w:spacing w:val="-7"/>
        </w:rPr>
        <w:t> </w:t>
      </w:r>
      <w:r>
        <w:rPr/>
        <w:t>relating</w:t>
      </w:r>
      <w:r>
        <w:rPr>
          <w:spacing w:val="-7"/>
        </w:rPr>
        <w:t> </w:t>
      </w:r>
      <w:r>
        <w:rPr/>
        <w:t>to</w:t>
      </w:r>
      <w:r>
        <w:rPr>
          <w:spacing w:val="-7"/>
        </w:rPr>
        <w:t> </w:t>
      </w:r>
      <w:r>
        <w:rPr/>
        <w:t>financial</w:t>
      </w:r>
      <w:r>
        <w:rPr>
          <w:spacing w:val="-7"/>
        </w:rPr>
        <w:t> </w:t>
      </w:r>
      <w:r>
        <w:rPr/>
        <w:t>assets</w:t>
      </w:r>
      <w:r>
        <w:rPr>
          <w:spacing w:val="-7"/>
        </w:rPr>
        <w:t> </w:t>
      </w:r>
      <w:r>
        <w:rPr/>
        <w:t>arises</w:t>
      </w:r>
      <w:r>
        <w:rPr>
          <w:spacing w:val="-7"/>
        </w:rPr>
        <w:t> </w:t>
      </w:r>
      <w:r>
        <w:rPr/>
        <w:t>from</w:t>
      </w:r>
      <w:r>
        <w:rPr>
          <w:spacing w:val="-7"/>
        </w:rPr>
        <w:t> </w:t>
      </w:r>
      <w:r>
        <w:rPr/>
        <w:t>the</w:t>
      </w:r>
      <w:r>
        <w:rPr>
          <w:spacing w:val="-7"/>
        </w:rPr>
        <w:t> </w:t>
      </w:r>
      <w:r>
        <w:rPr/>
        <w:t>potential</w:t>
      </w:r>
      <w:r>
        <w:rPr>
          <w:spacing w:val="-7"/>
        </w:rPr>
        <w:t> </w:t>
      </w:r>
      <w:r>
        <w:rPr/>
        <w:t>non-performance</w:t>
      </w:r>
      <w:r>
        <w:rPr>
          <w:spacing w:val="-7"/>
        </w:rPr>
        <w:t> </w:t>
      </w:r>
      <w:r>
        <w:rPr/>
        <w:t>by</w:t>
      </w:r>
      <w:r>
        <w:rPr>
          <w:spacing w:val="-7"/>
        </w:rPr>
        <w:t> </w:t>
      </w:r>
      <w:r>
        <w:rPr/>
        <w:t>counterparties</w:t>
      </w:r>
      <w:r>
        <w:rPr>
          <w:spacing w:val="-7"/>
        </w:rPr>
        <w:t> </w:t>
      </w:r>
      <w:r>
        <w:rPr/>
        <w:t>of contract obligations that could lead to a financial loss to the Company and arises principally from the Company's receivables and cash</w:t>
      </w:r>
      <w:r>
        <w:rPr>
          <w:spacing w:val="-28"/>
        </w:rPr>
        <w:t> </w:t>
      </w:r>
      <w:r>
        <w:rPr/>
        <w:t>deposits.</w:t>
      </w:r>
    </w:p>
    <w:p>
      <w:pPr>
        <w:pStyle w:val="BodyText"/>
        <w:spacing w:before="11"/>
        <w:rPr>
          <w:sz w:val="24"/>
        </w:rPr>
      </w:pPr>
    </w:p>
    <w:p>
      <w:pPr>
        <w:pStyle w:val="BodyText"/>
        <w:ind w:left="2392" w:right="1450"/>
      </w:pPr>
      <w:r>
        <w:rPr/>
        <w:drawing>
          <wp:anchor distT="0" distB="0" distL="0" distR="0" allowOverlap="1" layoutInCell="1" locked="0" behindDoc="0" simplePos="0" relativeHeight="8536">
            <wp:simplePos x="0" y="0"/>
            <wp:positionH relativeFrom="page">
              <wp:posOffset>-1587</wp:posOffset>
            </wp:positionH>
            <wp:positionV relativeFrom="paragraph">
              <wp:posOffset>91362</wp:posOffset>
            </wp:positionV>
            <wp:extent cx="136525" cy="155575"/>
            <wp:effectExtent l="0" t="0" r="0" b="0"/>
            <wp:wrapNone/>
            <wp:docPr id="577" name="image13.png" descr=""/>
            <wp:cNvGraphicFramePr>
              <a:graphicFrameLocks noChangeAspect="1"/>
            </wp:cNvGraphicFramePr>
            <a:graphic>
              <a:graphicData uri="http://schemas.openxmlformats.org/drawingml/2006/picture">
                <pic:pic>
                  <pic:nvPicPr>
                    <pic:cNvPr id="578" name="image13.png"/>
                    <pic:cNvPicPr/>
                  </pic:nvPicPr>
                  <pic:blipFill>
                    <a:blip r:embed="rId18" cstate="print"/>
                    <a:stretch>
                      <a:fillRect/>
                    </a:stretch>
                  </pic:blipFill>
                  <pic:spPr>
                    <a:xfrm>
                      <a:off x="0" y="0"/>
                      <a:ext cx="136525" cy="155575"/>
                    </a:xfrm>
                    <a:prstGeom prst="rect">
                      <a:avLst/>
                    </a:prstGeom>
                  </pic:spPr>
                </pic:pic>
              </a:graphicData>
            </a:graphic>
          </wp:anchor>
        </w:drawing>
      </w:r>
      <w:r>
        <w:rPr/>
        <w:drawing>
          <wp:anchor distT="0" distB="0" distL="0" distR="0" allowOverlap="1" layoutInCell="1" locked="0" behindDoc="0" simplePos="0" relativeHeight="8560">
            <wp:simplePos x="0" y="0"/>
            <wp:positionH relativeFrom="page">
              <wp:posOffset>7958429</wp:posOffset>
            </wp:positionH>
            <wp:positionV relativeFrom="paragraph">
              <wp:posOffset>91362</wp:posOffset>
            </wp:positionV>
            <wp:extent cx="135953" cy="155575"/>
            <wp:effectExtent l="0" t="0" r="0" b="0"/>
            <wp:wrapNone/>
            <wp:docPr id="579" name="image15.png" descr=""/>
            <wp:cNvGraphicFramePr>
              <a:graphicFrameLocks noChangeAspect="1"/>
            </wp:cNvGraphicFramePr>
            <a:graphic>
              <a:graphicData uri="http://schemas.openxmlformats.org/drawingml/2006/picture">
                <pic:pic>
                  <pic:nvPicPr>
                    <pic:cNvPr id="580" name="image15.png"/>
                    <pic:cNvPicPr/>
                  </pic:nvPicPr>
                  <pic:blipFill>
                    <a:blip r:embed="rId20" cstate="print"/>
                    <a:stretch>
                      <a:fillRect/>
                    </a:stretch>
                  </pic:blipFill>
                  <pic:spPr>
                    <a:xfrm>
                      <a:off x="0" y="0"/>
                      <a:ext cx="135953" cy="155575"/>
                    </a:xfrm>
                    <a:prstGeom prst="rect">
                      <a:avLst/>
                    </a:prstGeom>
                  </pic:spPr>
                </pic:pic>
              </a:graphicData>
            </a:graphic>
          </wp:anchor>
        </w:drawing>
      </w:r>
      <w:r>
        <w:rPr/>
        <w:t>Services are sold subject to retention of title clauses, so that in the event of non-payment the Company may have a secured claim.</w:t>
      </w:r>
    </w:p>
    <w:p>
      <w:pPr>
        <w:pStyle w:val="BodyText"/>
        <w:spacing w:before="11"/>
        <w:rPr>
          <w:sz w:val="24"/>
        </w:rPr>
      </w:pPr>
    </w:p>
    <w:p>
      <w:pPr>
        <w:pStyle w:val="BodyText"/>
        <w:ind w:left="2392" w:right="1375"/>
      </w:pPr>
      <w:bookmarkStart w:name="(b) Liquidity risk" w:id="236"/>
      <w:bookmarkEnd w:id="236"/>
      <w:r>
        <w:rPr/>
      </w:r>
      <w:r>
        <w:rPr/>
        <w:t>There are no material differences between the carrying amount and fair value of financial assets and liabilities and hence the carry amount represents fair value.</w:t>
      </w:r>
    </w:p>
    <w:p>
      <w:pPr>
        <w:pStyle w:val="BodyText"/>
        <w:spacing w:before="7"/>
        <w:rPr>
          <w:sz w:val="26"/>
        </w:rPr>
      </w:pPr>
    </w:p>
    <w:p>
      <w:pPr>
        <w:pStyle w:val="Heading8"/>
        <w:numPr>
          <w:ilvl w:val="0"/>
          <w:numId w:val="52"/>
        </w:numPr>
        <w:tabs>
          <w:tab w:pos="2392" w:val="left" w:leader="none"/>
        </w:tabs>
        <w:spacing w:line="240" w:lineRule="auto" w:before="0" w:after="0"/>
        <w:ind w:left="2391" w:right="0" w:hanging="566"/>
        <w:jc w:val="left"/>
      </w:pPr>
      <w:r>
        <w:rPr/>
        <w:t>Liquidity risk</w:t>
      </w:r>
    </w:p>
    <w:p>
      <w:pPr>
        <w:pStyle w:val="BodyText"/>
        <w:spacing w:before="4"/>
        <w:rPr>
          <w:b/>
          <w:sz w:val="25"/>
        </w:rPr>
      </w:pPr>
    </w:p>
    <w:p>
      <w:pPr>
        <w:pStyle w:val="BodyText"/>
        <w:ind w:left="2392" w:right="1375"/>
      </w:pPr>
      <w:r>
        <w:rPr/>
        <w:t>Liquidity risk arises from the possibility that the Company might encounter difficulty in settling its debts or otherwise meeting its obligations related to financial liabilities. The Company manages this risk through the following mechanisms:</w:t>
      </w:r>
    </w:p>
    <w:p>
      <w:pPr>
        <w:pStyle w:val="BodyText"/>
        <w:spacing w:before="5"/>
        <w:rPr>
          <w:sz w:val="25"/>
        </w:rPr>
      </w:pPr>
    </w:p>
    <w:p>
      <w:pPr>
        <w:pStyle w:val="ListParagraph"/>
        <w:numPr>
          <w:ilvl w:val="1"/>
          <w:numId w:val="52"/>
        </w:numPr>
        <w:tabs>
          <w:tab w:pos="2960" w:val="left" w:leader="none"/>
        </w:tabs>
        <w:spacing w:line="259" w:lineRule="auto" w:before="1" w:after="0"/>
        <w:ind w:left="2959" w:right="1460" w:hanging="567"/>
        <w:jc w:val="left"/>
        <w:rPr>
          <w:sz w:val="18"/>
        </w:rPr>
      </w:pPr>
      <w:r>
        <w:rPr>
          <w:sz w:val="18"/>
        </w:rPr>
        <w:t>preparing</w:t>
      </w:r>
      <w:r>
        <w:rPr>
          <w:spacing w:val="-8"/>
          <w:sz w:val="18"/>
        </w:rPr>
        <w:t> </w:t>
      </w:r>
      <w:r>
        <w:rPr>
          <w:sz w:val="18"/>
        </w:rPr>
        <w:t>forward-looking</w:t>
      </w:r>
      <w:r>
        <w:rPr>
          <w:spacing w:val="-8"/>
          <w:sz w:val="18"/>
        </w:rPr>
        <w:t> </w:t>
      </w:r>
      <w:r>
        <w:rPr>
          <w:sz w:val="18"/>
        </w:rPr>
        <w:t>cash</w:t>
      </w:r>
      <w:r>
        <w:rPr>
          <w:spacing w:val="-8"/>
          <w:sz w:val="18"/>
        </w:rPr>
        <w:t> </w:t>
      </w:r>
      <w:r>
        <w:rPr>
          <w:sz w:val="18"/>
        </w:rPr>
        <w:t>flow</w:t>
      </w:r>
      <w:r>
        <w:rPr>
          <w:spacing w:val="-10"/>
          <w:sz w:val="18"/>
        </w:rPr>
        <w:t> </w:t>
      </w:r>
      <w:r>
        <w:rPr>
          <w:sz w:val="18"/>
        </w:rPr>
        <w:t>analysis</w:t>
      </w:r>
      <w:r>
        <w:rPr>
          <w:spacing w:val="-8"/>
          <w:sz w:val="18"/>
        </w:rPr>
        <w:t> </w:t>
      </w:r>
      <w:r>
        <w:rPr>
          <w:sz w:val="18"/>
        </w:rPr>
        <w:t>in</w:t>
      </w:r>
      <w:r>
        <w:rPr>
          <w:spacing w:val="-8"/>
          <w:sz w:val="18"/>
        </w:rPr>
        <w:t> </w:t>
      </w:r>
      <w:r>
        <w:rPr>
          <w:sz w:val="18"/>
        </w:rPr>
        <w:t>relation</w:t>
      </w:r>
      <w:r>
        <w:rPr>
          <w:spacing w:val="-8"/>
          <w:sz w:val="18"/>
        </w:rPr>
        <w:t> </w:t>
      </w:r>
      <w:r>
        <w:rPr>
          <w:sz w:val="18"/>
        </w:rPr>
        <w:t>to</w:t>
      </w:r>
      <w:r>
        <w:rPr>
          <w:spacing w:val="-8"/>
          <w:sz w:val="18"/>
        </w:rPr>
        <w:t> </w:t>
      </w:r>
      <w:r>
        <w:rPr>
          <w:sz w:val="18"/>
        </w:rPr>
        <w:t>its</w:t>
      </w:r>
      <w:r>
        <w:rPr>
          <w:spacing w:val="-8"/>
          <w:sz w:val="18"/>
        </w:rPr>
        <w:t> </w:t>
      </w:r>
      <w:r>
        <w:rPr>
          <w:sz w:val="18"/>
        </w:rPr>
        <w:t>operational,</w:t>
      </w:r>
      <w:r>
        <w:rPr>
          <w:spacing w:val="-8"/>
          <w:sz w:val="18"/>
        </w:rPr>
        <w:t> </w:t>
      </w:r>
      <w:r>
        <w:rPr>
          <w:sz w:val="18"/>
        </w:rPr>
        <w:t>investing</w:t>
      </w:r>
      <w:r>
        <w:rPr>
          <w:spacing w:val="-8"/>
          <w:sz w:val="18"/>
        </w:rPr>
        <w:t> </w:t>
      </w:r>
      <w:r>
        <w:rPr>
          <w:sz w:val="18"/>
        </w:rPr>
        <w:t>and</w:t>
      </w:r>
      <w:r>
        <w:rPr>
          <w:spacing w:val="-8"/>
          <w:sz w:val="18"/>
        </w:rPr>
        <w:t> </w:t>
      </w:r>
      <w:r>
        <w:rPr>
          <w:sz w:val="18"/>
        </w:rPr>
        <w:t>financial</w:t>
      </w:r>
      <w:r>
        <w:rPr>
          <w:spacing w:val="-8"/>
          <w:sz w:val="18"/>
        </w:rPr>
        <w:t> </w:t>
      </w:r>
      <w:r>
        <w:rPr>
          <w:sz w:val="18"/>
        </w:rPr>
        <w:t>activities which</w:t>
      </w:r>
      <w:r>
        <w:rPr>
          <w:spacing w:val="-7"/>
          <w:sz w:val="18"/>
        </w:rPr>
        <w:t> </w:t>
      </w:r>
      <w:r>
        <w:rPr>
          <w:sz w:val="18"/>
        </w:rPr>
        <w:t>are</w:t>
      </w:r>
      <w:r>
        <w:rPr>
          <w:spacing w:val="-7"/>
          <w:sz w:val="18"/>
        </w:rPr>
        <w:t> </w:t>
      </w:r>
      <w:r>
        <w:rPr>
          <w:sz w:val="18"/>
        </w:rPr>
        <w:t>monitored</w:t>
      </w:r>
      <w:r>
        <w:rPr>
          <w:spacing w:val="-7"/>
          <w:sz w:val="18"/>
        </w:rPr>
        <w:t> </w:t>
      </w:r>
      <w:r>
        <w:rPr>
          <w:sz w:val="18"/>
        </w:rPr>
        <w:t>on</w:t>
      </w:r>
      <w:r>
        <w:rPr>
          <w:spacing w:val="-7"/>
          <w:sz w:val="18"/>
        </w:rPr>
        <w:t> </w:t>
      </w:r>
      <w:r>
        <w:rPr>
          <w:sz w:val="18"/>
        </w:rPr>
        <w:t>a</w:t>
      </w:r>
      <w:r>
        <w:rPr>
          <w:spacing w:val="-7"/>
          <w:sz w:val="18"/>
        </w:rPr>
        <w:t> </w:t>
      </w:r>
      <w:r>
        <w:rPr>
          <w:sz w:val="18"/>
        </w:rPr>
        <w:t>weekly</w:t>
      </w:r>
      <w:r>
        <w:rPr>
          <w:spacing w:val="-7"/>
          <w:sz w:val="18"/>
        </w:rPr>
        <w:t> </w:t>
      </w:r>
      <w:r>
        <w:rPr>
          <w:sz w:val="18"/>
        </w:rPr>
        <w:t>basis,</w:t>
      </w:r>
      <w:r>
        <w:rPr>
          <w:spacing w:val="-7"/>
          <w:sz w:val="18"/>
        </w:rPr>
        <w:t> </w:t>
      </w:r>
      <w:r>
        <w:rPr>
          <w:sz w:val="18"/>
        </w:rPr>
        <w:t>and</w:t>
      </w:r>
      <w:r>
        <w:rPr>
          <w:spacing w:val="-7"/>
          <w:sz w:val="18"/>
        </w:rPr>
        <w:t> </w:t>
      </w:r>
      <w:r>
        <w:rPr>
          <w:sz w:val="18"/>
        </w:rPr>
        <w:t>reported</w:t>
      </w:r>
      <w:r>
        <w:rPr>
          <w:spacing w:val="-7"/>
          <w:sz w:val="18"/>
        </w:rPr>
        <w:t> </w:t>
      </w:r>
      <w:r>
        <w:rPr>
          <w:sz w:val="18"/>
        </w:rPr>
        <w:t>monthly;</w:t>
      </w:r>
      <w:r>
        <w:rPr>
          <w:spacing w:val="-7"/>
          <w:sz w:val="18"/>
        </w:rPr>
        <w:t> </w:t>
      </w:r>
      <w:r>
        <w:rPr>
          <w:sz w:val="18"/>
        </w:rPr>
        <w:t>and</w:t>
      </w:r>
    </w:p>
    <w:p>
      <w:pPr>
        <w:pStyle w:val="BodyText"/>
        <w:spacing w:before="2"/>
        <w:rPr>
          <w:sz w:val="24"/>
        </w:rPr>
      </w:pPr>
    </w:p>
    <w:p>
      <w:pPr>
        <w:pStyle w:val="ListParagraph"/>
        <w:numPr>
          <w:ilvl w:val="1"/>
          <w:numId w:val="52"/>
        </w:numPr>
        <w:tabs>
          <w:tab w:pos="2960" w:val="left" w:leader="none"/>
        </w:tabs>
        <w:spacing w:line="259" w:lineRule="auto" w:before="0" w:after="0"/>
        <w:ind w:left="2959" w:right="1615" w:hanging="567"/>
        <w:jc w:val="left"/>
        <w:rPr>
          <w:sz w:val="18"/>
        </w:rPr>
      </w:pPr>
      <w:r>
        <w:rPr>
          <w:sz w:val="18"/>
        </w:rPr>
        <w:t>only</w:t>
      </w:r>
      <w:r>
        <w:rPr>
          <w:spacing w:val="-7"/>
          <w:sz w:val="18"/>
        </w:rPr>
        <w:t> </w:t>
      </w:r>
      <w:r>
        <w:rPr>
          <w:sz w:val="18"/>
        </w:rPr>
        <w:t>investing</w:t>
      </w:r>
      <w:r>
        <w:rPr>
          <w:spacing w:val="-7"/>
          <w:sz w:val="18"/>
        </w:rPr>
        <w:t> </w:t>
      </w:r>
      <w:r>
        <w:rPr>
          <w:sz w:val="18"/>
        </w:rPr>
        <w:t>surplus</w:t>
      </w:r>
      <w:r>
        <w:rPr>
          <w:spacing w:val="-7"/>
          <w:sz w:val="18"/>
        </w:rPr>
        <w:t> </w:t>
      </w:r>
      <w:r>
        <w:rPr>
          <w:sz w:val="18"/>
        </w:rPr>
        <w:t>cash</w:t>
      </w:r>
      <w:r>
        <w:rPr>
          <w:spacing w:val="-7"/>
          <w:sz w:val="18"/>
        </w:rPr>
        <w:t> </w:t>
      </w:r>
      <w:r>
        <w:rPr>
          <w:sz w:val="18"/>
        </w:rPr>
        <w:t>with</w:t>
      </w:r>
      <w:r>
        <w:rPr>
          <w:spacing w:val="-7"/>
          <w:sz w:val="18"/>
        </w:rPr>
        <w:t> </w:t>
      </w:r>
      <w:r>
        <w:rPr>
          <w:sz w:val="18"/>
        </w:rPr>
        <w:t>licensed</w:t>
      </w:r>
      <w:r>
        <w:rPr>
          <w:spacing w:val="-7"/>
          <w:sz w:val="18"/>
        </w:rPr>
        <w:t> </w:t>
      </w:r>
      <w:r>
        <w:rPr>
          <w:sz w:val="18"/>
        </w:rPr>
        <w:t>banks</w:t>
      </w:r>
      <w:r>
        <w:rPr>
          <w:spacing w:val="-7"/>
          <w:sz w:val="18"/>
        </w:rPr>
        <w:t> </w:t>
      </w:r>
      <w:r>
        <w:rPr>
          <w:sz w:val="18"/>
        </w:rPr>
        <w:t>covered</w:t>
      </w:r>
      <w:r>
        <w:rPr>
          <w:spacing w:val="-7"/>
          <w:sz w:val="18"/>
        </w:rPr>
        <w:t> </w:t>
      </w:r>
      <w:r>
        <w:rPr>
          <w:sz w:val="18"/>
        </w:rPr>
        <w:t>by</w:t>
      </w:r>
      <w:r>
        <w:rPr>
          <w:spacing w:val="-7"/>
          <w:sz w:val="18"/>
        </w:rPr>
        <w:t> </w:t>
      </w:r>
      <w:r>
        <w:rPr>
          <w:sz w:val="18"/>
        </w:rPr>
        <w:t>Australian</w:t>
      </w:r>
      <w:r>
        <w:rPr>
          <w:spacing w:val="-7"/>
          <w:sz w:val="18"/>
        </w:rPr>
        <w:t> </w:t>
      </w:r>
      <w:r>
        <w:rPr>
          <w:sz w:val="18"/>
        </w:rPr>
        <w:t>Government</w:t>
      </w:r>
      <w:r>
        <w:rPr>
          <w:spacing w:val="-7"/>
          <w:sz w:val="18"/>
        </w:rPr>
        <w:t> </w:t>
      </w:r>
      <w:r>
        <w:rPr>
          <w:sz w:val="18"/>
        </w:rPr>
        <w:t>Deposit</w:t>
      </w:r>
      <w:r>
        <w:rPr>
          <w:spacing w:val="-7"/>
          <w:sz w:val="18"/>
        </w:rPr>
        <w:t> </w:t>
      </w:r>
      <w:r>
        <w:rPr>
          <w:sz w:val="18"/>
        </w:rPr>
        <w:t>Guarantee, NSW</w:t>
      </w:r>
      <w:r>
        <w:rPr>
          <w:spacing w:val="-4"/>
          <w:sz w:val="18"/>
        </w:rPr>
        <w:t> </w:t>
      </w:r>
      <w:r>
        <w:rPr>
          <w:sz w:val="18"/>
        </w:rPr>
        <w:t>-</w:t>
      </w:r>
      <w:r>
        <w:rPr>
          <w:spacing w:val="-4"/>
          <w:sz w:val="18"/>
        </w:rPr>
        <w:t> </w:t>
      </w:r>
      <w:r>
        <w:rPr>
          <w:sz w:val="18"/>
        </w:rPr>
        <w:t>Treasury</w:t>
      </w:r>
      <w:r>
        <w:rPr>
          <w:spacing w:val="-7"/>
          <w:sz w:val="18"/>
        </w:rPr>
        <w:t> </w:t>
      </w:r>
      <w:r>
        <w:rPr>
          <w:sz w:val="18"/>
        </w:rPr>
        <w:t>Corporation</w:t>
      </w:r>
      <w:r>
        <w:rPr>
          <w:spacing w:val="-5"/>
          <w:sz w:val="18"/>
        </w:rPr>
        <w:t> </w:t>
      </w:r>
      <w:r>
        <w:rPr>
          <w:sz w:val="18"/>
        </w:rPr>
        <w:t>or</w:t>
      </w:r>
      <w:r>
        <w:rPr>
          <w:spacing w:val="-5"/>
          <w:sz w:val="18"/>
        </w:rPr>
        <w:t> </w:t>
      </w:r>
      <w:r>
        <w:rPr>
          <w:sz w:val="18"/>
        </w:rPr>
        <w:t>with</w:t>
      </w:r>
      <w:r>
        <w:rPr>
          <w:spacing w:val="-5"/>
          <w:sz w:val="18"/>
        </w:rPr>
        <w:t> </w:t>
      </w:r>
      <w:r>
        <w:rPr>
          <w:sz w:val="18"/>
        </w:rPr>
        <w:t>the</w:t>
      </w:r>
      <w:r>
        <w:rPr>
          <w:spacing w:val="-5"/>
          <w:sz w:val="18"/>
        </w:rPr>
        <w:t> </w:t>
      </w:r>
      <w:r>
        <w:rPr>
          <w:sz w:val="18"/>
        </w:rPr>
        <w:t>parent</w:t>
      </w:r>
      <w:r>
        <w:rPr>
          <w:spacing w:val="-5"/>
          <w:sz w:val="18"/>
        </w:rPr>
        <w:t> </w:t>
      </w:r>
      <w:r>
        <w:rPr>
          <w:sz w:val="18"/>
        </w:rPr>
        <w:t>entity;</w:t>
      </w:r>
    </w:p>
    <w:p>
      <w:pPr>
        <w:pStyle w:val="BodyText"/>
        <w:spacing w:before="8"/>
        <w:rPr>
          <w:sz w:val="23"/>
        </w:rPr>
      </w:pPr>
    </w:p>
    <w:p>
      <w:pPr>
        <w:pStyle w:val="BodyText"/>
        <w:spacing w:line="573" w:lineRule="auto"/>
        <w:ind w:left="2392" w:right="2351"/>
      </w:pPr>
      <w:r>
        <w:rPr/>
        <w:t>The timing of expected outflows is not expected to be materially different from contracted cashflows. The tables below reflect an undiscounted contractual maturity analysis for financial liabilities.</w:t>
      </w:r>
    </w:p>
    <w:p>
      <w:pPr>
        <w:pStyle w:val="BodyText"/>
        <w:spacing w:before="8"/>
        <w:ind w:left="2392" w:right="1375"/>
      </w:pPr>
      <w:r>
        <w:rPr/>
        <w:t>Financial guarantee liabilities are treated as payable on demand since the Company has no control over the timing of any potential settlement of the liabilities.</w:t>
      </w:r>
    </w:p>
    <w:p>
      <w:pPr>
        <w:pStyle w:val="BodyText"/>
        <w:spacing w:before="11"/>
        <w:rPr>
          <w:sz w:val="24"/>
        </w:rPr>
      </w:pPr>
    </w:p>
    <w:p>
      <w:pPr>
        <w:pStyle w:val="BodyText"/>
        <w:ind w:left="2392" w:right="1362"/>
      </w:pPr>
      <w:r>
        <w:rPr/>
        <w:t>The timing of cash flows presented in the table to settle financial liabilities reflects the earliest contractual settlement dates and does not reflect management's expectations that banking facilities will be rolled forward. The amounts disclosed in the table are the undiscounted contracted cash flows and therefore the balances in the table may not equal the balances in the statement of financial position due to the effect of discounting.</w:t>
      </w:r>
    </w:p>
    <w:p>
      <w:pPr>
        <w:spacing w:after="0"/>
        <w:sectPr>
          <w:pgSz w:w="12750" w:h="17680"/>
          <w:pgMar w:header="0" w:footer="867" w:top="2860" w:bottom="1120" w:left="0" w:right="0"/>
        </w:sectPr>
      </w:pPr>
    </w:p>
    <w:p>
      <w:pPr>
        <w:tabs>
          <w:tab w:pos="8296" w:val="left" w:leader="none"/>
          <w:tab w:pos="16305" w:val="left" w:leader="none"/>
        </w:tabs>
        <w:spacing w:line="240" w:lineRule="auto"/>
        <w:ind w:left="37" w:right="0" w:firstLine="0"/>
        <w:rPr>
          <w:sz w:val="20"/>
        </w:rPr>
      </w:pPr>
      <w:r>
        <w:rPr>
          <w:sz w:val="20"/>
        </w:rPr>
        <w:pict>
          <v:group style="width:24.75pt;height:24.75pt;mso-position-horizontal-relative:char;mso-position-vertical-relative:line" coordorigin="0,0" coordsize="495,495">
            <v:line style="position:absolute" from="303,483" to="3,483" stroked="true" strokeweight=".25pt" strokecolor="#000000"/>
            <v:line style="position:absolute" from="423,483" to="63,483" stroked="true" strokeweight="1.25pt" strokecolor="#ffffff"/>
            <v:line style="position:absolute" from="483,303" to="483,3" stroked="true" strokeweight=".25pt" strokecolor="#000000"/>
            <v:line style="position:absolute" from="483,423" to="483,63" stroked="true" strokeweight="1.25pt" strokecolor="#ffffff"/>
            <v:line style="position:absolute" from="423,483" to="63,483" stroked="true" strokeweight=".25pt" strokecolor="#000000"/>
            <v:line style="position:absolute" from="483,423" to="483,63" stroked="true" strokeweight=".25pt" strokecolor="#000000"/>
          </v:group>
        </w:pict>
      </w:r>
      <w:r>
        <w:rPr>
          <w:sz w:val="20"/>
        </w:rPr>
      </w:r>
      <w:r>
        <w:rPr>
          <w:sz w:val="20"/>
        </w:rPr>
        <w:tab/>
      </w:r>
      <w:r>
        <w:rPr>
          <w:position w:val="22"/>
          <w:sz w:val="20"/>
        </w:rPr>
        <w:drawing>
          <wp:inline distT="0" distB="0" distL="0" distR="0">
            <wp:extent cx="155448" cy="155448"/>
            <wp:effectExtent l="0" t="0" r="0" b="0"/>
            <wp:docPr id="581" name="image24.png" descr=""/>
            <wp:cNvGraphicFramePr>
              <a:graphicFrameLocks noChangeAspect="1"/>
            </wp:cNvGraphicFramePr>
            <a:graphic>
              <a:graphicData uri="http://schemas.openxmlformats.org/drawingml/2006/picture">
                <pic:pic>
                  <pic:nvPicPr>
                    <pic:cNvPr id="582" name="image24.png"/>
                    <pic:cNvPicPr/>
                  </pic:nvPicPr>
                  <pic:blipFill>
                    <a:blip r:embed="rId48" cstate="print"/>
                    <a:stretch>
                      <a:fillRect/>
                    </a:stretch>
                  </pic:blipFill>
                  <pic:spPr>
                    <a:xfrm>
                      <a:off x="0" y="0"/>
                      <a:ext cx="155448" cy="155448"/>
                    </a:xfrm>
                    <a:prstGeom prst="rect">
                      <a:avLst/>
                    </a:prstGeom>
                  </pic:spPr>
                </pic:pic>
              </a:graphicData>
            </a:graphic>
          </wp:inline>
        </w:drawing>
      </w:r>
      <w:r>
        <w:rPr>
          <w:position w:val="22"/>
          <w:sz w:val="20"/>
        </w:rPr>
      </w:r>
      <w:r>
        <w:rPr>
          <w:position w:val="22"/>
          <w:sz w:val="20"/>
        </w:rPr>
        <w:tab/>
      </w:r>
      <w:r>
        <w:rPr>
          <w:sz w:val="20"/>
        </w:rPr>
        <w:pict>
          <v:group style="width:24.75pt;height:24.75pt;mso-position-horizontal-relative:char;mso-position-vertical-relative:line" coordorigin="0,0" coordsize="495,495">
            <v:line style="position:absolute" from="193,483" to="493,483" stroked="true" strokeweight=".25pt" strokecolor="#000000"/>
            <v:line style="position:absolute" from="73,483" to="433,483" stroked="true" strokeweight="1.25pt" strokecolor="#ffffff"/>
            <v:line style="position:absolute" from="13,303" to="13,3" stroked="true" strokeweight=".25pt" strokecolor="#000000"/>
            <v:line style="position:absolute" from="13,423" to="13,63" stroked="true" strokeweight="1.25pt" strokecolor="#ffffff"/>
            <v:line style="position:absolute" from="73,483" to="433,483" stroked="true" strokeweight=".25pt" strokecolor="#000000"/>
            <v:line style="position:absolute" from="13,423" to="13,63" stroked="true" strokeweight=".25pt" strokecolor="#000000"/>
          </v:group>
        </w:pict>
      </w:r>
      <w:r>
        <w:rPr>
          <w:sz w:val="20"/>
        </w:rPr>
      </w:r>
    </w:p>
    <w:p>
      <w:pPr>
        <w:pStyle w:val="BodyText"/>
        <w:rPr>
          <w:sz w:val="20"/>
        </w:rPr>
      </w:pPr>
    </w:p>
    <w:p>
      <w:pPr>
        <w:pStyle w:val="BodyText"/>
        <w:spacing w:before="5"/>
        <w:rPr>
          <w:sz w:val="19"/>
        </w:rPr>
      </w:pPr>
    </w:p>
    <w:p>
      <w:pPr>
        <w:spacing w:before="0"/>
        <w:ind w:left="1008" w:right="0" w:firstLine="0"/>
        <w:jc w:val="left"/>
        <w:rPr>
          <w:b/>
          <w:sz w:val="22"/>
        </w:rPr>
      </w:pPr>
      <w:r>
        <w:rPr>
          <w:b/>
          <w:sz w:val="22"/>
        </w:rPr>
        <w:t>UWS Enterprises Pty Limited Trading as Western Sydney University The College</w:t>
      </w:r>
    </w:p>
    <w:p>
      <w:pPr>
        <w:spacing w:before="56"/>
        <w:ind w:left="1008" w:right="0" w:firstLine="0"/>
        <w:jc w:val="left"/>
        <w:rPr>
          <w:b/>
          <w:sz w:val="14"/>
        </w:rPr>
      </w:pPr>
      <w:r>
        <w:rPr>
          <w:b/>
          <w:sz w:val="14"/>
        </w:rPr>
        <w:t>ABN: 44 003 474 468</w:t>
      </w:r>
    </w:p>
    <w:p>
      <w:pPr>
        <w:pStyle w:val="BodyText"/>
        <w:rPr>
          <w:b/>
          <w:sz w:val="14"/>
        </w:rPr>
      </w:pPr>
    </w:p>
    <w:p>
      <w:pPr>
        <w:pStyle w:val="BodyText"/>
        <w:spacing w:before="5"/>
        <w:rPr>
          <w:b/>
          <w:sz w:val="15"/>
        </w:rPr>
      </w:pPr>
    </w:p>
    <w:p>
      <w:pPr>
        <w:pStyle w:val="Heading4"/>
        <w:spacing w:before="0"/>
        <w:ind w:left="1008"/>
      </w:pPr>
      <w:r>
        <w:rPr/>
        <w:t>Notes to the Financial Statements</w:t>
      </w:r>
    </w:p>
    <w:p>
      <w:pPr>
        <w:pStyle w:val="Heading7"/>
        <w:ind w:left="1008"/>
      </w:pPr>
      <w:r>
        <w:rPr/>
        <w:t>For the Year Ended 31 December 2016</w:t>
      </w:r>
    </w:p>
    <w:p>
      <w:pPr>
        <w:pStyle w:val="BodyText"/>
        <w:rPr>
          <w:b/>
          <w:sz w:val="22"/>
        </w:rPr>
      </w:pPr>
    </w:p>
    <w:p>
      <w:pPr>
        <w:pStyle w:val="BodyText"/>
        <w:rPr>
          <w:b/>
          <w:sz w:val="22"/>
        </w:rPr>
      </w:pPr>
    </w:p>
    <w:p>
      <w:pPr>
        <w:pStyle w:val="Heading8"/>
        <w:spacing w:before="160"/>
        <w:ind w:left="1009"/>
      </w:pPr>
      <w:r>
        <w:rPr/>
        <w:t>13    Financial Risk Management continued</w:t>
      </w:r>
    </w:p>
    <w:p>
      <w:pPr>
        <w:pStyle w:val="BodyText"/>
        <w:spacing w:before="11"/>
        <w:rPr>
          <w:b/>
          <w:sz w:val="24"/>
        </w:rPr>
      </w:pPr>
    </w:p>
    <w:p>
      <w:pPr>
        <w:spacing w:before="0"/>
        <w:ind w:left="1976" w:right="0" w:firstLine="0"/>
        <w:jc w:val="left"/>
        <w:rPr>
          <w:i/>
          <w:sz w:val="18"/>
        </w:rPr>
      </w:pPr>
      <w:r>
        <w:rPr>
          <w:i/>
          <w:sz w:val="18"/>
        </w:rPr>
        <w:t>Financial asset and liability maturity analysis - Non-derivative</w:t>
      </w:r>
    </w:p>
    <w:p>
      <w:pPr>
        <w:pStyle w:val="Heading8"/>
        <w:tabs>
          <w:tab w:pos="8861" w:val="left" w:leader="none"/>
          <w:tab w:pos="11413" w:val="left" w:leader="none"/>
          <w:tab w:pos="14339" w:val="left" w:leader="none"/>
        </w:tabs>
        <w:spacing w:before="33"/>
        <w:ind w:left="6201"/>
      </w:pPr>
      <w:r>
        <w:rPr/>
        <w:drawing>
          <wp:anchor distT="0" distB="0" distL="0" distR="0" allowOverlap="1" layoutInCell="1" locked="0" behindDoc="0" simplePos="0" relativeHeight="8632">
            <wp:simplePos x="0" y="0"/>
            <wp:positionH relativeFrom="page">
              <wp:posOffset>42862</wp:posOffset>
            </wp:positionH>
            <wp:positionV relativeFrom="paragraph">
              <wp:posOffset>1277498</wp:posOffset>
            </wp:positionV>
            <wp:extent cx="154019" cy="154019"/>
            <wp:effectExtent l="0" t="0" r="0" b="0"/>
            <wp:wrapTopAndBottom/>
            <wp:docPr id="583" name="image25.png" descr=""/>
            <wp:cNvGraphicFramePr>
              <a:graphicFrameLocks noChangeAspect="1"/>
            </wp:cNvGraphicFramePr>
            <a:graphic>
              <a:graphicData uri="http://schemas.openxmlformats.org/drawingml/2006/picture">
                <pic:pic>
                  <pic:nvPicPr>
                    <pic:cNvPr id="584" name="image25.png"/>
                    <pic:cNvPicPr/>
                  </pic:nvPicPr>
                  <pic:blipFill>
                    <a:blip r:embed="rId41" cstate="print"/>
                    <a:stretch>
                      <a:fillRect/>
                    </a:stretch>
                  </pic:blipFill>
                  <pic:spPr>
                    <a:xfrm>
                      <a:off x="0" y="0"/>
                      <a:ext cx="154019" cy="154019"/>
                    </a:xfrm>
                    <a:prstGeom prst="rect">
                      <a:avLst/>
                    </a:prstGeom>
                  </pic:spPr>
                </pic:pic>
              </a:graphicData>
            </a:graphic>
          </wp:anchor>
        </w:drawing>
      </w:r>
      <w:r>
        <w:rPr/>
        <w:pict>
          <v:shape style="position:absolute;margin-left:69.830002pt;margin-top:13.799072pt;width:722.8pt;height:213.2pt;mso-position-horizontal-relative:page;mso-position-vertical-relative:paragraph;z-index:0;mso-wrap-distance-left:0;mso-wrap-distance-right:0"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078"/>
                    <w:gridCol w:w="1458"/>
                    <w:gridCol w:w="1316"/>
                    <w:gridCol w:w="1312"/>
                    <w:gridCol w:w="5170"/>
                    <w:gridCol w:w="1122"/>
                  </w:tblGrid>
                  <w:tr>
                    <w:trPr>
                      <w:trHeight w:val="594" w:hRule="exact"/>
                    </w:trPr>
                    <w:tc>
                      <w:tcPr>
                        <w:tcW w:w="4078" w:type="dxa"/>
                      </w:tcPr>
                      <w:p>
                        <w:pPr/>
                      </w:p>
                    </w:tc>
                    <w:tc>
                      <w:tcPr>
                        <w:tcW w:w="1458" w:type="dxa"/>
                      </w:tcPr>
                      <w:p>
                        <w:pPr>
                          <w:pStyle w:val="TableParagraph"/>
                          <w:spacing w:before="30"/>
                          <w:ind w:left="428" w:right="588"/>
                          <w:jc w:val="center"/>
                          <w:rPr>
                            <w:b/>
                            <w:sz w:val="18"/>
                          </w:rPr>
                        </w:pPr>
                        <w:r>
                          <w:rPr>
                            <w:b/>
                            <w:sz w:val="18"/>
                          </w:rPr>
                          <w:t>2016</w:t>
                        </w:r>
                      </w:p>
                      <w:p>
                        <w:pPr>
                          <w:pStyle w:val="TableParagraph"/>
                          <w:spacing w:before="66"/>
                          <w:ind w:right="158"/>
                          <w:jc w:val="center"/>
                          <w:rPr>
                            <w:b/>
                            <w:sz w:val="18"/>
                          </w:rPr>
                        </w:pPr>
                        <w:r>
                          <w:rPr>
                            <w:b/>
                            <w:w w:val="99"/>
                            <w:sz w:val="18"/>
                          </w:rPr>
                          <w:t>$</w:t>
                        </w:r>
                      </w:p>
                    </w:tc>
                    <w:tc>
                      <w:tcPr>
                        <w:tcW w:w="1316" w:type="dxa"/>
                      </w:tcPr>
                      <w:p>
                        <w:pPr>
                          <w:pStyle w:val="TableParagraph"/>
                          <w:spacing w:before="30"/>
                          <w:ind w:left="268" w:right="608"/>
                          <w:jc w:val="center"/>
                          <w:rPr>
                            <w:b/>
                            <w:sz w:val="18"/>
                          </w:rPr>
                        </w:pPr>
                        <w:r>
                          <w:rPr>
                            <w:b/>
                            <w:sz w:val="18"/>
                          </w:rPr>
                          <w:t>2015</w:t>
                        </w:r>
                      </w:p>
                      <w:p>
                        <w:pPr>
                          <w:pStyle w:val="TableParagraph"/>
                          <w:spacing w:before="66"/>
                          <w:ind w:right="338"/>
                          <w:jc w:val="center"/>
                          <w:rPr>
                            <w:b/>
                            <w:sz w:val="18"/>
                          </w:rPr>
                        </w:pPr>
                        <w:r>
                          <w:rPr>
                            <w:b/>
                            <w:w w:val="99"/>
                            <w:sz w:val="18"/>
                          </w:rPr>
                          <w:t>$</w:t>
                        </w:r>
                      </w:p>
                    </w:tc>
                    <w:tc>
                      <w:tcPr>
                        <w:tcW w:w="1312" w:type="dxa"/>
                      </w:tcPr>
                      <w:p>
                        <w:pPr>
                          <w:pStyle w:val="TableParagraph"/>
                          <w:spacing w:before="30"/>
                          <w:ind w:left="249" w:right="622"/>
                          <w:jc w:val="center"/>
                          <w:rPr>
                            <w:b/>
                            <w:sz w:val="18"/>
                          </w:rPr>
                        </w:pPr>
                        <w:r>
                          <w:rPr>
                            <w:b/>
                            <w:sz w:val="18"/>
                          </w:rPr>
                          <w:t>2016</w:t>
                        </w:r>
                      </w:p>
                      <w:p>
                        <w:pPr>
                          <w:pStyle w:val="TableParagraph"/>
                          <w:spacing w:before="66"/>
                          <w:ind w:right="372"/>
                          <w:jc w:val="center"/>
                          <w:rPr>
                            <w:b/>
                            <w:sz w:val="18"/>
                          </w:rPr>
                        </w:pPr>
                        <w:r>
                          <w:rPr>
                            <w:b/>
                            <w:w w:val="99"/>
                            <w:sz w:val="18"/>
                          </w:rPr>
                          <w:t>$</w:t>
                        </w:r>
                      </w:p>
                    </w:tc>
                    <w:tc>
                      <w:tcPr>
                        <w:tcW w:w="5170" w:type="dxa"/>
                      </w:tcPr>
                      <w:p>
                        <w:pPr>
                          <w:pStyle w:val="TableParagraph"/>
                          <w:tabs>
                            <w:tab w:pos="1297" w:val="left" w:leader="none"/>
                            <w:tab w:pos="2594" w:val="left" w:leader="none"/>
                            <w:tab w:pos="3891" w:val="left" w:leader="none"/>
                          </w:tabs>
                          <w:spacing w:before="30"/>
                          <w:ind w:right="369"/>
                          <w:jc w:val="center"/>
                          <w:rPr>
                            <w:b/>
                            <w:sz w:val="18"/>
                          </w:rPr>
                        </w:pPr>
                        <w:r>
                          <w:rPr>
                            <w:b/>
                            <w:sz w:val="18"/>
                          </w:rPr>
                          <w:t>2015</w:t>
                          <w:tab/>
                          <w:t>2016</w:t>
                          <w:tab/>
                          <w:t>2015</w:t>
                          <w:tab/>
                          <w:t>2016</w:t>
                        </w:r>
                      </w:p>
                      <w:p>
                        <w:pPr>
                          <w:pStyle w:val="TableParagraph"/>
                          <w:tabs>
                            <w:tab w:pos="1297" w:val="left" w:leader="none"/>
                            <w:tab w:pos="2594" w:val="left" w:leader="none"/>
                            <w:tab w:pos="3891" w:val="left" w:leader="none"/>
                          </w:tabs>
                          <w:spacing w:before="66"/>
                          <w:ind w:right="367"/>
                          <w:jc w:val="center"/>
                          <w:rPr>
                            <w:b/>
                            <w:sz w:val="18"/>
                          </w:rPr>
                        </w:pPr>
                        <w:r>
                          <w:rPr>
                            <w:b/>
                            <w:sz w:val="18"/>
                          </w:rPr>
                          <w:t>$</w:t>
                          <w:tab/>
                          <w:t>$</w:t>
                          <w:tab/>
                          <w:t>$</w:t>
                          <w:tab/>
                          <w:t>$</w:t>
                        </w:r>
                      </w:p>
                    </w:tc>
                    <w:tc>
                      <w:tcPr>
                        <w:tcW w:w="1122" w:type="dxa"/>
                      </w:tcPr>
                      <w:p>
                        <w:pPr>
                          <w:pStyle w:val="TableParagraph"/>
                          <w:spacing w:before="30"/>
                          <w:ind w:left="253" w:right="427"/>
                          <w:jc w:val="center"/>
                          <w:rPr>
                            <w:b/>
                            <w:sz w:val="18"/>
                          </w:rPr>
                        </w:pPr>
                        <w:r>
                          <w:rPr>
                            <w:b/>
                            <w:sz w:val="18"/>
                          </w:rPr>
                          <w:t>2015</w:t>
                        </w:r>
                      </w:p>
                      <w:p>
                        <w:pPr>
                          <w:pStyle w:val="TableParagraph"/>
                          <w:spacing w:before="66"/>
                          <w:ind w:right="172"/>
                          <w:jc w:val="center"/>
                          <w:rPr>
                            <w:b/>
                            <w:sz w:val="18"/>
                          </w:rPr>
                        </w:pPr>
                        <w:r>
                          <w:rPr>
                            <w:b/>
                            <w:w w:val="99"/>
                            <w:sz w:val="18"/>
                          </w:rPr>
                          <w:t>$</w:t>
                        </w:r>
                      </w:p>
                    </w:tc>
                  </w:tr>
                  <w:tr>
                    <w:trPr>
                      <w:trHeight w:val="543" w:hRule="exact"/>
                    </w:trPr>
                    <w:tc>
                      <w:tcPr>
                        <w:tcW w:w="4078" w:type="dxa"/>
                      </w:tcPr>
                      <w:p>
                        <w:pPr>
                          <w:pStyle w:val="TableParagraph"/>
                          <w:spacing w:before="63"/>
                          <w:ind w:left="35"/>
                          <w:jc w:val="left"/>
                          <w:rPr>
                            <w:b/>
                            <w:sz w:val="18"/>
                          </w:rPr>
                        </w:pPr>
                        <w:r>
                          <w:rPr>
                            <w:b/>
                            <w:sz w:val="18"/>
                          </w:rPr>
                          <w:t>Financial assets due for receipt</w:t>
                        </w:r>
                      </w:p>
                      <w:p>
                        <w:pPr>
                          <w:pStyle w:val="TableParagraph"/>
                          <w:spacing w:before="27"/>
                          <w:ind w:left="35"/>
                          <w:jc w:val="left"/>
                          <w:rPr>
                            <w:sz w:val="18"/>
                          </w:rPr>
                        </w:pPr>
                        <w:r>
                          <w:rPr>
                            <w:sz w:val="18"/>
                          </w:rPr>
                          <w:t>Cash and cash equivalents</w:t>
                        </w:r>
                      </w:p>
                    </w:tc>
                    <w:tc>
                      <w:tcPr>
                        <w:tcW w:w="1458" w:type="dxa"/>
                      </w:tcPr>
                      <w:p>
                        <w:pPr>
                          <w:pStyle w:val="TableParagraph"/>
                          <w:spacing w:before="11"/>
                          <w:jc w:val="left"/>
                          <w:rPr>
                            <w:b/>
                            <w:sz w:val="25"/>
                          </w:rPr>
                        </w:pPr>
                      </w:p>
                      <w:p>
                        <w:pPr>
                          <w:pStyle w:val="TableParagraph"/>
                          <w:ind w:right="247"/>
                          <w:rPr>
                            <w:b/>
                            <w:sz w:val="18"/>
                          </w:rPr>
                        </w:pPr>
                        <w:r>
                          <w:rPr>
                            <w:b/>
                            <w:w w:val="95"/>
                            <w:sz w:val="18"/>
                          </w:rPr>
                          <w:t>1,109,058</w:t>
                        </w:r>
                      </w:p>
                    </w:tc>
                    <w:tc>
                      <w:tcPr>
                        <w:tcW w:w="1316" w:type="dxa"/>
                      </w:tcPr>
                      <w:p>
                        <w:pPr>
                          <w:pStyle w:val="TableParagraph"/>
                          <w:spacing w:before="11"/>
                          <w:jc w:val="left"/>
                          <w:rPr>
                            <w:b/>
                            <w:sz w:val="25"/>
                          </w:rPr>
                        </w:pPr>
                      </w:p>
                      <w:p>
                        <w:pPr>
                          <w:pStyle w:val="TableParagraph"/>
                          <w:ind w:right="266"/>
                          <w:rPr>
                            <w:sz w:val="18"/>
                          </w:rPr>
                        </w:pPr>
                        <w:r>
                          <w:rPr>
                            <w:w w:val="95"/>
                            <w:sz w:val="18"/>
                          </w:rPr>
                          <w:t>696,371</w:t>
                        </w:r>
                      </w:p>
                    </w:tc>
                    <w:tc>
                      <w:tcPr>
                        <w:tcW w:w="1312" w:type="dxa"/>
                      </w:tcPr>
                      <w:p>
                        <w:pPr>
                          <w:pStyle w:val="TableParagraph"/>
                          <w:spacing w:before="11"/>
                          <w:jc w:val="left"/>
                          <w:rPr>
                            <w:b/>
                            <w:sz w:val="25"/>
                          </w:rPr>
                        </w:pPr>
                      </w:p>
                      <w:p>
                        <w:pPr>
                          <w:pStyle w:val="TableParagraph"/>
                          <w:ind w:left="437"/>
                          <w:jc w:val="left"/>
                          <w:rPr>
                            <w:b/>
                            <w:sz w:val="18"/>
                          </w:rPr>
                        </w:pPr>
                        <w:r>
                          <w:rPr>
                            <w:b/>
                            <w:w w:val="99"/>
                            <w:sz w:val="18"/>
                          </w:rPr>
                          <w:t>-</w:t>
                        </w:r>
                      </w:p>
                    </w:tc>
                    <w:tc>
                      <w:tcPr>
                        <w:tcW w:w="5170" w:type="dxa"/>
                      </w:tcPr>
                      <w:p>
                        <w:pPr>
                          <w:pStyle w:val="TableParagraph"/>
                          <w:spacing w:before="11"/>
                          <w:jc w:val="left"/>
                          <w:rPr>
                            <w:b/>
                            <w:sz w:val="25"/>
                          </w:rPr>
                        </w:pPr>
                      </w:p>
                      <w:p>
                        <w:pPr>
                          <w:pStyle w:val="TableParagraph"/>
                          <w:tabs>
                            <w:tab w:pos="1297" w:val="left" w:leader="none"/>
                            <w:tab w:pos="2594" w:val="left" w:leader="none"/>
                            <w:tab w:pos="3712" w:val="left" w:leader="none"/>
                          </w:tabs>
                          <w:ind w:right="233"/>
                          <w:rPr>
                            <w:b/>
                            <w:sz w:val="18"/>
                          </w:rPr>
                        </w:pPr>
                        <w:r>
                          <w:rPr>
                            <w:sz w:val="18"/>
                          </w:rPr>
                          <w:t>-</w:t>
                          <w:tab/>
                        </w:r>
                        <w:r>
                          <w:rPr>
                            <w:b/>
                            <w:sz w:val="18"/>
                          </w:rPr>
                          <w:t>-</w:t>
                          <w:tab/>
                        </w:r>
                        <w:r>
                          <w:rPr>
                            <w:sz w:val="18"/>
                          </w:rPr>
                          <w:t>-</w:t>
                          <w:tab/>
                        </w:r>
                        <w:r>
                          <w:rPr>
                            <w:b/>
                            <w:spacing w:val="-1"/>
                            <w:w w:val="95"/>
                            <w:sz w:val="18"/>
                          </w:rPr>
                          <w:t>1,109,058</w:t>
                        </w:r>
                      </w:p>
                    </w:tc>
                    <w:tc>
                      <w:tcPr>
                        <w:tcW w:w="1122" w:type="dxa"/>
                      </w:tcPr>
                      <w:p>
                        <w:pPr>
                          <w:pStyle w:val="TableParagraph"/>
                          <w:spacing w:before="11"/>
                          <w:jc w:val="left"/>
                          <w:rPr>
                            <w:b/>
                            <w:sz w:val="25"/>
                          </w:rPr>
                        </w:pPr>
                      </w:p>
                      <w:p>
                        <w:pPr>
                          <w:pStyle w:val="TableParagraph"/>
                          <w:ind w:right="86"/>
                          <w:rPr>
                            <w:sz w:val="18"/>
                          </w:rPr>
                        </w:pPr>
                        <w:r>
                          <w:rPr>
                            <w:w w:val="95"/>
                            <w:sz w:val="18"/>
                          </w:rPr>
                          <w:t>696,371</w:t>
                        </w:r>
                      </w:p>
                    </w:tc>
                  </w:tr>
                  <w:tr>
                    <w:trPr>
                      <w:trHeight w:val="264" w:hRule="exact"/>
                    </w:trPr>
                    <w:tc>
                      <w:tcPr>
                        <w:tcW w:w="4078" w:type="dxa"/>
                      </w:tcPr>
                      <w:p>
                        <w:pPr>
                          <w:pStyle w:val="TableParagraph"/>
                          <w:spacing w:before="18"/>
                          <w:ind w:left="35"/>
                          <w:jc w:val="left"/>
                          <w:rPr>
                            <w:sz w:val="18"/>
                          </w:rPr>
                        </w:pPr>
                        <w:r>
                          <w:rPr>
                            <w:sz w:val="18"/>
                          </w:rPr>
                          <w:t>Loans to parent entity</w:t>
                        </w:r>
                      </w:p>
                    </w:tc>
                    <w:tc>
                      <w:tcPr>
                        <w:tcW w:w="1458" w:type="dxa"/>
                      </w:tcPr>
                      <w:p>
                        <w:pPr>
                          <w:pStyle w:val="TableParagraph"/>
                          <w:spacing w:before="19"/>
                          <w:ind w:right="247"/>
                          <w:rPr>
                            <w:b/>
                            <w:sz w:val="18"/>
                          </w:rPr>
                        </w:pPr>
                        <w:r>
                          <w:rPr>
                            <w:b/>
                            <w:w w:val="95"/>
                            <w:sz w:val="18"/>
                          </w:rPr>
                          <w:t>5,651,726</w:t>
                        </w:r>
                      </w:p>
                    </w:tc>
                    <w:tc>
                      <w:tcPr>
                        <w:tcW w:w="1316" w:type="dxa"/>
                      </w:tcPr>
                      <w:p>
                        <w:pPr>
                          <w:pStyle w:val="TableParagraph"/>
                          <w:spacing w:before="19"/>
                          <w:ind w:right="266"/>
                          <w:rPr>
                            <w:sz w:val="18"/>
                          </w:rPr>
                        </w:pPr>
                        <w:r>
                          <w:rPr>
                            <w:w w:val="95"/>
                            <w:sz w:val="18"/>
                          </w:rPr>
                          <w:t>6,560,759</w:t>
                        </w:r>
                      </w:p>
                    </w:tc>
                    <w:tc>
                      <w:tcPr>
                        <w:tcW w:w="1312" w:type="dxa"/>
                      </w:tcPr>
                      <w:p>
                        <w:pPr>
                          <w:pStyle w:val="TableParagraph"/>
                          <w:spacing w:before="19"/>
                          <w:ind w:left="437"/>
                          <w:jc w:val="left"/>
                          <w:rPr>
                            <w:b/>
                            <w:sz w:val="18"/>
                          </w:rPr>
                        </w:pPr>
                        <w:r>
                          <w:rPr>
                            <w:b/>
                            <w:w w:val="99"/>
                            <w:sz w:val="18"/>
                          </w:rPr>
                          <w:t>-</w:t>
                        </w:r>
                      </w:p>
                    </w:tc>
                    <w:tc>
                      <w:tcPr>
                        <w:tcW w:w="5170" w:type="dxa"/>
                      </w:tcPr>
                      <w:p>
                        <w:pPr>
                          <w:pStyle w:val="TableParagraph"/>
                          <w:tabs>
                            <w:tab w:pos="1297" w:val="left" w:leader="none"/>
                            <w:tab w:pos="2594" w:val="left" w:leader="none"/>
                            <w:tab w:pos="3712" w:val="left" w:leader="none"/>
                          </w:tabs>
                          <w:spacing w:before="19"/>
                          <w:ind w:right="233"/>
                          <w:rPr>
                            <w:b/>
                            <w:sz w:val="18"/>
                          </w:rPr>
                        </w:pPr>
                        <w:r>
                          <w:rPr>
                            <w:sz w:val="18"/>
                          </w:rPr>
                          <w:t>-</w:t>
                          <w:tab/>
                        </w:r>
                        <w:r>
                          <w:rPr>
                            <w:b/>
                            <w:sz w:val="18"/>
                          </w:rPr>
                          <w:t>-</w:t>
                          <w:tab/>
                        </w:r>
                        <w:r>
                          <w:rPr>
                            <w:sz w:val="18"/>
                          </w:rPr>
                          <w:t>-</w:t>
                          <w:tab/>
                        </w:r>
                        <w:r>
                          <w:rPr>
                            <w:b/>
                            <w:spacing w:val="-1"/>
                            <w:w w:val="95"/>
                            <w:sz w:val="18"/>
                          </w:rPr>
                          <w:t>5,651,726</w:t>
                        </w:r>
                      </w:p>
                    </w:tc>
                    <w:tc>
                      <w:tcPr>
                        <w:tcW w:w="1122" w:type="dxa"/>
                      </w:tcPr>
                      <w:p>
                        <w:pPr>
                          <w:pStyle w:val="TableParagraph"/>
                          <w:spacing w:before="19"/>
                          <w:ind w:right="86"/>
                          <w:rPr>
                            <w:sz w:val="18"/>
                          </w:rPr>
                        </w:pPr>
                        <w:r>
                          <w:rPr>
                            <w:w w:val="95"/>
                            <w:sz w:val="18"/>
                          </w:rPr>
                          <w:t>6,560,759</w:t>
                        </w:r>
                      </w:p>
                    </w:tc>
                  </w:tr>
                  <w:tr>
                    <w:trPr>
                      <w:trHeight w:val="264" w:hRule="exact"/>
                    </w:trPr>
                    <w:tc>
                      <w:tcPr>
                        <w:tcW w:w="4078" w:type="dxa"/>
                      </w:tcPr>
                      <w:p>
                        <w:pPr>
                          <w:pStyle w:val="TableParagraph"/>
                          <w:spacing w:before="18"/>
                          <w:ind w:left="35"/>
                          <w:jc w:val="left"/>
                          <w:rPr>
                            <w:sz w:val="18"/>
                          </w:rPr>
                        </w:pPr>
                        <w:r>
                          <w:rPr>
                            <w:sz w:val="18"/>
                          </w:rPr>
                          <w:t>Trade and other receivables</w:t>
                        </w:r>
                      </w:p>
                    </w:tc>
                    <w:tc>
                      <w:tcPr>
                        <w:tcW w:w="1458" w:type="dxa"/>
                      </w:tcPr>
                      <w:p>
                        <w:pPr>
                          <w:pStyle w:val="TableParagraph"/>
                          <w:spacing w:before="19"/>
                          <w:ind w:right="247"/>
                          <w:rPr>
                            <w:b/>
                            <w:sz w:val="18"/>
                          </w:rPr>
                        </w:pPr>
                        <w:r>
                          <w:rPr>
                            <w:b/>
                            <w:w w:val="95"/>
                            <w:sz w:val="18"/>
                          </w:rPr>
                          <w:t>401,737</w:t>
                        </w:r>
                      </w:p>
                    </w:tc>
                    <w:tc>
                      <w:tcPr>
                        <w:tcW w:w="1316" w:type="dxa"/>
                      </w:tcPr>
                      <w:p>
                        <w:pPr>
                          <w:pStyle w:val="TableParagraph"/>
                          <w:spacing w:before="19"/>
                          <w:ind w:right="266"/>
                          <w:rPr>
                            <w:sz w:val="18"/>
                          </w:rPr>
                        </w:pPr>
                        <w:r>
                          <w:rPr>
                            <w:w w:val="95"/>
                            <w:sz w:val="18"/>
                          </w:rPr>
                          <w:t>362,142</w:t>
                        </w:r>
                      </w:p>
                    </w:tc>
                    <w:tc>
                      <w:tcPr>
                        <w:tcW w:w="1312" w:type="dxa"/>
                      </w:tcPr>
                      <w:p>
                        <w:pPr>
                          <w:pStyle w:val="TableParagraph"/>
                          <w:spacing w:before="19"/>
                          <w:ind w:left="437"/>
                          <w:jc w:val="left"/>
                          <w:rPr>
                            <w:b/>
                            <w:sz w:val="18"/>
                          </w:rPr>
                        </w:pPr>
                        <w:r>
                          <w:rPr>
                            <w:b/>
                            <w:w w:val="99"/>
                            <w:sz w:val="18"/>
                          </w:rPr>
                          <w:t>-</w:t>
                        </w:r>
                      </w:p>
                    </w:tc>
                    <w:tc>
                      <w:tcPr>
                        <w:tcW w:w="5170" w:type="dxa"/>
                      </w:tcPr>
                      <w:p>
                        <w:pPr>
                          <w:pStyle w:val="TableParagraph"/>
                          <w:tabs>
                            <w:tab w:pos="1297" w:val="left" w:leader="none"/>
                            <w:tab w:pos="2594" w:val="left" w:leader="none"/>
                            <w:tab w:pos="3862" w:val="left" w:leader="none"/>
                          </w:tabs>
                          <w:spacing w:before="19"/>
                          <w:ind w:right="233"/>
                          <w:rPr>
                            <w:b/>
                            <w:sz w:val="18"/>
                          </w:rPr>
                        </w:pPr>
                        <w:r>
                          <w:rPr>
                            <w:sz w:val="18"/>
                          </w:rPr>
                          <w:t>-</w:t>
                          <w:tab/>
                        </w:r>
                        <w:r>
                          <w:rPr>
                            <w:b/>
                            <w:sz w:val="18"/>
                          </w:rPr>
                          <w:t>-</w:t>
                          <w:tab/>
                        </w:r>
                        <w:r>
                          <w:rPr>
                            <w:sz w:val="18"/>
                          </w:rPr>
                          <w:t>-</w:t>
                          <w:tab/>
                        </w:r>
                        <w:r>
                          <w:rPr>
                            <w:b/>
                            <w:spacing w:val="-1"/>
                            <w:w w:val="95"/>
                            <w:sz w:val="18"/>
                          </w:rPr>
                          <w:t>401,737</w:t>
                        </w:r>
                      </w:p>
                    </w:tc>
                    <w:tc>
                      <w:tcPr>
                        <w:tcW w:w="1122" w:type="dxa"/>
                      </w:tcPr>
                      <w:p>
                        <w:pPr>
                          <w:pStyle w:val="TableParagraph"/>
                          <w:spacing w:before="19"/>
                          <w:ind w:right="86"/>
                          <w:rPr>
                            <w:sz w:val="18"/>
                          </w:rPr>
                        </w:pPr>
                        <w:r>
                          <w:rPr>
                            <w:w w:val="95"/>
                            <w:sz w:val="18"/>
                          </w:rPr>
                          <w:t>362,142</w:t>
                        </w:r>
                      </w:p>
                    </w:tc>
                  </w:tr>
                  <w:tr>
                    <w:trPr>
                      <w:trHeight w:val="264" w:hRule="exact"/>
                    </w:trPr>
                    <w:tc>
                      <w:tcPr>
                        <w:tcW w:w="4078" w:type="dxa"/>
                      </w:tcPr>
                      <w:p>
                        <w:pPr>
                          <w:pStyle w:val="TableParagraph"/>
                          <w:spacing w:before="18"/>
                          <w:ind w:left="35"/>
                          <w:jc w:val="left"/>
                          <w:rPr>
                            <w:sz w:val="18"/>
                          </w:rPr>
                        </w:pPr>
                        <w:r>
                          <w:rPr>
                            <w:sz w:val="18"/>
                          </w:rPr>
                          <w:t>Receivables from related parties</w:t>
                        </w:r>
                      </w:p>
                    </w:tc>
                    <w:tc>
                      <w:tcPr>
                        <w:tcW w:w="1458" w:type="dxa"/>
                      </w:tcPr>
                      <w:p>
                        <w:pPr>
                          <w:pStyle w:val="TableParagraph"/>
                          <w:spacing w:before="19"/>
                          <w:ind w:right="247"/>
                          <w:rPr>
                            <w:b/>
                            <w:sz w:val="18"/>
                          </w:rPr>
                        </w:pPr>
                        <w:r>
                          <w:rPr>
                            <w:b/>
                            <w:w w:val="95"/>
                            <w:sz w:val="18"/>
                          </w:rPr>
                          <w:t>585,588</w:t>
                        </w:r>
                      </w:p>
                    </w:tc>
                    <w:tc>
                      <w:tcPr>
                        <w:tcW w:w="1316" w:type="dxa"/>
                      </w:tcPr>
                      <w:p>
                        <w:pPr>
                          <w:pStyle w:val="TableParagraph"/>
                          <w:spacing w:before="19"/>
                          <w:ind w:right="266"/>
                          <w:rPr>
                            <w:sz w:val="18"/>
                          </w:rPr>
                        </w:pPr>
                        <w:r>
                          <w:rPr>
                            <w:w w:val="95"/>
                            <w:sz w:val="18"/>
                          </w:rPr>
                          <w:t>86,250</w:t>
                        </w:r>
                      </w:p>
                    </w:tc>
                    <w:tc>
                      <w:tcPr>
                        <w:tcW w:w="1312" w:type="dxa"/>
                      </w:tcPr>
                      <w:p>
                        <w:pPr>
                          <w:pStyle w:val="TableParagraph"/>
                          <w:spacing w:before="19"/>
                          <w:ind w:left="437"/>
                          <w:jc w:val="left"/>
                          <w:rPr>
                            <w:b/>
                            <w:sz w:val="18"/>
                          </w:rPr>
                        </w:pPr>
                        <w:r>
                          <w:rPr>
                            <w:b/>
                            <w:w w:val="99"/>
                            <w:sz w:val="18"/>
                          </w:rPr>
                          <w:t>-</w:t>
                        </w:r>
                      </w:p>
                    </w:tc>
                    <w:tc>
                      <w:tcPr>
                        <w:tcW w:w="5170" w:type="dxa"/>
                      </w:tcPr>
                      <w:p>
                        <w:pPr>
                          <w:pStyle w:val="TableParagraph"/>
                          <w:tabs>
                            <w:tab w:pos="1297" w:val="left" w:leader="none"/>
                            <w:tab w:pos="2594" w:val="left" w:leader="none"/>
                            <w:tab w:pos="3862" w:val="left" w:leader="none"/>
                          </w:tabs>
                          <w:spacing w:before="19"/>
                          <w:ind w:right="233"/>
                          <w:rPr>
                            <w:b/>
                            <w:sz w:val="18"/>
                          </w:rPr>
                        </w:pPr>
                        <w:r>
                          <w:rPr>
                            <w:sz w:val="18"/>
                          </w:rPr>
                          <w:t>-</w:t>
                          <w:tab/>
                        </w:r>
                        <w:r>
                          <w:rPr>
                            <w:b/>
                            <w:sz w:val="18"/>
                          </w:rPr>
                          <w:t>-</w:t>
                          <w:tab/>
                        </w:r>
                        <w:r>
                          <w:rPr>
                            <w:sz w:val="18"/>
                          </w:rPr>
                          <w:t>-</w:t>
                          <w:tab/>
                        </w:r>
                        <w:r>
                          <w:rPr>
                            <w:b/>
                            <w:spacing w:val="-1"/>
                            <w:w w:val="95"/>
                            <w:sz w:val="18"/>
                          </w:rPr>
                          <w:t>585,588</w:t>
                        </w:r>
                      </w:p>
                    </w:tc>
                    <w:tc>
                      <w:tcPr>
                        <w:tcW w:w="1122" w:type="dxa"/>
                      </w:tcPr>
                      <w:p>
                        <w:pPr>
                          <w:pStyle w:val="TableParagraph"/>
                          <w:spacing w:before="19"/>
                          <w:ind w:right="86"/>
                          <w:rPr>
                            <w:sz w:val="18"/>
                          </w:rPr>
                        </w:pPr>
                        <w:r>
                          <w:rPr>
                            <w:w w:val="95"/>
                            <w:sz w:val="18"/>
                          </w:rPr>
                          <w:t>86,250</w:t>
                        </w:r>
                      </w:p>
                    </w:tc>
                  </w:tr>
                  <w:tr>
                    <w:trPr>
                      <w:trHeight w:val="263" w:hRule="exact"/>
                    </w:trPr>
                    <w:tc>
                      <w:tcPr>
                        <w:tcW w:w="4078" w:type="dxa"/>
                      </w:tcPr>
                      <w:p>
                        <w:pPr>
                          <w:pStyle w:val="TableParagraph"/>
                          <w:spacing w:before="18"/>
                          <w:ind w:left="35"/>
                          <w:jc w:val="left"/>
                          <w:rPr>
                            <w:sz w:val="18"/>
                          </w:rPr>
                        </w:pPr>
                        <w:r>
                          <w:rPr>
                            <w:sz w:val="18"/>
                          </w:rPr>
                          <w:t>Loans to joint venture</w:t>
                        </w:r>
                      </w:p>
                    </w:tc>
                    <w:tc>
                      <w:tcPr>
                        <w:tcW w:w="1458" w:type="dxa"/>
                        <w:tcBorders>
                          <w:bottom w:val="single" w:sz="0" w:space="0" w:color="000000"/>
                        </w:tcBorders>
                      </w:tcPr>
                      <w:p>
                        <w:pPr>
                          <w:pStyle w:val="TableParagraph"/>
                          <w:spacing w:before="19"/>
                          <w:ind w:right="160"/>
                          <w:jc w:val="center"/>
                          <w:rPr>
                            <w:b/>
                            <w:sz w:val="18"/>
                          </w:rPr>
                        </w:pPr>
                        <w:r>
                          <w:rPr>
                            <w:b/>
                            <w:w w:val="99"/>
                            <w:sz w:val="18"/>
                          </w:rPr>
                          <w:t>-</w:t>
                        </w:r>
                      </w:p>
                    </w:tc>
                    <w:tc>
                      <w:tcPr>
                        <w:tcW w:w="1316" w:type="dxa"/>
                        <w:tcBorders>
                          <w:bottom w:val="single" w:sz="0" w:space="0" w:color="000000"/>
                        </w:tcBorders>
                      </w:tcPr>
                      <w:p>
                        <w:pPr>
                          <w:pStyle w:val="TableParagraph"/>
                          <w:spacing w:before="19"/>
                          <w:ind w:right="340"/>
                          <w:jc w:val="center"/>
                          <w:rPr>
                            <w:sz w:val="18"/>
                          </w:rPr>
                        </w:pPr>
                        <w:r>
                          <w:rPr>
                            <w:w w:val="99"/>
                            <w:sz w:val="18"/>
                          </w:rPr>
                          <w:t>-</w:t>
                        </w:r>
                      </w:p>
                    </w:tc>
                    <w:tc>
                      <w:tcPr>
                        <w:tcW w:w="1312" w:type="dxa"/>
                        <w:tcBorders>
                          <w:bottom w:val="single" w:sz="0" w:space="0" w:color="000000"/>
                        </w:tcBorders>
                      </w:tcPr>
                      <w:p>
                        <w:pPr>
                          <w:pStyle w:val="TableParagraph"/>
                          <w:spacing w:before="19"/>
                          <w:ind w:left="409"/>
                          <w:jc w:val="left"/>
                          <w:rPr>
                            <w:b/>
                            <w:sz w:val="18"/>
                          </w:rPr>
                        </w:pPr>
                        <w:r>
                          <w:rPr>
                            <w:b/>
                            <w:sz w:val="18"/>
                          </w:rPr>
                          <w:t>247,890</w:t>
                        </w:r>
                      </w:p>
                    </w:tc>
                    <w:tc>
                      <w:tcPr>
                        <w:tcW w:w="5170" w:type="dxa"/>
                        <w:tcBorders>
                          <w:bottom w:val="single" w:sz="0" w:space="0" w:color="000000"/>
                        </w:tcBorders>
                      </w:tcPr>
                      <w:p>
                        <w:pPr>
                          <w:pStyle w:val="TableParagraph"/>
                          <w:tabs>
                            <w:tab w:pos="1297" w:val="left" w:leader="none"/>
                            <w:tab w:pos="2594" w:val="left" w:leader="none"/>
                            <w:tab w:pos="3862" w:val="left" w:leader="none"/>
                          </w:tabs>
                          <w:spacing w:before="19"/>
                          <w:ind w:right="233"/>
                          <w:rPr>
                            <w:b/>
                            <w:sz w:val="18"/>
                          </w:rPr>
                        </w:pPr>
                        <w:r>
                          <w:rPr>
                            <w:sz w:val="18"/>
                          </w:rPr>
                          <w:t>-</w:t>
                          <w:tab/>
                        </w:r>
                        <w:r>
                          <w:rPr>
                            <w:b/>
                            <w:sz w:val="18"/>
                          </w:rPr>
                          <w:t>-</w:t>
                          <w:tab/>
                        </w:r>
                        <w:r>
                          <w:rPr>
                            <w:sz w:val="18"/>
                          </w:rPr>
                          <w:t>-</w:t>
                          <w:tab/>
                        </w:r>
                        <w:r>
                          <w:rPr>
                            <w:b/>
                            <w:spacing w:val="-1"/>
                            <w:w w:val="95"/>
                            <w:sz w:val="18"/>
                          </w:rPr>
                          <w:t>247,890</w:t>
                        </w:r>
                      </w:p>
                    </w:tc>
                    <w:tc>
                      <w:tcPr>
                        <w:tcW w:w="1122" w:type="dxa"/>
                        <w:tcBorders>
                          <w:bottom w:val="single" w:sz="0" w:space="0" w:color="000000"/>
                        </w:tcBorders>
                      </w:tcPr>
                      <w:p>
                        <w:pPr>
                          <w:pStyle w:val="TableParagraph"/>
                          <w:spacing w:before="19"/>
                          <w:ind w:right="174"/>
                          <w:jc w:val="center"/>
                          <w:rPr>
                            <w:sz w:val="18"/>
                          </w:rPr>
                        </w:pPr>
                        <w:r>
                          <w:rPr>
                            <w:w w:val="99"/>
                            <w:sz w:val="18"/>
                          </w:rPr>
                          <w:t>-</w:t>
                        </w:r>
                      </w:p>
                    </w:tc>
                  </w:tr>
                  <w:tr>
                    <w:trPr>
                      <w:trHeight w:val="338" w:hRule="exact"/>
                    </w:trPr>
                    <w:tc>
                      <w:tcPr>
                        <w:tcW w:w="4078" w:type="dxa"/>
                      </w:tcPr>
                      <w:p>
                        <w:pPr/>
                      </w:p>
                    </w:tc>
                    <w:tc>
                      <w:tcPr>
                        <w:tcW w:w="1458" w:type="dxa"/>
                        <w:tcBorders>
                          <w:top w:val="single" w:sz="0" w:space="0" w:color="000000"/>
                          <w:bottom w:val="single" w:sz="0" w:space="0" w:color="000000"/>
                        </w:tcBorders>
                      </w:tcPr>
                      <w:p>
                        <w:pPr>
                          <w:pStyle w:val="TableParagraph"/>
                          <w:spacing w:before="122"/>
                          <w:ind w:right="247"/>
                          <w:rPr>
                            <w:b/>
                            <w:sz w:val="18"/>
                          </w:rPr>
                        </w:pPr>
                        <w:r>
                          <w:rPr>
                            <w:b/>
                            <w:w w:val="95"/>
                            <w:sz w:val="18"/>
                          </w:rPr>
                          <w:t>7,748,109</w:t>
                        </w:r>
                      </w:p>
                    </w:tc>
                    <w:tc>
                      <w:tcPr>
                        <w:tcW w:w="1316" w:type="dxa"/>
                        <w:tcBorders>
                          <w:top w:val="single" w:sz="0" w:space="0" w:color="000000"/>
                          <w:bottom w:val="single" w:sz="0" w:space="0" w:color="000000"/>
                        </w:tcBorders>
                      </w:tcPr>
                      <w:p>
                        <w:pPr>
                          <w:pStyle w:val="TableParagraph"/>
                          <w:spacing w:before="122"/>
                          <w:ind w:right="266"/>
                          <w:rPr>
                            <w:sz w:val="18"/>
                          </w:rPr>
                        </w:pPr>
                        <w:r>
                          <w:rPr>
                            <w:w w:val="95"/>
                            <w:sz w:val="18"/>
                          </w:rPr>
                          <w:t>7,705,522</w:t>
                        </w:r>
                      </w:p>
                    </w:tc>
                    <w:tc>
                      <w:tcPr>
                        <w:tcW w:w="1312" w:type="dxa"/>
                        <w:tcBorders>
                          <w:top w:val="single" w:sz="0" w:space="0" w:color="000000"/>
                          <w:bottom w:val="single" w:sz="0" w:space="0" w:color="000000"/>
                        </w:tcBorders>
                      </w:tcPr>
                      <w:p>
                        <w:pPr>
                          <w:pStyle w:val="TableParagraph"/>
                          <w:spacing w:before="122"/>
                          <w:ind w:left="409"/>
                          <w:jc w:val="left"/>
                          <w:rPr>
                            <w:b/>
                            <w:sz w:val="18"/>
                          </w:rPr>
                        </w:pPr>
                        <w:r>
                          <w:rPr>
                            <w:b/>
                            <w:sz w:val="18"/>
                          </w:rPr>
                          <w:t>247,890</w:t>
                        </w:r>
                      </w:p>
                    </w:tc>
                    <w:tc>
                      <w:tcPr>
                        <w:tcW w:w="5170" w:type="dxa"/>
                        <w:tcBorders>
                          <w:top w:val="single" w:sz="0" w:space="0" w:color="000000"/>
                          <w:bottom w:val="single" w:sz="0" w:space="0" w:color="000000"/>
                        </w:tcBorders>
                      </w:tcPr>
                      <w:p>
                        <w:pPr>
                          <w:pStyle w:val="TableParagraph"/>
                          <w:tabs>
                            <w:tab w:pos="1297" w:val="left" w:leader="none"/>
                            <w:tab w:pos="2594" w:val="left" w:leader="none"/>
                            <w:tab w:pos="3712" w:val="left" w:leader="none"/>
                          </w:tabs>
                          <w:spacing w:before="122"/>
                          <w:ind w:right="233"/>
                          <w:rPr>
                            <w:b/>
                            <w:sz w:val="18"/>
                          </w:rPr>
                        </w:pPr>
                        <w:r>
                          <w:rPr>
                            <w:sz w:val="18"/>
                          </w:rPr>
                          <w:t>-</w:t>
                          <w:tab/>
                        </w:r>
                        <w:r>
                          <w:rPr>
                            <w:b/>
                            <w:sz w:val="18"/>
                          </w:rPr>
                          <w:t>-</w:t>
                          <w:tab/>
                        </w:r>
                        <w:r>
                          <w:rPr>
                            <w:sz w:val="18"/>
                          </w:rPr>
                          <w:t>-</w:t>
                          <w:tab/>
                        </w:r>
                        <w:r>
                          <w:rPr>
                            <w:b/>
                            <w:spacing w:val="-1"/>
                            <w:w w:val="95"/>
                            <w:sz w:val="18"/>
                          </w:rPr>
                          <w:t>7,995,999</w:t>
                        </w:r>
                      </w:p>
                    </w:tc>
                    <w:tc>
                      <w:tcPr>
                        <w:tcW w:w="1122" w:type="dxa"/>
                        <w:tcBorders>
                          <w:top w:val="single" w:sz="0" w:space="0" w:color="000000"/>
                          <w:bottom w:val="single" w:sz="0" w:space="0" w:color="000000"/>
                        </w:tcBorders>
                      </w:tcPr>
                      <w:p>
                        <w:pPr>
                          <w:pStyle w:val="TableParagraph"/>
                          <w:spacing w:before="122"/>
                          <w:ind w:right="86"/>
                          <w:rPr>
                            <w:sz w:val="18"/>
                          </w:rPr>
                        </w:pPr>
                        <w:r>
                          <w:rPr>
                            <w:w w:val="95"/>
                            <w:sz w:val="18"/>
                          </w:rPr>
                          <w:t>7,705,522</w:t>
                        </w:r>
                      </w:p>
                    </w:tc>
                  </w:tr>
                  <w:tr>
                    <w:trPr>
                      <w:trHeight w:val="603" w:hRule="exact"/>
                    </w:trPr>
                    <w:tc>
                      <w:tcPr>
                        <w:tcW w:w="4078" w:type="dxa"/>
                      </w:tcPr>
                      <w:p>
                        <w:pPr>
                          <w:pStyle w:val="TableParagraph"/>
                          <w:spacing w:before="123"/>
                          <w:ind w:left="35"/>
                          <w:jc w:val="left"/>
                          <w:rPr>
                            <w:b/>
                            <w:sz w:val="18"/>
                          </w:rPr>
                        </w:pPr>
                        <w:r>
                          <w:rPr>
                            <w:b/>
                            <w:sz w:val="18"/>
                          </w:rPr>
                          <w:t>Financial liabilities due for payment</w:t>
                        </w:r>
                      </w:p>
                      <w:p>
                        <w:pPr>
                          <w:pStyle w:val="TableParagraph"/>
                          <w:spacing w:before="27"/>
                          <w:ind w:left="35"/>
                          <w:jc w:val="left"/>
                          <w:rPr>
                            <w:sz w:val="18"/>
                          </w:rPr>
                        </w:pPr>
                        <w:r>
                          <w:rPr>
                            <w:sz w:val="18"/>
                          </w:rPr>
                          <w:t>Trade payables</w:t>
                        </w:r>
                      </w:p>
                    </w:tc>
                    <w:tc>
                      <w:tcPr>
                        <w:tcW w:w="1458" w:type="dxa"/>
                        <w:tcBorders>
                          <w:top w:val="single" w:sz="0" w:space="0" w:color="000000"/>
                        </w:tcBorders>
                      </w:tcPr>
                      <w:p>
                        <w:pPr>
                          <w:pStyle w:val="TableParagraph"/>
                          <w:jc w:val="left"/>
                          <w:rPr>
                            <w:b/>
                            <w:sz w:val="18"/>
                          </w:rPr>
                        </w:pPr>
                      </w:p>
                      <w:p>
                        <w:pPr>
                          <w:pStyle w:val="TableParagraph"/>
                          <w:spacing w:before="151"/>
                          <w:ind w:right="247"/>
                          <w:rPr>
                            <w:b/>
                            <w:sz w:val="18"/>
                          </w:rPr>
                        </w:pPr>
                        <w:r>
                          <w:rPr>
                            <w:b/>
                            <w:w w:val="95"/>
                            <w:sz w:val="18"/>
                          </w:rPr>
                          <w:t>139,066</w:t>
                        </w:r>
                      </w:p>
                    </w:tc>
                    <w:tc>
                      <w:tcPr>
                        <w:tcW w:w="1316" w:type="dxa"/>
                        <w:tcBorders>
                          <w:top w:val="single" w:sz="0" w:space="0" w:color="000000"/>
                        </w:tcBorders>
                      </w:tcPr>
                      <w:p>
                        <w:pPr>
                          <w:pStyle w:val="TableParagraph"/>
                          <w:jc w:val="left"/>
                          <w:rPr>
                            <w:b/>
                            <w:sz w:val="18"/>
                          </w:rPr>
                        </w:pPr>
                      </w:p>
                      <w:p>
                        <w:pPr>
                          <w:pStyle w:val="TableParagraph"/>
                          <w:spacing w:before="151"/>
                          <w:ind w:right="266"/>
                          <w:rPr>
                            <w:sz w:val="18"/>
                          </w:rPr>
                        </w:pPr>
                        <w:r>
                          <w:rPr>
                            <w:w w:val="95"/>
                            <w:sz w:val="18"/>
                          </w:rPr>
                          <w:t>491,164</w:t>
                        </w:r>
                      </w:p>
                    </w:tc>
                    <w:tc>
                      <w:tcPr>
                        <w:tcW w:w="1312" w:type="dxa"/>
                        <w:tcBorders>
                          <w:top w:val="single" w:sz="0" w:space="0" w:color="000000"/>
                        </w:tcBorders>
                      </w:tcPr>
                      <w:p>
                        <w:pPr>
                          <w:pStyle w:val="TableParagraph"/>
                          <w:jc w:val="left"/>
                          <w:rPr>
                            <w:b/>
                            <w:sz w:val="18"/>
                          </w:rPr>
                        </w:pPr>
                      </w:p>
                      <w:p>
                        <w:pPr>
                          <w:pStyle w:val="TableParagraph"/>
                          <w:spacing w:before="151"/>
                          <w:ind w:left="437"/>
                          <w:jc w:val="left"/>
                          <w:rPr>
                            <w:b/>
                            <w:sz w:val="18"/>
                          </w:rPr>
                        </w:pPr>
                        <w:r>
                          <w:rPr>
                            <w:b/>
                            <w:w w:val="99"/>
                            <w:sz w:val="18"/>
                          </w:rPr>
                          <w:t>-</w:t>
                        </w:r>
                      </w:p>
                    </w:tc>
                    <w:tc>
                      <w:tcPr>
                        <w:tcW w:w="5170" w:type="dxa"/>
                        <w:tcBorders>
                          <w:top w:val="single" w:sz="0" w:space="0" w:color="000000"/>
                        </w:tcBorders>
                      </w:tcPr>
                      <w:p>
                        <w:pPr>
                          <w:pStyle w:val="TableParagraph"/>
                          <w:jc w:val="left"/>
                          <w:rPr>
                            <w:b/>
                            <w:sz w:val="18"/>
                          </w:rPr>
                        </w:pPr>
                      </w:p>
                      <w:p>
                        <w:pPr>
                          <w:pStyle w:val="TableParagraph"/>
                          <w:tabs>
                            <w:tab w:pos="1297" w:val="left" w:leader="none"/>
                            <w:tab w:pos="2594" w:val="left" w:leader="none"/>
                            <w:tab w:pos="3862" w:val="left" w:leader="none"/>
                          </w:tabs>
                          <w:spacing w:before="151"/>
                          <w:ind w:right="233"/>
                          <w:rPr>
                            <w:b/>
                            <w:sz w:val="18"/>
                          </w:rPr>
                        </w:pPr>
                        <w:r>
                          <w:rPr>
                            <w:sz w:val="18"/>
                          </w:rPr>
                          <w:t>-</w:t>
                          <w:tab/>
                        </w:r>
                        <w:r>
                          <w:rPr>
                            <w:b/>
                            <w:sz w:val="18"/>
                          </w:rPr>
                          <w:t>-</w:t>
                          <w:tab/>
                        </w:r>
                        <w:r>
                          <w:rPr>
                            <w:sz w:val="18"/>
                          </w:rPr>
                          <w:t>-</w:t>
                          <w:tab/>
                        </w:r>
                        <w:r>
                          <w:rPr>
                            <w:b/>
                            <w:spacing w:val="-1"/>
                            <w:w w:val="95"/>
                            <w:sz w:val="18"/>
                          </w:rPr>
                          <w:t>139,066</w:t>
                        </w:r>
                      </w:p>
                    </w:tc>
                    <w:tc>
                      <w:tcPr>
                        <w:tcW w:w="1122" w:type="dxa"/>
                        <w:tcBorders>
                          <w:top w:val="single" w:sz="0" w:space="0" w:color="000000"/>
                        </w:tcBorders>
                      </w:tcPr>
                      <w:p>
                        <w:pPr>
                          <w:pStyle w:val="TableParagraph"/>
                          <w:jc w:val="left"/>
                          <w:rPr>
                            <w:b/>
                            <w:sz w:val="18"/>
                          </w:rPr>
                        </w:pPr>
                      </w:p>
                      <w:p>
                        <w:pPr>
                          <w:pStyle w:val="TableParagraph"/>
                          <w:spacing w:before="151"/>
                          <w:ind w:right="86"/>
                          <w:rPr>
                            <w:sz w:val="18"/>
                          </w:rPr>
                        </w:pPr>
                        <w:r>
                          <w:rPr>
                            <w:w w:val="95"/>
                            <w:sz w:val="18"/>
                          </w:rPr>
                          <w:t>491,164</w:t>
                        </w:r>
                      </w:p>
                    </w:tc>
                  </w:tr>
                  <w:tr>
                    <w:trPr>
                      <w:trHeight w:val="264" w:hRule="exact"/>
                    </w:trPr>
                    <w:tc>
                      <w:tcPr>
                        <w:tcW w:w="4078" w:type="dxa"/>
                      </w:tcPr>
                      <w:p>
                        <w:pPr>
                          <w:pStyle w:val="TableParagraph"/>
                          <w:spacing w:before="18"/>
                          <w:ind w:left="35"/>
                          <w:jc w:val="left"/>
                          <w:rPr>
                            <w:sz w:val="18"/>
                          </w:rPr>
                        </w:pPr>
                        <w:r>
                          <w:rPr>
                            <w:sz w:val="18"/>
                          </w:rPr>
                          <w:t>Amounts due to related parties</w:t>
                        </w:r>
                      </w:p>
                    </w:tc>
                    <w:tc>
                      <w:tcPr>
                        <w:tcW w:w="1458" w:type="dxa"/>
                      </w:tcPr>
                      <w:p>
                        <w:pPr>
                          <w:pStyle w:val="TableParagraph"/>
                          <w:spacing w:before="19"/>
                          <w:ind w:right="247"/>
                          <w:rPr>
                            <w:b/>
                            <w:sz w:val="18"/>
                          </w:rPr>
                        </w:pPr>
                        <w:r>
                          <w:rPr>
                            <w:b/>
                            <w:w w:val="95"/>
                            <w:sz w:val="18"/>
                          </w:rPr>
                          <w:t>684,058</w:t>
                        </w:r>
                      </w:p>
                    </w:tc>
                    <w:tc>
                      <w:tcPr>
                        <w:tcW w:w="1316" w:type="dxa"/>
                      </w:tcPr>
                      <w:p>
                        <w:pPr>
                          <w:pStyle w:val="TableParagraph"/>
                          <w:spacing w:before="19"/>
                          <w:ind w:right="266"/>
                          <w:rPr>
                            <w:sz w:val="18"/>
                          </w:rPr>
                        </w:pPr>
                        <w:r>
                          <w:rPr>
                            <w:w w:val="95"/>
                            <w:sz w:val="18"/>
                          </w:rPr>
                          <w:t>78,698</w:t>
                        </w:r>
                      </w:p>
                    </w:tc>
                    <w:tc>
                      <w:tcPr>
                        <w:tcW w:w="1312" w:type="dxa"/>
                      </w:tcPr>
                      <w:p>
                        <w:pPr>
                          <w:pStyle w:val="TableParagraph"/>
                          <w:spacing w:before="19"/>
                          <w:ind w:left="437"/>
                          <w:jc w:val="left"/>
                          <w:rPr>
                            <w:b/>
                            <w:sz w:val="18"/>
                          </w:rPr>
                        </w:pPr>
                        <w:r>
                          <w:rPr>
                            <w:b/>
                            <w:w w:val="99"/>
                            <w:sz w:val="18"/>
                          </w:rPr>
                          <w:t>-</w:t>
                        </w:r>
                      </w:p>
                    </w:tc>
                    <w:tc>
                      <w:tcPr>
                        <w:tcW w:w="5170" w:type="dxa"/>
                      </w:tcPr>
                      <w:p>
                        <w:pPr>
                          <w:pStyle w:val="TableParagraph"/>
                          <w:tabs>
                            <w:tab w:pos="1297" w:val="left" w:leader="none"/>
                            <w:tab w:pos="2594" w:val="left" w:leader="none"/>
                            <w:tab w:pos="3862" w:val="left" w:leader="none"/>
                          </w:tabs>
                          <w:spacing w:before="19"/>
                          <w:ind w:right="233"/>
                          <w:rPr>
                            <w:b/>
                            <w:sz w:val="18"/>
                          </w:rPr>
                        </w:pPr>
                        <w:r>
                          <w:rPr>
                            <w:sz w:val="18"/>
                          </w:rPr>
                          <w:t>-</w:t>
                          <w:tab/>
                        </w:r>
                        <w:r>
                          <w:rPr>
                            <w:b/>
                            <w:sz w:val="18"/>
                          </w:rPr>
                          <w:t>-</w:t>
                          <w:tab/>
                        </w:r>
                        <w:r>
                          <w:rPr>
                            <w:sz w:val="18"/>
                          </w:rPr>
                          <w:t>-</w:t>
                          <w:tab/>
                        </w:r>
                        <w:r>
                          <w:rPr>
                            <w:b/>
                            <w:spacing w:val="-1"/>
                            <w:w w:val="95"/>
                            <w:sz w:val="18"/>
                          </w:rPr>
                          <w:t>684,058</w:t>
                        </w:r>
                      </w:p>
                    </w:tc>
                    <w:tc>
                      <w:tcPr>
                        <w:tcW w:w="1122" w:type="dxa"/>
                      </w:tcPr>
                      <w:p>
                        <w:pPr>
                          <w:pStyle w:val="TableParagraph"/>
                          <w:spacing w:before="19"/>
                          <w:ind w:right="86"/>
                          <w:rPr>
                            <w:sz w:val="18"/>
                          </w:rPr>
                        </w:pPr>
                        <w:r>
                          <w:rPr>
                            <w:w w:val="95"/>
                            <w:sz w:val="18"/>
                          </w:rPr>
                          <w:t>78,698</w:t>
                        </w:r>
                      </w:p>
                    </w:tc>
                  </w:tr>
                  <w:tr>
                    <w:trPr>
                      <w:trHeight w:val="264" w:hRule="exact"/>
                    </w:trPr>
                    <w:tc>
                      <w:tcPr>
                        <w:tcW w:w="4078" w:type="dxa"/>
                      </w:tcPr>
                      <w:p>
                        <w:pPr>
                          <w:pStyle w:val="TableParagraph"/>
                          <w:spacing w:before="18"/>
                          <w:ind w:left="35"/>
                          <w:jc w:val="left"/>
                          <w:rPr>
                            <w:sz w:val="18"/>
                          </w:rPr>
                        </w:pPr>
                        <w:r>
                          <w:rPr>
                            <w:sz w:val="18"/>
                          </w:rPr>
                          <w:t>Accrued expenses</w:t>
                        </w:r>
                      </w:p>
                    </w:tc>
                    <w:tc>
                      <w:tcPr>
                        <w:tcW w:w="1458" w:type="dxa"/>
                      </w:tcPr>
                      <w:p>
                        <w:pPr>
                          <w:pStyle w:val="TableParagraph"/>
                          <w:spacing w:before="19"/>
                          <w:ind w:right="247"/>
                          <w:rPr>
                            <w:b/>
                            <w:sz w:val="18"/>
                          </w:rPr>
                        </w:pPr>
                        <w:r>
                          <w:rPr>
                            <w:b/>
                            <w:w w:val="95"/>
                            <w:sz w:val="18"/>
                          </w:rPr>
                          <w:t>2,210,500</w:t>
                        </w:r>
                      </w:p>
                    </w:tc>
                    <w:tc>
                      <w:tcPr>
                        <w:tcW w:w="1316" w:type="dxa"/>
                      </w:tcPr>
                      <w:p>
                        <w:pPr>
                          <w:pStyle w:val="TableParagraph"/>
                          <w:spacing w:before="19"/>
                          <w:ind w:right="266"/>
                          <w:rPr>
                            <w:sz w:val="18"/>
                          </w:rPr>
                        </w:pPr>
                        <w:r>
                          <w:rPr>
                            <w:w w:val="95"/>
                            <w:sz w:val="18"/>
                          </w:rPr>
                          <w:t>2,148,802</w:t>
                        </w:r>
                      </w:p>
                    </w:tc>
                    <w:tc>
                      <w:tcPr>
                        <w:tcW w:w="1312" w:type="dxa"/>
                      </w:tcPr>
                      <w:p>
                        <w:pPr>
                          <w:pStyle w:val="TableParagraph"/>
                          <w:spacing w:before="19"/>
                          <w:ind w:left="437"/>
                          <w:jc w:val="left"/>
                          <w:rPr>
                            <w:b/>
                            <w:sz w:val="18"/>
                          </w:rPr>
                        </w:pPr>
                        <w:r>
                          <w:rPr>
                            <w:b/>
                            <w:w w:val="99"/>
                            <w:sz w:val="18"/>
                          </w:rPr>
                          <w:t>-</w:t>
                        </w:r>
                      </w:p>
                    </w:tc>
                    <w:tc>
                      <w:tcPr>
                        <w:tcW w:w="5170" w:type="dxa"/>
                      </w:tcPr>
                      <w:p>
                        <w:pPr>
                          <w:pStyle w:val="TableParagraph"/>
                          <w:tabs>
                            <w:tab w:pos="1297" w:val="left" w:leader="none"/>
                            <w:tab w:pos="2594" w:val="left" w:leader="none"/>
                            <w:tab w:pos="3712" w:val="left" w:leader="none"/>
                          </w:tabs>
                          <w:spacing w:before="19"/>
                          <w:ind w:right="233"/>
                          <w:rPr>
                            <w:b/>
                            <w:sz w:val="18"/>
                          </w:rPr>
                        </w:pPr>
                        <w:r>
                          <w:rPr>
                            <w:sz w:val="18"/>
                          </w:rPr>
                          <w:t>-</w:t>
                          <w:tab/>
                        </w:r>
                        <w:r>
                          <w:rPr>
                            <w:b/>
                            <w:sz w:val="18"/>
                          </w:rPr>
                          <w:t>-</w:t>
                          <w:tab/>
                        </w:r>
                        <w:r>
                          <w:rPr>
                            <w:sz w:val="18"/>
                          </w:rPr>
                          <w:t>-</w:t>
                          <w:tab/>
                        </w:r>
                        <w:r>
                          <w:rPr>
                            <w:b/>
                            <w:spacing w:val="-1"/>
                            <w:w w:val="95"/>
                            <w:sz w:val="18"/>
                          </w:rPr>
                          <w:t>2,210,500</w:t>
                        </w:r>
                      </w:p>
                    </w:tc>
                    <w:tc>
                      <w:tcPr>
                        <w:tcW w:w="1122" w:type="dxa"/>
                      </w:tcPr>
                      <w:p>
                        <w:pPr>
                          <w:pStyle w:val="TableParagraph"/>
                          <w:spacing w:before="19"/>
                          <w:ind w:right="86"/>
                          <w:rPr>
                            <w:sz w:val="18"/>
                          </w:rPr>
                        </w:pPr>
                        <w:r>
                          <w:rPr>
                            <w:w w:val="95"/>
                            <w:sz w:val="18"/>
                          </w:rPr>
                          <w:t>2,148,802</w:t>
                        </w:r>
                      </w:p>
                    </w:tc>
                  </w:tr>
                  <w:tr>
                    <w:trPr>
                      <w:trHeight w:val="263" w:hRule="exact"/>
                    </w:trPr>
                    <w:tc>
                      <w:tcPr>
                        <w:tcW w:w="4078" w:type="dxa"/>
                      </w:tcPr>
                      <w:p>
                        <w:pPr>
                          <w:pStyle w:val="TableParagraph"/>
                          <w:spacing w:before="18"/>
                          <w:ind w:left="35"/>
                          <w:jc w:val="left"/>
                          <w:rPr>
                            <w:sz w:val="18"/>
                          </w:rPr>
                        </w:pPr>
                        <w:r>
                          <w:rPr>
                            <w:sz w:val="18"/>
                          </w:rPr>
                          <w:t>Other liabilities</w:t>
                        </w:r>
                      </w:p>
                    </w:tc>
                    <w:tc>
                      <w:tcPr>
                        <w:tcW w:w="1458" w:type="dxa"/>
                        <w:tcBorders>
                          <w:bottom w:val="single" w:sz="0" w:space="0" w:color="000000"/>
                        </w:tcBorders>
                      </w:tcPr>
                      <w:p>
                        <w:pPr>
                          <w:pStyle w:val="TableParagraph"/>
                          <w:spacing w:before="19"/>
                          <w:ind w:right="247"/>
                          <w:rPr>
                            <w:b/>
                            <w:sz w:val="18"/>
                          </w:rPr>
                        </w:pPr>
                        <w:r>
                          <w:rPr>
                            <w:b/>
                            <w:w w:val="95"/>
                            <w:sz w:val="18"/>
                          </w:rPr>
                          <w:t>380,756</w:t>
                        </w:r>
                      </w:p>
                    </w:tc>
                    <w:tc>
                      <w:tcPr>
                        <w:tcW w:w="1316" w:type="dxa"/>
                        <w:tcBorders>
                          <w:bottom w:val="single" w:sz="0" w:space="0" w:color="000000"/>
                        </w:tcBorders>
                      </w:tcPr>
                      <w:p>
                        <w:pPr>
                          <w:pStyle w:val="TableParagraph"/>
                          <w:spacing w:before="19"/>
                          <w:ind w:right="266"/>
                          <w:rPr>
                            <w:sz w:val="18"/>
                          </w:rPr>
                        </w:pPr>
                        <w:r>
                          <w:rPr>
                            <w:w w:val="95"/>
                            <w:sz w:val="18"/>
                          </w:rPr>
                          <w:t>224,836</w:t>
                        </w:r>
                      </w:p>
                    </w:tc>
                    <w:tc>
                      <w:tcPr>
                        <w:tcW w:w="1312" w:type="dxa"/>
                        <w:tcBorders>
                          <w:bottom w:val="single" w:sz="0" w:space="0" w:color="000000"/>
                        </w:tcBorders>
                      </w:tcPr>
                      <w:p>
                        <w:pPr>
                          <w:pStyle w:val="TableParagraph"/>
                          <w:spacing w:before="19"/>
                          <w:ind w:left="437"/>
                          <w:jc w:val="left"/>
                          <w:rPr>
                            <w:b/>
                            <w:sz w:val="18"/>
                          </w:rPr>
                        </w:pPr>
                        <w:r>
                          <w:rPr>
                            <w:b/>
                            <w:w w:val="99"/>
                            <w:sz w:val="18"/>
                          </w:rPr>
                          <w:t>-</w:t>
                        </w:r>
                      </w:p>
                    </w:tc>
                    <w:tc>
                      <w:tcPr>
                        <w:tcW w:w="5170" w:type="dxa"/>
                        <w:tcBorders>
                          <w:bottom w:val="single" w:sz="0" w:space="0" w:color="000000"/>
                        </w:tcBorders>
                      </w:tcPr>
                      <w:p>
                        <w:pPr>
                          <w:pStyle w:val="TableParagraph"/>
                          <w:tabs>
                            <w:tab w:pos="1297" w:val="left" w:leader="none"/>
                            <w:tab w:pos="2594" w:val="left" w:leader="none"/>
                            <w:tab w:pos="3862" w:val="left" w:leader="none"/>
                          </w:tabs>
                          <w:spacing w:before="19"/>
                          <w:ind w:right="233"/>
                          <w:rPr>
                            <w:b/>
                            <w:sz w:val="18"/>
                          </w:rPr>
                        </w:pPr>
                        <w:r>
                          <w:rPr>
                            <w:sz w:val="18"/>
                          </w:rPr>
                          <w:t>-</w:t>
                          <w:tab/>
                        </w:r>
                        <w:r>
                          <w:rPr>
                            <w:b/>
                            <w:sz w:val="18"/>
                          </w:rPr>
                          <w:t>-</w:t>
                          <w:tab/>
                        </w:r>
                        <w:r>
                          <w:rPr>
                            <w:sz w:val="18"/>
                          </w:rPr>
                          <w:t>-</w:t>
                          <w:tab/>
                        </w:r>
                        <w:r>
                          <w:rPr>
                            <w:b/>
                            <w:spacing w:val="-1"/>
                            <w:w w:val="95"/>
                            <w:sz w:val="18"/>
                          </w:rPr>
                          <w:t>380,756</w:t>
                        </w:r>
                      </w:p>
                    </w:tc>
                    <w:tc>
                      <w:tcPr>
                        <w:tcW w:w="1122" w:type="dxa"/>
                        <w:tcBorders>
                          <w:bottom w:val="single" w:sz="0" w:space="0" w:color="000000"/>
                        </w:tcBorders>
                      </w:tcPr>
                      <w:p>
                        <w:pPr>
                          <w:pStyle w:val="TableParagraph"/>
                          <w:spacing w:before="19"/>
                          <w:ind w:right="86"/>
                          <w:rPr>
                            <w:sz w:val="18"/>
                          </w:rPr>
                        </w:pPr>
                        <w:r>
                          <w:rPr>
                            <w:w w:val="95"/>
                            <w:sz w:val="18"/>
                          </w:rPr>
                          <w:t>224,836</w:t>
                        </w:r>
                      </w:p>
                    </w:tc>
                  </w:tr>
                  <w:tr>
                    <w:trPr>
                      <w:trHeight w:val="338" w:hRule="exact"/>
                    </w:trPr>
                    <w:tc>
                      <w:tcPr>
                        <w:tcW w:w="4078" w:type="dxa"/>
                      </w:tcPr>
                      <w:p>
                        <w:pPr/>
                      </w:p>
                    </w:tc>
                    <w:tc>
                      <w:tcPr>
                        <w:tcW w:w="1458" w:type="dxa"/>
                        <w:tcBorders>
                          <w:top w:val="single" w:sz="0" w:space="0" w:color="000000"/>
                          <w:bottom w:val="single" w:sz="0" w:space="0" w:color="000000"/>
                        </w:tcBorders>
                      </w:tcPr>
                      <w:p>
                        <w:pPr>
                          <w:pStyle w:val="TableParagraph"/>
                          <w:spacing w:before="122"/>
                          <w:ind w:right="247"/>
                          <w:rPr>
                            <w:b/>
                            <w:sz w:val="18"/>
                          </w:rPr>
                        </w:pPr>
                        <w:r>
                          <w:rPr>
                            <w:b/>
                            <w:w w:val="95"/>
                            <w:sz w:val="18"/>
                          </w:rPr>
                          <w:t>3,414,380</w:t>
                        </w:r>
                      </w:p>
                    </w:tc>
                    <w:tc>
                      <w:tcPr>
                        <w:tcW w:w="1316" w:type="dxa"/>
                        <w:tcBorders>
                          <w:top w:val="single" w:sz="0" w:space="0" w:color="000000"/>
                          <w:bottom w:val="single" w:sz="0" w:space="0" w:color="000000"/>
                        </w:tcBorders>
                      </w:tcPr>
                      <w:p>
                        <w:pPr>
                          <w:pStyle w:val="TableParagraph"/>
                          <w:spacing w:before="122"/>
                          <w:ind w:right="266"/>
                          <w:rPr>
                            <w:sz w:val="18"/>
                          </w:rPr>
                        </w:pPr>
                        <w:r>
                          <w:rPr>
                            <w:w w:val="95"/>
                            <w:sz w:val="18"/>
                          </w:rPr>
                          <w:t>2,943,500</w:t>
                        </w:r>
                      </w:p>
                    </w:tc>
                    <w:tc>
                      <w:tcPr>
                        <w:tcW w:w="1312" w:type="dxa"/>
                        <w:tcBorders>
                          <w:top w:val="single" w:sz="0" w:space="0" w:color="000000"/>
                          <w:bottom w:val="single" w:sz="0" w:space="0" w:color="000000"/>
                        </w:tcBorders>
                      </w:tcPr>
                      <w:p>
                        <w:pPr>
                          <w:pStyle w:val="TableParagraph"/>
                          <w:spacing w:before="122"/>
                          <w:ind w:left="437"/>
                          <w:jc w:val="left"/>
                          <w:rPr>
                            <w:b/>
                            <w:sz w:val="18"/>
                          </w:rPr>
                        </w:pPr>
                        <w:r>
                          <w:rPr>
                            <w:b/>
                            <w:w w:val="99"/>
                            <w:sz w:val="18"/>
                          </w:rPr>
                          <w:t>-</w:t>
                        </w:r>
                      </w:p>
                    </w:tc>
                    <w:tc>
                      <w:tcPr>
                        <w:tcW w:w="5170" w:type="dxa"/>
                        <w:tcBorders>
                          <w:top w:val="single" w:sz="0" w:space="0" w:color="000000"/>
                          <w:bottom w:val="single" w:sz="0" w:space="0" w:color="000000"/>
                        </w:tcBorders>
                      </w:tcPr>
                      <w:p>
                        <w:pPr>
                          <w:pStyle w:val="TableParagraph"/>
                          <w:tabs>
                            <w:tab w:pos="1297" w:val="left" w:leader="none"/>
                            <w:tab w:pos="2594" w:val="left" w:leader="none"/>
                            <w:tab w:pos="3712" w:val="left" w:leader="none"/>
                          </w:tabs>
                          <w:spacing w:before="122"/>
                          <w:ind w:right="233"/>
                          <w:rPr>
                            <w:b/>
                            <w:sz w:val="18"/>
                          </w:rPr>
                        </w:pPr>
                        <w:r>
                          <w:rPr>
                            <w:sz w:val="18"/>
                          </w:rPr>
                          <w:t>-</w:t>
                          <w:tab/>
                        </w:r>
                        <w:r>
                          <w:rPr>
                            <w:b/>
                            <w:sz w:val="18"/>
                          </w:rPr>
                          <w:t>-</w:t>
                          <w:tab/>
                        </w:r>
                        <w:r>
                          <w:rPr>
                            <w:sz w:val="18"/>
                          </w:rPr>
                          <w:t>-</w:t>
                          <w:tab/>
                        </w:r>
                        <w:r>
                          <w:rPr>
                            <w:b/>
                            <w:spacing w:val="-1"/>
                            <w:w w:val="95"/>
                            <w:sz w:val="18"/>
                          </w:rPr>
                          <w:t>3,414,380</w:t>
                        </w:r>
                      </w:p>
                    </w:tc>
                    <w:tc>
                      <w:tcPr>
                        <w:tcW w:w="1122" w:type="dxa"/>
                        <w:tcBorders>
                          <w:top w:val="single" w:sz="0" w:space="0" w:color="000000"/>
                          <w:bottom w:val="single" w:sz="0" w:space="0" w:color="000000"/>
                        </w:tcBorders>
                      </w:tcPr>
                      <w:p>
                        <w:pPr>
                          <w:pStyle w:val="TableParagraph"/>
                          <w:spacing w:before="122"/>
                          <w:ind w:right="86"/>
                          <w:rPr>
                            <w:sz w:val="18"/>
                          </w:rPr>
                        </w:pPr>
                        <w:r>
                          <w:rPr>
                            <w:w w:val="95"/>
                            <w:sz w:val="18"/>
                          </w:rPr>
                          <w:t>2,943,500</w:t>
                        </w:r>
                      </w:p>
                    </w:tc>
                  </w:tr>
                </w:tbl>
                <w:p>
                  <w:pPr>
                    <w:pStyle w:val="BodyText"/>
                  </w:pPr>
                </w:p>
              </w:txbxContent>
            </v:textbox>
            <w10:wrap type="topAndBottom"/>
          </v:shape>
        </w:pict>
      </w:r>
      <w:r>
        <w:rPr/>
        <w:drawing>
          <wp:anchor distT="0" distB="0" distL="0" distR="0" allowOverlap="1" layoutInCell="1" locked="0" behindDoc="0" simplePos="0" relativeHeight="8656">
            <wp:simplePos x="0" y="0"/>
            <wp:positionH relativeFrom="page">
              <wp:posOffset>10493514</wp:posOffset>
            </wp:positionH>
            <wp:positionV relativeFrom="paragraph">
              <wp:posOffset>1277498</wp:posOffset>
            </wp:positionV>
            <wp:extent cx="154019" cy="154019"/>
            <wp:effectExtent l="0" t="0" r="0" b="0"/>
            <wp:wrapTopAndBottom/>
            <wp:docPr id="585" name="image25.png" descr=""/>
            <wp:cNvGraphicFramePr>
              <a:graphicFrameLocks noChangeAspect="1"/>
            </wp:cNvGraphicFramePr>
            <a:graphic>
              <a:graphicData uri="http://schemas.openxmlformats.org/drawingml/2006/picture">
                <pic:pic>
                  <pic:nvPicPr>
                    <pic:cNvPr id="586" name="image25.png"/>
                    <pic:cNvPicPr/>
                  </pic:nvPicPr>
                  <pic:blipFill>
                    <a:blip r:embed="rId41" cstate="print"/>
                    <a:stretch>
                      <a:fillRect/>
                    </a:stretch>
                  </pic:blipFill>
                  <pic:spPr>
                    <a:xfrm>
                      <a:off x="0" y="0"/>
                      <a:ext cx="154019" cy="154019"/>
                    </a:xfrm>
                    <a:prstGeom prst="rect">
                      <a:avLst/>
                    </a:prstGeom>
                  </pic:spPr>
                </pic:pic>
              </a:graphicData>
            </a:graphic>
          </wp:anchor>
        </w:drawing>
      </w:r>
      <w:r>
        <w:rPr/>
        <w:t>Within 1 Year</w:t>
        <w:tab/>
        <w:t>1 to</w:t>
      </w:r>
      <w:r>
        <w:rPr>
          <w:spacing w:val="-4"/>
        </w:rPr>
        <w:t> </w:t>
      </w:r>
      <w:r>
        <w:rPr/>
        <w:t>5</w:t>
      </w:r>
      <w:r>
        <w:rPr>
          <w:spacing w:val="-2"/>
        </w:rPr>
        <w:t> </w:t>
      </w:r>
      <w:r>
        <w:rPr/>
        <w:t>Years</w:t>
        <w:tab/>
        <w:t>Over</w:t>
      </w:r>
      <w:r>
        <w:rPr>
          <w:spacing w:val="-4"/>
        </w:rPr>
        <w:t> </w:t>
      </w:r>
      <w:r>
        <w:rPr/>
        <w:t>5</w:t>
      </w:r>
      <w:r>
        <w:rPr>
          <w:spacing w:val="-4"/>
        </w:rPr>
        <w:t> </w:t>
      </w:r>
      <w:r>
        <w:rPr/>
        <w:t>Years</w:t>
        <w:tab/>
        <w:t>Total</w:t>
      </w:r>
    </w:p>
    <w:p>
      <w:pPr>
        <w:pStyle w:val="BodyText"/>
        <w:spacing w:before="8"/>
        <w:rPr>
          <w:b/>
          <w:sz w:val="16"/>
        </w:rPr>
      </w:pPr>
    </w:p>
    <w:p>
      <w:pPr>
        <w:pStyle w:val="BodyText"/>
        <w:spacing w:before="77"/>
        <w:ind w:left="1972"/>
      </w:pPr>
      <w:r>
        <w:rPr/>
        <w:t>The timing of expected outflows is not expected to be materially different from contracted cashflows.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3"/>
        <w:rPr>
          <w:sz w:val="21"/>
        </w:rPr>
      </w:pPr>
    </w:p>
    <w:p>
      <w:pPr>
        <w:spacing w:before="0" w:after="11"/>
        <w:ind w:left="8266" w:right="8266" w:firstLine="0"/>
        <w:jc w:val="center"/>
        <w:rPr>
          <w:sz w:val="16"/>
        </w:rPr>
      </w:pPr>
      <w:r>
        <w:rPr>
          <w:sz w:val="16"/>
        </w:rPr>
        <w:t>127</w:t>
      </w:r>
    </w:p>
    <w:p>
      <w:pPr>
        <w:tabs>
          <w:tab w:pos="8296" w:val="left" w:leader="none"/>
          <w:tab w:pos="16305" w:val="left" w:leader="none"/>
        </w:tabs>
        <w:spacing w:line="240" w:lineRule="auto"/>
        <w:ind w:left="37" w:right="0" w:firstLine="0"/>
        <w:rPr>
          <w:sz w:val="20"/>
        </w:rPr>
      </w:pPr>
      <w:r>
        <w:rPr>
          <w:sz w:val="20"/>
        </w:rPr>
        <w:pict>
          <v:group style="width:24.75pt;height:24.75pt;mso-position-horizontal-relative:char;mso-position-vertical-relative:line" coordorigin="0,0" coordsize="495,495">
            <v:line style="position:absolute" from="303,13" to="3,13" stroked="true" strokeweight=".25pt" strokecolor="#000000"/>
            <v:line style="position:absolute" from="423,13" to="63,13" stroked="true" strokeweight="1.25pt" strokecolor="#ffffff"/>
            <v:line style="position:absolute" from="483,193" to="483,493" stroked="true" strokeweight=".25pt" strokecolor="#000000"/>
            <v:line style="position:absolute" from="483,73" to="483,433" stroked="true" strokeweight="1.25pt" strokecolor="#ffffff"/>
            <v:line style="position:absolute" from="423,13" to="63,13" stroked="true" strokeweight=".25pt" strokecolor="#000000"/>
            <v:line style="position:absolute" from="483,73" to="483,433" stroked="true" strokeweight=".25pt" strokecolor="#000000"/>
          </v:group>
        </w:pict>
      </w:r>
      <w:r>
        <w:rPr>
          <w:sz w:val="20"/>
        </w:rPr>
      </w:r>
      <w:r>
        <w:rPr>
          <w:sz w:val="20"/>
        </w:rPr>
        <w:tab/>
      </w:r>
      <w:r>
        <w:rPr>
          <w:position w:val="3"/>
          <w:sz w:val="20"/>
        </w:rPr>
        <w:drawing>
          <wp:inline distT="0" distB="0" distL="0" distR="0">
            <wp:extent cx="154019" cy="154019"/>
            <wp:effectExtent l="0" t="0" r="0" b="0"/>
            <wp:docPr id="587" name="image25.png" descr=""/>
            <wp:cNvGraphicFramePr>
              <a:graphicFrameLocks noChangeAspect="1"/>
            </wp:cNvGraphicFramePr>
            <a:graphic>
              <a:graphicData uri="http://schemas.openxmlformats.org/drawingml/2006/picture">
                <pic:pic>
                  <pic:nvPicPr>
                    <pic:cNvPr id="588" name="image25.png"/>
                    <pic:cNvPicPr/>
                  </pic:nvPicPr>
                  <pic:blipFill>
                    <a:blip r:embed="rId41" cstate="print"/>
                    <a:stretch>
                      <a:fillRect/>
                    </a:stretch>
                  </pic:blipFill>
                  <pic:spPr>
                    <a:xfrm>
                      <a:off x="0" y="0"/>
                      <a:ext cx="154019" cy="154019"/>
                    </a:xfrm>
                    <a:prstGeom prst="rect">
                      <a:avLst/>
                    </a:prstGeom>
                  </pic:spPr>
                </pic:pic>
              </a:graphicData>
            </a:graphic>
          </wp:inline>
        </w:drawing>
      </w:r>
      <w:r>
        <w:rPr>
          <w:position w:val="3"/>
          <w:sz w:val="20"/>
        </w:rPr>
      </w:r>
      <w:r>
        <w:rPr>
          <w:position w:val="3"/>
          <w:sz w:val="20"/>
        </w:rPr>
        <w:tab/>
      </w:r>
      <w:r>
        <w:rPr>
          <w:sz w:val="20"/>
        </w:rPr>
        <w:pict>
          <v:group style="width:24.75pt;height:24.75pt;mso-position-horizontal-relative:char;mso-position-vertical-relative:line" coordorigin="0,0" coordsize="495,495">
            <v:line style="position:absolute" from="193,13" to="493,13" stroked="true" strokeweight=".25pt" strokecolor="#000000"/>
            <v:line style="position:absolute" from="73,13" to="433,13" stroked="true" strokeweight="1.25pt" strokecolor="#ffffff"/>
            <v:line style="position:absolute" from="13,193" to="13,493" stroked="true" strokeweight=".25pt" strokecolor="#000000"/>
            <v:line style="position:absolute" from="13,73" to="13,433" stroked="true" strokeweight="1.25pt" strokecolor="#ffffff"/>
            <v:line style="position:absolute" from="73,13" to="433,13" stroked="true" strokeweight=".25pt" strokecolor="#000000"/>
            <v:line style="position:absolute" from="13,73" to="13,433" stroked="true" strokeweight=".25pt" strokecolor="#000000"/>
          </v:group>
        </w:pict>
      </w:r>
      <w:r>
        <w:rPr>
          <w:sz w:val="20"/>
        </w:rPr>
      </w:r>
    </w:p>
    <w:p>
      <w:pPr>
        <w:spacing w:after="0" w:line="240" w:lineRule="auto"/>
        <w:rPr>
          <w:sz w:val="20"/>
        </w:rPr>
        <w:sectPr>
          <w:headerReference w:type="default" r:id="rId76"/>
          <w:footerReference w:type="default" r:id="rId77"/>
          <w:pgSz w:w="16840" w:h="11910" w:orient="landscape"/>
          <w:pgMar w:header="0" w:footer="0" w:top="40" w:bottom="0" w:left="0" w:right="0"/>
        </w:sectPr>
      </w:pPr>
    </w:p>
    <w:p>
      <w:pPr>
        <w:tabs>
          <w:tab w:pos="6250" w:val="left" w:leader="none"/>
          <w:tab w:pos="12322" w:val="left" w:leader="none"/>
        </w:tabs>
        <w:spacing w:line="240" w:lineRule="auto"/>
        <w:ind w:left="417" w:right="0" w:firstLine="0"/>
        <w:rPr>
          <w:sz w:val="20"/>
        </w:rPr>
      </w:pPr>
      <w:r>
        <w:rPr>
          <w:sz w:val="20"/>
        </w:rPr>
        <w:pict>
          <v:group style="width:.25pt;height:12.25pt;mso-position-horizontal-relative:char;mso-position-vertical-relative:line" coordorigin="0,0" coordsize="5,245">
            <v:line style="position:absolute" from="3,242" to="3,3" stroked="true" strokeweight=".25pt" strokecolor="#000000"/>
          </v:group>
        </w:pict>
      </w:r>
      <w:r>
        <w:rPr>
          <w:sz w:val="20"/>
        </w:rPr>
      </w:r>
      <w:r>
        <w:rPr>
          <w:sz w:val="20"/>
        </w:rPr>
        <w:tab/>
      </w:r>
      <w:r>
        <w:rPr>
          <w:position w:val="3"/>
          <w:sz w:val="20"/>
        </w:rPr>
        <w:drawing>
          <wp:inline distT="0" distB="0" distL="0" distR="0">
            <wp:extent cx="155618" cy="136017"/>
            <wp:effectExtent l="0" t="0" r="0" b="0"/>
            <wp:docPr id="589" name="image17.png" descr=""/>
            <wp:cNvGraphicFramePr>
              <a:graphicFrameLocks noChangeAspect="1"/>
            </wp:cNvGraphicFramePr>
            <a:graphic>
              <a:graphicData uri="http://schemas.openxmlformats.org/drawingml/2006/picture">
                <pic:pic>
                  <pic:nvPicPr>
                    <pic:cNvPr id="590" name="image17.png"/>
                    <pic:cNvPicPr/>
                  </pic:nvPicPr>
                  <pic:blipFill>
                    <a:blip r:embed="rId55" cstate="print"/>
                    <a:stretch>
                      <a:fillRect/>
                    </a:stretch>
                  </pic:blipFill>
                  <pic:spPr>
                    <a:xfrm>
                      <a:off x="0" y="0"/>
                      <a:ext cx="155618" cy="136017"/>
                    </a:xfrm>
                    <a:prstGeom prst="rect">
                      <a:avLst/>
                    </a:prstGeom>
                  </pic:spPr>
                </pic:pic>
              </a:graphicData>
            </a:graphic>
          </wp:inline>
        </w:drawing>
      </w:r>
      <w:r>
        <w:rPr>
          <w:position w:val="3"/>
          <w:sz w:val="20"/>
        </w:rPr>
      </w:r>
      <w:r>
        <w:rPr>
          <w:position w:val="3"/>
          <w:sz w:val="20"/>
        </w:rPr>
        <w:tab/>
      </w:r>
      <w:r>
        <w:rPr>
          <w:sz w:val="20"/>
        </w:rPr>
        <w:pict>
          <v:group style="width:.25pt;height:12.25pt;mso-position-horizontal-relative:char;mso-position-vertical-relative:line" coordorigin="0,0" coordsize="5,245">
            <v:line style="position:absolute" from="3,242" to="3,3" stroked="true" strokeweight=".25pt" strokecolor="#000000"/>
          </v:group>
        </w:pict>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pPr>
    </w:p>
    <w:p>
      <w:pPr>
        <w:spacing w:before="0"/>
        <w:ind w:left="1428" w:right="0" w:firstLine="0"/>
        <w:jc w:val="left"/>
        <w:rPr>
          <w:b/>
          <w:sz w:val="22"/>
        </w:rPr>
      </w:pPr>
      <w:r>
        <w:rPr/>
        <w:pict>
          <v:line style="position:absolute;mso-position-horizontal-relative:page;mso-position-vertical-relative:paragraph;z-index:8776" from="12pt,-50.488113pt" to="0pt,-50.488113pt" stroked="true" strokeweight=".25pt" strokecolor="#000000">
            <w10:wrap type="none"/>
          </v:line>
        </w:pict>
      </w:r>
      <w:r>
        <w:rPr/>
        <w:pict>
          <v:line style="position:absolute;mso-position-horizontal-relative:page;mso-position-vertical-relative:paragraph;z-index:8800" from="625.27301pt,-50.488113pt" to="637.228038pt,-50.488113pt" stroked="true" strokeweight=".25pt" strokecolor="#000000">
            <w10:wrap type="none"/>
          </v:line>
        </w:pict>
      </w:r>
      <w:r>
        <w:rPr>
          <w:b/>
          <w:sz w:val="22"/>
        </w:rPr>
        <w:t>UWS Enterprises Pty Limited Trading as Western Sydney University The College</w:t>
      </w:r>
    </w:p>
    <w:p>
      <w:pPr>
        <w:spacing w:before="56"/>
        <w:ind w:left="1428" w:right="0" w:firstLine="0"/>
        <w:jc w:val="left"/>
        <w:rPr>
          <w:b/>
          <w:sz w:val="14"/>
        </w:rPr>
      </w:pPr>
      <w:r>
        <w:rPr>
          <w:b/>
          <w:sz w:val="14"/>
        </w:rPr>
        <w:t>ABN: 44 003 474 468</w:t>
      </w:r>
    </w:p>
    <w:p>
      <w:pPr>
        <w:pStyle w:val="BodyText"/>
        <w:rPr>
          <w:b/>
          <w:sz w:val="14"/>
        </w:rPr>
      </w:pPr>
    </w:p>
    <w:p>
      <w:pPr>
        <w:pStyle w:val="BodyText"/>
        <w:spacing w:before="5"/>
        <w:rPr>
          <w:b/>
          <w:sz w:val="15"/>
        </w:rPr>
      </w:pPr>
    </w:p>
    <w:p>
      <w:pPr>
        <w:pStyle w:val="Heading4"/>
        <w:spacing w:before="0"/>
      </w:pPr>
      <w:r>
        <w:rPr/>
        <w:t>Notes to the Financial Statements</w:t>
      </w:r>
    </w:p>
    <w:p>
      <w:pPr>
        <w:pStyle w:val="Heading7"/>
      </w:pPr>
      <w:r>
        <w:rPr/>
        <w:t>For the Year Ended 31 December 2016</w:t>
      </w:r>
    </w:p>
    <w:p>
      <w:pPr>
        <w:pStyle w:val="BodyText"/>
        <w:rPr>
          <w:b/>
          <w:sz w:val="22"/>
        </w:rPr>
      </w:pPr>
    </w:p>
    <w:p>
      <w:pPr>
        <w:pStyle w:val="BodyText"/>
        <w:rPr>
          <w:b/>
          <w:sz w:val="22"/>
        </w:rPr>
      </w:pPr>
    </w:p>
    <w:p>
      <w:pPr>
        <w:pStyle w:val="Heading8"/>
        <w:spacing w:before="160"/>
        <w:ind w:left="1429"/>
      </w:pPr>
      <w:r>
        <w:rPr/>
        <w:t>13    Financial Risk Management continued</w:t>
      </w:r>
    </w:p>
    <w:p>
      <w:pPr>
        <w:pStyle w:val="BodyText"/>
        <w:spacing w:before="11"/>
        <w:rPr>
          <w:b/>
          <w:sz w:val="24"/>
        </w:rPr>
      </w:pPr>
    </w:p>
    <w:p>
      <w:pPr>
        <w:spacing w:before="0"/>
        <w:ind w:left="2396" w:right="0" w:firstLine="0"/>
        <w:jc w:val="left"/>
        <w:rPr>
          <w:i/>
          <w:sz w:val="18"/>
        </w:rPr>
      </w:pPr>
      <w:bookmarkStart w:name="(c) Market risk" w:id="237"/>
      <w:bookmarkEnd w:id="237"/>
      <w:r>
        <w:rPr/>
      </w:r>
      <w:r>
        <w:rPr>
          <w:i/>
          <w:sz w:val="18"/>
        </w:rPr>
        <w:t>Financial assets pledged as collateral</w:t>
      </w:r>
    </w:p>
    <w:p>
      <w:pPr>
        <w:pStyle w:val="BodyText"/>
        <w:spacing w:before="11"/>
        <w:rPr>
          <w:i/>
          <w:sz w:val="24"/>
        </w:rPr>
      </w:pPr>
    </w:p>
    <w:p>
      <w:pPr>
        <w:pStyle w:val="BodyText"/>
        <w:ind w:left="2392"/>
      </w:pPr>
      <w:r>
        <w:rPr/>
        <w:t>No financial assets have been pledged as security for any financial liability.</w:t>
      </w:r>
    </w:p>
    <w:p>
      <w:pPr>
        <w:pStyle w:val="BodyText"/>
        <w:spacing w:before="7"/>
        <w:rPr>
          <w:sz w:val="26"/>
        </w:rPr>
      </w:pPr>
    </w:p>
    <w:p>
      <w:pPr>
        <w:pStyle w:val="Heading8"/>
        <w:numPr>
          <w:ilvl w:val="0"/>
          <w:numId w:val="52"/>
        </w:numPr>
        <w:tabs>
          <w:tab w:pos="2392" w:val="left" w:leader="none"/>
        </w:tabs>
        <w:spacing w:line="240" w:lineRule="auto" w:before="0" w:after="0"/>
        <w:ind w:left="2391" w:right="0" w:hanging="566"/>
        <w:jc w:val="left"/>
      </w:pPr>
      <w:r>
        <w:rPr/>
        <w:t>Market</w:t>
      </w:r>
      <w:r>
        <w:rPr>
          <w:spacing w:val="-11"/>
        </w:rPr>
        <w:t> </w:t>
      </w:r>
      <w:r>
        <w:rPr/>
        <w:t>risk</w:t>
      </w:r>
    </w:p>
    <w:p>
      <w:pPr>
        <w:pStyle w:val="BodyText"/>
        <w:spacing w:before="4"/>
        <w:rPr>
          <w:b/>
          <w:sz w:val="25"/>
        </w:rPr>
      </w:pPr>
    </w:p>
    <w:p>
      <w:pPr>
        <w:pStyle w:val="BodyText"/>
        <w:ind w:left="2392" w:right="1375"/>
      </w:pPr>
      <w:r>
        <w:rPr/>
        <w:t>Market risk is the risk that the fair value or future cash flows of a financial instrument will fluctuate because of changes in market prices.</w:t>
      </w:r>
    </w:p>
    <w:p>
      <w:pPr>
        <w:pStyle w:val="BodyText"/>
        <w:spacing w:before="11"/>
        <w:rPr>
          <w:sz w:val="24"/>
        </w:rPr>
      </w:pPr>
    </w:p>
    <w:p>
      <w:pPr>
        <w:pStyle w:val="ListParagraph"/>
        <w:numPr>
          <w:ilvl w:val="0"/>
          <w:numId w:val="53"/>
        </w:numPr>
        <w:tabs>
          <w:tab w:pos="2533" w:val="left" w:leader="none"/>
        </w:tabs>
        <w:spacing w:line="240" w:lineRule="auto" w:before="0" w:after="0"/>
        <w:ind w:left="2532" w:right="0" w:hanging="140"/>
        <w:jc w:val="left"/>
        <w:rPr>
          <w:i/>
          <w:sz w:val="18"/>
        </w:rPr>
      </w:pPr>
      <w:r>
        <w:rPr>
          <w:i/>
          <w:sz w:val="18"/>
        </w:rPr>
        <w:t>Interest rate</w:t>
      </w:r>
      <w:r>
        <w:rPr>
          <w:i/>
          <w:spacing w:val="-1"/>
          <w:sz w:val="18"/>
        </w:rPr>
        <w:t> </w:t>
      </w:r>
      <w:r>
        <w:rPr>
          <w:i/>
          <w:sz w:val="18"/>
        </w:rPr>
        <w:t>risk</w:t>
      </w:r>
    </w:p>
    <w:p>
      <w:pPr>
        <w:pStyle w:val="BodyText"/>
        <w:spacing w:before="11"/>
        <w:rPr>
          <w:i/>
          <w:sz w:val="24"/>
        </w:rPr>
      </w:pPr>
    </w:p>
    <w:p>
      <w:pPr>
        <w:pStyle w:val="BodyText"/>
        <w:ind w:left="2392" w:right="1375"/>
      </w:pPr>
      <w:r>
        <w:rPr/>
        <w:t>Exposure to interest rate risk arises on financial assets and financial liabilities recognised at the end of the reporting period, whereby a future change in interest rates will affect future cash flows or the fair value of fixed rate financial instruments.</w:t>
      </w:r>
    </w:p>
    <w:p>
      <w:pPr>
        <w:pStyle w:val="BodyText"/>
        <w:spacing w:before="11"/>
        <w:rPr>
          <w:sz w:val="24"/>
        </w:rPr>
      </w:pPr>
    </w:p>
    <w:p>
      <w:pPr>
        <w:pStyle w:val="ListParagraph"/>
        <w:numPr>
          <w:ilvl w:val="0"/>
          <w:numId w:val="53"/>
        </w:numPr>
        <w:tabs>
          <w:tab w:pos="2576" w:val="left" w:leader="none"/>
        </w:tabs>
        <w:spacing w:line="240" w:lineRule="auto" w:before="0" w:after="0"/>
        <w:ind w:left="2576" w:right="0" w:hanging="180"/>
        <w:jc w:val="left"/>
        <w:rPr>
          <w:i/>
          <w:sz w:val="18"/>
        </w:rPr>
      </w:pPr>
      <w:r>
        <w:rPr>
          <w:i/>
          <w:sz w:val="18"/>
        </w:rPr>
        <w:t>Price</w:t>
      </w:r>
      <w:r>
        <w:rPr>
          <w:i/>
          <w:spacing w:val="-10"/>
          <w:sz w:val="18"/>
        </w:rPr>
        <w:t> </w:t>
      </w:r>
      <w:r>
        <w:rPr>
          <w:i/>
          <w:sz w:val="18"/>
        </w:rPr>
        <w:t>risk</w:t>
      </w:r>
    </w:p>
    <w:p>
      <w:pPr>
        <w:pStyle w:val="BodyText"/>
        <w:spacing w:before="11"/>
        <w:rPr>
          <w:i/>
          <w:sz w:val="24"/>
        </w:rPr>
      </w:pPr>
    </w:p>
    <w:p>
      <w:pPr>
        <w:pStyle w:val="BodyText"/>
        <w:ind w:left="2392" w:right="1423"/>
      </w:pPr>
      <w:r>
        <w:rPr/>
        <w:t>Price risk relates to the risk that the fair value or future cash flows of a financial instrument will fluctuate because of changes in market prices of securities held being available-for-sale or fair value through profit and loss.</w:t>
      </w:r>
    </w:p>
    <w:p>
      <w:pPr>
        <w:pStyle w:val="BodyText"/>
        <w:spacing w:before="11"/>
        <w:rPr>
          <w:sz w:val="24"/>
        </w:rPr>
      </w:pPr>
    </w:p>
    <w:p>
      <w:pPr>
        <w:pStyle w:val="BodyText"/>
        <w:ind w:left="2392" w:right="1450"/>
      </w:pPr>
      <w:r>
        <w:rPr/>
        <w:drawing>
          <wp:anchor distT="0" distB="0" distL="0" distR="0" allowOverlap="1" layoutInCell="1" locked="0" behindDoc="0" simplePos="0" relativeHeight="8944">
            <wp:simplePos x="0" y="0"/>
            <wp:positionH relativeFrom="page">
              <wp:posOffset>-1587</wp:posOffset>
            </wp:positionH>
            <wp:positionV relativeFrom="paragraph">
              <wp:posOffset>-76277</wp:posOffset>
            </wp:positionV>
            <wp:extent cx="136525" cy="155575"/>
            <wp:effectExtent l="0" t="0" r="0" b="0"/>
            <wp:wrapNone/>
            <wp:docPr id="591" name="image13.png" descr=""/>
            <wp:cNvGraphicFramePr>
              <a:graphicFrameLocks noChangeAspect="1"/>
            </wp:cNvGraphicFramePr>
            <a:graphic>
              <a:graphicData uri="http://schemas.openxmlformats.org/drawingml/2006/picture">
                <pic:pic>
                  <pic:nvPicPr>
                    <pic:cNvPr id="592" name="image13.png"/>
                    <pic:cNvPicPr/>
                  </pic:nvPicPr>
                  <pic:blipFill>
                    <a:blip r:embed="rId18" cstate="print"/>
                    <a:stretch>
                      <a:fillRect/>
                    </a:stretch>
                  </pic:blipFill>
                  <pic:spPr>
                    <a:xfrm>
                      <a:off x="0" y="0"/>
                      <a:ext cx="136525" cy="155575"/>
                    </a:xfrm>
                    <a:prstGeom prst="rect">
                      <a:avLst/>
                    </a:prstGeom>
                  </pic:spPr>
                </pic:pic>
              </a:graphicData>
            </a:graphic>
          </wp:anchor>
        </w:drawing>
      </w:r>
      <w:r>
        <w:rPr/>
        <w:drawing>
          <wp:anchor distT="0" distB="0" distL="0" distR="0" allowOverlap="1" layoutInCell="1" locked="0" behindDoc="0" simplePos="0" relativeHeight="8968">
            <wp:simplePos x="0" y="0"/>
            <wp:positionH relativeFrom="page">
              <wp:posOffset>7958429</wp:posOffset>
            </wp:positionH>
            <wp:positionV relativeFrom="paragraph">
              <wp:posOffset>-76277</wp:posOffset>
            </wp:positionV>
            <wp:extent cx="135953" cy="155575"/>
            <wp:effectExtent l="0" t="0" r="0" b="0"/>
            <wp:wrapNone/>
            <wp:docPr id="593" name="image15.png" descr=""/>
            <wp:cNvGraphicFramePr>
              <a:graphicFrameLocks noChangeAspect="1"/>
            </wp:cNvGraphicFramePr>
            <a:graphic>
              <a:graphicData uri="http://schemas.openxmlformats.org/drawingml/2006/picture">
                <pic:pic>
                  <pic:nvPicPr>
                    <pic:cNvPr id="594" name="image15.png"/>
                    <pic:cNvPicPr/>
                  </pic:nvPicPr>
                  <pic:blipFill>
                    <a:blip r:embed="rId20" cstate="print"/>
                    <a:stretch>
                      <a:fillRect/>
                    </a:stretch>
                  </pic:blipFill>
                  <pic:spPr>
                    <a:xfrm>
                      <a:off x="0" y="0"/>
                      <a:ext cx="135953" cy="155575"/>
                    </a:xfrm>
                    <a:prstGeom prst="rect">
                      <a:avLst/>
                    </a:prstGeom>
                  </pic:spPr>
                </pic:pic>
              </a:graphicData>
            </a:graphic>
          </wp:anchor>
        </w:drawing>
      </w:r>
      <w:r>
        <w:rPr/>
        <w:t>To manage price risk in managed investment funds the Company has contracted out the management of portfolio to external managers. These fund managers are mandated to diversify investments of the portfolio under their management.</w:t>
      </w:r>
    </w:p>
    <w:p>
      <w:pPr>
        <w:pStyle w:val="BodyText"/>
        <w:spacing w:before="11"/>
        <w:rPr>
          <w:sz w:val="24"/>
        </w:rPr>
      </w:pPr>
    </w:p>
    <w:p>
      <w:pPr>
        <w:spacing w:before="0"/>
        <w:ind w:left="2396" w:right="0" w:firstLine="0"/>
        <w:jc w:val="left"/>
        <w:rPr>
          <w:i/>
          <w:sz w:val="18"/>
        </w:rPr>
      </w:pPr>
      <w:bookmarkStart w:name="Interest Rate Risk - Sensitivity Analysi" w:id="238"/>
      <w:bookmarkEnd w:id="238"/>
      <w:r>
        <w:rPr/>
      </w:r>
      <w:r>
        <w:rPr>
          <w:i/>
          <w:sz w:val="18"/>
        </w:rPr>
        <w:t>Sensitivity analysis</w:t>
      </w:r>
    </w:p>
    <w:p>
      <w:pPr>
        <w:pStyle w:val="BodyText"/>
        <w:spacing w:before="11"/>
        <w:rPr>
          <w:i/>
          <w:sz w:val="24"/>
        </w:rPr>
      </w:pPr>
    </w:p>
    <w:p>
      <w:pPr>
        <w:pStyle w:val="BodyText"/>
        <w:ind w:left="2392"/>
      </w:pPr>
      <w:r>
        <w:rPr/>
        <w:t>The following table illustrates sensitivities to the Company's exposures to changes in the interest rate risk.</w:t>
      </w:r>
    </w:p>
    <w:p>
      <w:pPr>
        <w:pStyle w:val="BodyText"/>
        <w:spacing w:before="7"/>
        <w:rPr>
          <w:sz w:val="26"/>
        </w:rPr>
      </w:pPr>
    </w:p>
    <w:p>
      <w:pPr>
        <w:pStyle w:val="Heading8"/>
        <w:ind w:left="2359"/>
      </w:pPr>
      <w:r>
        <w:rPr/>
        <w:t>Interest Rate Risk - Sensitivity Analysis</w:t>
      </w:r>
    </w:p>
    <w:p>
      <w:pPr>
        <w:pStyle w:val="BodyText"/>
        <w:spacing w:before="4"/>
        <w:rPr>
          <w:b/>
          <w:sz w:val="25"/>
        </w:rPr>
      </w:pPr>
    </w:p>
    <w:p>
      <w:pPr>
        <w:pStyle w:val="BodyText"/>
        <w:ind w:left="2392" w:right="1375"/>
      </w:pPr>
      <w:r>
        <w:rPr/>
        <w:t>The following sensitivity analysis is based on the interest rate risk exposures in existence at the end of the reporting period.</w:t>
      </w:r>
    </w:p>
    <w:p>
      <w:pPr>
        <w:pStyle w:val="BodyText"/>
        <w:spacing w:before="11"/>
        <w:rPr>
          <w:sz w:val="24"/>
        </w:rPr>
      </w:pPr>
    </w:p>
    <w:p>
      <w:pPr>
        <w:pStyle w:val="BodyText"/>
        <w:ind w:left="2392" w:right="1375"/>
      </w:pPr>
      <w:r>
        <w:rPr/>
        <w:t>An increase of 100 basis points or a decrease of 100 basis points would have increased equity and surplus or deficit by the amounts shown below. This analysis assumes that other variables are held constant.</w:t>
      </w:r>
    </w:p>
    <w:p>
      <w:pPr>
        <w:pStyle w:val="BodyText"/>
        <w:spacing w:before="11"/>
        <w:rPr>
          <w:sz w:val="24"/>
        </w:rPr>
      </w:pPr>
    </w:p>
    <w:p>
      <w:pPr>
        <w:pStyle w:val="BodyText"/>
        <w:ind w:left="2392"/>
      </w:pPr>
      <w:r>
        <w:rPr/>
        <w:t>The movements in surplus / (deficit) are due to higher interest costs from variable rate debt and cash balances.</w:t>
      </w:r>
    </w:p>
    <w:p>
      <w:pPr>
        <w:pStyle w:val="BodyText"/>
        <w:spacing w:before="11"/>
        <w:rPr>
          <w:sz w:val="24"/>
        </w:rPr>
      </w:pPr>
    </w:p>
    <w:p>
      <w:pPr>
        <w:pStyle w:val="BodyText"/>
        <w:ind w:left="2392" w:right="1423"/>
      </w:pPr>
      <w:r>
        <w:rPr/>
        <w:t>The net exposure at the end of the reporting period is representative of what the Company was and is expecting to be exposed to at the end of the next twelve months. The sensitivity analysis is performed on the same basis as in 2015.</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3"/>
        <w:rPr>
          <w:sz w:val="24"/>
        </w:rPr>
      </w:pPr>
    </w:p>
    <w:p>
      <w:pPr>
        <w:spacing w:before="0"/>
        <w:ind w:left="2107" w:right="2107" w:firstLine="0"/>
        <w:jc w:val="center"/>
        <w:rPr>
          <w:sz w:val="16"/>
        </w:rPr>
      </w:pPr>
      <w:r>
        <w:rPr/>
        <w:pict>
          <v:line style="position:absolute;mso-position-horizontal-relative:page;mso-position-vertical-relative:paragraph;z-index:-1199512" from="12pt,36.387859pt" to="0pt,36.387859pt" stroked="true" strokeweight=".25pt" strokecolor="#000000">
            <w10:wrap type="none"/>
          </v:line>
        </w:pict>
      </w:r>
      <w:r>
        <w:rPr/>
        <w:pict>
          <v:line style="position:absolute;mso-position-horizontal-relative:page;mso-position-vertical-relative:paragraph;z-index:8848" from="625.27301pt,36.387859pt" to="637.228038pt,36.387859pt" stroked="true" strokeweight=".25pt" strokecolor="#000000">
            <w10:wrap type="none"/>
          </v:line>
        </w:pict>
      </w:r>
      <w:r>
        <w:rPr/>
        <w:pict>
          <v:line style="position:absolute;mso-position-horizontal-relative:page;mso-position-vertical-relative:paragraph;z-index:8872" from="21pt,45.387859pt" to="21pt,57.387846pt" stroked="true" strokeweight=".25pt" strokecolor="#000000">
            <w10:wrap type="none"/>
          </v:line>
        </w:pict>
      </w:r>
      <w:r>
        <w:rPr/>
        <w:pict>
          <v:line style="position:absolute;mso-position-horizontal-relative:page;mso-position-vertical-relative:paragraph;z-index:8896" from="616.27301pt,45.387859pt" to="616.27301pt,57.387846pt" stroked="true" strokeweight=".25pt" strokecolor="#000000">
            <w10:wrap type="none"/>
          </v:line>
        </w:pict>
      </w:r>
      <w:r>
        <w:rPr/>
        <w:drawing>
          <wp:anchor distT="0" distB="0" distL="0" distR="0" allowOverlap="1" layoutInCell="1" locked="0" behindDoc="0" simplePos="0" relativeHeight="8920">
            <wp:simplePos x="0" y="0"/>
            <wp:positionH relativeFrom="page">
              <wp:posOffset>3968896</wp:posOffset>
            </wp:positionH>
            <wp:positionV relativeFrom="paragraph">
              <wp:posOffset>593888</wp:posOffset>
            </wp:positionV>
            <wp:extent cx="155575" cy="136525"/>
            <wp:effectExtent l="0" t="0" r="0" b="0"/>
            <wp:wrapNone/>
            <wp:docPr id="595" name="image12.png" descr=""/>
            <wp:cNvGraphicFramePr>
              <a:graphicFrameLocks noChangeAspect="1"/>
            </wp:cNvGraphicFramePr>
            <a:graphic>
              <a:graphicData uri="http://schemas.openxmlformats.org/drawingml/2006/picture">
                <pic:pic>
                  <pic:nvPicPr>
                    <pic:cNvPr id="596" name="image12.png"/>
                    <pic:cNvPicPr/>
                  </pic:nvPicPr>
                  <pic:blipFill>
                    <a:blip r:embed="rId56" cstate="print"/>
                    <a:stretch>
                      <a:fillRect/>
                    </a:stretch>
                  </pic:blipFill>
                  <pic:spPr>
                    <a:xfrm>
                      <a:off x="0" y="0"/>
                      <a:ext cx="155575" cy="136525"/>
                    </a:xfrm>
                    <a:prstGeom prst="rect">
                      <a:avLst/>
                    </a:prstGeom>
                  </pic:spPr>
                </pic:pic>
              </a:graphicData>
            </a:graphic>
          </wp:anchor>
        </w:drawing>
      </w:r>
      <w:r>
        <w:rPr>
          <w:sz w:val="16"/>
        </w:rPr>
        <w:t>128</w:t>
      </w:r>
    </w:p>
    <w:p>
      <w:pPr>
        <w:spacing w:after="0"/>
        <w:jc w:val="center"/>
        <w:rPr>
          <w:sz w:val="16"/>
        </w:rPr>
        <w:sectPr>
          <w:headerReference w:type="default" r:id="rId78"/>
          <w:footerReference w:type="default" r:id="rId79"/>
          <w:pgSz w:w="12750" w:h="17680"/>
          <w:pgMar w:header="0" w:footer="0" w:top="0" w:bottom="0" w:left="0" w:right="0"/>
        </w:sectPr>
      </w:pPr>
    </w:p>
    <w:p>
      <w:pPr>
        <w:tabs>
          <w:tab w:pos="8296" w:val="left" w:leader="none"/>
          <w:tab w:pos="16305" w:val="left" w:leader="none"/>
        </w:tabs>
        <w:spacing w:line="240" w:lineRule="auto"/>
        <w:ind w:left="37" w:right="0" w:firstLine="0"/>
        <w:rPr>
          <w:sz w:val="20"/>
        </w:rPr>
      </w:pPr>
      <w:r>
        <w:rPr>
          <w:sz w:val="20"/>
        </w:rPr>
        <w:pict>
          <v:group style="width:24.75pt;height:24.75pt;mso-position-horizontal-relative:char;mso-position-vertical-relative:line" coordorigin="0,0" coordsize="495,495">
            <v:line style="position:absolute" from="303,483" to="3,483" stroked="true" strokeweight=".25pt" strokecolor="#000000"/>
            <v:line style="position:absolute" from="423,483" to="63,483" stroked="true" strokeweight="1.25pt" strokecolor="#ffffff"/>
            <v:line style="position:absolute" from="483,303" to="483,3" stroked="true" strokeweight=".25pt" strokecolor="#000000"/>
            <v:line style="position:absolute" from="483,423" to="483,63" stroked="true" strokeweight="1.25pt" strokecolor="#ffffff"/>
            <v:line style="position:absolute" from="423,483" to="63,483" stroked="true" strokeweight=".25pt" strokecolor="#000000"/>
            <v:line style="position:absolute" from="483,423" to="483,63" stroked="true" strokeweight=".25pt" strokecolor="#000000"/>
          </v:group>
        </w:pict>
      </w:r>
      <w:r>
        <w:rPr>
          <w:sz w:val="20"/>
        </w:rPr>
      </w:r>
      <w:r>
        <w:rPr>
          <w:sz w:val="20"/>
        </w:rPr>
        <w:tab/>
      </w:r>
      <w:r>
        <w:rPr>
          <w:position w:val="22"/>
          <w:sz w:val="20"/>
        </w:rPr>
        <w:drawing>
          <wp:inline distT="0" distB="0" distL="0" distR="0">
            <wp:extent cx="155448" cy="155448"/>
            <wp:effectExtent l="0" t="0" r="0" b="0"/>
            <wp:docPr id="597" name="image24.png" descr=""/>
            <wp:cNvGraphicFramePr>
              <a:graphicFrameLocks noChangeAspect="1"/>
            </wp:cNvGraphicFramePr>
            <a:graphic>
              <a:graphicData uri="http://schemas.openxmlformats.org/drawingml/2006/picture">
                <pic:pic>
                  <pic:nvPicPr>
                    <pic:cNvPr id="598" name="image24.png"/>
                    <pic:cNvPicPr/>
                  </pic:nvPicPr>
                  <pic:blipFill>
                    <a:blip r:embed="rId48" cstate="print"/>
                    <a:stretch>
                      <a:fillRect/>
                    </a:stretch>
                  </pic:blipFill>
                  <pic:spPr>
                    <a:xfrm>
                      <a:off x="0" y="0"/>
                      <a:ext cx="155448" cy="155448"/>
                    </a:xfrm>
                    <a:prstGeom prst="rect">
                      <a:avLst/>
                    </a:prstGeom>
                  </pic:spPr>
                </pic:pic>
              </a:graphicData>
            </a:graphic>
          </wp:inline>
        </w:drawing>
      </w:r>
      <w:r>
        <w:rPr>
          <w:position w:val="22"/>
          <w:sz w:val="20"/>
        </w:rPr>
      </w:r>
      <w:r>
        <w:rPr>
          <w:position w:val="22"/>
          <w:sz w:val="20"/>
        </w:rPr>
        <w:tab/>
      </w:r>
      <w:r>
        <w:rPr>
          <w:sz w:val="20"/>
        </w:rPr>
        <w:pict>
          <v:group style="width:24.75pt;height:24.75pt;mso-position-horizontal-relative:char;mso-position-vertical-relative:line" coordorigin="0,0" coordsize="495,495">
            <v:line style="position:absolute" from="193,483" to="493,483" stroked="true" strokeweight=".25pt" strokecolor="#000000"/>
            <v:line style="position:absolute" from="73,483" to="433,483" stroked="true" strokeweight="1.25pt" strokecolor="#ffffff"/>
            <v:line style="position:absolute" from="13,303" to="13,3" stroked="true" strokeweight=".25pt" strokecolor="#000000"/>
            <v:line style="position:absolute" from="13,423" to="13,63" stroked="true" strokeweight="1.25pt" strokecolor="#ffffff"/>
            <v:line style="position:absolute" from="73,483" to="433,483" stroked="true" strokeweight=".25pt" strokecolor="#000000"/>
            <v:line style="position:absolute" from="13,423" to="13,63" stroked="true" strokeweight=".25pt" strokecolor="#000000"/>
          </v:group>
        </w:pict>
      </w:r>
      <w:r>
        <w:rPr>
          <w:sz w:val="20"/>
        </w:rPr>
      </w:r>
    </w:p>
    <w:p>
      <w:pPr>
        <w:pStyle w:val="BodyText"/>
        <w:rPr>
          <w:sz w:val="20"/>
        </w:rPr>
      </w:pPr>
    </w:p>
    <w:p>
      <w:pPr>
        <w:pStyle w:val="BodyText"/>
        <w:spacing w:before="5"/>
        <w:rPr>
          <w:sz w:val="19"/>
        </w:rPr>
      </w:pPr>
    </w:p>
    <w:p>
      <w:pPr>
        <w:spacing w:before="0"/>
        <w:ind w:left="1008" w:right="0" w:firstLine="0"/>
        <w:jc w:val="left"/>
        <w:rPr>
          <w:b/>
          <w:sz w:val="22"/>
        </w:rPr>
      </w:pPr>
      <w:r>
        <w:rPr>
          <w:b/>
          <w:sz w:val="22"/>
        </w:rPr>
        <w:t>UWS Enterprises Pty Limited Trading as Western Sydney University The College</w:t>
      </w:r>
    </w:p>
    <w:p>
      <w:pPr>
        <w:spacing w:before="56"/>
        <w:ind w:left="1008" w:right="0" w:firstLine="0"/>
        <w:jc w:val="left"/>
        <w:rPr>
          <w:b/>
          <w:sz w:val="14"/>
        </w:rPr>
      </w:pPr>
      <w:r>
        <w:rPr>
          <w:b/>
          <w:sz w:val="14"/>
        </w:rPr>
        <w:t>ABN: 44 003 474 468</w:t>
      </w:r>
    </w:p>
    <w:p>
      <w:pPr>
        <w:pStyle w:val="BodyText"/>
        <w:rPr>
          <w:b/>
          <w:sz w:val="14"/>
        </w:rPr>
      </w:pPr>
    </w:p>
    <w:p>
      <w:pPr>
        <w:pStyle w:val="BodyText"/>
        <w:spacing w:before="5"/>
        <w:rPr>
          <w:b/>
          <w:sz w:val="15"/>
        </w:rPr>
      </w:pPr>
    </w:p>
    <w:p>
      <w:pPr>
        <w:pStyle w:val="Heading4"/>
        <w:spacing w:before="0"/>
        <w:ind w:left="1008"/>
      </w:pPr>
      <w:r>
        <w:rPr/>
        <w:t>Notes to the Financial Statements</w:t>
      </w:r>
    </w:p>
    <w:p>
      <w:pPr>
        <w:pStyle w:val="Heading7"/>
        <w:ind w:left="1008"/>
      </w:pPr>
      <w:r>
        <w:rPr/>
        <w:t>For the Year Ended 31 December 2016</w:t>
      </w:r>
    </w:p>
    <w:p>
      <w:pPr>
        <w:pStyle w:val="BodyText"/>
        <w:rPr>
          <w:b/>
          <w:sz w:val="22"/>
        </w:rPr>
      </w:pPr>
    </w:p>
    <w:p>
      <w:pPr>
        <w:pStyle w:val="BodyText"/>
        <w:rPr>
          <w:b/>
          <w:sz w:val="22"/>
        </w:rPr>
      </w:pPr>
    </w:p>
    <w:p>
      <w:pPr>
        <w:pStyle w:val="Heading8"/>
        <w:spacing w:before="160"/>
        <w:ind w:left="1009"/>
      </w:pPr>
      <w:r>
        <w:rPr/>
        <w:t>13    Financial Risk Management continued</w:t>
      </w:r>
    </w:p>
    <w:p>
      <w:pPr>
        <w:pStyle w:val="BodyText"/>
        <w:spacing w:before="7"/>
        <w:rPr>
          <w:b/>
          <w:sz w:val="26"/>
        </w:rPr>
      </w:pPr>
    </w:p>
    <w:p>
      <w:pPr>
        <w:spacing w:line="203" w:lineRule="exact" w:before="0"/>
        <w:ind w:left="1687" w:right="0" w:firstLine="0"/>
        <w:jc w:val="left"/>
        <w:rPr>
          <w:b/>
          <w:sz w:val="18"/>
        </w:rPr>
      </w:pPr>
      <w:r>
        <w:rPr/>
        <w:drawing>
          <wp:anchor distT="0" distB="0" distL="0" distR="0" allowOverlap="1" layoutInCell="1" locked="0" behindDoc="0" simplePos="0" relativeHeight="9040">
            <wp:simplePos x="0" y="0"/>
            <wp:positionH relativeFrom="page">
              <wp:posOffset>42862</wp:posOffset>
            </wp:positionH>
            <wp:positionV relativeFrom="paragraph">
              <wp:posOffset>1396750</wp:posOffset>
            </wp:positionV>
            <wp:extent cx="154019" cy="154019"/>
            <wp:effectExtent l="0" t="0" r="0" b="0"/>
            <wp:wrapTopAndBottom/>
            <wp:docPr id="599" name="image25.png" descr=""/>
            <wp:cNvGraphicFramePr>
              <a:graphicFrameLocks noChangeAspect="1"/>
            </wp:cNvGraphicFramePr>
            <a:graphic>
              <a:graphicData uri="http://schemas.openxmlformats.org/drawingml/2006/picture">
                <pic:pic>
                  <pic:nvPicPr>
                    <pic:cNvPr id="600" name="image25.png"/>
                    <pic:cNvPicPr/>
                  </pic:nvPicPr>
                  <pic:blipFill>
                    <a:blip r:embed="rId41" cstate="print"/>
                    <a:stretch>
                      <a:fillRect/>
                    </a:stretch>
                  </pic:blipFill>
                  <pic:spPr>
                    <a:xfrm>
                      <a:off x="0" y="0"/>
                      <a:ext cx="154019" cy="154019"/>
                    </a:xfrm>
                    <a:prstGeom prst="rect">
                      <a:avLst/>
                    </a:prstGeom>
                  </pic:spPr>
                </pic:pic>
              </a:graphicData>
            </a:graphic>
          </wp:anchor>
        </w:drawing>
      </w:r>
      <w:r>
        <w:rPr/>
        <w:pict>
          <v:shape style="position:absolute;margin-left:96.889999pt;margin-top:12.14905pt;width:696.1pt;height:320.2pt;mso-position-horizontal-relative:page;mso-position-vertical-relative:paragraph;z-index:0;mso-wrap-distance-left:0;mso-wrap-distance-right:0"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587"/>
                    <w:gridCol w:w="1009"/>
                    <w:gridCol w:w="1581"/>
                    <w:gridCol w:w="1611"/>
                    <w:gridCol w:w="1552"/>
                    <w:gridCol w:w="1581"/>
                  </w:tblGrid>
                  <w:tr>
                    <w:trPr>
                      <w:trHeight w:val="492" w:hRule="exact"/>
                    </w:trPr>
                    <w:tc>
                      <w:tcPr>
                        <w:tcW w:w="6587" w:type="dxa"/>
                        <w:vMerge w:val="restart"/>
                      </w:tcPr>
                      <w:p>
                        <w:pPr/>
                      </w:p>
                    </w:tc>
                    <w:tc>
                      <w:tcPr>
                        <w:tcW w:w="1009" w:type="dxa"/>
                      </w:tcPr>
                      <w:p>
                        <w:pPr>
                          <w:pStyle w:val="TableParagraph"/>
                          <w:spacing w:before="10"/>
                          <w:jc w:val="left"/>
                          <w:rPr>
                            <w:b/>
                            <w:sz w:val="23"/>
                          </w:rPr>
                        </w:pPr>
                      </w:p>
                      <w:p>
                        <w:pPr>
                          <w:pStyle w:val="TableParagraph"/>
                          <w:spacing w:before="1"/>
                          <w:ind w:left="121"/>
                          <w:jc w:val="left"/>
                          <w:rPr>
                            <w:b/>
                            <w:sz w:val="18"/>
                          </w:rPr>
                        </w:pPr>
                        <w:r>
                          <w:rPr>
                            <w:b/>
                            <w:sz w:val="18"/>
                          </w:rPr>
                          <w:t>Carrying</w:t>
                        </w:r>
                      </w:p>
                    </w:tc>
                    <w:tc>
                      <w:tcPr>
                        <w:tcW w:w="1581" w:type="dxa"/>
                      </w:tcPr>
                      <w:p>
                        <w:pPr>
                          <w:pStyle w:val="TableParagraph"/>
                          <w:spacing w:line="316" w:lineRule="auto" w:before="2"/>
                          <w:ind w:left="88" w:right="72" w:firstLine="24"/>
                          <w:jc w:val="left"/>
                          <w:rPr>
                            <w:b/>
                            <w:sz w:val="18"/>
                          </w:rPr>
                        </w:pPr>
                        <w:r>
                          <w:rPr>
                            <w:b/>
                            <w:sz w:val="18"/>
                          </w:rPr>
                          <w:t>Surplus / deficit 100 basis points</w:t>
                        </w:r>
                      </w:p>
                    </w:tc>
                    <w:tc>
                      <w:tcPr>
                        <w:tcW w:w="1611" w:type="dxa"/>
                      </w:tcPr>
                      <w:p>
                        <w:pPr>
                          <w:pStyle w:val="TableParagraph"/>
                          <w:spacing w:line="316" w:lineRule="auto" w:before="2"/>
                          <w:ind w:left="89" w:right="101" w:firstLine="24"/>
                          <w:jc w:val="left"/>
                          <w:rPr>
                            <w:b/>
                            <w:sz w:val="18"/>
                          </w:rPr>
                        </w:pPr>
                        <w:r>
                          <w:rPr>
                            <w:b/>
                            <w:sz w:val="18"/>
                          </w:rPr>
                          <w:t>Surplus / deficit 100 basis points</w:t>
                        </w:r>
                      </w:p>
                    </w:tc>
                    <w:tc>
                      <w:tcPr>
                        <w:tcW w:w="1552" w:type="dxa"/>
                      </w:tcPr>
                      <w:p>
                        <w:pPr>
                          <w:pStyle w:val="TableParagraph"/>
                          <w:spacing w:before="2"/>
                          <w:ind w:left="41" w:right="70"/>
                          <w:jc w:val="center"/>
                          <w:rPr>
                            <w:b/>
                            <w:sz w:val="18"/>
                          </w:rPr>
                        </w:pPr>
                        <w:r>
                          <w:rPr>
                            <w:b/>
                            <w:sz w:val="18"/>
                          </w:rPr>
                          <w:t>Equity</w:t>
                        </w:r>
                      </w:p>
                      <w:p>
                        <w:pPr>
                          <w:pStyle w:val="TableParagraph"/>
                          <w:spacing w:before="66"/>
                          <w:ind w:left="41" w:right="70"/>
                          <w:jc w:val="center"/>
                          <w:rPr>
                            <w:b/>
                            <w:sz w:val="18"/>
                          </w:rPr>
                        </w:pPr>
                        <w:r>
                          <w:rPr>
                            <w:b/>
                            <w:sz w:val="18"/>
                          </w:rPr>
                          <w:t>100 basis points</w:t>
                        </w:r>
                      </w:p>
                    </w:tc>
                    <w:tc>
                      <w:tcPr>
                        <w:tcW w:w="1581" w:type="dxa"/>
                      </w:tcPr>
                      <w:p>
                        <w:pPr>
                          <w:pStyle w:val="TableParagraph"/>
                          <w:spacing w:before="2"/>
                          <w:ind w:left="69" w:right="70"/>
                          <w:jc w:val="center"/>
                          <w:rPr>
                            <w:b/>
                            <w:sz w:val="18"/>
                          </w:rPr>
                        </w:pPr>
                        <w:r>
                          <w:rPr>
                            <w:b/>
                            <w:sz w:val="18"/>
                          </w:rPr>
                          <w:t>Equity</w:t>
                        </w:r>
                      </w:p>
                      <w:p>
                        <w:pPr>
                          <w:pStyle w:val="TableParagraph"/>
                          <w:spacing w:before="66"/>
                          <w:ind w:left="69" w:right="70"/>
                          <w:jc w:val="center"/>
                          <w:rPr>
                            <w:b/>
                            <w:sz w:val="18"/>
                          </w:rPr>
                        </w:pPr>
                        <w:r>
                          <w:rPr>
                            <w:b/>
                            <w:sz w:val="18"/>
                          </w:rPr>
                          <w:t>100 basis points</w:t>
                        </w:r>
                      </w:p>
                    </w:tc>
                  </w:tr>
                  <w:tr>
                    <w:trPr>
                      <w:trHeight w:val="240" w:hRule="exact"/>
                    </w:trPr>
                    <w:tc>
                      <w:tcPr>
                        <w:tcW w:w="6587" w:type="dxa"/>
                        <w:vMerge/>
                      </w:tcPr>
                      <w:p>
                        <w:pPr/>
                      </w:p>
                    </w:tc>
                    <w:tc>
                      <w:tcPr>
                        <w:tcW w:w="1009" w:type="dxa"/>
                      </w:tcPr>
                      <w:p>
                        <w:pPr>
                          <w:pStyle w:val="TableParagraph"/>
                          <w:spacing w:line="197" w:lineRule="exact"/>
                          <w:ind w:left="164"/>
                          <w:jc w:val="left"/>
                          <w:rPr>
                            <w:b/>
                            <w:sz w:val="18"/>
                          </w:rPr>
                        </w:pPr>
                        <w:r>
                          <w:rPr>
                            <w:b/>
                            <w:sz w:val="18"/>
                          </w:rPr>
                          <w:t>amount</w:t>
                        </w:r>
                      </w:p>
                    </w:tc>
                    <w:tc>
                      <w:tcPr>
                        <w:tcW w:w="1581" w:type="dxa"/>
                      </w:tcPr>
                      <w:p>
                        <w:pPr>
                          <w:pStyle w:val="TableParagraph"/>
                          <w:spacing w:line="197" w:lineRule="exact"/>
                          <w:ind w:left="424" w:right="72"/>
                          <w:jc w:val="left"/>
                          <w:rPr>
                            <w:b/>
                            <w:sz w:val="18"/>
                          </w:rPr>
                        </w:pPr>
                        <w:r>
                          <w:rPr>
                            <w:b/>
                            <w:sz w:val="18"/>
                          </w:rPr>
                          <w:t>increase</w:t>
                        </w:r>
                      </w:p>
                    </w:tc>
                    <w:tc>
                      <w:tcPr>
                        <w:tcW w:w="1611" w:type="dxa"/>
                      </w:tcPr>
                      <w:p>
                        <w:pPr>
                          <w:pStyle w:val="TableParagraph"/>
                          <w:spacing w:line="197" w:lineRule="exact"/>
                          <w:ind w:left="400" w:right="101"/>
                          <w:jc w:val="left"/>
                          <w:rPr>
                            <w:b/>
                            <w:sz w:val="18"/>
                          </w:rPr>
                        </w:pPr>
                        <w:r>
                          <w:rPr>
                            <w:b/>
                            <w:sz w:val="18"/>
                          </w:rPr>
                          <w:t>decrease</w:t>
                        </w:r>
                      </w:p>
                    </w:tc>
                    <w:tc>
                      <w:tcPr>
                        <w:tcW w:w="1552" w:type="dxa"/>
                      </w:tcPr>
                      <w:p>
                        <w:pPr>
                          <w:pStyle w:val="TableParagraph"/>
                          <w:spacing w:line="197" w:lineRule="exact"/>
                          <w:ind w:left="395"/>
                          <w:jc w:val="left"/>
                          <w:rPr>
                            <w:b/>
                            <w:sz w:val="18"/>
                          </w:rPr>
                        </w:pPr>
                        <w:r>
                          <w:rPr>
                            <w:b/>
                            <w:sz w:val="18"/>
                          </w:rPr>
                          <w:t>increase</w:t>
                        </w:r>
                      </w:p>
                    </w:tc>
                    <w:tc>
                      <w:tcPr>
                        <w:tcW w:w="1581" w:type="dxa"/>
                      </w:tcPr>
                      <w:p>
                        <w:pPr>
                          <w:pStyle w:val="TableParagraph"/>
                          <w:spacing w:line="197" w:lineRule="exact"/>
                          <w:ind w:left="400"/>
                          <w:jc w:val="left"/>
                          <w:rPr>
                            <w:b/>
                            <w:sz w:val="18"/>
                          </w:rPr>
                        </w:pPr>
                        <w:r>
                          <w:rPr>
                            <w:b/>
                            <w:sz w:val="18"/>
                          </w:rPr>
                          <w:t>decrease</w:t>
                        </w:r>
                      </w:p>
                    </w:tc>
                  </w:tr>
                  <w:tr>
                    <w:trPr>
                      <w:trHeight w:val="313" w:hRule="exact"/>
                    </w:trPr>
                    <w:tc>
                      <w:tcPr>
                        <w:tcW w:w="6587" w:type="dxa"/>
                        <w:vMerge/>
                      </w:tcPr>
                      <w:p>
                        <w:pPr/>
                      </w:p>
                    </w:tc>
                    <w:tc>
                      <w:tcPr>
                        <w:tcW w:w="1009" w:type="dxa"/>
                      </w:tcPr>
                      <w:p>
                        <w:pPr>
                          <w:pStyle w:val="TableParagraph"/>
                          <w:spacing w:before="24"/>
                          <w:ind w:right="26"/>
                          <w:jc w:val="center"/>
                          <w:rPr>
                            <w:b/>
                            <w:sz w:val="18"/>
                          </w:rPr>
                        </w:pPr>
                        <w:r>
                          <w:rPr>
                            <w:b/>
                            <w:w w:val="99"/>
                            <w:sz w:val="18"/>
                          </w:rPr>
                          <w:t>$</w:t>
                        </w:r>
                      </w:p>
                    </w:tc>
                    <w:tc>
                      <w:tcPr>
                        <w:tcW w:w="1581" w:type="dxa"/>
                      </w:tcPr>
                      <w:p>
                        <w:pPr>
                          <w:pStyle w:val="TableParagraph"/>
                          <w:spacing w:before="24"/>
                          <w:jc w:val="center"/>
                          <w:rPr>
                            <w:b/>
                            <w:sz w:val="18"/>
                          </w:rPr>
                        </w:pPr>
                        <w:r>
                          <w:rPr>
                            <w:b/>
                            <w:w w:val="99"/>
                            <w:sz w:val="18"/>
                          </w:rPr>
                          <w:t>$</w:t>
                        </w:r>
                      </w:p>
                    </w:tc>
                    <w:tc>
                      <w:tcPr>
                        <w:tcW w:w="1611" w:type="dxa"/>
                      </w:tcPr>
                      <w:p>
                        <w:pPr>
                          <w:pStyle w:val="TableParagraph"/>
                          <w:spacing w:before="24"/>
                          <w:ind w:right="29"/>
                          <w:jc w:val="center"/>
                          <w:rPr>
                            <w:b/>
                            <w:sz w:val="18"/>
                          </w:rPr>
                        </w:pPr>
                        <w:r>
                          <w:rPr>
                            <w:b/>
                            <w:w w:val="99"/>
                            <w:sz w:val="18"/>
                          </w:rPr>
                          <w:t>$</w:t>
                        </w:r>
                      </w:p>
                    </w:tc>
                    <w:tc>
                      <w:tcPr>
                        <w:tcW w:w="1552" w:type="dxa"/>
                      </w:tcPr>
                      <w:p>
                        <w:pPr>
                          <w:pStyle w:val="TableParagraph"/>
                          <w:spacing w:before="24"/>
                          <w:ind w:right="29"/>
                          <w:jc w:val="center"/>
                          <w:rPr>
                            <w:b/>
                            <w:sz w:val="18"/>
                          </w:rPr>
                        </w:pPr>
                        <w:r>
                          <w:rPr>
                            <w:b/>
                            <w:w w:val="99"/>
                            <w:sz w:val="18"/>
                          </w:rPr>
                          <w:t>$</w:t>
                        </w:r>
                      </w:p>
                    </w:tc>
                    <w:tc>
                      <w:tcPr>
                        <w:tcW w:w="1581" w:type="dxa"/>
                      </w:tcPr>
                      <w:p>
                        <w:pPr>
                          <w:pStyle w:val="TableParagraph"/>
                          <w:spacing w:before="24"/>
                          <w:ind w:right="1"/>
                          <w:jc w:val="center"/>
                          <w:rPr>
                            <w:b/>
                            <w:sz w:val="18"/>
                          </w:rPr>
                        </w:pPr>
                        <w:r>
                          <w:rPr>
                            <w:b/>
                            <w:w w:val="99"/>
                            <w:sz w:val="18"/>
                          </w:rPr>
                          <w:t>$</w:t>
                        </w:r>
                      </w:p>
                    </w:tc>
                  </w:tr>
                  <w:tr>
                    <w:trPr>
                      <w:trHeight w:val="336" w:hRule="exact"/>
                    </w:trPr>
                    <w:tc>
                      <w:tcPr>
                        <w:tcW w:w="6587" w:type="dxa"/>
                      </w:tcPr>
                      <w:p>
                        <w:pPr>
                          <w:pStyle w:val="TableParagraph"/>
                          <w:spacing w:before="63"/>
                          <w:ind w:left="35"/>
                          <w:jc w:val="left"/>
                          <w:rPr>
                            <w:b/>
                            <w:sz w:val="18"/>
                          </w:rPr>
                        </w:pPr>
                        <w:r>
                          <w:rPr>
                            <w:b/>
                            <w:sz w:val="18"/>
                          </w:rPr>
                          <w:t>2016</w:t>
                        </w:r>
                      </w:p>
                    </w:tc>
                    <w:tc>
                      <w:tcPr>
                        <w:tcW w:w="1009" w:type="dxa"/>
                      </w:tcPr>
                      <w:p>
                        <w:pPr/>
                      </w:p>
                    </w:tc>
                    <w:tc>
                      <w:tcPr>
                        <w:tcW w:w="1581" w:type="dxa"/>
                      </w:tcPr>
                      <w:p>
                        <w:pPr/>
                      </w:p>
                    </w:tc>
                    <w:tc>
                      <w:tcPr>
                        <w:tcW w:w="1611" w:type="dxa"/>
                      </w:tcPr>
                      <w:p>
                        <w:pPr/>
                      </w:p>
                    </w:tc>
                    <w:tc>
                      <w:tcPr>
                        <w:tcW w:w="1552" w:type="dxa"/>
                      </w:tcPr>
                      <w:p>
                        <w:pPr/>
                      </w:p>
                    </w:tc>
                    <w:tc>
                      <w:tcPr>
                        <w:tcW w:w="1581" w:type="dxa"/>
                      </w:tcPr>
                      <w:p>
                        <w:pPr/>
                      </w:p>
                    </w:tc>
                  </w:tr>
                  <w:tr>
                    <w:trPr>
                      <w:trHeight w:val="277" w:hRule="exact"/>
                    </w:trPr>
                    <w:tc>
                      <w:tcPr>
                        <w:tcW w:w="6587" w:type="dxa"/>
                      </w:tcPr>
                      <w:p>
                        <w:pPr>
                          <w:pStyle w:val="TableParagraph"/>
                          <w:spacing w:before="46"/>
                          <w:ind w:left="35"/>
                          <w:jc w:val="left"/>
                          <w:rPr>
                            <w:b/>
                            <w:sz w:val="18"/>
                          </w:rPr>
                        </w:pPr>
                        <w:r>
                          <w:rPr>
                            <w:b/>
                            <w:sz w:val="18"/>
                          </w:rPr>
                          <w:t>Financial assets</w:t>
                        </w:r>
                      </w:p>
                    </w:tc>
                    <w:tc>
                      <w:tcPr>
                        <w:tcW w:w="1009" w:type="dxa"/>
                      </w:tcPr>
                      <w:p>
                        <w:pPr/>
                      </w:p>
                    </w:tc>
                    <w:tc>
                      <w:tcPr>
                        <w:tcW w:w="1581" w:type="dxa"/>
                      </w:tcPr>
                      <w:p>
                        <w:pPr/>
                      </w:p>
                    </w:tc>
                    <w:tc>
                      <w:tcPr>
                        <w:tcW w:w="1611" w:type="dxa"/>
                      </w:tcPr>
                      <w:p>
                        <w:pPr/>
                      </w:p>
                    </w:tc>
                    <w:tc>
                      <w:tcPr>
                        <w:tcW w:w="1552" w:type="dxa"/>
                      </w:tcPr>
                      <w:p>
                        <w:pPr/>
                      </w:p>
                    </w:tc>
                    <w:tc>
                      <w:tcPr>
                        <w:tcW w:w="1581" w:type="dxa"/>
                      </w:tcPr>
                      <w:p>
                        <w:pPr/>
                      </w:p>
                    </w:tc>
                  </w:tr>
                  <w:tr>
                    <w:trPr>
                      <w:trHeight w:val="250" w:hRule="exact"/>
                    </w:trPr>
                    <w:tc>
                      <w:tcPr>
                        <w:tcW w:w="6587" w:type="dxa"/>
                      </w:tcPr>
                      <w:p>
                        <w:pPr>
                          <w:pStyle w:val="TableParagraph"/>
                          <w:spacing w:before="6"/>
                          <w:ind w:left="35"/>
                          <w:jc w:val="left"/>
                          <w:rPr>
                            <w:sz w:val="18"/>
                          </w:rPr>
                        </w:pPr>
                        <w:r>
                          <w:rPr>
                            <w:sz w:val="18"/>
                          </w:rPr>
                          <w:t>Cash and cash equivalents</w:t>
                        </w:r>
                      </w:p>
                    </w:tc>
                    <w:tc>
                      <w:tcPr>
                        <w:tcW w:w="1009" w:type="dxa"/>
                      </w:tcPr>
                      <w:p>
                        <w:pPr>
                          <w:pStyle w:val="TableParagraph"/>
                          <w:spacing w:before="4"/>
                          <w:ind w:left="122"/>
                          <w:jc w:val="left"/>
                          <w:rPr>
                            <w:sz w:val="18"/>
                          </w:rPr>
                        </w:pPr>
                        <w:r>
                          <w:rPr>
                            <w:sz w:val="18"/>
                          </w:rPr>
                          <w:t>1,109,058</w:t>
                        </w:r>
                      </w:p>
                    </w:tc>
                    <w:tc>
                      <w:tcPr>
                        <w:tcW w:w="1581" w:type="dxa"/>
                      </w:tcPr>
                      <w:p>
                        <w:pPr>
                          <w:pStyle w:val="TableParagraph"/>
                          <w:spacing w:before="4"/>
                          <w:ind w:right="87"/>
                          <w:rPr>
                            <w:sz w:val="18"/>
                          </w:rPr>
                        </w:pPr>
                        <w:r>
                          <w:rPr>
                            <w:w w:val="95"/>
                            <w:sz w:val="18"/>
                          </w:rPr>
                          <w:t>11,091</w:t>
                        </w:r>
                      </w:p>
                    </w:tc>
                    <w:tc>
                      <w:tcPr>
                        <w:tcW w:w="1611" w:type="dxa"/>
                      </w:tcPr>
                      <w:p>
                        <w:pPr>
                          <w:pStyle w:val="TableParagraph"/>
                          <w:spacing w:before="4"/>
                          <w:ind w:right="57"/>
                          <w:rPr>
                            <w:sz w:val="18"/>
                          </w:rPr>
                        </w:pPr>
                        <w:r>
                          <w:rPr>
                            <w:w w:val="95"/>
                            <w:sz w:val="18"/>
                          </w:rPr>
                          <w:t>(11,091)</w:t>
                        </w:r>
                      </w:p>
                    </w:tc>
                    <w:tc>
                      <w:tcPr>
                        <w:tcW w:w="1552" w:type="dxa"/>
                      </w:tcPr>
                      <w:p>
                        <w:pPr>
                          <w:pStyle w:val="TableParagraph"/>
                          <w:spacing w:before="4"/>
                          <w:ind w:right="87"/>
                          <w:rPr>
                            <w:sz w:val="18"/>
                          </w:rPr>
                        </w:pPr>
                        <w:r>
                          <w:rPr>
                            <w:w w:val="95"/>
                            <w:sz w:val="18"/>
                          </w:rPr>
                          <w:t>11,091</w:t>
                        </w:r>
                      </w:p>
                    </w:tc>
                    <w:tc>
                      <w:tcPr>
                        <w:tcW w:w="1581" w:type="dxa"/>
                      </w:tcPr>
                      <w:p>
                        <w:pPr>
                          <w:pStyle w:val="TableParagraph"/>
                          <w:spacing w:before="4"/>
                          <w:ind w:right="27"/>
                          <w:rPr>
                            <w:sz w:val="18"/>
                          </w:rPr>
                        </w:pPr>
                        <w:r>
                          <w:rPr>
                            <w:w w:val="95"/>
                            <w:sz w:val="18"/>
                          </w:rPr>
                          <w:t>(11,091)</w:t>
                        </w:r>
                      </w:p>
                    </w:tc>
                  </w:tr>
                  <w:tr>
                    <w:trPr>
                      <w:trHeight w:val="264" w:hRule="exact"/>
                    </w:trPr>
                    <w:tc>
                      <w:tcPr>
                        <w:tcW w:w="6587" w:type="dxa"/>
                      </w:tcPr>
                      <w:p>
                        <w:pPr>
                          <w:pStyle w:val="TableParagraph"/>
                          <w:spacing w:before="19"/>
                          <w:ind w:left="35"/>
                          <w:jc w:val="left"/>
                          <w:rPr>
                            <w:sz w:val="18"/>
                          </w:rPr>
                        </w:pPr>
                        <w:r>
                          <w:rPr>
                            <w:sz w:val="18"/>
                          </w:rPr>
                          <w:t>Loans to parent entity</w:t>
                        </w:r>
                      </w:p>
                    </w:tc>
                    <w:tc>
                      <w:tcPr>
                        <w:tcW w:w="1009" w:type="dxa"/>
                      </w:tcPr>
                      <w:p>
                        <w:pPr>
                          <w:pStyle w:val="TableParagraph"/>
                          <w:spacing w:before="18"/>
                          <w:ind w:left="122"/>
                          <w:jc w:val="left"/>
                          <w:rPr>
                            <w:sz w:val="18"/>
                          </w:rPr>
                        </w:pPr>
                        <w:r>
                          <w:rPr>
                            <w:sz w:val="18"/>
                          </w:rPr>
                          <w:t>5,651,726</w:t>
                        </w:r>
                      </w:p>
                    </w:tc>
                    <w:tc>
                      <w:tcPr>
                        <w:tcW w:w="1581" w:type="dxa"/>
                      </w:tcPr>
                      <w:p>
                        <w:pPr>
                          <w:pStyle w:val="TableParagraph"/>
                          <w:spacing w:before="18"/>
                          <w:ind w:right="87"/>
                          <w:rPr>
                            <w:sz w:val="18"/>
                          </w:rPr>
                        </w:pPr>
                        <w:r>
                          <w:rPr>
                            <w:w w:val="95"/>
                            <w:sz w:val="18"/>
                          </w:rPr>
                          <w:t>56,517</w:t>
                        </w:r>
                      </w:p>
                    </w:tc>
                    <w:tc>
                      <w:tcPr>
                        <w:tcW w:w="1611" w:type="dxa"/>
                      </w:tcPr>
                      <w:p>
                        <w:pPr>
                          <w:pStyle w:val="TableParagraph"/>
                          <w:spacing w:before="18"/>
                          <w:ind w:right="57"/>
                          <w:rPr>
                            <w:sz w:val="18"/>
                          </w:rPr>
                        </w:pPr>
                        <w:r>
                          <w:rPr>
                            <w:w w:val="95"/>
                            <w:sz w:val="18"/>
                          </w:rPr>
                          <w:t>(56,517)</w:t>
                        </w:r>
                      </w:p>
                    </w:tc>
                    <w:tc>
                      <w:tcPr>
                        <w:tcW w:w="1552" w:type="dxa"/>
                      </w:tcPr>
                      <w:p>
                        <w:pPr>
                          <w:pStyle w:val="TableParagraph"/>
                          <w:spacing w:before="18"/>
                          <w:ind w:right="87"/>
                          <w:rPr>
                            <w:sz w:val="18"/>
                          </w:rPr>
                        </w:pPr>
                        <w:r>
                          <w:rPr>
                            <w:w w:val="95"/>
                            <w:sz w:val="18"/>
                          </w:rPr>
                          <w:t>56,517</w:t>
                        </w:r>
                      </w:p>
                    </w:tc>
                    <w:tc>
                      <w:tcPr>
                        <w:tcW w:w="1581" w:type="dxa"/>
                      </w:tcPr>
                      <w:p>
                        <w:pPr>
                          <w:pStyle w:val="TableParagraph"/>
                          <w:spacing w:before="18"/>
                          <w:ind w:right="27"/>
                          <w:rPr>
                            <w:sz w:val="18"/>
                          </w:rPr>
                        </w:pPr>
                        <w:r>
                          <w:rPr>
                            <w:w w:val="95"/>
                            <w:sz w:val="18"/>
                          </w:rPr>
                          <w:t>(56,517)</w:t>
                        </w:r>
                      </w:p>
                    </w:tc>
                  </w:tr>
                  <w:tr>
                    <w:trPr>
                      <w:trHeight w:val="262" w:hRule="exact"/>
                    </w:trPr>
                    <w:tc>
                      <w:tcPr>
                        <w:tcW w:w="6587" w:type="dxa"/>
                      </w:tcPr>
                      <w:p>
                        <w:pPr>
                          <w:pStyle w:val="TableParagraph"/>
                          <w:spacing w:before="19"/>
                          <w:ind w:left="35"/>
                          <w:jc w:val="left"/>
                          <w:rPr>
                            <w:sz w:val="18"/>
                          </w:rPr>
                        </w:pPr>
                        <w:r>
                          <w:rPr>
                            <w:sz w:val="18"/>
                          </w:rPr>
                          <w:t>Loans to joint venture</w:t>
                        </w:r>
                      </w:p>
                    </w:tc>
                    <w:tc>
                      <w:tcPr>
                        <w:tcW w:w="1009" w:type="dxa"/>
                        <w:tcBorders>
                          <w:bottom w:val="single" w:sz="0" w:space="0" w:color="000000"/>
                        </w:tcBorders>
                      </w:tcPr>
                      <w:p>
                        <w:pPr>
                          <w:pStyle w:val="TableParagraph"/>
                          <w:spacing w:before="18"/>
                          <w:ind w:right="86"/>
                          <w:rPr>
                            <w:sz w:val="18"/>
                          </w:rPr>
                        </w:pPr>
                        <w:r>
                          <w:rPr>
                            <w:w w:val="95"/>
                            <w:sz w:val="18"/>
                          </w:rPr>
                          <w:t>247,890</w:t>
                        </w:r>
                      </w:p>
                    </w:tc>
                    <w:tc>
                      <w:tcPr>
                        <w:tcW w:w="1581" w:type="dxa"/>
                        <w:tcBorders>
                          <w:bottom w:val="single" w:sz="0" w:space="0" w:color="000000"/>
                        </w:tcBorders>
                      </w:tcPr>
                      <w:p>
                        <w:pPr>
                          <w:pStyle w:val="TableParagraph"/>
                          <w:spacing w:before="18"/>
                          <w:ind w:right="87"/>
                          <w:rPr>
                            <w:sz w:val="18"/>
                          </w:rPr>
                        </w:pPr>
                        <w:r>
                          <w:rPr>
                            <w:sz w:val="18"/>
                          </w:rPr>
                          <w:t>2,479</w:t>
                        </w:r>
                      </w:p>
                    </w:tc>
                    <w:tc>
                      <w:tcPr>
                        <w:tcW w:w="1611" w:type="dxa"/>
                        <w:tcBorders>
                          <w:bottom w:val="single" w:sz="0" w:space="0" w:color="000000"/>
                        </w:tcBorders>
                      </w:tcPr>
                      <w:p>
                        <w:pPr>
                          <w:pStyle w:val="TableParagraph"/>
                          <w:spacing w:before="18"/>
                          <w:ind w:right="57"/>
                          <w:rPr>
                            <w:sz w:val="18"/>
                          </w:rPr>
                        </w:pPr>
                        <w:r>
                          <w:rPr>
                            <w:w w:val="95"/>
                            <w:sz w:val="18"/>
                          </w:rPr>
                          <w:t>(2,479)</w:t>
                        </w:r>
                      </w:p>
                    </w:tc>
                    <w:tc>
                      <w:tcPr>
                        <w:tcW w:w="1552" w:type="dxa"/>
                        <w:tcBorders>
                          <w:bottom w:val="single" w:sz="0" w:space="0" w:color="000000"/>
                        </w:tcBorders>
                      </w:tcPr>
                      <w:p>
                        <w:pPr>
                          <w:pStyle w:val="TableParagraph"/>
                          <w:spacing w:before="18"/>
                          <w:ind w:right="87"/>
                          <w:rPr>
                            <w:sz w:val="18"/>
                          </w:rPr>
                        </w:pPr>
                        <w:r>
                          <w:rPr>
                            <w:sz w:val="18"/>
                          </w:rPr>
                          <w:t>2,479</w:t>
                        </w:r>
                      </w:p>
                    </w:tc>
                    <w:tc>
                      <w:tcPr>
                        <w:tcW w:w="1581" w:type="dxa"/>
                        <w:tcBorders>
                          <w:bottom w:val="single" w:sz="0" w:space="0" w:color="000000"/>
                        </w:tcBorders>
                      </w:tcPr>
                      <w:p>
                        <w:pPr>
                          <w:pStyle w:val="TableParagraph"/>
                          <w:spacing w:before="18"/>
                          <w:ind w:right="27"/>
                          <w:rPr>
                            <w:sz w:val="18"/>
                          </w:rPr>
                        </w:pPr>
                        <w:r>
                          <w:rPr>
                            <w:w w:val="95"/>
                            <w:sz w:val="18"/>
                          </w:rPr>
                          <w:t>(2,479)</w:t>
                        </w:r>
                      </w:p>
                    </w:tc>
                  </w:tr>
                  <w:tr>
                    <w:trPr>
                      <w:trHeight w:val="396" w:hRule="exact"/>
                    </w:trPr>
                    <w:tc>
                      <w:tcPr>
                        <w:tcW w:w="6587" w:type="dxa"/>
                      </w:tcPr>
                      <w:p>
                        <w:pPr>
                          <w:pStyle w:val="TableParagraph"/>
                          <w:spacing w:before="123"/>
                          <w:ind w:left="35"/>
                          <w:jc w:val="left"/>
                          <w:rPr>
                            <w:b/>
                            <w:sz w:val="18"/>
                          </w:rPr>
                        </w:pPr>
                        <w:r>
                          <w:rPr>
                            <w:b/>
                            <w:sz w:val="18"/>
                          </w:rPr>
                          <w:t>Total increase / (decrease) in financial assets</w:t>
                        </w:r>
                      </w:p>
                    </w:tc>
                    <w:tc>
                      <w:tcPr>
                        <w:tcW w:w="1009" w:type="dxa"/>
                        <w:tcBorders>
                          <w:top w:val="single" w:sz="0" w:space="0" w:color="000000"/>
                        </w:tcBorders>
                      </w:tcPr>
                      <w:p>
                        <w:pPr>
                          <w:pStyle w:val="TableParagraph"/>
                          <w:spacing w:before="122"/>
                          <w:ind w:left="122"/>
                          <w:jc w:val="left"/>
                          <w:rPr>
                            <w:sz w:val="18"/>
                          </w:rPr>
                        </w:pPr>
                        <w:r>
                          <w:rPr>
                            <w:sz w:val="18"/>
                          </w:rPr>
                          <w:t>7,008,674</w:t>
                        </w:r>
                      </w:p>
                    </w:tc>
                    <w:tc>
                      <w:tcPr>
                        <w:tcW w:w="1581" w:type="dxa"/>
                        <w:tcBorders>
                          <w:top w:val="single" w:sz="0" w:space="0" w:color="000000"/>
                        </w:tcBorders>
                      </w:tcPr>
                      <w:p>
                        <w:pPr>
                          <w:pStyle w:val="TableParagraph"/>
                          <w:spacing w:before="122"/>
                          <w:ind w:right="87"/>
                          <w:rPr>
                            <w:sz w:val="18"/>
                          </w:rPr>
                        </w:pPr>
                        <w:r>
                          <w:rPr>
                            <w:w w:val="95"/>
                            <w:sz w:val="18"/>
                          </w:rPr>
                          <w:t>70,087</w:t>
                        </w:r>
                      </w:p>
                    </w:tc>
                    <w:tc>
                      <w:tcPr>
                        <w:tcW w:w="1611" w:type="dxa"/>
                        <w:tcBorders>
                          <w:top w:val="single" w:sz="0" w:space="0" w:color="000000"/>
                        </w:tcBorders>
                      </w:tcPr>
                      <w:p>
                        <w:pPr>
                          <w:pStyle w:val="TableParagraph"/>
                          <w:spacing w:before="122"/>
                          <w:ind w:right="57"/>
                          <w:rPr>
                            <w:sz w:val="18"/>
                          </w:rPr>
                        </w:pPr>
                        <w:r>
                          <w:rPr>
                            <w:w w:val="95"/>
                            <w:sz w:val="18"/>
                          </w:rPr>
                          <w:t>(70,087)</w:t>
                        </w:r>
                      </w:p>
                    </w:tc>
                    <w:tc>
                      <w:tcPr>
                        <w:tcW w:w="1552" w:type="dxa"/>
                        <w:tcBorders>
                          <w:top w:val="single" w:sz="0" w:space="0" w:color="000000"/>
                        </w:tcBorders>
                      </w:tcPr>
                      <w:p>
                        <w:pPr>
                          <w:pStyle w:val="TableParagraph"/>
                          <w:spacing w:before="122"/>
                          <w:ind w:right="87"/>
                          <w:rPr>
                            <w:sz w:val="18"/>
                          </w:rPr>
                        </w:pPr>
                        <w:r>
                          <w:rPr>
                            <w:w w:val="95"/>
                            <w:sz w:val="18"/>
                          </w:rPr>
                          <w:t>70,087</w:t>
                        </w:r>
                      </w:p>
                    </w:tc>
                    <w:tc>
                      <w:tcPr>
                        <w:tcW w:w="1581" w:type="dxa"/>
                        <w:tcBorders>
                          <w:top w:val="single" w:sz="0" w:space="0" w:color="000000"/>
                        </w:tcBorders>
                      </w:tcPr>
                      <w:p>
                        <w:pPr>
                          <w:pStyle w:val="TableParagraph"/>
                          <w:spacing w:before="122"/>
                          <w:ind w:right="27"/>
                          <w:rPr>
                            <w:sz w:val="18"/>
                          </w:rPr>
                        </w:pPr>
                        <w:r>
                          <w:rPr>
                            <w:w w:val="95"/>
                            <w:sz w:val="18"/>
                          </w:rPr>
                          <w:t>(70,087)</w:t>
                        </w:r>
                      </w:p>
                    </w:tc>
                  </w:tr>
                  <w:tr>
                    <w:trPr>
                      <w:trHeight w:val="250" w:hRule="exact"/>
                    </w:trPr>
                    <w:tc>
                      <w:tcPr>
                        <w:tcW w:w="6587" w:type="dxa"/>
                      </w:tcPr>
                      <w:p>
                        <w:pPr>
                          <w:pStyle w:val="TableParagraph"/>
                          <w:spacing w:before="46"/>
                          <w:ind w:left="35"/>
                          <w:jc w:val="left"/>
                          <w:rPr>
                            <w:b/>
                            <w:sz w:val="18"/>
                          </w:rPr>
                        </w:pPr>
                        <w:r>
                          <w:rPr>
                            <w:b/>
                            <w:sz w:val="18"/>
                          </w:rPr>
                          <w:t>Financial liabilities</w:t>
                        </w:r>
                      </w:p>
                    </w:tc>
                    <w:tc>
                      <w:tcPr>
                        <w:tcW w:w="1009" w:type="dxa"/>
                      </w:tcPr>
                      <w:p>
                        <w:pPr/>
                      </w:p>
                    </w:tc>
                    <w:tc>
                      <w:tcPr>
                        <w:tcW w:w="1581" w:type="dxa"/>
                      </w:tcPr>
                      <w:p>
                        <w:pPr/>
                      </w:p>
                    </w:tc>
                    <w:tc>
                      <w:tcPr>
                        <w:tcW w:w="1611" w:type="dxa"/>
                      </w:tcPr>
                      <w:p>
                        <w:pPr/>
                      </w:p>
                    </w:tc>
                    <w:tc>
                      <w:tcPr>
                        <w:tcW w:w="1552" w:type="dxa"/>
                      </w:tcPr>
                      <w:p>
                        <w:pPr/>
                      </w:p>
                    </w:tc>
                    <w:tc>
                      <w:tcPr>
                        <w:tcW w:w="1581" w:type="dxa"/>
                      </w:tcPr>
                      <w:p>
                        <w:pPr/>
                      </w:p>
                    </w:tc>
                  </w:tr>
                  <w:tr>
                    <w:trPr>
                      <w:trHeight w:val="276" w:hRule="exact"/>
                    </w:trPr>
                    <w:tc>
                      <w:tcPr>
                        <w:tcW w:w="6587" w:type="dxa"/>
                      </w:tcPr>
                      <w:p>
                        <w:pPr>
                          <w:pStyle w:val="TableParagraph"/>
                          <w:spacing w:before="33"/>
                          <w:ind w:left="35"/>
                          <w:jc w:val="left"/>
                          <w:rPr>
                            <w:sz w:val="18"/>
                          </w:rPr>
                        </w:pPr>
                        <w:r>
                          <w:rPr>
                            <w:sz w:val="18"/>
                          </w:rPr>
                          <w:t>Amounts due to related parties</w:t>
                        </w:r>
                      </w:p>
                    </w:tc>
                    <w:tc>
                      <w:tcPr>
                        <w:tcW w:w="1009" w:type="dxa"/>
                      </w:tcPr>
                      <w:p>
                        <w:pPr>
                          <w:pStyle w:val="TableParagraph"/>
                          <w:spacing w:before="32"/>
                          <w:ind w:right="86"/>
                          <w:rPr>
                            <w:sz w:val="18"/>
                          </w:rPr>
                        </w:pPr>
                        <w:r>
                          <w:rPr>
                            <w:w w:val="95"/>
                            <w:sz w:val="18"/>
                          </w:rPr>
                          <w:t>684,058</w:t>
                        </w:r>
                      </w:p>
                    </w:tc>
                    <w:tc>
                      <w:tcPr>
                        <w:tcW w:w="1581" w:type="dxa"/>
                      </w:tcPr>
                      <w:p>
                        <w:pPr>
                          <w:pStyle w:val="TableParagraph"/>
                          <w:spacing w:before="32"/>
                          <w:ind w:right="2"/>
                          <w:jc w:val="center"/>
                          <w:rPr>
                            <w:sz w:val="18"/>
                          </w:rPr>
                        </w:pPr>
                        <w:r>
                          <w:rPr>
                            <w:w w:val="99"/>
                            <w:sz w:val="18"/>
                          </w:rPr>
                          <w:t>-</w:t>
                        </w:r>
                      </w:p>
                    </w:tc>
                    <w:tc>
                      <w:tcPr>
                        <w:tcW w:w="1611" w:type="dxa"/>
                      </w:tcPr>
                      <w:p>
                        <w:pPr>
                          <w:pStyle w:val="TableParagraph"/>
                          <w:spacing w:before="32"/>
                          <w:ind w:right="31"/>
                          <w:jc w:val="center"/>
                          <w:rPr>
                            <w:sz w:val="18"/>
                          </w:rPr>
                        </w:pPr>
                        <w:r>
                          <w:rPr>
                            <w:w w:val="99"/>
                            <w:sz w:val="18"/>
                          </w:rPr>
                          <w:t>-</w:t>
                        </w:r>
                      </w:p>
                    </w:tc>
                    <w:tc>
                      <w:tcPr>
                        <w:tcW w:w="1552" w:type="dxa"/>
                      </w:tcPr>
                      <w:p>
                        <w:pPr>
                          <w:pStyle w:val="TableParagraph"/>
                          <w:spacing w:before="32"/>
                          <w:ind w:right="31"/>
                          <w:jc w:val="center"/>
                          <w:rPr>
                            <w:sz w:val="18"/>
                          </w:rPr>
                        </w:pPr>
                        <w:r>
                          <w:rPr>
                            <w:w w:val="99"/>
                            <w:sz w:val="18"/>
                          </w:rPr>
                          <w:t>-</w:t>
                        </w:r>
                      </w:p>
                    </w:tc>
                    <w:tc>
                      <w:tcPr>
                        <w:tcW w:w="1581" w:type="dxa"/>
                      </w:tcPr>
                      <w:p>
                        <w:pPr>
                          <w:pStyle w:val="TableParagraph"/>
                          <w:spacing w:before="32"/>
                          <w:ind w:right="1"/>
                          <w:jc w:val="center"/>
                          <w:rPr>
                            <w:sz w:val="18"/>
                          </w:rPr>
                        </w:pPr>
                        <w:r>
                          <w:rPr>
                            <w:w w:val="99"/>
                            <w:sz w:val="18"/>
                          </w:rPr>
                          <w:t>-</w:t>
                        </w:r>
                      </w:p>
                    </w:tc>
                  </w:tr>
                  <w:tr>
                    <w:trPr>
                      <w:trHeight w:val="298" w:hRule="exact"/>
                    </w:trPr>
                    <w:tc>
                      <w:tcPr>
                        <w:tcW w:w="6587" w:type="dxa"/>
                      </w:tcPr>
                      <w:p>
                        <w:pPr>
                          <w:pStyle w:val="TableParagraph"/>
                          <w:spacing w:before="39"/>
                          <w:ind w:left="35"/>
                          <w:jc w:val="left"/>
                          <w:rPr>
                            <w:b/>
                            <w:sz w:val="18"/>
                          </w:rPr>
                        </w:pPr>
                        <w:r>
                          <w:rPr>
                            <w:b/>
                            <w:sz w:val="18"/>
                          </w:rPr>
                          <w:t>Net increase / (decrease) in financial assets</w:t>
                        </w:r>
                      </w:p>
                    </w:tc>
                    <w:tc>
                      <w:tcPr>
                        <w:tcW w:w="1009" w:type="dxa"/>
                        <w:tcBorders>
                          <w:top w:val="single" w:sz="0" w:space="0" w:color="000000"/>
                          <w:bottom w:val="single" w:sz="0" w:space="0" w:color="000000"/>
                        </w:tcBorders>
                      </w:tcPr>
                      <w:p>
                        <w:pPr>
                          <w:pStyle w:val="TableParagraph"/>
                          <w:spacing w:before="38"/>
                          <w:ind w:left="122"/>
                          <w:jc w:val="left"/>
                          <w:rPr>
                            <w:sz w:val="18"/>
                          </w:rPr>
                        </w:pPr>
                        <w:r>
                          <w:rPr>
                            <w:sz w:val="18"/>
                          </w:rPr>
                          <w:t>6,324,616</w:t>
                        </w:r>
                      </w:p>
                    </w:tc>
                    <w:tc>
                      <w:tcPr>
                        <w:tcW w:w="1581" w:type="dxa"/>
                        <w:tcBorders>
                          <w:top w:val="single" w:sz="0" w:space="0" w:color="000000"/>
                          <w:bottom w:val="single" w:sz="0" w:space="0" w:color="000000"/>
                        </w:tcBorders>
                      </w:tcPr>
                      <w:p>
                        <w:pPr>
                          <w:pStyle w:val="TableParagraph"/>
                          <w:spacing w:before="38"/>
                          <w:ind w:right="87"/>
                          <w:rPr>
                            <w:sz w:val="18"/>
                          </w:rPr>
                        </w:pPr>
                        <w:r>
                          <w:rPr>
                            <w:w w:val="95"/>
                            <w:sz w:val="18"/>
                          </w:rPr>
                          <w:t>70,087</w:t>
                        </w:r>
                      </w:p>
                    </w:tc>
                    <w:tc>
                      <w:tcPr>
                        <w:tcW w:w="1611" w:type="dxa"/>
                        <w:tcBorders>
                          <w:top w:val="single" w:sz="0" w:space="0" w:color="000000"/>
                          <w:bottom w:val="single" w:sz="0" w:space="0" w:color="000000"/>
                        </w:tcBorders>
                      </w:tcPr>
                      <w:p>
                        <w:pPr>
                          <w:pStyle w:val="TableParagraph"/>
                          <w:spacing w:before="38"/>
                          <w:ind w:right="57"/>
                          <w:rPr>
                            <w:sz w:val="18"/>
                          </w:rPr>
                        </w:pPr>
                        <w:r>
                          <w:rPr>
                            <w:w w:val="95"/>
                            <w:sz w:val="18"/>
                          </w:rPr>
                          <w:t>(70,087)</w:t>
                        </w:r>
                      </w:p>
                    </w:tc>
                    <w:tc>
                      <w:tcPr>
                        <w:tcW w:w="1552" w:type="dxa"/>
                        <w:tcBorders>
                          <w:top w:val="single" w:sz="0" w:space="0" w:color="000000"/>
                          <w:bottom w:val="single" w:sz="0" w:space="0" w:color="000000"/>
                        </w:tcBorders>
                      </w:tcPr>
                      <w:p>
                        <w:pPr>
                          <w:pStyle w:val="TableParagraph"/>
                          <w:spacing w:before="38"/>
                          <w:ind w:right="87"/>
                          <w:rPr>
                            <w:sz w:val="18"/>
                          </w:rPr>
                        </w:pPr>
                        <w:r>
                          <w:rPr>
                            <w:w w:val="95"/>
                            <w:sz w:val="18"/>
                          </w:rPr>
                          <w:t>70,087</w:t>
                        </w:r>
                      </w:p>
                    </w:tc>
                    <w:tc>
                      <w:tcPr>
                        <w:tcW w:w="1581" w:type="dxa"/>
                        <w:tcBorders>
                          <w:top w:val="single" w:sz="0" w:space="0" w:color="000000"/>
                          <w:bottom w:val="single" w:sz="0" w:space="0" w:color="000000"/>
                        </w:tcBorders>
                      </w:tcPr>
                      <w:p>
                        <w:pPr>
                          <w:pStyle w:val="TableParagraph"/>
                          <w:spacing w:before="38"/>
                          <w:ind w:right="27"/>
                          <w:rPr>
                            <w:sz w:val="18"/>
                          </w:rPr>
                        </w:pPr>
                        <w:r>
                          <w:rPr>
                            <w:w w:val="95"/>
                            <w:sz w:val="18"/>
                          </w:rPr>
                          <w:t>(70,087)</w:t>
                        </w:r>
                      </w:p>
                    </w:tc>
                  </w:tr>
                  <w:tr>
                    <w:trPr>
                      <w:trHeight w:val="685" w:hRule="exact"/>
                    </w:trPr>
                    <w:tc>
                      <w:tcPr>
                        <w:tcW w:w="6587" w:type="dxa"/>
                      </w:tcPr>
                      <w:p>
                        <w:pPr>
                          <w:pStyle w:val="TableParagraph"/>
                          <w:jc w:val="left"/>
                          <w:rPr>
                            <w:b/>
                            <w:sz w:val="18"/>
                          </w:rPr>
                        </w:pPr>
                      </w:p>
                      <w:p>
                        <w:pPr>
                          <w:pStyle w:val="TableParagraph"/>
                          <w:spacing w:before="9"/>
                          <w:jc w:val="left"/>
                          <w:rPr>
                            <w:b/>
                            <w:sz w:val="17"/>
                          </w:rPr>
                        </w:pPr>
                      </w:p>
                      <w:p>
                        <w:pPr>
                          <w:pStyle w:val="TableParagraph"/>
                          <w:ind w:left="35"/>
                          <w:jc w:val="left"/>
                          <w:rPr>
                            <w:b/>
                            <w:sz w:val="18"/>
                          </w:rPr>
                        </w:pPr>
                        <w:r>
                          <w:rPr>
                            <w:b/>
                            <w:sz w:val="18"/>
                          </w:rPr>
                          <w:t>2015</w:t>
                        </w:r>
                      </w:p>
                    </w:tc>
                    <w:tc>
                      <w:tcPr>
                        <w:tcW w:w="1009" w:type="dxa"/>
                        <w:tcBorders>
                          <w:top w:val="single" w:sz="0" w:space="0" w:color="000000"/>
                        </w:tcBorders>
                      </w:tcPr>
                      <w:p>
                        <w:pPr/>
                      </w:p>
                    </w:tc>
                    <w:tc>
                      <w:tcPr>
                        <w:tcW w:w="1581" w:type="dxa"/>
                        <w:tcBorders>
                          <w:top w:val="single" w:sz="0" w:space="0" w:color="000000"/>
                        </w:tcBorders>
                      </w:tcPr>
                      <w:p>
                        <w:pPr/>
                      </w:p>
                    </w:tc>
                    <w:tc>
                      <w:tcPr>
                        <w:tcW w:w="1611" w:type="dxa"/>
                        <w:tcBorders>
                          <w:top w:val="single" w:sz="0" w:space="0" w:color="000000"/>
                        </w:tcBorders>
                      </w:tcPr>
                      <w:p>
                        <w:pPr/>
                      </w:p>
                    </w:tc>
                    <w:tc>
                      <w:tcPr>
                        <w:tcW w:w="1552" w:type="dxa"/>
                        <w:tcBorders>
                          <w:top w:val="single" w:sz="0" w:space="0" w:color="000000"/>
                        </w:tcBorders>
                      </w:tcPr>
                      <w:p>
                        <w:pPr/>
                      </w:p>
                    </w:tc>
                    <w:tc>
                      <w:tcPr>
                        <w:tcW w:w="1581" w:type="dxa"/>
                        <w:tcBorders>
                          <w:top w:val="single" w:sz="0" w:space="0" w:color="000000"/>
                        </w:tcBorders>
                      </w:tcPr>
                      <w:p>
                        <w:pPr/>
                      </w:p>
                    </w:tc>
                  </w:tr>
                  <w:tr>
                    <w:trPr>
                      <w:trHeight w:val="277" w:hRule="exact"/>
                    </w:trPr>
                    <w:tc>
                      <w:tcPr>
                        <w:tcW w:w="6587" w:type="dxa"/>
                      </w:tcPr>
                      <w:p>
                        <w:pPr>
                          <w:pStyle w:val="TableParagraph"/>
                          <w:spacing w:before="46"/>
                          <w:ind w:left="35"/>
                          <w:jc w:val="left"/>
                          <w:rPr>
                            <w:b/>
                            <w:sz w:val="18"/>
                          </w:rPr>
                        </w:pPr>
                        <w:r>
                          <w:rPr>
                            <w:b/>
                            <w:sz w:val="18"/>
                          </w:rPr>
                          <w:t>Financial assets</w:t>
                        </w:r>
                      </w:p>
                    </w:tc>
                    <w:tc>
                      <w:tcPr>
                        <w:tcW w:w="1009" w:type="dxa"/>
                      </w:tcPr>
                      <w:p>
                        <w:pPr/>
                      </w:p>
                    </w:tc>
                    <w:tc>
                      <w:tcPr>
                        <w:tcW w:w="1581" w:type="dxa"/>
                      </w:tcPr>
                      <w:p>
                        <w:pPr/>
                      </w:p>
                    </w:tc>
                    <w:tc>
                      <w:tcPr>
                        <w:tcW w:w="1611" w:type="dxa"/>
                      </w:tcPr>
                      <w:p>
                        <w:pPr/>
                      </w:p>
                    </w:tc>
                    <w:tc>
                      <w:tcPr>
                        <w:tcW w:w="1552" w:type="dxa"/>
                      </w:tcPr>
                      <w:p>
                        <w:pPr/>
                      </w:p>
                    </w:tc>
                    <w:tc>
                      <w:tcPr>
                        <w:tcW w:w="1581" w:type="dxa"/>
                      </w:tcPr>
                      <w:p>
                        <w:pPr/>
                      </w:p>
                    </w:tc>
                  </w:tr>
                  <w:tr>
                    <w:trPr>
                      <w:trHeight w:val="250" w:hRule="exact"/>
                    </w:trPr>
                    <w:tc>
                      <w:tcPr>
                        <w:tcW w:w="6587" w:type="dxa"/>
                      </w:tcPr>
                      <w:p>
                        <w:pPr>
                          <w:pStyle w:val="TableParagraph"/>
                          <w:spacing w:before="6"/>
                          <w:ind w:left="35"/>
                          <w:jc w:val="left"/>
                          <w:rPr>
                            <w:sz w:val="18"/>
                          </w:rPr>
                        </w:pPr>
                        <w:r>
                          <w:rPr>
                            <w:sz w:val="18"/>
                          </w:rPr>
                          <w:t>Cash and cash equivalents</w:t>
                        </w:r>
                      </w:p>
                    </w:tc>
                    <w:tc>
                      <w:tcPr>
                        <w:tcW w:w="1009" w:type="dxa"/>
                      </w:tcPr>
                      <w:p>
                        <w:pPr>
                          <w:pStyle w:val="TableParagraph"/>
                          <w:spacing w:before="4"/>
                          <w:ind w:right="86"/>
                          <w:rPr>
                            <w:sz w:val="18"/>
                          </w:rPr>
                        </w:pPr>
                        <w:r>
                          <w:rPr>
                            <w:w w:val="95"/>
                            <w:sz w:val="18"/>
                          </w:rPr>
                          <w:t>696,371</w:t>
                        </w:r>
                      </w:p>
                    </w:tc>
                    <w:tc>
                      <w:tcPr>
                        <w:tcW w:w="1581" w:type="dxa"/>
                      </w:tcPr>
                      <w:p>
                        <w:pPr>
                          <w:pStyle w:val="TableParagraph"/>
                          <w:spacing w:before="4"/>
                          <w:ind w:right="87"/>
                          <w:rPr>
                            <w:sz w:val="18"/>
                          </w:rPr>
                        </w:pPr>
                        <w:r>
                          <w:rPr>
                            <w:sz w:val="18"/>
                          </w:rPr>
                          <w:t>6,964</w:t>
                        </w:r>
                      </w:p>
                    </w:tc>
                    <w:tc>
                      <w:tcPr>
                        <w:tcW w:w="1611" w:type="dxa"/>
                      </w:tcPr>
                      <w:p>
                        <w:pPr>
                          <w:pStyle w:val="TableParagraph"/>
                          <w:spacing w:before="4"/>
                          <w:ind w:right="57"/>
                          <w:rPr>
                            <w:sz w:val="18"/>
                          </w:rPr>
                        </w:pPr>
                        <w:r>
                          <w:rPr>
                            <w:w w:val="95"/>
                            <w:sz w:val="18"/>
                          </w:rPr>
                          <w:t>(6,964)</w:t>
                        </w:r>
                      </w:p>
                    </w:tc>
                    <w:tc>
                      <w:tcPr>
                        <w:tcW w:w="1552" w:type="dxa"/>
                      </w:tcPr>
                      <w:p>
                        <w:pPr>
                          <w:pStyle w:val="TableParagraph"/>
                          <w:spacing w:before="4"/>
                          <w:ind w:right="87"/>
                          <w:rPr>
                            <w:sz w:val="18"/>
                          </w:rPr>
                        </w:pPr>
                        <w:r>
                          <w:rPr>
                            <w:sz w:val="18"/>
                          </w:rPr>
                          <w:t>6,964</w:t>
                        </w:r>
                      </w:p>
                    </w:tc>
                    <w:tc>
                      <w:tcPr>
                        <w:tcW w:w="1581" w:type="dxa"/>
                      </w:tcPr>
                      <w:p>
                        <w:pPr>
                          <w:pStyle w:val="TableParagraph"/>
                          <w:spacing w:before="4"/>
                          <w:ind w:right="27"/>
                          <w:rPr>
                            <w:sz w:val="18"/>
                          </w:rPr>
                        </w:pPr>
                        <w:r>
                          <w:rPr>
                            <w:w w:val="95"/>
                            <w:sz w:val="18"/>
                          </w:rPr>
                          <w:t>(6,964)</w:t>
                        </w:r>
                      </w:p>
                    </w:tc>
                  </w:tr>
                  <w:tr>
                    <w:trPr>
                      <w:trHeight w:val="262" w:hRule="exact"/>
                    </w:trPr>
                    <w:tc>
                      <w:tcPr>
                        <w:tcW w:w="6587" w:type="dxa"/>
                      </w:tcPr>
                      <w:p>
                        <w:pPr>
                          <w:pStyle w:val="TableParagraph"/>
                          <w:spacing w:before="19"/>
                          <w:ind w:left="35"/>
                          <w:jc w:val="left"/>
                          <w:rPr>
                            <w:sz w:val="18"/>
                          </w:rPr>
                        </w:pPr>
                        <w:r>
                          <w:rPr>
                            <w:sz w:val="18"/>
                          </w:rPr>
                          <w:t>Loans to parent entity</w:t>
                        </w:r>
                      </w:p>
                    </w:tc>
                    <w:tc>
                      <w:tcPr>
                        <w:tcW w:w="1009" w:type="dxa"/>
                        <w:tcBorders>
                          <w:bottom w:val="single" w:sz="0" w:space="0" w:color="000000"/>
                        </w:tcBorders>
                      </w:tcPr>
                      <w:p>
                        <w:pPr>
                          <w:pStyle w:val="TableParagraph"/>
                          <w:spacing w:before="18"/>
                          <w:ind w:left="122"/>
                          <w:jc w:val="left"/>
                          <w:rPr>
                            <w:sz w:val="18"/>
                          </w:rPr>
                        </w:pPr>
                        <w:r>
                          <w:rPr>
                            <w:sz w:val="18"/>
                          </w:rPr>
                          <w:t>6,560,759</w:t>
                        </w:r>
                      </w:p>
                    </w:tc>
                    <w:tc>
                      <w:tcPr>
                        <w:tcW w:w="1581" w:type="dxa"/>
                        <w:tcBorders>
                          <w:bottom w:val="single" w:sz="0" w:space="0" w:color="000000"/>
                        </w:tcBorders>
                      </w:tcPr>
                      <w:p>
                        <w:pPr>
                          <w:pStyle w:val="TableParagraph"/>
                          <w:spacing w:before="18"/>
                          <w:ind w:right="87"/>
                          <w:rPr>
                            <w:sz w:val="18"/>
                          </w:rPr>
                        </w:pPr>
                        <w:r>
                          <w:rPr>
                            <w:w w:val="95"/>
                            <w:sz w:val="18"/>
                          </w:rPr>
                          <w:t>65,608</w:t>
                        </w:r>
                      </w:p>
                    </w:tc>
                    <w:tc>
                      <w:tcPr>
                        <w:tcW w:w="1611" w:type="dxa"/>
                        <w:tcBorders>
                          <w:bottom w:val="single" w:sz="0" w:space="0" w:color="000000"/>
                        </w:tcBorders>
                      </w:tcPr>
                      <w:p>
                        <w:pPr>
                          <w:pStyle w:val="TableParagraph"/>
                          <w:spacing w:before="18"/>
                          <w:ind w:right="57"/>
                          <w:rPr>
                            <w:sz w:val="18"/>
                          </w:rPr>
                        </w:pPr>
                        <w:r>
                          <w:rPr>
                            <w:w w:val="95"/>
                            <w:sz w:val="18"/>
                          </w:rPr>
                          <w:t>(65,608)</w:t>
                        </w:r>
                      </w:p>
                    </w:tc>
                    <w:tc>
                      <w:tcPr>
                        <w:tcW w:w="1552" w:type="dxa"/>
                        <w:tcBorders>
                          <w:bottom w:val="single" w:sz="0" w:space="0" w:color="000000"/>
                        </w:tcBorders>
                      </w:tcPr>
                      <w:p>
                        <w:pPr>
                          <w:pStyle w:val="TableParagraph"/>
                          <w:spacing w:before="18"/>
                          <w:ind w:right="87"/>
                          <w:rPr>
                            <w:sz w:val="18"/>
                          </w:rPr>
                        </w:pPr>
                        <w:r>
                          <w:rPr>
                            <w:w w:val="95"/>
                            <w:sz w:val="18"/>
                          </w:rPr>
                          <w:t>65,608</w:t>
                        </w:r>
                      </w:p>
                    </w:tc>
                    <w:tc>
                      <w:tcPr>
                        <w:tcW w:w="1581" w:type="dxa"/>
                        <w:tcBorders>
                          <w:bottom w:val="single" w:sz="0" w:space="0" w:color="000000"/>
                        </w:tcBorders>
                      </w:tcPr>
                      <w:p>
                        <w:pPr>
                          <w:pStyle w:val="TableParagraph"/>
                          <w:spacing w:before="18"/>
                          <w:ind w:right="27"/>
                          <w:rPr>
                            <w:sz w:val="18"/>
                          </w:rPr>
                        </w:pPr>
                        <w:r>
                          <w:rPr>
                            <w:w w:val="95"/>
                            <w:sz w:val="18"/>
                          </w:rPr>
                          <w:t>(65,608)</w:t>
                        </w:r>
                      </w:p>
                    </w:tc>
                  </w:tr>
                  <w:tr>
                    <w:trPr>
                      <w:trHeight w:val="396" w:hRule="exact"/>
                    </w:trPr>
                    <w:tc>
                      <w:tcPr>
                        <w:tcW w:w="6587" w:type="dxa"/>
                      </w:tcPr>
                      <w:p>
                        <w:pPr>
                          <w:pStyle w:val="TableParagraph"/>
                          <w:spacing w:before="123"/>
                          <w:ind w:left="35"/>
                          <w:jc w:val="left"/>
                          <w:rPr>
                            <w:b/>
                            <w:sz w:val="18"/>
                          </w:rPr>
                        </w:pPr>
                        <w:r>
                          <w:rPr>
                            <w:b/>
                            <w:sz w:val="18"/>
                          </w:rPr>
                          <w:t>Total increase / (decrease) in financial assets</w:t>
                        </w:r>
                      </w:p>
                    </w:tc>
                    <w:tc>
                      <w:tcPr>
                        <w:tcW w:w="1009" w:type="dxa"/>
                        <w:tcBorders>
                          <w:top w:val="single" w:sz="0" w:space="0" w:color="000000"/>
                        </w:tcBorders>
                      </w:tcPr>
                      <w:p>
                        <w:pPr>
                          <w:pStyle w:val="TableParagraph"/>
                          <w:spacing w:before="122"/>
                          <w:ind w:left="122"/>
                          <w:jc w:val="left"/>
                          <w:rPr>
                            <w:sz w:val="18"/>
                          </w:rPr>
                        </w:pPr>
                        <w:r>
                          <w:rPr>
                            <w:sz w:val="18"/>
                          </w:rPr>
                          <w:t>7,257,130</w:t>
                        </w:r>
                      </w:p>
                    </w:tc>
                    <w:tc>
                      <w:tcPr>
                        <w:tcW w:w="1581" w:type="dxa"/>
                        <w:tcBorders>
                          <w:top w:val="single" w:sz="0" w:space="0" w:color="000000"/>
                        </w:tcBorders>
                      </w:tcPr>
                      <w:p>
                        <w:pPr>
                          <w:pStyle w:val="TableParagraph"/>
                          <w:spacing w:before="122"/>
                          <w:ind w:right="87"/>
                          <w:rPr>
                            <w:sz w:val="18"/>
                          </w:rPr>
                        </w:pPr>
                        <w:r>
                          <w:rPr>
                            <w:w w:val="95"/>
                            <w:sz w:val="18"/>
                          </w:rPr>
                          <w:t>72,572</w:t>
                        </w:r>
                      </w:p>
                    </w:tc>
                    <w:tc>
                      <w:tcPr>
                        <w:tcW w:w="1611" w:type="dxa"/>
                        <w:tcBorders>
                          <w:top w:val="single" w:sz="0" w:space="0" w:color="000000"/>
                        </w:tcBorders>
                      </w:tcPr>
                      <w:p>
                        <w:pPr>
                          <w:pStyle w:val="TableParagraph"/>
                          <w:spacing w:before="122"/>
                          <w:ind w:right="57"/>
                          <w:rPr>
                            <w:sz w:val="18"/>
                          </w:rPr>
                        </w:pPr>
                        <w:r>
                          <w:rPr>
                            <w:w w:val="95"/>
                            <w:sz w:val="18"/>
                          </w:rPr>
                          <w:t>(72,572)</w:t>
                        </w:r>
                      </w:p>
                    </w:tc>
                    <w:tc>
                      <w:tcPr>
                        <w:tcW w:w="1552" w:type="dxa"/>
                        <w:tcBorders>
                          <w:top w:val="single" w:sz="0" w:space="0" w:color="000000"/>
                        </w:tcBorders>
                      </w:tcPr>
                      <w:p>
                        <w:pPr>
                          <w:pStyle w:val="TableParagraph"/>
                          <w:spacing w:before="122"/>
                          <w:ind w:right="87"/>
                          <w:rPr>
                            <w:sz w:val="18"/>
                          </w:rPr>
                        </w:pPr>
                        <w:r>
                          <w:rPr>
                            <w:w w:val="95"/>
                            <w:sz w:val="18"/>
                          </w:rPr>
                          <w:t>72,572</w:t>
                        </w:r>
                      </w:p>
                    </w:tc>
                    <w:tc>
                      <w:tcPr>
                        <w:tcW w:w="1581" w:type="dxa"/>
                        <w:tcBorders>
                          <w:top w:val="single" w:sz="0" w:space="0" w:color="000000"/>
                        </w:tcBorders>
                      </w:tcPr>
                      <w:p>
                        <w:pPr>
                          <w:pStyle w:val="TableParagraph"/>
                          <w:spacing w:before="122"/>
                          <w:ind w:right="27"/>
                          <w:rPr>
                            <w:sz w:val="18"/>
                          </w:rPr>
                        </w:pPr>
                        <w:r>
                          <w:rPr>
                            <w:w w:val="95"/>
                            <w:sz w:val="18"/>
                          </w:rPr>
                          <w:t>(72,572)</w:t>
                        </w:r>
                      </w:p>
                    </w:tc>
                  </w:tr>
                  <w:tr>
                    <w:trPr>
                      <w:trHeight w:val="277" w:hRule="exact"/>
                    </w:trPr>
                    <w:tc>
                      <w:tcPr>
                        <w:tcW w:w="6587" w:type="dxa"/>
                      </w:tcPr>
                      <w:p>
                        <w:pPr>
                          <w:pStyle w:val="TableParagraph"/>
                          <w:spacing w:before="46"/>
                          <w:ind w:left="35"/>
                          <w:jc w:val="left"/>
                          <w:rPr>
                            <w:b/>
                            <w:sz w:val="18"/>
                          </w:rPr>
                        </w:pPr>
                        <w:r>
                          <w:rPr>
                            <w:b/>
                            <w:sz w:val="18"/>
                          </w:rPr>
                          <w:t>Financial liabilities</w:t>
                        </w:r>
                      </w:p>
                    </w:tc>
                    <w:tc>
                      <w:tcPr>
                        <w:tcW w:w="1009" w:type="dxa"/>
                      </w:tcPr>
                      <w:p>
                        <w:pPr/>
                      </w:p>
                    </w:tc>
                    <w:tc>
                      <w:tcPr>
                        <w:tcW w:w="1581" w:type="dxa"/>
                      </w:tcPr>
                      <w:p>
                        <w:pPr/>
                      </w:p>
                    </w:tc>
                    <w:tc>
                      <w:tcPr>
                        <w:tcW w:w="1611" w:type="dxa"/>
                      </w:tcPr>
                      <w:p>
                        <w:pPr/>
                      </w:p>
                    </w:tc>
                    <w:tc>
                      <w:tcPr>
                        <w:tcW w:w="1552" w:type="dxa"/>
                      </w:tcPr>
                      <w:p>
                        <w:pPr/>
                      </w:p>
                    </w:tc>
                    <w:tc>
                      <w:tcPr>
                        <w:tcW w:w="1581" w:type="dxa"/>
                      </w:tcPr>
                      <w:p>
                        <w:pPr/>
                      </w:p>
                    </w:tc>
                  </w:tr>
                  <w:tr>
                    <w:trPr>
                      <w:trHeight w:val="248" w:hRule="exact"/>
                    </w:trPr>
                    <w:tc>
                      <w:tcPr>
                        <w:tcW w:w="6587" w:type="dxa"/>
                      </w:tcPr>
                      <w:p>
                        <w:pPr>
                          <w:pStyle w:val="TableParagraph"/>
                          <w:spacing w:before="6"/>
                          <w:ind w:left="35"/>
                          <w:jc w:val="left"/>
                          <w:rPr>
                            <w:sz w:val="18"/>
                          </w:rPr>
                        </w:pPr>
                        <w:r>
                          <w:rPr>
                            <w:sz w:val="18"/>
                          </w:rPr>
                          <w:t>Amounts due to related parties</w:t>
                        </w:r>
                      </w:p>
                    </w:tc>
                    <w:tc>
                      <w:tcPr>
                        <w:tcW w:w="1009" w:type="dxa"/>
                        <w:tcBorders>
                          <w:bottom w:val="single" w:sz="0" w:space="0" w:color="000000"/>
                        </w:tcBorders>
                      </w:tcPr>
                      <w:p>
                        <w:pPr>
                          <w:pStyle w:val="TableParagraph"/>
                          <w:spacing w:before="4"/>
                          <w:ind w:right="86"/>
                          <w:rPr>
                            <w:sz w:val="18"/>
                          </w:rPr>
                        </w:pPr>
                        <w:r>
                          <w:rPr>
                            <w:w w:val="95"/>
                            <w:sz w:val="18"/>
                          </w:rPr>
                          <w:t>78,698</w:t>
                        </w:r>
                      </w:p>
                    </w:tc>
                    <w:tc>
                      <w:tcPr>
                        <w:tcW w:w="1581" w:type="dxa"/>
                        <w:tcBorders>
                          <w:bottom w:val="single" w:sz="0" w:space="0" w:color="000000"/>
                        </w:tcBorders>
                      </w:tcPr>
                      <w:p>
                        <w:pPr>
                          <w:pStyle w:val="TableParagraph"/>
                          <w:spacing w:before="4"/>
                          <w:ind w:right="87"/>
                          <w:rPr>
                            <w:sz w:val="18"/>
                          </w:rPr>
                        </w:pPr>
                        <w:r>
                          <w:rPr>
                            <w:sz w:val="18"/>
                          </w:rPr>
                          <w:t>787</w:t>
                        </w:r>
                      </w:p>
                    </w:tc>
                    <w:tc>
                      <w:tcPr>
                        <w:tcW w:w="1611" w:type="dxa"/>
                        <w:tcBorders>
                          <w:bottom w:val="single" w:sz="0" w:space="0" w:color="000000"/>
                        </w:tcBorders>
                      </w:tcPr>
                      <w:p>
                        <w:pPr>
                          <w:pStyle w:val="TableParagraph"/>
                          <w:spacing w:before="4"/>
                          <w:ind w:right="57"/>
                          <w:rPr>
                            <w:sz w:val="18"/>
                          </w:rPr>
                        </w:pPr>
                        <w:r>
                          <w:rPr>
                            <w:sz w:val="18"/>
                          </w:rPr>
                          <w:t>(787)</w:t>
                        </w:r>
                      </w:p>
                    </w:tc>
                    <w:tc>
                      <w:tcPr>
                        <w:tcW w:w="1552" w:type="dxa"/>
                        <w:tcBorders>
                          <w:bottom w:val="single" w:sz="0" w:space="0" w:color="000000"/>
                        </w:tcBorders>
                      </w:tcPr>
                      <w:p>
                        <w:pPr>
                          <w:pStyle w:val="TableParagraph"/>
                          <w:spacing w:before="4"/>
                          <w:ind w:right="87"/>
                          <w:rPr>
                            <w:sz w:val="18"/>
                          </w:rPr>
                        </w:pPr>
                        <w:r>
                          <w:rPr>
                            <w:sz w:val="18"/>
                          </w:rPr>
                          <w:t>787</w:t>
                        </w:r>
                      </w:p>
                    </w:tc>
                    <w:tc>
                      <w:tcPr>
                        <w:tcW w:w="1581" w:type="dxa"/>
                        <w:tcBorders>
                          <w:bottom w:val="single" w:sz="0" w:space="0" w:color="000000"/>
                        </w:tcBorders>
                      </w:tcPr>
                      <w:p>
                        <w:pPr>
                          <w:pStyle w:val="TableParagraph"/>
                          <w:spacing w:before="4"/>
                          <w:ind w:right="27"/>
                          <w:rPr>
                            <w:sz w:val="18"/>
                          </w:rPr>
                        </w:pPr>
                        <w:r>
                          <w:rPr>
                            <w:sz w:val="18"/>
                          </w:rPr>
                          <w:t>(787)</w:t>
                        </w:r>
                      </w:p>
                    </w:tc>
                  </w:tr>
                  <w:tr>
                    <w:trPr>
                      <w:trHeight w:val="353" w:hRule="exact"/>
                    </w:trPr>
                    <w:tc>
                      <w:tcPr>
                        <w:tcW w:w="6587" w:type="dxa"/>
                      </w:tcPr>
                      <w:p>
                        <w:pPr>
                          <w:pStyle w:val="TableParagraph"/>
                          <w:spacing w:before="123"/>
                          <w:ind w:left="35"/>
                          <w:jc w:val="left"/>
                          <w:rPr>
                            <w:b/>
                            <w:sz w:val="18"/>
                          </w:rPr>
                        </w:pPr>
                        <w:r>
                          <w:rPr>
                            <w:b/>
                            <w:sz w:val="18"/>
                          </w:rPr>
                          <w:t>Net increase / (decrease) in financial assets</w:t>
                        </w:r>
                      </w:p>
                    </w:tc>
                    <w:tc>
                      <w:tcPr>
                        <w:tcW w:w="1009" w:type="dxa"/>
                        <w:tcBorders>
                          <w:top w:val="single" w:sz="0" w:space="0" w:color="000000"/>
                          <w:bottom w:val="single" w:sz="0" w:space="0" w:color="000000"/>
                        </w:tcBorders>
                      </w:tcPr>
                      <w:p>
                        <w:pPr>
                          <w:pStyle w:val="TableParagraph"/>
                          <w:spacing w:before="122"/>
                          <w:ind w:left="122"/>
                          <w:jc w:val="left"/>
                          <w:rPr>
                            <w:sz w:val="18"/>
                          </w:rPr>
                        </w:pPr>
                        <w:r>
                          <w:rPr>
                            <w:sz w:val="18"/>
                          </w:rPr>
                          <w:t>7,335,828</w:t>
                        </w:r>
                      </w:p>
                    </w:tc>
                    <w:tc>
                      <w:tcPr>
                        <w:tcW w:w="1581" w:type="dxa"/>
                        <w:tcBorders>
                          <w:top w:val="single" w:sz="0" w:space="0" w:color="000000"/>
                          <w:bottom w:val="single" w:sz="0" w:space="0" w:color="000000"/>
                        </w:tcBorders>
                      </w:tcPr>
                      <w:p>
                        <w:pPr>
                          <w:pStyle w:val="TableParagraph"/>
                          <w:spacing w:before="122"/>
                          <w:ind w:right="87"/>
                          <w:rPr>
                            <w:sz w:val="18"/>
                          </w:rPr>
                        </w:pPr>
                        <w:r>
                          <w:rPr>
                            <w:w w:val="95"/>
                            <w:sz w:val="18"/>
                          </w:rPr>
                          <w:t>73,359</w:t>
                        </w:r>
                      </w:p>
                    </w:tc>
                    <w:tc>
                      <w:tcPr>
                        <w:tcW w:w="1611" w:type="dxa"/>
                        <w:tcBorders>
                          <w:top w:val="single" w:sz="0" w:space="0" w:color="000000"/>
                          <w:bottom w:val="single" w:sz="0" w:space="0" w:color="000000"/>
                        </w:tcBorders>
                      </w:tcPr>
                      <w:p>
                        <w:pPr>
                          <w:pStyle w:val="TableParagraph"/>
                          <w:spacing w:before="122"/>
                          <w:ind w:right="57"/>
                          <w:rPr>
                            <w:sz w:val="18"/>
                          </w:rPr>
                        </w:pPr>
                        <w:r>
                          <w:rPr>
                            <w:w w:val="95"/>
                            <w:sz w:val="18"/>
                          </w:rPr>
                          <w:t>(73,359)</w:t>
                        </w:r>
                      </w:p>
                    </w:tc>
                    <w:tc>
                      <w:tcPr>
                        <w:tcW w:w="1552" w:type="dxa"/>
                        <w:tcBorders>
                          <w:top w:val="single" w:sz="0" w:space="0" w:color="000000"/>
                          <w:bottom w:val="single" w:sz="0" w:space="0" w:color="000000"/>
                        </w:tcBorders>
                      </w:tcPr>
                      <w:p>
                        <w:pPr>
                          <w:pStyle w:val="TableParagraph"/>
                          <w:spacing w:before="122"/>
                          <w:ind w:right="87"/>
                          <w:rPr>
                            <w:sz w:val="18"/>
                          </w:rPr>
                        </w:pPr>
                        <w:r>
                          <w:rPr>
                            <w:w w:val="95"/>
                            <w:sz w:val="18"/>
                          </w:rPr>
                          <w:t>73,359</w:t>
                        </w:r>
                      </w:p>
                    </w:tc>
                    <w:tc>
                      <w:tcPr>
                        <w:tcW w:w="1581" w:type="dxa"/>
                        <w:tcBorders>
                          <w:top w:val="single" w:sz="0" w:space="0" w:color="000000"/>
                          <w:bottom w:val="single" w:sz="0" w:space="0" w:color="000000"/>
                        </w:tcBorders>
                      </w:tcPr>
                      <w:p>
                        <w:pPr>
                          <w:pStyle w:val="TableParagraph"/>
                          <w:spacing w:before="122"/>
                          <w:ind w:right="27"/>
                          <w:rPr>
                            <w:sz w:val="18"/>
                          </w:rPr>
                        </w:pPr>
                        <w:r>
                          <w:rPr>
                            <w:w w:val="95"/>
                            <w:sz w:val="18"/>
                          </w:rPr>
                          <w:t>(73,359)</w:t>
                        </w:r>
                      </w:p>
                    </w:tc>
                  </w:tr>
                </w:tbl>
                <w:p>
                  <w:pPr>
                    <w:pStyle w:val="BodyText"/>
                  </w:pPr>
                </w:p>
              </w:txbxContent>
            </v:textbox>
            <w10:wrap type="topAndBottom"/>
          </v:shape>
        </w:pict>
      </w:r>
      <w:r>
        <w:rPr/>
        <w:drawing>
          <wp:anchor distT="0" distB="0" distL="0" distR="0" allowOverlap="1" layoutInCell="1" locked="0" behindDoc="0" simplePos="0" relativeHeight="9064">
            <wp:simplePos x="0" y="0"/>
            <wp:positionH relativeFrom="page">
              <wp:posOffset>10493514</wp:posOffset>
            </wp:positionH>
            <wp:positionV relativeFrom="paragraph">
              <wp:posOffset>1396750</wp:posOffset>
            </wp:positionV>
            <wp:extent cx="154019" cy="154019"/>
            <wp:effectExtent l="0" t="0" r="0" b="0"/>
            <wp:wrapTopAndBottom/>
            <wp:docPr id="601" name="image25.png" descr=""/>
            <wp:cNvGraphicFramePr>
              <a:graphicFrameLocks noChangeAspect="1"/>
            </wp:cNvGraphicFramePr>
            <a:graphic>
              <a:graphicData uri="http://schemas.openxmlformats.org/drawingml/2006/picture">
                <pic:pic>
                  <pic:nvPicPr>
                    <pic:cNvPr id="602" name="image25.png"/>
                    <pic:cNvPicPr/>
                  </pic:nvPicPr>
                  <pic:blipFill>
                    <a:blip r:embed="rId41" cstate="print"/>
                    <a:stretch>
                      <a:fillRect/>
                    </a:stretch>
                  </pic:blipFill>
                  <pic:spPr>
                    <a:xfrm>
                      <a:off x="0" y="0"/>
                      <a:ext cx="154019" cy="154019"/>
                    </a:xfrm>
                    <a:prstGeom prst="rect">
                      <a:avLst/>
                    </a:prstGeom>
                  </pic:spPr>
                </pic:pic>
              </a:graphicData>
            </a:graphic>
          </wp:anchor>
        </w:drawing>
      </w:r>
      <w:r>
        <w:rPr>
          <w:b/>
          <w:sz w:val="18"/>
        </w:rPr>
        <w:t>Interest Rate Risk - Sensitivity Analysis continued</w:t>
      </w:r>
    </w:p>
    <w:p>
      <w:pPr>
        <w:pStyle w:val="BodyText"/>
        <w:rPr>
          <w:b/>
          <w:sz w:val="16"/>
        </w:rPr>
      </w:pPr>
    </w:p>
    <w:p>
      <w:pPr>
        <w:pStyle w:val="BodyText"/>
        <w:rPr>
          <w:b/>
          <w:sz w:val="16"/>
        </w:rPr>
      </w:pPr>
    </w:p>
    <w:p>
      <w:pPr>
        <w:pStyle w:val="BodyText"/>
        <w:rPr>
          <w:b/>
          <w:sz w:val="16"/>
        </w:rPr>
      </w:pPr>
    </w:p>
    <w:p>
      <w:pPr>
        <w:pStyle w:val="BodyText"/>
        <w:rPr>
          <w:b/>
          <w:sz w:val="16"/>
        </w:rPr>
      </w:pPr>
    </w:p>
    <w:p>
      <w:pPr>
        <w:spacing w:before="135" w:after="11"/>
        <w:ind w:left="8266" w:right="8266" w:firstLine="0"/>
        <w:jc w:val="center"/>
        <w:rPr>
          <w:sz w:val="16"/>
        </w:rPr>
      </w:pPr>
      <w:r>
        <w:rPr>
          <w:sz w:val="16"/>
        </w:rPr>
        <w:t>129</w:t>
      </w:r>
    </w:p>
    <w:p>
      <w:pPr>
        <w:tabs>
          <w:tab w:pos="8296" w:val="left" w:leader="none"/>
          <w:tab w:pos="16305" w:val="left" w:leader="none"/>
        </w:tabs>
        <w:spacing w:line="240" w:lineRule="auto"/>
        <w:ind w:left="37" w:right="0" w:firstLine="0"/>
        <w:rPr>
          <w:sz w:val="20"/>
        </w:rPr>
      </w:pPr>
      <w:r>
        <w:rPr>
          <w:sz w:val="20"/>
        </w:rPr>
        <w:pict>
          <v:group style="width:24.75pt;height:24.75pt;mso-position-horizontal-relative:char;mso-position-vertical-relative:line" coordorigin="0,0" coordsize="495,495">
            <v:line style="position:absolute" from="303,13" to="3,13" stroked="true" strokeweight=".25pt" strokecolor="#000000"/>
            <v:line style="position:absolute" from="423,13" to="63,13" stroked="true" strokeweight="1.25pt" strokecolor="#ffffff"/>
            <v:line style="position:absolute" from="483,193" to="483,493" stroked="true" strokeweight=".25pt" strokecolor="#000000"/>
            <v:line style="position:absolute" from="483,73" to="483,433" stroked="true" strokeweight="1.25pt" strokecolor="#ffffff"/>
            <v:line style="position:absolute" from="423,13" to="63,13" stroked="true" strokeweight=".25pt" strokecolor="#000000"/>
            <v:line style="position:absolute" from="483,73" to="483,433" stroked="true" strokeweight=".25pt" strokecolor="#000000"/>
          </v:group>
        </w:pict>
      </w:r>
      <w:r>
        <w:rPr>
          <w:sz w:val="20"/>
        </w:rPr>
      </w:r>
      <w:r>
        <w:rPr>
          <w:sz w:val="20"/>
        </w:rPr>
        <w:tab/>
      </w:r>
      <w:r>
        <w:rPr>
          <w:position w:val="3"/>
          <w:sz w:val="20"/>
        </w:rPr>
        <w:drawing>
          <wp:inline distT="0" distB="0" distL="0" distR="0">
            <wp:extent cx="154019" cy="154019"/>
            <wp:effectExtent l="0" t="0" r="0" b="0"/>
            <wp:docPr id="603" name="image25.png" descr=""/>
            <wp:cNvGraphicFramePr>
              <a:graphicFrameLocks noChangeAspect="1"/>
            </wp:cNvGraphicFramePr>
            <a:graphic>
              <a:graphicData uri="http://schemas.openxmlformats.org/drawingml/2006/picture">
                <pic:pic>
                  <pic:nvPicPr>
                    <pic:cNvPr id="604" name="image25.png"/>
                    <pic:cNvPicPr/>
                  </pic:nvPicPr>
                  <pic:blipFill>
                    <a:blip r:embed="rId41" cstate="print"/>
                    <a:stretch>
                      <a:fillRect/>
                    </a:stretch>
                  </pic:blipFill>
                  <pic:spPr>
                    <a:xfrm>
                      <a:off x="0" y="0"/>
                      <a:ext cx="154019" cy="154019"/>
                    </a:xfrm>
                    <a:prstGeom prst="rect">
                      <a:avLst/>
                    </a:prstGeom>
                  </pic:spPr>
                </pic:pic>
              </a:graphicData>
            </a:graphic>
          </wp:inline>
        </w:drawing>
      </w:r>
      <w:r>
        <w:rPr>
          <w:position w:val="3"/>
          <w:sz w:val="20"/>
        </w:rPr>
      </w:r>
      <w:r>
        <w:rPr>
          <w:position w:val="3"/>
          <w:sz w:val="20"/>
        </w:rPr>
        <w:tab/>
      </w:r>
      <w:r>
        <w:rPr>
          <w:sz w:val="20"/>
        </w:rPr>
        <w:pict>
          <v:group style="width:24.75pt;height:24.75pt;mso-position-horizontal-relative:char;mso-position-vertical-relative:line" coordorigin="0,0" coordsize="495,495">
            <v:line style="position:absolute" from="193,13" to="493,13" stroked="true" strokeweight=".25pt" strokecolor="#000000"/>
            <v:line style="position:absolute" from="73,13" to="433,13" stroked="true" strokeweight="1.25pt" strokecolor="#ffffff"/>
            <v:line style="position:absolute" from="13,193" to="13,493" stroked="true" strokeweight=".25pt" strokecolor="#000000"/>
            <v:line style="position:absolute" from="13,73" to="13,433" stroked="true" strokeweight="1.25pt" strokecolor="#ffffff"/>
            <v:line style="position:absolute" from="73,13" to="433,13" stroked="true" strokeweight=".25pt" strokecolor="#000000"/>
            <v:line style="position:absolute" from="13,73" to="13,433" stroked="true" strokeweight=".25pt" strokecolor="#000000"/>
          </v:group>
        </w:pict>
      </w:r>
      <w:r>
        <w:rPr>
          <w:sz w:val="20"/>
        </w:rPr>
      </w:r>
    </w:p>
    <w:p>
      <w:pPr>
        <w:spacing w:after="0" w:line="240" w:lineRule="auto"/>
        <w:rPr>
          <w:sz w:val="20"/>
        </w:rPr>
        <w:sectPr>
          <w:headerReference w:type="default" r:id="rId80"/>
          <w:footerReference w:type="default" r:id="rId81"/>
          <w:pgSz w:w="16840" w:h="11910" w:orient="landscape"/>
          <w:pgMar w:header="0" w:footer="0" w:top="40" w:bottom="0" w:left="0" w:right="0"/>
        </w:sectPr>
      </w:pPr>
    </w:p>
    <w:p>
      <w:pPr>
        <w:pStyle w:val="BodyText"/>
        <w:spacing w:before="2"/>
        <w:rPr>
          <w:sz w:val="24"/>
        </w:rPr>
      </w:pPr>
      <w:r>
        <w:rPr/>
        <w:drawing>
          <wp:anchor distT="0" distB="0" distL="0" distR="0" allowOverlap="1" layoutInCell="1" locked="0" behindDoc="0" simplePos="0" relativeHeight="9136">
            <wp:simplePos x="0" y="0"/>
            <wp:positionH relativeFrom="page">
              <wp:posOffset>-1587</wp:posOffset>
            </wp:positionH>
            <wp:positionV relativeFrom="page">
              <wp:posOffset>5534342</wp:posOffset>
            </wp:positionV>
            <wp:extent cx="135159" cy="154019"/>
            <wp:effectExtent l="0" t="0" r="0" b="0"/>
            <wp:wrapNone/>
            <wp:docPr id="609" name="image13.png" descr=""/>
            <wp:cNvGraphicFramePr>
              <a:graphicFrameLocks noChangeAspect="1"/>
            </wp:cNvGraphicFramePr>
            <a:graphic>
              <a:graphicData uri="http://schemas.openxmlformats.org/drawingml/2006/picture">
                <pic:pic>
                  <pic:nvPicPr>
                    <pic:cNvPr id="610" name="image13.png"/>
                    <pic:cNvPicPr/>
                  </pic:nvPicPr>
                  <pic:blipFill>
                    <a:blip r:embed="rId18" cstate="print"/>
                    <a:stretch>
                      <a:fillRect/>
                    </a:stretch>
                  </pic:blipFill>
                  <pic:spPr>
                    <a:xfrm>
                      <a:off x="0" y="0"/>
                      <a:ext cx="135159" cy="154019"/>
                    </a:xfrm>
                    <a:prstGeom prst="rect">
                      <a:avLst/>
                    </a:prstGeom>
                  </pic:spPr>
                </pic:pic>
              </a:graphicData>
            </a:graphic>
          </wp:anchor>
        </w:drawing>
      </w:r>
      <w:r>
        <w:rPr/>
        <w:drawing>
          <wp:anchor distT="0" distB="0" distL="0" distR="0" allowOverlap="1" layoutInCell="1" locked="0" behindDoc="0" simplePos="0" relativeHeight="9160">
            <wp:simplePos x="0" y="0"/>
            <wp:positionH relativeFrom="page">
              <wp:posOffset>7958429</wp:posOffset>
            </wp:positionH>
            <wp:positionV relativeFrom="page">
              <wp:posOffset>5534342</wp:posOffset>
            </wp:positionV>
            <wp:extent cx="135953" cy="155575"/>
            <wp:effectExtent l="0" t="0" r="0" b="0"/>
            <wp:wrapNone/>
            <wp:docPr id="611" name="image15.png" descr=""/>
            <wp:cNvGraphicFramePr>
              <a:graphicFrameLocks noChangeAspect="1"/>
            </wp:cNvGraphicFramePr>
            <a:graphic>
              <a:graphicData uri="http://schemas.openxmlformats.org/drawingml/2006/picture">
                <pic:pic>
                  <pic:nvPicPr>
                    <pic:cNvPr id="612" name="image15.png"/>
                    <pic:cNvPicPr/>
                  </pic:nvPicPr>
                  <pic:blipFill>
                    <a:blip r:embed="rId20" cstate="print"/>
                    <a:stretch>
                      <a:fillRect/>
                    </a:stretch>
                  </pic:blipFill>
                  <pic:spPr>
                    <a:xfrm>
                      <a:off x="0" y="0"/>
                      <a:ext cx="135953" cy="155575"/>
                    </a:xfrm>
                    <a:prstGeom prst="rect">
                      <a:avLst/>
                    </a:prstGeom>
                  </pic:spPr>
                </pic:pic>
              </a:graphicData>
            </a:graphic>
          </wp:anchor>
        </w:drawing>
      </w:r>
    </w:p>
    <w:p>
      <w:pPr>
        <w:pStyle w:val="Heading4"/>
      </w:pPr>
      <w:r>
        <w:rPr/>
        <w:t>Notes to the Financial Statements</w:t>
      </w:r>
    </w:p>
    <w:p>
      <w:pPr>
        <w:pStyle w:val="Heading7"/>
      </w:pPr>
      <w:bookmarkStart w:name="14 Revenue" w:id="239"/>
      <w:bookmarkEnd w:id="239"/>
      <w:r>
        <w:rPr>
          <w:b w:val="0"/>
        </w:rPr>
      </w:r>
      <w:bookmarkStart w:name="(a) Revenue from rendering of services" w:id="240"/>
      <w:bookmarkEnd w:id="240"/>
      <w:r>
        <w:rPr>
          <w:b w:val="0"/>
        </w:rPr>
      </w:r>
      <w:r>
        <w:rPr/>
        <w:t>For the Year Ended 31 December 2016</w:t>
      </w:r>
    </w:p>
    <w:p>
      <w:pPr>
        <w:pStyle w:val="BodyText"/>
        <w:spacing w:before="10"/>
        <w:rPr>
          <w:b/>
          <w:sz w:val="32"/>
        </w:rPr>
      </w:pPr>
    </w:p>
    <w:p>
      <w:pPr>
        <w:pStyle w:val="Heading8"/>
        <w:ind w:left="1429"/>
      </w:pPr>
      <w:r>
        <w:rPr/>
        <w:t>14   Revenue</w:t>
      </w:r>
    </w:p>
    <w:p>
      <w:pPr>
        <w:pStyle w:val="BodyText"/>
        <w:spacing w:before="11"/>
        <w:rPr>
          <w:b/>
          <w:sz w:val="19"/>
        </w:rPr>
      </w:pPr>
    </w:p>
    <w:tbl>
      <w:tblPr>
        <w:tblW w:w="0" w:type="auto"/>
        <w:jc w:val="left"/>
        <w:tblInd w:w="179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24"/>
        <w:gridCol w:w="6535"/>
        <w:gridCol w:w="1409"/>
        <w:gridCol w:w="1186"/>
      </w:tblGrid>
      <w:tr>
        <w:trPr>
          <w:trHeight w:val="572" w:hRule="exact"/>
        </w:trPr>
        <w:tc>
          <w:tcPr>
            <w:tcW w:w="424" w:type="dxa"/>
          </w:tcPr>
          <w:p>
            <w:pPr>
              <w:pStyle w:val="TableParagraph"/>
              <w:spacing w:before="77"/>
              <w:ind w:left="35"/>
              <w:jc w:val="left"/>
              <w:rPr>
                <w:b/>
                <w:sz w:val="18"/>
              </w:rPr>
            </w:pPr>
            <w:r>
              <w:rPr>
                <w:b/>
                <w:sz w:val="18"/>
              </w:rPr>
              <w:t>(a)</w:t>
            </w:r>
          </w:p>
        </w:tc>
        <w:tc>
          <w:tcPr>
            <w:tcW w:w="6535" w:type="dxa"/>
          </w:tcPr>
          <w:p>
            <w:pPr>
              <w:pStyle w:val="TableParagraph"/>
              <w:spacing w:before="77"/>
              <w:ind w:left="176"/>
              <w:jc w:val="left"/>
              <w:rPr>
                <w:b/>
                <w:sz w:val="18"/>
              </w:rPr>
            </w:pPr>
            <w:r>
              <w:rPr>
                <w:b/>
                <w:sz w:val="18"/>
              </w:rPr>
              <w:t>Revenue from rendering of services</w:t>
            </w:r>
          </w:p>
        </w:tc>
        <w:tc>
          <w:tcPr>
            <w:tcW w:w="1409" w:type="dxa"/>
          </w:tcPr>
          <w:p>
            <w:pPr>
              <w:pStyle w:val="TableParagraph"/>
              <w:jc w:val="left"/>
              <w:rPr>
                <w:b/>
                <w:sz w:val="18"/>
              </w:rPr>
            </w:pPr>
          </w:p>
          <w:p>
            <w:pPr>
              <w:pStyle w:val="TableParagraph"/>
              <w:spacing w:before="115"/>
              <w:ind w:left="451" w:right="516"/>
              <w:jc w:val="center"/>
              <w:rPr>
                <w:b/>
                <w:sz w:val="18"/>
              </w:rPr>
            </w:pPr>
            <w:r>
              <w:rPr>
                <w:b/>
                <w:sz w:val="18"/>
              </w:rPr>
              <w:t>2016</w:t>
            </w:r>
          </w:p>
        </w:tc>
        <w:tc>
          <w:tcPr>
            <w:tcW w:w="1186" w:type="dxa"/>
          </w:tcPr>
          <w:p>
            <w:pPr>
              <w:pStyle w:val="TableParagraph"/>
              <w:jc w:val="left"/>
              <w:rPr>
                <w:b/>
                <w:sz w:val="18"/>
              </w:rPr>
            </w:pPr>
          </w:p>
          <w:p>
            <w:pPr>
              <w:pStyle w:val="TableParagraph"/>
              <w:spacing w:before="115"/>
              <w:ind w:left="345"/>
              <w:jc w:val="left"/>
              <w:rPr>
                <w:b/>
                <w:sz w:val="18"/>
              </w:rPr>
            </w:pPr>
            <w:r>
              <w:rPr>
                <w:b/>
                <w:sz w:val="18"/>
              </w:rPr>
              <w:t>2015</w:t>
            </w:r>
          </w:p>
        </w:tc>
      </w:tr>
      <w:tr>
        <w:trPr>
          <w:trHeight w:val="271" w:hRule="exact"/>
        </w:trPr>
        <w:tc>
          <w:tcPr>
            <w:tcW w:w="424" w:type="dxa"/>
          </w:tcPr>
          <w:p>
            <w:pPr/>
          </w:p>
        </w:tc>
        <w:tc>
          <w:tcPr>
            <w:tcW w:w="6535" w:type="dxa"/>
          </w:tcPr>
          <w:p>
            <w:pPr/>
          </w:p>
        </w:tc>
        <w:tc>
          <w:tcPr>
            <w:tcW w:w="1409" w:type="dxa"/>
          </w:tcPr>
          <w:p>
            <w:pPr>
              <w:pStyle w:val="TableParagraph"/>
              <w:spacing w:before="24"/>
              <w:ind w:right="63"/>
              <w:jc w:val="center"/>
              <w:rPr>
                <w:b/>
                <w:sz w:val="18"/>
              </w:rPr>
            </w:pPr>
            <w:r>
              <w:rPr>
                <w:b/>
                <w:w w:val="99"/>
                <w:sz w:val="18"/>
              </w:rPr>
              <w:t>$</w:t>
            </w:r>
          </w:p>
        </w:tc>
        <w:tc>
          <w:tcPr>
            <w:tcW w:w="1186" w:type="dxa"/>
          </w:tcPr>
          <w:p>
            <w:pPr>
              <w:pStyle w:val="TableParagraph"/>
              <w:spacing w:before="24"/>
              <w:ind w:right="92"/>
              <w:jc w:val="center"/>
              <w:rPr>
                <w:b/>
                <w:sz w:val="18"/>
              </w:rPr>
            </w:pPr>
            <w:r>
              <w:rPr>
                <w:b/>
                <w:w w:val="99"/>
                <w:sz w:val="18"/>
              </w:rPr>
              <w:t>$</w:t>
            </w:r>
          </w:p>
        </w:tc>
      </w:tr>
      <w:tr>
        <w:trPr>
          <w:trHeight w:val="266" w:hRule="exact"/>
        </w:trPr>
        <w:tc>
          <w:tcPr>
            <w:tcW w:w="424" w:type="dxa"/>
          </w:tcPr>
          <w:p>
            <w:pPr/>
          </w:p>
        </w:tc>
        <w:tc>
          <w:tcPr>
            <w:tcW w:w="6535" w:type="dxa"/>
          </w:tcPr>
          <w:p>
            <w:pPr>
              <w:pStyle w:val="TableParagraph"/>
              <w:spacing w:before="21"/>
              <w:ind w:left="203"/>
              <w:jc w:val="left"/>
              <w:rPr>
                <w:sz w:val="18"/>
              </w:rPr>
            </w:pPr>
            <w:r>
              <w:rPr>
                <w:sz w:val="18"/>
              </w:rPr>
              <w:t>Tuition income</w:t>
            </w:r>
          </w:p>
        </w:tc>
        <w:tc>
          <w:tcPr>
            <w:tcW w:w="1409" w:type="dxa"/>
          </w:tcPr>
          <w:p>
            <w:pPr>
              <w:pStyle w:val="TableParagraph"/>
              <w:spacing w:before="22"/>
              <w:ind w:right="197"/>
              <w:rPr>
                <w:b/>
                <w:sz w:val="18"/>
              </w:rPr>
            </w:pPr>
            <w:r>
              <w:rPr>
                <w:b/>
                <w:w w:val="95"/>
                <w:sz w:val="18"/>
              </w:rPr>
              <w:t>57,062,410</w:t>
            </w:r>
          </w:p>
        </w:tc>
        <w:tc>
          <w:tcPr>
            <w:tcW w:w="1186" w:type="dxa"/>
          </w:tcPr>
          <w:p>
            <w:pPr>
              <w:pStyle w:val="TableParagraph"/>
              <w:spacing w:before="22"/>
              <w:ind w:right="86"/>
              <w:rPr>
                <w:sz w:val="18"/>
              </w:rPr>
            </w:pPr>
            <w:r>
              <w:rPr>
                <w:w w:val="95"/>
                <w:sz w:val="18"/>
              </w:rPr>
              <w:t>56,158,675</w:t>
            </w:r>
          </w:p>
        </w:tc>
      </w:tr>
      <w:tr>
        <w:trPr>
          <w:trHeight w:val="264" w:hRule="exact"/>
        </w:trPr>
        <w:tc>
          <w:tcPr>
            <w:tcW w:w="424" w:type="dxa"/>
          </w:tcPr>
          <w:p>
            <w:pPr/>
          </w:p>
        </w:tc>
        <w:tc>
          <w:tcPr>
            <w:tcW w:w="6535" w:type="dxa"/>
          </w:tcPr>
          <w:p>
            <w:pPr>
              <w:pStyle w:val="TableParagraph"/>
              <w:spacing w:before="18"/>
              <w:ind w:left="203"/>
              <w:jc w:val="left"/>
              <w:rPr>
                <w:sz w:val="18"/>
              </w:rPr>
            </w:pPr>
            <w:r>
              <w:rPr>
                <w:sz w:val="18"/>
              </w:rPr>
              <w:t>Student test fees</w:t>
            </w:r>
          </w:p>
        </w:tc>
        <w:tc>
          <w:tcPr>
            <w:tcW w:w="1409" w:type="dxa"/>
          </w:tcPr>
          <w:p>
            <w:pPr>
              <w:pStyle w:val="TableParagraph"/>
              <w:spacing w:before="19"/>
              <w:ind w:right="197"/>
              <w:rPr>
                <w:b/>
                <w:sz w:val="18"/>
              </w:rPr>
            </w:pPr>
            <w:r>
              <w:rPr>
                <w:b/>
                <w:w w:val="95"/>
                <w:sz w:val="18"/>
              </w:rPr>
              <w:t>3,310,884</w:t>
            </w:r>
          </w:p>
        </w:tc>
        <w:tc>
          <w:tcPr>
            <w:tcW w:w="1186" w:type="dxa"/>
          </w:tcPr>
          <w:p>
            <w:pPr>
              <w:pStyle w:val="TableParagraph"/>
              <w:spacing w:before="19"/>
              <w:ind w:right="86"/>
              <w:rPr>
                <w:sz w:val="18"/>
              </w:rPr>
            </w:pPr>
            <w:r>
              <w:rPr>
                <w:w w:val="95"/>
                <w:sz w:val="18"/>
              </w:rPr>
              <w:t>4,706,130</w:t>
            </w:r>
          </w:p>
        </w:tc>
      </w:tr>
      <w:tr>
        <w:trPr>
          <w:trHeight w:val="263" w:hRule="exact"/>
        </w:trPr>
        <w:tc>
          <w:tcPr>
            <w:tcW w:w="424" w:type="dxa"/>
          </w:tcPr>
          <w:p>
            <w:pPr/>
          </w:p>
        </w:tc>
        <w:tc>
          <w:tcPr>
            <w:tcW w:w="6535" w:type="dxa"/>
          </w:tcPr>
          <w:p>
            <w:pPr>
              <w:pStyle w:val="TableParagraph"/>
              <w:spacing w:before="18"/>
              <w:ind w:left="203"/>
              <w:jc w:val="left"/>
              <w:rPr>
                <w:sz w:val="18"/>
              </w:rPr>
            </w:pPr>
            <w:bookmarkStart w:name="(b) Other revenue" w:id="241"/>
            <w:bookmarkEnd w:id="241"/>
            <w:r>
              <w:rPr/>
            </w:r>
            <w:r>
              <w:rPr>
                <w:sz w:val="18"/>
              </w:rPr>
              <w:t>Student charges</w:t>
            </w:r>
          </w:p>
        </w:tc>
        <w:tc>
          <w:tcPr>
            <w:tcW w:w="1409" w:type="dxa"/>
            <w:tcBorders>
              <w:bottom w:val="single" w:sz="0" w:space="0" w:color="000000"/>
            </w:tcBorders>
          </w:tcPr>
          <w:p>
            <w:pPr>
              <w:pStyle w:val="TableParagraph"/>
              <w:spacing w:before="19"/>
              <w:ind w:right="197"/>
              <w:rPr>
                <w:b/>
                <w:sz w:val="18"/>
              </w:rPr>
            </w:pPr>
            <w:r>
              <w:rPr>
                <w:b/>
                <w:w w:val="95"/>
                <w:sz w:val="18"/>
              </w:rPr>
              <w:t>192,352</w:t>
            </w:r>
          </w:p>
        </w:tc>
        <w:tc>
          <w:tcPr>
            <w:tcW w:w="1186" w:type="dxa"/>
            <w:tcBorders>
              <w:bottom w:val="single" w:sz="0" w:space="0" w:color="000000"/>
            </w:tcBorders>
          </w:tcPr>
          <w:p>
            <w:pPr>
              <w:pStyle w:val="TableParagraph"/>
              <w:spacing w:before="19"/>
              <w:ind w:right="86"/>
              <w:rPr>
                <w:sz w:val="18"/>
              </w:rPr>
            </w:pPr>
            <w:r>
              <w:rPr>
                <w:w w:val="95"/>
                <w:sz w:val="18"/>
              </w:rPr>
              <w:t>204,023</w:t>
            </w:r>
          </w:p>
        </w:tc>
      </w:tr>
      <w:tr>
        <w:trPr>
          <w:trHeight w:val="338" w:hRule="exact"/>
        </w:trPr>
        <w:tc>
          <w:tcPr>
            <w:tcW w:w="424" w:type="dxa"/>
          </w:tcPr>
          <w:p>
            <w:pPr/>
          </w:p>
        </w:tc>
        <w:tc>
          <w:tcPr>
            <w:tcW w:w="6535" w:type="dxa"/>
          </w:tcPr>
          <w:p>
            <w:pPr>
              <w:pStyle w:val="TableParagraph"/>
              <w:spacing w:before="123"/>
              <w:ind w:left="203"/>
              <w:jc w:val="left"/>
              <w:rPr>
                <w:b/>
                <w:sz w:val="18"/>
              </w:rPr>
            </w:pPr>
            <w:r>
              <w:rPr>
                <w:b/>
                <w:sz w:val="18"/>
              </w:rPr>
              <w:t>Total revenue from rendering of services</w:t>
            </w:r>
          </w:p>
        </w:tc>
        <w:tc>
          <w:tcPr>
            <w:tcW w:w="1409" w:type="dxa"/>
            <w:tcBorders>
              <w:top w:val="single" w:sz="0" w:space="0" w:color="000000"/>
              <w:bottom w:val="single" w:sz="0" w:space="0" w:color="000000"/>
            </w:tcBorders>
          </w:tcPr>
          <w:p>
            <w:pPr>
              <w:pStyle w:val="TableParagraph"/>
              <w:spacing w:before="122"/>
              <w:ind w:right="197"/>
              <w:rPr>
                <w:b/>
                <w:sz w:val="18"/>
              </w:rPr>
            </w:pPr>
            <w:r>
              <w:rPr>
                <w:b/>
                <w:w w:val="95"/>
                <w:sz w:val="18"/>
              </w:rPr>
              <w:t>60,565,646</w:t>
            </w:r>
          </w:p>
        </w:tc>
        <w:tc>
          <w:tcPr>
            <w:tcW w:w="1186" w:type="dxa"/>
            <w:tcBorders>
              <w:top w:val="single" w:sz="0" w:space="0" w:color="000000"/>
              <w:bottom w:val="single" w:sz="0" w:space="0" w:color="000000"/>
            </w:tcBorders>
          </w:tcPr>
          <w:p>
            <w:pPr>
              <w:pStyle w:val="TableParagraph"/>
              <w:spacing w:before="122"/>
              <w:ind w:right="86"/>
              <w:rPr>
                <w:sz w:val="18"/>
              </w:rPr>
            </w:pPr>
            <w:r>
              <w:rPr>
                <w:w w:val="95"/>
                <w:sz w:val="18"/>
              </w:rPr>
              <w:t>61,068,828</w:t>
            </w:r>
          </w:p>
        </w:tc>
      </w:tr>
      <w:tr>
        <w:trPr>
          <w:trHeight w:val="812" w:hRule="exact"/>
        </w:trPr>
        <w:tc>
          <w:tcPr>
            <w:tcW w:w="424" w:type="dxa"/>
          </w:tcPr>
          <w:p>
            <w:pPr>
              <w:pStyle w:val="TableParagraph"/>
              <w:jc w:val="left"/>
              <w:rPr>
                <w:b/>
                <w:sz w:val="18"/>
              </w:rPr>
            </w:pPr>
          </w:p>
          <w:p>
            <w:pPr>
              <w:pStyle w:val="TableParagraph"/>
              <w:spacing w:before="110"/>
              <w:ind w:left="35"/>
              <w:jc w:val="left"/>
              <w:rPr>
                <w:b/>
                <w:sz w:val="18"/>
              </w:rPr>
            </w:pPr>
            <w:r>
              <w:rPr>
                <w:b/>
                <w:sz w:val="18"/>
              </w:rPr>
              <w:t>(b)</w:t>
            </w:r>
          </w:p>
        </w:tc>
        <w:tc>
          <w:tcPr>
            <w:tcW w:w="6535" w:type="dxa"/>
          </w:tcPr>
          <w:p>
            <w:pPr>
              <w:pStyle w:val="TableParagraph"/>
              <w:jc w:val="left"/>
              <w:rPr>
                <w:b/>
                <w:sz w:val="18"/>
              </w:rPr>
            </w:pPr>
          </w:p>
          <w:p>
            <w:pPr>
              <w:pStyle w:val="TableParagraph"/>
              <w:spacing w:before="110"/>
              <w:ind w:left="176"/>
              <w:jc w:val="left"/>
              <w:rPr>
                <w:b/>
                <w:sz w:val="18"/>
              </w:rPr>
            </w:pPr>
            <w:r>
              <w:rPr>
                <w:b/>
                <w:sz w:val="18"/>
              </w:rPr>
              <w:t>Other revenue</w:t>
            </w:r>
          </w:p>
        </w:tc>
        <w:tc>
          <w:tcPr>
            <w:tcW w:w="1409" w:type="dxa"/>
            <w:tcBorders>
              <w:top w:val="single" w:sz="0" w:space="0" w:color="000000"/>
            </w:tcBorders>
          </w:tcPr>
          <w:p>
            <w:pPr>
              <w:pStyle w:val="TableParagraph"/>
              <w:jc w:val="left"/>
              <w:rPr>
                <w:b/>
                <w:sz w:val="18"/>
              </w:rPr>
            </w:pPr>
          </w:p>
          <w:p>
            <w:pPr>
              <w:pStyle w:val="TableParagraph"/>
              <w:jc w:val="left"/>
              <w:rPr>
                <w:b/>
                <w:sz w:val="18"/>
              </w:rPr>
            </w:pPr>
          </w:p>
          <w:p>
            <w:pPr>
              <w:pStyle w:val="TableParagraph"/>
              <w:spacing w:before="148"/>
              <w:ind w:left="448"/>
              <w:jc w:val="left"/>
              <w:rPr>
                <w:b/>
                <w:sz w:val="18"/>
              </w:rPr>
            </w:pPr>
            <w:r>
              <w:rPr>
                <w:b/>
                <w:sz w:val="18"/>
              </w:rPr>
              <w:t>2016</w:t>
            </w:r>
          </w:p>
        </w:tc>
        <w:tc>
          <w:tcPr>
            <w:tcW w:w="1186" w:type="dxa"/>
            <w:tcBorders>
              <w:top w:val="single" w:sz="0" w:space="0" w:color="000000"/>
            </w:tcBorders>
          </w:tcPr>
          <w:p>
            <w:pPr>
              <w:pStyle w:val="TableParagraph"/>
              <w:jc w:val="left"/>
              <w:rPr>
                <w:b/>
                <w:sz w:val="18"/>
              </w:rPr>
            </w:pPr>
          </w:p>
          <w:p>
            <w:pPr>
              <w:pStyle w:val="TableParagraph"/>
              <w:jc w:val="left"/>
              <w:rPr>
                <w:b/>
                <w:sz w:val="18"/>
              </w:rPr>
            </w:pPr>
          </w:p>
          <w:p>
            <w:pPr>
              <w:pStyle w:val="TableParagraph"/>
              <w:spacing w:before="148"/>
              <w:ind w:left="323"/>
              <w:jc w:val="left"/>
              <w:rPr>
                <w:b/>
                <w:sz w:val="18"/>
              </w:rPr>
            </w:pPr>
            <w:r>
              <w:rPr>
                <w:b/>
                <w:sz w:val="18"/>
              </w:rPr>
              <w:t>2015</w:t>
            </w:r>
          </w:p>
        </w:tc>
      </w:tr>
      <w:tr>
        <w:trPr>
          <w:trHeight w:val="271" w:hRule="exact"/>
        </w:trPr>
        <w:tc>
          <w:tcPr>
            <w:tcW w:w="424" w:type="dxa"/>
          </w:tcPr>
          <w:p>
            <w:pPr/>
          </w:p>
        </w:tc>
        <w:tc>
          <w:tcPr>
            <w:tcW w:w="6535" w:type="dxa"/>
          </w:tcPr>
          <w:p>
            <w:pPr/>
          </w:p>
        </w:tc>
        <w:tc>
          <w:tcPr>
            <w:tcW w:w="1409" w:type="dxa"/>
          </w:tcPr>
          <w:p>
            <w:pPr>
              <w:pStyle w:val="TableParagraph"/>
              <w:spacing w:before="24"/>
              <w:ind w:right="109"/>
              <w:jc w:val="center"/>
              <w:rPr>
                <w:b/>
                <w:sz w:val="18"/>
              </w:rPr>
            </w:pPr>
            <w:r>
              <w:rPr>
                <w:b/>
                <w:w w:val="99"/>
                <w:sz w:val="18"/>
              </w:rPr>
              <w:t>$</w:t>
            </w:r>
          </w:p>
        </w:tc>
        <w:tc>
          <w:tcPr>
            <w:tcW w:w="1186" w:type="dxa"/>
          </w:tcPr>
          <w:p>
            <w:pPr>
              <w:pStyle w:val="TableParagraph"/>
              <w:spacing w:before="24"/>
              <w:ind w:right="135"/>
              <w:jc w:val="center"/>
              <w:rPr>
                <w:b/>
                <w:sz w:val="18"/>
              </w:rPr>
            </w:pPr>
            <w:r>
              <w:rPr>
                <w:b/>
                <w:w w:val="99"/>
                <w:sz w:val="18"/>
              </w:rPr>
              <w:t>$</w:t>
            </w:r>
          </w:p>
        </w:tc>
      </w:tr>
      <w:tr>
        <w:trPr>
          <w:trHeight w:val="266" w:hRule="exact"/>
        </w:trPr>
        <w:tc>
          <w:tcPr>
            <w:tcW w:w="424" w:type="dxa"/>
          </w:tcPr>
          <w:p>
            <w:pPr/>
          </w:p>
        </w:tc>
        <w:tc>
          <w:tcPr>
            <w:tcW w:w="6535" w:type="dxa"/>
          </w:tcPr>
          <w:p>
            <w:pPr>
              <w:pStyle w:val="TableParagraph"/>
              <w:spacing w:before="21"/>
              <w:ind w:left="158"/>
              <w:jc w:val="left"/>
              <w:rPr>
                <w:sz w:val="18"/>
              </w:rPr>
            </w:pPr>
            <w:r>
              <w:rPr>
                <w:sz w:val="18"/>
              </w:rPr>
              <w:t>Salary recoveries</w:t>
            </w:r>
          </w:p>
        </w:tc>
        <w:tc>
          <w:tcPr>
            <w:tcW w:w="1409" w:type="dxa"/>
          </w:tcPr>
          <w:p>
            <w:pPr>
              <w:pStyle w:val="TableParagraph"/>
              <w:spacing w:before="22"/>
              <w:ind w:right="198"/>
              <w:rPr>
                <w:b/>
                <w:sz w:val="18"/>
              </w:rPr>
            </w:pPr>
            <w:r>
              <w:rPr>
                <w:b/>
                <w:w w:val="95"/>
                <w:sz w:val="18"/>
              </w:rPr>
              <w:t>23,304</w:t>
            </w:r>
          </w:p>
        </w:tc>
        <w:tc>
          <w:tcPr>
            <w:tcW w:w="1186" w:type="dxa"/>
          </w:tcPr>
          <w:p>
            <w:pPr>
              <w:pStyle w:val="TableParagraph"/>
              <w:spacing w:before="22"/>
              <w:ind w:right="85"/>
              <w:rPr>
                <w:sz w:val="18"/>
              </w:rPr>
            </w:pPr>
            <w:r>
              <w:rPr>
                <w:sz w:val="18"/>
              </w:rPr>
              <w:t>8,968</w:t>
            </w:r>
          </w:p>
        </w:tc>
      </w:tr>
      <w:tr>
        <w:trPr>
          <w:trHeight w:val="264" w:hRule="exact"/>
        </w:trPr>
        <w:tc>
          <w:tcPr>
            <w:tcW w:w="424" w:type="dxa"/>
          </w:tcPr>
          <w:p>
            <w:pPr/>
          </w:p>
        </w:tc>
        <w:tc>
          <w:tcPr>
            <w:tcW w:w="6535" w:type="dxa"/>
          </w:tcPr>
          <w:p>
            <w:pPr>
              <w:pStyle w:val="TableParagraph"/>
              <w:spacing w:before="18"/>
              <w:ind w:left="158"/>
              <w:jc w:val="left"/>
              <w:rPr>
                <w:sz w:val="18"/>
              </w:rPr>
            </w:pPr>
            <w:r>
              <w:rPr>
                <w:sz w:val="18"/>
              </w:rPr>
              <w:t>Government grants</w:t>
            </w:r>
          </w:p>
        </w:tc>
        <w:tc>
          <w:tcPr>
            <w:tcW w:w="1409" w:type="dxa"/>
          </w:tcPr>
          <w:p>
            <w:pPr>
              <w:pStyle w:val="TableParagraph"/>
              <w:spacing w:before="19"/>
              <w:ind w:right="110"/>
              <w:jc w:val="center"/>
              <w:rPr>
                <w:b/>
                <w:sz w:val="18"/>
              </w:rPr>
            </w:pPr>
            <w:r>
              <w:rPr>
                <w:b/>
                <w:w w:val="99"/>
                <w:sz w:val="18"/>
              </w:rPr>
              <w:t>-</w:t>
            </w:r>
          </w:p>
        </w:tc>
        <w:tc>
          <w:tcPr>
            <w:tcW w:w="1186" w:type="dxa"/>
          </w:tcPr>
          <w:p>
            <w:pPr>
              <w:pStyle w:val="TableParagraph"/>
              <w:spacing w:before="19"/>
              <w:ind w:right="85"/>
              <w:rPr>
                <w:sz w:val="18"/>
              </w:rPr>
            </w:pPr>
            <w:r>
              <w:rPr>
                <w:w w:val="95"/>
                <w:sz w:val="18"/>
              </w:rPr>
              <w:t>160,000</w:t>
            </w:r>
          </w:p>
        </w:tc>
      </w:tr>
      <w:tr>
        <w:trPr>
          <w:trHeight w:val="263" w:hRule="exact"/>
        </w:trPr>
        <w:tc>
          <w:tcPr>
            <w:tcW w:w="424" w:type="dxa"/>
          </w:tcPr>
          <w:p>
            <w:pPr/>
          </w:p>
        </w:tc>
        <w:tc>
          <w:tcPr>
            <w:tcW w:w="6535" w:type="dxa"/>
          </w:tcPr>
          <w:p>
            <w:pPr>
              <w:pStyle w:val="TableParagraph"/>
              <w:spacing w:before="18"/>
              <w:ind w:left="158"/>
              <w:jc w:val="left"/>
              <w:rPr>
                <w:sz w:val="18"/>
              </w:rPr>
            </w:pPr>
            <w:r>
              <w:rPr>
                <w:sz w:val="18"/>
              </w:rPr>
              <w:t>Other income</w:t>
            </w:r>
          </w:p>
        </w:tc>
        <w:tc>
          <w:tcPr>
            <w:tcW w:w="1409" w:type="dxa"/>
            <w:tcBorders>
              <w:bottom w:val="single" w:sz="0" w:space="0" w:color="000000"/>
            </w:tcBorders>
          </w:tcPr>
          <w:p>
            <w:pPr>
              <w:pStyle w:val="TableParagraph"/>
              <w:spacing w:before="19"/>
              <w:ind w:right="198"/>
              <w:rPr>
                <w:b/>
                <w:sz w:val="18"/>
              </w:rPr>
            </w:pPr>
            <w:r>
              <w:rPr>
                <w:b/>
                <w:w w:val="95"/>
                <w:sz w:val="18"/>
              </w:rPr>
              <w:t>305,801</w:t>
            </w:r>
          </w:p>
        </w:tc>
        <w:tc>
          <w:tcPr>
            <w:tcW w:w="1186" w:type="dxa"/>
            <w:tcBorders>
              <w:bottom w:val="single" w:sz="0" w:space="0" w:color="000000"/>
            </w:tcBorders>
          </w:tcPr>
          <w:p>
            <w:pPr>
              <w:pStyle w:val="TableParagraph"/>
              <w:spacing w:before="19"/>
              <w:ind w:right="85"/>
              <w:rPr>
                <w:sz w:val="18"/>
              </w:rPr>
            </w:pPr>
            <w:r>
              <w:rPr>
                <w:w w:val="95"/>
                <w:sz w:val="18"/>
              </w:rPr>
              <w:t>138,410</w:t>
            </w:r>
          </w:p>
        </w:tc>
      </w:tr>
      <w:tr>
        <w:trPr>
          <w:trHeight w:val="338" w:hRule="exact"/>
        </w:trPr>
        <w:tc>
          <w:tcPr>
            <w:tcW w:w="424" w:type="dxa"/>
          </w:tcPr>
          <w:p>
            <w:pPr/>
          </w:p>
        </w:tc>
        <w:tc>
          <w:tcPr>
            <w:tcW w:w="6535" w:type="dxa"/>
          </w:tcPr>
          <w:p>
            <w:pPr>
              <w:pStyle w:val="TableParagraph"/>
              <w:spacing w:before="123"/>
              <w:ind w:left="158"/>
              <w:jc w:val="left"/>
              <w:rPr>
                <w:b/>
                <w:sz w:val="18"/>
              </w:rPr>
            </w:pPr>
            <w:r>
              <w:rPr>
                <w:b/>
                <w:sz w:val="18"/>
              </w:rPr>
              <w:t>Total other revenue</w:t>
            </w:r>
          </w:p>
        </w:tc>
        <w:tc>
          <w:tcPr>
            <w:tcW w:w="1409" w:type="dxa"/>
            <w:tcBorders>
              <w:top w:val="single" w:sz="0" w:space="0" w:color="000000"/>
              <w:bottom w:val="single" w:sz="0" w:space="0" w:color="000000"/>
            </w:tcBorders>
          </w:tcPr>
          <w:p>
            <w:pPr>
              <w:pStyle w:val="TableParagraph"/>
              <w:spacing w:before="122"/>
              <w:ind w:right="198"/>
              <w:rPr>
                <w:b/>
                <w:sz w:val="18"/>
              </w:rPr>
            </w:pPr>
            <w:r>
              <w:rPr>
                <w:b/>
                <w:w w:val="95"/>
                <w:sz w:val="18"/>
              </w:rPr>
              <w:t>329,105</w:t>
            </w:r>
          </w:p>
        </w:tc>
        <w:tc>
          <w:tcPr>
            <w:tcW w:w="1186" w:type="dxa"/>
            <w:tcBorders>
              <w:top w:val="single" w:sz="0" w:space="0" w:color="000000"/>
              <w:bottom w:val="single" w:sz="0" w:space="0" w:color="000000"/>
            </w:tcBorders>
          </w:tcPr>
          <w:p>
            <w:pPr>
              <w:pStyle w:val="TableParagraph"/>
              <w:spacing w:before="122"/>
              <w:ind w:right="85"/>
              <w:rPr>
                <w:sz w:val="18"/>
              </w:rPr>
            </w:pPr>
            <w:r>
              <w:rPr>
                <w:w w:val="95"/>
                <w:sz w:val="18"/>
              </w:rPr>
              <w:t>307,378</w:t>
            </w:r>
          </w:p>
        </w:tc>
      </w:tr>
    </w:tbl>
    <w:p>
      <w:pPr>
        <w:spacing w:after="0"/>
        <w:rPr>
          <w:sz w:val="18"/>
        </w:rPr>
        <w:sectPr>
          <w:headerReference w:type="default" r:id="rId82"/>
          <w:footerReference w:type="default" r:id="rId83"/>
          <w:pgSz w:w="12750" w:h="17680"/>
          <w:pgMar w:header="0" w:footer="867" w:top="1880" w:bottom="1060" w:left="0" w:right="0"/>
          <w:pgNumType w:start="130"/>
        </w:sectPr>
      </w:pPr>
    </w:p>
    <w:p>
      <w:pPr>
        <w:pStyle w:val="BodyText"/>
        <w:spacing w:before="2"/>
        <w:rPr>
          <w:b/>
          <w:sz w:val="24"/>
        </w:rPr>
      </w:pPr>
      <w:r>
        <w:rPr/>
        <w:drawing>
          <wp:anchor distT="0" distB="0" distL="0" distR="0" allowOverlap="1" layoutInCell="1" locked="0" behindDoc="0" simplePos="0" relativeHeight="9184">
            <wp:simplePos x="0" y="0"/>
            <wp:positionH relativeFrom="page">
              <wp:posOffset>-1587</wp:posOffset>
            </wp:positionH>
            <wp:positionV relativeFrom="page">
              <wp:posOffset>5534342</wp:posOffset>
            </wp:positionV>
            <wp:extent cx="135159" cy="154019"/>
            <wp:effectExtent l="0" t="0" r="0" b="0"/>
            <wp:wrapNone/>
            <wp:docPr id="613" name="image13.png" descr=""/>
            <wp:cNvGraphicFramePr>
              <a:graphicFrameLocks noChangeAspect="1"/>
            </wp:cNvGraphicFramePr>
            <a:graphic>
              <a:graphicData uri="http://schemas.openxmlformats.org/drawingml/2006/picture">
                <pic:pic>
                  <pic:nvPicPr>
                    <pic:cNvPr id="614" name="image13.png"/>
                    <pic:cNvPicPr/>
                  </pic:nvPicPr>
                  <pic:blipFill>
                    <a:blip r:embed="rId18" cstate="print"/>
                    <a:stretch>
                      <a:fillRect/>
                    </a:stretch>
                  </pic:blipFill>
                  <pic:spPr>
                    <a:xfrm>
                      <a:off x="0" y="0"/>
                      <a:ext cx="135159" cy="154019"/>
                    </a:xfrm>
                    <a:prstGeom prst="rect">
                      <a:avLst/>
                    </a:prstGeom>
                  </pic:spPr>
                </pic:pic>
              </a:graphicData>
            </a:graphic>
          </wp:anchor>
        </w:drawing>
      </w:r>
      <w:r>
        <w:rPr/>
        <w:drawing>
          <wp:anchor distT="0" distB="0" distL="0" distR="0" allowOverlap="1" layoutInCell="1" locked="0" behindDoc="0" simplePos="0" relativeHeight="9208">
            <wp:simplePos x="0" y="0"/>
            <wp:positionH relativeFrom="page">
              <wp:posOffset>7958429</wp:posOffset>
            </wp:positionH>
            <wp:positionV relativeFrom="page">
              <wp:posOffset>5534342</wp:posOffset>
            </wp:positionV>
            <wp:extent cx="135953" cy="155575"/>
            <wp:effectExtent l="0" t="0" r="0" b="0"/>
            <wp:wrapNone/>
            <wp:docPr id="615" name="image15.png" descr=""/>
            <wp:cNvGraphicFramePr>
              <a:graphicFrameLocks noChangeAspect="1"/>
            </wp:cNvGraphicFramePr>
            <a:graphic>
              <a:graphicData uri="http://schemas.openxmlformats.org/drawingml/2006/picture">
                <pic:pic>
                  <pic:nvPicPr>
                    <pic:cNvPr id="616" name="image15.png"/>
                    <pic:cNvPicPr/>
                  </pic:nvPicPr>
                  <pic:blipFill>
                    <a:blip r:embed="rId20" cstate="print"/>
                    <a:stretch>
                      <a:fillRect/>
                    </a:stretch>
                  </pic:blipFill>
                  <pic:spPr>
                    <a:xfrm>
                      <a:off x="0" y="0"/>
                      <a:ext cx="135953" cy="155575"/>
                    </a:xfrm>
                    <a:prstGeom prst="rect">
                      <a:avLst/>
                    </a:prstGeom>
                  </pic:spPr>
                </pic:pic>
              </a:graphicData>
            </a:graphic>
          </wp:anchor>
        </w:drawing>
      </w:r>
    </w:p>
    <w:p>
      <w:pPr>
        <w:spacing w:before="64"/>
        <w:ind w:left="1428" w:right="0" w:firstLine="0"/>
        <w:jc w:val="left"/>
        <w:rPr>
          <w:b/>
          <w:sz w:val="28"/>
        </w:rPr>
      </w:pPr>
      <w:r>
        <w:rPr>
          <w:b/>
          <w:sz w:val="28"/>
        </w:rPr>
        <w:t>Notes to the Financial Statements</w:t>
      </w:r>
    </w:p>
    <w:p>
      <w:pPr>
        <w:spacing w:before="57"/>
        <w:ind w:left="1428" w:right="0" w:firstLine="0"/>
        <w:jc w:val="left"/>
        <w:rPr>
          <w:b/>
          <w:sz w:val="22"/>
        </w:rPr>
      </w:pPr>
      <w:bookmarkStart w:name="15 Expenses" w:id="242"/>
      <w:bookmarkEnd w:id="242"/>
      <w:r>
        <w:rPr/>
      </w:r>
      <w:r>
        <w:rPr>
          <w:b/>
          <w:sz w:val="22"/>
        </w:rPr>
        <w:t>For the Year Ended 31 December 2016</w:t>
      </w:r>
    </w:p>
    <w:p>
      <w:pPr>
        <w:pStyle w:val="BodyText"/>
        <w:rPr>
          <w:b/>
          <w:sz w:val="20"/>
        </w:rPr>
      </w:pPr>
    </w:p>
    <w:p>
      <w:pPr>
        <w:pStyle w:val="BodyText"/>
        <w:rPr>
          <w:b/>
          <w:sz w:val="20"/>
        </w:rPr>
      </w:pPr>
    </w:p>
    <w:p>
      <w:pPr>
        <w:pStyle w:val="BodyText"/>
        <w:spacing w:before="3"/>
        <w:rPr>
          <w:b/>
          <w:sz w:val="11"/>
        </w:rPr>
      </w:pPr>
    </w:p>
    <w:tbl>
      <w:tblPr>
        <w:tblW w:w="0" w:type="auto"/>
        <w:jc w:val="left"/>
        <w:tblInd w:w="139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33"/>
        <w:gridCol w:w="6958"/>
        <w:gridCol w:w="1449"/>
        <w:gridCol w:w="1215"/>
      </w:tblGrid>
      <w:tr>
        <w:trPr>
          <w:trHeight w:val="567" w:hRule="exact"/>
        </w:trPr>
        <w:tc>
          <w:tcPr>
            <w:tcW w:w="333" w:type="dxa"/>
          </w:tcPr>
          <w:p>
            <w:pPr>
              <w:pStyle w:val="TableParagraph"/>
              <w:spacing w:before="77"/>
              <w:ind w:left="35"/>
              <w:jc w:val="left"/>
              <w:rPr>
                <w:b/>
                <w:sz w:val="18"/>
              </w:rPr>
            </w:pPr>
            <w:r>
              <w:rPr>
                <w:b/>
                <w:sz w:val="18"/>
              </w:rPr>
              <w:t>15</w:t>
            </w:r>
          </w:p>
        </w:tc>
        <w:tc>
          <w:tcPr>
            <w:tcW w:w="6958" w:type="dxa"/>
          </w:tcPr>
          <w:p>
            <w:pPr>
              <w:pStyle w:val="TableParagraph"/>
              <w:spacing w:before="77"/>
              <w:ind w:left="98"/>
              <w:jc w:val="left"/>
              <w:rPr>
                <w:b/>
                <w:sz w:val="18"/>
              </w:rPr>
            </w:pPr>
            <w:r>
              <w:rPr>
                <w:b/>
                <w:sz w:val="18"/>
              </w:rPr>
              <w:t>Expenses</w:t>
            </w:r>
          </w:p>
        </w:tc>
        <w:tc>
          <w:tcPr>
            <w:tcW w:w="1449" w:type="dxa"/>
          </w:tcPr>
          <w:p>
            <w:pPr>
              <w:pStyle w:val="TableParagraph"/>
              <w:jc w:val="left"/>
              <w:rPr>
                <w:b/>
                <w:sz w:val="18"/>
              </w:rPr>
            </w:pPr>
          </w:p>
          <w:p>
            <w:pPr>
              <w:pStyle w:val="TableParagraph"/>
              <w:spacing w:before="110"/>
              <w:ind w:left="454"/>
              <w:jc w:val="left"/>
              <w:rPr>
                <w:b/>
                <w:sz w:val="18"/>
              </w:rPr>
            </w:pPr>
            <w:r>
              <w:rPr>
                <w:b/>
                <w:sz w:val="18"/>
              </w:rPr>
              <w:t>2016</w:t>
            </w:r>
          </w:p>
        </w:tc>
        <w:tc>
          <w:tcPr>
            <w:tcW w:w="1215" w:type="dxa"/>
          </w:tcPr>
          <w:p>
            <w:pPr>
              <w:pStyle w:val="TableParagraph"/>
              <w:jc w:val="left"/>
              <w:rPr>
                <w:b/>
                <w:sz w:val="18"/>
              </w:rPr>
            </w:pPr>
          </w:p>
          <w:p>
            <w:pPr>
              <w:pStyle w:val="TableParagraph"/>
              <w:spacing w:before="110"/>
              <w:ind w:left="323"/>
              <w:jc w:val="left"/>
              <w:rPr>
                <w:b/>
                <w:sz w:val="18"/>
              </w:rPr>
            </w:pPr>
            <w:r>
              <w:rPr>
                <w:b/>
                <w:sz w:val="18"/>
              </w:rPr>
              <w:t>2015</w:t>
            </w:r>
          </w:p>
        </w:tc>
      </w:tr>
      <w:tr>
        <w:trPr>
          <w:trHeight w:val="313" w:hRule="exact"/>
        </w:trPr>
        <w:tc>
          <w:tcPr>
            <w:tcW w:w="333" w:type="dxa"/>
          </w:tcPr>
          <w:p>
            <w:pPr/>
          </w:p>
        </w:tc>
        <w:tc>
          <w:tcPr>
            <w:tcW w:w="6958" w:type="dxa"/>
          </w:tcPr>
          <w:p>
            <w:pPr/>
          </w:p>
        </w:tc>
        <w:tc>
          <w:tcPr>
            <w:tcW w:w="1449" w:type="dxa"/>
          </w:tcPr>
          <w:p>
            <w:pPr>
              <w:pStyle w:val="TableParagraph"/>
              <w:spacing w:before="24"/>
              <w:ind w:right="137"/>
              <w:jc w:val="center"/>
              <w:rPr>
                <w:b/>
                <w:sz w:val="18"/>
              </w:rPr>
            </w:pPr>
            <w:r>
              <w:rPr>
                <w:b/>
                <w:w w:val="99"/>
                <w:sz w:val="18"/>
              </w:rPr>
              <w:t>$</w:t>
            </w:r>
          </w:p>
        </w:tc>
        <w:tc>
          <w:tcPr>
            <w:tcW w:w="1215" w:type="dxa"/>
          </w:tcPr>
          <w:p>
            <w:pPr>
              <w:pStyle w:val="TableParagraph"/>
              <w:spacing w:before="24"/>
              <w:ind w:right="166"/>
              <w:jc w:val="center"/>
              <w:rPr>
                <w:b/>
                <w:sz w:val="18"/>
              </w:rPr>
            </w:pPr>
            <w:r>
              <w:rPr>
                <w:b/>
                <w:w w:val="99"/>
                <w:sz w:val="18"/>
              </w:rPr>
              <w:t>$</w:t>
            </w:r>
          </w:p>
        </w:tc>
      </w:tr>
      <w:tr>
        <w:trPr>
          <w:trHeight w:val="544" w:hRule="exact"/>
        </w:trPr>
        <w:tc>
          <w:tcPr>
            <w:tcW w:w="333" w:type="dxa"/>
          </w:tcPr>
          <w:p>
            <w:pPr/>
          </w:p>
        </w:tc>
        <w:tc>
          <w:tcPr>
            <w:tcW w:w="6958" w:type="dxa"/>
          </w:tcPr>
          <w:p>
            <w:pPr>
              <w:pStyle w:val="TableParagraph"/>
              <w:spacing w:before="63"/>
              <w:ind w:left="126"/>
              <w:jc w:val="left"/>
              <w:rPr>
                <w:b/>
                <w:sz w:val="18"/>
              </w:rPr>
            </w:pPr>
            <w:r>
              <w:rPr>
                <w:b/>
                <w:sz w:val="18"/>
              </w:rPr>
              <w:t>Depreciation and Amortisation</w:t>
            </w:r>
          </w:p>
          <w:p>
            <w:pPr>
              <w:pStyle w:val="TableParagraph"/>
              <w:spacing w:before="29"/>
              <w:ind w:left="126"/>
              <w:jc w:val="left"/>
              <w:rPr>
                <w:sz w:val="18"/>
              </w:rPr>
            </w:pPr>
            <w:r>
              <w:rPr>
                <w:sz w:val="18"/>
              </w:rPr>
              <w:t>Leasehold improvements</w:t>
            </w:r>
          </w:p>
        </w:tc>
        <w:tc>
          <w:tcPr>
            <w:tcW w:w="1449" w:type="dxa"/>
          </w:tcPr>
          <w:p>
            <w:pPr>
              <w:pStyle w:val="TableParagraph"/>
              <w:spacing w:before="11"/>
              <w:jc w:val="left"/>
              <w:rPr>
                <w:b/>
                <w:sz w:val="25"/>
              </w:rPr>
            </w:pPr>
          </w:p>
          <w:p>
            <w:pPr>
              <w:pStyle w:val="TableParagraph"/>
              <w:ind w:right="226"/>
              <w:rPr>
                <w:b/>
                <w:sz w:val="18"/>
              </w:rPr>
            </w:pPr>
            <w:r>
              <w:rPr>
                <w:b/>
                <w:w w:val="95"/>
                <w:sz w:val="18"/>
              </w:rPr>
              <w:t>1,025,518</w:t>
            </w:r>
          </w:p>
        </w:tc>
        <w:tc>
          <w:tcPr>
            <w:tcW w:w="1215" w:type="dxa"/>
          </w:tcPr>
          <w:p>
            <w:pPr>
              <w:pStyle w:val="TableParagraph"/>
              <w:spacing w:before="11"/>
              <w:jc w:val="left"/>
              <w:rPr>
                <w:b/>
                <w:sz w:val="25"/>
              </w:rPr>
            </w:pPr>
          </w:p>
          <w:p>
            <w:pPr>
              <w:pStyle w:val="TableParagraph"/>
              <w:ind w:right="86"/>
              <w:rPr>
                <w:sz w:val="18"/>
              </w:rPr>
            </w:pPr>
            <w:r>
              <w:rPr>
                <w:w w:val="95"/>
                <w:sz w:val="18"/>
              </w:rPr>
              <w:t>478,345</w:t>
            </w:r>
          </w:p>
        </w:tc>
      </w:tr>
      <w:tr>
        <w:trPr>
          <w:trHeight w:val="264" w:hRule="exact"/>
        </w:trPr>
        <w:tc>
          <w:tcPr>
            <w:tcW w:w="333" w:type="dxa"/>
          </w:tcPr>
          <w:p>
            <w:pPr/>
          </w:p>
        </w:tc>
        <w:tc>
          <w:tcPr>
            <w:tcW w:w="6958" w:type="dxa"/>
          </w:tcPr>
          <w:p>
            <w:pPr>
              <w:pStyle w:val="TableParagraph"/>
              <w:spacing w:before="19"/>
              <w:ind w:left="126"/>
              <w:jc w:val="left"/>
              <w:rPr>
                <w:sz w:val="18"/>
              </w:rPr>
            </w:pPr>
            <w:r>
              <w:rPr>
                <w:sz w:val="18"/>
              </w:rPr>
              <w:t>Office equipment</w:t>
            </w:r>
          </w:p>
        </w:tc>
        <w:tc>
          <w:tcPr>
            <w:tcW w:w="1449" w:type="dxa"/>
          </w:tcPr>
          <w:p>
            <w:pPr>
              <w:pStyle w:val="TableParagraph"/>
              <w:spacing w:before="18"/>
              <w:ind w:right="226"/>
              <w:rPr>
                <w:b/>
                <w:sz w:val="18"/>
              </w:rPr>
            </w:pPr>
            <w:r>
              <w:rPr>
                <w:b/>
                <w:w w:val="95"/>
                <w:sz w:val="18"/>
              </w:rPr>
              <w:t>100,166</w:t>
            </w:r>
          </w:p>
        </w:tc>
        <w:tc>
          <w:tcPr>
            <w:tcW w:w="1215" w:type="dxa"/>
          </w:tcPr>
          <w:p>
            <w:pPr>
              <w:pStyle w:val="TableParagraph"/>
              <w:spacing w:before="18"/>
              <w:ind w:right="86"/>
              <w:rPr>
                <w:sz w:val="18"/>
              </w:rPr>
            </w:pPr>
            <w:r>
              <w:rPr>
                <w:w w:val="95"/>
                <w:sz w:val="18"/>
              </w:rPr>
              <w:t>92,427</w:t>
            </w:r>
          </w:p>
        </w:tc>
      </w:tr>
      <w:tr>
        <w:trPr>
          <w:trHeight w:val="262" w:hRule="exact"/>
        </w:trPr>
        <w:tc>
          <w:tcPr>
            <w:tcW w:w="333" w:type="dxa"/>
          </w:tcPr>
          <w:p>
            <w:pPr/>
          </w:p>
        </w:tc>
        <w:tc>
          <w:tcPr>
            <w:tcW w:w="6958" w:type="dxa"/>
          </w:tcPr>
          <w:p>
            <w:pPr>
              <w:pStyle w:val="TableParagraph"/>
              <w:spacing w:before="19"/>
              <w:ind w:left="126"/>
              <w:jc w:val="left"/>
              <w:rPr>
                <w:sz w:val="18"/>
              </w:rPr>
            </w:pPr>
            <w:r>
              <w:rPr>
                <w:sz w:val="18"/>
              </w:rPr>
              <w:t>Intangible assets</w:t>
            </w:r>
          </w:p>
        </w:tc>
        <w:tc>
          <w:tcPr>
            <w:tcW w:w="1449" w:type="dxa"/>
            <w:tcBorders>
              <w:bottom w:val="single" w:sz="0" w:space="0" w:color="000000"/>
            </w:tcBorders>
          </w:tcPr>
          <w:p>
            <w:pPr>
              <w:pStyle w:val="TableParagraph"/>
              <w:spacing w:before="18"/>
              <w:ind w:right="226"/>
              <w:rPr>
                <w:b/>
                <w:sz w:val="18"/>
              </w:rPr>
            </w:pPr>
            <w:r>
              <w:rPr>
                <w:b/>
                <w:w w:val="95"/>
                <w:sz w:val="18"/>
              </w:rPr>
              <w:t>109,756</w:t>
            </w:r>
          </w:p>
        </w:tc>
        <w:tc>
          <w:tcPr>
            <w:tcW w:w="1215" w:type="dxa"/>
            <w:tcBorders>
              <w:bottom w:val="single" w:sz="0" w:space="0" w:color="000000"/>
            </w:tcBorders>
          </w:tcPr>
          <w:p>
            <w:pPr>
              <w:pStyle w:val="TableParagraph"/>
              <w:spacing w:before="18"/>
              <w:ind w:right="167"/>
              <w:jc w:val="center"/>
              <w:rPr>
                <w:sz w:val="18"/>
              </w:rPr>
            </w:pPr>
            <w:r>
              <w:rPr>
                <w:w w:val="99"/>
                <w:sz w:val="18"/>
              </w:rPr>
              <w:t>-</w:t>
            </w:r>
          </w:p>
        </w:tc>
      </w:tr>
      <w:tr>
        <w:trPr>
          <w:trHeight w:val="338" w:hRule="exact"/>
        </w:trPr>
        <w:tc>
          <w:tcPr>
            <w:tcW w:w="333" w:type="dxa"/>
          </w:tcPr>
          <w:p>
            <w:pPr/>
          </w:p>
        </w:tc>
        <w:tc>
          <w:tcPr>
            <w:tcW w:w="6958" w:type="dxa"/>
          </w:tcPr>
          <w:p>
            <w:pPr>
              <w:pStyle w:val="TableParagraph"/>
              <w:spacing w:before="95"/>
              <w:ind w:left="126"/>
              <w:jc w:val="left"/>
              <w:rPr>
                <w:sz w:val="18"/>
              </w:rPr>
            </w:pPr>
            <w:r>
              <w:rPr>
                <w:sz w:val="18"/>
              </w:rPr>
              <w:t>Total depreciation and amortisation</w:t>
            </w:r>
          </w:p>
        </w:tc>
        <w:tc>
          <w:tcPr>
            <w:tcW w:w="1449" w:type="dxa"/>
            <w:tcBorders>
              <w:top w:val="single" w:sz="0" w:space="0" w:color="000000"/>
              <w:bottom w:val="single" w:sz="0" w:space="0" w:color="000000"/>
            </w:tcBorders>
          </w:tcPr>
          <w:p>
            <w:pPr>
              <w:pStyle w:val="TableParagraph"/>
              <w:spacing w:before="122"/>
              <w:ind w:right="226"/>
              <w:rPr>
                <w:b/>
                <w:sz w:val="18"/>
              </w:rPr>
            </w:pPr>
            <w:r>
              <w:rPr>
                <w:b/>
                <w:w w:val="95"/>
                <w:sz w:val="18"/>
              </w:rPr>
              <w:t>1,235,440</w:t>
            </w:r>
          </w:p>
        </w:tc>
        <w:tc>
          <w:tcPr>
            <w:tcW w:w="1215" w:type="dxa"/>
            <w:tcBorders>
              <w:top w:val="single" w:sz="0" w:space="0" w:color="000000"/>
              <w:bottom w:val="single" w:sz="0" w:space="0" w:color="000000"/>
            </w:tcBorders>
          </w:tcPr>
          <w:p>
            <w:pPr>
              <w:pStyle w:val="TableParagraph"/>
              <w:spacing w:before="122"/>
              <w:ind w:right="86"/>
              <w:rPr>
                <w:sz w:val="18"/>
              </w:rPr>
            </w:pPr>
            <w:r>
              <w:rPr>
                <w:w w:val="95"/>
                <w:sz w:val="18"/>
              </w:rPr>
              <w:t>570,772</w:t>
            </w:r>
          </w:p>
        </w:tc>
      </w:tr>
      <w:tr>
        <w:trPr>
          <w:trHeight w:val="604" w:hRule="exact"/>
        </w:trPr>
        <w:tc>
          <w:tcPr>
            <w:tcW w:w="333" w:type="dxa"/>
          </w:tcPr>
          <w:p>
            <w:pPr/>
          </w:p>
        </w:tc>
        <w:tc>
          <w:tcPr>
            <w:tcW w:w="6958" w:type="dxa"/>
          </w:tcPr>
          <w:p>
            <w:pPr>
              <w:pStyle w:val="TableParagraph"/>
              <w:spacing w:before="123"/>
              <w:ind w:left="126"/>
              <w:jc w:val="left"/>
              <w:rPr>
                <w:b/>
                <w:sz w:val="18"/>
              </w:rPr>
            </w:pPr>
            <w:r>
              <w:rPr>
                <w:b/>
                <w:sz w:val="18"/>
              </w:rPr>
              <w:t>Employee benefits expense (including academic and non academic)</w:t>
            </w:r>
          </w:p>
          <w:p>
            <w:pPr>
              <w:pStyle w:val="TableParagraph"/>
              <w:spacing w:before="29"/>
              <w:ind w:left="126"/>
              <w:jc w:val="left"/>
              <w:rPr>
                <w:sz w:val="18"/>
              </w:rPr>
            </w:pPr>
            <w:r>
              <w:rPr>
                <w:sz w:val="18"/>
              </w:rPr>
              <w:t>Salaries and wages</w:t>
            </w:r>
          </w:p>
        </w:tc>
        <w:tc>
          <w:tcPr>
            <w:tcW w:w="1449" w:type="dxa"/>
            <w:tcBorders>
              <w:top w:val="single" w:sz="0" w:space="0" w:color="000000"/>
            </w:tcBorders>
          </w:tcPr>
          <w:p>
            <w:pPr>
              <w:pStyle w:val="TableParagraph"/>
              <w:jc w:val="left"/>
              <w:rPr>
                <w:b/>
                <w:sz w:val="18"/>
              </w:rPr>
            </w:pPr>
          </w:p>
          <w:p>
            <w:pPr>
              <w:pStyle w:val="TableParagraph"/>
              <w:spacing w:before="151"/>
              <w:ind w:right="226"/>
              <w:rPr>
                <w:b/>
                <w:sz w:val="18"/>
              </w:rPr>
            </w:pPr>
            <w:r>
              <w:rPr>
                <w:b/>
                <w:w w:val="95"/>
                <w:sz w:val="18"/>
              </w:rPr>
              <w:t>25,416,923</w:t>
            </w:r>
          </w:p>
        </w:tc>
        <w:tc>
          <w:tcPr>
            <w:tcW w:w="1215" w:type="dxa"/>
            <w:tcBorders>
              <w:top w:val="single" w:sz="0" w:space="0" w:color="000000"/>
            </w:tcBorders>
          </w:tcPr>
          <w:p>
            <w:pPr>
              <w:pStyle w:val="TableParagraph"/>
              <w:jc w:val="left"/>
              <w:rPr>
                <w:b/>
                <w:sz w:val="18"/>
              </w:rPr>
            </w:pPr>
          </w:p>
          <w:p>
            <w:pPr>
              <w:pStyle w:val="TableParagraph"/>
              <w:spacing w:before="151"/>
              <w:ind w:right="86"/>
              <w:rPr>
                <w:sz w:val="18"/>
              </w:rPr>
            </w:pPr>
            <w:r>
              <w:rPr>
                <w:w w:val="95"/>
                <w:sz w:val="18"/>
              </w:rPr>
              <w:t>29,018,179</w:t>
            </w:r>
          </w:p>
        </w:tc>
      </w:tr>
      <w:tr>
        <w:trPr>
          <w:trHeight w:val="264" w:hRule="exact"/>
        </w:trPr>
        <w:tc>
          <w:tcPr>
            <w:tcW w:w="333" w:type="dxa"/>
          </w:tcPr>
          <w:p>
            <w:pPr/>
          </w:p>
        </w:tc>
        <w:tc>
          <w:tcPr>
            <w:tcW w:w="6958" w:type="dxa"/>
          </w:tcPr>
          <w:p>
            <w:pPr>
              <w:pStyle w:val="TableParagraph"/>
              <w:spacing w:before="19"/>
              <w:ind w:left="126"/>
              <w:jc w:val="left"/>
              <w:rPr>
                <w:sz w:val="18"/>
              </w:rPr>
            </w:pPr>
            <w:r>
              <w:rPr>
                <w:sz w:val="18"/>
              </w:rPr>
              <w:t>Leave</w:t>
            </w:r>
          </w:p>
        </w:tc>
        <w:tc>
          <w:tcPr>
            <w:tcW w:w="1449" w:type="dxa"/>
          </w:tcPr>
          <w:p>
            <w:pPr>
              <w:pStyle w:val="TableParagraph"/>
              <w:spacing w:before="18"/>
              <w:ind w:right="226"/>
              <w:rPr>
                <w:b/>
                <w:sz w:val="18"/>
              </w:rPr>
            </w:pPr>
            <w:r>
              <w:rPr>
                <w:b/>
                <w:w w:val="95"/>
                <w:sz w:val="18"/>
              </w:rPr>
              <w:t>1,554,063</w:t>
            </w:r>
          </w:p>
        </w:tc>
        <w:tc>
          <w:tcPr>
            <w:tcW w:w="1215" w:type="dxa"/>
          </w:tcPr>
          <w:p>
            <w:pPr>
              <w:pStyle w:val="TableParagraph"/>
              <w:spacing w:before="18"/>
              <w:ind w:right="86"/>
              <w:rPr>
                <w:sz w:val="18"/>
              </w:rPr>
            </w:pPr>
            <w:r>
              <w:rPr>
                <w:w w:val="95"/>
                <w:sz w:val="18"/>
              </w:rPr>
              <w:t>2,435,997</w:t>
            </w:r>
          </w:p>
        </w:tc>
      </w:tr>
      <w:tr>
        <w:trPr>
          <w:trHeight w:val="264" w:hRule="exact"/>
        </w:trPr>
        <w:tc>
          <w:tcPr>
            <w:tcW w:w="333" w:type="dxa"/>
          </w:tcPr>
          <w:p>
            <w:pPr/>
          </w:p>
        </w:tc>
        <w:tc>
          <w:tcPr>
            <w:tcW w:w="6958" w:type="dxa"/>
          </w:tcPr>
          <w:p>
            <w:pPr>
              <w:pStyle w:val="TableParagraph"/>
              <w:spacing w:before="19"/>
              <w:ind w:left="126"/>
              <w:jc w:val="left"/>
              <w:rPr>
                <w:sz w:val="18"/>
              </w:rPr>
            </w:pPr>
            <w:r>
              <w:rPr>
                <w:sz w:val="18"/>
              </w:rPr>
              <w:t>Superannuation</w:t>
            </w:r>
          </w:p>
        </w:tc>
        <w:tc>
          <w:tcPr>
            <w:tcW w:w="1449" w:type="dxa"/>
          </w:tcPr>
          <w:p>
            <w:pPr>
              <w:pStyle w:val="TableParagraph"/>
              <w:spacing w:before="18"/>
              <w:ind w:right="226"/>
              <w:rPr>
                <w:b/>
                <w:sz w:val="18"/>
              </w:rPr>
            </w:pPr>
            <w:r>
              <w:rPr>
                <w:b/>
                <w:w w:val="95"/>
                <w:sz w:val="18"/>
              </w:rPr>
              <w:t>2,561,789</w:t>
            </w:r>
          </w:p>
        </w:tc>
        <w:tc>
          <w:tcPr>
            <w:tcW w:w="1215" w:type="dxa"/>
          </w:tcPr>
          <w:p>
            <w:pPr>
              <w:pStyle w:val="TableParagraph"/>
              <w:spacing w:before="18"/>
              <w:ind w:right="86"/>
              <w:rPr>
                <w:sz w:val="18"/>
              </w:rPr>
            </w:pPr>
            <w:r>
              <w:rPr>
                <w:w w:val="95"/>
                <w:sz w:val="18"/>
              </w:rPr>
              <w:t>3,013,317</w:t>
            </w:r>
          </w:p>
        </w:tc>
      </w:tr>
      <w:tr>
        <w:trPr>
          <w:trHeight w:val="264" w:hRule="exact"/>
        </w:trPr>
        <w:tc>
          <w:tcPr>
            <w:tcW w:w="333" w:type="dxa"/>
          </w:tcPr>
          <w:p>
            <w:pPr/>
          </w:p>
        </w:tc>
        <w:tc>
          <w:tcPr>
            <w:tcW w:w="6958" w:type="dxa"/>
          </w:tcPr>
          <w:p>
            <w:pPr>
              <w:pStyle w:val="TableParagraph"/>
              <w:spacing w:before="19"/>
              <w:ind w:left="126"/>
              <w:jc w:val="left"/>
              <w:rPr>
                <w:sz w:val="18"/>
              </w:rPr>
            </w:pPr>
            <w:r>
              <w:rPr>
                <w:sz w:val="18"/>
              </w:rPr>
              <w:t>Payroll tax</w:t>
            </w:r>
          </w:p>
        </w:tc>
        <w:tc>
          <w:tcPr>
            <w:tcW w:w="1449" w:type="dxa"/>
          </w:tcPr>
          <w:p>
            <w:pPr>
              <w:pStyle w:val="TableParagraph"/>
              <w:spacing w:before="18"/>
              <w:ind w:right="226"/>
              <w:rPr>
                <w:b/>
                <w:sz w:val="18"/>
              </w:rPr>
            </w:pPr>
            <w:r>
              <w:rPr>
                <w:b/>
                <w:w w:val="95"/>
                <w:sz w:val="18"/>
              </w:rPr>
              <w:t>1,691,369</w:t>
            </w:r>
          </w:p>
        </w:tc>
        <w:tc>
          <w:tcPr>
            <w:tcW w:w="1215" w:type="dxa"/>
          </w:tcPr>
          <w:p>
            <w:pPr>
              <w:pStyle w:val="TableParagraph"/>
              <w:spacing w:before="18"/>
              <w:ind w:right="86"/>
              <w:rPr>
                <w:sz w:val="18"/>
              </w:rPr>
            </w:pPr>
            <w:r>
              <w:rPr>
                <w:w w:val="95"/>
                <w:sz w:val="18"/>
              </w:rPr>
              <w:t>1,896,970</w:t>
            </w:r>
          </w:p>
        </w:tc>
      </w:tr>
      <w:tr>
        <w:trPr>
          <w:trHeight w:val="264" w:hRule="exact"/>
        </w:trPr>
        <w:tc>
          <w:tcPr>
            <w:tcW w:w="333" w:type="dxa"/>
          </w:tcPr>
          <w:p>
            <w:pPr/>
          </w:p>
        </w:tc>
        <w:tc>
          <w:tcPr>
            <w:tcW w:w="6958" w:type="dxa"/>
          </w:tcPr>
          <w:p>
            <w:pPr>
              <w:pStyle w:val="TableParagraph"/>
              <w:spacing w:before="19"/>
              <w:ind w:left="126"/>
              <w:jc w:val="left"/>
              <w:rPr>
                <w:sz w:val="18"/>
              </w:rPr>
            </w:pPr>
            <w:r>
              <w:rPr>
                <w:sz w:val="18"/>
              </w:rPr>
              <w:t>Workers compensation</w:t>
            </w:r>
          </w:p>
        </w:tc>
        <w:tc>
          <w:tcPr>
            <w:tcW w:w="1449" w:type="dxa"/>
          </w:tcPr>
          <w:p>
            <w:pPr>
              <w:pStyle w:val="TableParagraph"/>
              <w:spacing w:before="18"/>
              <w:ind w:right="226"/>
              <w:rPr>
                <w:b/>
                <w:sz w:val="18"/>
              </w:rPr>
            </w:pPr>
            <w:r>
              <w:rPr>
                <w:b/>
                <w:w w:val="95"/>
                <w:sz w:val="18"/>
              </w:rPr>
              <w:t>106,206</w:t>
            </w:r>
          </w:p>
        </w:tc>
        <w:tc>
          <w:tcPr>
            <w:tcW w:w="1215" w:type="dxa"/>
          </w:tcPr>
          <w:p>
            <w:pPr>
              <w:pStyle w:val="TableParagraph"/>
              <w:spacing w:before="18"/>
              <w:ind w:right="86"/>
              <w:rPr>
                <w:sz w:val="18"/>
              </w:rPr>
            </w:pPr>
            <w:r>
              <w:rPr>
                <w:w w:val="95"/>
                <w:sz w:val="18"/>
              </w:rPr>
              <w:t>89,186</w:t>
            </w:r>
          </w:p>
        </w:tc>
      </w:tr>
      <w:tr>
        <w:trPr>
          <w:trHeight w:val="262" w:hRule="exact"/>
        </w:trPr>
        <w:tc>
          <w:tcPr>
            <w:tcW w:w="333" w:type="dxa"/>
          </w:tcPr>
          <w:p>
            <w:pPr/>
          </w:p>
        </w:tc>
        <w:tc>
          <w:tcPr>
            <w:tcW w:w="6958" w:type="dxa"/>
          </w:tcPr>
          <w:p>
            <w:pPr>
              <w:pStyle w:val="TableParagraph"/>
              <w:spacing w:before="19"/>
              <w:ind w:left="126"/>
              <w:jc w:val="left"/>
              <w:rPr>
                <w:sz w:val="18"/>
              </w:rPr>
            </w:pPr>
            <w:r>
              <w:rPr>
                <w:sz w:val="18"/>
              </w:rPr>
              <w:t>Redundancies</w:t>
            </w:r>
          </w:p>
        </w:tc>
        <w:tc>
          <w:tcPr>
            <w:tcW w:w="1449" w:type="dxa"/>
            <w:tcBorders>
              <w:bottom w:val="single" w:sz="0" w:space="0" w:color="000000"/>
            </w:tcBorders>
          </w:tcPr>
          <w:p>
            <w:pPr>
              <w:pStyle w:val="TableParagraph"/>
              <w:spacing w:before="18"/>
              <w:ind w:right="226"/>
              <w:rPr>
                <w:b/>
                <w:sz w:val="18"/>
              </w:rPr>
            </w:pPr>
            <w:r>
              <w:rPr>
                <w:b/>
                <w:w w:val="95"/>
                <w:sz w:val="18"/>
              </w:rPr>
              <w:t>504,790</w:t>
            </w:r>
          </w:p>
        </w:tc>
        <w:tc>
          <w:tcPr>
            <w:tcW w:w="1215" w:type="dxa"/>
            <w:tcBorders>
              <w:bottom w:val="single" w:sz="0" w:space="0" w:color="000000"/>
            </w:tcBorders>
          </w:tcPr>
          <w:p>
            <w:pPr>
              <w:pStyle w:val="TableParagraph"/>
              <w:spacing w:before="18"/>
              <w:ind w:right="86"/>
              <w:rPr>
                <w:sz w:val="18"/>
              </w:rPr>
            </w:pPr>
            <w:r>
              <w:rPr>
                <w:w w:val="95"/>
                <w:sz w:val="18"/>
              </w:rPr>
              <w:t>529,030</w:t>
            </w:r>
          </w:p>
        </w:tc>
      </w:tr>
      <w:tr>
        <w:trPr>
          <w:trHeight w:val="338" w:hRule="exact"/>
        </w:trPr>
        <w:tc>
          <w:tcPr>
            <w:tcW w:w="333" w:type="dxa"/>
          </w:tcPr>
          <w:p>
            <w:pPr/>
          </w:p>
        </w:tc>
        <w:tc>
          <w:tcPr>
            <w:tcW w:w="6958" w:type="dxa"/>
          </w:tcPr>
          <w:p>
            <w:pPr/>
          </w:p>
        </w:tc>
        <w:tc>
          <w:tcPr>
            <w:tcW w:w="1449" w:type="dxa"/>
            <w:tcBorders>
              <w:top w:val="single" w:sz="0" w:space="0" w:color="000000"/>
              <w:bottom w:val="single" w:sz="0" w:space="0" w:color="000000"/>
            </w:tcBorders>
          </w:tcPr>
          <w:p>
            <w:pPr>
              <w:pStyle w:val="TableParagraph"/>
              <w:spacing w:before="122"/>
              <w:ind w:right="226"/>
              <w:rPr>
                <w:b/>
                <w:sz w:val="18"/>
              </w:rPr>
            </w:pPr>
            <w:r>
              <w:rPr>
                <w:b/>
                <w:w w:val="95"/>
                <w:sz w:val="18"/>
              </w:rPr>
              <w:t>31,835,140</w:t>
            </w:r>
          </w:p>
        </w:tc>
        <w:tc>
          <w:tcPr>
            <w:tcW w:w="1215" w:type="dxa"/>
            <w:tcBorders>
              <w:top w:val="single" w:sz="0" w:space="0" w:color="000000"/>
              <w:bottom w:val="single" w:sz="0" w:space="0" w:color="000000"/>
            </w:tcBorders>
          </w:tcPr>
          <w:p>
            <w:pPr>
              <w:pStyle w:val="TableParagraph"/>
              <w:spacing w:before="122"/>
              <w:ind w:right="86"/>
              <w:rPr>
                <w:sz w:val="18"/>
              </w:rPr>
            </w:pPr>
            <w:r>
              <w:rPr>
                <w:w w:val="95"/>
                <w:sz w:val="18"/>
              </w:rPr>
              <w:t>36,982,679</w:t>
            </w:r>
          </w:p>
        </w:tc>
      </w:tr>
      <w:tr>
        <w:trPr>
          <w:trHeight w:val="283" w:hRule="exact"/>
        </w:trPr>
        <w:tc>
          <w:tcPr>
            <w:tcW w:w="333" w:type="dxa"/>
          </w:tcPr>
          <w:p>
            <w:pPr/>
          </w:p>
        </w:tc>
        <w:tc>
          <w:tcPr>
            <w:tcW w:w="6958" w:type="dxa"/>
          </w:tcPr>
          <w:p>
            <w:pPr>
              <w:pStyle w:val="TableParagraph"/>
              <w:spacing w:before="38"/>
              <w:ind w:left="126"/>
              <w:jc w:val="left"/>
              <w:rPr>
                <w:b/>
                <w:sz w:val="18"/>
              </w:rPr>
            </w:pPr>
            <w:r>
              <w:rPr>
                <w:b/>
                <w:sz w:val="18"/>
              </w:rPr>
              <w:t>Fees for service</w:t>
            </w:r>
          </w:p>
        </w:tc>
        <w:tc>
          <w:tcPr>
            <w:tcW w:w="1449" w:type="dxa"/>
            <w:tcBorders>
              <w:top w:val="single" w:sz="0" w:space="0" w:color="000000"/>
            </w:tcBorders>
          </w:tcPr>
          <w:p>
            <w:pPr/>
          </w:p>
        </w:tc>
        <w:tc>
          <w:tcPr>
            <w:tcW w:w="1215" w:type="dxa"/>
            <w:tcBorders>
              <w:top w:val="single" w:sz="0" w:space="0" w:color="000000"/>
            </w:tcBorders>
          </w:tcPr>
          <w:p>
            <w:pPr/>
          </w:p>
        </w:tc>
      </w:tr>
      <w:tr>
        <w:trPr>
          <w:trHeight w:val="264" w:hRule="exact"/>
        </w:trPr>
        <w:tc>
          <w:tcPr>
            <w:tcW w:w="333" w:type="dxa"/>
          </w:tcPr>
          <w:p>
            <w:pPr/>
          </w:p>
        </w:tc>
        <w:tc>
          <w:tcPr>
            <w:tcW w:w="6958" w:type="dxa"/>
          </w:tcPr>
          <w:p>
            <w:pPr>
              <w:pStyle w:val="TableParagraph"/>
              <w:spacing w:before="19"/>
              <w:ind w:left="126"/>
              <w:jc w:val="left"/>
              <w:rPr>
                <w:sz w:val="18"/>
              </w:rPr>
            </w:pPr>
            <w:r>
              <w:rPr>
                <w:sz w:val="18"/>
              </w:rPr>
              <w:t>Services from Parent</w:t>
            </w:r>
          </w:p>
        </w:tc>
        <w:tc>
          <w:tcPr>
            <w:tcW w:w="1449" w:type="dxa"/>
          </w:tcPr>
          <w:p>
            <w:pPr>
              <w:pStyle w:val="TableParagraph"/>
              <w:spacing w:before="18"/>
              <w:ind w:right="226"/>
              <w:rPr>
                <w:b/>
                <w:sz w:val="18"/>
              </w:rPr>
            </w:pPr>
            <w:r>
              <w:rPr>
                <w:b/>
                <w:w w:val="95"/>
                <w:sz w:val="18"/>
              </w:rPr>
              <w:t>192,161</w:t>
            </w:r>
          </w:p>
        </w:tc>
        <w:tc>
          <w:tcPr>
            <w:tcW w:w="1215" w:type="dxa"/>
          </w:tcPr>
          <w:p>
            <w:pPr>
              <w:pStyle w:val="TableParagraph"/>
              <w:spacing w:before="18"/>
              <w:ind w:right="86"/>
              <w:rPr>
                <w:sz w:val="18"/>
              </w:rPr>
            </w:pPr>
            <w:r>
              <w:rPr>
                <w:w w:val="95"/>
                <w:sz w:val="18"/>
              </w:rPr>
              <w:t>574,221</w:t>
            </w:r>
          </w:p>
        </w:tc>
      </w:tr>
      <w:tr>
        <w:trPr>
          <w:trHeight w:val="264" w:hRule="exact"/>
        </w:trPr>
        <w:tc>
          <w:tcPr>
            <w:tcW w:w="333" w:type="dxa"/>
          </w:tcPr>
          <w:p>
            <w:pPr/>
          </w:p>
        </w:tc>
        <w:tc>
          <w:tcPr>
            <w:tcW w:w="6958" w:type="dxa"/>
          </w:tcPr>
          <w:p>
            <w:pPr>
              <w:pStyle w:val="TableParagraph"/>
              <w:spacing w:before="19"/>
              <w:ind w:left="126"/>
              <w:jc w:val="left"/>
              <w:rPr>
                <w:sz w:val="18"/>
              </w:rPr>
            </w:pPr>
            <w:r>
              <w:rPr>
                <w:sz w:val="18"/>
              </w:rPr>
              <w:t>Agent's commission</w:t>
            </w:r>
          </w:p>
        </w:tc>
        <w:tc>
          <w:tcPr>
            <w:tcW w:w="1449" w:type="dxa"/>
          </w:tcPr>
          <w:p>
            <w:pPr>
              <w:pStyle w:val="TableParagraph"/>
              <w:spacing w:before="18"/>
              <w:ind w:right="226"/>
              <w:rPr>
                <w:b/>
                <w:sz w:val="18"/>
              </w:rPr>
            </w:pPr>
            <w:r>
              <w:rPr>
                <w:b/>
                <w:w w:val="95"/>
                <w:sz w:val="18"/>
              </w:rPr>
              <w:t>865,336</w:t>
            </w:r>
          </w:p>
        </w:tc>
        <w:tc>
          <w:tcPr>
            <w:tcW w:w="1215" w:type="dxa"/>
          </w:tcPr>
          <w:p>
            <w:pPr>
              <w:pStyle w:val="TableParagraph"/>
              <w:spacing w:before="18"/>
              <w:ind w:right="86"/>
              <w:rPr>
                <w:sz w:val="18"/>
              </w:rPr>
            </w:pPr>
            <w:r>
              <w:rPr>
                <w:w w:val="95"/>
                <w:sz w:val="18"/>
              </w:rPr>
              <w:t>1,393,483</w:t>
            </w:r>
          </w:p>
        </w:tc>
      </w:tr>
      <w:tr>
        <w:trPr>
          <w:trHeight w:val="264" w:hRule="exact"/>
        </w:trPr>
        <w:tc>
          <w:tcPr>
            <w:tcW w:w="333" w:type="dxa"/>
          </w:tcPr>
          <w:p>
            <w:pPr/>
          </w:p>
        </w:tc>
        <w:tc>
          <w:tcPr>
            <w:tcW w:w="6958" w:type="dxa"/>
          </w:tcPr>
          <w:p>
            <w:pPr>
              <w:pStyle w:val="TableParagraph"/>
              <w:spacing w:before="19"/>
              <w:ind w:left="126"/>
              <w:jc w:val="left"/>
              <w:rPr>
                <w:sz w:val="18"/>
              </w:rPr>
            </w:pPr>
            <w:r>
              <w:rPr>
                <w:sz w:val="18"/>
              </w:rPr>
              <w:t>Study tours</w:t>
            </w:r>
          </w:p>
        </w:tc>
        <w:tc>
          <w:tcPr>
            <w:tcW w:w="1449" w:type="dxa"/>
          </w:tcPr>
          <w:p>
            <w:pPr>
              <w:pStyle w:val="TableParagraph"/>
              <w:spacing w:before="18"/>
              <w:ind w:right="226"/>
              <w:rPr>
                <w:b/>
                <w:sz w:val="18"/>
              </w:rPr>
            </w:pPr>
            <w:r>
              <w:rPr>
                <w:b/>
                <w:w w:val="95"/>
                <w:sz w:val="18"/>
              </w:rPr>
              <w:t>65,957</w:t>
            </w:r>
          </w:p>
        </w:tc>
        <w:tc>
          <w:tcPr>
            <w:tcW w:w="1215" w:type="dxa"/>
          </w:tcPr>
          <w:p>
            <w:pPr>
              <w:pStyle w:val="TableParagraph"/>
              <w:spacing w:before="18"/>
              <w:ind w:right="86"/>
              <w:rPr>
                <w:sz w:val="18"/>
              </w:rPr>
            </w:pPr>
            <w:r>
              <w:rPr>
                <w:w w:val="95"/>
                <w:sz w:val="18"/>
              </w:rPr>
              <w:t>14,860</w:t>
            </w:r>
          </w:p>
        </w:tc>
      </w:tr>
      <w:tr>
        <w:trPr>
          <w:trHeight w:val="264" w:hRule="exact"/>
        </w:trPr>
        <w:tc>
          <w:tcPr>
            <w:tcW w:w="333" w:type="dxa"/>
          </w:tcPr>
          <w:p>
            <w:pPr/>
          </w:p>
        </w:tc>
        <w:tc>
          <w:tcPr>
            <w:tcW w:w="6958" w:type="dxa"/>
          </w:tcPr>
          <w:p>
            <w:pPr>
              <w:pStyle w:val="TableParagraph"/>
              <w:spacing w:before="19"/>
              <w:ind w:left="126"/>
              <w:jc w:val="left"/>
              <w:rPr>
                <w:sz w:val="18"/>
              </w:rPr>
            </w:pPr>
            <w:r>
              <w:rPr>
                <w:sz w:val="18"/>
              </w:rPr>
              <w:t>Temporary contract staff</w:t>
            </w:r>
          </w:p>
        </w:tc>
        <w:tc>
          <w:tcPr>
            <w:tcW w:w="1449" w:type="dxa"/>
          </w:tcPr>
          <w:p>
            <w:pPr>
              <w:pStyle w:val="TableParagraph"/>
              <w:spacing w:before="18"/>
              <w:ind w:right="226"/>
              <w:rPr>
                <w:b/>
                <w:sz w:val="18"/>
              </w:rPr>
            </w:pPr>
            <w:r>
              <w:rPr>
                <w:b/>
                <w:w w:val="95"/>
                <w:sz w:val="18"/>
              </w:rPr>
              <w:t>317,097</w:t>
            </w:r>
          </w:p>
        </w:tc>
        <w:tc>
          <w:tcPr>
            <w:tcW w:w="1215" w:type="dxa"/>
          </w:tcPr>
          <w:p>
            <w:pPr>
              <w:pStyle w:val="TableParagraph"/>
              <w:spacing w:before="18"/>
              <w:ind w:right="86"/>
              <w:rPr>
                <w:sz w:val="18"/>
              </w:rPr>
            </w:pPr>
            <w:r>
              <w:rPr>
                <w:w w:val="95"/>
                <w:sz w:val="18"/>
              </w:rPr>
              <w:t>291,468</w:t>
            </w:r>
          </w:p>
        </w:tc>
      </w:tr>
      <w:tr>
        <w:trPr>
          <w:trHeight w:val="264" w:hRule="exact"/>
        </w:trPr>
        <w:tc>
          <w:tcPr>
            <w:tcW w:w="333" w:type="dxa"/>
          </w:tcPr>
          <w:p>
            <w:pPr/>
          </w:p>
        </w:tc>
        <w:tc>
          <w:tcPr>
            <w:tcW w:w="6958" w:type="dxa"/>
          </w:tcPr>
          <w:p>
            <w:pPr>
              <w:pStyle w:val="TableParagraph"/>
              <w:spacing w:before="19"/>
              <w:ind w:left="126"/>
              <w:jc w:val="left"/>
              <w:rPr>
                <w:sz w:val="18"/>
              </w:rPr>
            </w:pPr>
            <w:r>
              <w:rPr>
                <w:sz w:val="18"/>
              </w:rPr>
              <w:t>Consultants</w:t>
            </w:r>
          </w:p>
        </w:tc>
        <w:tc>
          <w:tcPr>
            <w:tcW w:w="1449" w:type="dxa"/>
          </w:tcPr>
          <w:p>
            <w:pPr>
              <w:pStyle w:val="TableParagraph"/>
              <w:spacing w:before="18"/>
              <w:ind w:right="226"/>
              <w:rPr>
                <w:b/>
                <w:sz w:val="18"/>
              </w:rPr>
            </w:pPr>
            <w:r>
              <w:rPr>
                <w:b/>
                <w:w w:val="95"/>
                <w:sz w:val="18"/>
              </w:rPr>
              <w:t>275,877</w:t>
            </w:r>
          </w:p>
        </w:tc>
        <w:tc>
          <w:tcPr>
            <w:tcW w:w="1215" w:type="dxa"/>
          </w:tcPr>
          <w:p>
            <w:pPr>
              <w:pStyle w:val="TableParagraph"/>
              <w:spacing w:before="18"/>
              <w:ind w:right="86"/>
              <w:rPr>
                <w:sz w:val="18"/>
              </w:rPr>
            </w:pPr>
            <w:r>
              <w:rPr>
                <w:w w:val="95"/>
                <w:sz w:val="18"/>
              </w:rPr>
              <w:t>674,075</w:t>
            </w:r>
          </w:p>
        </w:tc>
      </w:tr>
      <w:tr>
        <w:trPr>
          <w:trHeight w:val="262" w:hRule="exact"/>
        </w:trPr>
        <w:tc>
          <w:tcPr>
            <w:tcW w:w="333" w:type="dxa"/>
          </w:tcPr>
          <w:p>
            <w:pPr/>
          </w:p>
        </w:tc>
        <w:tc>
          <w:tcPr>
            <w:tcW w:w="6958" w:type="dxa"/>
          </w:tcPr>
          <w:p>
            <w:pPr>
              <w:pStyle w:val="TableParagraph"/>
              <w:spacing w:before="19"/>
              <w:ind w:left="126"/>
              <w:jc w:val="left"/>
              <w:rPr>
                <w:sz w:val="18"/>
              </w:rPr>
            </w:pPr>
            <w:r>
              <w:rPr>
                <w:sz w:val="18"/>
              </w:rPr>
              <w:t>Other</w:t>
            </w:r>
          </w:p>
        </w:tc>
        <w:tc>
          <w:tcPr>
            <w:tcW w:w="1449" w:type="dxa"/>
            <w:tcBorders>
              <w:bottom w:val="single" w:sz="0" w:space="0" w:color="000000"/>
            </w:tcBorders>
          </w:tcPr>
          <w:p>
            <w:pPr>
              <w:pStyle w:val="TableParagraph"/>
              <w:spacing w:before="18"/>
              <w:ind w:right="226"/>
              <w:rPr>
                <w:b/>
                <w:sz w:val="18"/>
              </w:rPr>
            </w:pPr>
            <w:r>
              <w:rPr>
                <w:b/>
                <w:w w:val="95"/>
                <w:sz w:val="18"/>
              </w:rPr>
              <w:t>1,979,693</w:t>
            </w:r>
          </w:p>
        </w:tc>
        <w:tc>
          <w:tcPr>
            <w:tcW w:w="1215" w:type="dxa"/>
            <w:tcBorders>
              <w:bottom w:val="single" w:sz="0" w:space="0" w:color="000000"/>
            </w:tcBorders>
          </w:tcPr>
          <w:p>
            <w:pPr>
              <w:pStyle w:val="TableParagraph"/>
              <w:spacing w:before="18"/>
              <w:ind w:right="86"/>
              <w:rPr>
                <w:sz w:val="18"/>
              </w:rPr>
            </w:pPr>
            <w:r>
              <w:rPr>
                <w:w w:val="95"/>
                <w:sz w:val="18"/>
              </w:rPr>
              <w:t>2,614,601</w:t>
            </w:r>
          </w:p>
        </w:tc>
      </w:tr>
      <w:tr>
        <w:trPr>
          <w:trHeight w:val="338" w:hRule="exact"/>
        </w:trPr>
        <w:tc>
          <w:tcPr>
            <w:tcW w:w="333" w:type="dxa"/>
          </w:tcPr>
          <w:p>
            <w:pPr/>
          </w:p>
        </w:tc>
        <w:tc>
          <w:tcPr>
            <w:tcW w:w="6958" w:type="dxa"/>
          </w:tcPr>
          <w:p>
            <w:pPr/>
          </w:p>
        </w:tc>
        <w:tc>
          <w:tcPr>
            <w:tcW w:w="1449" w:type="dxa"/>
            <w:tcBorders>
              <w:top w:val="single" w:sz="0" w:space="0" w:color="000000"/>
              <w:bottom w:val="single" w:sz="0" w:space="0" w:color="000000"/>
            </w:tcBorders>
          </w:tcPr>
          <w:p>
            <w:pPr>
              <w:pStyle w:val="TableParagraph"/>
              <w:spacing w:before="122"/>
              <w:ind w:right="226"/>
              <w:rPr>
                <w:b/>
                <w:sz w:val="18"/>
              </w:rPr>
            </w:pPr>
            <w:r>
              <w:rPr>
                <w:b/>
                <w:w w:val="95"/>
                <w:sz w:val="18"/>
              </w:rPr>
              <w:t>3,696,121</w:t>
            </w:r>
          </w:p>
        </w:tc>
        <w:tc>
          <w:tcPr>
            <w:tcW w:w="1215" w:type="dxa"/>
            <w:tcBorders>
              <w:top w:val="single" w:sz="0" w:space="0" w:color="000000"/>
              <w:bottom w:val="single" w:sz="0" w:space="0" w:color="000000"/>
            </w:tcBorders>
          </w:tcPr>
          <w:p>
            <w:pPr>
              <w:pStyle w:val="TableParagraph"/>
              <w:spacing w:before="122"/>
              <w:ind w:right="86"/>
              <w:rPr>
                <w:sz w:val="18"/>
              </w:rPr>
            </w:pPr>
            <w:r>
              <w:rPr>
                <w:w w:val="95"/>
                <w:sz w:val="18"/>
              </w:rPr>
              <w:t>5,562,708</w:t>
            </w:r>
          </w:p>
        </w:tc>
      </w:tr>
      <w:tr>
        <w:trPr>
          <w:trHeight w:val="604" w:hRule="exact"/>
        </w:trPr>
        <w:tc>
          <w:tcPr>
            <w:tcW w:w="333" w:type="dxa"/>
          </w:tcPr>
          <w:p>
            <w:pPr/>
          </w:p>
        </w:tc>
        <w:tc>
          <w:tcPr>
            <w:tcW w:w="6958" w:type="dxa"/>
          </w:tcPr>
          <w:p>
            <w:pPr>
              <w:pStyle w:val="TableParagraph"/>
              <w:spacing w:before="123"/>
              <w:ind w:left="126"/>
              <w:jc w:val="left"/>
              <w:rPr>
                <w:b/>
                <w:sz w:val="18"/>
              </w:rPr>
            </w:pPr>
            <w:r>
              <w:rPr>
                <w:b/>
                <w:sz w:val="18"/>
              </w:rPr>
              <w:t>Occupancy expenses</w:t>
            </w:r>
          </w:p>
          <w:p>
            <w:pPr>
              <w:pStyle w:val="TableParagraph"/>
              <w:spacing w:before="29"/>
              <w:ind w:left="126"/>
              <w:jc w:val="left"/>
              <w:rPr>
                <w:sz w:val="18"/>
              </w:rPr>
            </w:pPr>
            <w:r>
              <w:rPr>
                <w:sz w:val="18"/>
              </w:rPr>
              <w:t>Lease of building teaching space</w:t>
            </w:r>
          </w:p>
        </w:tc>
        <w:tc>
          <w:tcPr>
            <w:tcW w:w="1449" w:type="dxa"/>
            <w:tcBorders>
              <w:top w:val="single" w:sz="0" w:space="0" w:color="000000"/>
            </w:tcBorders>
          </w:tcPr>
          <w:p>
            <w:pPr>
              <w:pStyle w:val="TableParagraph"/>
              <w:jc w:val="left"/>
              <w:rPr>
                <w:b/>
                <w:sz w:val="18"/>
              </w:rPr>
            </w:pPr>
          </w:p>
          <w:p>
            <w:pPr>
              <w:pStyle w:val="TableParagraph"/>
              <w:spacing w:before="151"/>
              <w:ind w:right="226"/>
              <w:rPr>
                <w:b/>
                <w:sz w:val="18"/>
              </w:rPr>
            </w:pPr>
            <w:r>
              <w:rPr>
                <w:b/>
                <w:w w:val="95"/>
                <w:sz w:val="18"/>
              </w:rPr>
              <w:t>250,000</w:t>
            </w:r>
          </w:p>
        </w:tc>
        <w:tc>
          <w:tcPr>
            <w:tcW w:w="1215" w:type="dxa"/>
            <w:tcBorders>
              <w:top w:val="single" w:sz="0" w:space="0" w:color="000000"/>
            </w:tcBorders>
          </w:tcPr>
          <w:p>
            <w:pPr>
              <w:pStyle w:val="TableParagraph"/>
              <w:jc w:val="left"/>
              <w:rPr>
                <w:b/>
                <w:sz w:val="18"/>
              </w:rPr>
            </w:pPr>
          </w:p>
          <w:p>
            <w:pPr>
              <w:pStyle w:val="TableParagraph"/>
              <w:spacing w:before="151"/>
              <w:ind w:right="167"/>
              <w:jc w:val="center"/>
              <w:rPr>
                <w:sz w:val="18"/>
              </w:rPr>
            </w:pPr>
            <w:r>
              <w:rPr>
                <w:w w:val="99"/>
                <w:sz w:val="18"/>
              </w:rPr>
              <w:t>-</w:t>
            </w:r>
          </w:p>
        </w:tc>
      </w:tr>
      <w:tr>
        <w:trPr>
          <w:trHeight w:val="264" w:hRule="exact"/>
        </w:trPr>
        <w:tc>
          <w:tcPr>
            <w:tcW w:w="333" w:type="dxa"/>
          </w:tcPr>
          <w:p>
            <w:pPr/>
          </w:p>
        </w:tc>
        <w:tc>
          <w:tcPr>
            <w:tcW w:w="6958" w:type="dxa"/>
          </w:tcPr>
          <w:p>
            <w:pPr>
              <w:pStyle w:val="TableParagraph"/>
              <w:spacing w:before="19"/>
              <w:ind w:left="126"/>
              <w:jc w:val="left"/>
              <w:rPr>
                <w:sz w:val="18"/>
              </w:rPr>
            </w:pPr>
            <w:r>
              <w:rPr>
                <w:sz w:val="18"/>
              </w:rPr>
              <w:t>Cleaning</w:t>
            </w:r>
          </w:p>
        </w:tc>
        <w:tc>
          <w:tcPr>
            <w:tcW w:w="1449" w:type="dxa"/>
          </w:tcPr>
          <w:p>
            <w:pPr>
              <w:pStyle w:val="TableParagraph"/>
              <w:spacing w:before="18"/>
              <w:ind w:right="226"/>
              <w:rPr>
                <w:b/>
                <w:sz w:val="18"/>
              </w:rPr>
            </w:pPr>
            <w:r>
              <w:rPr>
                <w:b/>
                <w:w w:val="95"/>
                <w:sz w:val="18"/>
              </w:rPr>
              <w:t>33,227</w:t>
            </w:r>
          </w:p>
        </w:tc>
        <w:tc>
          <w:tcPr>
            <w:tcW w:w="1215" w:type="dxa"/>
          </w:tcPr>
          <w:p>
            <w:pPr>
              <w:pStyle w:val="TableParagraph"/>
              <w:spacing w:before="18"/>
              <w:ind w:right="86"/>
              <w:rPr>
                <w:sz w:val="18"/>
              </w:rPr>
            </w:pPr>
            <w:r>
              <w:rPr>
                <w:w w:val="95"/>
                <w:sz w:val="18"/>
              </w:rPr>
              <w:t>100,484</w:t>
            </w:r>
          </w:p>
        </w:tc>
      </w:tr>
      <w:tr>
        <w:trPr>
          <w:trHeight w:val="262" w:hRule="exact"/>
        </w:trPr>
        <w:tc>
          <w:tcPr>
            <w:tcW w:w="333" w:type="dxa"/>
          </w:tcPr>
          <w:p>
            <w:pPr/>
          </w:p>
        </w:tc>
        <w:tc>
          <w:tcPr>
            <w:tcW w:w="6958" w:type="dxa"/>
          </w:tcPr>
          <w:p>
            <w:pPr>
              <w:pStyle w:val="TableParagraph"/>
              <w:spacing w:before="19"/>
              <w:ind w:left="126"/>
              <w:jc w:val="left"/>
              <w:rPr>
                <w:sz w:val="18"/>
              </w:rPr>
            </w:pPr>
            <w:r>
              <w:rPr>
                <w:sz w:val="18"/>
              </w:rPr>
              <w:t>Other</w:t>
            </w:r>
          </w:p>
        </w:tc>
        <w:tc>
          <w:tcPr>
            <w:tcW w:w="1449" w:type="dxa"/>
            <w:tcBorders>
              <w:bottom w:val="single" w:sz="0" w:space="0" w:color="000000"/>
            </w:tcBorders>
          </w:tcPr>
          <w:p>
            <w:pPr>
              <w:pStyle w:val="TableParagraph"/>
              <w:spacing w:before="18"/>
              <w:ind w:right="226"/>
              <w:rPr>
                <w:b/>
                <w:sz w:val="18"/>
              </w:rPr>
            </w:pPr>
            <w:r>
              <w:rPr>
                <w:b/>
                <w:w w:val="95"/>
                <w:sz w:val="18"/>
              </w:rPr>
              <w:t>56,720</w:t>
            </w:r>
          </w:p>
        </w:tc>
        <w:tc>
          <w:tcPr>
            <w:tcW w:w="1215" w:type="dxa"/>
            <w:tcBorders>
              <w:bottom w:val="single" w:sz="0" w:space="0" w:color="000000"/>
            </w:tcBorders>
          </w:tcPr>
          <w:p>
            <w:pPr>
              <w:pStyle w:val="TableParagraph"/>
              <w:spacing w:before="18"/>
              <w:ind w:right="86"/>
              <w:rPr>
                <w:sz w:val="18"/>
              </w:rPr>
            </w:pPr>
            <w:r>
              <w:rPr>
                <w:w w:val="95"/>
                <w:sz w:val="18"/>
              </w:rPr>
              <w:t>83,208</w:t>
            </w:r>
          </w:p>
        </w:tc>
      </w:tr>
      <w:tr>
        <w:trPr>
          <w:trHeight w:val="338" w:hRule="exact"/>
        </w:trPr>
        <w:tc>
          <w:tcPr>
            <w:tcW w:w="333" w:type="dxa"/>
          </w:tcPr>
          <w:p>
            <w:pPr/>
          </w:p>
        </w:tc>
        <w:tc>
          <w:tcPr>
            <w:tcW w:w="6958" w:type="dxa"/>
          </w:tcPr>
          <w:p>
            <w:pPr/>
          </w:p>
        </w:tc>
        <w:tc>
          <w:tcPr>
            <w:tcW w:w="1449" w:type="dxa"/>
            <w:tcBorders>
              <w:top w:val="single" w:sz="0" w:space="0" w:color="000000"/>
              <w:bottom w:val="single" w:sz="0" w:space="0" w:color="000000"/>
            </w:tcBorders>
          </w:tcPr>
          <w:p>
            <w:pPr>
              <w:pStyle w:val="TableParagraph"/>
              <w:spacing w:before="122"/>
              <w:ind w:right="226"/>
              <w:rPr>
                <w:b/>
                <w:sz w:val="18"/>
              </w:rPr>
            </w:pPr>
            <w:r>
              <w:rPr>
                <w:b/>
                <w:w w:val="95"/>
                <w:sz w:val="18"/>
              </w:rPr>
              <w:t>339,947</w:t>
            </w:r>
          </w:p>
        </w:tc>
        <w:tc>
          <w:tcPr>
            <w:tcW w:w="1215" w:type="dxa"/>
            <w:tcBorders>
              <w:top w:val="single" w:sz="0" w:space="0" w:color="000000"/>
              <w:bottom w:val="single" w:sz="0" w:space="0" w:color="000000"/>
            </w:tcBorders>
          </w:tcPr>
          <w:p>
            <w:pPr>
              <w:pStyle w:val="TableParagraph"/>
              <w:spacing w:before="122"/>
              <w:ind w:right="86"/>
              <w:rPr>
                <w:sz w:val="18"/>
              </w:rPr>
            </w:pPr>
            <w:r>
              <w:rPr>
                <w:w w:val="95"/>
                <w:sz w:val="18"/>
              </w:rPr>
              <w:t>183,692</w:t>
            </w:r>
          </w:p>
        </w:tc>
      </w:tr>
      <w:tr>
        <w:trPr>
          <w:trHeight w:val="604" w:hRule="exact"/>
        </w:trPr>
        <w:tc>
          <w:tcPr>
            <w:tcW w:w="333" w:type="dxa"/>
          </w:tcPr>
          <w:p>
            <w:pPr/>
          </w:p>
        </w:tc>
        <w:tc>
          <w:tcPr>
            <w:tcW w:w="6958" w:type="dxa"/>
          </w:tcPr>
          <w:p>
            <w:pPr>
              <w:pStyle w:val="TableParagraph"/>
              <w:spacing w:before="123"/>
              <w:ind w:left="126"/>
              <w:jc w:val="left"/>
              <w:rPr>
                <w:b/>
                <w:sz w:val="18"/>
              </w:rPr>
            </w:pPr>
            <w:r>
              <w:rPr>
                <w:b/>
                <w:sz w:val="18"/>
              </w:rPr>
              <w:t>Other expenses</w:t>
            </w:r>
          </w:p>
          <w:p>
            <w:pPr>
              <w:pStyle w:val="TableParagraph"/>
              <w:spacing w:before="29"/>
              <w:ind w:left="126"/>
              <w:jc w:val="left"/>
              <w:rPr>
                <w:sz w:val="18"/>
              </w:rPr>
            </w:pPr>
            <w:r>
              <w:rPr>
                <w:sz w:val="18"/>
              </w:rPr>
              <w:t>Minor Equipment</w:t>
            </w:r>
          </w:p>
        </w:tc>
        <w:tc>
          <w:tcPr>
            <w:tcW w:w="1449" w:type="dxa"/>
            <w:tcBorders>
              <w:top w:val="single" w:sz="0" w:space="0" w:color="000000"/>
            </w:tcBorders>
          </w:tcPr>
          <w:p>
            <w:pPr>
              <w:pStyle w:val="TableParagraph"/>
              <w:jc w:val="left"/>
              <w:rPr>
                <w:b/>
                <w:sz w:val="18"/>
              </w:rPr>
            </w:pPr>
          </w:p>
          <w:p>
            <w:pPr>
              <w:pStyle w:val="TableParagraph"/>
              <w:spacing w:before="151"/>
              <w:ind w:right="226"/>
              <w:rPr>
                <w:b/>
                <w:sz w:val="18"/>
              </w:rPr>
            </w:pPr>
            <w:r>
              <w:rPr>
                <w:b/>
                <w:w w:val="95"/>
                <w:sz w:val="18"/>
              </w:rPr>
              <w:t>149,466</w:t>
            </w:r>
          </w:p>
        </w:tc>
        <w:tc>
          <w:tcPr>
            <w:tcW w:w="1215" w:type="dxa"/>
            <w:tcBorders>
              <w:top w:val="single" w:sz="0" w:space="0" w:color="000000"/>
            </w:tcBorders>
          </w:tcPr>
          <w:p>
            <w:pPr>
              <w:pStyle w:val="TableParagraph"/>
              <w:jc w:val="left"/>
              <w:rPr>
                <w:b/>
                <w:sz w:val="18"/>
              </w:rPr>
            </w:pPr>
          </w:p>
          <w:p>
            <w:pPr>
              <w:pStyle w:val="TableParagraph"/>
              <w:spacing w:before="151"/>
              <w:ind w:right="86"/>
              <w:rPr>
                <w:sz w:val="18"/>
              </w:rPr>
            </w:pPr>
            <w:r>
              <w:rPr>
                <w:w w:val="95"/>
                <w:sz w:val="18"/>
              </w:rPr>
              <w:t>313,900</w:t>
            </w:r>
          </w:p>
        </w:tc>
      </w:tr>
      <w:tr>
        <w:trPr>
          <w:trHeight w:val="264" w:hRule="exact"/>
        </w:trPr>
        <w:tc>
          <w:tcPr>
            <w:tcW w:w="333" w:type="dxa"/>
          </w:tcPr>
          <w:p>
            <w:pPr/>
          </w:p>
        </w:tc>
        <w:tc>
          <w:tcPr>
            <w:tcW w:w="6958" w:type="dxa"/>
          </w:tcPr>
          <w:p>
            <w:pPr>
              <w:pStyle w:val="TableParagraph"/>
              <w:spacing w:before="19"/>
              <w:ind w:left="126"/>
              <w:jc w:val="left"/>
              <w:rPr>
                <w:sz w:val="18"/>
              </w:rPr>
            </w:pPr>
            <w:r>
              <w:rPr>
                <w:sz w:val="18"/>
              </w:rPr>
              <w:t>Staff recruitment</w:t>
            </w:r>
          </w:p>
        </w:tc>
        <w:tc>
          <w:tcPr>
            <w:tcW w:w="1449" w:type="dxa"/>
          </w:tcPr>
          <w:p>
            <w:pPr>
              <w:pStyle w:val="TableParagraph"/>
              <w:spacing w:before="18"/>
              <w:ind w:right="226"/>
              <w:rPr>
                <w:b/>
                <w:sz w:val="18"/>
              </w:rPr>
            </w:pPr>
            <w:r>
              <w:rPr>
                <w:b/>
                <w:w w:val="95"/>
                <w:sz w:val="18"/>
              </w:rPr>
              <w:t>71,240</w:t>
            </w:r>
          </w:p>
        </w:tc>
        <w:tc>
          <w:tcPr>
            <w:tcW w:w="1215" w:type="dxa"/>
          </w:tcPr>
          <w:p>
            <w:pPr>
              <w:pStyle w:val="TableParagraph"/>
              <w:spacing w:before="18"/>
              <w:ind w:right="86"/>
              <w:rPr>
                <w:sz w:val="18"/>
              </w:rPr>
            </w:pPr>
            <w:r>
              <w:rPr>
                <w:w w:val="95"/>
                <w:sz w:val="18"/>
              </w:rPr>
              <w:t>45,806</w:t>
            </w:r>
          </w:p>
        </w:tc>
      </w:tr>
      <w:tr>
        <w:trPr>
          <w:trHeight w:val="264" w:hRule="exact"/>
        </w:trPr>
        <w:tc>
          <w:tcPr>
            <w:tcW w:w="333" w:type="dxa"/>
          </w:tcPr>
          <w:p>
            <w:pPr/>
          </w:p>
        </w:tc>
        <w:tc>
          <w:tcPr>
            <w:tcW w:w="6958" w:type="dxa"/>
          </w:tcPr>
          <w:p>
            <w:pPr>
              <w:pStyle w:val="TableParagraph"/>
              <w:spacing w:before="19"/>
              <w:ind w:left="126"/>
              <w:jc w:val="left"/>
              <w:rPr>
                <w:sz w:val="18"/>
              </w:rPr>
            </w:pPr>
            <w:r>
              <w:rPr>
                <w:sz w:val="18"/>
              </w:rPr>
              <w:t>Training and seminars</w:t>
            </w:r>
          </w:p>
        </w:tc>
        <w:tc>
          <w:tcPr>
            <w:tcW w:w="1449" w:type="dxa"/>
          </w:tcPr>
          <w:p>
            <w:pPr>
              <w:pStyle w:val="TableParagraph"/>
              <w:spacing w:before="18"/>
              <w:ind w:right="226"/>
              <w:rPr>
                <w:b/>
                <w:sz w:val="18"/>
              </w:rPr>
            </w:pPr>
            <w:r>
              <w:rPr>
                <w:b/>
                <w:w w:val="95"/>
                <w:sz w:val="18"/>
              </w:rPr>
              <w:t>38,050</w:t>
            </w:r>
          </w:p>
        </w:tc>
        <w:tc>
          <w:tcPr>
            <w:tcW w:w="1215" w:type="dxa"/>
          </w:tcPr>
          <w:p>
            <w:pPr>
              <w:pStyle w:val="TableParagraph"/>
              <w:spacing w:before="18"/>
              <w:ind w:right="86"/>
              <w:rPr>
                <w:sz w:val="18"/>
              </w:rPr>
            </w:pPr>
            <w:r>
              <w:rPr>
                <w:w w:val="95"/>
                <w:sz w:val="18"/>
              </w:rPr>
              <w:t>94,793</w:t>
            </w:r>
          </w:p>
        </w:tc>
      </w:tr>
      <w:tr>
        <w:trPr>
          <w:trHeight w:val="264" w:hRule="exact"/>
        </w:trPr>
        <w:tc>
          <w:tcPr>
            <w:tcW w:w="333" w:type="dxa"/>
          </w:tcPr>
          <w:p>
            <w:pPr/>
          </w:p>
        </w:tc>
        <w:tc>
          <w:tcPr>
            <w:tcW w:w="6958" w:type="dxa"/>
          </w:tcPr>
          <w:p>
            <w:pPr>
              <w:pStyle w:val="TableParagraph"/>
              <w:spacing w:before="19"/>
              <w:ind w:left="126"/>
              <w:jc w:val="left"/>
              <w:rPr>
                <w:sz w:val="18"/>
              </w:rPr>
            </w:pPr>
            <w:r>
              <w:rPr>
                <w:sz w:val="18"/>
              </w:rPr>
              <w:t>Conference fees</w:t>
            </w:r>
          </w:p>
        </w:tc>
        <w:tc>
          <w:tcPr>
            <w:tcW w:w="1449" w:type="dxa"/>
          </w:tcPr>
          <w:p>
            <w:pPr>
              <w:pStyle w:val="TableParagraph"/>
              <w:spacing w:before="18"/>
              <w:ind w:right="226"/>
              <w:rPr>
                <w:b/>
                <w:sz w:val="18"/>
              </w:rPr>
            </w:pPr>
            <w:r>
              <w:rPr>
                <w:b/>
                <w:w w:val="95"/>
                <w:sz w:val="18"/>
              </w:rPr>
              <w:t>19,077</w:t>
            </w:r>
          </w:p>
        </w:tc>
        <w:tc>
          <w:tcPr>
            <w:tcW w:w="1215" w:type="dxa"/>
          </w:tcPr>
          <w:p>
            <w:pPr>
              <w:pStyle w:val="TableParagraph"/>
              <w:spacing w:before="18"/>
              <w:ind w:right="86"/>
              <w:rPr>
                <w:sz w:val="18"/>
              </w:rPr>
            </w:pPr>
            <w:r>
              <w:rPr>
                <w:w w:val="95"/>
                <w:sz w:val="18"/>
              </w:rPr>
              <w:t>40,628</w:t>
            </w:r>
          </w:p>
        </w:tc>
      </w:tr>
      <w:tr>
        <w:trPr>
          <w:trHeight w:val="262" w:hRule="exact"/>
        </w:trPr>
        <w:tc>
          <w:tcPr>
            <w:tcW w:w="333" w:type="dxa"/>
          </w:tcPr>
          <w:p>
            <w:pPr/>
          </w:p>
        </w:tc>
        <w:tc>
          <w:tcPr>
            <w:tcW w:w="6958" w:type="dxa"/>
          </w:tcPr>
          <w:p>
            <w:pPr>
              <w:pStyle w:val="TableParagraph"/>
              <w:spacing w:before="19"/>
              <w:ind w:left="126"/>
              <w:jc w:val="left"/>
              <w:rPr>
                <w:sz w:val="18"/>
              </w:rPr>
            </w:pPr>
            <w:r>
              <w:rPr>
                <w:sz w:val="18"/>
              </w:rPr>
              <w:t>Other expenses (See (a) below)</w:t>
            </w:r>
          </w:p>
        </w:tc>
        <w:tc>
          <w:tcPr>
            <w:tcW w:w="1449" w:type="dxa"/>
            <w:tcBorders>
              <w:bottom w:val="single" w:sz="0" w:space="0" w:color="000000"/>
            </w:tcBorders>
          </w:tcPr>
          <w:p>
            <w:pPr>
              <w:pStyle w:val="TableParagraph"/>
              <w:spacing w:before="18"/>
              <w:ind w:right="226"/>
              <w:rPr>
                <w:b/>
                <w:sz w:val="18"/>
              </w:rPr>
            </w:pPr>
            <w:r>
              <w:rPr>
                <w:b/>
                <w:w w:val="95"/>
                <w:sz w:val="18"/>
              </w:rPr>
              <w:t>1,589,987</w:t>
            </w:r>
          </w:p>
        </w:tc>
        <w:tc>
          <w:tcPr>
            <w:tcW w:w="1215" w:type="dxa"/>
            <w:tcBorders>
              <w:bottom w:val="single" w:sz="0" w:space="0" w:color="000000"/>
            </w:tcBorders>
          </w:tcPr>
          <w:p>
            <w:pPr>
              <w:pStyle w:val="TableParagraph"/>
              <w:spacing w:before="18"/>
              <w:ind w:right="86"/>
              <w:rPr>
                <w:sz w:val="18"/>
              </w:rPr>
            </w:pPr>
            <w:r>
              <w:rPr>
                <w:w w:val="95"/>
                <w:sz w:val="18"/>
              </w:rPr>
              <w:t>1,901,985</w:t>
            </w:r>
          </w:p>
        </w:tc>
      </w:tr>
      <w:tr>
        <w:trPr>
          <w:trHeight w:val="338" w:hRule="exact"/>
        </w:trPr>
        <w:tc>
          <w:tcPr>
            <w:tcW w:w="333" w:type="dxa"/>
          </w:tcPr>
          <w:p>
            <w:pPr/>
          </w:p>
        </w:tc>
        <w:tc>
          <w:tcPr>
            <w:tcW w:w="6958" w:type="dxa"/>
          </w:tcPr>
          <w:p>
            <w:pPr/>
          </w:p>
        </w:tc>
        <w:tc>
          <w:tcPr>
            <w:tcW w:w="1449" w:type="dxa"/>
            <w:tcBorders>
              <w:top w:val="single" w:sz="0" w:space="0" w:color="000000"/>
              <w:bottom w:val="single" w:sz="0" w:space="0" w:color="000000"/>
            </w:tcBorders>
          </w:tcPr>
          <w:p>
            <w:pPr>
              <w:pStyle w:val="TableParagraph"/>
              <w:spacing w:before="122"/>
              <w:ind w:right="226"/>
              <w:rPr>
                <w:b/>
                <w:sz w:val="18"/>
              </w:rPr>
            </w:pPr>
            <w:r>
              <w:rPr>
                <w:b/>
                <w:w w:val="95"/>
                <w:sz w:val="18"/>
              </w:rPr>
              <w:t>1,867,820</w:t>
            </w:r>
          </w:p>
        </w:tc>
        <w:tc>
          <w:tcPr>
            <w:tcW w:w="1215" w:type="dxa"/>
            <w:tcBorders>
              <w:top w:val="single" w:sz="0" w:space="0" w:color="000000"/>
              <w:bottom w:val="single" w:sz="0" w:space="0" w:color="000000"/>
            </w:tcBorders>
          </w:tcPr>
          <w:p>
            <w:pPr>
              <w:pStyle w:val="TableParagraph"/>
              <w:spacing w:before="122"/>
              <w:ind w:right="86"/>
              <w:rPr>
                <w:sz w:val="18"/>
              </w:rPr>
            </w:pPr>
            <w:r>
              <w:rPr>
                <w:w w:val="95"/>
                <w:sz w:val="18"/>
              </w:rPr>
              <w:t>2,397,112</w:t>
            </w:r>
          </w:p>
        </w:tc>
      </w:tr>
    </w:tbl>
    <w:p>
      <w:pPr>
        <w:spacing w:after="0"/>
        <w:rPr>
          <w:sz w:val="18"/>
        </w:rPr>
        <w:sectPr>
          <w:pgSz w:w="12750" w:h="17680"/>
          <w:pgMar w:header="0" w:footer="867" w:top="1880" w:bottom="1120" w:left="0" w:right="0"/>
        </w:sectPr>
      </w:pPr>
    </w:p>
    <w:p>
      <w:pPr>
        <w:pStyle w:val="BodyText"/>
        <w:spacing w:before="2"/>
        <w:rPr>
          <w:b/>
          <w:sz w:val="24"/>
        </w:rPr>
      </w:pPr>
    </w:p>
    <w:p>
      <w:pPr>
        <w:spacing w:before="64"/>
        <w:ind w:left="1428" w:right="0" w:firstLine="0"/>
        <w:jc w:val="left"/>
        <w:rPr>
          <w:b/>
          <w:sz w:val="28"/>
        </w:rPr>
      </w:pPr>
      <w:r>
        <w:rPr>
          <w:b/>
          <w:sz w:val="28"/>
        </w:rPr>
        <w:t>Notes to the Financial Statements</w:t>
      </w:r>
    </w:p>
    <w:p>
      <w:pPr>
        <w:spacing w:before="57"/>
        <w:ind w:left="1428" w:right="0" w:firstLine="0"/>
        <w:jc w:val="left"/>
        <w:rPr>
          <w:b/>
          <w:sz w:val="22"/>
        </w:rPr>
      </w:pPr>
      <w:r>
        <w:rPr>
          <w:b/>
          <w:sz w:val="22"/>
        </w:rPr>
        <w:t>For the Year Ended 31 December 2016</w:t>
      </w:r>
    </w:p>
    <w:p>
      <w:pPr>
        <w:pStyle w:val="BodyText"/>
        <w:rPr>
          <w:b/>
          <w:sz w:val="20"/>
        </w:rPr>
      </w:pPr>
    </w:p>
    <w:p>
      <w:pPr>
        <w:pStyle w:val="BodyText"/>
        <w:rPr>
          <w:b/>
          <w:sz w:val="20"/>
        </w:rPr>
      </w:pPr>
    </w:p>
    <w:p>
      <w:pPr>
        <w:pStyle w:val="BodyText"/>
        <w:spacing w:before="3"/>
        <w:rPr>
          <w:b/>
          <w:sz w:val="11"/>
        </w:rPr>
      </w:pPr>
    </w:p>
    <w:tbl>
      <w:tblPr>
        <w:tblW w:w="0" w:type="auto"/>
        <w:jc w:val="left"/>
        <w:tblInd w:w="139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32"/>
        <w:gridCol w:w="6957"/>
        <w:gridCol w:w="1496"/>
        <w:gridCol w:w="1168"/>
      </w:tblGrid>
      <w:tr>
        <w:trPr>
          <w:trHeight w:val="804" w:hRule="exact"/>
        </w:trPr>
        <w:tc>
          <w:tcPr>
            <w:tcW w:w="332" w:type="dxa"/>
          </w:tcPr>
          <w:p>
            <w:pPr>
              <w:pStyle w:val="TableParagraph"/>
              <w:spacing w:before="77"/>
              <w:ind w:left="35"/>
              <w:jc w:val="left"/>
              <w:rPr>
                <w:b/>
                <w:sz w:val="18"/>
              </w:rPr>
            </w:pPr>
            <w:r>
              <w:rPr>
                <w:b/>
                <w:sz w:val="18"/>
              </w:rPr>
              <w:t>15</w:t>
            </w:r>
          </w:p>
        </w:tc>
        <w:tc>
          <w:tcPr>
            <w:tcW w:w="6957" w:type="dxa"/>
          </w:tcPr>
          <w:p>
            <w:pPr>
              <w:pStyle w:val="TableParagraph"/>
              <w:spacing w:before="77"/>
              <w:ind w:left="99"/>
              <w:jc w:val="left"/>
              <w:rPr>
                <w:b/>
                <w:sz w:val="18"/>
              </w:rPr>
            </w:pPr>
            <w:r>
              <w:rPr>
                <w:b/>
                <w:sz w:val="18"/>
              </w:rPr>
              <w:t>Expenses continued</w:t>
            </w:r>
          </w:p>
          <w:p>
            <w:pPr>
              <w:pStyle w:val="TableParagraph"/>
              <w:spacing w:before="11"/>
              <w:jc w:val="left"/>
              <w:rPr>
                <w:b/>
                <w:sz w:val="24"/>
              </w:rPr>
            </w:pPr>
          </w:p>
          <w:p>
            <w:pPr>
              <w:pStyle w:val="TableParagraph"/>
              <w:ind w:left="99"/>
              <w:jc w:val="left"/>
              <w:rPr>
                <w:sz w:val="18"/>
              </w:rPr>
            </w:pPr>
            <w:r>
              <w:rPr>
                <w:sz w:val="18"/>
              </w:rPr>
              <w:t>(a) Other Expenses</w:t>
            </w:r>
          </w:p>
        </w:tc>
        <w:tc>
          <w:tcPr>
            <w:tcW w:w="2664" w:type="dxa"/>
            <w:gridSpan w:val="2"/>
          </w:tcPr>
          <w:p>
            <w:pPr/>
          </w:p>
        </w:tc>
      </w:tr>
      <w:tr>
        <w:trPr>
          <w:trHeight w:val="257" w:hRule="exact"/>
        </w:trPr>
        <w:tc>
          <w:tcPr>
            <w:tcW w:w="332" w:type="dxa"/>
          </w:tcPr>
          <w:p>
            <w:pPr/>
          </w:p>
        </w:tc>
        <w:tc>
          <w:tcPr>
            <w:tcW w:w="6957" w:type="dxa"/>
          </w:tcPr>
          <w:p>
            <w:pPr/>
          </w:p>
        </w:tc>
        <w:tc>
          <w:tcPr>
            <w:tcW w:w="1496" w:type="dxa"/>
          </w:tcPr>
          <w:p>
            <w:pPr>
              <w:pStyle w:val="TableParagraph"/>
              <w:spacing w:before="7"/>
              <w:ind w:left="454"/>
              <w:jc w:val="left"/>
              <w:rPr>
                <w:b/>
                <w:sz w:val="18"/>
              </w:rPr>
            </w:pPr>
            <w:r>
              <w:rPr>
                <w:b/>
                <w:sz w:val="18"/>
              </w:rPr>
              <w:t>2016</w:t>
            </w:r>
          </w:p>
        </w:tc>
        <w:tc>
          <w:tcPr>
            <w:tcW w:w="1168" w:type="dxa"/>
          </w:tcPr>
          <w:p>
            <w:pPr>
              <w:pStyle w:val="TableParagraph"/>
              <w:spacing w:before="7"/>
              <w:ind w:left="275"/>
              <w:jc w:val="left"/>
              <w:rPr>
                <w:b/>
                <w:sz w:val="18"/>
              </w:rPr>
            </w:pPr>
            <w:r>
              <w:rPr>
                <w:b/>
                <w:sz w:val="18"/>
              </w:rPr>
              <w:t>2015</w:t>
            </w:r>
          </w:p>
        </w:tc>
      </w:tr>
      <w:tr>
        <w:trPr>
          <w:trHeight w:val="271" w:hRule="exact"/>
        </w:trPr>
        <w:tc>
          <w:tcPr>
            <w:tcW w:w="332" w:type="dxa"/>
          </w:tcPr>
          <w:p>
            <w:pPr/>
          </w:p>
        </w:tc>
        <w:tc>
          <w:tcPr>
            <w:tcW w:w="6957" w:type="dxa"/>
          </w:tcPr>
          <w:p>
            <w:pPr/>
          </w:p>
        </w:tc>
        <w:tc>
          <w:tcPr>
            <w:tcW w:w="1496" w:type="dxa"/>
          </w:tcPr>
          <w:p>
            <w:pPr>
              <w:pStyle w:val="TableParagraph"/>
              <w:spacing w:before="24"/>
              <w:ind w:right="184"/>
              <w:jc w:val="center"/>
              <w:rPr>
                <w:b/>
                <w:sz w:val="18"/>
              </w:rPr>
            </w:pPr>
            <w:r>
              <w:rPr>
                <w:b/>
                <w:w w:val="99"/>
                <w:sz w:val="18"/>
              </w:rPr>
              <w:t>$</w:t>
            </w:r>
          </w:p>
        </w:tc>
        <w:tc>
          <w:tcPr>
            <w:tcW w:w="1168" w:type="dxa"/>
          </w:tcPr>
          <w:p>
            <w:pPr>
              <w:pStyle w:val="TableParagraph"/>
              <w:spacing w:before="24"/>
              <w:ind w:right="213"/>
              <w:jc w:val="center"/>
              <w:rPr>
                <w:b/>
                <w:sz w:val="18"/>
              </w:rPr>
            </w:pPr>
            <w:r>
              <w:rPr>
                <w:b/>
                <w:w w:val="99"/>
                <w:sz w:val="18"/>
              </w:rPr>
              <w:t>$</w:t>
            </w:r>
          </w:p>
        </w:tc>
      </w:tr>
      <w:tr>
        <w:trPr>
          <w:trHeight w:val="267" w:hRule="exact"/>
        </w:trPr>
        <w:tc>
          <w:tcPr>
            <w:tcW w:w="332" w:type="dxa"/>
          </w:tcPr>
          <w:p>
            <w:pPr/>
          </w:p>
        </w:tc>
        <w:tc>
          <w:tcPr>
            <w:tcW w:w="6957" w:type="dxa"/>
          </w:tcPr>
          <w:p>
            <w:pPr>
              <w:pStyle w:val="TableParagraph"/>
              <w:spacing w:before="22"/>
              <w:ind w:left="126"/>
              <w:jc w:val="left"/>
              <w:rPr>
                <w:sz w:val="18"/>
              </w:rPr>
            </w:pPr>
            <w:r>
              <w:rPr>
                <w:sz w:val="18"/>
              </w:rPr>
              <w:t>Staff travel</w:t>
            </w:r>
          </w:p>
        </w:tc>
        <w:tc>
          <w:tcPr>
            <w:tcW w:w="1496" w:type="dxa"/>
          </w:tcPr>
          <w:p>
            <w:pPr>
              <w:pStyle w:val="TableParagraph"/>
              <w:spacing w:before="21"/>
              <w:ind w:right="273"/>
              <w:rPr>
                <w:b/>
                <w:sz w:val="18"/>
              </w:rPr>
            </w:pPr>
            <w:r>
              <w:rPr>
                <w:b/>
                <w:w w:val="95"/>
                <w:sz w:val="18"/>
              </w:rPr>
              <w:t>125,605</w:t>
            </w:r>
          </w:p>
        </w:tc>
        <w:tc>
          <w:tcPr>
            <w:tcW w:w="1168" w:type="dxa"/>
          </w:tcPr>
          <w:p>
            <w:pPr>
              <w:pStyle w:val="TableParagraph"/>
              <w:spacing w:before="21"/>
              <w:ind w:right="86"/>
              <w:rPr>
                <w:sz w:val="18"/>
              </w:rPr>
            </w:pPr>
            <w:r>
              <w:rPr>
                <w:w w:val="95"/>
                <w:sz w:val="18"/>
              </w:rPr>
              <w:t>307,755</w:t>
            </w:r>
          </w:p>
        </w:tc>
      </w:tr>
      <w:tr>
        <w:trPr>
          <w:trHeight w:val="264" w:hRule="exact"/>
        </w:trPr>
        <w:tc>
          <w:tcPr>
            <w:tcW w:w="332" w:type="dxa"/>
          </w:tcPr>
          <w:p>
            <w:pPr/>
          </w:p>
        </w:tc>
        <w:tc>
          <w:tcPr>
            <w:tcW w:w="6957" w:type="dxa"/>
          </w:tcPr>
          <w:p>
            <w:pPr>
              <w:pStyle w:val="TableParagraph"/>
              <w:spacing w:before="19"/>
              <w:ind w:left="126"/>
              <w:jc w:val="left"/>
              <w:rPr>
                <w:sz w:val="18"/>
              </w:rPr>
            </w:pPr>
            <w:r>
              <w:rPr>
                <w:sz w:val="18"/>
              </w:rPr>
              <w:t>Motor vehicle expenses</w:t>
            </w:r>
          </w:p>
        </w:tc>
        <w:tc>
          <w:tcPr>
            <w:tcW w:w="1496" w:type="dxa"/>
          </w:tcPr>
          <w:p>
            <w:pPr>
              <w:pStyle w:val="TableParagraph"/>
              <w:spacing w:before="18"/>
              <w:ind w:right="273"/>
              <w:rPr>
                <w:b/>
                <w:sz w:val="18"/>
              </w:rPr>
            </w:pPr>
            <w:r>
              <w:rPr>
                <w:b/>
                <w:w w:val="95"/>
                <w:sz w:val="18"/>
              </w:rPr>
              <w:t>139,435</w:t>
            </w:r>
          </w:p>
        </w:tc>
        <w:tc>
          <w:tcPr>
            <w:tcW w:w="1168" w:type="dxa"/>
          </w:tcPr>
          <w:p>
            <w:pPr>
              <w:pStyle w:val="TableParagraph"/>
              <w:spacing w:before="18"/>
              <w:ind w:right="86"/>
              <w:rPr>
                <w:sz w:val="18"/>
              </w:rPr>
            </w:pPr>
            <w:r>
              <w:rPr>
                <w:w w:val="95"/>
                <w:sz w:val="18"/>
              </w:rPr>
              <w:t>184,139</w:t>
            </w:r>
          </w:p>
        </w:tc>
      </w:tr>
      <w:tr>
        <w:trPr>
          <w:trHeight w:val="264" w:hRule="exact"/>
        </w:trPr>
        <w:tc>
          <w:tcPr>
            <w:tcW w:w="332" w:type="dxa"/>
          </w:tcPr>
          <w:p>
            <w:pPr/>
          </w:p>
        </w:tc>
        <w:tc>
          <w:tcPr>
            <w:tcW w:w="6957" w:type="dxa"/>
          </w:tcPr>
          <w:p>
            <w:pPr>
              <w:pStyle w:val="TableParagraph"/>
              <w:spacing w:before="19"/>
              <w:ind w:left="126"/>
              <w:jc w:val="left"/>
              <w:rPr>
                <w:sz w:val="18"/>
              </w:rPr>
            </w:pPr>
            <w:r>
              <w:rPr>
                <w:sz w:val="18"/>
              </w:rPr>
              <w:t>Repairs &amp; maintenance</w:t>
            </w:r>
          </w:p>
        </w:tc>
        <w:tc>
          <w:tcPr>
            <w:tcW w:w="1496" w:type="dxa"/>
          </w:tcPr>
          <w:p>
            <w:pPr>
              <w:pStyle w:val="TableParagraph"/>
              <w:spacing w:before="18"/>
              <w:ind w:right="273"/>
              <w:rPr>
                <w:b/>
                <w:sz w:val="18"/>
              </w:rPr>
            </w:pPr>
            <w:r>
              <w:rPr>
                <w:b/>
                <w:w w:val="95"/>
                <w:sz w:val="18"/>
              </w:rPr>
              <w:t>68,907</w:t>
            </w:r>
          </w:p>
        </w:tc>
        <w:tc>
          <w:tcPr>
            <w:tcW w:w="1168" w:type="dxa"/>
          </w:tcPr>
          <w:p>
            <w:pPr>
              <w:pStyle w:val="TableParagraph"/>
              <w:spacing w:before="18"/>
              <w:ind w:right="86"/>
              <w:rPr>
                <w:sz w:val="18"/>
              </w:rPr>
            </w:pPr>
            <w:r>
              <w:rPr>
                <w:w w:val="95"/>
                <w:sz w:val="18"/>
              </w:rPr>
              <w:t>112,778</w:t>
            </w:r>
          </w:p>
        </w:tc>
      </w:tr>
      <w:tr>
        <w:trPr>
          <w:trHeight w:val="264" w:hRule="exact"/>
        </w:trPr>
        <w:tc>
          <w:tcPr>
            <w:tcW w:w="332" w:type="dxa"/>
          </w:tcPr>
          <w:p>
            <w:pPr/>
          </w:p>
        </w:tc>
        <w:tc>
          <w:tcPr>
            <w:tcW w:w="6957" w:type="dxa"/>
          </w:tcPr>
          <w:p>
            <w:pPr>
              <w:pStyle w:val="TableParagraph"/>
              <w:spacing w:before="19"/>
              <w:ind w:left="126"/>
              <w:jc w:val="left"/>
              <w:rPr>
                <w:sz w:val="18"/>
              </w:rPr>
            </w:pPr>
            <w:r>
              <w:rPr>
                <w:sz w:val="18"/>
              </w:rPr>
              <w:t>FBT on motor vehicles</w:t>
            </w:r>
          </w:p>
        </w:tc>
        <w:tc>
          <w:tcPr>
            <w:tcW w:w="1496" w:type="dxa"/>
          </w:tcPr>
          <w:p>
            <w:pPr>
              <w:pStyle w:val="TableParagraph"/>
              <w:spacing w:before="18"/>
              <w:ind w:right="273"/>
              <w:rPr>
                <w:b/>
                <w:sz w:val="18"/>
              </w:rPr>
            </w:pPr>
            <w:r>
              <w:rPr>
                <w:b/>
                <w:sz w:val="18"/>
              </w:rPr>
              <w:t>2,544</w:t>
            </w:r>
          </w:p>
        </w:tc>
        <w:tc>
          <w:tcPr>
            <w:tcW w:w="1168" w:type="dxa"/>
          </w:tcPr>
          <w:p>
            <w:pPr>
              <w:pStyle w:val="TableParagraph"/>
              <w:spacing w:before="18"/>
              <w:ind w:right="86"/>
              <w:rPr>
                <w:sz w:val="18"/>
              </w:rPr>
            </w:pPr>
            <w:r>
              <w:rPr>
                <w:w w:val="95"/>
                <w:sz w:val="18"/>
              </w:rPr>
              <w:t>22,856</w:t>
            </w:r>
          </w:p>
        </w:tc>
      </w:tr>
      <w:tr>
        <w:trPr>
          <w:trHeight w:val="264" w:hRule="exact"/>
        </w:trPr>
        <w:tc>
          <w:tcPr>
            <w:tcW w:w="332" w:type="dxa"/>
          </w:tcPr>
          <w:p>
            <w:pPr/>
          </w:p>
        </w:tc>
        <w:tc>
          <w:tcPr>
            <w:tcW w:w="6957" w:type="dxa"/>
          </w:tcPr>
          <w:p>
            <w:pPr>
              <w:pStyle w:val="TableParagraph"/>
              <w:spacing w:before="19"/>
              <w:ind w:left="126"/>
              <w:jc w:val="left"/>
              <w:rPr>
                <w:sz w:val="18"/>
              </w:rPr>
            </w:pPr>
            <w:r>
              <w:rPr>
                <w:sz w:val="18"/>
              </w:rPr>
              <w:t>Postage, printing, telephone &amp; internet</w:t>
            </w:r>
          </w:p>
        </w:tc>
        <w:tc>
          <w:tcPr>
            <w:tcW w:w="1496" w:type="dxa"/>
          </w:tcPr>
          <w:p>
            <w:pPr>
              <w:pStyle w:val="TableParagraph"/>
              <w:spacing w:before="18"/>
              <w:ind w:right="273"/>
              <w:rPr>
                <w:b/>
                <w:sz w:val="18"/>
              </w:rPr>
            </w:pPr>
            <w:r>
              <w:rPr>
                <w:b/>
                <w:w w:val="95"/>
                <w:sz w:val="18"/>
              </w:rPr>
              <w:t>673,734</w:t>
            </w:r>
          </w:p>
        </w:tc>
        <w:tc>
          <w:tcPr>
            <w:tcW w:w="1168" w:type="dxa"/>
          </w:tcPr>
          <w:p>
            <w:pPr>
              <w:pStyle w:val="TableParagraph"/>
              <w:spacing w:before="18"/>
              <w:ind w:right="86"/>
              <w:rPr>
                <w:sz w:val="18"/>
              </w:rPr>
            </w:pPr>
            <w:r>
              <w:rPr>
                <w:w w:val="95"/>
                <w:sz w:val="18"/>
              </w:rPr>
              <w:t>757,310</w:t>
            </w:r>
          </w:p>
        </w:tc>
      </w:tr>
      <w:tr>
        <w:trPr>
          <w:trHeight w:val="264" w:hRule="exact"/>
        </w:trPr>
        <w:tc>
          <w:tcPr>
            <w:tcW w:w="332" w:type="dxa"/>
          </w:tcPr>
          <w:p>
            <w:pPr/>
          </w:p>
        </w:tc>
        <w:tc>
          <w:tcPr>
            <w:tcW w:w="6957" w:type="dxa"/>
          </w:tcPr>
          <w:p>
            <w:pPr>
              <w:pStyle w:val="TableParagraph"/>
              <w:spacing w:before="19"/>
              <w:ind w:left="126"/>
              <w:jc w:val="left"/>
              <w:rPr>
                <w:sz w:val="18"/>
              </w:rPr>
            </w:pPr>
            <w:r>
              <w:rPr>
                <w:sz w:val="18"/>
              </w:rPr>
              <w:t>Furniture</w:t>
            </w:r>
          </w:p>
        </w:tc>
        <w:tc>
          <w:tcPr>
            <w:tcW w:w="1496" w:type="dxa"/>
          </w:tcPr>
          <w:p>
            <w:pPr>
              <w:pStyle w:val="TableParagraph"/>
              <w:spacing w:before="18"/>
              <w:ind w:right="273"/>
              <w:rPr>
                <w:b/>
                <w:sz w:val="18"/>
              </w:rPr>
            </w:pPr>
            <w:r>
              <w:rPr>
                <w:b/>
                <w:w w:val="95"/>
                <w:sz w:val="18"/>
              </w:rPr>
              <w:t>67,508</w:t>
            </w:r>
          </w:p>
        </w:tc>
        <w:tc>
          <w:tcPr>
            <w:tcW w:w="1168" w:type="dxa"/>
          </w:tcPr>
          <w:p>
            <w:pPr>
              <w:pStyle w:val="TableParagraph"/>
              <w:spacing w:before="18"/>
              <w:ind w:right="86"/>
              <w:rPr>
                <w:sz w:val="18"/>
              </w:rPr>
            </w:pPr>
            <w:r>
              <w:rPr>
                <w:w w:val="95"/>
                <w:sz w:val="18"/>
              </w:rPr>
              <w:t>85,179</w:t>
            </w:r>
          </w:p>
        </w:tc>
      </w:tr>
      <w:tr>
        <w:trPr>
          <w:trHeight w:val="264" w:hRule="exact"/>
        </w:trPr>
        <w:tc>
          <w:tcPr>
            <w:tcW w:w="332" w:type="dxa"/>
          </w:tcPr>
          <w:p>
            <w:pPr/>
          </w:p>
        </w:tc>
        <w:tc>
          <w:tcPr>
            <w:tcW w:w="6957" w:type="dxa"/>
          </w:tcPr>
          <w:p>
            <w:pPr>
              <w:pStyle w:val="TableParagraph"/>
              <w:spacing w:before="19"/>
              <w:ind w:left="126"/>
              <w:jc w:val="left"/>
              <w:rPr>
                <w:sz w:val="18"/>
              </w:rPr>
            </w:pPr>
            <w:r>
              <w:rPr>
                <w:sz w:val="18"/>
              </w:rPr>
              <w:t>Equipment lease</w:t>
            </w:r>
          </w:p>
        </w:tc>
        <w:tc>
          <w:tcPr>
            <w:tcW w:w="1496" w:type="dxa"/>
          </w:tcPr>
          <w:p>
            <w:pPr>
              <w:pStyle w:val="TableParagraph"/>
              <w:spacing w:before="18"/>
              <w:ind w:right="273"/>
              <w:rPr>
                <w:b/>
                <w:sz w:val="18"/>
              </w:rPr>
            </w:pPr>
            <w:r>
              <w:rPr>
                <w:b/>
                <w:w w:val="95"/>
                <w:sz w:val="18"/>
              </w:rPr>
              <w:t>388,355</w:t>
            </w:r>
          </w:p>
        </w:tc>
        <w:tc>
          <w:tcPr>
            <w:tcW w:w="1168" w:type="dxa"/>
          </w:tcPr>
          <w:p>
            <w:pPr>
              <w:pStyle w:val="TableParagraph"/>
              <w:spacing w:before="18"/>
              <w:ind w:right="86"/>
              <w:rPr>
                <w:sz w:val="18"/>
              </w:rPr>
            </w:pPr>
            <w:r>
              <w:rPr>
                <w:w w:val="95"/>
                <w:sz w:val="18"/>
              </w:rPr>
              <w:t>288,929</w:t>
            </w:r>
          </w:p>
        </w:tc>
      </w:tr>
      <w:tr>
        <w:trPr>
          <w:trHeight w:val="264" w:hRule="exact"/>
        </w:trPr>
        <w:tc>
          <w:tcPr>
            <w:tcW w:w="332" w:type="dxa"/>
          </w:tcPr>
          <w:p>
            <w:pPr/>
          </w:p>
        </w:tc>
        <w:tc>
          <w:tcPr>
            <w:tcW w:w="6957" w:type="dxa"/>
          </w:tcPr>
          <w:p>
            <w:pPr>
              <w:pStyle w:val="TableParagraph"/>
              <w:spacing w:before="19"/>
              <w:ind w:left="126"/>
              <w:jc w:val="left"/>
              <w:rPr>
                <w:sz w:val="18"/>
              </w:rPr>
            </w:pPr>
            <w:r>
              <w:rPr>
                <w:sz w:val="18"/>
              </w:rPr>
              <w:t>Doubtful debt provision</w:t>
            </w:r>
          </w:p>
        </w:tc>
        <w:tc>
          <w:tcPr>
            <w:tcW w:w="1496" w:type="dxa"/>
          </w:tcPr>
          <w:p>
            <w:pPr>
              <w:pStyle w:val="TableParagraph"/>
              <w:spacing w:before="18"/>
              <w:ind w:right="273"/>
              <w:rPr>
                <w:b/>
                <w:sz w:val="18"/>
              </w:rPr>
            </w:pPr>
            <w:r>
              <w:rPr>
                <w:b/>
                <w:w w:val="95"/>
                <w:sz w:val="18"/>
              </w:rPr>
              <w:t>16,137</w:t>
            </w:r>
          </w:p>
        </w:tc>
        <w:tc>
          <w:tcPr>
            <w:tcW w:w="1168" w:type="dxa"/>
          </w:tcPr>
          <w:p>
            <w:pPr>
              <w:pStyle w:val="TableParagraph"/>
              <w:spacing w:before="18"/>
              <w:ind w:right="86"/>
              <w:rPr>
                <w:sz w:val="18"/>
              </w:rPr>
            </w:pPr>
            <w:r>
              <w:rPr>
                <w:w w:val="95"/>
                <w:sz w:val="18"/>
              </w:rPr>
              <w:t>121,023</w:t>
            </w:r>
          </w:p>
        </w:tc>
      </w:tr>
      <w:tr>
        <w:trPr>
          <w:trHeight w:val="262" w:hRule="exact"/>
        </w:trPr>
        <w:tc>
          <w:tcPr>
            <w:tcW w:w="332" w:type="dxa"/>
          </w:tcPr>
          <w:p>
            <w:pPr/>
          </w:p>
        </w:tc>
        <w:tc>
          <w:tcPr>
            <w:tcW w:w="6957" w:type="dxa"/>
          </w:tcPr>
          <w:p>
            <w:pPr>
              <w:pStyle w:val="TableParagraph"/>
              <w:spacing w:before="19"/>
              <w:ind w:left="126"/>
              <w:jc w:val="left"/>
              <w:rPr>
                <w:sz w:val="18"/>
              </w:rPr>
            </w:pPr>
            <w:bookmarkStart w:name="16 Royalty to parent" w:id="243"/>
            <w:bookmarkEnd w:id="243"/>
            <w:r>
              <w:rPr/>
            </w:r>
            <w:r>
              <w:rPr>
                <w:sz w:val="18"/>
              </w:rPr>
              <w:t>Sundry expenses</w:t>
            </w:r>
          </w:p>
        </w:tc>
        <w:tc>
          <w:tcPr>
            <w:tcW w:w="1496" w:type="dxa"/>
            <w:tcBorders>
              <w:bottom w:val="single" w:sz="0" w:space="0" w:color="000000"/>
            </w:tcBorders>
          </w:tcPr>
          <w:p>
            <w:pPr>
              <w:pStyle w:val="TableParagraph"/>
              <w:spacing w:before="18"/>
              <w:ind w:right="273"/>
              <w:rPr>
                <w:b/>
                <w:sz w:val="18"/>
              </w:rPr>
            </w:pPr>
            <w:r>
              <w:rPr>
                <w:b/>
                <w:w w:val="95"/>
                <w:sz w:val="18"/>
              </w:rPr>
              <w:t>107,762</w:t>
            </w:r>
          </w:p>
        </w:tc>
        <w:tc>
          <w:tcPr>
            <w:tcW w:w="1168" w:type="dxa"/>
            <w:tcBorders>
              <w:bottom w:val="single" w:sz="0" w:space="0" w:color="000000"/>
            </w:tcBorders>
          </w:tcPr>
          <w:p>
            <w:pPr>
              <w:pStyle w:val="TableParagraph"/>
              <w:spacing w:before="18"/>
              <w:ind w:right="86"/>
              <w:rPr>
                <w:sz w:val="18"/>
              </w:rPr>
            </w:pPr>
            <w:r>
              <w:rPr>
                <w:w w:val="95"/>
                <w:sz w:val="18"/>
              </w:rPr>
              <w:t>22,016</w:t>
            </w:r>
          </w:p>
        </w:tc>
      </w:tr>
      <w:tr>
        <w:trPr>
          <w:trHeight w:val="353" w:hRule="exact"/>
        </w:trPr>
        <w:tc>
          <w:tcPr>
            <w:tcW w:w="332" w:type="dxa"/>
          </w:tcPr>
          <w:p>
            <w:pPr/>
          </w:p>
        </w:tc>
        <w:tc>
          <w:tcPr>
            <w:tcW w:w="6957" w:type="dxa"/>
          </w:tcPr>
          <w:p>
            <w:pPr>
              <w:pStyle w:val="TableParagraph"/>
              <w:spacing w:before="123"/>
              <w:ind w:left="126"/>
              <w:jc w:val="left"/>
              <w:rPr>
                <w:b/>
                <w:sz w:val="18"/>
              </w:rPr>
            </w:pPr>
            <w:r>
              <w:rPr>
                <w:b/>
                <w:sz w:val="18"/>
              </w:rPr>
              <w:t>Total other expenses</w:t>
            </w:r>
          </w:p>
        </w:tc>
        <w:tc>
          <w:tcPr>
            <w:tcW w:w="1496" w:type="dxa"/>
            <w:tcBorders>
              <w:top w:val="single" w:sz="0" w:space="0" w:color="000000"/>
              <w:bottom w:val="single" w:sz="0" w:space="0" w:color="000000"/>
            </w:tcBorders>
          </w:tcPr>
          <w:p>
            <w:pPr>
              <w:pStyle w:val="TableParagraph"/>
              <w:spacing w:before="94"/>
              <w:ind w:right="273"/>
              <w:rPr>
                <w:b/>
                <w:sz w:val="18"/>
              </w:rPr>
            </w:pPr>
            <w:r>
              <w:rPr>
                <w:b/>
                <w:w w:val="95"/>
                <w:sz w:val="18"/>
              </w:rPr>
              <w:t>1,589,987</w:t>
            </w:r>
          </w:p>
        </w:tc>
        <w:tc>
          <w:tcPr>
            <w:tcW w:w="1168" w:type="dxa"/>
            <w:tcBorders>
              <w:top w:val="single" w:sz="0" w:space="0" w:color="000000"/>
              <w:bottom w:val="single" w:sz="0" w:space="0" w:color="000000"/>
            </w:tcBorders>
          </w:tcPr>
          <w:p>
            <w:pPr>
              <w:pStyle w:val="TableParagraph"/>
              <w:spacing w:before="94"/>
              <w:ind w:right="86"/>
              <w:rPr>
                <w:sz w:val="18"/>
              </w:rPr>
            </w:pPr>
            <w:r>
              <w:rPr>
                <w:w w:val="95"/>
                <w:sz w:val="18"/>
              </w:rPr>
              <w:t>1,901,985</w:t>
            </w:r>
          </w:p>
        </w:tc>
      </w:tr>
      <w:tr>
        <w:trPr>
          <w:trHeight w:val="617" w:hRule="exact"/>
        </w:trPr>
        <w:tc>
          <w:tcPr>
            <w:tcW w:w="332" w:type="dxa"/>
          </w:tcPr>
          <w:p>
            <w:pPr>
              <w:pStyle w:val="TableParagraph"/>
              <w:jc w:val="left"/>
              <w:rPr>
                <w:b/>
                <w:sz w:val="18"/>
              </w:rPr>
            </w:pPr>
          </w:p>
          <w:p>
            <w:pPr>
              <w:pStyle w:val="TableParagraph"/>
              <w:spacing w:before="106"/>
              <w:ind w:left="35"/>
              <w:jc w:val="left"/>
              <w:rPr>
                <w:b/>
                <w:sz w:val="18"/>
              </w:rPr>
            </w:pPr>
            <w:r>
              <w:rPr>
                <w:b/>
                <w:sz w:val="18"/>
              </w:rPr>
              <w:t>16</w:t>
            </w:r>
          </w:p>
        </w:tc>
        <w:tc>
          <w:tcPr>
            <w:tcW w:w="6957" w:type="dxa"/>
          </w:tcPr>
          <w:p>
            <w:pPr>
              <w:pStyle w:val="TableParagraph"/>
              <w:jc w:val="left"/>
              <w:rPr>
                <w:b/>
                <w:sz w:val="18"/>
              </w:rPr>
            </w:pPr>
          </w:p>
          <w:p>
            <w:pPr>
              <w:pStyle w:val="TableParagraph"/>
              <w:spacing w:before="106"/>
              <w:ind w:left="97"/>
              <w:jc w:val="left"/>
              <w:rPr>
                <w:b/>
                <w:sz w:val="18"/>
              </w:rPr>
            </w:pPr>
            <w:r>
              <w:rPr>
                <w:b/>
                <w:sz w:val="18"/>
              </w:rPr>
              <w:t>Royalty to parent</w:t>
            </w:r>
          </w:p>
        </w:tc>
        <w:tc>
          <w:tcPr>
            <w:tcW w:w="1496" w:type="dxa"/>
            <w:tcBorders>
              <w:top w:val="single" w:sz="0" w:space="0" w:color="000000"/>
            </w:tcBorders>
          </w:tcPr>
          <w:p>
            <w:pPr/>
          </w:p>
        </w:tc>
        <w:tc>
          <w:tcPr>
            <w:tcW w:w="1168" w:type="dxa"/>
            <w:tcBorders>
              <w:top w:val="single" w:sz="0" w:space="0" w:color="000000"/>
            </w:tcBorders>
          </w:tcPr>
          <w:p>
            <w:pPr/>
          </w:p>
        </w:tc>
      </w:tr>
    </w:tbl>
    <w:p>
      <w:pPr>
        <w:pStyle w:val="BodyText"/>
        <w:spacing w:before="10"/>
        <w:rPr>
          <w:b/>
          <w:sz w:val="9"/>
        </w:rPr>
      </w:pPr>
    </w:p>
    <w:p>
      <w:pPr>
        <w:pStyle w:val="BodyText"/>
        <w:spacing w:before="78"/>
        <w:ind w:left="1825" w:right="1375"/>
      </w:pPr>
      <w:r>
        <w:rPr/>
        <w:drawing>
          <wp:anchor distT="0" distB="0" distL="0" distR="0" allowOverlap="1" layoutInCell="1" locked="0" behindDoc="0" simplePos="0" relativeHeight="9280">
            <wp:simplePos x="0" y="0"/>
            <wp:positionH relativeFrom="page">
              <wp:posOffset>-1587</wp:posOffset>
            </wp:positionH>
            <wp:positionV relativeFrom="paragraph">
              <wp:posOffset>294054</wp:posOffset>
            </wp:positionV>
            <wp:extent cx="136525" cy="155575"/>
            <wp:effectExtent l="0" t="0" r="0" b="0"/>
            <wp:wrapNone/>
            <wp:docPr id="617" name="image13.png" descr=""/>
            <wp:cNvGraphicFramePr>
              <a:graphicFrameLocks noChangeAspect="1"/>
            </wp:cNvGraphicFramePr>
            <a:graphic>
              <a:graphicData uri="http://schemas.openxmlformats.org/drawingml/2006/picture">
                <pic:pic>
                  <pic:nvPicPr>
                    <pic:cNvPr id="618" name="image13.png"/>
                    <pic:cNvPicPr/>
                  </pic:nvPicPr>
                  <pic:blipFill>
                    <a:blip r:embed="rId18" cstate="print"/>
                    <a:stretch>
                      <a:fillRect/>
                    </a:stretch>
                  </pic:blipFill>
                  <pic:spPr>
                    <a:xfrm>
                      <a:off x="0" y="0"/>
                      <a:ext cx="136525" cy="155575"/>
                    </a:xfrm>
                    <a:prstGeom prst="rect">
                      <a:avLst/>
                    </a:prstGeom>
                  </pic:spPr>
                </pic:pic>
              </a:graphicData>
            </a:graphic>
          </wp:anchor>
        </w:drawing>
      </w:r>
      <w:r>
        <w:rPr/>
        <w:drawing>
          <wp:anchor distT="0" distB="0" distL="0" distR="0" allowOverlap="1" layoutInCell="1" locked="0" behindDoc="0" simplePos="0" relativeHeight="9304">
            <wp:simplePos x="0" y="0"/>
            <wp:positionH relativeFrom="page">
              <wp:posOffset>7958429</wp:posOffset>
            </wp:positionH>
            <wp:positionV relativeFrom="paragraph">
              <wp:posOffset>294054</wp:posOffset>
            </wp:positionV>
            <wp:extent cx="135953" cy="155575"/>
            <wp:effectExtent l="0" t="0" r="0" b="0"/>
            <wp:wrapNone/>
            <wp:docPr id="619" name="image15.png" descr=""/>
            <wp:cNvGraphicFramePr>
              <a:graphicFrameLocks noChangeAspect="1"/>
            </wp:cNvGraphicFramePr>
            <a:graphic>
              <a:graphicData uri="http://schemas.openxmlformats.org/drawingml/2006/picture">
                <pic:pic>
                  <pic:nvPicPr>
                    <pic:cNvPr id="620" name="image15.png"/>
                    <pic:cNvPicPr/>
                  </pic:nvPicPr>
                  <pic:blipFill>
                    <a:blip r:embed="rId20" cstate="print"/>
                    <a:stretch>
                      <a:fillRect/>
                    </a:stretch>
                  </pic:blipFill>
                  <pic:spPr>
                    <a:xfrm>
                      <a:off x="0" y="0"/>
                      <a:ext cx="135953" cy="155575"/>
                    </a:xfrm>
                    <a:prstGeom prst="rect">
                      <a:avLst/>
                    </a:prstGeom>
                  </pic:spPr>
                </pic:pic>
              </a:graphicData>
            </a:graphic>
          </wp:anchor>
        </w:drawing>
      </w:r>
      <w:bookmarkStart w:name="17 Remuneration of Auditors" w:id="244"/>
      <w:bookmarkEnd w:id="244"/>
      <w:r>
        <w:rPr/>
      </w:r>
      <w:r>
        <w:rPr/>
        <w:t>The Company pays a Royalty to the parent entity for access to the parent entity's intellectual property, infrastructure, premises and business services. The Royalty is determined as 100% of the operating surplus of the Company.</w:t>
      </w:r>
    </w:p>
    <w:p>
      <w:pPr>
        <w:pStyle w:val="BodyText"/>
        <w:spacing w:before="3"/>
      </w:pPr>
    </w:p>
    <w:p>
      <w:pPr>
        <w:spacing w:after="0"/>
        <w:sectPr>
          <w:pgSz w:w="12750" w:h="17680"/>
          <w:pgMar w:header="0" w:footer="867" w:top="1880" w:bottom="1120" w:left="0" w:right="0"/>
        </w:sectPr>
      </w:pPr>
    </w:p>
    <w:p>
      <w:pPr>
        <w:pStyle w:val="Heading8"/>
        <w:numPr>
          <w:ilvl w:val="0"/>
          <w:numId w:val="54"/>
        </w:numPr>
        <w:tabs>
          <w:tab w:pos="1826" w:val="left" w:leader="none"/>
        </w:tabs>
        <w:spacing w:line="240" w:lineRule="auto" w:before="77" w:after="0"/>
        <w:ind w:left="1825" w:right="0" w:hanging="396"/>
        <w:jc w:val="left"/>
      </w:pPr>
      <w:r>
        <w:rPr/>
        <w:t>Remuneration of</w:t>
      </w:r>
      <w:r>
        <w:rPr>
          <w:spacing w:val="-6"/>
        </w:rPr>
        <w:t> </w:t>
      </w:r>
      <w:r>
        <w:rPr/>
        <w:t>Auditors</w:t>
      </w:r>
    </w:p>
    <w:p>
      <w:pPr>
        <w:pStyle w:val="BodyText"/>
        <w:rPr>
          <w:b/>
        </w:rPr>
      </w:pPr>
    </w:p>
    <w:p>
      <w:pPr>
        <w:pStyle w:val="BodyText"/>
        <w:rPr>
          <w:b/>
        </w:rPr>
      </w:pPr>
    </w:p>
    <w:p>
      <w:pPr>
        <w:pStyle w:val="BodyText"/>
        <w:spacing w:before="160"/>
        <w:ind w:left="1869" w:right="-9"/>
      </w:pPr>
      <w:r>
        <w:rPr/>
        <w:t>The Audit Office of New South</w:t>
      </w:r>
      <w:r>
        <w:rPr>
          <w:spacing w:val="-15"/>
        </w:rPr>
        <w:t> </w:t>
      </w:r>
      <w:r>
        <w:rPr/>
        <w:t>Wales</w:t>
      </w:r>
    </w:p>
    <w:p>
      <w:pPr>
        <w:pStyle w:val="BodyText"/>
      </w:pPr>
      <w:r>
        <w:rPr/>
        <w:br w:type="column"/>
      </w:r>
      <w:r>
        <w:rPr/>
      </w:r>
    </w:p>
    <w:p>
      <w:pPr>
        <w:pStyle w:val="Heading8"/>
        <w:spacing w:before="110"/>
        <w:jc w:val="right"/>
      </w:pPr>
      <w:r>
        <w:rPr/>
        <w:t>2016</w:t>
      </w:r>
    </w:p>
    <w:p>
      <w:pPr>
        <w:spacing w:before="66"/>
        <w:ind w:left="0" w:right="146" w:firstLine="0"/>
        <w:jc w:val="right"/>
        <w:rPr>
          <w:b/>
          <w:sz w:val="18"/>
        </w:rPr>
      </w:pPr>
      <w:r>
        <w:rPr>
          <w:b/>
          <w:w w:val="99"/>
          <w:sz w:val="18"/>
        </w:rPr>
        <w:t>$</w:t>
      </w:r>
    </w:p>
    <w:p>
      <w:pPr>
        <w:pStyle w:val="BodyText"/>
        <w:rPr>
          <w:b/>
        </w:rPr>
      </w:pPr>
      <w:r>
        <w:rPr/>
        <w:br w:type="column"/>
      </w:r>
      <w:r>
        <w:rPr>
          <w:b/>
        </w:rPr>
      </w:r>
    </w:p>
    <w:p>
      <w:pPr>
        <w:spacing w:before="110"/>
        <w:ind w:left="506" w:right="1680" w:firstLine="0"/>
        <w:jc w:val="center"/>
        <w:rPr>
          <w:b/>
          <w:sz w:val="18"/>
        </w:rPr>
      </w:pPr>
      <w:r>
        <w:rPr>
          <w:b/>
          <w:sz w:val="18"/>
        </w:rPr>
        <w:t>2015</w:t>
      </w:r>
    </w:p>
    <w:p>
      <w:pPr>
        <w:spacing w:before="66"/>
        <w:ind w:left="0" w:right="1173" w:firstLine="0"/>
        <w:jc w:val="center"/>
        <w:rPr>
          <w:b/>
          <w:sz w:val="18"/>
        </w:rPr>
      </w:pPr>
      <w:r>
        <w:rPr>
          <w:b/>
          <w:w w:val="99"/>
          <w:sz w:val="18"/>
        </w:rPr>
        <w:t>$</w:t>
      </w:r>
    </w:p>
    <w:p>
      <w:pPr>
        <w:spacing w:after="0"/>
        <w:jc w:val="center"/>
        <w:rPr>
          <w:sz w:val="18"/>
        </w:rPr>
        <w:sectPr>
          <w:type w:val="continuous"/>
          <w:pgSz w:w="12750" w:h="17680"/>
          <w:pgMar w:top="1660" w:bottom="0" w:left="0" w:right="0"/>
          <w:cols w:num="3" w:equalWidth="0">
            <w:col w:w="4837" w:space="3417"/>
            <w:col w:w="1828" w:space="40"/>
            <w:col w:w="2628"/>
          </w:cols>
        </w:sectPr>
      </w:pPr>
    </w:p>
    <w:p>
      <w:pPr>
        <w:pStyle w:val="BodyText"/>
        <w:tabs>
          <w:tab w:pos="9689" w:val="left" w:leader="none"/>
          <w:tab w:pos="10709" w:val="left" w:leader="none"/>
        </w:tabs>
        <w:spacing w:before="56"/>
        <w:ind w:left="1869"/>
      </w:pPr>
      <w:r>
        <w:rPr/>
        <w:pict>
          <v:group style="position:absolute;margin-left:469.570007pt;margin-top:14.491909pt;width:97.85pt;height:1pt;mso-position-horizontal-relative:page;mso-position-vertical-relative:paragraph;z-index:9232;mso-wrap-distance-left:0;mso-wrap-distance-right:0" coordorigin="9391,290" coordsize="1957,20">
            <v:line style="position:absolute" from="9392,291" to="10327,291" stroked="true" strokeweight=".06pt" strokecolor="#000000"/>
            <v:line style="position:absolute" from="9392,292" to="10327,292" stroked="true" strokeweight=".06pt" strokecolor="#000000"/>
            <v:line style="position:absolute" from="9392,293" to="10327,293" stroked="true" strokeweight=".06pt" strokecolor="#000000"/>
            <v:line style="position:absolute" from="9392,294" to="10327,294" stroked="true" strokeweight=".06pt" strokecolor="#000000"/>
            <v:line style="position:absolute" from="9392,296" to="10327,296" stroked="true" strokeweight=".06pt" strokecolor="#000000"/>
            <v:line style="position:absolute" from="9392,297" to="10327,297" stroked="true" strokeweight=".06pt" strokecolor="#000000"/>
            <v:line style="position:absolute" from="9392,298" to="10327,298" stroked="true" strokeweight=".06pt" strokecolor="#000000"/>
            <v:line style="position:absolute" from="9392,299" to="10327,299" stroked="true" strokeweight=".06pt" strokecolor="#000000"/>
            <v:line style="position:absolute" from="9392,300" to="10327,300" stroked="true" strokeweight=".06pt" strokecolor="#000000"/>
            <v:line style="position:absolute" from="9392,302" to="10327,302" stroked="true" strokeweight=".06pt" strokecolor="#000000"/>
            <v:line style="position:absolute" from="9392,303" to="10327,303" stroked="true" strokeweight=".06pt" strokecolor="#000000"/>
            <v:line style="position:absolute" from="9392,304" to="10327,304" stroked="true" strokeweight=".06pt" strokecolor="#000000"/>
            <v:line style="position:absolute" from="9392,305" to="10327,305" stroked="true" strokeweight=".06pt" strokecolor="#000000"/>
            <v:line style="position:absolute" from="9392,306" to="10327,306" stroked="true" strokeweight=".06pt" strokecolor="#000000"/>
            <v:line style="position:absolute" from="9392,308" to="10327,308" stroked="true" strokeweight=".06pt" strokecolor="#000000"/>
            <v:line style="position:absolute" from="9392,309" to="10327,309" stroked="true" strokeweight=".06pt" strokecolor="#000000"/>
            <v:line style="position:absolute" from="10327,291" to="11347,291" stroked="true" strokeweight=".06pt" strokecolor="#000000"/>
            <v:line style="position:absolute" from="10327,292" to="11347,292" stroked="true" strokeweight=".06pt" strokecolor="#000000"/>
            <v:line style="position:absolute" from="10327,293" to="11347,293" stroked="true" strokeweight=".06pt" strokecolor="#000000"/>
            <v:line style="position:absolute" from="10327,294" to="11347,294" stroked="true" strokeweight=".06pt" strokecolor="#000000"/>
            <v:line style="position:absolute" from="10327,296" to="11347,296" stroked="true" strokeweight=".06pt" strokecolor="#000000"/>
            <v:line style="position:absolute" from="10327,297" to="11347,297" stroked="true" strokeweight=".06pt" strokecolor="#000000"/>
            <v:line style="position:absolute" from="10327,298" to="11347,298" stroked="true" strokeweight=".06pt" strokecolor="#000000"/>
            <v:line style="position:absolute" from="10327,299" to="11347,299" stroked="true" strokeweight=".06pt" strokecolor="#000000"/>
            <v:line style="position:absolute" from="10327,300" to="11347,300" stroked="true" strokeweight=".06pt" strokecolor="#000000"/>
            <v:line style="position:absolute" from="10327,302" to="11347,302" stroked="true" strokeweight=".06pt" strokecolor="#000000"/>
            <v:line style="position:absolute" from="10327,303" to="11347,303" stroked="true" strokeweight=".06pt" strokecolor="#000000"/>
            <v:line style="position:absolute" from="10327,304" to="11347,304" stroked="true" strokeweight=".06pt" strokecolor="#000000"/>
            <v:line style="position:absolute" from="10327,305" to="11347,305" stroked="true" strokeweight=".06pt" strokecolor="#000000"/>
            <v:line style="position:absolute" from="10327,306" to="11347,306" stroked="true" strokeweight=".06pt" strokecolor="#000000"/>
            <v:line style="position:absolute" from="10327,308" to="11347,308" stroked="true" strokeweight=".06pt" strokecolor="#000000"/>
            <v:line style="position:absolute" from="10327,309" to="11347,309" stroked="true" strokeweight=".06pt" strokecolor="#000000"/>
            <w10:wrap type="topAndBottom"/>
          </v:group>
        </w:pict>
      </w:r>
      <w:bookmarkStart w:name="18 Contingencies" w:id="245"/>
      <w:bookmarkEnd w:id="245"/>
      <w:r>
        <w:rPr/>
      </w:r>
      <w:r>
        <w:rPr/>
        <w:t>- Audit of</w:t>
      </w:r>
      <w:r>
        <w:rPr>
          <w:spacing w:val="-13"/>
        </w:rPr>
        <w:t> </w:t>
      </w:r>
      <w:r>
        <w:rPr/>
        <w:t>financial</w:t>
      </w:r>
      <w:r>
        <w:rPr>
          <w:spacing w:val="-5"/>
        </w:rPr>
        <w:t> </w:t>
      </w:r>
      <w:r>
        <w:rPr/>
        <w:t>statements</w:t>
        <w:tab/>
      </w:r>
      <w:r>
        <w:rPr>
          <w:b/>
        </w:rPr>
        <w:t>34,440</w:t>
        <w:tab/>
      </w:r>
      <w:r>
        <w:rPr/>
        <w:t>38,800</w:t>
      </w:r>
    </w:p>
    <w:p>
      <w:pPr>
        <w:pStyle w:val="Heading8"/>
        <w:tabs>
          <w:tab w:pos="9689" w:val="left" w:leader="none"/>
          <w:tab w:pos="10709" w:val="left" w:leader="none"/>
        </w:tabs>
        <w:spacing w:before="84"/>
        <w:ind w:left="1869"/>
        <w:rPr>
          <w:b w:val="0"/>
        </w:rPr>
      </w:pPr>
      <w:bookmarkStart w:name="(a) Contingent Liabilities" w:id="246"/>
      <w:bookmarkEnd w:id="246"/>
      <w:r>
        <w:rPr>
          <w:b w:val="0"/>
        </w:rPr>
      </w:r>
      <w:r>
        <w:rPr/>
        <w:t>- Total remuneration for audit</w:t>
        <w:tab/>
        <w:t>34,440</w:t>
        <w:tab/>
      </w:r>
      <w:r>
        <w:rPr>
          <w:b w:val="0"/>
        </w:rPr>
        <w:t>38,800</w:t>
      </w:r>
    </w:p>
    <w:p>
      <w:pPr>
        <w:pStyle w:val="BodyText"/>
        <w:spacing w:line="20" w:lineRule="exact"/>
        <w:ind w:left="9391"/>
        <w:rPr>
          <w:sz w:val="2"/>
        </w:rPr>
      </w:pPr>
      <w:r>
        <w:rPr>
          <w:sz w:val="2"/>
        </w:rPr>
        <w:pict>
          <v:group style="width:97.85pt;height:1pt;mso-position-horizontal-relative:char;mso-position-vertical-relative:line" coordorigin="0,0" coordsize="1957,20">
            <v:line style="position:absolute" from="1,1" to="936,1" stroked="true" strokeweight=".06pt" strokecolor="#000000"/>
            <v:line style="position:absolute" from="1,2" to="936,2" stroked="true" strokeweight=".06pt" strokecolor="#000000"/>
            <v:line style="position:absolute" from="1,3" to="936,3" stroked="true" strokeweight=".06pt" strokecolor="#000000"/>
            <v:line style="position:absolute" from="1,5" to="936,5" stroked="true" strokeweight=".06pt" strokecolor="#000000"/>
            <v:line style="position:absolute" from="1,6" to="936,6" stroked="true" strokeweight=".06pt" strokecolor="#000000"/>
            <v:line style="position:absolute" from="1,7" to="936,7" stroked="true" strokeweight=".06pt" strokecolor="#000000"/>
            <v:line style="position:absolute" from="1,8" to="936,8" stroked="true" strokeweight=".06pt" strokecolor="#000000"/>
            <v:line style="position:absolute" from="1,9" to="936,9" stroked="true" strokeweight=".06pt" strokecolor="#000000"/>
            <v:line style="position:absolute" from="1,11" to="936,11" stroked="true" strokeweight=".06pt" strokecolor="#000000"/>
            <v:line style="position:absolute" from="1,12" to="936,12" stroked="true" strokeweight=".06pt" strokecolor="#000000"/>
            <v:line style="position:absolute" from="1,13" to="936,13" stroked="true" strokeweight=".06pt" strokecolor="#000000"/>
            <v:line style="position:absolute" from="1,14" to="936,14" stroked="true" strokeweight=".06pt" strokecolor="#000000"/>
            <v:line style="position:absolute" from="1,15" to="936,15" stroked="true" strokeweight=".06pt" strokecolor="#000000"/>
            <v:line style="position:absolute" from="1,17" to="936,17" stroked="true" strokeweight=".06pt" strokecolor="#000000"/>
            <v:line style="position:absolute" from="1,18" to="936,18" stroked="true" strokeweight=".06pt" strokecolor="#000000"/>
            <v:line style="position:absolute" from="1,19" to="936,19" stroked="true" strokeweight=".06pt" strokecolor="#000000"/>
            <v:line style="position:absolute" from="936,1" to="1956,1" stroked="true" strokeweight=".06pt" strokecolor="#000000"/>
            <v:line style="position:absolute" from="936,2" to="1956,2" stroked="true" strokeweight=".06pt" strokecolor="#000000"/>
            <v:line style="position:absolute" from="936,3" to="1956,3" stroked="true" strokeweight=".06pt" strokecolor="#000000"/>
            <v:line style="position:absolute" from="936,5" to="1956,5" stroked="true" strokeweight=".06pt" strokecolor="#000000"/>
            <v:line style="position:absolute" from="936,6" to="1956,6" stroked="true" strokeweight=".06pt" strokecolor="#000000"/>
            <v:line style="position:absolute" from="936,7" to="1956,7" stroked="true" strokeweight=".06pt" strokecolor="#000000"/>
            <v:line style="position:absolute" from="936,8" to="1956,8" stroked="true" strokeweight=".06pt" strokecolor="#000000"/>
            <v:line style="position:absolute" from="936,9" to="1956,9" stroked="true" strokeweight=".06pt" strokecolor="#000000"/>
            <v:line style="position:absolute" from="936,11" to="1956,11" stroked="true" strokeweight=".06pt" strokecolor="#000000"/>
            <v:line style="position:absolute" from="936,12" to="1956,12" stroked="true" strokeweight=".06pt" strokecolor="#000000"/>
            <v:line style="position:absolute" from="936,13" to="1956,13" stroked="true" strokeweight=".06pt" strokecolor="#000000"/>
            <v:line style="position:absolute" from="936,14" to="1956,14" stroked="true" strokeweight=".06pt" strokecolor="#000000"/>
            <v:line style="position:absolute" from="936,15" to="1956,15" stroked="true" strokeweight=".06pt" strokecolor="#000000"/>
            <v:line style="position:absolute" from="936,17" to="1956,17" stroked="true" strokeweight=".06pt" strokecolor="#000000"/>
            <v:line style="position:absolute" from="936,18" to="1956,18" stroked="true" strokeweight=".06pt" strokecolor="#000000"/>
            <v:line style="position:absolute" from="936,19" to="1956,19" stroked="true" strokeweight=".06pt" strokecolor="#000000"/>
          </v:group>
        </w:pict>
      </w:r>
      <w:r>
        <w:rPr>
          <w:sz w:val="2"/>
        </w:rPr>
      </w:r>
    </w:p>
    <w:p>
      <w:pPr>
        <w:pStyle w:val="BodyText"/>
        <w:spacing w:before="2"/>
      </w:pPr>
    </w:p>
    <w:p>
      <w:pPr>
        <w:pStyle w:val="ListParagraph"/>
        <w:numPr>
          <w:ilvl w:val="0"/>
          <w:numId w:val="54"/>
        </w:numPr>
        <w:tabs>
          <w:tab w:pos="1826" w:val="left" w:leader="none"/>
        </w:tabs>
        <w:spacing w:line="240" w:lineRule="auto" w:before="77" w:after="0"/>
        <w:ind w:left="1825" w:right="0" w:hanging="396"/>
        <w:jc w:val="left"/>
        <w:rPr>
          <w:b/>
          <w:sz w:val="18"/>
        </w:rPr>
      </w:pPr>
      <w:r>
        <w:rPr>
          <w:b/>
          <w:sz w:val="18"/>
        </w:rPr>
        <w:t>Contingencies</w:t>
      </w:r>
    </w:p>
    <w:p>
      <w:pPr>
        <w:pStyle w:val="BodyText"/>
        <w:spacing w:before="7"/>
        <w:rPr>
          <w:b/>
          <w:sz w:val="26"/>
        </w:rPr>
      </w:pPr>
    </w:p>
    <w:p>
      <w:pPr>
        <w:pStyle w:val="ListParagraph"/>
        <w:numPr>
          <w:ilvl w:val="1"/>
          <w:numId w:val="54"/>
        </w:numPr>
        <w:tabs>
          <w:tab w:pos="2392" w:val="left" w:leader="none"/>
        </w:tabs>
        <w:spacing w:line="240" w:lineRule="auto" w:before="0" w:after="0"/>
        <w:ind w:left="2391" w:right="0" w:hanging="566"/>
        <w:jc w:val="left"/>
        <w:rPr>
          <w:b/>
          <w:sz w:val="18"/>
        </w:rPr>
      </w:pPr>
      <w:r>
        <w:rPr>
          <w:b/>
          <w:sz w:val="18"/>
        </w:rPr>
        <w:t>Contingent Liabilities</w:t>
      </w:r>
    </w:p>
    <w:p>
      <w:pPr>
        <w:pStyle w:val="BodyText"/>
        <w:spacing w:before="4"/>
        <w:rPr>
          <w:b/>
          <w:sz w:val="25"/>
        </w:rPr>
      </w:pPr>
    </w:p>
    <w:p>
      <w:pPr>
        <w:spacing w:before="0"/>
        <w:ind w:left="2392" w:right="0" w:firstLine="0"/>
        <w:jc w:val="left"/>
        <w:rPr>
          <w:i/>
          <w:sz w:val="18"/>
        </w:rPr>
      </w:pPr>
      <w:r>
        <w:rPr>
          <w:i/>
          <w:sz w:val="18"/>
        </w:rPr>
        <w:t>Claims</w:t>
      </w:r>
    </w:p>
    <w:p>
      <w:pPr>
        <w:pStyle w:val="BodyText"/>
        <w:spacing w:before="11"/>
        <w:rPr>
          <w:i/>
          <w:sz w:val="24"/>
        </w:rPr>
      </w:pPr>
    </w:p>
    <w:p>
      <w:pPr>
        <w:pStyle w:val="BodyText"/>
        <w:ind w:left="2392" w:right="1338"/>
      </w:pPr>
      <w:r>
        <w:rPr/>
        <w:t>The Directors of the Company are not aware of the existence of any legal claims as at 31 December 2016 (2015: nil).</w:t>
      </w:r>
    </w:p>
    <w:p>
      <w:pPr>
        <w:pStyle w:val="BodyText"/>
        <w:spacing w:before="11"/>
        <w:rPr>
          <w:sz w:val="24"/>
        </w:rPr>
      </w:pPr>
    </w:p>
    <w:p>
      <w:pPr>
        <w:spacing w:before="0"/>
        <w:ind w:left="2392" w:right="0" w:firstLine="0"/>
        <w:jc w:val="left"/>
        <w:rPr>
          <w:i/>
          <w:sz w:val="18"/>
        </w:rPr>
      </w:pPr>
      <w:r>
        <w:rPr>
          <w:i/>
          <w:sz w:val="18"/>
        </w:rPr>
        <w:t>Guarantees</w:t>
      </w:r>
    </w:p>
    <w:p>
      <w:pPr>
        <w:pStyle w:val="BodyText"/>
        <w:spacing w:before="11"/>
        <w:rPr>
          <w:i/>
          <w:sz w:val="24"/>
        </w:rPr>
      </w:pPr>
    </w:p>
    <w:p>
      <w:pPr>
        <w:pStyle w:val="BodyText"/>
        <w:ind w:left="2392" w:right="1338"/>
      </w:pPr>
      <w:r>
        <w:rPr/>
        <w:t>The Directors of the Company are not aware of any guarantees that are in place as at 31 December 2016 (2015: nil).</w:t>
      </w:r>
    </w:p>
    <w:p>
      <w:pPr>
        <w:spacing w:after="0"/>
        <w:sectPr>
          <w:type w:val="continuous"/>
          <w:pgSz w:w="12750" w:h="17680"/>
          <w:pgMar w:top="1660" w:bottom="0" w:left="0" w:right="0"/>
        </w:sectPr>
      </w:pPr>
    </w:p>
    <w:p>
      <w:pPr>
        <w:pStyle w:val="BodyText"/>
        <w:spacing w:before="2"/>
        <w:rPr>
          <w:sz w:val="24"/>
        </w:rPr>
      </w:pPr>
    </w:p>
    <w:p>
      <w:pPr>
        <w:pStyle w:val="Heading4"/>
      </w:pPr>
      <w:r>
        <w:rPr/>
        <w:t>Notes to the Financial Statements</w:t>
      </w:r>
    </w:p>
    <w:p>
      <w:pPr>
        <w:pStyle w:val="Heading7"/>
      </w:pPr>
      <w:bookmarkStart w:name="19 Remuneration of the Board" w:id="247"/>
      <w:bookmarkEnd w:id="247"/>
      <w:r>
        <w:rPr>
          <w:b w:val="0"/>
        </w:rPr>
      </w:r>
      <w:r>
        <w:rPr/>
        <w:t>For the Year Ended 31 December 2016</w:t>
      </w:r>
    </w:p>
    <w:p>
      <w:pPr>
        <w:pStyle w:val="BodyText"/>
        <w:rPr>
          <w:b/>
          <w:sz w:val="20"/>
        </w:rPr>
      </w:pPr>
    </w:p>
    <w:p>
      <w:pPr>
        <w:pStyle w:val="BodyText"/>
        <w:rPr>
          <w:b/>
          <w:sz w:val="20"/>
        </w:rPr>
      </w:pPr>
    </w:p>
    <w:p>
      <w:pPr>
        <w:pStyle w:val="BodyText"/>
        <w:spacing w:before="3"/>
        <w:rPr>
          <w:b/>
          <w:sz w:val="11"/>
        </w:rPr>
      </w:pPr>
    </w:p>
    <w:tbl>
      <w:tblPr>
        <w:tblW w:w="0" w:type="auto"/>
        <w:jc w:val="left"/>
        <w:tblInd w:w="139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32"/>
        <w:gridCol w:w="8919"/>
        <w:gridCol w:w="648"/>
      </w:tblGrid>
      <w:tr>
        <w:trPr>
          <w:trHeight w:val="804" w:hRule="exact"/>
        </w:trPr>
        <w:tc>
          <w:tcPr>
            <w:tcW w:w="332" w:type="dxa"/>
          </w:tcPr>
          <w:p>
            <w:pPr>
              <w:pStyle w:val="TableParagraph"/>
              <w:spacing w:before="77"/>
              <w:ind w:left="35"/>
              <w:jc w:val="left"/>
              <w:rPr>
                <w:b/>
                <w:sz w:val="18"/>
              </w:rPr>
            </w:pPr>
            <w:r>
              <w:rPr>
                <w:b/>
                <w:sz w:val="18"/>
              </w:rPr>
              <w:t>19</w:t>
            </w:r>
          </w:p>
        </w:tc>
        <w:tc>
          <w:tcPr>
            <w:tcW w:w="8919" w:type="dxa"/>
          </w:tcPr>
          <w:p>
            <w:pPr>
              <w:pStyle w:val="TableParagraph"/>
              <w:spacing w:before="77"/>
              <w:ind w:left="99"/>
              <w:jc w:val="left"/>
              <w:rPr>
                <w:b/>
                <w:sz w:val="18"/>
              </w:rPr>
            </w:pPr>
            <w:r>
              <w:rPr>
                <w:b/>
                <w:sz w:val="18"/>
              </w:rPr>
              <w:t>Remuneration of the Board</w:t>
            </w:r>
          </w:p>
          <w:p>
            <w:pPr>
              <w:pStyle w:val="TableParagraph"/>
              <w:spacing w:before="11"/>
              <w:jc w:val="left"/>
              <w:rPr>
                <w:b/>
                <w:sz w:val="24"/>
              </w:rPr>
            </w:pPr>
          </w:p>
          <w:p>
            <w:pPr>
              <w:pStyle w:val="TableParagraph"/>
              <w:ind w:left="99"/>
              <w:jc w:val="left"/>
              <w:rPr>
                <w:sz w:val="18"/>
              </w:rPr>
            </w:pPr>
            <w:r>
              <w:rPr>
                <w:sz w:val="18"/>
              </w:rPr>
              <w:t>Total remuneration to external independent Board members of the Company during the year are as follows:</w:t>
            </w:r>
          </w:p>
        </w:tc>
        <w:tc>
          <w:tcPr>
            <w:tcW w:w="648" w:type="dxa"/>
          </w:tcPr>
          <w:p>
            <w:pPr/>
          </w:p>
        </w:tc>
      </w:tr>
      <w:tr>
        <w:trPr>
          <w:trHeight w:val="257" w:hRule="exact"/>
        </w:trPr>
        <w:tc>
          <w:tcPr>
            <w:tcW w:w="332" w:type="dxa"/>
          </w:tcPr>
          <w:p>
            <w:pPr/>
          </w:p>
        </w:tc>
        <w:tc>
          <w:tcPr>
            <w:tcW w:w="8919" w:type="dxa"/>
          </w:tcPr>
          <w:p>
            <w:pPr>
              <w:pStyle w:val="TableParagraph"/>
              <w:spacing w:before="7"/>
              <w:ind w:right="644"/>
              <w:rPr>
                <w:b/>
                <w:sz w:val="18"/>
              </w:rPr>
            </w:pPr>
            <w:bookmarkStart w:name="Other key management personnel transacti" w:id="248"/>
            <w:bookmarkEnd w:id="248"/>
            <w:r>
              <w:rPr/>
            </w:r>
            <w:r>
              <w:rPr>
                <w:b/>
                <w:sz w:val="18"/>
              </w:rPr>
              <w:t>2016</w:t>
            </w:r>
          </w:p>
        </w:tc>
        <w:tc>
          <w:tcPr>
            <w:tcW w:w="648" w:type="dxa"/>
          </w:tcPr>
          <w:p>
            <w:pPr>
              <w:pStyle w:val="TableParagraph"/>
              <w:spacing w:before="7"/>
              <w:ind w:left="6"/>
              <w:jc w:val="left"/>
              <w:rPr>
                <w:b/>
                <w:sz w:val="18"/>
              </w:rPr>
            </w:pPr>
            <w:r>
              <w:rPr>
                <w:b/>
                <w:sz w:val="18"/>
              </w:rPr>
              <w:t>2015</w:t>
            </w:r>
          </w:p>
        </w:tc>
      </w:tr>
      <w:tr>
        <w:trPr>
          <w:trHeight w:val="271" w:hRule="exact"/>
        </w:trPr>
        <w:tc>
          <w:tcPr>
            <w:tcW w:w="332" w:type="dxa"/>
          </w:tcPr>
          <w:p>
            <w:pPr/>
          </w:p>
        </w:tc>
        <w:tc>
          <w:tcPr>
            <w:tcW w:w="8919" w:type="dxa"/>
          </w:tcPr>
          <w:p>
            <w:pPr>
              <w:pStyle w:val="TableParagraph"/>
              <w:spacing w:before="24"/>
              <w:ind w:right="792"/>
              <w:rPr>
                <w:b/>
                <w:sz w:val="18"/>
              </w:rPr>
            </w:pPr>
            <w:r>
              <w:rPr>
                <w:b/>
                <w:w w:val="99"/>
                <w:sz w:val="18"/>
              </w:rPr>
              <w:t>$</w:t>
            </w:r>
          </w:p>
        </w:tc>
        <w:tc>
          <w:tcPr>
            <w:tcW w:w="648" w:type="dxa"/>
          </w:tcPr>
          <w:p>
            <w:pPr>
              <w:pStyle w:val="TableParagraph"/>
              <w:spacing w:before="24"/>
              <w:ind w:left="156"/>
              <w:jc w:val="left"/>
              <w:rPr>
                <w:b/>
                <w:sz w:val="18"/>
              </w:rPr>
            </w:pPr>
            <w:r>
              <w:rPr>
                <w:b/>
                <w:w w:val="99"/>
                <w:sz w:val="18"/>
              </w:rPr>
              <w:t>$</w:t>
            </w:r>
          </w:p>
        </w:tc>
      </w:tr>
      <w:tr>
        <w:trPr>
          <w:trHeight w:val="406" w:hRule="exact"/>
        </w:trPr>
        <w:tc>
          <w:tcPr>
            <w:tcW w:w="332" w:type="dxa"/>
          </w:tcPr>
          <w:p>
            <w:pPr/>
          </w:p>
        </w:tc>
        <w:tc>
          <w:tcPr>
            <w:tcW w:w="8919" w:type="dxa"/>
          </w:tcPr>
          <w:p>
            <w:pPr>
              <w:pStyle w:val="TableParagraph"/>
              <w:tabs>
                <w:tab w:pos="7946" w:val="left" w:leader="none"/>
              </w:tabs>
              <w:spacing w:before="22"/>
              <w:ind w:left="99"/>
              <w:jc w:val="left"/>
              <w:rPr>
                <w:b/>
                <w:sz w:val="18"/>
              </w:rPr>
            </w:pPr>
            <w:r>
              <w:rPr>
                <w:sz w:val="18"/>
              </w:rPr>
              <w:t>Independent</w:t>
            </w:r>
            <w:r>
              <w:rPr>
                <w:spacing w:val="-7"/>
                <w:sz w:val="18"/>
              </w:rPr>
              <w:t> </w:t>
            </w:r>
            <w:r>
              <w:rPr>
                <w:sz w:val="18"/>
              </w:rPr>
              <w:t>Directors</w:t>
            </w:r>
            <w:r>
              <w:rPr>
                <w:spacing w:val="-7"/>
                <w:sz w:val="18"/>
              </w:rPr>
              <w:t> </w:t>
            </w:r>
            <w:r>
              <w:rPr>
                <w:sz w:val="18"/>
              </w:rPr>
              <w:t>fees</w:t>
              <w:tab/>
            </w:r>
            <w:r>
              <w:rPr>
                <w:b/>
                <w:sz w:val="18"/>
              </w:rPr>
              <w:t>12,500</w:t>
            </w:r>
          </w:p>
        </w:tc>
        <w:tc>
          <w:tcPr>
            <w:tcW w:w="648" w:type="dxa"/>
          </w:tcPr>
          <w:p>
            <w:pPr>
              <w:pStyle w:val="TableParagraph"/>
              <w:spacing w:before="21"/>
              <w:ind w:left="64"/>
              <w:jc w:val="left"/>
              <w:rPr>
                <w:b/>
                <w:sz w:val="18"/>
              </w:rPr>
            </w:pPr>
            <w:r>
              <w:rPr>
                <w:b/>
                <w:sz w:val="18"/>
              </w:rPr>
              <w:t>45,000</w:t>
            </w:r>
          </w:p>
        </w:tc>
      </w:tr>
      <w:tr>
        <w:trPr>
          <w:trHeight w:val="520" w:hRule="exact"/>
        </w:trPr>
        <w:tc>
          <w:tcPr>
            <w:tcW w:w="332" w:type="dxa"/>
          </w:tcPr>
          <w:p>
            <w:pPr/>
          </w:p>
        </w:tc>
        <w:tc>
          <w:tcPr>
            <w:tcW w:w="8919" w:type="dxa"/>
          </w:tcPr>
          <w:p>
            <w:pPr>
              <w:pStyle w:val="TableParagraph"/>
              <w:spacing w:before="157"/>
              <w:ind w:left="97"/>
              <w:jc w:val="left"/>
              <w:rPr>
                <w:b/>
                <w:sz w:val="18"/>
              </w:rPr>
            </w:pPr>
            <w:bookmarkStart w:name="20 Related Parties" w:id="249"/>
            <w:bookmarkEnd w:id="249"/>
            <w:r>
              <w:rPr/>
            </w:r>
            <w:r>
              <w:rPr>
                <w:b/>
                <w:sz w:val="18"/>
              </w:rPr>
              <w:t>Other key management personnel transactions</w:t>
            </w:r>
          </w:p>
        </w:tc>
        <w:tc>
          <w:tcPr>
            <w:tcW w:w="648" w:type="dxa"/>
          </w:tcPr>
          <w:p>
            <w:pPr/>
          </w:p>
        </w:tc>
      </w:tr>
      <w:tr>
        <w:trPr>
          <w:trHeight w:val="497" w:hRule="exact"/>
        </w:trPr>
        <w:tc>
          <w:tcPr>
            <w:tcW w:w="332" w:type="dxa"/>
          </w:tcPr>
          <w:p>
            <w:pPr/>
          </w:p>
        </w:tc>
        <w:tc>
          <w:tcPr>
            <w:tcW w:w="8919" w:type="dxa"/>
          </w:tcPr>
          <w:p>
            <w:pPr>
              <w:pStyle w:val="TableParagraph"/>
              <w:spacing w:before="136"/>
              <w:ind w:left="99"/>
              <w:jc w:val="left"/>
              <w:rPr>
                <w:sz w:val="18"/>
              </w:rPr>
            </w:pPr>
            <w:bookmarkStart w:name="(a) The Company's main related parties a" w:id="250"/>
            <w:bookmarkEnd w:id="250"/>
            <w:r>
              <w:rPr/>
            </w:r>
            <w:r>
              <w:rPr>
                <w:sz w:val="18"/>
              </w:rPr>
              <w:t>For</w:t>
            </w:r>
            <w:r>
              <w:rPr>
                <w:spacing w:val="-7"/>
                <w:sz w:val="18"/>
              </w:rPr>
              <w:t> </w:t>
            </w:r>
            <w:r>
              <w:rPr>
                <w:sz w:val="18"/>
              </w:rPr>
              <w:t>details</w:t>
            </w:r>
            <w:r>
              <w:rPr>
                <w:spacing w:val="-7"/>
                <w:sz w:val="18"/>
              </w:rPr>
              <w:t> </w:t>
            </w:r>
            <w:r>
              <w:rPr>
                <w:sz w:val="18"/>
              </w:rPr>
              <w:t>of</w:t>
            </w:r>
            <w:r>
              <w:rPr>
                <w:spacing w:val="-7"/>
                <w:sz w:val="18"/>
              </w:rPr>
              <w:t> </w:t>
            </w:r>
            <w:r>
              <w:rPr>
                <w:sz w:val="18"/>
              </w:rPr>
              <w:t>other</w:t>
            </w:r>
            <w:r>
              <w:rPr>
                <w:spacing w:val="-7"/>
                <w:sz w:val="18"/>
              </w:rPr>
              <w:t> </w:t>
            </w:r>
            <w:r>
              <w:rPr>
                <w:sz w:val="18"/>
              </w:rPr>
              <w:t>transactions</w:t>
            </w:r>
            <w:r>
              <w:rPr>
                <w:spacing w:val="-7"/>
                <w:sz w:val="18"/>
              </w:rPr>
              <w:t> </w:t>
            </w:r>
            <w:r>
              <w:rPr>
                <w:sz w:val="18"/>
              </w:rPr>
              <w:t>with</w:t>
            </w:r>
            <w:r>
              <w:rPr>
                <w:spacing w:val="-7"/>
                <w:sz w:val="18"/>
              </w:rPr>
              <w:t> </w:t>
            </w:r>
            <w:r>
              <w:rPr>
                <w:sz w:val="18"/>
              </w:rPr>
              <w:t>key</w:t>
            </w:r>
            <w:r>
              <w:rPr>
                <w:spacing w:val="-7"/>
                <w:sz w:val="18"/>
              </w:rPr>
              <w:t> </w:t>
            </w:r>
            <w:r>
              <w:rPr>
                <w:sz w:val="18"/>
              </w:rPr>
              <w:t>management</w:t>
            </w:r>
            <w:r>
              <w:rPr>
                <w:spacing w:val="-7"/>
                <w:sz w:val="18"/>
              </w:rPr>
              <w:t> </w:t>
            </w:r>
            <w:r>
              <w:rPr>
                <w:sz w:val="18"/>
              </w:rPr>
              <w:t>personnel,</w:t>
            </w:r>
            <w:r>
              <w:rPr>
                <w:spacing w:val="-7"/>
                <w:sz w:val="18"/>
              </w:rPr>
              <w:t> </w:t>
            </w:r>
            <w:r>
              <w:rPr>
                <w:sz w:val="18"/>
              </w:rPr>
              <w:t>refer</w:t>
            </w:r>
            <w:r>
              <w:rPr>
                <w:spacing w:val="-7"/>
                <w:sz w:val="18"/>
              </w:rPr>
              <w:t> </w:t>
            </w:r>
            <w:r>
              <w:rPr>
                <w:sz w:val="18"/>
              </w:rPr>
              <w:t>to</w:t>
            </w:r>
            <w:r>
              <w:rPr>
                <w:spacing w:val="-7"/>
                <w:sz w:val="18"/>
              </w:rPr>
              <w:t> </w:t>
            </w:r>
            <w:r>
              <w:rPr>
                <w:sz w:val="18"/>
              </w:rPr>
              <w:t>Note</w:t>
            </w:r>
            <w:r>
              <w:rPr>
                <w:spacing w:val="-6"/>
                <w:sz w:val="18"/>
              </w:rPr>
              <w:t> </w:t>
            </w:r>
            <w:r>
              <w:rPr>
                <w:sz w:val="18"/>
              </w:rPr>
              <w:t>20:</w:t>
            </w:r>
            <w:r>
              <w:rPr>
                <w:spacing w:val="-7"/>
                <w:sz w:val="18"/>
              </w:rPr>
              <w:t> </w:t>
            </w:r>
            <w:r>
              <w:rPr>
                <w:sz w:val="18"/>
              </w:rPr>
              <w:t>Related</w:t>
            </w:r>
            <w:r>
              <w:rPr>
                <w:spacing w:val="-7"/>
                <w:sz w:val="18"/>
              </w:rPr>
              <w:t> </w:t>
            </w:r>
            <w:r>
              <w:rPr>
                <w:sz w:val="18"/>
              </w:rPr>
              <w:t>Party</w:t>
            </w:r>
            <w:r>
              <w:rPr>
                <w:spacing w:val="-7"/>
                <w:sz w:val="18"/>
              </w:rPr>
              <w:t> </w:t>
            </w:r>
            <w:r>
              <w:rPr>
                <w:sz w:val="18"/>
              </w:rPr>
              <w:t>Transactions.</w:t>
            </w:r>
          </w:p>
        </w:tc>
        <w:tc>
          <w:tcPr>
            <w:tcW w:w="648" w:type="dxa"/>
          </w:tcPr>
          <w:p>
            <w:pPr/>
          </w:p>
        </w:tc>
      </w:tr>
      <w:tr>
        <w:trPr>
          <w:trHeight w:val="437" w:hRule="exact"/>
        </w:trPr>
        <w:tc>
          <w:tcPr>
            <w:tcW w:w="332" w:type="dxa"/>
          </w:tcPr>
          <w:p>
            <w:pPr>
              <w:pStyle w:val="TableParagraph"/>
              <w:spacing w:before="134"/>
              <w:ind w:left="35"/>
              <w:jc w:val="left"/>
              <w:rPr>
                <w:b/>
                <w:sz w:val="18"/>
              </w:rPr>
            </w:pPr>
            <w:r>
              <w:rPr>
                <w:b/>
                <w:sz w:val="18"/>
              </w:rPr>
              <w:t>20</w:t>
            </w:r>
          </w:p>
        </w:tc>
        <w:tc>
          <w:tcPr>
            <w:tcW w:w="8919" w:type="dxa"/>
          </w:tcPr>
          <w:p>
            <w:pPr>
              <w:pStyle w:val="TableParagraph"/>
              <w:spacing w:before="134"/>
              <w:ind w:left="99"/>
              <w:jc w:val="left"/>
              <w:rPr>
                <w:b/>
                <w:sz w:val="18"/>
              </w:rPr>
            </w:pPr>
            <w:r>
              <w:rPr>
                <w:b/>
                <w:sz w:val="18"/>
              </w:rPr>
              <w:t>Related Parties</w:t>
            </w:r>
          </w:p>
        </w:tc>
        <w:tc>
          <w:tcPr>
            <w:tcW w:w="648" w:type="dxa"/>
          </w:tcPr>
          <w:p>
            <w:pPr/>
          </w:p>
        </w:tc>
      </w:tr>
    </w:tbl>
    <w:p>
      <w:pPr>
        <w:pStyle w:val="BodyText"/>
        <w:spacing w:before="7"/>
        <w:rPr>
          <w:b/>
          <w:sz w:val="11"/>
        </w:rPr>
      </w:pPr>
    </w:p>
    <w:p>
      <w:pPr>
        <w:pStyle w:val="Heading8"/>
        <w:numPr>
          <w:ilvl w:val="0"/>
          <w:numId w:val="55"/>
        </w:numPr>
        <w:tabs>
          <w:tab w:pos="2392" w:val="left" w:leader="none"/>
        </w:tabs>
        <w:spacing w:line="240" w:lineRule="auto" w:before="77" w:after="0"/>
        <w:ind w:left="2391" w:right="0" w:hanging="566"/>
        <w:jc w:val="left"/>
      </w:pPr>
      <w:r>
        <w:rPr/>
        <w:t>The Company's main related parties are as</w:t>
      </w:r>
      <w:r>
        <w:rPr>
          <w:spacing w:val="1"/>
        </w:rPr>
        <w:t> </w:t>
      </w:r>
      <w:r>
        <w:rPr/>
        <w:t>follows:</w:t>
      </w:r>
    </w:p>
    <w:p>
      <w:pPr>
        <w:pStyle w:val="BodyText"/>
        <w:spacing w:before="4"/>
        <w:rPr>
          <w:b/>
          <w:sz w:val="25"/>
        </w:rPr>
      </w:pPr>
    </w:p>
    <w:p>
      <w:pPr>
        <w:pStyle w:val="ListParagraph"/>
        <w:numPr>
          <w:ilvl w:val="1"/>
          <w:numId w:val="55"/>
        </w:numPr>
        <w:tabs>
          <w:tab w:pos="2569" w:val="left" w:leader="none"/>
        </w:tabs>
        <w:spacing w:line="240" w:lineRule="auto" w:before="0" w:after="0"/>
        <w:ind w:left="2568" w:right="0" w:hanging="209"/>
        <w:jc w:val="left"/>
        <w:rPr>
          <w:i/>
          <w:sz w:val="18"/>
        </w:rPr>
      </w:pPr>
      <w:r>
        <w:rPr>
          <w:i/>
          <w:sz w:val="18"/>
        </w:rPr>
        <w:t>Entities</w:t>
      </w:r>
      <w:r>
        <w:rPr>
          <w:i/>
          <w:spacing w:val="-8"/>
          <w:sz w:val="18"/>
        </w:rPr>
        <w:t> </w:t>
      </w:r>
      <w:r>
        <w:rPr>
          <w:i/>
          <w:sz w:val="18"/>
        </w:rPr>
        <w:t>exercising</w:t>
      </w:r>
      <w:r>
        <w:rPr>
          <w:i/>
          <w:spacing w:val="-8"/>
          <w:sz w:val="18"/>
        </w:rPr>
        <w:t> </w:t>
      </w:r>
      <w:r>
        <w:rPr>
          <w:i/>
          <w:sz w:val="18"/>
        </w:rPr>
        <w:t>control</w:t>
      </w:r>
      <w:r>
        <w:rPr>
          <w:i/>
          <w:spacing w:val="-8"/>
          <w:sz w:val="18"/>
        </w:rPr>
        <w:t> </w:t>
      </w:r>
      <w:r>
        <w:rPr>
          <w:i/>
          <w:sz w:val="18"/>
        </w:rPr>
        <w:t>over</w:t>
      </w:r>
      <w:r>
        <w:rPr>
          <w:i/>
          <w:spacing w:val="-7"/>
          <w:sz w:val="18"/>
        </w:rPr>
        <w:t> </w:t>
      </w:r>
      <w:r>
        <w:rPr>
          <w:i/>
          <w:sz w:val="18"/>
        </w:rPr>
        <w:t>the</w:t>
      </w:r>
      <w:r>
        <w:rPr>
          <w:i/>
          <w:spacing w:val="-8"/>
          <w:sz w:val="18"/>
        </w:rPr>
        <w:t> </w:t>
      </w:r>
      <w:r>
        <w:rPr>
          <w:i/>
          <w:sz w:val="18"/>
        </w:rPr>
        <w:t>Company:</w:t>
      </w:r>
    </w:p>
    <w:p>
      <w:pPr>
        <w:pStyle w:val="BodyText"/>
        <w:spacing w:before="11"/>
        <w:rPr>
          <w:i/>
          <w:sz w:val="24"/>
        </w:rPr>
      </w:pPr>
    </w:p>
    <w:p>
      <w:pPr>
        <w:pStyle w:val="BodyText"/>
        <w:ind w:left="2392" w:right="1375"/>
      </w:pPr>
      <w:r>
        <w:rPr/>
        <w:t>The parent entity, which exercises control over the Company, is Western Sydney University which wholly owns the Company.</w:t>
      </w:r>
    </w:p>
    <w:p>
      <w:pPr>
        <w:pStyle w:val="BodyText"/>
        <w:spacing w:before="11"/>
        <w:rPr>
          <w:sz w:val="24"/>
        </w:rPr>
      </w:pPr>
    </w:p>
    <w:p>
      <w:pPr>
        <w:pStyle w:val="ListParagraph"/>
        <w:numPr>
          <w:ilvl w:val="1"/>
          <w:numId w:val="55"/>
        </w:numPr>
        <w:tabs>
          <w:tab w:pos="2536" w:val="left" w:leader="none"/>
        </w:tabs>
        <w:spacing w:line="240" w:lineRule="auto" w:before="0" w:after="0"/>
        <w:ind w:left="2535" w:right="0" w:hanging="249"/>
        <w:jc w:val="left"/>
        <w:rPr>
          <w:i/>
          <w:sz w:val="18"/>
        </w:rPr>
      </w:pPr>
      <w:r>
        <w:rPr/>
        <w:drawing>
          <wp:anchor distT="0" distB="0" distL="0" distR="0" allowOverlap="1" layoutInCell="1" locked="0" behindDoc="0" simplePos="0" relativeHeight="9328">
            <wp:simplePos x="0" y="0"/>
            <wp:positionH relativeFrom="page">
              <wp:posOffset>-1587</wp:posOffset>
            </wp:positionH>
            <wp:positionV relativeFrom="paragraph">
              <wp:posOffset>100506</wp:posOffset>
            </wp:positionV>
            <wp:extent cx="136525" cy="155575"/>
            <wp:effectExtent l="0" t="0" r="0" b="0"/>
            <wp:wrapNone/>
            <wp:docPr id="621" name="image13.png" descr=""/>
            <wp:cNvGraphicFramePr>
              <a:graphicFrameLocks noChangeAspect="1"/>
            </wp:cNvGraphicFramePr>
            <a:graphic>
              <a:graphicData uri="http://schemas.openxmlformats.org/drawingml/2006/picture">
                <pic:pic>
                  <pic:nvPicPr>
                    <pic:cNvPr id="622" name="image13.png"/>
                    <pic:cNvPicPr/>
                  </pic:nvPicPr>
                  <pic:blipFill>
                    <a:blip r:embed="rId18" cstate="print"/>
                    <a:stretch>
                      <a:fillRect/>
                    </a:stretch>
                  </pic:blipFill>
                  <pic:spPr>
                    <a:xfrm>
                      <a:off x="0" y="0"/>
                      <a:ext cx="136525" cy="155575"/>
                    </a:xfrm>
                    <a:prstGeom prst="rect">
                      <a:avLst/>
                    </a:prstGeom>
                  </pic:spPr>
                </pic:pic>
              </a:graphicData>
            </a:graphic>
          </wp:anchor>
        </w:drawing>
      </w:r>
      <w:r>
        <w:rPr/>
        <w:drawing>
          <wp:anchor distT="0" distB="0" distL="0" distR="0" allowOverlap="1" layoutInCell="1" locked="0" behindDoc="0" simplePos="0" relativeHeight="9352">
            <wp:simplePos x="0" y="0"/>
            <wp:positionH relativeFrom="page">
              <wp:posOffset>7958429</wp:posOffset>
            </wp:positionH>
            <wp:positionV relativeFrom="paragraph">
              <wp:posOffset>100506</wp:posOffset>
            </wp:positionV>
            <wp:extent cx="135953" cy="155575"/>
            <wp:effectExtent l="0" t="0" r="0" b="0"/>
            <wp:wrapNone/>
            <wp:docPr id="623" name="image15.png" descr=""/>
            <wp:cNvGraphicFramePr>
              <a:graphicFrameLocks noChangeAspect="1"/>
            </wp:cNvGraphicFramePr>
            <a:graphic>
              <a:graphicData uri="http://schemas.openxmlformats.org/drawingml/2006/picture">
                <pic:pic>
                  <pic:nvPicPr>
                    <pic:cNvPr id="624" name="image15.png"/>
                    <pic:cNvPicPr/>
                  </pic:nvPicPr>
                  <pic:blipFill>
                    <a:blip r:embed="rId20" cstate="print"/>
                    <a:stretch>
                      <a:fillRect/>
                    </a:stretch>
                  </pic:blipFill>
                  <pic:spPr>
                    <a:xfrm>
                      <a:off x="0" y="0"/>
                      <a:ext cx="135953" cy="155575"/>
                    </a:xfrm>
                    <a:prstGeom prst="rect">
                      <a:avLst/>
                    </a:prstGeom>
                  </pic:spPr>
                </pic:pic>
              </a:graphicData>
            </a:graphic>
          </wp:anchor>
        </w:drawing>
      </w:r>
      <w:r>
        <w:rPr>
          <w:i/>
          <w:sz w:val="18"/>
        </w:rPr>
        <w:t>Joint Venture with Navitas</w:t>
      </w:r>
      <w:r>
        <w:rPr>
          <w:i/>
          <w:spacing w:val="-28"/>
          <w:sz w:val="18"/>
        </w:rPr>
        <w:t> </w:t>
      </w:r>
      <w:r>
        <w:rPr>
          <w:i/>
          <w:sz w:val="18"/>
        </w:rPr>
        <w:t>Ltd:</w:t>
      </w:r>
    </w:p>
    <w:p>
      <w:pPr>
        <w:pStyle w:val="BodyText"/>
        <w:spacing w:before="11"/>
        <w:rPr>
          <w:i/>
          <w:sz w:val="24"/>
        </w:rPr>
      </w:pPr>
    </w:p>
    <w:p>
      <w:pPr>
        <w:pStyle w:val="BodyText"/>
        <w:ind w:left="2392" w:right="1375"/>
      </w:pPr>
      <w:r>
        <w:rPr/>
        <w:t>In April 2015, the Company entered into a Joint Venture Agreement with Navitas Ltd to form Western Sydney </w:t>
      </w:r>
      <w:bookmarkStart w:name="(b) Transactions with related parties" w:id="251"/>
      <w:bookmarkEnd w:id="251"/>
      <w:r>
        <w:rPr/>
      </w:r>
      <w:r>
        <w:rPr/>
        <w:t>University International College Pty Ltd to operate an international college at Parramatta, New South Wales. The Company owns 50% of the entity.</w:t>
      </w:r>
    </w:p>
    <w:p>
      <w:pPr>
        <w:pStyle w:val="BodyText"/>
      </w:pPr>
    </w:p>
    <w:p>
      <w:pPr>
        <w:pStyle w:val="BodyText"/>
      </w:pPr>
    </w:p>
    <w:p>
      <w:pPr>
        <w:pStyle w:val="BodyText"/>
        <w:spacing w:before="7"/>
        <w:rPr>
          <w:sz w:val="14"/>
        </w:rPr>
      </w:pPr>
    </w:p>
    <w:p>
      <w:pPr>
        <w:pStyle w:val="Heading8"/>
        <w:numPr>
          <w:ilvl w:val="0"/>
          <w:numId w:val="55"/>
        </w:numPr>
        <w:tabs>
          <w:tab w:pos="2392" w:val="left" w:leader="none"/>
        </w:tabs>
        <w:spacing w:line="240" w:lineRule="auto" w:before="0" w:after="0"/>
        <w:ind w:left="2391" w:right="0" w:hanging="566"/>
        <w:jc w:val="left"/>
      </w:pPr>
      <w:r>
        <w:rPr/>
        <w:t>Transactions with related</w:t>
      </w:r>
      <w:r>
        <w:rPr>
          <w:spacing w:val="5"/>
        </w:rPr>
        <w:t> </w:t>
      </w:r>
      <w:r>
        <w:rPr/>
        <w:t>parties</w:t>
      </w:r>
    </w:p>
    <w:p>
      <w:pPr>
        <w:pStyle w:val="BodyText"/>
        <w:spacing w:before="4"/>
        <w:rPr>
          <w:b/>
          <w:sz w:val="25"/>
        </w:rPr>
      </w:pPr>
    </w:p>
    <w:p>
      <w:pPr>
        <w:pStyle w:val="BodyText"/>
        <w:ind w:left="2392" w:right="1375"/>
      </w:pPr>
      <w:r>
        <w:rPr/>
        <w:t>Transactions between related parties are on normal commercial terms and conditions no more favourable than those available to other parties unless otherwise stated.</w:t>
      </w:r>
    </w:p>
    <w:p>
      <w:pPr>
        <w:pStyle w:val="BodyText"/>
        <w:spacing w:before="3"/>
      </w:pPr>
    </w:p>
    <w:p>
      <w:pPr>
        <w:spacing w:after="0"/>
        <w:sectPr>
          <w:pgSz w:w="12750" w:h="17680"/>
          <w:pgMar w:header="0" w:footer="867" w:top="1880" w:bottom="1120" w:left="0" w:right="0"/>
        </w:sectPr>
      </w:pPr>
    </w:p>
    <w:p>
      <w:pPr>
        <w:pStyle w:val="BodyText"/>
        <w:spacing w:before="77"/>
        <w:ind w:left="2392"/>
      </w:pPr>
      <w:r>
        <w:rPr/>
        <w:t>The</w:t>
      </w:r>
      <w:r>
        <w:rPr>
          <w:spacing w:val="-10"/>
        </w:rPr>
        <w:t> </w:t>
      </w:r>
      <w:r>
        <w:rPr/>
        <w:t>following</w:t>
      </w:r>
      <w:r>
        <w:rPr>
          <w:spacing w:val="-10"/>
        </w:rPr>
        <w:t> </w:t>
      </w:r>
      <w:r>
        <w:rPr/>
        <w:t>transactions</w:t>
      </w:r>
      <w:r>
        <w:rPr>
          <w:spacing w:val="-10"/>
        </w:rPr>
        <w:t> </w:t>
      </w:r>
      <w:r>
        <w:rPr/>
        <w:t>occurred</w:t>
      </w:r>
      <w:r>
        <w:rPr>
          <w:spacing w:val="-10"/>
        </w:rPr>
        <w:t> </w:t>
      </w:r>
      <w:r>
        <w:rPr/>
        <w:t>with</w:t>
      </w:r>
      <w:r>
        <w:rPr>
          <w:spacing w:val="-10"/>
        </w:rPr>
        <w:t> </w:t>
      </w:r>
      <w:r>
        <w:rPr/>
        <w:t>related</w:t>
      </w:r>
      <w:r>
        <w:rPr>
          <w:spacing w:val="-10"/>
        </w:rPr>
        <w:t> </w:t>
      </w:r>
      <w:r>
        <w:rPr/>
        <w:t>parties:</w:t>
      </w:r>
    </w:p>
    <w:p>
      <w:pPr>
        <w:pStyle w:val="BodyText"/>
      </w:pPr>
      <w:r>
        <w:rPr/>
        <w:br w:type="column"/>
      </w:r>
      <w:r>
        <w:rPr/>
      </w:r>
    </w:p>
    <w:p>
      <w:pPr>
        <w:pStyle w:val="Heading8"/>
        <w:spacing w:before="110"/>
        <w:jc w:val="right"/>
      </w:pPr>
      <w:r>
        <w:rPr/>
        <w:t>2016</w:t>
      </w:r>
    </w:p>
    <w:p>
      <w:pPr>
        <w:spacing w:before="66"/>
        <w:ind w:left="0" w:right="146" w:firstLine="0"/>
        <w:jc w:val="right"/>
        <w:rPr>
          <w:b/>
          <w:sz w:val="18"/>
        </w:rPr>
      </w:pPr>
      <w:r>
        <w:rPr>
          <w:b/>
          <w:w w:val="99"/>
          <w:sz w:val="18"/>
        </w:rPr>
        <w:t>$</w:t>
      </w:r>
    </w:p>
    <w:p>
      <w:pPr>
        <w:pStyle w:val="BodyText"/>
        <w:rPr>
          <w:b/>
        </w:rPr>
      </w:pPr>
      <w:r>
        <w:rPr/>
        <w:br w:type="column"/>
      </w:r>
      <w:r>
        <w:rPr>
          <w:b/>
        </w:rPr>
      </w:r>
    </w:p>
    <w:p>
      <w:pPr>
        <w:spacing w:before="110"/>
        <w:ind w:left="660" w:right="1726" w:firstLine="0"/>
        <w:jc w:val="center"/>
        <w:rPr>
          <w:b/>
          <w:sz w:val="18"/>
        </w:rPr>
      </w:pPr>
      <w:r>
        <w:rPr>
          <w:b/>
          <w:sz w:val="18"/>
        </w:rPr>
        <w:t>2015</w:t>
      </w:r>
    </w:p>
    <w:p>
      <w:pPr>
        <w:spacing w:before="66"/>
        <w:ind w:left="0" w:right="1065" w:firstLine="0"/>
        <w:jc w:val="center"/>
        <w:rPr>
          <w:b/>
          <w:sz w:val="18"/>
        </w:rPr>
      </w:pPr>
      <w:r>
        <w:rPr>
          <w:b/>
          <w:w w:val="99"/>
          <w:sz w:val="18"/>
        </w:rPr>
        <w:t>$</w:t>
      </w:r>
    </w:p>
    <w:p>
      <w:pPr>
        <w:spacing w:after="0"/>
        <w:jc w:val="center"/>
        <w:rPr>
          <w:sz w:val="18"/>
        </w:rPr>
        <w:sectPr>
          <w:type w:val="continuous"/>
          <w:pgSz w:w="12750" w:h="17680"/>
          <w:pgMar w:top="1660" w:bottom="0" w:left="0" w:right="0"/>
          <w:cols w:num="3" w:equalWidth="0">
            <w:col w:w="6820" w:space="271"/>
            <w:col w:w="2792" w:space="40"/>
            <w:col w:w="2827"/>
          </w:cols>
        </w:sectPr>
      </w:pPr>
    </w:p>
    <w:p>
      <w:pPr>
        <w:pStyle w:val="BodyText"/>
        <w:spacing w:before="11"/>
        <w:rPr>
          <w:b/>
          <w:sz w:val="5"/>
        </w:rPr>
      </w:pPr>
    </w:p>
    <w:tbl>
      <w:tblPr>
        <w:tblW w:w="0" w:type="auto"/>
        <w:jc w:val="left"/>
        <w:tblInd w:w="241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673"/>
        <w:gridCol w:w="1198"/>
        <w:gridCol w:w="1063"/>
      </w:tblGrid>
      <w:tr>
        <w:trPr>
          <w:trHeight w:val="557" w:hRule="exact"/>
        </w:trPr>
        <w:tc>
          <w:tcPr>
            <w:tcW w:w="6673" w:type="dxa"/>
          </w:tcPr>
          <w:p>
            <w:pPr>
              <w:pStyle w:val="TableParagraph"/>
              <w:spacing w:before="77"/>
              <w:ind w:left="35"/>
              <w:jc w:val="left"/>
              <w:rPr>
                <w:b/>
                <w:sz w:val="18"/>
              </w:rPr>
            </w:pPr>
            <w:r>
              <w:rPr>
                <w:b/>
                <w:sz w:val="18"/>
              </w:rPr>
              <w:t>Purchase of goods and services</w:t>
            </w:r>
          </w:p>
          <w:p>
            <w:pPr>
              <w:pStyle w:val="TableParagraph"/>
              <w:spacing w:before="27"/>
              <w:ind w:left="35"/>
              <w:jc w:val="left"/>
              <w:rPr>
                <w:sz w:val="18"/>
              </w:rPr>
            </w:pPr>
            <w:r>
              <w:rPr>
                <w:sz w:val="18"/>
              </w:rPr>
              <w:t>Purchase of capital works from parent entity</w:t>
            </w:r>
          </w:p>
        </w:tc>
        <w:tc>
          <w:tcPr>
            <w:tcW w:w="1198" w:type="dxa"/>
          </w:tcPr>
          <w:p>
            <w:pPr>
              <w:pStyle w:val="TableParagraph"/>
              <w:jc w:val="left"/>
              <w:rPr>
                <w:b/>
                <w:sz w:val="18"/>
              </w:rPr>
            </w:pPr>
          </w:p>
          <w:p>
            <w:pPr>
              <w:pStyle w:val="TableParagraph"/>
              <w:spacing w:before="105"/>
              <w:ind w:left="264"/>
              <w:jc w:val="left"/>
              <w:rPr>
                <w:b/>
                <w:sz w:val="18"/>
              </w:rPr>
            </w:pPr>
            <w:r>
              <w:rPr>
                <w:b/>
                <w:sz w:val="18"/>
              </w:rPr>
              <w:t>3,748,844</w:t>
            </w:r>
          </w:p>
        </w:tc>
        <w:tc>
          <w:tcPr>
            <w:tcW w:w="1063" w:type="dxa"/>
          </w:tcPr>
          <w:p>
            <w:pPr>
              <w:pStyle w:val="TableParagraph"/>
              <w:jc w:val="left"/>
              <w:rPr>
                <w:b/>
                <w:sz w:val="18"/>
              </w:rPr>
            </w:pPr>
          </w:p>
          <w:p>
            <w:pPr>
              <w:pStyle w:val="TableParagraph"/>
              <w:spacing w:before="105"/>
              <w:ind w:right="86"/>
              <w:rPr>
                <w:sz w:val="18"/>
              </w:rPr>
            </w:pPr>
            <w:r>
              <w:rPr>
                <w:w w:val="95"/>
                <w:sz w:val="18"/>
              </w:rPr>
              <w:t>2,155,156</w:t>
            </w:r>
          </w:p>
        </w:tc>
      </w:tr>
      <w:tr>
        <w:trPr>
          <w:trHeight w:val="263" w:hRule="exact"/>
        </w:trPr>
        <w:tc>
          <w:tcPr>
            <w:tcW w:w="6673" w:type="dxa"/>
          </w:tcPr>
          <w:p>
            <w:pPr>
              <w:pStyle w:val="TableParagraph"/>
              <w:spacing w:before="18"/>
              <w:ind w:left="35"/>
              <w:jc w:val="left"/>
              <w:rPr>
                <w:sz w:val="18"/>
              </w:rPr>
            </w:pPr>
            <w:r>
              <w:rPr>
                <w:sz w:val="18"/>
              </w:rPr>
              <w:t>Purchase of catering services from other related parties</w:t>
            </w:r>
          </w:p>
        </w:tc>
        <w:tc>
          <w:tcPr>
            <w:tcW w:w="1198" w:type="dxa"/>
            <w:tcBorders>
              <w:bottom w:val="single" w:sz="0" w:space="0" w:color="000000"/>
            </w:tcBorders>
          </w:tcPr>
          <w:p>
            <w:pPr>
              <w:pStyle w:val="TableParagraph"/>
              <w:spacing w:before="19"/>
              <w:ind w:left="414"/>
              <w:jc w:val="left"/>
              <w:rPr>
                <w:b/>
                <w:sz w:val="18"/>
              </w:rPr>
            </w:pPr>
            <w:r>
              <w:rPr>
                <w:b/>
                <w:sz w:val="18"/>
              </w:rPr>
              <w:t>115,782</w:t>
            </w:r>
          </w:p>
        </w:tc>
        <w:tc>
          <w:tcPr>
            <w:tcW w:w="1063" w:type="dxa"/>
            <w:tcBorders>
              <w:bottom w:val="single" w:sz="0" w:space="0" w:color="000000"/>
            </w:tcBorders>
          </w:tcPr>
          <w:p>
            <w:pPr>
              <w:pStyle w:val="TableParagraph"/>
              <w:spacing w:before="19"/>
              <w:ind w:right="86"/>
              <w:rPr>
                <w:sz w:val="18"/>
              </w:rPr>
            </w:pPr>
            <w:r>
              <w:rPr>
                <w:w w:val="95"/>
                <w:sz w:val="18"/>
              </w:rPr>
              <w:t>119,562</w:t>
            </w:r>
          </w:p>
        </w:tc>
      </w:tr>
      <w:tr>
        <w:trPr>
          <w:trHeight w:val="338" w:hRule="exact"/>
        </w:trPr>
        <w:tc>
          <w:tcPr>
            <w:tcW w:w="6673" w:type="dxa"/>
          </w:tcPr>
          <w:p>
            <w:pPr>
              <w:pStyle w:val="TableParagraph"/>
              <w:spacing w:before="123"/>
              <w:ind w:left="35"/>
              <w:jc w:val="left"/>
              <w:rPr>
                <w:b/>
                <w:sz w:val="18"/>
              </w:rPr>
            </w:pPr>
            <w:r>
              <w:rPr>
                <w:b/>
                <w:sz w:val="18"/>
              </w:rPr>
              <w:t>Total</w:t>
            </w:r>
          </w:p>
        </w:tc>
        <w:tc>
          <w:tcPr>
            <w:tcW w:w="1198" w:type="dxa"/>
            <w:tcBorders>
              <w:top w:val="single" w:sz="0" w:space="0" w:color="000000"/>
              <w:bottom w:val="single" w:sz="0" w:space="0" w:color="000000"/>
            </w:tcBorders>
          </w:tcPr>
          <w:p>
            <w:pPr>
              <w:pStyle w:val="TableParagraph"/>
              <w:spacing w:before="122"/>
              <w:ind w:left="263"/>
              <w:jc w:val="left"/>
              <w:rPr>
                <w:b/>
                <w:sz w:val="18"/>
              </w:rPr>
            </w:pPr>
            <w:r>
              <w:rPr>
                <w:b/>
                <w:sz w:val="18"/>
              </w:rPr>
              <w:t>3,864,626</w:t>
            </w:r>
          </w:p>
        </w:tc>
        <w:tc>
          <w:tcPr>
            <w:tcW w:w="1063" w:type="dxa"/>
            <w:tcBorders>
              <w:top w:val="single" w:sz="0" w:space="0" w:color="000000"/>
              <w:bottom w:val="single" w:sz="0" w:space="0" w:color="000000"/>
            </w:tcBorders>
          </w:tcPr>
          <w:p>
            <w:pPr>
              <w:pStyle w:val="TableParagraph"/>
              <w:spacing w:before="122"/>
              <w:ind w:right="86"/>
              <w:rPr>
                <w:sz w:val="18"/>
              </w:rPr>
            </w:pPr>
            <w:r>
              <w:rPr>
                <w:w w:val="95"/>
                <w:sz w:val="18"/>
              </w:rPr>
              <w:t>2,274,718</w:t>
            </w:r>
          </w:p>
        </w:tc>
      </w:tr>
      <w:tr>
        <w:trPr>
          <w:trHeight w:val="613" w:hRule="exact"/>
        </w:trPr>
        <w:tc>
          <w:tcPr>
            <w:tcW w:w="6673" w:type="dxa"/>
          </w:tcPr>
          <w:p>
            <w:pPr>
              <w:pStyle w:val="TableParagraph"/>
              <w:spacing w:before="123"/>
              <w:ind w:left="35"/>
              <w:jc w:val="left"/>
              <w:rPr>
                <w:b/>
                <w:sz w:val="18"/>
              </w:rPr>
            </w:pPr>
            <w:r>
              <w:rPr>
                <w:b/>
                <w:sz w:val="18"/>
              </w:rPr>
              <w:t>Other transactions</w:t>
            </w:r>
          </w:p>
          <w:p>
            <w:pPr>
              <w:pStyle w:val="TableParagraph"/>
              <w:spacing w:before="27"/>
              <w:ind w:left="35"/>
              <w:jc w:val="left"/>
              <w:rPr>
                <w:sz w:val="18"/>
              </w:rPr>
            </w:pPr>
            <w:r>
              <w:rPr>
                <w:sz w:val="18"/>
              </w:rPr>
              <w:t>Royalty to parent entity*</w:t>
            </w:r>
          </w:p>
        </w:tc>
        <w:tc>
          <w:tcPr>
            <w:tcW w:w="1198" w:type="dxa"/>
            <w:tcBorders>
              <w:top w:val="single" w:sz="0" w:space="0" w:color="000000"/>
            </w:tcBorders>
          </w:tcPr>
          <w:p>
            <w:pPr>
              <w:pStyle w:val="TableParagraph"/>
              <w:jc w:val="left"/>
              <w:rPr>
                <w:b/>
                <w:sz w:val="18"/>
              </w:rPr>
            </w:pPr>
          </w:p>
          <w:p>
            <w:pPr>
              <w:pStyle w:val="TableParagraph"/>
              <w:spacing w:before="151"/>
              <w:ind w:left="164"/>
              <w:jc w:val="left"/>
              <w:rPr>
                <w:b/>
                <w:sz w:val="18"/>
              </w:rPr>
            </w:pPr>
            <w:r>
              <w:rPr>
                <w:b/>
                <w:sz w:val="18"/>
              </w:rPr>
              <w:t>20,092,238</w:t>
            </w:r>
          </w:p>
        </w:tc>
        <w:tc>
          <w:tcPr>
            <w:tcW w:w="1063" w:type="dxa"/>
            <w:tcBorders>
              <w:top w:val="single" w:sz="0" w:space="0" w:color="000000"/>
            </w:tcBorders>
          </w:tcPr>
          <w:p>
            <w:pPr>
              <w:pStyle w:val="TableParagraph"/>
              <w:jc w:val="left"/>
              <w:rPr>
                <w:b/>
                <w:sz w:val="18"/>
              </w:rPr>
            </w:pPr>
          </w:p>
          <w:p>
            <w:pPr>
              <w:pStyle w:val="TableParagraph"/>
              <w:spacing w:before="151"/>
              <w:ind w:right="86"/>
              <w:rPr>
                <w:sz w:val="18"/>
              </w:rPr>
            </w:pPr>
            <w:r>
              <w:rPr>
                <w:w w:val="95"/>
                <w:sz w:val="18"/>
              </w:rPr>
              <w:t>14,083,420</w:t>
            </w:r>
          </w:p>
        </w:tc>
      </w:tr>
      <w:tr>
        <w:trPr>
          <w:trHeight w:val="274" w:hRule="exact"/>
        </w:trPr>
        <w:tc>
          <w:tcPr>
            <w:tcW w:w="6673" w:type="dxa"/>
          </w:tcPr>
          <w:p>
            <w:pPr>
              <w:pStyle w:val="TableParagraph"/>
              <w:spacing w:before="28"/>
              <w:ind w:left="35"/>
              <w:jc w:val="left"/>
              <w:rPr>
                <w:sz w:val="18"/>
              </w:rPr>
            </w:pPr>
            <w:r>
              <w:rPr>
                <w:sz w:val="18"/>
              </w:rPr>
              <w:t>Share of loss of joint venture</w:t>
            </w:r>
          </w:p>
        </w:tc>
        <w:tc>
          <w:tcPr>
            <w:tcW w:w="1198" w:type="dxa"/>
          </w:tcPr>
          <w:p>
            <w:pPr>
              <w:pStyle w:val="TableParagraph"/>
              <w:spacing w:before="29"/>
              <w:ind w:right="74"/>
              <w:rPr>
                <w:b/>
                <w:sz w:val="18"/>
              </w:rPr>
            </w:pPr>
            <w:r>
              <w:rPr>
                <w:b/>
                <w:w w:val="95"/>
                <w:sz w:val="18"/>
              </w:rPr>
              <w:t>(1,052,110)</w:t>
            </w:r>
          </w:p>
        </w:tc>
        <w:tc>
          <w:tcPr>
            <w:tcW w:w="1063" w:type="dxa"/>
          </w:tcPr>
          <w:p>
            <w:pPr>
              <w:pStyle w:val="TableParagraph"/>
              <w:spacing w:before="29"/>
              <w:ind w:right="27"/>
              <w:rPr>
                <w:sz w:val="18"/>
              </w:rPr>
            </w:pPr>
            <w:r>
              <w:rPr>
                <w:w w:val="95"/>
                <w:sz w:val="18"/>
              </w:rPr>
              <w:t>(119,417)</w:t>
            </w:r>
          </w:p>
        </w:tc>
      </w:tr>
      <w:tr>
        <w:trPr>
          <w:trHeight w:val="263" w:hRule="exact"/>
        </w:trPr>
        <w:tc>
          <w:tcPr>
            <w:tcW w:w="6673" w:type="dxa"/>
          </w:tcPr>
          <w:p>
            <w:pPr>
              <w:pStyle w:val="TableParagraph"/>
              <w:spacing w:before="18"/>
              <w:ind w:left="35"/>
              <w:jc w:val="left"/>
              <w:rPr>
                <w:sz w:val="18"/>
              </w:rPr>
            </w:pPr>
            <w:r>
              <w:rPr>
                <w:sz w:val="18"/>
              </w:rPr>
              <w:t>Interest received on loan to joint venture</w:t>
            </w:r>
          </w:p>
        </w:tc>
        <w:tc>
          <w:tcPr>
            <w:tcW w:w="1198" w:type="dxa"/>
            <w:tcBorders>
              <w:bottom w:val="single" w:sz="0" w:space="0" w:color="000000"/>
            </w:tcBorders>
          </w:tcPr>
          <w:p>
            <w:pPr>
              <w:pStyle w:val="TableParagraph"/>
              <w:spacing w:before="19"/>
              <w:ind w:right="133"/>
              <w:rPr>
                <w:b/>
                <w:sz w:val="18"/>
              </w:rPr>
            </w:pPr>
            <w:r>
              <w:rPr>
                <w:b/>
                <w:w w:val="95"/>
                <w:sz w:val="18"/>
              </w:rPr>
              <w:t>33,239</w:t>
            </w:r>
          </w:p>
        </w:tc>
        <w:tc>
          <w:tcPr>
            <w:tcW w:w="1063" w:type="dxa"/>
            <w:tcBorders>
              <w:bottom w:val="single" w:sz="0" w:space="0" w:color="000000"/>
            </w:tcBorders>
          </w:tcPr>
          <w:p>
            <w:pPr>
              <w:pStyle w:val="TableParagraph"/>
              <w:spacing w:before="19"/>
              <w:ind w:right="29"/>
              <w:jc w:val="center"/>
              <w:rPr>
                <w:sz w:val="18"/>
              </w:rPr>
            </w:pPr>
            <w:r>
              <w:rPr>
                <w:w w:val="99"/>
                <w:sz w:val="18"/>
              </w:rPr>
              <w:t>-</w:t>
            </w:r>
          </w:p>
        </w:tc>
      </w:tr>
      <w:tr>
        <w:trPr>
          <w:trHeight w:val="338" w:hRule="exact"/>
        </w:trPr>
        <w:tc>
          <w:tcPr>
            <w:tcW w:w="6673" w:type="dxa"/>
          </w:tcPr>
          <w:p>
            <w:pPr>
              <w:pStyle w:val="TableParagraph"/>
              <w:spacing w:before="123"/>
              <w:ind w:left="35"/>
              <w:jc w:val="left"/>
              <w:rPr>
                <w:b/>
                <w:sz w:val="18"/>
              </w:rPr>
            </w:pPr>
            <w:r>
              <w:rPr>
                <w:b/>
                <w:sz w:val="18"/>
              </w:rPr>
              <w:t>Total</w:t>
            </w:r>
          </w:p>
        </w:tc>
        <w:tc>
          <w:tcPr>
            <w:tcW w:w="1198" w:type="dxa"/>
            <w:tcBorders>
              <w:top w:val="single" w:sz="0" w:space="0" w:color="000000"/>
              <w:bottom w:val="single" w:sz="0" w:space="0" w:color="000000"/>
            </w:tcBorders>
          </w:tcPr>
          <w:p>
            <w:pPr>
              <w:pStyle w:val="TableParagraph"/>
              <w:spacing w:before="122"/>
              <w:ind w:left="164"/>
              <w:jc w:val="left"/>
              <w:rPr>
                <w:b/>
                <w:sz w:val="18"/>
              </w:rPr>
            </w:pPr>
            <w:r>
              <w:rPr>
                <w:b/>
                <w:sz w:val="18"/>
              </w:rPr>
              <w:t>19,073,367</w:t>
            </w:r>
          </w:p>
        </w:tc>
        <w:tc>
          <w:tcPr>
            <w:tcW w:w="1063" w:type="dxa"/>
            <w:tcBorders>
              <w:top w:val="single" w:sz="0" w:space="0" w:color="000000"/>
              <w:bottom w:val="single" w:sz="0" w:space="0" w:color="000000"/>
            </w:tcBorders>
          </w:tcPr>
          <w:p>
            <w:pPr>
              <w:pStyle w:val="TableParagraph"/>
              <w:spacing w:before="122"/>
              <w:ind w:right="86"/>
              <w:rPr>
                <w:sz w:val="18"/>
              </w:rPr>
            </w:pPr>
            <w:r>
              <w:rPr>
                <w:w w:val="95"/>
                <w:sz w:val="18"/>
              </w:rPr>
              <w:t>13,964,003</w:t>
            </w:r>
          </w:p>
        </w:tc>
      </w:tr>
    </w:tbl>
    <w:p>
      <w:pPr>
        <w:pStyle w:val="BodyText"/>
        <w:spacing w:before="3"/>
        <w:rPr>
          <w:b/>
          <w:sz w:val="19"/>
        </w:rPr>
      </w:pPr>
    </w:p>
    <w:p>
      <w:pPr>
        <w:pStyle w:val="BodyText"/>
        <w:spacing w:before="77"/>
        <w:ind w:left="2391" w:right="1375"/>
      </w:pPr>
      <w:r>
        <w:rPr/>
        <w:t>*Royalty was paid for the use of the parent entity's services, infrastructure, premises and intellectual property during the year.</w:t>
      </w:r>
    </w:p>
    <w:p>
      <w:pPr>
        <w:spacing w:after="0"/>
        <w:sectPr>
          <w:type w:val="continuous"/>
          <w:pgSz w:w="12750" w:h="17680"/>
          <w:pgMar w:top="1660" w:bottom="0" w:left="0" w:right="0"/>
        </w:sectPr>
      </w:pPr>
    </w:p>
    <w:p>
      <w:pPr>
        <w:pStyle w:val="BodyText"/>
        <w:spacing w:before="2"/>
        <w:rPr>
          <w:sz w:val="24"/>
        </w:rPr>
      </w:pPr>
    </w:p>
    <w:p>
      <w:pPr>
        <w:pStyle w:val="Heading4"/>
      </w:pPr>
      <w:r>
        <w:rPr/>
        <w:t>Notes to the Financial Statements</w:t>
      </w:r>
    </w:p>
    <w:p>
      <w:pPr>
        <w:pStyle w:val="Heading7"/>
      </w:pPr>
      <w:r>
        <w:rPr/>
        <w:t>For the Year Ended 31 December 2016</w:t>
      </w:r>
    </w:p>
    <w:p>
      <w:pPr>
        <w:pStyle w:val="BodyText"/>
        <w:rPr>
          <w:b/>
          <w:sz w:val="22"/>
        </w:rPr>
      </w:pPr>
    </w:p>
    <w:p>
      <w:pPr>
        <w:pStyle w:val="BodyText"/>
        <w:rPr>
          <w:b/>
          <w:sz w:val="22"/>
        </w:rPr>
      </w:pPr>
    </w:p>
    <w:p>
      <w:pPr>
        <w:pStyle w:val="Heading8"/>
        <w:spacing w:before="160"/>
        <w:ind w:left="1429"/>
      </w:pPr>
      <w:bookmarkStart w:name="(c) Loans to/from related parties" w:id="252"/>
      <w:bookmarkEnd w:id="252"/>
      <w:r>
        <w:rPr>
          <w:b w:val="0"/>
        </w:rPr>
      </w:r>
      <w:r>
        <w:rPr/>
        <w:t>20    Related Parties continued</w:t>
      </w:r>
    </w:p>
    <w:p>
      <w:pPr>
        <w:pStyle w:val="BodyText"/>
        <w:spacing w:before="11"/>
        <w:rPr>
          <w:b/>
          <w:sz w:val="19"/>
        </w:rPr>
      </w:pPr>
    </w:p>
    <w:tbl>
      <w:tblPr>
        <w:tblW w:w="0" w:type="auto"/>
        <w:jc w:val="left"/>
        <w:tblInd w:w="179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28"/>
        <w:gridCol w:w="6532"/>
        <w:gridCol w:w="1459"/>
        <w:gridCol w:w="1135"/>
      </w:tblGrid>
      <w:tr>
        <w:trPr>
          <w:trHeight w:val="572" w:hRule="exact"/>
        </w:trPr>
        <w:tc>
          <w:tcPr>
            <w:tcW w:w="428" w:type="dxa"/>
          </w:tcPr>
          <w:p>
            <w:pPr>
              <w:pStyle w:val="TableParagraph"/>
              <w:spacing w:before="77"/>
              <w:ind w:left="35"/>
              <w:jc w:val="left"/>
              <w:rPr>
                <w:b/>
                <w:sz w:val="18"/>
              </w:rPr>
            </w:pPr>
            <w:r>
              <w:rPr>
                <w:b/>
                <w:sz w:val="18"/>
              </w:rPr>
              <w:t>(c)</w:t>
            </w:r>
          </w:p>
        </w:tc>
        <w:tc>
          <w:tcPr>
            <w:tcW w:w="6532" w:type="dxa"/>
          </w:tcPr>
          <w:p>
            <w:pPr>
              <w:pStyle w:val="TableParagraph"/>
              <w:spacing w:before="77"/>
              <w:ind w:left="173"/>
              <w:jc w:val="left"/>
              <w:rPr>
                <w:b/>
                <w:sz w:val="18"/>
              </w:rPr>
            </w:pPr>
            <w:r>
              <w:rPr>
                <w:b/>
                <w:sz w:val="18"/>
              </w:rPr>
              <w:t>Loans to/from related parties</w:t>
            </w:r>
          </w:p>
        </w:tc>
        <w:tc>
          <w:tcPr>
            <w:tcW w:w="1459" w:type="dxa"/>
          </w:tcPr>
          <w:p>
            <w:pPr>
              <w:pStyle w:val="TableParagraph"/>
              <w:jc w:val="left"/>
              <w:rPr>
                <w:b/>
                <w:sz w:val="18"/>
              </w:rPr>
            </w:pPr>
          </w:p>
          <w:p>
            <w:pPr>
              <w:pStyle w:val="TableParagraph"/>
              <w:spacing w:before="115"/>
              <w:ind w:left="450"/>
              <w:jc w:val="left"/>
              <w:rPr>
                <w:b/>
                <w:sz w:val="18"/>
              </w:rPr>
            </w:pPr>
            <w:r>
              <w:rPr>
                <w:b/>
                <w:sz w:val="18"/>
              </w:rPr>
              <w:t>2016</w:t>
            </w:r>
          </w:p>
        </w:tc>
        <w:tc>
          <w:tcPr>
            <w:tcW w:w="1135" w:type="dxa"/>
          </w:tcPr>
          <w:p>
            <w:pPr>
              <w:pStyle w:val="TableParagraph"/>
              <w:jc w:val="left"/>
              <w:rPr>
                <w:b/>
                <w:sz w:val="18"/>
              </w:rPr>
            </w:pPr>
          </w:p>
          <w:p>
            <w:pPr>
              <w:pStyle w:val="TableParagraph"/>
              <w:spacing w:before="115"/>
              <w:ind w:left="273"/>
              <w:jc w:val="left"/>
              <w:rPr>
                <w:b/>
                <w:sz w:val="18"/>
              </w:rPr>
            </w:pPr>
            <w:r>
              <w:rPr>
                <w:b/>
                <w:sz w:val="18"/>
              </w:rPr>
              <w:t>2015</w:t>
            </w:r>
          </w:p>
        </w:tc>
      </w:tr>
      <w:tr>
        <w:trPr>
          <w:trHeight w:val="313" w:hRule="exact"/>
        </w:trPr>
        <w:tc>
          <w:tcPr>
            <w:tcW w:w="428" w:type="dxa"/>
          </w:tcPr>
          <w:p>
            <w:pPr/>
          </w:p>
        </w:tc>
        <w:tc>
          <w:tcPr>
            <w:tcW w:w="6532" w:type="dxa"/>
          </w:tcPr>
          <w:p>
            <w:pPr/>
          </w:p>
        </w:tc>
        <w:tc>
          <w:tcPr>
            <w:tcW w:w="1459" w:type="dxa"/>
          </w:tcPr>
          <w:p>
            <w:pPr>
              <w:pStyle w:val="TableParagraph"/>
              <w:spacing w:before="24"/>
              <w:ind w:right="156"/>
              <w:jc w:val="center"/>
              <w:rPr>
                <w:b/>
                <w:sz w:val="18"/>
              </w:rPr>
            </w:pPr>
            <w:r>
              <w:rPr>
                <w:b/>
                <w:w w:val="99"/>
                <w:sz w:val="18"/>
              </w:rPr>
              <w:t>$</w:t>
            </w:r>
          </w:p>
        </w:tc>
        <w:tc>
          <w:tcPr>
            <w:tcW w:w="1135" w:type="dxa"/>
          </w:tcPr>
          <w:p>
            <w:pPr>
              <w:pStyle w:val="TableParagraph"/>
              <w:spacing w:before="24"/>
              <w:ind w:right="185"/>
              <w:jc w:val="center"/>
              <w:rPr>
                <w:b/>
                <w:sz w:val="18"/>
              </w:rPr>
            </w:pPr>
            <w:r>
              <w:rPr>
                <w:b/>
                <w:w w:val="99"/>
                <w:sz w:val="18"/>
              </w:rPr>
              <w:t>$</w:t>
            </w:r>
          </w:p>
        </w:tc>
      </w:tr>
      <w:tr>
        <w:trPr>
          <w:trHeight w:val="544" w:hRule="exact"/>
        </w:trPr>
        <w:tc>
          <w:tcPr>
            <w:tcW w:w="428" w:type="dxa"/>
          </w:tcPr>
          <w:p>
            <w:pPr/>
          </w:p>
        </w:tc>
        <w:tc>
          <w:tcPr>
            <w:tcW w:w="6532" w:type="dxa"/>
          </w:tcPr>
          <w:p>
            <w:pPr>
              <w:pStyle w:val="TableParagraph"/>
              <w:spacing w:before="63"/>
              <w:ind w:left="175"/>
              <w:jc w:val="left"/>
              <w:rPr>
                <w:b/>
                <w:sz w:val="18"/>
              </w:rPr>
            </w:pPr>
            <w:r>
              <w:rPr>
                <w:b/>
                <w:sz w:val="18"/>
              </w:rPr>
              <w:t>Loans to Parent</w:t>
            </w:r>
          </w:p>
          <w:p>
            <w:pPr>
              <w:pStyle w:val="TableParagraph"/>
              <w:spacing w:before="29"/>
              <w:ind w:left="175"/>
              <w:jc w:val="left"/>
              <w:rPr>
                <w:sz w:val="18"/>
              </w:rPr>
            </w:pPr>
            <w:r>
              <w:rPr>
                <w:sz w:val="18"/>
              </w:rPr>
              <w:t>Beginning of the year</w:t>
            </w:r>
          </w:p>
        </w:tc>
        <w:tc>
          <w:tcPr>
            <w:tcW w:w="1459" w:type="dxa"/>
          </w:tcPr>
          <w:p>
            <w:pPr>
              <w:pStyle w:val="TableParagraph"/>
              <w:spacing w:before="11"/>
              <w:jc w:val="left"/>
              <w:rPr>
                <w:b/>
                <w:sz w:val="25"/>
              </w:rPr>
            </w:pPr>
          </w:p>
          <w:p>
            <w:pPr>
              <w:pStyle w:val="TableParagraph"/>
              <w:ind w:right="247"/>
              <w:rPr>
                <w:b/>
                <w:sz w:val="18"/>
              </w:rPr>
            </w:pPr>
            <w:r>
              <w:rPr>
                <w:b/>
                <w:w w:val="95"/>
                <w:sz w:val="18"/>
              </w:rPr>
              <w:t>6,560,759</w:t>
            </w:r>
          </w:p>
        </w:tc>
        <w:tc>
          <w:tcPr>
            <w:tcW w:w="1135" w:type="dxa"/>
          </w:tcPr>
          <w:p>
            <w:pPr>
              <w:pStyle w:val="TableParagraph"/>
              <w:spacing w:before="11"/>
              <w:jc w:val="left"/>
              <w:rPr>
                <w:b/>
                <w:sz w:val="25"/>
              </w:rPr>
            </w:pPr>
          </w:p>
          <w:p>
            <w:pPr>
              <w:pStyle w:val="TableParagraph"/>
              <w:ind w:right="85"/>
              <w:rPr>
                <w:sz w:val="18"/>
              </w:rPr>
            </w:pPr>
            <w:r>
              <w:rPr>
                <w:w w:val="95"/>
                <w:sz w:val="18"/>
              </w:rPr>
              <w:t>6,906,850</w:t>
            </w:r>
          </w:p>
        </w:tc>
      </w:tr>
      <w:tr>
        <w:trPr>
          <w:trHeight w:val="264" w:hRule="exact"/>
        </w:trPr>
        <w:tc>
          <w:tcPr>
            <w:tcW w:w="428" w:type="dxa"/>
          </w:tcPr>
          <w:p>
            <w:pPr/>
          </w:p>
        </w:tc>
        <w:tc>
          <w:tcPr>
            <w:tcW w:w="6532" w:type="dxa"/>
          </w:tcPr>
          <w:p>
            <w:pPr>
              <w:pStyle w:val="TableParagraph"/>
              <w:spacing w:before="19"/>
              <w:ind w:left="175"/>
              <w:jc w:val="left"/>
              <w:rPr>
                <w:sz w:val="18"/>
              </w:rPr>
            </w:pPr>
            <w:r>
              <w:rPr>
                <w:sz w:val="18"/>
              </w:rPr>
              <w:t>Loans advanced</w:t>
            </w:r>
          </w:p>
        </w:tc>
        <w:tc>
          <w:tcPr>
            <w:tcW w:w="1459" w:type="dxa"/>
          </w:tcPr>
          <w:p>
            <w:pPr>
              <w:pStyle w:val="TableParagraph"/>
              <w:spacing w:before="18"/>
              <w:ind w:right="247"/>
              <w:rPr>
                <w:b/>
                <w:sz w:val="18"/>
              </w:rPr>
            </w:pPr>
            <w:r>
              <w:rPr>
                <w:b/>
                <w:w w:val="95"/>
                <w:sz w:val="18"/>
              </w:rPr>
              <w:t>6,969,114</w:t>
            </w:r>
          </w:p>
        </w:tc>
        <w:tc>
          <w:tcPr>
            <w:tcW w:w="1135" w:type="dxa"/>
          </w:tcPr>
          <w:p>
            <w:pPr>
              <w:pStyle w:val="TableParagraph"/>
              <w:spacing w:before="18"/>
              <w:ind w:right="85"/>
              <w:rPr>
                <w:sz w:val="18"/>
              </w:rPr>
            </w:pPr>
            <w:r>
              <w:rPr>
                <w:w w:val="95"/>
                <w:sz w:val="18"/>
              </w:rPr>
              <w:t>7,556,296</w:t>
            </w:r>
          </w:p>
        </w:tc>
      </w:tr>
      <w:tr>
        <w:trPr>
          <w:trHeight w:val="264" w:hRule="exact"/>
        </w:trPr>
        <w:tc>
          <w:tcPr>
            <w:tcW w:w="428" w:type="dxa"/>
          </w:tcPr>
          <w:p>
            <w:pPr/>
          </w:p>
        </w:tc>
        <w:tc>
          <w:tcPr>
            <w:tcW w:w="6532" w:type="dxa"/>
          </w:tcPr>
          <w:p>
            <w:pPr>
              <w:pStyle w:val="TableParagraph"/>
              <w:spacing w:before="19"/>
              <w:ind w:left="175"/>
              <w:jc w:val="left"/>
              <w:rPr>
                <w:sz w:val="18"/>
              </w:rPr>
            </w:pPr>
            <w:r>
              <w:rPr>
                <w:sz w:val="18"/>
              </w:rPr>
              <w:t>Loan repayment received</w:t>
            </w:r>
          </w:p>
        </w:tc>
        <w:tc>
          <w:tcPr>
            <w:tcW w:w="1459" w:type="dxa"/>
          </w:tcPr>
          <w:p>
            <w:pPr>
              <w:pStyle w:val="TableParagraph"/>
              <w:spacing w:before="18"/>
              <w:ind w:right="187"/>
              <w:rPr>
                <w:b/>
                <w:sz w:val="18"/>
              </w:rPr>
            </w:pPr>
            <w:r>
              <w:rPr>
                <w:b/>
                <w:w w:val="95"/>
                <w:sz w:val="18"/>
              </w:rPr>
              <w:t>(7,978,277)</w:t>
            </w:r>
          </w:p>
        </w:tc>
        <w:tc>
          <w:tcPr>
            <w:tcW w:w="1135" w:type="dxa"/>
          </w:tcPr>
          <w:p>
            <w:pPr>
              <w:pStyle w:val="TableParagraph"/>
              <w:spacing w:before="18"/>
              <w:ind w:right="25"/>
              <w:rPr>
                <w:sz w:val="18"/>
              </w:rPr>
            </w:pPr>
            <w:r>
              <w:rPr>
                <w:w w:val="95"/>
                <w:sz w:val="18"/>
              </w:rPr>
              <w:t>(8,080,191)</w:t>
            </w:r>
          </w:p>
        </w:tc>
      </w:tr>
      <w:tr>
        <w:trPr>
          <w:trHeight w:val="262" w:hRule="exact"/>
        </w:trPr>
        <w:tc>
          <w:tcPr>
            <w:tcW w:w="428" w:type="dxa"/>
          </w:tcPr>
          <w:p>
            <w:pPr/>
          </w:p>
        </w:tc>
        <w:tc>
          <w:tcPr>
            <w:tcW w:w="6532" w:type="dxa"/>
          </w:tcPr>
          <w:p>
            <w:pPr>
              <w:pStyle w:val="TableParagraph"/>
              <w:spacing w:before="19"/>
              <w:ind w:left="175"/>
              <w:jc w:val="left"/>
              <w:rPr>
                <w:sz w:val="18"/>
              </w:rPr>
            </w:pPr>
            <w:r>
              <w:rPr>
                <w:sz w:val="18"/>
              </w:rPr>
              <w:t>Interest charged</w:t>
            </w:r>
          </w:p>
        </w:tc>
        <w:tc>
          <w:tcPr>
            <w:tcW w:w="1459" w:type="dxa"/>
            <w:tcBorders>
              <w:bottom w:val="single" w:sz="0" w:space="0" w:color="000000"/>
            </w:tcBorders>
          </w:tcPr>
          <w:p>
            <w:pPr>
              <w:pStyle w:val="TableParagraph"/>
              <w:spacing w:before="18"/>
              <w:ind w:right="247"/>
              <w:rPr>
                <w:b/>
                <w:sz w:val="18"/>
              </w:rPr>
            </w:pPr>
            <w:r>
              <w:rPr>
                <w:b/>
                <w:w w:val="95"/>
                <w:sz w:val="18"/>
              </w:rPr>
              <w:t>100,130</w:t>
            </w:r>
          </w:p>
        </w:tc>
        <w:tc>
          <w:tcPr>
            <w:tcW w:w="1135" w:type="dxa"/>
            <w:tcBorders>
              <w:bottom w:val="single" w:sz="0" w:space="0" w:color="000000"/>
            </w:tcBorders>
          </w:tcPr>
          <w:p>
            <w:pPr>
              <w:pStyle w:val="TableParagraph"/>
              <w:spacing w:before="18"/>
              <w:ind w:right="85"/>
              <w:rPr>
                <w:sz w:val="18"/>
              </w:rPr>
            </w:pPr>
            <w:r>
              <w:rPr>
                <w:w w:val="95"/>
                <w:sz w:val="18"/>
              </w:rPr>
              <w:t>177,804</w:t>
            </w:r>
          </w:p>
        </w:tc>
      </w:tr>
      <w:tr>
        <w:trPr>
          <w:trHeight w:val="353" w:hRule="exact"/>
        </w:trPr>
        <w:tc>
          <w:tcPr>
            <w:tcW w:w="428" w:type="dxa"/>
          </w:tcPr>
          <w:p>
            <w:pPr/>
          </w:p>
        </w:tc>
        <w:tc>
          <w:tcPr>
            <w:tcW w:w="6532" w:type="dxa"/>
          </w:tcPr>
          <w:p>
            <w:pPr>
              <w:pStyle w:val="TableParagraph"/>
              <w:spacing w:before="123"/>
              <w:ind w:left="175"/>
              <w:jc w:val="left"/>
              <w:rPr>
                <w:b/>
                <w:sz w:val="18"/>
              </w:rPr>
            </w:pPr>
            <w:r>
              <w:rPr>
                <w:b/>
                <w:sz w:val="18"/>
              </w:rPr>
              <w:t>End of year</w:t>
            </w:r>
          </w:p>
        </w:tc>
        <w:tc>
          <w:tcPr>
            <w:tcW w:w="1459" w:type="dxa"/>
            <w:tcBorders>
              <w:top w:val="single" w:sz="0" w:space="0" w:color="000000"/>
              <w:bottom w:val="single" w:sz="0" w:space="0" w:color="000000"/>
            </w:tcBorders>
          </w:tcPr>
          <w:p>
            <w:pPr>
              <w:pStyle w:val="TableParagraph"/>
              <w:spacing w:before="122"/>
              <w:ind w:right="247"/>
              <w:rPr>
                <w:b/>
                <w:sz w:val="18"/>
              </w:rPr>
            </w:pPr>
            <w:r>
              <w:rPr>
                <w:b/>
                <w:w w:val="95"/>
                <w:sz w:val="18"/>
              </w:rPr>
              <w:t>5,651,726</w:t>
            </w:r>
          </w:p>
        </w:tc>
        <w:tc>
          <w:tcPr>
            <w:tcW w:w="1135" w:type="dxa"/>
            <w:tcBorders>
              <w:top w:val="single" w:sz="0" w:space="0" w:color="000000"/>
              <w:bottom w:val="single" w:sz="0" w:space="0" w:color="000000"/>
            </w:tcBorders>
          </w:tcPr>
          <w:p>
            <w:pPr>
              <w:pStyle w:val="TableParagraph"/>
              <w:spacing w:before="122"/>
              <w:ind w:right="85"/>
              <w:rPr>
                <w:sz w:val="18"/>
              </w:rPr>
            </w:pPr>
            <w:r>
              <w:rPr>
                <w:w w:val="95"/>
                <w:sz w:val="18"/>
              </w:rPr>
              <w:t>6,560,759</w:t>
            </w:r>
          </w:p>
        </w:tc>
      </w:tr>
      <w:tr>
        <w:trPr>
          <w:trHeight w:val="780" w:hRule="exact"/>
        </w:trPr>
        <w:tc>
          <w:tcPr>
            <w:tcW w:w="428" w:type="dxa"/>
          </w:tcPr>
          <w:p>
            <w:pPr/>
          </w:p>
        </w:tc>
        <w:tc>
          <w:tcPr>
            <w:tcW w:w="6532" w:type="dxa"/>
          </w:tcPr>
          <w:p>
            <w:pPr>
              <w:pStyle w:val="TableParagraph"/>
              <w:jc w:val="left"/>
              <w:rPr>
                <w:b/>
                <w:sz w:val="26"/>
              </w:rPr>
            </w:pPr>
          </w:p>
          <w:p>
            <w:pPr>
              <w:pStyle w:val="TableParagraph"/>
              <w:ind w:left="202"/>
              <w:jc w:val="left"/>
              <w:rPr>
                <w:b/>
                <w:sz w:val="18"/>
              </w:rPr>
            </w:pPr>
            <w:r>
              <w:rPr>
                <w:b/>
                <w:sz w:val="18"/>
              </w:rPr>
              <w:t>Loans to Joint Venture</w:t>
            </w:r>
          </w:p>
          <w:p>
            <w:pPr>
              <w:pStyle w:val="TableParagraph"/>
              <w:spacing w:before="29"/>
              <w:ind w:left="202"/>
              <w:jc w:val="left"/>
              <w:rPr>
                <w:sz w:val="18"/>
              </w:rPr>
            </w:pPr>
            <w:r>
              <w:rPr>
                <w:sz w:val="18"/>
              </w:rPr>
              <w:t>Beginning of the year</w:t>
            </w:r>
          </w:p>
        </w:tc>
        <w:tc>
          <w:tcPr>
            <w:tcW w:w="1459" w:type="dxa"/>
            <w:tcBorders>
              <w:top w:val="single" w:sz="0" w:space="0" w:color="000000"/>
            </w:tcBorders>
          </w:tcPr>
          <w:p>
            <w:pPr>
              <w:pStyle w:val="TableParagraph"/>
              <w:jc w:val="left"/>
              <w:rPr>
                <w:b/>
                <w:sz w:val="18"/>
              </w:rPr>
            </w:pPr>
          </w:p>
          <w:p>
            <w:pPr>
              <w:pStyle w:val="TableParagraph"/>
              <w:jc w:val="left"/>
              <w:rPr>
                <w:b/>
                <w:sz w:val="18"/>
              </w:rPr>
            </w:pPr>
          </w:p>
          <w:p>
            <w:pPr>
              <w:pStyle w:val="TableParagraph"/>
              <w:spacing w:before="119"/>
              <w:ind w:right="161"/>
              <w:jc w:val="center"/>
              <w:rPr>
                <w:b/>
                <w:sz w:val="18"/>
              </w:rPr>
            </w:pPr>
            <w:r>
              <w:rPr>
                <w:b/>
                <w:w w:val="99"/>
                <w:sz w:val="18"/>
              </w:rPr>
              <w:t>-</w:t>
            </w:r>
          </w:p>
        </w:tc>
        <w:tc>
          <w:tcPr>
            <w:tcW w:w="1135" w:type="dxa"/>
            <w:tcBorders>
              <w:top w:val="single" w:sz="0" w:space="0" w:color="000000"/>
            </w:tcBorders>
          </w:tcPr>
          <w:p>
            <w:pPr>
              <w:pStyle w:val="TableParagraph"/>
              <w:jc w:val="left"/>
              <w:rPr>
                <w:b/>
                <w:sz w:val="18"/>
              </w:rPr>
            </w:pPr>
          </w:p>
          <w:p>
            <w:pPr>
              <w:pStyle w:val="TableParagraph"/>
              <w:jc w:val="left"/>
              <w:rPr>
                <w:b/>
                <w:sz w:val="18"/>
              </w:rPr>
            </w:pPr>
          </w:p>
          <w:p>
            <w:pPr>
              <w:pStyle w:val="TableParagraph"/>
              <w:spacing w:before="119"/>
              <w:ind w:right="189"/>
              <w:jc w:val="center"/>
              <w:rPr>
                <w:sz w:val="18"/>
              </w:rPr>
            </w:pPr>
            <w:r>
              <w:rPr>
                <w:w w:val="99"/>
                <w:sz w:val="18"/>
              </w:rPr>
              <w:t>-</w:t>
            </w:r>
          </w:p>
        </w:tc>
      </w:tr>
      <w:tr>
        <w:trPr>
          <w:trHeight w:val="264" w:hRule="exact"/>
        </w:trPr>
        <w:tc>
          <w:tcPr>
            <w:tcW w:w="428" w:type="dxa"/>
          </w:tcPr>
          <w:p>
            <w:pPr/>
          </w:p>
        </w:tc>
        <w:tc>
          <w:tcPr>
            <w:tcW w:w="6532" w:type="dxa"/>
          </w:tcPr>
          <w:p>
            <w:pPr>
              <w:pStyle w:val="TableParagraph"/>
              <w:spacing w:before="19"/>
              <w:ind w:left="202"/>
              <w:jc w:val="left"/>
              <w:rPr>
                <w:sz w:val="18"/>
              </w:rPr>
            </w:pPr>
            <w:r>
              <w:rPr>
                <w:sz w:val="18"/>
              </w:rPr>
              <w:t>Loans advanced</w:t>
            </w:r>
          </w:p>
        </w:tc>
        <w:tc>
          <w:tcPr>
            <w:tcW w:w="1459" w:type="dxa"/>
          </w:tcPr>
          <w:p>
            <w:pPr>
              <w:pStyle w:val="TableParagraph"/>
              <w:spacing w:before="18"/>
              <w:ind w:left="410"/>
              <w:jc w:val="left"/>
              <w:rPr>
                <w:b/>
                <w:sz w:val="18"/>
              </w:rPr>
            </w:pPr>
            <w:r>
              <w:rPr>
                <w:b/>
                <w:sz w:val="18"/>
              </w:rPr>
              <w:t>1,300,000</w:t>
            </w:r>
          </w:p>
        </w:tc>
        <w:tc>
          <w:tcPr>
            <w:tcW w:w="1135" w:type="dxa"/>
          </w:tcPr>
          <w:p>
            <w:pPr>
              <w:pStyle w:val="TableParagraph"/>
              <w:spacing w:before="18"/>
              <w:ind w:right="189"/>
              <w:jc w:val="center"/>
              <w:rPr>
                <w:sz w:val="18"/>
              </w:rPr>
            </w:pPr>
            <w:r>
              <w:rPr>
                <w:w w:val="99"/>
                <w:sz w:val="18"/>
              </w:rPr>
              <w:t>-</w:t>
            </w:r>
          </w:p>
        </w:tc>
      </w:tr>
      <w:tr>
        <w:trPr>
          <w:trHeight w:val="264" w:hRule="exact"/>
        </w:trPr>
        <w:tc>
          <w:tcPr>
            <w:tcW w:w="428" w:type="dxa"/>
          </w:tcPr>
          <w:p>
            <w:pPr/>
          </w:p>
        </w:tc>
        <w:tc>
          <w:tcPr>
            <w:tcW w:w="6532" w:type="dxa"/>
          </w:tcPr>
          <w:p>
            <w:pPr>
              <w:pStyle w:val="TableParagraph"/>
              <w:spacing w:before="19"/>
              <w:ind w:left="202"/>
              <w:jc w:val="left"/>
              <w:rPr>
                <w:sz w:val="18"/>
              </w:rPr>
            </w:pPr>
            <w:r>
              <w:rPr>
                <w:sz w:val="18"/>
              </w:rPr>
              <w:t>Share of loss of joint venture</w:t>
            </w:r>
          </w:p>
        </w:tc>
        <w:tc>
          <w:tcPr>
            <w:tcW w:w="1459" w:type="dxa"/>
          </w:tcPr>
          <w:p>
            <w:pPr>
              <w:pStyle w:val="TableParagraph"/>
              <w:spacing w:before="18"/>
              <w:ind w:right="188"/>
              <w:rPr>
                <w:b/>
                <w:sz w:val="18"/>
              </w:rPr>
            </w:pPr>
            <w:r>
              <w:rPr>
                <w:b/>
                <w:w w:val="95"/>
                <w:sz w:val="18"/>
              </w:rPr>
              <w:t>(1,052,110)</w:t>
            </w:r>
          </w:p>
        </w:tc>
        <w:tc>
          <w:tcPr>
            <w:tcW w:w="1135" w:type="dxa"/>
          </w:tcPr>
          <w:p>
            <w:pPr>
              <w:pStyle w:val="TableParagraph"/>
              <w:spacing w:before="18"/>
              <w:ind w:right="189"/>
              <w:jc w:val="center"/>
              <w:rPr>
                <w:sz w:val="18"/>
              </w:rPr>
            </w:pPr>
            <w:r>
              <w:rPr>
                <w:w w:val="99"/>
                <w:sz w:val="18"/>
              </w:rPr>
              <w:t>-</w:t>
            </w:r>
          </w:p>
        </w:tc>
      </w:tr>
      <w:tr>
        <w:trPr>
          <w:trHeight w:val="262" w:hRule="exact"/>
        </w:trPr>
        <w:tc>
          <w:tcPr>
            <w:tcW w:w="428" w:type="dxa"/>
          </w:tcPr>
          <w:p>
            <w:pPr/>
          </w:p>
        </w:tc>
        <w:tc>
          <w:tcPr>
            <w:tcW w:w="6532" w:type="dxa"/>
          </w:tcPr>
          <w:p>
            <w:pPr>
              <w:pStyle w:val="TableParagraph"/>
              <w:spacing w:before="19"/>
              <w:ind w:left="202"/>
              <w:jc w:val="left"/>
              <w:rPr>
                <w:sz w:val="18"/>
              </w:rPr>
            </w:pPr>
            <w:r>
              <w:rPr>
                <w:sz w:val="18"/>
              </w:rPr>
              <w:t>Interest charged</w:t>
            </w:r>
          </w:p>
        </w:tc>
        <w:tc>
          <w:tcPr>
            <w:tcW w:w="1459" w:type="dxa"/>
            <w:tcBorders>
              <w:bottom w:val="single" w:sz="0" w:space="0" w:color="000000"/>
            </w:tcBorders>
          </w:tcPr>
          <w:p>
            <w:pPr>
              <w:pStyle w:val="TableParagraph"/>
              <w:spacing w:before="18"/>
              <w:ind w:right="161"/>
              <w:jc w:val="center"/>
              <w:rPr>
                <w:b/>
                <w:sz w:val="18"/>
              </w:rPr>
            </w:pPr>
            <w:r>
              <w:rPr>
                <w:b/>
                <w:w w:val="99"/>
                <w:sz w:val="18"/>
              </w:rPr>
              <w:t>-</w:t>
            </w:r>
          </w:p>
        </w:tc>
        <w:tc>
          <w:tcPr>
            <w:tcW w:w="1135" w:type="dxa"/>
            <w:tcBorders>
              <w:bottom w:val="single" w:sz="0" w:space="0" w:color="000000"/>
            </w:tcBorders>
          </w:tcPr>
          <w:p>
            <w:pPr>
              <w:pStyle w:val="TableParagraph"/>
              <w:spacing w:before="18"/>
              <w:ind w:right="189"/>
              <w:jc w:val="center"/>
              <w:rPr>
                <w:sz w:val="18"/>
              </w:rPr>
            </w:pPr>
            <w:r>
              <w:rPr>
                <w:w w:val="99"/>
                <w:sz w:val="18"/>
              </w:rPr>
              <w:t>-</w:t>
            </w:r>
          </w:p>
        </w:tc>
      </w:tr>
      <w:tr>
        <w:trPr>
          <w:trHeight w:val="353" w:hRule="exact"/>
        </w:trPr>
        <w:tc>
          <w:tcPr>
            <w:tcW w:w="428" w:type="dxa"/>
          </w:tcPr>
          <w:p>
            <w:pPr/>
          </w:p>
        </w:tc>
        <w:tc>
          <w:tcPr>
            <w:tcW w:w="6532" w:type="dxa"/>
          </w:tcPr>
          <w:p>
            <w:pPr>
              <w:pStyle w:val="TableParagraph"/>
              <w:spacing w:before="123"/>
              <w:ind w:left="202"/>
              <w:jc w:val="left"/>
              <w:rPr>
                <w:b/>
                <w:sz w:val="18"/>
              </w:rPr>
            </w:pPr>
            <w:r>
              <w:rPr>
                <w:b/>
                <w:sz w:val="18"/>
              </w:rPr>
              <w:t>End of year</w:t>
            </w:r>
          </w:p>
        </w:tc>
        <w:tc>
          <w:tcPr>
            <w:tcW w:w="1459" w:type="dxa"/>
            <w:tcBorders>
              <w:top w:val="single" w:sz="0" w:space="0" w:color="000000"/>
              <w:bottom w:val="single" w:sz="0" w:space="0" w:color="000000"/>
            </w:tcBorders>
          </w:tcPr>
          <w:p>
            <w:pPr>
              <w:pStyle w:val="TableParagraph"/>
              <w:spacing w:before="122"/>
              <w:ind w:left="560"/>
              <w:jc w:val="left"/>
              <w:rPr>
                <w:b/>
                <w:sz w:val="18"/>
              </w:rPr>
            </w:pPr>
            <w:r>
              <w:rPr>
                <w:b/>
                <w:sz w:val="18"/>
              </w:rPr>
              <w:t>247,890</w:t>
            </w:r>
          </w:p>
        </w:tc>
        <w:tc>
          <w:tcPr>
            <w:tcW w:w="1135" w:type="dxa"/>
            <w:tcBorders>
              <w:top w:val="single" w:sz="0" w:space="0" w:color="000000"/>
              <w:bottom w:val="single" w:sz="0" w:space="0" w:color="000000"/>
            </w:tcBorders>
          </w:tcPr>
          <w:p>
            <w:pPr>
              <w:pStyle w:val="TableParagraph"/>
              <w:spacing w:before="122"/>
              <w:ind w:right="189"/>
              <w:jc w:val="center"/>
              <w:rPr>
                <w:sz w:val="18"/>
              </w:rPr>
            </w:pPr>
            <w:r>
              <w:rPr>
                <w:w w:val="99"/>
                <w:sz w:val="18"/>
              </w:rPr>
              <w:t>-</w:t>
            </w:r>
          </w:p>
        </w:tc>
      </w:tr>
    </w:tbl>
    <w:p>
      <w:pPr>
        <w:pStyle w:val="BodyText"/>
        <w:rPr>
          <w:b/>
          <w:sz w:val="20"/>
        </w:rPr>
      </w:pPr>
    </w:p>
    <w:p>
      <w:pPr>
        <w:pStyle w:val="BodyText"/>
        <w:spacing w:before="2"/>
        <w:rPr>
          <w:b/>
          <w:sz w:val="21"/>
        </w:rPr>
      </w:pPr>
    </w:p>
    <w:p>
      <w:pPr>
        <w:pStyle w:val="BodyText"/>
        <w:spacing w:before="1"/>
        <w:ind w:left="2392" w:right="1375"/>
      </w:pPr>
      <w:r>
        <w:rPr/>
        <w:drawing>
          <wp:anchor distT="0" distB="0" distL="0" distR="0" allowOverlap="1" layoutInCell="1" locked="0" behindDoc="0" simplePos="0" relativeHeight="9376">
            <wp:simplePos x="0" y="0"/>
            <wp:positionH relativeFrom="page">
              <wp:posOffset>-1587</wp:posOffset>
            </wp:positionH>
            <wp:positionV relativeFrom="paragraph">
              <wp:posOffset>-144222</wp:posOffset>
            </wp:positionV>
            <wp:extent cx="132401" cy="150875"/>
            <wp:effectExtent l="0" t="0" r="0" b="0"/>
            <wp:wrapNone/>
            <wp:docPr id="625" name="image13.png" descr=""/>
            <wp:cNvGraphicFramePr>
              <a:graphicFrameLocks noChangeAspect="1"/>
            </wp:cNvGraphicFramePr>
            <a:graphic>
              <a:graphicData uri="http://schemas.openxmlformats.org/drawingml/2006/picture">
                <pic:pic>
                  <pic:nvPicPr>
                    <pic:cNvPr id="626" name="image13.png"/>
                    <pic:cNvPicPr/>
                  </pic:nvPicPr>
                  <pic:blipFill>
                    <a:blip r:embed="rId18" cstate="print"/>
                    <a:stretch>
                      <a:fillRect/>
                    </a:stretch>
                  </pic:blipFill>
                  <pic:spPr>
                    <a:xfrm>
                      <a:off x="0" y="0"/>
                      <a:ext cx="132401" cy="150875"/>
                    </a:xfrm>
                    <a:prstGeom prst="rect">
                      <a:avLst/>
                    </a:prstGeom>
                  </pic:spPr>
                </pic:pic>
              </a:graphicData>
            </a:graphic>
          </wp:anchor>
        </w:drawing>
      </w:r>
      <w:r>
        <w:rPr/>
        <w:drawing>
          <wp:anchor distT="0" distB="0" distL="0" distR="0" allowOverlap="1" layoutInCell="1" locked="0" behindDoc="0" simplePos="0" relativeHeight="9400">
            <wp:simplePos x="0" y="0"/>
            <wp:positionH relativeFrom="page">
              <wp:posOffset>7958429</wp:posOffset>
            </wp:positionH>
            <wp:positionV relativeFrom="paragraph">
              <wp:posOffset>-144222</wp:posOffset>
            </wp:positionV>
            <wp:extent cx="135953" cy="155575"/>
            <wp:effectExtent l="0" t="0" r="0" b="0"/>
            <wp:wrapNone/>
            <wp:docPr id="627" name="image15.png" descr=""/>
            <wp:cNvGraphicFramePr>
              <a:graphicFrameLocks noChangeAspect="1"/>
            </wp:cNvGraphicFramePr>
            <a:graphic>
              <a:graphicData uri="http://schemas.openxmlformats.org/drawingml/2006/picture">
                <pic:pic>
                  <pic:nvPicPr>
                    <pic:cNvPr id="628" name="image15.png"/>
                    <pic:cNvPicPr/>
                  </pic:nvPicPr>
                  <pic:blipFill>
                    <a:blip r:embed="rId20" cstate="print"/>
                    <a:stretch>
                      <a:fillRect/>
                    </a:stretch>
                  </pic:blipFill>
                  <pic:spPr>
                    <a:xfrm>
                      <a:off x="0" y="0"/>
                      <a:ext cx="135953" cy="155575"/>
                    </a:xfrm>
                    <a:prstGeom prst="rect">
                      <a:avLst/>
                    </a:prstGeom>
                  </pic:spPr>
                </pic:pic>
              </a:graphicData>
            </a:graphic>
          </wp:anchor>
        </w:drawing>
      </w:r>
      <w:r>
        <w:rPr/>
        <w:t>No provisions for doubtful debts have been raised in relation to any outstanding balances, and no expense has been recognised in respect of bad or doubtful debts due from related parties.</w:t>
      </w:r>
    </w:p>
    <w:p>
      <w:pPr>
        <w:spacing w:after="0"/>
        <w:sectPr>
          <w:pgSz w:w="12750" w:h="17680"/>
          <w:pgMar w:header="0" w:footer="867" w:top="1880" w:bottom="1120" w:left="0" w:right="0"/>
        </w:sectPr>
      </w:pPr>
    </w:p>
    <w:p>
      <w:pPr>
        <w:pStyle w:val="BodyText"/>
        <w:spacing w:before="2"/>
        <w:rPr>
          <w:sz w:val="24"/>
        </w:rPr>
      </w:pPr>
    </w:p>
    <w:p>
      <w:pPr>
        <w:pStyle w:val="Heading4"/>
      </w:pPr>
      <w:r>
        <w:rPr/>
        <w:t>Notes to the Financial Statements</w:t>
      </w:r>
    </w:p>
    <w:p>
      <w:pPr>
        <w:pStyle w:val="Heading7"/>
      </w:pPr>
      <w:r>
        <w:rPr/>
        <w:t>For the Year Ended 31 December 2016</w:t>
      </w:r>
    </w:p>
    <w:p>
      <w:pPr>
        <w:pStyle w:val="BodyText"/>
        <w:rPr>
          <w:b/>
          <w:sz w:val="22"/>
        </w:rPr>
      </w:pPr>
    </w:p>
    <w:p>
      <w:pPr>
        <w:pStyle w:val="BodyText"/>
        <w:rPr>
          <w:b/>
          <w:sz w:val="22"/>
        </w:rPr>
      </w:pPr>
    </w:p>
    <w:p>
      <w:pPr>
        <w:pStyle w:val="Heading8"/>
        <w:numPr>
          <w:ilvl w:val="0"/>
          <w:numId w:val="56"/>
        </w:numPr>
        <w:tabs>
          <w:tab w:pos="1826" w:val="left" w:leader="none"/>
        </w:tabs>
        <w:spacing w:line="240" w:lineRule="auto" w:before="160" w:after="0"/>
        <w:ind w:left="1825" w:right="0" w:hanging="396"/>
        <w:jc w:val="left"/>
      </w:pPr>
      <w:bookmarkStart w:name="(d) Outstanding balances" w:id="253"/>
      <w:bookmarkEnd w:id="253"/>
      <w:r>
        <w:rPr>
          <w:b w:val="0"/>
        </w:rPr>
      </w:r>
      <w:bookmarkStart w:name="(d) Outstanding balances" w:id="254"/>
      <w:bookmarkEnd w:id="254"/>
      <w:r>
        <w:rPr/>
        <w:t>Related</w:t>
      </w:r>
      <w:r>
        <w:rPr/>
        <w:t> Parties continued</w:t>
      </w:r>
    </w:p>
    <w:p>
      <w:pPr>
        <w:pStyle w:val="BodyText"/>
        <w:spacing w:before="7"/>
        <w:rPr>
          <w:b/>
          <w:sz w:val="26"/>
        </w:rPr>
      </w:pPr>
    </w:p>
    <w:p>
      <w:pPr>
        <w:tabs>
          <w:tab w:pos="2391" w:val="left" w:leader="none"/>
        </w:tabs>
        <w:spacing w:before="0"/>
        <w:ind w:left="1825" w:right="0" w:firstLine="0"/>
        <w:jc w:val="left"/>
        <w:rPr>
          <w:b/>
          <w:sz w:val="18"/>
        </w:rPr>
      </w:pPr>
      <w:r>
        <w:rPr>
          <w:b/>
          <w:sz w:val="18"/>
        </w:rPr>
        <w:t>(d)</w:t>
        <w:tab/>
        <w:t>Outstanding balances</w:t>
      </w:r>
    </w:p>
    <w:p>
      <w:pPr>
        <w:pStyle w:val="BodyText"/>
        <w:spacing w:before="4"/>
        <w:rPr>
          <w:b/>
          <w:sz w:val="25"/>
        </w:rPr>
      </w:pPr>
    </w:p>
    <w:p>
      <w:pPr>
        <w:pStyle w:val="BodyText"/>
        <w:ind w:left="2392"/>
      </w:pPr>
      <w:r>
        <w:rPr/>
        <w:t>The following balances are outstanding at the reporting date in relation to transactions with related parties:</w:t>
      </w:r>
    </w:p>
    <w:p>
      <w:pPr>
        <w:pStyle w:val="BodyText"/>
        <w:rPr>
          <w:sz w:val="20"/>
        </w:rPr>
      </w:pPr>
    </w:p>
    <w:p>
      <w:pPr>
        <w:pStyle w:val="BodyText"/>
        <w:spacing w:before="1" w:after="1"/>
        <w:rPr>
          <w:sz w:val="19"/>
        </w:rPr>
      </w:pPr>
    </w:p>
    <w:tbl>
      <w:tblPr>
        <w:tblW w:w="0" w:type="auto"/>
        <w:jc w:val="left"/>
        <w:tblInd w:w="238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367"/>
        <w:gridCol w:w="1459"/>
        <w:gridCol w:w="1136"/>
      </w:tblGrid>
      <w:tr>
        <w:trPr>
          <w:trHeight w:val="612" w:hRule="exact"/>
        </w:trPr>
        <w:tc>
          <w:tcPr>
            <w:tcW w:w="6367" w:type="dxa"/>
          </w:tcPr>
          <w:p>
            <w:pPr/>
          </w:p>
        </w:tc>
        <w:tc>
          <w:tcPr>
            <w:tcW w:w="1459" w:type="dxa"/>
          </w:tcPr>
          <w:p>
            <w:pPr>
              <w:pStyle w:val="TableParagraph"/>
              <w:spacing w:before="77"/>
              <w:ind w:left="429" w:right="589"/>
              <w:jc w:val="center"/>
              <w:rPr>
                <w:b/>
                <w:sz w:val="18"/>
              </w:rPr>
            </w:pPr>
            <w:r>
              <w:rPr>
                <w:b/>
                <w:sz w:val="18"/>
              </w:rPr>
              <w:t>2016</w:t>
            </w:r>
          </w:p>
          <w:p>
            <w:pPr>
              <w:pStyle w:val="TableParagraph"/>
              <w:spacing w:before="66"/>
              <w:ind w:right="160"/>
              <w:jc w:val="center"/>
              <w:rPr>
                <w:b/>
                <w:sz w:val="18"/>
              </w:rPr>
            </w:pPr>
            <w:r>
              <w:rPr>
                <w:b/>
                <w:w w:val="99"/>
                <w:sz w:val="18"/>
              </w:rPr>
              <w:t>$</w:t>
            </w:r>
          </w:p>
        </w:tc>
        <w:tc>
          <w:tcPr>
            <w:tcW w:w="1136" w:type="dxa"/>
          </w:tcPr>
          <w:p>
            <w:pPr>
              <w:pStyle w:val="TableParagraph"/>
              <w:spacing w:before="77"/>
              <w:ind w:left="254" w:right="441"/>
              <w:jc w:val="center"/>
              <w:rPr>
                <w:b/>
                <w:sz w:val="18"/>
              </w:rPr>
            </w:pPr>
            <w:r>
              <w:rPr>
                <w:b/>
                <w:sz w:val="18"/>
              </w:rPr>
              <w:t>2015</w:t>
            </w:r>
          </w:p>
          <w:p>
            <w:pPr>
              <w:pStyle w:val="TableParagraph"/>
              <w:spacing w:before="66"/>
              <w:ind w:right="185"/>
              <w:jc w:val="center"/>
              <w:rPr>
                <w:b/>
                <w:sz w:val="18"/>
              </w:rPr>
            </w:pPr>
            <w:r>
              <w:rPr>
                <w:b/>
                <w:w w:val="99"/>
                <w:sz w:val="18"/>
              </w:rPr>
              <w:t>$</w:t>
            </w:r>
          </w:p>
        </w:tc>
      </w:tr>
      <w:tr>
        <w:trPr>
          <w:trHeight w:val="280" w:hRule="exact"/>
        </w:trPr>
        <w:tc>
          <w:tcPr>
            <w:tcW w:w="6367" w:type="dxa"/>
          </w:tcPr>
          <w:p>
            <w:pPr>
              <w:pStyle w:val="TableParagraph"/>
              <w:spacing w:before="36"/>
              <w:ind w:left="35"/>
              <w:jc w:val="left"/>
              <w:rPr>
                <w:sz w:val="18"/>
              </w:rPr>
            </w:pPr>
            <w:r>
              <w:rPr>
                <w:sz w:val="18"/>
              </w:rPr>
              <w:t>Current receivables (loans)</w:t>
            </w:r>
          </w:p>
        </w:tc>
        <w:tc>
          <w:tcPr>
            <w:tcW w:w="1459" w:type="dxa"/>
          </w:tcPr>
          <w:p>
            <w:pPr/>
          </w:p>
        </w:tc>
        <w:tc>
          <w:tcPr>
            <w:tcW w:w="1136" w:type="dxa"/>
          </w:tcPr>
          <w:p>
            <w:pPr/>
          </w:p>
        </w:tc>
      </w:tr>
      <w:tr>
        <w:trPr>
          <w:trHeight w:val="223" w:hRule="exact"/>
        </w:trPr>
        <w:tc>
          <w:tcPr>
            <w:tcW w:w="6367" w:type="dxa"/>
          </w:tcPr>
          <w:p>
            <w:pPr>
              <w:pStyle w:val="TableParagraph"/>
              <w:spacing w:before="19"/>
              <w:ind w:left="249"/>
              <w:jc w:val="left"/>
              <w:rPr>
                <w:sz w:val="18"/>
              </w:rPr>
            </w:pPr>
            <w:r>
              <w:rPr>
                <w:sz w:val="18"/>
              </w:rPr>
              <w:t>Western Sydney University</w:t>
            </w:r>
          </w:p>
        </w:tc>
        <w:tc>
          <w:tcPr>
            <w:tcW w:w="1459" w:type="dxa"/>
          </w:tcPr>
          <w:p>
            <w:pPr>
              <w:pStyle w:val="TableParagraph"/>
              <w:spacing w:before="18"/>
              <w:ind w:right="248"/>
              <w:rPr>
                <w:b/>
                <w:sz w:val="18"/>
              </w:rPr>
            </w:pPr>
            <w:r>
              <w:rPr>
                <w:b/>
                <w:w w:val="95"/>
                <w:sz w:val="18"/>
              </w:rPr>
              <w:t>5,651,726</w:t>
            </w:r>
          </w:p>
        </w:tc>
        <w:tc>
          <w:tcPr>
            <w:tcW w:w="1136" w:type="dxa"/>
          </w:tcPr>
          <w:p>
            <w:pPr>
              <w:pStyle w:val="TableParagraph"/>
              <w:spacing w:before="18"/>
              <w:ind w:right="85"/>
              <w:rPr>
                <w:sz w:val="18"/>
              </w:rPr>
            </w:pPr>
            <w:r>
              <w:rPr>
                <w:w w:val="95"/>
                <w:sz w:val="18"/>
              </w:rPr>
              <w:t>6,560,759</w:t>
            </w:r>
          </w:p>
        </w:tc>
      </w:tr>
      <w:tr>
        <w:trPr>
          <w:trHeight w:val="303" w:hRule="exact"/>
        </w:trPr>
        <w:tc>
          <w:tcPr>
            <w:tcW w:w="6367" w:type="dxa"/>
          </w:tcPr>
          <w:p>
            <w:pPr>
              <w:pStyle w:val="TableParagraph"/>
              <w:spacing w:before="58"/>
              <w:ind w:left="35"/>
              <w:jc w:val="left"/>
              <w:rPr>
                <w:sz w:val="18"/>
              </w:rPr>
            </w:pPr>
            <w:r>
              <w:rPr>
                <w:sz w:val="18"/>
              </w:rPr>
              <w:t>Current receivables (provision of services)</w:t>
            </w:r>
          </w:p>
        </w:tc>
        <w:tc>
          <w:tcPr>
            <w:tcW w:w="1459" w:type="dxa"/>
          </w:tcPr>
          <w:p>
            <w:pPr/>
          </w:p>
        </w:tc>
        <w:tc>
          <w:tcPr>
            <w:tcW w:w="1136" w:type="dxa"/>
          </w:tcPr>
          <w:p>
            <w:pPr/>
          </w:p>
        </w:tc>
      </w:tr>
      <w:tr>
        <w:trPr>
          <w:trHeight w:val="262" w:hRule="exact"/>
        </w:trPr>
        <w:tc>
          <w:tcPr>
            <w:tcW w:w="6367" w:type="dxa"/>
          </w:tcPr>
          <w:p>
            <w:pPr>
              <w:pStyle w:val="TableParagraph"/>
              <w:spacing w:before="19"/>
              <w:ind w:right="1660"/>
              <w:rPr>
                <w:sz w:val="18"/>
              </w:rPr>
            </w:pPr>
            <w:r>
              <w:rPr>
                <w:sz w:val="18"/>
              </w:rPr>
              <w:t>Western Sydney University International College Pty Ltd</w:t>
            </w:r>
          </w:p>
        </w:tc>
        <w:tc>
          <w:tcPr>
            <w:tcW w:w="1459" w:type="dxa"/>
            <w:tcBorders>
              <w:bottom w:val="single" w:sz="0" w:space="0" w:color="000000"/>
            </w:tcBorders>
          </w:tcPr>
          <w:p>
            <w:pPr>
              <w:pStyle w:val="TableParagraph"/>
              <w:spacing w:before="18"/>
              <w:ind w:right="248"/>
              <w:rPr>
                <w:b/>
                <w:sz w:val="18"/>
              </w:rPr>
            </w:pPr>
            <w:r>
              <w:rPr>
                <w:b/>
                <w:w w:val="95"/>
                <w:sz w:val="18"/>
              </w:rPr>
              <w:t>585,588</w:t>
            </w:r>
          </w:p>
        </w:tc>
        <w:tc>
          <w:tcPr>
            <w:tcW w:w="1136" w:type="dxa"/>
            <w:tcBorders>
              <w:bottom w:val="single" w:sz="0" w:space="0" w:color="000000"/>
            </w:tcBorders>
          </w:tcPr>
          <w:p>
            <w:pPr>
              <w:pStyle w:val="TableParagraph"/>
              <w:spacing w:before="18"/>
              <w:ind w:right="85"/>
              <w:rPr>
                <w:sz w:val="18"/>
              </w:rPr>
            </w:pPr>
            <w:r>
              <w:rPr>
                <w:w w:val="95"/>
                <w:sz w:val="18"/>
              </w:rPr>
              <w:t>86,250</w:t>
            </w:r>
          </w:p>
        </w:tc>
      </w:tr>
      <w:tr>
        <w:trPr>
          <w:trHeight w:val="338" w:hRule="exact"/>
        </w:trPr>
        <w:tc>
          <w:tcPr>
            <w:tcW w:w="6367" w:type="dxa"/>
          </w:tcPr>
          <w:p>
            <w:pPr>
              <w:pStyle w:val="TableParagraph"/>
              <w:spacing w:before="123"/>
              <w:ind w:left="35"/>
              <w:jc w:val="left"/>
              <w:rPr>
                <w:b/>
                <w:sz w:val="18"/>
              </w:rPr>
            </w:pPr>
            <w:r>
              <w:rPr>
                <w:b/>
                <w:sz w:val="18"/>
              </w:rPr>
              <w:t>Total current receivables</w:t>
            </w:r>
          </w:p>
        </w:tc>
        <w:tc>
          <w:tcPr>
            <w:tcW w:w="1459" w:type="dxa"/>
            <w:tcBorders>
              <w:top w:val="single" w:sz="0" w:space="0" w:color="000000"/>
              <w:bottom w:val="single" w:sz="0" w:space="0" w:color="000000"/>
            </w:tcBorders>
          </w:tcPr>
          <w:p>
            <w:pPr>
              <w:pStyle w:val="TableParagraph"/>
              <w:spacing w:before="122"/>
              <w:ind w:right="248"/>
              <w:rPr>
                <w:b/>
                <w:sz w:val="18"/>
              </w:rPr>
            </w:pPr>
            <w:r>
              <w:rPr>
                <w:b/>
                <w:w w:val="95"/>
                <w:sz w:val="18"/>
              </w:rPr>
              <w:t>6,237,314</w:t>
            </w:r>
          </w:p>
        </w:tc>
        <w:tc>
          <w:tcPr>
            <w:tcW w:w="1136" w:type="dxa"/>
            <w:tcBorders>
              <w:top w:val="single" w:sz="0" w:space="0" w:color="000000"/>
              <w:bottom w:val="single" w:sz="0" w:space="0" w:color="000000"/>
            </w:tcBorders>
          </w:tcPr>
          <w:p>
            <w:pPr>
              <w:pStyle w:val="TableParagraph"/>
              <w:spacing w:before="122"/>
              <w:ind w:right="85"/>
              <w:rPr>
                <w:sz w:val="18"/>
              </w:rPr>
            </w:pPr>
            <w:r>
              <w:rPr>
                <w:w w:val="95"/>
                <w:sz w:val="18"/>
              </w:rPr>
              <w:t>6,647,009</w:t>
            </w:r>
          </w:p>
        </w:tc>
      </w:tr>
      <w:tr>
        <w:trPr>
          <w:trHeight w:val="548" w:hRule="exact"/>
        </w:trPr>
        <w:tc>
          <w:tcPr>
            <w:tcW w:w="6367" w:type="dxa"/>
          </w:tcPr>
          <w:p>
            <w:pPr>
              <w:pStyle w:val="TableParagraph"/>
              <w:spacing w:before="6"/>
              <w:jc w:val="left"/>
              <w:rPr>
                <w:sz w:val="25"/>
              </w:rPr>
            </w:pPr>
          </w:p>
          <w:p>
            <w:pPr>
              <w:pStyle w:val="TableParagraph"/>
              <w:ind w:left="35"/>
              <w:jc w:val="left"/>
              <w:rPr>
                <w:sz w:val="18"/>
              </w:rPr>
            </w:pPr>
            <w:r>
              <w:rPr>
                <w:sz w:val="18"/>
              </w:rPr>
              <w:t>Non-current receivables (loans)</w:t>
            </w:r>
          </w:p>
        </w:tc>
        <w:tc>
          <w:tcPr>
            <w:tcW w:w="1459" w:type="dxa"/>
            <w:tcBorders>
              <w:top w:val="single" w:sz="0" w:space="0" w:color="000000"/>
            </w:tcBorders>
          </w:tcPr>
          <w:p>
            <w:pPr/>
          </w:p>
        </w:tc>
        <w:tc>
          <w:tcPr>
            <w:tcW w:w="1136" w:type="dxa"/>
            <w:tcBorders>
              <w:top w:val="single" w:sz="0" w:space="0" w:color="000000"/>
            </w:tcBorders>
          </w:tcPr>
          <w:p>
            <w:pPr/>
          </w:p>
        </w:tc>
      </w:tr>
      <w:tr>
        <w:trPr>
          <w:trHeight w:val="272" w:hRule="exact"/>
        </w:trPr>
        <w:tc>
          <w:tcPr>
            <w:tcW w:w="6367" w:type="dxa"/>
          </w:tcPr>
          <w:p>
            <w:pPr>
              <w:pStyle w:val="TableParagraph"/>
              <w:spacing w:before="29"/>
              <w:ind w:right="1660"/>
              <w:rPr>
                <w:sz w:val="18"/>
              </w:rPr>
            </w:pPr>
            <w:r>
              <w:rPr>
                <w:sz w:val="18"/>
              </w:rPr>
              <w:t>Western Sydney University International College Pty Ltd</w:t>
            </w:r>
          </w:p>
        </w:tc>
        <w:tc>
          <w:tcPr>
            <w:tcW w:w="1459" w:type="dxa"/>
            <w:tcBorders>
              <w:bottom w:val="single" w:sz="0" w:space="0" w:color="000000"/>
            </w:tcBorders>
          </w:tcPr>
          <w:p>
            <w:pPr>
              <w:pStyle w:val="TableParagraph"/>
              <w:spacing w:before="28"/>
              <w:ind w:right="248"/>
              <w:rPr>
                <w:b/>
                <w:sz w:val="18"/>
              </w:rPr>
            </w:pPr>
            <w:r>
              <w:rPr>
                <w:b/>
                <w:w w:val="95"/>
                <w:sz w:val="18"/>
              </w:rPr>
              <w:t>247,890</w:t>
            </w:r>
          </w:p>
        </w:tc>
        <w:tc>
          <w:tcPr>
            <w:tcW w:w="1136" w:type="dxa"/>
            <w:tcBorders>
              <w:bottom w:val="single" w:sz="0" w:space="0" w:color="000000"/>
            </w:tcBorders>
          </w:tcPr>
          <w:p>
            <w:pPr>
              <w:pStyle w:val="TableParagraph"/>
              <w:spacing w:before="28"/>
              <w:ind w:right="187"/>
              <w:jc w:val="center"/>
              <w:rPr>
                <w:sz w:val="18"/>
              </w:rPr>
            </w:pPr>
            <w:r>
              <w:rPr>
                <w:w w:val="99"/>
                <w:sz w:val="18"/>
              </w:rPr>
              <w:t>-</w:t>
            </w:r>
          </w:p>
        </w:tc>
      </w:tr>
      <w:tr>
        <w:trPr>
          <w:trHeight w:val="338" w:hRule="exact"/>
        </w:trPr>
        <w:tc>
          <w:tcPr>
            <w:tcW w:w="6367" w:type="dxa"/>
          </w:tcPr>
          <w:p>
            <w:pPr>
              <w:pStyle w:val="TableParagraph"/>
              <w:spacing w:before="123"/>
              <w:ind w:left="35"/>
              <w:jc w:val="left"/>
              <w:rPr>
                <w:b/>
                <w:sz w:val="18"/>
              </w:rPr>
            </w:pPr>
            <w:r>
              <w:rPr>
                <w:b/>
                <w:sz w:val="18"/>
              </w:rPr>
              <w:t>Total non-current receivables</w:t>
            </w:r>
          </w:p>
        </w:tc>
        <w:tc>
          <w:tcPr>
            <w:tcW w:w="1459" w:type="dxa"/>
            <w:tcBorders>
              <w:top w:val="single" w:sz="0" w:space="0" w:color="000000"/>
              <w:bottom w:val="single" w:sz="0" w:space="0" w:color="000000"/>
            </w:tcBorders>
          </w:tcPr>
          <w:p>
            <w:pPr>
              <w:pStyle w:val="TableParagraph"/>
              <w:spacing w:before="122"/>
              <w:ind w:right="248"/>
              <w:rPr>
                <w:b/>
                <w:sz w:val="18"/>
              </w:rPr>
            </w:pPr>
            <w:r>
              <w:rPr>
                <w:b/>
                <w:w w:val="95"/>
                <w:sz w:val="18"/>
              </w:rPr>
              <w:t>247,890</w:t>
            </w:r>
          </w:p>
        </w:tc>
        <w:tc>
          <w:tcPr>
            <w:tcW w:w="1136" w:type="dxa"/>
            <w:tcBorders>
              <w:top w:val="single" w:sz="0" w:space="0" w:color="000000"/>
              <w:bottom w:val="single" w:sz="0" w:space="0" w:color="000000"/>
            </w:tcBorders>
          </w:tcPr>
          <w:p>
            <w:pPr>
              <w:pStyle w:val="TableParagraph"/>
              <w:spacing w:before="122"/>
              <w:ind w:right="187"/>
              <w:jc w:val="center"/>
              <w:rPr>
                <w:sz w:val="18"/>
              </w:rPr>
            </w:pPr>
            <w:r>
              <w:rPr>
                <w:w w:val="99"/>
                <w:sz w:val="18"/>
              </w:rPr>
              <w:t>-</w:t>
            </w:r>
          </w:p>
        </w:tc>
      </w:tr>
      <w:tr>
        <w:trPr>
          <w:trHeight w:val="544" w:hRule="exact"/>
        </w:trPr>
        <w:tc>
          <w:tcPr>
            <w:tcW w:w="6367" w:type="dxa"/>
          </w:tcPr>
          <w:p>
            <w:pPr>
              <w:pStyle w:val="TableParagraph"/>
              <w:jc w:val="left"/>
              <w:rPr>
                <w:sz w:val="26"/>
              </w:rPr>
            </w:pPr>
          </w:p>
          <w:p>
            <w:pPr>
              <w:pStyle w:val="TableParagraph"/>
              <w:ind w:left="35"/>
              <w:jc w:val="left"/>
              <w:rPr>
                <w:sz w:val="18"/>
              </w:rPr>
            </w:pPr>
            <w:r>
              <w:rPr>
                <w:sz w:val="18"/>
              </w:rPr>
              <w:t>Current payables (purchase of services)</w:t>
            </w:r>
          </w:p>
        </w:tc>
        <w:tc>
          <w:tcPr>
            <w:tcW w:w="1459" w:type="dxa"/>
            <w:tcBorders>
              <w:top w:val="single" w:sz="0" w:space="0" w:color="000000"/>
            </w:tcBorders>
          </w:tcPr>
          <w:p>
            <w:pPr/>
          </w:p>
        </w:tc>
        <w:tc>
          <w:tcPr>
            <w:tcW w:w="1136" w:type="dxa"/>
            <w:tcBorders>
              <w:top w:val="single" w:sz="0" w:space="0" w:color="000000"/>
            </w:tcBorders>
          </w:tcPr>
          <w:p>
            <w:pPr/>
          </w:p>
        </w:tc>
      </w:tr>
      <w:tr>
        <w:trPr>
          <w:trHeight w:val="262" w:hRule="exact"/>
        </w:trPr>
        <w:tc>
          <w:tcPr>
            <w:tcW w:w="6367" w:type="dxa"/>
          </w:tcPr>
          <w:p>
            <w:pPr>
              <w:pStyle w:val="TableParagraph"/>
              <w:spacing w:before="19"/>
              <w:ind w:right="1660"/>
              <w:rPr>
                <w:sz w:val="18"/>
              </w:rPr>
            </w:pPr>
            <w:r>
              <w:rPr>
                <w:sz w:val="18"/>
              </w:rPr>
              <w:t>Western Sydney University International College Pty Ltd</w:t>
            </w:r>
          </w:p>
        </w:tc>
        <w:tc>
          <w:tcPr>
            <w:tcW w:w="1459" w:type="dxa"/>
            <w:tcBorders>
              <w:bottom w:val="single" w:sz="0" w:space="0" w:color="000000"/>
            </w:tcBorders>
          </w:tcPr>
          <w:p>
            <w:pPr>
              <w:pStyle w:val="TableParagraph"/>
              <w:spacing w:before="18"/>
              <w:ind w:right="248"/>
              <w:rPr>
                <w:b/>
                <w:sz w:val="18"/>
              </w:rPr>
            </w:pPr>
            <w:r>
              <w:rPr>
                <w:b/>
                <w:w w:val="95"/>
                <w:sz w:val="18"/>
              </w:rPr>
              <w:t>684,058</w:t>
            </w:r>
          </w:p>
        </w:tc>
        <w:tc>
          <w:tcPr>
            <w:tcW w:w="1136" w:type="dxa"/>
            <w:tcBorders>
              <w:bottom w:val="single" w:sz="0" w:space="0" w:color="000000"/>
            </w:tcBorders>
          </w:tcPr>
          <w:p>
            <w:pPr>
              <w:pStyle w:val="TableParagraph"/>
              <w:spacing w:before="18"/>
              <w:ind w:right="187"/>
              <w:jc w:val="center"/>
              <w:rPr>
                <w:sz w:val="18"/>
              </w:rPr>
            </w:pPr>
            <w:r>
              <w:rPr>
                <w:w w:val="99"/>
                <w:sz w:val="18"/>
              </w:rPr>
              <w:t>-</w:t>
            </w:r>
          </w:p>
        </w:tc>
      </w:tr>
      <w:tr>
        <w:trPr>
          <w:trHeight w:val="338" w:hRule="exact"/>
        </w:trPr>
        <w:tc>
          <w:tcPr>
            <w:tcW w:w="6367" w:type="dxa"/>
          </w:tcPr>
          <w:p>
            <w:pPr>
              <w:pStyle w:val="TableParagraph"/>
              <w:spacing w:before="123"/>
              <w:ind w:left="35"/>
              <w:jc w:val="left"/>
              <w:rPr>
                <w:b/>
                <w:sz w:val="18"/>
              </w:rPr>
            </w:pPr>
            <w:r>
              <w:rPr>
                <w:b/>
                <w:sz w:val="18"/>
              </w:rPr>
              <w:t>Total current payables</w:t>
            </w:r>
          </w:p>
        </w:tc>
        <w:tc>
          <w:tcPr>
            <w:tcW w:w="1459" w:type="dxa"/>
            <w:tcBorders>
              <w:top w:val="single" w:sz="0" w:space="0" w:color="000000"/>
              <w:bottom w:val="single" w:sz="0" w:space="0" w:color="000000"/>
            </w:tcBorders>
          </w:tcPr>
          <w:p>
            <w:pPr>
              <w:pStyle w:val="TableParagraph"/>
              <w:spacing w:before="122"/>
              <w:ind w:right="248"/>
              <w:rPr>
                <w:b/>
                <w:sz w:val="18"/>
              </w:rPr>
            </w:pPr>
            <w:r>
              <w:rPr>
                <w:b/>
                <w:w w:val="95"/>
                <w:sz w:val="18"/>
              </w:rPr>
              <w:t>684,058</w:t>
            </w:r>
          </w:p>
        </w:tc>
        <w:tc>
          <w:tcPr>
            <w:tcW w:w="1136" w:type="dxa"/>
            <w:tcBorders>
              <w:top w:val="single" w:sz="0" w:space="0" w:color="000000"/>
              <w:bottom w:val="single" w:sz="0" w:space="0" w:color="000000"/>
            </w:tcBorders>
          </w:tcPr>
          <w:p>
            <w:pPr>
              <w:pStyle w:val="TableParagraph"/>
              <w:spacing w:before="122"/>
              <w:ind w:right="187"/>
              <w:jc w:val="center"/>
              <w:rPr>
                <w:sz w:val="18"/>
              </w:rPr>
            </w:pPr>
            <w:r>
              <w:rPr>
                <w:w w:val="99"/>
                <w:sz w:val="18"/>
              </w:rPr>
              <w:t>-</w:t>
            </w:r>
          </w:p>
        </w:tc>
      </w:tr>
    </w:tbl>
    <w:p>
      <w:pPr>
        <w:pStyle w:val="BodyText"/>
        <w:spacing w:before="3"/>
        <w:rPr>
          <w:sz w:val="19"/>
        </w:rPr>
      </w:pPr>
    </w:p>
    <w:p>
      <w:pPr>
        <w:pStyle w:val="BodyText"/>
        <w:spacing w:before="77"/>
        <w:ind w:left="2392" w:right="1375"/>
      </w:pPr>
      <w:r>
        <w:rPr/>
        <w:drawing>
          <wp:anchor distT="0" distB="0" distL="0" distR="0" allowOverlap="1" layoutInCell="1" locked="0" behindDoc="0" simplePos="0" relativeHeight="9424">
            <wp:simplePos x="0" y="0"/>
            <wp:positionH relativeFrom="page">
              <wp:posOffset>-1587</wp:posOffset>
            </wp:positionH>
            <wp:positionV relativeFrom="paragraph">
              <wp:posOffset>-656794</wp:posOffset>
            </wp:positionV>
            <wp:extent cx="135159" cy="154019"/>
            <wp:effectExtent l="0" t="0" r="0" b="0"/>
            <wp:wrapNone/>
            <wp:docPr id="629" name="image13.png" descr=""/>
            <wp:cNvGraphicFramePr>
              <a:graphicFrameLocks noChangeAspect="1"/>
            </wp:cNvGraphicFramePr>
            <a:graphic>
              <a:graphicData uri="http://schemas.openxmlformats.org/drawingml/2006/picture">
                <pic:pic>
                  <pic:nvPicPr>
                    <pic:cNvPr id="630" name="image13.png"/>
                    <pic:cNvPicPr/>
                  </pic:nvPicPr>
                  <pic:blipFill>
                    <a:blip r:embed="rId18" cstate="print"/>
                    <a:stretch>
                      <a:fillRect/>
                    </a:stretch>
                  </pic:blipFill>
                  <pic:spPr>
                    <a:xfrm>
                      <a:off x="0" y="0"/>
                      <a:ext cx="135159" cy="154019"/>
                    </a:xfrm>
                    <a:prstGeom prst="rect">
                      <a:avLst/>
                    </a:prstGeom>
                  </pic:spPr>
                </pic:pic>
              </a:graphicData>
            </a:graphic>
          </wp:anchor>
        </w:drawing>
      </w:r>
      <w:r>
        <w:rPr/>
        <w:drawing>
          <wp:anchor distT="0" distB="0" distL="0" distR="0" allowOverlap="1" layoutInCell="1" locked="0" behindDoc="0" simplePos="0" relativeHeight="9448">
            <wp:simplePos x="0" y="0"/>
            <wp:positionH relativeFrom="page">
              <wp:posOffset>7958429</wp:posOffset>
            </wp:positionH>
            <wp:positionV relativeFrom="paragraph">
              <wp:posOffset>-656794</wp:posOffset>
            </wp:positionV>
            <wp:extent cx="135953" cy="155575"/>
            <wp:effectExtent l="0" t="0" r="0" b="0"/>
            <wp:wrapNone/>
            <wp:docPr id="631" name="image15.png" descr=""/>
            <wp:cNvGraphicFramePr>
              <a:graphicFrameLocks noChangeAspect="1"/>
            </wp:cNvGraphicFramePr>
            <a:graphic>
              <a:graphicData uri="http://schemas.openxmlformats.org/drawingml/2006/picture">
                <pic:pic>
                  <pic:nvPicPr>
                    <pic:cNvPr id="632" name="image15.png"/>
                    <pic:cNvPicPr/>
                  </pic:nvPicPr>
                  <pic:blipFill>
                    <a:blip r:embed="rId20" cstate="print"/>
                    <a:stretch>
                      <a:fillRect/>
                    </a:stretch>
                  </pic:blipFill>
                  <pic:spPr>
                    <a:xfrm>
                      <a:off x="0" y="0"/>
                      <a:ext cx="135953" cy="155575"/>
                    </a:xfrm>
                    <a:prstGeom prst="rect">
                      <a:avLst/>
                    </a:prstGeom>
                  </pic:spPr>
                </pic:pic>
              </a:graphicData>
            </a:graphic>
          </wp:anchor>
        </w:drawing>
      </w:r>
      <w:r>
        <w:rPr/>
        <w:t>No provisions for doubtful debts have been raised in relation to any outstanding balances, and no expense has been recognised in respect of bad or doubtful debts due from related parties.</w:t>
      </w:r>
    </w:p>
    <w:p>
      <w:pPr>
        <w:spacing w:after="0"/>
        <w:sectPr>
          <w:pgSz w:w="12750" w:h="17680"/>
          <w:pgMar w:header="0" w:footer="867" w:top="1880" w:bottom="1120" w:left="0" w:right="0"/>
        </w:sectPr>
      </w:pPr>
    </w:p>
    <w:p>
      <w:pPr>
        <w:pStyle w:val="BodyText"/>
        <w:spacing w:before="2"/>
        <w:rPr>
          <w:sz w:val="24"/>
        </w:rPr>
      </w:pPr>
    </w:p>
    <w:p>
      <w:pPr>
        <w:pStyle w:val="Heading4"/>
      </w:pPr>
      <w:r>
        <w:rPr/>
        <w:t>Notes to the Financial Statements</w:t>
      </w:r>
    </w:p>
    <w:p>
      <w:pPr>
        <w:pStyle w:val="Heading7"/>
      </w:pPr>
      <w:bookmarkStart w:name="21 Reconciliation of Surplus to Net Cash" w:id="255"/>
      <w:bookmarkEnd w:id="255"/>
      <w:r>
        <w:rPr>
          <w:b w:val="0"/>
        </w:rPr>
      </w:r>
      <w:r>
        <w:rPr/>
        <w:t>For the Year Ended 31 December 2016</w:t>
      </w:r>
    </w:p>
    <w:p>
      <w:pPr>
        <w:pStyle w:val="BodyText"/>
        <w:rPr>
          <w:b/>
          <w:sz w:val="22"/>
        </w:rPr>
      </w:pPr>
    </w:p>
    <w:p>
      <w:pPr>
        <w:pStyle w:val="BodyText"/>
        <w:rPr>
          <w:b/>
          <w:sz w:val="22"/>
        </w:rPr>
      </w:pPr>
    </w:p>
    <w:p>
      <w:pPr>
        <w:pStyle w:val="Heading8"/>
        <w:numPr>
          <w:ilvl w:val="0"/>
          <w:numId w:val="56"/>
        </w:numPr>
        <w:tabs>
          <w:tab w:pos="1826" w:val="left" w:leader="none"/>
        </w:tabs>
        <w:spacing w:line="240" w:lineRule="auto" w:before="160" w:after="0"/>
        <w:ind w:left="1825" w:right="0" w:hanging="396"/>
        <w:jc w:val="left"/>
      </w:pPr>
      <w:r>
        <w:rPr/>
        <w:t>Reconciliation of Surplus to Net Cash Flows From Operating</w:t>
      </w:r>
      <w:r>
        <w:rPr>
          <w:spacing w:val="-7"/>
        </w:rPr>
        <w:t> </w:t>
      </w:r>
      <w:r>
        <w:rPr/>
        <w:t>Activities</w:t>
      </w:r>
    </w:p>
    <w:p>
      <w:pPr>
        <w:pStyle w:val="BodyText"/>
        <w:rPr>
          <w:b/>
          <w:sz w:val="20"/>
        </w:rPr>
      </w:pPr>
    </w:p>
    <w:p>
      <w:pPr>
        <w:pStyle w:val="BodyText"/>
        <w:spacing w:before="1" w:after="1"/>
        <w:rPr>
          <w:b/>
          <w:sz w:val="19"/>
        </w:rPr>
      </w:pPr>
    </w:p>
    <w:tbl>
      <w:tblPr>
        <w:tblW w:w="0" w:type="auto"/>
        <w:jc w:val="left"/>
        <w:tblInd w:w="139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16"/>
        <w:gridCol w:w="6942"/>
        <w:gridCol w:w="1488"/>
        <w:gridCol w:w="1112"/>
      </w:tblGrid>
      <w:tr>
        <w:trPr>
          <w:trHeight w:val="864" w:hRule="exact"/>
        </w:trPr>
        <w:tc>
          <w:tcPr>
            <w:tcW w:w="7357" w:type="dxa"/>
            <w:gridSpan w:val="2"/>
          </w:tcPr>
          <w:p>
            <w:pPr>
              <w:pStyle w:val="TableParagraph"/>
              <w:jc w:val="left"/>
              <w:rPr>
                <w:b/>
                <w:sz w:val="18"/>
              </w:rPr>
            </w:pPr>
          </w:p>
          <w:p>
            <w:pPr>
              <w:pStyle w:val="TableParagraph"/>
              <w:jc w:val="left"/>
              <w:rPr>
                <w:b/>
                <w:sz w:val="18"/>
              </w:rPr>
            </w:pPr>
          </w:p>
          <w:p>
            <w:pPr>
              <w:pStyle w:val="TableParagraph"/>
              <w:spacing w:before="8"/>
              <w:jc w:val="left"/>
              <w:rPr>
                <w:b/>
                <w:sz w:val="17"/>
              </w:rPr>
            </w:pPr>
          </w:p>
          <w:p>
            <w:pPr>
              <w:pStyle w:val="TableParagraph"/>
              <w:ind w:left="470"/>
              <w:jc w:val="left"/>
              <w:rPr>
                <w:sz w:val="18"/>
              </w:rPr>
            </w:pPr>
            <w:r>
              <w:rPr>
                <w:sz w:val="18"/>
              </w:rPr>
              <w:t>Surplus for the year</w:t>
            </w:r>
          </w:p>
        </w:tc>
        <w:tc>
          <w:tcPr>
            <w:tcW w:w="1488" w:type="dxa"/>
          </w:tcPr>
          <w:p>
            <w:pPr>
              <w:pStyle w:val="TableParagraph"/>
              <w:spacing w:before="77"/>
              <w:ind w:left="452" w:right="596"/>
              <w:jc w:val="center"/>
              <w:rPr>
                <w:b/>
                <w:sz w:val="18"/>
              </w:rPr>
            </w:pPr>
            <w:r>
              <w:rPr>
                <w:b/>
                <w:sz w:val="18"/>
              </w:rPr>
              <w:t>2016</w:t>
            </w:r>
          </w:p>
          <w:p>
            <w:pPr>
              <w:pStyle w:val="TableParagraph"/>
              <w:spacing w:before="66"/>
              <w:ind w:right="143"/>
              <w:jc w:val="center"/>
              <w:rPr>
                <w:b/>
                <w:sz w:val="18"/>
              </w:rPr>
            </w:pPr>
            <w:r>
              <w:rPr>
                <w:b/>
                <w:w w:val="99"/>
                <w:sz w:val="18"/>
              </w:rPr>
              <w:t>$</w:t>
            </w:r>
          </w:p>
          <w:p>
            <w:pPr>
              <w:pStyle w:val="TableParagraph"/>
              <w:spacing w:before="62"/>
              <w:ind w:right="144"/>
              <w:jc w:val="center"/>
              <w:rPr>
                <w:b/>
                <w:sz w:val="18"/>
              </w:rPr>
            </w:pPr>
            <w:r>
              <w:rPr>
                <w:b/>
                <w:w w:val="99"/>
                <w:sz w:val="18"/>
              </w:rPr>
              <w:t>-</w:t>
            </w:r>
          </w:p>
        </w:tc>
        <w:tc>
          <w:tcPr>
            <w:tcW w:w="1112" w:type="dxa"/>
          </w:tcPr>
          <w:p>
            <w:pPr>
              <w:pStyle w:val="TableParagraph"/>
              <w:spacing w:before="77"/>
              <w:ind w:left="246" w:right="425"/>
              <w:jc w:val="center"/>
              <w:rPr>
                <w:b/>
                <w:sz w:val="18"/>
              </w:rPr>
            </w:pPr>
            <w:r>
              <w:rPr>
                <w:b/>
                <w:sz w:val="18"/>
              </w:rPr>
              <w:t>2015</w:t>
            </w:r>
          </w:p>
          <w:p>
            <w:pPr>
              <w:pStyle w:val="TableParagraph"/>
              <w:spacing w:before="66"/>
              <w:ind w:right="177"/>
              <w:jc w:val="center"/>
              <w:rPr>
                <w:b/>
                <w:sz w:val="18"/>
              </w:rPr>
            </w:pPr>
            <w:r>
              <w:rPr>
                <w:b/>
                <w:w w:val="99"/>
                <w:sz w:val="18"/>
              </w:rPr>
              <w:t>$</w:t>
            </w:r>
          </w:p>
          <w:p>
            <w:pPr>
              <w:pStyle w:val="TableParagraph"/>
              <w:spacing w:before="62"/>
              <w:ind w:right="179"/>
              <w:jc w:val="center"/>
              <w:rPr>
                <w:sz w:val="18"/>
              </w:rPr>
            </w:pPr>
            <w:r>
              <w:rPr>
                <w:w w:val="99"/>
                <w:sz w:val="18"/>
              </w:rPr>
              <w:t>-</w:t>
            </w:r>
          </w:p>
        </w:tc>
      </w:tr>
      <w:tr>
        <w:trPr>
          <w:trHeight w:val="262" w:hRule="exact"/>
        </w:trPr>
        <w:tc>
          <w:tcPr>
            <w:tcW w:w="7357" w:type="dxa"/>
            <w:gridSpan w:val="2"/>
          </w:tcPr>
          <w:p>
            <w:pPr>
              <w:pStyle w:val="TableParagraph"/>
              <w:spacing w:before="18"/>
              <w:ind w:left="470"/>
              <w:jc w:val="left"/>
              <w:rPr>
                <w:sz w:val="18"/>
              </w:rPr>
            </w:pPr>
            <w:r>
              <w:rPr>
                <w:sz w:val="18"/>
              </w:rPr>
              <w:t>Non-cash flows in surplus</w:t>
            </w:r>
          </w:p>
        </w:tc>
        <w:tc>
          <w:tcPr>
            <w:tcW w:w="1488" w:type="dxa"/>
          </w:tcPr>
          <w:p>
            <w:pPr/>
          </w:p>
        </w:tc>
        <w:tc>
          <w:tcPr>
            <w:tcW w:w="1112" w:type="dxa"/>
          </w:tcPr>
          <w:p>
            <w:pPr/>
          </w:p>
        </w:tc>
      </w:tr>
      <w:tr>
        <w:trPr>
          <w:trHeight w:val="263" w:hRule="exact"/>
        </w:trPr>
        <w:tc>
          <w:tcPr>
            <w:tcW w:w="7357" w:type="dxa"/>
            <w:gridSpan w:val="2"/>
          </w:tcPr>
          <w:p>
            <w:pPr>
              <w:pStyle w:val="TableParagraph"/>
              <w:spacing w:before="18"/>
              <w:ind w:left="685"/>
              <w:jc w:val="left"/>
              <w:rPr>
                <w:sz w:val="18"/>
              </w:rPr>
            </w:pPr>
            <w:r>
              <w:rPr>
                <w:sz w:val="18"/>
              </w:rPr>
              <w:t>Depreciation and amortisation</w:t>
            </w:r>
          </w:p>
        </w:tc>
        <w:tc>
          <w:tcPr>
            <w:tcW w:w="1488" w:type="dxa"/>
          </w:tcPr>
          <w:p>
            <w:pPr>
              <w:pStyle w:val="TableParagraph"/>
              <w:spacing w:before="19"/>
              <w:ind w:right="276"/>
              <w:rPr>
                <w:b/>
                <w:sz w:val="18"/>
              </w:rPr>
            </w:pPr>
            <w:r>
              <w:rPr>
                <w:b/>
                <w:w w:val="95"/>
                <w:sz w:val="18"/>
              </w:rPr>
              <w:t>1,235,440</w:t>
            </w:r>
          </w:p>
        </w:tc>
        <w:tc>
          <w:tcPr>
            <w:tcW w:w="1112" w:type="dxa"/>
          </w:tcPr>
          <w:p>
            <w:pPr>
              <w:pStyle w:val="TableParagraph"/>
              <w:spacing w:before="19"/>
              <w:ind w:right="92"/>
              <w:rPr>
                <w:sz w:val="18"/>
              </w:rPr>
            </w:pPr>
            <w:r>
              <w:rPr>
                <w:w w:val="95"/>
                <w:sz w:val="18"/>
              </w:rPr>
              <w:t>570,772</w:t>
            </w:r>
          </w:p>
        </w:tc>
      </w:tr>
      <w:tr>
        <w:trPr>
          <w:trHeight w:val="264" w:hRule="exact"/>
        </w:trPr>
        <w:tc>
          <w:tcPr>
            <w:tcW w:w="7357" w:type="dxa"/>
            <w:gridSpan w:val="2"/>
          </w:tcPr>
          <w:p>
            <w:pPr>
              <w:pStyle w:val="TableParagraph"/>
              <w:spacing w:before="18"/>
              <w:ind w:left="685"/>
              <w:jc w:val="left"/>
              <w:rPr>
                <w:sz w:val="18"/>
              </w:rPr>
            </w:pPr>
            <w:r>
              <w:rPr>
                <w:sz w:val="18"/>
              </w:rPr>
              <w:t>Western Sydney University Loan Interest non cash</w:t>
            </w:r>
          </w:p>
        </w:tc>
        <w:tc>
          <w:tcPr>
            <w:tcW w:w="1488" w:type="dxa"/>
          </w:tcPr>
          <w:p>
            <w:pPr>
              <w:pStyle w:val="TableParagraph"/>
              <w:spacing w:before="19"/>
              <w:ind w:right="217"/>
              <w:rPr>
                <w:b/>
                <w:sz w:val="18"/>
              </w:rPr>
            </w:pPr>
            <w:r>
              <w:rPr>
                <w:b/>
                <w:w w:val="95"/>
                <w:sz w:val="18"/>
              </w:rPr>
              <w:t>(100,130)</w:t>
            </w:r>
          </w:p>
        </w:tc>
        <w:tc>
          <w:tcPr>
            <w:tcW w:w="1112" w:type="dxa"/>
          </w:tcPr>
          <w:p>
            <w:pPr>
              <w:pStyle w:val="TableParagraph"/>
              <w:spacing w:before="19"/>
              <w:ind w:right="33"/>
              <w:rPr>
                <w:sz w:val="18"/>
              </w:rPr>
            </w:pPr>
            <w:r>
              <w:rPr>
                <w:w w:val="95"/>
                <w:sz w:val="18"/>
              </w:rPr>
              <w:t>(177,804)</w:t>
            </w:r>
          </w:p>
        </w:tc>
      </w:tr>
      <w:tr>
        <w:trPr>
          <w:trHeight w:val="264" w:hRule="exact"/>
        </w:trPr>
        <w:tc>
          <w:tcPr>
            <w:tcW w:w="7357" w:type="dxa"/>
            <w:gridSpan w:val="2"/>
          </w:tcPr>
          <w:p>
            <w:pPr>
              <w:pStyle w:val="TableParagraph"/>
              <w:spacing w:before="18"/>
              <w:ind w:left="685"/>
              <w:jc w:val="left"/>
              <w:rPr>
                <w:sz w:val="18"/>
              </w:rPr>
            </w:pPr>
            <w:r>
              <w:rPr>
                <w:sz w:val="18"/>
              </w:rPr>
              <w:t>Net loss on sale of non-current assets</w:t>
            </w:r>
          </w:p>
        </w:tc>
        <w:tc>
          <w:tcPr>
            <w:tcW w:w="1488" w:type="dxa"/>
          </w:tcPr>
          <w:p>
            <w:pPr>
              <w:pStyle w:val="TableParagraph"/>
              <w:spacing w:before="19"/>
              <w:ind w:right="144"/>
              <w:jc w:val="center"/>
              <w:rPr>
                <w:b/>
                <w:sz w:val="18"/>
              </w:rPr>
            </w:pPr>
            <w:r>
              <w:rPr>
                <w:b/>
                <w:w w:val="99"/>
                <w:sz w:val="18"/>
              </w:rPr>
              <w:t>-</w:t>
            </w:r>
          </w:p>
        </w:tc>
        <w:tc>
          <w:tcPr>
            <w:tcW w:w="1112" w:type="dxa"/>
          </w:tcPr>
          <w:p>
            <w:pPr>
              <w:pStyle w:val="TableParagraph"/>
              <w:spacing w:before="19"/>
              <w:ind w:right="92"/>
              <w:rPr>
                <w:sz w:val="18"/>
              </w:rPr>
            </w:pPr>
            <w:r>
              <w:rPr>
                <w:sz w:val="18"/>
              </w:rPr>
              <w:t>9,122</w:t>
            </w:r>
          </w:p>
        </w:tc>
      </w:tr>
      <w:tr>
        <w:trPr>
          <w:trHeight w:val="264" w:hRule="exact"/>
        </w:trPr>
        <w:tc>
          <w:tcPr>
            <w:tcW w:w="7357" w:type="dxa"/>
            <w:gridSpan w:val="2"/>
          </w:tcPr>
          <w:p>
            <w:pPr>
              <w:pStyle w:val="TableParagraph"/>
              <w:spacing w:before="18"/>
              <w:ind w:left="685"/>
              <w:jc w:val="left"/>
              <w:rPr>
                <w:sz w:val="18"/>
              </w:rPr>
            </w:pPr>
            <w:r>
              <w:rPr>
                <w:sz w:val="18"/>
              </w:rPr>
              <w:t>Doubtful debt provision</w:t>
            </w:r>
          </w:p>
        </w:tc>
        <w:tc>
          <w:tcPr>
            <w:tcW w:w="1488" w:type="dxa"/>
          </w:tcPr>
          <w:p>
            <w:pPr>
              <w:pStyle w:val="TableParagraph"/>
              <w:spacing w:before="19"/>
              <w:ind w:right="276"/>
              <w:rPr>
                <w:b/>
                <w:sz w:val="18"/>
              </w:rPr>
            </w:pPr>
            <w:r>
              <w:rPr>
                <w:b/>
                <w:w w:val="95"/>
                <w:sz w:val="18"/>
              </w:rPr>
              <w:t>16,137</w:t>
            </w:r>
          </w:p>
        </w:tc>
        <w:tc>
          <w:tcPr>
            <w:tcW w:w="1112" w:type="dxa"/>
          </w:tcPr>
          <w:p>
            <w:pPr>
              <w:pStyle w:val="TableParagraph"/>
              <w:spacing w:before="19"/>
              <w:ind w:right="179"/>
              <w:jc w:val="center"/>
              <w:rPr>
                <w:sz w:val="18"/>
              </w:rPr>
            </w:pPr>
            <w:r>
              <w:rPr>
                <w:w w:val="99"/>
                <w:sz w:val="18"/>
              </w:rPr>
              <w:t>-</w:t>
            </w:r>
          </w:p>
        </w:tc>
      </w:tr>
      <w:tr>
        <w:trPr>
          <w:trHeight w:val="223" w:hRule="exact"/>
        </w:trPr>
        <w:tc>
          <w:tcPr>
            <w:tcW w:w="7357" w:type="dxa"/>
            <w:gridSpan w:val="2"/>
          </w:tcPr>
          <w:p>
            <w:pPr>
              <w:pStyle w:val="TableParagraph"/>
              <w:spacing w:before="18"/>
              <w:ind w:left="685"/>
              <w:jc w:val="left"/>
              <w:rPr>
                <w:sz w:val="18"/>
              </w:rPr>
            </w:pPr>
            <w:r>
              <w:rPr>
                <w:sz w:val="18"/>
              </w:rPr>
              <w:t>Share of joint venture entity net profit after income tax and dividends</w:t>
            </w:r>
          </w:p>
        </w:tc>
        <w:tc>
          <w:tcPr>
            <w:tcW w:w="1488" w:type="dxa"/>
          </w:tcPr>
          <w:p>
            <w:pPr>
              <w:pStyle w:val="TableParagraph"/>
              <w:spacing w:before="19"/>
              <w:ind w:right="276"/>
              <w:rPr>
                <w:b/>
                <w:sz w:val="18"/>
              </w:rPr>
            </w:pPr>
            <w:r>
              <w:rPr>
                <w:b/>
                <w:w w:val="95"/>
                <w:sz w:val="18"/>
              </w:rPr>
              <w:t>1,052,110</w:t>
            </w:r>
          </w:p>
        </w:tc>
        <w:tc>
          <w:tcPr>
            <w:tcW w:w="1112" w:type="dxa"/>
          </w:tcPr>
          <w:p>
            <w:pPr>
              <w:pStyle w:val="TableParagraph"/>
              <w:spacing w:before="19"/>
              <w:ind w:right="92"/>
              <w:rPr>
                <w:sz w:val="18"/>
              </w:rPr>
            </w:pPr>
            <w:r>
              <w:rPr>
                <w:w w:val="95"/>
                <w:sz w:val="18"/>
              </w:rPr>
              <w:t>119,417</w:t>
            </w:r>
          </w:p>
        </w:tc>
      </w:tr>
      <w:tr>
        <w:trPr>
          <w:trHeight w:val="304" w:hRule="exact"/>
        </w:trPr>
        <w:tc>
          <w:tcPr>
            <w:tcW w:w="7357" w:type="dxa"/>
            <w:gridSpan w:val="2"/>
          </w:tcPr>
          <w:p>
            <w:pPr>
              <w:pStyle w:val="TableParagraph"/>
              <w:spacing w:before="60"/>
              <w:ind w:left="470"/>
              <w:jc w:val="left"/>
              <w:rPr>
                <w:sz w:val="18"/>
              </w:rPr>
            </w:pPr>
            <w:r>
              <w:rPr>
                <w:sz w:val="18"/>
              </w:rPr>
              <w:t>Changes in assets and liabilities</w:t>
            </w:r>
          </w:p>
        </w:tc>
        <w:tc>
          <w:tcPr>
            <w:tcW w:w="1488" w:type="dxa"/>
          </w:tcPr>
          <w:p>
            <w:pPr/>
          </w:p>
        </w:tc>
        <w:tc>
          <w:tcPr>
            <w:tcW w:w="1112" w:type="dxa"/>
          </w:tcPr>
          <w:p>
            <w:pPr/>
          </w:p>
        </w:tc>
      </w:tr>
      <w:tr>
        <w:trPr>
          <w:trHeight w:val="263" w:hRule="exact"/>
        </w:trPr>
        <w:tc>
          <w:tcPr>
            <w:tcW w:w="416" w:type="dxa"/>
          </w:tcPr>
          <w:p>
            <w:pPr/>
          </w:p>
        </w:tc>
        <w:tc>
          <w:tcPr>
            <w:tcW w:w="6942" w:type="dxa"/>
          </w:tcPr>
          <w:p>
            <w:pPr>
              <w:pStyle w:val="TableParagraph"/>
              <w:spacing w:before="18"/>
              <w:ind w:left="269"/>
              <w:jc w:val="left"/>
              <w:rPr>
                <w:sz w:val="18"/>
              </w:rPr>
            </w:pPr>
            <w:r>
              <w:rPr>
                <w:sz w:val="18"/>
              </w:rPr>
              <w:t>(increase)/decrease in trade and other receivables</w:t>
            </w:r>
          </w:p>
        </w:tc>
        <w:tc>
          <w:tcPr>
            <w:tcW w:w="1488" w:type="dxa"/>
          </w:tcPr>
          <w:p>
            <w:pPr>
              <w:pStyle w:val="TableParagraph"/>
              <w:spacing w:before="19"/>
              <w:ind w:right="217"/>
              <w:rPr>
                <w:b/>
                <w:sz w:val="18"/>
              </w:rPr>
            </w:pPr>
            <w:r>
              <w:rPr>
                <w:b/>
                <w:w w:val="95"/>
                <w:sz w:val="18"/>
              </w:rPr>
              <w:t>(48,787)</w:t>
            </w:r>
          </w:p>
        </w:tc>
        <w:tc>
          <w:tcPr>
            <w:tcW w:w="1112" w:type="dxa"/>
          </w:tcPr>
          <w:p>
            <w:pPr>
              <w:pStyle w:val="TableParagraph"/>
              <w:spacing w:before="19"/>
              <w:ind w:right="33"/>
              <w:rPr>
                <w:sz w:val="18"/>
              </w:rPr>
            </w:pPr>
            <w:r>
              <w:rPr>
                <w:w w:val="95"/>
                <w:sz w:val="18"/>
              </w:rPr>
              <w:t>(259,653)</w:t>
            </w:r>
          </w:p>
        </w:tc>
      </w:tr>
      <w:tr>
        <w:trPr>
          <w:trHeight w:val="264" w:hRule="exact"/>
        </w:trPr>
        <w:tc>
          <w:tcPr>
            <w:tcW w:w="416" w:type="dxa"/>
          </w:tcPr>
          <w:p>
            <w:pPr/>
          </w:p>
        </w:tc>
        <w:tc>
          <w:tcPr>
            <w:tcW w:w="6942" w:type="dxa"/>
          </w:tcPr>
          <w:p>
            <w:pPr>
              <w:pStyle w:val="TableParagraph"/>
              <w:spacing w:before="18"/>
              <w:ind w:left="269"/>
              <w:jc w:val="left"/>
              <w:rPr>
                <w:sz w:val="18"/>
              </w:rPr>
            </w:pPr>
            <w:r>
              <w:rPr>
                <w:sz w:val="18"/>
              </w:rPr>
              <w:t>(increase)/decrease in prepayments</w:t>
            </w:r>
          </w:p>
        </w:tc>
        <w:tc>
          <w:tcPr>
            <w:tcW w:w="1488" w:type="dxa"/>
          </w:tcPr>
          <w:p>
            <w:pPr>
              <w:pStyle w:val="TableParagraph"/>
              <w:spacing w:before="19"/>
              <w:ind w:right="276"/>
              <w:rPr>
                <w:b/>
                <w:sz w:val="18"/>
              </w:rPr>
            </w:pPr>
            <w:r>
              <w:rPr>
                <w:b/>
                <w:w w:val="95"/>
                <w:sz w:val="18"/>
              </w:rPr>
              <w:t>124,488</w:t>
            </w:r>
          </w:p>
        </w:tc>
        <w:tc>
          <w:tcPr>
            <w:tcW w:w="1112" w:type="dxa"/>
          </w:tcPr>
          <w:p>
            <w:pPr>
              <w:pStyle w:val="TableParagraph"/>
              <w:spacing w:before="19"/>
              <w:ind w:right="92"/>
              <w:rPr>
                <w:sz w:val="18"/>
              </w:rPr>
            </w:pPr>
            <w:r>
              <w:rPr>
                <w:w w:val="95"/>
                <w:sz w:val="18"/>
              </w:rPr>
              <w:t>191,101</w:t>
            </w:r>
          </w:p>
        </w:tc>
      </w:tr>
      <w:tr>
        <w:trPr>
          <w:trHeight w:val="264" w:hRule="exact"/>
        </w:trPr>
        <w:tc>
          <w:tcPr>
            <w:tcW w:w="416" w:type="dxa"/>
          </w:tcPr>
          <w:p>
            <w:pPr/>
          </w:p>
        </w:tc>
        <w:tc>
          <w:tcPr>
            <w:tcW w:w="6942" w:type="dxa"/>
          </w:tcPr>
          <w:p>
            <w:pPr>
              <w:pStyle w:val="TableParagraph"/>
              <w:spacing w:before="18"/>
              <w:ind w:left="269"/>
              <w:jc w:val="left"/>
              <w:rPr>
                <w:sz w:val="18"/>
              </w:rPr>
            </w:pPr>
            <w:r>
              <w:rPr>
                <w:sz w:val="18"/>
              </w:rPr>
              <w:t>increase/(decrease) in related party account balances</w:t>
            </w:r>
          </w:p>
        </w:tc>
        <w:tc>
          <w:tcPr>
            <w:tcW w:w="1488" w:type="dxa"/>
          </w:tcPr>
          <w:p>
            <w:pPr>
              <w:pStyle w:val="TableParagraph"/>
              <w:spacing w:before="19"/>
              <w:ind w:right="276"/>
              <w:rPr>
                <w:b/>
                <w:sz w:val="18"/>
              </w:rPr>
            </w:pPr>
            <w:r>
              <w:rPr>
                <w:b/>
                <w:w w:val="95"/>
                <w:sz w:val="18"/>
              </w:rPr>
              <w:t>106,021</w:t>
            </w:r>
          </w:p>
        </w:tc>
        <w:tc>
          <w:tcPr>
            <w:tcW w:w="1112" w:type="dxa"/>
          </w:tcPr>
          <w:p>
            <w:pPr>
              <w:pStyle w:val="TableParagraph"/>
              <w:spacing w:before="19"/>
              <w:ind w:right="92"/>
              <w:rPr>
                <w:sz w:val="18"/>
              </w:rPr>
            </w:pPr>
            <w:r>
              <w:rPr>
                <w:w w:val="95"/>
                <w:sz w:val="18"/>
              </w:rPr>
              <w:t>75,367</w:t>
            </w:r>
          </w:p>
        </w:tc>
      </w:tr>
      <w:tr>
        <w:trPr>
          <w:trHeight w:val="264" w:hRule="exact"/>
        </w:trPr>
        <w:tc>
          <w:tcPr>
            <w:tcW w:w="416" w:type="dxa"/>
          </w:tcPr>
          <w:p>
            <w:pPr/>
          </w:p>
        </w:tc>
        <w:tc>
          <w:tcPr>
            <w:tcW w:w="6942" w:type="dxa"/>
          </w:tcPr>
          <w:p>
            <w:pPr>
              <w:pStyle w:val="TableParagraph"/>
              <w:spacing w:before="18"/>
              <w:ind w:left="269"/>
              <w:jc w:val="left"/>
              <w:rPr>
                <w:sz w:val="18"/>
              </w:rPr>
            </w:pPr>
            <w:r>
              <w:rPr>
                <w:sz w:val="18"/>
              </w:rPr>
              <w:t>increase/(decrease) in accruals</w:t>
            </w:r>
          </w:p>
        </w:tc>
        <w:tc>
          <w:tcPr>
            <w:tcW w:w="1488" w:type="dxa"/>
          </w:tcPr>
          <w:p>
            <w:pPr>
              <w:pStyle w:val="TableParagraph"/>
              <w:spacing w:before="19"/>
              <w:ind w:right="276"/>
              <w:rPr>
                <w:b/>
                <w:sz w:val="18"/>
              </w:rPr>
            </w:pPr>
            <w:r>
              <w:rPr>
                <w:b/>
                <w:w w:val="95"/>
                <w:sz w:val="18"/>
              </w:rPr>
              <w:t>67,698</w:t>
            </w:r>
          </w:p>
        </w:tc>
        <w:tc>
          <w:tcPr>
            <w:tcW w:w="1112" w:type="dxa"/>
          </w:tcPr>
          <w:p>
            <w:pPr>
              <w:pStyle w:val="TableParagraph"/>
              <w:spacing w:before="19"/>
              <w:ind w:right="92"/>
              <w:rPr>
                <w:sz w:val="18"/>
              </w:rPr>
            </w:pPr>
            <w:r>
              <w:rPr>
                <w:w w:val="95"/>
                <w:sz w:val="18"/>
              </w:rPr>
              <w:t>444,694</w:t>
            </w:r>
          </w:p>
        </w:tc>
      </w:tr>
      <w:tr>
        <w:trPr>
          <w:trHeight w:val="264" w:hRule="exact"/>
        </w:trPr>
        <w:tc>
          <w:tcPr>
            <w:tcW w:w="416" w:type="dxa"/>
          </w:tcPr>
          <w:p>
            <w:pPr/>
          </w:p>
        </w:tc>
        <w:tc>
          <w:tcPr>
            <w:tcW w:w="6942" w:type="dxa"/>
          </w:tcPr>
          <w:p>
            <w:pPr>
              <w:pStyle w:val="TableParagraph"/>
              <w:spacing w:before="18"/>
              <w:ind w:left="269"/>
              <w:jc w:val="left"/>
              <w:rPr>
                <w:sz w:val="18"/>
              </w:rPr>
            </w:pPr>
            <w:r>
              <w:rPr>
                <w:sz w:val="18"/>
              </w:rPr>
              <w:t>increase/(decrease) in trade and other payables</w:t>
            </w:r>
          </w:p>
        </w:tc>
        <w:tc>
          <w:tcPr>
            <w:tcW w:w="1488" w:type="dxa"/>
          </w:tcPr>
          <w:p>
            <w:pPr>
              <w:pStyle w:val="TableParagraph"/>
              <w:spacing w:before="19"/>
              <w:ind w:right="217"/>
              <w:rPr>
                <w:b/>
                <w:sz w:val="18"/>
              </w:rPr>
            </w:pPr>
            <w:r>
              <w:rPr>
                <w:b/>
                <w:w w:val="95"/>
                <w:sz w:val="18"/>
              </w:rPr>
              <w:t>(352,097)</w:t>
            </w:r>
          </w:p>
        </w:tc>
        <w:tc>
          <w:tcPr>
            <w:tcW w:w="1112" w:type="dxa"/>
          </w:tcPr>
          <w:p>
            <w:pPr>
              <w:pStyle w:val="TableParagraph"/>
              <w:spacing w:before="19"/>
              <w:ind w:right="92"/>
              <w:rPr>
                <w:sz w:val="18"/>
              </w:rPr>
            </w:pPr>
            <w:r>
              <w:rPr>
                <w:w w:val="95"/>
                <w:sz w:val="18"/>
              </w:rPr>
              <w:t>414,512</w:t>
            </w:r>
          </w:p>
        </w:tc>
      </w:tr>
      <w:tr>
        <w:trPr>
          <w:trHeight w:val="264" w:hRule="exact"/>
        </w:trPr>
        <w:tc>
          <w:tcPr>
            <w:tcW w:w="416" w:type="dxa"/>
          </w:tcPr>
          <w:p>
            <w:pPr/>
          </w:p>
        </w:tc>
        <w:tc>
          <w:tcPr>
            <w:tcW w:w="6942" w:type="dxa"/>
          </w:tcPr>
          <w:p>
            <w:pPr>
              <w:pStyle w:val="TableParagraph"/>
              <w:spacing w:before="18"/>
              <w:ind w:left="269"/>
              <w:jc w:val="left"/>
              <w:rPr>
                <w:sz w:val="18"/>
              </w:rPr>
            </w:pPr>
            <w:r>
              <w:rPr>
                <w:sz w:val="18"/>
              </w:rPr>
              <w:t>increase/(decrease) in other operating liabilities</w:t>
            </w:r>
          </w:p>
        </w:tc>
        <w:tc>
          <w:tcPr>
            <w:tcW w:w="1488" w:type="dxa"/>
          </w:tcPr>
          <w:p>
            <w:pPr>
              <w:pStyle w:val="TableParagraph"/>
              <w:spacing w:before="19"/>
              <w:ind w:right="276"/>
              <w:rPr>
                <w:b/>
                <w:sz w:val="18"/>
              </w:rPr>
            </w:pPr>
            <w:r>
              <w:rPr>
                <w:b/>
                <w:w w:val="95"/>
                <w:sz w:val="18"/>
              </w:rPr>
              <w:t>378,956</w:t>
            </w:r>
          </w:p>
        </w:tc>
        <w:tc>
          <w:tcPr>
            <w:tcW w:w="1112" w:type="dxa"/>
          </w:tcPr>
          <w:p>
            <w:pPr>
              <w:pStyle w:val="TableParagraph"/>
              <w:spacing w:before="19"/>
              <w:ind w:right="32"/>
              <w:rPr>
                <w:sz w:val="18"/>
              </w:rPr>
            </w:pPr>
            <w:r>
              <w:rPr>
                <w:w w:val="95"/>
                <w:sz w:val="18"/>
              </w:rPr>
              <w:t>(25,000)</w:t>
            </w:r>
          </w:p>
        </w:tc>
      </w:tr>
      <w:tr>
        <w:trPr>
          <w:trHeight w:val="263" w:hRule="exact"/>
        </w:trPr>
        <w:tc>
          <w:tcPr>
            <w:tcW w:w="416" w:type="dxa"/>
          </w:tcPr>
          <w:p>
            <w:pPr/>
          </w:p>
        </w:tc>
        <w:tc>
          <w:tcPr>
            <w:tcW w:w="6942" w:type="dxa"/>
          </w:tcPr>
          <w:p>
            <w:pPr>
              <w:pStyle w:val="TableParagraph"/>
              <w:spacing w:before="18"/>
              <w:ind w:left="269"/>
              <w:jc w:val="left"/>
              <w:rPr>
                <w:sz w:val="18"/>
              </w:rPr>
            </w:pPr>
            <w:bookmarkStart w:name="22 Events Occurring After the Reporting " w:id="256"/>
            <w:bookmarkEnd w:id="256"/>
            <w:r>
              <w:rPr/>
            </w:r>
            <w:r>
              <w:rPr>
                <w:sz w:val="18"/>
              </w:rPr>
              <w:t>increase/(decrease) in employee benefits</w:t>
            </w:r>
          </w:p>
        </w:tc>
        <w:tc>
          <w:tcPr>
            <w:tcW w:w="1488" w:type="dxa"/>
            <w:tcBorders>
              <w:bottom w:val="single" w:sz="0" w:space="0" w:color="000000"/>
            </w:tcBorders>
          </w:tcPr>
          <w:p>
            <w:pPr>
              <w:pStyle w:val="TableParagraph"/>
              <w:spacing w:before="19"/>
              <w:ind w:right="217"/>
              <w:rPr>
                <w:b/>
                <w:sz w:val="18"/>
              </w:rPr>
            </w:pPr>
            <w:r>
              <w:rPr>
                <w:b/>
                <w:w w:val="95"/>
                <w:sz w:val="18"/>
              </w:rPr>
              <w:t>(195,196)</w:t>
            </w:r>
          </w:p>
        </w:tc>
        <w:tc>
          <w:tcPr>
            <w:tcW w:w="1112" w:type="dxa"/>
            <w:tcBorders>
              <w:bottom w:val="single" w:sz="0" w:space="0" w:color="000000"/>
            </w:tcBorders>
          </w:tcPr>
          <w:p>
            <w:pPr>
              <w:pStyle w:val="TableParagraph"/>
              <w:spacing w:before="19"/>
              <w:ind w:right="92"/>
              <w:rPr>
                <w:sz w:val="18"/>
              </w:rPr>
            </w:pPr>
            <w:r>
              <w:rPr>
                <w:w w:val="95"/>
                <w:sz w:val="18"/>
              </w:rPr>
              <w:t>421,036</w:t>
            </w:r>
          </w:p>
        </w:tc>
      </w:tr>
      <w:tr>
        <w:trPr>
          <w:trHeight w:val="353" w:hRule="exact"/>
        </w:trPr>
        <w:tc>
          <w:tcPr>
            <w:tcW w:w="416" w:type="dxa"/>
          </w:tcPr>
          <w:p>
            <w:pPr/>
          </w:p>
        </w:tc>
        <w:tc>
          <w:tcPr>
            <w:tcW w:w="6942" w:type="dxa"/>
          </w:tcPr>
          <w:p>
            <w:pPr>
              <w:pStyle w:val="TableParagraph"/>
              <w:spacing w:before="38"/>
              <w:ind w:left="54"/>
              <w:jc w:val="left"/>
              <w:rPr>
                <w:sz w:val="18"/>
              </w:rPr>
            </w:pPr>
            <w:r>
              <w:rPr>
                <w:sz w:val="18"/>
              </w:rPr>
              <w:t>Net cash flows from operating activities</w:t>
            </w:r>
          </w:p>
        </w:tc>
        <w:tc>
          <w:tcPr>
            <w:tcW w:w="1488" w:type="dxa"/>
            <w:tcBorders>
              <w:top w:val="single" w:sz="0" w:space="0" w:color="000000"/>
              <w:bottom w:val="single" w:sz="0" w:space="0" w:color="000000"/>
            </w:tcBorders>
          </w:tcPr>
          <w:p>
            <w:pPr>
              <w:pStyle w:val="TableParagraph"/>
              <w:spacing w:before="122"/>
              <w:ind w:right="276"/>
              <w:rPr>
                <w:b/>
                <w:sz w:val="18"/>
              </w:rPr>
            </w:pPr>
            <w:r>
              <w:rPr>
                <w:b/>
                <w:w w:val="95"/>
                <w:sz w:val="18"/>
              </w:rPr>
              <w:t>2,284,640</w:t>
            </w:r>
          </w:p>
        </w:tc>
        <w:tc>
          <w:tcPr>
            <w:tcW w:w="1112" w:type="dxa"/>
            <w:tcBorders>
              <w:top w:val="single" w:sz="0" w:space="0" w:color="000000"/>
              <w:bottom w:val="single" w:sz="0" w:space="0" w:color="000000"/>
            </w:tcBorders>
          </w:tcPr>
          <w:p>
            <w:pPr>
              <w:pStyle w:val="TableParagraph"/>
              <w:spacing w:before="122"/>
              <w:ind w:right="92"/>
              <w:rPr>
                <w:sz w:val="18"/>
              </w:rPr>
            </w:pPr>
            <w:r>
              <w:rPr>
                <w:w w:val="95"/>
                <w:sz w:val="18"/>
              </w:rPr>
              <w:t>1,783,564</w:t>
            </w:r>
          </w:p>
        </w:tc>
      </w:tr>
      <w:tr>
        <w:trPr>
          <w:trHeight w:val="617" w:hRule="exact"/>
        </w:trPr>
        <w:tc>
          <w:tcPr>
            <w:tcW w:w="416" w:type="dxa"/>
          </w:tcPr>
          <w:p>
            <w:pPr>
              <w:pStyle w:val="TableParagraph"/>
              <w:jc w:val="left"/>
              <w:rPr>
                <w:b/>
                <w:sz w:val="18"/>
              </w:rPr>
            </w:pPr>
          </w:p>
          <w:p>
            <w:pPr>
              <w:pStyle w:val="TableParagraph"/>
              <w:spacing w:before="106"/>
              <w:ind w:left="35"/>
              <w:jc w:val="left"/>
              <w:rPr>
                <w:b/>
                <w:sz w:val="18"/>
              </w:rPr>
            </w:pPr>
            <w:r>
              <w:rPr>
                <w:b/>
                <w:sz w:val="18"/>
              </w:rPr>
              <w:t>22</w:t>
            </w:r>
          </w:p>
        </w:tc>
        <w:tc>
          <w:tcPr>
            <w:tcW w:w="6942" w:type="dxa"/>
          </w:tcPr>
          <w:p>
            <w:pPr>
              <w:pStyle w:val="TableParagraph"/>
              <w:jc w:val="left"/>
              <w:rPr>
                <w:b/>
                <w:sz w:val="18"/>
              </w:rPr>
            </w:pPr>
          </w:p>
          <w:p>
            <w:pPr>
              <w:pStyle w:val="TableParagraph"/>
              <w:spacing w:before="106"/>
              <w:ind w:left="15"/>
              <w:jc w:val="left"/>
              <w:rPr>
                <w:b/>
                <w:sz w:val="18"/>
              </w:rPr>
            </w:pPr>
            <w:r>
              <w:rPr>
                <w:b/>
                <w:sz w:val="18"/>
              </w:rPr>
              <w:t>Events Occurring After the Reporting Date</w:t>
            </w:r>
          </w:p>
        </w:tc>
        <w:tc>
          <w:tcPr>
            <w:tcW w:w="1488" w:type="dxa"/>
            <w:tcBorders>
              <w:top w:val="single" w:sz="0" w:space="0" w:color="000000"/>
            </w:tcBorders>
          </w:tcPr>
          <w:p>
            <w:pPr/>
          </w:p>
        </w:tc>
        <w:tc>
          <w:tcPr>
            <w:tcW w:w="1112" w:type="dxa"/>
            <w:tcBorders>
              <w:top w:val="single" w:sz="0" w:space="0" w:color="000000"/>
            </w:tcBorders>
          </w:tcPr>
          <w:p>
            <w:pPr/>
          </w:p>
        </w:tc>
      </w:tr>
    </w:tbl>
    <w:p>
      <w:pPr>
        <w:pStyle w:val="BodyText"/>
        <w:spacing w:before="10"/>
        <w:rPr>
          <w:b/>
          <w:sz w:val="9"/>
        </w:rPr>
      </w:pPr>
    </w:p>
    <w:p>
      <w:pPr>
        <w:pStyle w:val="BodyText"/>
        <w:spacing w:before="78"/>
        <w:ind w:left="1825" w:right="1399"/>
      </w:pPr>
      <w:r>
        <w:rPr/>
        <w:drawing>
          <wp:anchor distT="0" distB="0" distL="0" distR="0" allowOverlap="1" layoutInCell="1" locked="0" behindDoc="0" simplePos="0" relativeHeight="9472">
            <wp:simplePos x="0" y="0"/>
            <wp:positionH relativeFrom="page">
              <wp:posOffset>-1587</wp:posOffset>
            </wp:positionH>
            <wp:positionV relativeFrom="paragraph">
              <wp:posOffset>-708737</wp:posOffset>
            </wp:positionV>
            <wp:extent cx="135159" cy="154019"/>
            <wp:effectExtent l="0" t="0" r="0" b="0"/>
            <wp:wrapNone/>
            <wp:docPr id="633" name="image13.png" descr=""/>
            <wp:cNvGraphicFramePr>
              <a:graphicFrameLocks noChangeAspect="1"/>
            </wp:cNvGraphicFramePr>
            <a:graphic>
              <a:graphicData uri="http://schemas.openxmlformats.org/drawingml/2006/picture">
                <pic:pic>
                  <pic:nvPicPr>
                    <pic:cNvPr id="634" name="image13.png"/>
                    <pic:cNvPicPr/>
                  </pic:nvPicPr>
                  <pic:blipFill>
                    <a:blip r:embed="rId18" cstate="print"/>
                    <a:stretch>
                      <a:fillRect/>
                    </a:stretch>
                  </pic:blipFill>
                  <pic:spPr>
                    <a:xfrm>
                      <a:off x="0" y="0"/>
                      <a:ext cx="135159" cy="154019"/>
                    </a:xfrm>
                    <a:prstGeom prst="rect">
                      <a:avLst/>
                    </a:prstGeom>
                  </pic:spPr>
                </pic:pic>
              </a:graphicData>
            </a:graphic>
          </wp:anchor>
        </w:drawing>
      </w:r>
      <w:r>
        <w:rPr/>
        <w:drawing>
          <wp:anchor distT="0" distB="0" distL="0" distR="0" allowOverlap="1" layoutInCell="1" locked="0" behindDoc="0" simplePos="0" relativeHeight="9496">
            <wp:simplePos x="0" y="0"/>
            <wp:positionH relativeFrom="page">
              <wp:posOffset>7958429</wp:posOffset>
            </wp:positionH>
            <wp:positionV relativeFrom="paragraph">
              <wp:posOffset>-708737</wp:posOffset>
            </wp:positionV>
            <wp:extent cx="135953" cy="155575"/>
            <wp:effectExtent l="0" t="0" r="0" b="0"/>
            <wp:wrapNone/>
            <wp:docPr id="635" name="image15.png" descr=""/>
            <wp:cNvGraphicFramePr>
              <a:graphicFrameLocks noChangeAspect="1"/>
            </wp:cNvGraphicFramePr>
            <a:graphic>
              <a:graphicData uri="http://schemas.openxmlformats.org/drawingml/2006/picture">
                <pic:pic>
                  <pic:nvPicPr>
                    <pic:cNvPr id="636" name="image15.png"/>
                    <pic:cNvPicPr/>
                  </pic:nvPicPr>
                  <pic:blipFill>
                    <a:blip r:embed="rId20" cstate="print"/>
                    <a:stretch>
                      <a:fillRect/>
                    </a:stretch>
                  </pic:blipFill>
                  <pic:spPr>
                    <a:xfrm>
                      <a:off x="0" y="0"/>
                      <a:ext cx="135953" cy="155575"/>
                    </a:xfrm>
                    <a:prstGeom prst="rect">
                      <a:avLst/>
                    </a:prstGeom>
                  </pic:spPr>
                </pic:pic>
              </a:graphicData>
            </a:graphic>
          </wp:anchor>
        </w:drawing>
      </w:r>
      <w:r>
        <w:rPr/>
        <w:t>No matters or circumstances have arisen since the end of the financial year which significantly affected or may significantly affect the operations of the Company, the results of those operations, or the state of affairs of the Company in future financial years.</w:t>
      </w:r>
    </w:p>
    <w:p>
      <w:pPr>
        <w:pStyle w:val="BodyText"/>
      </w:pPr>
    </w:p>
    <w:p>
      <w:pPr>
        <w:pStyle w:val="BodyText"/>
        <w:spacing w:before="2"/>
        <w:rPr>
          <w:sz w:val="23"/>
        </w:rPr>
      </w:pPr>
    </w:p>
    <w:p>
      <w:pPr>
        <w:pStyle w:val="Heading8"/>
        <w:ind w:left="1419"/>
      </w:pPr>
      <w:r>
        <w:rPr/>
        <w:t>23    Company Details</w:t>
      </w:r>
    </w:p>
    <w:p>
      <w:pPr>
        <w:pStyle w:val="BodyText"/>
        <w:spacing w:before="1"/>
        <w:rPr>
          <w:b/>
          <w:sz w:val="25"/>
        </w:rPr>
      </w:pPr>
    </w:p>
    <w:p>
      <w:pPr>
        <w:pStyle w:val="BodyText"/>
        <w:ind w:left="2016"/>
      </w:pPr>
      <w:r>
        <w:rPr/>
        <w:t>The registered office of the Company</w:t>
      </w:r>
    </w:p>
    <w:p>
      <w:pPr>
        <w:pStyle w:val="BodyText"/>
        <w:spacing w:line="302" w:lineRule="auto" w:before="54"/>
        <w:ind w:left="2029" w:right="4222"/>
      </w:pPr>
      <w:r>
        <w:rPr/>
        <w:t>UWS Enterprises Pty Limited Trading as Western Sydney University The College Nirimba Education Precinct</w:t>
      </w:r>
    </w:p>
    <w:p>
      <w:pPr>
        <w:pStyle w:val="BodyText"/>
        <w:spacing w:before="2"/>
        <w:ind w:left="2029"/>
      </w:pPr>
      <w:r>
        <w:rPr/>
        <w:t>Eastern Road, Quakers Hill NSW 2763</w:t>
      </w:r>
    </w:p>
    <w:p>
      <w:pPr>
        <w:pStyle w:val="BodyText"/>
      </w:pPr>
    </w:p>
    <w:p>
      <w:pPr>
        <w:pStyle w:val="BodyText"/>
      </w:pPr>
    </w:p>
    <w:p>
      <w:pPr>
        <w:pStyle w:val="BodyText"/>
        <w:spacing w:before="2"/>
        <w:rPr>
          <w:sz w:val="14"/>
        </w:rPr>
      </w:pPr>
    </w:p>
    <w:p>
      <w:pPr>
        <w:pStyle w:val="BodyText"/>
        <w:spacing w:before="1"/>
        <w:ind w:left="2029"/>
      </w:pPr>
      <w:r>
        <w:rPr/>
        <w:t>End of Audited Financial Statements</w:t>
      </w:r>
    </w:p>
    <w:p>
      <w:pPr>
        <w:spacing w:after="0"/>
        <w:sectPr>
          <w:pgSz w:w="12750" w:h="17680"/>
          <w:pgMar w:header="0" w:footer="867" w:top="1880" w:bottom="1120" w:left="0" w:right="0"/>
        </w:sectPr>
      </w:pPr>
    </w:p>
    <w:p>
      <w:pPr>
        <w:pStyle w:val="BodyText"/>
        <w:spacing w:before="4"/>
        <w:rPr>
          <w:rFonts w:ascii="Times New Roman"/>
          <w:sz w:val="17"/>
        </w:rPr>
      </w:pPr>
      <w:r>
        <w:rPr/>
        <w:pict>
          <v:group style="position:absolute;margin-left:22.200001pt;margin-top:22.263018pt;width:593.8pt;height:841.1pt;mso-position-horizontal-relative:page;mso-position-vertical-relative:page;z-index:9520" coordorigin="444,445" coordsize="11876,16822">
            <v:shape style="position:absolute;left:444;top:465;width:11852;height:16784" type="#_x0000_t75" stroked="false">
              <v:imagedata r:id="rId85" o:title=""/>
            </v:shape>
            <v:shape style="position:absolute;left:545;top:445;width:11775;height:16822" coordorigin="545,445" coordsize="11775,16822" path="m1037,14314l545,14314,545,14806,1037,14806,1037,14314m4148,16775l3268,16775,3268,17152,4148,17152,4148,16775m6839,12177l6399,12177,6399,12470,6839,12470,6839,12177m9981,16743l9520,16743,9520,16942,9981,16942,9981,16743m10358,4092l9803,4092,9803,4333,10358,4333,10358,4092m12319,445l11988,445,11988,17267,12319,17267,12319,445e" filled="true" fillcolor="#ffffff" stroked="false">
              <v:path arrowok="t"/>
              <v:fill type="solid"/>
            </v:shape>
            <w10:wrap type="none"/>
          </v:group>
        </w:pict>
      </w:r>
      <w:r>
        <w:rPr/>
        <w:pict>
          <v:line style="position:absolute;mso-position-horizontal-relative:page;mso-position-vertical-relative:page;z-index:9544" from="12pt,21.843018pt" to="0pt,21.843018pt" stroked="true" strokeweight=".25pt" strokecolor="#000000">
            <w10:wrap type="none"/>
          </v:line>
        </w:pict>
      </w:r>
      <w:r>
        <w:rPr/>
        <w:pict>
          <v:line style="position:absolute;mso-position-horizontal-relative:page;mso-position-vertical-relative:page;z-index:9568" from="625pt,21.843018pt" to="637.228027pt,21.843018pt" stroked="true" strokeweight=".25pt" strokecolor="#000000">
            <w10:wrap type="none"/>
          </v:line>
        </w:pict>
      </w:r>
      <w:r>
        <w:rPr/>
        <w:drawing>
          <wp:anchor distT="0" distB="0" distL="0" distR="0" allowOverlap="1" layoutInCell="1" locked="0" behindDoc="0" simplePos="0" relativeHeight="9592">
            <wp:simplePos x="0" y="0"/>
            <wp:positionH relativeFrom="page">
              <wp:posOffset>-1587</wp:posOffset>
            </wp:positionH>
            <wp:positionV relativeFrom="page">
              <wp:posOffset>5546318</wp:posOffset>
            </wp:positionV>
            <wp:extent cx="136413" cy="155448"/>
            <wp:effectExtent l="0" t="0" r="0" b="0"/>
            <wp:wrapNone/>
            <wp:docPr id="639" name="image22.png" descr=""/>
            <wp:cNvGraphicFramePr>
              <a:graphicFrameLocks noChangeAspect="1"/>
            </wp:cNvGraphicFramePr>
            <a:graphic>
              <a:graphicData uri="http://schemas.openxmlformats.org/drawingml/2006/picture">
                <pic:pic>
                  <pic:nvPicPr>
                    <pic:cNvPr id="640" name="image22.png"/>
                    <pic:cNvPicPr/>
                  </pic:nvPicPr>
                  <pic:blipFill>
                    <a:blip r:embed="rId28" cstate="print"/>
                    <a:stretch>
                      <a:fillRect/>
                    </a:stretch>
                  </pic:blipFill>
                  <pic:spPr>
                    <a:xfrm>
                      <a:off x="0" y="0"/>
                      <a:ext cx="136413" cy="155448"/>
                    </a:xfrm>
                    <a:prstGeom prst="rect">
                      <a:avLst/>
                    </a:prstGeom>
                  </pic:spPr>
                </pic:pic>
              </a:graphicData>
            </a:graphic>
          </wp:anchor>
        </w:drawing>
      </w:r>
      <w:r>
        <w:rPr/>
        <w:drawing>
          <wp:anchor distT="0" distB="0" distL="0" distR="0" allowOverlap="1" layoutInCell="1" locked="0" behindDoc="0" simplePos="0" relativeHeight="9616">
            <wp:simplePos x="0" y="0"/>
            <wp:positionH relativeFrom="page">
              <wp:posOffset>7954962</wp:posOffset>
            </wp:positionH>
            <wp:positionV relativeFrom="page">
              <wp:posOffset>5546318</wp:posOffset>
            </wp:positionV>
            <wp:extent cx="139420" cy="155575"/>
            <wp:effectExtent l="0" t="0" r="0" b="0"/>
            <wp:wrapNone/>
            <wp:docPr id="641" name="image23.png" descr=""/>
            <wp:cNvGraphicFramePr>
              <a:graphicFrameLocks noChangeAspect="1"/>
            </wp:cNvGraphicFramePr>
            <a:graphic>
              <a:graphicData uri="http://schemas.openxmlformats.org/drawingml/2006/picture">
                <pic:pic>
                  <pic:nvPicPr>
                    <pic:cNvPr id="642" name="image23.png"/>
                    <pic:cNvPicPr/>
                  </pic:nvPicPr>
                  <pic:blipFill>
                    <a:blip r:embed="rId29" cstate="print"/>
                    <a:stretch>
                      <a:fillRect/>
                    </a:stretch>
                  </pic:blipFill>
                  <pic:spPr>
                    <a:xfrm>
                      <a:off x="0" y="0"/>
                      <a:ext cx="139420" cy="155575"/>
                    </a:xfrm>
                    <a:prstGeom prst="rect">
                      <a:avLst/>
                    </a:prstGeom>
                  </pic:spPr>
                </pic:pic>
              </a:graphicData>
            </a:graphic>
          </wp:anchor>
        </w:drawing>
      </w:r>
    </w:p>
    <w:p>
      <w:pPr>
        <w:spacing w:after="0"/>
        <w:rPr>
          <w:rFonts w:ascii="Times New Roman"/>
          <w:sz w:val="17"/>
        </w:rPr>
        <w:sectPr>
          <w:headerReference w:type="default" r:id="rId84"/>
          <w:pgSz w:w="12750" w:h="17680"/>
          <w:pgMar w:header="0" w:footer="867" w:top="240" w:bottom="1060" w:left="0" w:right="0"/>
        </w:sectPr>
      </w:pPr>
    </w:p>
    <w:p>
      <w:pPr>
        <w:pStyle w:val="BodyText"/>
        <w:spacing w:before="4"/>
        <w:rPr>
          <w:rFonts w:ascii="Times New Roman"/>
          <w:sz w:val="17"/>
        </w:rPr>
      </w:pPr>
      <w:r>
        <w:rPr/>
        <w:pict>
          <v:group style="position:absolute;margin-left:22.200001pt;margin-top:21.343018pt;width:593.8pt;height:842pt;mso-position-horizontal-relative:page;mso-position-vertical-relative:page;z-index:-1198696" coordorigin="444,427" coordsize="11876,16840">
            <v:shape style="position:absolute;left:444;top:465;width:11852;height:16784" type="#_x0000_t75" stroked="false">
              <v:imagedata r:id="rId87" o:title=""/>
            </v:shape>
            <v:shape style="position:absolute;left:3111;top:427;width:9209;height:16840" coordorigin="3111,427" coordsize="9209,16840" path="m3666,1202l3111,1202,3111,1558,3666,1558,3666,1202m3697,5506l3446,5506,3446,5674,3697,5674,3697,5506m9248,12083l8305,12083,8305,12554,9248,12554,9248,12083m9405,14795l8609,14795,8609,15350,9405,15350,9405,14795m11039,10229l10662,10229,10662,10847,11039,10847,11039,10229m11416,8679l11049,8679,11049,9391,11416,9391,11416,8679m12319,427l11933,427,11933,17267,12319,17267,12319,427e" filled="true" fillcolor="#ffffff" stroked="false">
              <v:path arrowok="t"/>
              <v:fill type="solid"/>
            </v:shape>
            <w10:wrap type="none"/>
          </v:group>
        </w:pict>
      </w:r>
      <w:r>
        <w:rPr/>
        <w:pict>
          <v:line style="position:absolute;mso-position-horizontal-relative:page;mso-position-vertical-relative:page;z-index:9664" from="12pt,21.843018pt" to="0pt,21.843018pt" stroked="true" strokeweight=".25pt" strokecolor="#000000">
            <w10:wrap type="none"/>
          </v:line>
        </w:pict>
      </w:r>
      <w:r>
        <w:rPr/>
        <w:pict>
          <v:line style="position:absolute;mso-position-horizontal-relative:page;mso-position-vertical-relative:page;z-index:9688" from="625pt,21.843018pt" to="637.228027pt,21.843018pt" stroked="true" strokeweight=".25pt" strokecolor="#000000">
            <w10:wrap type="none"/>
          </v:line>
        </w:pict>
      </w:r>
      <w:r>
        <w:rPr/>
        <w:drawing>
          <wp:anchor distT="0" distB="0" distL="0" distR="0" allowOverlap="1" layoutInCell="1" locked="0" behindDoc="0" simplePos="0" relativeHeight="9712">
            <wp:simplePos x="0" y="0"/>
            <wp:positionH relativeFrom="page">
              <wp:posOffset>-1587</wp:posOffset>
            </wp:positionH>
            <wp:positionV relativeFrom="page">
              <wp:posOffset>5546318</wp:posOffset>
            </wp:positionV>
            <wp:extent cx="136413" cy="155448"/>
            <wp:effectExtent l="0" t="0" r="0" b="0"/>
            <wp:wrapNone/>
            <wp:docPr id="645" name="image22.png" descr=""/>
            <wp:cNvGraphicFramePr>
              <a:graphicFrameLocks noChangeAspect="1"/>
            </wp:cNvGraphicFramePr>
            <a:graphic>
              <a:graphicData uri="http://schemas.openxmlformats.org/drawingml/2006/picture">
                <pic:pic>
                  <pic:nvPicPr>
                    <pic:cNvPr id="646" name="image22.png"/>
                    <pic:cNvPicPr/>
                  </pic:nvPicPr>
                  <pic:blipFill>
                    <a:blip r:embed="rId28" cstate="print"/>
                    <a:stretch>
                      <a:fillRect/>
                    </a:stretch>
                  </pic:blipFill>
                  <pic:spPr>
                    <a:xfrm>
                      <a:off x="0" y="0"/>
                      <a:ext cx="136413" cy="155448"/>
                    </a:xfrm>
                    <a:prstGeom prst="rect">
                      <a:avLst/>
                    </a:prstGeom>
                  </pic:spPr>
                </pic:pic>
              </a:graphicData>
            </a:graphic>
          </wp:anchor>
        </w:drawing>
      </w:r>
      <w:r>
        <w:rPr/>
        <w:drawing>
          <wp:anchor distT="0" distB="0" distL="0" distR="0" allowOverlap="1" layoutInCell="1" locked="0" behindDoc="0" simplePos="0" relativeHeight="9736">
            <wp:simplePos x="0" y="0"/>
            <wp:positionH relativeFrom="page">
              <wp:posOffset>7954962</wp:posOffset>
            </wp:positionH>
            <wp:positionV relativeFrom="page">
              <wp:posOffset>5546318</wp:posOffset>
            </wp:positionV>
            <wp:extent cx="139420" cy="155575"/>
            <wp:effectExtent l="0" t="0" r="0" b="0"/>
            <wp:wrapNone/>
            <wp:docPr id="647" name="image23.png" descr=""/>
            <wp:cNvGraphicFramePr>
              <a:graphicFrameLocks noChangeAspect="1"/>
            </wp:cNvGraphicFramePr>
            <a:graphic>
              <a:graphicData uri="http://schemas.openxmlformats.org/drawingml/2006/picture">
                <pic:pic>
                  <pic:nvPicPr>
                    <pic:cNvPr id="648" name="image23.png"/>
                    <pic:cNvPicPr/>
                  </pic:nvPicPr>
                  <pic:blipFill>
                    <a:blip r:embed="rId29" cstate="print"/>
                    <a:stretch>
                      <a:fillRect/>
                    </a:stretch>
                  </pic:blipFill>
                  <pic:spPr>
                    <a:xfrm>
                      <a:off x="0" y="0"/>
                      <a:ext cx="139420" cy="155575"/>
                    </a:xfrm>
                    <a:prstGeom prst="rect">
                      <a:avLst/>
                    </a:prstGeom>
                  </pic:spPr>
                </pic:pic>
              </a:graphicData>
            </a:graphic>
          </wp:anchor>
        </w:drawing>
      </w:r>
    </w:p>
    <w:p>
      <w:pPr>
        <w:spacing w:after="0"/>
        <w:rPr>
          <w:rFonts w:ascii="Times New Roman"/>
          <w:sz w:val="17"/>
        </w:rPr>
        <w:sectPr>
          <w:footerReference w:type="default" r:id="rId86"/>
          <w:pgSz w:w="12750" w:h="17680"/>
          <w:pgMar w:footer="867" w:header="0" w:top="240" w:bottom="1060" w:left="0" w:right="0"/>
          <w:pgNumType w:start="138"/>
        </w:sectPr>
      </w:pPr>
    </w:p>
    <w:p>
      <w:pPr>
        <w:pStyle w:val="BodyText"/>
        <w:rPr>
          <w:rFonts w:ascii="Times New Roman"/>
          <w:sz w:val="20"/>
        </w:rPr>
      </w:pPr>
      <w:r>
        <w:rPr/>
        <w:pict>
          <v:line style="position:absolute;mso-position-horizontal-relative:page;mso-position-vertical-relative:page;z-index:9760" from="12pt,20.957018pt" to="0pt,20.957018pt" stroked="true" strokeweight=".25pt" strokecolor="#000000">
            <w10:wrap type="none"/>
          </v:line>
        </w:pict>
      </w:r>
      <w:r>
        <w:rPr/>
        <w:pict>
          <v:line style="position:absolute;mso-position-horizontal-relative:page;mso-position-vertical-relative:page;z-index:9784" from="625.27301pt,20.957018pt" to="637.228038pt,20.957018pt" stroked="true" strokeweight=".25pt" strokecolor="#000000">
            <w10:wrap type="none"/>
          </v:line>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0"/>
        <w:rPr>
          <w:rFonts w:ascii="Times New Roman"/>
          <w:sz w:val="23"/>
        </w:rPr>
      </w:pPr>
    </w:p>
    <w:p>
      <w:pPr>
        <w:pStyle w:val="Heading1"/>
        <w:spacing w:before="28"/>
      </w:pPr>
      <w:bookmarkStart w:name="Cover page" w:id="257"/>
      <w:bookmarkEnd w:id="257"/>
      <w:r>
        <w:rPr>
          <w:b w:val="0"/>
        </w:rPr>
      </w:r>
      <w:r>
        <w:rPr/>
        <w:t>uwsconnect Limited</w:t>
      </w:r>
    </w:p>
    <w:p>
      <w:pPr>
        <w:spacing w:before="1"/>
        <w:ind w:left="1428" w:right="0" w:firstLine="0"/>
        <w:jc w:val="left"/>
        <w:rPr>
          <w:b/>
          <w:sz w:val="20"/>
        </w:rPr>
      </w:pPr>
      <w:r>
        <w:rPr>
          <w:b/>
          <w:sz w:val="20"/>
        </w:rPr>
        <w:t>ABN 45 107 759 197</w:t>
      </w:r>
    </w:p>
    <w:p>
      <w:pPr>
        <w:pStyle w:val="BodyText"/>
        <w:spacing w:before="10"/>
        <w:rPr>
          <w:b/>
          <w:sz w:val="27"/>
        </w:rPr>
      </w:pPr>
    </w:p>
    <w:p>
      <w:pPr>
        <w:spacing w:before="1"/>
        <w:ind w:left="1428" w:right="0" w:firstLine="0"/>
        <w:jc w:val="left"/>
        <w:rPr>
          <w:b/>
          <w:sz w:val="28"/>
        </w:rPr>
      </w:pPr>
      <w:r>
        <w:rPr>
          <w:b/>
          <w:sz w:val="28"/>
        </w:rPr>
        <w:t>Financial Statements</w:t>
      </w:r>
    </w:p>
    <w:p>
      <w:pPr>
        <w:spacing w:before="230"/>
        <w:ind w:left="1428" w:right="0" w:firstLine="0"/>
        <w:jc w:val="left"/>
        <w:rPr>
          <w:b/>
          <w:sz w:val="20"/>
        </w:rPr>
      </w:pPr>
      <w:r>
        <w:rPr/>
        <w:drawing>
          <wp:anchor distT="0" distB="0" distL="0" distR="0" allowOverlap="1" layoutInCell="1" locked="0" behindDoc="0" simplePos="0" relativeHeight="9808">
            <wp:simplePos x="0" y="0"/>
            <wp:positionH relativeFrom="page">
              <wp:posOffset>-1587</wp:posOffset>
            </wp:positionH>
            <wp:positionV relativeFrom="paragraph">
              <wp:posOffset>426870</wp:posOffset>
            </wp:positionV>
            <wp:extent cx="135159" cy="154019"/>
            <wp:effectExtent l="0" t="0" r="0" b="0"/>
            <wp:wrapNone/>
            <wp:docPr id="649" name="image13.png" descr=""/>
            <wp:cNvGraphicFramePr>
              <a:graphicFrameLocks noChangeAspect="1"/>
            </wp:cNvGraphicFramePr>
            <a:graphic>
              <a:graphicData uri="http://schemas.openxmlformats.org/drawingml/2006/picture">
                <pic:pic>
                  <pic:nvPicPr>
                    <pic:cNvPr id="650" name="image13.png"/>
                    <pic:cNvPicPr/>
                  </pic:nvPicPr>
                  <pic:blipFill>
                    <a:blip r:embed="rId18" cstate="print"/>
                    <a:stretch>
                      <a:fillRect/>
                    </a:stretch>
                  </pic:blipFill>
                  <pic:spPr>
                    <a:xfrm>
                      <a:off x="0" y="0"/>
                      <a:ext cx="135159" cy="154019"/>
                    </a:xfrm>
                    <a:prstGeom prst="rect">
                      <a:avLst/>
                    </a:prstGeom>
                  </pic:spPr>
                </pic:pic>
              </a:graphicData>
            </a:graphic>
          </wp:anchor>
        </w:drawing>
      </w:r>
      <w:r>
        <w:rPr/>
        <w:drawing>
          <wp:anchor distT="0" distB="0" distL="0" distR="0" allowOverlap="1" layoutInCell="1" locked="0" behindDoc="0" simplePos="0" relativeHeight="9832">
            <wp:simplePos x="0" y="0"/>
            <wp:positionH relativeFrom="page">
              <wp:posOffset>7958429</wp:posOffset>
            </wp:positionH>
            <wp:positionV relativeFrom="paragraph">
              <wp:posOffset>426870</wp:posOffset>
            </wp:positionV>
            <wp:extent cx="135953" cy="155575"/>
            <wp:effectExtent l="0" t="0" r="0" b="0"/>
            <wp:wrapNone/>
            <wp:docPr id="651" name="image15.png" descr=""/>
            <wp:cNvGraphicFramePr>
              <a:graphicFrameLocks noChangeAspect="1"/>
            </wp:cNvGraphicFramePr>
            <a:graphic>
              <a:graphicData uri="http://schemas.openxmlformats.org/drawingml/2006/picture">
                <pic:pic>
                  <pic:nvPicPr>
                    <pic:cNvPr id="652" name="image15.png"/>
                    <pic:cNvPicPr/>
                  </pic:nvPicPr>
                  <pic:blipFill>
                    <a:blip r:embed="rId20" cstate="print"/>
                    <a:stretch>
                      <a:fillRect/>
                    </a:stretch>
                  </pic:blipFill>
                  <pic:spPr>
                    <a:xfrm>
                      <a:off x="0" y="0"/>
                      <a:ext cx="135953" cy="155575"/>
                    </a:xfrm>
                    <a:prstGeom prst="rect">
                      <a:avLst/>
                    </a:prstGeom>
                  </pic:spPr>
                </pic:pic>
              </a:graphicData>
            </a:graphic>
          </wp:anchor>
        </w:drawing>
      </w:r>
      <w:r>
        <w:rPr>
          <w:b/>
          <w:sz w:val="20"/>
        </w:rPr>
        <w:t>For the Year Ended 31 December 2016</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9"/>
        <w:rPr>
          <w:b/>
          <w:sz w:val="20"/>
        </w:rPr>
      </w:pPr>
    </w:p>
    <w:p>
      <w:pPr>
        <w:spacing w:before="0"/>
        <w:ind w:left="1427" w:right="1375" w:firstLine="0"/>
        <w:jc w:val="left"/>
        <w:rPr>
          <w:sz w:val="20"/>
        </w:rPr>
      </w:pPr>
      <w:r>
        <w:rPr>
          <w:sz w:val="20"/>
        </w:rPr>
        <w:t>These financial statements are the individual entity statements of uwsconnect Limited (the Company). The financial statements are presented in the Australian currency.</w:t>
      </w:r>
    </w:p>
    <w:p>
      <w:pPr>
        <w:spacing w:line="297" w:lineRule="auto" w:before="55"/>
        <w:ind w:left="2107" w:right="2351" w:hanging="680"/>
        <w:jc w:val="left"/>
        <w:rPr>
          <w:sz w:val="20"/>
        </w:rPr>
      </w:pPr>
      <w:r>
        <w:rPr>
          <w:sz w:val="20"/>
        </w:rPr>
        <w:t>The Company is limited by guarantee, incorporated and domiciled in Australia. Its registered office is: Western Sydney University</w:t>
      </w:r>
    </w:p>
    <w:p>
      <w:pPr>
        <w:spacing w:line="297" w:lineRule="auto" w:before="2"/>
        <w:ind w:left="2107" w:right="8514" w:firstLine="0"/>
        <w:jc w:val="center"/>
        <w:rPr>
          <w:sz w:val="20"/>
        </w:rPr>
      </w:pPr>
      <w:r>
        <w:rPr>
          <w:sz w:val="20"/>
        </w:rPr>
        <w:t>Great Western Highway Werrington NSW 2747</w:t>
      </w:r>
    </w:p>
    <w:p>
      <w:pPr>
        <w:spacing w:before="2"/>
        <w:ind w:left="1427" w:right="1375" w:firstLine="0"/>
        <w:jc w:val="left"/>
        <w:rPr>
          <w:sz w:val="20"/>
        </w:rPr>
      </w:pPr>
      <w:r>
        <w:rPr>
          <w:sz w:val="20"/>
        </w:rPr>
        <w:t>The financial statements were authorised for issue by the directors on 21 March 2017. The directors have the power to amend and reissue the financial statements.</w:t>
      </w:r>
    </w:p>
    <w:p>
      <w:pPr>
        <w:spacing w:after="0"/>
        <w:jc w:val="left"/>
        <w:rPr>
          <w:sz w:val="20"/>
        </w:rPr>
        <w:sectPr>
          <w:pgSz w:w="12750" w:h="17680"/>
          <w:pgMar w:header="0" w:footer="867" w:top="240" w:bottom="1080" w:left="0" w:right="0"/>
        </w:sectPr>
      </w:pPr>
    </w:p>
    <w:p>
      <w:pPr>
        <w:tabs>
          <w:tab w:pos="12326" w:val="left" w:leader="none"/>
        </w:tabs>
        <w:spacing w:line="240" w:lineRule="auto"/>
        <w:ind w:left="417" w:right="0" w:firstLine="0"/>
        <w:rPr>
          <w:sz w:val="20"/>
        </w:rPr>
      </w:pPr>
      <w:r>
        <w:rPr/>
        <w:pict>
          <v:group style="position:absolute;margin-left:20.950699pt;margin-top:20.943605pt;width:595.5pt;height:842.9pt;mso-position-horizontal-relative:page;mso-position-vertical-relative:page;z-index:-1198432" coordorigin="419,419" coordsize="11910,16858">
            <v:shape style="position:absolute;left:420;top:429;width:11909;height:16848" type="#_x0000_t75" stroked="false">
              <v:imagedata r:id="rId90" o:title=""/>
            </v:shape>
            <v:rect style="position:absolute;left:452;top:861;width:753;height:196" filled="true" fillcolor="#ffffff" stroked="false">
              <v:fill type="solid"/>
            </v:rect>
            <v:line style="position:absolute" from="452,828" to="7083,828" stroked="true" strokeweight="3.3pt" strokecolor="#ffffff"/>
            <v:line style="position:absolute" from="452,778" to="11827,778" stroked="true" strokeweight="1.7pt" strokecolor="#ffffff"/>
            <v:shape style="position:absolute;left:452;top:419;width:11814;height:639" coordorigin="452,419" coordsize="11814,639" path="m7083,861l5539,861,5539,1057,7083,1057,7083,861m12266,419l452,419,452,761,12266,761,12266,419e" filled="true" fillcolor="#ffffff" stroked="false">
              <v:path arrowok="t"/>
              <v:fill type="solid"/>
            </v:shape>
            <v:line style="position:absolute" from="11792,795" to="11792,1057" stroked="true" strokeweight="3.487pt" strokecolor="#ffffff"/>
            <v:shape style="position:absolute;left:443;top:5115;width:11769;height:12139" coordorigin="443,5115" coordsize="11769,12139" path="m12212,7069l12126,7069,12126,5115,11943,5115,11943,7069,11911,7069,11911,16822,443,16822,443,17254,12029,17254,12029,17149,12212,17149,12212,7069e" filled="true" fillcolor="#ffffff" stroked="false">
              <v:path arrowok="t"/>
              <v:fill type="solid"/>
            </v:shape>
            <v:line style="position:absolute" from="5419,9737" to="5419,9923" stroked="true" strokeweight="4.082pt" strokecolor="#ffffff"/>
            <v:shape style="position:absolute;left:1128;top:750;width:11171;height:14400" coordorigin="1128,750" coordsize="11171,14400" path="m1661,5904l1268,5904,1268,6428,1661,6428,1661,5904m2027,12768l1128,12768,1128,13300,2027,13300,2027,12768m5549,851l1215,851,1215,1951,5549,1951,5549,851m8180,8719l5378,8719,5378,9737,5470,9737,5470,10564,6373,10564,6373,9923,8180,9923,8180,9737,6373,9737,6373,9737,8180,9737,8180,8719m8599,14513l7290,14513,7290,15150,8599,15150,8599,14513m10026,4896l9057,4896,9057,5302,10026,5302,10026,4896m10440,11145l9541,11145,9541,11009,5981,11009,5981,11155,5981,11913,5981,12279,9541,12279,9541,11913,9252,11913,9252,11155,9262,11155,9262,11904,10440,11904,10440,11145m10916,4451l10078,4451,10078,4844,10916,4844,10916,4451m11182,13274l9122,13274,9122,14513,11182,14513,11182,13274m11487,8492l10868,8492,10868,9181,11487,9181,11487,8492m11767,785l7093,785,7093,1780,11767,1780,11767,785m11784,6816l11121,6816,11121,7296,11784,7296,11784,6816m12299,750l11837,750,11837,3753,11125,3753,11125,2382,10445,2382,10445,1807,9371,1807,9371,2448,9855,2448,9855,3762,9855,4240,11076,4240,11076,3762,11086,3762,11086,4617,12001,4617,12001,4626,11837,4626,11837,5104,12299,5104,12299,4626,12299,3762,12299,750e" filled="true" fillcolor="#ffffff" stroked="false">
              <v:path arrowok="t"/>
              <v:fill type="solid"/>
            </v:shape>
            <w10:wrap type="none"/>
          </v:group>
        </w:pict>
      </w:r>
      <w:r>
        <w:rPr/>
        <w:pict>
          <v:line style="position:absolute;mso-position-horizontal-relative:page;mso-position-vertical-relative:page;z-index:9928" from="12pt,21.443018pt" to="0pt,21.443018pt" stroked="true" strokeweight=".25pt" strokecolor="#000000">
            <w10:wrap type="none"/>
          </v:line>
        </w:pict>
      </w:r>
      <w:r>
        <w:rPr/>
        <w:pict>
          <v:line style="position:absolute;mso-position-horizontal-relative:page;mso-position-vertical-relative:page;z-index:9952" from="625.440002pt,21.443018pt" to="637.22803pt,21.443018pt" stroked="true" strokeweight=".25pt" strokecolor="#000000">
            <w10:wrap type="none"/>
          </v:line>
        </w:pict>
      </w:r>
      <w:r>
        <w:rPr/>
        <w:drawing>
          <wp:anchor distT="0" distB="0" distL="0" distR="0" allowOverlap="1" layoutInCell="1" locked="0" behindDoc="1" simplePos="0" relativeHeight="267237095">
            <wp:simplePos x="0" y="0"/>
            <wp:positionH relativeFrom="page">
              <wp:posOffset>3969956</wp:posOffset>
            </wp:positionH>
            <wp:positionV relativeFrom="page">
              <wp:posOffset>-2311</wp:posOffset>
            </wp:positionV>
            <wp:extent cx="155575" cy="142875"/>
            <wp:effectExtent l="0" t="0" r="0" b="0"/>
            <wp:wrapNone/>
            <wp:docPr id="655" name="image41.png" descr=""/>
            <wp:cNvGraphicFramePr>
              <a:graphicFrameLocks noChangeAspect="1"/>
            </wp:cNvGraphicFramePr>
            <a:graphic>
              <a:graphicData uri="http://schemas.openxmlformats.org/drawingml/2006/picture">
                <pic:pic>
                  <pic:nvPicPr>
                    <pic:cNvPr id="656" name="image41.png"/>
                    <pic:cNvPicPr/>
                  </pic:nvPicPr>
                  <pic:blipFill>
                    <a:blip r:embed="rId91" cstate="print"/>
                    <a:stretch>
                      <a:fillRect/>
                    </a:stretch>
                  </pic:blipFill>
                  <pic:spPr>
                    <a:xfrm>
                      <a:off x="0" y="0"/>
                      <a:ext cx="155575" cy="142875"/>
                    </a:xfrm>
                    <a:prstGeom prst="rect">
                      <a:avLst/>
                    </a:prstGeom>
                  </pic:spPr>
                </pic:pic>
              </a:graphicData>
            </a:graphic>
          </wp:anchor>
        </w:drawing>
      </w:r>
      <w:r>
        <w:rPr/>
        <w:drawing>
          <wp:anchor distT="0" distB="0" distL="0" distR="0" allowOverlap="1" layoutInCell="1" locked="0" behindDoc="0" simplePos="0" relativeHeight="10000">
            <wp:simplePos x="0" y="0"/>
            <wp:positionH relativeFrom="page">
              <wp:posOffset>-1587</wp:posOffset>
            </wp:positionH>
            <wp:positionV relativeFrom="page">
              <wp:posOffset>5543778</wp:posOffset>
            </wp:positionV>
            <wp:extent cx="135159" cy="154019"/>
            <wp:effectExtent l="0" t="0" r="0" b="0"/>
            <wp:wrapNone/>
            <wp:docPr id="657" name="image13.png" descr=""/>
            <wp:cNvGraphicFramePr>
              <a:graphicFrameLocks noChangeAspect="1"/>
            </wp:cNvGraphicFramePr>
            <a:graphic>
              <a:graphicData uri="http://schemas.openxmlformats.org/drawingml/2006/picture">
                <pic:pic>
                  <pic:nvPicPr>
                    <pic:cNvPr id="658" name="image13.png"/>
                    <pic:cNvPicPr/>
                  </pic:nvPicPr>
                  <pic:blipFill>
                    <a:blip r:embed="rId18" cstate="print"/>
                    <a:stretch>
                      <a:fillRect/>
                    </a:stretch>
                  </pic:blipFill>
                  <pic:spPr>
                    <a:xfrm>
                      <a:off x="0" y="0"/>
                      <a:ext cx="135159" cy="154019"/>
                    </a:xfrm>
                    <a:prstGeom prst="rect">
                      <a:avLst/>
                    </a:prstGeom>
                  </pic:spPr>
                </pic:pic>
              </a:graphicData>
            </a:graphic>
          </wp:anchor>
        </w:drawing>
      </w:r>
      <w:r>
        <w:rPr/>
        <w:drawing>
          <wp:anchor distT="0" distB="0" distL="0" distR="0" allowOverlap="1" layoutInCell="1" locked="0" behindDoc="0" simplePos="0" relativeHeight="10024">
            <wp:simplePos x="0" y="0"/>
            <wp:positionH relativeFrom="page">
              <wp:posOffset>7960550</wp:posOffset>
            </wp:positionH>
            <wp:positionV relativeFrom="page">
              <wp:posOffset>5543778</wp:posOffset>
            </wp:positionV>
            <wp:extent cx="133832" cy="155575"/>
            <wp:effectExtent l="0" t="0" r="0" b="0"/>
            <wp:wrapNone/>
            <wp:docPr id="659" name="image42.png" descr=""/>
            <wp:cNvGraphicFramePr>
              <a:graphicFrameLocks noChangeAspect="1"/>
            </wp:cNvGraphicFramePr>
            <a:graphic>
              <a:graphicData uri="http://schemas.openxmlformats.org/drawingml/2006/picture">
                <pic:pic>
                  <pic:nvPicPr>
                    <pic:cNvPr id="660" name="image42.png"/>
                    <pic:cNvPicPr/>
                  </pic:nvPicPr>
                  <pic:blipFill>
                    <a:blip r:embed="rId92" cstate="print"/>
                    <a:stretch>
                      <a:fillRect/>
                    </a:stretch>
                  </pic:blipFill>
                  <pic:spPr>
                    <a:xfrm>
                      <a:off x="0" y="0"/>
                      <a:ext cx="133832" cy="155575"/>
                    </a:xfrm>
                    <a:prstGeom prst="rect">
                      <a:avLst/>
                    </a:prstGeom>
                  </pic:spPr>
                </pic:pic>
              </a:graphicData>
            </a:graphic>
          </wp:anchor>
        </w:drawing>
      </w:r>
      <w:r>
        <w:rPr>
          <w:sz w:val="20"/>
        </w:rPr>
        <w:pict>
          <v:group style="width:.25pt;height:12.7pt;mso-position-horizontal-relative:char;mso-position-vertical-relative:line" coordorigin="0,0" coordsize="5,254">
            <v:line style="position:absolute" from="3,251" to="3,3" stroked="true" strokeweight=".25pt" strokecolor="#000000"/>
          </v:group>
        </w:pict>
      </w:r>
      <w:r>
        <w:rPr>
          <w:sz w:val="20"/>
        </w:rPr>
      </w:r>
      <w:r>
        <w:rPr>
          <w:sz w:val="20"/>
        </w:rPr>
        <w:tab/>
      </w:r>
      <w:r>
        <w:rPr>
          <w:sz w:val="20"/>
        </w:rPr>
        <w:pict>
          <v:group style="width:.25pt;height:12.7pt;mso-position-horizontal-relative:char;mso-position-vertical-relative:line" coordorigin="0,0" coordsize="5,254">
            <v:line style="position:absolute" from="3,251" to="3,3" stroked="true" strokeweight=".25pt" strokecolor="#000000"/>
          </v:group>
        </w:pict>
      </w:r>
      <w:r>
        <w:rPr>
          <w:sz w:val="20"/>
        </w:rPr>
      </w:r>
    </w:p>
    <w:p>
      <w:pPr>
        <w:spacing w:after="0" w:line="240" w:lineRule="auto"/>
        <w:rPr>
          <w:sz w:val="20"/>
        </w:rPr>
        <w:sectPr>
          <w:headerReference w:type="default" r:id="rId88"/>
          <w:footerReference w:type="default" r:id="rId89"/>
          <w:pgSz w:w="12750" w:h="17680"/>
          <w:pgMar w:header="0" w:footer="867" w:top="0" w:bottom="1060" w:left="0" w:right="0"/>
          <w:pgNumType w:start="140"/>
        </w:sectPr>
      </w:pPr>
    </w:p>
    <w:p>
      <w:pPr>
        <w:pStyle w:val="BodyText"/>
        <w:spacing w:before="1"/>
        <w:rPr>
          <w:sz w:val="24"/>
        </w:rPr>
      </w:pPr>
      <w:r>
        <w:rPr/>
        <w:drawing>
          <wp:anchor distT="0" distB="0" distL="0" distR="0" allowOverlap="1" layoutInCell="1" locked="0" behindDoc="0" simplePos="0" relativeHeight="10048">
            <wp:simplePos x="0" y="0"/>
            <wp:positionH relativeFrom="page">
              <wp:posOffset>-1587</wp:posOffset>
            </wp:positionH>
            <wp:positionV relativeFrom="page">
              <wp:posOffset>5534342</wp:posOffset>
            </wp:positionV>
            <wp:extent cx="135159" cy="154019"/>
            <wp:effectExtent l="0" t="0" r="0" b="0"/>
            <wp:wrapNone/>
            <wp:docPr id="663" name="image13.png" descr=""/>
            <wp:cNvGraphicFramePr>
              <a:graphicFrameLocks noChangeAspect="1"/>
            </wp:cNvGraphicFramePr>
            <a:graphic>
              <a:graphicData uri="http://schemas.openxmlformats.org/drawingml/2006/picture">
                <pic:pic>
                  <pic:nvPicPr>
                    <pic:cNvPr id="664" name="image13.png"/>
                    <pic:cNvPicPr/>
                  </pic:nvPicPr>
                  <pic:blipFill>
                    <a:blip r:embed="rId18" cstate="print"/>
                    <a:stretch>
                      <a:fillRect/>
                    </a:stretch>
                  </pic:blipFill>
                  <pic:spPr>
                    <a:xfrm>
                      <a:off x="0" y="0"/>
                      <a:ext cx="135159" cy="154019"/>
                    </a:xfrm>
                    <a:prstGeom prst="rect">
                      <a:avLst/>
                    </a:prstGeom>
                  </pic:spPr>
                </pic:pic>
              </a:graphicData>
            </a:graphic>
          </wp:anchor>
        </w:drawing>
      </w:r>
      <w:r>
        <w:rPr/>
        <w:drawing>
          <wp:anchor distT="0" distB="0" distL="0" distR="0" allowOverlap="1" layoutInCell="1" locked="0" behindDoc="0" simplePos="0" relativeHeight="10072">
            <wp:simplePos x="0" y="0"/>
            <wp:positionH relativeFrom="page">
              <wp:posOffset>7958429</wp:posOffset>
            </wp:positionH>
            <wp:positionV relativeFrom="page">
              <wp:posOffset>5534342</wp:posOffset>
            </wp:positionV>
            <wp:extent cx="135953" cy="155575"/>
            <wp:effectExtent l="0" t="0" r="0" b="0"/>
            <wp:wrapNone/>
            <wp:docPr id="665" name="image15.png" descr=""/>
            <wp:cNvGraphicFramePr>
              <a:graphicFrameLocks noChangeAspect="1"/>
            </wp:cNvGraphicFramePr>
            <a:graphic>
              <a:graphicData uri="http://schemas.openxmlformats.org/drawingml/2006/picture">
                <pic:pic>
                  <pic:nvPicPr>
                    <pic:cNvPr id="666" name="image15.png"/>
                    <pic:cNvPicPr/>
                  </pic:nvPicPr>
                  <pic:blipFill>
                    <a:blip r:embed="rId20" cstate="print"/>
                    <a:stretch>
                      <a:fillRect/>
                    </a:stretch>
                  </pic:blipFill>
                  <pic:spPr>
                    <a:xfrm>
                      <a:off x="0" y="0"/>
                      <a:ext cx="135953" cy="155575"/>
                    </a:xfrm>
                    <a:prstGeom prst="rect">
                      <a:avLst/>
                    </a:prstGeom>
                  </pic:spPr>
                </pic:pic>
              </a:graphicData>
            </a:graphic>
          </wp:anchor>
        </w:drawing>
      </w:r>
    </w:p>
    <w:tbl>
      <w:tblPr>
        <w:tblW w:w="0" w:type="auto"/>
        <w:jc w:val="left"/>
        <w:tblInd w:w="139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920"/>
        <w:gridCol w:w="1435"/>
        <w:gridCol w:w="1402"/>
        <w:gridCol w:w="1190"/>
      </w:tblGrid>
      <w:tr>
        <w:trPr>
          <w:trHeight w:val="909" w:hRule="exact"/>
        </w:trPr>
        <w:tc>
          <w:tcPr>
            <w:tcW w:w="5920" w:type="dxa"/>
          </w:tcPr>
          <w:p>
            <w:pPr>
              <w:pStyle w:val="TableParagraph"/>
              <w:spacing w:before="65"/>
              <w:ind w:left="35"/>
              <w:jc w:val="left"/>
              <w:rPr>
                <w:b/>
                <w:sz w:val="28"/>
              </w:rPr>
            </w:pPr>
            <w:r>
              <w:rPr>
                <w:b/>
                <w:sz w:val="28"/>
              </w:rPr>
              <w:t>Statement of Comprehensive Income</w:t>
            </w:r>
          </w:p>
          <w:p>
            <w:pPr>
              <w:pStyle w:val="TableParagraph"/>
              <w:spacing w:before="53"/>
              <w:ind w:left="35"/>
              <w:jc w:val="left"/>
              <w:rPr>
                <w:b/>
                <w:sz w:val="22"/>
              </w:rPr>
            </w:pPr>
            <w:bookmarkStart w:name="Statement of Comprehensive Income" w:id="258"/>
            <w:bookmarkEnd w:id="258"/>
            <w:r>
              <w:rPr/>
            </w:r>
            <w:r>
              <w:rPr>
                <w:b/>
                <w:sz w:val="22"/>
              </w:rPr>
              <w:t>For the Year Ended 31 December 2016</w:t>
            </w:r>
          </w:p>
        </w:tc>
        <w:tc>
          <w:tcPr>
            <w:tcW w:w="4027" w:type="dxa"/>
            <w:gridSpan w:val="3"/>
          </w:tcPr>
          <w:p>
            <w:pPr/>
          </w:p>
        </w:tc>
      </w:tr>
      <w:tr>
        <w:trPr>
          <w:trHeight w:val="447" w:hRule="exact"/>
        </w:trPr>
        <w:tc>
          <w:tcPr>
            <w:tcW w:w="5920" w:type="dxa"/>
          </w:tcPr>
          <w:p>
            <w:pPr/>
          </w:p>
        </w:tc>
        <w:tc>
          <w:tcPr>
            <w:tcW w:w="1435" w:type="dxa"/>
          </w:tcPr>
          <w:p>
            <w:pPr/>
          </w:p>
        </w:tc>
        <w:tc>
          <w:tcPr>
            <w:tcW w:w="1402" w:type="dxa"/>
          </w:tcPr>
          <w:p>
            <w:pPr>
              <w:pStyle w:val="TableParagraph"/>
              <w:spacing w:before="2"/>
              <w:jc w:val="left"/>
              <w:rPr>
                <w:sz w:val="17"/>
              </w:rPr>
            </w:pPr>
          </w:p>
          <w:p>
            <w:pPr>
              <w:pStyle w:val="TableParagraph"/>
              <w:ind w:left="444"/>
              <w:jc w:val="left"/>
              <w:rPr>
                <w:b/>
                <w:sz w:val="18"/>
              </w:rPr>
            </w:pPr>
            <w:r>
              <w:rPr>
                <w:b/>
                <w:sz w:val="18"/>
              </w:rPr>
              <w:t>2016</w:t>
            </w:r>
          </w:p>
        </w:tc>
        <w:tc>
          <w:tcPr>
            <w:tcW w:w="1190" w:type="dxa"/>
          </w:tcPr>
          <w:p>
            <w:pPr>
              <w:pStyle w:val="TableParagraph"/>
              <w:spacing w:before="2"/>
              <w:jc w:val="left"/>
              <w:rPr>
                <w:sz w:val="17"/>
              </w:rPr>
            </w:pPr>
          </w:p>
          <w:p>
            <w:pPr>
              <w:pStyle w:val="TableParagraph"/>
              <w:ind w:left="338"/>
              <w:jc w:val="left"/>
              <w:rPr>
                <w:b/>
                <w:sz w:val="18"/>
              </w:rPr>
            </w:pPr>
            <w:r>
              <w:rPr>
                <w:b/>
                <w:sz w:val="18"/>
              </w:rPr>
              <w:t>2015</w:t>
            </w:r>
          </w:p>
        </w:tc>
      </w:tr>
      <w:tr>
        <w:trPr>
          <w:trHeight w:val="313" w:hRule="exact"/>
        </w:trPr>
        <w:tc>
          <w:tcPr>
            <w:tcW w:w="5920" w:type="dxa"/>
          </w:tcPr>
          <w:p>
            <w:pPr/>
          </w:p>
        </w:tc>
        <w:tc>
          <w:tcPr>
            <w:tcW w:w="1435" w:type="dxa"/>
          </w:tcPr>
          <w:p>
            <w:pPr>
              <w:pStyle w:val="TableParagraph"/>
              <w:spacing w:before="24"/>
              <w:ind w:left="925" w:right="70"/>
              <w:jc w:val="center"/>
              <w:rPr>
                <w:b/>
                <w:sz w:val="18"/>
              </w:rPr>
            </w:pPr>
            <w:r>
              <w:rPr>
                <w:b/>
                <w:sz w:val="18"/>
              </w:rPr>
              <w:t>Note</w:t>
            </w:r>
          </w:p>
        </w:tc>
        <w:tc>
          <w:tcPr>
            <w:tcW w:w="1402" w:type="dxa"/>
          </w:tcPr>
          <w:p>
            <w:pPr>
              <w:pStyle w:val="TableParagraph"/>
              <w:spacing w:before="24"/>
              <w:ind w:right="109"/>
              <w:jc w:val="center"/>
              <w:rPr>
                <w:b/>
                <w:sz w:val="18"/>
              </w:rPr>
            </w:pPr>
            <w:r>
              <w:rPr>
                <w:b/>
                <w:w w:val="99"/>
                <w:sz w:val="18"/>
              </w:rPr>
              <w:t>$</w:t>
            </w:r>
          </w:p>
        </w:tc>
        <w:tc>
          <w:tcPr>
            <w:tcW w:w="1190" w:type="dxa"/>
          </w:tcPr>
          <w:p>
            <w:pPr>
              <w:pStyle w:val="TableParagraph"/>
              <w:spacing w:before="24"/>
              <w:ind w:right="109"/>
              <w:jc w:val="center"/>
              <w:rPr>
                <w:b/>
                <w:sz w:val="18"/>
              </w:rPr>
            </w:pPr>
            <w:r>
              <w:rPr>
                <w:b/>
                <w:w w:val="99"/>
                <w:sz w:val="18"/>
              </w:rPr>
              <w:t>$</w:t>
            </w:r>
          </w:p>
        </w:tc>
      </w:tr>
      <w:tr>
        <w:trPr>
          <w:trHeight w:val="452" w:hRule="exact"/>
        </w:trPr>
        <w:tc>
          <w:tcPr>
            <w:tcW w:w="5920" w:type="dxa"/>
          </w:tcPr>
          <w:p>
            <w:pPr>
              <w:pStyle w:val="TableParagraph"/>
              <w:spacing w:before="63"/>
              <w:ind w:left="61"/>
              <w:jc w:val="left"/>
              <w:rPr>
                <w:b/>
                <w:sz w:val="18"/>
              </w:rPr>
            </w:pPr>
            <w:r>
              <w:rPr>
                <w:b/>
                <w:sz w:val="18"/>
              </w:rPr>
              <w:t>Revenue</w:t>
            </w:r>
          </w:p>
        </w:tc>
        <w:tc>
          <w:tcPr>
            <w:tcW w:w="1435" w:type="dxa"/>
          </w:tcPr>
          <w:p>
            <w:pPr/>
          </w:p>
        </w:tc>
        <w:tc>
          <w:tcPr>
            <w:tcW w:w="1402" w:type="dxa"/>
          </w:tcPr>
          <w:p>
            <w:pPr/>
          </w:p>
        </w:tc>
        <w:tc>
          <w:tcPr>
            <w:tcW w:w="1190" w:type="dxa"/>
          </w:tcPr>
          <w:p>
            <w:pPr/>
          </w:p>
        </w:tc>
      </w:tr>
      <w:tr>
        <w:trPr>
          <w:trHeight w:val="409" w:hRule="exact"/>
        </w:trPr>
        <w:tc>
          <w:tcPr>
            <w:tcW w:w="5920" w:type="dxa"/>
          </w:tcPr>
          <w:p>
            <w:pPr>
              <w:pStyle w:val="TableParagraph"/>
              <w:spacing w:before="2"/>
              <w:jc w:val="left"/>
              <w:rPr>
                <w:sz w:val="14"/>
              </w:rPr>
            </w:pPr>
          </w:p>
          <w:p>
            <w:pPr>
              <w:pStyle w:val="TableParagraph"/>
              <w:ind w:left="61"/>
              <w:jc w:val="left"/>
              <w:rPr>
                <w:sz w:val="18"/>
              </w:rPr>
            </w:pPr>
            <w:r>
              <w:rPr>
                <w:sz w:val="18"/>
              </w:rPr>
              <w:t>Sale of goods</w:t>
            </w:r>
          </w:p>
        </w:tc>
        <w:tc>
          <w:tcPr>
            <w:tcW w:w="1435" w:type="dxa"/>
          </w:tcPr>
          <w:p>
            <w:pPr>
              <w:pStyle w:val="TableParagraph"/>
              <w:spacing w:before="4"/>
              <w:jc w:val="left"/>
              <w:rPr>
                <w:sz w:val="14"/>
              </w:rPr>
            </w:pPr>
          </w:p>
          <w:p>
            <w:pPr>
              <w:pStyle w:val="TableParagraph"/>
              <w:ind w:left="853"/>
              <w:jc w:val="center"/>
              <w:rPr>
                <w:sz w:val="18"/>
              </w:rPr>
            </w:pPr>
            <w:r>
              <w:rPr>
                <w:w w:val="99"/>
                <w:sz w:val="18"/>
              </w:rPr>
              <w:t>3</w:t>
            </w:r>
          </w:p>
        </w:tc>
        <w:tc>
          <w:tcPr>
            <w:tcW w:w="1402" w:type="dxa"/>
          </w:tcPr>
          <w:p>
            <w:pPr>
              <w:pStyle w:val="TableParagraph"/>
              <w:spacing w:before="4"/>
              <w:jc w:val="left"/>
              <w:rPr>
                <w:sz w:val="14"/>
              </w:rPr>
            </w:pPr>
          </w:p>
          <w:p>
            <w:pPr>
              <w:pStyle w:val="TableParagraph"/>
              <w:ind w:left="300"/>
              <w:jc w:val="left"/>
              <w:rPr>
                <w:b/>
                <w:sz w:val="18"/>
              </w:rPr>
            </w:pPr>
            <w:r>
              <w:rPr>
                <w:b/>
                <w:sz w:val="18"/>
              </w:rPr>
              <w:t>17,257,788</w:t>
            </w:r>
          </w:p>
        </w:tc>
        <w:tc>
          <w:tcPr>
            <w:tcW w:w="1190" w:type="dxa"/>
          </w:tcPr>
          <w:p>
            <w:pPr>
              <w:pStyle w:val="TableParagraph"/>
              <w:spacing w:before="4"/>
              <w:jc w:val="left"/>
              <w:rPr>
                <w:sz w:val="14"/>
              </w:rPr>
            </w:pPr>
          </w:p>
          <w:p>
            <w:pPr>
              <w:pStyle w:val="TableParagraph"/>
              <w:ind w:right="87"/>
              <w:rPr>
                <w:sz w:val="18"/>
              </w:rPr>
            </w:pPr>
            <w:r>
              <w:rPr>
                <w:w w:val="95"/>
                <w:sz w:val="18"/>
              </w:rPr>
              <w:t>18,049,009</w:t>
            </w:r>
          </w:p>
        </w:tc>
      </w:tr>
      <w:tr>
        <w:trPr>
          <w:trHeight w:val="264" w:hRule="exact"/>
        </w:trPr>
        <w:tc>
          <w:tcPr>
            <w:tcW w:w="5920" w:type="dxa"/>
          </w:tcPr>
          <w:p>
            <w:pPr>
              <w:pStyle w:val="TableParagraph"/>
              <w:spacing w:before="18"/>
              <w:ind w:left="61"/>
              <w:jc w:val="left"/>
              <w:rPr>
                <w:sz w:val="18"/>
              </w:rPr>
            </w:pPr>
            <w:r>
              <w:rPr>
                <w:sz w:val="18"/>
              </w:rPr>
              <w:t>Rendering of services</w:t>
            </w:r>
          </w:p>
        </w:tc>
        <w:tc>
          <w:tcPr>
            <w:tcW w:w="1435" w:type="dxa"/>
          </w:tcPr>
          <w:p>
            <w:pPr>
              <w:pStyle w:val="TableParagraph"/>
              <w:spacing w:before="20"/>
              <w:ind w:left="853"/>
              <w:jc w:val="center"/>
              <w:rPr>
                <w:sz w:val="18"/>
              </w:rPr>
            </w:pPr>
            <w:r>
              <w:rPr>
                <w:w w:val="99"/>
                <w:sz w:val="18"/>
              </w:rPr>
              <w:t>3</w:t>
            </w:r>
          </w:p>
        </w:tc>
        <w:tc>
          <w:tcPr>
            <w:tcW w:w="1402" w:type="dxa"/>
          </w:tcPr>
          <w:p>
            <w:pPr>
              <w:pStyle w:val="TableParagraph"/>
              <w:spacing w:before="20"/>
              <w:ind w:right="192"/>
              <w:rPr>
                <w:b/>
                <w:sz w:val="18"/>
              </w:rPr>
            </w:pPr>
            <w:r>
              <w:rPr>
                <w:b/>
                <w:w w:val="95"/>
                <w:sz w:val="18"/>
              </w:rPr>
              <w:t>999,279</w:t>
            </w:r>
          </w:p>
        </w:tc>
        <w:tc>
          <w:tcPr>
            <w:tcW w:w="1190" w:type="dxa"/>
          </w:tcPr>
          <w:p>
            <w:pPr>
              <w:pStyle w:val="TableParagraph"/>
              <w:spacing w:before="20"/>
              <w:ind w:right="88"/>
              <w:rPr>
                <w:sz w:val="18"/>
              </w:rPr>
            </w:pPr>
            <w:r>
              <w:rPr>
                <w:w w:val="95"/>
                <w:sz w:val="18"/>
              </w:rPr>
              <w:t>885,979</w:t>
            </w:r>
          </w:p>
        </w:tc>
      </w:tr>
      <w:tr>
        <w:trPr>
          <w:trHeight w:val="264" w:hRule="exact"/>
        </w:trPr>
        <w:tc>
          <w:tcPr>
            <w:tcW w:w="5920" w:type="dxa"/>
          </w:tcPr>
          <w:p>
            <w:pPr>
              <w:pStyle w:val="TableParagraph"/>
              <w:spacing w:before="18"/>
              <w:ind w:left="61"/>
              <w:jc w:val="left"/>
              <w:rPr>
                <w:sz w:val="18"/>
              </w:rPr>
            </w:pPr>
            <w:r>
              <w:rPr>
                <w:sz w:val="18"/>
              </w:rPr>
              <w:t>University funding</w:t>
            </w:r>
          </w:p>
        </w:tc>
        <w:tc>
          <w:tcPr>
            <w:tcW w:w="1435" w:type="dxa"/>
          </w:tcPr>
          <w:p>
            <w:pPr>
              <w:pStyle w:val="TableParagraph"/>
              <w:spacing w:before="20"/>
              <w:ind w:left="853"/>
              <w:jc w:val="center"/>
              <w:rPr>
                <w:sz w:val="18"/>
              </w:rPr>
            </w:pPr>
            <w:r>
              <w:rPr>
                <w:w w:val="99"/>
                <w:sz w:val="18"/>
              </w:rPr>
              <w:t>3</w:t>
            </w:r>
          </w:p>
        </w:tc>
        <w:tc>
          <w:tcPr>
            <w:tcW w:w="1402" w:type="dxa"/>
          </w:tcPr>
          <w:p>
            <w:pPr>
              <w:pStyle w:val="TableParagraph"/>
              <w:spacing w:before="20"/>
              <w:ind w:left="400"/>
              <w:jc w:val="left"/>
              <w:rPr>
                <w:b/>
                <w:sz w:val="18"/>
              </w:rPr>
            </w:pPr>
            <w:r>
              <w:rPr>
                <w:b/>
                <w:sz w:val="18"/>
              </w:rPr>
              <w:t>1,994,063</w:t>
            </w:r>
          </w:p>
        </w:tc>
        <w:tc>
          <w:tcPr>
            <w:tcW w:w="1190" w:type="dxa"/>
          </w:tcPr>
          <w:p>
            <w:pPr>
              <w:pStyle w:val="TableParagraph"/>
              <w:spacing w:before="20"/>
              <w:ind w:right="87"/>
              <w:rPr>
                <w:sz w:val="18"/>
              </w:rPr>
            </w:pPr>
            <w:r>
              <w:rPr>
                <w:w w:val="95"/>
                <w:sz w:val="18"/>
              </w:rPr>
              <w:t>2,542,005</w:t>
            </w:r>
          </w:p>
        </w:tc>
      </w:tr>
      <w:tr>
        <w:trPr>
          <w:trHeight w:val="262" w:hRule="exact"/>
        </w:trPr>
        <w:tc>
          <w:tcPr>
            <w:tcW w:w="5920" w:type="dxa"/>
          </w:tcPr>
          <w:p>
            <w:pPr>
              <w:pStyle w:val="TableParagraph"/>
              <w:spacing w:before="18"/>
              <w:ind w:left="61"/>
              <w:jc w:val="left"/>
              <w:rPr>
                <w:sz w:val="18"/>
              </w:rPr>
            </w:pPr>
            <w:r>
              <w:rPr>
                <w:sz w:val="18"/>
              </w:rPr>
              <w:t>Other revenue</w:t>
            </w:r>
          </w:p>
        </w:tc>
        <w:tc>
          <w:tcPr>
            <w:tcW w:w="1435" w:type="dxa"/>
          </w:tcPr>
          <w:p>
            <w:pPr>
              <w:pStyle w:val="TableParagraph"/>
              <w:spacing w:before="20"/>
              <w:ind w:left="853"/>
              <w:jc w:val="center"/>
              <w:rPr>
                <w:sz w:val="18"/>
              </w:rPr>
            </w:pPr>
            <w:r>
              <w:rPr>
                <w:w w:val="99"/>
                <w:sz w:val="18"/>
              </w:rPr>
              <w:t>3</w:t>
            </w:r>
          </w:p>
        </w:tc>
        <w:tc>
          <w:tcPr>
            <w:tcW w:w="1402" w:type="dxa"/>
            <w:tcBorders>
              <w:bottom w:val="single" w:sz="1" w:space="0" w:color="000000"/>
            </w:tcBorders>
          </w:tcPr>
          <w:p>
            <w:pPr>
              <w:pStyle w:val="TableParagraph"/>
              <w:spacing w:before="20"/>
              <w:ind w:right="192"/>
              <w:rPr>
                <w:b/>
                <w:sz w:val="18"/>
              </w:rPr>
            </w:pPr>
            <w:r>
              <w:rPr>
                <w:b/>
                <w:w w:val="95"/>
                <w:sz w:val="18"/>
              </w:rPr>
              <w:t>799,781</w:t>
            </w:r>
          </w:p>
        </w:tc>
        <w:tc>
          <w:tcPr>
            <w:tcW w:w="1190" w:type="dxa"/>
            <w:tcBorders>
              <w:bottom w:val="single" w:sz="1" w:space="0" w:color="000000"/>
            </w:tcBorders>
          </w:tcPr>
          <w:p>
            <w:pPr>
              <w:pStyle w:val="TableParagraph"/>
              <w:spacing w:before="20"/>
              <w:ind w:right="87"/>
              <w:rPr>
                <w:sz w:val="18"/>
              </w:rPr>
            </w:pPr>
            <w:r>
              <w:rPr>
                <w:w w:val="95"/>
                <w:sz w:val="18"/>
              </w:rPr>
              <w:t>1,034,105</w:t>
            </w:r>
          </w:p>
        </w:tc>
      </w:tr>
      <w:tr>
        <w:trPr>
          <w:trHeight w:val="338" w:hRule="exact"/>
        </w:trPr>
        <w:tc>
          <w:tcPr>
            <w:tcW w:w="5920" w:type="dxa"/>
          </w:tcPr>
          <w:p>
            <w:pPr>
              <w:pStyle w:val="TableParagraph"/>
              <w:spacing w:before="125"/>
              <w:ind w:left="61"/>
              <w:jc w:val="left"/>
              <w:rPr>
                <w:b/>
                <w:sz w:val="18"/>
              </w:rPr>
            </w:pPr>
            <w:r>
              <w:rPr>
                <w:b/>
                <w:sz w:val="18"/>
              </w:rPr>
              <w:t>Total revenue from operations</w:t>
            </w:r>
          </w:p>
        </w:tc>
        <w:tc>
          <w:tcPr>
            <w:tcW w:w="1435" w:type="dxa"/>
          </w:tcPr>
          <w:p>
            <w:pPr/>
          </w:p>
        </w:tc>
        <w:tc>
          <w:tcPr>
            <w:tcW w:w="1402" w:type="dxa"/>
            <w:tcBorders>
              <w:top w:val="single" w:sz="1" w:space="0" w:color="000000"/>
              <w:bottom w:val="single" w:sz="1" w:space="0" w:color="000000"/>
            </w:tcBorders>
          </w:tcPr>
          <w:p>
            <w:pPr>
              <w:pStyle w:val="TableParagraph"/>
              <w:spacing w:before="124"/>
              <w:ind w:left="300"/>
              <w:jc w:val="left"/>
              <w:rPr>
                <w:b/>
                <w:sz w:val="18"/>
              </w:rPr>
            </w:pPr>
            <w:r>
              <w:rPr>
                <w:b/>
                <w:sz w:val="18"/>
              </w:rPr>
              <w:t>21,050,911</w:t>
            </w:r>
          </w:p>
        </w:tc>
        <w:tc>
          <w:tcPr>
            <w:tcW w:w="1190" w:type="dxa"/>
            <w:tcBorders>
              <w:top w:val="single" w:sz="1" w:space="0" w:color="000000"/>
              <w:bottom w:val="single" w:sz="1" w:space="0" w:color="000000"/>
            </w:tcBorders>
          </w:tcPr>
          <w:p>
            <w:pPr>
              <w:pStyle w:val="TableParagraph"/>
              <w:spacing w:before="124"/>
              <w:ind w:right="87"/>
              <w:rPr>
                <w:sz w:val="18"/>
              </w:rPr>
            </w:pPr>
            <w:r>
              <w:rPr>
                <w:w w:val="95"/>
                <w:sz w:val="18"/>
              </w:rPr>
              <w:t>22,511,098</w:t>
            </w:r>
          </w:p>
        </w:tc>
      </w:tr>
      <w:tr>
        <w:trPr>
          <w:trHeight w:val="602" w:hRule="exact"/>
        </w:trPr>
        <w:tc>
          <w:tcPr>
            <w:tcW w:w="5920" w:type="dxa"/>
          </w:tcPr>
          <w:p>
            <w:pPr>
              <w:pStyle w:val="TableParagraph"/>
              <w:jc w:val="left"/>
              <w:rPr>
                <w:sz w:val="18"/>
              </w:rPr>
            </w:pPr>
          </w:p>
          <w:p>
            <w:pPr>
              <w:pStyle w:val="TableParagraph"/>
              <w:spacing w:before="151"/>
              <w:ind w:left="61"/>
              <w:jc w:val="left"/>
              <w:rPr>
                <w:sz w:val="18"/>
              </w:rPr>
            </w:pPr>
            <w:r>
              <w:rPr>
                <w:sz w:val="18"/>
              </w:rPr>
              <w:t>Gain on disposal of assets</w:t>
            </w:r>
          </w:p>
        </w:tc>
        <w:tc>
          <w:tcPr>
            <w:tcW w:w="1435" w:type="dxa"/>
          </w:tcPr>
          <w:p>
            <w:pPr>
              <w:pStyle w:val="TableParagraph"/>
              <w:jc w:val="left"/>
              <w:rPr>
                <w:sz w:val="18"/>
              </w:rPr>
            </w:pPr>
          </w:p>
          <w:p>
            <w:pPr>
              <w:pStyle w:val="TableParagraph"/>
              <w:spacing w:before="153"/>
              <w:ind w:left="853"/>
              <w:jc w:val="center"/>
              <w:rPr>
                <w:sz w:val="18"/>
              </w:rPr>
            </w:pPr>
            <w:r>
              <w:rPr>
                <w:w w:val="99"/>
                <w:sz w:val="18"/>
              </w:rPr>
              <w:t>4</w:t>
            </w:r>
          </w:p>
        </w:tc>
        <w:tc>
          <w:tcPr>
            <w:tcW w:w="1402" w:type="dxa"/>
            <w:tcBorders>
              <w:top w:val="single" w:sz="1" w:space="0" w:color="000000"/>
              <w:bottom w:val="single" w:sz="1" w:space="0" w:color="000000"/>
            </w:tcBorders>
          </w:tcPr>
          <w:p>
            <w:pPr>
              <w:pStyle w:val="TableParagraph"/>
              <w:jc w:val="left"/>
              <w:rPr>
                <w:sz w:val="18"/>
              </w:rPr>
            </w:pPr>
          </w:p>
          <w:p>
            <w:pPr>
              <w:pStyle w:val="TableParagraph"/>
              <w:spacing w:before="152"/>
              <w:ind w:right="192"/>
              <w:rPr>
                <w:b/>
                <w:sz w:val="18"/>
              </w:rPr>
            </w:pPr>
            <w:r>
              <w:rPr>
                <w:b/>
                <w:w w:val="95"/>
                <w:sz w:val="18"/>
              </w:rPr>
              <w:t>374,111</w:t>
            </w:r>
          </w:p>
        </w:tc>
        <w:tc>
          <w:tcPr>
            <w:tcW w:w="1190" w:type="dxa"/>
            <w:tcBorders>
              <w:top w:val="single" w:sz="1" w:space="0" w:color="000000"/>
              <w:bottom w:val="single" w:sz="1" w:space="0" w:color="000000"/>
            </w:tcBorders>
          </w:tcPr>
          <w:p>
            <w:pPr>
              <w:pStyle w:val="TableParagraph"/>
              <w:jc w:val="left"/>
              <w:rPr>
                <w:sz w:val="18"/>
              </w:rPr>
            </w:pPr>
          </w:p>
          <w:p>
            <w:pPr>
              <w:pStyle w:val="TableParagraph"/>
              <w:spacing w:before="152"/>
              <w:ind w:right="87"/>
              <w:rPr>
                <w:sz w:val="18"/>
              </w:rPr>
            </w:pPr>
            <w:r>
              <w:rPr>
                <w:w w:val="95"/>
                <w:sz w:val="18"/>
              </w:rPr>
              <w:t>14,409</w:t>
            </w:r>
          </w:p>
        </w:tc>
      </w:tr>
      <w:tr>
        <w:trPr>
          <w:trHeight w:val="338" w:hRule="exact"/>
        </w:trPr>
        <w:tc>
          <w:tcPr>
            <w:tcW w:w="5920" w:type="dxa"/>
          </w:tcPr>
          <w:p>
            <w:pPr>
              <w:pStyle w:val="TableParagraph"/>
              <w:spacing w:before="125"/>
              <w:ind w:left="61"/>
              <w:jc w:val="left"/>
              <w:rPr>
                <w:b/>
                <w:sz w:val="18"/>
              </w:rPr>
            </w:pPr>
            <w:r>
              <w:rPr>
                <w:b/>
                <w:sz w:val="18"/>
              </w:rPr>
              <w:t>Total income</w:t>
            </w:r>
          </w:p>
        </w:tc>
        <w:tc>
          <w:tcPr>
            <w:tcW w:w="1435" w:type="dxa"/>
          </w:tcPr>
          <w:p>
            <w:pPr/>
          </w:p>
        </w:tc>
        <w:tc>
          <w:tcPr>
            <w:tcW w:w="1402" w:type="dxa"/>
            <w:tcBorders>
              <w:top w:val="single" w:sz="1" w:space="0" w:color="000000"/>
              <w:bottom w:val="single" w:sz="1" w:space="0" w:color="000000"/>
            </w:tcBorders>
          </w:tcPr>
          <w:p>
            <w:pPr>
              <w:pStyle w:val="TableParagraph"/>
              <w:spacing w:before="124"/>
              <w:ind w:left="300"/>
              <w:jc w:val="left"/>
              <w:rPr>
                <w:b/>
                <w:sz w:val="18"/>
              </w:rPr>
            </w:pPr>
            <w:r>
              <w:rPr>
                <w:b/>
                <w:sz w:val="18"/>
              </w:rPr>
              <w:t>21,425,022</w:t>
            </w:r>
          </w:p>
        </w:tc>
        <w:tc>
          <w:tcPr>
            <w:tcW w:w="1190" w:type="dxa"/>
            <w:tcBorders>
              <w:top w:val="single" w:sz="1" w:space="0" w:color="000000"/>
              <w:bottom w:val="single" w:sz="1" w:space="0" w:color="000000"/>
            </w:tcBorders>
          </w:tcPr>
          <w:p>
            <w:pPr>
              <w:pStyle w:val="TableParagraph"/>
              <w:spacing w:before="124"/>
              <w:ind w:right="87"/>
              <w:rPr>
                <w:sz w:val="18"/>
              </w:rPr>
            </w:pPr>
            <w:r>
              <w:rPr>
                <w:w w:val="95"/>
                <w:sz w:val="18"/>
              </w:rPr>
              <w:t>22,525,507</w:t>
            </w:r>
          </w:p>
        </w:tc>
      </w:tr>
      <w:tr>
        <w:trPr>
          <w:trHeight w:val="833" w:hRule="exact"/>
        </w:trPr>
        <w:tc>
          <w:tcPr>
            <w:tcW w:w="5920" w:type="dxa"/>
          </w:tcPr>
          <w:p>
            <w:pPr>
              <w:pStyle w:val="TableParagraph"/>
              <w:jc w:val="left"/>
              <w:rPr>
                <w:sz w:val="18"/>
              </w:rPr>
            </w:pPr>
          </w:p>
          <w:p>
            <w:pPr>
              <w:pStyle w:val="TableParagraph"/>
              <w:spacing w:before="7"/>
              <w:jc w:val="left"/>
              <w:rPr>
                <w:sz w:val="20"/>
              </w:rPr>
            </w:pPr>
          </w:p>
          <w:p>
            <w:pPr>
              <w:pStyle w:val="TableParagraph"/>
              <w:ind w:left="61"/>
              <w:jc w:val="left"/>
              <w:rPr>
                <w:b/>
                <w:sz w:val="18"/>
              </w:rPr>
            </w:pPr>
            <w:r>
              <w:rPr>
                <w:b/>
                <w:sz w:val="18"/>
              </w:rPr>
              <w:t>Expenses</w:t>
            </w:r>
          </w:p>
        </w:tc>
        <w:tc>
          <w:tcPr>
            <w:tcW w:w="1435" w:type="dxa"/>
          </w:tcPr>
          <w:p>
            <w:pPr/>
          </w:p>
        </w:tc>
        <w:tc>
          <w:tcPr>
            <w:tcW w:w="1402" w:type="dxa"/>
            <w:tcBorders>
              <w:top w:val="single" w:sz="1" w:space="0" w:color="000000"/>
            </w:tcBorders>
          </w:tcPr>
          <w:p>
            <w:pPr/>
          </w:p>
        </w:tc>
        <w:tc>
          <w:tcPr>
            <w:tcW w:w="1190" w:type="dxa"/>
            <w:tcBorders>
              <w:top w:val="single" w:sz="1" w:space="0" w:color="000000"/>
            </w:tcBorders>
          </w:tcPr>
          <w:p>
            <w:pPr/>
          </w:p>
        </w:tc>
      </w:tr>
      <w:tr>
        <w:trPr>
          <w:trHeight w:val="409" w:hRule="exact"/>
        </w:trPr>
        <w:tc>
          <w:tcPr>
            <w:tcW w:w="5920" w:type="dxa"/>
          </w:tcPr>
          <w:p>
            <w:pPr>
              <w:pStyle w:val="TableParagraph"/>
              <w:spacing w:before="2"/>
              <w:jc w:val="left"/>
              <w:rPr>
                <w:sz w:val="14"/>
              </w:rPr>
            </w:pPr>
          </w:p>
          <w:p>
            <w:pPr>
              <w:pStyle w:val="TableParagraph"/>
              <w:ind w:left="61"/>
              <w:jc w:val="left"/>
              <w:rPr>
                <w:sz w:val="18"/>
              </w:rPr>
            </w:pPr>
            <w:r>
              <w:rPr>
                <w:sz w:val="18"/>
              </w:rPr>
              <w:t>Raw materials and consumables used</w:t>
            </w:r>
          </w:p>
        </w:tc>
        <w:tc>
          <w:tcPr>
            <w:tcW w:w="1435" w:type="dxa"/>
          </w:tcPr>
          <w:p>
            <w:pPr/>
          </w:p>
        </w:tc>
        <w:tc>
          <w:tcPr>
            <w:tcW w:w="1402" w:type="dxa"/>
          </w:tcPr>
          <w:p>
            <w:pPr>
              <w:pStyle w:val="TableParagraph"/>
              <w:spacing w:before="4"/>
              <w:jc w:val="left"/>
              <w:rPr>
                <w:sz w:val="14"/>
              </w:rPr>
            </w:pPr>
          </w:p>
          <w:p>
            <w:pPr>
              <w:pStyle w:val="TableParagraph"/>
              <w:ind w:right="132"/>
              <w:rPr>
                <w:b/>
                <w:sz w:val="18"/>
              </w:rPr>
            </w:pPr>
            <w:r>
              <w:rPr>
                <w:b/>
                <w:w w:val="95"/>
                <w:sz w:val="18"/>
              </w:rPr>
              <w:t>(11,838,685)</w:t>
            </w:r>
          </w:p>
        </w:tc>
        <w:tc>
          <w:tcPr>
            <w:tcW w:w="1190" w:type="dxa"/>
          </w:tcPr>
          <w:p>
            <w:pPr>
              <w:pStyle w:val="TableParagraph"/>
              <w:spacing w:before="4"/>
              <w:jc w:val="left"/>
              <w:rPr>
                <w:sz w:val="14"/>
              </w:rPr>
            </w:pPr>
          </w:p>
          <w:p>
            <w:pPr>
              <w:pStyle w:val="TableParagraph"/>
              <w:ind w:right="26"/>
              <w:rPr>
                <w:sz w:val="18"/>
              </w:rPr>
            </w:pPr>
            <w:r>
              <w:rPr>
                <w:w w:val="95"/>
                <w:sz w:val="18"/>
              </w:rPr>
              <w:t>(10,828,464)</w:t>
            </w:r>
          </w:p>
        </w:tc>
      </w:tr>
      <w:tr>
        <w:trPr>
          <w:trHeight w:val="264" w:hRule="exact"/>
        </w:trPr>
        <w:tc>
          <w:tcPr>
            <w:tcW w:w="5920" w:type="dxa"/>
          </w:tcPr>
          <w:p>
            <w:pPr>
              <w:pStyle w:val="TableParagraph"/>
              <w:spacing w:before="18"/>
              <w:ind w:left="61"/>
              <w:jc w:val="left"/>
              <w:rPr>
                <w:sz w:val="18"/>
              </w:rPr>
            </w:pPr>
            <w:r>
              <w:rPr>
                <w:sz w:val="18"/>
              </w:rPr>
              <w:t>Employee benefits expense</w:t>
            </w:r>
          </w:p>
        </w:tc>
        <w:tc>
          <w:tcPr>
            <w:tcW w:w="1435" w:type="dxa"/>
          </w:tcPr>
          <w:p>
            <w:pPr>
              <w:pStyle w:val="TableParagraph"/>
              <w:spacing w:before="20"/>
              <w:ind w:left="853"/>
              <w:jc w:val="center"/>
              <w:rPr>
                <w:sz w:val="18"/>
              </w:rPr>
            </w:pPr>
            <w:r>
              <w:rPr>
                <w:w w:val="99"/>
                <w:sz w:val="18"/>
              </w:rPr>
              <w:t>5</w:t>
            </w:r>
          </w:p>
        </w:tc>
        <w:tc>
          <w:tcPr>
            <w:tcW w:w="1402" w:type="dxa"/>
          </w:tcPr>
          <w:p>
            <w:pPr>
              <w:pStyle w:val="TableParagraph"/>
              <w:spacing w:before="20"/>
              <w:ind w:right="132"/>
              <w:rPr>
                <w:b/>
                <w:sz w:val="18"/>
              </w:rPr>
            </w:pPr>
            <w:r>
              <w:rPr>
                <w:b/>
                <w:w w:val="95"/>
                <w:sz w:val="18"/>
              </w:rPr>
              <w:t>(8,389,159)</w:t>
            </w:r>
          </w:p>
        </w:tc>
        <w:tc>
          <w:tcPr>
            <w:tcW w:w="1190" w:type="dxa"/>
          </w:tcPr>
          <w:p>
            <w:pPr>
              <w:pStyle w:val="TableParagraph"/>
              <w:spacing w:before="20"/>
              <w:ind w:right="26"/>
              <w:rPr>
                <w:sz w:val="18"/>
              </w:rPr>
            </w:pPr>
            <w:r>
              <w:rPr>
                <w:w w:val="95"/>
                <w:sz w:val="18"/>
              </w:rPr>
              <w:t>(9,955,207)</w:t>
            </w:r>
          </w:p>
        </w:tc>
      </w:tr>
      <w:tr>
        <w:trPr>
          <w:trHeight w:val="264" w:hRule="exact"/>
        </w:trPr>
        <w:tc>
          <w:tcPr>
            <w:tcW w:w="5920" w:type="dxa"/>
          </w:tcPr>
          <w:p>
            <w:pPr>
              <w:pStyle w:val="TableParagraph"/>
              <w:spacing w:before="18"/>
              <w:ind w:left="61"/>
              <w:jc w:val="left"/>
              <w:rPr>
                <w:sz w:val="18"/>
              </w:rPr>
            </w:pPr>
            <w:r>
              <w:rPr>
                <w:sz w:val="18"/>
              </w:rPr>
              <w:t>Depreciation and amortisation expense</w:t>
            </w:r>
          </w:p>
        </w:tc>
        <w:tc>
          <w:tcPr>
            <w:tcW w:w="1435" w:type="dxa"/>
          </w:tcPr>
          <w:p>
            <w:pPr>
              <w:pStyle w:val="TableParagraph"/>
              <w:spacing w:before="20"/>
              <w:ind w:left="853"/>
              <w:jc w:val="center"/>
              <w:rPr>
                <w:sz w:val="18"/>
              </w:rPr>
            </w:pPr>
            <w:r>
              <w:rPr>
                <w:w w:val="99"/>
                <w:sz w:val="18"/>
              </w:rPr>
              <w:t>5</w:t>
            </w:r>
          </w:p>
        </w:tc>
        <w:tc>
          <w:tcPr>
            <w:tcW w:w="1402" w:type="dxa"/>
          </w:tcPr>
          <w:p>
            <w:pPr>
              <w:pStyle w:val="TableParagraph"/>
              <w:spacing w:before="20"/>
              <w:ind w:right="132"/>
              <w:rPr>
                <w:b/>
                <w:sz w:val="18"/>
              </w:rPr>
            </w:pPr>
            <w:r>
              <w:rPr>
                <w:b/>
                <w:w w:val="95"/>
                <w:sz w:val="18"/>
              </w:rPr>
              <w:t>(58,966)</w:t>
            </w:r>
          </w:p>
        </w:tc>
        <w:tc>
          <w:tcPr>
            <w:tcW w:w="1190" w:type="dxa"/>
          </w:tcPr>
          <w:p>
            <w:pPr>
              <w:pStyle w:val="TableParagraph"/>
              <w:spacing w:before="20"/>
              <w:ind w:right="26"/>
              <w:rPr>
                <w:sz w:val="18"/>
              </w:rPr>
            </w:pPr>
            <w:r>
              <w:rPr>
                <w:w w:val="95"/>
                <w:sz w:val="18"/>
              </w:rPr>
              <w:t>(99,317)</w:t>
            </w:r>
          </w:p>
        </w:tc>
      </w:tr>
      <w:tr>
        <w:trPr>
          <w:trHeight w:val="264" w:hRule="exact"/>
        </w:trPr>
        <w:tc>
          <w:tcPr>
            <w:tcW w:w="5920" w:type="dxa"/>
          </w:tcPr>
          <w:p>
            <w:pPr>
              <w:pStyle w:val="TableParagraph"/>
              <w:spacing w:before="18"/>
              <w:ind w:left="61"/>
              <w:jc w:val="left"/>
              <w:rPr>
                <w:sz w:val="18"/>
              </w:rPr>
            </w:pPr>
            <w:r>
              <w:rPr>
                <w:sz w:val="18"/>
              </w:rPr>
              <w:t>Occupancy expenses</w:t>
            </w:r>
          </w:p>
        </w:tc>
        <w:tc>
          <w:tcPr>
            <w:tcW w:w="1435" w:type="dxa"/>
          </w:tcPr>
          <w:p>
            <w:pPr>
              <w:pStyle w:val="TableParagraph"/>
              <w:spacing w:before="20"/>
              <w:ind w:left="853"/>
              <w:jc w:val="center"/>
              <w:rPr>
                <w:sz w:val="18"/>
              </w:rPr>
            </w:pPr>
            <w:r>
              <w:rPr>
                <w:w w:val="99"/>
                <w:sz w:val="18"/>
              </w:rPr>
              <w:t>5</w:t>
            </w:r>
          </w:p>
        </w:tc>
        <w:tc>
          <w:tcPr>
            <w:tcW w:w="1402" w:type="dxa"/>
          </w:tcPr>
          <w:p>
            <w:pPr>
              <w:pStyle w:val="TableParagraph"/>
              <w:spacing w:before="20"/>
              <w:ind w:right="132"/>
              <w:rPr>
                <w:b/>
                <w:sz w:val="18"/>
              </w:rPr>
            </w:pPr>
            <w:r>
              <w:rPr>
                <w:b/>
                <w:w w:val="95"/>
                <w:sz w:val="18"/>
              </w:rPr>
              <w:t>(348,390)</w:t>
            </w:r>
          </w:p>
        </w:tc>
        <w:tc>
          <w:tcPr>
            <w:tcW w:w="1190" w:type="dxa"/>
          </w:tcPr>
          <w:p>
            <w:pPr>
              <w:pStyle w:val="TableParagraph"/>
              <w:spacing w:before="20"/>
              <w:ind w:right="26"/>
              <w:rPr>
                <w:sz w:val="18"/>
              </w:rPr>
            </w:pPr>
            <w:r>
              <w:rPr>
                <w:w w:val="95"/>
                <w:sz w:val="18"/>
              </w:rPr>
              <w:t>(552,709)</w:t>
            </w:r>
          </w:p>
        </w:tc>
      </w:tr>
      <w:tr>
        <w:trPr>
          <w:trHeight w:val="264" w:hRule="exact"/>
        </w:trPr>
        <w:tc>
          <w:tcPr>
            <w:tcW w:w="5920" w:type="dxa"/>
          </w:tcPr>
          <w:p>
            <w:pPr>
              <w:pStyle w:val="TableParagraph"/>
              <w:spacing w:before="18"/>
              <w:ind w:left="61"/>
              <w:jc w:val="left"/>
              <w:rPr>
                <w:sz w:val="18"/>
              </w:rPr>
            </w:pPr>
            <w:r>
              <w:rPr>
                <w:sz w:val="18"/>
              </w:rPr>
              <w:t>Minor equipment</w:t>
            </w:r>
          </w:p>
        </w:tc>
        <w:tc>
          <w:tcPr>
            <w:tcW w:w="1435" w:type="dxa"/>
          </w:tcPr>
          <w:p>
            <w:pPr/>
          </w:p>
        </w:tc>
        <w:tc>
          <w:tcPr>
            <w:tcW w:w="1402" w:type="dxa"/>
          </w:tcPr>
          <w:p>
            <w:pPr>
              <w:pStyle w:val="TableParagraph"/>
              <w:spacing w:before="20"/>
              <w:ind w:right="132"/>
              <w:rPr>
                <w:b/>
                <w:sz w:val="18"/>
              </w:rPr>
            </w:pPr>
            <w:r>
              <w:rPr>
                <w:b/>
                <w:w w:val="95"/>
                <w:sz w:val="18"/>
              </w:rPr>
              <w:t>(98,906)</w:t>
            </w:r>
          </w:p>
        </w:tc>
        <w:tc>
          <w:tcPr>
            <w:tcW w:w="1190" w:type="dxa"/>
          </w:tcPr>
          <w:p>
            <w:pPr>
              <w:pStyle w:val="TableParagraph"/>
              <w:spacing w:before="20"/>
              <w:ind w:right="26"/>
              <w:rPr>
                <w:sz w:val="18"/>
              </w:rPr>
            </w:pPr>
            <w:r>
              <w:rPr>
                <w:w w:val="95"/>
                <w:sz w:val="18"/>
              </w:rPr>
              <w:t>(263,105)</w:t>
            </w:r>
          </w:p>
        </w:tc>
      </w:tr>
      <w:tr>
        <w:trPr>
          <w:trHeight w:val="264" w:hRule="exact"/>
        </w:trPr>
        <w:tc>
          <w:tcPr>
            <w:tcW w:w="5920" w:type="dxa"/>
          </w:tcPr>
          <w:p>
            <w:pPr>
              <w:pStyle w:val="TableParagraph"/>
              <w:spacing w:before="18"/>
              <w:ind w:left="61"/>
              <w:jc w:val="left"/>
              <w:rPr>
                <w:sz w:val="18"/>
              </w:rPr>
            </w:pPr>
            <w:r>
              <w:rPr>
                <w:sz w:val="18"/>
              </w:rPr>
              <w:t>Other expenses</w:t>
            </w:r>
          </w:p>
        </w:tc>
        <w:tc>
          <w:tcPr>
            <w:tcW w:w="1435" w:type="dxa"/>
          </w:tcPr>
          <w:p>
            <w:pPr>
              <w:pStyle w:val="TableParagraph"/>
              <w:spacing w:before="20"/>
              <w:ind w:left="853"/>
              <w:jc w:val="center"/>
              <w:rPr>
                <w:sz w:val="18"/>
              </w:rPr>
            </w:pPr>
            <w:r>
              <w:rPr>
                <w:w w:val="99"/>
                <w:sz w:val="18"/>
              </w:rPr>
              <w:t>5</w:t>
            </w:r>
          </w:p>
        </w:tc>
        <w:tc>
          <w:tcPr>
            <w:tcW w:w="1402" w:type="dxa"/>
          </w:tcPr>
          <w:p>
            <w:pPr>
              <w:pStyle w:val="TableParagraph"/>
              <w:spacing w:before="20"/>
              <w:ind w:right="132"/>
              <w:rPr>
                <w:b/>
                <w:sz w:val="18"/>
              </w:rPr>
            </w:pPr>
            <w:r>
              <w:rPr>
                <w:b/>
                <w:w w:val="95"/>
                <w:sz w:val="18"/>
              </w:rPr>
              <w:t>(2,046,091)</w:t>
            </w:r>
          </w:p>
        </w:tc>
        <w:tc>
          <w:tcPr>
            <w:tcW w:w="1190" w:type="dxa"/>
          </w:tcPr>
          <w:p>
            <w:pPr>
              <w:pStyle w:val="TableParagraph"/>
              <w:spacing w:before="20"/>
              <w:ind w:right="26"/>
              <w:rPr>
                <w:sz w:val="18"/>
              </w:rPr>
            </w:pPr>
            <w:r>
              <w:rPr>
                <w:w w:val="95"/>
                <w:sz w:val="18"/>
              </w:rPr>
              <w:t>(2,620,495)</w:t>
            </w:r>
          </w:p>
        </w:tc>
      </w:tr>
      <w:tr>
        <w:trPr>
          <w:trHeight w:val="262" w:hRule="exact"/>
        </w:trPr>
        <w:tc>
          <w:tcPr>
            <w:tcW w:w="5920" w:type="dxa"/>
          </w:tcPr>
          <w:p>
            <w:pPr>
              <w:pStyle w:val="TableParagraph"/>
              <w:spacing w:before="18"/>
              <w:ind w:left="61"/>
              <w:jc w:val="left"/>
              <w:rPr>
                <w:sz w:val="18"/>
              </w:rPr>
            </w:pPr>
            <w:r>
              <w:rPr>
                <w:sz w:val="18"/>
              </w:rPr>
              <w:t>Finance costs</w:t>
            </w:r>
          </w:p>
        </w:tc>
        <w:tc>
          <w:tcPr>
            <w:tcW w:w="1435" w:type="dxa"/>
          </w:tcPr>
          <w:p>
            <w:pPr/>
          </w:p>
        </w:tc>
        <w:tc>
          <w:tcPr>
            <w:tcW w:w="1402" w:type="dxa"/>
            <w:tcBorders>
              <w:bottom w:val="single" w:sz="1" w:space="0" w:color="000000"/>
            </w:tcBorders>
          </w:tcPr>
          <w:p>
            <w:pPr>
              <w:pStyle w:val="TableParagraph"/>
              <w:spacing w:before="20"/>
              <w:ind w:right="132"/>
              <w:rPr>
                <w:b/>
                <w:sz w:val="18"/>
              </w:rPr>
            </w:pPr>
            <w:r>
              <w:rPr>
                <w:b/>
                <w:w w:val="95"/>
                <w:sz w:val="18"/>
              </w:rPr>
              <w:t>(199,317)</w:t>
            </w:r>
          </w:p>
        </w:tc>
        <w:tc>
          <w:tcPr>
            <w:tcW w:w="1190" w:type="dxa"/>
            <w:tcBorders>
              <w:bottom w:val="single" w:sz="1" w:space="0" w:color="000000"/>
            </w:tcBorders>
          </w:tcPr>
          <w:p>
            <w:pPr>
              <w:pStyle w:val="TableParagraph"/>
              <w:spacing w:before="20"/>
              <w:ind w:right="26"/>
              <w:rPr>
                <w:sz w:val="18"/>
              </w:rPr>
            </w:pPr>
            <w:r>
              <w:rPr>
                <w:w w:val="95"/>
                <w:sz w:val="18"/>
              </w:rPr>
              <w:t>(125,903)</w:t>
            </w:r>
          </w:p>
        </w:tc>
      </w:tr>
      <w:tr>
        <w:trPr>
          <w:trHeight w:val="338" w:hRule="exact"/>
        </w:trPr>
        <w:tc>
          <w:tcPr>
            <w:tcW w:w="5920" w:type="dxa"/>
          </w:tcPr>
          <w:p>
            <w:pPr>
              <w:pStyle w:val="TableParagraph"/>
              <w:spacing w:before="125"/>
              <w:ind w:left="61"/>
              <w:jc w:val="left"/>
              <w:rPr>
                <w:b/>
                <w:sz w:val="18"/>
              </w:rPr>
            </w:pPr>
            <w:r>
              <w:rPr>
                <w:b/>
                <w:sz w:val="18"/>
              </w:rPr>
              <w:t>Total expenses</w:t>
            </w:r>
          </w:p>
        </w:tc>
        <w:tc>
          <w:tcPr>
            <w:tcW w:w="1435" w:type="dxa"/>
          </w:tcPr>
          <w:p>
            <w:pPr/>
          </w:p>
        </w:tc>
        <w:tc>
          <w:tcPr>
            <w:tcW w:w="1402" w:type="dxa"/>
            <w:tcBorders>
              <w:top w:val="single" w:sz="1" w:space="0" w:color="000000"/>
              <w:bottom w:val="single" w:sz="1" w:space="0" w:color="000000"/>
            </w:tcBorders>
          </w:tcPr>
          <w:p>
            <w:pPr>
              <w:pStyle w:val="TableParagraph"/>
              <w:spacing w:before="124"/>
              <w:ind w:right="132"/>
              <w:rPr>
                <w:b/>
                <w:sz w:val="18"/>
              </w:rPr>
            </w:pPr>
            <w:r>
              <w:rPr>
                <w:b/>
                <w:w w:val="95"/>
                <w:sz w:val="18"/>
              </w:rPr>
              <w:t>(22,979,514)</w:t>
            </w:r>
          </w:p>
        </w:tc>
        <w:tc>
          <w:tcPr>
            <w:tcW w:w="1190" w:type="dxa"/>
            <w:tcBorders>
              <w:top w:val="single" w:sz="1" w:space="0" w:color="000000"/>
              <w:bottom w:val="single" w:sz="1" w:space="0" w:color="000000"/>
            </w:tcBorders>
          </w:tcPr>
          <w:p>
            <w:pPr>
              <w:pStyle w:val="TableParagraph"/>
              <w:spacing w:before="124"/>
              <w:ind w:right="26"/>
              <w:rPr>
                <w:sz w:val="18"/>
              </w:rPr>
            </w:pPr>
            <w:r>
              <w:rPr>
                <w:w w:val="95"/>
                <w:sz w:val="18"/>
              </w:rPr>
              <w:t>(24,445,200)</w:t>
            </w:r>
          </w:p>
        </w:tc>
      </w:tr>
      <w:tr>
        <w:trPr>
          <w:trHeight w:val="338" w:hRule="exact"/>
        </w:trPr>
        <w:tc>
          <w:tcPr>
            <w:tcW w:w="5920" w:type="dxa"/>
          </w:tcPr>
          <w:p>
            <w:pPr>
              <w:pStyle w:val="TableParagraph"/>
              <w:spacing w:before="125"/>
              <w:ind w:left="61"/>
              <w:jc w:val="left"/>
              <w:rPr>
                <w:b/>
                <w:sz w:val="18"/>
              </w:rPr>
            </w:pPr>
            <w:r>
              <w:rPr>
                <w:b/>
                <w:sz w:val="18"/>
              </w:rPr>
              <w:t>Deficit for the year</w:t>
            </w:r>
          </w:p>
        </w:tc>
        <w:tc>
          <w:tcPr>
            <w:tcW w:w="1435" w:type="dxa"/>
          </w:tcPr>
          <w:p>
            <w:pPr/>
          </w:p>
        </w:tc>
        <w:tc>
          <w:tcPr>
            <w:tcW w:w="1402" w:type="dxa"/>
            <w:tcBorders>
              <w:top w:val="single" w:sz="1" w:space="0" w:color="000000"/>
              <w:bottom w:val="single" w:sz="1" w:space="0" w:color="000000"/>
            </w:tcBorders>
          </w:tcPr>
          <w:p>
            <w:pPr>
              <w:pStyle w:val="TableParagraph"/>
              <w:spacing w:before="124"/>
              <w:ind w:right="132"/>
              <w:rPr>
                <w:b/>
                <w:sz w:val="18"/>
              </w:rPr>
            </w:pPr>
            <w:r>
              <w:rPr>
                <w:b/>
                <w:w w:val="95"/>
                <w:sz w:val="18"/>
              </w:rPr>
              <w:t>(1,554,492)</w:t>
            </w:r>
          </w:p>
        </w:tc>
        <w:tc>
          <w:tcPr>
            <w:tcW w:w="1190" w:type="dxa"/>
            <w:tcBorders>
              <w:top w:val="single" w:sz="1" w:space="0" w:color="000000"/>
              <w:bottom w:val="single" w:sz="1" w:space="0" w:color="000000"/>
            </w:tcBorders>
          </w:tcPr>
          <w:p>
            <w:pPr>
              <w:pStyle w:val="TableParagraph"/>
              <w:spacing w:before="124"/>
              <w:ind w:right="26"/>
              <w:rPr>
                <w:sz w:val="18"/>
              </w:rPr>
            </w:pPr>
            <w:r>
              <w:rPr>
                <w:w w:val="95"/>
                <w:sz w:val="18"/>
              </w:rPr>
              <w:t>(1,919,693)</w:t>
            </w:r>
          </w:p>
        </w:tc>
      </w:tr>
      <w:tr>
        <w:trPr>
          <w:trHeight w:val="283" w:hRule="exact"/>
        </w:trPr>
        <w:tc>
          <w:tcPr>
            <w:tcW w:w="5920" w:type="dxa"/>
          </w:tcPr>
          <w:p>
            <w:pPr>
              <w:pStyle w:val="TableParagraph"/>
              <w:spacing w:before="38"/>
              <w:ind w:left="61"/>
              <w:jc w:val="left"/>
              <w:rPr>
                <w:sz w:val="18"/>
              </w:rPr>
            </w:pPr>
            <w:r>
              <w:rPr>
                <w:sz w:val="18"/>
              </w:rPr>
              <w:t>Other comprehensive income for the year</w:t>
            </w:r>
          </w:p>
        </w:tc>
        <w:tc>
          <w:tcPr>
            <w:tcW w:w="1435" w:type="dxa"/>
          </w:tcPr>
          <w:p>
            <w:pPr/>
          </w:p>
        </w:tc>
        <w:tc>
          <w:tcPr>
            <w:tcW w:w="1402" w:type="dxa"/>
            <w:tcBorders>
              <w:top w:val="single" w:sz="1" w:space="0" w:color="000000"/>
              <w:bottom w:val="single" w:sz="1" w:space="0" w:color="000000"/>
            </w:tcBorders>
          </w:tcPr>
          <w:p>
            <w:pPr>
              <w:pStyle w:val="TableParagraph"/>
              <w:spacing w:before="40"/>
              <w:ind w:right="334"/>
              <w:rPr>
                <w:b/>
                <w:sz w:val="18"/>
              </w:rPr>
            </w:pPr>
            <w:r>
              <w:rPr>
                <w:b/>
                <w:w w:val="99"/>
                <w:sz w:val="18"/>
              </w:rPr>
              <w:t>-</w:t>
            </w:r>
          </w:p>
        </w:tc>
        <w:tc>
          <w:tcPr>
            <w:tcW w:w="1190" w:type="dxa"/>
            <w:tcBorders>
              <w:top w:val="single" w:sz="1" w:space="0" w:color="000000"/>
              <w:bottom w:val="single" w:sz="1" w:space="0" w:color="000000"/>
            </w:tcBorders>
          </w:tcPr>
          <w:p>
            <w:pPr>
              <w:pStyle w:val="TableParagraph"/>
              <w:spacing w:before="40"/>
              <w:ind w:right="228"/>
              <w:rPr>
                <w:sz w:val="18"/>
              </w:rPr>
            </w:pPr>
            <w:r>
              <w:rPr>
                <w:w w:val="99"/>
                <w:sz w:val="18"/>
              </w:rPr>
              <w:t>-</w:t>
            </w:r>
          </w:p>
        </w:tc>
      </w:tr>
      <w:tr>
        <w:trPr>
          <w:trHeight w:val="353" w:hRule="exact"/>
        </w:trPr>
        <w:tc>
          <w:tcPr>
            <w:tcW w:w="5920" w:type="dxa"/>
          </w:tcPr>
          <w:p>
            <w:pPr>
              <w:pStyle w:val="TableParagraph"/>
              <w:spacing w:before="125"/>
              <w:ind w:left="61"/>
              <w:jc w:val="left"/>
              <w:rPr>
                <w:b/>
                <w:sz w:val="18"/>
              </w:rPr>
            </w:pPr>
            <w:r>
              <w:rPr>
                <w:b/>
                <w:sz w:val="18"/>
              </w:rPr>
              <w:t>Total comprehensive income for the year</w:t>
            </w:r>
          </w:p>
        </w:tc>
        <w:tc>
          <w:tcPr>
            <w:tcW w:w="1435" w:type="dxa"/>
          </w:tcPr>
          <w:p>
            <w:pPr/>
          </w:p>
        </w:tc>
        <w:tc>
          <w:tcPr>
            <w:tcW w:w="1402" w:type="dxa"/>
            <w:tcBorders>
              <w:top w:val="single" w:sz="1" w:space="0" w:color="000000"/>
              <w:bottom w:val="single" w:sz="1" w:space="0" w:color="000000"/>
            </w:tcBorders>
          </w:tcPr>
          <w:p>
            <w:pPr>
              <w:pStyle w:val="TableParagraph"/>
              <w:spacing w:before="124"/>
              <w:ind w:right="132"/>
              <w:rPr>
                <w:b/>
                <w:sz w:val="18"/>
              </w:rPr>
            </w:pPr>
            <w:r>
              <w:rPr>
                <w:b/>
                <w:w w:val="95"/>
                <w:sz w:val="18"/>
              </w:rPr>
              <w:t>(1,554,492)</w:t>
            </w:r>
          </w:p>
        </w:tc>
        <w:tc>
          <w:tcPr>
            <w:tcW w:w="1190" w:type="dxa"/>
            <w:tcBorders>
              <w:top w:val="single" w:sz="1" w:space="0" w:color="000000"/>
              <w:bottom w:val="single" w:sz="1" w:space="0" w:color="000000"/>
            </w:tcBorders>
          </w:tcPr>
          <w:p>
            <w:pPr>
              <w:pStyle w:val="TableParagraph"/>
              <w:spacing w:before="124"/>
              <w:ind w:right="26"/>
              <w:rPr>
                <w:sz w:val="18"/>
              </w:rPr>
            </w:pPr>
            <w:r>
              <w:rPr>
                <w:w w:val="95"/>
                <w:sz w:val="18"/>
              </w:rPr>
              <w:t>(1,919,693)</w:t>
            </w:r>
          </w:p>
        </w:tc>
      </w:tr>
      <w:tr>
        <w:trPr>
          <w:trHeight w:val="938" w:hRule="exact"/>
        </w:trPr>
        <w:tc>
          <w:tcPr>
            <w:tcW w:w="5920" w:type="dxa"/>
          </w:tcPr>
          <w:p>
            <w:pPr>
              <w:pStyle w:val="TableParagraph"/>
              <w:jc w:val="left"/>
              <w:rPr>
                <w:sz w:val="18"/>
              </w:rPr>
            </w:pPr>
          </w:p>
          <w:p>
            <w:pPr>
              <w:pStyle w:val="TableParagraph"/>
              <w:spacing w:before="10"/>
              <w:jc w:val="left"/>
              <w:rPr>
                <w:sz w:val="21"/>
              </w:rPr>
            </w:pPr>
          </w:p>
          <w:p>
            <w:pPr>
              <w:pStyle w:val="TableParagraph"/>
              <w:ind w:left="61"/>
              <w:jc w:val="left"/>
              <w:rPr>
                <w:b/>
                <w:sz w:val="18"/>
              </w:rPr>
            </w:pPr>
            <w:r>
              <w:rPr>
                <w:b/>
                <w:sz w:val="18"/>
              </w:rPr>
              <w:t>Comprehensive income for the year attributable to:</w:t>
            </w:r>
          </w:p>
          <w:p>
            <w:pPr>
              <w:pStyle w:val="TableParagraph"/>
              <w:spacing w:before="26"/>
              <w:ind w:left="61"/>
              <w:jc w:val="left"/>
              <w:rPr>
                <w:sz w:val="18"/>
              </w:rPr>
            </w:pPr>
            <w:r>
              <w:rPr>
                <w:sz w:val="18"/>
              </w:rPr>
              <w:t>Non-controlling interests</w:t>
            </w:r>
          </w:p>
        </w:tc>
        <w:tc>
          <w:tcPr>
            <w:tcW w:w="1435" w:type="dxa"/>
          </w:tcPr>
          <w:p>
            <w:pPr/>
          </w:p>
        </w:tc>
        <w:tc>
          <w:tcPr>
            <w:tcW w:w="1402" w:type="dxa"/>
            <w:tcBorders>
              <w:top w:val="single" w:sz="1" w:space="0" w:color="000000"/>
            </w:tcBorders>
          </w:tcPr>
          <w:p>
            <w:pPr>
              <w:pStyle w:val="TableParagraph"/>
              <w:jc w:val="left"/>
              <w:rPr>
                <w:sz w:val="18"/>
              </w:rPr>
            </w:pPr>
          </w:p>
          <w:p>
            <w:pPr>
              <w:pStyle w:val="TableParagraph"/>
              <w:jc w:val="left"/>
              <w:rPr>
                <w:sz w:val="18"/>
              </w:rPr>
            </w:pPr>
          </w:p>
          <w:p>
            <w:pPr>
              <w:pStyle w:val="TableParagraph"/>
              <w:spacing w:before="2"/>
              <w:jc w:val="left"/>
              <w:rPr>
                <w:sz w:val="24"/>
              </w:rPr>
            </w:pPr>
          </w:p>
          <w:p>
            <w:pPr>
              <w:pStyle w:val="TableParagraph"/>
              <w:spacing w:before="1"/>
              <w:ind w:right="334"/>
              <w:rPr>
                <w:b/>
                <w:sz w:val="18"/>
              </w:rPr>
            </w:pPr>
            <w:r>
              <w:rPr>
                <w:b/>
                <w:w w:val="99"/>
                <w:sz w:val="18"/>
              </w:rPr>
              <w:t>-</w:t>
            </w:r>
          </w:p>
        </w:tc>
        <w:tc>
          <w:tcPr>
            <w:tcW w:w="1190" w:type="dxa"/>
            <w:tcBorders>
              <w:top w:val="single" w:sz="1" w:space="0" w:color="000000"/>
            </w:tcBorders>
          </w:tcPr>
          <w:p>
            <w:pPr>
              <w:pStyle w:val="TableParagraph"/>
              <w:jc w:val="left"/>
              <w:rPr>
                <w:sz w:val="18"/>
              </w:rPr>
            </w:pPr>
          </w:p>
          <w:p>
            <w:pPr>
              <w:pStyle w:val="TableParagraph"/>
              <w:jc w:val="left"/>
              <w:rPr>
                <w:sz w:val="18"/>
              </w:rPr>
            </w:pPr>
          </w:p>
          <w:p>
            <w:pPr>
              <w:pStyle w:val="TableParagraph"/>
              <w:spacing w:before="2"/>
              <w:jc w:val="left"/>
              <w:rPr>
                <w:sz w:val="24"/>
              </w:rPr>
            </w:pPr>
          </w:p>
          <w:p>
            <w:pPr>
              <w:pStyle w:val="TableParagraph"/>
              <w:spacing w:before="1"/>
              <w:ind w:right="228"/>
              <w:rPr>
                <w:sz w:val="18"/>
              </w:rPr>
            </w:pPr>
            <w:r>
              <w:rPr>
                <w:w w:val="99"/>
                <w:sz w:val="18"/>
              </w:rPr>
              <w:t>-</w:t>
            </w:r>
          </w:p>
        </w:tc>
      </w:tr>
      <w:tr>
        <w:trPr>
          <w:trHeight w:val="262" w:hRule="exact"/>
        </w:trPr>
        <w:tc>
          <w:tcPr>
            <w:tcW w:w="5920" w:type="dxa"/>
          </w:tcPr>
          <w:p>
            <w:pPr>
              <w:pStyle w:val="TableParagraph"/>
              <w:spacing w:before="18"/>
              <w:ind w:left="61"/>
              <w:jc w:val="left"/>
              <w:rPr>
                <w:sz w:val="18"/>
              </w:rPr>
            </w:pPr>
            <w:r>
              <w:rPr>
                <w:sz w:val="18"/>
              </w:rPr>
              <w:t>Parent</w:t>
            </w:r>
          </w:p>
        </w:tc>
        <w:tc>
          <w:tcPr>
            <w:tcW w:w="1435" w:type="dxa"/>
          </w:tcPr>
          <w:p>
            <w:pPr/>
          </w:p>
        </w:tc>
        <w:tc>
          <w:tcPr>
            <w:tcW w:w="1402" w:type="dxa"/>
            <w:tcBorders>
              <w:bottom w:val="single" w:sz="1" w:space="0" w:color="000000"/>
            </w:tcBorders>
          </w:tcPr>
          <w:p>
            <w:pPr>
              <w:pStyle w:val="TableParagraph"/>
              <w:spacing w:before="20"/>
              <w:ind w:right="132"/>
              <w:rPr>
                <w:b/>
                <w:sz w:val="18"/>
              </w:rPr>
            </w:pPr>
            <w:r>
              <w:rPr>
                <w:b/>
                <w:w w:val="95"/>
                <w:sz w:val="18"/>
              </w:rPr>
              <w:t>(1,554,492)</w:t>
            </w:r>
          </w:p>
        </w:tc>
        <w:tc>
          <w:tcPr>
            <w:tcW w:w="1190" w:type="dxa"/>
            <w:tcBorders>
              <w:bottom w:val="single" w:sz="1" w:space="0" w:color="000000"/>
            </w:tcBorders>
          </w:tcPr>
          <w:p>
            <w:pPr>
              <w:pStyle w:val="TableParagraph"/>
              <w:spacing w:before="20"/>
              <w:ind w:right="26"/>
              <w:rPr>
                <w:sz w:val="18"/>
              </w:rPr>
            </w:pPr>
            <w:r>
              <w:rPr>
                <w:w w:val="95"/>
                <w:sz w:val="18"/>
              </w:rPr>
              <w:t>(1,919,693)</w:t>
            </w:r>
          </w:p>
        </w:tc>
      </w:tr>
      <w:tr>
        <w:trPr>
          <w:trHeight w:val="353" w:hRule="exact"/>
        </w:trPr>
        <w:tc>
          <w:tcPr>
            <w:tcW w:w="5920" w:type="dxa"/>
          </w:tcPr>
          <w:p>
            <w:pPr>
              <w:pStyle w:val="TableParagraph"/>
              <w:spacing w:before="125"/>
              <w:ind w:left="61"/>
              <w:jc w:val="left"/>
              <w:rPr>
                <w:b/>
                <w:sz w:val="18"/>
              </w:rPr>
            </w:pPr>
            <w:r>
              <w:rPr>
                <w:b/>
                <w:sz w:val="18"/>
              </w:rPr>
              <w:t>Total comprehensive income for the year</w:t>
            </w:r>
          </w:p>
        </w:tc>
        <w:tc>
          <w:tcPr>
            <w:tcW w:w="1435" w:type="dxa"/>
          </w:tcPr>
          <w:p>
            <w:pPr/>
          </w:p>
        </w:tc>
        <w:tc>
          <w:tcPr>
            <w:tcW w:w="1402" w:type="dxa"/>
            <w:tcBorders>
              <w:top w:val="single" w:sz="1" w:space="0" w:color="000000"/>
              <w:bottom w:val="single" w:sz="1" w:space="0" w:color="000000"/>
            </w:tcBorders>
          </w:tcPr>
          <w:p>
            <w:pPr>
              <w:pStyle w:val="TableParagraph"/>
              <w:spacing w:before="124"/>
              <w:ind w:right="132"/>
              <w:rPr>
                <w:b/>
                <w:sz w:val="18"/>
              </w:rPr>
            </w:pPr>
            <w:r>
              <w:rPr>
                <w:b/>
                <w:w w:val="95"/>
                <w:sz w:val="18"/>
              </w:rPr>
              <w:t>(1,554,492)</w:t>
            </w:r>
          </w:p>
        </w:tc>
        <w:tc>
          <w:tcPr>
            <w:tcW w:w="1190" w:type="dxa"/>
            <w:tcBorders>
              <w:top w:val="single" w:sz="1" w:space="0" w:color="000000"/>
              <w:bottom w:val="single" w:sz="1" w:space="0" w:color="000000"/>
            </w:tcBorders>
          </w:tcPr>
          <w:p>
            <w:pPr>
              <w:pStyle w:val="TableParagraph"/>
              <w:spacing w:before="124"/>
              <w:ind w:right="26"/>
              <w:rPr>
                <w:sz w:val="18"/>
              </w:rPr>
            </w:pPr>
            <w:r>
              <w:rPr>
                <w:w w:val="95"/>
                <w:sz w:val="18"/>
              </w:rPr>
              <w:t>(1,919,693)</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7"/>
        </w:rPr>
      </w:pPr>
    </w:p>
    <w:p>
      <w:pPr>
        <w:pStyle w:val="BodyText"/>
        <w:spacing w:before="77"/>
        <w:ind w:left="3787"/>
      </w:pPr>
      <w:r>
        <w:rPr/>
        <w:t>The accompanying notes form part of these financial statements.</w:t>
      </w:r>
    </w:p>
    <w:p>
      <w:pPr>
        <w:spacing w:after="0"/>
        <w:sectPr>
          <w:headerReference w:type="default" r:id="rId93"/>
          <w:pgSz w:w="12750" w:h="17680"/>
          <w:pgMar w:header="0" w:footer="867" w:top="1880" w:bottom="1080" w:left="0" w:right="0"/>
        </w:sectPr>
      </w:pPr>
    </w:p>
    <w:p>
      <w:pPr>
        <w:pStyle w:val="BodyText"/>
        <w:spacing w:before="1"/>
        <w:rPr>
          <w:sz w:val="24"/>
        </w:rPr>
      </w:pPr>
      <w:r>
        <w:rPr/>
        <w:drawing>
          <wp:anchor distT="0" distB="0" distL="0" distR="0" allowOverlap="1" layoutInCell="1" locked="0" behindDoc="0" simplePos="0" relativeHeight="10096">
            <wp:simplePos x="0" y="0"/>
            <wp:positionH relativeFrom="page">
              <wp:posOffset>-1587</wp:posOffset>
            </wp:positionH>
            <wp:positionV relativeFrom="page">
              <wp:posOffset>5534342</wp:posOffset>
            </wp:positionV>
            <wp:extent cx="135159" cy="154019"/>
            <wp:effectExtent l="0" t="0" r="0" b="0"/>
            <wp:wrapNone/>
            <wp:docPr id="667" name="image13.png" descr=""/>
            <wp:cNvGraphicFramePr>
              <a:graphicFrameLocks noChangeAspect="1"/>
            </wp:cNvGraphicFramePr>
            <a:graphic>
              <a:graphicData uri="http://schemas.openxmlformats.org/drawingml/2006/picture">
                <pic:pic>
                  <pic:nvPicPr>
                    <pic:cNvPr id="668" name="image13.png"/>
                    <pic:cNvPicPr/>
                  </pic:nvPicPr>
                  <pic:blipFill>
                    <a:blip r:embed="rId18" cstate="print"/>
                    <a:stretch>
                      <a:fillRect/>
                    </a:stretch>
                  </pic:blipFill>
                  <pic:spPr>
                    <a:xfrm>
                      <a:off x="0" y="0"/>
                      <a:ext cx="135159" cy="154019"/>
                    </a:xfrm>
                    <a:prstGeom prst="rect">
                      <a:avLst/>
                    </a:prstGeom>
                  </pic:spPr>
                </pic:pic>
              </a:graphicData>
            </a:graphic>
          </wp:anchor>
        </w:drawing>
      </w:r>
      <w:r>
        <w:rPr/>
        <w:drawing>
          <wp:anchor distT="0" distB="0" distL="0" distR="0" allowOverlap="1" layoutInCell="1" locked="0" behindDoc="0" simplePos="0" relativeHeight="10120">
            <wp:simplePos x="0" y="0"/>
            <wp:positionH relativeFrom="page">
              <wp:posOffset>7958429</wp:posOffset>
            </wp:positionH>
            <wp:positionV relativeFrom="page">
              <wp:posOffset>5534342</wp:posOffset>
            </wp:positionV>
            <wp:extent cx="135953" cy="155575"/>
            <wp:effectExtent l="0" t="0" r="0" b="0"/>
            <wp:wrapNone/>
            <wp:docPr id="669" name="image15.png" descr=""/>
            <wp:cNvGraphicFramePr>
              <a:graphicFrameLocks noChangeAspect="1"/>
            </wp:cNvGraphicFramePr>
            <a:graphic>
              <a:graphicData uri="http://schemas.openxmlformats.org/drawingml/2006/picture">
                <pic:pic>
                  <pic:nvPicPr>
                    <pic:cNvPr id="670" name="image15.png"/>
                    <pic:cNvPicPr/>
                  </pic:nvPicPr>
                  <pic:blipFill>
                    <a:blip r:embed="rId20" cstate="print"/>
                    <a:stretch>
                      <a:fillRect/>
                    </a:stretch>
                  </pic:blipFill>
                  <pic:spPr>
                    <a:xfrm>
                      <a:off x="0" y="0"/>
                      <a:ext cx="135953" cy="155575"/>
                    </a:xfrm>
                    <a:prstGeom prst="rect">
                      <a:avLst/>
                    </a:prstGeom>
                  </pic:spPr>
                </pic:pic>
              </a:graphicData>
            </a:graphic>
          </wp:anchor>
        </w:drawing>
      </w:r>
    </w:p>
    <w:tbl>
      <w:tblPr>
        <w:tblW w:w="0" w:type="auto"/>
        <w:jc w:val="left"/>
        <w:tblInd w:w="139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880"/>
        <w:gridCol w:w="475"/>
        <w:gridCol w:w="1452"/>
        <w:gridCol w:w="1140"/>
      </w:tblGrid>
      <w:tr>
        <w:trPr>
          <w:trHeight w:val="909" w:hRule="exact"/>
        </w:trPr>
        <w:tc>
          <w:tcPr>
            <w:tcW w:w="6880" w:type="dxa"/>
          </w:tcPr>
          <w:p>
            <w:pPr>
              <w:pStyle w:val="TableParagraph"/>
              <w:spacing w:before="65"/>
              <w:ind w:left="35"/>
              <w:jc w:val="left"/>
              <w:rPr>
                <w:b/>
                <w:sz w:val="28"/>
              </w:rPr>
            </w:pPr>
            <w:r>
              <w:rPr>
                <w:b/>
                <w:sz w:val="28"/>
              </w:rPr>
              <w:t>Statement of Financial Position</w:t>
            </w:r>
          </w:p>
          <w:p>
            <w:pPr>
              <w:pStyle w:val="TableParagraph"/>
              <w:spacing w:before="53"/>
              <w:ind w:left="35"/>
              <w:jc w:val="left"/>
              <w:rPr>
                <w:b/>
                <w:sz w:val="22"/>
              </w:rPr>
            </w:pPr>
            <w:bookmarkStart w:name="Statement of Financial Position" w:id="259"/>
            <w:bookmarkEnd w:id="259"/>
            <w:r>
              <w:rPr/>
            </w:r>
            <w:r>
              <w:rPr>
                <w:b/>
                <w:sz w:val="22"/>
              </w:rPr>
              <w:t>As at 31 December 2016</w:t>
            </w:r>
          </w:p>
        </w:tc>
        <w:tc>
          <w:tcPr>
            <w:tcW w:w="3067" w:type="dxa"/>
            <w:gridSpan w:val="3"/>
          </w:tcPr>
          <w:p>
            <w:pPr/>
          </w:p>
        </w:tc>
      </w:tr>
      <w:tr>
        <w:trPr>
          <w:trHeight w:val="447" w:hRule="exact"/>
        </w:trPr>
        <w:tc>
          <w:tcPr>
            <w:tcW w:w="6880" w:type="dxa"/>
          </w:tcPr>
          <w:p>
            <w:pPr/>
          </w:p>
        </w:tc>
        <w:tc>
          <w:tcPr>
            <w:tcW w:w="475" w:type="dxa"/>
          </w:tcPr>
          <w:p>
            <w:pPr/>
          </w:p>
        </w:tc>
        <w:tc>
          <w:tcPr>
            <w:tcW w:w="1452" w:type="dxa"/>
          </w:tcPr>
          <w:p>
            <w:pPr>
              <w:pStyle w:val="TableParagraph"/>
              <w:spacing w:before="2"/>
              <w:jc w:val="left"/>
              <w:rPr>
                <w:sz w:val="17"/>
              </w:rPr>
            </w:pPr>
          </w:p>
          <w:p>
            <w:pPr>
              <w:pStyle w:val="TableParagraph"/>
              <w:ind w:left="444"/>
              <w:jc w:val="left"/>
              <w:rPr>
                <w:b/>
                <w:sz w:val="18"/>
              </w:rPr>
            </w:pPr>
            <w:r>
              <w:rPr>
                <w:b/>
                <w:sz w:val="18"/>
              </w:rPr>
              <w:t>2016</w:t>
            </w:r>
          </w:p>
        </w:tc>
        <w:tc>
          <w:tcPr>
            <w:tcW w:w="1140" w:type="dxa"/>
          </w:tcPr>
          <w:p>
            <w:pPr>
              <w:pStyle w:val="TableParagraph"/>
              <w:spacing w:before="2"/>
              <w:jc w:val="left"/>
              <w:rPr>
                <w:sz w:val="17"/>
              </w:rPr>
            </w:pPr>
          </w:p>
          <w:p>
            <w:pPr>
              <w:pStyle w:val="TableParagraph"/>
              <w:ind w:left="287"/>
              <w:jc w:val="left"/>
              <w:rPr>
                <w:b/>
                <w:sz w:val="18"/>
              </w:rPr>
            </w:pPr>
            <w:r>
              <w:rPr>
                <w:b/>
                <w:sz w:val="18"/>
              </w:rPr>
              <w:t>2015</w:t>
            </w:r>
          </w:p>
        </w:tc>
      </w:tr>
      <w:tr>
        <w:trPr>
          <w:trHeight w:val="313" w:hRule="exact"/>
        </w:trPr>
        <w:tc>
          <w:tcPr>
            <w:tcW w:w="6880" w:type="dxa"/>
          </w:tcPr>
          <w:p>
            <w:pPr/>
          </w:p>
        </w:tc>
        <w:tc>
          <w:tcPr>
            <w:tcW w:w="475" w:type="dxa"/>
          </w:tcPr>
          <w:p>
            <w:pPr>
              <w:pStyle w:val="TableParagraph"/>
              <w:spacing w:before="24"/>
              <w:ind w:left="-15" w:right="87"/>
              <w:jc w:val="center"/>
              <w:rPr>
                <w:b/>
                <w:sz w:val="18"/>
              </w:rPr>
            </w:pPr>
            <w:r>
              <w:rPr>
                <w:b/>
                <w:sz w:val="18"/>
              </w:rPr>
              <w:t>Note</w:t>
            </w:r>
          </w:p>
        </w:tc>
        <w:tc>
          <w:tcPr>
            <w:tcW w:w="1452" w:type="dxa"/>
          </w:tcPr>
          <w:p>
            <w:pPr>
              <w:pStyle w:val="TableParagraph"/>
              <w:spacing w:before="24"/>
              <w:ind w:right="159"/>
              <w:jc w:val="center"/>
              <w:rPr>
                <w:b/>
                <w:sz w:val="18"/>
              </w:rPr>
            </w:pPr>
            <w:r>
              <w:rPr>
                <w:b/>
                <w:w w:val="99"/>
                <w:sz w:val="18"/>
              </w:rPr>
              <w:t>$</w:t>
            </w:r>
          </w:p>
        </w:tc>
        <w:tc>
          <w:tcPr>
            <w:tcW w:w="1140" w:type="dxa"/>
          </w:tcPr>
          <w:p>
            <w:pPr>
              <w:pStyle w:val="TableParagraph"/>
              <w:spacing w:before="24"/>
              <w:ind w:right="159"/>
              <w:jc w:val="center"/>
              <w:rPr>
                <w:b/>
                <w:sz w:val="18"/>
              </w:rPr>
            </w:pPr>
            <w:r>
              <w:rPr>
                <w:b/>
                <w:w w:val="99"/>
                <w:sz w:val="18"/>
              </w:rPr>
              <w:t>$</w:t>
            </w:r>
          </w:p>
        </w:tc>
      </w:tr>
      <w:tr>
        <w:trPr>
          <w:trHeight w:val="541" w:hRule="exact"/>
        </w:trPr>
        <w:tc>
          <w:tcPr>
            <w:tcW w:w="6880" w:type="dxa"/>
          </w:tcPr>
          <w:p>
            <w:pPr>
              <w:pStyle w:val="TableParagraph"/>
              <w:spacing w:before="63"/>
              <w:ind w:left="61"/>
              <w:jc w:val="left"/>
              <w:rPr>
                <w:b/>
                <w:sz w:val="18"/>
              </w:rPr>
            </w:pPr>
            <w:r>
              <w:rPr>
                <w:b/>
                <w:sz w:val="18"/>
              </w:rPr>
              <w:t>ASSETS</w:t>
            </w:r>
          </w:p>
          <w:p>
            <w:pPr>
              <w:pStyle w:val="TableParagraph"/>
              <w:spacing w:before="26"/>
              <w:ind w:left="61"/>
              <w:jc w:val="left"/>
              <w:rPr>
                <w:b/>
                <w:sz w:val="18"/>
              </w:rPr>
            </w:pPr>
            <w:r>
              <w:rPr>
                <w:b/>
                <w:sz w:val="18"/>
              </w:rPr>
              <w:t>Current assets</w:t>
            </w:r>
          </w:p>
        </w:tc>
        <w:tc>
          <w:tcPr>
            <w:tcW w:w="475" w:type="dxa"/>
          </w:tcPr>
          <w:p>
            <w:pPr/>
          </w:p>
        </w:tc>
        <w:tc>
          <w:tcPr>
            <w:tcW w:w="1452" w:type="dxa"/>
          </w:tcPr>
          <w:p>
            <w:pPr/>
          </w:p>
        </w:tc>
        <w:tc>
          <w:tcPr>
            <w:tcW w:w="1140" w:type="dxa"/>
          </w:tcPr>
          <w:p>
            <w:pPr/>
          </w:p>
        </w:tc>
      </w:tr>
      <w:tr>
        <w:trPr>
          <w:trHeight w:val="265" w:hRule="exact"/>
        </w:trPr>
        <w:tc>
          <w:tcPr>
            <w:tcW w:w="6880" w:type="dxa"/>
          </w:tcPr>
          <w:p>
            <w:pPr>
              <w:pStyle w:val="TableParagraph"/>
              <w:spacing w:before="19"/>
              <w:ind w:left="61"/>
              <w:jc w:val="left"/>
              <w:rPr>
                <w:sz w:val="18"/>
              </w:rPr>
            </w:pPr>
            <w:r>
              <w:rPr>
                <w:sz w:val="18"/>
              </w:rPr>
              <w:t>Cash and cash equivalents</w:t>
            </w:r>
          </w:p>
        </w:tc>
        <w:tc>
          <w:tcPr>
            <w:tcW w:w="475" w:type="dxa"/>
          </w:tcPr>
          <w:p>
            <w:pPr>
              <w:pStyle w:val="TableParagraph"/>
              <w:spacing w:before="21"/>
              <w:ind w:right="104"/>
              <w:jc w:val="center"/>
              <w:rPr>
                <w:sz w:val="18"/>
              </w:rPr>
            </w:pPr>
            <w:r>
              <w:rPr>
                <w:w w:val="99"/>
                <w:sz w:val="18"/>
              </w:rPr>
              <w:t>7</w:t>
            </w:r>
          </w:p>
        </w:tc>
        <w:tc>
          <w:tcPr>
            <w:tcW w:w="1452" w:type="dxa"/>
          </w:tcPr>
          <w:p>
            <w:pPr>
              <w:pStyle w:val="TableParagraph"/>
              <w:spacing w:before="21"/>
              <w:ind w:left="552"/>
              <w:jc w:val="left"/>
              <w:rPr>
                <w:b/>
                <w:sz w:val="18"/>
              </w:rPr>
            </w:pPr>
            <w:r>
              <w:rPr>
                <w:b/>
                <w:sz w:val="18"/>
              </w:rPr>
              <w:t>496,008</w:t>
            </w:r>
          </w:p>
        </w:tc>
        <w:tc>
          <w:tcPr>
            <w:tcW w:w="1140" w:type="dxa"/>
          </w:tcPr>
          <w:p>
            <w:pPr>
              <w:pStyle w:val="TableParagraph"/>
              <w:spacing w:before="21"/>
              <w:ind w:right="88"/>
              <w:rPr>
                <w:sz w:val="18"/>
              </w:rPr>
            </w:pPr>
            <w:r>
              <w:rPr>
                <w:w w:val="95"/>
                <w:sz w:val="18"/>
              </w:rPr>
              <w:t>502,541</w:t>
            </w:r>
          </w:p>
        </w:tc>
      </w:tr>
      <w:tr>
        <w:trPr>
          <w:trHeight w:val="264" w:hRule="exact"/>
        </w:trPr>
        <w:tc>
          <w:tcPr>
            <w:tcW w:w="6880" w:type="dxa"/>
          </w:tcPr>
          <w:p>
            <w:pPr>
              <w:pStyle w:val="TableParagraph"/>
              <w:spacing w:before="18"/>
              <w:ind w:left="61"/>
              <w:jc w:val="left"/>
              <w:rPr>
                <w:sz w:val="18"/>
              </w:rPr>
            </w:pPr>
            <w:r>
              <w:rPr>
                <w:sz w:val="18"/>
              </w:rPr>
              <w:t>Trade and other receivables</w:t>
            </w:r>
          </w:p>
        </w:tc>
        <w:tc>
          <w:tcPr>
            <w:tcW w:w="475" w:type="dxa"/>
          </w:tcPr>
          <w:p>
            <w:pPr>
              <w:pStyle w:val="TableParagraph"/>
              <w:spacing w:before="20"/>
              <w:ind w:right="104"/>
              <w:jc w:val="center"/>
              <w:rPr>
                <w:sz w:val="18"/>
              </w:rPr>
            </w:pPr>
            <w:r>
              <w:rPr>
                <w:w w:val="99"/>
                <w:sz w:val="18"/>
              </w:rPr>
              <w:t>8</w:t>
            </w:r>
          </w:p>
        </w:tc>
        <w:tc>
          <w:tcPr>
            <w:tcW w:w="1452" w:type="dxa"/>
          </w:tcPr>
          <w:p>
            <w:pPr>
              <w:pStyle w:val="TableParagraph"/>
              <w:spacing w:before="20"/>
              <w:ind w:left="400"/>
              <w:jc w:val="left"/>
              <w:rPr>
                <w:b/>
                <w:sz w:val="18"/>
              </w:rPr>
            </w:pPr>
            <w:r>
              <w:rPr>
                <w:b/>
                <w:sz w:val="18"/>
              </w:rPr>
              <w:t>2,746,448</w:t>
            </w:r>
          </w:p>
        </w:tc>
        <w:tc>
          <w:tcPr>
            <w:tcW w:w="1140" w:type="dxa"/>
          </w:tcPr>
          <w:p>
            <w:pPr>
              <w:pStyle w:val="TableParagraph"/>
              <w:spacing w:before="20"/>
              <w:ind w:right="87"/>
              <w:rPr>
                <w:sz w:val="18"/>
              </w:rPr>
            </w:pPr>
            <w:r>
              <w:rPr>
                <w:w w:val="95"/>
                <w:sz w:val="18"/>
              </w:rPr>
              <w:t>1,131,602</w:t>
            </w:r>
          </w:p>
        </w:tc>
      </w:tr>
      <w:tr>
        <w:trPr>
          <w:trHeight w:val="264" w:hRule="exact"/>
        </w:trPr>
        <w:tc>
          <w:tcPr>
            <w:tcW w:w="6880" w:type="dxa"/>
          </w:tcPr>
          <w:p>
            <w:pPr>
              <w:pStyle w:val="TableParagraph"/>
              <w:spacing w:before="18"/>
              <w:ind w:left="61"/>
              <w:jc w:val="left"/>
              <w:rPr>
                <w:sz w:val="18"/>
              </w:rPr>
            </w:pPr>
            <w:r>
              <w:rPr>
                <w:sz w:val="18"/>
              </w:rPr>
              <w:t>Inventories</w:t>
            </w:r>
          </w:p>
        </w:tc>
        <w:tc>
          <w:tcPr>
            <w:tcW w:w="475" w:type="dxa"/>
          </w:tcPr>
          <w:p>
            <w:pPr>
              <w:pStyle w:val="TableParagraph"/>
              <w:spacing w:before="20"/>
              <w:ind w:right="104"/>
              <w:jc w:val="center"/>
              <w:rPr>
                <w:sz w:val="18"/>
              </w:rPr>
            </w:pPr>
            <w:r>
              <w:rPr>
                <w:w w:val="99"/>
                <w:sz w:val="18"/>
              </w:rPr>
              <w:t>9</w:t>
            </w:r>
          </w:p>
        </w:tc>
        <w:tc>
          <w:tcPr>
            <w:tcW w:w="1452" w:type="dxa"/>
          </w:tcPr>
          <w:p>
            <w:pPr>
              <w:pStyle w:val="TableParagraph"/>
              <w:spacing w:before="20"/>
              <w:ind w:right="243"/>
              <w:rPr>
                <w:b/>
                <w:sz w:val="18"/>
              </w:rPr>
            </w:pPr>
            <w:r>
              <w:rPr>
                <w:b/>
                <w:w w:val="95"/>
                <w:sz w:val="18"/>
              </w:rPr>
              <w:t>14,753</w:t>
            </w:r>
          </w:p>
        </w:tc>
        <w:tc>
          <w:tcPr>
            <w:tcW w:w="1140" w:type="dxa"/>
          </w:tcPr>
          <w:p>
            <w:pPr>
              <w:pStyle w:val="TableParagraph"/>
              <w:spacing w:before="20"/>
              <w:ind w:right="87"/>
              <w:rPr>
                <w:sz w:val="18"/>
              </w:rPr>
            </w:pPr>
            <w:r>
              <w:rPr>
                <w:w w:val="95"/>
                <w:sz w:val="18"/>
              </w:rPr>
              <w:t>2,888,192</w:t>
            </w:r>
          </w:p>
        </w:tc>
      </w:tr>
      <w:tr>
        <w:trPr>
          <w:trHeight w:val="264" w:hRule="exact"/>
        </w:trPr>
        <w:tc>
          <w:tcPr>
            <w:tcW w:w="6880" w:type="dxa"/>
          </w:tcPr>
          <w:p>
            <w:pPr>
              <w:pStyle w:val="TableParagraph"/>
              <w:spacing w:before="18"/>
              <w:ind w:left="61"/>
              <w:jc w:val="left"/>
              <w:rPr>
                <w:sz w:val="18"/>
              </w:rPr>
            </w:pPr>
            <w:r>
              <w:rPr>
                <w:sz w:val="18"/>
              </w:rPr>
              <w:t>Other assets</w:t>
            </w:r>
          </w:p>
        </w:tc>
        <w:tc>
          <w:tcPr>
            <w:tcW w:w="475" w:type="dxa"/>
          </w:tcPr>
          <w:p>
            <w:pPr/>
          </w:p>
        </w:tc>
        <w:tc>
          <w:tcPr>
            <w:tcW w:w="1452" w:type="dxa"/>
          </w:tcPr>
          <w:p>
            <w:pPr>
              <w:pStyle w:val="TableParagraph"/>
              <w:spacing w:before="20"/>
              <w:ind w:right="243"/>
              <w:rPr>
                <w:b/>
                <w:sz w:val="18"/>
              </w:rPr>
            </w:pPr>
            <w:r>
              <w:rPr>
                <w:b/>
                <w:w w:val="95"/>
                <w:sz w:val="18"/>
              </w:rPr>
              <w:t>41,055</w:t>
            </w:r>
          </w:p>
        </w:tc>
        <w:tc>
          <w:tcPr>
            <w:tcW w:w="1140" w:type="dxa"/>
          </w:tcPr>
          <w:p>
            <w:pPr>
              <w:pStyle w:val="TableParagraph"/>
              <w:spacing w:before="20"/>
              <w:ind w:right="87"/>
              <w:rPr>
                <w:sz w:val="18"/>
              </w:rPr>
            </w:pPr>
            <w:r>
              <w:rPr>
                <w:w w:val="95"/>
                <w:sz w:val="18"/>
              </w:rPr>
              <w:t>94,469</w:t>
            </w:r>
          </w:p>
        </w:tc>
      </w:tr>
      <w:tr>
        <w:trPr>
          <w:trHeight w:val="262" w:hRule="exact"/>
        </w:trPr>
        <w:tc>
          <w:tcPr>
            <w:tcW w:w="6880" w:type="dxa"/>
          </w:tcPr>
          <w:p>
            <w:pPr>
              <w:pStyle w:val="TableParagraph"/>
              <w:spacing w:before="18"/>
              <w:ind w:left="61"/>
              <w:jc w:val="left"/>
              <w:rPr>
                <w:sz w:val="18"/>
              </w:rPr>
            </w:pPr>
            <w:r>
              <w:rPr>
                <w:sz w:val="18"/>
              </w:rPr>
              <w:t>Non-current assets held for sale</w:t>
            </w:r>
          </w:p>
        </w:tc>
        <w:tc>
          <w:tcPr>
            <w:tcW w:w="475" w:type="dxa"/>
          </w:tcPr>
          <w:p>
            <w:pPr>
              <w:pStyle w:val="TableParagraph"/>
              <w:spacing w:before="20"/>
              <w:ind w:left="66" w:right="169"/>
              <w:jc w:val="center"/>
              <w:rPr>
                <w:sz w:val="18"/>
              </w:rPr>
            </w:pPr>
            <w:r>
              <w:rPr>
                <w:sz w:val="18"/>
              </w:rPr>
              <w:t>10</w:t>
            </w:r>
          </w:p>
        </w:tc>
        <w:tc>
          <w:tcPr>
            <w:tcW w:w="1452" w:type="dxa"/>
            <w:tcBorders>
              <w:bottom w:val="single" w:sz="1" w:space="0" w:color="000000"/>
            </w:tcBorders>
          </w:tcPr>
          <w:p>
            <w:pPr>
              <w:pStyle w:val="TableParagraph"/>
              <w:spacing w:before="20"/>
              <w:ind w:left="551"/>
              <w:jc w:val="left"/>
              <w:rPr>
                <w:b/>
                <w:sz w:val="18"/>
              </w:rPr>
            </w:pPr>
            <w:r>
              <w:rPr>
                <w:b/>
                <w:sz w:val="18"/>
              </w:rPr>
              <w:t>130,266</w:t>
            </w:r>
          </w:p>
        </w:tc>
        <w:tc>
          <w:tcPr>
            <w:tcW w:w="1140" w:type="dxa"/>
            <w:tcBorders>
              <w:bottom w:val="single" w:sz="1" w:space="0" w:color="000000"/>
            </w:tcBorders>
          </w:tcPr>
          <w:p>
            <w:pPr>
              <w:pStyle w:val="TableParagraph"/>
              <w:spacing w:before="20"/>
              <w:ind w:right="88"/>
              <w:rPr>
                <w:sz w:val="18"/>
              </w:rPr>
            </w:pPr>
            <w:r>
              <w:rPr>
                <w:w w:val="95"/>
                <w:sz w:val="18"/>
              </w:rPr>
              <w:t>212,761</w:t>
            </w:r>
          </w:p>
        </w:tc>
      </w:tr>
      <w:tr>
        <w:trPr>
          <w:trHeight w:val="338" w:hRule="exact"/>
        </w:trPr>
        <w:tc>
          <w:tcPr>
            <w:tcW w:w="6880" w:type="dxa"/>
          </w:tcPr>
          <w:p>
            <w:pPr>
              <w:pStyle w:val="TableParagraph"/>
              <w:spacing w:before="38"/>
              <w:ind w:left="61"/>
              <w:jc w:val="left"/>
              <w:rPr>
                <w:b/>
                <w:sz w:val="18"/>
              </w:rPr>
            </w:pPr>
            <w:r>
              <w:rPr>
                <w:b/>
                <w:sz w:val="18"/>
              </w:rPr>
              <w:t>Total current assets</w:t>
            </w:r>
          </w:p>
        </w:tc>
        <w:tc>
          <w:tcPr>
            <w:tcW w:w="475" w:type="dxa"/>
          </w:tcPr>
          <w:p>
            <w:pPr/>
          </w:p>
        </w:tc>
        <w:tc>
          <w:tcPr>
            <w:tcW w:w="1452" w:type="dxa"/>
            <w:tcBorders>
              <w:top w:val="single" w:sz="1" w:space="0" w:color="000000"/>
              <w:bottom w:val="single" w:sz="1" w:space="0" w:color="000000"/>
            </w:tcBorders>
          </w:tcPr>
          <w:p>
            <w:pPr>
              <w:pStyle w:val="TableParagraph"/>
              <w:spacing w:before="124"/>
              <w:ind w:left="400"/>
              <w:jc w:val="left"/>
              <w:rPr>
                <w:b/>
                <w:sz w:val="18"/>
              </w:rPr>
            </w:pPr>
            <w:r>
              <w:rPr>
                <w:b/>
                <w:sz w:val="18"/>
              </w:rPr>
              <w:t>3,428,530</w:t>
            </w:r>
          </w:p>
        </w:tc>
        <w:tc>
          <w:tcPr>
            <w:tcW w:w="1140" w:type="dxa"/>
            <w:tcBorders>
              <w:top w:val="single" w:sz="1" w:space="0" w:color="000000"/>
              <w:bottom w:val="single" w:sz="1" w:space="0" w:color="000000"/>
            </w:tcBorders>
          </w:tcPr>
          <w:p>
            <w:pPr>
              <w:pStyle w:val="TableParagraph"/>
              <w:spacing w:before="124"/>
              <w:ind w:right="87"/>
              <w:rPr>
                <w:sz w:val="18"/>
              </w:rPr>
            </w:pPr>
            <w:r>
              <w:rPr>
                <w:w w:val="95"/>
                <w:sz w:val="18"/>
              </w:rPr>
              <w:t>4,829,565</w:t>
            </w:r>
          </w:p>
        </w:tc>
      </w:tr>
      <w:tr>
        <w:trPr>
          <w:trHeight w:val="284" w:hRule="exact"/>
        </w:trPr>
        <w:tc>
          <w:tcPr>
            <w:tcW w:w="6880" w:type="dxa"/>
          </w:tcPr>
          <w:p>
            <w:pPr>
              <w:pStyle w:val="TableParagraph"/>
              <w:spacing w:before="38"/>
              <w:ind w:left="61"/>
              <w:jc w:val="left"/>
              <w:rPr>
                <w:b/>
                <w:sz w:val="18"/>
              </w:rPr>
            </w:pPr>
            <w:r>
              <w:rPr>
                <w:b/>
                <w:sz w:val="18"/>
              </w:rPr>
              <w:t>Non-current assets</w:t>
            </w:r>
          </w:p>
        </w:tc>
        <w:tc>
          <w:tcPr>
            <w:tcW w:w="475" w:type="dxa"/>
          </w:tcPr>
          <w:p>
            <w:pPr/>
          </w:p>
        </w:tc>
        <w:tc>
          <w:tcPr>
            <w:tcW w:w="1452" w:type="dxa"/>
            <w:tcBorders>
              <w:top w:val="single" w:sz="1" w:space="0" w:color="000000"/>
            </w:tcBorders>
          </w:tcPr>
          <w:p>
            <w:pPr/>
          </w:p>
        </w:tc>
        <w:tc>
          <w:tcPr>
            <w:tcW w:w="1140" w:type="dxa"/>
            <w:tcBorders>
              <w:top w:val="single" w:sz="1" w:space="0" w:color="000000"/>
            </w:tcBorders>
          </w:tcPr>
          <w:p>
            <w:pPr/>
          </w:p>
        </w:tc>
      </w:tr>
      <w:tr>
        <w:trPr>
          <w:trHeight w:val="265" w:hRule="exact"/>
        </w:trPr>
        <w:tc>
          <w:tcPr>
            <w:tcW w:w="6880" w:type="dxa"/>
          </w:tcPr>
          <w:p>
            <w:pPr>
              <w:pStyle w:val="TableParagraph"/>
              <w:spacing w:before="19"/>
              <w:ind w:left="61"/>
              <w:jc w:val="left"/>
              <w:rPr>
                <w:sz w:val="18"/>
              </w:rPr>
            </w:pPr>
            <w:r>
              <w:rPr>
                <w:sz w:val="18"/>
              </w:rPr>
              <w:t>Property, plant and equipment</w:t>
            </w:r>
          </w:p>
        </w:tc>
        <w:tc>
          <w:tcPr>
            <w:tcW w:w="475" w:type="dxa"/>
          </w:tcPr>
          <w:p>
            <w:pPr>
              <w:pStyle w:val="TableParagraph"/>
              <w:spacing w:before="21"/>
              <w:ind w:left="66" w:right="169"/>
              <w:jc w:val="center"/>
              <w:rPr>
                <w:sz w:val="18"/>
              </w:rPr>
            </w:pPr>
            <w:r>
              <w:rPr>
                <w:sz w:val="18"/>
              </w:rPr>
              <w:t>11</w:t>
            </w:r>
          </w:p>
        </w:tc>
        <w:tc>
          <w:tcPr>
            <w:tcW w:w="1452" w:type="dxa"/>
          </w:tcPr>
          <w:p>
            <w:pPr>
              <w:pStyle w:val="TableParagraph"/>
              <w:spacing w:before="21"/>
              <w:ind w:right="243"/>
              <w:rPr>
                <w:b/>
                <w:sz w:val="18"/>
              </w:rPr>
            </w:pPr>
            <w:r>
              <w:rPr>
                <w:b/>
                <w:w w:val="95"/>
                <w:sz w:val="18"/>
              </w:rPr>
              <w:t>66,143</w:t>
            </w:r>
          </w:p>
        </w:tc>
        <w:tc>
          <w:tcPr>
            <w:tcW w:w="1140" w:type="dxa"/>
          </w:tcPr>
          <w:p>
            <w:pPr>
              <w:pStyle w:val="TableParagraph"/>
              <w:spacing w:before="21"/>
              <w:ind w:right="88"/>
              <w:rPr>
                <w:sz w:val="18"/>
              </w:rPr>
            </w:pPr>
            <w:r>
              <w:rPr>
                <w:w w:val="95"/>
                <w:sz w:val="18"/>
              </w:rPr>
              <w:t>154,411</w:t>
            </w:r>
          </w:p>
        </w:tc>
      </w:tr>
      <w:tr>
        <w:trPr>
          <w:trHeight w:val="262" w:hRule="exact"/>
        </w:trPr>
        <w:tc>
          <w:tcPr>
            <w:tcW w:w="6880" w:type="dxa"/>
          </w:tcPr>
          <w:p>
            <w:pPr>
              <w:pStyle w:val="TableParagraph"/>
              <w:spacing w:before="18"/>
              <w:ind w:left="61"/>
              <w:jc w:val="left"/>
              <w:rPr>
                <w:sz w:val="18"/>
              </w:rPr>
            </w:pPr>
            <w:r>
              <w:rPr>
                <w:sz w:val="18"/>
              </w:rPr>
              <w:t>Intangible assets</w:t>
            </w:r>
          </w:p>
        </w:tc>
        <w:tc>
          <w:tcPr>
            <w:tcW w:w="475" w:type="dxa"/>
          </w:tcPr>
          <w:p>
            <w:pPr>
              <w:pStyle w:val="TableParagraph"/>
              <w:spacing w:before="20"/>
              <w:ind w:left="66" w:right="169"/>
              <w:jc w:val="center"/>
              <w:rPr>
                <w:sz w:val="18"/>
              </w:rPr>
            </w:pPr>
            <w:r>
              <w:rPr>
                <w:sz w:val="18"/>
              </w:rPr>
              <w:t>12</w:t>
            </w:r>
          </w:p>
        </w:tc>
        <w:tc>
          <w:tcPr>
            <w:tcW w:w="1452" w:type="dxa"/>
            <w:tcBorders>
              <w:bottom w:val="single" w:sz="1" w:space="0" w:color="000000"/>
            </w:tcBorders>
          </w:tcPr>
          <w:p>
            <w:pPr>
              <w:pStyle w:val="TableParagraph"/>
              <w:spacing w:before="20"/>
              <w:ind w:right="384"/>
              <w:rPr>
                <w:b/>
                <w:sz w:val="18"/>
              </w:rPr>
            </w:pPr>
            <w:r>
              <w:rPr>
                <w:b/>
                <w:w w:val="99"/>
                <w:sz w:val="18"/>
              </w:rPr>
              <w:t>-</w:t>
            </w:r>
          </w:p>
        </w:tc>
        <w:tc>
          <w:tcPr>
            <w:tcW w:w="1140" w:type="dxa"/>
            <w:tcBorders>
              <w:bottom w:val="single" w:sz="1" w:space="0" w:color="000000"/>
            </w:tcBorders>
          </w:tcPr>
          <w:p>
            <w:pPr>
              <w:pStyle w:val="TableParagraph"/>
              <w:spacing w:before="20"/>
              <w:ind w:right="87"/>
              <w:rPr>
                <w:sz w:val="18"/>
              </w:rPr>
            </w:pPr>
            <w:r>
              <w:rPr>
                <w:w w:val="95"/>
                <w:sz w:val="18"/>
              </w:rPr>
              <w:t>10,942</w:t>
            </w:r>
          </w:p>
        </w:tc>
      </w:tr>
      <w:tr>
        <w:trPr>
          <w:trHeight w:val="338" w:hRule="exact"/>
        </w:trPr>
        <w:tc>
          <w:tcPr>
            <w:tcW w:w="8807" w:type="dxa"/>
            <w:gridSpan w:val="3"/>
          </w:tcPr>
          <w:p>
            <w:pPr>
              <w:pStyle w:val="TableParagraph"/>
              <w:tabs>
                <w:tab w:pos="8007" w:val="left" w:leader="none"/>
              </w:tabs>
              <w:spacing w:before="29"/>
              <w:ind w:left="61"/>
              <w:jc w:val="left"/>
              <w:rPr>
                <w:b/>
                <w:sz w:val="18"/>
              </w:rPr>
            </w:pPr>
            <w:r>
              <w:rPr>
                <w:b/>
                <w:sz w:val="18"/>
              </w:rPr>
              <w:t>Total non-current assets</w:t>
              <w:tab/>
            </w:r>
            <w:r>
              <w:rPr>
                <w:b/>
                <w:position w:val="-8"/>
                <w:sz w:val="18"/>
              </w:rPr>
              <w:t>66,143</w:t>
            </w:r>
          </w:p>
        </w:tc>
        <w:tc>
          <w:tcPr>
            <w:tcW w:w="1140" w:type="dxa"/>
            <w:tcBorders>
              <w:bottom w:val="single" w:sz="1" w:space="0" w:color="000000"/>
            </w:tcBorders>
          </w:tcPr>
          <w:p>
            <w:pPr>
              <w:pStyle w:val="TableParagraph"/>
              <w:spacing w:before="115"/>
              <w:ind w:right="88"/>
              <w:rPr>
                <w:sz w:val="18"/>
              </w:rPr>
            </w:pPr>
            <w:r>
              <w:rPr>
                <w:w w:val="95"/>
                <w:sz w:val="18"/>
              </w:rPr>
              <w:t>165,353</w:t>
            </w:r>
          </w:p>
        </w:tc>
      </w:tr>
      <w:tr>
        <w:trPr>
          <w:trHeight w:val="353" w:hRule="exact"/>
        </w:trPr>
        <w:tc>
          <w:tcPr>
            <w:tcW w:w="6880" w:type="dxa"/>
          </w:tcPr>
          <w:p>
            <w:pPr>
              <w:pStyle w:val="TableParagraph"/>
              <w:spacing w:before="29"/>
              <w:ind w:left="61"/>
              <w:jc w:val="left"/>
              <w:rPr>
                <w:b/>
                <w:sz w:val="18"/>
              </w:rPr>
            </w:pPr>
            <w:r>
              <w:rPr>
                <w:b/>
                <w:sz w:val="18"/>
              </w:rPr>
              <w:t>Total assets</w:t>
            </w:r>
          </w:p>
        </w:tc>
        <w:tc>
          <w:tcPr>
            <w:tcW w:w="475" w:type="dxa"/>
          </w:tcPr>
          <w:p>
            <w:pPr/>
          </w:p>
        </w:tc>
        <w:tc>
          <w:tcPr>
            <w:tcW w:w="1452" w:type="dxa"/>
            <w:tcBorders>
              <w:bottom w:val="single" w:sz="1" w:space="0" w:color="000000"/>
            </w:tcBorders>
          </w:tcPr>
          <w:p>
            <w:pPr>
              <w:pStyle w:val="TableParagraph"/>
              <w:spacing w:before="115"/>
              <w:ind w:left="400"/>
              <w:jc w:val="left"/>
              <w:rPr>
                <w:b/>
                <w:sz w:val="18"/>
              </w:rPr>
            </w:pPr>
            <w:r>
              <w:rPr>
                <w:b/>
                <w:sz w:val="18"/>
              </w:rPr>
              <w:t>3,494,673</w:t>
            </w:r>
          </w:p>
        </w:tc>
        <w:tc>
          <w:tcPr>
            <w:tcW w:w="1140" w:type="dxa"/>
            <w:tcBorders>
              <w:bottom w:val="single" w:sz="1" w:space="0" w:color="000000"/>
            </w:tcBorders>
          </w:tcPr>
          <w:p>
            <w:pPr>
              <w:pStyle w:val="TableParagraph"/>
              <w:spacing w:before="115"/>
              <w:ind w:right="87"/>
              <w:rPr>
                <w:sz w:val="18"/>
              </w:rPr>
            </w:pPr>
            <w:r>
              <w:rPr>
                <w:w w:val="95"/>
                <w:sz w:val="18"/>
              </w:rPr>
              <w:t>4,994,918</w:t>
            </w:r>
          </w:p>
        </w:tc>
      </w:tr>
      <w:tr>
        <w:trPr>
          <w:trHeight w:val="617" w:hRule="exact"/>
        </w:trPr>
        <w:tc>
          <w:tcPr>
            <w:tcW w:w="6880" w:type="dxa"/>
          </w:tcPr>
          <w:p>
            <w:pPr>
              <w:pStyle w:val="TableParagraph"/>
              <w:spacing w:before="139"/>
              <w:ind w:left="61"/>
              <w:jc w:val="left"/>
              <w:rPr>
                <w:b/>
                <w:sz w:val="18"/>
              </w:rPr>
            </w:pPr>
            <w:r>
              <w:rPr>
                <w:b/>
                <w:sz w:val="18"/>
              </w:rPr>
              <w:t>LIABILITIES</w:t>
            </w:r>
          </w:p>
          <w:p>
            <w:pPr>
              <w:pStyle w:val="TableParagraph"/>
              <w:spacing w:before="26"/>
              <w:ind w:left="61"/>
              <w:jc w:val="left"/>
              <w:rPr>
                <w:b/>
                <w:sz w:val="18"/>
              </w:rPr>
            </w:pPr>
            <w:r>
              <w:rPr>
                <w:b/>
                <w:sz w:val="18"/>
              </w:rPr>
              <w:t>Current liabilities</w:t>
            </w:r>
          </w:p>
        </w:tc>
        <w:tc>
          <w:tcPr>
            <w:tcW w:w="475" w:type="dxa"/>
          </w:tcPr>
          <w:p>
            <w:pPr/>
          </w:p>
        </w:tc>
        <w:tc>
          <w:tcPr>
            <w:tcW w:w="1452" w:type="dxa"/>
            <w:tcBorders>
              <w:top w:val="single" w:sz="1" w:space="0" w:color="000000"/>
            </w:tcBorders>
          </w:tcPr>
          <w:p>
            <w:pPr/>
          </w:p>
        </w:tc>
        <w:tc>
          <w:tcPr>
            <w:tcW w:w="1140" w:type="dxa"/>
            <w:tcBorders>
              <w:top w:val="single" w:sz="1" w:space="0" w:color="000000"/>
            </w:tcBorders>
          </w:tcPr>
          <w:p>
            <w:pPr/>
          </w:p>
        </w:tc>
      </w:tr>
      <w:tr>
        <w:trPr>
          <w:trHeight w:val="265" w:hRule="exact"/>
        </w:trPr>
        <w:tc>
          <w:tcPr>
            <w:tcW w:w="6880" w:type="dxa"/>
          </w:tcPr>
          <w:p>
            <w:pPr>
              <w:pStyle w:val="TableParagraph"/>
              <w:spacing w:before="19"/>
              <w:ind w:left="61"/>
              <w:jc w:val="left"/>
              <w:rPr>
                <w:sz w:val="18"/>
              </w:rPr>
            </w:pPr>
            <w:r>
              <w:rPr>
                <w:sz w:val="18"/>
              </w:rPr>
              <w:t>Trade and other payables</w:t>
            </w:r>
          </w:p>
        </w:tc>
        <w:tc>
          <w:tcPr>
            <w:tcW w:w="475" w:type="dxa"/>
          </w:tcPr>
          <w:p>
            <w:pPr>
              <w:pStyle w:val="TableParagraph"/>
              <w:spacing w:before="21"/>
              <w:ind w:left="66" w:right="169"/>
              <w:jc w:val="center"/>
              <w:rPr>
                <w:sz w:val="18"/>
              </w:rPr>
            </w:pPr>
            <w:r>
              <w:rPr>
                <w:sz w:val="18"/>
              </w:rPr>
              <w:t>13</w:t>
            </w:r>
          </w:p>
        </w:tc>
        <w:tc>
          <w:tcPr>
            <w:tcW w:w="1452" w:type="dxa"/>
          </w:tcPr>
          <w:p>
            <w:pPr>
              <w:pStyle w:val="TableParagraph"/>
              <w:spacing w:before="21"/>
              <w:ind w:left="400"/>
              <w:jc w:val="left"/>
              <w:rPr>
                <w:b/>
                <w:sz w:val="18"/>
              </w:rPr>
            </w:pPr>
            <w:r>
              <w:rPr>
                <w:b/>
                <w:sz w:val="18"/>
              </w:rPr>
              <w:t>1,497,736</w:t>
            </w:r>
          </w:p>
        </w:tc>
        <w:tc>
          <w:tcPr>
            <w:tcW w:w="1140" w:type="dxa"/>
          </w:tcPr>
          <w:p>
            <w:pPr>
              <w:pStyle w:val="TableParagraph"/>
              <w:spacing w:before="21"/>
              <w:ind w:right="87"/>
              <w:rPr>
                <w:sz w:val="18"/>
              </w:rPr>
            </w:pPr>
            <w:r>
              <w:rPr>
                <w:w w:val="95"/>
                <w:sz w:val="18"/>
              </w:rPr>
              <w:t>1,872,219</w:t>
            </w:r>
          </w:p>
        </w:tc>
      </w:tr>
      <w:tr>
        <w:trPr>
          <w:trHeight w:val="264" w:hRule="exact"/>
        </w:trPr>
        <w:tc>
          <w:tcPr>
            <w:tcW w:w="6880" w:type="dxa"/>
          </w:tcPr>
          <w:p>
            <w:pPr>
              <w:pStyle w:val="TableParagraph"/>
              <w:spacing w:before="18"/>
              <w:ind w:left="61"/>
              <w:jc w:val="left"/>
              <w:rPr>
                <w:sz w:val="18"/>
              </w:rPr>
            </w:pPr>
            <w:r>
              <w:rPr>
                <w:sz w:val="18"/>
              </w:rPr>
              <w:t>Borrowings from the parent</w:t>
            </w:r>
          </w:p>
        </w:tc>
        <w:tc>
          <w:tcPr>
            <w:tcW w:w="475" w:type="dxa"/>
          </w:tcPr>
          <w:p>
            <w:pPr>
              <w:pStyle w:val="TableParagraph"/>
              <w:spacing w:before="20"/>
              <w:ind w:left="66" w:right="169"/>
              <w:jc w:val="center"/>
              <w:rPr>
                <w:sz w:val="18"/>
              </w:rPr>
            </w:pPr>
            <w:r>
              <w:rPr>
                <w:sz w:val="18"/>
              </w:rPr>
              <w:t>14</w:t>
            </w:r>
          </w:p>
        </w:tc>
        <w:tc>
          <w:tcPr>
            <w:tcW w:w="1452" w:type="dxa"/>
          </w:tcPr>
          <w:p>
            <w:pPr>
              <w:pStyle w:val="TableParagraph"/>
              <w:spacing w:before="20"/>
              <w:ind w:left="400"/>
              <w:jc w:val="left"/>
              <w:rPr>
                <w:b/>
                <w:sz w:val="18"/>
              </w:rPr>
            </w:pPr>
            <w:r>
              <w:rPr>
                <w:b/>
                <w:sz w:val="18"/>
              </w:rPr>
              <w:t>5,618,407</w:t>
            </w:r>
          </w:p>
        </w:tc>
        <w:tc>
          <w:tcPr>
            <w:tcW w:w="1140" w:type="dxa"/>
          </w:tcPr>
          <w:p>
            <w:pPr>
              <w:pStyle w:val="TableParagraph"/>
              <w:spacing w:before="20"/>
              <w:ind w:right="87"/>
              <w:rPr>
                <w:sz w:val="18"/>
              </w:rPr>
            </w:pPr>
            <w:r>
              <w:rPr>
                <w:w w:val="95"/>
                <w:sz w:val="18"/>
              </w:rPr>
              <w:t>5,010,493</w:t>
            </w:r>
          </w:p>
        </w:tc>
      </w:tr>
      <w:tr>
        <w:trPr>
          <w:trHeight w:val="264" w:hRule="exact"/>
        </w:trPr>
        <w:tc>
          <w:tcPr>
            <w:tcW w:w="6880" w:type="dxa"/>
          </w:tcPr>
          <w:p>
            <w:pPr>
              <w:pStyle w:val="TableParagraph"/>
              <w:spacing w:before="18"/>
              <w:ind w:left="61"/>
              <w:jc w:val="left"/>
              <w:rPr>
                <w:sz w:val="18"/>
              </w:rPr>
            </w:pPr>
            <w:r>
              <w:rPr>
                <w:sz w:val="18"/>
              </w:rPr>
              <w:t>Provisions</w:t>
            </w:r>
          </w:p>
        </w:tc>
        <w:tc>
          <w:tcPr>
            <w:tcW w:w="475" w:type="dxa"/>
          </w:tcPr>
          <w:p>
            <w:pPr>
              <w:pStyle w:val="TableParagraph"/>
              <w:spacing w:before="20"/>
              <w:ind w:left="66" w:right="169"/>
              <w:jc w:val="center"/>
              <w:rPr>
                <w:sz w:val="18"/>
              </w:rPr>
            </w:pPr>
            <w:r>
              <w:rPr>
                <w:sz w:val="18"/>
              </w:rPr>
              <w:t>15</w:t>
            </w:r>
          </w:p>
        </w:tc>
        <w:tc>
          <w:tcPr>
            <w:tcW w:w="1452" w:type="dxa"/>
          </w:tcPr>
          <w:p>
            <w:pPr>
              <w:pStyle w:val="TableParagraph"/>
              <w:spacing w:before="20"/>
              <w:ind w:left="552"/>
              <w:jc w:val="left"/>
              <w:rPr>
                <w:b/>
                <w:sz w:val="18"/>
              </w:rPr>
            </w:pPr>
            <w:r>
              <w:rPr>
                <w:b/>
                <w:sz w:val="18"/>
              </w:rPr>
              <w:t>448,673</w:t>
            </w:r>
          </w:p>
        </w:tc>
        <w:tc>
          <w:tcPr>
            <w:tcW w:w="1140" w:type="dxa"/>
          </w:tcPr>
          <w:p>
            <w:pPr>
              <w:pStyle w:val="TableParagraph"/>
              <w:spacing w:before="20"/>
              <w:ind w:right="88"/>
              <w:rPr>
                <w:sz w:val="18"/>
              </w:rPr>
            </w:pPr>
            <w:r>
              <w:rPr>
                <w:w w:val="95"/>
                <w:sz w:val="18"/>
              </w:rPr>
              <w:t>457,471</w:t>
            </w:r>
          </w:p>
        </w:tc>
      </w:tr>
      <w:tr>
        <w:trPr>
          <w:trHeight w:val="262" w:hRule="exact"/>
        </w:trPr>
        <w:tc>
          <w:tcPr>
            <w:tcW w:w="6880" w:type="dxa"/>
          </w:tcPr>
          <w:p>
            <w:pPr>
              <w:pStyle w:val="TableParagraph"/>
              <w:spacing w:before="18"/>
              <w:ind w:left="61"/>
              <w:jc w:val="left"/>
              <w:rPr>
                <w:sz w:val="18"/>
              </w:rPr>
            </w:pPr>
            <w:r>
              <w:rPr>
                <w:sz w:val="18"/>
              </w:rPr>
              <w:t>Other liabilities</w:t>
            </w:r>
          </w:p>
        </w:tc>
        <w:tc>
          <w:tcPr>
            <w:tcW w:w="475" w:type="dxa"/>
          </w:tcPr>
          <w:p>
            <w:pPr>
              <w:pStyle w:val="TableParagraph"/>
              <w:spacing w:before="20"/>
              <w:ind w:left="66" w:right="169"/>
              <w:jc w:val="center"/>
              <w:rPr>
                <w:sz w:val="18"/>
              </w:rPr>
            </w:pPr>
            <w:r>
              <w:rPr>
                <w:sz w:val="18"/>
              </w:rPr>
              <w:t>16</w:t>
            </w:r>
          </w:p>
        </w:tc>
        <w:tc>
          <w:tcPr>
            <w:tcW w:w="1452" w:type="dxa"/>
            <w:tcBorders>
              <w:bottom w:val="single" w:sz="1" w:space="0" w:color="000000"/>
            </w:tcBorders>
          </w:tcPr>
          <w:p>
            <w:pPr>
              <w:pStyle w:val="TableParagraph"/>
              <w:spacing w:before="20"/>
              <w:ind w:left="552"/>
              <w:jc w:val="left"/>
              <w:rPr>
                <w:b/>
                <w:sz w:val="18"/>
              </w:rPr>
            </w:pPr>
            <w:r>
              <w:rPr>
                <w:b/>
                <w:sz w:val="18"/>
              </w:rPr>
              <w:t>104,985</w:t>
            </w:r>
          </w:p>
        </w:tc>
        <w:tc>
          <w:tcPr>
            <w:tcW w:w="1140" w:type="dxa"/>
            <w:tcBorders>
              <w:bottom w:val="single" w:sz="1" w:space="0" w:color="000000"/>
            </w:tcBorders>
          </w:tcPr>
          <w:p>
            <w:pPr>
              <w:pStyle w:val="TableParagraph"/>
              <w:spacing w:before="20"/>
              <w:ind w:right="88"/>
              <w:rPr>
                <w:sz w:val="18"/>
              </w:rPr>
            </w:pPr>
            <w:r>
              <w:rPr>
                <w:w w:val="95"/>
                <w:sz w:val="18"/>
              </w:rPr>
              <w:t>229,061</w:t>
            </w:r>
          </w:p>
        </w:tc>
      </w:tr>
      <w:tr>
        <w:trPr>
          <w:trHeight w:val="338" w:hRule="exact"/>
        </w:trPr>
        <w:tc>
          <w:tcPr>
            <w:tcW w:w="6880" w:type="dxa"/>
          </w:tcPr>
          <w:p>
            <w:pPr>
              <w:pStyle w:val="TableParagraph"/>
              <w:spacing w:before="38"/>
              <w:ind w:left="61"/>
              <w:jc w:val="left"/>
              <w:rPr>
                <w:b/>
                <w:sz w:val="18"/>
              </w:rPr>
            </w:pPr>
            <w:r>
              <w:rPr>
                <w:b/>
                <w:sz w:val="18"/>
              </w:rPr>
              <w:t>Total current liabilities</w:t>
            </w:r>
          </w:p>
        </w:tc>
        <w:tc>
          <w:tcPr>
            <w:tcW w:w="475" w:type="dxa"/>
          </w:tcPr>
          <w:p>
            <w:pPr/>
          </w:p>
        </w:tc>
        <w:tc>
          <w:tcPr>
            <w:tcW w:w="1452" w:type="dxa"/>
            <w:tcBorders>
              <w:top w:val="single" w:sz="1" w:space="0" w:color="000000"/>
              <w:bottom w:val="single" w:sz="1" w:space="0" w:color="000000"/>
            </w:tcBorders>
          </w:tcPr>
          <w:p>
            <w:pPr>
              <w:pStyle w:val="TableParagraph"/>
              <w:spacing w:before="124"/>
              <w:ind w:left="400"/>
              <w:jc w:val="left"/>
              <w:rPr>
                <w:b/>
                <w:sz w:val="18"/>
              </w:rPr>
            </w:pPr>
            <w:r>
              <w:rPr>
                <w:b/>
                <w:sz w:val="18"/>
              </w:rPr>
              <w:t>7,669,801</w:t>
            </w:r>
          </w:p>
        </w:tc>
        <w:tc>
          <w:tcPr>
            <w:tcW w:w="1140" w:type="dxa"/>
            <w:tcBorders>
              <w:top w:val="single" w:sz="1" w:space="0" w:color="000000"/>
              <w:bottom w:val="single" w:sz="1" w:space="0" w:color="000000"/>
            </w:tcBorders>
          </w:tcPr>
          <w:p>
            <w:pPr>
              <w:pStyle w:val="TableParagraph"/>
              <w:spacing w:before="124"/>
              <w:ind w:right="87"/>
              <w:rPr>
                <w:sz w:val="18"/>
              </w:rPr>
            </w:pPr>
            <w:r>
              <w:rPr>
                <w:w w:val="95"/>
                <w:sz w:val="18"/>
              </w:rPr>
              <w:t>7,569,244</w:t>
            </w:r>
          </w:p>
        </w:tc>
      </w:tr>
      <w:tr>
        <w:trPr>
          <w:trHeight w:val="284" w:hRule="exact"/>
        </w:trPr>
        <w:tc>
          <w:tcPr>
            <w:tcW w:w="6880" w:type="dxa"/>
          </w:tcPr>
          <w:p>
            <w:pPr>
              <w:pStyle w:val="TableParagraph"/>
              <w:spacing w:before="38"/>
              <w:ind w:left="61"/>
              <w:jc w:val="left"/>
              <w:rPr>
                <w:b/>
                <w:sz w:val="18"/>
              </w:rPr>
            </w:pPr>
            <w:r>
              <w:rPr>
                <w:b/>
                <w:sz w:val="18"/>
              </w:rPr>
              <w:t>Non-current liabilities</w:t>
            </w:r>
          </w:p>
        </w:tc>
        <w:tc>
          <w:tcPr>
            <w:tcW w:w="475" w:type="dxa"/>
          </w:tcPr>
          <w:p>
            <w:pPr/>
          </w:p>
        </w:tc>
        <w:tc>
          <w:tcPr>
            <w:tcW w:w="1452" w:type="dxa"/>
            <w:tcBorders>
              <w:top w:val="single" w:sz="1" w:space="0" w:color="000000"/>
            </w:tcBorders>
          </w:tcPr>
          <w:p>
            <w:pPr/>
          </w:p>
        </w:tc>
        <w:tc>
          <w:tcPr>
            <w:tcW w:w="1140" w:type="dxa"/>
            <w:tcBorders>
              <w:top w:val="single" w:sz="1" w:space="0" w:color="000000"/>
            </w:tcBorders>
          </w:tcPr>
          <w:p>
            <w:pPr/>
          </w:p>
        </w:tc>
      </w:tr>
      <w:tr>
        <w:trPr>
          <w:trHeight w:val="263" w:hRule="exact"/>
        </w:trPr>
        <w:tc>
          <w:tcPr>
            <w:tcW w:w="6880" w:type="dxa"/>
          </w:tcPr>
          <w:p>
            <w:pPr>
              <w:pStyle w:val="TableParagraph"/>
              <w:spacing w:before="19"/>
              <w:ind w:left="61"/>
              <w:jc w:val="left"/>
              <w:rPr>
                <w:sz w:val="18"/>
              </w:rPr>
            </w:pPr>
            <w:r>
              <w:rPr>
                <w:sz w:val="18"/>
              </w:rPr>
              <w:t>Provisions</w:t>
            </w:r>
          </w:p>
        </w:tc>
        <w:tc>
          <w:tcPr>
            <w:tcW w:w="475" w:type="dxa"/>
          </w:tcPr>
          <w:p>
            <w:pPr>
              <w:pStyle w:val="TableParagraph"/>
              <w:spacing w:before="21"/>
              <w:ind w:left="66" w:right="169"/>
              <w:jc w:val="center"/>
              <w:rPr>
                <w:sz w:val="18"/>
              </w:rPr>
            </w:pPr>
            <w:r>
              <w:rPr>
                <w:sz w:val="18"/>
              </w:rPr>
              <w:t>15</w:t>
            </w:r>
          </w:p>
        </w:tc>
        <w:tc>
          <w:tcPr>
            <w:tcW w:w="1452" w:type="dxa"/>
            <w:tcBorders>
              <w:bottom w:val="single" w:sz="1" w:space="0" w:color="000000"/>
            </w:tcBorders>
          </w:tcPr>
          <w:p>
            <w:pPr>
              <w:pStyle w:val="TableParagraph"/>
              <w:spacing w:before="21"/>
              <w:ind w:left="552"/>
              <w:jc w:val="left"/>
              <w:rPr>
                <w:b/>
                <w:sz w:val="18"/>
              </w:rPr>
            </w:pPr>
            <w:r>
              <w:rPr>
                <w:b/>
                <w:sz w:val="18"/>
              </w:rPr>
              <w:t>164,116</w:t>
            </w:r>
          </w:p>
        </w:tc>
        <w:tc>
          <w:tcPr>
            <w:tcW w:w="1140" w:type="dxa"/>
            <w:tcBorders>
              <w:bottom w:val="single" w:sz="1" w:space="0" w:color="000000"/>
            </w:tcBorders>
          </w:tcPr>
          <w:p>
            <w:pPr>
              <w:pStyle w:val="TableParagraph"/>
              <w:spacing w:before="21"/>
              <w:ind w:right="88"/>
              <w:rPr>
                <w:sz w:val="18"/>
              </w:rPr>
            </w:pPr>
            <w:r>
              <w:rPr>
                <w:w w:val="95"/>
                <w:sz w:val="18"/>
              </w:rPr>
              <w:t>210,426</w:t>
            </w:r>
          </w:p>
        </w:tc>
      </w:tr>
      <w:tr>
        <w:trPr>
          <w:trHeight w:val="338" w:hRule="exact"/>
        </w:trPr>
        <w:tc>
          <w:tcPr>
            <w:tcW w:w="7355" w:type="dxa"/>
            <w:gridSpan w:val="2"/>
          </w:tcPr>
          <w:p>
            <w:pPr>
              <w:pStyle w:val="TableParagraph"/>
              <w:spacing w:before="29"/>
              <w:ind w:left="61"/>
              <w:jc w:val="left"/>
              <w:rPr>
                <w:b/>
                <w:sz w:val="18"/>
              </w:rPr>
            </w:pPr>
            <w:r>
              <w:rPr>
                <w:b/>
                <w:sz w:val="18"/>
              </w:rPr>
              <w:t>Total non-current liabilities</w:t>
            </w:r>
          </w:p>
        </w:tc>
        <w:tc>
          <w:tcPr>
            <w:tcW w:w="1452" w:type="dxa"/>
            <w:tcBorders>
              <w:bottom w:val="single" w:sz="1" w:space="0" w:color="000000"/>
            </w:tcBorders>
          </w:tcPr>
          <w:p>
            <w:pPr>
              <w:pStyle w:val="TableParagraph"/>
              <w:spacing w:before="115"/>
              <w:ind w:left="552"/>
              <w:jc w:val="left"/>
              <w:rPr>
                <w:b/>
                <w:sz w:val="18"/>
              </w:rPr>
            </w:pPr>
            <w:r>
              <w:rPr>
                <w:b/>
                <w:sz w:val="18"/>
              </w:rPr>
              <w:t>164,116</w:t>
            </w:r>
          </w:p>
        </w:tc>
        <w:tc>
          <w:tcPr>
            <w:tcW w:w="1140" w:type="dxa"/>
            <w:tcBorders>
              <w:bottom w:val="single" w:sz="1" w:space="0" w:color="000000"/>
            </w:tcBorders>
          </w:tcPr>
          <w:p>
            <w:pPr>
              <w:pStyle w:val="TableParagraph"/>
              <w:spacing w:before="115"/>
              <w:ind w:right="88"/>
              <w:rPr>
                <w:sz w:val="18"/>
              </w:rPr>
            </w:pPr>
            <w:r>
              <w:rPr>
                <w:w w:val="95"/>
                <w:sz w:val="18"/>
              </w:rPr>
              <w:t>210,426</w:t>
            </w:r>
          </w:p>
        </w:tc>
      </w:tr>
      <w:tr>
        <w:trPr>
          <w:trHeight w:val="338" w:hRule="exact"/>
        </w:trPr>
        <w:tc>
          <w:tcPr>
            <w:tcW w:w="7355" w:type="dxa"/>
            <w:gridSpan w:val="2"/>
          </w:tcPr>
          <w:p>
            <w:pPr>
              <w:pStyle w:val="TableParagraph"/>
              <w:spacing w:before="38"/>
              <w:ind w:left="61"/>
              <w:jc w:val="left"/>
              <w:rPr>
                <w:b/>
                <w:sz w:val="18"/>
              </w:rPr>
            </w:pPr>
            <w:r>
              <w:rPr>
                <w:b/>
                <w:sz w:val="18"/>
              </w:rPr>
              <w:t>Total liabilities</w:t>
            </w:r>
          </w:p>
        </w:tc>
        <w:tc>
          <w:tcPr>
            <w:tcW w:w="1452" w:type="dxa"/>
            <w:tcBorders>
              <w:top w:val="single" w:sz="1" w:space="0" w:color="000000"/>
              <w:bottom w:val="single" w:sz="1" w:space="0" w:color="000000"/>
            </w:tcBorders>
          </w:tcPr>
          <w:p>
            <w:pPr>
              <w:pStyle w:val="TableParagraph"/>
              <w:spacing w:before="124"/>
              <w:ind w:left="400"/>
              <w:jc w:val="left"/>
              <w:rPr>
                <w:b/>
                <w:sz w:val="18"/>
              </w:rPr>
            </w:pPr>
            <w:r>
              <w:rPr>
                <w:b/>
                <w:sz w:val="18"/>
              </w:rPr>
              <w:t>7,833,917</w:t>
            </w:r>
          </w:p>
        </w:tc>
        <w:tc>
          <w:tcPr>
            <w:tcW w:w="1140" w:type="dxa"/>
            <w:tcBorders>
              <w:top w:val="single" w:sz="1" w:space="0" w:color="000000"/>
              <w:bottom w:val="single" w:sz="1" w:space="0" w:color="000000"/>
            </w:tcBorders>
          </w:tcPr>
          <w:p>
            <w:pPr>
              <w:pStyle w:val="TableParagraph"/>
              <w:spacing w:before="124"/>
              <w:ind w:right="87"/>
              <w:rPr>
                <w:sz w:val="18"/>
              </w:rPr>
            </w:pPr>
            <w:r>
              <w:rPr>
                <w:w w:val="95"/>
                <w:sz w:val="18"/>
              </w:rPr>
              <w:t>7,779,670</w:t>
            </w:r>
          </w:p>
        </w:tc>
      </w:tr>
      <w:tr>
        <w:trPr>
          <w:trHeight w:val="353" w:hRule="exact"/>
        </w:trPr>
        <w:tc>
          <w:tcPr>
            <w:tcW w:w="7355" w:type="dxa"/>
            <w:gridSpan w:val="2"/>
          </w:tcPr>
          <w:p>
            <w:pPr>
              <w:pStyle w:val="TableParagraph"/>
              <w:spacing w:before="38"/>
              <w:ind w:left="61"/>
              <w:jc w:val="left"/>
              <w:rPr>
                <w:b/>
                <w:sz w:val="18"/>
              </w:rPr>
            </w:pPr>
            <w:r>
              <w:rPr>
                <w:b/>
                <w:sz w:val="18"/>
              </w:rPr>
              <w:t>Net assets</w:t>
            </w:r>
          </w:p>
        </w:tc>
        <w:tc>
          <w:tcPr>
            <w:tcW w:w="1452" w:type="dxa"/>
            <w:tcBorders>
              <w:top w:val="single" w:sz="1" w:space="0" w:color="000000"/>
              <w:bottom w:val="single" w:sz="1" w:space="0" w:color="000000"/>
            </w:tcBorders>
          </w:tcPr>
          <w:p>
            <w:pPr>
              <w:pStyle w:val="TableParagraph"/>
              <w:spacing w:before="124"/>
              <w:ind w:right="182"/>
              <w:rPr>
                <w:b/>
                <w:sz w:val="18"/>
              </w:rPr>
            </w:pPr>
            <w:r>
              <w:rPr>
                <w:b/>
                <w:w w:val="95"/>
                <w:sz w:val="18"/>
              </w:rPr>
              <w:t>(4,339,244)</w:t>
            </w:r>
          </w:p>
        </w:tc>
        <w:tc>
          <w:tcPr>
            <w:tcW w:w="1140" w:type="dxa"/>
            <w:tcBorders>
              <w:top w:val="single" w:sz="1" w:space="0" w:color="000000"/>
              <w:bottom w:val="single" w:sz="1" w:space="0" w:color="000000"/>
            </w:tcBorders>
          </w:tcPr>
          <w:p>
            <w:pPr>
              <w:pStyle w:val="TableParagraph"/>
              <w:spacing w:before="124"/>
              <w:ind w:right="26"/>
              <w:rPr>
                <w:sz w:val="18"/>
              </w:rPr>
            </w:pPr>
            <w:r>
              <w:rPr>
                <w:w w:val="95"/>
                <w:sz w:val="18"/>
              </w:rPr>
              <w:t>(2,784,752)</w:t>
            </w:r>
          </w:p>
        </w:tc>
      </w:tr>
    </w:tbl>
    <w:p>
      <w:pPr>
        <w:pStyle w:val="BodyText"/>
        <w:rPr>
          <w:sz w:val="20"/>
        </w:rPr>
      </w:pPr>
    </w:p>
    <w:p>
      <w:pPr>
        <w:pStyle w:val="BodyText"/>
        <w:rPr>
          <w:sz w:val="20"/>
        </w:rPr>
      </w:pPr>
    </w:p>
    <w:p>
      <w:pPr>
        <w:pStyle w:val="BodyText"/>
        <w:spacing w:before="1"/>
        <w:rPr>
          <w:sz w:val="16"/>
        </w:rPr>
      </w:pPr>
    </w:p>
    <w:p>
      <w:pPr>
        <w:pStyle w:val="Heading8"/>
        <w:spacing w:before="78"/>
        <w:ind w:left="1454"/>
      </w:pPr>
      <w:r>
        <w:rPr/>
        <w:t>EQUITY</w:t>
      </w:r>
    </w:p>
    <w:p>
      <w:pPr>
        <w:pStyle w:val="BodyText"/>
        <w:spacing w:before="26"/>
        <w:ind w:left="1454"/>
      </w:pPr>
      <w:r>
        <w:rPr/>
        <w:pict>
          <v:shape style="position:absolute;margin-left:416.089996pt;margin-top:2.569054pt;width:150.950pt;height:28.75pt;mso-position-horizontal-relative:page;mso-position-vertical-relative:paragraph;z-index:10144"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26"/>
                    <w:gridCol w:w="1452"/>
                    <w:gridCol w:w="1140"/>
                  </w:tblGrid>
                  <w:tr>
                    <w:trPr>
                      <w:trHeight w:val="219" w:hRule="exact"/>
                    </w:trPr>
                    <w:tc>
                      <w:tcPr>
                        <w:tcW w:w="426" w:type="dxa"/>
                      </w:tcPr>
                      <w:p>
                        <w:pPr>
                          <w:pStyle w:val="TableParagraph"/>
                          <w:spacing w:line="184" w:lineRule="exact"/>
                          <w:ind w:left="35"/>
                          <w:jc w:val="left"/>
                          <w:rPr>
                            <w:sz w:val="18"/>
                          </w:rPr>
                        </w:pPr>
                        <w:r>
                          <w:rPr>
                            <w:sz w:val="18"/>
                          </w:rPr>
                          <w:t>17</w:t>
                        </w:r>
                      </w:p>
                    </w:tc>
                    <w:tc>
                      <w:tcPr>
                        <w:tcW w:w="1452" w:type="dxa"/>
                        <w:tcBorders>
                          <w:bottom w:val="single" w:sz="1" w:space="0" w:color="000000"/>
                        </w:tcBorders>
                      </w:tcPr>
                      <w:p>
                        <w:pPr>
                          <w:pStyle w:val="TableParagraph"/>
                          <w:spacing w:line="184" w:lineRule="exact"/>
                          <w:ind w:right="182"/>
                          <w:rPr>
                            <w:b/>
                            <w:sz w:val="18"/>
                          </w:rPr>
                        </w:pPr>
                        <w:r>
                          <w:rPr>
                            <w:b/>
                            <w:w w:val="95"/>
                            <w:sz w:val="18"/>
                          </w:rPr>
                          <w:t>(4,339,244)</w:t>
                        </w:r>
                      </w:p>
                    </w:tc>
                    <w:tc>
                      <w:tcPr>
                        <w:tcW w:w="1140" w:type="dxa"/>
                        <w:tcBorders>
                          <w:bottom w:val="single" w:sz="1" w:space="0" w:color="000000"/>
                        </w:tcBorders>
                      </w:tcPr>
                      <w:p>
                        <w:pPr>
                          <w:pStyle w:val="TableParagraph"/>
                          <w:spacing w:line="184" w:lineRule="exact"/>
                          <w:ind w:right="26"/>
                          <w:rPr>
                            <w:sz w:val="18"/>
                          </w:rPr>
                        </w:pPr>
                        <w:r>
                          <w:rPr>
                            <w:w w:val="95"/>
                            <w:sz w:val="18"/>
                          </w:rPr>
                          <w:t>(2,784,752)</w:t>
                        </w:r>
                      </w:p>
                    </w:tc>
                  </w:tr>
                  <w:tr>
                    <w:trPr>
                      <w:trHeight w:val="353" w:hRule="exact"/>
                    </w:trPr>
                    <w:tc>
                      <w:tcPr>
                        <w:tcW w:w="426" w:type="dxa"/>
                      </w:tcPr>
                      <w:p>
                        <w:pPr/>
                      </w:p>
                    </w:tc>
                    <w:tc>
                      <w:tcPr>
                        <w:tcW w:w="1452" w:type="dxa"/>
                        <w:tcBorders>
                          <w:top w:val="single" w:sz="1" w:space="0" w:color="000000"/>
                          <w:bottom w:val="single" w:sz="1" w:space="0" w:color="000000"/>
                        </w:tcBorders>
                      </w:tcPr>
                      <w:p>
                        <w:pPr>
                          <w:pStyle w:val="TableParagraph"/>
                          <w:spacing w:before="124"/>
                          <w:ind w:right="182"/>
                          <w:rPr>
                            <w:b/>
                            <w:sz w:val="18"/>
                          </w:rPr>
                        </w:pPr>
                        <w:r>
                          <w:rPr>
                            <w:b/>
                            <w:w w:val="95"/>
                            <w:sz w:val="18"/>
                          </w:rPr>
                          <w:t>(4,339,244)</w:t>
                        </w:r>
                      </w:p>
                    </w:tc>
                    <w:tc>
                      <w:tcPr>
                        <w:tcW w:w="1140" w:type="dxa"/>
                        <w:tcBorders>
                          <w:top w:val="single" w:sz="1" w:space="0" w:color="000000"/>
                          <w:bottom w:val="single" w:sz="1" w:space="0" w:color="000000"/>
                        </w:tcBorders>
                      </w:tcPr>
                      <w:p>
                        <w:pPr>
                          <w:pStyle w:val="TableParagraph"/>
                          <w:spacing w:before="124"/>
                          <w:ind w:right="26"/>
                          <w:rPr>
                            <w:sz w:val="18"/>
                          </w:rPr>
                        </w:pPr>
                        <w:r>
                          <w:rPr>
                            <w:w w:val="95"/>
                            <w:sz w:val="18"/>
                          </w:rPr>
                          <w:t>(2,784,752)</w:t>
                        </w:r>
                      </w:p>
                    </w:tc>
                  </w:tr>
                </w:tbl>
                <w:p>
                  <w:pPr>
                    <w:pStyle w:val="BodyText"/>
                  </w:pPr>
                </w:p>
              </w:txbxContent>
            </v:textbox>
            <w10:wrap type="none"/>
          </v:shape>
        </w:pict>
      </w:r>
      <w:r>
        <w:rPr/>
        <w:t>Retained earnings</w:t>
      </w:r>
    </w:p>
    <w:p>
      <w:pPr>
        <w:pStyle w:val="Heading8"/>
        <w:spacing w:before="76"/>
        <w:ind w:left="1454"/>
      </w:pPr>
      <w:r>
        <w:rPr/>
        <w:t>Total equity</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5"/>
        <w:rPr>
          <w:b/>
          <w:sz w:val="17"/>
        </w:rPr>
      </w:pPr>
    </w:p>
    <w:p>
      <w:pPr>
        <w:pStyle w:val="BodyText"/>
        <w:spacing w:before="78"/>
        <w:ind w:left="3787"/>
      </w:pPr>
      <w:r>
        <w:rPr/>
        <w:t>The accompanying notes form part of these financial statements.</w:t>
      </w:r>
    </w:p>
    <w:p>
      <w:pPr>
        <w:spacing w:after="0"/>
        <w:sectPr>
          <w:pgSz w:w="12750" w:h="17680"/>
          <w:pgMar w:header="0" w:footer="867" w:top="1880" w:bottom="1120" w:left="0" w:right="0"/>
        </w:sectPr>
      </w:pPr>
    </w:p>
    <w:p>
      <w:pPr>
        <w:pStyle w:val="BodyText"/>
        <w:spacing w:before="1"/>
        <w:rPr>
          <w:sz w:val="24"/>
        </w:rPr>
      </w:pPr>
      <w:r>
        <w:rPr/>
        <w:drawing>
          <wp:anchor distT="0" distB="0" distL="0" distR="0" allowOverlap="1" layoutInCell="1" locked="0" behindDoc="0" simplePos="0" relativeHeight="10168">
            <wp:simplePos x="0" y="0"/>
            <wp:positionH relativeFrom="page">
              <wp:posOffset>-1587</wp:posOffset>
            </wp:positionH>
            <wp:positionV relativeFrom="page">
              <wp:posOffset>5534342</wp:posOffset>
            </wp:positionV>
            <wp:extent cx="135159" cy="154019"/>
            <wp:effectExtent l="0" t="0" r="0" b="0"/>
            <wp:wrapNone/>
            <wp:docPr id="671" name="image13.png" descr=""/>
            <wp:cNvGraphicFramePr>
              <a:graphicFrameLocks noChangeAspect="1"/>
            </wp:cNvGraphicFramePr>
            <a:graphic>
              <a:graphicData uri="http://schemas.openxmlformats.org/drawingml/2006/picture">
                <pic:pic>
                  <pic:nvPicPr>
                    <pic:cNvPr id="672" name="image13.png"/>
                    <pic:cNvPicPr/>
                  </pic:nvPicPr>
                  <pic:blipFill>
                    <a:blip r:embed="rId18" cstate="print"/>
                    <a:stretch>
                      <a:fillRect/>
                    </a:stretch>
                  </pic:blipFill>
                  <pic:spPr>
                    <a:xfrm>
                      <a:off x="0" y="0"/>
                      <a:ext cx="135159" cy="154019"/>
                    </a:xfrm>
                    <a:prstGeom prst="rect">
                      <a:avLst/>
                    </a:prstGeom>
                  </pic:spPr>
                </pic:pic>
              </a:graphicData>
            </a:graphic>
          </wp:anchor>
        </w:drawing>
      </w:r>
      <w:r>
        <w:rPr/>
        <w:drawing>
          <wp:anchor distT="0" distB="0" distL="0" distR="0" allowOverlap="1" layoutInCell="1" locked="0" behindDoc="0" simplePos="0" relativeHeight="10192">
            <wp:simplePos x="0" y="0"/>
            <wp:positionH relativeFrom="page">
              <wp:posOffset>7958429</wp:posOffset>
            </wp:positionH>
            <wp:positionV relativeFrom="page">
              <wp:posOffset>5534342</wp:posOffset>
            </wp:positionV>
            <wp:extent cx="135953" cy="155575"/>
            <wp:effectExtent l="0" t="0" r="0" b="0"/>
            <wp:wrapNone/>
            <wp:docPr id="673" name="image15.png" descr=""/>
            <wp:cNvGraphicFramePr>
              <a:graphicFrameLocks noChangeAspect="1"/>
            </wp:cNvGraphicFramePr>
            <a:graphic>
              <a:graphicData uri="http://schemas.openxmlformats.org/drawingml/2006/picture">
                <pic:pic>
                  <pic:nvPicPr>
                    <pic:cNvPr id="674" name="image15.png"/>
                    <pic:cNvPicPr/>
                  </pic:nvPicPr>
                  <pic:blipFill>
                    <a:blip r:embed="rId20" cstate="print"/>
                    <a:stretch>
                      <a:fillRect/>
                    </a:stretch>
                  </pic:blipFill>
                  <pic:spPr>
                    <a:xfrm>
                      <a:off x="0" y="0"/>
                      <a:ext cx="135953" cy="155575"/>
                    </a:xfrm>
                    <a:prstGeom prst="rect">
                      <a:avLst/>
                    </a:prstGeom>
                  </pic:spPr>
                </pic:pic>
              </a:graphicData>
            </a:graphic>
          </wp:anchor>
        </w:drawing>
      </w:r>
    </w:p>
    <w:tbl>
      <w:tblPr>
        <w:tblW w:w="0" w:type="auto"/>
        <w:jc w:val="left"/>
        <w:tblInd w:w="139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504"/>
        <w:gridCol w:w="1257"/>
        <w:gridCol w:w="1191"/>
      </w:tblGrid>
      <w:tr>
        <w:trPr>
          <w:trHeight w:val="909" w:hRule="exact"/>
        </w:trPr>
        <w:tc>
          <w:tcPr>
            <w:tcW w:w="7504" w:type="dxa"/>
          </w:tcPr>
          <w:p>
            <w:pPr>
              <w:pStyle w:val="TableParagraph"/>
              <w:spacing w:before="65"/>
              <w:ind w:left="35"/>
              <w:jc w:val="left"/>
              <w:rPr>
                <w:b/>
                <w:sz w:val="28"/>
              </w:rPr>
            </w:pPr>
            <w:r>
              <w:rPr>
                <w:b/>
                <w:sz w:val="28"/>
              </w:rPr>
              <w:t>Statement of Changes in Equity</w:t>
            </w:r>
          </w:p>
          <w:p>
            <w:pPr>
              <w:pStyle w:val="TableParagraph"/>
              <w:spacing w:before="53"/>
              <w:ind w:left="35"/>
              <w:jc w:val="left"/>
              <w:rPr>
                <w:b/>
                <w:sz w:val="22"/>
              </w:rPr>
            </w:pPr>
            <w:bookmarkStart w:name="Statement of Changes in Equity" w:id="260"/>
            <w:bookmarkEnd w:id="260"/>
            <w:r>
              <w:rPr/>
            </w:r>
            <w:r>
              <w:rPr>
                <w:b/>
                <w:sz w:val="22"/>
              </w:rPr>
              <w:t>For the Year Ended 31 December 2016</w:t>
            </w:r>
          </w:p>
        </w:tc>
        <w:tc>
          <w:tcPr>
            <w:tcW w:w="2448" w:type="dxa"/>
            <w:gridSpan w:val="2"/>
          </w:tcPr>
          <w:p>
            <w:pPr/>
          </w:p>
        </w:tc>
      </w:tr>
      <w:tr>
        <w:trPr>
          <w:trHeight w:val="654" w:hRule="exact"/>
        </w:trPr>
        <w:tc>
          <w:tcPr>
            <w:tcW w:w="7504" w:type="dxa"/>
          </w:tcPr>
          <w:p>
            <w:pPr/>
          </w:p>
        </w:tc>
        <w:tc>
          <w:tcPr>
            <w:tcW w:w="1257" w:type="dxa"/>
          </w:tcPr>
          <w:p>
            <w:pPr>
              <w:pStyle w:val="TableParagraph"/>
              <w:spacing w:before="2"/>
              <w:jc w:val="left"/>
              <w:rPr>
                <w:sz w:val="17"/>
              </w:rPr>
            </w:pPr>
          </w:p>
          <w:p>
            <w:pPr>
              <w:pStyle w:val="TableParagraph"/>
              <w:ind w:left="223" w:right="243" w:firstLine="4"/>
              <w:jc w:val="left"/>
              <w:rPr>
                <w:b/>
                <w:sz w:val="18"/>
              </w:rPr>
            </w:pPr>
            <w:r>
              <w:rPr>
                <w:b/>
                <w:sz w:val="18"/>
              </w:rPr>
              <w:t>Retained Earnings</w:t>
            </w:r>
          </w:p>
        </w:tc>
        <w:tc>
          <w:tcPr>
            <w:tcW w:w="1191" w:type="dxa"/>
          </w:tcPr>
          <w:p>
            <w:pPr>
              <w:pStyle w:val="TableParagraph"/>
              <w:jc w:val="left"/>
              <w:rPr>
                <w:sz w:val="18"/>
              </w:rPr>
            </w:pPr>
          </w:p>
          <w:p>
            <w:pPr>
              <w:pStyle w:val="TableParagraph"/>
              <w:spacing w:before="1"/>
              <w:jc w:val="left"/>
              <w:rPr>
                <w:sz w:val="17"/>
              </w:rPr>
            </w:pPr>
          </w:p>
          <w:p>
            <w:pPr>
              <w:pStyle w:val="TableParagraph"/>
              <w:ind w:left="63"/>
              <w:jc w:val="left"/>
              <w:rPr>
                <w:b/>
                <w:sz w:val="18"/>
              </w:rPr>
            </w:pPr>
            <w:r>
              <w:rPr>
                <w:b/>
                <w:sz w:val="18"/>
              </w:rPr>
              <w:t>Total equity</w:t>
            </w:r>
          </w:p>
        </w:tc>
      </w:tr>
      <w:tr>
        <w:trPr>
          <w:trHeight w:val="271" w:hRule="exact"/>
        </w:trPr>
        <w:tc>
          <w:tcPr>
            <w:tcW w:w="7504" w:type="dxa"/>
          </w:tcPr>
          <w:p>
            <w:pPr/>
          </w:p>
        </w:tc>
        <w:tc>
          <w:tcPr>
            <w:tcW w:w="1257" w:type="dxa"/>
            <w:tcBorders>
              <w:bottom w:val="single" w:sz="1" w:space="0" w:color="000000"/>
            </w:tcBorders>
          </w:tcPr>
          <w:p>
            <w:pPr>
              <w:pStyle w:val="TableParagraph"/>
              <w:spacing w:before="24"/>
              <w:ind w:right="36"/>
              <w:jc w:val="center"/>
              <w:rPr>
                <w:b/>
                <w:sz w:val="18"/>
              </w:rPr>
            </w:pPr>
            <w:r>
              <w:rPr>
                <w:b/>
                <w:w w:val="99"/>
                <w:sz w:val="18"/>
              </w:rPr>
              <w:t>$</w:t>
            </w:r>
          </w:p>
        </w:tc>
        <w:tc>
          <w:tcPr>
            <w:tcW w:w="1191" w:type="dxa"/>
            <w:tcBorders>
              <w:bottom w:val="single" w:sz="1" w:space="0" w:color="000000"/>
            </w:tcBorders>
          </w:tcPr>
          <w:p>
            <w:pPr>
              <w:pStyle w:val="TableParagraph"/>
              <w:spacing w:before="24"/>
              <w:ind w:right="60"/>
              <w:jc w:val="center"/>
              <w:rPr>
                <w:b/>
                <w:sz w:val="18"/>
              </w:rPr>
            </w:pPr>
            <w:r>
              <w:rPr>
                <w:b/>
                <w:w w:val="99"/>
                <w:sz w:val="18"/>
              </w:rPr>
              <w:t>$</w:t>
            </w:r>
          </w:p>
        </w:tc>
      </w:tr>
      <w:tr>
        <w:trPr>
          <w:trHeight w:val="338" w:hRule="exact"/>
        </w:trPr>
        <w:tc>
          <w:tcPr>
            <w:tcW w:w="7504" w:type="dxa"/>
          </w:tcPr>
          <w:p>
            <w:pPr>
              <w:pStyle w:val="TableParagraph"/>
              <w:spacing w:before="46"/>
              <w:ind w:left="61"/>
              <w:jc w:val="left"/>
              <w:rPr>
                <w:b/>
                <w:sz w:val="18"/>
              </w:rPr>
            </w:pPr>
            <w:r>
              <w:rPr>
                <w:b/>
                <w:sz w:val="18"/>
              </w:rPr>
              <w:t>Balance 1 January 2016</w:t>
            </w:r>
          </w:p>
        </w:tc>
        <w:tc>
          <w:tcPr>
            <w:tcW w:w="1257" w:type="dxa"/>
            <w:tcBorders>
              <w:top w:val="single" w:sz="1" w:space="0" w:color="000000"/>
            </w:tcBorders>
          </w:tcPr>
          <w:p>
            <w:pPr>
              <w:pStyle w:val="TableParagraph"/>
              <w:spacing w:before="49"/>
              <w:ind w:right="61"/>
              <w:rPr>
                <w:b/>
                <w:sz w:val="18"/>
              </w:rPr>
            </w:pPr>
            <w:r>
              <w:rPr>
                <w:b/>
                <w:w w:val="95"/>
                <w:sz w:val="18"/>
              </w:rPr>
              <w:t>(2,784,752)</w:t>
            </w:r>
          </w:p>
        </w:tc>
        <w:tc>
          <w:tcPr>
            <w:tcW w:w="1191" w:type="dxa"/>
            <w:tcBorders>
              <w:top w:val="single" w:sz="1" w:space="0" w:color="000000"/>
            </w:tcBorders>
          </w:tcPr>
          <w:p>
            <w:pPr>
              <w:pStyle w:val="TableParagraph"/>
              <w:spacing w:before="49"/>
              <w:ind w:right="26"/>
              <w:rPr>
                <w:b/>
                <w:sz w:val="18"/>
              </w:rPr>
            </w:pPr>
            <w:r>
              <w:rPr>
                <w:b/>
                <w:w w:val="95"/>
                <w:sz w:val="18"/>
              </w:rPr>
              <w:t>(2,784,752)</w:t>
            </w:r>
          </w:p>
        </w:tc>
      </w:tr>
      <w:tr>
        <w:trPr>
          <w:trHeight w:val="292" w:hRule="exact"/>
        </w:trPr>
        <w:tc>
          <w:tcPr>
            <w:tcW w:w="7504" w:type="dxa"/>
          </w:tcPr>
          <w:p>
            <w:pPr>
              <w:pStyle w:val="TableParagraph"/>
              <w:spacing w:before="61"/>
              <w:ind w:left="61"/>
              <w:jc w:val="left"/>
              <w:rPr>
                <w:b/>
                <w:sz w:val="18"/>
              </w:rPr>
            </w:pPr>
            <w:r>
              <w:rPr>
                <w:b/>
                <w:sz w:val="18"/>
              </w:rPr>
              <w:t>Total comprehensive income for the year</w:t>
            </w:r>
          </w:p>
        </w:tc>
        <w:tc>
          <w:tcPr>
            <w:tcW w:w="1257" w:type="dxa"/>
          </w:tcPr>
          <w:p>
            <w:pPr/>
          </w:p>
        </w:tc>
        <w:tc>
          <w:tcPr>
            <w:tcW w:w="1191" w:type="dxa"/>
          </w:tcPr>
          <w:p>
            <w:pPr/>
          </w:p>
        </w:tc>
      </w:tr>
      <w:tr>
        <w:trPr>
          <w:trHeight w:val="247" w:hRule="exact"/>
        </w:trPr>
        <w:tc>
          <w:tcPr>
            <w:tcW w:w="7504" w:type="dxa"/>
          </w:tcPr>
          <w:p>
            <w:pPr>
              <w:pStyle w:val="TableParagraph"/>
              <w:spacing w:before="7"/>
              <w:ind w:left="61"/>
              <w:jc w:val="left"/>
              <w:rPr>
                <w:sz w:val="18"/>
              </w:rPr>
            </w:pPr>
            <w:r>
              <w:rPr>
                <w:sz w:val="18"/>
              </w:rPr>
              <w:t>Deficit for the year</w:t>
            </w:r>
          </w:p>
        </w:tc>
        <w:tc>
          <w:tcPr>
            <w:tcW w:w="1257" w:type="dxa"/>
            <w:tcBorders>
              <w:bottom w:val="single" w:sz="1" w:space="0" w:color="000000"/>
            </w:tcBorders>
          </w:tcPr>
          <w:p>
            <w:pPr>
              <w:pStyle w:val="TableParagraph"/>
              <w:spacing w:before="4"/>
              <w:ind w:right="61"/>
              <w:rPr>
                <w:b/>
                <w:sz w:val="18"/>
              </w:rPr>
            </w:pPr>
            <w:r>
              <w:rPr>
                <w:b/>
                <w:w w:val="95"/>
                <w:sz w:val="18"/>
              </w:rPr>
              <w:t>(1,554,492)</w:t>
            </w:r>
          </w:p>
        </w:tc>
        <w:tc>
          <w:tcPr>
            <w:tcW w:w="1191" w:type="dxa"/>
            <w:tcBorders>
              <w:bottom w:val="single" w:sz="1" w:space="0" w:color="000000"/>
            </w:tcBorders>
          </w:tcPr>
          <w:p>
            <w:pPr>
              <w:pStyle w:val="TableParagraph"/>
              <w:spacing w:before="4"/>
              <w:ind w:right="26"/>
              <w:rPr>
                <w:b/>
                <w:sz w:val="18"/>
              </w:rPr>
            </w:pPr>
            <w:r>
              <w:rPr>
                <w:b/>
                <w:w w:val="95"/>
                <w:sz w:val="18"/>
              </w:rPr>
              <w:t>(1,554,492)</w:t>
            </w:r>
          </w:p>
        </w:tc>
      </w:tr>
      <w:tr>
        <w:trPr>
          <w:trHeight w:val="353" w:hRule="exact"/>
        </w:trPr>
        <w:tc>
          <w:tcPr>
            <w:tcW w:w="7504" w:type="dxa"/>
          </w:tcPr>
          <w:p>
            <w:pPr>
              <w:pStyle w:val="TableParagraph"/>
              <w:tabs>
                <w:tab w:pos="7314" w:val="right" w:leader="none"/>
              </w:tabs>
              <w:spacing w:before="45"/>
              <w:ind w:left="61"/>
              <w:jc w:val="left"/>
              <w:rPr>
                <w:sz w:val="18"/>
              </w:rPr>
            </w:pPr>
            <w:r>
              <w:rPr>
                <w:b/>
                <w:sz w:val="18"/>
              </w:rPr>
              <w:t>Balance at 31 December</w:t>
            </w:r>
            <w:r>
              <w:rPr>
                <w:b/>
                <w:spacing w:val="1"/>
                <w:sz w:val="18"/>
              </w:rPr>
              <w:t> </w:t>
            </w:r>
            <w:r>
              <w:rPr>
                <w:b/>
                <w:sz w:val="18"/>
              </w:rPr>
              <w:t>2016</w:t>
            </w:r>
            <w:r>
              <w:rPr>
                <w:rFonts w:ascii="Times New Roman"/>
                <w:position w:val="8"/>
                <w:sz w:val="18"/>
              </w:rPr>
              <w:tab/>
            </w:r>
            <w:r>
              <w:rPr>
                <w:position w:val="8"/>
                <w:sz w:val="18"/>
              </w:rPr>
              <w:t>17</w:t>
            </w:r>
          </w:p>
        </w:tc>
        <w:tc>
          <w:tcPr>
            <w:tcW w:w="1257" w:type="dxa"/>
            <w:tcBorders>
              <w:top w:val="single" w:sz="1" w:space="0" w:color="000000"/>
              <w:bottom w:val="single" w:sz="1" w:space="0" w:color="000000"/>
            </w:tcBorders>
          </w:tcPr>
          <w:p>
            <w:pPr>
              <w:pStyle w:val="TableParagraph"/>
              <w:spacing w:before="124"/>
              <w:ind w:right="61"/>
              <w:rPr>
                <w:b/>
                <w:sz w:val="18"/>
              </w:rPr>
            </w:pPr>
            <w:r>
              <w:rPr>
                <w:b/>
                <w:w w:val="95"/>
                <w:sz w:val="18"/>
              </w:rPr>
              <w:t>(4,339,244)</w:t>
            </w:r>
          </w:p>
        </w:tc>
        <w:tc>
          <w:tcPr>
            <w:tcW w:w="1191" w:type="dxa"/>
            <w:tcBorders>
              <w:top w:val="single" w:sz="1" w:space="0" w:color="000000"/>
              <w:bottom w:val="single" w:sz="1" w:space="0" w:color="000000"/>
            </w:tcBorders>
          </w:tcPr>
          <w:p>
            <w:pPr>
              <w:pStyle w:val="TableParagraph"/>
              <w:spacing w:before="124"/>
              <w:ind w:right="26"/>
              <w:rPr>
                <w:b/>
                <w:sz w:val="18"/>
              </w:rPr>
            </w:pPr>
            <w:r>
              <w:rPr>
                <w:b/>
                <w:w w:val="95"/>
                <w:sz w:val="18"/>
              </w:rPr>
              <w:t>(4,339,244)</w:t>
            </w:r>
          </w:p>
        </w:tc>
      </w:tr>
      <w:tr>
        <w:trPr>
          <w:trHeight w:val="809" w:hRule="exact"/>
        </w:trPr>
        <w:tc>
          <w:tcPr>
            <w:tcW w:w="7504" w:type="dxa"/>
          </w:tcPr>
          <w:p>
            <w:pPr/>
          </w:p>
        </w:tc>
        <w:tc>
          <w:tcPr>
            <w:tcW w:w="1257" w:type="dxa"/>
            <w:tcBorders>
              <w:top w:val="single" w:sz="1" w:space="0" w:color="000000"/>
            </w:tcBorders>
          </w:tcPr>
          <w:p>
            <w:pPr>
              <w:pStyle w:val="TableParagraph"/>
              <w:jc w:val="left"/>
              <w:rPr>
                <w:sz w:val="18"/>
              </w:rPr>
            </w:pPr>
          </w:p>
          <w:p>
            <w:pPr>
              <w:pStyle w:val="TableParagraph"/>
              <w:spacing w:before="145"/>
              <w:ind w:left="223" w:right="243" w:firstLine="4"/>
              <w:jc w:val="left"/>
              <w:rPr>
                <w:b/>
                <w:sz w:val="18"/>
              </w:rPr>
            </w:pPr>
            <w:r>
              <w:rPr>
                <w:b/>
                <w:sz w:val="18"/>
              </w:rPr>
              <w:t>Retained Earnings</w:t>
            </w:r>
          </w:p>
        </w:tc>
        <w:tc>
          <w:tcPr>
            <w:tcW w:w="1191" w:type="dxa"/>
            <w:tcBorders>
              <w:top w:val="single" w:sz="1" w:space="0" w:color="000000"/>
            </w:tcBorders>
          </w:tcPr>
          <w:p>
            <w:pPr>
              <w:pStyle w:val="TableParagraph"/>
              <w:jc w:val="left"/>
              <w:rPr>
                <w:sz w:val="18"/>
              </w:rPr>
            </w:pPr>
          </w:p>
          <w:p>
            <w:pPr>
              <w:pStyle w:val="TableParagraph"/>
              <w:jc w:val="left"/>
              <w:rPr>
                <w:sz w:val="18"/>
              </w:rPr>
            </w:pPr>
          </w:p>
          <w:p>
            <w:pPr>
              <w:pStyle w:val="TableParagraph"/>
              <w:spacing w:before="144"/>
              <w:ind w:left="63"/>
              <w:jc w:val="left"/>
              <w:rPr>
                <w:b/>
                <w:sz w:val="18"/>
              </w:rPr>
            </w:pPr>
            <w:r>
              <w:rPr>
                <w:b/>
                <w:sz w:val="18"/>
              </w:rPr>
              <w:t>Total equity</w:t>
            </w:r>
          </w:p>
        </w:tc>
      </w:tr>
      <w:tr>
        <w:trPr>
          <w:trHeight w:val="271" w:hRule="exact"/>
        </w:trPr>
        <w:tc>
          <w:tcPr>
            <w:tcW w:w="7504" w:type="dxa"/>
          </w:tcPr>
          <w:p>
            <w:pPr/>
          </w:p>
        </w:tc>
        <w:tc>
          <w:tcPr>
            <w:tcW w:w="1257" w:type="dxa"/>
            <w:tcBorders>
              <w:bottom w:val="single" w:sz="1" w:space="0" w:color="000000"/>
            </w:tcBorders>
          </w:tcPr>
          <w:p>
            <w:pPr>
              <w:pStyle w:val="TableParagraph"/>
              <w:spacing w:before="24"/>
              <w:ind w:right="36"/>
              <w:jc w:val="center"/>
              <w:rPr>
                <w:b/>
                <w:sz w:val="18"/>
              </w:rPr>
            </w:pPr>
            <w:r>
              <w:rPr>
                <w:b/>
                <w:w w:val="99"/>
                <w:sz w:val="18"/>
              </w:rPr>
              <w:t>$</w:t>
            </w:r>
          </w:p>
        </w:tc>
        <w:tc>
          <w:tcPr>
            <w:tcW w:w="1191" w:type="dxa"/>
            <w:tcBorders>
              <w:bottom w:val="single" w:sz="1" w:space="0" w:color="000000"/>
            </w:tcBorders>
          </w:tcPr>
          <w:p>
            <w:pPr>
              <w:pStyle w:val="TableParagraph"/>
              <w:spacing w:before="24"/>
              <w:ind w:right="60"/>
              <w:jc w:val="center"/>
              <w:rPr>
                <w:b/>
                <w:sz w:val="18"/>
              </w:rPr>
            </w:pPr>
            <w:r>
              <w:rPr>
                <w:b/>
                <w:w w:val="99"/>
                <w:sz w:val="18"/>
              </w:rPr>
              <w:t>$</w:t>
            </w:r>
          </w:p>
        </w:tc>
      </w:tr>
      <w:tr>
        <w:trPr>
          <w:trHeight w:val="338" w:hRule="exact"/>
        </w:trPr>
        <w:tc>
          <w:tcPr>
            <w:tcW w:w="7504" w:type="dxa"/>
          </w:tcPr>
          <w:p>
            <w:pPr>
              <w:pStyle w:val="TableParagraph"/>
              <w:spacing w:before="46"/>
              <w:ind w:left="61"/>
              <w:jc w:val="left"/>
              <w:rPr>
                <w:b/>
                <w:sz w:val="18"/>
              </w:rPr>
            </w:pPr>
            <w:r>
              <w:rPr>
                <w:b/>
                <w:sz w:val="18"/>
              </w:rPr>
              <w:t>Balance at 1 January 2015</w:t>
            </w:r>
          </w:p>
        </w:tc>
        <w:tc>
          <w:tcPr>
            <w:tcW w:w="1257" w:type="dxa"/>
            <w:tcBorders>
              <w:top w:val="single" w:sz="1" w:space="0" w:color="000000"/>
            </w:tcBorders>
          </w:tcPr>
          <w:p>
            <w:pPr>
              <w:pStyle w:val="TableParagraph"/>
              <w:spacing w:before="49"/>
              <w:ind w:right="61"/>
              <w:rPr>
                <w:sz w:val="18"/>
              </w:rPr>
            </w:pPr>
            <w:r>
              <w:rPr>
                <w:w w:val="95"/>
                <w:sz w:val="18"/>
              </w:rPr>
              <w:t>(865,059)</w:t>
            </w:r>
          </w:p>
        </w:tc>
        <w:tc>
          <w:tcPr>
            <w:tcW w:w="1191" w:type="dxa"/>
            <w:tcBorders>
              <w:top w:val="single" w:sz="1" w:space="0" w:color="000000"/>
            </w:tcBorders>
          </w:tcPr>
          <w:p>
            <w:pPr>
              <w:pStyle w:val="TableParagraph"/>
              <w:spacing w:before="49"/>
              <w:ind w:right="26"/>
              <w:rPr>
                <w:sz w:val="18"/>
              </w:rPr>
            </w:pPr>
            <w:r>
              <w:rPr>
                <w:w w:val="95"/>
                <w:sz w:val="18"/>
              </w:rPr>
              <w:t>(865,059)</w:t>
            </w:r>
          </w:p>
        </w:tc>
      </w:tr>
      <w:tr>
        <w:trPr>
          <w:trHeight w:val="292" w:hRule="exact"/>
        </w:trPr>
        <w:tc>
          <w:tcPr>
            <w:tcW w:w="7504" w:type="dxa"/>
          </w:tcPr>
          <w:p>
            <w:pPr>
              <w:pStyle w:val="TableParagraph"/>
              <w:spacing w:before="61"/>
              <w:ind w:left="61"/>
              <w:jc w:val="left"/>
              <w:rPr>
                <w:b/>
                <w:sz w:val="18"/>
              </w:rPr>
            </w:pPr>
            <w:r>
              <w:rPr>
                <w:b/>
                <w:sz w:val="18"/>
              </w:rPr>
              <w:t>Total comprehensive income for the year</w:t>
            </w:r>
          </w:p>
        </w:tc>
        <w:tc>
          <w:tcPr>
            <w:tcW w:w="1257" w:type="dxa"/>
          </w:tcPr>
          <w:p>
            <w:pPr/>
          </w:p>
        </w:tc>
        <w:tc>
          <w:tcPr>
            <w:tcW w:w="1191" w:type="dxa"/>
          </w:tcPr>
          <w:p>
            <w:pPr/>
          </w:p>
        </w:tc>
      </w:tr>
      <w:tr>
        <w:trPr>
          <w:trHeight w:val="247" w:hRule="exact"/>
        </w:trPr>
        <w:tc>
          <w:tcPr>
            <w:tcW w:w="7504" w:type="dxa"/>
          </w:tcPr>
          <w:p>
            <w:pPr>
              <w:pStyle w:val="TableParagraph"/>
              <w:spacing w:before="7"/>
              <w:ind w:left="61"/>
              <w:jc w:val="left"/>
              <w:rPr>
                <w:sz w:val="18"/>
              </w:rPr>
            </w:pPr>
            <w:r>
              <w:rPr>
                <w:sz w:val="18"/>
              </w:rPr>
              <w:t>Deficit for the year</w:t>
            </w:r>
          </w:p>
        </w:tc>
        <w:tc>
          <w:tcPr>
            <w:tcW w:w="1257" w:type="dxa"/>
            <w:tcBorders>
              <w:bottom w:val="single" w:sz="1" w:space="0" w:color="000000"/>
            </w:tcBorders>
          </w:tcPr>
          <w:p>
            <w:pPr>
              <w:pStyle w:val="TableParagraph"/>
              <w:spacing w:before="4"/>
              <w:ind w:right="61"/>
              <w:rPr>
                <w:sz w:val="18"/>
              </w:rPr>
            </w:pPr>
            <w:r>
              <w:rPr>
                <w:w w:val="95"/>
                <w:sz w:val="18"/>
              </w:rPr>
              <w:t>(1,919,693)</w:t>
            </w:r>
          </w:p>
        </w:tc>
        <w:tc>
          <w:tcPr>
            <w:tcW w:w="1191" w:type="dxa"/>
            <w:tcBorders>
              <w:bottom w:val="single" w:sz="1" w:space="0" w:color="000000"/>
            </w:tcBorders>
          </w:tcPr>
          <w:p>
            <w:pPr>
              <w:pStyle w:val="TableParagraph"/>
              <w:spacing w:before="4"/>
              <w:ind w:right="26"/>
              <w:rPr>
                <w:sz w:val="18"/>
              </w:rPr>
            </w:pPr>
            <w:r>
              <w:rPr>
                <w:w w:val="95"/>
                <w:sz w:val="18"/>
              </w:rPr>
              <w:t>(1,919,693)</w:t>
            </w:r>
          </w:p>
        </w:tc>
      </w:tr>
      <w:tr>
        <w:trPr>
          <w:trHeight w:val="353" w:hRule="exact"/>
        </w:trPr>
        <w:tc>
          <w:tcPr>
            <w:tcW w:w="7504" w:type="dxa"/>
          </w:tcPr>
          <w:p>
            <w:pPr>
              <w:pStyle w:val="TableParagraph"/>
              <w:tabs>
                <w:tab w:pos="7314" w:val="right" w:leader="none"/>
              </w:tabs>
              <w:spacing w:before="45"/>
              <w:ind w:left="61"/>
              <w:jc w:val="left"/>
              <w:rPr>
                <w:sz w:val="18"/>
              </w:rPr>
            </w:pPr>
            <w:r>
              <w:rPr>
                <w:b/>
                <w:sz w:val="18"/>
              </w:rPr>
              <w:t>Balance at 31 December</w:t>
            </w:r>
            <w:r>
              <w:rPr>
                <w:b/>
                <w:spacing w:val="1"/>
                <w:sz w:val="18"/>
              </w:rPr>
              <w:t> </w:t>
            </w:r>
            <w:r>
              <w:rPr>
                <w:b/>
                <w:sz w:val="18"/>
              </w:rPr>
              <w:t>2015</w:t>
            </w:r>
            <w:r>
              <w:rPr>
                <w:rFonts w:ascii="Times New Roman"/>
                <w:position w:val="8"/>
                <w:sz w:val="18"/>
              </w:rPr>
              <w:tab/>
            </w:r>
            <w:r>
              <w:rPr>
                <w:position w:val="8"/>
                <w:sz w:val="18"/>
              </w:rPr>
              <w:t>17</w:t>
            </w:r>
          </w:p>
        </w:tc>
        <w:tc>
          <w:tcPr>
            <w:tcW w:w="1257" w:type="dxa"/>
            <w:tcBorders>
              <w:top w:val="single" w:sz="1" w:space="0" w:color="000000"/>
              <w:bottom w:val="single" w:sz="1" w:space="0" w:color="000000"/>
            </w:tcBorders>
          </w:tcPr>
          <w:p>
            <w:pPr>
              <w:pStyle w:val="TableParagraph"/>
              <w:spacing w:before="124"/>
              <w:ind w:right="61"/>
              <w:rPr>
                <w:sz w:val="18"/>
              </w:rPr>
            </w:pPr>
            <w:r>
              <w:rPr>
                <w:w w:val="95"/>
                <w:sz w:val="18"/>
              </w:rPr>
              <w:t>(2,784,752)</w:t>
            </w:r>
          </w:p>
        </w:tc>
        <w:tc>
          <w:tcPr>
            <w:tcW w:w="1191" w:type="dxa"/>
            <w:tcBorders>
              <w:top w:val="single" w:sz="1" w:space="0" w:color="000000"/>
              <w:bottom w:val="single" w:sz="1" w:space="0" w:color="000000"/>
            </w:tcBorders>
          </w:tcPr>
          <w:p>
            <w:pPr>
              <w:pStyle w:val="TableParagraph"/>
              <w:spacing w:before="124"/>
              <w:ind w:right="26"/>
              <w:rPr>
                <w:sz w:val="18"/>
              </w:rPr>
            </w:pPr>
            <w:r>
              <w:rPr>
                <w:w w:val="95"/>
                <w:sz w:val="18"/>
              </w:rPr>
              <w:t>(2,784,752)</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21"/>
        </w:rPr>
      </w:pPr>
    </w:p>
    <w:p>
      <w:pPr>
        <w:pStyle w:val="BodyText"/>
        <w:ind w:left="3787"/>
      </w:pPr>
      <w:r>
        <w:rPr/>
        <w:t>The accompanying notes form part of these financial statements.</w:t>
      </w:r>
    </w:p>
    <w:p>
      <w:pPr>
        <w:spacing w:after="0"/>
        <w:sectPr>
          <w:pgSz w:w="12750" w:h="17680"/>
          <w:pgMar w:header="0" w:footer="867" w:top="1880" w:bottom="1120" w:left="0" w:right="0"/>
        </w:sectPr>
      </w:pPr>
    </w:p>
    <w:p>
      <w:pPr>
        <w:pStyle w:val="BodyText"/>
        <w:spacing w:before="1"/>
        <w:rPr>
          <w:sz w:val="24"/>
        </w:rPr>
      </w:pPr>
    </w:p>
    <w:tbl>
      <w:tblPr>
        <w:tblW w:w="0" w:type="auto"/>
        <w:jc w:val="left"/>
        <w:tblInd w:w="139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455"/>
        <w:gridCol w:w="1900"/>
        <w:gridCol w:w="1402"/>
        <w:gridCol w:w="1190"/>
      </w:tblGrid>
      <w:tr>
        <w:trPr>
          <w:trHeight w:val="909" w:hRule="exact"/>
        </w:trPr>
        <w:tc>
          <w:tcPr>
            <w:tcW w:w="5455" w:type="dxa"/>
          </w:tcPr>
          <w:p>
            <w:pPr>
              <w:pStyle w:val="TableParagraph"/>
              <w:spacing w:before="65"/>
              <w:ind w:left="35"/>
              <w:jc w:val="left"/>
              <w:rPr>
                <w:b/>
                <w:sz w:val="28"/>
              </w:rPr>
            </w:pPr>
            <w:r>
              <w:rPr>
                <w:b/>
                <w:sz w:val="28"/>
              </w:rPr>
              <w:t>Statement of Cash Flows</w:t>
            </w:r>
          </w:p>
          <w:p>
            <w:pPr>
              <w:pStyle w:val="TableParagraph"/>
              <w:spacing w:before="53"/>
              <w:ind w:left="35"/>
              <w:jc w:val="left"/>
              <w:rPr>
                <w:b/>
                <w:sz w:val="22"/>
              </w:rPr>
            </w:pPr>
            <w:bookmarkStart w:name="Statement of Cash Flows" w:id="261"/>
            <w:bookmarkEnd w:id="261"/>
            <w:r>
              <w:rPr/>
            </w:r>
            <w:r>
              <w:rPr>
                <w:b/>
                <w:sz w:val="22"/>
              </w:rPr>
              <w:t>For the Year Ended 31 December 2016</w:t>
            </w:r>
          </w:p>
        </w:tc>
        <w:tc>
          <w:tcPr>
            <w:tcW w:w="4492" w:type="dxa"/>
            <w:gridSpan w:val="3"/>
          </w:tcPr>
          <w:p>
            <w:pPr/>
          </w:p>
        </w:tc>
      </w:tr>
      <w:tr>
        <w:trPr>
          <w:trHeight w:val="447" w:hRule="exact"/>
        </w:trPr>
        <w:tc>
          <w:tcPr>
            <w:tcW w:w="5455" w:type="dxa"/>
          </w:tcPr>
          <w:p>
            <w:pPr/>
          </w:p>
        </w:tc>
        <w:tc>
          <w:tcPr>
            <w:tcW w:w="1900" w:type="dxa"/>
          </w:tcPr>
          <w:p>
            <w:pPr/>
          </w:p>
        </w:tc>
        <w:tc>
          <w:tcPr>
            <w:tcW w:w="1402" w:type="dxa"/>
          </w:tcPr>
          <w:p>
            <w:pPr>
              <w:pStyle w:val="TableParagraph"/>
              <w:spacing w:before="2"/>
              <w:jc w:val="left"/>
              <w:rPr>
                <w:sz w:val="17"/>
              </w:rPr>
            </w:pPr>
          </w:p>
          <w:p>
            <w:pPr>
              <w:pStyle w:val="TableParagraph"/>
              <w:ind w:left="444"/>
              <w:jc w:val="left"/>
              <w:rPr>
                <w:b/>
                <w:sz w:val="18"/>
              </w:rPr>
            </w:pPr>
            <w:r>
              <w:rPr>
                <w:b/>
                <w:sz w:val="18"/>
              </w:rPr>
              <w:t>2016</w:t>
            </w:r>
          </w:p>
        </w:tc>
        <w:tc>
          <w:tcPr>
            <w:tcW w:w="1190" w:type="dxa"/>
          </w:tcPr>
          <w:p>
            <w:pPr>
              <w:pStyle w:val="TableParagraph"/>
              <w:spacing w:before="2"/>
              <w:jc w:val="left"/>
              <w:rPr>
                <w:sz w:val="17"/>
              </w:rPr>
            </w:pPr>
          </w:p>
          <w:p>
            <w:pPr>
              <w:pStyle w:val="TableParagraph"/>
              <w:ind w:left="338"/>
              <w:jc w:val="left"/>
              <w:rPr>
                <w:b/>
                <w:sz w:val="18"/>
              </w:rPr>
            </w:pPr>
            <w:r>
              <w:rPr>
                <w:b/>
                <w:sz w:val="18"/>
              </w:rPr>
              <w:t>2015</w:t>
            </w:r>
          </w:p>
        </w:tc>
      </w:tr>
      <w:tr>
        <w:trPr>
          <w:trHeight w:val="313" w:hRule="exact"/>
        </w:trPr>
        <w:tc>
          <w:tcPr>
            <w:tcW w:w="5455" w:type="dxa"/>
          </w:tcPr>
          <w:p>
            <w:pPr/>
          </w:p>
        </w:tc>
        <w:tc>
          <w:tcPr>
            <w:tcW w:w="1900" w:type="dxa"/>
          </w:tcPr>
          <w:p>
            <w:pPr>
              <w:pStyle w:val="TableParagraph"/>
              <w:spacing w:before="24"/>
              <w:ind w:right="87"/>
              <w:rPr>
                <w:b/>
                <w:sz w:val="18"/>
              </w:rPr>
            </w:pPr>
            <w:r>
              <w:rPr>
                <w:b/>
                <w:w w:val="95"/>
                <w:sz w:val="18"/>
              </w:rPr>
              <w:t>Note</w:t>
            </w:r>
          </w:p>
        </w:tc>
        <w:tc>
          <w:tcPr>
            <w:tcW w:w="1402" w:type="dxa"/>
          </w:tcPr>
          <w:p>
            <w:pPr>
              <w:pStyle w:val="TableParagraph"/>
              <w:spacing w:before="24"/>
              <w:ind w:right="109"/>
              <w:jc w:val="center"/>
              <w:rPr>
                <w:b/>
                <w:sz w:val="18"/>
              </w:rPr>
            </w:pPr>
            <w:r>
              <w:rPr>
                <w:b/>
                <w:w w:val="99"/>
                <w:sz w:val="18"/>
              </w:rPr>
              <w:t>$</w:t>
            </w:r>
          </w:p>
        </w:tc>
        <w:tc>
          <w:tcPr>
            <w:tcW w:w="1190" w:type="dxa"/>
          </w:tcPr>
          <w:p>
            <w:pPr>
              <w:pStyle w:val="TableParagraph"/>
              <w:spacing w:before="24"/>
              <w:ind w:right="109"/>
              <w:jc w:val="center"/>
              <w:rPr>
                <w:b/>
                <w:sz w:val="18"/>
              </w:rPr>
            </w:pPr>
            <w:r>
              <w:rPr>
                <w:b/>
                <w:w w:val="99"/>
                <w:sz w:val="18"/>
              </w:rPr>
              <w:t>$</w:t>
            </w:r>
          </w:p>
        </w:tc>
      </w:tr>
      <w:tr>
        <w:trPr>
          <w:trHeight w:val="542" w:hRule="exact"/>
        </w:trPr>
        <w:tc>
          <w:tcPr>
            <w:tcW w:w="5455" w:type="dxa"/>
          </w:tcPr>
          <w:p>
            <w:pPr>
              <w:pStyle w:val="TableParagraph"/>
              <w:spacing w:before="63"/>
              <w:ind w:left="61"/>
              <w:jc w:val="left"/>
              <w:rPr>
                <w:b/>
                <w:sz w:val="18"/>
              </w:rPr>
            </w:pPr>
            <w:r>
              <w:rPr>
                <w:b/>
                <w:sz w:val="18"/>
              </w:rPr>
              <w:t>CASH FLOWS FROM OPERATING ACTIVITIES</w:t>
            </w:r>
          </w:p>
          <w:p>
            <w:pPr>
              <w:pStyle w:val="TableParagraph"/>
              <w:spacing w:before="26"/>
              <w:ind w:left="61"/>
              <w:jc w:val="left"/>
              <w:rPr>
                <w:sz w:val="18"/>
              </w:rPr>
            </w:pPr>
            <w:r>
              <w:rPr>
                <w:sz w:val="18"/>
              </w:rPr>
              <w:t>Receipts from customers</w:t>
            </w:r>
          </w:p>
        </w:tc>
        <w:tc>
          <w:tcPr>
            <w:tcW w:w="1900" w:type="dxa"/>
          </w:tcPr>
          <w:p>
            <w:pPr/>
          </w:p>
        </w:tc>
        <w:tc>
          <w:tcPr>
            <w:tcW w:w="1402" w:type="dxa"/>
          </w:tcPr>
          <w:p>
            <w:pPr>
              <w:pStyle w:val="TableParagraph"/>
              <w:spacing w:before="11"/>
              <w:jc w:val="left"/>
              <w:rPr>
                <w:sz w:val="25"/>
              </w:rPr>
            </w:pPr>
          </w:p>
          <w:p>
            <w:pPr>
              <w:pStyle w:val="TableParagraph"/>
              <w:ind w:left="300"/>
              <w:jc w:val="left"/>
              <w:rPr>
                <w:b/>
                <w:sz w:val="18"/>
              </w:rPr>
            </w:pPr>
            <w:r>
              <w:rPr>
                <w:b/>
                <w:sz w:val="18"/>
              </w:rPr>
              <w:t>21,333,696</w:t>
            </w:r>
          </w:p>
        </w:tc>
        <w:tc>
          <w:tcPr>
            <w:tcW w:w="1190" w:type="dxa"/>
          </w:tcPr>
          <w:p>
            <w:pPr>
              <w:pStyle w:val="TableParagraph"/>
              <w:spacing w:before="11"/>
              <w:jc w:val="left"/>
              <w:rPr>
                <w:sz w:val="25"/>
              </w:rPr>
            </w:pPr>
          </w:p>
          <w:p>
            <w:pPr>
              <w:pStyle w:val="TableParagraph"/>
              <w:ind w:right="87"/>
              <w:rPr>
                <w:sz w:val="18"/>
              </w:rPr>
            </w:pPr>
            <w:r>
              <w:rPr>
                <w:w w:val="95"/>
                <w:sz w:val="18"/>
              </w:rPr>
              <w:t>24,246,149</w:t>
            </w:r>
          </w:p>
        </w:tc>
      </w:tr>
      <w:tr>
        <w:trPr>
          <w:trHeight w:val="264" w:hRule="exact"/>
        </w:trPr>
        <w:tc>
          <w:tcPr>
            <w:tcW w:w="5455" w:type="dxa"/>
          </w:tcPr>
          <w:p>
            <w:pPr>
              <w:pStyle w:val="TableParagraph"/>
              <w:spacing w:before="18"/>
              <w:ind w:left="61"/>
              <w:jc w:val="left"/>
              <w:rPr>
                <w:sz w:val="18"/>
              </w:rPr>
            </w:pPr>
            <w:r>
              <w:rPr>
                <w:sz w:val="18"/>
              </w:rPr>
              <w:t>Payments to suppliers and employees</w:t>
            </w:r>
          </w:p>
        </w:tc>
        <w:tc>
          <w:tcPr>
            <w:tcW w:w="1900" w:type="dxa"/>
          </w:tcPr>
          <w:p>
            <w:pPr/>
          </w:p>
        </w:tc>
        <w:tc>
          <w:tcPr>
            <w:tcW w:w="1402" w:type="dxa"/>
          </w:tcPr>
          <w:p>
            <w:pPr>
              <w:pStyle w:val="TableParagraph"/>
              <w:spacing w:before="20"/>
              <w:ind w:right="132"/>
              <w:rPr>
                <w:b/>
                <w:sz w:val="18"/>
              </w:rPr>
            </w:pPr>
            <w:r>
              <w:rPr>
                <w:b/>
                <w:w w:val="95"/>
                <w:sz w:val="18"/>
              </w:rPr>
              <w:t>(21,832,076)</w:t>
            </w:r>
          </w:p>
        </w:tc>
        <w:tc>
          <w:tcPr>
            <w:tcW w:w="1190" w:type="dxa"/>
          </w:tcPr>
          <w:p>
            <w:pPr>
              <w:pStyle w:val="TableParagraph"/>
              <w:spacing w:before="20"/>
              <w:ind w:right="26"/>
              <w:rPr>
                <w:sz w:val="18"/>
              </w:rPr>
            </w:pPr>
            <w:r>
              <w:rPr>
                <w:w w:val="95"/>
                <w:sz w:val="18"/>
              </w:rPr>
              <w:t>(25,550,529)</w:t>
            </w:r>
          </w:p>
        </w:tc>
      </w:tr>
      <w:tr>
        <w:trPr>
          <w:trHeight w:val="264" w:hRule="exact"/>
        </w:trPr>
        <w:tc>
          <w:tcPr>
            <w:tcW w:w="5455" w:type="dxa"/>
          </w:tcPr>
          <w:p>
            <w:pPr>
              <w:pStyle w:val="TableParagraph"/>
              <w:spacing w:before="18"/>
              <w:ind w:left="61"/>
              <w:jc w:val="left"/>
              <w:rPr>
                <w:sz w:val="18"/>
              </w:rPr>
            </w:pPr>
            <w:r>
              <w:rPr>
                <w:sz w:val="18"/>
              </w:rPr>
              <w:t>Interest received</w:t>
            </w:r>
          </w:p>
        </w:tc>
        <w:tc>
          <w:tcPr>
            <w:tcW w:w="1900" w:type="dxa"/>
          </w:tcPr>
          <w:p>
            <w:pPr/>
          </w:p>
        </w:tc>
        <w:tc>
          <w:tcPr>
            <w:tcW w:w="1402" w:type="dxa"/>
          </w:tcPr>
          <w:p>
            <w:pPr>
              <w:pStyle w:val="TableParagraph"/>
              <w:spacing w:before="20"/>
              <w:ind w:right="192"/>
              <w:rPr>
                <w:b/>
                <w:sz w:val="18"/>
              </w:rPr>
            </w:pPr>
            <w:r>
              <w:rPr>
                <w:b/>
                <w:w w:val="95"/>
                <w:sz w:val="18"/>
              </w:rPr>
              <w:t>16,400</w:t>
            </w:r>
          </w:p>
        </w:tc>
        <w:tc>
          <w:tcPr>
            <w:tcW w:w="1190" w:type="dxa"/>
          </w:tcPr>
          <w:p>
            <w:pPr>
              <w:pStyle w:val="TableParagraph"/>
              <w:spacing w:before="20"/>
              <w:ind w:right="87"/>
              <w:rPr>
                <w:sz w:val="18"/>
              </w:rPr>
            </w:pPr>
            <w:r>
              <w:rPr>
                <w:w w:val="95"/>
                <w:sz w:val="18"/>
              </w:rPr>
              <w:t>11,663</w:t>
            </w:r>
          </w:p>
        </w:tc>
      </w:tr>
      <w:tr>
        <w:trPr>
          <w:trHeight w:val="262" w:hRule="exact"/>
        </w:trPr>
        <w:tc>
          <w:tcPr>
            <w:tcW w:w="5455" w:type="dxa"/>
          </w:tcPr>
          <w:p>
            <w:pPr>
              <w:pStyle w:val="TableParagraph"/>
              <w:spacing w:before="18"/>
              <w:ind w:left="61"/>
              <w:jc w:val="left"/>
              <w:rPr>
                <w:sz w:val="18"/>
              </w:rPr>
            </w:pPr>
            <w:r>
              <w:rPr>
                <w:sz w:val="18"/>
              </w:rPr>
              <w:t>Interest paid</w:t>
            </w:r>
          </w:p>
        </w:tc>
        <w:tc>
          <w:tcPr>
            <w:tcW w:w="1900" w:type="dxa"/>
          </w:tcPr>
          <w:p>
            <w:pPr/>
          </w:p>
        </w:tc>
        <w:tc>
          <w:tcPr>
            <w:tcW w:w="1402" w:type="dxa"/>
            <w:tcBorders>
              <w:bottom w:val="single" w:sz="1" w:space="0" w:color="000000"/>
            </w:tcBorders>
          </w:tcPr>
          <w:p>
            <w:pPr>
              <w:pStyle w:val="TableParagraph"/>
              <w:spacing w:before="20"/>
              <w:ind w:right="132"/>
              <w:rPr>
                <w:b/>
                <w:sz w:val="18"/>
              </w:rPr>
            </w:pPr>
            <w:r>
              <w:rPr>
                <w:b/>
                <w:w w:val="95"/>
                <w:sz w:val="18"/>
              </w:rPr>
              <w:t>(199,317)</w:t>
            </w:r>
          </w:p>
        </w:tc>
        <w:tc>
          <w:tcPr>
            <w:tcW w:w="1190" w:type="dxa"/>
            <w:tcBorders>
              <w:bottom w:val="single" w:sz="1" w:space="0" w:color="000000"/>
            </w:tcBorders>
          </w:tcPr>
          <w:p>
            <w:pPr>
              <w:pStyle w:val="TableParagraph"/>
              <w:spacing w:before="20"/>
              <w:ind w:right="228"/>
              <w:rPr>
                <w:sz w:val="18"/>
              </w:rPr>
            </w:pPr>
            <w:r>
              <w:rPr>
                <w:w w:val="99"/>
                <w:sz w:val="18"/>
              </w:rPr>
              <w:t>-</w:t>
            </w:r>
          </w:p>
        </w:tc>
      </w:tr>
      <w:tr>
        <w:trPr>
          <w:trHeight w:val="338" w:hRule="exact"/>
        </w:trPr>
        <w:tc>
          <w:tcPr>
            <w:tcW w:w="5455" w:type="dxa"/>
          </w:tcPr>
          <w:p>
            <w:pPr>
              <w:pStyle w:val="TableParagraph"/>
              <w:spacing w:before="38"/>
              <w:ind w:left="61"/>
              <w:jc w:val="left"/>
              <w:rPr>
                <w:b/>
                <w:sz w:val="18"/>
              </w:rPr>
            </w:pPr>
            <w:r>
              <w:rPr>
                <w:b/>
                <w:sz w:val="18"/>
              </w:rPr>
              <w:t>Net cash flows used in operating activities</w:t>
            </w:r>
          </w:p>
        </w:tc>
        <w:tc>
          <w:tcPr>
            <w:tcW w:w="1900" w:type="dxa"/>
          </w:tcPr>
          <w:p>
            <w:pPr>
              <w:pStyle w:val="TableParagraph"/>
              <w:spacing w:before="41"/>
              <w:ind w:right="187"/>
              <w:rPr>
                <w:sz w:val="18"/>
              </w:rPr>
            </w:pPr>
            <w:r>
              <w:rPr>
                <w:w w:val="95"/>
                <w:sz w:val="18"/>
              </w:rPr>
              <w:t>24</w:t>
            </w:r>
          </w:p>
        </w:tc>
        <w:tc>
          <w:tcPr>
            <w:tcW w:w="1402" w:type="dxa"/>
            <w:tcBorders>
              <w:top w:val="single" w:sz="1" w:space="0" w:color="000000"/>
              <w:bottom w:val="single" w:sz="1" w:space="0" w:color="000000"/>
            </w:tcBorders>
          </w:tcPr>
          <w:p>
            <w:pPr>
              <w:pStyle w:val="TableParagraph"/>
              <w:spacing w:before="124"/>
              <w:ind w:right="132"/>
              <w:rPr>
                <w:b/>
                <w:sz w:val="18"/>
              </w:rPr>
            </w:pPr>
            <w:r>
              <w:rPr>
                <w:b/>
                <w:w w:val="95"/>
                <w:sz w:val="18"/>
              </w:rPr>
              <w:t>(681,297)</w:t>
            </w:r>
          </w:p>
        </w:tc>
        <w:tc>
          <w:tcPr>
            <w:tcW w:w="1190" w:type="dxa"/>
            <w:tcBorders>
              <w:top w:val="single" w:sz="1" w:space="0" w:color="000000"/>
              <w:bottom w:val="single" w:sz="1" w:space="0" w:color="000000"/>
            </w:tcBorders>
          </w:tcPr>
          <w:p>
            <w:pPr>
              <w:pStyle w:val="TableParagraph"/>
              <w:spacing w:before="124"/>
              <w:ind w:right="26"/>
              <w:rPr>
                <w:sz w:val="18"/>
              </w:rPr>
            </w:pPr>
            <w:r>
              <w:rPr>
                <w:w w:val="95"/>
                <w:sz w:val="18"/>
              </w:rPr>
              <w:t>(1,292,717)</w:t>
            </w:r>
          </w:p>
        </w:tc>
      </w:tr>
      <w:tr>
        <w:trPr>
          <w:trHeight w:val="895" w:hRule="exact"/>
        </w:trPr>
        <w:tc>
          <w:tcPr>
            <w:tcW w:w="5455" w:type="dxa"/>
          </w:tcPr>
          <w:p>
            <w:pPr>
              <w:pStyle w:val="TableParagraph"/>
              <w:jc w:val="left"/>
              <w:rPr>
                <w:sz w:val="18"/>
              </w:rPr>
            </w:pPr>
          </w:p>
          <w:p>
            <w:pPr>
              <w:pStyle w:val="TableParagraph"/>
              <w:spacing w:before="4"/>
              <w:jc w:val="left"/>
              <w:rPr>
                <w:sz w:val="18"/>
              </w:rPr>
            </w:pPr>
          </w:p>
          <w:p>
            <w:pPr>
              <w:pStyle w:val="TableParagraph"/>
              <w:ind w:left="61"/>
              <w:jc w:val="left"/>
              <w:rPr>
                <w:b/>
                <w:sz w:val="18"/>
              </w:rPr>
            </w:pPr>
            <w:r>
              <w:rPr>
                <w:b/>
                <w:sz w:val="18"/>
              </w:rPr>
              <w:t>CASH FLOWS FROM INVESTING ACTIVITIES</w:t>
            </w:r>
          </w:p>
          <w:p>
            <w:pPr>
              <w:pStyle w:val="TableParagraph"/>
              <w:spacing w:before="26"/>
              <w:ind w:left="61"/>
              <w:jc w:val="left"/>
              <w:rPr>
                <w:sz w:val="18"/>
              </w:rPr>
            </w:pPr>
            <w:r>
              <w:rPr>
                <w:sz w:val="18"/>
              </w:rPr>
              <w:t>Proceeds from sale of plant and equipment</w:t>
            </w:r>
          </w:p>
        </w:tc>
        <w:tc>
          <w:tcPr>
            <w:tcW w:w="1900" w:type="dxa"/>
          </w:tcPr>
          <w:p>
            <w:pPr/>
          </w:p>
        </w:tc>
        <w:tc>
          <w:tcPr>
            <w:tcW w:w="1402" w:type="dxa"/>
            <w:tcBorders>
              <w:top w:val="single" w:sz="1" w:space="0" w:color="000000"/>
              <w:bottom w:val="single" w:sz="1" w:space="0" w:color="000000"/>
            </w:tcBorders>
          </w:tcPr>
          <w:p>
            <w:pPr>
              <w:pStyle w:val="TableParagraph"/>
              <w:jc w:val="left"/>
              <w:rPr>
                <w:sz w:val="18"/>
              </w:rPr>
            </w:pPr>
          </w:p>
          <w:p>
            <w:pPr>
              <w:pStyle w:val="TableParagraph"/>
              <w:jc w:val="left"/>
              <w:rPr>
                <w:sz w:val="18"/>
              </w:rPr>
            </w:pPr>
          </w:p>
          <w:p>
            <w:pPr>
              <w:pStyle w:val="TableParagraph"/>
              <w:spacing w:before="8"/>
              <w:jc w:val="left"/>
              <w:rPr>
                <w:sz w:val="20"/>
              </w:rPr>
            </w:pPr>
          </w:p>
          <w:p>
            <w:pPr>
              <w:pStyle w:val="TableParagraph"/>
              <w:ind w:right="192"/>
              <w:rPr>
                <w:b/>
                <w:sz w:val="18"/>
              </w:rPr>
            </w:pPr>
            <w:r>
              <w:rPr>
                <w:b/>
                <w:w w:val="95"/>
                <w:sz w:val="18"/>
              </w:rPr>
              <w:t>66,850</w:t>
            </w:r>
          </w:p>
        </w:tc>
        <w:tc>
          <w:tcPr>
            <w:tcW w:w="1190" w:type="dxa"/>
            <w:tcBorders>
              <w:top w:val="single" w:sz="1" w:space="0" w:color="000000"/>
              <w:bottom w:val="single" w:sz="1" w:space="0" w:color="000000"/>
            </w:tcBorders>
          </w:tcPr>
          <w:p>
            <w:pPr>
              <w:pStyle w:val="TableParagraph"/>
              <w:jc w:val="left"/>
              <w:rPr>
                <w:sz w:val="18"/>
              </w:rPr>
            </w:pPr>
          </w:p>
          <w:p>
            <w:pPr>
              <w:pStyle w:val="TableParagraph"/>
              <w:jc w:val="left"/>
              <w:rPr>
                <w:sz w:val="18"/>
              </w:rPr>
            </w:pPr>
          </w:p>
          <w:p>
            <w:pPr>
              <w:pStyle w:val="TableParagraph"/>
              <w:spacing w:before="8"/>
              <w:jc w:val="left"/>
              <w:rPr>
                <w:sz w:val="20"/>
              </w:rPr>
            </w:pPr>
          </w:p>
          <w:p>
            <w:pPr>
              <w:pStyle w:val="TableParagraph"/>
              <w:ind w:right="87"/>
              <w:rPr>
                <w:sz w:val="18"/>
              </w:rPr>
            </w:pPr>
            <w:r>
              <w:rPr>
                <w:w w:val="95"/>
                <w:sz w:val="18"/>
              </w:rPr>
              <w:t>36,370</w:t>
            </w:r>
          </w:p>
        </w:tc>
      </w:tr>
      <w:tr>
        <w:trPr>
          <w:trHeight w:val="338" w:hRule="exact"/>
        </w:trPr>
        <w:tc>
          <w:tcPr>
            <w:tcW w:w="5455" w:type="dxa"/>
          </w:tcPr>
          <w:p>
            <w:pPr>
              <w:pStyle w:val="TableParagraph"/>
              <w:spacing w:before="38"/>
              <w:ind w:left="61"/>
              <w:jc w:val="left"/>
              <w:rPr>
                <w:b/>
                <w:sz w:val="18"/>
              </w:rPr>
            </w:pPr>
            <w:r>
              <w:rPr>
                <w:b/>
                <w:sz w:val="18"/>
              </w:rPr>
              <w:t>Net cash provided by investing activities</w:t>
            </w:r>
          </w:p>
        </w:tc>
        <w:tc>
          <w:tcPr>
            <w:tcW w:w="1900" w:type="dxa"/>
          </w:tcPr>
          <w:p>
            <w:pPr/>
          </w:p>
        </w:tc>
        <w:tc>
          <w:tcPr>
            <w:tcW w:w="1402" w:type="dxa"/>
            <w:tcBorders>
              <w:top w:val="single" w:sz="1" w:space="0" w:color="000000"/>
              <w:bottom w:val="single" w:sz="1" w:space="0" w:color="000000"/>
            </w:tcBorders>
          </w:tcPr>
          <w:p>
            <w:pPr>
              <w:pStyle w:val="TableParagraph"/>
              <w:spacing w:before="124"/>
              <w:ind w:right="192"/>
              <w:rPr>
                <w:b/>
                <w:sz w:val="18"/>
              </w:rPr>
            </w:pPr>
            <w:r>
              <w:rPr>
                <w:b/>
                <w:w w:val="95"/>
                <w:sz w:val="18"/>
              </w:rPr>
              <w:t>66,850</w:t>
            </w:r>
          </w:p>
        </w:tc>
        <w:tc>
          <w:tcPr>
            <w:tcW w:w="1190" w:type="dxa"/>
            <w:tcBorders>
              <w:top w:val="single" w:sz="1" w:space="0" w:color="000000"/>
              <w:bottom w:val="single" w:sz="1" w:space="0" w:color="000000"/>
            </w:tcBorders>
          </w:tcPr>
          <w:p>
            <w:pPr>
              <w:pStyle w:val="TableParagraph"/>
              <w:spacing w:before="124"/>
              <w:ind w:right="87"/>
              <w:rPr>
                <w:sz w:val="18"/>
              </w:rPr>
            </w:pPr>
            <w:r>
              <w:rPr>
                <w:w w:val="95"/>
                <w:sz w:val="18"/>
              </w:rPr>
              <w:t>36,370</w:t>
            </w:r>
          </w:p>
        </w:tc>
      </w:tr>
      <w:tr>
        <w:trPr>
          <w:trHeight w:val="897" w:hRule="exact"/>
        </w:trPr>
        <w:tc>
          <w:tcPr>
            <w:tcW w:w="5455" w:type="dxa"/>
          </w:tcPr>
          <w:p>
            <w:pPr>
              <w:pStyle w:val="TableParagraph"/>
              <w:jc w:val="left"/>
              <w:rPr>
                <w:sz w:val="18"/>
              </w:rPr>
            </w:pPr>
          </w:p>
          <w:p>
            <w:pPr>
              <w:pStyle w:val="TableParagraph"/>
              <w:spacing w:before="4"/>
              <w:jc w:val="left"/>
              <w:rPr>
                <w:sz w:val="18"/>
              </w:rPr>
            </w:pPr>
          </w:p>
          <w:p>
            <w:pPr>
              <w:pStyle w:val="TableParagraph"/>
              <w:ind w:left="61"/>
              <w:jc w:val="left"/>
              <w:rPr>
                <w:b/>
                <w:sz w:val="18"/>
              </w:rPr>
            </w:pPr>
            <w:r>
              <w:rPr>
                <w:b/>
                <w:sz w:val="18"/>
              </w:rPr>
              <w:t>CASH FLOWS FROM FINANCING ACTIVITIES</w:t>
            </w:r>
          </w:p>
          <w:p>
            <w:pPr>
              <w:pStyle w:val="TableParagraph"/>
              <w:spacing w:before="26"/>
              <w:ind w:left="61"/>
              <w:jc w:val="left"/>
              <w:rPr>
                <w:sz w:val="18"/>
              </w:rPr>
            </w:pPr>
            <w:r>
              <w:rPr>
                <w:sz w:val="18"/>
              </w:rPr>
              <w:t>Proceeds from borrowings</w:t>
            </w:r>
          </w:p>
        </w:tc>
        <w:tc>
          <w:tcPr>
            <w:tcW w:w="1900" w:type="dxa"/>
          </w:tcPr>
          <w:p>
            <w:pPr/>
          </w:p>
        </w:tc>
        <w:tc>
          <w:tcPr>
            <w:tcW w:w="1402" w:type="dxa"/>
            <w:tcBorders>
              <w:top w:val="single" w:sz="1" w:space="0" w:color="000000"/>
            </w:tcBorders>
          </w:tcPr>
          <w:p>
            <w:pPr>
              <w:pStyle w:val="TableParagraph"/>
              <w:jc w:val="left"/>
              <w:rPr>
                <w:sz w:val="18"/>
              </w:rPr>
            </w:pPr>
          </w:p>
          <w:p>
            <w:pPr>
              <w:pStyle w:val="TableParagraph"/>
              <w:jc w:val="left"/>
              <w:rPr>
                <w:sz w:val="18"/>
              </w:rPr>
            </w:pPr>
          </w:p>
          <w:p>
            <w:pPr>
              <w:pStyle w:val="TableParagraph"/>
              <w:spacing w:before="8"/>
              <w:jc w:val="left"/>
              <w:rPr>
                <w:sz w:val="20"/>
              </w:rPr>
            </w:pPr>
          </w:p>
          <w:p>
            <w:pPr>
              <w:pStyle w:val="TableParagraph"/>
              <w:ind w:left="400"/>
              <w:jc w:val="left"/>
              <w:rPr>
                <w:b/>
                <w:sz w:val="18"/>
              </w:rPr>
            </w:pPr>
            <w:r>
              <w:rPr>
                <w:b/>
                <w:sz w:val="18"/>
              </w:rPr>
              <w:t>1,599,713</w:t>
            </w:r>
          </w:p>
        </w:tc>
        <w:tc>
          <w:tcPr>
            <w:tcW w:w="1190" w:type="dxa"/>
            <w:tcBorders>
              <w:top w:val="single" w:sz="1" w:space="0" w:color="000000"/>
            </w:tcBorders>
          </w:tcPr>
          <w:p>
            <w:pPr>
              <w:pStyle w:val="TableParagraph"/>
              <w:jc w:val="left"/>
              <w:rPr>
                <w:sz w:val="18"/>
              </w:rPr>
            </w:pPr>
          </w:p>
          <w:p>
            <w:pPr>
              <w:pStyle w:val="TableParagraph"/>
              <w:jc w:val="left"/>
              <w:rPr>
                <w:sz w:val="18"/>
              </w:rPr>
            </w:pPr>
          </w:p>
          <w:p>
            <w:pPr>
              <w:pStyle w:val="TableParagraph"/>
              <w:spacing w:before="8"/>
              <w:jc w:val="left"/>
              <w:rPr>
                <w:sz w:val="20"/>
              </w:rPr>
            </w:pPr>
          </w:p>
          <w:p>
            <w:pPr>
              <w:pStyle w:val="TableParagraph"/>
              <w:ind w:right="87"/>
              <w:rPr>
                <w:sz w:val="18"/>
              </w:rPr>
            </w:pPr>
            <w:r>
              <w:rPr>
                <w:w w:val="95"/>
                <w:sz w:val="18"/>
              </w:rPr>
              <w:t>11,855,000</w:t>
            </w:r>
          </w:p>
        </w:tc>
      </w:tr>
      <w:tr>
        <w:trPr>
          <w:trHeight w:val="262" w:hRule="exact"/>
        </w:trPr>
        <w:tc>
          <w:tcPr>
            <w:tcW w:w="5455" w:type="dxa"/>
          </w:tcPr>
          <w:p>
            <w:pPr>
              <w:pStyle w:val="TableParagraph"/>
              <w:spacing w:before="18"/>
              <w:ind w:left="61"/>
              <w:jc w:val="left"/>
              <w:rPr>
                <w:sz w:val="18"/>
              </w:rPr>
            </w:pPr>
            <w:r>
              <w:rPr>
                <w:sz w:val="18"/>
              </w:rPr>
              <w:t>Payment of borrowings</w:t>
            </w:r>
          </w:p>
        </w:tc>
        <w:tc>
          <w:tcPr>
            <w:tcW w:w="1900" w:type="dxa"/>
          </w:tcPr>
          <w:p>
            <w:pPr/>
          </w:p>
        </w:tc>
        <w:tc>
          <w:tcPr>
            <w:tcW w:w="1402" w:type="dxa"/>
            <w:tcBorders>
              <w:bottom w:val="single" w:sz="1" w:space="0" w:color="000000"/>
            </w:tcBorders>
          </w:tcPr>
          <w:p>
            <w:pPr>
              <w:pStyle w:val="TableParagraph"/>
              <w:spacing w:before="20"/>
              <w:ind w:right="132"/>
              <w:rPr>
                <w:b/>
                <w:sz w:val="18"/>
              </w:rPr>
            </w:pPr>
            <w:r>
              <w:rPr>
                <w:b/>
                <w:w w:val="95"/>
                <w:sz w:val="18"/>
              </w:rPr>
              <w:t>(991,799)</w:t>
            </w:r>
          </w:p>
        </w:tc>
        <w:tc>
          <w:tcPr>
            <w:tcW w:w="1190" w:type="dxa"/>
            <w:tcBorders>
              <w:bottom w:val="single" w:sz="1" w:space="0" w:color="000000"/>
            </w:tcBorders>
          </w:tcPr>
          <w:p>
            <w:pPr>
              <w:pStyle w:val="TableParagraph"/>
              <w:spacing w:before="20"/>
              <w:ind w:right="26"/>
              <w:rPr>
                <w:sz w:val="18"/>
              </w:rPr>
            </w:pPr>
            <w:r>
              <w:rPr>
                <w:w w:val="95"/>
                <w:sz w:val="18"/>
              </w:rPr>
              <w:t>(10,502,763)</w:t>
            </w:r>
          </w:p>
        </w:tc>
      </w:tr>
    </w:tbl>
    <w:p>
      <w:pPr>
        <w:pStyle w:val="Heading8"/>
        <w:tabs>
          <w:tab w:pos="9299" w:val="left" w:leader="none"/>
          <w:tab w:pos="10444" w:val="left" w:leader="none"/>
        </w:tabs>
        <w:spacing w:before="36"/>
        <w:ind w:left="1454"/>
        <w:rPr>
          <w:b w:val="0"/>
        </w:rPr>
      </w:pPr>
      <w:r>
        <w:rPr/>
        <w:drawing>
          <wp:anchor distT="0" distB="0" distL="0" distR="0" allowOverlap="1" layoutInCell="1" locked="0" behindDoc="0" simplePos="0" relativeHeight="10264">
            <wp:simplePos x="0" y="0"/>
            <wp:positionH relativeFrom="page">
              <wp:posOffset>-1587</wp:posOffset>
            </wp:positionH>
            <wp:positionV relativeFrom="paragraph">
              <wp:posOffset>512748</wp:posOffset>
            </wp:positionV>
            <wp:extent cx="135159" cy="154019"/>
            <wp:effectExtent l="0" t="0" r="0" b="0"/>
            <wp:wrapNone/>
            <wp:docPr id="675" name="image13.png" descr=""/>
            <wp:cNvGraphicFramePr>
              <a:graphicFrameLocks noChangeAspect="1"/>
            </wp:cNvGraphicFramePr>
            <a:graphic>
              <a:graphicData uri="http://schemas.openxmlformats.org/drawingml/2006/picture">
                <pic:pic>
                  <pic:nvPicPr>
                    <pic:cNvPr id="676" name="image13.png"/>
                    <pic:cNvPicPr/>
                  </pic:nvPicPr>
                  <pic:blipFill>
                    <a:blip r:embed="rId18" cstate="print"/>
                    <a:stretch>
                      <a:fillRect/>
                    </a:stretch>
                  </pic:blipFill>
                  <pic:spPr>
                    <a:xfrm>
                      <a:off x="0" y="0"/>
                      <a:ext cx="135159" cy="154019"/>
                    </a:xfrm>
                    <a:prstGeom prst="rect">
                      <a:avLst/>
                    </a:prstGeom>
                  </pic:spPr>
                </pic:pic>
              </a:graphicData>
            </a:graphic>
          </wp:anchor>
        </w:drawing>
      </w:r>
      <w:r>
        <w:rPr/>
        <w:drawing>
          <wp:anchor distT="0" distB="0" distL="0" distR="0" allowOverlap="1" layoutInCell="1" locked="0" behindDoc="0" simplePos="0" relativeHeight="10288">
            <wp:simplePos x="0" y="0"/>
            <wp:positionH relativeFrom="page">
              <wp:posOffset>7958429</wp:posOffset>
            </wp:positionH>
            <wp:positionV relativeFrom="paragraph">
              <wp:posOffset>512748</wp:posOffset>
            </wp:positionV>
            <wp:extent cx="135953" cy="155575"/>
            <wp:effectExtent l="0" t="0" r="0" b="0"/>
            <wp:wrapNone/>
            <wp:docPr id="677" name="image15.png" descr=""/>
            <wp:cNvGraphicFramePr>
              <a:graphicFrameLocks noChangeAspect="1"/>
            </wp:cNvGraphicFramePr>
            <a:graphic>
              <a:graphicData uri="http://schemas.openxmlformats.org/drawingml/2006/picture">
                <pic:pic>
                  <pic:nvPicPr>
                    <pic:cNvPr id="678" name="image15.png"/>
                    <pic:cNvPicPr/>
                  </pic:nvPicPr>
                  <pic:blipFill>
                    <a:blip r:embed="rId20" cstate="print"/>
                    <a:stretch>
                      <a:fillRect/>
                    </a:stretch>
                  </pic:blipFill>
                  <pic:spPr>
                    <a:xfrm>
                      <a:off x="0" y="0"/>
                      <a:ext cx="135953" cy="155575"/>
                    </a:xfrm>
                    <a:prstGeom prst="rect">
                      <a:avLst/>
                    </a:prstGeom>
                  </pic:spPr>
                </pic:pic>
              </a:graphicData>
            </a:graphic>
          </wp:anchor>
        </w:drawing>
      </w:r>
      <w:r>
        <w:rPr/>
        <w:t>Net cash flows provided by</w:t>
      </w:r>
      <w:r>
        <w:rPr>
          <w:spacing w:val="-9"/>
        </w:rPr>
        <w:t> </w:t>
      </w:r>
      <w:r>
        <w:rPr/>
        <w:t>financing activities</w:t>
        <w:tab/>
      </w:r>
      <w:r>
        <w:rPr>
          <w:position w:val="-8"/>
        </w:rPr>
        <w:t>607,914</w:t>
        <w:tab/>
      </w:r>
      <w:r>
        <w:rPr>
          <w:b w:val="0"/>
          <w:position w:val="-8"/>
        </w:rPr>
        <w:t>1,352,237</w:t>
      </w:r>
    </w:p>
    <w:p>
      <w:pPr>
        <w:pStyle w:val="BodyText"/>
        <w:spacing w:line="20" w:lineRule="exact"/>
        <w:ind w:left="8746"/>
        <w:rPr>
          <w:sz w:val="2"/>
        </w:rPr>
      </w:pPr>
      <w:r>
        <w:rPr>
          <w:sz w:val="2"/>
        </w:rPr>
        <w:pict>
          <v:group style="width:129.75pt;height:1pt;mso-position-horizontal-relative:char;mso-position-vertical-relative:line" coordorigin="0,0" coordsize="2595,20">
            <v:line style="position:absolute" from="2,2" to="1298,2" stroked="true" strokeweight=".12pt" strokecolor="#000000"/>
            <v:line style="position:absolute" from="2,4" to="1298,4" stroked="true" strokeweight=".12pt" strokecolor="#000000"/>
            <v:line style="position:absolute" from="2,6" to="1298,6" stroked="true" strokeweight=".12pt" strokecolor="#000000"/>
            <v:line style="position:absolute" from="2,9" to="1298,9" stroked="true" strokeweight=".12pt" strokecolor="#000000"/>
            <v:line style="position:absolute" from="2,11" to="1298,11" stroked="true" strokeweight=".12pt" strokecolor="#000000"/>
            <v:line style="position:absolute" from="2,14" to="1298,14" stroked="true" strokeweight=".12pt" strokecolor="#000000"/>
            <v:line style="position:absolute" from="2,16" to="1298,16" stroked="true" strokeweight=".12pt" strokecolor="#000000"/>
            <v:line style="position:absolute" from="2,18" to="1298,18" stroked="true" strokeweight=".12pt" strokecolor="#000000"/>
            <v:line style="position:absolute" from="1298,2" to="2594,2" stroked="true" strokeweight=".12pt" strokecolor="#000000"/>
            <v:line style="position:absolute" from="1298,4" to="2594,4" stroked="true" strokeweight=".12pt" strokecolor="#000000"/>
            <v:line style="position:absolute" from="1298,6" to="2594,6" stroked="true" strokeweight=".12pt" strokecolor="#000000"/>
            <v:line style="position:absolute" from="1298,9" to="2594,9" stroked="true" strokeweight=".12pt" strokecolor="#000000"/>
            <v:line style="position:absolute" from="1298,11" to="2594,11" stroked="true" strokeweight=".12pt" strokecolor="#000000"/>
            <v:line style="position:absolute" from="1298,14" to="2594,14" stroked="true" strokeweight=".12pt" strokecolor="#000000"/>
            <v:line style="position:absolute" from="1298,16" to="2594,16" stroked="true" strokeweight=".12pt" strokecolor="#000000"/>
            <v:line style="position:absolute" from="1298,18" to="2594,18" stroked="true" strokeweight=".12pt" strokecolor="#000000"/>
          </v:group>
        </w:pict>
      </w:r>
      <w:r>
        <w:rPr>
          <w:sz w:val="2"/>
        </w:rPr>
      </w:r>
    </w:p>
    <w:p>
      <w:pPr>
        <w:pStyle w:val="BodyText"/>
        <w:rPr>
          <w:sz w:val="20"/>
        </w:rPr>
      </w:pPr>
    </w:p>
    <w:p>
      <w:pPr>
        <w:pStyle w:val="BodyText"/>
        <w:spacing w:before="4"/>
        <w:rPr>
          <w:sz w:val="28"/>
        </w:rPr>
      </w:pPr>
    </w:p>
    <w:tbl>
      <w:tblPr>
        <w:tblW w:w="0" w:type="auto"/>
        <w:jc w:val="left"/>
        <w:tblInd w:w="141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329"/>
        <w:gridCol w:w="1558"/>
        <w:gridCol w:w="1034"/>
      </w:tblGrid>
      <w:tr>
        <w:trPr>
          <w:trHeight w:val="324" w:hRule="exact"/>
        </w:trPr>
        <w:tc>
          <w:tcPr>
            <w:tcW w:w="7329" w:type="dxa"/>
          </w:tcPr>
          <w:p>
            <w:pPr>
              <w:pStyle w:val="TableParagraph"/>
              <w:spacing w:before="77"/>
              <w:ind w:left="35"/>
              <w:jc w:val="left"/>
              <w:rPr>
                <w:b/>
                <w:sz w:val="18"/>
              </w:rPr>
            </w:pPr>
            <w:r>
              <w:rPr>
                <w:b/>
                <w:sz w:val="18"/>
              </w:rPr>
              <w:t>Net (decrease) / increase in cash and cash equivalents held</w:t>
            </w:r>
          </w:p>
        </w:tc>
        <w:tc>
          <w:tcPr>
            <w:tcW w:w="1558" w:type="dxa"/>
          </w:tcPr>
          <w:p>
            <w:pPr>
              <w:pStyle w:val="TableParagraph"/>
              <w:spacing w:before="79"/>
              <w:ind w:left="693"/>
              <w:jc w:val="left"/>
              <w:rPr>
                <w:b/>
                <w:sz w:val="18"/>
              </w:rPr>
            </w:pPr>
            <w:r>
              <w:rPr>
                <w:b/>
                <w:sz w:val="18"/>
              </w:rPr>
              <w:t>(6,533)</w:t>
            </w:r>
          </w:p>
        </w:tc>
        <w:tc>
          <w:tcPr>
            <w:tcW w:w="1034" w:type="dxa"/>
          </w:tcPr>
          <w:p>
            <w:pPr>
              <w:pStyle w:val="TableParagraph"/>
              <w:spacing w:before="79"/>
              <w:ind w:right="87"/>
              <w:rPr>
                <w:sz w:val="18"/>
              </w:rPr>
            </w:pPr>
            <w:r>
              <w:rPr>
                <w:w w:val="95"/>
                <w:sz w:val="18"/>
              </w:rPr>
              <w:t>95,890</w:t>
            </w:r>
          </w:p>
        </w:tc>
      </w:tr>
      <w:tr>
        <w:trPr>
          <w:trHeight w:val="261" w:hRule="exact"/>
        </w:trPr>
        <w:tc>
          <w:tcPr>
            <w:tcW w:w="7329" w:type="dxa"/>
          </w:tcPr>
          <w:p>
            <w:pPr>
              <w:pStyle w:val="TableParagraph"/>
              <w:spacing w:before="19"/>
              <w:ind w:left="35"/>
              <w:jc w:val="left"/>
              <w:rPr>
                <w:sz w:val="18"/>
              </w:rPr>
            </w:pPr>
            <w:r>
              <w:rPr>
                <w:sz w:val="18"/>
              </w:rPr>
              <w:t>Cash and cash equivalents at beginning of the year</w:t>
            </w:r>
          </w:p>
        </w:tc>
        <w:tc>
          <w:tcPr>
            <w:tcW w:w="1558" w:type="dxa"/>
            <w:tcBorders>
              <w:bottom w:val="single" w:sz="1" w:space="0" w:color="000000"/>
            </w:tcBorders>
          </w:tcPr>
          <w:p>
            <w:pPr>
              <w:pStyle w:val="TableParagraph"/>
              <w:spacing w:before="19"/>
              <w:ind w:left="552"/>
              <w:jc w:val="left"/>
              <w:rPr>
                <w:b/>
                <w:sz w:val="18"/>
              </w:rPr>
            </w:pPr>
            <w:r>
              <w:rPr>
                <w:b/>
                <w:sz w:val="18"/>
              </w:rPr>
              <w:t>502,541</w:t>
            </w:r>
          </w:p>
        </w:tc>
        <w:tc>
          <w:tcPr>
            <w:tcW w:w="1034" w:type="dxa"/>
            <w:tcBorders>
              <w:bottom w:val="single" w:sz="1" w:space="0" w:color="000000"/>
            </w:tcBorders>
          </w:tcPr>
          <w:p>
            <w:pPr>
              <w:pStyle w:val="TableParagraph"/>
              <w:spacing w:before="19"/>
              <w:ind w:right="88"/>
              <w:rPr>
                <w:sz w:val="18"/>
              </w:rPr>
            </w:pPr>
            <w:r>
              <w:rPr>
                <w:w w:val="95"/>
                <w:sz w:val="18"/>
              </w:rPr>
              <w:t>406,651</w:t>
            </w:r>
          </w:p>
        </w:tc>
      </w:tr>
    </w:tbl>
    <w:p>
      <w:pPr>
        <w:tabs>
          <w:tab w:pos="8407" w:val="left" w:leader="none"/>
          <w:tab w:pos="9299" w:val="left" w:leader="none"/>
          <w:tab w:pos="10595" w:val="left" w:leader="none"/>
        </w:tabs>
        <w:spacing w:before="38"/>
        <w:ind w:left="1454" w:right="0" w:firstLine="0"/>
        <w:jc w:val="left"/>
        <w:rPr>
          <w:sz w:val="18"/>
        </w:rPr>
      </w:pPr>
      <w:r>
        <w:rPr>
          <w:b/>
          <w:sz w:val="18"/>
        </w:rPr>
        <w:t>Cash and cash equivalents at end of</w:t>
      </w:r>
      <w:r>
        <w:rPr>
          <w:b/>
          <w:spacing w:val="1"/>
          <w:sz w:val="18"/>
        </w:rPr>
        <w:t> </w:t>
      </w:r>
      <w:r>
        <w:rPr>
          <w:b/>
          <w:sz w:val="18"/>
        </w:rPr>
        <w:t>financial </w:t>
      </w:r>
      <w:r>
        <w:rPr>
          <w:b/>
          <w:spacing w:val="-3"/>
          <w:sz w:val="18"/>
        </w:rPr>
        <w:t>year</w:t>
        <w:tab/>
      </w:r>
      <w:r>
        <w:rPr>
          <w:sz w:val="18"/>
        </w:rPr>
        <w:t>7</w:t>
        <w:tab/>
      </w:r>
      <w:r>
        <w:rPr>
          <w:b/>
          <w:position w:val="-7"/>
          <w:sz w:val="18"/>
        </w:rPr>
        <w:t>496,008</w:t>
        <w:tab/>
      </w:r>
      <w:r>
        <w:rPr>
          <w:position w:val="-7"/>
          <w:sz w:val="18"/>
        </w:rPr>
        <w:t>502,541</w:t>
      </w:r>
    </w:p>
    <w:p>
      <w:pPr>
        <w:pStyle w:val="BodyText"/>
        <w:spacing w:line="48" w:lineRule="exact"/>
        <w:ind w:left="8746"/>
        <w:rPr>
          <w:sz w:val="4"/>
        </w:rPr>
      </w:pPr>
      <w:r>
        <w:rPr>
          <w:position w:val="0"/>
          <w:sz w:val="4"/>
        </w:rPr>
        <w:pict>
          <v:group style="width:129.75pt;height:2.450pt;mso-position-horizontal-relative:char;mso-position-vertical-relative:line" coordorigin="0,0" coordsize="2595,49">
            <v:line style="position:absolute" from="2,2" to="1298,2" stroked="true" strokeweight=".12pt" strokecolor="#000000"/>
            <v:line style="position:absolute" from="2,4" to="1298,4" stroked="true" strokeweight=".12pt" strokecolor="#000000"/>
            <v:line style="position:absolute" from="2,6" to="1298,6" stroked="true" strokeweight=".12pt" strokecolor="#000000"/>
            <v:line style="position:absolute" from="2,9" to="1298,9" stroked="true" strokeweight=".12pt" strokecolor="#000000"/>
            <v:line style="position:absolute" from="2,11" to="1298,11" stroked="true" strokeweight=".12pt" strokecolor="#000000"/>
            <v:line style="position:absolute" from="2,14" to="1298,14" stroked="true" strokeweight=".12pt" strokecolor="#000000"/>
            <v:line style="position:absolute" from="2,35" to="1298,35" stroked="true" strokeweight=".12pt" strokecolor="#000000"/>
            <v:line style="position:absolute" from="2,38" to="1298,38" stroked="true" strokeweight=".12pt" strokecolor="#000000"/>
            <v:line style="position:absolute" from="2,40" to="1298,40" stroked="true" strokeweight=".12pt" strokecolor="#000000"/>
            <v:line style="position:absolute" from="2,42" to="1298,42" stroked="true" strokeweight=".12pt" strokecolor="#000000"/>
            <v:line style="position:absolute" from="2,45" to="1298,45" stroked="true" strokeweight=".12pt" strokecolor="#000000"/>
            <v:line style="position:absolute" from="2,47" to="1298,47" stroked="true" strokeweight=".12pt" strokecolor="#000000"/>
            <v:line style="position:absolute" from="1298,2" to="2594,2" stroked="true" strokeweight=".12pt" strokecolor="#000000"/>
            <v:line style="position:absolute" from="1298,4" to="2594,4" stroked="true" strokeweight=".12pt" strokecolor="#000000"/>
            <v:line style="position:absolute" from="1298,6" to="2594,6" stroked="true" strokeweight=".12pt" strokecolor="#000000"/>
            <v:line style="position:absolute" from="1298,9" to="2594,9" stroked="true" strokeweight=".12pt" strokecolor="#000000"/>
            <v:line style="position:absolute" from="1298,11" to="2594,11" stroked="true" strokeweight=".12pt" strokecolor="#000000"/>
            <v:line style="position:absolute" from="1298,14" to="2594,14" stroked="true" strokeweight=".12pt" strokecolor="#000000"/>
            <v:line style="position:absolute" from="1298,35" to="2594,35" stroked="true" strokeweight=".12pt" strokecolor="#000000"/>
            <v:line style="position:absolute" from="1298,38" to="2594,38" stroked="true" strokeweight=".12pt" strokecolor="#000000"/>
            <v:line style="position:absolute" from="1298,40" to="2594,40" stroked="true" strokeweight=".12pt" strokecolor="#000000"/>
            <v:line style="position:absolute" from="1298,42" to="2594,42" stroked="true" strokeweight=".12pt" strokecolor="#000000"/>
            <v:line style="position:absolute" from="1298,45" to="2594,45" stroked="true" strokeweight=".12pt" strokecolor="#000000"/>
            <v:line style="position:absolute" from="1298,47" to="2594,47" stroked="true" strokeweight=".12pt" strokecolor="#000000"/>
          </v:group>
        </w:pict>
      </w:r>
      <w:r>
        <w:rPr>
          <w:position w:val="0"/>
          <w:sz w:val="4"/>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20"/>
        </w:rPr>
      </w:pPr>
    </w:p>
    <w:p>
      <w:pPr>
        <w:pStyle w:val="BodyText"/>
        <w:spacing w:before="77"/>
        <w:ind w:left="3787"/>
      </w:pPr>
      <w:r>
        <w:rPr/>
        <w:t>The accompanying notes form part of these financial statements.</w:t>
      </w:r>
    </w:p>
    <w:p>
      <w:pPr>
        <w:spacing w:after="0"/>
        <w:sectPr>
          <w:pgSz w:w="12750" w:h="17680"/>
          <w:pgMar w:header="0" w:footer="867" w:top="1880" w:bottom="1120" w:left="0" w:right="0"/>
        </w:sectPr>
      </w:pPr>
    </w:p>
    <w:p>
      <w:pPr>
        <w:pStyle w:val="BodyText"/>
        <w:spacing w:before="1"/>
        <w:rPr>
          <w:sz w:val="24"/>
        </w:rPr>
      </w:pPr>
    </w:p>
    <w:p>
      <w:pPr>
        <w:spacing w:before="65"/>
        <w:ind w:left="1428" w:right="0" w:firstLine="0"/>
        <w:jc w:val="left"/>
        <w:rPr>
          <w:b/>
          <w:sz w:val="28"/>
        </w:rPr>
      </w:pPr>
      <w:bookmarkStart w:name="Notes to the Financial Statements" w:id="262"/>
      <w:bookmarkEnd w:id="262"/>
      <w:r>
        <w:rPr/>
      </w:r>
      <w:bookmarkStart w:name="1 Summary of Significant Accounting Poli" w:id="263"/>
      <w:bookmarkEnd w:id="263"/>
      <w:r>
        <w:rPr/>
      </w:r>
      <w:r>
        <w:rPr>
          <w:b/>
          <w:sz w:val="28"/>
        </w:rPr>
        <w:t>Notes to the Financial Statements</w:t>
      </w:r>
    </w:p>
    <w:p>
      <w:pPr>
        <w:pStyle w:val="Heading7"/>
        <w:spacing w:before="53"/>
      </w:pPr>
      <w:r>
        <w:rPr/>
        <w:t>For the Year Ended 31 December 2016</w:t>
      </w:r>
    </w:p>
    <w:p>
      <w:pPr>
        <w:pStyle w:val="BodyText"/>
        <w:spacing w:before="1"/>
        <w:rPr>
          <w:b/>
          <w:sz w:val="25"/>
        </w:rPr>
      </w:pPr>
    </w:p>
    <w:p>
      <w:pPr>
        <w:pStyle w:val="Heading8"/>
        <w:tabs>
          <w:tab w:pos="1823" w:val="left" w:leader="none"/>
        </w:tabs>
        <w:ind w:left="1430"/>
      </w:pPr>
      <w:r>
        <w:rPr/>
        <w:t>1</w:t>
        <w:tab/>
        <w:t>Summary of Significant Accounting</w:t>
      </w:r>
      <w:r>
        <w:rPr>
          <w:spacing w:val="-9"/>
        </w:rPr>
        <w:t> </w:t>
      </w:r>
      <w:r>
        <w:rPr/>
        <w:t>Policies</w:t>
      </w:r>
    </w:p>
    <w:p>
      <w:pPr>
        <w:pStyle w:val="BodyText"/>
        <w:spacing w:before="11"/>
        <w:rPr>
          <w:b/>
          <w:sz w:val="24"/>
        </w:rPr>
      </w:pPr>
    </w:p>
    <w:p>
      <w:pPr>
        <w:pStyle w:val="BodyText"/>
        <w:ind w:left="1824" w:right="1375"/>
      </w:pPr>
      <w:r>
        <w:rPr/>
        <w:t>The principal accounting policies adopted in the preparation of these financial statements is set out below. These policies have been consistently applied for all years reported unless otherwise stated.</w:t>
      </w:r>
    </w:p>
    <w:p>
      <w:pPr>
        <w:pStyle w:val="BodyText"/>
        <w:spacing w:line="490" w:lineRule="atLeast" w:before="4"/>
        <w:ind w:left="1824" w:right="6108"/>
      </w:pPr>
      <w:r>
        <w:rPr/>
        <w:t>The principal place of business for uwsconnect Limited is: </w:t>
      </w:r>
      <w:bookmarkStart w:name="Basis of Preparation" w:id="264"/>
      <w:bookmarkEnd w:id="264"/>
      <w:r>
        <w:rPr/>
      </w:r>
      <w:r>
        <w:rPr/>
        <w:t>Western Sydney University</w:t>
      </w:r>
    </w:p>
    <w:p>
      <w:pPr>
        <w:pStyle w:val="BodyText"/>
        <w:spacing w:line="300" w:lineRule="auto" w:before="52"/>
        <w:ind w:left="1824" w:right="8212"/>
      </w:pPr>
      <w:r>
        <w:rPr/>
        <w:t>Great Western Highway Werrington NSW 2747</w:t>
      </w:r>
    </w:p>
    <w:p>
      <w:pPr>
        <w:pStyle w:val="BodyText"/>
      </w:pPr>
    </w:p>
    <w:p>
      <w:pPr>
        <w:pStyle w:val="BodyText"/>
        <w:spacing w:before="5"/>
        <w:rPr>
          <w:sz w:val="17"/>
        </w:rPr>
      </w:pPr>
    </w:p>
    <w:p>
      <w:pPr>
        <w:pStyle w:val="Heading8"/>
        <w:numPr>
          <w:ilvl w:val="0"/>
          <w:numId w:val="57"/>
        </w:numPr>
        <w:tabs>
          <w:tab w:pos="2391" w:val="left" w:leader="none"/>
        </w:tabs>
        <w:spacing w:line="240" w:lineRule="auto" w:before="0" w:after="0"/>
        <w:ind w:left="2390" w:right="0" w:hanging="566"/>
        <w:jc w:val="left"/>
      </w:pPr>
      <w:r>
        <w:rPr/>
        <w:t>Basis of</w:t>
      </w:r>
      <w:r>
        <w:rPr>
          <w:spacing w:val="-1"/>
        </w:rPr>
        <w:t> </w:t>
      </w:r>
      <w:r>
        <w:rPr/>
        <w:t>Preparation</w:t>
      </w:r>
    </w:p>
    <w:p>
      <w:pPr>
        <w:pStyle w:val="BodyText"/>
        <w:rPr>
          <w:b/>
        </w:rPr>
      </w:pPr>
    </w:p>
    <w:p>
      <w:pPr>
        <w:pStyle w:val="BodyText"/>
        <w:spacing w:before="5"/>
        <w:rPr>
          <w:b/>
          <w:sz w:val="19"/>
        </w:rPr>
      </w:pPr>
    </w:p>
    <w:p>
      <w:pPr>
        <w:spacing w:before="1"/>
        <w:ind w:left="1823" w:right="1508" w:firstLine="0"/>
        <w:jc w:val="left"/>
        <w:rPr>
          <w:sz w:val="18"/>
        </w:rPr>
      </w:pPr>
      <w:r>
        <w:rPr>
          <w:sz w:val="18"/>
        </w:rPr>
        <w:t>These financial statements are prepared on an accruals basis and in accordance with Australian Accounting Standards</w:t>
      </w:r>
      <w:r>
        <w:rPr>
          <w:i/>
          <w:sz w:val="18"/>
        </w:rPr>
        <w:t>, Public Finance &amp; Audit Act 1983</w:t>
      </w:r>
      <w:r>
        <w:rPr>
          <w:sz w:val="18"/>
        </w:rPr>
        <w:t>, </w:t>
      </w:r>
      <w:r>
        <w:rPr>
          <w:i/>
          <w:sz w:val="18"/>
        </w:rPr>
        <w:t>Public Finance and Audit Regulation 2015</w:t>
      </w:r>
      <w:r>
        <w:rPr>
          <w:sz w:val="18"/>
        </w:rPr>
        <w:t>, </w:t>
      </w:r>
      <w:r>
        <w:rPr>
          <w:i/>
          <w:sz w:val="18"/>
        </w:rPr>
        <w:t>Australian Charities and Not- </w:t>
      </w:r>
      <w:r>
        <w:rPr>
          <w:i/>
          <w:sz w:val="18"/>
        </w:rPr>
        <w:t>for-profits Commission Act 2012 (ACNC Act) and Regulation 201</w:t>
      </w:r>
      <w:r>
        <w:rPr>
          <w:sz w:val="18"/>
        </w:rPr>
        <w:t>3, other authoritative pronouncements of the Australian Accounting Standards Board and Urgent Issues Group Interpretations.</w:t>
      </w:r>
    </w:p>
    <w:p>
      <w:pPr>
        <w:pStyle w:val="BodyText"/>
        <w:spacing w:before="112"/>
        <w:ind w:left="1823" w:right="1375"/>
      </w:pPr>
      <w:r>
        <w:rPr/>
        <w:t>The financial statements of uwsconnect Limited (the Company) comply with Australian Accounting Standards, some of which contain requirements specific to not for profit entities that are inconsistent with International Financial Reporting Standards (IFRS) requirements.</w:t>
      </w:r>
    </w:p>
    <w:p>
      <w:pPr>
        <w:pStyle w:val="BodyText"/>
        <w:spacing w:before="112"/>
        <w:ind w:left="1823" w:right="1407"/>
      </w:pPr>
      <w:r>
        <w:rPr/>
        <w:drawing>
          <wp:anchor distT="0" distB="0" distL="0" distR="0" allowOverlap="1" layoutInCell="1" locked="0" behindDoc="0" simplePos="0" relativeHeight="10312">
            <wp:simplePos x="0" y="0"/>
            <wp:positionH relativeFrom="page">
              <wp:posOffset>-1587</wp:posOffset>
            </wp:positionH>
            <wp:positionV relativeFrom="paragraph">
              <wp:posOffset>314120</wp:posOffset>
            </wp:positionV>
            <wp:extent cx="136525" cy="155575"/>
            <wp:effectExtent l="0" t="0" r="0" b="0"/>
            <wp:wrapNone/>
            <wp:docPr id="679" name="image13.png" descr=""/>
            <wp:cNvGraphicFramePr>
              <a:graphicFrameLocks noChangeAspect="1"/>
            </wp:cNvGraphicFramePr>
            <a:graphic>
              <a:graphicData uri="http://schemas.openxmlformats.org/drawingml/2006/picture">
                <pic:pic>
                  <pic:nvPicPr>
                    <pic:cNvPr id="680" name="image13.png"/>
                    <pic:cNvPicPr/>
                  </pic:nvPicPr>
                  <pic:blipFill>
                    <a:blip r:embed="rId18" cstate="print"/>
                    <a:stretch>
                      <a:fillRect/>
                    </a:stretch>
                  </pic:blipFill>
                  <pic:spPr>
                    <a:xfrm>
                      <a:off x="0" y="0"/>
                      <a:ext cx="136525" cy="155575"/>
                    </a:xfrm>
                    <a:prstGeom prst="rect">
                      <a:avLst/>
                    </a:prstGeom>
                  </pic:spPr>
                </pic:pic>
              </a:graphicData>
            </a:graphic>
          </wp:anchor>
        </w:drawing>
      </w:r>
      <w:r>
        <w:rPr/>
        <w:drawing>
          <wp:anchor distT="0" distB="0" distL="0" distR="0" allowOverlap="1" layoutInCell="1" locked="0" behindDoc="0" simplePos="0" relativeHeight="10336">
            <wp:simplePos x="0" y="0"/>
            <wp:positionH relativeFrom="page">
              <wp:posOffset>7958429</wp:posOffset>
            </wp:positionH>
            <wp:positionV relativeFrom="paragraph">
              <wp:posOffset>314120</wp:posOffset>
            </wp:positionV>
            <wp:extent cx="135953" cy="155575"/>
            <wp:effectExtent l="0" t="0" r="0" b="0"/>
            <wp:wrapNone/>
            <wp:docPr id="681" name="image15.png" descr=""/>
            <wp:cNvGraphicFramePr>
              <a:graphicFrameLocks noChangeAspect="1"/>
            </wp:cNvGraphicFramePr>
            <a:graphic>
              <a:graphicData uri="http://schemas.openxmlformats.org/drawingml/2006/picture">
                <pic:pic>
                  <pic:nvPicPr>
                    <pic:cNvPr id="682" name="image15.png"/>
                    <pic:cNvPicPr/>
                  </pic:nvPicPr>
                  <pic:blipFill>
                    <a:blip r:embed="rId20" cstate="print"/>
                    <a:stretch>
                      <a:fillRect/>
                    </a:stretch>
                  </pic:blipFill>
                  <pic:spPr>
                    <a:xfrm>
                      <a:off x="0" y="0"/>
                      <a:ext cx="135953" cy="155575"/>
                    </a:xfrm>
                    <a:prstGeom prst="rect">
                      <a:avLst/>
                    </a:prstGeom>
                  </pic:spPr>
                </pic:pic>
              </a:graphicData>
            </a:graphic>
          </wp:anchor>
        </w:drawing>
      </w:r>
      <w:r>
        <w:rPr/>
        <w:t>Material accounting policies adopted in the preparation of these financial statements are presented below and have been consistently applied unless otherwise stated.</w:t>
      </w:r>
    </w:p>
    <w:p>
      <w:pPr>
        <w:pStyle w:val="BodyText"/>
      </w:pPr>
    </w:p>
    <w:p>
      <w:pPr>
        <w:pStyle w:val="BodyText"/>
        <w:spacing w:before="2"/>
        <w:rPr>
          <w:sz w:val="21"/>
        </w:rPr>
      </w:pPr>
    </w:p>
    <w:p>
      <w:pPr>
        <w:pStyle w:val="Heading8"/>
        <w:numPr>
          <w:ilvl w:val="1"/>
          <w:numId w:val="57"/>
        </w:numPr>
        <w:tabs>
          <w:tab w:pos="2957" w:val="left" w:leader="none"/>
        </w:tabs>
        <w:spacing w:line="240" w:lineRule="auto" w:before="0" w:after="0"/>
        <w:ind w:left="2956" w:right="0" w:hanging="566"/>
        <w:jc w:val="left"/>
      </w:pPr>
      <w:r>
        <w:rPr/>
        <w:t>Critical accounting</w:t>
      </w:r>
      <w:r>
        <w:rPr>
          <w:spacing w:val="-1"/>
        </w:rPr>
        <w:t> </w:t>
      </w:r>
      <w:r>
        <w:rPr/>
        <w:t>estimates</w:t>
      </w:r>
    </w:p>
    <w:p>
      <w:pPr>
        <w:pStyle w:val="BodyText"/>
        <w:spacing w:before="4"/>
        <w:rPr>
          <w:b/>
          <w:sz w:val="25"/>
        </w:rPr>
      </w:pPr>
    </w:p>
    <w:p>
      <w:pPr>
        <w:pStyle w:val="BodyText"/>
        <w:ind w:left="2390" w:right="1375"/>
      </w:pPr>
      <w:r>
        <w:rPr/>
        <w:t>The preparation of financial statements requires the use of certain critical accounting estimates. It also requires management to exercise its judgement in the process of applying the Company's accounting policies. Estimates and judgements are continually evaluated and are based on historic experience and other factors, including expectations of future events that may have a financial impact on the Company and that are believed to be reasonable under the circumstances. Actual results may differ from the estimates.</w:t>
      </w:r>
    </w:p>
    <w:p>
      <w:pPr>
        <w:pStyle w:val="BodyText"/>
        <w:spacing w:before="11"/>
        <w:rPr>
          <w:sz w:val="24"/>
        </w:rPr>
      </w:pPr>
    </w:p>
    <w:p>
      <w:pPr>
        <w:pStyle w:val="BodyText"/>
        <w:ind w:left="2390" w:right="1538"/>
      </w:pPr>
      <w:r>
        <w:rPr/>
        <w:t>These accounting policies have been consistently applied to all periods in the financial statements. The estimates and assumptions are reviewed on an ongoing basis. Revisions to any estimates are recognised in the period in which the estimate is reviewed, if the revision affects only that period or in a period of the revision and the future periods if the revision affects both current and future periods.</w:t>
      </w:r>
    </w:p>
    <w:p>
      <w:pPr>
        <w:pStyle w:val="BodyText"/>
        <w:spacing w:before="11"/>
        <w:rPr>
          <w:sz w:val="24"/>
        </w:rPr>
      </w:pPr>
    </w:p>
    <w:p>
      <w:pPr>
        <w:pStyle w:val="BodyText"/>
        <w:ind w:left="2390" w:right="1538"/>
      </w:pPr>
      <w:bookmarkStart w:name="Revenue recognition" w:id="265"/>
      <w:bookmarkEnd w:id="265"/>
      <w:r>
        <w:rPr/>
      </w:r>
      <w:r>
        <w:rPr/>
        <w:t>The financial statements have been prepared on an accruals basis and are based on historic costs, modified, where applicable, by the measurement at fair value of selected non-current assets, financial assets and financial liabilities.</w:t>
      </w:r>
    </w:p>
    <w:p>
      <w:pPr>
        <w:pStyle w:val="BodyText"/>
      </w:pPr>
    </w:p>
    <w:p>
      <w:pPr>
        <w:pStyle w:val="BodyText"/>
        <w:spacing w:before="5"/>
        <w:rPr>
          <w:sz w:val="19"/>
        </w:rPr>
      </w:pPr>
    </w:p>
    <w:p>
      <w:pPr>
        <w:pStyle w:val="Heading8"/>
        <w:numPr>
          <w:ilvl w:val="0"/>
          <w:numId w:val="57"/>
        </w:numPr>
        <w:tabs>
          <w:tab w:pos="2391" w:val="left" w:leader="none"/>
        </w:tabs>
        <w:spacing w:line="240" w:lineRule="auto" w:before="1" w:after="0"/>
        <w:ind w:left="2390" w:right="0" w:hanging="566"/>
        <w:jc w:val="left"/>
      </w:pPr>
      <w:r>
        <w:rPr/>
        <w:t>Revenue recognition</w:t>
      </w:r>
    </w:p>
    <w:p>
      <w:pPr>
        <w:pStyle w:val="BodyText"/>
        <w:spacing w:before="112"/>
        <w:ind w:left="1824" w:right="1482"/>
      </w:pPr>
      <w:r>
        <w:rPr/>
        <w:t>The Company recognises revenue when the amount can be reliably measured, it is probable that future economic benefits will flow to the entity and specific criteria have been met for each of the Company's activities as described below. The Company bases its estimates on historical results, taking into consideration the type of customer, the type of transaction and the specifics of each arrangement.</w:t>
      </w:r>
    </w:p>
    <w:p>
      <w:pPr>
        <w:pStyle w:val="BodyText"/>
        <w:spacing w:before="112"/>
        <w:ind w:left="1824" w:right="1375"/>
      </w:pPr>
      <w:r>
        <w:rPr/>
        <w:t>Revenue is measured at the fair value of the consideration received or receivable. Amounts disclosed as revenue are net of returns, trade allowances, rebates and amounts collected on behalf of third parties.</w:t>
      </w:r>
    </w:p>
    <w:p>
      <w:pPr>
        <w:spacing w:after="0"/>
        <w:sectPr>
          <w:pgSz w:w="12750" w:h="17680"/>
          <w:pgMar w:header="0" w:footer="867" w:top="1880" w:bottom="1120" w:left="0" w:right="0"/>
        </w:sectPr>
      </w:pPr>
    </w:p>
    <w:p>
      <w:pPr>
        <w:pStyle w:val="BodyText"/>
        <w:spacing w:before="1"/>
        <w:rPr>
          <w:sz w:val="24"/>
        </w:rPr>
      </w:pPr>
    </w:p>
    <w:p>
      <w:pPr>
        <w:pStyle w:val="Heading4"/>
        <w:spacing w:before="65"/>
      </w:pPr>
      <w:r>
        <w:rPr/>
        <w:t>Notes to the Financial Statements</w:t>
      </w:r>
    </w:p>
    <w:p>
      <w:pPr>
        <w:pStyle w:val="Heading7"/>
        <w:spacing w:before="53"/>
      </w:pPr>
      <w:r>
        <w:rPr/>
        <w:t>For the Year Ended 31 December 2016</w:t>
      </w:r>
    </w:p>
    <w:p>
      <w:pPr>
        <w:pStyle w:val="BodyText"/>
        <w:spacing w:before="1"/>
        <w:rPr>
          <w:b/>
          <w:sz w:val="25"/>
        </w:rPr>
      </w:pPr>
    </w:p>
    <w:p>
      <w:pPr>
        <w:pStyle w:val="Heading8"/>
        <w:tabs>
          <w:tab w:pos="1823" w:val="left" w:leader="none"/>
        </w:tabs>
        <w:ind w:left="1430"/>
      </w:pPr>
      <w:r>
        <w:rPr/>
        <w:t>1</w:t>
        <w:tab/>
        <w:t>Summary of Significant Accounting</w:t>
      </w:r>
      <w:r>
        <w:rPr>
          <w:spacing w:val="-9"/>
        </w:rPr>
        <w:t> </w:t>
      </w:r>
      <w:r>
        <w:rPr/>
        <w:t>Policies</w:t>
      </w:r>
    </w:p>
    <w:p>
      <w:pPr>
        <w:pStyle w:val="ListParagraph"/>
        <w:numPr>
          <w:ilvl w:val="0"/>
          <w:numId w:val="58"/>
        </w:numPr>
        <w:tabs>
          <w:tab w:pos="2391" w:val="left" w:leader="none"/>
        </w:tabs>
        <w:spacing w:line="240" w:lineRule="auto" w:before="112" w:after="0"/>
        <w:ind w:left="1824" w:right="0" w:firstLine="0"/>
        <w:jc w:val="left"/>
        <w:rPr>
          <w:b/>
          <w:sz w:val="18"/>
        </w:rPr>
      </w:pPr>
      <w:r>
        <w:rPr>
          <w:b/>
          <w:sz w:val="18"/>
        </w:rPr>
        <w:t>Revenue recognition</w:t>
      </w:r>
    </w:p>
    <w:p>
      <w:pPr>
        <w:pStyle w:val="BodyText"/>
        <w:spacing w:before="112"/>
        <w:ind w:left="1824"/>
      </w:pPr>
      <w:r>
        <w:rPr/>
        <w:t>Revenue is recognised for the major business activities as follows:</w:t>
      </w:r>
    </w:p>
    <w:p>
      <w:pPr>
        <w:pStyle w:val="Heading8"/>
        <w:numPr>
          <w:ilvl w:val="1"/>
          <w:numId w:val="58"/>
        </w:numPr>
        <w:tabs>
          <w:tab w:pos="2957" w:val="left" w:leader="none"/>
        </w:tabs>
        <w:spacing w:line="240" w:lineRule="auto" w:before="131" w:after="0"/>
        <w:ind w:left="2956" w:right="0" w:hanging="566"/>
        <w:jc w:val="left"/>
      </w:pPr>
      <w:r>
        <w:rPr/>
        <w:t>Sale of goods and rendering of</w:t>
      </w:r>
      <w:r>
        <w:rPr>
          <w:spacing w:val="-1"/>
        </w:rPr>
        <w:t> </w:t>
      </w:r>
      <w:r>
        <w:rPr/>
        <w:t>services</w:t>
      </w:r>
    </w:p>
    <w:p>
      <w:pPr>
        <w:pStyle w:val="BodyText"/>
        <w:spacing w:before="117"/>
        <w:ind w:left="2390" w:right="1415"/>
        <w:jc w:val="both"/>
      </w:pPr>
      <w:r>
        <w:rPr/>
        <w:t>A sale is recorded when goods have been delivered to the customer, the customer has accepted the goods and collectability of the related receivables is probable. Revenue from rendering of services is recognised when that service has been provided.</w:t>
      </w:r>
    </w:p>
    <w:p>
      <w:pPr>
        <w:pStyle w:val="Heading8"/>
        <w:numPr>
          <w:ilvl w:val="1"/>
          <w:numId w:val="58"/>
        </w:numPr>
        <w:tabs>
          <w:tab w:pos="2957" w:val="left" w:leader="none"/>
        </w:tabs>
        <w:spacing w:line="240" w:lineRule="auto" w:before="131" w:after="0"/>
        <w:ind w:left="2956" w:right="0" w:hanging="566"/>
        <w:jc w:val="left"/>
      </w:pPr>
      <w:r>
        <w:rPr/>
        <w:t>Other</w:t>
      </w:r>
      <w:r>
        <w:rPr>
          <w:spacing w:val="-1"/>
        </w:rPr>
        <w:t> </w:t>
      </w:r>
      <w:r>
        <w:rPr/>
        <w:t>revenue</w:t>
      </w:r>
    </w:p>
    <w:p>
      <w:pPr>
        <w:pStyle w:val="BodyText"/>
        <w:spacing w:before="117"/>
        <w:ind w:left="2390" w:right="1375"/>
      </w:pPr>
      <w:r>
        <w:rPr/>
        <w:t>All other material revenue is accounted for on an accrual basis. Funding from the parent entity is received </w:t>
      </w:r>
      <w:bookmarkStart w:name="(c) Finance costs" w:id="266"/>
      <w:bookmarkEnd w:id="266"/>
      <w:r>
        <w:rPr/>
      </w:r>
      <w:r>
        <w:rPr/>
        <w:t>quarterly in advance. Only the revenue pertaining to the month is accounted as revenue with the balance shown as income earned in advance (Note 14).</w:t>
      </w:r>
    </w:p>
    <w:p>
      <w:pPr>
        <w:pStyle w:val="BodyText"/>
      </w:pPr>
    </w:p>
    <w:p>
      <w:pPr>
        <w:pStyle w:val="BodyText"/>
        <w:spacing w:before="5"/>
        <w:rPr>
          <w:sz w:val="19"/>
        </w:rPr>
      </w:pPr>
    </w:p>
    <w:p>
      <w:pPr>
        <w:pStyle w:val="Heading8"/>
        <w:numPr>
          <w:ilvl w:val="0"/>
          <w:numId w:val="58"/>
        </w:numPr>
        <w:tabs>
          <w:tab w:pos="2391" w:val="left" w:leader="none"/>
        </w:tabs>
        <w:spacing w:line="240" w:lineRule="auto" w:before="1" w:after="0"/>
        <w:ind w:left="2390" w:right="0" w:hanging="566"/>
        <w:jc w:val="left"/>
      </w:pPr>
      <w:r>
        <w:rPr/>
        <w:t>Finance costs</w:t>
      </w:r>
    </w:p>
    <w:p>
      <w:pPr>
        <w:pStyle w:val="BodyText"/>
        <w:spacing w:before="112"/>
        <w:ind w:left="1824"/>
      </w:pPr>
      <w:bookmarkStart w:name="(d) Income Tax" w:id="267"/>
      <w:bookmarkEnd w:id="267"/>
      <w:r>
        <w:rPr/>
      </w:r>
      <w:r>
        <w:rPr/>
        <w:t>Finance costs relating to the  Western Sydney University loan facilities are expensed.</w:t>
      </w:r>
    </w:p>
    <w:p>
      <w:pPr>
        <w:pStyle w:val="BodyText"/>
      </w:pPr>
    </w:p>
    <w:p>
      <w:pPr>
        <w:pStyle w:val="BodyText"/>
        <w:spacing w:before="5"/>
        <w:rPr>
          <w:sz w:val="19"/>
        </w:rPr>
      </w:pPr>
    </w:p>
    <w:p>
      <w:pPr>
        <w:pStyle w:val="Heading8"/>
        <w:numPr>
          <w:ilvl w:val="0"/>
          <w:numId w:val="58"/>
        </w:numPr>
        <w:tabs>
          <w:tab w:pos="2391" w:val="left" w:leader="none"/>
        </w:tabs>
        <w:spacing w:line="240" w:lineRule="auto" w:before="1" w:after="0"/>
        <w:ind w:left="2390" w:right="0" w:hanging="566"/>
        <w:jc w:val="left"/>
      </w:pPr>
      <w:r>
        <w:rPr/>
        <w:t>Income</w:t>
      </w:r>
      <w:r>
        <w:rPr>
          <w:spacing w:val="1"/>
        </w:rPr>
        <w:t> </w:t>
      </w:r>
      <w:r>
        <w:rPr/>
        <w:t>Tax</w:t>
      </w:r>
    </w:p>
    <w:p>
      <w:pPr>
        <w:pStyle w:val="BodyText"/>
        <w:spacing w:before="112"/>
        <w:ind w:left="1824" w:right="1375"/>
      </w:pPr>
      <w:bookmarkStart w:name="(e) Cash and cash equivalents" w:id="268"/>
      <w:bookmarkEnd w:id="268"/>
      <w:r>
        <w:rPr/>
      </w:r>
      <w:r>
        <w:rPr/>
        <w:t>The Company is exempt from the payment of tax by virtue of section 50-B of the Income Tax Assessment Act 1997. Accordingly, no provision for income tax liability or future income income tax benefit has been included in the accounts.</w:t>
      </w:r>
    </w:p>
    <w:p>
      <w:pPr>
        <w:pStyle w:val="BodyText"/>
      </w:pPr>
    </w:p>
    <w:p>
      <w:pPr>
        <w:pStyle w:val="BodyText"/>
        <w:spacing w:before="5"/>
        <w:rPr>
          <w:sz w:val="19"/>
        </w:rPr>
      </w:pPr>
    </w:p>
    <w:p>
      <w:pPr>
        <w:pStyle w:val="Heading8"/>
        <w:numPr>
          <w:ilvl w:val="0"/>
          <w:numId w:val="58"/>
        </w:numPr>
        <w:tabs>
          <w:tab w:pos="2391" w:val="left" w:leader="none"/>
        </w:tabs>
        <w:spacing w:line="240" w:lineRule="auto" w:before="1" w:after="0"/>
        <w:ind w:left="2390" w:right="0" w:hanging="566"/>
        <w:jc w:val="left"/>
      </w:pPr>
      <w:r>
        <w:rPr/>
        <w:drawing>
          <wp:anchor distT="0" distB="0" distL="0" distR="0" allowOverlap="1" layoutInCell="1" locked="0" behindDoc="0" simplePos="0" relativeHeight="10360">
            <wp:simplePos x="0" y="0"/>
            <wp:positionH relativeFrom="page">
              <wp:posOffset>-1587</wp:posOffset>
            </wp:positionH>
            <wp:positionV relativeFrom="paragraph">
              <wp:posOffset>8939</wp:posOffset>
            </wp:positionV>
            <wp:extent cx="136525" cy="155575"/>
            <wp:effectExtent l="0" t="0" r="0" b="0"/>
            <wp:wrapNone/>
            <wp:docPr id="683" name="image13.png" descr=""/>
            <wp:cNvGraphicFramePr>
              <a:graphicFrameLocks noChangeAspect="1"/>
            </wp:cNvGraphicFramePr>
            <a:graphic>
              <a:graphicData uri="http://schemas.openxmlformats.org/drawingml/2006/picture">
                <pic:pic>
                  <pic:nvPicPr>
                    <pic:cNvPr id="684" name="image13.png"/>
                    <pic:cNvPicPr/>
                  </pic:nvPicPr>
                  <pic:blipFill>
                    <a:blip r:embed="rId18" cstate="print"/>
                    <a:stretch>
                      <a:fillRect/>
                    </a:stretch>
                  </pic:blipFill>
                  <pic:spPr>
                    <a:xfrm>
                      <a:off x="0" y="0"/>
                      <a:ext cx="136525" cy="155575"/>
                    </a:xfrm>
                    <a:prstGeom prst="rect">
                      <a:avLst/>
                    </a:prstGeom>
                  </pic:spPr>
                </pic:pic>
              </a:graphicData>
            </a:graphic>
          </wp:anchor>
        </w:drawing>
      </w:r>
      <w:r>
        <w:rPr/>
        <w:drawing>
          <wp:anchor distT="0" distB="0" distL="0" distR="0" allowOverlap="1" layoutInCell="1" locked="0" behindDoc="0" simplePos="0" relativeHeight="10384">
            <wp:simplePos x="0" y="0"/>
            <wp:positionH relativeFrom="page">
              <wp:posOffset>7958429</wp:posOffset>
            </wp:positionH>
            <wp:positionV relativeFrom="paragraph">
              <wp:posOffset>8939</wp:posOffset>
            </wp:positionV>
            <wp:extent cx="135953" cy="155575"/>
            <wp:effectExtent l="0" t="0" r="0" b="0"/>
            <wp:wrapNone/>
            <wp:docPr id="685" name="image15.png" descr=""/>
            <wp:cNvGraphicFramePr>
              <a:graphicFrameLocks noChangeAspect="1"/>
            </wp:cNvGraphicFramePr>
            <a:graphic>
              <a:graphicData uri="http://schemas.openxmlformats.org/drawingml/2006/picture">
                <pic:pic>
                  <pic:nvPicPr>
                    <pic:cNvPr id="686" name="image15.png"/>
                    <pic:cNvPicPr/>
                  </pic:nvPicPr>
                  <pic:blipFill>
                    <a:blip r:embed="rId20" cstate="print"/>
                    <a:stretch>
                      <a:fillRect/>
                    </a:stretch>
                  </pic:blipFill>
                  <pic:spPr>
                    <a:xfrm>
                      <a:off x="0" y="0"/>
                      <a:ext cx="135953" cy="155575"/>
                    </a:xfrm>
                    <a:prstGeom prst="rect">
                      <a:avLst/>
                    </a:prstGeom>
                  </pic:spPr>
                </pic:pic>
              </a:graphicData>
            </a:graphic>
          </wp:anchor>
        </w:drawing>
      </w:r>
      <w:r>
        <w:rPr/>
        <w:t>Cash and cash</w:t>
      </w:r>
      <w:r>
        <w:rPr>
          <w:spacing w:val="-1"/>
        </w:rPr>
        <w:t> </w:t>
      </w:r>
      <w:r>
        <w:rPr/>
        <w:t>equivalents</w:t>
      </w:r>
    </w:p>
    <w:p>
      <w:pPr>
        <w:pStyle w:val="BodyText"/>
        <w:spacing w:before="112"/>
        <w:ind w:left="1824" w:right="1375"/>
      </w:pPr>
      <w:bookmarkStart w:name="(f) Trade receivables" w:id="269"/>
      <w:bookmarkEnd w:id="269"/>
      <w:r>
        <w:rPr/>
      </w:r>
      <w:r>
        <w:rPr/>
        <w:t>For the purpose of presentation in the statement of cash flows, cash and cash equivalents include cash on hand and cash at bank.</w:t>
      </w:r>
    </w:p>
    <w:p>
      <w:pPr>
        <w:pStyle w:val="BodyText"/>
      </w:pPr>
    </w:p>
    <w:p>
      <w:pPr>
        <w:pStyle w:val="BodyText"/>
        <w:spacing w:before="5"/>
        <w:rPr>
          <w:sz w:val="19"/>
        </w:rPr>
      </w:pPr>
    </w:p>
    <w:p>
      <w:pPr>
        <w:pStyle w:val="Heading8"/>
        <w:numPr>
          <w:ilvl w:val="0"/>
          <w:numId w:val="58"/>
        </w:numPr>
        <w:tabs>
          <w:tab w:pos="2391" w:val="left" w:leader="none"/>
        </w:tabs>
        <w:spacing w:line="240" w:lineRule="auto" w:before="1" w:after="0"/>
        <w:ind w:left="2390" w:right="0" w:hanging="566"/>
        <w:jc w:val="left"/>
      </w:pPr>
      <w:r>
        <w:rPr/>
        <w:t>Trade</w:t>
      </w:r>
      <w:r>
        <w:rPr>
          <w:spacing w:val="-1"/>
        </w:rPr>
        <w:t> </w:t>
      </w:r>
      <w:r>
        <w:rPr/>
        <w:t>receivables</w:t>
      </w:r>
    </w:p>
    <w:p>
      <w:pPr>
        <w:pStyle w:val="BodyText"/>
        <w:spacing w:before="112"/>
        <w:ind w:left="1824" w:right="1538"/>
      </w:pPr>
      <w:r>
        <w:rPr/>
        <w:t>Trade receivables are recognised initially at fair value and subsequently measured at amortised cost using the effective interest method, less provision for impairment. The amount of the provision is recognised in the income statement. This is recognised as the difference between the assets carrying amount and the present value of estimated future cash flows, discounted at the effective interest rate. Collectability of trade receivables is reviewed on an ongoing basis at board level. Individual debts that are known to be uncollectable are written off when identified.</w:t>
      </w:r>
    </w:p>
    <w:p>
      <w:pPr>
        <w:pStyle w:val="BodyText"/>
        <w:spacing w:before="112"/>
        <w:ind w:left="1824" w:right="1375"/>
      </w:pPr>
      <w:bookmarkStart w:name="(g) Inventories" w:id="270"/>
      <w:bookmarkEnd w:id="270"/>
      <w:r>
        <w:rPr/>
      </w:r>
      <w:r>
        <w:rPr/>
        <w:t>Short term receivables, with no stated interest rates, are measured at the original invoice amount where the effect of discounting is immaterial.</w:t>
      </w:r>
    </w:p>
    <w:p>
      <w:pPr>
        <w:pStyle w:val="BodyText"/>
      </w:pPr>
    </w:p>
    <w:p>
      <w:pPr>
        <w:pStyle w:val="BodyText"/>
        <w:spacing w:before="5"/>
        <w:rPr>
          <w:sz w:val="19"/>
        </w:rPr>
      </w:pPr>
    </w:p>
    <w:p>
      <w:pPr>
        <w:pStyle w:val="Heading8"/>
        <w:numPr>
          <w:ilvl w:val="0"/>
          <w:numId w:val="58"/>
        </w:numPr>
        <w:tabs>
          <w:tab w:pos="2391" w:val="left" w:leader="none"/>
        </w:tabs>
        <w:spacing w:line="240" w:lineRule="auto" w:before="1" w:after="0"/>
        <w:ind w:left="2390" w:right="0" w:hanging="566"/>
        <w:jc w:val="left"/>
      </w:pPr>
      <w:r>
        <w:rPr/>
        <w:t>Inventories</w:t>
      </w:r>
    </w:p>
    <w:p>
      <w:pPr>
        <w:pStyle w:val="BodyText"/>
        <w:spacing w:before="112"/>
        <w:ind w:left="1824" w:right="1450"/>
      </w:pPr>
      <w:bookmarkStart w:name="(h) Financial assets" w:id="271"/>
      <w:bookmarkEnd w:id="271"/>
      <w:r>
        <w:rPr/>
      </w:r>
      <w:r>
        <w:rPr/>
        <w:t>All inventories are measured at the lower of cost and net realisable value. All stock is valued at a weighted average cost.</w:t>
      </w:r>
    </w:p>
    <w:p>
      <w:pPr>
        <w:pStyle w:val="Heading8"/>
        <w:numPr>
          <w:ilvl w:val="0"/>
          <w:numId w:val="58"/>
        </w:numPr>
        <w:tabs>
          <w:tab w:pos="2391" w:val="left" w:leader="none"/>
        </w:tabs>
        <w:spacing w:line="490" w:lineRule="atLeast" w:before="148" w:after="0"/>
        <w:ind w:left="1824" w:right="8953" w:firstLine="0"/>
        <w:jc w:val="left"/>
      </w:pPr>
      <w:r>
        <w:rPr/>
        <w:t>Financial assets Classification</w:t>
      </w:r>
    </w:p>
    <w:p>
      <w:pPr>
        <w:pStyle w:val="BodyText"/>
        <w:spacing w:before="112"/>
        <w:ind w:left="1824"/>
      </w:pPr>
      <w:r>
        <w:rPr/>
        <w:t>The Company classifies its investments as loans and receivables.</w:t>
      </w:r>
    </w:p>
    <w:p>
      <w:pPr>
        <w:pStyle w:val="BodyText"/>
        <w:spacing w:before="11"/>
        <w:rPr>
          <w:sz w:val="24"/>
        </w:rPr>
      </w:pPr>
    </w:p>
    <w:p>
      <w:pPr>
        <w:pStyle w:val="Heading8"/>
        <w:ind w:left="1824"/>
      </w:pPr>
      <w:r>
        <w:rPr/>
        <w:t>Loans and receivables</w:t>
      </w:r>
    </w:p>
    <w:p>
      <w:pPr>
        <w:pStyle w:val="BodyText"/>
        <w:spacing w:before="112"/>
        <w:ind w:left="1823" w:right="1462"/>
      </w:pPr>
      <w:r>
        <w:rPr/>
        <w:t>Loans and receivables are non-derivative financial assets with fixed or determinable payments that are not quoted in an active market. They are included in current assets, except for those with maturities greater than 12 months after the reporting period which are classified as non current assets. Loans and receivables are included in trade and other receivables (note 8) in the Statement of Financial Position. The assets residual values are reviewed and adjusted if appropriate at each balance sheet</w:t>
      </w:r>
      <w:r>
        <w:rPr>
          <w:spacing w:val="4"/>
        </w:rPr>
        <w:t> </w:t>
      </w:r>
      <w:r>
        <w:rPr/>
        <w:t>date.</w:t>
      </w:r>
    </w:p>
    <w:p>
      <w:pPr>
        <w:spacing w:after="0"/>
        <w:sectPr>
          <w:pgSz w:w="12750" w:h="17680"/>
          <w:pgMar w:header="0" w:footer="867" w:top="1880" w:bottom="1120" w:left="0" w:right="0"/>
        </w:sectPr>
      </w:pPr>
    </w:p>
    <w:p>
      <w:pPr>
        <w:pStyle w:val="BodyText"/>
        <w:spacing w:before="1"/>
        <w:rPr>
          <w:sz w:val="24"/>
        </w:rPr>
      </w:pPr>
    </w:p>
    <w:p>
      <w:pPr>
        <w:pStyle w:val="Heading4"/>
        <w:spacing w:before="65"/>
      </w:pPr>
      <w:r>
        <w:rPr/>
        <w:t>Notes to the Financial Statements</w:t>
      </w:r>
    </w:p>
    <w:p>
      <w:pPr>
        <w:pStyle w:val="Heading7"/>
        <w:spacing w:before="53"/>
      </w:pPr>
      <w:r>
        <w:rPr/>
        <w:t>For the Year Ended 31 December 2016</w:t>
      </w:r>
    </w:p>
    <w:p>
      <w:pPr>
        <w:pStyle w:val="BodyText"/>
        <w:spacing w:before="1"/>
        <w:rPr>
          <w:b/>
          <w:sz w:val="25"/>
        </w:rPr>
      </w:pPr>
    </w:p>
    <w:p>
      <w:pPr>
        <w:pStyle w:val="Heading8"/>
        <w:tabs>
          <w:tab w:pos="1823" w:val="left" w:leader="none"/>
        </w:tabs>
        <w:ind w:left="1430"/>
      </w:pPr>
      <w:r>
        <w:rPr/>
        <w:t>1</w:t>
        <w:tab/>
        <w:t>Summary of Significant Accounting</w:t>
      </w:r>
      <w:r>
        <w:rPr>
          <w:spacing w:val="-9"/>
        </w:rPr>
        <w:t> </w:t>
      </w:r>
      <w:r>
        <w:rPr/>
        <w:t>Policies</w:t>
      </w:r>
    </w:p>
    <w:p>
      <w:pPr>
        <w:pStyle w:val="ListParagraph"/>
        <w:numPr>
          <w:ilvl w:val="0"/>
          <w:numId w:val="59"/>
        </w:numPr>
        <w:tabs>
          <w:tab w:pos="2391" w:val="left" w:leader="none"/>
        </w:tabs>
        <w:spacing w:line="240" w:lineRule="auto" w:before="112" w:after="0"/>
        <w:ind w:left="2390" w:right="0" w:hanging="566"/>
        <w:jc w:val="left"/>
        <w:rPr>
          <w:b/>
          <w:sz w:val="18"/>
        </w:rPr>
      </w:pPr>
      <w:r>
        <w:rPr>
          <w:b/>
          <w:sz w:val="18"/>
        </w:rPr>
        <w:t>Financial assets</w:t>
      </w:r>
    </w:p>
    <w:p>
      <w:pPr>
        <w:pStyle w:val="BodyText"/>
        <w:spacing w:before="11"/>
        <w:rPr>
          <w:b/>
          <w:sz w:val="24"/>
        </w:rPr>
      </w:pPr>
    </w:p>
    <w:p>
      <w:pPr>
        <w:spacing w:before="0"/>
        <w:ind w:left="1824" w:right="0" w:firstLine="0"/>
        <w:jc w:val="left"/>
        <w:rPr>
          <w:b/>
          <w:sz w:val="18"/>
        </w:rPr>
      </w:pPr>
      <w:r>
        <w:rPr>
          <w:b/>
          <w:sz w:val="18"/>
        </w:rPr>
        <w:t>Measurement</w:t>
      </w:r>
    </w:p>
    <w:p>
      <w:pPr>
        <w:pStyle w:val="BodyText"/>
        <w:spacing w:before="112"/>
        <w:ind w:left="1824"/>
      </w:pPr>
      <w:r>
        <w:rPr/>
        <w:t>Details on how the fair value of financial instruments is determined are disclosed in note 2.</w:t>
      </w:r>
    </w:p>
    <w:p>
      <w:pPr>
        <w:pStyle w:val="BodyText"/>
        <w:spacing w:before="11"/>
        <w:rPr>
          <w:sz w:val="24"/>
        </w:rPr>
      </w:pPr>
    </w:p>
    <w:p>
      <w:pPr>
        <w:spacing w:before="0"/>
        <w:ind w:left="1824" w:right="0" w:firstLine="0"/>
        <w:jc w:val="left"/>
        <w:rPr>
          <w:b/>
          <w:i/>
          <w:sz w:val="18"/>
        </w:rPr>
      </w:pPr>
      <w:r>
        <w:rPr>
          <w:b/>
          <w:i/>
          <w:sz w:val="18"/>
        </w:rPr>
        <w:t>Assets carried at amortised cost</w:t>
      </w:r>
    </w:p>
    <w:p>
      <w:pPr>
        <w:pStyle w:val="BodyText"/>
        <w:spacing w:before="112"/>
        <w:ind w:left="1824" w:right="1450"/>
      </w:pPr>
      <w:r>
        <w:rPr/>
        <w:t>For loans and receivables, the amount of the loss is measured as the difference between the asset's carrying amount and the present value of estimated future cash flows (excluding future credit losses that have not been incurred) discounted at the financial asset's original effective interest rate. The carrying amount of the asset is reduced and the amount of the loss is recognised in the Statement of Comprehensive Income. If the loan has a variable interest rate,  the discount rate for measuring any impairment loss is the current effective interest rate determined under the contract. As a practical expedient, when deriving fair values where the observable market price are not available also requires significant assumption and</w:t>
      </w:r>
      <w:r>
        <w:rPr>
          <w:spacing w:val="2"/>
        </w:rPr>
        <w:t> </w:t>
      </w:r>
      <w:r>
        <w:rPr/>
        <w:t>judgement.</w:t>
      </w:r>
    </w:p>
    <w:p>
      <w:pPr>
        <w:pStyle w:val="BodyText"/>
        <w:spacing w:before="112"/>
        <w:ind w:left="1824" w:right="1375"/>
      </w:pPr>
      <w:r>
        <w:rPr/>
        <w:t>If, in a subsequent period, the amount of the impairment loss decreases and the decrease can be related objectively to an event occurring after the impairment was recognised (such as an improvement in the debtor's credit rating), the </w:t>
      </w:r>
      <w:bookmarkStart w:name="(i) Property, Plant and Equipment" w:id="272"/>
      <w:bookmarkEnd w:id="272"/>
      <w:r>
        <w:rPr/>
      </w:r>
      <w:r>
        <w:rPr/>
        <w:t>reversal of the previously recognised impairment loss is recognised in the income statement.</w:t>
      </w:r>
    </w:p>
    <w:p>
      <w:pPr>
        <w:pStyle w:val="BodyText"/>
        <w:spacing w:before="112"/>
        <w:ind w:left="1824"/>
      </w:pPr>
      <w:r>
        <w:rPr/>
        <w:t>Impairment testing of trade receivables is described in note 1(f).</w:t>
      </w:r>
    </w:p>
    <w:p>
      <w:pPr>
        <w:pStyle w:val="BodyText"/>
        <w:spacing w:before="9"/>
        <w:rPr>
          <w:sz w:val="25"/>
        </w:rPr>
      </w:pPr>
    </w:p>
    <w:p>
      <w:pPr>
        <w:pStyle w:val="Heading8"/>
        <w:numPr>
          <w:ilvl w:val="0"/>
          <w:numId w:val="59"/>
        </w:numPr>
        <w:tabs>
          <w:tab w:pos="2391" w:val="left" w:leader="none"/>
        </w:tabs>
        <w:spacing w:line="240" w:lineRule="auto" w:before="0" w:after="0"/>
        <w:ind w:left="2390" w:right="0" w:hanging="566"/>
        <w:jc w:val="left"/>
      </w:pPr>
      <w:r>
        <w:rPr/>
        <w:t>Property, Plant and</w:t>
      </w:r>
      <w:r>
        <w:rPr>
          <w:spacing w:val="-9"/>
        </w:rPr>
        <w:t> </w:t>
      </w:r>
      <w:r>
        <w:rPr/>
        <w:t>Equipment</w:t>
      </w:r>
    </w:p>
    <w:p>
      <w:pPr>
        <w:pStyle w:val="BodyText"/>
        <w:spacing w:before="112"/>
        <w:ind w:left="1824"/>
      </w:pPr>
      <w:r>
        <w:rPr/>
        <w:t>Property, plant and equipment are stated at cost less accumulated depreciation.</w:t>
      </w:r>
    </w:p>
    <w:p>
      <w:pPr>
        <w:pStyle w:val="BodyText"/>
        <w:spacing w:before="112"/>
        <w:ind w:left="1824" w:right="1375"/>
      </w:pPr>
      <w:r>
        <w:rPr/>
        <w:drawing>
          <wp:anchor distT="0" distB="0" distL="0" distR="0" allowOverlap="1" layoutInCell="1" locked="0" behindDoc="0" simplePos="0" relativeHeight="10408">
            <wp:simplePos x="0" y="0"/>
            <wp:positionH relativeFrom="page">
              <wp:posOffset>-1587</wp:posOffset>
            </wp:positionH>
            <wp:positionV relativeFrom="paragraph">
              <wp:posOffset>187628</wp:posOffset>
            </wp:positionV>
            <wp:extent cx="136525" cy="155575"/>
            <wp:effectExtent l="0" t="0" r="0" b="0"/>
            <wp:wrapNone/>
            <wp:docPr id="687" name="image13.png" descr=""/>
            <wp:cNvGraphicFramePr>
              <a:graphicFrameLocks noChangeAspect="1"/>
            </wp:cNvGraphicFramePr>
            <a:graphic>
              <a:graphicData uri="http://schemas.openxmlformats.org/drawingml/2006/picture">
                <pic:pic>
                  <pic:nvPicPr>
                    <pic:cNvPr id="688" name="image13.png"/>
                    <pic:cNvPicPr/>
                  </pic:nvPicPr>
                  <pic:blipFill>
                    <a:blip r:embed="rId18" cstate="print"/>
                    <a:stretch>
                      <a:fillRect/>
                    </a:stretch>
                  </pic:blipFill>
                  <pic:spPr>
                    <a:xfrm>
                      <a:off x="0" y="0"/>
                      <a:ext cx="136525" cy="155575"/>
                    </a:xfrm>
                    <a:prstGeom prst="rect">
                      <a:avLst/>
                    </a:prstGeom>
                  </pic:spPr>
                </pic:pic>
              </a:graphicData>
            </a:graphic>
          </wp:anchor>
        </w:drawing>
      </w:r>
      <w:r>
        <w:rPr/>
        <w:drawing>
          <wp:anchor distT="0" distB="0" distL="0" distR="0" allowOverlap="1" layoutInCell="1" locked="0" behindDoc="0" simplePos="0" relativeHeight="10432">
            <wp:simplePos x="0" y="0"/>
            <wp:positionH relativeFrom="page">
              <wp:posOffset>7958429</wp:posOffset>
            </wp:positionH>
            <wp:positionV relativeFrom="paragraph">
              <wp:posOffset>187628</wp:posOffset>
            </wp:positionV>
            <wp:extent cx="135953" cy="155575"/>
            <wp:effectExtent l="0" t="0" r="0" b="0"/>
            <wp:wrapNone/>
            <wp:docPr id="689" name="image15.png" descr=""/>
            <wp:cNvGraphicFramePr>
              <a:graphicFrameLocks noChangeAspect="1"/>
            </wp:cNvGraphicFramePr>
            <a:graphic>
              <a:graphicData uri="http://schemas.openxmlformats.org/drawingml/2006/picture">
                <pic:pic>
                  <pic:nvPicPr>
                    <pic:cNvPr id="690" name="image15.png"/>
                    <pic:cNvPicPr/>
                  </pic:nvPicPr>
                  <pic:blipFill>
                    <a:blip r:embed="rId20" cstate="print"/>
                    <a:stretch>
                      <a:fillRect/>
                    </a:stretch>
                  </pic:blipFill>
                  <pic:spPr>
                    <a:xfrm>
                      <a:off x="0" y="0"/>
                      <a:ext cx="135953" cy="155575"/>
                    </a:xfrm>
                    <a:prstGeom prst="rect">
                      <a:avLst/>
                    </a:prstGeom>
                  </pic:spPr>
                </pic:pic>
              </a:graphicData>
            </a:graphic>
          </wp:anchor>
        </w:drawing>
      </w:r>
      <w:r>
        <w:rPr/>
        <w:t>Subsequent costs are included in the asset's carrying amount or recognised as a separate asset, as appropriate, only when it is probable that future economic benefits associated with the item will flow to the company and the cost of the item can be measured reliably. All other repairs and maintenance are charged to the statement of comprehensive income during the reporting period in which they are incurred.</w:t>
      </w:r>
    </w:p>
    <w:p>
      <w:pPr>
        <w:pStyle w:val="BodyText"/>
        <w:spacing w:before="112"/>
        <w:ind w:left="1824" w:right="1450"/>
      </w:pPr>
      <w:r>
        <w:rPr/>
        <w:t>Depreciation on assets is calculated using the straight line method to allocate their cost or re-valued amounts, net of their residual values, over their estimated useful lives or, in the case of leasehold improvements and certain leased plant and equipment, the shorter lease term as follows:</w:t>
      </w:r>
    </w:p>
    <w:p>
      <w:pPr>
        <w:pStyle w:val="BodyText"/>
      </w:pPr>
    </w:p>
    <w:p>
      <w:pPr>
        <w:pStyle w:val="Heading8"/>
        <w:tabs>
          <w:tab w:pos="7019" w:val="left" w:leader="none"/>
        </w:tabs>
        <w:spacing w:before="145"/>
        <w:ind w:left="2390"/>
      </w:pPr>
      <w:r>
        <w:rPr/>
        <w:t>Class</w:t>
      </w:r>
      <w:r>
        <w:rPr>
          <w:spacing w:val="-1"/>
        </w:rPr>
        <w:t> </w:t>
      </w:r>
      <w:r>
        <w:rPr/>
        <w:t>of</w:t>
      </w:r>
      <w:r>
        <w:rPr>
          <w:spacing w:val="-1"/>
        </w:rPr>
        <w:t> </w:t>
      </w:r>
      <w:r>
        <w:rPr/>
        <w:t>Assets</w:t>
        <w:tab/>
        <w:t>Useful Life</w:t>
      </w:r>
    </w:p>
    <w:p>
      <w:pPr>
        <w:pStyle w:val="BodyText"/>
        <w:tabs>
          <w:tab w:pos="7178" w:val="left" w:leader="none"/>
        </w:tabs>
        <w:spacing w:before="64"/>
        <w:ind w:left="2390"/>
      </w:pPr>
      <w:r>
        <w:rPr/>
        <w:t>Plant and Equipment</w:t>
        <w:tab/>
        <w:t>3-10</w:t>
      </w:r>
      <w:r>
        <w:rPr>
          <w:spacing w:val="-1"/>
        </w:rPr>
        <w:t> </w:t>
      </w:r>
      <w:r>
        <w:rPr/>
        <w:t>years</w:t>
      </w:r>
    </w:p>
    <w:p>
      <w:pPr>
        <w:pStyle w:val="BodyText"/>
        <w:tabs>
          <w:tab w:pos="7279" w:val="left" w:leader="none"/>
        </w:tabs>
        <w:spacing w:before="57"/>
        <w:ind w:left="2390"/>
      </w:pPr>
      <w:r>
        <w:rPr/>
        <w:t>Motor</w:t>
      </w:r>
      <w:r>
        <w:rPr>
          <w:spacing w:val="-1"/>
        </w:rPr>
        <w:t> </w:t>
      </w:r>
      <w:r>
        <w:rPr/>
        <w:t>Vehicles</w:t>
        <w:tab/>
        <w:t>6-7</w:t>
      </w:r>
      <w:r>
        <w:rPr>
          <w:spacing w:val="-1"/>
        </w:rPr>
        <w:t> </w:t>
      </w:r>
      <w:r>
        <w:rPr/>
        <w:t>years</w:t>
      </w:r>
    </w:p>
    <w:p>
      <w:pPr>
        <w:pStyle w:val="BodyText"/>
        <w:tabs>
          <w:tab w:pos="7279" w:val="left" w:leader="none"/>
        </w:tabs>
        <w:spacing w:before="57"/>
        <w:ind w:left="2390"/>
      </w:pPr>
      <w:r>
        <w:rPr/>
        <w:t>Computer Equipment</w:t>
        <w:tab/>
        <w:t>3-4</w:t>
      </w:r>
      <w:r>
        <w:rPr>
          <w:spacing w:val="-1"/>
        </w:rPr>
        <w:t> </w:t>
      </w:r>
      <w:r>
        <w:rPr/>
        <w:t>years</w:t>
      </w:r>
    </w:p>
    <w:p>
      <w:pPr>
        <w:pStyle w:val="BodyText"/>
        <w:tabs>
          <w:tab w:pos="7279" w:val="left" w:leader="none"/>
        </w:tabs>
        <w:spacing w:before="57"/>
        <w:ind w:left="2390"/>
      </w:pPr>
      <w:r>
        <w:rPr/>
        <w:t>Leasehold Improvements</w:t>
        <w:tab/>
        <w:t>2-6</w:t>
      </w:r>
      <w:r>
        <w:rPr>
          <w:spacing w:val="-1"/>
        </w:rPr>
        <w:t> </w:t>
      </w:r>
      <w:r>
        <w:rPr/>
        <w:t>years</w:t>
      </w:r>
    </w:p>
    <w:p>
      <w:pPr>
        <w:pStyle w:val="BodyText"/>
        <w:tabs>
          <w:tab w:pos="7077" w:val="left" w:leader="none"/>
        </w:tabs>
        <w:spacing w:before="57"/>
        <w:ind w:left="2390"/>
      </w:pPr>
      <w:r>
        <w:rPr/>
        <w:t>Other Property, Plant</w:t>
      </w:r>
      <w:r>
        <w:rPr>
          <w:spacing w:val="-1"/>
        </w:rPr>
        <w:t> </w:t>
      </w:r>
      <w:r>
        <w:rPr/>
        <w:t>and</w:t>
      </w:r>
      <w:r>
        <w:rPr>
          <w:spacing w:val="-1"/>
        </w:rPr>
        <w:t> </w:t>
      </w:r>
      <w:r>
        <w:rPr/>
        <w:t>Equipment</w:t>
        <w:tab/>
        <w:t>10-20</w:t>
      </w:r>
      <w:r>
        <w:rPr>
          <w:spacing w:val="-1"/>
        </w:rPr>
        <w:t> </w:t>
      </w:r>
      <w:r>
        <w:rPr/>
        <w:t>years</w:t>
      </w:r>
    </w:p>
    <w:p>
      <w:pPr>
        <w:pStyle w:val="BodyText"/>
        <w:spacing w:before="138"/>
        <w:ind w:left="1824" w:right="1375"/>
      </w:pPr>
      <w:r>
        <w:rPr/>
        <w:t>An asset's carrying amount is written down immediately to its recoverable amount if the asset's carrying amount is greater than its estimated recoverable amount.</w:t>
      </w:r>
    </w:p>
    <w:p>
      <w:pPr>
        <w:pStyle w:val="BodyText"/>
        <w:spacing w:before="112"/>
        <w:ind w:left="1824" w:right="1375"/>
      </w:pPr>
      <w:bookmarkStart w:name="(j) Intangible Assets" w:id="273"/>
      <w:bookmarkEnd w:id="273"/>
      <w:r>
        <w:rPr/>
      </w:r>
      <w:r>
        <w:rPr/>
        <w:t>Gains and losses on disposals are determined by comparing proceeds with carrying amount. These are included in the statement of comprehensive income.</w:t>
      </w:r>
    </w:p>
    <w:p>
      <w:pPr>
        <w:pStyle w:val="BodyText"/>
      </w:pPr>
    </w:p>
    <w:p>
      <w:pPr>
        <w:pStyle w:val="BodyText"/>
        <w:spacing w:before="5"/>
        <w:rPr>
          <w:sz w:val="19"/>
        </w:rPr>
      </w:pPr>
    </w:p>
    <w:p>
      <w:pPr>
        <w:pStyle w:val="Heading8"/>
        <w:numPr>
          <w:ilvl w:val="0"/>
          <w:numId w:val="59"/>
        </w:numPr>
        <w:tabs>
          <w:tab w:pos="2391" w:val="left" w:leader="none"/>
        </w:tabs>
        <w:spacing w:line="240" w:lineRule="auto" w:before="1" w:after="0"/>
        <w:ind w:left="2390" w:right="0" w:hanging="566"/>
        <w:jc w:val="left"/>
      </w:pPr>
      <w:r>
        <w:rPr/>
        <w:t>Intangible Assets</w:t>
      </w:r>
    </w:p>
    <w:p>
      <w:pPr>
        <w:pStyle w:val="ListParagraph"/>
        <w:numPr>
          <w:ilvl w:val="1"/>
          <w:numId w:val="59"/>
        </w:numPr>
        <w:tabs>
          <w:tab w:pos="2957" w:val="left" w:leader="none"/>
        </w:tabs>
        <w:spacing w:line="240" w:lineRule="auto" w:before="131" w:after="0"/>
        <w:ind w:left="2956" w:right="0" w:hanging="566"/>
        <w:jc w:val="left"/>
        <w:rPr>
          <w:sz w:val="18"/>
        </w:rPr>
      </w:pPr>
      <w:r>
        <w:rPr>
          <w:sz w:val="18"/>
        </w:rPr>
        <w:t>IT development and</w:t>
      </w:r>
      <w:r>
        <w:rPr>
          <w:spacing w:val="-1"/>
          <w:sz w:val="18"/>
        </w:rPr>
        <w:t> </w:t>
      </w:r>
      <w:r>
        <w:rPr>
          <w:sz w:val="18"/>
        </w:rPr>
        <w:t>software</w:t>
      </w:r>
    </w:p>
    <w:p>
      <w:pPr>
        <w:pStyle w:val="BodyText"/>
        <w:spacing w:before="117"/>
        <w:ind w:left="2390" w:right="1375"/>
      </w:pPr>
      <w:r>
        <w:rPr/>
        <w:t>Costs incurred in developing products or systems and costs incurred in acquiring software and licences that contribute to future financial benefits through revenue generation and/or cost reduction, are capitalised to software and systems. Costs capitalised include external direct costs of materials and service and direct payroll and payroll related costs to employee's time spent on the project. Amortisation is calculated on a straight line basis over periods generally ranging from 3 to 5 years.</w:t>
      </w:r>
    </w:p>
    <w:p>
      <w:pPr>
        <w:pStyle w:val="ListParagraph"/>
        <w:numPr>
          <w:ilvl w:val="1"/>
          <w:numId w:val="59"/>
        </w:numPr>
        <w:tabs>
          <w:tab w:pos="2957" w:val="left" w:leader="none"/>
        </w:tabs>
        <w:spacing w:line="240" w:lineRule="auto" w:before="131" w:after="0"/>
        <w:ind w:left="2956" w:right="0" w:hanging="566"/>
        <w:jc w:val="left"/>
        <w:rPr>
          <w:sz w:val="18"/>
        </w:rPr>
      </w:pPr>
      <w:r>
        <w:rPr>
          <w:sz w:val="18"/>
        </w:rPr>
        <w:t>Franchise Fees</w:t>
      </w:r>
    </w:p>
    <w:p>
      <w:pPr>
        <w:pStyle w:val="BodyText"/>
        <w:spacing w:before="117"/>
        <w:ind w:left="2390" w:right="1660"/>
      </w:pPr>
      <w:r>
        <w:rPr/>
        <w:t>Cost incurred to acquire Subway Franchise fees are amortised over a period of 20 years on a straight line basis.</w:t>
      </w:r>
    </w:p>
    <w:p>
      <w:pPr>
        <w:spacing w:after="0"/>
        <w:sectPr>
          <w:pgSz w:w="12750" w:h="17680"/>
          <w:pgMar w:header="0" w:footer="867" w:top="1880" w:bottom="1120" w:left="0" w:right="0"/>
        </w:sectPr>
      </w:pPr>
    </w:p>
    <w:p>
      <w:pPr>
        <w:pStyle w:val="BodyText"/>
        <w:spacing w:before="1"/>
        <w:rPr>
          <w:sz w:val="24"/>
        </w:rPr>
      </w:pPr>
    </w:p>
    <w:p>
      <w:pPr>
        <w:pStyle w:val="Heading4"/>
        <w:spacing w:before="65"/>
      </w:pPr>
      <w:r>
        <w:rPr/>
        <w:t>Notes to the Financial Statements</w:t>
      </w:r>
    </w:p>
    <w:p>
      <w:pPr>
        <w:pStyle w:val="Heading7"/>
        <w:spacing w:before="53"/>
      </w:pPr>
      <w:bookmarkStart w:name="Trade and other payables" w:id="274"/>
      <w:bookmarkEnd w:id="274"/>
      <w:r>
        <w:rPr>
          <w:b w:val="0"/>
        </w:rPr>
      </w:r>
      <w:r>
        <w:rPr/>
        <w:t>For the Year Ended 31 December 2016</w:t>
      </w:r>
    </w:p>
    <w:p>
      <w:pPr>
        <w:pStyle w:val="BodyText"/>
        <w:spacing w:before="1"/>
        <w:rPr>
          <w:b/>
          <w:sz w:val="25"/>
        </w:rPr>
      </w:pPr>
    </w:p>
    <w:p>
      <w:pPr>
        <w:pStyle w:val="Heading8"/>
        <w:tabs>
          <w:tab w:pos="1823" w:val="left" w:leader="none"/>
        </w:tabs>
        <w:ind w:left="1430"/>
      </w:pPr>
      <w:r>
        <w:rPr/>
        <w:t>1</w:t>
        <w:tab/>
        <w:t>Summary of Significant Accounting</w:t>
      </w:r>
      <w:r>
        <w:rPr>
          <w:spacing w:val="-9"/>
        </w:rPr>
        <w:t> </w:t>
      </w:r>
      <w:r>
        <w:rPr/>
        <w:t>Policies</w:t>
      </w:r>
    </w:p>
    <w:p>
      <w:pPr>
        <w:pStyle w:val="BodyText"/>
        <w:rPr>
          <w:b/>
        </w:rPr>
      </w:pPr>
    </w:p>
    <w:p>
      <w:pPr>
        <w:pStyle w:val="BodyText"/>
        <w:spacing w:before="5"/>
        <w:rPr>
          <w:b/>
          <w:sz w:val="19"/>
        </w:rPr>
      </w:pPr>
    </w:p>
    <w:p>
      <w:pPr>
        <w:pStyle w:val="ListParagraph"/>
        <w:numPr>
          <w:ilvl w:val="0"/>
          <w:numId w:val="59"/>
        </w:numPr>
        <w:tabs>
          <w:tab w:pos="2391" w:val="left" w:leader="none"/>
        </w:tabs>
        <w:spacing w:line="240" w:lineRule="auto" w:before="1" w:after="0"/>
        <w:ind w:left="2390" w:right="0" w:hanging="566"/>
        <w:jc w:val="left"/>
        <w:rPr>
          <w:b/>
          <w:sz w:val="18"/>
        </w:rPr>
      </w:pPr>
      <w:r>
        <w:rPr>
          <w:b/>
          <w:sz w:val="18"/>
        </w:rPr>
        <w:t>Trade and other</w:t>
      </w:r>
      <w:r>
        <w:rPr>
          <w:b/>
          <w:spacing w:val="-9"/>
          <w:sz w:val="18"/>
        </w:rPr>
        <w:t> </w:t>
      </w:r>
      <w:r>
        <w:rPr>
          <w:b/>
          <w:sz w:val="18"/>
        </w:rPr>
        <w:t>payables</w:t>
      </w:r>
    </w:p>
    <w:p>
      <w:pPr>
        <w:pStyle w:val="BodyText"/>
        <w:spacing w:before="11"/>
        <w:rPr>
          <w:b/>
          <w:sz w:val="24"/>
        </w:rPr>
      </w:pPr>
    </w:p>
    <w:p>
      <w:pPr>
        <w:pStyle w:val="BodyText"/>
        <w:ind w:left="1824" w:right="1450"/>
      </w:pPr>
      <w:r>
        <w:rPr/>
        <w:t>These amounts represent liabilities for goods and services provided to the Company prior to the end of the financial </w:t>
      </w:r>
      <w:bookmarkStart w:name="(l) Employee benefits" w:id="275"/>
      <w:bookmarkEnd w:id="275"/>
      <w:r>
        <w:rPr/>
      </w:r>
      <w:r>
        <w:rPr/>
        <w:t>year which are unpaid. The amounts are unsecured and are usually paid according to the credit terms agreed with the suppliers. Trade and other payables are presented as current liabilities unless payment is not due within 12 months from the reporting date.</w:t>
      </w:r>
    </w:p>
    <w:p>
      <w:pPr>
        <w:pStyle w:val="Heading8"/>
        <w:numPr>
          <w:ilvl w:val="0"/>
          <w:numId w:val="59"/>
        </w:numPr>
        <w:tabs>
          <w:tab w:pos="2391" w:val="left" w:leader="none"/>
        </w:tabs>
        <w:spacing w:line="240" w:lineRule="auto" w:before="112" w:after="0"/>
        <w:ind w:left="2390" w:right="0" w:hanging="566"/>
        <w:jc w:val="left"/>
      </w:pPr>
      <w:r>
        <w:rPr/>
        <w:t>Employee</w:t>
      </w:r>
      <w:r>
        <w:rPr>
          <w:spacing w:val="-10"/>
        </w:rPr>
        <w:t> </w:t>
      </w:r>
      <w:r>
        <w:rPr/>
        <w:t>benefits</w:t>
      </w:r>
    </w:p>
    <w:p>
      <w:pPr>
        <w:pStyle w:val="BodyText"/>
        <w:spacing w:before="11"/>
        <w:rPr>
          <w:b/>
          <w:sz w:val="24"/>
        </w:rPr>
      </w:pPr>
    </w:p>
    <w:p>
      <w:pPr>
        <w:pStyle w:val="BodyText"/>
        <w:ind w:left="1824" w:right="1450"/>
      </w:pPr>
      <w:r>
        <w:rPr/>
        <w:t>Liabilities for wages and salaries, including non-monetary benefits, expected to be settled within 12 months after the end of each reporting period are measured at the amounts expected to be paid when the liabilities are settled and recognised in other payables. The liability for annual leave is recognised in the provision for employee benefits.</w:t>
      </w:r>
    </w:p>
    <w:p>
      <w:pPr>
        <w:pStyle w:val="BodyText"/>
      </w:pPr>
    </w:p>
    <w:p>
      <w:pPr>
        <w:pStyle w:val="ListParagraph"/>
        <w:numPr>
          <w:ilvl w:val="1"/>
          <w:numId w:val="59"/>
        </w:numPr>
        <w:tabs>
          <w:tab w:pos="2957" w:val="left" w:leader="none"/>
        </w:tabs>
        <w:spacing w:line="240" w:lineRule="auto" w:before="109" w:after="0"/>
        <w:ind w:left="2956" w:right="0" w:hanging="566"/>
        <w:jc w:val="left"/>
        <w:rPr>
          <w:sz w:val="18"/>
        </w:rPr>
      </w:pPr>
      <w:r>
        <w:rPr>
          <w:sz w:val="18"/>
        </w:rPr>
        <w:t>Provisions</w:t>
      </w:r>
    </w:p>
    <w:p>
      <w:pPr>
        <w:pStyle w:val="BodyText"/>
        <w:spacing w:before="4"/>
        <w:rPr>
          <w:sz w:val="25"/>
        </w:rPr>
      </w:pPr>
    </w:p>
    <w:p>
      <w:pPr>
        <w:pStyle w:val="BodyText"/>
        <w:ind w:left="2390" w:right="1464"/>
      </w:pPr>
      <w:r>
        <w:rPr/>
        <w:drawing>
          <wp:anchor distT="0" distB="0" distL="0" distR="0" allowOverlap="1" layoutInCell="1" locked="0" behindDoc="0" simplePos="0" relativeHeight="10456">
            <wp:simplePos x="0" y="0"/>
            <wp:positionH relativeFrom="page">
              <wp:posOffset>-1587</wp:posOffset>
            </wp:positionH>
            <wp:positionV relativeFrom="paragraph">
              <wp:posOffset>991284</wp:posOffset>
            </wp:positionV>
            <wp:extent cx="136525" cy="155575"/>
            <wp:effectExtent l="0" t="0" r="0" b="0"/>
            <wp:wrapNone/>
            <wp:docPr id="691" name="image13.png" descr=""/>
            <wp:cNvGraphicFramePr>
              <a:graphicFrameLocks noChangeAspect="1"/>
            </wp:cNvGraphicFramePr>
            <a:graphic>
              <a:graphicData uri="http://schemas.openxmlformats.org/drawingml/2006/picture">
                <pic:pic>
                  <pic:nvPicPr>
                    <pic:cNvPr id="692" name="image13.png"/>
                    <pic:cNvPicPr/>
                  </pic:nvPicPr>
                  <pic:blipFill>
                    <a:blip r:embed="rId18" cstate="print"/>
                    <a:stretch>
                      <a:fillRect/>
                    </a:stretch>
                  </pic:blipFill>
                  <pic:spPr>
                    <a:xfrm>
                      <a:off x="0" y="0"/>
                      <a:ext cx="136525" cy="155575"/>
                    </a:xfrm>
                    <a:prstGeom prst="rect">
                      <a:avLst/>
                    </a:prstGeom>
                  </pic:spPr>
                </pic:pic>
              </a:graphicData>
            </a:graphic>
          </wp:anchor>
        </w:drawing>
      </w:r>
      <w:r>
        <w:rPr/>
        <w:drawing>
          <wp:anchor distT="0" distB="0" distL="0" distR="0" allowOverlap="1" layoutInCell="1" locked="0" behindDoc="0" simplePos="0" relativeHeight="10480">
            <wp:simplePos x="0" y="0"/>
            <wp:positionH relativeFrom="page">
              <wp:posOffset>7958429</wp:posOffset>
            </wp:positionH>
            <wp:positionV relativeFrom="paragraph">
              <wp:posOffset>991284</wp:posOffset>
            </wp:positionV>
            <wp:extent cx="135953" cy="155575"/>
            <wp:effectExtent l="0" t="0" r="0" b="0"/>
            <wp:wrapNone/>
            <wp:docPr id="693" name="image15.png" descr=""/>
            <wp:cNvGraphicFramePr>
              <a:graphicFrameLocks noChangeAspect="1"/>
            </wp:cNvGraphicFramePr>
            <a:graphic>
              <a:graphicData uri="http://schemas.openxmlformats.org/drawingml/2006/picture">
                <pic:pic>
                  <pic:nvPicPr>
                    <pic:cNvPr id="694" name="image15.png"/>
                    <pic:cNvPicPr/>
                  </pic:nvPicPr>
                  <pic:blipFill>
                    <a:blip r:embed="rId20" cstate="print"/>
                    <a:stretch>
                      <a:fillRect/>
                    </a:stretch>
                  </pic:blipFill>
                  <pic:spPr>
                    <a:xfrm>
                      <a:off x="0" y="0"/>
                      <a:ext cx="135953" cy="155575"/>
                    </a:xfrm>
                    <a:prstGeom prst="rect">
                      <a:avLst/>
                    </a:prstGeom>
                  </pic:spPr>
                </pic:pic>
              </a:graphicData>
            </a:graphic>
          </wp:anchor>
        </w:drawing>
      </w:r>
      <w:r>
        <w:rPr/>
        <w:t>The liability for long service leave and annual leave, which is not expected to be settled within 12 months after the end of the reporting period in which the employees render the related service, is recognised in the provision for employee benefits and measured at the present value of expected future payments to be made when the liability is settled. Consideration is given to expected future wage and salary levels, experience of employee departures and periods of service. Expected future payments are discontinued using market yields at the end of the reporting period on national government bonds with terms to maturity and currency that match, as closely  as possible, the estimated future cash</w:t>
      </w:r>
      <w:r>
        <w:rPr>
          <w:spacing w:val="5"/>
        </w:rPr>
        <w:t> </w:t>
      </w:r>
      <w:r>
        <w:rPr/>
        <w:t>outflow.</w:t>
      </w:r>
    </w:p>
    <w:p>
      <w:pPr>
        <w:pStyle w:val="BodyText"/>
        <w:spacing w:before="11"/>
        <w:rPr>
          <w:sz w:val="24"/>
        </w:rPr>
      </w:pPr>
    </w:p>
    <w:p>
      <w:pPr>
        <w:pStyle w:val="BodyText"/>
        <w:ind w:left="2390" w:right="1490"/>
      </w:pPr>
      <w:r>
        <w:rPr/>
        <w:t>Regardless of the expected timing of settlements, provisions made in respect of employee benefits are classified as a current liability, unless there is an unconditional right to defer the settlement of the liability for at least 12 months after the reporting date, in which case, it would be classified as a non-current liability.</w:t>
      </w:r>
    </w:p>
    <w:p>
      <w:pPr>
        <w:pStyle w:val="BodyText"/>
        <w:spacing w:before="11"/>
        <w:rPr>
          <w:sz w:val="24"/>
        </w:rPr>
      </w:pPr>
    </w:p>
    <w:p>
      <w:pPr>
        <w:pStyle w:val="BodyText"/>
        <w:ind w:left="2390" w:right="1375"/>
      </w:pPr>
      <w:r>
        <w:rPr/>
        <w:t>Contributions to the defined fund are recognised as an expense as they become payable. Prepaid contributions are recognised as an asset to the extent that a cash refund or a reduction in the future payment is available.</w:t>
      </w:r>
    </w:p>
    <w:p>
      <w:pPr>
        <w:pStyle w:val="BodyText"/>
        <w:spacing w:before="11"/>
        <w:rPr>
          <w:sz w:val="24"/>
        </w:rPr>
      </w:pPr>
    </w:p>
    <w:p>
      <w:pPr>
        <w:pStyle w:val="BodyText"/>
        <w:ind w:left="2390" w:right="1450"/>
      </w:pPr>
      <w:r>
        <w:rPr/>
        <w:t>Termination benefits are payable when employment is terminated before the normal retirement date, or where an employee accepts voluntary redundancy in exchange for these benefits. The Company recognises termination benefits when it is demonstrably committed to either terminating the employment of current </w:t>
      </w:r>
      <w:bookmarkStart w:name="Borrowings" w:id="276"/>
      <w:bookmarkEnd w:id="276"/>
      <w:r>
        <w:rPr/>
      </w:r>
      <w:r>
        <w:rPr/>
        <w:t>employees according to a detailed formal plan without possibility of withdrawal or to providing termination benefits as a result of an offer made to encourage voluntary redundancy. Benefits falling due more than 12 months after the end of the reporting period are discounted to present value.</w:t>
      </w:r>
    </w:p>
    <w:p>
      <w:pPr>
        <w:pStyle w:val="BodyText"/>
      </w:pPr>
    </w:p>
    <w:p>
      <w:pPr>
        <w:pStyle w:val="BodyText"/>
        <w:spacing w:before="5"/>
        <w:rPr>
          <w:sz w:val="19"/>
        </w:rPr>
      </w:pPr>
    </w:p>
    <w:p>
      <w:pPr>
        <w:pStyle w:val="Heading8"/>
        <w:numPr>
          <w:ilvl w:val="0"/>
          <w:numId w:val="59"/>
        </w:numPr>
        <w:tabs>
          <w:tab w:pos="2391" w:val="left" w:leader="none"/>
        </w:tabs>
        <w:spacing w:line="240" w:lineRule="auto" w:before="1" w:after="0"/>
        <w:ind w:left="2390" w:right="0" w:hanging="566"/>
        <w:jc w:val="left"/>
      </w:pPr>
      <w:r>
        <w:rPr/>
        <w:t>Borrowings</w:t>
      </w:r>
    </w:p>
    <w:p>
      <w:pPr>
        <w:pStyle w:val="BodyText"/>
        <w:spacing w:before="112"/>
        <w:ind w:left="1824" w:right="1480"/>
      </w:pPr>
      <w:r>
        <w:rPr/>
        <w:t>Borrowings are initially recognised at fair value, net of transaction costs incurred. Borrowings are subsequently measured at amortised cost. Any difference between the proceeds (net of transaction costs) and the redemption amount is recognised in the Statement of Comprehensive Income over the period of the borrowings using the effective interest method. Fees paid on the establishment of loan facilities are recognised as transaction costs of the loan to the extent that it is probable that some or all of the facility will be drawn down. In this case, the fee is deferred until the draw down occurs. To the extent there is no evidence that it is probable that some or all of the facility will be drawn down, the fee is capitalised as a prepayment for liquidity services and amortised over the period of the facility to which it</w:t>
      </w:r>
      <w:r>
        <w:rPr>
          <w:spacing w:val="1"/>
        </w:rPr>
        <w:t> </w:t>
      </w:r>
      <w:r>
        <w:rPr/>
        <w:t>relates.</w:t>
      </w:r>
    </w:p>
    <w:p>
      <w:pPr>
        <w:pStyle w:val="BodyText"/>
        <w:spacing w:before="112"/>
        <w:ind w:left="1824" w:right="1375"/>
      </w:pPr>
      <w:r>
        <w:rPr/>
        <w:t>Borrowings are removed from the statement of financial position when the obligation specified in the contract is discharged, cancelled or expired.</w:t>
      </w:r>
    </w:p>
    <w:p>
      <w:pPr>
        <w:pStyle w:val="BodyText"/>
        <w:spacing w:before="112"/>
        <w:ind w:left="1824" w:right="1375"/>
      </w:pPr>
      <w:r>
        <w:rPr/>
        <w:t>Borrowings are classified as current liabilities unless the Company has an unconditional right to defer settlement of the liability for at least 12 months after the reporting period.</w:t>
      </w:r>
    </w:p>
    <w:p>
      <w:pPr>
        <w:spacing w:after="0"/>
        <w:sectPr>
          <w:pgSz w:w="12750" w:h="17680"/>
          <w:pgMar w:header="0" w:footer="867" w:top="1880" w:bottom="1120" w:left="0" w:right="0"/>
        </w:sectPr>
      </w:pPr>
    </w:p>
    <w:p>
      <w:pPr>
        <w:pStyle w:val="BodyText"/>
        <w:spacing w:before="1"/>
        <w:rPr>
          <w:sz w:val="24"/>
        </w:rPr>
      </w:pPr>
    </w:p>
    <w:p>
      <w:pPr>
        <w:pStyle w:val="Heading4"/>
        <w:spacing w:before="65"/>
      </w:pPr>
      <w:r>
        <w:rPr/>
        <w:t>Notes to the Financial Statements</w:t>
      </w:r>
    </w:p>
    <w:p>
      <w:pPr>
        <w:pStyle w:val="Heading7"/>
        <w:spacing w:before="53"/>
      </w:pPr>
      <w:bookmarkStart w:name="Goods and Services Tax (GST)" w:id="277"/>
      <w:bookmarkEnd w:id="277"/>
      <w:r>
        <w:rPr>
          <w:b w:val="0"/>
        </w:rPr>
      </w:r>
      <w:r>
        <w:rPr/>
        <w:t>For the Year Ended 31 December 2016</w:t>
      </w:r>
    </w:p>
    <w:p>
      <w:pPr>
        <w:pStyle w:val="BodyText"/>
        <w:spacing w:before="1"/>
        <w:rPr>
          <w:b/>
          <w:sz w:val="25"/>
        </w:rPr>
      </w:pPr>
    </w:p>
    <w:p>
      <w:pPr>
        <w:pStyle w:val="Heading8"/>
        <w:numPr>
          <w:ilvl w:val="0"/>
          <w:numId w:val="60"/>
        </w:numPr>
        <w:tabs>
          <w:tab w:pos="1824" w:val="left" w:leader="none"/>
        </w:tabs>
        <w:spacing w:line="240" w:lineRule="auto" w:before="0" w:after="0"/>
        <w:ind w:left="1824" w:right="0" w:hanging="394"/>
        <w:jc w:val="left"/>
      </w:pPr>
      <w:r>
        <w:rPr/>
        <w:t>Summary of Significant Accounting</w:t>
      </w:r>
      <w:r>
        <w:rPr>
          <w:spacing w:val="-9"/>
        </w:rPr>
        <w:t> </w:t>
      </w:r>
      <w:r>
        <w:rPr/>
        <w:t>Policies</w:t>
      </w:r>
    </w:p>
    <w:p>
      <w:pPr>
        <w:pStyle w:val="BodyText"/>
        <w:rPr>
          <w:b/>
        </w:rPr>
      </w:pPr>
    </w:p>
    <w:p>
      <w:pPr>
        <w:pStyle w:val="BodyText"/>
        <w:spacing w:before="5"/>
        <w:rPr>
          <w:b/>
          <w:sz w:val="19"/>
        </w:rPr>
      </w:pPr>
    </w:p>
    <w:p>
      <w:pPr>
        <w:pStyle w:val="ListParagraph"/>
        <w:numPr>
          <w:ilvl w:val="0"/>
          <w:numId w:val="59"/>
        </w:numPr>
        <w:tabs>
          <w:tab w:pos="2391" w:val="left" w:leader="none"/>
        </w:tabs>
        <w:spacing w:line="240" w:lineRule="auto" w:before="1" w:after="0"/>
        <w:ind w:left="2390" w:right="0" w:hanging="566"/>
        <w:jc w:val="left"/>
        <w:rPr>
          <w:b/>
          <w:sz w:val="18"/>
        </w:rPr>
      </w:pPr>
      <w:r>
        <w:rPr>
          <w:b/>
          <w:sz w:val="18"/>
        </w:rPr>
        <w:t>Goods and Services Tax (GST)</w:t>
      </w:r>
    </w:p>
    <w:p>
      <w:pPr>
        <w:pStyle w:val="BodyText"/>
        <w:spacing w:before="112"/>
        <w:ind w:left="1824" w:right="1450"/>
      </w:pPr>
      <w:r>
        <w:rPr/>
        <w:t>Revenues, expenses and assets are recognised net of the amount of associated GST, unless the GST incurred is not recoverable from the Australian Taxation Office. In this case it is recognised as part of the cost of acquisition of the asset or as part of the expense.</w:t>
      </w:r>
    </w:p>
    <w:p>
      <w:pPr>
        <w:pStyle w:val="BodyText"/>
        <w:spacing w:before="112"/>
        <w:ind w:left="1824" w:right="1375"/>
      </w:pPr>
      <w:r>
        <w:rPr/>
        <w:t>Receivables and payables are stated inclusive of the amount of GST receivable or payable. The net amount of GST recoverable from, or payable to, the taxation authority is included with other receivables or payables in the statement of </w:t>
      </w:r>
      <w:bookmarkStart w:name="New Accounting Standards and Interpretat" w:id="278"/>
      <w:bookmarkEnd w:id="278"/>
      <w:r>
        <w:rPr/>
      </w:r>
      <w:r>
        <w:rPr/>
        <w:t>financial position.</w:t>
      </w:r>
    </w:p>
    <w:p>
      <w:pPr>
        <w:pStyle w:val="BodyText"/>
        <w:spacing w:before="112"/>
        <w:ind w:left="1824" w:right="1375"/>
      </w:pPr>
      <w:r>
        <w:rPr/>
        <w:t>Cash flows are presented on a gross basis. The GST components of cash flows arising from investing or financing activities which are recoverable from, or payable to the taxation authority, are presented as operating cash flows.</w:t>
      </w:r>
    </w:p>
    <w:p>
      <w:pPr>
        <w:pStyle w:val="BodyText"/>
      </w:pPr>
    </w:p>
    <w:p>
      <w:pPr>
        <w:pStyle w:val="BodyText"/>
        <w:spacing w:before="5"/>
        <w:rPr>
          <w:sz w:val="19"/>
        </w:rPr>
      </w:pPr>
    </w:p>
    <w:p>
      <w:pPr>
        <w:pStyle w:val="Heading8"/>
        <w:numPr>
          <w:ilvl w:val="0"/>
          <w:numId w:val="59"/>
        </w:numPr>
        <w:tabs>
          <w:tab w:pos="2391" w:val="left" w:leader="none"/>
        </w:tabs>
        <w:spacing w:line="240" w:lineRule="auto" w:before="1" w:after="0"/>
        <w:ind w:left="2390" w:right="0" w:hanging="566"/>
        <w:jc w:val="left"/>
      </w:pPr>
      <w:r>
        <w:rPr/>
        <w:t>New Accounting Standards and Interpretations</w:t>
      </w:r>
    </w:p>
    <w:p>
      <w:pPr>
        <w:pStyle w:val="BodyText"/>
        <w:spacing w:before="112"/>
        <w:ind w:left="1824" w:right="1482"/>
      </w:pPr>
      <w:r>
        <w:rPr/>
        <w:t>Certain new accounting standards and interpretations have been published that are not mandatory for 31 December </w:t>
      </w:r>
      <w:bookmarkStart w:name="Comparative amounts" w:id="279"/>
      <w:bookmarkEnd w:id="279"/>
      <w:r>
        <w:rPr/>
      </w:r>
      <w:r>
        <w:rPr/>
        <w:t>2016 reporting periods and have not yet been applied to the financial statements. The Company's assessment of the impact of these new standards and interpretations is that they will not materially affect any of the amounts recognised in the financial statements or significantly impact the disclosures in relation to the Company.</w:t>
      </w:r>
    </w:p>
    <w:p>
      <w:pPr>
        <w:pStyle w:val="BodyText"/>
      </w:pPr>
    </w:p>
    <w:p>
      <w:pPr>
        <w:pStyle w:val="BodyText"/>
        <w:spacing w:before="5"/>
        <w:rPr>
          <w:sz w:val="19"/>
        </w:rPr>
      </w:pPr>
    </w:p>
    <w:p>
      <w:pPr>
        <w:pStyle w:val="Heading8"/>
        <w:numPr>
          <w:ilvl w:val="0"/>
          <w:numId w:val="59"/>
        </w:numPr>
        <w:tabs>
          <w:tab w:pos="2391" w:val="left" w:leader="none"/>
        </w:tabs>
        <w:spacing w:line="240" w:lineRule="auto" w:before="1" w:after="0"/>
        <w:ind w:left="2390" w:right="0" w:hanging="566"/>
        <w:jc w:val="left"/>
      </w:pPr>
      <w:bookmarkStart w:name="Financial Risk Management" w:id="280"/>
      <w:bookmarkEnd w:id="280"/>
      <w:r>
        <w:rPr>
          <w:b w:val="0"/>
        </w:rPr>
      </w:r>
      <w:bookmarkStart w:name="Financial Risk Management" w:id="281"/>
      <w:bookmarkEnd w:id="281"/>
      <w:r>
        <w:rPr/>
        <w:t>Comparative</w:t>
      </w:r>
      <w:r>
        <w:rPr>
          <w:spacing w:val="-1"/>
        </w:rPr>
        <w:t> </w:t>
      </w:r>
      <w:r>
        <w:rPr/>
        <w:t>amounts</w:t>
      </w:r>
    </w:p>
    <w:p>
      <w:pPr>
        <w:pStyle w:val="BodyText"/>
        <w:spacing w:before="112"/>
        <w:ind w:left="1824" w:right="1450"/>
      </w:pPr>
      <w:r>
        <w:rPr/>
        <w:drawing>
          <wp:anchor distT="0" distB="0" distL="0" distR="0" allowOverlap="1" layoutInCell="1" locked="0" behindDoc="0" simplePos="0" relativeHeight="10504">
            <wp:simplePos x="0" y="0"/>
            <wp:positionH relativeFrom="page">
              <wp:posOffset>-1587</wp:posOffset>
            </wp:positionH>
            <wp:positionV relativeFrom="paragraph">
              <wp:posOffset>324788</wp:posOffset>
            </wp:positionV>
            <wp:extent cx="135159" cy="154019"/>
            <wp:effectExtent l="0" t="0" r="0" b="0"/>
            <wp:wrapNone/>
            <wp:docPr id="695" name="image13.png" descr=""/>
            <wp:cNvGraphicFramePr>
              <a:graphicFrameLocks noChangeAspect="1"/>
            </wp:cNvGraphicFramePr>
            <a:graphic>
              <a:graphicData uri="http://schemas.openxmlformats.org/drawingml/2006/picture">
                <pic:pic>
                  <pic:nvPicPr>
                    <pic:cNvPr id="696" name="image13.png"/>
                    <pic:cNvPicPr/>
                  </pic:nvPicPr>
                  <pic:blipFill>
                    <a:blip r:embed="rId18" cstate="print"/>
                    <a:stretch>
                      <a:fillRect/>
                    </a:stretch>
                  </pic:blipFill>
                  <pic:spPr>
                    <a:xfrm>
                      <a:off x="0" y="0"/>
                      <a:ext cx="135159" cy="154019"/>
                    </a:xfrm>
                    <a:prstGeom prst="rect">
                      <a:avLst/>
                    </a:prstGeom>
                  </pic:spPr>
                </pic:pic>
              </a:graphicData>
            </a:graphic>
          </wp:anchor>
        </w:drawing>
      </w:r>
      <w:r>
        <w:rPr/>
        <w:drawing>
          <wp:anchor distT="0" distB="0" distL="0" distR="0" allowOverlap="1" layoutInCell="1" locked="0" behindDoc="0" simplePos="0" relativeHeight="10528">
            <wp:simplePos x="0" y="0"/>
            <wp:positionH relativeFrom="page">
              <wp:posOffset>7958429</wp:posOffset>
            </wp:positionH>
            <wp:positionV relativeFrom="paragraph">
              <wp:posOffset>324788</wp:posOffset>
            </wp:positionV>
            <wp:extent cx="135953" cy="155575"/>
            <wp:effectExtent l="0" t="0" r="0" b="0"/>
            <wp:wrapNone/>
            <wp:docPr id="697" name="image15.png" descr=""/>
            <wp:cNvGraphicFramePr>
              <a:graphicFrameLocks noChangeAspect="1"/>
            </wp:cNvGraphicFramePr>
            <a:graphic>
              <a:graphicData uri="http://schemas.openxmlformats.org/drawingml/2006/picture">
                <pic:pic>
                  <pic:nvPicPr>
                    <pic:cNvPr id="698" name="image15.png"/>
                    <pic:cNvPicPr/>
                  </pic:nvPicPr>
                  <pic:blipFill>
                    <a:blip r:embed="rId20" cstate="print"/>
                    <a:stretch>
                      <a:fillRect/>
                    </a:stretch>
                  </pic:blipFill>
                  <pic:spPr>
                    <a:xfrm>
                      <a:off x="0" y="0"/>
                      <a:ext cx="135953" cy="155575"/>
                    </a:xfrm>
                    <a:prstGeom prst="rect">
                      <a:avLst/>
                    </a:prstGeom>
                  </pic:spPr>
                </pic:pic>
              </a:graphicData>
            </a:graphic>
          </wp:anchor>
        </w:drawing>
      </w:r>
      <w:r>
        <w:rPr/>
        <w:t>When required by Accounting Standards, comparative figures have been adjusted to conform to changes in presentation for the current year. No Comparative adjustments were made in 2016.</w:t>
      </w:r>
    </w:p>
    <w:p>
      <w:pPr>
        <w:pStyle w:val="BodyText"/>
      </w:pPr>
    </w:p>
    <w:p>
      <w:pPr>
        <w:pStyle w:val="BodyText"/>
        <w:spacing w:before="5"/>
        <w:rPr>
          <w:sz w:val="19"/>
        </w:rPr>
      </w:pPr>
    </w:p>
    <w:p>
      <w:pPr>
        <w:pStyle w:val="Heading8"/>
        <w:numPr>
          <w:ilvl w:val="0"/>
          <w:numId w:val="60"/>
        </w:numPr>
        <w:tabs>
          <w:tab w:pos="1824" w:val="left" w:leader="none"/>
        </w:tabs>
        <w:spacing w:line="240" w:lineRule="auto" w:before="1" w:after="0"/>
        <w:ind w:left="1824" w:right="0" w:hanging="394"/>
        <w:jc w:val="left"/>
      </w:pPr>
      <w:r>
        <w:rPr/>
        <w:t>Financial Risk</w:t>
      </w:r>
      <w:r>
        <w:rPr>
          <w:spacing w:val="2"/>
        </w:rPr>
        <w:t> </w:t>
      </w:r>
      <w:r>
        <w:rPr/>
        <w:t>Management</w:t>
      </w:r>
    </w:p>
    <w:p>
      <w:pPr>
        <w:pStyle w:val="BodyText"/>
        <w:spacing w:before="11"/>
        <w:rPr>
          <w:b/>
          <w:sz w:val="24"/>
        </w:rPr>
      </w:pPr>
    </w:p>
    <w:p>
      <w:pPr>
        <w:pStyle w:val="BodyText"/>
        <w:ind w:left="1824" w:right="1447"/>
      </w:pPr>
      <w:r>
        <w:rPr/>
        <w:t>The Company's activities expose it to a variety of financial risks: market risk (including interest rate risk), credit risk and liquidity risk. The Company's overall risk management program focuses on the unpredictability of financial markets and seeks to minimise potential adverse effects on the financial performance of the Company. The Company uses different methods to measure different types of risk to which it is exposed. These methods include sensitivity analysis in the case of interest rate and aging analysis for credit risk to determine market</w:t>
      </w:r>
      <w:r>
        <w:rPr>
          <w:spacing w:val="12"/>
        </w:rPr>
        <w:t> </w:t>
      </w:r>
      <w:r>
        <w:rPr/>
        <w:t>risk.</w:t>
      </w:r>
    </w:p>
    <w:p>
      <w:pPr>
        <w:pStyle w:val="BodyText"/>
        <w:spacing w:before="11"/>
        <w:rPr>
          <w:sz w:val="24"/>
        </w:rPr>
      </w:pPr>
    </w:p>
    <w:p>
      <w:pPr>
        <w:pStyle w:val="BodyText"/>
        <w:ind w:left="1824"/>
      </w:pPr>
      <w:r>
        <w:rPr/>
        <w:t>The Company holds the following financial instruments:</w:t>
      </w:r>
    </w:p>
    <w:p>
      <w:pPr>
        <w:pStyle w:val="BodyText"/>
        <w:spacing w:before="1" w:after="1"/>
        <w:rPr>
          <w:sz w:val="10"/>
        </w:rPr>
      </w:pPr>
    </w:p>
    <w:tbl>
      <w:tblPr>
        <w:tblW w:w="0" w:type="auto"/>
        <w:jc w:val="left"/>
        <w:tblInd w:w="178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961"/>
        <w:gridCol w:w="1452"/>
        <w:gridCol w:w="1140"/>
      </w:tblGrid>
      <w:tr>
        <w:trPr>
          <w:trHeight w:val="654" w:hRule="exact"/>
        </w:trPr>
        <w:tc>
          <w:tcPr>
            <w:tcW w:w="6961" w:type="dxa"/>
          </w:tcPr>
          <w:p>
            <w:pPr/>
          </w:p>
        </w:tc>
        <w:tc>
          <w:tcPr>
            <w:tcW w:w="1452" w:type="dxa"/>
          </w:tcPr>
          <w:p>
            <w:pPr>
              <w:pStyle w:val="TableParagraph"/>
              <w:spacing w:before="77"/>
              <w:ind w:left="426" w:right="584"/>
              <w:jc w:val="center"/>
              <w:rPr>
                <w:b/>
                <w:sz w:val="18"/>
              </w:rPr>
            </w:pPr>
            <w:r>
              <w:rPr>
                <w:b/>
                <w:sz w:val="18"/>
              </w:rPr>
              <w:t>2016</w:t>
            </w:r>
          </w:p>
          <w:p>
            <w:pPr>
              <w:pStyle w:val="TableParagraph"/>
              <w:spacing w:before="66"/>
              <w:ind w:right="159"/>
              <w:jc w:val="center"/>
              <w:rPr>
                <w:b/>
                <w:sz w:val="18"/>
              </w:rPr>
            </w:pPr>
            <w:r>
              <w:rPr>
                <w:b/>
                <w:w w:val="99"/>
                <w:sz w:val="18"/>
              </w:rPr>
              <w:t>$</w:t>
            </w:r>
          </w:p>
        </w:tc>
        <w:tc>
          <w:tcPr>
            <w:tcW w:w="1140" w:type="dxa"/>
          </w:tcPr>
          <w:p>
            <w:pPr>
              <w:pStyle w:val="TableParagraph"/>
              <w:spacing w:before="77"/>
              <w:ind w:left="258" w:right="440"/>
              <w:jc w:val="center"/>
              <w:rPr>
                <w:b/>
                <w:sz w:val="18"/>
              </w:rPr>
            </w:pPr>
            <w:r>
              <w:rPr>
                <w:b/>
                <w:sz w:val="18"/>
              </w:rPr>
              <w:t>2015</w:t>
            </w:r>
          </w:p>
          <w:p>
            <w:pPr>
              <w:pStyle w:val="TableParagraph"/>
              <w:spacing w:before="66"/>
              <w:ind w:right="183"/>
              <w:jc w:val="center"/>
              <w:rPr>
                <w:b/>
                <w:sz w:val="18"/>
              </w:rPr>
            </w:pPr>
            <w:r>
              <w:rPr>
                <w:b/>
                <w:w w:val="99"/>
                <w:sz w:val="18"/>
              </w:rPr>
              <w:t>$</w:t>
            </w:r>
          </w:p>
        </w:tc>
      </w:tr>
      <w:tr>
        <w:trPr>
          <w:trHeight w:val="559" w:hRule="exact"/>
        </w:trPr>
        <w:tc>
          <w:tcPr>
            <w:tcW w:w="6961" w:type="dxa"/>
          </w:tcPr>
          <w:p>
            <w:pPr>
              <w:pStyle w:val="TableParagraph"/>
              <w:spacing w:before="78"/>
              <w:ind w:left="63"/>
              <w:jc w:val="left"/>
              <w:rPr>
                <w:b/>
                <w:sz w:val="18"/>
              </w:rPr>
            </w:pPr>
            <w:r>
              <w:rPr>
                <w:b/>
                <w:sz w:val="18"/>
              </w:rPr>
              <w:t>Financial Assets</w:t>
            </w:r>
          </w:p>
          <w:p>
            <w:pPr>
              <w:pStyle w:val="TableParagraph"/>
              <w:spacing w:before="30"/>
              <w:ind w:left="63"/>
              <w:jc w:val="left"/>
              <w:rPr>
                <w:sz w:val="18"/>
              </w:rPr>
            </w:pPr>
            <w:r>
              <w:rPr>
                <w:sz w:val="18"/>
              </w:rPr>
              <w:t>Cash and cash equivalents</w:t>
            </w:r>
          </w:p>
        </w:tc>
        <w:tc>
          <w:tcPr>
            <w:tcW w:w="1452" w:type="dxa"/>
          </w:tcPr>
          <w:p>
            <w:pPr>
              <w:pStyle w:val="TableParagraph"/>
              <w:jc w:val="left"/>
              <w:rPr>
                <w:sz w:val="18"/>
              </w:rPr>
            </w:pPr>
          </w:p>
          <w:p>
            <w:pPr>
              <w:pStyle w:val="TableParagraph"/>
              <w:spacing w:before="106"/>
              <w:ind w:right="242"/>
              <w:rPr>
                <w:b/>
                <w:sz w:val="18"/>
              </w:rPr>
            </w:pPr>
            <w:r>
              <w:rPr>
                <w:b/>
                <w:w w:val="95"/>
                <w:sz w:val="18"/>
              </w:rPr>
              <w:t>496,008</w:t>
            </w:r>
          </w:p>
        </w:tc>
        <w:tc>
          <w:tcPr>
            <w:tcW w:w="1140" w:type="dxa"/>
          </w:tcPr>
          <w:p>
            <w:pPr>
              <w:pStyle w:val="TableParagraph"/>
              <w:jc w:val="left"/>
              <w:rPr>
                <w:sz w:val="18"/>
              </w:rPr>
            </w:pPr>
          </w:p>
          <w:p>
            <w:pPr>
              <w:pStyle w:val="TableParagraph"/>
              <w:spacing w:before="106"/>
              <w:ind w:right="88"/>
              <w:rPr>
                <w:sz w:val="18"/>
              </w:rPr>
            </w:pPr>
            <w:r>
              <w:rPr>
                <w:w w:val="95"/>
                <w:sz w:val="18"/>
              </w:rPr>
              <w:t>502,541</w:t>
            </w:r>
          </w:p>
        </w:tc>
      </w:tr>
      <w:tr>
        <w:trPr>
          <w:trHeight w:val="260" w:hRule="exact"/>
        </w:trPr>
        <w:tc>
          <w:tcPr>
            <w:tcW w:w="6961" w:type="dxa"/>
          </w:tcPr>
          <w:p>
            <w:pPr>
              <w:pStyle w:val="TableParagraph"/>
              <w:spacing w:before="20"/>
              <w:ind w:left="63"/>
              <w:jc w:val="left"/>
              <w:rPr>
                <w:sz w:val="18"/>
              </w:rPr>
            </w:pPr>
            <w:r>
              <w:rPr>
                <w:sz w:val="18"/>
              </w:rPr>
              <w:t>Trade and other receivables*</w:t>
            </w:r>
          </w:p>
        </w:tc>
        <w:tc>
          <w:tcPr>
            <w:tcW w:w="1452" w:type="dxa"/>
            <w:tcBorders>
              <w:bottom w:val="single" w:sz="1" w:space="0" w:color="000000"/>
            </w:tcBorders>
          </w:tcPr>
          <w:p>
            <w:pPr>
              <w:pStyle w:val="TableParagraph"/>
              <w:spacing w:before="18"/>
              <w:ind w:right="243"/>
              <w:rPr>
                <w:b/>
                <w:sz w:val="18"/>
              </w:rPr>
            </w:pPr>
            <w:r>
              <w:rPr>
                <w:b/>
                <w:w w:val="95"/>
                <w:sz w:val="18"/>
              </w:rPr>
              <w:t>2,746,448</w:t>
            </w:r>
          </w:p>
        </w:tc>
        <w:tc>
          <w:tcPr>
            <w:tcW w:w="1140" w:type="dxa"/>
            <w:tcBorders>
              <w:bottom w:val="single" w:sz="1" w:space="0" w:color="000000"/>
            </w:tcBorders>
          </w:tcPr>
          <w:p>
            <w:pPr>
              <w:pStyle w:val="TableParagraph"/>
              <w:spacing w:before="18"/>
              <w:ind w:right="87"/>
              <w:rPr>
                <w:sz w:val="18"/>
              </w:rPr>
            </w:pPr>
            <w:r>
              <w:rPr>
                <w:w w:val="95"/>
                <w:sz w:val="18"/>
              </w:rPr>
              <w:t>1,131,602</w:t>
            </w:r>
          </w:p>
        </w:tc>
      </w:tr>
      <w:tr>
        <w:trPr>
          <w:trHeight w:val="353" w:hRule="exact"/>
        </w:trPr>
        <w:tc>
          <w:tcPr>
            <w:tcW w:w="6961" w:type="dxa"/>
          </w:tcPr>
          <w:p>
            <w:pPr>
              <w:pStyle w:val="TableParagraph"/>
              <w:spacing w:before="125"/>
              <w:ind w:left="63"/>
              <w:jc w:val="left"/>
              <w:rPr>
                <w:b/>
                <w:sz w:val="18"/>
              </w:rPr>
            </w:pPr>
            <w:r>
              <w:rPr>
                <w:b/>
                <w:sz w:val="18"/>
              </w:rPr>
              <w:t>Total Financial Assets</w:t>
            </w:r>
          </w:p>
        </w:tc>
        <w:tc>
          <w:tcPr>
            <w:tcW w:w="1452" w:type="dxa"/>
            <w:tcBorders>
              <w:top w:val="single" w:sz="1" w:space="0" w:color="000000"/>
              <w:bottom w:val="single" w:sz="1" w:space="0" w:color="000000"/>
            </w:tcBorders>
          </w:tcPr>
          <w:p>
            <w:pPr>
              <w:pStyle w:val="TableParagraph"/>
              <w:spacing w:before="124"/>
              <w:ind w:right="243"/>
              <w:rPr>
                <w:b/>
                <w:sz w:val="18"/>
              </w:rPr>
            </w:pPr>
            <w:r>
              <w:rPr>
                <w:b/>
                <w:w w:val="95"/>
                <w:sz w:val="18"/>
              </w:rPr>
              <w:t>3,242,456</w:t>
            </w:r>
          </w:p>
        </w:tc>
        <w:tc>
          <w:tcPr>
            <w:tcW w:w="1140" w:type="dxa"/>
            <w:tcBorders>
              <w:top w:val="single" w:sz="1" w:space="0" w:color="000000"/>
              <w:bottom w:val="single" w:sz="1" w:space="0" w:color="000000"/>
            </w:tcBorders>
          </w:tcPr>
          <w:p>
            <w:pPr>
              <w:pStyle w:val="TableParagraph"/>
              <w:spacing w:before="124"/>
              <w:ind w:right="87"/>
              <w:rPr>
                <w:sz w:val="18"/>
              </w:rPr>
            </w:pPr>
            <w:r>
              <w:rPr>
                <w:w w:val="95"/>
                <w:sz w:val="18"/>
              </w:rPr>
              <w:t>1,634,143</w:t>
            </w:r>
          </w:p>
        </w:tc>
      </w:tr>
      <w:tr>
        <w:trPr>
          <w:trHeight w:val="621" w:hRule="exact"/>
        </w:trPr>
        <w:tc>
          <w:tcPr>
            <w:tcW w:w="6961" w:type="dxa"/>
          </w:tcPr>
          <w:p>
            <w:pPr>
              <w:pStyle w:val="TableParagraph"/>
              <w:spacing w:before="139"/>
              <w:ind w:left="63"/>
              <w:jc w:val="left"/>
              <w:rPr>
                <w:b/>
                <w:sz w:val="18"/>
              </w:rPr>
            </w:pPr>
            <w:r>
              <w:rPr>
                <w:b/>
                <w:sz w:val="18"/>
              </w:rPr>
              <w:t>Financial Liabilities</w:t>
            </w:r>
          </w:p>
          <w:p>
            <w:pPr>
              <w:pStyle w:val="TableParagraph"/>
              <w:spacing w:before="30"/>
              <w:ind w:left="63"/>
              <w:jc w:val="left"/>
              <w:rPr>
                <w:sz w:val="18"/>
              </w:rPr>
            </w:pPr>
            <w:r>
              <w:rPr>
                <w:sz w:val="18"/>
              </w:rPr>
              <w:t>Trade and other payables*</w:t>
            </w:r>
          </w:p>
        </w:tc>
        <w:tc>
          <w:tcPr>
            <w:tcW w:w="1452" w:type="dxa"/>
            <w:tcBorders>
              <w:top w:val="single" w:sz="1" w:space="0" w:color="000000"/>
            </w:tcBorders>
          </w:tcPr>
          <w:p>
            <w:pPr>
              <w:pStyle w:val="TableParagraph"/>
              <w:jc w:val="left"/>
              <w:rPr>
                <w:sz w:val="18"/>
              </w:rPr>
            </w:pPr>
          </w:p>
          <w:p>
            <w:pPr>
              <w:pStyle w:val="TableParagraph"/>
              <w:spacing w:before="5"/>
              <w:jc w:val="left"/>
              <w:rPr>
                <w:sz w:val="14"/>
              </w:rPr>
            </w:pPr>
          </w:p>
          <w:p>
            <w:pPr>
              <w:pStyle w:val="TableParagraph"/>
              <w:ind w:right="243"/>
              <w:rPr>
                <w:b/>
                <w:sz w:val="18"/>
              </w:rPr>
            </w:pPr>
            <w:r>
              <w:rPr>
                <w:b/>
                <w:w w:val="95"/>
                <w:sz w:val="18"/>
              </w:rPr>
              <w:t>1,446,162</w:t>
            </w:r>
          </w:p>
        </w:tc>
        <w:tc>
          <w:tcPr>
            <w:tcW w:w="1140" w:type="dxa"/>
            <w:tcBorders>
              <w:top w:val="single" w:sz="1" w:space="0" w:color="000000"/>
            </w:tcBorders>
          </w:tcPr>
          <w:p>
            <w:pPr>
              <w:pStyle w:val="TableParagraph"/>
              <w:jc w:val="left"/>
              <w:rPr>
                <w:sz w:val="18"/>
              </w:rPr>
            </w:pPr>
          </w:p>
          <w:p>
            <w:pPr>
              <w:pStyle w:val="TableParagraph"/>
              <w:spacing w:before="5"/>
              <w:jc w:val="left"/>
              <w:rPr>
                <w:sz w:val="14"/>
              </w:rPr>
            </w:pPr>
          </w:p>
          <w:p>
            <w:pPr>
              <w:pStyle w:val="TableParagraph"/>
              <w:ind w:right="87"/>
              <w:rPr>
                <w:sz w:val="18"/>
              </w:rPr>
            </w:pPr>
            <w:r>
              <w:rPr>
                <w:w w:val="95"/>
                <w:sz w:val="18"/>
              </w:rPr>
              <w:t>1,856,084</w:t>
            </w:r>
          </w:p>
        </w:tc>
      </w:tr>
      <w:tr>
        <w:trPr>
          <w:trHeight w:val="260" w:hRule="exact"/>
        </w:trPr>
        <w:tc>
          <w:tcPr>
            <w:tcW w:w="6961" w:type="dxa"/>
          </w:tcPr>
          <w:p>
            <w:pPr>
              <w:pStyle w:val="TableParagraph"/>
              <w:spacing w:before="20"/>
              <w:ind w:left="63"/>
              <w:jc w:val="left"/>
              <w:rPr>
                <w:sz w:val="18"/>
              </w:rPr>
            </w:pPr>
            <w:r>
              <w:rPr>
                <w:sz w:val="18"/>
              </w:rPr>
              <w:t>Borrowings from the parent</w:t>
            </w:r>
          </w:p>
        </w:tc>
        <w:tc>
          <w:tcPr>
            <w:tcW w:w="1452" w:type="dxa"/>
            <w:tcBorders>
              <w:bottom w:val="single" w:sz="1" w:space="0" w:color="000000"/>
            </w:tcBorders>
          </w:tcPr>
          <w:p>
            <w:pPr>
              <w:pStyle w:val="TableParagraph"/>
              <w:spacing w:before="18"/>
              <w:ind w:right="243"/>
              <w:rPr>
                <w:b/>
                <w:sz w:val="18"/>
              </w:rPr>
            </w:pPr>
            <w:r>
              <w:rPr>
                <w:b/>
                <w:w w:val="95"/>
                <w:sz w:val="18"/>
              </w:rPr>
              <w:t>5,618,407</w:t>
            </w:r>
          </w:p>
        </w:tc>
        <w:tc>
          <w:tcPr>
            <w:tcW w:w="1140" w:type="dxa"/>
            <w:tcBorders>
              <w:bottom w:val="single" w:sz="1" w:space="0" w:color="000000"/>
            </w:tcBorders>
          </w:tcPr>
          <w:p>
            <w:pPr>
              <w:pStyle w:val="TableParagraph"/>
              <w:spacing w:before="18"/>
              <w:ind w:right="87"/>
              <w:rPr>
                <w:sz w:val="18"/>
              </w:rPr>
            </w:pPr>
            <w:r>
              <w:rPr>
                <w:w w:val="95"/>
                <w:sz w:val="18"/>
              </w:rPr>
              <w:t>5,010,493</w:t>
            </w:r>
          </w:p>
        </w:tc>
      </w:tr>
      <w:tr>
        <w:trPr>
          <w:trHeight w:val="353" w:hRule="exact"/>
        </w:trPr>
        <w:tc>
          <w:tcPr>
            <w:tcW w:w="6961" w:type="dxa"/>
          </w:tcPr>
          <w:p>
            <w:pPr>
              <w:pStyle w:val="TableParagraph"/>
              <w:spacing w:before="125"/>
              <w:ind w:left="63"/>
              <w:jc w:val="left"/>
              <w:rPr>
                <w:b/>
                <w:sz w:val="18"/>
              </w:rPr>
            </w:pPr>
            <w:r>
              <w:rPr>
                <w:b/>
                <w:sz w:val="18"/>
              </w:rPr>
              <w:t>Total Financial Liabilities</w:t>
            </w:r>
          </w:p>
        </w:tc>
        <w:tc>
          <w:tcPr>
            <w:tcW w:w="1452" w:type="dxa"/>
            <w:tcBorders>
              <w:top w:val="single" w:sz="1" w:space="0" w:color="000000"/>
              <w:bottom w:val="single" w:sz="1" w:space="0" w:color="000000"/>
            </w:tcBorders>
          </w:tcPr>
          <w:p>
            <w:pPr>
              <w:pStyle w:val="TableParagraph"/>
              <w:spacing w:before="124"/>
              <w:ind w:right="243"/>
              <w:rPr>
                <w:b/>
                <w:sz w:val="18"/>
              </w:rPr>
            </w:pPr>
            <w:r>
              <w:rPr>
                <w:b/>
                <w:w w:val="95"/>
                <w:sz w:val="18"/>
              </w:rPr>
              <w:t>7,064,569</w:t>
            </w:r>
          </w:p>
        </w:tc>
        <w:tc>
          <w:tcPr>
            <w:tcW w:w="1140" w:type="dxa"/>
            <w:tcBorders>
              <w:top w:val="single" w:sz="1" w:space="0" w:color="000000"/>
              <w:bottom w:val="single" w:sz="1" w:space="0" w:color="000000"/>
            </w:tcBorders>
          </w:tcPr>
          <w:p>
            <w:pPr>
              <w:pStyle w:val="TableParagraph"/>
              <w:spacing w:before="124"/>
              <w:ind w:right="87"/>
              <w:rPr>
                <w:sz w:val="18"/>
              </w:rPr>
            </w:pPr>
            <w:r>
              <w:rPr>
                <w:w w:val="95"/>
                <w:sz w:val="18"/>
              </w:rPr>
              <w:t>6,866,577</w:t>
            </w:r>
          </w:p>
        </w:tc>
      </w:tr>
      <w:tr>
        <w:trPr>
          <w:trHeight w:val="618" w:hRule="exact"/>
        </w:trPr>
        <w:tc>
          <w:tcPr>
            <w:tcW w:w="6961" w:type="dxa"/>
          </w:tcPr>
          <w:p>
            <w:pPr>
              <w:pStyle w:val="TableParagraph"/>
              <w:jc w:val="left"/>
              <w:rPr>
                <w:sz w:val="18"/>
              </w:rPr>
            </w:pPr>
          </w:p>
          <w:p>
            <w:pPr>
              <w:pStyle w:val="TableParagraph"/>
              <w:spacing w:before="107"/>
              <w:ind w:left="35"/>
              <w:jc w:val="left"/>
              <w:rPr>
                <w:sz w:val="18"/>
              </w:rPr>
            </w:pPr>
            <w:r>
              <w:rPr>
                <w:sz w:val="18"/>
              </w:rPr>
              <w:t>* Excludes statutory receivables and payables</w:t>
            </w:r>
          </w:p>
        </w:tc>
        <w:tc>
          <w:tcPr>
            <w:tcW w:w="1452" w:type="dxa"/>
            <w:tcBorders>
              <w:top w:val="single" w:sz="1" w:space="0" w:color="000000"/>
            </w:tcBorders>
          </w:tcPr>
          <w:p>
            <w:pPr/>
          </w:p>
        </w:tc>
        <w:tc>
          <w:tcPr>
            <w:tcW w:w="1140" w:type="dxa"/>
            <w:tcBorders>
              <w:top w:val="single" w:sz="1" w:space="0" w:color="000000"/>
            </w:tcBorders>
          </w:tcPr>
          <w:p>
            <w:pPr/>
          </w:p>
        </w:tc>
      </w:tr>
    </w:tbl>
    <w:p>
      <w:pPr>
        <w:spacing w:after="0"/>
        <w:sectPr>
          <w:pgSz w:w="12750" w:h="17680"/>
          <w:pgMar w:header="0" w:footer="867" w:top="1880" w:bottom="1120" w:left="0" w:right="0"/>
        </w:sectPr>
      </w:pPr>
    </w:p>
    <w:p>
      <w:pPr>
        <w:pStyle w:val="BodyText"/>
        <w:spacing w:before="1"/>
        <w:rPr>
          <w:sz w:val="24"/>
        </w:rPr>
      </w:pPr>
    </w:p>
    <w:p>
      <w:pPr>
        <w:pStyle w:val="Heading4"/>
        <w:spacing w:before="65"/>
      </w:pPr>
      <w:r>
        <w:rPr/>
        <w:t>Notes to the Financial Statements</w:t>
      </w:r>
    </w:p>
    <w:p>
      <w:pPr>
        <w:pStyle w:val="Heading7"/>
        <w:spacing w:before="53"/>
      </w:pPr>
      <w:bookmarkStart w:name="Market risk" w:id="282"/>
      <w:bookmarkEnd w:id="282"/>
      <w:r>
        <w:rPr>
          <w:b w:val="0"/>
        </w:rPr>
      </w:r>
      <w:r>
        <w:rPr/>
        <w:t>For the Year Ended 31 December 2016</w:t>
      </w:r>
    </w:p>
    <w:p>
      <w:pPr>
        <w:pStyle w:val="BodyText"/>
        <w:spacing w:before="1"/>
        <w:rPr>
          <w:b/>
          <w:sz w:val="25"/>
        </w:rPr>
      </w:pPr>
    </w:p>
    <w:p>
      <w:pPr>
        <w:pStyle w:val="Heading8"/>
        <w:tabs>
          <w:tab w:pos="1823" w:val="left" w:leader="none"/>
        </w:tabs>
        <w:ind w:left="1430"/>
      </w:pPr>
      <w:r>
        <w:rPr>
          <w:b w:val="0"/>
        </w:rPr>
        <w:t>2</w:t>
        <w:tab/>
      </w:r>
      <w:r>
        <w:rPr/>
        <w:t>Financial Risk</w:t>
      </w:r>
      <w:r>
        <w:rPr>
          <w:spacing w:val="2"/>
        </w:rPr>
        <w:t> </w:t>
      </w:r>
      <w:r>
        <w:rPr/>
        <w:t>Management</w:t>
      </w:r>
    </w:p>
    <w:p>
      <w:pPr>
        <w:pStyle w:val="BodyText"/>
        <w:spacing w:before="7"/>
        <w:rPr>
          <w:b/>
          <w:sz w:val="26"/>
        </w:rPr>
      </w:pPr>
    </w:p>
    <w:p>
      <w:pPr>
        <w:pStyle w:val="ListParagraph"/>
        <w:numPr>
          <w:ilvl w:val="0"/>
          <w:numId w:val="61"/>
        </w:numPr>
        <w:tabs>
          <w:tab w:pos="2391" w:val="left" w:leader="none"/>
        </w:tabs>
        <w:spacing w:line="240" w:lineRule="auto" w:before="0" w:after="0"/>
        <w:ind w:left="2390" w:right="0" w:hanging="566"/>
        <w:jc w:val="left"/>
        <w:rPr>
          <w:b/>
          <w:sz w:val="18"/>
        </w:rPr>
      </w:pPr>
      <w:r>
        <w:rPr>
          <w:b/>
          <w:sz w:val="18"/>
        </w:rPr>
        <w:t>Market</w:t>
      </w:r>
      <w:r>
        <w:rPr>
          <w:b/>
          <w:spacing w:val="-1"/>
          <w:sz w:val="18"/>
        </w:rPr>
        <w:t> </w:t>
      </w:r>
      <w:r>
        <w:rPr>
          <w:b/>
          <w:sz w:val="18"/>
        </w:rPr>
        <w:t>risk</w:t>
      </w:r>
    </w:p>
    <w:p>
      <w:pPr>
        <w:pStyle w:val="BodyText"/>
        <w:spacing w:before="4"/>
        <w:rPr>
          <w:b/>
          <w:sz w:val="25"/>
        </w:rPr>
      </w:pPr>
    </w:p>
    <w:p>
      <w:pPr>
        <w:pStyle w:val="ListParagraph"/>
        <w:numPr>
          <w:ilvl w:val="0"/>
          <w:numId w:val="62"/>
        </w:numPr>
        <w:tabs>
          <w:tab w:pos="2036" w:val="left" w:leader="none"/>
        </w:tabs>
        <w:spacing w:line="240" w:lineRule="auto" w:before="0" w:after="0"/>
        <w:ind w:left="2035" w:right="0" w:hanging="211"/>
        <w:jc w:val="left"/>
        <w:rPr>
          <w:sz w:val="18"/>
        </w:rPr>
      </w:pPr>
      <w:r>
        <w:rPr>
          <w:sz w:val="18"/>
        </w:rPr>
        <w:t>Cash flow and fair value interest rate</w:t>
      </w:r>
      <w:r>
        <w:rPr>
          <w:spacing w:val="-1"/>
          <w:sz w:val="18"/>
        </w:rPr>
        <w:t> </w:t>
      </w:r>
      <w:r>
        <w:rPr>
          <w:sz w:val="18"/>
        </w:rPr>
        <w:t>risk</w:t>
      </w:r>
    </w:p>
    <w:p>
      <w:pPr>
        <w:pStyle w:val="BodyText"/>
        <w:spacing w:before="11"/>
        <w:rPr>
          <w:sz w:val="24"/>
        </w:rPr>
      </w:pPr>
    </w:p>
    <w:p>
      <w:pPr>
        <w:pStyle w:val="BodyText"/>
        <w:ind w:left="1823" w:right="1450"/>
      </w:pPr>
      <w:r>
        <w:rPr/>
        <w:t>The Company's main interest rate risk arises from short term borrowings. Borrowings issued at variable rates expose the Company to cash flow interest rate risk.</w:t>
      </w:r>
    </w:p>
    <w:p>
      <w:pPr>
        <w:pStyle w:val="BodyText"/>
        <w:spacing w:before="11"/>
        <w:rPr>
          <w:sz w:val="24"/>
        </w:rPr>
      </w:pPr>
    </w:p>
    <w:p>
      <w:pPr>
        <w:pStyle w:val="BodyText"/>
        <w:ind w:left="1823"/>
      </w:pPr>
      <w:r>
        <w:rPr/>
        <w:t>As at the end of the reporting period, the Company had the following variable rate borrowings:</w:t>
      </w:r>
    </w:p>
    <w:p>
      <w:pPr>
        <w:pStyle w:val="BodyText"/>
        <w:rPr>
          <w:sz w:val="20"/>
        </w:rPr>
      </w:pPr>
    </w:p>
    <w:p>
      <w:pPr>
        <w:pStyle w:val="BodyText"/>
        <w:spacing w:before="9"/>
      </w:pPr>
    </w:p>
    <w:tbl>
      <w:tblPr>
        <w:tblW w:w="0" w:type="auto"/>
        <w:jc w:val="left"/>
        <w:tblInd w:w="182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401"/>
        <w:gridCol w:w="1150"/>
        <w:gridCol w:w="1807"/>
        <w:gridCol w:w="1154"/>
      </w:tblGrid>
      <w:tr>
        <w:trPr>
          <w:trHeight w:val="525" w:hRule="exact"/>
        </w:trPr>
        <w:tc>
          <w:tcPr>
            <w:tcW w:w="5401" w:type="dxa"/>
          </w:tcPr>
          <w:p>
            <w:pPr>
              <w:pStyle w:val="TableParagraph"/>
              <w:spacing w:before="80"/>
              <w:ind w:right="125"/>
              <w:rPr>
                <w:b/>
                <w:sz w:val="16"/>
              </w:rPr>
            </w:pPr>
            <w:r>
              <w:rPr>
                <w:b/>
                <w:sz w:val="16"/>
              </w:rPr>
              <w:t>2016</w:t>
            </w:r>
          </w:p>
          <w:p>
            <w:pPr>
              <w:pStyle w:val="TableParagraph"/>
              <w:spacing w:before="68"/>
              <w:ind w:right="352"/>
              <w:rPr>
                <w:b/>
                <w:sz w:val="16"/>
              </w:rPr>
            </w:pPr>
            <w:r>
              <w:rPr>
                <w:b/>
                <w:sz w:val="16"/>
              </w:rPr>
              <w:t>Weighted average</w:t>
            </w:r>
          </w:p>
        </w:tc>
        <w:tc>
          <w:tcPr>
            <w:tcW w:w="1150" w:type="dxa"/>
          </w:tcPr>
          <w:p>
            <w:pPr/>
          </w:p>
        </w:tc>
        <w:tc>
          <w:tcPr>
            <w:tcW w:w="1807" w:type="dxa"/>
          </w:tcPr>
          <w:p>
            <w:pPr>
              <w:pStyle w:val="TableParagraph"/>
              <w:spacing w:before="80"/>
              <w:ind w:right="125"/>
              <w:rPr>
                <w:b/>
                <w:sz w:val="16"/>
              </w:rPr>
            </w:pPr>
            <w:r>
              <w:rPr>
                <w:b/>
                <w:sz w:val="16"/>
              </w:rPr>
              <w:t>2015</w:t>
            </w:r>
          </w:p>
          <w:p>
            <w:pPr>
              <w:pStyle w:val="TableParagraph"/>
              <w:spacing w:before="68"/>
              <w:ind w:left="74"/>
              <w:jc w:val="left"/>
              <w:rPr>
                <w:b/>
                <w:sz w:val="16"/>
              </w:rPr>
            </w:pPr>
            <w:r>
              <w:rPr>
                <w:b/>
                <w:sz w:val="16"/>
              </w:rPr>
              <w:t>Weighted average</w:t>
            </w:r>
          </w:p>
        </w:tc>
        <w:tc>
          <w:tcPr>
            <w:tcW w:w="1154" w:type="dxa"/>
          </w:tcPr>
          <w:p>
            <w:pPr/>
          </w:p>
        </w:tc>
      </w:tr>
      <w:tr>
        <w:trPr>
          <w:trHeight w:val="220" w:hRule="exact"/>
        </w:trPr>
        <w:tc>
          <w:tcPr>
            <w:tcW w:w="5401" w:type="dxa"/>
          </w:tcPr>
          <w:p>
            <w:pPr>
              <w:pStyle w:val="TableParagraph"/>
              <w:spacing w:line="176" w:lineRule="exact"/>
              <w:ind w:right="583"/>
              <w:rPr>
                <w:b/>
                <w:sz w:val="16"/>
              </w:rPr>
            </w:pPr>
            <w:r>
              <w:rPr>
                <w:b/>
                <w:sz w:val="16"/>
              </w:rPr>
              <w:t>interest rate</w:t>
            </w:r>
          </w:p>
        </w:tc>
        <w:tc>
          <w:tcPr>
            <w:tcW w:w="1150" w:type="dxa"/>
          </w:tcPr>
          <w:p>
            <w:pPr>
              <w:pStyle w:val="TableParagraph"/>
              <w:spacing w:line="176" w:lineRule="exact"/>
              <w:ind w:left="127"/>
              <w:jc w:val="left"/>
              <w:rPr>
                <w:b/>
                <w:sz w:val="16"/>
              </w:rPr>
            </w:pPr>
            <w:r>
              <w:rPr>
                <w:b/>
                <w:sz w:val="16"/>
              </w:rPr>
              <w:t>Balance</w:t>
            </w:r>
          </w:p>
        </w:tc>
        <w:tc>
          <w:tcPr>
            <w:tcW w:w="1807" w:type="dxa"/>
          </w:tcPr>
          <w:p>
            <w:pPr>
              <w:pStyle w:val="TableParagraph"/>
              <w:spacing w:line="176" w:lineRule="exact"/>
              <w:ind w:left="304"/>
              <w:jc w:val="left"/>
              <w:rPr>
                <w:b/>
                <w:sz w:val="16"/>
              </w:rPr>
            </w:pPr>
            <w:r>
              <w:rPr>
                <w:b/>
                <w:sz w:val="16"/>
              </w:rPr>
              <w:t>interest rate</w:t>
            </w:r>
          </w:p>
        </w:tc>
        <w:tc>
          <w:tcPr>
            <w:tcW w:w="1154" w:type="dxa"/>
          </w:tcPr>
          <w:p>
            <w:pPr>
              <w:pStyle w:val="TableParagraph"/>
              <w:spacing w:line="176" w:lineRule="exact"/>
              <w:ind w:left="127"/>
              <w:jc w:val="left"/>
              <w:rPr>
                <w:b/>
                <w:sz w:val="16"/>
              </w:rPr>
            </w:pPr>
            <w:r>
              <w:rPr>
                <w:b/>
                <w:sz w:val="16"/>
              </w:rPr>
              <w:t>Balance</w:t>
            </w:r>
          </w:p>
        </w:tc>
      </w:tr>
      <w:tr>
        <w:trPr>
          <w:trHeight w:val="270" w:hRule="exact"/>
        </w:trPr>
        <w:tc>
          <w:tcPr>
            <w:tcW w:w="5401" w:type="dxa"/>
          </w:tcPr>
          <w:p>
            <w:pPr>
              <w:pStyle w:val="TableParagraph"/>
              <w:spacing w:before="45"/>
              <w:ind w:right="968"/>
              <w:rPr>
                <w:b/>
                <w:sz w:val="16"/>
              </w:rPr>
            </w:pPr>
            <w:r>
              <w:rPr>
                <w:b/>
                <w:w w:val="100"/>
                <w:sz w:val="16"/>
              </w:rPr>
              <w:t>%</w:t>
            </w:r>
          </w:p>
        </w:tc>
        <w:tc>
          <w:tcPr>
            <w:tcW w:w="1150" w:type="dxa"/>
          </w:tcPr>
          <w:p>
            <w:pPr>
              <w:pStyle w:val="TableParagraph"/>
              <w:spacing w:before="45"/>
              <w:ind w:right="277"/>
              <w:jc w:val="center"/>
              <w:rPr>
                <w:b/>
                <w:sz w:val="16"/>
              </w:rPr>
            </w:pPr>
            <w:r>
              <w:rPr>
                <w:b/>
                <w:w w:val="100"/>
                <w:sz w:val="16"/>
              </w:rPr>
              <w:t>$</w:t>
            </w:r>
          </w:p>
        </w:tc>
        <w:tc>
          <w:tcPr>
            <w:tcW w:w="1807" w:type="dxa"/>
          </w:tcPr>
          <w:p>
            <w:pPr>
              <w:pStyle w:val="TableParagraph"/>
              <w:spacing w:before="24"/>
              <w:ind w:right="272"/>
              <w:jc w:val="center"/>
              <w:rPr>
                <w:b/>
                <w:sz w:val="18"/>
              </w:rPr>
            </w:pPr>
            <w:r>
              <w:rPr>
                <w:b/>
                <w:w w:val="99"/>
                <w:sz w:val="18"/>
              </w:rPr>
              <w:t>%</w:t>
            </w:r>
          </w:p>
        </w:tc>
        <w:tc>
          <w:tcPr>
            <w:tcW w:w="1154" w:type="dxa"/>
          </w:tcPr>
          <w:p>
            <w:pPr>
              <w:pStyle w:val="TableParagraph"/>
              <w:spacing w:before="24"/>
              <w:ind w:left="384"/>
              <w:jc w:val="left"/>
              <w:rPr>
                <w:b/>
                <w:sz w:val="18"/>
              </w:rPr>
            </w:pPr>
            <w:r>
              <w:rPr>
                <w:b/>
                <w:w w:val="99"/>
                <w:sz w:val="18"/>
              </w:rPr>
              <w:t>$</w:t>
            </w:r>
          </w:p>
        </w:tc>
      </w:tr>
      <w:tr>
        <w:trPr>
          <w:trHeight w:val="244" w:hRule="exact"/>
        </w:trPr>
        <w:tc>
          <w:tcPr>
            <w:tcW w:w="5401" w:type="dxa"/>
            <w:tcBorders>
              <w:bottom w:val="single" w:sz="1" w:space="0" w:color="000000"/>
            </w:tcBorders>
          </w:tcPr>
          <w:p>
            <w:pPr>
              <w:pStyle w:val="TableParagraph"/>
              <w:spacing w:before="22"/>
              <w:ind w:right="400"/>
              <w:rPr>
                <w:sz w:val="16"/>
              </w:rPr>
            </w:pPr>
            <w:r>
              <w:rPr>
                <w:w w:val="100"/>
                <w:sz w:val="16"/>
              </w:rPr>
              <w:t>4</w:t>
            </w:r>
          </w:p>
        </w:tc>
        <w:tc>
          <w:tcPr>
            <w:tcW w:w="1150" w:type="dxa"/>
            <w:tcBorders>
              <w:bottom w:val="single" w:sz="1" w:space="0" w:color="000000"/>
            </w:tcBorders>
          </w:tcPr>
          <w:p>
            <w:pPr>
              <w:pStyle w:val="TableParagraph"/>
              <w:spacing w:before="22"/>
              <w:ind w:right="72"/>
              <w:rPr>
                <w:sz w:val="16"/>
              </w:rPr>
            </w:pPr>
            <w:r>
              <w:rPr>
                <w:sz w:val="16"/>
              </w:rPr>
              <w:t>5,618,407</w:t>
            </w:r>
          </w:p>
        </w:tc>
        <w:tc>
          <w:tcPr>
            <w:tcW w:w="1807" w:type="dxa"/>
            <w:tcBorders>
              <w:bottom w:val="single" w:sz="1" w:space="0" w:color="000000"/>
            </w:tcBorders>
          </w:tcPr>
          <w:p>
            <w:pPr>
              <w:pStyle w:val="TableParagraph"/>
              <w:spacing w:before="22"/>
              <w:ind w:right="400"/>
              <w:rPr>
                <w:sz w:val="16"/>
              </w:rPr>
            </w:pPr>
            <w:r>
              <w:rPr>
                <w:w w:val="100"/>
                <w:sz w:val="16"/>
              </w:rPr>
              <w:t>5</w:t>
            </w:r>
          </w:p>
        </w:tc>
        <w:tc>
          <w:tcPr>
            <w:tcW w:w="1154" w:type="dxa"/>
            <w:tcBorders>
              <w:bottom w:val="single" w:sz="1" w:space="0" w:color="000000"/>
            </w:tcBorders>
          </w:tcPr>
          <w:p>
            <w:pPr>
              <w:pStyle w:val="TableParagraph"/>
              <w:spacing w:before="22"/>
              <w:ind w:right="76"/>
              <w:rPr>
                <w:sz w:val="16"/>
              </w:rPr>
            </w:pPr>
            <w:r>
              <w:rPr>
                <w:sz w:val="16"/>
              </w:rPr>
              <w:t>5,010,493</w:t>
            </w:r>
          </w:p>
        </w:tc>
      </w:tr>
      <w:tr>
        <w:trPr>
          <w:trHeight w:val="337" w:hRule="exact"/>
        </w:trPr>
        <w:tc>
          <w:tcPr>
            <w:tcW w:w="5401" w:type="dxa"/>
            <w:tcBorders>
              <w:top w:val="single" w:sz="1" w:space="0" w:color="000000"/>
              <w:bottom w:val="single" w:sz="1" w:space="0" w:color="000000"/>
            </w:tcBorders>
          </w:tcPr>
          <w:p>
            <w:pPr>
              <w:pStyle w:val="TableParagraph"/>
              <w:tabs>
                <w:tab w:pos="4963" w:val="right" w:leader="none"/>
              </w:tabs>
              <w:spacing w:before="123"/>
              <w:ind w:right="400"/>
              <w:rPr>
                <w:b/>
                <w:sz w:val="16"/>
              </w:rPr>
            </w:pPr>
            <w:r>
              <w:rPr>
                <w:b/>
                <w:sz w:val="16"/>
              </w:rPr>
              <w:t>Net exposure to cash flow interest</w:t>
            </w:r>
            <w:r>
              <w:rPr>
                <w:b/>
                <w:spacing w:val="-3"/>
                <w:sz w:val="16"/>
              </w:rPr>
              <w:t> </w:t>
            </w:r>
            <w:r>
              <w:rPr>
                <w:b/>
                <w:sz w:val="16"/>
              </w:rPr>
              <w:t>rate</w:t>
            </w:r>
            <w:r>
              <w:rPr>
                <w:b/>
                <w:spacing w:val="-1"/>
                <w:sz w:val="16"/>
              </w:rPr>
              <w:t> </w:t>
            </w:r>
            <w:r>
              <w:rPr>
                <w:b/>
                <w:sz w:val="16"/>
              </w:rPr>
              <w:t>risk</w:t>
            </w:r>
            <w:r>
              <w:rPr>
                <w:rFonts w:ascii="Times New Roman"/>
                <w:sz w:val="16"/>
              </w:rPr>
              <w:tab/>
            </w:r>
            <w:r>
              <w:rPr>
                <w:b/>
                <w:sz w:val="16"/>
              </w:rPr>
              <w:t>4</w:t>
            </w:r>
          </w:p>
        </w:tc>
        <w:tc>
          <w:tcPr>
            <w:tcW w:w="1150" w:type="dxa"/>
            <w:tcBorders>
              <w:top w:val="single" w:sz="1" w:space="0" w:color="000000"/>
              <w:bottom w:val="single" w:sz="1" w:space="0" w:color="000000"/>
            </w:tcBorders>
          </w:tcPr>
          <w:p>
            <w:pPr>
              <w:pStyle w:val="TableParagraph"/>
              <w:spacing w:before="123"/>
              <w:ind w:right="72"/>
              <w:rPr>
                <w:b/>
                <w:sz w:val="16"/>
              </w:rPr>
            </w:pPr>
            <w:r>
              <w:rPr>
                <w:b/>
                <w:sz w:val="16"/>
              </w:rPr>
              <w:t>5,618,407</w:t>
            </w:r>
          </w:p>
        </w:tc>
        <w:tc>
          <w:tcPr>
            <w:tcW w:w="1807" w:type="dxa"/>
            <w:tcBorders>
              <w:top w:val="single" w:sz="1" w:space="0" w:color="000000"/>
              <w:bottom w:val="single" w:sz="1" w:space="0" w:color="000000"/>
            </w:tcBorders>
          </w:tcPr>
          <w:p>
            <w:pPr>
              <w:pStyle w:val="TableParagraph"/>
              <w:spacing w:before="123"/>
              <w:ind w:right="400"/>
              <w:rPr>
                <w:sz w:val="16"/>
              </w:rPr>
            </w:pPr>
            <w:r>
              <w:rPr>
                <w:w w:val="100"/>
                <w:sz w:val="16"/>
              </w:rPr>
              <w:t>5</w:t>
            </w:r>
          </w:p>
        </w:tc>
        <w:tc>
          <w:tcPr>
            <w:tcW w:w="1154" w:type="dxa"/>
            <w:tcBorders>
              <w:top w:val="single" w:sz="1" w:space="0" w:color="000000"/>
              <w:bottom w:val="single" w:sz="1" w:space="0" w:color="000000"/>
            </w:tcBorders>
          </w:tcPr>
          <w:p>
            <w:pPr>
              <w:pStyle w:val="TableParagraph"/>
              <w:spacing w:before="123"/>
              <w:ind w:right="76"/>
              <w:rPr>
                <w:sz w:val="16"/>
              </w:rPr>
            </w:pPr>
            <w:r>
              <w:rPr>
                <w:sz w:val="16"/>
              </w:rPr>
              <w:t>5,010,493</w:t>
            </w:r>
          </w:p>
        </w:tc>
      </w:tr>
    </w:tbl>
    <w:p>
      <w:pPr>
        <w:pStyle w:val="BodyText"/>
        <w:rPr>
          <w:sz w:val="20"/>
        </w:rPr>
      </w:pPr>
    </w:p>
    <w:p>
      <w:pPr>
        <w:pStyle w:val="BodyText"/>
        <w:spacing w:before="8"/>
        <w:rPr>
          <w:sz w:val="28"/>
        </w:rPr>
      </w:pPr>
    </w:p>
    <w:p>
      <w:pPr>
        <w:pStyle w:val="ListParagraph"/>
        <w:numPr>
          <w:ilvl w:val="0"/>
          <w:numId w:val="62"/>
        </w:numPr>
        <w:tabs>
          <w:tab w:pos="2077" w:val="left" w:leader="none"/>
        </w:tabs>
        <w:spacing w:line="240" w:lineRule="auto" w:before="77" w:after="0"/>
        <w:ind w:left="2076" w:right="0" w:hanging="252"/>
        <w:jc w:val="left"/>
        <w:rPr>
          <w:sz w:val="18"/>
        </w:rPr>
      </w:pPr>
      <w:r>
        <w:rPr>
          <w:sz w:val="18"/>
        </w:rPr>
        <w:t>Summarised sensitivity</w:t>
      </w:r>
      <w:r>
        <w:rPr>
          <w:spacing w:val="1"/>
          <w:sz w:val="18"/>
        </w:rPr>
        <w:t> </w:t>
      </w:r>
      <w:r>
        <w:rPr>
          <w:sz w:val="18"/>
        </w:rPr>
        <w:t>analysis</w:t>
      </w:r>
    </w:p>
    <w:p>
      <w:pPr>
        <w:pStyle w:val="BodyText"/>
        <w:spacing w:before="11"/>
        <w:rPr>
          <w:sz w:val="24"/>
        </w:rPr>
      </w:pPr>
    </w:p>
    <w:p>
      <w:pPr>
        <w:pStyle w:val="BodyText"/>
        <w:ind w:left="1824" w:right="1375"/>
      </w:pPr>
      <w:r>
        <w:rPr/>
        <w:drawing>
          <wp:anchor distT="0" distB="0" distL="0" distR="0" allowOverlap="1" layoutInCell="1" locked="0" behindDoc="0" simplePos="0" relativeHeight="10552">
            <wp:simplePos x="0" y="0"/>
            <wp:positionH relativeFrom="page">
              <wp:posOffset>-1587</wp:posOffset>
            </wp:positionH>
            <wp:positionV relativeFrom="paragraph">
              <wp:posOffset>-19127</wp:posOffset>
            </wp:positionV>
            <wp:extent cx="136525" cy="155575"/>
            <wp:effectExtent l="0" t="0" r="0" b="0"/>
            <wp:wrapNone/>
            <wp:docPr id="699" name="image13.png" descr=""/>
            <wp:cNvGraphicFramePr>
              <a:graphicFrameLocks noChangeAspect="1"/>
            </wp:cNvGraphicFramePr>
            <a:graphic>
              <a:graphicData uri="http://schemas.openxmlformats.org/drawingml/2006/picture">
                <pic:pic>
                  <pic:nvPicPr>
                    <pic:cNvPr id="700" name="image13.png"/>
                    <pic:cNvPicPr/>
                  </pic:nvPicPr>
                  <pic:blipFill>
                    <a:blip r:embed="rId18" cstate="print"/>
                    <a:stretch>
                      <a:fillRect/>
                    </a:stretch>
                  </pic:blipFill>
                  <pic:spPr>
                    <a:xfrm>
                      <a:off x="0" y="0"/>
                      <a:ext cx="136525" cy="155575"/>
                    </a:xfrm>
                    <a:prstGeom prst="rect">
                      <a:avLst/>
                    </a:prstGeom>
                  </pic:spPr>
                </pic:pic>
              </a:graphicData>
            </a:graphic>
          </wp:anchor>
        </w:drawing>
      </w:r>
      <w:r>
        <w:rPr/>
        <w:drawing>
          <wp:anchor distT="0" distB="0" distL="0" distR="0" allowOverlap="1" layoutInCell="1" locked="0" behindDoc="0" simplePos="0" relativeHeight="10576">
            <wp:simplePos x="0" y="0"/>
            <wp:positionH relativeFrom="page">
              <wp:posOffset>7958429</wp:posOffset>
            </wp:positionH>
            <wp:positionV relativeFrom="paragraph">
              <wp:posOffset>-19127</wp:posOffset>
            </wp:positionV>
            <wp:extent cx="135953" cy="155575"/>
            <wp:effectExtent l="0" t="0" r="0" b="0"/>
            <wp:wrapNone/>
            <wp:docPr id="701" name="image15.png" descr=""/>
            <wp:cNvGraphicFramePr>
              <a:graphicFrameLocks noChangeAspect="1"/>
            </wp:cNvGraphicFramePr>
            <a:graphic>
              <a:graphicData uri="http://schemas.openxmlformats.org/drawingml/2006/picture">
                <pic:pic>
                  <pic:nvPicPr>
                    <pic:cNvPr id="702" name="image15.png"/>
                    <pic:cNvPicPr/>
                  </pic:nvPicPr>
                  <pic:blipFill>
                    <a:blip r:embed="rId20" cstate="print"/>
                    <a:stretch>
                      <a:fillRect/>
                    </a:stretch>
                  </pic:blipFill>
                  <pic:spPr>
                    <a:xfrm>
                      <a:off x="0" y="0"/>
                      <a:ext cx="135953" cy="155575"/>
                    </a:xfrm>
                    <a:prstGeom prst="rect">
                      <a:avLst/>
                    </a:prstGeom>
                  </pic:spPr>
                </pic:pic>
              </a:graphicData>
            </a:graphic>
          </wp:anchor>
        </w:drawing>
      </w:r>
      <w:r>
        <w:rPr/>
        <w:t>The following table summarises the sensitivity of the Company's financial assets and financial liabilities to interest rate risk, foreign exchange risk and other price risk.</w:t>
      </w:r>
    </w:p>
    <w:p>
      <w:pPr>
        <w:pStyle w:val="BodyText"/>
        <w:rPr>
          <w:sz w:val="20"/>
        </w:rPr>
      </w:pPr>
    </w:p>
    <w:p>
      <w:pPr>
        <w:pStyle w:val="BodyText"/>
        <w:spacing w:before="9"/>
      </w:pPr>
    </w:p>
    <w:tbl>
      <w:tblPr>
        <w:tblW w:w="0" w:type="auto"/>
        <w:jc w:val="left"/>
        <w:tblInd w:w="181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161"/>
        <w:gridCol w:w="1489"/>
        <w:gridCol w:w="1688"/>
        <w:gridCol w:w="1285"/>
        <w:gridCol w:w="1662"/>
        <w:gridCol w:w="1243"/>
      </w:tblGrid>
      <w:tr>
        <w:trPr>
          <w:trHeight w:val="546" w:hRule="exact"/>
        </w:trPr>
        <w:tc>
          <w:tcPr>
            <w:tcW w:w="2161" w:type="dxa"/>
          </w:tcPr>
          <w:p>
            <w:pPr/>
          </w:p>
        </w:tc>
        <w:tc>
          <w:tcPr>
            <w:tcW w:w="1489" w:type="dxa"/>
          </w:tcPr>
          <w:p>
            <w:pPr>
              <w:pStyle w:val="TableParagraph"/>
              <w:jc w:val="left"/>
              <w:rPr>
                <w:sz w:val="16"/>
              </w:rPr>
            </w:pPr>
          </w:p>
          <w:p>
            <w:pPr>
              <w:pStyle w:val="TableParagraph"/>
              <w:spacing w:before="10"/>
              <w:jc w:val="left"/>
              <w:rPr>
                <w:sz w:val="12"/>
              </w:rPr>
            </w:pPr>
          </w:p>
          <w:p>
            <w:pPr>
              <w:pStyle w:val="TableParagraph"/>
              <w:ind w:right="111"/>
              <w:rPr>
                <w:b/>
                <w:sz w:val="16"/>
              </w:rPr>
            </w:pPr>
            <w:r>
              <w:rPr>
                <w:b/>
                <w:sz w:val="16"/>
              </w:rPr>
              <w:t>Carrying amount</w:t>
            </w:r>
          </w:p>
        </w:tc>
        <w:tc>
          <w:tcPr>
            <w:tcW w:w="1688" w:type="dxa"/>
          </w:tcPr>
          <w:p>
            <w:pPr>
              <w:pStyle w:val="TableParagraph"/>
              <w:spacing w:before="80"/>
              <w:ind w:left="80" w:right="328"/>
              <w:jc w:val="center"/>
              <w:rPr>
                <w:b/>
                <w:sz w:val="16"/>
              </w:rPr>
            </w:pPr>
            <w:r>
              <w:rPr>
                <w:b/>
                <w:sz w:val="16"/>
              </w:rPr>
              <w:t>-1%</w:t>
            </w:r>
          </w:p>
          <w:p>
            <w:pPr>
              <w:pStyle w:val="TableParagraph"/>
              <w:spacing w:before="68"/>
              <w:ind w:left="83" w:right="328"/>
              <w:jc w:val="center"/>
              <w:rPr>
                <w:b/>
                <w:sz w:val="16"/>
              </w:rPr>
            </w:pPr>
            <w:r>
              <w:rPr>
                <w:b/>
                <w:sz w:val="16"/>
              </w:rPr>
              <w:t>Surplus/(Deficit)</w:t>
            </w:r>
          </w:p>
        </w:tc>
        <w:tc>
          <w:tcPr>
            <w:tcW w:w="1285" w:type="dxa"/>
          </w:tcPr>
          <w:p>
            <w:pPr>
              <w:pStyle w:val="TableParagraph"/>
              <w:spacing w:before="80"/>
              <w:ind w:left="237" w:right="511"/>
              <w:jc w:val="center"/>
              <w:rPr>
                <w:b/>
                <w:sz w:val="16"/>
              </w:rPr>
            </w:pPr>
            <w:r>
              <w:rPr>
                <w:b/>
                <w:sz w:val="16"/>
              </w:rPr>
              <w:t>-1%</w:t>
            </w:r>
          </w:p>
          <w:p>
            <w:pPr>
              <w:pStyle w:val="TableParagraph"/>
              <w:spacing w:before="68"/>
              <w:ind w:left="244" w:right="511"/>
              <w:jc w:val="center"/>
              <w:rPr>
                <w:b/>
                <w:sz w:val="16"/>
              </w:rPr>
            </w:pPr>
            <w:r>
              <w:rPr>
                <w:b/>
                <w:sz w:val="16"/>
              </w:rPr>
              <w:t>Equity</w:t>
            </w:r>
          </w:p>
        </w:tc>
        <w:tc>
          <w:tcPr>
            <w:tcW w:w="1662" w:type="dxa"/>
          </w:tcPr>
          <w:p>
            <w:pPr>
              <w:pStyle w:val="TableParagraph"/>
              <w:spacing w:before="80"/>
              <w:ind w:left="57" w:right="329"/>
              <w:jc w:val="center"/>
              <w:rPr>
                <w:b/>
                <w:sz w:val="16"/>
              </w:rPr>
            </w:pPr>
            <w:r>
              <w:rPr>
                <w:b/>
                <w:sz w:val="16"/>
              </w:rPr>
              <w:t>+1%</w:t>
            </w:r>
          </w:p>
          <w:p>
            <w:pPr>
              <w:pStyle w:val="TableParagraph"/>
              <w:spacing w:before="68"/>
              <w:ind w:left="57" w:right="329"/>
              <w:jc w:val="center"/>
              <w:rPr>
                <w:b/>
                <w:sz w:val="16"/>
              </w:rPr>
            </w:pPr>
            <w:r>
              <w:rPr>
                <w:b/>
                <w:sz w:val="16"/>
              </w:rPr>
              <w:t>Surplus/(Deficit)</w:t>
            </w:r>
          </w:p>
        </w:tc>
        <w:tc>
          <w:tcPr>
            <w:tcW w:w="1243" w:type="dxa"/>
          </w:tcPr>
          <w:p>
            <w:pPr>
              <w:pStyle w:val="TableParagraph"/>
              <w:spacing w:before="80"/>
              <w:ind w:left="343"/>
              <w:jc w:val="left"/>
              <w:rPr>
                <w:b/>
                <w:sz w:val="16"/>
              </w:rPr>
            </w:pPr>
            <w:r>
              <w:rPr>
                <w:b/>
                <w:sz w:val="16"/>
              </w:rPr>
              <w:t>+1%</w:t>
            </w:r>
          </w:p>
          <w:p>
            <w:pPr>
              <w:pStyle w:val="TableParagraph"/>
              <w:spacing w:before="68"/>
              <w:ind w:left="261"/>
              <w:jc w:val="left"/>
              <w:rPr>
                <w:b/>
                <w:sz w:val="16"/>
              </w:rPr>
            </w:pPr>
            <w:r>
              <w:rPr>
                <w:b/>
                <w:sz w:val="16"/>
              </w:rPr>
              <w:t>Equity</w:t>
            </w:r>
          </w:p>
        </w:tc>
      </w:tr>
      <w:tr>
        <w:trPr>
          <w:trHeight w:val="280" w:hRule="exact"/>
        </w:trPr>
        <w:tc>
          <w:tcPr>
            <w:tcW w:w="2161" w:type="dxa"/>
          </w:tcPr>
          <w:p>
            <w:pPr>
              <w:pStyle w:val="TableParagraph"/>
              <w:spacing w:before="14"/>
              <w:ind w:left="35"/>
              <w:jc w:val="left"/>
              <w:rPr>
                <w:b/>
                <w:sz w:val="16"/>
              </w:rPr>
            </w:pPr>
            <w:r>
              <w:rPr>
                <w:b/>
                <w:sz w:val="16"/>
              </w:rPr>
              <w:t>31 December 2016</w:t>
            </w:r>
          </w:p>
        </w:tc>
        <w:tc>
          <w:tcPr>
            <w:tcW w:w="1489" w:type="dxa"/>
          </w:tcPr>
          <w:p>
            <w:pPr>
              <w:pStyle w:val="TableParagraph"/>
              <w:spacing w:before="37"/>
              <w:ind w:right="18"/>
              <w:jc w:val="center"/>
              <w:rPr>
                <w:b/>
                <w:sz w:val="14"/>
              </w:rPr>
            </w:pPr>
            <w:r>
              <w:rPr>
                <w:b/>
                <w:w w:val="99"/>
                <w:sz w:val="14"/>
              </w:rPr>
              <w:t>$</w:t>
            </w:r>
          </w:p>
        </w:tc>
        <w:tc>
          <w:tcPr>
            <w:tcW w:w="1688" w:type="dxa"/>
          </w:tcPr>
          <w:p>
            <w:pPr>
              <w:pStyle w:val="TableParagraph"/>
              <w:spacing w:before="37"/>
              <w:ind w:right="248"/>
              <w:jc w:val="center"/>
              <w:rPr>
                <w:b/>
                <w:sz w:val="14"/>
              </w:rPr>
            </w:pPr>
            <w:r>
              <w:rPr>
                <w:b/>
                <w:w w:val="99"/>
                <w:sz w:val="14"/>
              </w:rPr>
              <w:t>$</w:t>
            </w:r>
          </w:p>
        </w:tc>
        <w:tc>
          <w:tcPr>
            <w:tcW w:w="1285" w:type="dxa"/>
          </w:tcPr>
          <w:p>
            <w:pPr>
              <w:pStyle w:val="TableParagraph"/>
              <w:spacing w:before="37"/>
              <w:ind w:right="274"/>
              <w:jc w:val="center"/>
              <w:rPr>
                <w:b/>
                <w:sz w:val="14"/>
              </w:rPr>
            </w:pPr>
            <w:r>
              <w:rPr>
                <w:b/>
                <w:w w:val="99"/>
                <w:sz w:val="14"/>
              </w:rPr>
              <w:t>$</w:t>
            </w:r>
          </w:p>
        </w:tc>
        <w:tc>
          <w:tcPr>
            <w:tcW w:w="1662" w:type="dxa"/>
          </w:tcPr>
          <w:p>
            <w:pPr>
              <w:pStyle w:val="TableParagraph"/>
              <w:spacing w:before="37"/>
              <w:ind w:right="274"/>
              <w:jc w:val="center"/>
              <w:rPr>
                <w:b/>
                <w:sz w:val="14"/>
              </w:rPr>
            </w:pPr>
            <w:r>
              <w:rPr>
                <w:b/>
                <w:w w:val="99"/>
                <w:sz w:val="14"/>
              </w:rPr>
              <w:t>$</w:t>
            </w:r>
          </w:p>
        </w:tc>
        <w:tc>
          <w:tcPr>
            <w:tcW w:w="1243" w:type="dxa"/>
          </w:tcPr>
          <w:p>
            <w:pPr>
              <w:pStyle w:val="TableParagraph"/>
              <w:spacing w:before="37"/>
              <w:ind w:right="232"/>
              <w:jc w:val="center"/>
              <w:rPr>
                <w:b/>
                <w:sz w:val="14"/>
              </w:rPr>
            </w:pPr>
            <w:r>
              <w:rPr>
                <w:b/>
                <w:w w:val="99"/>
                <w:sz w:val="14"/>
              </w:rPr>
              <w:t>$</w:t>
            </w:r>
          </w:p>
        </w:tc>
      </w:tr>
      <w:tr>
        <w:trPr>
          <w:trHeight w:val="501" w:hRule="exact"/>
        </w:trPr>
        <w:tc>
          <w:tcPr>
            <w:tcW w:w="2161" w:type="dxa"/>
          </w:tcPr>
          <w:p>
            <w:pPr>
              <w:pStyle w:val="TableParagraph"/>
              <w:spacing w:before="65"/>
              <w:ind w:left="35"/>
              <w:jc w:val="left"/>
              <w:rPr>
                <w:b/>
                <w:sz w:val="16"/>
              </w:rPr>
            </w:pPr>
            <w:r>
              <w:rPr>
                <w:b/>
                <w:sz w:val="16"/>
              </w:rPr>
              <w:t>Financial Assets</w:t>
            </w:r>
          </w:p>
          <w:p>
            <w:pPr>
              <w:pStyle w:val="TableParagraph"/>
              <w:spacing w:before="32"/>
              <w:ind w:left="35"/>
              <w:jc w:val="left"/>
              <w:rPr>
                <w:sz w:val="16"/>
              </w:rPr>
            </w:pPr>
            <w:r>
              <w:rPr>
                <w:sz w:val="16"/>
              </w:rPr>
              <w:t>Cash and cash equivalents</w:t>
            </w:r>
          </w:p>
        </w:tc>
        <w:tc>
          <w:tcPr>
            <w:tcW w:w="1489" w:type="dxa"/>
          </w:tcPr>
          <w:p>
            <w:pPr>
              <w:pStyle w:val="TableParagraph"/>
              <w:jc w:val="left"/>
              <w:rPr>
                <w:sz w:val="16"/>
              </w:rPr>
            </w:pPr>
          </w:p>
          <w:p>
            <w:pPr>
              <w:pStyle w:val="TableParagraph"/>
              <w:spacing w:before="94"/>
              <w:ind w:right="97"/>
              <w:rPr>
                <w:sz w:val="16"/>
              </w:rPr>
            </w:pPr>
            <w:r>
              <w:rPr>
                <w:sz w:val="16"/>
              </w:rPr>
              <w:t>496,008</w:t>
            </w:r>
          </w:p>
        </w:tc>
        <w:tc>
          <w:tcPr>
            <w:tcW w:w="1688" w:type="dxa"/>
          </w:tcPr>
          <w:p>
            <w:pPr>
              <w:pStyle w:val="TableParagraph"/>
              <w:jc w:val="left"/>
              <w:rPr>
                <w:sz w:val="16"/>
              </w:rPr>
            </w:pPr>
          </w:p>
          <w:p>
            <w:pPr>
              <w:pStyle w:val="TableParagraph"/>
              <w:spacing w:before="94"/>
              <w:ind w:right="259"/>
              <w:rPr>
                <w:sz w:val="16"/>
              </w:rPr>
            </w:pPr>
            <w:r>
              <w:rPr>
                <w:sz w:val="16"/>
              </w:rPr>
              <w:t>(4,960)</w:t>
            </w:r>
          </w:p>
        </w:tc>
        <w:tc>
          <w:tcPr>
            <w:tcW w:w="1285" w:type="dxa"/>
          </w:tcPr>
          <w:p>
            <w:pPr>
              <w:pStyle w:val="TableParagraph"/>
              <w:jc w:val="left"/>
              <w:rPr>
                <w:sz w:val="16"/>
              </w:rPr>
            </w:pPr>
          </w:p>
          <w:p>
            <w:pPr>
              <w:pStyle w:val="TableParagraph"/>
              <w:spacing w:before="94"/>
              <w:ind w:right="71"/>
              <w:rPr>
                <w:sz w:val="16"/>
              </w:rPr>
            </w:pPr>
            <w:r>
              <w:rPr>
                <w:sz w:val="16"/>
              </w:rPr>
              <w:t>(4,960)</w:t>
            </w:r>
          </w:p>
        </w:tc>
        <w:tc>
          <w:tcPr>
            <w:tcW w:w="1662" w:type="dxa"/>
          </w:tcPr>
          <w:p>
            <w:pPr>
              <w:pStyle w:val="TableParagraph"/>
              <w:jc w:val="left"/>
              <w:rPr>
                <w:sz w:val="16"/>
              </w:rPr>
            </w:pPr>
          </w:p>
          <w:p>
            <w:pPr>
              <w:pStyle w:val="TableParagraph"/>
              <w:spacing w:before="94"/>
              <w:ind w:right="312"/>
              <w:rPr>
                <w:sz w:val="16"/>
              </w:rPr>
            </w:pPr>
            <w:r>
              <w:rPr>
                <w:sz w:val="16"/>
              </w:rPr>
              <w:t>4,960</w:t>
            </w:r>
          </w:p>
        </w:tc>
        <w:tc>
          <w:tcPr>
            <w:tcW w:w="1243" w:type="dxa"/>
          </w:tcPr>
          <w:p>
            <w:pPr>
              <w:pStyle w:val="TableParagraph"/>
              <w:jc w:val="left"/>
              <w:rPr>
                <w:sz w:val="16"/>
              </w:rPr>
            </w:pPr>
          </w:p>
          <w:p>
            <w:pPr>
              <w:pStyle w:val="TableParagraph"/>
              <w:spacing w:before="94"/>
              <w:ind w:right="81"/>
              <w:rPr>
                <w:sz w:val="16"/>
              </w:rPr>
            </w:pPr>
            <w:r>
              <w:rPr>
                <w:sz w:val="16"/>
              </w:rPr>
              <w:t>4,960</w:t>
            </w:r>
          </w:p>
        </w:tc>
      </w:tr>
      <w:tr>
        <w:trPr>
          <w:trHeight w:val="241" w:hRule="exact"/>
        </w:trPr>
        <w:tc>
          <w:tcPr>
            <w:tcW w:w="2161" w:type="dxa"/>
          </w:tcPr>
          <w:p>
            <w:pPr>
              <w:pStyle w:val="TableParagraph"/>
              <w:spacing w:before="22"/>
              <w:ind w:left="35"/>
              <w:jc w:val="left"/>
              <w:rPr>
                <w:sz w:val="16"/>
              </w:rPr>
            </w:pPr>
            <w:r>
              <w:rPr>
                <w:sz w:val="16"/>
              </w:rPr>
              <w:t>Receivables</w:t>
            </w:r>
          </w:p>
        </w:tc>
        <w:tc>
          <w:tcPr>
            <w:tcW w:w="1489" w:type="dxa"/>
            <w:tcBorders>
              <w:bottom w:val="single" w:sz="1" w:space="0" w:color="000000"/>
            </w:tcBorders>
          </w:tcPr>
          <w:p>
            <w:pPr>
              <w:pStyle w:val="TableParagraph"/>
              <w:spacing w:before="20"/>
              <w:ind w:right="97"/>
              <w:rPr>
                <w:sz w:val="16"/>
              </w:rPr>
            </w:pPr>
            <w:r>
              <w:rPr>
                <w:sz w:val="16"/>
              </w:rPr>
              <w:t>2,746,448</w:t>
            </w:r>
          </w:p>
        </w:tc>
        <w:tc>
          <w:tcPr>
            <w:tcW w:w="1688" w:type="dxa"/>
            <w:tcBorders>
              <w:bottom w:val="single" w:sz="1" w:space="0" w:color="000000"/>
            </w:tcBorders>
          </w:tcPr>
          <w:p>
            <w:pPr>
              <w:pStyle w:val="TableParagraph"/>
              <w:spacing w:before="20"/>
              <w:ind w:right="259"/>
              <w:rPr>
                <w:sz w:val="16"/>
              </w:rPr>
            </w:pPr>
            <w:r>
              <w:rPr>
                <w:sz w:val="16"/>
              </w:rPr>
              <w:t>(27,464)</w:t>
            </w:r>
          </w:p>
        </w:tc>
        <w:tc>
          <w:tcPr>
            <w:tcW w:w="1285" w:type="dxa"/>
            <w:tcBorders>
              <w:bottom w:val="single" w:sz="1" w:space="0" w:color="000000"/>
            </w:tcBorders>
          </w:tcPr>
          <w:p>
            <w:pPr>
              <w:pStyle w:val="TableParagraph"/>
              <w:spacing w:before="20"/>
              <w:ind w:right="71"/>
              <w:rPr>
                <w:sz w:val="16"/>
              </w:rPr>
            </w:pPr>
            <w:r>
              <w:rPr>
                <w:sz w:val="16"/>
              </w:rPr>
              <w:t>(27,464)</w:t>
            </w:r>
          </w:p>
        </w:tc>
        <w:tc>
          <w:tcPr>
            <w:tcW w:w="1662" w:type="dxa"/>
            <w:tcBorders>
              <w:bottom w:val="single" w:sz="1" w:space="0" w:color="000000"/>
            </w:tcBorders>
          </w:tcPr>
          <w:p>
            <w:pPr>
              <w:pStyle w:val="TableParagraph"/>
              <w:spacing w:before="20"/>
              <w:ind w:right="312"/>
              <w:rPr>
                <w:sz w:val="16"/>
              </w:rPr>
            </w:pPr>
            <w:r>
              <w:rPr>
                <w:sz w:val="16"/>
              </w:rPr>
              <w:t>27,464</w:t>
            </w:r>
          </w:p>
        </w:tc>
        <w:tc>
          <w:tcPr>
            <w:tcW w:w="1243" w:type="dxa"/>
            <w:tcBorders>
              <w:bottom w:val="single" w:sz="1" w:space="0" w:color="000000"/>
            </w:tcBorders>
          </w:tcPr>
          <w:p>
            <w:pPr>
              <w:pStyle w:val="TableParagraph"/>
              <w:spacing w:before="20"/>
              <w:ind w:right="81"/>
              <w:rPr>
                <w:sz w:val="16"/>
              </w:rPr>
            </w:pPr>
            <w:r>
              <w:rPr>
                <w:sz w:val="16"/>
              </w:rPr>
              <w:t>27,464</w:t>
            </w:r>
          </w:p>
        </w:tc>
      </w:tr>
      <w:tr>
        <w:trPr>
          <w:trHeight w:val="859" w:hRule="exact"/>
        </w:trPr>
        <w:tc>
          <w:tcPr>
            <w:tcW w:w="2161" w:type="dxa"/>
          </w:tcPr>
          <w:p>
            <w:pPr>
              <w:pStyle w:val="TableParagraph"/>
              <w:jc w:val="left"/>
              <w:rPr>
                <w:sz w:val="16"/>
              </w:rPr>
            </w:pPr>
          </w:p>
          <w:p>
            <w:pPr>
              <w:pStyle w:val="TableParagraph"/>
              <w:spacing w:before="8"/>
              <w:jc w:val="left"/>
              <w:rPr>
                <w:sz w:val="20"/>
              </w:rPr>
            </w:pPr>
          </w:p>
          <w:p>
            <w:pPr>
              <w:pStyle w:val="TableParagraph"/>
              <w:ind w:left="35"/>
              <w:jc w:val="left"/>
              <w:rPr>
                <w:b/>
                <w:sz w:val="16"/>
              </w:rPr>
            </w:pPr>
            <w:r>
              <w:rPr>
                <w:b/>
                <w:sz w:val="16"/>
              </w:rPr>
              <w:t>Financial Liabilities</w:t>
            </w:r>
          </w:p>
          <w:p>
            <w:pPr>
              <w:pStyle w:val="TableParagraph"/>
              <w:spacing w:before="32"/>
              <w:ind w:left="35"/>
              <w:jc w:val="left"/>
              <w:rPr>
                <w:sz w:val="16"/>
              </w:rPr>
            </w:pPr>
            <w:r>
              <w:rPr>
                <w:sz w:val="16"/>
              </w:rPr>
              <w:t>Borrowings</w:t>
            </w:r>
          </w:p>
        </w:tc>
        <w:tc>
          <w:tcPr>
            <w:tcW w:w="1489" w:type="dxa"/>
            <w:tcBorders>
              <w:top w:val="single" w:sz="1" w:space="0" w:color="000000"/>
            </w:tcBorders>
          </w:tcPr>
          <w:p>
            <w:pPr>
              <w:pStyle w:val="TableParagraph"/>
              <w:jc w:val="left"/>
              <w:rPr>
                <w:sz w:val="16"/>
              </w:rPr>
            </w:pPr>
          </w:p>
          <w:p>
            <w:pPr>
              <w:pStyle w:val="TableParagraph"/>
              <w:jc w:val="left"/>
              <w:rPr>
                <w:sz w:val="16"/>
              </w:rPr>
            </w:pPr>
          </w:p>
          <w:p>
            <w:pPr>
              <w:pStyle w:val="TableParagraph"/>
              <w:spacing w:before="2"/>
              <w:jc w:val="left"/>
              <w:rPr>
                <w:sz w:val="23"/>
              </w:rPr>
            </w:pPr>
          </w:p>
          <w:p>
            <w:pPr>
              <w:pStyle w:val="TableParagraph"/>
              <w:ind w:right="97"/>
              <w:rPr>
                <w:sz w:val="16"/>
              </w:rPr>
            </w:pPr>
            <w:r>
              <w:rPr>
                <w:sz w:val="16"/>
              </w:rPr>
              <w:t>5,618,407</w:t>
            </w:r>
          </w:p>
        </w:tc>
        <w:tc>
          <w:tcPr>
            <w:tcW w:w="1688" w:type="dxa"/>
            <w:tcBorders>
              <w:top w:val="single" w:sz="1" w:space="0" w:color="000000"/>
            </w:tcBorders>
          </w:tcPr>
          <w:p>
            <w:pPr>
              <w:pStyle w:val="TableParagraph"/>
              <w:jc w:val="left"/>
              <w:rPr>
                <w:sz w:val="16"/>
              </w:rPr>
            </w:pPr>
          </w:p>
          <w:p>
            <w:pPr>
              <w:pStyle w:val="TableParagraph"/>
              <w:jc w:val="left"/>
              <w:rPr>
                <w:sz w:val="16"/>
              </w:rPr>
            </w:pPr>
          </w:p>
          <w:p>
            <w:pPr>
              <w:pStyle w:val="TableParagraph"/>
              <w:spacing w:before="2"/>
              <w:jc w:val="left"/>
              <w:rPr>
                <w:sz w:val="23"/>
              </w:rPr>
            </w:pPr>
          </w:p>
          <w:p>
            <w:pPr>
              <w:pStyle w:val="TableParagraph"/>
              <w:ind w:right="312"/>
              <w:rPr>
                <w:sz w:val="16"/>
              </w:rPr>
            </w:pPr>
            <w:r>
              <w:rPr>
                <w:sz w:val="16"/>
              </w:rPr>
              <w:t>56,184</w:t>
            </w:r>
          </w:p>
        </w:tc>
        <w:tc>
          <w:tcPr>
            <w:tcW w:w="1285" w:type="dxa"/>
            <w:tcBorders>
              <w:top w:val="single" w:sz="1" w:space="0" w:color="000000"/>
            </w:tcBorders>
          </w:tcPr>
          <w:p>
            <w:pPr>
              <w:pStyle w:val="TableParagraph"/>
              <w:jc w:val="left"/>
              <w:rPr>
                <w:sz w:val="16"/>
              </w:rPr>
            </w:pPr>
          </w:p>
          <w:p>
            <w:pPr>
              <w:pStyle w:val="TableParagraph"/>
              <w:jc w:val="left"/>
              <w:rPr>
                <w:sz w:val="16"/>
              </w:rPr>
            </w:pPr>
          </w:p>
          <w:p>
            <w:pPr>
              <w:pStyle w:val="TableParagraph"/>
              <w:spacing w:before="2"/>
              <w:jc w:val="left"/>
              <w:rPr>
                <w:sz w:val="23"/>
              </w:rPr>
            </w:pPr>
          </w:p>
          <w:p>
            <w:pPr>
              <w:pStyle w:val="TableParagraph"/>
              <w:ind w:right="123"/>
              <w:rPr>
                <w:sz w:val="16"/>
              </w:rPr>
            </w:pPr>
            <w:r>
              <w:rPr>
                <w:sz w:val="16"/>
              </w:rPr>
              <w:t>56,184</w:t>
            </w:r>
          </w:p>
        </w:tc>
        <w:tc>
          <w:tcPr>
            <w:tcW w:w="1662" w:type="dxa"/>
            <w:tcBorders>
              <w:top w:val="single" w:sz="1" w:space="0" w:color="000000"/>
            </w:tcBorders>
          </w:tcPr>
          <w:p>
            <w:pPr>
              <w:pStyle w:val="TableParagraph"/>
              <w:jc w:val="left"/>
              <w:rPr>
                <w:sz w:val="16"/>
              </w:rPr>
            </w:pPr>
          </w:p>
          <w:p>
            <w:pPr>
              <w:pStyle w:val="TableParagraph"/>
              <w:jc w:val="left"/>
              <w:rPr>
                <w:sz w:val="16"/>
              </w:rPr>
            </w:pPr>
          </w:p>
          <w:p>
            <w:pPr>
              <w:pStyle w:val="TableParagraph"/>
              <w:spacing w:before="2"/>
              <w:jc w:val="left"/>
              <w:rPr>
                <w:sz w:val="23"/>
              </w:rPr>
            </w:pPr>
          </w:p>
          <w:p>
            <w:pPr>
              <w:pStyle w:val="TableParagraph"/>
              <w:ind w:right="259"/>
              <w:rPr>
                <w:sz w:val="16"/>
              </w:rPr>
            </w:pPr>
            <w:r>
              <w:rPr>
                <w:sz w:val="16"/>
              </w:rPr>
              <w:t>(56,184)</w:t>
            </w:r>
          </w:p>
        </w:tc>
        <w:tc>
          <w:tcPr>
            <w:tcW w:w="1243" w:type="dxa"/>
            <w:tcBorders>
              <w:top w:val="single" w:sz="1" w:space="0" w:color="000000"/>
            </w:tcBorders>
          </w:tcPr>
          <w:p>
            <w:pPr>
              <w:pStyle w:val="TableParagraph"/>
              <w:jc w:val="left"/>
              <w:rPr>
                <w:sz w:val="16"/>
              </w:rPr>
            </w:pPr>
          </w:p>
          <w:p>
            <w:pPr>
              <w:pStyle w:val="TableParagraph"/>
              <w:jc w:val="left"/>
              <w:rPr>
                <w:sz w:val="16"/>
              </w:rPr>
            </w:pPr>
          </w:p>
          <w:p>
            <w:pPr>
              <w:pStyle w:val="TableParagraph"/>
              <w:spacing w:before="2"/>
              <w:jc w:val="left"/>
              <w:rPr>
                <w:sz w:val="23"/>
              </w:rPr>
            </w:pPr>
          </w:p>
          <w:p>
            <w:pPr>
              <w:pStyle w:val="TableParagraph"/>
              <w:ind w:right="28"/>
              <w:rPr>
                <w:sz w:val="16"/>
              </w:rPr>
            </w:pPr>
            <w:r>
              <w:rPr>
                <w:sz w:val="16"/>
              </w:rPr>
              <w:t>(56,184)</w:t>
            </w:r>
          </w:p>
        </w:tc>
      </w:tr>
      <w:tr>
        <w:trPr>
          <w:trHeight w:val="241" w:hRule="exact"/>
        </w:trPr>
        <w:tc>
          <w:tcPr>
            <w:tcW w:w="2161" w:type="dxa"/>
          </w:tcPr>
          <w:p>
            <w:pPr>
              <w:pStyle w:val="TableParagraph"/>
              <w:spacing w:before="22"/>
              <w:ind w:left="35"/>
              <w:jc w:val="left"/>
              <w:rPr>
                <w:sz w:val="16"/>
              </w:rPr>
            </w:pPr>
            <w:r>
              <w:rPr>
                <w:sz w:val="16"/>
              </w:rPr>
              <w:t>Trade and other payables</w:t>
            </w:r>
          </w:p>
        </w:tc>
        <w:tc>
          <w:tcPr>
            <w:tcW w:w="1489" w:type="dxa"/>
            <w:tcBorders>
              <w:bottom w:val="single" w:sz="1" w:space="0" w:color="000000"/>
            </w:tcBorders>
          </w:tcPr>
          <w:p>
            <w:pPr>
              <w:pStyle w:val="TableParagraph"/>
              <w:spacing w:before="20"/>
              <w:ind w:right="97"/>
              <w:rPr>
                <w:sz w:val="16"/>
              </w:rPr>
            </w:pPr>
            <w:r>
              <w:rPr>
                <w:sz w:val="16"/>
              </w:rPr>
              <w:t>1,446,162</w:t>
            </w:r>
          </w:p>
        </w:tc>
        <w:tc>
          <w:tcPr>
            <w:tcW w:w="1688" w:type="dxa"/>
            <w:tcBorders>
              <w:bottom w:val="single" w:sz="1" w:space="0" w:color="000000"/>
            </w:tcBorders>
          </w:tcPr>
          <w:p>
            <w:pPr>
              <w:pStyle w:val="TableParagraph"/>
              <w:spacing w:before="20"/>
              <w:ind w:right="312"/>
              <w:rPr>
                <w:sz w:val="16"/>
              </w:rPr>
            </w:pPr>
            <w:r>
              <w:rPr>
                <w:sz w:val="16"/>
              </w:rPr>
              <w:t>14,461</w:t>
            </w:r>
          </w:p>
        </w:tc>
        <w:tc>
          <w:tcPr>
            <w:tcW w:w="1285" w:type="dxa"/>
            <w:tcBorders>
              <w:bottom w:val="single" w:sz="1" w:space="0" w:color="000000"/>
            </w:tcBorders>
          </w:tcPr>
          <w:p>
            <w:pPr>
              <w:pStyle w:val="TableParagraph"/>
              <w:spacing w:before="20"/>
              <w:ind w:right="123"/>
              <w:rPr>
                <w:sz w:val="16"/>
              </w:rPr>
            </w:pPr>
            <w:r>
              <w:rPr>
                <w:sz w:val="16"/>
              </w:rPr>
              <w:t>14,461</w:t>
            </w:r>
          </w:p>
        </w:tc>
        <w:tc>
          <w:tcPr>
            <w:tcW w:w="1662" w:type="dxa"/>
            <w:tcBorders>
              <w:bottom w:val="single" w:sz="1" w:space="0" w:color="000000"/>
            </w:tcBorders>
          </w:tcPr>
          <w:p>
            <w:pPr>
              <w:pStyle w:val="TableParagraph"/>
              <w:spacing w:before="20"/>
              <w:ind w:right="259"/>
              <w:rPr>
                <w:sz w:val="16"/>
              </w:rPr>
            </w:pPr>
            <w:r>
              <w:rPr>
                <w:sz w:val="16"/>
              </w:rPr>
              <w:t>(14,461)</w:t>
            </w:r>
          </w:p>
        </w:tc>
        <w:tc>
          <w:tcPr>
            <w:tcW w:w="1243" w:type="dxa"/>
            <w:tcBorders>
              <w:bottom w:val="single" w:sz="1" w:space="0" w:color="000000"/>
            </w:tcBorders>
          </w:tcPr>
          <w:p>
            <w:pPr>
              <w:pStyle w:val="TableParagraph"/>
              <w:spacing w:before="20"/>
              <w:ind w:right="28"/>
              <w:rPr>
                <w:sz w:val="16"/>
              </w:rPr>
            </w:pPr>
            <w:r>
              <w:rPr>
                <w:sz w:val="16"/>
              </w:rPr>
              <w:t>(14,461)</w:t>
            </w:r>
          </w:p>
        </w:tc>
      </w:tr>
      <w:tr>
        <w:trPr>
          <w:trHeight w:val="331" w:hRule="exact"/>
        </w:trPr>
        <w:tc>
          <w:tcPr>
            <w:tcW w:w="2161" w:type="dxa"/>
          </w:tcPr>
          <w:p>
            <w:pPr/>
          </w:p>
        </w:tc>
        <w:tc>
          <w:tcPr>
            <w:tcW w:w="1489" w:type="dxa"/>
            <w:tcBorders>
              <w:top w:val="single" w:sz="1" w:space="0" w:color="000000"/>
              <w:bottom w:val="single" w:sz="1" w:space="0" w:color="000000"/>
            </w:tcBorders>
          </w:tcPr>
          <w:p>
            <w:pPr>
              <w:pStyle w:val="TableParagraph"/>
              <w:spacing w:before="123"/>
              <w:ind w:right="97"/>
              <w:rPr>
                <w:b/>
                <w:sz w:val="16"/>
              </w:rPr>
            </w:pPr>
            <w:r>
              <w:rPr>
                <w:b/>
                <w:sz w:val="16"/>
              </w:rPr>
              <w:t>10,307,025</w:t>
            </w:r>
          </w:p>
        </w:tc>
        <w:tc>
          <w:tcPr>
            <w:tcW w:w="1688" w:type="dxa"/>
            <w:tcBorders>
              <w:top w:val="single" w:sz="1" w:space="0" w:color="000000"/>
              <w:bottom w:val="single" w:sz="1" w:space="0" w:color="000000"/>
            </w:tcBorders>
          </w:tcPr>
          <w:p>
            <w:pPr>
              <w:pStyle w:val="TableParagraph"/>
              <w:spacing w:before="123"/>
              <w:ind w:right="312"/>
              <w:rPr>
                <w:b/>
                <w:sz w:val="16"/>
              </w:rPr>
            </w:pPr>
            <w:r>
              <w:rPr>
                <w:b/>
                <w:sz w:val="16"/>
              </w:rPr>
              <w:t>38,221</w:t>
            </w:r>
          </w:p>
        </w:tc>
        <w:tc>
          <w:tcPr>
            <w:tcW w:w="1285" w:type="dxa"/>
            <w:tcBorders>
              <w:top w:val="single" w:sz="1" w:space="0" w:color="000000"/>
              <w:bottom w:val="single" w:sz="1" w:space="0" w:color="000000"/>
            </w:tcBorders>
          </w:tcPr>
          <w:p>
            <w:pPr>
              <w:pStyle w:val="TableParagraph"/>
              <w:spacing w:before="123"/>
              <w:ind w:right="123"/>
              <w:rPr>
                <w:b/>
                <w:sz w:val="16"/>
              </w:rPr>
            </w:pPr>
            <w:r>
              <w:rPr>
                <w:b/>
                <w:sz w:val="16"/>
              </w:rPr>
              <w:t>38,221</w:t>
            </w:r>
          </w:p>
        </w:tc>
        <w:tc>
          <w:tcPr>
            <w:tcW w:w="1662" w:type="dxa"/>
            <w:tcBorders>
              <w:top w:val="single" w:sz="1" w:space="0" w:color="000000"/>
              <w:bottom w:val="single" w:sz="1" w:space="0" w:color="000000"/>
            </w:tcBorders>
          </w:tcPr>
          <w:p>
            <w:pPr>
              <w:pStyle w:val="TableParagraph"/>
              <w:spacing w:before="123"/>
              <w:ind w:right="259"/>
              <w:rPr>
                <w:b/>
                <w:sz w:val="16"/>
              </w:rPr>
            </w:pPr>
            <w:r>
              <w:rPr>
                <w:b/>
                <w:sz w:val="16"/>
              </w:rPr>
              <w:t>(38,221)</w:t>
            </w:r>
          </w:p>
        </w:tc>
        <w:tc>
          <w:tcPr>
            <w:tcW w:w="1243" w:type="dxa"/>
            <w:tcBorders>
              <w:top w:val="single" w:sz="1" w:space="0" w:color="000000"/>
              <w:bottom w:val="single" w:sz="1" w:space="0" w:color="000000"/>
            </w:tcBorders>
          </w:tcPr>
          <w:p>
            <w:pPr>
              <w:pStyle w:val="TableParagraph"/>
              <w:spacing w:before="123"/>
              <w:ind w:right="28"/>
              <w:rPr>
                <w:b/>
                <w:sz w:val="16"/>
              </w:rPr>
            </w:pPr>
            <w:r>
              <w:rPr>
                <w:b/>
                <w:sz w:val="16"/>
              </w:rPr>
              <w:t>(38,221)</w:t>
            </w:r>
          </w:p>
        </w:tc>
      </w:tr>
    </w:tbl>
    <w:p>
      <w:pPr>
        <w:spacing w:after="0"/>
        <w:rPr>
          <w:sz w:val="16"/>
        </w:rPr>
        <w:sectPr>
          <w:pgSz w:w="12750" w:h="17680"/>
          <w:pgMar w:header="0" w:footer="867" w:top="1880" w:bottom="1120" w:left="0" w:right="0"/>
        </w:sectPr>
      </w:pPr>
    </w:p>
    <w:p>
      <w:pPr>
        <w:pStyle w:val="BodyText"/>
        <w:spacing w:before="1"/>
        <w:rPr>
          <w:sz w:val="24"/>
        </w:rPr>
      </w:pPr>
    </w:p>
    <w:p>
      <w:pPr>
        <w:pStyle w:val="Heading4"/>
        <w:spacing w:before="65"/>
      </w:pPr>
      <w:r>
        <w:rPr/>
        <w:t>Notes to the Financial Statements</w:t>
      </w:r>
    </w:p>
    <w:p>
      <w:pPr>
        <w:pStyle w:val="Heading7"/>
        <w:spacing w:before="53"/>
      </w:pPr>
      <w:r>
        <w:rPr/>
        <w:t>For the Year Ended 31 December 2016</w:t>
      </w:r>
    </w:p>
    <w:p>
      <w:pPr>
        <w:pStyle w:val="BodyText"/>
        <w:spacing w:before="1"/>
        <w:rPr>
          <w:b/>
          <w:sz w:val="25"/>
        </w:rPr>
      </w:pPr>
    </w:p>
    <w:p>
      <w:pPr>
        <w:pStyle w:val="Heading8"/>
        <w:tabs>
          <w:tab w:pos="1823" w:val="left" w:leader="none"/>
        </w:tabs>
        <w:ind w:left="1430"/>
      </w:pPr>
      <w:r>
        <w:rPr>
          <w:b w:val="0"/>
        </w:rPr>
        <w:t>2</w:t>
        <w:tab/>
      </w:r>
      <w:r>
        <w:rPr/>
        <w:t>Financial Risk</w:t>
      </w:r>
      <w:r>
        <w:rPr>
          <w:spacing w:val="2"/>
        </w:rPr>
        <w:t> </w:t>
      </w:r>
      <w:r>
        <w:rPr/>
        <w:t>Management</w:t>
      </w:r>
    </w:p>
    <w:p>
      <w:pPr>
        <w:pStyle w:val="BodyText"/>
        <w:rPr>
          <w:b/>
          <w:sz w:val="20"/>
        </w:rPr>
      </w:pPr>
    </w:p>
    <w:p>
      <w:pPr>
        <w:pStyle w:val="BodyText"/>
        <w:spacing w:before="9"/>
        <w:rPr>
          <w:b/>
        </w:rPr>
      </w:pPr>
    </w:p>
    <w:tbl>
      <w:tblPr>
        <w:tblW w:w="0" w:type="auto"/>
        <w:jc w:val="left"/>
        <w:tblInd w:w="181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161"/>
        <w:gridCol w:w="1516"/>
        <w:gridCol w:w="1662"/>
        <w:gridCol w:w="1285"/>
        <w:gridCol w:w="1662"/>
        <w:gridCol w:w="1243"/>
      </w:tblGrid>
      <w:tr>
        <w:trPr>
          <w:trHeight w:val="546" w:hRule="exact"/>
        </w:trPr>
        <w:tc>
          <w:tcPr>
            <w:tcW w:w="2161" w:type="dxa"/>
          </w:tcPr>
          <w:p>
            <w:pPr/>
          </w:p>
        </w:tc>
        <w:tc>
          <w:tcPr>
            <w:tcW w:w="1516" w:type="dxa"/>
          </w:tcPr>
          <w:p>
            <w:pPr>
              <w:pStyle w:val="TableParagraph"/>
              <w:jc w:val="left"/>
              <w:rPr>
                <w:b/>
                <w:sz w:val="16"/>
              </w:rPr>
            </w:pPr>
          </w:p>
          <w:p>
            <w:pPr>
              <w:pStyle w:val="TableParagraph"/>
              <w:spacing w:before="10"/>
              <w:jc w:val="left"/>
              <w:rPr>
                <w:b/>
                <w:sz w:val="12"/>
              </w:rPr>
            </w:pPr>
          </w:p>
          <w:p>
            <w:pPr>
              <w:pStyle w:val="TableParagraph"/>
              <w:ind w:right="137"/>
              <w:rPr>
                <w:b/>
                <w:sz w:val="16"/>
              </w:rPr>
            </w:pPr>
            <w:r>
              <w:rPr>
                <w:b/>
                <w:sz w:val="16"/>
              </w:rPr>
              <w:t>Carrying amount</w:t>
            </w:r>
          </w:p>
        </w:tc>
        <w:tc>
          <w:tcPr>
            <w:tcW w:w="1662" w:type="dxa"/>
          </w:tcPr>
          <w:p>
            <w:pPr>
              <w:pStyle w:val="TableParagraph"/>
              <w:spacing w:before="80"/>
              <w:ind w:left="55" w:right="329"/>
              <w:jc w:val="center"/>
              <w:rPr>
                <w:b/>
                <w:sz w:val="16"/>
              </w:rPr>
            </w:pPr>
            <w:r>
              <w:rPr>
                <w:b/>
                <w:sz w:val="16"/>
              </w:rPr>
              <w:t>-1%</w:t>
            </w:r>
          </w:p>
          <w:p>
            <w:pPr>
              <w:pStyle w:val="TableParagraph"/>
              <w:spacing w:before="68"/>
              <w:ind w:left="57" w:right="329"/>
              <w:jc w:val="center"/>
              <w:rPr>
                <w:b/>
                <w:sz w:val="16"/>
              </w:rPr>
            </w:pPr>
            <w:r>
              <w:rPr>
                <w:b/>
                <w:sz w:val="16"/>
              </w:rPr>
              <w:t>Surplus/(Deficit)</w:t>
            </w:r>
          </w:p>
        </w:tc>
        <w:tc>
          <w:tcPr>
            <w:tcW w:w="1285" w:type="dxa"/>
          </w:tcPr>
          <w:p>
            <w:pPr>
              <w:pStyle w:val="TableParagraph"/>
              <w:spacing w:before="80"/>
              <w:ind w:left="237" w:right="511"/>
              <w:jc w:val="center"/>
              <w:rPr>
                <w:b/>
                <w:sz w:val="16"/>
              </w:rPr>
            </w:pPr>
            <w:r>
              <w:rPr>
                <w:b/>
                <w:sz w:val="16"/>
              </w:rPr>
              <w:t>-1%</w:t>
            </w:r>
          </w:p>
          <w:p>
            <w:pPr>
              <w:pStyle w:val="TableParagraph"/>
              <w:spacing w:before="68"/>
              <w:ind w:left="244" w:right="511"/>
              <w:jc w:val="center"/>
              <w:rPr>
                <w:b/>
                <w:sz w:val="16"/>
              </w:rPr>
            </w:pPr>
            <w:r>
              <w:rPr>
                <w:b/>
                <w:sz w:val="16"/>
              </w:rPr>
              <w:t>Equity</w:t>
            </w:r>
          </w:p>
        </w:tc>
        <w:tc>
          <w:tcPr>
            <w:tcW w:w="1662" w:type="dxa"/>
          </w:tcPr>
          <w:p>
            <w:pPr>
              <w:pStyle w:val="TableParagraph"/>
              <w:spacing w:before="80"/>
              <w:ind w:left="57" w:right="329"/>
              <w:jc w:val="center"/>
              <w:rPr>
                <w:b/>
                <w:sz w:val="16"/>
              </w:rPr>
            </w:pPr>
            <w:r>
              <w:rPr>
                <w:b/>
                <w:sz w:val="16"/>
              </w:rPr>
              <w:t>+1%</w:t>
            </w:r>
          </w:p>
          <w:p>
            <w:pPr>
              <w:pStyle w:val="TableParagraph"/>
              <w:spacing w:before="68"/>
              <w:ind w:left="57" w:right="329"/>
              <w:jc w:val="center"/>
              <w:rPr>
                <w:b/>
                <w:sz w:val="16"/>
              </w:rPr>
            </w:pPr>
            <w:r>
              <w:rPr>
                <w:b/>
                <w:sz w:val="16"/>
              </w:rPr>
              <w:t>Surplus/(Deficit)</w:t>
            </w:r>
          </w:p>
        </w:tc>
        <w:tc>
          <w:tcPr>
            <w:tcW w:w="1243" w:type="dxa"/>
          </w:tcPr>
          <w:p>
            <w:pPr>
              <w:pStyle w:val="TableParagraph"/>
              <w:spacing w:before="80"/>
              <w:ind w:left="343"/>
              <w:jc w:val="left"/>
              <w:rPr>
                <w:b/>
                <w:sz w:val="16"/>
              </w:rPr>
            </w:pPr>
            <w:r>
              <w:rPr>
                <w:b/>
                <w:sz w:val="16"/>
              </w:rPr>
              <w:t>+1%</w:t>
            </w:r>
          </w:p>
          <w:p>
            <w:pPr>
              <w:pStyle w:val="TableParagraph"/>
              <w:spacing w:before="68"/>
              <w:ind w:left="261"/>
              <w:jc w:val="left"/>
              <w:rPr>
                <w:b/>
                <w:sz w:val="16"/>
              </w:rPr>
            </w:pPr>
            <w:r>
              <w:rPr>
                <w:b/>
                <w:sz w:val="16"/>
              </w:rPr>
              <w:t>Equity</w:t>
            </w:r>
          </w:p>
        </w:tc>
      </w:tr>
      <w:tr>
        <w:trPr>
          <w:trHeight w:val="280" w:hRule="exact"/>
        </w:trPr>
        <w:tc>
          <w:tcPr>
            <w:tcW w:w="2161" w:type="dxa"/>
          </w:tcPr>
          <w:p>
            <w:pPr>
              <w:pStyle w:val="TableParagraph"/>
              <w:spacing w:before="14"/>
              <w:ind w:left="35"/>
              <w:jc w:val="left"/>
              <w:rPr>
                <w:b/>
                <w:sz w:val="16"/>
              </w:rPr>
            </w:pPr>
            <w:r>
              <w:rPr>
                <w:b/>
                <w:sz w:val="16"/>
              </w:rPr>
              <w:t>31 December 2015</w:t>
            </w:r>
          </w:p>
        </w:tc>
        <w:tc>
          <w:tcPr>
            <w:tcW w:w="1516" w:type="dxa"/>
          </w:tcPr>
          <w:p>
            <w:pPr>
              <w:pStyle w:val="TableParagraph"/>
              <w:spacing w:before="37"/>
              <w:ind w:right="44"/>
              <w:jc w:val="center"/>
              <w:rPr>
                <w:b/>
                <w:sz w:val="14"/>
              </w:rPr>
            </w:pPr>
            <w:r>
              <w:rPr>
                <w:b/>
                <w:w w:val="99"/>
                <w:sz w:val="14"/>
              </w:rPr>
              <w:t>$</w:t>
            </w:r>
          </w:p>
        </w:tc>
        <w:tc>
          <w:tcPr>
            <w:tcW w:w="1662" w:type="dxa"/>
          </w:tcPr>
          <w:p>
            <w:pPr>
              <w:pStyle w:val="TableParagraph"/>
              <w:spacing w:before="37"/>
              <w:ind w:right="276"/>
              <w:jc w:val="center"/>
              <w:rPr>
                <w:b/>
                <w:sz w:val="14"/>
              </w:rPr>
            </w:pPr>
            <w:r>
              <w:rPr>
                <w:b/>
                <w:w w:val="99"/>
                <w:sz w:val="14"/>
              </w:rPr>
              <w:t>$</w:t>
            </w:r>
          </w:p>
        </w:tc>
        <w:tc>
          <w:tcPr>
            <w:tcW w:w="1285" w:type="dxa"/>
          </w:tcPr>
          <w:p>
            <w:pPr>
              <w:pStyle w:val="TableParagraph"/>
              <w:spacing w:before="37"/>
              <w:ind w:right="274"/>
              <w:jc w:val="center"/>
              <w:rPr>
                <w:b/>
                <w:sz w:val="14"/>
              </w:rPr>
            </w:pPr>
            <w:r>
              <w:rPr>
                <w:b/>
                <w:w w:val="99"/>
                <w:sz w:val="14"/>
              </w:rPr>
              <w:t>$</w:t>
            </w:r>
          </w:p>
        </w:tc>
        <w:tc>
          <w:tcPr>
            <w:tcW w:w="1662" w:type="dxa"/>
          </w:tcPr>
          <w:p>
            <w:pPr>
              <w:pStyle w:val="TableParagraph"/>
              <w:spacing w:before="37"/>
              <w:ind w:right="274"/>
              <w:jc w:val="center"/>
              <w:rPr>
                <w:b/>
                <w:sz w:val="14"/>
              </w:rPr>
            </w:pPr>
            <w:r>
              <w:rPr>
                <w:b/>
                <w:w w:val="99"/>
                <w:sz w:val="14"/>
              </w:rPr>
              <w:t>$</w:t>
            </w:r>
          </w:p>
        </w:tc>
        <w:tc>
          <w:tcPr>
            <w:tcW w:w="1243" w:type="dxa"/>
          </w:tcPr>
          <w:p>
            <w:pPr>
              <w:pStyle w:val="TableParagraph"/>
              <w:spacing w:before="37"/>
              <w:ind w:right="232"/>
              <w:jc w:val="center"/>
              <w:rPr>
                <w:b/>
                <w:sz w:val="14"/>
              </w:rPr>
            </w:pPr>
            <w:r>
              <w:rPr>
                <w:b/>
                <w:w w:val="99"/>
                <w:sz w:val="14"/>
              </w:rPr>
              <w:t>$</w:t>
            </w:r>
          </w:p>
        </w:tc>
      </w:tr>
      <w:tr>
        <w:trPr>
          <w:trHeight w:val="501" w:hRule="exact"/>
        </w:trPr>
        <w:tc>
          <w:tcPr>
            <w:tcW w:w="2161" w:type="dxa"/>
          </w:tcPr>
          <w:p>
            <w:pPr>
              <w:pStyle w:val="TableParagraph"/>
              <w:spacing w:before="65"/>
              <w:ind w:left="35"/>
              <w:jc w:val="left"/>
              <w:rPr>
                <w:b/>
                <w:sz w:val="16"/>
              </w:rPr>
            </w:pPr>
            <w:r>
              <w:rPr>
                <w:b/>
                <w:sz w:val="16"/>
              </w:rPr>
              <w:t>Financial Assets</w:t>
            </w:r>
          </w:p>
          <w:p>
            <w:pPr>
              <w:pStyle w:val="TableParagraph"/>
              <w:spacing w:before="32"/>
              <w:ind w:left="35"/>
              <w:jc w:val="left"/>
              <w:rPr>
                <w:sz w:val="16"/>
              </w:rPr>
            </w:pPr>
            <w:r>
              <w:rPr>
                <w:sz w:val="16"/>
              </w:rPr>
              <w:t>Cash and cash equivalents</w:t>
            </w:r>
          </w:p>
        </w:tc>
        <w:tc>
          <w:tcPr>
            <w:tcW w:w="1516" w:type="dxa"/>
          </w:tcPr>
          <w:p>
            <w:pPr>
              <w:pStyle w:val="TableParagraph"/>
              <w:jc w:val="left"/>
              <w:rPr>
                <w:b/>
                <w:sz w:val="16"/>
              </w:rPr>
            </w:pPr>
          </w:p>
          <w:p>
            <w:pPr>
              <w:pStyle w:val="TableParagraph"/>
              <w:spacing w:before="94"/>
              <w:ind w:right="125"/>
              <w:rPr>
                <w:sz w:val="16"/>
              </w:rPr>
            </w:pPr>
            <w:r>
              <w:rPr>
                <w:sz w:val="16"/>
              </w:rPr>
              <w:t>502,541</w:t>
            </w:r>
          </w:p>
        </w:tc>
        <w:tc>
          <w:tcPr>
            <w:tcW w:w="1662" w:type="dxa"/>
          </w:tcPr>
          <w:p>
            <w:pPr>
              <w:pStyle w:val="TableParagraph"/>
              <w:jc w:val="left"/>
              <w:rPr>
                <w:b/>
                <w:sz w:val="16"/>
              </w:rPr>
            </w:pPr>
          </w:p>
          <w:p>
            <w:pPr>
              <w:pStyle w:val="TableParagraph"/>
              <w:spacing w:before="94"/>
              <w:ind w:right="259"/>
              <w:rPr>
                <w:sz w:val="16"/>
              </w:rPr>
            </w:pPr>
            <w:r>
              <w:rPr>
                <w:sz w:val="16"/>
              </w:rPr>
              <w:t>(5,025)</w:t>
            </w:r>
          </w:p>
        </w:tc>
        <w:tc>
          <w:tcPr>
            <w:tcW w:w="1285" w:type="dxa"/>
          </w:tcPr>
          <w:p>
            <w:pPr>
              <w:pStyle w:val="TableParagraph"/>
              <w:jc w:val="left"/>
              <w:rPr>
                <w:b/>
                <w:sz w:val="16"/>
              </w:rPr>
            </w:pPr>
          </w:p>
          <w:p>
            <w:pPr>
              <w:pStyle w:val="TableParagraph"/>
              <w:spacing w:before="94"/>
              <w:ind w:right="71"/>
              <w:rPr>
                <w:sz w:val="16"/>
              </w:rPr>
            </w:pPr>
            <w:r>
              <w:rPr>
                <w:sz w:val="16"/>
              </w:rPr>
              <w:t>(5,025)</w:t>
            </w:r>
          </w:p>
        </w:tc>
        <w:tc>
          <w:tcPr>
            <w:tcW w:w="1662" w:type="dxa"/>
          </w:tcPr>
          <w:p>
            <w:pPr>
              <w:pStyle w:val="TableParagraph"/>
              <w:jc w:val="left"/>
              <w:rPr>
                <w:b/>
                <w:sz w:val="16"/>
              </w:rPr>
            </w:pPr>
          </w:p>
          <w:p>
            <w:pPr>
              <w:pStyle w:val="TableParagraph"/>
              <w:spacing w:before="94"/>
              <w:ind w:right="312"/>
              <w:rPr>
                <w:sz w:val="16"/>
              </w:rPr>
            </w:pPr>
            <w:r>
              <w:rPr>
                <w:sz w:val="16"/>
              </w:rPr>
              <w:t>5,025</w:t>
            </w:r>
          </w:p>
        </w:tc>
        <w:tc>
          <w:tcPr>
            <w:tcW w:w="1243" w:type="dxa"/>
          </w:tcPr>
          <w:p>
            <w:pPr>
              <w:pStyle w:val="TableParagraph"/>
              <w:jc w:val="left"/>
              <w:rPr>
                <w:b/>
                <w:sz w:val="16"/>
              </w:rPr>
            </w:pPr>
          </w:p>
          <w:p>
            <w:pPr>
              <w:pStyle w:val="TableParagraph"/>
              <w:spacing w:before="94"/>
              <w:ind w:right="81"/>
              <w:rPr>
                <w:sz w:val="16"/>
              </w:rPr>
            </w:pPr>
            <w:r>
              <w:rPr>
                <w:sz w:val="16"/>
              </w:rPr>
              <w:t>5,025</w:t>
            </w:r>
          </w:p>
        </w:tc>
      </w:tr>
      <w:tr>
        <w:trPr>
          <w:trHeight w:val="241" w:hRule="exact"/>
        </w:trPr>
        <w:tc>
          <w:tcPr>
            <w:tcW w:w="2161" w:type="dxa"/>
          </w:tcPr>
          <w:p>
            <w:pPr>
              <w:pStyle w:val="TableParagraph"/>
              <w:spacing w:before="22"/>
              <w:ind w:left="35"/>
              <w:jc w:val="left"/>
              <w:rPr>
                <w:sz w:val="16"/>
              </w:rPr>
            </w:pPr>
            <w:r>
              <w:rPr>
                <w:sz w:val="16"/>
              </w:rPr>
              <w:t>Receivables</w:t>
            </w:r>
          </w:p>
        </w:tc>
        <w:tc>
          <w:tcPr>
            <w:tcW w:w="1516" w:type="dxa"/>
            <w:tcBorders>
              <w:bottom w:val="single" w:sz="1" w:space="0" w:color="000000"/>
            </w:tcBorders>
          </w:tcPr>
          <w:p>
            <w:pPr>
              <w:pStyle w:val="TableParagraph"/>
              <w:spacing w:before="20"/>
              <w:ind w:right="123"/>
              <w:rPr>
                <w:sz w:val="16"/>
              </w:rPr>
            </w:pPr>
            <w:r>
              <w:rPr>
                <w:sz w:val="16"/>
              </w:rPr>
              <w:t>1,131,602</w:t>
            </w:r>
          </w:p>
        </w:tc>
        <w:tc>
          <w:tcPr>
            <w:tcW w:w="1662" w:type="dxa"/>
            <w:tcBorders>
              <w:bottom w:val="single" w:sz="1" w:space="0" w:color="000000"/>
            </w:tcBorders>
          </w:tcPr>
          <w:p>
            <w:pPr>
              <w:pStyle w:val="TableParagraph"/>
              <w:spacing w:before="20"/>
              <w:ind w:right="259"/>
              <w:rPr>
                <w:sz w:val="16"/>
              </w:rPr>
            </w:pPr>
            <w:r>
              <w:rPr>
                <w:sz w:val="16"/>
              </w:rPr>
              <w:t>(11,316)</w:t>
            </w:r>
          </w:p>
        </w:tc>
        <w:tc>
          <w:tcPr>
            <w:tcW w:w="1285" w:type="dxa"/>
            <w:tcBorders>
              <w:bottom w:val="single" w:sz="1" w:space="0" w:color="000000"/>
            </w:tcBorders>
          </w:tcPr>
          <w:p>
            <w:pPr>
              <w:pStyle w:val="TableParagraph"/>
              <w:spacing w:before="20"/>
              <w:ind w:right="71"/>
              <w:rPr>
                <w:sz w:val="16"/>
              </w:rPr>
            </w:pPr>
            <w:r>
              <w:rPr>
                <w:sz w:val="16"/>
              </w:rPr>
              <w:t>(11,316)</w:t>
            </w:r>
          </w:p>
        </w:tc>
        <w:tc>
          <w:tcPr>
            <w:tcW w:w="1662" w:type="dxa"/>
            <w:tcBorders>
              <w:bottom w:val="single" w:sz="1" w:space="0" w:color="000000"/>
            </w:tcBorders>
          </w:tcPr>
          <w:p>
            <w:pPr>
              <w:pStyle w:val="TableParagraph"/>
              <w:spacing w:before="20"/>
              <w:ind w:right="312"/>
              <w:rPr>
                <w:sz w:val="16"/>
              </w:rPr>
            </w:pPr>
            <w:r>
              <w:rPr>
                <w:sz w:val="16"/>
              </w:rPr>
              <w:t>11,316</w:t>
            </w:r>
          </w:p>
        </w:tc>
        <w:tc>
          <w:tcPr>
            <w:tcW w:w="1243" w:type="dxa"/>
            <w:tcBorders>
              <w:bottom w:val="single" w:sz="1" w:space="0" w:color="000000"/>
            </w:tcBorders>
          </w:tcPr>
          <w:p>
            <w:pPr>
              <w:pStyle w:val="TableParagraph"/>
              <w:spacing w:before="20"/>
              <w:ind w:right="81"/>
              <w:rPr>
                <w:sz w:val="16"/>
              </w:rPr>
            </w:pPr>
            <w:r>
              <w:rPr>
                <w:sz w:val="16"/>
              </w:rPr>
              <w:t>11,316</w:t>
            </w:r>
          </w:p>
        </w:tc>
      </w:tr>
      <w:tr>
        <w:trPr>
          <w:trHeight w:val="561" w:hRule="exact"/>
        </w:trPr>
        <w:tc>
          <w:tcPr>
            <w:tcW w:w="2161" w:type="dxa"/>
          </w:tcPr>
          <w:p>
            <w:pPr>
              <w:pStyle w:val="TableParagraph"/>
              <w:spacing w:before="124"/>
              <w:ind w:left="35"/>
              <w:jc w:val="left"/>
              <w:rPr>
                <w:b/>
                <w:sz w:val="16"/>
              </w:rPr>
            </w:pPr>
            <w:r>
              <w:rPr>
                <w:b/>
                <w:sz w:val="16"/>
              </w:rPr>
              <w:t>Financial Liabilities</w:t>
            </w:r>
          </w:p>
          <w:p>
            <w:pPr>
              <w:pStyle w:val="TableParagraph"/>
              <w:spacing w:before="32"/>
              <w:ind w:left="35"/>
              <w:jc w:val="left"/>
              <w:rPr>
                <w:sz w:val="16"/>
              </w:rPr>
            </w:pPr>
            <w:r>
              <w:rPr>
                <w:sz w:val="16"/>
              </w:rPr>
              <w:t>Borrowings</w:t>
            </w:r>
          </w:p>
        </w:tc>
        <w:tc>
          <w:tcPr>
            <w:tcW w:w="1516" w:type="dxa"/>
            <w:tcBorders>
              <w:top w:val="single" w:sz="1" w:space="0" w:color="000000"/>
            </w:tcBorders>
          </w:tcPr>
          <w:p>
            <w:pPr>
              <w:pStyle w:val="TableParagraph"/>
              <w:jc w:val="left"/>
              <w:rPr>
                <w:b/>
                <w:sz w:val="16"/>
              </w:rPr>
            </w:pPr>
          </w:p>
          <w:p>
            <w:pPr>
              <w:pStyle w:val="TableParagraph"/>
              <w:spacing w:before="3"/>
              <w:jc w:val="left"/>
              <w:rPr>
                <w:b/>
                <w:sz w:val="13"/>
              </w:rPr>
            </w:pPr>
          </w:p>
          <w:p>
            <w:pPr>
              <w:pStyle w:val="TableParagraph"/>
              <w:ind w:right="72"/>
              <w:rPr>
                <w:sz w:val="16"/>
              </w:rPr>
            </w:pPr>
            <w:r>
              <w:rPr>
                <w:sz w:val="16"/>
              </w:rPr>
              <w:t>(5,010,493)</w:t>
            </w:r>
          </w:p>
        </w:tc>
        <w:tc>
          <w:tcPr>
            <w:tcW w:w="1662" w:type="dxa"/>
            <w:tcBorders>
              <w:top w:val="single" w:sz="1" w:space="0" w:color="000000"/>
            </w:tcBorders>
          </w:tcPr>
          <w:p>
            <w:pPr>
              <w:pStyle w:val="TableParagraph"/>
              <w:jc w:val="left"/>
              <w:rPr>
                <w:b/>
                <w:sz w:val="16"/>
              </w:rPr>
            </w:pPr>
          </w:p>
          <w:p>
            <w:pPr>
              <w:pStyle w:val="TableParagraph"/>
              <w:spacing w:before="3"/>
              <w:jc w:val="left"/>
              <w:rPr>
                <w:b/>
                <w:sz w:val="13"/>
              </w:rPr>
            </w:pPr>
          </w:p>
          <w:p>
            <w:pPr>
              <w:pStyle w:val="TableParagraph"/>
              <w:ind w:right="312"/>
              <w:rPr>
                <w:sz w:val="16"/>
              </w:rPr>
            </w:pPr>
            <w:r>
              <w:rPr>
                <w:sz w:val="16"/>
              </w:rPr>
              <w:t>50,105</w:t>
            </w:r>
          </w:p>
        </w:tc>
        <w:tc>
          <w:tcPr>
            <w:tcW w:w="1285" w:type="dxa"/>
            <w:tcBorders>
              <w:top w:val="single" w:sz="1" w:space="0" w:color="000000"/>
            </w:tcBorders>
          </w:tcPr>
          <w:p>
            <w:pPr>
              <w:pStyle w:val="TableParagraph"/>
              <w:jc w:val="left"/>
              <w:rPr>
                <w:b/>
                <w:sz w:val="16"/>
              </w:rPr>
            </w:pPr>
          </w:p>
          <w:p>
            <w:pPr>
              <w:pStyle w:val="TableParagraph"/>
              <w:spacing w:before="3"/>
              <w:jc w:val="left"/>
              <w:rPr>
                <w:b/>
                <w:sz w:val="13"/>
              </w:rPr>
            </w:pPr>
          </w:p>
          <w:p>
            <w:pPr>
              <w:pStyle w:val="TableParagraph"/>
              <w:ind w:right="123"/>
              <w:rPr>
                <w:sz w:val="16"/>
              </w:rPr>
            </w:pPr>
            <w:r>
              <w:rPr>
                <w:sz w:val="16"/>
              </w:rPr>
              <w:t>50,105</w:t>
            </w:r>
          </w:p>
        </w:tc>
        <w:tc>
          <w:tcPr>
            <w:tcW w:w="1662" w:type="dxa"/>
            <w:tcBorders>
              <w:top w:val="single" w:sz="1" w:space="0" w:color="000000"/>
            </w:tcBorders>
          </w:tcPr>
          <w:p>
            <w:pPr>
              <w:pStyle w:val="TableParagraph"/>
              <w:jc w:val="left"/>
              <w:rPr>
                <w:b/>
                <w:sz w:val="16"/>
              </w:rPr>
            </w:pPr>
          </w:p>
          <w:p>
            <w:pPr>
              <w:pStyle w:val="TableParagraph"/>
              <w:spacing w:before="3"/>
              <w:jc w:val="left"/>
              <w:rPr>
                <w:b/>
                <w:sz w:val="13"/>
              </w:rPr>
            </w:pPr>
          </w:p>
          <w:p>
            <w:pPr>
              <w:pStyle w:val="TableParagraph"/>
              <w:ind w:right="259"/>
              <w:rPr>
                <w:sz w:val="16"/>
              </w:rPr>
            </w:pPr>
            <w:r>
              <w:rPr>
                <w:sz w:val="16"/>
              </w:rPr>
              <w:t>(50,105)</w:t>
            </w:r>
          </w:p>
        </w:tc>
        <w:tc>
          <w:tcPr>
            <w:tcW w:w="1243" w:type="dxa"/>
            <w:tcBorders>
              <w:top w:val="single" w:sz="1" w:space="0" w:color="000000"/>
            </w:tcBorders>
          </w:tcPr>
          <w:p>
            <w:pPr>
              <w:pStyle w:val="TableParagraph"/>
              <w:jc w:val="left"/>
              <w:rPr>
                <w:b/>
                <w:sz w:val="16"/>
              </w:rPr>
            </w:pPr>
          </w:p>
          <w:p>
            <w:pPr>
              <w:pStyle w:val="TableParagraph"/>
              <w:spacing w:before="3"/>
              <w:jc w:val="left"/>
              <w:rPr>
                <w:b/>
                <w:sz w:val="13"/>
              </w:rPr>
            </w:pPr>
          </w:p>
          <w:p>
            <w:pPr>
              <w:pStyle w:val="TableParagraph"/>
              <w:ind w:right="28"/>
              <w:rPr>
                <w:sz w:val="16"/>
              </w:rPr>
            </w:pPr>
            <w:r>
              <w:rPr>
                <w:sz w:val="16"/>
              </w:rPr>
              <w:t>(50,105)</w:t>
            </w:r>
          </w:p>
        </w:tc>
      </w:tr>
      <w:tr>
        <w:trPr>
          <w:trHeight w:val="241" w:hRule="exact"/>
        </w:trPr>
        <w:tc>
          <w:tcPr>
            <w:tcW w:w="2161" w:type="dxa"/>
          </w:tcPr>
          <w:p>
            <w:pPr>
              <w:pStyle w:val="TableParagraph"/>
              <w:spacing w:before="22"/>
              <w:ind w:left="35"/>
              <w:jc w:val="left"/>
              <w:rPr>
                <w:sz w:val="16"/>
              </w:rPr>
            </w:pPr>
            <w:r>
              <w:rPr>
                <w:sz w:val="16"/>
              </w:rPr>
              <w:t>Trade and other payables</w:t>
            </w:r>
          </w:p>
        </w:tc>
        <w:tc>
          <w:tcPr>
            <w:tcW w:w="1516" w:type="dxa"/>
            <w:tcBorders>
              <w:bottom w:val="single" w:sz="1" w:space="0" w:color="000000"/>
            </w:tcBorders>
          </w:tcPr>
          <w:p>
            <w:pPr>
              <w:pStyle w:val="TableParagraph"/>
              <w:spacing w:before="20"/>
              <w:ind w:right="72"/>
              <w:rPr>
                <w:sz w:val="16"/>
              </w:rPr>
            </w:pPr>
            <w:r>
              <w:rPr>
                <w:sz w:val="16"/>
              </w:rPr>
              <w:t>(1,856,084)</w:t>
            </w:r>
          </w:p>
        </w:tc>
        <w:tc>
          <w:tcPr>
            <w:tcW w:w="1662" w:type="dxa"/>
            <w:tcBorders>
              <w:bottom w:val="single" w:sz="1" w:space="0" w:color="000000"/>
            </w:tcBorders>
          </w:tcPr>
          <w:p>
            <w:pPr>
              <w:pStyle w:val="TableParagraph"/>
              <w:spacing w:before="20"/>
              <w:ind w:right="312"/>
              <w:rPr>
                <w:sz w:val="16"/>
              </w:rPr>
            </w:pPr>
            <w:r>
              <w:rPr>
                <w:sz w:val="16"/>
              </w:rPr>
              <w:t>18,561</w:t>
            </w:r>
          </w:p>
        </w:tc>
        <w:tc>
          <w:tcPr>
            <w:tcW w:w="1285" w:type="dxa"/>
            <w:tcBorders>
              <w:bottom w:val="single" w:sz="1" w:space="0" w:color="000000"/>
            </w:tcBorders>
          </w:tcPr>
          <w:p>
            <w:pPr>
              <w:pStyle w:val="TableParagraph"/>
              <w:spacing w:before="20"/>
              <w:ind w:right="123"/>
              <w:rPr>
                <w:sz w:val="16"/>
              </w:rPr>
            </w:pPr>
            <w:r>
              <w:rPr>
                <w:sz w:val="16"/>
              </w:rPr>
              <w:t>18,561</w:t>
            </w:r>
          </w:p>
        </w:tc>
        <w:tc>
          <w:tcPr>
            <w:tcW w:w="1662" w:type="dxa"/>
            <w:tcBorders>
              <w:bottom w:val="single" w:sz="1" w:space="0" w:color="000000"/>
            </w:tcBorders>
          </w:tcPr>
          <w:p>
            <w:pPr>
              <w:pStyle w:val="TableParagraph"/>
              <w:spacing w:before="20"/>
              <w:ind w:right="259"/>
              <w:rPr>
                <w:sz w:val="16"/>
              </w:rPr>
            </w:pPr>
            <w:r>
              <w:rPr>
                <w:sz w:val="16"/>
              </w:rPr>
              <w:t>(18,561)</w:t>
            </w:r>
          </w:p>
        </w:tc>
        <w:tc>
          <w:tcPr>
            <w:tcW w:w="1243" w:type="dxa"/>
            <w:tcBorders>
              <w:bottom w:val="single" w:sz="1" w:space="0" w:color="000000"/>
            </w:tcBorders>
          </w:tcPr>
          <w:p>
            <w:pPr>
              <w:pStyle w:val="TableParagraph"/>
              <w:spacing w:before="20"/>
              <w:ind w:right="28"/>
              <w:rPr>
                <w:sz w:val="16"/>
              </w:rPr>
            </w:pPr>
            <w:r>
              <w:rPr>
                <w:sz w:val="16"/>
              </w:rPr>
              <w:t>(18,561)</w:t>
            </w:r>
          </w:p>
        </w:tc>
      </w:tr>
      <w:tr>
        <w:trPr>
          <w:trHeight w:val="331" w:hRule="exact"/>
        </w:trPr>
        <w:tc>
          <w:tcPr>
            <w:tcW w:w="2161" w:type="dxa"/>
          </w:tcPr>
          <w:p>
            <w:pPr/>
          </w:p>
        </w:tc>
        <w:tc>
          <w:tcPr>
            <w:tcW w:w="1516" w:type="dxa"/>
            <w:tcBorders>
              <w:top w:val="single" w:sz="1" w:space="0" w:color="000000"/>
              <w:bottom w:val="single" w:sz="1" w:space="0" w:color="000000"/>
            </w:tcBorders>
          </w:tcPr>
          <w:p>
            <w:pPr>
              <w:pStyle w:val="TableParagraph"/>
              <w:spacing w:before="123"/>
              <w:ind w:right="72"/>
              <w:rPr>
                <w:b/>
                <w:sz w:val="16"/>
              </w:rPr>
            </w:pPr>
            <w:r>
              <w:rPr>
                <w:b/>
                <w:sz w:val="16"/>
              </w:rPr>
              <w:t>(5,232,434)</w:t>
            </w:r>
          </w:p>
        </w:tc>
        <w:tc>
          <w:tcPr>
            <w:tcW w:w="1662" w:type="dxa"/>
            <w:tcBorders>
              <w:top w:val="single" w:sz="1" w:space="0" w:color="000000"/>
              <w:bottom w:val="single" w:sz="1" w:space="0" w:color="000000"/>
            </w:tcBorders>
          </w:tcPr>
          <w:p>
            <w:pPr>
              <w:pStyle w:val="TableParagraph"/>
              <w:spacing w:before="123"/>
              <w:ind w:right="312"/>
              <w:rPr>
                <w:b/>
                <w:sz w:val="16"/>
              </w:rPr>
            </w:pPr>
            <w:r>
              <w:rPr>
                <w:b/>
                <w:sz w:val="16"/>
              </w:rPr>
              <w:t>52,325</w:t>
            </w:r>
          </w:p>
        </w:tc>
        <w:tc>
          <w:tcPr>
            <w:tcW w:w="1285" w:type="dxa"/>
            <w:tcBorders>
              <w:top w:val="single" w:sz="1" w:space="0" w:color="000000"/>
              <w:bottom w:val="single" w:sz="1" w:space="0" w:color="000000"/>
            </w:tcBorders>
          </w:tcPr>
          <w:p>
            <w:pPr>
              <w:pStyle w:val="TableParagraph"/>
              <w:spacing w:before="123"/>
              <w:ind w:right="123"/>
              <w:rPr>
                <w:b/>
                <w:sz w:val="16"/>
              </w:rPr>
            </w:pPr>
            <w:r>
              <w:rPr>
                <w:b/>
                <w:sz w:val="16"/>
              </w:rPr>
              <w:t>52,325</w:t>
            </w:r>
          </w:p>
        </w:tc>
        <w:tc>
          <w:tcPr>
            <w:tcW w:w="1662" w:type="dxa"/>
            <w:tcBorders>
              <w:top w:val="single" w:sz="1" w:space="0" w:color="000000"/>
              <w:bottom w:val="single" w:sz="1" w:space="0" w:color="000000"/>
            </w:tcBorders>
          </w:tcPr>
          <w:p>
            <w:pPr>
              <w:pStyle w:val="TableParagraph"/>
              <w:spacing w:before="123"/>
              <w:ind w:right="259"/>
              <w:rPr>
                <w:b/>
                <w:sz w:val="16"/>
              </w:rPr>
            </w:pPr>
            <w:r>
              <w:rPr>
                <w:b/>
                <w:sz w:val="16"/>
              </w:rPr>
              <w:t>(52,325)</w:t>
            </w:r>
          </w:p>
        </w:tc>
        <w:tc>
          <w:tcPr>
            <w:tcW w:w="1243" w:type="dxa"/>
            <w:tcBorders>
              <w:top w:val="single" w:sz="1" w:space="0" w:color="000000"/>
              <w:bottom w:val="single" w:sz="1" w:space="0" w:color="000000"/>
            </w:tcBorders>
          </w:tcPr>
          <w:p>
            <w:pPr>
              <w:pStyle w:val="TableParagraph"/>
              <w:spacing w:before="123"/>
              <w:ind w:right="28"/>
              <w:rPr>
                <w:b/>
                <w:sz w:val="16"/>
              </w:rPr>
            </w:pPr>
            <w:r>
              <w:rPr>
                <w:b/>
                <w:sz w:val="16"/>
              </w:rPr>
              <w:t>(52,325)</w:t>
            </w:r>
          </w:p>
        </w:tc>
      </w:tr>
    </w:tbl>
    <w:p>
      <w:pPr>
        <w:pStyle w:val="BodyText"/>
        <w:spacing w:before="1"/>
        <w:rPr>
          <w:b/>
          <w:sz w:val="22"/>
        </w:rPr>
      </w:pPr>
    </w:p>
    <w:p>
      <w:pPr>
        <w:pStyle w:val="ListParagraph"/>
        <w:numPr>
          <w:ilvl w:val="0"/>
          <w:numId w:val="61"/>
        </w:numPr>
        <w:tabs>
          <w:tab w:pos="2391" w:val="left" w:leader="none"/>
        </w:tabs>
        <w:spacing w:line="240" w:lineRule="auto" w:before="77" w:after="0"/>
        <w:ind w:left="2390" w:right="0" w:hanging="566"/>
        <w:jc w:val="left"/>
        <w:rPr>
          <w:b/>
          <w:sz w:val="18"/>
        </w:rPr>
      </w:pPr>
      <w:r>
        <w:rPr>
          <w:b/>
          <w:sz w:val="18"/>
        </w:rPr>
        <w:t>Credit</w:t>
      </w:r>
      <w:r>
        <w:rPr>
          <w:b/>
          <w:spacing w:val="-1"/>
          <w:sz w:val="18"/>
        </w:rPr>
        <w:t> </w:t>
      </w:r>
      <w:r>
        <w:rPr>
          <w:b/>
          <w:sz w:val="18"/>
        </w:rPr>
        <w:t>risk</w:t>
      </w:r>
    </w:p>
    <w:p>
      <w:pPr>
        <w:pStyle w:val="BodyText"/>
        <w:spacing w:before="4"/>
        <w:rPr>
          <w:b/>
          <w:sz w:val="25"/>
        </w:rPr>
      </w:pPr>
    </w:p>
    <w:p>
      <w:pPr>
        <w:pStyle w:val="BodyText"/>
        <w:ind w:left="1824" w:right="1506"/>
      </w:pPr>
      <w:r>
        <w:rPr/>
        <w:t>The credit risk on financial assets of the Company which have been recognised on the statement of financial position is generally the carrying amount, net of provision for loss. Credit risk arises where there is a possibility of the Company's debtors defaulting on their contractual obligation, resulting in financial loss to the Company. The Company does not have any significant exposure to any unrelated</w:t>
      </w:r>
      <w:r>
        <w:rPr>
          <w:spacing w:val="8"/>
        </w:rPr>
        <w:t> </w:t>
      </w:r>
      <w:r>
        <w:rPr/>
        <w:t>customer.</w:t>
      </w:r>
    </w:p>
    <w:p>
      <w:pPr>
        <w:pStyle w:val="BodyText"/>
        <w:spacing w:before="7"/>
        <w:rPr>
          <w:sz w:val="26"/>
        </w:rPr>
      </w:pPr>
    </w:p>
    <w:p>
      <w:pPr>
        <w:pStyle w:val="Heading8"/>
        <w:numPr>
          <w:ilvl w:val="0"/>
          <w:numId w:val="61"/>
        </w:numPr>
        <w:tabs>
          <w:tab w:pos="2391" w:val="left" w:leader="none"/>
        </w:tabs>
        <w:spacing w:line="240" w:lineRule="auto" w:before="0" w:after="0"/>
        <w:ind w:left="2390" w:right="0" w:hanging="566"/>
        <w:jc w:val="left"/>
      </w:pPr>
      <w:r>
        <w:rPr/>
        <w:drawing>
          <wp:anchor distT="0" distB="0" distL="0" distR="0" allowOverlap="1" layoutInCell="1" locked="0" behindDoc="0" simplePos="0" relativeHeight="10624">
            <wp:simplePos x="0" y="0"/>
            <wp:positionH relativeFrom="page">
              <wp:posOffset>-1587</wp:posOffset>
            </wp:positionH>
            <wp:positionV relativeFrom="paragraph">
              <wp:posOffset>153084</wp:posOffset>
            </wp:positionV>
            <wp:extent cx="135159" cy="154019"/>
            <wp:effectExtent l="0" t="0" r="0" b="0"/>
            <wp:wrapNone/>
            <wp:docPr id="703" name="image13.png" descr=""/>
            <wp:cNvGraphicFramePr>
              <a:graphicFrameLocks noChangeAspect="1"/>
            </wp:cNvGraphicFramePr>
            <a:graphic>
              <a:graphicData uri="http://schemas.openxmlformats.org/drawingml/2006/picture">
                <pic:pic>
                  <pic:nvPicPr>
                    <pic:cNvPr id="704" name="image13.png"/>
                    <pic:cNvPicPr/>
                  </pic:nvPicPr>
                  <pic:blipFill>
                    <a:blip r:embed="rId18" cstate="print"/>
                    <a:stretch>
                      <a:fillRect/>
                    </a:stretch>
                  </pic:blipFill>
                  <pic:spPr>
                    <a:xfrm>
                      <a:off x="0" y="0"/>
                      <a:ext cx="135159" cy="154019"/>
                    </a:xfrm>
                    <a:prstGeom prst="rect">
                      <a:avLst/>
                    </a:prstGeom>
                  </pic:spPr>
                </pic:pic>
              </a:graphicData>
            </a:graphic>
          </wp:anchor>
        </w:drawing>
      </w:r>
      <w:r>
        <w:rPr/>
        <w:drawing>
          <wp:anchor distT="0" distB="0" distL="0" distR="0" allowOverlap="1" layoutInCell="1" locked="0" behindDoc="0" simplePos="0" relativeHeight="10648">
            <wp:simplePos x="0" y="0"/>
            <wp:positionH relativeFrom="page">
              <wp:posOffset>7958429</wp:posOffset>
            </wp:positionH>
            <wp:positionV relativeFrom="paragraph">
              <wp:posOffset>153084</wp:posOffset>
            </wp:positionV>
            <wp:extent cx="135953" cy="155575"/>
            <wp:effectExtent l="0" t="0" r="0" b="0"/>
            <wp:wrapNone/>
            <wp:docPr id="705" name="image15.png" descr=""/>
            <wp:cNvGraphicFramePr>
              <a:graphicFrameLocks noChangeAspect="1"/>
            </wp:cNvGraphicFramePr>
            <a:graphic>
              <a:graphicData uri="http://schemas.openxmlformats.org/drawingml/2006/picture">
                <pic:pic>
                  <pic:nvPicPr>
                    <pic:cNvPr id="706" name="image15.png"/>
                    <pic:cNvPicPr/>
                  </pic:nvPicPr>
                  <pic:blipFill>
                    <a:blip r:embed="rId20" cstate="print"/>
                    <a:stretch>
                      <a:fillRect/>
                    </a:stretch>
                  </pic:blipFill>
                  <pic:spPr>
                    <a:xfrm>
                      <a:off x="0" y="0"/>
                      <a:ext cx="135953" cy="155575"/>
                    </a:xfrm>
                    <a:prstGeom prst="rect">
                      <a:avLst/>
                    </a:prstGeom>
                  </pic:spPr>
                </pic:pic>
              </a:graphicData>
            </a:graphic>
          </wp:anchor>
        </w:drawing>
      </w:r>
      <w:r>
        <w:rPr/>
        <w:t>Liquidity</w:t>
      </w:r>
      <w:r>
        <w:rPr>
          <w:spacing w:val="-9"/>
        </w:rPr>
        <w:t> </w:t>
      </w:r>
      <w:r>
        <w:rPr/>
        <w:t>risk</w:t>
      </w:r>
    </w:p>
    <w:p>
      <w:pPr>
        <w:pStyle w:val="BodyText"/>
        <w:spacing w:before="4"/>
        <w:rPr>
          <w:b/>
          <w:sz w:val="25"/>
        </w:rPr>
      </w:pPr>
    </w:p>
    <w:p>
      <w:pPr>
        <w:pStyle w:val="BodyText"/>
        <w:ind w:left="1824" w:right="1450"/>
      </w:pPr>
      <w:r>
        <w:rPr/>
        <w:t>Prudent liquidity risk management implies maintaining sufficient cash and the availability of funding through an adequate amount of committed credit facilities to meet obligations when due.</w:t>
      </w:r>
    </w:p>
    <w:p>
      <w:pPr>
        <w:pStyle w:val="BodyText"/>
        <w:spacing w:before="11"/>
        <w:rPr>
          <w:sz w:val="24"/>
        </w:rPr>
      </w:pPr>
    </w:p>
    <w:p>
      <w:pPr>
        <w:pStyle w:val="BodyText"/>
        <w:ind w:left="1824"/>
      </w:pPr>
      <w:r>
        <w:rPr/>
        <w:t>Maturities of financial liabilities:</w:t>
      </w:r>
    </w:p>
    <w:p>
      <w:pPr>
        <w:pStyle w:val="BodyText"/>
        <w:spacing w:before="11"/>
        <w:rPr>
          <w:sz w:val="24"/>
        </w:rPr>
      </w:pPr>
    </w:p>
    <w:p>
      <w:pPr>
        <w:pStyle w:val="BodyText"/>
        <w:ind w:left="1824" w:right="1375"/>
      </w:pPr>
      <w:r>
        <w:rPr/>
        <w:t>The tables below analyse the Company's financial liabilities into relevant maturity groupings based on their contractual maturities for all non- derivative financial liabilities.</w:t>
      </w:r>
    </w:p>
    <w:p>
      <w:pPr>
        <w:pStyle w:val="BodyText"/>
        <w:spacing w:before="11"/>
        <w:rPr>
          <w:sz w:val="24"/>
        </w:rPr>
      </w:pPr>
    </w:p>
    <w:p>
      <w:pPr>
        <w:pStyle w:val="BodyText"/>
        <w:ind w:left="1824" w:right="1375"/>
      </w:pPr>
      <w:r>
        <w:rPr/>
        <w:t>The amounts disclosed in the table are the contractual undiscounted cash flows. Balances due within 12 months equal their carrying balances as the impact of discounting is not significant.</w:t>
      </w:r>
    </w:p>
    <w:p>
      <w:pPr>
        <w:pStyle w:val="BodyText"/>
        <w:spacing w:before="11"/>
        <w:rPr>
          <w:sz w:val="24"/>
        </w:rPr>
      </w:pPr>
    </w:p>
    <w:p>
      <w:pPr>
        <w:pStyle w:val="Heading8"/>
        <w:ind w:left="2392"/>
      </w:pPr>
      <w:r>
        <w:rPr/>
        <w:t>Contractual maturities of financial assets and liabilities</w:t>
      </w:r>
    </w:p>
    <w:p>
      <w:pPr>
        <w:pStyle w:val="BodyText"/>
        <w:spacing w:before="7"/>
        <w:rPr>
          <w:b/>
          <w:sz w:val="13"/>
        </w:rPr>
      </w:pPr>
    </w:p>
    <w:tbl>
      <w:tblPr>
        <w:tblW w:w="0" w:type="auto"/>
        <w:jc w:val="left"/>
        <w:tblInd w:w="235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416"/>
        <w:gridCol w:w="1159"/>
        <w:gridCol w:w="3468"/>
        <w:gridCol w:w="964"/>
        <w:gridCol w:w="827"/>
        <w:gridCol w:w="154"/>
      </w:tblGrid>
      <w:tr>
        <w:trPr>
          <w:trHeight w:val="444" w:hRule="exact"/>
        </w:trPr>
        <w:tc>
          <w:tcPr>
            <w:tcW w:w="2416" w:type="dxa"/>
          </w:tcPr>
          <w:p>
            <w:pPr/>
          </w:p>
        </w:tc>
        <w:tc>
          <w:tcPr>
            <w:tcW w:w="1159" w:type="dxa"/>
          </w:tcPr>
          <w:p>
            <w:pPr>
              <w:pStyle w:val="TableParagraph"/>
              <w:jc w:val="left"/>
              <w:rPr>
                <w:b/>
                <w:sz w:val="14"/>
              </w:rPr>
            </w:pPr>
          </w:p>
          <w:p>
            <w:pPr>
              <w:pStyle w:val="TableParagraph"/>
              <w:spacing w:before="81"/>
              <w:ind w:right="67"/>
              <w:rPr>
                <w:b/>
                <w:sz w:val="14"/>
              </w:rPr>
            </w:pPr>
            <w:r>
              <w:rPr>
                <w:b/>
                <w:sz w:val="14"/>
              </w:rPr>
              <w:t>Less than 1</w:t>
            </w:r>
            <w:r>
              <w:rPr>
                <w:b/>
                <w:spacing w:val="-25"/>
                <w:sz w:val="14"/>
              </w:rPr>
              <w:t> </w:t>
            </w:r>
            <w:r>
              <w:rPr>
                <w:b/>
                <w:sz w:val="14"/>
              </w:rPr>
              <w:t>year</w:t>
            </w:r>
          </w:p>
        </w:tc>
        <w:tc>
          <w:tcPr>
            <w:tcW w:w="3468" w:type="dxa"/>
          </w:tcPr>
          <w:p>
            <w:pPr>
              <w:pStyle w:val="TableParagraph"/>
              <w:spacing w:before="81"/>
              <w:ind w:left="55"/>
              <w:jc w:val="left"/>
              <w:rPr>
                <w:b/>
                <w:sz w:val="14"/>
              </w:rPr>
            </w:pPr>
            <w:r>
              <w:rPr>
                <w:b/>
                <w:sz w:val="14"/>
              </w:rPr>
              <w:t>Between 1 and</w:t>
            </w:r>
          </w:p>
          <w:p>
            <w:pPr>
              <w:pStyle w:val="TableParagraph"/>
              <w:tabs>
                <w:tab w:pos="1257" w:val="left" w:leader="none"/>
                <w:tab w:pos="2399" w:val="left" w:leader="none"/>
              </w:tabs>
              <w:ind w:left="302"/>
              <w:jc w:val="left"/>
              <w:rPr>
                <w:b/>
                <w:sz w:val="14"/>
              </w:rPr>
            </w:pPr>
            <w:r>
              <w:rPr>
                <w:b/>
                <w:sz w:val="14"/>
              </w:rPr>
              <w:t>5</w:t>
            </w:r>
            <w:r>
              <w:rPr>
                <w:b/>
                <w:spacing w:val="-6"/>
                <w:sz w:val="14"/>
              </w:rPr>
              <w:t> </w:t>
            </w:r>
            <w:r>
              <w:rPr>
                <w:b/>
                <w:sz w:val="14"/>
              </w:rPr>
              <w:t>years</w:t>
              <w:tab/>
              <w:t>Over</w:t>
            </w:r>
            <w:r>
              <w:rPr>
                <w:b/>
                <w:spacing w:val="-6"/>
                <w:sz w:val="14"/>
              </w:rPr>
              <w:t> </w:t>
            </w:r>
            <w:r>
              <w:rPr>
                <w:b/>
                <w:sz w:val="14"/>
              </w:rPr>
              <w:t>5</w:t>
            </w:r>
            <w:r>
              <w:rPr>
                <w:b/>
                <w:spacing w:val="-6"/>
                <w:sz w:val="14"/>
              </w:rPr>
              <w:t> </w:t>
            </w:r>
            <w:r>
              <w:rPr>
                <w:b/>
                <w:sz w:val="14"/>
              </w:rPr>
              <w:t>years</w:t>
              <w:tab/>
              <w:t>Non</w:t>
            </w:r>
            <w:r>
              <w:rPr>
                <w:b/>
                <w:spacing w:val="-17"/>
                <w:sz w:val="14"/>
              </w:rPr>
              <w:t> </w:t>
            </w:r>
            <w:r>
              <w:rPr>
                <w:b/>
                <w:sz w:val="14"/>
              </w:rPr>
              <w:t>interest</w:t>
            </w:r>
          </w:p>
        </w:tc>
        <w:tc>
          <w:tcPr>
            <w:tcW w:w="964" w:type="dxa"/>
          </w:tcPr>
          <w:p>
            <w:pPr>
              <w:pStyle w:val="TableParagraph"/>
              <w:spacing w:before="81"/>
              <w:ind w:left="160" w:hanging="34"/>
              <w:jc w:val="left"/>
              <w:rPr>
                <w:b/>
                <w:sz w:val="14"/>
              </w:rPr>
            </w:pPr>
            <w:r>
              <w:rPr>
                <w:b/>
                <w:sz w:val="14"/>
              </w:rPr>
              <w:t>Carrying amount</w:t>
            </w:r>
          </w:p>
        </w:tc>
        <w:tc>
          <w:tcPr>
            <w:tcW w:w="980" w:type="dxa"/>
            <w:gridSpan w:val="2"/>
          </w:tcPr>
          <w:p>
            <w:pPr>
              <w:pStyle w:val="TableParagraph"/>
              <w:spacing w:before="81"/>
              <w:ind w:left="70" w:firstLine="124"/>
              <w:jc w:val="left"/>
              <w:rPr>
                <w:b/>
                <w:sz w:val="14"/>
              </w:rPr>
            </w:pPr>
            <w:r>
              <w:rPr>
                <w:b/>
                <w:sz w:val="14"/>
              </w:rPr>
              <w:t>Average interest rate</w:t>
            </w:r>
          </w:p>
        </w:tc>
      </w:tr>
      <w:tr>
        <w:trPr>
          <w:trHeight w:val="448" w:hRule="exact"/>
        </w:trPr>
        <w:tc>
          <w:tcPr>
            <w:tcW w:w="2416" w:type="dxa"/>
          </w:tcPr>
          <w:p>
            <w:pPr>
              <w:pStyle w:val="TableParagraph"/>
              <w:spacing w:before="26"/>
              <w:ind w:left="35"/>
              <w:jc w:val="left"/>
              <w:rPr>
                <w:b/>
                <w:sz w:val="14"/>
              </w:rPr>
            </w:pPr>
            <w:r>
              <w:rPr>
                <w:b/>
                <w:sz w:val="14"/>
              </w:rPr>
              <w:t>2016</w:t>
            </w:r>
          </w:p>
          <w:p>
            <w:pPr>
              <w:pStyle w:val="TableParagraph"/>
              <w:spacing w:before="64"/>
              <w:ind w:left="35"/>
              <w:jc w:val="left"/>
              <w:rPr>
                <w:sz w:val="14"/>
              </w:rPr>
            </w:pPr>
            <w:r>
              <w:rPr>
                <w:sz w:val="14"/>
              </w:rPr>
              <w:t>Cash and cash equivalents</w:t>
            </w:r>
          </w:p>
        </w:tc>
        <w:tc>
          <w:tcPr>
            <w:tcW w:w="1159" w:type="dxa"/>
          </w:tcPr>
          <w:p>
            <w:pPr>
              <w:pStyle w:val="TableParagraph"/>
              <w:spacing w:before="26"/>
              <w:ind w:right="52"/>
              <w:jc w:val="center"/>
              <w:rPr>
                <w:b/>
                <w:sz w:val="14"/>
              </w:rPr>
            </w:pPr>
            <w:r>
              <w:rPr>
                <w:b/>
                <w:w w:val="99"/>
                <w:sz w:val="14"/>
              </w:rPr>
              <w:t>$</w:t>
            </w:r>
          </w:p>
          <w:p>
            <w:pPr>
              <w:pStyle w:val="TableParagraph"/>
              <w:spacing w:before="62"/>
              <w:ind w:left="559"/>
              <w:jc w:val="left"/>
              <w:rPr>
                <w:sz w:val="14"/>
              </w:rPr>
            </w:pPr>
            <w:r>
              <w:rPr>
                <w:sz w:val="14"/>
              </w:rPr>
              <w:t>496,008</w:t>
            </w:r>
          </w:p>
        </w:tc>
        <w:tc>
          <w:tcPr>
            <w:tcW w:w="3468" w:type="dxa"/>
          </w:tcPr>
          <w:p>
            <w:pPr>
              <w:pStyle w:val="TableParagraph"/>
              <w:tabs>
                <w:tab w:pos="1631" w:val="left" w:leader="none"/>
                <w:tab w:pos="2764" w:val="left" w:leader="none"/>
              </w:tabs>
              <w:spacing w:before="26"/>
              <w:ind w:left="499"/>
              <w:jc w:val="left"/>
              <w:rPr>
                <w:b/>
                <w:sz w:val="14"/>
              </w:rPr>
            </w:pPr>
            <w:r>
              <w:rPr>
                <w:b/>
                <w:sz w:val="14"/>
              </w:rPr>
              <w:t>$</w:t>
              <w:tab/>
              <w:t>$</w:t>
              <w:tab/>
              <w:t>$</w:t>
            </w:r>
          </w:p>
          <w:p>
            <w:pPr>
              <w:pStyle w:val="TableParagraph"/>
              <w:tabs>
                <w:tab w:pos="1975" w:val="left" w:leader="none"/>
                <w:tab w:pos="3107" w:val="left" w:leader="none"/>
              </w:tabs>
              <w:spacing w:before="62"/>
              <w:ind w:left="842"/>
              <w:jc w:val="left"/>
              <w:rPr>
                <w:sz w:val="14"/>
              </w:rPr>
            </w:pPr>
            <w:r>
              <w:rPr>
                <w:sz w:val="14"/>
              </w:rPr>
              <w:t>-</w:t>
              <w:tab/>
              <w:t>-</w:t>
              <w:tab/>
              <w:t>-</w:t>
            </w:r>
          </w:p>
        </w:tc>
        <w:tc>
          <w:tcPr>
            <w:tcW w:w="964" w:type="dxa"/>
          </w:tcPr>
          <w:p>
            <w:pPr>
              <w:pStyle w:val="TableParagraph"/>
              <w:spacing w:before="26"/>
              <w:ind w:right="140"/>
              <w:jc w:val="center"/>
              <w:rPr>
                <w:b/>
                <w:sz w:val="14"/>
              </w:rPr>
            </w:pPr>
            <w:r>
              <w:rPr>
                <w:b/>
                <w:w w:val="99"/>
                <w:sz w:val="14"/>
              </w:rPr>
              <w:t>$</w:t>
            </w:r>
          </w:p>
          <w:p>
            <w:pPr>
              <w:pStyle w:val="TableParagraph"/>
              <w:spacing w:before="62"/>
              <w:ind w:left="347"/>
              <w:jc w:val="left"/>
              <w:rPr>
                <w:sz w:val="14"/>
              </w:rPr>
            </w:pPr>
            <w:r>
              <w:rPr>
                <w:sz w:val="14"/>
              </w:rPr>
              <w:t>496,008</w:t>
            </w:r>
          </w:p>
        </w:tc>
        <w:tc>
          <w:tcPr>
            <w:tcW w:w="827" w:type="dxa"/>
          </w:tcPr>
          <w:p>
            <w:pPr>
              <w:pStyle w:val="TableParagraph"/>
              <w:spacing w:before="26"/>
              <w:ind w:left="110"/>
              <w:jc w:val="center"/>
              <w:rPr>
                <w:b/>
                <w:sz w:val="14"/>
              </w:rPr>
            </w:pPr>
            <w:r>
              <w:rPr>
                <w:b/>
                <w:w w:val="99"/>
                <w:sz w:val="14"/>
              </w:rPr>
              <w:t>%</w:t>
            </w:r>
          </w:p>
        </w:tc>
        <w:tc>
          <w:tcPr>
            <w:tcW w:w="154" w:type="dxa"/>
          </w:tcPr>
          <w:p>
            <w:pPr>
              <w:pStyle w:val="TableParagraph"/>
              <w:jc w:val="left"/>
              <w:rPr>
                <w:b/>
                <w:sz w:val="14"/>
              </w:rPr>
            </w:pPr>
          </w:p>
          <w:p>
            <w:pPr>
              <w:pStyle w:val="TableParagraph"/>
              <w:spacing w:before="88"/>
              <w:jc w:val="left"/>
              <w:rPr>
                <w:sz w:val="14"/>
              </w:rPr>
            </w:pPr>
            <w:r>
              <w:rPr>
                <w:w w:val="99"/>
                <w:sz w:val="14"/>
              </w:rPr>
              <w:t>2</w:t>
            </w:r>
          </w:p>
        </w:tc>
      </w:tr>
      <w:tr>
        <w:trPr>
          <w:trHeight w:val="218" w:hRule="exact"/>
        </w:trPr>
        <w:tc>
          <w:tcPr>
            <w:tcW w:w="2416" w:type="dxa"/>
          </w:tcPr>
          <w:p>
            <w:pPr>
              <w:pStyle w:val="TableParagraph"/>
              <w:spacing w:before="22"/>
              <w:ind w:left="35"/>
              <w:jc w:val="left"/>
              <w:rPr>
                <w:sz w:val="14"/>
              </w:rPr>
            </w:pPr>
            <w:r>
              <w:rPr>
                <w:sz w:val="14"/>
              </w:rPr>
              <w:t>Trade and other receivables</w:t>
            </w:r>
          </w:p>
        </w:tc>
        <w:tc>
          <w:tcPr>
            <w:tcW w:w="1159" w:type="dxa"/>
          </w:tcPr>
          <w:p>
            <w:pPr>
              <w:pStyle w:val="TableParagraph"/>
              <w:spacing w:before="20"/>
              <w:ind w:right="98"/>
              <w:rPr>
                <w:sz w:val="14"/>
              </w:rPr>
            </w:pPr>
            <w:r>
              <w:rPr>
                <w:w w:val="95"/>
                <w:sz w:val="14"/>
              </w:rPr>
              <w:t>2,746,448</w:t>
            </w:r>
          </w:p>
        </w:tc>
        <w:tc>
          <w:tcPr>
            <w:tcW w:w="3468" w:type="dxa"/>
          </w:tcPr>
          <w:p>
            <w:pPr>
              <w:pStyle w:val="TableParagraph"/>
              <w:tabs>
                <w:tab w:pos="1132" w:val="left" w:leader="none"/>
                <w:tab w:pos="1838" w:val="left" w:leader="none"/>
              </w:tabs>
              <w:spacing w:before="20"/>
              <w:ind w:right="170"/>
              <w:rPr>
                <w:sz w:val="14"/>
              </w:rPr>
            </w:pPr>
            <w:r>
              <w:rPr>
                <w:sz w:val="14"/>
              </w:rPr>
              <w:t>-</w:t>
              <w:tab/>
              <w:t>-</w:t>
              <w:tab/>
            </w:r>
            <w:r>
              <w:rPr>
                <w:spacing w:val="-1"/>
                <w:w w:val="95"/>
                <w:sz w:val="14"/>
              </w:rPr>
              <w:t>2,746,448</w:t>
            </w:r>
          </w:p>
        </w:tc>
        <w:tc>
          <w:tcPr>
            <w:tcW w:w="964" w:type="dxa"/>
          </w:tcPr>
          <w:p>
            <w:pPr>
              <w:pStyle w:val="TableParagraph"/>
              <w:spacing w:before="20"/>
              <w:ind w:right="114"/>
              <w:rPr>
                <w:sz w:val="14"/>
              </w:rPr>
            </w:pPr>
            <w:r>
              <w:rPr>
                <w:w w:val="95"/>
                <w:sz w:val="14"/>
              </w:rPr>
              <w:t>2,746,448</w:t>
            </w:r>
          </w:p>
        </w:tc>
        <w:tc>
          <w:tcPr>
            <w:tcW w:w="827" w:type="dxa"/>
          </w:tcPr>
          <w:p>
            <w:pPr>
              <w:pStyle w:val="TableParagraph"/>
              <w:spacing w:before="20"/>
              <w:ind w:right="62"/>
              <w:rPr>
                <w:sz w:val="14"/>
              </w:rPr>
            </w:pPr>
            <w:r>
              <w:rPr>
                <w:w w:val="99"/>
                <w:sz w:val="14"/>
              </w:rPr>
              <w:t>-</w:t>
            </w:r>
          </w:p>
        </w:tc>
        <w:tc>
          <w:tcPr>
            <w:tcW w:w="154" w:type="dxa"/>
          </w:tcPr>
          <w:p>
            <w:pPr/>
          </w:p>
        </w:tc>
      </w:tr>
      <w:tr>
        <w:trPr>
          <w:trHeight w:val="218" w:hRule="exact"/>
        </w:trPr>
        <w:tc>
          <w:tcPr>
            <w:tcW w:w="2416" w:type="dxa"/>
          </w:tcPr>
          <w:p>
            <w:pPr>
              <w:pStyle w:val="TableParagraph"/>
              <w:spacing w:before="22"/>
              <w:ind w:left="35"/>
              <w:jc w:val="left"/>
              <w:rPr>
                <w:sz w:val="14"/>
              </w:rPr>
            </w:pPr>
            <w:r>
              <w:rPr>
                <w:sz w:val="14"/>
              </w:rPr>
              <w:t>Trade and other payables</w:t>
            </w:r>
          </w:p>
        </w:tc>
        <w:tc>
          <w:tcPr>
            <w:tcW w:w="1159" w:type="dxa"/>
          </w:tcPr>
          <w:p>
            <w:pPr>
              <w:pStyle w:val="TableParagraph"/>
              <w:spacing w:before="20"/>
              <w:ind w:right="53"/>
              <w:rPr>
                <w:sz w:val="14"/>
              </w:rPr>
            </w:pPr>
            <w:r>
              <w:rPr>
                <w:w w:val="95"/>
                <w:sz w:val="14"/>
              </w:rPr>
              <w:t>(1,446,162)</w:t>
            </w:r>
          </w:p>
        </w:tc>
        <w:tc>
          <w:tcPr>
            <w:tcW w:w="3468" w:type="dxa"/>
          </w:tcPr>
          <w:p>
            <w:pPr>
              <w:pStyle w:val="TableParagraph"/>
              <w:tabs>
                <w:tab w:pos="1132" w:val="left" w:leader="none"/>
                <w:tab w:pos="1792" w:val="left" w:leader="none"/>
              </w:tabs>
              <w:spacing w:before="20"/>
              <w:ind w:right="125"/>
              <w:rPr>
                <w:sz w:val="14"/>
              </w:rPr>
            </w:pPr>
            <w:r>
              <w:rPr>
                <w:sz w:val="14"/>
              </w:rPr>
              <w:t>-</w:t>
              <w:tab/>
              <w:t>-</w:t>
              <w:tab/>
            </w:r>
            <w:r>
              <w:rPr>
                <w:spacing w:val="-1"/>
                <w:w w:val="95"/>
                <w:sz w:val="14"/>
              </w:rPr>
              <w:t>(1,446,162)</w:t>
            </w:r>
          </w:p>
        </w:tc>
        <w:tc>
          <w:tcPr>
            <w:tcW w:w="964" w:type="dxa"/>
          </w:tcPr>
          <w:p>
            <w:pPr>
              <w:pStyle w:val="TableParagraph"/>
              <w:spacing w:before="20"/>
              <w:ind w:right="68"/>
              <w:rPr>
                <w:sz w:val="14"/>
              </w:rPr>
            </w:pPr>
            <w:r>
              <w:rPr>
                <w:w w:val="95"/>
                <w:sz w:val="14"/>
              </w:rPr>
              <w:t>(1,446,162)</w:t>
            </w:r>
          </w:p>
        </w:tc>
        <w:tc>
          <w:tcPr>
            <w:tcW w:w="827" w:type="dxa"/>
          </w:tcPr>
          <w:p>
            <w:pPr>
              <w:pStyle w:val="TableParagraph"/>
              <w:spacing w:before="20"/>
              <w:ind w:right="62"/>
              <w:rPr>
                <w:sz w:val="14"/>
              </w:rPr>
            </w:pPr>
            <w:r>
              <w:rPr>
                <w:w w:val="99"/>
                <w:sz w:val="14"/>
              </w:rPr>
              <w:t>-</w:t>
            </w:r>
          </w:p>
        </w:tc>
        <w:tc>
          <w:tcPr>
            <w:tcW w:w="154" w:type="dxa"/>
          </w:tcPr>
          <w:p>
            <w:pPr/>
          </w:p>
        </w:tc>
      </w:tr>
      <w:tr>
        <w:trPr>
          <w:trHeight w:val="217" w:hRule="exact"/>
        </w:trPr>
        <w:tc>
          <w:tcPr>
            <w:tcW w:w="2416" w:type="dxa"/>
          </w:tcPr>
          <w:p>
            <w:pPr>
              <w:pStyle w:val="TableParagraph"/>
              <w:spacing w:before="22"/>
              <w:ind w:left="35"/>
              <w:jc w:val="left"/>
              <w:rPr>
                <w:sz w:val="14"/>
              </w:rPr>
            </w:pPr>
            <w:r>
              <w:rPr>
                <w:sz w:val="14"/>
              </w:rPr>
              <w:t>Borrowings</w:t>
            </w:r>
          </w:p>
        </w:tc>
        <w:tc>
          <w:tcPr>
            <w:tcW w:w="1159" w:type="dxa"/>
            <w:tcBorders>
              <w:bottom w:val="single" w:sz="1" w:space="0" w:color="000000"/>
            </w:tcBorders>
          </w:tcPr>
          <w:p>
            <w:pPr>
              <w:pStyle w:val="TableParagraph"/>
              <w:spacing w:before="20"/>
              <w:ind w:right="53"/>
              <w:rPr>
                <w:sz w:val="14"/>
              </w:rPr>
            </w:pPr>
            <w:r>
              <w:rPr>
                <w:w w:val="95"/>
                <w:sz w:val="14"/>
              </w:rPr>
              <w:t>(5,618,407)</w:t>
            </w:r>
          </w:p>
        </w:tc>
        <w:tc>
          <w:tcPr>
            <w:tcW w:w="3468" w:type="dxa"/>
            <w:tcBorders>
              <w:bottom w:val="single" w:sz="1" w:space="0" w:color="000000"/>
            </w:tcBorders>
          </w:tcPr>
          <w:p>
            <w:pPr>
              <w:pStyle w:val="TableParagraph"/>
              <w:tabs>
                <w:tab w:pos="1132" w:val="left" w:leader="none"/>
                <w:tab w:pos="2265" w:val="left" w:leader="none"/>
              </w:tabs>
              <w:spacing w:before="20"/>
              <w:ind w:right="311"/>
              <w:rPr>
                <w:sz w:val="14"/>
              </w:rPr>
            </w:pPr>
            <w:r>
              <w:rPr>
                <w:sz w:val="14"/>
              </w:rPr>
              <w:t>-</w:t>
              <w:tab/>
              <w:t>-</w:t>
              <w:tab/>
            </w:r>
            <w:r>
              <w:rPr>
                <w:w w:val="95"/>
                <w:sz w:val="14"/>
              </w:rPr>
              <w:t>-</w:t>
            </w:r>
          </w:p>
        </w:tc>
        <w:tc>
          <w:tcPr>
            <w:tcW w:w="964" w:type="dxa"/>
            <w:tcBorders>
              <w:bottom w:val="single" w:sz="1" w:space="0" w:color="000000"/>
            </w:tcBorders>
          </w:tcPr>
          <w:p>
            <w:pPr>
              <w:pStyle w:val="TableParagraph"/>
              <w:spacing w:before="20"/>
              <w:ind w:right="68"/>
              <w:rPr>
                <w:sz w:val="14"/>
              </w:rPr>
            </w:pPr>
            <w:r>
              <w:rPr>
                <w:w w:val="95"/>
                <w:sz w:val="14"/>
              </w:rPr>
              <w:t>(5,618,407)</w:t>
            </w:r>
          </w:p>
        </w:tc>
        <w:tc>
          <w:tcPr>
            <w:tcW w:w="827" w:type="dxa"/>
            <w:tcBorders>
              <w:bottom w:val="single" w:sz="1" w:space="0" w:color="000000"/>
            </w:tcBorders>
          </w:tcPr>
          <w:p>
            <w:pPr/>
          </w:p>
        </w:tc>
        <w:tc>
          <w:tcPr>
            <w:tcW w:w="154" w:type="dxa"/>
            <w:tcBorders>
              <w:bottom w:val="single" w:sz="1" w:space="0" w:color="000000"/>
            </w:tcBorders>
          </w:tcPr>
          <w:p>
            <w:pPr>
              <w:pStyle w:val="TableParagraph"/>
              <w:spacing w:before="20"/>
              <w:jc w:val="left"/>
              <w:rPr>
                <w:sz w:val="14"/>
              </w:rPr>
            </w:pPr>
            <w:r>
              <w:rPr>
                <w:w w:val="99"/>
                <w:sz w:val="14"/>
              </w:rPr>
              <w:t>4</w:t>
            </w:r>
          </w:p>
        </w:tc>
      </w:tr>
    </w:tbl>
    <w:p>
      <w:pPr>
        <w:tabs>
          <w:tab w:pos="5169" w:val="left" w:leader="none"/>
          <w:tab w:pos="6772" w:val="left" w:leader="none"/>
          <w:tab w:pos="7905" w:val="left" w:leader="none"/>
          <w:tab w:pos="8611" w:val="left" w:leader="none"/>
          <w:tab w:pos="9585" w:val="left" w:leader="none"/>
        </w:tabs>
        <w:spacing w:before="122"/>
        <w:ind w:left="2390" w:right="0" w:firstLine="0"/>
        <w:jc w:val="left"/>
        <w:rPr>
          <w:sz w:val="14"/>
        </w:rPr>
      </w:pPr>
      <w:r>
        <w:rPr>
          <w:b/>
          <w:sz w:val="14"/>
        </w:rPr>
        <w:t>Total</w:t>
      </w:r>
      <w:r>
        <w:rPr>
          <w:b/>
          <w:spacing w:val="-8"/>
          <w:sz w:val="14"/>
        </w:rPr>
        <w:t> </w:t>
      </w:r>
      <w:r>
        <w:rPr>
          <w:b/>
          <w:sz w:val="14"/>
        </w:rPr>
        <w:t>non</w:t>
      </w:r>
      <w:r>
        <w:rPr>
          <w:b/>
          <w:spacing w:val="-8"/>
          <w:sz w:val="14"/>
        </w:rPr>
        <w:t> </w:t>
      </w:r>
      <w:r>
        <w:rPr>
          <w:b/>
          <w:sz w:val="14"/>
        </w:rPr>
        <w:t>derivatives</w:t>
        <w:tab/>
      </w:r>
      <w:r>
        <w:rPr>
          <w:sz w:val="14"/>
        </w:rPr>
        <w:t>(3,822,113)</w:t>
        <w:tab/>
        <w:t>-</w:t>
        <w:tab/>
        <w:t>-</w:t>
        <w:tab/>
        <w:t>1,300,286</w:t>
        <w:tab/>
        <w:t>(3,822,113)</w:t>
      </w:r>
    </w:p>
    <w:p>
      <w:pPr>
        <w:pStyle w:val="BodyText"/>
        <w:spacing w:line="60" w:lineRule="exact"/>
        <w:ind w:left="4769"/>
        <w:rPr>
          <w:sz w:val="6"/>
        </w:rPr>
      </w:pPr>
      <w:r>
        <w:rPr>
          <w:position w:val="0"/>
          <w:sz w:val="6"/>
        </w:rPr>
        <w:pict>
          <v:group style="width:328.75pt;height:3.05pt;mso-position-horizontal-relative:char;mso-position-vertical-relative:line" coordorigin="0,0" coordsize="6575,61">
            <v:line style="position:absolute" from="2,2" to="1134,2" stroked="true" strokeweight=".12pt" strokecolor="#000000"/>
            <v:line style="position:absolute" from="2,4" to="1134,4" stroked="true" strokeweight=".12pt" strokecolor="#000000"/>
            <v:line style="position:absolute" from="2,6" to="1134,6" stroked="true" strokeweight=".12pt" strokecolor="#000000"/>
            <v:line style="position:absolute" from="2,9" to="1134,9" stroked="true" strokeweight=".12pt" strokecolor="#000000"/>
            <v:line style="position:absolute" from="2,11" to="1134,11" stroked="true" strokeweight=".12pt" strokecolor="#000000"/>
            <v:line style="position:absolute" from="2,14" to="1134,14" stroked="true" strokeweight=".12pt" strokecolor="#000000"/>
            <v:line style="position:absolute" from="2,16" to="1134,16" stroked="true" strokeweight=".12pt" strokecolor="#000000"/>
            <v:line style="position:absolute" from="2,18" to="1134,18" stroked="true" strokeweight=".12pt" strokecolor="#000000"/>
            <v:line style="position:absolute" from="2,42" to="1134,42" stroked="true" strokeweight=".12pt" strokecolor="#000000"/>
            <v:line style="position:absolute" from="2,45" to="1134,45" stroked="true" strokeweight=".12pt" strokecolor="#000000"/>
            <v:line style="position:absolute" from="2,47" to="1134,47" stroked="true" strokeweight=".12pt" strokecolor="#000000"/>
            <v:line style="position:absolute" from="2,49" to="1134,49" stroked="true" strokeweight=".12pt" strokecolor="#000000"/>
            <v:line style="position:absolute" from="2,52" to="1134,52" stroked="true" strokeweight=".12pt" strokecolor="#000000"/>
            <v:line style="position:absolute" from="2,54" to="1134,54" stroked="true" strokeweight=".12pt" strokecolor="#000000"/>
            <v:line style="position:absolute" from="2,57" to="1134,57" stroked="true" strokeweight=".12pt" strokecolor="#000000"/>
            <v:line style="position:absolute" from="2,59" to="1134,59" stroked="true" strokeweight=".12pt" strokecolor="#000000"/>
            <v:line style="position:absolute" from="1134,2" to="2267,2" stroked="true" strokeweight=".12pt" strokecolor="#000000"/>
            <v:line style="position:absolute" from="1134,4" to="2267,4" stroked="true" strokeweight=".12pt" strokecolor="#000000"/>
            <v:line style="position:absolute" from="1134,6" to="2267,6" stroked="true" strokeweight=".12pt" strokecolor="#000000"/>
            <v:line style="position:absolute" from="1134,9" to="2267,9" stroked="true" strokeweight=".12pt" strokecolor="#000000"/>
            <v:line style="position:absolute" from="1134,11" to="2267,11" stroked="true" strokeweight=".12pt" strokecolor="#000000"/>
            <v:line style="position:absolute" from="1134,14" to="2267,14" stroked="true" strokeweight=".12pt" strokecolor="#000000"/>
            <v:line style="position:absolute" from="1134,16" to="2267,16" stroked="true" strokeweight=".12pt" strokecolor="#000000"/>
            <v:line style="position:absolute" from="1134,18" to="2267,18" stroked="true" strokeweight=".12pt" strokecolor="#000000"/>
            <v:line style="position:absolute" from="1134,42" to="2267,42" stroked="true" strokeweight=".12pt" strokecolor="#000000"/>
            <v:line style="position:absolute" from="1134,45" to="2267,45" stroked="true" strokeweight=".12pt" strokecolor="#000000"/>
            <v:line style="position:absolute" from="1134,47" to="2267,47" stroked="true" strokeweight=".12pt" strokecolor="#000000"/>
            <v:line style="position:absolute" from="1134,49" to="2267,49" stroked="true" strokeweight=".12pt" strokecolor="#000000"/>
            <v:line style="position:absolute" from="1134,52" to="2267,52" stroked="true" strokeweight=".12pt" strokecolor="#000000"/>
            <v:line style="position:absolute" from="1134,54" to="2267,54" stroked="true" strokeweight=".12pt" strokecolor="#000000"/>
            <v:line style="position:absolute" from="1134,57" to="2267,57" stroked="true" strokeweight=".12pt" strokecolor="#000000"/>
            <v:line style="position:absolute" from="1134,59" to="2267,59" stroked="true" strokeweight=".12pt" strokecolor="#000000"/>
            <v:line style="position:absolute" from="2267,2" to="3400,2" stroked="true" strokeweight=".12pt" strokecolor="#000000"/>
            <v:line style="position:absolute" from="2267,4" to="3400,4" stroked="true" strokeweight=".12pt" strokecolor="#000000"/>
            <v:line style="position:absolute" from="2267,6" to="3400,6" stroked="true" strokeweight=".12pt" strokecolor="#000000"/>
            <v:line style="position:absolute" from="2267,9" to="3400,9" stroked="true" strokeweight=".12pt" strokecolor="#000000"/>
            <v:line style="position:absolute" from="2267,11" to="3400,11" stroked="true" strokeweight=".12pt" strokecolor="#000000"/>
            <v:line style="position:absolute" from="2267,14" to="3400,14" stroked="true" strokeweight=".12pt" strokecolor="#000000"/>
            <v:line style="position:absolute" from="2267,16" to="3400,16" stroked="true" strokeweight=".12pt" strokecolor="#000000"/>
            <v:line style="position:absolute" from="2267,18" to="3400,18" stroked="true" strokeweight=".12pt" strokecolor="#000000"/>
            <v:line style="position:absolute" from="2267,42" to="3400,42" stroked="true" strokeweight=".12pt" strokecolor="#000000"/>
            <v:line style="position:absolute" from="2267,45" to="3400,45" stroked="true" strokeweight=".12pt" strokecolor="#000000"/>
            <v:line style="position:absolute" from="2267,47" to="3400,47" stroked="true" strokeweight=".12pt" strokecolor="#000000"/>
            <v:line style="position:absolute" from="2267,49" to="3400,49" stroked="true" strokeweight=".12pt" strokecolor="#000000"/>
            <v:line style="position:absolute" from="2267,52" to="3400,52" stroked="true" strokeweight=".12pt" strokecolor="#000000"/>
            <v:line style="position:absolute" from="2267,54" to="3400,54" stroked="true" strokeweight=".12pt" strokecolor="#000000"/>
            <v:line style="position:absolute" from="2267,57" to="3400,57" stroked="true" strokeweight=".12pt" strokecolor="#000000"/>
            <v:line style="position:absolute" from="2267,59" to="3400,59" stroked="true" strokeweight=".12pt" strokecolor="#000000"/>
            <v:line style="position:absolute" from="3400,2" to="4533,2" stroked="true" strokeweight=".12pt" strokecolor="#000000"/>
            <v:line style="position:absolute" from="3400,4" to="4533,4" stroked="true" strokeweight=".12pt" strokecolor="#000000"/>
            <v:line style="position:absolute" from="3400,6" to="4533,6" stroked="true" strokeweight=".12pt" strokecolor="#000000"/>
            <v:line style="position:absolute" from="3400,9" to="4533,9" stroked="true" strokeweight=".12pt" strokecolor="#000000"/>
            <v:line style="position:absolute" from="3400,11" to="4533,11" stroked="true" strokeweight=".12pt" strokecolor="#000000"/>
            <v:line style="position:absolute" from="3400,14" to="4533,14" stroked="true" strokeweight=".12pt" strokecolor="#000000"/>
            <v:line style="position:absolute" from="3400,16" to="4533,16" stroked="true" strokeweight=".12pt" strokecolor="#000000"/>
            <v:line style="position:absolute" from="3400,18" to="4533,18" stroked="true" strokeweight=".12pt" strokecolor="#000000"/>
            <v:line style="position:absolute" from="3400,42" to="4533,42" stroked="true" strokeweight=".12pt" strokecolor="#000000"/>
            <v:line style="position:absolute" from="3400,45" to="4533,45" stroked="true" strokeweight=".12pt" strokecolor="#000000"/>
            <v:line style="position:absolute" from="3400,47" to="4533,47" stroked="true" strokeweight=".12pt" strokecolor="#000000"/>
            <v:line style="position:absolute" from="3400,49" to="4533,49" stroked="true" strokeweight=".12pt" strokecolor="#000000"/>
            <v:line style="position:absolute" from="3400,52" to="4533,52" stroked="true" strokeweight=".12pt" strokecolor="#000000"/>
            <v:line style="position:absolute" from="3400,54" to="4533,54" stroked="true" strokeweight=".12pt" strokecolor="#000000"/>
            <v:line style="position:absolute" from="3400,57" to="4533,57" stroked="true" strokeweight=".12pt" strokecolor="#000000"/>
            <v:line style="position:absolute" from="3400,59" to="4533,59" stroked="true" strokeweight=".12pt" strokecolor="#000000"/>
            <v:line style="position:absolute" from="4533,2" to="5553,2" stroked="true" strokeweight=".12pt" strokecolor="#000000"/>
            <v:line style="position:absolute" from="4533,4" to="5553,4" stroked="true" strokeweight=".12pt" strokecolor="#000000"/>
            <v:line style="position:absolute" from="4533,6" to="5553,6" stroked="true" strokeweight=".12pt" strokecolor="#000000"/>
            <v:line style="position:absolute" from="4533,9" to="5553,9" stroked="true" strokeweight=".12pt" strokecolor="#000000"/>
            <v:line style="position:absolute" from="4533,11" to="5553,11" stroked="true" strokeweight=".12pt" strokecolor="#000000"/>
            <v:line style="position:absolute" from="4533,14" to="5553,14" stroked="true" strokeweight=".12pt" strokecolor="#000000"/>
            <v:line style="position:absolute" from="4533,16" to="5553,16" stroked="true" strokeweight=".12pt" strokecolor="#000000"/>
            <v:line style="position:absolute" from="4533,18" to="5553,18" stroked="true" strokeweight=".12pt" strokecolor="#000000"/>
            <v:line style="position:absolute" from="4533,42" to="5553,42" stroked="true" strokeweight=".12pt" strokecolor="#000000"/>
            <v:line style="position:absolute" from="4533,45" to="5553,45" stroked="true" strokeweight=".12pt" strokecolor="#000000"/>
            <v:line style="position:absolute" from="4533,47" to="5553,47" stroked="true" strokeweight=".12pt" strokecolor="#000000"/>
            <v:line style="position:absolute" from="4533,49" to="5553,49" stroked="true" strokeweight=".12pt" strokecolor="#000000"/>
            <v:line style="position:absolute" from="4533,52" to="5553,52" stroked="true" strokeweight=".12pt" strokecolor="#000000"/>
            <v:line style="position:absolute" from="4533,54" to="5553,54" stroked="true" strokeweight=".12pt" strokecolor="#000000"/>
            <v:line style="position:absolute" from="4533,57" to="5553,57" stroked="true" strokeweight=".12pt" strokecolor="#000000"/>
            <v:line style="position:absolute" from="4533,59" to="5553,59" stroked="true" strokeweight=".12pt" strokecolor="#000000"/>
            <v:line style="position:absolute" from="5553,2" to="6573,2" stroked="true" strokeweight=".12pt" strokecolor="#000000"/>
            <v:line style="position:absolute" from="5553,4" to="6573,4" stroked="true" strokeweight=".12pt" strokecolor="#000000"/>
            <v:line style="position:absolute" from="5553,6" to="6573,6" stroked="true" strokeweight=".12pt" strokecolor="#000000"/>
            <v:line style="position:absolute" from="5553,9" to="6573,9" stroked="true" strokeweight=".12pt" strokecolor="#000000"/>
            <v:line style="position:absolute" from="5553,11" to="6573,11" stroked="true" strokeweight=".12pt" strokecolor="#000000"/>
            <v:line style="position:absolute" from="5553,14" to="6573,14" stroked="true" strokeweight=".12pt" strokecolor="#000000"/>
            <v:line style="position:absolute" from="5553,16" to="6573,16" stroked="true" strokeweight=".12pt" strokecolor="#000000"/>
            <v:line style="position:absolute" from="5553,18" to="6573,18" stroked="true" strokeweight=".12pt" strokecolor="#000000"/>
            <v:line style="position:absolute" from="5553,42" to="6573,42" stroked="true" strokeweight=".12pt" strokecolor="#000000"/>
            <v:line style="position:absolute" from="5553,45" to="6573,45" stroked="true" strokeweight=".12pt" strokecolor="#000000"/>
            <v:line style="position:absolute" from="5553,47" to="6573,47" stroked="true" strokeweight=".12pt" strokecolor="#000000"/>
            <v:line style="position:absolute" from="5553,49" to="6573,49" stroked="true" strokeweight=".12pt" strokecolor="#000000"/>
            <v:line style="position:absolute" from="5553,52" to="6573,52" stroked="true" strokeweight=".12pt" strokecolor="#000000"/>
            <v:line style="position:absolute" from="5553,54" to="6573,54" stroked="true" strokeweight=".12pt" strokecolor="#000000"/>
            <v:line style="position:absolute" from="5553,57" to="6573,57" stroked="true" strokeweight=".12pt" strokecolor="#000000"/>
            <v:line style="position:absolute" from="5553,59" to="6573,59" stroked="true" strokeweight=".12pt" strokecolor="#000000"/>
          </v:group>
        </w:pict>
      </w:r>
      <w:r>
        <w:rPr>
          <w:position w:val="0"/>
          <w:sz w:val="6"/>
        </w:rPr>
      </w:r>
    </w:p>
    <w:p>
      <w:pPr>
        <w:spacing w:after="0" w:line="60" w:lineRule="exact"/>
        <w:rPr>
          <w:sz w:val="6"/>
        </w:rPr>
        <w:sectPr>
          <w:pgSz w:w="12750" w:h="17680"/>
          <w:pgMar w:header="0" w:footer="867" w:top="1880" w:bottom="1120" w:left="0" w:right="0"/>
        </w:sectPr>
      </w:pPr>
    </w:p>
    <w:p>
      <w:pPr>
        <w:pStyle w:val="BodyText"/>
        <w:spacing w:before="1"/>
        <w:rPr>
          <w:sz w:val="24"/>
        </w:rPr>
      </w:pPr>
    </w:p>
    <w:p>
      <w:pPr>
        <w:pStyle w:val="Heading4"/>
        <w:spacing w:before="65"/>
      </w:pPr>
      <w:r>
        <w:rPr/>
        <w:t>Notes to the Financial Statements</w:t>
      </w:r>
    </w:p>
    <w:p>
      <w:pPr>
        <w:pStyle w:val="Heading7"/>
        <w:spacing w:before="53"/>
      </w:pPr>
      <w:r>
        <w:rPr/>
        <w:t>For the Year Ended 31 December 2016</w:t>
      </w:r>
    </w:p>
    <w:p>
      <w:pPr>
        <w:pStyle w:val="BodyText"/>
        <w:spacing w:before="4"/>
        <w:rPr>
          <w:b/>
        </w:rPr>
      </w:pPr>
    </w:p>
    <w:tbl>
      <w:tblPr>
        <w:tblW w:w="0" w:type="auto"/>
        <w:jc w:val="left"/>
        <w:tblInd w:w="139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70"/>
        <w:gridCol w:w="3105"/>
        <w:gridCol w:w="1159"/>
        <w:gridCol w:w="3468"/>
        <w:gridCol w:w="964"/>
        <w:gridCol w:w="827"/>
        <w:gridCol w:w="154"/>
      </w:tblGrid>
      <w:tr>
        <w:trPr>
          <w:trHeight w:val="823" w:hRule="exact"/>
        </w:trPr>
        <w:tc>
          <w:tcPr>
            <w:tcW w:w="270" w:type="dxa"/>
          </w:tcPr>
          <w:p>
            <w:pPr>
              <w:pStyle w:val="TableParagraph"/>
              <w:spacing w:before="77"/>
              <w:ind w:left="35"/>
              <w:jc w:val="left"/>
              <w:rPr>
                <w:sz w:val="18"/>
              </w:rPr>
            </w:pPr>
            <w:r>
              <w:rPr>
                <w:w w:val="99"/>
                <w:sz w:val="18"/>
              </w:rPr>
              <w:t>2</w:t>
            </w:r>
          </w:p>
        </w:tc>
        <w:tc>
          <w:tcPr>
            <w:tcW w:w="3105" w:type="dxa"/>
          </w:tcPr>
          <w:p>
            <w:pPr>
              <w:pStyle w:val="TableParagraph"/>
              <w:spacing w:before="77"/>
              <w:ind w:left="158"/>
              <w:jc w:val="left"/>
              <w:rPr>
                <w:b/>
                <w:sz w:val="18"/>
              </w:rPr>
            </w:pPr>
            <w:r>
              <w:rPr>
                <w:b/>
                <w:sz w:val="18"/>
              </w:rPr>
              <w:t>Financial Risk Management</w:t>
            </w:r>
          </w:p>
          <w:p>
            <w:pPr>
              <w:pStyle w:val="TableParagraph"/>
              <w:spacing w:before="7"/>
              <w:jc w:val="left"/>
              <w:rPr>
                <w:b/>
                <w:sz w:val="26"/>
              </w:rPr>
            </w:pPr>
          </w:p>
          <w:p>
            <w:pPr>
              <w:pStyle w:val="TableParagraph"/>
              <w:tabs>
                <w:tab w:pos="701" w:val="left" w:leader="none"/>
              </w:tabs>
              <w:ind w:left="135"/>
              <w:jc w:val="left"/>
              <w:rPr>
                <w:b/>
                <w:sz w:val="18"/>
              </w:rPr>
            </w:pPr>
            <w:r>
              <w:rPr>
                <w:b/>
                <w:sz w:val="18"/>
              </w:rPr>
              <w:t>(c)</w:t>
              <w:tab/>
              <w:t>Liquidity</w:t>
            </w:r>
            <w:r>
              <w:rPr>
                <w:b/>
                <w:spacing w:val="-9"/>
                <w:sz w:val="18"/>
              </w:rPr>
              <w:t> </w:t>
            </w:r>
            <w:r>
              <w:rPr>
                <w:b/>
                <w:sz w:val="18"/>
              </w:rPr>
              <w:t>risk</w:t>
            </w:r>
          </w:p>
        </w:tc>
        <w:tc>
          <w:tcPr>
            <w:tcW w:w="6571" w:type="dxa"/>
            <w:gridSpan w:val="5"/>
          </w:tcPr>
          <w:p>
            <w:pPr/>
          </w:p>
        </w:tc>
      </w:tr>
      <w:tr>
        <w:trPr>
          <w:trHeight w:val="374" w:hRule="exact"/>
        </w:trPr>
        <w:tc>
          <w:tcPr>
            <w:tcW w:w="270" w:type="dxa"/>
          </w:tcPr>
          <w:p>
            <w:pPr/>
          </w:p>
        </w:tc>
        <w:tc>
          <w:tcPr>
            <w:tcW w:w="3105" w:type="dxa"/>
          </w:tcPr>
          <w:p>
            <w:pPr/>
          </w:p>
        </w:tc>
        <w:tc>
          <w:tcPr>
            <w:tcW w:w="1159" w:type="dxa"/>
          </w:tcPr>
          <w:p>
            <w:pPr>
              <w:pStyle w:val="TableParagraph"/>
              <w:spacing w:before="11"/>
              <w:jc w:val="left"/>
              <w:rPr>
                <w:b/>
                <w:sz w:val="14"/>
              </w:rPr>
            </w:pPr>
          </w:p>
          <w:p>
            <w:pPr>
              <w:pStyle w:val="TableParagraph"/>
              <w:ind w:right="67"/>
              <w:rPr>
                <w:b/>
                <w:sz w:val="14"/>
              </w:rPr>
            </w:pPr>
            <w:r>
              <w:rPr>
                <w:b/>
                <w:sz w:val="14"/>
              </w:rPr>
              <w:t>Less than 1</w:t>
            </w:r>
            <w:r>
              <w:rPr>
                <w:b/>
                <w:spacing w:val="-25"/>
                <w:sz w:val="14"/>
              </w:rPr>
              <w:t> </w:t>
            </w:r>
            <w:r>
              <w:rPr>
                <w:b/>
                <w:sz w:val="14"/>
              </w:rPr>
              <w:t>year</w:t>
            </w:r>
          </w:p>
        </w:tc>
        <w:tc>
          <w:tcPr>
            <w:tcW w:w="3468" w:type="dxa"/>
          </w:tcPr>
          <w:p>
            <w:pPr>
              <w:pStyle w:val="TableParagraph"/>
              <w:spacing w:before="11"/>
              <w:ind w:left="55"/>
              <w:jc w:val="left"/>
              <w:rPr>
                <w:b/>
                <w:sz w:val="14"/>
              </w:rPr>
            </w:pPr>
            <w:r>
              <w:rPr>
                <w:b/>
                <w:sz w:val="14"/>
              </w:rPr>
              <w:t>Between 1 and</w:t>
            </w:r>
          </w:p>
          <w:p>
            <w:pPr>
              <w:pStyle w:val="TableParagraph"/>
              <w:tabs>
                <w:tab w:pos="1257" w:val="left" w:leader="none"/>
                <w:tab w:pos="2399" w:val="left" w:leader="none"/>
              </w:tabs>
              <w:ind w:left="302"/>
              <w:jc w:val="left"/>
              <w:rPr>
                <w:b/>
                <w:sz w:val="14"/>
              </w:rPr>
            </w:pPr>
            <w:r>
              <w:rPr>
                <w:b/>
                <w:sz w:val="14"/>
              </w:rPr>
              <w:t>5</w:t>
            </w:r>
            <w:r>
              <w:rPr>
                <w:b/>
                <w:spacing w:val="-6"/>
                <w:sz w:val="14"/>
              </w:rPr>
              <w:t> </w:t>
            </w:r>
            <w:r>
              <w:rPr>
                <w:b/>
                <w:sz w:val="14"/>
              </w:rPr>
              <w:t>years</w:t>
              <w:tab/>
              <w:t>Over</w:t>
            </w:r>
            <w:r>
              <w:rPr>
                <w:b/>
                <w:spacing w:val="-6"/>
                <w:sz w:val="14"/>
              </w:rPr>
              <w:t> </w:t>
            </w:r>
            <w:r>
              <w:rPr>
                <w:b/>
                <w:sz w:val="14"/>
              </w:rPr>
              <w:t>5</w:t>
            </w:r>
            <w:r>
              <w:rPr>
                <w:b/>
                <w:spacing w:val="-6"/>
                <w:sz w:val="14"/>
              </w:rPr>
              <w:t> </w:t>
            </w:r>
            <w:r>
              <w:rPr>
                <w:b/>
                <w:sz w:val="14"/>
              </w:rPr>
              <w:t>years</w:t>
              <w:tab/>
              <w:t>Non</w:t>
            </w:r>
            <w:r>
              <w:rPr>
                <w:b/>
                <w:spacing w:val="-17"/>
                <w:sz w:val="14"/>
              </w:rPr>
              <w:t> </w:t>
            </w:r>
            <w:r>
              <w:rPr>
                <w:b/>
                <w:sz w:val="14"/>
              </w:rPr>
              <w:t>interest</w:t>
            </w:r>
          </w:p>
        </w:tc>
        <w:tc>
          <w:tcPr>
            <w:tcW w:w="964" w:type="dxa"/>
          </w:tcPr>
          <w:p>
            <w:pPr>
              <w:pStyle w:val="TableParagraph"/>
              <w:spacing w:before="11"/>
              <w:ind w:left="160" w:hanging="34"/>
              <w:jc w:val="left"/>
              <w:rPr>
                <w:b/>
                <w:sz w:val="14"/>
              </w:rPr>
            </w:pPr>
            <w:r>
              <w:rPr>
                <w:b/>
                <w:sz w:val="14"/>
              </w:rPr>
              <w:t>Carrying amount</w:t>
            </w:r>
          </w:p>
        </w:tc>
        <w:tc>
          <w:tcPr>
            <w:tcW w:w="827" w:type="dxa"/>
          </w:tcPr>
          <w:p>
            <w:pPr>
              <w:pStyle w:val="TableParagraph"/>
              <w:spacing w:before="11"/>
              <w:ind w:left="70" w:right="-48" w:firstLine="124"/>
              <w:jc w:val="left"/>
              <w:rPr>
                <w:b/>
                <w:sz w:val="14"/>
              </w:rPr>
            </w:pPr>
            <w:r>
              <w:rPr>
                <w:b/>
                <w:sz w:val="14"/>
              </w:rPr>
              <w:t>Average interest</w:t>
            </w:r>
            <w:r>
              <w:rPr>
                <w:b/>
                <w:spacing w:val="-17"/>
                <w:sz w:val="14"/>
              </w:rPr>
              <w:t> </w:t>
            </w:r>
            <w:r>
              <w:rPr>
                <w:b/>
                <w:sz w:val="14"/>
              </w:rPr>
              <w:t>rate</w:t>
            </w:r>
          </w:p>
        </w:tc>
        <w:tc>
          <w:tcPr>
            <w:tcW w:w="154" w:type="dxa"/>
          </w:tcPr>
          <w:p>
            <w:pPr/>
          </w:p>
        </w:tc>
      </w:tr>
      <w:tr>
        <w:trPr>
          <w:trHeight w:val="226" w:hRule="exact"/>
        </w:trPr>
        <w:tc>
          <w:tcPr>
            <w:tcW w:w="270" w:type="dxa"/>
          </w:tcPr>
          <w:p>
            <w:pPr/>
          </w:p>
        </w:tc>
        <w:tc>
          <w:tcPr>
            <w:tcW w:w="3105" w:type="dxa"/>
          </w:tcPr>
          <w:p>
            <w:pPr>
              <w:pStyle w:val="TableParagraph"/>
              <w:spacing w:before="26"/>
              <w:ind w:left="724"/>
              <w:jc w:val="left"/>
              <w:rPr>
                <w:b/>
                <w:sz w:val="14"/>
              </w:rPr>
            </w:pPr>
            <w:r>
              <w:rPr>
                <w:b/>
                <w:sz w:val="14"/>
              </w:rPr>
              <w:t>2015</w:t>
            </w:r>
          </w:p>
        </w:tc>
        <w:tc>
          <w:tcPr>
            <w:tcW w:w="1159" w:type="dxa"/>
          </w:tcPr>
          <w:p>
            <w:pPr>
              <w:pStyle w:val="TableParagraph"/>
              <w:spacing w:before="26"/>
              <w:ind w:right="52"/>
              <w:jc w:val="center"/>
              <w:rPr>
                <w:b/>
                <w:sz w:val="14"/>
              </w:rPr>
            </w:pPr>
            <w:r>
              <w:rPr>
                <w:b/>
                <w:w w:val="99"/>
                <w:sz w:val="14"/>
              </w:rPr>
              <w:t>$</w:t>
            </w:r>
          </w:p>
        </w:tc>
        <w:tc>
          <w:tcPr>
            <w:tcW w:w="3468" w:type="dxa"/>
          </w:tcPr>
          <w:p>
            <w:pPr>
              <w:pStyle w:val="TableParagraph"/>
              <w:tabs>
                <w:tab w:pos="1631" w:val="left" w:leader="none"/>
                <w:tab w:pos="2764" w:val="left" w:leader="none"/>
              </w:tabs>
              <w:spacing w:before="26"/>
              <w:ind w:left="499"/>
              <w:jc w:val="left"/>
              <w:rPr>
                <w:b/>
                <w:sz w:val="14"/>
              </w:rPr>
            </w:pPr>
            <w:r>
              <w:rPr>
                <w:b/>
                <w:sz w:val="14"/>
              </w:rPr>
              <w:t>$</w:t>
              <w:tab/>
              <w:t>$</w:t>
              <w:tab/>
              <w:t>$</w:t>
            </w:r>
          </w:p>
        </w:tc>
        <w:tc>
          <w:tcPr>
            <w:tcW w:w="964" w:type="dxa"/>
          </w:tcPr>
          <w:p>
            <w:pPr>
              <w:pStyle w:val="TableParagraph"/>
              <w:spacing w:before="26"/>
              <w:ind w:right="140"/>
              <w:jc w:val="center"/>
              <w:rPr>
                <w:b/>
                <w:sz w:val="14"/>
              </w:rPr>
            </w:pPr>
            <w:r>
              <w:rPr>
                <w:b/>
                <w:w w:val="99"/>
                <w:sz w:val="14"/>
              </w:rPr>
              <w:t>$</w:t>
            </w:r>
          </w:p>
        </w:tc>
        <w:tc>
          <w:tcPr>
            <w:tcW w:w="827" w:type="dxa"/>
          </w:tcPr>
          <w:p>
            <w:pPr>
              <w:pStyle w:val="TableParagraph"/>
              <w:spacing w:before="26"/>
              <w:ind w:left="110"/>
              <w:jc w:val="center"/>
              <w:rPr>
                <w:b/>
                <w:sz w:val="14"/>
              </w:rPr>
            </w:pPr>
            <w:r>
              <w:rPr>
                <w:b/>
                <w:w w:val="99"/>
                <w:sz w:val="14"/>
              </w:rPr>
              <w:t>%</w:t>
            </w:r>
          </w:p>
        </w:tc>
        <w:tc>
          <w:tcPr>
            <w:tcW w:w="154" w:type="dxa"/>
          </w:tcPr>
          <w:p>
            <w:pPr/>
          </w:p>
        </w:tc>
      </w:tr>
      <w:tr>
        <w:trPr>
          <w:trHeight w:val="222" w:hRule="exact"/>
        </w:trPr>
        <w:tc>
          <w:tcPr>
            <w:tcW w:w="270" w:type="dxa"/>
          </w:tcPr>
          <w:p>
            <w:pPr/>
          </w:p>
        </w:tc>
        <w:tc>
          <w:tcPr>
            <w:tcW w:w="3105" w:type="dxa"/>
          </w:tcPr>
          <w:p>
            <w:pPr>
              <w:pStyle w:val="TableParagraph"/>
              <w:spacing w:before="26"/>
              <w:ind w:left="724"/>
              <w:jc w:val="left"/>
              <w:rPr>
                <w:sz w:val="14"/>
              </w:rPr>
            </w:pPr>
            <w:r>
              <w:rPr>
                <w:sz w:val="14"/>
              </w:rPr>
              <w:t>Cash and cash equivalents</w:t>
            </w:r>
          </w:p>
        </w:tc>
        <w:tc>
          <w:tcPr>
            <w:tcW w:w="1159" w:type="dxa"/>
          </w:tcPr>
          <w:p>
            <w:pPr>
              <w:pStyle w:val="TableParagraph"/>
              <w:spacing w:before="23"/>
              <w:ind w:right="98"/>
              <w:rPr>
                <w:sz w:val="14"/>
              </w:rPr>
            </w:pPr>
            <w:r>
              <w:rPr>
                <w:w w:val="95"/>
                <w:sz w:val="14"/>
              </w:rPr>
              <w:t>502,541</w:t>
            </w:r>
          </w:p>
        </w:tc>
        <w:tc>
          <w:tcPr>
            <w:tcW w:w="3468" w:type="dxa"/>
          </w:tcPr>
          <w:p>
            <w:pPr>
              <w:pStyle w:val="TableParagraph"/>
              <w:tabs>
                <w:tab w:pos="1132" w:val="left" w:leader="none"/>
                <w:tab w:pos="2265" w:val="left" w:leader="none"/>
              </w:tabs>
              <w:spacing w:before="23"/>
              <w:ind w:right="311"/>
              <w:rPr>
                <w:sz w:val="14"/>
              </w:rPr>
            </w:pPr>
            <w:r>
              <w:rPr>
                <w:sz w:val="14"/>
              </w:rPr>
              <w:t>-</w:t>
              <w:tab/>
              <w:t>-</w:t>
              <w:tab/>
            </w:r>
            <w:r>
              <w:rPr>
                <w:w w:val="95"/>
                <w:sz w:val="14"/>
              </w:rPr>
              <w:t>-</w:t>
            </w:r>
          </w:p>
        </w:tc>
        <w:tc>
          <w:tcPr>
            <w:tcW w:w="964" w:type="dxa"/>
          </w:tcPr>
          <w:p>
            <w:pPr>
              <w:pStyle w:val="TableParagraph"/>
              <w:spacing w:before="23"/>
              <w:ind w:right="114"/>
              <w:rPr>
                <w:sz w:val="14"/>
              </w:rPr>
            </w:pPr>
            <w:r>
              <w:rPr>
                <w:w w:val="95"/>
                <w:sz w:val="14"/>
              </w:rPr>
              <w:t>502,541</w:t>
            </w:r>
          </w:p>
        </w:tc>
        <w:tc>
          <w:tcPr>
            <w:tcW w:w="827" w:type="dxa"/>
          </w:tcPr>
          <w:p>
            <w:pPr/>
          </w:p>
        </w:tc>
        <w:tc>
          <w:tcPr>
            <w:tcW w:w="154" w:type="dxa"/>
          </w:tcPr>
          <w:p>
            <w:pPr>
              <w:pStyle w:val="TableParagraph"/>
              <w:spacing w:before="23"/>
              <w:jc w:val="left"/>
              <w:rPr>
                <w:sz w:val="14"/>
              </w:rPr>
            </w:pPr>
            <w:r>
              <w:rPr>
                <w:w w:val="99"/>
                <w:sz w:val="14"/>
              </w:rPr>
              <w:t>2</w:t>
            </w:r>
          </w:p>
        </w:tc>
      </w:tr>
      <w:tr>
        <w:trPr>
          <w:trHeight w:val="218" w:hRule="exact"/>
        </w:trPr>
        <w:tc>
          <w:tcPr>
            <w:tcW w:w="270" w:type="dxa"/>
          </w:tcPr>
          <w:p>
            <w:pPr/>
          </w:p>
        </w:tc>
        <w:tc>
          <w:tcPr>
            <w:tcW w:w="3105" w:type="dxa"/>
          </w:tcPr>
          <w:p>
            <w:pPr>
              <w:pStyle w:val="TableParagraph"/>
              <w:spacing w:before="22"/>
              <w:ind w:left="724"/>
              <w:jc w:val="left"/>
              <w:rPr>
                <w:sz w:val="14"/>
              </w:rPr>
            </w:pPr>
            <w:r>
              <w:rPr>
                <w:sz w:val="14"/>
              </w:rPr>
              <w:t>Trade and other receivables</w:t>
            </w:r>
          </w:p>
        </w:tc>
        <w:tc>
          <w:tcPr>
            <w:tcW w:w="1159" w:type="dxa"/>
          </w:tcPr>
          <w:p>
            <w:pPr>
              <w:pStyle w:val="TableParagraph"/>
              <w:spacing w:before="20"/>
              <w:ind w:right="98"/>
              <w:rPr>
                <w:sz w:val="14"/>
              </w:rPr>
            </w:pPr>
            <w:r>
              <w:rPr>
                <w:w w:val="95"/>
                <w:sz w:val="14"/>
              </w:rPr>
              <w:t>1,131,602</w:t>
            </w:r>
          </w:p>
        </w:tc>
        <w:tc>
          <w:tcPr>
            <w:tcW w:w="3468" w:type="dxa"/>
          </w:tcPr>
          <w:p>
            <w:pPr>
              <w:pStyle w:val="TableParagraph"/>
              <w:tabs>
                <w:tab w:pos="1132" w:val="left" w:leader="none"/>
                <w:tab w:pos="1838" w:val="left" w:leader="none"/>
              </w:tabs>
              <w:spacing w:before="20"/>
              <w:ind w:right="170"/>
              <w:rPr>
                <w:sz w:val="14"/>
              </w:rPr>
            </w:pPr>
            <w:r>
              <w:rPr>
                <w:sz w:val="14"/>
              </w:rPr>
              <w:t>-</w:t>
              <w:tab/>
              <w:t>-</w:t>
              <w:tab/>
            </w:r>
            <w:r>
              <w:rPr>
                <w:spacing w:val="-1"/>
                <w:w w:val="95"/>
                <w:sz w:val="14"/>
              </w:rPr>
              <w:t>1,131,602</w:t>
            </w:r>
          </w:p>
        </w:tc>
        <w:tc>
          <w:tcPr>
            <w:tcW w:w="964" w:type="dxa"/>
          </w:tcPr>
          <w:p>
            <w:pPr>
              <w:pStyle w:val="TableParagraph"/>
              <w:spacing w:before="20"/>
              <w:ind w:right="114"/>
              <w:rPr>
                <w:sz w:val="14"/>
              </w:rPr>
            </w:pPr>
            <w:r>
              <w:rPr>
                <w:w w:val="95"/>
                <w:sz w:val="14"/>
              </w:rPr>
              <w:t>1,131,602</w:t>
            </w:r>
          </w:p>
        </w:tc>
        <w:tc>
          <w:tcPr>
            <w:tcW w:w="827" w:type="dxa"/>
          </w:tcPr>
          <w:p>
            <w:pPr>
              <w:pStyle w:val="TableParagraph"/>
              <w:spacing w:before="20"/>
              <w:ind w:right="62"/>
              <w:rPr>
                <w:sz w:val="14"/>
              </w:rPr>
            </w:pPr>
            <w:r>
              <w:rPr>
                <w:w w:val="99"/>
                <w:sz w:val="14"/>
              </w:rPr>
              <w:t>-</w:t>
            </w:r>
          </w:p>
        </w:tc>
        <w:tc>
          <w:tcPr>
            <w:tcW w:w="154" w:type="dxa"/>
          </w:tcPr>
          <w:p>
            <w:pPr/>
          </w:p>
        </w:tc>
      </w:tr>
      <w:tr>
        <w:trPr>
          <w:trHeight w:val="218" w:hRule="exact"/>
        </w:trPr>
        <w:tc>
          <w:tcPr>
            <w:tcW w:w="270" w:type="dxa"/>
          </w:tcPr>
          <w:p>
            <w:pPr/>
          </w:p>
        </w:tc>
        <w:tc>
          <w:tcPr>
            <w:tcW w:w="3105" w:type="dxa"/>
          </w:tcPr>
          <w:p>
            <w:pPr>
              <w:pStyle w:val="TableParagraph"/>
              <w:spacing w:before="22"/>
              <w:ind w:left="724"/>
              <w:jc w:val="left"/>
              <w:rPr>
                <w:sz w:val="14"/>
              </w:rPr>
            </w:pPr>
            <w:r>
              <w:rPr>
                <w:sz w:val="14"/>
              </w:rPr>
              <w:t>Trade and other payables</w:t>
            </w:r>
          </w:p>
        </w:tc>
        <w:tc>
          <w:tcPr>
            <w:tcW w:w="1159" w:type="dxa"/>
          </w:tcPr>
          <w:p>
            <w:pPr>
              <w:pStyle w:val="TableParagraph"/>
              <w:spacing w:before="20"/>
              <w:ind w:right="53"/>
              <w:rPr>
                <w:sz w:val="14"/>
              </w:rPr>
            </w:pPr>
            <w:r>
              <w:rPr>
                <w:w w:val="95"/>
                <w:sz w:val="14"/>
              </w:rPr>
              <w:t>(1,856,084)</w:t>
            </w:r>
          </w:p>
        </w:tc>
        <w:tc>
          <w:tcPr>
            <w:tcW w:w="3468" w:type="dxa"/>
          </w:tcPr>
          <w:p>
            <w:pPr>
              <w:pStyle w:val="TableParagraph"/>
              <w:tabs>
                <w:tab w:pos="1132" w:val="left" w:leader="none"/>
                <w:tab w:pos="1792" w:val="left" w:leader="none"/>
              </w:tabs>
              <w:spacing w:before="20"/>
              <w:ind w:right="125"/>
              <w:rPr>
                <w:sz w:val="14"/>
              </w:rPr>
            </w:pPr>
            <w:r>
              <w:rPr>
                <w:sz w:val="14"/>
              </w:rPr>
              <w:t>-</w:t>
              <w:tab/>
              <w:t>-</w:t>
              <w:tab/>
            </w:r>
            <w:r>
              <w:rPr>
                <w:spacing w:val="-1"/>
                <w:w w:val="95"/>
                <w:sz w:val="14"/>
              </w:rPr>
              <w:t>(1,856,084)</w:t>
            </w:r>
          </w:p>
        </w:tc>
        <w:tc>
          <w:tcPr>
            <w:tcW w:w="964" w:type="dxa"/>
          </w:tcPr>
          <w:p>
            <w:pPr>
              <w:pStyle w:val="TableParagraph"/>
              <w:spacing w:before="20"/>
              <w:ind w:right="68"/>
              <w:rPr>
                <w:sz w:val="14"/>
              </w:rPr>
            </w:pPr>
            <w:r>
              <w:rPr>
                <w:w w:val="95"/>
                <w:sz w:val="14"/>
              </w:rPr>
              <w:t>(1,856,084)</w:t>
            </w:r>
          </w:p>
        </w:tc>
        <w:tc>
          <w:tcPr>
            <w:tcW w:w="827" w:type="dxa"/>
          </w:tcPr>
          <w:p>
            <w:pPr>
              <w:pStyle w:val="TableParagraph"/>
              <w:spacing w:before="20"/>
              <w:ind w:right="62"/>
              <w:rPr>
                <w:sz w:val="14"/>
              </w:rPr>
            </w:pPr>
            <w:r>
              <w:rPr>
                <w:w w:val="99"/>
                <w:sz w:val="14"/>
              </w:rPr>
              <w:t>-</w:t>
            </w:r>
          </w:p>
        </w:tc>
        <w:tc>
          <w:tcPr>
            <w:tcW w:w="154" w:type="dxa"/>
          </w:tcPr>
          <w:p>
            <w:pPr/>
          </w:p>
        </w:tc>
      </w:tr>
      <w:tr>
        <w:trPr>
          <w:trHeight w:val="217" w:hRule="exact"/>
        </w:trPr>
        <w:tc>
          <w:tcPr>
            <w:tcW w:w="270" w:type="dxa"/>
          </w:tcPr>
          <w:p>
            <w:pPr/>
          </w:p>
        </w:tc>
        <w:tc>
          <w:tcPr>
            <w:tcW w:w="3105" w:type="dxa"/>
          </w:tcPr>
          <w:p>
            <w:pPr>
              <w:pStyle w:val="TableParagraph"/>
              <w:spacing w:before="22"/>
              <w:ind w:left="724"/>
              <w:jc w:val="left"/>
              <w:rPr>
                <w:sz w:val="14"/>
              </w:rPr>
            </w:pPr>
            <w:r>
              <w:rPr>
                <w:sz w:val="14"/>
              </w:rPr>
              <w:t>Borrowings</w:t>
            </w:r>
          </w:p>
        </w:tc>
        <w:tc>
          <w:tcPr>
            <w:tcW w:w="1159" w:type="dxa"/>
            <w:tcBorders>
              <w:bottom w:val="single" w:sz="1" w:space="0" w:color="000000"/>
            </w:tcBorders>
          </w:tcPr>
          <w:p>
            <w:pPr>
              <w:pStyle w:val="TableParagraph"/>
              <w:spacing w:before="20"/>
              <w:ind w:right="53"/>
              <w:rPr>
                <w:sz w:val="14"/>
              </w:rPr>
            </w:pPr>
            <w:r>
              <w:rPr>
                <w:w w:val="95"/>
                <w:sz w:val="14"/>
              </w:rPr>
              <w:t>(5,010,493)</w:t>
            </w:r>
          </w:p>
        </w:tc>
        <w:tc>
          <w:tcPr>
            <w:tcW w:w="3468" w:type="dxa"/>
            <w:tcBorders>
              <w:bottom w:val="single" w:sz="1" w:space="0" w:color="000000"/>
            </w:tcBorders>
          </w:tcPr>
          <w:p>
            <w:pPr>
              <w:pStyle w:val="TableParagraph"/>
              <w:tabs>
                <w:tab w:pos="1132" w:val="left" w:leader="none"/>
                <w:tab w:pos="2265" w:val="left" w:leader="none"/>
              </w:tabs>
              <w:spacing w:before="20"/>
              <w:ind w:right="311"/>
              <w:rPr>
                <w:sz w:val="14"/>
              </w:rPr>
            </w:pPr>
            <w:r>
              <w:rPr>
                <w:sz w:val="14"/>
              </w:rPr>
              <w:t>-</w:t>
              <w:tab/>
              <w:t>-</w:t>
              <w:tab/>
            </w:r>
            <w:r>
              <w:rPr>
                <w:w w:val="95"/>
                <w:sz w:val="14"/>
              </w:rPr>
              <w:t>-</w:t>
            </w:r>
          </w:p>
        </w:tc>
        <w:tc>
          <w:tcPr>
            <w:tcW w:w="964" w:type="dxa"/>
            <w:tcBorders>
              <w:bottom w:val="single" w:sz="1" w:space="0" w:color="000000"/>
            </w:tcBorders>
          </w:tcPr>
          <w:p>
            <w:pPr>
              <w:pStyle w:val="TableParagraph"/>
              <w:spacing w:before="20"/>
              <w:ind w:right="68"/>
              <w:rPr>
                <w:sz w:val="14"/>
              </w:rPr>
            </w:pPr>
            <w:r>
              <w:rPr>
                <w:w w:val="95"/>
                <w:sz w:val="14"/>
              </w:rPr>
              <w:t>(5,010,493)</w:t>
            </w:r>
          </w:p>
        </w:tc>
        <w:tc>
          <w:tcPr>
            <w:tcW w:w="827" w:type="dxa"/>
            <w:tcBorders>
              <w:bottom w:val="single" w:sz="1" w:space="0" w:color="000000"/>
            </w:tcBorders>
          </w:tcPr>
          <w:p>
            <w:pPr/>
          </w:p>
        </w:tc>
        <w:tc>
          <w:tcPr>
            <w:tcW w:w="154" w:type="dxa"/>
            <w:tcBorders>
              <w:bottom w:val="single" w:sz="1" w:space="0" w:color="000000"/>
            </w:tcBorders>
          </w:tcPr>
          <w:p>
            <w:pPr>
              <w:pStyle w:val="TableParagraph"/>
              <w:spacing w:before="20"/>
              <w:jc w:val="left"/>
              <w:rPr>
                <w:sz w:val="14"/>
              </w:rPr>
            </w:pPr>
            <w:r>
              <w:rPr>
                <w:w w:val="99"/>
                <w:sz w:val="14"/>
              </w:rPr>
              <w:t>5</w:t>
            </w:r>
          </w:p>
        </w:tc>
      </w:tr>
      <w:tr>
        <w:trPr>
          <w:trHeight w:val="313" w:hRule="exact"/>
        </w:trPr>
        <w:tc>
          <w:tcPr>
            <w:tcW w:w="270" w:type="dxa"/>
          </w:tcPr>
          <w:p>
            <w:pPr/>
          </w:p>
        </w:tc>
        <w:tc>
          <w:tcPr>
            <w:tcW w:w="3105" w:type="dxa"/>
          </w:tcPr>
          <w:p>
            <w:pPr>
              <w:pStyle w:val="TableParagraph"/>
              <w:spacing w:before="124"/>
              <w:ind w:left="724"/>
              <w:jc w:val="left"/>
              <w:rPr>
                <w:b/>
                <w:sz w:val="14"/>
              </w:rPr>
            </w:pPr>
            <w:r>
              <w:rPr>
                <w:b/>
                <w:sz w:val="14"/>
              </w:rPr>
              <w:t>Total non derivatives</w:t>
            </w:r>
          </w:p>
        </w:tc>
        <w:tc>
          <w:tcPr>
            <w:tcW w:w="1159" w:type="dxa"/>
            <w:tcBorders>
              <w:top w:val="single" w:sz="1" w:space="0" w:color="000000"/>
              <w:bottom w:val="single" w:sz="1" w:space="0" w:color="000000"/>
            </w:tcBorders>
          </w:tcPr>
          <w:p>
            <w:pPr>
              <w:pStyle w:val="TableParagraph"/>
              <w:spacing w:before="123"/>
              <w:ind w:right="53"/>
              <w:rPr>
                <w:sz w:val="14"/>
              </w:rPr>
            </w:pPr>
            <w:r>
              <w:rPr>
                <w:w w:val="95"/>
                <w:sz w:val="14"/>
              </w:rPr>
              <w:t>(5,232,434)</w:t>
            </w:r>
          </w:p>
        </w:tc>
        <w:tc>
          <w:tcPr>
            <w:tcW w:w="3468" w:type="dxa"/>
            <w:tcBorders>
              <w:top w:val="single" w:sz="1" w:space="0" w:color="000000"/>
              <w:bottom w:val="single" w:sz="1" w:space="0" w:color="000000"/>
            </w:tcBorders>
          </w:tcPr>
          <w:p>
            <w:pPr>
              <w:pStyle w:val="TableParagraph"/>
              <w:tabs>
                <w:tab w:pos="1132" w:val="left" w:leader="none"/>
                <w:tab w:pos="1907" w:val="left" w:leader="none"/>
              </w:tabs>
              <w:spacing w:before="123"/>
              <w:ind w:right="125"/>
              <w:rPr>
                <w:sz w:val="14"/>
              </w:rPr>
            </w:pPr>
            <w:r>
              <w:rPr>
                <w:sz w:val="14"/>
              </w:rPr>
              <w:t>-</w:t>
              <w:tab/>
              <w:t>-</w:t>
              <w:tab/>
            </w:r>
            <w:r>
              <w:rPr>
                <w:spacing w:val="-1"/>
                <w:w w:val="95"/>
                <w:sz w:val="14"/>
              </w:rPr>
              <w:t>(724,482)</w:t>
            </w:r>
          </w:p>
        </w:tc>
        <w:tc>
          <w:tcPr>
            <w:tcW w:w="964" w:type="dxa"/>
            <w:tcBorders>
              <w:top w:val="single" w:sz="1" w:space="0" w:color="000000"/>
              <w:bottom w:val="single" w:sz="1" w:space="0" w:color="000000"/>
            </w:tcBorders>
          </w:tcPr>
          <w:p>
            <w:pPr>
              <w:pStyle w:val="TableParagraph"/>
              <w:spacing w:before="123"/>
              <w:ind w:right="68"/>
              <w:rPr>
                <w:sz w:val="14"/>
              </w:rPr>
            </w:pPr>
            <w:r>
              <w:rPr>
                <w:w w:val="95"/>
                <w:sz w:val="14"/>
              </w:rPr>
              <w:t>(5,232,434)</w:t>
            </w:r>
          </w:p>
        </w:tc>
        <w:tc>
          <w:tcPr>
            <w:tcW w:w="827" w:type="dxa"/>
            <w:tcBorders>
              <w:top w:val="single" w:sz="1" w:space="0" w:color="000000"/>
              <w:bottom w:val="single" w:sz="1" w:space="0" w:color="000000"/>
            </w:tcBorders>
          </w:tcPr>
          <w:p>
            <w:pPr/>
          </w:p>
        </w:tc>
        <w:tc>
          <w:tcPr>
            <w:tcW w:w="154" w:type="dxa"/>
            <w:tcBorders>
              <w:top w:val="single" w:sz="1" w:space="0" w:color="000000"/>
              <w:bottom w:val="single" w:sz="1" w:space="0" w:color="000000"/>
            </w:tcBorders>
          </w:tcPr>
          <w:p>
            <w:pPr/>
          </w:p>
        </w:tc>
      </w:tr>
      <w:tr>
        <w:trPr>
          <w:trHeight w:val="643" w:hRule="exact"/>
        </w:trPr>
        <w:tc>
          <w:tcPr>
            <w:tcW w:w="270" w:type="dxa"/>
          </w:tcPr>
          <w:p>
            <w:pPr/>
          </w:p>
        </w:tc>
        <w:tc>
          <w:tcPr>
            <w:tcW w:w="3105" w:type="dxa"/>
          </w:tcPr>
          <w:p>
            <w:pPr>
              <w:pStyle w:val="TableParagraph"/>
              <w:jc w:val="left"/>
              <w:rPr>
                <w:b/>
                <w:sz w:val="18"/>
              </w:rPr>
            </w:pPr>
          </w:p>
          <w:p>
            <w:pPr>
              <w:pStyle w:val="TableParagraph"/>
              <w:tabs>
                <w:tab w:pos="724" w:val="left" w:leader="none"/>
              </w:tabs>
              <w:spacing w:before="133"/>
              <w:ind w:left="158"/>
              <w:jc w:val="left"/>
              <w:rPr>
                <w:b/>
                <w:sz w:val="18"/>
              </w:rPr>
            </w:pPr>
            <w:r>
              <w:rPr>
                <w:b/>
                <w:sz w:val="18"/>
              </w:rPr>
              <w:t>(d)</w:t>
              <w:tab/>
              <w:t>Fair value</w:t>
            </w:r>
            <w:r>
              <w:rPr>
                <w:b/>
                <w:spacing w:val="-1"/>
                <w:sz w:val="18"/>
              </w:rPr>
              <w:t> </w:t>
            </w:r>
            <w:r>
              <w:rPr>
                <w:b/>
                <w:sz w:val="18"/>
              </w:rPr>
              <w:t>measurements</w:t>
            </w:r>
          </w:p>
        </w:tc>
        <w:tc>
          <w:tcPr>
            <w:tcW w:w="1159" w:type="dxa"/>
            <w:tcBorders>
              <w:top w:val="single" w:sz="1" w:space="0" w:color="000000"/>
            </w:tcBorders>
          </w:tcPr>
          <w:p>
            <w:pPr/>
          </w:p>
        </w:tc>
        <w:tc>
          <w:tcPr>
            <w:tcW w:w="3468" w:type="dxa"/>
            <w:tcBorders>
              <w:top w:val="single" w:sz="1" w:space="0" w:color="000000"/>
            </w:tcBorders>
          </w:tcPr>
          <w:p>
            <w:pPr/>
          </w:p>
        </w:tc>
        <w:tc>
          <w:tcPr>
            <w:tcW w:w="964" w:type="dxa"/>
            <w:tcBorders>
              <w:top w:val="single" w:sz="1" w:space="0" w:color="000000"/>
            </w:tcBorders>
          </w:tcPr>
          <w:p>
            <w:pPr/>
          </w:p>
        </w:tc>
        <w:tc>
          <w:tcPr>
            <w:tcW w:w="827" w:type="dxa"/>
            <w:tcBorders>
              <w:top w:val="single" w:sz="1" w:space="0" w:color="000000"/>
            </w:tcBorders>
          </w:tcPr>
          <w:p>
            <w:pPr/>
          </w:p>
        </w:tc>
        <w:tc>
          <w:tcPr>
            <w:tcW w:w="154" w:type="dxa"/>
            <w:tcBorders>
              <w:top w:val="single" w:sz="1" w:space="0" w:color="000000"/>
            </w:tcBorders>
          </w:tcPr>
          <w:p>
            <w:pPr/>
          </w:p>
        </w:tc>
      </w:tr>
    </w:tbl>
    <w:p>
      <w:pPr>
        <w:pStyle w:val="BodyText"/>
        <w:spacing w:before="4"/>
        <w:rPr>
          <w:b/>
          <w:sz w:val="10"/>
        </w:rPr>
      </w:pPr>
    </w:p>
    <w:p>
      <w:pPr>
        <w:pStyle w:val="BodyText"/>
        <w:spacing w:before="77"/>
        <w:ind w:left="2392" w:right="1407"/>
      </w:pPr>
      <w:r>
        <w:rPr/>
        <w:t>The fair value of financial assets and financial liabilities must be estimated for recognition and measurement or for disclosure purposes.</w:t>
      </w:r>
    </w:p>
    <w:p>
      <w:pPr>
        <w:pStyle w:val="BodyText"/>
        <w:spacing w:before="11"/>
        <w:rPr>
          <w:sz w:val="24"/>
        </w:rPr>
      </w:pPr>
    </w:p>
    <w:p>
      <w:pPr>
        <w:pStyle w:val="BodyText"/>
        <w:ind w:left="2392" w:right="1407"/>
      </w:pPr>
      <w:r>
        <w:rPr/>
        <w:t>As the Company's financial instruments are short term in nature, their carrying values recognised in the statement of financial position approximates their fair value.</w:t>
      </w:r>
    </w:p>
    <w:p>
      <w:pPr>
        <w:pStyle w:val="BodyText"/>
        <w:spacing w:before="11"/>
        <w:rPr>
          <w:sz w:val="24"/>
        </w:rPr>
      </w:pPr>
    </w:p>
    <w:p>
      <w:pPr>
        <w:pStyle w:val="BodyText"/>
        <w:ind w:left="2392" w:right="1490"/>
      </w:pPr>
      <w:r>
        <w:rPr/>
        <w:drawing>
          <wp:anchor distT="0" distB="0" distL="0" distR="0" allowOverlap="1" layoutInCell="1" locked="0" behindDoc="0" simplePos="0" relativeHeight="10672">
            <wp:simplePos x="0" y="0"/>
            <wp:positionH relativeFrom="page">
              <wp:posOffset>-1587</wp:posOffset>
            </wp:positionH>
            <wp:positionV relativeFrom="paragraph">
              <wp:posOffset>499032</wp:posOffset>
            </wp:positionV>
            <wp:extent cx="135159" cy="154019"/>
            <wp:effectExtent l="0" t="0" r="0" b="0"/>
            <wp:wrapNone/>
            <wp:docPr id="707" name="image13.png" descr=""/>
            <wp:cNvGraphicFramePr>
              <a:graphicFrameLocks noChangeAspect="1"/>
            </wp:cNvGraphicFramePr>
            <a:graphic>
              <a:graphicData uri="http://schemas.openxmlformats.org/drawingml/2006/picture">
                <pic:pic>
                  <pic:nvPicPr>
                    <pic:cNvPr id="708" name="image13.png"/>
                    <pic:cNvPicPr/>
                  </pic:nvPicPr>
                  <pic:blipFill>
                    <a:blip r:embed="rId18" cstate="print"/>
                    <a:stretch>
                      <a:fillRect/>
                    </a:stretch>
                  </pic:blipFill>
                  <pic:spPr>
                    <a:xfrm>
                      <a:off x="0" y="0"/>
                      <a:ext cx="135159" cy="154019"/>
                    </a:xfrm>
                    <a:prstGeom prst="rect">
                      <a:avLst/>
                    </a:prstGeom>
                  </pic:spPr>
                </pic:pic>
              </a:graphicData>
            </a:graphic>
          </wp:anchor>
        </w:drawing>
      </w:r>
      <w:r>
        <w:rPr/>
        <w:drawing>
          <wp:anchor distT="0" distB="0" distL="0" distR="0" allowOverlap="1" layoutInCell="1" locked="0" behindDoc="0" simplePos="0" relativeHeight="10696">
            <wp:simplePos x="0" y="0"/>
            <wp:positionH relativeFrom="page">
              <wp:posOffset>7958429</wp:posOffset>
            </wp:positionH>
            <wp:positionV relativeFrom="paragraph">
              <wp:posOffset>499032</wp:posOffset>
            </wp:positionV>
            <wp:extent cx="135953" cy="155575"/>
            <wp:effectExtent l="0" t="0" r="0" b="0"/>
            <wp:wrapNone/>
            <wp:docPr id="709" name="image15.png" descr=""/>
            <wp:cNvGraphicFramePr>
              <a:graphicFrameLocks noChangeAspect="1"/>
            </wp:cNvGraphicFramePr>
            <a:graphic>
              <a:graphicData uri="http://schemas.openxmlformats.org/drawingml/2006/picture">
                <pic:pic>
                  <pic:nvPicPr>
                    <pic:cNvPr id="710" name="image15.png"/>
                    <pic:cNvPicPr/>
                  </pic:nvPicPr>
                  <pic:blipFill>
                    <a:blip r:embed="rId20" cstate="print"/>
                    <a:stretch>
                      <a:fillRect/>
                    </a:stretch>
                  </pic:blipFill>
                  <pic:spPr>
                    <a:xfrm>
                      <a:off x="0" y="0"/>
                      <a:ext cx="135953" cy="155575"/>
                    </a:xfrm>
                    <a:prstGeom prst="rect">
                      <a:avLst/>
                    </a:prstGeom>
                  </pic:spPr>
                </pic:pic>
              </a:graphicData>
            </a:graphic>
          </wp:anchor>
        </w:drawing>
      </w:r>
      <w:r>
        <w:rPr/>
        <w:t>The carrying amount and aggregate net fair values of financial assets and financial liabilities at balance date are:</w:t>
      </w:r>
    </w:p>
    <w:p>
      <w:pPr>
        <w:pStyle w:val="BodyText"/>
        <w:spacing w:before="1" w:after="1"/>
        <w:rPr>
          <w:sz w:val="10"/>
        </w:rPr>
      </w:pPr>
    </w:p>
    <w:tbl>
      <w:tblPr>
        <w:tblW w:w="0" w:type="auto"/>
        <w:jc w:val="left"/>
        <w:tblInd w:w="238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364"/>
        <w:gridCol w:w="1358"/>
        <w:gridCol w:w="1234"/>
      </w:tblGrid>
      <w:tr>
        <w:trPr>
          <w:trHeight w:val="533" w:hRule="exact"/>
        </w:trPr>
        <w:tc>
          <w:tcPr>
            <w:tcW w:w="6364" w:type="dxa"/>
            <w:vMerge w:val="restart"/>
          </w:tcPr>
          <w:p>
            <w:pPr/>
          </w:p>
        </w:tc>
        <w:tc>
          <w:tcPr>
            <w:tcW w:w="1358" w:type="dxa"/>
          </w:tcPr>
          <w:p>
            <w:pPr>
              <w:pStyle w:val="TableParagraph"/>
              <w:spacing w:before="77"/>
              <w:ind w:left="319" w:hanging="39"/>
              <w:jc w:val="left"/>
              <w:rPr>
                <w:b/>
                <w:sz w:val="18"/>
              </w:rPr>
            </w:pPr>
            <w:r>
              <w:rPr>
                <w:b/>
                <w:sz w:val="18"/>
              </w:rPr>
              <w:t>Carrying amount</w:t>
            </w:r>
          </w:p>
        </w:tc>
        <w:tc>
          <w:tcPr>
            <w:tcW w:w="1234" w:type="dxa"/>
          </w:tcPr>
          <w:p>
            <w:pPr>
              <w:pStyle w:val="TableParagraph"/>
              <w:spacing w:before="7"/>
              <w:jc w:val="left"/>
              <w:rPr>
                <w:sz w:val="24"/>
              </w:rPr>
            </w:pPr>
          </w:p>
          <w:p>
            <w:pPr>
              <w:pStyle w:val="TableParagraph"/>
              <w:ind w:left="151"/>
              <w:jc w:val="left"/>
              <w:rPr>
                <w:b/>
                <w:sz w:val="18"/>
              </w:rPr>
            </w:pPr>
            <w:r>
              <w:rPr>
                <w:b/>
                <w:sz w:val="18"/>
              </w:rPr>
              <w:t>Fair value</w:t>
            </w:r>
          </w:p>
        </w:tc>
      </w:tr>
      <w:tr>
        <w:trPr>
          <w:trHeight w:val="328" w:hRule="exact"/>
        </w:trPr>
        <w:tc>
          <w:tcPr>
            <w:tcW w:w="6364" w:type="dxa"/>
            <w:vMerge/>
          </w:tcPr>
          <w:p>
            <w:pPr/>
          </w:p>
        </w:tc>
        <w:tc>
          <w:tcPr>
            <w:tcW w:w="1358" w:type="dxa"/>
          </w:tcPr>
          <w:p>
            <w:pPr>
              <w:pStyle w:val="TableParagraph"/>
              <w:spacing w:before="24"/>
              <w:ind w:right="65"/>
              <w:jc w:val="center"/>
              <w:rPr>
                <w:b/>
                <w:sz w:val="18"/>
              </w:rPr>
            </w:pPr>
            <w:r>
              <w:rPr>
                <w:b/>
                <w:w w:val="99"/>
                <w:sz w:val="18"/>
              </w:rPr>
              <w:t>$</w:t>
            </w:r>
          </w:p>
        </w:tc>
        <w:tc>
          <w:tcPr>
            <w:tcW w:w="1234" w:type="dxa"/>
          </w:tcPr>
          <w:p>
            <w:pPr>
              <w:pStyle w:val="TableParagraph"/>
              <w:spacing w:before="24"/>
              <w:ind w:right="89"/>
              <w:jc w:val="center"/>
              <w:rPr>
                <w:b/>
                <w:sz w:val="18"/>
              </w:rPr>
            </w:pPr>
            <w:r>
              <w:rPr>
                <w:b/>
                <w:w w:val="99"/>
                <w:sz w:val="18"/>
              </w:rPr>
              <w:t>$</w:t>
            </w:r>
          </w:p>
        </w:tc>
      </w:tr>
      <w:tr>
        <w:trPr>
          <w:trHeight w:val="559" w:hRule="exact"/>
        </w:trPr>
        <w:tc>
          <w:tcPr>
            <w:tcW w:w="6364" w:type="dxa"/>
          </w:tcPr>
          <w:p>
            <w:pPr>
              <w:pStyle w:val="TableParagraph"/>
              <w:spacing w:before="78"/>
              <w:ind w:left="35"/>
              <w:jc w:val="left"/>
              <w:rPr>
                <w:b/>
                <w:sz w:val="18"/>
              </w:rPr>
            </w:pPr>
            <w:r>
              <w:rPr>
                <w:b/>
                <w:sz w:val="18"/>
              </w:rPr>
              <w:t>Financial assets</w:t>
            </w:r>
          </w:p>
          <w:p>
            <w:pPr>
              <w:pStyle w:val="TableParagraph"/>
              <w:spacing w:before="30"/>
              <w:ind w:left="35"/>
              <w:jc w:val="left"/>
              <w:rPr>
                <w:sz w:val="18"/>
              </w:rPr>
            </w:pPr>
            <w:r>
              <w:rPr>
                <w:sz w:val="18"/>
              </w:rPr>
              <w:t>Cash and cash equivalents</w:t>
            </w:r>
          </w:p>
        </w:tc>
        <w:tc>
          <w:tcPr>
            <w:tcW w:w="1358" w:type="dxa"/>
          </w:tcPr>
          <w:p>
            <w:pPr>
              <w:pStyle w:val="TableParagraph"/>
              <w:jc w:val="left"/>
              <w:rPr>
                <w:sz w:val="18"/>
              </w:rPr>
            </w:pPr>
          </w:p>
          <w:p>
            <w:pPr>
              <w:pStyle w:val="TableParagraph"/>
              <w:spacing w:before="106"/>
              <w:ind w:right="149"/>
              <w:rPr>
                <w:b/>
                <w:sz w:val="18"/>
              </w:rPr>
            </w:pPr>
            <w:r>
              <w:rPr>
                <w:b/>
                <w:w w:val="95"/>
                <w:sz w:val="18"/>
              </w:rPr>
              <w:t>496,008</w:t>
            </w:r>
          </w:p>
        </w:tc>
        <w:tc>
          <w:tcPr>
            <w:tcW w:w="1234" w:type="dxa"/>
          </w:tcPr>
          <w:p>
            <w:pPr>
              <w:pStyle w:val="TableParagraph"/>
              <w:jc w:val="left"/>
              <w:rPr>
                <w:sz w:val="18"/>
              </w:rPr>
            </w:pPr>
          </w:p>
          <w:p>
            <w:pPr>
              <w:pStyle w:val="TableParagraph"/>
              <w:spacing w:before="106"/>
              <w:ind w:right="88"/>
              <w:rPr>
                <w:sz w:val="18"/>
              </w:rPr>
            </w:pPr>
            <w:r>
              <w:rPr>
                <w:w w:val="95"/>
                <w:sz w:val="18"/>
              </w:rPr>
              <w:t>496,008</w:t>
            </w:r>
          </w:p>
        </w:tc>
      </w:tr>
      <w:tr>
        <w:trPr>
          <w:trHeight w:val="260" w:hRule="exact"/>
        </w:trPr>
        <w:tc>
          <w:tcPr>
            <w:tcW w:w="6364" w:type="dxa"/>
          </w:tcPr>
          <w:p>
            <w:pPr>
              <w:pStyle w:val="TableParagraph"/>
              <w:spacing w:before="20"/>
              <w:ind w:left="35"/>
              <w:jc w:val="left"/>
              <w:rPr>
                <w:sz w:val="18"/>
              </w:rPr>
            </w:pPr>
            <w:r>
              <w:rPr>
                <w:sz w:val="18"/>
              </w:rPr>
              <w:t>Trade and other receivables</w:t>
            </w:r>
          </w:p>
        </w:tc>
        <w:tc>
          <w:tcPr>
            <w:tcW w:w="1358" w:type="dxa"/>
            <w:tcBorders>
              <w:bottom w:val="single" w:sz="1" w:space="0" w:color="000000"/>
            </w:tcBorders>
          </w:tcPr>
          <w:p>
            <w:pPr>
              <w:pStyle w:val="TableParagraph"/>
              <w:spacing w:before="18"/>
              <w:ind w:right="149"/>
              <w:rPr>
                <w:b/>
                <w:sz w:val="18"/>
              </w:rPr>
            </w:pPr>
            <w:r>
              <w:rPr>
                <w:b/>
                <w:w w:val="95"/>
                <w:sz w:val="18"/>
              </w:rPr>
              <w:t>2,746,448</w:t>
            </w:r>
          </w:p>
        </w:tc>
        <w:tc>
          <w:tcPr>
            <w:tcW w:w="1234" w:type="dxa"/>
            <w:tcBorders>
              <w:bottom w:val="single" w:sz="1" w:space="0" w:color="000000"/>
            </w:tcBorders>
          </w:tcPr>
          <w:p>
            <w:pPr>
              <w:pStyle w:val="TableParagraph"/>
              <w:spacing w:before="18"/>
              <w:ind w:right="87"/>
              <w:rPr>
                <w:sz w:val="18"/>
              </w:rPr>
            </w:pPr>
            <w:r>
              <w:rPr>
                <w:w w:val="95"/>
                <w:sz w:val="18"/>
              </w:rPr>
              <w:t>2,746,448</w:t>
            </w:r>
          </w:p>
        </w:tc>
      </w:tr>
      <w:tr>
        <w:trPr>
          <w:trHeight w:val="338" w:hRule="exact"/>
        </w:trPr>
        <w:tc>
          <w:tcPr>
            <w:tcW w:w="6364" w:type="dxa"/>
          </w:tcPr>
          <w:p>
            <w:pPr>
              <w:pStyle w:val="TableParagraph"/>
              <w:spacing w:before="125"/>
              <w:ind w:left="35"/>
              <w:jc w:val="left"/>
              <w:rPr>
                <w:b/>
                <w:sz w:val="18"/>
              </w:rPr>
            </w:pPr>
            <w:r>
              <w:rPr>
                <w:b/>
                <w:sz w:val="18"/>
              </w:rPr>
              <w:t>Total</w:t>
            </w:r>
          </w:p>
        </w:tc>
        <w:tc>
          <w:tcPr>
            <w:tcW w:w="1358" w:type="dxa"/>
            <w:tcBorders>
              <w:top w:val="single" w:sz="1" w:space="0" w:color="000000"/>
              <w:bottom w:val="single" w:sz="1" w:space="0" w:color="000000"/>
            </w:tcBorders>
          </w:tcPr>
          <w:p>
            <w:pPr>
              <w:pStyle w:val="TableParagraph"/>
              <w:spacing w:before="124"/>
              <w:ind w:right="149"/>
              <w:rPr>
                <w:b/>
                <w:sz w:val="18"/>
              </w:rPr>
            </w:pPr>
            <w:r>
              <w:rPr>
                <w:b/>
                <w:w w:val="95"/>
                <w:sz w:val="18"/>
              </w:rPr>
              <w:t>3,242,456</w:t>
            </w:r>
          </w:p>
        </w:tc>
        <w:tc>
          <w:tcPr>
            <w:tcW w:w="1234" w:type="dxa"/>
            <w:tcBorders>
              <w:top w:val="single" w:sz="1" w:space="0" w:color="000000"/>
              <w:bottom w:val="single" w:sz="1" w:space="0" w:color="000000"/>
            </w:tcBorders>
          </w:tcPr>
          <w:p>
            <w:pPr>
              <w:pStyle w:val="TableParagraph"/>
              <w:spacing w:before="124"/>
              <w:ind w:right="87"/>
              <w:rPr>
                <w:sz w:val="18"/>
              </w:rPr>
            </w:pPr>
            <w:r>
              <w:rPr>
                <w:w w:val="95"/>
                <w:sz w:val="18"/>
              </w:rPr>
              <w:t>3,242,456</w:t>
            </w:r>
          </w:p>
        </w:tc>
      </w:tr>
      <w:tr>
        <w:trPr>
          <w:trHeight w:val="607" w:hRule="exact"/>
        </w:trPr>
        <w:tc>
          <w:tcPr>
            <w:tcW w:w="6364" w:type="dxa"/>
          </w:tcPr>
          <w:p>
            <w:pPr>
              <w:pStyle w:val="TableParagraph"/>
              <w:spacing w:before="125"/>
              <w:ind w:left="35"/>
              <w:jc w:val="left"/>
              <w:rPr>
                <w:b/>
                <w:sz w:val="18"/>
              </w:rPr>
            </w:pPr>
            <w:r>
              <w:rPr>
                <w:b/>
                <w:sz w:val="18"/>
              </w:rPr>
              <w:t>Financial Liabilities</w:t>
            </w:r>
          </w:p>
          <w:p>
            <w:pPr>
              <w:pStyle w:val="TableParagraph"/>
              <w:spacing w:before="30"/>
              <w:ind w:left="35"/>
              <w:jc w:val="left"/>
              <w:rPr>
                <w:sz w:val="18"/>
              </w:rPr>
            </w:pPr>
            <w:r>
              <w:rPr>
                <w:sz w:val="18"/>
              </w:rPr>
              <w:t>Borrowings</w:t>
            </w:r>
          </w:p>
        </w:tc>
        <w:tc>
          <w:tcPr>
            <w:tcW w:w="1358" w:type="dxa"/>
            <w:tcBorders>
              <w:top w:val="single" w:sz="1" w:space="0" w:color="000000"/>
            </w:tcBorders>
          </w:tcPr>
          <w:p>
            <w:pPr>
              <w:pStyle w:val="TableParagraph"/>
              <w:jc w:val="left"/>
              <w:rPr>
                <w:sz w:val="18"/>
              </w:rPr>
            </w:pPr>
          </w:p>
          <w:p>
            <w:pPr>
              <w:pStyle w:val="TableParagraph"/>
              <w:spacing w:before="152"/>
              <w:ind w:right="149"/>
              <w:rPr>
                <w:b/>
                <w:sz w:val="18"/>
              </w:rPr>
            </w:pPr>
            <w:r>
              <w:rPr>
                <w:b/>
                <w:w w:val="95"/>
                <w:sz w:val="18"/>
              </w:rPr>
              <w:t>5,618,407</w:t>
            </w:r>
          </w:p>
        </w:tc>
        <w:tc>
          <w:tcPr>
            <w:tcW w:w="1234" w:type="dxa"/>
            <w:tcBorders>
              <w:top w:val="single" w:sz="1" w:space="0" w:color="000000"/>
            </w:tcBorders>
          </w:tcPr>
          <w:p>
            <w:pPr>
              <w:pStyle w:val="TableParagraph"/>
              <w:jc w:val="left"/>
              <w:rPr>
                <w:sz w:val="18"/>
              </w:rPr>
            </w:pPr>
          </w:p>
          <w:p>
            <w:pPr>
              <w:pStyle w:val="TableParagraph"/>
              <w:spacing w:before="152"/>
              <w:ind w:right="87"/>
              <w:rPr>
                <w:sz w:val="18"/>
              </w:rPr>
            </w:pPr>
            <w:r>
              <w:rPr>
                <w:w w:val="95"/>
                <w:sz w:val="18"/>
              </w:rPr>
              <w:t>5,618,407</w:t>
            </w:r>
          </w:p>
        </w:tc>
      </w:tr>
      <w:tr>
        <w:trPr>
          <w:trHeight w:val="260" w:hRule="exact"/>
        </w:trPr>
        <w:tc>
          <w:tcPr>
            <w:tcW w:w="6364" w:type="dxa"/>
          </w:tcPr>
          <w:p>
            <w:pPr>
              <w:pStyle w:val="TableParagraph"/>
              <w:spacing w:before="20"/>
              <w:ind w:left="35"/>
              <w:jc w:val="left"/>
              <w:rPr>
                <w:sz w:val="18"/>
              </w:rPr>
            </w:pPr>
            <w:r>
              <w:rPr>
                <w:sz w:val="18"/>
              </w:rPr>
              <w:t>Trade and other payables</w:t>
            </w:r>
          </w:p>
        </w:tc>
        <w:tc>
          <w:tcPr>
            <w:tcW w:w="1358" w:type="dxa"/>
            <w:tcBorders>
              <w:bottom w:val="single" w:sz="1" w:space="0" w:color="000000"/>
            </w:tcBorders>
          </w:tcPr>
          <w:p>
            <w:pPr>
              <w:pStyle w:val="TableParagraph"/>
              <w:spacing w:before="18"/>
              <w:ind w:right="149"/>
              <w:rPr>
                <w:b/>
                <w:sz w:val="18"/>
              </w:rPr>
            </w:pPr>
            <w:r>
              <w:rPr>
                <w:b/>
                <w:w w:val="95"/>
                <w:sz w:val="18"/>
              </w:rPr>
              <w:t>1,446,162</w:t>
            </w:r>
          </w:p>
        </w:tc>
        <w:tc>
          <w:tcPr>
            <w:tcW w:w="1234" w:type="dxa"/>
            <w:tcBorders>
              <w:bottom w:val="single" w:sz="1" w:space="0" w:color="000000"/>
            </w:tcBorders>
          </w:tcPr>
          <w:p>
            <w:pPr>
              <w:pStyle w:val="TableParagraph"/>
              <w:spacing w:before="18"/>
              <w:ind w:right="87"/>
              <w:rPr>
                <w:sz w:val="18"/>
              </w:rPr>
            </w:pPr>
            <w:r>
              <w:rPr>
                <w:w w:val="95"/>
                <w:sz w:val="18"/>
              </w:rPr>
              <w:t>1,446,162</w:t>
            </w:r>
          </w:p>
        </w:tc>
      </w:tr>
      <w:tr>
        <w:trPr>
          <w:trHeight w:val="338" w:hRule="exact"/>
        </w:trPr>
        <w:tc>
          <w:tcPr>
            <w:tcW w:w="6364" w:type="dxa"/>
          </w:tcPr>
          <w:p>
            <w:pPr>
              <w:pStyle w:val="TableParagraph"/>
              <w:spacing w:before="125"/>
              <w:ind w:left="35"/>
              <w:jc w:val="left"/>
              <w:rPr>
                <w:b/>
                <w:sz w:val="18"/>
              </w:rPr>
            </w:pPr>
            <w:r>
              <w:rPr>
                <w:b/>
                <w:sz w:val="18"/>
              </w:rPr>
              <w:t>Total</w:t>
            </w:r>
          </w:p>
        </w:tc>
        <w:tc>
          <w:tcPr>
            <w:tcW w:w="1358" w:type="dxa"/>
            <w:tcBorders>
              <w:top w:val="single" w:sz="1" w:space="0" w:color="000000"/>
              <w:bottom w:val="single" w:sz="1" w:space="0" w:color="000000"/>
            </w:tcBorders>
          </w:tcPr>
          <w:p>
            <w:pPr>
              <w:pStyle w:val="TableParagraph"/>
              <w:spacing w:before="124"/>
              <w:ind w:right="149"/>
              <w:rPr>
                <w:b/>
                <w:sz w:val="18"/>
              </w:rPr>
            </w:pPr>
            <w:r>
              <w:rPr>
                <w:b/>
                <w:w w:val="95"/>
                <w:sz w:val="18"/>
              </w:rPr>
              <w:t>7,064,569</w:t>
            </w:r>
          </w:p>
        </w:tc>
        <w:tc>
          <w:tcPr>
            <w:tcW w:w="1234" w:type="dxa"/>
            <w:tcBorders>
              <w:top w:val="single" w:sz="1" w:space="0" w:color="000000"/>
              <w:bottom w:val="single" w:sz="1" w:space="0" w:color="000000"/>
            </w:tcBorders>
          </w:tcPr>
          <w:p>
            <w:pPr>
              <w:pStyle w:val="TableParagraph"/>
              <w:spacing w:before="124"/>
              <w:ind w:right="87"/>
              <w:rPr>
                <w:sz w:val="18"/>
              </w:rPr>
            </w:pPr>
            <w:r>
              <w:rPr>
                <w:w w:val="95"/>
                <w:sz w:val="18"/>
              </w:rPr>
              <w:t>7,064,569</w:t>
            </w:r>
          </w:p>
        </w:tc>
      </w:tr>
    </w:tbl>
    <w:p>
      <w:pPr>
        <w:spacing w:after="0"/>
        <w:rPr>
          <w:sz w:val="18"/>
        </w:rPr>
        <w:sectPr>
          <w:pgSz w:w="12750" w:h="17680"/>
          <w:pgMar w:header="0" w:footer="867" w:top="1880" w:bottom="1120" w:left="0" w:right="0"/>
        </w:sectPr>
      </w:pPr>
    </w:p>
    <w:p>
      <w:pPr>
        <w:pStyle w:val="BodyText"/>
        <w:spacing w:before="1"/>
        <w:rPr>
          <w:sz w:val="24"/>
        </w:rPr>
      </w:pPr>
      <w:r>
        <w:rPr/>
        <w:drawing>
          <wp:anchor distT="0" distB="0" distL="0" distR="0" allowOverlap="1" layoutInCell="1" locked="0" behindDoc="0" simplePos="0" relativeHeight="10720">
            <wp:simplePos x="0" y="0"/>
            <wp:positionH relativeFrom="page">
              <wp:posOffset>-1587</wp:posOffset>
            </wp:positionH>
            <wp:positionV relativeFrom="page">
              <wp:posOffset>5534342</wp:posOffset>
            </wp:positionV>
            <wp:extent cx="135159" cy="154019"/>
            <wp:effectExtent l="0" t="0" r="0" b="0"/>
            <wp:wrapNone/>
            <wp:docPr id="711" name="image13.png" descr=""/>
            <wp:cNvGraphicFramePr>
              <a:graphicFrameLocks noChangeAspect="1"/>
            </wp:cNvGraphicFramePr>
            <a:graphic>
              <a:graphicData uri="http://schemas.openxmlformats.org/drawingml/2006/picture">
                <pic:pic>
                  <pic:nvPicPr>
                    <pic:cNvPr id="712" name="image13.png"/>
                    <pic:cNvPicPr/>
                  </pic:nvPicPr>
                  <pic:blipFill>
                    <a:blip r:embed="rId18" cstate="print"/>
                    <a:stretch>
                      <a:fillRect/>
                    </a:stretch>
                  </pic:blipFill>
                  <pic:spPr>
                    <a:xfrm>
                      <a:off x="0" y="0"/>
                      <a:ext cx="135159" cy="154019"/>
                    </a:xfrm>
                    <a:prstGeom prst="rect">
                      <a:avLst/>
                    </a:prstGeom>
                  </pic:spPr>
                </pic:pic>
              </a:graphicData>
            </a:graphic>
          </wp:anchor>
        </w:drawing>
      </w:r>
      <w:r>
        <w:rPr/>
        <w:drawing>
          <wp:anchor distT="0" distB="0" distL="0" distR="0" allowOverlap="1" layoutInCell="1" locked="0" behindDoc="0" simplePos="0" relativeHeight="10744">
            <wp:simplePos x="0" y="0"/>
            <wp:positionH relativeFrom="page">
              <wp:posOffset>7958429</wp:posOffset>
            </wp:positionH>
            <wp:positionV relativeFrom="page">
              <wp:posOffset>5534342</wp:posOffset>
            </wp:positionV>
            <wp:extent cx="135953" cy="155575"/>
            <wp:effectExtent l="0" t="0" r="0" b="0"/>
            <wp:wrapNone/>
            <wp:docPr id="713" name="image15.png" descr=""/>
            <wp:cNvGraphicFramePr>
              <a:graphicFrameLocks noChangeAspect="1"/>
            </wp:cNvGraphicFramePr>
            <a:graphic>
              <a:graphicData uri="http://schemas.openxmlformats.org/drawingml/2006/picture">
                <pic:pic>
                  <pic:nvPicPr>
                    <pic:cNvPr id="714" name="image15.png"/>
                    <pic:cNvPicPr/>
                  </pic:nvPicPr>
                  <pic:blipFill>
                    <a:blip r:embed="rId20" cstate="print"/>
                    <a:stretch>
                      <a:fillRect/>
                    </a:stretch>
                  </pic:blipFill>
                  <pic:spPr>
                    <a:xfrm>
                      <a:off x="0" y="0"/>
                      <a:ext cx="135953" cy="155575"/>
                    </a:xfrm>
                    <a:prstGeom prst="rect">
                      <a:avLst/>
                    </a:prstGeom>
                  </pic:spPr>
                </pic:pic>
              </a:graphicData>
            </a:graphic>
          </wp:anchor>
        </w:drawing>
      </w:r>
    </w:p>
    <w:p>
      <w:pPr>
        <w:pStyle w:val="Heading4"/>
        <w:spacing w:before="65"/>
      </w:pPr>
      <w:bookmarkStart w:name="Revenue" w:id="283"/>
      <w:bookmarkEnd w:id="283"/>
      <w:r>
        <w:rPr>
          <w:b w:val="0"/>
        </w:rPr>
      </w:r>
      <w:r>
        <w:rPr/>
        <w:t>Notes to the Financial Statements</w:t>
      </w:r>
    </w:p>
    <w:p>
      <w:pPr>
        <w:pStyle w:val="Heading7"/>
        <w:spacing w:before="53"/>
      </w:pPr>
      <w:r>
        <w:rPr/>
        <w:t>For the Year Ended 31 December 2016</w:t>
      </w:r>
    </w:p>
    <w:p>
      <w:pPr>
        <w:pStyle w:val="BodyText"/>
        <w:rPr>
          <w:b/>
          <w:sz w:val="20"/>
        </w:rPr>
      </w:pPr>
    </w:p>
    <w:p>
      <w:pPr>
        <w:pStyle w:val="BodyText"/>
        <w:spacing w:before="10"/>
        <w:rPr>
          <w:b/>
          <w:sz w:val="10"/>
        </w:rPr>
      </w:pPr>
    </w:p>
    <w:tbl>
      <w:tblPr>
        <w:tblW w:w="0" w:type="auto"/>
        <w:jc w:val="left"/>
        <w:tblInd w:w="139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82"/>
        <w:gridCol w:w="7068"/>
        <w:gridCol w:w="1437"/>
        <w:gridCol w:w="1155"/>
      </w:tblGrid>
      <w:tr>
        <w:trPr>
          <w:trHeight w:val="826" w:hRule="exact"/>
        </w:trPr>
        <w:tc>
          <w:tcPr>
            <w:tcW w:w="282" w:type="dxa"/>
          </w:tcPr>
          <w:p>
            <w:pPr>
              <w:pStyle w:val="TableParagraph"/>
              <w:spacing w:before="77"/>
              <w:ind w:left="35"/>
              <w:jc w:val="left"/>
              <w:rPr>
                <w:b/>
                <w:sz w:val="18"/>
              </w:rPr>
            </w:pPr>
            <w:r>
              <w:rPr>
                <w:b/>
                <w:w w:val="99"/>
                <w:sz w:val="18"/>
              </w:rPr>
              <w:t>3</w:t>
            </w:r>
          </w:p>
        </w:tc>
        <w:tc>
          <w:tcPr>
            <w:tcW w:w="7068" w:type="dxa"/>
          </w:tcPr>
          <w:p>
            <w:pPr>
              <w:pStyle w:val="TableParagraph"/>
              <w:spacing w:before="77"/>
              <w:ind w:left="146"/>
              <w:jc w:val="left"/>
              <w:rPr>
                <w:b/>
                <w:sz w:val="18"/>
              </w:rPr>
            </w:pPr>
            <w:r>
              <w:rPr>
                <w:b/>
                <w:sz w:val="18"/>
              </w:rPr>
              <w:t>Revenue</w:t>
            </w:r>
          </w:p>
          <w:p>
            <w:pPr>
              <w:pStyle w:val="TableParagraph"/>
              <w:spacing w:before="7"/>
              <w:jc w:val="left"/>
              <w:rPr>
                <w:b/>
                <w:sz w:val="26"/>
              </w:rPr>
            </w:pPr>
          </w:p>
          <w:p>
            <w:pPr>
              <w:pStyle w:val="TableParagraph"/>
              <w:ind w:left="146"/>
              <w:jc w:val="left"/>
              <w:rPr>
                <w:b/>
                <w:sz w:val="18"/>
              </w:rPr>
            </w:pPr>
            <w:r>
              <w:rPr>
                <w:b/>
                <w:sz w:val="18"/>
              </w:rPr>
              <w:t>Revenue from operating activities</w:t>
            </w:r>
          </w:p>
        </w:tc>
        <w:tc>
          <w:tcPr>
            <w:tcW w:w="2592" w:type="dxa"/>
            <w:gridSpan w:val="2"/>
          </w:tcPr>
          <w:p>
            <w:pPr/>
          </w:p>
        </w:tc>
      </w:tr>
      <w:tr>
        <w:trPr>
          <w:trHeight w:val="259" w:hRule="exact"/>
        </w:trPr>
        <w:tc>
          <w:tcPr>
            <w:tcW w:w="282" w:type="dxa"/>
          </w:tcPr>
          <w:p>
            <w:pPr/>
          </w:p>
        </w:tc>
        <w:tc>
          <w:tcPr>
            <w:tcW w:w="7068" w:type="dxa"/>
          </w:tcPr>
          <w:p>
            <w:pPr/>
          </w:p>
        </w:tc>
        <w:tc>
          <w:tcPr>
            <w:tcW w:w="1437" w:type="dxa"/>
          </w:tcPr>
          <w:p>
            <w:pPr>
              <w:pStyle w:val="TableParagraph"/>
              <w:spacing w:before="9"/>
              <w:ind w:left="444"/>
              <w:jc w:val="left"/>
              <w:rPr>
                <w:b/>
                <w:sz w:val="18"/>
              </w:rPr>
            </w:pPr>
            <w:r>
              <w:rPr>
                <w:b/>
                <w:sz w:val="18"/>
              </w:rPr>
              <w:t>2016</w:t>
            </w:r>
          </w:p>
        </w:tc>
        <w:tc>
          <w:tcPr>
            <w:tcW w:w="1155" w:type="dxa"/>
          </w:tcPr>
          <w:p>
            <w:pPr>
              <w:pStyle w:val="TableParagraph"/>
              <w:spacing w:before="9"/>
              <w:ind w:left="293"/>
              <w:jc w:val="left"/>
              <w:rPr>
                <w:b/>
                <w:sz w:val="18"/>
              </w:rPr>
            </w:pPr>
            <w:r>
              <w:rPr>
                <w:b/>
                <w:sz w:val="18"/>
              </w:rPr>
              <w:t>2015</w:t>
            </w:r>
          </w:p>
        </w:tc>
      </w:tr>
      <w:tr>
        <w:trPr>
          <w:trHeight w:val="313" w:hRule="exact"/>
        </w:trPr>
        <w:tc>
          <w:tcPr>
            <w:tcW w:w="282" w:type="dxa"/>
          </w:tcPr>
          <w:p>
            <w:pPr/>
          </w:p>
        </w:tc>
        <w:tc>
          <w:tcPr>
            <w:tcW w:w="7068" w:type="dxa"/>
          </w:tcPr>
          <w:p>
            <w:pPr/>
          </w:p>
        </w:tc>
        <w:tc>
          <w:tcPr>
            <w:tcW w:w="1437" w:type="dxa"/>
          </w:tcPr>
          <w:p>
            <w:pPr>
              <w:pStyle w:val="TableParagraph"/>
              <w:spacing w:before="24"/>
              <w:ind w:right="144"/>
              <w:jc w:val="center"/>
              <w:rPr>
                <w:b/>
                <w:sz w:val="18"/>
              </w:rPr>
            </w:pPr>
            <w:r>
              <w:rPr>
                <w:b/>
                <w:w w:val="99"/>
                <w:sz w:val="18"/>
              </w:rPr>
              <w:t>$</w:t>
            </w:r>
          </w:p>
        </w:tc>
        <w:tc>
          <w:tcPr>
            <w:tcW w:w="1155" w:type="dxa"/>
          </w:tcPr>
          <w:p>
            <w:pPr>
              <w:pStyle w:val="TableParagraph"/>
              <w:spacing w:before="24"/>
              <w:ind w:right="163"/>
              <w:jc w:val="center"/>
              <w:rPr>
                <w:b/>
                <w:sz w:val="18"/>
              </w:rPr>
            </w:pPr>
            <w:r>
              <w:rPr>
                <w:b/>
                <w:w w:val="99"/>
                <w:sz w:val="18"/>
              </w:rPr>
              <w:t>$</w:t>
            </w:r>
          </w:p>
        </w:tc>
      </w:tr>
      <w:tr>
        <w:trPr>
          <w:trHeight w:val="542" w:hRule="exact"/>
        </w:trPr>
        <w:tc>
          <w:tcPr>
            <w:tcW w:w="282" w:type="dxa"/>
          </w:tcPr>
          <w:p>
            <w:pPr/>
          </w:p>
        </w:tc>
        <w:tc>
          <w:tcPr>
            <w:tcW w:w="7068" w:type="dxa"/>
          </w:tcPr>
          <w:p>
            <w:pPr>
              <w:pStyle w:val="TableParagraph"/>
              <w:spacing w:before="63"/>
              <w:ind w:left="146"/>
              <w:jc w:val="left"/>
              <w:rPr>
                <w:b/>
                <w:sz w:val="18"/>
              </w:rPr>
            </w:pPr>
            <w:r>
              <w:rPr>
                <w:b/>
                <w:sz w:val="18"/>
              </w:rPr>
              <w:t>Sale of goods</w:t>
            </w:r>
          </w:p>
          <w:p>
            <w:pPr>
              <w:pStyle w:val="TableParagraph"/>
              <w:spacing w:before="26"/>
              <w:ind w:left="298"/>
              <w:jc w:val="left"/>
              <w:rPr>
                <w:sz w:val="18"/>
              </w:rPr>
            </w:pPr>
            <w:r>
              <w:rPr>
                <w:sz w:val="18"/>
              </w:rPr>
              <w:t>Books</w:t>
            </w:r>
          </w:p>
        </w:tc>
        <w:tc>
          <w:tcPr>
            <w:tcW w:w="1437" w:type="dxa"/>
          </w:tcPr>
          <w:p>
            <w:pPr>
              <w:pStyle w:val="TableParagraph"/>
              <w:spacing w:before="11"/>
              <w:jc w:val="left"/>
              <w:rPr>
                <w:b/>
                <w:sz w:val="25"/>
              </w:rPr>
            </w:pPr>
          </w:p>
          <w:p>
            <w:pPr>
              <w:pStyle w:val="TableParagraph"/>
              <w:ind w:left="300"/>
              <w:jc w:val="left"/>
              <w:rPr>
                <w:b/>
                <w:sz w:val="18"/>
              </w:rPr>
            </w:pPr>
            <w:r>
              <w:rPr>
                <w:b/>
                <w:sz w:val="18"/>
              </w:rPr>
              <w:t>10,020,803</w:t>
            </w:r>
          </w:p>
        </w:tc>
        <w:tc>
          <w:tcPr>
            <w:tcW w:w="1155" w:type="dxa"/>
          </w:tcPr>
          <w:p>
            <w:pPr>
              <w:pStyle w:val="TableParagraph"/>
              <w:spacing w:before="11"/>
              <w:jc w:val="left"/>
              <w:rPr>
                <w:b/>
                <w:sz w:val="25"/>
              </w:rPr>
            </w:pPr>
          </w:p>
          <w:p>
            <w:pPr>
              <w:pStyle w:val="TableParagraph"/>
              <w:ind w:right="82"/>
              <w:rPr>
                <w:sz w:val="18"/>
              </w:rPr>
            </w:pPr>
            <w:r>
              <w:rPr>
                <w:w w:val="95"/>
                <w:sz w:val="18"/>
              </w:rPr>
              <w:t>8,782,499</w:t>
            </w:r>
          </w:p>
        </w:tc>
      </w:tr>
      <w:tr>
        <w:trPr>
          <w:trHeight w:val="264" w:hRule="exact"/>
        </w:trPr>
        <w:tc>
          <w:tcPr>
            <w:tcW w:w="282" w:type="dxa"/>
          </w:tcPr>
          <w:p>
            <w:pPr/>
          </w:p>
        </w:tc>
        <w:tc>
          <w:tcPr>
            <w:tcW w:w="7068" w:type="dxa"/>
          </w:tcPr>
          <w:p>
            <w:pPr>
              <w:pStyle w:val="TableParagraph"/>
              <w:spacing w:before="18"/>
              <w:ind w:left="298"/>
              <w:jc w:val="left"/>
              <w:rPr>
                <w:sz w:val="18"/>
              </w:rPr>
            </w:pPr>
            <w:r>
              <w:rPr>
                <w:sz w:val="18"/>
              </w:rPr>
              <w:t>Food and beverage</w:t>
            </w:r>
          </w:p>
        </w:tc>
        <w:tc>
          <w:tcPr>
            <w:tcW w:w="1437" w:type="dxa"/>
          </w:tcPr>
          <w:p>
            <w:pPr>
              <w:pStyle w:val="TableParagraph"/>
              <w:spacing w:before="20"/>
              <w:ind w:left="400"/>
              <w:jc w:val="left"/>
              <w:rPr>
                <w:b/>
                <w:sz w:val="18"/>
              </w:rPr>
            </w:pPr>
            <w:r>
              <w:rPr>
                <w:b/>
                <w:sz w:val="18"/>
              </w:rPr>
              <w:t>6,990,275</w:t>
            </w:r>
          </w:p>
        </w:tc>
        <w:tc>
          <w:tcPr>
            <w:tcW w:w="1155" w:type="dxa"/>
          </w:tcPr>
          <w:p>
            <w:pPr>
              <w:pStyle w:val="TableParagraph"/>
              <w:spacing w:before="20"/>
              <w:ind w:right="82"/>
              <w:rPr>
                <w:sz w:val="18"/>
              </w:rPr>
            </w:pPr>
            <w:r>
              <w:rPr>
                <w:w w:val="95"/>
                <w:sz w:val="18"/>
              </w:rPr>
              <w:t>8,751,331</w:t>
            </w:r>
          </w:p>
        </w:tc>
      </w:tr>
      <w:tr>
        <w:trPr>
          <w:trHeight w:val="262" w:hRule="exact"/>
        </w:trPr>
        <w:tc>
          <w:tcPr>
            <w:tcW w:w="282" w:type="dxa"/>
          </w:tcPr>
          <w:p>
            <w:pPr/>
          </w:p>
        </w:tc>
        <w:tc>
          <w:tcPr>
            <w:tcW w:w="7068" w:type="dxa"/>
          </w:tcPr>
          <w:p>
            <w:pPr>
              <w:pStyle w:val="TableParagraph"/>
              <w:spacing w:before="18"/>
              <w:ind w:left="298"/>
              <w:jc w:val="left"/>
              <w:rPr>
                <w:sz w:val="18"/>
              </w:rPr>
            </w:pPr>
            <w:r>
              <w:rPr>
                <w:sz w:val="18"/>
              </w:rPr>
              <w:t>Retail</w:t>
            </w:r>
          </w:p>
        </w:tc>
        <w:tc>
          <w:tcPr>
            <w:tcW w:w="1437" w:type="dxa"/>
            <w:tcBorders>
              <w:bottom w:val="single" w:sz="1" w:space="0" w:color="000000"/>
            </w:tcBorders>
          </w:tcPr>
          <w:p>
            <w:pPr>
              <w:pStyle w:val="TableParagraph"/>
              <w:spacing w:before="20"/>
              <w:ind w:right="227"/>
              <w:rPr>
                <w:b/>
                <w:sz w:val="18"/>
              </w:rPr>
            </w:pPr>
            <w:r>
              <w:rPr>
                <w:b/>
                <w:w w:val="95"/>
                <w:sz w:val="18"/>
              </w:rPr>
              <w:t>246,710</w:t>
            </w:r>
          </w:p>
        </w:tc>
        <w:tc>
          <w:tcPr>
            <w:tcW w:w="1155" w:type="dxa"/>
            <w:tcBorders>
              <w:bottom w:val="single" w:sz="1" w:space="0" w:color="000000"/>
            </w:tcBorders>
          </w:tcPr>
          <w:p>
            <w:pPr>
              <w:pStyle w:val="TableParagraph"/>
              <w:spacing w:before="20"/>
              <w:ind w:right="82"/>
              <w:rPr>
                <w:sz w:val="18"/>
              </w:rPr>
            </w:pPr>
            <w:r>
              <w:rPr>
                <w:w w:val="95"/>
                <w:sz w:val="18"/>
              </w:rPr>
              <w:t>515,179</w:t>
            </w:r>
          </w:p>
        </w:tc>
      </w:tr>
      <w:tr>
        <w:trPr>
          <w:trHeight w:val="338" w:hRule="exact"/>
        </w:trPr>
        <w:tc>
          <w:tcPr>
            <w:tcW w:w="282" w:type="dxa"/>
          </w:tcPr>
          <w:p>
            <w:pPr/>
          </w:p>
        </w:tc>
        <w:tc>
          <w:tcPr>
            <w:tcW w:w="7068" w:type="dxa"/>
          </w:tcPr>
          <w:p>
            <w:pPr>
              <w:pStyle w:val="TableParagraph"/>
              <w:spacing w:before="125"/>
              <w:ind w:left="146"/>
              <w:jc w:val="left"/>
              <w:rPr>
                <w:b/>
                <w:sz w:val="18"/>
              </w:rPr>
            </w:pPr>
            <w:r>
              <w:rPr>
                <w:b/>
                <w:sz w:val="18"/>
              </w:rPr>
              <w:t>Total sale of goods</w:t>
            </w:r>
          </w:p>
        </w:tc>
        <w:tc>
          <w:tcPr>
            <w:tcW w:w="1437" w:type="dxa"/>
            <w:tcBorders>
              <w:top w:val="single" w:sz="1" w:space="0" w:color="000000"/>
              <w:bottom w:val="single" w:sz="1" w:space="0" w:color="000000"/>
            </w:tcBorders>
          </w:tcPr>
          <w:p>
            <w:pPr>
              <w:pStyle w:val="TableParagraph"/>
              <w:spacing w:before="124"/>
              <w:ind w:left="300"/>
              <w:jc w:val="left"/>
              <w:rPr>
                <w:b/>
                <w:sz w:val="18"/>
              </w:rPr>
            </w:pPr>
            <w:r>
              <w:rPr>
                <w:b/>
                <w:sz w:val="18"/>
              </w:rPr>
              <w:t>17,257,788</w:t>
            </w:r>
          </w:p>
        </w:tc>
        <w:tc>
          <w:tcPr>
            <w:tcW w:w="1155" w:type="dxa"/>
            <w:tcBorders>
              <w:top w:val="single" w:sz="1" w:space="0" w:color="000000"/>
              <w:bottom w:val="single" w:sz="1" w:space="0" w:color="000000"/>
            </w:tcBorders>
          </w:tcPr>
          <w:p>
            <w:pPr>
              <w:pStyle w:val="TableParagraph"/>
              <w:spacing w:before="124"/>
              <w:ind w:right="82"/>
              <w:rPr>
                <w:sz w:val="18"/>
              </w:rPr>
            </w:pPr>
            <w:r>
              <w:rPr>
                <w:w w:val="95"/>
                <w:sz w:val="18"/>
              </w:rPr>
              <w:t>18,049,009</w:t>
            </w:r>
          </w:p>
        </w:tc>
      </w:tr>
      <w:tr>
        <w:trPr>
          <w:trHeight w:val="604" w:hRule="exact"/>
        </w:trPr>
        <w:tc>
          <w:tcPr>
            <w:tcW w:w="282" w:type="dxa"/>
          </w:tcPr>
          <w:p>
            <w:pPr/>
          </w:p>
        </w:tc>
        <w:tc>
          <w:tcPr>
            <w:tcW w:w="7068" w:type="dxa"/>
          </w:tcPr>
          <w:p>
            <w:pPr>
              <w:pStyle w:val="TableParagraph"/>
              <w:spacing w:before="125"/>
              <w:ind w:left="146"/>
              <w:jc w:val="left"/>
              <w:rPr>
                <w:b/>
                <w:sz w:val="18"/>
              </w:rPr>
            </w:pPr>
            <w:r>
              <w:rPr>
                <w:b/>
                <w:sz w:val="18"/>
              </w:rPr>
              <w:t>Rendering of services</w:t>
            </w:r>
          </w:p>
          <w:p>
            <w:pPr>
              <w:pStyle w:val="TableParagraph"/>
              <w:spacing w:before="26"/>
              <w:ind w:left="298"/>
              <w:jc w:val="left"/>
              <w:rPr>
                <w:sz w:val="18"/>
              </w:rPr>
            </w:pPr>
            <w:r>
              <w:rPr>
                <w:sz w:val="18"/>
              </w:rPr>
              <w:t>Sports</w:t>
            </w:r>
          </w:p>
        </w:tc>
        <w:tc>
          <w:tcPr>
            <w:tcW w:w="1437" w:type="dxa"/>
            <w:tcBorders>
              <w:top w:val="single" w:sz="1" w:space="0" w:color="000000"/>
            </w:tcBorders>
          </w:tcPr>
          <w:p>
            <w:pPr>
              <w:pStyle w:val="TableParagraph"/>
              <w:jc w:val="left"/>
              <w:rPr>
                <w:b/>
                <w:sz w:val="18"/>
              </w:rPr>
            </w:pPr>
          </w:p>
          <w:p>
            <w:pPr>
              <w:pStyle w:val="TableParagraph"/>
              <w:spacing w:before="152"/>
              <w:ind w:right="227"/>
              <w:rPr>
                <w:b/>
                <w:sz w:val="18"/>
              </w:rPr>
            </w:pPr>
            <w:r>
              <w:rPr>
                <w:b/>
                <w:w w:val="95"/>
                <w:sz w:val="18"/>
              </w:rPr>
              <w:t>989,201</w:t>
            </w:r>
          </w:p>
        </w:tc>
        <w:tc>
          <w:tcPr>
            <w:tcW w:w="1155" w:type="dxa"/>
            <w:tcBorders>
              <w:top w:val="single" w:sz="1" w:space="0" w:color="000000"/>
            </w:tcBorders>
          </w:tcPr>
          <w:p>
            <w:pPr>
              <w:pStyle w:val="TableParagraph"/>
              <w:jc w:val="left"/>
              <w:rPr>
                <w:b/>
                <w:sz w:val="18"/>
              </w:rPr>
            </w:pPr>
          </w:p>
          <w:p>
            <w:pPr>
              <w:pStyle w:val="TableParagraph"/>
              <w:spacing w:before="152"/>
              <w:ind w:right="82"/>
              <w:rPr>
                <w:sz w:val="18"/>
              </w:rPr>
            </w:pPr>
            <w:r>
              <w:rPr>
                <w:w w:val="95"/>
                <w:sz w:val="18"/>
              </w:rPr>
              <w:t>882,708</w:t>
            </w:r>
          </w:p>
        </w:tc>
      </w:tr>
      <w:tr>
        <w:trPr>
          <w:trHeight w:val="262" w:hRule="exact"/>
        </w:trPr>
        <w:tc>
          <w:tcPr>
            <w:tcW w:w="282" w:type="dxa"/>
          </w:tcPr>
          <w:p>
            <w:pPr/>
          </w:p>
        </w:tc>
        <w:tc>
          <w:tcPr>
            <w:tcW w:w="7068" w:type="dxa"/>
          </w:tcPr>
          <w:p>
            <w:pPr>
              <w:pStyle w:val="TableParagraph"/>
              <w:spacing w:before="18"/>
              <w:ind w:left="298"/>
              <w:jc w:val="left"/>
              <w:rPr>
                <w:sz w:val="18"/>
              </w:rPr>
            </w:pPr>
            <w:r>
              <w:rPr>
                <w:sz w:val="18"/>
              </w:rPr>
              <w:t>Venue hire</w:t>
            </w:r>
          </w:p>
        </w:tc>
        <w:tc>
          <w:tcPr>
            <w:tcW w:w="1437" w:type="dxa"/>
            <w:tcBorders>
              <w:bottom w:val="single" w:sz="1" w:space="0" w:color="000000"/>
            </w:tcBorders>
          </w:tcPr>
          <w:p>
            <w:pPr>
              <w:pStyle w:val="TableParagraph"/>
              <w:spacing w:before="20"/>
              <w:ind w:right="227"/>
              <w:rPr>
                <w:b/>
                <w:sz w:val="18"/>
              </w:rPr>
            </w:pPr>
            <w:r>
              <w:rPr>
                <w:b/>
                <w:w w:val="95"/>
                <w:sz w:val="18"/>
              </w:rPr>
              <w:t>10,078</w:t>
            </w:r>
          </w:p>
        </w:tc>
        <w:tc>
          <w:tcPr>
            <w:tcW w:w="1155" w:type="dxa"/>
            <w:tcBorders>
              <w:bottom w:val="single" w:sz="1" w:space="0" w:color="000000"/>
            </w:tcBorders>
          </w:tcPr>
          <w:p>
            <w:pPr>
              <w:pStyle w:val="TableParagraph"/>
              <w:spacing w:before="20"/>
              <w:ind w:right="82"/>
              <w:rPr>
                <w:sz w:val="18"/>
              </w:rPr>
            </w:pPr>
            <w:r>
              <w:rPr>
                <w:w w:val="95"/>
                <w:sz w:val="18"/>
              </w:rPr>
              <w:t>3,271</w:t>
            </w:r>
          </w:p>
        </w:tc>
      </w:tr>
      <w:tr>
        <w:trPr>
          <w:trHeight w:val="338" w:hRule="exact"/>
        </w:trPr>
        <w:tc>
          <w:tcPr>
            <w:tcW w:w="282" w:type="dxa"/>
          </w:tcPr>
          <w:p>
            <w:pPr/>
          </w:p>
        </w:tc>
        <w:tc>
          <w:tcPr>
            <w:tcW w:w="7068" w:type="dxa"/>
          </w:tcPr>
          <w:p>
            <w:pPr>
              <w:pStyle w:val="TableParagraph"/>
              <w:spacing w:before="125"/>
              <w:ind w:left="146"/>
              <w:jc w:val="left"/>
              <w:rPr>
                <w:b/>
                <w:sz w:val="18"/>
              </w:rPr>
            </w:pPr>
            <w:r>
              <w:rPr>
                <w:b/>
                <w:sz w:val="18"/>
              </w:rPr>
              <w:t>Total rendering of services</w:t>
            </w:r>
          </w:p>
        </w:tc>
        <w:tc>
          <w:tcPr>
            <w:tcW w:w="1437" w:type="dxa"/>
            <w:tcBorders>
              <w:top w:val="single" w:sz="1" w:space="0" w:color="000000"/>
              <w:bottom w:val="single" w:sz="1" w:space="0" w:color="000000"/>
            </w:tcBorders>
          </w:tcPr>
          <w:p>
            <w:pPr>
              <w:pStyle w:val="TableParagraph"/>
              <w:spacing w:before="124"/>
              <w:ind w:right="227"/>
              <w:rPr>
                <w:b/>
                <w:sz w:val="18"/>
              </w:rPr>
            </w:pPr>
            <w:r>
              <w:rPr>
                <w:b/>
                <w:w w:val="95"/>
                <w:sz w:val="18"/>
              </w:rPr>
              <w:t>999,279</w:t>
            </w:r>
          </w:p>
        </w:tc>
        <w:tc>
          <w:tcPr>
            <w:tcW w:w="1155" w:type="dxa"/>
            <w:tcBorders>
              <w:top w:val="single" w:sz="1" w:space="0" w:color="000000"/>
              <w:bottom w:val="single" w:sz="1" w:space="0" w:color="000000"/>
            </w:tcBorders>
          </w:tcPr>
          <w:p>
            <w:pPr>
              <w:pStyle w:val="TableParagraph"/>
              <w:spacing w:before="124"/>
              <w:ind w:right="82"/>
              <w:rPr>
                <w:sz w:val="18"/>
              </w:rPr>
            </w:pPr>
            <w:r>
              <w:rPr>
                <w:w w:val="95"/>
                <w:sz w:val="18"/>
              </w:rPr>
              <w:t>885,979</w:t>
            </w:r>
          </w:p>
        </w:tc>
      </w:tr>
      <w:tr>
        <w:trPr>
          <w:trHeight w:val="604" w:hRule="exact"/>
        </w:trPr>
        <w:tc>
          <w:tcPr>
            <w:tcW w:w="282" w:type="dxa"/>
          </w:tcPr>
          <w:p>
            <w:pPr/>
          </w:p>
        </w:tc>
        <w:tc>
          <w:tcPr>
            <w:tcW w:w="7068" w:type="dxa"/>
          </w:tcPr>
          <w:p>
            <w:pPr>
              <w:pStyle w:val="TableParagraph"/>
              <w:spacing w:before="125"/>
              <w:ind w:left="197"/>
              <w:jc w:val="left"/>
              <w:rPr>
                <w:b/>
                <w:sz w:val="18"/>
              </w:rPr>
            </w:pPr>
            <w:r>
              <w:rPr>
                <w:b/>
                <w:sz w:val="18"/>
              </w:rPr>
              <w:t>University funding</w:t>
            </w:r>
          </w:p>
          <w:p>
            <w:pPr>
              <w:pStyle w:val="TableParagraph"/>
              <w:spacing w:before="26"/>
              <w:ind w:left="298"/>
              <w:jc w:val="left"/>
              <w:rPr>
                <w:sz w:val="18"/>
              </w:rPr>
            </w:pPr>
            <w:r>
              <w:rPr>
                <w:sz w:val="18"/>
              </w:rPr>
              <w:t>University funding - general</w:t>
            </w:r>
          </w:p>
        </w:tc>
        <w:tc>
          <w:tcPr>
            <w:tcW w:w="1437" w:type="dxa"/>
            <w:tcBorders>
              <w:top w:val="single" w:sz="1" w:space="0" w:color="000000"/>
            </w:tcBorders>
          </w:tcPr>
          <w:p>
            <w:pPr>
              <w:pStyle w:val="TableParagraph"/>
              <w:jc w:val="left"/>
              <w:rPr>
                <w:b/>
                <w:sz w:val="18"/>
              </w:rPr>
            </w:pPr>
          </w:p>
          <w:p>
            <w:pPr>
              <w:pStyle w:val="TableParagraph"/>
              <w:spacing w:before="152"/>
              <w:ind w:left="400"/>
              <w:jc w:val="left"/>
              <w:rPr>
                <w:b/>
                <w:sz w:val="18"/>
              </w:rPr>
            </w:pPr>
            <w:r>
              <w:rPr>
                <w:b/>
                <w:sz w:val="18"/>
              </w:rPr>
              <w:t>1,200,000</w:t>
            </w:r>
          </w:p>
        </w:tc>
        <w:tc>
          <w:tcPr>
            <w:tcW w:w="1155" w:type="dxa"/>
            <w:tcBorders>
              <w:top w:val="single" w:sz="1" w:space="0" w:color="000000"/>
            </w:tcBorders>
          </w:tcPr>
          <w:p>
            <w:pPr>
              <w:pStyle w:val="TableParagraph"/>
              <w:jc w:val="left"/>
              <w:rPr>
                <w:b/>
                <w:sz w:val="18"/>
              </w:rPr>
            </w:pPr>
          </w:p>
          <w:p>
            <w:pPr>
              <w:pStyle w:val="TableParagraph"/>
              <w:spacing w:before="152"/>
              <w:ind w:right="82"/>
              <w:rPr>
                <w:sz w:val="18"/>
              </w:rPr>
            </w:pPr>
            <w:r>
              <w:rPr>
                <w:w w:val="95"/>
                <w:sz w:val="18"/>
              </w:rPr>
              <w:t>1,200,000</w:t>
            </w:r>
          </w:p>
        </w:tc>
      </w:tr>
      <w:tr>
        <w:trPr>
          <w:trHeight w:val="264" w:hRule="exact"/>
        </w:trPr>
        <w:tc>
          <w:tcPr>
            <w:tcW w:w="282" w:type="dxa"/>
          </w:tcPr>
          <w:p>
            <w:pPr/>
          </w:p>
        </w:tc>
        <w:tc>
          <w:tcPr>
            <w:tcW w:w="7068" w:type="dxa"/>
          </w:tcPr>
          <w:p>
            <w:pPr>
              <w:pStyle w:val="TableParagraph"/>
              <w:spacing w:before="18"/>
              <w:ind w:left="298"/>
              <w:jc w:val="left"/>
              <w:rPr>
                <w:sz w:val="18"/>
              </w:rPr>
            </w:pPr>
            <w:r>
              <w:rPr>
                <w:sz w:val="18"/>
              </w:rPr>
              <w:t>University funding - community services</w:t>
            </w:r>
          </w:p>
        </w:tc>
        <w:tc>
          <w:tcPr>
            <w:tcW w:w="1437" w:type="dxa"/>
          </w:tcPr>
          <w:p>
            <w:pPr>
              <w:pStyle w:val="TableParagraph"/>
              <w:spacing w:before="20"/>
              <w:ind w:right="227"/>
              <w:rPr>
                <w:b/>
                <w:sz w:val="18"/>
              </w:rPr>
            </w:pPr>
            <w:r>
              <w:rPr>
                <w:b/>
                <w:w w:val="95"/>
                <w:sz w:val="18"/>
              </w:rPr>
              <w:t>171,433</w:t>
            </w:r>
          </w:p>
        </w:tc>
        <w:tc>
          <w:tcPr>
            <w:tcW w:w="1155" w:type="dxa"/>
          </w:tcPr>
          <w:p>
            <w:pPr>
              <w:pStyle w:val="TableParagraph"/>
              <w:spacing w:before="20"/>
              <w:ind w:right="82"/>
              <w:rPr>
                <w:sz w:val="18"/>
              </w:rPr>
            </w:pPr>
            <w:r>
              <w:rPr>
                <w:w w:val="95"/>
                <w:sz w:val="18"/>
              </w:rPr>
              <w:t>650,746</w:t>
            </w:r>
          </w:p>
        </w:tc>
      </w:tr>
      <w:tr>
        <w:trPr>
          <w:trHeight w:val="264" w:hRule="exact"/>
        </w:trPr>
        <w:tc>
          <w:tcPr>
            <w:tcW w:w="282" w:type="dxa"/>
          </w:tcPr>
          <w:p>
            <w:pPr/>
          </w:p>
        </w:tc>
        <w:tc>
          <w:tcPr>
            <w:tcW w:w="7068" w:type="dxa"/>
          </w:tcPr>
          <w:p>
            <w:pPr>
              <w:pStyle w:val="TableParagraph"/>
              <w:spacing w:before="18"/>
              <w:ind w:left="298"/>
              <w:jc w:val="left"/>
              <w:rPr>
                <w:sz w:val="18"/>
              </w:rPr>
            </w:pPr>
            <w:r>
              <w:rPr>
                <w:sz w:val="18"/>
              </w:rPr>
              <w:t>University funding - clubs</w:t>
            </w:r>
          </w:p>
        </w:tc>
        <w:tc>
          <w:tcPr>
            <w:tcW w:w="1437" w:type="dxa"/>
          </w:tcPr>
          <w:p>
            <w:pPr>
              <w:pStyle w:val="TableParagraph"/>
              <w:spacing w:before="20"/>
              <w:ind w:right="227"/>
              <w:rPr>
                <w:b/>
                <w:sz w:val="18"/>
              </w:rPr>
            </w:pPr>
            <w:r>
              <w:rPr>
                <w:b/>
                <w:w w:val="95"/>
                <w:sz w:val="18"/>
              </w:rPr>
              <w:t>350,000</w:t>
            </w:r>
          </w:p>
        </w:tc>
        <w:tc>
          <w:tcPr>
            <w:tcW w:w="1155" w:type="dxa"/>
          </w:tcPr>
          <w:p>
            <w:pPr>
              <w:pStyle w:val="TableParagraph"/>
              <w:spacing w:before="20"/>
              <w:ind w:right="82"/>
              <w:rPr>
                <w:sz w:val="18"/>
              </w:rPr>
            </w:pPr>
            <w:r>
              <w:rPr>
                <w:w w:val="95"/>
                <w:sz w:val="18"/>
              </w:rPr>
              <w:t>401,459</w:t>
            </w:r>
          </w:p>
        </w:tc>
      </w:tr>
      <w:tr>
        <w:trPr>
          <w:trHeight w:val="262" w:hRule="exact"/>
        </w:trPr>
        <w:tc>
          <w:tcPr>
            <w:tcW w:w="282" w:type="dxa"/>
          </w:tcPr>
          <w:p>
            <w:pPr/>
          </w:p>
        </w:tc>
        <w:tc>
          <w:tcPr>
            <w:tcW w:w="7068" w:type="dxa"/>
          </w:tcPr>
          <w:p>
            <w:pPr>
              <w:pStyle w:val="TableParagraph"/>
              <w:spacing w:before="18"/>
              <w:ind w:left="298"/>
              <w:jc w:val="left"/>
              <w:rPr>
                <w:sz w:val="18"/>
              </w:rPr>
            </w:pPr>
            <w:r>
              <w:rPr>
                <w:sz w:val="18"/>
              </w:rPr>
              <w:t>University funding - sport</w:t>
            </w:r>
          </w:p>
        </w:tc>
        <w:tc>
          <w:tcPr>
            <w:tcW w:w="1437" w:type="dxa"/>
            <w:tcBorders>
              <w:bottom w:val="single" w:sz="1" w:space="0" w:color="000000"/>
            </w:tcBorders>
          </w:tcPr>
          <w:p>
            <w:pPr>
              <w:pStyle w:val="TableParagraph"/>
              <w:spacing w:before="20"/>
              <w:ind w:right="227"/>
              <w:rPr>
                <w:b/>
                <w:sz w:val="18"/>
              </w:rPr>
            </w:pPr>
            <w:r>
              <w:rPr>
                <w:b/>
                <w:w w:val="95"/>
                <w:sz w:val="18"/>
              </w:rPr>
              <w:t>272,630</w:t>
            </w:r>
          </w:p>
        </w:tc>
        <w:tc>
          <w:tcPr>
            <w:tcW w:w="1155" w:type="dxa"/>
            <w:tcBorders>
              <w:bottom w:val="single" w:sz="1" w:space="0" w:color="000000"/>
            </w:tcBorders>
          </w:tcPr>
          <w:p>
            <w:pPr>
              <w:pStyle w:val="TableParagraph"/>
              <w:spacing w:before="20"/>
              <w:ind w:right="82"/>
              <w:rPr>
                <w:sz w:val="18"/>
              </w:rPr>
            </w:pPr>
            <w:r>
              <w:rPr>
                <w:w w:val="95"/>
                <w:sz w:val="18"/>
              </w:rPr>
              <w:t>289,800</w:t>
            </w:r>
          </w:p>
        </w:tc>
      </w:tr>
      <w:tr>
        <w:trPr>
          <w:trHeight w:val="338" w:hRule="exact"/>
        </w:trPr>
        <w:tc>
          <w:tcPr>
            <w:tcW w:w="282" w:type="dxa"/>
          </w:tcPr>
          <w:p>
            <w:pPr/>
          </w:p>
        </w:tc>
        <w:tc>
          <w:tcPr>
            <w:tcW w:w="7068" w:type="dxa"/>
          </w:tcPr>
          <w:p>
            <w:pPr>
              <w:pStyle w:val="TableParagraph"/>
              <w:spacing w:before="125"/>
              <w:ind w:left="297"/>
              <w:jc w:val="left"/>
              <w:rPr>
                <w:b/>
                <w:sz w:val="18"/>
              </w:rPr>
            </w:pPr>
            <w:r>
              <w:rPr>
                <w:b/>
                <w:sz w:val="18"/>
              </w:rPr>
              <w:t>Total University Funding</w:t>
            </w:r>
          </w:p>
        </w:tc>
        <w:tc>
          <w:tcPr>
            <w:tcW w:w="1437" w:type="dxa"/>
            <w:tcBorders>
              <w:top w:val="single" w:sz="1" w:space="0" w:color="000000"/>
              <w:bottom w:val="single" w:sz="1" w:space="0" w:color="000000"/>
            </w:tcBorders>
          </w:tcPr>
          <w:p>
            <w:pPr>
              <w:pStyle w:val="TableParagraph"/>
              <w:spacing w:before="124"/>
              <w:ind w:left="400"/>
              <w:jc w:val="left"/>
              <w:rPr>
                <w:b/>
                <w:sz w:val="18"/>
              </w:rPr>
            </w:pPr>
            <w:r>
              <w:rPr>
                <w:b/>
                <w:sz w:val="18"/>
              </w:rPr>
              <w:t>1,994,063</w:t>
            </w:r>
          </w:p>
        </w:tc>
        <w:tc>
          <w:tcPr>
            <w:tcW w:w="1155" w:type="dxa"/>
            <w:tcBorders>
              <w:top w:val="single" w:sz="1" w:space="0" w:color="000000"/>
              <w:bottom w:val="single" w:sz="1" w:space="0" w:color="000000"/>
            </w:tcBorders>
          </w:tcPr>
          <w:p>
            <w:pPr>
              <w:pStyle w:val="TableParagraph"/>
              <w:spacing w:before="124"/>
              <w:ind w:right="82"/>
              <w:rPr>
                <w:sz w:val="18"/>
              </w:rPr>
            </w:pPr>
            <w:r>
              <w:rPr>
                <w:w w:val="95"/>
                <w:sz w:val="18"/>
              </w:rPr>
              <w:t>2,542,005</w:t>
            </w:r>
          </w:p>
        </w:tc>
      </w:tr>
      <w:tr>
        <w:trPr>
          <w:trHeight w:val="604" w:hRule="exact"/>
        </w:trPr>
        <w:tc>
          <w:tcPr>
            <w:tcW w:w="282" w:type="dxa"/>
          </w:tcPr>
          <w:p>
            <w:pPr/>
          </w:p>
        </w:tc>
        <w:tc>
          <w:tcPr>
            <w:tcW w:w="7068" w:type="dxa"/>
          </w:tcPr>
          <w:p>
            <w:pPr>
              <w:pStyle w:val="TableParagraph"/>
              <w:spacing w:before="125"/>
              <w:ind w:left="127" w:right="5679"/>
              <w:jc w:val="center"/>
              <w:rPr>
                <w:b/>
                <w:sz w:val="18"/>
              </w:rPr>
            </w:pPr>
            <w:r>
              <w:rPr>
                <w:b/>
                <w:sz w:val="18"/>
              </w:rPr>
              <w:t>Other revenue</w:t>
            </w:r>
          </w:p>
          <w:p>
            <w:pPr>
              <w:pStyle w:val="TableParagraph"/>
              <w:spacing w:before="26"/>
              <w:ind w:left="127" w:right="5639"/>
              <w:jc w:val="center"/>
              <w:rPr>
                <w:sz w:val="18"/>
              </w:rPr>
            </w:pPr>
            <w:r>
              <w:rPr>
                <w:sz w:val="18"/>
              </w:rPr>
              <w:t>Bank interest</w:t>
            </w:r>
          </w:p>
        </w:tc>
        <w:tc>
          <w:tcPr>
            <w:tcW w:w="1437" w:type="dxa"/>
            <w:tcBorders>
              <w:top w:val="single" w:sz="1" w:space="0" w:color="000000"/>
            </w:tcBorders>
          </w:tcPr>
          <w:p>
            <w:pPr>
              <w:pStyle w:val="TableParagraph"/>
              <w:jc w:val="left"/>
              <w:rPr>
                <w:b/>
                <w:sz w:val="18"/>
              </w:rPr>
            </w:pPr>
          </w:p>
          <w:p>
            <w:pPr>
              <w:pStyle w:val="TableParagraph"/>
              <w:spacing w:before="152"/>
              <w:ind w:right="227"/>
              <w:rPr>
                <w:b/>
                <w:sz w:val="18"/>
              </w:rPr>
            </w:pPr>
            <w:r>
              <w:rPr>
                <w:b/>
                <w:w w:val="95"/>
                <w:sz w:val="18"/>
              </w:rPr>
              <w:t>16,400</w:t>
            </w:r>
          </w:p>
        </w:tc>
        <w:tc>
          <w:tcPr>
            <w:tcW w:w="1155" w:type="dxa"/>
            <w:tcBorders>
              <w:top w:val="single" w:sz="1" w:space="0" w:color="000000"/>
            </w:tcBorders>
          </w:tcPr>
          <w:p>
            <w:pPr>
              <w:pStyle w:val="TableParagraph"/>
              <w:jc w:val="left"/>
              <w:rPr>
                <w:b/>
                <w:sz w:val="18"/>
              </w:rPr>
            </w:pPr>
          </w:p>
          <w:p>
            <w:pPr>
              <w:pStyle w:val="TableParagraph"/>
              <w:spacing w:before="152"/>
              <w:ind w:right="82"/>
              <w:rPr>
                <w:sz w:val="18"/>
              </w:rPr>
            </w:pPr>
            <w:r>
              <w:rPr>
                <w:w w:val="95"/>
                <w:sz w:val="18"/>
              </w:rPr>
              <w:t>11,663</w:t>
            </w:r>
          </w:p>
        </w:tc>
      </w:tr>
      <w:tr>
        <w:trPr>
          <w:trHeight w:val="262" w:hRule="exact"/>
        </w:trPr>
        <w:tc>
          <w:tcPr>
            <w:tcW w:w="282" w:type="dxa"/>
          </w:tcPr>
          <w:p>
            <w:pPr/>
          </w:p>
        </w:tc>
        <w:tc>
          <w:tcPr>
            <w:tcW w:w="7068" w:type="dxa"/>
          </w:tcPr>
          <w:p>
            <w:pPr>
              <w:pStyle w:val="TableParagraph"/>
              <w:spacing w:before="18"/>
              <w:ind w:left="247"/>
              <w:jc w:val="left"/>
              <w:rPr>
                <w:sz w:val="18"/>
              </w:rPr>
            </w:pPr>
            <w:r>
              <w:rPr>
                <w:sz w:val="18"/>
              </w:rPr>
              <w:t>Other revenue</w:t>
            </w:r>
          </w:p>
        </w:tc>
        <w:tc>
          <w:tcPr>
            <w:tcW w:w="1437" w:type="dxa"/>
            <w:tcBorders>
              <w:bottom w:val="single" w:sz="1" w:space="0" w:color="000000"/>
            </w:tcBorders>
          </w:tcPr>
          <w:p>
            <w:pPr>
              <w:pStyle w:val="TableParagraph"/>
              <w:spacing w:before="20"/>
              <w:ind w:right="227"/>
              <w:rPr>
                <w:b/>
                <w:sz w:val="18"/>
              </w:rPr>
            </w:pPr>
            <w:r>
              <w:rPr>
                <w:b/>
                <w:w w:val="95"/>
                <w:sz w:val="18"/>
              </w:rPr>
              <w:t>783,381</w:t>
            </w:r>
          </w:p>
        </w:tc>
        <w:tc>
          <w:tcPr>
            <w:tcW w:w="1155" w:type="dxa"/>
            <w:tcBorders>
              <w:bottom w:val="single" w:sz="1" w:space="0" w:color="000000"/>
            </w:tcBorders>
          </w:tcPr>
          <w:p>
            <w:pPr>
              <w:pStyle w:val="TableParagraph"/>
              <w:spacing w:before="20"/>
              <w:ind w:right="82"/>
              <w:rPr>
                <w:sz w:val="18"/>
              </w:rPr>
            </w:pPr>
            <w:r>
              <w:rPr>
                <w:w w:val="95"/>
                <w:sz w:val="18"/>
              </w:rPr>
              <w:t>1,022,442</w:t>
            </w:r>
          </w:p>
        </w:tc>
      </w:tr>
      <w:tr>
        <w:trPr>
          <w:trHeight w:val="338" w:hRule="exact"/>
        </w:trPr>
        <w:tc>
          <w:tcPr>
            <w:tcW w:w="282" w:type="dxa"/>
          </w:tcPr>
          <w:p>
            <w:pPr/>
          </w:p>
        </w:tc>
        <w:tc>
          <w:tcPr>
            <w:tcW w:w="7068" w:type="dxa"/>
          </w:tcPr>
          <w:p>
            <w:pPr>
              <w:pStyle w:val="TableParagraph"/>
              <w:spacing w:before="125"/>
              <w:ind w:left="197"/>
              <w:jc w:val="left"/>
              <w:rPr>
                <w:b/>
                <w:sz w:val="18"/>
              </w:rPr>
            </w:pPr>
            <w:bookmarkStart w:name="4 Gain on disposal of assets" w:id="284"/>
            <w:bookmarkEnd w:id="284"/>
            <w:r>
              <w:rPr/>
            </w:r>
            <w:r>
              <w:rPr>
                <w:b/>
                <w:sz w:val="18"/>
              </w:rPr>
              <w:t>Total other revenue</w:t>
            </w:r>
          </w:p>
        </w:tc>
        <w:tc>
          <w:tcPr>
            <w:tcW w:w="1437" w:type="dxa"/>
            <w:tcBorders>
              <w:top w:val="single" w:sz="1" w:space="0" w:color="000000"/>
              <w:bottom w:val="single" w:sz="1" w:space="0" w:color="000000"/>
            </w:tcBorders>
          </w:tcPr>
          <w:p>
            <w:pPr>
              <w:pStyle w:val="TableParagraph"/>
              <w:spacing w:before="124"/>
              <w:ind w:right="227"/>
              <w:rPr>
                <w:b/>
                <w:sz w:val="18"/>
              </w:rPr>
            </w:pPr>
            <w:r>
              <w:rPr>
                <w:b/>
                <w:w w:val="95"/>
                <w:sz w:val="18"/>
              </w:rPr>
              <w:t>799,781</w:t>
            </w:r>
          </w:p>
        </w:tc>
        <w:tc>
          <w:tcPr>
            <w:tcW w:w="1155" w:type="dxa"/>
            <w:tcBorders>
              <w:top w:val="single" w:sz="1" w:space="0" w:color="000000"/>
              <w:bottom w:val="single" w:sz="1" w:space="0" w:color="000000"/>
            </w:tcBorders>
          </w:tcPr>
          <w:p>
            <w:pPr>
              <w:pStyle w:val="TableParagraph"/>
              <w:spacing w:before="124"/>
              <w:ind w:right="82"/>
              <w:rPr>
                <w:sz w:val="18"/>
              </w:rPr>
            </w:pPr>
            <w:r>
              <w:rPr>
                <w:w w:val="95"/>
                <w:sz w:val="18"/>
              </w:rPr>
              <w:t>1,034,105</w:t>
            </w:r>
          </w:p>
        </w:tc>
      </w:tr>
      <w:tr>
        <w:trPr>
          <w:trHeight w:val="353" w:hRule="exact"/>
        </w:trPr>
        <w:tc>
          <w:tcPr>
            <w:tcW w:w="282" w:type="dxa"/>
          </w:tcPr>
          <w:p>
            <w:pPr/>
          </w:p>
        </w:tc>
        <w:tc>
          <w:tcPr>
            <w:tcW w:w="7068" w:type="dxa"/>
          </w:tcPr>
          <w:p>
            <w:pPr>
              <w:pStyle w:val="TableParagraph"/>
              <w:spacing w:before="125"/>
              <w:ind w:left="146"/>
              <w:jc w:val="left"/>
              <w:rPr>
                <w:b/>
                <w:sz w:val="18"/>
              </w:rPr>
            </w:pPr>
            <w:r>
              <w:rPr>
                <w:b/>
                <w:sz w:val="18"/>
              </w:rPr>
              <w:t>Total revenue from operating activities</w:t>
            </w:r>
          </w:p>
        </w:tc>
        <w:tc>
          <w:tcPr>
            <w:tcW w:w="1437" w:type="dxa"/>
            <w:tcBorders>
              <w:top w:val="single" w:sz="1" w:space="0" w:color="000000"/>
              <w:bottom w:val="single" w:sz="1" w:space="0" w:color="000000"/>
            </w:tcBorders>
          </w:tcPr>
          <w:p>
            <w:pPr>
              <w:pStyle w:val="TableParagraph"/>
              <w:spacing w:before="124"/>
              <w:ind w:left="300"/>
              <w:jc w:val="left"/>
              <w:rPr>
                <w:b/>
                <w:sz w:val="18"/>
              </w:rPr>
            </w:pPr>
            <w:r>
              <w:rPr>
                <w:b/>
                <w:sz w:val="18"/>
              </w:rPr>
              <w:t>21,050,911</w:t>
            </w:r>
          </w:p>
        </w:tc>
        <w:tc>
          <w:tcPr>
            <w:tcW w:w="1155" w:type="dxa"/>
            <w:tcBorders>
              <w:top w:val="single" w:sz="1" w:space="0" w:color="000000"/>
              <w:bottom w:val="single" w:sz="1" w:space="0" w:color="000000"/>
            </w:tcBorders>
          </w:tcPr>
          <w:p>
            <w:pPr>
              <w:pStyle w:val="TableParagraph"/>
              <w:spacing w:before="124"/>
              <w:ind w:right="82"/>
              <w:rPr>
                <w:sz w:val="18"/>
              </w:rPr>
            </w:pPr>
            <w:r>
              <w:rPr>
                <w:w w:val="95"/>
                <w:sz w:val="18"/>
              </w:rPr>
              <w:t>22,511,098</w:t>
            </w:r>
          </w:p>
        </w:tc>
      </w:tr>
      <w:tr>
        <w:trPr>
          <w:trHeight w:val="628" w:hRule="exact"/>
        </w:trPr>
        <w:tc>
          <w:tcPr>
            <w:tcW w:w="282" w:type="dxa"/>
          </w:tcPr>
          <w:p>
            <w:pPr>
              <w:pStyle w:val="TableParagraph"/>
              <w:jc w:val="left"/>
              <w:rPr>
                <w:b/>
                <w:sz w:val="18"/>
              </w:rPr>
            </w:pPr>
          </w:p>
          <w:p>
            <w:pPr>
              <w:pStyle w:val="TableParagraph"/>
              <w:spacing w:before="107"/>
              <w:ind w:left="35"/>
              <w:jc w:val="left"/>
              <w:rPr>
                <w:b/>
                <w:sz w:val="18"/>
              </w:rPr>
            </w:pPr>
            <w:r>
              <w:rPr>
                <w:b/>
                <w:w w:val="99"/>
                <w:sz w:val="18"/>
              </w:rPr>
              <w:t>4</w:t>
            </w:r>
          </w:p>
        </w:tc>
        <w:tc>
          <w:tcPr>
            <w:tcW w:w="7068" w:type="dxa"/>
          </w:tcPr>
          <w:p>
            <w:pPr>
              <w:pStyle w:val="TableParagraph"/>
              <w:jc w:val="left"/>
              <w:rPr>
                <w:b/>
                <w:sz w:val="18"/>
              </w:rPr>
            </w:pPr>
          </w:p>
          <w:p>
            <w:pPr>
              <w:pStyle w:val="TableParagraph"/>
              <w:spacing w:before="107"/>
              <w:ind w:left="146"/>
              <w:jc w:val="left"/>
              <w:rPr>
                <w:b/>
                <w:sz w:val="18"/>
              </w:rPr>
            </w:pPr>
            <w:r>
              <w:rPr>
                <w:b/>
                <w:sz w:val="18"/>
              </w:rPr>
              <w:t>Gain on disposal of assets</w:t>
            </w:r>
          </w:p>
        </w:tc>
        <w:tc>
          <w:tcPr>
            <w:tcW w:w="1437" w:type="dxa"/>
            <w:tcBorders>
              <w:top w:val="single" w:sz="1" w:space="0" w:color="000000"/>
            </w:tcBorders>
          </w:tcPr>
          <w:p>
            <w:pPr/>
          </w:p>
        </w:tc>
        <w:tc>
          <w:tcPr>
            <w:tcW w:w="1155" w:type="dxa"/>
            <w:tcBorders>
              <w:top w:val="single" w:sz="1" w:space="0" w:color="000000"/>
            </w:tcBorders>
          </w:tcPr>
          <w:p>
            <w:pPr/>
          </w:p>
        </w:tc>
      </w:tr>
      <w:tr>
        <w:trPr>
          <w:trHeight w:val="337" w:hRule="exact"/>
        </w:trPr>
        <w:tc>
          <w:tcPr>
            <w:tcW w:w="282" w:type="dxa"/>
          </w:tcPr>
          <w:p>
            <w:pPr/>
          </w:p>
        </w:tc>
        <w:tc>
          <w:tcPr>
            <w:tcW w:w="7068" w:type="dxa"/>
          </w:tcPr>
          <w:p>
            <w:pPr/>
          </w:p>
        </w:tc>
        <w:tc>
          <w:tcPr>
            <w:tcW w:w="1437" w:type="dxa"/>
          </w:tcPr>
          <w:p>
            <w:pPr>
              <w:pStyle w:val="TableParagraph"/>
              <w:spacing w:before="87"/>
              <w:ind w:left="434"/>
              <w:jc w:val="left"/>
              <w:rPr>
                <w:b/>
                <w:sz w:val="18"/>
              </w:rPr>
            </w:pPr>
            <w:r>
              <w:rPr>
                <w:b/>
                <w:sz w:val="18"/>
              </w:rPr>
              <w:t>2016</w:t>
            </w:r>
          </w:p>
        </w:tc>
        <w:tc>
          <w:tcPr>
            <w:tcW w:w="1155" w:type="dxa"/>
          </w:tcPr>
          <w:p>
            <w:pPr>
              <w:pStyle w:val="TableParagraph"/>
              <w:spacing w:before="87"/>
              <w:ind w:left="293"/>
              <w:jc w:val="left"/>
              <w:rPr>
                <w:b/>
                <w:sz w:val="18"/>
              </w:rPr>
            </w:pPr>
            <w:r>
              <w:rPr>
                <w:b/>
                <w:sz w:val="18"/>
              </w:rPr>
              <w:t>2015</w:t>
            </w:r>
          </w:p>
        </w:tc>
      </w:tr>
      <w:tr>
        <w:trPr>
          <w:trHeight w:val="271" w:hRule="exact"/>
        </w:trPr>
        <w:tc>
          <w:tcPr>
            <w:tcW w:w="282" w:type="dxa"/>
          </w:tcPr>
          <w:p>
            <w:pPr/>
          </w:p>
        </w:tc>
        <w:tc>
          <w:tcPr>
            <w:tcW w:w="7068" w:type="dxa"/>
          </w:tcPr>
          <w:p>
            <w:pPr/>
          </w:p>
        </w:tc>
        <w:tc>
          <w:tcPr>
            <w:tcW w:w="1437" w:type="dxa"/>
          </w:tcPr>
          <w:p>
            <w:pPr>
              <w:pStyle w:val="TableParagraph"/>
              <w:spacing w:before="24"/>
              <w:ind w:right="163"/>
              <w:jc w:val="center"/>
              <w:rPr>
                <w:b/>
                <w:sz w:val="18"/>
              </w:rPr>
            </w:pPr>
            <w:r>
              <w:rPr>
                <w:b/>
                <w:w w:val="99"/>
                <w:sz w:val="18"/>
              </w:rPr>
              <w:t>$</w:t>
            </w:r>
          </w:p>
        </w:tc>
        <w:tc>
          <w:tcPr>
            <w:tcW w:w="1155" w:type="dxa"/>
          </w:tcPr>
          <w:p>
            <w:pPr>
              <w:pStyle w:val="TableParagraph"/>
              <w:spacing w:before="24"/>
              <w:ind w:right="163"/>
              <w:jc w:val="center"/>
              <w:rPr>
                <w:b/>
                <w:sz w:val="18"/>
              </w:rPr>
            </w:pPr>
            <w:r>
              <w:rPr>
                <w:b/>
                <w:w w:val="99"/>
                <w:sz w:val="18"/>
              </w:rPr>
              <w:t>$</w:t>
            </w:r>
          </w:p>
        </w:tc>
      </w:tr>
      <w:tr>
        <w:trPr>
          <w:trHeight w:val="268" w:hRule="exact"/>
        </w:trPr>
        <w:tc>
          <w:tcPr>
            <w:tcW w:w="282" w:type="dxa"/>
          </w:tcPr>
          <w:p>
            <w:pPr/>
          </w:p>
        </w:tc>
        <w:tc>
          <w:tcPr>
            <w:tcW w:w="7068" w:type="dxa"/>
          </w:tcPr>
          <w:p>
            <w:pPr>
              <w:pStyle w:val="TableParagraph"/>
              <w:spacing w:before="24"/>
              <w:ind w:left="146"/>
              <w:jc w:val="left"/>
              <w:rPr>
                <w:sz w:val="18"/>
              </w:rPr>
            </w:pPr>
            <w:r>
              <w:rPr>
                <w:sz w:val="18"/>
              </w:rPr>
              <w:t>Proceeds from sale</w:t>
            </w:r>
          </w:p>
        </w:tc>
        <w:tc>
          <w:tcPr>
            <w:tcW w:w="1437" w:type="dxa"/>
          </w:tcPr>
          <w:p>
            <w:pPr>
              <w:pStyle w:val="TableParagraph"/>
              <w:spacing w:before="21"/>
              <w:ind w:right="222"/>
              <w:rPr>
                <w:b/>
                <w:sz w:val="18"/>
              </w:rPr>
            </w:pPr>
            <w:r>
              <w:rPr>
                <w:b/>
                <w:w w:val="95"/>
                <w:sz w:val="18"/>
              </w:rPr>
              <w:t>490,100</w:t>
            </w:r>
          </w:p>
        </w:tc>
        <w:tc>
          <w:tcPr>
            <w:tcW w:w="1155" w:type="dxa"/>
          </w:tcPr>
          <w:p>
            <w:pPr>
              <w:pStyle w:val="TableParagraph"/>
              <w:spacing w:before="21"/>
              <w:ind w:right="82"/>
              <w:rPr>
                <w:sz w:val="18"/>
              </w:rPr>
            </w:pPr>
            <w:r>
              <w:rPr>
                <w:w w:val="95"/>
                <w:sz w:val="18"/>
              </w:rPr>
              <w:t>14,409</w:t>
            </w:r>
          </w:p>
        </w:tc>
      </w:tr>
      <w:tr>
        <w:trPr>
          <w:trHeight w:val="260" w:hRule="exact"/>
        </w:trPr>
        <w:tc>
          <w:tcPr>
            <w:tcW w:w="282" w:type="dxa"/>
          </w:tcPr>
          <w:p>
            <w:pPr/>
          </w:p>
        </w:tc>
        <w:tc>
          <w:tcPr>
            <w:tcW w:w="7068" w:type="dxa"/>
          </w:tcPr>
          <w:p>
            <w:pPr>
              <w:pStyle w:val="TableParagraph"/>
              <w:spacing w:before="20"/>
              <w:ind w:left="146"/>
              <w:jc w:val="left"/>
              <w:rPr>
                <w:sz w:val="18"/>
              </w:rPr>
            </w:pPr>
            <w:r>
              <w:rPr>
                <w:sz w:val="18"/>
              </w:rPr>
              <w:t>Carrying amount of assets sold</w:t>
            </w:r>
          </w:p>
        </w:tc>
        <w:tc>
          <w:tcPr>
            <w:tcW w:w="1437" w:type="dxa"/>
            <w:tcBorders>
              <w:bottom w:val="single" w:sz="1" w:space="0" w:color="000000"/>
            </w:tcBorders>
          </w:tcPr>
          <w:p>
            <w:pPr>
              <w:pStyle w:val="TableParagraph"/>
              <w:spacing w:before="18"/>
              <w:ind w:right="162"/>
              <w:rPr>
                <w:b/>
                <w:sz w:val="18"/>
              </w:rPr>
            </w:pPr>
            <w:r>
              <w:rPr>
                <w:b/>
                <w:w w:val="95"/>
                <w:sz w:val="18"/>
              </w:rPr>
              <w:t>(115,989)</w:t>
            </w:r>
          </w:p>
        </w:tc>
        <w:tc>
          <w:tcPr>
            <w:tcW w:w="1155" w:type="dxa"/>
            <w:tcBorders>
              <w:bottom w:val="single" w:sz="1" w:space="0" w:color="000000"/>
            </w:tcBorders>
          </w:tcPr>
          <w:p>
            <w:pPr>
              <w:pStyle w:val="TableParagraph"/>
              <w:spacing w:before="18"/>
              <w:ind w:right="223"/>
              <w:rPr>
                <w:sz w:val="18"/>
              </w:rPr>
            </w:pPr>
            <w:r>
              <w:rPr>
                <w:w w:val="99"/>
                <w:sz w:val="18"/>
              </w:rPr>
              <w:t>-</w:t>
            </w:r>
          </w:p>
        </w:tc>
      </w:tr>
      <w:tr>
        <w:trPr>
          <w:trHeight w:val="338" w:hRule="exact"/>
        </w:trPr>
        <w:tc>
          <w:tcPr>
            <w:tcW w:w="282" w:type="dxa"/>
          </w:tcPr>
          <w:p>
            <w:pPr/>
          </w:p>
        </w:tc>
        <w:tc>
          <w:tcPr>
            <w:tcW w:w="7068" w:type="dxa"/>
          </w:tcPr>
          <w:p>
            <w:pPr>
              <w:pStyle w:val="TableParagraph"/>
              <w:spacing w:before="125"/>
              <w:ind w:left="146"/>
              <w:jc w:val="left"/>
              <w:rPr>
                <w:b/>
                <w:sz w:val="18"/>
              </w:rPr>
            </w:pPr>
            <w:r>
              <w:rPr>
                <w:b/>
                <w:sz w:val="18"/>
              </w:rPr>
              <w:t>Total gain on disposal of assets</w:t>
            </w:r>
          </w:p>
        </w:tc>
        <w:tc>
          <w:tcPr>
            <w:tcW w:w="1437" w:type="dxa"/>
            <w:tcBorders>
              <w:top w:val="single" w:sz="1" w:space="0" w:color="000000"/>
              <w:bottom w:val="single" w:sz="1" w:space="0" w:color="000000"/>
            </w:tcBorders>
          </w:tcPr>
          <w:p>
            <w:pPr>
              <w:pStyle w:val="TableParagraph"/>
              <w:spacing w:before="124"/>
              <w:ind w:right="222"/>
              <w:rPr>
                <w:b/>
                <w:sz w:val="18"/>
              </w:rPr>
            </w:pPr>
            <w:r>
              <w:rPr>
                <w:b/>
                <w:w w:val="95"/>
                <w:sz w:val="18"/>
              </w:rPr>
              <w:t>374,111</w:t>
            </w:r>
          </w:p>
        </w:tc>
        <w:tc>
          <w:tcPr>
            <w:tcW w:w="1155" w:type="dxa"/>
            <w:tcBorders>
              <w:top w:val="single" w:sz="1" w:space="0" w:color="000000"/>
              <w:bottom w:val="single" w:sz="1" w:space="0" w:color="000000"/>
            </w:tcBorders>
          </w:tcPr>
          <w:p>
            <w:pPr>
              <w:pStyle w:val="TableParagraph"/>
              <w:spacing w:before="124"/>
              <w:ind w:right="82"/>
              <w:rPr>
                <w:sz w:val="18"/>
              </w:rPr>
            </w:pPr>
            <w:r>
              <w:rPr>
                <w:w w:val="95"/>
                <w:sz w:val="18"/>
              </w:rPr>
              <w:t>14,409</w:t>
            </w:r>
          </w:p>
        </w:tc>
      </w:tr>
    </w:tbl>
    <w:p>
      <w:pPr>
        <w:spacing w:after="0"/>
        <w:rPr>
          <w:sz w:val="18"/>
        </w:rPr>
        <w:sectPr>
          <w:pgSz w:w="12750" w:h="17680"/>
          <w:pgMar w:header="0" w:footer="867" w:top="1880" w:bottom="1120" w:left="0" w:right="0"/>
        </w:sectPr>
      </w:pPr>
    </w:p>
    <w:p>
      <w:pPr>
        <w:pStyle w:val="BodyText"/>
        <w:spacing w:before="1"/>
        <w:rPr>
          <w:b/>
          <w:sz w:val="24"/>
        </w:rPr>
      </w:pPr>
      <w:r>
        <w:rPr/>
        <w:drawing>
          <wp:anchor distT="0" distB="0" distL="0" distR="0" allowOverlap="1" layoutInCell="1" locked="0" behindDoc="0" simplePos="0" relativeHeight="10768">
            <wp:simplePos x="0" y="0"/>
            <wp:positionH relativeFrom="page">
              <wp:posOffset>-1587</wp:posOffset>
            </wp:positionH>
            <wp:positionV relativeFrom="page">
              <wp:posOffset>5534342</wp:posOffset>
            </wp:positionV>
            <wp:extent cx="135159" cy="154019"/>
            <wp:effectExtent l="0" t="0" r="0" b="0"/>
            <wp:wrapNone/>
            <wp:docPr id="715" name="image13.png" descr=""/>
            <wp:cNvGraphicFramePr>
              <a:graphicFrameLocks noChangeAspect="1"/>
            </wp:cNvGraphicFramePr>
            <a:graphic>
              <a:graphicData uri="http://schemas.openxmlformats.org/drawingml/2006/picture">
                <pic:pic>
                  <pic:nvPicPr>
                    <pic:cNvPr id="716" name="image13.png"/>
                    <pic:cNvPicPr/>
                  </pic:nvPicPr>
                  <pic:blipFill>
                    <a:blip r:embed="rId18" cstate="print"/>
                    <a:stretch>
                      <a:fillRect/>
                    </a:stretch>
                  </pic:blipFill>
                  <pic:spPr>
                    <a:xfrm>
                      <a:off x="0" y="0"/>
                      <a:ext cx="135159" cy="154019"/>
                    </a:xfrm>
                    <a:prstGeom prst="rect">
                      <a:avLst/>
                    </a:prstGeom>
                  </pic:spPr>
                </pic:pic>
              </a:graphicData>
            </a:graphic>
          </wp:anchor>
        </w:drawing>
      </w:r>
      <w:r>
        <w:rPr/>
        <w:drawing>
          <wp:anchor distT="0" distB="0" distL="0" distR="0" allowOverlap="1" layoutInCell="1" locked="0" behindDoc="0" simplePos="0" relativeHeight="10792">
            <wp:simplePos x="0" y="0"/>
            <wp:positionH relativeFrom="page">
              <wp:posOffset>7958429</wp:posOffset>
            </wp:positionH>
            <wp:positionV relativeFrom="page">
              <wp:posOffset>5534342</wp:posOffset>
            </wp:positionV>
            <wp:extent cx="135953" cy="155575"/>
            <wp:effectExtent l="0" t="0" r="0" b="0"/>
            <wp:wrapNone/>
            <wp:docPr id="717" name="image15.png" descr=""/>
            <wp:cNvGraphicFramePr>
              <a:graphicFrameLocks noChangeAspect="1"/>
            </wp:cNvGraphicFramePr>
            <a:graphic>
              <a:graphicData uri="http://schemas.openxmlformats.org/drawingml/2006/picture">
                <pic:pic>
                  <pic:nvPicPr>
                    <pic:cNvPr id="718" name="image15.png"/>
                    <pic:cNvPicPr/>
                  </pic:nvPicPr>
                  <pic:blipFill>
                    <a:blip r:embed="rId20" cstate="print"/>
                    <a:stretch>
                      <a:fillRect/>
                    </a:stretch>
                  </pic:blipFill>
                  <pic:spPr>
                    <a:xfrm>
                      <a:off x="0" y="0"/>
                      <a:ext cx="135953" cy="155575"/>
                    </a:xfrm>
                    <a:prstGeom prst="rect">
                      <a:avLst/>
                    </a:prstGeom>
                  </pic:spPr>
                </pic:pic>
              </a:graphicData>
            </a:graphic>
          </wp:anchor>
        </w:drawing>
      </w:r>
    </w:p>
    <w:p>
      <w:pPr>
        <w:spacing w:before="65"/>
        <w:ind w:left="1428" w:right="0" w:firstLine="0"/>
        <w:jc w:val="left"/>
        <w:rPr>
          <w:b/>
          <w:sz w:val="28"/>
        </w:rPr>
      </w:pPr>
      <w:bookmarkStart w:name="Expenses" w:id="285"/>
      <w:bookmarkEnd w:id="285"/>
      <w:r>
        <w:rPr/>
      </w:r>
      <w:r>
        <w:rPr>
          <w:b/>
          <w:sz w:val="28"/>
        </w:rPr>
        <w:t>Notes to the Financial Statements</w:t>
      </w:r>
    </w:p>
    <w:p>
      <w:pPr>
        <w:spacing w:before="53"/>
        <w:ind w:left="1428" w:right="0" w:firstLine="0"/>
        <w:jc w:val="left"/>
        <w:rPr>
          <w:b/>
          <w:sz w:val="22"/>
        </w:rPr>
      </w:pPr>
      <w:r>
        <w:rPr>
          <w:b/>
          <w:sz w:val="22"/>
        </w:rPr>
        <w:t>For the Year Ended 31 December 2016</w:t>
      </w:r>
    </w:p>
    <w:p>
      <w:pPr>
        <w:pStyle w:val="BodyText"/>
        <w:rPr>
          <w:b/>
          <w:sz w:val="20"/>
        </w:rPr>
      </w:pPr>
    </w:p>
    <w:p>
      <w:pPr>
        <w:pStyle w:val="BodyText"/>
        <w:spacing w:before="10"/>
        <w:rPr>
          <w:b/>
          <w:sz w:val="10"/>
        </w:rPr>
      </w:pPr>
    </w:p>
    <w:tbl>
      <w:tblPr>
        <w:tblW w:w="0" w:type="auto"/>
        <w:jc w:val="left"/>
        <w:tblInd w:w="139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82"/>
        <w:gridCol w:w="7071"/>
        <w:gridCol w:w="1454"/>
        <w:gridCol w:w="1138"/>
      </w:tblGrid>
      <w:tr>
        <w:trPr>
          <w:trHeight w:val="567" w:hRule="exact"/>
        </w:trPr>
        <w:tc>
          <w:tcPr>
            <w:tcW w:w="282" w:type="dxa"/>
          </w:tcPr>
          <w:p>
            <w:pPr>
              <w:pStyle w:val="TableParagraph"/>
              <w:spacing w:before="77"/>
              <w:ind w:left="35"/>
              <w:jc w:val="left"/>
              <w:rPr>
                <w:b/>
                <w:sz w:val="18"/>
              </w:rPr>
            </w:pPr>
            <w:r>
              <w:rPr>
                <w:b/>
                <w:w w:val="99"/>
                <w:sz w:val="18"/>
              </w:rPr>
              <w:t>5</w:t>
            </w:r>
          </w:p>
        </w:tc>
        <w:tc>
          <w:tcPr>
            <w:tcW w:w="7071" w:type="dxa"/>
          </w:tcPr>
          <w:p>
            <w:pPr>
              <w:pStyle w:val="TableParagraph"/>
              <w:spacing w:before="77"/>
              <w:ind w:left="146"/>
              <w:jc w:val="left"/>
              <w:rPr>
                <w:b/>
                <w:sz w:val="18"/>
              </w:rPr>
            </w:pPr>
            <w:r>
              <w:rPr>
                <w:b/>
                <w:sz w:val="18"/>
              </w:rPr>
              <w:t>Expenses</w:t>
            </w:r>
          </w:p>
        </w:tc>
        <w:tc>
          <w:tcPr>
            <w:tcW w:w="1454" w:type="dxa"/>
          </w:tcPr>
          <w:p>
            <w:pPr>
              <w:pStyle w:val="TableParagraph"/>
              <w:jc w:val="left"/>
              <w:rPr>
                <w:b/>
                <w:sz w:val="18"/>
              </w:rPr>
            </w:pPr>
          </w:p>
          <w:p>
            <w:pPr>
              <w:pStyle w:val="TableParagraph"/>
              <w:spacing w:before="110"/>
              <w:ind w:left="432"/>
              <w:jc w:val="left"/>
              <w:rPr>
                <w:b/>
                <w:sz w:val="18"/>
              </w:rPr>
            </w:pPr>
            <w:r>
              <w:rPr>
                <w:b/>
                <w:sz w:val="18"/>
              </w:rPr>
              <w:t>2016</w:t>
            </w:r>
          </w:p>
        </w:tc>
        <w:tc>
          <w:tcPr>
            <w:tcW w:w="1138" w:type="dxa"/>
          </w:tcPr>
          <w:p>
            <w:pPr>
              <w:pStyle w:val="TableParagraph"/>
              <w:jc w:val="left"/>
              <w:rPr>
                <w:b/>
                <w:sz w:val="18"/>
              </w:rPr>
            </w:pPr>
          </w:p>
          <w:p>
            <w:pPr>
              <w:pStyle w:val="TableParagraph"/>
              <w:spacing w:before="110"/>
              <w:ind w:left="273"/>
              <w:jc w:val="left"/>
              <w:rPr>
                <w:b/>
                <w:sz w:val="18"/>
              </w:rPr>
            </w:pPr>
            <w:r>
              <w:rPr>
                <w:b/>
                <w:sz w:val="18"/>
              </w:rPr>
              <w:t>2015</w:t>
            </w:r>
          </w:p>
        </w:tc>
      </w:tr>
      <w:tr>
        <w:trPr>
          <w:trHeight w:val="313" w:hRule="exact"/>
        </w:trPr>
        <w:tc>
          <w:tcPr>
            <w:tcW w:w="282" w:type="dxa"/>
          </w:tcPr>
          <w:p>
            <w:pPr/>
          </w:p>
        </w:tc>
        <w:tc>
          <w:tcPr>
            <w:tcW w:w="7071" w:type="dxa"/>
          </w:tcPr>
          <w:p>
            <w:pPr/>
          </w:p>
        </w:tc>
        <w:tc>
          <w:tcPr>
            <w:tcW w:w="1454" w:type="dxa"/>
          </w:tcPr>
          <w:p>
            <w:pPr>
              <w:pStyle w:val="TableParagraph"/>
              <w:spacing w:before="24"/>
              <w:ind w:right="185"/>
              <w:jc w:val="center"/>
              <w:rPr>
                <w:b/>
                <w:sz w:val="18"/>
              </w:rPr>
            </w:pPr>
            <w:r>
              <w:rPr>
                <w:b/>
                <w:w w:val="99"/>
                <w:sz w:val="18"/>
              </w:rPr>
              <w:t>$</w:t>
            </w:r>
          </w:p>
        </w:tc>
        <w:tc>
          <w:tcPr>
            <w:tcW w:w="1138" w:type="dxa"/>
          </w:tcPr>
          <w:p>
            <w:pPr>
              <w:pStyle w:val="TableParagraph"/>
              <w:spacing w:before="24"/>
              <w:ind w:left="424"/>
              <w:jc w:val="left"/>
              <w:rPr>
                <w:b/>
                <w:sz w:val="18"/>
              </w:rPr>
            </w:pPr>
            <w:r>
              <w:rPr>
                <w:b/>
                <w:w w:val="99"/>
                <w:sz w:val="18"/>
              </w:rPr>
              <w:t>$</w:t>
            </w:r>
          </w:p>
        </w:tc>
      </w:tr>
      <w:tr>
        <w:trPr>
          <w:trHeight w:val="545" w:hRule="exact"/>
        </w:trPr>
        <w:tc>
          <w:tcPr>
            <w:tcW w:w="282" w:type="dxa"/>
          </w:tcPr>
          <w:p>
            <w:pPr/>
          </w:p>
        </w:tc>
        <w:tc>
          <w:tcPr>
            <w:tcW w:w="7071" w:type="dxa"/>
          </w:tcPr>
          <w:p>
            <w:pPr>
              <w:pStyle w:val="TableParagraph"/>
              <w:spacing w:before="63"/>
              <w:ind w:left="146"/>
              <w:jc w:val="left"/>
              <w:rPr>
                <w:b/>
                <w:sz w:val="18"/>
              </w:rPr>
            </w:pPr>
            <w:r>
              <w:rPr>
                <w:b/>
                <w:sz w:val="18"/>
              </w:rPr>
              <w:t>Employee benefits expense</w:t>
            </w:r>
          </w:p>
          <w:p>
            <w:pPr>
              <w:pStyle w:val="TableParagraph"/>
              <w:spacing w:before="30"/>
              <w:ind w:left="146"/>
              <w:jc w:val="left"/>
              <w:rPr>
                <w:sz w:val="18"/>
              </w:rPr>
            </w:pPr>
            <w:r>
              <w:rPr>
                <w:sz w:val="18"/>
              </w:rPr>
              <w:t>Salaries and wages</w:t>
            </w:r>
          </w:p>
        </w:tc>
        <w:tc>
          <w:tcPr>
            <w:tcW w:w="1454" w:type="dxa"/>
          </w:tcPr>
          <w:p>
            <w:pPr>
              <w:pStyle w:val="TableParagraph"/>
              <w:spacing w:before="11"/>
              <w:jc w:val="left"/>
              <w:rPr>
                <w:b/>
                <w:sz w:val="25"/>
              </w:rPr>
            </w:pPr>
          </w:p>
          <w:p>
            <w:pPr>
              <w:pStyle w:val="TableParagraph"/>
              <w:ind w:right="243"/>
              <w:rPr>
                <w:b/>
                <w:sz w:val="18"/>
              </w:rPr>
            </w:pPr>
            <w:r>
              <w:rPr>
                <w:b/>
                <w:w w:val="95"/>
                <w:sz w:val="18"/>
              </w:rPr>
              <w:t>6,770,007</w:t>
            </w:r>
          </w:p>
        </w:tc>
        <w:tc>
          <w:tcPr>
            <w:tcW w:w="1138" w:type="dxa"/>
          </w:tcPr>
          <w:p>
            <w:pPr>
              <w:pStyle w:val="TableParagraph"/>
              <w:spacing w:before="11"/>
              <w:jc w:val="left"/>
              <w:rPr>
                <w:b/>
                <w:sz w:val="25"/>
              </w:rPr>
            </w:pPr>
          </w:p>
          <w:p>
            <w:pPr>
              <w:pStyle w:val="TableParagraph"/>
              <w:ind w:right="84"/>
              <w:rPr>
                <w:sz w:val="18"/>
              </w:rPr>
            </w:pPr>
            <w:r>
              <w:rPr>
                <w:w w:val="95"/>
                <w:sz w:val="18"/>
              </w:rPr>
              <w:t>8,333,768</w:t>
            </w:r>
          </w:p>
        </w:tc>
      </w:tr>
      <w:tr>
        <w:trPr>
          <w:trHeight w:val="264" w:hRule="exact"/>
        </w:trPr>
        <w:tc>
          <w:tcPr>
            <w:tcW w:w="282" w:type="dxa"/>
          </w:tcPr>
          <w:p>
            <w:pPr/>
          </w:p>
        </w:tc>
        <w:tc>
          <w:tcPr>
            <w:tcW w:w="7071" w:type="dxa"/>
          </w:tcPr>
          <w:p>
            <w:pPr>
              <w:pStyle w:val="TableParagraph"/>
              <w:spacing w:before="20"/>
              <w:ind w:left="146"/>
              <w:jc w:val="left"/>
              <w:rPr>
                <w:sz w:val="18"/>
              </w:rPr>
            </w:pPr>
            <w:r>
              <w:rPr>
                <w:sz w:val="18"/>
              </w:rPr>
              <w:t>Superannuation</w:t>
            </w:r>
          </w:p>
        </w:tc>
        <w:tc>
          <w:tcPr>
            <w:tcW w:w="1454" w:type="dxa"/>
          </w:tcPr>
          <w:p>
            <w:pPr>
              <w:pStyle w:val="TableParagraph"/>
              <w:spacing w:before="18"/>
              <w:ind w:right="242"/>
              <w:rPr>
                <w:b/>
                <w:sz w:val="18"/>
              </w:rPr>
            </w:pPr>
            <w:r>
              <w:rPr>
                <w:b/>
                <w:w w:val="95"/>
                <w:sz w:val="18"/>
              </w:rPr>
              <w:t>605,151</w:t>
            </w:r>
          </w:p>
        </w:tc>
        <w:tc>
          <w:tcPr>
            <w:tcW w:w="1138" w:type="dxa"/>
          </w:tcPr>
          <w:p>
            <w:pPr>
              <w:pStyle w:val="TableParagraph"/>
              <w:spacing w:before="18"/>
              <w:ind w:right="84"/>
              <w:rPr>
                <w:sz w:val="18"/>
              </w:rPr>
            </w:pPr>
            <w:r>
              <w:rPr>
                <w:w w:val="95"/>
                <w:sz w:val="18"/>
              </w:rPr>
              <w:t>751,161</w:t>
            </w:r>
          </w:p>
        </w:tc>
      </w:tr>
      <w:tr>
        <w:trPr>
          <w:trHeight w:val="264" w:hRule="exact"/>
        </w:trPr>
        <w:tc>
          <w:tcPr>
            <w:tcW w:w="282" w:type="dxa"/>
          </w:tcPr>
          <w:p>
            <w:pPr/>
          </w:p>
        </w:tc>
        <w:tc>
          <w:tcPr>
            <w:tcW w:w="7071" w:type="dxa"/>
          </w:tcPr>
          <w:p>
            <w:pPr>
              <w:pStyle w:val="TableParagraph"/>
              <w:spacing w:before="20"/>
              <w:ind w:left="146"/>
              <w:jc w:val="left"/>
              <w:rPr>
                <w:sz w:val="18"/>
              </w:rPr>
            </w:pPr>
            <w:r>
              <w:rPr>
                <w:sz w:val="18"/>
              </w:rPr>
              <w:t>Annual leave</w:t>
            </w:r>
          </w:p>
        </w:tc>
        <w:tc>
          <w:tcPr>
            <w:tcW w:w="1454" w:type="dxa"/>
          </w:tcPr>
          <w:p>
            <w:pPr>
              <w:pStyle w:val="TableParagraph"/>
              <w:spacing w:before="18"/>
              <w:ind w:right="242"/>
              <w:rPr>
                <w:b/>
                <w:sz w:val="18"/>
              </w:rPr>
            </w:pPr>
            <w:r>
              <w:rPr>
                <w:b/>
                <w:w w:val="95"/>
                <w:sz w:val="18"/>
              </w:rPr>
              <w:t>274,348</w:t>
            </w:r>
          </w:p>
        </w:tc>
        <w:tc>
          <w:tcPr>
            <w:tcW w:w="1138" w:type="dxa"/>
          </w:tcPr>
          <w:p>
            <w:pPr>
              <w:pStyle w:val="TableParagraph"/>
              <w:spacing w:before="18"/>
              <w:ind w:right="84"/>
              <w:rPr>
                <w:sz w:val="18"/>
              </w:rPr>
            </w:pPr>
            <w:r>
              <w:rPr>
                <w:w w:val="95"/>
                <w:sz w:val="18"/>
              </w:rPr>
              <w:t>346,931</w:t>
            </w:r>
          </w:p>
        </w:tc>
      </w:tr>
      <w:tr>
        <w:trPr>
          <w:trHeight w:val="264" w:hRule="exact"/>
        </w:trPr>
        <w:tc>
          <w:tcPr>
            <w:tcW w:w="282" w:type="dxa"/>
          </w:tcPr>
          <w:p>
            <w:pPr/>
          </w:p>
        </w:tc>
        <w:tc>
          <w:tcPr>
            <w:tcW w:w="7071" w:type="dxa"/>
          </w:tcPr>
          <w:p>
            <w:pPr>
              <w:pStyle w:val="TableParagraph"/>
              <w:spacing w:before="20"/>
              <w:ind w:left="146"/>
              <w:jc w:val="left"/>
              <w:rPr>
                <w:sz w:val="18"/>
              </w:rPr>
            </w:pPr>
            <w:r>
              <w:rPr>
                <w:sz w:val="18"/>
              </w:rPr>
              <w:t>Long service leave</w:t>
            </w:r>
          </w:p>
        </w:tc>
        <w:tc>
          <w:tcPr>
            <w:tcW w:w="1454" w:type="dxa"/>
          </w:tcPr>
          <w:p>
            <w:pPr>
              <w:pStyle w:val="TableParagraph"/>
              <w:spacing w:before="18"/>
              <w:ind w:right="242"/>
              <w:rPr>
                <w:b/>
                <w:sz w:val="18"/>
              </w:rPr>
            </w:pPr>
            <w:r>
              <w:rPr>
                <w:b/>
                <w:w w:val="95"/>
                <w:sz w:val="18"/>
              </w:rPr>
              <w:t>61,609</w:t>
            </w:r>
          </w:p>
        </w:tc>
        <w:tc>
          <w:tcPr>
            <w:tcW w:w="1138" w:type="dxa"/>
          </w:tcPr>
          <w:p>
            <w:pPr>
              <w:pStyle w:val="TableParagraph"/>
              <w:spacing w:before="18"/>
              <w:ind w:right="84"/>
              <w:rPr>
                <w:sz w:val="18"/>
              </w:rPr>
            </w:pPr>
            <w:r>
              <w:rPr>
                <w:w w:val="95"/>
                <w:sz w:val="18"/>
              </w:rPr>
              <w:t>30,687</w:t>
            </w:r>
          </w:p>
        </w:tc>
      </w:tr>
      <w:tr>
        <w:trPr>
          <w:trHeight w:val="264" w:hRule="exact"/>
        </w:trPr>
        <w:tc>
          <w:tcPr>
            <w:tcW w:w="282" w:type="dxa"/>
          </w:tcPr>
          <w:p>
            <w:pPr/>
          </w:p>
        </w:tc>
        <w:tc>
          <w:tcPr>
            <w:tcW w:w="7071" w:type="dxa"/>
          </w:tcPr>
          <w:p>
            <w:pPr>
              <w:pStyle w:val="TableParagraph"/>
              <w:spacing w:before="20"/>
              <w:ind w:left="146"/>
              <w:jc w:val="left"/>
              <w:rPr>
                <w:sz w:val="18"/>
              </w:rPr>
            </w:pPr>
            <w:r>
              <w:rPr>
                <w:sz w:val="18"/>
              </w:rPr>
              <w:t>Workers compensation</w:t>
            </w:r>
          </w:p>
        </w:tc>
        <w:tc>
          <w:tcPr>
            <w:tcW w:w="1454" w:type="dxa"/>
          </w:tcPr>
          <w:p>
            <w:pPr>
              <w:pStyle w:val="TableParagraph"/>
              <w:spacing w:before="18"/>
              <w:ind w:right="242"/>
              <w:rPr>
                <w:b/>
                <w:sz w:val="18"/>
              </w:rPr>
            </w:pPr>
            <w:r>
              <w:rPr>
                <w:b/>
                <w:w w:val="95"/>
                <w:sz w:val="18"/>
              </w:rPr>
              <w:t>189,655</w:t>
            </w:r>
          </w:p>
        </w:tc>
        <w:tc>
          <w:tcPr>
            <w:tcW w:w="1138" w:type="dxa"/>
          </w:tcPr>
          <w:p>
            <w:pPr>
              <w:pStyle w:val="TableParagraph"/>
              <w:spacing w:before="18"/>
              <w:ind w:right="84"/>
              <w:rPr>
                <w:sz w:val="18"/>
              </w:rPr>
            </w:pPr>
            <w:r>
              <w:rPr>
                <w:w w:val="95"/>
                <w:sz w:val="18"/>
              </w:rPr>
              <w:t>212,707</w:t>
            </w:r>
          </w:p>
        </w:tc>
      </w:tr>
      <w:tr>
        <w:trPr>
          <w:trHeight w:val="264" w:hRule="exact"/>
        </w:trPr>
        <w:tc>
          <w:tcPr>
            <w:tcW w:w="282" w:type="dxa"/>
          </w:tcPr>
          <w:p>
            <w:pPr/>
          </w:p>
        </w:tc>
        <w:tc>
          <w:tcPr>
            <w:tcW w:w="7071" w:type="dxa"/>
          </w:tcPr>
          <w:p>
            <w:pPr>
              <w:pStyle w:val="TableParagraph"/>
              <w:spacing w:before="20"/>
              <w:ind w:left="146"/>
              <w:jc w:val="left"/>
              <w:rPr>
                <w:sz w:val="18"/>
              </w:rPr>
            </w:pPr>
            <w:r>
              <w:rPr>
                <w:sz w:val="18"/>
              </w:rPr>
              <w:t>Termination benefits</w:t>
            </w:r>
          </w:p>
        </w:tc>
        <w:tc>
          <w:tcPr>
            <w:tcW w:w="1454" w:type="dxa"/>
          </w:tcPr>
          <w:p>
            <w:pPr>
              <w:pStyle w:val="TableParagraph"/>
              <w:spacing w:before="18"/>
              <w:ind w:right="242"/>
              <w:rPr>
                <w:b/>
                <w:sz w:val="18"/>
              </w:rPr>
            </w:pPr>
            <w:r>
              <w:rPr>
                <w:b/>
                <w:w w:val="95"/>
                <w:sz w:val="18"/>
              </w:rPr>
              <w:t>257,012</w:t>
            </w:r>
          </w:p>
        </w:tc>
        <w:tc>
          <w:tcPr>
            <w:tcW w:w="1138" w:type="dxa"/>
          </w:tcPr>
          <w:p>
            <w:pPr>
              <w:pStyle w:val="TableParagraph"/>
              <w:spacing w:before="18"/>
              <w:ind w:right="84"/>
              <w:rPr>
                <w:sz w:val="18"/>
              </w:rPr>
            </w:pPr>
            <w:r>
              <w:rPr>
                <w:w w:val="95"/>
                <w:sz w:val="18"/>
              </w:rPr>
              <w:t>159,553</w:t>
            </w:r>
          </w:p>
        </w:tc>
      </w:tr>
      <w:tr>
        <w:trPr>
          <w:trHeight w:val="260" w:hRule="exact"/>
        </w:trPr>
        <w:tc>
          <w:tcPr>
            <w:tcW w:w="282" w:type="dxa"/>
          </w:tcPr>
          <w:p>
            <w:pPr/>
          </w:p>
        </w:tc>
        <w:tc>
          <w:tcPr>
            <w:tcW w:w="7071" w:type="dxa"/>
          </w:tcPr>
          <w:p>
            <w:pPr>
              <w:pStyle w:val="TableParagraph"/>
              <w:spacing w:before="20"/>
              <w:ind w:left="146"/>
              <w:jc w:val="left"/>
              <w:rPr>
                <w:sz w:val="18"/>
              </w:rPr>
            </w:pPr>
            <w:r>
              <w:rPr>
                <w:sz w:val="18"/>
              </w:rPr>
              <w:t>Other</w:t>
            </w:r>
          </w:p>
        </w:tc>
        <w:tc>
          <w:tcPr>
            <w:tcW w:w="1454" w:type="dxa"/>
            <w:tcBorders>
              <w:bottom w:val="single" w:sz="1" w:space="0" w:color="000000"/>
            </w:tcBorders>
          </w:tcPr>
          <w:p>
            <w:pPr>
              <w:pStyle w:val="TableParagraph"/>
              <w:spacing w:before="18"/>
              <w:ind w:right="242"/>
              <w:rPr>
                <w:b/>
                <w:sz w:val="18"/>
              </w:rPr>
            </w:pPr>
            <w:r>
              <w:rPr>
                <w:b/>
                <w:w w:val="95"/>
                <w:sz w:val="18"/>
              </w:rPr>
              <w:t>231,377</w:t>
            </w:r>
          </w:p>
        </w:tc>
        <w:tc>
          <w:tcPr>
            <w:tcW w:w="1138" w:type="dxa"/>
            <w:tcBorders>
              <w:bottom w:val="single" w:sz="1" w:space="0" w:color="000000"/>
            </w:tcBorders>
          </w:tcPr>
          <w:p>
            <w:pPr>
              <w:pStyle w:val="TableParagraph"/>
              <w:spacing w:before="18"/>
              <w:ind w:right="84"/>
              <w:rPr>
                <w:sz w:val="18"/>
              </w:rPr>
            </w:pPr>
            <w:r>
              <w:rPr>
                <w:w w:val="95"/>
                <w:sz w:val="18"/>
              </w:rPr>
              <w:t>120,400</w:t>
            </w:r>
          </w:p>
        </w:tc>
      </w:tr>
      <w:tr>
        <w:trPr>
          <w:trHeight w:val="338" w:hRule="exact"/>
        </w:trPr>
        <w:tc>
          <w:tcPr>
            <w:tcW w:w="282" w:type="dxa"/>
          </w:tcPr>
          <w:p>
            <w:pPr/>
          </w:p>
        </w:tc>
        <w:tc>
          <w:tcPr>
            <w:tcW w:w="7071" w:type="dxa"/>
          </w:tcPr>
          <w:p>
            <w:pPr>
              <w:pStyle w:val="TableParagraph"/>
              <w:spacing w:before="125"/>
              <w:ind w:left="146"/>
              <w:jc w:val="left"/>
              <w:rPr>
                <w:b/>
                <w:sz w:val="18"/>
              </w:rPr>
            </w:pPr>
            <w:r>
              <w:rPr>
                <w:b/>
                <w:sz w:val="18"/>
              </w:rPr>
              <w:t>Total</w:t>
            </w:r>
          </w:p>
        </w:tc>
        <w:tc>
          <w:tcPr>
            <w:tcW w:w="1454" w:type="dxa"/>
            <w:tcBorders>
              <w:top w:val="single" w:sz="1" w:space="0" w:color="000000"/>
              <w:bottom w:val="single" w:sz="1" w:space="0" w:color="000000"/>
            </w:tcBorders>
          </w:tcPr>
          <w:p>
            <w:pPr>
              <w:pStyle w:val="TableParagraph"/>
              <w:spacing w:before="124"/>
              <w:ind w:right="243"/>
              <w:rPr>
                <w:b/>
                <w:sz w:val="18"/>
              </w:rPr>
            </w:pPr>
            <w:r>
              <w:rPr>
                <w:b/>
                <w:w w:val="95"/>
                <w:sz w:val="18"/>
              </w:rPr>
              <w:t>8,389,159</w:t>
            </w:r>
          </w:p>
        </w:tc>
        <w:tc>
          <w:tcPr>
            <w:tcW w:w="1138" w:type="dxa"/>
            <w:tcBorders>
              <w:top w:val="single" w:sz="1" w:space="0" w:color="000000"/>
              <w:bottom w:val="single" w:sz="1" w:space="0" w:color="000000"/>
            </w:tcBorders>
          </w:tcPr>
          <w:p>
            <w:pPr>
              <w:pStyle w:val="TableParagraph"/>
              <w:spacing w:before="124"/>
              <w:ind w:right="84"/>
              <w:rPr>
                <w:sz w:val="18"/>
              </w:rPr>
            </w:pPr>
            <w:r>
              <w:rPr>
                <w:w w:val="95"/>
                <w:sz w:val="18"/>
              </w:rPr>
              <w:t>9,955,207</w:t>
            </w:r>
          </w:p>
        </w:tc>
      </w:tr>
      <w:tr>
        <w:trPr>
          <w:trHeight w:val="607" w:hRule="exact"/>
        </w:trPr>
        <w:tc>
          <w:tcPr>
            <w:tcW w:w="282" w:type="dxa"/>
          </w:tcPr>
          <w:p>
            <w:pPr/>
          </w:p>
        </w:tc>
        <w:tc>
          <w:tcPr>
            <w:tcW w:w="7071" w:type="dxa"/>
          </w:tcPr>
          <w:p>
            <w:pPr>
              <w:pStyle w:val="TableParagraph"/>
              <w:spacing w:before="125"/>
              <w:ind w:left="146"/>
              <w:jc w:val="left"/>
              <w:rPr>
                <w:b/>
                <w:sz w:val="18"/>
              </w:rPr>
            </w:pPr>
            <w:r>
              <w:rPr>
                <w:b/>
                <w:sz w:val="18"/>
              </w:rPr>
              <w:t>Depreciation</w:t>
            </w:r>
          </w:p>
          <w:p>
            <w:pPr>
              <w:pStyle w:val="TableParagraph"/>
              <w:spacing w:before="30"/>
              <w:ind w:left="146"/>
              <w:jc w:val="left"/>
              <w:rPr>
                <w:sz w:val="18"/>
              </w:rPr>
            </w:pPr>
            <w:r>
              <w:rPr>
                <w:sz w:val="18"/>
              </w:rPr>
              <w:t>Plant and equipment</w:t>
            </w:r>
          </w:p>
        </w:tc>
        <w:tc>
          <w:tcPr>
            <w:tcW w:w="1454" w:type="dxa"/>
            <w:tcBorders>
              <w:top w:val="single" w:sz="1" w:space="0" w:color="000000"/>
            </w:tcBorders>
          </w:tcPr>
          <w:p>
            <w:pPr>
              <w:pStyle w:val="TableParagraph"/>
              <w:jc w:val="left"/>
              <w:rPr>
                <w:b/>
                <w:sz w:val="18"/>
              </w:rPr>
            </w:pPr>
          </w:p>
          <w:p>
            <w:pPr>
              <w:pStyle w:val="TableParagraph"/>
              <w:spacing w:before="152"/>
              <w:ind w:right="242"/>
              <w:rPr>
                <w:b/>
                <w:sz w:val="18"/>
              </w:rPr>
            </w:pPr>
            <w:r>
              <w:rPr>
                <w:b/>
                <w:w w:val="95"/>
                <w:sz w:val="18"/>
              </w:rPr>
              <w:t>15,646</w:t>
            </w:r>
          </w:p>
        </w:tc>
        <w:tc>
          <w:tcPr>
            <w:tcW w:w="1138" w:type="dxa"/>
            <w:tcBorders>
              <w:top w:val="single" w:sz="1" w:space="0" w:color="000000"/>
            </w:tcBorders>
          </w:tcPr>
          <w:p>
            <w:pPr>
              <w:pStyle w:val="TableParagraph"/>
              <w:jc w:val="left"/>
              <w:rPr>
                <w:b/>
                <w:sz w:val="18"/>
              </w:rPr>
            </w:pPr>
          </w:p>
          <w:p>
            <w:pPr>
              <w:pStyle w:val="TableParagraph"/>
              <w:spacing w:before="152"/>
              <w:ind w:right="84"/>
              <w:rPr>
                <w:sz w:val="18"/>
              </w:rPr>
            </w:pPr>
            <w:r>
              <w:rPr>
                <w:w w:val="95"/>
                <w:sz w:val="18"/>
              </w:rPr>
              <w:t>50,945</w:t>
            </w:r>
          </w:p>
        </w:tc>
      </w:tr>
      <w:tr>
        <w:trPr>
          <w:trHeight w:val="260" w:hRule="exact"/>
        </w:trPr>
        <w:tc>
          <w:tcPr>
            <w:tcW w:w="282" w:type="dxa"/>
          </w:tcPr>
          <w:p>
            <w:pPr/>
          </w:p>
        </w:tc>
        <w:tc>
          <w:tcPr>
            <w:tcW w:w="7071" w:type="dxa"/>
          </w:tcPr>
          <w:p>
            <w:pPr>
              <w:pStyle w:val="TableParagraph"/>
              <w:spacing w:before="20"/>
              <w:ind w:left="146"/>
              <w:jc w:val="left"/>
              <w:rPr>
                <w:sz w:val="18"/>
              </w:rPr>
            </w:pPr>
            <w:r>
              <w:rPr>
                <w:sz w:val="18"/>
              </w:rPr>
              <w:t>Motor vehicles</w:t>
            </w:r>
          </w:p>
        </w:tc>
        <w:tc>
          <w:tcPr>
            <w:tcW w:w="1454" w:type="dxa"/>
            <w:tcBorders>
              <w:bottom w:val="single" w:sz="1" w:space="0" w:color="000000"/>
            </w:tcBorders>
          </w:tcPr>
          <w:p>
            <w:pPr>
              <w:pStyle w:val="TableParagraph"/>
              <w:spacing w:before="18"/>
              <w:ind w:right="242"/>
              <w:rPr>
                <w:b/>
                <w:sz w:val="18"/>
              </w:rPr>
            </w:pPr>
            <w:r>
              <w:rPr>
                <w:b/>
                <w:w w:val="95"/>
                <w:sz w:val="18"/>
              </w:rPr>
              <w:t>32,378</w:t>
            </w:r>
          </w:p>
        </w:tc>
        <w:tc>
          <w:tcPr>
            <w:tcW w:w="1138" w:type="dxa"/>
            <w:tcBorders>
              <w:bottom w:val="single" w:sz="1" w:space="0" w:color="000000"/>
            </w:tcBorders>
          </w:tcPr>
          <w:p>
            <w:pPr>
              <w:pStyle w:val="TableParagraph"/>
              <w:spacing w:before="18"/>
              <w:ind w:right="84"/>
              <w:rPr>
                <w:sz w:val="18"/>
              </w:rPr>
            </w:pPr>
            <w:r>
              <w:rPr>
                <w:w w:val="95"/>
                <w:sz w:val="18"/>
              </w:rPr>
              <w:t>47,623</w:t>
            </w:r>
          </w:p>
        </w:tc>
      </w:tr>
      <w:tr>
        <w:trPr>
          <w:trHeight w:val="338" w:hRule="exact"/>
        </w:trPr>
        <w:tc>
          <w:tcPr>
            <w:tcW w:w="282" w:type="dxa"/>
          </w:tcPr>
          <w:p>
            <w:pPr/>
          </w:p>
        </w:tc>
        <w:tc>
          <w:tcPr>
            <w:tcW w:w="7071" w:type="dxa"/>
          </w:tcPr>
          <w:p>
            <w:pPr/>
          </w:p>
        </w:tc>
        <w:tc>
          <w:tcPr>
            <w:tcW w:w="1454" w:type="dxa"/>
            <w:tcBorders>
              <w:top w:val="single" w:sz="1" w:space="0" w:color="000000"/>
              <w:bottom w:val="single" w:sz="1" w:space="0" w:color="000000"/>
            </w:tcBorders>
          </w:tcPr>
          <w:p>
            <w:pPr>
              <w:pStyle w:val="TableParagraph"/>
              <w:spacing w:before="124"/>
              <w:ind w:right="242"/>
              <w:rPr>
                <w:b/>
                <w:sz w:val="18"/>
              </w:rPr>
            </w:pPr>
            <w:r>
              <w:rPr>
                <w:b/>
                <w:w w:val="95"/>
                <w:sz w:val="18"/>
              </w:rPr>
              <w:t>48,024</w:t>
            </w:r>
          </w:p>
        </w:tc>
        <w:tc>
          <w:tcPr>
            <w:tcW w:w="1138" w:type="dxa"/>
            <w:tcBorders>
              <w:top w:val="single" w:sz="1" w:space="0" w:color="000000"/>
              <w:bottom w:val="single" w:sz="1" w:space="0" w:color="000000"/>
            </w:tcBorders>
          </w:tcPr>
          <w:p>
            <w:pPr>
              <w:pStyle w:val="TableParagraph"/>
              <w:spacing w:before="124"/>
              <w:ind w:right="84"/>
              <w:rPr>
                <w:sz w:val="18"/>
              </w:rPr>
            </w:pPr>
            <w:r>
              <w:rPr>
                <w:w w:val="95"/>
                <w:sz w:val="18"/>
              </w:rPr>
              <w:t>98,568</w:t>
            </w:r>
          </w:p>
        </w:tc>
      </w:tr>
      <w:tr>
        <w:trPr>
          <w:trHeight w:val="602" w:hRule="exact"/>
        </w:trPr>
        <w:tc>
          <w:tcPr>
            <w:tcW w:w="282" w:type="dxa"/>
          </w:tcPr>
          <w:p>
            <w:pPr/>
          </w:p>
        </w:tc>
        <w:tc>
          <w:tcPr>
            <w:tcW w:w="7071" w:type="dxa"/>
          </w:tcPr>
          <w:p>
            <w:pPr>
              <w:pStyle w:val="TableParagraph"/>
              <w:spacing w:before="125"/>
              <w:ind w:left="146"/>
              <w:jc w:val="left"/>
              <w:rPr>
                <w:b/>
                <w:sz w:val="18"/>
              </w:rPr>
            </w:pPr>
            <w:r>
              <w:rPr>
                <w:b/>
                <w:sz w:val="18"/>
              </w:rPr>
              <w:t>Amortisation</w:t>
            </w:r>
          </w:p>
          <w:p>
            <w:pPr>
              <w:pStyle w:val="TableParagraph"/>
              <w:spacing w:before="30"/>
              <w:ind w:left="146"/>
              <w:jc w:val="left"/>
              <w:rPr>
                <w:sz w:val="18"/>
              </w:rPr>
            </w:pPr>
            <w:r>
              <w:rPr>
                <w:sz w:val="18"/>
              </w:rPr>
              <w:t>Franchise fees</w:t>
            </w:r>
          </w:p>
        </w:tc>
        <w:tc>
          <w:tcPr>
            <w:tcW w:w="1454" w:type="dxa"/>
            <w:tcBorders>
              <w:top w:val="single" w:sz="1" w:space="0" w:color="000000"/>
              <w:bottom w:val="single" w:sz="1" w:space="0" w:color="000000"/>
            </w:tcBorders>
          </w:tcPr>
          <w:p>
            <w:pPr>
              <w:pStyle w:val="TableParagraph"/>
              <w:jc w:val="left"/>
              <w:rPr>
                <w:b/>
                <w:sz w:val="18"/>
              </w:rPr>
            </w:pPr>
          </w:p>
          <w:p>
            <w:pPr>
              <w:pStyle w:val="TableParagraph"/>
              <w:spacing w:before="152"/>
              <w:ind w:right="242"/>
              <w:rPr>
                <w:b/>
                <w:sz w:val="18"/>
              </w:rPr>
            </w:pPr>
            <w:r>
              <w:rPr>
                <w:b/>
                <w:w w:val="95"/>
                <w:sz w:val="18"/>
              </w:rPr>
              <w:t>10,942</w:t>
            </w:r>
          </w:p>
        </w:tc>
        <w:tc>
          <w:tcPr>
            <w:tcW w:w="1138" w:type="dxa"/>
            <w:tcBorders>
              <w:top w:val="single" w:sz="1" w:space="0" w:color="000000"/>
              <w:bottom w:val="single" w:sz="1" w:space="0" w:color="000000"/>
            </w:tcBorders>
          </w:tcPr>
          <w:p>
            <w:pPr>
              <w:pStyle w:val="TableParagraph"/>
              <w:jc w:val="left"/>
              <w:rPr>
                <w:b/>
                <w:sz w:val="18"/>
              </w:rPr>
            </w:pPr>
          </w:p>
          <w:p>
            <w:pPr>
              <w:pStyle w:val="TableParagraph"/>
              <w:spacing w:before="152"/>
              <w:ind w:right="84"/>
              <w:rPr>
                <w:sz w:val="18"/>
              </w:rPr>
            </w:pPr>
            <w:r>
              <w:rPr>
                <w:w w:val="95"/>
                <w:sz w:val="18"/>
              </w:rPr>
              <w:t>750</w:t>
            </w:r>
          </w:p>
        </w:tc>
      </w:tr>
      <w:tr>
        <w:trPr>
          <w:trHeight w:val="338" w:hRule="exact"/>
        </w:trPr>
        <w:tc>
          <w:tcPr>
            <w:tcW w:w="282" w:type="dxa"/>
          </w:tcPr>
          <w:p>
            <w:pPr/>
          </w:p>
        </w:tc>
        <w:tc>
          <w:tcPr>
            <w:tcW w:w="7071" w:type="dxa"/>
          </w:tcPr>
          <w:p>
            <w:pPr>
              <w:pStyle w:val="TableParagraph"/>
              <w:spacing w:before="125"/>
              <w:ind w:left="146"/>
              <w:jc w:val="left"/>
              <w:rPr>
                <w:b/>
                <w:sz w:val="18"/>
              </w:rPr>
            </w:pPr>
            <w:r>
              <w:rPr>
                <w:b/>
                <w:sz w:val="18"/>
              </w:rPr>
              <w:t>Total depreciation and amortisation</w:t>
            </w:r>
          </w:p>
        </w:tc>
        <w:tc>
          <w:tcPr>
            <w:tcW w:w="1454" w:type="dxa"/>
            <w:tcBorders>
              <w:top w:val="single" w:sz="1" w:space="0" w:color="000000"/>
              <w:bottom w:val="single" w:sz="1" w:space="0" w:color="000000"/>
            </w:tcBorders>
          </w:tcPr>
          <w:p>
            <w:pPr>
              <w:pStyle w:val="TableParagraph"/>
              <w:spacing w:before="124"/>
              <w:ind w:right="242"/>
              <w:rPr>
                <w:b/>
                <w:sz w:val="18"/>
              </w:rPr>
            </w:pPr>
            <w:r>
              <w:rPr>
                <w:b/>
                <w:w w:val="95"/>
                <w:sz w:val="18"/>
              </w:rPr>
              <w:t>58,966</w:t>
            </w:r>
          </w:p>
        </w:tc>
        <w:tc>
          <w:tcPr>
            <w:tcW w:w="1138" w:type="dxa"/>
            <w:tcBorders>
              <w:top w:val="single" w:sz="1" w:space="0" w:color="000000"/>
              <w:bottom w:val="single" w:sz="1" w:space="0" w:color="000000"/>
            </w:tcBorders>
          </w:tcPr>
          <w:p>
            <w:pPr>
              <w:pStyle w:val="TableParagraph"/>
              <w:spacing w:before="124"/>
              <w:ind w:right="84"/>
              <w:rPr>
                <w:sz w:val="18"/>
              </w:rPr>
            </w:pPr>
            <w:r>
              <w:rPr>
                <w:w w:val="95"/>
                <w:sz w:val="18"/>
              </w:rPr>
              <w:t>99,318</w:t>
            </w:r>
          </w:p>
        </w:tc>
      </w:tr>
      <w:tr>
        <w:trPr>
          <w:trHeight w:val="938" w:hRule="exact"/>
        </w:trPr>
        <w:tc>
          <w:tcPr>
            <w:tcW w:w="282" w:type="dxa"/>
          </w:tcPr>
          <w:p>
            <w:pPr/>
          </w:p>
        </w:tc>
        <w:tc>
          <w:tcPr>
            <w:tcW w:w="7071" w:type="dxa"/>
          </w:tcPr>
          <w:p>
            <w:pPr>
              <w:pStyle w:val="TableParagraph"/>
              <w:jc w:val="left"/>
              <w:rPr>
                <w:b/>
                <w:sz w:val="18"/>
              </w:rPr>
            </w:pPr>
          </w:p>
          <w:p>
            <w:pPr>
              <w:pStyle w:val="TableParagraph"/>
              <w:spacing w:before="7"/>
              <w:jc w:val="left"/>
              <w:rPr>
                <w:b/>
                <w:sz w:val="21"/>
              </w:rPr>
            </w:pPr>
          </w:p>
          <w:p>
            <w:pPr>
              <w:pStyle w:val="TableParagraph"/>
              <w:spacing w:before="1"/>
              <w:ind w:left="146"/>
              <w:jc w:val="left"/>
              <w:rPr>
                <w:b/>
                <w:sz w:val="18"/>
              </w:rPr>
            </w:pPr>
            <w:r>
              <w:rPr>
                <w:b/>
                <w:sz w:val="18"/>
              </w:rPr>
              <w:t>Occupancy expenses*</w:t>
            </w:r>
          </w:p>
          <w:p>
            <w:pPr>
              <w:pStyle w:val="TableParagraph"/>
              <w:spacing w:before="30"/>
              <w:ind w:left="146"/>
              <w:jc w:val="left"/>
              <w:rPr>
                <w:sz w:val="18"/>
              </w:rPr>
            </w:pPr>
            <w:r>
              <w:rPr>
                <w:sz w:val="18"/>
              </w:rPr>
              <w:t>Minimum lease payments on operating leases</w:t>
            </w:r>
          </w:p>
        </w:tc>
        <w:tc>
          <w:tcPr>
            <w:tcW w:w="1454" w:type="dxa"/>
            <w:tcBorders>
              <w:top w:val="single" w:sz="1" w:space="0" w:color="000000"/>
            </w:tcBorders>
          </w:tcPr>
          <w:p>
            <w:pPr>
              <w:pStyle w:val="TableParagraph"/>
              <w:jc w:val="left"/>
              <w:rPr>
                <w:b/>
                <w:sz w:val="18"/>
              </w:rPr>
            </w:pPr>
          </w:p>
          <w:p>
            <w:pPr>
              <w:pStyle w:val="TableParagraph"/>
              <w:jc w:val="left"/>
              <w:rPr>
                <w:b/>
                <w:sz w:val="18"/>
              </w:rPr>
            </w:pPr>
          </w:p>
          <w:p>
            <w:pPr>
              <w:pStyle w:val="TableParagraph"/>
              <w:jc w:val="left"/>
              <w:rPr>
                <w:b/>
                <w:sz w:val="24"/>
              </w:rPr>
            </w:pPr>
          </w:p>
          <w:p>
            <w:pPr>
              <w:pStyle w:val="TableParagraph"/>
              <w:ind w:right="242"/>
              <w:rPr>
                <w:b/>
                <w:sz w:val="18"/>
              </w:rPr>
            </w:pPr>
            <w:r>
              <w:rPr>
                <w:b/>
                <w:w w:val="95"/>
                <w:sz w:val="18"/>
              </w:rPr>
              <w:t>76,442</w:t>
            </w:r>
          </w:p>
        </w:tc>
        <w:tc>
          <w:tcPr>
            <w:tcW w:w="1138" w:type="dxa"/>
            <w:tcBorders>
              <w:top w:val="single" w:sz="1" w:space="0" w:color="000000"/>
            </w:tcBorders>
          </w:tcPr>
          <w:p>
            <w:pPr>
              <w:pStyle w:val="TableParagraph"/>
              <w:jc w:val="left"/>
              <w:rPr>
                <w:b/>
                <w:sz w:val="18"/>
              </w:rPr>
            </w:pPr>
          </w:p>
          <w:p>
            <w:pPr>
              <w:pStyle w:val="TableParagraph"/>
              <w:jc w:val="left"/>
              <w:rPr>
                <w:b/>
                <w:sz w:val="18"/>
              </w:rPr>
            </w:pPr>
          </w:p>
          <w:p>
            <w:pPr>
              <w:pStyle w:val="TableParagraph"/>
              <w:jc w:val="left"/>
              <w:rPr>
                <w:b/>
                <w:sz w:val="24"/>
              </w:rPr>
            </w:pPr>
          </w:p>
          <w:p>
            <w:pPr>
              <w:pStyle w:val="TableParagraph"/>
              <w:ind w:right="84"/>
              <w:rPr>
                <w:sz w:val="18"/>
              </w:rPr>
            </w:pPr>
            <w:r>
              <w:rPr>
                <w:w w:val="95"/>
                <w:sz w:val="18"/>
              </w:rPr>
              <w:t>96,356</w:t>
            </w:r>
          </w:p>
        </w:tc>
      </w:tr>
      <w:tr>
        <w:trPr>
          <w:trHeight w:val="264" w:hRule="exact"/>
        </w:trPr>
        <w:tc>
          <w:tcPr>
            <w:tcW w:w="282" w:type="dxa"/>
          </w:tcPr>
          <w:p>
            <w:pPr/>
          </w:p>
        </w:tc>
        <w:tc>
          <w:tcPr>
            <w:tcW w:w="7071" w:type="dxa"/>
          </w:tcPr>
          <w:p>
            <w:pPr>
              <w:pStyle w:val="TableParagraph"/>
              <w:spacing w:before="20"/>
              <w:ind w:left="146"/>
              <w:jc w:val="left"/>
              <w:rPr>
                <w:sz w:val="18"/>
              </w:rPr>
            </w:pPr>
            <w:r>
              <w:rPr>
                <w:sz w:val="18"/>
              </w:rPr>
              <w:t>Repairs and maintenance</w:t>
            </w:r>
          </w:p>
        </w:tc>
        <w:tc>
          <w:tcPr>
            <w:tcW w:w="1454" w:type="dxa"/>
          </w:tcPr>
          <w:p>
            <w:pPr>
              <w:pStyle w:val="TableParagraph"/>
              <w:spacing w:before="18"/>
              <w:ind w:right="242"/>
              <w:rPr>
                <w:b/>
                <w:sz w:val="18"/>
              </w:rPr>
            </w:pPr>
            <w:r>
              <w:rPr>
                <w:b/>
                <w:w w:val="95"/>
                <w:sz w:val="18"/>
              </w:rPr>
              <w:t>116,899</w:t>
            </w:r>
          </w:p>
        </w:tc>
        <w:tc>
          <w:tcPr>
            <w:tcW w:w="1138" w:type="dxa"/>
          </w:tcPr>
          <w:p>
            <w:pPr>
              <w:pStyle w:val="TableParagraph"/>
              <w:spacing w:before="18"/>
              <w:ind w:right="84"/>
              <w:rPr>
                <w:sz w:val="18"/>
              </w:rPr>
            </w:pPr>
            <w:r>
              <w:rPr>
                <w:w w:val="95"/>
                <w:sz w:val="18"/>
              </w:rPr>
              <w:t>140,141</w:t>
            </w:r>
          </w:p>
        </w:tc>
      </w:tr>
      <w:tr>
        <w:trPr>
          <w:trHeight w:val="264" w:hRule="exact"/>
        </w:trPr>
        <w:tc>
          <w:tcPr>
            <w:tcW w:w="282" w:type="dxa"/>
          </w:tcPr>
          <w:p>
            <w:pPr/>
          </w:p>
        </w:tc>
        <w:tc>
          <w:tcPr>
            <w:tcW w:w="7071" w:type="dxa"/>
          </w:tcPr>
          <w:p>
            <w:pPr>
              <w:pStyle w:val="TableParagraph"/>
              <w:spacing w:before="20"/>
              <w:ind w:left="146"/>
              <w:jc w:val="left"/>
              <w:rPr>
                <w:sz w:val="18"/>
              </w:rPr>
            </w:pPr>
            <w:r>
              <w:rPr>
                <w:sz w:val="18"/>
              </w:rPr>
              <w:t>Utilities</w:t>
            </w:r>
          </w:p>
        </w:tc>
        <w:tc>
          <w:tcPr>
            <w:tcW w:w="1454" w:type="dxa"/>
          </w:tcPr>
          <w:p>
            <w:pPr>
              <w:pStyle w:val="TableParagraph"/>
              <w:spacing w:before="18"/>
              <w:ind w:right="242"/>
              <w:rPr>
                <w:b/>
                <w:sz w:val="18"/>
              </w:rPr>
            </w:pPr>
            <w:r>
              <w:rPr>
                <w:b/>
                <w:w w:val="95"/>
                <w:sz w:val="18"/>
              </w:rPr>
              <w:t>57,451</w:t>
            </w:r>
          </w:p>
        </w:tc>
        <w:tc>
          <w:tcPr>
            <w:tcW w:w="1138" w:type="dxa"/>
          </w:tcPr>
          <w:p>
            <w:pPr>
              <w:pStyle w:val="TableParagraph"/>
              <w:spacing w:before="18"/>
              <w:ind w:right="84"/>
              <w:rPr>
                <w:sz w:val="18"/>
              </w:rPr>
            </w:pPr>
            <w:r>
              <w:rPr>
                <w:w w:val="95"/>
                <w:sz w:val="18"/>
              </w:rPr>
              <w:t>63,170</w:t>
            </w:r>
          </w:p>
        </w:tc>
      </w:tr>
      <w:tr>
        <w:trPr>
          <w:trHeight w:val="264" w:hRule="exact"/>
        </w:trPr>
        <w:tc>
          <w:tcPr>
            <w:tcW w:w="282" w:type="dxa"/>
          </w:tcPr>
          <w:p>
            <w:pPr/>
          </w:p>
        </w:tc>
        <w:tc>
          <w:tcPr>
            <w:tcW w:w="7071" w:type="dxa"/>
          </w:tcPr>
          <w:p>
            <w:pPr>
              <w:pStyle w:val="TableParagraph"/>
              <w:spacing w:before="20"/>
              <w:ind w:left="146"/>
              <w:jc w:val="left"/>
              <w:rPr>
                <w:sz w:val="18"/>
              </w:rPr>
            </w:pPr>
            <w:r>
              <w:rPr>
                <w:sz w:val="18"/>
              </w:rPr>
              <w:t>Cleaning and waste removal</w:t>
            </w:r>
          </w:p>
        </w:tc>
        <w:tc>
          <w:tcPr>
            <w:tcW w:w="1454" w:type="dxa"/>
          </w:tcPr>
          <w:p>
            <w:pPr>
              <w:pStyle w:val="TableParagraph"/>
              <w:spacing w:before="18"/>
              <w:ind w:right="242"/>
              <w:rPr>
                <w:b/>
                <w:sz w:val="18"/>
              </w:rPr>
            </w:pPr>
            <w:r>
              <w:rPr>
                <w:b/>
                <w:w w:val="95"/>
                <w:sz w:val="18"/>
              </w:rPr>
              <w:t>69,162</w:t>
            </w:r>
          </w:p>
        </w:tc>
        <w:tc>
          <w:tcPr>
            <w:tcW w:w="1138" w:type="dxa"/>
          </w:tcPr>
          <w:p>
            <w:pPr>
              <w:pStyle w:val="TableParagraph"/>
              <w:spacing w:before="18"/>
              <w:ind w:right="84"/>
              <w:rPr>
                <w:sz w:val="18"/>
              </w:rPr>
            </w:pPr>
            <w:r>
              <w:rPr>
                <w:w w:val="95"/>
                <w:sz w:val="18"/>
              </w:rPr>
              <w:t>193,199</w:t>
            </w:r>
          </w:p>
        </w:tc>
      </w:tr>
      <w:tr>
        <w:trPr>
          <w:trHeight w:val="260" w:hRule="exact"/>
        </w:trPr>
        <w:tc>
          <w:tcPr>
            <w:tcW w:w="282" w:type="dxa"/>
          </w:tcPr>
          <w:p>
            <w:pPr/>
          </w:p>
        </w:tc>
        <w:tc>
          <w:tcPr>
            <w:tcW w:w="7071" w:type="dxa"/>
          </w:tcPr>
          <w:p>
            <w:pPr>
              <w:pStyle w:val="TableParagraph"/>
              <w:spacing w:before="20"/>
              <w:ind w:left="146"/>
              <w:jc w:val="left"/>
              <w:rPr>
                <w:sz w:val="18"/>
              </w:rPr>
            </w:pPr>
            <w:r>
              <w:rPr>
                <w:sz w:val="18"/>
              </w:rPr>
              <w:t>Security</w:t>
            </w:r>
          </w:p>
        </w:tc>
        <w:tc>
          <w:tcPr>
            <w:tcW w:w="1454" w:type="dxa"/>
            <w:tcBorders>
              <w:bottom w:val="single" w:sz="1" w:space="0" w:color="000000"/>
            </w:tcBorders>
          </w:tcPr>
          <w:p>
            <w:pPr>
              <w:pStyle w:val="TableParagraph"/>
              <w:spacing w:before="18"/>
              <w:ind w:right="242"/>
              <w:rPr>
                <w:b/>
                <w:sz w:val="18"/>
              </w:rPr>
            </w:pPr>
            <w:r>
              <w:rPr>
                <w:b/>
                <w:w w:val="95"/>
                <w:sz w:val="18"/>
              </w:rPr>
              <w:t>28,436</w:t>
            </w:r>
          </w:p>
        </w:tc>
        <w:tc>
          <w:tcPr>
            <w:tcW w:w="1138" w:type="dxa"/>
            <w:tcBorders>
              <w:bottom w:val="single" w:sz="1" w:space="0" w:color="000000"/>
            </w:tcBorders>
          </w:tcPr>
          <w:p>
            <w:pPr>
              <w:pStyle w:val="TableParagraph"/>
              <w:spacing w:before="18"/>
              <w:ind w:right="84"/>
              <w:rPr>
                <w:sz w:val="18"/>
              </w:rPr>
            </w:pPr>
            <w:r>
              <w:rPr>
                <w:w w:val="95"/>
                <w:sz w:val="18"/>
              </w:rPr>
              <w:t>59,843</w:t>
            </w:r>
          </w:p>
        </w:tc>
      </w:tr>
      <w:tr>
        <w:trPr>
          <w:trHeight w:val="338" w:hRule="exact"/>
        </w:trPr>
        <w:tc>
          <w:tcPr>
            <w:tcW w:w="282" w:type="dxa"/>
          </w:tcPr>
          <w:p>
            <w:pPr/>
          </w:p>
        </w:tc>
        <w:tc>
          <w:tcPr>
            <w:tcW w:w="7071" w:type="dxa"/>
          </w:tcPr>
          <w:p>
            <w:pPr/>
          </w:p>
        </w:tc>
        <w:tc>
          <w:tcPr>
            <w:tcW w:w="1454" w:type="dxa"/>
            <w:tcBorders>
              <w:top w:val="single" w:sz="1" w:space="0" w:color="000000"/>
              <w:bottom w:val="single" w:sz="1" w:space="0" w:color="000000"/>
            </w:tcBorders>
          </w:tcPr>
          <w:p>
            <w:pPr>
              <w:pStyle w:val="TableParagraph"/>
              <w:spacing w:before="124"/>
              <w:ind w:right="242"/>
              <w:rPr>
                <w:b/>
                <w:sz w:val="18"/>
              </w:rPr>
            </w:pPr>
            <w:r>
              <w:rPr>
                <w:b/>
                <w:w w:val="95"/>
                <w:sz w:val="18"/>
              </w:rPr>
              <w:t>348,390</w:t>
            </w:r>
          </w:p>
        </w:tc>
        <w:tc>
          <w:tcPr>
            <w:tcW w:w="1138" w:type="dxa"/>
            <w:tcBorders>
              <w:top w:val="single" w:sz="1" w:space="0" w:color="000000"/>
              <w:bottom w:val="single" w:sz="1" w:space="0" w:color="000000"/>
            </w:tcBorders>
          </w:tcPr>
          <w:p>
            <w:pPr>
              <w:pStyle w:val="TableParagraph"/>
              <w:spacing w:before="124"/>
              <w:ind w:right="84"/>
              <w:rPr>
                <w:sz w:val="18"/>
              </w:rPr>
            </w:pPr>
            <w:r>
              <w:rPr>
                <w:w w:val="95"/>
                <w:sz w:val="18"/>
              </w:rPr>
              <w:t>552,709</w:t>
            </w:r>
          </w:p>
        </w:tc>
      </w:tr>
    </w:tbl>
    <w:p>
      <w:pPr>
        <w:pStyle w:val="BodyText"/>
        <w:spacing w:before="2"/>
        <w:rPr>
          <w:b/>
          <w:sz w:val="19"/>
        </w:rPr>
      </w:pPr>
    </w:p>
    <w:p>
      <w:pPr>
        <w:pStyle w:val="BodyText"/>
        <w:spacing w:before="77"/>
        <w:ind w:left="1824" w:right="1592"/>
        <w:jc w:val="both"/>
      </w:pPr>
      <w:r>
        <w:rPr/>
        <w:t>* uwsconnect Limited currently resides in facilities owned by the University in which there is no charge. The value of this accomodation cannot be reliably measured or quantified due to the specialised nature of the premises, therefore no expense has been recognised in financial statements.</w:t>
      </w:r>
    </w:p>
    <w:p>
      <w:pPr>
        <w:pStyle w:val="Heading8"/>
        <w:spacing w:before="141" w:after="36"/>
        <w:ind w:left="1824"/>
        <w:jc w:val="both"/>
      </w:pPr>
      <w:r>
        <w:rPr/>
        <w:t>Other expenses</w:t>
      </w:r>
    </w:p>
    <w:tbl>
      <w:tblPr>
        <w:tblW w:w="0" w:type="auto"/>
        <w:jc w:val="left"/>
        <w:tblInd w:w="178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959"/>
        <w:gridCol w:w="1454"/>
        <w:gridCol w:w="1138"/>
      </w:tblGrid>
      <w:tr>
        <w:trPr>
          <w:trHeight w:val="238" w:hRule="exact"/>
        </w:trPr>
        <w:tc>
          <w:tcPr>
            <w:tcW w:w="6959" w:type="dxa"/>
          </w:tcPr>
          <w:p>
            <w:pPr>
              <w:pStyle w:val="TableParagraph"/>
              <w:spacing w:line="202" w:lineRule="exact"/>
              <w:ind w:left="35"/>
              <w:jc w:val="left"/>
              <w:rPr>
                <w:sz w:val="18"/>
              </w:rPr>
            </w:pPr>
            <w:r>
              <w:rPr>
                <w:sz w:val="18"/>
              </w:rPr>
              <w:t>Consultancy, agency and service provider fees</w:t>
            </w:r>
          </w:p>
        </w:tc>
        <w:tc>
          <w:tcPr>
            <w:tcW w:w="1454" w:type="dxa"/>
          </w:tcPr>
          <w:p>
            <w:pPr>
              <w:pStyle w:val="TableParagraph"/>
              <w:spacing w:line="199" w:lineRule="exact"/>
              <w:ind w:right="242"/>
              <w:rPr>
                <w:b/>
                <w:sz w:val="18"/>
              </w:rPr>
            </w:pPr>
            <w:r>
              <w:rPr>
                <w:b/>
                <w:w w:val="95"/>
                <w:sz w:val="18"/>
              </w:rPr>
              <w:t>111,322</w:t>
            </w:r>
          </w:p>
        </w:tc>
        <w:tc>
          <w:tcPr>
            <w:tcW w:w="1138" w:type="dxa"/>
          </w:tcPr>
          <w:p>
            <w:pPr>
              <w:pStyle w:val="TableParagraph"/>
              <w:spacing w:line="199" w:lineRule="exact"/>
              <w:ind w:right="84"/>
              <w:rPr>
                <w:sz w:val="18"/>
              </w:rPr>
            </w:pPr>
            <w:r>
              <w:rPr>
                <w:w w:val="95"/>
                <w:sz w:val="18"/>
              </w:rPr>
              <w:t>67,002</w:t>
            </w:r>
          </w:p>
        </w:tc>
      </w:tr>
      <w:tr>
        <w:trPr>
          <w:trHeight w:val="264" w:hRule="exact"/>
        </w:trPr>
        <w:tc>
          <w:tcPr>
            <w:tcW w:w="6959" w:type="dxa"/>
          </w:tcPr>
          <w:p>
            <w:pPr>
              <w:pStyle w:val="TableParagraph"/>
              <w:spacing w:before="20"/>
              <w:ind w:left="35"/>
              <w:jc w:val="left"/>
              <w:rPr>
                <w:sz w:val="18"/>
              </w:rPr>
            </w:pPr>
            <w:r>
              <w:rPr>
                <w:sz w:val="18"/>
              </w:rPr>
              <w:t>Advertising, promotions and events</w:t>
            </w:r>
          </w:p>
        </w:tc>
        <w:tc>
          <w:tcPr>
            <w:tcW w:w="1454" w:type="dxa"/>
          </w:tcPr>
          <w:p>
            <w:pPr>
              <w:pStyle w:val="TableParagraph"/>
              <w:spacing w:before="18"/>
              <w:ind w:right="242"/>
              <w:rPr>
                <w:b/>
                <w:sz w:val="18"/>
              </w:rPr>
            </w:pPr>
            <w:r>
              <w:rPr>
                <w:b/>
                <w:w w:val="95"/>
                <w:sz w:val="18"/>
              </w:rPr>
              <w:t>674,046</w:t>
            </w:r>
          </w:p>
        </w:tc>
        <w:tc>
          <w:tcPr>
            <w:tcW w:w="1138" w:type="dxa"/>
          </w:tcPr>
          <w:p>
            <w:pPr>
              <w:pStyle w:val="TableParagraph"/>
              <w:spacing w:before="18"/>
              <w:ind w:right="84"/>
              <w:rPr>
                <w:sz w:val="18"/>
              </w:rPr>
            </w:pPr>
            <w:r>
              <w:rPr>
                <w:w w:val="95"/>
                <w:sz w:val="18"/>
              </w:rPr>
              <w:t>1,235,209</w:t>
            </w:r>
          </w:p>
        </w:tc>
      </w:tr>
      <w:tr>
        <w:trPr>
          <w:trHeight w:val="264" w:hRule="exact"/>
        </w:trPr>
        <w:tc>
          <w:tcPr>
            <w:tcW w:w="6959" w:type="dxa"/>
          </w:tcPr>
          <w:p>
            <w:pPr>
              <w:pStyle w:val="TableParagraph"/>
              <w:spacing w:before="20"/>
              <w:ind w:left="35"/>
              <w:jc w:val="left"/>
              <w:rPr>
                <w:sz w:val="18"/>
              </w:rPr>
            </w:pPr>
            <w:r>
              <w:rPr>
                <w:sz w:val="18"/>
              </w:rPr>
              <w:t>Equipment hire</w:t>
            </w:r>
          </w:p>
        </w:tc>
        <w:tc>
          <w:tcPr>
            <w:tcW w:w="1454" w:type="dxa"/>
          </w:tcPr>
          <w:p>
            <w:pPr>
              <w:pStyle w:val="TableParagraph"/>
              <w:spacing w:before="18"/>
              <w:ind w:right="242"/>
              <w:rPr>
                <w:b/>
                <w:sz w:val="18"/>
              </w:rPr>
            </w:pPr>
            <w:r>
              <w:rPr>
                <w:b/>
                <w:w w:val="95"/>
                <w:sz w:val="18"/>
              </w:rPr>
              <w:t>133,405</w:t>
            </w:r>
          </w:p>
        </w:tc>
        <w:tc>
          <w:tcPr>
            <w:tcW w:w="1138" w:type="dxa"/>
          </w:tcPr>
          <w:p>
            <w:pPr>
              <w:pStyle w:val="TableParagraph"/>
              <w:spacing w:before="18"/>
              <w:ind w:right="84"/>
              <w:rPr>
                <w:sz w:val="18"/>
              </w:rPr>
            </w:pPr>
            <w:r>
              <w:rPr>
                <w:w w:val="95"/>
                <w:sz w:val="18"/>
              </w:rPr>
              <w:t>100,657</w:t>
            </w:r>
          </w:p>
        </w:tc>
      </w:tr>
      <w:tr>
        <w:trPr>
          <w:trHeight w:val="264" w:hRule="exact"/>
        </w:trPr>
        <w:tc>
          <w:tcPr>
            <w:tcW w:w="6959" w:type="dxa"/>
          </w:tcPr>
          <w:p>
            <w:pPr>
              <w:pStyle w:val="TableParagraph"/>
              <w:spacing w:before="20"/>
              <w:ind w:left="35"/>
              <w:jc w:val="left"/>
              <w:rPr>
                <w:sz w:val="18"/>
              </w:rPr>
            </w:pPr>
            <w:r>
              <w:rPr>
                <w:sz w:val="18"/>
              </w:rPr>
              <w:t>Motor vehicle</w:t>
            </w:r>
          </w:p>
        </w:tc>
        <w:tc>
          <w:tcPr>
            <w:tcW w:w="1454" w:type="dxa"/>
          </w:tcPr>
          <w:p>
            <w:pPr>
              <w:pStyle w:val="TableParagraph"/>
              <w:spacing w:before="18"/>
              <w:ind w:right="242"/>
              <w:rPr>
                <w:b/>
                <w:sz w:val="18"/>
              </w:rPr>
            </w:pPr>
            <w:r>
              <w:rPr>
                <w:b/>
                <w:w w:val="95"/>
                <w:sz w:val="18"/>
              </w:rPr>
              <w:t>128,001</w:t>
            </w:r>
          </w:p>
        </w:tc>
        <w:tc>
          <w:tcPr>
            <w:tcW w:w="1138" w:type="dxa"/>
          </w:tcPr>
          <w:p>
            <w:pPr>
              <w:pStyle w:val="TableParagraph"/>
              <w:spacing w:before="18"/>
              <w:ind w:right="84"/>
              <w:rPr>
                <w:sz w:val="18"/>
              </w:rPr>
            </w:pPr>
            <w:r>
              <w:rPr>
                <w:w w:val="95"/>
                <w:sz w:val="18"/>
              </w:rPr>
              <w:t>120,384</w:t>
            </w:r>
          </w:p>
        </w:tc>
      </w:tr>
      <w:tr>
        <w:trPr>
          <w:trHeight w:val="264" w:hRule="exact"/>
        </w:trPr>
        <w:tc>
          <w:tcPr>
            <w:tcW w:w="6959" w:type="dxa"/>
          </w:tcPr>
          <w:p>
            <w:pPr>
              <w:pStyle w:val="TableParagraph"/>
              <w:spacing w:before="20"/>
              <w:ind w:left="35"/>
              <w:jc w:val="left"/>
              <w:rPr>
                <w:sz w:val="18"/>
              </w:rPr>
            </w:pPr>
            <w:r>
              <w:rPr>
                <w:sz w:val="18"/>
              </w:rPr>
              <w:t>Consumables and supplies</w:t>
            </w:r>
          </w:p>
        </w:tc>
        <w:tc>
          <w:tcPr>
            <w:tcW w:w="1454" w:type="dxa"/>
          </w:tcPr>
          <w:p>
            <w:pPr>
              <w:pStyle w:val="TableParagraph"/>
              <w:spacing w:before="18"/>
              <w:ind w:right="242"/>
              <w:rPr>
                <w:b/>
                <w:sz w:val="18"/>
              </w:rPr>
            </w:pPr>
            <w:r>
              <w:rPr>
                <w:b/>
                <w:w w:val="95"/>
                <w:sz w:val="18"/>
              </w:rPr>
              <w:t>532,418</w:t>
            </w:r>
          </w:p>
        </w:tc>
        <w:tc>
          <w:tcPr>
            <w:tcW w:w="1138" w:type="dxa"/>
          </w:tcPr>
          <w:p>
            <w:pPr>
              <w:pStyle w:val="TableParagraph"/>
              <w:spacing w:before="18"/>
              <w:ind w:right="84"/>
              <w:rPr>
                <w:sz w:val="18"/>
              </w:rPr>
            </w:pPr>
            <w:r>
              <w:rPr>
                <w:w w:val="95"/>
                <w:sz w:val="18"/>
              </w:rPr>
              <w:t>441,088</w:t>
            </w:r>
          </w:p>
        </w:tc>
      </w:tr>
      <w:tr>
        <w:trPr>
          <w:trHeight w:val="260" w:hRule="exact"/>
        </w:trPr>
        <w:tc>
          <w:tcPr>
            <w:tcW w:w="6959" w:type="dxa"/>
          </w:tcPr>
          <w:p>
            <w:pPr>
              <w:pStyle w:val="TableParagraph"/>
              <w:spacing w:before="20"/>
              <w:ind w:left="35"/>
              <w:jc w:val="left"/>
              <w:rPr>
                <w:sz w:val="18"/>
              </w:rPr>
            </w:pPr>
            <w:r>
              <w:rPr>
                <w:sz w:val="18"/>
              </w:rPr>
              <w:t>Other</w:t>
            </w:r>
          </w:p>
        </w:tc>
        <w:tc>
          <w:tcPr>
            <w:tcW w:w="1454" w:type="dxa"/>
            <w:tcBorders>
              <w:bottom w:val="single" w:sz="1" w:space="0" w:color="000000"/>
            </w:tcBorders>
          </w:tcPr>
          <w:p>
            <w:pPr>
              <w:pStyle w:val="TableParagraph"/>
              <w:spacing w:before="18"/>
              <w:ind w:right="242"/>
              <w:rPr>
                <w:b/>
                <w:sz w:val="18"/>
              </w:rPr>
            </w:pPr>
            <w:r>
              <w:rPr>
                <w:b/>
                <w:w w:val="95"/>
                <w:sz w:val="18"/>
              </w:rPr>
              <w:t>466,899</w:t>
            </w:r>
          </w:p>
        </w:tc>
        <w:tc>
          <w:tcPr>
            <w:tcW w:w="1138" w:type="dxa"/>
            <w:tcBorders>
              <w:bottom w:val="single" w:sz="1" w:space="0" w:color="000000"/>
            </w:tcBorders>
          </w:tcPr>
          <w:p>
            <w:pPr>
              <w:pStyle w:val="TableParagraph"/>
              <w:spacing w:before="18"/>
              <w:ind w:right="84"/>
              <w:rPr>
                <w:sz w:val="18"/>
              </w:rPr>
            </w:pPr>
            <w:r>
              <w:rPr>
                <w:w w:val="95"/>
                <w:sz w:val="18"/>
              </w:rPr>
              <w:t>656,155</w:t>
            </w:r>
          </w:p>
        </w:tc>
      </w:tr>
      <w:tr>
        <w:trPr>
          <w:trHeight w:val="338" w:hRule="exact"/>
        </w:trPr>
        <w:tc>
          <w:tcPr>
            <w:tcW w:w="6959" w:type="dxa"/>
          </w:tcPr>
          <w:p>
            <w:pPr/>
          </w:p>
        </w:tc>
        <w:tc>
          <w:tcPr>
            <w:tcW w:w="1454" w:type="dxa"/>
            <w:tcBorders>
              <w:top w:val="single" w:sz="1" w:space="0" w:color="000000"/>
              <w:bottom w:val="single" w:sz="1" w:space="0" w:color="000000"/>
            </w:tcBorders>
          </w:tcPr>
          <w:p>
            <w:pPr>
              <w:pStyle w:val="TableParagraph"/>
              <w:spacing w:before="124"/>
              <w:ind w:right="243"/>
              <w:rPr>
                <w:b/>
                <w:sz w:val="18"/>
              </w:rPr>
            </w:pPr>
            <w:r>
              <w:rPr>
                <w:b/>
                <w:w w:val="95"/>
                <w:sz w:val="18"/>
              </w:rPr>
              <w:t>2,046,091</w:t>
            </w:r>
          </w:p>
        </w:tc>
        <w:tc>
          <w:tcPr>
            <w:tcW w:w="1138" w:type="dxa"/>
            <w:tcBorders>
              <w:top w:val="single" w:sz="1" w:space="0" w:color="000000"/>
              <w:bottom w:val="single" w:sz="1" w:space="0" w:color="000000"/>
            </w:tcBorders>
          </w:tcPr>
          <w:p>
            <w:pPr>
              <w:pStyle w:val="TableParagraph"/>
              <w:spacing w:before="124"/>
              <w:ind w:right="84"/>
              <w:rPr>
                <w:sz w:val="18"/>
              </w:rPr>
            </w:pPr>
            <w:r>
              <w:rPr>
                <w:w w:val="95"/>
                <w:sz w:val="18"/>
              </w:rPr>
              <w:t>2,620,495</w:t>
            </w:r>
          </w:p>
        </w:tc>
      </w:tr>
    </w:tbl>
    <w:p>
      <w:pPr>
        <w:spacing w:after="0"/>
        <w:rPr>
          <w:sz w:val="18"/>
        </w:rPr>
        <w:sectPr>
          <w:pgSz w:w="12750" w:h="17680"/>
          <w:pgMar w:header="0" w:footer="867" w:top="1880" w:bottom="1120" w:left="0" w:right="0"/>
        </w:sectPr>
      </w:pPr>
    </w:p>
    <w:p>
      <w:pPr>
        <w:pStyle w:val="BodyText"/>
        <w:spacing w:before="1"/>
        <w:rPr>
          <w:b/>
          <w:sz w:val="24"/>
        </w:rPr>
      </w:pPr>
    </w:p>
    <w:p>
      <w:pPr>
        <w:spacing w:before="65"/>
        <w:ind w:left="1428" w:right="0" w:firstLine="0"/>
        <w:jc w:val="left"/>
        <w:rPr>
          <w:b/>
          <w:sz w:val="28"/>
        </w:rPr>
      </w:pPr>
      <w:bookmarkStart w:name="6 Discontinued Operations" w:id="286"/>
      <w:bookmarkEnd w:id="286"/>
      <w:r>
        <w:rPr/>
      </w:r>
      <w:r>
        <w:rPr>
          <w:b/>
          <w:sz w:val="28"/>
        </w:rPr>
        <w:t>Notes to the Financial Statements</w:t>
      </w:r>
    </w:p>
    <w:p>
      <w:pPr>
        <w:spacing w:before="53"/>
        <w:ind w:left="1428" w:right="0" w:firstLine="0"/>
        <w:jc w:val="left"/>
        <w:rPr>
          <w:b/>
          <w:sz w:val="22"/>
        </w:rPr>
      </w:pPr>
      <w:bookmarkStart w:name="Cash and cash equivalents" w:id="287"/>
      <w:bookmarkEnd w:id="287"/>
      <w:r>
        <w:rPr/>
      </w:r>
      <w:r>
        <w:rPr>
          <w:b/>
          <w:sz w:val="22"/>
        </w:rPr>
        <w:t>For the Year Ended 31 December 2016</w:t>
      </w:r>
    </w:p>
    <w:p>
      <w:pPr>
        <w:pStyle w:val="BodyText"/>
        <w:spacing w:before="1"/>
        <w:rPr>
          <w:b/>
          <w:sz w:val="25"/>
        </w:rPr>
      </w:pPr>
    </w:p>
    <w:p>
      <w:pPr>
        <w:pStyle w:val="ListParagraph"/>
        <w:numPr>
          <w:ilvl w:val="0"/>
          <w:numId w:val="63"/>
        </w:numPr>
        <w:tabs>
          <w:tab w:pos="1824" w:val="left" w:leader="none"/>
        </w:tabs>
        <w:spacing w:line="240" w:lineRule="auto" w:before="0" w:after="0"/>
        <w:ind w:left="1824" w:right="0" w:hanging="394"/>
        <w:jc w:val="left"/>
        <w:rPr>
          <w:b/>
          <w:sz w:val="18"/>
        </w:rPr>
      </w:pPr>
      <w:r>
        <w:rPr>
          <w:b/>
          <w:sz w:val="18"/>
        </w:rPr>
        <w:t>Discontinued Operations</w:t>
      </w:r>
    </w:p>
    <w:p>
      <w:pPr>
        <w:pStyle w:val="BodyText"/>
        <w:spacing w:before="112"/>
        <w:ind w:left="1824" w:right="1375"/>
      </w:pPr>
      <w:r>
        <w:rPr/>
        <w:t>On 22nd November 2016, uwsconnect Limited entered into an agreement with University Co-operative Bookshop Limited to dispose of its Retail business. The University Co-operative Bookshop Limited purchased all of the remaining inventory, fixtures and fittings of the outlets. The University Co-operative Bookshop Limited took over Retail operations, commencing trading from 15 December 2016.</w:t>
      </w:r>
    </w:p>
    <w:p>
      <w:pPr>
        <w:pStyle w:val="BodyText"/>
        <w:spacing w:before="11"/>
        <w:rPr>
          <w:sz w:val="24"/>
        </w:rPr>
      </w:pPr>
    </w:p>
    <w:p>
      <w:pPr>
        <w:pStyle w:val="BodyText"/>
        <w:ind w:left="1824" w:right="1375"/>
      </w:pPr>
      <w:r>
        <w:rPr/>
        <w:t>Total Revenues for uwsconnect Limited's retail operation for the year ending 31 December 2016 were $10,360,475 (2015: $9,721,372). Expenditures for the Retail operation cannot be reliably measured or quantified.</w:t>
      </w:r>
    </w:p>
    <w:p>
      <w:pPr>
        <w:pStyle w:val="BodyText"/>
        <w:rPr>
          <w:sz w:val="20"/>
        </w:rPr>
      </w:pPr>
    </w:p>
    <w:p>
      <w:pPr>
        <w:spacing w:after="0"/>
        <w:rPr>
          <w:sz w:val="20"/>
        </w:rPr>
        <w:sectPr>
          <w:pgSz w:w="12750" w:h="17680"/>
          <w:pgMar w:header="0" w:footer="867" w:top="1880" w:bottom="1120" w:left="0" w:right="0"/>
        </w:sectPr>
      </w:pPr>
    </w:p>
    <w:p>
      <w:pPr>
        <w:pStyle w:val="BodyText"/>
        <w:spacing w:before="5"/>
        <w:rPr>
          <w:sz w:val="17"/>
        </w:rPr>
      </w:pPr>
    </w:p>
    <w:p>
      <w:pPr>
        <w:pStyle w:val="Heading8"/>
        <w:numPr>
          <w:ilvl w:val="0"/>
          <w:numId w:val="63"/>
        </w:numPr>
        <w:tabs>
          <w:tab w:pos="1824" w:val="left" w:leader="none"/>
        </w:tabs>
        <w:spacing w:line="240" w:lineRule="auto" w:before="1" w:after="0"/>
        <w:ind w:left="1824" w:right="0" w:hanging="394"/>
        <w:jc w:val="left"/>
      </w:pPr>
      <w:r>
        <w:rPr/>
        <w:t>Cash and cash</w:t>
      </w:r>
      <w:r>
        <w:rPr>
          <w:spacing w:val="-1"/>
        </w:rPr>
        <w:t> </w:t>
      </w:r>
      <w:r>
        <w:rPr/>
        <w:t>equivalents</w:t>
      </w:r>
    </w:p>
    <w:p>
      <w:pPr>
        <w:pStyle w:val="BodyText"/>
        <w:rPr>
          <w:b/>
        </w:rPr>
      </w:pPr>
      <w:r>
        <w:rPr/>
        <w:br w:type="column"/>
      </w:r>
      <w:r>
        <w:rPr>
          <w:b/>
        </w:rPr>
      </w:r>
    </w:p>
    <w:p>
      <w:pPr>
        <w:pStyle w:val="BodyText"/>
        <w:spacing w:before="4"/>
        <w:rPr>
          <w:b/>
          <w:sz w:val="20"/>
        </w:rPr>
      </w:pPr>
    </w:p>
    <w:p>
      <w:pPr>
        <w:spacing w:before="0"/>
        <w:ind w:left="0" w:right="0" w:firstLine="0"/>
        <w:jc w:val="right"/>
        <w:rPr>
          <w:b/>
          <w:sz w:val="18"/>
        </w:rPr>
      </w:pPr>
      <w:r>
        <w:rPr>
          <w:b/>
          <w:sz w:val="18"/>
        </w:rPr>
        <w:t>2016</w:t>
      </w:r>
    </w:p>
    <w:p>
      <w:pPr>
        <w:spacing w:before="66"/>
        <w:ind w:left="0" w:right="149" w:firstLine="0"/>
        <w:jc w:val="right"/>
        <w:rPr>
          <w:b/>
          <w:sz w:val="18"/>
        </w:rPr>
      </w:pPr>
      <w:r>
        <w:rPr>
          <w:b/>
          <w:w w:val="99"/>
          <w:sz w:val="18"/>
        </w:rPr>
        <w:t>$</w:t>
      </w:r>
    </w:p>
    <w:p>
      <w:pPr>
        <w:pStyle w:val="BodyText"/>
        <w:rPr>
          <w:b/>
        </w:rPr>
      </w:pPr>
      <w:r>
        <w:rPr/>
        <w:br w:type="column"/>
      </w:r>
      <w:r>
        <w:rPr>
          <w:b/>
        </w:rPr>
      </w:r>
    </w:p>
    <w:p>
      <w:pPr>
        <w:pStyle w:val="BodyText"/>
        <w:spacing w:before="4"/>
        <w:rPr>
          <w:b/>
          <w:sz w:val="20"/>
        </w:rPr>
      </w:pPr>
    </w:p>
    <w:p>
      <w:pPr>
        <w:spacing w:before="0"/>
        <w:ind w:left="825" w:right="1847" w:firstLine="0"/>
        <w:jc w:val="center"/>
        <w:rPr>
          <w:b/>
          <w:sz w:val="18"/>
        </w:rPr>
      </w:pPr>
      <w:r>
        <w:rPr>
          <w:b/>
          <w:sz w:val="18"/>
        </w:rPr>
        <w:t>2015</w:t>
      </w:r>
    </w:p>
    <w:p>
      <w:pPr>
        <w:spacing w:before="66"/>
        <w:ind w:left="0" w:right="1023" w:firstLine="0"/>
        <w:jc w:val="center"/>
        <w:rPr>
          <w:b/>
          <w:sz w:val="18"/>
        </w:rPr>
      </w:pPr>
      <w:r>
        <w:rPr>
          <w:b/>
          <w:w w:val="99"/>
          <w:sz w:val="18"/>
        </w:rPr>
        <w:t>$</w:t>
      </w:r>
    </w:p>
    <w:p>
      <w:pPr>
        <w:spacing w:after="0"/>
        <w:jc w:val="center"/>
        <w:rPr>
          <w:sz w:val="18"/>
        </w:rPr>
        <w:sectPr>
          <w:type w:val="continuous"/>
          <w:pgSz w:w="12750" w:h="17680"/>
          <w:pgMar w:top="1660" w:bottom="0" w:left="0" w:right="0"/>
          <w:cols w:num="3" w:equalWidth="0">
            <w:col w:w="4145" w:space="3617"/>
            <w:col w:w="1834" w:space="40"/>
            <w:col w:w="3114"/>
          </w:cols>
        </w:sectPr>
      </w:pPr>
    </w:p>
    <w:p>
      <w:pPr>
        <w:pStyle w:val="BodyText"/>
        <w:tabs>
          <w:tab w:pos="8747" w:val="left" w:leader="none"/>
          <w:tab w:pos="9299" w:val="left" w:leader="none"/>
          <w:tab w:pos="10598" w:val="left" w:leader="none"/>
        </w:tabs>
        <w:spacing w:before="119"/>
        <w:ind w:left="1824"/>
      </w:pPr>
      <w:r>
        <w:rPr/>
        <w:t>Cash at bank and</w:t>
      </w:r>
      <w:r>
        <w:rPr>
          <w:spacing w:val="3"/>
        </w:rPr>
        <w:t> </w:t>
      </w:r>
      <w:r>
        <w:rPr/>
        <w:t>on hand</w:t>
        <w:tab/>
      </w:r>
      <w:r>
        <w:rPr>
          <w:rFonts w:ascii="Times New Roman"/>
          <w:position w:val="-2"/>
          <w:u w:val="single"/>
        </w:rPr>
        <w:t> </w:t>
        <w:tab/>
      </w:r>
      <w:r>
        <w:rPr>
          <w:b/>
          <w:position w:val="-2"/>
          <w:u w:val="single"/>
        </w:rPr>
        <w:t>496,008</w:t>
        <w:tab/>
      </w:r>
      <w:r>
        <w:rPr>
          <w:position w:val="-2"/>
          <w:u w:val="single"/>
        </w:rPr>
        <w:t>502,541</w:t>
      </w:r>
    </w:p>
    <w:p>
      <w:pPr>
        <w:pStyle w:val="Heading8"/>
        <w:tabs>
          <w:tab w:pos="9299" w:val="left" w:leader="none"/>
          <w:tab w:pos="10598" w:val="left" w:leader="none"/>
        </w:tabs>
        <w:spacing w:before="128"/>
        <w:ind w:left="1824"/>
        <w:rPr>
          <w:b w:val="0"/>
        </w:rPr>
      </w:pPr>
      <w:r>
        <w:rPr/>
        <w:t>Total cash at bank and</w:t>
      </w:r>
      <w:r>
        <w:rPr>
          <w:spacing w:val="5"/>
        </w:rPr>
        <w:t> </w:t>
      </w:r>
      <w:r>
        <w:rPr/>
        <w:t>on</w:t>
      </w:r>
      <w:r>
        <w:rPr>
          <w:spacing w:val="1"/>
        </w:rPr>
        <w:t> </w:t>
      </w:r>
      <w:r>
        <w:rPr/>
        <w:t>hand</w:t>
        <w:tab/>
        <w:t>496,008</w:t>
        <w:tab/>
      </w:r>
      <w:r>
        <w:rPr>
          <w:b w:val="0"/>
        </w:rPr>
        <w:t>502,541</w:t>
      </w:r>
    </w:p>
    <w:p>
      <w:pPr>
        <w:pStyle w:val="BodyText"/>
        <w:spacing w:line="48" w:lineRule="exact"/>
        <w:ind w:left="8746"/>
        <w:rPr>
          <w:sz w:val="4"/>
        </w:rPr>
      </w:pPr>
      <w:r>
        <w:rPr>
          <w:position w:val="0"/>
          <w:sz w:val="4"/>
        </w:rPr>
        <w:pict>
          <v:group style="width:129.75pt;height:2.450pt;mso-position-horizontal-relative:char;mso-position-vertical-relative:line" coordorigin="0,0" coordsize="2595,49">
            <v:line style="position:absolute" from="2,2" to="1298,2" stroked="true" strokeweight=".12pt" strokecolor="#000000"/>
            <v:line style="position:absolute" from="2,4" to="1298,4" stroked="true" strokeweight=".12pt" strokecolor="#000000"/>
            <v:line style="position:absolute" from="2,6" to="1298,6" stroked="true" strokeweight=".12pt" strokecolor="#000000"/>
            <v:line style="position:absolute" from="2,9" to="1298,9" stroked="true" strokeweight=".12pt" strokecolor="#000000"/>
            <v:line style="position:absolute" from="2,11" to="1298,11" stroked="true" strokeweight=".12pt" strokecolor="#000000"/>
            <v:line style="position:absolute" from="2,14" to="1298,14" stroked="true" strokeweight=".12pt" strokecolor="#000000"/>
            <v:line style="position:absolute" from="2,35" to="1298,35" stroked="true" strokeweight=".12pt" strokecolor="#000000"/>
            <v:line style="position:absolute" from="2,38" to="1298,38" stroked="true" strokeweight=".12pt" strokecolor="#000000"/>
            <v:line style="position:absolute" from="2,40" to="1298,40" stroked="true" strokeweight=".12pt" strokecolor="#000000"/>
            <v:line style="position:absolute" from="2,42" to="1298,42" stroked="true" strokeweight=".12pt" strokecolor="#000000"/>
            <v:line style="position:absolute" from="2,45" to="1298,45" stroked="true" strokeweight=".12pt" strokecolor="#000000"/>
            <v:line style="position:absolute" from="2,47" to="1298,47" stroked="true" strokeweight=".12pt" strokecolor="#000000"/>
            <v:line style="position:absolute" from="1298,2" to="2594,2" stroked="true" strokeweight=".12pt" strokecolor="#000000"/>
            <v:line style="position:absolute" from="1298,4" to="2594,4" stroked="true" strokeweight=".12pt" strokecolor="#000000"/>
            <v:line style="position:absolute" from="1298,6" to="2594,6" stroked="true" strokeweight=".12pt" strokecolor="#000000"/>
            <v:line style="position:absolute" from="1298,9" to="2594,9" stroked="true" strokeweight=".12pt" strokecolor="#000000"/>
            <v:line style="position:absolute" from="1298,11" to="2594,11" stroked="true" strokeweight=".12pt" strokecolor="#000000"/>
            <v:line style="position:absolute" from="1298,14" to="2594,14" stroked="true" strokeweight=".12pt" strokecolor="#000000"/>
            <v:line style="position:absolute" from="1298,35" to="2594,35" stroked="true" strokeweight=".12pt" strokecolor="#000000"/>
            <v:line style="position:absolute" from="1298,38" to="2594,38" stroked="true" strokeweight=".12pt" strokecolor="#000000"/>
            <v:line style="position:absolute" from="1298,40" to="2594,40" stroked="true" strokeweight=".12pt" strokecolor="#000000"/>
            <v:line style="position:absolute" from="1298,42" to="2594,42" stroked="true" strokeweight=".12pt" strokecolor="#000000"/>
            <v:line style="position:absolute" from="1298,45" to="2594,45" stroked="true" strokeweight=".12pt" strokecolor="#000000"/>
            <v:line style="position:absolute" from="1298,47" to="2594,47" stroked="true" strokeweight=".12pt" strokecolor="#000000"/>
          </v:group>
        </w:pict>
      </w:r>
      <w:r>
        <w:rPr>
          <w:position w:val="0"/>
          <w:sz w:val="4"/>
        </w:rPr>
      </w:r>
    </w:p>
    <w:p>
      <w:pPr>
        <w:pStyle w:val="BodyText"/>
        <w:spacing w:before="11"/>
        <w:rPr>
          <w:sz w:val="19"/>
        </w:rPr>
      </w:pPr>
    </w:p>
    <w:p>
      <w:pPr>
        <w:pStyle w:val="ListParagraph"/>
        <w:numPr>
          <w:ilvl w:val="1"/>
          <w:numId w:val="63"/>
        </w:numPr>
        <w:tabs>
          <w:tab w:pos="2391" w:val="left" w:leader="none"/>
        </w:tabs>
        <w:spacing w:line="240" w:lineRule="auto" w:before="77" w:after="0"/>
        <w:ind w:left="2390" w:right="0" w:hanging="566"/>
        <w:jc w:val="left"/>
        <w:rPr>
          <w:sz w:val="18"/>
        </w:rPr>
      </w:pPr>
      <w:r>
        <w:rPr>
          <w:sz w:val="18"/>
        </w:rPr>
        <w:t>Reconciliation to cash at the end of the</w:t>
      </w:r>
      <w:r>
        <w:rPr>
          <w:spacing w:val="7"/>
          <w:sz w:val="18"/>
        </w:rPr>
        <w:t> </w:t>
      </w:r>
      <w:r>
        <w:rPr>
          <w:sz w:val="18"/>
        </w:rPr>
        <w:t>year</w:t>
      </w:r>
    </w:p>
    <w:p>
      <w:pPr>
        <w:pStyle w:val="BodyText"/>
        <w:spacing w:before="4"/>
        <w:rPr>
          <w:sz w:val="25"/>
        </w:rPr>
      </w:pPr>
    </w:p>
    <w:p>
      <w:pPr>
        <w:pStyle w:val="BodyText"/>
        <w:spacing w:after="36"/>
        <w:ind w:left="1824" w:right="1375"/>
      </w:pPr>
      <w:r>
        <w:rPr/>
        <w:drawing>
          <wp:anchor distT="0" distB="0" distL="0" distR="0" allowOverlap="1" layoutInCell="1" locked="0" behindDoc="0" simplePos="0" relativeHeight="10840">
            <wp:simplePos x="0" y="0"/>
            <wp:positionH relativeFrom="page">
              <wp:posOffset>-1587</wp:posOffset>
            </wp:positionH>
            <wp:positionV relativeFrom="paragraph">
              <wp:posOffset>646860</wp:posOffset>
            </wp:positionV>
            <wp:extent cx="135159" cy="154019"/>
            <wp:effectExtent l="0" t="0" r="0" b="0"/>
            <wp:wrapNone/>
            <wp:docPr id="719" name="image13.png" descr=""/>
            <wp:cNvGraphicFramePr>
              <a:graphicFrameLocks noChangeAspect="1"/>
            </wp:cNvGraphicFramePr>
            <a:graphic>
              <a:graphicData uri="http://schemas.openxmlformats.org/drawingml/2006/picture">
                <pic:pic>
                  <pic:nvPicPr>
                    <pic:cNvPr id="720" name="image13.png"/>
                    <pic:cNvPicPr/>
                  </pic:nvPicPr>
                  <pic:blipFill>
                    <a:blip r:embed="rId18" cstate="print"/>
                    <a:stretch>
                      <a:fillRect/>
                    </a:stretch>
                  </pic:blipFill>
                  <pic:spPr>
                    <a:xfrm>
                      <a:off x="0" y="0"/>
                      <a:ext cx="135159" cy="154019"/>
                    </a:xfrm>
                    <a:prstGeom prst="rect">
                      <a:avLst/>
                    </a:prstGeom>
                  </pic:spPr>
                </pic:pic>
              </a:graphicData>
            </a:graphic>
          </wp:anchor>
        </w:drawing>
      </w:r>
      <w:r>
        <w:rPr/>
        <w:drawing>
          <wp:anchor distT="0" distB="0" distL="0" distR="0" allowOverlap="1" layoutInCell="1" locked="0" behindDoc="0" simplePos="0" relativeHeight="10864">
            <wp:simplePos x="0" y="0"/>
            <wp:positionH relativeFrom="page">
              <wp:posOffset>7958429</wp:posOffset>
            </wp:positionH>
            <wp:positionV relativeFrom="paragraph">
              <wp:posOffset>646860</wp:posOffset>
            </wp:positionV>
            <wp:extent cx="135953" cy="155575"/>
            <wp:effectExtent l="0" t="0" r="0" b="0"/>
            <wp:wrapNone/>
            <wp:docPr id="721" name="image15.png" descr=""/>
            <wp:cNvGraphicFramePr>
              <a:graphicFrameLocks noChangeAspect="1"/>
            </wp:cNvGraphicFramePr>
            <a:graphic>
              <a:graphicData uri="http://schemas.openxmlformats.org/drawingml/2006/picture">
                <pic:pic>
                  <pic:nvPicPr>
                    <pic:cNvPr id="722" name="image15.png"/>
                    <pic:cNvPicPr/>
                  </pic:nvPicPr>
                  <pic:blipFill>
                    <a:blip r:embed="rId20" cstate="print"/>
                    <a:stretch>
                      <a:fillRect/>
                    </a:stretch>
                  </pic:blipFill>
                  <pic:spPr>
                    <a:xfrm>
                      <a:off x="0" y="0"/>
                      <a:ext cx="135953" cy="155575"/>
                    </a:xfrm>
                    <a:prstGeom prst="rect">
                      <a:avLst/>
                    </a:prstGeom>
                  </pic:spPr>
                </pic:pic>
              </a:graphicData>
            </a:graphic>
          </wp:anchor>
        </w:drawing>
      </w:r>
      <w:r>
        <w:rPr/>
        <w:t>The above figures are reconciled to cash at the end of the financial year as shown in the statement of cash flows as follows:</w:t>
      </w:r>
    </w:p>
    <w:tbl>
      <w:tblPr>
        <w:tblW w:w="0" w:type="auto"/>
        <w:jc w:val="left"/>
        <w:tblInd w:w="235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390"/>
        <w:gridCol w:w="1468"/>
        <w:gridCol w:w="1124"/>
      </w:tblGrid>
      <w:tr>
        <w:trPr>
          <w:trHeight w:val="781" w:hRule="exact"/>
        </w:trPr>
        <w:tc>
          <w:tcPr>
            <w:tcW w:w="6390" w:type="dxa"/>
          </w:tcPr>
          <w:p>
            <w:pPr>
              <w:pStyle w:val="TableParagraph"/>
              <w:jc w:val="left"/>
              <w:rPr>
                <w:sz w:val="18"/>
              </w:rPr>
            </w:pPr>
          </w:p>
          <w:p>
            <w:pPr>
              <w:pStyle w:val="TableParagraph"/>
              <w:jc w:val="left"/>
              <w:rPr>
                <w:sz w:val="18"/>
              </w:rPr>
            </w:pPr>
          </w:p>
          <w:p>
            <w:pPr>
              <w:pStyle w:val="TableParagraph"/>
              <w:spacing w:before="128"/>
              <w:ind w:left="35"/>
              <w:jc w:val="left"/>
              <w:rPr>
                <w:sz w:val="18"/>
              </w:rPr>
            </w:pPr>
            <w:r>
              <w:rPr>
                <w:sz w:val="18"/>
              </w:rPr>
              <w:t>Balance as above</w:t>
            </w:r>
          </w:p>
        </w:tc>
        <w:tc>
          <w:tcPr>
            <w:tcW w:w="1468" w:type="dxa"/>
            <w:tcBorders>
              <w:bottom w:val="single" w:sz="1" w:space="0" w:color="000000"/>
            </w:tcBorders>
          </w:tcPr>
          <w:p>
            <w:pPr>
              <w:pStyle w:val="TableParagraph"/>
              <w:spacing w:line="204" w:lineRule="exact"/>
              <w:ind w:left="444" w:right="244"/>
              <w:jc w:val="left"/>
              <w:rPr>
                <w:b/>
                <w:sz w:val="18"/>
              </w:rPr>
            </w:pPr>
            <w:r>
              <w:rPr>
                <w:b/>
                <w:sz w:val="18"/>
              </w:rPr>
              <w:t>2016</w:t>
            </w:r>
          </w:p>
          <w:p>
            <w:pPr>
              <w:pStyle w:val="TableParagraph"/>
              <w:spacing w:line="312" w:lineRule="auto" w:before="66"/>
              <w:ind w:left="552" w:right="244" w:firstLine="43"/>
              <w:jc w:val="left"/>
              <w:rPr>
                <w:b/>
                <w:sz w:val="18"/>
              </w:rPr>
            </w:pPr>
            <w:r>
              <w:rPr>
                <w:b/>
                <w:sz w:val="18"/>
              </w:rPr>
              <w:t>$ 496,008</w:t>
            </w:r>
          </w:p>
        </w:tc>
        <w:tc>
          <w:tcPr>
            <w:tcW w:w="1124" w:type="dxa"/>
            <w:tcBorders>
              <w:bottom w:val="single" w:sz="1" w:space="0" w:color="000000"/>
            </w:tcBorders>
          </w:tcPr>
          <w:p>
            <w:pPr>
              <w:pStyle w:val="TableParagraph"/>
              <w:spacing w:line="204" w:lineRule="exact"/>
              <w:ind w:left="243" w:right="441"/>
              <w:jc w:val="center"/>
              <w:rPr>
                <w:b/>
                <w:sz w:val="18"/>
              </w:rPr>
            </w:pPr>
            <w:r>
              <w:rPr>
                <w:b/>
                <w:sz w:val="18"/>
              </w:rPr>
              <w:t>2015</w:t>
            </w:r>
          </w:p>
          <w:p>
            <w:pPr>
              <w:pStyle w:val="TableParagraph"/>
              <w:spacing w:before="66"/>
              <w:ind w:right="199"/>
              <w:jc w:val="center"/>
              <w:rPr>
                <w:b/>
                <w:sz w:val="18"/>
              </w:rPr>
            </w:pPr>
            <w:r>
              <w:rPr>
                <w:b/>
                <w:w w:val="99"/>
                <w:sz w:val="18"/>
              </w:rPr>
              <w:t>$</w:t>
            </w:r>
          </w:p>
          <w:p>
            <w:pPr>
              <w:pStyle w:val="TableParagraph"/>
              <w:spacing w:before="62"/>
              <w:ind w:left="382"/>
              <w:jc w:val="left"/>
              <w:rPr>
                <w:sz w:val="18"/>
              </w:rPr>
            </w:pPr>
            <w:r>
              <w:rPr>
                <w:sz w:val="18"/>
              </w:rPr>
              <w:t>502,541</w:t>
            </w:r>
          </w:p>
        </w:tc>
      </w:tr>
      <w:tr>
        <w:trPr>
          <w:trHeight w:val="353" w:hRule="exact"/>
        </w:trPr>
        <w:tc>
          <w:tcPr>
            <w:tcW w:w="6390" w:type="dxa"/>
          </w:tcPr>
          <w:p>
            <w:pPr>
              <w:pStyle w:val="TableParagraph"/>
              <w:spacing w:before="125"/>
              <w:ind w:left="35"/>
              <w:jc w:val="left"/>
              <w:rPr>
                <w:sz w:val="18"/>
              </w:rPr>
            </w:pPr>
            <w:r>
              <w:rPr>
                <w:sz w:val="18"/>
              </w:rPr>
              <w:t>Balance as per statement of cash flows</w:t>
            </w:r>
          </w:p>
        </w:tc>
        <w:tc>
          <w:tcPr>
            <w:tcW w:w="1468" w:type="dxa"/>
            <w:tcBorders>
              <w:top w:val="single" w:sz="1" w:space="0" w:color="000000"/>
              <w:bottom w:val="single" w:sz="1" w:space="0" w:color="000000"/>
            </w:tcBorders>
          </w:tcPr>
          <w:p>
            <w:pPr>
              <w:pStyle w:val="TableParagraph"/>
              <w:spacing w:before="124"/>
              <w:ind w:left="552"/>
              <w:jc w:val="left"/>
              <w:rPr>
                <w:b/>
                <w:sz w:val="18"/>
              </w:rPr>
            </w:pPr>
            <w:r>
              <w:rPr>
                <w:b/>
                <w:sz w:val="18"/>
              </w:rPr>
              <w:t>496,008</w:t>
            </w:r>
          </w:p>
        </w:tc>
        <w:tc>
          <w:tcPr>
            <w:tcW w:w="1124" w:type="dxa"/>
            <w:tcBorders>
              <w:top w:val="single" w:sz="1" w:space="0" w:color="000000"/>
              <w:bottom w:val="single" w:sz="1" w:space="0" w:color="000000"/>
            </w:tcBorders>
          </w:tcPr>
          <w:p>
            <w:pPr>
              <w:pStyle w:val="TableParagraph"/>
              <w:spacing w:before="124"/>
              <w:ind w:left="382"/>
              <w:jc w:val="left"/>
              <w:rPr>
                <w:sz w:val="18"/>
              </w:rPr>
            </w:pPr>
            <w:r>
              <w:rPr>
                <w:sz w:val="18"/>
              </w:rPr>
              <w:t>502,541</w:t>
            </w:r>
          </w:p>
        </w:tc>
      </w:tr>
    </w:tbl>
    <w:p>
      <w:pPr>
        <w:pStyle w:val="BodyText"/>
        <w:spacing w:before="5"/>
        <w:rPr>
          <w:sz w:val="20"/>
        </w:rPr>
      </w:pPr>
    </w:p>
    <w:p>
      <w:pPr>
        <w:pStyle w:val="BodyText"/>
        <w:spacing w:before="77"/>
        <w:ind w:left="1824" w:right="1375"/>
      </w:pPr>
      <w:r>
        <w:rPr/>
        <w:t>The Company's exposure to interest rate risk is discussed in note 2. The maximum exposure to credit risk at the end of each reporting period is the carrying amount of each class of cash and cash equivalents mentioned above.</w:t>
      </w:r>
    </w:p>
    <w:p>
      <w:pPr>
        <w:pStyle w:val="BodyText"/>
        <w:spacing w:before="11"/>
        <w:rPr>
          <w:sz w:val="24"/>
        </w:rPr>
      </w:pPr>
    </w:p>
    <w:p>
      <w:pPr>
        <w:pStyle w:val="BodyText"/>
        <w:ind w:left="1824"/>
      </w:pPr>
      <w:r>
        <w:rPr/>
        <w:t>Cash at bank and on hand are interest bearing.</w:t>
      </w:r>
    </w:p>
    <w:p>
      <w:pPr>
        <w:spacing w:after="0"/>
        <w:sectPr>
          <w:type w:val="continuous"/>
          <w:pgSz w:w="12750" w:h="17680"/>
          <w:pgMar w:top="1660" w:bottom="0" w:left="0" w:right="0"/>
        </w:sectPr>
      </w:pPr>
    </w:p>
    <w:p>
      <w:pPr>
        <w:pStyle w:val="BodyText"/>
        <w:spacing w:before="1"/>
        <w:rPr>
          <w:sz w:val="24"/>
        </w:rPr>
      </w:pPr>
    </w:p>
    <w:p>
      <w:pPr>
        <w:pStyle w:val="Heading4"/>
        <w:spacing w:before="65"/>
      </w:pPr>
      <w:r>
        <w:rPr/>
        <w:t>Notes to the Financial Statements</w:t>
      </w:r>
    </w:p>
    <w:p>
      <w:pPr>
        <w:pStyle w:val="Heading7"/>
        <w:spacing w:before="53"/>
      </w:pPr>
      <w:r>
        <w:rPr/>
        <w:t>For the Year Ended 31 December 2016</w:t>
      </w:r>
    </w:p>
    <w:p>
      <w:pPr>
        <w:pStyle w:val="BodyText"/>
        <w:rPr>
          <w:b/>
          <w:sz w:val="20"/>
        </w:rPr>
      </w:pPr>
    </w:p>
    <w:p>
      <w:pPr>
        <w:pStyle w:val="BodyText"/>
        <w:rPr>
          <w:b/>
          <w:sz w:val="20"/>
        </w:rPr>
      </w:pPr>
    </w:p>
    <w:p>
      <w:pPr>
        <w:pStyle w:val="BodyText"/>
        <w:spacing w:before="10"/>
        <w:rPr>
          <w:b/>
          <w:sz w:val="14"/>
        </w:rPr>
      </w:pPr>
    </w:p>
    <w:tbl>
      <w:tblPr>
        <w:tblW w:w="0" w:type="auto"/>
        <w:jc w:val="left"/>
        <w:tblInd w:w="139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82"/>
        <w:gridCol w:w="7071"/>
        <w:gridCol w:w="1453"/>
        <w:gridCol w:w="1139"/>
      </w:tblGrid>
      <w:tr>
        <w:trPr>
          <w:trHeight w:val="567" w:hRule="exact"/>
        </w:trPr>
        <w:tc>
          <w:tcPr>
            <w:tcW w:w="282" w:type="dxa"/>
          </w:tcPr>
          <w:p>
            <w:pPr>
              <w:pStyle w:val="TableParagraph"/>
              <w:spacing w:before="77"/>
              <w:ind w:left="35"/>
              <w:jc w:val="left"/>
              <w:rPr>
                <w:b/>
                <w:sz w:val="18"/>
              </w:rPr>
            </w:pPr>
            <w:bookmarkStart w:name="8 Trade and other receivables" w:id="288"/>
            <w:bookmarkEnd w:id="288"/>
            <w:r>
              <w:rPr/>
            </w:r>
            <w:r>
              <w:rPr>
                <w:b/>
                <w:w w:val="99"/>
                <w:sz w:val="18"/>
              </w:rPr>
              <w:t>8</w:t>
            </w:r>
          </w:p>
        </w:tc>
        <w:tc>
          <w:tcPr>
            <w:tcW w:w="7071" w:type="dxa"/>
          </w:tcPr>
          <w:p>
            <w:pPr>
              <w:pStyle w:val="TableParagraph"/>
              <w:spacing w:before="77"/>
              <w:ind w:left="146"/>
              <w:jc w:val="left"/>
              <w:rPr>
                <w:b/>
                <w:sz w:val="18"/>
              </w:rPr>
            </w:pPr>
            <w:r>
              <w:rPr>
                <w:b/>
                <w:sz w:val="18"/>
              </w:rPr>
              <w:t>Trade and other receivables</w:t>
            </w:r>
          </w:p>
        </w:tc>
        <w:tc>
          <w:tcPr>
            <w:tcW w:w="1453" w:type="dxa"/>
          </w:tcPr>
          <w:p>
            <w:pPr>
              <w:pStyle w:val="TableParagraph"/>
              <w:jc w:val="left"/>
              <w:rPr>
                <w:b/>
                <w:sz w:val="18"/>
              </w:rPr>
            </w:pPr>
          </w:p>
          <w:p>
            <w:pPr>
              <w:pStyle w:val="TableParagraph"/>
              <w:spacing w:before="110"/>
              <w:ind w:left="444"/>
              <w:jc w:val="left"/>
              <w:rPr>
                <w:b/>
                <w:sz w:val="18"/>
              </w:rPr>
            </w:pPr>
            <w:r>
              <w:rPr>
                <w:b/>
                <w:sz w:val="18"/>
              </w:rPr>
              <w:t>2016</w:t>
            </w:r>
          </w:p>
        </w:tc>
        <w:tc>
          <w:tcPr>
            <w:tcW w:w="1139" w:type="dxa"/>
          </w:tcPr>
          <w:p>
            <w:pPr>
              <w:pStyle w:val="TableParagraph"/>
              <w:jc w:val="left"/>
              <w:rPr>
                <w:b/>
                <w:sz w:val="18"/>
              </w:rPr>
            </w:pPr>
          </w:p>
          <w:p>
            <w:pPr>
              <w:pStyle w:val="TableParagraph"/>
              <w:spacing w:before="110"/>
              <w:ind w:left="274"/>
              <w:jc w:val="left"/>
              <w:rPr>
                <w:b/>
                <w:sz w:val="18"/>
              </w:rPr>
            </w:pPr>
            <w:r>
              <w:rPr>
                <w:b/>
                <w:sz w:val="18"/>
              </w:rPr>
              <w:t>2015</w:t>
            </w:r>
          </w:p>
        </w:tc>
      </w:tr>
      <w:tr>
        <w:trPr>
          <w:trHeight w:val="270" w:hRule="exact"/>
        </w:trPr>
        <w:tc>
          <w:tcPr>
            <w:tcW w:w="282" w:type="dxa"/>
          </w:tcPr>
          <w:p>
            <w:pPr/>
          </w:p>
        </w:tc>
        <w:tc>
          <w:tcPr>
            <w:tcW w:w="7071" w:type="dxa"/>
          </w:tcPr>
          <w:p>
            <w:pPr/>
          </w:p>
        </w:tc>
        <w:tc>
          <w:tcPr>
            <w:tcW w:w="1453" w:type="dxa"/>
          </w:tcPr>
          <w:p>
            <w:pPr>
              <w:pStyle w:val="TableParagraph"/>
              <w:spacing w:before="24"/>
              <w:ind w:right="160"/>
              <w:jc w:val="center"/>
              <w:rPr>
                <w:b/>
                <w:sz w:val="18"/>
              </w:rPr>
            </w:pPr>
            <w:r>
              <w:rPr>
                <w:b/>
                <w:w w:val="99"/>
                <w:sz w:val="18"/>
              </w:rPr>
              <w:t>$</w:t>
            </w:r>
          </w:p>
        </w:tc>
        <w:tc>
          <w:tcPr>
            <w:tcW w:w="1139" w:type="dxa"/>
          </w:tcPr>
          <w:p>
            <w:pPr>
              <w:pStyle w:val="TableParagraph"/>
              <w:spacing w:before="24"/>
              <w:ind w:right="184"/>
              <w:jc w:val="center"/>
              <w:rPr>
                <w:b/>
                <w:sz w:val="18"/>
              </w:rPr>
            </w:pPr>
            <w:r>
              <w:rPr>
                <w:b/>
                <w:w w:val="99"/>
                <w:sz w:val="18"/>
              </w:rPr>
              <w:t>$</w:t>
            </w:r>
          </w:p>
        </w:tc>
      </w:tr>
      <w:tr>
        <w:trPr>
          <w:trHeight w:val="266" w:hRule="exact"/>
        </w:trPr>
        <w:tc>
          <w:tcPr>
            <w:tcW w:w="282" w:type="dxa"/>
          </w:tcPr>
          <w:p>
            <w:pPr/>
          </w:p>
        </w:tc>
        <w:tc>
          <w:tcPr>
            <w:tcW w:w="7071" w:type="dxa"/>
          </w:tcPr>
          <w:p>
            <w:pPr>
              <w:pStyle w:val="TableParagraph"/>
              <w:spacing w:before="20"/>
              <w:ind w:left="146"/>
              <w:jc w:val="left"/>
              <w:rPr>
                <w:sz w:val="18"/>
              </w:rPr>
            </w:pPr>
            <w:r>
              <w:rPr>
                <w:sz w:val="18"/>
              </w:rPr>
              <w:t>Trade receivables</w:t>
            </w:r>
          </w:p>
        </w:tc>
        <w:tc>
          <w:tcPr>
            <w:tcW w:w="1453" w:type="dxa"/>
          </w:tcPr>
          <w:p>
            <w:pPr>
              <w:pStyle w:val="TableParagraph"/>
              <w:spacing w:before="22"/>
              <w:ind w:right="244"/>
              <w:rPr>
                <w:b/>
                <w:sz w:val="18"/>
              </w:rPr>
            </w:pPr>
            <w:r>
              <w:rPr>
                <w:b/>
                <w:w w:val="95"/>
                <w:sz w:val="18"/>
              </w:rPr>
              <w:t>2,696,450</w:t>
            </w:r>
          </w:p>
        </w:tc>
        <w:tc>
          <w:tcPr>
            <w:tcW w:w="1139" w:type="dxa"/>
          </w:tcPr>
          <w:p>
            <w:pPr>
              <w:pStyle w:val="TableParagraph"/>
              <w:spacing w:before="22"/>
              <w:ind w:right="84"/>
              <w:rPr>
                <w:sz w:val="18"/>
              </w:rPr>
            </w:pPr>
            <w:r>
              <w:rPr>
                <w:w w:val="95"/>
                <w:sz w:val="18"/>
              </w:rPr>
              <w:t>1,082,275</w:t>
            </w:r>
          </w:p>
        </w:tc>
      </w:tr>
      <w:tr>
        <w:trPr>
          <w:trHeight w:val="262" w:hRule="exact"/>
        </w:trPr>
        <w:tc>
          <w:tcPr>
            <w:tcW w:w="282" w:type="dxa"/>
          </w:tcPr>
          <w:p>
            <w:pPr/>
          </w:p>
        </w:tc>
        <w:tc>
          <w:tcPr>
            <w:tcW w:w="7071" w:type="dxa"/>
          </w:tcPr>
          <w:p>
            <w:pPr>
              <w:pStyle w:val="TableParagraph"/>
              <w:spacing w:before="18"/>
              <w:ind w:left="146"/>
              <w:jc w:val="left"/>
              <w:rPr>
                <w:sz w:val="18"/>
              </w:rPr>
            </w:pPr>
            <w:r>
              <w:rPr>
                <w:sz w:val="18"/>
              </w:rPr>
              <w:t>Sundry debtors and accruals</w:t>
            </w:r>
          </w:p>
        </w:tc>
        <w:tc>
          <w:tcPr>
            <w:tcW w:w="1453" w:type="dxa"/>
            <w:tcBorders>
              <w:bottom w:val="single" w:sz="1" w:space="0" w:color="000000"/>
            </w:tcBorders>
          </w:tcPr>
          <w:p>
            <w:pPr>
              <w:pStyle w:val="TableParagraph"/>
              <w:spacing w:before="20"/>
              <w:ind w:right="385"/>
              <w:rPr>
                <w:b/>
                <w:sz w:val="18"/>
              </w:rPr>
            </w:pPr>
            <w:r>
              <w:rPr>
                <w:b/>
                <w:w w:val="99"/>
                <w:sz w:val="18"/>
              </w:rPr>
              <w:t>-</w:t>
            </w:r>
          </w:p>
        </w:tc>
        <w:tc>
          <w:tcPr>
            <w:tcW w:w="1139" w:type="dxa"/>
            <w:tcBorders>
              <w:bottom w:val="single" w:sz="1" w:space="0" w:color="000000"/>
            </w:tcBorders>
          </w:tcPr>
          <w:p>
            <w:pPr>
              <w:pStyle w:val="TableParagraph"/>
              <w:spacing w:before="20"/>
              <w:ind w:right="84"/>
              <w:rPr>
                <w:sz w:val="18"/>
              </w:rPr>
            </w:pPr>
            <w:r>
              <w:rPr>
                <w:w w:val="95"/>
                <w:sz w:val="18"/>
              </w:rPr>
              <w:t>21,763</w:t>
            </w:r>
          </w:p>
        </w:tc>
      </w:tr>
      <w:tr>
        <w:trPr>
          <w:trHeight w:val="364" w:hRule="exact"/>
        </w:trPr>
        <w:tc>
          <w:tcPr>
            <w:tcW w:w="282" w:type="dxa"/>
          </w:tcPr>
          <w:p>
            <w:pPr/>
          </w:p>
        </w:tc>
        <w:tc>
          <w:tcPr>
            <w:tcW w:w="7071" w:type="dxa"/>
          </w:tcPr>
          <w:p>
            <w:pPr>
              <w:pStyle w:val="TableParagraph"/>
              <w:spacing w:before="125"/>
              <w:ind w:left="146"/>
              <w:jc w:val="left"/>
              <w:rPr>
                <w:b/>
                <w:sz w:val="18"/>
              </w:rPr>
            </w:pPr>
            <w:r>
              <w:rPr>
                <w:b/>
                <w:sz w:val="18"/>
              </w:rPr>
              <w:t>Net trade receivables</w:t>
            </w:r>
          </w:p>
        </w:tc>
        <w:tc>
          <w:tcPr>
            <w:tcW w:w="1453" w:type="dxa"/>
            <w:tcBorders>
              <w:top w:val="single" w:sz="1" w:space="0" w:color="000000"/>
            </w:tcBorders>
          </w:tcPr>
          <w:p>
            <w:pPr>
              <w:pStyle w:val="TableParagraph"/>
              <w:spacing w:before="124"/>
              <w:ind w:right="244"/>
              <w:rPr>
                <w:b/>
                <w:sz w:val="18"/>
              </w:rPr>
            </w:pPr>
            <w:r>
              <w:rPr>
                <w:b/>
                <w:w w:val="95"/>
                <w:sz w:val="18"/>
              </w:rPr>
              <w:t>2,696,450</w:t>
            </w:r>
          </w:p>
        </w:tc>
        <w:tc>
          <w:tcPr>
            <w:tcW w:w="1139" w:type="dxa"/>
            <w:tcBorders>
              <w:top w:val="single" w:sz="1" w:space="0" w:color="000000"/>
            </w:tcBorders>
          </w:tcPr>
          <w:p>
            <w:pPr>
              <w:pStyle w:val="TableParagraph"/>
              <w:spacing w:before="124"/>
              <w:ind w:right="84"/>
              <w:rPr>
                <w:sz w:val="18"/>
              </w:rPr>
            </w:pPr>
            <w:r>
              <w:rPr>
                <w:w w:val="95"/>
                <w:sz w:val="18"/>
              </w:rPr>
              <w:t>1,104,038</w:t>
            </w:r>
          </w:p>
        </w:tc>
      </w:tr>
      <w:tr>
        <w:trPr>
          <w:trHeight w:val="257" w:hRule="exact"/>
        </w:trPr>
        <w:tc>
          <w:tcPr>
            <w:tcW w:w="282" w:type="dxa"/>
          </w:tcPr>
          <w:p>
            <w:pPr/>
          </w:p>
        </w:tc>
        <w:tc>
          <w:tcPr>
            <w:tcW w:w="7071" w:type="dxa"/>
          </w:tcPr>
          <w:p>
            <w:pPr>
              <w:pStyle w:val="TableParagraph"/>
              <w:spacing w:before="13"/>
              <w:ind w:left="146"/>
              <w:jc w:val="left"/>
              <w:rPr>
                <w:sz w:val="18"/>
              </w:rPr>
            </w:pPr>
            <w:r>
              <w:rPr>
                <w:sz w:val="18"/>
              </w:rPr>
              <w:t>Prepayments</w:t>
            </w:r>
          </w:p>
        </w:tc>
        <w:tc>
          <w:tcPr>
            <w:tcW w:w="1453" w:type="dxa"/>
            <w:tcBorders>
              <w:bottom w:val="single" w:sz="1" w:space="0" w:color="000000"/>
            </w:tcBorders>
          </w:tcPr>
          <w:p>
            <w:pPr>
              <w:pStyle w:val="TableParagraph"/>
              <w:spacing w:before="15"/>
              <w:ind w:right="244"/>
              <w:rPr>
                <w:b/>
                <w:sz w:val="18"/>
              </w:rPr>
            </w:pPr>
            <w:r>
              <w:rPr>
                <w:b/>
                <w:w w:val="95"/>
                <w:sz w:val="18"/>
              </w:rPr>
              <w:t>49,998</w:t>
            </w:r>
          </w:p>
        </w:tc>
        <w:tc>
          <w:tcPr>
            <w:tcW w:w="1139" w:type="dxa"/>
            <w:tcBorders>
              <w:bottom w:val="single" w:sz="1" w:space="0" w:color="000000"/>
            </w:tcBorders>
          </w:tcPr>
          <w:p>
            <w:pPr>
              <w:pStyle w:val="TableParagraph"/>
              <w:spacing w:before="15"/>
              <w:ind w:right="84"/>
              <w:rPr>
                <w:sz w:val="18"/>
              </w:rPr>
            </w:pPr>
            <w:r>
              <w:rPr>
                <w:w w:val="95"/>
                <w:sz w:val="18"/>
              </w:rPr>
              <w:t>27,564</w:t>
            </w:r>
          </w:p>
        </w:tc>
      </w:tr>
      <w:tr>
        <w:trPr>
          <w:trHeight w:val="353" w:hRule="exact"/>
        </w:trPr>
        <w:tc>
          <w:tcPr>
            <w:tcW w:w="282" w:type="dxa"/>
          </w:tcPr>
          <w:p>
            <w:pPr/>
          </w:p>
        </w:tc>
        <w:tc>
          <w:tcPr>
            <w:tcW w:w="7071" w:type="dxa"/>
          </w:tcPr>
          <w:p>
            <w:pPr>
              <w:pStyle w:val="TableParagraph"/>
              <w:spacing w:before="125"/>
              <w:ind w:left="146"/>
              <w:jc w:val="left"/>
              <w:rPr>
                <w:b/>
                <w:sz w:val="18"/>
              </w:rPr>
            </w:pPr>
            <w:r>
              <w:rPr>
                <w:b/>
                <w:sz w:val="18"/>
              </w:rPr>
              <w:t>Total current trade and other receivables</w:t>
            </w:r>
          </w:p>
        </w:tc>
        <w:tc>
          <w:tcPr>
            <w:tcW w:w="1453" w:type="dxa"/>
            <w:tcBorders>
              <w:top w:val="single" w:sz="1" w:space="0" w:color="000000"/>
              <w:bottom w:val="single" w:sz="1" w:space="0" w:color="000000"/>
            </w:tcBorders>
          </w:tcPr>
          <w:p>
            <w:pPr>
              <w:pStyle w:val="TableParagraph"/>
              <w:spacing w:before="124"/>
              <w:ind w:right="244"/>
              <w:rPr>
                <w:b/>
                <w:sz w:val="18"/>
              </w:rPr>
            </w:pPr>
            <w:r>
              <w:rPr>
                <w:b/>
                <w:w w:val="95"/>
                <w:sz w:val="18"/>
              </w:rPr>
              <w:t>2,746,448</w:t>
            </w:r>
          </w:p>
        </w:tc>
        <w:tc>
          <w:tcPr>
            <w:tcW w:w="1139" w:type="dxa"/>
            <w:tcBorders>
              <w:top w:val="single" w:sz="1" w:space="0" w:color="000000"/>
              <w:bottom w:val="single" w:sz="1" w:space="0" w:color="000000"/>
            </w:tcBorders>
          </w:tcPr>
          <w:p>
            <w:pPr>
              <w:pStyle w:val="TableParagraph"/>
              <w:spacing w:before="124"/>
              <w:ind w:right="84"/>
              <w:rPr>
                <w:sz w:val="18"/>
              </w:rPr>
            </w:pPr>
            <w:r>
              <w:rPr>
                <w:w w:val="95"/>
                <w:sz w:val="18"/>
              </w:rPr>
              <w:t>1,131,602</w:t>
            </w:r>
          </w:p>
        </w:tc>
      </w:tr>
      <w:tr>
        <w:trPr>
          <w:trHeight w:val="618" w:hRule="exact"/>
        </w:trPr>
        <w:tc>
          <w:tcPr>
            <w:tcW w:w="282" w:type="dxa"/>
          </w:tcPr>
          <w:p>
            <w:pPr/>
          </w:p>
        </w:tc>
        <w:tc>
          <w:tcPr>
            <w:tcW w:w="7071" w:type="dxa"/>
          </w:tcPr>
          <w:p>
            <w:pPr>
              <w:pStyle w:val="TableParagraph"/>
              <w:jc w:val="left"/>
              <w:rPr>
                <w:b/>
                <w:sz w:val="18"/>
              </w:rPr>
            </w:pPr>
          </w:p>
          <w:p>
            <w:pPr>
              <w:pStyle w:val="TableParagraph"/>
              <w:spacing w:before="107"/>
              <w:ind w:left="146"/>
              <w:jc w:val="left"/>
              <w:rPr>
                <w:sz w:val="18"/>
              </w:rPr>
            </w:pPr>
            <w:r>
              <w:rPr>
                <w:sz w:val="18"/>
              </w:rPr>
              <w:t>Trade and other receivables are non-interest bearing.</w:t>
            </w:r>
          </w:p>
        </w:tc>
        <w:tc>
          <w:tcPr>
            <w:tcW w:w="1453" w:type="dxa"/>
            <w:tcBorders>
              <w:top w:val="single" w:sz="1" w:space="0" w:color="000000"/>
            </w:tcBorders>
          </w:tcPr>
          <w:p>
            <w:pPr/>
          </w:p>
        </w:tc>
        <w:tc>
          <w:tcPr>
            <w:tcW w:w="1139" w:type="dxa"/>
            <w:tcBorders>
              <w:top w:val="single" w:sz="1" w:space="0" w:color="000000"/>
            </w:tcBorders>
          </w:tcPr>
          <w:p>
            <w:pPr/>
          </w:p>
        </w:tc>
      </w:tr>
    </w:tbl>
    <w:p>
      <w:pPr>
        <w:pStyle w:val="BodyText"/>
        <w:spacing w:before="10"/>
        <w:rPr>
          <w:b/>
          <w:sz w:val="9"/>
        </w:rPr>
      </w:pPr>
    </w:p>
    <w:p>
      <w:pPr>
        <w:pStyle w:val="BodyText"/>
        <w:spacing w:before="78"/>
        <w:ind w:left="1824" w:right="1375"/>
      </w:pPr>
      <w:r>
        <w:rPr/>
        <w:t>At 31 December 2016,current receivables of uwsconnect Limited with a nominal value of $Nil (2015 Nil) were impaired. The amount of the provision was $Nil (2015 Nil).</w:t>
      </w:r>
    </w:p>
    <w:p>
      <w:pPr>
        <w:pStyle w:val="BodyText"/>
        <w:spacing w:before="11"/>
        <w:rPr>
          <w:sz w:val="24"/>
        </w:rPr>
      </w:pPr>
    </w:p>
    <w:p>
      <w:pPr>
        <w:pStyle w:val="BodyText"/>
        <w:spacing w:after="36"/>
        <w:ind w:left="1824" w:right="1538"/>
      </w:pPr>
      <w:r>
        <w:rPr/>
        <w:t>As at 31 December 2016 trade receivables of $75,172 (2015:$145,578) were past due but not impaired. These relate to Western Sydney University. The ageing of these receivables is as follows:</w:t>
      </w:r>
    </w:p>
    <w:tbl>
      <w:tblPr>
        <w:tblW w:w="0" w:type="auto"/>
        <w:jc w:val="left"/>
        <w:tblInd w:w="178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959"/>
        <w:gridCol w:w="1469"/>
        <w:gridCol w:w="1123"/>
      </w:tblGrid>
      <w:tr>
        <w:trPr>
          <w:trHeight w:val="561" w:hRule="exact"/>
        </w:trPr>
        <w:tc>
          <w:tcPr>
            <w:tcW w:w="6959" w:type="dxa"/>
          </w:tcPr>
          <w:p>
            <w:pPr/>
          </w:p>
        </w:tc>
        <w:tc>
          <w:tcPr>
            <w:tcW w:w="1469" w:type="dxa"/>
          </w:tcPr>
          <w:p>
            <w:pPr>
              <w:pStyle w:val="TableParagraph"/>
              <w:spacing w:before="26"/>
              <w:ind w:left="414" w:right="613"/>
              <w:jc w:val="center"/>
              <w:rPr>
                <w:b/>
                <w:sz w:val="18"/>
              </w:rPr>
            </w:pPr>
            <w:r>
              <w:rPr>
                <w:b/>
                <w:sz w:val="18"/>
              </w:rPr>
              <w:t>2016</w:t>
            </w:r>
          </w:p>
          <w:p>
            <w:pPr>
              <w:pStyle w:val="TableParagraph"/>
              <w:spacing w:before="66"/>
              <w:ind w:right="200"/>
              <w:jc w:val="center"/>
              <w:rPr>
                <w:b/>
                <w:sz w:val="18"/>
              </w:rPr>
            </w:pPr>
            <w:r>
              <w:rPr>
                <w:b/>
                <w:w w:val="99"/>
                <w:sz w:val="18"/>
              </w:rPr>
              <w:t>$</w:t>
            </w:r>
          </w:p>
        </w:tc>
        <w:tc>
          <w:tcPr>
            <w:tcW w:w="1123" w:type="dxa"/>
          </w:tcPr>
          <w:p>
            <w:pPr>
              <w:pStyle w:val="TableParagraph"/>
              <w:spacing w:before="26"/>
              <w:ind w:left="241" w:right="440"/>
              <w:jc w:val="center"/>
              <w:rPr>
                <w:b/>
                <w:sz w:val="18"/>
              </w:rPr>
            </w:pPr>
            <w:r>
              <w:rPr>
                <w:b/>
                <w:sz w:val="18"/>
              </w:rPr>
              <w:t>2015</w:t>
            </w:r>
          </w:p>
          <w:p>
            <w:pPr>
              <w:pStyle w:val="TableParagraph"/>
              <w:spacing w:before="66"/>
              <w:ind w:right="200"/>
              <w:jc w:val="center"/>
              <w:rPr>
                <w:b/>
                <w:sz w:val="18"/>
              </w:rPr>
            </w:pPr>
            <w:r>
              <w:rPr>
                <w:b/>
                <w:w w:val="99"/>
                <w:sz w:val="18"/>
              </w:rPr>
              <w:t>$</w:t>
            </w:r>
          </w:p>
        </w:tc>
      </w:tr>
      <w:tr>
        <w:trPr>
          <w:trHeight w:val="282" w:hRule="exact"/>
        </w:trPr>
        <w:tc>
          <w:tcPr>
            <w:tcW w:w="6959" w:type="dxa"/>
          </w:tcPr>
          <w:p>
            <w:pPr>
              <w:pStyle w:val="TableParagraph"/>
              <w:spacing w:before="38"/>
              <w:ind w:left="35"/>
              <w:jc w:val="left"/>
              <w:rPr>
                <w:sz w:val="18"/>
              </w:rPr>
            </w:pPr>
            <w:r>
              <w:rPr>
                <w:sz w:val="18"/>
              </w:rPr>
              <w:t>Up to 3 months</w:t>
            </w:r>
          </w:p>
        </w:tc>
        <w:tc>
          <w:tcPr>
            <w:tcW w:w="1469" w:type="dxa"/>
          </w:tcPr>
          <w:p>
            <w:pPr>
              <w:pStyle w:val="TableParagraph"/>
              <w:spacing w:before="36"/>
              <w:ind w:right="257"/>
              <w:rPr>
                <w:b/>
                <w:sz w:val="18"/>
              </w:rPr>
            </w:pPr>
            <w:r>
              <w:rPr>
                <w:b/>
                <w:w w:val="95"/>
                <w:sz w:val="18"/>
              </w:rPr>
              <w:t>22,002</w:t>
            </w:r>
          </w:p>
        </w:tc>
        <w:tc>
          <w:tcPr>
            <w:tcW w:w="1123" w:type="dxa"/>
          </w:tcPr>
          <w:p>
            <w:pPr>
              <w:pStyle w:val="TableParagraph"/>
              <w:spacing w:before="36"/>
              <w:ind w:right="84"/>
              <w:rPr>
                <w:sz w:val="18"/>
              </w:rPr>
            </w:pPr>
            <w:r>
              <w:rPr>
                <w:w w:val="95"/>
                <w:sz w:val="18"/>
              </w:rPr>
              <w:t>129,522</w:t>
            </w:r>
          </w:p>
        </w:tc>
      </w:tr>
      <w:tr>
        <w:trPr>
          <w:trHeight w:val="264" w:hRule="exact"/>
        </w:trPr>
        <w:tc>
          <w:tcPr>
            <w:tcW w:w="6959" w:type="dxa"/>
          </w:tcPr>
          <w:p>
            <w:pPr>
              <w:pStyle w:val="TableParagraph"/>
              <w:spacing w:before="20"/>
              <w:ind w:left="35"/>
              <w:jc w:val="left"/>
              <w:rPr>
                <w:sz w:val="18"/>
              </w:rPr>
            </w:pPr>
            <w:r>
              <w:rPr>
                <w:sz w:val="18"/>
              </w:rPr>
              <w:t>3 to 6 months</w:t>
            </w:r>
          </w:p>
        </w:tc>
        <w:tc>
          <w:tcPr>
            <w:tcW w:w="1469" w:type="dxa"/>
          </w:tcPr>
          <w:p>
            <w:pPr>
              <w:pStyle w:val="TableParagraph"/>
              <w:spacing w:before="18"/>
              <w:ind w:right="257"/>
              <w:rPr>
                <w:b/>
                <w:sz w:val="18"/>
              </w:rPr>
            </w:pPr>
            <w:r>
              <w:rPr>
                <w:b/>
                <w:w w:val="95"/>
                <w:sz w:val="18"/>
              </w:rPr>
              <w:t>7,339</w:t>
            </w:r>
          </w:p>
        </w:tc>
        <w:tc>
          <w:tcPr>
            <w:tcW w:w="1123" w:type="dxa"/>
          </w:tcPr>
          <w:p>
            <w:pPr>
              <w:pStyle w:val="TableParagraph"/>
              <w:spacing w:before="18"/>
              <w:ind w:right="84"/>
              <w:rPr>
                <w:sz w:val="18"/>
              </w:rPr>
            </w:pPr>
            <w:r>
              <w:rPr>
                <w:w w:val="95"/>
                <w:sz w:val="18"/>
              </w:rPr>
              <w:t>12,718</w:t>
            </w:r>
          </w:p>
        </w:tc>
      </w:tr>
      <w:tr>
        <w:trPr>
          <w:trHeight w:val="260" w:hRule="exact"/>
        </w:trPr>
        <w:tc>
          <w:tcPr>
            <w:tcW w:w="6959" w:type="dxa"/>
          </w:tcPr>
          <w:p>
            <w:pPr>
              <w:pStyle w:val="TableParagraph"/>
              <w:spacing w:before="20"/>
              <w:ind w:left="35"/>
              <w:jc w:val="left"/>
              <w:rPr>
                <w:sz w:val="18"/>
              </w:rPr>
            </w:pPr>
            <w:r>
              <w:rPr>
                <w:sz w:val="18"/>
              </w:rPr>
              <w:t>Over 6 months</w:t>
            </w:r>
          </w:p>
        </w:tc>
        <w:tc>
          <w:tcPr>
            <w:tcW w:w="1469" w:type="dxa"/>
            <w:tcBorders>
              <w:bottom w:val="single" w:sz="1" w:space="0" w:color="000000"/>
            </w:tcBorders>
          </w:tcPr>
          <w:p>
            <w:pPr>
              <w:pStyle w:val="TableParagraph"/>
              <w:spacing w:before="18"/>
              <w:ind w:right="257"/>
              <w:rPr>
                <w:b/>
                <w:sz w:val="18"/>
              </w:rPr>
            </w:pPr>
            <w:r>
              <w:rPr>
                <w:b/>
                <w:w w:val="95"/>
                <w:sz w:val="18"/>
              </w:rPr>
              <w:t>45,831</w:t>
            </w:r>
          </w:p>
        </w:tc>
        <w:tc>
          <w:tcPr>
            <w:tcW w:w="1123" w:type="dxa"/>
            <w:tcBorders>
              <w:bottom w:val="single" w:sz="1" w:space="0" w:color="000000"/>
            </w:tcBorders>
          </w:tcPr>
          <w:p>
            <w:pPr>
              <w:pStyle w:val="TableParagraph"/>
              <w:spacing w:before="18"/>
              <w:ind w:right="84"/>
              <w:rPr>
                <w:sz w:val="18"/>
              </w:rPr>
            </w:pPr>
            <w:r>
              <w:rPr>
                <w:w w:val="95"/>
                <w:sz w:val="18"/>
              </w:rPr>
              <w:t>3,338</w:t>
            </w:r>
          </w:p>
        </w:tc>
      </w:tr>
      <w:tr>
        <w:trPr>
          <w:trHeight w:val="338" w:hRule="exact"/>
        </w:trPr>
        <w:tc>
          <w:tcPr>
            <w:tcW w:w="6959" w:type="dxa"/>
          </w:tcPr>
          <w:p>
            <w:pPr>
              <w:pStyle w:val="TableParagraph"/>
              <w:spacing w:before="125"/>
              <w:ind w:left="35"/>
              <w:jc w:val="left"/>
              <w:rPr>
                <w:b/>
                <w:sz w:val="18"/>
              </w:rPr>
            </w:pPr>
            <w:r>
              <w:rPr>
                <w:b/>
                <w:sz w:val="18"/>
              </w:rPr>
              <w:t>Total</w:t>
            </w:r>
          </w:p>
        </w:tc>
        <w:tc>
          <w:tcPr>
            <w:tcW w:w="1469" w:type="dxa"/>
            <w:tcBorders>
              <w:top w:val="single" w:sz="1" w:space="0" w:color="000000"/>
              <w:bottom w:val="single" w:sz="1" w:space="0" w:color="000000"/>
            </w:tcBorders>
          </w:tcPr>
          <w:p>
            <w:pPr>
              <w:pStyle w:val="TableParagraph"/>
              <w:spacing w:before="124"/>
              <w:ind w:right="257"/>
              <w:rPr>
                <w:b/>
                <w:sz w:val="18"/>
              </w:rPr>
            </w:pPr>
            <w:r>
              <w:rPr>
                <w:b/>
                <w:w w:val="95"/>
                <w:sz w:val="18"/>
              </w:rPr>
              <w:t>75,172</w:t>
            </w:r>
          </w:p>
        </w:tc>
        <w:tc>
          <w:tcPr>
            <w:tcW w:w="1123" w:type="dxa"/>
            <w:tcBorders>
              <w:top w:val="single" w:sz="1" w:space="0" w:color="000000"/>
              <w:bottom w:val="single" w:sz="1" w:space="0" w:color="000000"/>
            </w:tcBorders>
          </w:tcPr>
          <w:p>
            <w:pPr>
              <w:pStyle w:val="TableParagraph"/>
              <w:spacing w:before="124"/>
              <w:ind w:right="84"/>
              <w:rPr>
                <w:sz w:val="18"/>
              </w:rPr>
            </w:pPr>
            <w:r>
              <w:rPr>
                <w:w w:val="95"/>
                <w:sz w:val="18"/>
              </w:rPr>
              <w:t>145,578</w:t>
            </w:r>
          </w:p>
        </w:tc>
      </w:tr>
    </w:tbl>
    <w:p>
      <w:pPr>
        <w:pStyle w:val="BodyText"/>
        <w:spacing w:before="2"/>
        <w:rPr>
          <w:sz w:val="19"/>
        </w:rPr>
      </w:pPr>
    </w:p>
    <w:p>
      <w:pPr>
        <w:pStyle w:val="BodyText"/>
        <w:spacing w:before="77"/>
        <w:ind w:left="1824" w:right="1407"/>
      </w:pPr>
      <w:r>
        <w:rPr/>
        <w:drawing>
          <wp:anchor distT="0" distB="0" distL="0" distR="0" allowOverlap="1" layoutInCell="1" locked="0" behindDoc="0" simplePos="0" relativeHeight="10888">
            <wp:simplePos x="0" y="0"/>
            <wp:positionH relativeFrom="page">
              <wp:posOffset>-1587</wp:posOffset>
            </wp:positionH>
            <wp:positionV relativeFrom="paragraph">
              <wp:posOffset>-640792</wp:posOffset>
            </wp:positionV>
            <wp:extent cx="135159" cy="154019"/>
            <wp:effectExtent l="0" t="0" r="0" b="0"/>
            <wp:wrapNone/>
            <wp:docPr id="723" name="image13.png" descr=""/>
            <wp:cNvGraphicFramePr>
              <a:graphicFrameLocks noChangeAspect="1"/>
            </wp:cNvGraphicFramePr>
            <a:graphic>
              <a:graphicData uri="http://schemas.openxmlformats.org/drawingml/2006/picture">
                <pic:pic>
                  <pic:nvPicPr>
                    <pic:cNvPr id="724" name="image13.png"/>
                    <pic:cNvPicPr/>
                  </pic:nvPicPr>
                  <pic:blipFill>
                    <a:blip r:embed="rId18" cstate="print"/>
                    <a:stretch>
                      <a:fillRect/>
                    </a:stretch>
                  </pic:blipFill>
                  <pic:spPr>
                    <a:xfrm>
                      <a:off x="0" y="0"/>
                      <a:ext cx="135159" cy="154019"/>
                    </a:xfrm>
                    <a:prstGeom prst="rect">
                      <a:avLst/>
                    </a:prstGeom>
                  </pic:spPr>
                </pic:pic>
              </a:graphicData>
            </a:graphic>
          </wp:anchor>
        </w:drawing>
      </w:r>
      <w:r>
        <w:rPr/>
        <w:drawing>
          <wp:anchor distT="0" distB="0" distL="0" distR="0" allowOverlap="1" layoutInCell="1" locked="0" behindDoc="0" simplePos="0" relativeHeight="10912">
            <wp:simplePos x="0" y="0"/>
            <wp:positionH relativeFrom="page">
              <wp:posOffset>7958429</wp:posOffset>
            </wp:positionH>
            <wp:positionV relativeFrom="paragraph">
              <wp:posOffset>-640792</wp:posOffset>
            </wp:positionV>
            <wp:extent cx="135953" cy="155575"/>
            <wp:effectExtent l="0" t="0" r="0" b="0"/>
            <wp:wrapNone/>
            <wp:docPr id="725" name="image15.png" descr=""/>
            <wp:cNvGraphicFramePr>
              <a:graphicFrameLocks noChangeAspect="1"/>
            </wp:cNvGraphicFramePr>
            <a:graphic>
              <a:graphicData uri="http://schemas.openxmlformats.org/drawingml/2006/picture">
                <pic:pic>
                  <pic:nvPicPr>
                    <pic:cNvPr id="726" name="image15.png"/>
                    <pic:cNvPicPr/>
                  </pic:nvPicPr>
                  <pic:blipFill>
                    <a:blip r:embed="rId20" cstate="print"/>
                    <a:stretch>
                      <a:fillRect/>
                    </a:stretch>
                  </pic:blipFill>
                  <pic:spPr>
                    <a:xfrm>
                      <a:off x="0" y="0"/>
                      <a:ext cx="135953" cy="155575"/>
                    </a:xfrm>
                    <a:prstGeom prst="rect">
                      <a:avLst/>
                    </a:prstGeom>
                  </pic:spPr>
                </pic:pic>
              </a:graphicData>
            </a:graphic>
          </wp:anchor>
        </w:drawing>
      </w:r>
      <w:bookmarkStart w:name="Fair value and credit risk" w:id="289"/>
      <w:bookmarkEnd w:id="289"/>
      <w:r>
        <w:rPr/>
      </w:r>
      <w:r>
        <w:rPr/>
        <w:t>The other amounts within receivables do not contain impaired assets that are not past due. Based on the credit history, it is expected that these amounts will be received when due.</w:t>
      </w:r>
    </w:p>
    <w:p>
      <w:pPr>
        <w:pStyle w:val="BodyText"/>
      </w:pPr>
    </w:p>
    <w:p>
      <w:pPr>
        <w:pStyle w:val="BodyText"/>
      </w:pPr>
    </w:p>
    <w:p>
      <w:pPr>
        <w:pStyle w:val="BodyText"/>
      </w:pPr>
    </w:p>
    <w:p>
      <w:pPr>
        <w:pStyle w:val="BodyText"/>
        <w:spacing w:before="7"/>
        <w:rPr>
          <w:sz w:val="15"/>
        </w:rPr>
      </w:pPr>
    </w:p>
    <w:p>
      <w:pPr>
        <w:pStyle w:val="Heading8"/>
        <w:ind w:left="1430"/>
      </w:pPr>
      <w:r>
        <w:rPr/>
        <w:t>(a)   Fair value and credit risk</w:t>
      </w:r>
    </w:p>
    <w:p>
      <w:pPr>
        <w:pStyle w:val="BodyText"/>
        <w:spacing w:before="4"/>
        <w:rPr>
          <w:b/>
          <w:sz w:val="25"/>
        </w:rPr>
      </w:pPr>
    </w:p>
    <w:p>
      <w:pPr>
        <w:pStyle w:val="BodyText"/>
        <w:ind w:left="1824"/>
      </w:pPr>
      <w:r>
        <w:rPr/>
        <w:t>Due to the short term nature of these receivables, their carrying amount is assumed to approximate their fair value.</w:t>
      </w:r>
    </w:p>
    <w:p>
      <w:pPr>
        <w:pStyle w:val="BodyText"/>
        <w:spacing w:before="11"/>
        <w:rPr>
          <w:sz w:val="24"/>
        </w:rPr>
      </w:pPr>
    </w:p>
    <w:p>
      <w:pPr>
        <w:pStyle w:val="BodyText"/>
        <w:ind w:left="1824" w:right="1375"/>
      </w:pPr>
      <w:r>
        <w:rPr/>
        <w:t>The maximum exposure to credit risk at the end of each reporting period is the carrying amount of each class of receivables mentioned above. Refer to note 2 for more information on the risk management policy of the Company and the credit quality of the entity's trade receivables.</w:t>
      </w:r>
    </w:p>
    <w:p>
      <w:pPr>
        <w:spacing w:after="0"/>
        <w:sectPr>
          <w:pgSz w:w="12750" w:h="17680"/>
          <w:pgMar w:header="0" w:footer="867" w:top="1880" w:bottom="1120" w:left="0" w:right="0"/>
        </w:sectPr>
      </w:pPr>
    </w:p>
    <w:p>
      <w:pPr>
        <w:pStyle w:val="BodyText"/>
        <w:spacing w:before="1"/>
        <w:rPr>
          <w:sz w:val="24"/>
        </w:rPr>
      </w:pPr>
    </w:p>
    <w:p>
      <w:pPr>
        <w:pStyle w:val="Heading4"/>
        <w:spacing w:before="65"/>
      </w:pPr>
      <w:bookmarkStart w:name="Inventories" w:id="290"/>
      <w:bookmarkEnd w:id="290"/>
      <w:r>
        <w:rPr>
          <w:b w:val="0"/>
        </w:rPr>
      </w:r>
      <w:r>
        <w:rPr/>
        <w:t>Notes to the Financial Statements</w:t>
      </w:r>
    </w:p>
    <w:p>
      <w:pPr>
        <w:pStyle w:val="Heading7"/>
        <w:spacing w:before="53"/>
      </w:pPr>
      <w:r>
        <w:rPr/>
        <w:t>For the Year Ended 31 December 2016</w:t>
      </w:r>
    </w:p>
    <w:p>
      <w:pPr>
        <w:pStyle w:val="BodyText"/>
        <w:spacing w:before="4"/>
        <w:rPr>
          <w:b/>
        </w:rPr>
      </w:pPr>
    </w:p>
    <w:p>
      <w:pPr>
        <w:spacing w:after="0"/>
        <w:sectPr>
          <w:pgSz w:w="12750" w:h="17680"/>
          <w:pgMar w:header="0" w:footer="867" w:top="1880" w:bottom="1120" w:left="0" w:right="0"/>
        </w:sectPr>
      </w:pPr>
    </w:p>
    <w:p>
      <w:pPr>
        <w:pStyle w:val="Heading8"/>
        <w:numPr>
          <w:ilvl w:val="0"/>
          <w:numId w:val="64"/>
        </w:numPr>
        <w:tabs>
          <w:tab w:pos="1824" w:val="left" w:leader="none"/>
        </w:tabs>
        <w:spacing w:line="240" w:lineRule="auto" w:before="77" w:after="0"/>
        <w:ind w:left="1824" w:right="0" w:hanging="394"/>
        <w:jc w:val="left"/>
      </w:pPr>
      <w:r>
        <w:rPr/>
        <w:t>Inventories</w:t>
      </w:r>
    </w:p>
    <w:p>
      <w:pPr>
        <w:pStyle w:val="BodyText"/>
        <w:rPr>
          <w:b/>
        </w:rPr>
      </w:pPr>
    </w:p>
    <w:p>
      <w:pPr>
        <w:pStyle w:val="BodyText"/>
        <w:rPr>
          <w:b/>
        </w:rPr>
      </w:pPr>
    </w:p>
    <w:p>
      <w:pPr>
        <w:pStyle w:val="BodyText"/>
        <w:spacing w:before="3"/>
        <w:rPr>
          <w:b/>
          <w:sz w:val="21"/>
        </w:rPr>
      </w:pPr>
    </w:p>
    <w:p>
      <w:pPr>
        <w:spacing w:before="1"/>
        <w:ind w:left="1824" w:right="-13" w:firstLine="0"/>
        <w:jc w:val="left"/>
        <w:rPr>
          <w:b/>
          <w:sz w:val="18"/>
        </w:rPr>
      </w:pPr>
      <w:r>
        <w:rPr>
          <w:b/>
          <w:sz w:val="18"/>
        </w:rPr>
        <w:t>Finished goods</w:t>
      </w:r>
    </w:p>
    <w:p>
      <w:pPr>
        <w:pStyle w:val="BodyText"/>
        <w:rPr>
          <w:b/>
        </w:rPr>
      </w:pPr>
      <w:r>
        <w:rPr/>
        <w:br w:type="column"/>
      </w:r>
      <w:r>
        <w:rPr>
          <w:b/>
        </w:rPr>
      </w:r>
    </w:p>
    <w:p>
      <w:pPr>
        <w:spacing w:before="110"/>
        <w:ind w:left="0" w:right="0" w:firstLine="0"/>
        <w:jc w:val="right"/>
        <w:rPr>
          <w:b/>
          <w:sz w:val="18"/>
        </w:rPr>
      </w:pPr>
      <w:r>
        <w:rPr>
          <w:b/>
          <w:sz w:val="18"/>
        </w:rPr>
        <w:t>2016</w:t>
      </w:r>
    </w:p>
    <w:p>
      <w:pPr>
        <w:spacing w:before="66"/>
        <w:ind w:left="0" w:right="149" w:firstLine="0"/>
        <w:jc w:val="right"/>
        <w:rPr>
          <w:b/>
          <w:sz w:val="18"/>
        </w:rPr>
      </w:pPr>
      <w:r>
        <w:rPr>
          <w:b/>
          <w:w w:val="99"/>
          <w:sz w:val="18"/>
        </w:rPr>
        <w:t>$</w:t>
      </w:r>
    </w:p>
    <w:p>
      <w:pPr>
        <w:pStyle w:val="BodyText"/>
        <w:rPr>
          <w:b/>
        </w:rPr>
      </w:pPr>
      <w:r>
        <w:rPr/>
        <w:br w:type="column"/>
      </w:r>
      <w:r>
        <w:rPr>
          <w:b/>
        </w:rPr>
      </w:r>
    </w:p>
    <w:p>
      <w:pPr>
        <w:spacing w:before="110"/>
        <w:ind w:left="826" w:right="1850" w:firstLine="0"/>
        <w:jc w:val="center"/>
        <w:rPr>
          <w:b/>
          <w:sz w:val="18"/>
        </w:rPr>
      </w:pPr>
      <w:r>
        <w:rPr>
          <w:b/>
          <w:sz w:val="18"/>
        </w:rPr>
        <w:t>2015</w:t>
      </w:r>
    </w:p>
    <w:p>
      <w:pPr>
        <w:spacing w:before="66"/>
        <w:ind w:left="0" w:right="1025" w:firstLine="0"/>
        <w:jc w:val="center"/>
        <w:rPr>
          <w:b/>
          <w:sz w:val="18"/>
        </w:rPr>
      </w:pPr>
      <w:r>
        <w:rPr>
          <w:b/>
          <w:w w:val="99"/>
          <w:sz w:val="18"/>
        </w:rPr>
        <w:t>$</w:t>
      </w:r>
    </w:p>
    <w:p>
      <w:pPr>
        <w:spacing w:after="0"/>
        <w:jc w:val="center"/>
        <w:rPr>
          <w:sz w:val="18"/>
        </w:rPr>
        <w:sectPr>
          <w:type w:val="continuous"/>
          <w:pgSz w:w="12750" w:h="17680"/>
          <w:pgMar w:top="1660" w:bottom="0" w:left="0" w:right="0"/>
          <w:cols w:num="3" w:equalWidth="0">
            <w:col w:w="3161" w:space="4598"/>
            <w:col w:w="1834" w:space="40"/>
            <w:col w:w="3117"/>
          </w:cols>
        </w:sectPr>
      </w:pPr>
    </w:p>
    <w:p>
      <w:pPr>
        <w:pStyle w:val="BodyText"/>
        <w:tabs>
          <w:tab w:pos="9398" w:val="left" w:leader="none"/>
          <w:tab w:pos="10444" w:val="left" w:leader="none"/>
        </w:tabs>
        <w:spacing w:before="28"/>
        <w:ind w:left="1824"/>
      </w:pPr>
      <w:r>
        <w:rPr/>
        <w:t>At net</w:t>
      </w:r>
      <w:r>
        <w:rPr>
          <w:spacing w:val="1"/>
        </w:rPr>
        <w:t> </w:t>
      </w:r>
      <w:r>
        <w:rPr/>
        <w:t>realisable value</w:t>
        <w:tab/>
      </w:r>
      <w:r>
        <w:rPr>
          <w:b/>
        </w:rPr>
        <w:t>14,753</w:t>
        <w:tab/>
      </w:r>
      <w:r>
        <w:rPr/>
        <w:t>2,954,192</w:t>
      </w:r>
    </w:p>
    <w:p>
      <w:pPr>
        <w:pStyle w:val="BodyText"/>
        <w:tabs>
          <w:tab w:pos="9751" w:val="left" w:leader="none"/>
          <w:tab w:pos="10636" w:val="left" w:leader="none"/>
        </w:tabs>
        <w:spacing w:before="57"/>
        <w:ind w:left="1823"/>
      </w:pPr>
      <w:r>
        <w:rPr/>
        <w:pict>
          <v:group style="position:absolute;margin-left:437.204987pt;margin-top:14.456897pt;width:129.75pt;height:1pt;mso-position-horizontal-relative:page;mso-position-vertical-relative:paragraph;z-index:10936;mso-wrap-distance-left:0;mso-wrap-distance-right:0" coordorigin="8744,289" coordsize="2595,20">
            <v:line style="position:absolute" from="8746,291" to="10042,291" stroked="true" strokeweight=".12pt" strokecolor="#000000"/>
            <v:line style="position:absolute" from="8746,293" to="10042,293" stroked="true" strokeweight=".12pt" strokecolor="#000000"/>
            <v:line style="position:absolute" from="8746,295" to="10042,295" stroked="true" strokeweight=".12pt" strokecolor="#000000"/>
            <v:line style="position:absolute" from="8746,298" to="10042,298" stroked="true" strokeweight=".12pt" strokecolor="#000000"/>
            <v:line style="position:absolute" from="8746,300" to="10042,300" stroked="true" strokeweight=".12pt" strokecolor="#000000"/>
            <v:line style="position:absolute" from="8746,303" to="10042,303" stroked="true" strokeweight=".12pt" strokecolor="#000000"/>
            <v:line style="position:absolute" from="8746,305" to="10042,305" stroked="true" strokeweight=".12pt" strokecolor="#000000"/>
            <v:line style="position:absolute" from="8746,307" to="10042,307" stroked="true" strokeweight=".12pt" strokecolor="#000000"/>
            <v:line style="position:absolute" from="10042,291" to="11338,291" stroked="true" strokeweight=".12pt" strokecolor="#000000"/>
            <v:line style="position:absolute" from="10042,293" to="11338,293" stroked="true" strokeweight=".12pt" strokecolor="#000000"/>
            <v:line style="position:absolute" from="10042,295" to="11338,295" stroked="true" strokeweight=".12pt" strokecolor="#000000"/>
            <v:line style="position:absolute" from="10042,298" to="11338,298" stroked="true" strokeweight=".12pt" strokecolor="#000000"/>
            <v:line style="position:absolute" from="10042,300" to="11338,300" stroked="true" strokeweight=".12pt" strokecolor="#000000"/>
            <v:line style="position:absolute" from="10042,303" to="11338,303" stroked="true" strokeweight=".12pt" strokecolor="#000000"/>
            <v:line style="position:absolute" from="10042,305" to="11338,305" stroked="true" strokeweight=".12pt" strokecolor="#000000"/>
            <v:line style="position:absolute" from="10042,307" to="11338,307" stroked="true" strokeweight=".12pt" strokecolor="#000000"/>
            <v:line style="position:absolute" from="8746,291" to="10042,291" stroked="true" strokeweight=".12pt" strokecolor="#000000"/>
            <v:line style="position:absolute" from="8746,293" to="10042,293" stroked="true" strokeweight=".12pt" strokecolor="#000000"/>
            <v:line style="position:absolute" from="8746,295" to="10042,295" stroked="true" strokeweight=".12pt" strokecolor="#000000"/>
            <v:line style="position:absolute" from="8746,298" to="10042,298" stroked="true" strokeweight=".12pt" strokecolor="#000000"/>
            <v:line style="position:absolute" from="8746,300" to="10042,300" stroked="true" strokeweight=".12pt" strokecolor="#000000"/>
            <v:line style="position:absolute" from="8746,303" to="10042,303" stroked="true" strokeweight=".12pt" strokecolor="#000000"/>
            <v:line style="position:absolute" from="8746,305" to="10042,305" stroked="true" strokeweight=".12pt" strokecolor="#000000"/>
            <v:line style="position:absolute" from="8746,307" to="10042,307" stroked="true" strokeweight=".12pt" strokecolor="#000000"/>
            <v:line style="position:absolute" from="10042,291" to="11338,291" stroked="true" strokeweight=".12pt" strokecolor="#000000"/>
            <v:line style="position:absolute" from="10042,293" to="11338,293" stroked="true" strokeweight=".12pt" strokecolor="#000000"/>
            <v:line style="position:absolute" from="10042,295" to="11338,295" stroked="true" strokeweight=".12pt" strokecolor="#000000"/>
            <v:line style="position:absolute" from="10042,298" to="11338,298" stroked="true" strokeweight=".12pt" strokecolor="#000000"/>
            <v:line style="position:absolute" from="10042,300" to="11338,300" stroked="true" strokeweight=".12pt" strokecolor="#000000"/>
            <v:line style="position:absolute" from="10042,303" to="11338,303" stroked="true" strokeweight=".12pt" strokecolor="#000000"/>
            <v:line style="position:absolute" from="10042,305" to="11338,305" stroked="true" strokeweight=".12pt" strokecolor="#000000"/>
            <v:line style="position:absolute" from="10042,307" to="11338,307" stroked="true" strokeweight=".12pt" strokecolor="#000000"/>
            <w10:wrap type="topAndBottom"/>
          </v:group>
        </w:pict>
      </w:r>
      <w:r>
        <w:rPr/>
        <w:t>Provision for impairment</w:t>
        <w:tab/>
      </w:r>
      <w:r>
        <w:rPr>
          <w:b/>
        </w:rPr>
        <w:t>-</w:t>
        <w:tab/>
      </w:r>
      <w:r>
        <w:rPr/>
        <w:t>(66,000)</w:t>
      </w:r>
    </w:p>
    <w:p>
      <w:pPr>
        <w:tabs>
          <w:tab w:pos="1046" w:val="left" w:leader="none"/>
        </w:tabs>
        <w:spacing w:before="86"/>
        <w:ind w:left="0" w:right="1491" w:firstLine="0"/>
        <w:jc w:val="right"/>
        <w:rPr>
          <w:sz w:val="18"/>
        </w:rPr>
      </w:pPr>
      <w:r>
        <w:rPr>
          <w:b/>
          <w:sz w:val="18"/>
        </w:rPr>
        <w:t>14,753</w:t>
        <w:tab/>
      </w:r>
      <w:r>
        <w:rPr>
          <w:spacing w:val="-1"/>
          <w:sz w:val="18"/>
        </w:rPr>
        <w:t>2,888,192</w:t>
      </w:r>
    </w:p>
    <w:p>
      <w:pPr>
        <w:pStyle w:val="BodyText"/>
        <w:spacing w:line="48" w:lineRule="exact"/>
        <w:ind w:left="8744"/>
        <w:rPr>
          <w:sz w:val="4"/>
        </w:rPr>
      </w:pPr>
      <w:r>
        <w:rPr>
          <w:position w:val="0"/>
          <w:sz w:val="4"/>
        </w:rPr>
        <w:pict>
          <v:group style="width:129.75pt;height:2.450pt;mso-position-horizontal-relative:char;mso-position-vertical-relative:line" coordorigin="0,0" coordsize="2595,49">
            <v:line style="position:absolute" from="2,2" to="1298,2" stroked="true" strokeweight=".12pt" strokecolor="#000000"/>
            <v:line style="position:absolute" from="2,4" to="1298,4" stroked="true" strokeweight=".12pt" strokecolor="#000000"/>
            <v:line style="position:absolute" from="2,6" to="1298,6" stroked="true" strokeweight=".12pt" strokecolor="#000000"/>
            <v:line style="position:absolute" from="2,9" to="1298,9" stroked="true" strokeweight=".12pt" strokecolor="#000000"/>
            <v:line style="position:absolute" from="2,11" to="1298,11" stroked="true" strokeweight=".12pt" strokecolor="#000000"/>
            <v:line style="position:absolute" from="2,14" to="1298,14" stroked="true" strokeweight=".12pt" strokecolor="#000000"/>
            <v:line style="position:absolute" from="2,35" to="1298,35" stroked="true" strokeweight=".12pt" strokecolor="#000000"/>
            <v:line style="position:absolute" from="2,38" to="1298,38" stroked="true" strokeweight=".12pt" strokecolor="#000000"/>
            <v:line style="position:absolute" from="2,40" to="1298,40" stroked="true" strokeweight=".12pt" strokecolor="#000000"/>
            <v:line style="position:absolute" from="2,42" to="1298,42" stroked="true" strokeweight=".12pt" strokecolor="#000000"/>
            <v:line style="position:absolute" from="2,45" to="1298,45" stroked="true" strokeweight=".12pt" strokecolor="#000000"/>
            <v:line style="position:absolute" from="2,47" to="1298,47" stroked="true" strokeweight=".12pt" strokecolor="#000000"/>
            <v:line style="position:absolute" from="1298,2" to="2594,2" stroked="true" strokeweight=".12pt" strokecolor="#000000"/>
            <v:line style="position:absolute" from="1298,4" to="2594,4" stroked="true" strokeweight=".12pt" strokecolor="#000000"/>
            <v:line style="position:absolute" from="1298,6" to="2594,6" stroked="true" strokeweight=".12pt" strokecolor="#000000"/>
            <v:line style="position:absolute" from="1298,9" to="2594,9" stroked="true" strokeweight=".12pt" strokecolor="#000000"/>
            <v:line style="position:absolute" from="1298,11" to="2594,11" stroked="true" strokeweight=".12pt" strokecolor="#000000"/>
            <v:line style="position:absolute" from="1298,14" to="2594,14" stroked="true" strokeweight=".12pt" strokecolor="#000000"/>
            <v:line style="position:absolute" from="1298,35" to="2594,35" stroked="true" strokeweight=".12pt" strokecolor="#000000"/>
            <v:line style="position:absolute" from="1298,38" to="2594,38" stroked="true" strokeweight=".12pt" strokecolor="#000000"/>
            <v:line style="position:absolute" from="1298,40" to="2594,40" stroked="true" strokeweight=".12pt" strokecolor="#000000"/>
            <v:line style="position:absolute" from="1298,42" to="2594,42" stroked="true" strokeweight=".12pt" strokecolor="#000000"/>
            <v:line style="position:absolute" from="1298,45" to="2594,45" stroked="true" strokeweight=".12pt" strokecolor="#000000"/>
            <v:line style="position:absolute" from="1298,47" to="2594,47" stroked="true" strokeweight=".12pt" strokecolor="#000000"/>
          </v:group>
        </w:pict>
      </w:r>
      <w:r>
        <w:rPr>
          <w:position w:val="0"/>
          <w:sz w:val="4"/>
        </w:rPr>
      </w:r>
    </w:p>
    <w:p>
      <w:pPr>
        <w:pStyle w:val="BodyText"/>
        <w:spacing w:before="11"/>
        <w:rPr>
          <w:sz w:val="19"/>
        </w:rPr>
      </w:pPr>
    </w:p>
    <w:p>
      <w:pPr>
        <w:pStyle w:val="Heading8"/>
        <w:spacing w:before="77"/>
        <w:ind w:left="1824"/>
      </w:pPr>
      <w:r>
        <w:rPr/>
        <w:t>Provision for impairment</w:t>
      </w:r>
    </w:p>
    <w:p>
      <w:pPr>
        <w:pStyle w:val="BodyText"/>
        <w:spacing w:before="4"/>
        <w:rPr>
          <w:b/>
          <w:sz w:val="25"/>
        </w:rPr>
      </w:pPr>
    </w:p>
    <w:p>
      <w:pPr>
        <w:pStyle w:val="BodyText"/>
        <w:ind w:left="1824" w:right="1375"/>
      </w:pPr>
      <w:bookmarkStart w:name=" Movement in the allowance for impairmen" w:id="291"/>
      <w:bookmarkEnd w:id="291"/>
      <w:r>
        <w:rPr/>
      </w:r>
      <w:r>
        <w:rPr/>
        <w:t>Provision for impairment of inventories to net realisable value recognised as an expense during the year ended 31 December 2016 amounted to $NIL  (2015: $66,000).</w:t>
      </w:r>
    </w:p>
    <w:p>
      <w:pPr>
        <w:pStyle w:val="BodyText"/>
        <w:spacing w:before="3"/>
      </w:pPr>
    </w:p>
    <w:p>
      <w:pPr>
        <w:spacing w:after="0"/>
        <w:sectPr>
          <w:type w:val="continuous"/>
          <w:pgSz w:w="12750" w:h="17680"/>
          <w:pgMar w:top="1660" w:bottom="0" w:left="0" w:right="0"/>
        </w:sectPr>
      </w:pPr>
    </w:p>
    <w:p>
      <w:pPr>
        <w:pStyle w:val="Heading8"/>
        <w:spacing w:before="77"/>
        <w:ind w:left="1824"/>
      </w:pPr>
      <w:r>
        <w:rPr/>
        <w:t>Movement in the allowance for impairment</w:t>
      </w:r>
    </w:p>
    <w:p>
      <w:pPr>
        <w:pStyle w:val="BodyText"/>
        <w:rPr>
          <w:b/>
        </w:rPr>
      </w:pPr>
      <w:r>
        <w:rPr/>
        <w:br w:type="column"/>
      </w:r>
      <w:r>
        <w:rPr>
          <w:b/>
        </w:rPr>
      </w:r>
    </w:p>
    <w:p>
      <w:pPr>
        <w:spacing w:before="139"/>
        <w:ind w:left="0" w:right="0" w:firstLine="0"/>
        <w:jc w:val="right"/>
        <w:rPr>
          <w:b/>
          <w:sz w:val="18"/>
        </w:rPr>
      </w:pPr>
      <w:r>
        <w:rPr>
          <w:b/>
          <w:sz w:val="18"/>
        </w:rPr>
        <w:t>2016</w:t>
      </w:r>
    </w:p>
    <w:p>
      <w:pPr>
        <w:spacing w:before="66"/>
        <w:ind w:left="0" w:right="149" w:firstLine="0"/>
        <w:jc w:val="right"/>
        <w:rPr>
          <w:b/>
          <w:sz w:val="18"/>
        </w:rPr>
      </w:pPr>
      <w:r>
        <w:rPr>
          <w:b/>
          <w:w w:val="99"/>
          <w:sz w:val="18"/>
        </w:rPr>
        <w:t>$</w:t>
      </w:r>
    </w:p>
    <w:p>
      <w:pPr>
        <w:pStyle w:val="BodyText"/>
        <w:rPr>
          <w:b/>
        </w:rPr>
      </w:pPr>
      <w:r>
        <w:rPr/>
        <w:br w:type="column"/>
      </w:r>
      <w:r>
        <w:rPr>
          <w:b/>
        </w:rPr>
      </w:r>
    </w:p>
    <w:p>
      <w:pPr>
        <w:spacing w:before="139"/>
        <w:ind w:left="834" w:right="1844" w:firstLine="0"/>
        <w:jc w:val="center"/>
        <w:rPr>
          <w:b/>
          <w:sz w:val="18"/>
        </w:rPr>
      </w:pPr>
      <w:r>
        <w:rPr>
          <w:b/>
          <w:sz w:val="18"/>
        </w:rPr>
        <w:t>2015</w:t>
      </w:r>
    </w:p>
    <w:p>
      <w:pPr>
        <w:spacing w:before="66"/>
        <w:ind w:left="0" w:right="1011" w:firstLine="0"/>
        <w:jc w:val="center"/>
        <w:rPr>
          <w:b/>
          <w:sz w:val="18"/>
        </w:rPr>
      </w:pPr>
      <w:r>
        <w:rPr>
          <w:b/>
          <w:w w:val="99"/>
          <w:sz w:val="18"/>
        </w:rPr>
        <w:t>$</w:t>
      </w:r>
    </w:p>
    <w:p>
      <w:pPr>
        <w:spacing w:after="0"/>
        <w:jc w:val="center"/>
        <w:rPr>
          <w:sz w:val="18"/>
        </w:rPr>
        <w:sectPr>
          <w:type w:val="continuous"/>
          <w:pgSz w:w="12750" w:h="17680"/>
          <w:pgMar w:top="1660" w:bottom="0" w:left="0" w:right="0"/>
          <w:cols w:num="3" w:equalWidth="0">
            <w:col w:w="5485" w:space="1871"/>
            <w:col w:w="2228" w:space="40"/>
            <w:col w:w="3126"/>
          </w:cols>
        </w:sectPr>
      </w:pPr>
    </w:p>
    <w:p>
      <w:pPr>
        <w:tabs>
          <w:tab w:pos="9403" w:val="left" w:leader="none"/>
          <w:tab w:pos="11051" w:val="left" w:leader="none"/>
        </w:tabs>
        <w:spacing w:before="93"/>
        <w:ind w:left="1824" w:right="0" w:firstLine="0"/>
        <w:jc w:val="left"/>
        <w:rPr>
          <w:sz w:val="18"/>
        </w:rPr>
      </w:pPr>
      <w:r>
        <w:rPr>
          <w:sz w:val="18"/>
        </w:rPr>
        <w:t>At 1 January</w:t>
        <w:tab/>
      </w:r>
      <w:r>
        <w:rPr>
          <w:b/>
          <w:sz w:val="18"/>
        </w:rPr>
        <w:t>66,000</w:t>
        <w:tab/>
      </w:r>
      <w:r>
        <w:rPr>
          <w:sz w:val="18"/>
        </w:rPr>
        <w:t>-</w:t>
      </w:r>
    </w:p>
    <w:p>
      <w:pPr>
        <w:tabs>
          <w:tab w:pos="9343" w:val="left" w:leader="none"/>
          <w:tab w:pos="11051" w:val="left" w:leader="none"/>
        </w:tabs>
        <w:spacing w:before="57"/>
        <w:ind w:left="1824" w:right="0" w:firstLine="0"/>
        <w:jc w:val="left"/>
        <w:rPr>
          <w:sz w:val="18"/>
        </w:rPr>
      </w:pPr>
      <w:r>
        <w:rPr>
          <w:sz w:val="18"/>
        </w:rPr>
        <w:t>Provision used during</w:t>
      </w:r>
      <w:r>
        <w:rPr>
          <w:spacing w:val="2"/>
          <w:sz w:val="18"/>
        </w:rPr>
        <w:t> </w:t>
      </w:r>
      <w:r>
        <w:rPr>
          <w:sz w:val="18"/>
        </w:rPr>
        <w:t>the year</w:t>
        <w:tab/>
      </w:r>
      <w:r>
        <w:rPr>
          <w:b/>
          <w:sz w:val="18"/>
        </w:rPr>
        <w:t>(66,000)</w:t>
        <w:tab/>
      </w:r>
      <w:r>
        <w:rPr>
          <w:sz w:val="18"/>
        </w:rPr>
        <w:t>-</w:t>
      </w:r>
    </w:p>
    <w:p>
      <w:pPr>
        <w:pStyle w:val="BodyText"/>
        <w:tabs>
          <w:tab w:pos="9755" w:val="left" w:leader="none"/>
          <w:tab w:pos="10699" w:val="left" w:leader="none"/>
        </w:tabs>
        <w:spacing w:before="57" w:after="23"/>
        <w:ind w:left="1824"/>
      </w:pPr>
      <w:bookmarkStart w:name="Disposal group classified as held for sa" w:id="292"/>
      <w:bookmarkEnd w:id="292"/>
      <w:r>
        <w:rPr/>
      </w:r>
      <w:r>
        <w:rPr/>
        <w:t>Allowance for stock obsolescence recognised during</w:t>
      </w:r>
      <w:r>
        <w:rPr>
          <w:spacing w:val="5"/>
        </w:rPr>
        <w:t> </w:t>
      </w:r>
      <w:r>
        <w:rPr/>
        <w:t>the year</w:t>
        <w:tab/>
      </w:r>
      <w:r>
        <w:rPr>
          <w:b/>
        </w:rPr>
        <w:t>-</w:t>
        <w:tab/>
      </w:r>
      <w:r>
        <w:rPr/>
        <w:t>66,000</w:t>
      </w:r>
    </w:p>
    <w:p>
      <w:pPr>
        <w:pStyle w:val="BodyText"/>
        <w:spacing w:line="20" w:lineRule="exact"/>
        <w:ind w:left="8746"/>
        <w:rPr>
          <w:sz w:val="2"/>
        </w:rPr>
      </w:pPr>
      <w:r>
        <w:rPr>
          <w:sz w:val="2"/>
        </w:rPr>
        <w:pict>
          <v:group style="width:129.75pt;height:1pt;mso-position-horizontal-relative:char;mso-position-vertical-relative:line" coordorigin="0,0" coordsize="2595,20">
            <v:line style="position:absolute" from="2,2" to="1298,2" stroked="true" strokeweight=".12pt" strokecolor="#000000"/>
            <v:line style="position:absolute" from="2,4" to="1298,4" stroked="true" strokeweight=".12pt" strokecolor="#000000"/>
            <v:line style="position:absolute" from="2,6" to="1298,6" stroked="true" strokeweight=".12pt" strokecolor="#000000"/>
            <v:line style="position:absolute" from="2,9" to="1298,9" stroked="true" strokeweight=".12pt" strokecolor="#000000"/>
            <v:line style="position:absolute" from="2,11" to="1298,11" stroked="true" strokeweight=".12pt" strokecolor="#000000"/>
            <v:line style="position:absolute" from="2,14" to="1298,14" stroked="true" strokeweight=".12pt" strokecolor="#000000"/>
            <v:line style="position:absolute" from="2,16" to="1298,16" stroked="true" strokeweight=".12pt" strokecolor="#000000"/>
            <v:line style="position:absolute" from="2,18" to="1298,18" stroked="true" strokeweight=".12pt" strokecolor="#000000"/>
            <v:line style="position:absolute" from="1298,2" to="2594,2" stroked="true" strokeweight=".12pt" strokecolor="#000000"/>
            <v:line style="position:absolute" from="1298,4" to="2594,4" stroked="true" strokeweight=".12pt" strokecolor="#000000"/>
            <v:line style="position:absolute" from="1298,6" to="2594,6" stroked="true" strokeweight=".12pt" strokecolor="#000000"/>
            <v:line style="position:absolute" from="1298,9" to="2594,9" stroked="true" strokeweight=".12pt" strokecolor="#000000"/>
            <v:line style="position:absolute" from="1298,11" to="2594,11" stroked="true" strokeweight=".12pt" strokecolor="#000000"/>
            <v:line style="position:absolute" from="1298,14" to="2594,14" stroked="true" strokeweight=".12pt" strokecolor="#000000"/>
            <v:line style="position:absolute" from="1298,16" to="2594,16" stroked="true" strokeweight=".12pt" strokecolor="#000000"/>
            <v:line style="position:absolute" from="1298,18" to="2594,18" stroked="true" strokeweight=".12pt" strokecolor="#000000"/>
          </v:group>
        </w:pict>
      </w:r>
      <w:r>
        <w:rPr>
          <w:sz w:val="2"/>
        </w:rPr>
      </w:r>
    </w:p>
    <w:p>
      <w:pPr>
        <w:tabs>
          <w:tab w:pos="9755" w:val="left" w:leader="none"/>
          <w:tab w:pos="10699" w:val="left" w:leader="none"/>
        </w:tabs>
        <w:spacing w:before="115"/>
        <w:ind w:left="1824" w:right="0" w:firstLine="0"/>
        <w:jc w:val="left"/>
        <w:rPr>
          <w:sz w:val="18"/>
        </w:rPr>
      </w:pPr>
      <w:r>
        <w:rPr/>
        <w:drawing>
          <wp:anchor distT="0" distB="0" distL="0" distR="0" allowOverlap="1" layoutInCell="1" locked="0" behindDoc="0" simplePos="0" relativeHeight="11080">
            <wp:simplePos x="0" y="0"/>
            <wp:positionH relativeFrom="page">
              <wp:posOffset>-1587</wp:posOffset>
            </wp:positionH>
            <wp:positionV relativeFrom="paragraph">
              <wp:posOffset>284021</wp:posOffset>
            </wp:positionV>
            <wp:extent cx="135159" cy="154019"/>
            <wp:effectExtent l="0" t="0" r="0" b="0"/>
            <wp:wrapNone/>
            <wp:docPr id="727" name="image13.png" descr=""/>
            <wp:cNvGraphicFramePr>
              <a:graphicFrameLocks noChangeAspect="1"/>
            </wp:cNvGraphicFramePr>
            <a:graphic>
              <a:graphicData uri="http://schemas.openxmlformats.org/drawingml/2006/picture">
                <pic:pic>
                  <pic:nvPicPr>
                    <pic:cNvPr id="728" name="image13.png"/>
                    <pic:cNvPicPr/>
                  </pic:nvPicPr>
                  <pic:blipFill>
                    <a:blip r:embed="rId18" cstate="print"/>
                    <a:stretch>
                      <a:fillRect/>
                    </a:stretch>
                  </pic:blipFill>
                  <pic:spPr>
                    <a:xfrm>
                      <a:off x="0" y="0"/>
                      <a:ext cx="135159" cy="154019"/>
                    </a:xfrm>
                    <a:prstGeom prst="rect">
                      <a:avLst/>
                    </a:prstGeom>
                  </pic:spPr>
                </pic:pic>
              </a:graphicData>
            </a:graphic>
          </wp:anchor>
        </w:drawing>
      </w:r>
      <w:r>
        <w:rPr/>
        <w:drawing>
          <wp:anchor distT="0" distB="0" distL="0" distR="0" allowOverlap="1" layoutInCell="1" locked="0" behindDoc="0" simplePos="0" relativeHeight="11104">
            <wp:simplePos x="0" y="0"/>
            <wp:positionH relativeFrom="page">
              <wp:posOffset>7958429</wp:posOffset>
            </wp:positionH>
            <wp:positionV relativeFrom="paragraph">
              <wp:posOffset>284021</wp:posOffset>
            </wp:positionV>
            <wp:extent cx="135953" cy="155575"/>
            <wp:effectExtent l="0" t="0" r="0" b="0"/>
            <wp:wrapNone/>
            <wp:docPr id="729" name="image15.png" descr=""/>
            <wp:cNvGraphicFramePr>
              <a:graphicFrameLocks noChangeAspect="1"/>
            </wp:cNvGraphicFramePr>
            <a:graphic>
              <a:graphicData uri="http://schemas.openxmlformats.org/drawingml/2006/picture">
                <pic:pic>
                  <pic:nvPicPr>
                    <pic:cNvPr id="730" name="image15.png"/>
                    <pic:cNvPicPr/>
                  </pic:nvPicPr>
                  <pic:blipFill>
                    <a:blip r:embed="rId20" cstate="print"/>
                    <a:stretch>
                      <a:fillRect/>
                    </a:stretch>
                  </pic:blipFill>
                  <pic:spPr>
                    <a:xfrm>
                      <a:off x="0" y="0"/>
                      <a:ext cx="135953" cy="155575"/>
                    </a:xfrm>
                    <a:prstGeom prst="rect">
                      <a:avLst/>
                    </a:prstGeom>
                  </pic:spPr>
                </pic:pic>
              </a:graphicData>
            </a:graphic>
          </wp:anchor>
        </w:drawing>
      </w:r>
      <w:r>
        <w:rPr>
          <w:b/>
          <w:sz w:val="18"/>
        </w:rPr>
        <w:t>At</w:t>
      </w:r>
      <w:r>
        <w:rPr>
          <w:b/>
          <w:spacing w:val="-1"/>
          <w:sz w:val="18"/>
        </w:rPr>
        <w:t> </w:t>
      </w:r>
      <w:r>
        <w:rPr>
          <w:b/>
          <w:sz w:val="18"/>
        </w:rPr>
        <w:t>31</w:t>
      </w:r>
      <w:r>
        <w:rPr>
          <w:b/>
          <w:spacing w:val="-1"/>
          <w:sz w:val="18"/>
        </w:rPr>
        <w:t> </w:t>
      </w:r>
      <w:r>
        <w:rPr>
          <w:b/>
          <w:sz w:val="18"/>
        </w:rPr>
        <w:t>December</w:t>
        <w:tab/>
        <w:t>-</w:t>
        <w:tab/>
      </w:r>
      <w:r>
        <w:rPr>
          <w:sz w:val="18"/>
        </w:rPr>
        <w:t>66,000</w:t>
      </w:r>
    </w:p>
    <w:p>
      <w:pPr>
        <w:pStyle w:val="BodyText"/>
        <w:spacing w:line="48" w:lineRule="exact"/>
        <w:ind w:left="8746"/>
        <w:rPr>
          <w:sz w:val="4"/>
        </w:rPr>
      </w:pPr>
      <w:r>
        <w:rPr>
          <w:position w:val="0"/>
          <w:sz w:val="4"/>
        </w:rPr>
        <w:pict>
          <v:group style="width:129.75pt;height:2.450pt;mso-position-horizontal-relative:char;mso-position-vertical-relative:line" coordorigin="0,0" coordsize="2595,49">
            <v:line style="position:absolute" from="2,2" to="1298,2" stroked="true" strokeweight=".12pt" strokecolor="#000000"/>
            <v:line style="position:absolute" from="2,4" to="1298,4" stroked="true" strokeweight=".12pt" strokecolor="#000000"/>
            <v:line style="position:absolute" from="2,6" to="1298,6" stroked="true" strokeweight=".12pt" strokecolor="#000000"/>
            <v:line style="position:absolute" from="2,9" to="1298,9" stroked="true" strokeweight=".12pt" strokecolor="#000000"/>
            <v:line style="position:absolute" from="2,11" to="1298,11" stroked="true" strokeweight=".12pt" strokecolor="#000000"/>
            <v:line style="position:absolute" from="2,14" to="1298,14" stroked="true" strokeweight=".12pt" strokecolor="#000000"/>
            <v:line style="position:absolute" from="2,35" to="1298,35" stroked="true" strokeweight=".12pt" strokecolor="#000000"/>
            <v:line style="position:absolute" from="2,38" to="1298,38" stroked="true" strokeweight=".12pt" strokecolor="#000000"/>
            <v:line style="position:absolute" from="2,40" to="1298,40" stroked="true" strokeweight=".12pt" strokecolor="#000000"/>
            <v:line style="position:absolute" from="2,42" to="1298,42" stroked="true" strokeweight=".12pt" strokecolor="#000000"/>
            <v:line style="position:absolute" from="2,45" to="1298,45" stroked="true" strokeweight=".12pt" strokecolor="#000000"/>
            <v:line style="position:absolute" from="2,47" to="1298,47" stroked="true" strokeweight=".12pt" strokecolor="#000000"/>
            <v:line style="position:absolute" from="1298,2" to="2594,2" stroked="true" strokeweight=".12pt" strokecolor="#000000"/>
            <v:line style="position:absolute" from="1298,4" to="2594,4" stroked="true" strokeweight=".12pt" strokecolor="#000000"/>
            <v:line style="position:absolute" from="1298,6" to="2594,6" stroked="true" strokeweight=".12pt" strokecolor="#000000"/>
            <v:line style="position:absolute" from="1298,9" to="2594,9" stroked="true" strokeweight=".12pt" strokecolor="#000000"/>
            <v:line style="position:absolute" from="1298,11" to="2594,11" stroked="true" strokeweight=".12pt" strokecolor="#000000"/>
            <v:line style="position:absolute" from="1298,14" to="2594,14" stroked="true" strokeweight=".12pt" strokecolor="#000000"/>
            <v:line style="position:absolute" from="1298,35" to="2594,35" stroked="true" strokeweight=".12pt" strokecolor="#000000"/>
            <v:line style="position:absolute" from="1298,38" to="2594,38" stroked="true" strokeweight=".12pt" strokecolor="#000000"/>
            <v:line style="position:absolute" from="1298,40" to="2594,40" stroked="true" strokeweight=".12pt" strokecolor="#000000"/>
            <v:line style="position:absolute" from="1298,42" to="2594,42" stroked="true" strokeweight=".12pt" strokecolor="#000000"/>
            <v:line style="position:absolute" from="1298,45" to="2594,45" stroked="true" strokeweight=".12pt" strokecolor="#000000"/>
            <v:line style="position:absolute" from="1298,47" to="2594,47" stroked="true" strokeweight=".12pt" strokecolor="#000000"/>
          </v:group>
        </w:pict>
      </w:r>
      <w:r>
        <w:rPr>
          <w:position w:val="0"/>
          <w:sz w:val="4"/>
        </w:rPr>
      </w:r>
    </w:p>
    <w:p>
      <w:pPr>
        <w:pStyle w:val="BodyText"/>
        <w:rPr>
          <w:sz w:val="20"/>
        </w:rPr>
      </w:pPr>
    </w:p>
    <w:p>
      <w:pPr>
        <w:pStyle w:val="BodyText"/>
        <w:rPr>
          <w:sz w:val="20"/>
        </w:rPr>
      </w:pPr>
    </w:p>
    <w:p>
      <w:pPr>
        <w:pStyle w:val="BodyText"/>
        <w:spacing w:before="3"/>
        <w:rPr>
          <w:sz w:val="21"/>
        </w:rPr>
      </w:pPr>
    </w:p>
    <w:p>
      <w:pPr>
        <w:spacing w:after="0"/>
        <w:rPr>
          <w:sz w:val="21"/>
        </w:rPr>
        <w:sectPr>
          <w:type w:val="continuous"/>
          <w:pgSz w:w="12750" w:h="17680"/>
          <w:pgMar w:top="1660" w:bottom="0" w:left="0" w:right="0"/>
        </w:sectPr>
      </w:pPr>
    </w:p>
    <w:p>
      <w:pPr>
        <w:pStyle w:val="Heading8"/>
        <w:numPr>
          <w:ilvl w:val="0"/>
          <w:numId w:val="64"/>
        </w:numPr>
        <w:tabs>
          <w:tab w:pos="1824" w:val="left" w:leader="none"/>
        </w:tabs>
        <w:spacing w:line="240" w:lineRule="auto" w:before="77" w:after="0"/>
        <w:ind w:left="1824" w:right="0" w:hanging="394"/>
        <w:jc w:val="left"/>
      </w:pPr>
      <w:r>
        <w:rPr/>
        <w:t>Disposal group classified as held for sale ('NCA')</w:t>
      </w:r>
    </w:p>
    <w:p>
      <w:pPr>
        <w:pStyle w:val="BodyText"/>
        <w:rPr>
          <w:b/>
        </w:rPr>
      </w:pPr>
    </w:p>
    <w:p>
      <w:pPr>
        <w:pStyle w:val="BodyText"/>
        <w:rPr>
          <w:b/>
        </w:rPr>
      </w:pPr>
    </w:p>
    <w:p>
      <w:pPr>
        <w:pStyle w:val="BodyText"/>
        <w:spacing w:before="9"/>
        <w:rPr>
          <w:b/>
          <w:sz w:val="23"/>
        </w:rPr>
      </w:pPr>
    </w:p>
    <w:p>
      <w:pPr>
        <w:spacing w:before="0"/>
        <w:ind w:left="1824" w:right="0" w:firstLine="0"/>
        <w:jc w:val="left"/>
        <w:rPr>
          <w:b/>
          <w:sz w:val="18"/>
        </w:rPr>
      </w:pPr>
      <w:r>
        <w:rPr>
          <w:b/>
          <w:sz w:val="18"/>
        </w:rPr>
        <w:t>Current</w:t>
      </w:r>
    </w:p>
    <w:p>
      <w:pPr>
        <w:pStyle w:val="BodyText"/>
        <w:rPr>
          <w:b/>
        </w:rPr>
      </w:pPr>
      <w:r>
        <w:rPr/>
        <w:br w:type="column"/>
      </w:r>
      <w:r>
        <w:rPr>
          <w:b/>
        </w:rPr>
      </w:r>
    </w:p>
    <w:p>
      <w:pPr>
        <w:spacing w:before="139"/>
        <w:ind w:left="0" w:right="0" w:firstLine="0"/>
        <w:jc w:val="right"/>
        <w:rPr>
          <w:b/>
          <w:sz w:val="18"/>
        </w:rPr>
      </w:pPr>
      <w:r>
        <w:rPr>
          <w:b/>
          <w:sz w:val="18"/>
        </w:rPr>
        <w:t>2016</w:t>
      </w:r>
    </w:p>
    <w:p>
      <w:pPr>
        <w:spacing w:before="66"/>
        <w:ind w:left="0" w:right="149" w:firstLine="0"/>
        <w:jc w:val="right"/>
        <w:rPr>
          <w:b/>
          <w:sz w:val="18"/>
        </w:rPr>
      </w:pPr>
      <w:r>
        <w:rPr>
          <w:b/>
          <w:w w:val="99"/>
          <w:sz w:val="18"/>
        </w:rPr>
        <w:t>$</w:t>
      </w:r>
    </w:p>
    <w:p>
      <w:pPr>
        <w:pStyle w:val="BodyText"/>
        <w:rPr>
          <w:b/>
        </w:rPr>
      </w:pPr>
      <w:r>
        <w:rPr/>
        <w:br w:type="column"/>
      </w:r>
      <w:r>
        <w:rPr>
          <w:b/>
        </w:rPr>
      </w:r>
    </w:p>
    <w:p>
      <w:pPr>
        <w:spacing w:before="139"/>
        <w:ind w:left="850" w:right="1836" w:firstLine="0"/>
        <w:jc w:val="center"/>
        <w:rPr>
          <w:b/>
          <w:sz w:val="18"/>
        </w:rPr>
      </w:pPr>
      <w:r>
        <w:rPr>
          <w:b/>
          <w:sz w:val="18"/>
        </w:rPr>
        <w:t>2015</w:t>
      </w:r>
    </w:p>
    <w:p>
      <w:pPr>
        <w:spacing w:before="66"/>
        <w:ind w:left="0" w:right="987" w:firstLine="0"/>
        <w:jc w:val="center"/>
        <w:rPr>
          <w:b/>
          <w:sz w:val="18"/>
        </w:rPr>
      </w:pPr>
      <w:r>
        <w:rPr>
          <w:b/>
          <w:w w:val="99"/>
          <w:sz w:val="18"/>
        </w:rPr>
        <w:t>$</w:t>
      </w:r>
    </w:p>
    <w:p>
      <w:pPr>
        <w:spacing w:after="0"/>
        <w:jc w:val="center"/>
        <w:rPr>
          <w:sz w:val="18"/>
        </w:rPr>
        <w:sectPr>
          <w:type w:val="continuous"/>
          <w:pgSz w:w="12750" w:h="17680"/>
          <w:pgMar w:top="1660" w:bottom="0" w:left="0" w:right="0"/>
          <w:cols w:num="3" w:equalWidth="0">
            <w:col w:w="6027" w:space="1722"/>
            <w:col w:w="1834" w:space="40"/>
            <w:col w:w="3127"/>
          </w:cols>
        </w:sectPr>
      </w:pPr>
    </w:p>
    <w:p>
      <w:pPr>
        <w:pStyle w:val="BodyText"/>
        <w:tabs>
          <w:tab w:pos="9302" w:val="left" w:leader="none"/>
          <w:tab w:pos="10595" w:val="left" w:leader="none"/>
        </w:tabs>
        <w:spacing w:before="30" w:after="23"/>
        <w:ind w:left="1824"/>
      </w:pPr>
      <w:r>
        <w:rPr/>
        <w:t>Disposal group relating to franchised</w:t>
      </w:r>
      <w:r>
        <w:rPr>
          <w:spacing w:val="4"/>
        </w:rPr>
        <w:t> </w:t>
      </w:r>
      <w:r>
        <w:rPr/>
        <w:t>Subway outlets</w:t>
        <w:tab/>
      </w:r>
      <w:r>
        <w:rPr>
          <w:b/>
        </w:rPr>
        <w:t>130,266</w:t>
        <w:tab/>
      </w:r>
      <w:r>
        <w:rPr/>
        <w:t>212,761</w:t>
      </w:r>
    </w:p>
    <w:p>
      <w:pPr>
        <w:pStyle w:val="BodyText"/>
        <w:spacing w:line="20" w:lineRule="exact"/>
        <w:ind w:left="8746"/>
        <w:rPr>
          <w:sz w:val="2"/>
        </w:rPr>
      </w:pPr>
      <w:r>
        <w:rPr>
          <w:sz w:val="2"/>
        </w:rPr>
        <w:pict>
          <v:group style="width:129.75pt;height:1pt;mso-position-horizontal-relative:char;mso-position-vertical-relative:line" coordorigin="0,0" coordsize="2595,20">
            <v:line style="position:absolute" from="2,2" to="1298,2" stroked="true" strokeweight=".12pt" strokecolor="#000000"/>
            <v:line style="position:absolute" from="2,4" to="1298,4" stroked="true" strokeweight=".12pt" strokecolor="#000000"/>
            <v:line style="position:absolute" from="2,6" to="1298,6" stroked="true" strokeweight=".12pt" strokecolor="#000000"/>
            <v:line style="position:absolute" from="2,9" to="1298,9" stroked="true" strokeweight=".12pt" strokecolor="#000000"/>
            <v:line style="position:absolute" from="2,11" to="1298,11" stroked="true" strokeweight=".12pt" strokecolor="#000000"/>
            <v:line style="position:absolute" from="2,14" to="1298,14" stroked="true" strokeweight=".12pt" strokecolor="#000000"/>
            <v:line style="position:absolute" from="2,16" to="1298,16" stroked="true" strokeweight=".12pt" strokecolor="#000000"/>
            <v:line style="position:absolute" from="2,18" to="1298,18" stroked="true" strokeweight=".12pt" strokecolor="#000000"/>
            <v:line style="position:absolute" from="1298,2" to="2594,2" stroked="true" strokeweight=".12pt" strokecolor="#000000"/>
            <v:line style="position:absolute" from="1298,4" to="2594,4" stroked="true" strokeweight=".12pt" strokecolor="#000000"/>
            <v:line style="position:absolute" from="1298,6" to="2594,6" stroked="true" strokeweight=".12pt" strokecolor="#000000"/>
            <v:line style="position:absolute" from="1298,9" to="2594,9" stroked="true" strokeweight=".12pt" strokecolor="#000000"/>
            <v:line style="position:absolute" from="1298,11" to="2594,11" stroked="true" strokeweight=".12pt" strokecolor="#000000"/>
            <v:line style="position:absolute" from="1298,14" to="2594,14" stroked="true" strokeweight=".12pt" strokecolor="#000000"/>
            <v:line style="position:absolute" from="1298,16" to="2594,16" stroked="true" strokeweight=".12pt" strokecolor="#000000"/>
            <v:line style="position:absolute" from="1298,18" to="2594,18" stroked="true" strokeweight=".12pt" strokecolor="#000000"/>
          </v:group>
        </w:pict>
      </w:r>
      <w:r>
        <w:rPr>
          <w:sz w:val="2"/>
        </w:rPr>
      </w:r>
    </w:p>
    <w:p>
      <w:pPr>
        <w:tabs>
          <w:tab w:pos="1293" w:val="left" w:leader="none"/>
        </w:tabs>
        <w:spacing w:before="115"/>
        <w:ind w:left="0" w:right="1491" w:firstLine="0"/>
        <w:jc w:val="right"/>
        <w:rPr>
          <w:sz w:val="18"/>
        </w:rPr>
      </w:pPr>
      <w:r>
        <w:rPr>
          <w:b/>
          <w:sz w:val="18"/>
        </w:rPr>
        <w:t>130,266</w:t>
        <w:tab/>
      </w:r>
      <w:r>
        <w:rPr>
          <w:w w:val="95"/>
          <w:sz w:val="18"/>
        </w:rPr>
        <w:t>212,761</w:t>
      </w:r>
    </w:p>
    <w:p>
      <w:pPr>
        <w:pStyle w:val="BodyText"/>
        <w:spacing w:line="60" w:lineRule="exact"/>
        <w:ind w:left="8746"/>
        <w:rPr>
          <w:sz w:val="6"/>
        </w:rPr>
      </w:pPr>
      <w:r>
        <w:rPr>
          <w:position w:val="0"/>
          <w:sz w:val="6"/>
        </w:rPr>
        <w:pict>
          <v:group style="width:129.75pt;height:3.05pt;mso-position-horizontal-relative:char;mso-position-vertical-relative:line" coordorigin="0,0" coordsize="2595,61">
            <v:line style="position:absolute" from="2,2" to="1298,2" stroked="true" strokeweight=".12pt" strokecolor="#000000"/>
            <v:line style="position:absolute" from="2,4" to="1298,4" stroked="true" strokeweight=".12pt" strokecolor="#000000"/>
            <v:line style="position:absolute" from="2,6" to="1298,6" stroked="true" strokeweight=".12pt" strokecolor="#000000"/>
            <v:line style="position:absolute" from="2,9" to="1298,9" stroked="true" strokeweight=".12pt" strokecolor="#000000"/>
            <v:line style="position:absolute" from="2,11" to="1298,11" stroked="true" strokeweight=".12pt" strokecolor="#000000"/>
            <v:line style="position:absolute" from="2,14" to="1298,14" stroked="true" strokeweight=".12pt" strokecolor="#000000"/>
            <v:line style="position:absolute" from="2,16" to="1298,16" stroked="true" strokeweight=".12pt" strokecolor="#000000"/>
            <v:line style="position:absolute" from="2,18" to="1298,18" stroked="true" strokeweight=".12pt" strokecolor="#000000"/>
            <v:line style="position:absolute" from="2,42" to="1298,42" stroked="true" strokeweight=".12pt" strokecolor="#000000"/>
            <v:line style="position:absolute" from="2,45" to="1298,45" stroked="true" strokeweight=".12pt" strokecolor="#000000"/>
            <v:line style="position:absolute" from="2,47" to="1298,47" stroked="true" strokeweight=".12pt" strokecolor="#000000"/>
            <v:line style="position:absolute" from="2,49" to="1298,49" stroked="true" strokeweight=".12pt" strokecolor="#000000"/>
            <v:line style="position:absolute" from="2,52" to="1298,52" stroked="true" strokeweight=".12pt" strokecolor="#000000"/>
            <v:line style="position:absolute" from="2,54" to="1298,54" stroked="true" strokeweight=".12pt" strokecolor="#000000"/>
            <v:line style="position:absolute" from="2,57" to="1298,57" stroked="true" strokeweight=".12pt" strokecolor="#000000"/>
            <v:line style="position:absolute" from="2,59" to="1298,59" stroked="true" strokeweight=".12pt" strokecolor="#000000"/>
            <v:line style="position:absolute" from="1298,2" to="2594,2" stroked="true" strokeweight=".12pt" strokecolor="#000000"/>
            <v:line style="position:absolute" from="1298,4" to="2594,4" stroked="true" strokeweight=".12pt" strokecolor="#000000"/>
            <v:line style="position:absolute" from="1298,6" to="2594,6" stroked="true" strokeweight=".12pt" strokecolor="#000000"/>
            <v:line style="position:absolute" from="1298,9" to="2594,9" stroked="true" strokeweight=".12pt" strokecolor="#000000"/>
            <v:line style="position:absolute" from="1298,11" to="2594,11" stroked="true" strokeweight=".12pt" strokecolor="#000000"/>
            <v:line style="position:absolute" from="1298,14" to="2594,14" stroked="true" strokeweight=".12pt" strokecolor="#000000"/>
            <v:line style="position:absolute" from="1298,16" to="2594,16" stroked="true" strokeweight=".12pt" strokecolor="#000000"/>
            <v:line style="position:absolute" from="1298,18" to="2594,18" stroked="true" strokeweight=".12pt" strokecolor="#000000"/>
            <v:line style="position:absolute" from="1298,42" to="2594,42" stroked="true" strokeweight=".12pt" strokecolor="#000000"/>
            <v:line style="position:absolute" from="1298,45" to="2594,45" stroked="true" strokeweight=".12pt" strokecolor="#000000"/>
            <v:line style="position:absolute" from="1298,47" to="2594,47" stroked="true" strokeweight=".12pt" strokecolor="#000000"/>
            <v:line style="position:absolute" from="1298,49" to="2594,49" stroked="true" strokeweight=".12pt" strokecolor="#000000"/>
            <v:line style="position:absolute" from="1298,52" to="2594,52" stroked="true" strokeweight=".12pt" strokecolor="#000000"/>
            <v:line style="position:absolute" from="1298,54" to="2594,54" stroked="true" strokeweight=".12pt" strokecolor="#000000"/>
            <v:line style="position:absolute" from="1298,57" to="2594,57" stroked="true" strokeweight=".12pt" strokecolor="#000000"/>
            <v:line style="position:absolute" from="1298,59" to="2594,59" stroked="true" strokeweight=".12pt" strokecolor="#000000"/>
          </v:group>
        </w:pict>
      </w:r>
      <w:r>
        <w:rPr>
          <w:position w:val="0"/>
          <w:sz w:val="6"/>
        </w:rPr>
      </w:r>
    </w:p>
    <w:p>
      <w:pPr>
        <w:pStyle w:val="BodyText"/>
        <w:spacing w:before="3"/>
      </w:pPr>
    </w:p>
    <w:p>
      <w:pPr>
        <w:pStyle w:val="BodyText"/>
        <w:spacing w:before="77"/>
        <w:ind w:left="1824" w:right="1450"/>
      </w:pPr>
      <w:r>
        <w:rPr/>
        <w:t>NCAs (or disposal groups) held for sale are carried at the lower of the carrying amount or the fair value less costs to sell.</w:t>
      </w:r>
    </w:p>
    <w:p>
      <w:pPr>
        <w:pStyle w:val="BodyText"/>
        <w:spacing w:before="11"/>
        <w:rPr>
          <w:sz w:val="24"/>
        </w:rPr>
      </w:pPr>
    </w:p>
    <w:p>
      <w:pPr>
        <w:pStyle w:val="BodyText"/>
        <w:ind w:left="1824" w:right="1482"/>
      </w:pPr>
      <w:r>
        <w:rPr/>
        <w:t>uwsconnect Limited entered into sales agreements to sell both its Parramatta and Kingswood Subway outlets. Settlement of the Parramatta Subway outlet occured on 21 December 2016. A gain of $347,505 has been recognised in the statement of comprehensive income, under the heading Gain on disposal of assets.</w:t>
      </w:r>
    </w:p>
    <w:p>
      <w:pPr>
        <w:pStyle w:val="BodyText"/>
        <w:spacing w:before="11"/>
        <w:rPr>
          <w:sz w:val="24"/>
        </w:rPr>
      </w:pPr>
    </w:p>
    <w:p>
      <w:pPr>
        <w:pStyle w:val="BodyText"/>
        <w:ind w:left="1824"/>
      </w:pPr>
      <w:r>
        <w:rPr/>
        <w:t>Settlement for the sale of the Kingswood Subway outlet is expected to occur by 31 December 2017.</w:t>
      </w:r>
    </w:p>
    <w:p>
      <w:pPr>
        <w:spacing w:after="0"/>
        <w:sectPr>
          <w:type w:val="continuous"/>
          <w:pgSz w:w="12750" w:h="17680"/>
          <w:pgMar w:top="1660" w:bottom="0" w:left="0" w:right="0"/>
        </w:sectPr>
      </w:pPr>
    </w:p>
    <w:p>
      <w:pPr>
        <w:pStyle w:val="BodyText"/>
        <w:spacing w:before="1"/>
        <w:rPr>
          <w:sz w:val="24"/>
        </w:rPr>
      </w:pPr>
    </w:p>
    <w:p>
      <w:pPr>
        <w:pStyle w:val="Heading4"/>
        <w:spacing w:before="65"/>
      </w:pPr>
      <w:bookmarkStart w:name="Property, plant and equipment" w:id="293"/>
      <w:bookmarkEnd w:id="293"/>
      <w:r>
        <w:rPr>
          <w:b w:val="0"/>
        </w:rPr>
      </w:r>
      <w:r>
        <w:rPr/>
        <w:t>Notes to the Financial Statements</w:t>
      </w:r>
    </w:p>
    <w:p>
      <w:pPr>
        <w:pStyle w:val="Heading7"/>
        <w:spacing w:before="53"/>
      </w:pPr>
      <w:r>
        <w:rPr/>
        <w:t>For the Year Ended 31 December 2016</w:t>
      </w:r>
    </w:p>
    <w:p>
      <w:pPr>
        <w:pStyle w:val="BodyText"/>
        <w:rPr>
          <w:b/>
          <w:sz w:val="20"/>
        </w:rPr>
      </w:pPr>
    </w:p>
    <w:p>
      <w:pPr>
        <w:pStyle w:val="BodyText"/>
        <w:spacing w:before="10"/>
        <w:rPr>
          <w:b/>
          <w:sz w:val="10"/>
        </w:rPr>
      </w:pPr>
    </w:p>
    <w:tbl>
      <w:tblPr>
        <w:tblW w:w="0" w:type="auto"/>
        <w:jc w:val="left"/>
        <w:tblInd w:w="139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33"/>
        <w:gridCol w:w="7022"/>
        <w:gridCol w:w="1498"/>
        <w:gridCol w:w="1094"/>
      </w:tblGrid>
      <w:tr>
        <w:trPr>
          <w:trHeight w:val="567" w:hRule="exact"/>
        </w:trPr>
        <w:tc>
          <w:tcPr>
            <w:tcW w:w="333" w:type="dxa"/>
          </w:tcPr>
          <w:p>
            <w:pPr>
              <w:pStyle w:val="TableParagraph"/>
              <w:spacing w:before="77"/>
              <w:ind w:left="35"/>
              <w:jc w:val="left"/>
              <w:rPr>
                <w:b/>
                <w:sz w:val="18"/>
              </w:rPr>
            </w:pPr>
            <w:r>
              <w:rPr>
                <w:b/>
                <w:sz w:val="18"/>
              </w:rPr>
              <w:t>11</w:t>
            </w:r>
          </w:p>
        </w:tc>
        <w:tc>
          <w:tcPr>
            <w:tcW w:w="7022" w:type="dxa"/>
          </w:tcPr>
          <w:p>
            <w:pPr>
              <w:pStyle w:val="TableParagraph"/>
              <w:spacing w:before="77"/>
              <w:ind w:left="96"/>
              <w:jc w:val="left"/>
              <w:rPr>
                <w:b/>
                <w:sz w:val="18"/>
              </w:rPr>
            </w:pPr>
            <w:r>
              <w:rPr>
                <w:b/>
                <w:sz w:val="18"/>
              </w:rPr>
              <w:t>Property, plant and equipment</w:t>
            </w:r>
          </w:p>
        </w:tc>
        <w:tc>
          <w:tcPr>
            <w:tcW w:w="1498" w:type="dxa"/>
          </w:tcPr>
          <w:p>
            <w:pPr>
              <w:pStyle w:val="TableParagraph"/>
              <w:jc w:val="left"/>
              <w:rPr>
                <w:b/>
                <w:sz w:val="18"/>
              </w:rPr>
            </w:pPr>
          </w:p>
          <w:p>
            <w:pPr>
              <w:pStyle w:val="TableParagraph"/>
              <w:spacing w:before="110"/>
              <w:ind w:left="444"/>
              <w:jc w:val="left"/>
              <w:rPr>
                <w:b/>
                <w:sz w:val="18"/>
              </w:rPr>
            </w:pPr>
            <w:r>
              <w:rPr>
                <w:b/>
                <w:sz w:val="18"/>
              </w:rPr>
              <w:t>2016</w:t>
            </w:r>
          </w:p>
        </w:tc>
        <w:tc>
          <w:tcPr>
            <w:tcW w:w="1094" w:type="dxa"/>
          </w:tcPr>
          <w:p>
            <w:pPr>
              <w:pStyle w:val="TableParagraph"/>
              <w:jc w:val="left"/>
              <w:rPr>
                <w:b/>
                <w:sz w:val="18"/>
              </w:rPr>
            </w:pPr>
          </w:p>
          <w:p>
            <w:pPr>
              <w:pStyle w:val="TableParagraph"/>
              <w:spacing w:before="110"/>
              <w:ind w:left="230"/>
              <w:jc w:val="left"/>
              <w:rPr>
                <w:b/>
                <w:sz w:val="18"/>
              </w:rPr>
            </w:pPr>
            <w:r>
              <w:rPr>
                <w:b/>
                <w:sz w:val="18"/>
              </w:rPr>
              <w:t>2015</w:t>
            </w:r>
          </w:p>
        </w:tc>
      </w:tr>
      <w:tr>
        <w:trPr>
          <w:trHeight w:val="313" w:hRule="exact"/>
        </w:trPr>
        <w:tc>
          <w:tcPr>
            <w:tcW w:w="333" w:type="dxa"/>
          </w:tcPr>
          <w:p>
            <w:pPr/>
          </w:p>
        </w:tc>
        <w:tc>
          <w:tcPr>
            <w:tcW w:w="7022" w:type="dxa"/>
          </w:tcPr>
          <w:p>
            <w:pPr/>
          </w:p>
        </w:tc>
        <w:tc>
          <w:tcPr>
            <w:tcW w:w="1498" w:type="dxa"/>
          </w:tcPr>
          <w:p>
            <w:pPr>
              <w:pStyle w:val="TableParagraph"/>
              <w:spacing w:before="24"/>
              <w:ind w:right="205"/>
              <w:jc w:val="center"/>
              <w:rPr>
                <w:b/>
                <w:sz w:val="18"/>
              </w:rPr>
            </w:pPr>
            <w:r>
              <w:rPr>
                <w:b/>
                <w:w w:val="99"/>
                <w:sz w:val="18"/>
              </w:rPr>
              <w:t>$</w:t>
            </w:r>
          </w:p>
        </w:tc>
        <w:tc>
          <w:tcPr>
            <w:tcW w:w="1094" w:type="dxa"/>
          </w:tcPr>
          <w:p>
            <w:pPr>
              <w:pStyle w:val="TableParagraph"/>
              <w:spacing w:before="24"/>
              <w:ind w:right="229"/>
              <w:jc w:val="center"/>
              <w:rPr>
                <w:b/>
                <w:sz w:val="18"/>
              </w:rPr>
            </w:pPr>
            <w:r>
              <w:rPr>
                <w:b/>
                <w:w w:val="99"/>
                <w:sz w:val="18"/>
              </w:rPr>
              <w:t>$</w:t>
            </w:r>
          </w:p>
        </w:tc>
      </w:tr>
      <w:tr>
        <w:trPr>
          <w:trHeight w:val="545" w:hRule="exact"/>
        </w:trPr>
        <w:tc>
          <w:tcPr>
            <w:tcW w:w="333" w:type="dxa"/>
          </w:tcPr>
          <w:p>
            <w:pPr/>
          </w:p>
        </w:tc>
        <w:tc>
          <w:tcPr>
            <w:tcW w:w="7022" w:type="dxa"/>
          </w:tcPr>
          <w:p>
            <w:pPr>
              <w:pStyle w:val="TableParagraph"/>
              <w:spacing w:before="63"/>
              <w:ind w:left="96"/>
              <w:jc w:val="left"/>
              <w:rPr>
                <w:b/>
                <w:sz w:val="18"/>
              </w:rPr>
            </w:pPr>
            <w:r>
              <w:rPr>
                <w:b/>
                <w:sz w:val="18"/>
              </w:rPr>
              <w:t>Plant and equipment</w:t>
            </w:r>
          </w:p>
          <w:p>
            <w:pPr>
              <w:pStyle w:val="TableParagraph"/>
              <w:spacing w:before="30"/>
              <w:ind w:left="96"/>
              <w:jc w:val="left"/>
              <w:rPr>
                <w:sz w:val="18"/>
              </w:rPr>
            </w:pPr>
            <w:r>
              <w:rPr>
                <w:sz w:val="18"/>
              </w:rPr>
              <w:t>At cost</w:t>
            </w:r>
          </w:p>
        </w:tc>
        <w:tc>
          <w:tcPr>
            <w:tcW w:w="1498" w:type="dxa"/>
          </w:tcPr>
          <w:p>
            <w:pPr>
              <w:pStyle w:val="TableParagraph"/>
              <w:spacing w:before="11"/>
              <w:jc w:val="left"/>
              <w:rPr>
                <w:b/>
                <w:sz w:val="25"/>
              </w:rPr>
            </w:pPr>
          </w:p>
          <w:p>
            <w:pPr>
              <w:pStyle w:val="TableParagraph"/>
              <w:ind w:left="552"/>
              <w:jc w:val="left"/>
              <w:rPr>
                <w:b/>
                <w:sz w:val="18"/>
              </w:rPr>
            </w:pPr>
            <w:r>
              <w:rPr>
                <w:b/>
                <w:sz w:val="18"/>
              </w:rPr>
              <w:t>225,782</w:t>
            </w:r>
          </w:p>
        </w:tc>
        <w:tc>
          <w:tcPr>
            <w:tcW w:w="1094" w:type="dxa"/>
          </w:tcPr>
          <w:p>
            <w:pPr>
              <w:pStyle w:val="TableParagraph"/>
              <w:spacing w:before="11"/>
              <w:jc w:val="left"/>
              <w:rPr>
                <w:b/>
                <w:sz w:val="25"/>
              </w:rPr>
            </w:pPr>
          </w:p>
          <w:p>
            <w:pPr>
              <w:pStyle w:val="TableParagraph"/>
              <w:ind w:right="84"/>
              <w:rPr>
                <w:sz w:val="18"/>
              </w:rPr>
            </w:pPr>
            <w:r>
              <w:rPr>
                <w:w w:val="95"/>
                <w:sz w:val="18"/>
              </w:rPr>
              <w:t>244,997</w:t>
            </w:r>
          </w:p>
        </w:tc>
      </w:tr>
      <w:tr>
        <w:trPr>
          <w:trHeight w:val="260" w:hRule="exact"/>
        </w:trPr>
        <w:tc>
          <w:tcPr>
            <w:tcW w:w="333" w:type="dxa"/>
          </w:tcPr>
          <w:p>
            <w:pPr/>
          </w:p>
        </w:tc>
        <w:tc>
          <w:tcPr>
            <w:tcW w:w="7022" w:type="dxa"/>
          </w:tcPr>
          <w:p>
            <w:pPr>
              <w:pStyle w:val="TableParagraph"/>
              <w:spacing w:before="20"/>
              <w:ind w:left="96"/>
              <w:jc w:val="left"/>
              <w:rPr>
                <w:sz w:val="18"/>
              </w:rPr>
            </w:pPr>
            <w:r>
              <w:rPr>
                <w:sz w:val="18"/>
              </w:rPr>
              <w:t>Accumulated depreciation</w:t>
            </w:r>
          </w:p>
        </w:tc>
        <w:tc>
          <w:tcPr>
            <w:tcW w:w="1498" w:type="dxa"/>
            <w:tcBorders>
              <w:bottom w:val="single" w:sz="1" w:space="0" w:color="000000"/>
            </w:tcBorders>
          </w:tcPr>
          <w:p>
            <w:pPr>
              <w:pStyle w:val="TableParagraph"/>
              <w:spacing w:before="18"/>
              <w:ind w:right="228"/>
              <w:rPr>
                <w:b/>
                <w:sz w:val="18"/>
              </w:rPr>
            </w:pPr>
            <w:r>
              <w:rPr>
                <w:b/>
                <w:w w:val="95"/>
                <w:sz w:val="18"/>
              </w:rPr>
              <w:t>(191,601)</w:t>
            </w:r>
          </w:p>
        </w:tc>
        <w:tc>
          <w:tcPr>
            <w:tcW w:w="1094" w:type="dxa"/>
            <w:tcBorders>
              <w:bottom w:val="single" w:sz="1" w:space="0" w:color="000000"/>
            </w:tcBorders>
          </w:tcPr>
          <w:p>
            <w:pPr>
              <w:pStyle w:val="TableParagraph"/>
              <w:spacing w:before="18"/>
              <w:ind w:right="24"/>
              <w:rPr>
                <w:sz w:val="18"/>
              </w:rPr>
            </w:pPr>
            <w:r>
              <w:rPr>
                <w:w w:val="95"/>
                <w:sz w:val="18"/>
              </w:rPr>
              <w:t>(187,195)</w:t>
            </w:r>
          </w:p>
        </w:tc>
      </w:tr>
      <w:tr>
        <w:trPr>
          <w:trHeight w:val="338" w:hRule="exact"/>
        </w:trPr>
        <w:tc>
          <w:tcPr>
            <w:tcW w:w="333" w:type="dxa"/>
          </w:tcPr>
          <w:p>
            <w:pPr/>
          </w:p>
        </w:tc>
        <w:tc>
          <w:tcPr>
            <w:tcW w:w="7022" w:type="dxa"/>
          </w:tcPr>
          <w:p>
            <w:pPr>
              <w:pStyle w:val="TableParagraph"/>
              <w:spacing w:before="98"/>
              <w:ind w:left="96"/>
              <w:jc w:val="left"/>
              <w:rPr>
                <w:sz w:val="18"/>
              </w:rPr>
            </w:pPr>
            <w:r>
              <w:rPr>
                <w:sz w:val="18"/>
              </w:rPr>
              <w:t>Total plant and equipment</w:t>
            </w:r>
          </w:p>
        </w:tc>
        <w:tc>
          <w:tcPr>
            <w:tcW w:w="1498" w:type="dxa"/>
            <w:tcBorders>
              <w:top w:val="single" w:sz="1" w:space="0" w:color="000000"/>
              <w:bottom w:val="single" w:sz="1" w:space="0" w:color="000000"/>
            </w:tcBorders>
          </w:tcPr>
          <w:p>
            <w:pPr>
              <w:pStyle w:val="TableParagraph"/>
              <w:spacing w:before="124"/>
              <w:ind w:right="288"/>
              <w:rPr>
                <w:b/>
                <w:sz w:val="18"/>
              </w:rPr>
            </w:pPr>
            <w:r>
              <w:rPr>
                <w:b/>
                <w:w w:val="95"/>
                <w:sz w:val="18"/>
              </w:rPr>
              <w:t>34,181</w:t>
            </w:r>
          </w:p>
        </w:tc>
        <w:tc>
          <w:tcPr>
            <w:tcW w:w="1094" w:type="dxa"/>
            <w:tcBorders>
              <w:top w:val="single" w:sz="1" w:space="0" w:color="000000"/>
              <w:bottom w:val="single" w:sz="1" w:space="0" w:color="000000"/>
            </w:tcBorders>
          </w:tcPr>
          <w:p>
            <w:pPr>
              <w:pStyle w:val="TableParagraph"/>
              <w:spacing w:before="124"/>
              <w:ind w:right="84"/>
              <w:rPr>
                <w:sz w:val="18"/>
              </w:rPr>
            </w:pPr>
            <w:r>
              <w:rPr>
                <w:w w:val="95"/>
                <w:sz w:val="18"/>
              </w:rPr>
              <w:t>57,802</w:t>
            </w:r>
          </w:p>
        </w:tc>
      </w:tr>
      <w:tr>
        <w:trPr>
          <w:trHeight w:val="607" w:hRule="exact"/>
        </w:trPr>
        <w:tc>
          <w:tcPr>
            <w:tcW w:w="333" w:type="dxa"/>
          </w:tcPr>
          <w:p>
            <w:pPr/>
          </w:p>
        </w:tc>
        <w:tc>
          <w:tcPr>
            <w:tcW w:w="7022" w:type="dxa"/>
          </w:tcPr>
          <w:p>
            <w:pPr>
              <w:pStyle w:val="TableParagraph"/>
              <w:spacing w:before="125"/>
              <w:ind w:left="96"/>
              <w:jc w:val="left"/>
              <w:rPr>
                <w:b/>
                <w:sz w:val="18"/>
              </w:rPr>
            </w:pPr>
            <w:r>
              <w:rPr>
                <w:b/>
                <w:sz w:val="18"/>
              </w:rPr>
              <w:t>Motor vehicles</w:t>
            </w:r>
          </w:p>
          <w:p>
            <w:pPr>
              <w:pStyle w:val="TableParagraph"/>
              <w:spacing w:before="30"/>
              <w:ind w:left="96"/>
              <w:jc w:val="left"/>
              <w:rPr>
                <w:sz w:val="18"/>
              </w:rPr>
            </w:pPr>
            <w:r>
              <w:rPr>
                <w:sz w:val="18"/>
              </w:rPr>
              <w:t>At cost</w:t>
            </w:r>
          </w:p>
        </w:tc>
        <w:tc>
          <w:tcPr>
            <w:tcW w:w="1498" w:type="dxa"/>
            <w:tcBorders>
              <w:top w:val="single" w:sz="1" w:space="0" w:color="000000"/>
            </w:tcBorders>
          </w:tcPr>
          <w:p>
            <w:pPr>
              <w:pStyle w:val="TableParagraph"/>
              <w:jc w:val="left"/>
              <w:rPr>
                <w:b/>
                <w:sz w:val="18"/>
              </w:rPr>
            </w:pPr>
          </w:p>
          <w:p>
            <w:pPr>
              <w:pStyle w:val="TableParagraph"/>
              <w:spacing w:before="152"/>
              <w:ind w:left="552"/>
              <w:jc w:val="left"/>
              <w:rPr>
                <w:b/>
                <w:sz w:val="18"/>
              </w:rPr>
            </w:pPr>
            <w:r>
              <w:rPr>
                <w:b/>
                <w:sz w:val="18"/>
              </w:rPr>
              <w:t>285,038</w:t>
            </w:r>
          </w:p>
        </w:tc>
        <w:tc>
          <w:tcPr>
            <w:tcW w:w="1094" w:type="dxa"/>
            <w:tcBorders>
              <w:top w:val="single" w:sz="1" w:space="0" w:color="000000"/>
            </w:tcBorders>
          </w:tcPr>
          <w:p>
            <w:pPr>
              <w:pStyle w:val="TableParagraph"/>
              <w:jc w:val="left"/>
              <w:rPr>
                <w:b/>
                <w:sz w:val="18"/>
              </w:rPr>
            </w:pPr>
          </w:p>
          <w:p>
            <w:pPr>
              <w:pStyle w:val="TableParagraph"/>
              <w:spacing w:before="152"/>
              <w:ind w:right="84"/>
              <w:rPr>
                <w:sz w:val="18"/>
              </w:rPr>
            </w:pPr>
            <w:r>
              <w:rPr>
                <w:w w:val="95"/>
                <w:sz w:val="18"/>
              </w:rPr>
              <w:t>487,579</w:t>
            </w:r>
          </w:p>
        </w:tc>
      </w:tr>
      <w:tr>
        <w:trPr>
          <w:trHeight w:val="260" w:hRule="exact"/>
        </w:trPr>
        <w:tc>
          <w:tcPr>
            <w:tcW w:w="333" w:type="dxa"/>
          </w:tcPr>
          <w:p>
            <w:pPr/>
          </w:p>
        </w:tc>
        <w:tc>
          <w:tcPr>
            <w:tcW w:w="7022" w:type="dxa"/>
          </w:tcPr>
          <w:p>
            <w:pPr>
              <w:pStyle w:val="TableParagraph"/>
              <w:spacing w:before="20"/>
              <w:ind w:left="96"/>
              <w:jc w:val="left"/>
              <w:rPr>
                <w:sz w:val="18"/>
              </w:rPr>
            </w:pPr>
            <w:r>
              <w:rPr>
                <w:sz w:val="18"/>
              </w:rPr>
              <w:t>Accumulated depreciation</w:t>
            </w:r>
          </w:p>
        </w:tc>
        <w:tc>
          <w:tcPr>
            <w:tcW w:w="1498" w:type="dxa"/>
            <w:tcBorders>
              <w:bottom w:val="single" w:sz="1" w:space="0" w:color="000000"/>
            </w:tcBorders>
          </w:tcPr>
          <w:p>
            <w:pPr>
              <w:pStyle w:val="TableParagraph"/>
              <w:spacing w:before="18"/>
              <w:ind w:right="228"/>
              <w:rPr>
                <w:b/>
                <w:sz w:val="18"/>
              </w:rPr>
            </w:pPr>
            <w:r>
              <w:rPr>
                <w:b/>
                <w:w w:val="95"/>
                <w:sz w:val="18"/>
              </w:rPr>
              <w:t>(253,076)</w:t>
            </w:r>
          </w:p>
        </w:tc>
        <w:tc>
          <w:tcPr>
            <w:tcW w:w="1094" w:type="dxa"/>
            <w:tcBorders>
              <w:bottom w:val="single" w:sz="1" w:space="0" w:color="000000"/>
            </w:tcBorders>
          </w:tcPr>
          <w:p>
            <w:pPr>
              <w:pStyle w:val="TableParagraph"/>
              <w:spacing w:before="18"/>
              <w:ind w:right="24"/>
              <w:rPr>
                <w:sz w:val="18"/>
              </w:rPr>
            </w:pPr>
            <w:r>
              <w:rPr>
                <w:w w:val="95"/>
                <w:sz w:val="18"/>
              </w:rPr>
              <w:t>(390,970)</w:t>
            </w:r>
          </w:p>
        </w:tc>
      </w:tr>
      <w:tr>
        <w:trPr>
          <w:trHeight w:val="338" w:hRule="exact"/>
        </w:trPr>
        <w:tc>
          <w:tcPr>
            <w:tcW w:w="333" w:type="dxa"/>
          </w:tcPr>
          <w:p>
            <w:pPr/>
          </w:p>
        </w:tc>
        <w:tc>
          <w:tcPr>
            <w:tcW w:w="7022" w:type="dxa"/>
          </w:tcPr>
          <w:p>
            <w:pPr>
              <w:pStyle w:val="TableParagraph"/>
              <w:spacing w:before="98"/>
              <w:ind w:left="96"/>
              <w:jc w:val="left"/>
              <w:rPr>
                <w:sz w:val="18"/>
              </w:rPr>
            </w:pPr>
            <w:r>
              <w:rPr>
                <w:sz w:val="18"/>
              </w:rPr>
              <w:t>Total motor vehicles</w:t>
            </w:r>
          </w:p>
        </w:tc>
        <w:tc>
          <w:tcPr>
            <w:tcW w:w="1498" w:type="dxa"/>
            <w:tcBorders>
              <w:top w:val="single" w:sz="1" w:space="0" w:color="000000"/>
              <w:bottom w:val="single" w:sz="1" w:space="0" w:color="000000"/>
            </w:tcBorders>
          </w:tcPr>
          <w:p>
            <w:pPr>
              <w:pStyle w:val="TableParagraph"/>
              <w:spacing w:before="124"/>
              <w:ind w:right="288"/>
              <w:rPr>
                <w:b/>
                <w:sz w:val="18"/>
              </w:rPr>
            </w:pPr>
            <w:r>
              <w:rPr>
                <w:b/>
                <w:w w:val="95"/>
                <w:sz w:val="18"/>
              </w:rPr>
              <w:t>31,962</w:t>
            </w:r>
          </w:p>
        </w:tc>
        <w:tc>
          <w:tcPr>
            <w:tcW w:w="1094" w:type="dxa"/>
            <w:tcBorders>
              <w:top w:val="single" w:sz="1" w:space="0" w:color="000000"/>
              <w:bottom w:val="single" w:sz="1" w:space="0" w:color="000000"/>
            </w:tcBorders>
          </w:tcPr>
          <w:p>
            <w:pPr>
              <w:pStyle w:val="TableParagraph"/>
              <w:spacing w:before="124"/>
              <w:ind w:right="84"/>
              <w:rPr>
                <w:sz w:val="18"/>
              </w:rPr>
            </w:pPr>
            <w:r>
              <w:rPr>
                <w:w w:val="95"/>
                <w:sz w:val="18"/>
              </w:rPr>
              <w:t>96,609</w:t>
            </w:r>
          </w:p>
        </w:tc>
      </w:tr>
      <w:tr>
        <w:trPr>
          <w:trHeight w:val="353" w:hRule="exact"/>
        </w:trPr>
        <w:tc>
          <w:tcPr>
            <w:tcW w:w="333" w:type="dxa"/>
          </w:tcPr>
          <w:p>
            <w:pPr/>
          </w:p>
        </w:tc>
        <w:tc>
          <w:tcPr>
            <w:tcW w:w="7022" w:type="dxa"/>
          </w:tcPr>
          <w:p>
            <w:pPr>
              <w:pStyle w:val="TableParagraph"/>
              <w:spacing w:before="125"/>
              <w:ind w:left="96"/>
              <w:jc w:val="left"/>
              <w:rPr>
                <w:b/>
                <w:sz w:val="18"/>
              </w:rPr>
            </w:pPr>
            <w:r>
              <w:rPr>
                <w:b/>
                <w:sz w:val="18"/>
              </w:rPr>
              <w:t>Total property, plant and equipment</w:t>
            </w:r>
          </w:p>
        </w:tc>
        <w:tc>
          <w:tcPr>
            <w:tcW w:w="1498" w:type="dxa"/>
            <w:tcBorders>
              <w:top w:val="single" w:sz="1" w:space="0" w:color="000000"/>
              <w:bottom w:val="single" w:sz="1" w:space="0" w:color="000000"/>
            </w:tcBorders>
          </w:tcPr>
          <w:p>
            <w:pPr>
              <w:pStyle w:val="TableParagraph"/>
              <w:spacing w:before="124"/>
              <w:ind w:right="288"/>
              <w:rPr>
                <w:b/>
                <w:sz w:val="18"/>
              </w:rPr>
            </w:pPr>
            <w:r>
              <w:rPr>
                <w:b/>
                <w:w w:val="95"/>
                <w:sz w:val="18"/>
              </w:rPr>
              <w:t>66,143</w:t>
            </w:r>
          </w:p>
        </w:tc>
        <w:tc>
          <w:tcPr>
            <w:tcW w:w="1094" w:type="dxa"/>
            <w:tcBorders>
              <w:top w:val="single" w:sz="1" w:space="0" w:color="000000"/>
              <w:bottom w:val="single" w:sz="1" w:space="0" w:color="000000"/>
            </w:tcBorders>
          </w:tcPr>
          <w:p>
            <w:pPr>
              <w:pStyle w:val="TableParagraph"/>
              <w:spacing w:before="124"/>
              <w:ind w:right="84"/>
              <w:rPr>
                <w:sz w:val="18"/>
              </w:rPr>
            </w:pPr>
            <w:r>
              <w:rPr>
                <w:w w:val="95"/>
                <w:sz w:val="18"/>
              </w:rPr>
              <w:t>154,411</w:t>
            </w:r>
          </w:p>
        </w:tc>
      </w:tr>
    </w:tbl>
    <w:p>
      <w:pPr>
        <w:pStyle w:val="BodyText"/>
        <w:spacing w:before="1"/>
        <w:rPr>
          <w:b/>
          <w:sz w:val="22"/>
        </w:rPr>
      </w:pPr>
    </w:p>
    <w:p>
      <w:pPr>
        <w:pStyle w:val="Heading8"/>
        <w:numPr>
          <w:ilvl w:val="1"/>
          <w:numId w:val="64"/>
        </w:numPr>
        <w:tabs>
          <w:tab w:pos="2391" w:val="left" w:leader="none"/>
        </w:tabs>
        <w:spacing w:line="240" w:lineRule="auto" w:before="77" w:after="0"/>
        <w:ind w:left="2390" w:right="0" w:hanging="566"/>
        <w:jc w:val="left"/>
      </w:pPr>
      <w:r>
        <w:rPr/>
        <w:t>Movements in carrying amounts of property, plant and</w:t>
      </w:r>
      <w:r>
        <w:rPr>
          <w:spacing w:val="-18"/>
        </w:rPr>
        <w:t> </w:t>
      </w:r>
      <w:r>
        <w:rPr/>
        <w:t>equipment</w:t>
      </w:r>
    </w:p>
    <w:p>
      <w:pPr>
        <w:pStyle w:val="BodyText"/>
        <w:spacing w:before="4"/>
        <w:rPr>
          <w:b/>
          <w:sz w:val="25"/>
        </w:rPr>
      </w:pPr>
    </w:p>
    <w:p>
      <w:pPr>
        <w:pStyle w:val="BodyText"/>
        <w:ind w:left="2392" w:right="1375"/>
      </w:pPr>
      <w:r>
        <w:rPr/>
        <w:t>Movement in the carrying amounts for each class of property, plant and equipment between the beginning and the end of the current financial year:</w:t>
      </w:r>
    </w:p>
    <w:p>
      <w:pPr>
        <w:pStyle w:val="Heading8"/>
        <w:spacing w:before="33" w:after="22"/>
        <w:ind w:left="7701"/>
      </w:pPr>
      <w:r>
        <w:rPr/>
        <w:drawing>
          <wp:anchor distT="0" distB="0" distL="0" distR="0" allowOverlap="1" layoutInCell="1" locked="0" behindDoc="0" simplePos="0" relativeHeight="11128">
            <wp:simplePos x="0" y="0"/>
            <wp:positionH relativeFrom="page">
              <wp:posOffset>-1587</wp:posOffset>
            </wp:positionH>
            <wp:positionV relativeFrom="paragraph">
              <wp:posOffset>423975</wp:posOffset>
            </wp:positionV>
            <wp:extent cx="135159" cy="154019"/>
            <wp:effectExtent l="0" t="0" r="0" b="0"/>
            <wp:wrapNone/>
            <wp:docPr id="731" name="image13.png" descr=""/>
            <wp:cNvGraphicFramePr>
              <a:graphicFrameLocks noChangeAspect="1"/>
            </wp:cNvGraphicFramePr>
            <a:graphic>
              <a:graphicData uri="http://schemas.openxmlformats.org/drawingml/2006/picture">
                <pic:pic>
                  <pic:nvPicPr>
                    <pic:cNvPr id="732" name="image13.png"/>
                    <pic:cNvPicPr/>
                  </pic:nvPicPr>
                  <pic:blipFill>
                    <a:blip r:embed="rId18" cstate="print"/>
                    <a:stretch>
                      <a:fillRect/>
                    </a:stretch>
                  </pic:blipFill>
                  <pic:spPr>
                    <a:xfrm>
                      <a:off x="0" y="0"/>
                      <a:ext cx="135159" cy="154019"/>
                    </a:xfrm>
                    <a:prstGeom prst="rect">
                      <a:avLst/>
                    </a:prstGeom>
                  </pic:spPr>
                </pic:pic>
              </a:graphicData>
            </a:graphic>
          </wp:anchor>
        </w:drawing>
      </w:r>
      <w:r>
        <w:rPr/>
        <w:drawing>
          <wp:anchor distT="0" distB="0" distL="0" distR="0" allowOverlap="1" layoutInCell="1" locked="0" behindDoc="0" simplePos="0" relativeHeight="11152">
            <wp:simplePos x="0" y="0"/>
            <wp:positionH relativeFrom="page">
              <wp:posOffset>7958429</wp:posOffset>
            </wp:positionH>
            <wp:positionV relativeFrom="paragraph">
              <wp:posOffset>423975</wp:posOffset>
            </wp:positionV>
            <wp:extent cx="135953" cy="155575"/>
            <wp:effectExtent l="0" t="0" r="0" b="0"/>
            <wp:wrapNone/>
            <wp:docPr id="733" name="image15.png" descr=""/>
            <wp:cNvGraphicFramePr>
              <a:graphicFrameLocks noChangeAspect="1"/>
            </wp:cNvGraphicFramePr>
            <a:graphic>
              <a:graphicData uri="http://schemas.openxmlformats.org/drawingml/2006/picture">
                <pic:pic>
                  <pic:nvPicPr>
                    <pic:cNvPr id="734" name="image15.png"/>
                    <pic:cNvPicPr/>
                  </pic:nvPicPr>
                  <pic:blipFill>
                    <a:blip r:embed="rId20" cstate="print"/>
                    <a:stretch>
                      <a:fillRect/>
                    </a:stretch>
                  </pic:blipFill>
                  <pic:spPr>
                    <a:xfrm>
                      <a:off x="0" y="0"/>
                      <a:ext cx="135953" cy="155575"/>
                    </a:xfrm>
                    <a:prstGeom prst="rect">
                      <a:avLst/>
                    </a:prstGeom>
                  </pic:spPr>
                </pic:pic>
              </a:graphicData>
            </a:graphic>
          </wp:anchor>
        </w:drawing>
      </w:r>
      <w:r>
        <w:rPr/>
        <w:t>Furniture,</w:t>
      </w:r>
    </w:p>
    <w:tbl>
      <w:tblPr>
        <w:tblW w:w="0" w:type="auto"/>
        <w:jc w:val="left"/>
        <w:tblInd w:w="240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755"/>
        <w:gridCol w:w="1348"/>
        <w:gridCol w:w="1351"/>
        <w:gridCol w:w="1402"/>
        <w:gridCol w:w="1083"/>
      </w:tblGrid>
      <w:tr>
        <w:trPr>
          <w:trHeight w:val="433" w:hRule="exact"/>
        </w:trPr>
        <w:tc>
          <w:tcPr>
            <w:tcW w:w="3755" w:type="dxa"/>
            <w:vMerge w:val="restart"/>
          </w:tcPr>
          <w:p>
            <w:pPr/>
          </w:p>
        </w:tc>
        <w:tc>
          <w:tcPr>
            <w:tcW w:w="1348" w:type="dxa"/>
          </w:tcPr>
          <w:p>
            <w:pPr>
              <w:pStyle w:val="TableParagraph"/>
              <w:spacing w:line="184" w:lineRule="exact"/>
              <w:ind w:left="203" w:firstLine="60"/>
              <w:jc w:val="left"/>
              <w:rPr>
                <w:b/>
                <w:sz w:val="18"/>
              </w:rPr>
            </w:pPr>
            <w:r>
              <w:rPr>
                <w:b/>
                <w:sz w:val="18"/>
              </w:rPr>
              <w:t>Plant and</w:t>
            </w:r>
          </w:p>
          <w:p>
            <w:pPr>
              <w:pStyle w:val="TableParagraph"/>
              <w:spacing w:line="207" w:lineRule="exact"/>
              <w:ind w:left="203"/>
              <w:jc w:val="left"/>
              <w:rPr>
                <w:b/>
                <w:sz w:val="18"/>
              </w:rPr>
            </w:pPr>
            <w:r>
              <w:rPr>
                <w:b/>
                <w:sz w:val="18"/>
              </w:rPr>
              <w:t>Equipment</w:t>
            </w:r>
          </w:p>
        </w:tc>
        <w:tc>
          <w:tcPr>
            <w:tcW w:w="1351" w:type="dxa"/>
          </w:tcPr>
          <w:p>
            <w:pPr>
              <w:pStyle w:val="TableParagraph"/>
              <w:spacing w:line="184" w:lineRule="exact"/>
              <w:ind w:left="63" w:right="176"/>
              <w:jc w:val="center"/>
              <w:rPr>
                <w:b/>
                <w:sz w:val="18"/>
              </w:rPr>
            </w:pPr>
            <w:r>
              <w:rPr>
                <w:b/>
                <w:sz w:val="18"/>
              </w:rPr>
              <w:t>Fixtures and</w:t>
            </w:r>
          </w:p>
          <w:p>
            <w:pPr>
              <w:pStyle w:val="TableParagraph"/>
              <w:spacing w:line="207" w:lineRule="exact"/>
              <w:ind w:left="63" w:right="176"/>
              <w:jc w:val="center"/>
              <w:rPr>
                <w:b/>
                <w:sz w:val="18"/>
              </w:rPr>
            </w:pPr>
            <w:r>
              <w:rPr>
                <w:b/>
                <w:sz w:val="18"/>
              </w:rPr>
              <w:t>Fittings</w:t>
            </w:r>
          </w:p>
        </w:tc>
        <w:tc>
          <w:tcPr>
            <w:tcW w:w="1402" w:type="dxa"/>
          </w:tcPr>
          <w:p>
            <w:pPr>
              <w:pStyle w:val="TableParagraph"/>
              <w:spacing w:line="184" w:lineRule="exact"/>
              <w:ind w:left="178" w:right="452"/>
              <w:jc w:val="center"/>
              <w:rPr>
                <w:b/>
                <w:sz w:val="18"/>
              </w:rPr>
            </w:pPr>
            <w:r>
              <w:rPr>
                <w:b/>
                <w:sz w:val="18"/>
              </w:rPr>
              <w:t>Motor</w:t>
            </w:r>
          </w:p>
          <w:p>
            <w:pPr>
              <w:pStyle w:val="TableParagraph"/>
              <w:spacing w:line="207" w:lineRule="exact"/>
              <w:ind w:left="178" w:right="452"/>
              <w:jc w:val="center"/>
              <w:rPr>
                <w:b/>
                <w:sz w:val="18"/>
              </w:rPr>
            </w:pPr>
            <w:r>
              <w:rPr>
                <w:b/>
                <w:sz w:val="18"/>
              </w:rPr>
              <w:t>Vehicles</w:t>
            </w:r>
          </w:p>
        </w:tc>
        <w:tc>
          <w:tcPr>
            <w:tcW w:w="1083" w:type="dxa"/>
          </w:tcPr>
          <w:p>
            <w:pPr>
              <w:pStyle w:val="TableParagraph"/>
              <w:spacing w:before="10"/>
              <w:jc w:val="left"/>
              <w:rPr>
                <w:b/>
                <w:sz w:val="15"/>
              </w:rPr>
            </w:pPr>
          </w:p>
          <w:p>
            <w:pPr>
              <w:pStyle w:val="TableParagraph"/>
              <w:spacing w:before="1"/>
              <w:ind w:left="241"/>
              <w:jc w:val="left"/>
              <w:rPr>
                <w:b/>
                <w:sz w:val="18"/>
              </w:rPr>
            </w:pPr>
            <w:r>
              <w:rPr>
                <w:b/>
                <w:sz w:val="18"/>
              </w:rPr>
              <w:t>Total</w:t>
            </w:r>
          </w:p>
        </w:tc>
      </w:tr>
      <w:tr>
        <w:trPr>
          <w:trHeight w:val="313" w:hRule="exact"/>
        </w:trPr>
        <w:tc>
          <w:tcPr>
            <w:tcW w:w="3755" w:type="dxa"/>
            <w:vMerge/>
          </w:tcPr>
          <w:p>
            <w:pPr/>
          </w:p>
        </w:tc>
        <w:tc>
          <w:tcPr>
            <w:tcW w:w="1348" w:type="dxa"/>
          </w:tcPr>
          <w:p>
            <w:pPr>
              <w:pStyle w:val="TableParagraph"/>
              <w:spacing w:before="24"/>
              <w:ind w:right="7"/>
              <w:jc w:val="center"/>
              <w:rPr>
                <w:b/>
                <w:sz w:val="18"/>
              </w:rPr>
            </w:pPr>
            <w:r>
              <w:rPr>
                <w:b/>
                <w:w w:val="99"/>
                <w:sz w:val="18"/>
              </w:rPr>
              <w:t>$</w:t>
            </w:r>
          </w:p>
        </w:tc>
        <w:tc>
          <w:tcPr>
            <w:tcW w:w="1351" w:type="dxa"/>
          </w:tcPr>
          <w:p>
            <w:pPr>
              <w:pStyle w:val="TableParagraph"/>
              <w:spacing w:before="24"/>
              <w:ind w:right="114"/>
              <w:jc w:val="center"/>
              <w:rPr>
                <w:b/>
                <w:sz w:val="18"/>
              </w:rPr>
            </w:pPr>
            <w:r>
              <w:rPr>
                <w:b/>
                <w:w w:val="99"/>
                <w:sz w:val="18"/>
              </w:rPr>
              <w:t>$</w:t>
            </w:r>
          </w:p>
        </w:tc>
        <w:tc>
          <w:tcPr>
            <w:tcW w:w="1402" w:type="dxa"/>
          </w:tcPr>
          <w:p>
            <w:pPr>
              <w:pStyle w:val="TableParagraph"/>
              <w:spacing w:before="24"/>
              <w:ind w:right="274"/>
              <w:jc w:val="center"/>
              <w:rPr>
                <w:b/>
                <w:sz w:val="18"/>
              </w:rPr>
            </w:pPr>
            <w:r>
              <w:rPr>
                <w:b/>
                <w:w w:val="99"/>
                <w:sz w:val="18"/>
              </w:rPr>
              <w:t>$</w:t>
            </w:r>
          </w:p>
        </w:tc>
        <w:tc>
          <w:tcPr>
            <w:tcW w:w="1083" w:type="dxa"/>
          </w:tcPr>
          <w:p>
            <w:pPr>
              <w:pStyle w:val="TableParagraph"/>
              <w:spacing w:before="24"/>
              <w:ind w:right="168"/>
              <w:jc w:val="center"/>
              <w:rPr>
                <w:b/>
                <w:sz w:val="18"/>
              </w:rPr>
            </w:pPr>
            <w:r>
              <w:rPr>
                <w:b/>
                <w:w w:val="99"/>
                <w:sz w:val="18"/>
              </w:rPr>
              <w:t>$</w:t>
            </w:r>
          </w:p>
        </w:tc>
      </w:tr>
      <w:tr>
        <w:trPr>
          <w:trHeight w:val="504" w:hRule="exact"/>
        </w:trPr>
        <w:tc>
          <w:tcPr>
            <w:tcW w:w="3755" w:type="dxa"/>
          </w:tcPr>
          <w:p>
            <w:pPr>
              <w:pStyle w:val="TableParagraph"/>
              <w:spacing w:before="63"/>
              <w:ind w:left="35"/>
              <w:jc w:val="left"/>
              <w:rPr>
                <w:b/>
                <w:sz w:val="18"/>
              </w:rPr>
            </w:pPr>
            <w:r>
              <w:rPr>
                <w:b/>
                <w:sz w:val="18"/>
              </w:rPr>
              <w:t>Year ended 31 December 2016</w:t>
            </w:r>
          </w:p>
          <w:p>
            <w:pPr>
              <w:pStyle w:val="TableParagraph"/>
              <w:spacing w:before="30"/>
              <w:ind w:left="35"/>
              <w:jc w:val="left"/>
              <w:rPr>
                <w:sz w:val="18"/>
              </w:rPr>
            </w:pPr>
            <w:r>
              <w:rPr>
                <w:sz w:val="18"/>
              </w:rPr>
              <w:t>Balance at the begining of the year</w:t>
            </w:r>
          </w:p>
        </w:tc>
        <w:tc>
          <w:tcPr>
            <w:tcW w:w="1348" w:type="dxa"/>
          </w:tcPr>
          <w:p>
            <w:pPr>
              <w:pStyle w:val="TableParagraph"/>
              <w:spacing w:before="11"/>
              <w:jc w:val="left"/>
              <w:rPr>
                <w:b/>
                <w:sz w:val="25"/>
              </w:rPr>
            </w:pPr>
          </w:p>
          <w:p>
            <w:pPr>
              <w:pStyle w:val="TableParagraph"/>
              <w:ind w:right="138"/>
              <w:rPr>
                <w:b/>
                <w:sz w:val="18"/>
              </w:rPr>
            </w:pPr>
            <w:r>
              <w:rPr>
                <w:b/>
                <w:w w:val="95"/>
                <w:sz w:val="18"/>
              </w:rPr>
              <w:t>57,802</w:t>
            </w:r>
          </w:p>
        </w:tc>
        <w:tc>
          <w:tcPr>
            <w:tcW w:w="1351" w:type="dxa"/>
          </w:tcPr>
          <w:p>
            <w:pPr>
              <w:pStyle w:val="TableParagraph"/>
              <w:spacing w:before="11"/>
              <w:jc w:val="left"/>
              <w:rPr>
                <w:b/>
                <w:sz w:val="25"/>
              </w:rPr>
            </w:pPr>
          </w:p>
          <w:p>
            <w:pPr>
              <w:pStyle w:val="TableParagraph"/>
              <w:ind w:right="335"/>
              <w:rPr>
                <w:b/>
                <w:sz w:val="18"/>
              </w:rPr>
            </w:pPr>
            <w:r>
              <w:rPr>
                <w:b/>
                <w:w w:val="99"/>
                <w:sz w:val="18"/>
              </w:rPr>
              <w:t>-</w:t>
            </w:r>
          </w:p>
        </w:tc>
        <w:tc>
          <w:tcPr>
            <w:tcW w:w="1402" w:type="dxa"/>
          </w:tcPr>
          <w:p>
            <w:pPr>
              <w:pStyle w:val="TableParagraph"/>
              <w:spacing w:before="11"/>
              <w:jc w:val="left"/>
              <w:rPr>
                <w:b/>
                <w:sz w:val="25"/>
              </w:rPr>
            </w:pPr>
          </w:p>
          <w:p>
            <w:pPr>
              <w:pStyle w:val="TableParagraph"/>
              <w:ind w:right="299"/>
              <w:rPr>
                <w:b/>
                <w:sz w:val="18"/>
              </w:rPr>
            </w:pPr>
            <w:r>
              <w:rPr>
                <w:b/>
                <w:w w:val="95"/>
                <w:sz w:val="18"/>
              </w:rPr>
              <w:t>96,609</w:t>
            </w:r>
          </w:p>
        </w:tc>
        <w:tc>
          <w:tcPr>
            <w:tcW w:w="1083" w:type="dxa"/>
          </w:tcPr>
          <w:p>
            <w:pPr>
              <w:pStyle w:val="TableParagraph"/>
              <w:spacing w:before="11"/>
              <w:jc w:val="left"/>
              <w:rPr>
                <w:b/>
                <w:sz w:val="25"/>
              </w:rPr>
            </w:pPr>
          </w:p>
          <w:p>
            <w:pPr>
              <w:pStyle w:val="TableParagraph"/>
              <w:ind w:right="88"/>
              <w:rPr>
                <w:b/>
                <w:sz w:val="18"/>
              </w:rPr>
            </w:pPr>
            <w:r>
              <w:rPr>
                <w:b/>
                <w:w w:val="95"/>
                <w:sz w:val="18"/>
              </w:rPr>
              <w:t>154,411</w:t>
            </w:r>
          </w:p>
        </w:tc>
      </w:tr>
      <w:tr>
        <w:trPr>
          <w:trHeight w:val="305" w:hRule="exact"/>
        </w:trPr>
        <w:tc>
          <w:tcPr>
            <w:tcW w:w="3755" w:type="dxa"/>
          </w:tcPr>
          <w:p>
            <w:pPr>
              <w:pStyle w:val="TableParagraph"/>
              <w:spacing w:before="61"/>
              <w:ind w:left="35"/>
              <w:jc w:val="left"/>
              <w:rPr>
                <w:sz w:val="18"/>
              </w:rPr>
            </w:pPr>
            <w:r>
              <w:rPr>
                <w:sz w:val="18"/>
              </w:rPr>
              <w:t>Additions</w:t>
            </w:r>
          </w:p>
        </w:tc>
        <w:tc>
          <w:tcPr>
            <w:tcW w:w="1348" w:type="dxa"/>
          </w:tcPr>
          <w:p>
            <w:pPr>
              <w:pStyle w:val="TableParagraph"/>
              <w:spacing w:before="58"/>
              <w:ind w:right="280"/>
              <w:rPr>
                <w:b/>
                <w:sz w:val="18"/>
              </w:rPr>
            </w:pPr>
            <w:r>
              <w:rPr>
                <w:b/>
                <w:w w:val="99"/>
                <w:sz w:val="18"/>
              </w:rPr>
              <w:t>-</w:t>
            </w:r>
          </w:p>
        </w:tc>
        <w:tc>
          <w:tcPr>
            <w:tcW w:w="1351" w:type="dxa"/>
          </w:tcPr>
          <w:p>
            <w:pPr>
              <w:pStyle w:val="TableParagraph"/>
              <w:spacing w:before="58"/>
              <w:ind w:right="335"/>
              <w:rPr>
                <w:b/>
                <w:sz w:val="18"/>
              </w:rPr>
            </w:pPr>
            <w:r>
              <w:rPr>
                <w:b/>
                <w:w w:val="99"/>
                <w:sz w:val="18"/>
              </w:rPr>
              <w:t>-</w:t>
            </w:r>
          </w:p>
        </w:tc>
        <w:tc>
          <w:tcPr>
            <w:tcW w:w="1402" w:type="dxa"/>
          </w:tcPr>
          <w:p>
            <w:pPr>
              <w:pStyle w:val="TableParagraph"/>
              <w:spacing w:before="58"/>
              <w:ind w:right="442"/>
              <w:rPr>
                <w:b/>
                <w:sz w:val="18"/>
              </w:rPr>
            </w:pPr>
            <w:r>
              <w:rPr>
                <w:b/>
                <w:w w:val="99"/>
                <w:sz w:val="18"/>
              </w:rPr>
              <w:t>-</w:t>
            </w:r>
          </w:p>
        </w:tc>
        <w:tc>
          <w:tcPr>
            <w:tcW w:w="1083" w:type="dxa"/>
          </w:tcPr>
          <w:p>
            <w:pPr>
              <w:pStyle w:val="TableParagraph"/>
              <w:spacing w:before="58"/>
              <w:ind w:right="228"/>
              <w:rPr>
                <w:b/>
                <w:sz w:val="18"/>
              </w:rPr>
            </w:pPr>
            <w:r>
              <w:rPr>
                <w:b/>
                <w:w w:val="99"/>
                <w:sz w:val="18"/>
              </w:rPr>
              <w:t>-</w:t>
            </w:r>
          </w:p>
        </w:tc>
      </w:tr>
      <w:tr>
        <w:trPr>
          <w:trHeight w:val="264" w:hRule="exact"/>
        </w:trPr>
        <w:tc>
          <w:tcPr>
            <w:tcW w:w="3755" w:type="dxa"/>
          </w:tcPr>
          <w:p>
            <w:pPr>
              <w:pStyle w:val="TableParagraph"/>
              <w:spacing w:before="20"/>
              <w:ind w:left="35"/>
              <w:jc w:val="left"/>
              <w:rPr>
                <w:sz w:val="18"/>
              </w:rPr>
            </w:pPr>
            <w:r>
              <w:rPr>
                <w:sz w:val="18"/>
              </w:rPr>
              <w:t>Disposals - written down value</w:t>
            </w:r>
          </w:p>
        </w:tc>
        <w:tc>
          <w:tcPr>
            <w:tcW w:w="1348" w:type="dxa"/>
          </w:tcPr>
          <w:p>
            <w:pPr>
              <w:pStyle w:val="TableParagraph"/>
              <w:spacing w:before="18"/>
              <w:ind w:right="78"/>
              <w:rPr>
                <w:b/>
                <w:sz w:val="18"/>
              </w:rPr>
            </w:pPr>
            <w:r>
              <w:rPr>
                <w:b/>
                <w:sz w:val="18"/>
              </w:rPr>
              <w:t>(1,224)</w:t>
            </w:r>
          </w:p>
        </w:tc>
        <w:tc>
          <w:tcPr>
            <w:tcW w:w="2753" w:type="dxa"/>
            <w:gridSpan w:val="2"/>
          </w:tcPr>
          <w:p>
            <w:pPr>
              <w:pStyle w:val="TableParagraph"/>
              <w:tabs>
                <w:tab w:pos="1836" w:val="left" w:leader="none"/>
              </w:tabs>
              <w:spacing w:before="18"/>
              <w:ind w:left="953"/>
              <w:jc w:val="left"/>
              <w:rPr>
                <w:b/>
                <w:sz w:val="18"/>
              </w:rPr>
            </w:pPr>
            <w:r>
              <w:rPr>
                <w:b/>
                <w:sz w:val="18"/>
              </w:rPr>
              <w:t>-</w:t>
              <w:tab/>
              <w:t>(39,020)</w:t>
            </w:r>
          </w:p>
        </w:tc>
        <w:tc>
          <w:tcPr>
            <w:tcW w:w="1083" w:type="dxa"/>
          </w:tcPr>
          <w:p>
            <w:pPr>
              <w:pStyle w:val="TableParagraph"/>
              <w:spacing w:before="18"/>
              <w:ind w:right="26"/>
              <w:rPr>
                <w:b/>
                <w:sz w:val="18"/>
              </w:rPr>
            </w:pPr>
            <w:r>
              <w:rPr>
                <w:b/>
                <w:w w:val="95"/>
                <w:sz w:val="18"/>
              </w:rPr>
              <w:t>(40,244)</w:t>
            </w:r>
          </w:p>
        </w:tc>
      </w:tr>
      <w:tr>
        <w:trPr>
          <w:trHeight w:val="260" w:hRule="exact"/>
        </w:trPr>
        <w:tc>
          <w:tcPr>
            <w:tcW w:w="3755" w:type="dxa"/>
          </w:tcPr>
          <w:p>
            <w:pPr>
              <w:pStyle w:val="TableParagraph"/>
              <w:spacing w:before="20"/>
              <w:ind w:left="35"/>
              <w:jc w:val="left"/>
              <w:rPr>
                <w:sz w:val="18"/>
              </w:rPr>
            </w:pPr>
            <w:r>
              <w:rPr>
                <w:sz w:val="18"/>
              </w:rPr>
              <w:t>Depreciation charge</w:t>
            </w:r>
          </w:p>
        </w:tc>
        <w:tc>
          <w:tcPr>
            <w:tcW w:w="1348" w:type="dxa"/>
            <w:tcBorders>
              <w:bottom w:val="single" w:sz="1" w:space="0" w:color="000000"/>
            </w:tcBorders>
          </w:tcPr>
          <w:p>
            <w:pPr>
              <w:pStyle w:val="TableParagraph"/>
              <w:spacing w:before="18"/>
              <w:ind w:right="78"/>
              <w:rPr>
                <w:b/>
                <w:sz w:val="18"/>
              </w:rPr>
            </w:pPr>
            <w:r>
              <w:rPr>
                <w:b/>
                <w:w w:val="95"/>
                <w:sz w:val="18"/>
              </w:rPr>
              <w:t>(15,646)</w:t>
            </w:r>
          </w:p>
        </w:tc>
        <w:tc>
          <w:tcPr>
            <w:tcW w:w="2753" w:type="dxa"/>
            <w:gridSpan w:val="2"/>
            <w:tcBorders>
              <w:bottom w:val="single" w:sz="1" w:space="0" w:color="000000"/>
            </w:tcBorders>
          </w:tcPr>
          <w:p>
            <w:pPr>
              <w:pStyle w:val="TableParagraph"/>
              <w:tabs>
                <w:tab w:pos="1836" w:val="left" w:leader="none"/>
              </w:tabs>
              <w:spacing w:before="18"/>
              <w:ind w:left="953"/>
              <w:jc w:val="left"/>
              <w:rPr>
                <w:b/>
                <w:sz w:val="18"/>
              </w:rPr>
            </w:pPr>
            <w:r>
              <w:rPr>
                <w:b/>
                <w:sz w:val="18"/>
              </w:rPr>
              <w:t>-</w:t>
              <w:tab/>
              <w:t>(32,378)</w:t>
            </w:r>
          </w:p>
        </w:tc>
        <w:tc>
          <w:tcPr>
            <w:tcW w:w="1083" w:type="dxa"/>
            <w:tcBorders>
              <w:bottom w:val="single" w:sz="1" w:space="0" w:color="000000"/>
            </w:tcBorders>
          </w:tcPr>
          <w:p>
            <w:pPr>
              <w:pStyle w:val="TableParagraph"/>
              <w:spacing w:before="18"/>
              <w:ind w:right="26"/>
              <w:rPr>
                <w:b/>
                <w:sz w:val="18"/>
              </w:rPr>
            </w:pPr>
            <w:r>
              <w:rPr>
                <w:b/>
                <w:w w:val="95"/>
                <w:sz w:val="18"/>
              </w:rPr>
              <w:t>(48,024)</w:t>
            </w:r>
          </w:p>
        </w:tc>
      </w:tr>
      <w:tr>
        <w:trPr>
          <w:trHeight w:val="353" w:hRule="exact"/>
        </w:trPr>
        <w:tc>
          <w:tcPr>
            <w:tcW w:w="3755" w:type="dxa"/>
          </w:tcPr>
          <w:p>
            <w:pPr>
              <w:pStyle w:val="TableParagraph"/>
              <w:spacing w:before="125"/>
              <w:ind w:left="35"/>
              <w:jc w:val="left"/>
              <w:rPr>
                <w:b/>
                <w:sz w:val="18"/>
              </w:rPr>
            </w:pPr>
            <w:r>
              <w:rPr>
                <w:b/>
                <w:sz w:val="18"/>
              </w:rPr>
              <w:t>Balance at the end of the year</w:t>
            </w:r>
          </w:p>
        </w:tc>
        <w:tc>
          <w:tcPr>
            <w:tcW w:w="1348" w:type="dxa"/>
            <w:tcBorders>
              <w:top w:val="single" w:sz="1" w:space="0" w:color="000000"/>
              <w:bottom w:val="single" w:sz="1" w:space="0" w:color="000000"/>
            </w:tcBorders>
          </w:tcPr>
          <w:p>
            <w:pPr>
              <w:pStyle w:val="TableParagraph"/>
              <w:spacing w:before="124"/>
              <w:ind w:right="138"/>
              <w:rPr>
                <w:b/>
                <w:sz w:val="18"/>
              </w:rPr>
            </w:pPr>
            <w:r>
              <w:rPr>
                <w:b/>
                <w:w w:val="95"/>
                <w:sz w:val="18"/>
              </w:rPr>
              <w:t>40,932</w:t>
            </w:r>
          </w:p>
        </w:tc>
        <w:tc>
          <w:tcPr>
            <w:tcW w:w="2753" w:type="dxa"/>
            <w:gridSpan w:val="2"/>
            <w:tcBorders>
              <w:top w:val="single" w:sz="1" w:space="0" w:color="000000"/>
              <w:bottom w:val="single" w:sz="1" w:space="0" w:color="000000"/>
            </w:tcBorders>
          </w:tcPr>
          <w:p>
            <w:pPr>
              <w:pStyle w:val="TableParagraph"/>
              <w:tabs>
                <w:tab w:pos="1896" w:val="left" w:leader="none"/>
              </w:tabs>
              <w:spacing w:before="124"/>
              <w:ind w:left="953"/>
              <w:jc w:val="left"/>
              <w:rPr>
                <w:b/>
                <w:sz w:val="18"/>
              </w:rPr>
            </w:pPr>
            <w:r>
              <w:rPr>
                <w:b/>
                <w:sz w:val="18"/>
              </w:rPr>
              <w:t>-</w:t>
              <w:tab/>
              <w:t>25,211</w:t>
            </w:r>
          </w:p>
        </w:tc>
        <w:tc>
          <w:tcPr>
            <w:tcW w:w="1083" w:type="dxa"/>
            <w:tcBorders>
              <w:top w:val="single" w:sz="1" w:space="0" w:color="000000"/>
              <w:bottom w:val="single" w:sz="1" w:space="0" w:color="000000"/>
            </w:tcBorders>
          </w:tcPr>
          <w:p>
            <w:pPr>
              <w:pStyle w:val="TableParagraph"/>
              <w:spacing w:before="124"/>
              <w:ind w:right="87"/>
              <w:rPr>
                <w:b/>
                <w:sz w:val="18"/>
              </w:rPr>
            </w:pPr>
            <w:r>
              <w:rPr>
                <w:b/>
                <w:w w:val="95"/>
                <w:sz w:val="18"/>
              </w:rPr>
              <w:t>66,143</w:t>
            </w:r>
          </w:p>
        </w:tc>
      </w:tr>
    </w:tbl>
    <w:p>
      <w:pPr>
        <w:pStyle w:val="BodyText"/>
        <w:rPr>
          <w:b/>
          <w:sz w:val="20"/>
        </w:rPr>
      </w:pPr>
    </w:p>
    <w:p>
      <w:pPr>
        <w:pStyle w:val="BodyText"/>
        <w:spacing w:before="3" w:after="1"/>
        <w:rPr>
          <w:b/>
          <w:sz w:val="21"/>
        </w:rPr>
      </w:pPr>
    </w:p>
    <w:tbl>
      <w:tblPr>
        <w:tblW w:w="0" w:type="auto"/>
        <w:jc w:val="left"/>
        <w:tblInd w:w="240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755"/>
        <w:gridCol w:w="1348"/>
        <w:gridCol w:w="1381"/>
        <w:gridCol w:w="1372"/>
        <w:gridCol w:w="1083"/>
      </w:tblGrid>
      <w:tr>
        <w:trPr>
          <w:trHeight w:val="740" w:hRule="exact"/>
        </w:trPr>
        <w:tc>
          <w:tcPr>
            <w:tcW w:w="3755" w:type="dxa"/>
            <w:vMerge w:val="restart"/>
          </w:tcPr>
          <w:p>
            <w:pPr/>
          </w:p>
        </w:tc>
        <w:tc>
          <w:tcPr>
            <w:tcW w:w="1348" w:type="dxa"/>
          </w:tcPr>
          <w:p>
            <w:pPr>
              <w:pStyle w:val="TableParagraph"/>
              <w:spacing w:before="7"/>
              <w:jc w:val="left"/>
              <w:rPr>
                <w:b/>
                <w:sz w:val="24"/>
              </w:rPr>
            </w:pPr>
          </w:p>
          <w:p>
            <w:pPr>
              <w:pStyle w:val="TableParagraph"/>
              <w:ind w:left="203" w:right="194" w:firstLine="60"/>
              <w:jc w:val="left"/>
              <w:rPr>
                <w:b/>
                <w:sz w:val="18"/>
              </w:rPr>
            </w:pPr>
            <w:r>
              <w:rPr>
                <w:b/>
                <w:sz w:val="18"/>
              </w:rPr>
              <w:t>Plant and Equipment</w:t>
            </w:r>
          </w:p>
        </w:tc>
        <w:tc>
          <w:tcPr>
            <w:tcW w:w="1381" w:type="dxa"/>
          </w:tcPr>
          <w:p>
            <w:pPr>
              <w:pStyle w:val="TableParagraph"/>
              <w:spacing w:before="77"/>
              <w:ind w:left="80" w:right="223" w:firstLine="2"/>
              <w:jc w:val="center"/>
              <w:rPr>
                <w:b/>
                <w:sz w:val="18"/>
              </w:rPr>
            </w:pPr>
            <w:r>
              <w:rPr>
                <w:b/>
                <w:sz w:val="18"/>
              </w:rPr>
              <w:t>Furniture, Fixtures and Fittings</w:t>
            </w:r>
          </w:p>
        </w:tc>
        <w:tc>
          <w:tcPr>
            <w:tcW w:w="1372" w:type="dxa"/>
          </w:tcPr>
          <w:p>
            <w:pPr>
              <w:pStyle w:val="TableParagraph"/>
              <w:spacing w:before="7"/>
              <w:jc w:val="left"/>
              <w:rPr>
                <w:b/>
                <w:sz w:val="24"/>
              </w:rPr>
            </w:pPr>
          </w:p>
          <w:p>
            <w:pPr>
              <w:pStyle w:val="TableParagraph"/>
              <w:ind w:left="165" w:right="456" w:firstLine="117"/>
              <w:jc w:val="left"/>
              <w:rPr>
                <w:b/>
                <w:sz w:val="18"/>
              </w:rPr>
            </w:pPr>
            <w:r>
              <w:rPr>
                <w:b/>
                <w:sz w:val="18"/>
              </w:rPr>
              <w:t>Motor Vehicles</w:t>
            </w:r>
          </w:p>
        </w:tc>
        <w:tc>
          <w:tcPr>
            <w:tcW w:w="1083" w:type="dxa"/>
          </w:tcPr>
          <w:p>
            <w:pPr>
              <w:pStyle w:val="TableParagraph"/>
              <w:jc w:val="left"/>
              <w:rPr>
                <w:b/>
                <w:sz w:val="18"/>
              </w:rPr>
            </w:pPr>
          </w:p>
          <w:p>
            <w:pPr>
              <w:pStyle w:val="TableParagraph"/>
              <w:spacing w:before="6"/>
              <w:jc w:val="left"/>
              <w:rPr>
                <w:b/>
                <w:sz w:val="24"/>
              </w:rPr>
            </w:pPr>
          </w:p>
          <w:p>
            <w:pPr>
              <w:pStyle w:val="TableParagraph"/>
              <w:spacing w:before="1"/>
              <w:ind w:left="241"/>
              <w:jc w:val="left"/>
              <w:rPr>
                <w:b/>
                <w:sz w:val="18"/>
              </w:rPr>
            </w:pPr>
            <w:r>
              <w:rPr>
                <w:b/>
                <w:sz w:val="18"/>
              </w:rPr>
              <w:t>Total</w:t>
            </w:r>
          </w:p>
        </w:tc>
      </w:tr>
      <w:tr>
        <w:trPr>
          <w:trHeight w:val="313" w:hRule="exact"/>
        </w:trPr>
        <w:tc>
          <w:tcPr>
            <w:tcW w:w="3755" w:type="dxa"/>
            <w:vMerge/>
          </w:tcPr>
          <w:p>
            <w:pPr/>
          </w:p>
        </w:tc>
        <w:tc>
          <w:tcPr>
            <w:tcW w:w="1348" w:type="dxa"/>
          </w:tcPr>
          <w:p>
            <w:pPr>
              <w:pStyle w:val="TableParagraph"/>
              <w:spacing w:before="24"/>
              <w:ind w:right="7"/>
              <w:jc w:val="center"/>
              <w:rPr>
                <w:b/>
                <w:sz w:val="18"/>
              </w:rPr>
            </w:pPr>
            <w:r>
              <w:rPr>
                <w:b/>
                <w:w w:val="99"/>
                <w:sz w:val="18"/>
              </w:rPr>
              <w:t>$</w:t>
            </w:r>
          </w:p>
        </w:tc>
        <w:tc>
          <w:tcPr>
            <w:tcW w:w="1381" w:type="dxa"/>
          </w:tcPr>
          <w:p>
            <w:pPr>
              <w:pStyle w:val="TableParagraph"/>
              <w:spacing w:before="24"/>
              <w:ind w:right="144"/>
              <w:jc w:val="center"/>
              <w:rPr>
                <w:b/>
                <w:sz w:val="18"/>
              </w:rPr>
            </w:pPr>
            <w:r>
              <w:rPr>
                <w:b/>
                <w:w w:val="99"/>
                <w:sz w:val="18"/>
              </w:rPr>
              <w:t>$</w:t>
            </w:r>
          </w:p>
        </w:tc>
        <w:tc>
          <w:tcPr>
            <w:tcW w:w="1372" w:type="dxa"/>
          </w:tcPr>
          <w:p>
            <w:pPr>
              <w:pStyle w:val="TableParagraph"/>
              <w:spacing w:before="24"/>
              <w:ind w:left="482"/>
              <w:jc w:val="left"/>
              <w:rPr>
                <w:b/>
                <w:sz w:val="18"/>
              </w:rPr>
            </w:pPr>
            <w:r>
              <w:rPr>
                <w:b/>
                <w:w w:val="99"/>
                <w:sz w:val="18"/>
              </w:rPr>
              <w:t>$</w:t>
            </w:r>
          </w:p>
        </w:tc>
        <w:tc>
          <w:tcPr>
            <w:tcW w:w="1083" w:type="dxa"/>
          </w:tcPr>
          <w:p>
            <w:pPr>
              <w:pStyle w:val="TableParagraph"/>
              <w:spacing w:before="24"/>
              <w:ind w:right="168"/>
              <w:jc w:val="center"/>
              <w:rPr>
                <w:b/>
                <w:sz w:val="18"/>
              </w:rPr>
            </w:pPr>
            <w:r>
              <w:rPr>
                <w:b/>
                <w:w w:val="99"/>
                <w:sz w:val="18"/>
              </w:rPr>
              <w:t>$</w:t>
            </w:r>
          </w:p>
        </w:tc>
      </w:tr>
      <w:tr>
        <w:trPr>
          <w:trHeight w:val="545" w:hRule="exact"/>
        </w:trPr>
        <w:tc>
          <w:tcPr>
            <w:tcW w:w="3755" w:type="dxa"/>
          </w:tcPr>
          <w:p>
            <w:pPr>
              <w:pStyle w:val="TableParagraph"/>
              <w:spacing w:before="63"/>
              <w:ind w:left="35"/>
              <w:jc w:val="left"/>
              <w:rPr>
                <w:b/>
                <w:sz w:val="18"/>
              </w:rPr>
            </w:pPr>
            <w:r>
              <w:rPr>
                <w:b/>
                <w:sz w:val="18"/>
              </w:rPr>
              <w:t>Year ended 31 December 2015</w:t>
            </w:r>
          </w:p>
          <w:p>
            <w:pPr>
              <w:pStyle w:val="TableParagraph"/>
              <w:spacing w:before="30"/>
              <w:ind w:left="35"/>
              <w:jc w:val="left"/>
              <w:rPr>
                <w:sz w:val="18"/>
              </w:rPr>
            </w:pPr>
            <w:r>
              <w:rPr>
                <w:sz w:val="18"/>
              </w:rPr>
              <w:t>Balance at the beginning of year</w:t>
            </w:r>
          </w:p>
        </w:tc>
        <w:tc>
          <w:tcPr>
            <w:tcW w:w="1348" w:type="dxa"/>
          </w:tcPr>
          <w:p>
            <w:pPr>
              <w:pStyle w:val="TableParagraph"/>
              <w:spacing w:before="11"/>
              <w:jc w:val="left"/>
              <w:rPr>
                <w:b/>
                <w:sz w:val="25"/>
              </w:rPr>
            </w:pPr>
          </w:p>
          <w:p>
            <w:pPr>
              <w:pStyle w:val="TableParagraph"/>
              <w:ind w:right="138"/>
              <w:rPr>
                <w:sz w:val="18"/>
              </w:rPr>
            </w:pPr>
            <w:r>
              <w:rPr>
                <w:w w:val="95"/>
                <w:sz w:val="18"/>
              </w:rPr>
              <w:t>80,993</w:t>
            </w:r>
          </w:p>
        </w:tc>
        <w:tc>
          <w:tcPr>
            <w:tcW w:w="1381" w:type="dxa"/>
          </w:tcPr>
          <w:p>
            <w:pPr>
              <w:pStyle w:val="TableParagraph"/>
              <w:spacing w:before="11"/>
              <w:jc w:val="left"/>
              <w:rPr>
                <w:b/>
                <w:sz w:val="25"/>
              </w:rPr>
            </w:pPr>
          </w:p>
          <w:p>
            <w:pPr>
              <w:pStyle w:val="TableParagraph"/>
              <w:ind w:right="223"/>
              <w:rPr>
                <w:sz w:val="18"/>
              </w:rPr>
            </w:pPr>
            <w:r>
              <w:rPr>
                <w:w w:val="95"/>
                <w:sz w:val="18"/>
              </w:rPr>
              <w:t>254,550</w:t>
            </w:r>
          </w:p>
        </w:tc>
        <w:tc>
          <w:tcPr>
            <w:tcW w:w="1372" w:type="dxa"/>
          </w:tcPr>
          <w:p>
            <w:pPr>
              <w:pStyle w:val="TableParagraph"/>
              <w:spacing w:before="11"/>
              <w:jc w:val="left"/>
              <w:rPr>
                <w:b/>
                <w:sz w:val="25"/>
              </w:rPr>
            </w:pPr>
          </w:p>
          <w:p>
            <w:pPr>
              <w:pStyle w:val="TableParagraph"/>
              <w:ind w:left="415"/>
              <w:jc w:val="left"/>
              <w:rPr>
                <w:sz w:val="18"/>
              </w:rPr>
            </w:pPr>
            <w:r>
              <w:rPr>
                <w:sz w:val="18"/>
              </w:rPr>
              <w:t>152,161</w:t>
            </w:r>
          </w:p>
        </w:tc>
        <w:tc>
          <w:tcPr>
            <w:tcW w:w="1083" w:type="dxa"/>
          </w:tcPr>
          <w:p>
            <w:pPr>
              <w:pStyle w:val="TableParagraph"/>
              <w:spacing w:before="11"/>
              <w:jc w:val="left"/>
              <w:rPr>
                <w:b/>
                <w:sz w:val="25"/>
              </w:rPr>
            </w:pPr>
          </w:p>
          <w:p>
            <w:pPr>
              <w:pStyle w:val="TableParagraph"/>
              <w:ind w:right="88"/>
              <w:rPr>
                <w:sz w:val="18"/>
              </w:rPr>
            </w:pPr>
            <w:r>
              <w:rPr>
                <w:w w:val="95"/>
                <w:sz w:val="18"/>
              </w:rPr>
              <w:t>487,704</w:t>
            </w:r>
          </w:p>
        </w:tc>
      </w:tr>
      <w:tr>
        <w:trPr>
          <w:trHeight w:val="264" w:hRule="exact"/>
        </w:trPr>
        <w:tc>
          <w:tcPr>
            <w:tcW w:w="3755" w:type="dxa"/>
          </w:tcPr>
          <w:p>
            <w:pPr>
              <w:pStyle w:val="TableParagraph"/>
              <w:spacing w:before="20"/>
              <w:ind w:left="35"/>
              <w:jc w:val="left"/>
              <w:rPr>
                <w:sz w:val="18"/>
              </w:rPr>
            </w:pPr>
            <w:r>
              <w:rPr>
                <w:sz w:val="18"/>
              </w:rPr>
              <w:t>Disposals</w:t>
            </w:r>
          </w:p>
        </w:tc>
        <w:tc>
          <w:tcPr>
            <w:tcW w:w="1348" w:type="dxa"/>
          </w:tcPr>
          <w:p>
            <w:pPr>
              <w:pStyle w:val="TableParagraph"/>
              <w:spacing w:before="18"/>
              <w:ind w:right="78"/>
              <w:rPr>
                <w:sz w:val="18"/>
              </w:rPr>
            </w:pPr>
            <w:r>
              <w:rPr>
                <w:w w:val="95"/>
                <w:sz w:val="18"/>
              </w:rPr>
              <w:t>(14,036)</w:t>
            </w:r>
          </w:p>
        </w:tc>
        <w:tc>
          <w:tcPr>
            <w:tcW w:w="1381" w:type="dxa"/>
          </w:tcPr>
          <w:p>
            <w:pPr>
              <w:pStyle w:val="TableParagraph"/>
              <w:spacing w:before="18"/>
              <w:ind w:right="365"/>
              <w:rPr>
                <w:sz w:val="18"/>
              </w:rPr>
            </w:pPr>
            <w:r>
              <w:rPr>
                <w:w w:val="99"/>
                <w:sz w:val="18"/>
              </w:rPr>
              <w:t>-</w:t>
            </w:r>
          </w:p>
        </w:tc>
        <w:tc>
          <w:tcPr>
            <w:tcW w:w="1372" w:type="dxa"/>
          </w:tcPr>
          <w:p>
            <w:pPr>
              <w:pStyle w:val="TableParagraph"/>
              <w:spacing w:before="18"/>
              <w:ind w:right="239"/>
              <w:rPr>
                <w:sz w:val="18"/>
              </w:rPr>
            </w:pPr>
            <w:r>
              <w:rPr>
                <w:w w:val="95"/>
                <w:sz w:val="18"/>
              </w:rPr>
              <w:t>(7,929)</w:t>
            </w:r>
          </w:p>
        </w:tc>
        <w:tc>
          <w:tcPr>
            <w:tcW w:w="1083" w:type="dxa"/>
          </w:tcPr>
          <w:p>
            <w:pPr>
              <w:pStyle w:val="TableParagraph"/>
              <w:spacing w:before="18"/>
              <w:ind w:right="26"/>
              <w:rPr>
                <w:sz w:val="18"/>
              </w:rPr>
            </w:pPr>
            <w:r>
              <w:rPr>
                <w:w w:val="95"/>
                <w:sz w:val="18"/>
              </w:rPr>
              <w:t>(21,965)</w:t>
            </w:r>
          </w:p>
        </w:tc>
      </w:tr>
      <w:tr>
        <w:trPr>
          <w:trHeight w:val="264" w:hRule="exact"/>
        </w:trPr>
        <w:tc>
          <w:tcPr>
            <w:tcW w:w="3755" w:type="dxa"/>
          </w:tcPr>
          <w:p>
            <w:pPr>
              <w:pStyle w:val="TableParagraph"/>
              <w:spacing w:before="20"/>
              <w:ind w:left="35"/>
              <w:jc w:val="left"/>
              <w:rPr>
                <w:sz w:val="18"/>
              </w:rPr>
            </w:pPr>
            <w:r>
              <w:rPr>
                <w:sz w:val="18"/>
              </w:rPr>
              <w:t>Transfers</w:t>
            </w:r>
          </w:p>
        </w:tc>
        <w:tc>
          <w:tcPr>
            <w:tcW w:w="1348" w:type="dxa"/>
          </w:tcPr>
          <w:p>
            <w:pPr>
              <w:pStyle w:val="TableParagraph"/>
              <w:spacing w:before="18"/>
              <w:ind w:right="138"/>
              <w:rPr>
                <w:sz w:val="18"/>
              </w:rPr>
            </w:pPr>
            <w:r>
              <w:rPr>
                <w:w w:val="95"/>
                <w:sz w:val="18"/>
              </w:rPr>
              <w:t>254,550</w:t>
            </w:r>
          </w:p>
        </w:tc>
        <w:tc>
          <w:tcPr>
            <w:tcW w:w="1381" w:type="dxa"/>
          </w:tcPr>
          <w:p>
            <w:pPr>
              <w:pStyle w:val="TableParagraph"/>
              <w:spacing w:before="18"/>
              <w:ind w:right="163"/>
              <w:rPr>
                <w:sz w:val="18"/>
              </w:rPr>
            </w:pPr>
            <w:r>
              <w:rPr>
                <w:w w:val="95"/>
                <w:sz w:val="18"/>
              </w:rPr>
              <w:t>(254,550)</w:t>
            </w:r>
          </w:p>
        </w:tc>
        <w:tc>
          <w:tcPr>
            <w:tcW w:w="1372" w:type="dxa"/>
          </w:tcPr>
          <w:p>
            <w:pPr>
              <w:pStyle w:val="TableParagraph"/>
              <w:spacing w:before="18"/>
              <w:ind w:left="868"/>
              <w:jc w:val="left"/>
              <w:rPr>
                <w:sz w:val="18"/>
              </w:rPr>
            </w:pPr>
            <w:r>
              <w:rPr>
                <w:w w:val="99"/>
                <w:sz w:val="18"/>
              </w:rPr>
              <w:t>-</w:t>
            </w:r>
          </w:p>
        </w:tc>
        <w:tc>
          <w:tcPr>
            <w:tcW w:w="1083" w:type="dxa"/>
          </w:tcPr>
          <w:p>
            <w:pPr>
              <w:pStyle w:val="TableParagraph"/>
              <w:spacing w:before="18"/>
              <w:ind w:right="228"/>
              <w:rPr>
                <w:sz w:val="18"/>
              </w:rPr>
            </w:pPr>
            <w:r>
              <w:rPr>
                <w:w w:val="99"/>
                <w:sz w:val="18"/>
              </w:rPr>
              <w:t>-</w:t>
            </w:r>
          </w:p>
        </w:tc>
      </w:tr>
      <w:tr>
        <w:trPr>
          <w:trHeight w:val="264" w:hRule="exact"/>
        </w:trPr>
        <w:tc>
          <w:tcPr>
            <w:tcW w:w="3755" w:type="dxa"/>
          </w:tcPr>
          <w:p>
            <w:pPr>
              <w:pStyle w:val="TableParagraph"/>
              <w:spacing w:before="20"/>
              <w:ind w:left="35"/>
              <w:jc w:val="left"/>
              <w:rPr>
                <w:sz w:val="18"/>
              </w:rPr>
            </w:pPr>
            <w:r>
              <w:rPr>
                <w:sz w:val="18"/>
              </w:rPr>
              <w:t>Transfers to held for sale</w:t>
            </w:r>
          </w:p>
        </w:tc>
        <w:tc>
          <w:tcPr>
            <w:tcW w:w="1348" w:type="dxa"/>
          </w:tcPr>
          <w:p>
            <w:pPr>
              <w:pStyle w:val="TableParagraph"/>
              <w:spacing w:before="18"/>
              <w:ind w:right="78"/>
              <w:rPr>
                <w:sz w:val="18"/>
              </w:rPr>
            </w:pPr>
            <w:r>
              <w:rPr>
                <w:w w:val="95"/>
                <w:sz w:val="18"/>
              </w:rPr>
              <w:t>(212,761)</w:t>
            </w:r>
          </w:p>
        </w:tc>
        <w:tc>
          <w:tcPr>
            <w:tcW w:w="1381" w:type="dxa"/>
          </w:tcPr>
          <w:p>
            <w:pPr>
              <w:pStyle w:val="TableParagraph"/>
              <w:spacing w:before="18"/>
              <w:ind w:right="365"/>
              <w:rPr>
                <w:sz w:val="18"/>
              </w:rPr>
            </w:pPr>
            <w:r>
              <w:rPr>
                <w:w w:val="99"/>
                <w:sz w:val="18"/>
              </w:rPr>
              <w:t>-</w:t>
            </w:r>
          </w:p>
        </w:tc>
        <w:tc>
          <w:tcPr>
            <w:tcW w:w="1372" w:type="dxa"/>
          </w:tcPr>
          <w:p>
            <w:pPr>
              <w:pStyle w:val="TableParagraph"/>
              <w:spacing w:before="18"/>
              <w:ind w:left="868"/>
              <w:jc w:val="left"/>
              <w:rPr>
                <w:sz w:val="18"/>
              </w:rPr>
            </w:pPr>
            <w:r>
              <w:rPr>
                <w:w w:val="99"/>
                <w:sz w:val="18"/>
              </w:rPr>
              <w:t>-</w:t>
            </w:r>
          </w:p>
        </w:tc>
        <w:tc>
          <w:tcPr>
            <w:tcW w:w="1083" w:type="dxa"/>
          </w:tcPr>
          <w:p>
            <w:pPr>
              <w:pStyle w:val="TableParagraph"/>
              <w:spacing w:before="18"/>
              <w:ind w:right="26"/>
              <w:rPr>
                <w:sz w:val="18"/>
              </w:rPr>
            </w:pPr>
            <w:r>
              <w:rPr>
                <w:w w:val="95"/>
                <w:sz w:val="18"/>
              </w:rPr>
              <w:t>(212,761)</w:t>
            </w:r>
          </w:p>
        </w:tc>
      </w:tr>
      <w:tr>
        <w:trPr>
          <w:trHeight w:val="260" w:hRule="exact"/>
        </w:trPr>
        <w:tc>
          <w:tcPr>
            <w:tcW w:w="3755" w:type="dxa"/>
          </w:tcPr>
          <w:p>
            <w:pPr>
              <w:pStyle w:val="TableParagraph"/>
              <w:spacing w:before="20"/>
              <w:ind w:left="35"/>
              <w:jc w:val="left"/>
              <w:rPr>
                <w:sz w:val="18"/>
              </w:rPr>
            </w:pPr>
            <w:r>
              <w:rPr>
                <w:sz w:val="18"/>
              </w:rPr>
              <w:t>Depreciation charge</w:t>
            </w:r>
          </w:p>
        </w:tc>
        <w:tc>
          <w:tcPr>
            <w:tcW w:w="1348" w:type="dxa"/>
            <w:tcBorders>
              <w:bottom w:val="single" w:sz="1" w:space="0" w:color="000000"/>
            </w:tcBorders>
          </w:tcPr>
          <w:p>
            <w:pPr>
              <w:pStyle w:val="TableParagraph"/>
              <w:spacing w:before="18"/>
              <w:ind w:right="78"/>
              <w:rPr>
                <w:sz w:val="18"/>
              </w:rPr>
            </w:pPr>
            <w:r>
              <w:rPr>
                <w:w w:val="95"/>
                <w:sz w:val="18"/>
              </w:rPr>
              <w:t>(50,944)</w:t>
            </w:r>
          </w:p>
        </w:tc>
        <w:tc>
          <w:tcPr>
            <w:tcW w:w="1381" w:type="dxa"/>
            <w:tcBorders>
              <w:bottom w:val="single" w:sz="1" w:space="0" w:color="000000"/>
            </w:tcBorders>
          </w:tcPr>
          <w:p>
            <w:pPr>
              <w:pStyle w:val="TableParagraph"/>
              <w:spacing w:before="18"/>
              <w:ind w:right="365"/>
              <w:rPr>
                <w:sz w:val="18"/>
              </w:rPr>
            </w:pPr>
            <w:r>
              <w:rPr>
                <w:w w:val="99"/>
                <w:sz w:val="18"/>
              </w:rPr>
              <w:t>-</w:t>
            </w:r>
          </w:p>
        </w:tc>
        <w:tc>
          <w:tcPr>
            <w:tcW w:w="1372" w:type="dxa"/>
            <w:tcBorders>
              <w:bottom w:val="single" w:sz="1" w:space="0" w:color="000000"/>
            </w:tcBorders>
          </w:tcPr>
          <w:p>
            <w:pPr>
              <w:pStyle w:val="TableParagraph"/>
              <w:spacing w:before="18"/>
              <w:ind w:right="239"/>
              <w:rPr>
                <w:sz w:val="18"/>
              </w:rPr>
            </w:pPr>
            <w:r>
              <w:rPr>
                <w:w w:val="95"/>
                <w:sz w:val="18"/>
              </w:rPr>
              <w:t>(47,623)</w:t>
            </w:r>
          </w:p>
        </w:tc>
        <w:tc>
          <w:tcPr>
            <w:tcW w:w="1083" w:type="dxa"/>
            <w:tcBorders>
              <w:bottom w:val="single" w:sz="1" w:space="0" w:color="000000"/>
            </w:tcBorders>
          </w:tcPr>
          <w:p>
            <w:pPr>
              <w:pStyle w:val="TableParagraph"/>
              <w:spacing w:before="18"/>
              <w:ind w:right="26"/>
              <w:rPr>
                <w:sz w:val="18"/>
              </w:rPr>
            </w:pPr>
            <w:r>
              <w:rPr>
                <w:w w:val="95"/>
                <w:sz w:val="18"/>
              </w:rPr>
              <w:t>(98,567)</w:t>
            </w:r>
          </w:p>
        </w:tc>
      </w:tr>
      <w:tr>
        <w:trPr>
          <w:trHeight w:val="353" w:hRule="exact"/>
        </w:trPr>
        <w:tc>
          <w:tcPr>
            <w:tcW w:w="3755" w:type="dxa"/>
          </w:tcPr>
          <w:p>
            <w:pPr>
              <w:pStyle w:val="TableParagraph"/>
              <w:spacing w:before="125"/>
              <w:ind w:left="35"/>
              <w:jc w:val="left"/>
              <w:rPr>
                <w:b/>
                <w:sz w:val="18"/>
              </w:rPr>
            </w:pPr>
            <w:r>
              <w:rPr>
                <w:b/>
                <w:sz w:val="18"/>
              </w:rPr>
              <w:t>Balance at the end of the year</w:t>
            </w:r>
          </w:p>
        </w:tc>
        <w:tc>
          <w:tcPr>
            <w:tcW w:w="1348" w:type="dxa"/>
            <w:tcBorders>
              <w:top w:val="single" w:sz="1" w:space="0" w:color="000000"/>
              <w:bottom w:val="single" w:sz="1" w:space="0" w:color="000000"/>
            </w:tcBorders>
          </w:tcPr>
          <w:p>
            <w:pPr>
              <w:pStyle w:val="TableParagraph"/>
              <w:spacing w:before="124"/>
              <w:ind w:right="138"/>
              <w:rPr>
                <w:sz w:val="18"/>
              </w:rPr>
            </w:pPr>
            <w:r>
              <w:rPr>
                <w:w w:val="95"/>
                <w:sz w:val="18"/>
              </w:rPr>
              <w:t>57,802</w:t>
            </w:r>
          </w:p>
        </w:tc>
        <w:tc>
          <w:tcPr>
            <w:tcW w:w="1381" w:type="dxa"/>
            <w:tcBorders>
              <w:top w:val="single" w:sz="1" w:space="0" w:color="000000"/>
              <w:bottom w:val="single" w:sz="1" w:space="0" w:color="000000"/>
            </w:tcBorders>
          </w:tcPr>
          <w:p>
            <w:pPr>
              <w:pStyle w:val="TableParagraph"/>
              <w:spacing w:before="124"/>
              <w:ind w:right="365"/>
              <w:rPr>
                <w:sz w:val="18"/>
              </w:rPr>
            </w:pPr>
            <w:r>
              <w:rPr>
                <w:w w:val="99"/>
                <w:sz w:val="18"/>
              </w:rPr>
              <w:t>-</w:t>
            </w:r>
          </w:p>
        </w:tc>
        <w:tc>
          <w:tcPr>
            <w:tcW w:w="1372" w:type="dxa"/>
            <w:tcBorders>
              <w:top w:val="single" w:sz="1" w:space="0" w:color="000000"/>
              <w:bottom w:val="single" w:sz="1" w:space="0" w:color="000000"/>
            </w:tcBorders>
          </w:tcPr>
          <w:p>
            <w:pPr>
              <w:pStyle w:val="TableParagraph"/>
              <w:spacing w:before="124"/>
              <w:ind w:left="515"/>
              <w:jc w:val="left"/>
              <w:rPr>
                <w:sz w:val="18"/>
              </w:rPr>
            </w:pPr>
            <w:r>
              <w:rPr>
                <w:sz w:val="18"/>
              </w:rPr>
              <w:t>96,609</w:t>
            </w:r>
          </w:p>
        </w:tc>
        <w:tc>
          <w:tcPr>
            <w:tcW w:w="1083" w:type="dxa"/>
            <w:tcBorders>
              <w:top w:val="single" w:sz="1" w:space="0" w:color="000000"/>
              <w:bottom w:val="single" w:sz="1" w:space="0" w:color="000000"/>
            </w:tcBorders>
          </w:tcPr>
          <w:p>
            <w:pPr>
              <w:pStyle w:val="TableParagraph"/>
              <w:spacing w:before="124"/>
              <w:ind w:right="88"/>
              <w:rPr>
                <w:sz w:val="18"/>
              </w:rPr>
            </w:pPr>
            <w:r>
              <w:rPr>
                <w:w w:val="95"/>
                <w:sz w:val="18"/>
              </w:rPr>
              <w:t>154,411</w:t>
            </w:r>
          </w:p>
        </w:tc>
      </w:tr>
    </w:tbl>
    <w:p>
      <w:pPr>
        <w:spacing w:after="0"/>
        <w:rPr>
          <w:sz w:val="18"/>
        </w:rPr>
        <w:sectPr>
          <w:pgSz w:w="12750" w:h="17680"/>
          <w:pgMar w:header="0" w:footer="867" w:top="1880" w:bottom="1120" w:left="0" w:right="0"/>
        </w:sectPr>
      </w:pPr>
    </w:p>
    <w:p>
      <w:pPr>
        <w:pStyle w:val="BodyText"/>
        <w:spacing w:before="1"/>
        <w:rPr>
          <w:b/>
          <w:sz w:val="24"/>
        </w:rPr>
      </w:pPr>
      <w:r>
        <w:rPr/>
        <w:drawing>
          <wp:anchor distT="0" distB="0" distL="0" distR="0" allowOverlap="1" layoutInCell="1" locked="0" behindDoc="0" simplePos="0" relativeHeight="11224">
            <wp:simplePos x="0" y="0"/>
            <wp:positionH relativeFrom="page">
              <wp:posOffset>-1587</wp:posOffset>
            </wp:positionH>
            <wp:positionV relativeFrom="page">
              <wp:posOffset>5534342</wp:posOffset>
            </wp:positionV>
            <wp:extent cx="135159" cy="154019"/>
            <wp:effectExtent l="0" t="0" r="0" b="0"/>
            <wp:wrapNone/>
            <wp:docPr id="735" name="image13.png" descr=""/>
            <wp:cNvGraphicFramePr>
              <a:graphicFrameLocks noChangeAspect="1"/>
            </wp:cNvGraphicFramePr>
            <a:graphic>
              <a:graphicData uri="http://schemas.openxmlformats.org/drawingml/2006/picture">
                <pic:pic>
                  <pic:nvPicPr>
                    <pic:cNvPr id="736" name="image13.png"/>
                    <pic:cNvPicPr/>
                  </pic:nvPicPr>
                  <pic:blipFill>
                    <a:blip r:embed="rId18" cstate="print"/>
                    <a:stretch>
                      <a:fillRect/>
                    </a:stretch>
                  </pic:blipFill>
                  <pic:spPr>
                    <a:xfrm>
                      <a:off x="0" y="0"/>
                      <a:ext cx="135159" cy="154019"/>
                    </a:xfrm>
                    <a:prstGeom prst="rect">
                      <a:avLst/>
                    </a:prstGeom>
                  </pic:spPr>
                </pic:pic>
              </a:graphicData>
            </a:graphic>
          </wp:anchor>
        </w:drawing>
      </w:r>
      <w:r>
        <w:rPr/>
        <w:drawing>
          <wp:anchor distT="0" distB="0" distL="0" distR="0" allowOverlap="1" layoutInCell="1" locked="0" behindDoc="0" simplePos="0" relativeHeight="11248">
            <wp:simplePos x="0" y="0"/>
            <wp:positionH relativeFrom="page">
              <wp:posOffset>7958429</wp:posOffset>
            </wp:positionH>
            <wp:positionV relativeFrom="page">
              <wp:posOffset>5534342</wp:posOffset>
            </wp:positionV>
            <wp:extent cx="135953" cy="155575"/>
            <wp:effectExtent l="0" t="0" r="0" b="0"/>
            <wp:wrapNone/>
            <wp:docPr id="737" name="image15.png" descr=""/>
            <wp:cNvGraphicFramePr>
              <a:graphicFrameLocks noChangeAspect="1"/>
            </wp:cNvGraphicFramePr>
            <a:graphic>
              <a:graphicData uri="http://schemas.openxmlformats.org/drawingml/2006/picture">
                <pic:pic>
                  <pic:nvPicPr>
                    <pic:cNvPr id="738" name="image15.png"/>
                    <pic:cNvPicPr/>
                  </pic:nvPicPr>
                  <pic:blipFill>
                    <a:blip r:embed="rId20" cstate="print"/>
                    <a:stretch>
                      <a:fillRect/>
                    </a:stretch>
                  </pic:blipFill>
                  <pic:spPr>
                    <a:xfrm>
                      <a:off x="0" y="0"/>
                      <a:ext cx="135953" cy="155575"/>
                    </a:xfrm>
                    <a:prstGeom prst="rect">
                      <a:avLst/>
                    </a:prstGeom>
                  </pic:spPr>
                </pic:pic>
              </a:graphicData>
            </a:graphic>
          </wp:anchor>
        </w:drawing>
      </w:r>
    </w:p>
    <w:p>
      <w:pPr>
        <w:spacing w:before="65"/>
        <w:ind w:left="1428" w:right="0" w:firstLine="0"/>
        <w:jc w:val="left"/>
        <w:rPr>
          <w:b/>
          <w:sz w:val="28"/>
        </w:rPr>
      </w:pPr>
      <w:bookmarkStart w:name="Intangible assets" w:id="294"/>
      <w:bookmarkEnd w:id="294"/>
      <w:r>
        <w:rPr/>
      </w:r>
      <w:r>
        <w:rPr>
          <w:b/>
          <w:sz w:val="28"/>
        </w:rPr>
        <w:t>Notes to the Financial Statements</w:t>
      </w:r>
    </w:p>
    <w:p>
      <w:pPr>
        <w:spacing w:before="53"/>
        <w:ind w:left="1428" w:right="0" w:firstLine="0"/>
        <w:jc w:val="left"/>
        <w:rPr>
          <w:b/>
          <w:sz w:val="22"/>
        </w:rPr>
      </w:pPr>
      <w:r>
        <w:rPr>
          <w:b/>
          <w:sz w:val="22"/>
        </w:rPr>
        <w:t>For the Year Ended 31 December 2016</w:t>
      </w:r>
    </w:p>
    <w:p>
      <w:pPr>
        <w:pStyle w:val="BodyText"/>
        <w:rPr>
          <w:b/>
          <w:sz w:val="20"/>
        </w:rPr>
      </w:pPr>
    </w:p>
    <w:p>
      <w:pPr>
        <w:pStyle w:val="BodyText"/>
        <w:spacing w:before="10"/>
        <w:rPr>
          <w:b/>
          <w:sz w:val="10"/>
        </w:rPr>
      </w:pPr>
    </w:p>
    <w:tbl>
      <w:tblPr>
        <w:tblW w:w="0" w:type="auto"/>
        <w:jc w:val="left"/>
        <w:tblInd w:w="139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057"/>
        <w:gridCol w:w="1392"/>
        <w:gridCol w:w="1400"/>
        <w:gridCol w:w="1095"/>
      </w:tblGrid>
      <w:tr>
        <w:trPr>
          <w:trHeight w:val="533" w:hRule="exact"/>
        </w:trPr>
        <w:tc>
          <w:tcPr>
            <w:tcW w:w="6057" w:type="dxa"/>
          </w:tcPr>
          <w:p>
            <w:pPr>
              <w:pStyle w:val="TableParagraph"/>
              <w:spacing w:before="77"/>
              <w:ind w:left="35"/>
              <w:jc w:val="left"/>
              <w:rPr>
                <w:b/>
                <w:sz w:val="18"/>
              </w:rPr>
            </w:pPr>
            <w:r>
              <w:rPr>
                <w:b/>
                <w:sz w:val="18"/>
              </w:rPr>
              <w:t>12    Intangible assets</w:t>
            </w:r>
          </w:p>
        </w:tc>
        <w:tc>
          <w:tcPr>
            <w:tcW w:w="1392" w:type="dxa"/>
          </w:tcPr>
          <w:p>
            <w:pPr/>
          </w:p>
        </w:tc>
        <w:tc>
          <w:tcPr>
            <w:tcW w:w="1400" w:type="dxa"/>
          </w:tcPr>
          <w:p>
            <w:pPr>
              <w:pStyle w:val="TableParagraph"/>
              <w:jc w:val="left"/>
              <w:rPr>
                <w:b/>
                <w:sz w:val="18"/>
              </w:rPr>
            </w:pPr>
          </w:p>
          <w:p>
            <w:pPr>
              <w:pStyle w:val="TableParagraph"/>
              <w:spacing w:before="110"/>
              <w:ind w:left="122"/>
              <w:jc w:val="left"/>
              <w:rPr>
                <w:b/>
                <w:sz w:val="18"/>
              </w:rPr>
            </w:pPr>
            <w:r>
              <w:rPr>
                <w:b/>
                <w:sz w:val="18"/>
              </w:rPr>
              <w:t>Franchise</w:t>
            </w:r>
          </w:p>
        </w:tc>
        <w:tc>
          <w:tcPr>
            <w:tcW w:w="1095" w:type="dxa"/>
          </w:tcPr>
          <w:p>
            <w:pPr/>
          </w:p>
        </w:tc>
      </w:tr>
      <w:tr>
        <w:trPr>
          <w:trHeight w:val="240" w:hRule="exact"/>
        </w:trPr>
        <w:tc>
          <w:tcPr>
            <w:tcW w:w="6057" w:type="dxa"/>
          </w:tcPr>
          <w:p>
            <w:pPr/>
          </w:p>
        </w:tc>
        <w:tc>
          <w:tcPr>
            <w:tcW w:w="1392" w:type="dxa"/>
          </w:tcPr>
          <w:p>
            <w:pPr>
              <w:pStyle w:val="TableParagraph"/>
              <w:spacing w:line="197" w:lineRule="exact"/>
              <w:ind w:left="251"/>
              <w:jc w:val="left"/>
              <w:rPr>
                <w:b/>
                <w:sz w:val="18"/>
              </w:rPr>
            </w:pPr>
            <w:r>
              <w:rPr>
                <w:b/>
                <w:sz w:val="18"/>
              </w:rPr>
              <w:t>Software</w:t>
            </w:r>
          </w:p>
        </w:tc>
        <w:tc>
          <w:tcPr>
            <w:tcW w:w="1400" w:type="dxa"/>
          </w:tcPr>
          <w:p>
            <w:pPr>
              <w:pStyle w:val="TableParagraph"/>
              <w:spacing w:line="197" w:lineRule="exact"/>
              <w:ind w:left="369"/>
              <w:jc w:val="left"/>
              <w:rPr>
                <w:b/>
                <w:sz w:val="18"/>
              </w:rPr>
            </w:pPr>
            <w:r>
              <w:rPr>
                <w:b/>
                <w:sz w:val="18"/>
              </w:rPr>
              <w:t>fees</w:t>
            </w:r>
          </w:p>
        </w:tc>
        <w:tc>
          <w:tcPr>
            <w:tcW w:w="1095" w:type="dxa"/>
          </w:tcPr>
          <w:p>
            <w:pPr>
              <w:pStyle w:val="TableParagraph"/>
              <w:spacing w:line="197" w:lineRule="exact"/>
              <w:ind w:left="229"/>
              <w:jc w:val="left"/>
              <w:rPr>
                <w:b/>
                <w:sz w:val="18"/>
              </w:rPr>
            </w:pPr>
            <w:r>
              <w:rPr>
                <w:b/>
                <w:sz w:val="18"/>
              </w:rPr>
              <w:t>Total</w:t>
            </w:r>
          </w:p>
        </w:tc>
      </w:tr>
      <w:tr>
        <w:trPr>
          <w:trHeight w:val="271" w:hRule="exact"/>
        </w:trPr>
        <w:tc>
          <w:tcPr>
            <w:tcW w:w="6057" w:type="dxa"/>
          </w:tcPr>
          <w:p>
            <w:pPr>
              <w:pStyle w:val="TableParagraph"/>
              <w:spacing w:before="24"/>
              <w:ind w:left="428"/>
              <w:jc w:val="left"/>
              <w:rPr>
                <w:b/>
                <w:sz w:val="18"/>
              </w:rPr>
            </w:pPr>
            <w:r>
              <w:rPr>
                <w:b/>
                <w:sz w:val="18"/>
              </w:rPr>
              <w:t>At 1 January 2016</w:t>
            </w:r>
          </w:p>
        </w:tc>
        <w:tc>
          <w:tcPr>
            <w:tcW w:w="1392" w:type="dxa"/>
          </w:tcPr>
          <w:p>
            <w:pPr>
              <w:pStyle w:val="TableParagraph"/>
              <w:spacing w:before="24"/>
              <w:ind w:right="123"/>
              <w:jc w:val="center"/>
              <w:rPr>
                <w:b/>
                <w:sz w:val="18"/>
              </w:rPr>
            </w:pPr>
            <w:r>
              <w:rPr>
                <w:b/>
                <w:w w:val="99"/>
                <w:sz w:val="18"/>
              </w:rPr>
              <w:t>$</w:t>
            </w:r>
          </w:p>
        </w:tc>
        <w:tc>
          <w:tcPr>
            <w:tcW w:w="1400" w:type="dxa"/>
          </w:tcPr>
          <w:p>
            <w:pPr>
              <w:pStyle w:val="TableParagraph"/>
              <w:spacing w:before="24"/>
              <w:ind w:right="300"/>
              <w:jc w:val="center"/>
              <w:rPr>
                <w:b/>
                <w:sz w:val="18"/>
              </w:rPr>
            </w:pPr>
            <w:r>
              <w:rPr>
                <w:b/>
                <w:w w:val="99"/>
                <w:sz w:val="18"/>
              </w:rPr>
              <w:t>$</w:t>
            </w:r>
          </w:p>
        </w:tc>
        <w:tc>
          <w:tcPr>
            <w:tcW w:w="1095" w:type="dxa"/>
          </w:tcPr>
          <w:p>
            <w:pPr>
              <w:pStyle w:val="TableParagraph"/>
              <w:spacing w:before="24"/>
              <w:ind w:right="204"/>
              <w:jc w:val="center"/>
              <w:rPr>
                <w:b/>
                <w:sz w:val="18"/>
              </w:rPr>
            </w:pPr>
            <w:r>
              <w:rPr>
                <w:b/>
                <w:w w:val="99"/>
                <w:sz w:val="18"/>
              </w:rPr>
              <w:t>$</w:t>
            </w:r>
          </w:p>
        </w:tc>
      </w:tr>
      <w:tr>
        <w:trPr>
          <w:trHeight w:val="268" w:hRule="exact"/>
        </w:trPr>
        <w:tc>
          <w:tcPr>
            <w:tcW w:w="6057" w:type="dxa"/>
          </w:tcPr>
          <w:p>
            <w:pPr>
              <w:pStyle w:val="TableParagraph"/>
              <w:spacing w:before="24"/>
              <w:ind w:left="428"/>
              <w:jc w:val="left"/>
              <w:rPr>
                <w:sz w:val="18"/>
              </w:rPr>
            </w:pPr>
            <w:r>
              <w:rPr>
                <w:sz w:val="18"/>
              </w:rPr>
              <w:t>Cost</w:t>
            </w:r>
          </w:p>
        </w:tc>
        <w:tc>
          <w:tcPr>
            <w:tcW w:w="1392" w:type="dxa"/>
          </w:tcPr>
          <w:p>
            <w:pPr>
              <w:pStyle w:val="TableParagraph"/>
              <w:spacing w:before="21"/>
              <w:ind w:right="180"/>
              <w:rPr>
                <w:b/>
                <w:sz w:val="18"/>
              </w:rPr>
            </w:pPr>
            <w:r>
              <w:rPr>
                <w:b/>
                <w:w w:val="95"/>
                <w:sz w:val="18"/>
              </w:rPr>
              <w:t>65,500</w:t>
            </w:r>
          </w:p>
        </w:tc>
        <w:tc>
          <w:tcPr>
            <w:tcW w:w="1400" w:type="dxa"/>
          </w:tcPr>
          <w:p>
            <w:pPr>
              <w:pStyle w:val="TableParagraph"/>
              <w:spacing w:before="21"/>
              <w:ind w:left="556"/>
              <w:jc w:val="left"/>
              <w:rPr>
                <w:b/>
                <w:sz w:val="18"/>
              </w:rPr>
            </w:pPr>
            <w:r>
              <w:rPr>
                <w:b/>
                <w:sz w:val="18"/>
              </w:rPr>
              <w:t>15,000</w:t>
            </w:r>
          </w:p>
        </w:tc>
        <w:tc>
          <w:tcPr>
            <w:tcW w:w="1095" w:type="dxa"/>
          </w:tcPr>
          <w:p>
            <w:pPr>
              <w:pStyle w:val="TableParagraph"/>
              <w:spacing w:before="21"/>
              <w:ind w:right="87"/>
              <w:rPr>
                <w:b/>
                <w:sz w:val="18"/>
              </w:rPr>
            </w:pPr>
            <w:r>
              <w:rPr>
                <w:b/>
                <w:w w:val="95"/>
                <w:sz w:val="18"/>
              </w:rPr>
              <w:t>80,500</w:t>
            </w:r>
          </w:p>
        </w:tc>
      </w:tr>
      <w:tr>
        <w:trPr>
          <w:trHeight w:val="260" w:hRule="exact"/>
        </w:trPr>
        <w:tc>
          <w:tcPr>
            <w:tcW w:w="6057" w:type="dxa"/>
          </w:tcPr>
          <w:p>
            <w:pPr>
              <w:pStyle w:val="TableParagraph"/>
              <w:spacing w:before="20"/>
              <w:ind w:left="428"/>
              <w:jc w:val="left"/>
              <w:rPr>
                <w:sz w:val="18"/>
              </w:rPr>
            </w:pPr>
            <w:r>
              <w:rPr>
                <w:sz w:val="18"/>
              </w:rPr>
              <w:t>Accumulated amortisation</w:t>
            </w:r>
          </w:p>
        </w:tc>
        <w:tc>
          <w:tcPr>
            <w:tcW w:w="1392" w:type="dxa"/>
            <w:tcBorders>
              <w:bottom w:val="single" w:sz="1" w:space="0" w:color="000000"/>
            </w:tcBorders>
          </w:tcPr>
          <w:p>
            <w:pPr>
              <w:pStyle w:val="TableParagraph"/>
              <w:spacing w:before="18"/>
              <w:ind w:right="120"/>
              <w:rPr>
                <w:b/>
                <w:sz w:val="18"/>
              </w:rPr>
            </w:pPr>
            <w:r>
              <w:rPr>
                <w:b/>
                <w:w w:val="95"/>
                <w:sz w:val="18"/>
              </w:rPr>
              <w:t>(65,500)</w:t>
            </w:r>
          </w:p>
        </w:tc>
        <w:tc>
          <w:tcPr>
            <w:tcW w:w="1400" w:type="dxa"/>
            <w:tcBorders>
              <w:bottom w:val="single" w:sz="1" w:space="0" w:color="000000"/>
            </w:tcBorders>
          </w:tcPr>
          <w:p>
            <w:pPr>
              <w:pStyle w:val="TableParagraph"/>
              <w:spacing w:before="18"/>
              <w:ind w:left="496"/>
              <w:jc w:val="left"/>
              <w:rPr>
                <w:b/>
                <w:sz w:val="18"/>
              </w:rPr>
            </w:pPr>
            <w:r>
              <w:rPr>
                <w:b/>
                <w:sz w:val="18"/>
              </w:rPr>
              <w:t>(15,000)</w:t>
            </w:r>
          </w:p>
        </w:tc>
        <w:tc>
          <w:tcPr>
            <w:tcW w:w="1095" w:type="dxa"/>
            <w:tcBorders>
              <w:bottom w:val="single" w:sz="1" w:space="0" w:color="000000"/>
            </w:tcBorders>
          </w:tcPr>
          <w:p>
            <w:pPr>
              <w:pStyle w:val="TableParagraph"/>
              <w:spacing w:before="18"/>
              <w:ind w:right="26"/>
              <w:rPr>
                <w:b/>
                <w:sz w:val="18"/>
              </w:rPr>
            </w:pPr>
            <w:r>
              <w:rPr>
                <w:b/>
                <w:w w:val="95"/>
                <w:sz w:val="18"/>
              </w:rPr>
              <w:t>(80,500)</w:t>
            </w:r>
          </w:p>
        </w:tc>
      </w:tr>
    </w:tbl>
    <w:p>
      <w:pPr>
        <w:tabs>
          <w:tab w:pos="8459" w:val="left" w:leader="none"/>
          <w:tab w:pos="9753" w:val="left" w:leader="none"/>
          <w:tab w:pos="11049" w:val="left" w:leader="none"/>
        </w:tabs>
        <w:spacing w:before="122"/>
        <w:ind w:left="1824" w:right="0" w:firstLine="0"/>
        <w:jc w:val="left"/>
        <w:rPr>
          <w:b/>
          <w:sz w:val="18"/>
        </w:rPr>
      </w:pPr>
      <w:r>
        <w:rPr/>
        <w:pict>
          <v:group style="position:absolute;margin-left:372.524994pt;margin-top:84.306915pt;width:194.55pt;height:1pt;mso-position-horizontal-relative:page;mso-position-vertical-relative:paragraph;z-index:-1197136" coordorigin="7450,1686" coordsize="3891,20">
            <v:line style="position:absolute" from="7452,1688" to="8748,1688" stroked="true" strokeweight=".12pt" strokecolor="#000000"/>
            <v:line style="position:absolute" from="7452,1690" to="8748,1690" stroked="true" strokeweight=".12pt" strokecolor="#000000"/>
            <v:line style="position:absolute" from="7452,1692" to="8748,1692" stroked="true" strokeweight=".12pt" strokecolor="#000000"/>
            <v:line style="position:absolute" from="7452,1695" to="8748,1695" stroked="true" strokeweight=".12pt" strokecolor="#000000"/>
            <v:line style="position:absolute" from="7452,1697" to="8748,1697" stroked="true" strokeweight=".12pt" strokecolor="#000000"/>
            <v:line style="position:absolute" from="7452,1700" to="8748,1700" stroked="true" strokeweight=".12pt" strokecolor="#000000"/>
            <v:line style="position:absolute" from="7452,1702" to="8748,1702" stroked="true" strokeweight=".12pt" strokecolor="#000000"/>
            <v:line style="position:absolute" from="7452,1704" to="8748,1704" stroked="true" strokeweight=".12pt" strokecolor="#000000"/>
            <v:line style="position:absolute" from="8748,1688" to="10044,1688" stroked="true" strokeweight=".12pt" strokecolor="#000000"/>
            <v:line style="position:absolute" from="8748,1690" to="10044,1690" stroked="true" strokeweight=".12pt" strokecolor="#000000"/>
            <v:line style="position:absolute" from="8748,1692" to="10044,1692" stroked="true" strokeweight=".12pt" strokecolor="#000000"/>
            <v:line style="position:absolute" from="8748,1695" to="10044,1695" stroked="true" strokeweight=".12pt" strokecolor="#000000"/>
            <v:line style="position:absolute" from="8748,1697" to="10044,1697" stroked="true" strokeweight=".12pt" strokecolor="#000000"/>
            <v:line style="position:absolute" from="8748,1700" to="10044,1700" stroked="true" strokeweight=".12pt" strokecolor="#000000"/>
            <v:line style="position:absolute" from="8748,1702" to="10044,1702" stroked="true" strokeweight=".12pt" strokecolor="#000000"/>
            <v:line style="position:absolute" from="8748,1704" to="10044,1704" stroked="true" strokeweight=".12pt" strokecolor="#000000"/>
            <v:line style="position:absolute" from="10044,1688" to="11340,1688" stroked="true" strokeweight=".12pt" strokecolor="#000000"/>
            <v:line style="position:absolute" from="10044,1690" to="11340,1690" stroked="true" strokeweight=".12pt" strokecolor="#000000"/>
            <v:line style="position:absolute" from="10044,1692" to="11340,1692" stroked="true" strokeweight=".12pt" strokecolor="#000000"/>
            <v:line style="position:absolute" from="10044,1695" to="11340,1695" stroked="true" strokeweight=".12pt" strokecolor="#000000"/>
            <v:line style="position:absolute" from="10044,1697" to="11340,1697" stroked="true" strokeweight=".12pt" strokecolor="#000000"/>
            <v:line style="position:absolute" from="10044,1700" to="11340,1700" stroked="true" strokeweight=".12pt" strokecolor="#000000"/>
            <v:line style="position:absolute" from="10044,1702" to="11340,1702" stroked="true" strokeweight=".12pt" strokecolor="#000000"/>
            <v:line style="position:absolute" from="10044,1704" to="11340,1704" stroked="true" strokeweight=".12pt" strokecolor="#000000"/>
            <w10:wrap type="none"/>
          </v:group>
        </w:pict>
      </w:r>
      <w:r>
        <w:rPr>
          <w:b/>
          <w:sz w:val="18"/>
        </w:rPr>
        <w:t>Net book amount</w:t>
        <w:tab/>
        <w:t>-</w:t>
        <w:tab/>
        <w:t>-</w:t>
        <w:tab/>
        <w:t>-</w:t>
      </w:r>
    </w:p>
    <w:p>
      <w:pPr>
        <w:pStyle w:val="BodyText"/>
        <w:spacing w:line="60" w:lineRule="exact"/>
        <w:ind w:left="7450"/>
        <w:rPr>
          <w:sz w:val="6"/>
        </w:rPr>
      </w:pPr>
      <w:r>
        <w:rPr>
          <w:position w:val="0"/>
          <w:sz w:val="6"/>
        </w:rPr>
        <w:pict>
          <v:group style="width:194.55pt;height:3.05pt;mso-position-horizontal-relative:char;mso-position-vertical-relative:line" coordorigin="0,0" coordsize="3891,61">
            <v:line style="position:absolute" from="2,2" to="1298,2" stroked="true" strokeweight=".12pt" strokecolor="#000000"/>
            <v:line style="position:absolute" from="2,4" to="1298,4" stroked="true" strokeweight=".12pt" strokecolor="#000000"/>
            <v:line style="position:absolute" from="2,6" to="1298,6" stroked="true" strokeweight=".12pt" strokecolor="#000000"/>
            <v:line style="position:absolute" from="2,9" to="1298,9" stroked="true" strokeweight=".12pt" strokecolor="#000000"/>
            <v:line style="position:absolute" from="2,11" to="1298,11" stroked="true" strokeweight=".12pt" strokecolor="#000000"/>
            <v:line style="position:absolute" from="2,14" to="1298,14" stroked="true" strokeweight=".12pt" strokecolor="#000000"/>
            <v:line style="position:absolute" from="2,16" to="1298,16" stroked="true" strokeweight=".12pt" strokecolor="#000000"/>
            <v:line style="position:absolute" from="2,18" to="1298,18" stroked="true" strokeweight=".12pt" strokecolor="#000000"/>
            <v:line style="position:absolute" from="2,42" to="1298,42" stroked="true" strokeweight=".12pt" strokecolor="#000000"/>
            <v:line style="position:absolute" from="2,45" to="1298,45" stroked="true" strokeweight=".12pt" strokecolor="#000000"/>
            <v:line style="position:absolute" from="2,47" to="1298,47" stroked="true" strokeweight=".12pt" strokecolor="#000000"/>
            <v:line style="position:absolute" from="2,49" to="1298,49" stroked="true" strokeweight=".12pt" strokecolor="#000000"/>
            <v:line style="position:absolute" from="2,52" to="1298,52" stroked="true" strokeweight=".12pt" strokecolor="#000000"/>
            <v:line style="position:absolute" from="2,54" to="1298,54" stroked="true" strokeweight=".12pt" strokecolor="#000000"/>
            <v:line style="position:absolute" from="2,57" to="1298,57" stroked="true" strokeweight=".12pt" strokecolor="#000000"/>
            <v:line style="position:absolute" from="2,59" to="1298,59" stroked="true" strokeweight=".12pt" strokecolor="#000000"/>
            <v:line style="position:absolute" from="1298,2" to="2594,2" stroked="true" strokeweight=".12pt" strokecolor="#000000"/>
            <v:line style="position:absolute" from="1298,4" to="2594,4" stroked="true" strokeweight=".12pt" strokecolor="#000000"/>
            <v:line style="position:absolute" from="1298,6" to="2594,6" stroked="true" strokeweight=".12pt" strokecolor="#000000"/>
            <v:line style="position:absolute" from="1298,9" to="2594,9" stroked="true" strokeweight=".12pt" strokecolor="#000000"/>
            <v:line style="position:absolute" from="1298,11" to="2594,11" stroked="true" strokeweight=".12pt" strokecolor="#000000"/>
            <v:line style="position:absolute" from="1298,14" to="2594,14" stroked="true" strokeweight=".12pt" strokecolor="#000000"/>
            <v:line style="position:absolute" from="1298,16" to="2594,16" stroked="true" strokeweight=".12pt" strokecolor="#000000"/>
            <v:line style="position:absolute" from="1298,18" to="2594,18" stroked="true" strokeweight=".12pt" strokecolor="#000000"/>
            <v:line style="position:absolute" from="1298,42" to="2594,42" stroked="true" strokeweight=".12pt" strokecolor="#000000"/>
            <v:line style="position:absolute" from="1298,45" to="2594,45" stroked="true" strokeweight=".12pt" strokecolor="#000000"/>
            <v:line style="position:absolute" from="1298,47" to="2594,47" stroked="true" strokeweight=".12pt" strokecolor="#000000"/>
            <v:line style="position:absolute" from="1298,49" to="2594,49" stroked="true" strokeweight=".12pt" strokecolor="#000000"/>
            <v:line style="position:absolute" from="1298,52" to="2594,52" stroked="true" strokeweight=".12pt" strokecolor="#000000"/>
            <v:line style="position:absolute" from="1298,54" to="2594,54" stroked="true" strokeweight=".12pt" strokecolor="#000000"/>
            <v:line style="position:absolute" from="1298,57" to="2594,57" stroked="true" strokeweight=".12pt" strokecolor="#000000"/>
            <v:line style="position:absolute" from="1298,59" to="2594,59" stroked="true" strokeweight=".12pt" strokecolor="#000000"/>
            <v:line style="position:absolute" from="2594,2" to="3890,2" stroked="true" strokeweight=".12pt" strokecolor="#000000"/>
            <v:line style="position:absolute" from="2594,4" to="3890,4" stroked="true" strokeweight=".12pt" strokecolor="#000000"/>
            <v:line style="position:absolute" from="2594,6" to="3890,6" stroked="true" strokeweight=".12pt" strokecolor="#000000"/>
            <v:line style="position:absolute" from="2594,9" to="3890,9" stroked="true" strokeweight=".12pt" strokecolor="#000000"/>
            <v:line style="position:absolute" from="2594,11" to="3890,11" stroked="true" strokeweight=".12pt" strokecolor="#000000"/>
            <v:line style="position:absolute" from="2594,14" to="3890,14" stroked="true" strokeweight=".12pt" strokecolor="#000000"/>
            <v:line style="position:absolute" from="2594,16" to="3890,16" stroked="true" strokeweight=".12pt" strokecolor="#000000"/>
            <v:line style="position:absolute" from="2594,18" to="3890,18" stroked="true" strokeweight=".12pt" strokecolor="#000000"/>
            <v:line style="position:absolute" from="2594,42" to="3890,42" stroked="true" strokeweight=".12pt" strokecolor="#000000"/>
            <v:line style="position:absolute" from="2594,45" to="3890,45" stroked="true" strokeweight=".12pt" strokecolor="#000000"/>
            <v:line style="position:absolute" from="2594,47" to="3890,47" stroked="true" strokeweight=".12pt" strokecolor="#000000"/>
            <v:line style="position:absolute" from="2594,49" to="3890,49" stroked="true" strokeweight=".12pt" strokecolor="#000000"/>
            <v:line style="position:absolute" from="2594,52" to="3890,52" stroked="true" strokeweight=".12pt" strokecolor="#000000"/>
            <v:line style="position:absolute" from="2594,54" to="3890,54" stroked="true" strokeweight=".12pt" strokecolor="#000000"/>
            <v:line style="position:absolute" from="2594,57" to="3890,57" stroked="true" strokeweight=".12pt" strokecolor="#000000"/>
            <v:line style="position:absolute" from="2594,59" to="3890,59" stroked="true" strokeweight=".12pt" strokecolor="#000000"/>
          </v:group>
        </w:pict>
      </w:r>
      <w:r>
        <w:rPr>
          <w:position w:val="0"/>
          <w:sz w:val="6"/>
        </w:rPr>
      </w:r>
    </w:p>
    <w:p>
      <w:pPr>
        <w:pStyle w:val="BodyText"/>
        <w:spacing w:before="1" w:after="1"/>
        <w:rPr>
          <w:b/>
          <w:sz w:val="10"/>
        </w:rPr>
      </w:pPr>
    </w:p>
    <w:tbl>
      <w:tblPr>
        <w:tblW w:w="0" w:type="auto"/>
        <w:jc w:val="left"/>
        <w:tblInd w:w="178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663"/>
        <w:gridCol w:w="2874"/>
        <w:gridCol w:w="1014"/>
      </w:tblGrid>
      <w:tr>
        <w:trPr>
          <w:trHeight w:val="592" w:hRule="exact"/>
        </w:trPr>
        <w:tc>
          <w:tcPr>
            <w:tcW w:w="5663" w:type="dxa"/>
          </w:tcPr>
          <w:p>
            <w:pPr>
              <w:pStyle w:val="TableParagraph"/>
              <w:spacing w:before="77"/>
              <w:ind w:left="35"/>
              <w:jc w:val="left"/>
              <w:rPr>
                <w:b/>
                <w:sz w:val="18"/>
              </w:rPr>
            </w:pPr>
            <w:r>
              <w:rPr>
                <w:b/>
                <w:sz w:val="18"/>
              </w:rPr>
              <w:t>Year ended 31 December 2016</w:t>
            </w:r>
          </w:p>
          <w:p>
            <w:pPr>
              <w:pStyle w:val="TableParagraph"/>
              <w:spacing w:before="64"/>
              <w:ind w:left="35"/>
              <w:jc w:val="left"/>
              <w:rPr>
                <w:sz w:val="18"/>
              </w:rPr>
            </w:pPr>
            <w:r>
              <w:rPr>
                <w:sz w:val="18"/>
              </w:rPr>
              <w:t>Opening net book amount</w:t>
            </w:r>
          </w:p>
        </w:tc>
        <w:tc>
          <w:tcPr>
            <w:tcW w:w="2874" w:type="dxa"/>
          </w:tcPr>
          <w:p>
            <w:pPr>
              <w:pStyle w:val="TableParagraph"/>
              <w:jc w:val="left"/>
              <w:rPr>
                <w:b/>
                <w:sz w:val="18"/>
              </w:rPr>
            </w:pPr>
          </w:p>
          <w:p>
            <w:pPr>
              <w:pStyle w:val="TableParagraph"/>
              <w:tabs>
                <w:tab w:pos="943" w:val="left" w:leader="none"/>
              </w:tabs>
              <w:spacing w:before="139"/>
              <w:ind w:right="369"/>
              <w:rPr>
                <w:b/>
                <w:sz w:val="18"/>
              </w:rPr>
            </w:pPr>
            <w:r>
              <w:rPr>
                <w:b/>
                <w:sz w:val="18"/>
              </w:rPr>
              <w:t>-</w:t>
              <w:tab/>
            </w:r>
            <w:r>
              <w:rPr>
                <w:b/>
                <w:w w:val="95"/>
                <w:sz w:val="18"/>
              </w:rPr>
              <w:t>10,942</w:t>
            </w:r>
          </w:p>
        </w:tc>
        <w:tc>
          <w:tcPr>
            <w:tcW w:w="1014" w:type="dxa"/>
          </w:tcPr>
          <w:p>
            <w:pPr>
              <w:pStyle w:val="TableParagraph"/>
              <w:jc w:val="left"/>
              <w:rPr>
                <w:b/>
                <w:sz w:val="18"/>
              </w:rPr>
            </w:pPr>
          </w:p>
          <w:p>
            <w:pPr>
              <w:pStyle w:val="TableParagraph"/>
              <w:spacing w:before="139"/>
              <w:ind w:right="87"/>
              <w:rPr>
                <w:b/>
                <w:sz w:val="18"/>
              </w:rPr>
            </w:pPr>
            <w:r>
              <w:rPr>
                <w:b/>
                <w:w w:val="95"/>
                <w:sz w:val="18"/>
              </w:rPr>
              <w:t>10,942</w:t>
            </w:r>
          </w:p>
        </w:tc>
      </w:tr>
      <w:tr>
        <w:trPr>
          <w:trHeight w:val="260" w:hRule="exact"/>
        </w:trPr>
        <w:tc>
          <w:tcPr>
            <w:tcW w:w="5663" w:type="dxa"/>
          </w:tcPr>
          <w:p>
            <w:pPr>
              <w:pStyle w:val="TableParagraph"/>
              <w:spacing w:before="20"/>
              <w:ind w:left="35"/>
              <w:jc w:val="left"/>
              <w:rPr>
                <w:sz w:val="18"/>
              </w:rPr>
            </w:pPr>
            <w:r>
              <w:rPr>
                <w:sz w:val="18"/>
              </w:rPr>
              <w:t>Amortisation</w:t>
            </w:r>
          </w:p>
        </w:tc>
        <w:tc>
          <w:tcPr>
            <w:tcW w:w="2874" w:type="dxa"/>
            <w:tcBorders>
              <w:bottom w:val="single" w:sz="1" w:space="0" w:color="000000"/>
            </w:tcBorders>
          </w:tcPr>
          <w:p>
            <w:pPr>
              <w:pStyle w:val="TableParagraph"/>
              <w:tabs>
                <w:tab w:pos="883" w:val="left" w:leader="none"/>
              </w:tabs>
              <w:spacing w:before="18"/>
              <w:ind w:right="308"/>
              <w:rPr>
                <w:b/>
                <w:sz w:val="18"/>
              </w:rPr>
            </w:pPr>
            <w:r>
              <w:rPr>
                <w:b/>
                <w:sz w:val="18"/>
              </w:rPr>
              <w:t>-</w:t>
              <w:tab/>
            </w:r>
            <w:r>
              <w:rPr>
                <w:b/>
                <w:spacing w:val="-1"/>
                <w:sz w:val="18"/>
              </w:rPr>
              <w:t>(10,942)</w:t>
            </w:r>
          </w:p>
        </w:tc>
        <w:tc>
          <w:tcPr>
            <w:tcW w:w="1014" w:type="dxa"/>
            <w:tcBorders>
              <w:bottom w:val="single" w:sz="1" w:space="0" w:color="000000"/>
            </w:tcBorders>
          </w:tcPr>
          <w:p>
            <w:pPr>
              <w:pStyle w:val="TableParagraph"/>
              <w:spacing w:before="18"/>
              <w:ind w:right="26"/>
              <w:rPr>
                <w:b/>
                <w:sz w:val="18"/>
              </w:rPr>
            </w:pPr>
            <w:r>
              <w:rPr>
                <w:b/>
                <w:w w:val="95"/>
                <w:sz w:val="18"/>
              </w:rPr>
              <w:t>(10,942)</w:t>
            </w:r>
          </w:p>
        </w:tc>
      </w:tr>
      <w:tr>
        <w:trPr>
          <w:trHeight w:val="448" w:hRule="exact"/>
        </w:trPr>
        <w:tc>
          <w:tcPr>
            <w:tcW w:w="5663" w:type="dxa"/>
          </w:tcPr>
          <w:p>
            <w:pPr>
              <w:pStyle w:val="TableParagraph"/>
              <w:spacing w:before="125"/>
              <w:ind w:left="35"/>
              <w:jc w:val="left"/>
              <w:rPr>
                <w:b/>
                <w:sz w:val="18"/>
              </w:rPr>
            </w:pPr>
            <w:r>
              <w:rPr>
                <w:b/>
                <w:sz w:val="18"/>
              </w:rPr>
              <w:t>Closing net book amount</w:t>
            </w:r>
          </w:p>
        </w:tc>
        <w:tc>
          <w:tcPr>
            <w:tcW w:w="2874" w:type="dxa"/>
          </w:tcPr>
          <w:p>
            <w:pPr>
              <w:pStyle w:val="TableParagraph"/>
              <w:tabs>
                <w:tab w:pos="2301" w:val="left" w:leader="none"/>
              </w:tabs>
              <w:spacing w:before="125"/>
              <w:ind w:left="1005"/>
              <w:jc w:val="left"/>
              <w:rPr>
                <w:b/>
                <w:sz w:val="18"/>
              </w:rPr>
            </w:pPr>
            <w:r>
              <w:rPr>
                <w:b/>
                <w:sz w:val="18"/>
              </w:rPr>
              <w:t>-</w:t>
              <w:tab/>
              <w:t>-</w:t>
            </w:r>
          </w:p>
        </w:tc>
        <w:tc>
          <w:tcPr>
            <w:tcW w:w="1014" w:type="dxa"/>
          </w:tcPr>
          <w:p>
            <w:pPr>
              <w:pStyle w:val="TableParagraph"/>
              <w:spacing w:before="125"/>
              <w:ind w:right="228"/>
              <w:rPr>
                <w:b/>
                <w:sz w:val="18"/>
              </w:rPr>
            </w:pPr>
            <w:r>
              <w:rPr>
                <w:b/>
                <w:w w:val="99"/>
                <w:sz w:val="18"/>
              </w:rPr>
              <w:t>-</w:t>
            </w:r>
          </w:p>
        </w:tc>
      </w:tr>
      <w:tr>
        <w:trPr>
          <w:trHeight w:val="481" w:hRule="exact"/>
        </w:trPr>
        <w:tc>
          <w:tcPr>
            <w:tcW w:w="5663" w:type="dxa"/>
          </w:tcPr>
          <w:p>
            <w:pPr>
              <w:pStyle w:val="TableParagraph"/>
              <w:spacing w:before="97"/>
              <w:ind w:left="35"/>
              <w:jc w:val="left"/>
              <w:rPr>
                <w:b/>
                <w:sz w:val="18"/>
              </w:rPr>
            </w:pPr>
            <w:r>
              <w:rPr>
                <w:b/>
                <w:sz w:val="18"/>
              </w:rPr>
              <w:t>At 31 December 2016</w:t>
            </w:r>
          </w:p>
        </w:tc>
        <w:tc>
          <w:tcPr>
            <w:tcW w:w="2874" w:type="dxa"/>
          </w:tcPr>
          <w:p>
            <w:pPr/>
          </w:p>
        </w:tc>
        <w:tc>
          <w:tcPr>
            <w:tcW w:w="1014" w:type="dxa"/>
          </w:tcPr>
          <w:p>
            <w:pPr/>
          </w:p>
        </w:tc>
      </w:tr>
      <w:tr>
        <w:trPr>
          <w:trHeight w:val="404" w:hRule="exact"/>
        </w:trPr>
        <w:tc>
          <w:tcPr>
            <w:tcW w:w="5663" w:type="dxa"/>
          </w:tcPr>
          <w:p>
            <w:pPr>
              <w:pStyle w:val="TableParagraph"/>
              <w:spacing w:before="160"/>
              <w:ind w:left="35"/>
              <w:jc w:val="left"/>
              <w:rPr>
                <w:sz w:val="18"/>
              </w:rPr>
            </w:pPr>
            <w:r>
              <w:rPr>
                <w:sz w:val="18"/>
              </w:rPr>
              <w:t>Cost</w:t>
            </w:r>
          </w:p>
        </w:tc>
        <w:tc>
          <w:tcPr>
            <w:tcW w:w="2874" w:type="dxa"/>
          </w:tcPr>
          <w:p>
            <w:pPr>
              <w:pStyle w:val="TableParagraph"/>
              <w:tabs>
                <w:tab w:pos="1948" w:val="left" w:leader="none"/>
              </w:tabs>
              <w:spacing w:before="158"/>
              <w:ind w:left="652"/>
              <w:jc w:val="left"/>
              <w:rPr>
                <w:sz w:val="18"/>
              </w:rPr>
            </w:pPr>
            <w:r>
              <w:rPr>
                <w:sz w:val="18"/>
              </w:rPr>
              <w:t>65,500</w:t>
              <w:tab/>
              <w:t>15,000</w:t>
            </w:r>
          </w:p>
        </w:tc>
        <w:tc>
          <w:tcPr>
            <w:tcW w:w="1014" w:type="dxa"/>
          </w:tcPr>
          <w:p>
            <w:pPr>
              <w:pStyle w:val="TableParagraph"/>
              <w:spacing w:before="158"/>
              <w:ind w:right="87"/>
              <w:rPr>
                <w:sz w:val="18"/>
              </w:rPr>
            </w:pPr>
            <w:r>
              <w:rPr>
                <w:w w:val="95"/>
                <w:sz w:val="18"/>
              </w:rPr>
              <w:t>80,500</w:t>
            </w:r>
          </w:p>
        </w:tc>
      </w:tr>
      <w:tr>
        <w:trPr>
          <w:trHeight w:val="260" w:hRule="exact"/>
        </w:trPr>
        <w:tc>
          <w:tcPr>
            <w:tcW w:w="5663" w:type="dxa"/>
          </w:tcPr>
          <w:p>
            <w:pPr>
              <w:pStyle w:val="TableParagraph"/>
              <w:spacing w:before="20"/>
              <w:ind w:left="35"/>
              <w:jc w:val="left"/>
              <w:rPr>
                <w:sz w:val="18"/>
              </w:rPr>
            </w:pPr>
            <w:r>
              <w:rPr>
                <w:sz w:val="18"/>
              </w:rPr>
              <w:t>Accumulated amortisation</w:t>
            </w:r>
          </w:p>
        </w:tc>
        <w:tc>
          <w:tcPr>
            <w:tcW w:w="2874" w:type="dxa"/>
            <w:tcBorders>
              <w:bottom w:val="single" w:sz="1" w:space="0" w:color="000000"/>
            </w:tcBorders>
          </w:tcPr>
          <w:p>
            <w:pPr>
              <w:pStyle w:val="TableParagraph"/>
              <w:tabs>
                <w:tab w:pos="1295" w:val="left" w:leader="none"/>
              </w:tabs>
              <w:spacing w:before="18"/>
              <w:ind w:right="308"/>
              <w:rPr>
                <w:sz w:val="18"/>
              </w:rPr>
            </w:pPr>
            <w:r>
              <w:rPr>
                <w:sz w:val="18"/>
              </w:rPr>
              <w:t>(65,500)</w:t>
              <w:tab/>
            </w:r>
            <w:r>
              <w:rPr>
                <w:spacing w:val="-1"/>
                <w:sz w:val="18"/>
              </w:rPr>
              <w:t>(15,000)</w:t>
            </w:r>
          </w:p>
        </w:tc>
        <w:tc>
          <w:tcPr>
            <w:tcW w:w="1014" w:type="dxa"/>
            <w:tcBorders>
              <w:bottom w:val="single" w:sz="1" w:space="0" w:color="000000"/>
            </w:tcBorders>
          </w:tcPr>
          <w:p>
            <w:pPr>
              <w:pStyle w:val="TableParagraph"/>
              <w:spacing w:before="18"/>
              <w:ind w:right="26"/>
              <w:rPr>
                <w:sz w:val="18"/>
              </w:rPr>
            </w:pPr>
            <w:r>
              <w:rPr>
                <w:w w:val="95"/>
                <w:sz w:val="18"/>
              </w:rPr>
              <w:t>(80,500)</w:t>
            </w:r>
          </w:p>
        </w:tc>
      </w:tr>
      <w:tr>
        <w:trPr>
          <w:trHeight w:val="353" w:hRule="exact"/>
        </w:trPr>
        <w:tc>
          <w:tcPr>
            <w:tcW w:w="5663" w:type="dxa"/>
          </w:tcPr>
          <w:p>
            <w:pPr>
              <w:pStyle w:val="TableParagraph"/>
              <w:spacing w:before="125"/>
              <w:ind w:left="35"/>
              <w:jc w:val="left"/>
              <w:rPr>
                <w:b/>
                <w:sz w:val="18"/>
              </w:rPr>
            </w:pPr>
            <w:r>
              <w:rPr>
                <w:b/>
                <w:sz w:val="18"/>
              </w:rPr>
              <w:t>Net book amount</w:t>
            </w:r>
          </w:p>
        </w:tc>
        <w:tc>
          <w:tcPr>
            <w:tcW w:w="2874" w:type="dxa"/>
            <w:tcBorders>
              <w:top w:val="single" w:sz="1" w:space="0" w:color="000000"/>
              <w:bottom w:val="single" w:sz="1" w:space="0" w:color="000000"/>
            </w:tcBorders>
          </w:tcPr>
          <w:p>
            <w:pPr>
              <w:pStyle w:val="TableParagraph"/>
              <w:tabs>
                <w:tab w:pos="2301" w:val="left" w:leader="none"/>
              </w:tabs>
              <w:spacing w:before="124"/>
              <w:ind w:left="1005"/>
              <w:jc w:val="left"/>
              <w:rPr>
                <w:sz w:val="18"/>
              </w:rPr>
            </w:pPr>
            <w:r>
              <w:rPr>
                <w:sz w:val="18"/>
              </w:rPr>
              <w:t>-</w:t>
              <w:tab/>
              <w:t>-</w:t>
            </w:r>
          </w:p>
        </w:tc>
        <w:tc>
          <w:tcPr>
            <w:tcW w:w="1014" w:type="dxa"/>
            <w:tcBorders>
              <w:top w:val="single" w:sz="1" w:space="0" w:color="000000"/>
              <w:bottom w:val="single" w:sz="1" w:space="0" w:color="000000"/>
            </w:tcBorders>
          </w:tcPr>
          <w:p>
            <w:pPr>
              <w:pStyle w:val="TableParagraph"/>
              <w:spacing w:before="124"/>
              <w:ind w:right="228"/>
              <w:rPr>
                <w:sz w:val="18"/>
              </w:rPr>
            </w:pPr>
            <w:r>
              <w:rPr>
                <w:w w:val="99"/>
                <w:sz w:val="18"/>
              </w:rPr>
              <w:t>-</w:t>
            </w:r>
          </w:p>
        </w:tc>
      </w:tr>
      <w:tr>
        <w:trPr>
          <w:trHeight w:val="469" w:hRule="exact"/>
        </w:trPr>
        <w:tc>
          <w:tcPr>
            <w:tcW w:w="5663" w:type="dxa"/>
          </w:tcPr>
          <w:p>
            <w:pPr>
              <w:pStyle w:val="TableParagraph"/>
              <w:spacing w:before="2"/>
              <w:jc w:val="left"/>
              <w:rPr>
                <w:b/>
                <w:sz w:val="19"/>
              </w:rPr>
            </w:pPr>
          </w:p>
          <w:p>
            <w:pPr>
              <w:pStyle w:val="TableParagraph"/>
              <w:ind w:left="35"/>
              <w:jc w:val="left"/>
              <w:rPr>
                <w:b/>
                <w:sz w:val="18"/>
              </w:rPr>
            </w:pPr>
            <w:r>
              <w:rPr>
                <w:b/>
                <w:sz w:val="18"/>
              </w:rPr>
              <w:t>At 1 January 2015</w:t>
            </w:r>
          </w:p>
        </w:tc>
        <w:tc>
          <w:tcPr>
            <w:tcW w:w="2874" w:type="dxa"/>
            <w:tcBorders>
              <w:top w:val="single" w:sz="1" w:space="0" w:color="000000"/>
            </w:tcBorders>
          </w:tcPr>
          <w:p>
            <w:pPr/>
          </w:p>
        </w:tc>
        <w:tc>
          <w:tcPr>
            <w:tcW w:w="1014" w:type="dxa"/>
            <w:tcBorders>
              <w:top w:val="single" w:sz="1" w:space="0" w:color="000000"/>
            </w:tcBorders>
          </w:tcPr>
          <w:p>
            <w:pPr/>
          </w:p>
        </w:tc>
      </w:tr>
      <w:tr>
        <w:trPr>
          <w:trHeight w:val="268" w:hRule="exact"/>
        </w:trPr>
        <w:tc>
          <w:tcPr>
            <w:tcW w:w="5663" w:type="dxa"/>
          </w:tcPr>
          <w:p>
            <w:pPr>
              <w:pStyle w:val="TableParagraph"/>
              <w:spacing w:before="24"/>
              <w:ind w:left="35"/>
              <w:jc w:val="left"/>
              <w:rPr>
                <w:sz w:val="18"/>
              </w:rPr>
            </w:pPr>
            <w:r>
              <w:rPr>
                <w:sz w:val="18"/>
              </w:rPr>
              <w:t>Cost</w:t>
            </w:r>
          </w:p>
        </w:tc>
        <w:tc>
          <w:tcPr>
            <w:tcW w:w="2874" w:type="dxa"/>
          </w:tcPr>
          <w:p>
            <w:pPr>
              <w:pStyle w:val="TableParagraph"/>
              <w:tabs>
                <w:tab w:pos="1948" w:val="left" w:leader="none"/>
              </w:tabs>
              <w:spacing w:before="21"/>
              <w:ind w:left="652"/>
              <w:jc w:val="left"/>
              <w:rPr>
                <w:sz w:val="18"/>
              </w:rPr>
            </w:pPr>
            <w:r>
              <w:rPr>
                <w:sz w:val="18"/>
              </w:rPr>
              <w:t>65,500</w:t>
              <w:tab/>
              <w:t>15,000</w:t>
            </w:r>
          </w:p>
        </w:tc>
        <w:tc>
          <w:tcPr>
            <w:tcW w:w="1014" w:type="dxa"/>
          </w:tcPr>
          <w:p>
            <w:pPr>
              <w:pStyle w:val="TableParagraph"/>
              <w:spacing w:before="21"/>
              <w:ind w:right="87"/>
              <w:rPr>
                <w:sz w:val="18"/>
              </w:rPr>
            </w:pPr>
            <w:r>
              <w:rPr>
                <w:w w:val="95"/>
                <w:sz w:val="18"/>
              </w:rPr>
              <w:t>80,500</w:t>
            </w:r>
          </w:p>
        </w:tc>
      </w:tr>
      <w:tr>
        <w:trPr>
          <w:trHeight w:val="260" w:hRule="exact"/>
        </w:trPr>
        <w:tc>
          <w:tcPr>
            <w:tcW w:w="5663" w:type="dxa"/>
          </w:tcPr>
          <w:p>
            <w:pPr>
              <w:pStyle w:val="TableParagraph"/>
              <w:spacing w:before="20"/>
              <w:ind w:left="35"/>
              <w:jc w:val="left"/>
              <w:rPr>
                <w:sz w:val="18"/>
              </w:rPr>
            </w:pPr>
            <w:r>
              <w:rPr>
                <w:sz w:val="18"/>
              </w:rPr>
              <w:t>Accumulated amortisation</w:t>
            </w:r>
          </w:p>
        </w:tc>
        <w:tc>
          <w:tcPr>
            <w:tcW w:w="2874" w:type="dxa"/>
            <w:tcBorders>
              <w:bottom w:val="single" w:sz="1" w:space="0" w:color="000000"/>
            </w:tcBorders>
          </w:tcPr>
          <w:p>
            <w:pPr>
              <w:pStyle w:val="TableParagraph"/>
              <w:tabs>
                <w:tab w:pos="1396" w:val="left" w:leader="none"/>
              </w:tabs>
              <w:spacing w:before="18"/>
              <w:ind w:right="308"/>
              <w:rPr>
                <w:sz w:val="18"/>
              </w:rPr>
            </w:pPr>
            <w:r>
              <w:rPr>
                <w:sz w:val="18"/>
              </w:rPr>
              <w:t>(65,500)</w:t>
              <w:tab/>
            </w:r>
            <w:r>
              <w:rPr>
                <w:w w:val="95"/>
                <w:sz w:val="18"/>
              </w:rPr>
              <w:t>(3,308)</w:t>
            </w:r>
          </w:p>
        </w:tc>
        <w:tc>
          <w:tcPr>
            <w:tcW w:w="1014" w:type="dxa"/>
            <w:tcBorders>
              <w:bottom w:val="single" w:sz="1" w:space="0" w:color="000000"/>
            </w:tcBorders>
          </w:tcPr>
          <w:p>
            <w:pPr>
              <w:pStyle w:val="TableParagraph"/>
              <w:spacing w:before="18"/>
              <w:ind w:right="26"/>
              <w:rPr>
                <w:sz w:val="18"/>
              </w:rPr>
            </w:pPr>
            <w:r>
              <w:rPr>
                <w:w w:val="95"/>
                <w:sz w:val="18"/>
              </w:rPr>
              <w:t>(68,808)</w:t>
            </w:r>
          </w:p>
        </w:tc>
      </w:tr>
      <w:tr>
        <w:trPr>
          <w:trHeight w:val="353" w:hRule="exact"/>
        </w:trPr>
        <w:tc>
          <w:tcPr>
            <w:tcW w:w="5663" w:type="dxa"/>
          </w:tcPr>
          <w:p>
            <w:pPr>
              <w:pStyle w:val="TableParagraph"/>
              <w:spacing w:before="125"/>
              <w:ind w:left="35"/>
              <w:jc w:val="left"/>
              <w:rPr>
                <w:b/>
                <w:sz w:val="18"/>
              </w:rPr>
            </w:pPr>
            <w:r>
              <w:rPr>
                <w:b/>
                <w:sz w:val="18"/>
              </w:rPr>
              <w:t>Net book amount</w:t>
            </w:r>
          </w:p>
        </w:tc>
        <w:tc>
          <w:tcPr>
            <w:tcW w:w="2874" w:type="dxa"/>
            <w:tcBorders>
              <w:top w:val="single" w:sz="1" w:space="0" w:color="000000"/>
              <w:bottom w:val="single" w:sz="1" w:space="0" w:color="000000"/>
            </w:tcBorders>
          </w:tcPr>
          <w:p>
            <w:pPr>
              <w:pStyle w:val="TableParagraph"/>
              <w:tabs>
                <w:tab w:pos="943" w:val="left" w:leader="none"/>
              </w:tabs>
              <w:spacing w:before="124"/>
              <w:ind w:right="369"/>
              <w:rPr>
                <w:b/>
                <w:sz w:val="18"/>
              </w:rPr>
            </w:pPr>
            <w:r>
              <w:rPr>
                <w:b/>
                <w:sz w:val="18"/>
              </w:rPr>
              <w:t>-</w:t>
              <w:tab/>
            </w:r>
            <w:r>
              <w:rPr>
                <w:b/>
                <w:w w:val="95"/>
                <w:sz w:val="18"/>
              </w:rPr>
              <w:t>11,692</w:t>
            </w:r>
          </w:p>
        </w:tc>
        <w:tc>
          <w:tcPr>
            <w:tcW w:w="1014" w:type="dxa"/>
            <w:tcBorders>
              <w:top w:val="single" w:sz="1" w:space="0" w:color="000000"/>
              <w:bottom w:val="single" w:sz="1" w:space="0" w:color="000000"/>
            </w:tcBorders>
          </w:tcPr>
          <w:p>
            <w:pPr>
              <w:pStyle w:val="TableParagraph"/>
              <w:spacing w:before="124"/>
              <w:ind w:right="87"/>
              <w:rPr>
                <w:b/>
                <w:sz w:val="18"/>
              </w:rPr>
            </w:pPr>
            <w:r>
              <w:rPr>
                <w:b/>
                <w:w w:val="95"/>
                <w:sz w:val="18"/>
              </w:rPr>
              <w:t>11,692</w:t>
            </w:r>
          </w:p>
        </w:tc>
      </w:tr>
      <w:tr>
        <w:trPr>
          <w:trHeight w:val="445" w:hRule="exact"/>
        </w:trPr>
        <w:tc>
          <w:tcPr>
            <w:tcW w:w="5663" w:type="dxa"/>
          </w:tcPr>
          <w:p>
            <w:pPr>
              <w:pStyle w:val="TableParagraph"/>
              <w:spacing w:before="60"/>
              <w:ind w:left="35"/>
              <w:jc w:val="left"/>
              <w:rPr>
                <w:b/>
                <w:sz w:val="18"/>
              </w:rPr>
            </w:pPr>
            <w:r>
              <w:rPr>
                <w:b/>
                <w:sz w:val="18"/>
              </w:rPr>
              <w:t>Year ended 31 December 2015</w:t>
            </w:r>
          </w:p>
        </w:tc>
        <w:tc>
          <w:tcPr>
            <w:tcW w:w="2874" w:type="dxa"/>
            <w:tcBorders>
              <w:top w:val="single" w:sz="1" w:space="0" w:color="000000"/>
            </w:tcBorders>
          </w:tcPr>
          <w:p>
            <w:pPr/>
          </w:p>
        </w:tc>
        <w:tc>
          <w:tcPr>
            <w:tcW w:w="1014" w:type="dxa"/>
            <w:tcBorders>
              <w:top w:val="single" w:sz="1" w:space="0" w:color="000000"/>
            </w:tcBorders>
          </w:tcPr>
          <w:p>
            <w:pPr/>
          </w:p>
        </w:tc>
      </w:tr>
      <w:tr>
        <w:trPr>
          <w:trHeight w:val="404" w:hRule="exact"/>
        </w:trPr>
        <w:tc>
          <w:tcPr>
            <w:tcW w:w="5663" w:type="dxa"/>
          </w:tcPr>
          <w:p>
            <w:pPr>
              <w:pStyle w:val="TableParagraph"/>
              <w:spacing w:before="160"/>
              <w:ind w:left="35"/>
              <w:jc w:val="left"/>
              <w:rPr>
                <w:sz w:val="18"/>
              </w:rPr>
            </w:pPr>
            <w:r>
              <w:rPr>
                <w:sz w:val="18"/>
              </w:rPr>
              <w:t>Opening net book amount</w:t>
            </w:r>
          </w:p>
        </w:tc>
        <w:tc>
          <w:tcPr>
            <w:tcW w:w="2874" w:type="dxa"/>
          </w:tcPr>
          <w:p>
            <w:pPr>
              <w:pStyle w:val="TableParagraph"/>
              <w:tabs>
                <w:tab w:pos="940" w:val="left" w:leader="none"/>
              </w:tabs>
              <w:spacing w:before="158"/>
              <w:ind w:right="369"/>
              <w:rPr>
                <w:b/>
                <w:sz w:val="18"/>
              </w:rPr>
            </w:pPr>
            <w:r>
              <w:rPr>
                <w:b/>
                <w:sz w:val="18"/>
              </w:rPr>
              <w:t>-</w:t>
              <w:tab/>
            </w:r>
            <w:r>
              <w:rPr>
                <w:b/>
                <w:w w:val="95"/>
                <w:sz w:val="18"/>
              </w:rPr>
              <w:t>11,692</w:t>
            </w:r>
          </w:p>
        </w:tc>
        <w:tc>
          <w:tcPr>
            <w:tcW w:w="1014" w:type="dxa"/>
          </w:tcPr>
          <w:p>
            <w:pPr>
              <w:pStyle w:val="TableParagraph"/>
              <w:spacing w:before="158"/>
              <w:ind w:right="87"/>
              <w:rPr>
                <w:b/>
                <w:sz w:val="18"/>
              </w:rPr>
            </w:pPr>
            <w:r>
              <w:rPr>
                <w:b/>
                <w:w w:val="95"/>
                <w:sz w:val="18"/>
              </w:rPr>
              <w:t>11,692</w:t>
            </w:r>
          </w:p>
        </w:tc>
      </w:tr>
      <w:tr>
        <w:trPr>
          <w:trHeight w:val="260" w:hRule="exact"/>
        </w:trPr>
        <w:tc>
          <w:tcPr>
            <w:tcW w:w="5663" w:type="dxa"/>
          </w:tcPr>
          <w:p>
            <w:pPr>
              <w:pStyle w:val="TableParagraph"/>
              <w:spacing w:before="20"/>
              <w:ind w:left="35"/>
              <w:jc w:val="left"/>
              <w:rPr>
                <w:sz w:val="18"/>
              </w:rPr>
            </w:pPr>
            <w:r>
              <w:rPr>
                <w:sz w:val="18"/>
              </w:rPr>
              <w:t>Amortisation charge</w:t>
            </w:r>
          </w:p>
        </w:tc>
        <w:tc>
          <w:tcPr>
            <w:tcW w:w="2874" w:type="dxa"/>
            <w:tcBorders>
              <w:bottom w:val="single" w:sz="1" w:space="0" w:color="000000"/>
            </w:tcBorders>
          </w:tcPr>
          <w:p>
            <w:pPr>
              <w:pStyle w:val="TableParagraph"/>
              <w:tabs>
                <w:tab w:pos="1132" w:val="left" w:leader="none"/>
              </w:tabs>
              <w:spacing w:before="18"/>
              <w:ind w:right="308"/>
              <w:rPr>
                <w:b/>
                <w:sz w:val="18"/>
              </w:rPr>
            </w:pPr>
            <w:r>
              <w:rPr>
                <w:b/>
                <w:sz w:val="18"/>
              </w:rPr>
              <w:t>-</w:t>
              <w:tab/>
            </w:r>
            <w:r>
              <w:rPr>
                <w:b/>
                <w:spacing w:val="-1"/>
                <w:sz w:val="18"/>
              </w:rPr>
              <w:t>(750)</w:t>
            </w:r>
          </w:p>
        </w:tc>
        <w:tc>
          <w:tcPr>
            <w:tcW w:w="1014" w:type="dxa"/>
            <w:tcBorders>
              <w:bottom w:val="single" w:sz="1" w:space="0" w:color="000000"/>
            </w:tcBorders>
          </w:tcPr>
          <w:p>
            <w:pPr>
              <w:pStyle w:val="TableParagraph"/>
              <w:spacing w:before="18"/>
              <w:ind w:right="26"/>
              <w:rPr>
                <w:b/>
                <w:sz w:val="18"/>
              </w:rPr>
            </w:pPr>
            <w:r>
              <w:rPr>
                <w:b/>
                <w:sz w:val="18"/>
              </w:rPr>
              <w:t>(750)</w:t>
            </w:r>
          </w:p>
        </w:tc>
      </w:tr>
      <w:tr>
        <w:trPr>
          <w:trHeight w:val="338" w:hRule="exact"/>
        </w:trPr>
        <w:tc>
          <w:tcPr>
            <w:tcW w:w="5663" w:type="dxa"/>
          </w:tcPr>
          <w:p>
            <w:pPr>
              <w:pStyle w:val="TableParagraph"/>
              <w:spacing w:before="125"/>
              <w:ind w:left="35"/>
              <w:jc w:val="left"/>
              <w:rPr>
                <w:b/>
                <w:sz w:val="18"/>
              </w:rPr>
            </w:pPr>
            <w:r>
              <w:rPr>
                <w:b/>
                <w:sz w:val="18"/>
              </w:rPr>
              <w:t>Closing net book amount</w:t>
            </w:r>
          </w:p>
        </w:tc>
        <w:tc>
          <w:tcPr>
            <w:tcW w:w="2874" w:type="dxa"/>
            <w:tcBorders>
              <w:top w:val="single" w:sz="1" w:space="0" w:color="000000"/>
              <w:bottom w:val="single" w:sz="1" w:space="0" w:color="000000"/>
            </w:tcBorders>
          </w:tcPr>
          <w:p>
            <w:pPr>
              <w:pStyle w:val="TableParagraph"/>
              <w:tabs>
                <w:tab w:pos="940" w:val="left" w:leader="none"/>
              </w:tabs>
              <w:spacing w:before="124"/>
              <w:ind w:right="369"/>
              <w:rPr>
                <w:b/>
                <w:sz w:val="18"/>
              </w:rPr>
            </w:pPr>
            <w:r>
              <w:rPr>
                <w:b/>
                <w:sz w:val="18"/>
              </w:rPr>
              <w:t>-</w:t>
              <w:tab/>
            </w:r>
            <w:r>
              <w:rPr>
                <w:b/>
                <w:w w:val="95"/>
                <w:sz w:val="18"/>
              </w:rPr>
              <w:t>10,942</w:t>
            </w:r>
          </w:p>
        </w:tc>
        <w:tc>
          <w:tcPr>
            <w:tcW w:w="1014" w:type="dxa"/>
            <w:tcBorders>
              <w:top w:val="single" w:sz="1" w:space="0" w:color="000000"/>
              <w:bottom w:val="single" w:sz="1" w:space="0" w:color="000000"/>
            </w:tcBorders>
          </w:tcPr>
          <w:p>
            <w:pPr>
              <w:pStyle w:val="TableParagraph"/>
              <w:spacing w:before="124"/>
              <w:ind w:right="87"/>
              <w:rPr>
                <w:b/>
                <w:sz w:val="18"/>
              </w:rPr>
            </w:pPr>
            <w:r>
              <w:rPr>
                <w:b/>
                <w:w w:val="95"/>
                <w:sz w:val="18"/>
              </w:rPr>
              <w:t>10,942</w:t>
            </w:r>
          </w:p>
        </w:tc>
      </w:tr>
      <w:tr>
        <w:trPr>
          <w:trHeight w:val="293" w:hRule="exact"/>
        </w:trPr>
        <w:tc>
          <w:tcPr>
            <w:tcW w:w="5663" w:type="dxa"/>
          </w:tcPr>
          <w:p>
            <w:pPr>
              <w:pStyle w:val="TableParagraph"/>
              <w:spacing w:before="46"/>
              <w:ind w:left="35"/>
              <w:jc w:val="left"/>
              <w:rPr>
                <w:b/>
                <w:sz w:val="18"/>
              </w:rPr>
            </w:pPr>
            <w:r>
              <w:rPr>
                <w:b/>
                <w:sz w:val="18"/>
              </w:rPr>
              <w:t>At 31 December 2015</w:t>
            </w:r>
          </w:p>
        </w:tc>
        <w:tc>
          <w:tcPr>
            <w:tcW w:w="2874" w:type="dxa"/>
            <w:tcBorders>
              <w:top w:val="single" w:sz="1" w:space="0" w:color="000000"/>
            </w:tcBorders>
          </w:tcPr>
          <w:p>
            <w:pPr/>
          </w:p>
        </w:tc>
        <w:tc>
          <w:tcPr>
            <w:tcW w:w="1014" w:type="dxa"/>
            <w:tcBorders>
              <w:top w:val="single" w:sz="1" w:space="0" w:color="000000"/>
            </w:tcBorders>
          </w:tcPr>
          <w:p>
            <w:pPr/>
          </w:p>
        </w:tc>
      </w:tr>
      <w:tr>
        <w:trPr>
          <w:trHeight w:val="268" w:hRule="exact"/>
        </w:trPr>
        <w:tc>
          <w:tcPr>
            <w:tcW w:w="5663" w:type="dxa"/>
          </w:tcPr>
          <w:p>
            <w:pPr>
              <w:pStyle w:val="TableParagraph"/>
              <w:spacing w:before="24"/>
              <w:ind w:left="35"/>
              <w:jc w:val="left"/>
              <w:rPr>
                <w:sz w:val="18"/>
              </w:rPr>
            </w:pPr>
            <w:r>
              <w:rPr>
                <w:sz w:val="18"/>
              </w:rPr>
              <w:t>Cost</w:t>
            </w:r>
          </w:p>
        </w:tc>
        <w:tc>
          <w:tcPr>
            <w:tcW w:w="2874" w:type="dxa"/>
          </w:tcPr>
          <w:p>
            <w:pPr>
              <w:pStyle w:val="TableParagraph"/>
              <w:tabs>
                <w:tab w:pos="1948" w:val="left" w:leader="none"/>
              </w:tabs>
              <w:spacing w:before="21"/>
              <w:ind w:left="655"/>
              <w:jc w:val="left"/>
              <w:rPr>
                <w:sz w:val="18"/>
              </w:rPr>
            </w:pPr>
            <w:r>
              <w:rPr>
                <w:sz w:val="18"/>
              </w:rPr>
              <w:t>65,500</w:t>
              <w:tab/>
              <w:t>15,000</w:t>
            </w:r>
          </w:p>
        </w:tc>
        <w:tc>
          <w:tcPr>
            <w:tcW w:w="1014" w:type="dxa"/>
          </w:tcPr>
          <w:p>
            <w:pPr>
              <w:pStyle w:val="TableParagraph"/>
              <w:spacing w:before="21"/>
              <w:ind w:right="87"/>
              <w:rPr>
                <w:sz w:val="18"/>
              </w:rPr>
            </w:pPr>
            <w:r>
              <w:rPr>
                <w:w w:val="95"/>
                <w:sz w:val="18"/>
              </w:rPr>
              <w:t>80,500</w:t>
            </w:r>
          </w:p>
        </w:tc>
      </w:tr>
      <w:tr>
        <w:trPr>
          <w:trHeight w:val="260" w:hRule="exact"/>
        </w:trPr>
        <w:tc>
          <w:tcPr>
            <w:tcW w:w="5663" w:type="dxa"/>
          </w:tcPr>
          <w:p>
            <w:pPr>
              <w:pStyle w:val="TableParagraph"/>
              <w:spacing w:before="20"/>
              <w:ind w:left="35"/>
              <w:jc w:val="left"/>
              <w:rPr>
                <w:sz w:val="18"/>
              </w:rPr>
            </w:pPr>
            <w:bookmarkStart w:name="Trade and other payables" w:id="295"/>
            <w:bookmarkEnd w:id="295"/>
            <w:r>
              <w:rPr/>
            </w:r>
            <w:r>
              <w:rPr>
                <w:sz w:val="18"/>
              </w:rPr>
              <w:t>Accumulated amortisation</w:t>
            </w:r>
          </w:p>
        </w:tc>
        <w:tc>
          <w:tcPr>
            <w:tcW w:w="2874" w:type="dxa"/>
            <w:tcBorders>
              <w:bottom w:val="single" w:sz="1" w:space="0" w:color="000000"/>
            </w:tcBorders>
          </w:tcPr>
          <w:p>
            <w:pPr>
              <w:pStyle w:val="TableParagraph"/>
              <w:tabs>
                <w:tab w:pos="1394" w:val="left" w:leader="none"/>
              </w:tabs>
              <w:spacing w:before="18"/>
              <w:ind w:right="308"/>
              <w:rPr>
                <w:sz w:val="18"/>
              </w:rPr>
            </w:pPr>
            <w:r>
              <w:rPr>
                <w:sz w:val="18"/>
              </w:rPr>
              <w:t>(65,500)</w:t>
              <w:tab/>
            </w:r>
            <w:r>
              <w:rPr>
                <w:w w:val="95"/>
                <w:sz w:val="18"/>
              </w:rPr>
              <w:t>(4,058)</w:t>
            </w:r>
          </w:p>
        </w:tc>
        <w:tc>
          <w:tcPr>
            <w:tcW w:w="1014" w:type="dxa"/>
            <w:tcBorders>
              <w:bottom w:val="single" w:sz="1" w:space="0" w:color="000000"/>
            </w:tcBorders>
          </w:tcPr>
          <w:p>
            <w:pPr>
              <w:pStyle w:val="TableParagraph"/>
              <w:spacing w:before="18"/>
              <w:ind w:right="26"/>
              <w:rPr>
                <w:sz w:val="18"/>
              </w:rPr>
            </w:pPr>
            <w:r>
              <w:rPr>
                <w:w w:val="95"/>
                <w:sz w:val="18"/>
              </w:rPr>
              <w:t>(69,558)</w:t>
            </w:r>
          </w:p>
        </w:tc>
      </w:tr>
      <w:tr>
        <w:trPr>
          <w:trHeight w:val="353" w:hRule="exact"/>
        </w:trPr>
        <w:tc>
          <w:tcPr>
            <w:tcW w:w="5663" w:type="dxa"/>
          </w:tcPr>
          <w:p>
            <w:pPr>
              <w:pStyle w:val="TableParagraph"/>
              <w:spacing w:before="125"/>
              <w:ind w:left="35"/>
              <w:jc w:val="left"/>
              <w:rPr>
                <w:b/>
                <w:sz w:val="18"/>
              </w:rPr>
            </w:pPr>
            <w:r>
              <w:rPr>
                <w:b/>
                <w:sz w:val="18"/>
              </w:rPr>
              <w:t>Net book amount</w:t>
            </w:r>
          </w:p>
        </w:tc>
        <w:tc>
          <w:tcPr>
            <w:tcW w:w="2874" w:type="dxa"/>
            <w:tcBorders>
              <w:top w:val="single" w:sz="1" w:space="0" w:color="000000"/>
              <w:bottom w:val="single" w:sz="1" w:space="0" w:color="000000"/>
            </w:tcBorders>
          </w:tcPr>
          <w:p>
            <w:pPr>
              <w:pStyle w:val="TableParagraph"/>
              <w:tabs>
                <w:tab w:pos="940" w:val="left" w:leader="none"/>
              </w:tabs>
              <w:spacing w:before="124"/>
              <w:ind w:right="369"/>
              <w:rPr>
                <w:sz w:val="18"/>
              </w:rPr>
            </w:pPr>
            <w:r>
              <w:rPr>
                <w:sz w:val="18"/>
              </w:rPr>
              <w:t>-</w:t>
              <w:tab/>
            </w:r>
            <w:r>
              <w:rPr>
                <w:w w:val="95"/>
                <w:sz w:val="18"/>
              </w:rPr>
              <w:t>10,942</w:t>
            </w:r>
          </w:p>
        </w:tc>
        <w:tc>
          <w:tcPr>
            <w:tcW w:w="1014" w:type="dxa"/>
            <w:tcBorders>
              <w:top w:val="single" w:sz="1" w:space="0" w:color="000000"/>
              <w:bottom w:val="single" w:sz="1" w:space="0" w:color="000000"/>
            </w:tcBorders>
          </w:tcPr>
          <w:p>
            <w:pPr>
              <w:pStyle w:val="TableParagraph"/>
              <w:spacing w:before="124"/>
              <w:ind w:right="87"/>
              <w:rPr>
                <w:sz w:val="18"/>
              </w:rPr>
            </w:pPr>
            <w:r>
              <w:rPr>
                <w:w w:val="95"/>
                <w:sz w:val="18"/>
              </w:rPr>
              <w:t>10,942</w:t>
            </w:r>
          </w:p>
        </w:tc>
      </w:tr>
    </w:tbl>
    <w:p>
      <w:pPr>
        <w:pStyle w:val="BodyText"/>
        <w:rPr>
          <w:b/>
          <w:sz w:val="20"/>
        </w:rPr>
      </w:pPr>
    </w:p>
    <w:p>
      <w:pPr>
        <w:pStyle w:val="BodyText"/>
        <w:rPr>
          <w:b/>
          <w:sz w:val="20"/>
        </w:rPr>
      </w:pPr>
    </w:p>
    <w:p>
      <w:pPr>
        <w:pStyle w:val="BodyText"/>
        <w:spacing w:before="5"/>
        <w:rPr>
          <w:b/>
          <w:sz w:val="23"/>
        </w:rPr>
      </w:pPr>
    </w:p>
    <w:tbl>
      <w:tblPr>
        <w:tblW w:w="0" w:type="auto"/>
        <w:jc w:val="left"/>
        <w:tblInd w:w="139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33"/>
        <w:gridCol w:w="7018"/>
        <w:gridCol w:w="1453"/>
        <w:gridCol w:w="1139"/>
      </w:tblGrid>
      <w:tr>
        <w:trPr>
          <w:trHeight w:val="567" w:hRule="exact"/>
        </w:trPr>
        <w:tc>
          <w:tcPr>
            <w:tcW w:w="333" w:type="dxa"/>
          </w:tcPr>
          <w:p>
            <w:pPr>
              <w:pStyle w:val="TableParagraph"/>
              <w:spacing w:before="77"/>
              <w:ind w:left="35"/>
              <w:jc w:val="left"/>
              <w:rPr>
                <w:b/>
                <w:sz w:val="18"/>
              </w:rPr>
            </w:pPr>
            <w:r>
              <w:rPr>
                <w:b/>
                <w:sz w:val="18"/>
              </w:rPr>
              <w:t>13</w:t>
            </w:r>
          </w:p>
        </w:tc>
        <w:tc>
          <w:tcPr>
            <w:tcW w:w="7018" w:type="dxa"/>
          </w:tcPr>
          <w:p>
            <w:pPr>
              <w:pStyle w:val="TableParagraph"/>
              <w:spacing w:before="77"/>
              <w:ind w:left="96"/>
              <w:jc w:val="left"/>
              <w:rPr>
                <w:b/>
                <w:sz w:val="18"/>
              </w:rPr>
            </w:pPr>
            <w:r>
              <w:rPr>
                <w:b/>
                <w:sz w:val="18"/>
              </w:rPr>
              <w:t>Trade and other payables</w:t>
            </w:r>
          </w:p>
        </w:tc>
        <w:tc>
          <w:tcPr>
            <w:tcW w:w="1453" w:type="dxa"/>
          </w:tcPr>
          <w:p>
            <w:pPr>
              <w:pStyle w:val="TableParagraph"/>
              <w:jc w:val="left"/>
              <w:rPr>
                <w:b/>
                <w:sz w:val="18"/>
              </w:rPr>
            </w:pPr>
          </w:p>
          <w:p>
            <w:pPr>
              <w:pStyle w:val="TableParagraph"/>
              <w:spacing w:before="110"/>
              <w:ind w:left="444"/>
              <w:jc w:val="left"/>
              <w:rPr>
                <w:b/>
                <w:sz w:val="18"/>
              </w:rPr>
            </w:pPr>
            <w:r>
              <w:rPr>
                <w:b/>
                <w:sz w:val="18"/>
              </w:rPr>
              <w:t>2016</w:t>
            </w:r>
          </w:p>
        </w:tc>
        <w:tc>
          <w:tcPr>
            <w:tcW w:w="1139" w:type="dxa"/>
          </w:tcPr>
          <w:p>
            <w:pPr>
              <w:pStyle w:val="TableParagraph"/>
              <w:jc w:val="left"/>
              <w:rPr>
                <w:b/>
                <w:sz w:val="18"/>
              </w:rPr>
            </w:pPr>
          </w:p>
          <w:p>
            <w:pPr>
              <w:pStyle w:val="TableParagraph"/>
              <w:spacing w:before="110"/>
              <w:ind w:left="274"/>
              <w:jc w:val="left"/>
              <w:rPr>
                <w:b/>
                <w:sz w:val="18"/>
              </w:rPr>
            </w:pPr>
            <w:r>
              <w:rPr>
                <w:b/>
                <w:sz w:val="18"/>
              </w:rPr>
              <w:t>2015</w:t>
            </w:r>
          </w:p>
        </w:tc>
      </w:tr>
      <w:tr>
        <w:trPr>
          <w:trHeight w:val="270" w:hRule="exact"/>
        </w:trPr>
        <w:tc>
          <w:tcPr>
            <w:tcW w:w="333" w:type="dxa"/>
          </w:tcPr>
          <w:p>
            <w:pPr/>
          </w:p>
        </w:tc>
        <w:tc>
          <w:tcPr>
            <w:tcW w:w="7018" w:type="dxa"/>
          </w:tcPr>
          <w:p>
            <w:pPr/>
          </w:p>
        </w:tc>
        <w:tc>
          <w:tcPr>
            <w:tcW w:w="1453" w:type="dxa"/>
          </w:tcPr>
          <w:p>
            <w:pPr>
              <w:pStyle w:val="TableParagraph"/>
              <w:spacing w:before="24"/>
              <w:ind w:right="160"/>
              <w:jc w:val="center"/>
              <w:rPr>
                <w:b/>
                <w:sz w:val="18"/>
              </w:rPr>
            </w:pPr>
            <w:r>
              <w:rPr>
                <w:b/>
                <w:w w:val="99"/>
                <w:sz w:val="18"/>
              </w:rPr>
              <w:t>$</w:t>
            </w:r>
          </w:p>
        </w:tc>
        <w:tc>
          <w:tcPr>
            <w:tcW w:w="1139" w:type="dxa"/>
          </w:tcPr>
          <w:p>
            <w:pPr>
              <w:pStyle w:val="TableParagraph"/>
              <w:spacing w:before="24"/>
              <w:ind w:right="184"/>
              <w:jc w:val="center"/>
              <w:rPr>
                <w:b/>
                <w:sz w:val="18"/>
              </w:rPr>
            </w:pPr>
            <w:r>
              <w:rPr>
                <w:b/>
                <w:w w:val="99"/>
                <w:sz w:val="18"/>
              </w:rPr>
              <w:t>$</w:t>
            </w:r>
          </w:p>
        </w:tc>
      </w:tr>
      <w:tr>
        <w:trPr>
          <w:trHeight w:val="266" w:hRule="exact"/>
        </w:trPr>
        <w:tc>
          <w:tcPr>
            <w:tcW w:w="333" w:type="dxa"/>
          </w:tcPr>
          <w:p>
            <w:pPr/>
          </w:p>
        </w:tc>
        <w:tc>
          <w:tcPr>
            <w:tcW w:w="7018" w:type="dxa"/>
          </w:tcPr>
          <w:p>
            <w:pPr>
              <w:pStyle w:val="TableParagraph"/>
              <w:spacing w:before="20"/>
              <w:ind w:left="96"/>
              <w:jc w:val="left"/>
              <w:rPr>
                <w:sz w:val="18"/>
              </w:rPr>
            </w:pPr>
            <w:r>
              <w:rPr>
                <w:sz w:val="18"/>
              </w:rPr>
              <w:t>Trade payables</w:t>
            </w:r>
          </w:p>
        </w:tc>
        <w:tc>
          <w:tcPr>
            <w:tcW w:w="1453" w:type="dxa"/>
          </w:tcPr>
          <w:p>
            <w:pPr>
              <w:pStyle w:val="TableParagraph"/>
              <w:spacing w:before="22"/>
              <w:ind w:right="244"/>
              <w:rPr>
                <w:b/>
                <w:sz w:val="18"/>
              </w:rPr>
            </w:pPr>
            <w:r>
              <w:rPr>
                <w:b/>
                <w:w w:val="95"/>
                <w:sz w:val="18"/>
              </w:rPr>
              <w:t>200,065</w:t>
            </w:r>
          </w:p>
        </w:tc>
        <w:tc>
          <w:tcPr>
            <w:tcW w:w="1139" w:type="dxa"/>
          </w:tcPr>
          <w:p>
            <w:pPr>
              <w:pStyle w:val="TableParagraph"/>
              <w:spacing w:before="22"/>
              <w:ind w:right="84"/>
              <w:rPr>
                <w:sz w:val="18"/>
              </w:rPr>
            </w:pPr>
            <w:r>
              <w:rPr>
                <w:w w:val="95"/>
                <w:sz w:val="18"/>
              </w:rPr>
              <w:t>1,255,736</w:t>
            </w:r>
          </w:p>
        </w:tc>
      </w:tr>
      <w:tr>
        <w:trPr>
          <w:trHeight w:val="264" w:hRule="exact"/>
        </w:trPr>
        <w:tc>
          <w:tcPr>
            <w:tcW w:w="333" w:type="dxa"/>
          </w:tcPr>
          <w:p>
            <w:pPr/>
          </w:p>
        </w:tc>
        <w:tc>
          <w:tcPr>
            <w:tcW w:w="7018" w:type="dxa"/>
          </w:tcPr>
          <w:p>
            <w:pPr>
              <w:pStyle w:val="TableParagraph"/>
              <w:spacing w:before="18"/>
              <w:ind w:left="96"/>
              <w:jc w:val="left"/>
              <w:rPr>
                <w:sz w:val="18"/>
              </w:rPr>
            </w:pPr>
            <w:r>
              <w:rPr>
                <w:sz w:val="18"/>
              </w:rPr>
              <w:t>Accrued expenses</w:t>
            </w:r>
          </w:p>
        </w:tc>
        <w:tc>
          <w:tcPr>
            <w:tcW w:w="1453" w:type="dxa"/>
          </w:tcPr>
          <w:p>
            <w:pPr>
              <w:pStyle w:val="TableParagraph"/>
              <w:spacing w:before="20"/>
              <w:ind w:right="244"/>
              <w:rPr>
                <w:b/>
                <w:sz w:val="18"/>
              </w:rPr>
            </w:pPr>
            <w:r>
              <w:rPr>
                <w:b/>
                <w:w w:val="95"/>
                <w:sz w:val="18"/>
              </w:rPr>
              <w:t>786,383</w:t>
            </w:r>
          </w:p>
        </w:tc>
        <w:tc>
          <w:tcPr>
            <w:tcW w:w="1139" w:type="dxa"/>
          </w:tcPr>
          <w:p>
            <w:pPr>
              <w:pStyle w:val="TableParagraph"/>
              <w:spacing w:before="20"/>
              <w:ind w:right="84"/>
              <w:rPr>
                <w:sz w:val="18"/>
              </w:rPr>
            </w:pPr>
            <w:r>
              <w:rPr>
                <w:w w:val="95"/>
                <w:sz w:val="18"/>
              </w:rPr>
              <w:t>416,142</w:t>
            </w:r>
          </w:p>
        </w:tc>
      </w:tr>
      <w:tr>
        <w:trPr>
          <w:trHeight w:val="262" w:hRule="exact"/>
        </w:trPr>
        <w:tc>
          <w:tcPr>
            <w:tcW w:w="333" w:type="dxa"/>
          </w:tcPr>
          <w:p>
            <w:pPr/>
          </w:p>
        </w:tc>
        <w:tc>
          <w:tcPr>
            <w:tcW w:w="7018" w:type="dxa"/>
          </w:tcPr>
          <w:p>
            <w:pPr>
              <w:pStyle w:val="TableParagraph"/>
              <w:spacing w:before="18"/>
              <w:ind w:left="96"/>
              <w:jc w:val="left"/>
              <w:rPr>
                <w:sz w:val="18"/>
              </w:rPr>
            </w:pPr>
            <w:r>
              <w:rPr>
                <w:sz w:val="18"/>
              </w:rPr>
              <w:t>Other payables</w:t>
            </w:r>
          </w:p>
        </w:tc>
        <w:tc>
          <w:tcPr>
            <w:tcW w:w="1453" w:type="dxa"/>
            <w:tcBorders>
              <w:bottom w:val="single" w:sz="1" w:space="0" w:color="000000"/>
            </w:tcBorders>
          </w:tcPr>
          <w:p>
            <w:pPr>
              <w:pStyle w:val="TableParagraph"/>
              <w:spacing w:before="20"/>
              <w:ind w:right="244"/>
              <w:rPr>
                <w:b/>
                <w:sz w:val="18"/>
              </w:rPr>
            </w:pPr>
            <w:r>
              <w:rPr>
                <w:b/>
                <w:w w:val="95"/>
                <w:sz w:val="18"/>
              </w:rPr>
              <w:t>511,288</w:t>
            </w:r>
          </w:p>
        </w:tc>
        <w:tc>
          <w:tcPr>
            <w:tcW w:w="1139" w:type="dxa"/>
            <w:tcBorders>
              <w:bottom w:val="single" w:sz="1" w:space="0" w:color="000000"/>
            </w:tcBorders>
          </w:tcPr>
          <w:p>
            <w:pPr>
              <w:pStyle w:val="TableParagraph"/>
              <w:spacing w:before="20"/>
              <w:ind w:right="84"/>
              <w:rPr>
                <w:sz w:val="18"/>
              </w:rPr>
            </w:pPr>
            <w:r>
              <w:rPr>
                <w:w w:val="95"/>
                <w:sz w:val="18"/>
              </w:rPr>
              <w:t>200,341</w:t>
            </w:r>
          </w:p>
        </w:tc>
      </w:tr>
      <w:tr>
        <w:trPr>
          <w:trHeight w:val="353" w:hRule="exact"/>
        </w:trPr>
        <w:tc>
          <w:tcPr>
            <w:tcW w:w="333" w:type="dxa"/>
          </w:tcPr>
          <w:p>
            <w:pPr/>
          </w:p>
        </w:tc>
        <w:tc>
          <w:tcPr>
            <w:tcW w:w="7018" w:type="dxa"/>
          </w:tcPr>
          <w:p>
            <w:pPr/>
          </w:p>
        </w:tc>
        <w:tc>
          <w:tcPr>
            <w:tcW w:w="1453" w:type="dxa"/>
            <w:tcBorders>
              <w:top w:val="single" w:sz="1" w:space="0" w:color="000000"/>
              <w:bottom w:val="single" w:sz="1" w:space="0" w:color="000000"/>
            </w:tcBorders>
          </w:tcPr>
          <w:p>
            <w:pPr>
              <w:pStyle w:val="TableParagraph"/>
              <w:spacing w:before="124"/>
              <w:ind w:right="244"/>
              <w:rPr>
                <w:b/>
                <w:sz w:val="18"/>
              </w:rPr>
            </w:pPr>
            <w:r>
              <w:rPr>
                <w:b/>
                <w:w w:val="95"/>
                <w:sz w:val="18"/>
              </w:rPr>
              <w:t>1,497,736</w:t>
            </w:r>
          </w:p>
        </w:tc>
        <w:tc>
          <w:tcPr>
            <w:tcW w:w="1139" w:type="dxa"/>
            <w:tcBorders>
              <w:top w:val="single" w:sz="1" w:space="0" w:color="000000"/>
              <w:bottom w:val="single" w:sz="1" w:space="0" w:color="000000"/>
            </w:tcBorders>
          </w:tcPr>
          <w:p>
            <w:pPr>
              <w:pStyle w:val="TableParagraph"/>
              <w:spacing w:before="124"/>
              <w:ind w:right="84"/>
              <w:rPr>
                <w:sz w:val="18"/>
              </w:rPr>
            </w:pPr>
            <w:r>
              <w:rPr>
                <w:w w:val="95"/>
                <w:sz w:val="18"/>
              </w:rPr>
              <w:t>1,872,219</w:t>
            </w:r>
          </w:p>
        </w:tc>
      </w:tr>
    </w:tbl>
    <w:p>
      <w:pPr>
        <w:spacing w:after="0"/>
        <w:rPr>
          <w:sz w:val="18"/>
        </w:rPr>
        <w:sectPr>
          <w:pgSz w:w="12750" w:h="17680"/>
          <w:pgMar w:header="0" w:footer="867" w:top="1880" w:bottom="1120" w:left="0" w:right="0"/>
        </w:sectPr>
      </w:pPr>
    </w:p>
    <w:p>
      <w:pPr>
        <w:pStyle w:val="BodyText"/>
        <w:spacing w:before="1"/>
        <w:rPr>
          <w:b/>
          <w:sz w:val="24"/>
        </w:rPr>
      </w:pPr>
      <w:r>
        <w:rPr/>
        <w:drawing>
          <wp:anchor distT="0" distB="0" distL="0" distR="0" allowOverlap="1" layoutInCell="1" locked="0" behindDoc="0" simplePos="0" relativeHeight="11272">
            <wp:simplePos x="0" y="0"/>
            <wp:positionH relativeFrom="page">
              <wp:posOffset>-1587</wp:posOffset>
            </wp:positionH>
            <wp:positionV relativeFrom="page">
              <wp:posOffset>5534342</wp:posOffset>
            </wp:positionV>
            <wp:extent cx="135159" cy="154019"/>
            <wp:effectExtent l="0" t="0" r="0" b="0"/>
            <wp:wrapNone/>
            <wp:docPr id="739" name="image13.png" descr=""/>
            <wp:cNvGraphicFramePr>
              <a:graphicFrameLocks noChangeAspect="1"/>
            </wp:cNvGraphicFramePr>
            <a:graphic>
              <a:graphicData uri="http://schemas.openxmlformats.org/drawingml/2006/picture">
                <pic:pic>
                  <pic:nvPicPr>
                    <pic:cNvPr id="740" name="image13.png"/>
                    <pic:cNvPicPr/>
                  </pic:nvPicPr>
                  <pic:blipFill>
                    <a:blip r:embed="rId18" cstate="print"/>
                    <a:stretch>
                      <a:fillRect/>
                    </a:stretch>
                  </pic:blipFill>
                  <pic:spPr>
                    <a:xfrm>
                      <a:off x="0" y="0"/>
                      <a:ext cx="135159" cy="154019"/>
                    </a:xfrm>
                    <a:prstGeom prst="rect">
                      <a:avLst/>
                    </a:prstGeom>
                  </pic:spPr>
                </pic:pic>
              </a:graphicData>
            </a:graphic>
          </wp:anchor>
        </w:drawing>
      </w:r>
      <w:r>
        <w:rPr/>
        <w:drawing>
          <wp:anchor distT="0" distB="0" distL="0" distR="0" allowOverlap="1" layoutInCell="1" locked="0" behindDoc="0" simplePos="0" relativeHeight="11296">
            <wp:simplePos x="0" y="0"/>
            <wp:positionH relativeFrom="page">
              <wp:posOffset>7958429</wp:posOffset>
            </wp:positionH>
            <wp:positionV relativeFrom="page">
              <wp:posOffset>5534342</wp:posOffset>
            </wp:positionV>
            <wp:extent cx="135953" cy="155575"/>
            <wp:effectExtent l="0" t="0" r="0" b="0"/>
            <wp:wrapNone/>
            <wp:docPr id="741" name="image15.png" descr=""/>
            <wp:cNvGraphicFramePr>
              <a:graphicFrameLocks noChangeAspect="1"/>
            </wp:cNvGraphicFramePr>
            <a:graphic>
              <a:graphicData uri="http://schemas.openxmlformats.org/drawingml/2006/picture">
                <pic:pic>
                  <pic:nvPicPr>
                    <pic:cNvPr id="742" name="image15.png"/>
                    <pic:cNvPicPr/>
                  </pic:nvPicPr>
                  <pic:blipFill>
                    <a:blip r:embed="rId20" cstate="print"/>
                    <a:stretch>
                      <a:fillRect/>
                    </a:stretch>
                  </pic:blipFill>
                  <pic:spPr>
                    <a:xfrm>
                      <a:off x="0" y="0"/>
                      <a:ext cx="135953" cy="155575"/>
                    </a:xfrm>
                    <a:prstGeom prst="rect">
                      <a:avLst/>
                    </a:prstGeom>
                  </pic:spPr>
                </pic:pic>
              </a:graphicData>
            </a:graphic>
          </wp:anchor>
        </w:drawing>
      </w:r>
    </w:p>
    <w:p>
      <w:pPr>
        <w:spacing w:before="65"/>
        <w:ind w:left="1428" w:right="0" w:firstLine="0"/>
        <w:jc w:val="left"/>
        <w:rPr>
          <w:b/>
          <w:sz w:val="28"/>
        </w:rPr>
      </w:pPr>
      <w:bookmarkStart w:name="Borrowings from the Parent" w:id="296"/>
      <w:bookmarkEnd w:id="296"/>
      <w:r>
        <w:rPr/>
      </w:r>
      <w:r>
        <w:rPr>
          <w:b/>
          <w:sz w:val="28"/>
        </w:rPr>
        <w:t>Notes to the Financial Statements</w:t>
      </w:r>
    </w:p>
    <w:p>
      <w:pPr>
        <w:spacing w:before="53"/>
        <w:ind w:left="1428" w:right="0" w:firstLine="0"/>
        <w:jc w:val="left"/>
        <w:rPr>
          <w:b/>
          <w:sz w:val="22"/>
        </w:rPr>
      </w:pPr>
      <w:r>
        <w:rPr>
          <w:b/>
          <w:sz w:val="22"/>
        </w:rPr>
        <w:t>For the Year Ended 31 December 2016</w:t>
      </w:r>
    </w:p>
    <w:p>
      <w:pPr>
        <w:pStyle w:val="BodyText"/>
        <w:spacing w:before="4"/>
        <w:rPr>
          <w:b/>
        </w:rPr>
      </w:pPr>
    </w:p>
    <w:tbl>
      <w:tblPr>
        <w:tblW w:w="0" w:type="auto"/>
        <w:jc w:val="left"/>
        <w:tblInd w:w="139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353"/>
        <w:gridCol w:w="1454"/>
        <w:gridCol w:w="1138"/>
      </w:tblGrid>
      <w:tr>
        <w:trPr>
          <w:trHeight w:val="567" w:hRule="exact"/>
        </w:trPr>
        <w:tc>
          <w:tcPr>
            <w:tcW w:w="7353" w:type="dxa"/>
          </w:tcPr>
          <w:p>
            <w:pPr>
              <w:pStyle w:val="TableParagraph"/>
              <w:spacing w:before="77"/>
              <w:ind w:left="35"/>
              <w:jc w:val="left"/>
              <w:rPr>
                <w:b/>
                <w:sz w:val="18"/>
              </w:rPr>
            </w:pPr>
            <w:r>
              <w:rPr>
                <w:b/>
                <w:sz w:val="18"/>
              </w:rPr>
              <w:t>14    Borrowings from the Parent</w:t>
            </w:r>
          </w:p>
        </w:tc>
        <w:tc>
          <w:tcPr>
            <w:tcW w:w="1454" w:type="dxa"/>
          </w:tcPr>
          <w:p>
            <w:pPr>
              <w:pStyle w:val="TableParagraph"/>
              <w:jc w:val="left"/>
              <w:rPr>
                <w:b/>
                <w:sz w:val="18"/>
              </w:rPr>
            </w:pPr>
          </w:p>
          <w:p>
            <w:pPr>
              <w:pStyle w:val="TableParagraph"/>
              <w:spacing w:before="110"/>
              <w:ind w:left="432"/>
              <w:jc w:val="left"/>
              <w:rPr>
                <w:b/>
                <w:sz w:val="18"/>
              </w:rPr>
            </w:pPr>
            <w:r>
              <w:rPr>
                <w:b/>
                <w:sz w:val="18"/>
              </w:rPr>
              <w:t>2016</w:t>
            </w:r>
          </w:p>
        </w:tc>
        <w:tc>
          <w:tcPr>
            <w:tcW w:w="1138" w:type="dxa"/>
          </w:tcPr>
          <w:p>
            <w:pPr>
              <w:pStyle w:val="TableParagraph"/>
              <w:jc w:val="left"/>
              <w:rPr>
                <w:b/>
                <w:sz w:val="18"/>
              </w:rPr>
            </w:pPr>
          </w:p>
          <w:p>
            <w:pPr>
              <w:pStyle w:val="TableParagraph"/>
              <w:spacing w:before="110"/>
              <w:ind w:left="273"/>
              <w:jc w:val="left"/>
              <w:rPr>
                <w:b/>
                <w:sz w:val="18"/>
              </w:rPr>
            </w:pPr>
            <w:r>
              <w:rPr>
                <w:b/>
                <w:sz w:val="18"/>
              </w:rPr>
              <w:t>2015</w:t>
            </w:r>
          </w:p>
        </w:tc>
      </w:tr>
      <w:tr>
        <w:trPr>
          <w:trHeight w:val="271" w:hRule="exact"/>
        </w:trPr>
        <w:tc>
          <w:tcPr>
            <w:tcW w:w="7353" w:type="dxa"/>
          </w:tcPr>
          <w:p>
            <w:pPr>
              <w:pStyle w:val="TableParagraph"/>
              <w:spacing w:before="24"/>
              <w:ind w:left="428"/>
              <w:jc w:val="left"/>
              <w:rPr>
                <w:b/>
                <w:sz w:val="18"/>
              </w:rPr>
            </w:pPr>
            <w:r>
              <w:rPr>
                <w:b/>
                <w:sz w:val="18"/>
              </w:rPr>
              <w:t>Unsecured - current</w:t>
            </w:r>
          </w:p>
        </w:tc>
        <w:tc>
          <w:tcPr>
            <w:tcW w:w="1454" w:type="dxa"/>
          </w:tcPr>
          <w:p>
            <w:pPr>
              <w:pStyle w:val="TableParagraph"/>
              <w:spacing w:before="24"/>
              <w:ind w:right="185"/>
              <w:jc w:val="center"/>
              <w:rPr>
                <w:b/>
                <w:sz w:val="18"/>
              </w:rPr>
            </w:pPr>
            <w:r>
              <w:rPr>
                <w:b/>
                <w:w w:val="99"/>
                <w:sz w:val="18"/>
              </w:rPr>
              <w:t>$</w:t>
            </w:r>
          </w:p>
        </w:tc>
        <w:tc>
          <w:tcPr>
            <w:tcW w:w="1138" w:type="dxa"/>
          </w:tcPr>
          <w:p>
            <w:pPr>
              <w:pStyle w:val="TableParagraph"/>
              <w:spacing w:before="24"/>
              <w:ind w:left="424"/>
              <w:jc w:val="left"/>
              <w:rPr>
                <w:b/>
                <w:sz w:val="18"/>
              </w:rPr>
            </w:pPr>
            <w:r>
              <w:rPr>
                <w:b/>
                <w:w w:val="99"/>
                <w:sz w:val="18"/>
              </w:rPr>
              <w:t>$</w:t>
            </w:r>
          </w:p>
        </w:tc>
      </w:tr>
      <w:tr>
        <w:trPr>
          <w:trHeight w:val="263" w:hRule="exact"/>
        </w:trPr>
        <w:tc>
          <w:tcPr>
            <w:tcW w:w="7353" w:type="dxa"/>
          </w:tcPr>
          <w:p>
            <w:pPr>
              <w:pStyle w:val="TableParagraph"/>
              <w:spacing w:before="24"/>
              <w:ind w:left="428"/>
              <w:jc w:val="left"/>
              <w:rPr>
                <w:sz w:val="18"/>
              </w:rPr>
            </w:pPr>
            <w:r>
              <w:rPr>
                <w:sz w:val="18"/>
              </w:rPr>
              <w:t>Loans from related parties</w:t>
            </w:r>
          </w:p>
        </w:tc>
        <w:tc>
          <w:tcPr>
            <w:tcW w:w="1454" w:type="dxa"/>
            <w:tcBorders>
              <w:bottom w:val="single" w:sz="1" w:space="0" w:color="000000"/>
            </w:tcBorders>
          </w:tcPr>
          <w:p>
            <w:pPr>
              <w:pStyle w:val="TableParagraph"/>
              <w:spacing w:before="21"/>
              <w:ind w:right="243"/>
              <w:rPr>
                <w:b/>
                <w:sz w:val="18"/>
              </w:rPr>
            </w:pPr>
            <w:r>
              <w:rPr>
                <w:b/>
                <w:w w:val="95"/>
                <w:sz w:val="18"/>
              </w:rPr>
              <w:t>5,618,407</w:t>
            </w:r>
          </w:p>
        </w:tc>
        <w:tc>
          <w:tcPr>
            <w:tcW w:w="1138" w:type="dxa"/>
            <w:tcBorders>
              <w:bottom w:val="single" w:sz="1" w:space="0" w:color="000000"/>
            </w:tcBorders>
          </w:tcPr>
          <w:p>
            <w:pPr>
              <w:pStyle w:val="TableParagraph"/>
              <w:spacing w:before="21"/>
              <w:ind w:right="84"/>
              <w:rPr>
                <w:sz w:val="18"/>
              </w:rPr>
            </w:pPr>
            <w:r>
              <w:rPr>
                <w:w w:val="95"/>
                <w:sz w:val="18"/>
              </w:rPr>
              <w:t>5,010,493</w:t>
            </w:r>
          </w:p>
        </w:tc>
      </w:tr>
      <w:tr>
        <w:trPr>
          <w:trHeight w:val="353" w:hRule="exact"/>
        </w:trPr>
        <w:tc>
          <w:tcPr>
            <w:tcW w:w="7353" w:type="dxa"/>
          </w:tcPr>
          <w:p>
            <w:pPr>
              <w:pStyle w:val="TableParagraph"/>
              <w:spacing w:before="125"/>
              <w:ind w:left="428"/>
              <w:jc w:val="left"/>
              <w:rPr>
                <w:b/>
                <w:sz w:val="18"/>
              </w:rPr>
            </w:pPr>
            <w:bookmarkStart w:name="15 Provisions" w:id="297"/>
            <w:bookmarkEnd w:id="297"/>
            <w:r>
              <w:rPr/>
            </w:r>
            <w:r>
              <w:rPr>
                <w:b/>
                <w:sz w:val="18"/>
              </w:rPr>
              <w:t>Total current borrowings</w:t>
            </w:r>
          </w:p>
        </w:tc>
        <w:tc>
          <w:tcPr>
            <w:tcW w:w="1454" w:type="dxa"/>
            <w:tcBorders>
              <w:top w:val="single" w:sz="1" w:space="0" w:color="000000"/>
              <w:bottom w:val="single" w:sz="1" w:space="0" w:color="000000"/>
            </w:tcBorders>
          </w:tcPr>
          <w:p>
            <w:pPr>
              <w:pStyle w:val="TableParagraph"/>
              <w:spacing w:before="124"/>
              <w:ind w:right="243"/>
              <w:rPr>
                <w:b/>
                <w:sz w:val="18"/>
              </w:rPr>
            </w:pPr>
            <w:r>
              <w:rPr>
                <w:b/>
                <w:w w:val="95"/>
                <w:sz w:val="18"/>
              </w:rPr>
              <w:t>5,618,407</w:t>
            </w:r>
          </w:p>
        </w:tc>
        <w:tc>
          <w:tcPr>
            <w:tcW w:w="1138" w:type="dxa"/>
            <w:tcBorders>
              <w:top w:val="single" w:sz="1" w:space="0" w:color="000000"/>
              <w:bottom w:val="single" w:sz="1" w:space="0" w:color="000000"/>
            </w:tcBorders>
          </w:tcPr>
          <w:p>
            <w:pPr>
              <w:pStyle w:val="TableParagraph"/>
              <w:spacing w:before="124"/>
              <w:ind w:right="84"/>
              <w:rPr>
                <w:sz w:val="18"/>
              </w:rPr>
            </w:pPr>
            <w:r>
              <w:rPr>
                <w:w w:val="95"/>
                <w:sz w:val="18"/>
              </w:rPr>
              <w:t>5,010,493</w:t>
            </w:r>
          </w:p>
        </w:tc>
      </w:tr>
      <w:tr>
        <w:trPr>
          <w:trHeight w:val="675" w:hRule="exact"/>
        </w:trPr>
        <w:tc>
          <w:tcPr>
            <w:tcW w:w="7353" w:type="dxa"/>
          </w:tcPr>
          <w:p>
            <w:pPr>
              <w:pStyle w:val="TableParagraph"/>
              <w:jc w:val="left"/>
              <w:rPr>
                <w:b/>
                <w:sz w:val="18"/>
              </w:rPr>
            </w:pPr>
          </w:p>
          <w:p>
            <w:pPr>
              <w:pStyle w:val="TableParagraph"/>
              <w:spacing w:before="107"/>
              <w:ind w:left="428"/>
              <w:jc w:val="left"/>
              <w:rPr>
                <w:sz w:val="18"/>
              </w:rPr>
            </w:pPr>
            <w:r>
              <w:rPr>
                <w:sz w:val="18"/>
              </w:rPr>
              <w:t>uwsconnect Limited has an unused borrowing facility to the value of $0.382M.</w:t>
            </w:r>
          </w:p>
        </w:tc>
        <w:tc>
          <w:tcPr>
            <w:tcW w:w="1454" w:type="dxa"/>
            <w:tcBorders>
              <w:top w:val="single" w:sz="1" w:space="0" w:color="000000"/>
            </w:tcBorders>
          </w:tcPr>
          <w:p>
            <w:pPr/>
          </w:p>
        </w:tc>
        <w:tc>
          <w:tcPr>
            <w:tcW w:w="1138" w:type="dxa"/>
            <w:tcBorders>
              <w:top w:val="single" w:sz="1" w:space="0" w:color="000000"/>
            </w:tcBorders>
          </w:tcPr>
          <w:p>
            <w:pPr/>
          </w:p>
        </w:tc>
      </w:tr>
      <w:tr>
        <w:trPr>
          <w:trHeight w:val="494" w:hRule="exact"/>
        </w:trPr>
        <w:tc>
          <w:tcPr>
            <w:tcW w:w="7353" w:type="dxa"/>
          </w:tcPr>
          <w:p>
            <w:pPr>
              <w:pStyle w:val="TableParagraph"/>
              <w:spacing w:before="134"/>
              <w:ind w:left="35"/>
              <w:jc w:val="left"/>
              <w:rPr>
                <w:b/>
                <w:sz w:val="18"/>
              </w:rPr>
            </w:pPr>
            <w:r>
              <w:rPr>
                <w:b/>
                <w:sz w:val="18"/>
              </w:rPr>
              <w:t>15   Provisions</w:t>
            </w:r>
          </w:p>
        </w:tc>
        <w:tc>
          <w:tcPr>
            <w:tcW w:w="1454" w:type="dxa"/>
          </w:tcPr>
          <w:p>
            <w:pPr/>
          </w:p>
        </w:tc>
        <w:tc>
          <w:tcPr>
            <w:tcW w:w="1138" w:type="dxa"/>
          </w:tcPr>
          <w:p>
            <w:pPr/>
          </w:p>
        </w:tc>
      </w:tr>
      <w:tr>
        <w:trPr>
          <w:trHeight w:val="624" w:hRule="exact"/>
        </w:trPr>
        <w:tc>
          <w:tcPr>
            <w:tcW w:w="7353" w:type="dxa"/>
          </w:tcPr>
          <w:p>
            <w:pPr>
              <w:pStyle w:val="TableParagraph"/>
              <w:spacing w:before="134"/>
              <w:ind w:left="428"/>
              <w:jc w:val="left"/>
              <w:rPr>
                <w:b/>
                <w:sz w:val="18"/>
              </w:rPr>
            </w:pPr>
            <w:r>
              <w:rPr>
                <w:b/>
                <w:sz w:val="18"/>
              </w:rPr>
              <w:t>Current provisions expected to be settled within 12 months.</w:t>
            </w:r>
          </w:p>
        </w:tc>
        <w:tc>
          <w:tcPr>
            <w:tcW w:w="1454" w:type="dxa"/>
          </w:tcPr>
          <w:p>
            <w:pPr>
              <w:pStyle w:val="TableParagraph"/>
              <w:jc w:val="left"/>
              <w:rPr>
                <w:b/>
                <w:sz w:val="18"/>
              </w:rPr>
            </w:pPr>
          </w:p>
          <w:p>
            <w:pPr>
              <w:pStyle w:val="TableParagraph"/>
              <w:spacing w:before="6"/>
              <w:jc w:val="left"/>
              <w:rPr>
                <w:b/>
                <w:sz w:val="14"/>
              </w:rPr>
            </w:pPr>
          </w:p>
          <w:p>
            <w:pPr>
              <w:pStyle w:val="TableParagraph"/>
              <w:ind w:left="446"/>
              <w:jc w:val="left"/>
              <w:rPr>
                <w:b/>
                <w:sz w:val="18"/>
              </w:rPr>
            </w:pPr>
            <w:r>
              <w:rPr>
                <w:b/>
                <w:sz w:val="18"/>
              </w:rPr>
              <w:t>2016</w:t>
            </w:r>
          </w:p>
        </w:tc>
        <w:tc>
          <w:tcPr>
            <w:tcW w:w="1138" w:type="dxa"/>
          </w:tcPr>
          <w:p>
            <w:pPr>
              <w:pStyle w:val="TableParagraph"/>
              <w:jc w:val="left"/>
              <w:rPr>
                <w:b/>
                <w:sz w:val="18"/>
              </w:rPr>
            </w:pPr>
          </w:p>
          <w:p>
            <w:pPr>
              <w:pStyle w:val="TableParagraph"/>
              <w:spacing w:before="6"/>
              <w:jc w:val="left"/>
              <w:rPr>
                <w:b/>
                <w:sz w:val="14"/>
              </w:rPr>
            </w:pPr>
          </w:p>
          <w:p>
            <w:pPr>
              <w:pStyle w:val="TableParagraph"/>
              <w:ind w:left="276"/>
              <w:jc w:val="left"/>
              <w:rPr>
                <w:b/>
                <w:sz w:val="18"/>
              </w:rPr>
            </w:pPr>
            <w:r>
              <w:rPr>
                <w:b/>
                <w:sz w:val="18"/>
              </w:rPr>
              <w:t>2015</w:t>
            </w:r>
          </w:p>
        </w:tc>
      </w:tr>
      <w:tr>
        <w:trPr>
          <w:trHeight w:val="271" w:hRule="exact"/>
        </w:trPr>
        <w:tc>
          <w:tcPr>
            <w:tcW w:w="7353" w:type="dxa"/>
          </w:tcPr>
          <w:p>
            <w:pPr/>
          </w:p>
        </w:tc>
        <w:tc>
          <w:tcPr>
            <w:tcW w:w="1454" w:type="dxa"/>
          </w:tcPr>
          <w:p>
            <w:pPr>
              <w:pStyle w:val="TableParagraph"/>
              <w:spacing w:before="24"/>
              <w:ind w:right="157"/>
              <w:jc w:val="center"/>
              <w:rPr>
                <w:b/>
                <w:sz w:val="18"/>
              </w:rPr>
            </w:pPr>
            <w:r>
              <w:rPr>
                <w:b/>
                <w:w w:val="99"/>
                <w:sz w:val="18"/>
              </w:rPr>
              <w:t>$</w:t>
            </w:r>
          </w:p>
        </w:tc>
        <w:tc>
          <w:tcPr>
            <w:tcW w:w="1138" w:type="dxa"/>
          </w:tcPr>
          <w:p>
            <w:pPr>
              <w:pStyle w:val="TableParagraph"/>
              <w:spacing w:before="24"/>
              <w:ind w:left="427"/>
              <w:jc w:val="left"/>
              <w:rPr>
                <w:b/>
                <w:sz w:val="18"/>
              </w:rPr>
            </w:pPr>
            <w:r>
              <w:rPr>
                <w:b/>
                <w:w w:val="99"/>
                <w:sz w:val="18"/>
              </w:rPr>
              <w:t>$</w:t>
            </w:r>
          </w:p>
        </w:tc>
      </w:tr>
      <w:tr>
        <w:trPr>
          <w:trHeight w:val="268" w:hRule="exact"/>
        </w:trPr>
        <w:tc>
          <w:tcPr>
            <w:tcW w:w="7353" w:type="dxa"/>
          </w:tcPr>
          <w:p>
            <w:pPr>
              <w:pStyle w:val="TableParagraph"/>
              <w:spacing w:before="24"/>
              <w:ind w:left="428"/>
              <w:jc w:val="left"/>
              <w:rPr>
                <w:sz w:val="18"/>
              </w:rPr>
            </w:pPr>
            <w:r>
              <w:rPr>
                <w:sz w:val="18"/>
              </w:rPr>
              <w:t>Annual leave</w:t>
            </w:r>
          </w:p>
        </w:tc>
        <w:tc>
          <w:tcPr>
            <w:tcW w:w="1454" w:type="dxa"/>
          </w:tcPr>
          <w:p>
            <w:pPr>
              <w:pStyle w:val="TableParagraph"/>
              <w:spacing w:before="21"/>
              <w:ind w:right="242"/>
              <w:rPr>
                <w:b/>
                <w:sz w:val="18"/>
              </w:rPr>
            </w:pPr>
            <w:r>
              <w:rPr>
                <w:b/>
                <w:w w:val="95"/>
                <w:sz w:val="18"/>
              </w:rPr>
              <w:t>136,730</w:t>
            </w:r>
          </w:p>
        </w:tc>
        <w:tc>
          <w:tcPr>
            <w:tcW w:w="1138" w:type="dxa"/>
          </w:tcPr>
          <w:p>
            <w:pPr>
              <w:pStyle w:val="TableParagraph"/>
              <w:spacing w:before="21"/>
              <w:ind w:right="82"/>
              <w:rPr>
                <w:sz w:val="18"/>
              </w:rPr>
            </w:pPr>
            <w:r>
              <w:rPr>
                <w:w w:val="95"/>
                <w:sz w:val="18"/>
              </w:rPr>
              <w:t>118,821</w:t>
            </w:r>
          </w:p>
        </w:tc>
      </w:tr>
      <w:tr>
        <w:trPr>
          <w:trHeight w:val="260" w:hRule="exact"/>
        </w:trPr>
        <w:tc>
          <w:tcPr>
            <w:tcW w:w="7353" w:type="dxa"/>
          </w:tcPr>
          <w:p>
            <w:pPr>
              <w:pStyle w:val="TableParagraph"/>
              <w:spacing w:before="20"/>
              <w:ind w:left="428"/>
              <w:jc w:val="left"/>
              <w:rPr>
                <w:sz w:val="18"/>
              </w:rPr>
            </w:pPr>
            <w:r>
              <w:rPr>
                <w:sz w:val="18"/>
              </w:rPr>
              <w:t>Long service leave</w:t>
            </w:r>
          </w:p>
        </w:tc>
        <w:tc>
          <w:tcPr>
            <w:tcW w:w="1454" w:type="dxa"/>
            <w:tcBorders>
              <w:bottom w:val="single" w:sz="1" w:space="0" w:color="000000"/>
            </w:tcBorders>
          </w:tcPr>
          <w:p>
            <w:pPr>
              <w:pStyle w:val="TableParagraph"/>
              <w:spacing w:before="18"/>
              <w:ind w:right="242"/>
              <w:rPr>
                <w:b/>
                <w:sz w:val="18"/>
              </w:rPr>
            </w:pPr>
            <w:r>
              <w:rPr>
                <w:b/>
                <w:w w:val="95"/>
                <w:sz w:val="18"/>
              </w:rPr>
              <w:t>72,597</w:t>
            </w:r>
          </w:p>
        </w:tc>
        <w:tc>
          <w:tcPr>
            <w:tcW w:w="1138" w:type="dxa"/>
            <w:tcBorders>
              <w:bottom w:val="single" w:sz="1" w:space="0" w:color="000000"/>
            </w:tcBorders>
          </w:tcPr>
          <w:p>
            <w:pPr>
              <w:pStyle w:val="TableParagraph"/>
              <w:spacing w:before="18"/>
              <w:ind w:right="82"/>
              <w:rPr>
                <w:sz w:val="18"/>
              </w:rPr>
            </w:pPr>
            <w:r>
              <w:rPr>
                <w:w w:val="95"/>
                <w:sz w:val="18"/>
              </w:rPr>
              <w:t>140,446</w:t>
            </w:r>
          </w:p>
        </w:tc>
      </w:tr>
      <w:tr>
        <w:trPr>
          <w:trHeight w:val="338" w:hRule="exact"/>
        </w:trPr>
        <w:tc>
          <w:tcPr>
            <w:tcW w:w="7353" w:type="dxa"/>
          </w:tcPr>
          <w:p>
            <w:pPr/>
          </w:p>
        </w:tc>
        <w:tc>
          <w:tcPr>
            <w:tcW w:w="1454" w:type="dxa"/>
            <w:tcBorders>
              <w:top w:val="single" w:sz="1" w:space="0" w:color="000000"/>
              <w:bottom w:val="single" w:sz="1" w:space="0" w:color="000000"/>
            </w:tcBorders>
          </w:tcPr>
          <w:p>
            <w:pPr>
              <w:pStyle w:val="TableParagraph"/>
              <w:spacing w:before="124"/>
              <w:ind w:right="242"/>
              <w:rPr>
                <w:b/>
                <w:sz w:val="18"/>
              </w:rPr>
            </w:pPr>
            <w:r>
              <w:rPr>
                <w:b/>
                <w:w w:val="95"/>
                <w:sz w:val="18"/>
              </w:rPr>
              <w:t>209,327</w:t>
            </w:r>
          </w:p>
        </w:tc>
        <w:tc>
          <w:tcPr>
            <w:tcW w:w="1138" w:type="dxa"/>
            <w:tcBorders>
              <w:top w:val="single" w:sz="1" w:space="0" w:color="000000"/>
              <w:bottom w:val="single" w:sz="1" w:space="0" w:color="000000"/>
            </w:tcBorders>
          </w:tcPr>
          <w:p>
            <w:pPr>
              <w:pStyle w:val="TableParagraph"/>
              <w:spacing w:before="124"/>
              <w:ind w:right="82"/>
              <w:rPr>
                <w:sz w:val="18"/>
              </w:rPr>
            </w:pPr>
            <w:r>
              <w:rPr>
                <w:w w:val="95"/>
                <w:sz w:val="18"/>
              </w:rPr>
              <w:t>259,267</w:t>
            </w:r>
          </w:p>
        </w:tc>
      </w:tr>
      <w:tr>
        <w:trPr>
          <w:trHeight w:val="790" w:hRule="exact"/>
        </w:trPr>
        <w:tc>
          <w:tcPr>
            <w:tcW w:w="7353" w:type="dxa"/>
          </w:tcPr>
          <w:p>
            <w:pPr>
              <w:pStyle w:val="TableParagraph"/>
              <w:spacing w:before="1"/>
              <w:jc w:val="left"/>
              <w:rPr>
                <w:b/>
                <w:sz w:val="26"/>
              </w:rPr>
            </w:pPr>
          </w:p>
          <w:p>
            <w:pPr>
              <w:pStyle w:val="TableParagraph"/>
              <w:ind w:left="428"/>
              <w:jc w:val="left"/>
              <w:rPr>
                <w:b/>
                <w:sz w:val="18"/>
              </w:rPr>
            </w:pPr>
            <w:r>
              <w:rPr>
                <w:b/>
                <w:sz w:val="18"/>
              </w:rPr>
              <w:t>Current provisions expected to be settled after more than 12 months</w:t>
            </w:r>
          </w:p>
        </w:tc>
        <w:tc>
          <w:tcPr>
            <w:tcW w:w="1454" w:type="dxa"/>
            <w:tcBorders>
              <w:top w:val="single" w:sz="1" w:space="0" w:color="000000"/>
            </w:tcBorders>
          </w:tcPr>
          <w:p>
            <w:pPr>
              <w:pStyle w:val="TableParagraph"/>
              <w:jc w:val="left"/>
              <w:rPr>
                <w:b/>
                <w:sz w:val="18"/>
              </w:rPr>
            </w:pPr>
          </w:p>
          <w:p>
            <w:pPr>
              <w:pStyle w:val="TableParagraph"/>
              <w:jc w:val="left"/>
              <w:rPr>
                <w:b/>
                <w:sz w:val="18"/>
              </w:rPr>
            </w:pPr>
          </w:p>
          <w:p>
            <w:pPr>
              <w:pStyle w:val="TableParagraph"/>
              <w:spacing w:before="125"/>
              <w:ind w:left="446"/>
              <w:jc w:val="left"/>
              <w:rPr>
                <w:b/>
                <w:sz w:val="18"/>
              </w:rPr>
            </w:pPr>
            <w:r>
              <w:rPr>
                <w:b/>
                <w:sz w:val="18"/>
              </w:rPr>
              <w:t>2016</w:t>
            </w:r>
          </w:p>
        </w:tc>
        <w:tc>
          <w:tcPr>
            <w:tcW w:w="1138" w:type="dxa"/>
            <w:tcBorders>
              <w:top w:val="single" w:sz="1" w:space="0" w:color="000000"/>
            </w:tcBorders>
          </w:tcPr>
          <w:p>
            <w:pPr>
              <w:pStyle w:val="TableParagraph"/>
              <w:jc w:val="left"/>
              <w:rPr>
                <w:b/>
                <w:sz w:val="18"/>
              </w:rPr>
            </w:pPr>
          </w:p>
          <w:p>
            <w:pPr>
              <w:pStyle w:val="TableParagraph"/>
              <w:jc w:val="left"/>
              <w:rPr>
                <w:b/>
                <w:sz w:val="18"/>
              </w:rPr>
            </w:pPr>
          </w:p>
          <w:p>
            <w:pPr>
              <w:pStyle w:val="TableParagraph"/>
              <w:spacing w:before="125"/>
              <w:ind w:left="276"/>
              <w:jc w:val="left"/>
              <w:rPr>
                <w:b/>
                <w:sz w:val="18"/>
              </w:rPr>
            </w:pPr>
            <w:r>
              <w:rPr>
                <w:b/>
                <w:sz w:val="18"/>
              </w:rPr>
              <w:t>2015</w:t>
            </w:r>
          </w:p>
        </w:tc>
      </w:tr>
      <w:tr>
        <w:trPr>
          <w:trHeight w:val="271" w:hRule="exact"/>
        </w:trPr>
        <w:tc>
          <w:tcPr>
            <w:tcW w:w="7353" w:type="dxa"/>
          </w:tcPr>
          <w:p>
            <w:pPr/>
          </w:p>
        </w:tc>
        <w:tc>
          <w:tcPr>
            <w:tcW w:w="1454" w:type="dxa"/>
          </w:tcPr>
          <w:p>
            <w:pPr>
              <w:pStyle w:val="TableParagraph"/>
              <w:spacing w:before="24"/>
              <w:ind w:right="157"/>
              <w:jc w:val="center"/>
              <w:rPr>
                <w:b/>
                <w:sz w:val="18"/>
              </w:rPr>
            </w:pPr>
            <w:r>
              <w:rPr>
                <w:b/>
                <w:w w:val="99"/>
                <w:sz w:val="18"/>
              </w:rPr>
              <w:t>$</w:t>
            </w:r>
          </w:p>
        </w:tc>
        <w:tc>
          <w:tcPr>
            <w:tcW w:w="1138" w:type="dxa"/>
          </w:tcPr>
          <w:p>
            <w:pPr>
              <w:pStyle w:val="TableParagraph"/>
              <w:spacing w:before="24"/>
              <w:ind w:left="427"/>
              <w:jc w:val="left"/>
              <w:rPr>
                <w:b/>
                <w:sz w:val="18"/>
              </w:rPr>
            </w:pPr>
            <w:r>
              <w:rPr>
                <w:b/>
                <w:w w:val="99"/>
                <w:sz w:val="18"/>
              </w:rPr>
              <w:t>$</w:t>
            </w:r>
          </w:p>
        </w:tc>
      </w:tr>
      <w:tr>
        <w:trPr>
          <w:trHeight w:val="268" w:hRule="exact"/>
        </w:trPr>
        <w:tc>
          <w:tcPr>
            <w:tcW w:w="7353" w:type="dxa"/>
          </w:tcPr>
          <w:p>
            <w:pPr>
              <w:pStyle w:val="TableParagraph"/>
              <w:spacing w:before="24"/>
              <w:ind w:left="428"/>
              <w:jc w:val="left"/>
              <w:rPr>
                <w:sz w:val="18"/>
              </w:rPr>
            </w:pPr>
            <w:r>
              <w:rPr>
                <w:sz w:val="18"/>
              </w:rPr>
              <w:t>Annual leave</w:t>
            </w:r>
          </w:p>
        </w:tc>
        <w:tc>
          <w:tcPr>
            <w:tcW w:w="1454" w:type="dxa"/>
          </w:tcPr>
          <w:p>
            <w:pPr>
              <w:pStyle w:val="TableParagraph"/>
              <w:spacing w:before="21"/>
              <w:ind w:right="242"/>
              <w:rPr>
                <w:b/>
                <w:sz w:val="18"/>
              </w:rPr>
            </w:pPr>
            <w:r>
              <w:rPr>
                <w:b/>
                <w:w w:val="95"/>
                <w:sz w:val="18"/>
              </w:rPr>
              <w:t>149,420</w:t>
            </w:r>
          </w:p>
        </w:tc>
        <w:tc>
          <w:tcPr>
            <w:tcW w:w="1138" w:type="dxa"/>
          </w:tcPr>
          <w:p>
            <w:pPr>
              <w:pStyle w:val="TableParagraph"/>
              <w:spacing w:before="21"/>
              <w:ind w:right="82"/>
              <w:rPr>
                <w:sz w:val="18"/>
              </w:rPr>
            </w:pPr>
            <w:r>
              <w:rPr>
                <w:w w:val="95"/>
                <w:sz w:val="18"/>
              </w:rPr>
              <w:t>133,990</w:t>
            </w:r>
          </w:p>
        </w:tc>
      </w:tr>
      <w:tr>
        <w:trPr>
          <w:trHeight w:val="260" w:hRule="exact"/>
        </w:trPr>
        <w:tc>
          <w:tcPr>
            <w:tcW w:w="7353" w:type="dxa"/>
          </w:tcPr>
          <w:p>
            <w:pPr>
              <w:pStyle w:val="TableParagraph"/>
              <w:spacing w:before="20"/>
              <w:ind w:left="428"/>
              <w:jc w:val="left"/>
              <w:rPr>
                <w:sz w:val="18"/>
              </w:rPr>
            </w:pPr>
            <w:r>
              <w:rPr>
                <w:sz w:val="18"/>
              </w:rPr>
              <w:t>Long service leave</w:t>
            </w:r>
          </w:p>
        </w:tc>
        <w:tc>
          <w:tcPr>
            <w:tcW w:w="1454" w:type="dxa"/>
            <w:tcBorders>
              <w:bottom w:val="single" w:sz="1" w:space="0" w:color="000000"/>
            </w:tcBorders>
          </w:tcPr>
          <w:p>
            <w:pPr>
              <w:pStyle w:val="TableParagraph"/>
              <w:spacing w:before="18"/>
              <w:ind w:right="242"/>
              <w:rPr>
                <w:b/>
                <w:sz w:val="18"/>
              </w:rPr>
            </w:pPr>
            <w:r>
              <w:rPr>
                <w:b/>
                <w:w w:val="95"/>
                <w:sz w:val="18"/>
              </w:rPr>
              <w:t>89,926</w:t>
            </w:r>
          </w:p>
        </w:tc>
        <w:tc>
          <w:tcPr>
            <w:tcW w:w="1138" w:type="dxa"/>
            <w:tcBorders>
              <w:bottom w:val="single" w:sz="1" w:space="0" w:color="000000"/>
            </w:tcBorders>
          </w:tcPr>
          <w:p>
            <w:pPr>
              <w:pStyle w:val="TableParagraph"/>
              <w:spacing w:before="18"/>
              <w:ind w:right="82"/>
              <w:rPr>
                <w:sz w:val="18"/>
              </w:rPr>
            </w:pPr>
            <w:r>
              <w:rPr>
                <w:w w:val="95"/>
                <w:sz w:val="18"/>
              </w:rPr>
              <w:t>64,213</w:t>
            </w:r>
          </w:p>
        </w:tc>
      </w:tr>
      <w:tr>
        <w:trPr>
          <w:trHeight w:val="338" w:hRule="exact"/>
        </w:trPr>
        <w:tc>
          <w:tcPr>
            <w:tcW w:w="7353" w:type="dxa"/>
          </w:tcPr>
          <w:p>
            <w:pPr/>
          </w:p>
        </w:tc>
        <w:tc>
          <w:tcPr>
            <w:tcW w:w="1454" w:type="dxa"/>
            <w:tcBorders>
              <w:top w:val="single" w:sz="1" w:space="0" w:color="000000"/>
              <w:bottom w:val="single" w:sz="1" w:space="0" w:color="000000"/>
            </w:tcBorders>
          </w:tcPr>
          <w:p>
            <w:pPr>
              <w:pStyle w:val="TableParagraph"/>
              <w:spacing w:before="124"/>
              <w:ind w:right="242"/>
              <w:rPr>
                <w:b/>
                <w:sz w:val="18"/>
              </w:rPr>
            </w:pPr>
            <w:r>
              <w:rPr>
                <w:b/>
                <w:w w:val="95"/>
                <w:sz w:val="18"/>
              </w:rPr>
              <w:t>239,346</w:t>
            </w:r>
          </w:p>
        </w:tc>
        <w:tc>
          <w:tcPr>
            <w:tcW w:w="1138" w:type="dxa"/>
            <w:tcBorders>
              <w:top w:val="single" w:sz="1" w:space="0" w:color="000000"/>
              <w:bottom w:val="single" w:sz="1" w:space="0" w:color="000000"/>
            </w:tcBorders>
          </w:tcPr>
          <w:p>
            <w:pPr>
              <w:pStyle w:val="TableParagraph"/>
              <w:spacing w:before="124"/>
              <w:ind w:right="82"/>
              <w:rPr>
                <w:sz w:val="18"/>
              </w:rPr>
            </w:pPr>
            <w:r>
              <w:rPr>
                <w:w w:val="95"/>
                <w:sz w:val="18"/>
              </w:rPr>
              <w:t>198,203</w:t>
            </w:r>
          </w:p>
        </w:tc>
      </w:tr>
      <w:tr>
        <w:trPr>
          <w:trHeight w:val="353" w:hRule="exact"/>
        </w:trPr>
        <w:tc>
          <w:tcPr>
            <w:tcW w:w="7353" w:type="dxa"/>
          </w:tcPr>
          <w:p>
            <w:pPr>
              <w:pStyle w:val="TableParagraph"/>
              <w:spacing w:before="125"/>
              <w:ind w:left="428"/>
              <w:jc w:val="left"/>
              <w:rPr>
                <w:b/>
                <w:sz w:val="18"/>
              </w:rPr>
            </w:pPr>
            <w:r>
              <w:rPr>
                <w:b/>
                <w:sz w:val="18"/>
              </w:rPr>
              <w:t>Total current provisions</w:t>
            </w:r>
          </w:p>
        </w:tc>
        <w:tc>
          <w:tcPr>
            <w:tcW w:w="1454" w:type="dxa"/>
            <w:tcBorders>
              <w:top w:val="single" w:sz="1" w:space="0" w:color="000000"/>
              <w:bottom w:val="single" w:sz="1" w:space="0" w:color="000000"/>
            </w:tcBorders>
          </w:tcPr>
          <w:p>
            <w:pPr>
              <w:pStyle w:val="TableParagraph"/>
              <w:spacing w:before="124"/>
              <w:ind w:right="242"/>
              <w:rPr>
                <w:b/>
                <w:sz w:val="18"/>
              </w:rPr>
            </w:pPr>
            <w:r>
              <w:rPr>
                <w:b/>
                <w:w w:val="95"/>
                <w:sz w:val="18"/>
              </w:rPr>
              <w:t>448,673</w:t>
            </w:r>
          </w:p>
        </w:tc>
        <w:tc>
          <w:tcPr>
            <w:tcW w:w="1138" w:type="dxa"/>
            <w:tcBorders>
              <w:top w:val="single" w:sz="1" w:space="0" w:color="000000"/>
              <w:bottom w:val="single" w:sz="1" w:space="0" w:color="000000"/>
            </w:tcBorders>
          </w:tcPr>
          <w:p>
            <w:pPr>
              <w:pStyle w:val="TableParagraph"/>
              <w:spacing w:before="124"/>
              <w:ind w:right="82"/>
              <w:rPr>
                <w:sz w:val="18"/>
              </w:rPr>
            </w:pPr>
            <w:r>
              <w:rPr>
                <w:w w:val="95"/>
                <w:sz w:val="18"/>
              </w:rPr>
              <w:t>457,470</w:t>
            </w:r>
          </w:p>
        </w:tc>
      </w:tr>
      <w:tr>
        <w:trPr>
          <w:trHeight w:val="628" w:hRule="exact"/>
        </w:trPr>
        <w:tc>
          <w:tcPr>
            <w:tcW w:w="7353" w:type="dxa"/>
          </w:tcPr>
          <w:p>
            <w:pPr>
              <w:pStyle w:val="TableParagraph"/>
              <w:jc w:val="left"/>
              <w:rPr>
                <w:b/>
                <w:sz w:val="18"/>
              </w:rPr>
            </w:pPr>
          </w:p>
          <w:p>
            <w:pPr>
              <w:pStyle w:val="TableParagraph"/>
              <w:spacing w:before="107"/>
              <w:ind w:left="428"/>
              <w:jc w:val="left"/>
              <w:rPr>
                <w:b/>
                <w:sz w:val="18"/>
              </w:rPr>
            </w:pPr>
            <w:r>
              <w:rPr>
                <w:b/>
                <w:sz w:val="18"/>
              </w:rPr>
              <w:t>Non-current provisions</w:t>
            </w:r>
          </w:p>
        </w:tc>
        <w:tc>
          <w:tcPr>
            <w:tcW w:w="1454" w:type="dxa"/>
            <w:tcBorders>
              <w:top w:val="single" w:sz="1" w:space="0" w:color="000000"/>
            </w:tcBorders>
          </w:tcPr>
          <w:p>
            <w:pPr/>
          </w:p>
        </w:tc>
        <w:tc>
          <w:tcPr>
            <w:tcW w:w="1138" w:type="dxa"/>
            <w:tcBorders>
              <w:top w:val="single" w:sz="1" w:space="0" w:color="000000"/>
            </w:tcBorders>
          </w:tcPr>
          <w:p>
            <w:pPr/>
          </w:p>
        </w:tc>
      </w:tr>
      <w:tr>
        <w:trPr>
          <w:trHeight w:val="337" w:hRule="exact"/>
        </w:trPr>
        <w:tc>
          <w:tcPr>
            <w:tcW w:w="7353" w:type="dxa"/>
          </w:tcPr>
          <w:p>
            <w:pPr/>
          </w:p>
        </w:tc>
        <w:tc>
          <w:tcPr>
            <w:tcW w:w="1454" w:type="dxa"/>
          </w:tcPr>
          <w:p>
            <w:pPr>
              <w:pStyle w:val="TableParagraph"/>
              <w:spacing w:before="87"/>
              <w:ind w:left="432"/>
              <w:jc w:val="left"/>
              <w:rPr>
                <w:b/>
                <w:sz w:val="18"/>
              </w:rPr>
            </w:pPr>
            <w:r>
              <w:rPr>
                <w:b/>
                <w:sz w:val="18"/>
              </w:rPr>
              <w:t>2016</w:t>
            </w:r>
          </w:p>
        </w:tc>
        <w:tc>
          <w:tcPr>
            <w:tcW w:w="1138" w:type="dxa"/>
          </w:tcPr>
          <w:p>
            <w:pPr>
              <w:pStyle w:val="TableParagraph"/>
              <w:spacing w:before="87"/>
              <w:ind w:left="273"/>
              <w:jc w:val="left"/>
              <w:rPr>
                <w:b/>
                <w:sz w:val="18"/>
              </w:rPr>
            </w:pPr>
            <w:r>
              <w:rPr>
                <w:b/>
                <w:sz w:val="18"/>
              </w:rPr>
              <w:t>2015</w:t>
            </w:r>
          </w:p>
        </w:tc>
      </w:tr>
      <w:tr>
        <w:trPr>
          <w:trHeight w:val="271" w:hRule="exact"/>
        </w:trPr>
        <w:tc>
          <w:tcPr>
            <w:tcW w:w="7353" w:type="dxa"/>
          </w:tcPr>
          <w:p>
            <w:pPr/>
          </w:p>
        </w:tc>
        <w:tc>
          <w:tcPr>
            <w:tcW w:w="1454" w:type="dxa"/>
          </w:tcPr>
          <w:p>
            <w:pPr>
              <w:pStyle w:val="TableParagraph"/>
              <w:spacing w:before="24"/>
              <w:ind w:right="185"/>
              <w:jc w:val="center"/>
              <w:rPr>
                <w:b/>
                <w:sz w:val="18"/>
              </w:rPr>
            </w:pPr>
            <w:r>
              <w:rPr>
                <w:b/>
                <w:w w:val="99"/>
                <w:sz w:val="18"/>
              </w:rPr>
              <w:t>$</w:t>
            </w:r>
          </w:p>
        </w:tc>
        <w:tc>
          <w:tcPr>
            <w:tcW w:w="1138" w:type="dxa"/>
          </w:tcPr>
          <w:p>
            <w:pPr>
              <w:pStyle w:val="TableParagraph"/>
              <w:spacing w:before="24"/>
              <w:ind w:left="424"/>
              <w:jc w:val="left"/>
              <w:rPr>
                <w:b/>
                <w:sz w:val="18"/>
              </w:rPr>
            </w:pPr>
            <w:r>
              <w:rPr>
                <w:b/>
                <w:w w:val="99"/>
                <w:sz w:val="18"/>
              </w:rPr>
              <w:t>$</w:t>
            </w:r>
          </w:p>
        </w:tc>
      </w:tr>
      <w:tr>
        <w:trPr>
          <w:trHeight w:val="263" w:hRule="exact"/>
        </w:trPr>
        <w:tc>
          <w:tcPr>
            <w:tcW w:w="7353" w:type="dxa"/>
          </w:tcPr>
          <w:p>
            <w:pPr>
              <w:pStyle w:val="TableParagraph"/>
              <w:spacing w:before="24"/>
              <w:ind w:left="428"/>
              <w:jc w:val="left"/>
              <w:rPr>
                <w:sz w:val="18"/>
              </w:rPr>
            </w:pPr>
            <w:bookmarkStart w:name="16 Other liabilities" w:id="298"/>
            <w:bookmarkEnd w:id="298"/>
            <w:r>
              <w:rPr/>
            </w:r>
            <w:r>
              <w:rPr>
                <w:sz w:val="18"/>
              </w:rPr>
              <w:t>Employee benefits - long service leave</w:t>
            </w:r>
          </w:p>
        </w:tc>
        <w:tc>
          <w:tcPr>
            <w:tcW w:w="1454" w:type="dxa"/>
            <w:tcBorders>
              <w:bottom w:val="single" w:sz="1" w:space="0" w:color="000000"/>
            </w:tcBorders>
          </w:tcPr>
          <w:p>
            <w:pPr>
              <w:pStyle w:val="TableParagraph"/>
              <w:spacing w:before="21"/>
              <w:ind w:right="242"/>
              <w:rPr>
                <w:b/>
                <w:sz w:val="18"/>
              </w:rPr>
            </w:pPr>
            <w:r>
              <w:rPr>
                <w:b/>
                <w:w w:val="95"/>
                <w:sz w:val="18"/>
              </w:rPr>
              <w:t>164,116</w:t>
            </w:r>
          </w:p>
        </w:tc>
        <w:tc>
          <w:tcPr>
            <w:tcW w:w="1138" w:type="dxa"/>
            <w:tcBorders>
              <w:bottom w:val="single" w:sz="1" w:space="0" w:color="000000"/>
            </w:tcBorders>
          </w:tcPr>
          <w:p>
            <w:pPr>
              <w:pStyle w:val="TableParagraph"/>
              <w:spacing w:before="21"/>
              <w:ind w:right="84"/>
              <w:rPr>
                <w:sz w:val="18"/>
              </w:rPr>
            </w:pPr>
            <w:r>
              <w:rPr>
                <w:w w:val="95"/>
                <w:sz w:val="18"/>
              </w:rPr>
              <w:t>210,426</w:t>
            </w:r>
          </w:p>
        </w:tc>
      </w:tr>
      <w:tr>
        <w:trPr>
          <w:trHeight w:val="359" w:hRule="exact"/>
        </w:trPr>
        <w:tc>
          <w:tcPr>
            <w:tcW w:w="7353" w:type="dxa"/>
          </w:tcPr>
          <w:p>
            <w:pPr>
              <w:pStyle w:val="TableParagraph"/>
              <w:spacing w:before="125"/>
              <w:ind w:left="428"/>
              <w:jc w:val="left"/>
              <w:rPr>
                <w:b/>
                <w:sz w:val="18"/>
              </w:rPr>
            </w:pPr>
            <w:r>
              <w:rPr>
                <w:b/>
                <w:sz w:val="18"/>
              </w:rPr>
              <w:t>Total non-current provisions</w:t>
            </w:r>
          </w:p>
        </w:tc>
        <w:tc>
          <w:tcPr>
            <w:tcW w:w="1454" w:type="dxa"/>
            <w:tcBorders>
              <w:top w:val="single" w:sz="1" w:space="0" w:color="000000"/>
              <w:bottom w:val="single" w:sz="1" w:space="0" w:color="000000"/>
            </w:tcBorders>
          </w:tcPr>
          <w:p>
            <w:pPr>
              <w:pStyle w:val="TableParagraph"/>
              <w:spacing w:before="124"/>
              <w:ind w:right="242"/>
              <w:rPr>
                <w:b/>
                <w:sz w:val="18"/>
              </w:rPr>
            </w:pPr>
            <w:r>
              <w:rPr>
                <w:b/>
                <w:w w:val="95"/>
                <w:sz w:val="18"/>
              </w:rPr>
              <w:t>164,116</w:t>
            </w:r>
          </w:p>
        </w:tc>
        <w:tc>
          <w:tcPr>
            <w:tcW w:w="1138" w:type="dxa"/>
            <w:tcBorders>
              <w:top w:val="single" w:sz="1" w:space="0" w:color="000000"/>
              <w:bottom w:val="single" w:sz="1" w:space="0" w:color="000000"/>
            </w:tcBorders>
          </w:tcPr>
          <w:p>
            <w:pPr>
              <w:pStyle w:val="TableParagraph"/>
              <w:spacing w:before="124"/>
              <w:ind w:right="84"/>
              <w:rPr>
                <w:sz w:val="18"/>
              </w:rPr>
            </w:pPr>
            <w:r>
              <w:rPr>
                <w:w w:val="95"/>
                <w:sz w:val="18"/>
              </w:rPr>
              <w:t>210,426</w:t>
            </w:r>
          </w:p>
        </w:tc>
      </w:tr>
      <w:tr>
        <w:trPr>
          <w:trHeight w:val="811" w:hRule="exact"/>
        </w:trPr>
        <w:tc>
          <w:tcPr>
            <w:tcW w:w="7353" w:type="dxa"/>
          </w:tcPr>
          <w:p>
            <w:pPr>
              <w:pStyle w:val="TableParagraph"/>
              <w:jc w:val="left"/>
              <w:rPr>
                <w:b/>
                <w:sz w:val="18"/>
              </w:rPr>
            </w:pPr>
          </w:p>
          <w:p>
            <w:pPr>
              <w:pStyle w:val="TableParagraph"/>
              <w:spacing w:before="113"/>
              <w:ind w:left="35"/>
              <w:jc w:val="left"/>
              <w:rPr>
                <w:b/>
                <w:sz w:val="18"/>
              </w:rPr>
            </w:pPr>
            <w:r>
              <w:rPr>
                <w:b/>
                <w:sz w:val="18"/>
              </w:rPr>
              <w:t>16    Other liabilities</w:t>
            </w:r>
          </w:p>
        </w:tc>
        <w:tc>
          <w:tcPr>
            <w:tcW w:w="1454" w:type="dxa"/>
            <w:tcBorders>
              <w:top w:val="single" w:sz="1" w:space="0" w:color="000000"/>
            </w:tcBorders>
          </w:tcPr>
          <w:p>
            <w:pPr>
              <w:pStyle w:val="TableParagraph"/>
              <w:jc w:val="left"/>
              <w:rPr>
                <w:b/>
                <w:sz w:val="18"/>
              </w:rPr>
            </w:pPr>
          </w:p>
          <w:p>
            <w:pPr>
              <w:pStyle w:val="TableParagraph"/>
              <w:jc w:val="left"/>
              <w:rPr>
                <w:b/>
                <w:sz w:val="18"/>
              </w:rPr>
            </w:pPr>
          </w:p>
          <w:p>
            <w:pPr>
              <w:pStyle w:val="TableParagraph"/>
              <w:spacing w:before="145"/>
              <w:ind w:left="444"/>
              <w:jc w:val="left"/>
              <w:rPr>
                <w:b/>
                <w:sz w:val="18"/>
              </w:rPr>
            </w:pPr>
            <w:r>
              <w:rPr>
                <w:b/>
                <w:sz w:val="18"/>
              </w:rPr>
              <w:t>2016</w:t>
            </w:r>
          </w:p>
        </w:tc>
        <w:tc>
          <w:tcPr>
            <w:tcW w:w="1138" w:type="dxa"/>
            <w:tcBorders>
              <w:top w:val="single" w:sz="1" w:space="0" w:color="000000"/>
            </w:tcBorders>
          </w:tcPr>
          <w:p>
            <w:pPr>
              <w:pStyle w:val="TableParagraph"/>
              <w:jc w:val="left"/>
              <w:rPr>
                <w:b/>
                <w:sz w:val="18"/>
              </w:rPr>
            </w:pPr>
          </w:p>
          <w:p>
            <w:pPr>
              <w:pStyle w:val="TableParagraph"/>
              <w:jc w:val="left"/>
              <w:rPr>
                <w:b/>
                <w:sz w:val="18"/>
              </w:rPr>
            </w:pPr>
          </w:p>
          <w:p>
            <w:pPr>
              <w:pStyle w:val="TableParagraph"/>
              <w:spacing w:before="145"/>
              <w:ind w:left="273"/>
              <w:jc w:val="left"/>
              <w:rPr>
                <w:b/>
                <w:sz w:val="18"/>
              </w:rPr>
            </w:pPr>
            <w:r>
              <w:rPr>
                <w:b/>
                <w:sz w:val="18"/>
              </w:rPr>
              <w:t>2015</w:t>
            </w:r>
          </w:p>
        </w:tc>
      </w:tr>
      <w:tr>
        <w:trPr>
          <w:trHeight w:val="270" w:hRule="exact"/>
        </w:trPr>
        <w:tc>
          <w:tcPr>
            <w:tcW w:w="7353" w:type="dxa"/>
          </w:tcPr>
          <w:p>
            <w:pPr/>
          </w:p>
        </w:tc>
        <w:tc>
          <w:tcPr>
            <w:tcW w:w="1454" w:type="dxa"/>
          </w:tcPr>
          <w:p>
            <w:pPr>
              <w:pStyle w:val="TableParagraph"/>
              <w:spacing w:before="24"/>
              <w:ind w:right="161"/>
              <w:jc w:val="center"/>
              <w:rPr>
                <w:b/>
                <w:sz w:val="18"/>
              </w:rPr>
            </w:pPr>
            <w:r>
              <w:rPr>
                <w:b/>
                <w:w w:val="99"/>
                <w:sz w:val="18"/>
              </w:rPr>
              <w:t>$</w:t>
            </w:r>
          </w:p>
        </w:tc>
        <w:tc>
          <w:tcPr>
            <w:tcW w:w="1138" w:type="dxa"/>
          </w:tcPr>
          <w:p>
            <w:pPr>
              <w:pStyle w:val="TableParagraph"/>
              <w:spacing w:before="24"/>
              <w:ind w:left="424"/>
              <w:jc w:val="left"/>
              <w:rPr>
                <w:b/>
                <w:sz w:val="18"/>
              </w:rPr>
            </w:pPr>
            <w:r>
              <w:rPr>
                <w:b/>
                <w:w w:val="99"/>
                <w:sz w:val="18"/>
              </w:rPr>
              <w:t>$</w:t>
            </w:r>
          </w:p>
        </w:tc>
      </w:tr>
      <w:tr>
        <w:trPr>
          <w:trHeight w:val="266" w:hRule="exact"/>
        </w:trPr>
        <w:tc>
          <w:tcPr>
            <w:tcW w:w="7353" w:type="dxa"/>
          </w:tcPr>
          <w:p>
            <w:pPr>
              <w:pStyle w:val="TableParagraph"/>
              <w:spacing w:before="20"/>
              <w:ind w:left="428"/>
              <w:jc w:val="left"/>
              <w:rPr>
                <w:sz w:val="18"/>
              </w:rPr>
            </w:pPr>
            <w:r>
              <w:rPr>
                <w:sz w:val="18"/>
              </w:rPr>
              <w:t>Voucher liability</w:t>
            </w:r>
          </w:p>
        </w:tc>
        <w:tc>
          <w:tcPr>
            <w:tcW w:w="1454" w:type="dxa"/>
          </w:tcPr>
          <w:p>
            <w:pPr>
              <w:pStyle w:val="TableParagraph"/>
              <w:spacing w:before="22"/>
              <w:ind w:right="245"/>
              <w:rPr>
                <w:b/>
                <w:sz w:val="18"/>
              </w:rPr>
            </w:pPr>
            <w:r>
              <w:rPr>
                <w:b/>
                <w:w w:val="95"/>
                <w:sz w:val="18"/>
              </w:rPr>
              <w:t>104,985</w:t>
            </w:r>
          </w:p>
        </w:tc>
        <w:tc>
          <w:tcPr>
            <w:tcW w:w="1138" w:type="dxa"/>
          </w:tcPr>
          <w:p>
            <w:pPr>
              <w:pStyle w:val="TableParagraph"/>
              <w:spacing w:before="22"/>
              <w:ind w:right="84"/>
              <w:rPr>
                <w:sz w:val="18"/>
              </w:rPr>
            </w:pPr>
            <w:r>
              <w:rPr>
                <w:w w:val="95"/>
                <w:sz w:val="18"/>
              </w:rPr>
              <w:t>228,522</w:t>
            </w:r>
          </w:p>
        </w:tc>
      </w:tr>
      <w:tr>
        <w:trPr>
          <w:trHeight w:val="262" w:hRule="exact"/>
        </w:trPr>
        <w:tc>
          <w:tcPr>
            <w:tcW w:w="7353" w:type="dxa"/>
          </w:tcPr>
          <w:p>
            <w:pPr>
              <w:pStyle w:val="TableParagraph"/>
              <w:spacing w:before="18"/>
              <w:ind w:left="428"/>
              <w:jc w:val="left"/>
              <w:rPr>
                <w:sz w:val="18"/>
              </w:rPr>
            </w:pPr>
            <w:r>
              <w:rPr>
                <w:sz w:val="18"/>
              </w:rPr>
              <w:t>Deposit on hand</w:t>
            </w:r>
          </w:p>
        </w:tc>
        <w:tc>
          <w:tcPr>
            <w:tcW w:w="1454" w:type="dxa"/>
            <w:tcBorders>
              <w:bottom w:val="single" w:sz="1" w:space="0" w:color="000000"/>
            </w:tcBorders>
          </w:tcPr>
          <w:p>
            <w:pPr>
              <w:pStyle w:val="TableParagraph"/>
              <w:spacing w:before="20"/>
              <w:ind w:right="386"/>
              <w:rPr>
                <w:b/>
                <w:sz w:val="18"/>
              </w:rPr>
            </w:pPr>
            <w:r>
              <w:rPr>
                <w:b/>
                <w:w w:val="99"/>
                <w:sz w:val="18"/>
              </w:rPr>
              <w:t>-</w:t>
            </w:r>
          </w:p>
        </w:tc>
        <w:tc>
          <w:tcPr>
            <w:tcW w:w="1138" w:type="dxa"/>
            <w:tcBorders>
              <w:bottom w:val="single" w:sz="1" w:space="0" w:color="000000"/>
            </w:tcBorders>
          </w:tcPr>
          <w:p>
            <w:pPr>
              <w:pStyle w:val="TableParagraph"/>
              <w:spacing w:before="20"/>
              <w:ind w:right="84"/>
              <w:rPr>
                <w:sz w:val="18"/>
              </w:rPr>
            </w:pPr>
            <w:r>
              <w:rPr>
                <w:w w:val="95"/>
                <w:sz w:val="18"/>
              </w:rPr>
              <w:t>539</w:t>
            </w:r>
          </w:p>
        </w:tc>
      </w:tr>
      <w:tr>
        <w:trPr>
          <w:trHeight w:val="353" w:hRule="exact"/>
        </w:trPr>
        <w:tc>
          <w:tcPr>
            <w:tcW w:w="7353" w:type="dxa"/>
          </w:tcPr>
          <w:p>
            <w:pPr/>
          </w:p>
        </w:tc>
        <w:tc>
          <w:tcPr>
            <w:tcW w:w="1454" w:type="dxa"/>
            <w:tcBorders>
              <w:top w:val="single" w:sz="1" w:space="0" w:color="000000"/>
              <w:bottom w:val="single" w:sz="1" w:space="0" w:color="000000"/>
            </w:tcBorders>
          </w:tcPr>
          <w:p>
            <w:pPr>
              <w:pStyle w:val="TableParagraph"/>
              <w:spacing w:before="124"/>
              <w:ind w:right="245"/>
              <w:rPr>
                <w:b/>
                <w:sz w:val="18"/>
              </w:rPr>
            </w:pPr>
            <w:r>
              <w:rPr>
                <w:b/>
                <w:w w:val="95"/>
                <w:sz w:val="18"/>
              </w:rPr>
              <w:t>104,985</w:t>
            </w:r>
          </w:p>
        </w:tc>
        <w:tc>
          <w:tcPr>
            <w:tcW w:w="1138" w:type="dxa"/>
            <w:tcBorders>
              <w:top w:val="single" w:sz="1" w:space="0" w:color="000000"/>
              <w:bottom w:val="single" w:sz="1" w:space="0" w:color="000000"/>
            </w:tcBorders>
          </w:tcPr>
          <w:p>
            <w:pPr>
              <w:pStyle w:val="TableParagraph"/>
              <w:spacing w:before="124"/>
              <w:ind w:right="84"/>
              <w:rPr>
                <w:sz w:val="18"/>
              </w:rPr>
            </w:pPr>
            <w:r>
              <w:rPr>
                <w:w w:val="95"/>
                <w:sz w:val="18"/>
              </w:rPr>
              <w:t>229,061</w:t>
            </w:r>
          </w:p>
        </w:tc>
      </w:tr>
    </w:tbl>
    <w:p>
      <w:pPr>
        <w:spacing w:after="0"/>
        <w:rPr>
          <w:sz w:val="18"/>
        </w:rPr>
        <w:sectPr>
          <w:pgSz w:w="12750" w:h="17680"/>
          <w:pgMar w:header="0" w:footer="867" w:top="1880" w:bottom="1120" w:left="0" w:right="0"/>
        </w:sectPr>
      </w:pPr>
    </w:p>
    <w:p>
      <w:pPr>
        <w:pStyle w:val="BodyText"/>
        <w:spacing w:before="1"/>
        <w:rPr>
          <w:b/>
          <w:sz w:val="24"/>
        </w:rPr>
      </w:pPr>
      <w:r>
        <w:rPr/>
        <w:drawing>
          <wp:anchor distT="0" distB="0" distL="0" distR="0" allowOverlap="1" layoutInCell="1" locked="0" behindDoc="0" simplePos="0" relativeHeight="11320">
            <wp:simplePos x="0" y="0"/>
            <wp:positionH relativeFrom="page">
              <wp:posOffset>-1587</wp:posOffset>
            </wp:positionH>
            <wp:positionV relativeFrom="page">
              <wp:posOffset>5534342</wp:posOffset>
            </wp:positionV>
            <wp:extent cx="135159" cy="154019"/>
            <wp:effectExtent l="0" t="0" r="0" b="0"/>
            <wp:wrapNone/>
            <wp:docPr id="743" name="image13.png" descr=""/>
            <wp:cNvGraphicFramePr>
              <a:graphicFrameLocks noChangeAspect="1"/>
            </wp:cNvGraphicFramePr>
            <a:graphic>
              <a:graphicData uri="http://schemas.openxmlformats.org/drawingml/2006/picture">
                <pic:pic>
                  <pic:nvPicPr>
                    <pic:cNvPr id="744" name="image13.png"/>
                    <pic:cNvPicPr/>
                  </pic:nvPicPr>
                  <pic:blipFill>
                    <a:blip r:embed="rId18" cstate="print"/>
                    <a:stretch>
                      <a:fillRect/>
                    </a:stretch>
                  </pic:blipFill>
                  <pic:spPr>
                    <a:xfrm>
                      <a:off x="0" y="0"/>
                      <a:ext cx="135159" cy="154019"/>
                    </a:xfrm>
                    <a:prstGeom prst="rect">
                      <a:avLst/>
                    </a:prstGeom>
                  </pic:spPr>
                </pic:pic>
              </a:graphicData>
            </a:graphic>
          </wp:anchor>
        </w:drawing>
      </w:r>
      <w:r>
        <w:rPr/>
        <w:drawing>
          <wp:anchor distT="0" distB="0" distL="0" distR="0" allowOverlap="1" layoutInCell="1" locked="0" behindDoc="0" simplePos="0" relativeHeight="11344">
            <wp:simplePos x="0" y="0"/>
            <wp:positionH relativeFrom="page">
              <wp:posOffset>7958429</wp:posOffset>
            </wp:positionH>
            <wp:positionV relativeFrom="page">
              <wp:posOffset>5534342</wp:posOffset>
            </wp:positionV>
            <wp:extent cx="135953" cy="155575"/>
            <wp:effectExtent l="0" t="0" r="0" b="0"/>
            <wp:wrapNone/>
            <wp:docPr id="745" name="image15.png" descr=""/>
            <wp:cNvGraphicFramePr>
              <a:graphicFrameLocks noChangeAspect="1"/>
            </wp:cNvGraphicFramePr>
            <a:graphic>
              <a:graphicData uri="http://schemas.openxmlformats.org/drawingml/2006/picture">
                <pic:pic>
                  <pic:nvPicPr>
                    <pic:cNvPr id="746" name="image15.png"/>
                    <pic:cNvPicPr/>
                  </pic:nvPicPr>
                  <pic:blipFill>
                    <a:blip r:embed="rId20" cstate="print"/>
                    <a:stretch>
                      <a:fillRect/>
                    </a:stretch>
                  </pic:blipFill>
                  <pic:spPr>
                    <a:xfrm>
                      <a:off x="0" y="0"/>
                      <a:ext cx="135953" cy="155575"/>
                    </a:xfrm>
                    <a:prstGeom prst="rect">
                      <a:avLst/>
                    </a:prstGeom>
                  </pic:spPr>
                </pic:pic>
              </a:graphicData>
            </a:graphic>
          </wp:anchor>
        </w:drawing>
      </w:r>
    </w:p>
    <w:p>
      <w:pPr>
        <w:spacing w:before="65"/>
        <w:ind w:left="1428" w:right="0" w:firstLine="0"/>
        <w:jc w:val="left"/>
        <w:rPr>
          <w:b/>
          <w:sz w:val="28"/>
        </w:rPr>
      </w:pPr>
      <w:bookmarkStart w:name="Retained earnings" w:id="299"/>
      <w:bookmarkEnd w:id="299"/>
      <w:r>
        <w:rPr/>
      </w:r>
      <w:r>
        <w:rPr>
          <w:b/>
          <w:sz w:val="28"/>
        </w:rPr>
        <w:t>Notes to the Financial Statements</w:t>
      </w:r>
    </w:p>
    <w:p>
      <w:pPr>
        <w:spacing w:before="53"/>
        <w:ind w:left="1428" w:right="0" w:firstLine="0"/>
        <w:jc w:val="left"/>
        <w:rPr>
          <w:b/>
          <w:sz w:val="22"/>
        </w:rPr>
      </w:pPr>
      <w:r>
        <w:rPr>
          <w:b/>
          <w:sz w:val="22"/>
        </w:rPr>
        <w:t>For the Year Ended 31 December 2016</w:t>
      </w:r>
    </w:p>
    <w:p>
      <w:pPr>
        <w:pStyle w:val="BodyText"/>
        <w:spacing w:before="4"/>
        <w:rPr>
          <w:b/>
        </w:rPr>
      </w:pPr>
    </w:p>
    <w:tbl>
      <w:tblPr>
        <w:tblW w:w="0" w:type="auto"/>
        <w:jc w:val="left"/>
        <w:tblInd w:w="139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33"/>
        <w:gridCol w:w="7020"/>
        <w:gridCol w:w="1455"/>
        <w:gridCol w:w="1137"/>
      </w:tblGrid>
      <w:tr>
        <w:trPr>
          <w:trHeight w:val="804" w:hRule="exact"/>
        </w:trPr>
        <w:tc>
          <w:tcPr>
            <w:tcW w:w="333" w:type="dxa"/>
          </w:tcPr>
          <w:p>
            <w:pPr>
              <w:pStyle w:val="TableParagraph"/>
              <w:spacing w:before="77"/>
              <w:ind w:left="35"/>
              <w:jc w:val="left"/>
              <w:rPr>
                <w:b/>
                <w:sz w:val="18"/>
              </w:rPr>
            </w:pPr>
            <w:r>
              <w:rPr>
                <w:b/>
                <w:sz w:val="18"/>
              </w:rPr>
              <w:t>17</w:t>
            </w:r>
          </w:p>
        </w:tc>
        <w:tc>
          <w:tcPr>
            <w:tcW w:w="7020" w:type="dxa"/>
          </w:tcPr>
          <w:p>
            <w:pPr>
              <w:pStyle w:val="TableParagraph"/>
              <w:spacing w:before="77"/>
              <w:ind w:left="96" w:right="575"/>
              <w:jc w:val="left"/>
              <w:rPr>
                <w:b/>
                <w:sz w:val="18"/>
              </w:rPr>
            </w:pPr>
            <w:r>
              <w:rPr>
                <w:b/>
                <w:sz w:val="18"/>
              </w:rPr>
              <w:t>Retained earnings</w:t>
            </w:r>
          </w:p>
          <w:p>
            <w:pPr>
              <w:pStyle w:val="TableParagraph"/>
              <w:spacing w:before="11"/>
              <w:jc w:val="left"/>
              <w:rPr>
                <w:b/>
                <w:sz w:val="24"/>
              </w:rPr>
            </w:pPr>
          </w:p>
          <w:p>
            <w:pPr>
              <w:pStyle w:val="TableParagraph"/>
              <w:ind w:left="96" w:right="575"/>
              <w:jc w:val="left"/>
              <w:rPr>
                <w:sz w:val="18"/>
              </w:rPr>
            </w:pPr>
            <w:r>
              <w:rPr>
                <w:sz w:val="18"/>
              </w:rPr>
              <w:t>Movements in retained earnings were as follows:</w:t>
            </w:r>
          </w:p>
        </w:tc>
        <w:tc>
          <w:tcPr>
            <w:tcW w:w="2592" w:type="dxa"/>
            <w:gridSpan w:val="2"/>
          </w:tcPr>
          <w:p>
            <w:pPr/>
          </w:p>
        </w:tc>
      </w:tr>
      <w:tr>
        <w:trPr>
          <w:trHeight w:val="257" w:hRule="exact"/>
        </w:trPr>
        <w:tc>
          <w:tcPr>
            <w:tcW w:w="333" w:type="dxa"/>
          </w:tcPr>
          <w:p>
            <w:pPr/>
          </w:p>
        </w:tc>
        <w:tc>
          <w:tcPr>
            <w:tcW w:w="7020" w:type="dxa"/>
          </w:tcPr>
          <w:p>
            <w:pPr/>
          </w:p>
        </w:tc>
        <w:tc>
          <w:tcPr>
            <w:tcW w:w="1455" w:type="dxa"/>
          </w:tcPr>
          <w:p>
            <w:pPr>
              <w:pStyle w:val="TableParagraph"/>
              <w:spacing w:before="7"/>
              <w:ind w:left="432"/>
              <w:jc w:val="left"/>
              <w:rPr>
                <w:b/>
                <w:sz w:val="18"/>
              </w:rPr>
            </w:pPr>
            <w:r>
              <w:rPr>
                <w:b/>
                <w:sz w:val="18"/>
              </w:rPr>
              <w:t>2016</w:t>
            </w:r>
          </w:p>
        </w:tc>
        <w:tc>
          <w:tcPr>
            <w:tcW w:w="1137" w:type="dxa"/>
          </w:tcPr>
          <w:p>
            <w:pPr>
              <w:pStyle w:val="TableParagraph"/>
              <w:spacing w:before="7"/>
              <w:ind w:left="273"/>
              <w:jc w:val="left"/>
              <w:rPr>
                <w:b/>
                <w:sz w:val="18"/>
              </w:rPr>
            </w:pPr>
            <w:r>
              <w:rPr>
                <w:b/>
                <w:sz w:val="18"/>
              </w:rPr>
              <w:t>2015</w:t>
            </w:r>
          </w:p>
        </w:tc>
      </w:tr>
      <w:tr>
        <w:trPr>
          <w:trHeight w:val="271" w:hRule="exact"/>
        </w:trPr>
        <w:tc>
          <w:tcPr>
            <w:tcW w:w="333" w:type="dxa"/>
          </w:tcPr>
          <w:p>
            <w:pPr/>
          </w:p>
        </w:tc>
        <w:tc>
          <w:tcPr>
            <w:tcW w:w="7020" w:type="dxa"/>
          </w:tcPr>
          <w:p>
            <w:pPr/>
          </w:p>
        </w:tc>
        <w:tc>
          <w:tcPr>
            <w:tcW w:w="1455" w:type="dxa"/>
          </w:tcPr>
          <w:p>
            <w:pPr>
              <w:pStyle w:val="TableParagraph"/>
              <w:spacing w:before="24"/>
              <w:ind w:right="186"/>
              <w:jc w:val="center"/>
              <w:rPr>
                <w:b/>
                <w:sz w:val="18"/>
              </w:rPr>
            </w:pPr>
            <w:r>
              <w:rPr>
                <w:b/>
                <w:w w:val="99"/>
                <w:sz w:val="18"/>
              </w:rPr>
              <w:t>$</w:t>
            </w:r>
          </w:p>
        </w:tc>
        <w:tc>
          <w:tcPr>
            <w:tcW w:w="1137" w:type="dxa"/>
          </w:tcPr>
          <w:p>
            <w:pPr>
              <w:pStyle w:val="TableParagraph"/>
              <w:spacing w:before="24"/>
              <w:ind w:right="186"/>
              <w:jc w:val="center"/>
              <w:rPr>
                <w:b/>
                <w:sz w:val="18"/>
              </w:rPr>
            </w:pPr>
            <w:r>
              <w:rPr>
                <w:b/>
                <w:w w:val="99"/>
                <w:sz w:val="18"/>
              </w:rPr>
              <w:t>$</w:t>
            </w:r>
          </w:p>
        </w:tc>
      </w:tr>
      <w:tr>
        <w:trPr>
          <w:trHeight w:val="268" w:hRule="exact"/>
        </w:trPr>
        <w:tc>
          <w:tcPr>
            <w:tcW w:w="333" w:type="dxa"/>
          </w:tcPr>
          <w:p>
            <w:pPr/>
          </w:p>
        </w:tc>
        <w:tc>
          <w:tcPr>
            <w:tcW w:w="7020" w:type="dxa"/>
          </w:tcPr>
          <w:p>
            <w:pPr>
              <w:pStyle w:val="TableParagraph"/>
              <w:spacing w:before="24"/>
              <w:ind w:left="96" w:right="575"/>
              <w:jc w:val="left"/>
              <w:rPr>
                <w:sz w:val="18"/>
              </w:rPr>
            </w:pPr>
            <w:r>
              <w:rPr>
                <w:sz w:val="18"/>
              </w:rPr>
              <w:t>Opening balance</w:t>
            </w:r>
          </w:p>
        </w:tc>
        <w:tc>
          <w:tcPr>
            <w:tcW w:w="1455" w:type="dxa"/>
          </w:tcPr>
          <w:p>
            <w:pPr>
              <w:pStyle w:val="TableParagraph"/>
              <w:spacing w:before="21"/>
              <w:ind w:right="182"/>
              <w:rPr>
                <w:b/>
                <w:sz w:val="18"/>
              </w:rPr>
            </w:pPr>
            <w:r>
              <w:rPr>
                <w:b/>
                <w:w w:val="95"/>
                <w:sz w:val="18"/>
              </w:rPr>
              <w:t>(2,784,752)</w:t>
            </w:r>
          </w:p>
        </w:tc>
        <w:tc>
          <w:tcPr>
            <w:tcW w:w="1137" w:type="dxa"/>
          </w:tcPr>
          <w:p>
            <w:pPr>
              <w:pStyle w:val="TableParagraph"/>
              <w:spacing w:before="21"/>
              <w:ind w:right="24"/>
              <w:rPr>
                <w:sz w:val="18"/>
              </w:rPr>
            </w:pPr>
            <w:r>
              <w:rPr>
                <w:w w:val="95"/>
                <w:sz w:val="18"/>
              </w:rPr>
              <w:t>(865,059)</w:t>
            </w:r>
          </w:p>
        </w:tc>
      </w:tr>
      <w:tr>
        <w:trPr>
          <w:trHeight w:val="260" w:hRule="exact"/>
        </w:trPr>
        <w:tc>
          <w:tcPr>
            <w:tcW w:w="333" w:type="dxa"/>
          </w:tcPr>
          <w:p>
            <w:pPr/>
          </w:p>
        </w:tc>
        <w:tc>
          <w:tcPr>
            <w:tcW w:w="7020" w:type="dxa"/>
          </w:tcPr>
          <w:p>
            <w:pPr>
              <w:pStyle w:val="TableParagraph"/>
              <w:spacing w:before="20"/>
              <w:ind w:left="96" w:right="575"/>
              <w:jc w:val="left"/>
              <w:rPr>
                <w:sz w:val="18"/>
              </w:rPr>
            </w:pPr>
            <w:bookmarkStart w:name="18 Remuneration of Auditors" w:id="300"/>
            <w:bookmarkEnd w:id="300"/>
            <w:r>
              <w:rPr/>
            </w:r>
            <w:r>
              <w:rPr>
                <w:sz w:val="18"/>
              </w:rPr>
              <w:t>Deficit for the year</w:t>
            </w:r>
          </w:p>
        </w:tc>
        <w:tc>
          <w:tcPr>
            <w:tcW w:w="1455" w:type="dxa"/>
            <w:tcBorders>
              <w:bottom w:val="single" w:sz="1" w:space="0" w:color="000000"/>
            </w:tcBorders>
          </w:tcPr>
          <w:p>
            <w:pPr>
              <w:pStyle w:val="TableParagraph"/>
              <w:spacing w:before="18"/>
              <w:ind w:right="182"/>
              <w:rPr>
                <w:b/>
                <w:sz w:val="18"/>
              </w:rPr>
            </w:pPr>
            <w:r>
              <w:rPr>
                <w:b/>
                <w:w w:val="95"/>
                <w:sz w:val="18"/>
              </w:rPr>
              <w:t>(1,554,492)</w:t>
            </w:r>
          </w:p>
        </w:tc>
        <w:tc>
          <w:tcPr>
            <w:tcW w:w="1137" w:type="dxa"/>
            <w:tcBorders>
              <w:bottom w:val="single" w:sz="1" w:space="0" w:color="000000"/>
            </w:tcBorders>
          </w:tcPr>
          <w:p>
            <w:pPr>
              <w:pStyle w:val="TableParagraph"/>
              <w:spacing w:before="18"/>
              <w:ind w:right="24"/>
              <w:rPr>
                <w:sz w:val="18"/>
              </w:rPr>
            </w:pPr>
            <w:r>
              <w:rPr>
                <w:w w:val="95"/>
                <w:sz w:val="18"/>
              </w:rPr>
              <w:t>(1,919,693)</w:t>
            </w:r>
          </w:p>
        </w:tc>
      </w:tr>
      <w:tr>
        <w:trPr>
          <w:trHeight w:val="353" w:hRule="exact"/>
        </w:trPr>
        <w:tc>
          <w:tcPr>
            <w:tcW w:w="333" w:type="dxa"/>
          </w:tcPr>
          <w:p>
            <w:pPr/>
          </w:p>
        </w:tc>
        <w:tc>
          <w:tcPr>
            <w:tcW w:w="7020" w:type="dxa"/>
          </w:tcPr>
          <w:p>
            <w:pPr>
              <w:pStyle w:val="TableParagraph"/>
              <w:spacing w:before="125"/>
              <w:ind w:left="96" w:right="575"/>
              <w:jc w:val="left"/>
              <w:rPr>
                <w:b/>
                <w:sz w:val="18"/>
              </w:rPr>
            </w:pPr>
            <w:r>
              <w:rPr>
                <w:b/>
                <w:sz w:val="18"/>
              </w:rPr>
              <w:t>Closing Balance</w:t>
            </w:r>
          </w:p>
        </w:tc>
        <w:tc>
          <w:tcPr>
            <w:tcW w:w="1455" w:type="dxa"/>
            <w:tcBorders>
              <w:top w:val="single" w:sz="1" w:space="0" w:color="000000"/>
              <w:bottom w:val="single" w:sz="1" w:space="0" w:color="000000"/>
            </w:tcBorders>
          </w:tcPr>
          <w:p>
            <w:pPr>
              <w:pStyle w:val="TableParagraph"/>
              <w:spacing w:before="124"/>
              <w:ind w:right="182"/>
              <w:rPr>
                <w:b/>
                <w:sz w:val="18"/>
              </w:rPr>
            </w:pPr>
            <w:r>
              <w:rPr>
                <w:b/>
                <w:w w:val="95"/>
                <w:sz w:val="18"/>
              </w:rPr>
              <w:t>(4,339,244)</w:t>
            </w:r>
          </w:p>
        </w:tc>
        <w:tc>
          <w:tcPr>
            <w:tcW w:w="1137" w:type="dxa"/>
            <w:tcBorders>
              <w:top w:val="single" w:sz="1" w:space="0" w:color="000000"/>
              <w:bottom w:val="single" w:sz="1" w:space="0" w:color="000000"/>
            </w:tcBorders>
          </w:tcPr>
          <w:p>
            <w:pPr>
              <w:pStyle w:val="TableParagraph"/>
              <w:spacing w:before="124"/>
              <w:ind w:right="24"/>
              <w:rPr>
                <w:sz w:val="18"/>
              </w:rPr>
            </w:pPr>
            <w:r>
              <w:rPr>
                <w:w w:val="95"/>
                <w:sz w:val="18"/>
              </w:rPr>
              <w:t>(2,784,752)</w:t>
            </w:r>
          </w:p>
        </w:tc>
      </w:tr>
      <w:tr>
        <w:trPr>
          <w:trHeight w:val="548" w:hRule="exact"/>
        </w:trPr>
        <w:tc>
          <w:tcPr>
            <w:tcW w:w="333" w:type="dxa"/>
          </w:tcPr>
          <w:p>
            <w:pPr>
              <w:pStyle w:val="TableParagraph"/>
              <w:jc w:val="left"/>
              <w:rPr>
                <w:b/>
                <w:sz w:val="18"/>
              </w:rPr>
            </w:pPr>
          </w:p>
          <w:p>
            <w:pPr>
              <w:pStyle w:val="TableParagraph"/>
              <w:spacing w:before="107"/>
              <w:ind w:left="35"/>
              <w:jc w:val="left"/>
              <w:rPr>
                <w:b/>
                <w:sz w:val="18"/>
              </w:rPr>
            </w:pPr>
            <w:r>
              <w:rPr>
                <w:b/>
                <w:sz w:val="18"/>
              </w:rPr>
              <w:t>18</w:t>
            </w:r>
          </w:p>
        </w:tc>
        <w:tc>
          <w:tcPr>
            <w:tcW w:w="7020" w:type="dxa"/>
          </w:tcPr>
          <w:p>
            <w:pPr>
              <w:pStyle w:val="TableParagraph"/>
              <w:jc w:val="left"/>
              <w:rPr>
                <w:b/>
                <w:sz w:val="18"/>
              </w:rPr>
            </w:pPr>
          </w:p>
          <w:p>
            <w:pPr>
              <w:pStyle w:val="TableParagraph"/>
              <w:spacing w:before="107"/>
              <w:ind w:left="96" w:right="575"/>
              <w:jc w:val="left"/>
              <w:rPr>
                <w:b/>
                <w:sz w:val="18"/>
              </w:rPr>
            </w:pPr>
            <w:r>
              <w:rPr>
                <w:b/>
                <w:sz w:val="18"/>
              </w:rPr>
              <w:t>Remuneration of Auditors</w:t>
            </w:r>
          </w:p>
        </w:tc>
        <w:tc>
          <w:tcPr>
            <w:tcW w:w="1455" w:type="dxa"/>
            <w:tcBorders>
              <w:top w:val="single" w:sz="1" w:space="0" w:color="000000"/>
            </w:tcBorders>
          </w:tcPr>
          <w:p>
            <w:pPr/>
          </w:p>
        </w:tc>
        <w:tc>
          <w:tcPr>
            <w:tcW w:w="1137" w:type="dxa"/>
            <w:tcBorders>
              <w:top w:val="single" w:sz="1" w:space="0" w:color="000000"/>
            </w:tcBorders>
          </w:tcPr>
          <w:p>
            <w:pPr/>
          </w:p>
        </w:tc>
      </w:tr>
      <w:tr>
        <w:trPr>
          <w:trHeight w:val="257" w:hRule="exact"/>
        </w:trPr>
        <w:tc>
          <w:tcPr>
            <w:tcW w:w="333" w:type="dxa"/>
          </w:tcPr>
          <w:p>
            <w:pPr/>
          </w:p>
        </w:tc>
        <w:tc>
          <w:tcPr>
            <w:tcW w:w="7020" w:type="dxa"/>
          </w:tcPr>
          <w:p>
            <w:pPr/>
          </w:p>
        </w:tc>
        <w:tc>
          <w:tcPr>
            <w:tcW w:w="1455" w:type="dxa"/>
          </w:tcPr>
          <w:p>
            <w:pPr>
              <w:pStyle w:val="TableParagraph"/>
              <w:spacing w:before="7"/>
              <w:ind w:left="444"/>
              <w:jc w:val="left"/>
              <w:rPr>
                <w:b/>
                <w:sz w:val="18"/>
              </w:rPr>
            </w:pPr>
            <w:r>
              <w:rPr>
                <w:b/>
                <w:sz w:val="18"/>
              </w:rPr>
              <w:t>2016</w:t>
            </w:r>
          </w:p>
        </w:tc>
        <w:tc>
          <w:tcPr>
            <w:tcW w:w="1137" w:type="dxa"/>
          </w:tcPr>
          <w:p>
            <w:pPr>
              <w:pStyle w:val="TableParagraph"/>
              <w:spacing w:before="7"/>
              <w:ind w:left="273"/>
              <w:jc w:val="left"/>
              <w:rPr>
                <w:b/>
                <w:sz w:val="18"/>
              </w:rPr>
            </w:pPr>
            <w:r>
              <w:rPr>
                <w:b/>
                <w:sz w:val="18"/>
              </w:rPr>
              <w:t>2015</w:t>
            </w:r>
          </w:p>
        </w:tc>
      </w:tr>
      <w:tr>
        <w:trPr>
          <w:trHeight w:val="286" w:hRule="exact"/>
        </w:trPr>
        <w:tc>
          <w:tcPr>
            <w:tcW w:w="333" w:type="dxa"/>
          </w:tcPr>
          <w:p>
            <w:pPr/>
          </w:p>
        </w:tc>
        <w:tc>
          <w:tcPr>
            <w:tcW w:w="7020" w:type="dxa"/>
          </w:tcPr>
          <w:p>
            <w:pPr/>
          </w:p>
        </w:tc>
        <w:tc>
          <w:tcPr>
            <w:tcW w:w="1455" w:type="dxa"/>
          </w:tcPr>
          <w:p>
            <w:pPr>
              <w:pStyle w:val="TableParagraph"/>
              <w:spacing w:before="24"/>
              <w:ind w:right="162"/>
              <w:jc w:val="center"/>
              <w:rPr>
                <w:b/>
                <w:sz w:val="18"/>
              </w:rPr>
            </w:pPr>
            <w:r>
              <w:rPr>
                <w:b/>
                <w:w w:val="99"/>
                <w:sz w:val="18"/>
              </w:rPr>
              <w:t>$</w:t>
            </w:r>
          </w:p>
        </w:tc>
        <w:tc>
          <w:tcPr>
            <w:tcW w:w="1137" w:type="dxa"/>
          </w:tcPr>
          <w:p>
            <w:pPr>
              <w:pStyle w:val="TableParagraph"/>
              <w:spacing w:before="24"/>
              <w:ind w:right="186"/>
              <w:jc w:val="center"/>
              <w:rPr>
                <w:b/>
                <w:sz w:val="18"/>
              </w:rPr>
            </w:pPr>
            <w:r>
              <w:rPr>
                <w:b/>
                <w:w w:val="99"/>
                <w:sz w:val="18"/>
              </w:rPr>
              <w:t>$</w:t>
            </w:r>
          </w:p>
        </w:tc>
      </w:tr>
      <w:tr>
        <w:trPr>
          <w:trHeight w:val="278" w:hRule="exact"/>
        </w:trPr>
        <w:tc>
          <w:tcPr>
            <w:tcW w:w="333" w:type="dxa"/>
          </w:tcPr>
          <w:p>
            <w:pPr/>
          </w:p>
        </w:tc>
        <w:tc>
          <w:tcPr>
            <w:tcW w:w="7020" w:type="dxa"/>
          </w:tcPr>
          <w:p>
            <w:pPr>
              <w:pStyle w:val="TableParagraph"/>
              <w:spacing w:before="38"/>
              <w:ind w:left="122" w:right="575"/>
              <w:jc w:val="left"/>
              <w:rPr>
                <w:sz w:val="18"/>
              </w:rPr>
            </w:pPr>
            <w:bookmarkStart w:name="19 Contingencies" w:id="301"/>
            <w:bookmarkEnd w:id="301"/>
            <w:r>
              <w:rPr/>
            </w:r>
            <w:r>
              <w:rPr>
                <w:sz w:val="18"/>
              </w:rPr>
              <w:t>Audit of financial statements</w:t>
            </w:r>
          </w:p>
        </w:tc>
        <w:tc>
          <w:tcPr>
            <w:tcW w:w="1455" w:type="dxa"/>
            <w:tcBorders>
              <w:bottom w:val="single" w:sz="1" w:space="0" w:color="000000"/>
            </w:tcBorders>
          </w:tcPr>
          <w:p>
            <w:pPr>
              <w:pStyle w:val="TableParagraph"/>
              <w:spacing w:before="36"/>
              <w:ind w:right="245"/>
              <w:rPr>
                <w:b/>
                <w:sz w:val="18"/>
              </w:rPr>
            </w:pPr>
            <w:r>
              <w:rPr>
                <w:b/>
                <w:w w:val="95"/>
                <w:sz w:val="18"/>
              </w:rPr>
              <w:t>35,200</w:t>
            </w:r>
          </w:p>
        </w:tc>
        <w:tc>
          <w:tcPr>
            <w:tcW w:w="1137" w:type="dxa"/>
            <w:tcBorders>
              <w:bottom w:val="single" w:sz="1" w:space="0" w:color="000000"/>
            </w:tcBorders>
          </w:tcPr>
          <w:p>
            <w:pPr>
              <w:pStyle w:val="TableParagraph"/>
              <w:spacing w:before="36"/>
              <w:ind w:right="84"/>
              <w:rPr>
                <w:sz w:val="18"/>
              </w:rPr>
            </w:pPr>
            <w:r>
              <w:rPr>
                <w:w w:val="95"/>
                <w:sz w:val="18"/>
              </w:rPr>
              <w:t>40,893</w:t>
            </w:r>
          </w:p>
        </w:tc>
      </w:tr>
      <w:tr>
        <w:trPr>
          <w:trHeight w:val="353" w:hRule="exact"/>
        </w:trPr>
        <w:tc>
          <w:tcPr>
            <w:tcW w:w="333" w:type="dxa"/>
          </w:tcPr>
          <w:p>
            <w:pPr/>
          </w:p>
        </w:tc>
        <w:tc>
          <w:tcPr>
            <w:tcW w:w="7020" w:type="dxa"/>
          </w:tcPr>
          <w:p>
            <w:pPr>
              <w:pStyle w:val="TableParagraph"/>
              <w:spacing w:before="125"/>
              <w:ind w:left="122" w:right="575"/>
              <w:jc w:val="left"/>
              <w:rPr>
                <w:sz w:val="18"/>
              </w:rPr>
            </w:pPr>
            <w:r>
              <w:rPr>
                <w:sz w:val="18"/>
              </w:rPr>
              <w:t>Total remuneration for audit and other assurance services (inclusive of GST)</w:t>
            </w:r>
          </w:p>
        </w:tc>
        <w:tc>
          <w:tcPr>
            <w:tcW w:w="1455" w:type="dxa"/>
            <w:tcBorders>
              <w:top w:val="single" w:sz="1" w:space="0" w:color="000000"/>
              <w:bottom w:val="single" w:sz="1" w:space="0" w:color="000000"/>
            </w:tcBorders>
          </w:tcPr>
          <w:p>
            <w:pPr>
              <w:pStyle w:val="TableParagraph"/>
              <w:spacing w:before="124"/>
              <w:ind w:right="245"/>
              <w:rPr>
                <w:b/>
                <w:sz w:val="18"/>
              </w:rPr>
            </w:pPr>
            <w:r>
              <w:rPr>
                <w:b/>
                <w:w w:val="95"/>
                <w:sz w:val="18"/>
              </w:rPr>
              <w:t>35,200</w:t>
            </w:r>
          </w:p>
        </w:tc>
        <w:tc>
          <w:tcPr>
            <w:tcW w:w="1137" w:type="dxa"/>
            <w:tcBorders>
              <w:top w:val="single" w:sz="1" w:space="0" w:color="000000"/>
              <w:bottom w:val="single" w:sz="1" w:space="0" w:color="000000"/>
            </w:tcBorders>
          </w:tcPr>
          <w:p>
            <w:pPr>
              <w:pStyle w:val="TableParagraph"/>
              <w:spacing w:before="124"/>
              <w:ind w:right="84"/>
              <w:rPr>
                <w:sz w:val="18"/>
              </w:rPr>
            </w:pPr>
            <w:r>
              <w:rPr>
                <w:w w:val="95"/>
                <w:sz w:val="18"/>
              </w:rPr>
              <w:t>40,893</w:t>
            </w:r>
          </w:p>
        </w:tc>
      </w:tr>
      <w:tr>
        <w:trPr>
          <w:trHeight w:val="675" w:hRule="exact"/>
        </w:trPr>
        <w:tc>
          <w:tcPr>
            <w:tcW w:w="333" w:type="dxa"/>
          </w:tcPr>
          <w:p>
            <w:pPr>
              <w:pStyle w:val="TableParagraph"/>
              <w:jc w:val="left"/>
              <w:rPr>
                <w:b/>
                <w:sz w:val="18"/>
              </w:rPr>
            </w:pPr>
          </w:p>
          <w:p>
            <w:pPr>
              <w:pStyle w:val="TableParagraph"/>
              <w:spacing w:before="107"/>
              <w:ind w:left="35"/>
              <w:jc w:val="left"/>
              <w:rPr>
                <w:b/>
                <w:sz w:val="18"/>
              </w:rPr>
            </w:pPr>
            <w:bookmarkStart w:name="20 Commitments" w:id="302"/>
            <w:bookmarkEnd w:id="302"/>
            <w:r>
              <w:rPr/>
            </w:r>
            <w:r>
              <w:rPr>
                <w:b/>
                <w:sz w:val="18"/>
              </w:rPr>
              <w:t>19</w:t>
            </w:r>
          </w:p>
        </w:tc>
        <w:tc>
          <w:tcPr>
            <w:tcW w:w="7020" w:type="dxa"/>
          </w:tcPr>
          <w:p>
            <w:pPr>
              <w:pStyle w:val="TableParagraph"/>
              <w:jc w:val="left"/>
              <w:rPr>
                <w:b/>
                <w:sz w:val="18"/>
              </w:rPr>
            </w:pPr>
          </w:p>
          <w:p>
            <w:pPr>
              <w:pStyle w:val="TableParagraph"/>
              <w:spacing w:before="107"/>
              <w:ind w:left="96" w:right="575"/>
              <w:jc w:val="left"/>
              <w:rPr>
                <w:b/>
                <w:sz w:val="18"/>
              </w:rPr>
            </w:pPr>
            <w:r>
              <w:rPr>
                <w:b/>
                <w:sz w:val="18"/>
              </w:rPr>
              <w:t>Contingencies</w:t>
            </w:r>
          </w:p>
        </w:tc>
        <w:tc>
          <w:tcPr>
            <w:tcW w:w="1455" w:type="dxa"/>
            <w:tcBorders>
              <w:top w:val="single" w:sz="1" w:space="0" w:color="000000"/>
            </w:tcBorders>
          </w:tcPr>
          <w:p>
            <w:pPr/>
          </w:p>
        </w:tc>
        <w:tc>
          <w:tcPr>
            <w:tcW w:w="1137" w:type="dxa"/>
            <w:tcBorders>
              <w:top w:val="single" w:sz="1" w:space="0" w:color="000000"/>
            </w:tcBorders>
          </w:tcPr>
          <w:p>
            <w:pPr/>
          </w:p>
        </w:tc>
      </w:tr>
      <w:tr>
        <w:trPr>
          <w:trHeight w:val="494" w:hRule="exact"/>
        </w:trPr>
        <w:tc>
          <w:tcPr>
            <w:tcW w:w="333" w:type="dxa"/>
          </w:tcPr>
          <w:p>
            <w:pPr/>
          </w:p>
        </w:tc>
        <w:tc>
          <w:tcPr>
            <w:tcW w:w="7020" w:type="dxa"/>
          </w:tcPr>
          <w:p>
            <w:pPr>
              <w:pStyle w:val="TableParagraph"/>
              <w:spacing w:before="134"/>
              <w:ind w:left="96" w:right="575"/>
              <w:jc w:val="left"/>
              <w:rPr>
                <w:sz w:val="18"/>
              </w:rPr>
            </w:pPr>
            <w:r>
              <w:rPr>
                <w:sz w:val="18"/>
              </w:rPr>
              <w:t>The Company had no contingent liabilities at 31 December 2016 (2015: $nil).</w:t>
            </w:r>
          </w:p>
        </w:tc>
        <w:tc>
          <w:tcPr>
            <w:tcW w:w="1455" w:type="dxa"/>
          </w:tcPr>
          <w:p>
            <w:pPr/>
          </w:p>
        </w:tc>
        <w:tc>
          <w:tcPr>
            <w:tcW w:w="1137" w:type="dxa"/>
          </w:tcPr>
          <w:p>
            <w:pPr/>
          </w:p>
        </w:tc>
      </w:tr>
      <w:tr>
        <w:trPr>
          <w:trHeight w:val="504" w:hRule="exact"/>
        </w:trPr>
        <w:tc>
          <w:tcPr>
            <w:tcW w:w="333" w:type="dxa"/>
          </w:tcPr>
          <w:p>
            <w:pPr>
              <w:pStyle w:val="TableParagraph"/>
              <w:spacing w:before="134"/>
              <w:ind w:left="35"/>
              <w:jc w:val="left"/>
              <w:rPr>
                <w:b/>
                <w:sz w:val="18"/>
              </w:rPr>
            </w:pPr>
            <w:r>
              <w:rPr>
                <w:b/>
                <w:sz w:val="18"/>
              </w:rPr>
              <w:t>20</w:t>
            </w:r>
          </w:p>
        </w:tc>
        <w:tc>
          <w:tcPr>
            <w:tcW w:w="7020" w:type="dxa"/>
          </w:tcPr>
          <w:p>
            <w:pPr>
              <w:pStyle w:val="TableParagraph"/>
              <w:spacing w:before="134"/>
              <w:ind w:left="96" w:right="575"/>
              <w:jc w:val="left"/>
              <w:rPr>
                <w:b/>
                <w:sz w:val="18"/>
              </w:rPr>
            </w:pPr>
            <w:r>
              <w:rPr>
                <w:b/>
                <w:sz w:val="18"/>
              </w:rPr>
              <w:t>Commitments</w:t>
            </w:r>
          </w:p>
        </w:tc>
        <w:tc>
          <w:tcPr>
            <w:tcW w:w="1455" w:type="dxa"/>
          </w:tcPr>
          <w:p>
            <w:pPr/>
          </w:p>
        </w:tc>
        <w:tc>
          <w:tcPr>
            <w:tcW w:w="1137" w:type="dxa"/>
          </w:tcPr>
          <w:p>
            <w:pPr/>
          </w:p>
        </w:tc>
      </w:tr>
      <w:tr>
        <w:trPr>
          <w:trHeight w:val="379" w:hRule="exact"/>
        </w:trPr>
        <w:tc>
          <w:tcPr>
            <w:tcW w:w="333" w:type="dxa"/>
          </w:tcPr>
          <w:p>
            <w:pPr/>
          </w:p>
        </w:tc>
        <w:tc>
          <w:tcPr>
            <w:tcW w:w="7020" w:type="dxa"/>
          </w:tcPr>
          <w:p>
            <w:pPr>
              <w:pStyle w:val="TableParagraph"/>
              <w:tabs>
                <w:tab w:pos="662" w:val="left" w:leader="none"/>
              </w:tabs>
              <w:spacing w:before="144"/>
              <w:ind w:left="96" w:right="575"/>
              <w:jc w:val="left"/>
              <w:rPr>
                <w:sz w:val="18"/>
              </w:rPr>
            </w:pPr>
            <w:r>
              <w:rPr>
                <w:b/>
                <w:sz w:val="18"/>
              </w:rPr>
              <w:t>(a)</w:t>
              <w:tab/>
            </w:r>
            <w:r>
              <w:rPr>
                <w:sz w:val="18"/>
              </w:rPr>
              <w:t>Operating lease</w:t>
            </w:r>
            <w:r>
              <w:rPr>
                <w:spacing w:val="1"/>
                <w:sz w:val="18"/>
              </w:rPr>
              <w:t> </w:t>
            </w:r>
            <w:r>
              <w:rPr>
                <w:sz w:val="18"/>
              </w:rPr>
              <w:t>commitments</w:t>
            </w:r>
          </w:p>
        </w:tc>
        <w:tc>
          <w:tcPr>
            <w:tcW w:w="1455" w:type="dxa"/>
          </w:tcPr>
          <w:p>
            <w:pPr/>
          </w:p>
        </w:tc>
        <w:tc>
          <w:tcPr>
            <w:tcW w:w="1137" w:type="dxa"/>
          </w:tcPr>
          <w:p>
            <w:pPr/>
          </w:p>
        </w:tc>
      </w:tr>
      <w:tr>
        <w:trPr>
          <w:trHeight w:val="259" w:hRule="exact"/>
        </w:trPr>
        <w:tc>
          <w:tcPr>
            <w:tcW w:w="333" w:type="dxa"/>
          </w:tcPr>
          <w:p>
            <w:pPr/>
          </w:p>
        </w:tc>
        <w:tc>
          <w:tcPr>
            <w:tcW w:w="7020" w:type="dxa"/>
          </w:tcPr>
          <w:p>
            <w:pPr/>
          </w:p>
        </w:tc>
        <w:tc>
          <w:tcPr>
            <w:tcW w:w="1455" w:type="dxa"/>
          </w:tcPr>
          <w:p>
            <w:pPr>
              <w:pStyle w:val="TableParagraph"/>
              <w:spacing w:before="9"/>
              <w:ind w:left="444"/>
              <w:jc w:val="left"/>
              <w:rPr>
                <w:b/>
                <w:sz w:val="18"/>
              </w:rPr>
            </w:pPr>
            <w:r>
              <w:rPr>
                <w:b/>
                <w:sz w:val="18"/>
              </w:rPr>
              <w:t>2016</w:t>
            </w:r>
          </w:p>
        </w:tc>
        <w:tc>
          <w:tcPr>
            <w:tcW w:w="1137" w:type="dxa"/>
          </w:tcPr>
          <w:p>
            <w:pPr>
              <w:pStyle w:val="TableParagraph"/>
              <w:spacing w:before="9"/>
              <w:ind w:left="273"/>
              <w:jc w:val="left"/>
              <w:rPr>
                <w:b/>
                <w:sz w:val="18"/>
              </w:rPr>
            </w:pPr>
            <w:r>
              <w:rPr>
                <w:b/>
                <w:sz w:val="18"/>
              </w:rPr>
              <w:t>2015</w:t>
            </w:r>
          </w:p>
        </w:tc>
      </w:tr>
      <w:tr>
        <w:trPr>
          <w:trHeight w:val="270" w:hRule="exact"/>
        </w:trPr>
        <w:tc>
          <w:tcPr>
            <w:tcW w:w="333" w:type="dxa"/>
          </w:tcPr>
          <w:p>
            <w:pPr/>
          </w:p>
        </w:tc>
        <w:tc>
          <w:tcPr>
            <w:tcW w:w="7020" w:type="dxa"/>
          </w:tcPr>
          <w:p>
            <w:pPr/>
          </w:p>
        </w:tc>
        <w:tc>
          <w:tcPr>
            <w:tcW w:w="1455" w:type="dxa"/>
          </w:tcPr>
          <w:p>
            <w:pPr>
              <w:pStyle w:val="TableParagraph"/>
              <w:spacing w:before="24"/>
              <w:ind w:right="162"/>
              <w:jc w:val="center"/>
              <w:rPr>
                <w:b/>
                <w:sz w:val="18"/>
              </w:rPr>
            </w:pPr>
            <w:r>
              <w:rPr>
                <w:b/>
                <w:w w:val="99"/>
                <w:sz w:val="18"/>
              </w:rPr>
              <w:t>$</w:t>
            </w:r>
          </w:p>
        </w:tc>
        <w:tc>
          <w:tcPr>
            <w:tcW w:w="1137" w:type="dxa"/>
          </w:tcPr>
          <w:p>
            <w:pPr>
              <w:pStyle w:val="TableParagraph"/>
              <w:spacing w:before="24"/>
              <w:ind w:right="186"/>
              <w:jc w:val="center"/>
              <w:rPr>
                <w:b/>
                <w:sz w:val="18"/>
              </w:rPr>
            </w:pPr>
            <w:r>
              <w:rPr>
                <w:b/>
                <w:w w:val="99"/>
                <w:sz w:val="18"/>
              </w:rPr>
              <w:t>$</w:t>
            </w:r>
          </w:p>
        </w:tc>
      </w:tr>
      <w:tr>
        <w:trPr>
          <w:trHeight w:val="469" w:hRule="exact"/>
        </w:trPr>
        <w:tc>
          <w:tcPr>
            <w:tcW w:w="333" w:type="dxa"/>
          </w:tcPr>
          <w:p>
            <w:pPr/>
          </w:p>
        </w:tc>
        <w:tc>
          <w:tcPr>
            <w:tcW w:w="7020" w:type="dxa"/>
          </w:tcPr>
          <w:p>
            <w:pPr>
              <w:pStyle w:val="TableParagraph"/>
              <w:spacing w:before="20"/>
              <w:ind w:left="662" w:right="575"/>
              <w:jc w:val="left"/>
              <w:rPr>
                <w:sz w:val="18"/>
              </w:rPr>
            </w:pPr>
            <w:r>
              <w:rPr>
                <w:sz w:val="18"/>
              </w:rPr>
              <w:t>Commitments for minimum lease payments in relation to non- cancellable operating leases are payable as follows:</w:t>
            </w:r>
          </w:p>
        </w:tc>
        <w:tc>
          <w:tcPr>
            <w:tcW w:w="1455" w:type="dxa"/>
          </w:tcPr>
          <w:p>
            <w:pPr/>
          </w:p>
        </w:tc>
        <w:tc>
          <w:tcPr>
            <w:tcW w:w="1137" w:type="dxa"/>
          </w:tcPr>
          <w:p>
            <w:pPr/>
          </w:p>
        </w:tc>
      </w:tr>
      <w:tr>
        <w:trPr>
          <w:trHeight w:val="263" w:hRule="exact"/>
        </w:trPr>
        <w:tc>
          <w:tcPr>
            <w:tcW w:w="333" w:type="dxa"/>
          </w:tcPr>
          <w:p>
            <w:pPr/>
          </w:p>
        </w:tc>
        <w:tc>
          <w:tcPr>
            <w:tcW w:w="7020" w:type="dxa"/>
          </w:tcPr>
          <w:p>
            <w:pPr>
              <w:pStyle w:val="TableParagraph"/>
              <w:spacing w:before="16"/>
              <w:ind w:left="662" w:right="575"/>
              <w:jc w:val="left"/>
              <w:rPr>
                <w:sz w:val="18"/>
              </w:rPr>
            </w:pPr>
            <w:r>
              <w:rPr>
                <w:sz w:val="18"/>
              </w:rPr>
              <w:t>Within one year</w:t>
            </w:r>
          </w:p>
        </w:tc>
        <w:tc>
          <w:tcPr>
            <w:tcW w:w="1455" w:type="dxa"/>
          </w:tcPr>
          <w:p>
            <w:pPr>
              <w:pStyle w:val="TableParagraph"/>
              <w:spacing w:before="19"/>
              <w:ind w:right="245"/>
              <w:rPr>
                <w:b/>
                <w:sz w:val="18"/>
              </w:rPr>
            </w:pPr>
            <w:r>
              <w:rPr>
                <w:b/>
                <w:w w:val="95"/>
                <w:sz w:val="18"/>
              </w:rPr>
              <w:t>24,566</w:t>
            </w:r>
          </w:p>
        </w:tc>
        <w:tc>
          <w:tcPr>
            <w:tcW w:w="1137" w:type="dxa"/>
          </w:tcPr>
          <w:p>
            <w:pPr>
              <w:pStyle w:val="TableParagraph"/>
              <w:spacing w:before="19"/>
              <w:ind w:right="84"/>
              <w:rPr>
                <w:sz w:val="18"/>
              </w:rPr>
            </w:pPr>
            <w:r>
              <w:rPr>
                <w:w w:val="95"/>
                <w:sz w:val="18"/>
              </w:rPr>
              <w:t>40,423</w:t>
            </w:r>
          </w:p>
        </w:tc>
      </w:tr>
      <w:tr>
        <w:trPr>
          <w:trHeight w:val="262" w:hRule="exact"/>
        </w:trPr>
        <w:tc>
          <w:tcPr>
            <w:tcW w:w="333" w:type="dxa"/>
          </w:tcPr>
          <w:p>
            <w:pPr/>
          </w:p>
        </w:tc>
        <w:tc>
          <w:tcPr>
            <w:tcW w:w="7020" w:type="dxa"/>
          </w:tcPr>
          <w:p>
            <w:pPr>
              <w:pStyle w:val="TableParagraph"/>
              <w:spacing w:before="18"/>
              <w:ind w:left="662" w:right="575"/>
              <w:jc w:val="left"/>
              <w:rPr>
                <w:sz w:val="18"/>
              </w:rPr>
            </w:pPr>
            <w:r>
              <w:rPr>
                <w:sz w:val="18"/>
              </w:rPr>
              <w:t>Between one year and five years</w:t>
            </w:r>
          </w:p>
        </w:tc>
        <w:tc>
          <w:tcPr>
            <w:tcW w:w="1455" w:type="dxa"/>
            <w:tcBorders>
              <w:bottom w:val="single" w:sz="1" w:space="0" w:color="000000"/>
            </w:tcBorders>
          </w:tcPr>
          <w:p>
            <w:pPr>
              <w:pStyle w:val="TableParagraph"/>
              <w:spacing w:before="20"/>
              <w:ind w:right="245"/>
              <w:rPr>
                <w:b/>
                <w:sz w:val="18"/>
              </w:rPr>
            </w:pPr>
            <w:r>
              <w:rPr>
                <w:b/>
                <w:w w:val="95"/>
                <w:sz w:val="18"/>
              </w:rPr>
              <w:t>33,964</w:t>
            </w:r>
          </w:p>
        </w:tc>
        <w:tc>
          <w:tcPr>
            <w:tcW w:w="1137" w:type="dxa"/>
            <w:tcBorders>
              <w:bottom w:val="single" w:sz="1" w:space="0" w:color="000000"/>
            </w:tcBorders>
          </w:tcPr>
          <w:p>
            <w:pPr>
              <w:pStyle w:val="TableParagraph"/>
              <w:spacing w:before="20"/>
              <w:ind w:right="84"/>
              <w:rPr>
                <w:sz w:val="18"/>
              </w:rPr>
            </w:pPr>
            <w:r>
              <w:rPr>
                <w:w w:val="95"/>
                <w:sz w:val="18"/>
              </w:rPr>
              <w:t>6,019</w:t>
            </w:r>
          </w:p>
        </w:tc>
      </w:tr>
      <w:tr>
        <w:trPr>
          <w:trHeight w:val="353" w:hRule="exact"/>
        </w:trPr>
        <w:tc>
          <w:tcPr>
            <w:tcW w:w="333" w:type="dxa"/>
          </w:tcPr>
          <w:p>
            <w:pPr/>
          </w:p>
        </w:tc>
        <w:tc>
          <w:tcPr>
            <w:tcW w:w="7020" w:type="dxa"/>
          </w:tcPr>
          <w:p>
            <w:pPr/>
          </w:p>
        </w:tc>
        <w:tc>
          <w:tcPr>
            <w:tcW w:w="1455" w:type="dxa"/>
            <w:tcBorders>
              <w:top w:val="single" w:sz="1" w:space="0" w:color="000000"/>
              <w:bottom w:val="single" w:sz="1" w:space="0" w:color="000000"/>
            </w:tcBorders>
          </w:tcPr>
          <w:p>
            <w:pPr>
              <w:pStyle w:val="TableParagraph"/>
              <w:spacing w:before="124"/>
              <w:ind w:right="245"/>
              <w:rPr>
                <w:b/>
                <w:sz w:val="18"/>
              </w:rPr>
            </w:pPr>
            <w:r>
              <w:rPr>
                <w:b/>
                <w:w w:val="95"/>
                <w:sz w:val="18"/>
              </w:rPr>
              <w:t>58,530</w:t>
            </w:r>
          </w:p>
        </w:tc>
        <w:tc>
          <w:tcPr>
            <w:tcW w:w="1137" w:type="dxa"/>
            <w:tcBorders>
              <w:top w:val="single" w:sz="1" w:space="0" w:color="000000"/>
              <w:bottom w:val="single" w:sz="1" w:space="0" w:color="000000"/>
            </w:tcBorders>
          </w:tcPr>
          <w:p>
            <w:pPr>
              <w:pStyle w:val="TableParagraph"/>
              <w:spacing w:before="124"/>
              <w:ind w:right="84"/>
              <w:rPr>
                <w:sz w:val="18"/>
              </w:rPr>
            </w:pPr>
            <w:r>
              <w:rPr>
                <w:w w:val="95"/>
                <w:sz w:val="18"/>
              </w:rPr>
              <w:t>46,442</w:t>
            </w:r>
          </w:p>
        </w:tc>
      </w:tr>
      <w:tr>
        <w:trPr>
          <w:trHeight w:val="637" w:hRule="exact"/>
        </w:trPr>
        <w:tc>
          <w:tcPr>
            <w:tcW w:w="333" w:type="dxa"/>
          </w:tcPr>
          <w:p>
            <w:pPr/>
          </w:p>
        </w:tc>
        <w:tc>
          <w:tcPr>
            <w:tcW w:w="7020" w:type="dxa"/>
          </w:tcPr>
          <w:p>
            <w:pPr>
              <w:pStyle w:val="TableParagraph"/>
              <w:jc w:val="left"/>
              <w:rPr>
                <w:b/>
                <w:sz w:val="18"/>
              </w:rPr>
            </w:pPr>
          </w:p>
          <w:p>
            <w:pPr>
              <w:pStyle w:val="TableParagraph"/>
              <w:tabs>
                <w:tab w:pos="662" w:val="left" w:leader="none"/>
              </w:tabs>
              <w:spacing w:before="127"/>
              <w:ind w:left="96" w:right="575"/>
              <w:jc w:val="left"/>
              <w:rPr>
                <w:sz w:val="18"/>
              </w:rPr>
            </w:pPr>
            <w:r>
              <w:rPr>
                <w:b/>
                <w:sz w:val="18"/>
              </w:rPr>
              <w:t>(b)</w:t>
              <w:tab/>
            </w:r>
            <w:r>
              <w:rPr>
                <w:sz w:val="18"/>
              </w:rPr>
              <w:t>Capital expenditure</w:t>
            </w:r>
            <w:r>
              <w:rPr>
                <w:spacing w:val="1"/>
                <w:sz w:val="18"/>
              </w:rPr>
              <w:t> </w:t>
            </w:r>
            <w:r>
              <w:rPr>
                <w:sz w:val="18"/>
              </w:rPr>
              <w:t>commitments</w:t>
            </w:r>
          </w:p>
        </w:tc>
        <w:tc>
          <w:tcPr>
            <w:tcW w:w="1455" w:type="dxa"/>
            <w:tcBorders>
              <w:top w:val="single" w:sz="1" w:space="0" w:color="000000"/>
            </w:tcBorders>
          </w:tcPr>
          <w:p>
            <w:pPr/>
          </w:p>
        </w:tc>
        <w:tc>
          <w:tcPr>
            <w:tcW w:w="1137" w:type="dxa"/>
            <w:tcBorders>
              <w:top w:val="single" w:sz="1" w:space="0" w:color="000000"/>
            </w:tcBorders>
          </w:tcPr>
          <w:p>
            <w:pPr/>
          </w:p>
        </w:tc>
      </w:tr>
    </w:tbl>
    <w:p>
      <w:pPr>
        <w:pStyle w:val="BodyText"/>
        <w:spacing w:before="4"/>
        <w:rPr>
          <w:b/>
          <w:sz w:val="10"/>
        </w:rPr>
      </w:pPr>
    </w:p>
    <w:p>
      <w:pPr>
        <w:pStyle w:val="BodyText"/>
        <w:spacing w:before="77"/>
        <w:ind w:left="1823"/>
      </w:pPr>
      <w:r>
        <w:rPr/>
        <w:t>There are no capital expenditure commitments as at the end of the 2016 reporting period (2015: $nil).</w:t>
      </w:r>
    </w:p>
    <w:p>
      <w:pPr>
        <w:spacing w:after="0"/>
        <w:sectPr>
          <w:pgSz w:w="12750" w:h="17680"/>
          <w:pgMar w:header="0" w:footer="867" w:top="1880" w:bottom="1120" w:left="0" w:right="0"/>
        </w:sectPr>
      </w:pPr>
    </w:p>
    <w:p>
      <w:pPr>
        <w:pStyle w:val="BodyText"/>
        <w:spacing w:before="1"/>
        <w:rPr>
          <w:sz w:val="24"/>
        </w:rPr>
      </w:pPr>
    </w:p>
    <w:p>
      <w:pPr>
        <w:pStyle w:val="Heading4"/>
        <w:spacing w:before="65"/>
      </w:pPr>
      <w:bookmarkStart w:name="Related party transactions" w:id="303"/>
      <w:bookmarkEnd w:id="303"/>
      <w:r>
        <w:rPr>
          <w:b w:val="0"/>
        </w:rPr>
      </w:r>
      <w:r>
        <w:rPr/>
        <w:t>Notes to the Financial Statements</w:t>
      </w:r>
    </w:p>
    <w:p>
      <w:pPr>
        <w:pStyle w:val="Heading7"/>
        <w:spacing w:before="53"/>
      </w:pPr>
      <w:r>
        <w:rPr/>
        <w:t>For the Year Ended 31 December 2016</w:t>
      </w:r>
    </w:p>
    <w:p>
      <w:pPr>
        <w:pStyle w:val="BodyText"/>
        <w:spacing w:before="1"/>
        <w:rPr>
          <w:b/>
          <w:sz w:val="25"/>
        </w:rPr>
      </w:pPr>
    </w:p>
    <w:p>
      <w:pPr>
        <w:pStyle w:val="Heading8"/>
        <w:numPr>
          <w:ilvl w:val="0"/>
          <w:numId w:val="65"/>
        </w:numPr>
        <w:tabs>
          <w:tab w:pos="1824" w:val="left" w:leader="none"/>
        </w:tabs>
        <w:spacing w:line="240" w:lineRule="auto" w:before="0" w:after="0"/>
        <w:ind w:left="1824" w:right="0" w:hanging="394"/>
        <w:jc w:val="left"/>
      </w:pPr>
      <w:r>
        <w:rPr/>
        <w:t>Related party</w:t>
      </w:r>
      <w:r>
        <w:rPr>
          <w:spacing w:val="-10"/>
        </w:rPr>
        <w:t> </w:t>
      </w:r>
      <w:r>
        <w:rPr/>
        <w:t>transactions</w:t>
      </w:r>
    </w:p>
    <w:p>
      <w:pPr>
        <w:pStyle w:val="BodyText"/>
        <w:spacing w:before="7"/>
        <w:rPr>
          <w:b/>
          <w:sz w:val="26"/>
        </w:rPr>
      </w:pPr>
    </w:p>
    <w:p>
      <w:pPr>
        <w:pStyle w:val="ListParagraph"/>
        <w:numPr>
          <w:ilvl w:val="1"/>
          <w:numId w:val="65"/>
        </w:numPr>
        <w:tabs>
          <w:tab w:pos="2391" w:val="left" w:leader="none"/>
        </w:tabs>
        <w:spacing w:line="240" w:lineRule="auto" w:before="0" w:after="0"/>
        <w:ind w:left="2390" w:right="0" w:hanging="566"/>
        <w:jc w:val="left"/>
        <w:rPr>
          <w:sz w:val="18"/>
        </w:rPr>
      </w:pPr>
      <w:r>
        <w:rPr>
          <w:sz w:val="18"/>
        </w:rPr>
        <w:t>Parent</w:t>
      </w:r>
      <w:r>
        <w:rPr>
          <w:spacing w:val="1"/>
          <w:sz w:val="18"/>
        </w:rPr>
        <w:t> </w:t>
      </w:r>
      <w:r>
        <w:rPr>
          <w:sz w:val="18"/>
        </w:rPr>
        <w:t>entity</w:t>
      </w:r>
    </w:p>
    <w:p>
      <w:pPr>
        <w:pStyle w:val="BodyText"/>
        <w:spacing w:before="4"/>
        <w:rPr>
          <w:sz w:val="25"/>
        </w:rPr>
      </w:pPr>
    </w:p>
    <w:p>
      <w:pPr>
        <w:pStyle w:val="BodyText"/>
        <w:ind w:left="2392"/>
      </w:pPr>
      <w:r>
        <w:rPr/>
        <w:t>The ultimate parent entity of the Company is  Western Sydney University.</w:t>
      </w:r>
    </w:p>
    <w:p>
      <w:pPr>
        <w:pStyle w:val="BodyText"/>
        <w:spacing w:before="7"/>
        <w:rPr>
          <w:sz w:val="26"/>
        </w:rPr>
      </w:pPr>
    </w:p>
    <w:p>
      <w:pPr>
        <w:pStyle w:val="ListParagraph"/>
        <w:numPr>
          <w:ilvl w:val="1"/>
          <w:numId w:val="65"/>
        </w:numPr>
        <w:tabs>
          <w:tab w:pos="2391" w:val="left" w:leader="none"/>
        </w:tabs>
        <w:spacing w:line="240" w:lineRule="auto" w:before="0" w:after="0"/>
        <w:ind w:left="2390" w:right="0" w:hanging="566"/>
        <w:jc w:val="left"/>
        <w:rPr>
          <w:sz w:val="18"/>
        </w:rPr>
      </w:pPr>
      <w:r>
        <w:rPr>
          <w:sz w:val="18"/>
        </w:rPr>
        <w:t>Transactions with related</w:t>
      </w:r>
      <w:r>
        <w:rPr>
          <w:spacing w:val="-1"/>
          <w:sz w:val="18"/>
        </w:rPr>
        <w:t> </w:t>
      </w:r>
      <w:r>
        <w:rPr>
          <w:sz w:val="18"/>
        </w:rPr>
        <w:t>parties</w:t>
      </w:r>
    </w:p>
    <w:p>
      <w:pPr>
        <w:pStyle w:val="BodyText"/>
        <w:spacing w:before="4"/>
        <w:rPr>
          <w:sz w:val="25"/>
        </w:rPr>
      </w:pPr>
    </w:p>
    <w:p>
      <w:pPr>
        <w:pStyle w:val="BodyText"/>
        <w:ind w:left="2392"/>
      </w:pPr>
      <w:r>
        <w:rPr/>
        <w:t>The following transactions occurred with related parties:</w:t>
      </w:r>
    </w:p>
    <w:p>
      <w:pPr>
        <w:pStyle w:val="BodyText"/>
        <w:spacing w:before="11"/>
        <w:rPr>
          <w:sz w:val="19"/>
        </w:rPr>
      </w:pPr>
    </w:p>
    <w:p>
      <w:pPr>
        <w:spacing w:after="0"/>
        <w:rPr>
          <w:sz w:val="19"/>
        </w:rPr>
        <w:sectPr>
          <w:pgSz w:w="12750" w:h="17680"/>
          <w:pgMar w:header="0" w:footer="867" w:top="1880" w:bottom="1120" w:left="0" w:right="0"/>
        </w:sectPr>
      </w:pPr>
    </w:p>
    <w:p>
      <w:pPr>
        <w:pStyle w:val="BodyText"/>
      </w:pPr>
    </w:p>
    <w:p>
      <w:pPr>
        <w:pStyle w:val="BodyText"/>
      </w:pPr>
    </w:p>
    <w:p>
      <w:pPr>
        <w:pStyle w:val="BodyText"/>
        <w:spacing w:before="2"/>
        <w:rPr>
          <w:sz w:val="25"/>
        </w:rPr>
      </w:pPr>
    </w:p>
    <w:p>
      <w:pPr>
        <w:pStyle w:val="Heading8"/>
        <w:ind w:left="2390" w:right="-10"/>
      </w:pPr>
      <w:r>
        <w:rPr/>
        <w:t>Sale of goods and services</w:t>
      </w:r>
    </w:p>
    <w:p>
      <w:pPr>
        <w:spacing w:before="77"/>
        <w:ind w:left="0" w:right="0" w:firstLine="0"/>
        <w:jc w:val="right"/>
        <w:rPr>
          <w:b/>
          <w:sz w:val="18"/>
        </w:rPr>
      </w:pPr>
      <w:r>
        <w:rPr/>
        <w:br w:type="column"/>
      </w:r>
      <w:r>
        <w:rPr>
          <w:b/>
          <w:sz w:val="18"/>
        </w:rPr>
        <w:t>2016</w:t>
      </w:r>
    </w:p>
    <w:p>
      <w:pPr>
        <w:spacing w:before="66"/>
        <w:ind w:left="0" w:right="149" w:firstLine="0"/>
        <w:jc w:val="right"/>
        <w:rPr>
          <w:b/>
          <w:sz w:val="18"/>
        </w:rPr>
      </w:pPr>
      <w:r>
        <w:rPr>
          <w:b/>
          <w:w w:val="99"/>
          <w:sz w:val="18"/>
        </w:rPr>
        <w:t>$</w:t>
      </w:r>
    </w:p>
    <w:p>
      <w:pPr>
        <w:spacing w:before="77"/>
        <w:ind w:left="842" w:right="1847" w:firstLine="0"/>
        <w:jc w:val="center"/>
        <w:rPr>
          <w:b/>
          <w:sz w:val="18"/>
        </w:rPr>
      </w:pPr>
      <w:r>
        <w:rPr/>
        <w:br w:type="column"/>
      </w:r>
      <w:r>
        <w:rPr>
          <w:b/>
          <w:sz w:val="18"/>
        </w:rPr>
        <w:t>2015</w:t>
      </w:r>
    </w:p>
    <w:p>
      <w:pPr>
        <w:spacing w:before="66"/>
        <w:ind w:left="0" w:right="1006" w:firstLine="0"/>
        <w:jc w:val="center"/>
        <w:rPr>
          <w:b/>
          <w:sz w:val="18"/>
        </w:rPr>
      </w:pPr>
      <w:r>
        <w:rPr>
          <w:b/>
          <w:w w:val="99"/>
          <w:sz w:val="18"/>
        </w:rPr>
        <w:t>$</w:t>
      </w:r>
    </w:p>
    <w:p>
      <w:pPr>
        <w:spacing w:after="0"/>
        <w:jc w:val="center"/>
        <w:rPr>
          <w:sz w:val="18"/>
        </w:rPr>
        <w:sectPr>
          <w:type w:val="continuous"/>
          <w:pgSz w:w="12750" w:h="17680"/>
          <w:pgMar w:top="1660" w:bottom="0" w:left="0" w:right="0"/>
          <w:cols w:num="3" w:equalWidth="0">
            <w:col w:w="4721" w:space="2064"/>
            <w:col w:w="2794" w:space="40"/>
            <w:col w:w="3131"/>
          </w:cols>
        </w:sectPr>
      </w:pPr>
    </w:p>
    <w:p>
      <w:pPr>
        <w:pStyle w:val="BodyText"/>
        <w:tabs>
          <w:tab w:pos="9148" w:val="left" w:leader="none"/>
          <w:tab w:pos="9400" w:val="left" w:leader="none"/>
          <w:tab w:pos="10449" w:val="left" w:leader="none"/>
          <w:tab w:pos="10701" w:val="left" w:leader="none"/>
        </w:tabs>
        <w:spacing w:line="307" w:lineRule="auto" w:before="30"/>
        <w:ind w:left="2390" w:right="1486"/>
      </w:pPr>
      <w:r>
        <w:rPr/>
        <w:pict>
          <v:group style="position:absolute;margin-left:436.845001pt;margin-top:26.186892pt;width:130.5pt;height:1pt;mso-position-horizontal-relative:page;mso-position-vertical-relative:paragraph;z-index:-1196896" coordorigin="8737,524" coordsize="2610,20">
            <v:line style="position:absolute" from="8738,525" to="10042,525" stroked="true" strokeweight=".12pt" strokecolor="#000000"/>
            <v:line style="position:absolute" from="8738,528" to="10042,528" stroked="true" strokeweight=".12pt" strokecolor="#000000"/>
            <v:line style="position:absolute" from="8738,530" to="10042,530" stroked="true" strokeweight=".12pt" strokecolor="#000000"/>
            <v:line style="position:absolute" from="8738,532" to="10042,532" stroked="true" strokeweight=".12pt" strokecolor="#000000"/>
            <v:line style="position:absolute" from="8738,535" to="10042,535" stroked="true" strokeweight=".12pt" strokecolor="#000000"/>
            <v:line style="position:absolute" from="8738,537" to="10042,537" stroked="true" strokeweight=".12pt" strokecolor="#000000"/>
            <v:line style="position:absolute" from="8738,540" to="10042,540" stroked="true" strokeweight=".12pt" strokecolor="#000000"/>
            <v:line style="position:absolute" from="8738,542" to="10042,542" stroked="true" strokeweight=".12pt" strokecolor="#000000"/>
            <v:line style="position:absolute" from="10042,525" to="11345,525" stroked="true" strokeweight=".12pt" strokecolor="#000000"/>
            <v:line style="position:absolute" from="10042,528" to="11345,528" stroked="true" strokeweight=".12pt" strokecolor="#000000"/>
            <v:line style="position:absolute" from="10042,530" to="11345,530" stroked="true" strokeweight=".12pt" strokecolor="#000000"/>
            <v:line style="position:absolute" from="10042,532" to="11345,532" stroked="true" strokeweight=".12pt" strokecolor="#000000"/>
            <v:line style="position:absolute" from="10042,535" to="11345,535" stroked="true" strokeweight=".12pt" strokecolor="#000000"/>
            <v:line style="position:absolute" from="10042,537" to="11345,537" stroked="true" strokeweight=".12pt" strokecolor="#000000"/>
            <v:line style="position:absolute" from="10042,540" to="11345,540" stroked="true" strokeweight=".12pt" strokecolor="#000000"/>
            <v:line style="position:absolute" from="10042,542" to="11345,542" stroked="true" strokeweight=".12pt" strokecolor="#000000"/>
            <v:line style="position:absolute" from="8738,525" to="10042,525" stroked="true" strokeweight=".12pt" strokecolor="#000000"/>
            <v:line style="position:absolute" from="8738,528" to="10042,528" stroked="true" strokeweight=".12pt" strokecolor="#000000"/>
            <v:line style="position:absolute" from="8738,530" to="10042,530" stroked="true" strokeweight=".12pt" strokecolor="#000000"/>
            <v:line style="position:absolute" from="8738,532" to="10042,532" stroked="true" strokeweight=".12pt" strokecolor="#000000"/>
            <v:line style="position:absolute" from="8738,535" to="10042,535" stroked="true" strokeweight=".12pt" strokecolor="#000000"/>
            <v:line style="position:absolute" from="8738,537" to="10042,537" stroked="true" strokeweight=".12pt" strokecolor="#000000"/>
            <v:line style="position:absolute" from="8738,540" to="10042,540" stroked="true" strokeweight=".12pt" strokecolor="#000000"/>
            <v:line style="position:absolute" from="8738,542" to="10042,542" stroked="true" strokeweight=".12pt" strokecolor="#000000"/>
            <v:line style="position:absolute" from="10042,525" to="11345,525" stroked="true" strokeweight=".12pt" strokecolor="#000000"/>
            <v:line style="position:absolute" from="10042,528" to="11345,528" stroked="true" strokeweight=".12pt" strokecolor="#000000"/>
            <v:line style="position:absolute" from="10042,530" to="11345,530" stroked="true" strokeweight=".12pt" strokecolor="#000000"/>
            <v:line style="position:absolute" from="10042,532" to="11345,532" stroked="true" strokeweight=".12pt" strokecolor="#000000"/>
            <v:line style="position:absolute" from="10042,535" to="11345,535" stroked="true" strokeweight=".12pt" strokecolor="#000000"/>
            <v:line style="position:absolute" from="10042,537" to="11345,537" stroked="true" strokeweight=".12pt" strokecolor="#000000"/>
            <v:line style="position:absolute" from="10042,540" to="11345,540" stroked="true" strokeweight=".12pt" strokecolor="#000000"/>
            <v:line style="position:absolute" from="10042,542" to="11345,542" stroked="true" strokeweight=".12pt" strokecolor="#000000"/>
            <w10:wrap type="none"/>
          </v:group>
        </w:pict>
      </w:r>
      <w:r>
        <w:rPr/>
        <w:t>Sale of goods and services to the ultimate</w:t>
      </w:r>
      <w:r>
        <w:rPr>
          <w:spacing w:val="7"/>
        </w:rPr>
        <w:t> </w:t>
      </w:r>
      <w:r>
        <w:rPr/>
        <w:t>parent entity</w:t>
        <w:tab/>
      </w:r>
      <w:r>
        <w:rPr>
          <w:b/>
        </w:rPr>
        <w:t>1,092,728</w:t>
        <w:tab/>
      </w:r>
      <w:r>
        <w:rPr/>
        <w:t>1,367,512 Sale of goods and services to other</w:t>
      </w:r>
      <w:r>
        <w:rPr>
          <w:spacing w:val="6"/>
        </w:rPr>
        <w:t> </w:t>
      </w:r>
      <w:r>
        <w:rPr/>
        <w:t>related parties</w:t>
        <w:tab/>
        <w:tab/>
      </w:r>
      <w:r>
        <w:rPr>
          <w:b/>
        </w:rPr>
        <w:t>62,276</w:t>
        <w:tab/>
        <w:tab/>
      </w:r>
      <w:r>
        <w:rPr/>
        <w:t>99,700</w:t>
      </w:r>
    </w:p>
    <w:p>
      <w:pPr>
        <w:tabs>
          <w:tab w:pos="1300" w:val="left" w:leader="none"/>
        </w:tabs>
        <w:spacing w:before="101"/>
        <w:ind w:left="0" w:right="1486" w:firstLine="0"/>
        <w:jc w:val="right"/>
        <w:rPr>
          <w:sz w:val="18"/>
        </w:rPr>
      </w:pPr>
      <w:r>
        <w:rPr>
          <w:b/>
          <w:sz w:val="18"/>
        </w:rPr>
        <w:t>1,155,004</w:t>
        <w:tab/>
      </w:r>
      <w:r>
        <w:rPr>
          <w:spacing w:val="-1"/>
          <w:sz w:val="18"/>
        </w:rPr>
        <w:t>1,467,212</w:t>
      </w:r>
    </w:p>
    <w:p>
      <w:pPr>
        <w:pStyle w:val="BodyText"/>
        <w:spacing w:line="48" w:lineRule="exact"/>
        <w:ind w:left="8736"/>
        <w:rPr>
          <w:sz w:val="4"/>
        </w:rPr>
      </w:pPr>
      <w:r>
        <w:rPr>
          <w:position w:val="0"/>
          <w:sz w:val="4"/>
        </w:rPr>
        <w:pict>
          <v:group style="width:130.5pt;height:2.450pt;mso-position-horizontal-relative:char;mso-position-vertical-relative:line" coordorigin="0,0" coordsize="2610,49">
            <v:line style="position:absolute" from="2,2" to="1305,2" stroked="true" strokeweight=".12pt" strokecolor="#000000"/>
            <v:line style="position:absolute" from="2,4" to="1305,4" stroked="true" strokeweight=".12pt" strokecolor="#000000"/>
            <v:line style="position:absolute" from="2,6" to="1305,6" stroked="true" strokeweight=".12pt" strokecolor="#000000"/>
            <v:line style="position:absolute" from="2,9" to="1305,9" stroked="true" strokeweight=".12pt" strokecolor="#000000"/>
            <v:line style="position:absolute" from="2,11" to="1305,11" stroked="true" strokeweight=".12pt" strokecolor="#000000"/>
            <v:line style="position:absolute" from="2,14" to="1305,14" stroked="true" strokeweight=".12pt" strokecolor="#000000"/>
            <v:line style="position:absolute" from="2,35" to="1305,35" stroked="true" strokeweight=".12pt" strokecolor="#000000"/>
            <v:line style="position:absolute" from="2,38" to="1305,38" stroked="true" strokeweight=".12pt" strokecolor="#000000"/>
            <v:line style="position:absolute" from="2,40" to="1305,40" stroked="true" strokeweight=".12pt" strokecolor="#000000"/>
            <v:line style="position:absolute" from="2,42" to="1305,42" stroked="true" strokeweight=".12pt" strokecolor="#000000"/>
            <v:line style="position:absolute" from="2,45" to="1305,45" stroked="true" strokeweight=".12pt" strokecolor="#000000"/>
            <v:line style="position:absolute" from="2,47" to="1305,47" stroked="true" strokeweight=".12pt" strokecolor="#000000"/>
            <v:line style="position:absolute" from="1305,2" to="2608,2" stroked="true" strokeweight=".12pt" strokecolor="#000000"/>
            <v:line style="position:absolute" from="1305,4" to="2608,4" stroked="true" strokeweight=".12pt" strokecolor="#000000"/>
            <v:line style="position:absolute" from="1305,6" to="2608,6" stroked="true" strokeweight=".12pt" strokecolor="#000000"/>
            <v:line style="position:absolute" from="1305,9" to="2608,9" stroked="true" strokeweight=".12pt" strokecolor="#000000"/>
            <v:line style="position:absolute" from="1305,11" to="2608,11" stroked="true" strokeweight=".12pt" strokecolor="#000000"/>
            <v:line style="position:absolute" from="1305,14" to="2608,14" stroked="true" strokeweight=".12pt" strokecolor="#000000"/>
            <v:line style="position:absolute" from="1305,35" to="2608,35" stroked="true" strokeweight=".12pt" strokecolor="#000000"/>
            <v:line style="position:absolute" from="1305,38" to="2608,38" stroked="true" strokeweight=".12pt" strokecolor="#000000"/>
            <v:line style="position:absolute" from="1305,40" to="2608,40" stroked="true" strokeweight=".12pt" strokecolor="#000000"/>
            <v:line style="position:absolute" from="1305,42" to="2608,42" stroked="true" strokeweight=".12pt" strokecolor="#000000"/>
            <v:line style="position:absolute" from="1305,45" to="2608,45" stroked="true" strokeweight=".12pt" strokecolor="#000000"/>
            <v:line style="position:absolute" from="1305,47" to="2608,47" stroked="true" strokeweight=".12pt" strokecolor="#000000"/>
          </v:group>
        </w:pict>
      </w:r>
      <w:r>
        <w:rPr>
          <w:position w:val="0"/>
          <w:sz w:val="4"/>
        </w:rPr>
      </w:r>
    </w:p>
    <w:p>
      <w:pPr>
        <w:pStyle w:val="BodyText"/>
        <w:spacing w:before="11"/>
        <w:rPr>
          <w:sz w:val="19"/>
        </w:rPr>
      </w:pPr>
    </w:p>
    <w:p>
      <w:pPr>
        <w:pStyle w:val="Heading8"/>
        <w:spacing w:before="77" w:after="36"/>
        <w:ind w:left="2478"/>
      </w:pPr>
      <w:r>
        <w:rPr/>
        <w:t>Other transactions</w:t>
      </w:r>
    </w:p>
    <w:tbl>
      <w:tblPr>
        <w:tblW w:w="0" w:type="auto"/>
        <w:jc w:val="left"/>
        <w:tblInd w:w="244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309"/>
        <w:gridCol w:w="1454"/>
        <w:gridCol w:w="1138"/>
      </w:tblGrid>
      <w:tr>
        <w:trPr>
          <w:trHeight w:val="565" w:hRule="exact"/>
        </w:trPr>
        <w:tc>
          <w:tcPr>
            <w:tcW w:w="6309" w:type="dxa"/>
          </w:tcPr>
          <w:p>
            <w:pPr/>
          </w:p>
        </w:tc>
        <w:tc>
          <w:tcPr>
            <w:tcW w:w="1454" w:type="dxa"/>
          </w:tcPr>
          <w:p>
            <w:pPr>
              <w:pStyle w:val="TableParagraph"/>
              <w:spacing w:before="30"/>
              <w:ind w:left="414" w:right="599"/>
              <w:jc w:val="center"/>
              <w:rPr>
                <w:b/>
                <w:sz w:val="18"/>
              </w:rPr>
            </w:pPr>
            <w:r>
              <w:rPr>
                <w:b/>
                <w:sz w:val="18"/>
              </w:rPr>
              <w:t>2016</w:t>
            </w:r>
          </w:p>
          <w:p>
            <w:pPr>
              <w:pStyle w:val="TableParagraph"/>
              <w:spacing w:before="66"/>
              <w:ind w:right="185"/>
              <w:jc w:val="center"/>
              <w:rPr>
                <w:b/>
                <w:sz w:val="18"/>
              </w:rPr>
            </w:pPr>
            <w:r>
              <w:rPr>
                <w:b/>
                <w:w w:val="99"/>
                <w:sz w:val="18"/>
              </w:rPr>
              <w:t>$</w:t>
            </w:r>
          </w:p>
        </w:tc>
        <w:tc>
          <w:tcPr>
            <w:tcW w:w="1138" w:type="dxa"/>
          </w:tcPr>
          <w:p>
            <w:pPr>
              <w:pStyle w:val="TableParagraph"/>
              <w:spacing w:before="30"/>
              <w:ind w:left="256" w:right="441"/>
              <w:jc w:val="center"/>
              <w:rPr>
                <w:b/>
                <w:sz w:val="18"/>
              </w:rPr>
            </w:pPr>
            <w:r>
              <w:rPr>
                <w:b/>
                <w:sz w:val="18"/>
              </w:rPr>
              <w:t>2015</w:t>
            </w:r>
          </w:p>
          <w:p>
            <w:pPr>
              <w:pStyle w:val="TableParagraph"/>
              <w:spacing w:before="66"/>
              <w:ind w:right="185"/>
              <w:jc w:val="center"/>
              <w:rPr>
                <w:b/>
                <w:sz w:val="18"/>
              </w:rPr>
            </w:pPr>
            <w:r>
              <w:rPr>
                <w:b/>
                <w:w w:val="99"/>
                <w:sz w:val="18"/>
              </w:rPr>
              <w:t>$</w:t>
            </w:r>
          </w:p>
        </w:tc>
      </w:tr>
      <w:tr>
        <w:trPr>
          <w:trHeight w:val="279" w:hRule="exact"/>
        </w:trPr>
        <w:tc>
          <w:tcPr>
            <w:tcW w:w="6309" w:type="dxa"/>
          </w:tcPr>
          <w:p>
            <w:pPr>
              <w:pStyle w:val="TableParagraph"/>
              <w:spacing w:before="34"/>
              <w:ind w:left="35"/>
              <w:jc w:val="left"/>
              <w:rPr>
                <w:sz w:val="18"/>
              </w:rPr>
            </w:pPr>
            <w:r>
              <w:rPr>
                <w:sz w:val="18"/>
              </w:rPr>
              <w:t>Funding from the ultimate parent entity</w:t>
            </w:r>
          </w:p>
        </w:tc>
        <w:tc>
          <w:tcPr>
            <w:tcW w:w="1454" w:type="dxa"/>
            <w:tcBorders>
              <w:bottom w:val="single" w:sz="1" w:space="0" w:color="000000"/>
            </w:tcBorders>
          </w:tcPr>
          <w:p>
            <w:pPr>
              <w:pStyle w:val="TableParagraph"/>
              <w:spacing w:before="37"/>
              <w:ind w:right="242"/>
              <w:rPr>
                <w:b/>
                <w:sz w:val="18"/>
              </w:rPr>
            </w:pPr>
            <w:r>
              <w:rPr>
                <w:b/>
                <w:w w:val="95"/>
                <w:sz w:val="18"/>
              </w:rPr>
              <w:t>1,994,063</w:t>
            </w:r>
          </w:p>
        </w:tc>
        <w:tc>
          <w:tcPr>
            <w:tcW w:w="1138" w:type="dxa"/>
            <w:tcBorders>
              <w:bottom w:val="single" w:sz="1" w:space="0" w:color="000000"/>
            </w:tcBorders>
          </w:tcPr>
          <w:p>
            <w:pPr>
              <w:pStyle w:val="TableParagraph"/>
              <w:spacing w:before="37"/>
              <w:ind w:right="84"/>
              <w:rPr>
                <w:sz w:val="18"/>
              </w:rPr>
            </w:pPr>
            <w:r>
              <w:rPr>
                <w:w w:val="95"/>
                <w:sz w:val="18"/>
              </w:rPr>
              <w:t>2,542,005</w:t>
            </w:r>
          </w:p>
        </w:tc>
      </w:tr>
      <w:tr>
        <w:trPr>
          <w:trHeight w:val="353" w:hRule="exact"/>
        </w:trPr>
        <w:tc>
          <w:tcPr>
            <w:tcW w:w="6309" w:type="dxa"/>
          </w:tcPr>
          <w:p>
            <w:pPr>
              <w:pStyle w:val="TableParagraph"/>
              <w:spacing w:before="125"/>
              <w:ind w:left="35"/>
              <w:jc w:val="left"/>
              <w:rPr>
                <w:b/>
                <w:sz w:val="18"/>
              </w:rPr>
            </w:pPr>
            <w:r>
              <w:rPr>
                <w:b/>
                <w:sz w:val="18"/>
              </w:rPr>
              <w:t>Total</w:t>
            </w:r>
          </w:p>
        </w:tc>
        <w:tc>
          <w:tcPr>
            <w:tcW w:w="1454" w:type="dxa"/>
            <w:tcBorders>
              <w:top w:val="single" w:sz="1" w:space="0" w:color="000000"/>
              <w:bottom w:val="single" w:sz="1" w:space="0" w:color="000000"/>
            </w:tcBorders>
          </w:tcPr>
          <w:p>
            <w:pPr>
              <w:pStyle w:val="TableParagraph"/>
              <w:spacing w:before="124"/>
              <w:ind w:right="242"/>
              <w:rPr>
                <w:b/>
                <w:sz w:val="18"/>
              </w:rPr>
            </w:pPr>
            <w:r>
              <w:rPr>
                <w:b/>
                <w:w w:val="95"/>
                <w:sz w:val="18"/>
              </w:rPr>
              <w:t>1,994,063</w:t>
            </w:r>
          </w:p>
        </w:tc>
        <w:tc>
          <w:tcPr>
            <w:tcW w:w="1138" w:type="dxa"/>
            <w:tcBorders>
              <w:top w:val="single" w:sz="1" w:space="0" w:color="000000"/>
              <w:bottom w:val="single" w:sz="1" w:space="0" w:color="000000"/>
            </w:tcBorders>
          </w:tcPr>
          <w:p>
            <w:pPr>
              <w:pStyle w:val="TableParagraph"/>
              <w:spacing w:before="124"/>
              <w:ind w:right="84"/>
              <w:rPr>
                <w:sz w:val="18"/>
              </w:rPr>
            </w:pPr>
            <w:r>
              <w:rPr>
                <w:w w:val="95"/>
                <w:sz w:val="18"/>
              </w:rPr>
              <w:t>2,542,005</w:t>
            </w:r>
          </w:p>
        </w:tc>
      </w:tr>
    </w:tbl>
    <w:p>
      <w:pPr>
        <w:pStyle w:val="BodyText"/>
        <w:spacing w:before="1"/>
        <w:rPr>
          <w:b/>
          <w:sz w:val="22"/>
        </w:rPr>
      </w:pPr>
    </w:p>
    <w:p>
      <w:pPr>
        <w:pStyle w:val="ListParagraph"/>
        <w:numPr>
          <w:ilvl w:val="1"/>
          <w:numId w:val="65"/>
        </w:numPr>
        <w:tabs>
          <w:tab w:pos="2391" w:val="left" w:leader="none"/>
        </w:tabs>
        <w:spacing w:line="240" w:lineRule="auto" w:before="77" w:after="0"/>
        <w:ind w:left="2390" w:right="0" w:hanging="566"/>
        <w:jc w:val="left"/>
        <w:rPr>
          <w:sz w:val="18"/>
        </w:rPr>
      </w:pPr>
      <w:r>
        <w:rPr/>
        <w:drawing>
          <wp:anchor distT="0" distB="0" distL="0" distR="0" allowOverlap="1" layoutInCell="1" locked="0" behindDoc="0" simplePos="0" relativeHeight="11464">
            <wp:simplePos x="0" y="0"/>
            <wp:positionH relativeFrom="page">
              <wp:posOffset>-1587</wp:posOffset>
            </wp:positionH>
            <wp:positionV relativeFrom="paragraph">
              <wp:posOffset>-462484</wp:posOffset>
            </wp:positionV>
            <wp:extent cx="135159" cy="154019"/>
            <wp:effectExtent l="0" t="0" r="0" b="0"/>
            <wp:wrapNone/>
            <wp:docPr id="747" name="image13.png" descr=""/>
            <wp:cNvGraphicFramePr>
              <a:graphicFrameLocks noChangeAspect="1"/>
            </wp:cNvGraphicFramePr>
            <a:graphic>
              <a:graphicData uri="http://schemas.openxmlformats.org/drawingml/2006/picture">
                <pic:pic>
                  <pic:nvPicPr>
                    <pic:cNvPr id="748" name="image13.png"/>
                    <pic:cNvPicPr/>
                  </pic:nvPicPr>
                  <pic:blipFill>
                    <a:blip r:embed="rId18" cstate="print"/>
                    <a:stretch>
                      <a:fillRect/>
                    </a:stretch>
                  </pic:blipFill>
                  <pic:spPr>
                    <a:xfrm>
                      <a:off x="0" y="0"/>
                      <a:ext cx="135159" cy="154019"/>
                    </a:xfrm>
                    <a:prstGeom prst="rect">
                      <a:avLst/>
                    </a:prstGeom>
                  </pic:spPr>
                </pic:pic>
              </a:graphicData>
            </a:graphic>
          </wp:anchor>
        </w:drawing>
      </w:r>
      <w:r>
        <w:rPr/>
        <w:drawing>
          <wp:anchor distT="0" distB="0" distL="0" distR="0" allowOverlap="1" layoutInCell="1" locked="0" behindDoc="0" simplePos="0" relativeHeight="11488">
            <wp:simplePos x="0" y="0"/>
            <wp:positionH relativeFrom="page">
              <wp:posOffset>7958429</wp:posOffset>
            </wp:positionH>
            <wp:positionV relativeFrom="paragraph">
              <wp:posOffset>-462484</wp:posOffset>
            </wp:positionV>
            <wp:extent cx="135953" cy="155575"/>
            <wp:effectExtent l="0" t="0" r="0" b="0"/>
            <wp:wrapNone/>
            <wp:docPr id="749" name="image15.png" descr=""/>
            <wp:cNvGraphicFramePr>
              <a:graphicFrameLocks noChangeAspect="1"/>
            </wp:cNvGraphicFramePr>
            <a:graphic>
              <a:graphicData uri="http://schemas.openxmlformats.org/drawingml/2006/picture">
                <pic:pic>
                  <pic:nvPicPr>
                    <pic:cNvPr id="750" name="image15.png"/>
                    <pic:cNvPicPr/>
                  </pic:nvPicPr>
                  <pic:blipFill>
                    <a:blip r:embed="rId20" cstate="print"/>
                    <a:stretch>
                      <a:fillRect/>
                    </a:stretch>
                  </pic:blipFill>
                  <pic:spPr>
                    <a:xfrm>
                      <a:off x="0" y="0"/>
                      <a:ext cx="135953" cy="155575"/>
                    </a:xfrm>
                    <a:prstGeom prst="rect">
                      <a:avLst/>
                    </a:prstGeom>
                  </pic:spPr>
                </pic:pic>
              </a:graphicData>
            </a:graphic>
          </wp:anchor>
        </w:drawing>
      </w:r>
      <w:r>
        <w:rPr>
          <w:sz w:val="18"/>
        </w:rPr>
        <w:t>Outstanding balances arising from sales or purchases of goods and</w:t>
      </w:r>
      <w:r>
        <w:rPr>
          <w:spacing w:val="9"/>
          <w:sz w:val="18"/>
        </w:rPr>
        <w:t> </w:t>
      </w:r>
      <w:r>
        <w:rPr>
          <w:sz w:val="18"/>
        </w:rPr>
        <w:t>services</w:t>
      </w:r>
    </w:p>
    <w:p>
      <w:pPr>
        <w:pStyle w:val="BodyText"/>
        <w:spacing w:before="4"/>
        <w:rPr>
          <w:sz w:val="25"/>
        </w:rPr>
      </w:pPr>
    </w:p>
    <w:p>
      <w:pPr>
        <w:pStyle w:val="BodyText"/>
        <w:ind w:left="2392" w:right="1375"/>
      </w:pPr>
      <w:r>
        <w:rPr/>
        <w:t>The following balances are outstanding at the end of the reporting period in relation to transactions with related parties:</w:t>
      </w:r>
    </w:p>
    <w:p>
      <w:pPr>
        <w:spacing w:after="0"/>
        <w:sectPr>
          <w:type w:val="continuous"/>
          <w:pgSz w:w="12750" w:h="17680"/>
          <w:pgMar w:top="1660" w:bottom="0" w:left="0" w:right="0"/>
        </w:sectPr>
      </w:pPr>
    </w:p>
    <w:p>
      <w:pPr>
        <w:pStyle w:val="BodyText"/>
      </w:pPr>
    </w:p>
    <w:p>
      <w:pPr>
        <w:pStyle w:val="BodyText"/>
      </w:pPr>
    </w:p>
    <w:p>
      <w:pPr>
        <w:pStyle w:val="BodyText"/>
        <w:spacing w:before="3"/>
        <w:rPr>
          <w:sz w:val="21"/>
        </w:rPr>
      </w:pPr>
    </w:p>
    <w:p>
      <w:pPr>
        <w:pStyle w:val="Heading8"/>
        <w:spacing w:before="1"/>
        <w:ind w:left="2390" w:right="-16"/>
      </w:pPr>
      <w:r>
        <w:rPr/>
        <w:t>Current receivables</w:t>
      </w:r>
    </w:p>
    <w:p>
      <w:pPr>
        <w:spacing w:before="33"/>
        <w:ind w:left="0" w:right="0" w:firstLine="0"/>
        <w:jc w:val="right"/>
        <w:rPr>
          <w:b/>
          <w:sz w:val="18"/>
        </w:rPr>
      </w:pPr>
      <w:r>
        <w:rPr/>
        <w:br w:type="column"/>
      </w:r>
      <w:r>
        <w:rPr>
          <w:b/>
          <w:sz w:val="18"/>
        </w:rPr>
        <w:t>2016</w:t>
      </w:r>
    </w:p>
    <w:p>
      <w:pPr>
        <w:spacing w:before="66"/>
        <w:ind w:left="0" w:right="149" w:firstLine="0"/>
        <w:jc w:val="right"/>
        <w:rPr>
          <w:b/>
          <w:sz w:val="18"/>
        </w:rPr>
      </w:pPr>
      <w:r>
        <w:rPr>
          <w:b/>
          <w:w w:val="99"/>
          <w:sz w:val="18"/>
        </w:rPr>
        <w:t>$</w:t>
      </w:r>
    </w:p>
    <w:p>
      <w:pPr>
        <w:spacing w:before="33"/>
        <w:ind w:left="845" w:right="1848" w:firstLine="0"/>
        <w:jc w:val="center"/>
        <w:rPr>
          <w:b/>
          <w:sz w:val="18"/>
        </w:rPr>
      </w:pPr>
      <w:r>
        <w:rPr/>
        <w:br w:type="column"/>
      </w:r>
      <w:r>
        <w:rPr>
          <w:b/>
          <w:sz w:val="18"/>
        </w:rPr>
        <w:t>2015</w:t>
      </w:r>
    </w:p>
    <w:p>
      <w:pPr>
        <w:spacing w:before="66"/>
        <w:ind w:left="0" w:right="1003" w:firstLine="0"/>
        <w:jc w:val="center"/>
        <w:rPr>
          <w:b/>
          <w:sz w:val="18"/>
        </w:rPr>
      </w:pPr>
      <w:r>
        <w:rPr>
          <w:b/>
          <w:w w:val="99"/>
          <w:sz w:val="18"/>
        </w:rPr>
        <w:t>$</w:t>
      </w:r>
    </w:p>
    <w:p>
      <w:pPr>
        <w:spacing w:after="0"/>
        <w:jc w:val="center"/>
        <w:rPr>
          <w:sz w:val="18"/>
        </w:rPr>
        <w:sectPr>
          <w:type w:val="continuous"/>
          <w:pgSz w:w="12750" w:h="17680"/>
          <w:pgMar w:top="1660" w:bottom="0" w:left="0" w:right="0"/>
          <w:cols w:num="3" w:equalWidth="0">
            <w:col w:w="4075" w:space="2707"/>
            <w:col w:w="2794" w:space="40"/>
            <w:col w:w="3134"/>
          </w:cols>
        </w:sectPr>
      </w:pPr>
    </w:p>
    <w:p>
      <w:pPr>
        <w:pStyle w:val="BodyText"/>
        <w:tabs>
          <w:tab w:pos="9751" w:val="left" w:leader="none"/>
          <w:tab w:pos="10600" w:val="left" w:leader="none"/>
        </w:tabs>
        <w:spacing w:before="30"/>
        <w:ind w:left="2390"/>
      </w:pPr>
      <w:r>
        <w:rPr/>
        <w:t>Ultimate parent entity</w:t>
        <w:tab/>
      </w:r>
      <w:r>
        <w:rPr>
          <w:b/>
        </w:rPr>
        <w:t>-</w:t>
        <w:tab/>
      </w:r>
      <w:r>
        <w:rPr/>
        <w:t>978,500</w:t>
      </w:r>
    </w:p>
    <w:p>
      <w:pPr>
        <w:pStyle w:val="BodyText"/>
        <w:tabs>
          <w:tab w:pos="9751" w:val="left" w:leader="none"/>
          <w:tab w:pos="10701" w:val="left" w:leader="none"/>
        </w:tabs>
        <w:spacing w:before="57" w:after="23"/>
        <w:ind w:left="2390"/>
      </w:pPr>
      <w:r>
        <w:rPr/>
        <w:t>Other</w:t>
      </w:r>
      <w:r>
        <w:rPr>
          <w:spacing w:val="-1"/>
        </w:rPr>
        <w:t> </w:t>
      </w:r>
      <w:r>
        <w:rPr/>
        <w:t>related</w:t>
      </w:r>
      <w:r>
        <w:rPr>
          <w:spacing w:val="-1"/>
        </w:rPr>
        <w:t> </w:t>
      </w:r>
      <w:r>
        <w:rPr/>
        <w:t>parties</w:t>
        <w:tab/>
      </w:r>
      <w:r>
        <w:rPr>
          <w:b/>
        </w:rPr>
        <w:t>-</w:t>
        <w:tab/>
      </w:r>
      <w:r>
        <w:rPr/>
        <w:t>12,438</w:t>
      </w:r>
    </w:p>
    <w:p>
      <w:pPr>
        <w:pStyle w:val="BodyText"/>
        <w:spacing w:line="20" w:lineRule="exact"/>
        <w:ind w:left="8736"/>
        <w:rPr>
          <w:sz w:val="2"/>
        </w:rPr>
      </w:pPr>
      <w:r>
        <w:rPr>
          <w:sz w:val="2"/>
        </w:rPr>
        <w:pict>
          <v:group style="width:130.5pt;height:1pt;mso-position-horizontal-relative:char;mso-position-vertical-relative:line" coordorigin="0,0" coordsize="2610,20">
            <v:line style="position:absolute" from="2,2" to="1305,2" stroked="true" strokeweight=".12pt" strokecolor="#000000"/>
            <v:line style="position:absolute" from="2,4" to="1305,4" stroked="true" strokeweight=".12pt" strokecolor="#000000"/>
            <v:line style="position:absolute" from="2,6" to="1305,6" stroked="true" strokeweight=".12pt" strokecolor="#000000"/>
            <v:line style="position:absolute" from="2,9" to="1305,9" stroked="true" strokeweight=".12pt" strokecolor="#000000"/>
            <v:line style="position:absolute" from="2,11" to="1305,11" stroked="true" strokeweight=".12pt" strokecolor="#000000"/>
            <v:line style="position:absolute" from="2,14" to="1305,14" stroked="true" strokeweight=".12pt" strokecolor="#000000"/>
            <v:line style="position:absolute" from="2,16" to="1305,16" stroked="true" strokeweight=".12pt" strokecolor="#000000"/>
            <v:line style="position:absolute" from="2,18" to="1305,18" stroked="true" strokeweight=".12pt" strokecolor="#000000"/>
            <v:line style="position:absolute" from="1305,2" to="2608,2" stroked="true" strokeweight=".12pt" strokecolor="#000000"/>
            <v:line style="position:absolute" from="1305,4" to="2608,4" stroked="true" strokeweight=".12pt" strokecolor="#000000"/>
            <v:line style="position:absolute" from="1305,6" to="2608,6" stroked="true" strokeweight=".12pt" strokecolor="#000000"/>
            <v:line style="position:absolute" from="1305,9" to="2608,9" stroked="true" strokeweight=".12pt" strokecolor="#000000"/>
            <v:line style="position:absolute" from="1305,11" to="2608,11" stroked="true" strokeweight=".12pt" strokecolor="#000000"/>
            <v:line style="position:absolute" from="1305,14" to="2608,14" stroked="true" strokeweight=".12pt" strokecolor="#000000"/>
            <v:line style="position:absolute" from="1305,16" to="2608,16" stroked="true" strokeweight=".12pt" strokecolor="#000000"/>
            <v:line style="position:absolute" from="1305,18" to="2608,18" stroked="true" strokeweight=".12pt" strokecolor="#000000"/>
            <v:line style="position:absolute" from="2,2" to="1305,2" stroked="true" strokeweight=".12pt" strokecolor="#000000"/>
            <v:line style="position:absolute" from="2,4" to="1305,4" stroked="true" strokeweight=".12pt" strokecolor="#000000"/>
            <v:line style="position:absolute" from="2,6" to="1305,6" stroked="true" strokeweight=".12pt" strokecolor="#000000"/>
            <v:line style="position:absolute" from="2,9" to="1305,9" stroked="true" strokeweight=".12pt" strokecolor="#000000"/>
            <v:line style="position:absolute" from="2,11" to="1305,11" stroked="true" strokeweight=".12pt" strokecolor="#000000"/>
            <v:line style="position:absolute" from="2,14" to="1305,14" stroked="true" strokeweight=".12pt" strokecolor="#000000"/>
            <v:line style="position:absolute" from="2,16" to="1305,16" stroked="true" strokeweight=".12pt" strokecolor="#000000"/>
            <v:line style="position:absolute" from="2,18" to="1305,18" stroked="true" strokeweight=".12pt" strokecolor="#000000"/>
            <v:line style="position:absolute" from="1305,2" to="2608,2" stroked="true" strokeweight=".12pt" strokecolor="#000000"/>
            <v:line style="position:absolute" from="1305,4" to="2608,4" stroked="true" strokeweight=".12pt" strokecolor="#000000"/>
            <v:line style="position:absolute" from="1305,6" to="2608,6" stroked="true" strokeweight=".12pt" strokecolor="#000000"/>
            <v:line style="position:absolute" from="1305,9" to="2608,9" stroked="true" strokeweight=".12pt" strokecolor="#000000"/>
            <v:line style="position:absolute" from="1305,11" to="2608,11" stroked="true" strokeweight=".12pt" strokecolor="#000000"/>
            <v:line style="position:absolute" from="1305,14" to="2608,14" stroked="true" strokeweight=".12pt" strokecolor="#000000"/>
            <v:line style="position:absolute" from="1305,16" to="2608,16" stroked="true" strokeweight=".12pt" strokecolor="#000000"/>
            <v:line style="position:absolute" from="1305,18" to="2608,18" stroked="true" strokeweight=".12pt" strokecolor="#000000"/>
          </v:group>
        </w:pict>
      </w:r>
      <w:r>
        <w:rPr>
          <w:sz w:val="2"/>
        </w:rPr>
      </w:r>
    </w:p>
    <w:p>
      <w:pPr>
        <w:tabs>
          <w:tab w:pos="849" w:val="left" w:leader="none"/>
        </w:tabs>
        <w:spacing w:before="115" w:after="21"/>
        <w:ind w:left="0" w:right="1486" w:firstLine="0"/>
        <w:jc w:val="right"/>
        <w:rPr>
          <w:sz w:val="18"/>
        </w:rPr>
      </w:pPr>
      <w:r>
        <w:rPr>
          <w:b/>
          <w:sz w:val="18"/>
        </w:rPr>
        <w:t>-</w:t>
        <w:tab/>
      </w:r>
      <w:r>
        <w:rPr>
          <w:w w:val="95"/>
          <w:sz w:val="18"/>
        </w:rPr>
        <w:t>990,938</w:t>
      </w:r>
    </w:p>
    <w:tbl>
      <w:tblPr>
        <w:tblW w:w="0" w:type="auto"/>
        <w:jc w:val="left"/>
        <w:tblInd w:w="235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383"/>
        <w:gridCol w:w="1538"/>
        <w:gridCol w:w="1068"/>
      </w:tblGrid>
      <w:tr>
        <w:trPr>
          <w:trHeight w:val="621" w:hRule="exact"/>
        </w:trPr>
        <w:tc>
          <w:tcPr>
            <w:tcW w:w="6383" w:type="dxa"/>
          </w:tcPr>
          <w:p>
            <w:pPr>
              <w:pStyle w:val="TableParagraph"/>
              <w:spacing w:before="139"/>
              <w:ind w:left="35"/>
              <w:jc w:val="left"/>
              <w:rPr>
                <w:b/>
                <w:sz w:val="18"/>
              </w:rPr>
            </w:pPr>
            <w:r>
              <w:rPr>
                <w:b/>
                <w:sz w:val="18"/>
              </w:rPr>
              <w:t>Current payables</w:t>
            </w:r>
          </w:p>
          <w:p>
            <w:pPr>
              <w:pStyle w:val="TableParagraph"/>
              <w:spacing w:before="30"/>
              <w:ind w:left="35"/>
              <w:jc w:val="left"/>
              <w:rPr>
                <w:sz w:val="18"/>
              </w:rPr>
            </w:pPr>
            <w:r>
              <w:rPr>
                <w:sz w:val="18"/>
              </w:rPr>
              <w:t>Ultimate parent entity</w:t>
            </w:r>
          </w:p>
        </w:tc>
        <w:tc>
          <w:tcPr>
            <w:tcW w:w="1538" w:type="dxa"/>
            <w:tcBorders>
              <w:top w:val="single" w:sz="1" w:space="0" w:color="000000"/>
            </w:tcBorders>
          </w:tcPr>
          <w:p>
            <w:pPr>
              <w:pStyle w:val="TableParagraph"/>
              <w:jc w:val="left"/>
              <w:rPr>
                <w:sz w:val="18"/>
              </w:rPr>
            </w:pPr>
          </w:p>
          <w:p>
            <w:pPr>
              <w:pStyle w:val="TableParagraph"/>
              <w:spacing w:before="5"/>
              <w:jc w:val="left"/>
              <w:rPr>
                <w:sz w:val="14"/>
              </w:rPr>
            </w:pPr>
          </w:p>
          <w:p>
            <w:pPr>
              <w:pStyle w:val="TableParagraph"/>
              <w:ind w:right="322"/>
              <w:rPr>
                <w:b/>
                <w:sz w:val="18"/>
              </w:rPr>
            </w:pPr>
            <w:r>
              <w:rPr>
                <w:b/>
                <w:w w:val="95"/>
                <w:sz w:val="18"/>
              </w:rPr>
              <w:t>102,936</w:t>
            </w:r>
          </w:p>
        </w:tc>
        <w:tc>
          <w:tcPr>
            <w:tcW w:w="1068" w:type="dxa"/>
            <w:tcBorders>
              <w:top w:val="single" w:sz="1" w:space="0" w:color="000000"/>
            </w:tcBorders>
          </w:tcPr>
          <w:p>
            <w:pPr>
              <w:pStyle w:val="TableParagraph"/>
              <w:jc w:val="left"/>
              <w:rPr>
                <w:sz w:val="18"/>
              </w:rPr>
            </w:pPr>
          </w:p>
          <w:p>
            <w:pPr>
              <w:pStyle w:val="TableParagraph"/>
              <w:spacing w:before="5"/>
              <w:jc w:val="left"/>
              <w:rPr>
                <w:sz w:val="14"/>
              </w:rPr>
            </w:pPr>
          </w:p>
          <w:p>
            <w:pPr>
              <w:pStyle w:val="TableParagraph"/>
              <w:ind w:right="88"/>
              <w:rPr>
                <w:sz w:val="18"/>
              </w:rPr>
            </w:pPr>
            <w:r>
              <w:rPr>
                <w:w w:val="95"/>
                <w:sz w:val="18"/>
              </w:rPr>
              <w:t>712,978</w:t>
            </w:r>
          </w:p>
        </w:tc>
      </w:tr>
      <w:tr>
        <w:trPr>
          <w:trHeight w:val="260" w:hRule="exact"/>
        </w:trPr>
        <w:tc>
          <w:tcPr>
            <w:tcW w:w="6383" w:type="dxa"/>
          </w:tcPr>
          <w:p>
            <w:pPr>
              <w:pStyle w:val="TableParagraph"/>
              <w:spacing w:before="20"/>
              <w:ind w:left="35"/>
              <w:jc w:val="left"/>
              <w:rPr>
                <w:sz w:val="18"/>
              </w:rPr>
            </w:pPr>
            <w:r>
              <w:rPr>
                <w:sz w:val="18"/>
              </w:rPr>
              <w:t>Other related parties</w:t>
            </w:r>
          </w:p>
        </w:tc>
        <w:tc>
          <w:tcPr>
            <w:tcW w:w="1538" w:type="dxa"/>
            <w:tcBorders>
              <w:bottom w:val="single" w:sz="1" w:space="0" w:color="000000"/>
            </w:tcBorders>
          </w:tcPr>
          <w:p>
            <w:pPr>
              <w:pStyle w:val="TableParagraph"/>
              <w:spacing w:before="18"/>
              <w:ind w:right="463"/>
              <w:rPr>
                <w:b/>
                <w:sz w:val="18"/>
              </w:rPr>
            </w:pPr>
            <w:r>
              <w:rPr>
                <w:b/>
                <w:w w:val="99"/>
                <w:sz w:val="18"/>
              </w:rPr>
              <w:t>-</w:t>
            </w:r>
          </w:p>
        </w:tc>
        <w:tc>
          <w:tcPr>
            <w:tcW w:w="1068" w:type="dxa"/>
            <w:tcBorders>
              <w:bottom w:val="single" w:sz="1" w:space="0" w:color="000000"/>
            </w:tcBorders>
          </w:tcPr>
          <w:p>
            <w:pPr>
              <w:pStyle w:val="TableParagraph"/>
              <w:spacing w:before="18"/>
              <w:ind w:right="87"/>
              <w:rPr>
                <w:sz w:val="18"/>
              </w:rPr>
            </w:pPr>
            <w:r>
              <w:rPr>
                <w:w w:val="95"/>
                <w:sz w:val="18"/>
              </w:rPr>
              <w:t>2,013</w:t>
            </w:r>
          </w:p>
        </w:tc>
      </w:tr>
    </w:tbl>
    <w:p>
      <w:pPr>
        <w:tabs>
          <w:tab w:pos="1303" w:val="left" w:leader="none"/>
        </w:tabs>
        <w:spacing w:before="122"/>
        <w:ind w:left="0" w:right="1486" w:firstLine="0"/>
        <w:jc w:val="right"/>
        <w:rPr>
          <w:sz w:val="18"/>
        </w:rPr>
      </w:pPr>
      <w:r>
        <w:rPr>
          <w:b/>
          <w:sz w:val="18"/>
        </w:rPr>
        <w:t>102,936</w:t>
        <w:tab/>
      </w:r>
      <w:r>
        <w:rPr>
          <w:w w:val="95"/>
          <w:sz w:val="18"/>
        </w:rPr>
        <w:t>714,991</w:t>
      </w:r>
    </w:p>
    <w:p>
      <w:pPr>
        <w:pStyle w:val="BodyText"/>
        <w:spacing w:line="48" w:lineRule="exact"/>
        <w:ind w:left="8736"/>
        <w:rPr>
          <w:sz w:val="4"/>
        </w:rPr>
      </w:pPr>
      <w:r>
        <w:rPr>
          <w:position w:val="0"/>
          <w:sz w:val="4"/>
        </w:rPr>
        <w:pict>
          <v:group style="width:130.5pt;height:2.450pt;mso-position-horizontal-relative:char;mso-position-vertical-relative:line" coordorigin="0,0" coordsize="2610,49">
            <v:line style="position:absolute" from="2,2" to="1305,2" stroked="true" strokeweight=".12pt" strokecolor="#000000"/>
            <v:line style="position:absolute" from="2,4" to="1305,4" stroked="true" strokeweight=".12pt" strokecolor="#000000"/>
            <v:line style="position:absolute" from="2,6" to="1305,6" stroked="true" strokeweight=".12pt" strokecolor="#000000"/>
            <v:line style="position:absolute" from="2,9" to="1305,9" stroked="true" strokeweight=".12pt" strokecolor="#000000"/>
            <v:line style="position:absolute" from="2,11" to="1305,11" stroked="true" strokeweight=".12pt" strokecolor="#000000"/>
            <v:line style="position:absolute" from="2,14" to="1305,14" stroked="true" strokeweight=".12pt" strokecolor="#000000"/>
            <v:line style="position:absolute" from="2,35" to="1305,35" stroked="true" strokeweight=".12pt" strokecolor="#000000"/>
            <v:line style="position:absolute" from="2,37" to="1305,37" stroked="true" strokeweight=".12pt" strokecolor="#000000"/>
            <v:line style="position:absolute" from="2,40" to="1305,40" stroked="true" strokeweight=".12pt" strokecolor="#000000"/>
            <v:line style="position:absolute" from="2,42" to="1305,42" stroked="true" strokeweight=".12pt" strokecolor="#000000"/>
            <v:line style="position:absolute" from="2,45" to="1305,45" stroked="true" strokeweight=".12pt" strokecolor="#000000"/>
            <v:line style="position:absolute" from="2,47" to="1305,47" stroked="true" strokeweight=".12pt" strokecolor="#000000"/>
            <v:line style="position:absolute" from="1305,2" to="2608,2" stroked="true" strokeweight=".12pt" strokecolor="#000000"/>
            <v:line style="position:absolute" from="1305,4" to="2608,4" stroked="true" strokeweight=".12pt" strokecolor="#000000"/>
            <v:line style="position:absolute" from="1305,6" to="2608,6" stroked="true" strokeweight=".12pt" strokecolor="#000000"/>
            <v:line style="position:absolute" from="1305,9" to="2608,9" stroked="true" strokeweight=".12pt" strokecolor="#000000"/>
            <v:line style="position:absolute" from="1305,11" to="2608,11" stroked="true" strokeweight=".12pt" strokecolor="#000000"/>
            <v:line style="position:absolute" from="1305,14" to="2608,14" stroked="true" strokeweight=".12pt" strokecolor="#000000"/>
            <v:line style="position:absolute" from="1305,35" to="2608,35" stroked="true" strokeweight=".12pt" strokecolor="#000000"/>
            <v:line style="position:absolute" from="1305,37" to="2608,37" stroked="true" strokeweight=".12pt" strokecolor="#000000"/>
            <v:line style="position:absolute" from="1305,40" to="2608,40" stroked="true" strokeweight=".12pt" strokecolor="#000000"/>
            <v:line style="position:absolute" from="1305,42" to="2608,42" stroked="true" strokeweight=".12pt" strokecolor="#000000"/>
            <v:line style="position:absolute" from="1305,45" to="2608,45" stroked="true" strokeweight=".12pt" strokecolor="#000000"/>
            <v:line style="position:absolute" from="1305,47" to="2608,47" stroked="true" strokeweight=".12pt" strokecolor="#000000"/>
          </v:group>
        </w:pict>
      </w:r>
      <w:r>
        <w:rPr>
          <w:position w:val="0"/>
          <w:sz w:val="4"/>
        </w:rPr>
      </w:r>
    </w:p>
    <w:p>
      <w:pPr>
        <w:spacing w:after="0" w:line="48" w:lineRule="exact"/>
        <w:rPr>
          <w:sz w:val="4"/>
        </w:rPr>
        <w:sectPr>
          <w:type w:val="continuous"/>
          <w:pgSz w:w="12750" w:h="17680"/>
          <w:pgMar w:top="1660" w:bottom="0" w:left="0" w:right="0"/>
        </w:sectPr>
      </w:pPr>
    </w:p>
    <w:p>
      <w:pPr>
        <w:pStyle w:val="BodyText"/>
        <w:spacing w:before="1"/>
        <w:rPr>
          <w:sz w:val="24"/>
        </w:rPr>
      </w:pPr>
    </w:p>
    <w:p>
      <w:pPr>
        <w:pStyle w:val="Heading4"/>
        <w:spacing w:before="65"/>
      </w:pPr>
      <w:r>
        <w:rPr/>
        <w:t>Notes to the Financial Statements</w:t>
      </w:r>
    </w:p>
    <w:p>
      <w:pPr>
        <w:pStyle w:val="Heading7"/>
        <w:spacing w:before="53" w:after="35"/>
      </w:pPr>
      <w:r>
        <w:rPr/>
        <w:t>For the Year Ended 31 December 2016</w:t>
      </w:r>
    </w:p>
    <w:tbl>
      <w:tblPr>
        <w:tblW w:w="0" w:type="auto"/>
        <w:jc w:val="left"/>
        <w:tblInd w:w="178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33"/>
        <w:gridCol w:w="6528"/>
        <w:gridCol w:w="1403"/>
        <w:gridCol w:w="1189"/>
      </w:tblGrid>
      <w:tr>
        <w:trPr>
          <w:trHeight w:val="739" w:hRule="exact"/>
        </w:trPr>
        <w:tc>
          <w:tcPr>
            <w:tcW w:w="6961" w:type="dxa"/>
            <w:gridSpan w:val="2"/>
          </w:tcPr>
          <w:p>
            <w:pPr/>
          </w:p>
        </w:tc>
        <w:tc>
          <w:tcPr>
            <w:tcW w:w="1403" w:type="dxa"/>
          </w:tcPr>
          <w:p>
            <w:pPr>
              <w:pStyle w:val="TableParagraph"/>
              <w:spacing w:line="206" w:lineRule="exact"/>
              <w:ind w:left="414" w:right="547"/>
              <w:jc w:val="center"/>
              <w:rPr>
                <w:b/>
                <w:sz w:val="18"/>
              </w:rPr>
            </w:pPr>
            <w:bookmarkStart w:name="Loans from the ultimate parent entity" w:id="304"/>
            <w:bookmarkEnd w:id="304"/>
            <w:r>
              <w:rPr/>
            </w:r>
            <w:r>
              <w:rPr>
                <w:b/>
                <w:sz w:val="18"/>
              </w:rPr>
              <w:t>2016</w:t>
            </w:r>
          </w:p>
          <w:p>
            <w:pPr>
              <w:pStyle w:val="TableParagraph"/>
              <w:spacing w:before="66"/>
              <w:ind w:right="134"/>
              <w:jc w:val="center"/>
              <w:rPr>
                <w:b/>
                <w:sz w:val="18"/>
              </w:rPr>
            </w:pPr>
            <w:r>
              <w:rPr>
                <w:b/>
                <w:w w:val="99"/>
                <w:sz w:val="18"/>
              </w:rPr>
              <w:t>$</w:t>
            </w:r>
          </w:p>
        </w:tc>
        <w:tc>
          <w:tcPr>
            <w:tcW w:w="1189" w:type="dxa"/>
          </w:tcPr>
          <w:p>
            <w:pPr>
              <w:pStyle w:val="TableParagraph"/>
              <w:spacing w:line="206" w:lineRule="exact"/>
              <w:ind w:left="307" w:right="440"/>
              <w:jc w:val="center"/>
              <w:rPr>
                <w:b/>
                <w:sz w:val="18"/>
              </w:rPr>
            </w:pPr>
            <w:r>
              <w:rPr>
                <w:b/>
                <w:sz w:val="18"/>
              </w:rPr>
              <w:t>2015</w:t>
            </w:r>
          </w:p>
          <w:p>
            <w:pPr>
              <w:pStyle w:val="TableParagraph"/>
              <w:spacing w:before="66"/>
              <w:ind w:right="134"/>
              <w:jc w:val="center"/>
              <w:rPr>
                <w:b/>
                <w:sz w:val="18"/>
              </w:rPr>
            </w:pPr>
            <w:r>
              <w:rPr>
                <w:b/>
                <w:w w:val="99"/>
                <w:sz w:val="18"/>
              </w:rPr>
              <w:t>$</w:t>
            </w:r>
          </w:p>
        </w:tc>
      </w:tr>
      <w:tr>
        <w:trPr>
          <w:trHeight w:val="721" w:hRule="exact"/>
        </w:trPr>
        <w:tc>
          <w:tcPr>
            <w:tcW w:w="433" w:type="dxa"/>
          </w:tcPr>
          <w:p>
            <w:pPr>
              <w:pStyle w:val="TableParagraph"/>
              <w:spacing w:before="11"/>
              <w:jc w:val="left"/>
              <w:rPr>
                <w:b/>
                <w:sz w:val="20"/>
              </w:rPr>
            </w:pPr>
          </w:p>
          <w:p>
            <w:pPr>
              <w:pStyle w:val="TableParagraph"/>
              <w:ind w:left="35"/>
              <w:jc w:val="left"/>
              <w:rPr>
                <w:b/>
                <w:sz w:val="18"/>
              </w:rPr>
            </w:pPr>
            <w:r>
              <w:rPr>
                <w:b/>
                <w:sz w:val="18"/>
              </w:rPr>
              <w:t>(d)</w:t>
            </w:r>
          </w:p>
        </w:tc>
        <w:tc>
          <w:tcPr>
            <w:tcW w:w="6528" w:type="dxa"/>
          </w:tcPr>
          <w:p>
            <w:pPr>
              <w:pStyle w:val="TableParagraph"/>
              <w:spacing w:before="11"/>
              <w:jc w:val="left"/>
              <w:rPr>
                <w:b/>
                <w:sz w:val="20"/>
              </w:rPr>
            </w:pPr>
          </w:p>
          <w:p>
            <w:pPr>
              <w:pStyle w:val="TableParagraph"/>
              <w:ind w:left="167"/>
              <w:jc w:val="left"/>
              <w:rPr>
                <w:sz w:val="18"/>
              </w:rPr>
            </w:pPr>
            <w:r>
              <w:rPr>
                <w:sz w:val="18"/>
              </w:rPr>
              <w:t>Loans from the ultimate parent entity</w:t>
            </w:r>
          </w:p>
        </w:tc>
        <w:tc>
          <w:tcPr>
            <w:tcW w:w="1403" w:type="dxa"/>
          </w:tcPr>
          <w:p>
            <w:pPr/>
          </w:p>
        </w:tc>
        <w:tc>
          <w:tcPr>
            <w:tcW w:w="1189" w:type="dxa"/>
          </w:tcPr>
          <w:p>
            <w:pPr/>
          </w:p>
        </w:tc>
      </w:tr>
      <w:tr>
        <w:trPr>
          <w:trHeight w:val="500" w:hRule="exact"/>
        </w:trPr>
        <w:tc>
          <w:tcPr>
            <w:tcW w:w="433" w:type="dxa"/>
          </w:tcPr>
          <w:p>
            <w:pPr/>
          </w:p>
        </w:tc>
        <w:tc>
          <w:tcPr>
            <w:tcW w:w="6528" w:type="dxa"/>
          </w:tcPr>
          <w:p>
            <w:pPr>
              <w:pStyle w:val="TableParagraph"/>
              <w:spacing w:before="3"/>
              <w:jc w:val="left"/>
              <w:rPr>
                <w:b/>
                <w:sz w:val="22"/>
              </w:rPr>
            </w:pPr>
          </w:p>
          <w:p>
            <w:pPr>
              <w:pStyle w:val="TableParagraph"/>
              <w:ind w:left="167"/>
              <w:jc w:val="left"/>
              <w:rPr>
                <w:sz w:val="18"/>
              </w:rPr>
            </w:pPr>
            <w:r>
              <w:rPr>
                <w:sz w:val="18"/>
              </w:rPr>
              <w:t>Beginning of the year</w:t>
            </w:r>
          </w:p>
        </w:tc>
        <w:tc>
          <w:tcPr>
            <w:tcW w:w="1403" w:type="dxa"/>
          </w:tcPr>
          <w:p>
            <w:pPr>
              <w:pStyle w:val="TableParagraph"/>
              <w:spacing w:before="1"/>
              <w:jc w:val="left"/>
              <w:rPr>
                <w:b/>
                <w:sz w:val="22"/>
              </w:rPr>
            </w:pPr>
          </w:p>
          <w:p>
            <w:pPr>
              <w:pStyle w:val="TableParagraph"/>
              <w:ind w:left="400"/>
              <w:jc w:val="left"/>
              <w:rPr>
                <w:b/>
                <w:sz w:val="18"/>
              </w:rPr>
            </w:pPr>
            <w:r>
              <w:rPr>
                <w:b/>
                <w:sz w:val="18"/>
              </w:rPr>
              <w:t>5,010,493</w:t>
            </w:r>
          </w:p>
        </w:tc>
        <w:tc>
          <w:tcPr>
            <w:tcW w:w="1189" w:type="dxa"/>
          </w:tcPr>
          <w:p>
            <w:pPr>
              <w:pStyle w:val="TableParagraph"/>
              <w:spacing w:before="1"/>
              <w:jc w:val="left"/>
              <w:rPr>
                <w:b/>
                <w:sz w:val="22"/>
              </w:rPr>
            </w:pPr>
          </w:p>
          <w:p>
            <w:pPr>
              <w:pStyle w:val="TableParagraph"/>
              <w:ind w:right="84"/>
              <w:rPr>
                <w:sz w:val="18"/>
              </w:rPr>
            </w:pPr>
            <w:r>
              <w:rPr>
                <w:w w:val="95"/>
                <w:sz w:val="18"/>
              </w:rPr>
              <w:t>3,532,365</w:t>
            </w:r>
          </w:p>
        </w:tc>
      </w:tr>
      <w:tr>
        <w:trPr>
          <w:trHeight w:val="264" w:hRule="exact"/>
        </w:trPr>
        <w:tc>
          <w:tcPr>
            <w:tcW w:w="433" w:type="dxa"/>
          </w:tcPr>
          <w:p>
            <w:pPr/>
          </w:p>
        </w:tc>
        <w:tc>
          <w:tcPr>
            <w:tcW w:w="6528" w:type="dxa"/>
          </w:tcPr>
          <w:p>
            <w:pPr>
              <w:pStyle w:val="TableParagraph"/>
              <w:spacing w:before="20"/>
              <w:ind w:left="167"/>
              <w:jc w:val="left"/>
              <w:rPr>
                <w:sz w:val="18"/>
              </w:rPr>
            </w:pPr>
            <w:r>
              <w:rPr>
                <w:sz w:val="18"/>
              </w:rPr>
              <w:t>Loans advanced</w:t>
            </w:r>
          </w:p>
        </w:tc>
        <w:tc>
          <w:tcPr>
            <w:tcW w:w="1403" w:type="dxa"/>
          </w:tcPr>
          <w:p>
            <w:pPr>
              <w:pStyle w:val="TableParagraph"/>
              <w:spacing w:before="18"/>
              <w:ind w:left="400"/>
              <w:jc w:val="left"/>
              <w:rPr>
                <w:b/>
                <w:sz w:val="18"/>
              </w:rPr>
            </w:pPr>
            <w:r>
              <w:rPr>
                <w:b/>
                <w:sz w:val="18"/>
              </w:rPr>
              <w:t>1,599,712</w:t>
            </w:r>
          </w:p>
        </w:tc>
        <w:tc>
          <w:tcPr>
            <w:tcW w:w="1189" w:type="dxa"/>
          </w:tcPr>
          <w:p>
            <w:pPr>
              <w:pStyle w:val="TableParagraph"/>
              <w:spacing w:before="18"/>
              <w:ind w:right="84"/>
              <w:rPr>
                <w:sz w:val="18"/>
              </w:rPr>
            </w:pPr>
            <w:r>
              <w:rPr>
                <w:w w:val="95"/>
                <w:sz w:val="18"/>
              </w:rPr>
              <w:t>11,855,000</w:t>
            </w:r>
          </w:p>
        </w:tc>
      </w:tr>
      <w:tr>
        <w:trPr>
          <w:trHeight w:val="264" w:hRule="exact"/>
        </w:trPr>
        <w:tc>
          <w:tcPr>
            <w:tcW w:w="433" w:type="dxa"/>
          </w:tcPr>
          <w:p>
            <w:pPr/>
          </w:p>
        </w:tc>
        <w:tc>
          <w:tcPr>
            <w:tcW w:w="6528" w:type="dxa"/>
          </w:tcPr>
          <w:p>
            <w:pPr>
              <w:pStyle w:val="TableParagraph"/>
              <w:spacing w:before="20"/>
              <w:ind w:left="167"/>
              <w:jc w:val="left"/>
              <w:rPr>
                <w:sz w:val="18"/>
              </w:rPr>
            </w:pPr>
            <w:r>
              <w:rPr>
                <w:sz w:val="18"/>
              </w:rPr>
              <w:t>Interest charged</w:t>
            </w:r>
          </w:p>
        </w:tc>
        <w:tc>
          <w:tcPr>
            <w:tcW w:w="1403" w:type="dxa"/>
          </w:tcPr>
          <w:p>
            <w:pPr>
              <w:pStyle w:val="TableParagraph"/>
              <w:spacing w:before="18"/>
              <w:ind w:right="193"/>
              <w:rPr>
                <w:b/>
                <w:sz w:val="18"/>
              </w:rPr>
            </w:pPr>
            <w:r>
              <w:rPr>
                <w:b/>
                <w:w w:val="95"/>
                <w:sz w:val="18"/>
              </w:rPr>
              <w:t>199,317</w:t>
            </w:r>
          </w:p>
        </w:tc>
        <w:tc>
          <w:tcPr>
            <w:tcW w:w="1189" w:type="dxa"/>
          </w:tcPr>
          <w:p>
            <w:pPr>
              <w:pStyle w:val="TableParagraph"/>
              <w:spacing w:before="18"/>
              <w:ind w:right="24"/>
              <w:rPr>
                <w:sz w:val="18"/>
              </w:rPr>
            </w:pPr>
            <w:r>
              <w:rPr>
                <w:w w:val="95"/>
                <w:sz w:val="18"/>
              </w:rPr>
              <w:t>(10,502,763)</w:t>
            </w:r>
          </w:p>
        </w:tc>
      </w:tr>
      <w:tr>
        <w:trPr>
          <w:trHeight w:val="260" w:hRule="exact"/>
        </w:trPr>
        <w:tc>
          <w:tcPr>
            <w:tcW w:w="433" w:type="dxa"/>
          </w:tcPr>
          <w:p>
            <w:pPr/>
          </w:p>
        </w:tc>
        <w:tc>
          <w:tcPr>
            <w:tcW w:w="6528" w:type="dxa"/>
          </w:tcPr>
          <w:p>
            <w:pPr>
              <w:pStyle w:val="TableParagraph"/>
              <w:spacing w:before="20"/>
              <w:ind w:left="167"/>
              <w:jc w:val="left"/>
              <w:rPr>
                <w:sz w:val="18"/>
              </w:rPr>
            </w:pPr>
            <w:bookmarkStart w:name="Economic dependency" w:id="305"/>
            <w:bookmarkEnd w:id="305"/>
            <w:r>
              <w:rPr/>
            </w:r>
            <w:r>
              <w:rPr>
                <w:sz w:val="18"/>
              </w:rPr>
              <w:t>Loan repayment</w:t>
            </w:r>
          </w:p>
        </w:tc>
        <w:tc>
          <w:tcPr>
            <w:tcW w:w="1403" w:type="dxa"/>
            <w:tcBorders>
              <w:bottom w:val="single" w:sz="1" w:space="0" w:color="000000"/>
            </w:tcBorders>
          </w:tcPr>
          <w:p>
            <w:pPr>
              <w:pStyle w:val="TableParagraph"/>
              <w:spacing w:before="18"/>
              <w:ind w:right="133"/>
              <w:rPr>
                <w:b/>
                <w:sz w:val="18"/>
              </w:rPr>
            </w:pPr>
            <w:r>
              <w:rPr>
                <w:b/>
                <w:w w:val="95"/>
                <w:sz w:val="18"/>
              </w:rPr>
              <w:t>(1,191,115)</w:t>
            </w:r>
          </w:p>
        </w:tc>
        <w:tc>
          <w:tcPr>
            <w:tcW w:w="1189" w:type="dxa"/>
            <w:tcBorders>
              <w:bottom w:val="single" w:sz="1" w:space="0" w:color="000000"/>
            </w:tcBorders>
          </w:tcPr>
          <w:p>
            <w:pPr>
              <w:pStyle w:val="TableParagraph"/>
              <w:spacing w:before="18"/>
              <w:ind w:right="84"/>
              <w:rPr>
                <w:sz w:val="18"/>
              </w:rPr>
            </w:pPr>
            <w:r>
              <w:rPr>
                <w:w w:val="95"/>
                <w:sz w:val="18"/>
              </w:rPr>
              <w:t>125,891</w:t>
            </w:r>
          </w:p>
        </w:tc>
      </w:tr>
      <w:tr>
        <w:trPr>
          <w:trHeight w:val="353" w:hRule="exact"/>
        </w:trPr>
        <w:tc>
          <w:tcPr>
            <w:tcW w:w="433" w:type="dxa"/>
          </w:tcPr>
          <w:p>
            <w:pPr/>
          </w:p>
        </w:tc>
        <w:tc>
          <w:tcPr>
            <w:tcW w:w="6528" w:type="dxa"/>
          </w:tcPr>
          <w:p>
            <w:pPr>
              <w:pStyle w:val="TableParagraph"/>
              <w:spacing w:before="98"/>
              <w:ind w:left="167"/>
              <w:jc w:val="left"/>
              <w:rPr>
                <w:sz w:val="18"/>
              </w:rPr>
            </w:pPr>
            <w:r>
              <w:rPr>
                <w:sz w:val="18"/>
              </w:rPr>
              <w:t>End of the year</w:t>
            </w:r>
          </w:p>
        </w:tc>
        <w:tc>
          <w:tcPr>
            <w:tcW w:w="1403" w:type="dxa"/>
            <w:tcBorders>
              <w:top w:val="single" w:sz="1" w:space="0" w:color="000000"/>
              <w:bottom w:val="single" w:sz="1" w:space="0" w:color="000000"/>
            </w:tcBorders>
          </w:tcPr>
          <w:p>
            <w:pPr>
              <w:pStyle w:val="TableParagraph"/>
              <w:spacing w:before="124"/>
              <w:ind w:left="400"/>
              <w:jc w:val="left"/>
              <w:rPr>
                <w:b/>
                <w:sz w:val="18"/>
              </w:rPr>
            </w:pPr>
            <w:r>
              <w:rPr>
                <w:b/>
                <w:sz w:val="18"/>
              </w:rPr>
              <w:t>5,618,407</w:t>
            </w:r>
          </w:p>
        </w:tc>
        <w:tc>
          <w:tcPr>
            <w:tcW w:w="1189" w:type="dxa"/>
            <w:tcBorders>
              <w:top w:val="single" w:sz="1" w:space="0" w:color="000000"/>
              <w:bottom w:val="single" w:sz="1" w:space="0" w:color="000000"/>
            </w:tcBorders>
          </w:tcPr>
          <w:p>
            <w:pPr>
              <w:pStyle w:val="TableParagraph"/>
              <w:spacing w:before="124"/>
              <w:ind w:right="84"/>
              <w:rPr>
                <w:sz w:val="18"/>
              </w:rPr>
            </w:pPr>
            <w:r>
              <w:rPr>
                <w:w w:val="95"/>
                <w:sz w:val="18"/>
              </w:rPr>
              <w:t>5,010,493</w:t>
            </w:r>
          </w:p>
        </w:tc>
      </w:tr>
    </w:tbl>
    <w:p>
      <w:pPr>
        <w:pStyle w:val="BodyText"/>
        <w:rPr>
          <w:b/>
          <w:sz w:val="20"/>
        </w:rPr>
      </w:pPr>
    </w:p>
    <w:p>
      <w:pPr>
        <w:pStyle w:val="BodyText"/>
        <w:rPr>
          <w:b/>
          <w:sz w:val="20"/>
        </w:rPr>
      </w:pPr>
    </w:p>
    <w:p>
      <w:pPr>
        <w:pStyle w:val="BodyText"/>
        <w:spacing w:before="5"/>
        <w:rPr>
          <w:b/>
          <w:sz w:val="23"/>
        </w:rPr>
      </w:pPr>
    </w:p>
    <w:p>
      <w:pPr>
        <w:pStyle w:val="Heading8"/>
        <w:numPr>
          <w:ilvl w:val="0"/>
          <w:numId w:val="65"/>
        </w:numPr>
        <w:tabs>
          <w:tab w:pos="1824" w:val="left" w:leader="none"/>
        </w:tabs>
        <w:spacing w:line="240" w:lineRule="auto" w:before="77" w:after="0"/>
        <w:ind w:left="1824" w:right="0" w:hanging="394"/>
        <w:jc w:val="left"/>
      </w:pPr>
      <w:r>
        <w:rPr/>
        <w:t>Economic</w:t>
      </w:r>
      <w:r>
        <w:rPr>
          <w:spacing w:val="1"/>
        </w:rPr>
        <w:t> </w:t>
      </w:r>
      <w:r>
        <w:rPr/>
        <w:t>dependency</w:t>
      </w:r>
    </w:p>
    <w:p>
      <w:pPr>
        <w:pStyle w:val="BodyText"/>
        <w:spacing w:before="11"/>
        <w:rPr>
          <w:b/>
          <w:sz w:val="24"/>
        </w:rPr>
      </w:pPr>
    </w:p>
    <w:p>
      <w:pPr>
        <w:pStyle w:val="BodyText"/>
        <w:ind w:left="1823" w:right="1375"/>
      </w:pPr>
      <w:r>
        <w:rPr/>
        <w:t>The Company is economically dependant on Western Sydney University for the provision of office accommodation and support activities.</w:t>
      </w:r>
    </w:p>
    <w:p>
      <w:pPr>
        <w:pStyle w:val="BodyText"/>
        <w:spacing w:before="11"/>
        <w:rPr>
          <w:sz w:val="24"/>
        </w:rPr>
      </w:pPr>
    </w:p>
    <w:p>
      <w:pPr>
        <w:pStyle w:val="BodyText"/>
        <w:ind w:left="1823" w:right="1482"/>
      </w:pPr>
      <w:r>
        <w:rPr/>
        <w:t>The Company, as a wholly owned entity of Western Sydney University, received $1,994,063 in direct funding in 2016 for University services.</w:t>
      </w:r>
    </w:p>
    <w:p>
      <w:pPr>
        <w:pStyle w:val="BodyText"/>
        <w:spacing w:before="11"/>
        <w:rPr>
          <w:sz w:val="24"/>
        </w:rPr>
      </w:pPr>
    </w:p>
    <w:p>
      <w:pPr>
        <w:pStyle w:val="BodyText"/>
        <w:ind w:left="1823" w:right="1375"/>
      </w:pPr>
      <w:r>
        <w:rPr/>
        <w:drawing>
          <wp:anchor distT="0" distB="0" distL="0" distR="0" allowOverlap="1" layoutInCell="1" locked="0" behindDoc="0" simplePos="0" relativeHeight="11512">
            <wp:simplePos x="0" y="0"/>
            <wp:positionH relativeFrom="page">
              <wp:posOffset>-1587</wp:posOffset>
            </wp:positionH>
            <wp:positionV relativeFrom="paragraph">
              <wp:posOffset>5256</wp:posOffset>
            </wp:positionV>
            <wp:extent cx="136525" cy="155575"/>
            <wp:effectExtent l="0" t="0" r="0" b="0"/>
            <wp:wrapNone/>
            <wp:docPr id="751" name="image13.png" descr=""/>
            <wp:cNvGraphicFramePr>
              <a:graphicFrameLocks noChangeAspect="1"/>
            </wp:cNvGraphicFramePr>
            <a:graphic>
              <a:graphicData uri="http://schemas.openxmlformats.org/drawingml/2006/picture">
                <pic:pic>
                  <pic:nvPicPr>
                    <pic:cNvPr id="752" name="image13.png"/>
                    <pic:cNvPicPr/>
                  </pic:nvPicPr>
                  <pic:blipFill>
                    <a:blip r:embed="rId18" cstate="print"/>
                    <a:stretch>
                      <a:fillRect/>
                    </a:stretch>
                  </pic:blipFill>
                  <pic:spPr>
                    <a:xfrm>
                      <a:off x="0" y="0"/>
                      <a:ext cx="136525" cy="155575"/>
                    </a:xfrm>
                    <a:prstGeom prst="rect">
                      <a:avLst/>
                    </a:prstGeom>
                  </pic:spPr>
                </pic:pic>
              </a:graphicData>
            </a:graphic>
          </wp:anchor>
        </w:drawing>
      </w:r>
      <w:r>
        <w:rPr/>
        <w:drawing>
          <wp:anchor distT="0" distB="0" distL="0" distR="0" allowOverlap="1" layoutInCell="1" locked="0" behindDoc="0" simplePos="0" relativeHeight="11536">
            <wp:simplePos x="0" y="0"/>
            <wp:positionH relativeFrom="page">
              <wp:posOffset>7958429</wp:posOffset>
            </wp:positionH>
            <wp:positionV relativeFrom="paragraph">
              <wp:posOffset>5256</wp:posOffset>
            </wp:positionV>
            <wp:extent cx="135953" cy="155575"/>
            <wp:effectExtent l="0" t="0" r="0" b="0"/>
            <wp:wrapNone/>
            <wp:docPr id="753" name="image15.png" descr=""/>
            <wp:cNvGraphicFramePr>
              <a:graphicFrameLocks noChangeAspect="1"/>
            </wp:cNvGraphicFramePr>
            <a:graphic>
              <a:graphicData uri="http://schemas.openxmlformats.org/drawingml/2006/picture">
                <pic:pic>
                  <pic:nvPicPr>
                    <pic:cNvPr id="754" name="image15.png"/>
                    <pic:cNvPicPr/>
                  </pic:nvPicPr>
                  <pic:blipFill>
                    <a:blip r:embed="rId20" cstate="print"/>
                    <a:stretch>
                      <a:fillRect/>
                    </a:stretch>
                  </pic:blipFill>
                  <pic:spPr>
                    <a:xfrm>
                      <a:off x="0" y="0"/>
                      <a:ext cx="135953" cy="155575"/>
                    </a:xfrm>
                    <a:prstGeom prst="rect">
                      <a:avLst/>
                    </a:prstGeom>
                  </pic:spPr>
                </pic:pic>
              </a:graphicData>
            </a:graphic>
          </wp:anchor>
        </w:drawing>
      </w:r>
      <w:r>
        <w:rPr/>
        <w:t>Funding for 2017 has been approved for $2,215,600 for the purpose of providing food, beverages, health awareness services, campus life activities and events.</w:t>
      </w:r>
    </w:p>
    <w:p>
      <w:pPr>
        <w:pStyle w:val="BodyText"/>
        <w:spacing w:before="11"/>
        <w:rPr>
          <w:sz w:val="24"/>
        </w:rPr>
      </w:pPr>
    </w:p>
    <w:p>
      <w:pPr>
        <w:pStyle w:val="BodyText"/>
        <w:ind w:left="1823" w:right="1375"/>
      </w:pPr>
      <w:r>
        <w:rPr/>
        <w:t>In addition there is support and funding for community services and clubs from the parent entity Western Sydney University (refer to Note 3).</w:t>
      </w:r>
    </w:p>
    <w:p>
      <w:pPr>
        <w:pStyle w:val="BodyText"/>
        <w:spacing w:before="11"/>
        <w:rPr>
          <w:sz w:val="24"/>
        </w:rPr>
      </w:pPr>
    </w:p>
    <w:p>
      <w:pPr>
        <w:pStyle w:val="BodyText"/>
        <w:ind w:left="1823" w:right="2033"/>
      </w:pPr>
      <w:r>
        <w:rPr/>
        <w:t>Further all borrowings are from the Parent Entity as mentioned in Note 21 (d), with funding limited to day to day working capital.</w:t>
      </w:r>
    </w:p>
    <w:p>
      <w:pPr>
        <w:pStyle w:val="BodyText"/>
        <w:spacing w:before="11"/>
        <w:rPr>
          <w:sz w:val="24"/>
        </w:rPr>
      </w:pPr>
    </w:p>
    <w:p>
      <w:pPr>
        <w:pStyle w:val="BodyText"/>
        <w:ind w:left="1823" w:right="1375"/>
      </w:pPr>
      <w:bookmarkStart w:name="23 Events occurring after the reporting " w:id="306"/>
      <w:bookmarkEnd w:id="306"/>
      <w:r>
        <w:rPr/>
      </w:r>
      <w:r>
        <w:rPr/>
        <w:t>Therefore management believes that the Company will continue as a going concern and a Letter of Support has been provided by Western Sydney University.</w:t>
      </w:r>
    </w:p>
    <w:p>
      <w:pPr>
        <w:pStyle w:val="BodyText"/>
        <w:spacing w:before="11"/>
        <w:rPr>
          <w:sz w:val="24"/>
        </w:rPr>
      </w:pPr>
    </w:p>
    <w:p>
      <w:pPr>
        <w:pStyle w:val="Heading8"/>
        <w:numPr>
          <w:ilvl w:val="0"/>
          <w:numId w:val="65"/>
        </w:numPr>
        <w:tabs>
          <w:tab w:pos="1824" w:val="left" w:leader="none"/>
        </w:tabs>
        <w:spacing w:line="240" w:lineRule="auto" w:before="0" w:after="0"/>
        <w:ind w:left="1824" w:right="0" w:hanging="394"/>
        <w:jc w:val="left"/>
      </w:pPr>
      <w:r>
        <w:rPr/>
        <w:t>Events occurring after the reporting</w:t>
      </w:r>
      <w:r>
        <w:rPr>
          <w:spacing w:val="-1"/>
        </w:rPr>
        <w:t> </w:t>
      </w:r>
      <w:r>
        <w:rPr/>
        <w:t>period</w:t>
      </w:r>
    </w:p>
    <w:p>
      <w:pPr>
        <w:pStyle w:val="BodyText"/>
        <w:spacing w:before="11"/>
        <w:rPr>
          <w:b/>
          <w:sz w:val="24"/>
        </w:rPr>
      </w:pPr>
    </w:p>
    <w:p>
      <w:pPr>
        <w:pStyle w:val="BodyText"/>
        <w:ind w:left="1824"/>
      </w:pPr>
      <w:r>
        <w:rPr/>
        <w:t>There are no events after the balance sheet date of which the Directors are aware of (2015 $Nil).</w:t>
      </w:r>
    </w:p>
    <w:p>
      <w:pPr>
        <w:spacing w:after="0"/>
        <w:sectPr>
          <w:pgSz w:w="12750" w:h="17680"/>
          <w:pgMar w:header="0" w:footer="867" w:top="1880" w:bottom="1120" w:left="0" w:right="0"/>
        </w:sectPr>
      </w:pPr>
    </w:p>
    <w:p>
      <w:pPr>
        <w:pStyle w:val="BodyText"/>
        <w:spacing w:before="1"/>
        <w:rPr>
          <w:sz w:val="24"/>
        </w:rPr>
      </w:pPr>
    </w:p>
    <w:p>
      <w:pPr>
        <w:pStyle w:val="Heading4"/>
        <w:spacing w:before="65"/>
      </w:pPr>
      <w:bookmarkStart w:name="24 Reconciliation of operating surplus/(" w:id="307"/>
      <w:bookmarkEnd w:id="307"/>
      <w:r>
        <w:rPr>
          <w:b w:val="0"/>
        </w:rPr>
      </w:r>
      <w:r>
        <w:rPr/>
        <w:t>Notes to the Financial Statements</w:t>
      </w:r>
    </w:p>
    <w:p>
      <w:pPr>
        <w:pStyle w:val="Heading7"/>
        <w:spacing w:before="53"/>
      </w:pPr>
      <w:r>
        <w:rPr/>
        <w:t>For the Year Ended 31 December 2016</w:t>
      </w:r>
    </w:p>
    <w:p>
      <w:pPr>
        <w:pStyle w:val="BodyText"/>
        <w:spacing w:before="1"/>
        <w:rPr>
          <w:b/>
          <w:sz w:val="25"/>
        </w:rPr>
      </w:pPr>
    </w:p>
    <w:p>
      <w:pPr>
        <w:pStyle w:val="Heading8"/>
        <w:numPr>
          <w:ilvl w:val="0"/>
          <w:numId w:val="65"/>
        </w:numPr>
        <w:tabs>
          <w:tab w:pos="1824" w:val="left" w:leader="none"/>
        </w:tabs>
        <w:spacing w:line="240" w:lineRule="auto" w:before="0" w:after="0"/>
        <w:ind w:left="1824" w:right="0" w:hanging="394"/>
        <w:jc w:val="left"/>
      </w:pPr>
      <w:r>
        <w:rPr/>
        <w:t>Reconciliation of operating surplus/(deficit) to net cash flows from operating activities</w:t>
      </w:r>
    </w:p>
    <w:p>
      <w:pPr>
        <w:pStyle w:val="BodyText"/>
        <w:rPr>
          <w:b/>
          <w:sz w:val="20"/>
        </w:rPr>
      </w:pPr>
    </w:p>
    <w:p>
      <w:pPr>
        <w:pStyle w:val="BodyText"/>
        <w:spacing w:before="1" w:after="1"/>
        <w:rPr>
          <w:b/>
          <w:sz w:val="19"/>
        </w:rPr>
      </w:pPr>
    </w:p>
    <w:tbl>
      <w:tblPr>
        <w:tblW w:w="0" w:type="auto"/>
        <w:jc w:val="left"/>
        <w:tblInd w:w="178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961"/>
        <w:gridCol w:w="1453"/>
        <w:gridCol w:w="1139"/>
      </w:tblGrid>
      <w:tr>
        <w:trPr>
          <w:trHeight w:val="863" w:hRule="exact"/>
        </w:trPr>
        <w:tc>
          <w:tcPr>
            <w:tcW w:w="6961" w:type="dxa"/>
          </w:tcPr>
          <w:p>
            <w:pPr>
              <w:pStyle w:val="TableParagraph"/>
              <w:jc w:val="left"/>
              <w:rPr>
                <w:b/>
                <w:sz w:val="18"/>
              </w:rPr>
            </w:pPr>
          </w:p>
          <w:p>
            <w:pPr>
              <w:pStyle w:val="TableParagraph"/>
              <w:jc w:val="left"/>
              <w:rPr>
                <w:b/>
                <w:sz w:val="18"/>
              </w:rPr>
            </w:pPr>
          </w:p>
          <w:p>
            <w:pPr>
              <w:pStyle w:val="TableParagraph"/>
              <w:spacing w:before="7"/>
              <w:jc w:val="left"/>
              <w:rPr>
                <w:b/>
                <w:sz w:val="17"/>
              </w:rPr>
            </w:pPr>
          </w:p>
          <w:p>
            <w:pPr>
              <w:pStyle w:val="TableParagraph"/>
              <w:ind w:left="35"/>
              <w:jc w:val="left"/>
              <w:rPr>
                <w:sz w:val="18"/>
              </w:rPr>
            </w:pPr>
            <w:r>
              <w:rPr>
                <w:sz w:val="18"/>
              </w:rPr>
              <w:t>Operating deficit for the year</w:t>
            </w:r>
          </w:p>
        </w:tc>
        <w:tc>
          <w:tcPr>
            <w:tcW w:w="1453" w:type="dxa"/>
          </w:tcPr>
          <w:p>
            <w:pPr>
              <w:pStyle w:val="TableParagraph"/>
              <w:spacing w:before="77"/>
              <w:ind w:left="444" w:right="172"/>
              <w:jc w:val="left"/>
              <w:rPr>
                <w:b/>
                <w:sz w:val="18"/>
              </w:rPr>
            </w:pPr>
            <w:r>
              <w:rPr>
                <w:b/>
                <w:sz w:val="18"/>
              </w:rPr>
              <w:t>2016</w:t>
            </w:r>
          </w:p>
          <w:p>
            <w:pPr>
              <w:pStyle w:val="TableParagraph"/>
              <w:spacing w:line="312" w:lineRule="auto" w:before="66"/>
              <w:ind w:left="340" w:right="172" w:firstLine="254"/>
              <w:jc w:val="left"/>
              <w:rPr>
                <w:b/>
                <w:sz w:val="18"/>
              </w:rPr>
            </w:pPr>
            <w:r>
              <w:rPr>
                <w:b/>
                <w:sz w:val="18"/>
              </w:rPr>
              <w:t>$ (1,554,492)</w:t>
            </w:r>
          </w:p>
        </w:tc>
        <w:tc>
          <w:tcPr>
            <w:tcW w:w="1139" w:type="dxa"/>
          </w:tcPr>
          <w:p>
            <w:pPr>
              <w:pStyle w:val="TableParagraph"/>
              <w:spacing w:before="77"/>
              <w:ind w:left="257" w:right="441"/>
              <w:jc w:val="center"/>
              <w:rPr>
                <w:b/>
                <w:sz w:val="18"/>
              </w:rPr>
            </w:pPr>
            <w:r>
              <w:rPr>
                <w:b/>
                <w:sz w:val="18"/>
              </w:rPr>
              <w:t>2015</w:t>
            </w:r>
          </w:p>
          <w:p>
            <w:pPr>
              <w:pStyle w:val="TableParagraph"/>
              <w:spacing w:before="66"/>
              <w:ind w:right="184"/>
              <w:jc w:val="center"/>
              <w:rPr>
                <w:b/>
                <w:sz w:val="18"/>
              </w:rPr>
            </w:pPr>
            <w:r>
              <w:rPr>
                <w:b/>
                <w:w w:val="99"/>
                <w:sz w:val="18"/>
              </w:rPr>
              <w:t>$</w:t>
            </w:r>
          </w:p>
          <w:p>
            <w:pPr>
              <w:pStyle w:val="TableParagraph"/>
              <w:spacing w:before="62"/>
              <w:ind w:left="185"/>
              <w:jc w:val="left"/>
              <w:rPr>
                <w:sz w:val="18"/>
              </w:rPr>
            </w:pPr>
            <w:r>
              <w:rPr>
                <w:sz w:val="18"/>
              </w:rPr>
              <w:t>(1,919,693)</w:t>
            </w:r>
          </w:p>
        </w:tc>
      </w:tr>
      <w:tr>
        <w:trPr>
          <w:trHeight w:val="264" w:hRule="exact"/>
        </w:trPr>
        <w:tc>
          <w:tcPr>
            <w:tcW w:w="6961" w:type="dxa"/>
          </w:tcPr>
          <w:p>
            <w:pPr>
              <w:pStyle w:val="TableParagraph"/>
              <w:spacing w:before="18"/>
              <w:ind w:left="248"/>
              <w:jc w:val="left"/>
              <w:rPr>
                <w:sz w:val="18"/>
              </w:rPr>
            </w:pPr>
            <w:r>
              <w:rPr>
                <w:sz w:val="18"/>
              </w:rPr>
              <w:t>Depreciation and amortisation</w:t>
            </w:r>
          </w:p>
        </w:tc>
        <w:tc>
          <w:tcPr>
            <w:tcW w:w="1453" w:type="dxa"/>
          </w:tcPr>
          <w:p>
            <w:pPr>
              <w:pStyle w:val="TableParagraph"/>
              <w:spacing w:before="20"/>
              <w:ind w:right="244"/>
              <w:rPr>
                <w:b/>
                <w:sz w:val="18"/>
              </w:rPr>
            </w:pPr>
            <w:r>
              <w:rPr>
                <w:b/>
                <w:w w:val="95"/>
                <w:sz w:val="18"/>
              </w:rPr>
              <w:t>58,966</w:t>
            </w:r>
          </w:p>
        </w:tc>
        <w:tc>
          <w:tcPr>
            <w:tcW w:w="1139" w:type="dxa"/>
          </w:tcPr>
          <w:p>
            <w:pPr>
              <w:pStyle w:val="TableParagraph"/>
              <w:spacing w:before="20"/>
              <w:ind w:right="84"/>
              <w:rPr>
                <w:sz w:val="18"/>
              </w:rPr>
            </w:pPr>
            <w:r>
              <w:rPr>
                <w:w w:val="95"/>
                <w:sz w:val="18"/>
              </w:rPr>
              <w:t>99,317</w:t>
            </w:r>
          </w:p>
        </w:tc>
      </w:tr>
      <w:tr>
        <w:trPr>
          <w:trHeight w:val="264" w:hRule="exact"/>
        </w:trPr>
        <w:tc>
          <w:tcPr>
            <w:tcW w:w="6961" w:type="dxa"/>
          </w:tcPr>
          <w:p>
            <w:pPr>
              <w:pStyle w:val="TableParagraph"/>
              <w:spacing w:before="18"/>
              <w:ind w:left="248"/>
              <w:jc w:val="left"/>
              <w:rPr>
                <w:sz w:val="18"/>
              </w:rPr>
            </w:pPr>
            <w:r>
              <w:rPr>
                <w:sz w:val="18"/>
              </w:rPr>
              <w:t>Interest accrual</w:t>
            </w:r>
          </w:p>
        </w:tc>
        <w:tc>
          <w:tcPr>
            <w:tcW w:w="1453" w:type="dxa"/>
          </w:tcPr>
          <w:p>
            <w:pPr>
              <w:pStyle w:val="TableParagraph"/>
              <w:spacing w:before="20"/>
              <w:ind w:right="385"/>
              <w:rPr>
                <w:b/>
                <w:sz w:val="18"/>
              </w:rPr>
            </w:pPr>
            <w:r>
              <w:rPr>
                <w:b/>
                <w:w w:val="99"/>
                <w:sz w:val="18"/>
              </w:rPr>
              <w:t>-</w:t>
            </w:r>
          </w:p>
        </w:tc>
        <w:tc>
          <w:tcPr>
            <w:tcW w:w="1139" w:type="dxa"/>
          </w:tcPr>
          <w:p>
            <w:pPr>
              <w:pStyle w:val="TableParagraph"/>
              <w:spacing w:before="20"/>
              <w:ind w:right="84"/>
              <w:rPr>
                <w:sz w:val="18"/>
              </w:rPr>
            </w:pPr>
            <w:r>
              <w:rPr>
                <w:w w:val="95"/>
                <w:sz w:val="18"/>
              </w:rPr>
              <w:t>125,891</w:t>
            </w:r>
          </w:p>
        </w:tc>
      </w:tr>
      <w:tr>
        <w:trPr>
          <w:trHeight w:val="264" w:hRule="exact"/>
        </w:trPr>
        <w:tc>
          <w:tcPr>
            <w:tcW w:w="6961" w:type="dxa"/>
          </w:tcPr>
          <w:p>
            <w:pPr>
              <w:pStyle w:val="TableParagraph"/>
              <w:spacing w:before="18"/>
              <w:ind w:left="248"/>
              <w:jc w:val="left"/>
              <w:rPr>
                <w:sz w:val="18"/>
              </w:rPr>
            </w:pPr>
            <w:r>
              <w:rPr>
                <w:sz w:val="18"/>
              </w:rPr>
              <w:t>Net (gain)/loss on sale of non-current assets</w:t>
            </w:r>
          </w:p>
        </w:tc>
        <w:tc>
          <w:tcPr>
            <w:tcW w:w="1453" w:type="dxa"/>
          </w:tcPr>
          <w:p>
            <w:pPr>
              <w:pStyle w:val="TableParagraph"/>
              <w:spacing w:before="20"/>
              <w:ind w:right="183"/>
              <w:rPr>
                <w:b/>
                <w:sz w:val="18"/>
              </w:rPr>
            </w:pPr>
            <w:r>
              <w:rPr>
                <w:b/>
                <w:w w:val="95"/>
                <w:sz w:val="18"/>
              </w:rPr>
              <w:t>(374,111)</w:t>
            </w:r>
          </w:p>
        </w:tc>
        <w:tc>
          <w:tcPr>
            <w:tcW w:w="1139" w:type="dxa"/>
          </w:tcPr>
          <w:p>
            <w:pPr>
              <w:pStyle w:val="TableParagraph"/>
              <w:spacing w:before="20"/>
              <w:ind w:right="24"/>
              <w:rPr>
                <w:sz w:val="18"/>
              </w:rPr>
            </w:pPr>
            <w:r>
              <w:rPr>
                <w:w w:val="95"/>
                <w:sz w:val="18"/>
              </w:rPr>
              <w:t>(14,409)</w:t>
            </w:r>
          </w:p>
        </w:tc>
      </w:tr>
      <w:tr>
        <w:trPr>
          <w:trHeight w:val="260" w:hRule="exact"/>
        </w:trPr>
        <w:tc>
          <w:tcPr>
            <w:tcW w:w="6961" w:type="dxa"/>
          </w:tcPr>
          <w:p>
            <w:pPr>
              <w:pStyle w:val="TableParagraph"/>
              <w:spacing w:before="18"/>
              <w:ind w:left="35"/>
              <w:jc w:val="left"/>
              <w:rPr>
                <w:sz w:val="18"/>
              </w:rPr>
            </w:pPr>
            <w:r>
              <w:rPr>
                <w:sz w:val="18"/>
              </w:rPr>
              <w:t>Changes in operating assets and liabilities</w:t>
            </w:r>
          </w:p>
        </w:tc>
        <w:tc>
          <w:tcPr>
            <w:tcW w:w="1453" w:type="dxa"/>
          </w:tcPr>
          <w:p>
            <w:pPr/>
          </w:p>
        </w:tc>
        <w:tc>
          <w:tcPr>
            <w:tcW w:w="1139" w:type="dxa"/>
          </w:tcPr>
          <w:p>
            <w:pPr/>
          </w:p>
        </w:tc>
      </w:tr>
      <w:tr>
        <w:trPr>
          <w:trHeight w:val="263" w:hRule="exact"/>
        </w:trPr>
        <w:tc>
          <w:tcPr>
            <w:tcW w:w="6961" w:type="dxa"/>
          </w:tcPr>
          <w:p>
            <w:pPr>
              <w:pStyle w:val="TableParagraph"/>
              <w:spacing w:before="16"/>
              <w:ind w:left="248"/>
              <w:jc w:val="left"/>
              <w:rPr>
                <w:sz w:val="18"/>
              </w:rPr>
            </w:pPr>
            <w:r>
              <w:rPr>
                <w:sz w:val="18"/>
              </w:rPr>
              <w:t>(Increase)/decrease in trade debtors</w:t>
            </w:r>
          </w:p>
        </w:tc>
        <w:tc>
          <w:tcPr>
            <w:tcW w:w="1453" w:type="dxa"/>
          </w:tcPr>
          <w:p>
            <w:pPr>
              <w:pStyle w:val="TableParagraph"/>
              <w:spacing w:before="19"/>
              <w:ind w:right="183"/>
              <w:rPr>
                <w:b/>
                <w:sz w:val="18"/>
              </w:rPr>
            </w:pPr>
            <w:r>
              <w:rPr>
                <w:b/>
                <w:w w:val="95"/>
                <w:sz w:val="18"/>
              </w:rPr>
              <w:t>(1,184,846)</w:t>
            </w:r>
          </w:p>
        </w:tc>
        <w:tc>
          <w:tcPr>
            <w:tcW w:w="1139" w:type="dxa"/>
          </w:tcPr>
          <w:p>
            <w:pPr>
              <w:pStyle w:val="TableParagraph"/>
              <w:spacing w:before="19"/>
              <w:ind w:right="84"/>
              <w:rPr>
                <w:sz w:val="18"/>
              </w:rPr>
            </w:pPr>
            <w:r>
              <w:rPr>
                <w:w w:val="95"/>
                <w:sz w:val="18"/>
              </w:rPr>
              <w:t>52,953</w:t>
            </w:r>
          </w:p>
        </w:tc>
      </w:tr>
      <w:tr>
        <w:trPr>
          <w:trHeight w:val="264" w:hRule="exact"/>
        </w:trPr>
        <w:tc>
          <w:tcPr>
            <w:tcW w:w="6961" w:type="dxa"/>
          </w:tcPr>
          <w:p>
            <w:pPr>
              <w:pStyle w:val="TableParagraph"/>
              <w:spacing w:before="18"/>
              <w:ind w:left="248"/>
              <w:jc w:val="left"/>
              <w:rPr>
                <w:sz w:val="18"/>
              </w:rPr>
            </w:pPr>
            <w:r>
              <w:rPr>
                <w:sz w:val="18"/>
              </w:rPr>
              <w:t>(Increase)/decrease in inventories</w:t>
            </w:r>
          </w:p>
        </w:tc>
        <w:tc>
          <w:tcPr>
            <w:tcW w:w="1453" w:type="dxa"/>
          </w:tcPr>
          <w:p>
            <w:pPr>
              <w:pStyle w:val="TableParagraph"/>
              <w:spacing w:before="20"/>
              <w:ind w:left="400" w:right="172"/>
              <w:jc w:val="left"/>
              <w:rPr>
                <w:b/>
                <w:sz w:val="18"/>
              </w:rPr>
            </w:pPr>
            <w:r>
              <w:rPr>
                <w:b/>
                <w:sz w:val="18"/>
              </w:rPr>
              <w:t>2,873,439</w:t>
            </w:r>
          </w:p>
        </w:tc>
        <w:tc>
          <w:tcPr>
            <w:tcW w:w="1139" w:type="dxa"/>
          </w:tcPr>
          <w:p>
            <w:pPr>
              <w:pStyle w:val="TableParagraph"/>
              <w:spacing w:before="20"/>
              <w:ind w:right="84"/>
              <w:rPr>
                <w:sz w:val="18"/>
              </w:rPr>
            </w:pPr>
            <w:r>
              <w:rPr>
                <w:w w:val="95"/>
                <w:sz w:val="18"/>
              </w:rPr>
              <w:t>1,007,805</w:t>
            </w:r>
          </w:p>
        </w:tc>
      </w:tr>
      <w:tr>
        <w:trPr>
          <w:trHeight w:val="264" w:hRule="exact"/>
        </w:trPr>
        <w:tc>
          <w:tcPr>
            <w:tcW w:w="6961" w:type="dxa"/>
          </w:tcPr>
          <w:p>
            <w:pPr>
              <w:pStyle w:val="TableParagraph"/>
              <w:spacing w:before="18"/>
              <w:ind w:left="248"/>
              <w:jc w:val="left"/>
              <w:rPr>
                <w:sz w:val="18"/>
              </w:rPr>
            </w:pPr>
            <w:r>
              <w:rPr>
                <w:sz w:val="18"/>
              </w:rPr>
              <w:t>(Increase)/decrease in other operating  assets</w:t>
            </w:r>
          </w:p>
        </w:tc>
        <w:tc>
          <w:tcPr>
            <w:tcW w:w="1453" w:type="dxa"/>
          </w:tcPr>
          <w:p>
            <w:pPr>
              <w:pStyle w:val="TableParagraph"/>
              <w:spacing w:before="20"/>
              <w:ind w:right="244"/>
              <w:rPr>
                <w:b/>
                <w:sz w:val="18"/>
              </w:rPr>
            </w:pPr>
            <w:r>
              <w:rPr>
                <w:b/>
                <w:w w:val="95"/>
                <w:sz w:val="18"/>
              </w:rPr>
              <w:t>53,415</w:t>
            </w:r>
          </w:p>
        </w:tc>
        <w:tc>
          <w:tcPr>
            <w:tcW w:w="1139" w:type="dxa"/>
          </w:tcPr>
          <w:p>
            <w:pPr>
              <w:pStyle w:val="TableParagraph"/>
              <w:spacing w:before="20"/>
              <w:ind w:right="24"/>
              <w:rPr>
                <w:sz w:val="18"/>
              </w:rPr>
            </w:pPr>
            <w:r>
              <w:rPr>
                <w:w w:val="95"/>
                <w:sz w:val="18"/>
              </w:rPr>
              <w:t>(94,473)</w:t>
            </w:r>
          </w:p>
        </w:tc>
      </w:tr>
      <w:tr>
        <w:trPr>
          <w:trHeight w:val="264" w:hRule="exact"/>
        </w:trPr>
        <w:tc>
          <w:tcPr>
            <w:tcW w:w="6961" w:type="dxa"/>
          </w:tcPr>
          <w:p>
            <w:pPr>
              <w:pStyle w:val="TableParagraph"/>
              <w:spacing w:before="18"/>
              <w:ind w:left="248"/>
              <w:jc w:val="left"/>
              <w:rPr>
                <w:sz w:val="18"/>
              </w:rPr>
            </w:pPr>
            <w:r>
              <w:rPr>
                <w:sz w:val="18"/>
              </w:rPr>
              <w:t>Increase/(decrease) in trade creditors</w:t>
            </w:r>
          </w:p>
        </w:tc>
        <w:tc>
          <w:tcPr>
            <w:tcW w:w="1453" w:type="dxa"/>
          </w:tcPr>
          <w:p>
            <w:pPr>
              <w:pStyle w:val="TableParagraph"/>
              <w:spacing w:before="20"/>
              <w:ind w:right="183"/>
              <w:rPr>
                <w:b/>
                <w:sz w:val="18"/>
              </w:rPr>
            </w:pPr>
            <w:r>
              <w:rPr>
                <w:b/>
                <w:w w:val="95"/>
                <w:sz w:val="18"/>
              </w:rPr>
              <w:t>(374,483)</w:t>
            </w:r>
          </w:p>
        </w:tc>
        <w:tc>
          <w:tcPr>
            <w:tcW w:w="1139" w:type="dxa"/>
          </w:tcPr>
          <w:p>
            <w:pPr>
              <w:pStyle w:val="TableParagraph"/>
              <w:spacing w:before="20"/>
              <w:ind w:right="84"/>
              <w:rPr>
                <w:sz w:val="18"/>
              </w:rPr>
            </w:pPr>
            <w:r>
              <w:rPr>
                <w:w w:val="95"/>
                <w:sz w:val="18"/>
              </w:rPr>
              <w:t>27,168</w:t>
            </w:r>
          </w:p>
        </w:tc>
      </w:tr>
      <w:tr>
        <w:trPr>
          <w:trHeight w:val="264" w:hRule="exact"/>
        </w:trPr>
        <w:tc>
          <w:tcPr>
            <w:tcW w:w="6961" w:type="dxa"/>
          </w:tcPr>
          <w:p>
            <w:pPr>
              <w:pStyle w:val="TableParagraph"/>
              <w:spacing w:before="18"/>
              <w:ind w:left="248"/>
              <w:jc w:val="left"/>
              <w:rPr>
                <w:sz w:val="18"/>
              </w:rPr>
            </w:pPr>
            <w:r>
              <w:rPr>
                <w:sz w:val="18"/>
              </w:rPr>
              <w:t>Increase/(decrease) in other operating liabilities</w:t>
            </w:r>
          </w:p>
        </w:tc>
        <w:tc>
          <w:tcPr>
            <w:tcW w:w="1453" w:type="dxa"/>
          </w:tcPr>
          <w:p>
            <w:pPr>
              <w:pStyle w:val="TableParagraph"/>
              <w:spacing w:before="20"/>
              <w:ind w:right="183"/>
              <w:rPr>
                <w:b/>
                <w:sz w:val="18"/>
              </w:rPr>
            </w:pPr>
            <w:r>
              <w:rPr>
                <w:b/>
                <w:w w:val="95"/>
                <w:sz w:val="18"/>
              </w:rPr>
              <w:t>(124,076)</w:t>
            </w:r>
          </w:p>
        </w:tc>
        <w:tc>
          <w:tcPr>
            <w:tcW w:w="1139" w:type="dxa"/>
          </w:tcPr>
          <w:p>
            <w:pPr>
              <w:pStyle w:val="TableParagraph"/>
              <w:spacing w:before="20"/>
              <w:ind w:right="24"/>
              <w:rPr>
                <w:sz w:val="18"/>
              </w:rPr>
            </w:pPr>
            <w:r>
              <w:rPr>
                <w:w w:val="95"/>
                <w:sz w:val="18"/>
              </w:rPr>
              <w:t>(541,734)</w:t>
            </w:r>
          </w:p>
        </w:tc>
      </w:tr>
      <w:tr>
        <w:trPr>
          <w:trHeight w:val="262" w:hRule="exact"/>
        </w:trPr>
        <w:tc>
          <w:tcPr>
            <w:tcW w:w="6961" w:type="dxa"/>
          </w:tcPr>
          <w:p>
            <w:pPr>
              <w:pStyle w:val="TableParagraph"/>
              <w:spacing w:before="18"/>
              <w:ind w:left="248"/>
              <w:jc w:val="left"/>
              <w:rPr>
                <w:sz w:val="18"/>
              </w:rPr>
            </w:pPr>
            <w:r>
              <w:rPr>
                <w:sz w:val="18"/>
              </w:rPr>
              <w:t>Increase/(decrease) in other provisions</w:t>
            </w:r>
          </w:p>
        </w:tc>
        <w:tc>
          <w:tcPr>
            <w:tcW w:w="1453" w:type="dxa"/>
            <w:tcBorders>
              <w:bottom w:val="single" w:sz="1" w:space="0" w:color="000000"/>
            </w:tcBorders>
          </w:tcPr>
          <w:p>
            <w:pPr>
              <w:pStyle w:val="TableParagraph"/>
              <w:spacing w:before="20"/>
              <w:ind w:right="183"/>
              <w:rPr>
                <w:b/>
                <w:sz w:val="18"/>
              </w:rPr>
            </w:pPr>
            <w:r>
              <w:rPr>
                <w:b/>
                <w:w w:val="95"/>
                <w:sz w:val="18"/>
              </w:rPr>
              <w:t>(55,109)</w:t>
            </w:r>
          </w:p>
        </w:tc>
        <w:tc>
          <w:tcPr>
            <w:tcW w:w="1139" w:type="dxa"/>
            <w:tcBorders>
              <w:bottom w:val="single" w:sz="1" w:space="0" w:color="000000"/>
            </w:tcBorders>
          </w:tcPr>
          <w:p>
            <w:pPr>
              <w:pStyle w:val="TableParagraph"/>
              <w:spacing w:before="20"/>
              <w:ind w:right="24"/>
              <w:rPr>
                <w:sz w:val="18"/>
              </w:rPr>
            </w:pPr>
            <w:r>
              <w:rPr>
                <w:w w:val="95"/>
                <w:sz w:val="18"/>
              </w:rPr>
              <w:t>(35,542)</w:t>
            </w:r>
          </w:p>
        </w:tc>
      </w:tr>
    </w:tbl>
    <w:p>
      <w:pPr>
        <w:tabs>
          <w:tab w:pos="9242" w:val="left" w:leader="none"/>
          <w:tab w:pos="10389" w:val="left" w:leader="none"/>
        </w:tabs>
        <w:spacing w:before="38"/>
        <w:ind w:left="1824" w:right="0" w:firstLine="0"/>
        <w:jc w:val="left"/>
        <w:rPr>
          <w:sz w:val="18"/>
        </w:rPr>
      </w:pPr>
      <w:r>
        <w:rPr>
          <w:b/>
          <w:sz w:val="18"/>
        </w:rPr>
        <w:t>Net cash flows used in operating activities</w:t>
        <w:tab/>
      </w:r>
      <w:r>
        <w:rPr>
          <w:b/>
          <w:position w:val="-7"/>
          <w:sz w:val="18"/>
        </w:rPr>
        <w:t>(681,297)</w:t>
        <w:tab/>
      </w:r>
      <w:r>
        <w:rPr>
          <w:position w:val="-7"/>
          <w:sz w:val="18"/>
        </w:rPr>
        <w:t>(1,292,717)</w:t>
      </w:r>
    </w:p>
    <w:p>
      <w:pPr>
        <w:pStyle w:val="BodyText"/>
        <w:spacing w:line="48" w:lineRule="exact"/>
        <w:ind w:left="8748"/>
        <w:rPr>
          <w:sz w:val="4"/>
        </w:rPr>
      </w:pPr>
      <w:r>
        <w:rPr>
          <w:position w:val="0"/>
          <w:sz w:val="4"/>
        </w:rPr>
        <w:pict>
          <v:group style="width:129.75pt;height:2.450pt;mso-position-horizontal-relative:char;mso-position-vertical-relative:line" coordorigin="0,0" coordsize="2595,49">
            <v:line style="position:absolute" from="2,2" to="1298,2" stroked="true" strokeweight=".12pt" strokecolor="#000000"/>
            <v:line style="position:absolute" from="2,4" to="1298,4" stroked="true" strokeweight=".12pt" strokecolor="#000000"/>
            <v:line style="position:absolute" from="2,6" to="1298,6" stroked="true" strokeweight=".12pt" strokecolor="#000000"/>
            <v:line style="position:absolute" from="2,9" to="1298,9" stroked="true" strokeweight=".12pt" strokecolor="#000000"/>
            <v:line style="position:absolute" from="2,11" to="1298,11" stroked="true" strokeweight=".12pt" strokecolor="#000000"/>
            <v:line style="position:absolute" from="2,14" to="1298,14" stroked="true" strokeweight=".12pt" strokecolor="#000000"/>
            <v:line style="position:absolute" from="2,35" to="1298,35" stroked="true" strokeweight=".12pt" strokecolor="#000000"/>
            <v:line style="position:absolute" from="2,38" to="1298,38" stroked="true" strokeweight=".12pt" strokecolor="#000000"/>
            <v:line style="position:absolute" from="2,40" to="1298,40" stroked="true" strokeweight=".12pt" strokecolor="#000000"/>
            <v:line style="position:absolute" from="2,42" to="1298,42" stroked="true" strokeweight=".12pt" strokecolor="#000000"/>
            <v:line style="position:absolute" from="2,45" to="1298,45" stroked="true" strokeweight=".12pt" strokecolor="#000000"/>
            <v:line style="position:absolute" from="2,47" to="1298,47" stroked="true" strokeweight=".12pt" strokecolor="#000000"/>
            <v:line style="position:absolute" from="1298,2" to="2594,2" stroked="true" strokeweight=".12pt" strokecolor="#000000"/>
            <v:line style="position:absolute" from="1298,4" to="2594,4" stroked="true" strokeweight=".12pt" strokecolor="#000000"/>
            <v:line style="position:absolute" from="1298,6" to="2594,6" stroked="true" strokeweight=".12pt" strokecolor="#000000"/>
            <v:line style="position:absolute" from="1298,9" to="2594,9" stroked="true" strokeweight=".12pt" strokecolor="#000000"/>
            <v:line style="position:absolute" from="1298,11" to="2594,11" stroked="true" strokeweight=".12pt" strokecolor="#000000"/>
            <v:line style="position:absolute" from="1298,14" to="2594,14" stroked="true" strokeweight=".12pt" strokecolor="#000000"/>
            <v:line style="position:absolute" from="1298,35" to="2594,35" stroked="true" strokeweight=".12pt" strokecolor="#000000"/>
            <v:line style="position:absolute" from="1298,38" to="2594,38" stroked="true" strokeweight=".12pt" strokecolor="#000000"/>
            <v:line style="position:absolute" from="1298,40" to="2594,40" stroked="true" strokeweight=".12pt" strokecolor="#000000"/>
            <v:line style="position:absolute" from="1298,42" to="2594,42" stroked="true" strokeweight=".12pt" strokecolor="#000000"/>
            <v:line style="position:absolute" from="1298,45" to="2594,45" stroked="true" strokeweight=".12pt" strokecolor="#000000"/>
            <v:line style="position:absolute" from="1298,47" to="2594,47" stroked="true" strokeweight=".12pt" strokecolor="#000000"/>
          </v:group>
        </w:pict>
      </w:r>
      <w:r>
        <w:rPr>
          <w:position w:val="0"/>
          <w:sz w:val="4"/>
        </w:rPr>
      </w:r>
    </w:p>
    <w:p>
      <w:pPr>
        <w:pStyle w:val="BodyText"/>
        <w:rPr>
          <w:sz w:val="20"/>
        </w:rPr>
      </w:pPr>
    </w:p>
    <w:p>
      <w:pPr>
        <w:pStyle w:val="BodyText"/>
        <w:rPr>
          <w:sz w:val="20"/>
        </w:rPr>
      </w:pPr>
    </w:p>
    <w:p>
      <w:pPr>
        <w:pStyle w:val="BodyText"/>
        <w:spacing w:before="7"/>
        <w:rPr>
          <w:sz w:val="21"/>
        </w:rPr>
      </w:pPr>
    </w:p>
    <w:p>
      <w:pPr>
        <w:pStyle w:val="BodyText"/>
        <w:spacing w:before="77"/>
        <w:ind w:left="1824"/>
      </w:pPr>
      <w:r>
        <w:rPr/>
        <w:drawing>
          <wp:anchor distT="0" distB="0" distL="0" distR="0" allowOverlap="1" layoutInCell="1" locked="0" behindDoc="0" simplePos="0" relativeHeight="11584">
            <wp:simplePos x="0" y="0"/>
            <wp:positionH relativeFrom="page">
              <wp:posOffset>-1587</wp:posOffset>
            </wp:positionH>
            <wp:positionV relativeFrom="paragraph">
              <wp:posOffset>205027</wp:posOffset>
            </wp:positionV>
            <wp:extent cx="135159" cy="154019"/>
            <wp:effectExtent l="0" t="0" r="0" b="0"/>
            <wp:wrapNone/>
            <wp:docPr id="755" name="image13.png" descr=""/>
            <wp:cNvGraphicFramePr>
              <a:graphicFrameLocks noChangeAspect="1"/>
            </wp:cNvGraphicFramePr>
            <a:graphic>
              <a:graphicData uri="http://schemas.openxmlformats.org/drawingml/2006/picture">
                <pic:pic>
                  <pic:nvPicPr>
                    <pic:cNvPr id="756" name="image13.png"/>
                    <pic:cNvPicPr/>
                  </pic:nvPicPr>
                  <pic:blipFill>
                    <a:blip r:embed="rId18" cstate="print"/>
                    <a:stretch>
                      <a:fillRect/>
                    </a:stretch>
                  </pic:blipFill>
                  <pic:spPr>
                    <a:xfrm>
                      <a:off x="0" y="0"/>
                      <a:ext cx="135159" cy="154019"/>
                    </a:xfrm>
                    <a:prstGeom prst="rect">
                      <a:avLst/>
                    </a:prstGeom>
                  </pic:spPr>
                </pic:pic>
              </a:graphicData>
            </a:graphic>
          </wp:anchor>
        </w:drawing>
      </w:r>
      <w:r>
        <w:rPr/>
        <w:drawing>
          <wp:anchor distT="0" distB="0" distL="0" distR="0" allowOverlap="1" layoutInCell="1" locked="0" behindDoc="0" simplePos="0" relativeHeight="11608">
            <wp:simplePos x="0" y="0"/>
            <wp:positionH relativeFrom="page">
              <wp:posOffset>7958429</wp:posOffset>
            </wp:positionH>
            <wp:positionV relativeFrom="paragraph">
              <wp:posOffset>205027</wp:posOffset>
            </wp:positionV>
            <wp:extent cx="135953" cy="155575"/>
            <wp:effectExtent l="0" t="0" r="0" b="0"/>
            <wp:wrapNone/>
            <wp:docPr id="757" name="image15.png" descr=""/>
            <wp:cNvGraphicFramePr>
              <a:graphicFrameLocks noChangeAspect="1"/>
            </wp:cNvGraphicFramePr>
            <a:graphic>
              <a:graphicData uri="http://schemas.openxmlformats.org/drawingml/2006/picture">
                <pic:pic>
                  <pic:nvPicPr>
                    <pic:cNvPr id="758" name="image15.png"/>
                    <pic:cNvPicPr/>
                  </pic:nvPicPr>
                  <pic:blipFill>
                    <a:blip r:embed="rId20" cstate="print"/>
                    <a:stretch>
                      <a:fillRect/>
                    </a:stretch>
                  </pic:blipFill>
                  <pic:spPr>
                    <a:xfrm>
                      <a:off x="0" y="0"/>
                      <a:ext cx="135953" cy="155575"/>
                    </a:xfrm>
                    <a:prstGeom prst="rect">
                      <a:avLst/>
                    </a:prstGeom>
                  </pic:spPr>
                </pic:pic>
              </a:graphicData>
            </a:graphic>
          </wp:anchor>
        </w:drawing>
      </w:r>
      <w:r>
        <w:rPr/>
        <w:t>End of the audited financial statements</w:t>
      </w:r>
    </w:p>
    <w:p>
      <w:pPr>
        <w:spacing w:after="0"/>
        <w:sectPr>
          <w:pgSz w:w="12750" w:h="17680"/>
          <w:pgMar w:header="0" w:footer="867" w:top="1880" w:bottom="1120" w:left="0" w:right="0"/>
        </w:sectPr>
      </w:pPr>
    </w:p>
    <w:p>
      <w:pPr>
        <w:pStyle w:val="BodyText"/>
        <w:spacing w:before="1"/>
        <w:rPr>
          <w:sz w:val="24"/>
        </w:rPr>
      </w:pPr>
    </w:p>
    <w:p>
      <w:pPr>
        <w:pStyle w:val="Heading4"/>
        <w:spacing w:before="65"/>
      </w:pPr>
      <w:r>
        <w:rPr/>
        <w:t>Statement by Directors</w:t>
      </w:r>
    </w:p>
    <w:p>
      <w:pPr>
        <w:pStyle w:val="BodyText"/>
        <w:rPr>
          <w:b/>
          <w:sz w:val="25"/>
        </w:rPr>
      </w:pPr>
    </w:p>
    <w:p>
      <w:pPr>
        <w:pStyle w:val="BodyText"/>
        <w:ind w:left="1428"/>
      </w:pPr>
      <w:r>
        <w:rPr/>
        <w:t>The directors of uwsconnect Limited declare that:</w:t>
      </w:r>
    </w:p>
    <w:p>
      <w:pPr>
        <w:pStyle w:val="BodyText"/>
        <w:spacing w:before="10"/>
        <w:rPr>
          <w:sz w:val="17"/>
        </w:rPr>
      </w:pPr>
    </w:p>
    <w:p>
      <w:pPr>
        <w:pStyle w:val="ListParagraph"/>
        <w:numPr>
          <w:ilvl w:val="0"/>
          <w:numId w:val="66"/>
        </w:numPr>
        <w:tabs>
          <w:tab w:pos="1824" w:val="left" w:leader="none"/>
        </w:tabs>
        <w:spacing w:line="240" w:lineRule="auto" w:before="0" w:after="0"/>
        <w:ind w:left="1824" w:right="1534" w:hanging="396"/>
        <w:jc w:val="left"/>
        <w:rPr>
          <w:sz w:val="18"/>
        </w:rPr>
      </w:pPr>
      <w:r>
        <w:rPr>
          <w:sz w:val="18"/>
        </w:rPr>
        <w:t>Under s41C (1b) of the Public Finance &amp; Audit Act 1983 we state to the best of our knowledge and belief the financial statements and notes, as set out on pages 141 to 164</w:t>
      </w:r>
      <w:r>
        <w:rPr>
          <w:spacing w:val="10"/>
          <w:sz w:val="18"/>
        </w:rPr>
        <w:t> </w:t>
      </w:r>
      <w:r>
        <w:rPr>
          <w:sz w:val="18"/>
        </w:rPr>
        <w:t>:</w:t>
      </w:r>
    </w:p>
    <w:p>
      <w:pPr>
        <w:pStyle w:val="BodyText"/>
        <w:spacing w:before="11"/>
        <w:rPr>
          <w:sz w:val="24"/>
        </w:rPr>
      </w:pPr>
    </w:p>
    <w:p>
      <w:pPr>
        <w:pStyle w:val="ListParagraph"/>
        <w:numPr>
          <w:ilvl w:val="1"/>
          <w:numId w:val="66"/>
        </w:numPr>
        <w:tabs>
          <w:tab w:pos="2220" w:val="left" w:leader="none"/>
        </w:tabs>
        <w:spacing w:line="240" w:lineRule="auto" w:before="0" w:after="0"/>
        <w:ind w:left="2220" w:right="1778" w:hanging="396"/>
        <w:jc w:val="left"/>
        <w:rPr>
          <w:sz w:val="18"/>
        </w:rPr>
      </w:pPr>
      <w:r>
        <w:rPr>
          <w:sz w:val="18"/>
        </w:rPr>
        <w:t>comply with Australian Accounting Standards, the Public Finance and Audit Act 1983, the Public Finance and Audit Regulation 2015 and the mandatory professional reporting requirements,</w:t>
      </w:r>
      <w:r>
        <w:rPr>
          <w:spacing w:val="7"/>
          <w:sz w:val="18"/>
        </w:rPr>
        <w:t> </w:t>
      </w:r>
      <w:r>
        <w:rPr>
          <w:sz w:val="18"/>
        </w:rPr>
        <w:t>and</w:t>
      </w:r>
    </w:p>
    <w:p>
      <w:pPr>
        <w:pStyle w:val="BodyText"/>
        <w:spacing w:before="11"/>
        <w:rPr>
          <w:sz w:val="24"/>
        </w:rPr>
      </w:pPr>
    </w:p>
    <w:p>
      <w:pPr>
        <w:pStyle w:val="ListParagraph"/>
        <w:numPr>
          <w:ilvl w:val="1"/>
          <w:numId w:val="66"/>
        </w:numPr>
        <w:tabs>
          <w:tab w:pos="2220" w:val="left" w:leader="none"/>
        </w:tabs>
        <w:spacing w:line="240" w:lineRule="auto" w:before="0" w:after="0"/>
        <w:ind w:left="2220" w:right="1791" w:hanging="396"/>
        <w:jc w:val="left"/>
        <w:rPr>
          <w:sz w:val="18"/>
        </w:rPr>
      </w:pPr>
      <w:r>
        <w:rPr>
          <w:sz w:val="18"/>
        </w:rPr>
        <w:t>give a true and fair view of the financial position as at 31 December 2016 and of the performance for the year ended on that date of uwsconnect</w:t>
      </w:r>
      <w:r>
        <w:rPr>
          <w:spacing w:val="5"/>
          <w:sz w:val="18"/>
        </w:rPr>
        <w:t> </w:t>
      </w:r>
      <w:r>
        <w:rPr>
          <w:sz w:val="18"/>
        </w:rPr>
        <w:t>Limited.</w:t>
      </w:r>
    </w:p>
    <w:p>
      <w:pPr>
        <w:pStyle w:val="BodyText"/>
        <w:spacing w:before="10"/>
        <w:rPr>
          <w:sz w:val="17"/>
        </w:rPr>
      </w:pPr>
    </w:p>
    <w:p>
      <w:pPr>
        <w:pStyle w:val="ListParagraph"/>
        <w:numPr>
          <w:ilvl w:val="0"/>
          <w:numId w:val="66"/>
        </w:numPr>
        <w:tabs>
          <w:tab w:pos="1824" w:val="left" w:leader="none"/>
        </w:tabs>
        <w:spacing w:line="240" w:lineRule="auto" w:before="0" w:after="0"/>
        <w:ind w:left="1824" w:right="1537" w:hanging="396"/>
        <w:jc w:val="left"/>
        <w:rPr>
          <w:sz w:val="18"/>
        </w:rPr>
      </w:pPr>
      <w:r>
        <w:rPr>
          <w:sz w:val="18"/>
        </w:rPr>
        <w:t>In the directors' opinion, there are reasonable grounds to believe that uwsconnect Limited will be able to pay its debts as and when they become due and</w:t>
      </w:r>
      <w:r>
        <w:rPr>
          <w:spacing w:val="6"/>
          <w:sz w:val="18"/>
        </w:rPr>
        <w:t> </w:t>
      </w:r>
      <w:r>
        <w:rPr>
          <w:sz w:val="18"/>
        </w:rPr>
        <w:t>payable.</w:t>
      </w:r>
    </w:p>
    <w:p>
      <w:pPr>
        <w:pStyle w:val="BodyText"/>
        <w:spacing w:before="10"/>
        <w:rPr>
          <w:sz w:val="17"/>
        </w:rPr>
      </w:pPr>
    </w:p>
    <w:p>
      <w:pPr>
        <w:pStyle w:val="ListParagraph"/>
        <w:numPr>
          <w:ilvl w:val="0"/>
          <w:numId w:val="66"/>
        </w:numPr>
        <w:tabs>
          <w:tab w:pos="1824" w:val="left" w:leader="none"/>
        </w:tabs>
        <w:spacing w:line="240" w:lineRule="auto" w:before="0" w:after="0"/>
        <w:ind w:left="1824" w:right="1565" w:hanging="396"/>
        <w:jc w:val="left"/>
        <w:rPr>
          <w:sz w:val="18"/>
        </w:rPr>
      </w:pPr>
      <w:r>
        <w:rPr>
          <w:spacing w:val="5"/>
          <w:sz w:val="18"/>
        </w:rPr>
        <w:t>We </w:t>
      </w:r>
      <w:r>
        <w:rPr>
          <w:sz w:val="18"/>
        </w:rPr>
        <w:t>are not aware of any circumstances which would render any particulars included in the financial statements to be misleading or</w:t>
      </w:r>
      <w:r>
        <w:rPr>
          <w:spacing w:val="1"/>
          <w:sz w:val="18"/>
        </w:rPr>
        <w:t> </w:t>
      </w:r>
      <w:r>
        <w:rPr>
          <w:sz w:val="18"/>
        </w:rPr>
        <w:t>inaccurate.</w:t>
      </w:r>
    </w:p>
    <w:p>
      <w:pPr>
        <w:pStyle w:val="BodyText"/>
        <w:spacing w:before="11"/>
        <w:rPr>
          <w:sz w:val="24"/>
        </w:rPr>
      </w:pPr>
    </w:p>
    <w:p>
      <w:pPr>
        <w:pStyle w:val="BodyText"/>
        <w:ind w:left="1428"/>
      </w:pPr>
      <w:r>
        <w:rPr/>
        <w:drawing>
          <wp:anchor distT="0" distB="0" distL="0" distR="0" allowOverlap="1" layoutInCell="1" locked="0" behindDoc="0" simplePos="0" relativeHeight="11632">
            <wp:simplePos x="0" y="0"/>
            <wp:positionH relativeFrom="page">
              <wp:posOffset>819527</wp:posOffset>
            </wp:positionH>
            <wp:positionV relativeFrom="paragraph">
              <wp:posOffset>169155</wp:posOffset>
            </wp:positionV>
            <wp:extent cx="2326025" cy="1679257"/>
            <wp:effectExtent l="0" t="0" r="0" b="0"/>
            <wp:wrapTopAndBottom/>
            <wp:docPr id="759" name="image43.png" descr=""/>
            <wp:cNvGraphicFramePr>
              <a:graphicFrameLocks noChangeAspect="1"/>
            </wp:cNvGraphicFramePr>
            <a:graphic>
              <a:graphicData uri="http://schemas.openxmlformats.org/drawingml/2006/picture">
                <pic:pic>
                  <pic:nvPicPr>
                    <pic:cNvPr id="760" name="image43.png"/>
                    <pic:cNvPicPr/>
                  </pic:nvPicPr>
                  <pic:blipFill>
                    <a:blip r:embed="rId94" cstate="print"/>
                    <a:stretch>
                      <a:fillRect/>
                    </a:stretch>
                  </pic:blipFill>
                  <pic:spPr>
                    <a:xfrm>
                      <a:off x="0" y="0"/>
                      <a:ext cx="2326025" cy="1679257"/>
                    </a:xfrm>
                    <a:prstGeom prst="rect">
                      <a:avLst/>
                    </a:prstGeom>
                  </pic:spPr>
                </pic:pic>
              </a:graphicData>
            </a:graphic>
          </wp:anchor>
        </w:drawing>
      </w:r>
      <w:r>
        <w:rPr/>
        <w:drawing>
          <wp:anchor distT="0" distB="0" distL="0" distR="0" allowOverlap="1" layoutInCell="1" locked="0" behindDoc="0" simplePos="0" relativeHeight="11680">
            <wp:simplePos x="0" y="0"/>
            <wp:positionH relativeFrom="page">
              <wp:posOffset>-1587</wp:posOffset>
            </wp:positionH>
            <wp:positionV relativeFrom="paragraph">
              <wp:posOffset>1343328</wp:posOffset>
            </wp:positionV>
            <wp:extent cx="135159" cy="154019"/>
            <wp:effectExtent l="0" t="0" r="0" b="0"/>
            <wp:wrapNone/>
            <wp:docPr id="761" name="image13.png" descr=""/>
            <wp:cNvGraphicFramePr>
              <a:graphicFrameLocks noChangeAspect="1"/>
            </wp:cNvGraphicFramePr>
            <a:graphic>
              <a:graphicData uri="http://schemas.openxmlformats.org/drawingml/2006/picture">
                <pic:pic>
                  <pic:nvPicPr>
                    <pic:cNvPr id="762" name="image13.png"/>
                    <pic:cNvPicPr/>
                  </pic:nvPicPr>
                  <pic:blipFill>
                    <a:blip r:embed="rId18" cstate="print"/>
                    <a:stretch>
                      <a:fillRect/>
                    </a:stretch>
                  </pic:blipFill>
                  <pic:spPr>
                    <a:xfrm>
                      <a:off x="0" y="0"/>
                      <a:ext cx="135159" cy="154019"/>
                    </a:xfrm>
                    <a:prstGeom prst="rect">
                      <a:avLst/>
                    </a:prstGeom>
                  </pic:spPr>
                </pic:pic>
              </a:graphicData>
            </a:graphic>
          </wp:anchor>
        </w:drawing>
      </w:r>
      <w:r>
        <w:rPr/>
        <w:drawing>
          <wp:anchor distT="0" distB="0" distL="0" distR="0" allowOverlap="1" layoutInCell="1" locked="0" behindDoc="0" simplePos="0" relativeHeight="11704">
            <wp:simplePos x="0" y="0"/>
            <wp:positionH relativeFrom="page">
              <wp:posOffset>7958429</wp:posOffset>
            </wp:positionH>
            <wp:positionV relativeFrom="paragraph">
              <wp:posOffset>1343328</wp:posOffset>
            </wp:positionV>
            <wp:extent cx="135953" cy="155575"/>
            <wp:effectExtent l="0" t="0" r="0" b="0"/>
            <wp:wrapNone/>
            <wp:docPr id="763" name="image15.png" descr=""/>
            <wp:cNvGraphicFramePr>
              <a:graphicFrameLocks noChangeAspect="1"/>
            </wp:cNvGraphicFramePr>
            <a:graphic>
              <a:graphicData uri="http://schemas.openxmlformats.org/drawingml/2006/picture">
                <pic:pic>
                  <pic:nvPicPr>
                    <pic:cNvPr id="764" name="image15.png"/>
                    <pic:cNvPicPr/>
                  </pic:nvPicPr>
                  <pic:blipFill>
                    <a:blip r:embed="rId20" cstate="print"/>
                    <a:stretch>
                      <a:fillRect/>
                    </a:stretch>
                  </pic:blipFill>
                  <pic:spPr>
                    <a:xfrm>
                      <a:off x="0" y="0"/>
                      <a:ext cx="135953" cy="155575"/>
                    </a:xfrm>
                    <a:prstGeom prst="rect">
                      <a:avLst/>
                    </a:prstGeom>
                  </pic:spPr>
                </pic:pic>
              </a:graphicData>
            </a:graphic>
          </wp:anchor>
        </w:drawing>
      </w:r>
      <w:r>
        <w:rPr/>
        <w:t>This declaration is made in accordance with a resolution of the Board of Directors.</w:t>
      </w:r>
    </w:p>
    <w:p>
      <w:pPr>
        <w:pStyle w:val="BodyText"/>
        <w:spacing w:line="573" w:lineRule="auto" w:before="26"/>
        <w:ind w:left="1428" w:right="10361"/>
      </w:pPr>
      <w:r>
        <w:rPr/>
        <w:t>John Banks Director</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
        <w:rPr>
          <w:sz w:val="22"/>
        </w:rPr>
      </w:pPr>
    </w:p>
    <w:p>
      <w:pPr>
        <w:pStyle w:val="BodyText"/>
        <w:spacing w:line="573" w:lineRule="auto"/>
        <w:ind w:left="1428" w:right="10311"/>
      </w:pPr>
      <w:r>
        <w:rPr/>
        <w:drawing>
          <wp:anchor distT="0" distB="0" distL="0" distR="0" allowOverlap="1" layoutInCell="1" locked="0" behindDoc="1" simplePos="0" relativeHeight="267238775">
            <wp:simplePos x="0" y="0"/>
            <wp:positionH relativeFrom="page">
              <wp:posOffset>890159</wp:posOffset>
            </wp:positionH>
            <wp:positionV relativeFrom="paragraph">
              <wp:posOffset>-1886786</wp:posOffset>
            </wp:positionV>
            <wp:extent cx="2235602" cy="1899957"/>
            <wp:effectExtent l="0" t="0" r="0" b="0"/>
            <wp:wrapNone/>
            <wp:docPr id="765" name="image44.jpeg" descr=""/>
            <wp:cNvGraphicFramePr>
              <a:graphicFrameLocks noChangeAspect="1"/>
            </wp:cNvGraphicFramePr>
            <a:graphic>
              <a:graphicData uri="http://schemas.openxmlformats.org/drawingml/2006/picture">
                <pic:pic>
                  <pic:nvPicPr>
                    <pic:cNvPr id="766" name="image44.jpeg"/>
                    <pic:cNvPicPr/>
                  </pic:nvPicPr>
                  <pic:blipFill>
                    <a:blip r:embed="rId95" cstate="print"/>
                    <a:stretch>
                      <a:fillRect/>
                    </a:stretch>
                  </pic:blipFill>
                  <pic:spPr>
                    <a:xfrm>
                      <a:off x="0" y="0"/>
                      <a:ext cx="2235602" cy="1899957"/>
                    </a:xfrm>
                    <a:prstGeom prst="rect">
                      <a:avLst/>
                    </a:prstGeom>
                  </pic:spPr>
                </pic:pic>
              </a:graphicData>
            </a:graphic>
          </wp:anchor>
        </w:drawing>
      </w:r>
      <w:r>
        <w:rPr/>
        <w:t>Bill Parasiris Director</w:t>
      </w:r>
    </w:p>
    <w:p>
      <w:pPr>
        <w:pStyle w:val="BodyText"/>
        <w:spacing w:line="186" w:lineRule="exact"/>
        <w:ind w:left="1428"/>
      </w:pPr>
      <w:r>
        <w:rPr/>
        <w:t>21 March 2017</w:t>
      </w:r>
    </w:p>
    <w:p>
      <w:pPr>
        <w:spacing w:after="0" w:line="186" w:lineRule="exact"/>
        <w:sectPr>
          <w:pgSz w:w="12750" w:h="17680"/>
          <w:pgMar w:header="0" w:footer="867" w:top="1880" w:bottom="1120" w:left="0" w:right="0"/>
        </w:sectPr>
      </w:pPr>
    </w:p>
    <w:p>
      <w:pPr>
        <w:pStyle w:val="Heading8"/>
        <w:spacing w:before="5"/>
        <w:ind w:left="1428"/>
      </w:pPr>
      <w:r>
        <w:rPr/>
        <w:t>ABN 45 107 759 197</w:t>
      </w:r>
    </w:p>
    <w:p>
      <w:pPr>
        <w:pStyle w:val="BodyText"/>
        <w:rPr>
          <w:b/>
        </w:rPr>
      </w:pPr>
    </w:p>
    <w:p>
      <w:pPr>
        <w:spacing w:before="130"/>
        <w:ind w:left="1428" w:right="1521" w:firstLine="0"/>
        <w:jc w:val="left"/>
        <w:rPr>
          <w:i/>
          <w:sz w:val="24"/>
        </w:rPr>
      </w:pPr>
      <w:r>
        <w:rPr>
          <w:b/>
          <w:sz w:val="28"/>
        </w:rPr>
        <w:t>Responsible Entities Declaration </w:t>
      </w:r>
      <w:r>
        <w:rPr>
          <w:i/>
          <w:sz w:val="24"/>
        </w:rPr>
        <w:t>- per section 60.15 of the Australian Charities and </w:t>
      </w:r>
      <w:r>
        <w:rPr>
          <w:i/>
          <w:sz w:val="24"/>
        </w:rPr>
        <w:t>Not-for-profits Commision Regulation 2013</w:t>
      </w:r>
    </w:p>
    <w:p>
      <w:pPr>
        <w:pStyle w:val="BodyText"/>
        <w:spacing w:before="1"/>
        <w:rPr>
          <w:i/>
          <w:sz w:val="25"/>
        </w:rPr>
      </w:pPr>
    </w:p>
    <w:p>
      <w:pPr>
        <w:pStyle w:val="BodyText"/>
        <w:ind w:left="1428"/>
      </w:pPr>
      <w:r>
        <w:rPr/>
        <w:t>The responsible entities declare that in the responsible entities opinion:</w:t>
      </w:r>
    </w:p>
    <w:p>
      <w:pPr>
        <w:pStyle w:val="BodyText"/>
        <w:spacing w:before="11"/>
        <w:rPr>
          <w:sz w:val="24"/>
        </w:rPr>
      </w:pPr>
    </w:p>
    <w:p>
      <w:pPr>
        <w:pStyle w:val="ListParagraph"/>
        <w:numPr>
          <w:ilvl w:val="0"/>
          <w:numId w:val="67"/>
        </w:numPr>
        <w:tabs>
          <w:tab w:pos="2379" w:val="left" w:leader="none"/>
        </w:tabs>
        <w:spacing w:line="240" w:lineRule="auto" w:before="0" w:after="0"/>
        <w:ind w:left="2107" w:right="1762" w:firstLine="0"/>
        <w:jc w:val="left"/>
        <w:rPr>
          <w:sz w:val="18"/>
        </w:rPr>
      </w:pPr>
      <w:r>
        <w:rPr>
          <w:sz w:val="18"/>
        </w:rPr>
        <w:t>there are reasonable grounds to believe that the registered entity is able to pay all of its debts, as and when they become due and payable;</w:t>
      </w:r>
      <w:r>
        <w:rPr>
          <w:spacing w:val="4"/>
          <w:sz w:val="18"/>
        </w:rPr>
        <w:t> </w:t>
      </w:r>
      <w:r>
        <w:rPr>
          <w:sz w:val="18"/>
        </w:rPr>
        <w:t>and</w:t>
      </w:r>
    </w:p>
    <w:p>
      <w:pPr>
        <w:pStyle w:val="BodyText"/>
        <w:spacing w:before="11"/>
        <w:rPr>
          <w:sz w:val="24"/>
        </w:rPr>
      </w:pPr>
    </w:p>
    <w:p>
      <w:pPr>
        <w:pStyle w:val="ListParagraph"/>
        <w:numPr>
          <w:ilvl w:val="0"/>
          <w:numId w:val="67"/>
        </w:numPr>
        <w:tabs>
          <w:tab w:pos="2379" w:val="left" w:leader="none"/>
        </w:tabs>
        <w:spacing w:line="240" w:lineRule="auto" w:before="0" w:after="0"/>
        <w:ind w:left="2107" w:right="1998" w:firstLine="0"/>
        <w:jc w:val="left"/>
        <w:rPr>
          <w:sz w:val="18"/>
        </w:rPr>
      </w:pPr>
      <w:r>
        <w:rPr>
          <w:sz w:val="18"/>
        </w:rPr>
        <w:t>the financial statements and notes satisfy the requirements of the </w:t>
      </w:r>
      <w:r>
        <w:rPr>
          <w:i/>
          <w:sz w:val="18"/>
        </w:rPr>
        <w:t>Australian Charities and Not-for-profits </w:t>
      </w:r>
      <w:r>
        <w:rPr>
          <w:i/>
          <w:sz w:val="18"/>
        </w:rPr>
        <w:t>Commission Act 2012</w:t>
      </w:r>
      <w:r>
        <w:rPr>
          <w:sz w:val="18"/>
        </w:rPr>
        <w:t>.</w:t>
      </w:r>
    </w:p>
    <w:p>
      <w:pPr>
        <w:pStyle w:val="BodyText"/>
        <w:spacing w:before="11"/>
        <w:rPr>
          <w:sz w:val="24"/>
        </w:rPr>
      </w:pPr>
    </w:p>
    <w:p>
      <w:pPr>
        <w:spacing w:before="0"/>
        <w:ind w:left="1427" w:right="0" w:firstLine="0"/>
        <w:jc w:val="left"/>
        <w:rPr>
          <w:sz w:val="18"/>
        </w:rPr>
      </w:pPr>
      <w:r>
        <w:rPr/>
        <w:drawing>
          <wp:anchor distT="0" distB="0" distL="0" distR="0" allowOverlap="1" layoutInCell="1" locked="0" behindDoc="0" simplePos="0" relativeHeight="11728">
            <wp:simplePos x="0" y="0"/>
            <wp:positionH relativeFrom="page">
              <wp:posOffset>827793</wp:posOffset>
            </wp:positionH>
            <wp:positionV relativeFrom="paragraph">
              <wp:posOffset>161269</wp:posOffset>
            </wp:positionV>
            <wp:extent cx="2156186" cy="1701546"/>
            <wp:effectExtent l="0" t="0" r="0" b="0"/>
            <wp:wrapTopAndBottom/>
            <wp:docPr id="769" name="image45.png" descr=""/>
            <wp:cNvGraphicFramePr>
              <a:graphicFrameLocks noChangeAspect="1"/>
            </wp:cNvGraphicFramePr>
            <a:graphic>
              <a:graphicData uri="http://schemas.openxmlformats.org/drawingml/2006/picture">
                <pic:pic>
                  <pic:nvPicPr>
                    <pic:cNvPr id="770" name="image45.png"/>
                    <pic:cNvPicPr/>
                  </pic:nvPicPr>
                  <pic:blipFill>
                    <a:blip r:embed="rId97" cstate="print"/>
                    <a:stretch>
                      <a:fillRect/>
                    </a:stretch>
                  </pic:blipFill>
                  <pic:spPr>
                    <a:xfrm>
                      <a:off x="0" y="0"/>
                      <a:ext cx="2156186" cy="1701546"/>
                    </a:xfrm>
                    <a:prstGeom prst="rect">
                      <a:avLst/>
                    </a:prstGeom>
                  </pic:spPr>
                </pic:pic>
              </a:graphicData>
            </a:graphic>
          </wp:anchor>
        </w:drawing>
      </w:r>
      <w:r>
        <w:rPr>
          <w:sz w:val="18"/>
        </w:rPr>
        <w:t>Signed in accordance with subsection 60.15(2) of the </w:t>
      </w:r>
      <w:r>
        <w:rPr>
          <w:i/>
          <w:sz w:val="18"/>
        </w:rPr>
        <w:t>Australian Charities and Not-for-profits Commission Regulation 2013</w:t>
      </w:r>
      <w:r>
        <w:rPr>
          <w:sz w:val="18"/>
        </w:rPr>
        <w:t>.</w:t>
      </w:r>
    </w:p>
    <w:p>
      <w:pPr>
        <w:pStyle w:val="BodyText"/>
        <w:spacing w:line="573" w:lineRule="auto" w:before="4"/>
        <w:ind w:left="1427" w:right="10362"/>
      </w:pPr>
      <w:r>
        <w:rPr/>
        <w:t>John Banks Director</w:t>
      </w:r>
    </w:p>
    <w:p>
      <w:pPr>
        <w:pStyle w:val="BodyText"/>
        <w:spacing w:before="8"/>
        <w:ind w:left="1428"/>
      </w:pPr>
      <w:r>
        <w:rPr/>
        <w:drawing>
          <wp:anchor distT="0" distB="0" distL="0" distR="0" allowOverlap="1" layoutInCell="1" locked="0" behindDoc="0" simplePos="0" relativeHeight="11752">
            <wp:simplePos x="0" y="0"/>
            <wp:positionH relativeFrom="page">
              <wp:posOffset>-1587</wp:posOffset>
            </wp:positionH>
            <wp:positionV relativeFrom="paragraph">
              <wp:posOffset>-152731</wp:posOffset>
            </wp:positionV>
            <wp:extent cx="136525" cy="155575"/>
            <wp:effectExtent l="0" t="0" r="0" b="0"/>
            <wp:wrapNone/>
            <wp:docPr id="771" name="image13.png" descr=""/>
            <wp:cNvGraphicFramePr>
              <a:graphicFrameLocks noChangeAspect="1"/>
            </wp:cNvGraphicFramePr>
            <a:graphic>
              <a:graphicData uri="http://schemas.openxmlformats.org/drawingml/2006/picture">
                <pic:pic>
                  <pic:nvPicPr>
                    <pic:cNvPr id="772" name="image13.png"/>
                    <pic:cNvPicPr/>
                  </pic:nvPicPr>
                  <pic:blipFill>
                    <a:blip r:embed="rId18" cstate="print"/>
                    <a:stretch>
                      <a:fillRect/>
                    </a:stretch>
                  </pic:blipFill>
                  <pic:spPr>
                    <a:xfrm>
                      <a:off x="0" y="0"/>
                      <a:ext cx="136525" cy="155575"/>
                    </a:xfrm>
                    <a:prstGeom prst="rect">
                      <a:avLst/>
                    </a:prstGeom>
                  </pic:spPr>
                </pic:pic>
              </a:graphicData>
            </a:graphic>
          </wp:anchor>
        </w:drawing>
      </w:r>
      <w:r>
        <w:rPr/>
        <w:drawing>
          <wp:anchor distT="0" distB="0" distL="0" distR="0" allowOverlap="1" layoutInCell="1" locked="0" behindDoc="0" simplePos="0" relativeHeight="11776">
            <wp:simplePos x="0" y="0"/>
            <wp:positionH relativeFrom="page">
              <wp:posOffset>7958429</wp:posOffset>
            </wp:positionH>
            <wp:positionV relativeFrom="paragraph">
              <wp:posOffset>-152731</wp:posOffset>
            </wp:positionV>
            <wp:extent cx="135953" cy="155575"/>
            <wp:effectExtent l="0" t="0" r="0" b="0"/>
            <wp:wrapNone/>
            <wp:docPr id="773" name="image15.png" descr=""/>
            <wp:cNvGraphicFramePr>
              <a:graphicFrameLocks noChangeAspect="1"/>
            </wp:cNvGraphicFramePr>
            <a:graphic>
              <a:graphicData uri="http://schemas.openxmlformats.org/drawingml/2006/picture">
                <pic:pic>
                  <pic:nvPicPr>
                    <pic:cNvPr id="774" name="image15.png"/>
                    <pic:cNvPicPr/>
                  </pic:nvPicPr>
                  <pic:blipFill>
                    <a:blip r:embed="rId20" cstate="print"/>
                    <a:stretch>
                      <a:fillRect/>
                    </a:stretch>
                  </pic:blipFill>
                  <pic:spPr>
                    <a:xfrm>
                      <a:off x="0" y="0"/>
                      <a:ext cx="135953" cy="155575"/>
                    </a:xfrm>
                    <a:prstGeom prst="rect">
                      <a:avLst/>
                    </a:prstGeom>
                  </pic:spPr>
                </pic:pic>
              </a:graphicData>
            </a:graphic>
          </wp:anchor>
        </w:drawing>
      </w:r>
      <w:r>
        <w:rPr/>
        <w:t>21 March 2017</w:t>
      </w:r>
    </w:p>
    <w:p>
      <w:pPr>
        <w:spacing w:after="0"/>
        <w:sectPr>
          <w:headerReference w:type="default" r:id="rId96"/>
          <w:pgSz w:w="12750" w:h="17680"/>
          <w:pgMar w:header="0" w:footer="867" w:top="1660" w:bottom="1120" w:left="0" w:right="0"/>
        </w:sectPr>
      </w:pPr>
    </w:p>
    <w:p>
      <w:pPr>
        <w:pStyle w:val="BodyText"/>
        <w:spacing w:before="4"/>
        <w:rPr>
          <w:rFonts w:ascii="Times New Roman"/>
          <w:sz w:val="17"/>
        </w:rPr>
      </w:pPr>
      <w:r>
        <w:rPr/>
        <w:pict>
          <v:group style="position:absolute;margin-left:22.200001pt;margin-top:22.263018pt;width:594.3pt;height:841.1pt;mso-position-horizontal-relative:page;mso-position-vertical-relative:page;z-index:11800" coordorigin="444,445" coordsize="11886,16822">
            <v:shape style="position:absolute;left:444;top:465;width:11852;height:16784" type="#_x0000_t75" stroked="false">
              <v:imagedata r:id="rId99" o:title=""/>
            </v:shape>
            <v:rect style="position:absolute;left:12006;top:445;width:324;height:16822" filled="true" fillcolor="#ffffff" stroked="false">
              <v:fill type="solid"/>
            </v:rect>
            <w10:wrap type="none"/>
          </v:group>
        </w:pict>
      </w:r>
      <w:r>
        <w:rPr/>
        <w:drawing>
          <wp:anchor distT="0" distB="0" distL="0" distR="0" allowOverlap="1" layoutInCell="1" locked="0" behindDoc="0" simplePos="0" relativeHeight="11824">
            <wp:simplePos x="0" y="0"/>
            <wp:positionH relativeFrom="page">
              <wp:posOffset>-1587</wp:posOffset>
            </wp:positionH>
            <wp:positionV relativeFrom="page">
              <wp:posOffset>5546318</wp:posOffset>
            </wp:positionV>
            <wp:extent cx="136413" cy="155448"/>
            <wp:effectExtent l="0" t="0" r="0" b="0"/>
            <wp:wrapNone/>
            <wp:docPr id="777" name="image22.png" descr=""/>
            <wp:cNvGraphicFramePr>
              <a:graphicFrameLocks noChangeAspect="1"/>
            </wp:cNvGraphicFramePr>
            <a:graphic>
              <a:graphicData uri="http://schemas.openxmlformats.org/drawingml/2006/picture">
                <pic:pic>
                  <pic:nvPicPr>
                    <pic:cNvPr id="778" name="image22.png"/>
                    <pic:cNvPicPr/>
                  </pic:nvPicPr>
                  <pic:blipFill>
                    <a:blip r:embed="rId28" cstate="print"/>
                    <a:stretch>
                      <a:fillRect/>
                    </a:stretch>
                  </pic:blipFill>
                  <pic:spPr>
                    <a:xfrm>
                      <a:off x="0" y="0"/>
                      <a:ext cx="136413" cy="155448"/>
                    </a:xfrm>
                    <a:prstGeom prst="rect">
                      <a:avLst/>
                    </a:prstGeom>
                  </pic:spPr>
                </pic:pic>
              </a:graphicData>
            </a:graphic>
          </wp:anchor>
        </w:drawing>
      </w:r>
      <w:r>
        <w:rPr/>
        <w:drawing>
          <wp:anchor distT="0" distB="0" distL="0" distR="0" allowOverlap="1" layoutInCell="1" locked="0" behindDoc="0" simplePos="0" relativeHeight="11848">
            <wp:simplePos x="0" y="0"/>
            <wp:positionH relativeFrom="page">
              <wp:posOffset>7954962</wp:posOffset>
            </wp:positionH>
            <wp:positionV relativeFrom="page">
              <wp:posOffset>5546318</wp:posOffset>
            </wp:positionV>
            <wp:extent cx="139420" cy="155575"/>
            <wp:effectExtent l="0" t="0" r="0" b="0"/>
            <wp:wrapNone/>
            <wp:docPr id="779" name="image23.png" descr=""/>
            <wp:cNvGraphicFramePr>
              <a:graphicFrameLocks noChangeAspect="1"/>
            </wp:cNvGraphicFramePr>
            <a:graphic>
              <a:graphicData uri="http://schemas.openxmlformats.org/drawingml/2006/picture">
                <pic:pic>
                  <pic:nvPicPr>
                    <pic:cNvPr id="780" name="image23.png"/>
                    <pic:cNvPicPr/>
                  </pic:nvPicPr>
                  <pic:blipFill>
                    <a:blip r:embed="rId29" cstate="print"/>
                    <a:stretch>
                      <a:fillRect/>
                    </a:stretch>
                  </pic:blipFill>
                  <pic:spPr>
                    <a:xfrm>
                      <a:off x="0" y="0"/>
                      <a:ext cx="139420" cy="155575"/>
                    </a:xfrm>
                    <a:prstGeom prst="rect">
                      <a:avLst/>
                    </a:prstGeom>
                  </pic:spPr>
                </pic:pic>
              </a:graphicData>
            </a:graphic>
          </wp:anchor>
        </w:drawing>
      </w:r>
    </w:p>
    <w:p>
      <w:pPr>
        <w:spacing w:after="0"/>
        <w:rPr>
          <w:rFonts w:ascii="Times New Roman"/>
          <w:sz w:val="17"/>
        </w:rPr>
        <w:sectPr>
          <w:headerReference w:type="default" r:id="rId98"/>
          <w:pgSz w:w="12750" w:h="17680"/>
          <w:pgMar w:header="0" w:footer="867" w:top="420" w:bottom="1060" w:left="0" w:right="0"/>
        </w:sectPr>
      </w:pPr>
    </w:p>
    <w:p>
      <w:pPr>
        <w:pStyle w:val="BodyText"/>
        <w:spacing w:before="4"/>
        <w:rPr>
          <w:rFonts w:ascii="Times New Roman"/>
          <w:sz w:val="17"/>
        </w:rPr>
      </w:pPr>
      <w:r>
        <w:rPr/>
        <w:pict>
          <v:group style="position:absolute;margin-left:22.200001pt;margin-top:22.263018pt;width:594.3pt;height:840.2pt;mso-position-horizontal-relative:page;mso-position-vertical-relative:page;z-index:-1196464" coordorigin="444,445" coordsize="11886,16804">
            <v:shape style="position:absolute;left:444;top:465;width:11852;height:16784" type="#_x0000_t75" stroked="false">
              <v:imagedata r:id="rId101" o:title=""/>
            </v:shape>
            <v:rect style="position:absolute;left:12043;top:445;width:287;height:16803" filled="true" fillcolor="#ffffff" stroked="false">
              <v:fill type="solid"/>
            </v:rect>
            <w10:wrap type="none"/>
          </v:group>
        </w:pict>
      </w:r>
      <w:r>
        <w:rPr/>
        <w:drawing>
          <wp:anchor distT="0" distB="0" distL="0" distR="0" allowOverlap="1" layoutInCell="1" locked="0" behindDoc="0" simplePos="0" relativeHeight="11896">
            <wp:simplePos x="0" y="0"/>
            <wp:positionH relativeFrom="page">
              <wp:posOffset>-1587</wp:posOffset>
            </wp:positionH>
            <wp:positionV relativeFrom="page">
              <wp:posOffset>5546318</wp:posOffset>
            </wp:positionV>
            <wp:extent cx="136413" cy="155448"/>
            <wp:effectExtent l="0" t="0" r="0" b="0"/>
            <wp:wrapNone/>
            <wp:docPr id="783" name="image22.png" descr=""/>
            <wp:cNvGraphicFramePr>
              <a:graphicFrameLocks noChangeAspect="1"/>
            </wp:cNvGraphicFramePr>
            <a:graphic>
              <a:graphicData uri="http://schemas.openxmlformats.org/drawingml/2006/picture">
                <pic:pic>
                  <pic:nvPicPr>
                    <pic:cNvPr id="784" name="image22.png"/>
                    <pic:cNvPicPr/>
                  </pic:nvPicPr>
                  <pic:blipFill>
                    <a:blip r:embed="rId28" cstate="print"/>
                    <a:stretch>
                      <a:fillRect/>
                    </a:stretch>
                  </pic:blipFill>
                  <pic:spPr>
                    <a:xfrm>
                      <a:off x="0" y="0"/>
                      <a:ext cx="136413" cy="155448"/>
                    </a:xfrm>
                    <a:prstGeom prst="rect">
                      <a:avLst/>
                    </a:prstGeom>
                  </pic:spPr>
                </pic:pic>
              </a:graphicData>
            </a:graphic>
          </wp:anchor>
        </w:drawing>
      </w:r>
      <w:r>
        <w:rPr/>
        <w:drawing>
          <wp:anchor distT="0" distB="0" distL="0" distR="0" allowOverlap="1" layoutInCell="1" locked="0" behindDoc="0" simplePos="0" relativeHeight="11920">
            <wp:simplePos x="0" y="0"/>
            <wp:positionH relativeFrom="page">
              <wp:posOffset>7954962</wp:posOffset>
            </wp:positionH>
            <wp:positionV relativeFrom="page">
              <wp:posOffset>5546318</wp:posOffset>
            </wp:positionV>
            <wp:extent cx="139420" cy="155575"/>
            <wp:effectExtent l="0" t="0" r="0" b="0"/>
            <wp:wrapNone/>
            <wp:docPr id="785" name="image23.png" descr=""/>
            <wp:cNvGraphicFramePr>
              <a:graphicFrameLocks noChangeAspect="1"/>
            </wp:cNvGraphicFramePr>
            <a:graphic>
              <a:graphicData uri="http://schemas.openxmlformats.org/drawingml/2006/picture">
                <pic:pic>
                  <pic:nvPicPr>
                    <pic:cNvPr id="786" name="image23.png"/>
                    <pic:cNvPicPr/>
                  </pic:nvPicPr>
                  <pic:blipFill>
                    <a:blip r:embed="rId29" cstate="print"/>
                    <a:stretch>
                      <a:fillRect/>
                    </a:stretch>
                  </pic:blipFill>
                  <pic:spPr>
                    <a:xfrm>
                      <a:off x="0" y="0"/>
                      <a:ext cx="139420" cy="155575"/>
                    </a:xfrm>
                    <a:prstGeom prst="rect">
                      <a:avLst/>
                    </a:prstGeom>
                  </pic:spPr>
                </pic:pic>
              </a:graphicData>
            </a:graphic>
          </wp:anchor>
        </w:drawing>
      </w:r>
    </w:p>
    <w:p>
      <w:pPr>
        <w:spacing w:after="0"/>
        <w:rPr>
          <w:rFonts w:ascii="Times New Roman"/>
          <w:sz w:val="17"/>
        </w:rPr>
        <w:sectPr>
          <w:footerReference w:type="default" r:id="rId100"/>
          <w:pgSz w:w="12750" w:h="17680"/>
          <w:pgMar w:footer="867" w:header="0" w:top="420" w:bottom="1060" w:left="0" w:right="0"/>
          <w:pgNumType w:start="168"/>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3"/>
        <w:rPr>
          <w:rFonts w:ascii="Times New Roman"/>
          <w:sz w:val="28"/>
        </w:rPr>
      </w:pPr>
    </w:p>
    <w:p>
      <w:pPr>
        <w:pStyle w:val="Heading1"/>
        <w:spacing w:line="644" w:lineRule="exact"/>
      </w:pPr>
      <w:r>
        <w:rPr/>
        <w:t>UWS Early Learning Limited</w:t>
      </w:r>
    </w:p>
    <w:p>
      <w:pPr>
        <w:spacing w:before="0"/>
        <w:ind w:left="1428" w:right="0" w:firstLine="0"/>
        <w:jc w:val="left"/>
        <w:rPr>
          <w:b/>
          <w:sz w:val="20"/>
        </w:rPr>
      </w:pPr>
      <w:r>
        <w:rPr>
          <w:b/>
          <w:sz w:val="20"/>
        </w:rPr>
        <w:t>ABN 39155993445</w:t>
      </w:r>
    </w:p>
    <w:p>
      <w:pPr>
        <w:pStyle w:val="BodyText"/>
        <w:spacing w:before="10"/>
        <w:rPr>
          <w:b/>
          <w:sz w:val="27"/>
        </w:rPr>
      </w:pPr>
    </w:p>
    <w:p>
      <w:pPr>
        <w:spacing w:before="1"/>
        <w:ind w:left="1428" w:right="0" w:firstLine="0"/>
        <w:jc w:val="left"/>
        <w:rPr>
          <w:b/>
          <w:sz w:val="28"/>
        </w:rPr>
      </w:pPr>
      <w:r>
        <w:rPr>
          <w:b/>
          <w:sz w:val="28"/>
        </w:rPr>
        <w:t>Financial Statements</w:t>
      </w:r>
    </w:p>
    <w:p>
      <w:pPr>
        <w:spacing w:before="230"/>
        <w:ind w:left="1428" w:right="0" w:firstLine="0"/>
        <w:jc w:val="left"/>
        <w:rPr>
          <w:b/>
          <w:sz w:val="20"/>
        </w:rPr>
      </w:pPr>
      <w:r>
        <w:rPr/>
        <w:drawing>
          <wp:anchor distT="0" distB="0" distL="0" distR="0" allowOverlap="1" layoutInCell="1" locked="0" behindDoc="0" simplePos="0" relativeHeight="11944">
            <wp:simplePos x="0" y="0"/>
            <wp:positionH relativeFrom="page">
              <wp:posOffset>-1587</wp:posOffset>
            </wp:positionH>
            <wp:positionV relativeFrom="paragraph">
              <wp:posOffset>426870</wp:posOffset>
            </wp:positionV>
            <wp:extent cx="135159" cy="154019"/>
            <wp:effectExtent l="0" t="0" r="0" b="0"/>
            <wp:wrapNone/>
            <wp:docPr id="787" name="image13.png" descr=""/>
            <wp:cNvGraphicFramePr>
              <a:graphicFrameLocks noChangeAspect="1"/>
            </wp:cNvGraphicFramePr>
            <a:graphic>
              <a:graphicData uri="http://schemas.openxmlformats.org/drawingml/2006/picture">
                <pic:pic>
                  <pic:nvPicPr>
                    <pic:cNvPr id="788" name="image13.png"/>
                    <pic:cNvPicPr/>
                  </pic:nvPicPr>
                  <pic:blipFill>
                    <a:blip r:embed="rId18" cstate="print"/>
                    <a:stretch>
                      <a:fillRect/>
                    </a:stretch>
                  </pic:blipFill>
                  <pic:spPr>
                    <a:xfrm>
                      <a:off x="0" y="0"/>
                      <a:ext cx="135159" cy="154019"/>
                    </a:xfrm>
                    <a:prstGeom prst="rect">
                      <a:avLst/>
                    </a:prstGeom>
                  </pic:spPr>
                </pic:pic>
              </a:graphicData>
            </a:graphic>
          </wp:anchor>
        </w:drawing>
      </w:r>
      <w:r>
        <w:rPr/>
        <w:drawing>
          <wp:anchor distT="0" distB="0" distL="0" distR="0" allowOverlap="1" layoutInCell="1" locked="0" behindDoc="0" simplePos="0" relativeHeight="11968">
            <wp:simplePos x="0" y="0"/>
            <wp:positionH relativeFrom="page">
              <wp:posOffset>7958429</wp:posOffset>
            </wp:positionH>
            <wp:positionV relativeFrom="paragraph">
              <wp:posOffset>426870</wp:posOffset>
            </wp:positionV>
            <wp:extent cx="135953" cy="155575"/>
            <wp:effectExtent l="0" t="0" r="0" b="0"/>
            <wp:wrapNone/>
            <wp:docPr id="789" name="image15.png" descr=""/>
            <wp:cNvGraphicFramePr>
              <a:graphicFrameLocks noChangeAspect="1"/>
            </wp:cNvGraphicFramePr>
            <a:graphic>
              <a:graphicData uri="http://schemas.openxmlformats.org/drawingml/2006/picture">
                <pic:pic>
                  <pic:nvPicPr>
                    <pic:cNvPr id="790" name="image15.png"/>
                    <pic:cNvPicPr/>
                  </pic:nvPicPr>
                  <pic:blipFill>
                    <a:blip r:embed="rId20" cstate="print"/>
                    <a:stretch>
                      <a:fillRect/>
                    </a:stretch>
                  </pic:blipFill>
                  <pic:spPr>
                    <a:xfrm>
                      <a:off x="0" y="0"/>
                      <a:ext cx="135953" cy="155575"/>
                    </a:xfrm>
                    <a:prstGeom prst="rect">
                      <a:avLst/>
                    </a:prstGeom>
                  </pic:spPr>
                </pic:pic>
              </a:graphicData>
            </a:graphic>
          </wp:anchor>
        </w:drawing>
      </w:r>
      <w:r>
        <w:rPr>
          <w:b/>
          <w:sz w:val="20"/>
        </w:rPr>
        <w:t>For the Year Ended 31 December 2016</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3"/>
        <w:rPr>
          <w:b/>
          <w:sz w:val="28"/>
        </w:rPr>
      </w:pPr>
    </w:p>
    <w:p>
      <w:pPr>
        <w:pStyle w:val="BodyText"/>
        <w:ind w:left="1429"/>
      </w:pPr>
      <w:r>
        <w:rPr/>
        <w:t>These financial statements are the individual entity statements of UWS Early Learning Limited (the Company).</w:t>
      </w:r>
    </w:p>
    <w:p>
      <w:pPr>
        <w:pStyle w:val="BodyText"/>
        <w:spacing w:before="7"/>
        <w:rPr>
          <w:sz w:val="14"/>
        </w:rPr>
      </w:pPr>
    </w:p>
    <w:p>
      <w:pPr>
        <w:pStyle w:val="BodyText"/>
        <w:ind w:left="1429" w:right="1375"/>
      </w:pPr>
      <w:r>
        <w:rPr/>
        <w:t>The Company is a company limited by guarantee, incorporated and domiciled in Australia. The financial statements are presented in Australian currency.</w:t>
      </w:r>
    </w:p>
    <w:p>
      <w:pPr>
        <w:pStyle w:val="BodyText"/>
        <w:spacing w:before="7"/>
        <w:rPr>
          <w:sz w:val="14"/>
        </w:rPr>
      </w:pPr>
    </w:p>
    <w:p>
      <w:pPr>
        <w:pStyle w:val="BodyText"/>
        <w:ind w:left="1429"/>
      </w:pPr>
      <w:r>
        <w:rPr/>
        <w:t>Its registered office is:</w:t>
      </w:r>
    </w:p>
    <w:p>
      <w:pPr>
        <w:pStyle w:val="BodyText"/>
        <w:spacing w:before="7"/>
        <w:rPr>
          <w:sz w:val="14"/>
        </w:rPr>
      </w:pPr>
    </w:p>
    <w:p>
      <w:pPr>
        <w:pStyle w:val="BodyText"/>
        <w:ind w:left="2108"/>
        <w:jc w:val="both"/>
      </w:pPr>
      <w:r>
        <w:rPr/>
        <w:t>UWS Early Learning Limited</w:t>
      </w:r>
    </w:p>
    <w:p>
      <w:pPr>
        <w:pStyle w:val="BodyText"/>
        <w:spacing w:before="7"/>
        <w:rPr>
          <w:sz w:val="14"/>
        </w:rPr>
      </w:pPr>
    </w:p>
    <w:p>
      <w:pPr>
        <w:pStyle w:val="BodyText"/>
        <w:spacing w:line="434" w:lineRule="auto"/>
        <w:ind w:left="2108" w:right="6610"/>
      </w:pPr>
      <w:r>
        <w:rPr/>
        <w:t>WSU Company Secretary, Entities, Finance Office Building M16 College Drive</w:t>
      </w:r>
    </w:p>
    <w:p>
      <w:pPr>
        <w:pStyle w:val="BodyText"/>
        <w:spacing w:line="434" w:lineRule="auto" w:before="5"/>
        <w:ind w:left="1429" w:right="8601" w:firstLine="679"/>
      </w:pPr>
      <w:r>
        <w:rPr/>
        <w:t>Richmond NSW 2753 The principal place of business is:</w:t>
      </w:r>
    </w:p>
    <w:p>
      <w:pPr>
        <w:pStyle w:val="BodyText"/>
        <w:spacing w:line="434" w:lineRule="auto" w:before="5"/>
        <w:ind w:left="2108" w:right="8481"/>
        <w:jc w:val="both"/>
      </w:pPr>
      <w:r>
        <w:rPr/>
        <w:t>Western Sydney University Building P18 College Drive Richmond NSW 2753</w:t>
      </w:r>
    </w:p>
    <w:p>
      <w:pPr>
        <w:pStyle w:val="BodyText"/>
      </w:pPr>
    </w:p>
    <w:p>
      <w:pPr>
        <w:pStyle w:val="BodyText"/>
        <w:spacing w:before="2"/>
        <w:rPr>
          <w:sz w:val="17"/>
        </w:rPr>
      </w:pPr>
    </w:p>
    <w:p>
      <w:pPr>
        <w:pStyle w:val="BodyText"/>
        <w:spacing w:before="1"/>
        <w:ind w:left="1429" w:right="1407"/>
      </w:pPr>
      <w:r>
        <w:rPr/>
        <w:t>The financial statements were authorised for issue by the Directors on 6 March 2017. The Directors have the power to amend and reissue the financial statements.</w:t>
      </w:r>
    </w:p>
    <w:p>
      <w:pPr>
        <w:spacing w:after="0"/>
        <w:sectPr>
          <w:pgSz w:w="12750" w:h="17680"/>
          <w:pgMar w:header="0" w:footer="867" w:top="420" w:bottom="1080" w:left="0" w:right="0"/>
        </w:sectPr>
      </w:pPr>
    </w:p>
    <w:p>
      <w:pPr>
        <w:pStyle w:val="BodyText"/>
        <w:spacing w:before="4"/>
        <w:rPr>
          <w:rFonts w:ascii="Times New Roman"/>
          <w:sz w:val="17"/>
        </w:rPr>
      </w:pPr>
      <w:r>
        <w:rPr/>
        <w:pict>
          <v:group style="position:absolute;margin-left:22.200001pt;margin-top:23.243017pt;width:593.65pt;height:839.2pt;mso-position-horizontal-relative:page;mso-position-vertical-relative:page;z-index:11992" coordorigin="444,465" coordsize="11873,16784">
            <v:shape style="position:absolute;left:444;top:465;width:11852;height:16784" type="#_x0000_t75" stroked="false">
              <v:imagedata r:id="rId102" o:title=""/>
            </v:shape>
            <v:shape style="position:absolute;left:11950;top:479;width:367;height:16718" coordorigin="11950,479" coordsize="367,16718" path="m12304,479l11950,479,11950,12889,12304,12889,12304,479m12317,12903l12002,12903,12002,17196,12317,17196,12317,12903e" filled="true" fillcolor="#ffffff" stroked="false">
              <v:path arrowok="t"/>
              <v:fill type="solid"/>
            </v:shape>
            <w10:wrap type="none"/>
          </v:group>
        </w:pict>
      </w:r>
      <w:r>
        <w:rPr/>
        <w:drawing>
          <wp:anchor distT="0" distB="0" distL="0" distR="0" allowOverlap="1" layoutInCell="1" locked="0" behindDoc="0" simplePos="0" relativeHeight="12016">
            <wp:simplePos x="0" y="0"/>
            <wp:positionH relativeFrom="page">
              <wp:posOffset>-1587</wp:posOffset>
            </wp:positionH>
            <wp:positionV relativeFrom="page">
              <wp:posOffset>5546318</wp:posOffset>
            </wp:positionV>
            <wp:extent cx="136413" cy="155448"/>
            <wp:effectExtent l="0" t="0" r="0" b="0"/>
            <wp:wrapNone/>
            <wp:docPr id="791" name="image22.png" descr=""/>
            <wp:cNvGraphicFramePr>
              <a:graphicFrameLocks noChangeAspect="1"/>
            </wp:cNvGraphicFramePr>
            <a:graphic>
              <a:graphicData uri="http://schemas.openxmlformats.org/drawingml/2006/picture">
                <pic:pic>
                  <pic:nvPicPr>
                    <pic:cNvPr id="792" name="image22.png"/>
                    <pic:cNvPicPr/>
                  </pic:nvPicPr>
                  <pic:blipFill>
                    <a:blip r:embed="rId28" cstate="print"/>
                    <a:stretch>
                      <a:fillRect/>
                    </a:stretch>
                  </pic:blipFill>
                  <pic:spPr>
                    <a:xfrm>
                      <a:off x="0" y="0"/>
                      <a:ext cx="136413" cy="155448"/>
                    </a:xfrm>
                    <a:prstGeom prst="rect">
                      <a:avLst/>
                    </a:prstGeom>
                  </pic:spPr>
                </pic:pic>
              </a:graphicData>
            </a:graphic>
          </wp:anchor>
        </w:drawing>
      </w:r>
      <w:r>
        <w:rPr/>
        <w:drawing>
          <wp:anchor distT="0" distB="0" distL="0" distR="0" allowOverlap="1" layoutInCell="1" locked="0" behindDoc="0" simplePos="0" relativeHeight="12040">
            <wp:simplePos x="0" y="0"/>
            <wp:positionH relativeFrom="page">
              <wp:posOffset>7954962</wp:posOffset>
            </wp:positionH>
            <wp:positionV relativeFrom="page">
              <wp:posOffset>5546318</wp:posOffset>
            </wp:positionV>
            <wp:extent cx="139420" cy="155575"/>
            <wp:effectExtent l="0" t="0" r="0" b="0"/>
            <wp:wrapNone/>
            <wp:docPr id="793" name="image23.png" descr=""/>
            <wp:cNvGraphicFramePr>
              <a:graphicFrameLocks noChangeAspect="1"/>
            </wp:cNvGraphicFramePr>
            <a:graphic>
              <a:graphicData uri="http://schemas.openxmlformats.org/drawingml/2006/picture">
                <pic:pic>
                  <pic:nvPicPr>
                    <pic:cNvPr id="794" name="image23.png"/>
                    <pic:cNvPicPr/>
                  </pic:nvPicPr>
                  <pic:blipFill>
                    <a:blip r:embed="rId29" cstate="print"/>
                    <a:stretch>
                      <a:fillRect/>
                    </a:stretch>
                  </pic:blipFill>
                  <pic:spPr>
                    <a:xfrm>
                      <a:off x="0" y="0"/>
                      <a:ext cx="139420" cy="155575"/>
                    </a:xfrm>
                    <a:prstGeom prst="rect">
                      <a:avLst/>
                    </a:prstGeom>
                  </pic:spPr>
                </pic:pic>
              </a:graphicData>
            </a:graphic>
          </wp:anchor>
        </w:drawing>
      </w:r>
    </w:p>
    <w:p>
      <w:pPr>
        <w:spacing w:after="0"/>
        <w:rPr>
          <w:rFonts w:ascii="Times New Roman"/>
          <w:sz w:val="17"/>
        </w:rPr>
        <w:sectPr>
          <w:pgSz w:w="12750" w:h="17680"/>
          <w:pgMar w:header="0" w:footer="867" w:top="420" w:bottom="1060" w:left="0" w:right="0"/>
        </w:sectPr>
      </w:pPr>
    </w:p>
    <w:p>
      <w:pPr>
        <w:pStyle w:val="BodyText"/>
        <w:spacing w:before="8"/>
        <w:rPr>
          <w:rFonts w:ascii="Times New Roman"/>
          <w:sz w:val="23"/>
        </w:rPr>
      </w:pPr>
    </w:p>
    <w:tbl>
      <w:tblPr>
        <w:tblW w:w="0" w:type="auto"/>
        <w:jc w:val="left"/>
        <w:tblInd w:w="139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541"/>
        <w:gridCol w:w="1817"/>
        <w:gridCol w:w="1458"/>
        <w:gridCol w:w="1137"/>
      </w:tblGrid>
      <w:tr>
        <w:trPr>
          <w:trHeight w:val="836" w:hRule="exact"/>
        </w:trPr>
        <w:tc>
          <w:tcPr>
            <w:tcW w:w="5541" w:type="dxa"/>
          </w:tcPr>
          <w:p>
            <w:pPr>
              <w:pStyle w:val="TableParagraph"/>
              <w:spacing w:before="69"/>
              <w:ind w:left="35"/>
              <w:jc w:val="left"/>
              <w:rPr>
                <w:b/>
                <w:sz w:val="24"/>
              </w:rPr>
            </w:pPr>
            <w:r>
              <w:rPr>
                <w:b/>
                <w:sz w:val="24"/>
              </w:rPr>
              <w:t>Statement of Comprehensive Income</w:t>
            </w:r>
          </w:p>
          <w:p>
            <w:pPr>
              <w:pStyle w:val="TableParagraph"/>
              <w:spacing w:before="57"/>
              <w:ind w:left="35"/>
              <w:jc w:val="left"/>
              <w:rPr>
                <w:b/>
                <w:sz w:val="22"/>
              </w:rPr>
            </w:pPr>
            <w:bookmarkStart w:name="Statement of Comprehensive Income" w:id="308"/>
            <w:bookmarkEnd w:id="308"/>
            <w:r>
              <w:rPr/>
            </w:r>
            <w:r>
              <w:rPr>
                <w:b/>
                <w:sz w:val="22"/>
              </w:rPr>
              <w:t>For the year ended 31 December 2016</w:t>
            </w:r>
          </w:p>
        </w:tc>
        <w:tc>
          <w:tcPr>
            <w:tcW w:w="4411" w:type="dxa"/>
            <w:gridSpan w:val="3"/>
          </w:tcPr>
          <w:p>
            <w:pPr/>
          </w:p>
        </w:tc>
      </w:tr>
      <w:tr>
        <w:trPr>
          <w:trHeight w:val="412" w:hRule="exact"/>
        </w:trPr>
        <w:tc>
          <w:tcPr>
            <w:tcW w:w="5541" w:type="dxa"/>
          </w:tcPr>
          <w:p>
            <w:pPr/>
          </w:p>
        </w:tc>
        <w:tc>
          <w:tcPr>
            <w:tcW w:w="1817" w:type="dxa"/>
          </w:tcPr>
          <w:p>
            <w:pPr/>
          </w:p>
        </w:tc>
        <w:tc>
          <w:tcPr>
            <w:tcW w:w="1458" w:type="dxa"/>
          </w:tcPr>
          <w:p>
            <w:pPr>
              <w:pStyle w:val="TableParagraph"/>
              <w:spacing w:before="1"/>
              <w:jc w:val="left"/>
              <w:rPr>
                <w:rFonts w:ascii="Times New Roman"/>
                <w:sz w:val="14"/>
              </w:rPr>
            </w:pPr>
          </w:p>
          <w:p>
            <w:pPr>
              <w:pStyle w:val="TableParagraph"/>
              <w:ind w:left="448"/>
              <w:jc w:val="left"/>
              <w:rPr>
                <w:b/>
                <w:sz w:val="18"/>
              </w:rPr>
            </w:pPr>
            <w:r>
              <w:rPr>
                <w:b/>
                <w:sz w:val="18"/>
              </w:rPr>
              <w:t>2016</w:t>
            </w:r>
          </w:p>
        </w:tc>
        <w:tc>
          <w:tcPr>
            <w:tcW w:w="1137" w:type="dxa"/>
          </w:tcPr>
          <w:p>
            <w:pPr>
              <w:pStyle w:val="TableParagraph"/>
              <w:spacing w:before="1"/>
              <w:jc w:val="left"/>
              <w:rPr>
                <w:rFonts w:ascii="Times New Roman"/>
                <w:sz w:val="14"/>
              </w:rPr>
            </w:pPr>
          </w:p>
          <w:p>
            <w:pPr>
              <w:pStyle w:val="TableParagraph"/>
              <w:ind w:left="288"/>
              <w:jc w:val="left"/>
              <w:rPr>
                <w:b/>
                <w:sz w:val="18"/>
              </w:rPr>
            </w:pPr>
            <w:r>
              <w:rPr>
                <w:b/>
                <w:sz w:val="18"/>
              </w:rPr>
              <w:t>2015</w:t>
            </w:r>
          </w:p>
        </w:tc>
      </w:tr>
      <w:tr>
        <w:trPr>
          <w:trHeight w:val="313" w:hRule="exact"/>
        </w:trPr>
        <w:tc>
          <w:tcPr>
            <w:tcW w:w="5541" w:type="dxa"/>
          </w:tcPr>
          <w:p>
            <w:pPr/>
          </w:p>
        </w:tc>
        <w:tc>
          <w:tcPr>
            <w:tcW w:w="1817" w:type="dxa"/>
          </w:tcPr>
          <w:p>
            <w:pPr>
              <w:pStyle w:val="TableParagraph"/>
              <w:spacing w:before="24"/>
              <w:ind w:left="1257" w:right="19"/>
              <w:jc w:val="center"/>
              <w:rPr>
                <w:b/>
                <w:sz w:val="18"/>
              </w:rPr>
            </w:pPr>
            <w:r>
              <w:rPr>
                <w:b/>
                <w:sz w:val="18"/>
              </w:rPr>
              <w:t>Notes</w:t>
            </w:r>
          </w:p>
        </w:tc>
        <w:tc>
          <w:tcPr>
            <w:tcW w:w="1458" w:type="dxa"/>
          </w:tcPr>
          <w:p>
            <w:pPr>
              <w:pStyle w:val="TableParagraph"/>
              <w:spacing w:before="24"/>
              <w:ind w:right="158"/>
              <w:jc w:val="center"/>
              <w:rPr>
                <w:b/>
                <w:sz w:val="18"/>
              </w:rPr>
            </w:pPr>
            <w:r>
              <w:rPr>
                <w:b/>
                <w:w w:val="99"/>
                <w:sz w:val="18"/>
              </w:rPr>
              <w:t>$</w:t>
            </w:r>
          </w:p>
        </w:tc>
        <w:tc>
          <w:tcPr>
            <w:tcW w:w="1137" w:type="dxa"/>
          </w:tcPr>
          <w:p>
            <w:pPr>
              <w:pStyle w:val="TableParagraph"/>
              <w:spacing w:before="24"/>
              <w:ind w:right="158"/>
              <w:jc w:val="center"/>
              <w:rPr>
                <w:b/>
                <w:sz w:val="18"/>
              </w:rPr>
            </w:pPr>
            <w:r>
              <w:rPr>
                <w:b/>
                <w:w w:val="99"/>
                <w:sz w:val="18"/>
              </w:rPr>
              <w:t>$</w:t>
            </w:r>
          </w:p>
        </w:tc>
      </w:tr>
      <w:tr>
        <w:trPr>
          <w:trHeight w:val="543" w:hRule="exact"/>
        </w:trPr>
        <w:tc>
          <w:tcPr>
            <w:tcW w:w="5541" w:type="dxa"/>
          </w:tcPr>
          <w:p>
            <w:pPr>
              <w:pStyle w:val="TableParagraph"/>
              <w:spacing w:before="63"/>
              <w:ind w:left="62"/>
              <w:jc w:val="left"/>
              <w:rPr>
                <w:b/>
                <w:sz w:val="18"/>
              </w:rPr>
            </w:pPr>
            <w:r>
              <w:rPr>
                <w:b/>
                <w:sz w:val="18"/>
              </w:rPr>
              <w:t>Revenue</w:t>
            </w:r>
          </w:p>
          <w:p>
            <w:pPr>
              <w:pStyle w:val="TableParagraph"/>
              <w:spacing w:before="27"/>
              <w:ind w:left="62"/>
              <w:jc w:val="left"/>
              <w:rPr>
                <w:sz w:val="18"/>
              </w:rPr>
            </w:pPr>
            <w:r>
              <w:rPr>
                <w:sz w:val="18"/>
              </w:rPr>
              <w:t>Child Care Services</w:t>
            </w:r>
          </w:p>
        </w:tc>
        <w:tc>
          <w:tcPr>
            <w:tcW w:w="1817" w:type="dxa"/>
          </w:tcPr>
          <w:p>
            <w:pPr>
              <w:pStyle w:val="TableParagraph"/>
              <w:spacing w:before="11"/>
              <w:jc w:val="left"/>
              <w:rPr>
                <w:rFonts w:ascii="Times New Roman"/>
                <w:sz w:val="25"/>
              </w:rPr>
            </w:pPr>
          </w:p>
          <w:p>
            <w:pPr>
              <w:pStyle w:val="TableParagraph"/>
              <w:ind w:left="1240"/>
              <w:jc w:val="center"/>
              <w:rPr>
                <w:sz w:val="18"/>
              </w:rPr>
            </w:pPr>
            <w:r>
              <w:rPr>
                <w:w w:val="99"/>
                <w:sz w:val="18"/>
              </w:rPr>
              <w:t>2</w:t>
            </w:r>
          </w:p>
        </w:tc>
        <w:tc>
          <w:tcPr>
            <w:tcW w:w="1458" w:type="dxa"/>
          </w:tcPr>
          <w:p>
            <w:pPr>
              <w:pStyle w:val="TableParagraph"/>
              <w:spacing w:before="11"/>
              <w:jc w:val="left"/>
              <w:rPr>
                <w:rFonts w:ascii="Times New Roman"/>
                <w:sz w:val="25"/>
              </w:rPr>
            </w:pPr>
          </w:p>
          <w:p>
            <w:pPr>
              <w:pStyle w:val="TableParagraph"/>
              <w:ind w:left="410"/>
              <w:jc w:val="left"/>
              <w:rPr>
                <w:b/>
                <w:sz w:val="18"/>
              </w:rPr>
            </w:pPr>
            <w:r>
              <w:rPr>
                <w:b/>
                <w:sz w:val="18"/>
              </w:rPr>
              <w:t>6,397,816</w:t>
            </w:r>
          </w:p>
        </w:tc>
        <w:tc>
          <w:tcPr>
            <w:tcW w:w="1137" w:type="dxa"/>
          </w:tcPr>
          <w:p>
            <w:pPr>
              <w:pStyle w:val="TableParagraph"/>
              <w:spacing w:before="11"/>
              <w:jc w:val="left"/>
              <w:rPr>
                <w:rFonts w:ascii="Times New Roman"/>
                <w:sz w:val="25"/>
              </w:rPr>
            </w:pPr>
          </w:p>
          <w:p>
            <w:pPr>
              <w:pStyle w:val="TableParagraph"/>
              <w:ind w:right="86"/>
              <w:rPr>
                <w:sz w:val="18"/>
              </w:rPr>
            </w:pPr>
            <w:r>
              <w:rPr>
                <w:w w:val="95"/>
                <w:sz w:val="18"/>
              </w:rPr>
              <w:t>6,010,368</w:t>
            </w:r>
          </w:p>
        </w:tc>
      </w:tr>
      <w:tr>
        <w:trPr>
          <w:trHeight w:val="264" w:hRule="exact"/>
        </w:trPr>
        <w:tc>
          <w:tcPr>
            <w:tcW w:w="5541" w:type="dxa"/>
          </w:tcPr>
          <w:p>
            <w:pPr>
              <w:pStyle w:val="TableParagraph"/>
              <w:spacing w:before="18"/>
              <w:ind w:left="62"/>
              <w:jc w:val="left"/>
              <w:rPr>
                <w:sz w:val="18"/>
              </w:rPr>
            </w:pPr>
            <w:r>
              <w:rPr>
                <w:sz w:val="18"/>
              </w:rPr>
              <w:t>Interest</w:t>
            </w:r>
          </w:p>
        </w:tc>
        <w:tc>
          <w:tcPr>
            <w:tcW w:w="1817" w:type="dxa"/>
          </w:tcPr>
          <w:p>
            <w:pPr/>
          </w:p>
        </w:tc>
        <w:tc>
          <w:tcPr>
            <w:tcW w:w="1458" w:type="dxa"/>
          </w:tcPr>
          <w:p>
            <w:pPr>
              <w:pStyle w:val="TableParagraph"/>
              <w:spacing w:before="19"/>
              <w:ind w:right="247"/>
              <w:rPr>
                <w:b/>
                <w:sz w:val="18"/>
              </w:rPr>
            </w:pPr>
            <w:r>
              <w:rPr>
                <w:b/>
                <w:w w:val="95"/>
                <w:sz w:val="18"/>
              </w:rPr>
              <w:t>37,479</w:t>
            </w:r>
          </w:p>
        </w:tc>
        <w:tc>
          <w:tcPr>
            <w:tcW w:w="1137" w:type="dxa"/>
          </w:tcPr>
          <w:p>
            <w:pPr>
              <w:pStyle w:val="TableParagraph"/>
              <w:spacing w:before="19"/>
              <w:ind w:right="86"/>
              <w:rPr>
                <w:sz w:val="18"/>
              </w:rPr>
            </w:pPr>
            <w:r>
              <w:rPr>
                <w:w w:val="95"/>
                <w:sz w:val="18"/>
              </w:rPr>
              <w:t>32,537</w:t>
            </w:r>
          </w:p>
        </w:tc>
      </w:tr>
      <w:tr>
        <w:trPr>
          <w:trHeight w:val="263" w:hRule="exact"/>
        </w:trPr>
        <w:tc>
          <w:tcPr>
            <w:tcW w:w="5541" w:type="dxa"/>
          </w:tcPr>
          <w:p>
            <w:pPr>
              <w:pStyle w:val="TableParagraph"/>
              <w:spacing w:before="18"/>
              <w:ind w:left="62"/>
              <w:jc w:val="left"/>
              <w:rPr>
                <w:sz w:val="18"/>
              </w:rPr>
            </w:pPr>
            <w:r>
              <w:rPr>
                <w:sz w:val="18"/>
              </w:rPr>
              <w:t>Other Revenue</w:t>
            </w:r>
          </w:p>
        </w:tc>
        <w:tc>
          <w:tcPr>
            <w:tcW w:w="1817" w:type="dxa"/>
          </w:tcPr>
          <w:p>
            <w:pPr>
              <w:pStyle w:val="TableParagraph"/>
              <w:spacing w:before="19"/>
              <w:ind w:left="1240"/>
              <w:jc w:val="center"/>
              <w:rPr>
                <w:sz w:val="18"/>
              </w:rPr>
            </w:pPr>
            <w:r>
              <w:rPr>
                <w:w w:val="99"/>
                <w:sz w:val="18"/>
              </w:rPr>
              <w:t>2</w:t>
            </w:r>
          </w:p>
        </w:tc>
        <w:tc>
          <w:tcPr>
            <w:tcW w:w="1458" w:type="dxa"/>
            <w:tcBorders>
              <w:bottom w:val="single" w:sz="0" w:space="0" w:color="000000"/>
            </w:tcBorders>
          </w:tcPr>
          <w:p>
            <w:pPr>
              <w:pStyle w:val="TableParagraph"/>
              <w:spacing w:before="19"/>
              <w:ind w:left="560"/>
              <w:jc w:val="left"/>
              <w:rPr>
                <w:b/>
                <w:sz w:val="18"/>
              </w:rPr>
            </w:pPr>
            <w:r>
              <w:rPr>
                <w:b/>
                <w:sz w:val="18"/>
              </w:rPr>
              <w:t>123,284</w:t>
            </w:r>
          </w:p>
        </w:tc>
        <w:tc>
          <w:tcPr>
            <w:tcW w:w="1137" w:type="dxa"/>
            <w:tcBorders>
              <w:bottom w:val="single" w:sz="0" w:space="0" w:color="000000"/>
            </w:tcBorders>
          </w:tcPr>
          <w:p>
            <w:pPr>
              <w:pStyle w:val="TableParagraph"/>
              <w:spacing w:before="19"/>
              <w:ind w:right="86"/>
              <w:rPr>
                <w:sz w:val="18"/>
              </w:rPr>
            </w:pPr>
            <w:r>
              <w:rPr>
                <w:w w:val="95"/>
                <w:sz w:val="18"/>
              </w:rPr>
              <w:t>162,741</w:t>
            </w:r>
          </w:p>
        </w:tc>
      </w:tr>
      <w:tr>
        <w:trPr>
          <w:trHeight w:val="338" w:hRule="exact"/>
        </w:trPr>
        <w:tc>
          <w:tcPr>
            <w:tcW w:w="5541" w:type="dxa"/>
          </w:tcPr>
          <w:p>
            <w:pPr>
              <w:pStyle w:val="TableParagraph"/>
              <w:spacing w:before="123"/>
              <w:ind w:left="62"/>
              <w:jc w:val="left"/>
              <w:rPr>
                <w:b/>
                <w:sz w:val="18"/>
              </w:rPr>
            </w:pPr>
            <w:r>
              <w:rPr>
                <w:b/>
                <w:sz w:val="18"/>
              </w:rPr>
              <w:t>Total Revenue</w:t>
            </w:r>
          </w:p>
        </w:tc>
        <w:tc>
          <w:tcPr>
            <w:tcW w:w="1817" w:type="dxa"/>
          </w:tcPr>
          <w:p>
            <w:pPr/>
          </w:p>
        </w:tc>
        <w:tc>
          <w:tcPr>
            <w:tcW w:w="1458" w:type="dxa"/>
            <w:tcBorders>
              <w:top w:val="single" w:sz="0" w:space="0" w:color="000000"/>
              <w:bottom w:val="single" w:sz="0" w:space="0" w:color="000000"/>
            </w:tcBorders>
          </w:tcPr>
          <w:p>
            <w:pPr>
              <w:pStyle w:val="TableParagraph"/>
              <w:spacing w:before="122"/>
              <w:ind w:left="410"/>
              <w:jc w:val="left"/>
              <w:rPr>
                <w:b/>
                <w:sz w:val="18"/>
              </w:rPr>
            </w:pPr>
            <w:r>
              <w:rPr>
                <w:b/>
                <w:sz w:val="18"/>
              </w:rPr>
              <w:t>6,558,579</w:t>
            </w:r>
          </w:p>
        </w:tc>
        <w:tc>
          <w:tcPr>
            <w:tcW w:w="1137" w:type="dxa"/>
            <w:tcBorders>
              <w:top w:val="single" w:sz="0" w:space="0" w:color="000000"/>
              <w:bottom w:val="single" w:sz="0" w:space="0" w:color="000000"/>
            </w:tcBorders>
          </w:tcPr>
          <w:p>
            <w:pPr>
              <w:pStyle w:val="TableParagraph"/>
              <w:spacing w:before="122"/>
              <w:ind w:right="86"/>
              <w:rPr>
                <w:sz w:val="18"/>
              </w:rPr>
            </w:pPr>
            <w:r>
              <w:rPr>
                <w:w w:val="95"/>
                <w:sz w:val="18"/>
              </w:rPr>
              <w:t>6,205,646</w:t>
            </w:r>
          </w:p>
        </w:tc>
      </w:tr>
      <w:tr>
        <w:trPr>
          <w:trHeight w:val="603" w:hRule="exact"/>
        </w:trPr>
        <w:tc>
          <w:tcPr>
            <w:tcW w:w="5541" w:type="dxa"/>
          </w:tcPr>
          <w:p>
            <w:pPr>
              <w:pStyle w:val="TableParagraph"/>
              <w:spacing w:before="123"/>
              <w:ind w:left="62"/>
              <w:jc w:val="left"/>
              <w:rPr>
                <w:b/>
                <w:sz w:val="18"/>
              </w:rPr>
            </w:pPr>
            <w:r>
              <w:rPr>
                <w:b/>
                <w:sz w:val="18"/>
              </w:rPr>
              <w:t>Expenses</w:t>
            </w:r>
          </w:p>
          <w:p>
            <w:pPr>
              <w:pStyle w:val="TableParagraph"/>
              <w:spacing w:before="27"/>
              <w:ind w:left="62"/>
              <w:jc w:val="left"/>
              <w:rPr>
                <w:sz w:val="18"/>
              </w:rPr>
            </w:pPr>
            <w:r>
              <w:rPr>
                <w:sz w:val="18"/>
              </w:rPr>
              <w:t>Employee Benefits Expense</w:t>
            </w:r>
          </w:p>
        </w:tc>
        <w:tc>
          <w:tcPr>
            <w:tcW w:w="1817" w:type="dxa"/>
          </w:tcPr>
          <w:p>
            <w:pPr>
              <w:pStyle w:val="TableParagraph"/>
              <w:jc w:val="left"/>
              <w:rPr>
                <w:rFonts w:ascii="Times New Roman"/>
                <w:sz w:val="18"/>
              </w:rPr>
            </w:pPr>
          </w:p>
          <w:p>
            <w:pPr>
              <w:pStyle w:val="TableParagraph"/>
              <w:spacing w:before="151"/>
              <w:ind w:left="1240"/>
              <w:jc w:val="center"/>
              <w:rPr>
                <w:sz w:val="18"/>
              </w:rPr>
            </w:pPr>
            <w:r>
              <w:rPr>
                <w:w w:val="99"/>
                <w:sz w:val="18"/>
              </w:rPr>
              <w:t>3</w:t>
            </w:r>
          </w:p>
        </w:tc>
        <w:tc>
          <w:tcPr>
            <w:tcW w:w="1458" w:type="dxa"/>
            <w:tcBorders>
              <w:top w:val="single" w:sz="0" w:space="0" w:color="000000"/>
            </w:tcBorders>
          </w:tcPr>
          <w:p>
            <w:pPr>
              <w:pStyle w:val="TableParagraph"/>
              <w:jc w:val="left"/>
              <w:rPr>
                <w:rFonts w:ascii="Times New Roman"/>
                <w:sz w:val="18"/>
              </w:rPr>
            </w:pPr>
          </w:p>
          <w:p>
            <w:pPr>
              <w:pStyle w:val="TableParagraph"/>
              <w:spacing w:before="151"/>
              <w:ind w:right="187"/>
              <w:rPr>
                <w:b/>
                <w:sz w:val="18"/>
              </w:rPr>
            </w:pPr>
            <w:r>
              <w:rPr>
                <w:b/>
                <w:w w:val="95"/>
                <w:sz w:val="18"/>
              </w:rPr>
              <w:t>(5,551,480)</w:t>
            </w:r>
          </w:p>
        </w:tc>
        <w:tc>
          <w:tcPr>
            <w:tcW w:w="1137" w:type="dxa"/>
            <w:tcBorders>
              <w:top w:val="single" w:sz="0" w:space="0" w:color="000000"/>
            </w:tcBorders>
          </w:tcPr>
          <w:p>
            <w:pPr>
              <w:pStyle w:val="TableParagraph"/>
              <w:jc w:val="left"/>
              <w:rPr>
                <w:rFonts w:ascii="Times New Roman"/>
                <w:sz w:val="18"/>
              </w:rPr>
            </w:pPr>
          </w:p>
          <w:p>
            <w:pPr>
              <w:pStyle w:val="TableParagraph"/>
              <w:spacing w:before="151"/>
              <w:ind w:right="27"/>
              <w:rPr>
                <w:sz w:val="18"/>
              </w:rPr>
            </w:pPr>
            <w:r>
              <w:rPr>
                <w:w w:val="95"/>
                <w:sz w:val="18"/>
              </w:rPr>
              <w:t>(5,333,351)</w:t>
            </w:r>
          </w:p>
        </w:tc>
      </w:tr>
      <w:tr>
        <w:trPr>
          <w:trHeight w:val="264" w:hRule="exact"/>
        </w:trPr>
        <w:tc>
          <w:tcPr>
            <w:tcW w:w="5541" w:type="dxa"/>
          </w:tcPr>
          <w:p>
            <w:pPr>
              <w:pStyle w:val="TableParagraph"/>
              <w:spacing w:before="18"/>
              <w:ind w:left="62"/>
              <w:jc w:val="left"/>
              <w:rPr>
                <w:sz w:val="18"/>
              </w:rPr>
            </w:pPr>
            <w:r>
              <w:rPr>
                <w:sz w:val="18"/>
              </w:rPr>
              <w:t>Provision for Doubtful Debts</w:t>
            </w:r>
          </w:p>
        </w:tc>
        <w:tc>
          <w:tcPr>
            <w:tcW w:w="1817" w:type="dxa"/>
          </w:tcPr>
          <w:p>
            <w:pPr/>
          </w:p>
        </w:tc>
        <w:tc>
          <w:tcPr>
            <w:tcW w:w="1458" w:type="dxa"/>
          </w:tcPr>
          <w:p>
            <w:pPr>
              <w:pStyle w:val="TableParagraph"/>
              <w:spacing w:before="19"/>
              <w:ind w:right="187"/>
              <w:rPr>
                <w:b/>
                <w:sz w:val="18"/>
              </w:rPr>
            </w:pPr>
            <w:r>
              <w:rPr>
                <w:b/>
                <w:w w:val="95"/>
                <w:sz w:val="18"/>
              </w:rPr>
              <w:t>(4,141)</w:t>
            </w:r>
          </w:p>
        </w:tc>
        <w:tc>
          <w:tcPr>
            <w:tcW w:w="1137" w:type="dxa"/>
          </w:tcPr>
          <w:p>
            <w:pPr>
              <w:pStyle w:val="TableParagraph"/>
              <w:spacing w:before="19"/>
              <w:ind w:right="27"/>
              <w:rPr>
                <w:sz w:val="18"/>
              </w:rPr>
            </w:pPr>
            <w:r>
              <w:rPr>
                <w:w w:val="95"/>
                <w:sz w:val="18"/>
              </w:rPr>
              <w:t>(14,818)</w:t>
            </w:r>
          </w:p>
        </w:tc>
      </w:tr>
      <w:tr>
        <w:trPr>
          <w:trHeight w:val="263" w:hRule="exact"/>
        </w:trPr>
        <w:tc>
          <w:tcPr>
            <w:tcW w:w="5541" w:type="dxa"/>
          </w:tcPr>
          <w:p>
            <w:pPr>
              <w:pStyle w:val="TableParagraph"/>
              <w:spacing w:before="18"/>
              <w:ind w:left="62"/>
              <w:jc w:val="left"/>
              <w:rPr>
                <w:sz w:val="18"/>
              </w:rPr>
            </w:pPr>
            <w:r>
              <w:rPr>
                <w:sz w:val="18"/>
              </w:rPr>
              <w:t>Other Expenses</w:t>
            </w:r>
          </w:p>
        </w:tc>
        <w:tc>
          <w:tcPr>
            <w:tcW w:w="1817" w:type="dxa"/>
          </w:tcPr>
          <w:p>
            <w:pPr>
              <w:pStyle w:val="TableParagraph"/>
              <w:spacing w:before="19"/>
              <w:ind w:left="1240"/>
              <w:jc w:val="center"/>
              <w:rPr>
                <w:sz w:val="18"/>
              </w:rPr>
            </w:pPr>
            <w:r>
              <w:rPr>
                <w:w w:val="99"/>
                <w:sz w:val="18"/>
              </w:rPr>
              <w:t>3</w:t>
            </w:r>
          </w:p>
        </w:tc>
        <w:tc>
          <w:tcPr>
            <w:tcW w:w="1458" w:type="dxa"/>
            <w:tcBorders>
              <w:bottom w:val="single" w:sz="0" w:space="0" w:color="000000"/>
            </w:tcBorders>
          </w:tcPr>
          <w:p>
            <w:pPr>
              <w:pStyle w:val="TableParagraph"/>
              <w:spacing w:before="19"/>
              <w:ind w:right="187"/>
              <w:rPr>
                <w:b/>
                <w:sz w:val="18"/>
              </w:rPr>
            </w:pPr>
            <w:r>
              <w:rPr>
                <w:b/>
                <w:w w:val="95"/>
                <w:sz w:val="18"/>
              </w:rPr>
              <w:t>(770,037)</w:t>
            </w:r>
          </w:p>
        </w:tc>
        <w:tc>
          <w:tcPr>
            <w:tcW w:w="1137" w:type="dxa"/>
            <w:tcBorders>
              <w:bottom w:val="single" w:sz="0" w:space="0" w:color="000000"/>
            </w:tcBorders>
          </w:tcPr>
          <w:p>
            <w:pPr>
              <w:pStyle w:val="TableParagraph"/>
              <w:spacing w:before="19"/>
              <w:ind w:right="27"/>
              <w:rPr>
                <w:sz w:val="18"/>
              </w:rPr>
            </w:pPr>
            <w:r>
              <w:rPr>
                <w:w w:val="95"/>
                <w:sz w:val="18"/>
              </w:rPr>
              <w:t>(640,823)</w:t>
            </w:r>
          </w:p>
        </w:tc>
      </w:tr>
      <w:tr>
        <w:trPr>
          <w:trHeight w:val="338" w:hRule="exact"/>
        </w:trPr>
        <w:tc>
          <w:tcPr>
            <w:tcW w:w="5541" w:type="dxa"/>
          </w:tcPr>
          <w:p>
            <w:pPr>
              <w:pStyle w:val="TableParagraph"/>
              <w:spacing w:before="123"/>
              <w:ind w:left="62"/>
              <w:jc w:val="left"/>
              <w:rPr>
                <w:b/>
                <w:sz w:val="18"/>
              </w:rPr>
            </w:pPr>
            <w:r>
              <w:rPr>
                <w:b/>
                <w:sz w:val="18"/>
              </w:rPr>
              <w:t>Total Expenses</w:t>
            </w:r>
          </w:p>
        </w:tc>
        <w:tc>
          <w:tcPr>
            <w:tcW w:w="1817" w:type="dxa"/>
          </w:tcPr>
          <w:p>
            <w:pPr/>
          </w:p>
        </w:tc>
        <w:tc>
          <w:tcPr>
            <w:tcW w:w="1458" w:type="dxa"/>
            <w:tcBorders>
              <w:top w:val="single" w:sz="0" w:space="0" w:color="000000"/>
              <w:bottom w:val="single" w:sz="0" w:space="0" w:color="000000"/>
            </w:tcBorders>
          </w:tcPr>
          <w:p>
            <w:pPr>
              <w:pStyle w:val="TableParagraph"/>
              <w:spacing w:before="122"/>
              <w:ind w:right="187"/>
              <w:rPr>
                <w:b/>
                <w:sz w:val="18"/>
              </w:rPr>
            </w:pPr>
            <w:r>
              <w:rPr>
                <w:b/>
                <w:w w:val="95"/>
                <w:sz w:val="18"/>
              </w:rPr>
              <w:t>(6,325,658)</w:t>
            </w:r>
          </w:p>
        </w:tc>
        <w:tc>
          <w:tcPr>
            <w:tcW w:w="1137" w:type="dxa"/>
            <w:tcBorders>
              <w:top w:val="single" w:sz="0" w:space="0" w:color="000000"/>
              <w:bottom w:val="single" w:sz="0" w:space="0" w:color="000000"/>
            </w:tcBorders>
          </w:tcPr>
          <w:p>
            <w:pPr>
              <w:pStyle w:val="TableParagraph"/>
              <w:spacing w:before="122"/>
              <w:ind w:right="27"/>
              <w:rPr>
                <w:sz w:val="18"/>
              </w:rPr>
            </w:pPr>
            <w:r>
              <w:rPr>
                <w:w w:val="95"/>
                <w:sz w:val="18"/>
              </w:rPr>
              <w:t>(5,988,992)</w:t>
            </w:r>
          </w:p>
        </w:tc>
      </w:tr>
      <w:tr>
        <w:trPr>
          <w:trHeight w:val="426" w:hRule="exact"/>
        </w:trPr>
        <w:tc>
          <w:tcPr>
            <w:tcW w:w="5541" w:type="dxa"/>
          </w:tcPr>
          <w:p>
            <w:pPr>
              <w:pStyle w:val="TableParagraph"/>
              <w:spacing w:before="123"/>
              <w:ind w:left="62"/>
              <w:jc w:val="left"/>
              <w:rPr>
                <w:b/>
                <w:sz w:val="18"/>
              </w:rPr>
            </w:pPr>
            <w:r>
              <w:rPr>
                <w:b/>
                <w:sz w:val="18"/>
              </w:rPr>
              <w:t>Surplus (Deficit) for the year</w:t>
            </w:r>
          </w:p>
        </w:tc>
        <w:tc>
          <w:tcPr>
            <w:tcW w:w="1817" w:type="dxa"/>
          </w:tcPr>
          <w:p>
            <w:pPr/>
          </w:p>
        </w:tc>
        <w:tc>
          <w:tcPr>
            <w:tcW w:w="1458" w:type="dxa"/>
            <w:tcBorders>
              <w:top w:val="single" w:sz="0" w:space="0" w:color="000000"/>
            </w:tcBorders>
          </w:tcPr>
          <w:p>
            <w:pPr>
              <w:pStyle w:val="TableParagraph"/>
              <w:spacing w:before="122"/>
              <w:ind w:left="560"/>
              <w:jc w:val="left"/>
              <w:rPr>
                <w:b/>
                <w:sz w:val="18"/>
              </w:rPr>
            </w:pPr>
            <w:r>
              <w:rPr>
                <w:b/>
                <w:sz w:val="18"/>
              </w:rPr>
              <w:t>232,921</w:t>
            </w:r>
          </w:p>
        </w:tc>
        <w:tc>
          <w:tcPr>
            <w:tcW w:w="1137" w:type="dxa"/>
            <w:tcBorders>
              <w:top w:val="single" w:sz="0" w:space="0" w:color="000000"/>
            </w:tcBorders>
          </w:tcPr>
          <w:p>
            <w:pPr>
              <w:pStyle w:val="TableParagraph"/>
              <w:spacing w:before="122"/>
              <w:ind w:right="86"/>
              <w:rPr>
                <w:sz w:val="18"/>
              </w:rPr>
            </w:pPr>
            <w:r>
              <w:rPr>
                <w:w w:val="95"/>
                <w:sz w:val="18"/>
              </w:rPr>
              <w:t>216,654</w:t>
            </w:r>
          </w:p>
        </w:tc>
      </w:tr>
    </w:tbl>
    <w:p>
      <w:pPr>
        <w:pStyle w:val="Heading8"/>
        <w:tabs>
          <w:tab w:pos="8750" w:val="left" w:leader="none"/>
          <w:tab w:pos="9898" w:val="left" w:leader="none"/>
          <w:tab w:pos="11195" w:val="left" w:leader="none"/>
        </w:tabs>
        <w:spacing w:before="35"/>
        <w:ind w:left="1455"/>
        <w:rPr>
          <w:b w:val="0"/>
        </w:rPr>
      </w:pPr>
      <w:r>
        <w:rPr/>
        <w:t>Other Comprehensive Income for</w:t>
      </w:r>
      <w:r>
        <w:rPr>
          <w:spacing w:val="-13"/>
        </w:rPr>
        <w:t> </w:t>
      </w:r>
      <w:r>
        <w:rPr/>
        <w:t>the</w:t>
      </w:r>
      <w:r>
        <w:rPr>
          <w:spacing w:val="-4"/>
        </w:rPr>
        <w:t> </w:t>
      </w:r>
      <w:r>
        <w:rPr/>
        <w:t>year</w:t>
        <w:tab/>
      </w:r>
      <w:r>
        <w:rPr>
          <w:rFonts w:ascii="Times New Roman"/>
          <w:b w:val="0"/>
          <w:u w:val="single"/>
        </w:rPr>
        <w:t> </w:t>
        <w:tab/>
      </w:r>
      <w:r>
        <w:rPr>
          <w:u w:val="single"/>
        </w:rPr>
        <w:t>-</w:t>
        <w:tab/>
      </w:r>
      <w:r>
        <w:rPr>
          <w:b w:val="0"/>
          <w:u w:val="single"/>
        </w:rPr>
        <w:t>-</w:t>
      </w:r>
    </w:p>
    <w:p>
      <w:pPr>
        <w:tabs>
          <w:tab w:pos="9310" w:val="left" w:leader="none"/>
          <w:tab w:pos="10607" w:val="left" w:leader="none"/>
        </w:tabs>
        <w:spacing w:before="131"/>
        <w:ind w:left="1455" w:right="0" w:firstLine="0"/>
        <w:jc w:val="left"/>
        <w:rPr>
          <w:sz w:val="18"/>
        </w:rPr>
      </w:pPr>
      <w:r>
        <w:rPr/>
        <w:drawing>
          <wp:anchor distT="0" distB="0" distL="0" distR="0" allowOverlap="1" layoutInCell="1" locked="0" behindDoc="0" simplePos="0" relativeHeight="12088">
            <wp:simplePos x="0" y="0"/>
            <wp:positionH relativeFrom="page">
              <wp:posOffset>-1587</wp:posOffset>
            </wp:positionH>
            <wp:positionV relativeFrom="paragraph">
              <wp:posOffset>913687</wp:posOffset>
            </wp:positionV>
            <wp:extent cx="135159" cy="154019"/>
            <wp:effectExtent l="0" t="0" r="0" b="0"/>
            <wp:wrapNone/>
            <wp:docPr id="799" name="image13.png" descr=""/>
            <wp:cNvGraphicFramePr>
              <a:graphicFrameLocks noChangeAspect="1"/>
            </wp:cNvGraphicFramePr>
            <a:graphic>
              <a:graphicData uri="http://schemas.openxmlformats.org/drawingml/2006/picture">
                <pic:pic>
                  <pic:nvPicPr>
                    <pic:cNvPr id="800" name="image13.png"/>
                    <pic:cNvPicPr/>
                  </pic:nvPicPr>
                  <pic:blipFill>
                    <a:blip r:embed="rId18" cstate="print"/>
                    <a:stretch>
                      <a:fillRect/>
                    </a:stretch>
                  </pic:blipFill>
                  <pic:spPr>
                    <a:xfrm>
                      <a:off x="0" y="0"/>
                      <a:ext cx="135159" cy="154019"/>
                    </a:xfrm>
                    <a:prstGeom prst="rect">
                      <a:avLst/>
                    </a:prstGeom>
                  </pic:spPr>
                </pic:pic>
              </a:graphicData>
            </a:graphic>
          </wp:anchor>
        </w:drawing>
      </w:r>
      <w:r>
        <w:rPr/>
        <w:drawing>
          <wp:anchor distT="0" distB="0" distL="0" distR="0" allowOverlap="1" layoutInCell="1" locked="0" behindDoc="0" simplePos="0" relativeHeight="12112">
            <wp:simplePos x="0" y="0"/>
            <wp:positionH relativeFrom="page">
              <wp:posOffset>7958429</wp:posOffset>
            </wp:positionH>
            <wp:positionV relativeFrom="paragraph">
              <wp:posOffset>913687</wp:posOffset>
            </wp:positionV>
            <wp:extent cx="135953" cy="155575"/>
            <wp:effectExtent l="0" t="0" r="0" b="0"/>
            <wp:wrapNone/>
            <wp:docPr id="801" name="image15.png" descr=""/>
            <wp:cNvGraphicFramePr>
              <a:graphicFrameLocks noChangeAspect="1"/>
            </wp:cNvGraphicFramePr>
            <a:graphic>
              <a:graphicData uri="http://schemas.openxmlformats.org/drawingml/2006/picture">
                <pic:pic>
                  <pic:nvPicPr>
                    <pic:cNvPr id="802" name="image15.png"/>
                    <pic:cNvPicPr/>
                  </pic:nvPicPr>
                  <pic:blipFill>
                    <a:blip r:embed="rId20" cstate="print"/>
                    <a:stretch>
                      <a:fillRect/>
                    </a:stretch>
                  </pic:blipFill>
                  <pic:spPr>
                    <a:xfrm>
                      <a:off x="0" y="0"/>
                      <a:ext cx="135953" cy="155575"/>
                    </a:xfrm>
                    <a:prstGeom prst="rect">
                      <a:avLst/>
                    </a:prstGeom>
                  </pic:spPr>
                </pic:pic>
              </a:graphicData>
            </a:graphic>
          </wp:anchor>
        </w:drawing>
      </w:r>
      <w:r>
        <w:rPr>
          <w:b/>
          <w:sz w:val="18"/>
        </w:rPr>
        <w:t>Total Comprehensive Income for</w:t>
      </w:r>
      <w:r>
        <w:rPr>
          <w:b/>
          <w:spacing w:val="-12"/>
          <w:sz w:val="18"/>
        </w:rPr>
        <w:t> </w:t>
      </w:r>
      <w:r>
        <w:rPr>
          <w:b/>
          <w:sz w:val="18"/>
        </w:rPr>
        <w:t>the</w:t>
      </w:r>
      <w:r>
        <w:rPr>
          <w:b/>
          <w:spacing w:val="-4"/>
          <w:sz w:val="18"/>
        </w:rPr>
        <w:t> </w:t>
      </w:r>
      <w:r>
        <w:rPr>
          <w:b/>
          <w:sz w:val="18"/>
        </w:rPr>
        <w:t>year</w:t>
        <w:tab/>
        <w:t>232,921</w:t>
        <w:tab/>
      </w:r>
      <w:r>
        <w:rPr>
          <w:sz w:val="18"/>
        </w:rPr>
        <w:t>216,654</w:t>
      </w:r>
    </w:p>
    <w:p>
      <w:pPr>
        <w:pStyle w:val="BodyText"/>
        <w:spacing w:line="50" w:lineRule="exact"/>
        <w:ind w:left="8749"/>
        <w:rPr>
          <w:sz w:val="5"/>
        </w:rPr>
      </w:pPr>
      <w:r>
        <w:rPr>
          <w:position w:val="0"/>
          <w:sz w:val="5"/>
        </w:rPr>
        <w:pict>
          <v:group style="width:129.85pt;height:2.5pt;mso-position-horizontal-relative:char;mso-position-vertical-relative:line" coordorigin="0,0" coordsize="2597,50">
            <v:line style="position:absolute" from="1,1" to="1298,1" stroked="true" strokeweight=".06pt" strokecolor="#000000"/>
            <v:line style="position:absolute" from="1,2" to="1298,2" stroked="true" strokeweight=".06pt" strokecolor="#000000"/>
            <v:line style="position:absolute" from="1,3" to="1298,3" stroked="true" strokeweight=".06pt" strokecolor="#000000"/>
            <v:line style="position:absolute" from="1,5" to="1298,5" stroked="true" strokeweight=".06pt" strokecolor="#000000"/>
            <v:line style="position:absolute" from="1,6" to="1298,6" stroked="true" strokeweight=".06pt" strokecolor="#000000"/>
            <v:line style="position:absolute" from="1,7" to="1298,7" stroked="true" strokeweight=".06pt" strokecolor="#000000"/>
            <v:line style="position:absolute" from="1,8" to="1298,8" stroked="true" strokeweight=".06pt" strokecolor="#000000"/>
            <v:line style="position:absolute" from="1,9" to="1298,9" stroked="true" strokeweight=".06pt" strokecolor="#000000"/>
            <v:line style="position:absolute" from="1,11" to="1298,11" stroked="true" strokeweight=".06pt" strokecolor="#000000"/>
            <v:line style="position:absolute" from="1,12" to="1298,12" stroked="true" strokeweight=".06pt" strokecolor="#000000"/>
            <v:line style="position:absolute" from="1,13" to="1298,13" stroked="true" strokeweight=".06pt" strokecolor="#000000"/>
            <v:line style="position:absolute" from="1,14" to="1298,14" stroked="true" strokeweight=".06pt" strokecolor="#000000"/>
            <v:line style="position:absolute" from="1,15" to="1298,15" stroked="true" strokeweight=".06pt" strokecolor="#000000"/>
            <v:line style="position:absolute" from="1,35" to="1298,35" stroked="true" strokeweight=".06pt" strokecolor="#000000"/>
            <v:line style="position:absolute" from="1,36" to="1298,36" stroked="true" strokeweight=".06pt" strokecolor="#000000"/>
            <v:line style="position:absolute" from="1,37" to="1298,37" stroked="true" strokeweight=".06pt" strokecolor="#000000"/>
            <v:line style="position:absolute" from="1,38" to="1298,38" stroked="true" strokeweight=".06pt" strokecolor="#000000"/>
            <v:line style="position:absolute" from="1,39" to="1298,39" stroked="true" strokeweight=".06pt" strokecolor="#000000"/>
            <v:line style="position:absolute" from="1,41" to="1298,41" stroked="true" strokeweight=".06pt" strokecolor="#000000"/>
            <v:line style="position:absolute" from="1,42" to="1298,42" stroked="true" strokeweight=".06pt" strokecolor="#000000"/>
            <v:line style="position:absolute" from="1,43" to="1298,43" stroked="true" strokeweight=".06pt" strokecolor="#000000"/>
            <v:line style="position:absolute" from="1,44" to="1298,44" stroked="true" strokeweight=".06pt" strokecolor="#000000"/>
            <v:line style="position:absolute" from="1,45" to="1298,45" stroked="true" strokeweight=".06pt" strokecolor="#000000"/>
            <v:line style="position:absolute" from="1,47" to="1298,47" stroked="true" strokeweight=".06pt" strokecolor="#000000"/>
            <v:line style="position:absolute" from="1,48" to="1298,48" stroked="true" strokeweight=".06pt" strokecolor="#000000"/>
            <v:line style="position:absolute" from="1,49" to="1298,49" stroked="true" strokeweight=".06pt" strokecolor="#000000"/>
            <v:line style="position:absolute" from="1298,1" to="2595,1" stroked="true" strokeweight=".06pt" strokecolor="#000000"/>
            <v:line style="position:absolute" from="1298,2" to="2595,2" stroked="true" strokeweight=".06pt" strokecolor="#000000"/>
            <v:line style="position:absolute" from="1298,3" to="2595,3" stroked="true" strokeweight=".06pt" strokecolor="#000000"/>
            <v:line style="position:absolute" from="1298,5" to="2595,5" stroked="true" strokeweight=".06pt" strokecolor="#000000"/>
            <v:line style="position:absolute" from="1298,6" to="2595,6" stroked="true" strokeweight=".06pt" strokecolor="#000000"/>
            <v:line style="position:absolute" from="1298,7" to="2595,7" stroked="true" strokeweight=".06pt" strokecolor="#000000"/>
            <v:line style="position:absolute" from="1298,8" to="2595,8" stroked="true" strokeweight=".06pt" strokecolor="#000000"/>
            <v:line style="position:absolute" from="1298,9" to="2595,9" stroked="true" strokeweight=".06pt" strokecolor="#000000"/>
            <v:line style="position:absolute" from="1298,11" to="2595,11" stroked="true" strokeweight=".06pt" strokecolor="#000000"/>
            <v:line style="position:absolute" from="1298,12" to="2595,12" stroked="true" strokeweight=".06pt" strokecolor="#000000"/>
            <v:line style="position:absolute" from="1298,13" to="2595,13" stroked="true" strokeweight=".06pt" strokecolor="#000000"/>
            <v:line style="position:absolute" from="1298,14" to="2595,14" stroked="true" strokeweight=".06pt" strokecolor="#000000"/>
            <v:line style="position:absolute" from="1298,15" to="2595,15" stroked="true" strokeweight=".06pt" strokecolor="#000000"/>
            <v:line style="position:absolute" from="1298,35" to="2595,35" stroked="true" strokeweight=".06pt" strokecolor="#000000"/>
            <v:line style="position:absolute" from="1298,36" to="2595,36" stroked="true" strokeweight=".06pt" strokecolor="#000000"/>
            <v:line style="position:absolute" from="1298,37" to="2595,37" stroked="true" strokeweight=".06pt" strokecolor="#000000"/>
            <v:line style="position:absolute" from="1298,38" to="2595,38" stroked="true" strokeweight=".06pt" strokecolor="#000000"/>
            <v:line style="position:absolute" from="1298,39" to="2595,39" stroked="true" strokeweight=".06pt" strokecolor="#000000"/>
            <v:line style="position:absolute" from="1298,41" to="2595,41" stroked="true" strokeweight=".06pt" strokecolor="#000000"/>
            <v:line style="position:absolute" from="1298,42" to="2595,42" stroked="true" strokeweight=".06pt" strokecolor="#000000"/>
            <v:line style="position:absolute" from="1298,43" to="2595,43" stroked="true" strokeweight=".06pt" strokecolor="#000000"/>
            <v:line style="position:absolute" from="1298,44" to="2595,44" stroked="true" strokeweight=".06pt" strokecolor="#000000"/>
            <v:line style="position:absolute" from="1298,45" to="2595,45" stroked="true" strokeweight=".06pt" strokecolor="#000000"/>
            <v:line style="position:absolute" from="1298,47" to="2595,47" stroked="true" strokeweight=".06pt" strokecolor="#000000"/>
            <v:line style="position:absolute" from="1298,48" to="2595,48" stroked="true" strokeweight=".06pt" strokecolor="#000000"/>
            <v:line style="position:absolute" from="1298,49" to="2595,49" stroked="true" strokeweight=".06pt" strokecolor="#000000"/>
          </v:group>
        </w:pict>
      </w:r>
      <w:r>
        <w:rPr>
          <w:position w:val="0"/>
          <w:sz w:val="5"/>
        </w:rPr>
      </w:r>
    </w:p>
    <w:p>
      <w:pPr>
        <w:spacing w:after="0" w:line="50" w:lineRule="exact"/>
        <w:rPr>
          <w:sz w:val="5"/>
        </w:rPr>
        <w:sectPr>
          <w:headerReference w:type="default" r:id="rId103"/>
          <w:footerReference w:type="default" r:id="rId104"/>
          <w:pgSz w:w="12750" w:h="17680"/>
          <w:pgMar w:header="0" w:footer="1403" w:top="1880" w:bottom="1600" w:left="0" w:right="0"/>
          <w:pgNumType w:start="171"/>
        </w:sectPr>
      </w:pPr>
    </w:p>
    <w:p>
      <w:pPr>
        <w:pStyle w:val="BodyText"/>
        <w:spacing w:before="8"/>
        <w:rPr>
          <w:sz w:val="23"/>
        </w:rPr>
      </w:pPr>
      <w:r>
        <w:rPr/>
        <w:drawing>
          <wp:anchor distT="0" distB="0" distL="0" distR="0" allowOverlap="1" layoutInCell="1" locked="0" behindDoc="0" simplePos="0" relativeHeight="12160">
            <wp:simplePos x="0" y="0"/>
            <wp:positionH relativeFrom="page">
              <wp:posOffset>-1587</wp:posOffset>
            </wp:positionH>
            <wp:positionV relativeFrom="page">
              <wp:posOffset>5534342</wp:posOffset>
            </wp:positionV>
            <wp:extent cx="135159" cy="154019"/>
            <wp:effectExtent l="0" t="0" r="0" b="0"/>
            <wp:wrapNone/>
            <wp:docPr id="803" name="image13.png" descr=""/>
            <wp:cNvGraphicFramePr>
              <a:graphicFrameLocks noChangeAspect="1"/>
            </wp:cNvGraphicFramePr>
            <a:graphic>
              <a:graphicData uri="http://schemas.openxmlformats.org/drawingml/2006/picture">
                <pic:pic>
                  <pic:nvPicPr>
                    <pic:cNvPr id="804" name="image13.png"/>
                    <pic:cNvPicPr/>
                  </pic:nvPicPr>
                  <pic:blipFill>
                    <a:blip r:embed="rId18" cstate="print"/>
                    <a:stretch>
                      <a:fillRect/>
                    </a:stretch>
                  </pic:blipFill>
                  <pic:spPr>
                    <a:xfrm>
                      <a:off x="0" y="0"/>
                      <a:ext cx="135159" cy="154019"/>
                    </a:xfrm>
                    <a:prstGeom prst="rect">
                      <a:avLst/>
                    </a:prstGeom>
                  </pic:spPr>
                </pic:pic>
              </a:graphicData>
            </a:graphic>
          </wp:anchor>
        </w:drawing>
      </w:r>
      <w:r>
        <w:rPr/>
        <w:drawing>
          <wp:anchor distT="0" distB="0" distL="0" distR="0" allowOverlap="1" layoutInCell="1" locked="0" behindDoc="0" simplePos="0" relativeHeight="12184">
            <wp:simplePos x="0" y="0"/>
            <wp:positionH relativeFrom="page">
              <wp:posOffset>7958429</wp:posOffset>
            </wp:positionH>
            <wp:positionV relativeFrom="page">
              <wp:posOffset>5534342</wp:posOffset>
            </wp:positionV>
            <wp:extent cx="135953" cy="155575"/>
            <wp:effectExtent l="0" t="0" r="0" b="0"/>
            <wp:wrapNone/>
            <wp:docPr id="805" name="image15.png" descr=""/>
            <wp:cNvGraphicFramePr>
              <a:graphicFrameLocks noChangeAspect="1"/>
            </wp:cNvGraphicFramePr>
            <a:graphic>
              <a:graphicData uri="http://schemas.openxmlformats.org/drawingml/2006/picture">
                <pic:pic>
                  <pic:nvPicPr>
                    <pic:cNvPr id="806" name="image15.png"/>
                    <pic:cNvPicPr/>
                  </pic:nvPicPr>
                  <pic:blipFill>
                    <a:blip r:embed="rId20" cstate="print"/>
                    <a:stretch>
                      <a:fillRect/>
                    </a:stretch>
                  </pic:blipFill>
                  <pic:spPr>
                    <a:xfrm>
                      <a:off x="0" y="0"/>
                      <a:ext cx="135953" cy="155575"/>
                    </a:xfrm>
                    <a:prstGeom prst="rect">
                      <a:avLst/>
                    </a:prstGeom>
                  </pic:spPr>
                </pic:pic>
              </a:graphicData>
            </a:graphic>
          </wp:anchor>
        </w:drawing>
      </w:r>
    </w:p>
    <w:tbl>
      <w:tblPr>
        <w:tblW w:w="0" w:type="auto"/>
        <w:jc w:val="left"/>
        <w:tblInd w:w="139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425"/>
        <w:gridCol w:w="1932"/>
        <w:gridCol w:w="1458"/>
        <w:gridCol w:w="1136"/>
      </w:tblGrid>
      <w:tr>
        <w:trPr>
          <w:trHeight w:val="871" w:hRule="exact"/>
        </w:trPr>
        <w:tc>
          <w:tcPr>
            <w:tcW w:w="5425" w:type="dxa"/>
          </w:tcPr>
          <w:p>
            <w:pPr>
              <w:pStyle w:val="TableParagraph"/>
              <w:spacing w:before="69"/>
              <w:ind w:left="35"/>
              <w:jc w:val="left"/>
              <w:rPr>
                <w:b/>
                <w:sz w:val="24"/>
              </w:rPr>
            </w:pPr>
            <w:r>
              <w:rPr>
                <w:b/>
                <w:sz w:val="24"/>
              </w:rPr>
              <w:t>Statement of Financial Position</w:t>
            </w:r>
          </w:p>
          <w:p>
            <w:pPr>
              <w:pStyle w:val="TableParagraph"/>
              <w:spacing w:before="57"/>
              <w:ind w:left="35"/>
              <w:jc w:val="left"/>
              <w:rPr>
                <w:b/>
                <w:sz w:val="22"/>
              </w:rPr>
            </w:pPr>
            <w:bookmarkStart w:name="Statement of Financial Position" w:id="309"/>
            <w:bookmarkEnd w:id="309"/>
            <w:r>
              <w:rPr/>
            </w:r>
            <w:r>
              <w:rPr>
                <w:b/>
                <w:sz w:val="22"/>
              </w:rPr>
              <w:t>For the year ended 31 December 2016</w:t>
            </w:r>
          </w:p>
        </w:tc>
        <w:tc>
          <w:tcPr>
            <w:tcW w:w="4527" w:type="dxa"/>
            <w:gridSpan w:val="3"/>
          </w:tcPr>
          <w:p>
            <w:pPr/>
          </w:p>
        </w:tc>
      </w:tr>
      <w:tr>
        <w:trPr>
          <w:trHeight w:val="447" w:hRule="exact"/>
        </w:trPr>
        <w:tc>
          <w:tcPr>
            <w:tcW w:w="5425" w:type="dxa"/>
          </w:tcPr>
          <w:p>
            <w:pPr/>
          </w:p>
        </w:tc>
        <w:tc>
          <w:tcPr>
            <w:tcW w:w="1932" w:type="dxa"/>
          </w:tcPr>
          <w:p>
            <w:pPr/>
          </w:p>
        </w:tc>
        <w:tc>
          <w:tcPr>
            <w:tcW w:w="1458" w:type="dxa"/>
          </w:tcPr>
          <w:p>
            <w:pPr>
              <w:pStyle w:val="TableParagraph"/>
              <w:spacing w:before="1"/>
              <w:jc w:val="left"/>
              <w:rPr>
                <w:sz w:val="17"/>
              </w:rPr>
            </w:pPr>
          </w:p>
          <w:p>
            <w:pPr>
              <w:pStyle w:val="TableParagraph"/>
              <w:ind w:left="448"/>
              <w:jc w:val="left"/>
              <w:rPr>
                <w:b/>
                <w:sz w:val="18"/>
              </w:rPr>
            </w:pPr>
            <w:r>
              <w:rPr>
                <w:b/>
                <w:sz w:val="18"/>
              </w:rPr>
              <w:t>2016</w:t>
            </w:r>
          </w:p>
        </w:tc>
        <w:tc>
          <w:tcPr>
            <w:tcW w:w="1136" w:type="dxa"/>
          </w:tcPr>
          <w:p>
            <w:pPr>
              <w:pStyle w:val="TableParagraph"/>
              <w:spacing w:before="1"/>
              <w:jc w:val="left"/>
              <w:rPr>
                <w:sz w:val="17"/>
              </w:rPr>
            </w:pPr>
          </w:p>
          <w:p>
            <w:pPr>
              <w:pStyle w:val="TableParagraph"/>
              <w:ind w:left="287"/>
              <w:jc w:val="left"/>
              <w:rPr>
                <w:b/>
                <w:sz w:val="18"/>
              </w:rPr>
            </w:pPr>
            <w:r>
              <w:rPr>
                <w:b/>
                <w:sz w:val="18"/>
              </w:rPr>
              <w:t>2015</w:t>
            </w:r>
          </w:p>
        </w:tc>
      </w:tr>
      <w:tr>
        <w:trPr>
          <w:trHeight w:val="313" w:hRule="exact"/>
        </w:trPr>
        <w:tc>
          <w:tcPr>
            <w:tcW w:w="5425" w:type="dxa"/>
          </w:tcPr>
          <w:p>
            <w:pPr/>
          </w:p>
        </w:tc>
        <w:tc>
          <w:tcPr>
            <w:tcW w:w="1932" w:type="dxa"/>
          </w:tcPr>
          <w:p>
            <w:pPr>
              <w:pStyle w:val="TableParagraph"/>
              <w:spacing w:before="24"/>
              <w:ind w:left="1423" w:right="68"/>
              <w:jc w:val="center"/>
              <w:rPr>
                <w:b/>
                <w:sz w:val="18"/>
              </w:rPr>
            </w:pPr>
            <w:r>
              <w:rPr>
                <w:b/>
                <w:sz w:val="18"/>
              </w:rPr>
              <w:t>Note</w:t>
            </w:r>
          </w:p>
        </w:tc>
        <w:tc>
          <w:tcPr>
            <w:tcW w:w="1458" w:type="dxa"/>
          </w:tcPr>
          <w:p>
            <w:pPr>
              <w:pStyle w:val="TableParagraph"/>
              <w:spacing w:before="24"/>
              <w:ind w:right="158"/>
              <w:jc w:val="center"/>
              <w:rPr>
                <w:b/>
                <w:sz w:val="18"/>
              </w:rPr>
            </w:pPr>
            <w:r>
              <w:rPr>
                <w:b/>
                <w:w w:val="99"/>
                <w:sz w:val="18"/>
              </w:rPr>
              <w:t>$</w:t>
            </w:r>
          </w:p>
        </w:tc>
        <w:tc>
          <w:tcPr>
            <w:tcW w:w="1136" w:type="dxa"/>
          </w:tcPr>
          <w:p>
            <w:pPr>
              <w:pStyle w:val="TableParagraph"/>
              <w:spacing w:before="24"/>
              <w:ind w:right="158"/>
              <w:jc w:val="center"/>
              <w:rPr>
                <w:b/>
                <w:sz w:val="18"/>
              </w:rPr>
            </w:pPr>
            <w:r>
              <w:rPr>
                <w:b/>
                <w:w w:val="99"/>
                <w:sz w:val="18"/>
              </w:rPr>
              <w:t>$</w:t>
            </w:r>
          </w:p>
        </w:tc>
      </w:tr>
      <w:tr>
        <w:trPr>
          <w:trHeight w:val="336" w:hRule="exact"/>
        </w:trPr>
        <w:tc>
          <w:tcPr>
            <w:tcW w:w="5425" w:type="dxa"/>
          </w:tcPr>
          <w:p>
            <w:pPr>
              <w:pStyle w:val="TableParagraph"/>
              <w:spacing w:before="63"/>
              <w:ind w:left="62"/>
              <w:jc w:val="left"/>
              <w:rPr>
                <w:b/>
                <w:sz w:val="18"/>
              </w:rPr>
            </w:pPr>
            <w:r>
              <w:rPr>
                <w:b/>
                <w:sz w:val="18"/>
              </w:rPr>
              <w:t>ASSETS</w:t>
            </w:r>
          </w:p>
        </w:tc>
        <w:tc>
          <w:tcPr>
            <w:tcW w:w="1932" w:type="dxa"/>
          </w:tcPr>
          <w:p>
            <w:pPr/>
          </w:p>
        </w:tc>
        <w:tc>
          <w:tcPr>
            <w:tcW w:w="1458" w:type="dxa"/>
          </w:tcPr>
          <w:p>
            <w:pPr/>
          </w:p>
        </w:tc>
        <w:tc>
          <w:tcPr>
            <w:tcW w:w="1136" w:type="dxa"/>
          </w:tcPr>
          <w:p>
            <w:pPr/>
          </w:p>
        </w:tc>
      </w:tr>
      <w:tr>
        <w:trPr>
          <w:trHeight w:val="526" w:hRule="exact"/>
        </w:trPr>
        <w:tc>
          <w:tcPr>
            <w:tcW w:w="5425" w:type="dxa"/>
          </w:tcPr>
          <w:p>
            <w:pPr>
              <w:pStyle w:val="TableParagraph"/>
              <w:spacing w:before="46"/>
              <w:ind w:left="62"/>
              <w:jc w:val="left"/>
              <w:rPr>
                <w:b/>
                <w:sz w:val="18"/>
              </w:rPr>
            </w:pPr>
            <w:r>
              <w:rPr>
                <w:b/>
                <w:sz w:val="18"/>
              </w:rPr>
              <w:t>Current Assets</w:t>
            </w:r>
          </w:p>
          <w:p>
            <w:pPr>
              <w:pStyle w:val="TableParagraph"/>
              <w:spacing w:before="27"/>
              <w:ind w:left="62"/>
              <w:jc w:val="left"/>
              <w:rPr>
                <w:sz w:val="18"/>
              </w:rPr>
            </w:pPr>
            <w:r>
              <w:rPr>
                <w:sz w:val="18"/>
              </w:rPr>
              <w:t>Cash and Cash Equivalents</w:t>
            </w:r>
          </w:p>
        </w:tc>
        <w:tc>
          <w:tcPr>
            <w:tcW w:w="1932" w:type="dxa"/>
          </w:tcPr>
          <w:p>
            <w:pPr>
              <w:pStyle w:val="TableParagraph"/>
              <w:spacing w:before="5"/>
              <w:jc w:val="left"/>
              <w:rPr>
                <w:sz w:val="24"/>
              </w:rPr>
            </w:pPr>
          </w:p>
          <w:p>
            <w:pPr>
              <w:pStyle w:val="TableParagraph"/>
              <w:spacing w:before="1"/>
              <w:ind w:left="1355"/>
              <w:jc w:val="center"/>
              <w:rPr>
                <w:sz w:val="18"/>
              </w:rPr>
            </w:pPr>
            <w:r>
              <w:rPr>
                <w:w w:val="99"/>
                <w:sz w:val="18"/>
              </w:rPr>
              <w:t>4</w:t>
            </w:r>
          </w:p>
        </w:tc>
        <w:tc>
          <w:tcPr>
            <w:tcW w:w="1458" w:type="dxa"/>
          </w:tcPr>
          <w:p>
            <w:pPr>
              <w:pStyle w:val="TableParagraph"/>
              <w:spacing w:before="5"/>
              <w:jc w:val="left"/>
              <w:rPr>
                <w:sz w:val="24"/>
              </w:rPr>
            </w:pPr>
          </w:p>
          <w:p>
            <w:pPr>
              <w:pStyle w:val="TableParagraph"/>
              <w:spacing w:before="1"/>
              <w:ind w:right="247"/>
              <w:rPr>
                <w:b/>
                <w:sz w:val="18"/>
              </w:rPr>
            </w:pPr>
            <w:r>
              <w:rPr>
                <w:b/>
                <w:w w:val="95"/>
                <w:sz w:val="18"/>
              </w:rPr>
              <w:t>647,363</w:t>
            </w:r>
          </w:p>
        </w:tc>
        <w:tc>
          <w:tcPr>
            <w:tcW w:w="1136" w:type="dxa"/>
          </w:tcPr>
          <w:p>
            <w:pPr>
              <w:pStyle w:val="TableParagraph"/>
              <w:spacing w:before="5"/>
              <w:jc w:val="left"/>
              <w:rPr>
                <w:sz w:val="24"/>
              </w:rPr>
            </w:pPr>
          </w:p>
          <w:p>
            <w:pPr>
              <w:pStyle w:val="TableParagraph"/>
              <w:spacing w:before="1"/>
              <w:ind w:right="86"/>
              <w:rPr>
                <w:sz w:val="18"/>
              </w:rPr>
            </w:pPr>
            <w:r>
              <w:rPr>
                <w:w w:val="95"/>
                <w:sz w:val="18"/>
              </w:rPr>
              <w:t>555,260</w:t>
            </w:r>
          </w:p>
        </w:tc>
      </w:tr>
      <w:tr>
        <w:trPr>
          <w:trHeight w:val="264" w:hRule="exact"/>
        </w:trPr>
        <w:tc>
          <w:tcPr>
            <w:tcW w:w="5425" w:type="dxa"/>
          </w:tcPr>
          <w:p>
            <w:pPr>
              <w:pStyle w:val="TableParagraph"/>
              <w:spacing w:before="18"/>
              <w:ind w:left="62"/>
              <w:jc w:val="left"/>
              <w:rPr>
                <w:sz w:val="18"/>
              </w:rPr>
            </w:pPr>
            <w:r>
              <w:rPr>
                <w:sz w:val="18"/>
              </w:rPr>
              <w:t>Receivables</w:t>
            </w:r>
          </w:p>
        </w:tc>
        <w:tc>
          <w:tcPr>
            <w:tcW w:w="1932" w:type="dxa"/>
          </w:tcPr>
          <w:p>
            <w:pPr>
              <w:pStyle w:val="TableParagraph"/>
              <w:spacing w:before="19"/>
              <w:ind w:left="1355"/>
              <w:jc w:val="center"/>
              <w:rPr>
                <w:sz w:val="18"/>
              </w:rPr>
            </w:pPr>
            <w:r>
              <w:rPr>
                <w:w w:val="99"/>
                <w:sz w:val="18"/>
              </w:rPr>
              <w:t>5</w:t>
            </w:r>
          </w:p>
        </w:tc>
        <w:tc>
          <w:tcPr>
            <w:tcW w:w="1458" w:type="dxa"/>
          </w:tcPr>
          <w:p>
            <w:pPr>
              <w:pStyle w:val="TableParagraph"/>
              <w:spacing w:before="19"/>
              <w:ind w:right="247"/>
              <w:rPr>
                <w:b/>
                <w:sz w:val="18"/>
              </w:rPr>
            </w:pPr>
            <w:r>
              <w:rPr>
                <w:b/>
                <w:w w:val="95"/>
                <w:sz w:val="18"/>
              </w:rPr>
              <w:t>120,843</w:t>
            </w:r>
          </w:p>
        </w:tc>
        <w:tc>
          <w:tcPr>
            <w:tcW w:w="1136" w:type="dxa"/>
          </w:tcPr>
          <w:p>
            <w:pPr>
              <w:pStyle w:val="TableParagraph"/>
              <w:spacing w:before="19"/>
              <w:ind w:right="86"/>
              <w:rPr>
                <w:sz w:val="18"/>
              </w:rPr>
            </w:pPr>
            <w:r>
              <w:rPr>
                <w:w w:val="95"/>
                <w:sz w:val="18"/>
              </w:rPr>
              <w:t>84,918</w:t>
            </w:r>
          </w:p>
        </w:tc>
      </w:tr>
      <w:tr>
        <w:trPr>
          <w:trHeight w:val="263" w:hRule="exact"/>
        </w:trPr>
        <w:tc>
          <w:tcPr>
            <w:tcW w:w="5425" w:type="dxa"/>
          </w:tcPr>
          <w:p>
            <w:pPr>
              <w:pStyle w:val="TableParagraph"/>
              <w:spacing w:before="18"/>
              <w:ind w:left="62"/>
              <w:jc w:val="left"/>
              <w:rPr>
                <w:sz w:val="18"/>
              </w:rPr>
            </w:pPr>
            <w:r>
              <w:rPr>
                <w:sz w:val="18"/>
              </w:rPr>
              <w:t>Prepayment</w:t>
            </w:r>
          </w:p>
        </w:tc>
        <w:tc>
          <w:tcPr>
            <w:tcW w:w="1932" w:type="dxa"/>
          </w:tcPr>
          <w:p>
            <w:pPr/>
          </w:p>
        </w:tc>
        <w:tc>
          <w:tcPr>
            <w:tcW w:w="1458" w:type="dxa"/>
            <w:tcBorders>
              <w:bottom w:val="single" w:sz="0" w:space="0" w:color="000000"/>
            </w:tcBorders>
          </w:tcPr>
          <w:p>
            <w:pPr>
              <w:pStyle w:val="TableParagraph"/>
              <w:spacing w:before="19"/>
              <w:ind w:right="247"/>
              <w:rPr>
                <w:b/>
                <w:sz w:val="18"/>
              </w:rPr>
            </w:pPr>
            <w:r>
              <w:rPr>
                <w:b/>
                <w:w w:val="99"/>
                <w:sz w:val="18"/>
              </w:rPr>
              <w:t>-</w:t>
            </w:r>
          </w:p>
        </w:tc>
        <w:tc>
          <w:tcPr>
            <w:tcW w:w="1136" w:type="dxa"/>
            <w:tcBorders>
              <w:bottom w:val="single" w:sz="0" w:space="0" w:color="000000"/>
            </w:tcBorders>
          </w:tcPr>
          <w:p>
            <w:pPr>
              <w:pStyle w:val="TableParagraph"/>
              <w:spacing w:before="19"/>
              <w:ind w:right="86"/>
              <w:rPr>
                <w:sz w:val="18"/>
              </w:rPr>
            </w:pPr>
            <w:r>
              <w:rPr>
                <w:w w:val="95"/>
                <w:sz w:val="18"/>
              </w:rPr>
              <w:t>11,562</w:t>
            </w:r>
          </w:p>
        </w:tc>
      </w:tr>
      <w:tr>
        <w:trPr>
          <w:trHeight w:val="338" w:hRule="exact"/>
        </w:trPr>
        <w:tc>
          <w:tcPr>
            <w:tcW w:w="5425" w:type="dxa"/>
          </w:tcPr>
          <w:p>
            <w:pPr>
              <w:pStyle w:val="TableParagraph"/>
              <w:spacing w:before="38"/>
              <w:ind w:left="204"/>
              <w:jc w:val="left"/>
              <w:rPr>
                <w:b/>
                <w:sz w:val="18"/>
              </w:rPr>
            </w:pPr>
            <w:r>
              <w:rPr>
                <w:b/>
                <w:sz w:val="18"/>
              </w:rPr>
              <w:t>Total Current Assets</w:t>
            </w:r>
          </w:p>
        </w:tc>
        <w:tc>
          <w:tcPr>
            <w:tcW w:w="1932" w:type="dxa"/>
          </w:tcPr>
          <w:p>
            <w:pPr/>
          </w:p>
        </w:tc>
        <w:tc>
          <w:tcPr>
            <w:tcW w:w="1458" w:type="dxa"/>
            <w:tcBorders>
              <w:top w:val="single" w:sz="0" w:space="0" w:color="000000"/>
              <w:bottom w:val="single" w:sz="0" w:space="0" w:color="000000"/>
            </w:tcBorders>
          </w:tcPr>
          <w:p>
            <w:pPr>
              <w:pStyle w:val="TableParagraph"/>
              <w:spacing w:before="122"/>
              <w:ind w:right="247"/>
              <w:rPr>
                <w:b/>
                <w:sz w:val="18"/>
              </w:rPr>
            </w:pPr>
            <w:r>
              <w:rPr>
                <w:b/>
                <w:w w:val="95"/>
                <w:sz w:val="18"/>
              </w:rPr>
              <w:t>768,206</w:t>
            </w:r>
          </w:p>
        </w:tc>
        <w:tc>
          <w:tcPr>
            <w:tcW w:w="1136" w:type="dxa"/>
            <w:tcBorders>
              <w:top w:val="single" w:sz="0" w:space="0" w:color="000000"/>
              <w:bottom w:val="single" w:sz="0" w:space="0" w:color="000000"/>
            </w:tcBorders>
          </w:tcPr>
          <w:p>
            <w:pPr>
              <w:pStyle w:val="TableParagraph"/>
              <w:spacing w:before="122"/>
              <w:ind w:right="86"/>
              <w:rPr>
                <w:sz w:val="18"/>
              </w:rPr>
            </w:pPr>
            <w:r>
              <w:rPr>
                <w:w w:val="95"/>
                <w:sz w:val="18"/>
              </w:rPr>
              <w:t>651,740</w:t>
            </w:r>
          </w:p>
        </w:tc>
      </w:tr>
      <w:tr>
        <w:trPr>
          <w:trHeight w:val="602" w:hRule="exact"/>
        </w:trPr>
        <w:tc>
          <w:tcPr>
            <w:tcW w:w="5425" w:type="dxa"/>
          </w:tcPr>
          <w:p>
            <w:pPr>
              <w:pStyle w:val="TableParagraph"/>
              <w:spacing w:before="123"/>
              <w:ind w:left="62"/>
              <w:jc w:val="left"/>
              <w:rPr>
                <w:b/>
                <w:sz w:val="18"/>
              </w:rPr>
            </w:pPr>
            <w:r>
              <w:rPr>
                <w:b/>
                <w:sz w:val="18"/>
              </w:rPr>
              <w:t>Non-Current Assets</w:t>
            </w:r>
          </w:p>
          <w:p>
            <w:pPr>
              <w:pStyle w:val="TableParagraph"/>
              <w:spacing w:before="27"/>
              <w:ind w:left="62"/>
              <w:jc w:val="left"/>
              <w:rPr>
                <w:sz w:val="18"/>
              </w:rPr>
            </w:pPr>
            <w:r>
              <w:rPr>
                <w:sz w:val="18"/>
              </w:rPr>
              <w:t>Loan Receivable</w:t>
            </w:r>
          </w:p>
        </w:tc>
        <w:tc>
          <w:tcPr>
            <w:tcW w:w="1932" w:type="dxa"/>
          </w:tcPr>
          <w:p>
            <w:pPr>
              <w:pStyle w:val="TableParagraph"/>
              <w:jc w:val="left"/>
              <w:rPr>
                <w:sz w:val="18"/>
              </w:rPr>
            </w:pPr>
          </w:p>
          <w:p>
            <w:pPr>
              <w:pStyle w:val="TableParagraph"/>
              <w:spacing w:before="151"/>
              <w:ind w:left="1355"/>
              <w:jc w:val="center"/>
              <w:rPr>
                <w:sz w:val="18"/>
              </w:rPr>
            </w:pPr>
            <w:r>
              <w:rPr>
                <w:w w:val="99"/>
                <w:sz w:val="18"/>
              </w:rPr>
              <w:t>5</w:t>
            </w:r>
          </w:p>
        </w:tc>
        <w:tc>
          <w:tcPr>
            <w:tcW w:w="1458" w:type="dxa"/>
            <w:tcBorders>
              <w:top w:val="single" w:sz="0" w:space="0" w:color="000000"/>
              <w:bottom w:val="single" w:sz="0" w:space="0" w:color="000000"/>
            </w:tcBorders>
          </w:tcPr>
          <w:p>
            <w:pPr>
              <w:pStyle w:val="TableParagraph"/>
              <w:jc w:val="left"/>
              <w:rPr>
                <w:sz w:val="18"/>
              </w:rPr>
            </w:pPr>
          </w:p>
          <w:p>
            <w:pPr>
              <w:pStyle w:val="TableParagraph"/>
              <w:spacing w:before="151"/>
              <w:ind w:right="247"/>
              <w:rPr>
                <w:b/>
                <w:sz w:val="18"/>
              </w:rPr>
            </w:pPr>
            <w:r>
              <w:rPr>
                <w:b/>
                <w:w w:val="95"/>
                <w:sz w:val="18"/>
              </w:rPr>
              <w:t>1,576,133</w:t>
            </w:r>
          </w:p>
        </w:tc>
        <w:tc>
          <w:tcPr>
            <w:tcW w:w="1136" w:type="dxa"/>
            <w:tcBorders>
              <w:top w:val="single" w:sz="0" w:space="0" w:color="000000"/>
              <w:bottom w:val="single" w:sz="0" w:space="0" w:color="000000"/>
            </w:tcBorders>
          </w:tcPr>
          <w:p>
            <w:pPr>
              <w:pStyle w:val="TableParagraph"/>
              <w:jc w:val="left"/>
              <w:rPr>
                <w:sz w:val="18"/>
              </w:rPr>
            </w:pPr>
          </w:p>
          <w:p>
            <w:pPr>
              <w:pStyle w:val="TableParagraph"/>
              <w:spacing w:before="151"/>
              <w:ind w:right="86"/>
              <w:rPr>
                <w:sz w:val="18"/>
              </w:rPr>
            </w:pPr>
            <w:r>
              <w:rPr>
                <w:w w:val="95"/>
                <w:sz w:val="18"/>
              </w:rPr>
              <w:t>1,187,436</w:t>
            </w:r>
          </w:p>
        </w:tc>
      </w:tr>
    </w:tbl>
    <w:p>
      <w:pPr>
        <w:tabs>
          <w:tab w:pos="9160" w:val="left" w:leader="none"/>
          <w:tab w:pos="10457" w:val="left" w:leader="none"/>
        </w:tabs>
        <w:spacing w:before="38" w:after="13"/>
        <w:ind w:left="1597" w:right="0" w:firstLine="0"/>
        <w:jc w:val="left"/>
        <w:rPr>
          <w:sz w:val="18"/>
        </w:rPr>
      </w:pPr>
      <w:r>
        <w:rPr/>
        <w:pict>
          <v:group style="position:absolute;margin-left:437.470001pt;margin-top:16.411894pt;width:129.85pt;height:1pt;mso-position-horizontal-relative:page;mso-position-vertical-relative:paragraph;z-index:-1196200" coordorigin="8749,328" coordsize="2597,20">
            <v:line style="position:absolute" from="8750,329" to="10048,329" stroked="true" strokeweight=".06pt" strokecolor="#000000"/>
            <v:line style="position:absolute" from="8750,330" to="10048,330" stroked="true" strokeweight=".06pt" strokecolor="#000000"/>
            <v:line style="position:absolute" from="8750,332" to="10048,332" stroked="true" strokeweight=".06pt" strokecolor="#000000"/>
            <v:line style="position:absolute" from="8750,333" to="10048,333" stroked="true" strokeweight=".06pt" strokecolor="#000000"/>
            <v:line style="position:absolute" from="8750,334" to="10048,334" stroked="true" strokeweight=".06pt" strokecolor="#000000"/>
            <v:line style="position:absolute" from="8750,335" to="10048,335" stroked="true" strokeweight=".06pt" strokecolor="#000000"/>
            <v:line style="position:absolute" from="8750,336" to="10048,336" stroked="true" strokeweight=".06pt" strokecolor="#000000"/>
            <v:line style="position:absolute" from="8750,338" to="10048,338" stroked="true" strokeweight=".06pt" strokecolor="#000000"/>
            <v:line style="position:absolute" from="8750,339" to="10048,339" stroked="true" strokeweight=".06pt" strokecolor="#000000"/>
            <v:line style="position:absolute" from="8750,340" to="10048,340" stroked="true" strokeweight=".06pt" strokecolor="#000000"/>
            <v:line style="position:absolute" from="8750,341" to="10048,341" stroked="true" strokeweight=".06pt" strokecolor="#000000"/>
            <v:line style="position:absolute" from="8750,342" to="10048,342" stroked="true" strokeweight=".06pt" strokecolor="#000000"/>
            <v:line style="position:absolute" from="8750,344" to="10048,344" stroked="true" strokeweight=".06pt" strokecolor="#000000"/>
            <v:line style="position:absolute" from="8750,345" to="10048,345" stroked="true" strokeweight=".06pt" strokecolor="#000000"/>
            <v:line style="position:absolute" from="8750,346" to="10048,346" stroked="true" strokeweight=".06pt" strokecolor="#000000"/>
            <v:line style="position:absolute" from="8750,347" to="10048,347" stroked="true" strokeweight=".06pt" strokecolor="#000000"/>
            <v:line style="position:absolute" from="10048,329" to="11345,329" stroked="true" strokeweight=".06pt" strokecolor="#000000"/>
            <v:line style="position:absolute" from="10048,330" to="11345,330" stroked="true" strokeweight=".06pt" strokecolor="#000000"/>
            <v:line style="position:absolute" from="10048,332" to="11345,332" stroked="true" strokeweight=".06pt" strokecolor="#000000"/>
            <v:line style="position:absolute" from="10048,333" to="11345,333" stroked="true" strokeweight=".06pt" strokecolor="#000000"/>
            <v:line style="position:absolute" from="10048,334" to="11345,334" stroked="true" strokeweight=".06pt" strokecolor="#000000"/>
            <v:line style="position:absolute" from="10048,335" to="11345,335" stroked="true" strokeweight=".06pt" strokecolor="#000000"/>
            <v:line style="position:absolute" from="10048,336" to="11345,336" stroked="true" strokeweight=".06pt" strokecolor="#000000"/>
            <v:line style="position:absolute" from="10048,338" to="11345,338" stroked="true" strokeweight=".06pt" strokecolor="#000000"/>
            <v:line style="position:absolute" from="10048,339" to="11345,339" stroked="true" strokeweight=".06pt" strokecolor="#000000"/>
            <v:line style="position:absolute" from="10048,340" to="11345,340" stroked="true" strokeweight=".06pt" strokecolor="#000000"/>
            <v:line style="position:absolute" from="10048,341" to="11345,341" stroked="true" strokeweight=".06pt" strokecolor="#000000"/>
            <v:line style="position:absolute" from="10048,342" to="11345,342" stroked="true" strokeweight=".06pt" strokecolor="#000000"/>
            <v:line style="position:absolute" from="10048,344" to="11345,344" stroked="true" strokeweight=".06pt" strokecolor="#000000"/>
            <v:line style="position:absolute" from="10048,345" to="11345,345" stroked="true" strokeweight=".06pt" strokecolor="#000000"/>
            <v:line style="position:absolute" from="10048,346" to="11345,346" stroked="true" strokeweight=".06pt" strokecolor="#000000"/>
            <v:line style="position:absolute" from="10048,347" to="11345,347" stroked="true" strokeweight=".06pt" strokecolor="#000000"/>
            <v:line style="position:absolute" from="8750,329" to="10048,329" stroked="true" strokeweight=".06pt" strokecolor="#000000"/>
            <v:line style="position:absolute" from="8750,330" to="10048,330" stroked="true" strokeweight=".06pt" strokecolor="#000000"/>
            <v:line style="position:absolute" from="8750,332" to="10048,332" stroked="true" strokeweight=".06pt" strokecolor="#000000"/>
            <v:line style="position:absolute" from="8750,333" to="10048,333" stroked="true" strokeweight=".06pt" strokecolor="#000000"/>
            <v:line style="position:absolute" from="8750,334" to="10048,334" stroked="true" strokeweight=".06pt" strokecolor="#000000"/>
            <v:line style="position:absolute" from="8750,335" to="10048,335" stroked="true" strokeweight=".06pt" strokecolor="#000000"/>
            <v:line style="position:absolute" from="8750,336" to="10048,336" stroked="true" strokeweight=".06pt" strokecolor="#000000"/>
            <v:line style="position:absolute" from="8750,338" to="10048,338" stroked="true" strokeweight=".06pt" strokecolor="#000000"/>
            <v:line style="position:absolute" from="8750,339" to="10048,339" stroked="true" strokeweight=".06pt" strokecolor="#000000"/>
            <v:line style="position:absolute" from="8750,340" to="10048,340" stroked="true" strokeweight=".06pt" strokecolor="#000000"/>
            <v:line style="position:absolute" from="8750,341" to="10048,341" stroked="true" strokeweight=".06pt" strokecolor="#000000"/>
            <v:line style="position:absolute" from="8750,342" to="10048,342" stroked="true" strokeweight=".06pt" strokecolor="#000000"/>
            <v:line style="position:absolute" from="8750,344" to="10048,344" stroked="true" strokeweight=".06pt" strokecolor="#000000"/>
            <v:line style="position:absolute" from="8750,345" to="10048,345" stroked="true" strokeweight=".06pt" strokecolor="#000000"/>
            <v:line style="position:absolute" from="8750,346" to="10048,346" stroked="true" strokeweight=".06pt" strokecolor="#000000"/>
            <v:line style="position:absolute" from="8750,347" to="10048,347" stroked="true" strokeweight=".06pt" strokecolor="#000000"/>
            <v:line style="position:absolute" from="10048,329" to="11345,329" stroked="true" strokeweight=".06pt" strokecolor="#000000"/>
            <v:line style="position:absolute" from="10048,330" to="11345,330" stroked="true" strokeweight=".06pt" strokecolor="#000000"/>
            <v:line style="position:absolute" from="10048,332" to="11345,332" stroked="true" strokeweight=".06pt" strokecolor="#000000"/>
            <v:line style="position:absolute" from="10048,333" to="11345,333" stroked="true" strokeweight=".06pt" strokecolor="#000000"/>
            <v:line style="position:absolute" from="10048,334" to="11345,334" stroked="true" strokeweight=".06pt" strokecolor="#000000"/>
            <v:line style="position:absolute" from="10048,335" to="11345,335" stroked="true" strokeweight=".06pt" strokecolor="#000000"/>
            <v:line style="position:absolute" from="10048,336" to="11345,336" stroked="true" strokeweight=".06pt" strokecolor="#000000"/>
            <v:line style="position:absolute" from="10048,338" to="11345,338" stroked="true" strokeweight=".06pt" strokecolor="#000000"/>
            <v:line style="position:absolute" from="10048,339" to="11345,339" stroked="true" strokeweight=".06pt" strokecolor="#000000"/>
            <v:line style="position:absolute" from="10048,340" to="11345,340" stroked="true" strokeweight=".06pt" strokecolor="#000000"/>
            <v:line style="position:absolute" from="10048,341" to="11345,341" stroked="true" strokeweight=".06pt" strokecolor="#000000"/>
            <v:line style="position:absolute" from="10048,342" to="11345,342" stroked="true" strokeweight=".06pt" strokecolor="#000000"/>
            <v:line style="position:absolute" from="10048,344" to="11345,344" stroked="true" strokeweight=".06pt" strokecolor="#000000"/>
            <v:line style="position:absolute" from="10048,345" to="11345,345" stroked="true" strokeweight=".06pt" strokecolor="#000000"/>
            <v:line style="position:absolute" from="10048,346" to="11345,346" stroked="true" strokeweight=".06pt" strokecolor="#000000"/>
            <v:line style="position:absolute" from="10048,347" to="11345,347" stroked="true" strokeweight=".06pt" strokecolor="#000000"/>
            <w10:wrap type="none"/>
          </v:group>
        </w:pict>
      </w:r>
      <w:r>
        <w:rPr>
          <w:b/>
          <w:sz w:val="18"/>
        </w:rPr>
        <w:t>Total</w:t>
      </w:r>
      <w:r>
        <w:rPr>
          <w:b/>
          <w:spacing w:val="-2"/>
          <w:sz w:val="18"/>
        </w:rPr>
        <w:t> </w:t>
      </w:r>
      <w:r>
        <w:rPr>
          <w:b/>
          <w:sz w:val="18"/>
        </w:rPr>
        <w:t>Non-Current</w:t>
      </w:r>
      <w:r>
        <w:rPr>
          <w:b/>
          <w:spacing w:val="-2"/>
          <w:sz w:val="18"/>
        </w:rPr>
        <w:t> </w:t>
      </w:r>
      <w:r>
        <w:rPr>
          <w:b/>
          <w:sz w:val="18"/>
        </w:rPr>
        <w:t>Assets</w:t>
        <w:tab/>
      </w:r>
      <w:r>
        <w:rPr>
          <w:b/>
          <w:position w:val="-8"/>
          <w:sz w:val="18"/>
        </w:rPr>
        <w:t>1,576,133</w:t>
        <w:tab/>
      </w:r>
      <w:r>
        <w:rPr>
          <w:position w:val="-8"/>
          <w:sz w:val="18"/>
        </w:rPr>
        <w:t>1,187,436</w:t>
      </w:r>
    </w:p>
    <w:tbl>
      <w:tblPr>
        <w:tblW w:w="0" w:type="auto"/>
        <w:jc w:val="left"/>
        <w:tblInd w:w="142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956"/>
        <w:gridCol w:w="373"/>
        <w:gridCol w:w="1458"/>
        <w:gridCol w:w="1136"/>
      </w:tblGrid>
      <w:tr>
        <w:trPr>
          <w:trHeight w:val="344" w:hRule="exact"/>
        </w:trPr>
        <w:tc>
          <w:tcPr>
            <w:tcW w:w="6956" w:type="dxa"/>
          </w:tcPr>
          <w:p>
            <w:pPr>
              <w:pStyle w:val="TableParagraph"/>
              <w:spacing w:before="28"/>
              <w:ind w:left="176"/>
              <w:jc w:val="left"/>
              <w:rPr>
                <w:b/>
                <w:sz w:val="18"/>
              </w:rPr>
            </w:pPr>
            <w:r>
              <w:rPr>
                <w:b/>
                <w:sz w:val="18"/>
              </w:rPr>
              <w:t>Total Assets</w:t>
            </w:r>
          </w:p>
        </w:tc>
        <w:tc>
          <w:tcPr>
            <w:tcW w:w="373" w:type="dxa"/>
          </w:tcPr>
          <w:p>
            <w:pPr/>
          </w:p>
        </w:tc>
        <w:tc>
          <w:tcPr>
            <w:tcW w:w="1458" w:type="dxa"/>
            <w:tcBorders>
              <w:bottom w:val="single" w:sz="0" w:space="0" w:color="000000"/>
            </w:tcBorders>
          </w:tcPr>
          <w:p>
            <w:pPr>
              <w:pStyle w:val="TableParagraph"/>
              <w:spacing w:before="113"/>
              <w:ind w:right="247"/>
              <w:rPr>
                <w:b/>
                <w:sz w:val="18"/>
              </w:rPr>
            </w:pPr>
            <w:r>
              <w:rPr>
                <w:b/>
                <w:w w:val="95"/>
                <w:sz w:val="18"/>
              </w:rPr>
              <w:t>2,344,339</w:t>
            </w:r>
          </w:p>
        </w:tc>
        <w:tc>
          <w:tcPr>
            <w:tcW w:w="1136" w:type="dxa"/>
            <w:tcBorders>
              <w:bottom w:val="single" w:sz="0" w:space="0" w:color="000000"/>
            </w:tcBorders>
          </w:tcPr>
          <w:p>
            <w:pPr>
              <w:pStyle w:val="TableParagraph"/>
              <w:spacing w:before="113"/>
              <w:ind w:right="86"/>
              <w:rPr>
                <w:sz w:val="18"/>
              </w:rPr>
            </w:pPr>
            <w:r>
              <w:rPr>
                <w:w w:val="95"/>
                <w:sz w:val="18"/>
              </w:rPr>
              <w:t>1,839,176</w:t>
            </w:r>
          </w:p>
        </w:tc>
      </w:tr>
      <w:tr>
        <w:trPr>
          <w:trHeight w:val="411" w:hRule="exact"/>
        </w:trPr>
        <w:tc>
          <w:tcPr>
            <w:tcW w:w="6956" w:type="dxa"/>
          </w:tcPr>
          <w:p>
            <w:pPr>
              <w:pStyle w:val="TableParagraph"/>
              <w:spacing w:before="138"/>
              <w:ind w:left="35"/>
              <w:jc w:val="left"/>
              <w:rPr>
                <w:b/>
                <w:sz w:val="18"/>
              </w:rPr>
            </w:pPr>
            <w:r>
              <w:rPr>
                <w:b/>
                <w:sz w:val="18"/>
              </w:rPr>
              <w:t>LIABILITIES</w:t>
            </w:r>
          </w:p>
        </w:tc>
        <w:tc>
          <w:tcPr>
            <w:tcW w:w="373" w:type="dxa"/>
          </w:tcPr>
          <w:p>
            <w:pPr/>
          </w:p>
        </w:tc>
        <w:tc>
          <w:tcPr>
            <w:tcW w:w="1458" w:type="dxa"/>
            <w:tcBorders>
              <w:top w:val="single" w:sz="0" w:space="0" w:color="000000"/>
            </w:tcBorders>
          </w:tcPr>
          <w:p>
            <w:pPr/>
          </w:p>
        </w:tc>
        <w:tc>
          <w:tcPr>
            <w:tcW w:w="1136" w:type="dxa"/>
            <w:tcBorders>
              <w:top w:val="single" w:sz="0" w:space="0" w:color="000000"/>
            </w:tcBorders>
          </w:tcPr>
          <w:p>
            <w:pPr/>
          </w:p>
        </w:tc>
      </w:tr>
      <w:tr>
        <w:trPr>
          <w:trHeight w:val="526" w:hRule="exact"/>
        </w:trPr>
        <w:tc>
          <w:tcPr>
            <w:tcW w:w="6956" w:type="dxa"/>
          </w:tcPr>
          <w:p>
            <w:pPr>
              <w:pStyle w:val="TableParagraph"/>
              <w:spacing w:before="46"/>
              <w:ind w:left="35"/>
              <w:jc w:val="left"/>
              <w:rPr>
                <w:b/>
                <w:sz w:val="18"/>
              </w:rPr>
            </w:pPr>
            <w:r>
              <w:rPr>
                <w:b/>
                <w:sz w:val="18"/>
              </w:rPr>
              <w:t>Current Liabilities</w:t>
            </w:r>
          </w:p>
          <w:p>
            <w:pPr>
              <w:pStyle w:val="TableParagraph"/>
              <w:spacing w:before="27"/>
              <w:ind w:left="35"/>
              <w:jc w:val="left"/>
              <w:rPr>
                <w:sz w:val="18"/>
              </w:rPr>
            </w:pPr>
            <w:r>
              <w:rPr>
                <w:sz w:val="18"/>
              </w:rPr>
              <w:t>Trade and Other Payables</w:t>
            </w:r>
          </w:p>
        </w:tc>
        <w:tc>
          <w:tcPr>
            <w:tcW w:w="373" w:type="dxa"/>
          </w:tcPr>
          <w:p>
            <w:pPr>
              <w:pStyle w:val="TableParagraph"/>
              <w:spacing w:before="5"/>
              <w:jc w:val="left"/>
              <w:rPr>
                <w:sz w:val="24"/>
              </w:rPr>
            </w:pPr>
          </w:p>
          <w:p>
            <w:pPr>
              <w:pStyle w:val="TableParagraph"/>
              <w:spacing w:before="1"/>
              <w:ind w:left="35"/>
              <w:jc w:val="left"/>
              <w:rPr>
                <w:sz w:val="18"/>
              </w:rPr>
            </w:pPr>
            <w:r>
              <w:rPr>
                <w:w w:val="99"/>
                <w:sz w:val="18"/>
              </w:rPr>
              <w:t>6</w:t>
            </w:r>
          </w:p>
        </w:tc>
        <w:tc>
          <w:tcPr>
            <w:tcW w:w="1458" w:type="dxa"/>
          </w:tcPr>
          <w:p>
            <w:pPr>
              <w:pStyle w:val="TableParagraph"/>
              <w:spacing w:before="5"/>
              <w:jc w:val="left"/>
              <w:rPr>
                <w:sz w:val="24"/>
              </w:rPr>
            </w:pPr>
          </w:p>
          <w:p>
            <w:pPr>
              <w:pStyle w:val="TableParagraph"/>
              <w:spacing w:before="1"/>
              <w:ind w:right="247"/>
              <w:rPr>
                <w:b/>
                <w:sz w:val="18"/>
              </w:rPr>
            </w:pPr>
            <w:r>
              <w:rPr>
                <w:b/>
                <w:w w:val="95"/>
                <w:sz w:val="18"/>
              </w:rPr>
              <w:t>574,994</w:t>
            </w:r>
          </w:p>
        </w:tc>
        <w:tc>
          <w:tcPr>
            <w:tcW w:w="1136" w:type="dxa"/>
          </w:tcPr>
          <w:p>
            <w:pPr>
              <w:pStyle w:val="TableParagraph"/>
              <w:spacing w:before="5"/>
              <w:jc w:val="left"/>
              <w:rPr>
                <w:sz w:val="24"/>
              </w:rPr>
            </w:pPr>
          </w:p>
          <w:p>
            <w:pPr>
              <w:pStyle w:val="TableParagraph"/>
              <w:spacing w:before="1"/>
              <w:ind w:right="86"/>
              <w:rPr>
                <w:sz w:val="18"/>
              </w:rPr>
            </w:pPr>
            <w:r>
              <w:rPr>
                <w:w w:val="95"/>
                <w:sz w:val="18"/>
              </w:rPr>
              <w:t>472,567</w:t>
            </w:r>
          </w:p>
        </w:tc>
      </w:tr>
      <w:tr>
        <w:trPr>
          <w:trHeight w:val="264" w:hRule="exact"/>
        </w:trPr>
        <w:tc>
          <w:tcPr>
            <w:tcW w:w="6956" w:type="dxa"/>
          </w:tcPr>
          <w:p>
            <w:pPr>
              <w:pStyle w:val="TableParagraph"/>
              <w:spacing w:before="18"/>
              <w:ind w:left="35"/>
              <w:jc w:val="left"/>
              <w:rPr>
                <w:sz w:val="18"/>
              </w:rPr>
            </w:pPr>
            <w:r>
              <w:rPr>
                <w:sz w:val="18"/>
              </w:rPr>
              <w:t>Deferred Income</w:t>
            </w:r>
          </w:p>
        </w:tc>
        <w:tc>
          <w:tcPr>
            <w:tcW w:w="373" w:type="dxa"/>
          </w:tcPr>
          <w:p>
            <w:pPr/>
          </w:p>
        </w:tc>
        <w:tc>
          <w:tcPr>
            <w:tcW w:w="1458" w:type="dxa"/>
          </w:tcPr>
          <w:p>
            <w:pPr>
              <w:pStyle w:val="TableParagraph"/>
              <w:spacing w:before="19"/>
              <w:ind w:right="247"/>
              <w:rPr>
                <w:b/>
                <w:sz w:val="18"/>
              </w:rPr>
            </w:pPr>
            <w:r>
              <w:rPr>
                <w:b/>
                <w:w w:val="95"/>
                <w:sz w:val="18"/>
              </w:rPr>
              <w:t>129,031</w:t>
            </w:r>
          </w:p>
        </w:tc>
        <w:tc>
          <w:tcPr>
            <w:tcW w:w="1136" w:type="dxa"/>
          </w:tcPr>
          <w:p>
            <w:pPr>
              <w:pStyle w:val="TableParagraph"/>
              <w:spacing w:before="19"/>
              <w:ind w:right="86"/>
              <w:rPr>
                <w:sz w:val="18"/>
              </w:rPr>
            </w:pPr>
            <w:r>
              <w:rPr>
                <w:w w:val="95"/>
                <w:sz w:val="18"/>
              </w:rPr>
              <w:t>61,136</w:t>
            </w:r>
          </w:p>
        </w:tc>
      </w:tr>
      <w:tr>
        <w:trPr>
          <w:trHeight w:val="263" w:hRule="exact"/>
        </w:trPr>
        <w:tc>
          <w:tcPr>
            <w:tcW w:w="6956" w:type="dxa"/>
          </w:tcPr>
          <w:p>
            <w:pPr>
              <w:pStyle w:val="TableParagraph"/>
              <w:spacing w:before="18"/>
              <w:ind w:left="35"/>
              <w:jc w:val="left"/>
              <w:rPr>
                <w:sz w:val="18"/>
              </w:rPr>
            </w:pPr>
            <w:r>
              <w:rPr>
                <w:sz w:val="18"/>
              </w:rPr>
              <w:t>Provisions</w:t>
            </w:r>
          </w:p>
        </w:tc>
        <w:tc>
          <w:tcPr>
            <w:tcW w:w="373" w:type="dxa"/>
          </w:tcPr>
          <w:p>
            <w:pPr>
              <w:pStyle w:val="TableParagraph"/>
              <w:spacing w:before="19"/>
              <w:ind w:left="35"/>
              <w:jc w:val="left"/>
              <w:rPr>
                <w:sz w:val="18"/>
              </w:rPr>
            </w:pPr>
            <w:r>
              <w:rPr>
                <w:w w:val="99"/>
                <w:sz w:val="18"/>
              </w:rPr>
              <w:t>7</w:t>
            </w:r>
          </w:p>
        </w:tc>
        <w:tc>
          <w:tcPr>
            <w:tcW w:w="1458" w:type="dxa"/>
            <w:tcBorders>
              <w:bottom w:val="single" w:sz="0" w:space="0" w:color="000000"/>
            </w:tcBorders>
          </w:tcPr>
          <w:p>
            <w:pPr>
              <w:pStyle w:val="TableParagraph"/>
              <w:spacing w:before="19"/>
              <w:ind w:right="247"/>
              <w:rPr>
                <w:b/>
                <w:sz w:val="18"/>
              </w:rPr>
            </w:pPr>
            <w:r>
              <w:rPr>
                <w:b/>
                <w:w w:val="95"/>
                <w:sz w:val="18"/>
              </w:rPr>
              <w:t>504,415</w:t>
            </w:r>
          </w:p>
        </w:tc>
        <w:tc>
          <w:tcPr>
            <w:tcW w:w="1136" w:type="dxa"/>
            <w:tcBorders>
              <w:bottom w:val="single" w:sz="0" w:space="0" w:color="000000"/>
            </w:tcBorders>
          </w:tcPr>
          <w:p>
            <w:pPr>
              <w:pStyle w:val="TableParagraph"/>
              <w:spacing w:before="19"/>
              <w:ind w:right="86"/>
              <w:rPr>
                <w:sz w:val="18"/>
              </w:rPr>
            </w:pPr>
            <w:r>
              <w:rPr>
                <w:w w:val="95"/>
                <w:sz w:val="18"/>
              </w:rPr>
              <w:t>429,810</w:t>
            </w:r>
          </w:p>
        </w:tc>
      </w:tr>
      <w:tr>
        <w:trPr>
          <w:trHeight w:val="338" w:hRule="exact"/>
        </w:trPr>
        <w:tc>
          <w:tcPr>
            <w:tcW w:w="6956" w:type="dxa"/>
          </w:tcPr>
          <w:p>
            <w:pPr>
              <w:pStyle w:val="TableParagraph"/>
              <w:spacing w:before="38"/>
              <w:ind w:left="176"/>
              <w:jc w:val="left"/>
              <w:rPr>
                <w:b/>
                <w:sz w:val="18"/>
              </w:rPr>
            </w:pPr>
            <w:r>
              <w:rPr>
                <w:b/>
                <w:sz w:val="18"/>
              </w:rPr>
              <w:t>Total Current Liabilities</w:t>
            </w:r>
          </w:p>
        </w:tc>
        <w:tc>
          <w:tcPr>
            <w:tcW w:w="373" w:type="dxa"/>
          </w:tcPr>
          <w:p>
            <w:pPr/>
          </w:p>
        </w:tc>
        <w:tc>
          <w:tcPr>
            <w:tcW w:w="1458" w:type="dxa"/>
            <w:tcBorders>
              <w:top w:val="single" w:sz="0" w:space="0" w:color="000000"/>
              <w:bottom w:val="single" w:sz="0" w:space="0" w:color="000000"/>
            </w:tcBorders>
          </w:tcPr>
          <w:p>
            <w:pPr>
              <w:pStyle w:val="TableParagraph"/>
              <w:spacing w:before="122"/>
              <w:ind w:right="247"/>
              <w:rPr>
                <w:b/>
                <w:sz w:val="18"/>
              </w:rPr>
            </w:pPr>
            <w:r>
              <w:rPr>
                <w:b/>
                <w:w w:val="95"/>
                <w:sz w:val="18"/>
              </w:rPr>
              <w:t>1,208,440</w:t>
            </w:r>
          </w:p>
        </w:tc>
        <w:tc>
          <w:tcPr>
            <w:tcW w:w="1136" w:type="dxa"/>
            <w:tcBorders>
              <w:top w:val="single" w:sz="0" w:space="0" w:color="000000"/>
              <w:bottom w:val="single" w:sz="0" w:space="0" w:color="000000"/>
            </w:tcBorders>
          </w:tcPr>
          <w:p>
            <w:pPr>
              <w:pStyle w:val="TableParagraph"/>
              <w:spacing w:before="122"/>
              <w:ind w:right="86"/>
              <w:rPr>
                <w:sz w:val="18"/>
              </w:rPr>
            </w:pPr>
            <w:r>
              <w:rPr>
                <w:w w:val="95"/>
                <w:sz w:val="18"/>
              </w:rPr>
              <w:t>963,513</w:t>
            </w:r>
          </w:p>
        </w:tc>
      </w:tr>
      <w:tr>
        <w:trPr>
          <w:trHeight w:val="602" w:hRule="exact"/>
        </w:trPr>
        <w:tc>
          <w:tcPr>
            <w:tcW w:w="6956" w:type="dxa"/>
          </w:tcPr>
          <w:p>
            <w:pPr>
              <w:pStyle w:val="TableParagraph"/>
              <w:spacing w:before="123"/>
              <w:ind w:left="35"/>
              <w:jc w:val="left"/>
              <w:rPr>
                <w:b/>
                <w:sz w:val="18"/>
              </w:rPr>
            </w:pPr>
            <w:r>
              <w:rPr>
                <w:b/>
                <w:sz w:val="18"/>
              </w:rPr>
              <w:t>Non-Current Liabilities</w:t>
            </w:r>
          </w:p>
          <w:p>
            <w:pPr>
              <w:pStyle w:val="TableParagraph"/>
              <w:spacing w:before="27"/>
              <w:ind w:left="35"/>
              <w:jc w:val="left"/>
              <w:rPr>
                <w:sz w:val="18"/>
              </w:rPr>
            </w:pPr>
            <w:r>
              <w:rPr>
                <w:sz w:val="18"/>
              </w:rPr>
              <w:t>Provisions</w:t>
            </w:r>
          </w:p>
        </w:tc>
        <w:tc>
          <w:tcPr>
            <w:tcW w:w="373" w:type="dxa"/>
          </w:tcPr>
          <w:p>
            <w:pPr>
              <w:pStyle w:val="TableParagraph"/>
              <w:jc w:val="left"/>
              <w:rPr>
                <w:sz w:val="18"/>
              </w:rPr>
            </w:pPr>
          </w:p>
          <w:p>
            <w:pPr>
              <w:pStyle w:val="TableParagraph"/>
              <w:spacing w:before="151"/>
              <w:ind w:left="35"/>
              <w:jc w:val="left"/>
              <w:rPr>
                <w:sz w:val="18"/>
              </w:rPr>
            </w:pPr>
            <w:r>
              <w:rPr>
                <w:w w:val="99"/>
                <w:sz w:val="18"/>
              </w:rPr>
              <w:t>7</w:t>
            </w:r>
          </w:p>
        </w:tc>
        <w:tc>
          <w:tcPr>
            <w:tcW w:w="1458" w:type="dxa"/>
            <w:tcBorders>
              <w:top w:val="single" w:sz="0" w:space="0" w:color="000000"/>
              <w:bottom w:val="single" w:sz="0" w:space="0" w:color="000000"/>
            </w:tcBorders>
          </w:tcPr>
          <w:p>
            <w:pPr>
              <w:pStyle w:val="TableParagraph"/>
              <w:jc w:val="left"/>
              <w:rPr>
                <w:sz w:val="18"/>
              </w:rPr>
            </w:pPr>
          </w:p>
          <w:p>
            <w:pPr>
              <w:pStyle w:val="TableParagraph"/>
              <w:spacing w:before="151"/>
              <w:ind w:right="247"/>
              <w:rPr>
                <w:b/>
                <w:sz w:val="18"/>
              </w:rPr>
            </w:pPr>
            <w:r>
              <w:rPr>
                <w:b/>
                <w:w w:val="95"/>
                <w:sz w:val="18"/>
              </w:rPr>
              <w:t>81,844</w:t>
            </w:r>
          </w:p>
        </w:tc>
        <w:tc>
          <w:tcPr>
            <w:tcW w:w="1136" w:type="dxa"/>
            <w:tcBorders>
              <w:top w:val="single" w:sz="0" w:space="0" w:color="000000"/>
              <w:bottom w:val="single" w:sz="0" w:space="0" w:color="000000"/>
            </w:tcBorders>
          </w:tcPr>
          <w:p>
            <w:pPr>
              <w:pStyle w:val="TableParagraph"/>
              <w:jc w:val="left"/>
              <w:rPr>
                <w:sz w:val="18"/>
              </w:rPr>
            </w:pPr>
          </w:p>
          <w:p>
            <w:pPr>
              <w:pStyle w:val="TableParagraph"/>
              <w:spacing w:before="151"/>
              <w:ind w:right="86"/>
              <w:rPr>
                <w:sz w:val="18"/>
              </w:rPr>
            </w:pPr>
            <w:r>
              <w:rPr>
                <w:w w:val="95"/>
                <w:sz w:val="18"/>
              </w:rPr>
              <w:t>54,529</w:t>
            </w:r>
          </w:p>
        </w:tc>
      </w:tr>
      <w:tr>
        <w:trPr>
          <w:trHeight w:val="338" w:hRule="exact"/>
        </w:trPr>
        <w:tc>
          <w:tcPr>
            <w:tcW w:w="7330" w:type="dxa"/>
            <w:gridSpan w:val="2"/>
          </w:tcPr>
          <w:p>
            <w:pPr>
              <w:pStyle w:val="TableParagraph"/>
              <w:spacing w:before="28"/>
              <w:ind w:left="176"/>
              <w:jc w:val="left"/>
              <w:rPr>
                <w:b/>
                <w:sz w:val="18"/>
              </w:rPr>
            </w:pPr>
            <w:r>
              <w:rPr>
                <w:b/>
                <w:sz w:val="18"/>
              </w:rPr>
              <w:t>Total Non-Current Liabilities</w:t>
            </w:r>
          </w:p>
        </w:tc>
        <w:tc>
          <w:tcPr>
            <w:tcW w:w="1458" w:type="dxa"/>
            <w:tcBorders>
              <w:bottom w:val="single" w:sz="0" w:space="0" w:color="000000"/>
            </w:tcBorders>
          </w:tcPr>
          <w:p>
            <w:pPr>
              <w:pStyle w:val="TableParagraph"/>
              <w:spacing w:before="113"/>
              <w:ind w:right="247"/>
              <w:rPr>
                <w:b/>
                <w:sz w:val="18"/>
              </w:rPr>
            </w:pPr>
            <w:r>
              <w:rPr>
                <w:b/>
                <w:w w:val="95"/>
                <w:sz w:val="18"/>
              </w:rPr>
              <w:t>81,844</w:t>
            </w:r>
          </w:p>
        </w:tc>
        <w:tc>
          <w:tcPr>
            <w:tcW w:w="1136" w:type="dxa"/>
            <w:tcBorders>
              <w:bottom w:val="single" w:sz="0" w:space="0" w:color="000000"/>
            </w:tcBorders>
          </w:tcPr>
          <w:p>
            <w:pPr>
              <w:pStyle w:val="TableParagraph"/>
              <w:spacing w:before="113"/>
              <w:ind w:right="86"/>
              <w:rPr>
                <w:sz w:val="18"/>
              </w:rPr>
            </w:pPr>
            <w:r>
              <w:rPr>
                <w:w w:val="95"/>
                <w:sz w:val="18"/>
              </w:rPr>
              <w:t>54,529</w:t>
            </w:r>
          </w:p>
        </w:tc>
      </w:tr>
      <w:tr>
        <w:trPr>
          <w:trHeight w:val="338" w:hRule="exact"/>
        </w:trPr>
        <w:tc>
          <w:tcPr>
            <w:tcW w:w="7330" w:type="dxa"/>
            <w:gridSpan w:val="2"/>
          </w:tcPr>
          <w:p>
            <w:pPr>
              <w:pStyle w:val="TableParagraph"/>
              <w:spacing w:before="38"/>
              <w:ind w:left="176"/>
              <w:jc w:val="left"/>
              <w:rPr>
                <w:b/>
                <w:sz w:val="18"/>
              </w:rPr>
            </w:pPr>
            <w:r>
              <w:rPr>
                <w:b/>
                <w:sz w:val="18"/>
              </w:rPr>
              <w:t>Total Liabilities</w:t>
            </w:r>
          </w:p>
        </w:tc>
        <w:tc>
          <w:tcPr>
            <w:tcW w:w="1458" w:type="dxa"/>
            <w:tcBorders>
              <w:top w:val="single" w:sz="0" w:space="0" w:color="000000"/>
              <w:bottom w:val="single" w:sz="0" w:space="0" w:color="000000"/>
            </w:tcBorders>
          </w:tcPr>
          <w:p>
            <w:pPr>
              <w:pStyle w:val="TableParagraph"/>
              <w:spacing w:before="122"/>
              <w:ind w:right="247"/>
              <w:rPr>
                <w:b/>
                <w:sz w:val="18"/>
              </w:rPr>
            </w:pPr>
            <w:r>
              <w:rPr>
                <w:b/>
                <w:w w:val="95"/>
                <w:sz w:val="18"/>
              </w:rPr>
              <w:t>1,290,284</w:t>
            </w:r>
          </w:p>
        </w:tc>
        <w:tc>
          <w:tcPr>
            <w:tcW w:w="1136" w:type="dxa"/>
            <w:tcBorders>
              <w:top w:val="single" w:sz="0" w:space="0" w:color="000000"/>
              <w:bottom w:val="single" w:sz="0" w:space="0" w:color="000000"/>
            </w:tcBorders>
          </w:tcPr>
          <w:p>
            <w:pPr>
              <w:pStyle w:val="TableParagraph"/>
              <w:spacing w:before="122"/>
              <w:ind w:right="86"/>
              <w:rPr>
                <w:sz w:val="18"/>
              </w:rPr>
            </w:pPr>
            <w:r>
              <w:rPr>
                <w:w w:val="95"/>
                <w:sz w:val="18"/>
              </w:rPr>
              <w:t>1,018,042</w:t>
            </w:r>
          </w:p>
        </w:tc>
      </w:tr>
      <w:tr>
        <w:trPr>
          <w:trHeight w:val="353" w:hRule="exact"/>
        </w:trPr>
        <w:tc>
          <w:tcPr>
            <w:tcW w:w="6956" w:type="dxa"/>
          </w:tcPr>
          <w:p>
            <w:pPr>
              <w:pStyle w:val="TableParagraph"/>
              <w:spacing w:before="28"/>
              <w:ind w:left="176"/>
              <w:jc w:val="left"/>
              <w:rPr>
                <w:b/>
                <w:sz w:val="18"/>
              </w:rPr>
            </w:pPr>
            <w:r>
              <w:rPr>
                <w:b/>
                <w:sz w:val="18"/>
              </w:rPr>
              <w:t>Net Assets</w:t>
            </w:r>
          </w:p>
        </w:tc>
        <w:tc>
          <w:tcPr>
            <w:tcW w:w="373" w:type="dxa"/>
          </w:tcPr>
          <w:p>
            <w:pPr/>
          </w:p>
        </w:tc>
        <w:tc>
          <w:tcPr>
            <w:tcW w:w="1458" w:type="dxa"/>
            <w:tcBorders>
              <w:bottom w:val="single" w:sz="0" w:space="0" w:color="000000"/>
            </w:tcBorders>
          </w:tcPr>
          <w:p>
            <w:pPr>
              <w:pStyle w:val="TableParagraph"/>
              <w:spacing w:before="113"/>
              <w:ind w:right="247"/>
              <w:rPr>
                <w:b/>
                <w:sz w:val="18"/>
              </w:rPr>
            </w:pPr>
            <w:r>
              <w:rPr>
                <w:b/>
                <w:w w:val="95"/>
                <w:sz w:val="18"/>
              </w:rPr>
              <w:t>1,054,055</w:t>
            </w:r>
          </w:p>
        </w:tc>
        <w:tc>
          <w:tcPr>
            <w:tcW w:w="1136" w:type="dxa"/>
            <w:tcBorders>
              <w:bottom w:val="single" w:sz="0" w:space="0" w:color="000000"/>
            </w:tcBorders>
          </w:tcPr>
          <w:p>
            <w:pPr>
              <w:pStyle w:val="TableParagraph"/>
              <w:spacing w:before="113"/>
              <w:ind w:right="86"/>
              <w:rPr>
                <w:sz w:val="18"/>
              </w:rPr>
            </w:pPr>
            <w:r>
              <w:rPr>
                <w:w w:val="95"/>
                <w:sz w:val="18"/>
              </w:rPr>
              <w:t>821,134</w:t>
            </w:r>
          </w:p>
        </w:tc>
      </w:tr>
      <w:tr>
        <w:trPr>
          <w:trHeight w:val="617" w:hRule="exact"/>
        </w:trPr>
        <w:tc>
          <w:tcPr>
            <w:tcW w:w="6956" w:type="dxa"/>
          </w:tcPr>
          <w:p>
            <w:pPr>
              <w:pStyle w:val="TableParagraph"/>
              <w:spacing w:before="138"/>
              <w:ind w:left="35"/>
              <w:jc w:val="left"/>
              <w:rPr>
                <w:b/>
                <w:sz w:val="18"/>
              </w:rPr>
            </w:pPr>
            <w:r>
              <w:rPr>
                <w:b/>
                <w:sz w:val="18"/>
              </w:rPr>
              <w:t>EQUITY</w:t>
            </w:r>
          </w:p>
          <w:p>
            <w:pPr>
              <w:pStyle w:val="TableParagraph"/>
              <w:spacing w:before="27"/>
              <w:ind w:left="35"/>
              <w:jc w:val="left"/>
              <w:rPr>
                <w:sz w:val="18"/>
              </w:rPr>
            </w:pPr>
            <w:r>
              <w:rPr>
                <w:sz w:val="18"/>
              </w:rPr>
              <w:t>Retained Earnings</w:t>
            </w:r>
          </w:p>
        </w:tc>
        <w:tc>
          <w:tcPr>
            <w:tcW w:w="373" w:type="dxa"/>
          </w:tcPr>
          <w:p>
            <w:pPr>
              <w:pStyle w:val="TableParagraph"/>
              <w:jc w:val="left"/>
              <w:rPr>
                <w:sz w:val="18"/>
              </w:rPr>
            </w:pPr>
          </w:p>
          <w:p>
            <w:pPr>
              <w:pStyle w:val="TableParagraph"/>
              <w:spacing w:before="5"/>
              <w:jc w:val="left"/>
              <w:rPr>
                <w:sz w:val="14"/>
              </w:rPr>
            </w:pPr>
          </w:p>
          <w:p>
            <w:pPr>
              <w:pStyle w:val="TableParagraph"/>
              <w:ind w:left="35"/>
              <w:jc w:val="left"/>
              <w:rPr>
                <w:sz w:val="18"/>
              </w:rPr>
            </w:pPr>
            <w:r>
              <w:rPr>
                <w:w w:val="99"/>
                <w:sz w:val="18"/>
              </w:rPr>
              <w:t>8</w:t>
            </w:r>
          </w:p>
        </w:tc>
        <w:tc>
          <w:tcPr>
            <w:tcW w:w="1458" w:type="dxa"/>
            <w:tcBorders>
              <w:top w:val="single" w:sz="0" w:space="0" w:color="000000"/>
              <w:bottom w:val="single" w:sz="0" w:space="0" w:color="000000"/>
            </w:tcBorders>
          </w:tcPr>
          <w:p>
            <w:pPr>
              <w:pStyle w:val="TableParagraph"/>
              <w:jc w:val="left"/>
              <w:rPr>
                <w:sz w:val="18"/>
              </w:rPr>
            </w:pPr>
          </w:p>
          <w:p>
            <w:pPr>
              <w:pStyle w:val="TableParagraph"/>
              <w:spacing w:before="5"/>
              <w:jc w:val="left"/>
              <w:rPr>
                <w:sz w:val="14"/>
              </w:rPr>
            </w:pPr>
          </w:p>
          <w:p>
            <w:pPr>
              <w:pStyle w:val="TableParagraph"/>
              <w:ind w:right="247"/>
              <w:rPr>
                <w:b/>
                <w:sz w:val="18"/>
              </w:rPr>
            </w:pPr>
            <w:r>
              <w:rPr>
                <w:b/>
                <w:w w:val="95"/>
                <w:sz w:val="18"/>
              </w:rPr>
              <w:t>1,054,055</w:t>
            </w:r>
          </w:p>
        </w:tc>
        <w:tc>
          <w:tcPr>
            <w:tcW w:w="1136" w:type="dxa"/>
            <w:tcBorders>
              <w:top w:val="single" w:sz="0" w:space="0" w:color="000000"/>
              <w:bottom w:val="single" w:sz="0" w:space="0" w:color="000000"/>
            </w:tcBorders>
          </w:tcPr>
          <w:p>
            <w:pPr>
              <w:pStyle w:val="TableParagraph"/>
              <w:jc w:val="left"/>
              <w:rPr>
                <w:sz w:val="18"/>
              </w:rPr>
            </w:pPr>
          </w:p>
          <w:p>
            <w:pPr>
              <w:pStyle w:val="TableParagraph"/>
              <w:spacing w:before="5"/>
              <w:jc w:val="left"/>
              <w:rPr>
                <w:sz w:val="14"/>
              </w:rPr>
            </w:pPr>
          </w:p>
          <w:p>
            <w:pPr>
              <w:pStyle w:val="TableParagraph"/>
              <w:ind w:right="86"/>
              <w:rPr>
                <w:sz w:val="18"/>
              </w:rPr>
            </w:pPr>
            <w:r>
              <w:rPr>
                <w:w w:val="95"/>
                <w:sz w:val="18"/>
              </w:rPr>
              <w:t>821,134</w:t>
            </w:r>
          </w:p>
        </w:tc>
      </w:tr>
      <w:tr>
        <w:trPr>
          <w:trHeight w:val="353" w:hRule="exact"/>
        </w:trPr>
        <w:tc>
          <w:tcPr>
            <w:tcW w:w="7330" w:type="dxa"/>
            <w:gridSpan w:val="2"/>
          </w:tcPr>
          <w:p>
            <w:pPr>
              <w:pStyle w:val="TableParagraph"/>
              <w:spacing w:before="28"/>
              <w:ind w:left="176"/>
              <w:jc w:val="left"/>
              <w:rPr>
                <w:b/>
                <w:sz w:val="18"/>
              </w:rPr>
            </w:pPr>
            <w:r>
              <w:rPr>
                <w:b/>
                <w:sz w:val="18"/>
              </w:rPr>
              <w:t>Total Equity</w:t>
            </w:r>
          </w:p>
        </w:tc>
        <w:tc>
          <w:tcPr>
            <w:tcW w:w="1458" w:type="dxa"/>
            <w:tcBorders>
              <w:bottom w:val="single" w:sz="0" w:space="0" w:color="000000"/>
            </w:tcBorders>
          </w:tcPr>
          <w:p>
            <w:pPr>
              <w:pStyle w:val="TableParagraph"/>
              <w:spacing w:before="113"/>
              <w:ind w:right="247"/>
              <w:rPr>
                <w:b/>
                <w:sz w:val="18"/>
              </w:rPr>
            </w:pPr>
            <w:r>
              <w:rPr>
                <w:b/>
                <w:w w:val="95"/>
                <w:sz w:val="18"/>
              </w:rPr>
              <w:t>1,054,055</w:t>
            </w:r>
          </w:p>
        </w:tc>
        <w:tc>
          <w:tcPr>
            <w:tcW w:w="1136" w:type="dxa"/>
            <w:tcBorders>
              <w:bottom w:val="single" w:sz="0" w:space="0" w:color="000000"/>
            </w:tcBorders>
          </w:tcPr>
          <w:p>
            <w:pPr>
              <w:pStyle w:val="TableParagraph"/>
              <w:spacing w:before="113"/>
              <w:ind w:right="86"/>
              <w:rPr>
                <w:sz w:val="18"/>
              </w:rPr>
            </w:pPr>
            <w:r>
              <w:rPr>
                <w:w w:val="95"/>
                <w:sz w:val="18"/>
              </w:rPr>
              <w:t>821,134</w:t>
            </w:r>
          </w:p>
        </w:tc>
      </w:tr>
    </w:tbl>
    <w:p>
      <w:pPr>
        <w:spacing w:after="0"/>
        <w:rPr>
          <w:sz w:val="18"/>
        </w:rPr>
        <w:sectPr>
          <w:pgSz w:w="12750" w:h="17680"/>
          <w:pgMar w:header="0" w:footer="1403" w:top="1880" w:bottom="1600" w:left="0" w:right="0"/>
        </w:sectPr>
      </w:pPr>
    </w:p>
    <w:p>
      <w:pPr>
        <w:pStyle w:val="BodyText"/>
        <w:spacing w:before="6"/>
        <w:rPr>
          <w:rFonts w:ascii="Times New Roman"/>
          <w:sz w:val="29"/>
        </w:rPr>
      </w:pPr>
      <w:r>
        <w:rPr/>
        <w:drawing>
          <wp:anchor distT="0" distB="0" distL="0" distR="0" allowOverlap="1" layoutInCell="1" locked="0" behindDoc="0" simplePos="0" relativeHeight="12208">
            <wp:simplePos x="0" y="0"/>
            <wp:positionH relativeFrom="page">
              <wp:posOffset>-1587</wp:posOffset>
            </wp:positionH>
            <wp:positionV relativeFrom="page">
              <wp:posOffset>5534342</wp:posOffset>
            </wp:positionV>
            <wp:extent cx="135159" cy="154019"/>
            <wp:effectExtent l="0" t="0" r="0" b="0"/>
            <wp:wrapNone/>
            <wp:docPr id="809" name="image13.png" descr=""/>
            <wp:cNvGraphicFramePr>
              <a:graphicFrameLocks noChangeAspect="1"/>
            </wp:cNvGraphicFramePr>
            <a:graphic>
              <a:graphicData uri="http://schemas.openxmlformats.org/drawingml/2006/picture">
                <pic:pic>
                  <pic:nvPicPr>
                    <pic:cNvPr id="810" name="image13.png"/>
                    <pic:cNvPicPr/>
                  </pic:nvPicPr>
                  <pic:blipFill>
                    <a:blip r:embed="rId18" cstate="print"/>
                    <a:stretch>
                      <a:fillRect/>
                    </a:stretch>
                  </pic:blipFill>
                  <pic:spPr>
                    <a:xfrm>
                      <a:off x="0" y="0"/>
                      <a:ext cx="135159" cy="154019"/>
                    </a:xfrm>
                    <a:prstGeom prst="rect">
                      <a:avLst/>
                    </a:prstGeom>
                  </pic:spPr>
                </pic:pic>
              </a:graphicData>
            </a:graphic>
          </wp:anchor>
        </w:drawing>
      </w:r>
      <w:r>
        <w:rPr/>
        <w:drawing>
          <wp:anchor distT="0" distB="0" distL="0" distR="0" allowOverlap="1" layoutInCell="1" locked="0" behindDoc="0" simplePos="0" relativeHeight="12232">
            <wp:simplePos x="0" y="0"/>
            <wp:positionH relativeFrom="page">
              <wp:posOffset>7958429</wp:posOffset>
            </wp:positionH>
            <wp:positionV relativeFrom="page">
              <wp:posOffset>5534342</wp:posOffset>
            </wp:positionV>
            <wp:extent cx="135953" cy="155575"/>
            <wp:effectExtent l="0" t="0" r="0" b="0"/>
            <wp:wrapNone/>
            <wp:docPr id="811" name="image15.png" descr=""/>
            <wp:cNvGraphicFramePr>
              <a:graphicFrameLocks noChangeAspect="1"/>
            </wp:cNvGraphicFramePr>
            <a:graphic>
              <a:graphicData uri="http://schemas.openxmlformats.org/drawingml/2006/picture">
                <pic:pic>
                  <pic:nvPicPr>
                    <pic:cNvPr id="812" name="image15.png"/>
                    <pic:cNvPicPr/>
                  </pic:nvPicPr>
                  <pic:blipFill>
                    <a:blip r:embed="rId20" cstate="print"/>
                    <a:stretch>
                      <a:fillRect/>
                    </a:stretch>
                  </pic:blipFill>
                  <pic:spPr>
                    <a:xfrm>
                      <a:off x="0" y="0"/>
                      <a:ext cx="135953" cy="155575"/>
                    </a:xfrm>
                    <a:prstGeom prst="rect">
                      <a:avLst/>
                    </a:prstGeom>
                  </pic:spPr>
                </pic:pic>
              </a:graphicData>
            </a:graphic>
          </wp:anchor>
        </w:drawing>
      </w:r>
    </w:p>
    <w:tbl>
      <w:tblPr>
        <w:tblW w:w="0" w:type="auto"/>
        <w:jc w:val="left"/>
        <w:tblInd w:w="142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331"/>
        <w:gridCol w:w="1318"/>
        <w:gridCol w:w="1277"/>
      </w:tblGrid>
      <w:tr>
        <w:trPr>
          <w:trHeight w:val="533" w:hRule="exact"/>
        </w:trPr>
        <w:tc>
          <w:tcPr>
            <w:tcW w:w="7331" w:type="dxa"/>
            <w:vMerge w:val="restart"/>
          </w:tcPr>
          <w:p>
            <w:pPr/>
          </w:p>
        </w:tc>
        <w:tc>
          <w:tcPr>
            <w:tcW w:w="1318" w:type="dxa"/>
          </w:tcPr>
          <w:p>
            <w:pPr>
              <w:pStyle w:val="TableParagraph"/>
              <w:spacing w:before="77"/>
              <w:ind w:left="273" w:right="269" w:hanging="5"/>
              <w:jc w:val="left"/>
              <w:rPr>
                <w:b/>
                <w:sz w:val="18"/>
              </w:rPr>
            </w:pPr>
            <w:bookmarkStart w:name="Statement of Changes in Equity" w:id="310"/>
            <w:bookmarkEnd w:id="310"/>
            <w:r>
              <w:rPr/>
            </w:r>
            <w:r>
              <w:rPr>
                <w:b/>
                <w:sz w:val="18"/>
              </w:rPr>
              <w:t>Retained earnings</w:t>
            </w:r>
          </w:p>
        </w:tc>
        <w:tc>
          <w:tcPr>
            <w:tcW w:w="1277" w:type="dxa"/>
          </w:tcPr>
          <w:p>
            <w:pPr>
              <w:pStyle w:val="TableParagraph"/>
              <w:spacing w:before="7"/>
              <w:jc w:val="left"/>
              <w:rPr>
                <w:rFonts w:ascii="Times New Roman"/>
                <w:sz w:val="24"/>
              </w:rPr>
            </w:pPr>
          </w:p>
          <w:p>
            <w:pPr>
              <w:pStyle w:val="TableParagraph"/>
              <w:ind w:left="109"/>
              <w:jc w:val="left"/>
              <w:rPr>
                <w:b/>
                <w:sz w:val="18"/>
              </w:rPr>
            </w:pPr>
            <w:r>
              <w:rPr>
                <w:b/>
                <w:sz w:val="18"/>
              </w:rPr>
              <w:t>Total equity</w:t>
            </w:r>
          </w:p>
        </w:tc>
      </w:tr>
      <w:tr>
        <w:trPr>
          <w:trHeight w:val="283" w:hRule="exact"/>
        </w:trPr>
        <w:tc>
          <w:tcPr>
            <w:tcW w:w="7331" w:type="dxa"/>
            <w:vMerge/>
          </w:tcPr>
          <w:p>
            <w:pPr/>
          </w:p>
        </w:tc>
        <w:tc>
          <w:tcPr>
            <w:tcW w:w="1318" w:type="dxa"/>
          </w:tcPr>
          <w:p>
            <w:pPr>
              <w:pStyle w:val="TableParagraph"/>
              <w:spacing w:before="24"/>
              <w:ind w:right="19"/>
              <w:jc w:val="center"/>
              <w:rPr>
                <w:b/>
                <w:sz w:val="18"/>
              </w:rPr>
            </w:pPr>
            <w:r>
              <w:rPr>
                <w:b/>
                <w:w w:val="99"/>
                <w:sz w:val="18"/>
              </w:rPr>
              <w:t>$</w:t>
            </w:r>
          </w:p>
        </w:tc>
        <w:tc>
          <w:tcPr>
            <w:tcW w:w="1277" w:type="dxa"/>
          </w:tcPr>
          <w:p>
            <w:pPr>
              <w:pStyle w:val="TableParagraph"/>
              <w:spacing w:before="24"/>
              <w:ind w:right="44"/>
              <w:jc w:val="center"/>
              <w:rPr>
                <w:b/>
                <w:sz w:val="18"/>
              </w:rPr>
            </w:pPr>
            <w:r>
              <w:rPr>
                <w:b/>
                <w:w w:val="99"/>
                <w:sz w:val="18"/>
              </w:rPr>
              <w:t>$</w:t>
            </w:r>
          </w:p>
        </w:tc>
      </w:tr>
      <w:tr>
        <w:trPr>
          <w:trHeight w:val="325" w:hRule="exact"/>
        </w:trPr>
        <w:tc>
          <w:tcPr>
            <w:tcW w:w="7331" w:type="dxa"/>
          </w:tcPr>
          <w:p>
            <w:pPr>
              <w:pStyle w:val="TableParagraph"/>
              <w:spacing w:before="33"/>
              <w:ind w:left="35"/>
              <w:jc w:val="left"/>
              <w:rPr>
                <w:b/>
                <w:sz w:val="18"/>
              </w:rPr>
            </w:pPr>
            <w:r>
              <w:rPr>
                <w:b/>
                <w:sz w:val="18"/>
              </w:rPr>
              <w:t>Balance at 1 January 2016</w:t>
            </w:r>
          </w:p>
        </w:tc>
        <w:tc>
          <w:tcPr>
            <w:tcW w:w="1318" w:type="dxa"/>
          </w:tcPr>
          <w:p>
            <w:pPr>
              <w:pStyle w:val="TableParagraph"/>
              <w:spacing w:before="38"/>
              <w:ind w:right="107"/>
              <w:rPr>
                <w:b/>
                <w:sz w:val="18"/>
              </w:rPr>
            </w:pPr>
            <w:r>
              <w:rPr>
                <w:b/>
                <w:w w:val="95"/>
                <w:sz w:val="18"/>
              </w:rPr>
              <w:t>821,134</w:t>
            </w:r>
          </w:p>
        </w:tc>
        <w:tc>
          <w:tcPr>
            <w:tcW w:w="1277" w:type="dxa"/>
          </w:tcPr>
          <w:p>
            <w:pPr>
              <w:pStyle w:val="TableParagraph"/>
              <w:spacing w:before="38"/>
              <w:ind w:right="85"/>
              <w:rPr>
                <w:b/>
                <w:sz w:val="18"/>
              </w:rPr>
            </w:pPr>
            <w:r>
              <w:rPr>
                <w:b/>
                <w:w w:val="95"/>
                <w:sz w:val="18"/>
              </w:rPr>
              <w:t>821,134</w:t>
            </w:r>
          </w:p>
        </w:tc>
      </w:tr>
      <w:tr>
        <w:trPr>
          <w:trHeight w:val="542" w:hRule="exact"/>
        </w:trPr>
        <w:tc>
          <w:tcPr>
            <w:tcW w:w="7331" w:type="dxa"/>
          </w:tcPr>
          <w:p>
            <w:pPr>
              <w:pStyle w:val="TableParagraph"/>
              <w:spacing w:before="61"/>
              <w:ind w:left="35"/>
              <w:jc w:val="left"/>
              <w:rPr>
                <w:b/>
                <w:sz w:val="18"/>
              </w:rPr>
            </w:pPr>
            <w:r>
              <w:rPr>
                <w:b/>
                <w:sz w:val="18"/>
              </w:rPr>
              <w:t>Comprehensive income for the year</w:t>
            </w:r>
          </w:p>
          <w:p>
            <w:pPr>
              <w:pStyle w:val="TableParagraph"/>
              <w:spacing w:before="29"/>
              <w:ind w:left="176"/>
              <w:jc w:val="left"/>
              <w:rPr>
                <w:sz w:val="18"/>
              </w:rPr>
            </w:pPr>
            <w:r>
              <w:rPr>
                <w:sz w:val="18"/>
              </w:rPr>
              <w:t>Surplus for the year</w:t>
            </w:r>
          </w:p>
        </w:tc>
        <w:tc>
          <w:tcPr>
            <w:tcW w:w="1318" w:type="dxa"/>
          </w:tcPr>
          <w:p>
            <w:pPr>
              <w:pStyle w:val="TableParagraph"/>
              <w:spacing w:before="8"/>
              <w:jc w:val="left"/>
              <w:rPr>
                <w:rFonts w:ascii="Times New Roman"/>
                <w:sz w:val="25"/>
              </w:rPr>
            </w:pPr>
          </w:p>
          <w:p>
            <w:pPr>
              <w:pStyle w:val="TableParagraph"/>
              <w:ind w:right="107"/>
              <w:rPr>
                <w:b/>
                <w:sz w:val="18"/>
              </w:rPr>
            </w:pPr>
            <w:r>
              <w:rPr>
                <w:b/>
                <w:w w:val="95"/>
                <w:sz w:val="18"/>
              </w:rPr>
              <w:t>232,921</w:t>
            </w:r>
          </w:p>
        </w:tc>
        <w:tc>
          <w:tcPr>
            <w:tcW w:w="1277" w:type="dxa"/>
          </w:tcPr>
          <w:p>
            <w:pPr>
              <w:pStyle w:val="TableParagraph"/>
              <w:spacing w:before="8"/>
              <w:jc w:val="left"/>
              <w:rPr>
                <w:rFonts w:ascii="Times New Roman"/>
                <w:sz w:val="25"/>
              </w:rPr>
            </w:pPr>
          </w:p>
          <w:p>
            <w:pPr>
              <w:pStyle w:val="TableParagraph"/>
              <w:ind w:right="85"/>
              <w:rPr>
                <w:b/>
                <w:sz w:val="18"/>
              </w:rPr>
            </w:pPr>
            <w:r>
              <w:rPr>
                <w:b/>
                <w:w w:val="95"/>
                <w:sz w:val="18"/>
              </w:rPr>
              <w:t>232,921</w:t>
            </w:r>
          </w:p>
        </w:tc>
      </w:tr>
      <w:tr>
        <w:trPr>
          <w:trHeight w:val="262" w:hRule="exact"/>
        </w:trPr>
        <w:tc>
          <w:tcPr>
            <w:tcW w:w="7331" w:type="dxa"/>
          </w:tcPr>
          <w:p>
            <w:pPr>
              <w:pStyle w:val="TableParagraph"/>
              <w:spacing w:before="19"/>
              <w:ind w:left="176"/>
              <w:jc w:val="left"/>
              <w:rPr>
                <w:sz w:val="18"/>
              </w:rPr>
            </w:pPr>
            <w:r>
              <w:rPr>
                <w:sz w:val="18"/>
              </w:rPr>
              <w:t>Other comprehensive income for the year</w:t>
            </w:r>
          </w:p>
        </w:tc>
        <w:tc>
          <w:tcPr>
            <w:tcW w:w="1318" w:type="dxa"/>
            <w:tcBorders>
              <w:bottom w:val="single" w:sz="0" w:space="0" w:color="000000"/>
            </w:tcBorders>
          </w:tcPr>
          <w:p>
            <w:pPr>
              <w:pStyle w:val="TableParagraph"/>
              <w:spacing w:before="18"/>
              <w:ind w:right="107"/>
              <w:rPr>
                <w:b/>
                <w:sz w:val="18"/>
              </w:rPr>
            </w:pPr>
            <w:r>
              <w:rPr>
                <w:b/>
                <w:w w:val="99"/>
                <w:sz w:val="18"/>
              </w:rPr>
              <w:t>-</w:t>
            </w:r>
          </w:p>
        </w:tc>
        <w:tc>
          <w:tcPr>
            <w:tcW w:w="1277" w:type="dxa"/>
            <w:tcBorders>
              <w:bottom w:val="single" w:sz="0" w:space="0" w:color="000000"/>
            </w:tcBorders>
          </w:tcPr>
          <w:p>
            <w:pPr>
              <w:pStyle w:val="TableParagraph"/>
              <w:spacing w:before="18"/>
              <w:ind w:right="85"/>
              <w:rPr>
                <w:b/>
                <w:sz w:val="18"/>
              </w:rPr>
            </w:pPr>
            <w:r>
              <w:rPr>
                <w:b/>
                <w:w w:val="99"/>
                <w:sz w:val="18"/>
              </w:rPr>
              <w:t>-</w:t>
            </w:r>
          </w:p>
        </w:tc>
      </w:tr>
      <w:tr>
        <w:trPr>
          <w:trHeight w:val="338" w:hRule="exact"/>
        </w:trPr>
        <w:tc>
          <w:tcPr>
            <w:tcW w:w="7331" w:type="dxa"/>
          </w:tcPr>
          <w:p>
            <w:pPr>
              <w:pStyle w:val="TableParagraph"/>
              <w:spacing w:before="123"/>
              <w:ind w:left="35"/>
              <w:jc w:val="left"/>
              <w:rPr>
                <w:b/>
                <w:sz w:val="18"/>
              </w:rPr>
            </w:pPr>
            <w:r>
              <w:rPr>
                <w:b/>
                <w:sz w:val="18"/>
              </w:rPr>
              <w:t>Total comprehensive income for the year</w:t>
            </w:r>
          </w:p>
        </w:tc>
        <w:tc>
          <w:tcPr>
            <w:tcW w:w="1318" w:type="dxa"/>
            <w:tcBorders>
              <w:top w:val="single" w:sz="0" w:space="0" w:color="000000"/>
              <w:bottom w:val="single" w:sz="0" w:space="0" w:color="000000"/>
            </w:tcBorders>
          </w:tcPr>
          <w:p>
            <w:pPr>
              <w:pStyle w:val="TableParagraph"/>
              <w:spacing w:before="122"/>
              <w:ind w:right="107"/>
              <w:rPr>
                <w:b/>
                <w:sz w:val="18"/>
              </w:rPr>
            </w:pPr>
            <w:r>
              <w:rPr>
                <w:b/>
                <w:w w:val="95"/>
                <w:sz w:val="18"/>
              </w:rPr>
              <w:t>232,921</w:t>
            </w:r>
          </w:p>
        </w:tc>
        <w:tc>
          <w:tcPr>
            <w:tcW w:w="1277" w:type="dxa"/>
            <w:tcBorders>
              <w:top w:val="single" w:sz="0" w:space="0" w:color="000000"/>
              <w:bottom w:val="single" w:sz="0" w:space="0" w:color="000000"/>
            </w:tcBorders>
          </w:tcPr>
          <w:p>
            <w:pPr>
              <w:pStyle w:val="TableParagraph"/>
              <w:spacing w:before="122"/>
              <w:ind w:right="85"/>
              <w:rPr>
                <w:b/>
                <w:sz w:val="18"/>
              </w:rPr>
            </w:pPr>
            <w:r>
              <w:rPr>
                <w:b/>
                <w:w w:val="95"/>
                <w:sz w:val="18"/>
              </w:rPr>
              <w:t>232,921</w:t>
            </w:r>
          </w:p>
        </w:tc>
      </w:tr>
      <w:tr>
        <w:trPr>
          <w:trHeight w:val="353" w:hRule="exact"/>
        </w:trPr>
        <w:tc>
          <w:tcPr>
            <w:tcW w:w="7331" w:type="dxa"/>
          </w:tcPr>
          <w:p>
            <w:pPr>
              <w:pStyle w:val="TableParagraph"/>
              <w:spacing w:before="123"/>
              <w:ind w:left="35"/>
              <w:jc w:val="left"/>
              <w:rPr>
                <w:b/>
                <w:sz w:val="18"/>
              </w:rPr>
            </w:pPr>
            <w:r>
              <w:rPr>
                <w:b/>
                <w:sz w:val="18"/>
              </w:rPr>
              <w:t>Balance at 31 December 2016</w:t>
            </w:r>
          </w:p>
        </w:tc>
        <w:tc>
          <w:tcPr>
            <w:tcW w:w="1318" w:type="dxa"/>
            <w:tcBorders>
              <w:top w:val="single" w:sz="0" w:space="0" w:color="000000"/>
              <w:bottom w:val="single" w:sz="0" w:space="0" w:color="000000"/>
            </w:tcBorders>
          </w:tcPr>
          <w:p>
            <w:pPr>
              <w:pStyle w:val="TableParagraph"/>
              <w:spacing w:before="122"/>
              <w:ind w:right="107"/>
              <w:rPr>
                <w:b/>
                <w:sz w:val="18"/>
              </w:rPr>
            </w:pPr>
            <w:r>
              <w:rPr>
                <w:b/>
                <w:w w:val="95"/>
                <w:sz w:val="18"/>
              </w:rPr>
              <w:t>1,054,055</w:t>
            </w:r>
          </w:p>
        </w:tc>
        <w:tc>
          <w:tcPr>
            <w:tcW w:w="1277" w:type="dxa"/>
            <w:tcBorders>
              <w:top w:val="single" w:sz="0" w:space="0" w:color="000000"/>
              <w:bottom w:val="single" w:sz="0" w:space="0" w:color="000000"/>
            </w:tcBorders>
          </w:tcPr>
          <w:p>
            <w:pPr>
              <w:pStyle w:val="TableParagraph"/>
              <w:spacing w:before="122"/>
              <w:ind w:right="85"/>
              <w:rPr>
                <w:b/>
                <w:sz w:val="18"/>
              </w:rPr>
            </w:pPr>
            <w:r>
              <w:rPr>
                <w:b/>
                <w:w w:val="95"/>
                <w:sz w:val="18"/>
              </w:rPr>
              <w:t>1,054,055</w:t>
            </w:r>
          </w:p>
        </w:tc>
      </w:tr>
    </w:tbl>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5"/>
        <w:rPr>
          <w:rFonts w:ascii="Times New Roman"/>
          <w:sz w:val="15"/>
        </w:rPr>
      </w:pPr>
    </w:p>
    <w:tbl>
      <w:tblPr>
        <w:tblW w:w="0" w:type="auto"/>
        <w:jc w:val="left"/>
        <w:tblInd w:w="142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331"/>
        <w:gridCol w:w="1318"/>
        <w:gridCol w:w="1277"/>
      </w:tblGrid>
      <w:tr>
        <w:trPr>
          <w:trHeight w:val="533" w:hRule="exact"/>
        </w:trPr>
        <w:tc>
          <w:tcPr>
            <w:tcW w:w="7331" w:type="dxa"/>
            <w:vMerge w:val="restart"/>
          </w:tcPr>
          <w:p>
            <w:pPr/>
          </w:p>
        </w:tc>
        <w:tc>
          <w:tcPr>
            <w:tcW w:w="1318" w:type="dxa"/>
          </w:tcPr>
          <w:p>
            <w:pPr>
              <w:pStyle w:val="TableParagraph"/>
              <w:spacing w:before="77"/>
              <w:ind w:left="273" w:right="269" w:hanging="5"/>
              <w:jc w:val="left"/>
              <w:rPr>
                <w:b/>
                <w:sz w:val="18"/>
              </w:rPr>
            </w:pPr>
            <w:r>
              <w:rPr>
                <w:b/>
                <w:sz w:val="18"/>
              </w:rPr>
              <w:t>Retained earnings</w:t>
            </w:r>
          </w:p>
        </w:tc>
        <w:tc>
          <w:tcPr>
            <w:tcW w:w="1277" w:type="dxa"/>
          </w:tcPr>
          <w:p>
            <w:pPr>
              <w:pStyle w:val="TableParagraph"/>
              <w:spacing w:before="7"/>
              <w:jc w:val="left"/>
              <w:rPr>
                <w:rFonts w:ascii="Times New Roman"/>
                <w:sz w:val="24"/>
              </w:rPr>
            </w:pPr>
          </w:p>
          <w:p>
            <w:pPr>
              <w:pStyle w:val="TableParagraph"/>
              <w:ind w:left="109"/>
              <w:jc w:val="left"/>
              <w:rPr>
                <w:b/>
                <w:sz w:val="18"/>
              </w:rPr>
            </w:pPr>
            <w:r>
              <w:rPr>
                <w:b/>
                <w:sz w:val="18"/>
              </w:rPr>
              <w:t>Total equity</w:t>
            </w:r>
          </w:p>
        </w:tc>
      </w:tr>
      <w:tr>
        <w:trPr>
          <w:trHeight w:val="283" w:hRule="exact"/>
        </w:trPr>
        <w:tc>
          <w:tcPr>
            <w:tcW w:w="7331" w:type="dxa"/>
            <w:vMerge/>
          </w:tcPr>
          <w:p>
            <w:pPr/>
          </w:p>
        </w:tc>
        <w:tc>
          <w:tcPr>
            <w:tcW w:w="1318" w:type="dxa"/>
          </w:tcPr>
          <w:p>
            <w:pPr>
              <w:pStyle w:val="TableParagraph"/>
              <w:spacing w:before="24"/>
              <w:ind w:right="19"/>
              <w:jc w:val="center"/>
              <w:rPr>
                <w:b/>
                <w:sz w:val="18"/>
              </w:rPr>
            </w:pPr>
            <w:r>
              <w:rPr>
                <w:b/>
                <w:w w:val="99"/>
                <w:sz w:val="18"/>
              </w:rPr>
              <w:t>$</w:t>
            </w:r>
          </w:p>
        </w:tc>
        <w:tc>
          <w:tcPr>
            <w:tcW w:w="1277" w:type="dxa"/>
          </w:tcPr>
          <w:p>
            <w:pPr>
              <w:pStyle w:val="TableParagraph"/>
              <w:spacing w:before="24"/>
              <w:ind w:right="44"/>
              <w:jc w:val="center"/>
              <w:rPr>
                <w:b/>
                <w:sz w:val="18"/>
              </w:rPr>
            </w:pPr>
            <w:r>
              <w:rPr>
                <w:b/>
                <w:w w:val="99"/>
                <w:sz w:val="18"/>
              </w:rPr>
              <w:t>$</w:t>
            </w:r>
          </w:p>
        </w:tc>
      </w:tr>
      <w:tr>
        <w:trPr>
          <w:trHeight w:val="325" w:hRule="exact"/>
        </w:trPr>
        <w:tc>
          <w:tcPr>
            <w:tcW w:w="7331" w:type="dxa"/>
          </w:tcPr>
          <w:p>
            <w:pPr>
              <w:pStyle w:val="TableParagraph"/>
              <w:spacing w:before="33"/>
              <w:ind w:left="35"/>
              <w:jc w:val="left"/>
              <w:rPr>
                <w:b/>
                <w:sz w:val="18"/>
              </w:rPr>
            </w:pPr>
            <w:r>
              <w:rPr>
                <w:b/>
                <w:sz w:val="18"/>
              </w:rPr>
              <w:t>Balance at 1 January 2015</w:t>
            </w:r>
          </w:p>
        </w:tc>
        <w:tc>
          <w:tcPr>
            <w:tcW w:w="1318" w:type="dxa"/>
          </w:tcPr>
          <w:p>
            <w:pPr>
              <w:pStyle w:val="TableParagraph"/>
              <w:spacing w:before="38"/>
              <w:ind w:right="107"/>
              <w:rPr>
                <w:sz w:val="18"/>
              </w:rPr>
            </w:pPr>
            <w:r>
              <w:rPr>
                <w:w w:val="95"/>
                <w:sz w:val="18"/>
              </w:rPr>
              <w:t>604,480</w:t>
            </w:r>
          </w:p>
        </w:tc>
        <w:tc>
          <w:tcPr>
            <w:tcW w:w="1277" w:type="dxa"/>
          </w:tcPr>
          <w:p>
            <w:pPr>
              <w:pStyle w:val="TableParagraph"/>
              <w:spacing w:before="38"/>
              <w:ind w:right="85"/>
              <w:rPr>
                <w:sz w:val="18"/>
              </w:rPr>
            </w:pPr>
            <w:r>
              <w:rPr>
                <w:w w:val="95"/>
                <w:sz w:val="18"/>
              </w:rPr>
              <w:t>604,480</w:t>
            </w:r>
          </w:p>
        </w:tc>
      </w:tr>
      <w:tr>
        <w:trPr>
          <w:trHeight w:val="542" w:hRule="exact"/>
        </w:trPr>
        <w:tc>
          <w:tcPr>
            <w:tcW w:w="7331" w:type="dxa"/>
          </w:tcPr>
          <w:p>
            <w:pPr>
              <w:pStyle w:val="TableParagraph"/>
              <w:spacing w:before="61"/>
              <w:ind w:left="35"/>
              <w:jc w:val="left"/>
              <w:rPr>
                <w:b/>
                <w:sz w:val="18"/>
              </w:rPr>
            </w:pPr>
            <w:r>
              <w:rPr>
                <w:b/>
                <w:sz w:val="18"/>
              </w:rPr>
              <w:t>Comprehensive income for the year</w:t>
            </w:r>
          </w:p>
          <w:p>
            <w:pPr>
              <w:pStyle w:val="TableParagraph"/>
              <w:spacing w:before="29"/>
              <w:ind w:left="176"/>
              <w:jc w:val="left"/>
              <w:rPr>
                <w:sz w:val="18"/>
              </w:rPr>
            </w:pPr>
            <w:r>
              <w:rPr>
                <w:sz w:val="18"/>
              </w:rPr>
              <w:t>Surplus for the year</w:t>
            </w:r>
          </w:p>
        </w:tc>
        <w:tc>
          <w:tcPr>
            <w:tcW w:w="1318" w:type="dxa"/>
          </w:tcPr>
          <w:p>
            <w:pPr>
              <w:pStyle w:val="TableParagraph"/>
              <w:spacing w:before="8"/>
              <w:jc w:val="left"/>
              <w:rPr>
                <w:rFonts w:ascii="Times New Roman"/>
                <w:sz w:val="25"/>
              </w:rPr>
            </w:pPr>
          </w:p>
          <w:p>
            <w:pPr>
              <w:pStyle w:val="TableParagraph"/>
              <w:ind w:right="107"/>
              <w:rPr>
                <w:sz w:val="18"/>
              </w:rPr>
            </w:pPr>
            <w:r>
              <w:rPr>
                <w:w w:val="95"/>
                <w:sz w:val="18"/>
              </w:rPr>
              <w:t>216,654</w:t>
            </w:r>
          </w:p>
        </w:tc>
        <w:tc>
          <w:tcPr>
            <w:tcW w:w="1277" w:type="dxa"/>
          </w:tcPr>
          <w:p>
            <w:pPr>
              <w:pStyle w:val="TableParagraph"/>
              <w:spacing w:before="8"/>
              <w:jc w:val="left"/>
              <w:rPr>
                <w:rFonts w:ascii="Times New Roman"/>
                <w:sz w:val="25"/>
              </w:rPr>
            </w:pPr>
          </w:p>
          <w:p>
            <w:pPr>
              <w:pStyle w:val="TableParagraph"/>
              <w:ind w:right="85"/>
              <w:rPr>
                <w:sz w:val="18"/>
              </w:rPr>
            </w:pPr>
            <w:r>
              <w:rPr>
                <w:w w:val="95"/>
                <w:sz w:val="18"/>
              </w:rPr>
              <w:t>216,654</w:t>
            </w:r>
          </w:p>
        </w:tc>
      </w:tr>
      <w:tr>
        <w:trPr>
          <w:trHeight w:val="262" w:hRule="exact"/>
        </w:trPr>
        <w:tc>
          <w:tcPr>
            <w:tcW w:w="7331" w:type="dxa"/>
          </w:tcPr>
          <w:p>
            <w:pPr>
              <w:pStyle w:val="TableParagraph"/>
              <w:spacing w:before="19"/>
              <w:ind w:left="176"/>
              <w:jc w:val="left"/>
              <w:rPr>
                <w:sz w:val="18"/>
              </w:rPr>
            </w:pPr>
            <w:r>
              <w:rPr>
                <w:sz w:val="18"/>
              </w:rPr>
              <w:t>Other comprehensive income for the year</w:t>
            </w:r>
          </w:p>
        </w:tc>
        <w:tc>
          <w:tcPr>
            <w:tcW w:w="1318" w:type="dxa"/>
            <w:tcBorders>
              <w:bottom w:val="single" w:sz="0" w:space="0" w:color="000000"/>
            </w:tcBorders>
          </w:tcPr>
          <w:p>
            <w:pPr>
              <w:pStyle w:val="TableParagraph"/>
              <w:spacing w:before="18"/>
              <w:ind w:right="107"/>
              <w:rPr>
                <w:sz w:val="18"/>
              </w:rPr>
            </w:pPr>
            <w:r>
              <w:rPr>
                <w:w w:val="99"/>
                <w:sz w:val="18"/>
              </w:rPr>
              <w:t>-</w:t>
            </w:r>
          </w:p>
        </w:tc>
        <w:tc>
          <w:tcPr>
            <w:tcW w:w="1277" w:type="dxa"/>
            <w:tcBorders>
              <w:bottom w:val="single" w:sz="0" w:space="0" w:color="000000"/>
            </w:tcBorders>
          </w:tcPr>
          <w:p>
            <w:pPr>
              <w:pStyle w:val="TableParagraph"/>
              <w:spacing w:before="18"/>
              <w:ind w:right="85"/>
              <w:rPr>
                <w:sz w:val="18"/>
              </w:rPr>
            </w:pPr>
            <w:r>
              <w:rPr>
                <w:w w:val="99"/>
                <w:sz w:val="18"/>
              </w:rPr>
              <w:t>-</w:t>
            </w:r>
          </w:p>
        </w:tc>
      </w:tr>
      <w:tr>
        <w:trPr>
          <w:trHeight w:val="338" w:hRule="exact"/>
        </w:trPr>
        <w:tc>
          <w:tcPr>
            <w:tcW w:w="7331" w:type="dxa"/>
          </w:tcPr>
          <w:p>
            <w:pPr>
              <w:pStyle w:val="TableParagraph"/>
              <w:spacing w:before="123"/>
              <w:ind w:left="35"/>
              <w:jc w:val="left"/>
              <w:rPr>
                <w:b/>
                <w:sz w:val="18"/>
              </w:rPr>
            </w:pPr>
            <w:r>
              <w:rPr>
                <w:b/>
                <w:sz w:val="18"/>
              </w:rPr>
              <w:t>Total comprehensive income for the year</w:t>
            </w:r>
          </w:p>
        </w:tc>
        <w:tc>
          <w:tcPr>
            <w:tcW w:w="1318" w:type="dxa"/>
            <w:tcBorders>
              <w:top w:val="single" w:sz="0" w:space="0" w:color="000000"/>
              <w:bottom w:val="single" w:sz="0" w:space="0" w:color="000000"/>
            </w:tcBorders>
          </w:tcPr>
          <w:p>
            <w:pPr>
              <w:pStyle w:val="TableParagraph"/>
              <w:spacing w:before="122"/>
              <w:ind w:right="107"/>
              <w:rPr>
                <w:sz w:val="18"/>
              </w:rPr>
            </w:pPr>
            <w:r>
              <w:rPr>
                <w:w w:val="95"/>
                <w:sz w:val="18"/>
              </w:rPr>
              <w:t>216,654</w:t>
            </w:r>
          </w:p>
        </w:tc>
        <w:tc>
          <w:tcPr>
            <w:tcW w:w="1277" w:type="dxa"/>
            <w:tcBorders>
              <w:top w:val="single" w:sz="0" w:space="0" w:color="000000"/>
              <w:bottom w:val="single" w:sz="0" w:space="0" w:color="000000"/>
            </w:tcBorders>
          </w:tcPr>
          <w:p>
            <w:pPr>
              <w:pStyle w:val="TableParagraph"/>
              <w:spacing w:before="122"/>
              <w:ind w:right="85"/>
              <w:rPr>
                <w:sz w:val="18"/>
              </w:rPr>
            </w:pPr>
            <w:r>
              <w:rPr>
                <w:w w:val="95"/>
                <w:sz w:val="18"/>
              </w:rPr>
              <w:t>216,654</w:t>
            </w:r>
          </w:p>
        </w:tc>
      </w:tr>
      <w:tr>
        <w:trPr>
          <w:trHeight w:val="353" w:hRule="exact"/>
        </w:trPr>
        <w:tc>
          <w:tcPr>
            <w:tcW w:w="7331" w:type="dxa"/>
          </w:tcPr>
          <w:p>
            <w:pPr>
              <w:pStyle w:val="TableParagraph"/>
              <w:spacing w:before="123"/>
              <w:ind w:left="35"/>
              <w:jc w:val="left"/>
              <w:rPr>
                <w:b/>
                <w:sz w:val="18"/>
              </w:rPr>
            </w:pPr>
            <w:r>
              <w:rPr>
                <w:b/>
                <w:sz w:val="18"/>
              </w:rPr>
              <w:t>Balance at 31 December 2015</w:t>
            </w:r>
          </w:p>
        </w:tc>
        <w:tc>
          <w:tcPr>
            <w:tcW w:w="1318" w:type="dxa"/>
            <w:tcBorders>
              <w:top w:val="single" w:sz="0" w:space="0" w:color="000000"/>
              <w:bottom w:val="single" w:sz="0" w:space="0" w:color="000000"/>
            </w:tcBorders>
          </w:tcPr>
          <w:p>
            <w:pPr>
              <w:pStyle w:val="TableParagraph"/>
              <w:spacing w:before="122"/>
              <w:ind w:right="107"/>
              <w:rPr>
                <w:sz w:val="18"/>
              </w:rPr>
            </w:pPr>
            <w:r>
              <w:rPr>
                <w:w w:val="95"/>
                <w:sz w:val="18"/>
              </w:rPr>
              <w:t>821,134</w:t>
            </w:r>
          </w:p>
        </w:tc>
        <w:tc>
          <w:tcPr>
            <w:tcW w:w="1277" w:type="dxa"/>
            <w:tcBorders>
              <w:top w:val="single" w:sz="0" w:space="0" w:color="000000"/>
              <w:bottom w:val="single" w:sz="0" w:space="0" w:color="000000"/>
            </w:tcBorders>
          </w:tcPr>
          <w:p>
            <w:pPr>
              <w:pStyle w:val="TableParagraph"/>
              <w:spacing w:before="122"/>
              <w:ind w:right="85"/>
              <w:rPr>
                <w:sz w:val="18"/>
              </w:rPr>
            </w:pPr>
            <w:r>
              <w:rPr>
                <w:w w:val="95"/>
                <w:sz w:val="18"/>
              </w:rPr>
              <w:t>821,134</w:t>
            </w:r>
          </w:p>
        </w:tc>
      </w:tr>
    </w:tbl>
    <w:p>
      <w:pPr>
        <w:spacing w:after="0"/>
        <w:rPr>
          <w:sz w:val="18"/>
        </w:rPr>
        <w:sectPr>
          <w:headerReference w:type="default" r:id="rId105"/>
          <w:pgSz w:w="12750" w:h="17680"/>
          <w:pgMar w:header="0" w:footer="1403" w:top="2800" w:bottom="1600" w:left="0" w:right="0"/>
        </w:sectPr>
      </w:pPr>
    </w:p>
    <w:p>
      <w:pPr>
        <w:pStyle w:val="BodyText"/>
        <w:rPr>
          <w:rFonts w:ascii="Times New Roman"/>
          <w:sz w:val="20"/>
        </w:rPr>
      </w:pPr>
    </w:p>
    <w:p>
      <w:pPr>
        <w:pStyle w:val="BodyText"/>
        <w:rPr>
          <w:rFonts w:ascii="Times New Roman"/>
          <w:sz w:val="20"/>
        </w:rPr>
      </w:pPr>
    </w:p>
    <w:p>
      <w:pPr>
        <w:pStyle w:val="BodyText"/>
        <w:spacing w:before="5"/>
        <w:rPr>
          <w:rFonts w:ascii="Times New Roman"/>
          <w:sz w:val="16"/>
        </w:rPr>
      </w:pPr>
    </w:p>
    <w:tbl>
      <w:tblPr>
        <w:tblW w:w="0" w:type="auto"/>
        <w:jc w:val="left"/>
        <w:tblInd w:w="142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703"/>
        <w:gridCol w:w="1628"/>
        <w:gridCol w:w="1458"/>
        <w:gridCol w:w="1137"/>
      </w:tblGrid>
      <w:tr>
        <w:trPr>
          <w:trHeight w:val="640" w:hRule="exact"/>
        </w:trPr>
        <w:tc>
          <w:tcPr>
            <w:tcW w:w="5703" w:type="dxa"/>
          </w:tcPr>
          <w:p>
            <w:pPr/>
          </w:p>
        </w:tc>
        <w:tc>
          <w:tcPr>
            <w:tcW w:w="1628" w:type="dxa"/>
          </w:tcPr>
          <w:p>
            <w:pPr>
              <w:pStyle w:val="TableParagraph"/>
              <w:jc w:val="left"/>
              <w:rPr>
                <w:rFonts w:ascii="Times New Roman"/>
                <w:sz w:val="18"/>
              </w:rPr>
            </w:pPr>
          </w:p>
          <w:p>
            <w:pPr>
              <w:pStyle w:val="TableParagraph"/>
              <w:spacing w:before="143"/>
              <w:ind w:left="1153" w:right="35"/>
              <w:jc w:val="center"/>
              <w:rPr>
                <w:b/>
                <w:sz w:val="18"/>
              </w:rPr>
            </w:pPr>
            <w:bookmarkStart w:name="Statement of Cash Flows" w:id="311"/>
            <w:bookmarkEnd w:id="311"/>
            <w:r>
              <w:rPr/>
            </w:r>
            <w:r>
              <w:rPr>
                <w:b/>
                <w:sz w:val="18"/>
              </w:rPr>
              <w:t>Note</w:t>
            </w:r>
          </w:p>
        </w:tc>
        <w:tc>
          <w:tcPr>
            <w:tcW w:w="1458" w:type="dxa"/>
          </w:tcPr>
          <w:p>
            <w:pPr>
              <w:pStyle w:val="TableParagraph"/>
              <w:spacing w:before="77"/>
              <w:ind w:left="429" w:right="588"/>
              <w:jc w:val="center"/>
              <w:rPr>
                <w:b/>
                <w:sz w:val="18"/>
              </w:rPr>
            </w:pPr>
            <w:r>
              <w:rPr>
                <w:b/>
                <w:sz w:val="18"/>
              </w:rPr>
              <w:t>2016</w:t>
            </w:r>
          </w:p>
          <w:p>
            <w:pPr>
              <w:pStyle w:val="TableParagraph"/>
              <w:spacing w:before="66"/>
              <w:ind w:right="158"/>
              <w:jc w:val="center"/>
              <w:rPr>
                <w:b/>
                <w:sz w:val="18"/>
              </w:rPr>
            </w:pPr>
            <w:r>
              <w:rPr>
                <w:b/>
                <w:w w:val="99"/>
                <w:sz w:val="18"/>
              </w:rPr>
              <w:t>$</w:t>
            </w:r>
          </w:p>
        </w:tc>
        <w:tc>
          <w:tcPr>
            <w:tcW w:w="1137" w:type="dxa"/>
          </w:tcPr>
          <w:p>
            <w:pPr>
              <w:pStyle w:val="TableParagraph"/>
              <w:spacing w:before="77"/>
              <w:ind w:left="268" w:right="427"/>
              <w:jc w:val="center"/>
              <w:rPr>
                <w:b/>
                <w:sz w:val="18"/>
              </w:rPr>
            </w:pPr>
            <w:r>
              <w:rPr>
                <w:b/>
                <w:sz w:val="18"/>
              </w:rPr>
              <w:t>2015</w:t>
            </w:r>
          </w:p>
          <w:p>
            <w:pPr>
              <w:pStyle w:val="TableParagraph"/>
              <w:spacing w:before="66"/>
              <w:ind w:right="158"/>
              <w:jc w:val="center"/>
              <w:rPr>
                <w:b/>
                <w:sz w:val="18"/>
              </w:rPr>
            </w:pPr>
            <w:r>
              <w:rPr>
                <w:b/>
                <w:w w:val="99"/>
                <w:sz w:val="18"/>
              </w:rPr>
              <w:t>$</w:t>
            </w:r>
          </w:p>
        </w:tc>
      </w:tr>
      <w:tr>
        <w:trPr>
          <w:trHeight w:val="543" w:hRule="exact"/>
        </w:trPr>
        <w:tc>
          <w:tcPr>
            <w:tcW w:w="5703" w:type="dxa"/>
          </w:tcPr>
          <w:p>
            <w:pPr>
              <w:pStyle w:val="TableParagraph"/>
              <w:spacing w:before="63"/>
              <w:ind w:left="35"/>
              <w:jc w:val="left"/>
              <w:rPr>
                <w:b/>
                <w:sz w:val="18"/>
              </w:rPr>
            </w:pPr>
            <w:r>
              <w:rPr>
                <w:b/>
                <w:sz w:val="18"/>
              </w:rPr>
              <w:t>CASH FLOWS FROM OPERATING ACTIVITIES</w:t>
            </w:r>
          </w:p>
          <w:p>
            <w:pPr>
              <w:pStyle w:val="TableParagraph"/>
              <w:spacing w:before="27"/>
              <w:ind w:left="35"/>
              <w:jc w:val="left"/>
              <w:rPr>
                <w:sz w:val="18"/>
              </w:rPr>
            </w:pPr>
            <w:r>
              <w:rPr>
                <w:sz w:val="18"/>
              </w:rPr>
              <w:t>Receipts from fees</w:t>
            </w:r>
          </w:p>
        </w:tc>
        <w:tc>
          <w:tcPr>
            <w:tcW w:w="1628" w:type="dxa"/>
          </w:tcPr>
          <w:p>
            <w:pPr/>
          </w:p>
        </w:tc>
        <w:tc>
          <w:tcPr>
            <w:tcW w:w="1458" w:type="dxa"/>
          </w:tcPr>
          <w:p>
            <w:pPr>
              <w:pStyle w:val="TableParagraph"/>
              <w:spacing w:before="11"/>
              <w:jc w:val="left"/>
              <w:rPr>
                <w:rFonts w:ascii="Times New Roman"/>
                <w:sz w:val="25"/>
              </w:rPr>
            </w:pPr>
          </w:p>
          <w:p>
            <w:pPr>
              <w:pStyle w:val="TableParagraph"/>
              <w:ind w:right="247"/>
              <w:rPr>
                <w:b/>
                <w:sz w:val="18"/>
              </w:rPr>
            </w:pPr>
            <w:r>
              <w:rPr>
                <w:b/>
                <w:w w:val="95"/>
                <w:sz w:val="18"/>
              </w:rPr>
              <w:t>3,287,955</w:t>
            </w:r>
          </w:p>
        </w:tc>
        <w:tc>
          <w:tcPr>
            <w:tcW w:w="1137" w:type="dxa"/>
          </w:tcPr>
          <w:p>
            <w:pPr>
              <w:pStyle w:val="TableParagraph"/>
              <w:spacing w:before="11"/>
              <w:jc w:val="left"/>
              <w:rPr>
                <w:rFonts w:ascii="Times New Roman"/>
                <w:sz w:val="25"/>
              </w:rPr>
            </w:pPr>
          </w:p>
          <w:p>
            <w:pPr>
              <w:pStyle w:val="TableParagraph"/>
              <w:ind w:right="86"/>
              <w:rPr>
                <w:sz w:val="18"/>
              </w:rPr>
            </w:pPr>
            <w:r>
              <w:rPr>
                <w:w w:val="95"/>
                <w:sz w:val="18"/>
              </w:rPr>
              <w:t>2,998,772</w:t>
            </w:r>
          </w:p>
        </w:tc>
      </w:tr>
      <w:tr>
        <w:trPr>
          <w:trHeight w:val="264" w:hRule="exact"/>
        </w:trPr>
        <w:tc>
          <w:tcPr>
            <w:tcW w:w="5703" w:type="dxa"/>
          </w:tcPr>
          <w:p>
            <w:pPr>
              <w:pStyle w:val="TableParagraph"/>
              <w:spacing w:before="18"/>
              <w:ind w:left="35"/>
              <w:jc w:val="left"/>
              <w:rPr>
                <w:sz w:val="18"/>
              </w:rPr>
            </w:pPr>
            <w:r>
              <w:rPr>
                <w:sz w:val="18"/>
              </w:rPr>
              <w:t>Payments to suppliers and employees</w:t>
            </w:r>
          </w:p>
        </w:tc>
        <w:tc>
          <w:tcPr>
            <w:tcW w:w="1628" w:type="dxa"/>
          </w:tcPr>
          <w:p>
            <w:pPr/>
          </w:p>
        </w:tc>
        <w:tc>
          <w:tcPr>
            <w:tcW w:w="1458" w:type="dxa"/>
          </w:tcPr>
          <w:p>
            <w:pPr>
              <w:pStyle w:val="TableParagraph"/>
              <w:spacing w:before="19"/>
              <w:ind w:right="187"/>
              <w:rPr>
                <w:b/>
                <w:sz w:val="18"/>
              </w:rPr>
            </w:pPr>
            <w:r>
              <w:rPr>
                <w:b/>
                <w:w w:val="95"/>
                <w:sz w:val="18"/>
              </w:rPr>
              <w:t>(6,126,092)</w:t>
            </w:r>
          </w:p>
        </w:tc>
        <w:tc>
          <w:tcPr>
            <w:tcW w:w="1137" w:type="dxa"/>
          </w:tcPr>
          <w:p>
            <w:pPr>
              <w:pStyle w:val="TableParagraph"/>
              <w:spacing w:before="19"/>
              <w:ind w:right="27"/>
              <w:rPr>
                <w:sz w:val="18"/>
              </w:rPr>
            </w:pPr>
            <w:r>
              <w:rPr>
                <w:w w:val="95"/>
                <w:sz w:val="18"/>
              </w:rPr>
              <w:t>(5,809,200)</w:t>
            </w:r>
          </w:p>
        </w:tc>
      </w:tr>
      <w:tr>
        <w:trPr>
          <w:trHeight w:val="264" w:hRule="exact"/>
        </w:trPr>
        <w:tc>
          <w:tcPr>
            <w:tcW w:w="5703" w:type="dxa"/>
          </w:tcPr>
          <w:p>
            <w:pPr>
              <w:pStyle w:val="TableParagraph"/>
              <w:spacing w:before="18"/>
              <w:ind w:left="35"/>
              <w:jc w:val="left"/>
              <w:rPr>
                <w:sz w:val="18"/>
              </w:rPr>
            </w:pPr>
            <w:r>
              <w:rPr>
                <w:sz w:val="18"/>
              </w:rPr>
              <w:t>Receipts from Australian Government child care benefits</w:t>
            </w:r>
          </w:p>
        </w:tc>
        <w:tc>
          <w:tcPr>
            <w:tcW w:w="1628" w:type="dxa"/>
          </w:tcPr>
          <w:p>
            <w:pPr/>
          </w:p>
        </w:tc>
        <w:tc>
          <w:tcPr>
            <w:tcW w:w="1458" w:type="dxa"/>
          </w:tcPr>
          <w:p>
            <w:pPr>
              <w:pStyle w:val="TableParagraph"/>
              <w:spacing w:before="19"/>
              <w:ind w:right="247"/>
              <w:rPr>
                <w:b/>
                <w:sz w:val="18"/>
              </w:rPr>
            </w:pPr>
            <w:r>
              <w:rPr>
                <w:b/>
                <w:w w:val="95"/>
                <w:sz w:val="18"/>
              </w:rPr>
              <w:t>2,814,217</w:t>
            </w:r>
          </w:p>
        </w:tc>
        <w:tc>
          <w:tcPr>
            <w:tcW w:w="1137" w:type="dxa"/>
          </w:tcPr>
          <w:p>
            <w:pPr>
              <w:pStyle w:val="TableParagraph"/>
              <w:spacing w:before="19"/>
              <w:ind w:right="86"/>
              <w:rPr>
                <w:sz w:val="18"/>
              </w:rPr>
            </w:pPr>
            <w:r>
              <w:rPr>
                <w:w w:val="95"/>
                <w:sz w:val="18"/>
              </w:rPr>
              <w:t>2,676,518</w:t>
            </w:r>
          </w:p>
        </w:tc>
      </w:tr>
      <w:tr>
        <w:trPr>
          <w:trHeight w:val="264" w:hRule="exact"/>
        </w:trPr>
        <w:tc>
          <w:tcPr>
            <w:tcW w:w="5703" w:type="dxa"/>
          </w:tcPr>
          <w:p>
            <w:pPr>
              <w:pStyle w:val="TableParagraph"/>
              <w:spacing w:before="18"/>
              <w:ind w:left="35"/>
              <w:jc w:val="left"/>
              <w:rPr>
                <w:sz w:val="18"/>
              </w:rPr>
            </w:pPr>
            <w:r>
              <w:rPr>
                <w:sz w:val="18"/>
              </w:rPr>
              <w:t>Subsidies received</w:t>
            </w:r>
          </w:p>
        </w:tc>
        <w:tc>
          <w:tcPr>
            <w:tcW w:w="1628" w:type="dxa"/>
          </w:tcPr>
          <w:p>
            <w:pPr/>
          </w:p>
        </w:tc>
        <w:tc>
          <w:tcPr>
            <w:tcW w:w="1458" w:type="dxa"/>
          </w:tcPr>
          <w:p>
            <w:pPr>
              <w:pStyle w:val="TableParagraph"/>
              <w:spacing w:before="19"/>
              <w:ind w:right="247"/>
              <w:rPr>
                <w:b/>
                <w:sz w:val="18"/>
              </w:rPr>
            </w:pPr>
            <w:r>
              <w:rPr>
                <w:b/>
                <w:w w:val="95"/>
                <w:sz w:val="18"/>
              </w:rPr>
              <w:t>467,240</w:t>
            </w:r>
          </w:p>
        </w:tc>
        <w:tc>
          <w:tcPr>
            <w:tcW w:w="1137" w:type="dxa"/>
          </w:tcPr>
          <w:p>
            <w:pPr>
              <w:pStyle w:val="TableParagraph"/>
              <w:spacing w:before="19"/>
              <w:ind w:right="86"/>
              <w:rPr>
                <w:sz w:val="18"/>
              </w:rPr>
            </w:pPr>
            <w:r>
              <w:rPr>
                <w:w w:val="95"/>
                <w:sz w:val="18"/>
              </w:rPr>
              <w:t>564,496</w:t>
            </w:r>
          </w:p>
        </w:tc>
      </w:tr>
      <w:tr>
        <w:trPr>
          <w:trHeight w:val="263" w:hRule="exact"/>
        </w:trPr>
        <w:tc>
          <w:tcPr>
            <w:tcW w:w="5703" w:type="dxa"/>
          </w:tcPr>
          <w:p>
            <w:pPr>
              <w:pStyle w:val="TableParagraph"/>
              <w:spacing w:before="18"/>
              <w:ind w:left="35"/>
              <w:jc w:val="left"/>
              <w:rPr>
                <w:sz w:val="18"/>
              </w:rPr>
            </w:pPr>
            <w:r>
              <w:rPr>
                <w:sz w:val="18"/>
              </w:rPr>
              <w:t>Interest received</w:t>
            </w:r>
          </w:p>
        </w:tc>
        <w:tc>
          <w:tcPr>
            <w:tcW w:w="1628" w:type="dxa"/>
          </w:tcPr>
          <w:p>
            <w:pPr/>
          </w:p>
        </w:tc>
        <w:tc>
          <w:tcPr>
            <w:tcW w:w="1458" w:type="dxa"/>
            <w:tcBorders>
              <w:bottom w:val="single" w:sz="0" w:space="0" w:color="000000"/>
            </w:tcBorders>
          </w:tcPr>
          <w:p>
            <w:pPr>
              <w:pStyle w:val="TableParagraph"/>
              <w:spacing w:before="19"/>
              <w:ind w:right="247"/>
              <w:rPr>
                <w:b/>
                <w:sz w:val="18"/>
              </w:rPr>
            </w:pPr>
            <w:r>
              <w:rPr>
                <w:b/>
                <w:w w:val="95"/>
                <w:sz w:val="18"/>
              </w:rPr>
              <w:t>37,479</w:t>
            </w:r>
          </w:p>
        </w:tc>
        <w:tc>
          <w:tcPr>
            <w:tcW w:w="1137" w:type="dxa"/>
            <w:tcBorders>
              <w:bottom w:val="single" w:sz="0" w:space="0" w:color="000000"/>
            </w:tcBorders>
          </w:tcPr>
          <w:p>
            <w:pPr>
              <w:pStyle w:val="TableParagraph"/>
              <w:spacing w:before="19"/>
              <w:ind w:right="86"/>
              <w:rPr>
                <w:sz w:val="18"/>
              </w:rPr>
            </w:pPr>
            <w:r>
              <w:rPr>
                <w:w w:val="95"/>
                <w:sz w:val="18"/>
              </w:rPr>
              <w:t>32,537</w:t>
            </w:r>
          </w:p>
        </w:tc>
      </w:tr>
      <w:tr>
        <w:trPr>
          <w:trHeight w:val="338" w:hRule="exact"/>
        </w:trPr>
        <w:tc>
          <w:tcPr>
            <w:tcW w:w="5703" w:type="dxa"/>
          </w:tcPr>
          <w:p>
            <w:pPr>
              <w:pStyle w:val="TableParagraph"/>
              <w:spacing w:before="38"/>
              <w:ind w:left="176"/>
              <w:jc w:val="left"/>
              <w:rPr>
                <w:b/>
                <w:sz w:val="18"/>
              </w:rPr>
            </w:pPr>
            <w:r>
              <w:rPr>
                <w:b/>
                <w:sz w:val="18"/>
              </w:rPr>
              <w:t>Net cash inflow/(outflow) from operating activities</w:t>
            </w:r>
          </w:p>
        </w:tc>
        <w:tc>
          <w:tcPr>
            <w:tcW w:w="1628" w:type="dxa"/>
          </w:tcPr>
          <w:p>
            <w:pPr>
              <w:pStyle w:val="TableParagraph"/>
              <w:spacing w:before="39"/>
              <w:ind w:left="1152" w:right="35"/>
              <w:jc w:val="center"/>
              <w:rPr>
                <w:sz w:val="18"/>
              </w:rPr>
            </w:pPr>
            <w:r>
              <w:rPr>
                <w:sz w:val="18"/>
              </w:rPr>
              <w:t>14</w:t>
            </w:r>
          </w:p>
        </w:tc>
        <w:tc>
          <w:tcPr>
            <w:tcW w:w="1458" w:type="dxa"/>
            <w:tcBorders>
              <w:top w:val="single" w:sz="0" w:space="0" w:color="000000"/>
              <w:bottom w:val="single" w:sz="0" w:space="0" w:color="000000"/>
            </w:tcBorders>
          </w:tcPr>
          <w:p>
            <w:pPr>
              <w:pStyle w:val="TableParagraph"/>
              <w:spacing w:before="122"/>
              <w:ind w:right="247"/>
              <w:rPr>
                <w:b/>
                <w:sz w:val="18"/>
              </w:rPr>
            </w:pPr>
            <w:r>
              <w:rPr>
                <w:b/>
                <w:w w:val="95"/>
                <w:sz w:val="18"/>
              </w:rPr>
              <w:t>480,799</w:t>
            </w:r>
          </w:p>
        </w:tc>
        <w:tc>
          <w:tcPr>
            <w:tcW w:w="1137" w:type="dxa"/>
            <w:tcBorders>
              <w:top w:val="single" w:sz="0" w:space="0" w:color="000000"/>
              <w:bottom w:val="single" w:sz="0" w:space="0" w:color="000000"/>
            </w:tcBorders>
          </w:tcPr>
          <w:p>
            <w:pPr>
              <w:pStyle w:val="TableParagraph"/>
              <w:spacing w:before="122"/>
              <w:ind w:right="86"/>
              <w:rPr>
                <w:sz w:val="18"/>
              </w:rPr>
            </w:pPr>
            <w:r>
              <w:rPr>
                <w:w w:val="95"/>
                <w:sz w:val="18"/>
              </w:rPr>
              <w:t>463,123</w:t>
            </w:r>
          </w:p>
        </w:tc>
      </w:tr>
      <w:tr>
        <w:trPr>
          <w:trHeight w:val="898" w:hRule="exact"/>
        </w:trPr>
        <w:tc>
          <w:tcPr>
            <w:tcW w:w="5703" w:type="dxa"/>
          </w:tcPr>
          <w:p>
            <w:pPr>
              <w:pStyle w:val="TableParagraph"/>
              <w:jc w:val="left"/>
              <w:rPr>
                <w:rFonts w:ascii="Times New Roman"/>
                <w:sz w:val="18"/>
              </w:rPr>
            </w:pPr>
          </w:p>
          <w:p>
            <w:pPr>
              <w:pStyle w:val="TableParagraph"/>
              <w:spacing w:before="4"/>
              <w:jc w:val="left"/>
              <w:rPr>
                <w:rFonts w:ascii="Times New Roman"/>
                <w:sz w:val="18"/>
              </w:rPr>
            </w:pPr>
          </w:p>
          <w:p>
            <w:pPr>
              <w:pStyle w:val="TableParagraph"/>
              <w:ind w:left="35"/>
              <w:jc w:val="left"/>
              <w:rPr>
                <w:b/>
                <w:sz w:val="18"/>
              </w:rPr>
            </w:pPr>
            <w:r>
              <w:rPr>
                <w:b/>
                <w:sz w:val="18"/>
              </w:rPr>
              <w:t>CASH FLOWS FROM INVESTING ACTIVITIES</w:t>
            </w:r>
          </w:p>
          <w:p>
            <w:pPr>
              <w:pStyle w:val="TableParagraph"/>
              <w:spacing w:before="27"/>
              <w:ind w:left="35"/>
              <w:jc w:val="left"/>
              <w:rPr>
                <w:sz w:val="18"/>
              </w:rPr>
            </w:pPr>
            <w:r>
              <w:rPr>
                <w:sz w:val="18"/>
              </w:rPr>
              <w:t>Loans to related parties</w:t>
            </w:r>
          </w:p>
        </w:tc>
        <w:tc>
          <w:tcPr>
            <w:tcW w:w="1628" w:type="dxa"/>
          </w:tcPr>
          <w:p>
            <w:pPr/>
          </w:p>
        </w:tc>
        <w:tc>
          <w:tcPr>
            <w:tcW w:w="1458" w:type="dxa"/>
            <w:tcBorders>
              <w:top w:val="single" w:sz="0" w:space="0" w:color="000000"/>
              <w:bottom w:val="single" w:sz="0" w:space="0" w:color="000000"/>
            </w:tcBorders>
          </w:tcPr>
          <w:p>
            <w:pPr>
              <w:pStyle w:val="TableParagraph"/>
              <w:jc w:val="left"/>
              <w:rPr>
                <w:rFonts w:ascii="Times New Roman"/>
                <w:sz w:val="18"/>
              </w:rPr>
            </w:pPr>
          </w:p>
          <w:p>
            <w:pPr>
              <w:pStyle w:val="TableParagraph"/>
              <w:jc w:val="left"/>
              <w:rPr>
                <w:rFonts w:ascii="Times New Roman"/>
                <w:sz w:val="18"/>
              </w:rPr>
            </w:pPr>
          </w:p>
          <w:p>
            <w:pPr>
              <w:pStyle w:val="TableParagraph"/>
              <w:spacing w:before="9"/>
              <w:jc w:val="left"/>
              <w:rPr>
                <w:rFonts w:ascii="Times New Roman"/>
                <w:sz w:val="20"/>
              </w:rPr>
            </w:pPr>
          </w:p>
          <w:p>
            <w:pPr>
              <w:pStyle w:val="TableParagraph"/>
              <w:ind w:right="187"/>
              <w:rPr>
                <w:b/>
                <w:sz w:val="18"/>
              </w:rPr>
            </w:pPr>
            <w:r>
              <w:rPr>
                <w:b/>
                <w:w w:val="95"/>
                <w:sz w:val="18"/>
              </w:rPr>
              <w:t>(388,696)</w:t>
            </w:r>
          </w:p>
        </w:tc>
        <w:tc>
          <w:tcPr>
            <w:tcW w:w="1137" w:type="dxa"/>
            <w:tcBorders>
              <w:top w:val="single" w:sz="0" w:space="0" w:color="000000"/>
              <w:bottom w:val="single" w:sz="0" w:space="0" w:color="000000"/>
            </w:tcBorders>
          </w:tcPr>
          <w:p>
            <w:pPr>
              <w:pStyle w:val="TableParagraph"/>
              <w:jc w:val="left"/>
              <w:rPr>
                <w:rFonts w:ascii="Times New Roman"/>
                <w:sz w:val="18"/>
              </w:rPr>
            </w:pPr>
          </w:p>
          <w:p>
            <w:pPr>
              <w:pStyle w:val="TableParagraph"/>
              <w:jc w:val="left"/>
              <w:rPr>
                <w:rFonts w:ascii="Times New Roman"/>
                <w:sz w:val="18"/>
              </w:rPr>
            </w:pPr>
          </w:p>
          <w:p>
            <w:pPr>
              <w:pStyle w:val="TableParagraph"/>
              <w:spacing w:before="9"/>
              <w:jc w:val="left"/>
              <w:rPr>
                <w:rFonts w:ascii="Times New Roman"/>
                <w:sz w:val="20"/>
              </w:rPr>
            </w:pPr>
          </w:p>
          <w:p>
            <w:pPr>
              <w:pStyle w:val="TableParagraph"/>
              <w:ind w:right="27"/>
              <w:rPr>
                <w:sz w:val="18"/>
              </w:rPr>
            </w:pPr>
            <w:r>
              <w:rPr>
                <w:w w:val="95"/>
                <w:sz w:val="18"/>
              </w:rPr>
              <w:t>(212,538)</w:t>
            </w:r>
          </w:p>
        </w:tc>
      </w:tr>
      <w:tr>
        <w:trPr>
          <w:trHeight w:val="338" w:hRule="exact"/>
        </w:trPr>
        <w:tc>
          <w:tcPr>
            <w:tcW w:w="5703" w:type="dxa"/>
          </w:tcPr>
          <w:p>
            <w:pPr>
              <w:pStyle w:val="TableParagraph"/>
              <w:spacing w:before="38"/>
              <w:ind w:left="176"/>
              <w:jc w:val="left"/>
              <w:rPr>
                <w:b/>
                <w:sz w:val="18"/>
              </w:rPr>
            </w:pPr>
            <w:r>
              <w:rPr>
                <w:b/>
                <w:sz w:val="18"/>
              </w:rPr>
              <w:t>Net cash (outflow) from investing activities</w:t>
            </w:r>
          </w:p>
        </w:tc>
        <w:tc>
          <w:tcPr>
            <w:tcW w:w="1628" w:type="dxa"/>
          </w:tcPr>
          <w:p>
            <w:pPr/>
          </w:p>
        </w:tc>
        <w:tc>
          <w:tcPr>
            <w:tcW w:w="1458" w:type="dxa"/>
            <w:tcBorders>
              <w:top w:val="single" w:sz="0" w:space="0" w:color="000000"/>
              <w:bottom w:val="single" w:sz="0" w:space="0" w:color="000000"/>
            </w:tcBorders>
          </w:tcPr>
          <w:p>
            <w:pPr>
              <w:pStyle w:val="TableParagraph"/>
              <w:spacing w:before="122"/>
              <w:ind w:right="187"/>
              <w:rPr>
                <w:b/>
                <w:sz w:val="18"/>
              </w:rPr>
            </w:pPr>
            <w:r>
              <w:rPr>
                <w:b/>
                <w:w w:val="95"/>
                <w:sz w:val="18"/>
              </w:rPr>
              <w:t>(388,696)</w:t>
            </w:r>
          </w:p>
        </w:tc>
        <w:tc>
          <w:tcPr>
            <w:tcW w:w="1137" w:type="dxa"/>
            <w:tcBorders>
              <w:top w:val="single" w:sz="0" w:space="0" w:color="000000"/>
              <w:bottom w:val="single" w:sz="0" w:space="0" w:color="000000"/>
            </w:tcBorders>
          </w:tcPr>
          <w:p>
            <w:pPr>
              <w:pStyle w:val="TableParagraph"/>
              <w:spacing w:before="122"/>
              <w:ind w:right="27"/>
              <w:rPr>
                <w:sz w:val="18"/>
              </w:rPr>
            </w:pPr>
            <w:r>
              <w:rPr>
                <w:w w:val="95"/>
                <w:sz w:val="18"/>
              </w:rPr>
              <w:t>(212,538)</w:t>
            </w:r>
          </w:p>
        </w:tc>
      </w:tr>
      <w:tr>
        <w:trPr>
          <w:trHeight w:val="622" w:hRule="exact"/>
        </w:trPr>
        <w:tc>
          <w:tcPr>
            <w:tcW w:w="5703" w:type="dxa"/>
          </w:tcPr>
          <w:p>
            <w:pPr>
              <w:pStyle w:val="TableParagraph"/>
              <w:jc w:val="left"/>
              <w:rPr>
                <w:rFonts w:ascii="Times New Roman"/>
                <w:sz w:val="18"/>
              </w:rPr>
            </w:pPr>
          </w:p>
          <w:p>
            <w:pPr>
              <w:pStyle w:val="TableParagraph"/>
              <w:spacing w:before="4"/>
              <w:jc w:val="left"/>
              <w:rPr>
                <w:rFonts w:ascii="Times New Roman"/>
                <w:sz w:val="18"/>
              </w:rPr>
            </w:pPr>
          </w:p>
          <w:p>
            <w:pPr>
              <w:pStyle w:val="TableParagraph"/>
              <w:ind w:left="35"/>
              <w:jc w:val="left"/>
              <w:rPr>
                <w:b/>
                <w:sz w:val="18"/>
              </w:rPr>
            </w:pPr>
            <w:r>
              <w:rPr>
                <w:b/>
                <w:sz w:val="18"/>
              </w:rPr>
              <w:t>CASH FLOWS FROM FINANCING ACTIVITIES</w:t>
            </w:r>
          </w:p>
        </w:tc>
        <w:tc>
          <w:tcPr>
            <w:tcW w:w="1628" w:type="dxa"/>
          </w:tcPr>
          <w:p>
            <w:pPr/>
          </w:p>
        </w:tc>
        <w:tc>
          <w:tcPr>
            <w:tcW w:w="1458" w:type="dxa"/>
            <w:tcBorders>
              <w:top w:val="single" w:sz="0" w:space="0" w:color="000000"/>
            </w:tcBorders>
          </w:tcPr>
          <w:p>
            <w:pPr/>
          </w:p>
        </w:tc>
        <w:tc>
          <w:tcPr>
            <w:tcW w:w="1137" w:type="dxa"/>
            <w:tcBorders>
              <w:top w:val="single" w:sz="0" w:space="0" w:color="000000"/>
            </w:tcBorders>
          </w:tcPr>
          <w:p>
            <w:pPr/>
          </w:p>
        </w:tc>
      </w:tr>
      <w:tr>
        <w:trPr>
          <w:trHeight w:val="523" w:hRule="exact"/>
        </w:trPr>
        <w:tc>
          <w:tcPr>
            <w:tcW w:w="9925" w:type="dxa"/>
            <w:gridSpan w:val="4"/>
          </w:tcPr>
          <w:p>
            <w:pPr>
              <w:pStyle w:val="TableParagraph"/>
              <w:tabs>
                <w:tab w:pos="7330" w:val="left" w:leader="none"/>
                <w:tab w:pos="8479" w:val="left" w:leader="none"/>
                <w:tab w:pos="9776" w:val="left" w:leader="none"/>
              </w:tabs>
              <w:spacing w:before="50"/>
              <w:ind w:left="176"/>
              <w:jc w:val="left"/>
              <w:rPr>
                <w:sz w:val="18"/>
              </w:rPr>
            </w:pPr>
            <w:r>
              <w:rPr>
                <w:b/>
                <w:sz w:val="18"/>
              </w:rPr>
              <w:t>Net cash provided by / (used in)</w:t>
            </w:r>
            <w:r>
              <w:rPr>
                <w:b/>
                <w:spacing w:val="-14"/>
                <w:sz w:val="18"/>
              </w:rPr>
              <w:t> </w:t>
            </w:r>
            <w:r>
              <w:rPr>
                <w:b/>
                <w:sz w:val="18"/>
              </w:rPr>
              <w:t>financing</w:t>
            </w:r>
            <w:r>
              <w:rPr>
                <w:b/>
                <w:spacing w:val="-2"/>
                <w:sz w:val="18"/>
              </w:rPr>
              <w:t> </w:t>
            </w:r>
            <w:r>
              <w:rPr>
                <w:b/>
                <w:sz w:val="18"/>
              </w:rPr>
              <w:t>activities</w:t>
              <w:tab/>
            </w:r>
            <w:r>
              <w:rPr>
                <w:rFonts w:ascii="Times New Roman"/>
                <w:position w:val="-8"/>
                <w:sz w:val="18"/>
                <w:u w:val="single"/>
              </w:rPr>
              <w:t> </w:t>
              <w:tab/>
            </w:r>
            <w:r>
              <w:rPr>
                <w:b/>
                <w:position w:val="-8"/>
                <w:sz w:val="18"/>
                <w:u w:val="single"/>
              </w:rPr>
              <w:t>-</w:t>
              <w:tab/>
            </w:r>
            <w:r>
              <w:rPr>
                <w:position w:val="-8"/>
                <w:sz w:val="18"/>
                <w:u w:val="single"/>
              </w:rPr>
              <w:t>-</w:t>
            </w:r>
          </w:p>
        </w:tc>
      </w:tr>
      <w:tr>
        <w:trPr>
          <w:trHeight w:val="407" w:hRule="exact"/>
        </w:trPr>
        <w:tc>
          <w:tcPr>
            <w:tcW w:w="7331" w:type="dxa"/>
            <w:gridSpan w:val="2"/>
          </w:tcPr>
          <w:p>
            <w:pPr>
              <w:pStyle w:val="TableParagraph"/>
              <w:spacing w:before="161"/>
              <w:ind w:left="176"/>
              <w:jc w:val="left"/>
              <w:rPr>
                <w:b/>
                <w:sz w:val="18"/>
              </w:rPr>
            </w:pPr>
            <w:r>
              <w:rPr>
                <w:b/>
                <w:sz w:val="18"/>
              </w:rPr>
              <w:t>Net increase / (decrease) in cash and cash equivalents held</w:t>
            </w:r>
          </w:p>
        </w:tc>
        <w:tc>
          <w:tcPr>
            <w:tcW w:w="1458" w:type="dxa"/>
          </w:tcPr>
          <w:p>
            <w:pPr>
              <w:pStyle w:val="TableParagraph"/>
              <w:spacing w:before="1"/>
              <w:jc w:val="left"/>
              <w:rPr>
                <w:rFonts w:ascii="Times New Roman"/>
                <w:sz w:val="14"/>
              </w:rPr>
            </w:pPr>
          </w:p>
          <w:p>
            <w:pPr>
              <w:pStyle w:val="TableParagraph"/>
              <w:ind w:right="247"/>
              <w:rPr>
                <w:b/>
                <w:sz w:val="18"/>
              </w:rPr>
            </w:pPr>
            <w:r>
              <w:rPr>
                <w:b/>
                <w:w w:val="95"/>
                <w:sz w:val="18"/>
              </w:rPr>
              <w:t>92,103</w:t>
            </w:r>
          </w:p>
        </w:tc>
        <w:tc>
          <w:tcPr>
            <w:tcW w:w="1137" w:type="dxa"/>
          </w:tcPr>
          <w:p>
            <w:pPr>
              <w:pStyle w:val="TableParagraph"/>
              <w:spacing w:before="1"/>
              <w:jc w:val="left"/>
              <w:rPr>
                <w:rFonts w:ascii="Times New Roman"/>
                <w:sz w:val="14"/>
              </w:rPr>
            </w:pPr>
          </w:p>
          <w:p>
            <w:pPr>
              <w:pStyle w:val="TableParagraph"/>
              <w:ind w:right="86"/>
              <w:rPr>
                <w:sz w:val="18"/>
              </w:rPr>
            </w:pPr>
            <w:r>
              <w:rPr>
                <w:w w:val="95"/>
                <w:sz w:val="18"/>
              </w:rPr>
              <w:t>250,585</w:t>
            </w:r>
          </w:p>
        </w:tc>
      </w:tr>
      <w:tr>
        <w:trPr>
          <w:trHeight w:val="263" w:hRule="exact"/>
        </w:trPr>
        <w:tc>
          <w:tcPr>
            <w:tcW w:w="7331" w:type="dxa"/>
            <w:gridSpan w:val="2"/>
          </w:tcPr>
          <w:p>
            <w:pPr>
              <w:pStyle w:val="TableParagraph"/>
              <w:spacing w:before="18"/>
              <w:ind w:left="176"/>
              <w:jc w:val="left"/>
              <w:rPr>
                <w:b/>
                <w:sz w:val="18"/>
              </w:rPr>
            </w:pPr>
            <w:r>
              <w:rPr>
                <w:b/>
                <w:sz w:val="18"/>
              </w:rPr>
              <w:t>Cash and cash equivalents at the beginning of the year</w:t>
            </w:r>
          </w:p>
        </w:tc>
        <w:tc>
          <w:tcPr>
            <w:tcW w:w="1458" w:type="dxa"/>
            <w:tcBorders>
              <w:bottom w:val="single" w:sz="0" w:space="0" w:color="000000"/>
            </w:tcBorders>
          </w:tcPr>
          <w:p>
            <w:pPr>
              <w:pStyle w:val="TableParagraph"/>
              <w:spacing w:before="19"/>
              <w:ind w:right="247"/>
              <w:rPr>
                <w:b/>
                <w:sz w:val="18"/>
              </w:rPr>
            </w:pPr>
            <w:r>
              <w:rPr>
                <w:b/>
                <w:w w:val="95"/>
                <w:sz w:val="18"/>
              </w:rPr>
              <w:t>555,260</w:t>
            </w:r>
          </w:p>
        </w:tc>
        <w:tc>
          <w:tcPr>
            <w:tcW w:w="1137" w:type="dxa"/>
            <w:tcBorders>
              <w:bottom w:val="single" w:sz="0" w:space="0" w:color="000000"/>
            </w:tcBorders>
          </w:tcPr>
          <w:p>
            <w:pPr>
              <w:pStyle w:val="TableParagraph"/>
              <w:spacing w:before="19"/>
              <w:ind w:right="86"/>
              <w:rPr>
                <w:sz w:val="18"/>
              </w:rPr>
            </w:pPr>
            <w:r>
              <w:rPr>
                <w:w w:val="95"/>
                <w:sz w:val="18"/>
              </w:rPr>
              <w:t>304,675</w:t>
            </w:r>
          </w:p>
        </w:tc>
      </w:tr>
    </w:tbl>
    <w:p>
      <w:pPr>
        <w:pStyle w:val="Heading8"/>
        <w:tabs>
          <w:tab w:pos="8446" w:val="left" w:leader="none"/>
          <w:tab w:pos="9311" w:val="left" w:leader="none"/>
          <w:tab w:pos="10609" w:val="left" w:leader="none"/>
        </w:tabs>
        <w:spacing w:before="39" w:after="2"/>
        <w:ind w:left="1597"/>
        <w:rPr>
          <w:b w:val="0"/>
        </w:rPr>
      </w:pPr>
      <w:r>
        <w:rPr/>
        <w:drawing>
          <wp:anchor distT="0" distB="0" distL="0" distR="0" allowOverlap="1" layoutInCell="1" locked="0" behindDoc="0" simplePos="0" relativeHeight="12280">
            <wp:simplePos x="0" y="0"/>
            <wp:positionH relativeFrom="page">
              <wp:posOffset>-1587</wp:posOffset>
            </wp:positionH>
            <wp:positionV relativeFrom="paragraph">
              <wp:posOffset>-242012</wp:posOffset>
            </wp:positionV>
            <wp:extent cx="135159" cy="154019"/>
            <wp:effectExtent l="0" t="0" r="0" b="0"/>
            <wp:wrapNone/>
            <wp:docPr id="815" name="image13.png" descr=""/>
            <wp:cNvGraphicFramePr>
              <a:graphicFrameLocks noChangeAspect="1"/>
            </wp:cNvGraphicFramePr>
            <a:graphic>
              <a:graphicData uri="http://schemas.openxmlformats.org/drawingml/2006/picture">
                <pic:pic>
                  <pic:nvPicPr>
                    <pic:cNvPr id="816" name="image13.png"/>
                    <pic:cNvPicPr/>
                  </pic:nvPicPr>
                  <pic:blipFill>
                    <a:blip r:embed="rId18" cstate="print"/>
                    <a:stretch>
                      <a:fillRect/>
                    </a:stretch>
                  </pic:blipFill>
                  <pic:spPr>
                    <a:xfrm>
                      <a:off x="0" y="0"/>
                      <a:ext cx="135159" cy="154019"/>
                    </a:xfrm>
                    <a:prstGeom prst="rect">
                      <a:avLst/>
                    </a:prstGeom>
                  </pic:spPr>
                </pic:pic>
              </a:graphicData>
            </a:graphic>
          </wp:anchor>
        </w:drawing>
      </w:r>
      <w:r>
        <w:rPr/>
        <w:drawing>
          <wp:anchor distT="0" distB="0" distL="0" distR="0" allowOverlap="1" layoutInCell="1" locked="0" behindDoc="0" simplePos="0" relativeHeight="12304">
            <wp:simplePos x="0" y="0"/>
            <wp:positionH relativeFrom="page">
              <wp:posOffset>7958429</wp:posOffset>
            </wp:positionH>
            <wp:positionV relativeFrom="paragraph">
              <wp:posOffset>-242012</wp:posOffset>
            </wp:positionV>
            <wp:extent cx="135953" cy="155575"/>
            <wp:effectExtent l="0" t="0" r="0" b="0"/>
            <wp:wrapNone/>
            <wp:docPr id="817" name="image15.png" descr=""/>
            <wp:cNvGraphicFramePr>
              <a:graphicFrameLocks noChangeAspect="1"/>
            </wp:cNvGraphicFramePr>
            <a:graphic>
              <a:graphicData uri="http://schemas.openxmlformats.org/drawingml/2006/picture">
                <pic:pic>
                  <pic:nvPicPr>
                    <pic:cNvPr id="818" name="image15.png"/>
                    <pic:cNvPicPr/>
                  </pic:nvPicPr>
                  <pic:blipFill>
                    <a:blip r:embed="rId20" cstate="print"/>
                    <a:stretch>
                      <a:fillRect/>
                    </a:stretch>
                  </pic:blipFill>
                  <pic:spPr>
                    <a:xfrm>
                      <a:off x="0" y="0"/>
                      <a:ext cx="135953" cy="155575"/>
                    </a:xfrm>
                    <a:prstGeom prst="rect">
                      <a:avLst/>
                    </a:prstGeom>
                  </pic:spPr>
                </pic:pic>
              </a:graphicData>
            </a:graphic>
          </wp:anchor>
        </w:drawing>
      </w:r>
      <w:r>
        <w:rPr/>
        <w:t>Cash and cash equivalents at the end of</w:t>
      </w:r>
      <w:r>
        <w:rPr>
          <w:spacing w:val="-3"/>
        </w:rPr>
        <w:t> </w:t>
      </w:r>
      <w:r>
        <w:rPr/>
        <w:t>the</w:t>
      </w:r>
      <w:r>
        <w:rPr>
          <w:spacing w:val="-1"/>
        </w:rPr>
        <w:t> </w:t>
      </w:r>
      <w:r>
        <w:rPr/>
        <w:t>year</w:t>
        <w:tab/>
      </w:r>
      <w:r>
        <w:rPr>
          <w:b w:val="0"/>
        </w:rPr>
        <w:t>4</w:t>
        <w:tab/>
      </w:r>
      <w:r>
        <w:rPr>
          <w:position w:val="-7"/>
        </w:rPr>
        <w:t>647,363</w:t>
        <w:tab/>
      </w:r>
      <w:r>
        <w:rPr>
          <w:b w:val="0"/>
          <w:position w:val="-7"/>
        </w:rPr>
        <w:t>555,260</w:t>
      </w:r>
    </w:p>
    <w:p>
      <w:pPr>
        <w:pStyle w:val="BodyText"/>
        <w:spacing w:line="50" w:lineRule="exact"/>
        <w:ind w:left="8750"/>
        <w:rPr>
          <w:sz w:val="5"/>
        </w:rPr>
      </w:pPr>
      <w:r>
        <w:rPr>
          <w:position w:val="0"/>
          <w:sz w:val="5"/>
        </w:rPr>
        <w:pict>
          <v:group style="width:129.85pt;height:2.5pt;mso-position-horizontal-relative:char;mso-position-vertical-relative:line" coordorigin="0,0" coordsize="2597,50">
            <v:line style="position:absolute" from="1,1" to="1298,1" stroked="true" strokeweight=".06pt" strokecolor="#000000"/>
            <v:line style="position:absolute" from="1,2" to="1298,2" stroked="true" strokeweight=".06pt" strokecolor="#000000"/>
            <v:line style="position:absolute" from="1,3" to="1298,3" stroked="true" strokeweight=".06pt" strokecolor="#000000"/>
            <v:line style="position:absolute" from="1,5" to="1298,5" stroked="true" strokeweight=".06pt" strokecolor="#000000"/>
            <v:line style="position:absolute" from="1,6" to="1298,6" stroked="true" strokeweight=".06pt" strokecolor="#000000"/>
            <v:line style="position:absolute" from="1,7" to="1298,7" stroked="true" strokeweight=".06pt" strokecolor="#000000"/>
            <v:line style="position:absolute" from="1,8" to="1298,8" stroked="true" strokeweight=".06pt" strokecolor="#000000"/>
            <v:line style="position:absolute" from="1,9" to="1298,9" stroked="true" strokeweight=".06pt" strokecolor="#000000"/>
            <v:line style="position:absolute" from="1,11" to="1298,11" stroked="true" strokeweight=".06pt" strokecolor="#000000"/>
            <v:line style="position:absolute" from="1,12" to="1298,12" stroked="true" strokeweight=".06pt" strokecolor="#000000"/>
            <v:line style="position:absolute" from="1,13" to="1298,13" stroked="true" strokeweight=".06pt" strokecolor="#000000"/>
            <v:line style="position:absolute" from="1,14" to="1298,14" stroked="true" strokeweight=".06pt" strokecolor="#000000"/>
            <v:line style="position:absolute" from="1,15" to="1298,15" stroked="true" strokeweight=".06pt" strokecolor="#000000"/>
            <v:line style="position:absolute" from="1,35" to="1298,35" stroked="true" strokeweight=".06pt" strokecolor="#000000"/>
            <v:line style="position:absolute" from="1,36" to="1298,36" stroked="true" strokeweight=".06pt" strokecolor="#000000"/>
            <v:line style="position:absolute" from="1,37" to="1298,37" stroked="true" strokeweight=".06pt" strokecolor="#000000"/>
            <v:line style="position:absolute" from="1,38" to="1298,38" stroked="true" strokeweight=".06pt" strokecolor="#000000"/>
            <v:line style="position:absolute" from="1,39" to="1298,39" stroked="true" strokeweight=".06pt" strokecolor="#000000"/>
            <v:line style="position:absolute" from="1,41" to="1298,41" stroked="true" strokeweight=".06pt" strokecolor="#000000"/>
            <v:line style="position:absolute" from="1,42" to="1298,42" stroked="true" strokeweight=".06pt" strokecolor="#000000"/>
            <v:line style="position:absolute" from="1,43" to="1298,43" stroked="true" strokeweight=".06pt" strokecolor="#000000"/>
            <v:line style="position:absolute" from="1,44" to="1298,44" stroked="true" strokeweight=".06pt" strokecolor="#000000"/>
            <v:line style="position:absolute" from="1,45" to="1298,45" stroked="true" strokeweight=".06pt" strokecolor="#000000"/>
            <v:line style="position:absolute" from="1,47" to="1298,47" stroked="true" strokeweight=".06pt" strokecolor="#000000"/>
            <v:line style="position:absolute" from="1,48" to="1298,48" stroked="true" strokeweight=".06pt" strokecolor="#000000"/>
            <v:line style="position:absolute" from="1,49" to="1298,49" stroked="true" strokeweight=".06pt" strokecolor="#000000"/>
            <v:line style="position:absolute" from="1298,1" to="2595,1" stroked="true" strokeweight=".06pt" strokecolor="#000000"/>
            <v:line style="position:absolute" from="1298,2" to="2595,2" stroked="true" strokeweight=".06pt" strokecolor="#000000"/>
            <v:line style="position:absolute" from="1298,3" to="2595,3" stroked="true" strokeweight=".06pt" strokecolor="#000000"/>
            <v:line style="position:absolute" from="1298,5" to="2595,5" stroked="true" strokeweight=".06pt" strokecolor="#000000"/>
            <v:line style="position:absolute" from="1298,6" to="2595,6" stroked="true" strokeweight=".06pt" strokecolor="#000000"/>
            <v:line style="position:absolute" from="1298,7" to="2595,7" stroked="true" strokeweight=".06pt" strokecolor="#000000"/>
            <v:line style="position:absolute" from="1298,8" to="2595,8" stroked="true" strokeweight=".06pt" strokecolor="#000000"/>
            <v:line style="position:absolute" from="1298,9" to="2595,9" stroked="true" strokeweight=".06pt" strokecolor="#000000"/>
            <v:line style="position:absolute" from="1298,11" to="2595,11" stroked="true" strokeweight=".06pt" strokecolor="#000000"/>
            <v:line style="position:absolute" from="1298,12" to="2595,12" stroked="true" strokeweight=".06pt" strokecolor="#000000"/>
            <v:line style="position:absolute" from="1298,13" to="2595,13" stroked="true" strokeweight=".06pt" strokecolor="#000000"/>
            <v:line style="position:absolute" from="1298,14" to="2595,14" stroked="true" strokeweight=".06pt" strokecolor="#000000"/>
            <v:line style="position:absolute" from="1298,15" to="2595,15" stroked="true" strokeweight=".06pt" strokecolor="#000000"/>
            <v:line style="position:absolute" from="1298,35" to="2595,35" stroked="true" strokeweight=".06pt" strokecolor="#000000"/>
            <v:line style="position:absolute" from="1298,36" to="2595,36" stroked="true" strokeweight=".06pt" strokecolor="#000000"/>
            <v:line style="position:absolute" from="1298,37" to="2595,37" stroked="true" strokeweight=".06pt" strokecolor="#000000"/>
            <v:line style="position:absolute" from="1298,38" to="2595,38" stroked="true" strokeweight=".06pt" strokecolor="#000000"/>
            <v:line style="position:absolute" from="1298,39" to="2595,39" stroked="true" strokeweight=".06pt" strokecolor="#000000"/>
            <v:line style="position:absolute" from="1298,41" to="2595,41" stroked="true" strokeweight=".06pt" strokecolor="#000000"/>
            <v:line style="position:absolute" from="1298,42" to="2595,42" stroked="true" strokeweight=".06pt" strokecolor="#000000"/>
            <v:line style="position:absolute" from="1298,43" to="2595,43" stroked="true" strokeweight=".06pt" strokecolor="#000000"/>
            <v:line style="position:absolute" from="1298,44" to="2595,44" stroked="true" strokeweight=".06pt" strokecolor="#000000"/>
            <v:line style="position:absolute" from="1298,45" to="2595,45" stroked="true" strokeweight=".06pt" strokecolor="#000000"/>
            <v:line style="position:absolute" from="1298,47" to="2595,47" stroked="true" strokeweight=".06pt" strokecolor="#000000"/>
            <v:line style="position:absolute" from="1298,48" to="2595,48" stroked="true" strokeweight=".06pt" strokecolor="#000000"/>
            <v:line style="position:absolute" from="1298,49" to="2595,49" stroked="true" strokeweight=".06pt" strokecolor="#000000"/>
          </v:group>
        </w:pict>
      </w:r>
      <w:r>
        <w:rPr>
          <w:position w:val="0"/>
          <w:sz w:val="5"/>
        </w:rPr>
      </w:r>
    </w:p>
    <w:p>
      <w:pPr>
        <w:spacing w:after="0" w:line="50" w:lineRule="exact"/>
        <w:rPr>
          <w:sz w:val="5"/>
        </w:rPr>
        <w:sectPr>
          <w:headerReference w:type="default" r:id="rId106"/>
          <w:pgSz w:w="12750" w:h="17680"/>
          <w:pgMar w:header="0" w:footer="1403" w:top="2800" w:bottom="1600" w:left="0" w:right="0"/>
        </w:sectPr>
      </w:pPr>
    </w:p>
    <w:p>
      <w:pPr>
        <w:pStyle w:val="BodyText"/>
        <w:spacing w:before="8"/>
      </w:pPr>
    </w:p>
    <w:p>
      <w:pPr>
        <w:pStyle w:val="Heading8"/>
        <w:tabs>
          <w:tab w:pos="1823" w:val="left" w:leader="none"/>
        </w:tabs>
        <w:spacing w:before="77"/>
        <w:ind w:left="1429"/>
      </w:pPr>
      <w:bookmarkStart w:name="Notes to the Financial Statements" w:id="312"/>
      <w:bookmarkEnd w:id="312"/>
      <w:r>
        <w:rPr>
          <w:b w:val="0"/>
        </w:rPr>
      </w:r>
      <w:bookmarkStart w:name="1 Summary of significant accounting poli" w:id="313"/>
      <w:bookmarkEnd w:id="313"/>
      <w:r>
        <w:rPr>
          <w:b w:val="0"/>
        </w:rPr>
      </w:r>
      <w:r>
        <w:rPr/>
        <w:t>1</w:t>
        <w:tab/>
        <w:t>Summary of significant accounting policies</w:t>
      </w:r>
    </w:p>
    <w:p>
      <w:pPr>
        <w:pStyle w:val="BodyText"/>
        <w:spacing w:before="11"/>
        <w:rPr>
          <w:b/>
          <w:sz w:val="24"/>
        </w:rPr>
      </w:pPr>
    </w:p>
    <w:p>
      <w:pPr>
        <w:pStyle w:val="BodyText"/>
        <w:ind w:left="1852" w:right="1338"/>
      </w:pPr>
      <w:r>
        <w:rPr/>
        <w:t>UWS Early Learning Limited (the Company) is a not-for-profit company limited by guarantee incorporated on 2nd March 2012 and domiciled in Australia.</w:t>
      </w:r>
    </w:p>
    <w:p>
      <w:pPr>
        <w:pStyle w:val="BodyText"/>
        <w:spacing w:before="11"/>
        <w:rPr>
          <w:sz w:val="24"/>
        </w:rPr>
      </w:pPr>
    </w:p>
    <w:p>
      <w:pPr>
        <w:pStyle w:val="BodyText"/>
        <w:ind w:left="1852" w:right="1375"/>
      </w:pPr>
      <w:r>
        <w:rPr/>
        <w:t>The principal accounting policies adopted in the preparation of these financial statements are set out below. These policies have been consistently applied to all years reported, unless otherwise stated.</w:t>
      </w:r>
    </w:p>
    <w:p>
      <w:pPr>
        <w:pStyle w:val="BodyText"/>
        <w:spacing w:before="11"/>
        <w:rPr>
          <w:sz w:val="24"/>
        </w:rPr>
      </w:pPr>
    </w:p>
    <w:p>
      <w:pPr>
        <w:pStyle w:val="BodyText"/>
        <w:ind w:left="1852" w:right="1482"/>
      </w:pPr>
      <w:bookmarkStart w:name="Basis of preparation" w:id="314"/>
      <w:bookmarkEnd w:id="314"/>
      <w:r>
        <w:rPr/>
      </w:r>
      <w:r>
        <w:rPr/>
        <w:t>The financial statements for the year ended 31 December 2016 are authorised for issue in accordance with a resolution of the Board of Directors on 6 March 2017.</w:t>
      </w:r>
    </w:p>
    <w:p>
      <w:pPr>
        <w:pStyle w:val="BodyText"/>
      </w:pPr>
    </w:p>
    <w:p>
      <w:pPr>
        <w:pStyle w:val="BodyText"/>
      </w:pPr>
    </w:p>
    <w:p>
      <w:pPr>
        <w:pStyle w:val="BodyText"/>
      </w:pPr>
    </w:p>
    <w:p>
      <w:pPr>
        <w:pStyle w:val="Heading8"/>
        <w:numPr>
          <w:ilvl w:val="0"/>
          <w:numId w:val="68"/>
        </w:numPr>
        <w:tabs>
          <w:tab w:pos="1824" w:val="left" w:leader="none"/>
        </w:tabs>
        <w:spacing w:line="240" w:lineRule="auto" w:before="161" w:after="0"/>
        <w:ind w:left="1824" w:right="0" w:hanging="396"/>
        <w:jc w:val="left"/>
      </w:pPr>
      <w:r>
        <w:rPr/>
        <w:t>Basis of</w:t>
      </w:r>
      <w:r>
        <w:rPr>
          <w:spacing w:val="-18"/>
        </w:rPr>
        <w:t> </w:t>
      </w:r>
      <w:r>
        <w:rPr/>
        <w:t>preparation</w:t>
      </w:r>
    </w:p>
    <w:p>
      <w:pPr>
        <w:pStyle w:val="BodyText"/>
        <w:spacing w:before="11"/>
        <w:rPr>
          <w:b/>
          <w:sz w:val="24"/>
        </w:rPr>
      </w:pPr>
    </w:p>
    <w:p>
      <w:pPr>
        <w:pStyle w:val="BodyText"/>
        <w:ind w:left="1852" w:right="1375"/>
      </w:pPr>
      <w:r>
        <w:rPr/>
        <w:t>The financial statements are general purpose financial statements that have been prepared in accordance with Australian Accounting Standards, Australian Accounting Interpretations and other authoritative pronouncements of the Australian Accounting Standards Board.</w:t>
      </w:r>
    </w:p>
    <w:p>
      <w:pPr>
        <w:pStyle w:val="BodyText"/>
        <w:spacing w:before="11"/>
        <w:rPr>
          <w:sz w:val="24"/>
        </w:rPr>
      </w:pPr>
    </w:p>
    <w:p>
      <w:pPr>
        <w:pStyle w:val="BodyText"/>
        <w:ind w:left="1852" w:right="1375"/>
      </w:pPr>
      <w:r>
        <w:rPr/>
        <w:t>Material accounting policies adopted in the preparation of these financial statements are presented below and have been consistently applied unless otherwise stated.</w:t>
      </w:r>
    </w:p>
    <w:p>
      <w:pPr>
        <w:pStyle w:val="BodyText"/>
        <w:spacing w:before="11"/>
        <w:rPr>
          <w:sz w:val="24"/>
        </w:rPr>
      </w:pPr>
    </w:p>
    <w:p>
      <w:pPr>
        <w:pStyle w:val="BodyText"/>
        <w:ind w:left="1852" w:right="1375"/>
      </w:pPr>
      <w:r>
        <w:rPr/>
        <w:drawing>
          <wp:anchor distT="0" distB="0" distL="0" distR="0" allowOverlap="1" layoutInCell="1" locked="0" behindDoc="0" simplePos="0" relativeHeight="12328">
            <wp:simplePos x="0" y="0"/>
            <wp:positionH relativeFrom="page">
              <wp:posOffset>-1587</wp:posOffset>
            </wp:positionH>
            <wp:positionV relativeFrom="paragraph">
              <wp:posOffset>260526</wp:posOffset>
            </wp:positionV>
            <wp:extent cx="135159" cy="154019"/>
            <wp:effectExtent l="0" t="0" r="0" b="0"/>
            <wp:wrapNone/>
            <wp:docPr id="823" name="image13.png" descr=""/>
            <wp:cNvGraphicFramePr>
              <a:graphicFrameLocks noChangeAspect="1"/>
            </wp:cNvGraphicFramePr>
            <a:graphic>
              <a:graphicData uri="http://schemas.openxmlformats.org/drawingml/2006/picture">
                <pic:pic>
                  <pic:nvPicPr>
                    <pic:cNvPr id="824" name="image13.png"/>
                    <pic:cNvPicPr/>
                  </pic:nvPicPr>
                  <pic:blipFill>
                    <a:blip r:embed="rId18" cstate="print"/>
                    <a:stretch>
                      <a:fillRect/>
                    </a:stretch>
                  </pic:blipFill>
                  <pic:spPr>
                    <a:xfrm>
                      <a:off x="0" y="0"/>
                      <a:ext cx="135159" cy="154019"/>
                    </a:xfrm>
                    <a:prstGeom prst="rect">
                      <a:avLst/>
                    </a:prstGeom>
                  </pic:spPr>
                </pic:pic>
              </a:graphicData>
            </a:graphic>
          </wp:anchor>
        </w:drawing>
      </w:r>
      <w:r>
        <w:rPr/>
        <w:drawing>
          <wp:anchor distT="0" distB="0" distL="0" distR="0" allowOverlap="1" layoutInCell="1" locked="0" behindDoc="0" simplePos="0" relativeHeight="12352">
            <wp:simplePos x="0" y="0"/>
            <wp:positionH relativeFrom="page">
              <wp:posOffset>7958429</wp:posOffset>
            </wp:positionH>
            <wp:positionV relativeFrom="paragraph">
              <wp:posOffset>260526</wp:posOffset>
            </wp:positionV>
            <wp:extent cx="135953" cy="155575"/>
            <wp:effectExtent l="0" t="0" r="0" b="0"/>
            <wp:wrapNone/>
            <wp:docPr id="825" name="image15.png" descr=""/>
            <wp:cNvGraphicFramePr>
              <a:graphicFrameLocks noChangeAspect="1"/>
            </wp:cNvGraphicFramePr>
            <a:graphic>
              <a:graphicData uri="http://schemas.openxmlformats.org/drawingml/2006/picture">
                <pic:pic>
                  <pic:nvPicPr>
                    <pic:cNvPr id="826" name="image15.png"/>
                    <pic:cNvPicPr/>
                  </pic:nvPicPr>
                  <pic:blipFill>
                    <a:blip r:embed="rId20" cstate="print"/>
                    <a:stretch>
                      <a:fillRect/>
                    </a:stretch>
                  </pic:blipFill>
                  <pic:spPr>
                    <a:xfrm>
                      <a:off x="0" y="0"/>
                      <a:ext cx="135953" cy="155575"/>
                    </a:xfrm>
                    <a:prstGeom prst="rect">
                      <a:avLst/>
                    </a:prstGeom>
                  </pic:spPr>
                </pic:pic>
              </a:graphicData>
            </a:graphic>
          </wp:anchor>
        </w:drawing>
      </w:r>
      <w:r>
        <w:rPr/>
        <w:t>The financial statements have been prepared on an accruals basis and are based on historical costs modified, where applicable, by the measurement at fair value of selected non-current assets, financial assets and financial liabilities.</w:t>
      </w:r>
    </w:p>
    <w:p>
      <w:pPr>
        <w:pStyle w:val="BodyText"/>
        <w:spacing w:before="11"/>
        <w:rPr>
          <w:sz w:val="24"/>
        </w:rPr>
      </w:pPr>
    </w:p>
    <w:p>
      <w:pPr>
        <w:pStyle w:val="BodyText"/>
        <w:ind w:left="1852"/>
      </w:pPr>
      <w:r>
        <w:rPr/>
        <w:t>Additionally the statements have been prepared in accordance with the following statutory requirements:</w:t>
      </w:r>
    </w:p>
    <w:p>
      <w:pPr>
        <w:pStyle w:val="BodyText"/>
        <w:spacing w:before="11"/>
        <w:rPr>
          <w:sz w:val="24"/>
        </w:rPr>
      </w:pPr>
    </w:p>
    <w:p>
      <w:pPr>
        <w:spacing w:before="0"/>
        <w:ind w:left="1852" w:right="0" w:firstLine="0"/>
        <w:jc w:val="left"/>
        <w:rPr>
          <w:i/>
          <w:sz w:val="18"/>
        </w:rPr>
      </w:pPr>
      <w:r>
        <w:rPr>
          <w:sz w:val="18"/>
        </w:rPr>
        <w:t>- </w:t>
      </w:r>
      <w:r>
        <w:rPr>
          <w:i/>
          <w:sz w:val="18"/>
        </w:rPr>
        <w:t>Public Finance and Audit Act 1983 </w:t>
      </w:r>
      <w:r>
        <w:rPr>
          <w:sz w:val="18"/>
        </w:rPr>
        <w:t>and </w:t>
      </w:r>
      <w:r>
        <w:rPr>
          <w:i/>
          <w:sz w:val="18"/>
        </w:rPr>
        <w:t>Public Finance and Audit Regulations 2015</w:t>
      </w:r>
    </w:p>
    <w:p>
      <w:pPr>
        <w:pStyle w:val="BodyText"/>
        <w:spacing w:before="11"/>
        <w:rPr>
          <w:i/>
          <w:sz w:val="24"/>
        </w:rPr>
      </w:pPr>
    </w:p>
    <w:p>
      <w:pPr>
        <w:pStyle w:val="BodyText"/>
        <w:ind w:left="1852" w:right="1407"/>
      </w:pPr>
      <w:r>
        <w:rPr/>
        <w:t>The Company is a not-for-profit entity and these statements have been prepared on a going concern basis. The preparation of financial statements requires the use of certain critical accounting estimates. It also requires management to exercise its judgement in the process of applying the Company's accounting policies. Estimates and judgements are continually evaluated and are based on historical experience and other factors, including expectations of future events that may have a financial impact on the Company and that are believed to be reasonable under the circumstances.</w:t>
      </w:r>
    </w:p>
    <w:p>
      <w:pPr>
        <w:pStyle w:val="BodyText"/>
        <w:spacing w:before="11"/>
        <w:rPr>
          <w:sz w:val="24"/>
        </w:rPr>
      </w:pPr>
    </w:p>
    <w:p>
      <w:pPr>
        <w:pStyle w:val="BodyText"/>
        <w:ind w:left="1852" w:right="1450"/>
      </w:pPr>
      <w:bookmarkStart w:name="(b) Functional and presentation currency" w:id="315"/>
      <w:bookmarkEnd w:id="315"/>
      <w:r>
        <w:rPr/>
      </w:r>
      <w:r>
        <w:rPr/>
        <w:t>There are no areas which involve a high degree of judgement or complexity, or areas where assumptions and estimates are significant to the financial statements of the Company.</w:t>
      </w:r>
    </w:p>
    <w:p>
      <w:pPr>
        <w:pStyle w:val="BodyText"/>
        <w:spacing w:before="11"/>
        <w:rPr>
          <w:sz w:val="24"/>
        </w:rPr>
      </w:pPr>
    </w:p>
    <w:p>
      <w:pPr>
        <w:pStyle w:val="Heading8"/>
        <w:numPr>
          <w:ilvl w:val="0"/>
          <w:numId w:val="68"/>
        </w:numPr>
        <w:tabs>
          <w:tab w:pos="1824" w:val="left" w:leader="none"/>
        </w:tabs>
        <w:spacing w:line="240" w:lineRule="auto" w:before="0" w:after="0"/>
        <w:ind w:left="1824" w:right="0" w:hanging="396"/>
        <w:jc w:val="left"/>
      </w:pPr>
      <w:bookmarkStart w:name="(c) Revenue recognition" w:id="316"/>
      <w:bookmarkEnd w:id="316"/>
      <w:r>
        <w:rPr>
          <w:b w:val="0"/>
        </w:rPr>
      </w:r>
      <w:bookmarkStart w:name="(c) Revenue recognition" w:id="317"/>
      <w:bookmarkEnd w:id="317"/>
      <w:r>
        <w:rPr/>
        <w:t>Functional</w:t>
      </w:r>
      <w:r>
        <w:rPr/>
        <w:t> and presentation currency</w:t>
      </w:r>
    </w:p>
    <w:p>
      <w:pPr>
        <w:pStyle w:val="BodyText"/>
        <w:spacing w:before="11"/>
        <w:rPr>
          <w:b/>
          <w:sz w:val="24"/>
        </w:rPr>
      </w:pPr>
    </w:p>
    <w:p>
      <w:pPr>
        <w:pStyle w:val="BodyText"/>
        <w:ind w:left="1852"/>
      </w:pPr>
      <w:r>
        <w:rPr/>
        <w:t>The financial statements are presented in Australian dollars.</w:t>
      </w:r>
    </w:p>
    <w:p>
      <w:pPr>
        <w:pStyle w:val="BodyText"/>
        <w:spacing w:before="11"/>
        <w:rPr>
          <w:sz w:val="24"/>
        </w:rPr>
      </w:pPr>
    </w:p>
    <w:p>
      <w:pPr>
        <w:pStyle w:val="Heading8"/>
        <w:numPr>
          <w:ilvl w:val="0"/>
          <w:numId w:val="68"/>
        </w:numPr>
        <w:tabs>
          <w:tab w:pos="1824" w:val="left" w:leader="none"/>
        </w:tabs>
        <w:spacing w:line="240" w:lineRule="auto" w:before="0" w:after="0"/>
        <w:ind w:left="1824" w:right="0" w:hanging="396"/>
        <w:jc w:val="left"/>
      </w:pPr>
      <w:r>
        <w:rPr/>
        <w:t>Revenue</w:t>
      </w:r>
      <w:r>
        <w:rPr>
          <w:spacing w:val="-7"/>
        </w:rPr>
        <w:t> </w:t>
      </w:r>
      <w:r>
        <w:rPr/>
        <w:t>recognition</w:t>
      </w:r>
    </w:p>
    <w:p>
      <w:pPr>
        <w:pStyle w:val="BodyText"/>
        <w:spacing w:before="11"/>
        <w:rPr>
          <w:b/>
          <w:sz w:val="24"/>
        </w:rPr>
      </w:pPr>
    </w:p>
    <w:p>
      <w:pPr>
        <w:pStyle w:val="BodyText"/>
        <w:ind w:left="1852" w:right="1338"/>
      </w:pPr>
      <w:r>
        <w:rPr/>
        <w:t>The Company recognises revenue when the amount of revenue can be reliably measured, it is probable that future economic benefits will flow to the Company and specific criteria have been met for each of the Company's activities as discussed below. The Company bases its estimates on historical results, taking into consideration the type of customer, the type of transaction and the specifics of each arrangement.</w:t>
      </w:r>
    </w:p>
    <w:p>
      <w:pPr>
        <w:spacing w:after="0"/>
        <w:sectPr>
          <w:headerReference w:type="default" r:id="rId107"/>
          <w:footerReference w:type="default" r:id="rId108"/>
          <w:pgSz w:w="12750" w:h="17680"/>
          <w:pgMar w:header="0" w:footer="927" w:top="2800" w:bottom="1120" w:left="0" w:right="0"/>
          <w:pgNumType w:start="175"/>
        </w:sectPr>
      </w:pPr>
    </w:p>
    <w:p>
      <w:pPr>
        <w:pStyle w:val="BodyText"/>
        <w:spacing w:before="7"/>
      </w:pPr>
    </w:p>
    <w:p>
      <w:pPr>
        <w:pStyle w:val="ListParagraph"/>
        <w:numPr>
          <w:ilvl w:val="0"/>
          <w:numId w:val="69"/>
        </w:numPr>
        <w:tabs>
          <w:tab w:pos="1824" w:val="left" w:leader="none"/>
        </w:tabs>
        <w:spacing w:line="240" w:lineRule="auto" w:before="77" w:after="0"/>
        <w:ind w:left="1824" w:right="0" w:hanging="396"/>
        <w:jc w:val="left"/>
        <w:rPr>
          <w:b/>
          <w:sz w:val="18"/>
        </w:rPr>
      </w:pPr>
      <w:r>
        <w:rPr>
          <w:b/>
          <w:sz w:val="18"/>
        </w:rPr>
        <w:t>Revenue recognition</w:t>
      </w:r>
      <w:r>
        <w:rPr>
          <w:b/>
          <w:spacing w:val="-7"/>
          <w:sz w:val="18"/>
        </w:rPr>
        <w:t> </w:t>
      </w:r>
      <w:r>
        <w:rPr>
          <w:b/>
          <w:sz w:val="18"/>
        </w:rPr>
        <w:t>continued</w:t>
      </w:r>
    </w:p>
    <w:p>
      <w:pPr>
        <w:pStyle w:val="BodyText"/>
        <w:spacing w:before="11"/>
        <w:rPr>
          <w:b/>
          <w:sz w:val="24"/>
        </w:rPr>
      </w:pPr>
    </w:p>
    <w:p>
      <w:pPr>
        <w:pStyle w:val="BodyText"/>
        <w:ind w:left="1852"/>
      </w:pPr>
      <w:r>
        <w:rPr/>
        <w:t>Revenue is recognised for the major business activities as follows:</w:t>
      </w:r>
    </w:p>
    <w:p>
      <w:pPr>
        <w:pStyle w:val="BodyText"/>
        <w:spacing w:before="11"/>
        <w:rPr>
          <w:sz w:val="24"/>
        </w:rPr>
      </w:pPr>
    </w:p>
    <w:p>
      <w:pPr>
        <w:pStyle w:val="ListParagraph"/>
        <w:numPr>
          <w:ilvl w:val="1"/>
          <w:numId w:val="69"/>
        </w:numPr>
        <w:tabs>
          <w:tab w:pos="2063" w:val="left" w:leader="none"/>
        </w:tabs>
        <w:spacing w:line="240" w:lineRule="auto" w:before="0" w:after="0"/>
        <w:ind w:left="2062" w:right="0" w:hanging="210"/>
        <w:jc w:val="left"/>
        <w:rPr>
          <w:sz w:val="18"/>
        </w:rPr>
      </w:pPr>
      <w:r>
        <w:rPr>
          <w:sz w:val="18"/>
        </w:rPr>
        <w:t>Child care</w:t>
      </w:r>
      <w:r>
        <w:rPr>
          <w:spacing w:val="-18"/>
          <w:sz w:val="18"/>
        </w:rPr>
        <w:t> </w:t>
      </w:r>
      <w:r>
        <w:rPr>
          <w:sz w:val="18"/>
        </w:rPr>
        <w:t>services</w:t>
      </w:r>
    </w:p>
    <w:p>
      <w:pPr>
        <w:pStyle w:val="BodyText"/>
        <w:spacing w:before="11"/>
        <w:rPr>
          <w:sz w:val="24"/>
        </w:rPr>
      </w:pPr>
    </w:p>
    <w:p>
      <w:pPr>
        <w:pStyle w:val="BodyText"/>
        <w:ind w:left="1852" w:right="1375"/>
      </w:pPr>
      <w:r>
        <w:rPr/>
        <w:t>Revenue from child care services is recognised when services have been provided to the customer, the customer has accepted the services and collectability of the related receivables is probable.</w:t>
      </w:r>
    </w:p>
    <w:p>
      <w:pPr>
        <w:pStyle w:val="BodyText"/>
        <w:spacing w:before="11"/>
        <w:rPr>
          <w:sz w:val="24"/>
        </w:rPr>
      </w:pPr>
    </w:p>
    <w:p>
      <w:pPr>
        <w:pStyle w:val="ListParagraph"/>
        <w:numPr>
          <w:ilvl w:val="1"/>
          <w:numId w:val="69"/>
        </w:numPr>
        <w:tabs>
          <w:tab w:pos="2103" w:val="left" w:leader="none"/>
        </w:tabs>
        <w:spacing w:line="240" w:lineRule="auto" w:before="0" w:after="0"/>
        <w:ind w:left="2102" w:right="0" w:hanging="250"/>
        <w:jc w:val="left"/>
        <w:rPr>
          <w:sz w:val="18"/>
        </w:rPr>
      </w:pPr>
      <w:r>
        <w:rPr>
          <w:sz w:val="18"/>
        </w:rPr>
        <w:t>Government</w:t>
      </w:r>
      <w:r>
        <w:rPr>
          <w:spacing w:val="-16"/>
          <w:sz w:val="18"/>
        </w:rPr>
        <w:t> </w:t>
      </w:r>
      <w:r>
        <w:rPr>
          <w:sz w:val="18"/>
        </w:rPr>
        <w:t>grants</w:t>
      </w:r>
    </w:p>
    <w:p>
      <w:pPr>
        <w:pStyle w:val="BodyText"/>
        <w:spacing w:before="11"/>
        <w:rPr>
          <w:sz w:val="24"/>
        </w:rPr>
      </w:pPr>
    </w:p>
    <w:p>
      <w:pPr>
        <w:pStyle w:val="BodyText"/>
        <w:ind w:left="1852" w:right="1450"/>
      </w:pPr>
      <w:r>
        <w:rPr/>
        <w:t>UWS Early Learning Limited treats operating grants received from Australian Government entities as income in the year of receipt.</w:t>
      </w:r>
    </w:p>
    <w:p>
      <w:pPr>
        <w:pStyle w:val="BodyText"/>
        <w:spacing w:before="11"/>
        <w:rPr>
          <w:sz w:val="24"/>
        </w:rPr>
      </w:pPr>
    </w:p>
    <w:p>
      <w:pPr>
        <w:pStyle w:val="BodyText"/>
        <w:ind w:left="1852" w:right="1375"/>
      </w:pPr>
      <w:r>
        <w:rPr/>
        <w:t>Grants from the government are recognised at their fair value where UWS Early Learning Limited obtains control of the right to receive the grant, it is probable that economic benefits will flow to UWS Early Learning Limited and it can be reliably measured.</w:t>
      </w:r>
    </w:p>
    <w:p>
      <w:pPr>
        <w:pStyle w:val="BodyText"/>
        <w:spacing w:before="11"/>
        <w:rPr>
          <w:sz w:val="24"/>
        </w:rPr>
      </w:pPr>
    </w:p>
    <w:p>
      <w:pPr>
        <w:pStyle w:val="ListParagraph"/>
        <w:numPr>
          <w:ilvl w:val="1"/>
          <w:numId w:val="69"/>
        </w:numPr>
        <w:tabs>
          <w:tab w:pos="2142" w:val="left" w:leader="none"/>
        </w:tabs>
        <w:spacing w:line="240" w:lineRule="auto" w:before="0" w:after="0"/>
        <w:ind w:left="2142" w:right="0" w:hanging="290"/>
        <w:jc w:val="left"/>
        <w:rPr>
          <w:sz w:val="18"/>
        </w:rPr>
      </w:pPr>
      <w:bookmarkStart w:name="(d) Income tax exemption" w:id="318"/>
      <w:bookmarkEnd w:id="318"/>
      <w:r>
        <w:rPr/>
      </w:r>
      <w:bookmarkStart w:name="(d) Income tax exemption" w:id="319"/>
      <w:bookmarkEnd w:id="319"/>
      <w:r>
        <w:rPr>
          <w:sz w:val="18"/>
        </w:rPr>
        <w:t>Investmen</w:t>
      </w:r>
      <w:r>
        <w:rPr>
          <w:sz w:val="18"/>
        </w:rPr>
        <w:t>t</w:t>
      </w:r>
      <w:r>
        <w:rPr>
          <w:spacing w:val="-17"/>
          <w:sz w:val="18"/>
        </w:rPr>
        <w:t> </w:t>
      </w:r>
      <w:r>
        <w:rPr>
          <w:sz w:val="18"/>
        </w:rPr>
        <w:t>income</w:t>
      </w:r>
    </w:p>
    <w:p>
      <w:pPr>
        <w:pStyle w:val="BodyText"/>
        <w:spacing w:before="11"/>
        <w:rPr>
          <w:sz w:val="24"/>
        </w:rPr>
      </w:pPr>
    </w:p>
    <w:p>
      <w:pPr>
        <w:pStyle w:val="BodyText"/>
        <w:ind w:left="1852"/>
      </w:pPr>
      <w:r>
        <w:rPr/>
        <w:drawing>
          <wp:anchor distT="0" distB="0" distL="0" distR="0" allowOverlap="1" layoutInCell="1" locked="0" behindDoc="0" simplePos="0" relativeHeight="12376">
            <wp:simplePos x="0" y="0"/>
            <wp:positionH relativeFrom="page">
              <wp:posOffset>-1587</wp:posOffset>
            </wp:positionH>
            <wp:positionV relativeFrom="paragraph">
              <wp:posOffset>208710</wp:posOffset>
            </wp:positionV>
            <wp:extent cx="136525" cy="155575"/>
            <wp:effectExtent l="0" t="0" r="0" b="0"/>
            <wp:wrapNone/>
            <wp:docPr id="829" name="image13.png" descr=""/>
            <wp:cNvGraphicFramePr>
              <a:graphicFrameLocks noChangeAspect="1"/>
            </wp:cNvGraphicFramePr>
            <a:graphic>
              <a:graphicData uri="http://schemas.openxmlformats.org/drawingml/2006/picture">
                <pic:pic>
                  <pic:nvPicPr>
                    <pic:cNvPr id="830" name="image13.png"/>
                    <pic:cNvPicPr/>
                  </pic:nvPicPr>
                  <pic:blipFill>
                    <a:blip r:embed="rId18" cstate="print"/>
                    <a:stretch>
                      <a:fillRect/>
                    </a:stretch>
                  </pic:blipFill>
                  <pic:spPr>
                    <a:xfrm>
                      <a:off x="0" y="0"/>
                      <a:ext cx="136525" cy="155575"/>
                    </a:xfrm>
                    <a:prstGeom prst="rect">
                      <a:avLst/>
                    </a:prstGeom>
                  </pic:spPr>
                </pic:pic>
              </a:graphicData>
            </a:graphic>
          </wp:anchor>
        </w:drawing>
      </w:r>
      <w:r>
        <w:rPr/>
        <w:drawing>
          <wp:anchor distT="0" distB="0" distL="0" distR="0" allowOverlap="1" layoutInCell="1" locked="0" behindDoc="0" simplePos="0" relativeHeight="12400">
            <wp:simplePos x="0" y="0"/>
            <wp:positionH relativeFrom="page">
              <wp:posOffset>7958429</wp:posOffset>
            </wp:positionH>
            <wp:positionV relativeFrom="paragraph">
              <wp:posOffset>208710</wp:posOffset>
            </wp:positionV>
            <wp:extent cx="135953" cy="155575"/>
            <wp:effectExtent l="0" t="0" r="0" b="0"/>
            <wp:wrapNone/>
            <wp:docPr id="831" name="image15.png" descr=""/>
            <wp:cNvGraphicFramePr>
              <a:graphicFrameLocks noChangeAspect="1"/>
            </wp:cNvGraphicFramePr>
            <a:graphic>
              <a:graphicData uri="http://schemas.openxmlformats.org/drawingml/2006/picture">
                <pic:pic>
                  <pic:nvPicPr>
                    <pic:cNvPr id="832" name="image15.png"/>
                    <pic:cNvPicPr/>
                  </pic:nvPicPr>
                  <pic:blipFill>
                    <a:blip r:embed="rId20" cstate="print"/>
                    <a:stretch>
                      <a:fillRect/>
                    </a:stretch>
                  </pic:blipFill>
                  <pic:spPr>
                    <a:xfrm>
                      <a:off x="0" y="0"/>
                      <a:ext cx="135953" cy="155575"/>
                    </a:xfrm>
                    <a:prstGeom prst="rect">
                      <a:avLst/>
                    </a:prstGeom>
                  </pic:spPr>
                </pic:pic>
              </a:graphicData>
            </a:graphic>
          </wp:anchor>
        </w:drawing>
      </w:r>
      <w:r>
        <w:rPr/>
        <w:t>Interest income is recognised using the effective interest method.</w:t>
      </w:r>
    </w:p>
    <w:p>
      <w:pPr>
        <w:pStyle w:val="BodyText"/>
        <w:spacing w:before="11"/>
        <w:rPr>
          <w:sz w:val="24"/>
        </w:rPr>
      </w:pPr>
    </w:p>
    <w:p>
      <w:pPr>
        <w:pStyle w:val="Heading8"/>
        <w:numPr>
          <w:ilvl w:val="0"/>
          <w:numId w:val="69"/>
        </w:numPr>
        <w:tabs>
          <w:tab w:pos="1824" w:val="left" w:leader="none"/>
        </w:tabs>
        <w:spacing w:line="240" w:lineRule="auto" w:before="0" w:after="0"/>
        <w:ind w:left="1824" w:right="0" w:hanging="396"/>
        <w:jc w:val="left"/>
      </w:pPr>
      <w:r>
        <w:rPr/>
        <w:t>Income tax</w:t>
      </w:r>
      <w:r>
        <w:rPr>
          <w:spacing w:val="-18"/>
        </w:rPr>
        <w:t> </w:t>
      </w:r>
      <w:r>
        <w:rPr/>
        <w:t>exemption</w:t>
      </w:r>
    </w:p>
    <w:p>
      <w:pPr>
        <w:pStyle w:val="BodyText"/>
        <w:spacing w:before="11"/>
        <w:rPr>
          <w:b/>
          <w:sz w:val="24"/>
        </w:rPr>
      </w:pPr>
    </w:p>
    <w:p>
      <w:pPr>
        <w:pStyle w:val="BodyText"/>
        <w:ind w:left="1852" w:right="1375"/>
      </w:pPr>
      <w:bookmarkStart w:name="(e) Cash and cash equivalents" w:id="320"/>
      <w:bookmarkEnd w:id="320"/>
      <w:r>
        <w:rPr/>
      </w:r>
      <w:r>
        <w:rPr/>
        <w:t>The Company is exempt from the payment of tax by virtue of section 50-B of the Income Tax Assessment Act 1997. Accordingly, no provision for income tax liability or future income tax benefit has been included in the financial statements.</w:t>
      </w:r>
    </w:p>
    <w:p>
      <w:pPr>
        <w:pStyle w:val="BodyText"/>
        <w:spacing w:before="11"/>
        <w:rPr>
          <w:sz w:val="24"/>
        </w:rPr>
      </w:pPr>
    </w:p>
    <w:p>
      <w:pPr>
        <w:pStyle w:val="Heading8"/>
        <w:numPr>
          <w:ilvl w:val="0"/>
          <w:numId w:val="69"/>
        </w:numPr>
        <w:tabs>
          <w:tab w:pos="1824" w:val="left" w:leader="none"/>
        </w:tabs>
        <w:spacing w:line="240" w:lineRule="auto" w:before="0" w:after="0"/>
        <w:ind w:left="1824" w:right="0" w:hanging="396"/>
        <w:jc w:val="left"/>
      </w:pPr>
      <w:bookmarkStart w:name="(f) Trade receivables" w:id="321"/>
      <w:bookmarkEnd w:id="321"/>
      <w:r>
        <w:rPr>
          <w:b w:val="0"/>
        </w:rPr>
      </w:r>
      <w:bookmarkStart w:name="(f) Trade receivables" w:id="322"/>
      <w:bookmarkEnd w:id="322"/>
      <w:r>
        <w:rPr/>
        <w:t>Cash</w:t>
      </w:r>
      <w:r>
        <w:rPr/>
        <w:t> and cash</w:t>
      </w:r>
      <w:r>
        <w:rPr>
          <w:spacing w:val="-5"/>
        </w:rPr>
        <w:t> </w:t>
      </w:r>
      <w:r>
        <w:rPr/>
        <w:t>equivalents</w:t>
      </w:r>
    </w:p>
    <w:p>
      <w:pPr>
        <w:pStyle w:val="BodyText"/>
        <w:spacing w:before="11"/>
        <w:rPr>
          <w:b/>
          <w:sz w:val="24"/>
        </w:rPr>
      </w:pPr>
    </w:p>
    <w:p>
      <w:pPr>
        <w:pStyle w:val="BodyText"/>
        <w:ind w:left="1852"/>
      </w:pPr>
      <w:r>
        <w:rPr/>
        <w:t>Cash and cash equivalents includes cash at bank and on hand.</w:t>
      </w:r>
    </w:p>
    <w:p>
      <w:pPr>
        <w:pStyle w:val="BodyText"/>
        <w:spacing w:before="11"/>
        <w:rPr>
          <w:sz w:val="24"/>
        </w:rPr>
      </w:pPr>
    </w:p>
    <w:p>
      <w:pPr>
        <w:pStyle w:val="Heading8"/>
        <w:numPr>
          <w:ilvl w:val="0"/>
          <w:numId w:val="69"/>
        </w:numPr>
        <w:tabs>
          <w:tab w:pos="1824" w:val="left" w:leader="none"/>
        </w:tabs>
        <w:spacing w:line="240" w:lineRule="auto" w:before="0" w:after="0"/>
        <w:ind w:left="1824" w:right="0" w:hanging="396"/>
        <w:jc w:val="left"/>
      </w:pPr>
      <w:r>
        <w:rPr/>
        <w:t>Trade</w:t>
      </w:r>
      <w:r>
        <w:rPr>
          <w:spacing w:val="-21"/>
        </w:rPr>
        <w:t> </w:t>
      </w:r>
      <w:r>
        <w:rPr/>
        <w:t>receivables</w:t>
      </w:r>
    </w:p>
    <w:p>
      <w:pPr>
        <w:pStyle w:val="BodyText"/>
        <w:spacing w:before="11"/>
        <w:rPr>
          <w:b/>
          <w:sz w:val="24"/>
        </w:rPr>
      </w:pPr>
    </w:p>
    <w:p>
      <w:pPr>
        <w:pStyle w:val="BodyText"/>
        <w:ind w:left="1852" w:right="1338"/>
      </w:pPr>
      <w:r>
        <w:rPr/>
        <w:t>Trade receivables are recognised initially at fair value and subsequently measured at amortised cost using the effective interest method, less provision for impairment. Trade receivables are due for settlement no more than 30 days for debtors. They are presented as current assets unless collection is not expected for more than 12 months after reporting date.</w:t>
      </w:r>
    </w:p>
    <w:p>
      <w:pPr>
        <w:pStyle w:val="BodyText"/>
        <w:spacing w:before="11"/>
        <w:rPr>
          <w:sz w:val="24"/>
        </w:rPr>
      </w:pPr>
    </w:p>
    <w:p>
      <w:pPr>
        <w:pStyle w:val="BodyText"/>
        <w:ind w:left="1852" w:right="1407"/>
      </w:pPr>
      <w:r>
        <w:rPr/>
        <w:t>Collectability of trade receivables is reviewed on an ongoing basis. Debts which are known to be uncollectable are written off. A provision for impairment of receivables is established when there is objective evidence that the Company will not be able to collect all amounts due according to the original terms of receivables. Significant financial difficulties of debtor, probability that the debtor will enter bankruptcy or financial reorganisation, and default or delinquency in payments (more than 30 days overdue) are considered indicators that the trade receivable is impaired. The amount of the impairment allowance is the difference between the asset's carrying amount and the present value of estimated future cash flows, discounted at the effective interest rate. Cash flows relating to short-term receivables are not discounted if the effect of discounting is immaterial. The amount of movement in the impairment allowance is recognised in the statement of comprehensive income.</w:t>
      </w:r>
    </w:p>
    <w:p>
      <w:pPr>
        <w:spacing w:after="0"/>
        <w:sectPr>
          <w:headerReference w:type="default" r:id="rId109"/>
          <w:pgSz w:w="12750" w:h="17680"/>
          <w:pgMar w:header="0" w:footer="927" w:top="3300" w:bottom="1120" w:left="0" w:right="0"/>
        </w:sectPr>
      </w:pPr>
    </w:p>
    <w:p>
      <w:pPr>
        <w:pStyle w:val="BodyText"/>
        <w:spacing w:before="7"/>
      </w:pPr>
    </w:p>
    <w:p>
      <w:pPr>
        <w:pStyle w:val="Heading8"/>
        <w:numPr>
          <w:ilvl w:val="0"/>
          <w:numId w:val="69"/>
        </w:numPr>
        <w:tabs>
          <w:tab w:pos="1824" w:val="left" w:leader="none"/>
        </w:tabs>
        <w:spacing w:line="240" w:lineRule="auto" w:before="77" w:after="0"/>
        <w:ind w:left="1824" w:right="0" w:hanging="396"/>
        <w:jc w:val="left"/>
      </w:pPr>
      <w:bookmarkStart w:name="(g) Financial assets" w:id="323"/>
      <w:bookmarkEnd w:id="323"/>
      <w:r>
        <w:rPr>
          <w:b w:val="0"/>
        </w:rPr>
      </w:r>
      <w:bookmarkStart w:name="(g) Financial assets" w:id="324"/>
      <w:bookmarkEnd w:id="324"/>
      <w:r>
        <w:rPr/>
        <w:t>Financial</w:t>
      </w:r>
      <w:r>
        <w:rPr>
          <w:spacing w:val="-1"/>
        </w:rPr>
        <w:t> </w:t>
      </w:r>
      <w:r>
        <w:rPr/>
        <w:t>assets</w:t>
      </w:r>
    </w:p>
    <w:p>
      <w:pPr>
        <w:pStyle w:val="BodyText"/>
        <w:spacing w:before="11"/>
        <w:rPr>
          <w:b/>
          <w:sz w:val="24"/>
        </w:rPr>
      </w:pPr>
    </w:p>
    <w:p>
      <w:pPr>
        <w:pStyle w:val="BodyText"/>
        <w:ind w:left="1852" w:right="1375"/>
      </w:pPr>
      <w:r>
        <w:rPr/>
        <w:t>The UWS Early Learning Limited did not hold financial assets at fair value through profit or loss either in the current or comparative financial years.</w:t>
      </w:r>
    </w:p>
    <w:p>
      <w:pPr>
        <w:pStyle w:val="BodyText"/>
        <w:spacing w:before="11"/>
        <w:rPr>
          <w:sz w:val="24"/>
        </w:rPr>
      </w:pPr>
    </w:p>
    <w:p>
      <w:pPr>
        <w:pStyle w:val="ListParagraph"/>
        <w:numPr>
          <w:ilvl w:val="1"/>
          <w:numId w:val="69"/>
        </w:numPr>
        <w:tabs>
          <w:tab w:pos="2113" w:val="left" w:leader="none"/>
        </w:tabs>
        <w:spacing w:line="240" w:lineRule="auto" w:before="0" w:after="0"/>
        <w:ind w:left="2112" w:right="0" w:hanging="260"/>
        <w:jc w:val="left"/>
        <w:rPr>
          <w:sz w:val="18"/>
        </w:rPr>
      </w:pPr>
      <w:r>
        <w:rPr>
          <w:sz w:val="18"/>
        </w:rPr>
        <w:t>Loans and</w:t>
      </w:r>
      <w:r>
        <w:rPr>
          <w:spacing w:val="-20"/>
          <w:sz w:val="18"/>
        </w:rPr>
        <w:t> </w:t>
      </w:r>
      <w:r>
        <w:rPr>
          <w:sz w:val="18"/>
        </w:rPr>
        <w:t>receivables</w:t>
      </w:r>
    </w:p>
    <w:p>
      <w:pPr>
        <w:pStyle w:val="BodyText"/>
        <w:spacing w:before="11"/>
        <w:rPr>
          <w:sz w:val="24"/>
        </w:rPr>
      </w:pPr>
    </w:p>
    <w:p>
      <w:pPr>
        <w:pStyle w:val="BodyText"/>
        <w:ind w:left="1852" w:right="1338"/>
      </w:pPr>
      <w:r>
        <w:rPr/>
        <w:t>Loans and receivables are non-derivative financial assets with fixed or determinable payments that are not quoted in an active market. They are included in current assets, except for those with maturities greater than 12 months after the statement of financial position date which are classified as non-current assets. Loans and receivables are included in receivables in the statement of financial position.</w:t>
      </w:r>
    </w:p>
    <w:p>
      <w:pPr>
        <w:pStyle w:val="BodyText"/>
        <w:spacing w:before="11"/>
        <w:rPr>
          <w:sz w:val="24"/>
        </w:rPr>
      </w:pPr>
    </w:p>
    <w:p>
      <w:pPr>
        <w:pStyle w:val="BodyText"/>
        <w:ind w:left="1852"/>
      </w:pPr>
      <w:r>
        <w:rPr/>
        <w:t>Loans and receivables are carried at amortised cost using the effective interest method.</w:t>
      </w:r>
    </w:p>
    <w:p>
      <w:pPr>
        <w:pStyle w:val="BodyText"/>
        <w:spacing w:before="11"/>
        <w:rPr>
          <w:sz w:val="24"/>
        </w:rPr>
      </w:pPr>
    </w:p>
    <w:p>
      <w:pPr>
        <w:pStyle w:val="ListParagraph"/>
        <w:numPr>
          <w:ilvl w:val="1"/>
          <w:numId w:val="69"/>
        </w:numPr>
        <w:tabs>
          <w:tab w:pos="2203" w:val="left" w:leader="none"/>
        </w:tabs>
        <w:spacing w:line="240" w:lineRule="auto" w:before="0" w:after="0"/>
        <w:ind w:left="2202" w:right="0" w:hanging="350"/>
        <w:jc w:val="left"/>
        <w:rPr>
          <w:sz w:val="18"/>
        </w:rPr>
      </w:pPr>
      <w:r>
        <w:rPr>
          <w:sz w:val="18"/>
        </w:rPr>
        <w:t>Assets carried at amortised</w:t>
      </w:r>
      <w:r>
        <w:rPr>
          <w:spacing w:val="-30"/>
          <w:sz w:val="18"/>
        </w:rPr>
        <w:t> </w:t>
      </w:r>
      <w:r>
        <w:rPr>
          <w:sz w:val="18"/>
        </w:rPr>
        <w:t>cost.</w:t>
      </w:r>
    </w:p>
    <w:p>
      <w:pPr>
        <w:pStyle w:val="BodyText"/>
        <w:spacing w:before="11"/>
        <w:rPr>
          <w:sz w:val="24"/>
        </w:rPr>
      </w:pPr>
    </w:p>
    <w:p>
      <w:pPr>
        <w:pStyle w:val="BodyText"/>
        <w:ind w:left="1852" w:right="1508"/>
      </w:pPr>
      <w:r>
        <w:rPr/>
        <w:drawing>
          <wp:anchor distT="0" distB="0" distL="0" distR="0" allowOverlap="1" layoutInCell="1" locked="0" behindDoc="0" simplePos="0" relativeHeight="12424">
            <wp:simplePos x="0" y="0"/>
            <wp:positionH relativeFrom="page">
              <wp:posOffset>-1587</wp:posOffset>
            </wp:positionH>
            <wp:positionV relativeFrom="paragraph">
              <wp:posOffset>836598</wp:posOffset>
            </wp:positionV>
            <wp:extent cx="136525" cy="155575"/>
            <wp:effectExtent l="0" t="0" r="0" b="0"/>
            <wp:wrapNone/>
            <wp:docPr id="833" name="image13.png" descr=""/>
            <wp:cNvGraphicFramePr>
              <a:graphicFrameLocks noChangeAspect="1"/>
            </wp:cNvGraphicFramePr>
            <a:graphic>
              <a:graphicData uri="http://schemas.openxmlformats.org/drawingml/2006/picture">
                <pic:pic>
                  <pic:nvPicPr>
                    <pic:cNvPr id="834" name="image13.png"/>
                    <pic:cNvPicPr/>
                  </pic:nvPicPr>
                  <pic:blipFill>
                    <a:blip r:embed="rId18" cstate="print"/>
                    <a:stretch>
                      <a:fillRect/>
                    </a:stretch>
                  </pic:blipFill>
                  <pic:spPr>
                    <a:xfrm>
                      <a:off x="0" y="0"/>
                      <a:ext cx="136525" cy="155575"/>
                    </a:xfrm>
                    <a:prstGeom prst="rect">
                      <a:avLst/>
                    </a:prstGeom>
                  </pic:spPr>
                </pic:pic>
              </a:graphicData>
            </a:graphic>
          </wp:anchor>
        </w:drawing>
      </w:r>
      <w:r>
        <w:rPr/>
        <w:drawing>
          <wp:anchor distT="0" distB="0" distL="0" distR="0" allowOverlap="1" layoutInCell="1" locked="0" behindDoc="0" simplePos="0" relativeHeight="12448">
            <wp:simplePos x="0" y="0"/>
            <wp:positionH relativeFrom="page">
              <wp:posOffset>7958429</wp:posOffset>
            </wp:positionH>
            <wp:positionV relativeFrom="paragraph">
              <wp:posOffset>836598</wp:posOffset>
            </wp:positionV>
            <wp:extent cx="135953" cy="155575"/>
            <wp:effectExtent l="0" t="0" r="0" b="0"/>
            <wp:wrapNone/>
            <wp:docPr id="835" name="image15.png" descr=""/>
            <wp:cNvGraphicFramePr>
              <a:graphicFrameLocks noChangeAspect="1"/>
            </wp:cNvGraphicFramePr>
            <a:graphic>
              <a:graphicData uri="http://schemas.openxmlformats.org/drawingml/2006/picture">
                <pic:pic>
                  <pic:nvPicPr>
                    <pic:cNvPr id="836" name="image15.png"/>
                    <pic:cNvPicPr/>
                  </pic:nvPicPr>
                  <pic:blipFill>
                    <a:blip r:embed="rId20" cstate="print"/>
                    <a:stretch>
                      <a:fillRect/>
                    </a:stretch>
                  </pic:blipFill>
                  <pic:spPr>
                    <a:xfrm>
                      <a:off x="0" y="0"/>
                      <a:ext cx="135953" cy="155575"/>
                    </a:xfrm>
                    <a:prstGeom prst="rect">
                      <a:avLst/>
                    </a:prstGeom>
                  </pic:spPr>
                </pic:pic>
              </a:graphicData>
            </a:graphic>
          </wp:anchor>
        </w:drawing>
      </w:r>
      <w:r>
        <w:rPr/>
        <w:t>For loans and receivables, the amount of the loss is measured as the difference between the assets carrying amount and the present value of estimated future cash flows (excluding future credit losses that have not been incurred) discounted at the financial assets original effective interest rate. The carrying amount of the asset is reduced and the amount of the loss is recognised in the statement of comprehensive income. The loan has a variable interest rate, the discount</w:t>
      </w:r>
      <w:r>
        <w:rPr>
          <w:spacing w:val="-6"/>
        </w:rPr>
        <w:t> </w:t>
      </w:r>
      <w:r>
        <w:rPr/>
        <w:t>rate</w:t>
      </w:r>
      <w:r>
        <w:rPr>
          <w:spacing w:val="-6"/>
        </w:rPr>
        <w:t> </w:t>
      </w:r>
      <w:r>
        <w:rPr/>
        <w:t>for</w:t>
      </w:r>
      <w:r>
        <w:rPr>
          <w:spacing w:val="-6"/>
        </w:rPr>
        <w:t> </w:t>
      </w:r>
      <w:r>
        <w:rPr/>
        <w:t>measuring</w:t>
      </w:r>
      <w:r>
        <w:rPr>
          <w:spacing w:val="-6"/>
        </w:rPr>
        <w:t> </w:t>
      </w:r>
      <w:r>
        <w:rPr/>
        <w:t>any</w:t>
      </w:r>
      <w:r>
        <w:rPr>
          <w:spacing w:val="-6"/>
        </w:rPr>
        <w:t> </w:t>
      </w:r>
      <w:r>
        <w:rPr/>
        <w:t>impairment</w:t>
      </w:r>
      <w:r>
        <w:rPr>
          <w:spacing w:val="-6"/>
        </w:rPr>
        <w:t> </w:t>
      </w:r>
      <w:r>
        <w:rPr/>
        <w:t>loss</w:t>
      </w:r>
      <w:r>
        <w:rPr>
          <w:spacing w:val="-6"/>
        </w:rPr>
        <w:t> </w:t>
      </w:r>
      <w:r>
        <w:rPr/>
        <w:t>is</w:t>
      </w:r>
      <w:r>
        <w:rPr>
          <w:spacing w:val="-6"/>
        </w:rPr>
        <w:t> </w:t>
      </w:r>
      <w:r>
        <w:rPr/>
        <w:t>the</w:t>
      </w:r>
      <w:r>
        <w:rPr>
          <w:spacing w:val="-6"/>
        </w:rPr>
        <w:t> </w:t>
      </w:r>
      <w:r>
        <w:rPr/>
        <w:t>current</w:t>
      </w:r>
      <w:r>
        <w:rPr>
          <w:spacing w:val="-6"/>
        </w:rPr>
        <w:t> </w:t>
      </w:r>
      <w:r>
        <w:rPr/>
        <w:t>effective</w:t>
      </w:r>
      <w:r>
        <w:rPr>
          <w:spacing w:val="-6"/>
        </w:rPr>
        <w:t> </w:t>
      </w:r>
      <w:r>
        <w:rPr/>
        <w:t>interest</w:t>
      </w:r>
      <w:r>
        <w:rPr>
          <w:spacing w:val="-6"/>
        </w:rPr>
        <w:t> </w:t>
      </w:r>
      <w:r>
        <w:rPr/>
        <w:t>rate</w:t>
      </w:r>
      <w:r>
        <w:rPr>
          <w:spacing w:val="-6"/>
        </w:rPr>
        <w:t> </w:t>
      </w:r>
      <w:r>
        <w:rPr/>
        <w:t>determined</w:t>
      </w:r>
      <w:r>
        <w:rPr>
          <w:spacing w:val="-6"/>
        </w:rPr>
        <w:t> </w:t>
      </w:r>
      <w:r>
        <w:rPr/>
        <w:t>under</w:t>
      </w:r>
      <w:r>
        <w:rPr>
          <w:spacing w:val="-6"/>
        </w:rPr>
        <w:t> </w:t>
      </w:r>
      <w:r>
        <w:rPr/>
        <w:t>the</w:t>
      </w:r>
      <w:r>
        <w:rPr>
          <w:spacing w:val="-6"/>
        </w:rPr>
        <w:t> </w:t>
      </w:r>
      <w:r>
        <w:rPr/>
        <w:t>contract.</w:t>
      </w:r>
      <w:r>
        <w:rPr>
          <w:spacing w:val="-6"/>
        </w:rPr>
        <w:t> </w:t>
      </w:r>
      <w:r>
        <w:rPr/>
        <w:t>As a practical expedient, the Company may measure impairment on the basis of an instruments fair value using an observable market</w:t>
      </w:r>
      <w:r>
        <w:rPr>
          <w:spacing w:val="-23"/>
        </w:rPr>
        <w:t> </w:t>
      </w:r>
      <w:r>
        <w:rPr/>
        <w:t>price.</w:t>
      </w:r>
    </w:p>
    <w:p>
      <w:pPr>
        <w:pStyle w:val="BodyText"/>
        <w:spacing w:before="11"/>
        <w:rPr>
          <w:sz w:val="24"/>
        </w:rPr>
      </w:pPr>
    </w:p>
    <w:p>
      <w:pPr>
        <w:pStyle w:val="BodyText"/>
        <w:ind w:left="1852" w:right="1375"/>
      </w:pPr>
      <w:r>
        <w:rPr/>
        <w:t>If, in a subsequent period, the amount of the impairment loss decreases and the decrease can be related objectively to </w:t>
      </w:r>
      <w:bookmarkStart w:name="(h) Trade and other payables" w:id="325"/>
      <w:bookmarkEnd w:id="325"/>
      <w:r>
        <w:rPr/>
      </w:r>
      <w:r>
        <w:rPr/>
        <w:t>an event occurring after the impairment was recognised (such as an improvement in the debtor's credit rating), the reversal of the previously recognised impairment loss is recognised in the statement of comprehensive income.</w:t>
      </w:r>
    </w:p>
    <w:p>
      <w:pPr>
        <w:pStyle w:val="BodyText"/>
      </w:pPr>
    </w:p>
    <w:p>
      <w:pPr>
        <w:pStyle w:val="BodyText"/>
        <w:spacing w:before="10"/>
        <w:rPr>
          <w:sz w:val="24"/>
        </w:rPr>
      </w:pPr>
    </w:p>
    <w:p>
      <w:pPr>
        <w:pStyle w:val="Heading8"/>
        <w:numPr>
          <w:ilvl w:val="0"/>
          <w:numId w:val="69"/>
        </w:numPr>
        <w:tabs>
          <w:tab w:pos="1824" w:val="left" w:leader="none"/>
        </w:tabs>
        <w:spacing w:line="240" w:lineRule="auto" w:before="1" w:after="0"/>
        <w:ind w:left="1824" w:right="0" w:hanging="396"/>
        <w:jc w:val="left"/>
      </w:pPr>
      <w:r>
        <w:rPr/>
        <w:t>Trade and other</w:t>
      </w:r>
      <w:r>
        <w:rPr>
          <w:spacing w:val="-21"/>
        </w:rPr>
        <w:t> </w:t>
      </w:r>
      <w:r>
        <w:rPr/>
        <w:t>payables</w:t>
      </w:r>
    </w:p>
    <w:p>
      <w:pPr>
        <w:pStyle w:val="BodyText"/>
        <w:spacing w:before="11"/>
        <w:rPr>
          <w:b/>
          <w:sz w:val="24"/>
        </w:rPr>
      </w:pPr>
    </w:p>
    <w:p>
      <w:pPr>
        <w:pStyle w:val="BodyText"/>
        <w:ind w:left="1852" w:right="1375"/>
      </w:pPr>
      <w:bookmarkStart w:name="(i) Employee benefits" w:id="326"/>
      <w:bookmarkEnd w:id="326"/>
      <w:r>
        <w:rPr/>
      </w:r>
      <w:r>
        <w:rPr/>
        <w:t>These amounts represent liabilities for goods and services provided to the Company prior to the end of the financial period, which are unpaid. The amounts are unsecured and are usually paid within 30 days of recognition.</w:t>
      </w:r>
    </w:p>
    <w:p>
      <w:pPr>
        <w:pStyle w:val="BodyText"/>
        <w:spacing w:before="11"/>
        <w:rPr>
          <w:sz w:val="24"/>
        </w:rPr>
      </w:pPr>
    </w:p>
    <w:p>
      <w:pPr>
        <w:pStyle w:val="Heading8"/>
        <w:numPr>
          <w:ilvl w:val="0"/>
          <w:numId w:val="69"/>
        </w:numPr>
        <w:tabs>
          <w:tab w:pos="1824" w:val="left" w:leader="none"/>
        </w:tabs>
        <w:spacing w:line="240" w:lineRule="auto" w:before="0" w:after="0"/>
        <w:ind w:left="1824" w:right="0" w:hanging="396"/>
        <w:jc w:val="left"/>
      </w:pPr>
      <w:r>
        <w:rPr/>
        <w:t>Employee</w:t>
      </w:r>
      <w:r>
        <w:rPr>
          <w:spacing w:val="-16"/>
        </w:rPr>
        <w:t> </w:t>
      </w:r>
      <w:r>
        <w:rPr/>
        <w:t>benefits</w:t>
      </w:r>
    </w:p>
    <w:p>
      <w:pPr>
        <w:pStyle w:val="BodyText"/>
        <w:spacing w:before="11"/>
        <w:rPr>
          <w:b/>
          <w:sz w:val="24"/>
        </w:rPr>
      </w:pPr>
    </w:p>
    <w:p>
      <w:pPr>
        <w:pStyle w:val="BodyText"/>
        <w:ind w:left="1852" w:right="1375"/>
      </w:pPr>
      <w:r>
        <w:rPr/>
        <w:t>Provision is made for the UWS Early Learning Limited's liability for employee benefits arising from services rendered by employees to the end of the reporting period. Employee benefits that are expected to be settled within one year have been measured at the amounts expected to be paid when the liability is settled.</w:t>
      </w:r>
    </w:p>
    <w:p>
      <w:pPr>
        <w:pStyle w:val="BodyText"/>
        <w:spacing w:before="11"/>
        <w:rPr>
          <w:sz w:val="24"/>
        </w:rPr>
      </w:pPr>
    </w:p>
    <w:p>
      <w:pPr>
        <w:pStyle w:val="BodyText"/>
        <w:ind w:left="1852" w:right="1375"/>
      </w:pPr>
      <w:r>
        <w:rPr/>
        <w:t>Employee benefits expected to be settled more than twelve months after the end of the reporting period have been measured at the present value of the estimated future cash outflows to be made for those benefits. In determining the liability, consideration is given to employee wage increases and the probability that the employee may satisfy vesting requirements. Cashflows are discounted using market yields on national government bonds with terms to maturity that match the expected timing of cashflows. Changes in the measurement of the liability are recognised in the statement of comprehensive income.</w:t>
      </w:r>
    </w:p>
    <w:p>
      <w:pPr>
        <w:pStyle w:val="BodyText"/>
        <w:spacing w:before="11"/>
        <w:rPr>
          <w:sz w:val="24"/>
        </w:rPr>
      </w:pPr>
    </w:p>
    <w:p>
      <w:pPr>
        <w:pStyle w:val="BodyText"/>
        <w:ind w:left="1852" w:right="1375"/>
      </w:pPr>
      <w:r>
        <w:rPr/>
        <w:t>Employee benefits are presented as current liabilities in the statement of financial position if the UWS Early Learning Limited does not have an unconditional right to defer settlement of the liability for at least 12 months after the reporting date regardless of the classification of the liability for measurement purposes under AASB 119.</w:t>
      </w:r>
    </w:p>
    <w:p>
      <w:pPr>
        <w:spacing w:after="0"/>
        <w:sectPr>
          <w:pgSz w:w="12750" w:h="17680"/>
          <w:pgMar w:header="0" w:footer="927" w:top="3300" w:bottom="1120" w:left="0" w:right="0"/>
        </w:sectPr>
      </w:pPr>
    </w:p>
    <w:p>
      <w:pPr>
        <w:pStyle w:val="BodyText"/>
        <w:spacing w:before="7"/>
      </w:pPr>
    </w:p>
    <w:p>
      <w:pPr>
        <w:pStyle w:val="Heading8"/>
        <w:numPr>
          <w:ilvl w:val="0"/>
          <w:numId w:val="69"/>
        </w:numPr>
        <w:tabs>
          <w:tab w:pos="1824" w:val="left" w:leader="none"/>
        </w:tabs>
        <w:spacing w:line="240" w:lineRule="auto" w:before="77" w:after="0"/>
        <w:ind w:left="1824" w:right="0" w:hanging="396"/>
        <w:jc w:val="left"/>
      </w:pPr>
      <w:bookmarkStart w:name="(j) Goods and Services Tax (GST)" w:id="327"/>
      <w:bookmarkEnd w:id="327"/>
      <w:r>
        <w:rPr>
          <w:b w:val="0"/>
        </w:rPr>
      </w:r>
      <w:bookmarkStart w:name="(j) Goods and Services Tax (GST)" w:id="328"/>
      <w:bookmarkEnd w:id="328"/>
      <w:r>
        <w:rPr/>
        <w:t>Goods</w:t>
      </w:r>
      <w:r>
        <w:rPr/>
        <w:t> and Services Tax</w:t>
      </w:r>
      <w:r>
        <w:rPr>
          <w:spacing w:val="-5"/>
        </w:rPr>
        <w:t> </w:t>
      </w:r>
      <w:r>
        <w:rPr/>
        <w:t>(GST)</w:t>
      </w:r>
    </w:p>
    <w:p>
      <w:pPr>
        <w:pStyle w:val="BodyText"/>
        <w:spacing w:before="11"/>
        <w:rPr>
          <w:b/>
          <w:sz w:val="24"/>
        </w:rPr>
      </w:pPr>
    </w:p>
    <w:p>
      <w:pPr>
        <w:pStyle w:val="BodyText"/>
        <w:ind w:left="1852" w:right="1507"/>
        <w:jc w:val="both"/>
      </w:pPr>
      <w:r>
        <w:rPr/>
        <w:t>Revenues, expenses and assets are recognised net of the amount of associated GST, unless the GST incurred is not recoverable</w:t>
      </w:r>
      <w:r>
        <w:rPr>
          <w:spacing w:val="-5"/>
        </w:rPr>
        <w:t> </w:t>
      </w:r>
      <w:r>
        <w:rPr/>
        <w:t>from</w:t>
      </w:r>
      <w:r>
        <w:rPr>
          <w:spacing w:val="-5"/>
        </w:rPr>
        <w:t> </w:t>
      </w:r>
      <w:r>
        <w:rPr/>
        <w:t>the</w:t>
      </w:r>
      <w:r>
        <w:rPr>
          <w:spacing w:val="-5"/>
        </w:rPr>
        <w:t> </w:t>
      </w:r>
      <w:r>
        <w:rPr/>
        <w:t>taxation</w:t>
      </w:r>
      <w:r>
        <w:rPr>
          <w:spacing w:val="-5"/>
        </w:rPr>
        <w:t> </w:t>
      </w:r>
      <w:r>
        <w:rPr/>
        <w:t>authority.</w:t>
      </w:r>
      <w:r>
        <w:rPr>
          <w:spacing w:val="-5"/>
        </w:rPr>
        <w:t> </w:t>
      </w:r>
      <w:r>
        <w:rPr/>
        <w:t>In</w:t>
      </w:r>
      <w:r>
        <w:rPr>
          <w:spacing w:val="-5"/>
        </w:rPr>
        <w:t> </w:t>
      </w:r>
      <w:r>
        <w:rPr/>
        <w:t>this</w:t>
      </w:r>
      <w:r>
        <w:rPr>
          <w:spacing w:val="-5"/>
        </w:rPr>
        <w:t> </w:t>
      </w:r>
      <w:r>
        <w:rPr/>
        <w:t>case,</w:t>
      </w:r>
      <w:r>
        <w:rPr>
          <w:spacing w:val="-5"/>
        </w:rPr>
        <w:t> </w:t>
      </w:r>
      <w:r>
        <w:rPr/>
        <w:t>it</w:t>
      </w:r>
      <w:r>
        <w:rPr>
          <w:spacing w:val="-5"/>
        </w:rPr>
        <w:t> </w:t>
      </w:r>
      <w:r>
        <w:rPr/>
        <w:t>is</w:t>
      </w:r>
      <w:r>
        <w:rPr>
          <w:spacing w:val="-5"/>
        </w:rPr>
        <w:t> </w:t>
      </w:r>
      <w:r>
        <w:rPr/>
        <w:t>recognised</w:t>
      </w:r>
      <w:r>
        <w:rPr>
          <w:spacing w:val="-5"/>
        </w:rPr>
        <w:t> </w:t>
      </w:r>
      <w:r>
        <w:rPr/>
        <w:t>as</w:t>
      </w:r>
      <w:r>
        <w:rPr>
          <w:spacing w:val="-5"/>
        </w:rPr>
        <w:t> </w:t>
      </w:r>
      <w:r>
        <w:rPr/>
        <w:t>part</w:t>
      </w:r>
      <w:r>
        <w:rPr>
          <w:spacing w:val="-5"/>
        </w:rPr>
        <w:t> </w:t>
      </w:r>
      <w:r>
        <w:rPr/>
        <w:t>of</w:t>
      </w:r>
      <w:r>
        <w:rPr>
          <w:spacing w:val="-5"/>
        </w:rPr>
        <w:t> </w:t>
      </w:r>
      <w:r>
        <w:rPr/>
        <w:t>the</w:t>
      </w:r>
      <w:r>
        <w:rPr>
          <w:spacing w:val="-5"/>
        </w:rPr>
        <w:t> </w:t>
      </w:r>
      <w:r>
        <w:rPr/>
        <w:t>cost</w:t>
      </w:r>
      <w:r>
        <w:rPr>
          <w:spacing w:val="-5"/>
        </w:rPr>
        <w:t> </w:t>
      </w:r>
      <w:r>
        <w:rPr/>
        <w:t>of</w:t>
      </w:r>
      <w:r>
        <w:rPr>
          <w:spacing w:val="-5"/>
        </w:rPr>
        <w:t> </w:t>
      </w:r>
      <w:r>
        <w:rPr/>
        <w:t>acquisition</w:t>
      </w:r>
      <w:r>
        <w:rPr>
          <w:spacing w:val="-5"/>
        </w:rPr>
        <w:t> </w:t>
      </w:r>
      <w:r>
        <w:rPr/>
        <w:t>of</w:t>
      </w:r>
      <w:r>
        <w:rPr>
          <w:spacing w:val="-5"/>
        </w:rPr>
        <w:t> </w:t>
      </w:r>
      <w:r>
        <w:rPr/>
        <w:t>the</w:t>
      </w:r>
      <w:r>
        <w:rPr>
          <w:spacing w:val="-5"/>
        </w:rPr>
        <w:t> </w:t>
      </w:r>
      <w:r>
        <w:rPr/>
        <w:t>asset</w:t>
      </w:r>
      <w:r>
        <w:rPr>
          <w:spacing w:val="-5"/>
        </w:rPr>
        <w:t> </w:t>
      </w:r>
      <w:r>
        <w:rPr/>
        <w:t>or</w:t>
      </w:r>
      <w:r>
        <w:rPr>
          <w:spacing w:val="-5"/>
        </w:rPr>
        <w:t> </w:t>
      </w:r>
      <w:r>
        <w:rPr/>
        <w:t>as part of the</w:t>
      </w:r>
      <w:r>
        <w:rPr>
          <w:spacing w:val="-18"/>
        </w:rPr>
        <w:t> </w:t>
      </w:r>
      <w:r>
        <w:rPr/>
        <w:t>expense.</w:t>
      </w:r>
    </w:p>
    <w:p>
      <w:pPr>
        <w:pStyle w:val="BodyText"/>
        <w:spacing w:before="11"/>
        <w:rPr>
          <w:sz w:val="24"/>
        </w:rPr>
      </w:pPr>
    </w:p>
    <w:p>
      <w:pPr>
        <w:pStyle w:val="BodyText"/>
        <w:ind w:left="1852" w:right="1375"/>
      </w:pPr>
      <w:r>
        <w:rPr/>
        <w:t>Receivables and payables are stated inclusive of the amount of GST receivable or payable. The net amount of GST recoverable from, or payable to, the taxation authority is included with other receivables or payables in the statement of financial position.</w:t>
      </w:r>
    </w:p>
    <w:p>
      <w:pPr>
        <w:pStyle w:val="BodyText"/>
        <w:spacing w:before="11"/>
        <w:rPr>
          <w:sz w:val="24"/>
        </w:rPr>
      </w:pPr>
    </w:p>
    <w:p>
      <w:pPr>
        <w:pStyle w:val="BodyText"/>
        <w:ind w:left="1852" w:right="1375"/>
      </w:pPr>
      <w:bookmarkStart w:name="(k) New and Revised Accounting Standards" w:id="329"/>
      <w:bookmarkEnd w:id="329"/>
      <w:r>
        <w:rPr/>
      </w:r>
      <w:r>
        <w:rPr/>
        <w:t>Cash flows are presented on a gross basis. The GST components of cash flows arising from investing or financing activities which are recoverable from, or payable to, the taxation authority, are presented as operating cash flows.</w:t>
      </w:r>
    </w:p>
    <w:p>
      <w:pPr>
        <w:pStyle w:val="BodyText"/>
        <w:spacing w:before="11"/>
        <w:rPr>
          <w:sz w:val="24"/>
        </w:rPr>
      </w:pPr>
    </w:p>
    <w:p>
      <w:pPr>
        <w:pStyle w:val="Heading8"/>
        <w:numPr>
          <w:ilvl w:val="0"/>
          <w:numId w:val="69"/>
        </w:numPr>
        <w:tabs>
          <w:tab w:pos="1824" w:val="left" w:leader="none"/>
        </w:tabs>
        <w:spacing w:line="240" w:lineRule="auto" w:before="0" w:after="0"/>
        <w:ind w:left="1824" w:right="0" w:hanging="396"/>
        <w:jc w:val="left"/>
      </w:pPr>
      <w:r>
        <w:rPr/>
        <w:t>New and Revised Accounting</w:t>
      </w:r>
      <w:r>
        <w:rPr>
          <w:spacing w:val="-7"/>
        </w:rPr>
        <w:t> </w:t>
      </w:r>
      <w:r>
        <w:rPr/>
        <w:t>Standards</w:t>
      </w:r>
    </w:p>
    <w:p>
      <w:pPr>
        <w:pStyle w:val="BodyText"/>
        <w:spacing w:before="11"/>
        <w:rPr>
          <w:b/>
          <w:sz w:val="24"/>
        </w:rPr>
      </w:pPr>
    </w:p>
    <w:p>
      <w:pPr>
        <w:pStyle w:val="BodyText"/>
        <w:ind w:left="1852" w:right="1338"/>
      </w:pPr>
      <w:r>
        <w:rPr/>
        <w:drawing>
          <wp:anchor distT="0" distB="0" distL="0" distR="0" allowOverlap="1" layoutInCell="1" locked="0" behindDoc="0" simplePos="0" relativeHeight="12472">
            <wp:simplePos x="0" y="0"/>
            <wp:positionH relativeFrom="page">
              <wp:posOffset>-1587</wp:posOffset>
            </wp:positionH>
            <wp:positionV relativeFrom="paragraph">
              <wp:posOffset>1019478</wp:posOffset>
            </wp:positionV>
            <wp:extent cx="135159" cy="154019"/>
            <wp:effectExtent l="0" t="0" r="0" b="0"/>
            <wp:wrapNone/>
            <wp:docPr id="837" name="image13.png" descr=""/>
            <wp:cNvGraphicFramePr>
              <a:graphicFrameLocks noChangeAspect="1"/>
            </wp:cNvGraphicFramePr>
            <a:graphic>
              <a:graphicData uri="http://schemas.openxmlformats.org/drawingml/2006/picture">
                <pic:pic>
                  <pic:nvPicPr>
                    <pic:cNvPr id="838" name="image13.png"/>
                    <pic:cNvPicPr/>
                  </pic:nvPicPr>
                  <pic:blipFill>
                    <a:blip r:embed="rId18" cstate="print"/>
                    <a:stretch>
                      <a:fillRect/>
                    </a:stretch>
                  </pic:blipFill>
                  <pic:spPr>
                    <a:xfrm>
                      <a:off x="0" y="0"/>
                      <a:ext cx="135159" cy="154019"/>
                    </a:xfrm>
                    <a:prstGeom prst="rect">
                      <a:avLst/>
                    </a:prstGeom>
                  </pic:spPr>
                </pic:pic>
              </a:graphicData>
            </a:graphic>
          </wp:anchor>
        </w:drawing>
      </w:r>
      <w:r>
        <w:rPr/>
        <w:drawing>
          <wp:anchor distT="0" distB="0" distL="0" distR="0" allowOverlap="1" layoutInCell="1" locked="0" behindDoc="0" simplePos="0" relativeHeight="12496">
            <wp:simplePos x="0" y="0"/>
            <wp:positionH relativeFrom="page">
              <wp:posOffset>7958429</wp:posOffset>
            </wp:positionH>
            <wp:positionV relativeFrom="paragraph">
              <wp:posOffset>1019478</wp:posOffset>
            </wp:positionV>
            <wp:extent cx="135953" cy="155575"/>
            <wp:effectExtent l="0" t="0" r="0" b="0"/>
            <wp:wrapNone/>
            <wp:docPr id="839" name="image15.png" descr=""/>
            <wp:cNvGraphicFramePr>
              <a:graphicFrameLocks noChangeAspect="1"/>
            </wp:cNvGraphicFramePr>
            <a:graphic>
              <a:graphicData uri="http://schemas.openxmlformats.org/drawingml/2006/picture">
                <pic:pic>
                  <pic:nvPicPr>
                    <pic:cNvPr id="840" name="image15.png"/>
                    <pic:cNvPicPr/>
                  </pic:nvPicPr>
                  <pic:blipFill>
                    <a:blip r:embed="rId20" cstate="print"/>
                    <a:stretch>
                      <a:fillRect/>
                    </a:stretch>
                  </pic:blipFill>
                  <pic:spPr>
                    <a:xfrm>
                      <a:off x="0" y="0"/>
                      <a:ext cx="135953" cy="155575"/>
                    </a:xfrm>
                    <a:prstGeom prst="rect">
                      <a:avLst/>
                    </a:prstGeom>
                  </pic:spPr>
                </pic:pic>
              </a:graphicData>
            </a:graphic>
          </wp:anchor>
        </w:drawing>
      </w:r>
      <w:r>
        <w:rPr/>
        <w:t>Certain new accounting standards and Interpretations have been published that are not mandatory for 31 December 2016 reporting periods and have not yet been applied to the financial statements. The Company's assessment of the impact of these new standards and interpretations is that they will not materially affect any of the amounts recognised in the financial statements or significantly impact the disclosures in relation to the Company.</w:t>
      </w:r>
    </w:p>
    <w:p>
      <w:pPr>
        <w:spacing w:after="0"/>
        <w:sectPr>
          <w:pgSz w:w="12750" w:h="17680"/>
          <w:pgMar w:header="0" w:footer="927" w:top="3300" w:bottom="1120" w:left="0" w:right="0"/>
        </w:sectPr>
      </w:pPr>
    </w:p>
    <w:p>
      <w:pPr>
        <w:pStyle w:val="BodyText"/>
        <w:spacing w:before="8"/>
        <w:rPr>
          <w:rFonts w:ascii="Times New Roman"/>
        </w:rPr>
      </w:pPr>
      <w:r>
        <w:rPr/>
        <w:drawing>
          <wp:anchor distT="0" distB="0" distL="0" distR="0" allowOverlap="1" layoutInCell="1" locked="0" behindDoc="0" simplePos="0" relativeHeight="12520">
            <wp:simplePos x="0" y="0"/>
            <wp:positionH relativeFrom="page">
              <wp:posOffset>-1587</wp:posOffset>
            </wp:positionH>
            <wp:positionV relativeFrom="page">
              <wp:posOffset>5534342</wp:posOffset>
            </wp:positionV>
            <wp:extent cx="135159" cy="154019"/>
            <wp:effectExtent l="0" t="0" r="0" b="0"/>
            <wp:wrapNone/>
            <wp:docPr id="845" name="image13.png" descr=""/>
            <wp:cNvGraphicFramePr>
              <a:graphicFrameLocks noChangeAspect="1"/>
            </wp:cNvGraphicFramePr>
            <a:graphic>
              <a:graphicData uri="http://schemas.openxmlformats.org/drawingml/2006/picture">
                <pic:pic>
                  <pic:nvPicPr>
                    <pic:cNvPr id="846" name="image13.png"/>
                    <pic:cNvPicPr/>
                  </pic:nvPicPr>
                  <pic:blipFill>
                    <a:blip r:embed="rId18" cstate="print"/>
                    <a:stretch>
                      <a:fillRect/>
                    </a:stretch>
                  </pic:blipFill>
                  <pic:spPr>
                    <a:xfrm>
                      <a:off x="0" y="0"/>
                      <a:ext cx="135159" cy="154019"/>
                    </a:xfrm>
                    <a:prstGeom prst="rect">
                      <a:avLst/>
                    </a:prstGeom>
                  </pic:spPr>
                </pic:pic>
              </a:graphicData>
            </a:graphic>
          </wp:anchor>
        </w:drawing>
      </w:r>
      <w:r>
        <w:rPr/>
        <w:drawing>
          <wp:anchor distT="0" distB="0" distL="0" distR="0" allowOverlap="1" layoutInCell="1" locked="0" behindDoc="0" simplePos="0" relativeHeight="12544">
            <wp:simplePos x="0" y="0"/>
            <wp:positionH relativeFrom="page">
              <wp:posOffset>7958429</wp:posOffset>
            </wp:positionH>
            <wp:positionV relativeFrom="page">
              <wp:posOffset>5534342</wp:posOffset>
            </wp:positionV>
            <wp:extent cx="135953" cy="155575"/>
            <wp:effectExtent l="0" t="0" r="0" b="0"/>
            <wp:wrapNone/>
            <wp:docPr id="847" name="image15.png" descr=""/>
            <wp:cNvGraphicFramePr>
              <a:graphicFrameLocks noChangeAspect="1"/>
            </wp:cNvGraphicFramePr>
            <a:graphic>
              <a:graphicData uri="http://schemas.openxmlformats.org/drawingml/2006/picture">
                <pic:pic>
                  <pic:nvPicPr>
                    <pic:cNvPr id="848" name="image15.png"/>
                    <pic:cNvPicPr/>
                  </pic:nvPicPr>
                  <pic:blipFill>
                    <a:blip r:embed="rId20" cstate="print"/>
                    <a:stretch>
                      <a:fillRect/>
                    </a:stretch>
                  </pic:blipFill>
                  <pic:spPr>
                    <a:xfrm>
                      <a:off x="0" y="0"/>
                      <a:ext cx="135953" cy="155575"/>
                    </a:xfrm>
                    <a:prstGeom prst="rect">
                      <a:avLst/>
                    </a:prstGeom>
                  </pic:spPr>
                </pic:pic>
              </a:graphicData>
            </a:graphic>
          </wp:anchor>
        </w:drawing>
      </w:r>
    </w:p>
    <w:tbl>
      <w:tblPr>
        <w:tblW w:w="0" w:type="auto"/>
        <w:jc w:val="left"/>
        <w:tblInd w:w="139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83"/>
        <w:gridCol w:w="7074"/>
        <w:gridCol w:w="1459"/>
        <w:gridCol w:w="1136"/>
      </w:tblGrid>
      <w:tr>
        <w:trPr>
          <w:trHeight w:val="567" w:hRule="exact"/>
        </w:trPr>
        <w:tc>
          <w:tcPr>
            <w:tcW w:w="283" w:type="dxa"/>
          </w:tcPr>
          <w:p>
            <w:pPr>
              <w:pStyle w:val="TableParagraph"/>
              <w:spacing w:before="77"/>
              <w:ind w:left="35"/>
              <w:jc w:val="left"/>
              <w:rPr>
                <w:b/>
                <w:sz w:val="18"/>
              </w:rPr>
            </w:pPr>
            <w:bookmarkStart w:name="2 Revenue" w:id="330"/>
            <w:bookmarkEnd w:id="330"/>
            <w:r>
              <w:rPr/>
            </w:r>
            <w:r>
              <w:rPr>
                <w:b/>
                <w:w w:val="99"/>
                <w:sz w:val="18"/>
              </w:rPr>
              <w:t>2</w:t>
            </w:r>
          </w:p>
        </w:tc>
        <w:tc>
          <w:tcPr>
            <w:tcW w:w="7074" w:type="dxa"/>
          </w:tcPr>
          <w:p>
            <w:pPr>
              <w:pStyle w:val="TableParagraph"/>
              <w:spacing w:before="77"/>
              <w:ind w:left="147"/>
              <w:jc w:val="left"/>
              <w:rPr>
                <w:b/>
                <w:sz w:val="18"/>
              </w:rPr>
            </w:pPr>
            <w:r>
              <w:rPr>
                <w:b/>
                <w:sz w:val="18"/>
              </w:rPr>
              <w:t>Revenue</w:t>
            </w:r>
          </w:p>
        </w:tc>
        <w:tc>
          <w:tcPr>
            <w:tcW w:w="1459" w:type="dxa"/>
          </w:tcPr>
          <w:p>
            <w:pPr>
              <w:pStyle w:val="TableParagraph"/>
              <w:jc w:val="left"/>
              <w:rPr>
                <w:rFonts w:ascii="Times New Roman"/>
                <w:sz w:val="18"/>
              </w:rPr>
            </w:pPr>
          </w:p>
          <w:p>
            <w:pPr>
              <w:pStyle w:val="TableParagraph"/>
              <w:spacing w:before="110"/>
              <w:ind w:left="471"/>
              <w:jc w:val="left"/>
              <w:rPr>
                <w:b/>
                <w:sz w:val="18"/>
              </w:rPr>
            </w:pPr>
            <w:r>
              <w:rPr>
                <w:b/>
                <w:sz w:val="18"/>
              </w:rPr>
              <w:t>2016</w:t>
            </w:r>
          </w:p>
        </w:tc>
        <w:tc>
          <w:tcPr>
            <w:tcW w:w="1136" w:type="dxa"/>
          </w:tcPr>
          <w:p>
            <w:pPr>
              <w:pStyle w:val="TableParagraph"/>
              <w:jc w:val="left"/>
              <w:rPr>
                <w:rFonts w:ascii="Times New Roman"/>
                <w:sz w:val="18"/>
              </w:rPr>
            </w:pPr>
          </w:p>
          <w:p>
            <w:pPr>
              <w:pStyle w:val="TableParagraph"/>
              <w:spacing w:before="110"/>
              <w:ind w:left="295"/>
              <w:jc w:val="left"/>
              <w:rPr>
                <w:b/>
                <w:sz w:val="18"/>
              </w:rPr>
            </w:pPr>
            <w:r>
              <w:rPr>
                <w:b/>
                <w:sz w:val="18"/>
              </w:rPr>
              <w:t>2015</w:t>
            </w:r>
          </w:p>
        </w:tc>
      </w:tr>
      <w:tr>
        <w:trPr>
          <w:trHeight w:val="313" w:hRule="exact"/>
        </w:trPr>
        <w:tc>
          <w:tcPr>
            <w:tcW w:w="283" w:type="dxa"/>
          </w:tcPr>
          <w:p>
            <w:pPr/>
          </w:p>
        </w:tc>
        <w:tc>
          <w:tcPr>
            <w:tcW w:w="7074" w:type="dxa"/>
          </w:tcPr>
          <w:p>
            <w:pPr/>
          </w:p>
        </w:tc>
        <w:tc>
          <w:tcPr>
            <w:tcW w:w="1459" w:type="dxa"/>
          </w:tcPr>
          <w:p>
            <w:pPr>
              <w:pStyle w:val="TableParagraph"/>
              <w:spacing w:before="24"/>
              <w:ind w:right="113"/>
              <w:jc w:val="center"/>
              <w:rPr>
                <w:b/>
                <w:sz w:val="18"/>
              </w:rPr>
            </w:pPr>
            <w:r>
              <w:rPr>
                <w:b/>
                <w:w w:val="99"/>
                <w:sz w:val="18"/>
              </w:rPr>
              <w:t>$</w:t>
            </w:r>
          </w:p>
        </w:tc>
        <w:tc>
          <w:tcPr>
            <w:tcW w:w="1136" w:type="dxa"/>
          </w:tcPr>
          <w:p>
            <w:pPr>
              <w:pStyle w:val="TableParagraph"/>
              <w:spacing w:before="24"/>
              <w:ind w:right="142"/>
              <w:jc w:val="center"/>
              <w:rPr>
                <w:b/>
                <w:sz w:val="18"/>
              </w:rPr>
            </w:pPr>
            <w:r>
              <w:rPr>
                <w:b/>
                <w:w w:val="99"/>
                <w:sz w:val="18"/>
              </w:rPr>
              <w:t>$</w:t>
            </w:r>
          </w:p>
        </w:tc>
      </w:tr>
      <w:tr>
        <w:trPr>
          <w:trHeight w:val="543" w:hRule="exact"/>
        </w:trPr>
        <w:tc>
          <w:tcPr>
            <w:tcW w:w="283" w:type="dxa"/>
          </w:tcPr>
          <w:p>
            <w:pPr/>
          </w:p>
        </w:tc>
        <w:tc>
          <w:tcPr>
            <w:tcW w:w="7074" w:type="dxa"/>
          </w:tcPr>
          <w:p>
            <w:pPr>
              <w:pStyle w:val="TableParagraph"/>
              <w:spacing w:before="63"/>
              <w:ind w:left="192"/>
              <w:jc w:val="left"/>
              <w:rPr>
                <w:b/>
                <w:sz w:val="18"/>
              </w:rPr>
            </w:pPr>
            <w:r>
              <w:rPr>
                <w:b/>
                <w:sz w:val="18"/>
              </w:rPr>
              <w:t>Child care services</w:t>
            </w:r>
          </w:p>
          <w:p>
            <w:pPr>
              <w:pStyle w:val="TableParagraph"/>
              <w:spacing w:before="27"/>
              <w:ind w:left="548"/>
              <w:jc w:val="left"/>
              <w:rPr>
                <w:sz w:val="18"/>
              </w:rPr>
            </w:pPr>
            <w:r>
              <w:rPr>
                <w:sz w:val="18"/>
              </w:rPr>
              <w:t>Family fee income</w:t>
            </w:r>
          </w:p>
        </w:tc>
        <w:tc>
          <w:tcPr>
            <w:tcW w:w="1459" w:type="dxa"/>
          </w:tcPr>
          <w:p>
            <w:pPr>
              <w:pStyle w:val="TableParagraph"/>
              <w:spacing w:before="11"/>
              <w:jc w:val="left"/>
              <w:rPr>
                <w:rFonts w:ascii="Times New Roman"/>
                <w:sz w:val="25"/>
              </w:rPr>
            </w:pPr>
          </w:p>
          <w:p>
            <w:pPr>
              <w:pStyle w:val="TableParagraph"/>
              <w:ind w:right="246"/>
              <w:rPr>
                <w:b/>
                <w:sz w:val="18"/>
              </w:rPr>
            </w:pPr>
            <w:r>
              <w:rPr>
                <w:b/>
                <w:w w:val="95"/>
                <w:sz w:val="18"/>
              </w:rPr>
              <w:t>3,178,328</w:t>
            </w:r>
          </w:p>
        </w:tc>
        <w:tc>
          <w:tcPr>
            <w:tcW w:w="1136" w:type="dxa"/>
          </w:tcPr>
          <w:p>
            <w:pPr>
              <w:pStyle w:val="TableParagraph"/>
              <w:spacing w:before="11"/>
              <w:jc w:val="left"/>
              <w:rPr>
                <w:rFonts w:ascii="Times New Roman"/>
                <w:sz w:val="25"/>
              </w:rPr>
            </w:pPr>
          </w:p>
          <w:p>
            <w:pPr>
              <w:pStyle w:val="TableParagraph"/>
              <w:ind w:right="86"/>
              <w:rPr>
                <w:sz w:val="18"/>
              </w:rPr>
            </w:pPr>
            <w:r>
              <w:rPr>
                <w:w w:val="95"/>
                <w:sz w:val="18"/>
              </w:rPr>
              <w:t>2,890,223</w:t>
            </w:r>
          </w:p>
        </w:tc>
      </w:tr>
      <w:tr>
        <w:trPr>
          <w:trHeight w:val="264" w:hRule="exact"/>
        </w:trPr>
        <w:tc>
          <w:tcPr>
            <w:tcW w:w="283" w:type="dxa"/>
          </w:tcPr>
          <w:p>
            <w:pPr/>
          </w:p>
        </w:tc>
        <w:tc>
          <w:tcPr>
            <w:tcW w:w="7074" w:type="dxa"/>
          </w:tcPr>
          <w:p>
            <w:pPr>
              <w:pStyle w:val="TableParagraph"/>
              <w:spacing w:before="18"/>
              <w:ind w:left="548"/>
              <w:jc w:val="left"/>
              <w:rPr>
                <w:sz w:val="18"/>
              </w:rPr>
            </w:pPr>
            <w:r>
              <w:rPr>
                <w:sz w:val="18"/>
              </w:rPr>
              <w:t>Australian Government Childcare Benefits</w:t>
            </w:r>
          </w:p>
        </w:tc>
        <w:tc>
          <w:tcPr>
            <w:tcW w:w="1459" w:type="dxa"/>
          </w:tcPr>
          <w:p>
            <w:pPr>
              <w:pStyle w:val="TableParagraph"/>
              <w:spacing w:before="19"/>
              <w:ind w:right="246"/>
              <w:rPr>
                <w:b/>
                <w:sz w:val="18"/>
              </w:rPr>
            </w:pPr>
            <w:r>
              <w:rPr>
                <w:b/>
                <w:w w:val="95"/>
                <w:sz w:val="18"/>
              </w:rPr>
              <w:t>2,705,330</w:t>
            </w:r>
          </w:p>
        </w:tc>
        <w:tc>
          <w:tcPr>
            <w:tcW w:w="1136" w:type="dxa"/>
          </w:tcPr>
          <w:p>
            <w:pPr>
              <w:pStyle w:val="TableParagraph"/>
              <w:spacing w:before="19"/>
              <w:ind w:right="86"/>
              <w:rPr>
                <w:sz w:val="18"/>
              </w:rPr>
            </w:pPr>
            <w:r>
              <w:rPr>
                <w:w w:val="95"/>
                <w:sz w:val="18"/>
              </w:rPr>
              <w:t>2,532,803</w:t>
            </w:r>
          </w:p>
        </w:tc>
      </w:tr>
      <w:tr>
        <w:trPr>
          <w:trHeight w:val="263" w:hRule="exact"/>
        </w:trPr>
        <w:tc>
          <w:tcPr>
            <w:tcW w:w="283" w:type="dxa"/>
          </w:tcPr>
          <w:p>
            <w:pPr/>
          </w:p>
        </w:tc>
        <w:tc>
          <w:tcPr>
            <w:tcW w:w="7074" w:type="dxa"/>
          </w:tcPr>
          <w:p>
            <w:pPr>
              <w:pStyle w:val="TableParagraph"/>
              <w:spacing w:before="18"/>
              <w:ind w:left="548"/>
              <w:jc w:val="left"/>
              <w:rPr>
                <w:sz w:val="18"/>
              </w:rPr>
            </w:pPr>
            <w:r>
              <w:rPr>
                <w:sz w:val="18"/>
              </w:rPr>
              <w:t>Subsidies</w:t>
            </w:r>
          </w:p>
        </w:tc>
        <w:tc>
          <w:tcPr>
            <w:tcW w:w="1459" w:type="dxa"/>
            <w:tcBorders>
              <w:bottom w:val="single" w:sz="0" w:space="0" w:color="000000"/>
            </w:tcBorders>
          </w:tcPr>
          <w:p>
            <w:pPr>
              <w:pStyle w:val="TableParagraph"/>
              <w:spacing w:before="19"/>
              <w:ind w:right="246"/>
              <w:rPr>
                <w:b/>
                <w:sz w:val="18"/>
              </w:rPr>
            </w:pPr>
            <w:r>
              <w:rPr>
                <w:b/>
                <w:w w:val="95"/>
                <w:sz w:val="18"/>
              </w:rPr>
              <w:t>514,158</w:t>
            </w:r>
          </w:p>
        </w:tc>
        <w:tc>
          <w:tcPr>
            <w:tcW w:w="1136" w:type="dxa"/>
            <w:tcBorders>
              <w:bottom w:val="single" w:sz="0" w:space="0" w:color="000000"/>
            </w:tcBorders>
          </w:tcPr>
          <w:p>
            <w:pPr>
              <w:pStyle w:val="TableParagraph"/>
              <w:spacing w:before="19"/>
              <w:ind w:right="86"/>
              <w:rPr>
                <w:sz w:val="18"/>
              </w:rPr>
            </w:pPr>
            <w:r>
              <w:rPr>
                <w:w w:val="95"/>
                <w:sz w:val="18"/>
              </w:rPr>
              <w:t>587,342</w:t>
            </w:r>
          </w:p>
        </w:tc>
      </w:tr>
      <w:tr>
        <w:trPr>
          <w:trHeight w:val="338" w:hRule="exact"/>
        </w:trPr>
        <w:tc>
          <w:tcPr>
            <w:tcW w:w="283" w:type="dxa"/>
          </w:tcPr>
          <w:p>
            <w:pPr/>
          </w:p>
        </w:tc>
        <w:tc>
          <w:tcPr>
            <w:tcW w:w="7074" w:type="dxa"/>
          </w:tcPr>
          <w:p>
            <w:pPr>
              <w:pStyle w:val="TableParagraph"/>
              <w:spacing w:before="123"/>
              <w:ind w:left="192"/>
              <w:jc w:val="left"/>
              <w:rPr>
                <w:b/>
                <w:sz w:val="18"/>
              </w:rPr>
            </w:pPr>
            <w:r>
              <w:rPr>
                <w:b/>
                <w:sz w:val="18"/>
              </w:rPr>
              <w:t>Total child care services</w:t>
            </w:r>
          </w:p>
        </w:tc>
        <w:tc>
          <w:tcPr>
            <w:tcW w:w="1459" w:type="dxa"/>
            <w:tcBorders>
              <w:top w:val="single" w:sz="0" w:space="0" w:color="000000"/>
              <w:bottom w:val="single" w:sz="0" w:space="0" w:color="000000"/>
            </w:tcBorders>
          </w:tcPr>
          <w:p>
            <w:pPr>
              <w:pStyle w:val="TableParagraph"/>
              <w:spacing w:before="122"/>
              <w:ind w:right="246"/>
              <w:rPr>
                <w:b/>
                <w:sz w:val="18"/>
              </w:rPr>
            </w:pPr>
            <w:r>
              <w:rPr>
                <w:b/>
                <w:w w:val="95"/>
                <w:sz w:val="18"/>
              </w:rPr>
              <w:t>6,397,816</w:t>
            </w:r>
          </w:p>
        </w:tc>
        <w:tc>
          <w:tcPr>
            <w:tcW w:w="1136" w:type="dxa"/>
            <w:tcBorders>
              <w:top w:val="single" w:sz="0" w:space="0" w:color="000000"/>
              <w:bottom w:val="single" w:sz="0" w:space="0" w:color="000000"/>
            </w:tcBorders>
          </w:tcPr>
          <w:p>
            <w:pPr>
              <w:pStyle w:val="TableParagraph"/>
              <w:spacing w:before="122"/>
              <w:ind w:right="86"/>
              <w:rPr>
                <w:sz w:val="18"/>
              </w:rPr>
            </w:pPr>
            <w:r>
              <w:rPr>
                <w:w w:val="95"/>
                <w:sz w:val="18"/>
              </w:rPr>
              <w:t>6,010,368</w:t>
            </w:r>
          </w:p>
        </w:tc>
      </w:tr>
      <w:tr>
        <w:trPr>
          <w:trHeight w:val="922" w:hRule="exact"/>
        </w:trPr>
        <w:tc>
          <w:tcPr>
            <w:tcW w:w="283" w:type="dxa"/>
          </w:tcPr>
          <w:p>
            <w:pPr/>
          </w:p>
        </w:tc>
        <w:tc>
          <w:tcPr>
            <w:tcW w:w="7074" w:type="dxa"/>
          </w:tcPr>
          <w:p>
            <w:pPr>
              <w:pStyle w:val="TableParagraph"/>
              <w:jc w:val="left"/>
              <w:rPr>
                <w:rFonts w:ascii="Times New Roman"/>
                <w:sz w:val="18"/>
              </w:rPr>
            </w:pPr>
          </w:p>
          <w:p>
            <w:pPr>
              <w:pStyle w:val="TableParagraph"/>
              <w:spacing w:before="5"/>
              <w:jc w:val="left"/>
              <w:rPr>
                <w:rFonts w:ascii="Times New Roman"/>
                <w:sz w:val="20"/>
              </w:rPr>
            </w:pPr>
          </w:p>
          <w:p>
            <w:pPr>
              <w:pStyle w:val="TableParagraph"/>
              <w:ind w:left="192"/>
              <w:jc w:val="left"/>
              <w:rPr>
                <w:b/>
                <w:sz w:val="18"/>
              </w:rPr>
            </w:pPr>
            <w:r>
              <w:rPr>
                <w:b/>
                <w:sz w:val="18"/>
              </w:rPr>
              <w:t>Other revenue</w:t>
            </w:r>
          </w:p>
          <w:p>
            <w:pPr>
              <w:pStyle w:val="TableParagraph"/>
              <w:spacing w:before="27"/>
              <w:ind w:left="548"/>
              <w:jc w:val="left"/>
              <w:rPr>
                <w:sz w:val="18"/>
              </w:rPr>
            </w:pPr>
            <w:r>
              <w:rPr>
                <w:sz w:val="18"/>
              </w:rPr>
              <w:t>Australian Government Traineeship Funding</w:t>
            </w:r>
          </w:p>
        </w:tc>
        <w:tc>
          <w:tcPr>
            <w:tcW w:w="1459" w:type="dxa"/>
            <w:tcBorders>
              <w:top w:val="single" w:sz="0" w:space="0" w:color="000000"/>
            </w:tcBorders>
          </w:tcPr>
          <w:p>
            <w:pPr>
              <w:pStyle w:val="TableParagraph"/>
              <w:jc w:val="left"/>
              <w:rPr>
                <w:rFonts w:ascii="Times New Roman"/>
                <w:sz w:val="18"/>
              </w:rPr>
            </w:pPr>
          </w:p>
          <w:p>
            <w:pPr>
              <w:pStyle w:val="TableParagraph"/>
              <w:jc w:val="left"/>
              <w:rPr>
                <w:rFonts w:ascii="Times New Roman"/>
                <w:sz w:val="18"/>
              </w:rPr>
            </w:pPr>
          </w:p>
          <w:p>
            <w:pPr>
              <w:pStyle w:val="TableParagraph"/>
              <w:spacing w:before="10"/>
              <w:jc w:val="left"/>
              <w:rPr>
                <w:rFonts w:ascii="Times New Roman"/>
                <w:sz w:val="22"/>
              </w:rPr>
            </w:pPr>
          </w:p>
          <w:p>
            <w:pPr>
              <w:pStyle w:val="TableParagraph"/>
              <w:ind w:right="249"/>
              <w:rPr>
                <w:b/>
                <w:sz w:val="18"/>
              </w:rPr>
            </w:pPr>
            <w:r>
              <w:rPr>
                <w:b/>
                <w:w w:val="95"/>
                <w:sz w:val="18"/>
              </w:rPr>
              <w:t>13,864</w:t>
            </w:r>
          </w:p>
        </w:tc>
        <w:tc>
          <w:tcPr>
            <w:tcW w:w="1136" w:type="dxa"/>
            <w:tcBorders>
              <w:top w:val="single" w:sz="0" w:space="0" w:color="000000"/>
            </w:tcBorders>
          </w:tcPr>
          <w:p>
            <w:pPr>
              <w:pStyle w:val="TableParagraph"/>
              <w:jc w:val="left"/>
              <w:rPr>
                <w:rFonts w:ascii="Times New Roman"/>
                <w:sz w:val="18"/>
              </w:rPr>
            </w:pPr>
          </w:p>
          <w:p>
            <w:pPr>
              <w:pStyle w:val="TableParagraph"/>
              <w:jc w:val="left"/>
              <w:rPr>
                <w:rFonts w:ascii="Times New Roman"/>
                <w:sz w:val="18"/>
              </w:rPr>
            </w:pPr>
          </w:p>
          <w:p>
            <w:pPr>
              <w:pStyle w:val="TableParagraph"/>
              <w:spacing w:before="10"/>
              <w:jc w:val="left"/>
              <w:rPr>
                <w:rFonts w:ascii="Times New Roman"/>
                <w:sz w:val="22"/>
              </w:rPr>
            </w:pPr>
          </w:p>
          <w:p>
            <w:pPr>
              <w:pStyle w:val="TableParagraph"/>
              <w:ind w:right="85"/>
              <w:rPr>
                <w:sz w:val="18"/>
              </w:rPr>
            </w:pPr>
            <w:r>
              <w:rPr>
                <w:w w:val="95"/>
                <w:sz w:val="18"/>
              </w:rPr>
              <w:t>37,100</w:t>
            </w:r>
          </w:p>
        </w:tc>
      </w:tr>
      <w:tr>
        <w:trPr>
          <w:trHeight w:val="264" w:hRule="exact"/>
        </w:trPr>
        <w:tc>
          <w:tcPr>
            <w:tcW w:w="283" w:type="dxa"/>
          </w:tcPr>
          <w:p>
            <w:pPr/>
          </w:p>
        </w:tc>
        <w:tc>
          <w:tcPr>
            <w:tcW w:w="7074" w:type="dxa"/>
          </w:tcPr>
          <w:p>
            <w:pPr>
              <w:pStyle w:val="TableParagraph"/>
              <w:spacing w:before="18"/>
              <w:ind w:left="548"/>
              <w:jc w:val="left"/>
              <w:rPr>
                <w:sz w:val="18"/>
              </w:rPr>
            </w:pPr>
            <w:r>
              <w:rPr>
                <w:sz w:val="18"/>
              </w:rPr>
              <w:t>Long Day Care Development Grants</w:t>
            </w:r>
          </w:p>
        </w:tc>
        <w:tc>
          <w:tcPr>
            <w:tcW w:w="1459" w:type="dxa"/>
          </w:tcPr>
          <w:p>
            <w:pPr>
              <w:pStyle w:val="TableParagraph"/>
              <w:spacing w:before="19"/>
              <w:ind w:right="249"/>
              <w:rPr>
                <w:b/>
                <w:sz w:val="18"/>
              </w:rPr>
            </w:pPr>
            <w:r>
              <w:rPr>
                <w:b/>
                <w:w w:val="95"/>
                <w:sz w:val="18"/>
              </w:rPr>
              <w:t>98,318</w:t>
            </w:r>
          </w:p>
        </w:tc>
        <w:tc>
          <w:tcPr>
            <w:tcW w:w="1136" w:type="dxa"/>
          </w:tcPr>
          <w:p>
            <w:pPr>
              <w:pStyle w:val="TableParagraph"/>
              <w:spacing w:before="19"/>
              <w:ind w:right="85"/>
              <w:rPr>
                <w:sz w:val="18"/>
              </w:rPr>
            </w:pPr>
            <w:r>
              <w:rPr>
                <w:w w:val="95"/>
                <w:sz w:val="18"/>
              </w:rPr>
              <w:t>113,546</w:t>
            </w:r>
          </w:p>
        </w:tc>
      </w:tr>
      <w:tr>
        <w:trPr>
          <w:trHeight w:val="263" w:hRule="exact"/>
        </w:trPr>
        <w:tc>
          <w:tcPr>
            <w:tcW w:w="283" w:type="dxa"/>
          </w:tcPr>
          <w:p>
            <w:pPr/>
          </w:p>
        </w:tc>
        <w:tc>
          <w:tcPr>
            <w:tcW w:w="7074" w:type="dxa"/>
          </w:tcPr>
          <w:p>
            <w:pPr>
              <w:pStyle w:val="TableParagraph"/>
              <w:spacing w:before="18"/>
              <w:ind w:left="548"/>
              <w:jc w:val="left"/>
              <w:rPr>
                <w:sz w:val="18"/>
              </w:rPr>
            </w:pPr>
            <w:bookmarkStart w:name="Expenses" w:id="331"/>
            <w:bookmarkEnd w:id="331"/>
            <w:r>
              <w:rPr/>
            </w:r>
            <w:r>
              <w:rPr>
                <w:sz w:val="18"/>
              </w:rPr>
              <w:t>Other Income</w:t>
            </w:r>
          </w:p>
        </w:tc>
        <w:tc>
          <w:tcPr>
            <w:tcW w:w="1459" w:type="dxa"/>
            <w:tcBorders>
              <w:bottom w:val="single" w:sz="0" w:space="0" w:color="000000"/>
            </w:tcBorders>
          </w:tcPr>
          <w:p>
            <w:pPr>
              <w:pStyle w:val="TableParagraph"/>
              <w:spacing w:before="19"/>
              <w:ind w:right="249"/>
              <w:rPr>
                <w:b/>
                <w:sz w:val="18"/>
              </w:rPr>
            </w:pPr>
            <w:r>
              <w:rPr>
                <w:b/>
                <w:w w:val="95"/>
                <w:sz w:val="18"/>
              </w:rPr>
              <w:t>11,102</w:t>
            </w:r>
          </w:p>
        </w:tc>
        <w:tc>
          <w:tcPr>
            <w:tcW w:w="1136" w:type="dxa"/>
            <w:tcBorders>
              <w:bottom w:val="single" w:sz="0" w:space="0" w:color="000000"/>
            </w:tcBorders>
          </w:tcPr>
          <w:p>
            <w:pPr>
              <w:pStyle w:val="TableParagraph"/>
              <w:spacing w:before="19"/>
              <w:ind w:right="85"/>
              <w:rPr>
                <w:sz w:val="18"/>
              </w:rPr>
            </w:pPr>
            <w:r>
              <w:rPr>
                <w:w w:val="95"/>
                <w:sz w:val="18"/>
              </w:rPr>
              <w:t>12,095</w:t>
            </w:r>
          </w:p>
        </w:tc>
      </w:tr>
      <w:tr>
        <w:trPr>
          <w:trHeight w:val="338" w:hRule="exact"/>
        </w:trPr>
        <w:tc>
          <w:tcPr>
            <w:tcW w:w="283" w:type="dxa"/>
          </w:tcPr>
          <w:p>
            <w:pPr/>
          </w:p>
        </w:tc>
        <w:tc>
          <w:tcPr>
            <w:tcW w:w="7074" w:type="dxa"/>
          </w:tcPr>
          <w:p>
            <w:pPr>
              <w:pStyle w:val="TableParagraph"/>
              <w:spacing w:before="123"/>
              <w:ind w:left="192"/>
              <w:jc w:val="left"/>
              <w:rPr>
                <w:b/>
                <w:sz w:val="18"/>
              </w:rPr>
            </w:pPr>
            <w:r>
              <w:rPr>
                <w:b/>
                <w:sz w:val="18"/>
              </w:rPr>
              <w:t>Total other revenue</w:t>
            </w:r>
          </w:p>
        </w:tc>
        <w:tc>
          <w:tcPr>
            <w:tcW w:w="1459" w:type="dxa"/>
            <w:tcBorders>
              <w:top w:val="single" w:sz="0" w:space="0" w:color="000000"/>
              <w:bottom w:val="single" w:sz="0" w:space="0" w:color="000000"/>
            </w:tcBorders>
          </w:tcPr>
          <w:p>
            <w:pPr>
              <w:pStyle w:val="TableParagraph"/>
              <w:spacing w:before="122"/>
              <w:ind w:right="249"/>
              <w:rPr>
                <w:b/>
                <w:sz w:val="18"/>
              </w:rPr>
            </w:pPr>
            <w:r>
              <w:rPr>
                <w:b/>
                <w:w w:val="95"/>
                <w:sz w:val="18"/>
              </w:rPr>
              <w:t>123,284</w:t>
            </w:r>
          </w:p>
        </w:tc>
        <w:tc>
          <w:tcPr>
            <w:tcW w:w="1136" w:type="dxa"/>
            <w:tcBorders>
              <w:top w:val="single" w:sz="0" w:space="0" w:color="000000"/>
              <w:bottom w:val="single" w:sz="0" w:space="0" w:color="000000"/>
            </w:tcBorders>
          </w:tcPr>
          <w:p>
            <w:pPr>
              <w:pStyle w:val="TableParagraph"/>
              <w:spacing w:before="122"/>
              <w:ind w:right="85"/>
              <w:rPr>
                <w:sz w:val="18"/>
              </w:rPr>
            </w:pPr>
            <w:r>
              <w:rPr>
                <w:w w:val="95"/>
                <w:sz w:val="18"/>
              </w:rPr>
              <w:t>162,741</w:t>
            </w:r>
          </w:p>
        </w:tc>
      </w:tr>
      <w:tr>
        <w:trPr>
          <w:trHeight w:val="1080" w:hRule="exact"/>
        </w:trPr>
        <w:tc>
          <w:tcPr>
            <w:tcW w:w="283" w:type="dxa"/>
          </w:tcPr>
          <w:p>
            <w:pPr>
              <w:pStyle w:val="TableParagraph"/>
              <w:jc w:val="left"/>
              <w:rPr>
                <w:rFonts w:ascii="Times New Roman"/>
                <w:sz w:val="18"/>
              </w:rPr>
            </w:pPr>
          </w:p>
          <w:p>
            <w:pPr>
              <w:pStyle w:val="TableParagraph"/>
              <w:jc w:val="left"/>
              <w:rPr>
                <w:rFonts w:ascii="Times New Roman"/>
                <w:sz w:val="18"/>
              </w:rPr>
            </w:pPr>
          </w:p>
          <w:p>
            <w:pPr>
              <w:pStyle w:val="TableParagraph"/>
              <w:jc w:val="left"/>
              <w:rPr>
                <w:rFonts w:ascii="Times New Roman"/>
                <w:sz w:val="18"/>
              </w:rPr>
            </w:pPr>
          </w:p>
          <w:p>
            <w:pPr>
              <w:pStyle w:val="TableParagraph"/>
              <w:spacing w:before="11"/>
              <w:jc w:val="left"/>
              <w:rPr>
                <w:rFonts w:ascii="Times New Roman"/>
                <w:sz w:val="14"/>
              </w:rPr>
            </w:pPr>
          </w:p>
          <w:p>
            <w:pPr>
              <w:pStyle w:val="TableParagraph"/>
              <w:ind w:left="35"/>
              <w:jc w:val="left"/>
              <w:rPr>
                <w:b/>
                <w:sz w:val="18"/>
              </w:rPr>
            </w:pPr>
            <w:r>
              <w:rPr>
                <w:b/>
                <w:w w:val="99"/>
                <w:sz w:val="18"/>
              </w:rPr>
              <w:t>3</w:t>
            </w:r>
          </w:p>
        </w:tc>
        <w:tc>
          <w:tcPr>
            <w:tcW w:w="7074" w:type="dxa"/>
          </w:tcPr>
          <w:p>
            <w:pPr>
              <w:pStyle w:val="TableParagraph"/>
              <w:jc w:val="left"/>
              <w:rPr>
                <w:rFonts w:ascii="Times New Roman"/>
                <w:sz w:val="18"/>
              </w:rPr>
            </w:pPr>
          </w:p>
          <w:p>
            <w:pPr>
              <w:pStyle w:val="TableParagraph"/>
              <w:jc w:val="left"/>
              <w:rPr>
                <w:rFonts w:ascii="Times New Roman"/>
                <w:sz w:val="18"/>
              </w:rPr>
            </w:pPr>
          </w:p>
          <w:p>
            <w:pPr>
              <w:pStyle w:val="TableParagraph"/>
              <w:jc w:val="left"/>
              <w:rPr>
                <w:rFonts w:ascii="Times New Roman"/>
                <w:sz w:val="18"/>
              </w:rPr>
            </w:pPr>
          </w:p>
          <w:p>
            <w:pPr>
              <w:pStyle w:val="TableParagraph"/>
              <w:spacing w:before="11"/>
              <w:jc w:val="left"/>
              <w:rPr>
                <w:rFonts w:ascii="Times New Roman"/>
                <w:sz w:val="14"/>
              </w:rPr>
            </w:pPr>
          </w:p>
          <w:p>
            <w:pPr>
              <w:pStyle w:val="TableParagraph"/>
              <w:ind w:left="147"/>
              <w:jc w:val="left"/>
              <w:rPr>
                <w:b/>
                <w:sz w:val="18"/>
              </w:rPr>
            </w:pPr>
            <w:r>
              <w:rPr>
                <w:b/>
                <w:sz w:val="18"/>
              </w:rPr>
              <w:t>Expenses</w:t>
            </w:r>
          </w:p>
        </w:tc>
        <w:tc>
          <w:tcPr>
            <w:tcW w:w="1459" w:type="dxa"/>
            <w:tcBorders>
              <w:top w:val="single" w:sz="0" w:space="0" w:color="000000"/>
            </w:tcBorders>
          </w:tcPr>
          <w:p>
            <w:pPr/>
          </w:p>
        </w:tc>
        <w:tc>
          <w:tcPr>
            <w:tcW w:w="1136" w:type="dxa"/>
            <w:tcBorders>
              <w:top w:val="single" w:sz="0" w:space="0" w:color="000000"/>
            </w:tcBorders>
          </w:tcPr>
          <w:p>
            <w:pPr/>
          </w:p>
        </w:tc>
      </w:tr>
      <w:tr>
        <w:trPr>
          <w:trHeight w:val="294" w:hRule="exact"/>
        </w:trPr>
        <w:tc>
          <w:tcPr>
            <w:tcW w:w="283" w:type="dxa"/>
          </w:tcPr>
          <w:p>
            <w:pPr/>
          </w:p>
        </w:tc>
        <w:tc>
          <w:tcPr>
            <w:tcW w:w="7074" w:type="dxa"/>
          </w:tcPr>
          <w:p>
            <w:pPr>
              <w:pStyle w:val="TableParagraph"/>
              <w:spacing w:before="61"/>
              <w:ind w:left="176"/>
              <w:jc w:val="left"/>
              <w:rPr>
                <w:sz w:val="18"/>
              </w:rPr>
            </w:pPr>
            <w:r>
              <w:rPr>
                <w:sz w:val="18"/>
              </w:rPr>
              <w:t>The result for the year includes the following specific expenses:</w:t>
            </w:r>
          </w:p>
        </w:tc>
        <w:tc>
          <w:tcPr>
            <w:tcW w:w="1459" w:type="dxa"/>
          </w:tcPr>
          <w:p>
            <w:pPr/>
          </w:p>
        </w:tc>
        <w:tc>
          <w:tcPr>
            <w:tcW w:w="1136" w:type="dxa"/>
          </w:tcPr>
          <w:p>
            <w:pPr/>
          </w:p>
        </w:tc>
      </w:tr>
      <w:tr>
        <w:trPr>
          <w:trHeight w:val="257" w:hRule="exact"/>
        </w:trPr>
        <w:tc>
          <w:tcPr>
            <w:tcW w:w="283" w:type="dxa"/>
          </w:tcPr>
          <w:p>
            <w:pPr/>
          </w:p>
        </w:tc>
        <w:tc>
          <w:tcPr>
            <w:tcW w:w="7074" w:type="dxa"/>
          </w:tcPr>
          <w:p>
            <w:pPr/>
          </w:p>
        </w:tc>
        <w:tc>
          <w:tcPr>
            <w:tcW w:w="1459" w:type="dxa"/>
          </w:tcPr>
          <w:p>
            <w:pPr>
              <w:pStyle w:val="TableParagraph"/>
              <w:spacing w:before="7"/>
              <w:ind w:left="471"/>
              <w:jc w:val="left"/>
              <w:rPr>
                <w:b/>
                <w:sz w:val="18"/>
              </w:rPr>
            </w:pPr>
            <w:r>
              <w:rPr>
                <w:b/>
                <w:sz w:val="18"/>
              </w:rPr>
              <w:t>2016</w:t>
            </w:r>
          </w:p>
        </w:tc>
        <w:tc>
          <w:tcPr>
            <w:tcW w:w="1136" w:type="dxa"/>
          </w:tcPr>
          <w:p>
            <w:pPr>
              <w:pStyle w:val="TableParagraph"/>
              <w:spacing w:before="7"/>
              <w:ind w:left="295"/>
              <w:jc w:val="left"/>
              <w:rPr>
                <w:b/>
                <w:sz w:val="18"/>
              </w:rPr>
            </w:pPr>
            <w:r>
              <w:rPr>
                <w:b/>
                <w:sz w:val="18"/>
              </w:rPr>
              <w:t>2015</w:t>
            </w:r>
          </w:p>
        </w:tc>
      </w:tr>
      <w:tr>
        <w:trPr>
          <w:trHeight w:val="313" w:hRule="exact"/>
        </w:trPr>
        <w:tc>
          <w:tcPr>
            <w:tcW w:w="283" w:type="dxa"/>
          </w:tcPr>
          <w:p>
            <w:pPr/>
          </w:p>
        </w:tc>
        <w:tc>
          <w:tcPr>
            <w:tcW w:w="7074" w:type="dxa"/>
          </w:tcPr>
          <w:p>
            <w:pPr/>
          </w:p>
        </w:tc>
        <w:tc>
          <w:tcPr>
            <w:tcW w:w="1459" w:type="dxa"/>
          </w:tcPr>
          <w:p>
            <w:pPr>
              <w:pStyle w:val="TableParagraph"/>
              <w:spacing w:before="24"/>
              <w:ind w:right="12"/>
              <w:jc w:val="center"/>
              <w:rPr>
                <w:b/>
                <w:sz w:val="18"/>
              </w:rPr>
            </w:pPr>
            <w:r>
              <w:rPr>
                <w:b/>
                <w:w w:val="99"/>
                <w:sz w:val="18"/>
              </w:rPr>
              <w:t>$</w:t>
            </w:r>
          </w:p>
        </w:tc>
        <w:tc>
          <w:tcPr>
            <w:tcW w:w="1136" w:type="dxa"/>
          </w:tcPr>
          <w:p>
            <w:pPr>
              <w:pStyle w:val="TableParagraph"/>
              <w:spacing w:before="24"/>
              <w:ind w:right="41"/>
              <w:jc w:val="center"/>
              <w:rPr>
                <w:b/>
                <w:sz w:val="18"/>
              </w:rPr>
            </w:pPr>
            <w:r>
              <w:rPr>
                <w:b/>
                <w:w w:val="99"/>
                <w:sz w:val="18"/>
              </w:rPr>
              <w:t>$</w:t>
            </w:r>
          </w:p>
        </w:tc>
      </w:tr>
      <w:tr>
        <w:trPr>
          <w:trHeight w:val="294" w:hRule="exact"/>
        </w:trPr>
        <w:tc>
          <w:tcPr>
            <w:tcW w:w="283" w:type="dxa"/>
          </w:tcPr>
          <w:p>
            <w:pPr/>
          </w:p>
        </w:tc>
        <w:tc>
          <w:tcPr>
            <w:tcW w:w="7074" w:type="dxa"/>
          </w:tcPr>
          <w:p>
            <w:pPr>
              <w:pStyle w:val="TableParagraph"/>
              <w:spacing w:before="63"/>
              <w:ind w:left="192"/>
              <w:jc w:val="left"/>
              <w:rPr>
                <w:b/>
                <w:sz w:val="18"/>
              </w:rPr>
            </w:pPr>
            <w:r>
              <w:rPr>
                <w:b/>
                <w:sz w:val="18"/>
              </w:rPr>
              <w:t>Employee benefits expense</w:t>
            </w:r>
          </w:p>
        </w:tc>
        <w:tc>
          <w:tcPr>
            <w:tcW w:w="1459" w:type="dxa"/>
          </w:tcPr>
          <w:p>
            <w:pPr/>
          </w:p>
        </w:tc>
        <w:tc>
          <w:tcPr>
            <w:tcW w:w="1136" w:type="dxa"/>
          </w:tcPr>
          <w:p>
            <w:pPr/>
          </w:p>
        </w:tc>
      </w:tr>
      <w:tr>
        <w:trPr>
          <w:trHeight w:val="250" w:hRule="exact"/>
        </w:trPr>
        <w:tc>
          <w:tcPr>
            <w:tcW w:w="283" w:type="dxa"/>
          </w:tcPr>
          <w:p>
            <w:pPr/>
          </w:p>
        </w:tc>
        <w:tc>
          <w:tcPr>
            <w:tcW w:w="7074" w:type="dxa"/>
          </w:tcPr>
          <w:p>
            <w:pPr>
              <w:pStyle w:val="TableParagraph"/>
              <w:spacing w:before="6"/>
              <w:ind w:left="548"/>
              <w:jc w:val="left"/>
              <w:rPr>
                <w:sz w:val="18"/>
              </w:rPr>
            </w:pPr>
            <w:r>
              <w:rPr>
                <w:sz w:val="18"/>
              </w:rPr>
              <w:t>Salaries and Wages</w:t>
            </w:r>
          </w:p>
        </w:tc>
        <w:tc>
          <w:tcPr>
            <w:tcW w:w="1459" w:type="dxa"/>
          </w:tcPr>
          <w:p>
            <w:pPr>
              <w:pStyle w:val="TableParagraph"/>
              <w:spacing w:before="4"/>
              <w:ind w:right="246"/>
              <w:rPr>
                <w:b/>
                <w:sz w:val="18"/>
              </w:rPr>
            </w:pPr>
            <w:r>
              <w:rPr>
                <w:b/>
                <w:w w:val="95"/>
                <w:sz w:val="18"/>
              </w:rPr>
              <w:t>4,954,641</w:t>
            </w:r>
          </w:p>
        </w:tc>
        <w:tc>
          <w:tcPr>
            <w:tcW w:w="1136" w:type="dxa"/>
          </w:tcPr>
          <w:p>
            <w:pPr>
              <w:pStyle w:val="TableParagraph"/>
              <w:spacing w:before="4"/>
              <w:ind w:right="86"/>
              <w:rPr>
                <w:sz w:val="18"/>
              </w:rPr>
            </w:pPr>
            <w:r>
              <w:rPr>
                <w:w w:val="95"/>
                <w:sz w:val="18"/>
              </w:rPr>
              <w:t>4,777,730</w:t>
            </w:r>
          </w:p>
        </w:tc>
      </w:tr>
      <w:tr>
        <w:trPr>
          <w:trHeight w:val="264" w:hRule="exact"/>
        </w:trPr>
        <w:tc>
          <w:tcPr>
            <w:tcW w:w="283" w:type="dxa"/>
          </w:tcPr>
          <w:p>
            <w:pPr/>
          </w:p>
        </w:tc>
        <w:tc>
          <w:tcPr>
            <w:tcW w:w="7074" w:type="dxa"/>
          </w:tcPr>
          <w:p>
            <w:pPr>
              <w:pStyle w:val="TableParagraph"/>
              <w:spacing w:before="19"/>
              <w:ind w:left="548"/>
              <w:jc w:val="left"/>
              <w:rPr>
                <w:sz w:val="18"/>
              </w:rPr>
            </w:pPr>
            <w:r>
              <w:rPr>
                <w:sz w:val="18"/>
              </w:rPr>
              <w:t>Superannuation Expense</w:t>
            </w:r>
          </w:p>
        </w:tc>
        <w:tc>
          <w:tcPr>
            <w:tcW w:w="1459" w:type="dxa"/>
          </w:tcPr>
          <w:p>
            <w:pPr>
              <w:pStyle w:val="TableParagraph"/>
              <w:spacing w:before="18"/>
              <w:ind w:right="246"/>
              <w:rPr>
                <w:b/>
                <w:sz w:val="18"/>
              </w:rPr>
            </w:pPr>
            <w:r>
              <w:rPr>
                <w:b/>
                <w:w w:val="95"/>
                <w:sz w:val="18"/>
              </w:rPr>
              <w:t>407,725</w:t>
            </w:r>
          </w:p>
        </w:tc>
        <w:tc>
          <w:tcPr>
            <w:tcW w:w="1136" w:type="dxa"/>
          </w:tcPr>
          <w:p>
            <w:pPr>
              <w:pStyle w:val="TableParagraph"/>
              <w:spacing w:before="18"/>
              <w:ind w:right="86"/>
              <w:rPr>
                <w:sz w:val="18"/>
              </w:rPr>
            </w:pPr>
            <w:r>
              <w:rPr>
                <w:w w:val="95"/>
                <w:sz w:val="18"/>
              </w:rPr>
              <w:t>414,596</w:t>
            </w:r>
          </w:p>
        </w:tc>
      </w:tr>
      <w:tr>
        <w:trPr>
          <w:trHeight w:val="264" w:hRule="exact"/>
        </w:trPr>
        <w:tc>
          <w:tcPr>
            <w:tcW w:w="283" w:type="dxa"/>
          </w:tcPr>
          <w:p>
            <w:pPr/>
          </w:p>
        </w:tc>
        <w:tc>
          <w:tcPr>
            <w:tcW w:w="7074" w:type="dxa"/>
          </w:tcPr>
          <w:p>
            <w:pPr>
              <w:pStyle w:val="TableParagraph"/>
              <w:spacing w:before="19"/>
              <w:ind w:left="548"/>
              <w:jc w:val="left"/>
              <w:rPr>
                <w:sz w:val="18"/>
              </w:rPr>
            </w:pPr>
            <w:r>
              <w:rPr>
                <w:sz w:val="18"/>
              </w:rPr>
              <w:t>Annual and Long Service Leave</w:t>
            </w:r>
          </w:p>
        </w:tc>
        <w:tc>
          <w:tcPr>
            <w:tcW w:w="1459" w:type="dxa"/>
          </w:tcPr>
          <w:p>
            <w:pPr>
              <w:pStyle w:val="TableParagraph"/>
              <w:spacing w:before="18"/>
              <w:ind w:right="246"/>
              <w:rPr>
                <w:b/>
                <w:sz w:val="18"/>
              </w:rPr>
            </w:pPr>
            <w:r>
              <w:rPr>
                <w:b/>
                <w:w w:val="95"/>
                <w:sz w:val="18"/>
              </w:rPr>
              <w:t>101,920</w:t>
            </w:r>
          </w:p>
        </w:tc>
        <w:tc>
          <w:tcPr>
            <w:tcW w:w="1136" w:type="dxa"/>
          </w:tcPr>
          <w:p>
            <w:pPr>
              <w:pStyle w:val="TableParagraph"/>
              <w:spacing w:before="18"/>
              <w:ind w:right="86"/>
              <w:rPr>
                <w:sz w:val="18"/>
              </w:rPr>
            </w:pPr>
            <w:r>
              <w:rPr>
                <w:w w:val="95"/>
                <w:sz w:val="18"/>
              </w:rPr>
              <w:t>72,745</w:t>
            </w:r>
          </w:p>
        </w:tc>
      </w:tr>
      <w:tr>
        <w:trPr>
          <w:trHeight w:val="264" w:hRule="exact"/>
        </w:trPr>
        <w:tc>
          <w:tcPr>
            <w:tcW w:w="283" w:type="dxa"/>
          </w:tcPr>
          <w:p>
            <w:pPr/>
          </w:p>
        </w:tc>
        <w:tc>
          <w:tcPr>
            <w:tcW w:w="7074" w:type="dxa"/>
          </w:tcPr>
          <w:p>
            <w:pPr>
              <w:pStyle w:val="TableParagraph"/>
              <w:spacing w:before="19"/>
              <w:ind w:left="548"/>
              <w:jc w:val="left"/>
              <w:rPr>
                <w:sz w:val="18"/>
              </w:rPr>
            </w:pPr>
            <w:r>
              <w:rPr>
                <w:sz w:val="18"/>
              </w:rPr>
              <w:t>Worker's Compensation</w:t>
            </w:r>
          </w:p>
        </w:tc>
        <w:tc>
          <w:tcPr>
            <w:tcW w:w="1459" w:type="dxa"/>
          </w:tcPr>
          <w:p>
            <w:pPr>
              <w:pStyle w:val="TableParagraph"/>
              <w:spacing w:before="18"/>
              <w:ind w:right="246"/>
              <w:rPr>
                <w:b/>
                <w:sz w:val="18"/>
              </w:rPr>
            </w:pPr>
            <w:r>
              <w:rPr>
                <w:b/>
                <w:w w:val="95"/>
                <w:sz w:val="18"/>
              </w:rPr>
              <w:t>77,460</w:t>
            </w:r>
          </w:p>
        </w:tc>
        <w:tc>
          <w:tcPr>
            <w:tcW w:w="1136" w:type="dxa"/>
          </w:tcPr>
          <w:p>
            <w:pPr>
              <w:pStyle w:val="TableParagraph"/>
              <w:spacing w:before="18"/>
              <w:ind w:right="86"/>
              <w:rPr>
                <w:sz w:val="18"/>
              </w:rPr>
            </w:pPr>
            <w:r>
              <w:rPr>
                <w:w w:val="95"/>
                <w:sz w:val="18"/>
              </w:rPr>
              <w:t>64,928</w:t>
            </w:r>
          </w:p>
        </w:tc>
      </w:tr>
      <w:tr>
        <w:trPr>
          <w:trHeight w:val="262" w:hRule="exact"/>
        </w:trPr>
        <w:tc>
          <w:tcPr>
            <w:tcW w:w="283" w:type="dxa"/>
          </w:tcPr>
          <w:p>
            <w:pPr/>
          </w:p>
        </w:tc>
        <w:tc>
          <w:tcPr>
            <w:tcW w:w="7074" w:type="dxa"/>
          </w:tcPr>
          <w:p>
            <w:pPr>
              <w:pStyle w:val="TableParagraph"/>
              <w:spacing w:before="19"/>
              <w:ind w:left="548"/>
              <w:jc w:val="left"/>
              <w:rPr>
                <w:sz w:val="18"/>
              </w:rPr>
            </w:pPr>
            <w:r>
              <w:rPr>
                <w:sz w:val="18"/>
              </w:rPr>
              <w:t>Other</w:t>
            </w:r>
          </w:p>
        </w:tc>
        <w:tc>
          <w:tcPr>
            <w:tcW w:w="1459" w:type="dxa"/>
            <w:tcBorders>
              <w:bottom w:val="single" w:sz="0" w:space="0" w:color="000000"/>
            </w:tcBorders>
          </w:tcPr>
          <w:p>
            <w:pPr>
              <w:pStyle w:val="TableParagraph"/>
              <w:spacing w:before="18"/>
              <w:ind w:right="246"/>
              <w:rPr>
                <w:b/>
                <w:sz w:val="18"/>
              </w:rPr>
            </w:pPr>
            <w:r>
              <w:rPr>
                <w:b/>
                <w:sz w:val="18"/>
              </w:rPr>
              <w:t>9,734</w:t>
            </w:r>
          </w:p>
        </w:tc>
        <w:tc>
          <w:tcPr>
            <w:tcW w:w="1136" w:type="dxa"/>
            <w:tcBorders>
              <w:bottom w:val="single" w:sz="0" w:space="0" w:color="000000"/>
            </w:tcBorders>
          </w:tcPr>
          <w:p>
            <w:pPr>
              <w:pStyle w:val="TableParagraph"/>
              <w:spacing w:before="18"/>
              <w:ind w:right="86"/>
              <w:rPr>
                <w:sz w:val="18"/>
              </w:rPr>
            </w:pPr>
            <w:r>
              <w:rPr>
                <w:sz w:val="18"/>
              </w:rPr>
              <w:t>3,352</w:t>
            </w:r>
          </w:p>
        </w:tc>
      </w:tr>
      <w:tr>
        <w:trPr>
          <w:trHeight w:val="353" w:hRule="exact"/>
        </w:trPr>
        <w:tc>
          <w:tcPr>
            <w:tcW w:w="283" w:type="dxa"/>
          </w:tcPr>
          <w:p>
            <w:pPr/>
          </w:p>
        </w:tc>
        <w:tc>
          <w:tcPr>
            <w:tcW w:w="7074" w:type="dxa"/>
          </w:tcPr>
          <w:p>
            <w:pPr>
              <w:pStyle w:val="TableParagraph"/>
              <w:spacing w:before="123"/>
              <w:ind w:left="192"/>
              <w:jc w:val="left"/>
              <w:rPr>
                <w:b/>
                <w:sz w:val="18"/>
              </w:rPr>
            </w:pPr>
            <w:r>
              <w:rPr>
                <w:b/>
                <w:sz w:val="18"/>
              </w:rPr>
              <w:t>Total employee benefit expense</w:t>
            </w:r>
          </w:p>
        </w:tc>
        <w:tc>
          <w:tcPr>
            <w:tcW w:w="1459" w:type="dxa"/>
            <w:tcBorders>
              <w:top w:val="single" w:sz="0" w:space="0" w:color="000000"/>
              <w:bottom w:val="single" w:sz="0" w:space="0" w:color="000000"/>
            </w:tcBorders>
          </w:tcPr>
          <w:p>
            <w:pPr>
              <w:pStyle w:val="TableParagraph"/>
              <w:spacing w:before="122"/>
              <w:ind w:right="246"/>
              <w:rPr>
                <w:b/>
                <w:sz w:val="18"/>
              </w:rPr>
            </w:pPr>
            <w:r>
              <w:rPr>
                <w:b/>
                <w:w w:val="95"/>
                <w:sz w:val="18"/>
              </w:rPr>
              <w:t>5,551,480</w:t>
            </w:r>
          </w:p>
        </w:tc>
        <w:tc>
          <w:tcPr>
            <w:tcW w:w="1136" w:type="dxa"/>
            <w:tcBorders>
              <w:top w:val="single" w:sz="0" w:space="0" w:color="000000"/>
              <w:bottom w:val="single" w:sz="0" w:space="0" w:color="000000"/>
            </w:tcBorders>
          </w:tcPr>
          <w:p>
            <w:pPr>
              <w:pStyle w:val="TableParagraph"/>
              <w:spacing w:before="122"/>
              <w:ind w:right="86"/>
              <w:rPr>
                <w:sz w:val="18"/>
              </w:rPr>
            </w:pPr>
            <w:r>
              <w:rPr>
                <w:w w:val="95"/>
                <w:sz w:val="18"/>
              </w:rPr>
              <w:t>5,333,351</w:t>
            </w:r>
          </w:p>
        </w:tc>
      </w:tr>
      <w:tr>
        <w:trPr>
          <w:trHeight w:val="707" w:hRule="exact"/>
        </w:trPr>
        <w:tc>
          <w:tcPr>
            <w:tcW w:w="283" w:type="dxa"/>
          </w:tcPr>
          <w:p>
            <w:pPr/>
          </w:p>
        </w:tc>
        <w:tc>
          <w:tcPr>
            <w:tcW w:w="7074" w:type="dxa"/>
          </w:tcPr>
          <w:p>
            <w:pPr>
              <w:pStyle w:val="TableParagraph"/>
              <w:jc w:val="left"/>
              <w:rPr>
                <w:rFonts w:ascii="Times New Roman"/>
                <w:sz w:val="18"/>
              </w:rPr>
            </w:pPr>
          </w:p>
          <w:p>
            <w:pPr>
              <w:pStyle w:val="TableParagraph"/>
              <w:spacing w:before="5"/>
              <w:jc w:val="left"/>
              <w:rPr>
                <w:rFonts w:ascii="Times New Roman"/>
                <w:sz w:val="23"/>
              </w:rPr>
            </w:pPr>
          </w:p>
          <w:p>
            <w:pPr>
              <w:pStyle w:val="TableParagraph"/>
              <w:ind w:left="147"/>
              <w:jc w:val="left"/>
              <w:rPr>
                <w:b/>
                <w:sz w:val="18"/>
              </w:rPr>
            </w:pPr>
            <w:r>
              <w:rPr>
                <w:b/>
                <w:sz w:val="18"/>
              </w:rPr>
              <w:t>Other expenses</w:t>
            </w:r>
          </w:p>
        </w:tc>
        <w:tc>
          <w:tcPr>
            <w:tcW w:w="1459" w:type="dxa"/>
            <w:tcBorders>
              <w:top w:val="single" w:sz="0" w:space="0" w:color="000000"/>
            </w:tcBorders>
          </w:tcPr>
          <w:p>
            <w:pPr/>
          </w:p>
        </w:tc>
        <w:tc>
          <w:tcPr>
            <w:tcW w:w="1136" w:type="dxa"/>
            <w:tcBorders>
              <w:top w:val="single" w:sz="0" w:space="0" w:color="000000"/>
            </w:tcBorders>
          </w:tcPr>
          <w:p>
            <w:pPr/>
          </w:p>
        </w:tc>
      </w:tr>
      <w:tr>
        <w:trPr>
          <w:trHeight w:val="250" w:hRule="exact"/>
        </w:trPr>
        <w:tc>
          <w:tcPr>
            <w:tcW w:w="283" w:type="dxa"/>
          </w:tcPr>
          <w:p>
            <w:pPr/>
          </w:p>
        </w:tc>
        <w:tc>
          <w:tcPr>
            <w:tcW w:w="7074" w:type="dxa"/>
          </w:tcPr>
          <w:p>
            <w:pPr>
              <w:pStyle w:val="TableParagraph"/>
              <w:spacing w:before="6"/>
              <w:ind w:left="504"/>
              <w:jc w:val="left"/>
              <w:rPr>
                <w:sz w:val="18"/>
              </w:rPr>
            </w:pPr>
            <w:r>
              <w:rPr>
                <w:sz w:val="18"/>
              </w:rPr>
              <w:t>Catering</w:t>
            </w:r>
          </w:p>
        </w:tc>
        <w:tc>
          <w:tcPr>
            <w:tcW w:w="1459" w:type="dxa"/>
          </w:tcPr>
          <w:p>
            <w:pPr>
              <w:pStyle w:val="TableParagraph"/>
              <w:spacing w:before="4"/>
              <w:ind w:right="248"/>
              <w:rPr>
                <w:b/>
                <w:sz w:val="18"/>
              </w:rPr>
            </w:pPr>
            <w:r>
              <w:rPr>
                <w:b/>
                <w:w w:val="95"/>
                <w:sz w:val="18"/>
              </w:rPr>
              <w:t>153,679</w:t>
            </w:r>
          </w:p>
        </w:tc>
        <w:tc>
          <w:tcPr>
            <w:tcW w:w="1136" w:type="dxa"/>
          </w:tcPr>
          <w:p>
            <w:pPr>
              <w:pStyle w:val="TableParagraph"/>
              <w:spacing w:before="4"/>
              <w:ind w:right="86"/>
              <w:rPr>
                <w:sz w:val="18"/>
              </w:rPr>
            </w:pPr>
            <w:r>
              <w:rPr>
                <w:w w:val="95"/>
                <w:sz w:val="18"/>
              </w:rPr>
              <w:t>169,814</w:t>
            </w:r>
          </w:p>
        </w:tc>
      </w:tr>
      <w:tr>
        <w:trPr>
          <w:trHeight w:val="264" w:hRule="exact"/>
        </w:trPr>
        <w:tc>
          <w:tcPr>
            <w:tcW w:w="283" w:type="dxa"/>
          </w:tcPr>
          <w:p>
            <w:pPr/>
          </w:p>
        </w:tc>
        <w:tc>
          <w:tcPr>
            <w:tcW w:w="7074" w:type="dxa"/>
          </w:tcPr>
          <w:p>
            <w:pPr>
              <w:pStyle w:val="TableParagraph"/>
              <w:spacing w:before="19"/>
              <w:ind w:left="504"/>
              <w:jc w:val="left"/>
              <w:rPr>
                <w:sz w:val="18"/>
              </w:rPr>
            </w:pPr>
            <w:r>
              <w:rPr>
                <w:sz w:val="18"/>
              </w:rPr>
              <w:t>Cleaning</w:t>
            </w:r>
          </w:p>
        </w:tc>
        <w:tc>
          <w:tcPr>
            <w:tcW w:w="1459" w:type="dxa"/>
          </w:tcPr>
          <w:p>
            <w:pPr>
              <w:pStyle w:val="TableParagraph"/>
              <w:spacing w:before="18"/>
              <w:ind w:right="248"/>
              <w:rPr>
                <w:b/>
                <w:sz w:val="18"/>
              </w:rPr>
            </w:pPr>
            <w:r>
              <w:rPr>
                <w:b/>
                <w:w w:val="95"/>
                <w:sz w:val="18"/>
              </w:rPr>
              <w:t>151,442</w:t>
            </w:r>
          </w:p>
        </w:tc>
        <w:tc>
          <w:tcPr>
            <w:tcW w:w="1136" w:type="dxa"/>
          </w:tcPr>
          <w:p>
            <w:pPr>
              <w:pStyle w:val="TableParagraph"/>
              <w:spacing w:before="18"/>
              <w:ind w:right="86"/>
              <w:rPr>
                <w:sz w:val="18"/>
              </w:rPr>
            </w:pPr>
            <w:r>
              <w:rPr>
                <w:w w:val="95"/>
                <w:sz w:val="18"/>
              </w:rPr>
              <w:t>157,131</w:t>
            </w:r>
          </w:p>
        </w:tc>
      </w:tr>
      <w:tr>
        <w:trPr>
          <w:trHeight w:val="264" w:hRule="exact"/>
        </w:trPr>
        <w:tc>
          <w:tcPr>
            <w:tcW w:w="283" w:type="dxa"/>
          </w:tcPr>
          <w:p>
            <w:pPr/>
          </w:p>
        </w:tc>
        <w:tc>
          <w:tcPr>
            <w:tcW w:w="7074" w:type="dxa"/>
          </w:tcPr>
          <w:p>
            <w:pPr>
              <w:pStyle w:val="TableParagraph"/>
              <w:spacing w:before="19"/>
              <w:ind w:left="504"/>
              <w:jc w:val="left"/>
              <w:rPr>
                <w:sz w:val="18"/>
              </w:rPr>
            </w:pPr>
            <w:r>
              <w:rPr>
                <w:sz w:val="18"/>
              </w:rPr>
              <w:t>Legal Expenses</w:t>
            </w:r>
          </w:p>
        </w:tc>
        <w:tc>
          <w:tcPr>
            <w:tcW w:w="1459" w:type="dxa"/>
          </w:tcPr>
          <w:p>
            <w:pPr>
              <w:pStyle w:val="TableParagraph"/>
              <w:spacing w:before="18"/>
              <w:ind w:right="248"/>
              <w:rPr>
                <w:b/>
                <w:sz w:val="18"/>
              </w:rPr>
            </w:pPr>
            <w:r>
              <w:rPr>
                <w:b/>
                <w:sz w:val="18"/>
              </w:rPr>
              <w:t>7,870</w:t>
            </w:r>
          </w:p>
        </w:tc>
        <w:tc>
          <w:tcPr>
            <w:tcW w:w="1136" w:type="dxa"/>
          </w:tcPr>
          <w:p>
            <w:pPr>
              <w:pStyle w:val="TableParagraph"/>
              <w:spacing w:before="18"/>
              <w:ind w:right="86"/>
              <w:rPr>
                <w:sz w:val="18"/>
              </w:rPr>
            </w:pPr>
            <w:r>
              <w:rPr>
                <w:sz w:val="18"/>
              </w:rPr>
              <w:t>7,172</w:t>
            </w:r>
          </w:p>
        </w:tc>
      </w:tr>
      <w:tr>
        <w:trPr>
          <w:trHeight w:val="264" w:hRule="exact"/>
        </w:trPr>
        <w:tc>
          <w:tcPr>
            <w:tcW w:w="283" w:type="dxa"/>
          </w:tcPr>
          <w:p>
            <w:pPr/>
          </w:p>
        </w:tc>
        <w:tc>
          <w:tcPr>
            <w:tcW w:w="7074" w:type="dxa"/>
          </w:tcPr>
          <w:p>
            <w:pPr>
              <w:pStyle w:val="TableParagraph"/>
              <w:spacing w:before="19"/>
              <w:ind w:left="504"/>
              <w:jc w:val="left"/>
              <w:rPr>
                <w:sz w:val="18"/>
              </w:rPr>
            </w:pPr>
            <w:r>
              <w:rPr>
                <w:sz w:val="18"/>
              </w:rPr>
              <w:t>Non-capitalised Equipment</w:t>
            </w:r>
          </w:p>
        </w:tc>
        <w:tc>
          <w:tcPr>
            <w:tcW w:w="1459" w:type="dxa"/>
          </w:tcPr>
          <w:p>
            <w:pPr>
              <w:pStyle w:val="TableParagraph"/>
              <w:spacing w:before="18"/>
              <w:ind w:right="248"/>
              <w:rPr>
                <w:b/>
                <w:sz w:val="18"/>
              </w:rPr>
            </w:pPr>
            <w:r>
              <w:rPr>
                <w:b/>
                <w:w w:val="95"/>
                <w:sz w:val="18"/>
              </w:rPr>
              <w:t>115,299</w:t>
            </w:r>
          </w:p>
        </w:tc>
        <w:tc>
          <w:tcPr>
            <w:tcW w:w="1136" w:type="dxa"/>
          </w:tcPr>
          <w:p>
            <w:pPr>
              <w:pStyle w:val="TableParagraph"/>
              <w:spacing w:before="18"/>
              <w:ind w:right="86"/>
              <w:rPr>
                <w:sz w:val="18"/>
              </w:rPr>
            </w:pPr>
            <w:r>
              <w:rPr>
                <w:w w:val="95"/>
                <w:sz w:val="18"/>
              </w:rPr>
              <w:t>59,290</w:t>
            </w:r>
          </w:p>
        </w:tc>
      </w:tr>
      <w:tr>
        <w:trPr>
          <w:trHeight w:val="264" w:hRule="exact"/>
        </w:trPr>
        <w:tc>
          <w:tcPr>
            <w:tcW w:w="283" w:type="dxa"/>
          </w:tcPr>
          <w:p>
            <w:pPr/>
          </w:p>
        </w:tc>
        <w:tc>
          <w:tcPr>
            <w:tcW w:w="7074" w:type="dxa"/>
          </w:tcPr>
          <w:p>
            <w:pPr>
              <w:pStyle w:val="TableParagraph"/>
              <w:spacing w:before="19"/>
              <w:ind w:left="504"/>
              <w:jc w:val="left"/>
              <w:rPr>
                <w:sz w:val="18"/>
              </w:rPr>
            </w:pPr>
            <w:r>
              <w:rPr>
                <w:sz w:val="18"/>
              </w:rPr>
              <w:t>Centre resources and supplies</w:t>
            </w:r>
          </w:p>
        </w:tc>
        <w:tc>
          <w:tcPr>
            <w:tcW w:w="1459" w:type="dxa"/>
          </w:tcPr>
          <w:p>
            <w:pPr>
              <w:pStyle w:val="TableParagraph"/>
              <w:spacing w:before="18"/>
              <w:ind w:right="248"/>
              <w:rPr>
                <w:b/>
                <w:sz w:val="18"/>
              </w:rPr>
            </w:pPr>
            <w:r>
              <w:rPr>
                <w:b/>
                <w:w w:val="95"/>
                <w:sz w:val="18"/>
              </w:rPr>
              <w:t>81,616</w:t>
            </w:r>
          </w:p>
        </w:tc>
        <w:tc>
          <w:tcPr>
            <w:tcW w:w="1136" w:type="dxa"/>
          </w:tcPr>
          <w:p>
            <w:pPr>
              <w:pStyle w:val="TableParagraph"/>
              <w:spacing w:before="18"/>
              <w:ind w:right="86"/>
              <w:rPr>
                <w:sz w:val="18"/>
              </w:rPr>
            </w:pPr>
            <w:r>
              <w:rPr>
                <w:w w:val="95"/>
                <w:sz w:val="18"/>
              </w:rPr>
              <w:t>66,902</w:t>
            </w:r>
          </w:p>
        </w:tc>
      </w:tr>
      <w:tr>
        <w:trPr>
          <w:trHeight w:val="264" w:hRule="exact"/>
        </w:trPr>
        <w:tc>
          <w:tcPr>
            <w:tcW w:w="283" w:type="dxa"/>
          </w:tcPr>
          <w:p>
            <w:pPr/>
          </w:p>
        </w:tc>
        <w:tc>
          <w:tcPr>
            <w:tcW w:w="7074" w:type="dxa"/>
          </w:tcPr>
          <w:p>
            <w:pPr>
              <w:pStyle w:val="TableParagraph"/>
              <w:spacing w:before="19"/>
              <w:ind w:left="504"/>
              <w:jc w:val="left"/>
              <w:rPr>
                <w:sz w:val="18"/>
              </w:rPr>
            </w:pPr>
            <w:r>
              <w:rPr>
                <w:sz w:val="18"/>
              </w:rPr>
              <w:t>Repairs and Maintenance</w:t>
            </w:r>
          </w:p>
        </w:tc>
        <w:tc>
          <w:tcPr>
            <w:tcW w:w="1459" w:type="dxa"/>
          </w:tcPr>
          <w:p>
            <w:pPr>
              <w:pStyle w:val="TableParagraph"/>
              <w:spacing w:before="18"/>
              <w:ind w:right="248"/>
              <w:rPr>
                <w:b/>
                <w:sz w:val="18"/>
              </w:rPr>
            </w:pPr>
            <w:r>
              <w:rPr>
                <w:b/>
                <w:sz w:val="18"/>
              </w:rPr>
              <w:t>5,939</w:t>
            </w:r>
          </w:p>
        </w:tc>
        <w:tc>
          <w:tcPr>
            <w:tcW w:w="1136" w:type="dxa"/>
          </w:tcPr>
          <w:p>
            <w:pPr>
              <w:pStyle w:val="TableParagraph"/>
              <w:spacing w:before="18"/>
              <w:ind w:right="86"/>
              <w:rPr>
                <w:sz w:val="18"/>
              </w:rPr>
            </w:pPr>
            <w:r>
              <w:rPr>
                <w:sz w:val="18"/>
              </w:rPr>
              <w:t>4,286</w:t>
            </w:r>
          </w:p>
        </w:tc>
      </w:tr>
      <w:tr>
        <w:trPr>
          <w:trHeight w:val="264" w:hRule="exact"/>
        </w:trPr>
        <w:tc>
          <w:tcPr>
            <w:tcW w:w="283" w:type="dxa"/>
          </w:tcPr>
          <w:p>
            <w:pPr/>
          </w:p>
        </w:tc>
        <w:tc>
          <w:tcPr>
            <w:tcW w:w="7074" w:type="dxa"/>
          </w:tcPr>
          <w:p>
            <w:pPr>
              <w:pStyle w:val="TableParagraph"/>
              <w:spacing w:before="19"/>
              <w:ind w:left="504"/>
              <w:jc w:val="left"/>
              <w:rPr>
                <w:sz w:val="18"/>
              </w:rPr>
            </w:pPr>
            <w:r>
              <w:rPr>
                <w:sz w:val="18"/>
              </w:rPr>
              <w:t>Staff Development</w:t>
            </w:r>
          </w:p>
        </w:tc>
        <w:tc>
          <w:tcPr>
            <w:tcW w:w="1459" w:type="dxa"/>
          </w:tcPr>
          <w:p>
            <w:pPr>
              <w:pStyle w:val="TableParagraph"/>
              <w:spacing w:before="18"/>
              <w:ind w:right="248"/>
              <w:rPr>
                <w:b/>
                <w:sz w:val="18"/>
              </w:rPr>
            </w:pPr>
            <w:r>
              <w:rPr>
                <w:b/>
                <w:w w:val="95"/>
                <w:sz w:val="18"/>
              </w:rPr>
              <w:t>118,613</w:t>
            </w:r>
          </w:p>
        </w:tc>
        <w:tc>
          <w:tcPr>
            <w:tcW w:w="1136" w:type="dxa"/>
          </w:tcPr>
          <w:p>
            <w:pPr>
              <w:pStyle w:val="TableParagraph"/>
              <w:spacing w:before="18"/>
              <w:ind w:right="86"/>
              <w:rPr>
                <w:sz w:val="18"/>
              </w:rPr>
            </w:pPr>
            <w:r>
              <w:rPr>
                <w:w w:val="95"/>
                <w:sz w:val="18"/>
              </w:rPr>
              <w:t>53,470</w:t>
            </w:r>
          </w:p>
        </w:tc>
      </w:tr>
      <w:tr>
        <w:trPr>
          <w:trHeight w:val="264" w:hRule="exact"/>
        </w:trPr>
        <w:tc>
          <w:tcPr>
            <w:tcW w:w="283" w:type="dxa"/>
          </w:tcPr>
          <w:p>
            <w:pPr/>
          </w:p>
        </w:tc>
        <w:tc>
          <w:tcPr>
            <w:tcW w:w="7074" w:type="dxa"/>
          </w:tcPr>
          <w:p>
            <w:pPr>
              <w:pStyle w:val="TableParagraph"/>
              <w:spacing w:before="19"/>
              <w:ind w:left="504"/>
              <w:jc w:val="left"/>
              <w:rPr>
                <w:sz w:val="18"/>
              </w:rPr>
            </w:pPr>
            <w:r>
              <w:rPr>
                <w:sz w:val="18"/>
              </w:rPr>
              <w:t>Printing</w:t>
            </w:r>
          </w:p>
        </w:tc>
        <w:tc>
          <w:tcPr>
            <w:tcW w:w="1459" w:type="dxa"/>
          </w:tcPr>
          <w:p>
            <w:pPr>
              <w:pStyle w:val="TableParagraph"/>
              <w:spacing w:before="18"/>
              <w:ind w:right="248"/>
              <w:rPr>
                <w:b/>
                <w:sz w:val="18"/>
              </w:rPr>
            </w:pPr>
            <w:r>
              <w:rPr>
                <w:b/>
                <w:w w:val="95"/>
                <w:sz w:val="18"/>
              </w:rPr>
              <w:t>27,690</w:t>
            </w:r>
          </w:p>
        </w:tc>
        <w:tc>
          <w:tcPr>
            <w:tcW w:w="1136" w:type="dxa"/>
          </w:tcPr>
          <w:p>
            <w:pPr>
              <w:pStyle w:val="TableParagraph"/>
              <w:spacing w:before="18"/>
              <w:ind w:right="86"/>
              <w:rPr>
                <w:sz w:val="18"/>
              </w:rPr>
            </w:pPr>
            <w:r>
              <w:rPr>
                <w:w w:val="95"/>
                <w:sz w:val="18"/>
              </w:rPr>
              <w:t>22,781</w:t>
            </w:r>
          </w:p>
        </w:tc>
      </w:tr>
      <w:tr>
        <w:trPr>
          <w:trHeight w:val="262" w:hRule="exact"/>
        </w:trPr>
        <w:tc>
          <w:tcPr>
            <w:tcW w:w="283" w:type="dxa"/>
          </w:tcPr>
          <w:p>
            <w:pPr/>
          </w:p>
        </w:tc>
        <w:tc>
          <w:tcPr>
            <w:tcW w:w="7074" w:type="dxa"/>
          </w:tcPr>
          <w:p>
            <w:pPr>
              <w:pStyle w:val="TableParagraph"/>
              <w:spacing w:before="19"/>
              <w:ind w:left="504"/>
              <w:jc w:val="left"/>
              <w:rPr>
                <w:sz w:val="18"/>
              </w:rPr>
            </w:pPr>
            <w:r>
              <w:rPr>
                <w:sz w:val="18"/>
              </w:rPr>
              <w:t>Sundry expenses</w:t>
            </w:r>
          </w:p>
        </w:tc>
        <w:tc>
          <w:tcPr>
            <w:tcW w:w="1459" w:type="dxa"/>
            <w:tcBorders>
              <w:bottom w:val="single" w:sz="0" w:space="0" w:color="000000"/>
            </w:tcBorders>
          </w:tcPr>
          <w:p>
            <w:pPr>
              <w:pStyle w:val="TableParagraph"/>
              <w:spacing w:before="18"/>
              <w:ind w:right="248"/>
              <w:rPr>
                <w:b/>
                <w:sz w:val="18"/>
              </w:rPr>
            </w:pPr>
            <w:r>
              <w:rPr>
                <w:b/>
                <w:w w:val="95"/>
                <w:sz w:val="18"/>
              </w:rPr>
              <w:t>107,889</w:t>
            </w:r>
          </w:p>
        </w:tc>
        <w:tc>
          <w:tcPr>
            <w:tcW w:w="1136" w:type="dxa"/>
            <w:tcBorders>
              <w:bottom w:val="single" w:sz="0" w:space="0" w:color="000000"/>
            </w:tcBorders>
          </w:tcPr>
          <w:p>
            <w:pPr>
              <w:pStyle w:val="TableParagraph"/>
              <w:spacing w:before="18"/>
              <w:ind w:right="86"/>
              <w:rPr>
                <w:sz w:val="18"/>
              </w:rPr>
            </w:pPr>
            <w:r>
              <w:rPr>
                <w:w w:val="95"/>
                <w:sz w:val="18"/>
              </w:rPr>
              <w:t>99,977</w:t>
            </w:r>
          </w:p>
        </w:tc>
      </w:tr>
      <w:tr>
        <w:trPr>
          <w:trHeight w:val="326" w:hRule="exact"/>
        </w:trPr>
        <w:tc>
          <w:tcPr>
            <w:tcW w:w="283" w:type="dxa"/>
          </w:tcPr>
          <w:p>
            <w:pPr/>
          </w:p>
        </w:tc>
        <w:tc>
          <w:tcPr>
            <w:tcW w:w="7074" w:type="dxa"/>
          </w:tcPr>
          <w:p>
            <w:pPr>
              <w:pStyle w:val="TableParagraph"/>
              <w:spacing w:before="123"/>
              <w:ind w:left="147"/>
              <w:jc w:val="left"/>
              <w:rPr>
                <w:b/>
                <w:sz w:val="18"/>
              </w:rPr>
            </w:pPr>
            <w:r>
              <w:rPr>
                <w:b/>
                <w:sz w:val="18"/>
              </w:rPr>
              <w:t>Total other expenses</w:t>
            </w:r>
          </w:p>
        </w:tc>
        <w:tc>
          <w:tcPr>
            <w:tcW w:w="1459" w:type="dxa"/>
            <w:tcBorders>
              <w:top w:val="single" w:sz="0" w:space="0" w:color="000000"/>
            </w:tcBorders>
          </w:tcPr>
          <w:p>
            <w:pPr>
              <w:pStyle w:val="TableParagraph"/>
              <w:spacing w:before="122"/>
              <w:ind w:right="248"/>
              <w:rPr>
                <w:b/>
                <w:sz w:val="18"/>
              </w:rPr>
            </w:pPr>
            <w:r>
              <w:rPr>
                <w:b/>
                <w:w w:val="95"/>
                <w:sz w:val="18"/>
              </w:rPr>
              <w:t>770,037</w:t>
            </w:r>
          </w:p>
        </w:tc>
        <w:tc>
          <w:tcPr>
            <w:tcW w:w="1136" w:type="dxa"/>
            <w:tcBorders>
              <w:top w:val="single" w:sz="0" w:space="0" w:color="000000"/>
            </w:tcBorders>
          </w:tcPr>
          <w:p>
            <w:pPr>
              <w:pStyle w:val="TableParagraph"/>
              <w:spacing w:before="122"/>
              <w:ind w:right="86"/>
              <w:rPr>
                <w:sz w:val="18"/>
              </w:rPr>
            </w:pPr>
            <w:r>
              <w:rPr>
                <w:w w:val="95"/>
                <w:sz w:val="18"/>
              </w:rPr>
              <w:t>640,823</w:t>
            </w:r>
          </w:p>
        </w:tc>
      </w:tr>
    </w:tbl>
    <w:p>
      <w:pPr>
        <w:spacing w:after="0"/>
        <w:rPr>
          <w:sz w:val="18"/>
        </w:rPr>
        <w:sectPr>
          <w:headerReference w:type="default" r:id="rId110"/>
          <w:footerReference w:type="default" r:id="rId111"/>
          <w:pgSz w:w="12750" w:h="17680"/>
          <w:pgMar w:header="0" w:footer="3035" w:top="2800" w:bottom="3220" w:left="0" w:right="0"/>
          <w:pgNumType w:start="179"/>
        </w:sectPr>
      </w:pPr>
    </w:p>
    <w:p>
      <w:pPr>
        <w:pStyle w:val="BodyText"/>
        <w:spacing w:before="8"/>
        <w:rPr>
          <w:rFonts w:ascii="Times New Roman"/>
        </w:rPr>
      </w:pPr>
    </w:p>
    <w:p>
      <w:pPr>
        <w:spacing w:after="0"/>
        <w:rPr>
          <w:rFonts w:ascii="Times New Roman"/>
        </w:rPr>
        <w:sectPr>
          <w:footerReference w:type="default" r:id="rId112"/>
          <w:pgSz w:w="12750" w:h="17680"/>
          <w:pgMar w:footer="3010" w:header="0" w:top="2800" w:bottom="3200" w:left="0" w:right="0"/>
          <w:pgNumType w:start="180"/>
        </w:sectPr>
      </w:pPr>
    </w:p>
    <w:p>
      <w:pPr>
        <w:pStyle w:val="Heading8"/>
        <w:numPr>
          <w:ilvl w:val="0"/>
          <w:numId w:val="70"/>
        </w:numPr>
        <w:tabs>
          <w:tab w:pos="1824" w:val="left" w:leader="none"/>
        </w:tabs>
        <w:spacing w:line="240" w:lineRule="auto" w:before="77" w:after="0"/>
        <w:ind w:left="1824" w:right="0" w:hanging="396"/>
        <w:jc w:val="left"/>
      </w:pPr>
      <w:bookmarkStart w:name="4 Cash and cash equivalents" w:id="332"/>
      <w:bookmarkEnd w:id="332"/>
      <w:r>
        <w:rPr>
          <w:b w:val="0"/>
        </w:rPr>
      </w:r>
      <w:bookmarkStart w:name="4 Cash and cash equivalents" w:id="333"/>
      <w:bookmarkEnd w:id="333"/>
      <w:r>
        <w:rPr/>
        <w:t>Cash</w:t>
      </w:r>
      <w:r>
        <w:rPr/>
        <w:t> and cash</w:t>
      </w:r>
      <w:r>
        <w:rPr>
          <w:spacing w:val="-5"/>
        </w:rPr>
        <w:t> </w:t>
      </w:r>
      <w:r>
        <w:rPr/>
        <w:t>equivalents</w:t>
      </w:r>
    </w:p>
    <w:p>
      <w:pPr>
        <w:pStyle w:val="BodyText"/>
        <w:rPr>
          <w:b/>
        </w:rPr>
      </w:pPr>
      <w:r>
        <w:rPr/>
        <w:br w:type="column"/>
      </w:r>
      <w:r>
        <w:rPr>
          <w:b/>
        </w:rPr>
      </w:r>
    </w:p>
    <w:p>
      <w:pPr>
        <w:pStyle w:val="BodyText"/>
        <w:rPr>
          <w:b/>
        </w:rPr>
      </w:pPr>
    </w:p>
    <w:p>
      <w:pPr>
        <w:pStyle w:val="BodyText"/>
        <w:rPr>
          <w:b/>
        </w:rPr>
      </w:pPr>
    </w:p>
    <w:p>
      <w:pPr>
        <w:pStyle w:val="BodyText"/>
        <w:spacing w:before="2"/>
        <w:rPr>
          <w:b/>
          <w:sz w:val="21"/>
        </w:rPr>
      </w:pPr>
    </w:p>
    <w:p>
      <w:pPr>
        <w:spacing w:before="0"/>
        <w:ind w:left="0" w:right="0" w:firstLine="0"/>
        <w:jc w:val="right"/>
        <w:rPr>
          <w:b/>
          <w:sz w:val="18"/>
        </w:rPr>
      </w:pPr>
      <w:r>
        <w:rPr>
          <w:b/>
          <w:w w:val="95"/>
          <w:sz w:val="18"/>
        </w:rPr>
        <w:t>Note</w:t>
      </w:r>
    </w:p>
    <w:p>
      <w:pPr>
        <w:pStyle w:val="BodyText"/>
        <w:rPr>
          <w:b/>
        </w:rPr>
      </w:pPr>
      <w:r>
        <w:rPr/>
        <w:br w:type="column"/>
      </w:r>
      <w:r>
        <w:rPr>
          <w:b/>
        </w:rPr>
      </w:r>
    </w:p>
    <w:p>
      <w:pPr>
        <w:spacing w:before="110"/>
        <w:ind w:left="612" w:right="0" w:firstLine="0"/>
        <w:jc w:val="center"/>
        <w:rPr>
          <w:b/>
          <w:sz w:val="18"/>
        </w:rPr>
      </w:pPr>
      <w:r>
        <w:rPr>
          <w:b/>
          <w:spacing w:val="-1"/>
          <w:sz w:val="18"/>
        </w:rPr>
        <w:t>2016</w:t>
      </w:r>
    </w:p>
    <w:p>
      <w:pPr>
        <w:spacing w:before="66"/>
        <w:ind w:left="0" w:right="121" w:firstLine="0"/>
        <w:jc w:val="right"/>
        <w:rPr>
          <w:b/>
          <w:sz w:val="18"/>
        </w:rPr>
      </w:pPr>
      <w:r>
        <w:rPr>
          <w:b/>
          <w:w w:val="99"/>
          <w:sz w:val="18"/>
        </w:rPr>
        <w:t>$</w:t>
      </w:r>
    </w:p>
    <w:p>
      <w:pPr>
        <w:pStyle w:val="BodyText"/>
        <w:rPr>
          <w:b/>
        </w:rPr>
      </w:pPr>
      <w:r>
        <w:rPr/>
        <w:br w:type="column"/>
      </w:r>
      <w:r>
        <w:rPr>
          <w:b/>
        </w:rPr>
      </w:r>
    </w:p>
    <w:p>
      <w:pPr>
        <w:spacing w:before="110"/>
        <w:ind w:left="826" w:right="1720" w:firstLine="0"/>
        <w:jc w:val="center"/>
        <w:rPr>
          <w:b/>
          <w:sz w:val="18"/>
        </w:rPr>
      </w:pPr>
      <w:r>
        <w:rPr>
          <w:b/>
          <w:sz w:val="18"/>
        </w:rPr>
        <w:t>2015</w:t>
      </w:r>
    </w:p>
    <w:p>
      <w:pPr>
        <w:spacing w:before="66"/>
        <w:ind w:left="0" w:right="842" w:firstLine="0"/>
        <w:jc w:val="center"/>
        <w:rPr>
          <w:b/>
          <w:sz w:val="18"/>
        </w:rPr>
      </w:pPr>
      <w:r>
        <w:rPr>
          <w:b/>
          <w:w w:val="99"/>
          <w:sz w:val="18"/>
        </w:rPr>
        <w:t>$</w:t>
      </w:r>
    </w:p>
    <w:p>
      <w:pPr>
        <w:spacing w:after="0"/>
        <w:jc w:val="center"/>
        <w:rPr>
          <w:sz w:val="18"/>
        </w:rPr>
        <w:sectPr>
          <w:type w:val="continuous"/>
          <w:pgSz w:w="12750" w:h="17680"/>
          <w:pgMar w:top="1660" w:bottom="0" w:left="0" w:right="0"/>
          <w:cols w:num="4" w:equalWidth="0">
            <w:col w:w="4131" w:space="2711"/>
            <w:col w:w="1829" w:space="40"/>
            <w:col w:w="1011" w:space="40"/>
            <w:col w:w="2988"/>
          </w:cols>
        </w:sectPr>
      </w:pPr>
    </w:p>
    <w:p>
      <w:pPr>
        <w:tabs>
          <w:tab w:pos="8369" w:val="left" w:leader="none"/>
          <w:tab w:pos="9311" w:val="left" w:leader="none"/>
          <w:tab w:pos="10607" w:val="left" w:leader="none"/>
        </w:tabs>
        <w:spacing w:before="63"/>
        <w:ind w:left="1856" w:right="0" w:firstLine="0"/>
        <w:jc w:val="left"/>
        <w:rPr>
          <w:sz w:val="18"/>
        </w:rPr>
      </w:pPr>
      <w:r>
        <w:rPr/>
        <w:pict>
          <v:group style="position:absolute;margin-left:437.470001pt;margin-top:14.781917pt;width:129.85pt;height:1pt;mso-position-horizontal-relative:page;mso-position-vertical-relative:paragraph;z-index:12568;mso-wrap-distance-left:0;mso-wrap-distance-right:0" coordorigin="8749,296" coordsize="2597,20">
            <v:line style="position:absolute" from="8750,297" to="10048,297" stroked="true" strokeweight=".06pt" strokecolor="#000000"/>
            <v:line style="position:absolute" from="8750,298" to="10048,298" stroked="true" strokeweight=".06pt" strokecolor="#000000"/>
            <v:line style="position:absolute" from="8750,299" to="10048,299" stroked="true" strokeweight=".06pt" strokecolor="#000000"/>
            <v:line style="position:absolute" from="8750,300" to="10048,300" stroked="true" strokeweight=".06pt" strokecolor="#000000"/>
            <v:line style="position:absolute" from="8750,301" to="10048,301" stroked="true" strokeweight=".06pt" strokecolor="#000000"/>
            <v:line style="position:absolute" from="8750,303" to="10048,303" stroked="true" strokeweight=".06pt" strokecolor="#000000"/>
            <v:line style="position:absolute" from="8750,304" to="10048,304" stroked="true" strokeweight=".06pt" strokecolor="#000000"/>
            <v:line style="position:absolute" from="8750,305" to="10048,305" stroked="true" strokeweight=".06pt" strokecolor="#000000"/>
            <v:line style="position:absolute" from="8750,306" to="10048,306" stroked="true" strokeweight=".06pt" strokecolor="#000000"/>
            <v:line style="position:absolute" from="8750,307" to="10048,307" stroked="true" strokeweight=".06pt" strokecolor="#000000"/>
            <v:line style="position:absolute" from="8750,309" to="10048,309" stroked="true" strokeweight=".06pt" strokecolor="#000000"/>
            <v:line style="position:absolute" from="8750,310" to="10048,310" stroked="true" strokeweight=".06pt" strokecolor="#000000"/>
            <v:line style="position:absolute" from="8750,311" to="10048,311" stroked="true" strokeweight=".06pt" strokecolor="#000000"/>
            <v:line style="position:absolute" from="8750,312" to="10048,312" stroked="true" strokeweight=".06pt" strokecolor="#000000"/>
            <v:line style="position:absolute" from="8750,313" to="10048,313" stroked="true" strokeweight=".06pt" strokecolor="#000000"/>
            <v:line style="position:absolute" from="8750,315" to="10048,315" stroked="true" strokeweight=".06pt" strokecolor="#000000"/>
            <v:line style="position:absolute" from="10048,297" to="11345,297" stroked="true" strokeweight=".06pt" strokecolor="#000000"/>
            <v:line style="position:absolute" from="10048,298" to="11345,298" stroked="true" strokeweight=".06pt" strokecolor="#000000"/>
            <v:line style="position:absolute" from="10048,299" to="11345,299" stroked="true" strokeweight=".06pt" strokecolor="#000000"/>
            <v:line style="position:absolute" from="10048,300" to="11345,300" stroked="true" strokeweight=".06pt" strokecolor="#000000"/>
            <v:line style="position:absolute" from="10048,301" to="11345,301" stroked="true" strokeweight=".06pt" strokecolor="#000000"/>
            <v:line style="position:absolute" from="10048,303" to="11345,303" stroked="true" strokeweight=".06pt" strokecolor="#000000"/>
            <v:line style="position:absolute" from="10048,304" to="11345,304" stroked="true" strokeweight=".06pt" strokecolor="#000000"/>
            <v:line style="position:absolute" from="10048,305" to="11345,305" stroked="true" strokeweight=".06pt" strokecolor="#000000"/>
            <v:line style="position:absolute" from="10048,306" to="11345,306" stroked="true" strokeweight=".06pt" strokecolor="#000000"/>
            <v:line style="position:absolute" from="10048,307" to="11345,307" stroked="true" strokeweight=".06pt" strokecolor="#000000"/>
            <v:line style="position:absolute" from="10048,309" to="11345,309" stroked="true" strokeweight=".06pt" strokecolor="#000000"/>
            <v:line style="position:absolute" from="10048,310" to="11345,310" stroked="true" strokeweight=".06pt" strokecolor="#000000"/>
            <v:line style="position:absolute" from="10048,311" to="11345,311" stroked="true" strokeweight=".06pt" strokecolor="#000000"/>
            <v:line style="position:absolute" from="10048,312" to="11345,312" stroked="true" strokeweight=".06pt" strokecolor="#000000"/>
            <v:line style="position:absolute" from="10048,313" to="11345,313" stroked="true" strokeweight=".06pt" strokecolor="#000000"/>
            <v:line style="position:absolute" from="10048,315" to="11345,315" stroked="true" strokeweight=".06pt" strokecolor="#000000"/>
            <w10:wrap type="topAndBottom"/>
          </v:group>
        </w:pict>
      </w:r>
      <w:r>
        <w:rPr/>
        <w:drawing>
          <wp:anchor distT="0" distB="0" distL="0" distR="0" allowOverlap="1" layoutInCell="1" locked="0" behindDoc="0" simplePos="0" relativeHeight="12592">
            <wp:simplePos x="0" y="0"/>
            <wp:positionH relativeFrom="page">
              <wp:posOffset>-1587</wp:posOffset>
            </wp:positionH>
            <wp:positionV relativeFrom="page">
              <wp:posOffset>5534342</wp:posOffset>
            </wp:positionV>
            <wp:extent cx="135159" cy="154019"/>
            <wp:effectExtent l="0" t="0" r="0" b="0"/>
            <wp:wrapNone/>
            <wp:docPr id="851" name="image13.png" descr=""/>
            <wp:cNvGraphicFramePr>
              <a:graphicFrameLocks noChangeAspect="1"/>
            </wp:cNvGraphicFramePr>
            <a:graphic>
              <a:graphicData uri="http://schemas.openxmlformats.org/drawingml/2006/picture">
                <pic:pic>
                  <pic:nvPicPr>
                    <pic:cNvPr id="852" name="image13.png"/>
                    <pic:cNvPicPr/>
                  </pic:nvPicPr>
                  <pic:blipFill>
                    <a:blip r:embed="rId18" cstate="print"/>
                    <a:stretch>
                      <a:fillRect/>
                    </a:stretch>
                  </pic:blipFill>
                  <pic:spPr>
                    <a:xfrm>
                      <a:off x="0" y="0"/>
                      <a:ext cx="135159" cy="154019"/>
                    </a:xfrm>
                    <a:prstGeom prst="rect">
                      <a:avLst/>
                    </a:prstGeom>
                  </pic:spPr>
                </pic:pic>
              </a:graphicData>
            </a:graphic>
          </wp:anchor>
        </w:drawing>
      </w:r>
      <w:r>
        <w:rPr/>
        <w:drawing>
          <wp:anchor distT="0" distB="0" distL="0" distR="0" allowOverlap="1" layoutInCell="1" locked="0" behindDoc="0" simplePos="0" relativeHeight="12616">
            <wp:simplePos x="0" y="0"/>
            <wp:positionH relativeFrom="page">
              <wp:posOffset>7958429</wp:posOffset>
            </wp:positionH>
            <wp:positionV relativeFrom="page">
              <wp:posOffset>5534342</wp:posOffset>
            </wp:positionV>
            <wp:extent cx="135953" cy="155575"/>
            <wp:effectExtent l="0" t="0" r="0" b="0"/>
            <wp:wrapNone/>
            <wp:docPr id="853" name="image15.png" descr=""/>
            <wp:cNvGraphicFramePr>
              <a:graphicFrameLocks noChangeAspect="1"/>
            </wp:cNvGraphicFramePr>
            <a:graphic>
              <a:graphicData uri="http://schemas.openxmlformats.org/drawingml/2006/picture">
                <pic:pic>
                  <pic:nvPicPr>
                    <pic:cNvPr id="854" name="image15.png"/>
                    <pic:cNvPicPr/>
                  </pic:nvPicPr>
                  <pic:blipFill>
                    <a:blip r:embed="rId20" cstate="print"/>
                    <a:stretch>
                      <a:fillRect/>
                    </a:stretch>
                  </pic:blipFill>
                  <pic:spPr>
                    <a:xfrm>
                      <a:off x="0" y="0"/>
                      <a:ext cx="135953" cy="155575"/>
                    </a:xfrm>
                    <a:prstGeom prst="rect">
                      <a:avLst/>
                    </a:prstGeom>
                  </pic:spPr>
                </pic:pic>
              </a:graphicData>
            </a:graphic>
          </wp:anchor>
        </w:drawing>
      </w:r>
      <w:r>
        <w:rPr>
          <w:b/>
          <w:sz w:val="18"/>
        </w:rPr>
        <w:t>Cash</w:t>
      </w:r>
      <w:r>
        <w:rPr>
          <w:b/>
          <w:spacing w:val="-1"/>
          <w:sz w:val="18"/>
        </w:rPr>
        <w:t> </w:t>
      </w:r>
      <w:r>
        <w:rPr>
          <w:b/>
          <w:sz w:val="18"/>
        </w:rPr>
        <w:t>at</w:t>
      </w:r>
      <w:r>
        <w:rPr>
          <w:b/>
          <w:spacing w:val="-1"/>
          <w:sz w:val="18"/>
        </w:rPr>
        <w:t> </w:t>
      </w:r>
      <w:r>
        <w:rPr>
          <w:b/>
          <w:sz w:val="18"/>
        </w:rPr>
        <w:t>bank</w:t>
        <w:tab/>
      </w:r>
      <w:r>
        <w:rPr>
          <w:sz w:val="18"/>
        </w:rPr>
        <w:t>14</w:t>
        <w:tab/>
      </w:r>
      <w:r>
        <w:rPr>
          <w:b/>
          <w:sz w:val="18"/>
        </w:rPr>
        <w:t>647,363</w:t>
        <w:tab/>
      </w:r>
      <w:r>
        <w:rPr>
          <w:sz w:val="18"/>
        </w:rPr>
        <w:t>555,260</w:t>
      </w:r>
    </w:p>
    <w:p>
      <w:pPr>
        <w:pStyle w:val="BodyText"/>
        <w:spacing w:before="113"/>
        <w:ind w:left="1852" w:right="1505"/>
        <w:jc w:val="both"/>
      </w:pPr>
      <w:bookmarkStart w:name="Trade and other receivables" w:id="334"/>
      <w:bookmarkEnd w:id="334"/>
      <w:r>
        <w:rPr/>
      </w:r>
      <w:bookmarkStart w:name="5 Trade and other receivables " w:id="335"/>
      <w:bookmarkEnd w:id="335"/>
      <w:r>
        <w:rPr/>
      </w:r>
      <w:r>
        <w:rPr/>
        <w:t>The Company's exposure to interest rate risk is discussed in note 15. The maximum exposure to credit risk at the end of each reporting period is the carrying amount of each class of cash and cash equivalents mentioned above. Cash at bank is interest bearing.</w:t>
      </w:r>
    </w:p>
    <w:p>
      <w:pPr>
        <w:pStyle w:val="BodyText"/>
        <w:rPr>
          <w:sz w:val="20"/>
        </w:rPr>
      </w:pPr>
    </w:p>
    <w:p>
      <w:pPr>
        <w:pStyle w:val="BodyText"/>
        <w:rPr>
          <w:sz w:val="20"/>
        </w:rPr>
      </w:pPr>
    </w:p>
    <w:p>
      <w:pPr>
        <w:pStyle w:val="BodyText"/>
        <w:spacing w:before="3"/>
        <w:rPr>
          <w:sz w:val="21"/>
        </w:rPr>
      </w:pPr>
    </w:p>
    <w:tbl>
      <w:tblPr>
        <w:tblW w:w="0" w:type="auto"/>
        <w:jc w:val="left"/>
        <w:tblInd w:w="139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83"/>
        <w:gridCol w:w="7074"/>
        <w:gridCol w:w="1488"/>
        <w:gridCol w:w="1106"/>
      </w:tblGrid>
      <w:tr>
        <w:trPr>
          <w:trHeight w:val="567" w:hRule="exact"/>
        </w:trPr>
        <w:tc>
          <w:tcPr>
            <w:tcW w:w="283" w:type="dxa"/>
          </w:tcPr>
          <w:p>
            <w:pPr>
              <w:pStyle w:val="TableParagraph"/>
              <w:spacing w:before="77"/>
              <w:ind w:left="35"/>
              <w:jc w:val="left"/>
              <w:rPr>
                <w:b/>
                <w:sz w:val="18"/>
              </w:rPr>
            </w:pPr>
            <w:r>
              <w:rPr>
                <w:b/>
                <w:w w:val="99"/>
                <w:sz w:val="18"/>
              </w:rPr>
              <w:t>5</w:t>
            </w:r>
          </w:p>
        </w:tc>
        <w:tc>
          <w:tcPr>
            <w:tcW w:w="7074" w:type="dxa"/>
          </w:tcPr>
          <w:p>
            <w:pPr>
              <w:pStyle w:val="TableParagraph"/>
              <w:spacing w:before="77"/>
              <w:ind w:left="147"/>
              <w:jc w:val="left"/>
              <w:rPr>
                <w:b/>
                <w:sz w:val="18"/>
              </w:rPr>
            </w:pPr>
            <w:r>
              <w:rPr>
                <w:b/>
                <w:sz w:val="18"/>
              </w:rPr>
              <w:t>Trade and other receivables</w:t>
            </w:r>
          </w:p>
        </w:tc>
        <w:tc>
          <w:tcPr>
            <w:tcW w:w="1488" w:type="dxa"/>
          </w:tcPr>
          <w:p>
            <w:pPr>
              <w:pStyle w:val="TableParagraph"/>
              <w:jc w:val="left"/>
              <w:rPr>
                <w:sz w:val="18"/>
              </w:rPr>
            </w:pPr>
          </w:p>
          <w:p>
            <w:pPr>
              <w:pStyle w:val="TableParagraph"/>
              <w:spacing w:before="110"/>
              <w:ind w:left="723"/>
              <w:jc w:val="left"/>
              <w:rPr>
                <w:b/>
                <w:sz w:val="18"/>
              </w:rPr>
            </w:pPr>
            <w:r>
              <w:rPr>
                <w:b/>
                <w:sz w:val="18"/>
              </w:rPr>
              <w:t>2016</w:t>
            </w:r>
          </w:p>
        </w:tc>
        <w:tc>
          <w:tcPr>
            <w:tcW w:w="1106" w:type="dxa"/>
          </w:tcPr>
          <w:p>
            <w:pPr>
              <w:pStyle w:val="TableParagraph"/>
              <w:jc w:val="left"/>
              <w:rPr>
                <w:sz w:val="18"/>
              </w:rPr>
            </w:pPr>
          </w:p>
          <w:p>
            <w:pPr>
              <w:pStyle w:val="TableParagraph"/>
              <w:spacing w:before="110"/>
              <w:ind w:left="467"/>
              <w:jc w:val="left"/>
              <w:rPr>
                <w:b/>
                <w:sz w:val="18"/>
              </w:rPr>
            </w:pPr>
            <w:r>
              <w:rPr>
                <w:b/>
                <w:sz w:val="18"/>
              </w:rPr>
              <w:t>2015</w:t>
            </w:r>
          </w:p>
        </w:tc>
      </w:tr>
      <w:tr>
        <w:trPr>
          <w:trHeight w:val="313" w:hRule="exact"/>
        </w:trPr>
        <w:tc>
          <w:tcPr>
            <w:tcW w:w="283" w:type="dxa"/>
          </w:tcPr>
          <w:p>
            <w:pPr/>
          </w:p>
        </w:tc>
        <w:tc>
          <w:tcPr>
            <w:tcW w:w="7074" w:type="dxa"/>
          </w:tcPr>
          <w:p>
            <w:pPr/>
          </w:p>
        </w:tc>
        <w:tc>
          <w:tcPr>
            <w:tcW w:w="1488" w:type="dxa"/>
          </w:tcPr>
          <w:p>
            <w:pPr>
              <w:pStyle w:val="TableParagraph"/>
              <w:spacing w:before="24"/>
              <w:ind w:left="358"/>
              <w:jc w:val="center"/>
              <w:rPr>
                <w:b/>
                <w:sz w:val="18"/>
              </w:rPr>
            </w:pPr>
            <w:r>
              <w:rPr>
                <w:b/>
                <w:w w:val="99"/>
                <w:sz w:val="18"/>
              </w:rPr>
              <w:t>$</w:t>
            </w:r>
          </w:p>
        </w:tc>
        <w:tc>
          <w:tcPr>
            <w:tcW w:w="1106" w:type="dxa"/>
          </w:tcPr>
          <w:p>
            <w:pPr>
              <w:pStyle w:val="TableParagraph"/>
              <w:spacing w:before="24"/>
              <w:ind w:left="642"/>
              <w:jc w:val="left"/>
              <w:rPr>
                <w:b/>
                <w:sz w:val="18"/>
              </w:rPr>
            </w:pPr>
            <w:r>
              <w:rPr>
                <w:b/>
                <w:w w:val="99"/>
                <w:sz w:val="18"/>
              </w:rPr>
              <w:t>$</w:t>
            </w:r>
          </w:p>
        </w:tc>
      </w:tr>
      <w:tr>
        <w:trPr>
          <w:trHeight w:val="543" w:hRule="exact"/>
        </w:trPr>
        <w:tc>
          <w:tcPr>
            <w:tcW w:w="283" w:type="dxa"/>
          </w:tcPr>
          <w:p>
            <w:pPr/>
          </w:p>
        </w:tc>
        <w:tc>
          <w:tcPr>
            <w:tcW w:w="7074" w:type="dxa"/>
          </w:tcPr>
          <w:p>
            <w:pPr>
              <w:pStyle w:val="TableParagraph"/>
              <w:spacing w:before="63"/>
              <w:ind w:left="192"/>
              <w:jc w:val="left"/>
              <w:rPr>
                <w:b/>
                <w:sz w:val="18"/>
              </w:rPr>
            </w:pPr>
            <w:r>
              <w:rPr>
                <w:b/>
                <w:sz w:val="18"/>
              </w:rPr>
              <w:t>CURRENT</w:t>
            </w:r>
          </w:p>
          <w:p>
            <w:pPr>
              <w:pStyle w:val="TableParagraph"/>
              <w:spacing w:before="27"/>
              <w:ind w:left="192"/>
              <w:jc w:val="left"/>
              <w:rPr>
                <w:sz w:val="18"/>
              </w:rPr>
            </w:pPr>
            <w:r>
              <w:rPr>
                <w:sz w:val="18"/>
              </w:rPr>
              <w:t>Trade receivables</w:t>
            </w:r>
          </w:p>
        </w:tc>
        <w:tc>
          <w:tcPr>
            <w:tcW w:w="1488" w:type="dxa"/>
          </w:tcPr>
          <w:p>
            <w:pPr>
              <w:pStyle w:val="TableParagraph"/>
              <w:spacing w:before="11"/>
              <w:jc w:val="left"/>
              <w:rPr>
                <w:sz w:val="25"/>
              </w:rPr>
            </w:pPr>
          </w:p>
          <w:p>
            <w:pPr>
              <w:pStyle w:val="TableParagraph"/>
              <w:ind w:right="276"/>
              <w:rPr>
                <w:b/>
                <w:sz w:val="18"/>
              </w:rPr>
            </w:pPr>
            <w:r>
              <w:rPr>
                <w:b/>
                <w:w w:val="95"/>
                <w:sz w:val="18"/>
              </w:rPr>
              <w:t>23,107</w:t>
            </w:r>
          </w:p>
        </w:tc>
        <w:tc>
          <w:tcPr>
            <w:tcW w:w="1106" w:type="dxa"/>
          </w:tcPr>
          <w:p>
            <w:pPr>
              <w:pStyle w:val="TableParagraph"/>
              <w:spacing w:before="11"/>
              <w:jc w:val="left"/>
              <w:rPr>
                <w:sz w:val="25"/>
              </w:rPr>
            </w:pPr>
          </w:p>
          <w:p>
            <w:pPr>
              <w:pStyle w:val="TableParagraph"/>
              <w:ind w:right="86"/>
              <w:rPr>
                <w:sz w:val="18"/>
              </w:rPr>
            </w:pPr>
            <w:r>
              <w:rPr>
                <w:w w:val="95"/>
                <w:sz w:val="18"/>
              </w:rPr>
              <w:t>47,024</w:t>
            </w:r>
          </w:p>
        </w:tc>
      </w:tr>
      <w:tr>
        <w:trPr>
          <w:trHeight w:val="264" w:hRule="exact"/>
        </w:trPr>
        <w:tc>
          <w:tcPr>
            <w:tcW w:w="283" w:type="dxa"/>
          </w:tcPr>
          <w:p>
            <w:pPr/>
          </w:p>
        </w:tc>
        <w:tc>
          <w:tcPr>
            <w:tcW w:w="7074" w:type="dxa"/>
          </w:tcPr>
          <w:p>
            <w:pPr>
              <w:pStyle w:val="TableParagraph"/>
              <w:spacing w:before="18"/>
              <w:ind w:left="192"/>
              <w:jc w:val="left"/>
              <w:rPr>
                <w:sz w:val="18"/>
              </w:rPr>
            </w:pPr>
            <w:r>
              <w:rPr>
                <w:sz w:val="18"/>
              </w:rPr>
              <w:t>Receivable from Parent</w:t>
            </w:r>
          </w:p>
        </w:tc>
        <w:tc>
          <w:tcPr>
            <w:tcW w:w="1488" w:type="dxa"/>
          </w:tcPr>
          <w:p>
            <w:pPr>
              <w:pStyle w:val="TableParagraph"/>
              <w:spacing w:before="19"/>
              <w:ind w:right="276"/>
              <w:rPr>
                <w:b/>
                <w:sz w:val="18"/>
              </w:rPr>
            </w:pPr>
            <w:r>
              <w:rPr>
                <w:b/>
                <w:w w:val="95"/>
                <w:sz w:val="18"/>
              </w:rPr>
              <w:t>65,682</w:t>
            </w:r>
          </w:p>
        </w:tc>
        <w:tc>
          <w:tcPr>
            <w:tcW w:w="1106" w:type="dxa"/>
          </w:tcPr>
          <w:p>
            <w:pPr>
              <w:pStyle w:val="TableParagraph"/>
              <w:spacing w:before="19"/>
              <w:ind w:right="86"/>
              <w:rPr>
                <w:sz w:val="18"/>
              </w:rPr>
            </w:pPr>
            <w:r>
              <w:rPr>
                <w:w w:val="95"/>
                <w:sz w:val="18"/>
              </w:rPr>
              <w:t>30,071</w:t>
            </w:r>
          </w:p>
        </w:tc>
      </w:tr>
      <w:tr>
        <w:trPr>
          <w:trHeight w:val="263" w:hRule="exact"/>
        </w:trPr>
        <w:tc>
          <w:tcPr>
            <w:tcW w:w="283" w:type="dxa"/>
          </w:tcPr>
          <w:p>
            <w:pPr/>
          </w:p>
        </w:tc>
        <w:tc>
          <w:tcPr>
            <w:tcW w:w="7074" w:type="dxa"/>
          </w:tcPr>
          <w:p>
            <w:pPr>
              <w:pStyle w:val="TableParagraph"/>
              <w:spacing w:before="18"/>
              <w:ind w:left="192"/>
              <w:jc w:val="left"/>
              <w:rPr>
                <w:sz w:val="18"/>
              </w:rPr>
            </w:pPr>
            <w:r>
              <w:rPr>
                <w:sz w:val="18"/>
              </w:rPr>
              <w:t>less: Provision for impairment</w:t>
            </w:r>
          </w:p>
        </w:tc>
        <w:tc>
          <w:tcPr>
            <w:tcW w:w="1488" w:type="dxa"/>
            <w:tcBorders>
              <w:bottom w:val="single" w:sz="0" w:space="0" w:color="000000"/>
            </w:tcBorders>
          </w:tcPr>
          <w:p>
            <w:pPr>
              <w:pStyle w:val="TableParagraph"/>
              <w:spacing w:before="19"/>
              <w:ind w:right="217"/>
              <w:rPr>
                <w:b/>
                <w:sz w:val="18"/>
              </w:rPr>
            </w:pPr>
            <w:r>
              <w:rPr>
                <w:b/>
                <w:w w:val="95"/>
                <w:sz w:val="18"/>
              </w:rPr>
              <w:t>(5,874)</w:t>
            </w:r>
          </w:p>
        </w:tc>
        <w:tc>
          <w:tcPr>
            <w:tcW w:w="1106" w:type="dxa"/>
            <w:tcBorders>
              <w:bottom w:val="single" w:sz="0" w:space="0" w:color="000000"/>
            </w:tcBorders>
          </w:tcPr>
          <w:p>
            <w:pPr>
              <w:pStyle w:val="TableParagraph"/>
              <w:spacing w:before="19"/>
              <w:ind w:right="27"/>
              <w:rPr>
                <w:sz w:val="18"/>
              </w:rPr>
            </w:pPr>
            <w:r>
              <w:rPr>
                <w:w w:val="95"/>
                <w:sz w:val="18"/>
              </w:rPr>
              <w:t>(16,818)</w:t>
            </w:r>
          </w:p>
        </w:tc>
      </w:tr>
      <w:tr>
        <w:trPr>
          <w:trHeight w:val="353" w:hRule="exact"/>
        </w:trPr>
        <w:tc>
          <w:tcPr>
            <w:tcW w:w="283" w:type="dxa"/>
          </w:tcPr>
          <w:p>
            <w:pPr/>
          </w:p>
        </w:tc>
        <w:tc>
          <w:tcPr>
            <w:tcW w:w="7074" w:type="dxa"/>
          </w:tcPr>
          <w:p>
            <w:pPr/>
          </w:p>
        </w:tc>
        <w:tc>
          <w:tcPr>
            <w:tcW w:w="1488" w:type="dxa"/>
            <w:tcBorders>
              <w:top w:val="single" w:sz="0" w:space="0" w:color="000000"/>
            </w:tcBorders>
          </w:tcPr>
          <w:p>
            <w:pPr>
              <w:pStyle w:val="TableParagraph"/>
              <w:spacing w:before="122"/>
              <w:ind w:right="276"/>
              <w:rPr>
                <w:b/>
                <w:sz w:val="18"/>
              </w:rPr>
            </w:pPr>
            <w:r>
              <w:rPr>
                <w:b/>
                <w:w w:val="95"/>
                <w:sz w:val="18"/>
              </w:rPr>
              <w:t>82,915</w:t>
            </w:r>
          </w:p>
        </w:tc>
        <w:tc>
          <w:tcPr>
            <w:tcW w:w="1106" w:type="dxa"/>
            <w:tcBorders>
              <w:top w:val="single" w:sz="0" w:space="0" w:color="000000"/>
            </w:tcBorders>
          </w:tcPr>
          <w:p>
            <w:pPr>
              <w:pStyle w:val="TableParagraph"/>
              <w:spacing w:before="122"/>
              <w:ind w:right="86"/>
              <w:rPr>
                <w:sz w:val="18"/>
              </w:rPr>
            </w:pPr>
            <w:r>
              <w:rPr>
                <w:w w:val="95"/>
                <w:sz w:val="18"/>
              </w:rPr>
              <w:t>60,277</w:t>
            </w:r>
          </w:p>
        </w:tc>
      </w:tr>
      <w:tr>
        <w:trPr>
          <w:trHeight w:val="249" w:hRule="exact"/>
        </w:trPr>
        <w:tc>
          <w:tcPr>
            <w:tcW w:w="283" w:type="dxa"/>
          </w:tcPr>
          <w:p>
            <w:pPr/>
          </w:p>
        </w:tc>
        <w:tc>
          <w:tcPr>
            <w:tcW w:w="7074" w:type="dxa"/>
          </w:tcPr>
          <w:p>
            <w:pPr>
              <w:pStyle w:val="TableParagraph"/>
              <w:spacing w:before="4"/>
              <w:ind w:left="192"/>
              <w:jc w:val="left"/>
              <w:rPr>
                <w:sz w:val="18"/>
              </w:rPr>
            </w:pPr>
            <w:r>
              <w:rPr>
                <w:sz w:val="18"/>
              </w:rPr>
              <w:t>GST receivable</w:t>
            </w:r>
          </w:p>
        </w:tc>
        <w:tc>
          <w:tcPr>
            <w:tcW w:w="1488" w:type="dxa"/>
            <w:tcBorders>
              <w:bottom w:val="single" w:sz="0" w:space="0" w:color="000000"/>
            </w:tcBorders>
          </w:tcPr>
          <w:p>
            <w:pPr>
              <w:pStyle w:val="TableParagraph"/>
              <w:spacing w:before="5"/>
              <w:ind w:right="276"/>
              <w:rPr>
                <w:b/>
                <w:sz w:val="18"/>
              </w:rPr>
            </w:pPr>
            <w:r>
              <w:rPr>
                <w:b/>
                <w:w w:val="95"/>
                <w:sz w:val="18"/>
              </w:rPr>
              <w:t>37,928</w:t>
            </w:r>
          </w:p>
        </w:tc>
        <w:tc>
          <w:tcPr>
            <w:tcW w:w="1106" w:type="dxa"/>
            <w:tcBorders>
              <w:bottom w:val="single" w:sz="0" w:space="0" w:color="000000"/>
            </w:tcBorders>
          </w:tcPr>
          <w:p>
            <w:pPr>
              <w:pStyle w:val="TableParagraph"/>
              <w:spacing w:before="5"/>
              <w:ind w:right="86"/>
              <w:rPr>
                <w:sz w:val="18"/>
              </w:rPr>
            </w:pPr>
            <w:r>
              <w:rPr>
                <w:w w:val="95"/>
                <w:sz w:val="18"/>
              </w:rPr>
              <w:t>24,641</w:t>
            </w:r>
          </w:p>
        </w:tc>
      </w:tr>
      <w:tr>
        <w:trPr>
          <w:trHeight w:val="353" w:hRule="exact"/>
        </w:trPr>
        <w:tc>
          <w:tcPr>
            <w:tcW w:w="283" w:type="dxa"/>
          </w:tcPr>
          <w:p>
            <w:pPr/>
          </w:p>
        </w:tc>
        <w:tc>
          <w:tcPr>
            <w:tcW w:w="7074" w:type="dxa"/>
          </w:tcPr>
          <w:p>
            <w:pPr>
              <w:pStyle w:val="TableParagraph"/>
              <w:spacing w:before="123"/>
              <w:ind w:left="192"/>
              <w:jc w:val="left"/>
              <w:rPr>
                <w:b/>
                <w:sz w:val="18"/>
              </w:rPr>
            </w:pPr>
            <w:r>
              <w:rPr>
                <w:b/>
                <w:sz w:val="18"/>
              </w:rPr>
              <w:t>Total current receivables</w:t>
            </w:r>
          </w:p>
        </w:tc>
        <w:tc>
          <w:tcPr>
            <w:tcW w:w="1488" w:type="dxa"/>
            <w:tcBorders>
              <w:top w:val="single" w:sz="0" w:space="0" w:color="000000"/>
              <w:bottom w:val="single" w:sz="0" w:space="0" w:color="000000"/>
            </w:tcBorders>
          </w:tcPr>
          <w:p>
            <w:pPr>
              <w:pStyle w:val="TableParagraph"/>
              <w:spacing w:before="122"/>
              <w:ind w:left="561"/>
              <w:jc w:val="left"/>
              <w:rPr>
                <w:b/>
                <w:sz w:val="18"/>
              </w:rPr>
            </w:pPr>
            <w:r>
              <w:rPr>
                <w:b/>
                <w:sz w:val="18"/>
              </w:rPr>
              <w:t>120,843</w:t>
            </w:r>
          </w:p>
        </w:tc>
        <w:tc>
          <w:tcPr>
            <w:tcW w:w="1106" w:type="dxa"/>
            <w:tcBorders>
              <w:top w:val="single" w:sz="0" w:space="0" w:color="000000"/>
              <w:bottom w:val="single" w:sz="0" w:space="0" w:color="000000"/>
            </w:tcBorders>
          </w:tcPr>
          <w:p>
            <w:pPr>
              <w:pStyle w:val="TableParagraph"/>
              <w:spacing w:before="122"/>
              <w:ind w:right="86"/>
              <w:rPr>
                <w:sz w:val="18"/>
              </w:rPr>
            </w:pPr>
            <w:r>
              <w:rPr>
                <w:w w:val="95"/>
                <w:sz w:val="18"/>
              </w:rPr>
              <w:t>84,918</w:t>
            </w:r>
          </w:p>
        </w:tc>
      </w:tr>
      <w:tr>
        <w:trPr>
          <w:trHeight w:val="937" w:hRule="exact"/>
        </w:trPr>
        <w:tc>
          <w:tcPr>
            <w:tcW w:w="283" w:type="dxa"/>
          </w:tcPr>
          <w:p>
            <w:pPr/>
          </w:p>
        </w:tc>
        <w:tc>
          <w:tcPr>
            <w:tcW w:w="7074" w:type="dxa"/>
          </w:tcPr>
          <w:p>
            <w:pPr>
              <w:pStyle w:val="TableParagraph"/>
              <w:jc w:val="left"/>
              <w:rPr>
                <w:sz w:val="18"/>
              </w:rPr>
            </w:pPr>
          </w:p>
          <w:p>
            <w:pPr>
              <w:pStyle w:val="TableParagraph"/>
              <w:spacing w:before="9"/>
              <w:jc w:val="left"/>
              <w:rPr>
                <w:sz w:val="21"/>
              </w:rPr>
            </w:pPr>
          </w:p>
          <w:p>
            <w:pPr>
              <w:pStyle w:val="TableParagraph"/>
              <w:ind w:left="147"/>
              <w:jc w:val="left"/>
              <w:rPr>
                <w:b/>
                <w:sz w:val="18"/>
              </w:rPr>
            </w:pPr>
            <w:r>
              <w:rPr>
                <w:b/>
                <w:sz w:val="18"/>
              </w:rPr>
              <w:t>NON-CURRENT</w:t>
            </w:r>
          </w:p>
          <w:p>
            <w:pPr>
              <w:pStyle w:val="TableParagraph"/>
              <w:spacing w:before="27"/>
              <w:ind w:left="147"/>
              <w:jc w:val="left"/>
              <w:rPr>
                <w:sz w:val="18"/>
              </w:rPr>
            </w:pPr>
            <w:r>
              <w:rPr>
                <w:sz w:val="18"/>
              </w:rPr>
              <w:t>Loan to Parent Entity</w:t>
            </w:r>
          </w:p>
        </w:tc>
        <w:tc>
          <w:tcPr>
            <w:tcW w:w="1488" w:type="dxa"/>
            <w:tcBorders>
              <w:top w:val="single" w:sz="0" w:space="0" w:color="000000"/>
              <w:bottom w:val="single" w:sz="0" w:space="0" w:color="000000"/>
            </w:tcBorders>
          </w:tcPr>
          <w:p>
            <w:pPr>
              <w:pStyle w:val="TableParagraph"/>
              <w:jc w:val="left"/>
              <w:rPr>
                <w:sz w:val="18"/>
              </w:rPr>
            </w:pPr>
          </w:p>
          <w:p>
            <w:pPr>
              <w:pStyle w:val="TableParagraph"/>
              <w:jc w:val="left"/>
              <w:rPr>
                <w:sz w:val="18"/>
              </w:rPr>
            </w:pPr>
          </w:p>
          <w:p>
            <w:pPr>
              <w:pStyle w:val="TableParagraph"/>
              <w:spacing w:before="2"/>
              <w:jc w:val="left"/>
              <w:rPr>
                <w:sz w:val="24"/>
              </w:rPr>
            </w:pPr>
          </w:p>
          <w:p>
            <w:pPr>
              <w:pStyle w:val="TableParagraph"/>
              <w:ind w:left="409"/>
              <w:jc w:val="left"/>
              <w:rPr>
                <w:b/>
                <w:sz w:val="18"/>
              </w:rPr>
            </w:pPr>
            <w:r>
              <w:rPr>
                <w:b/>
                <w:sz w:val="18"/>
              </w:rPr>
              <w:t>1,576,133</w:t>
            </w:r>
          </w:p>
        </w:tc>
        <w:tc>
          <w:tcPr>
            <w:tcW w:w="1106" w:type="dxa"/>
            <w:tcBorders>
              <w:top w:val="single" w:sz="0" w:space="0" w:color="000000"/>
              <w:bottom w:val="single" w:sz="0" w:space="0" w:color="000000"/>
            </w:tcBorders>
          </w:tcPr>
          <w:p>
            <w:pPr>
              <w:pStyle w:val="TableParagraph"/>
              <w:jc w:val="left"/>
              <w:rPr>
                <w:sz w:val="18"/>
              </w:rPr>
            </w:pPr>
          </w:p>
          <w:p>
            <w:pPr>
              <w:pStyle w:val="TableParagraph"/>
              <w:jc w:val="left"/>
              <w:rPr>
                <w:sz w:val="18"/>
              </w:rPr>
            </w:pPr>
          </w:p>
          <w:p>
            <w:pPr>
              <w:pStyle w:val="TableParagraph"/>
              <w:spacing w:before="2"/>
              <w:jc w:val="left"/>
              <w:rPr>
                <w:sz w:val="24"/>
              </w:rPr>
            </w:pPr>
          </w:p>
          <w:p>
            <w:pPr>
              <w:pStyle w:val="TableParagraph"/>
              <w:ind w:right="86"/>
              <w:rPr>
                <w:sz w:val="18"/>
              </w:rPr>
            </w:pPr>
            <w:r>
              <w:rPr>
                <w:w w:val="95"/>
                <w:sz w:val="18"/>
              </w:rPr>
              <w:t>1,187,436</w:t>
            </w:r>
          </w:p>
        </w:tc>
      </w:tr>
      <w:tr>
        <w:trPr>
          <w:trHeight w:val="353" w:hRule="exact"/>
        </w:trPr>
        <w:tc>
          <w:tcPr>
            <w:tcW w:w="283" w:type="dxa"/>
          </w:tcPr>
          <w:p>
            <w:pPr/>
          </w:p>
        </w:tc>
        <w:tc>
          <w:tcPr>
            <w:tcW w:w="7074" w:type="dxa"/>
          </w:tcPr>
          <w:p>
            <w:pPr>
              <w:pStyle w:val="TableParagraph"/>
              <w:spacing w:before="123"/>
              <w:ind w:left="147"/>
              <w:jc w:val="left"/>
              <w:rPr>
                <w:b/>
                <w:sz w:val="18"/>
              </w:rPr>
            </w:pPr>
            <w:r>
              <w:rPr>
                <w:b/>
                <w:sz w:val="18"/>
              </w:rPr>
              <w:t>Total non-current receivable</w:t>
            </w:r>
          </w:p>
        </w:tc>
        <w:tc>
          <w:tcPr>
            <w:tcW w:w="1488" w:type="dxa"/>
            <w:tcBorders>
              <w:top w:val="single" w:sz="0" w:space="0" w:color="000000"/>
              <w:bottom w:val="single" w:sz="0" w:space="0" w:color="000000"/>
            </w:tcBorders>
          </w:tcPr>
          <w:p>
            <w:pPr>
              <w:pStyle w:val="TableParagraph"/>
              <w:spacing w:before="122"/>
              <w:ind w:left="409"/>
              <w:jc w:val="left"/>
              <w:rPr>
                <w:b/>
                <w:sz w:val="18"/>
              </w:rPr>
            </w:pPr>
            <w:r>
              <w:rPr>
                <w:b/>
                <w:sz w:val="18"/>
              </w:rPr>
              <w:t>1,576,133</w:t>
            </w:r>
          </w:p>
        </w:tc>
        <w:tc>
          <w:tcPr>
            <w:tcW w:w="1106" w:type="dxa"/>
            <w:tcBorders>
              <w:top w:val="single" w:sz="0" w:space="0" w:color="000000"/>
              <w:bottom w:val="single" w:sz="0" w:space="0" w:color="000000"/>
            </w:tcBorders>
          </w:tcPr>
          <w:p>
            <w:pPr>
              <w:pStyle w:val="TableParagraph"/>
              <w:spacing w:before="122"/>
              <w:ind w:right="86"/>
              <w:rPr>
                <w:sz w:val="18"/>
              </w:rPr>
            </w:pPr>
            <w:r>
              <w:rPr>
                <w:w w:val="95"/>
                <w:sz w:val="18"/>
              </w:rPr>
              <w:t>1,187,436</w:t>
            </w:r>
          </w:p>
        </w:tc>
      </w:tr>
      <w:tr>
        <w:trPr>
          <w:trHeight w:val="577" w:hRule="exact"/>
        </w:trPr>
        <w:tc>
          <w:tcPr>
            <w:tcW w:w="283" w:type="dxa"/>
          </w:tcPr>
          <w:p>
            <w:pPr/>
          </w:p>
        </w:tc>
        <w:tc>
          <w:tcPr>
            <w:tcW w:w="7074" w:type="dxa"/>
          </w:tcPr>
          <w:p>
            <w:pPr>
              <w:pStyle w:val="TableParagraph"/>
              <w:jc w:val="left"/>
              <w:rPr>
                <w:sz w:val="18"/>
              </w:rPr>
            </w:pPr>
          </w:p>
          <w:p>
            <w:pPr>
              <w:pStyle w:val="TableParagraph"/>
              <w:spacing w:before="140"/>
              <w:ind w:left="175"/>
              <w:jc w:val="left"/>
              <w:rPr>
                <w:b/>
                <w:sz w:val="18"/>
              </w:rPr>
            </w:pPr>
            <w:bookmarkStart w:name=" " w:id="336"/>
            <w:bookmarkEnd w:id="336"/>
            <w:r>
              <w:rPr/>
            </w:r>
            <w:r>
              <w:rPr>
                <w:b/>
                <w:sz w:val="18"/>
              </w:rPr>
              <w:t>Total trade and other receivables</w:t>
            </w:r>
          </w:p>
        </w:tc>
        <w:tc>
          <w:tcPr>
            <w:tcW w:w="1488" w:type="dxa"/>
            <w:tcBorders>
              <w:top w:val="single" w:sz="0" w:space="0" w:color="000000"/>
              <w:bottom w:val="single" w:sz="0" w:space="0" w:color="000000"/>
            </w:tcBorders>
          </w:tcPr>
          <w:p>
            <w:pPr>
              <w:pStyle w:val="TableParagraph"/>
              <w:jc w:val="left"/>
              <w:rPr>
                <w:sz w:val="18"/>
              </w:rPr>
            </w:pPr>
          </w:p>
          <w:p>
            <w:pPr>
              <w:pStyle w:val="TableParagraph"/>
              <w:spacing w:before="110"/>
              <w:ind w:left="410"/>
              <w:jc w:val="left"/>
              <w:rPr>
                <w:b/>
                <w:sz w:val="18"/>
              </w:rPr>
            </w:pPr>
            <w:r>
              <w:rPr>
                <w:b/>
                <w:sz w:val="18"/>
              </w:rPr>
              <w:t>1,696,976</w:t>
            </w:r>
          </w:p>
        </w:tc>
        <w:tc>
          <w:tcPr>
            <w:tcW w:w="1106" w:type="dxa"/>
            <w:tcBorders>
              <w:top w:val="single" w:sz="0" w:space="0" w:color="000000"/>
              <w:bottom w:val="single" w:sz="0" w:space="0" w:color="000000"/>
            </w:tcBorders>
          </w:tcPr>
          <w:p>
            <w:pPr>
              <w:pStyle w:val="TableParagraph"/>
              <w:jc w:val="left"/>
              <w:rPr>
                <w:sz w:val="18"/>
              </w:rPr>
            </w:pPr>
          </w:p>
          <w:p>
            <w:pPr>
              <w:pStyle w:val="TableParagraph"/>
              <w:spacing w:before="110"/>
              <w:ind w:right="85"/>
              <w:rPr>
                <w:sz w:val="18"/>
              </w:rPr>
            </w:pPr>
            <w:r>
              <w:rPr>
                <w:w w:val="95"/>
                <w:sz w:val="18"/>
              </w:rPr>
              <w:t>1,272,354</w:t>
            </w:r>
          </w:p>
        </w:tc>
      </w:tr>
    </w:tbl>
    <w:p>
      <w:pPr>
        <w:pStyle w:val="BodyText"/>
        <w:rPr>
          <w:sz w:val="20"/>
        </w:rPr>
      </w:pPr>
    </w:p>
    <w:p>
      <w:pPr>
        <w:pStyle w:val="BodyText"/>
        <w:rPr>
          <w:sz w:val="20"/>
        </w:rPr>
      </w:pPr>
    </w:p>
    <w:p>
      <w:pPr>
        <w:pStyle w:val="BodyText"/>
        <w:spacing w:before="7"/>
        <w:rPr>
          <w:sz w:val="19"/>
        </w:rPr>
      </w:pPr>
    </w:p>
    <w:p>
      <w:pPr>
        <w:pStyle w:val="ListParagraph"/>
        <w:numPr>
          <w:ilvl w:val="1"/>
          <w:numId w:val="70"/>
        </w:numPr>
        <w:tabs>
          <w:tab w:pos="2123" w:val="left" w:leader="none"/>
        </w:tabs>
        <w:spacing w:line="240" w:lineRule="auto" w:before="0" w:after="0"/>
        <w:ind w:left="2122" w:right="0" w:hanging="270"/>
        <w:jc w:val="left"/>
        <w:rPr>
          <w:sz w:val="18"/>
        </w:rPr>
      </w:pPr>
      <w:r>
        <w:rPr>
          <w:sz w:val="18"/>
        </w:rPr>
        <w:t>Trade and other</w:t>
      </w:r>
      <w:r>
        <w:rPr>
          <w:spacing w:val="-25"/>
          <w:sz w:val="18"/>
        </w:rPr>
        <w:t> </w:t>
      </w:r>
      <w:r>
        <w:rPr>
          <w:sz w:val="18"/>
        </w:rPr>
        <w:t>receivables</w:t>
      </w:r>
    </w:p>
    <w:p>
      <w:pPr>
        <w:pStyle w:val="BodyText"/>
        <w:spacing w:before="11"/>
        <w:rPr>
          <w:sz w:val="24"/>
        </w:rPr>
      </w:pPr>
    </w:p>
    <w:p>
      <w:pPr>
        <w:pStyle w:val="BodyText"/>
        <w:ind w:left="1852" w:right="1375"/>
      </w:pPr>
      <w:r>
        <w:rPr/>
        <w:t>As at 31 December 2016, trade receivable of $23,107 (2015: $47,024) and receivable from parent entity of $65,682 (2015: $30,071).</w:t>
      </w:r>
    </w:p>
    <w:p>
      <w:pPr>
        <w:pStyle w:val="BodyText"/>
        <w:spacing w:before="3"/>
      </w:pPr>
    </w:p>
    <w:tbl>
      <w:tblPr>
        <w:tblW w:w="0" w:type="auto"/>
        <w:jc w:val="left"/>
        <w:tblInd w:w="178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961"/>
        <w:gridCol w:w="1477"/>
        <w:gridCol w:w="1117"/>
      </w:tblGrid>
      <w:tr>
        <w:trPr>
          <w:trHeight w:val="567" w:hRule="exact"/>
        </w:trPr>
        <w:tc>
          <w:tcPr>
            <w:tcW w:w="6961" w:type="dxa"/>
          </w:tcPr>
          <w:p>
            <w:pPr>
              <w:pStyle w:val="TableParagraph"/>
              <w:spacing w:before="77"/>
              <w:ind w:left="63"/>
              <w:jc w:val="left"/>
              <w:rPr>
                <w:sz w:val="18"/>
              </w:rPr>
            </w:pPr>
            <w:r>
              <w:rPr>
                <w:sz w:val="18"/>
              </w:rPr>
              <w:t>The ageing of total current receivables (excluding GST receivable) is as follows:</w:t>
            </w:r>
          </w:p>
        </w:tc>
        <w:tc>
          <w:tcPr>
            <w:tcW w:w="1477" w:type="dxa"/>
          </w:tcPr>
          <w:p>
            <w:pPr>
              <w:pStyle w:val="TableParagraph"/>
              <w:jc w:val="left"/>
              <w:rPr>
                <w:sz w:val="18"/>
              </w:rPr>
            </w:pPr>
          </w:p>
          <w:p>
            <w:pPr>
              <w:pStyle w:val="TableParagraph"/>
              <w:spacing w:before="110"/>
              <w:ind w:left="448"/>
              <w:jc w:val="left"/>
              <w:rPr>
                <w:b/>
                <w:sz w:val="18"/>
              </w:rPr>
            </w:pPr>
            <w:r>
              <w:rPr>
                <w:b/>
                <w:sz w:val="18"/>
              </w:rPr>
              <w:t>2016</w:t>
            </w:r>
          </w:p>
        </w:tc>
        <w:tc>
          <w:tcPr>
            <w:tcW w:w="1117" w:type="dxa"/>
          </w:tcPr>
          <w:p>
            <w:pPr>
              <w:pStyle w:val="TableParagraph"/>
              <w:jc w:val="left"/>
              <w:rPr>
                <w:sz w:val="18"/>
              </w:rPr>
            </w:pPr>
          </w:p>
          <w:p>
            <w:pPr>
              <w:pStyle w:val="TableParagraph"/>
              <w:spacing w:before="110"/>
              <w:ind w:left="268"/>
              <w:jc w:val="left"/>
              <w:rPr>
                <w:b/>
                <w:sz w:val="18"/>
              </w:rPr>
            </w:pPr>
            <w:r>
              <w:rPr>
                <w:b/>
                <w:sz w:val="18"/>
              </w:rPr>
              <w:t>2015</w:t>
            </w:r>
          </w:p>
        </w:tc>
      </w:tr>
      <w:tr>
        <w:trPr>
          <w:trHeight w:val="271" w:hRule="exact"/>
        </w:trPr>
        <w:tc>
          <w:tcPr>
            <w:tcW w:w="6961" w:type="dxa"/>
          </w:tcPr>
          <w:p>
            <w:pPr/>
          </w:p>
        </w:tc>
        <w:tc>
          <w:tcPr>
            <w:tcW w:w="1477" w:type="dxa"/>
          </w:tcPr>
          <w:p>
            <w:pPr>
              <w:pStyle w:val="TableParagraph"/>
              <w:spacing w:before="24"/>
              <w:ind w:right="177"/>
              <w:jc w:val="center"/>
              <w:rPr>
                <w:b/>
                <w:sz w:val="18"/>
              </w:rPr>
            </w:pPr>
            <w:r>
              <w:rPr>
                <w:b/>
                <w:w w:val="99"/>
                <w:sz w:val="18"/>
              </w:rPr>
              <w:t>$</w:t>
            </w:r>
          </w:p>
        </w:tc>
        <w:tc>
          <w:tcPr>
            <w:tcW w:w="1117" w:type="dxa"/>
          </w:tcPr>
          <w:p>
            <w:pPr>
              <w:pStyle w:val="TableParagraph"/>
              <w:spacing w:before="24"/>
              <w:ind w:right="177"/>
              <w:jc w:val="center"/>
              <w:rPr>
                <w:b/>
                <w:sz w:val="18"/>
              </w:rPr>
            </w:pPr>
            <w:r>
              <w:rPr>
                <w:b/>
                <w:w w:val="99"/>
                <w:sz w:val="18"/>
              </w:rPr>
              <w:t>$</w:t>
            </w:r>
          </w:p>
        </w:tc>
      </w:tr>
      <w:tr>
        <w:trPr>
          <w:trHeight w:val="267" w:hRule="exact"/>
        </w:trPr>
        <w:tc>
          <w:tcPr>
            <w:tcW w:w="6961" w:type="dxa"/>
          </w:tcPr>
          <w:p>
            <w:pPr>
              <w:pStyle w:val="TableParagraph"/>
              <w:spacing w:before="22"/>
              <w:ind w:left="35"/>
              <w:jc w:val="left"/>
              <w:rPr>
                <w:sz w:val="18"/>
              </w:rPr>
            </w:pPr>
            <w:r>
              <w:rPr>
                <w:sz w:val="18"/>
              </w:rPr>
              <w:t>Up to 3 months</w:t>
            </w:r>
          </w:p>
        </w:tc>
        <w:tc>
          <w:tcPr>
            <w:tcW w:w="1477" w:type="dxa"/>
          </w:tcPr>
          <w:p>
            <w:pPr>
              <w:pStyle w:val="TableParagraph"/>
              <w:spacing w:before="21"/>
              <w:ind w:right="266"/>
              <w:rPr>
                <w:b/>
                <w:sz w:val="18"/>
              </w:rPr>
            </w:pPr>
            <w:r>
              <w:rPr>
                <w:b/>
                <w:w w:val="95"/>
                <w:sz w:val="18"/>
              </w:rPr>
              <w:t>86,512</w:t>
            </w:r>
          </w:p>
        </w:tc>
        <w:tc>
          <w:tcPr>
            <w:tcW w:w="1117" w:type="dxa"/>
          </w:tcPr>
          <w:p>
            <w:pPr>
              <w:pStyle w:val="TableParagraph"/>
              <w:spacing w:before="21"/>
              <w:ind w:right="86"/>
              <w:rPr>
                <w:sz w:val="18"/>
              </w:rPr>
            </w:pPr>
            <w:r>
              <w:rPr>
                <w:w w:val="95"/>
                <w:sz w:val="18"/>
              </w:rPr>
              <w:t>60,277</w:t>
            </w:r>
          </w:p>
        </w:tc>
      </w:tr>
      <w:tr>
        <w:trPr>
          <w:trHeight w:val="264" w:hRule="exact"/>
        </w:trPr>
        <w:tc>
          <w:tcPr>
            <w:tcW w:w="6961" w:type="dxa"/>
          </w:tcPr>
          <w:p>
            <w:pPr>
              <w:pStyle w:val="TableParagraph"/>
              <w:spacing w:before="19"/>
              <w:ind w:left="35"/>
              <w:jc w:val="left"/>
              <w:rPr>
                <w:sz w:val="18"/>
              </w:rPr>
            </w:pPr>
            <w:r>
              <w:rPr>
                <w:sz w:val="18"/>
              </w:rPr>
              <w:t>3 to 6 months</w:t>
            </w:r>
          </w:p>
        </w:tc>
        <w:tc>
          <w:tcPr>
            <w:tcW w:w="1477" w:type="dxa"/>
          </w:tcPr>
          <w:p>
            <w:pPr>
              <w:pStyle w:val="TableParagraph"/>
              <w:spacing w:before="18"/>
              <w:ind w:right="266"/>
              <w:rPr>
                <w:b/>
                <w:sz w:val="18"/>
              </w:rPr>
            </w:pPr>
            <w:r>
              <w:rPr>
                <w:b/>
                <w:sz w:val="18"/>
              </w:rPr>
              <w:t>1,931</w:t>
            </w:r>
          </w:p>
        </w:tc>
        <w:tc>
          <w:tcPr>
            <w:tcW w:w="1117" w:type="dxa"/>
          </w:tcPr>
          <w:p>
            <w:pPr>
              <w:pStyle w:val="TableParagraph"/>
              <w:spacing w:before="18"/>
              <w:ind w:right="86"/>
              <w:rPr>
                <w:sz w:val="18"/>
              </w:rPr>
            </w:pPr>
            <w:r>
              <w:rPr>
                <w:w w:val="95"/>
                <w:sz w:val="18"/>
              </w:rPr>
              <w:t>12,268</w:t>
            </w:r>
          </w:p>
        </w:tc>
      </w:tr>
      <w:tr>
        <w:trPr>
          <w:trHeight w:val="262" w:hRule="exact"/>
        </w:trPr>
        <w:tc>
          <w:tcPr>
            <w:tcW w:w="6961" w:type="dxa"/>
          </w:tcPr>
          <w:p>
            <w:pPr>
              <w:pStyle w:val="TableParagraph"/>
              <w:spacing w:before="19"/>
              <w:ind w:left="35"/>
              <w:jc w:val="left"/>
              <w:rPr>
                <w:sz w:val="18"/>
              </w:rPr>
            </w:pPr>
            <w:r>
              <w:rPr>
                <w:sz w:val="18"/>
              </w:rPr>
              <w:t>Over 6 months</w:t>
            </w:r>
          </w:p>
        </w:tc>
        <w:tc>
          <w:tcPr>
            <w:tcW w:w="1477" w:type="dxa"/>
            <w:tcBorders>
              <w:bottom w:val="single" w:sz="0" w:space="0" w:color="000000"/>
            </w:tcBorders>
          </w:tcPr>
          <w:p>
            <w:pPr>
              <w:pStyle w:val="TableParagraph"/>
              <w:spacing w:before="18"/>
              <w:ind w:right="266"/>
              <w:rPr>
                <w:b/>
                <w:sz w:val="18"/>
              </w:rPr>
            </w:pPr>
            <w:r>
              <w:rPr>
                <w:b/>
                <w:sz w:val="18"/>
              </w:rPr>
              <w:t>346</w:t>
            </w:r>
          </w:p>
        </w:tc>
        <w:tc>
          <w:tcPr>
            <w:tcW w:w="1117" w:type="dxa"/>
            <w:tcBorders>
              <w:bottom w:val="single" w:sz="0" w:space="0" w:color="000000"/>
            </w:tcBorders>
          </w:tcPr>
          <w:p>
            <w:pPr>
              <w:pStyle w:val="TableParagraph"/>
              <w:spacing w:before="18"/>
              <w:ind w:right="86"/>
              <w:rPr>
                <w:sz w:val="18"/>
              </w:rPr>
            </w:pPr>
            <w:r>
              <w:rPr>
                <w:sz w:val="18"/>
              </w:rPr>
              <w:t>4,550</w:t>
            </w:r>
          </w:p>
        </w:tc>
      </w:tr>
      <w:tr>
        <w:trPr>
          <w:trHeight w:val="330" w:hRule="exact"/>
        </w:trPr>
        <w:tc>
          <w:tcPr>
            <w:tcW w:w="6961" w:type="dxa"/>
          </w:tcPr>
          <w:p>
            <w:pPr/>
          </w:p>
        </w:tc>
        <w:tc>
          <w:tcPr>
            <w:tcW w:w="1477" w:type="dxa"/>
            <w:tcBorders>
              <w:top w:val="single" w:sz="0" w:space="0" w:color="000000"/>
            </w:tcBorders>
          </w:tcPr>
          <w:p>
            <w:pPr>
              <w:pStyle w:val="TableParagraph"/>
              <w:spacing w:before="122"/>
              <w:ind w:right="266"/>
              <w:rPr>
                <w:b/>
                <w:sz w:val="18"/>
              </w:rPr>
            </w:pPr>
            <w:r>
              <w:rPr>
                <w:b/>
                <w:w w:val="95"/>
                <w:sz w:val="18"/>
              </w:rPr>
              <w:t>88,789</w:t>
            </w:r>
          </w:p>
        </w:tc>
        <w:tc>
          <w:tcPr>
            <w:tcW w:w="1117" w:type="dxa"/>
            <w:tcBorders>
              <w:top w:val="single" w:sz="0" w:space="0" w:color="000000"/>
            </w:tcBorders>
          </w:tcPr>
          <w:p>
            <w:pPr>
              <w:pStyle w:val="TableParagraph"/>
              <w:spacing w:before="122"/>
              <w:ind w:right="86"/>
              <w:rPr>
                <w:sz w:val="18"/>
              </w:rPr>
            </w:pPr>
            <w:r>
              <w:rPr>
                <w:w w:val="95"/>
                <w:sz w:val="18"/>
              </w:rPr>
              <w:t>77,095</w:t>
            </w:r>
          </w:p>
        </w:tc>
      </w:tr>
    </w:tbl>
    <w:p>
      <w:pPr>
        <w:spacing w:after="0"/>
        <w:rPr>
          <w:sz w:val="18"/>
        </w:rPr>
        <w:sectPr>
          <w:type w:val="continuous"/>
          <w:pgSz w:w="12750" w:h="17680"/>
          <w:pgMar w:top="1660" w:bottom="0" w:left="0" w:right="0"/>
        </w:sectPr>
      </w:pPr>
    </w:p>
    <w:p>
      <w:pPr>
        <w:pStyle w:val="BodyText"/>
        <w:rPr>
          <w:sz w:val="20"/>
        </w:rPr>
      </w:pPr>
    </w:p>
    <w:p>
      <w:pPr>
        <w:pStyle w:val="BodyText"/>
        <w:rPr>
          <w:sz w:val="20"/>
        </w:rPr>
      </w:pPr>
    </w:p>
    <w:p>
      <w:pPr>
        <w:pStyle w:val="BodyText"/>
        <w:spacing w:before="8"/>
        <w:rPr>
          <w:sz w:val="21"/>
        </w:rPr>
      </w:pPr>
    </w:p>
    <w:p>
      <w:pPr>
        <w:pStyle w:val="Heading8"/>
        <w:numPr>
          <w:ilvl w:val="0"/>
          <w:numId w:val="70"/>
        </w:numPr>
        <w:tabs>
          <w:tab w:pos="1824" w:val="left" w:leader="none"/>
        </w:tabs>
        <w:spacing w:line="240" w:lineRule="auto" w:before="77" w:after="0"/>
        <w:ind w:left="1824" w:right="0" w:hanging="396"/>
        <w:jc w:val="left"/>
      </w:pPr>
      <w:bookmarkStart w:name="Trade and other receivables" w:id="337"/>
      <w:bookmarkEnd w:id="337"/>
      <w:r>
        <w:rPr>
          <w:b w:val="0"/>
        </w:rPr>
      </w:r>
      <w:bookmarkStart w:name="Trade and other receivables" w:id="338"/>
      <w:bookmarkEnd w:id="338"/>
      <w:r>
        <w:rPr/>
        <w:t>Trade</w:t>
      </w:r>
      <w:r>
        <w:rPr/>
        <w:t> and other receivables</w:t>
      </w:r>
      <w:r>
        <w:rPr>
          <w:spacing w:val="-6"/>
        </w:rPr>
        <w:t> </w:t>
      </w:r>
      <w:r>
        <w:rPr/>
        <w:t>continued</w:t>
      </w:r>
    </w:p>
    <w:p>
      <w:pPr>
        <w:pStyle w:val="BodyText"/>
        <w:spacing w:before="141"/>
        <w:ind w:left="1852"/>
      </w:pPr>
      <w:r>
        <w:rPr/>
        <w:t>(b) Credit risk</w:t>
      </w:r>
    </w:p>
    <w:p>
      <w:pPr>
        <w:pStyle w:val="BodyText"/>
        <w:spacing w:before="11"/>
        <w:rPr>
          <w:sz w:val="24"/>
        </w:rPr>
      </w:pPr>
    </w:p>
    <w:p>
      <w:pPr>
        <w:pStyle w:val="BodyText"/>
        <w:ind w:left="1852" w:right="1375"/>
      </w:pPr>
      <w:r>
        <w:rPr/>
        <w:t>The Company has no significant concentration of credit risk with respect to any single counter party or group or counterparties. The class of assets described as "trade and other receivables" is considered to be the main source of credit risk related to the Company.</w:t>
      </w:r>
    </w:p>
    <w:p>
      <w:pPr>
        <w:pStyle w:val="BodyText"/>
        <w:spacing w:before="11"/>
        <w:rPr>
          <w:sz w:val="24"/>
        </w:rPr>
      </w:pPr>
    </w:p>
    <w:p>
      <w:pPr>
        <w:pStyle w:val="BodyText"/>
        <w:ind w:left="1852" w:right="1375"/>
      </w:pPr>
      <w:r>
        <w:rPr/>
        <w:t>The amounts within receivables do not contain impaired assets and are not significantly overdue. Based on credit </w:t>
      </w:r>
      <w:bookmarkStart w:name="6 Trade and other payables" w:id="339"/>
      <w:bookmarkEnd w:id="339"/>
      <w:r>
        <w:rPr/>
      </w:r>
      <w:r>
        <w:rPr/>
        <w:t>history, it is expected that these amounts will be received in a timely manner and do not represent any material risk.</w:t>
      </w:r>
    </w:p>
    <w:p>
      <w:pPr>
        <w:pStyle w:val="BodyText"/>
        <w:rPr>
          <w:sz w:val="20"/>
        </w:rPr>
      </w:pPr>
    </w:p>
    <w:p>
      <w:pPr>
        <w:pStyle w:val="BodyText"/>
        <w:rPr>
          <w:sz w:val="20"/>
        </w:rPr>
      </w:pPr>
    </w:p>
    <w:p>
      <w:pPr>
        <w:pStyle w:val="BodyText"/>
        <w:spacing w:before="6" w:after="1"/>
        <w:rPr>
          <w:sz w:val="28"/>
        </w:rPr>
      </w:pPr>
    </w:p>
    <w:tbl>
      <w:tblPr>
        <w:tblW w:w="0" w:type="auto"/>
        <w:jc w:val="left"/>
        <w:tblInd w:w="139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83"/>
        <w:gridCol w:w="7074"/>
        <w:gridCol w:w="1482"/>
        <w:gridCol w:w="1112"/>
      </w:tblGrid>
      <w:tr>
        <w:trPr>
          <w:trHeight w:val="567" w:hRule="exact"/>
        </w:trPr>
        <w:tc>
          <w:tcPr>
            <w:tcW w:w="283" w:type="dxa"/>
          </w:tcPr>
          <w:p>
            <w:pPr>
              <w:pStyle w:val="TableParagraph"/>
              <w:spacing w:before="77"/>
              <w:ind w:left="35"/>
              <w:jc w:val="left"/>
              <w:rPr>
                <w:b/>
                <w:sz w:val="18"/>
              </w:rPr>
            </w:pPr>
            <w:r>
              <w:rPr>
                <w:b/>
                <w:w w:val="99"/>
                <w:sz w:val="18"/>
              </w:rPr>
              <w:t>6</w:t>
            </w:r>
          </w:p>
        </w:tc>
        <w:tc>
          <w:tcPr>
            <w:tcW w:w="7074" w:type="dxa"/>
          </w:tcPr>
          <w:p>
            <w:pPr>
              <w:pStyle w:val="TableParagraph"/>
              <w:spacing w:before="77"/>
              <w:ind w:left="147"/>
              <w:jc w:val="left"/>
              <w:rPr>
                <w:b/>
                <w:sz w:val="18"/>
              </w:rPr>
            </w:pPr>
            <w:r>
              <w:rPr>
                <w:b/>
                <w:sz w:val="18"/>
              </w:rPr>
              <w:t>Trade and other payables</w:t>
            </w:r>
          </w:p>
        </w:tc>
        <w:tc>
          <w:tcPr>
            <w:tcW w:w="1482" w:type="dxa"/>
          </w:tcPr>
          <w:p>
            <w:pPr>
              <w:pStyle w:val="TableParagraph"/>
              <w:jc w:val="left"/>
              <w:rPr>
                <w:sz w:val="18"/>
              </w:rPr>
            </w:pPr>
          </w:p>
          <w:p>
            <w:pPr>
              <w:pStyle w:val="TableParagraph"/>
              <w:spacing w:before="110"/>
              <w:ind w:left="471"/>
              <w:jc w:val="left"/>
              <w:rPr>
                <w:b/>
                <w:sz w:val="18"/>
              </w:rPr>
            </w:pPr>
            <w:r>
              <w:rPr>
                <w:b/>
                <w:sz w:val="18"/>
              </w:rPr>
              <w:t>2016</w:t>
            </w:r>
          </w:p>
        </w:tc>
        <w:tc>
          <w:tcPr>
            <w:tcW w:w="1112" w:type="dxa"/>
          </w:tcPr>
          <w:p>
            <w:pPr>
              <w:pStyle w:val="TableParagraph"/>
              <w:jc w:val="left"/>
              <w:rPr>
                <w:sz w:val="18"/>
              </w:rPr>
            </w:pPr>
          </w:p>
          <w:p>
            <w:pPr>
              <w:pStyle w:val="TableParagraph"/>
              <w:spacing w:before="110"/>
              <w:ind w:left="272"/>
              <w:jc w:val="left"/>
              <w:rPr>
                <w:b/>
                <w:sz w:val="18"/>
              </w:rPr>
            </w:pPr>
            <w:r>
              <w:rPr>
                <w:b/>
                <w:sz w:val="18"/>
              </w:rPr>
              <w:t>2015</w:t>
            </w:r>
          </w:p>
        </w:tc>
      </w:tr>
      <w:tr>
        <w:trPr>
          <w:trHeight w:val="313" w:hRule="exact"/>
        </w:trPr>
        <w:tc>
          <w:tcPr>
            <w:tcW w:w="283" w:type="dxa"/>
          </w:tcPr>
          <w:p>
            <w:pPr/>
          </w:p>
        </w:tc>
        <w:tc>
          <w:tcPr>
            <w:tcW w:w="7074" w:type="dxa"/>
          </w:tcPr>
          <w:p>
            <w:pPr/>
          </w:p>
        </w:tc>
        <w:tc>
          <w:tcPr>
            <w:tcW w:w="1482" w:type="dxa"/>
          </w:tcPr>
          <w:p>
            <w:pPr>
              <w:pStyle w:val="TableParagraph"/>
              <w:spacing w:before="24"/>
              <w:ind w:right="136"/>
              <w:jc w:val="center"/>
              <w:rPr>
                <w:b/>
                <w:sz w:val="18"/>
              </w:rPr>
            </w:pPr>
            <w:r>
              <w:rPr>
                <w:b/>
                <w:w w:val="99"/>
                <w:sz w:val="18"/>
              </w:rPr>
              <w:t>$</w:t>
            </w:r>
          </w:p>
        </w:tc>
        <w:tc>
          <w:tcPr>
            <w:tcW w:w="1112" w:type="dxa"/>
          </w:tcPr>
          <w:p>
            <w:pPr>
              <w:pStyle w:val="TableParagraph"/>
              <w:spacing w:before="24"/>
              <w:ind w:right="165"/>
              <w:jc w:val="center"/>
              <w:rPr>
                <w:b/>
                <w:sz w:val="18"/>
              </w:rPr>
            </w:pPr>
            <w:r>
              <w:rPr>
                <w:b/>
                <w:w w:val="99"/>
                <w:sz w:val="18"/>
              </w:rPr>
              <w:t>$</w:t>
            </w:r>
          </w:p>
        </w:tc>
      </w:tr>
      <w:tr>
        <w:trPr>
          <w:trHeight w:val="543" w:hRule="exact"/>
        </w:trPr>
        <w:tc>
          <w:tcPr>
            <w:tcW w:w="283" w:type="dxa"/>
          </w:tcPr>
          <w:p>
            <w:pPr/>
          </w:p>
        </w:tc>
        <w:tc>
          <w:tcPr>
            <w:tcW w:w="7074" w:type="dxa"/>
          </w:tcPr>
          <w:p>
            <w:pPr>
              <w:pStyle w:val="TableParagraph"/>
              <w:spacing w:before="63"/>
              <w:ind w:left="193"/>
              <w:jc w:val="left"/>
              <w:rPr>
                <w:b/>
                <w:sz w:val="18"/>
              </w:rPr>
            </w:pPr>
            <w:r>
              <w:rPr>
                <w:b/>
                <w:sz w:val="18"/>
              </w:rPr>
              <w:t>CURRENT</w:t>
            </w:r>
          </w:p>
          <w:p>
            <w:pPr>
              <w:pStyle w:val="TableParagraph"/>
              <w:spacing w:before="27"/>
              <w:ind w:left="549"/>
              <w:jc w:val="left"/>
              <w:rPr>
                <w:sz w:val="18"/>
              </w:rPr>
            </w:pPr>
            <w:r>
              <w:rPr>
                <w:sz w:val="18"/>
              </w:rPr>
              <w:t>Trade and other payables</w:t>
            </w:r>
          </w:p>
        </w:tc>
        <w:tc>
          <w:tcPr>
            <w:tcW w:w="1482" w:type="dxa"/>
          </w:tcPr>
          <w:p>
            <w:pPr>
              <w:pStyle w:val="TableParagraph"/>
              <w:spacing w:before="11"/>
              <w:jc w:val="left"/>
              <w:rPr>
                <w:sz w:val="25"/>
              </w:rPr>
            </w:pPr>
          </w:p>
          <w:p>
            <w:pPr>
              <w:pStyle w:val="TableParagraph"/>
              <w:ind w:right="270"/>
              <w:rPr>
                <w:b/>
                <w:sz w:val="18"/>
              </w:rPr>
            </w:pPr>
            <w:r>
              <w:rPr>
                <w:b/>
                <w:w w:val="95"/>
                <w:sz w:val="18"/>
              </w:rPr>
              <w:t>120,796</w:t>
            </w:r>
          </w:p>
        </w:tc>
        <w:tc>
          <w:tcPr>
            <w:tcW w:w="1112" w:type="dxa"/>
          </w:tcPr>
          <w:p>
            <w:pPr>
              <w:pStyle w:val="TableParagraph"/>
              <w:spacing w:before="11"/>
              <w:jc w:val="left"/>
              <w:rPr>
                <w:sz w:val="25"/>
              </w:rPr>
            </w:pPr>
          </w:p>
          <w:p>
            <w:pPr>
              <w:pStyle w:val="TableParagraph"/>
              <w:ind w:right="85"/>
              <w:rPr>
                <w:sz w:val="18"/>
              </w:rPr>
            </w:pPr>
            <w:r>
              <w:rPr>
                <w:w w:val="95"/>
                <w:sz w:val="18"/>
              </w:rPr>
              <w:t>29,642</w:t>
            </w:r>
          </w:p>
        </w:tc>
      </w:tr>
      <w:tr>
        <w:trPr>
          <w:trHeight w:val="264" w:hRule="exact"/>
        </w:trPr>
        <w:tc>
          <w:tcPr>
            <w:tcW w:w="283" w:type="dxa"/>
          </w:tcPr>
          <w:p>
            <w:pPr/>
          </w:p>
        </w:tc>
        <w:tc>
          <w:tcPr>
            <w:tcW w:w="7074" w:type="dxa"/>
          </w:tcPr>
          <w:p>
            <w:pPr>
              <w:pStyle w:val="TableParagraph"/>
              <w:spacing w:before="18"/>
              <w:ind w:left="549"/>
              <w:jc w:val="left"/>
              <w:rPr>
                <w:sz w:val="18"/>
              </w:rPr>
            </w:pPr>
            <w:r>
              <w:rPr>
                <w:sz w:val="18"/>
              </w:rPr>
              <w:t>Enrolment Deposits</w:t>
            </w:r>
          </w:p>
        </w:tc>
        <w:tc>
          <w:tcPr>
            <w:tcW w:w="1482" w:type="dxa"/>
          </w:tcPr>
          <w:p>
            <w:pPr>
              <w:pStyle w:val="TableParagraph"/>
              <w:spacing w:before="19"/>
              <w:ind w:right="270"/>
              <w:rPr>
                <w:b/>
                <w:sz w:val="18"/>
              </w:rPr>
            </w:pPr>
            <w:r>
              <w:rPr>
                <w:b/>
                <w:w w:val="95"/>
                <w:sz w:val="18"/>
              </w:rPr>
              <w:t>233,877</w:t>
            </w:r>
          </w:p>
        </w:tc>
        <w:tc>
          <w:tcPr>
            <w:tcW w:w="1112" w:type="dxa"/>
          </w:tcPr>
          <w:p>
            <w:pPr>
              <w:pStyle w:val="TableParagraph"/>
              <w:spacing w:before="19"/>
              <w:ind w:right="85"/>
              <w:rPr>
                <w:sz w:val="18"/>
              </w:rPr>
            </w:pPr>
            <w:r>
              <w:rPr>
                <w:w w:val="95"/>
                <w:sz w:val="18"/>
              </w:rPr>
              <w:t>224,326</w:t>
            </w:r>
          </w:p>
        </w:tc>
      </w:tr>
      <w:tr>
        <w:trPr>
          <w:trHeight w:val="264" w:hRule="exact"/>
        </w:trPr>
        <w:tc>
          <w:tcPr>
            <w:tcW w:w="283" w:type="dxa"/>
          </w:tcPr>
          <w:p>
            <w:pPr/>
          </w:p>
        </w:tc>
        <w:tc>
          <w:tcPr>
            <w:tcW w:w="7074" w:type="dxa"/>
          </w:tcPr>
          <w:p>
            <w:pPr>
              <w:pStyle w:val="TableParagraph"/>
              <w:spacing w:before="18"/>
              <w:ind w:left="549"/>
              <w:jc w:val="left"/>
              <w:rPr>
                <w:sz w:val="18"/>
              </w:rPr>
            </w:pPr>
            <w:r>
              <w:rPr>
                <w:sz w:val="18"/>
              </w:rPr>
              <w:t>Accrued Expenses</w:t>
            </w:r>
          </w:p>
        </w:tc>
        <w:tc>
          <w:tcPr>
            <w:tcW w:w="1482" w:type="dxa"/>
          </w:tcPr>
          <w:p>
            <w:pPr>
              <w:pStyle w:val="TableParagraph"/>
              <w:spacing w:before="19"/>
              <w:ind w:right="270"/>
              <w:rPr>
                <w:b/>
                <w:sz w:val="18"/>
              </w:rPr>
            </w:pPr>
            <w:r>
              <w:rPr>
                <w:b/>
                <w:w w:val="95"/>
                <w:sz w:val="18"/>
              </w:rPr>
              <w:t>35,226</w:t>
            </w:r>
          </w:p>
        </w:tc>
        <w:tc>
          <w:tcPr>
            <w:tcW w:w="1112" w:type="dxa"/>
          </w:tcPr>
          <w:p>
            <w:pPr>
              <w:pStyle w:val="TableParagraph"/>
              <w:spacing w:before="19"/>
              <w:ind w:right="85"/>
              <w:rPr>
                <w:sz w:val="18"/>
              </w:rPr>
            </w:pPr>
            <w:r>
              <w:rPr>
                <w:w w:val="95"/>
                <w:sz w:val="18"/>
              </w:rPr>
              <w:t>30,952</w:t>
            </w:r>
          </w:p>
        </w:tc>
      </w:tr>
      <w:tr>
        <w:trPr>
          <w:trHeight w:val="263" w:hRule="exact"/>
        </w:trPr>
        <w:tc>
          <w:tcPr>
            <w:tcW w:w="283" w:type="dxa"/>
          </w:tcPr>
          <w:p>
            <w:pPr/>
          </w:p>
        </w:tc>
        <w:tc>
          <w:tcPr>
            <w:tcW w:w="7074" w:type="dxa"/>
          </w:tcPr>
          <w:p>
            <w:pPr>
              <w:pStyle w:val="TableParagraph"/>
              <w:spacing w:before="18"/>
              <w:ind w:left="549"/>
              <w:jc w:val="left"/>
              <w:rPr>
                <w:sz w:val="18"/>
              </w:rPr>
            </w:pPr>
            <w:bookmarkStart w:name="Provisions" w:id="340"/>
            <w:bookmarkEnd w:id="340"/>
            <w:r>
              <w:rPr/>
            </w:r>
            <w:r>
              <w:rPr>
                <w:sz w:val="18"/>
              </w:rPr>
              <w:t>Other payables</w:t>
            </w:r>
          </w:p>
        </w:tc>
        <w:tc>
          <w:tcPr>
            <w:tcW w:w="1482" w:type="dxa"/>
            <w:tcBorders>
              <w:bottom w:val="single" w:sz="0" w:space="0" w:color="000000"/>
            </w:tcBorders>
          </w:tcPr>
          <w:p>
            <w:pPr>
              <w:pStyle w:val="TableParagraph"/>
              <w:spacing w:before="19"/>
              <w:ind w:right="270"/>
              <w:rPr>
                <w:b/>
                <w:sz w:val="18"/>
              </w:rPr>
            </w:pPr>
            <w:r>
              <w:rPr>
                <w:b/>
                <w:w w:val="95"/>
                <w:sz w:val="18"/>
              </w:rPr>
              <w:t>185,095</w:t>
            </w:r>
          </w:p>
        </w:tc>
        <w:tc>
          <w:tcPr>
            <w:tcW w:w="1112" w:type="dxa"/>
            <w:tcBorders>
              <w:bottom w:val="single" w:sz="0" w:space="0" w:color="000000"/>
            </w:tcBorders>
          </w:tcPr>
          <w:p>
            <w:pPr>
              <w:pStyle w:val="TableParagraph"/>
              <w:spacing w:before="19"/>
              <w:ind w:right="85"/>
              <w:rPr>
                <w:sz w:val="18"/>
              </w:rPr>
            </w:pPr>
            <w:r>
              <w:rPr>
                <w:w w:val="95"/>
                <w:sz w:val="18"/>
              </w:rPr>
              <w:t>187,647</w:t>
            </w:r>
          </w:p>
        </w:tc>
      </w:tr>
      <w:tr>
        <w:trPr>
          <w:trHeight w:val="353" w:hRule="exact"/>
        </w:trPr>
        <w:tc>
          <w:tcPr>
            <w:tcW w:w="283" w:type="dxa"/>
          </w:tcPr>
          <w:p>
            <w:pPr/>
          </w:p>
        </w:tc>
        <w:tc>
          <w:tcPr>
            <w:tcW w:w="7074" w:type="dxa"/>
          </w:tcPr>
          <w:p>
            <w:pPr>
              <w:pStyle w:val="TableParagraph"/>
              <w:spacing w:before="123"/>
              <w:ind w:left="193"/>
              <w:jc w:val="left"/>
              <w:rPr>
                <w:b/>
                <w:sz w:val="18"/>
              </w:rPr>
            </w:pPr>
            <w:r>
              <w:rPr>
                <w:b/>
                <w:sz w:val="18"/>
              </w:rPr>
              <w:t>Total trade and other payables</w:t>
            </w:r>
          </w:p>
        </w:tc>
        <w:tc>
          <w:tcPr>
            <w:tcW w:w="1482" w:type="dxa"/>
            <w:tcBorders>
              <w:top w:val="single" w:sz="0" w:space="0" w:color="000000"/>
              <w:bottom w:val="single" w:sz="0" w:space="0" w:color="000000"/>
            </w:tcBorders>
          </w:tcPr>
          <w:p>
            <w:pPr>
              <w:pStyle w:val="TableParagraph"/>
              <w:spacing w:before="122"/>
              <w:ind w:right="270"/>
              <w:rPr>
                <w:b/>
                <w:sz w:val="18"/>
              </w:rPr>
            </w:pPr>
            <w:r>
              <w:rPr>
                <w:b/>
                <w:w w:val="95"/>
                <w:sz w:val="18"/>
              </w:rPr>
              <w:t>574,994</w:t>
            </w:r>
          </w:p>
        </w:tc>
        <w:tc>
          <w:tcPr>
            <w:tcW w:w="1112" w:type="dxa"/>
            <w:tcBorders>
              <w:top w:val="single" w:sz="0" w:space="0" w:color="000000"/>
              <w:bottom w:val="single" w:sz="0" w:space="0" w:color="000000"/>
            </w:tcBorders>
          </w:tcPr>
          <w:p>
            <w:pPr>
              <w:pStyle w:val="TableParagraph"/>
              <w:spacing w:before="122"/>
              <w:ind w:right="85"/>
              <w:rPr>
                <w:sz w:val="18"/>
              </w:rPr>
            </w:pPr>
            <w:r>
              <w:rPr>
                <w:w w:val="95"/>
                <w:sz w:val="18"/>
              </w:rPr>
              <w:t>472,567</w:t>
            </w:r>
          </w:p>
        </w:tc>
      </w:tr>
    </w:tbl>
    <w:p>
      <w:pPr>
        <w:pStyle w:val="BodyText"/>
        <w:rPr>
          <w:sz w:val="20"/>
        </w:rPr>
      </w:pPr>
    </w:p>
    <w:p>
      <w:pPr>
        <w:pStyle w:val="BodyText"/>
        <w:rPr>
          <w:sz w:val="20"/>
        </w:rPr>
      </w:pPr>
    </w:p>
    <w:p>
      <w:pPr>
        <w:pStyle w:val="BodyText"/>
        <w:spacing w:before="6"/>
        <w:rPr>
          <w:sz w:val="23"/>
        </w:rPr>
      </w:pPr>
    </w:p>
    <w:p>
      <w:pPr>
        <w:spacing w:after="0"/>
        <w:rPr>
          <w:sz w:val="23"/>
        </w:rPr>
        <w:sectPr>
          <w:pgSz w:w="12750" w:h="17680"/>
          <w:pgMar w:header="0" w:footer="3010" w:top="2800" w:bottom="3200" w:left="0" w:right="0"/>
        </w:sectPr>
      </w:pPr>
    </w:p>
    <w:p>
      <w:pPr>
        <w:pStyle w:val="Heading8"/>
        <w:tabs>
          <w:tab w:pos="1823" w:val="left" w:leader="none"/>
        </w:tabs>
        <w:spacing w:before="77"/>
        <w:ind w:left="1428"/>
      </w:pPr>
      <w:r>
        <w:rPr/>
        <w:drawing>
          <wp:anchor distT="0" distB="0" distL="0" distR="0" allowOverlap="1" layoutInCell="1" locked="0" behindDoc="0" simplePos="0" relativeHeight="12712">
            <wp:simplePos x="0" y="0"/>
            <wp:positionH relativeFrom="page">
              <wp:posOffset>-1587</wp:posOffset>
            </wp:positionH>
            <wp:positionV relativeFrom="paragraph">
              <wp:posOffset>-724612</wp:posOffset>
            </wp:positionV>
            <wp:extent cx="135159" cy="154019"/>
            <wp:effectExtent l="0" t="0" r="0" b="0"/>
            <wp:wrapNone/>
            <wp:docPr id="855" name="image13.png" descr=""/>
            <wp:cNvGraphicFramePr>
              <a:graphicFrameLocks noChangeAspect="1"/>
            </wp:cNvGraphicFramePr>
            <a:graphic>
              <a:graphicData uri="http://schemas.openxmlformats.org/drawingml/2006/picture">
                <pic:pic>
                  <pic:nvPicPr>
                    <pic:cNvPr id="856" name="image13.png"/>
                    <pic:cNvPicPr/>
                  </pic:nvPicPr>
                  <pic:blipFill>
                    <a:blip r:embed="rId18" cstate="print"/>
                    <a:stretch>
                      <a:fillRect/>
                    </a:stretch>
                  </pic:blipFill>
                  <pic:spPr>
                    <a:xfrm>
                      <a:off x="0" y="0"/>
                      <a:ext cx="135159" cy="154019"/>
                    </a:xfrm>
                    <a:prstGeom prst="rect">
                      <a:avLst/>
                    </a:prstGeom>
                  </pic:spPr>
                </pic:pic>
              </a:graphicData>
            </a:graphic>
          </wp:anchor>
        </w:drawing>
      </w:r>
      <w:r>
        <w:rPr/>
        <w:t>7</w:t>
        <w:tab/>
        <w:t>Provisions</w:t>
      </w:r>
    </w:p>
    <w:p>
      <w:pPr>
        <w:pStyle w:val="BodyText"/>
        <w:rPr>
          <w:b/>
        </w:rPr>
      </w:pPr>
    </w:p>
    <w:p>
      <w:pPr>
        <w:pStyle w:val="BodyText"/>
        <w:rPr>
          <w:b/>
        </w:rPr>
      </w:pPr>
    </w:p>
    <w:p>
      <w:pPr>
        <w:spacing w:before="160"/>
        <w:ind w:left="1811" w:right="0" w:firstLine="0"/>
        <w:jc w:val="left"/>
        <w:rPr>
          <w:b/>
          <w:sz w:val="18"/>
        </w:rPr>
      </w:pPr>
      <w:r>
        <w:rPr>
          <w:b/>
          <w:sz w:val="18"/>
        </w:rPr>
        <w:t>CURRENT</w:t>
      </w:r>
    </w:p>
    <w:p>
      <w:pPr>
        <w:spacing w:before="140"/>
        <w:ind w:left="1953" w:right="-20" w:firstLine="0"/>
        <w:jc w:val="left"/>
        <w:rPr>
          <w:b/>
          <w:sz w:val="18"/>
        </w:rPr>
      </w:pPr>
      <w:r>
        <w:rPr>
          <w:b/>
          <w:sz w:val="18"/>
        </w:rPr>
        <w:t>Employee benefits</w:t>
      </w:r>
    </w:p>
    <w:p>
      <w:pPr>
        <w:pStyle w:val="BodyText"/>
        <w:rPr>
          <w:b/>
        </w:rPr>
      </w:pPr>
      <w:r>
        <w:rPr/>
        <w:br w:type="column"/>
      </w:r>
      <w:r>
        <w:rPr>
          <w:b/>
        </w:rPr>
      </w:r>
    </w:p>
    <w:p>
      <w:pPr>
        <w:spacing w:before="110"/>
        <w:ind w:left="0" w:right="0" w:firstLine="0"/>
        <w:jc w:val="right"/>
        <w:rPr>
          <w:b/>
          <w:sz w:val="18"/>
        </w:rPr>
      </w:pPr>
      <w:r>
        <w:rPr>
          <w:b/>
          <w:sz w:val="18"/>
        </w:rPr>
        <w:t>2016</w:t>
      </w:r>
    </w:p>
    <w:p>
      <w:pPr>
        <w:spacing w:before="66"/>
        <w:ind w:left="0" w:right="146" w:firstLine="0"/>
        <w:jc w:val="right"/>
        <w:rPr>
          <w:b/>
          <w:sz w:val="18"/>
        </w:rPr>
      </w:pPr>
      <w:r>
        <w:rPr>
          <w:b/>
          <w:w w:val="99"/>
          <w:sz w:val="18"/>
        </w:rPr>
        <w:t>$</w:t>
      </w:r>
    </w:p>
    <w:p>
      <w:pPr>
        <w:pStyle w:val="BodyText"/>
        <w:rPr>
          <w:b/>
        </w:rPr>
      </w:pPr>
      <w:r>
        <w:rPr/>
        <w:br w:type="column"/>
      </w:r>
      <w:r>
        <w:rPr>
          <w:b/>
        </w:rPr>
      </w:r>
    </w:p>
    <w:p>
      <w:pPr>
        <w:spacing w:before="110"/>
        <w:ind w:left="814" w:right="1829" w:firstLine="0"/>
        <w:jc w:val="center"/>
        <w:rPr>
          <w:b/>
          <w:sz w:val="18"/>
        </w:rPr>
      </w:pPr>
      <w:r>
        <w:rPr/>
        <w:drawing>
          <wp:anchor distT="0" distB="0" distL="0" distR="0" allowOverlap="1" layoutInCell="1" locked="0" behindDoc="0" simplePos="0" relativeHeight="12736">
            <wp:simplePos x="0" y="0"/>
            <wp:positionH relativeFrom="page">
              <wp:posOffset>7958429</wp:posOffset>
            </wp:positionH>
            <wp:positionV relativeFrom="paragraph">
              <wp:posOffset>-856057</wp:posOffset>
            </wp:positionV>
            <wp:extent cx="135953" cy="155575"/>
            <wp:effectExtent l="0" t="0" r="0" b="0"/>
            <wp:wrapNone/>
            <wp:docPr id="857" name="image15.png" descr=""/>
            <wp:cNvGraphicFramePr>
              <a:graphicFrameLocks noChangeAspect="1"/>
            </wp:cNvGraphicFramePr>
            <a:graphic>
              <a:graphicData uri="http://schemas.openxmlformats.org/drawingml/2006/picture">
                <pic:pic>
                  <pic:nvPicPr>
                    <pic:cNvPr id="858" name="image15.png"/>
                    <pic:cNvPicPr/>
                  </pic:nvPicPr>
                  <pic:blipFill>
                    <a:blip r:embed="rId20" cstate="print"/>
                    <a:stretch>
                      <a:fillRect/>
                    </a:stretch>
                  </pic:blipFill>
                  <pic:spPr>
                    <a:xfrm>
                      <a:off x="0" y="0"/>
                      <a:ext cx="135953" cy="155575"/>
                    </a:xfrm>
                    <a:prstGeom prst="rect">
                      <a:avLst/>
                    </a:prstGeom>
                  </pic:spPr>
                </pic:pic>
              </a:graphicData>
            </a:graphic>
          </wp:anchor>
        </w:drawing>
      </w:r>
      <w:r>
        <w:rPr>
          <w:b/>
          <w:sz w:val="18"/>
        </w:rPr>
        <w:t>2015</w:t>
      </w:r>
    </w:p>
    <w:p>
      <w:pPr>
        <w:spacing w:before="66"/>
        <w:ind w:left="0" w:right="1013" w:firstLine="0"/>
        <w:jc w:val="center"/>
        <w:rPr>
          <w:b/>
          <w:sz w:val="18"/>
        </w:rPr>
      </w:pPr>
      <w:r>
        <w:rPr>
          <w:b/>
          <w:w w:val="99"/>
          <w:sz w:val="18"/>
        </w:rPr>
        <w:t>$</w:t>
      </w:r>
    </w:p>
    <w:p>
      <w:pPr>
        <w:spacing w:after="0"/>
        <w:jc w:val="center"/>
        <w:rPr>
          <w:sz w:val="18"/>
        </w:rPr>
        <w:sectPr>
          <w:type w:val="continuous"/>
          <w:pgSz w:w="12750" w:h="17680"/>
          <w:pgMar w:top="1660" w:bottom="0" w:left="0" w:right="0"/>
          <w:cols w:num="3" w:equalWidth="0">
            <w:col w:w="3544" w:space="4228"/>
            <w:col w:w="1827" w:space="40"/>
            <w:col w:w="3111"/>
          </w:cols>
        </w:sectPr>
      </w:pPr>
    </w:p>
    <w:p>
      <w:pPr>
        <w:pStyle w:val="BodyText"/>
        <w:spacing w:before="1"/>
        <w:rPr>
          <w:b/>
          <w:sz w:val="3"/>
        </w:rPr>
      </w:pPr>
    </w:p>
    <w:tbl>
      <w:tblPr>
        <w:tblW w:w="0" w:type="auto"/>
        <w:jc w:val="left"/>
        <w:tblInd w:w="206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684"/>
        <w:gridCol w:w="1534"/>
        <w:gridCol w:w="1061"/>
      </w:tblGrid>
      <w:tr>
        <w:trPr>
          <w:trHeight w:val="238" w:hRule="exact"/>
        </w:trPr>
        <w:tc>
          <w:tcPr>
            <w:tcW w:w="6684" w:type="dxa"/>
          </w:tcPr>
          <w:p>
            <w:pPr>
              <w:pStyle w:val="TableParagraph"/>
              <w:spacing w:line="200" w:lineRule="exact"/>
              <w:ind w:left="35"/>
              <w:jc w:val="left"/>
              <w:rPr>
                <w:sz w:val="18"/>
              </w:rPr>
            </w:pPr>
            <w:r>
              <w:rPr>
                <w:sz w:val="18"/>
              </w:rPr>
              <w:t>Annual Leave</w:t>
            </w:r>
          </w:p>
        </w:tc>
        <w:tc>
          <w:tcPr>
            <w:tcW w:w="1534" w:type="dxa"/>
          </w:tcPr>
          <w:p>
            <w:pPr>
              <w:pStyle w:val="TableParagraph"/>
              <w:spacing w:line="199" w:lineRule="exact"/>
              <w:ind w:right="323"/>
              <w:rPr>
                <w:b/>
                <w:sz w:val="18"/>
              </w:rPr>
            </w:pPr>
            <w:r>
              <w:rPr>
                <w:b/>
                <w:w w:val="95"/>
                <w:sz w:val="18"/>
              </w:rPr>
              <w:t>313,966</w:t>
            </w:r>
          </w:p>
        </w:tc>
        <w:tc>
          <w:tcPr>
            <w:tcW w:w="1061" w:type="dxa"/>
          </w:tcPr>
          <w:p>
            <w:pPr>
              <w:pStyle w:val="TableParagraph"/>
              <w:spacing w:line="199" w:lineRule="exact"/>
              <w:ind w:right="85"/>
              <w:rPr>
                <w:sz w:val="18"/>
              </w:rPr>
            </w:pPr>
            <w:r>
              <w:rPr>
                <w:w w:val="95"/>
                <w:sz w:val="18"/>
              </w:rPr>
              <w:t>287,131</w:t>
            </w:r>
          </w:p>
        </w:tc>
      </w:tr>
      <w:tr>
        <w:trPr>
          <w:trHeight w:val="262" w:hRule="exact"/>
        </w:trPr>
        <w:tc>
          <w:tcPr>
            <w:tcW w:w="6684" w:type="dxa"/>
          </w:tcPr>
          <w:p>
            <w:pPr>
              <w:pStyle w:val="TableParagraph"/>
              <w:spacing w:before="19"/>
              <w:ind w:left="35"/>
              <w:jc w:val="left"/>
              <w:rPr>
                <w:sz w:val="18"/>
              </w:rPr>
            </w:pPr>
            <w:bookmarkStart w:name=" " w:id="341"/>
            <w:bookmarkEnd w:id="341"/>
            <w:r>
              <w:rPr/>
            </w:r>
            <w:r>
              <w:rPr>
                <w:sz w:val="18"/>
              </w:rPr>
              <w:t>Long Service Leave</w:t>
            </w:r>
          </w:p>
        </w:tc>
        <w:tc>
          <w:tcPr>
            <w:tcW w:w="1534" w:type="dxa"/>
            <w:tcBorders>
              <w:bottom w:val="single" w:sz="0" w:space="0" w:color="000000"/>
            </w:tcBorders>
          </w:tcPr>
          <w:p>
            <w:pPr>
              <w:pStyle w:val="TableParagraph"/>
              <w:spacing w:before="18"/>
              <w:ind w:right="323"/>
              <w:rPr>
                <w:b/>
                <w:sz w:val="18"/>
              </w:rPr>
            </w:pPr>
            <w:r>
              <w:rPr>
                <w:b/>
                <w:w w:val="95"/>
                <w:sz w:val="18"/>
              </w:rPr>
              <w:t>190,449</w:t>
            </w:r>
          </w:p>
        </w:tc>
        <w:tc>
          <w:tcPr>
            <w:tcW w:w="1061" w:type="dxa"/>
            <w:tcBorders>
              <w:bottom w:val="single" w:sz="0" w:space="0" w:color="000000"/>
            </w:tcBorders>
          </w:tcPr>
          <w:p>
            <w:pPr>
              <w:pStyle w:val="TableParagraph"/>
              <w:spacing w:before="18"/>
              <w:ind w:right="85"/>
              <w:rPr>
                <w:sz w:val="18"/>
              </w:rPr>
            </w:pPr>
            <w:r>
              <w:rPr>
                <w:w w:val="95"/>
                <w:sz w:val="18"/>
              </w:rPr>
              <w:t>142,679</w:t>
            </w:r>
          </w:p>
        </w:tc>
      </w:tr>
    </w:tbl>
    <w:p>
      <w:pPr>
        <w:tabs>
          <w:tab w:pos="9310" w:val="left" w:leader="none"/>
          <w:tab w:pos="10609" w:val="left" w:leader="none"/>
        </w:tabs>
        <w:spacing w:before="124"/>
        <w:ind w:left="1953" w:right="0" w:firstLine="0"/>
        <w:jc w:val="left"/>
        <w:rPr>
          <w:sz w:val="18"/>
        </w:rPr>
      </w:pPr>
      <w:r>
        <w:rPr>
          <w:b/>
          <w:sz w:val="18"/>
        </w:rPr>
        <w:t>Total</w:t>
      </w:r>
      <w:r>
        <w:rPr>
          <w:b/>
          <w:spacing w:val="-2"/>
          <w:sz w:val="18"/>
        </w:rPr>
        <w:t> </w:t>
      </w:r>
      <w:r>
        <w:rPr>
          <w:b/>
          <w:sz w:val="18"/>
        </w:rPr>
        <w:t>current</w:t>
      </w:r>
      <w:r>
        <w:rPr>
          <w:b/>
          <w:spacing w:val="-2"/>
          <w:sz w:val="18"/>
        </w:rPr>
        <w:t> </w:t>
      </w:r>
      <w:r>
        <w:rPr>
          <w:b/>
          <w:sz w:val="18"/>
        </w:rPr>
        <w:t>provisions</w:t>
        <w:tab/>
        <w:t>504,415</w:t>
        <w:tab/>
      </w:r>
      <w:r>
        <w:rPr>
          <w:sz w:val="18"/>
        </w:rPr>
        <w:t>429,810</w:t>
      </w:r>
    </w:p>
    <w:p>
      <w:pPr>
        <w:pStyle w:val="BodyText"/>
        <w:spacing w:line="50" w:lineRule="exact"/>
        <w:ind w:left="8749"/>
        <w:rPr>
          <w:sz w:val="5"/>
        </w:rPr>
      </w:pPr>
      <w:r>
        <w:rPr>
          <w:position w:val="0"/>
          <w:sz w:val="5"/>
        </w:rPr>
        <w:pict>
          <v:group style="width:129.85pt;height:2.5pt;mso-position-horizontal-relative:char;mso-position-vertical-relative:line" coordorigin="0,0" coordsize="2597,50">
            <v:line style="position:absolute" from="1,1" to="1298,1" stroked="true" strokeweight=".06pt" strokecolor="#000000"/>
            <v:line style="position:absolute" from="1,2" to="1298,2" stroked="true" strokeweight=".06pt" strokecolor="#000000"/>
            <v:line style="position:absolute" from="1,3" to="1298,3" stroked="true" strokeweight=".06pt" strokecolor="#000000"/>
            <v:line style="position:absolute" from="1,5" to="1298,5" stroked="true" strokeweight=".06pt" strokecolor="#000000"/>
            <v:line style="position:absolute" from="1,6" to="1298,6" stroked="true" strokeweight=".06pt" strokecolor="#000000"/>
            <v:line style="position:absolute" from="1,7" to="1298,7" stroked="true" strokeweight=".06pt" strokecolor="#000000"/>
            <v:line style="position:absolute" from="1,8" to="1298,8" stroked="true" strokeweight=".06pt" strokecolor="#000000"/>
            <v:line style="position:absolute" from="1,9" to="1298,9" stroked="true" strokeweight=".06pt" strokecolor="#000000"/>
            <v:line style="position:absolute" from="1,11" to="1298,11" stroked="true" strokeweight=".06pt" strokecolor="#000000"/>
            <v:line style="position:absolute" from="1,12" to="1298,12" stroked="true" strokeweight=".06pt" strokecolor="#000000"/>
            <v:line style="position:absolute" from="1,13" to="1298,13" stroked="true" strokeweight=".06pt" strokecolor="#000000"/>
            <v:line style="position:absolute" from="1,14" to="1298,14" stroked="true" strokeweight=".06pt" strokecolor="#000000"/>
            <v:line style="position:absolute" from="1,15" to="1298,15" stroked="true" strokeweight=".06pt" strokecolor="#000000"/>
            <v:line style="position:absolute" from="1,35" to="1298,35" stroked="true" strokeweight=".06pt" strokecolor="#000000"/>
            <v:line style="position:absolute" from="1,36" to="1298,36" stroked="true" strokeweight=".06pt" strokecolor="#000000"/>
            <v:line style="position:absolute" from="1,37" to="1298,37" stroked="true" strokeweight=".06pt" strokecolor="#000000"/>
            <v:line style="position:absolute" from="1,38" to="1298,38" stroked="true" strokeweight=".06pt" strokecolor="#000000"/>
            <v:line style="position:absolute" from="1,39" to="1298,39" stroked="true" strokeweight=".06pt" strokecolor="#000000"/>
            <v:line style="position:absolute" from="1,41" to="1298,41" stroked="true" strokeweight=".06pt" strokecolor="#000000"/>
            <v:line style="position:absolute" from="1,42" to="1298,42" stroked="true" strokeweight=".06pt" strokecolor="#000000"/>
            <v:line style="position:absolute" from="1,43" to="1298,43" stroked="true" strokeweight=".06pt" strokecolor="#000000"/>
            <v:line style="position:absolute" from="1,44" to="1298,44" stroked="true" strokeweight=".06pt" strokecolor="#000000"/>
            <v:line style="position:absolute" from="1,45" to="1298,45" stroked="true" strokeweight=".06pt" strokecolor="#000000"/>
            <v:line style="position:absolute" from="1,47" to="1298,47" stroked="true" strokeweight=".06pt" strokecolor="#000000"/>
            <v:line style="position:absolute" from="1,48" to="1298,48" stroked="true" strokeweight=".06pt" strokecolor="#000000"/>
            <v:line style="position:absolute" from="1,49" to="1298,49" stroked="true" strokeweight=".06pt" strokecolor="#000000"/>
            <v:line style="position:absolute" from="1298,1" to="2595,1" stroked="true" strokeweight=".06pt" strokecolor="#000000"/>
            <v:line style="position:absolute" from="1298,2" to="2595,2" stroked="true" strokeweight=".06pt" strokecolor="#000000"/>
            <v:line style="position:absolute" from="1298,3" to="2595,3" stroked="true" strokeweight=".06pt" strokecolor="#000000"/>
            <v:line style="position:absolute" from="1298,5" to="2595,5" stroked="true" strokeweight=".06pt" strokecolor="#000000"/>
            <v:line style="position:absolute" from="1298,6" to="2595,6" stroked="true" strokeweight=".06pt" strokecolor="#000000"/>
            <v:line style="position:absolute" from="1298,7" to="2595,7" stroked="true" strokeweight=".06pt" strokecolor="#000000"/>
            <v:line style="position:absolute" from="1298,8" to="2595,8" stroked="true" strokeweight=".06pt" strokecolor="#000000"/>
            <v:line style="position:absolute" from="1298,9" to="2595,9" stroked="true" strokeweight=".06pt" strokecolor="#000000"/>
            <v:line style="position:absolute" from="1298,11" to="2595,11" stroked="true" strokeweight=".06pt" strokecolor="#000000"/>
            <v:line style="position:absolute" from="1298,12" to="2595,12" stroked="true" strokeweight=".06pt" strokecolor="#000000"/>
            <v:line style="position:absolute" from="1298,13" to="2595,13" stroked="true" strokeweight=".06pt" strokecolor="#000000"/>
            <v:line style="position:absolute" from="1298,14" to="2595,14" stroked="true" strokeweight=".06pt" strokecolor="#000000"/>
            <v:line style="position:absolute" from="1298,15" to="2595,15" stroked="true" strokeweight=".06pt" strokecolor="#000000"/>
            <v:line style="position:absolute" from="1298,35" to="2595,35" stroked="true" strokeweight=".06pt" strokecolor="#000000"/>
            <v:line style="position:absolute" from="1298,36" to="2595,36" stroked="true" strokeweight=".06pt" strokecolor="#000000"/>
            <v:line style="position:absolute" from="1298,37" to="2595,37" stroked="true" strokeweight=".06pt" strokecolor="#000000"/>
            <v:line style="position:absolute" from="1298,38" to="2595,38" stroked="true" strokeweight=".06pt" strokecolor="#000000"/>
            <v:line style="position:absolute" from="1298,39" to="2595,39" stroked="true" strokeweight=".06pt" strokecolor="#000000"/>
            <v:line style="position:absolute" from="1298,41" to="2595,41" stroked="true" strokeweight=".06pt" strokecolor="#000000"/>
            <v:line style="position:absolute" from="1298,42" to="2595,42" stroked="true" strokeweight=".06pt" strokecolor="#000000"/>
            <v:line style="position:absolute" from="1298,43" to="2595,43" stroked="true" strokeweight=".06pt" strokecolor="#000000"/>
            <v:line style="position:absolute" from="1298,44" to="2595,44" stroked="true" strokeweight=".06pt" strokecolor="#000000"/>
            <v:line style="position:absolute" from="1298,45" to="2595,45" stroked="true" strokeweight=".06pt" strokecolor="#000000"/>
            <v:line style="position:absolute" from="1298,47" to="2595,47" stroked="true" strokeweight=".06pt" strokecolor="#000000"/>
            <v:line style="position:absolute" from="1298,48" to="2595,48" stroked="true" strokeweight=".06pt" strokecolor="#000000"/>
            <v:line style="position:absolute" from="1298,49" to="2595,49" stroked="true" strokeweight=".06pt" strokecolor="#000000"/>
          </v:group>
        </w:pict>
      </w:r>
      <w:r>
        <w:rPr>
          <w:position w:val="0"/>
          <w:sz w:val="5"/>
        </w:rPr>
      </w:r>
    </w:p>
    <w:p>
      <w:pPr>
        <w:pStyle w:val="BodyText"/>
        <w:rPr>
          <w:sz w:val="20"/>
        </w:rPr>
      </w:pPr>
    </w:p>
    <w:p>
      <w:pPr>
        <w:pStyle w:val="BodyText"/>
        <w:spacing w:before="7"/>
        <w:rPr>
          <w:sz w:val="20"/>
        </w:rPr>
      </w:pPr>
    </w:p>
    <w:p>
      <w:pPr>
        <w:pStyle w:val="Heading8"/>
        <w:spacing w:before="77"/>
        <w:ind w:left="1812"/>
      </w:pPr>
      <w:bookmarkStart w:name="_TOC_250000" w:id="342"/>
      <w:bookmarkEnd w:id="342"/>
      <w:r>
        <w:rPr/>
        <w:t>NON-CURRENT</w:t>
      </w:r>
    </w:p>
    <w:p>
      <w:pPr>
        <w:spacing w:before="140"/>
        <w:ind w:left="1953" w:right="0" w:firstLine="0"/>
        <w:jc w:val="left"/>
        <w:rPr>
          <w:b/>
          <w:sz w:val="18"/>
        </w:rPr>
      </w:pPr>
      <w:r>
        <w:rPr>
          <w:b/>
          <w:sz w:val="18"/>
        </w:rPr>
        <w:t>Employee benefits</w:t>
      </w:r>
    </w:p>
    <w:p>
      <w:pPr>
        <w:tabs>
          <w:tab w:pos="7923" w:val="left" w:leader="none"/>
          <w:tab w:pos="9221" w:val="left" w:leader="none"/>
        </w:tabs>
        <w:spacing w:before="29"/>
        <w:ind w:left="613" w:right="0" w:firstLine="0"/>
        <w:jc w:val="center"/>
        <w:rPr>
          <w:sz w:val="18"/>
        </w:rPr>
      </w:pPr>
      <w:r>
        <w:rPr/>
        <w:pict>
          <v:group style="position:absolute;margin-left:437.470001pt;margin-top:13.081889pt;width:129.85pt;height:1pt;mso-position-horizontal-relative:page;mso-position-vertical-relative:paragraph;z-index:12664;mso-wrap-distance-left:0;mso-wrap-distance-right:0" coordorigin="8749,262" coordsize="2597,20">
            <v:line style="position:absolute" from="8750,263" to="10048,263" stroked="true" strokeweight=".06pt" strokecolor="#000000"/>
            <v:line style="position:absolute" from="8750,264" to="10048,264" stroked="true" strokeweight=".06pt" strokecolor="#000000"/>
            <v:line style="position:absolute" from="8750,265" to="10048,265" stroked="true" strokeweight=".06pt" strokecolor="#000000"/>
            <v:line style="position:absolute" from="8750,266" to="10048,266" stroked="true" strokeweight=".06pt" strokecolor="#000000"/>
            <v:line style="position:absolute" from="8750,267" to="10048,267" stroked="true" strokeweight=".06pt" strokecolor="#000000"/>
            <v:line style="position:absolute" from="8750,269" to="10048,269" stroked="true" strokeweight=".06pt" strokecolor="#000000"/>
            <v:line style="position:absolute" from="8750,270" to="10048,270" stroked="true" strokeweight=".06pt" strokecolor="#000000"/>
            <v:line style="position:absolute" from="8750,271" to="10048,271" stroked="true" strokeweight=".06pt" strokecolor="#000000"/>
            <v:line style="position:absolute" from="8750,272" to="10048,272" stroked="true" strokeweight=".06pt" strokecolor="#000000"/>
            <v:line style="position:absolute" from="8750,273" to="10048,273" stroked="true" strokeweight=".06pt" strokecolor="#000000"/>
            <v:line style="position:absolute" from="8750,275" to="10048,275" stroked="true" strokeweight=".06pt" strokecolor="#000000"/>
            <v:line style="position:absolute" from="8750,276" to="10048,276" stroked="true" strokeweight=".06pt" strokecolor="#000000"/>
            <v:line style="position:absolute" from="8750,277" to="10048,277" stroked="true" strokeweight=".06pt" strokecolor="#000000"/>
            <v:line style="position:absolute" from="8750,278" to="10048,278" stroked="true" strokeweight=".06pt" strokecolor="#000000"/>
            <v:line style="position:absolute" from="8750,279" to="10048,279" stroked="true" strokeweight=".06pt" strokecolor="#000000"/>
            <v:line style="position:absolute" from="8750,281" to="10048,281" stroked="true" strokeweight=".06pt" strokecolor="#000000"/>
            <v:line style="position:absolute" from="10048,263" to="11345,263" stroked="true" strokeweight=".06pt" strokecolor="#000000"/>
            <v:line style="position:absolute" from="10048,264" to="11345,264" stroked="true" strokeweight=".06pt" strokecolor="#000000"/>
            <v:line style="position:absolute" from="10048,265" to="11345,265" stroked="true" strokeweight=".06pt" strokecolor="#000000"/>
            <v:line style="position:absolute" from="10048,266" to="11345,266" stroked="true" strokeweight=".06pt" strokecolor="#000000"/>
            <v:line style="position:absolute" from="10048,267" to="11345,267" stroked="true" strokeweight=".06pt" strokecolor="#000000"/>
            <v:line style="position:absolute" from="10048,269" to="11345,269" stroked="true" strokeweight=".06pt" strokecolor="#000000"/>
            <v:line style="position:absolute" from="10048,270" to="11345,270" stroked="true" strokeweight=".06pt" strokecolor="#000000"/>
            <v:line style="position:absolute" from="10048,271" to="11345,271" stroked="true" strokeweight=".06pt" strokecolor="#000000"/>
            <v:line style="position:absolute" from="10048,272" to="11345,272" stroked="true" strokeweight=".06pt" strokecolor="#000000"/>
            <v:line style="position:absolute" from="10048,273" to="11345,273" stroked="true" strokeweight=".06pt" strokecolor="#000000"/>
            <v:line style="position:absolute" from="10048,275" to="11345,275" stroked="true" strokeweight=".06pt" strokecolor="#000000"/>
            <v:line style="position:absolute" from="10048,276" to="11345,276" stroked="true" strokeweight=".06pt" strokecolor="#000000"/>
            <v:line style="position:absolute" from="10048,277" to="11345,277" stroked="true" strokeweight=".06pt" strokecolor="#000000"/>
            <v:line style="position:absolute" from="10048,278" to="11345,278" stroked="true" strokeweight=".06pt" strokecolor="#000000"/>
            <v:line style="position:absolute" from="10048,279" to="11345,279" stroked="true" strokeweight=".06pt" strokecolor="#000000"/>
            <v:line style="position:absolute" from="10048,281" to="11345,281" stroked="true" strokeweight=".06pt" strokecolor="#000000"/>
            <w10:wrap type="topAndBottom"/>
          </v:group>
        </w:pict>
      </w:r>
      <w:r>
        <w:rPr>
          <w:sz w:val="18"/>
        </w:rPr>
        <w:t>Long</w:t>
      </w:r>
      <w:r>
        <w:rPr>
          <w:spacing w:val="-5"/>
          <w:sz w:val="18"/>
        </w:rPr>
        <w:t> </w:t>
      </w:r>
      <w:r>
        <w:rPr>
          <w:sz w:val="18"/>
        </w:rPr>
        <w:t>Service</w:t>
      </w:r>
      <w:r>
        <w:rPr>
          <w:spacing w:val="-5"/>
          <w:sz w:val="18"/>
        </w:rPr>
        <w:t> </w:t>
      </w:r>
      <w:r>
        <w:rPr>
          <w:sz w:val="18"/>
        </w:rPr>
        <w:t>Leave</w:t>
        <w:tab/>
      </w:r>
      <w:r>
        <w:rPr>
          <w:b/>
          <w:sz w:val="18"/>
        </w:rPr>
        <w:t>81,844</w:t>
        <w:tab/>
      </w:r>
      <w:r>
        <w:rPr>
          <w:sz w:val="18"/>
        </w:rPr>
        <w:t>54,529</w:t>
      </w:r>
    </w:p>
    <w:p>
      <w:pPr>
        <w:pStyle w:val="Heading8"/>
        <w:tabs>
          <w:tab w:pos="9410" w:val="left" w:leader="none"/>
          <w:tab w:pos="10708" w:val="left" w:leader="none"/>
        </w:tabs>
        <w:spacing w:before="84"/>
        <w:ind w:left="1948"/>
        <w:rPr>
          <w:b w:val="0"/>
        </w:rPr>
      </w:pPr>
      <w:r>
        <w:rPr/>
        <w:t>Total</w:t>
      </w:r>
      <w:r>
        <w:rPr>
          <w:spacing w:val="-2"/>
        </w:rPr>
        <w:t> </w:t>
      </w:r>
      <w:r>
        <w:rPr/>
        <w:t>non-current</w:t>
      </w:r>
      <w:r>
        <w:rPr>
          <w:spacing w:val="-2"/>
        </w:rPr>
        <w:t> </w:t>
      </w:r>
      <w:r>
        <w:rPr/>
        <w:t>provisions</w:t>
        <w:tab/>
        <w:t>81,844</w:t>
        <w:tab/>
      </w:r>
      <w:r>
        <w:rPr>
          <w:b w:val="0"/>
        </w:rPr>
        <w:t>54,529</w:t>
      </w:r>
    </w:p>
    <w:p>
      <w:pPr>
        <w:pStyle w:val="BodyText"/>
        <w:spacing w:line="50" w:lineRule="exact"/>
        <w:ind w:left="8749"/>
        <w:rPr>
          <w:sz w:val="5"/>
        </w:rPr>
      </w:pPr>
      <w:r>
        <w:rPr>
          <w:position w:val="0"/>
          <w:sz w:val="5"/>
        </w:rPr>
        <w:pict>
          <v:group style="width:129.85pt;height:2.5pt;mso-position-horizontal-relative:char;mso-position-vertical-relative:line" coordorigin="0,0" coordsize="2597,50">
            <v:line style="position:absolute" from="1,1" to="1298,1" stroked="true" strokeweight=".06pt" strokecolor="#000000"/>
            <v:line style="position:absolute" from="1,2" to="1298,2" stroked="true" strokeweight=".06pt" strokecolor="#000000"/>
            <v:line style="position:absolute" from="1,3" to="1298,3" stroked="true" strokeweight=".06pt" strokecolor="#000000"/>
            <v:line style="position:absolute" from="1,5" to="1298,5" stroked="true" strokeweight=".06pt" strokecolor="#000000"/>
            <v:line style="position:absolute" from="1,6" to="1298,6" stroked="true" strokeweight=".06pt" strokecolor="#000000"/>
            <v:line style="position:absolute" from="1,7" to="1298,7" stroked="true" strokeweight=".06pt" strokecolor="#000000"/>
            <v:line style="position:absolute" from="1,8" to="1298,8" stroked="true" strokeweight=".06pt" strokecolor="#000000"/>
            <v:line style="position:absolute" from="1,9" to="1298,9" stroked="true" strokeweight=".06pt" strokecolor="#000000"/>
            <v:line style="position:absolute" from="1,11" to="1298,11" stroked="true" strokeweight=".06pt" strokecolor="#000000"/>
            <v:line style="position:absolute" from="1,12" to="1298,12" stroked="true" strokeweight=".06pt" strokecolor="#000000"/>
            <v:line style="position:absolute" from="1,13" to="1298,13" stroked="true" strokeweight=".06pt" strokecolor="#000000"/>
            <v:line style="position:absolute" from="1,14" to="1298,14" stroked="true" strokeweight=".06pt" strokecolor="#000000"/>
            <v:line style="position:absolute" from="1,15" to="1298,15" stroked="true" strokeweight=".06pt" strokecolor="#000000"/>
            <v:line style="position:absolute" from="1,35" to="1298,35" stroked="true" strokeweight=".06pt" strokecolor="#000000"/>
            <v:line style="position:absolute" from="1,36" to="1298,36" stroked="true" strokeweight=".06pt" strokecolor="#000000"/>
            <v:line style="position:absolute" from="1,37" to="1298,37" stroked="true" strokeweight=".06pt" strokecolor="#000000"/>
            <v:line style="position:absolute" from="1,38" to="1298,38" stroked="true" strokeweight=".06pt" strokecolor="#000000"/>
            <v:line style="position:absolute" from="1,39" to="1298,39" stroked="true" strokeweight=".06pt" strokecolor="#000000"/>
            <v:line style="position:absolute" from="1,41" to="1298,41" stroked="true" strokeweight=".06pt" strokecolor="#000000"/>
            <v:line style="position:absolute" from="1,42" to="1298,42" stroked="true" strokeweight=".06pt" strokecolor="#000000"/>
            <v:line style="position:absolute" from="1,43" to="1298,43" stroked="true" strokeweight=".06pt" strokecolor="#000000"/>
            <v:line style="position:absolute" from="1,44" to="1298,44" stroked="true" strokeweight=".06pt" strokecolor="#000000"/>
            <v:line style="position:absolute" from="1,45" to="1298,45" stroked="true" strokeweight=".06pt" strokecolor="#000000"/>
            <v:line style="position:absolute" from="1,47" to="1298,47" stroked="true" strokeweight=".06pt" strokecolor="#000000"/>
            <v:line style="position:absolute" from="1,48" to="1298,48" stroked="true" strokeweight=".06pt" strokecolor="#000000"/>
            <v:line style="position:absolute" from="1,49" to="1298,49" stroked="true" strokeweight=".06pt" strokecolor="#000000"/>
            <v:line style="position:absolute" from="1298,1" to="2595,1" stroked="true" strokeweight=".06pt" strokecolor="#000000"/>
            <v:line style="position:absolute" from="1298,2" to="2595,2" stroked="true" strokeweight=".06pt" strokecolor="#000000"/>
            <v:line style="position:absolute" from="1298,3" to="2595,3" stroked="true" strokeweight=".06pt" strokecolor="#000000"/>
            <v:line style="position:absolute" from="1298,5" to="2595,5" stroked="true" strokeweight=".06pt" strokecolor="#000000"/>
            <v:line style="position:absolute" from="1298,6" to="2595,6" stroked="true" strokeweight=".06pt" strokecolor="#000000"/>
            <v:line style="position:absolute" from="1298,7" to="2595,7" stroked="true" strokeweight=".06pt" strokecolor="#000000"/>
            <v:line style="position:absolute" from="1298,8" to="2595,8" stroked="true" strokeweight=".06pt" strokecolor="#000000"/>
            <v:line style="position:absolute" from="1298,9" to="2595,9" stroked="true" strokeweight=".06pt" strokecolor="#000000"/>
            <v:line style="position:absolute" from="1298,11" to="2595,11" stroked="true" strokeweight=".06pt" strokecolor="#000000"/>
            <v:line style="position:absolute" from="1298,12" to="2595,12" stroked="true" strokeweight=".06pt" strokecolor="#000000"/>
            <v:line style="position:absolute" from="1298,13" to="2595,13" stroked="true" strokeweight=".06pt" strokecolor="#000000"/>
            <v:line style="position:absolute" from="1298,14" to="2595,14" stroked="true" strokeweight=".06pt" strokecolor="#000000"/>
            <v:line style="position:absolute" from="1298,15" to="2595,15" stroked="true" strokeweight=".06pt" strokecolor="#000000"/>
            <v:line style="position:absolute" from="1298,35" to="2595,35" stroked="true" strokeweight=".06pt" strokecolor="#000000"/>
            <v:line style="position:absolute" from="1298,36" to="2595,36" stroked="true" strokeweight=".06pt" strokecolor="#000000"/>
            <v:line style="position:absolute" from="1298,37" to="2595,37" stroked="true" strokeweight=".06pt" strokecolor="#000000"/>
            <v:line style="position:absolute" from="1298,38" to="2595,38" stroked="true" strokeweight=".06pt" strokecolor="#000000"/>
            <v:line style="position:absolute" from="1298,39" to="2595,39" stroked="true" strokeweight=".06pt" strokecolor="#000000"/>
            <v:line style="position:absolute" from="1298,41" to="2595,41" stroked="true" strokeweight=".06pt" strokecolor="#000000"/>
            <v:line style="position:absolute" from="1298,42" to="2595,42" stroked="true" strokeweight=".06pt" strokecolor="#000000"/>
            <v:line style="position:absolute" from="1298,43" to="2595,43" stroked="true" strokeweight=".06pt" strokecolor="#000000"/>
            <v:line style="position:absolute" from="1298,44" to="2595,44" stroked="true" strokeweight=".06pt" strokecolor="#000000"/>
            <v:line style="position:absolute" from="1298,45" to="2595,45" stroked="true" strokeweight=".06pt" strokecolor="#000000"/>
            <v:line style="position:absolute" from="1298,47" to="2595,47" stroked="true" strokeweight=".06pt" strokecolor="#000000"/>
            <v:line style="position:absolute" from="1298,48" to="2595,48" stroked="true" strokeweight=".06pt" strokecolor="#000000"/>
            <v:line style="position:absolute" from="1298,49" to="2595,49" stroked="true" strokeweight=".06pt" strokecolor="#000000"/>
          </v:group>
        </w:pict>
      </w:r>
      <w:r>
        <w:rPr>
          <w:position w:val="0"/>
          <w:sz w:val="5"/>
        </w:rPr>
      </w:r>
    </w:p>
    <w:p>
      <w:pPr>
        <w:pStyle w:val="BodyText"/>
        <w:spacing w:before="2"/>
      </w:pPr>
    </w:p>
    <w:p>
      <w:pPr>
        <w:tabs>
          <w:tab w:pos="9310" w:val="left" w:leader="none"/>
          <w:tab w:pos="10609" w:val="left" w:leader="none"/>
        </w:tabs>
        <w:spacing w:before="79"/>
        <w:ind w:left="1812" w:right="0" w:firstLine="0"/>
        <w:jc w:val="left"/>
        <w:rPr>
          <w:sz w:val="18"/>
        </w:rPr>
      </w:pPr>
      <w:r>
        <w:rPr>
          <w:b/>
          <w:sz w:val="18"/>
        </w:rPr>
        <w:t>Total</w:t>
      </w:r>
      <w:r>
        <w:rPr>
          <w:b/>
          <w:spacing w:val="-2"/>
          <w:sz w:val="18"/>
        </w:rPr>
        <w:t> </w:t>
      </w:r>
      <w:r>
        <w:rPr>
          <w:b/>
          <w:sz w:val="18"/>
        </w:rPr>
        <w:t>provisions</w:t>
        <w:tab/>
        <w:t>586,259</w:t>
        <w:tab/>
      </w:r>
      <w:r>
        <w:rPr>
          <w:sz w:val="18"/>
        </w:rPr>
        <w:t>484,339</w:t>
      </w:r>
    </w:p>
    <w:p>
      <w:pPr>
        <w:spacing w:after="0"/>
        <w:jc w:val="left"/>
        <w:rPr>
          <w:sz w:val="18"/>
        </w:rPr>
        <w:sectPr>
          <w:type w:val="continuous"/>
          <w:pgSz w:w="12750" w:h="17680"/>
          <w:pgMar w:top="1660" w:bottom="0" w:left="0" w:right="0"/>
        </w:sectPr>
      </w:pPr>
    </w:p>
    <w:p>
      <w:pPr>
        <w:pStyle w:val="BodyText"/>
        <w:spacing w:before="8"/>
      </w:pPr>
    </w:p>
    <w:tbl>
      <w:tblPr>
        <w:tblW w:w="0" w:type="auto"/>
        <w:jc w:val="left"/>
        <w:tblInd w:w="139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83"/>
        <w:gridCol w:w="7076"/>
        <w:gridCol w:w="1496"/>
        <w:gridCol w:w="1099"/>
      </w:tblGrid>
      <w:tr>
        <w:trPr>
          <w:trHeight w:val="826" w:hRule="exact"/>
        </w:trPr>
        <w:tc>
          <w:tcPr>
            <w:tcW w:w="283" w:type="dxa"/>
          </w:tcPr>
          <w:p>
            <w:pPr>
              <w:pStyle w:val="TableParagraph"/>
              <w:spacing w:before="77"/>
              <w:ind w:left="35"/>
              <w:jc w:val="left"/>
              <w:rPr>
                <w:b/>
                <w:sz w:val="18"/>
              </w:rPr>
            </w:pPr>
            <w:bookmarkStart w:name="8 Retained earnings" w:id="343"/>
            <w:bookmarkEnd w:id="343"/>
            <w:r>
              <w:rPr/>
            </w:r>
            <w:bookmarkStart w:name=" Movements in Retained Earnings" w:id="344"/>
            <w:bookmarkEnd w:id="344"/>
            <w:r>
              <w:rPr/>
            </w:r>
            <w:r>
              <w:rPr>
                <w:b/>
                <w:w w:val="99"/>
                <w:sz w:val="18"/>
              </w:rPr>
              <w:t>8</w:t>
            </w:r>
          </w:p>
        </w:tc>
        <w:tc>
          <w:tcPr>
            <w:tcW w:w="7076" w:type="dxa"/>
          </w:tcPr>
          <w:p>
            <w:pPr>
              <w:pStyle w:val="TableParagraph"/>
              <w:spacing w:before="77"/>
              <w:ind w:left="147"/>
              <w:jc w:val="left"/>
              <w:rPr>
                <w:b/>
                <w:sz w:val="18"/>
              </w:rPr>
            </w:pPr>
            <w:r>
              <w:rPr>
                <w:b/>
                <w:sz w:val="18"/>
              </w:rPr>
              <w:t>Retained earnings</w:t>
            </w:r>
          </w:p>
          <w:p>
            <w:pPr>
              <w:pStyle w:val="TableParagraph"/>
              <w:spacing w:before="7"/>
              <w:jc w:val="left"/>
              <w:rPr>
                <w:sz w:val="26"/>
              </w:rPr>
            </w:pPr>
          </w:p>
          <w:p>
            <w:pPr>
              <w:pStyle w:val="TableParagraph"/>
              <w:ind w:left="147"/>
              <w:jc w:val="left"/>
              <w:rPr>
                <w:sz w:val="18"/>
              </w:rPr>
            </w:pPr>
            <w:r>
              <w:rPr>
                <w:sz w:val="18"/>
              </w:rPr>
              <w:t>Movements in Retained Earnings</w:t>
            </w:r>
          </w:p>
        </w:tc>
        <w:tc>
          <w:tcPr>
            <w:tcW w:w="2594" w:type="dxa"/>
            <w:gridSpan w:val="2"/>
          </w:tcPr>
          <w:p>
            <w:pPr/>
          </w:p>
        </w:tc>
      </w:tr>
      <w:tr>
        <w:trPr>
          <w:trHeight w:val="259" w:hRule="exact"/>
        </w:trPr>
        <w:tc>
          <w:tcPr>
            <w:tcW w:w="283" w:type="dxa"/>
          </w:tcPr>
          <w:p>
            <w:pPr/>
          </w:p>
        </w:tc>
        <w:tc>
          <w:tcPr>
            <w:tcW w:w="7076" w:type="dxa"/>
          </w:tcPr>
          <w:p>
            <w:pPr/>
          </w:p>
        </w:tc>
        <w:tc>
          <w:tcPr>
            <w:tcW w:w="1496" w:type="dxa"/>
          </w:tcPr>
          <w:p>
            <w:pPr>
              <w:pStyle w:val="TableParagraph"/>
              <w:spacing w:before="9"/>
              <w:ind w:left="479" w:right="576"/>
              <w:jc w:val="center"/>
              <w:rPr>
                <w:b/>
                <w:sz w:val="18"/>
              </w:rPr>
            </w:pPr>
            <w:r>
              <w:rPr>
                <w:b/>
                <w:sz w:val="18"/>
              </w:rPr>
              <w:t>2016</w:t>
            </w:r>
          </w:p>
        </w:tc>
        <w:tc>
          <w:tcPr>
            <w:tcW w:w="1099" w:type="dxa"/>
          </w:tcPr>
          <w:p>
            <w:pPr>
              <w:pStyle w:val="TableParagraph"/>
              <w:spacing w:before="9"/>
              <w:ind w:left="287"/>
              <w:jc w:val="left"/>
              <w:rPr>
                <w:b/>
                <w:sz w:val="18"/>
              </w:rPr>
            </w:pPr>
            <w:r>
              <w:rPr>
                <w:b/>
                <w:sz w:val="18"/>
              </w:rPr>
              <w:t>2015</w:t>
            </w:r>
          </w:p>
        </w:tc>
      </w:tr>
      <w:tr>
        <w:trPr>
          <w:trHeight w:val="407" w:hRule="exact"/>
        </w:trPr>
        <w:tc>
          <w:tcPr>
            <w:tcW w:w="283" w:type="dxa"/>
          </w:tcPr>
          <w:p>
            <w:pPr/>
          </w:p>
        </w:tc>
        <w:tc>
          <w:tcPr>
            <w:tcW w:w="7076" w:type="dxa"/>
          </w:tcPr>
          <w:p>
            <w:pPr/>
          </w:p>
        </w:tc>
        <w:tc>
          <w:tcPr>
            <w:tcW w:w="1496" w:type="dxa"/>
          </w:tcPr>
          <w:p>
            <w:pPr>
              <w:pStyle w:val="TableParagraph"/>
              <w:spacing w:before="24"/>
              <w:ind w:right="95"/>
              <w:jc w:val="center"/>
              <w:rPr>
                <w:b/>
                <w:sz w:val="18"/>
              </w:rPr>
            </w:pPr>
            <w:r>
              <w:rPr>
                <w:b/>
                <w:w w:val="99"/>
                <w:sz w:val="18"/>
              </w:rPr>
              <w:t>$</w:t>
            </w:r>
          </w:p>
        </w:tc>
        <w:tc>
          <w:tcPr>
            <w:tcW w:w="1099" w:type="dxa"/>
          </w:tcPr>
          <w:p>
            <w:pPr>
              <w:pStyle w:val="TableParagraph"/>
              <w:spacing w:before="24"/>
              <w:ind w:right="121"/>
              <w:jc w:val="center"/>
              <w:rPr>
                <w:b/>
                <w:sz w:val="18"/>
              </w:rPr>
            </w:pPr>
            <w:r>
              <w:rPr>
                <w:b/>
                <w:w w:val="99"/>
                <w:sz w:val="18"/>
              </w:rPr>
              <w:t>$</w:t>
            </w:r>
          </w:p>
        </w:tc>
      </w:tr>
      <w:tr>
        <w:trPr>
          <w:trHeight w:val="403" w:hRule="exact"/>
        </w:trPr>
        <w:tc>
          <w:tcPr>
            <w:tcW w:w="283" w:type="dxa"/>
          </w:tcPr>
          <w:p>
            <w:pPr/>
          </w:p>
        </w:tc>
        <w:tc>
          <w:tcPr>
            <w:tcW w:w="7076" w:type="dxa"/>
          </w:tcPr>
          <w:p>
            <w:pPr>
              <w:pStyle w:val="TableParagraph"/>
              <w:spacing w:before="157"/>
              <w:ind w:left="149"/>
              <w:jc w:val="left"/>
              <w:rPr>
                <w:sz w:val="18"/>
              </w:rPr>
            </w:pPr>
            <w:r>
              <w:rPr>
                <w:sz w:val="18"/>
              </w:rPr>
              <w:t>Retained Earnings at 1 January</w:t>
            </w:r>
          </w:p>
        </w:tc>
        <w:tc>
          <w:tcPr>
            <w:tcW w:w="1496" w:type="dxa"/>
          </w:tcPr>
          <w:p>
            <w:pPr>
              <w:pStyle w:val="TableParagraph"/>
              <w:spacing w:before="159"/>
              <w:ind w:right="285"/>
              <w:rPr>
                <w:b/>
                <w:sz w:val="18"/>
              </w:rPr>
            </w:pPr>
            <w:r>
              <w:rPr>
                <w:b/>
                <w:w w:val="95"/>
                <w:sz w:val="18"/>
              </w:rPr>
              <w:t>821,134</w:t>
            </w:r>
          </w:p>
        </w:tc>
        <w:tc>
          <w:tcPr>
            <w:tcW w:w="1099" w:type="dxa"/>
          </w:tcPr>
          <w:p>
            <w:pPr>
              <w:pStyle w:val="TableParagraph"/>
              <w:spacing w:before="159"/>
              <w:ind w:right="85"/>
              <w:rPr>
                <w:sz w:val="18"/>
              </w:rPr>
            </w:pPr>
            <w:r>
              <w:rPr>
                <w:w w:val="95"/>
                <w:sz w:val="18"/>
              </w:rPr>
              <w:t>604,480</w:t>
            </w:r>
          </w:p>
        </w:tc>
      </w:tr>
      <w:tr>
        <w:trPr>
          <w:trHeight w:val="263" w:hRule="exact"/>
        </w:trPr>
        <w:tc>
          <w:tcPr>
            <w:tcW w:w="283" w:type="dxa"/>
          </w:tcPr>
          <w:p>
            <w:pPr/>
          </w:p>
        </w:tc>
        <w:tc>
          <w:tcPr>
            <w:tcW w:w="7076" w:type="dxa"/>
          </w:tcPr>
          <w:p>
            <w:pPr>
              <w:pStyle w:val="TableParagraph"/>
              <w:spacing w:before="18"/>
              <w:ind w:left="149"/>
              <w:jc w:val="left"/>
              <w:rPr>
                <w:sz w:val="18"/>
              </w:rPr>
            </w:pPr>
            <w:bookmarkStart w:name="Key management personnel disclosures" w:id="345"/>
            <w:bookmarkEnd w:id="345"/>
            <w:r>
              <w:rPr/>
            </w:r>
            <w:bookmarkStart w:name="9 Key management personnel disclosures " w:id="346"/>
            <w:bookmarkEnd w:id="346"/>
            <w:r>
              <w:rPr/>
            </w:r>
            <w:r>
              <w:rPr>
                <w:sz w:val="18"/>
              </w:rPr>
              <w:t>Surplus/(Deficit) for the year</w:t>
            </w:r>
          </w:p>
        </w:tc>
        <w:tc>
          <w:tcPr>
            <w:tcW w:w="1496" w:type="dxa"/>
            <w:tcBorders>
              <w:bottom w:val="single" w:sz="0" w:space="0" w:color="000000"/>
            </w:tcBorders>
          </w:tcPr>
          <w:p>
            <w:pPr>
              <w:pStyle w:val="TableParagraph"/>
              <w:spacing w:before="19"/>
              <w:ind w:right="285"/>
              <w:rPr>
                <w:b/>
                <w:sz w:val="18"/>
              </w:rPr>
            </w:pPr>
            <w:r>
              <w:rPr>
                <w:b/>
                <w:w w:val="95"/>
                <w:sz w:val="18"/>
              </w:rPr>
              <w:t>232,921</w:t>
            </w:r>
          </w:p>
        </w:tc>
        <w:tc>
          <w:tcPr>
            <w:tcW w:w="1099" w:type="dxa"/>
            <w:tcBorders>
              <w:bottom w:val="single" w:sz="0" w:space="0" w:color="000000"/>
            </w:tcBorders>
          </w:tcPr>
          <w:p>
            <w:pPr>
              <w:pStyle w:val="TableParagraph"/>
              <w:spacing w:before="19"/>
              <w:ind w:right="85"/>
              <w:rPr>
                <w:sz w:val="18"/>
              </w:rPr>
            </w:pPr>
            <w:r>
              <w:rPr>
                <w:w w:val="95"/>
                <w:sz w:val="18"/>
              </w:rPr>
              <w:t>216,654</w:t>
            </w:r>
          </w:p>
        </w:tc>
      </w:tr>
      <w:tr>
        <w:trPr>
          <w:trHeight w:val="359" w:hRule="exact"/>
        </w:trPr>
        <w:tc>
          <w:tcPr>
            <w:tcW w:w="283" w:type="dxa"/>
          </w:tcPr>
          <w:p>
            <w:pPr/>
          </w:p>
        </w:tc>
        <w:tc>
          <w:tcPr>
            <w:tcW w:w="7076" w:type="dxa"/>
          </w:tcPr>
          <w:p>
            <w:pPr>
              <w:pStyle w:val="TableParagraph"/>
              <w:spacing w:before="123"/>
              <w:ind w:left="149"/>
              <w:jc w:val="left"/>
              <w:rPr>
                <w:b/>
                <w:sz w:val="18"/>
              </w:rPr>
            </w:pPr>
            <w:r>
              <w:rPr>
                <w:b/>
                <w:sz w:val="18"/>
              </w:rPr>
              <w:t>Balance at 31 December</w:t>
            </w:r>
          </w:p>
        </w:tc>
        <w:tc>
          <w:tcPr>
            <w:tcW w:w="1496" w:type="dxa"/>
            <w:tcBorders>
              <w:top w:val="single" w:sz="0" w:space="0" w:color="000000"/>
              <w:bottom w:val="single" w:sz="0" w:space="0" w:color="000000"/>
            </w:tcBorders>
          </w:tcPr>
          <w:p>
            <w:pPr>
              <w:pStyle w:val="TableParagraph"/>
              <w:spacing w:before="122"/>
              <w:ind w:right="285"/>
              <w:rPr>
                <w:b/>
                <w:sz w:val="18"/>
              </w:rPr>
            </w:pPr>
            <w:r>
              <w:rPr>
                <w:b/>
                <w:w w:val="95"/>
                <w:sz w:val="18"/>
              </w:rPr>
              <w:t>1,054,055</w:t>
            </w:r>
          </w:p>
        </w:tc>
        <w:tc>
          <w:tcPr>
            <w:tcW w:w="1099" w:type="dxa"/>
            <w:tcBorders>
              <w:top w:val="single" w:sz="0" w:space="0" w:color="000000"/>
              <w:bottom w:val="single" w:sz="0" w:space="0" w:color="000000"/>
            </w:tcBorders>
          </w:tcPr>
          <w:p>
            <w:pPr>
              <w:pStyle w:val="TableParagraph"/>
              <w:spacing w:before="122"/>
              <w:ind w:right="85"/>
              <w:rPr>
                <w:sz w:val="18"/>
              </w:rPr>
            </w:pPr>
            <w:r>
              <w:rPr>
                <w:w w:val="95"/>
                <w:sz w:val="18"/>
              </w:rPr>
              <w:t>821,134</w:t>
            </w:r>
          </w:p>
        </w:tc>
      </w:tr>
    </w:tbl>
    <w:p>
      <w:pPr>
        <w:pStyle w:val="BodyText"/>
        <w:rPr>
          <w:sz w:val="20"/>
        </w:rPr>
      </w:pPr>
    </w:p>
    <w:p>
      <w:pPr>
        <w:pStyle w:val="BodyText"/>
        <w:rPr>
          <w:sz w:val="20"/>
        </w:rPr>
      </w:pPr>
    </w:p>
    <w:p>
      <w:pPr>
        <w:pStyle w:val="BodyText"/>
        <w:rPr>
          <w:sz w:val="24"/>
        </w:rPr>
      </w:pPr>
    </w:p>
    <w:p>
      <w:pPr>
        <w:pStyle w:val="Heading8"/>
        <w:numPr>
          <w:ilvl w:val="0"/>
          <w:numId w:val="71"/>
        </w:numPr>
        <w:tabs>
          <w:tab w:pos="1824" w:val="left" w:leader="none"/>
        </w:tabs>
        <w:spacing w:line="240" w:lineRule="auto" w:before="77" w:after="0"/>
        <w:ind w:left="1824" w:right="0" w:hanging="396"/>
        <w:jc w:val="left"/>
      </w:pPr>
      <w:bookmarkStart w:name="(a) Responsible persons and executive of" w:id="347"/>
      <w:bookmarkEnd w:id="347"/>
      <w:r>
        <w:rPr>
          <w:b w:val="0"/>
        </w:rPr>
      </w:r>
      <w:bookmarkStart w:name="(a) Responsible persons and executive of" w:id="348"/>
      <w:bookmarkEnd w:id="348"/>
      <w:r>
        <w:rPr>
          <w:b w:val="0"/>
        </w:rPr>
      </w:r>
      <w:bookmarkStart w:name="(a) Responsible persons and executive of" w:id="349"/>
      <w:bookmarkEnd w:id="349"/>
      <w:r>
        <w:rPr/>
        <w:t>Ke</w:t>
      </w:r>
      <w:r>
        <w:rPr/>
        <w:t>y management personnel</w:t>
      </w:r>
      <w:r>
        <w:rPr>
          <w:spacing w:val="-33"/>
        </w:rPr>
        <w:t> </w:t>
      </w:r>
      <w:r>
        <w:rPr/>
        <w:t>disclosures</w:t>
      </w:r>
    </w:p>
    <w:p>
      <w:pPr>
        <w:pStyle w:val="BodyText"/>
        <w:spacing w:before="7"/>
        <w:rPr>
          <w:b/>
          <w:sz w:val="26"/>
        </w:rPr>
      </w:pPr>
    </w:p>
    <w:p>
      <w:pPr>
        <w:pStyle w:val="ListParagraph"/>
        <w:numPr>
          <w:ilvl w:val="1"/>
          <w:numId w:val="71"/>
        </w:numPr>
        <w:tabs>
          <w:tab w:pos="2392" w:val="left" w:leader="none"/>
        </w:tabs>
        <w:spacing w:line="240" w:lineRule="auto" w:before="0" w:after="0"/>
        <w:ind w:left="2391" w:right="0" w:hanging="566"/>
        <w:jc w:val="left"/>
        <w:rPr>
          <w:b/>
          <w:sz w:val="18"/>
        </w:rPr>
      </w:pPr>
      <w:r>
        <w:rPr>
          <w:b/>
          <w:sz w:val="18"/>
        </w:rPr>
        <w:t>Responsible persons and executive</w:t>
      </w:r>
      <w:r>
        <w:rPr>
          <w:b/>
          <w:spacing w:val="-15"/>
          <w:sz w:val="18"/>
        </w:rPr>
        <w:t> </w:t>
      </w:r>
      <w:r>
        <w:rPr>
          <w:b/>
          <w:sz w:val="18"/>
        </w:rPr>
        <w:t>officers</w:t>
      </w:r>
    </w:p>
    <w:p>
      <w:pPr>
        <w:pStyle w:val="BodyText"/>
        <w:spacing w:before="4"/>
        <w:rPr>
          <w:b/>
          <w:sz w:val="25"/>
        </w:rPr>
      </w:pPr>
    </w:p>
    <w:p>
      <w:pPr>
        <w:pStyle w:val="BodyText"/>
        <w:ind w:left="2389" w:right="1450"/>
      </w:pPr>
      <w:r>
        <w:rPr/>
        <w:t>The following persons were responsible persons and executive officers of UWS Early Learning Limited during the financial period.</w:t>
      </w:r>
    </w:p>
    <w:p>
      <w:pPr>
        <w:pStyle w:val="BodyText"/>
        <w:spacing w:before="11"/>
        <w:rPr>
          <w:sz w:val="24"/>
        </w:rPr>
      </w:pPr>
    </w:p>
    <w:p>
      <w:pPr>
        <w:pStyle w:val="BodyText"/>
        <w:spacing w:line="573" w:lineRule="auto"/>
        <w:ind w:left="2787" w:right="6740" w:hanging="399"/>
      </w:pPr>
      <w:r>
        <w:rPr/>
        <w:drawing>
          <wp:anchor distT="0" distB="0" distL="0" distR="0" allowOverlap="1" layoutInCell="1" locked="0" behindDoc="0" simplePos="0" relativeHeight="12760">
            <wp:simplePos x="0" y="0"/>
            <wp:positionH relativeFrom="page">
              <wp:posOffset>-1587</wp:posOffset>
            </wp:positionH>
            <wp:positionV relativeFrom="paragraph">
              <wp:posOffset>403782</wp:posOffset>
            </wp:positionV>
            <wp:extent cx="136525" cy="155575"/>
            <wp:effectExtent l="0" t="0" r="0" b="0"/>
            <wp:wrapNone/>
            <wp:docPr id="861" name="image13.png" descr=""/>
            <wp:cNvGraphicFramePr>
              <a:graphicFrameLocks noChangeAspect="1"/>
            </wp:cNvGraphicFramePr>
            <a:graphic>
              <a:graphicData uri="http://schemas.openxmlformats.org/drawingml/2006/picture">
                <pic:pic>
                  <pic:nvPicPr>
                    <pic:cNvPr id="862" name="image13.png"/>
                    <pic:cNvPicPr/>
                  </pic:nvPicPr>
                  <pic:blipFill>
                    <a:blip r:embed="rId18" cstate="print"/>
                    <a:stretch>
                      <a:fillRect/>
                    </a:stretch>
                  </pic:blipFill>
                  <pic:spPr>
                    <a:xfrm>
                      <a:off x="0" y="0"/>
                      <a:ext cx="136525" cy="155575"/>
                    </a:xfrm>
                    <a:prstGeom prst="rect">
                      <a:avLst/>
                    </a:prstGeom>
                  </pic:spPr>
                </pic:pic>
              </a:graphicData>
            </a:graphic>
          </wp:anchor>
        </w:drawing>
      </w:r>
      <w:r>
        <w:rPr/>
        <w:drawing>
          <wp:anchor distT="0" distB="0" distL="0" distR="0" allowOverlap="1" layoutInCell="1" locked="0" behindDoc="0" simplePos="0" relativeHeight="12784">
            <wp:simplePos x="0" y="0"/>
            <wp:positionH relativeFrom="page">
              <wp:posOffset>7958429</wp:posOffset>
            </wp:positionH>
            <wp:positionV relativeFrom="paragraph">
              <wp:posOffset>403782</wp:posOffset>
            </wp:positionV>
            <wp:extent cx="135953" cy="155575"/>
            <wp:effectExtent l="0" t="0" r="0" b="0"/>
            <wp:wrapNone/>
            <wp:docPr id="863" name="image15.png" descr=""/>
            <wp:cNvGraphicFramePr>
              <a:graphicFrameLocks noChangeAspect="1"/>
            </wp:cNvGraphicFramePr>
            <a:graphic>
              <a:graphicData uri="http://schemas.openxmlformats.org/drawingml/2006/picture">
                <pic:pic>
                  <pic:nvPicPr>
                    <pic:cNvPr id="864" name="image15.png"/>
                    <pic:cNvPicPr/>
                  </pic:nvPicPr>
                  <pic:blipFill>
                    <a:blip r:embed="rId20" cstate="print"/>
                    <a:stretch>
                      <a:fillRect/>
                    </a:stretch>
                  </pic:blipFill>
                  <pic:spPr>
                    <a:xfrm>
                      <a:off x="0" y="0"/>
                      <a:ext cx="135953" cy="155575"/>
                    </a:xfrm>
                    <a:prstGeom prst="rect">
                      <a:avLst/>
                    </a:prstGeom>
                  </pic:spPr>
                </pic:pic>
              </a:graphicData>
            </a:graphic>
          </wp:anchor>
        </w:drawing>
      </w:r>
      <w:r>
        <w:rPr/>
        <w:t>Responsible Persons and Executive Officers: Mrs Angie Atkinson - General Manager</w:t>
      </w:r>
    </w:p>
    <w:p>
      <w:pPr>
        <w:pStyle w:val="BodyText"/>
        <w:spacing w:before="8"/>
        <w:ind w:left="2389" w:right="1375"/>
      </w:pPr>
      <w:r>
        <w:rPr/>
        <w:t>All responsible persons and executive officers are employees of UWS Early Learning Ltd and are remunerated directly by the entity.</w:t>
      </w:r>
    </w:p>
    <w:p>
      <w:pPr>
        <w:pStyle w:val="BodyText"/>
      </w:pPr>
    </w:p>
    <w:p>
      <w:pPr>
        <w:pStyle w:val="BodyText"/>
      </w:pPr>
    </w:p>
    <w:p>
      <w:pPr>
        <w:pStyle w:val="BodyText"/>
      </w:pPr>
    </w:p>
    <w:p>
      <w:pPr>
        <w:pStyle w:val="Heading8"/>
        <w:numPr>
          <w:ilvl w:val="1"/>
          <w:numId w:val="71"/>
        </w:numPr>
        <w:tabs>
          <w:tab w:pos="2392" w:val="left" w:leader="none"/>
        </w:tabs>
        <w:spacing w:line="240" w:lineRule="auto" w:before="161" w:after="0"/>
        <w:ind w:left="2391" w:right="0" w:hanging="566"/>
        <w:jc w:val="left"/>
      </w:pPr>
      <w:r>
        <w:rPr/>
        <w:t>Board of</w:t>
      </w:r>
      <w:r>
        <w:rPr>
          <w:spacing w:val="-1"/>
        </w:rPr>
        <w:t> </w:t>
      </w:r>
      <w:r>
        <w:rPr/>
        <w:t>Directors</w:t>
      </w:r>
    </w:p>
    <w:p>
      <w:pPr>
        <w:pStyle w:val="BodyText"/>
        <w:spacing w:before="11"/>
        <w:rPr>
          <w:b/>
          <w:sz w:val="24"/>
        </w:rPr>
      </w:pPr>
    </w:p>
    <w:p>
      <w:pPr>
        <w:pStyle w:val="BodyText"/>
        <w:spacing w:line="573" w:lineRule="auto"/>
        <w:ind w:left="2958" w:right="1660" w:hanging="567"/>
      </w:pPr>
      <w:r>
        <w:rPr/>
        <w:t>The following persons were Non-Executive Directors of UWS Early Learning Ltd during the financial period: Ms Susan Hudson - Chair</w:t>
      </w:r>
    </w:p>
    <w:p>
      <w:pPr>
        <w:pStyle w:val="BodyText"/>
        <w:spacing w:line="573" w:lineRule="auto" w:before="8"/>
        <w:ind w:left="2958" w:right="8031"/>
      </w:pPr>
      <w:r>
        <w:rPr/>
        <w:t>Mrs Susan Benzie Mrs Ellen Brackenreg Mrs Denise Fraser Mr Darren Greentree</w:t>
      </w:r>
    </w:p>
    <w:p>
      <w:pPr>
        <w:pStyle w:val="BodyText"/>
        <w:spacing w:line="573" w:lineRule="auto" w:before="8"/>
        <w:ind w:left="2391" w:right="5140" w:firstLine="566"/>
      </w:pPr>
      <w:r>
        <w:rPr/>
        <w:t>Professor Michele Simons (appointed 10 October 2016) No Board Member is remunerated for their services.</w:t>
      </w:r>
    </w:p>
    <w:p>
      <w:pPr>
        <w:spacing w:after="0" w:line="573" w:lineRule="auto"/>
        <w:sectPr>
          <w:footerReference w:type="default" r:id="rId113"/>
          <w:pgSz w:w="12750" w:h="17680"/>
          <w:pgMar w:footer="867" w:header="0" w:top="2800" w:bottom="1060" w:left="0" w:right="0"/>
          <w:pgNumType w:start="182"/>
        </w:sectPr>
      </w:pPr>
    </w:p>
    <w:p>
      <w:pPr>
        <w:pStyle w:val="BodyText"/>
        <w:spacing w:before="8"/>
      </w:pPr>
    </w:p>
    <w:p>
      <w:pPr>
        <w:pStyle w:val="Heading8"/>
        <w:numPr>
          <w:ilvl w:val="0"/>
          <w:numId w:val="71"/>
        </w:numPr>
        <w:tabs>
          <w:tab w:pos="1824" w:val="left" w:leader="none"/>
        </w:tabs>
        <w:spacing w:line="240" w:lineRule="auto" w:before="77" w:after="0"/>
        <w:ind w:left="1824" w:right="0" w:hanging="396"/>
        <w:jc w:val="left"/>
      </w:pPr>
      <w:bookmarkStart w:name="Remuneration of auditors" w:id="350"/>
      <w:bookmarkEnd w:id="350"/>
      <w:r>
        <w:rPr>
          <w:b w:val="0"/>
        </w:rPr>
      </w:r>
      <w:bookmarkStart w:name="Remuneration of auditors" w:id="351"/>
      <w:bookmarkEnd w:id="351"/>
      <w:r>
        <w:rPr/>
        <w:t>Remuneration</w:t>
      </w:r>
      <w:r>
        <w:rPr/>
        <w:t> of auditors</w:t>
      </w:r>
    </w:p>
    <w:p>
      <w:pPr>
        <w:pStyle w:val="BodyText"/>
        <w:spacing w:before="141"/>
        <w:ind w:left="1852"/>
      </w:pPr>
      <w:r>
        <w:rPr/>
        <w:t>During the period, the following fees were paid for services provided by the auditor of UWS Early Learning Limited:</w:t>
      </w:r>
    </w:p>
    <w:p>
      <w:pPr>
        <w:pStyle w:val="BodyText"/>
        <w:spacing w:before="5"/>
        <w:rPr>
          <w:sz w:val="26"/>
        </w:rPr>
      </w:pPr>
    </w:p>
    <w:p>
      <w:pPr>
        <w:spacing w:after="0"/>
        <w:rPr>
          <w:sz w:val="26"/>
        </w:rPr>
        <w:sectPr>
          <w:pgSz w:w="12750" w:h="17680"/>
          <w:pgMar w:header="0" w:footer="867" w:top="2800" w:bottom="1120" w:left="0" w:right="0"/>
        </w:sectPr>
      </w:pPr>
    </w:p>
    <w:p>
      <w:pPr>
        <w:pStyle w:val="Heading8"/>
        <w:spacing w:before="77"/>
        <w:jc w:val="right"/>
      </w:pPr>
      <w:r>
        <w:rPr/>
        <w:t>2016</w:t>
      </w:r>
    </w:p>
    <w:p>
      <w:pPr>
        <w:spacing w:before="66"/>
        <w:ind w:left="0" w:right="146" w:firstLine="0"/>
        <w:jc w:val="right"/>
        <w:rPr>
          <w:b/>
          <w:sz w:val="18"/>
        </w:rPr>
      </w:pPr>
      <w:r>
        <w:rPr>
          <w:b/>
          <w:w w:val="99"/>
          <w:sz w:val="18"/>
        </w:rPr>
        <w:t>$</w:t>
      </w:r>
    </w:p>
    <w:p>
      <w:pPr>
        <w:spacing w:before="77"/>
        <w:ind w:left="827" w:right="1821" w:firstLine="0"/>
        <w:jc w:val="center"/>
        <w:rPr>
          <w:b/>
          <w:sz w:val="18"/>
        </w:rPr>
      </w:pPr>
      <w:r>
        <w:rPr/>
        <w:br w:type="column"/>
      </w:r>
      <w:r>
        <w:rPr>
          <w:b/>
          <w:sz w:val="18"/>
        </w:rPr>
        <w:t>2015</w:t>
      </w:r>
    </w:p>
    <w:p>
      <w:pPr>
        <w:spacing w:before="66"/>
        <w:ind w:left="0" w:right="993" w:firstLine="0"/>
        <w:jc w:val="center"/>
        <w:rPr>
          <w:b/>
          <w:sz w:val="18"/>
        </w:rPr>
      </w:pPr>
      <w:r>
        <w:rPr>
          <w:b/>
          <w:w w:val="99"/>
          <w:sz w:val="18"/>
        </w:rPr>
        <w:t>$</w:t>
      </w:r>
    </w:p>
    <w:p>
      <w:pPr>
        <w:spacing w:after="0"/>
        <w:jc w:val="center"/>
        <w:rPr>
          <w:sz w:val="18"/>
        </w:rPr>
        <w:sectPr>
          <w:type w:val="continuous"/>
          <w:pgSz w:w="12750" w:h="17680"/>
          <w:pgMar w:top="1660" w:bottom="0" w:left="0" w:right="0"/>
          <w:cols w:num="2" w:equalWidth="0">
            <w:col w:w="9621" w:space="40"/>
            <w:col w:w="3089"/>
          </w:cols>
        </w:sectPr>
      </w:pPr>
    </w:p>
    <w:p>
      <w:pPr>
        <w:pStyle w:val="BodyText"/>
        <w:tabs>
          <w:tab w:pos="9411" w:val="left" w:leader="none"/>
          <w:tab w:pos="10707" w:val="left" w:leader="none"/>
        </w:tabs>
        <w:spacing w:before="62"/>
        <w:ind w:left="1868"/>
      </w:pPr>
      <w:r>
        <w:rPr/>
        <w:pict>
          <v:group style="position:absolute;margin-left:437.470001pt;margin-top:14.791919pt;width:129.85pt;height:1pt;mso-position-horizontal-relative:page;mso-position-vertical-relative:paragraph;z-index:12808;mso-wrap-distance-left:0;mso-wrap-distance-right:0" coordorigin="8749,296" coordsize="2597,20">
            <v:line style="position:absolute" from="8750,297" to="10048,297" stroked="true" strokeweight=".06pt" strokecolor="#000000"/>
            <v:line style="position:absolute" from="8750,298" to="10048,298" stroked="true" strokeweight=".06pt" strokecolor="#000000"/>
            <v:line style="position:absolute" from="8750,299" to="10048,299" stroked="true" strokeweight=".06pt" strokecolor="#000000"/>
            <v:line style="position:absolute" from="8750,300" to="10048,300" stroked="true" strokeweight=".06pt" strokecolor="#000000"/>
            <v:line style="position:absolute" from="8750,302" to="10048,302" stroked="true" strokeweight=".06pt" strokecolor="#000000"/>
            <v:line style="position:absolute" from="8750,303" to="10048,303" stroked="true" strokeweight=".06pt" strokecolor="#000000"/>
            <v:line style="position:absolute" from="8750,304" to="10048,304" stroked="true" strokeweight=".06pt" strokecolor="#000000"/>
            <v:line style="position:absolute" from="8750,305" to="10048,305" stroked="true" strokeweight=".06pt" strokecolor="#000000"/>
            <v:line style="position:absolute" from="8750,306" to="10048,306" stroked="true" strokeweight=".06pt" strokecolor="#000000"/>
            <v:line style="position:absolute" from="8750,308" to="10048,308" stroked="true" strokeweight=".06pt" strokecolor="#000000"/>
            <v:line style="position:absolute" from="8750,309" to="10048,309" stroked="true" strokeweight=".06pt" strokecolor="#000000"/>
            <v:line style="position:absolute" from="8750,310" to="10048,310" stroked="true" strokeweight=".06pt" strokecolor="#000000"/>
            <v:line style="position:absolute" from="8750,311" to="10048,311" stroked="true" strokeweight=".06pt" strokecolor="#000000"/>
            <v:line style="position:absolute" from="8750,312" to="10048,312" stroked="true" strokeweight=".06pt" strokecolor="#000000"/>
            <v:line style="position:absolute" from="8750,314" to="10048,314" stroked="true" strokeweight=".06pt" strokecolor="#000000"/>
            <v:line style="position:absolute" from="8750,315" to="10048,315" stroked="true" strokeweight=".06pt" strokecolor="#000000"/>
            <v:line style="position:absolute" from="10048,297" to="11345,297" stroked="true" strokeweight=".06pt" strokecolor="#000000"/>
            <v:line style="position:absolute" from="10048,298" to="11345,298" stroked="true" strokeweight=".06pt" strokecolor="#000000"/>
            <v:line style="position:absolute" from="10048,299" to="11345,299" stroked="true" strokeweight=".06pt" strokecolor="#000000"/>
            <v:line style="position:absolute" from="10048,300" to="11345,300" stroked="true" strokeweight=".06pt" strokecolor="#000000"/>
            <v:line style="position:absolute" from="10048,302" to="11345,302" stroked="true" strokeweight=".06pt" strokecolor="#000000"/>
            <v:line style="position:absolute" from="10048,303" to="11345,303" stroked="true" strokeweight=".06pt" strokecolor="#000000"/>
            <v:line style="position:absolute" from="10048,304" to="11345,304" stroked="true" strokeweight=".06pt" strokecolor="#000000"/>
            <v:line style="position:absolute" from="10048,305" to="11345,305" stroked="true" strokeweight=".06pt" strokecolor="#000000"/>
            <v:line style="position:absolute" from="10048,306" to="11345,306" stroked="true" strokeweight=".06pt" strokecolor="#000000"/>
            <v:line style="position:absolute" from="10048,308" to="11345,308" stroked="true" strokeweight=".06pt" strokecolor="#000000"/>
            <v:line style="position:absolute" from="10048,309" to="11345,309" stroked="true" strokeweight=".06pt" strokecolor="#000000"/>
            <v:line style="position:absolute" from="10048,310" to="11345,310" stroked="true" strokeweight=".06pt" strokecolor="#000000"/>
            <v:line style="position:absolute" from="10048,311" to="11345,311" stroked="true" strokeweight=".06pt" strokecolor="#000000"/>
            <v:line style="position:absolute" from="10048,312" to="11345,312" stroked="true" strokeweight=".06pt" strokecolor="#000000"/>
            <v:line style="position:absolute" from="10048,314" to="11345,314" stroked="true" strokeweight=".06pt" strokecolor="#000000"/>
            <v:line style="position:absolute" from="10048,315" to="11345,315" stroked="true" strokeweight=".06pt" strokecolor="#000000"/>
            <w10:wrap type="topAndBottom"/>
          </v:group>
        </w:pict>
      </w:r>
      <w:r>
        <w:rPr/>
        <w:t>Audit and review of the</w:t>
      </w:r>
      <w:r>
        <w:rPr>
          <w:spacing w:val="-29"/>
        </w:rPr>
        <w:t> </w:t>
      </w:r>
      <w:r>
        <w:rPr/>
        <w:t>financial</w:t>
      </w:r>
      <w:r>
        <w:rPr>
          <w:spacing w:val="-5"/>
        </w:rPr>
        <w:t> </w:t>
      </w:r>
      <w:r>
        <w:rPr/>
        <w:t>statements</w:t>
        <w:tab/>
      </w:r>
      <w:r>
        <w:rPr>
          <w:b/>
        </w:rPr>
        <w:t>29,600</w:t>
        <w:tab/>
      </w:r>
      <w:r>
        <w:rPr/>
        <w:t>24,000</w:t>
      </w:r>
    </w:p>
    <w:p>
      <w:pPr>
        <w:pStyle w:val="Heading8"/>
        <w:tabs>
          <w:tab w:pos="9411" w:val="left" w:leader="none"/>
          <w:tab w:pos="10707" w:val="left" w:leader="none"/>
        </w:tabs>
        <w:spacing w:after="27"/>
        <w:ind w:left="1868"/>
        <w:rPr>
          <w:b w:val="0"/>
        </w:rPr>
      </w:pPr>
      <w:bookmarkStart w:name="11 Contingencies" w:id="352"/>
      <w:bookmarkEnd w:id="352"/>
      <w:r>
        <w:rPr>
          <w:b w:val="0"/>
        </w:rPr>
      </w:r>
      <w:r>
        <w:rPr/>
        <w:t>Total fees paid to auditors</w:t>
        <w:tab/>
        <w:t>29,600</w:t>
        <w:tab/>
      </w:r>
      <w:r>
        <w:rPr>
          <w:b w:val="0"/>
        </w:rPr>
        <w:t>24,000</w:t>
      </w:r>
    </w:p>
    <w:p>
      <w:pPr>
        <w:pStyle w:val="BodyText"/>
        <w:spacing w:line="50" w:lineRule="exact"/>
        <w:ind w:left="8749"/>
        <w:rPr>
          <w:sz w:val="5"/>
        </w:rPr>
      </w:pPr>
      <w:r>
        <w:rPr>
          <w:position w:val="0"/>
          <w:sz w:val="5"/>
        </w:rPr>
        <w:pict>
          <v:group style="width:129.85pt;height:2.5pt;mso-position-horizontal-relative:char;mso-position-vertical-relative:line" coordorigin="0,0" coordsize="2597,50">
            <v:line style="position:absolute" from="1,1" to="1298,1" stroked="true" strokeweight=".06pt" strokecolor="#000000"/>
            <v:line style="position:absolute" from="1,2" to="1298,2" stroked="true" strokeweight=".06pt" strokecolor="#000000"/>
            <v:line style="position:absolute" from="1,3" to="1298,3" stroked="true" strokeweight=".06pt" strokecolor="#000000"/>
            <v:line style="position:absolute" from="1,5" to="1298,5" stroked="true" strokeweight=".06pt" strokecolor="#000000"/>
            <v:line style="position:absolute" from="1,6" to="1298,6" stroked="true" strokeweight=".06pt" strokecolor="#000000"/>
            <v:line style="position:absolute" from="1,7" to="1298,7" stroked="true" strokeweight=".06pt" strokecolor="#000000"/>
            <v:line style="position:absolute" from="1,8" to="1298,8" stroked="true" strokeweight=".06pt" strokecolor="#000000"/>
            <v:line style="position:absolute" from="1,9" to="1298,9" stroked="true" strokeweight=".06pt" strokecolor="#000000"/>
            <v:line style="position:absolute" from="1,11" to="1298,11" stroked="true" strokeweight=".06pt" strokecolor="#000000"/>
            <v:line style="position:absolute" from="1,12" to="1298,12" stroked="true" strokeweight=".06pt" strokecolor="#000000"/>
            <v:line style="position:absolute" from="1,13" to="1298,13" stroked="true" strokeweight=".06pt" strokecolor="#000000"/>
            <v:line style="position:absolute" from="1,14" to="1298,14" stroked="true" strokeweight=".06pt" strokecolor="#000000"/>
            <v:line style="position:absolute" from="1,15" to="1298,15" stroked="true" strokeweight=".06pt" strokecolor="#000000"/>
            <v:line style="position:absolute" from="1,35" to="1298,35" stroked="true" strokeweight=".06pt" strokecolor="#000000"/>
            <v:line style="position:absolute" from="1,36" to="1298,36" stroked="true" strokeweight=".06pt" strokecolor="#000000"/>
            <v:line style="position:absolute" from="1,37" to="1298,37" stroked="true" strokeweight=".06pt" strokecolor="#000000"/>
            <v:line style="position:absolute" from="1,38" to="1298,38" stroked="true" strokeweight=".06pt" strokecolor="#000000"/>
            <v:line style="position:absolute" from="1,39" to="1298,39" stroked="true" strokeweight=".06pt" strokecolor="#000000"/>
            <v:line style="position:absolute" from="1,41" to="1298,41" stroked="true" strokeweight=".06pt" strokecolor="#000000"/>
            <v:line style="position:absolute" from="1,42" to="1298,42" stroked="true" strokeweight=".06pt" strokecolor="#000000"/>
            <v:line style="position:absolute" from="1,43" to="1298,43" stroked="true" strokeweight=".06pt" strokecolor="#000000"/>
            <v:line style="position:absolute" from="1,44" to="1298,44" stroked="true" strokeweight=".06pt" strokecolor="#000000"/>
            <v:line style="position:absolute" from="1,45" to="1298,45" stroked="true" strokeweight=".06pt" strokecolor="#000000"/>
            <v:line style="position:absolute" from="1,47" to="1298,47" stroked="true" strokeweight=".06pt" strokecolor="#000000"/>
            <v:line style="position:absolute" from="1,48" to="1298,48" stroked="true" strokeweight=".06pt" strokecolor="#000000"/>
            <v:line style="position:absolute" from="1,49" to="1298,49" stroked="true" strokeweight=".06pt" strokecolor="#000000"/>
            <v:line style="position:absolute" from="1298,1" to="2595,1" stroked="true" strokeweight=".06pt" strokecolor="#000000"/>
            <v:line style="position:absolute" from="1298,2" to="2595,2" stroked="true" strokeweight=".06pt" strokecolor="#000000"/>
            <v:line style="position:absolute" from="1298,3" to="2595,3" stroked="true" strokeweight=".06pt" strokecolor="#000000"/>
            <v:line style="position:absolute" from="1298,5" to="2595,5" stroked="true" strokeweight=".06pt" strokecolor="#000000"/>
            <v:line style="position:absolute" from="1298,6" to="2595,6" stroked="true" strokeweight=".06pt" strokecolor="#000000"/>
            <v:line style="position:absolute" from="1298,7" to="2595,7" stroked="true" strokeweight=".06pt" strokecolor="#000000"/>
            <v:line style="position:absolute" from="1298,8" to="2595,8" stroked="true" strokeweight=".06pt" strokecolor="#000000"/>
            <v:line style="position:absolute" from="1298,9" to="2595,9" stroked="true" strokeweight=".06pt" strokecolor="#000000"/>
            <v:line style="position:absolute" from="1298,11" to="2595,11" stroked="true" strokeweight=".06pt" strokecolor="#000000"/>
            <v:line style="position:absolute" from="1298,12" to="2595,12" stroked="true" strokeweight=".06pt" strokecolor="#000000"/>
            <v:line style="position:absolute" from="1298,13" to="2595,13" stroked="true" strokeweight=".06pt" strokecolor="#000000"/>
            <v:line style="position:absolute" from="1298,14" to="2595,14" stroked="true" strokeweight=".06pt" strokecolor="#000000"/>
            <v:line style="position:absolute" from="1298,15" to="2595,15" stroked="true" strokeweight=".06pt" strokecolor="#000000"/>
            <v:line style="position:absolute" from="1298,35" to="2595,35" stroked="true" strokeweight=".06pt" strokecolor="#000000"/>
            <v:line style="position:absolute" from="1298,36" to="2595,36" stroked="true" strokeweight=".06pt" strokecolor="#000000"/>
            <v:line style="position:absolute" from="1298,37" to="2595,37" stroked="true" strokeweight=".06pt" strokecolor="#000000"/>
            <v:line style="position:absolute" from="1298,38" to="2595,38" stroked="true" strokeweight=".06pt" strokecolor="#000000"/>
            <v:line style="position:absolute" from="1298,39" to="2595,39" stroked="true" strokeweight=".06pt" strokecolor="#000000"/>
            <v:line style="position:absolute" from="1298,41" to="2595,41" stroked="true" strokeweight=".06pt" strokecolor="#000000"/>
            <v:line style="position:absolute" from="1298,42" to="2595,42" stroked="true" strokeweight=".06pt" strokecolor="#000000"/>
            <v:line style="position:absolute" from="1298,43" to="2595,43" stroked="true" strokeweight=".06pt" strokecolor="#000000"/>
            <v:line style="position:absolute" from="1298,44" to="2595,44" stroked="true" strokeweight=".06pt" strokecolor="#000000"/>
            <v:line style="position:absolute" from="1298,45" to="2595,45" stroked="true" strokeweight=".06pt" strokecolor="#000000"/>
            <v:line style="position:absolute" from="1298,47" to="2595,47" stroked="true" strokeweight=".06pt" strokecolor="#000000"/>
            <v:line style="position:absolute" from="1298,48" to="2595,48" stroked="true" strokeweight=".06pt" strokecolor="#000000"/>
            <v:line style="position:absolute" from="1298,49" to="2595,49" stroked="true" strokeweight=".06pt" strokecolor="#000000"/>
          </v:group>
        </w:pict>
      </w:r>
      <w:r>
        <w:rPr>
          <w:position w:val="0"/>
          <w:sz w:val="5"/>
        </w:rPr>
      </w:r>
    </w:p>
    <w:p>
      <w:pPr>
        <w:pStyle w:val="BodyText"/>
        <w:rPr>
          <w:sz w:val="20"/>
        </w:rPr>
      </w:pPr>
    </w:p>
    <w:p>
      <w:pPr>
        <w:pStyle w:val="BodyText"/>
        <w:spacing w:before="7"/>
        <w:rPr>
          <w:sz w:val="28"/>
        </w:rPr>
      </w:pPr>
    </w:p>
    <w:p>
      <w:pPr>
        <w:pStyle w:val="ListParagraph"/>
        <w:numPr>
          <w:ilvl w:val="0"/>
          <w:numId w:val="71"/>
        </w:numPr>
        <w:tabs>
          <w:tab w:pos="1824" w:val="left" w:leader="none"/>
        </w:tabs>
        <w:spacing w:line="240" w:lineRule="auto" w:before="77" w:after="0"/>
        <w:ind w:left="1824" w:right="0" w:hanging="396"/>
        <w:jc w:val="left"/>
        <w:rPr>
          <w:b/>
          <w:sz w:val="18"/>
        </w:rPr>
      </w:pPr>
      <w:r>
        <w:rPr>
          <w:b/>
          <w:sz w:val="18"/>
        </w:rPr>
        <w:t>Contingencies</w:t>
      </w:r>
    </w:p>
    <w:p>
      <w:pPr>
        <w:pStyle w:val="BodyText"/>
        <w:spacing w:before="11"/>
        <w:rPr>
          <w:b/>
          <w:sz w:val="24"/>
        </w:rPr>
      </w:pPr>
    </w:p>
    <w:p>
      <w:pPr>
        <w:pStyle w:val="BodyText"/>
        <w:ind w:left="1852"/>
      </w:pPr>
      <w:bookmarkStart w:name="12 Commitments" w:id="353"/>
      <w:bookmarkEnd w:id="353"/>
      <w:r>
        <w:rPr/>
      </w:r>
      <w:r>
        <w:rPr/>
        <w:t>The Company had no contingent liabilities at 31 December 2016.</w:t>
      </w:r>
    </w:p>
    <w:p>
      <w:pPr>
        <w:pStyle w:val="BodyText"/>
      </w:pPr>
    </w:p>
    <w:p>
      <w:pPr>
        <w:pStyle w:val="BodyText"/>
        <w:spacing w:before="11"/>
        <w:rPr>
          <w:sz w:val="22"/>
        </w:rPr>
      </w:pPr>
    </w:p>
    <w:p>
      <w:pPr>
        <w:pStyle w:val="Heading8"/>
        <w:numPr>
          <w:ilvl w:val="0"/>
          <w:numId w:val="71"/>
        </w:numPr>
        <w:tabs>
          <w:tab w:pos="1824" w:val="left" w:leader="none"/>
        </w:tabs>
        <w:spacing w:line="240" w:lineRule="auto" w:before="0" w:after="0"/>
        <w:ind w:left="1824" w:right="0" w:hanging="396"/>
        <w:jc w:val="left"/>
      </w:pPr>
      <w:bookmarkStart w:name="Finance lease commitments" w:id="354"/>
      <w:bookmarkEnd w:id="354"/>
      <w:r>
        <w:rPr>
          <w:b w:val="0"/>
        </w:rPr>
      </w:r>
      <w:bookmarkStart w:name="Related Parties" w:id="355"/>
      <w:bookmarkEnd w:id="355"/>
      <w:r>
        <w:rPr>
          <w:b w:val="0"/>
        </w:rPr>
      </w:r>
      <w:bookmarkStart w:name="Related Parties" w:id="356"/>
      <w:bookmarkEnd w:id="356"/>
      <w:r>
        <w:rPr/>
        <w:t>Commitments</w:t>
      </w:r>
    </w:p>
    <w:p>
      <w:pPr>
        <w:pStyle w:val="BodyText"/>
        <w:spacing w:before="11"/>
        <w:rPr>
          <w:b/>
          <w:sz w:val="24"/>
        </w:rPr>
      </w:pPr>
    </w:p>
    <w:p>
      <w:pPr>
        <w:pStyle w:val="BodyText"/>
        <w:ind w:left="1824"/>
      </w:pPr>
      <w:r>
        <w:rPr/>
        <w:t>The Company had no commitments at 31 December 2016.</w:t>
      </w:r>
    </w:p>
    <w:p>
      <w:pPr>
        <w:pStyle w:val="BodyText"/>
      </w:pPr>
    </w:p>
    <w:p>
      <w:pPr>
        <w:pStyle w:val="BodyText"/>
      </w:pPr>
    </w:p>
    <w:p>
      <w:pPr>
        <w:pStyle w:val="BodyText"/>
      </w:pPr>
    </w:p>
    <w:p>
      <w:pPr>
        <w:pStyle w:val="Heading8"/>
        <w:numPr>
          <w:ilvl w:val="0"/>
          <w:numId w:val="71"/>
        </w:numPr>
        <w:tabs>
          <w:tab w:pos="1824" w:val="left" w:leader="none"/>
        </w:tabs>
        <w:spacing w:line="240" w:lineRule="auto" w:before="161" w:after="0"/>
        <w:ind w:left="1824" w:right="0" w:hanging="396"/>
        <w:jc w:val="left"/>
      </w:pPr>
      <w:r>
        <w:rPr/>
        <w:drawing>
          <wp:anchor distT="0" distB="0" distL="0" distR="0" allowOverlap="1" layoutInCell="1" locked="0" behindDoc="0" simplePos="0" relativeHeight="12880">
            <wp:simplePos x="0" y="0"/>
            <wp:positionH relativeFrom="page">
              <wp:posOffset>-1587</wp:posOffset>
            </wp:positionH>
            <wp:positionV relativeFrom="paragraph">
              <wp:posOffset>271321</wp:posOffset>
            </wp:positionV>
            <wp:extent cx="135159" cy="154019"/>
            <wp:effectExtent l="0" t="0" r="0" b="0"/>
            <wp:wrapNone/>
            <wp:docPr id="865" name="image13.png" descr=""/>
            <wp:cNvGraphicFramePr>
              <a:graphicFrameLocks noChangeAspect="1"/>
            </wp:cNvGraphicFramePr>
            <a:graphic>
              <a:graphicData uri="http://schemas.openxmlformats.org/drawingml/2006/picture">
                <pic:pic>
                  <pic:nvPicPr>
                    <pic:cNvPr id="866" name="image13.png"/>
                    <pic:cNvPicPr/>
                  </pic:nvPicPr>
                  <pic:blipFill>
                    <a:blip r:embed="rId18" cstate="print"/>
                    <a:stretch>
                      <a:fillRect/>
                    </a:stretch>
                  </pic:blipFill>
                  <pic:spPr>
                    <a:xfrm>
                      <a:off x="0" y="0"/>
                      <a:ext cx="135159" cy="154019"/>
                    </a:xfrm>
                    <a:prstGeom prst="rect">
                      <a:avLst/>
                    </a:prstGeom>
                  </pic:spPr>
                </pic:pic>
              </a:graphicData>
            </a:graphic>
          </wp:anchor>
        </w:drawing>
      </w:r>
      <w:r>
        <w:rPr/>
        <w:drawing>
          <wp:anchor distT="0" distB="0" distL="0" distR="0" allowOverlap="1" layoutInCell="1" locked="0" behindDoc="0" simplePos="0" relativeHeight="12904">
            <wp:simplePos x="0" y="0"/>
            <wp:positionH relativeFrom="page">
              <wp:posOffset>7958429</wp:posOffset>
            </wp:positionH>
            <wp:positionV relativeFrom="paragraph">
              <wp:posOffset>271321</wp:posOffset>
            </wp:positionV>
            <wp:extent cx="135953" cy="155575"/>
            <wp:effectExtent l="0" t="0" r="0" b="0"/>
            <wp:wrapNone/>
            <wp:docPr id="867" name="image15.png" descr=""/>
            <wp:cNvGraphicFramePr>
              <a:graphicFrameLocks noChangeAspect="1"/>
            </wp:cNvGraphicFramePr>
            <a:graphic>
              <a:graphicData uri="http://schemas.openxmlformats.org/drawingml/2006/picture">
                <pic:pic>
                  <pic:nvPicPr>
                    <pic:cNvPr id="868" name="image15.png"/>
                    <pic:cNvPicPr/>
                  </pic:nvPicPr>
                  <pic:blipFill>
                    <a:blip r:embed="rId20" cstate="print"/>
                    <a:stretch>
                      <a:fillRect/>
                    </a:stretch>
                  </pic:blipFill>
                  <pic:spPr>
                    <a:xfrm>
                      <a:off x="0" y="0"/>
                      <a:ext cx="135953" cy="155575"/>
                    </a:xfrm>
                    <a:prstGeom prst="rect">
                      <a:avLst/>
                    </a:prstGeom>
                  </pic:spPr>
                </pic:pic>
              </a:graphicData>
            </a:graphic>
          </wp:anchor>
        </w:drawing>
      </w:r>
      <w:bookmarkStart w:name="(a) Entities exercising control over the" w:id="357"/>
      <w:bookmarkEnd w:id="357"/>
      <w:r>
        <w:rPr>
          <w:b w:val="0"/>
        </w:rPr>
      </w:r>
      <w:bookmarkStart w:name="(a) Entities exercising control over the" w:id="358"/>
      <w:bookmarkEnd w:id="358"/>
      <w:r>
        <w:rPr/>
        <w:t>Relate</w:t>
      </w:r>
      <w:r>
        <w:rPr/>
        <w:t>d</w:t>
      </w:r>
      <w:r>
        <w:rPr>
          <w:spacing w:val="-15"/>
        </w:rPr>
        <w:t> </w:t>
      </w:r>
      <w:r>
        <w:rPr/>
        <w:t>Parties</w:t>
      </w:r>
    </w:p>
    <w:p>
      <w:pPr>
        <w:pStyle w:val="BodyText"/>
        <w:spacing w:before="7"/>
        <w:rPr>
          <w:b/>
          <w:sz w:val="26"/>
        </w:rPr>
      </w:pPr>
    </w:p>
    <w:p>
      <w:pPr>
        <w:pStyle w:val="ListParagraph"/>
        <w:numPr>
          <w:ilvl w:val="1"/>
          <w:numId w:val="71"/>
        </w:numPr>
        <w:tabs>
          <w:tab w:pos="2392" w:val="left" w:leader="none"/>
        </w:tabs>
        <w:spacing w:line="240" w:lineRule="auto" w:before="0" w:after="0"/>
        <w:ind w:left="2391" w:right="0" w:hanging="566"/>
        <w:jc w:val="left"/>
        <w:rPr>
          <w:b/>
          <w:sz w:val="18"/>
        </w:rPr>
      </w:pPr>
      <w:bookmarkStart w:name="(b) Transactions with related parties" w:id="359"/>
      <w:bookmarkEnd w:id="359"/>
      <w:r>
        <w:rPr/>
      </w:r>
      <w:bookmarkStart w:name="(b) Transactions with related parties" w:id="360"/>
      <w:bookmarkEnd w:id="360"/>
      <w:r>
        <w:rPr>
          <w:b/>
          <w:sz w:val="18"/>
        </w:rPr>
        <w:t>Entities</w:t>
      </w:r>
      <w:r>
        <w:rPr>
          <w:b/>
          <w:sz w:val="18"/>
        </w:rPr>
        <w:t> exercising control over the</w:t>
      </w:r>
      <w:r>
        <w:rPr>
          <w:b/>
          <w:spacing w:val="-5"/>
          <w:sz w:val="18"/>
        </w:rPr>
        <w:t> </w:t>
      </w:r>
      <w:r>
        <w:rPr>
          <w:b/>
          <w:sz w:val="18"/>
        </w:rPr>
        <w:t>Company</w:t>
      </w:r>
    </w:p>
    <w:p>
      <w:pPr>
        <w:pStyle w:val="BodyText"/>
        <w:spacing w:before="4"/>
        <w:rPr>
          <w:b/>
          <w:sz w:val="25"/>
        </w:rPr>
      </w:pPr>
    </w:p>
    <w:p>
      <w:pPr>
        <w:pStyle w:val="BodyText"/>
        <w:ind w:left="1852"/>
      </w:pPr>
      <w:r>
        <w:rPr/>
        <w:t>The ultimate parent entity of the Company is Western Sydney University.</w:t>
      </w:r>
    </w:p>
    <w:p>
      <w:pPr>
        <w:pStyle w:val="BodyText"/>
        <w:spacing w:before="11"/>
        <w:rPr>
          <w:sz w:val="19"/>
        </w:rPr>
      </w:pPr>
    </w:p>
    <w:tbl>
      <w:tblPr>
        <w:tblW w:w="0" w:type="auto"/>
        <w:jc w:val="left"/>
        <w:tblInd w:w="179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959"/>
        <w:gridCol w:w="1482"/>
        <w:gridCol w:w="1112"/>
      </w:tblGrid>
      <w:tr>
        <w:trPr>
          <w:trHeight w:val="663" w:hRule="exact"/>
        </w:trPr>
        <w:tc>
          <w:tcPr>
            <w:tcW w:w="6959" w:type="dxa"/>
          </w:tcPr>
          <w:p>
            <w:pPr>
              <w:pStyle w:val="TableParagraph"/>
              <w:tabs>
                <w:tab w:pos="601" w:val="left" w:leader="none"/>
              </w:tabs>
              <w:spacing w:before="77"/>
              <w:ind w:left="35"/>
              <w:jc w:val="left"/>
              <w:rPr>
                <w:b/>
                <w:sz w:val="18"/>
              </w:rPr>
            </w:pPr>
            <w:r>
              <w:rPr>
                <w:b/>
                <w:sz w:val="18"/>
              </w:rPr>
              <w:t>(b)</w:t>
              <w:tab/>
              <w:t>Transactions with related</w:t>
            </w:r>
            <w:r>
              <w:rPr>
                <w:b/>
                <w:spacing w:val="5"/>
                <w:sz w:val="18"/>
              </w:rPr>
              <w:t> </w:t>
            </w:r>
            <w:r>
              <w:rPr>
                <w:b/>
                <w:sz w:val="18"/>
              </w:rPr>
              <w:t>parties</w:t>
            </w:r>
          </w:p>
          <w:p>
            <w:pPr>
              <w:pStyle w:val="TableParagraph"/>
              <w:spacing w:before="146"/>
              <w:ind w:left="62"/>
              <w:jc w:val="left"/>
              <w:rPr>
                <w:sz w:val="18"/>
              </w:rPr>
            </w:pPr>
            <w:r>
              <w:rPr>
                <w:sz w:val="18"/>
              </w:rPr>
              <w:t>The following transactions occurred with related parties:</w:t>
            </w:r>
          </w:p>
        </w:tc>
        <w:tc>
          <w:tcPr>
            <w:tcW w:w="2594" w:type="dxa"/>
            <w:gridSpan w:val="2"/>
          </w:tcPr>
          <w:p>
            <w:pPr/>
          </w:p>
        </w:tc>
      </w:tr>
      <w:tr>
        <w:trPr>
          <w:trHeight w:val="257" w:hRule="exact"/>
        </w:trPr>
        <w:tc>
          <w:tcPr>
            <w:tcW w:w="6959" w:type="dxa"/>
          </w:tcPr>
          <w:p>
            <w:pPr/>
          </w:p>
        </w:tc>
        <w:tc>
          <w:tcPr>
            <w:tcW w:w="1482" w:type="dxa"/>
          </w:tcPr>
          <w:p>
            <w:pPr>
              <w:pStyle w:val="TableParagraph"/>
              <w:spacing w:before="7"/>
              <w:ind w:left="471"/>
              <w:jc w:val="left"/>
              <w:rPr>
                <w:b/>
                <w:sz w:val="18"/>
              </w:rPr>
            </w:pPr>
            <w:r>
              <w:rPr>
                <w:b/>
                <w:sz w:val="18"/>
              </w:rPr>
              <w:t>2016</w:t>
            </w:r>
          </w:p>
        </w:tc>
        <w:tc>
          <w:tcPr>
            <w:tcW w:w="1112" w:type="dxa"/>
          </w:tcPr>
          <w:p>
            <w:pPr>
              <w:pStyle w:val="TableParagraph"/>
              <w:spacing w:before="7"/>
              <w:ind w:left="272"/>
              <w:jc w:val="left"/>
              <w:rPr>
                <w:b/>
                <w:sz w:val="18"/>
              </w:rPr>
            </w:pPr>
            <w:r>
              <w:rPr>
                <w:b/>
                <w:sz w:val="18"/>
              </w:rPr>
              <w:t>2015</w:t>
            </w:r>
          </w:p>
        </w:tc>
      </w:tr>
      <w:tr>
        <w:trPr>
          <w:trHeight w:val="313" w:hRule="exact"/>
        </w:trPr>
        <w:tc>
          <w:tcPr>
            <w:tcW w:w="6959" w:type="dxa"/>
          </w:tcPr>
          <w:p>
            <w:pPr/>
          </w:p>
        </w:tc>
        <w:tc>
          <w:tcPr>
            <w:tcW w:w="1482" w:type="dxa"/>
          </w:tcPr>
          <w:p>
            <w:pPr>
              <w:pStyle w:val="TableParagraph"/>
              <w:spacing w:before="24"/>
              <w:ind w:right="136"/>
              <w:jc w:val="center"/>
              <w:rPr>
                <w:b/>
                <w:sz w:val="18"/>
              </w:rPr>
            </w:pPr>
            <w:r>
              <w:rPr>
                <w:b/>
                <w:w w:val="99"/>
                <w:sz w:val="18"/>
              </w:rPr>
              <w:t>$</w:t>
            </w:r>
          </w:p>
        </w:tc>
        <w:tc>
          <w:tcPr>
            <w:tcW w:w="1112" w:type="dxa"/>
          </w:tcPr>
          <w:p>
            <w:pPr>
              <w:pStyle w:val="TableParagraph"/>
              <w:spacing w:before="24"/>
              <w:ind w:right="165"/>
              <w:jc w:val="center"/>
              <w:rPr>
                <w:b/>
                <w:sz w:val="18"/>
              </w:rPr>
            </w:pPr>
            <w:r>
              <w:rPr>
                <w:b/>
                <w:w w:val="99"/>
                <w:sz w:val="18"/>
              </w:rPr>
              <w:t>$</w:t>
            </w:r>
          </w:p>
        </w:tc>
      </w:tr>
      <w:tr>
        <w:trPr>
          <w:trHeight w:val="542" w:hRule="exact"/>
        </w:trPr>
        <w:tc>
          <w:tcPr>
            <w:tcW w:w="6959" w:type="dxa"/>
          </w:tcPr>
          <w:p>
            <w:pPr>
              <w:pStyle w:val="TableParagraph"/>
              <w:spacing w:before="63"/>
              <w:ind w:left="128"/>
              <w:jc w:val="left"/>
              <w:rPr>
                <w:b/>
                <w:sz w:val="18"/>
              </w:rPr>
            </w:pPr>
            <w:r>
              <w:rPr>
                <w:b/>
                <w:sz w:val="18"/>
              </w:rPr>
              <w:t>Subsidies</w:t>
            </w:r>
          </w:p>
          <w:p>
            <w:pPr>
              <w:pStyle w:val="TableParagraph"/>
              <w:spacing w:before="29"/>
              <w:ind w:left="485"/>
              <w:jc w:val="left"/>
              <w:rPr>
                <w:sz w:val="18"/>
              </w:rPr>
            </w:pPr>
            <w:r>
              <w:rPr>
                <w:sz w:val="18"/>
              </w:rPr>
              <w:t>Parent entity</w:t>
            </w:r>
          </w:p>
        </w:tc>
        <w:tc>
          <w:tcPr>
            <w:tcW w:w="1482" w:type="dxa"/>
            <w:tcBorders>
              <w:bottom w:val="single" w:sz="0" w:space="0" w:color="000000"/>
            </w:tcBorders>
          </w:tcPr>
          <w:p>
            <w:pPr>
              <w:pStyle w:val="TableParagraph"/>
              <w:spacing w:before="11"/>
              <w:jc w:val="left"/>
              <w:rPr>
                <w:sz w:val="25"/>
              </w:rPr>
            </w:pPr>
          </w:p>
          <w:p>
            <w:pPr>
              <w:pStyle w:val="TableParagraph"/>
              <w:ind w:right="270"/>
              <w:rPr>
                <w:b/>
                <w:sz w:val="18"/>
              </w:rPr>
            </w:pPr>
            <w:r>
              <w:rPr>
                <w:b/>
                <w:w w:val="95"/>
                <w:sz w:val="18"/>
              </w:rPr>
              <w:t>514,158</w:t>
            </w:r>
          </w:p>
        </w:tc>
        <w:tc>
          <w:tcPr>
            <w:tcW w:w="1112" w:type="dxa"/>
            <w:tcBorders>
              <w:bottom w:val="single" w:sz="0" w:space="0" w:color="000000"/>
            </w:tcBorders>
          </w:tcPr>
          <w:p>
            <w:pPr>
              <w:pStyle w:val="TableParagraph"/>
              <w:spacing w:before="11"/>
              <w:jc w:val="left"/>
              <w:rPr>
                <w:sz w:val="25"/>
              </w:rPr>
            </w:pPr>
          </w:p>
          <w:p>
            <w:pPr>
              <w:pStyle w:val="TableParagraph"/>
              <w:ind w:right="86"/>
              <w:rPr>
                <w:sz w:val="18"/>
              </w:rPr>
            </w:pPr>
            <w:r>
              <w:rPr>
                <w:w w:val="95"/>
                <w:sz w:val="18"/>
              </w:rPr>
              <w:t>587,342</w:t>
            </w:r>
          </w:p>
        </w:tc>
      </w:tr>
      <w:tr>
        <w:trPr>
          <w:trHeight w:val="353" w:hRule="exact"/>
        </w:trPr>
        <w:tc>
          <w:tcPr>
            <w:tcW w:w="6959" w:type="dxa"/>
          </w:tcPr>
          <w:p>
            <w:pPr>
              <w:pStyle w:val="TableParagraph"/>
              <w:spacing w:before="123"/>
              <w:ind w:left="128"/>
              <w:jc w:val="left"/>
              <w:rPr>
                <w:b/>
                <w:sz w:val="18"/>
              </w:rPr>
            </w:pPr>
            <w:r>
              <w:rPr>
                <w:b/>
                <w:sz w:val="18"/>
              </w:rPr>
              <w:t>Total subsidies received</w:t>
            </w:r>
          </w:p>
        </w:tc>
        <w:tc>
          <w:tcPr>
            <w:tcW w:w="1482" w:type="dxa"/>
            <w:tcBorders>
              <w:top w:val="single" w:sz="0" w:space="0" w:color="000000"/>
              <w:bottom w:val="single" w:sz="0" w:space="0" w:color="000000"/>
            </w:tcBorders>
          </w:tcPr>
          <w:p>
            <w:pPr>
              <w:pStyle w:val="TableParagraph"/>
              <w:spacing w:before="122"/>
              <w:ind w:right="270"/>
              <w:rPr>
                <w:b/>
                <w:sz w:val="18"/>
              </w:rPr>
            </w:pPr>
            <w:r>
              <w:rPr>
                <w:b/>
                <w:w w:val="95"/>
                <w:sz w:val="18"/>
              </w:rPr>
              <w:t>514,158</w:t>
            </w:r>
          </w:p>
        </w:tc>
        <w:tc>
          <w:tcPr>
            <w:tcW w:w="1112" w:type="dxa"/>
            <w:tcBorders>
              <w:top w:val="single" w:sz="0" w:space="0" w:color="000000"/>
              <w:bottom w:val="single" w:sz="0" w:space="0" w:color="000000"/>
            </w:tcBorders>
          </w:tcPr>
          <w:p>
            <w:pPr>
              <w:pStyle w:val="TableParagraph"/>
              <w:spacing w:before="122"/>
              <w:ind w:right="86"/>
              <w:rPr>
                <w:sz w:val="18"/>
              </w:rPr>
            </w:pPr>
            <w:r>
              <w:rPr>
                <w:w w:val="95"/>
                <w:sz w:val="18"/>
              </w:rPr>
              <w:t>587,342</w:t>
            </w:r>
          </w:p>
        </w:tc>
      </w:tr>
    </w:tbl>
    <w:p>
      <w:pPr>
        <w:pStyle w:val="BodyText"/>
        <w:spacing w:before="8"/>
        <w:rPr>
          <w:sz w:val="28"/>
        </w:rPr>
      </w:pPr>
    </w:p>
    <w:p>
      <w:pPr>
        <w:spacing w:after="0"/>
        <w:rPr>
          <w:sz w:val="28"/>
        </w:rPr>
        <w:sectPr>
          <w:type w:val="continuous"/>
          <w:pgSz w:w="12750" w:h="17680"/>
          <w:pgMar w:top="1660" w:bottom="0" w:left="0" w:right="0"/>
        </w:sectPr>
      </w:pPr>
    </w:p>
    <w:p>
      <w:pPr>
        <w:pStyle w:val="BodyText"/>
      </w:pPr>
    </w:p>
    <w:p>
      <w:pPr>
        <w:pStyle w:val="BodyText"/>
      </w:pPr>
    </w:p>
    <w:p>
      <w:pPr>
        <w:pStyle w:val="BodyText"/>
        <w:spacing w:before="2"/>
        <w:rPr>
          <w:sz w:val="25"/>
        </w:rPr>
      </w:pPr>
    </w:p>
    <w:p>
      <w:pPr>
        <w:pStyle w:val="Heading8"/>
        <w:ind w:left="1918"/>
      </w:pPr>
      <w:r>
        <w:rPr/>
        <w:t>Related Party</w:t>
      </w:r>
      <w:r>
        <w:rPr>
          <w:spacing w:val="-28"/>
        </w:rPr>
        <w:t> </w:t>
      </w:r>
      <w:r>
        <w:rPr/>
        <w:t>Receivables</w:t>
      </w:r>
    </w:p>
    <w:p>
      <w:pPr>
        <w:spacing w:before="77"/>
        <w:ind w:left="0" w:right="0" w:firstLine="0"/>
        <w:jc w:val="right"/>
        <w:rPr>
          <w:b/>
          <w:sz w:val="18"/>
        </w:rPr>
      </w:pPr>
      <w:r>
        <w:rPr/>
        <w:br w:type="column"/>
      </w:r>
      <w:r>
        <w:rPr>
          <w:b/>
          <w:sz w:val="18"/>
        </w:rPr>
        <w:t>2016</w:t>
      </w:r>
    </w:p>
    <w:p>
      <w:pPr>
        <w:spacing w:before="66"/>
        <w:ind w:left="0" w:right="146" w:firstLine="0"/>
        <w:jc w:val="right"/>
        <w:rPr>
          <w:b/>
          <w:sz w:val="18"/>
        </w:rPr>
      </w:pPr>
      <w:r>
        <w:rPr>
          <w:b/>
          <w:w w:val="99"/>
          <w:sz w:val="18"/>
        </w:rPr>
        <w:t>$</w:t>
      </w:r>
    </w:p>
    <w:p>
      <w:pPr>
        <w:spacing w:before="77"/>
        <w:ind w:left="826" w:right="1822" w:firstLine="0"/>
        <w:jc w:val="center"/>
        <w:rPr>
          <w:b/>
          <w:sz w:val="18"/>
        </w:rPr>
      </w:pPr>
      <w:r>
        <w:rPr/>
        <w:br w:type="column"/>
      </w:r>
      <w:r>
        <w:rPr>
          <w:b/>
          <w:sz w:val="18"/>
        </w:rPr>
        <w:t>2015</w:t>
      </w:r>
    </w:p>
    <w:p>
      <w:pPr>
        <w:spacing w:before="66"/>
        <w:ind w:left="0" w:right="994" w:firstLine="0"/>
        <w:jc w:val="center"/>
        <w:rPr>
          <w:b/>
          <w:sz w:val="18"/>
        </w:rPr>
      </w:pPr>
      <w:r>
        <w:rPr>
          <w:b/>
          <w:w w:val="99"/>
          <w:sz w:val="18"/>
        </w:rPr>
        <w:t>$</w:t>
      </w:r>
    </w:p>
    <w:p>
      <w:pPr>
        <w:spacing w:after="0"/>
        <w:jc w:val="center"/>
        <w:rPr>
          <w:sz w:val="18"/>
        </w:rPr>
        <w:sectPr>
          <w:type w:val="continuous"/>
          <w:pgSz w:w="12750" w:h="17680"/>
          <w:pgMar w:top="1660" w:bottom="0" w:left="0" w:right="0"/>
          <w:cols w:num="3" w:equalWidth="0">
            <w:col w:w="4152" w:space="3150"/>
            <w:col w:w="2318" w:space="40"/>
            <w:col w:w="3090"/>
          </w:cols>
        </w:sectPr>
      </w:pPr>
    </w:p>
    <w:p>
      <w:pPr>
        <w:pStyle w:val="BodyText"/>
        <w:spacing w:before="1"/>
        <w:rPr>
          <w:b/>
          <w:sz w:val="3"/>
        </w:rPr>
      </w:pPr>
    </w:p>
    <w:tbl>
      <w:tblPr>
        <w:tblW w:w="0" w:type="auto"/>
        <w:jc w:val="left"/>
        <w:tblInd w:w="218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559"/>
        <w:gridCol w:w="1459"/>
        <w:gridCol w:w="1136"/>
      </w:tblGrid>
      <w:tr>
        <w:trPr>
          <w:trHeight w:val="238" w:hRule="exact"/>
        </w:trPr>
        <w:tc>
          <w:tcPr>
            <w:tcW w:w="6559" w:type="dxa"/>
          </w:tcPr>
          <w:p>
            <w:pPr>
              <w:pStyle w:val="TableParagraph"/>
              <w:spacing w:line="200" w:lineRule="exact"/>
              <w:ind w:left="35"/>
              <w:jc w:val="left"/>
              <w:rPr>
                <w:sz w:val="18"/>
              </w:rPr>
            </w:pPr>
            <w:r>
              <w:rPr>
                <w:sz w:val="18"/>
              </w:rPr>
              <w:t>Parent entity subsidies</w:t>
            </w:r>
          </w:p>
        </w:tc>
        <w:tc>
          <w:tcPr>
            <w:tcW w:w="1459" w:type="dxa"/>
          </w:tcPr>
          <w:p>
            <w:pPr>
              <w:pStyle w:val="TableParagraph"/>
              <w:spacing w:line="199" w:lineRule="exact"/>
              <w:ind w:right="246"/>
              <w:rPr>
                <w:b/>
                <w:sz w:val="18"/>
              </w:rPr>
            </w:pPr>
            <w:r>
              <w:rPr>
                <w:b/>
                <w:w w:val="95"/>
                <w:sz w:val="18"/>
              </w:rPr>
              <w:t>65,682</w:t>
            </w:r>
          </w:p>
        </w:tc>
        <w:tc>
          <w:tcPr>
            <w:tcW w:w="1136" w:type="dxa"/>
          </w:tcPr>
          <w:p>
            <w:pPr>
              <w:pStyle w:val="TableParagraph"/>
              <w:spacing w:line="199" w:lineRule="exact"/>
              <w:ind w:right="86"/>
              <w:rPr>
                <w:sz w:val="18"/>
              </w:rPr>
            </w:pPr>
            <w:r>
              <w:rPr>
                <w:w w:val="95"/>
                <w:sz w:val="18"/>
              </w:rPr>
              <w:t>30,071</w:t>
            </w:r>
          </w:p>
        </w:tc>
      </w:tr>
      <w:tr>
        <w:trPr>
          <w:trHeight w:val="262" w:hRule="exact"/>
        </w:trPr>
        <w:tc>
          <w:tcPr>
            <w:tcW w:w="6559" w:type="dxa"/>
          </w:tcPr>
          <w:p>
            <w:pPr>
              <w:pStyle w:val="TableParagraph"/>
              <w:spacing w:before="19"/>
              <w:ind w:left="35"/>
              <w:jc w:val="left"/>
              <w:rPr>
                <w:sz w:val="18"/>
              </w:rPr>
            </w:pPr>
            <w:r>
              <w:rPr>
                <w:sz w:val="18"/>
              </w:rPr>
              <w:t>Loan to Parent Entity</w:t>
            </w:r>
          </w:p>
        </w:tc>
        <w:tc>
          <w:tcPr>
            <w:tcW w:w="1459" w:type="dxa"/>
            <w:tcBorders>
              <w:bottom w:val="single" w:sz="0" w:space="0" w:color="000000"/>
            </w:tcBorders>
          </w:tcPr>
          <w:p>
            <w:pPr>
              <w:pStyle w:val="TableParagraph"/>
              <w:spacing w:before="18"/>
              <w:ind w:right="246"/>
              <w:rPr>
                <w:b/>
                <w:sz w:val="18"/>
              </w:rPr>
            </w:pPr>
            <w:r>
              <w:rPr>
                <w:b/>
                <w:w w:val="95"/>
                <w:sz w:val="18"/>
              </w:rPr>
              <w:t>1,576,133</w:t>
            </w:r>
          </w:p>
        </w:tc>
        <w:tc>
          <w:tcPr>
            <w:tcW w:w="1136" w:type="dxa"/>
            <w:tcBorders>
              <w:bottom w:val="single" w:sz="0" w:space="0" w:color="000000"/>
            </w:tcBorders>
          </w:tcPr>
          <w:p>
            <w:pPr>
              <w:pStyle w:val="TableParagraph"/>
              <w:spacing w:before="18"/>
              <w:ind w:right="86"/>
              <w:rPr>
                <w:sz w:val="18"/>
              </w:rPr>
            </w:pPr>
            <w:r>
              <w:rPr>
                <w:w w:val="95"/>
                <w:sz w:val="18"/>
              </w:rPr>
              <w:t>1,187,436</w:t>
            </w:r>
          </w:p>
        </w:tc>
      </w:tr>
    </w:tbl>
    <w:p>
      <w:pPr>
        <w:tabs>
          <w:tab w:pos="9160" w:val="left" w:leader="none"/>
          <w:tab w:pos="10456" w:val="left" w:leader="none"/>
        </w:tabs>
        <w:spacing w:before="124"/>
        <w:ind w:left="1868" w:right="0" w:firstLine="0"/>
        <w:jc w:val="left"/>
        <w:rPr>
          <w:sz w:val="18"/>
        </w:rPr>
      </w:pPr>
      <w:r>
        <w:rPr>
          <w:b/>
          <w:sz w:val="18"/>
        </w:rPr>
        <w:t>Total related</w:t>
      </w:r>
      <w:r>
        <w:rPr>
          <w:b/>
          <w:spacing w:val="-13"/>
          <w:sz w:val="18"/>
        </w:rPr>
        <w:t> </w:t>
      </w:r>
      <w:r>
        <w:rPr>
          <w:b/>
          <w:sz w:val="18"/>
        </w:rPr>
        <w:t>party</w:t>
      </w:r>
      <w:r>
        <w:rPr>
          <w:b/>
          <w:spacing w:val="-7"/>
          <w:sz w:val="18"/>
        </w:rPr>
        <w:t> </w:t>
      </w:r>
      <w:r>
        <w:rPr>
          <w:b/>
          <w:sz w:val="18"/>
        </w:rPr>
        <w:t>receivables</w:t>
        <w:tab/>
        <w:t>1,641,815</w:t>
        <w:tab/>
      </w:r>
      <w:r>
        <w:rPr>
          <w:sz w:val="18"/>
        </w:rPr>
        <w:t>1,217,507</w:t>
      </w:r>
    </w:p>
    <w:p>
      <w:pPr>
        <w:pStyle w:val="BodyText"/>
        <w:spacing w:line="20" w:lineRule="exact"/>
        <w:ind w:left="8748"/>
        <w:rPr>
          <w:sz w:val="2"/>
        </w:rPr>
      </w:pPr>
      <w:r>
        <w:rPr>
          <w:sz w:val="2"/>
        </w:rPr>
        <w:pict>
          <v:group style="width:129.85pt;height:1pt;mso-position-horizontal-relative:char;mso-position-vertical-relative:line" coordorigin="0,0" coordsize="2597,20">
            <v:line style="position:absolute" from="1,1" to="1298,1" stroked="true" strokeweight=".06pt" strokecolor="#000000"/>
            <v:line style="position:absolute" from="1,2" to="1298,2" stroked="true" strokeweight=".06pt" strokecolor="#000000"/>
            <v:line style="position:absolute" from="1,3" to="1298,3" stroked="true" strokeweight=".06pt" strokecolor="#000000"/>
            <v:line style="position:absolute" from="1,5" to="1298,5" stroked="true" strokeweight=".06pt" strokecolor="#000000"/>
            <v:line style="position:absolute" from="1,6" to="1298,6" stroked="true" strokeweight=".06pt" strokecolor="#000000"/>
            <v:line style="position:absolute" from="1,7" to="1298,7" stroked="true" strokeweight=".06pt" strokecolor="#000000"/>
            <v:line style="position:absolute" from="1,8" to="1298,8" stroked="true" strokeweight=".06pt" strokecolor="#000000"/>
            <v:line style="position:absolute" from="1,9" to="1298,9" stroked="true" strokeweight=".06pt" strokecolor="#000000"/>
            <v:line style="position:absolute" from="1,11" to="1298,11" stroked="true" strokeweight=".06pt" strokecolor="#000000"/>
            <v:line style="position:absolute" from="1,12" to="1298,12" stroked="true" strokeweight=".06pt" strokecolor="#000000"/>
            <v:line style="position:absolute" from="1,13" to="1298,13" stroked="true" strokeweight=".06pt" strokecolor="#000000"/>
            <v:line style="position:absolute" from="1,14" to="1298,14" stroked="true" strokeweight=".06pt" strokecolor="#000000"/>
            <v:line style="position:absolute" from="1,15" to="1298,15" stroked="true" strokeweight=".06pt" strokecolor="#000000"/>
            <v:line style="position:absolute" from="1,17" to="1298,17" stroked="true" strokeweight=".06pt" strokecolor="#000000"/>
            <v:line style="position:absolute" from="1,18" to="1298,18" stroked="true" strokeweight=".06pt" strokecolor="#000000"/>
            <v:line style="position:absolute" from="1,19" to="1298,19" stroked="true" strokeweight=".06pt" strokecolor="#000000"/>
            <v:line style="position:absolute" from="1298,1" to="2595,1" stroked="true" strokeweight=".06pt" strokecolor="#000000"/>
            <v:line style="position:absolute" from="1298,2" to="2595,2" stroked="true" strokeweight=".06pt" strokecolor="#000000"/>
            <v:line style="position:absolute" from="1298,3" to="2595,3" stroked="true" strokeweight=".06pt" strokecolor="#000000"/>
            <v:line style="position:absolute" from="1298,5" to="2595,5" stroked="true" strokeweight=".06pt" strokecolor="#000000"/>
            <v:line style="position:absolute" from="1298,6" to="2595,6" stroked="true" strokeweight=".06pt" strokecolor="#000000"/>
            <v:line style="position:absolute" from="1298,7" to="2595,7" stroked="true" strokeweight=".06pt" strokecolor="#000000"/>
            <v:line style="position:absolute" from="1298,8" to="2595,8" stroked="true" strokeweight=".06pt" strokecolor="#000000"/>
            <v:line style="position:absolute" from="1298,9" to="2595,9" stroked="true" strokeweight=".06pt" strokecolor="#000000"/>
            <v:line style="position:absolute" from="1298,11" to="2595,11" stroked="true" strokeweight=".06pt" strokecolor="#000000"/>
            <v:line style="position:absolute" from="1298,12" to="2595,12" stroked="true" strokeweight=".06pt" strokecolor="#000000"/>
            <v:line style="position:absolute" from="1298,13" to="2595,13" stroked="true" strokeweight=".06pt" strokecolor="#000000"/>
            <v:line style="position:absolute" from="1298,14" to="2595,14" stroked="true" strokeweight=".06pt" strokecolor="#000000"/>
            <v:line style="position:absolute" from="1298,15" to="2595,15" stroked="true" strokeweight=".06pt" strokecolor="#000000"/>
            <v:line style="position:absolute" from="1298,17" to="2595,17" stroked="true" strokeweight=".06pt" strokecolor="#000000"/>
            <v:line style="position:absolute" from="1298,18" to="2595,18" stroked="true" strokeweight=".06pt" strokecolor="#000000"/>
            <v:line style="position:absolute" from="1298,19" to="2595,19" stroked="true" strokeweight=".06pt" strokecolor="#000000"/>
          </v:group>
        </w:pict>
      </w:r>
      <w:r>
        <w:rPr>
          <w:sz w:val="2"/>
        </w:rPr>
      </w:r>
    </w:p>
    <w:p>
      <w:pPr>
        <w:spacing w:after="0" w:line="20" w:lineRule="exact"/>
        <w:rPr>
          <w:sz w:val="2"/>
        </w:rPr>
        <w:sectPr>
          <w:type w:val="continuous"/>
          <w:pgSz w:w="12750" w:h="17680"/>
          <w:pgMar w:top="1660" w:bottom="0" w:left="0" w:right="0"/>
        </w:sectPr>
      </w:pPr>
    </w:p>
    <w:p>
      <w:pPr>
        <w:pStyle w:val="BodyText"/>
        <w:rPr>
          <w:sz w:val="20"/>
        </w:rPr>
      </w:pPr>
    </w:p>
    <w:p>
      <w:pPr>
        <w:pStyle w:val="BodyText"/>
        <w:rPr>
          <w:sz w:val="20"/>
        </w:rPr>
      </w:pPr>
    </w:p>
    <w:p>
      <w:pPr>
        <w:pStyle w:val="BodyText"/>
        <w:spacing w:before="8"/>
        <w:rPr>
          <w:sz w:val="21"/>
        </w:rPr>
      </w:pPr>
    </w:p>
    <w:tbl>
      <w:tblPr>
        <w:tblW w:w="0" w:type="auto"/>
        <w:jc w:val="left"/>
        <w:tblInd w:w="139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33"/>
        <w:gridCol w:w="8724"/>
        <w:gridCol w:w="841"/>
      </w:tblGrid>
      <w:tr>
        <w:trPr>
          <w:trHeight w:val="567" w:hRule="exact"/>
        </w:trPr>
        <w:tc>
          <w:tcPr>
            <w:tcW w:w="333" w:type="dxa"/>
          </w:tcPr>
          <w:p>
            <w:pPr>
              <w:pStyle w:val="TableParagraph"/>
              <w:spacing w:before="77"/>
              <w:ind w:left="35"/>
              <w:jc w:val="left"/>
              <w:rPr>
                <w:b/>
                <w:sz w:val="18"/>
              </w:rPr>
            </w:pPr>
            <w:bookmarkStart w:name="Reconciliation of operating surplus/(def" w:id="361"/>
            <w:bookmarkEnd w:id="361"/>
            <w:r>
              <w:rPr/>
            </w:r>
            <w:r>
              <w:rPr>
                <w:b/>
                <w:sz w:val="18"/>
              </w:rPr>
              <w:t>14</w:t>
            </w:r>
          </w:p>
        </w:tc>
        <w:tc>
          <w:tcPr>
            <w:tcW w:w="8724" w:type="dxa"/>
          </w:tcPr>
          <w:p>
            <w:pPr>
              <w:pStyle w:val="TableParagraph"/>
              <w:spacing w:before="77"/>
              <w:ind w:right="366"/>
              <w:rPr>
                <w:b/>
                <w:sz w:val="18"/>
              </w:rPr>
            </w:pPr>
            <w:r>
              <w:rPr>
                <w:b/>
                <w:sz w:val="18"/>
              </w:rPr>
              <w:t>Reconciliation of operating surplus/(deficit) to net cash inflow/(outflow) from operating activities</w:t>
            </w:r>
          </w:p>
          <w:p>
            <w:pPr>
              <w:pStyle w:val="TableParagraph"/>
              <w:spacing w:before="33"/>
              <w:ind w:right="441"/>
              <w:rPr>
                <w:b/>
                <w:sz w:val="18"/>
              </w:rPr>
            </w:pPr>
            <w:r>
              <w:rPr>
                <w:b/>
                <w:sz w:val="18"/>
              </w:rPr>
              <w:t>2016</w:t>
            </w:r>
          </w:p>
        </w:tc>
        <w:tc>
          <w:tcPr>
            <w:tcW w:w="841" w:type="dxa"/>
          </w:tcPr>
          <w:p>
            <w:pPr>
              <w:pStyle w:val="TableParagraph"/>
              <w:jc w:val="left"/>
              <w:rPr>
                <w:sz w:val="18"/>
              </w:rPr>
            </w:pPr>
          </w:p>
          <w:p>
            <w:pPr>
              <w:pStyle w:val="TableParagraph"/>
              <w:spacing w:before="110"/>
              <w:ind w:left="190"/>
              <w:jc w:val="left"/>
              <w:rPr>
                <w:b/>
                <w:sz w:val="18"/>
              </w:rPr>
            </w:pPr>
            <w:r>
              <w:rPr>
                <w:b/>
                <w:sz w:val="18"/>
              </w:rPr>
              <w:t>2015</w:t>
            </w:r>
          </w:p>
        </w:tc>
      </w:tr>
      <w:tr>
        <w:trPr>
          <w:trHeight w:val="580" w:hRule="exact"/>
        </w:trPr>
        <w:tc>
          <w:tcPr>
            <w:tcW w:w="333" w:type="dxa"/>
          </w:tcPr>
          <w:p>
            <w:pPr/>
          </w:p>
        </w:tc>
        <w:tc>
          <w:tcPr>
            <w:tcW w:w="8724" w:type="dxa"/>
          </w:tcPr>
          <w:p>
            <w:pPr>
              <w:pStyle w:val="TableParagraph"/>
              <w:spacing w:before="24"/>
              <w:ind w:right="589"/>
              <w:rPr>
                <w:b/>
                <w:sz w:val="18"/>
              </w:rPr>
            </w:pPr>
            <w:r>
              <w:rPr>
                <w:b/>
                <w:w w:val="99"/>
                <w:sz w:val="18"/>
              </w:rPr>
              <w:t>$</w:t>
            </w:r>
          </w:p>
          <w:p>
            <w:pPr>
              <w:pStyle w:val="TableParagraph"/>
              <w:tabs>
                <w:tab w:pos="7858" w:val="left" w:leader="none"/>
              </w:tabs>
              <w:spacing w:before="62"/>
              <w:ind w:left="142"/>
              <w:jc w:val="left"/>
              <w:rPr>
                <w:b/>
                <w:sz w:val="18"/>
              </w:rPr>
            </w:pPr>
            <w:r>
              <w:rPr>
                <w:sz w:val="18"/>
              </w:rPr>
              <w:t>Surplus/(Deficit) for</w:t>
            </w:r>
            <w:r>
              <w:rPr>
                <w:spacing w:val="-11"/>
                <w:sz w:val="18"/>
              </w:rPr>
              <w:t> </w:t>
            </w:r>
            <w:r>
              <w:rPr>
                <w:sz w:val="18"/>
              </w:rPr>
              <w:t>the</w:t>
            </w:r>
            <w:r>
              <w:rPr>
                <w:spacing w:val="-6"/>
                <w:sz w:val="18"/>
              </w:rPr>
              <w:t> </w:t>
            </w:r>
            <w:r>
              <w:rPr>
                <w:sz w:val="18"/>
              </w:rPr>
              <w:t>year</w:t>
              <w:tab/>
            </w:r>
            <w:r>
              <w:rPr>
                <w:b/>
                <w:sz w:val="18"/>
              </w:rPr>
              <w:t>232,921</w:t>
            </w:r>
          </w:p>
        </w:tc>
        <w:tc>
          <w:tcPr>
            <w:tcW w:w="841" w:type="dxa"/>
          </w:tcPr>
          <w:p>
            <w:pPr>
              <w:pStyle w:val="TableParagraph"/>
              <w:spacing w:before="24"/>
              <w:ind w:right="58"/>
              <w:jc w:val="center"/>
              <w:rPr>
                <w:b/>
                <w:sz w:val="18"/>
              </w:rPr>
            </w:pPr>
            <w:r>
              <w:rPr>
                <w:b/>
                <w:w w:val="99"/>
                <w:sz w:val="18"/>
              </w:rPr>
              <w:t>$</w:t>
            </w:r>
          </w:p>
          <w:p>
            <w:pPr>
              <w:pStyle w:val="TableParagraph"/>
              <w:spacing w:before="62"/>
              <w:ind w:left="136" w:right="14"/>
              <w:jc w:val="center"/>
              <w:rPr>
                <w:sz w:val="18"/>
              </w:rPr>
            </w:pPr>
            <w:r>
              <w:rPr>
                <w:sz w:val="18"/>
              </w:rPr>
              <w:t>216,654</w:t>
            </w:r>
          </w:p>
        </w:tc>
      </w:tr>
      <w:tr>
        <w:trPr>
          <w:trHeight w:val="278" w:hRule="exact"/>
        </w:trPr>
        <w:tc>
          <w:tcPr>
            <w:tcW w:w="333" w:type="dxa"/>
          </w:tcPr>
          <w:p>
            <w:pPr/>
          </w:p>
        </w:tc>
        <w:tc>
          <w:tcPr>
            <w:tcW w:w="8724" w:type="dxa"/>
          </w:tcPr>
          <w:p>
            <w:pPr>
              <w:pStyle w:val="TableParagraph"/>
              <w:spacing w:before="61"/>
              <w:ind w:left="142"/>
              <w:jc w:val="left"/>
              <w:rPr>
                <w:b/>
                <w:sz w:val="18"/>
              </w:rPr>
            </w:pPr>
            <w:r>
              <w:rPr>
                <w:b/>
                <w:sz w:val="18"/>
              </w:rPr>
              <w:t>Change in operating assets and liabilities:</w:t>
            </w:r>
          </w:p>
        </w:tc>
        <w:tc>
          <w:tcPr>
            <w:tcW w:w="841" w:type="dxa"/>
          </w:tcPr>
          <w:p>
            <w:pPr/>
          </w:p>
        </w:tc>
      </w:tr>
    </w:tbl>
    <w:p>
      <w:pPr>
        <w:pStyle w:val="BodyText"/>
        <w:tabs>
          <w:tab w:pos="9623" w:val="left" w:leader="none"/>
          <w:tab w:pos="10707" w:val="left" w:leader="none"/>
        </w:tabs>
        <w:spacing w:before="18"/>
        <w:ind w:left="2224"/>
      </w:pPr>
      <w:r>
        <w:rPr/>
        <w:t>(Increase) / decrease in</w:t>
      </w:r>
      <w:r>
        <w:rPr>
          <w:spacing w:val="-20"/>
        </w:rPr>
        <w:t> </w:t>
      </w:r>
      <w:r>
        <w:rPr/>
        <w:t>trade</w:t>
      </w:r>
      <w:r>
        <w:rPr>
          <w:spacing w:val="-5"/>
        </w:rPr>
        <w:t> </w:t>
      </w:r>
      <w:r>
        <w:rPr/>
        <w:t>debtors</w:t>
        <w:tab/>
      </w:r>
      <w:r>
        <w:rPr>
          <w:b/>
        </w:rPr>
        <w:t>(35,926)</w:t>
        <w:tab/>
      </w:r>
      <w:r>
        <w:rPr/>
        <w:t>58,799</w:t>
      </w:r>
    </w:p>
    <w:p>
      <w:pPr>
        <w:pStyle w:val="BodyText"/>
        <w:tabs>
          <w:tab w:pos="9683" w:val="left" w:leader="none"/>
          <w:tab w:pos="10707" w:val="left" w:leader="none"/>
        </w:tabs>
        <w:spacing w:before="57"/>
        <w:ind w:left="2224"/>
      </w:pPr>
      <w:r>
        <w:rPr/>
        <w:t>(increase)/decrease</w:t>
      </w:r>
      <w:r>
        <w:rPr>
          <w:spacing w:val="-9"/>
        </w:rPr>
        <w:t> </w:t>
      </w:r>
      <w:r>
        <w:rPr/>
        <w:t>in</w:t>
      </w:r>
      <w:r>
        <w:rPr>
          <w:spacing w:val="-9"/>
        </w:rPr>
        <w:t> </w:t>
      </w:r>
      <w:r>
        <w:rPr/>
        <w:t>prepayments</w:t>
        <w:tab/>
      </w:r>
      <w:r>
        <w:rPr>
          <w:b/>
        </w:rPr>
        <w:t>11,562</w:t>
        <w:tab/>
      </w:r>
      <w:r>
        <w:rPr/>
        <w:t>24,328</w:t>
      </w:r>
    </w:p>
    <w:p>
      <w:pPr>
        <w:pStyle w:val="BodyText"/>
        <w:tabs>
          <w:tab w:pos="9683" w:val="left" w:leader="none"/>
          <w:tab w:pos="10747" w:val="left" w:leader="none"/>
        </w:tabs>
        <w:spacing w:before="57"/>
        <w:ind w:left="2224"/>
      </w:pPr>
      <w:r>
        <w:rPr/>
        <w:t>Increase/(decrease) in income</w:t>
      </w:r>
      <w:r>
        <w:rPr>
          <w:spacing w:val="-19"/>
        </w:rPr>
        <w:t> </w:t>
      </w:r>
      <w:r>
        <w:rPr/>
        <w:t>in</w:t>
      </w:r>
      <w:r>
        <w:rPr>
          <w:spacing w:val="-7"/>
        </w:rPr>
        <w:t> </w:t>
      </w:r>
      <w:r>
        <w:rPr/>
        <w:t>advance</w:t>
        <w:tab/>
      </w:r>
      <w:r>
        <w:rPr>
          <w:b/>
        </w:rPr>
        <w:t>67,895</w:t>
        <w:tab/>
      </w:r>
      <w:r>
        <w:rPr/>
        <w:t>(3,635)</w:t>
      </w:r>
    </w:p>
    <w:p>
      <w:pPr>
        <w:pStyle w:val="BodyText"/>
        <w:tabs>
          <w:tab w:pos="9683" w:val="left" w:leader="none"/>
          <w:tab w:pos="10707" w:val="left" w:leader="none"/>
        </w:tabs>
        <w:spacing w:before="57"/>
        <w:ind w:left="2224"/>
      </w:pPr>
      <w:r>
        <w:rPr/>
        <w:t>Increase / (decrease) in</w:t>
      </w:r>
      <w:r>
        <w:rPr>
          <w:spacing w:val="-21"/>
        </w:rPr>
        <w:t> </w:t>
      </w:r>
      <w:r>
        <w:rPr/>
        <w:t>trade</w:t>
      </w:r>
      <w:r>
        <w:rPr>
          <w:spacing w:val="-6"/>
        </w:rPr>
        <w:t> </w:t>
      </w:r>
      <w:r>
        <w:rPr/>
        <w:t>creditors</w:t>
        <w:tab/>
      </w:r>
      <w:r>
        <w:rPr>
          <w:b/>
        </w:rPr>
        <w:t>91,154</w:t>
        <w:tab/>
      </w:r>
      <w:r>
        <w:rPr/>
        <w:t>12,646</w:t>
      </w:r>
    </w:p>
    <w:p>
      <w:pPr>
        <w:pStyle w:val="BodyText"/>
        <w:tabs>
          <w:tab w:pos="9683" w:val="left" w:leader="none"/>
          <w:tab w:pos="10707" w:val="left" w:leader="none"/>
        </w:tabs>
        <w:spacing w:before="57"/>
        <w:ind w:left="2224"/>
      </w:pPr>
      <w:r>
        <w:rPr/>
        <w:t>Increase / (decrease) in other</w:t>
      </w:r>
      <w:r>
        <w:rPr>
          <w:spacing w:val="-30"/>
        </w:rPr>
        <w:t> </w:t>
      </w:r>
      <w:r>
        <w:rPr/>
        <w:t>operating</w:t>
      </w:r>
      <w:r>
        <w:rPr>
          <w:spacing w:val="-6"/>
        </w:rPr>
        <w:t> </w:t>
      </w:r>
      <w:r>
        <w:rPr/>
        <w:t>liabilities</w:t>
        <w:tab/>
      </w:r>
      <w:r>
        <w:rPr>
          <w:b/>
        </w:rPr>
        <w:t>11,273</w:t>
        <w:tab/>
      </w:r>
      <w:r>
        <w:rPr/>
        <w:t>82,997</w:t>
      </w:r>
    </w:p>
    <w:p>
      <w:pPr>
        <w:pStyle w:val="BodyText"/>
        <w:tabs>
          <w:tab w:pos="9584" w:val="left" w:leader="none"/>
          <w:tab w:pos="10707" w:val="left" w:leader="none"/>
        </w:tabs>
        <w:spacing w:before="57"/>
        <w:ind w:left="2224"/>
      </w:pPr>
      <w:r>
        <w:rPr/>
        <w:pict>
          <v:group style="position:absolute;margin-left:462.429993pt;margin-top:14.541902pt;width:104.95pt;height:1pt;mso-position-horizontal-relative:page;mso-position-vertical-relative:paragraph;z-index:12928;mso-wrap-distance-left:0;mso-wrap-distance-right:0" coordorigin="9249,291" coordsize="2099,20">
            <v:line style="position:absolute" from="9250,292" to="10320,292" stroked="true" strokeweight=".06pt" strokecolor="#000000"/>
            <v:line style="position:absolute" from="9250,293" to="10320,293" stroked="true" strokeweight=".06pt" strokecolor="#000000"/>
            <v:line style="position:absolute" from="9250,294" to="10320,294" stroked="true" strokeweight=".06pt" strokecolor="#000000"/>
            <v:line style="position:absolute" from="9250,295" to="10320,295" stroked="true" strokeweight=".06pt" strokecolor="#000000"/>
            <v:line style="position:absolute" from="9250,297" to="10320,297" stroked="true" strokeweight=".06pt" strokecolor="#000000"/>
            <v:line style="position:absolute" from="9250,298" to="10320,298" stroked="true" strokeweight=".06pt" strokecolor="#000000"/>
            <v:line style="position:absolute" from="9250,299" to="10320,299" stroked="true" strokeweight=".06pt" strokecolor="#000000"/>
            <v:line style="position:absolute" from="9250,300" to="10320,300" stroked="true" strokeweight=".06pt" strokecolor="#000000"/>
            <v:line style="position:absolute" from="9250,301" to="10320,301" stroked="true" strokeweight=".06pt" strokecolor="#000000"/>
            <v:line style="position:absolute" from="9250,303" to="10320,303" stroked="true" strokeweight=".06pt" strokecolor="#000000"/>
            <v:line style="position:absolute" from="9250,304" to="10320,304" stroked="true" strokeweight=".06pt" strokecolor="#000000"/>
            <v:line style="position:absolute" from="9250,305" to="10320,305" stroked="true" strokeweight=".06pt" strokecolor="#000000"/>
            <v:line style="position:absolute" from="9250,306" to="10320,306" stroked="true" strokeweight=".06pt" strokecolor="#000000"/>
            <v:line style="position:absolute" from="9250,307" to="10320,307" stroked="true" strokeweight=".06pt" strokecolor="#000000"/>
            <v:line style="position:absolute" from="9250,309" to="10320,309" stroked="true" strokeweight=".06pt" strokecolor="#000000"/>
            <v:line style="position:absolute" from="9250,310" to="10320,310" stroked="true" strokeweight=".06pt" strokecolor="#000000"/>
            <v:line style="position:absolute" from="10320,292" to="11346,292" stroked="true" strokeweight=".06pt" strokecolor="#000000"/>
            <v:line style="position:absolute" from="10320,293" to="11346,293" stroked="true" strokeweight=".06pt" strokecolor="#000000"/>
            <v:line style="position:absolute" from="10320,294" to="11346,294" stroked="true" strokeweight=".06pt" strokecolor="#000000"/>
            <v:line style="position:absolute" from="10320,295" to="11346,295" stroked="true" strokeweight=".06pt" strokecolor="#000000"/>
            <v:line style="position:absolute" from="10320,297" to="11346,297" stroked="true" strokeweight=".06pt" strokecolor="#000000"/>
            <v:line style="position:absolute" from="10320,298" to="11346,298" stroked="true" strokeweight=".06pt" strokecolor="#000000"/>
            <v:line style="position:absolute" from="10320,299" to="11346,299" stroked="true" strokeweight=".06pt" strokecolor="#000000"/>
            <v:line style="position:absolute" from="10320,300" to="11346,300" stroked="true" strokeweight=".06pt" strokecolor="#000000"/>
            <v:line style="position:absolute" from="10320,301" to="11346,301" stroked="true" strokeweight=".06pt" strokecolor="#000000"/>
            <v:line style="position:absolute" from="10320,303" to="11346,303" stroked="true" strokeweight=".06pt" strokecolor="#000000"/>
            <v:line style="position:absolute" from="10320,304" to="11346,304" stroked="true" strokeweight=".06pt" strokecolor="#000000"/>
            <v:line style="position:absolute" from="10320,305" to="11346,305" stroked="true" strokeweight=".06pt" strokecolor="#000000"/>
            <v:line style="position:absolute" from="10320,306" to="11346,306" stroked="true" strokeweight=".06pt" strokecolor="#000000"/>
            <v:line style="position:absolute" from="10320,307" to="11346,307" stroked="true" strokeweight=".06pt" strokecolor="#000000"/>
            <v:line style="position:absolute" from="10320,309" to="11346,309" stroked="true" strokeweight=".06pt" strokecolor="#000000"/>
            <v:line style="position:absolute" from="10320,310" to="11346,310" stroked="true" strokeweight=".06pt" strokecolor="#000000"/>
            <w10:wrap type="topAndBottom"/>
          </v:group>
        </w:pict>
      </w:r>
      <w:bookmarkStart w:name="Financial risk management" w:id="362"/>
      <w:bookmarkEnd w:id="362"/>
      <w:r>
        <w:rPr/>
      </w:r>
      <w:r>
        <w:rPr/>
        <w:t>Increase / (decrease) in</w:t>
      </w:r>
      <w:r>
        <w:rPr>
          <w:spacing w:val="-21"/>
        </w:rPr>
        <w:t> </w:t>
      </w:r>
      <w:r>
        <w:rPr/>
        <w:t>other</w:t>
      </w:r>
      <w:r>
        <w:rPr>
          <w:spacing w:val="-6"/>
        </w:rPr>
        <w:t> </w:t>
      </w:r>
      <w:r>
        <w:rPr/>
        <w:t>provisions</w:t>
        <w:tab/>
      </w:r>
      <w:r>
        <w:rPr>
          <w:b/>
        </w:rPr>
        <w:t>101,920</w:t>
        <w:tab/>
      </w:r>
      <w:r>
        <w:rPr/>
        <w:t>71,334</w:t>
      </w:r>
    </w:p>
    <w:p>
      <w:pPr>
        <w:pStyle w:val="Heading8"/>
        <w:tabs>
          <w:tab w:pos="9584" w:val="left" w:leader="none"/>
          <w:tab w:pos="10607" w:val="left" w:leader="none"/>
        </w:tabs>
        <w:spacing w:before="84"/>
        <w:ind w:left="1868"/>
        <w:rPr>
          <w:b w:val="0"/>
        </w:rPr>
      </w:pPr>
      <w:r>
        <w:rPr/>
        <w:t>Net cash inflow/(outflow) from</w:t>
      </w:r>
      <w:r>
        <w:rPr>
          <w:spacing w:val="3"/>
        </w:rPr>
        <w:t> </w:t>
      </w:r>
      <w:r>
        <w:rPr/>
        <w:t>operating activities</w:t>
        <w:tab/>
        <w:t>480,799</w:t>
        <w:tab/>
      </w:r>
      <w:r>
        <w:rPr>
          <w:b w:val="0"/>
        </w:rPr>
        <w:t>463,123</w:t>
      </w:r>
    </w:p>
    <w:p>
      <w:pPr>
        <w:pStyle w:val="BodyText"/>
        <w:spacing w:line="50" w:lineRule="exact"/>
        <w:ind w:left="9248"/>
        <w:rPr>
          <w:sz w:val="4"/>
        </w:rPr>
      </w:pPr>
      <w:r>
        <w:rPr>
          <w:position w:val="0"/>
          <w:sz w:val="4"/>
        </w:rPr>
        <w:pict>
          <v:group style="width:104.95pt;height:2.5pt;mso-position-horizontal-relative:char;mso-position-vertical-relative:line" coordorigin="0,0" coordsize="2099,50">
            <v:line style="position:absolute" from="1,1" to="1071,1" stroked="true" strokeweight=".06pt" strokecolor="#000000"/>
            <v:line style="position:absolute" from="1,2" to="1071,2" stroked="true" strokeweight=".06pt" strokecolor="#000000"/>
            <v:line style="position:absolute" from="1,3" to="1071,3" stroked="true" strokeweight=".06pt" strokecolor="#000000"/>
            <v:line style="position:absolute" from="1,5" to="1071,5" stroked="true" strokeweight=".06pt" strokecolor="#000000"/>
            <v:line style="position:absolute" from="1,6" to="1071,6" stroked="true" strokeweight=".06pt" strokecolor="#000000"/>
            <v:line style="position:absolute" from="1,7" to="1071,7" stroked="true" strokeweight=".06pt" strokecolor="#000000"/>
            <v:line style="position:absolute" from="1,8" to="1071,8" stroked="true" strokeweight=".06pt" strokecolor="#000000"/>
            <v:line style="position:absolute" from="1,9" to="1071,9" stroked="true" strokeweight=".06pt" strokecolor="#000000"/>
            <v:line style="position:absolute" from="1,11" to="1071,11" stroked="true" strokeweight=".06pt" strokecolor="#000000"/>
            <v:line style="position:absolute" from="1,12" to="1071,12" stroked="true" strokeweight=".06pt" strokecolor="#000000"/>
            <v:line style="position:absolute" from="1,13" to="1071,13" stroked="true" strokeweight=".06pt" strokecolor="#000000"/>
            <v:line style="position:absolute" from="1,14" to="1071,14" stroked="true" strokeweight=".06pt" strokecolor="#000000"/>
            <v:line style="position:absolute" from="1,15" to="1071,15" stroked="true" strokeweight=".06pt" strokecolor="#000000"/>
            <v:line style="position:absolute" from="1,35" to="1071,35" stroked="true" strokeweight=".06pt" strokecolor="#000000"/>
            <v:line style="position:absolute" from="1,36" to="1071,36" stroked="true" strokeweight=".06pt" strokecolor="#000000"/>
            <v:line style="position:absolute" from="1,37" to="1071,37" stroked="true" strokeweight=".06pt" strokecolor="#000000"/>
            <v:line style="position:absolute" from="1,38" to="1071,38" stroked="true" strokeweight=".06pt" strokecolor="#000000"/>
            <v:line style="position:absolute" from="1,39" to="1071,39" stroked="true" strokeweight=".06pt" strokecolor="#000000"/>
            <v:line style="position:absolute" from="1,41" to="1071,41" stroked="true" strokeweight=".06pt" strokecolor="#000000"/>
            <v:line style="position:absolute" from="1,42" to="1071,42" stroked="true" strokeweight=".06pt" strokecolor="#000000"/>
            <v:line style="position:absolute" from="1,43" to="1071,43" stroked="true" strokeweight=".06pt" strokecolor="#000000"/>
            <v:line style="position:absolute" from="1,44" to="1071,44" stroked="true" strokeweight=".06pt" strokecolor="#000000"/>
            <v:line style="position:absolute" from="1,45" to="1071,45" stroked="true" strokeweight=".06pt" strokecolor="#000000"/>
            <v:line style="position:absolute" from="1,47" to="1071,47" stroked="true" strokeweight=".06pt" strokecolor="#000000"/>
            <v:line style="position:absolute" from="1,48" to="1071,48" stroked="true" strokeweight=".06pt" strokecolor="#000000"/>
            <v:line style="position:absolute" from="1,49" to="1071,49" stroked="true" strokeweight=".06pt" strokecolor="#000000"/>
            <v:line style="position:absolute" from="1071,1" to="2097,1" stroked="true" strokeweight=".06pt" strokecolor="#000000"/>
            <v:line style="position:absolute" from="1071,2" to="2097,2" stroked="true" strokeweight=".06pt" strokecolor="#000000"/>
            <v:line style="position:absolute" from="1071,3" to="2097,3" stroked="true" strokeweight=".06pt" strokecolor="#000000"/>
            <v:line style="position:absolute" from="1071,5" to="2097,5" stroked="true" strokeweight=".06pt" strokecolor="#000000"/>
            <v:line style="position:absolute" from="1071,6" to="2097,6" stroked="true" strokeweight=".06pt" strokecolor="#000000"/>
            <v:line style="position:absolute" from="1071,7" to="2097,7" stroked="true" strokeweight=".06pt" strokecolor="#000000"/>
            <v:line style="position:absolute" from="1071,8" to="2097,8" stroked="true" strokeweight=".06pt" strokecolor="#000000"/>
            <v:line style="position:absolute" from="1071,9" to="2097,9" stroked="true" strokeweight=".06pt" strokecolor="#000000"/>
            <v:line style="position:absolute" from="1071,11" to="2097,11" stroked="true" strokeweight=".06pt" strokecolor="#000000"/>
            <v:line style="position:absolute" from="1071,12" to="2097,12" stroked="true" strokeweight=".06pt" strokecolor="#000000"/>
            <v:line style="position:absolute" from="1071,13" to="2097,13" stroked="true" strokeweight=".06pt" strokecolor="#000000"/>
            <v:line style="position:absolute" from="1071,14" to="2097,14" stroked="true" strokeweight=".06pt" strokecolor="#000000"/>
            <v:line style="position:absolute" from="1071,15" to="2097,15" stroked="true" strokeweight=".06pt" strokecolor="#000000"/>
            <v:line style="position:absolute" from="1071,35" to="2097,35" stroked="true" strokeweight=".06pt" strokecolor="#000000"/>
            <v:line style="position:absolute" from="1071,36" to="2097,36" stroked="true" strokeweight=".06pt" strokecolor="#000000"/>
            <v:line style="position:absolute" from="1071,37" to="2097,37" stroked="true" strokeweight=".06pt" strokecolor="#000000"/>
            <v:line style="position:absolute" from="1071,38" to="2097,38" stroked="true" strokeweight=".06pt" strokecolor="#000000"/>
            <v:line style="position:absolute" from="1071,39" to="2097,39" stroked="true" strokeweight=".06pt" strokecolor="#000000"/>
            <v:line style="position:absolute" from="1071,41" to="2097,41" stroked="true" strokeweight=".06pt" strokecolor="#000000"/>
            <v:line style="position:absolute" from="1071,42" to="2097,42" stroked="true" strokeweight=".06pt" strokecolor="#000000"/>
            <v:line style="position:absolute" from="1071,43" to="2097,43" stroked="true" strokeweight=".06pt" strokecolor="#000000"/>
            <v:line style="position:absolute" from="1071,44" to="2097,44" stroked="true" strokeweight=".06pt" strokecolor="#000000"/>
            <v:line style="position:absolute" from="1071,45" to="2097,45" stroked="true" strokeweight=".06pt" strokecolor="#000000"/>
            <v:line style="position:absolute" from="1071,47" to="2097,47" stroked="true" strokeweight=".06pt" strokecolor="#000000"/>
            <v:line style="position:absolute" from="1071,48" to="2097,48" stroked="true" strokeweight=".06pt" strokecolor="#000000"/>
            <v:line style="position:absolute" from="1071,49" to="2097,49" stroked="true" strokeweight=".06pt" strokecolor="#000000"/>
          </v:group>
        </w:pict>
      </w:r>
      <w:r>
        <w:rPr>
          <w:position w:val="0"/>
          <w:sz w:val="4"/>
        </w:rPr>
      </w:r>
    </w:p>
    <w:p>
      <w:pPr>
        <w:pStyle w:val="BodyText"/>
        <w:rPr>
          <w:sz w:val="20"/>
        </w:rPr>
      </w:pPr>
    </w:p>
    <w:p>
      <w:pPr>
        <w:pStyle w:val="BodyText"/>
        <w:rPr>
          <w:sz w:val="20"/>
        </w:rPr>
      </w:pPr>
    </w:p>
    <w:p>
      <w:pPr>
        <w:pStyle w:val="BodyText"/>
        <w:spacing w:before="2"/>
        <w:rPr>
          <w:sz w:val="21"/>
        </w:rPr>
      </w:pPr>
    </w:p>
    <w:p>
      <w:pPr>
        <w:pStyle w:val="ListParagraph"/>
        <w:numPr>
          <w:ilvl w:val="0"/>
          <w:numId w:val="72"/>
        </w:numPr>
        <w:tabs>
          <w:tab w:pos="1824" w:val="left" w:leader="none"/>
        </w:tabs>
        <w:spacing w:line="240" w:lineRule="auto" w:before="77" w:after="0"/>
        <w:ind w:left="1824" w:right="0" w:hanging="396"/>
        <w:jc w:val="left"/>
        <w:rPr>
          <w:b/>
          <w:sz w:val="18"/>
        </w:rPr>
      </w:pPr>
      <w:r>
        <w:rPr>
          <w:b/>
          <w:sz w:val="18"/>
        </w:rPr>
        <w:t>Financial risk management</w:t>
      </w:r>
    </w:p>
    <w:p>
      <w:pPr>
        <w:pStyle w:val="BodyText"/>
        <w:spacing w:before="11"/>
        <w:rPr>
          <w:b/>
          <w:sz w:val="24"/>
        </w:rPr>
      </w:pPr>
    </w:p>
    <w:p>
      <w:pPr>
        <w:pStyle w:val="BodyText"/>
        <w:ind w:left="1852" w:right="1450"/>
      </w:pPr>
      <w:r>
        <w:rPr/>
        <w:drawing>
          <wp:anchor distT="0" distB="0" distL="0" distR="0" allowOverlap="1" layoutInCell="1" locked="0" behindDoc="0" simplePos="0" relativeHeight="12976">
            <wp:simplePos x="0" y="0"/>
            <wp:positionH relativeFrom="page">
              <wp:posOffset>-1587</wp:posOffset>
            </wp:positionH>
            <wp:positionV relativeFrom="paragraph">
              <wp:posOffset>332916</wp:posOffset>
            </wp:positionV>
            <wp:extent cx="136525" cy="155575"/>
            <wp:effectExtent l="0" t="0" r="0" b="0"/>
            <wp:wrapNone/>
            <wp:docPr id="869" name="image13.png" descr=""/>
            <wp:cNvGraphicFramePr>
              <a:graphicFrameLocks noChangeAspect="1"/>
            </wp:cNvGraphicFramePr>
            <a:graphic>
              <a:graphicData uri="http://schemas.openxmlformats.org/drawingml/2006/picture">
                <pic:pic>
                  <pic:nvPicPr>
                    <pic:cNvPr id="870" name="image13.png"/>
                    <pic:cNvPicPr/>
                  </pic:nvPicPr>
                  <pic:blipFill>
                    <a:blip r:embed="rId18" cstate="print"/>
                    <a:stretch>
                      <a:fillRect/>
                    </a:stretch>
                  </pic:blipFill>
                  <pic:spPr>
                    <a:xfrm>
                      <a:off x="0" y="0"/>
                      <a:ext cx="136525" cy="155575"/>
                    </a:xfrm>
                    <a:prstGeom prst="rect">
                      <a:avLst/>
                    </a:prstGeom>
                  </pic:spPr>
                </pic:pic>
              </a:graphicData>
            </a:graphic>
          </wp:anchor>
        </w:drawing>
      </w:r>
      <w:r>
        <w:rPr/>
        <w:drawing>
          <wp:anchor distT="0" distB="0" distL="0" distR="0" allowOverlap="1" layoutInCell="1" locked="0" behindDoc="0" simplePos="0" relativeHeight="13000">
            <wp:simplePos x="0" y="0"/>
            <wp:positionH relativeFrom="page">
              <wp:posOffset>7958429</wp:posOffset>
            </wp:positionH>
            <wp:positionV relativeFrom="paragraph">
              <wp:posOffset>332916</wp:posOffset>
            </wp:positionV>
            <wp:extent cx="135953" cy="155575"/>
            <wp:effectExtent l="0" t="0" r="0" b="0"/>
            <wp:wrapNone/>
            <wp:docPr id="871" name="image15.png" descr=""/>
            <wp:cNvGraphicFramePr>
              <a:graphicFrameLocks noChangeAspect="1"/>
            </wp:cNvGraphicFramePr>
            <a:graphic>
              <a:graphicData uri="http://schemas.openxmlformats.org/drawingml/2006/picture">
                <pic:pic>
                  <pic:nvPicPr>
                    <pic:cNvPr id="872" name="image15.png"/>
                    <pic:cNvPicPr/>
                  </pic:nvPicPr>
                  <pic:blipFill>
                    <a:blip r:embed="rId20" cstate="print"/>
                    <a:stretch>
                      <a:fillRect/>
                    </a:stretch>
                  </pic:blipFill>
                  <pic:spPr>
                    <a:xfrm>
                      <a:off x="0" y="0"/>
                      <a:ext cx="135953" cy="155575"/>
                    </a:xfrm>
                    <a:prstGeom prst="rect">
                      <a:avLst/>
                    </a:prstGeom>
                  </pic:spPr>
                </pic:pic>
              </a:graphicData>
            </a:graphic>
          </wp:anchor>
        </w:drawing>
      </w:r>
      <w:r>
        <w:rPr/>
        <w:t>The Company's activities expose it to a variety of financial risks: market risk (including fair value interest rate risk), credit risk and liquidity risk. The Company's overall risk management program focuses on the unpredictability of financial markets and seeks to minimise potential adverse effects on the financial performance of the Company. The Company uses different methods to measure different types of risk to which it is exposed. These methods include sensitivity analysis in the case of interest rate and aging analysis for credit risk to determine market risk.</w:t>
      </w:r>
    </w:p>
    <w:p>
      <w:pPr>
        <w:pStyle w:val="BodyText"/>
        <w:spacing w:before="141"/>
        <w:ind w:left="1852"/>
      </w:pPr>
      <w:r>
        <w:rPr/>
        <w:t>The Company holds the following financial instruments:</w:t>
      </w:r>
    </w:p>
    <w:p>
      <w:pPr>
        <w:pStyle w:val="BodyText"/>
        <w:spacing w:before="141" w:after="36"/>
        <w:ind w:left="1852" w:right="1375"/>
      </w:pPr>
      <w:r>
        <w:rPr/>
        <w:t>Note: Excludes GST receivable, prepayment, deferred income, income in advance and provision payable (not within scope of AASB 7).</w:t>
      </w:r>
    </w:p>
    <w:tbl>
      <w:tblPr>
        <w:tblW w:w="0" w:type="auto"/>
        <w:jc w:val="left"/>
        <w:tblInd w:w="183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313"/>
        <w:gridCol w:w="1164"/>
        <w:gridCol w:w="1034"/>
      </w:tblGrid>
      <w:tr>
        <w:trPr>
          <w:trHeight w:val="560" w:hRule="exact"/>
        </w:trPr>
        <w:tc>
          <w:tcPr>
            <w:tcW w:w="7313" w:type="dxa"/>
          </w:tcPr>
          <w:p>
            <w:pPr/>
          </w:p>
        </w:tc>
        <w:tc>
          <w:tcPr>
            <w:tcW w:w="1164" w:type="dxa"/>
          </w:tcPr>
          <w:p>
            <w:pPr>
              <w:pStyle w:val="TableParagraph"/>
              <w:spacing w:line="204" w:lineRule="exact"/>
              <w:ind w:left="355" w:right="367"/>
              <w:jc w:val="center"/>
              <w:rPr>
                <w:b/>
                <w:sz w:val="18"/>
              </w:rPr>
            </w:pPr>
            <w:r>
              <w:rPr>
                <w:b/>
                <w:sz w:val="18"/>
              </w:rPr>
              <w:t>2016</w:t>
            </w:r>
          </w:p>
          <w:p>
            <w:pPr>
              <w:pStyle w:val="TableParagraph"/>
              <w:spacing w:before="66"/>
              <w:ind w:right="10"/>
              <w:jc w:val="center"/>
              <w:rPr>
                <w:b/>
                <w:sz w:val="18"/>
              </w:rPr>
            </w:pPr>
            <w:r>
              <w:rPr>
                <w:b/>
                <w:w w:val="99"/>
                <w:sz w:val="18"/>
              </w:rPr>
              <w:t>$</w:t>
            </w:r>
          </w:p>
        </w:tc>
        <w:tc>
          <w:tcPr>
            <w:tcW w:w="1034" w:type="dxa"/>
          </w:tcPr>
          <w:p>
            <w:pPr>
              <w:pStyle w:val="TableParagraph"/>
              <w:spacing w:line="204" w:lineRule="exact"/>
              <w:ind w:left="276" w:right="317"/>
              <w:jc w:val="center"/>
              <w:rPr>
                <w:b/>
                <w:sz w:val="18"/>
              </w:rPr>
            </w:pPr>
            <w:r>
              <w:rPr>
                <w:b/>
                <w:sz w:val="18"/>
              </w:rPr>
              <w:t>2015</w:t>
            </w:r>
          </w:p>
          <w:p>
            <w:pPr>
              <w:pStyle w:val="TableParagraph"/>
              <w:spacing w:before="66"/>
              <w:ind w:right="39"/>
              <w:jc w:val="center"/>
              <w:rPr>
                <w:b/>
                <w:sz w:val="18"/>
              </w:rPr>
            </w:pPr>
            <w:r>
              <w:rPr>
                <w:b/>
                <w:w w:val="99"/>
                <w:sz w:val="18"/>
              </w:rPr>
              <w:t>$</w:t>
            </w:r>
          </w:p>
        </w:tc>
      </w:tr>
      <w:tr>
        <w:trPr>
          <w:trHeight w:val="543" w:hRule="exact"/>
        </w:trPr>
        <w:tc>
          <w:tcPr>
            <w:tcW w:w="7313" w:type="dxa"/>
          </w:tcPr>
          <w:p>
            <w:pPr>
              <w:pStyle w:val="TableParagraph"/>
              <w:spacing w:before="63"/>
              <w:ind w:left="35"/>
              <w:jc w:val="left"/>
              <w:rPr>
                <w:b/>
                <w:sz w:val="18"/>
              </w:rPr>
            </w:pPr>
            <w:r>
              <w:rPr>
                <w:b/>
                <w:sz w:val="18"/>
              </w:rPr>
              <w:t>Financial Assets</w:t>
            </w:r>
          </w:p>
          <w:p>
            <w:pPr>
              <w:pStyle w:val="TableParagraph"/>
              <w:spacing w:before="27"/>
              <w:ind w:left="391"/>
              <w:jc w:val="left"/>
              <w:rPr>
                <w:sz w:val="18"/>
              </w:rPr>
            </w:pPr>
            <w:r>
              <w:rPr>
                <w:sz w:val="18"/>
              </w:rPr>
              <w:t>Cash and Cash Equivalents</w:t>
            </w:r>
          </w:p>
        </w:tc>
        <w:tc>
          <w:tcPr>
            <w:tcW w:w="1164" w:type="dxa"/>
          </w:tcPr>
          <w:p>
            <w:pPr>
              <w:pStyle w:val="TableParagraph"/>
              <w:spacing w:before="11"/>
              <w:jc w:val="left"/>
              <w:rPr>
                <w:sz w:val="25"/>
              </w:rPr>
            </w:pPr>
          </w:p>
          <w:p>
            <w:pPr>
              <w:pStyle w:val="TableParagraph"/>
              <w:ind w:right="145"/>
              <w:rPr>
                <w:b/>
                <w:sz w:val="18"/>
              </w:rPr>
            </w:pPr>
            <w:r>
              <w:rPr>
                <w:b/>
                <w:w w:val="95"/>
                <w:sz w:val="18"/>
              </w:rPr>
              <w:t>647,363</w:t>
            </w:r>
          </w:p>
        </w:tc>
        <w:tc>
          <w:tcPr>
            <w:tcW w:w="1034" w:type="dxa"/>
          </w:tcPr>
          <w:p>
            <w:pPr>
              <w:pStyle w:val="TableParagraph"/>
              <w:spacing w:before="11"/>
              <w:jc w:val="left"/>
              <w:rPr>
                <w:sz w:val="25"/>
              </w:rPr>
            </w:pPr>
          </w:p>
          <w:p>
            <w:pPr>
              <w:pStyle w:val="TableParagraph"/>
              <w:ind w:right="86"/>
              <w:rPr>
                <w:sz w:val="18"/>
              </w:rPr>
            </w:pPr>
            <w:r>
              <w:rPr>
                <w:w w:val="95"/>
                <w:sz w:val="18"/>
              </w:rPr>
              <w:t>555,260</w:t>
            </w:r>
          </w:p>
        </w:tc>
      </w:tr>
      <w:tr>
        <w:trPr>
          <w:trHeight w:val="264" w:hRule="exact"/>
        </w:trPr>
        <w:tc>
          <w:tcPr>
            <w:tcW w:w="7313" w:type="dxa"/>
          </w:tcPr>
          <w:p>
            <w:pPr>
              <w:pStyle w:val="TableParagraph"/>
              <w:spacing w:before="18"/>
              <w:ind w:left="391"/>
              <w:jc w:val="left"/>
              <w:rPr>
                <w:sz w:val="18"/>
              </w:rPr>
            </w:pPr>
            <w:r>
              <w:rPr>
                <w:sz w:val="18"/>
              </w:rPr>
              <w:t>Trade Receivables</w:t>
            </w:r>
          </w:p>
        </w:tc>
        <w:tc>
          <w:tcPr>
            <w:tcW w:w="1164" w:type="dxa"/>
          </w:tcPr>
          <w:p>
            <w:pPr>
              <w:pStyle w:val="TableParagraph"/>
              <w:spacing w:before="19"/>
              <w:ind w:right="145"/>
              <w:rPr>
                <w:b/>
                <w:sz w:val="18"/>
              </w:rPr>
            </w:pPr>
            <w:r>
              <w:rPr>
                <w:b/>
                <w:w w:val="95"/>
                <w:sz w:val="18"/>
              </w:rPr>
              <w:t>82,915</w:t>
            </w:r>
          </w:p>
        </w:tc>
        <w:tc>
          <w:tcPr>
            <w:tcW w:w="1034" w:type="dxa"/>
          </w:tcPr>
          <w:p>
            <w:pPr>
              <w:pStyle w:val="TableParagraph"/>
              <w:spacing w:before="19"/>
              <w:ind w:right="86"/>
              <w:rPr>
                <w:sz w:val="18"/>
              </w:rPr>
            </w:pPr>
            <w:r>
              <w:rPr>
                <w:w w:val="95"/>
                <w:sz w:val="18"/>
              </w:rPr>
              <w:t>60,277</w:t>
            </w:r>
          </w:p>
        </w:tc>
      </w:tr>
      <w:tr>
        <w:trPr>
          <w:trHeight w:val="263" w:hRule="exact"/>
        </w:trPr>
        <w:tc>
          <w:tcPr>
            <w:tcW w:w="7313" w:type="dxa"/>
          </w:tcPr>
          <w:p>
            <w:pPr>
              <w:pStyle w:val="TableParagraph"/>
              <w:spacing w:before="18"/>
              <w:ind w:left="391"/>
              <w:jc w:val="left"/>
              <w:rPr>
                <w:sz w:val="18"/>
              </w:rPr>
            </w:pPr>
            <w:r>
              <w:rPr>
                <w:sz w:val="18"/>
              </w:rPr>
              <w:t>Loan to Parent Entity</w:t>
            </w:r>
          </w:p>
        </w:tc>
        <w:tc>
          <w:tcPr>
            <w:tcW w:w="1164" w:type="dxa"/>
            <w:tcBorders>
              <w:bottom w:val="single" w:sz="0" w:space="0" w:color="000000"/>
            </w:tcBorders>
          </w:tcPr>
          <w:p>
            <w:pPr>
              <w:pStyle w:val="TableParagraph"/>
              <w:spacing w:before="19"/>
              <w:ind w:right="145"/>
              <w:rPr>
                <w:b/>
                <w:sz w:val="18"/>
              </w:rPr>
            </w:pPr>
            <w:r>
              <w:rPr>
                <w:b/>
                <w:w w:val="95"/>
                <w:sz w:val="18"/>
              </w:rPr>
              <w:t>1,576,133</w:t>
            </w:r>
          </w:p>
        </w:tc>
        <w:tc>
          <w:tcPr>
            <w:tcW w:w="1034" w:type="dxa"/>
            <w:tcBorders>
              <w:bottom w:val="single" w:sz="0" w:space="0" w:color="000000"/>
            </w:tcBorders>
          </w:tcPr>
          <w:p>
            <w:pPr>
              <w:pStyle w:val="TableParagraph"/>
              <w:spacing w:before="19"/>
              <w:ind w:right="86"/>
              <w:rPr>
                <w:sz w:val="18"/>
              </w:rPr>
            </w:pPr>
            <w:r>
              <w:rPr>
                <w:w w:val="95"/>
                <w:sz w:val="18"/>
              </w:rPr>
              <w:t>1,187,436</w:t>
            </w:r>
          </w:p>
        </w:tc>
      </w:tr>
      <w:tr>
        <w:trPr>
          <w:trHeight w:val="353" w:hRule="exact"/>
        </w:trPr>
        <w:tc>
          <w:tcPr>
            <w:tcW w:w="7313" w:type="dxa"/>
          </w:tcPr>
          <w:p>
            <w:pPr>
              <w:pStyle w:val="TableParagraph"/>
              <w:spacing w:before="123"/>
              <w:ind w:left="35"/>
              <w:jc w:val="left"/>
              <w:rPr>
                <w:b/>
                <w:sz w:val="18"/>
              </w:rPr>
            </w:pPr>
            <w:r>
              <w:rPr>
                <w:b/>
                <w:sz w:val="18"/>
              </w:rPr>
              <w:t>Total financial assets</w:t>
            </w:r>
          </w:p>
        </w:tc>
        <w:tc>
          <w:tcPr>
            <w:tcW w:w="1164" w:type="dxa"/>
            <w:tcBorders>
              <w:top w:val="single" w:sz="0" w:space="0" w:color="000000"/>
              <w:bottom w:val="single" w:sz="0" w:space="0" w:color="000000"/>
            </w:tcBorders>
          </w:tcPr>
          <w:p>
            <w:pPr>
              <w:pStyle w:val="TableParagraph"/>
              <w:spacing w:before="122"/>
              <w:ind w:right="145"/>
              <w:rPr>
                <w:b/>
                <w:sz w:val="18"/>
              </w:rPr>
            </w:pPr>
            <w:r>
              <w:rPr>
                <w:b/>
                <w:w w:val="95"/>
                <w:sz w:val="18"/>
              </w:rPr>
              <w:t>2,306,411</w:t>
            </w:r>
          </w:p>
        </w:tc>
        <w:tc>
          <w:tcPr>
            <w:tcW w:w="1034" w:type="dxa"/>
            <w:tcBorders>
              <w:top w:val="single" w:sz="0" w:space="0" w:color="000000"/>
              <w:bottom w:val="single" w:sz="0" w:space="0" w:color="000000"/>
            </w:tcBorders>
          </w:tcPr>
          <w:p>
            <w:pPr>
              <w:pStyle w:val="TableParagraph"/>
              <w:spacing w:before="122"/>
              <w:ind w:right="86"/>
              <w:rPr>
                <w:sz w:val="18"/>
              </w:rPr>
            </w:pPr>
            <w:r>
              <w:rPr>
                <w:w w:val="95"/>
                <w:sz w:val="18"/>
              </w:rPr>
              <w:t>1,802,973</w:t>
            </w:r>
          </w:p>
        </w:tc>
      </w:tr>
      <w:tr>
        <w:trPr>
          <w:trHeight w:val="617" w:hRule="exact"/>
        </w:trPr>
        <w:tc>
          <w:tcPr>
            <w:tcW w:w="7313" w:type="dxa"/>
          </w:tcPr>
          <w:p>
            <w:pPr>
              <w:pStyle w:val="TableParagraph"/>
              <w:spacing w:before="138"/>
              <w:ind w:left="35"/>
              <w:jc w:val="left"/>
              <w:rPr>
                <w:b/>
                <w:sz w:val="18"/>
              </w:rPr>
            </w:pPr>
            <w:r>
              <w:rPr>
                <w:b/>
                <w:sz w:val="18"/>
              </w:rPr>
              <w:t>Financial Liabilities</w:t>
            </w:r>
          </w:p>
          <w:p>
            <w:pPr>
              <w:pStyle w:val="TableParagraph"/>
              <w:spacing w:before="27"/>
              <w:ind w:left="391"/>
              <w:jc w:val="left"/>
              <w:rPr>
                <w:sz w:val="18"/>
              </w:rPr>
            </w:pPr>
            <w:r>
              <w:rPr>
                <w:sz w:val="18"/>
              </w:rPr>
              <w:t>Trade and other payables</w:t>
            </w:r>
          </w:p>
        </w:tc>
        <w:tc>
          <w:tcPr>
            <w:tcW w:w="1164" w:type="dxa"/>
            <w:tcBorders>
              <w:top w:val="single" w:sz="0" w:space="0" w:color="000000"/>
              <w:bottom w:val="single" w:sz="0" w:space="0" w:color="000000"/>
            </w:tcBorders>
          </w:tcPr>
          <w:p>
            <w:pPr>
              <w:pStyle w:val="TableParagraph"/>
              <w:jc w:val="left"/>
              <w:rPr>
                <w:sz w:val="18"/>
              </w:rPr>
            </w:pPr>
          </w:p>
          <w:p>
            <w:pPr>
              <w:pStyle w:val="TableParagraph"/>
              <w:spacing w:before="5"/>
              <w:jc w:val="left"/>
              <w:rPr>
                <w:sz w:val="14"/>
              </w:rPr>
            </w:pPr>
          </w:p>
          <w:p>
            <w:pPr>
              <w:pStyle w:val="TableParagraph"/>
              <w:ind w:right="145"/>
              <w:rPr>
                <w:b/>
                <w:sz w:val="18"/>
              </w:rPr>
            </w:pPr>
            <w:r>
              <w:rPr>
                <w:b/>
                <w:w w:val="95"/>
                <w:sz w:val="18"/>
              </w:rPr>
              <w:t>305,891</w:t>
            </w:r>
          </w:p>
        </w:tc>
        <w:tc>
          <w:tcPr>
            <w:tcW w:w="1034" w:type="dxa"/>
            <w:tcBorders>
              <w:top w:val="single" w:sz="0" w:space="0" w:color="000000"/>
              <w:bottom w:val="single" w:sz="0" w:space="0" w:color="000000"/>
            </w:tcBorders>
          </w:tcPr>
          <w:p>
            <w:pPr>
              <w:pStyle w:val="TableParagraph"/>
              <w:jc w:val="left"/>
              <w:rPr>
                <w:sz w:val="18"/>
              </w:rPr>
            </w:pPr>
          </w:p>
          <w:p>
            <w:pPr>
              <w:pStyle w:val="TableParagraph"/>
              <w:spacing w:before="5"/>
              <w:jc w:val="left"/>
              <w:rPr>
                <w:sz w:val="14"/>
              </w:rPr>
            </w:pPr>
          </w:p>
          <w:p>
            <w:pPr>
              <w:pStyle w:val="TableParagraph"/>
              <w:ind w:right="86"/>
              <w:rPr>
                <w:sz w:val="18"/>
              </w:rPr>
            </w:pPr>
            <w:r>
              <w:rPr>
                <w:w w:val="95"/>
                <w:sz w:val="18"/>
              </w:rPr>
              <w:t>217,289</w:t>
            </w:r>
          </w:p>
        </w:tc>
      </w:tr>
      <w:tr>
        <w:trPr>
          <w:trHeight w:val="353" w:hRule="exact"/>
        </w:trPr>
        <w:tc>
          <w:tcPr>
            <w:tcW w:w="7313" w:type="dxa"/>
          </w:tcPr>
          <w:p>
            <w:pPr>
              <w:pStyle w:val="TableParagraph"/>
              <w:spacing w:before="123"/>
              <w:ind w:left="35"/>
              <w:jc w:val="left"/>
              <w:rPr>
                <w:b/>
                <w:sz w:val="18"/>
              </w:rPr>
            </w:pPr>
            <w:r>
              <w:rPr>
                <w:b/>
                <w:sz w:val="18"/>
              </w:rPr>
              <w:t>Total financial liabilities</w:t>
            </w:r>
          </w:p>
        </w:tc>
        <w:tc>
          <w:tcPr>
            <w:tcW w:w="1164" w:type="dxa"/>
            <w:tcBorders>
              <w:top w:val="single" w:sz="0" w:space="0" w:color="000000"/>
              <w:bottom w:val="single" w:sz="0" w:space="0" w:color="000000"/>
            </w:tcBorders>
          </w:tcPr>
          <w:p>
            <w:pPr>
              <w:pStyle w:val="TableParagraph"/>
              <w:spacing w:before="122"/>
              <w:ind w:right="145"/>
              <w:rPr>
                <w:b/>
                <w:sz w:val="18"/>
              </w:rPr>
            </w:pPr>
            <w:r>
              <w:rPr>
                <w:b/>
                <w:w w:val="95"/>
                <w:sz w:val="18"/>
              </w:rPr>
              <w:t>305,891</w:t>
            </w:r>
          </w:p>
        </w:tc>
        <w:tc>
          <w:tcPr>
            <w:tcW w:w="1034" w:type="dxa"/>
            <w:tcBorders>
              <w:top w:val="single" w:sz="0" w:space="0" w:color="000000"/>
              <w:bottom w:val="single" w:sz="0" w:space="0" w:color="000000"/>
            </w:tcBorders>
          </w:tcPr>
          <w:p>
            <w:pPr>
              <w:pStyle w:val="TableParagraph"/>
              <w:spacing w:before="122"/>
              <w:ind w:right="86"/>
              <w:rPr>
                <w:sz w:val="18"/>
              </w:rPr>
            </w:pPr>
            <w:r>
              <w:rPr>
                <w:w w:val="95"/>
                <w:sz w:val="18"/>
              </w:rPr>
              <w:t>217,289</w:t>
            </w:r>
          </w:p>
        </w:tc>
      </w:tr>
    </w:tbl>
    <w:p>
      <w:pPr>
        <w:spacing w:after="0"/>
        <w:rPr>
          <w:sz w:val="18"/>
        </w:rPr>
        <w:sectPr>
          <w:pgSz w:w="12750" w:h="17680"/>
          <w:pgMar w:header="0" w:footer="867" w:top="2800" w:bottom="1120" w:left="0" w:right="0"/>
        </w:sectPr>
      </w:pPr>
    </w:p>
    <w:p>
      <w:pPr>
        <w:pStyle w:val="BodyText"/>
        <w:spacing w:before="3"/>
        <w:rPr>
          <w:sz w:val="20"/>
        </w:rPr>
      </w:pPr>
    </w:p>
    <w:p>
      <w:pPr>
        <w:pStyle w:val="ListParagraph"/>
        <w:numPr>
          <w:ilvl w:val="1"/>
          <w:numId w:val="72"/>
        </w:numPr>
        <w:tabs>
          <w:tab w:pos="2392" w:val="left" w:leader="none"/>
        </w:tabs>
        <w:spacing w:line="240" w:lineRule="auto" w:before="77" w:after="0"/>
        <w:ind w:left="2391" w:right="0" w:hanging="566"/>
        <w:jc w:val="left"/>
        <w:rPr>
          <w:b/>
          <w:sz w:val="18"/>
        </w:rPr>
      </w:pPr>
      <w:bookmarkStart w:name="Market risk" w:id="363"/>
      <w:bookmarkEnd w:id="363"/>
      <w:r>
        <w:rPr/>
      </w:r>
      <w:bookmarkStart w:name="Market risk" w:id="364"/>
      <w:bookmarkEnd w:id="364"/>
      <w:r>
        <w:rPr>
          <w:b/>
          <w:sz w:val="18"/>
        </w:rPr>
        <w:t>Marke</w:t>
      </w:r>
      <w:r>
        <w:rPr>
          <w:b/>
          <w:sz w:val="18"/>
        </w:rPr>
        <w:t>t</w:t>
      </w:r>
      <w:r>
        <w:rPr>
          <w:b/>
          <w:spacing w:val="-11"/>
          <w:sz w:val="18"/>
        </w:rPr>
        <w:t> </w:t>
      </w:r>
      <w:r>
        <w:rPr>
          <w:b/>
          <w:sz w:val="18"/>
        </w:rPr>
        <w:t>risk</w:t>
      </w:r>
    </w:p>
    <w:p>
      <w:pPr>
        <w:pStyle w:val="BodyText"/>
        <w:spacing w:before="4"/>
        <w:rPr>
          <w:b/>
          <w:sz w:val="25"/>
        </w:rPr>
      </w:pPr>
    </w:p>
    <w:p>
      <w:pPr>
        <w:pStyle w:val="ListParagraph"/>
        <w:numPr>
          <w:ilvl w:val="0"/>
          <w:numId w:val="73"/>
        </w:numPr>
        <w:tabs>
          <w:tab w:pos="2163" w:val="left" w:leader="none"/>
        </w:tabs>
        <w:spacing w:line="240" w:lineRule="auto" w:before="0" w:after="0"/>
        <w:ind w:left="2162" w:right="0" w:hanging="310"/>
        <w:jc w:val="left"/>
        <w:rPr>
          <w:sz w:val="18"/>
        </w:rPr>
      </w:pPr>
      <w:r>
        <w:rPr>
          <w:sz w:val="18"/>
        </w:rPr>
        <w:t>Cash</w:t>
      </w:r>
      <w:r>
        <w:rPr>
          <w:spacing w:val="-6"/>
          <w:sz w:val="18"/>
        </w:rPr>
        <w:t> </w:t>
      </w:r>
      <w:r>
        <w:rPr>
          <w:sz w:val="18"/>
        </w:rPr>
        <w:t>flow</w:t>
      </w:r>
      <w:r>
        <w:rPr>
          <w:spacing w:val="-9"/>
          <w:sz w:val="18"/>
        </w:rPr>
        <w:t> </w:t>
      </w:r>
      <w:r>
        <w:rPr>
          <w:sz w:val="18"/>
        </w:rPr>
        <w:t>and</w:t>
      </w:r>
      <w:r>
        <w:rPr>
          <w:spacing w:val="-6"/>
          <w:sz w:val="18"/>
        </w:rPr>
        <w:t> </w:t>
      </w:r>
      <w:r>
        <w:rPr>
          <w:sz w:val="18"/>
        </w:rPr>
        <w:t>fair</w:t>
      </w:r>
      <w:r>
        <w:rPr>
          <w:spacing w:val="-6"/>
          <w:sz w:val="18"/>
        </w:rPr>
        <w:t> </w:t>
      </w:r>
      <w:r>
        <w:rPr>
          <w:sz w:val="18"/>
        </w:rPr>
        <w:t>value</w:t>
      </w:r>
      <w:r>
        <w:rPr>
          <w:spacing w:val="-6"/>
          <w:sz w:val="18"/>
        </w:rPr>
        <w:t> </w:t>
      </w:r>
      <w:r>
        <w:rPr>
          <w:sz w:val="18"/>
        </w:rPr>
        <w:t>interest</w:t>
      </w:r>
      <w:r>
        <w:rPr>
          <w:spacing w:val="-6"/>
          <w:sz w:val="18"/>
        </w:rPr>
        <w:t> </w:t>
      </w:r>
      <w:r>
        <w:rPr>
          <w:sz w:val="18"/>
        </w:rPr>
        <w:t>rate</w:t>
      </w:r>
      <w:r>
        <w:rPr>
          <w:spacing w:val="-6"/>
          <w:sz w:val="18"/>
        </w:rPr>
        <w:t> </w:t>
      </w:r>
      <w:r>
        <w:rPr>
          <w:sz w:val="18"/>
        </w:rPr>
        <w:t>risk</w:t>
      </w:r>
    </w:p>
    <w:p>
      <w:pPr>
        <w:pStyle w:val="BodyText"/>
        <w:spacing w:before="11"/>
        <w:rPr>
          <w:sz w:val="24"/>
        </w:rPr>
      </w:pPr>
    </w:p>
    <w:p>
      <w:pPr>
        <w:pStyle w:val="BodyText"/>
        <w:ind w:left="1852"/>
      </w:pPr>
      <w:r>
        <w:rPr/>
        <w:t>The Company's exposure to interest rate risk is minimal as it has no borrowings.</w:t>
      </w:r>
    </w:p>
    <w:p>
      <w:pPr>
        <w:pStyle w:val="BodyText"/>
        <w:spacing w:before="11"/>
        <w:rPr>
          <w:sz w:val="24"/>
        </w:rPr>
      </w:pPr>
    </w:p>
    <w:p>
      <w:pPr>
        <w:pStyle w:val="ListParagraph"/>
        <w:numPr>
          <w:ilvl w:val="0"/>
          <w:numId w:val="73"/>
        </w:numPr>
        <w:tabs>
          <w:tab w:pos="2151" w:val="left" w:leader="none"/>
        </w:tabs>
        <w:spacing w:line="240" w:lineRule="auto" w:before="0" w:after="0"/>
        <w:ind w:left="2150" w:right="0" w:hanging="298"/>
        <w:jc w:val="left"/>
        <w:rPr>
          <w:sz w:val="18"/>
        </w:rPr>
      </w:pPr>
      <w:r>
        <w:rPr>
          <w:sz w:val="18"/>
        </w:rPr>
        <w:t>Sensitivity</w:t>
      </w:r>
      <w:r>
        <w:rPr>
          <w:spacing w:val="-20"/>
          <w:sz w:val="18"/>
        </w:rPr>
        <w:t> </w:t>
      </w:r>
      <w:r>
        <w:rPr>
          <w:sz w:val="18"/>
        </w:rPr>
        <w:t>analysis</w:t>
      </w:r>
    </w:p>
    <w:p>
      <w:pPr>
        <w:pStyle w:val="BodyText"/>
        <w:spacing w:before="11"/>
        <w:rPr>
          <w:sz w:val="24"/>
        </w:rPr>
      </w:pPr>
    </w:p>
    <w:p>
      <w:pPr>
        <w:pStyle w:val="BodyText"/>
        <w:ind w:left="1868" w:hanging="16"/>
      </w:pPr>
      <w:r>
        <w:rPr/>
        <w:t>The following table summarises the sensitivity of the Company's financial assets to interest rate risk.</w:t>
      </w:r>
    </w:p>
    <w:p>
      <w:pPr>
        <w:pStyle w:val="BodyText"/>
      </w:pPr>
    </w:p>
    <w:p>
      <w:pPr>
        <w:pStyle w:val="BodyText"/>
        <w:spacing w:before="1"/>
        <w:rPr>
          <w:sz w:val="15"/>
        </w:rPr>
      </w:pPr>
    </w:p>
    <w:p>
      <w:pPr>
        <w:pStyle w:val="Heading8"/>
        <w:tabs>
          <w:tab w:pos="8323" w:val="left" w:leader="none"/>
        </w:tabs>
        <w:ind w:left="1868"/>
      </w:pPr>
      <w:r>
        <w:rPr/>
        <w:t>31</w:t>
      </w:r>
      <w:r>
        <w:rPr>
          <w:spacing w:val="-4"/>
        </w:rPr>
        <w:t> </w:t>
      </w:r>
      <w:r>
        <w:rPr/>
        <w:t>December</w:t>
      </w:r>
      <w:r>
        <w:rPr>
          <w:spacing w:val="-4"/>
        </w:rPr>
        <w:t> </w:t>
      </w:r>
      <w:r>
        <w:rPr/>
        <w:t>2016</w:t>
        <w:tab/>
        <w:t>Interest rate</w:t>
      </w:r>
      <w:r>
        <w:rPr>
          <w:spacing w:val="-17"/>
        </w:rPr>
        <w:t> </w:t>
      </w:r>
      <w:r>
        <w:rPr/>
        <w:t>risk</w:t>
      </w:r>
    </w:p>
    <w:p>
      <w:pPr>
        <w:tabs>
          <w:tab w:pos="10029" w:val="left" w:leader="none"/>
        </w:tabs>
        <w:spacing w:before="66"/>
        <w:ind w:left="7729" w:right="0" w:firstLine="0"/>
        <w:jc w:val="left"/>
        <w:rPr>
          <w:b/>
          <w:sz w:val="18"/>
        </w:rPr>
      </w:pPr>
      <w:r>
        <w:rPr>
          <w:b/>
          <w:sz w:val="18"/>
        </w:rPr>
        <w:t>-1%</w:t>
        <w:tab/>
        <w:t>+1%</w:t>
      </w:r>
    </w:p>
    <w:p>
      <w:pPr>
        <w:spacing w:after="0"/>
        <w:jc w:val="left"/>
        <w:rPr>
          <w:sz w:val="18"/>
        </w:rPr>
        <w:sectPr>
          <w:headerReference w:type="default" r:id="rId114"/>
          <w:pgSz w:w="12750" w:h="17680"/>
          <w:pgMar w:header="0" w:footer="867" w:top="3300" w:bottom="1120" w:left="0" w:right="0"/>
        </w:sectPr>
      </w:pPr>
    </w:p>
    <w:p>
      <w:pPr>
        <w:spacing w:before="66"/>
        <w:ind w:left="5861" w:right="0" w:hanging="44"/>
        <w:jc w:val="right"/>
        <w:rPr>
          <w:b/>
          <w:sz w:val="18"/>
        </w:rPr>
      </w:pPr>
      <w:r>
        <w:rPr>
          <w:b/>
          <w:w w:val="95"/>
          <w:sz w:val="18"/>
        </w:rPr>
        <w:t>Carrying </w:t>
      </w:r>
      <w:r>
        <w:rPr>
          <w:b/>
          <w:sz w:val="18"/>
        </w:rPr>
        <w:t>amount</w:t>
      </w:r>
    </w:p>
    <w:p>
      <w:pPr>
        <w:spacing w:before="66"/>
        <w:ind w:left="0" w:right="315" w:firstLine="0"/>
        <w:jc w:val="right"/>
        <w:rPr>
          <w:b/>
          <w:sz w:val="18"/>
        </w:rPr>
      </w:pPr>
      <w:r>
        <w:rPr>
          <w:b/>
          <w:w w:val="99"/>
          <w:sz w:val="18"/>
        </w:rPr>
        <w:t>$</w:t>
      </w:r>
    </w:p>
    <w:p>
      <w:pPr>
        <w:pStyle w:val="BodyText"/>
        <w:spacing w:before="8"/>
        <w:rPr>
          <w:b/>
          <w:sz w:val="23"/>
        </w:rPr>
      </w:pPr>
      <w:r>
        <w:rPr/>
        <w:br w:type="column"/>
      </w:r>
      <w:r>
        <w:rPr>
          <w:b/>
          <w:sz w:val="23"/>
        </w:rPr>
      </w:r>
    </w:p>
    <w:p>
      <w:pPr>
        <w:spacing w:before="0"/>
        <w:ind w:left="450" w:right="0" w:firstLine="0"/>
        <w:jc w:val="center"/>
        <w:rPr>
          <w:b/>
          <w:sz w:val="18"/>
        </w:rPr>
      </w:pPr>
      <w:r>
        <w:rPr>
          <w:b/>
          <w:spacing w:val="-1"/>
          <w:sz w:val="18"/>
        </w:rPr>
        <w:t>Result</w:t>
      </w:r>
    </w:p>
    <w:p>
      <w:pPr>
        <w:spacing w:before="66"/>
        <w:ind w:left="0" w:right="221" w:firstLine="0"/>
        <w:jc w:val="right"/>
        <w:rPr>
          <w:b/>
          <w:sz w:val="18"/>
        </w:rPr>
      </w:pPr>
      <w:r>
        <w:rPr>
          <w:b/>
          <w:w w:val="99"/>
          <w:sz w:val="18"/>
        </w:rPr>
        <w:t>$</w:t>
      </w:r>
    </w:p>
    <w:p>
      <w:pPr>
        <w:pStyle w:val="BodyText"/>
        <w:spacing w:before="8"/>
        <w:rPr>
          <w:b/>
          <w:sz w:val="23"/>
        </w:rPr>
      </w:pPr>
      <w:r>
        <w:rPr/>
        <w:br w:type="column"/>
      </w:r>
      <w:r>
        <w:rPr>
          <w:b/>
          <w:sz w:val="23"/>
        </w:rPr>
      </w:r>
    </w:p>
    <w:p>
      <w:pPr>
        <w:spacing w:before="0"/>
        <w:ind w:left="599" w:right="0" w:firstLine="0"/>
        <w:jc w:val="center"/>
        <w:rPr>
          <w:b/>
          <w:sz w:val="18"/>
        </w:rPr>
      </w:pPr>
      <w:r>
        <w:rPr>
          <w:b/>
          <w:sz w:val="18"/>
        </w:rPr>
        <w:t>Equity</w:t>
      </w:r>
    </w:p>
    <w:p>
      <w:pPr>
        <w:spacing w:before="66"/>
        <w:ind w:left="0" w:right="223" w:firstLine="0"/>
        <w:jc w:val="right"/>
        <w:rPr>
          <w:b/>
          <w:sz w:val="18"/>
        </w:rPr>
      </w:pPr>
      <w:r>
        <w:rPr>
          <w:b/>
          <w:w w:val="99"/>
          <w:sz w:val="18"/>
        </w:rPr>
        <w:t>$</w:t>
      </w:r>
    </w:p>
    <w:p>
      <w:pPr>
        <w:pStyle w:val="BodyText"/>
        <w:spacing w:before="8"/>
        <w:rPr>
          <w:b/>
          <w:sz w:val="23"/>
        </w:rPr>
      </w:pPr>
      <w:r>
        <w:rPr/>
        <w:br w:type="column"/>
      </w:r>
      <w:r>
        <w:rPr>
          <w:b/>
          <w:sz w:val="23"/>
        </w:rPr>
      </w:r>
    </w:p>
    <w:p>
      <w:pPr>
        <w:spacing w:before="0"/>
        <w:ind w:left="541" w:right="0" w:firstLine="0"/>
        <w:jc w:val="center"/>
        <w:rPr>
          <w:b/>
          <w:sz w:val="18"/>
        </w:rPr>
      </w:pPr>
      <w:r>
        <w:rPr>
          <w:b/>
          <w:spacing w:val="-1"/>
          <w:sz w:val="18"/>
        </w:rPr>
        <w:t>Result</w:t>
      </w:r>
    </w:p>
    <w:p>
      <w:pPr>
        <w:spacing w:before="66"/>
        <w:ind w:left="0" w:right="221" w:firstLine="0"/>
        <w:jc w:val="right"/>
        <w:rPr>
          <w:b/>
          <w:sz w:val="18"/>
        </w:rPr>
      </w:pPr>
      <w:r>
        <w:rPr>
          <w:b/>
          <w:w w:val="99"/>
          <w:sz w:val="18"/>
        </w:rPr>
        <w:t>$</w:t>
      </w:r>
    </w:p>
    <w:p>
      <w:pPr>
        <w:pStyle w:val="BodyText"/>
        <w:spacing w:before="8"/>
        <w:rPr>
          <w:b/>
          <w:sz w:val="23"/>
        </w:rPr>
      </w:pPr>
      <w:r>
        <w:rPr/>
        <w:br w:type="column"/>
      </w:r>
      <w:r>
        <w:rPr>
          <w:b/>
          <w:sz w:val="23"/>
        </w:rPr>
      </w:r>
    </w:p>
    <w:p>
      <w:pPr>
        <w:spacing w:before="0"/>
        <w:ind w:left="527" w:right="1673" w:firstLine="0"/>
        <w:jc w:val="center"/>
        <w:rPr>
          <w:b/>
          <w:sz w:val="18"/>
        </w:rPr>
      </w:pPr>
      <w:r>
        <w:rPr>
          <w:b/>
          <w:sz w:val="18"/>
        </w:rPr>
        <w:t>Equity</w:t>
      </w:r>
    </w:p>
    <w:p>
      <w:pPr>
        <w:spacing w:before="66"/>
        <w:ind w:left="0" w:right="1146" w:firstLine="0"/>
        <w:jc w:val="center"/>
        <w:rPr>
          <w:b/>
          <w:sz w:val="18"/>
        </w:rPr>
      </w:pPr>
      <w:r>
        <w:rPr>
          <w:b/>
          <w:w w:val="99"/>
          <w:sz w:val="18"/>
        </w:rPr>
        <w:t>$</w:t>
      </w:r>
    </w:p>
    <w:p>
      <w:pPr>
        <w:spacing w:after="0"/>
        <w:jc w:val="center"/>
        <w:rPr>
          <w:sz w:val="18"/>
        </w:rPr>
        <w:sectPr>
          <w:type w:val="continuous"/>
          <w:pgSz w:w="12750" w:h="17680"/>
          <w:pgMar w:top="1660" w:bottom="0" w:left="0" w:right="0"/>
          <w:cols w:num="5" w:equalWidth="0">
            <w:col w:w="6556" w:space="40"/>
            <w:col w:w="1000" w:space="40"/>
            <w:col w:w="1152" w:space="40"/>
            <w:col w:w="1091" w:space="40"/>
            <w:col w:w="2791"/>
          </w:cols>
        </w:sectPr>
      </w:pPr>
    </w:p>
    <w:p>
      <w:pPr>
        <w:pStyle w:val="BodyText"/>
        <w:spacing w:before="11"/>
        <w:rPr>
          <w:b/>
          <w:sz w:val="5"/>
        </w:rPr>
      </w:pPr>
    </w:p>
    <w:tbl>
      <w:tblPr>
        <w:tblW w:w="0" w:type="auto"/>
        <w:jc w:val="left"/>
        <w:tblInd w:w="183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377"/>
        <w:gridCol w:w="1618"/>
        <w:gridCol w:w="1387"/>
        <w:gridCol w:w="1097"/>
        <w:gridCol w:w="1103"/>
        <w:gridCol w:w="876"/>
      </w:tblGrid>
      <w:tr>
        <w:trPr>
          <w:trHeight w:val="558" w:hRule="exact"/>
        </w:trPr>
        <w:tc>
          <w:tcPr>
            <w:tcW w:w="3377" w:type="dxa"/>
          </w:tcPr>
          <w:p>
            <w:pPr>
              <w:pStyle w:val="TableParagraph"/>
              <w:spacing w:before="77"/>
              <w:ind w:left="35"/>
              <w:jc w:val="left"/>
              <w:rPr>
                <w:b/>
                <w:sz w:val="18"/>
              </w:rPr>
            </w:pPr>
            <w:r>
              <w:rPr>
                <w:b/>
                <w:sz w:val="18"/>
              </w:rPr>
              <w:t>Financial assets</w:t>
            </w:r>
          </w:p>
          <w:p>
            <w:pPr>
              <w:pStyle w:val="TableParagraph"/>
              <w:spacing w:before="29"/>
              <w:ind w:left="249"/>
              <w:jc w:val="left"/>
              <w:rPr>
                <w:sz w:val="18"/>
              </w:rPr>
            </w:pPr>
            <w:r>
              <w:rPr>
                <w:sz w:val="18"/>
              </w:rPr>
              <w:t>Cash and Cash Equivalents</w:t>
            </w:r>
          </w:p>
        </w:tc>
        <w:tc>
          <w:tcPr>
            <w:tcW w:w="1618" w:type="dxa"/>
          </w:tcPr>
          <w:p>
            <w:pPr>
              <w:pStyle w:val="TableParagraph"/>
              <w:jc w:val="left"/>
              <w:rPr>
                <w:b/>
                <w:sz w:val="18"/>
              </w:rPr>
            </w:pPr>
          </w:p>
          <w:p>
            <w:pPr>
              <w:pStyle w:val="TableParagraph"/>
              <w:spacing w:before="105"/>
              <w:ind w:right="216"/>
              <w:rPr>
                <w:b/>
                <w:sz w:val="18"/>
              </w:rPr>
            </w:pPr>
            <w:r>
              <w:rPr>
                <w:b/>
                <w:w w:val="95"/>
                <w:sz w:val="18"/>
              </w:rPr>
              <w:t>647,363</w:t>
            </w:r>
          </w:p>
        </w:tc>
        <w:tc>
          <w:tcPr>
            <w:tcW w:w="1387" w:type="dxa"/>
          </w:tcPr>
          <w:p>
            <w:pPr>
              <w:pStyle w:val="TableParagraph"/>
              <w:jc w:val="left"/>
              <w:rPr>
                <w:b/>
                <w:sz w:val="18"/>
              </w:rPr>
            </w:pPr>
          </w:p>
          <w:p>
            <w:pPr>
              <w:pStyle w:val="TableParagraph"/>
              <w:spacing w:before="105"/>
              <w:ind w:right="296"/>
              <w:rPr>
                <w:b/>
                <w:sz w:val="18"/>
              </w:rPr>
            </w:pPr>
            <w:r>
              <w:rPr>
                <w:b/>
                <w:w w:val="95"/>
                <w:sz w:val="18"/>
              </w:rPr>
              <w:t>(6,474)</w:t>
            </w:r>
          </w:p>
        </w:tc>
        <w:tc>
          <w:tcPr>
            <w:tcW w:w="1097" w:type="dxa"/>
          </w:tcPr>
          <w:p>
            <w:pPr>
              <w:pStyle w:val="TableParagraph"/>
              <w:jc w:val="left"/>
              <w:rPr>
                <w:b/>
                <w:sz w:val="18"/>
              </w:rPr>
            </w:pPr>
          </w:p>
          <w:p>
            <w:pPr>
              <w:pStyle w:val="TableParagraph"/>
              <w:spacing w:before="105"/>
              <w:ind w:right="260"/>
              <w:rPr>
                <w:b/>
                <w:sz w:val="18"/>
              </w:rPr>
            </w:pPr>
            <w:r>
              <w:rPr>
                <w:b/>
                <w:w w:val="95"/>
                <w:sz w:val="18"/>
              </w:rPr>
              <w:t>(6,474)</w:t>
            </w:r>
          </w:p>
        </w:tc>
        <w:tc>
          <w:tcPr>
            <w:tcW w:w="1103" w:type="dxa"/>
          </w:tcPr>
          <w:p>
            <w:pPr>
              <w:pStyle w:val="TableParagraph"/>
              <w:jc w:val="left"/>
              <w:rPr>
                <w:b/>
                <w:sz w:val="18"/>
              </w:rPr>
            </w:pPr>
          </w:p>
          <w:p>
            <w:pPr>
              <w:pStyle w:val="TableParagraph"/>
              <w:spacing w:before="105"/>
              <w:ind w:right="290"/>
              <w:rPr>
                <w:b/>
                <w:sz w:val="18"/>
              </w:rPr>
            </w:pPr>
            <w:r>
              <w:rPr>
                <w:b/>
                <w:sz w:val="18"/>
              </w:rPr>
              <w:t>6,474</w:t>
            </w:r>
          </w:p>
        </w:tc>
        <w:tc>
          <w:tcPr>
            <w:tcW w:w="876" w:type="dxa"/>
          </w:tcPr>
          <w:p>
            <w:pPr>
              <w:pStyle w:val="TableParagraph"/>
              <w:jc w:val="left"/>
              <w:rPr>
                <w:b/>
                <w:sz w:val="18"/>
              </w:rPr>
            </w:pPr>
          </w:p>
          <w:p>
            <w:pPr>
              <w:pStyle w:val="TableParagraph"/>
              <w:spacing w:before="105"/>
              <w:ind w:right="33"/>
              <w:rPr>
                <w:b/>
                <w:sz w:val="18"/>
              </w:rPr>
            </w:pPr>
            <w:r>
              <w:rPr>
                <w:b/>
                <w:sz w:val="18"/>
              </w:rPr>
              <w:t>6,474</w:t>
            </w:r>
          </w:p>
        </w:tc>
      </w:tr>
      <w:tr>
        <w:trPr>
          <w:trHeight w:val="323" w:hRule="exact"/>
        </w:trPr>
        <w:tc>
          <w:tcPr>
            <w:tcW w:w="3377" w:type="dxa"/>
          </w:tcPr>
          <w:p>
            <w:pPr>
              <w:pStyle w:val="TableParagraph"/>
              <w:spacing w:before="19"/>
              <w:ind w:left="249"/>
              <w:jc w:val="left"/>
              <w:rPr>
                <w:sz w:val="18"/>
              </w:rPr>
            </w:pPr>
            <w:r>
              <w:rPr>
                <w:sz w:val="18"/>
              </w:rPr>
              <w:t>Loan Receivable - Parent Entity</w:t>
            </w:r>
          </w:p>
        </w:tc>
        <w:tc>
          <w:tcPr>
            <w:tcW w:w="1618" w:type="dxa"/>
          </w:tcPr>
          <w:p>
            <w:pPr>
              <w:pStyle w:val="TableParagraph"/>
              <w:spacing w:before="18"/>
              <w:ind w:right="216"/>
              <w:rPr>
                <w:b/>
                <w:sz w:val="18"/>
              </w:rPr>
            </w:pPr>
            <w:r>
              <w:rPr>
                <w:b/>
                <w:w w:val="95"/>
                <w:sz w:val="18"/>
              </w:rPr>
              <w:t>1,576,133</w:t>
            </w:r>
          </w:p>
        </w:tc>
        <w:tc>
          <w:tcPr>
            <w:tcW w:w="1387" w:type="dxa"/>
          </w:tcPr>
          <w:p>
            <w:pPr>
              <w:pStyle w:val="TableParagraph"/>
              <w:spacing w:before="18"/>
              <w:ind w:right="296"/>
              <w:rPr>
                <w:b/>
                <w:sz w:val="18"/>
              </w:rPr>
            </w:pPr>
            <w:r>
              <w:rPr>
                <w:b/>
                <w:w w:val="95"/>
                <w:sz w:val="18"/>
              </w:rPr>
              <w:t>(15,761)</w:t>
            </w:r>
          </w:p>
        </w:tc>
        <w:tc>
          <w:tcPr>
            <w:tcW w:w="1097" w:type="dxa"/>
          </w:tcPr>
          <w:p>
            <w:pPr>
              <w:pStyle w:val="TableParagraph"/>
              <w:spacing w:before="18"/>
              <w:ind w:right="260"/>
              <w:rPr>
                <w:b/>
                <w:sz w:val="18"/>
              </w:rPr>
            </w:pPr>
            <w:r>
              <w:rPr>
                <w:b/>
                <w:w w:val="95"/>
                <w:sz w:val="18"/>
              </w:rPr>
              <w:t>(15,761)</w:t>
            </w:r>
          </w:p>
        </w:tc>
        <w:tc>
          <w:tcPr>
            <w:tcW w:w="1103" w:type="dxa"/>
          </w:tcPr>
          <w:p>
            <w:pPr>
              <w:pStyle w:val="TableParagraph"/>
              <w:spacing w:before="18"/>
              <w:ind w:right="290"/>
              <w:rPr>
                <w:b/>
                <w:sz w:val="18"/>
              </w:rPr>
            </w:pPr>
            <w:r>
              <w:rPr>
                <w:b/>
                <w:w w:val="95"/>
                <w:sz w:val="18"/>
              </w:rPr>
              <w:t>15,761</w:t>
            </w:r>
          </w:p>
        </w:tc>
        <w:tc>
          <w:tcPr>
            <w:tcW w:w="876" w:type="dxa"/>
          </w:tcPr>
          <w:p>
            <w:pPr>
              <w:pStyle w:val="TableParagraph"/>
              <w:spacing w:before="18"/>
              <w:ind w:right="33"/>
              <w:rPr>
                <w:b/>
                <w:sz w:val="18"/>
              </w:rPr>
            </w:pPr>
            <w:r>
              <w:rPr>
                <w:b/>
                <w:w w:val="95"/>
                <w:sz w:val="18"/>
              </w:rPr>
              <w:t>15,761</w:t>
            </w:r>
          </w:p>
        </w:tc>
      </w:tr>
    </w:tbl>
    <w:p>
      <w:pPr>
        <w:pStyle w:val="BodyText"/>
        <w:spacing w:before="3"/>
        <w:rPr>
          <w:b/>
        </w:rPr>
      </w:pPr>
      <w:r>
        <w:rPr/>
        <w:pict>
          <v:group style="position:absolute;margin-left:334.869995pt;margin-top:12.458027pt;width:232.4pt;height:1pt;mso-position-horizontal-relative:page;mso-position-vertical-relative:paragraph;z-index:13024;mso-wrap-distance-left:0;mso-wrap-distance-right:0" coordorigin="6697,249" coordsize="4648,20">
            <v:line style="position:absolute" from="6698,250" to="7945,250" stroked="true" strokeweight=".06pt" strokecolor="#000000"/>
            <v:line style="position:absolute" from="6698,251" to="7945,251" stroked="true" strokeweight=".06pt" strokecolor="#000000"/>
            <v:line style="position:absolute" from="6698,253" to="7945,253" stroked="true" strokeweight=".06pt" strokecolor="#000000"/>
            <v:line style="position:absolute" from="6698,254" to="7945,254" stroked="true" strokeweight=".06pt" strokecolor="#000000"/>
            <v:line style="position:absolute" from="6698,255" to="7945,255" stroked="true" strokeweight=".06pt" strokecolor="#000000"/>
            <v:line style="position:absolute" from="6698,256" to="7945,256" stroked="true" strokeweight=".06pt" strokecolor="#000000"/>
            <v:line style="position:absolute" from="6698,257" to="7945,257" stroked="true" strokeweight=".06pt" strokecolor="#000000"/>
            <v:line style="position:absolute" from="6698,259" to="7945,259" stroked="true" strokeweight=".06pt" strokecolor="#000000"/>
            <v:line style="position:absolute" from="6698,260" to="7945,260" stroked="true" strokeweight=".06pt" strokecolor="#000000"/>
            <v:line style="position:absolute" from="6698,261" to="7945,261" stroked="true" strokeweight=".06pt" strokecolor="#000000"/>
            <v:line style="position:absolute" from="6698,262" to="7945,262" stroked="true" strokeweight=".06pt" strokecolor="#000000"/>
            <v:line style="position:absolute" from="6698,263" to="7945,263" stroked="true" strokeweight=".06pt" strokecolor="#000000"/>
            <v:line style="position:absolute" from="6698,265" to="7945,265" stroked="true" strokeweight=".06pt" strokecolor="#000000"/>
            <v:line style="position:absolute" from="6698,266" to="7945,266" stroked="true" strokeweight=".06pt" strokecolor="#000000"/>
            <v:line style="position:absolute" from="6698,267" to="7945,267" stroked="true" strokeweight=".06pt" strokecolor="#000000"/>
            <v:line style="position:absolute" from="6698,268" to="7945,268" stroked="true" strokeweight=".06pt" strokecolor="#000000"/>
            <v:line style="position:absolute" from="7945,250" to="9078,250" stroked="true" strokeweight=".06pt" strokecolor="#000000"/>
            <v:line style="position:absolute" from="7945,251" to="9078,251" stroked="true" strokeweight=".06pt" strokecolor="#000000"/>
            <v:line style="position:absolute" from="7945,253" to="9078,253" stroked="true" strokeweight=".06pt" strokecolor="#000000"/>
            <v:line style="position:absolute" from="7945,254" to="9078,254" stroked="true" strokeweight=".06pt" strokecolor="#000000"/>
            <v:line style="position:absolute" from="7945,255" to="9078,255" stroked="true" strokeweight=".06pt" strokecolor="#000000"/>
            <v:line style="position:absolute" from="7945,256" to="9078,256" stroked="true" strokeweight=".06pt" strokecolor="#000000"/>
            <v:line style="position:absolute" from="7945,257" to="9078,257" stroked="true" strokeweight=".06pt" strokecolor="#000000"/>
            <v:line style="position:absolute" from="7945,259" to="9078,259" stroked="true" strokeweight=".06pt" strokecolor="#000000"/>
            <v:line style="position:absolute" from="7945,260" to="9078,260" stroked="true" strokeweight=".06pt" strokecolor="#000000"/>
            <v:line style="position:absolute" from="7945,261" to="9078,261" stroked="true" strokeweight=".06pt" strokecolor="#000000"/>
            <v:line style="position:absolute" from="7945,262" to="9078,262" stroked="true" strokeweight=".06pt" strokecolor="#000000"/>
            <v:line style="position:absolute" from="7945,263" to="9078,263" stroked="true" strokeweight=".06pt" strokecolor="#000000"/>
            <v:line style="position:absolute" from="7945,265" to="9078,265" stroked="true" strokeweight=".06pt" strokecolor="#000000"/>
            <v:line style="position:absolute" from="7945,266" to="9078,266" stroked="true" strokeweight=".06pt" strokecolor="#000000"/>
            <v:line style="position:absolute" from="7945,267" to="9078,267" stroked="true" strokeweight=".06pt" strokecolor="#000000"/>
            <v:line style="position:absolute" from="7945,268" to="9078,268" stroked="true" strokeweight=".06pt" strokecolor="#000000"/>
            <v:line style="position:absolute" from="9078,250" to="10211,250" stroked="true" strokeweight=".06pt" strokecolor="#000000"/>
            <v:line style="position:absolute" from="9078,251" to="10211,251" stroked="true" strokeweight=".06pt" strokecolor="#000000"/>
            <v:line style="position:absolute" from="9078,253" to="10211,253" stroked="true" strokeweight=".06pt" strokecolor="#000000"/>
            <v:line style="position:absolute" from="9078,254" to="10211,254" stroked="true" strokeweight=".06pt" strokecolor="#000000"/>
            <v:line style="position:absolute" from="9078,255" to="10211,255" stroked="true" strokeweight=".06pt" strokecolor="#000000"/>
            <v:line style="position:absolute" from="9078,256" to="10211,256" stroked="true" strokeweight=".06pt" strokecolor="#000000"/>
            <v:line style="position:absolute" from="9078,257" to="10211,257" stroked="true" strokeweight=".06pt" strokecolor="#000000"/>
            <v:line style="position:absolute" from="9078,259" to="10211,259" stroked="true" strokeweight=".06pt" strokecolor="#000000"/>
            <v:line style="position:absolute" from="9078,260" to="10211,260" stroked="true" strokeweight=".06pt" strokecolor="#000000"/>
            <v:line style="position:absolute" from="9078,261" to="10211,261" stroked="true" strokeweight=".06pt" strokecolor="#000000"/>
            <v:line style="position:absolute" from="9078,262" to="10211,262" stroked="true" strokeweight=".06pt" strokecolor="#000000"/>
            <v:line style="position:absolute" from="9078,263" to="10211,263" stroked="true" strokeweight=".06pt" strokecolor="#000000"/>
            <v:line style="position:absolute" from="9078,265" to="10211,265" stroked="true" strokeweight=".06pt" strokecolor="#000000"/>
            <v:line style="position:absolute" from="9078,266" to="10211,266" stroked="true" strokeweight=".06pt" strokecolor="#000000"/>
            <v:line style="position:absolute" from="9078,267" to="10211,267" stroked="true" strokeweight=".06pt" strokecolor="#000000"/>
            <v:line style="position:absolute" from="9078,268" to="10211,268" stroked="true" strokeweight=".06pt" strokecolor="#000000"/>
            <v:line style="position:absolute" from="10211,250" to="11344,250" stroked="true" strokeweight=".06pt" strokecolor="#000000"/>
            <v:line style="position:absolute" from="10211,251" to="11344,251" stroked="true" strokeweight=".06pt" strokecolor="#000000"/>
            <v:line style="position:absolute" from="10211,253" to="11344,253" stroked="true" strokeweight=".06pt" strokecolor="#000000"/>
            <v:line style="position:absolute" from="10211,254" to="11344,254" stroked="true" strokeweight=".06pt" strokecolor="#000000"/>
            <v:line style="position:absolute" from="10211,255" to="11344,255" stroked="true" strokeweight=".06pt" strokecolor="#000000"/>
            <v:line style="position:absolute" from="10211,256" to="11344,256" stroked="true" strokeweight=".06pt" strokecolor="#000000"/>
            <v:line style="position:absolute" from="10211,257" to="11344,257" stroked="true" strokeweight=".06pt" strokecolor="#000000"/>
            <v:line style="position:absolute" from="10211,259" to="11344,259" stroked="true" strokeweight=".06pt" strokecolor="#000000"/>
            <v:line style="position:absolute" from="10211,260" to="11344,260" stroked="true" strokeweight=".06pt" strokecolor="#000000"/>
            <v:line style="position:absolute" from="10211,261" to="11344,261" stroked="true" strokeweight=".06pt" strokecolor="#000000"/>
            <v:line style="position:absolute" from="10211,262" to="11344,262" stroked="true" strokeweight=".06pt" strokecolor="#000000"/>
            <v:line style="position:absolute" from="10211,263" to="11344,263" stroked="true" strokeweight=".06pt" strokecolor="#000000"/>
            <v:line style="position:absolute" from="10211,265" to="11344,265" stroked="true" strokeweight=".06pt" strokecolor="#000000"/>
            <v:line style="position:absolute" from="10211,266" to="11344,266" stroked="true" strokeweight=".06pt" strokecolor="#000000"/>
            <v:line style="position:absolute" from="10211,267" to="11344,267" stroked="true" strokeweight=".06pt" strokecolor="#000000"/>
            <v:line style="position:absolute" from="10211,268" to="11344,268" stroked="true" strokeweight=".06pt" strokecolor="#000000"/>
            <w10:wrap type="topAndBottom"/>
          </v:group>
        </w:pict>
      </w:r>
    </w:p>
    <w:p>
      <w:pPr>
        <w:tabs>
          <w:tab w:pos="7247" w:val="left" w:leader="none"/>
          <w:tab w:pos="8380" w:val="left" w:leader="none"/>
          <w:tab w:pos="9573" w:val="left" w:leader="none"/>
          <w:tab w:pos="10706" w:val="left" w:leader="none"/>
        </w:tabs>
        <w:spacing w:before="1" w:after="26"/>
        <w:ind w:left="1868" w:right="0" w:firstLine="0"/>
        <w:jc w:val="left"/>
        <w:rPr>
          <w:b/>
          <w:sz w:val="18"/>
        </w:rPr>
      </w:pPr>
      <w:r>
        <w:rPr>
          <w:b/>
          <w:sz w:val="18"/>
        </w:rPr>
        <w:t>Total</w:t>
      </w:r>
      <w:r>
        <w:rPr>
          <w:b/>
          <w:spacing w:val="-9"/>
          <w:sz w:val="18"/>
        </w:rPr>
        <w:t> </w:t>
      </w:r>
      <w:r>
        <w:rPr>
          <w:b/>
          <w:sz w:val="18"/>
        </w:rPr>
        <w:t>increase/(decrease)</w:t>
        <w:tab/>
        <w:t>(22,235)</w:t>
        <w:tab/>
        <w:t>(22,235)</w:t>
        <w:tab/>
        <w:t>22,235</w:t>
        <w:tab/>
        <w:t>22,235</w:t>
      </w:r>
    </w:p>
    <w:p>
      <w:pPr>
        <w:pStyle w:val="BodyText"/>
        <w:spacing w:line="20" w:lineRule="exact"/>
        <w:ind w:left="6697"/>
        <w:rPr>
          <w:sz w:val="2"/>
        </w:rPr>
      </w:pPr>
      <w:r>
        <w:rPr>
          <w:sz w:val="2"/>
        </w:rPr>
        <w:pict>
          <v:group style="width:232.4pt;height:1pt;mso-position-horizontal-relative:char;mso-position-vertical-relative:line" coordorigin="0,0" coordsize="4648,20">
            <v:line style="position:absolute" from="1,1" to="1248,1" stroked="true" strokeweight=".06pt" strokecolor="#000000"/>
            <v:line style="position:absolute" from="1,2" to="1248,2" stroked="true" strokeweight=".06pt" strokecolor="#000000"/>
            <v:line style="position:absolute" from="1,3" to="1248,3" stroked="true" strokeweight=".06pt" strokecolor="#000000"/>
            <v:line style="position:absolute" from="1,5" to="1248,5" stroked="true" strokeweight=".06pt" strokecolor="#000000"/>
            <v:line style="position:absolute" from="1,6" to="1248,6" stroked="true" strokeweight=".06pt" strokecolor="#000000"/>
            <v:line style="position:absolute" from="1,7" to="1248,7" stroked="true" strokeweight=".06pt" strokecolor="#000000"/>
            <v:line style="position:absolute" from="1,8" to="1248,8" stroked="true" strokeweight=".06pt" strokecolor="#000000"/>
            <v:line style="position:absolute" from="1,9" to="1248,9" stroked="true" strokeweight=".06pt" strokecolor="#000000"/>
            <v:line style="position:absolute" from="1,11" to="1248,11" stroked="true" strokeweight=".06pt" strokecolor="#000000"/>
            <v:line style="position:absolute" from="1,12" to="1248,12" stroked="true" strokeweight=".06pt" strokecolor="#000000"/>
            <v:line style="position:absolute" from="1,13" to="1248,13" stroked="true" strokeweight=".06pt" strokecolor="#000000"/>
            <v:line style="position:absolute" from="1,14" to="1248,14" stroked="true" strokeweight=".06pt" strokecolor="#000000"/>
            <v:line style="position:absolute" from="1,15" to="1248,15" stroked="true" strokeweight=".06pt" strokecolor="#000000"/>
            <v:line style="position:absolute" from="1,17" to="1248,17" stroked="true" strokeweight=".06pt" strokecolor="#000000"/>
            <v:line style="position:absolute" from="1,18" to="1248,18" stroked="true" strokeweight=".06pt" strokecolor="#000000"/>
            <v:line style="position:absolute" from="1,19" to="1248,19" stroked="true" strokeweight=".06pt" strokecolor="#000000"/>
            <v:line style="position:absolute" from="1248,1" to="2381,1" stroked="true" strokeweight=".06pt" strokecolor="#000000"/>
            <v:line style="position:absolute" from="1248,2" to="2381,2" stroked="true" strokeweight=".06pt" strokecolor="#000000"/>
            <v:line style="position:absolute" from="1248,3" to="2381,3" stroked="true" strokeweight=".06pt" strokecolor="#000000"/>
            <v:line style="position:absolute" from="1248,5" to="2381,5" stroked="true" strokeweight=".06pt" strokecolor="#000000"/>
            <v:line style="position:absolute" from="1248,6" to="2381,6" stroked="true" strokeweight=".06pt" strokecolor="#000000"/>
            <v:line style="position:absolute" from="1248,7" to="2381,7" stroked="true" strokeweight=".06pt" strokecolor="#000000"/>
            <v:line style="position:absolute" from="1248,8" to="2381,8" stroked="true" strokeweight=".06pt" strokecolor="#000000"/>
            <v:line style="position:absolute" from="1248,9" to="2381,9" stroked="true" strokeweight=".06pt" strokecolor="#000000"/>
            <v:line style="position:absolute" from="1248,11" to="2381,11" stroked="true" strokeweight=".06pt" strokecolor="#000000"/>
            <v:line style="position:absolute" from="1248,12" to="2381,12" stroked="true" strokeweight=".06pt" strokecolor="#000000"/>
            <v:line style="position:absolute" from="1248,13" to="2381,13" stroked="true" strokeweight=".06pt" strokecolor="#000000"/>
            <v:line style="position:absolute" from="1248,14" to="2381,14" stroked="true" strokeweight=".06pt" strokecolor="#000000"/>
            <v:line style="position:absolute" from="1248,15" to="2381,15" stroked="true" strokeweight=".06pt" strokecolor="#000000"/>
            <v:line style="position:absolute" from="1248,17" to="2381,17" stroked="true" strokeweight=".06pt" strokecolor="#000000"/>
            <v:line style="position:absolute" from="1248,18" to="2381,18" stroked="true" strokeweight=".06pt" strokecolor="#000000"/>
            <v:line style="position:absolute" from="1248,19" to="2381,19" stroked="true" strokeweight=".06pt" strokecolor="#000000"/>
            <v:line style="position:absolute" from="2381,1" to="3513,1" stroked="true" strokeweight=".06pt" strokecolor="#000000"/>
            <v:line style="position:absolute" from="2381,2" to="3513,2" stroked="true" strokeweight=".06pt" strokecolor="#000000"/>
            <v:line style="position:absolute" from="2381,3" to="3513,3" stroked="true" strokeweight=".06pt" strokecolor="#000000"/>
            <v:line style="position:absolute" from="2381,5" to="3513,5" stroked="true" strokeweight=".06pt" strokecolor="#000000"/>
            <v:line style="position:absolute" from="2381,6" to="3513,6" stroked="true" strokeweight=".06pt" strokecolor="#000000"/>
            <v:line style="position:absolute" from="2381,7" to="3513,7" stroked="true" strokeweight=".06pt" strokecolor="#000000"/>
            <v:line style="position:absolute" from="2381,8" to="3513,8" stroked="true" strokeweight=".06pt" strokecolor="#000000"/>
            <v:line style="position:absolute" from="2381,9" to="3513,9" stroked="true" strokeweight=".06pt" strokecolor="#000000"/>
            <v:line style="position:absolute" from="2381,11" to="3513,11" stroked="true" strokeweight=".06pt" strokecolor="#000000"/>
            <v:line style="position:absolute" from="2381,12" to="3513,12" stroked="true" strokeweight=".06pt" strokecolor="#000000"/>
            <v:line style="position:absolute" from="2381,13" to="3513,13" stroked="true" strokeweight=".06pt" strokecolor="#000000"/>
            <v:line style="position:absolute" from="2381,14" to="3513,14" stroked="true" strokeweight=".06pt" strokecolor="#000000"/>
            <v:line style="position:absolute" from="2381,15" to="3513,15" stroked="true" strokeweight=".06pt" strokecolor="#000000"/>
            <v:line style="position:absolute" from="2381,17" to="3513,17" stroked="true" strokeweight=".06pt" strokecolor="#000000"/>
            <v:line style="position:absolute" from="2381,18" to="3513,18" stroked="true" strokeweight=".06pt" strokecolor="#000000"/>
            <v:line style="position:absolute" from="2381,19" to="3513,19" stroked="true" strokeweight=".06pt" strokecolor="#000000"/>
            <v:line style="position:absolute" from="3513,1" to="4646,1" stroked="true" strokeweight=".06pt" strokecolor="#000000"/>
            <v:line style="position:absolute" from="3513,2" to="4646,2" stroked="true" strokeweight=".06pt" strokecolor="#000000"/>
            <v:line style="position:absolute" from="3513,3" to="4646,3" stroked="true" strokeweight=".06pt" strokecolor="#000000"/>
            <v:line style="position:absolute" from="3513,5" to="4646,5" stroked="true" strokeweight=".06pt" strokecolor="#000000"/>
            <v:line style="position:absolute" from="3513,6" to="4646,6" stroked="true" strokeweight=".06pt" strokecolor="#000000"/>
            <v:line style="position:absolute" from="3513,7" to="4646,7" stroked="true" strokeweight=".06pt" strokecolor="#000000"/>
            <v:line style="position:absolute" from="3513,8" to="4646,8" stroked="true" strokeweight=".06pt" strokecolor="#000000"/>
            <v:line style="position:absolute" from="3513,9" to="4646,9" stroked="true" strokeweight=".06pt" strokecolor="#000000"/>
            <v:line style="position:absolute" from="3513,11" to="4646,11" stroked="true" strokeweight=".06pt" strokecolor="#000000"/>
            <v:line style="position:absolute" from="3513,12" to="4646,12" stroked="true" strokeweight=".06pt" strokecolor="#000000"/>
            <v:line style="position:absolute" from="3513,13" to="4646,13" stroked="true" strokeweight=".06pt" strokecolor="#000000"/>
            <v:line style="position:absolute" from="3513,14" to="4646,14" stroked="true" strokeweight=".06pt" strokecolor="#000000"/>
            <v:line style="position:absolute" from="3513,15" to="4646,15" stroked="true" strokeweight=".06pt" strokecolor="#000000"/>
            <v:line style="position:absolute" from="3513,17" to="4646,17" stroked="true" strokeweight=".06pt" strokecolor="#000000"/>
            <v:line style="position:absolute" from="3513,18" to="4646,18" stroked="true" strokeweight=".06pt" strokecolor="#000000"/>
            <v:line style="position:absolute" from="3513,19" to="4646,19" stroked="true" strokeweight=".06pt" strokecolor="#000000"/>
          </v:group>
        </w:pict>
      </w:r>
      <w:r>
        <w:rPr>
          <w:sz w:val="2"/>
        </w:rPr>
      </w:r>
    </w:p>
    <w:p>
      <w:pPr>
        <w:pStyle w:val="BodyText"/>
        <w:rPr>
          <w:b/>
          <w:sz w:val="20"/>
        </w:rPr>
      </w:pPr>
    </w:p>
    <w:p>
      <w:pPr>
        <w:pStyle w:val="BodyText"/>
        <w:rPr>
          <w:b/>
          <w:sz w:val="20"/>
        </w:rPr>
      </w:pPr>
    </w:p>
    <w:p>
      <w:pPr>
        <w:pStyle w:val="BodyText"/>
        <w:rPr>
          <w:b/>
          <w:sz w:val="17"/>
        </w:rPr>
      </w:pPr>
    </w:p>
    <w:p>
      <w:pPr>
        <w:tabs>
          <w:tab w:pos="8323" w:val="left" w:leader="none"/>
        </w:tabs>
        <w:spacing w:before="0"/>
        <w:ind w:left="1868" w:right="0" w:firstLine="0"/>
        <w:jc w:val="left"/>
        <w:rPr>
          <w:b/>
          <w:sz w:val="18"/>
        </w:rPr>
      </w:pPr>
      <w:r>
        <w:rPr/>
        <w:drawing>
          <wp:anchor distT="0" distB="0" distL="0" distR="0" allowOverlap="1" layoutInCell="1" locked="0" behindDoc="0" simplePos="0" relativeHeight="13120">
            <wp:simplePos x="0" y="0"/>
            <wp:positionH relativeFrom="page">
              <wp:posOffset>-1587</wp:posOffset>
            </wp:positionH>
            <wp:positionV relativeFrom="paragraph">
              <wp:posOffset>-553289</wp:posOffset>
            </wp:positionV>
            <wp:extent cx="136525" cy="155575"/>
            <wp:effectExtent l="0" t="0" r="0" b="0"/>
            <wp:wrapNone/>
            <wp:docPr id="875" name="image13.png" descr=""/>
            <wp:cNvGraphicFramePr>
              <a:graphicFrameLocks noChangeAspect="1"/>
            </wp:cNvGraphicFramePr>
            <a:graphic>
              <a:graphicData uri="http://schemas.openxmlformats.org/drawingml/2006/picture">
                <pic:pic>
                  <pic:nvPicPr>
                    <pic:cNvPr id="876" name="image13.png"/>
                    <pic:cNvPicPr/>
                  </pic:nvPicPr>
                  <pic:blipFill>
                    <a:blip r:embed="rId18" cstate="print"/>
                    <a:stretch>
                      <a:fillRect/>
                    </a:stretch>
                  </pic:blipFill>
                  <pic:spPr>
                    <a:xfrm>
                      <a:off x="0" y="0"/>
                      <a:ext cx="136525" cy="155575"/>
                    </a:xfrm>
                    <a:prstGeom prst="rect">
                      <a:avLst/>
                    </a:prstGeom>
                  </pic:spPr>
                </pic:pic>
              </a:graphicData>
            </a:graphic>
          </wp:anchor>
        </w:drawing>
      </w:r>
      <w:r>
        <w:rPr/>
        <w:drawing>
          <wp:anchor distT="0" distB="0" distL="0" distR="0" allowOverlap="1" layoutInCell="1" locked="0" behindDoc="0" simplePos="0" relativeHeight="13144">
            <wp:simplePos x="0" y="0"/>
            <wp:positionH relativeFrom="page">
              <wp:posOffset>7958429</wp:posOffset>
            </wp:positionH>
            <wp:positionV relativeFrom="paragraph">
              <wp:posOffset>-553289</wp:posOffset>
            </wp:positionV>
            <wp:extent cx="135953" cy="155575"/>
            <wp:effectExtent l="0" t="0" r="0" b="0"/>
            <wp:wrapNone/>
            <wp:docPr id="877" name="image15.png" descr=""/>
            <wp:cNvGraphicFramePr>
              <a:graphicFrameLocks noChangeAspect="1"/>
            </wp:cNvGraphicFramePr>
            <a:graphic>
              <a:graphicData uri="http://schemas.openxmlformats.org/drawingml/2006/picture">
                <pic:pic>
                  <pic:nvPicPr>
                    <pic:cNvPr id="878" name="image15.png"/>
                    <pic:cNvPicPr/>
                  </pic:nvPicPr>
                  <pic:blipFill>
                    <a:blip r:embed="rId20" cstate="print"/>
                    <a:stretch>
                      <a:fillRect/>
                    </a:stretch>
                  </pic:blipFill>
                  <pic:spPr>
                    <a:xfrm>
                      <a:off x="0" y="0"/>
                      <a:ext cx="135953" cy="155575"/>
                    </a:xfrm>
                    <a:prstGeom prst="rect">
                      <a:avLst/>
                    </a:prstGeom>
                  </pic:spPr>
                </pic:pic>
              </a:graphicData>
            </a:graphic>
          </wp:anchor>
        </w:drawing>
      </w:r>
      <w:r>
        <w:rPr>
          <w:b/>
          <w:sz w:val="18"/>
        </w:rPr>
        <w:t>31</w:t>
      </w:r>
      <w:r>
        <w:rPr>
          <w:b/>
          <w:spacing w:val="-4"/>
          <w:sz w:val="18"/>
        </w:rPr>
        <w:t> </w:t>
      </w:r>
      <w:r>
        <w:rPr>
          <w:b/>
          <w:sz w:val="18"/>
        </w:rPr>
        <w:t>December</w:t>
      </w:r>
      <w:r>
        <w:rPr>
          <w:b/>
          <w:spacing w:val="-4"/>
          <w:sz w:val="18"/>
        </w:rPr>
        <w:t> </w:t>
      </w:r>
      <w:r>
        <w:rPr>
          <w:b/>
          <w:sz w:val="18"/>
        </w:rPr>
        <w:t>2015</w:t>
        <w:tab/>
        <w:t>Interest rate</w:t>
      </w:r>
      <w:r>
        <w:rPr>
          <w:b/>
          <w:spacing w:val="-17"/>
          <w:sz w:val="18"/>
        </w:rPr>
        <w:t> </w:t>
      </w:r>
      <w:r>
        <w:rPr>
          <w:b/>
          <w:sz w:val="18"/>
        </w:rPr>
        <w:t>risk</w:t>
      </w:r>
    </w:p>
    <w:p>
      <w:pPr>
        <w:tabs>
          <w:tab w:pos="10029" w:val="left" w:leader="none"/>
        </w:tabs>
        <w:spacing w:before="66"/>
        <w:ind w:left="7729" w:right="0" w:firstLine="0"/>
        <w:jc w:val="left"/>
        <w:rPr>
          <w:b/>
          <w:sz w:val="18"/>
        </w:rPr>
      </w:pPr>
      <w:r>
        <w:rPr>
          <w:b/>
          <w:sz w:val="18"/>
        </w:rPr>
        <w:t>-1%</w:t>
        <w:tab/>
        <w:t>+1%</w:t>
      </w:r>
    </w:p>
    <w:p>
      <w:pPr>
        <w:spacing w:after="0"/>
        <w:jc w:val="left"/>
        <w:rPr>
          <w:sz w:val="18"/>
        </w:rPr>
        <w:sectPr>
          <w:type w:val="continuous"/>
          <w:pgSz w:w="12750" w:h="17680"/>
          <w:pgMar w:top="1660" w:bottom="0" w:left="0" w:right="0"/>
        </w:sectPr>
      </w:pPr>
    </w:p>
    <w:p>
      <w:pPr>
        <w:pStyle w:val="BodyText"/>
        <w:rPr>
          <w:b/>
        </w:rPr>
      </w:pPr>
    </w:p>
    <w:p>
      <w:pPr>
        <w:pStyle w:val="BodyText"/>
        <w:rPr>
          <w:b/>
        </w:rPr>
      </w:pPr>
    </w:p>
    <w:p>
      <w:pPr>
        <w:pStyle w:val="BodyText"/>
        <w:rPr>
          <w:b/>
        </w:rPr>
      </w:pPr>
    </w:p>
    <w:p>
      <w:pPr>
        <w:pStyle w:val="BodyText"/>
        <w:spacing w:before="2"/>
        <w:rPr>
          <w:b/>
          <w:sz w:val="24"/>
        </w:rPr>
      </w:pPr>
    </w:p>
    <w:p>
      <w:pPr>
        <w:spacing w:before="0"/>
        <w:ind w:left="1868" w:right="-20" w:firstLine="0"/>
        <w:jc w:val="left"/>
        <w:rPr>
          <w:b/>
          <w:sz w:val="18"/>
        </w:rPr>
      </w:pPr>
      <w:r>
        <w:rPr>
          <w:b/>
          <w:sz w:val="18"/>
        </w:rPr>
        <w:t>Financial assets</w:t>
      </w:r>
    </w:p>
    <w:p>
      <w:pPr>
        <w:spacing w:before="66"/>
        <w:ind w:left="1911" w:right="0" w:hanging="44"/>
        <w:jc w:val="right"/>
        <w:rPr>
          <w:b/>
          <w:sz w:val="18"/>
        </w:rPr>
      </w:pPr>
      <w:r>
        <w:rPr/>
        <w:br w:type="column"/>
      </w:r>
      <w:r>
        <w:rPr>
          <w:b/>
          <w:w w:val="95"/>
          <w:sz w:val="18"/>
        </w:rPr>
        <w:t>Carrying </w:t>
      </w:r>
      <w:r>
        <w:rPr>
          <w:b/>
          <w:sz w:val="18"/>
        </w:rPr>
        <w:t>amount</w:t>
      </w:r>
    </w:p>
    <w:p>
      <w:pPr>
        <w:spacing w:before="66"/>
        <w:ind w:left="0" w:right="315" w:firstLine="0"/>
        <w:jc w:val="right"/>
        <w:rPr>
          <w:b/>
          <w:sz w:val="18"/>
        </w:rPr>
      </w:pPr>
      <w:r>
        <w:rPr>
          <w:b/>
          <w:w w:val="99"/>
          <w:sz w:val="18"/>
        </w:rPr>
        <w:t>$</w:t>
      </w:r>
    </w:p>
    <w:p>
      <w:pPr>
        <w:pStyle w:val="BodyText"/>
        <w:spacing w:before="8"/>
        <w:rPr>
          <w:b/>
          <w:sz w:val="23"/>
        </w:rPr>
      </w:pPr>
      <w:r>
        <w:rPr/>
        <w:br w:type="column"/>
      </w:r>
      <w:r>
        <w:rPr>
          <w:b/>
          <w:sz w:val="23"/>
        </w:rPr>
      </w:r>
    </w:p>
    <w:p>
      <w:pPr>
        <w:spacing w:before="0"/>
        <w:ind w:left="450" w:right="0" w:firstLine="0"/>
        <w:jc w:val="center"/>
        <w:rPr>
          <w:b/>
          <w:sz w:val="18"/>
        </w:rPr>
      </w:pPr>
      <w:r>
        <w:rPr>
          <w:b/>
          <w:spacing w:val="-1"/>
          <w:sz w:val="18"/>
        </w:rPr>
        <w:t>Result</w:t>
      </w:r>
    </w:p>
    <w:p>
      <w:pPr>
        <w:spacing w:before="66"/>
        <w:ind w:left="0" w:right="221" w:firstLine="0"/>
        <w:jc w:val="right"/>
        <w:rPr>
          <w:b/>
          <w:sz w:val="18"/>
        </w:rPr>
      </w:pPr>
      <w:r>
        <w:rPr>
          <w:b/>
          <w:w w:val="99"/>
          <w:sz w:val="18"/>
        </w:rPr>
        <w:t>$</w:t>
      </w:r>
    </w:p>
    <w:p>
      <w:pPr>
        <w:pStyle w:val="BodyText"/>
        <w:spacing w:before="8"/>
        <w:rPr>
          <w:b/>
          <w:sz w:val="23"/>
        </w:rPr>
      </w:pPr>
      <w:r>
        <w:rPr/>
        <w:br w:type="column"/>
      </w:r>
      <w:r>
        <w:rPr>
          <w:b/>
          <w:sz w:val="23"/>
        </w:rPr>
      </w:r>
    </w:p>
    <w:p>
      <w:pPr>
        <w:spacing w:before="0"/>
        <w:ind w:left="599" w:right="0" w:firstLine="0"/>
        <w:jc w:val="center"/>
        <w:rPr>
          <w:b/>
          <w:sz w:val="18"/>
        </w:rPr>
      </w:pPr>
      <w:r>
        <w:rPr>
          <w:b/>
          <w:sz w:val="18"/>
        </w:rPr>
        <w:t>Equity</w:t>
      </w:r>
    </w:p>
    <w:p>
      <w:pPr>
        <w:spacing w:before="66"/>
        <w:ind w:left="0" w:right="223" w:firstLine="0"/>
        <w:jc w:val="right"/>
        <w:rPr>
          <w:b/>
          <w:sz w:val="18"/>
        </w:rPr>
      </w:pPr>
      <w:r>
        <w:rPr>
          <w:b/>
          <w:w w:val="99"/>
          <w:sz w:val="18"/>
        </w:rPr>
        <w:t>$</w:t>
      </w:r>
    </w:p>
    <w:p>
      <w:pPr>
        <w:pStyle w:val="BodyText"/>
        <w:spacing w:before="8"/>
        <w:rPr>
          <w:b/>
          <w:sz w:val="23"/>
        </w:rPr>
      </w:pPr>
      <w:r>
        <w:rPr/>
        <w:br w:type="column"/>
      </w:r>
      <w:r>
        <w:rPr>
          <w:b/>
          <w:sz w:val="23"/>
        </w:rPr>
      </w:r>
    </w:p>
    <w:p>
      <w:pPr>
        <w:spacing w:before="0"/>
        <w:ind w:left="541" w:right="0" w:firstLine="0"/>
        <w:jc w:val="center"/>
        <w:rPr>
          <w:b/>
          <w:sz w:val="18"/>
        </w:rPr>
      </w:pPr>
      <w:r>
        <w:rPr>
          <w:b/>
          <w:spacing w:val="-1"/>
          <w:sz w:val="18"/>
        </w:rPr>
        <w:t>Result</w:t>
      </w:r>
    </w:p>
    <w:p>
      <w:pPr>
        <w:spacing w:before="66"/>
        <w:ind w:left="0" w:right="221" w:firstLine="0"/>
        <w:jc w:val="right"/>
        <w:rPr>
          <w:b/>
          <w:sz w:val="18"/>
        </w:rPr>
      </w:pPr>
      <w:r>
        <w:rPr>
          <w:b/>
          <w:w w:val="99"/>
          <w:sz w:val="18"/>
        </w:rPr>
        <w:t>$</w:t>
      </w:r>
    </w:p>
    <w:p>
      <w:pPr>
        <w:pStyle w:val="BodyText"/>
        <w:spacing w:before="8"/>
        <w:rPr>
          <w:b/>
          <w:sz w:val="23"/>
        </w:rPr>
      </w:pPr>
      <w:r>
        <w:rPr/>
        <w:br w:type="column"/>
      </w:r>
      <w:r>
        <w:rPr>
          <w:b/>
          <w:sz w:val="23"/>
        </w:rPr>
      </w:r>
    </w:p>
    <w:p>
      <w:pPr>
        <w:spacing w:before="0"/>
        <w:ind w:left="527" w:right="1673" w:firstLine="0"/>
        <w:jc w:val="center"/>
        <w:rPr>
          <w:b/>
          <w:sz w:val="18"/>
        </w:rPr>
      </w:pPr>
      <w:r>
        <w:rPr>
          <w:b/>
          <w:sz w:val="18"/>
        </w:rPr>
        <w:t>Equity</w:t>
      </w:r>
    </w:p>
    <w:p>
      <w:pPr>
        <w:spacing w:before="66"/>
        <w:ind w:left="0" w:right="1146" w:firstLine="0"/>
        <w:jc w:val="center"/>
        <w:rPr>
          <w:b/>
          <w:sz w:val="18"/>
        </w:rPr>
      </w:pPr>
      <w:r>
        <w:rPr>
          <w:b/>
          <w:w w:val="99"/>
          <w:sz w:val="18"/>
        </w:rPr>
        <w:t>$</w:t>
      </w:r>
    </w:p>
    <w:p>
      <w:pPr>
        <w:spacing w:after="0"/>
        <w:jc w:val="center"/>
        <w:rPr>
          <w:sz w:val="18"/>
        </w:rPr>
        <w:sectPr>
          <w:type w:val="continuous"/>
          <w:pgSz w:w="12750" w:h="17680"/>
          <w:pgMar w:top="1660" w:bottom="0" w:left="0" w:right="0"/>
          <w:cols w:num="6" w:equalWidth="0">
            <w:col w:w="3259" w:space="691"/>
            <w:col w:w="2606" w:space="40"/>
            <w:col w:w="1000" w:space="40"/>
            <w:col w:w="1152" w:space="40"/>
            <w:col w:w="1091" w:space="40"/>
            <w:col w:w="2791"/>
          </w:cols>
        </w:sectPr>
      </w:pPr>
    </w:p>
    <w:p>
      <w:pPr>
        <w:pStyle w:val="BodyText"/>
        <w:spacing w:before="1"/>
        <w:rPr>
          <w:b/>
          <w:sz w:val="3"/>
        </w:rPr>
      </w:pPr>
    </w:p>
    <w:tbl>
      <w:tblPr>
        <w:tblW w:w="0" w:type="auto"/>
        <w:jc w:val="left"/>
        <w:tblInd w:w="204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162"/>
        <w:gridCol w:w="1719"/>
        <w:gridCol w:w="1220"/>
        <w:gridCol w:w="1163"/>
        <w:gridCol w:w="1103"/>
        <w:gridCol w:w="876"/>
      </w:tblGrid>
      <w:tr>
        <w:trPr>
          <w:trHeight w:val="238" w:hRule="exact"/>
        </w:trPr>
        <w:tc>
          <w:tcPr>
            <w:tcW w:w="3162" w:type="dxa"/>
          </w:tcPr>
          <w:p>
            <w:pPr>
              <w:pStyle w:val="TableParagraph"/>
              <w:spacing w:line="200" w:lineRule="exact"/>
              <w:ind w:left="35"/>
              <w:jc w:val="left"/>
              <w:rPr>
                <w:sz w:val="18"/>
              </w:rPr>
            </w:pPr>
            <w:r>
              <w:rPr>
                <w:sz w:val="18"/>
              </w:rPr>
              <w:t>Cash and Cash Equivalents</w:t>
            </w:r>
          </w:p>
        </w:tc>
        <w:tc>
          <w:tcPr>
            <w:tcW w:w="1719" w:type="dxa"/>
          </w:tcPr>
          <w:p>
            <w:pPr>
              <w:pStyle w:val="TableParagraph"/>
              <w:spacing w:line="199" w:lineRule="exact"/>
              <w:ind w:right="317"/>
              <w:rPr>
                <w:sz w:val="18"/>
              </w:rPr>
            </w:pPr>
            <w:r>
              <w:rPr>
                <w:w w:val="95"/>
                <w:sz w:val="18"/>
              </w:rPr>
              <w:t>555,260</w:t>
            </w:r>
          </w:p>
        </w:tc>
        <w:tc>
          <w:tcPr>
            <w:tcW w:w="1220" w:type="dxa"/>
          </w:tcPr>
          <w:p>
            <w:pPr>
              <w:pStyle w:val="TableParagraph"/>
              <w:spacing w:line="199" w:lineRule="exact"/>
              <w:ind w:right="230"/>
              <w:rPr>
                <w:sz w:val="18"/>
              </w:rPr>
            </w:pPr>
            <w:r>
              <w:rPr>
                <w:w w:val="95"/>
                <w:sz w:val="18"/>
              </w:rPr>
              <w:t>(5,553)</w:t>
            </w:r>
          </w:p>
        </w:tc>
        <w:tc>
          <w:tcPr>
            <w:tcW w:w="1163" w:type="dxa"/>
          </w:tcPr>
          <w:p>
            <w:pPr>
              <w:pStyle w:val="TableParagraph"/>
              <w:spacing w:line="199" w:lineRule="exact"/>
              <w:ind w:right="260"/>
              <w:rPr>
                <w:sz w:val="18"/>
              </w:rPr>
            </w:pPr>
            <w:r>
              <w:rPr>
                <w:w w:val="95"/>
                <w:sz w:val="18"/>
              </w:rPr>
              <w:t>(5,553)</w:t>
            </w:r>
          </w:p>
        </w:tc>
        <w:tc>
          <w:tcPr>
            <w:tcW w:w="1103" w:type="dxa"/>
          </w:tcPr>
          <w:p>
            <w:pPr>
              <w:pStyle w:val="TableParagraph"/>
              <w:spacing w:line="199" w:lineRule="exact"/>
              <w:ind w:right="290"/>
              <w:rPr>
                <w:sz w:val="18"/>
              </w:rPr>
            </w:pPr>
            <w:r>
              <w:rPr>
                <w:sz w:val="18"/>
              </w:rPr>
              <w:t>5,553</w:t>
            </w:r>
          </w:p>
        </w:tc>
        <w:tc>
          <w:tcPr>
            <w:tcW w:w="876" w:type="dxa"/>
          </w:tcPr>
          <w:p>
            <w:pPr>
              <w:pStyle w:val="TableParagraph"/>
              <w:spacing w:line="199" w:lineRule="exact"/>
              <w:ind w:right="33"/>
              <w:rPr>
                <w:sz w:val="18"/>
              </w:rPr>
            </w:pPr>
            <w:r>
              <w:rPr>
                <w:sz w:val="18"/>
              </w:rPr>
              <w:t>5,553</w:t>
            </w:r>
          </w:p>
        </w:tc>
      </w:tr>
      <w:tr>
        <w:trPr>
          <w:trHeight w:val="323" w:hRule="exact"/>
        </w:trPr>
        <w:tc>
          <w:tcPr>
            <w:tcW w:w="3162" w:type="dxa"/>
          </w:tcPr>
          <w:p>
            <w:pPr>
              <w:pStyle w:val="TableParagraph"/>
              <w:spacing w:before="19"/>
              <w:ind w:left="35"/>
              <w:jc w:val="left"/>
              <w:rPr>
                <w:sz w:val="18"/>
              </w:rPr>
            </w:pPr>
            <w:r>
              <w:rPr>
                <w:sz w:val="18"/>
              </w:rPr>
              <w:t>Loan Receivable - Parent Entity</w:t>
            </w:r>
          </w:p>
        </w:tc>
        <w:tc>
          <w:tcPr>
            <w:tcW w:w="1719" w:type="dxa"/>
          </w:tcPr>
          <w:p>
            <w:pPr>
              <w:pStyle w:val="TableParagraph"/>
              <w:spacing w:before="18"/>
              <w:ind w:right="317"/>
              <w:rPr>
                <w:sz w:val="18"/>
              </w:rPr>
            </w:pPr>
            <w:r>
              <w:rPr>
                <w:w w:val="95"/>
                <w:sz w:val="18"/>
              </w:rPr>
              <w:t>1,187,436</w:t>
            </w:r>
          </w:p>
        </w:tc>
        <w:tc>
          <w:tcPr>
            <w:tcW w:w="1220" w:type="dxa"/>
          </w:tcPr>
          <w:p>
            <w:pPr>
              <w:pStyle w:val="TableParagraph"/>
              <w:spacing w:before="18"/>
              <w:ind w:right="230"/>
              <w:rPr>
                <w:sz w:val="18"/>
              </w:rPr>
            </w:pPr>
            <w:r>
              <w:rPr>
                <w:w w:val="95"/>
                <w:sz w:val="18"/>
              </w:rPr>
              <w:t>(11,874)</w:t>
            </w:r>
          </w:p>
        </w:tc>
        <w:tc>
          <w:tcPr>
            <w:tcW w:w="1163" w:type="dxa"/>
          </w:tcPr>
          <w:p>
            <w:pPr>
              <w:pStyle w:val="TableParagraph"/>
              <w:spacing w:before="18"/>
              <w:ind w:right="260"/>
              <w:rPr>
                <w:sz w:val="18"/>
              </w:rPr>
            </w:pPr>
            <w:r>
              <w:rPr>
                <w:w w:val="95"/>
                <w:sz w:val="18"/>
              </w:rPr>
              <w:t>(11,874)</w:t>
            </w:r>
          </w:p>
        </w:tc>
        <w:tc>
          <w:tcPr>
            <w:tcW w:w="1103" w:type="dxa"/>
          </w:tcPr>
          <w:p>
            <w:pPr>
              <w:pStyle w:val="TableParagraph"/>
              <w:spacing w:before="18"/>
              <w:ind w:right="290"/>
              <w:rPr>
                <w:sz w:val="18"/>
              </w:rPr>
            </w:pPr>
            <w:r>
              <w:rPr>
                <w:w w:val="95"/>
                <w:sz w:val="18"/>
              </w:rPr>
              <w:t>11,874</w:t>
            </w:r>
          </w:p>
        </w:tc>
        <w:tc>
          <w:tcPr>
            <w:tcW w:w="876" w:type="dxa"/>
          </w:tcPr>
          <w:p>
            <w:pPr>
              <w:pStyle w:val="TableParagraph"/>
              <w:spacing w:before="18"/>
              <w:ind w:right="33"/>
              <w:rPr>
                <w:sz w:val="18"/>
              </w:rPr>
            </w:pPr>
            <w:r>
              <w:rPr>
                <w:w w:val="95"/>
                <w:sz w:val="18"/>
              </w:rPr>
              <w:t>11,874</w:t>
            </w:r>
          </w:p>
        </w:tc>
      </w:tr>
    </w:tbl>
    <w:p>
      <w:pPr>
        <w:pStyle w:val="BodyText"/>
        <w:spacing w:before="3"/>
        <w:rPr>
          <w:b/>
        </w:rPr>
      </w:pPr>
      <w:r>
        <w:rPr/>
        <w:pict>
          <v:group style="position:absolute;margin-left:334.869995pt;margin-top:12.467917pt;width:232.4pt;height:1pt;mso-position-horizontal-relative:page;mso-position-vertical-relative:paragraph;z-index:13072;mso-wrap-distance-left:0;mso-wrap-distance-right:0" coordorigin="6697,249" coordsize="4648,20">
            <v:line style="position:absolute" from="6698,250" to="7945,250" stroked="true" strokeweight=".06pt" strokecolor="#000000"/>
            <v:line style="position:absolute" from="6698,252" to="7945,252" stroked="true" strokeweight=".06pt" strokecolor="#000000"/>
            <v:line style="position:absolute" from="6698,253" to="7945,253" stroked="true" strokeweight=".06pt" strokecolor="#000000"/>
            <v:line style="position:absolute" from="6698,254" to="7945,254" stroked="true" strokeweight=".06pt" strokecolor="#000000"/>
            <v:line style="position:absolute" from="6698,255" to="7945,255" stroked="true" strokeweight=".06pt" strokecolor="#000000"/>
            <v:line style="position:absolute" from="6698,256" to="7945,256" stroked="true" strokeweight=".06pt" strokecolor="#000000"/>
            <v:line style="position:absolute" from="6698,258" to="7945,258" stroked="true" strokeweight=".06pt" strokecolor="#000000"/>
            <v:line style="position:absolute" from="6698,259" to="7945,259" stroked="true" strokeweight=".06pt" strokecolor="#000000"/>
            <v:line style="position:absolute" from="6698,260" to="7945,260" stroked="true" strokeweight=".06pt" strokecolor="#000000"/>
            <v:line style="position:absolute" from="6698,261" to="7945,261" stroked="true" strokeweight=".06pt" strokecolor="#000000"/>
            <v:line style="position:absolute" from="6698,262" to="7945,262" stroked="true" strokeweight=".06pt" strokecolor="#000000"/>
            <v:line style="position:absolute" from="6698,264" to="7945,264" stroked="true" strokeweight=".06pt" strokecolor="#000000"/>
            <v:line style="position:absolute" from="6698,265" to="7945,265" stroked="true" strokeweight=".06pt" strokecolor="#000000"/>
            <v:line style="position:absolute" from="6698,266" to="7945,266" stroked="true" strokeweight=".06pt" strokecolor="#000000"/>
            <v:line style="position:absolute" from="6698,267" to="7945,267" stroked="true" strokeweight=".06pt" strokecolor="#000000"/>
            <v:line style="position:absolute" from="6698,268" to="7945,268" stroked="true" strokeweight=".06pt" strokecolor="#000000"/>
            <v:line style="position:absolute" from="7945,250" to="9078,250" stroked="true" strokeweight=".06pt" strokecolor="#000000"/>
            <v:line style="position:absolute" from="7945,252" to="9078,252" stroked="true" strokeweight=".06pt" strokecolor="#000000"/>
            <v:line style="position:absolute" from="7945,253" to="9078,253" stroked="true" strokeweight=".06pt" strokecolor="#000000"/>
            <v:line style="position:absolute" from="7945,254" to="9078,254" stroked="true" strokeweight=".06pt" strokecolor="#000000"/>
            <v:line style="position:absolute" from="7945,255" to="9078,255" stroked="true" strokeweight=".06pt" strokecolor="#000000"/>
            <v:line style="position:absolute" from="7945,256" to="9078,256" stroked="true" strokeweight=".06pt" strokecolor="#000000"/>
            <v:line style="position:absolute" from="7945,258" to="9078,258" stroked="true" strokeweight=".06pt" strokecolor="#000000"/>
            <v:line style="position:absolute" from="7945,259" to="9078,259" stroked="true" strokeweight=".06pt" strokecolor="#000000"/>
            <v:line style="position:absolute" from="7945,260" to="9078,260" stroked="true" strokeweight=".06pt" strokecolor="#000000"/>
            <v:line style="position:absolute" from="7945,261" to="9078,261" stroked="true" strokeweight=".06pt" strokecolor="#000000"/>
            <v:line style="position:absolute" from="7945,262" to="9078,262" stroked="true" strokeweight=".06pt" strokecolor="#000000"/>
            <v:line style="position:absolute" from="7945,264" to="9078,264" stroked="true" strokeweight=".06pt" strokecolor="#000000"/>
            <v:line style="position:absolute" from="7945,265" to="9078,265" stroked="true" strokeweight=".06pt" strokecolor="#000000"/>
            <v:line style="position:absolute" from="7945,266" to="9078,266" stroked="true" strokeweight=".06pt" strokecolor="#000000"/>
            <v:line style="position:absolute" from="7945,267" to="9078,267" stroked="true" strokeweight=".06pt" strokecolor="#000000"/>
            <v:line style="position:absolute" from="7945,268" to="9078,268" stroked="true" strokeweight=".06pt" strokecolor="#000000"/>
            <v:line style="position:absolute" from="9078,250" to="10211,250" stroked="true" strokeweight=".06pt" strokecolor="#000000"/>
            <v:line style="position:absolute" from="9078,252" to="10211,252" stroked="true" strokeweight=".06pt" strokecolor="#000000"/>
            <v:line style="position:absolute" from="9078,253" to="10211,253" stroked="true" strokeweight=".06pt" strokecolor="#000000"/>
            <v:line style="position:absolute" from="9078,254" to="10211,254" stroked="true" strokeweight=".06pt" strokecolor="#000000"/>
            <v:line style="position:absolute" from="9078,255" to="10211,255" stroked="true" strokeweight=".06pt" strokecolor="#000000"/>
            <v:line style="position:absolute" from="9078,256" to="10211,256" stroked="true" strokeweight=".06pt" strokecolor="#000000"/>
            <v:line style="position:absolute" from="9078,258" to="10211,258" stroked="true" strokeweight=".06pt" strokecolor="#000000"/>
            <v:line style="position:absolute" from="9078,259" to="10211,259" stroked="true" strokeweight=".06pt" strokecolor="#000000"/>
            <v:line style="position:absolute" from="9078,260" to="10211,260" stroked="true" strokeweight=".06pt" strokecolor="#000000"/>
            <v:line style="position:absolute" from="9078,261" to="10211,261" stroked="true" strokeweight=".06pt" strokecolor="#000000"/>
            <v:line style="position:absolute" from="9078,262" to="10211,262" stroked="true" strokeweight=".06pt" strokecolor="#000000"/>
            <v:line style="position:absolute" from="9078,264" to="10211,264" stroked="true" strokeweight=".06pt" strokecolor="#000000"/>
            <v:line style="position:absolute" from="9078,265" to="10211,265" stroked="true" strokeweight=".06pt" strokecolor="#000000"/>
            <v:line style="position:absolute" from="9078,266" to="10211,266" stroked="true" strokeweight=".06pt" strokecolor="#000000"/>
            <v:line style="position:absolute" from="9078,267" to="10211,267" stroked="true" strokeweight=".06pt" strokecolor="#000000"/>
            <v:line style="position:absolute" from="9078,268" to="10211,268" stroked="true" strokeweight=".06pt" strokecolor="#000000"/>
            <v:line style="position:absolute" from="10211,250" to="11344,250" stroked="true" strokeweight=".06pt" strokecolor="#000000"/>
            <v:line style="position:absolute" from="10211,252" to="11344,252" stroked="true" strokeweight=".06pt" strokecolor="#000000"/>
            <v:line style="position:absolute" from="10211,253" to="11344,253" stroked="true" strokeweight=".06pt" strokecolor="#000000"/>
            <v:line style="position:absolute" from="10211,254" to="11344,254" stroked="true" strokeweight=".06pt" strokecolor="#000000"/>
            <v:line style="position:absolute" from="10211,255" to="11344,255" stroked="true" strokeweight=".06pt" strokecolor="#000000"/>
            <v:line style="position:absolute" from="10211,256" to="11344,256" stroked="true" strokeweight=".06pt" strokecolor="#000000"/>
            <v:line style="position:absolute" from="10211,258" to="11344,258" stroked="true" strokeweight=".06pt" strokecolor="#000000"/>
            <v:line style="position:absolute" from="10211,259" to="11344,259" stroked="true" strokeweight=".06pt" strokecolor="#000000"/>
            <v:line style="position:absolute" from="10211,260" to="11344,260" stroked="true" strokeweight=".06pt" strokecolor="#000000"/>
            <v:line style="position:absolute" from="10211,261" to="11344,261" stroked="true" strokeweight=".06pt" strokecolor="#000000"/>
            <v:line style="position:absolute" from="10211,262" to="11344,262" stroked="true" strokeweight=".06pt" strokecolor="#000000"/>
            <v:line style="position:absolute" from="10211,264" to="11344,264" stroked="true" strokeweight=".06pt" strokecolor="#000000"/>
            <v:line style="position:absolute" from="10211,265" to="11344,265" stroked="true" strokeweight=".06pt" strokecolor="#000000"/>
            <v:line style="position:absolute" from="10211,266" to="11344,266" stroked="true" strokeweight=".06pt" strokecolor="#000000"/>
            <v:line style="position:absolute" from="10211,267" to="11344,267" stroked="true" strokeweight=".06pt" strokecolor="#000000"/>
            <v:line style="position:absolute" from="10211,268" to="11344,268" stroked="true" strokeweight=".06pt" strokecolor="#000000"/>
            <w10:wrap type="topAndBottom"/>
          </v:group>
        </w:pict>
      </w:r>
    </w:p>
    <w:p>
      <w:pPr>
        <w:tabs>
          <w:tab w:pos="7247" w:val="left" w:leader="none"/>
          <w:tab w:pos="8380" w:val="left" w:leader="none"/>
          <w:tab w:pos="9573" w:val="left" w:leader="none"/>
          <w:tab w:pos="10706" w:val="left" w:leader="none"/>
        </w:tabs>
        <w:spacing w:before="1" w:after="26"/>
        <w:ind w:left="1868" w:right="0" w:firstLine="0"/>
        <w:jc w:val="left"/>
        <w:rPr>
          <w:sz w:val="18"/>
        </w:rPr>
      </w:pPr>
      <w:bookmarkStart w:name="Credit risk" w:id="365"/>
      <w:bookmarkEnd w:id="365"/>
      <w:r>
        <w:rPr/>
      </w:r>
      <w:r>
        <w:rPr>
          <w:b/>
          <w:sz w:val="18"/>
        </w:rPr>
        <w:t>Total</w:t>
      </w:r>
      <w:r>
        <w:rPr>
          <w:b/>
          <w:spacing w:val="-8"/>
          <w:sz w:val="18"/>
        </w:rPr>
        <w:t> </w:t>
      </w:r>
      <w:r>
        <w:rPr>
          <w:b/>
          <w:sz w:val="18"/>
        </w:rPr>
        <w:t>increase/(decrease)</w:t>
        <w:tab/>
      </w:r>
      <w:r>
        <w:rPr>
          <w:sz w:val="18"/>
        </w:rPr>
        <w:t>(17,427)</w:t>
        <w:tab/>
        <w:t>(17,427)</w:t>
        <w:tab/>
        <w:t>17,427</w:t>
        <w:tab/>
        <w:t>17,427</w:t>
      </w:r>
    </w:p>
    <w:p>
      <w:pPr>
        <w:pStyle w:val="BodyText"/>
        <w:spacing w:line="20" w:lineRule="exact"/>
        <w:ind w:left="6697"/>
        <w:rPr>
          <w:sz w:val="2"/>
        </w:rPr>
      </w:pPr>
      <w:r>
        <w:rPr>
          <w:sz w:val="2"/>
        </w:rPr>
        <w:pict>
          <v:group style="width:232.4pt;height:1pt;mso-position-horizontal-relative:char;mso-position-vertical-relative:line" coordorigin="0,0" coordsize="4648,20">
            <v:line style="position:absolute" from="1,1" to="1248,1" stroked="true" strokeweight=".06pt" strokecolor="#000000"/>
            <v:line style="position:absolute" from="1,2" to="1248,2" stroked="true" strokeweight=".06pt" strokecolor="#000000"/>
            <v:line style="position:absolute" from="1,3" to="1248,3" stroked="true" strokeweight=".06pt" strokecolor="#000000"/>
            <v:line style="position:absolute" from="1,5" to="1248,5" stroked="true" strokeweight=".06pt" strokecolor="#000000"/>
            <v:line style="position:absolute" from="1,6" to="1248,6" stroked="true" strokeweight=".06pt" strokecolor="#000000"/>
            <v:line style="position:absolute" from="1,7" to="1248,7" stroked="true" strokeweight=".06pt" strokecolor="#000000"/>
            <v:line style="position:absolute" from="1,8" to="1248,8" stroked="true" strokeweight=".06pt" strokecolor="#000000"/>
            <v:line style="position:absolute" from="1,9" to="1248,9" stroked="true" strokeweight=".06pt" strokecolor="#000000"/>
            <v:line style="position:absolute" from="1,11" to="1248,11" stroked="true" strokeweight=".06pt" strokecolor="#000000"/>
            <v:line style="position:absolute" from="1,12" to="1248,12" stroked="true" strokeweight=".06pt" strokecolor="#000000"/>
            <v:line style="position:absolute" from="1,13" to="1248,13" stroked="true" strokeweight=".06pt" strokecolor="#000000"/>
            <v:line style="position:absolute" from="1,14" to="1248,14" stroked="true" strokeweight=".06pt" strokecolor="#000000"/>
            <v:line style="position:absolute" from="1,15" to="1248,15" stroked="true" strokeweight=".06pt" strokecolor="#000000"/>
            <v:line style="position:absolute" from="1,17" to="1248,17" stroked="true" strokeweight=".06pt" strokecolor="#000000"/>
            <v:line style="position:absolute" from="1,18" to="1248,18" stroked="true" strokeweight=".06pt" strokecolor="#000000"/>
            <v:line style="position:absolute" from="1,19" to="1248,19" stroked="true" strokeweight=".06pt" strokecolor="#000000"/>
            <v:line style="position:absolute" from="1248,1" to="2381,1" stroked="true" strokeweight=".06pt" strokecolor="#000000"/>
            <v:line style="position:absolute" from="1248,2" to="2381,2" stroked="true" strokeweight=".06pt" strokecolor="#000000"/>
            <v:line style="position:absolute" from="1248,3" to="2381,3" stroked="true" strokeweight=".06pt" strokecolor="#000000"/>
            <v:line style="position:absolute" from="1248,5" to="2381,5" stroked="true" strokeweight=".06pt" strokecolor="#000000"/>
            <v:line style="position:absolute" from="1248,6" to="2381,6" stroked="true" strokeweight=".06pt" strokecolor="#000000"/>
            <v:line style="position:absolute" from="1248,7" to="2381,7" stroked="true" strokeweight=".06pt" strokecolor="#000000"/>
            <v:line style="position:absolute" from="1248,8" to="2381,8" stroked="true" strokeweight=".06pt" strokecolor="#000000"/>
            <v:line style="position:absolute" from="1248,9" to="2381,9" stroked="true" strokeweight=".06pt" strokecolor="#000000"/>
            <v:line style="position:absolute" from="1248,11" to="2381,11" stroked="true" strokeweight=".06pt" strokecolor="#000000"/>
            <v:line style="position:absolute" from="1248,12" to="2381,12" stroked="true" strokeweight=".06pt" strokecolor="#000000"/>
            <v:line style="position:absolute" from="1248,13" to="2381,13" stroked="true" strokeweight=".06pt" strokecolor="#000000"/>
            <v:line style="position:absolute" from="1248,14" to="2381,14" stroked="true" strokeweight=".06pt" strokecolor="#000000"/>
            <v:line style="position:absolute" from="1248,15" to="2381,15" stroked="true" strokeweight=".06pt" strokecolor="#000000"/>
            <v:line style="position:absolute" from="1248,17" to="2381,17" stroked="true" strokeweight=".06pt" strokecolor="#000000"/>
            <v:line style="position:absolute" from="1248,18" to="2381,18" stroked="true" strokeweight=".06pt" strokecolor="#000000"/>
            <v:line style="position:absolute" from="1248,19" to="2381,19" stroked="true" strokeweight=".06pt" strokecolor="#000000"/>
            <v:line style="position:absolute" from="2381,1" to="3513,1" stroked="true" strokeweight=".06pt" strokecolor="#000000"/>
            <v:line style="position:absolute" from="2381,2" to="3513,2" stroked="true" strokeweight=".06pt" strokecolor="#000000"/>
            <v:line style="position:absolute" from="2381,3" to="3513,3" stroked="true" strokeweight=".06pt" strokecolor="#000000"/>
            <v:line style="position:absolute" from="2381,5" to="3513,5" stroked="true" strokeweight=".06pt" strokecolor="#000000"/>
            <v:line style="position:absolute" from="2381,6" to="3513,6" stroked="true" strokeweight=".06pt" strokecolor="#000000"/>
            <v:line style="position:absolute" from="2381,7" to="3513,7" stroked="true" strokeweight=".06pt" strokecolor="#000000"/>
            <v:line style="position:absolute" from="2381,8" to="3513,8" stroked="true" strokeweight=".06pt" strokecolor="#000000"/>
            <v:line style="position:absolute" from="2381,9" to="3513,9" stroked="true" strokeweight=".06pt" strokecolor="#000000"/>
            <v:line style="position:absolute" from="2381,11" to="3513,11" stroked="true" strokeweight=".06pt" strokecolor="#000000"/>
            <v:line style="position:absolute" from="2381,12" to="3513,12" stroked="true" strokeweight=".06pt" strokecolor="#000000"/>
            <v:line style="position:absolute" from="2381,13" to="3513,13" stroked="true" strokeweight=".06pt" strokecolor="#000000"/>
            <v:line style="position:absolute" from="2381,14" to="3513,14" stroked="true" strokeweight=".06pt" strokecolor="#000000"/>
            <v:line style="position:absolute" from="2381,15" to="3513,15" stroked="true" strokeweight=".06pt" strokecolor="#000000"/>
            <v:line style="position:absolute" from="2381,17" to="3513,17" stroked="true" strokeweight=".06pt" strokecolor="#000000"/>
            <v:line style="position:absolute" from="2381,18" to="3513,18" stroked="true" strokeweight=".06pt" strokecolor="#000000"/>
            <v:line style="position:absolute" from="2381,19" to="3513,19" stroked="true" strokeweight=".06pt" strokecolor="#000000"/>
            <v:line style="position:absolute" from="3513,1" to="4646,1" stroked="true" strokeweight=".06pt" strokecolor="#000000"/>
            <v:line style="position:absolute" from="3513,2" to="4646,2" stroked="true" strokeweight=".06pt" strokecolor="#000000"/>
            <v:line style="position:absolute" from="3513,3" to="4646,3" stroked="true" strokeweight=".06pt" strokecolor="#000000"/>
            <v:line style="position:absolute" from="3513,5" to="4646,5" stroked="true" strokeweight=".06pt" strokecolor="#000000"/>
            <v:line style="position:absolute" from="3513,6" to="4646,6" stroked="true" strokeweight=".06pt" strokecolor="#000000"/>
            <v:line style="position:absolute" from="3513,7" to="4646,7" stroked="true" strokeweight=".06pt" strokecolor="#000000"/>
            <v:line style="position:absolute" from="3513,8" to="4646,8" stroked="true" strokeweight=".06pt" strokecolor="#000000"/>
            <v:line style="position:absolute" from="3513,9" to="4646,9" stroked="true" strokeweight=".06pt" strokecolor="#000000"/>
            <v:line style="position:absolute" from="3513,11" to="4646,11" stroked="true" strokeweight=".06pt" strokecolor="#000000"/>
            <v:line style="position:absolute" from="3513,12" to="4646,12" stroked="true" strokeweight=".06pt" strokecolor="#000000"/>
            <v:line style="position:absolute" from="3513,13" to="4646,13" stroked="true" strokeweight=".06pt" strokecolor="#000000"/>
            <v:line style="position:absolute" from="3513,14" to="4646,14" stroked="true" strokeweight=".06pt" strokecolor="#000000"/>
            <v:line style="position:absolute" from="3513,15" to="4646,15" stroked="true" strokeweight=".06pt" strokecolor="#000000"/>
            <v:line style="position:absolute" from="3513,17" to="4646,17" stroked="true" strokeweight=".06pt" strokecolor="#000000"/>
            <v:line style="position:absolute" from="3513,18" to="4646,18" stroked="true" strokeweight=".06pt" strokecolor="#000000"/>
            <v:line style="position:absolute" from="3513,19" to="4646,19" stroked="true" strokeweight=".06pt" strokecolor="#000000"/>
          </v:group>
        </w:pict>
      </w:r>
      <w:r>
        <w:rPr>
          <w:sz w:val="2"/>
        </w:rPr>
      </w:r>
    </w:p>
    <w:p>
      <w:pPr>
        <w:pStyle w:val="BodyText"/>
        <w:spacing w:before="4"/>
      </w:pPr>
    </w:p>
    <w:p>
      <w:pPr>
        <w:pStyle w:val="BodyText"/>
        <w:spacing w:before="77"/>
        <w:ind w:left="2391"/>
      </w:pPr>
      <w:r>
        <w:rPr/>
        <w:t>None of the Company's financial liabilities are subject to interest rate risk.</w:t>
      </w:r>
    </w:p>
    <w:p>
      <w:pPr>
        <w:pStyle w:val="BodyText"/>
      </w:pPr>
    </w:p>
    <w:p>
      <w:pPr>
        <w:pStyle w:val="BodyText"/>
      </w:pPr>
    </w:p>
    <w:p>
      <w:pPr>
        <w:pStyle w:val="BodyText"/>
      </w:pPr>
    </w:p>
    <w:p>
      <w:pPr>
        <w:pStyle w:val="BodyText"/>
        <w:spacing w:before="7"/>
        <w:rPr>
          <w:sz w:val="15"/>
        </w:rPr>
      </w:pPr>
    </w:p>
    <w:p>
      <w:pPr>
        <w:pStyle w:val="Heading8"/>
        <w:numPr>
          <w:ilvl w:val="1"/>
          <w:numId w:val="72"/>
        </w:numPr>
        <w:tabs>
          <w:tab w:pos="2392" w:val="left" w:leader="none"/>
        </w:tabs>
        <w:spacing w:line="240" w:lineRule="auto" w:before="0" w:after="0"/>
        <w:ind w:left="2391" w:right="0" w:hanging="566"/>
        <w:jc w:val="left"/>
      </w:pPr>
      <w:r>
        <w:rPr/>
        <w:t>Credit</w:t>
      </w:r>
      <w:r>
        <w:rPr>
          <w:spacing w:val="-10"/>
        </w:rPr>
        <w:t> </w:t>
      </w:r>
      <w:r>
        <w:rPr/>
        <w:t>risk</w:t>
      </w:r>
    </w:p>
    <w:p>
      <w:pPr>
        <w:pStyle w:val="BodyText"/>
        <w:spacing w:before="4"/>
        <w:rPr>
          <w:b/>
          <w:sz w:val="25"/>
        </w:rPr>
      </w:pPr>
    </w:p>
    <w:p>
      <w:pPr>
        <w:pStyle w:val="BodyText"/>
        <w:ind w:left="1825" w:right="1375"/>
      </w:pPr>
      <w:r>
        <w:rPr/>
        <w:t>The credit risk on financial assets of the Company which have been recognised on the statement of financial position is generally the carrying amount, net of provision for loss. Credit risk arises when there is the possibility of the Company's debtors defaulting on their contractual obligations, resulting in financial loss to the Company. The Company does not have any significant exposure to any unrelated customer.</w:t>
      </w:r>
    </w:p>
    <w:p>
      <w:pPr>
        <w:spacing w:after="0"/>
        <w:sectPr>
          <w:type w:val="continuous"/>
          <w:pgSz w:w="12750" w:h="17680"/>
          <w:pgMar w:top="1660" w:bottom="0" w:left="0" w:right="0"/>
        </w:sectPr>
      </w:pPr>
    </w:p>
    <w:p>
      <w:pPr>
        <w:pStyle w:val="BodyText"/>
        <w:spacing w:before="3"/>
        <w:rPr>
          <w:sz w:val="20"/>
        </w:rPr>
      </w:pPr>
    </w:p>
    <w:p>
      <w:pPr>
        <w:pStyle w:val="Heading8"/>
        <w:numPr>
          <w:ilvl w:val="1"/>
          <w:numId w:val="72"/>
        </w:numPr>
        <w:tabs>
          <w:tab w:pos="2392" w:val="left" w:leader="none"/>
        </w:tabs>
        <w:spacing w:line="240" w:lineRule="auto" w:before="77" w:after="0"/>
        <w:ind w:left="2391" w:right="0" w:hanging="566"/>
        <w:jc w:val="left"/>
      </w:pPr>
      <w:bookmarkStart w:name="(c) Liquidity risk" w:id="366"/>
      <w:bookmarkEnd w:id="366"/>
      <w:r>
        <w:rPr>
          <w:b w:val="0"/>
        </w:rPr>
      </w:r>
      <w:bookmarkStart w:name="(c) Liquidity risk" w:id="367"/>
      <w:bookmarkEnd w:id="367"/>
      <w:r>
        <w:rPr/>
        <w:t>Liquidity</w:t>
      </w:r>
      <w:r>
        <w:rPr/>
        <w:t> risk</w:t>
      </w:r>
    </w:p>
    <w:p>
      <w:pPr>
        <w:pStyle w:val="BodyText"/>
        <w:spacing w:before="4"/>
        <w:rPr>
          <w:b/>
          <w:sz w:val="25"/>
        </w:rPr>
      </w:pPr>
    </w:p>
    <w:p>
      <w:pPr>
        <w:pStyle w:val="BodyText"/>
        <w:ind w:left="1825" w:right="1338"/>
      </w:pPr>
      <w:r>
        <w:rPr/>
        <w:t>Liquidity risk arises from the possibility that the Company might encounter difficulty in settling its debts or otherwise meeting its obligations related to financial liabilities. The Company manages this risk through the following mechanisms:</w:t>
      </w:r>
    </w:p>
    <w:p>
      <w:pPr>
        <w:pStyle w:val="BodyText"/>
        <w:spacing w:before="5"/>
        <w:rPr>
          <w:sz w:val="25"/>
        </w:rPr>
      </w:pPr>
    </w:p>
    <w:p>
      <w:pPr>
        <w:pStyle w:val="ListParagraph"/>
        <w:numPr>
          <w:ilvl w:val="0"/>
          <w:numId w:val="74"/>
        </w:numPr>
        <w:tabs>
          <w:tab w:pos="2392" w:val="left" w:leader="none"/>
        </w:tabs>
        <w:spacing w:line="259" w:lineRule="auto" w:before="1" w:after="0"/>
        <w:ind w:left="2391" w:right="1522" w:hanging="566"/>
        <w:jc w:val="left"/>
        <w:rPr>
          <w:sz w:val="18"/>
        </w:rPr>
      </w:pPr>
      <w:r>
        <w:rPr>
          <w:sz w:val="18"/>
        </w:rPr>
        <w:t>preparing</w:t>
      </w:r>
      <w:r>
        <w:rPr>
          <w:spacing w:val="-8"/>
          <w:sz w:val="18"/>
        </w:rPr>
        <w:t> </w:t>
      </w:r>
      <w:r>
        <w:rPr>
          <w:sz w:val="18"/>
        </w:rPr>
        <w:t>forward-looking</w:t>
      </w:r>
      <w:r>
        <w:rPr>
          <w:spacing w:val="-8"/>
          <w:sz w:val="18"/>
        </w:rPr>
        <w:t> </w:t>
      </w:r>
      <w:r>
        <w:rPr>
          <w:sz w:val="18"/>
        </w:rPr>
        <w:t>cash</w:t>
      </w:r>
      <w:r>
        <w:rPr>
          <w:spacing w:val="-8"/>
          <w:sz w:val="18"/>
        </w:rPr>
        <w:t> </w:t>
      </w:r>
      <w:r>
        <w:rPr>
          <w:sz w:val="18"/>
        </w:rPr>
        <w:t>flow</w:t>
      </w:r>
      <w:r>
        <w:rPr>
          <w:spacing w:val="-10"/>
          <w:sz w:val="18"/>
        </w:rPr>
        <w:t> </w:t>
      </w:r>
      <w:r>
        <w:rPr>
          <w:sz w:val="18"/>
        </w:rPr>
        <w:t>analysis</w:t>
      </w:r>
      <w:r>
        <w:rPr>
          <w:spacing w:val="-8"/>
          <w:sz w:val="18"/>
        </w:rPr>
        <w:t> </w:t>
      </w:r>
      <w:r>
        <w:rPr>
          <w:sz w:val="18"/>
        </w:rPr>
        <w:t>in</w:t>
      </w:r>
      <w:r>
        <w:rPr>
          <w:spacing w:val="-8"/>
          <w:sz w:val="18"/>
        </w:rPr>
        <w:t> </w:t>
      </w:r>
      <w:r>
        <w:rPr>
          <w:sz w:val="18"/>
        </w:rPr>
        <w:t>relation</w:t>
      </w:r>
      <w:r>
        <w:rPr>
          <w:spacing w:val="-8"/>
          <w:sz w:val="18"/>
        </w:rPr>
        <w:t> </w:t>
      </w:r>
      <w:r>
        <w:rPr>
          <w:sz w:val="18"/>
        </w:rPr>
        <w:t>to</w:t>
      </w:r>
      <w:r>
        <w:rPr>
          <w:spacing w:val="-8"/>
          <w:sz w:val="18"/>
        </w:rPr>
        <w:t> </w:t>
      </w:r>
      <w:r>
        <w:rPr>
          <w:sz w:val="18"/>
        </w:rPr>
        <w:t>its</w:t>
      </w:r>
      <w:r>
        <w:rPr>
          <w:spacing w:val="-8"/>
          <w:sz w:val="18"/>
        </w:rPr>
        <w:t> </w:t>
      </w:r>
      <w:r>
        <w:rPr>
          <w:sz w:val="18"/>
        </w:rPr>
        <w:t>operational,</w:t>
      </w:r>
      <w:r>
        <w:rPr>
          <w:spacing w:val="-8"/>
          <w:sz w:val="18"/>
        </w:rPr>
        <w:t> </w:t>
      </w:r>
      <w:r>
        <w:rPr>
          <w:sz w:val="18"/>
        </w:rPr>
        <w:t>investing</w:t>
      </w:r>
      <w:r>
        <w:rPr>
          <w:spacing w:val="-8"/>
          <w:sz w:val="18"/>
        </w:rPr>
        <w:t> </w:t>
      </w:r>
      <w:r>
        <w:rPr>
          <w:sz w:val="18"/>
        </w:rPr>
        <w:t>and</w:t>
      </w:r>
      <w:r>
        <w:rPr>
          <w:spacing w:val="-8"/>
          <w:sz w:val="18"/>
        </w:rPr>
        <w:t> </w:t>
      </w:r>
      <w:r>
        <w:rPr>
          <w:sz w:val="18"/>
        </w:rPr>
        <w:t>financial</w:t>
      </w:r>
      <w:r>
        <w:rPr>
          <w:spacing w:val="-8"/>
          <w:sz w:val="18"/>
        </w:rPr>
        <w:t> </w:t>
      </w:r>
      <w:r>
        <w:rPr>
          <w:sz w:val="18"/>
        </w:rPr>
        <w:t>activities</w:t>
      </w:r>
      <w:r>
        <w:rPr>
          <w:spacing w:val="-8"/>
          <w:sz w:val="18"/>
        </w:rPr>
        <w:t> </w:t>
      </w:r>
      <w:r>
        <w:rPr>
          <w:sz w:val="18"/>
        </w:rPr>
        <w:t>which are monitored on a monthly</w:t>
      </w:r>
      <w:r>
        <w:rPr>
          <w:spacing w:val="-29"/>
          <w:sz w:val="18"/>
        </w:rPr>
        <w:t> </w:t>
      </w:r>
      <w:r>
        <w:rPr>
          <w:sz w:val="18"/>
        </w:rPr>
        <w:t>basis;</w:t>
      </w:r>
    </w:p>
    <w:p>
      <w:pPr>
        <w:pStyle w:val="ListParagraph"/>
        <w:numPr>
          <w:ilvl w:val="0"/>
          <w:numId w:val="74"/>
        </w:numPr>
        <w:tabs>
          <w:tab w:pos="2392" w:val="left" w:leader="none"/>
        </w:tabs>
        <w:spacing w:line="240" w:lineRule="auto" w:before="132" w:after="0"/>
        <w:ind w:left="2391" w:right="0" w:hanging="566"/>
        <w:jc w:val="left"/>
        <w:rPr>
          <w:sz w:val="18"/>
        </w:rPr>
      </w:pPr>
      <w:r>
        <w:rPr>
          <w:sz w:val="18"/>
        </w:rPr>
        <w:t>obtaining</w:t>
      </w:r>
      <w:r>
        <w:rPr>
          <w:spacing w:val="-7"/>
          <w:sz w:val="18"/>
        </w:rPr>
        <w:t> </w:t>
      </w:r>
      <w:r>
        <w:rPr>
          <w:sz w:val="18"/>
        </w:rPr>
        <w:t>funding</w:t>
      </w:r>
      <w:r>
        <w:rPr>
          <w:spacing w:val="-7"/>
          <w:sz w:val="18"/>
        </w:rPr>
        <w:t> </w:t>
      </w:r>
      <w:r>
        <w:rPr>
          <w:sz w:val="18"/>
        </w:rPr>
        <w:t>from</w:t>
      </w:r>
      <w:r>
        <w:rPr>
          <w:spacing w:val="-7"/>
          <w:sz w:val="18"/>
        </w:rPr>
        <w:t> </w:t>
      </w:r>
      <w:r>
        <w:rPr>
          <w:sz w:val="18"/>
        </w:rPr>
        <w:t>a</w:t>
      </w:r>
      <w:r>
        <w:rPr>
          <w:spacing w:val="-7"/>
          <w:sz w:val="18"/>
        </w:rPr>
        <w:t> </w:t>
      </w:r>
      <w:r>
        <w:rPr>
          <w:sz w:val="18"/>
        </w:rPr>
        <w:t>variety</w:t>
      </w:r>
      <w:r>
        <w:rPr>
          <w:spacing w:val="-7"/>
          <w:sz w:val="18"/>
        </w:rPr>
        <w:t> </w:t>
      </w:r>
      <w:r>
        <w:rPr>
          <w:sz w:val="18"/>
        </w:rPr>
        <w:t>of</w:t>
      </w:r>
      <w:r>
        <w:rPr>
          <w:spacing w:val="-7"/>
          <w:sz w:val="18"/>
        </w:rPr>
        <w:t> </w:t>
      </w:r>
      <w:r>
        <w:rPr>
          <w:sz w:val="18"/>
        </w:rPr>
        <w:t>sources;</w:t>
      </w:r>
    </w:p>
    <w:p>
      <w:pPr>
        <w:pStyle w:val="ListParagraph"/>
        <w:numPr>
          <w:ilvl w:val="0"/>
          <w:numId w:val="74"/>
        </w:numPr>
        <w:tabs>
          <w:tab w:pos="2392" w:val="left" w:leader="none"/>
        </w:tabs>
        <w:spacing w:line="240" w:lineRule="auto" w:before="146" w:after="0"/>
        <w:ind w:left="2391" w:right="0" w:hanging="566"/>
        <w:jc w:val="left"/>
        <w:rPr>
          <w:sz w:val="18"/>
        </w:rPr>
      </w:pPr>
      <w:r>
        <w:rPr>
          <w:sz w:val="18"/>
        </w:rPr>
        <w:t>maintaining a reputable credit</w:t>
      </w:r>
      <w:r>
        <w:rPr>
          <w:spacing w:val="-36"/>
          <w:sz w:val="18"/>
        </w:rPr>
        <w:t> </w:t>
      </w:r>
      <w:r>
        <w:rPr>
          <w:sz w:val="18"/>
        </w:rPr>
        <w:t>profile;</w:t>
      </w:r>
    </w:p>
    <w:p>
      <w:pPr>
        <w:pStyle w:val="ListParagraph"/>
        <w:numPr>
          <w:ilvl w:val="0"/>
          <w:numId w:val="74"/>
        </w:numPr>
        <w:tabs>
          <w:tab w:pos="2392" w:val="left" w:leader="none"/>
        </w:tabs>
        <w:spacing w:line="240" w:lineRule="auto" w:before="146" w:after="0"/>
        <w:ind w:left="2391" w:right="0" w:hanging="566"/>
        <w:jc w:val="left"/>
        <w:rPr>
          <w:sz w:val="18"/>
        </w:rPr>
      </w:pPr>
      <w:r>
        <w:rPr>
          <w:sz w:val="18"/>
        </w:rPr>
        <w:t>managing</w:t>
      </w:r>
      <w:r>
        <w:rPr>
          <w:spacing w:val="-8"/>
          <w:sz w:val="18"/>
        </w:rPr>
        <w:t> </w:t>
      </w:r>
      <w:r>
        <w:rPr>
          <w:sz w:val="18"/>
        </w:rPr>
        <w:t>credit</w:t>
      </w:r>
      <w:r>
        <w:rPr>
          <w:spacing w:val="-8"/>
          <w:sz w:val="18"/>
        </w:rPr>
        <w:t> </w:t>
      </w:r>
      <w:r>
        <w:rPr>
          <w:sz w:val="18"/>
        </w:rPr>
        <w:t>risk</w:t>
      </w:r>
      <w:r>
        <w:rPr>
          <w:spacing w:val="-8"/>
          <w:sz w:val="18"/>
        </w:rPr>
        <w:t> </w:t>
      </w:r>
      <w:r>
        <w:rPr>
          <w:sz w:val="18"/>
        </w:rPr>
        <w:t>related</w:t>
      </w:r>
      <w:r>
        <w:rPr>
          <w:spacing w:val="-8"/>
          <w:sz w:val="18"/>
        </w:rPr>
        <w:t> </w:t>
      </w:r>
      <w:r>
        <w:rPr>
          <w:sz w:val="18"/>
        </w:rPr>
        <w:t>to</w:t>
      </w:r>
      <w:r>
        <w:rPr>
          <w:spacing w:val="-8"/>
          <w:sz w:val="18"/>
        </w:rPr>
        <w:t> </w:t>
      </w:r>
      <w:r>
        <w:rPr>
          <w:sz w:val="18"/>
        </w:rPr>
        <w:t>financial</w:t>
      </w:r>
      <w:r>
        <w:rPr>
          <w:spacing w:val="-8"/>
          <w:sz w:val="18"/>
        </w:rPr>
        <w:t> </w:t>
      </w:r>
      <w:r>
        <w:rPr>
          <w:sz w:val="18"/>
        </w:rPr>
        <w:t>assets;</w:t>
      </w:r>
    </w:p>
    <w:p>
      <w:pPr>
        <w:pStyle w:val="ListParagraph"/>
        <w:numPr>
          <w:ilvl w:val="0"/>
          <w:numId w:val="74"/>
        </w:numPr>
        <w:tabs>
          <w:tab w:pos="2392" w:val="left" w:leader="none"/>
        </w:tabs>
        <w:spacing w:line="240" w:lineRule="auto" w:before="146" w:after="0"/>
        <w:ind w:left="2391" w:right="0" w:hanging="566"/>
        <w:jc w:val="left"/>
        <w:rPr>
          <w:sz w:val="18"/>
        </w:rPr>
      </w:pPr>
      <w:r>
        <w:rPr>
          <w:sz w:val="18"/>
        </w:rPr>
        <w:t>only</w:t>
      </w:r>
      <w:r>
        <w:rPr>
          <w:spacing w:val="-8"/>
          <w:sz w:val="18"/>
        </w:rPr>
        <w:t> </w:t>
      </w:r>
      <w:r>
        <w:rPr>
          <w:sz w:val="18"/>
        </w:rPr>
        <w:t>investing</w:t>
      </w:r>
      <w:r>
        <w:rPr>
          <w:spacing w:val="-8"/>
          <w:sz w:val="18"/>
        </w:rPr>
        <w:t> </w:t>
      </w:r>
      <w:r>
        <w:rPr>
          <w:sz w:val="18"/>
        </w:rPr>
        <w:t>surplus</w:t>
      </w:r>
      <w:r>
        <w:rPr>
          <w:spacing w:val="-8"/>
          <w:sz w:val="18"/>
        </w:rPr>
        <w:t> </w:t>
      </w:r>
      <w:r>
        <w:rPr>
          <w:sz w:val="18"/>
        </w:rPr>
        <w:t>cash</w:t>
      </w:r>
      <w:r>
        <w:rPr>
          <w:spacing w:val="-8"/>
          <w:sz w:val="18"/>
        </w:rPr>
        <w:t> </w:t>
      </w:r>
      <w:r>
        <w:rPr>
          <w:sz w:val="18"/>
        </w:rPr>
        <w:t>with</w:t>
      </w:r>
      <w:r>
        <w:rPr>
          <w:spacing w:val="-8"/>
          <w:sz w:val="18"/>
        </w:rPr>
        <w:t> </w:t>
      </w:r>
      <w:r>
        <w:rPr>
          <w:sz w:val="18"/>
        </w:rPr>
        <w:t>major</w:t>
      </w:r>
      <w:r>
        <w:rPr>
          <w:spacing w:val="-8"/>
          <w:sz w:val="18"/>
        </w:rPr>
        <w:t> </w:t>
      </w:r>
      <w:r>
        <w:rPr>
          <w:sz w:val="18"/>
        </w:rPr>
        <w:t>financial</w:t>
      </w:r>
      <w:r>
        <w:rPr>
          <w:spacing w:val="-8"/>
          <w:sz w:val="18"/>
        </w:rPr>
        <w:t> </w:t>
      </w:r>
      <w:r>
        <w:rPr>
          <w:sz w:val="18"/>
        </w:rPr>
        <w:t>institutions;</w:t>
      </w:r>
      <w:r>
        <w:rPr>
          <w:spacing w:val="-8"/>
          <w:sz w:val="18"/>
        </w:rPr>
        <w:t> </w:t>
      </w:r>
      <w:r>
        <w:rPr>
          <w:sz w:val="18"/>
        </w:rPr>
        <w:t>and</w:t>
      </w:r>
    </w:p>
    <w:p>
      <w:pPr>
        <w:pStyle w:val="ListParagraph"/>
        <w:numPr>
          <w:ilvl w:val="0"/>
          <w:numId w:val="74"/>
        </w:numPr>
        <w:tabs>
          <w:tab w:pos="2392" w:val="left" w:leader="none"/>
        </w:tabs>
        <w:spacing w:line="240" w:lineRule="auto" w:before="146" w:after="0"/>
        <w:ind w:left="2391" w:right="0" w:hanging="566"/>
        <w:jc w:val="left"/>
        <w:rPr>
          <w:sz w:val="18"/>
        </w:rPr>
      </w:pPr>
      <w:r>
        <w:rPr>
          <w:sz w:val="18"/>
        </w:rPr>
        <w:t>comparing</w:t>
      </w:r>
      <w:r>
        <w:rPr>
          <w:spacing w:val="-8"/>
          <w:sz w:val="18"/>
        </w:rPr>
        <w:t> </w:t>
      </w:r>
      <w:r>
        <w:rPr>
          <w:sz w:val="18"/>
        </w:rPr>
        <w:t>the</w:t>
      </w:r>
      <w:r>
        <w:rPr>
          <w:spacing w:val="-8"/>
          <w:sz w:val="18"/>
        </w:rPr>
        <w:t> </w:t>
      </w:r>
      <w:r>
        <w:rPr>
          <w:sz w:val="18"/>
        </w:rPr>
        <w:t>maturity</w:t>
      </w:r>
      <w:r>
        <w:rPr>
          <w:spacing w:val="-8"/>
          <w:sz w:val="18"/>
        </w:rPr>
        <w:t> </w:t>
      </w:r>
      <w:r>
        <w:rPr>
          <w:sz w:val="18"/>
        </w:rPr>
        <w:t>profile</w:t>
      </w:r>
      <w:r>
        <w:rPr>
          <w:spacing w:val="-8"/>
          <w:sz w:val="18"/>
        </w:rPr>
        <w:t> </w:t>
      </w:r>
      <w:r>
        <w:rPr>
          <w:sz w:val="18"/>
        </w:rPr>
        <w:t>of</w:t>
      </w:r>
      <w:r>
        <w:rPr>
          <w:spacing w:val="-8"/>
          <w:sz w:val="18"/>
        </w:rPr>
        <w:t> </w:t>
      </w:r>
      <w:r>
        <w:rPr>
          <w:sz w:val="18"/>
        </w:rPr>
        <w:t>financial</w:t>
      </w:r>
      <w:r>
        <w:rPr>
          <w:spacing w:val="-8"/>
          <w:sz w:val="18"/>
        </w:rPr>
        <w:t> </w:t>
      </w:r>
      <w:r>
        <w:rPr>
          <w:sz w:val="18"/>
        </w:rPr>
        <w:t>liabilities</w:t>
      </w:r>
      <w:r>
        <w:rPr>
          <w:spacing w:val="-8"/>
          <w:sz w:val="18"/>
        </w:rPr>
        <w:t> </w:t>
      </w:r>
      <w:r>
        <w:rPr>
          <w:sz w:val="18"/>
        </w:rPr>
        <w:t>with</w:t>
      </w:r>
      <w:r>
        <w:rPr>
          <w:spacing w:val="-8"/>
          <w:sz w:val="18"/>
        </w:rPr>
        <w:t> </w:t>
      </w:r>
      <w:r>
        <w:rPr>
          <w:sz w:val="18"/>
        </w:rPr>
        <w:t>the</w:t>
      </w:r>
      <w:r>
        <w:rPr>
          <w:spacing w:val="-8"/>
          <w:sz w:val="18"/>
        </w:rPr>
        <w:t> </w:t>
      </w:r>
      <w:r>
        <w:rPr>
          <w:sz w:val="18"/>
        </w:rPr>
        <w:t>realisation</w:t>
      </w:r>
      <w:r>
        <w:rPr>
          <w:spacing w:val="-8"/>
          <w:sz w:val="18"/>
        </w:rPr>
        <w:t> </w:t>
      </w:r>
      <w:r>
        <w:rPr>
          <w:sz w:val="18"/>
        </w:rPr>
        <w:t>profile</w:t>
      </w:r>
      <w:r>
        <w:rPr>
          <w:spacing w:val="-8"/>
          <w:sz w:val="18"/>
        </w:rPr>
        <w:t> </w:t>
      </w:r>
      <w:r>
        <w:rPr>
          <w:sz w:val="18"/>
        </w:rPr>
        <w:t>of</w:t>
      </w:r>
      <w:r>
        <w:rPr>
          <w:spacing w:val="-8"/>
          <w:sz w:val="18"/>
        </w:rPr>
        <w:t> </w:t>
      </w:r>
      <w:r>
        <w:rPr>
          <w:sz w:val="18"/>
        </w:rPr>
        <w:t>financial</w:t>
      </w:r>
      <w:r>
        <w:rPr>
          <w:spacing w:val="-8"/>
          <w:sz w:val="18"/>
        </w:rPr>
        <w:t> </w:t>
      </w:r>
      <w:r>
        <w:rPr>
          <w:sz w:val="18"/>
        </w:rPr>
        <w:t>assets.</w:t>
      </w:r>
    </w:p>
    <w:p>
      <w:pPr>
        <w:pStyle w:val="BodyText"/>
        <w:spacing w:before="11"/>
        <w:rPr>
          <w:sz w:val="24"/>
        </w:rPr>
      </w:pPr>
    </w:p>
    <w:p>
      <w:pPr>
        <w:pStyle w:val="BodyText"/>
        <w:ind w:left="1825" w:right="1375"/>
      </w:pPr>
      <w:r>
        <w:rPr/>
        <w:t>Typically, the Company ensures that it has sufficient cash on hand to meet expected operational expenses for a period of 30 days. Therefore the liquidity risk is considered to be minimal.</w:t>
      </w:r>
    </w:p>
    <w:p>
      <w:pPr>
        <w:pStyle w:val="BodyText"/>
      </w:pPr>
    </w:p>
    <w:p>
      <w:pPr>
        <w:pStyle w:val="BodyText"/>
      </w:pPr>
    </w:p>
    <w:p>
      <w:pPr>
        <w:pStyle w:val="BodyText"/>
        <w:spacing w:before="4"/>
        <w:rPr>
          <w:sz w:val="23"/>
        </w:rPr>
      </w:pPr>
    </w:p>
    <w:p>
      <w:pPr>
        <w:pStyle w:val="BodyText"/>
        <w:spacing w:before="1"/>
        <w:ind w:left="1852" w:right="1407"/>
      </w:pPr>
      <w:r>
        <w:rPr/>
        <w:drawing>
          <wp:anchor distT="0" distB="0" distL="0" distR="0" allowOverlap="1" layoutInCell="1" locked="0" behindDoc="0" simplePos="0" relativeHeight="13168">
            <wp:simplePos x="0" y="0"/>
            <wp:positionH relativeFrom="page">
              <wp:posOffset>-1587</wp:posOffset>
            </wp:positionH>
            <wp:positionV relativeFrom="paragraph">
              <wp:posOffset>139241</wp:posOffset>
            </wp:positionV>
            <wp:extent cx="136525" cy="155575"/>
            <wp:effectExtent l="0" t="0" r="0" b="0"/>
            <wp:wrapNone/>
            <wp:docPr id="879" name="image13.png" descr=""/>
            <wp:cNvGraphicFramePr>
              <a:graphicFrameLocks noChangeAspect="1"/>
            </wp:cNvGraphicFramePr>
            <a:graphic>
              <a:graphicData uri="http://schemas.openxmlformats.org/drawingml/2006/picture">
                <pic:pic>
                  <pic:nvPicPr>
                    <pic:cNvPr id="880" name="image13.png"/>
                    <pic:cNvPicPr/>
                  </pic:nvPicPr>
                  <pic:blipFill>
                    <a:blip r:embed="rId18" cstate="print"/>
                    <a:stretch>
                      <a:fillRect/>
                    </a:stretch>
                  </pic:blipFill>
                  <pic:spPr>
                    <a:xfrm>
                      <a:off x="0" y="0"/>
                      <a:ext cx="136525" cy="155575"/>
                    </a:xfrm>
                    <a:prstGeom prst="rect">
                      <a:avLst/>
                    </a:prstGeom>
                  </pic:spPr>
                </pic:pic>
              </a:graphicData>
            </a:graphic>
          </wp:anchor>
        </w:drawing>
      </w:r>
      <w:r>
        <w:rPr/>
        <w:drawing>
          <wp:anchor distT="0" distB="0" distL="0" distR="0" allowOverlap="1" layoutInCell="1" locked="0" behindDoc="0" simplePos="0" relativeHeight="13192">
            <wp:simplePos x="0" y="0"/>
            <wp:positionH relativeFrom="page">
              <wp:posOffset>7958429</wp:posOffset>
            </wp:positionH>
            <wp:positionV relativeFrom="paragraph">
              <wp:posOffset>139241</wp:posOffset>
            </wp:positionV>
            <wp:extent cx="135953" cy="155575"/>
            <wp:effectExtent l="0" t="0" r="0" b="0"/>
            <wp:wrapNone/>
            <wp:docPr id="881" name="image15.png" descr=""/>
            <wp:cNvGraphicFramePr>
              <a:graphicFrameLocks noChangeAspect="1"/>
            </wp:cNvGraphicFramePr>
            <a:graphic>
              <a:graphicData uri="http://schemas.openxmlformats.org/drawingml/2006/picture">
                <pic:pic>
                  <pic:nvPicPr>
                    <pic:cNvPr id="882" name="image15.png"/>
                    <pic:cNvPicPr/>
                  </pic:nvPicPr>
                  <pic:blipFill>
                    <a:blip r:embed="rId20" cstate="print"/>
                    <a:stretch>
                      <a:fillRect/>
                    </a:stretch>
                  </pic:blipFill>
                  <pic:spPr>
                    <a:xfrm>
                      <a:off x="0" y="0"/>
                      <a:ext cx="135953" cy="155575"/>
                    </a:xfrm>
                    <a:prstGeom prst="rect">
                      <a:avLst/>
                    </a:prstGeom>
                  </pic:spPr>
                </pic:pic>
              </a:graphicData>
            </a:graphic>
          </wp:anchor>
        </w:drawing>
      </w:r>
      <w:r>
        <w:rPr/>
        <w:t>The following tables summarise the maturity of the UWS Early Learning Limited’s financial assets and financial liabilities:</w:t>
      </w:r>
    </w:p>
    <w:p>
      <w:pPr>
        <w:pStyle w:val="BodyText"/>
      </w:pPr>
    </w:p>
    <w:p>
      <w:pPr>
        <w:pStyle w:val="BodyText"/>
        <w:spacing w:before="1"/>
        <w:rPr>
          <w:sz w:val="15"/>
        </w:rPr>
      </w:pPr>
    </w:p>
    <w:p>
      <w:pPr>
        <w:pStyle w:val="Heading8"/>
        <w:spacing w:line="207" w:lineRule="exact"/>
        <w:ind w:left="3628"/>
      </w:pPr>
      <w:r>
        <w:rPr/>
        <w:t>Average</w:t>
      </w:r>
    </w:p>
    <w:p>
      <w:pPr>
        <w:tabs>
          <w:tab w:pos="6599" w:val="left" w:leader="none"/>
          <w:tab w:pos="8443" w:val="left" w:leader="none"/>
          <w:tab w:pos="10288" w:val="left" w:leader="none"/>
        </w:tabs>
        <w:spacing w:line="207" w:lineRule="exact" w:before="0" w:after="36"/>
        <w:ind w:left="3464" w:right="0" w:firstLine="0"/>
        <w:jc w:val="left"/>
        <w:rPr>
          <w:b/>
          <w:sz w:val="18"/>
        </w:rPr>
      </w:pPr>
      <w:r>
        <w:rPr>
          <w:b/>
          <w:sz w:val="18"/>
        </w:rPr>
        <w:t>Interest rate    Less than</w:t>
      </w:r>
      <w:r>
        <w:rPr>
          <w:b/>
          <w:spacing w:val="-20"/>
          <w:sz w:val="18"/>
        </w:rPr>
        <w:t> </w:t>
      </w:r>
      <w:r>
        <w:rPr>
          <w:b/>
          <w:sz w:val="18"/>
        </w:rPr>
        <w:t>1</w:t>
      </w:r>
      <w:r>
        <w:rPr>
          <w:b/>
          <w:spacing w:val="-3"/>
          <w:sz w:val="18"/>
        </w:rPr>
        <w:t> </w:t>
      </w:r>
      <w:r>
        <w:rPr>
          <w:b/>
          <w:sz w:val="18"/>
        </w:rPr>
        <w:t>year</w:t>
        <w:tab/>
        <w:t>1 to</w:t>
      </w:r>
      <w:r>
        <w:rPr>
          <w:b/>
          <w:spacing w:val="-4"/>
          <w:sz w:val="18"/>
        </w:rPr>
        <w:t> </w:t>
      </w:r>
      <w:r>
        <w:rPr>
          <w:b/>
          <w:sz w:val="18"/>
        </w:rPr>
        <w:t>5</w:t>
      </w:r>
      <w:r>
        <w:rPr>
          <w:b/>
          <w:spacing w:val="-2"/>
          <w:sz w:val="18"/>
        </w:rPr>
        <w:t> </w:t>
      </w:r>
      <w:r>
        <w:rPr>
          <w:b/>
          <w:sz w:val="18"/>
        </w:rPr>
        <w:t>years</w:t>
        <w:tab/>
        <w:t>5+</w:t>
      </w:r>
      <w:r>
        <w:rPr>
          <w:b/>
          <w:spacing w:val="-3"/>
          <w:sz w:val="18"/>
        </w:rPr>
        <w:t> </w:t>
      </w:r>
      <w:r>
        <w:rPr>
          <w:b/>
          <w:sz w:val="18"/>
        </w:rPr>
        <w:t>years</w:t>
        <w:tab/>
        <w:t>Total</w:t>
      </w:r>
    </w:p>
    <w:tbl>
      <w:tblPr>
        <w:tblW w:w="0" w:type="auto"/>
        <w:jc w:val="left"/>
        <w:tblInd w:w="181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514"/>
        <w:gridCol w:w="656"/>
        <w:gridCol w:w="566"/>
        <w:gridCol w:w="910"/>
        <w:gridCol w:w="783"/>
        <w:gridCol w:w="850"/>
        <w:gridCol w:w="936"/>
        <w:gridCol w:w="608"/>
        <w:gridCol w:w="1865"/>
        <w:gridCol w:w="845"/>
      </w:tblGrid>
      <w:tr>
        <w:trPr>
          <w:trHeight w:val="592" w:hRule="exact"/>
        </w:trPr>
        <w:tc>
          <w:tcPr>
            <w:tcW w:w="1514" w:type="dxa"/>
          </w:tcPr>
          <w:p>
            <w:pPr/>
          </w:p>
        </w:tc>
        <w:tc>
          <w:tcPr>
            <w:tcW w:w="656" w:type="dxa"/>
          </w:tcPr>
          <w:p>
            <w:pPr>
              <w:pStyle w:val="TableParagraph"/>
              <w:spacing w:before="30"/>
              <w:ind w:left="150" w:right="65"/>
              <w:jc w:val="center"/>
              <w:rPr>
                <w:b/>
                <w:sz w:val="18"/>
              </w:rPr>
            </w:pPr>
            <w:r>
              <w:rPr>
                <w:b/>
                <w:sz w:val="18"/>
              </w:rPr>
              <w:t>2016</w:t>
            </w:r>
          </w:p>
          <w:p>
            <w:pPr>
              <w:pStyle w:val="TableParagraph"/>
              <w:spacing w:before="66"/>
              <w:ind w:left="87"/>
              <w:jc w:val="center"/>
              <w:rPr>
                <w:b/>
                <w:sz w:val="18"/>
              </w:rPr>
            </w:pPr>
            <w:r>
              <w:rPr>
                <w:b/>
                <w:w w:val="99"/>
                <w:sz w:val="18"/>
              </w:rPr>
              <w:t>%</w:t>
            </w:r>
          </w:p>
        </w:tc>
        <w:tc>
          <w:tcPr>
            <w:tcW w:w="566" w:type="dxa"/>
          </w:tcPr>
          <w:p>
            <w:pPr>
              <w:pStyle w:val="TableParagraph"/>
              <w:spacing w:before="30"/>
              <w:ind w:left="64" w:right="60"/>
              <w:jc w:val="center"/>
              <w:rPr>
                <w:b/>
                <w:sz w:val="18"/>
              </w:rPr>
            </w:pPr>
            <w:r>
              <w:rPr>
                <w:b/>
                <w:sz w:val="18"/>
              </w:rPr>
              <w:t>2015</w:t>
            </w:r>
          </w:p>
          <w:p>
            <w:pPr>
              <w:pStyle w:val="TableParagraph"/>
              <w:spacing w:before="66"/>
              <w:ind w:left="5"/>
              <w:jc w:val="center"/>
              <w:rPr>
                <w:b/>
                <w:sz w:val="18"/>
              </w:rPr>
            </w:pPr>
            <w:r>
              <w:rPr>
                <w:b/>
                <w:w w:val="99"/>
                <w:sz w:val="18"/>
              </w:rPr>
              <w:t>%</w:t>
            </w:r>
          </w:p>
        </w:tc>
        <w:tc>
          <w:tcPr>
            <w:tcW w:w="910" w:type="dxa"/>
          </w:tcPr>
          <w:p>
            <w:pPr>
              <w:pStyle w:val="TableParagraph"/>
              <w:spacing w:before="30"/>
              <w:ind w:left="56" w:right="116"/>
              <w:jc w:val="center"/>
              <w:rPr>
                <w:b/>
                <w:sz w:val="18"/>
              </w:rPr>
            </w:pPr>
            <w:r>
              <w:rPr>
                <w:b/>
                <w:sz w:val="18"/>
              </w:rPr>
              <w:t>2016</w:t>
            </w:r>
          </w:p>
          <w:p>
            <w:pPr>
              <w:pStyle w:val="TableParagraph"/>
              <w:spacing w:before="66"/>
              <w:ind w:right="58"/>
              <w:jc w:val="center"/>
              <w:rPr>
                <w:b/>
                <w:sz w:val="18"/>
              </w:rPr>
            </w:pPr>
            <w:r>
              <w:rPr>
                <w:b/>
                <w:w w:val="99"/>
                <w:sz w:val="18"/>
              </w:rPr>
              <w:t>$</w:t>
            </w:r>
          </w:p>
        </w:tc>
        <w:tc>
          <w:tcPr>
            <w:tcW w:w="783" w:type="dxa"/>
          </w:tcPr>
          <w:p>
            <w:pPr>
              <w:pStyle w:val="TableParagraph"/>
              <w:spacing w:before="30"/>
              <w:ind w:left="148" w:right="194"/>
              <w:jc w:val="center"/>
              <w:rPr>
                <w:b/>
                <w:sz w:val="18"/>
              </w:rPr>
            </w:pPr>
            <w:r>
              <w:rPr>
                <w:b/>
                <w:sz w:val="18"/>
              </w:rPr>
              <w:t>2015</w:t>
            </w:r>
          </w:p>
          <w:p>
            <w:pPr>
              <w:pStyle w:val="TableParagraph"/>
              <w:spacing w:before="66"/>
              <w:ind w:right="44"/>
              <w:jc w:val="center"/>
              <w:rPr>
                <w:b/>
                <w:sz w:val="18"/>
              </w:rPr>
            </w:pPr>
            <w:r>
              <w:rPr>
                <w:b/>
                <w:w w:val="99"/>
                <w:sz w:val="18"/>
              </w:rPr>
              <w:t>$</w:t>
            </w:r>
          </w:p>
        </w:tc>
        <w:tc>
          <w:tcPr>
            <w:tcW w:w="850" w:type="dxa"/>
          </w:tcPr>
          <w:p>
            <w:pPr>
              <w:pStyle w:val="TableParagraph"/>
              <w:spacing w:before="30"/>
              <w:ind w:left="209" w:right="199"/>
              <w:jc w:val="center"/>
              <w:rPr>
                <w:b/>
                <w:sz w:val="18"/>
              </w:rPr>
            </w:pPr>
            <w:r>
              <w:rPr>
                <w:b/>
                <w:sz w:val="18"/>
              </w:rPr>
              <w:t>2016</w:t>
            </w:r>
          </w:p>
          <w:p>
            <w:pPr>
              <w:pStyle w:val="TableParagraph"/>
              <w:spacing w:before="66"/>
              <w:ind w:left="12"/>
              <w:jc w:val="center"/>
              <w:rPr>
                <w:b/>
                <w:sz w:val="18"/>
              </w:rPr>
            </w:pPr>
            <w:r>
              <w:rPr>
                <w:b/>
                <w:w w:val="99"/>
                <w:sz w:val="18"/>
              </w:rPr>
              <w:t>$</w:t>
            </w:r>
          </w:p>
        </w:tc>
        <w:tc>
          <w:tcPr>
            <w:tcW w:w="936" w:type="dxa"/>
          </w:tcPr>
          <w:p>
            <w:pPr>
              <w:pStyle w:val="TableParagraph"/>
              <w:spacing w:before="30"/>
              <w:ind w:left="214" w:right="280"/>
              <w:jc w:val="center"/>
              <w:rPr>
                <w:b/>
                <w:sz w:val="18"/>
              </w:rPr>
            </w:pPr>
            <w:r>
              <w:rPr>
                <w:b/>
                <w:sz w:val="18"/>
              </w:rPr>
              <w:t>2015</w:t>
            </w:r>
          </w:p>
          <w:p>
            <w:pPr>
              <w:pStyle w:val="TableParagraph"/>
              <w:spacing w:before="66"/>
              <w:ind w:right="65"/>
              <w:jc w:val="center"/>
              <w:rPr>
                <w:b/>
                <w:sz w:val="18"/>
              </w:rPr>
            </w:pPr>
            <w:r>
              <w:rPr>
                <w:b/>
                <w:w w:val="99"/>
                <w:sz w:val="18"/>
              </w:rPr>
              <w:t>$</w:t>
            </w:r>
          </w:p>
        </w:tc>
        <w:tc>
          <w:tcPr>
            <w:tcW w:w="608" w:type="dxa"/>
          </w:tcPr>
          <w:p>
            <w:pPr>
              <w:pStyle w:val="TableParagraph"/>
              <w:spacing w:before="30"/>
              <w:ind w:left="133" w:right="33"/>
              <w:jc w:val="center"/>
              <w:rPr>
                <w:b/>
                <w:sz w:val="18"/>
              </w:rPr>
            </w:pPr>
            <w:r>
              <w:rPr>
                <w:b/>
                <w:sz w:val="18"/>
              </w:rPr>
              <w:t>2016</w:t>
            </w:r>
          </w:p>
          <w:p>
            <w:pPr>
              <w:pStyle w:val="TableParagraph"/>
              <w:spacing w:before="66"/>
              <w:ind w:left="102"/>
              <w:jc w:val="center"/>
              <w:rPr>
                <w:b/>
                <w:sz w:val="18"/>
              </w:rPr>
            </w:pPr>
            <w:r>
              <w:rPr>
                <w:b/>
                <w:w w:val="99"/>
                <w:sz w:val="18"/>
              </w:rPr>
              <w:t>$</w:t>
            </w:r>
          </w:p>
        </w:tc>
        <w:tc>
          <w:tcPr>
            <w:tcW w:w="1865" w:type="dxa"/>
          </w:tcPr>
          <w:p>
            <w:pPr>
              <w:pStyle w:val="TableParagraph"/>
              <w:tabs>
                <w:tab w:pos="1025" w:val="left" w:leader="none"/>
              </w:tabs>
              <w:spacing w:before="30"/>
              <w:ind w:left="168"/>
              <w:jc w:val="center"/>
              <w:rPr>
                <w:b/>
                <w:sz w:val="18"/>
              </w:rPr>
            </w:pPr>
            <w:r>
              <w:rPr>
                <w:b/>
                <w:sz w:val="18"/>
              </w:rPr>
              <w:t>2015</w:t>
              <w:tab/>
              <w:t>2016</w:t>
            </w:r>
          </w:p>
          <w:p>
            <w:pPr>
              <w:pStyle w:val="TableParagraph"/>
              <w:tabs>
                <w:tab w:pos="1027" w:val="left" w:leader="none"/>
              </w:tabs>
              <w:spacing w:before="66"/>
              <w:ind w:left="170"/>
              <w:jc w:val="center"/>
              <w:rPr>
                <w:b/>
                <w:sz w:val="18"/>
              </w:rPr>
            </w:pPr>
            <w:r>
              <w:rPr>
                <w:b/>
                <w:sz w:val="18"/>
              </w:rPr>
              <w:t>$</w:t>
              <w:tab/>
              <w:t>$</w:t>
            </w:r>
          </w:p>
        </w:tc>
        <w:tc>
          <w:tcPr>
            <w:tcW w:w="845" w:type="dxa"/>
          </w:tcPr>
          <w:p>
            <w:pPr>
              <w:pStyle w:val="TableParagraph"/>
              <w:spacing w:before="30"/>
              <w:ind w:left="202" w:right="202"/>
              <w:jc w:val="center"/>
              <w:rPr>
                <w:b/>
                <w:sz w:val="18"/>
              </w:rPr>
            </w:pPr>
            <w:r>
              <w:rPr>
                <w:b/>
                <w:sz w:val="18"/>
              </w:rPr>
              <w:t>2015</w:t>
            </w:r>
          </w:p>
          <w:p>
            <w:pPr>
              <w:pStyle w:val="TableParagraph"/>
              <w:spacing w:before="66"/>
              <w:ind w:left="1"/>
              <w:jc w:val="center"/>
              <w:rPr>
                <w:b/>
                <w:sz w:val="18"/>
              </w:rPr>
            </w:pPr>
            <w:r>
              <w:rPr>
                <w:b/>
                <w:w w:val="99"/>
                <w:sz w:val="18"/>
              </w:rPr>
              <w:t>$</w:t>
            </w:r>
          </w:p>
        </w:tc>
      </w:tr>
      <w:tr>
        <w:trPr>
          <w:trHeight w:val="270" w:hRule="exact"/>
        </w:trPr>
        <w:tc>
          <w:tcPr>
            <w:tcW w:w="1514" w:type="dxa"/>
          </w:tcPr>
          <w:p>
            <w:pPr>
              <w:pStyle w:val="TableParagraph"/>
              <w:spacing w:before="64"/>
              <w:ind w:left="35"/>
              <w:jc w:val="left"/>
              <w:rPr>
                <w:b/>
                <w:sz w:val="16"/>
              </w:rPr>
            </w:pPr>
            <w:r>
              <w:rPr>
                <w:b/>
                <w:sz w:val="16"/>
              </w:rPr>
              <w:t>Financial Assets:</w:t>
            </w:r>
          </w:p>
        </w:tc>
        <w:tc>
          <w:tcPr>
            <w:tcW w:w="656" w:type="dxa"/>
          </w:tcPr>
          <w:p>
            <w:pPr/>
          </w:p>
        </w:tc>
        <w:tc>
          <w:tcPr>
            <w:tcW w:w="566" w:type="dxa"/>
          </w:tcPr>
          <w:p>
            <w:pPr/>
          </w:p>
        </w:tc>
        <w:tc>
          <w:tcPr>
            <w:tcW w:w="910" w:type="dxa"/>
          </w:tcPr>
          <w:p>
            <w:pPr/>
          </w:p>
        </w:tc>
        <w:tc>
          <w:tcPr>
            <w:tcW w:w="783" w:type="dxa"/>
          </w:tcPr>
          <w:p>
            <w:pPr/>
          </w:p>
        </w:tc>
        <w:tc>
          <w:tcPr>
            <w:tcW w:w="850" w:type="dxa"/>
          </w:tcPr>
          <w:p>
            <w:pPr/>
          </w:p>
        </w:tc>
        <w:tc>
          <w:tcPr>
            <w:tcW w:w="936" w:type="dxa"/>
          </w:tcPr>
          <w:p>
            <w:pPr/>
          </w:p>
        </w:tc>
        <w:tc>
          <w:tcPr>
            <w:tcW w:w="608" w:type="dxa"/>
          </w:tcPr>
          <w:p>
            <w:pPr/>
          </w:p>
        </w:tc>
        <w:tc>
          <w:tcPr>
            <w:tcW w:w="1865" w:type="dxa"/>
          </w:tcPr>
          <w:p>
            <w:pPr/>
          </w:p>
        </w:tc>
        <w:tc>
          <w:tcPr>
            <w:tcW w:w="845" w:type="dxa"/>
          </w:tcPr>
          <w:p>
            <w:pPr/>
          </w:p>
        </w:tc>
      </w:tr>
      <w:tr>
        <w:trPr>
          <w:trHeight w:val="228" w:hRule="exact"/>
        </w:trPr>
        <w:tc>
          <w:tcPr>
            <w:tcW w:w="1514" w:type="dxa"/>
          </w:tcPr>
          <w:p>
            <w:pPr>
              <w:pStyle w:val="TableParagraph"/>
              <w:spacing w:before="5"/>
              <w:ind w:left="35"/>
              <w:jc w:val="left"/>
              <w:rPr>
                <w:sz w:val="16"/>
              </w:rPr>
            </w:pPr>
            <w:r>
              <w:rPr>
                <w:sz w:val="16"/>
              </w:rPr>
              <w:t>Receivables</w:t>
            </w:r>
          </w:p>
        </w:tc>
        <w:tc>
          <w:tcPr>
            <w:tcW w:w="656" w:type="dxa"/>
          </w:tcPr>
          <w:p>
            <w:pPr>
              <w:pStyle w:val="TableParagraph"/>
              <w:spacing w:before="6"/>
              <w:ind w:left="190"/>
              <w:jc w:val="left"/>
              <w:rPr>
                <w:b/>
                <w:sz w:val="16"/>
              </w:rPr>
            </w:pPr>
            <w:r>
              <w:rPr>
                <w:b/>
                <w:sz w:val="16"/>
              </w:rPr>
              <w:t>2.9%</w:t>
            </w:r>
          </w:p>
        </w:tc>
        <w:tc>
          <w:tcPr>
            <w:tcW w:w="566" w:type="dxa"/>
          </w:tcPr>
          <w:p>
            <w:pPr>
              <w:pStyle w:val="TableParagraph"/>
              <w:spacing w:before="6"/>
              <w:ind w:left="102"/>
              <w:jc w:val="left"/>
              <w:rPr>
                <w:sz w:val="16"/>
              </w:rPr>
            </w:pPr>
            <w:r>
              <w:rPr>
                <w:sz w:val="16"/>
              </w:rPr>
              <w:t>2.9%</w:t>
            </w:r>
          </w:p>
        </w:tc>
        <w:tc>
          <w:tcPr>
            <w:tcW w:w="910" w:type="dxa"/>
            <w:tcBorders>
              <w:bottom w:val="single" w:sz="0" w:space="0" w:color="000000"/>
            </w:tcBorders>
          </w:tcPr>
          <w:p>
            <w:pPr>
              <w:pStyle w:val="TableParagraph"/>
              <w:spacing w:before="6"/>
              <w:ind w:left="174" w:right="27"/>
              <w:jc w:val="center"/>
              <w:rPr>
                <w:b/>
                <w:sz w:val="16"/>
              </w:rPr>
            </w:pPr>
            <w:r>
              <w:rPr>
                <w:b/>
                <w:sz w:val="16"/>
              </w:rPr>
              <w:t>82,915</w:t>
            </w:r>
          </w:p>
        </w:tc>
        <w:tc>
          <w:tcPr>
            <w:tcW w:w="783" w:type="dxa"/>
            <w:tcBorders>
              <w:bottom w:val="single" w:sz="0" w:space="0" w:color="000000"/>
            </w:tcBorders>
          </w:tcPr>
          <w:p>
            <w:pPr>
              <w:pStyle w:val="TableParagraph"/>
              <w:spacing w:before="6"/>
              <w:ind w:right="67"/>
              <w:rPr>
                <w:sz w:val="16"/>
              </w:rPr>
            </w:pPr>
            <w:r>
              <w:rPr>
                <w:w w:val="95"/>
                <w:sz w:val="16"/>
              </w:rPr>
              <w:t>60,277</w:t>
            </w:r>
          </w:p>
        </w:tc>
        <w:tc>
          <w:tcPr>
            <w:tcW w:w="850" w:type="dxa"/>
            <w:tcBorders>
              <w:bottom w:val="single" w:sz="0" w:space="0" w:color="000000"/>
            </w:tcBorders>
          </w:tcPr>
          <w:p>
            <w:pPr>
              <w:pStyle w:val="TableParagraph"/>
              <w:spacing w:before="6"/>
              <w:ind w:right="68"/>
              <w:rPr>
                <w:b/>
                <w:sz w:val="16"/>
              </w:rPr>
            </w:pPr>
            <w:r>
              <w:rPr>
                <w:b/>
                <w:w w:val="95"/>
                <w:sz w:val="16"/>
              </w:rPr>
              <w:t>1,576,133</w:t>
            </w:r>
          </w:p>
        </w:tc>
        <w:tc>
          <w:tcPr>
            <w:tcW w:w="936" w:type="dxa"/>
            <w:tcBorders>
              <w:bottom w:val="single" w:sz="0" w:space="0" w:color="000000"/>
            </w:tcBorders>
          </w:tcPr>
          <w:p>
            <w:pPr>
              <w:pStyle w:val="TableParagraph"/>
              <w:spacing w:before="6"/>
              <w:ind w:right="153"/>
              <w:rPr>
                <w:sz w:val="16"/>
              </w:rPr>
            </w:pPr>
            <w:r>
              <w:rPr>
                <w:w w:val="95"/>
                <w:sz w:val="16"/>
              </w:rPr>
              <w:t>1,187,436</w:t>
            </w:r>
          </w:p>
        </w:tc>
        <w:tc>
          <w:tcPr>
            <w:tcW w:w="608" w:type="dxa"/>
            <w:tcBorders>
              <w:bottom w:val="single" w:sz="0" w:space="0" w:color="000000"/>
            </w:tcBorders>
          </w:tcPr>
          <w:p>
            <w:pPr/>
          </w:p>
        </w:tc>
        <w:tc>
          <w:tcPr>
            <w:tcW w:w="1865" w:type="dxa"/>
            <w:tcBorders>
              <w:bottom w:val="single" w:sz="0" w:space="0" w:color="000000"/>
            </w:tcBorders>
          </w:tcPr>
          <w:p>
            <w:pPr>
              <w:pStyle w:val="TableParagraph"/>
              <w:tabs>
                <w:tab w:pos="827" w:val="left" w:leader="none"/>
              </w:tabs>
              <w:spacing w:before="6"/>
              <w:ind w:right="2"/>
              <w:jc w:val="center"/>
              <w:rPr>
                <w:b/>
                <w:sz w:val="16"/>
              </w:rPr>
            </w:pPr>
            <w:r>
              <w:rPr>
                <w:b/>
                <w:sz w:val="16"/>
              </w:rPr>
              <w:t>-</w:t>
              <w:tab/>
            </w:r>
            <w:r>
              <w:rPr>
                <w:sz w:val="16"/>
              </w:rPr>
              <w:t>-  </w:t>
            </w:r>
            <w:r>
              <w:rPr>
                <w:spacing w:val="24"/>
                <w:sz w:val="16"/>
              </w:rPr>
              <w:t> </w:t>
            </w:r>
            <w:r>
              <w:rPr>
                <w:b/>
                <w:sz w:val="16"/>
              </w:rPr>
              <w:t>1,659,048</w:t>
            </w:r>
          </w:p>
        </w:tc>
        <w:tc>
          <w:tcPr>
            <w:tcW w:w="845" w:type="dxa"/>
            <w:tcBorders>
              <w:bottom w:val="single" w:sz="0" w:space="0" w:color="000000"/>
            </w:tcBorders>
          </w:tcPr>
          <w:p>
            <w:pPr>
              <w:pStyle w:val="TableParagraph"/>
              <w:spacing w:before="6"/>
              <w:ind w:right="73"/>
              <w:rPr>
                <w:sz w:val="16"/>
              </w:rPr>
            </w:pPr>
            <w:r>
              <w:rPr>
                <w:w w:val="95"/>
                <w:sz w:val="16"/>
              </w:rPr>
              <w:t>1,247,713</w:t>
            </w:r>
          </w:p>
        </w:tc>
      </w:tr>
      <w:tr>
        <w:trPr>
          <w:trHeight w:val="514" w:hRule="exact"/>
        </w:trPr>
        <w:tc>
          <w:tcPr>
            <w:tcW w:w="1514" w:type="dxa"/>
          </w:tcPr>
          <w:p>
            <w:pPr>
              <w:pStyle w:val="TableParagraph"/>
              <w:spacing w:before="123"/>
              <w:ind w:left="35"/>
              <w:jc w:val="left"/>
              <w:rPr>
                <w:b/>
                <w:sz w:val="16"/>
              </w:rPr>
            </w:pPr>
            <w:r>
              <w:rPr>
                <w:b/>
                <w:sz w:val="16"/>
              </w:rPr>
              <w:t>Total Financial Assets</w:t>
            </w:r>
          </w:p>
        </w:tc>
        <w:tc>
          <w:tcPr>
            <w:tcW w:w="656" w:type="dxa"/>
          </w:tcPr>
          <w:p>
            <w:pPr/>
          </w:p>
        </w:tc>
        <w:tc>
          <w:tcPr>
            <w:tcW w:w="566" w:type="dxa"/>
          </w:tcPr>
          <w:p>
            <w:pPr/>
          </w:p>
        </w:tc>
        <w:tc>
          <w:tcPr>
            <w:tcW w:w="910" w:type="dxa"/>
            <w:tcBorders>
              <w:top w:val="single" w:sz="0" w:space="0" w:color="000000"/>
              <w:bottom w:val="single" w:sz="0" w:space="0" w:color="000000"/>
            </w:tcBorders>
          </w:tcPr>
          <w:p>
            <w:pPr>
              <w:pStyle w:val="TableParagraph"/>
              <w:jc w:val="left"/>
              <w:rPr>
                <w:b/>
                <w:sz w:val="16"/>
              </w:rPr>
            </w:pPr>
          </w:p>
          <w:p>
            <w:pPr>
              <w:pStyle w:val="TableParagraph"/>
              <w:spacing w:before="122"/>
              <w:ind w:left="174" w:right="27"/>
              <w:jc w:val="center"/>
              <w:rPr>
                <w:b/>
                <w:sz w:val="16"/>
              </w:rPr>
            </w:pPr>
            <w:r>
              <w:rPr>
                <w:b/>
                <w:sz w:val="16"/>
              </w:rPr>
              <w:t>82,915</w:t>
            </w:r>
          </w:p>
        </w:tc>
        <w:tc>
          <w:tcPr>
            <w:tcW w:w="783" w:type="dxa"/>
            <w:tcBorders>
              <w:top w:val="single" w:sz="0" w:space="0" w:color="000000"/>
              <w:bottom w:val="single" w:sz="0" w:space="0" w:color="000000"/>
            </w:tcBorders>
          </w:tcPr>
          <w:p>
            <w:pPr>
              <w:pStyle w:val="TableParagraph"/>
              <w:jc w:val="left"/>
              <w:rPr>
                <w:b/>
                <w:sz w:val="16"/>
              </w:rPr>
            </w:pPr>
          </w:p>
          <w:p>
            <w:pPr>
              <w:pStyle w:val="TableParagraph"/>
              <w:spacing w:before="122"/>
              <w:ind w:right="67"/>
              <w:rPr>
                <w:sz w:val="16"/>
              </w:rPr>
            </w:pPr>
            <w:r>
              <w:rPr>
                <w:w w:val="95"/>
                <w:sz w:val="16"/>
              </w:rPr>
              <w:t>60,277</w:t>
            </w:r>
          </w:p>
        </w:tc>
        <w:tc>
          <w:tcPr>
            <w:tcW w:w="850" w:type="dxa"/>
            <w:tcBorders>
              <w:top w:val="single" w:sz="0" w:space="0" w:color="000000"/>
              <w:bottom w:val="single" w:sz="0" w:space="0" w:color="000000"/>
            </w:tcBorders>
          </w:tcPr>
          <w:p>
            <w:pPr>
              <w:pStyle w:val="TableParagraph"/>
              <w:jc w:val="left"/>
              <w:rPr>
                <w:b/>
                <w:sz w:val="16"/>
              </w:rPr>
            </w:pPr>
          </w:p>
          <w:p>
            <w:pPr>
              <w:pStyle w:val="TableParagraph"/>
              <w:spacing w:before="122"/>
              <w:ind w:right="68"/>
              <w:rPr>
                <w:b/>
                <w:sz w:val="16"/>
              </w:rPr>
            </w:pPr>
            <w:r>
              <w:rPr>
                <w:b/>
                <w:w w:val="95"/>
                <w:sz w:val="16"/>
              </w:rPr>
              <w:t>1,576,133</w:t>
            </w:r>
          </w:p>
        </w:tc>
        <w:tc>
          <w:tcPr>
            <w:tcW w:w="936" w:type="dxa"/>
            <w:tcBorders>
              <w:top w:val="single" w:sz="0" w:space="0" w:color="000000"/>
              <w:bottom w:val="single" w:sz="0" w:space="0" w:color="000000"/>
            </w:tcBorders>
          </w:tcPr>
          <w:p>
            <w:pPr>
              <w:pStyle w:val="TableParagraph"/>
              <w:jc w:val="left"/>
              <w:rPr>
                <w:b/>
                <w:sz w:val="16"/>
              </w:rPr>
            </w:pPr>
          </w:p>
          <w:p>
            <w:pPr>
              <w:pStyle w:val="TableParagraph"/>
              <w:spacing w:before="122"/>
              <w:ind w:right="153"/>
              <w:rPr>
                <w:sz w:val="16"/>
              </w:rPr>
            </w:pPr>
            <w:r>
              <w:rPr>
                <w:w w:val="95"/>
                <w:sz w:val="16"/>
              </w:rPr>
              <w:t>1,187,436</w:t>
            </w:r>
          </w:p>
        </w:tc>
        <w:tc>
          <w:tcPr>
            <w:tcW w:w="608" w:type="dxa"/>
            <w:tcBorders>
              <w:top w:val="single" w:sz="0" w:space="0" w:color="000000"/>
              <w:bottom w:val="single" w:sz="0" w:space="0" w:color="000000"/>
            </w:tcBorders>
          </w:tcPr>
          <w:p>
            <w:pPr/>
          </w:p>
        </w:tc>
        <w:tc>
          <w:tcPr>
            <w:tcW w:w="1865" w:type="dxa"/>
            <w:tcBorders>
              <w:top w:val="single" w:sz="0" w:space="0" w:color="000000"/>
              <w:bottom w:val="single" w:sz="0" w:space="0" w:color="000000"/>
            </w:tcBorders>
          </w:tcPr>
          <w:p>
            <w:pPr>
              <w:pStyle w:val="TableParagraph"/>
              <w:jc w:val="left"/>
              <w:rPr>
                <w:b/>
                <w:sz w:val="16"/>
              </w:rPr>
            </w:pPr>
          </w:p>
          <w:p>
            <w:pPr>
              <w:pStyle w:val="TableParagraph"/>
              <w:tabs>
                <w:tab w:pos="827" w:val="left" w:leader="none"/>
              </w:tabs>
              <w:spacing w:before="122"/>
              <w:ind w:right="2"/>
              <w:jc w:val="center"/>
              <w:rPr>
                <w:b/>
                <w:sz w:val="16"/>
              </w:rPr>
            </w:pPr>
            <w:r>
              <w:rPr>
                <w:b/>
                <w:sz w:val="16"/>
              </w:rPr>
              <w:t>-</w:t>
              <w:tab/>
            </w:r>
            <w:r>
              <w:rPr>
                <w:sz w:val="16"/>
              </w:rPr>
              <w:t>-  </w:t>
            </w:r>
            <w:r>
              <w:rPr>
                <w:spacing w:val="24"/>
                <w:sz w:val="16"/>
              </w:rPr>
              <w:t> </w:t>
            </w:r>
            <w:r>
              <w:rPr>
                <w:b/>
                <w:sz w:val="16"/>
              </w:rPr>
              <w:t>1,659,048</w:t>
            </w:r>
          </w:p>
        </w:tc>
        <w:tc>
          <w:tcPr>
            <w:tcW w:w="845" w:type="dxa"/>
            <w:tcBorders>
              <w:top w:val="single" w:sz="0" w:space="0" w:color="000000"/>
              <w:bottom w:val="single" w:sz="0" w:space="0" w:color="000000"/>
            </w:tcBorders>
          </w:tcPr>
          <w:p>
            <w:pPr>
              <w:pStyle w:val="TableParagraph"/>
              <w:jc w:val="left"/>
              <w:rPr>
                <w:b/>
                <w:sz w:val="16"/>
              </w:rPr>
            </w:pPr>
          </w:p>
          <w:p>
            <w:pPr>
              <w:pStyle w:val="TableParagraph"/>
              <w:spacing w:before="122"/>
              <w:ind w:right="73"/>
              <w:rPr>
                <w:sz w:val="16"/>
              </w:rPr>
            </w:pPr>
            <w:r>
              <w:rPr>
                <w:w w:val="95"/>
                <w:sz w:val="16"/>
              </w:rPr>
              <w:t>1,247,713</w:t>
            </w:r>
          </w:p>
        </w:tc>
      </w:tr>
      <w:tr>
        <w:trPr>
          <w:trHeight w:val="528" w:hRule="exact"/>
        </w:trPr>
        <w:tc>
          <w:tcPr>
            <w:tcW w:w="1514" w:type="dxa"/>
          </w:tcPr>
          <w:p>
            <w:pPr>
              <w:pStyle w:val="TableParagraph"/>
              <w:spacing w:before="138"/>
              <w:ind w:left="35" w:right="667"/>
              <w:jc w:val="left"/>
              <w:rPr>
                <w:b/>
                <w:sz w:val="16"/>
              </w:rPr>
            </w:pPr>
            <w:r>
              <w:rPr>
                <w:b/>
                <w:sz w:val="16"/>
              </w:rPr>
              <w:t>Financial Liabilities:</w:t>
            </w:r>
          </w:p>
        </w:tc>
        <w:tc>
          <w:tcPr>
            <w:tcW w:w="656" w:type="dxa"/>
          </w:tcPr>
          <w:p>
            <w:pPr/>
          </w:p>
        </w:tc>
        <w:tc>
          <w:tcPr>
            <w:tcW w:w="566" w:type="dxa"/>
          </w:tcPr>
          <w:p>
            <w:pPr/>
          </w:p>
        </w:tc>
        <w:tc>
          <w:tcPr>
            <w:tcW w:w="910" w:type="dxa"/>
            <w:tcBorders>
              <w:top w:val="single" w:sz="0" w:space="0" w:color="000000"/>
            </w:tcBorders>
          </w:tcPr>
          <w:p>
            <w:pPr/>
          </w:p>
        </w:tc>
        <w:tc>
          <w:tcPr>
            <w:tcW w:w="783" w:type="dxa"/>
            <w:tcBorders>
              <w:top w:val="single" w:sz="0" w:space="0" w:color="000000"/>
            </w:tcBorders>
          </w:tcPr>
          <w:p>
            <w:pPr/>
          </w:p>
        </w:tc>
        <w:tc>
          <w:tcPr>
            <w:tcW w:w="850" w:type="dxa"/>
            <w:tcBorders>
              <w:top w:val="single" w:sz="0" w:space="0" w:color="000000"/>
            </w:tcBorders>
          </w:tcPr>
          <w:p>
            <w:pPr/>
          </w:p>
        </w:tc>
        <w:tc>
          <w:tcPr>
            <w:tcW w:w="936" w:type="dxa"/>
            <w:tcBorders>
              <w:top w:val="single" w:sz="0" w:space="0" w:color="000000"/>
            </w:tcBorders>
          </w:tcPr>
          <w:p>
            <w:pPr/>
          </w:p>
        </w:tc>
        <w:tc>
          <w:tcPr>
            <w:tcW w:w="608" w:type="dxa"/>
            <w:tcBorders>
              <w:top w:val="single" w:sz="0" w:space="0" w:color="000000"/>
            </w:tcBorders>
          </w:tcPr>
          <w:p>
            <w:pPr/>
          </w:p>
        </w:tc>
        <w:tc>
          <w:tcPr>
            <w:tcW w:w="1865" w:type="dxa"/>
            <w:tcBorders>
              <w:top w:val="single" w:sz="0" w:space="0" w:color="000000"/>
            </w:tcBorders>
          </w:tcPr>
          <w:p>
            <w:pPr/>
          </w:p>
        </w:tc>
        <w:tc>
          <w:tcPr>
            <w:tcW w:w="845" w:type="dxa"/>
            <w:tcBorders>
              <w:top w:val="single" w:sz="0" w:space="0" w:color="000000"/>
            </w:tcBorders>
          </w:tcPr>
          <w:p>
            <w:pPr/>
          </w:p>
        </w:tc>
      </w:tr>
      <w:tr>
        <w:trPr>
          <w:trHeight w:val="228" w:hRule="exact"/>
        </w:trPr>
        <w:tc>
          <w:tcPr>
            <w:tcW w:w="1514" w:type="dxa"/>
          </w:tcPr>
          <w:p>
            <w:pPr>
              <w:pStyle w:val="TableParagraph"/>
              <w:spacing w:before="5"/>
              <w:ind w:left="35"/>
              <w:jc w:val="left"/>
              <w:rPr>
                <w:sz w:val="16"/>
              </w:rPr>
            </w:pPr>
            <w:r>
              <w:rPr>
                <w:sz w:val="16"/>
              </w:rPr>
              <w:t>Payables</w:t>
            </w:r>
          </w:p>
        </w:tc>
        <w:tc>
          <w:tcPr>
            <w:tcW w:w="656" w:type="dxa"/>
          </w:tcPr>
          <w:p>
            <w:pPr/>
          </w:p>
        </w:tc>
        <w:tc>
          <w:tcPr>
            <w:tcW w:w="566" w:type="dxa"/>
          </w:tcPr>
          <w:p>
            <w:pPr/>
          </w:p>
        </w:tc>
        <w:tc>
          <w:tcPr>
            <w:tcW w:w="910" w:type="dxa"/>
            <w:tcBorders>
              <w:bottom w:val="single" w:sz="0" w:space="0" w:color="000000"/>
            </w:tcBorders>
          </w:tcPr>
          <w:p>
            <w:pPr>
              <w:pStyle w:val="TableParagraph"/>
              <w:spacing w:before="6"/>
              <w:ind w:left="174" w:right="116"/>
              <w:jc w:val="center"/>
              <w:rPr>
                <w:b/>
                <w:sz w:val="16"/>
              </w:rPr>
            </w:pPr>
            <w:r>
              <w:rPr>
                <w:b/>
                <w:sz w:val="16"/>
              </w:rPr>
              <w:t>305,891</w:t>
            </w:r>
          </w:p>
        </w:tc>
        <w:tc>
          <w:tcPr>
            <w:tcW w:w="783" w:type="dxa"/>
            <w:tcBorders>
              <w:bottom w:val="single" w:sz="0" w:space="0" w:color="000000"/>
            </w:tcBorders>
          </w:tcPr>
          <w:p>
            <w:pPr>
              <w:pStyle w:val="TableParagraph"/>
              <w:spacing w:before="6"/>
              <w:ind w:right="67"/>
              <w:rPr>
                <w:sz w:val="16"/>
              </w:rPr>
            </w:pPr>
            <w:r>
              <w:rPr>
                <w:w w:val="95"/>
                <w:sz w:val="16"/>
              </w:rPr>
              <w:t>217,289</w:t>
            </w:r>
          </w:p>
        </w:tc>
        <w:tc>
          <w:tcPr>
            <w:tcW w:w="850" w:type="dxa"/>
            <w:tcBorders>
              <w:bottom w:val="single" w:sz="0" w:space="0" w:color="000000"/>
            </w:tcBorders>
          </w:tcPr>
          <w:p>
            <w:pPr>
              <w:pStyle w:val="TableParagraph"/>
              <w:spacing w:before="6"/>
              <w:ind w:right="68"/>
              <w:rPr>
                <w:b/>
                <w:sz w:val="16"/>
              </w:rPr>
            </w:pPr>
            <w:r>
              <w:rPr>
                <w:b/>
                <w:w w:val="99"/>
                <w:sz w:val="16"/>
              </w:rPr>
              <w:t>-</w:t>
            </w:r>
          </w:p>
        </w:tc>
        <w:tc>
          <w:tcPr>
            <w:tcW w:w="936" w:type="dxa"/>
            <w:tcBorders>
              <w:bottom w:val="single" w:sz="0" w:space="0" w:color="000000"/>
            </w:tcBorders>
          </w:tcPr>
          <w:p>
            <w:pPr>
              <w:pStyle w:val="TableParagraph"/>
              <w:spacing w:before="6"/>
              <w:ind w:right="153"/>
              <w:rPr>
                <w:sz w:val="16"/>
              </w:rPr>
            </w:pPr>
            <w:r>
              <w:rPr>
                <w:w w:val="99"/>
                <w:sz w:val="16"/>
              </w:rPr>
              <w:t>-</w:t>
            </w:r>
          </w:p>
        </w:tc>
        <w:tc>
          <w:tcPr>
            <w:tcW w:w="608" w:type="dxa"/>
            <w:tcBorders>
              <w:bottom w:val="single" w:sz="0" w:space="0" w:color="000000"/>
            </w:tcBorders>
          </w:tcPr>
          <w:p>
            <w:pPr/>
          </w:p>
        </w:tc>
        <w:tc>
          <w:tcPr>
            <w:tcW w:w="1865" w:type="dxa"/>
            <w:tcBorders>
              <w:bottom w:val="single" w:sz="0" w:space="0" w:color="000000"/>
            </w:tcBorders>
          </w:tcPr>
          <w:p>
            <w:pPr>
              <w:pStyle w:val="TableParagraph"/>
              <w:tabs>
                <w:tab w:pos="827" w:val="left" w:leader="none"/>
                <w:tab w:pos="1174" w:val="left" w:leader="none"/>
              </w:tabs>
              <w:spacing w:before="6"/>
              <w:ind w:right="2"/>
              <w:jc w:val="center"/>
              <w:rPr>
                <w:b/>
                <w:sz w:val="16"/>
              </w:rPr>
            </w:pPr>
            <w:r>
              <w:rPr>
                <w:b/>
                <w:sz w:val="16"/>
              </w:rPr>
              <w:t>-</w:t>
              <w:tab/>
            </w:r>
            <w:r>
              <w:rPr>
                <w:sz w:val="16"/>
              </w:rPr>
              <w:t>-</w:t>
              <w:tab/>
            </w:r>
            <w:r>
              <w:rPr>
                <w:b/>
                <w:sz w:val="16"/>
              </w:rPr>
              <w:t>305,891</w:t>
            </w:r>
          </w:p>
        </w:tc>
        <w:tc>
          <w:tcPr>
            <w:tcW w:w="845" w:type="dxa"/>
            <w:tcBorders>
              <w:bottom w:val="single" w:sz="0" w:space="0" w:color="000000"/>
            </w:tcBorders>
          </w:tcPr>
          <w:p>
            <w:pPr>
              <w:pStyle w:val="TableParagraph"/>
              <w:spacing w:before="6"/>
              <w:ind w:right="73"/>
              <w:rPr>
                <w:sz w:val="16"/>
              </w:rPr>
            </w:pPr>
            <w:r>
              <w:rPr>
                <w:w w:val="95"/>
                <w:sz w:val="16"/>
              </w:rPr>
              <w:t>217,289</w:t>
            </w:r>
          </w:p>
        </w:tc>
      </w:tr>
      <w:tr>
        <w:trPr>
          <w:trHeight w:val="514" w:hRule="exact"/>
        </w:trPr>
        <w:tc>
          <w:tcPr>
            <w:tcW w:w="1514" w:type="dxa"/>
          </w:tcPr>
          <w:p>
            <w:pPr>
              <w:pStyle w:val="TableParagraph"/>
              <w:spacing w:before="123"/>
              <w:ind w:left="35"/>
              <w:jc w:val="left"/>
              <w:rPr>
                <w:b/>
                <w:sz w:val="16"/>
              </w:rPr>
            </w:pPr>
            <w:r>
              <w:rPr>
                <w:b/>
                <w:sz w:val="16"/>
              </w:rPr>
              <w:t>Total Financial Liabilities</w:t>
            </w:r>
          </w:p>
        </w:tc>
        <w:tc>
          <w:tcPr>
            <w:tcW w:w="656" w:type="dxa"/>
          </w:tcPr>
          <w:p>
            <w:pPr/>
          </w:p>
        </w:tc>
        <w:tc>
          <w:tcPr>
            <w:tcW w:w="566" w:type="dxa"/>
          </w:tcPr>
          <w:p>
            <w:pPr/>
          </w:p>
        </w:tc>
        <w:tc>
          <w:tcPr>
            <w:tcW w:w="910" w:type="dxa"/>
            <w:tcBorders>
              <w:top w:val="single" w:sz="0" w:space="0" w:color="000000"/>
              <w:bottom w:val="single" w:sz="0" w:space="0" w:color="000000"/>
            </w:tcBorders>
          </w:tcPr>
          <w:p>
            <w:pPr>
              <w:pStyle w:val="TableParagraph"/>
              <w:jc w:val="left"/>
              <w:rPr>
                <w:b/>
                <w:sz w:val="16"/>
              </w:rPr>
            </w:pPr>
          </w:p>
          <w:p>
            <w:pPr>
              <w:pStyle w:val="TableParagraph"/>
              <w:spacing w:before="122"/>
              <w:ind w:left="174" w:right="116"/>
              <w:jc w:val="center"/>
              <w:rPr>
                <w:b/>
                <w:sz w:val="16"/>
              </w:rPr>
            </w:pPr>
            <w:r>
              <w:rPr>
                <w:b/>
                <w:sz w:val="16"/>
              </w:rPr>
              <w:t>305,891</w:t>
            </w:r>
          </w:p>
        </w:tc>
        <w:tc>
          <w:tcPr>
            <w:tcW w:w="783" w:type="dxa"/>
            <w:tcBorders>
              <w:top w:val="single" w:sz="0" w:space="0" w:color="000000"/>
              <w:bottom w:val="single" w:sz="0" w:space="0" w:color="000000"/>
            </w:tcBorders>
          </w:tcPr>
          <w:p>
            <w:pPr>
              <w:pStyle w:val="TableParagraph"/>
              <w:jc w:val="left"/>
              <w:rPr>
                <w:b/>
                <w:sz w:val="16"/>
              </w:rPr>
            </w:pPr>
          </w:p>
          <w:p>
            <w:pPr>
              <w:pStyle w:val="TableParagraph"/>
              <w:spacing w:before="122"/>
              <w:ind w:right="67"/>
              <w:rPr>
                <w:sz w:val="16"/>
              </w:rPr>
            </w:pPr>
            <w:r>
              <w:rPr>
                <w:w w:val="95"/>
                <w:sz w:val="16"/>
              </w:rPr>
              <w:t>217,289</w:t>
            </w:r>
          </w:p>
        </w:tc>
        <w:tc>
          <w:tcPr>
            <w:tcW w:w="850" w:type="dxa"/>
            <w:tcBorders>
              <w:top w:val="single" w:sz="0" w:space="0" w:color="000000"/>
              <w:bottom w:val="single" w:sz="0" w:space="0" w:color="000000"/>
            </w:tcBorders>
          </w:tcPr>
          <w:p>
            <w:pPr>
              <w:pStyle w:val="TableParagraph"/>
              <w:jc w:val="left"/>
              <w:rPr>
                <w:b/>
                <w:sz w:val="16"/>
              </w:rPr>
            </w:pPr>
          </w:p>
          <w:p>
            <w:pPr>
              <w:pStyle w:val="TableParagraph"/>
              <w:spacing w:before="122"/>
              <w:ind w:right="68"/>
              <w:rPr>
                <w:b/>
                <w:sz w:val="16"/>
              </w:rPr>
            </w:pPr>
            <w:r>
              <w:rPr>
                <w:b/>
                <w:w w:val="99"/>
                <w:sz w:val="16"/>
              </w:rPr>
              <w:t>-</w:t>
            </w:r>
          </w:p>
        </w:tc>
        <w:tc>
          <w:tcPr>
            <w:tcW w:w="936" w:type="dxa"/>
            <w:tcBorders>
              <w:top w:val="single" w:sz="0" w:space="0" w:color="000000"/>
              <w:bottom w:val="single" w:sz="0" w:space="0" w:color="000000"/>
            </w:tcBorders>
          </w:tcPr>
          <w:p>
            <w:pPr>
              <w:pStyle w:val="TableParagraph"/>
              <w:jc w:val="left"/>
              <w:rPr>
                <w:b/>
                <w:sz w:val="16"/>
              </w:rPr>
            </w:pPr>
          </w:p>
          <w:p>
            <w:pPr>
              <w:pStyle w:val="TableParagraph"/>
              <w:spacing w:before="122"/>
              <w:ind w:right="153"/>
              <w:rPr>
                <w:sz w:val="16"/>
              </w:rPr>
            </w:pPr>
            <w:r>
              <w:rPr>
                <w:w w:val="99"/>
                <w:sz w:val="16"/>
              </w:rPr>
              <w:t>-</w:t>
            </w:r>
          </w:p>
        </w:tc>
        <w:tc>
          <w:tcPr>
            <w:tcW w:w="608" w:type="dxa"/>
            <w:tcBorders>
              <w:top w:val="single" w:sz="0" w:space="0" w:color="000000"/>
              <w:bottom w:val="single" w:sz="0" w:space="0" w:color="000000"/>
            </w:tcBorders>
          </w:tcPr>
          <w:p>
            <w:pPr/>
          </w:p>
        </w:tc>
        <w:tc>
          <w:tcPr>
            <w:tcW w:w="1865" w:type="dxa"/>
            <w:tcBorders>
              <w:top w:val="single" w:sz="0" w:space="0" w:color="000000"/>
              <w:bottom w:val="single" w:sz="0" w:space="0" w:color="000000"/>
            </w:tcBorders>
          </w:tcPr>
          <w:p>
            <w:pPr>
              <w:pStyle w:val="TableParagraph"/>
              <w:jc w:val="left"/>
              <w:rPr>
                <w:b/>
                <w:sz w:val="16"/>
              </w:rPr>
            </w:pPr>
          </w:p>
          <w:p>
            <w:pPr>
              <w:pStyle w:val="TableParagraph"/>
              <w:tabs>
                <w:tab w:pos="827" w:val="left" w:leader="none"/>
                <w:tab w:pos="1174" w:val="left" w:leader="none"/>
              </w:tabs>
              <w:spacing w:before="122"/>
              <w:ind w:right="2"/>
              <w:jc w:val="center"/>
              <w:rPr>
                <w:b/>
                <w:sz w:val="16"/>
              </w:rPr>
            </w:pPr>
            <w:r>
              <w:rPr>
                <w:b/>
                <w:sz w:val="16"/>
              </w:rPr>
              <w:t>-</w:t>
              <w:tab/>
            </w:r>
            <w:r>
              <w:rPr>
                <w:sz w:val="16"/>
              </w:rPr>
              <w:t>-</w:t>
              <w:tab/>
            </w:r>
            <w:r>
              <w:rPr>
                <w:b/>
                <w:sz w:val="16"/>
              </w:rPr>
              <w:t>305,891</w:t>
            </w:r>
          </w:p>
        </w:tc>
        <w:tc>
          <w:tcPr>
            <w:tcW w:w="845" w:type="dxa"/>
            <w:tcBorders>
              <w:top w:val="single" w:sz="0" w:space="0" w:color="000000"/>
              <w:bottom w:val="single" w:sz="0" w:space="0" w:color="000000"/>
            </w:tcBorders>
          </w:tcPr>
          <w:p>
            <w:pPr>
              <w:pStyle w:val="TableParagraph"/>
              <w:jc w:val="left"/>
              <w:rPr>
                <w:b/>
                <w:sz w:val="16"/>
              </w:rPr>
            </w:pPr>
          </w:p>
          <w:p>
            <w:pPr>
              <w:pStyle w:val="TableParagraph"/>
              <w:spacing w:before="122"/>
              <w:ind w:right="73"/>
              <w:rPr>
                <w:sz w:val="16"/>
              </w:rPr>
            </w:pPr>
            <w:r>
              <w:rPr>
                <w:w w:val="95"/>
                <w:sz w:val="16"/>
              </w:rPr>
              <w:t>217,289</w:t>
            </w:r>
          </w:p>
        </w:tc>
      </w:tr>
    </w:tbl>
    <w:p>
      <w:pPr>
        <w:spacing w:after="0"/>
        <w:rPr>
          <w:sz w:val="16"/>
        </w:rPr>
        <w:sectPr>
          <w:pgSz w:w="12750" w:h="17680"/>
          <w:pgMar w:header="0" w:footer="867" w:top="3300" w:bottom="1120" w:left="0" w:right="0"/>
        </w:sectPr>
      </w:pPr>
    </w:p>
    <w:p>
      <w:pPr>
        <w:pStyle w:val="BodyText"/>
        <w:spacing w:before="3"/>
        <w:rPr>
          <w:b/>
          <w:sz w:val="20"/>
        </w:rPr>
      </w:pPr>
    </w:p>
    <w:p>
      <w:pPr>
        <w:pStyle w:val="ListParagraph"/>
        <w:numPr>
          <w:ilvl w:val="1"/>
          <w:numId w:val="72"/>
        </w:numPr>
        <w:tabs>
          <w:tab w:pos="2392" w:val="left" w:leader="none"/>
        </w:tabs>
        <w:spacing w:line="240" w:lineRule="auto" w:before="77" w:after="0"/>
        <w:ind w:left="2391" w:right="0" w:hanging="566"/>
        <w:jc w:val="left"/>
        <w:rPr>
          <w:b/>
          <w:sz w:val="18"/>
        </w:rPr>
      </w:pPr>
      <w:bookmarkStart w:name="(d) Fair value estimation" w:id="368"/>
      <w:bookmarkEnd w:id="368"/>
      <w:r>
        <w:rPr/>
      </w:r>
      <w:bookmarkStart w:name="(d) Fair value estimation" w:id="369"/>
      <w:bookmarkEnd w:id="369"/>
      <w:r>
        <w:rPr>
          <w:b/>
          <w:sz w:val="18"/>
        </w:rPr>
        <w:t>Fair</w:t>
      </w:r>
      <w:r>
        <w:rPr>
          <w:b/>
          <w:sz w:val="18"/>
        </w:rPr>
        <w:t> value</w:t>
      </w:r>
      <w:r>
        <w:rPr>
          <w:b/>
          <w:spacing w:val="-5"/>
          <w:sz w:val="18"/>
        </w:rPr>
        <w:t> </w:t>
      </w:r>
      <w:r>
        <w:rPr>
          <w:b/>
          <w:sz w:val="18"/>
        </w:rPr>
        <w:t>estimation</w:t>
      </w:r>
    </w:p>
    <w:p>
      <w:pPr>
        <w:pStyle w:val="BodyText"/>
        <w:spacing w:before="146"/>
        <w:ind w:left="1852" w:right="1375"/>
      </w:pPr>
      <w:r>
        <w:rPr/>
        <w:t>The fair value of financial assets and financial liabilities must be estimated for recognition and measurement or for disclosure purposes.</w:t>
      </w:r>
    </w:p>
    <w:p>
      <w:pPr>
        <w:pStyle w:val="BodyText"/>
        <w:spacing w:before="141"/>
        <w:ind w:left="1852" w:right="1409"/>
      </w:pPr>
      <w:bookmarkStart w:name="16 Economic dependency" w:id="370"/>
      <w:bookmarkEnd w:id="370"/>
      <w:r>
        <w:rPr/>
      </w:r>
      <w:r>
        <w:rPr/>
        <w:t>Due to the Company's financial instruments short-term nature, the carrying value of all financial instruments recognised in the statement of financial position approximates their fair value.</w:t>
      </w:r>
    </w:p>
    <w:p>
      <w:pPr>
        <w:pStyle w:val="BodyText"/>
      </w:pPr>
    </w:p>
    <w:p>
      <w:pPr>
        <w:pStyle w:val="BodyText"/>
        <w:spacing w:before="11"/>
        <w:rPr>
          <w:sz w:val="22"/>
        </w:rPr>
      </w:pPr>
    </w:p>
    <w:p>
      <w:pPr>
        <w:pStyle w:val="Heading8"/>
        <w:numPr>
          <w:ilvl w:val="0"/>
          <w:numId w:val="72"/>
        </w:numPr>
        <w:tabs>
          <w:tab w:pos="1824" w:val="left" w:leader="none"/>
        </w:tabs>
        <w:spacing w:line="240" w:lineRule="auto" w:before="0" w:after="0"/>
        <w:ind w:left="1824" w:right="0" w:hanging="395"/>
        <w:jc w:val="left"/>
      </w:pPr>
      <w:r>
        <w:rPr/>
        <w:t>Economic dependency</w:t>
      </w:r>
    </w:p>
    <w:p>
      <w:pPr>
        <w:pStyle w:val="BodyText"/>
        <w:spacing w:before="11"/>
        <w:rPr>
          <w:b/>
          <w:sz w:val="24"/>
        </w:rPr>
      </w:pPr>
    </w:p>
    <w:p>
      <w:pPr>
        <w:pStyle w:val="BodyText"/>
        <w:ind w:left="1852" w:right="1375"/>
      </w:pPr>
      <w:bookmarkStart w:name="17 Events occurring after the reporting " w:id="371"/>
      <w:bookmarkEnd w:id="371"/>
      <w:r>
        <w:rPr/>
      </w:r>
      <w:r>
        <w:rPr/>
        <w:t>The Company is economically dependent on Western Sydney University for the provision of accommodation for each centre and operational support activities.</w:t>
      </w:r>
    </w:p>
    <w:p>
      <w:pPr>
        <w:pStyle w:val="BodyText"/>
        <w:spacing w:before="11"/>
        <w:rPr>
          <w:sz w:val="24"/>
        </w:rPr>
      </w:pPr>
    </w:p>
    <w:p>
      <w:pPr>
        <w:pStyle w:val="Heading8"/>
        <w:numPr>
          <w:ilvl w:val="0"/>
          <w:numId w:val="72"/>
        </w:numPr>
        <w:tabs>
          <w:tab w:pos="1824" w:val="left" w:leader="none"/>
        </w:tabs>
        <w:spacing w:line="240" w:lineRule="auto" w:before="0" w:after="0"/>
        <w:ind w:left="1824" w:right="0" w:hanging="396"/>
        <w:jc w:val="left"/>
      </w:pPr>
      <w:r>
        <w:rPr/>
        <w:t>Events occurring after the reporting</w:t>
      </w:r>
      <w:r>
        <w:rPr>
          <w:spacing w:val="-7"/>
        </w:rPr>
        <w:t> </w:t>
      </w:r>
      <w:r>
        <w:rPr/>
        <w:t>date</w:t>
      </w:r>
    </w:p>
    <w:p>
      <w:pPr>
        <w:pStyle w:val="BodyText"/>
        <w:spacing w:before="11"/>
        <w:rPr>
          <w:b/>
          <w:sz w:val="24"/>
        </w:rPr>
      </w:pPr>
    </w:p>
    <w:p>
      <w:pPr>
        <w:pStyle w:val="BodyText"/>
        <w:ind w:left="1852" w:right="1372"/>
      </w:pPr>
      <w:r>
        <w:rPr/>
        <w:drawing>
          <wp:anchor distT="0" distB="0" distL="0" distR="0" allowOverlap="1" layoutInCell="1" locked="0" behindDoc="0" simplePos="0" relativeHeight="13216">
            <wp:simplePos x="0" y="0"/>
            <wp:positionH relativeFrom="page">
              <wp:posOffset>-1587</wp:posOffset>
            </wp:positionH>
            <wp:positionV relativeFrom="paragraph">
              <wp:posOffset>1021764</wp:posOffset>
            </wp:positionV>
            <wp:extent cx="135159" cy="154019"/>
            <wp:effectExtent l="0" t="0" r="0" b="0"/>
            <wp:wrapNone/>
            <wp:docPr id="883" name="image13.png" descr=""/>
            <wp:cNvGraphicFramePr>
              <a:graphicFrameLocks noChangeAspect="1"/>
            </wp:cNvGraphicFramePr>
            <a:graphic>
              <a:graphicData uri="http://schemas.openxmlformats.org/drawingml/2006/picture">
                <pic:pic>
                  <pic:nvPicPr>
                    <pic:cNvPr id="884" name="image13.png"/>
                    <pic:cNvPicPr/>
                  </pic:nvPicPr>
                  <pic:blipFill>
                    <a:blip r:embed="rId18" cstate="print"/>
                    <a:stretch>
                      <a:fillRect/>
                    </a:stretch>
                  </pic:blipFill>
                  <pic:spPr>
                    <a:xfrm>
                      <a:off x="0" y="0"/>
                      <a:ext cx="135159" cy="154019"/>
                    </a:xfrm>
                    <a:prstGeom prst="rect">
                      <a:avLst/>
                    </a:prstGeom>
                  </pic:spPr>
                </pic:pic>
              </a:graphicData>
            </a:graphic>
          </wp:anchor>
        </w:drawing>
      </w:r>
      <w:r>
        <w:rPr/>
        <w:drawing>
          <wp:anchor distT="0" distB="0" distL="0" distR="0" allowOverlap="1" layoutInCell="1" locked="0" behindDoc="0" simplePos="0" relativeHeight="13240">
            <wp:simplePos x="0" y="0"/>
            <wp:positionH relativeFrom="page">
              <wp:posOffset>7958429</wp:posOffset>
            </wp:positionH>
            <wp:positionV relativeFrom="paragraph">
              <wp:posOffset>1021764</wp:posOffset>
            </wp:positionV>
            <wp:extent cx="135953" cy="155575"/>
            <wp:effectExtent l="0" t="0" r="0" b="0"/>
            <wp:wrapNone/>
            <wp:docPr id="885" name="image15.png" descr=""/>
            <wp:cNvGraphicFramePr>
              <a:graphicFrameLocks noChangeAspect="1"/>
            </wp:cNvGraphicFramePr>
            <a:graphic>
              <a:graphicData uri="http://schemas.openxmlformats.org/drawingml/2006/picture">
                <pic:pic>
                  <pic:nvPicPr>
                    <pic:cNvPr id="886" name="image15.png"/>
                    <pic:cNvPicPr/>
                  </pic:nvPicPr>
                  <pic:blipFill>
                    <a:blip r:embed="rId20" cstate="print"/>
                    <a:stretch>
                      <a:fillRect/>
                    </a:stretch>
                  </pic:blipFill>
                  <pic:spPr>
                    <a:xfrm>
                      <a:off x="0" y="0"/>
                      <a:ext cx="135953" cy="155575"/>
                    </a:xfrm>
                    <a:prstGeom prst="rect">
                      <a:avLst/>
                    </a:prstGeom>
                  </pic:spPr>
                </pic:pic>
              </a:graphicData>
            </a:graphic>
          </wp:anchor>
        </w:drawing>
      </w:r>
      <w:r>
        <w:rPr/>
        <w:t>No matters or circumstances have arisen since the end of the financial period which significantly affected or may significantly affect the operations of the Company, the results of those operations, or the state of affairs of the Company in future financial years.</w:t>
      </w:r>
    </w:p>
    <w:p>
      <w:pPr>
        <w:spacing w:after="0"/>
        <w:sectPr>
          <w:pgSz w:w="12750" w:h="17680"/>
          <w:pgMar w:header="0" w:footer="867" w:top="3300" w:bottom="1120" w:left="0" w:right="0"/>
        </w:sectPr>
      </w:pPr>
    </w:p>
    <w:p>
      <w:pPr>
        <w:pStyle w:val="BodyText"/>
        <w:spacing w:before="8"/>
        <w:rPr>
          <w:sz w:val="23"/>
        </w:rPr>
      </w:pPr>
    </w:p>
    <w:p>
      <w:pPr>
        <w:pStyle w:val="Heading5"/>
        <w:spacing w:line="240" w:lineRule="auto" w:before="69"/>
        <w:ind w:left="1428" w:right="0"/>
      </w:pPr>
      <w:bookmarkStart w:name="Statement by Directors" w:id="372"/>
      <w:bookmarkEnd w:id="372"/>
      <w:r>
        <w:rPr>
          <w:b w:val="0"/>
        </w:rPr>
      </w:r>
      <w:r>
        <w:rPr/>
        <w:t>Statement by Directors</w:t>
      </w:r>
    </w:p>
    <w:p>
      <w:pPr>
        <w:pStyle w:val="BodyText"/>
        <w:rPr>
          <w:b/>
          <w:sz w:val="25"/>
        </w:rPr>
      </w:pPr>
    </w:p>
    <w:p>
      <w:pPr>
        <w:pStyle w:val="BodyText"/>
        <w:ind w:left="1428"/>
      </w:pPr>
      <w:r>
        <w:rPr/>
        <w:t>The directors of the UWS Early Learning Limited declare that:</w:t>
      </w:r>
    </w:p>
    <w:p>
      <w:pPr>
        <w:pStyle w:val="BodyText"/>
      </w:pPr>
    </w:p>
    <w:p>
      <w:pPr>
        <w:pStyle w:val="BodyText"/>
        <w:spacing w:before="10"/>
        <w:rPr>
          <w:sz w:val="24"/>
        </w:rPr>
      </w:pPr>
    </w:p>
    <w:p>
      <w:pPr>
        <w:pStyle w:val="ListParagraph"/>
        <w:numPr>
          <w:ilvl w:val="0"/>
          <w:numId w:val="75"/>
        </w:numPr>
        <w:tabs>
          <w:tab w:pos="1824" w:val="left" w:leader="none"/>
        </w:tabs>
        <w:spacing w:line="240" w:lineRule="auto" w:before="1" w:after="0"/>
        <w:ind w:left="1824" w:right="1608" w:hanging="396"/>
        <w:jc w:val="left"/>
        <w:rPr>
          <w:sz w:val="18"/>
        </w:rPr>
      </w:pPr>
      <w:r>
        <w:rPr>
          <w:sz w:val="18"/>
        </w:rPr>
        <w:t>Under</w:t>
      </w:r>
      <w:r>
        <w:rPr>
          <w:spacing w:val="-5"/>
          <w:sz w:val="18"/>
        </w:rPr>
        <w:t> </w:t>
      </w:r>
      <w:r>
        <w:rPr>
          <w:sz w:val="18"/>
        </w:rPr>
        <w:t>s41C</w:t>
      </w:r>
      <w:r>
        <w:rPr>
          <w:spacing w:val="-5"/>
          <w:sz w:val="18"/>
        </w:rPr>
        <w:t> </w:t>
      </w:r>
      <w:r>
        <w:rPr>
          <w:sz w:val="18"/>
        </w:rPr>
        <w:t>(1b)</w:t>
      </w:r>
      <w:r>
        <w:rPr>
          <w:spacing w:val="-5"/>
          <w:sz w:val="18"/>
        </w:rPr>
        <w:t> </w:t>
      </w:r>
      <w:r>
        <w:rPr>
          <w:sz w:val="18"/>
        </w:rPr>
        <w:t>of</w:t>
      </w:r>
      <w:r>
        <w:rPr>
          <w:spacing w:val="-5"/>
          <w:sz w:val="18"/>
        </w:rPr>
        <w:t> </w:t>
      </w:r>
      <w:r>
        <w:rPr>
          <w:sz w:val="18"/>
        </w:rPr>
        <w:t>the</w:t>
      </w:r>
      <w:r>
        <w:rPr>
          <w:spacing w:val="-5"/>
          <w:sz w:val="18"/>
        </w:rPr>
        <w:t> </w:t>
      </w:r>
      <w:r>
        <w:rPr>
          <w:sz w:val="18"/>
        </w:rPr>
        <w:t>Public</w:t>
      </w:r>
      <w:r>
        <w:rPr>
          <w:spacing w:val="-4"/>
          <w:sz w:val="18"/>
        </w:rPr>
        <w:t> </w:t>
      </w:r>
      <w:r>
        <w:rPr>
          <w:sz w:val="18"/>
        </w:rPr>
        <w:t>Finance</w:t>
      </w:r>
      <w:r>
        <w:rPr>
          <w:spacing w:val="-5"/>
          <w:sz w:val="18"/>
        </w:rPr>
        <w:t> </w:t>
      </w:r>
      <w:r>
        <w:rPr>
          <w:sz w:val="18"/>
        </w:rPr>
        <w:t>&amp;</w:t>
      </w:r>
      <w:r>
        <w:rPr>
          <w:spacing w:val="-5"/>
          <w:sz w:val="18"/>
        </w:rPr>
        <w:t> </w:t>
      </w:r>
      <w:r>
        <w:rPr>
          <w:sz w:val="18"/>
        </w:rPr>
        <w:t>Audit</w:t>
      </w:r>
      <w:r>
        <w:rPr>
          <w:spacing w:val="-5"/>
          <w:sz w:val="18"/>
        </w:rPr>
        <w:t> </w:t>
      </w:r>
      <w:r>
        <w:rPr>
          <w:sz w:val="18"/>
        </w:rPr>
        <w:t>Act</w:t>
      </w:r>
      <w:r>
        <w:rPr>
          <w:spacing w:val="-5"/>
          <w:sz w:val="18"/>
        </w:rPr>
        <w:t> </w:t>
      </w:r>
      <w:r>
        <w:rPr>
          <w:sz w:val="18"/>
        </w:rPr>
        <w:t>1983</w:t>
      </w:r>
      <w:r>
        <w:rPr>
          <w:spacing w:val="-5"/>
          <w:sz w:val="18"/>
        </w:rPr>
        <w:t> </w:t>
      </w:r>
      <w:r>
        <w:rPr>
          <w:sz w:val="18"/>
        </w:rPr>
        <w:t>we</w:t>
      </w:r>
      <w:r>
        <w:rPr>
          <w:spacing w:val="-5"/>
          <w:sz w:val="18"/>
        </w:rPr>
        <w:t> </w:t>
      </w:r>
      <w:r>
        <w:rPr>
          <w:sz w:val="18"/>
        </w:rPr>
        <w:t>state</w:t>
      </w:r>
      <w:r>
        <w:rPr>
          <w:spacing w:val="-5"/>
          <w:sz w:val="18"/>
        </w:rPr>
        <w:t> </w:t>
      </w:r>
      <w:r>
        <w:rPr>
          <w:sz w:val="18"/>
        </w:rPr>
        <w:t>to</w:t>
      </w:r>
      <w:r>
        <w:rPr>
          <w:spacing w:val="-5"/>
          <w:sz w:val="18"/>
        </w:rPr>
        <w:t> </w:t>
      </w:r>
      <w:r>
        <w:rPr>
          <w:sz w:val="18"/>
        </w:rPr>
        <w:t>the</w:t>
      </w:r>
      <w:r>
        <w:rPr>
          <w:spacing w:val="-5"/>
          <w:sz w:val="18"/>
        </w:rPr>
        <w:t> </w:t>
      </w:r>
      <w:r>
        <w:rPr>
          <w:sz w:val="18"/>
        </w:rPr>
        <w:t>best</w:t>
      </w:r>
      <w:r>
        <w:rPr>
          <w:spacing w:val="-5"/>
          <w:sz w:val="18"/>
        </w:rPr>
        <w:t> </w:t>
      </w:r>
      <w:r>
        <w:rPr>
          <w:sz w:val="18"/>
        </w:rPr>
        <w:t>of</w:t>
      </w:r>
      <w:r>
        <w:rPr>
          <w:spacing w:val="-5"/>
          <w:sz w:val="18"/>
        </w:rPr>
        <w:t> </w:t>
      </w:r>
      <w:r>
        <w:rPr>
          <w:sz w:val="18"/>
        </w:rPr>
        <w:t>our</w:t>
      </w:r>
      <w:r>
        <w:rPr>
          <w:spacing w:val="-5"/>
          <w:sz w:val="18"/>
        </w:rPr>
        <w:t> </w:t>
      </w:r>
      <w:r>
        <w:rPr>
          <w:sz w:val="18"/>
        </w:rPr>
        <w:t>knowledge</w:t>
      </w:r>
      <w:r>
        <w:rPr>
          <w:spacing w:val="-5"/>
          <w:sz w:val="18"/>
        </w:rPr>
        <w:t> </w:t>
      </w:r>
      <w:r>
        <w:rPr>
          <w:sz w:val="18"/>
        </w:rPr>
        <w:t>and</w:t>
      </w:r>
      <w:r>
        <w:rPr>
          <w:spacing w:val="-5"/>
          <w:sz w:val="18"/>
        </w:rPr>
        <w:t> </w:t>
      </w:r>
      <w:r>
        <w:rPr>
          <w:sz w:val="18"/>
        </w:rPr>
        <w:t>belief</w:t>
      </w:r>
      <w:r>
        <w:rPr>
          <w:spacing w:val="-5"/>
          <w:sz w:val="18"/>
        </w:rPr>
        <w:t> </w:t>
      </w:r>
      <w:r>
        <w:rPr>
          <w:sz w:val="18"/>
        </w:rPr>
        <w:t>the</w:t>
      </w:r>
      <w:r>
        <w:rPr>
          <w:spacing w:val="-5"/>
          <w:sz w:val="18"/>
        </w:rPr>
        <w:t> </w:t>
      </w:r>
      <w:r>
        <w:rPr>
          <w:sz w:val="18"/>
        </w:rPr>
        <w:t>financial statements</w:t>
      </w:r>
      <w:r>
        <w:rPr>
          <w:spacing w:val="-5"/>
          <w:sz w:val="18"/>
        </w:rPr>
        <w:t> </w:t>
      </w:r>
      <w:r>
        <w:rPr>
          <w:sz w:val="18"/>
        </w:rPr>
        <w:t>and</w:t>
      </w:r>
      <w:r>
        <w:rPr>
          <w:spacing w:val="-5"/>
          <w:sz w:val="18"/>
        </w:rPr>
        <w:t> </w:t>
      </w:r>
      <w:r>
        <w:rPr>
          <w:sz w:val="18"/>
        </w:rPr>
        <w:t>notes,</w:t>
      </w:r>
      <w:r>
        <w:rPr>
          <w:spacing w:val="-5"/>
          <w:sz w:val="18"/>
        </w:rPr>
        <w:t> </w:t>
      </w:r>
      <w:r>
        <w:rPr>
          <w:sz w:val="18"/>
        </w:rPr>
        <w:t>as</w:t>
      </w:r>
      <w:r>
        <w:rPr>
          <w:spacing w:val="-5"/>
          <w:sz w:val="18"/>
        </w:rPr>
        <w:t> </w:t>
      </w:r>
      <w:r>
        <w:rPr>
          <w:sz w:val="18"/>
        </w:rPr>
        <w:t>set</w:t>
      </w:r>
      <w:r>
        <w:rPr>
          <w:spacing w:val="-5"/>
          <w:sz w:val="18"/>
        </w:rPr>
        <w:t> </w:t>
      </w:r>
      <w:r>
        <w:rPr>
          <w:sz w:val="18"/>
        </w:rPr>
        <w:t>out</w:t>
      </w:r>
      <w:r>
        <w:rPr>
          <w:spacing w:val="-5"/>
          <w:sz w:val="18"/>
        </w:rPr>
        <w:t> </w:t>
      </w:r>
      <w:r>
        <w:rPr>
          <w:sz w:val="18"/>
        </w:rPr>
        <w:t>on</w:t>
      </w:r>
      <w:r>
        <w:rPr>
          <w:spacing w:val="-5"/>
          <w:sz w:val="18"/>
        </w:rPr>
        <w:t> </w:t>
      </w:r>
      <w:r>
        <w:rPr>
          <w:sz w:val="18"/>
        </w:rPr>
        <w:t>pages</w:t>
      </w:r>
      <w:r>
        <w:rPr>
          <w:spacing w:val="-5"/>
          <w:sz w:val="18"/>
        </w:rPr>
        <w:t> </w:t>
      </w:r>
      <w:r>
        <w:rPr>
          <w:sz w:val="18"/>
        </w:rPr>
        <w:t>171</w:t>
      </w:r>
      <w:r>
        <w:rPr>
          <w:spacing w:val="-5"/>
          <w:sz w:val="18"/>
        </w:rPr>
        <w:t> </w:t>
      </w:r>
      <w:r>
        <w:rPr>
          <w:sz w:val="18"/>
        </w:rPr>
        <w:t>to</w:t>
      </w:r>
      <w:r>
        <w:rPr>
          <w:spacing w:val="-5"/>
          <w:sz w:val="18"/>
        </w:rPr>
        <w:t> </w:t>
      </w:r>
      <w:r>
        <w:rPr>
          <w:sz w:val="18"/>
        </w:rPr>
        <w:t>187:</w:t>
      </w:r>
    </w:p>
    <w:p>
      <w:pPr>
        <w:pStyle w:val="BodyText"/>
        <w:spacing w:before="11"/>
        <w:rPr>
          <w:sz w:val="24"/>
        </w:rPr>
      </w:pPr>
    </w:p>
    <w:p>
      <w:pPr>
        <w:pStyle w:val="ListParagraph"/>
        <w:numPr>
          <w:ilvl w:val="1"/>
          <w:numId w:val="75"/>
        </w:numPr>
        <w:tabs>
          <w:tab w:pos="2222" w:val="left" w:leader="none"/>
        </w:tabs>
        <w:spacing w:line="240" w:lineRule="auto" w:before="0" w:after="0"/>
        <w:ind w:left="2221" w:right="1400" w:hanging="397"/>
        <w:jc w:val="left"/>
        <w:rPr>
          <w:sz w:val="18"/>
        </w:rPr>
      </w:pPr>
      <w:r>
        <w:rPr>
          <w:sz w:val="18"/>
        </w:rPr>
        <w:t>comply</w:t>
      </w:r>
      <w:r>
        <w:rPr>
          <w:spacing w:val="-6"/>
          <w:sz w:val="18"/>
        </w:rPr>
        <w:t> </w:t>
      </w:r>
      <w:r>
        <w:rPr>
          <w:sz w:val="18"/>
        </w:rPr>
        <w:t>with</w:t>
      </w:r>
      <w:r>
        <w:rPr>
          <w:spacing w:val="-6"/>
          <w:sz w:val="18"/>
        </w:rPr>
        <w:t> </w:t>
      </w:r>
      <w:r>
        <w:rPr>
          <w:sz w:val="18"/>
        </w:rPr>
        <w:t>Australian</w:t>
      </w:r>
      <w:r>
        <w:rPr>
          <w:spacing w:val="-6"/>
          <w:sz w:val="18"/>
        </w:rPr>
        <w:t> </w:t>
      </w:r>
      <w:r>
        <w:rPr>
          <w:sz w:val="18"/>
        </w:rPr>
        <w:t>Accounting</w:t>
      </w:r>
      <w:r>
        <w:rPr>
          <w:spacing w:val="-6"/>
          <w:sz w:val="18"/>
        </w:rPr>
        <w:t> </w:t>
      </w:r>
      <w:r>
        <w:rPr>
          <w:sz w:val="18"/>
        </w:rPr>
        <w:t>Standards,</w:t>
      </w:r>
      <w:r>
        <w:rPr>
          <w:spacing w:val="-6"/>
          <w:sz w:val="18"/>
        </w:rPr>
        <w:t> </w:t>
      </w:r>
      <w:r>
        <w:rPr>
          <w:sz w:val="18"/>
        </w:rPr>
        <w:t>the</w:t>
      </w:r>
      <w:r>
        <w:rPr>
          <w:spacing w:val="-6"/>
          <w:sz w:val="18"/>
        </w:rPr>
        <w:t> </w:t>
      </w:r>
      <w:r>
        <w:rPr>
          <w:sz w:val="18"/>
        </w:rPr>
        <w:t>Public</w:t>
      </w:r>
      <w:r>
        <w:rPr>
          <w:spacing w:val="-6"/>
          <w:sz w:val="18"/>
        </w:rPr>
        <w:t> </w:t>
      </w:r>
      <w:r>
        <w:rPr>
          <w:sz w:val="18"/>
        </w:rPr>
        <w:t>Finance</w:t>
      </w:r>
      <w:r>
        <w:rPr>
          <w:spacing w:val="-6"/>
          <w:sz w:val="18"/>
        </w:rPr>
        <w:t> </w:t>
      </w:r>
      <w:r>
        <w:rPr>
          <w:sz w:val="18"/>
        </w:rPr>
        <w:t>and</w:t>
      </w:r>
      <w:r>
        <w:rPr>
          <w:spacing w:val="-6"/>
          <w:sz w:val="18"/>
        </w:rPr>
        <w:t> </w:t>
      </w:r>
      <w:r>
        <w:rPr>
          <w:sz w:val="18"/>
        </w:rPr>
        <w:t>Audit</w:t>
      </w:r>
      <w:r>
        <w:rPr>
          <w:spacing w:val="-6"/>
          <w:sz w:val="18"/>
        </w:rPr>
        <w:t> </w:t>
      </w:r>
      <w:r>
        <w:rPr>
          <w:sz w:val="18"/>
        </w:rPr>
        <w:t>Act</w:t>
      </w:r>
      <w:r>
        <w:rPr>
          <w:spacing w:val="-6"/>
          <w:sz w:val="18"/>
        </w:rPr>
        <w:t> </w:t>
      </w:r>
      <w:r>
        <w:rPr>
          <w:sz w:val="18"/>
        </w:rPr>
        <w:t>1983,</w:t>
      </w:r>
      <w:r>
        <w:rPr>
          <w:spacing w:val="-6"/>
          <w:sz w:val="18"/>
        </w:rPr>
        <w:t> </w:t>
      </w:r>
      <w:r>
        <w:rPr>
          <w:sz w:val="18"/>
        </w:rPr>
        <w:t>the</w:t>
      </w:r>
      <w:r>
        <w:rPr>
          <w:spacing w:val="-6"/>
          <w:sz w:val="18"/>
        </w:rPr>
        <w:t> </w:t>
      </w:r>
      <w:r>
        <w:rPr>
          <w:sz w:val="18"/>
        </w:rPr>
        <w:t>Public</w:t>
      </w:r>
      <w:r>
        <w:rPr>
          <w:spacing w:val="-6"/>
          <w:sz w:val="18"/>
        </w:rPr>
        <w:t> </w:t>
      </w:r>
      <w:r>
        <w:rPr>
          <w:sz w:val="18"/>
        </w:rPr>
        <w:t>Finance</w:t>
      </w:r>
      <w:r>
        <w:rPr>
          <w:spacing w:val="-6"/>
          <w:sz w:val="18"/>
        </w:rPr>
        <w:t> </w:t>
      </w:r>
      <w:r>
        <w:rPr>
          <w:sz w:val="18"/>
        </w:rPr>
        <w:t>and</w:t>
      </w:r>
      <w:r>
        <w:rPr>
          <w:spacing w:val="-6"/>
          <w:sz w:val="18"/>
        </w:rPr>
        <w:t> </w:t>
      </w:r>
      <w:r>
        <w:rPr>
          <w:sz w:val="18"/>
        </w:rPr>
        <w:t>Audit Regulation</w:t>
      </w:r>
      <w:r>
        <w:rPr>
          <w:spacing w:val="-9"/>
          <w:sz w:val="18"/>
        </w:rPr>
        <w:t> </w:t>
      </w:r>
      <w:r>
        <w:rPr>
          <w:sz w:val="18"/>
        </w:rPr>
        <w:t>2015</w:t>
      </w:r>
      <w:r>
        <w:rPr>
          <w:spacing w:val="-9"/>
          <w:sz w:val="18"/>
        </w:rPr>
        <w:t> </w:t>
      </w:r>
      <w:r>
        <w:rPr>
          <w:sz w:val="18"/>
        </w:rPr>
        <w:t>and</w:t>
      </w:r>
      <w:r>
        <w:rPr>
          <w:spacing w:val="-9"/>
          <w:sz w:val="18"/>
        </w:rPr>
        <w:t> </w:t>
      </w:r>
      <w:r>
        <w:rPr>
          <w:sz w:val="18"/>
        </w:rPr>
        <w:t>the</w:t>
      </w:r>
      <w:r>
        <w:rPr>
          <w:spacing w:val="-9"/>
          <w:sz w:val="18"/>
        </w:rPr>
        <w:t> </w:t>
      </w:r>
      <w:r>
        <w:rPr>
          <w:sz w:val="18"/>
        </w:rPr>
        <w:t>mandatory</w:t>
      </w:r>
      <w:r>
        <w:rPr>
          <w:spacing w:val="-9"/>
          <w:sz w:val="18"/>
        </w:rPr>
        <w:t> </w:t>
      </w:r>
      <w:r>
        <w:rPr>
          <w:sz w:val="18"/>
        </w:rPr>
        <w:t>professional</w:t>
      </w:r>
      <w:r>
        <w:rPr>
          <w:spacing w:val="-9"/>
          <w:sz w:val="18"/>
        </w:rPr>
        <w:t> </w:t>
      </w:r>
      <w:r>
        <w:rPr>
          <w:sz w:val="18"/>
        </w:rPr>
        <w:t>reporting</w:t>
      </w:r>
      <w:r>
        <w:rPr>
          <w:spacing w:val="-9"/>
          <w:sz w:val="18"/>
        </w:rPr>
        <w:t> </w:t>
      </w:r>
      <w:r>
        <w:rPr>
          <w:sz w:val="18"/>
        </w:rPr>
        <w:t>requirements,</w:t>
      </w:r>
      <w:r>
        <w:rPr>
          <w:spacing w:val="-9"/>
          <w:sz w:val="18"/>
        </w:rPr>
        <w:t> </w:t>
      </w:r>
      <w:r>
        <w:rPr>
          <w:sz w:val="18"/>
        </w:rPr>
        <w:t>and</w:t>
      </w:r>
    </w:p>
    <w:p>
      <w:pPr>
        <w:pStyle w:val="BodyText"/>
        <w:spacing w:before="11"/>
        <w:rPr>
          <w:sz w:val="24"/>
        </w:rPr>
      </w:pPr>
    </w:p>
    <w:p>
      <w:pPr>
        <w:pStyle w:val="ListParagraph"/>
        <w:numPr>
          <w:ilvl w:val="1"/>
          <w:numId w:val="75"/>
        </w:numPr>
        <w:tabs>
          <w:tab w:pos="2222" w:val="left" w:leader="none"/>
        </w:tabs>
        <w:spacing w:line="240" w:lineRule="auto" w:before="0" w:after="0"/>
        <w:ind w:left="2221" w:right="1869" w:hanging="397"/>
        <w:jc w:val="left"/>
        <w:rPr>
          <w:sz w:val="18"/>
        </w:rPr>
      </w:pPr>
      <w:r>
        <w:rPr>
          <w:sz w:val="18"/>
        </w:rPr>
        <w:t>give</w:t>
      </w:r>
      <w:r>
        <w:rPr>
          <w:spacing w:val="-5"/>
          <w:sz w:val="18"/>
        </w:rPr>
        <w:t> </w:t>
      </w:r>
      <w:r>
        <w:rPr>
          <w:sz w:val="18"/>
        </w:rPr>
        <w:t>a</w:t>
      </w:r>
      <w:r>
        <w:rPr>
          <w:spacing w:val="-5"/>
          <w:sz w:val="18"/>
        </w:rPr>
        <w:t> </w:t>
      </w:r>
      <w:r>
        <w:rPr>
          <w:sz w:val="18"/>
        </w:rPr>
        <w:t>true</w:t>
      </w:r>
      <w:r>
        <w:rPr>
          <w:spacing w:val="-5"/>
          <w:sz w:val="18"/>
        </w:rPr>
        <w:t> </w:t>
      </w:r>
      <w:r>
        <w:rPr>
          <w:sz w:val="18"/>
        </w:rPr>
        <w:t>and</w:t>
      </w:r>
      <w:r>
        <w:rPr>
          <w:spacing w:val="-5"/>
          <w:sz w:val="18"/>
        </w:rPr>
        <w:t> </w:t>
      </w:r>
      <w:r>
        <w:rPr>
          <w:sz w:val="18"/>
        </w:rPr>
        <w:t>fair</w:t>
      </w:r>
      <w:r>
        <w:rPr>
          <w:spacing w:val="-5"/>
          <w:sz w:val="18"/>
        </w:rPr>
        <w:t> </w:t>
      </w:r>
      <w:r>
        <w:rPr>
          <w:sz w:val="18"/>
        </w:rPr>
        <w:t>view</w:t>
      </w:r>
      <w:r>
        <w:rPr>
          <w:spacing w:val="-7"/>
          <w:sz w:val="18"/>
        </w:rPr>
        <w:t> </w:t>
      </w:r>
      <w:r>
        <w:rPr>
          <w:sz w:val="18"/>
        </w:rPr>
        <w:t>of</w:t>
      </w:r>
      <w:r>
        <w:rPr>
          <w:spacing w:val="-5"/>
          <w:sz w:val="18"/>
        </w:rPr>
        <w:t> </w:t>
      </w:r>
      <w:r>
        <w:rPr>
          <w:sz w:val="18"/>
        </w:rPr>
        <w:t>the</w:t>
      </w:r>
      <w:r>
        <w:rPr>
          <w:spacing w:val="-5"/>
          <w:sz w:val="18"/>
        </w:rPr>
        <w:t> </w:t>
      </w:r>
      <w:r>
        <w:rPr>
          <w:sz w:val="18"/>
        </w:rPr>
        <w:t>financial</w:t>
      </w:r>
      <w:r>
        <w:rPr>
          <w:spacing w:val="-5"/>
          <w:sz w:val="18"/>
        </w:rPr>
        <w:t> </w:t>
      </w:r>
      <w:r>
        <w:rPr>
          <w:sz w:val="18"/>
        </w:rPr>
        <w:t>position</w:t>
      </w:r>
      <w:r>
        <w:rPr>
          <w:spacing w:val="-5"/>
          <w:sz w:val="18"/>
        </w:rPr>
        <w:t> </w:t>
      </w:r>
      <w:r>
        <w:rPr>
          <w:sz w:val="18"/>
        </w:rPr>
        <w:t>as</w:t>
      </w:r>
      <w:r>
        <w:rPr>
          <w:spacing w:val="-5"/>
          <w:sz w:val="18"/>
        </w:rPr>
        <w:t> </w:t>
      </w:r>
      <w:r>
        <w:rPr>
          <w:sz w:val="18"/>
        </w:rPr>
        <w:t>at</w:t>
      </w:r>
      <w:r>
        <w:rPr>
          <w:spacing w:val="-4"/>
          <w:sz w:val="18"/>
        </w:rPr>
        <w:t> </w:t>
      </w:r>
      <w:r>
        <w:rPr>
          <w:sz w:val="18"/>
        </w:rPr>
        <w:t>31</w:t>
      </w:r>
      <w:r>
        <w:rPr>
          <w:spacing w:val="-5"/>
          <w:sz w:val="18"/>
        </w:rPr>
        <w:t> </w:t>
      </w:r>
      <w:r>
        <w:rPr>
          <w:sz w:val="18"/>
        </w:rPr>
        <w:t>December</w:t>
      </w:r>
      <w:r>
        <w:rPr>
          <w:spacing w:val="-5"/>
          <w:sz w:val="18"/>
        </w:rPr>
        <w:t> </w:t>
      </w:r>
      <w:r>
        <w:rPr>
          <w:sz w:val="18"/>
        </w:rPr>
        <w:t>2016</w:t>
      </w:r>
      <w:r>
        <w:rPr>
          <w:spacing w:val="-5"/>
          <w:sz w:val="18"/>
        </w:rPr>
        <w:t> </w:t>
      </w:r>
      <w:r>
        <w:rPr>
          <w:sz w:val="18"/>
        </w:rPr>
        <w:t>and</w:t>
      </w:r>
      <w:r>
        <w:rPr>
          <w:spacing w:val="-5"/>
          <w:sz w:val="18"/>
        </w:rPr>
        <w:t> </w:t>
      </w:r>
      <w:r>
        <w:rPr>
          <w:sz w:val="18"/>
        </w:rPr>
        <w:t>of</w:t>
      </w:r>
      <w:r>
        <w:rPr>
          <w:spacing w:val="-5"/>
          <w:sz w:val="18"/>
        </w:rPr>
        <w:t> </w:t>
      </w:r>
      <w:r>
        <w:rPr>
          <w:sz w:val="18"/>
        </w:rPr>
        <w:t>the</w:t>
      </w:r>
      <w:r>
        <w:rPr>
          <w:spacing w:val="-5"/>
          <w:sz w:val="18"/>
        </w:rPr>
        <w:t> </w:t>
      </w:r>
      <w:r>
        <w:rPr>
          <w:sz w:val="18"/>
        </w:rPr>
        <w:t>performance</w:t>
      </w:r>
      <w:r>
        <w:rPr>
          <w:spacing w:val="-5"/>
          <w:sz w:val="18"/>
        </w:rPr>
        <w:t> </w:t>
      </w:r>
      <w:r>
        <w:rPr>
          <w:sz w:val="18"/>
        </w:rPr>
        <w:t>for</w:t>
      </w:r>
      <w:r>
        <w:rPr>
          <w:spacing w:val="-5"/>
          <w:sz w:val="18"/>
        </w:rPr>
        <w:t> </w:t>
      </w:r>
      <w:r>
        <w:rPr>
          <w:sz w:val="18"/>
        </w:rPr>
        <w:t>the</w:t>
      </w:r>
      <w:r>
        <w:rPr>
          <w:spacing w:val="-5"/>
          <w:sz w:val="18"/>
        </w:rPr>
        <w:t> </w:t>
      </w:r>
      <w:r>
        <w:rPr>
          <w:sz w:val="18"/>
        </w:rPr>
        <w:t>year ended</w:t>
      </w:r>
      <w:r>
        <w:rPr>
          <w:spacing w:val="-5"/>
          <w:sz w:val="18"/>
        </w:rPr>
        <w:t> </w:t>
      </w:r>
      <w:r>
        <w:rPr>
          <w:sz w:val="18"/>
        </w:rPr>
        <w:t>on</w:t>
      </w:r>
      <w:r>
        <w:rPr>
          <w:spacing w:val="-5"/>
          <w:sz w:val="18"/>
        </w:rPr>
        <w:t> </w:t>
      </w:r>
      <w:r>
        <w:rPr>
          <w:sz w:val="18"/>
        </w:rPr>
        <w:t>that</w:t>
      </w:r>
      <w:r>
        <w:rPr>
          <w:spacing w:val="-5"/>
          <w:sz w:val="18"/>
        </w:rPr>
        <w:t> </w:t>
      </w:r>
      <w:r>
        <w:rPr>
          <w:sz w:val="18"/>
        </w:rPr>
        <w:t>date</w:t>
      </w:r>
      <w:r>
        <w:rPr>
          <w:spacing w:val="-5"/>
          <w:sz w:val="18"/>
        </w:rPr>
        <w:t> </w:t>
      </w:r>
      <w:r>
        <w:rPr>
          <w:sz w:val="18"/>
        </w:rPr>
        <w:t>of</w:t>
      </w:r>
      <w:r>
        <w:rPr>
          <w:spacing w:val="-5"/>
          <w:sz w:val="18"/>
        </w:rPr>
        <w:t> </w:t>
      </w:r>
      <w:r>
        <w:rPr>
          <w:sz w:val="18"/>
        </w:rPr>
        <w:t>the</w:t>
      </w:r>
      <w:r>
        <w:rPr>
          <w:spacing w:val="-4"/>
          <w:sz w:val="18"/>
        </w:rPr>
        <w:t> </w:t>
      </w:r>
      <w:r>
        <w:rPr>
          <w:sz w:val="18"/>
        </w:rPr>
        <w:t>UWS</w:t>
      </w:r>
      <w:r>
        <w:rPr>
          <w:spacing w:val="-5"/>
          <w:sz w:val="18"/>
        </w:rPr>
        <w:t> </w:t>
      </w:r>
      <w:r>
        <w:rPr>
          <w:sz w:val="18"/>
        </w:rPr>
        <w:t>Early</w:t>
      </w:r>
      <w:r>
        <w:rPr>
          <w:spacing w:val="-5"/>
          <w:sz w:val="18"/>
        </w:rPr>
        <w:t> </w:t>
      </w:r>
      <w:r>
        <w:rPr>
          <w:sz w:val="18"/>
        </w:rPr>
        <w:t>Learning</w:t>
      </w:r>
      <w:r>
        <w:rPr>
          <w:spacing w:val="-5"/>
          <w:sz w:val="18"/>
        </w:rPr>
        <w:t> </w:t>
      </w:r>
      <w:r>
        <w:rPr>
          <w:sz w:val="18"/>
        </w:rPr>
        <w:t>Limited.</w:t>
      </w:r>
    </w:p>
    <w:p>
      <w:pPr>
        <w:pStyle w:val="BodyText"/>
        <w:spacing w:before="10"/>
        <w:rPr>
          <w:sz w:val="17"/>
        </w:rPr>
      </w:pPr>
    </w:p>
    <w:p>
      <w:pPr>
        <w:pStyle w:val="ListParagraph"/>
        <w:numPr>
          <w:ilvl w:val="0"/>
          <w:numId w:val="75"/>
        </w:numPr>
        <w:tabs>
          <w:tab w:pos="1824" w:val="left" w:leader="none"/>
        </w:tabs>
        <w:spacing w:line="240" w:lineRule="auto" w:before="0" w:after="0"/>
        <w:ind w:left="1824" w:right="1704" w:hanging="396"/>
        <w:jc w:val="left"/>
        <w:rPr>
          <w:sz w:val="18"/>
        </w:rPr>
      </w:pPr>
      <w:r>
        <w:rPr>
          <w:sz w:val="18"/>
        </w:rPr>
        <w:t>In</w:t>
      </w:r>
      <w:r>
        <w:rPr>
          <w:spacing w:val="-6"/>
          <w:sz w:val="18"/>
        </w:rPr>
        <w:t> </w:t>
      </w:r>
      <w:r>
        <w:rPr>
          <w:sz w:val="18"/>
        </w:rPr>
        <w:t>the</w:t>
      </w:r>
      <w:r>
        <w:rPr>
          <w:spacing w:val="-6"/>
          <w:sz w:val="18"/>
        </w:rPr>
        <w:t> </w:t>
      </w:r>
      <w:r>
        <w:rPr>
          <w:sz w:val="18"/>
        </w:rPr>
        <w:t>directors'</w:t>
      </w:r>
      <w:r>
        <w:rPr>
          <w:spacing w:val="-6"/>
          <w:sz w:val="18"/>
        </w:rPr>
        <w:t> </w:t>
      </w:r>
      <w:r>
        <w:rPr>
          <w:sz w:val="18"/>
        </w:rPr>
        <w:t>opinion,</w:t>
      </w:r>
      <w:r>
        <w:rPr>
          <w:spacing w:val="-6"/>
          <w:sz w:val="18"/>
        </w:rPr>
        <w:t> </w:t>
      </w:r>
      <w:r>
        <w:rPr>
          <w:sz w:val="18"/>
        </w:rPr>
        <w:t>there</w:t>
      </w:r>
      <w:r>
        <w:rPr>
          <w:spacing w:val="-6"/>
          <w:sz w:val="18"/>
        </w:rPr>
        <w:t> </w:t>
      </w:r>
      <w:r>
        <w:rPr>
          <w:sz w:val="18"/>
        </w:rPr>
        <w:t>are</w:t>
      </w:r>
      <w:r>
        <w:rPr>
          <w:spacing w:val="-6"/>
          <w:sz w:val="18"/>
        </w:rPr>
        <w:t> </w:t>
      </w:r>
      <w:r>
        <w:rPr>
          <w:sz w:val="18"/>
        </w:rPr>
        <w:t>reasonable</w:t>
      </w:r>
      <w:r>
        <w:rPr>
          <w:spacing w:val="-6"/>
          <w:sz w:val="18"/>
        </w:rPr>
        <w:t> </w:t>
      </w:r>
      <w:r>
        <w:rPr>
          <w:sz w:val="18"/>
        </w:rPr>
        <w:t>grounds</w:t>
      </w:r>
      <w:r>
        <w:rPr>
          <w:spacing w:val="-6"/>
          <w:sz w:val="18"/>
        </w:rPr>
        <w:t> </w:t>
      </w:r>
      <w:r>
        <w:rPr>
          <w:sz w:val="18"/>
        </w:rPr>
        <w:t>to</w:t>
      </w:r>
      <w:r>
        <w:rPr>
          <w:spacing w:val="-6"/>
          <w:sz w:val="18"/>
        </w:rPr>
        <w:t> </w:t>
      </w:r>
      <w:r>
        <w:rPr>
          <w:sz w:val="18"/>
        </w:rPr>
        <w:t>believe</w:t>
      </w:r>
      <w:r>
        <w:rPr>
          <w:spacing w:val="-6"/>
          <w:sz w:val="18"/>
        </w:rPr>
        <w:t> </w:t>
      </w:r>
      <w:r>
        <w:rPr>
          <w:sz w:val="18"/>
        </w:rPr>
        <w:t>that</w:t>
      </w:r>
      <w:r>
        <w:rPr>
          <w:spacing w:val="-6"/>
          <w:sz w:val="18"/>
        </w:rPr>
        <w:t> </w:t>
      </w:r>
      <w:r>
        <w:rPr>
          <w:sz w:val="18"/>
        </w:rPr>
        <w:t>the</w:t>
      </w:r>
      <w:r>
        <w:rPr>
          <w:spacing w:val="-5"/>
          <w:sz w:val="18"/>
        </w:rPr>
        <w:t> </w:t>
      </w:r>
      <w:r>
        <w:rPr>
          <w:sz w:val="18"/>
        </w:rPr>
        <w:t>UWS</w:t>
      </w:r>
      <w:r>
        <w:rPr>
          <w:spacing w:val="-6"/>
          <w:sz w:val="18"/>
        </w:rPr>
        <w:t> </w:t>
      </w:r>
      <w:r>
        <w:rPr>
          <w:sz w:val="18"/>
        </w:rPr>
        <w:t>Early</w:t>
      </w:r>
      <w:r>
        <w:rPr>
          <w:spacing w:val="-6"/>
          <w:sz w:val="18"/>
        </w:rPr>
        <w:t> </w:t>
      </w:r>
      <w:r>
        <w:rPr>
          <w:sz w:val="18"/>
        </w:rPr>
        <w:t>Learning</w:t>
      </w:r>
      <w:r>
        <w:rPr>
          <w:spacing w:val="-6"/>
          <w:sz w:val="18"/>
        </w:rPr>
        <w:t> </w:t>
      </w:r>
      <w:r>
        <w:rPr>
          <w:sz w:val="18"/>
        </w:rPr>
        <w:t>Limited</w:t>
      </w:r>
      <w:r>
        <w:rPr>
          <w:spacing w:val="-6"/>
          <w:sz w:val="18"/>
        </w:rPr>
        <w:t> </w:t>
      </w:r>
      <w:r>
        <w:rPr>
          <w:sz w:val="18"/>
        </w:rPr>
        <w:t>will</w:t>
      </w:r>
      <w:r>
        <w:rPr>
          <w:spacing w:val="-6"/>
          <w:sz w:val="18"/>
        </w:rPr>
        <w:t> </w:t>
      </w:r>
      <w:r>
        <w:rPr>
          <w:sz w:val="18"/>
        </w:rPr>
        <w:t>be</w:t>
      </w:r>
      <w:r>
        <w:rPr>
          <w:spacing w:val="-6"/>
          <w:sz w:val="18"/>
        </w:rPr>
        <w:t> </w:t>
      </w:r>
      <w:r>
        <w:rPr>
          <w:sz w:val="18"/>
        </w:rPr>
        <w:t>able</w:t>
      </w:r>
      <w:r>
        <w:rPr>
          <w:spacing w:val="-6"/>
          <w:sz w:val="18"/>
        </w:rPr>
        <w:t> </w:t>
      </w:r>
      <w:r>
        <w:rPr>
          <w:sz w:val="18"/>
        </w:rPr>
        <w:t>to pay</w:t>
      </w:r>
      <w:r>
        <w:rPr>
          <w:spacing w:val="-5"/>
          <w:sz w:val="18"/>
        </w:rPr>
        <w:t> </w:t>
      </w:r>
      <w:r>
        <w:rPr>
          <w:sz w:val="18"/>
        </w:rPr>
        <w:t>its</w:t>
      </w:r>
      <w:r>
        <w:rPr>
          <w:spacing w:val="-5"/>
          <w:sz w:val="18"/>
        </w:rPr>
        <w:t> </w:t>
      </w:r>
      <w:r>
        <w:rPr>
          <w:sz w:val="18"/>
        </w:rPr>
        <w:t>debts</w:t>
      </w:r>
      <w:r>
        <w:rPr>
          <w:spacing w:val="-5"/>
          <w:sz w:val="18"/>
        </w:rPr>
        <w:t> </w:t>
      </w:r>
      <w:r>
        <w:rPr>
          <w:sz w:val="18"/>
        </w:rPr>
        <w:t>as</w:t>
      </w:r>
      <w:r>
        <w:rPr>
          <w:spacing w:val="-5"/>
          <w:sz w:val="18"/>
        </w:rPr>
        <w:t> </w:t>
      </w:r>
      <w:r>
        <w:rPr>
          <w:sz w:val="18"/>
        </w:rPr>
        <w:t>and</w:t>
      </w:r>
      <w:r>
        <w:rPr>
          <w:spacing w:val="-5"/>
          <w:sz w:val="18"/>
        </w:rPr>
        <w:t> </w:t>
      </w:r>
      <w:r>
        <w:rPr>
          <w:sz w:val="18"/>
        </w:rPr>
        <w:t>when</w:t>
      </w:r>
      <w:r>
        <w:rPr>
          <w:spacing w:val="-5"/>
          <w:sz w:val="18"/>
        </w:rPr>
        <w:t> </w:t>
      </w:r>
      <w:r>
        <w:rPr>
          <w:sz w:val="18"/>
        </w:rPr>
        <w:t>they</w:t>
      </w:r>
      <w:r>
        <w:rPr>
          <w:spacing w:val="-5"/>
          <w:sz w:val="18"/>
        </w:rPr>
        <w:t> </w:t>
      </w:r>
      <w:r>
        <w:rPr>
          <w:sz w:val="18"/>
        </w:rPr>
        <w:t>become</w:t>
      </w:r>
      <w:r>
        <w:rPr>
          <w:spacing w:val="-5"/>
          <w:sz w:val="18"/>
        </w:rPr>
        <w:t> </w:t>
      </w:r>
      <w:r>
        <w:rPr>
          <w:sz w:val="18"/>
        </w:rPr>
        <w:t>due</w:t>
      </w:r>
      <w:r>
        <w:rPr>
          <w:spacing w:val="-5"/>
          <w:sz w:val="18"/>
        </w:rPr>
        <w:t> </w:t>
      </w:r>
      <w:r>
        <w:rPr>
          <w:sz w:val="18"/>
        </w:rPr>
        <w:t>and</w:t>
      </w:r>
      <w:r>
        <w:rPr>
          <w:spacing w:val="-5"/>
          <w:sz w:val="18"/>
        </w:rPr>
        <w:t> </w:t>
      </w:r>
      <w:r>
        <w:rPr>
          <w:sz w:val="18"/>
        </w:rPr>
        <w:t>payable.</w:t>
      </w:r>
    </w:p>
    <w:p>
      <w:pPr>
        <w:pStyle w:val="BodyText"/>
        <w:spacing w:before="10"/>
        <w:rPr>
          <w:sz w:val="17"/>
        </w:rPr>
      </w:pPr>
    </w:p>
    <w:p>
      <w:pPr>
        <w:pStyle w:val="ListParagraph"/>
        <w:numPr>
          <w:ilvl w:val="0"/>
          <w:numId w:val="75"/>
        </w:numPr>
        <w:tabs>
          <w:tab w:pos="1824" w:val="left" w:leader="none"/>
        </w:tabs>
        <w:spacing w:line="240" w:lineRule="auto" w:before="0" w:after="0"/>
        <w:ind w:left="1824" w:right="1667" w:hanging="396"/>
        <w:jc w:val="left"/>
        <w:rPr>
          <w:sz w:val="18"/>
        </w:rPr>
      </w:pPr>
      <w:r>
        <w:rPr>
          <w:sz w:val="18"/>
        </w:rPr>
        <w:t>We</w:t>
      </w:r>
      <w:r>
        <w:rPr>
          <w:spacing w:val="-6"/>
          <w:sz w:val="18"/>
        </w:rPr>
        <w:t> </w:t>
      </w:r>
      <w:r>
        <w:rPr>
          <w:sz w:val="18"/>
        </w:rPr>
        <w:t>are</w:t>
      </w:r>
      <w:r>
        <w:rPr>
          <w:spacing w:val="-6"/>
          <w:sz w:val="18"/>
        </w:rPr>
        <w:t> </w:t>
      </w:r>
      <w:r>
        <w:rPr>
          <w:sz w:val="18"/>
        </w:rPr>
        <w:t>not</w:t>
      </w:r>
      <w:r>
        <w:rPr>
          <w:spacing w:val="-6"/>
          <w:sz w:val="18"/>
        </w:rPr>
        <w:t> </w:t>
      </w:r>
      <w:r>
        <w:rPr>
          <w:sz w:val="18"/>
        </w:rPr>
        <w:t>aware</w:t>
      </w:r>
      <w:r>
        <w:rPr>
          <w:spacing w:val="-6"/>
          <w:sz w:val="18"/>
        </w:rPr>
        <w:t> </w:t>
      </w:r>
      <w:r>
        <w:rPr>
          <w:sz w:val="18"/>
        </w:rPr>
        <w:t>of</w:t>
      </w:r>
      <w:r>
        <w:rPr>
          <w:spacing w:val="-6"/>
          <w:sz w:val="18"/>
        </w:rPr>
        <w:t> </w:t>
      </w:r>
      <w:r>
        <w:rPr>
          <w:sz w:val="18"/>
        </w:rPr>
        <w:t>any</w:t>
      </w:r>
      <w:r>
        <w:rPr>
          <w:spacing w:val="-6"/>
          <w:sz w:val="18"/>
        </w:rPr>
        <w:t> </w:t>
      </w:r>
      <w:r>
        <w:rPr>
          <w:sz w:val="18"/>
        </w:rPr>
        <w:t>circumstances</w:t>
      </w:r>
      <w:r>
        <w:rPr>
          <w:spacing w:val="-6"/>
          <w:sz w:val="18"/>
        </w:rPr>
        <w:t> </w:t>
      </w:r>
      <w:r>
        <w:rPr>
          <w:sz w:val="18"/>
        </w:rPr>
        <w:t>which</w:t>
      </w:r>
      <w:r>
        <w:rPr>
          <w:spacing w:val="-6"/>
          <w:sz w:val="18"/>
        </w:rPr>
        <w:t> </w:t>
      </w:r>
      <w:r>
        <w:rPr>
          <w:sz w:val="18"/>
        </w:rPr>
        <w:t>would</w:t>
      </w:r>
      <w:r>
        <w:rPr>
          <w:spacing w:val="-6"/>
          <w:sz w:val="18"/>
        </w:rPr>
        <w:t> </w:t>
      </w:r>
      <w:r>
        <w:rPr>
          <w:sz w:val="18"/>
        </w:rPr>
        <w:t>render</w:t>
      </w:r>
      <w:r>
        <w:rPr>
          <w:spacing w:val="-6"/>
          <w:sz w:val="18"/>
        </w:rPr>
        <w:t> </w:t>
      </w:r>
      <w:r>
        <w:rPr>
          <w:sz w:val="18"/>
        </w:rPr>
        <w:t>any</w:t>
      </w:r>
      <w:r>
        <w:rPr>
          <w:spacing w:val="-6"/>
          <w:sz w:val="18"/>
        </w:rPr>
        <w:t> </w:t>
      </w:r>
      <w:r>
        <w:rPr>
          <w:sz w:val="18"/>
        </w:rPr>
        <w:t>particulars</w:t>
      </w:r>
      <w:r>
        <w:rPr>
          <w:spacing w:val="-6"/>
          <w:sz w:val="18"/>
        </w:rPr>
        <w:t> </w:t>
      </w:r>
      <w:r>
        <w:rPr>
          <w:sz w:val="18"/>
        </w:rPr>
        <w:t>included</w:t>
      </w:r>
      <w:r>
        <w:rPr>
          <w:spacing w:val="-6"/>
          <w:sz w:val="18"/>
        </w:rPr>
        <w:t> </w:t>
      </w:r>
      <w:r>
        <w:rPr>
          <w:sz w:val="18"/>
        </w:rPr>
        <w:t>in</w:t>
      </w:r>
      <w:r>
        <w:rPr>
          <w:spacing w:val="-6"/>
          <w:sz w:val="18"/>
        </w:rPr>
        <w:t> </w:t>
      </w:r>
      <w:r>
        <w:rPr>
          <w:sz w:val="18"/>
        </w:rPr>
        <w:t>the</w:t>
      </w:r>
      <w:r>
        <w:rPr>
          <w:spacing w:val="-6"/>
          <w:sz w:val="18"/>
        </w:rPr>
        <w:t> </w:t>
      </w:r>
      <w:r>
        <w:rPr>
          <w:sz w:val="18"/>
        </w:rPr>
        <w:t>financial</w:t>
      </w:r>
      <w:r>
        <w:rPr>
          <w:spacing w:val="-6"/>
          <w:sz w:val="18"/>
        </w:rPr>
        <w:t> </w:t>
      </w:r>
      <w:r>
        <w:rPr>
          <w:sz w:val="18"/>
        </w:rPr>
        <w:t>statements</w:t>
      </w:r>
      <w:r>
        <w:rPr>
          <w:spacing w:val="-6"/>
          <w:sz w:val="18"/>
        </w:rPr>
        <w:t> </w:t>
      </w:r>
      <w:r>
        <w:rPr>
          <w:sz w:val="18"/>
        </w:rPr>
        <w:t>to</w:t>
      </w:r>
      <w:r>
        <w:rPr>
          <w:spacing w:val="-6"/>
          <w:sz w:val="18"/>
        </w:rPr>
        <w:t> </w:t>
      </w:r>
      <w:r>
        <w:rPr>
          <w:sz w:val="18"/>
        </w:rPr>
        <w:t>be misleading or</w:t>
      </w:r>
      <w:r>
        <w:rPr>
          <w:spacing w:val="-24"/>
          <w:sz w:val="18"/>
        </w:rPr>
        <w:t> </w:t>
      </w:r>
      <w:r>
        <w:rPr>
          <w:sz w:val="18"/>
        </w:rPr>
        <w:t>inaccurate.</w:t>
      </w:r>
    </w:p>
    <w:p>
      <w:pPr>
        <w:pStyle w:val="BodyText"/>
        <w:spacing w:before="11"/>
        <w:rPr>
          <w:sz w:val="24"/>
        </w:rPr>
      </w:pPr>
    </w:p>
    <w:p>
      <w:pPr>
        <w:pStyle w:val="BodyText"/>
        <w:ind w:left="1427"/>
      </w:pPr>
      <w:r>
        <w:rPr/>
        <w:pict>
          <v:shape style="position:absolute;margin-left:67.333817pt;margin-top:36.29361pt;width:408.2pt;height:173.8pt;mso-position-horizontal-relative:page;mso-position-vertical-relative:paragraph;z-index:-1195048" type="#_x0000_t202" filled="false" stroked="false">
            <v:textbox inset="0,0,0,0">
              <w:txbxContent>
                <w:p>
                  <w:pPr>
                    <w:pStyle w:val="BodyText"/>
                  </w:pPr>
                </w:p>
                <w:p>
                  <w:pPr>
                    <w:pStyle w:val="BodyText"/>
                  </w:pPr>
                </w:p>
                <w:p>
                  <w:pPr>
                    <w:pStyle w:val="BodyText"/>
                  </w:pPr>
                </w:p>
                <w:p>
                  <w:pPr>
                    <w:pStyle w:val="BodyText"/>
                    <w:spacing w:before="136"/>
                    <w:ind w:left="81"/>
                  </w:pPr>
                  <w:r>
                    <w:rPr/>
                    <w:t>Director ................................................................................................................................................</w:t>
                  </w:r>
                </w:p>
                <w:p>
                  <w:pPr>
                    <w:pStyle w:val="BodyText"/>
                  </w:pPr>
                </w:p>
                <w:p>
                  <w:pPr>
                    <w:pStyle w:val="BodyText"/>
                  </w:pPr>
                </w:p>
                <w:p>
                  <w:pPr>
                    <w:pStyle w:val="BodyText"/>
                  </w:pPr>
                </w:p>
                <w:p>
                  <w:pPr>
                    <w:pStyle w:val="BodyText"/>
                  </w:pPr>
                </w:p>
                <w:p>
                  <w:pPr>
                    <w:pStyle w:val="BodyText"/>
                    <w:spacing w:before="8"/>
                  </w:pPr>
                </w:p>
                <w:p>
                  <w:pPr>
                    <w:pStyle w:val="BodyText"/>
                    <w:ind w:left="81"/>
                  </w:pPr>
                  <w:r>
                    <w:rPr/>
                    <w:t>Director ................................................................................................................................................</w:t>
                  </w:r>
                </w:p>
                <w:p>
                  <w:pPr>
                    <w:pStyle w:val="BodyText"/>
                  </w:pPr>
                </w:p>
                <w:p>
                  <w:pPr>
                    <w:pStyle w:val="BodyText"/>
                  </w:pPr>
                </w:p>
                <w:p>
                  <w:pPr>
                    <w:pStyle w:val="BodyText"/>
                  </w:pPr>
                </w:p>
                <w:p>
                  <w:pPr>
                    <w:pStyle w:val="BodyText"/>
                  </w:pPr>
                </w:p>
                <w:p>
                  <w:pPr>
                    <w:pStyle w:val="BodyText"/>
                    <w:spacing w:before="134"/>
                    <w:ind w:left="81"/>
                  </w:pPr>
                  <w:r>
                    <w:rPr/>
                    <w:t>Dated this  .....................................  day of  .................................... 2017</w:t>
                  </w:r>
                </w:p>
              </w:txbxContent>
            </v:textbox>
            <w10:wrap type="none"/>
          </v:shape>
        </w:pict>
      </w:r>
      <w:r>
        <w:rPr/>
        <w:drawing>
          <wp:anchor distT="0" distB="0" distL="0" distR="0" allowOverlap="1" layoutInCell="1" locked="0" behindDoc="0" simplePos="0" relativeHeight="13312">
            <wp:simplePos x="0" y="0"/>
            <wp:positionH relativeFrom="page">
              <wp:posOffset>-1587</wp:posOffset>
            </wp:positionH>
            <wp:positionV relativeFrom="paragraph">
              <wp:posOffset>1188642</wp:posOffset>
            </wp:positionV>
            <wp:extent cx="135159" cy="154019"/>
            <wp:effectExtent l="0" t="0" r="0" b="0"/>
            <wp:wrapNone/>
            <wp:docPr id="889" name="image13.png" descr=""/>
            <wp:cNvGraphicFramePr>
              <a:graphicFrameLocks noChangeAspect="1"/>
            </wp:cNvGraphicFramePr>
            <a:graphic>
              <a:graphicData uri="http://schemas.openxmlformats.org/drawingml/2006/picture">
                <pic:pic>
                  <pic:nvPicPr>
                    <pic:cNvPr id="890" name="image13.png"/>
                    <pic:cNvPicPr/>
                  </pic:nvPicPr>
                  <pic:blipFill>
                    <a:blip r:embed="rId18" cstate="print"/>
                    <a:stretch>
                      <a:fillRect/>
                    </a:stretch>
                  </pic:blipFill>
                  <pic:spPr>
                    <a:xfrm>
                      <a:off x="0" y="0"/>
                      <a:ext cx="135159" cy="154019"/>
                    </a:xfrm>
                    <a:prstGeom prst="rect">
                      <a:avLst/>
                    </a:prstGeom>
                  </pic:spPr>
                </pic:pic>
              </a:graphicData>
            </a:graphic>
          </wp:anchor>
        </w:drawing>
      </w:r>
      <w:r>
        <w:rPr/>
        <w:drawing>
          <wp:anchor distT="0" distB="0" distL="0" distR="0" allowOverlap="1" layoutInCell="1" locked="0" behindDoc="0" simplePos="0" relativeHeight="13336">
            <wp:simplePos x="0" y="0"/>
            <wp:positionH relativeFrom="page">
              <wp:posOffset>7958429</wp:posOffset>
            </wp:positionH>
            <wp:positionV relativeFrom="paragraph">
              <wp:posOffset>1188642</wp:posOffset>
            </wp:positionV>
            <wp:extent cx="135953" cy="155575"/>
            <wp:effectExtent l="0" t="0" r="0" b="0"/>
            <wp:wrapNone/>
            <wp:docPr id="891" name="image15.png" descr=""/>
            <wp:cNvGraphicFramePr>
              <a:graphicFrameLocks noChangeAspect="1"/>
            </wp:cNvGraphicFramePr>
            <a:graphic>
              <a:graphicData uri="http://schemas.openxmlformats.org/drawingml/2006/picture">
                <pic:pic>
                  <pic:nvPicPr>
                    <pic:cNvPr id="892" name="image15.png"/>
                    <pic:cNvPicPr/>
                  </pic:nvPicPr>
                  <pic:blipFill>
                    <a:blip r:embed="rId20" cstate="print"/>
                    <a:stretch>
                      <a:fillRect/>
                    </a:stretch>
                  </pic:blipFill>
                  <pic:spPr>
                    <a:xfrm>
                      <a:off x="0" y="0"/>
                      <a:ext cx="135953" cy="155575"/>
                    </a:xfrm>
                    <a:prstGeom prst="rect">
                      <a:avLst/>
                    </a:prstGeom>
                  </pic:spPr>
                </pic:pic>
              </a:graphicData>
            </a:graphic>
          </wp:anchor>
        </w:drawing>
      </w:r>
      <w:r>
        <w:rPr/>
        <w:t>This declaration is made in accordance with a resolution of the Board of Directors.</w:t>
      </w:r>
    </w:p>
    <w:p>
      <w:pPr>
        <w:pStyle w:val="BodyText"/>
        <w:rPr>
          <w:sz w:val="20"/>
        </w:rPr>
      </w:pPr>
    </w:p>
    <w:p>
      <w:pPr>
        <w:pStyle w:val="BodyText"/>
        <w:spacing w:before="8"/>
        <w:rPr>
          <w:sz w:val="21"/>
        </w:rPr>
      </w:pPr>
      <w:r>
        <w:rPr/>
        <w:drawing>
          <wp:anchor distT="0" distB="0" distL="0" distR="0" allowOverlap="1" layoutInCell="1" locked="0" behindDoc="0" simplePos="0" relativeHeight="13264">
            <wp:simplePos x="0" y="0"/>
            <wp:positionH relativeFrom="page">
              <wp:posOffset>855139</wp:posOffset>
            </wp:positionH>
            <wp:positionV relativeFrom="paragraph">
              <wp:posOffset>183457</wp:posOffset>
            </wp:positionV>
            <wp:extent cx="5111351" cy="2176272"/>
            <wp:effectExtent l="0" t="0" r="0" b="0"/>
            <wp:wrapTopAndBottom/>
            <wp:docPr id="893" name="image49.jpeg" descr=""/>
            <wp:cNvGraphicFramePr>
              <a:graphicFrameLocks noChangeAspect="1"/>
            </wp:cNvGraphicFramePr>
            <a:graphic>
              <a:graphicData uri="http://schemas.openxmlformats.org/drawingml/2006/picture">
                <pic:pic>
                  <pic:nvPicPr>
                    <pic:cNvPr id="894" name="image49.jpeg"/>
                    <pic:cNvPicPr/>
                  </pic:nvPicPr>
                  <pic:blipFill>
                    <a:blip r:embed="rId116" cstate="print"/>
                    <a:stretch>
                      <a:fillRect/>
                    </a:stretch>
                  </pic:blipFill>
                  <pic:spPr>
                    <a:xfrm>
                      <a:off x="0" y="0"/>
                      <a:ext cx="5111351" cy="2176272"/>
                    </a:xfrm>
                    <a:prstGeom prst="rect">
                      <a:avLst/>
                    </a:prstGeom>
                  </pic:spPr>
                </pic:pic>
              </a:graphicData>
            </a:graphic>
          </wp:anchor>
        </w:drawing>
      </w:r>
    </w:p>
    <w:p>
      <w:pPr>
        <w:spacing w:after="0"/>
        <w:rPr>
          <w:sz w:val="21"/>
        </w:rPr>
        <w:sectPr>
          <w:headerReference w:type="default" r:id="rId115"/>
          <w:pgSz w:w="12750" w:h="17680"/>
          <w:pgMar w:header="0" w:footer="867" w:top="1880" w:bottom="1120" w:left="0" w:right="0"/>
        </w:sectPr>
      </w:pPr>
    </w:p>
    <w:p>
      <w:pPr>
        <w:pStyle w:val="BodyText"/>
        <w:spacing w:before="2"/>
        <w:rPr>
          <w:sz w:val="19"/>
        </w:rPr>
      </w:pPr>
    </w:p>
    <w:p>
      <w:pPr>
        <w:pStyle w:val="Heading7"/>
        <w:spacing w:before="72"/>
        <w:ind w:right="1668"/>
      </w:pPr>
      <w:r>
        <w:rPr/>
        <w:t>Responsible entities declaration per section 60.15 of Australian Charities and Not-for-profits Commission Regulation 2013</w:t>
      </w:r>
    </w:p>
    <w:p>
      <w:pPr>
        <w:pStyle w:val="BodyText"/>
        <w:spacing w:before="11"/>
        <w:rPr>
          <w:b/>
          <w:sz w:val="24"/>
        </w:rPr>
      </w:pPr>
    </w:p>
    <w:p>
      <w:pPr>
        <w:pStyle w:val="BodyText"/>
        <w:ind w:left="1428"/>
      </w:pPr>
      <w:r>
        <w:rPr/>
        <w:t>The responsible entity declares that in the responsible entity's opinion:</w:t>
      </w:r>
    </w:p>
    <w:p>
      <w:pPr>
        <w:pStyle w:val="BodyText"/>
        <w:spacing w:before="11"/>
        <w:rPr>
          <w:sz w:val="24"/>
        </w:rPr>
      </w:pPr>
    </w:p>
    <w:p>
      <w:pPr>
        <w:pStyle w:val="ListParagraph"/>
        <w:numPr>
          <w:ilvl w:val="0"/>
          <w:numId w:val="76"/>
        </w:numPr>
        <w:tabs>
          <w:tab w:pos="2158" w:val="left" w:leader="none"/>
        </w:tabs>
        <w:spacing w:line="240" w:lineRule="auto" w:before="0" w:after="0"/>
        <w:ind w:left="2156" w:right="1675" w:hanging="728"/>
        <w:jc w:val="left"/>
        <w:rPr>
          <w:sz w:val="18"/>
        </w:rPr>
      </w:pPr>
      <w:r>
        <w:rPr>
          <w:sz w:val="18"/>
        </w:rPr>
        <w:t>there</w:t>
      </w:r>
      <w:r>
        <w:rPr>
          <w:spacing w:val="-5"/>
          <w:sz w:val="18"/>
        </w:rPr>
        <w:t> </w:t>
      </w:r>
      <w:r>
        <w:rPr>
          <w:sz w:val="18"/>
        </w:rPr>
        <w:t>are</w:t>
      </w:r>
      <w:r>
        <w:rPr>
          <w:spacing w:val="-5"/>
          <w:sz w:val="18"/>
        </w:rPr>
        <w:t> </w:t>
      </w:r>
      <w:r>
        <w:rPr>
          <w:sz w:val="18"/>
        </w:rPr>
        <w:t>reasonable</w:t>
      </w:r>
      <w:r>
        <w:rPr>
          <w:spacing w:val="-5"/>
          <w:sz w:val="18"/>
        </w:rPr>
        <w:t> </w:t>
      </w:r>
      <w:r>
        <w:rPr>
          <w:sz w:val="18"/>
        </w:rPr>
        <w:t>grounds</w:t>
      </w:r>
      <w:r>
        <w:rPr>
          <w:spacing w:val="-5"/>
          <w:sz w:val="18"/>
        </w:rPr>
        <w:t> </w:t>
      </w:r>
      <w:r>
        <w:rPr>
          <w:sz w:val="18"/>
        </w:rPr>
        <w:t>to</w:t>
      </w:r>
      <w:r>
        <w:rPr>
          <w:spacing w:val="-5"/>
          <w:sz w:val="18"/>
        </w:rPr>
        <w:t> </w:t>
      </w:r>
      <w:r>
        <w:rPr>
          <w:sz w:val="18"/>
        </w:rPr>
        <w:t>believe</w:t>
      </w:r>
      <w:r>
        <w:rPr>
          <w:spacing w:val="-5"/>
          <w:sz w:val="18"/>
        </w:rPr>
        <w:t> </w:t>
      </w:r>
      <w:r>
        <w:rPr>
          <w:sz w:val="18"/>
        </w:rPr>
        <w:t>that</w:t>
      </w:r>
      <w:r>
        <w:rPr>
          <w:spacing w:val="-5"/>
          <w:sz w:val="18"/>
        </w:rPr>
        <w:t> </w:t>
      </w:r>
      <w:r>
        <w:rPr>
          <w:sz w:val="18"/>
        </w:rPr>
        <w:t>the</w:t>
      </w:r>
      <w:r>
        <w:rPr>
          <w:spacing w:val="-5"/>
          <w:sz w:val="18"/>
        </w:rPr>
        <w:t> </w:t>
      </w:r>
      <w:r>
        <w:rPr>
          <w:sz w:val="18"/>
        </w:rPr>
        <w:t>registered</w:t>
      </w:r>
      <w:r>
        <w:rPr>
          <w:spacing w:val="-5"/>
          <w:sz w:val="18"/>
        </w:rPr>
        <w:t> </w:t>
      </w:r>
      <w:r>
        <w:rPr>
          <w:sz w:val="18"/>
        </w:rPr>
        <w:t>entity</w:t>
      </w:r>
      <w:r>
        <w:rPr>
          <w:spacing w:val="-5"/>
          <w:sz w:val="18"/>
        </w:rPr>
        <w:t> </w:t>
      </w:r>
      <w:r>
        <w:rPr>
          <w:sz w:val="18"/>
        </w:rPr>
        <w:t>is</w:t>
      </w:r>
      <w:r>
        <w:rPr>
          <w:spacing w:val="-5"/>
          <w:sz w:val="18"/>
        </w:rPr>
        <w:t> </w:t>
      </w:r>
      <w:r>
        <w:rPr>
          <w:sz w:val="18"/>
        </w:rPr>
        <w:t>able</w:t>
      </w:r>
      <w:r>
        <w:rPr>
          <w:spacing w:val="-5"/>
          <w:sz w:val="18"/>
        </w:rPr>
        <w:t> </w:t>
      </w:r>
      <w:r>
        <w:rPr>
          <w:sz w:val="18"/>
        </w:rPr>
        <w:t>to</w:t>
      </w:r>
      <w:r>
        <w:rPr>
          <w:spacing w:val="-5"/>
          <w:sz w:val="18"/>
        </w:rPr>
        <w:t> </w:t>
      </w:r>
      <w:r>
        <w:rPr>
          <w:sz w:val="18"/>
        </w:rPr>
        <w:t>pay</w:t>
      </w:r>
      <w:r>
        <w:rPr>
          <w:spacing w:val="-5"/>
          <w:sz w:val="18"/>
        </w:rPr>
        <w:t> </w:t>
      </w:r>
      <w:r>
        <w:rPr>
          <w:sz w:val="18"/>
        </w:rPr>
        <w:t>all</w:t>
      </w:r>
      <w:r>
        <w:rPr>
          <w:spacing w:val="-5"/>
          <w:sz w:val="18"/>
        </w:rPr>
        <w:t> </w:t>
      </w:r>
      <w:r>
        <w:rPr>
          <w:sz w:val="18"/>
        </w:rPr>
        <w:t>of</w:t>
      </w:r>
      <w:r>
        <w:rPr>
          <w:spacing w:val="-5"/>
          <w:sz w:val="18"/>
        </w:rPr>
        <w:t> </w:t>
      </w:r>
      <w:r>
        <w:rPr>
          <w:sz w:val="18"/>
        </w:rPr>
        <w:t>its</w:t>
      </w:r>
      <w:r>
        <w:rPr>
          <w:spacing w:val="-5"/>
          <w:sz w:val="18"/>
        </w:rPr>
        <w:t> </w:t>
      </w:r>
      <w:r>
        <w:rPr>
          <w:sz w:val="18"/>
        </w:rPr>
        <w:t>debts,</w:t>
      </w:r>
      <w:r>
        <w:rPr>
          <w:spacing w:val="-5"/>
          <w:sz w:val="18"/>
        </w:rPr>
        <w:t> </w:t>
      </w:r>
      <w:r>
        <w:rPr>
          <w:sz w:val="18"/>
        </w:rPr>
        <w:t>as</w:t>
      </w:r>
      <w:r>
        <w:rPr>
          <w:spacing w:val="-5"/>
          <w:sz w:val="18"/>
        </w:rPr>
        <w:t> </w:t>
      </w:r>
      <w:r>
        <w:rPr>
          <w:sz w:val="18"/>
        </w:rPr>
        <w:t>and</w:t>
      </w:r>
      <w:r>
        <w:rPr>
          <w:spacing w:val="-5"/>
          <w:sz w:val="18"/>
        </w:rPr>
        <w:t> </w:t>
      </w:r>
      <w:r>
        <w:rPr>
          <w:sz w:val="18"/>
        </w:rPr>
        <w:t>when</w:t>
      </w:r>
      <w:r>
        <w:rPr>
          <w:spacing w:val="-5"/>
          <w:sz w:val="18"/>
        </w:rPr>
        <w:t> </w:t>
      </w:r>
      <w:r>
        <w:rPr>
          <w:sz w:val="18"/>
        </w:rPr>
        <w:t>they become due and payable;</w:t>
      </w:r>
      <w:r>
        <w:rPr>
          <w:spacing w:val="-24"/>
          <w:sz w:val="18"/>
        </w:rPr>
        <w:t> </w:t>
      </w:r>
      <w:r>
        <w:rPr>
          <w:sz w:val="18"/>
        </w:rPr>
        <w:t>and</w:t>
      </w:r>
    </w:p>
    <w:p>
      <w:pPr>
        <w:pStyle w:val="BodyText"/>
        <w:spacing w:before="11"/>
        <w:rPr>
          <w:sz w:val="24"/>
        </w:rPr>
      </w:pPr>
    </w:p>
    <w:p>
      <w:pPr>
        <w:pStyle w:val="ListParagraph"/>
        <w:numPr>
          <w:ilvl w:val="0"/>
          <w:numId w:val="76"/>
        </w:numPr>
        <w:tabs>
          <w:tab w:pos="2158" w:val="left" w:leader="none"/>
        </w:tabs>
        <w:spacing w:line="240" w:lineRule="auto" w:before="0" w:after="0"/>
        <w:ind w:left="2157" w:right="1647" w:hanging="729"/>
        <w:jc w:val="left"/>
        <w:rPr>
          <w:sz w:val="18"/>
        </w:rPr>
      </w:pPr>
      <w:r>
        <w:rPr>
          <w:sz w:val="18"/>
        </w:rPr>
        <w:t>the</w:t>
      </w:r>
      <w:r>
        <w:rPr>
          <w:spacing w:val="-7"/>
          <w:sz w:val="18"/>
        </w:rPr>
        <w:t> </w:t>
      </w:r>
      <w:r>
        <w:rPr>
          <w:sz w:val="18"/>
        </w:rPr>
        <w:t>financial</w:t>
      </w:r>
      <w:r>
        <w:rPr>
          <w:spacing w:val="-7"/>
          <w:sz w:val="18"/>
        </w:rPr>
        <w:t> </w:t>
      </w:r>
      <w:r>
        <w:rPr>
          <w:sz w:val="18"/>
        </w:rPr>
        <w:t>statements</w:t>
      </w:r>
      <w:r>
        <w:rPr>
          <w:spacing w:val="-7"/>
          <w:sz w:val="18"/>
        </w:rPr>
        <w:t> </w:t>
      </w:r>
      <w:r>
        <w:rPr>
          <w:sz w:val="18"/>
        </w:rPr>
        <w:t>and</w:t>
      </w:r>
      <w:r>
        <w:rPr>
          <w:spacing w:val="-7"/>
          <w:sz w:val="18"/>
        </w:rPr>
        <w:t> </w:t>
      </w:r>
      <w:r>
        <w:rPr>
          <w:sz w:val="18"/>
        </w:rPr>
        <w:t>notes</w:t>
      </w:r>
      <w:r>
        <w:rPr>
          <w:spacing w:val="-7"/>
          <w:sz w:val="18"/>
        </w:rPr>
        <w:t> </w:t>
      </w:r>
      <w:r>
        <w:rPr>
          <w:sz w:val="18"/>
        </w:rPr>
        <w:t>satisfy</w:t>
      </w:r>
      <w:r>
        <w:rPr>
          <w:spacing w:val="-7"/>
          <w:sz w:val="18"/>
        </w:rPr>
        <w:t> </w:t>
      </w:r>
      <w:r>
        <w:rPr>
          <w:sz w:val="18"/>
        </w:rPr>
        <w:t>the</w:t>
      </w:r>
      <w:r>
        <w:rPr>
          <w:spacing w:val="-7"/>
          <w:sz w:val="18"/>
        </w:rPr>
        <w:t> </w:t>
      </w:r>
      <w:r>
        <w:rPr>
          <w:sz w:val="18"/>
        </w:rPr>
        <w:t>requirements</w:t>
      </w:r>
      <w:r>
        <w:rPr>
          <w:spacing w:val="-7"/>
          <w:sz w:val="18"/>
        </w:rPr>
        <w:t> </w:t>
      </w:r>
      <w:r>
        <w:rPr>
          <w:sz w:val="18"/>
        </w:rPr>
        <w:t>of</w:t>
      </w:r>
      <w:r>
        <w:rPr>
          <w:spacing w:val="-7"/>
          <w:sz w:val="18"/>
        </w:rPr>
        <w:t> </w:t>
      </w:r>
      <w:r>
        <w:rPr>
          <w:sz w:val="18"/>
        </w:rPr>
        <w:t>Australian</w:t>
      </w:r>
      <w:r>
        <w:rPr>
          <w:spacing w:val="-7"/>
          <w:sz w:val="18"/>
        </w:rPr>
        <w:t> </w:t>
      </w:r>
      <w:r>
        <w:rPr>
          <w:sz w:val="18"/>
        </w:rPr>
        <w:t>Charities</w:t>
      </w:r>
      <w:r>
        <w:rPr>
          <w:spacing w:val="-7"/>
          <w:sz w:val="18"/>
        </w:rPr>
        <w:t> </w:t>
      </w:r>
      <w:r>
        <w:rPr>
          <w:sz w:val="18"/>
        </w:rPr>
        <w:t>and</w:t>
      </w:r>
      <w:r>
        <w:rPr>
          <w:spacing w:val="-7"/>
          <w:sz w:val="18"/>
        </w:rPr>
        <w:t> </w:t>
      </w:r>
      <w:r>
        <w:rPr>
          <w:sz w:val="18"/>
        </w:rPr>
        <w:t>Not-for-profit</w:t>
      </w:r>
      <w:r>
        <w:rPr>
          <w:spacing w:val="-7"/>
          <w:sz w:val="18"/>
        </w:rPr>
        <w:t> </w:t>
      </w:r>
      <w:r>
        <w:rPr>
          <w:sz w:val="18"/>
        </w:rPr>
        <w:t>Commission Act</w:t>
      </w:r>
      <w:r>
        <w:rPr>
          <w:spacing w:val="-9"/>
          <w:sz w:val="18"/>
        </w:rPr>
        <w:t> </w:t>
      </w:r>
      <w:r>
        <w:rPr>
          <w:sz w:val="18"/>
        </w:rPr>
        <w:t>2012.</w:t>
      </w:r>
    </w:p>
    <w:p>
      <w:pPr>
        <w:pStyle w:val="BodyText"/>
        <w:spacing w:before="11"/>
        <w:rPr>
          <w:sz w:val="24"/>
        </w:rPr>
      </w:pPr>
    </w:p>
    <w:p>
      <w:pPr>
        <w:pStyle w:val="BodyText"/>
        <w:ind w:left="1428"/>
      </w:pPr>
      <w:r>
        <w:rPr/>
        <w:pict>
          <v:shape style="position:absolute;margin-left:60.499924pt;margin-top:30.146164pt;width:205.3pt;height:54.2pt;mso-position-horizontal-relative:page;mso-position-vertical-relative:paragraph;z-index:-1194952" type="#_x0000_t202" filled="false" stroked="false">
            <v:textbox inset="0,0,0,0">
              <w:txbxContent>
                <w:p>
                  <w:pPr>
                    <w:pStyle w:val="BodyText"/>
                  </w:pPr>
                </w:p>
                <w:p>
                  <w:pPr>
                    <w:pStyle w:val="BodyText"/>
                  </w:pPr>
                </w:p>
                <w:p>
                  <w:pPr>
                    <w:pStyle w:val="BodyText"/>
                  </w:pPr>
                </w:p>
                <w:p>
                  <w:pPr>
                    <w:pStyle w:val="BodyText"/>
                    <w:spacing w:before="6"/>
                    <w:rPr>
                      <w:sz w:val="22"/>
                    </w:rPr>
                  </w:pPr>
                </w:p>
                <w:p>
                  <w:pPr>
                    <w:pStyle w:val="BodyText"/>
                    <w:spacing w:line="203" w:lineRule="exact"/>
                    <w:ind w:left="218"/>
                  </w:pPr>
                  <w:r>
                    <w:rPr/>
                    <w:t>.............................................................</w:t>
                  </w:r>
                </w:p>
              </w:txbxContent>
            </v:textbox>
            <w10:wrap type="none"/>
          </v:shape>
        </w:pict>
      </w:r>
      <w:r>
        <w:rPr/>
        <w:t>Signed in accordance with subsection 60.15(2) of the Australian Charities and not-for-profits Commission Regulation 2013.</w:t>
      </w:r>
    </w:p>
    <w:p>
      <w:pPr>
        <w:pStyle w:val="BodyText"/>
        <w:rPr>
          <w:sz w:val="20"/>
        </w:rPr>
      </w:pPr>
    </w:p>
    <w:p>
      <w:pPr>
        <w:pStyle w:val="BodyText"/>
        <w:rPr>
          <w:sz w:val="11"/>
        </w:rPr>
      </w:pPr>
      <w:r>
        <w:rPr/>
        <w:drawing>
          <wp:anchor distT="0" distB="0" distL="0" distR="0" allowOverlap="1" layoutInCell="1" locked="0" behindDoc="0" simplePos="0" relativeHeight="13360">
            <wp:simplePos x="0" y="0"/>
            <wp:positionH relativeFrom="page">
              <wp:posOffset>768349</wp:posOffset>
            </wp:positionH>
            <wp:positionV relativeFrom="paragraph">
              <wp:posOffset>105384</wp:posOffset>
            </wp:positionV>
            <wp:extent cx="2617091" cy="646366"/>
            <wp:effectExtent l="0" t="0" r="0" b="0"/>
            <wp:wrapTopAndBottom/>
            <wp:docPr id="895" name="image50.jpeg" descr=""/>
            <wp:cNvGraphicFramePr>
              <a:graphicFrameLocks noChangeAspect="1"/>
            </wp:cNvGraphicFramePr>
            <a:graphic>
              <a:graphicData uri="http://schemas.openxmlformats.org/drawingml/2006/picture">
                <pic:pic>
                  <pic:nvPicPr>
                    <pic:cNvPr id="896" name="image50.jpeg"/>
                    <pic:cNvPicPr/>
                  </pic:nvPicPr>
                  <pic:blipFill>
                    <a:blip r:embed="rId117" cstate="print"/>
                    <a:stretch>
                      <a:fillRect/>
                    </a:stretch>
                  </pic:blipFill>
                  <pic:spPr>
                    <a:xfrm>
                      <a:off x="0" y="0"/>
                      <a:ext cx="2617091" cy="646366"/>
                    </a:xfrm>
                    <a:prstGeom prst="rect">
                      <a:avLst/>
                    </a:prstGeom>
                  </pic:spPr>
                </pic:pic>
              </a:graphicData>
            </a:graphic>
          </wp:anchor>
        </w:drawing>
      </w:r>
    </w:p>
    <w:p>
      <w:pPr>
        <w:pStyle w:val="BodyText"/>
      </w:pPr>
    </w:p>
    <w:p>
      <w:pPr>
        <w:pStyle w:val="BodyText"/>
        <w:spacing w:line="573" w:lineRule="auto" w:before="120"/>
        <w:ind w:left="1428" w:right="9891"/>
      </w:pPr>
      <w:r>
        <w:rPr/>
        <w:t>Darren Greentree Director</w:t>
      </w:r>
    </w:p>
    <w:p>
      <w:pPr>
        <w:pStyle w:val="BodyText"/>
        <w:spacing w:before="8"/>
        <w:ind w:left="1428"/>
      </w:pPr>
      <w:r>
        <w:rPr/>
        <w:drawing>
          <wp:anchor distT="0" distB="0" distL="0" distR="0" allowOverlap="1" layoutInCell="1" locked="0" behindDoc="0" simplePos="0" relativeHeight="13408">
            <wp:simplePos x="0" y="0"/>
            <wp:positionH relativeFrom="page">
              <wp:posOffset>-1587</wp:posOffset>
            </wp:positionH>
            <wp:positionV relativeFrom="paragraph">
              <wp:posOffset>558214</wp:posOffset>
            </wp:positionV>
            <wp:extent cx="135159" cy="154019"/>
            <wp:effectExtent l="0" t="0" r="0" b="0"/>
            <wp:wrapNone/>
            <wp:docPr id="897" name="image13.png" descr=""/>
            <wp:cNvGraphicFramePr>
              <a:graphicFrameLocks noChangeAspect="1"/>
            </wp:cNvGraphicFramePr>
            <a:graphic>
              <a:graphicData uri="http://schemas.openxmlformats.org/drawingml/2006/picture">
                <pic:pic>
                  <pic:nvPicPr>
                    <pic:cNvPr id="898" name="image13.png"/>
                    <pic:cNvPicPr/>
                  </pic:nvPicPr>
                  <pic:blipFill>
                    <a:blip r:embed="rId18" cstate="print"/>
                    <a:stretch>
                      <a:fillRect/>
                    </a:stretch>
                  </pic:blipFill>
                  <pic:spPr>
                    <a:xfrm>
                      <a:off x="0" y="0"/>
                      <a:ext cx="135159" cy="154019"/>
                    </a:xfrm>
                    <a:prstGeom prst="rect">
                      <a:avLst/>
                    </a:prstGeom>
                  </pic:spPr>
                </pic:pic>
              </a:graphicData>
            </a:graphic>
          </wp:anchor>
        </w:drawing>
      </w:r>
      <w:r>
        <w:rPr/>
        <w:drawing>
          <wp:anchor distT="0" distB="0" distL="0" distR="0" allowOverlap="1" layoutInCell="1" locked="0" behindDoc="0" simplePos="0" relativeHeight="13432">
            <wp:simplePos x="0" y="0"/>
            <wp:positionH relativeFrom="page">
              <wp:posOffset>7958429</wp:posOffset>
            </wp:positionH>
            <wp:positionV relativeFrom="paragraph">
              <wp:posOffset>558214</wp:posOffset>
            </wp:positionV>
            <wp:extent cx="135953" cy="155575"/>
            <wp:effectExtent l="0" t="0" r="0" b="0"/>
            <wp:wrapNone/>
            <wp:docPr id="899" name="image15.png" descr=""/>
            <wp:cNvGraphicFramePr>
              <a:graphicFrameLocks noChangeAspect="1"/>
            </wp:cNvGraphicFramePr>
            <a:graphic>
              <a:graphicData uri="http://schemas.openxmlformats.org/drawingml/2006/picture">
                <pic:pic>
                  <pic:nvPicPr>
                    <pic:cNvPr id="900" name="image15.png"/>
                    <pic:cNvPicPr/>
                  </pic:nvPicPr>
                  <pic:blipFill>
                    <a:blip r:embed="rId20" cstate="print"/>
                    <a:stretch>
                      <a:fillRect/>
                    </a:stretch>
                  </pic:blipFill>
                  <pic:spPr>
                    <a:xfrm>
                      <a:off x="0" y="0"/>
                      <a:ext cx="135953" cy="155575"/>
                    </a:xfrm>
                    <a:prstGeom prst="rect">
                      <a:avLst/>
                    </a:prstGeom>
                  </pic:spPr>
                </pic:pic>
              </a:graphicData>
            </a:graphic>
          </wp:anchor>
        </w:drawing>
      </w:r>
      <w:r>
        <w:rPr/>
        <w:t>6 March 2017</w:t>
      </w:r>
    </w:p>
    <w:p>
      <w:pPr>
        <w:spacing w:after="0"/>
        <w:sectPr>
          <w:pgSz w:w="12750" w:h="17680"/>
          <w:pgMar w:header="0" w:footer="867" w:top="1880" w:bottom="1120" w:left="0" w:right="0"/>
        </w:sectPr>
      </w:pPr>
    </w:p>
    <w:p>
      <w:pPr>
        <w:pStyle w:val="BodyText"/>
        <w:spacing w:before="4"/>
        <w:rPr>
          <w:rFonts w:ascii="Times New Roman"/>
          <w:sz w:val="17"/>
        </w:rPr>
      </w:pPr>
      <w:r>
        <w:rPr/>
        <w:pict>
          <v:group style="position:absolute;margin-left:21.9pt;margin-top:22.076424pt;width:593.9pt;height:841.3pt;mso-position-horizontal-relative:page;mso-position-vertical-relative:page;z-index:13456" coordorigin="438,442" coordsize="11878,16826">
            <v:shape style="position:absolute;left:438;top:447;width:11866;height:16820" type="#_x0000_t75" stroked="false">
              <v:imagedata r:id="rId119" o:title=""/>
            </v:shape>
            <v:line style="position:absolute" from="12295,6952" to="12295,7180" stroked="true" strokeweight="2.0150pt" strokecolor="#ffffff"/>
            <v:shape style="position:absolute;left:11628;top:442;width:688;height:16209" coordorigin="11628,442" coordsize="688,16209" path="m12272,10328l11628,10328,11628,14158,12272,14158,12272,10328m12288,15329l11720,15329,11720,16650,12288,16650,12288,15329m12315,442l12110,442,12110,6941,11877,6941,11877,7444,12285,7444,12285,6952,12315,6952,12315,442e" filled="true" fillcolor="#ffffff" stroked="false">
              <v:path arrowok="t"/>
              <v:fill type="solid"/>
            </v:shape>
            <w10:wrap type="none"/>
          </v:group>
        </w:pict>
      </w:r>
      <w:r>
        <w:rPr/>
        <w:drawing>
          <wp:anchor distT="0" distB="0" distL="0" distR="0" allowOverlap="1" layoutInCell="1" locked="0" behindDoc="0" simplePos="0" relativeHeight="13480">
            <wp:simplePos x="0" y="0"/>
            <wp:positionH relativeFrom="page">
              <wp:posOffset>-1587</wp:posOffset>
            </wp:positionH>
            <wp:positionV relativeFrom="page">
              <wp:posOffset>5546318</wp:posOffset>
            </wp:positionV>
            <wp:extent cx="136413" cy="155448"/>
            <wp:effectExtent l="0" t="0" r="0" b="0"/>
            <wp:wrapNone/>
            <wp:docPr id="903" name="image22.png" descr=""/>
            <wp:cNvGraphicFramePr>
              <a:graphicFrameLocks noChangeAspect="1"/>
            </wp:cNvGraphicFramePr>
            <a:graphic>
              <a:graphicData uri="http://schemas.openxmlformats.org/drawingml/2006/picture">
                <pic:pic>
                  <pic:nvPicPr>
                    <pic:cNvPr id="904" name="image22.png"/>
                    <pic:cNvPicPr/>
                  </pic:nvPicPr>
                  <pic:blipFill>
                    <a:blip r:embed="rId28" cstate="print"/>
                    <a:stretch>
                      <a:fillRect/>
                    </a:stretch>
                  </pic:blipFill>
                  <pic:spPr>
                    <a:xfrm>
                      <a:off x="0" y="0"/>
                      <a:ext cx="136413" cy="155448"/>
                    </a:xfrm>
                    <a:prstGeom prst="rect">
                      <a:avLst/>
                    </a:prstGeom>
                  </pic:spPr>
                </pic:pic>
              </a:graphicData>
            </a:graphic>
          </wp:anchor>
        </w:drawing>
      </w:r>
      <w:r>
        <w:rPr/>
        <w:drawing>
          <wp:anchor distT="0" distB="0" distL="0" distR="0" allowOverlap="1" layoutInCell="1" locked="0" behindDoc="0" simplePos="0" relativeHeight="13504">
            <wp:simplePos x="0" y="0"/>
            <wp:positionH relativeFrom="page">
              <wp:posOffset>7954962</wp:posOffset>
            </wp:positionH>
            <wp:positionV relativeFrom="page">
              <wp:posOffset>5546318</wp:posOffset>
            </wp:positionV>
            <wp:extent cx="139420" cy="155575"/>
            <wp:effectExtent l="0" t="0" r="0" b="0"/>
            <wp:wrapNone/>
            <wp:docPr id="905" name="image23.png" descr=""/>
            <wp:cNvGraphicFramePr>
              <a:graphicFrameLocks noChangeAspect="1"/>
            </wp:cNvGraphicFramePr>
            <a:graphic>
              <a:graphicData uri="http://schemas.openxmlformats.org/drawingml/2006/picture">
                <pic:pic>
                  <pic:nvPicPr>
                    <pic:cNvPr id="906" name="image23.png"/>
                    <pic:cNvPicPr/>
                  </pic:nvPicPr>
                  <pic:blipFill>
                    <a:blip r:embed="rId29" cstate="print"/>
                    <a:stretch>
                      <a:fillRect/>
                    </a:stretch>
                  </pic:blipFill>
                  <pic:spPr>
                    <a:xfrm>
                      <a:off x="0" y="0"/>
                      <a:ext cx="139420" cy="155575"/>
                    </a:xfrm>
                    <a:prstGeom prst="rect">
                      <a:avLst/>
                    </a:prstGeom>
                  </pic:spPr>
                </pic:pic>
              </a:graphicData>
            </a:graphic>
          </wp:anchor>
        </w:drawing>
      </w:r>
    </w:p>
    <w:p>
      <w:pPr>
        <w:spacing w:after="0"/>
        <w:rPr>
          <w:rFonts w:ascii="Times New Roman"/>
          <w:sz w:val="17"/>
        </w:rPr>
        <w:sectPr>
          <w:headerReference w:type="default" r:id="rId118"/>
          <w:pgSz w:w="12750" w:h="17680"/>
          <w:pgMar w:header="0" w:footer="867" w:top="420" w:bottom="1060" w:left="0" w:right="0"/>
        </w:sectPr>
      </w:pPr>
    </w:p>
    <w:p>
      <w:pPr>
        <w:pStyle w:val="BodyText"/>
        <w:spacing w:before="4"/>
        <w:rPr>
          <w:rFonts w:ascii="Times New Roman"/>
          <w:sz w:val="17"/>
        </w:rPr>
      </w:pPr>
      <w:r>
        <w:rPr/>
        <w:pict>
          <v:group style="position:absolute;margin-left:22.200001pt;margin-top:22.914352pt;width:593.65pt;height:839.55pt;mso-position-horizontal-relative:page;mso-position-vertical-relative:page;z-index:-1194808" coordorigin="444,458" coordsize="11873,16791">
            <v:shape style="position:absolute;left:444;top:465;width:11852;height:16784" type="#_x0000_t75" stroked="false">
              <v:imagedata r:id="rId121" o:title=""/>
            </v:shape>
            <v:line style="position:absolute" from="11825,9098" to="11825,9214" stroked="true" strokeweight=".023pt" strokecolor="#ffffff"/>
            <v:rect style="position:absolute;left:11824;top:458;width:492;height:8640" filled="true" fillcolor="#ffffff" stroked="false">
              <v:fill type="solid"/>
            </v:rect>
            <v:line style="position:absolute" from="12301,9098" to="12301,9213" stroked="true" strokeweight="1.548pt" strokecolor="#ffffff"/>
            <v:shape style="position:absolute;left:5855;top:9088;width:6441;height:8117" coordorigin="5855,9088" coordsize="6441,8117" path="m6221,11664l5855,11664,5855,12083,6221,12083,6221,11664m12296,9088l11835,9088,11835,17204,12296,17204,12296,9088e" filled="true" fillcolor="#ffffff" stroked="false">
              <v:path arrowok="t"/>
              <v:fill type="solid"/>
            </v:shape>
            <w10:wrap type="none"/>
          </v:group>
        </w:pict>
      </w:r>
      <w:r>
        <w:rPr/>
        <w:drawing>
          <wp:anchor distT="0" distB="0" distL="0" distR="0" allowOverlap="1" layoutInCell="1" locked="0" behindDoc="0" simplePos="0" relativeHeight="13552">
            <wp:simplePos x="0" y="0"/>
            <wp:positionH relativeFrom="page">
              <wp:posOffset>-1587</wp:posOffset>
            </wp:positionH>
            <wp:positionV relativeFrom="page">
              <wp:posOffset>5546318</wp:posOffset>
            </wp:positionV>
            <wp:extent cx="136413" cy="155448"/>
            <wp:effectExtent l="0" t="0" r="0" b="0"/>
            <wp:wrapNone/>
            <wp:docPr id="909" name="image22.png" descr=""/>
            <wp:cNvGraphicFramePr>
              <a:graphicFrameLocks noChangeAspect="1"/>
            </wp:cNvGraphicFramePr>
            <a:graphic>
              <a:graphicData uri="http://schemas.openxmlformats.org/drawingml/2006/picture">
                <pic:pic>
                  <pic:nvPicPr>
                    <pic:cNvPr id="910" name="image22.png"/>
                    <pic:cNvPicPr/>
                  </pic:nvPicPr>
                  <pic:blipFill>
                    <a:blip r:embed="rId28" cstate="print"/>
                    <a:stretch>
                      <a:fillRect/>
                    </a:stretch>
                  </pic:blipFill>
                  <pic:spPr>
                    <a:xfrm>
                      <a:off x="0" y="0"/>
                      <a:ext cx="136413" cy="155448"/>
                    </a:xfrm>
                    <a:prstGeom prst="rect">
                      <a:avLst/>
                    </a:prstGeom>
                  </pic:spPr>
                </pic:pic>
              </a:graphicData>
            </a:graphic>
          </wp:anchor>
        </w:drawing>
      </w:r>
      <w:r>
        <w:rPr/>
        <w:drawing>
          <wp:anchor distT="0" distB="0" distL="0" distR="0" allowOverlap="1" layoutInCell="1" locked="0" behindDoc="0" simplePos="0" relativeHeight="13576">
            <wp:simplePos x="0" y="0"/>
            <wp:positionH relativeFrom="page">
              <wp:posOffset>7954962</wp:posOffset>
            </wp:positionH>
            <wp:positionV relativeFrom="page">
              <wp:posOffset>5546318</wp:posOffset>
            </wp:positionV>
            <wp:extent cx="139420" cy="155575"/>
            <wp:effectExtent l="0" t="0" r="0" b="0"/>
            <wp:wrapNone/>
            <wp:docPr id="911" name="image23.png" descr=""/>
            <wp:cNvGraphicFramePr>
              <a:graphicFrameLocks noChangeAspect="1"/>
            </wp:cNvGraphicFramePr>
            <a:graphic>
              <a:graphicData uri="http://schemas.openxmlformats.org/drawingml/2006/picture">
                <pic:pic>
                  <pic:nvPicPr>
                    <pic:cNvPr id="912" name="image23.png"/>
                    <pic:cNvPicPr/>
                  </pic:nvPicPr>
                  <pic:blipFill>
                    <a:blip r:embed="rId29" cstate="print"/>
                    <a:stretch>
                      <a:fillRect/>
                    </a:stretch>
                  </pic:blipFill>
                  <pic:spPr>
                    <a:xfrm>
                      <a:off x="0" y="0"/>
                      <a:ext cx="139420" cy="155575"/>
                    </a:xfrm>
                    <a:prstGeom prst="rect">
                      <a:avLst/>
                    </a:prstGeom>
                  </pic:spPr>
                </pic:pic>
              </a:graphicData>
            </a:graphic>
          </wp:anchor>
        </w:drawing>
      </w:r>
    </w:p>
    <w:p>
      <w:pPr>
        <w:spacing w:after="0"/>
        <w:rPr>
          <w:rFonts w:ascii="Times New Roman"/>
          <w:sz w:val="17"/>
        </w:rPr>
        <w:sectPr>
          <w:footerReference w:type="default" r:id="rId120"/>
          <w:pgSz w:w="12750" w:h="17680"/>
          <w:pgMar w:footer="867" w:header="0" w:top="420" w:bottom="1060" w:left="0" w:right="0"/>
          <w:pgNumType w:start="191"/>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2"/>
        <w:rPr>
          <w:rFonts w:ascii="Times New Roman"/>
        </w:rPr>
      </w:pPr>
    </w:p>
    <w:p>
      <w:pPr>
        <w:pStyle w:val="BodyText"/>
        <w:spacing w:before="77"/>
        <w:ind w:left="2107" w:right="2106"/>
        <w:jc w:val="center"/>
      </w:pPr>
      <w:r>
        <w:rPr/>
        <w:drawing>
          <wp:anchor distT="0" distB="0" distL="0" distR="0" allowOverlap="1" layoutInCell="1" locked="0" behindDoc="0" simplePos="0" relativeHeight="13600">
            <wp:simplePos x="0" y="0"/>
            <wp:positionH relativeFrom="page">
              <wp:posOffset>-1587</wp:posOffset>
            </wp:positionH>
            <wp:positionV relativeFrom="paragraph">
              <wp:posOffset>752816</wp:posOffset>
            </wp:positionV>
            <wp:extent cx="135159" cy="154019"/>
            <wp:effectExtent l="0" t="0" r="0" b="0"/>
            <wp:wrapNone/>
            <wp:docPr id="913" name="image13.png" descr=""/>
            <wp:cNvGraphicFramePr>
              <a:graphicFrameLocks noChangeAspect="1"/>
            </wp:cNvGraphicFramePr>
            <a:graphic>
              <a:graphicData uri="http://schemas.openxmlformats.org/drawingml/2006/picture">
                <pic:pic>
                  <pic:nvPicPr>
                    <pic:cNvPr id="914" name="image13.png"/>
                    <pic:cNvPicPr/>
                  </pic:nvPicPr>
                  <pic:blipFill>
                    <a:blip r:embed="rId18" cstate="print"/>
                    <a:stretch>
                      <a:fillRect/>
                    </a:stretch>
                  </pic:blipFill>
                  <pic:spPr>
                    <a:xfrm>
                      <a:off x="0" y="0"/>
                      <a:ext cx="135159" cy="154019"/>
                    </a:xfrm>
                    <a:prstGeom prst="rect">
                      <a:avLst/>
                    </a:prstGeom>
                  </pic:spPr>
                </pic:pic>
              </a:graphicData>
            </a:graphic>
          </wp:anchor>
        </w:drawing>
      </w:r>
      <w:r>
        <w:rPr/>
        <w:drawing>
          <wp:anchor distT="0" distB="0" distL="0" distR="0" allowOverlap="1" layoutInCell="1" locked="0" behindDoc="0" simplePos="0" relativeHeight="13624">
            <wp:simplePos x="0" y="0"/>
            <wp:positionH relativeFrom="page">
              <wp:posOffset>7959026</wp:posOffset>
            </wp:positionH>
            <wp:positionV relativeFrom="paragraph">
              <wp:posOffset>752816</wp:posOffset>
            </wp:positionV>
            <wp:extent cx="135356" cy="155575"/>
            <wp:effectExtent l="0" t="0" r="0" b="0"/>
            <wp:wrapNone/>
            <wp:docPr id="915" name="image14.png" descr=""/>
            <wp:cNvGraphicFramePr>
              <a:graphicFrameLocks noChangeAspect="1"/>
            </wp:cNvGraphicFramePr>
            <a:graphic>
              <a:graphicData uri="http://schemas.openxmlformats.org/drawingml/2006/picture">
                <pic:pic>
                  <pic:nvPicPr>
                    <pic:cNvPr id="916" name="image14.png"/>
                    <pic:cNvPicPr/>
                  </pic:nvPicPr>
                  <pic:blipFill>
                    <a:blip r:embed="rId19" cstate="print"/>
                    <a:stretch>
                      <a:fillRect/>
                    </a:stretch>
                  </pic:blipFill>
                  <pic:spPr>
                    <a:xfrm>
                      <a:off x="0" y="0"/>
                      <a:ext cx="135356" cy="155575"/>
                    </a:xfrm>
                    <a:prstGeom prst="rect">
                      <a:avLst/>
                    </a:prstGeom>
                  </pic:spPr>
                </pic:pic>
              </a:graphicData>
            </a:graphic>
          </wp:anchor>
        </w:drawing>
      </w:r>
      <w:r>
        <w:rPr/>
        <w:t>This page is intentionally blank</w:t>
      </w:r>
    </w:p>
    <w:p>
      <w:pPr>
        <w:spacing w:after="0"/>
        <w:jc w:val="center"/>
        <w:sectPr>
          <w:pgSz w:w="12750" w:h="17680"/>
          <w:pgMar w:header="0" w:footer="867" w:top="420" w:bottom="108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8"/>
        </w:rPr>
      </w:pPr>
    </w:p>
    <w:p>
      <w:pPr>
        <w:pStyle w:val="Heading1"/>
        <w:ind w:right="1375"/>
      </w:pPr>
      <w:bookmarkStart w:name="Cover page" w:id="373"/>
      <w:bookmarkEnd w:id="373"/>
      <w:r>
        <w:rPr>
          <w:b w:val="0"/>
        </w:rPr>
      </w:r>
      <w:r>
        <w:rPr/>
        <w:t>Whitlam Institute within Western Sydney University Limited</w:t>
      </w:r>
    </w:p>
    <w:p>
      <w:pPr>
        <w:spacing w:line="230" w:lineRule="exact" w:before="0"/>
        <w:ind w:left="1428" w:right="0" w:firstLine="0"/>
        <w:jc w:val="left"/>
        <w:rPr>
          <w:b/>
          <w:sz w:val="20"/>
        </w:rPr>
      </w:pPr>
      <w:r>
        <w:rPr>
          <w:b/>
          <w:sz w:val="20"/>
        </w:rPr>
        <w:t>ABN: 50 100 342 309</w:t>
      </w:r>
    </w:p>
    <w:p>
      <w:pPr>
        <w:pStyle w:val="BodyText"/>
        <w:rPr>
          <w:b/>
          <w:sz w:val="20"/>
        </w:rPr>
      </w:pPr>
    </w:p>
    <w:p>
      <w:pPr>
        <w:pStyle w:val="BodyText"/>
        <w:rPr>
          <w:b/>
          <w:sz w:val="20"/>
        </w:rPr>
      </w:pPr>
    </w:p>
    <w:p>
      <w:pPr>
        <w:pStyle w:val="BodyText"/>
        <w:spacing w:before="10"/>
        <w:rPr>
          <w:b/>
          <w:sz w:val="15"/>
        </w:rPr>
      </w:pPr>
    </w:p>
    <w:p>
      <w:pPr>
        <w:spacing w:before="0"/>
        <w:ind w:left="1428" w:right="0" w:firstLine="0"/>
        <w:jc w:val="left"/>
        <w:rPr>
          <w:b/>
          <w:sz w:val="28"/>
        </w:rPr>
      </w:pPr>
      <w:r>
        <w:rPr/>
        <w:drawing>
          <wp:anchor distT="0" distB="0" distL="0" distR="0" allowOverlap="1" layoutInCell="1" locked="0" behindDoc="0" simplePos="0" relativeHeight="13648">
            <wp:simplePos x="0" y="0"/>
            <wp:positionH relativeFrom="page">
              <wp:posOffset>-1587</wp:posOffset>
            </wp:positionH>
            <wp:positionV relativeFrom="paragraph">
              <wp:posOffset>19098</wp:posOffset>
            </wp:positionV>
            <wp:extent cx="136525" cy="155575"/>
            <wp:effectExtent l="0" t="0" r="0" b="0"/>
            <wp:wrapNone/>
            <wp:docPr id="917" name="image13.png" descr=""/>
            <wp:cNvGraphicFramePr>
              <a:graphicFrameLocks noChangeAspect="1"/>
            </wp:cNvGraphicFramePr>
            <a:graphic>
              <a:graphicData uri="http://schemas.openxmlformats.org/drawingml/2006/picture">
                <pic:pic>
                  <pic:nvPicPr>
                    <pic:cNvPr id="918" name="image13.png"/>
                    <pic:cNvPicPr/>
                  </pic:nvPicPr>
                  <pic:blipFill>
                    <a:blip r:embed="rId18" cstate="print"/>
                    <a:stretch>
                      <a:fillRect/>
                    </a:stretch>
                  </pic:blipFill>
                  <pic:spPr>
                    <a:xfrm>
                      <a:off x="0" y="0"/>
                      <a:ext cx="136525" cy="155575"/>
                    </a:xfrm>
                    <a:prstGeom prst="rect">
                      <a:avLst/>
                    </a:prstGeom>
                  </pic:spPr>
                </pic:pic>
              </a:graphicData>
            </a:graphic>
          </wp:anchor>
        </w:drawing>
      </w:r>
      <w:r>
        <w:rPr/>
        <w:drawing>
          <wp:anchor distT="0" distB="0" distL="0" distR="0" allowOverlap="1" layoutInCell="1" locked="0" behindDoc="0" simplePos="0" relativeHeight="13672">
            <wp:simplePos x="0" y="0"/>
            <wp:positionH relativeFrom="page">
              <wp:posOffset>7958429</wp:posOffset>
            </wp:positionH>
            <wp:positionV relativeFrom="paragraph">
              <wp:posOffset>19098</wp:posOffset>
            </wp:positionV>
            <wp:extent cx="135953" cy="155575"/>
            <wp:effectExtent l="0" t="0" r="0" b="0"/>
            <wp:wrapNone/>
            <wp:docPr id="919" name="image15.png" descr=""/>
            <wp:cNvGraphicFramePr>
              <a:graphicFrameLocks noChangeAspect="1"/>
            </wp:cNvGraphicFramePr>
            <a:graphic>
              <a:graphicData uri="http://schemas.openxmlformats.org/drawingml/2006/picture">
                <pic:pic>
                  <pic:nvPicPr>
                    <pic:cNvPr id="920" name="image15.png"/>
                    <pic:cNvPicPr/>
                  </pic:nvPicPr>
                  <pic:blipFill>
                    <a:blip r:embed="rId20" cstate="print"/>
                    <a:stretch>
                      <a:fillRect/>
                    </a:stretch>
                  </pic:blipFill>
                  <pic:spPr>
                    <a:xfrm>
                      <a:off x="0" y="0"/>
                      <a:ext cx="135953" cy="155575"/>
                    </a:xfrm>
                    <a:prstGeom prst="rect">
                      <a:avLst/>
                    </a:prstGeom>
                  </pic:spPr>
                </pic:pic>
              </a:graphicData>
            </a:graphic>
          </wp:anchor>
        </w:drawing>
      </w:r>
      <w:r>
        <w:rPr>
          <w:b/>
          <w:sz w:val="28"/>
        </w:rPr>
        <w:t>Financial statements</w:t>
      </w:r>
    </w:p>
    <w:p>
      <w:pPr>
        <w:spacing w:before="230"/>
        <w:ind w:left="1428" w:right="0" w:firstLine="0"/>
        <w:jc w:val="left"/>
        <w:rPr>
          <w:b/>
          <w:sz w:val="20"/>
        </w:rPr>
      </w:pPr>
      <w:r>
        <w:rPr>
          <w:b/>
          <w:sz w:val="20"/>
        </w:rPr>
        <w:t>For the year ended 31 December 2016</w:t>
      </w:r>
    </w:p>
    <w:p>
      <w:pPr>
        <w:pStyle w:val="BodyText"/>
        <w:rPr>
          <w:b/>
          <w:sz w:val="20"/>
        </w:rPr>
      </w:pPr>
    </w:p>
    <w:p>
      <w:pPr>
        <w:pStyle w:val="BodyText"/>
        <w:rPr>
          <w:b/>
          <w:sz w:val="20"/>
        </w:rPr>
      </w:pPr>
    </w:p>
    <w:p>
      <w:pPr>
        <w:pStyle w:val="BodyText"/>
        <w:spacing w:before="1"/>
        <w:ind w:left="1427" w:right="1407"/>
      </w:pPr>
      <w:r>
        <w:rPr/>
        <w:t>These financial statements of the Whitlam Institute within Western Sydney University Limited (the Company) are presented as an individual entity. The financial statements are presented in Australian currency.</w:t>
      </w:r>
    </w:p>
    <w:p>
      <w:pPr>
        <w:pStyle w:val="BodyText"/>
        <w:spacing w:before="7"/>
        <w:rPr>
          <w:sz w:val="14"/>
        </w:rPr>
      </w:pPr>
    </w:p>
    <w:p>
      <w:pPr>
        <w:pStyle w:val="BodyText"/>
        <w:ind w:left="1428" w:right="5140"/>
      </w:pPr>
      <w:r>
        <w:rPr/>
        <w:t>The registered office and principal place of business of the Company is: Whitlam Institute within Western Sydney University Limited</w:t>
      </w:r>
    </w:p>
    <w:p>
      <w:pPr>
        <w:pStyle w:val="BodyText"/>
        <w:ind w:left="1428" w:right="8621"/>
      </w:pPr>
      <w:r>
        <w:rPr/>
        <w:t>Western Sydney University Building EZ, Parramatta Campus Cnr James Ruse Dr &amp; Victoria Rd Rydalmere NSW 2116</w:t>
      </w:r>
    </w:p>
    <w:p>
      <w:pPr>
        <w:pStyle w:val="BodyText"/>
      </w:pPr>
    </w:p>
    <w:p>
      <w:pPr>
        <w:pStyle w:val="BodyText"/>
        <w:spacing w:before="4"/>
        <w:rPr>
          <w:sz w:val="21"/>
        </w:rPr>
      </w:pPr>
    </w:p>
    <w:p>
      <w:pPr>
        <w:pStyle w:val="BodyText"/>
        <w:spacing w:line="207" w:lineRule="exact"/>
        <w:ind w:left="1428"/>
      </w:pPr>
      <w:r>
        <w:rPr/>
        <w:t>Registered postal address is:</w:t>
      </w:r>
    </w:p>
    <w:p>
      <w:pPr>
        <w:pStyle w:val="BodyText"/>
        <w:ind w:left="1428" w:right="6108"/>
      </w:pPr>
      <w:r>
        <w:rPr/>
        <w:t>Whitlam Institute within Western Sydney University Limited Locked Bag 1797</w:t>
      </w:r>
    </w:p>
    <w:p>
      <w:pPr>
        <w:pStyle w:val="BodyText"/>
        <w:spacing w:line="206" w:lineRule="exact"/>
        <w:ind w:left="1428"/>
      </w:pPr>
      <w:r>
        <w:rPr/>
        <w:t>Penrith NSW 2751</w:t>
      </w:r>
    </w:p>
    <w:p>
      <w:pPr>
        <w:pStyle w:val="BodyText"/>
        <w:spacing w:before="7"/>
        <w:rPr>
          <w:sz w:val="14"/>
        </w:rPr>
      </w:pPr>
    </w:p>
    <w:p>
      <w:pPr>
        <w:pStyle w:val="BodyText"/>
        <w:ind w:left="1427" w:right="1375"/>
      </w:pPr>
      <w:r>
        <w:rPr/>
        <w:t>A description of the nature of the Company's operations and it principal activities is included in the director's report which is not part of these financial statements.</w:t>
      </w:r>
    </w:p>
    <w:p>
      <w:pPr>
        <w:pStyle w:val="BodyText"/>
        <w:spacing w:before="7"/>
        <w:rPr>
          <w:sz w:val="14"/>
        </w:rPr>
      </w:pPr>
    </w:p>
    <w:p>
      <w:pPr>
        <w:pStyle w:val="BodyText"/>
        <w:ind w:left="1428" w:right="1375"/>
      </w:pPr>
      <w:r>
        <w:rPr/>
        <w:t>These financial statements were authorised for issue by the directors on 17 February 2017. The directors have the power to amend and reissue the financial statements.</w:t>
      </w:r>
    </w:p>
    <w:p>
      <w:pPr>
        <w:spacing w:after="0"/>
        <w:sectPr>
          <w:pgSz w:w="12750" w:h="17680"/>
          <w:pgMar w:header="0" w:footer="867" w:top="420" w:bottom="1120" w:left="0" w:right="0"/>
        </w:sectPr>
      </w:pPr>
    </w:p>
    <w:p>
      <w:pPr>
        <w:pStyle w:val="BodyText"/>
        <w:spacing w:before="2"/>
        <w:rPr>
          <w:sz w:val="24"/>
        </w:rPr>
      </w:pPr>
    </w:p>
    <w:p>
      <w:pPr>
        <w:spacing w:before="64"/>
        <w:ind w:left="1428" w:right="0" w:firstLine="0"/>
        <w:jc w:val="left"/>
        <w:rPr>
          <w:b/>
          <w:sz w:val="28"/>
        </w:rPr>
      </w:pPr>
      <w:bookmarkStart w:name="Director's report" w:id="374"/>
      <w:bookmarkEnd w:id="374"/>
      <w:r>
        <w:rPr/>
      </w:r>
      <w:r>
        <w:rPr>
          <w:b/>
          <w:sz w:val="28"/>
        </w:rPr>
        <w:t>Director's report</w:t>
      </w:r>
    </w:p>
    <w:p>
      <w:pPr>
        <w:pStyle w:val="Heading7"/>
      </w:pPr>
      <w:bookmarkStart w:name=" Directors" w:id="375"/>
      <w:bookmarkEnd w:id="375"/>
      <w:r>
        <w:rPr>
          <w:b w:val="0"/>
        </w:rPr>
      </w:r>
      <w:r>
        <w:rPr/>
        <w:t>For the year ended 31 December 2016</w:t>
      </w:r>
    </w:p>
    <w:p>
      <w:pPr>
        <w:pStyle w:val="BodyText"/>
        <w:spacing w:before="145"/>
        <w:ind w:left="1824"/>
        <w:jc w:val="both"/>
      </w:pPr>
      <w:r>
        <w:rPr/>
        <w:t>Your directors present their report on the Company for the financial year ended 31 December 2016.</w:t>
      </w:r>
    </w:p>
    <w:p>
      <w:pPr>
        <w:pStyle w:val="BodyText"/>
      </w:pPr>
    </w:p>
    <w:p>
      <w:pPr>
        <w:pStyle w:val="BodyText"/>
        <w:spacing w:before="8"/>
        <w:rPr>
          <w:sz w:val="14"/>
        </w:rPr>
      </w:pPr>
    </w:p>
    <w:p>
      <w:pPr>
        <w:pStyle w:val="Heading8"/>
        <w:ind w:left="1822"/>
        <w:jc w:val="both"/>
      </w:pPr>
      <w:r>
        <w:rPr/>
        <w:t>Directors</w:t>
      </w:r>
    </w:p>
    <w:p>
      <w:pPr>
        <w:pStyle w:val="BodyText"/>
        <w:spacing w:line="340" w:lineRule="atLeast" w:before="17"/>
        <w:ind w:left="1822" w:right="2623" w:firstLine="1"/>
      </w:pPr>
      <w:r>
        <w:rPr/>
        <w:t>The names of each person who has been a director during the year and to the date of this report are: The Hon. John Faulkner</w:t>
      </w:r>
    </w:p>
    <w:p>
      <w:pPr>
        <w:pStyle w:val="BodyText"/>
        <w:ind w:left="1822" w:right="8797"/>
      </w:pPr>
      <w:r>
        <w:rPr/>
        <w:t>Ms Patricia Amphlett OAM Prof. Barney Glover</w:t>
      </w:r>
    </w:p>
    <w:p>
      <w:pPr>
        <w:pStyle w:val="BodyText"/>
        <w:ind w:left="1822" w:right="9277"/>
      </w:pPr>
      <w:r>
        <w:rPr/>
        <w:t>Ms Gabrielle Trainor Mr John Wells</w:t>
      </w:r>
    </w:p>
    <w:p>
      <w:pPr>
        <w:pStyle w:val="BodyText"/>
        <w:ind w:left="1822" w:right="9107"/>
      </w:pPr>
      <w:r>
        <w:rPr/>
        <w:t>Mr Talal Yassine OAM Ms Catherine Dovey</w:t>
      </w:r>
    </w:p>
    <w:p>
      <w:pPr>
        <w:pStyle w:val="BodyText"/>
        <w:tabs>
          <w:tab w:pos="4973" w:val="left" w:leader="none"/>
        </w:tabs>
        <w:spacing w:line="206" w:lineRule="exact"/>
        <w:ind w:left="1822"/>
        <w:jc w:val="both"/>
      </w:pPr>
      <w:r>
        <w:rPr/>
        <w:t>Mr</w:t>
      </w:r>
      <w:r>
        <w:rPr>
          <w:spacing w:val="-4"/>
        </w:rPr>
        <w:t> </w:t>
      </w:r>
      <w:r>
        <w:rPr/>
        <w:t>Cameron</w:t>
      </w:r>
      <w:r>
        <w:rPr>
          <w:spacing w:val="-4"/>
        </w:rPr>
        <w:t> </w:t>
      </w:r>
      <w:r>
        <w:rPr/>
        <w:t>Clyne</w:t>
        <w:tab/>
        <w:t>Appointed 6 September</w:t>
      </w:r>
      <w:r>
        <w:rPr>
          <w:spacing w:val="-24"/>
        </w:rPr>
        <w:t> </w:t>
      </w:r>
      <w:r>
        <w:rPr/>
        <w:t>2016</w:t>
      </w:r>
    </w:p>
    <w:p>
      <w:pPr>
        <w:pStyle w:val="BodyText"/>
        <w:tabs>
          <w:tab w:pos="4973" w:val="left" w:leader="none"/>
        </w:tabs>
        <w:spacing w:line="207" w:lineRule="exact"/>
        <w:ind w:left="1822"/>
        <w:jc w:val="both"/>
      </w:pPr>
      <w:r>
        <w:rPr/>
        <w:t>Mr</w:t>
      </w:r>
      <w:r>
        <w:rPr>
          <w:spacing w:val="-2"/>
        </w:rPr>
        <w:t> </w:t>
      </w:r>
      <w:r>
        <w:rPr/>
        <w:t>Geoffrey</w:t>
      </w:r>
      <w:r>
        <w:rPr>
          <w:spacing w:val="-5"/>
        </w:rPr>
        <w:t> </w:t>
      </w:r>
      <w:r>
        <w:rPr/>
        <w:t>Roberson</w:t>
        <w:tab/>
        <w:t>Resigned 25 November</w:t>
      </w:r>
      <w:r>
        <w:rPr>
          <w:spacing w:val="-23"/>
        </w:rPr>
        <w:t> </w:t>
      </w:r>
      <w:r>
        <w:rPr/>
        <w:t>2016</w:t>
      </w:r>
    </w:p>
    <w:p>
      <w:pPr>
        <w:pStyle w:val="BodyText"/>
        <w:tabs>
          <w:tab w:pos="4973" w:val="left" w:leader="none"/>
        </w:tabs>
        <w:spacing w:before="28"/>
        <w:ind w:left="1822"/>
        <w:jc w:val="both"/>
      </w:pPr>
      <w:r>
        <w:rPr/>
        <w:t>Dr Kerry</w:t>
      </w:r>
      <w:r>
        <w:rPr>
          <w:spacing w:val="-7"/>
        </w:rPr>
        <w:t> </w:t>
      </w:r>
      <w:r>
        <w:rPr/>
        <w:t>Schott</w:t>
      </w:r>
      <w:r>
        <w:rPr>
          <w:spacing w:val="-4"/>
        </w:rPr>
        <w:t> </w:t>
      </w:r>
      <w:r>
        <w:rPr/>
        <w:t>AO</w:t>
        <w:tab/>
        <w:t>Resigned 20 May</w:t>
      </w:r>
      <w:r>
        <w:rPr>
          <w:spacing w:val="-18"/>
        </w:rPr>
        <w:t> </w:t>
      </w:r>
      <w:r>
        <w:rPr/>
        <w:t>2016</w:t>
      </w:r>
    </w:p>
    <w:p>
      <w:pPr>
        <w:pStyle w:val="BodyText"/>
      </w:pPr>
    </w:p>
    <w:p>
      <w:pPr>
        <w:pStyle w:val="BodyText"/>
        <w:spacing w:before="10"/>
        <w:rPr>
          <w:sz w:val="17"/>
        </w:rPr>
      </w:pPr>
    </w:p>
    <w:p>
      <w:pPr>
        <w:pStyle w:val="BodyText"/>
        <w:spacing w:before="1"/>
        <w:ind w:left="1823"/>
        <w:jc w:val="both"/>
      </w:pPr>
      <w:bookmarkStart w:name=" Company secretary" w:id="376"/>
      <w:bookmarkEnd w:id="376"/>
      <w:r>
        <w:rPr/>
      </w:r>
      <w:r>
        <w:rPr/>
        <w:t>Directors have been in office since the start of the financial year to the date of this report unless otherwise stated.</w:t>
      </w:r>
    </w:p>
    <w:p>
      <w:pPr>
        <w:pStyle w:val="BodyText"/>
        <w:spacing w:before="4"/>
        <w:rPr>
          <w:sz w:val="14"/>
        </w:rPr>
      </w:pPr>
    </w:p>
    <w:p>
      <w:pPr>
        <w:pStyle w:val="Heading8"/>
        <w:ind w:left="1822"/>
        <w:jc w:val="both"/>
      </w:pPr>
      <w:bookmarkStart w:name=" Principal activities" w:id="377"/>
      <w:bookmarkEnd w:id="377"/>
      <w:r>
        <w:rPr>
          <w:b w:val="0"/>
        </w:rPr>
      </w:r>
      <w:r>
        <w:rPr/>
        <w:t>Company secretary</w:t>
      </w:r>
    </w:p>
    <w:p>
      <w:pPr>
        <w:pStyle w:val="BodyText"/>
        <w:spacing w:before="4"/>
        <w:ind w:left="1824" w:right="1375"/>
      </w:pPr>
      <w:r>
        <w:rPr/>
        <w:t>Ms Sandra Stevenson held the position of Company Secretary for the whole of the financial year and to the date of this report.</w:t>
      </w:r>
    </w:p>
    <w:p>
      <w:pPr>
        <w:pStyle w:val="BodyText"/>
        <w:spacing w:before="4"/>
        <w:rPr>
          <w:sz w:val="14"/>
        </w:rPr>
      </w:pPr>
    </w:p>
    <w:p>
      <w:pPr>
        <w:pStyle w:val="Heading8"/>
        <w:ind w:left="1822"/>
        <w:jc w:val="both"/>
      </w:pPr>
      <w:r>
        <w:rPr/>
        <w:t>Principal activities</w:t>
      </w:r>
    </w:p>
    <w:p>
      <w:pPr>
        <w:pStyle w:val="BodyText"/>
        <w:spacing w:before="4"/>
        <w:ind w:left="1823" w:right="1393"/>
        <w:jc w:val="both"/>
      </w:pPr>
      <w:r>
        <w:rPr/>
        <w:drawing>
          <wp:anchor distT="0" distB="0" distL="0" distR="0" allowOverlap="1" layoutInCell="1" locked="0" behindDoc="0" simplePos="0" relativeHeight="13696">
            <wp:simplePos x="0" y="0"/>
            <wp:positionH relativeFrom="page">
              <wp:posOffset>-1587</wp:posOffset>
            </wp:positionH>
            <wp:positionV relativeFrom="paragraph">
              <wp:posOffset>340790</wp:posOffset>
            </wp:positionV>
            <wp:extent cx="136525" cy="155575"/>
            <wp:effectExtent l="0" t="0" r="0" b="0"/>
            <wp:wrapNone/>
            <wp:docPr id="923" name="image13.png" descr=""/>
            <wp:cNvGraphicFramePr>
              <a:graphicFrameLocks noChangeAspect="1"/>
            </wp:cNvGraphicFramePr>
            <a:graphic>
              <a:graphicData uri="http://schemas.openxmlformats.org/drawingml/2006/picture">
                <pic:pic>
                  <pic:nvPicPr>
                    <pic:cNvPr id="924" name="image13.png"/>
                    <pic:cNvPicPr/>
                  </pic:nvPicPr>
                  <pic:blipFill>
                    <a:blip r:embed="rId18" cstate="print"/>
                    <a:stretch>
                      <a:fillRect/>
                    </a:stretch>
                  </pic:blipFill>
                  <pic:spPr>
                    <a:xfrm>
                      <a:off x="0" y="0"/>
                      <a:ext cx="136525" cy="155575"/>
                    </a:xfrm>
                    <a:prstGeom prst="rect">
                      <a:avLst/>
                    </a:prstGeom>
                  </pic:spPr>
                </pic:pic>
              </a:graphicData>
            </a:graphic>
          </wp:anchor>
        </w:drawing>
      </w:r>
      <w:r>
        <w:rPr/>
        <w:drawing>
          <wp:anchor distT="0" distB="0" distL="0" distR="0" allowOverlap="1" layoutInCell="1" locked="0" behindDoc="0" simplePos="0" relativeHeight="13720">
            <wp:simplePos x="0" y="0"/>
            <wp:positionH relativeFrom="page">
              <wp:posOffset>7958429</wp:posOffset>
            </wp:positionH>
            <wp:positionV relativeFrom="paragraph">
              <wp:posOffset>340790</wp:posOffset>
            </wp:positionV>
            <wp:extent cx="135953" cy="155575"/>
            <wp:effectExtent l="0" t="0" r="0" b="0"/>
            <wp:wrapNone/>
            <wp:docPr id="925" name="image15.png" descr=""/>
            <wp:cNvGraphicFramePr>
              <a:graphicFrameLocks noChangeAspect="1"/>
            </wp:cNvGraphicFramePr>
            <a:graphic>
              <a:graphicData uri="http://schemas.openxmlformats.org/drawingml/2006/picture">
                <pic:pic>
                  <pic:nvPicPr>
                    <pic:cNvPr id="926" name="image15.png"/>
                    <pic:cNvPicPr/>
                  </pic:nvPicPr>
                  <pic:blipFill>
                    <a:blip r:embed="rId20" cstate="print"/>
                    <a:stretch>
                      <a:fillRect/>
                    </a:stretch>
                  </pic:blipFill>
                  <pic:spPr>
                    <a:xfrm>
                      <a:off x="0" y="0"/>
                      <a:ext cx="135953" cy="155575"/>
                    </a:xfrm>
                    <a:prstGeom prst="rect">
                      <a:avLst/>
                    </a:prstGeom>
                  </pic:spPr>
                </pic:pic>
              </a:graphicData>
            </a:graphic>
          </wp:anchor>
        </w:drawing>
      </w:r>
      <w:r>
        <w:rPr/>
        <w:t>The principal activity of the Company is to manage the Company and to act as Trustee of the Trust. The main function of the Company is fundraising in support of the University, and the effective management control of all Trust funds held within the Whitlam Institute Trust account.</w:t>
      </w:r>
    </w:p>
    <w:p>
      <w:pPr>
        <w:pStyle w:val="BodyText"/>
        <w:spacing w:before="146"/>
        <w:ind w:left="1823" w:right="1393"/>
        <w:jc w:val="both"/>
      </w:pPr>
      <w:r>
        <w:rPr/>
        <w:t>The Whitlam Institute works as an educator, policy influencer and research institute. The Institute bridges the historical legacy of the late Gough Whitlam's years in public life and the contemporary relevance of the Whitlam Program to public discourse and policy. It links policies with people - connecting communities with the decisions and policies that affect their lives. The Whitlam Institute is guided by the 'three great aims' that drove the Whitlam Program of 1972.   They are to promote equality, to involve the people of Australia in the decision-making processes of our land, and to liberate</w:t>
      </w:r>
      <w:r>
        <w:rPr>
          <w:spacing w:val="-7"/>
        </w:rPr>
        <w:t> </w:t>
      </w:r>
      <w:r>
        <w:rPr/>
        <w:t>the</w:t>
      </w:r>
      <w:r>
        <w:rPr>
          <w:spacing w:val="-7"/>
        </w:rPr>
        <w:t> </w:t>
      </w:r>
      <w:r>
        <w:rPr/>
        <w:t>talents</w:t>
      </w:r>
      <w:r>
        <w:rPr>
          <w:spacing w:val="-7"/>
        </w:rPr>
        <w:t> </w:t>
      </w:r>
      <w:r>
        <w:rPr/>
        <w:t>and</w:t>
      </w:r>
      <w:r>
        <w:rPr>
          <w:spacing w:val="-7"/>
        </w:rPr>
        <w:t> </w:t>
      </w:r>
      <w:r>
        <w:rPr/>
        <w:t>uplift</w:t>
      </w:r>
      <w:r>
        <w:rPr>
          <w:spacing w:val="-7"/>
        </w:rPr>
        <w:t> </w:t>
      </w:r>
      <w:r>
        <w:rPr/>
        <w:t>the</w:t>
      </w:r>
      <w:r>
        <w:rPr>
          <w:spacing w:val="-7"/>
        </w:rPr>
        <w:t> </w:t>
      </w:r>
      <w:r>
        <w:rPr/>
        <w:t>horizons</w:t>
      </w:r>
      <w:r>
        <w:rPr>
          <w:spacing w:val="-7"/>
        </w:rPr>
        <w:t> </w:t>
      </w:r>
      <w:r>
        <w:rPr/>
        <w:t>of</w:t>
      </w:r>
      <w:r>
        <w:rPr>
          <w:spacing w:val="-7"/>
        </w:rPr>
        <w:t> </w:t>
      </w:r>
      <w:r>
        <w:rPr/>
        <w:t>the</w:t>
      </w:r>
      <w:r>
        <w:rPr>
          <w:spacing w:val="-7"/>
        </w:rPr>
        <w:t> </w:t>
      </w:r>
      <w:r>
        <w:rPr/>
        <w:t>Australian</w:t>
      </w:r>
      <w:r>
        <w:rPr>
          <w:spacing w:val="-7"/>
        </w:rPr>
        <w:t> </w:t>
      </w:r>
      <w:r>
        <w:rPr/>
        <w:t>people.</w:t>
      </w:r>
    </w:p>
    <w:p>
      <w:pPr>
        <w:pStyle w:val="BodyText"/>
        <w:spacing w:before="146"/>
        <w:ind w:left="1823" w:right="1392"/>
        <w:jc w:val="both"/>
      </w:pPr>
      <w:r>
        <w:rPr/>
        <w:t>The Whitlam Institute supports Western Sydney University development by working with schools to bring knowledge to life in the community. In a range of practical ways we make scholarship relevant to everyday lives. We are inspired by the E.G Whitlam Prime Ministerial Collection which represents the life's work of an Australian statesmen who has </w:t>
      </w:r>
      <w:bookmarkStart w:name=" Review of operations" w:id="378"/>
      <w:bookmarkEnd w:id="378"/>
      <w:r>
        <w:rPr/>
      </w:r>
      <w:r>
        <w:rPr/>
        <w:t>pursued his convictions with a constant commitment to community engagement and a determination to put words into action.</w:t>
      </w:r>
    </w:p>
    <w:p>
      <w:pPr>
        <w:pStyle w:val="BodyText"/>
        <w:spacing w:before="146"/>
        <w:ind w:left="1823"/>
        <w:jc w:val="both"/>
      </w:pPr>
      <w:r>
        <w:rPr/>
        <w:t>No significant changes in the nature of the Company's activity occurred during the financial year.</w:t>
      </w:r>
    </w:p>
    <w:p>
      <w:pPr>
        <w:pStyle w:val="BodyText"/>
        <w:spacing w:before="7"/>
        <w:rPr>
          <w:sz w:val="26"/>
        </w:rPr>
      </w:pPr>
    </w:p>
    <w:p>
      <w:pPr>
        <w:pStyle w:val="Heading8"/>
        <w:ind w:left="1822"/>
        <w:jc w:val="both"/>
      </w:pPr>
      <w:bookmarkStart w:name=" Dividends" w:id="379"/>
      <w:bookmarkEnd w:id="379"/>
      <w:r>
        <w:rPr>
          <w:b w:val="0"/>
        </w:rPr>
      </w:r>
      <w:r>
        <w:rPr/>
        <w:t>Review of operations</w:t>
      </w:r>
    </w:p>
    <w:p>
      <w:pPr>
        <w:pStyle w:val="BodyText"/>
        <w:spacing w:before="4"/>
        <w:ind w:left="1823"/>
        <w:jc w:val="both"/>
      </w:pPr>
      <w:r>
        <w:rPr/>
        <w:t>The surplus of the Company amounted to $ NIL (2015: $ NIL).</w:t>
      </w:r>
    </w:p>
    <w:p>
      <w:pPr>
        <w:pStyle w:val="BodyText"/>
        <w:spacing w:before="4"/>
        <w:rPr>
          <w:sz w:val="14"/>
        </w:rPr>
      </w:pPr>
    </w:p>
    <w:p>
      <w:pPr>
        <w:pStyle w:val="Heading8"/>
        <w:ind w:left="1822"/>
        <w:jc w:val="both"/>
      </w:pPr>
      <w:bookmarkStart w:name=" Events after the reporting date" w:id="380"/>
      <w:bookmarkEnd w:id="380"/>
      <w:r>
        <w:rPr>
          <w:b w:val="0"/>
        </w:rPr>
      </w:r>
      <w:r>
        <w:rPr/>
        <w:t>Dividends</w:t>
      </w:r>
    </w:p>
    <w:p>
      <w:pPr>
        <w:pStyle w:val="BodyText"/>
        <w:spacing w:before="4"/>
        <w:ind w:left="1823" w:right="1450"/>
      </w:pPr>
      <w:r>
        <w:rPr/>
        <w:t>No dividend is paid or payable since the commencement of the financial year and up to and including the date of signing this report (2015:</w:t>
      </w:r>
      <w:r>
        <w:rPr>
          <w:spacing w:val="-30"/>
        </w:rPr>
        <w:t> </w:t>
      </w:r>
      <w:r>
        <w:rPr/>
        <w:t>$nil).</w:t>
      </w:r>
    </w:p>
    <w:p>
      <w:pPr>
        <w:pStyle w:val="BodyText"/>
        <w:spacing w:before="4"/>
        <w:rPr>
          <w:sz w:val="14"/>
        </w:rPr>
      </w:pPr>
    </w:p>
    <w:p>
      <w:pPr>
        <w:pStyle w:val="Heading8"/>
        <w:ind w:left="1822"/>
        <w:jc w:val="both"/>
      </w:pPr>
      <w:r>
        <w:rPr/>
        <w:t>Events after the reporting date</w:t>
      </w:r>
    </w:p>
    <w:p>
      <w:pPr>
        <w:pStyle w:val="BodyText"/>
        <w:spacing w:before="4"/>
        <w:ind w:left="1823" w:right="1392"/>
        <w:jc w:val="both"/>
      </w:pPr>
      <w:bookmarkStart w:name=" Future developments" w:id="381"/>
      <w:bookmarkEnd w:id="381"/>
      <w:r>
        <w:rPr/>
      </w:r>
      <w:r>
        <w:rPr/>
        <w:t>No matters or circumstances have arisen since the end of the financial year which significantly affected or could significantly affect the operations of the Company, the results of those operations or the state of affairs of the Company </w:t>
      </w:r>
      <w:bookmarkStart w:name=" Environmental matters" w:id="382"/>
      <w:bookmarkEnd w:id="382"/>
      <w:r>
        <w:rPr/>
      </w:r>
      <w:r>
        <w:rPr/>
        <w:t>in future financial years.</w:t>
      </w:r>
    </w:p>
    <w:p>
      <w:pPr>
        <w:pStyle w:val="BodyText"/>
        <w:spacing w:before="4"/>
        <w:rPr>
          <w:sz w:val="14"/>
        </w:rPr>
      </w:pPr>
    </w:p>
    <w:p>
      <w:pPr>
        <w:pStyle w:val="Heading8"/>
        <w:ind w:left="1822"/>
        <w:jc w:val="both"/>
      </w:pPr>
      <w:r>
        <w:rPr/>
        <w:t>Future developments</w:t>
      </w:r>
    </w:p>
    <w:p>
      <w:pPr>
        <w:pStyle w:val="BodyText"/>
        <w:spacing w:before="4"/>
        <w:ind w:left="1824"/>
        <w:jc w:val="both"/>
      </w:pPr>
      <w:r>
        <w:rPr/>
        <w:t>Future developments are not expected to significantly affect the future operations of the Company.</w:t>
      </w:r>
    </w:p>
    <w:p>
      <w:pPr>
        <w:pStyle w:val="BodyText"/>
        <w:spacing w:before="4"/>
        <w:rPr>
          <w:sz w:val="14"/>
        </w:rPr>
      </w:pPr>
    </w:p>
    <w:p>
      <w:pPr>
        <w:pStyle w:val="Heading8"/>
        <w:ind w:left="1822"/>
        <w:jc w:val="both"/>
      </w:pPr>
      <w:r>
        <w:rPr/>
        <w:t>Environmental matters</w:t>
      </w:r>
    </w:p>
    <w:p>
      <w:pPr>
        <w:pStyle w:val="BodyText"/>
        <w:spacing w:before="4"/>
        <w:ind w:left="1824" w:right="1375"/>
      </w:pPr>
      <w:r>
        <w:rPr/>
        <w:t>The Company's operations are not regulated by any significant environmental regulations under a law of the Commonwealth or of a state or territory.</w:t>
      </w:r>
    </w:p>
    <w:p>
      <w:pPr>
        <w:spacing w:after="0"/>
        <w:sectPr>
          <w:headerReference w:type="default" r:id="rId122"/>
          <w:pgSz w:w="12750" w:h="17680"/>
          <w:pgMar w:header="0" w:footer="867" w:top="1880" w:bottom="1120" w:left="0" w:right="0"/>
        </w:sectPr>
      </w:pPr>
    </w:p>
    <w:p>
      <w:pPr>
        <w:pStyle w:val="BodyText"/>
        <w:spacing w:before="2"/>
        <w:rPr>
          <w:sz w:val="24"/>
        </w:rPr>
      </w:pPr>
    </w:p>
    <w:p>
      <w:pPr>
        <w:pStyle w:val="Heading4"/>
      </w:pPr>
      <w:bookmarkStart w:name="Auditors independence declaration" w:id="383"/>
      <w:bookmarkEnd w:id="383"/>
      <w:r>
        <w:rPr>
          <w:b w:val="0"/>
        </w:rPr>
      </w:r>
      <w:bookmarkStart w:name="Auditors independence declaration " w:id="384"/>
      <w:bookmarkEnd w:id="384"/>
      <w:r>
        <w:rPr>
          <w:b w:val="0"/>
        </w:rPr>
      </w:r>
      <w:r>
        <w:rPr/>
        <w:t>Director's report</w:t>
      </w:r>
    </w:p>
    <w:p>
      <w:pPr>
        <w:pStyle w:val="Heading7"/>
      </w:pPr>
      <w:r>
        <w:rPr/>
        <w:t>For the year ended 31 December 2016</w:t>
      </w:r>
    </w:p>
    <w:p>
      <w:pPr>
        <w:pStyle w:val="BodyText"/>
        <w:rPr>
          <w:b/>
          <w:sz w:val="22"/>
        </w:rPr>
      </w:pPr>
    </w:p>
    <w:p>
      <w:pPr>
        <w:pStyle w:val="BodyText"/>
        <w:rPr>
          <w:b/>
          <w:sz w:val="23"/>
        </w:rPr>
      </w:pPr>
    </w:p>
    <w:p>
      <w:pPr>
        <w:pStyle w:val="Heading8"/>
        <w:ind w:left="1822"/>
      </w:pPr>
      <w:r>
        <w:rPr/>
        <w:t>Auditors independence declaration</w:t>
      </w:r>
    </w:p>
    <w:p>
      <w:pPr>
        <w:pStyle w:val="BodyText"/>
        <w:spacing w:before="4"/>
        <w:ind w:left="1824"/>
      </w:pPr>
      <w:r>
        <w:rPr/>
        <w:t>The Audit Office of New South Wales continues in office in accordance with section 327 of the </w:t>
      </w:r>
      <w:r>
        <w:rPr>
          <w:i/>
        </w:rPr>
        <w:t>Corporations Act 2001</w:t>
      </w:r>
      <w:r>
        <w:rPr/>
        <w:t>.</w:t>
      </w:r>
    </w:p>
    <w:p>
      <w:pPr>
        <w:pStyle w:val="BodyText"/>
        <w:spacing w:before="146"/>
        <w:ind w:left="1823" w:right="1660"/>
      </w:pPr>
      <w:bookmarkStart w:name=" Information on directors" w:id="385"/>
      <w:bookmarkEnd w:id="385"/>
      <w:r>
        <w:rPr/>
      </w:r>
      <w:r>
        <w:rPr/>
        <w:t>The  lead  auditors  independence  declaration for the year e nded 31 December 2016 h as been received and can  be</w:t>
      </w:r>
      <w:r>
        <w:rPr>
          <w:spacing w:val="-6"/>
        </w:rPr>
        <w:t> </w:t>
      </w:r>
      <w:r>
        <w:rPr/>
        <w:t>found</w:t>
      </w:r>
      <w:r>
        <w:rPr>
          <w:spacing w:val="-6"/>
        </w:rPr>
        <w:t> </w:t>
      </w:r>
      <w:r>
        <w:rPr/>
        <w:t>on</w:t>
      </w:r>
      <w:r>
        <w:rPr>
          <w:spacing w:val="-6"/>
        </w:rPr>
        <w:t> </w:t>
      </w:r>
      <w:r>
        <w:rPr/>
        <w:t>page</w:t>
      </w:r>
      <w:r>
        <w:rPr>
          <w:spacing w:val="-6"/>
        </w:rPr>
        <w:t> </w:t>
      </w:r>
      <w:r>
        <w:rPr/>
        <w:t>200</w:t>
      </w:r>
      <w:r>
        <w:rPr>
          <w:spacing w:val="-6"/>
        </w:rPr>
        <w:t> </w:t>
      </w:r>
      <w:r>
        <w:rPr/>
        <w:t>of</w:t>
      </w:r>
      <w:r>
        <w:rPr>
          <w:spacing w:val="-6"/>
        </w:rPr>
        <w:t> </w:t>
      </w:r>
      <w:r>
        <w:rPr/>
        <w:t>the</w:t>
      </w:r>
      <w:r>
        <w:rPr>
          <w:spacing w:val="-5"/>
        </w:rPr>
        <w:t> </w:t>
      </w:r>
      <w:r>
        <w:rPr/>
        <w:t>financial</w:t>
      </w:r>
      <w:r>
        <w:rPr>
          <w:spacing w:val="-6"/>
        </w:rPr>
        <w:t> </w:t>
      </w:r>
      <w:r>
        <w:rPr/>
        <w:t>statements.</w:t>
      </w:r>
    </w:p>
    <w:p>
      <w:pPr>
        <w:pStyle w:val="BodyText"/>
      </w:pPr>
    </w:p>
    <w:p>
      <w:pPr>
        <w:pStyle w:val="BodyText"/>
      </w:pPr>
    </w:p>
    <w:p>
      <w:pPr>
        <w:pStyle w:val="BodyText"/>
        <w:spacing w:before="3"/>
        <w:rPr>
          <w:sz w:val="21"/>
        </w:rPr>
      </w:pPr>
    </w:p>
    <w:p>
      <w:pPr>
        <w:pStyle w:val="Heading8"/>
        <w:spacing w:before="1"/>
        <w:ind w:left="1822"/>
      </w:pPr>
      <w:r>
        <w:rPr/>
        <w:t>Information on directors</w:t>
      </w:r>
    </w:p>
    <w:p>
      <w:pPr>
        <w:pStyle w:val="BodyText"/>
        <w:rPr>
          <w:b/>
        </w:rPr>
      </w:pPr>
    </w:p>
    <w:p>
      <w:pPr>
        <w:pStyle w:val="BodyText"/>
        <w:rPr>
          <w:b/>
        </w:rPr>
      </w:pPr>
    </w:p>
    <w:p>
      <w:pPr>
        <w:pStyle w:val="BodyText"/>
        <w:spacing w:before="6"/>
        <w:rPr>
          <w:b/>
          <w:sz w:val="19"/>
        </w:rPr>
      </w:pPr>
    </w:p>
    <w:p>
      <w:pPr>
        <w:pStyle w:val="BodyText"/>
        <w:tabs>
          <w:tab w:pos="5081" w:val="left" w:leader="none"/>
        </w:tabs>
        <w:ind w:left="1824"/>
      </w:pPr>
      <w:r>
        <w:rPr/>
        <w:t>The Hon.</w:t>
      </w:r>
      <w:r>
        <w:rPr>
          <w:spacing w:val="-8"/>
        </w:rPr>
        <w:t> </w:t>
      </w:r>
      <w:r>
        <w:rPr/>
        <w:t>John</w:t>
      </w:r>
      <w:r>
        <w:rPr>
          <w:spacing w:val="-4"/>
        </w:rPr>
        <w:t> </w:t>
      </w:r>
      <w:r>
        <w:rPr/>
        <w:t>Faulkner</w:t>
        <w:tab/>
        <w:t>BA, DipEd (Macquarie).</w:t>
      </w:r>
      <w:r>
        <w:rPr>
          <w:spacing w:val="23"/>
        </w:rPr>
        <w:t> </w:t>
      </w:r>
      <w:r>
        <w:rPr/>
        <w:t>Chair.</w:t>
      </w:r>
    </w:p>
    <w:p>
      <w:pPr>
        <w:pStyle w:val="BodyText"/>
        <w:tabs>
          <w:tab w:pos="5081" w:val="left" w:leader="none"/>
        </w:tabs>
        <w:spacing w:before="83"/>
        <w:ind w:left="5082" w:right="1490" w:hanging="3258"/>
      </w:pPr>
      <w:r>
        <w:rPr/>
        <w:drawing>
          <wp:anchor distT="0" distB="0" distL="0" distR="0" allowOverlap="1" layoutInCell="1" locked="0" behindDoc="0" simplePos="0" relativeHeight="13744">
            <wp:simplePos x="0" y="0"/>
            <wp:positionH relativeFrom="page">
              <wp:posOffset>-1587</wp:posOffset>
            </wp:positionH>
            <wp:positionV relativeFrom="paragraph">
              <wp:posOffset>1674925</wp:posOffset>
            </wp:positionV>
            <wp:extent cx="136525" cy="155575"/>
            <wp:effectExtent l="0" t="0" r="0" b="0"/>
            <wp:wrapNone/>
            <wp:docPr id="927" name="image13.png" descr=""/>
            <wp:cNvGraphicFramePr>
              <a:graphicFrameLocks noChangeAspect="1"/>
            </wp:cNvGraphicFramePr>
            <a:graphic>
              <a:graphicData uri="http://schemas.openxmlformats.org/drawingml/2006/picture">
                <pic:pic>
                  <pic:nvPicPr>
                    <pic:cNvPr id="928" name="image13.png"/>
                    <pic:cNvPicPr/>
                  </pic:nvPicPr>
                  <pic:blipFill>
                    <a:blip r:embed="rId18" cstate="print"/>
                    <a:stretch>
                      <a:fillRect/>
                    </a:stretch>
                  </pic:blipFill>
                  <pic:spPr>
                    <a:xfrm>
                      <a:off x="0" y="0"/>
                      <a:ext cx="136525" cy="155575"/>
                    </a:xfrm>
                    <a:prstGeom prst="rect">
                      <a:avLst/>
                    </a:prstGeom>
                  </pic:spPr>
                </pic:pic>
              </a:graphicData>
            </a:graphic>
          </wp:anchor>
        </w:drawing>
      </w:r>
      <w:r>
        <w:rPr/>
        <w:drawing>
          <wp:anchor distT="0" distB="0" distL="0" distR="0" allowOverlap="1" layoutInCell="1" locked="0" behindDoc="0" simplePos="0" relativeHeight="13768">
            <wp:simplePos x="0" y="0"/>
            <wp:positionH relativeFrom="page">
              <wp:posOffset>7958429</wp:posOffset>
            </wp:positionH>
            <wp:positionV relativeFrom="paragraph">
              <wp:posOffset>1674925</wp:posOffset>
            </wp:positionV>
            <wp:extent cx="135953" cy="155575"/>
            <wp:effectExtent l="0" t="0" r="0" b="0"/>
            <wp:wrapNone/>
            <wp:docPr id="929" name="image15.png" descr=""/>
            <wp:cNvGraphicFramePr>
              <a:graphicFrameLocks noChangeAspect="1"/>
            </wp:cNvGraphicFramePr>
            <a:graphic>
              <a:graphicData uri="http://schemas.openxmlformats.org/drawingml/2006/picture">
                <pic:pic>
                  <pic:nvPicPr>
                    <pic:cNvPr id="930" name="image15.png"/>
                    <pic:cNvPicPr/>
                  </pic:nvPicPr>
                  <pic:blipFill>
                    <a:blip r:embed="rId20" cstate="print"/>
                    <a:stretch>
                      <a:fillRect/>
                    </a:stretch>
                  </pic:blipFill>
                  <pic:spPr>
                    <a:xfrm>
                      <a:off x="0" y="0"/>
                      <a:ext cx="135953" cy="155575"/>
                    </a:xfrm>
                    <a:prstGeom prst="rect">
                      <a:avLst/>
                    </a:prstGeom>
                  </pic:spPr>
                </pic:pic>
              </a:graphicData>
            </a:graphic>
          </wp:anchor>
        </w:drawing>
      </w:r>
      <w:r>
        <w:rPr/>
        <w:t>Experience</w:t>
        <w:tab/>
        <w:t>Appointed</w:t>
      </w:r>
      <w:r>
        <w:rPr>
          <w:spacing w:val="-6"/>
        </w:rPr>
        <w:t> </w:t>
      </w:r>
      <w:r>
        <w:rPr/>
        <w:t>as</w:t>
      </w:r>
      <w:r>
        <w:rPr>
          <w:spacing w:val="-6"/>
        </w:rPr>
        <w:t> </w:t>
      </w:r>
      <w:r>
        <w:rPr/>
        <w:t>Director</w:t>
      </w:r>
      <w:r>
        <w:rPr>
          <w:spacing w:val="-6"/>
        </w:rPr>
        <w:t> </w:t>
      </w:r>
      <w:r>
        <w:rPr/>
        <w:t>8</w:t>
      </w:r>
      <w:r>
        <w:rPr>
          <w:spacing w:val="-6"/>
        </w:rPr>
        <w:t> </w:t>
      </w:r>
      <w:r>
        <w:rPr/>
        <w:t>March</w:t>
      </w:r>
      <w:r>
        <w:rPr>
          <w:spacing w:val="-6"/>
        </w:rPr>
        <w:t> </w:t>
      </w:r>
      <w:r>
        <w:rPr/>
        <w:t>2011.</w:t>
      </w:r>
      <w:r>
        <w:rPr>
          <w:spacing w:val="-6"/>
        </w:rPr>
        <w:t> </w:t>
      </w:r>
      <w:r>
        <w:rPr/>
        <w:t>Senator</w:t>
      </w:r>
      <w:r>
        <w:rPr>
          <w:spacing w:val="-6"/>
        </w:rPr>
        <w:t> </w:t>
      </w:r>
      <w:r>
        <w:rPr/>
        <w:t>the</w:t>
      </w:r>
      <w:r>
        <w:rPr>
          <w:spacing w:val="-6"/>
        </w:rPr>
        <w:t> </w:t>
      </w:r>
      <w:r>
        <w:rPr/>
        <w:t>Hon.</w:t>
      </w:r>
      <w:r>
        <w:rPr>
          <w:spacing w:val="-6"/>
        </w:rPr>
        <w:t> </w:t>
      </w:r>
      <w:r>
        <w:rPr/>
        <w:t>John</w:t>
      </w:r>
      <w:r>
        <w:rPr>
          <w:spacing w:val="-6"/>
        </w:rPr>
        <w:t> </w:t>
      </w:r>
      <w:r>
        <w:rPr/>
        <w:t>Faulkner</w:t>
      </w:r>
      <w:r>
        <w:rPr>
          <w:spacing w:val="-6"/>
        </w:rPr>
        <w:t> </w:t>
      </w:r>
      <w:r>
        <w:rPr/>
        <w:t>was</w:t>
      </w:r>
      <w:r>
        <w:rPr>
          <w:spacing w:val="-5"/>
        </w:rPr>
        <w:t> </w:t>
      </w:r>
      <w:r>
        <w:rPr/>
        <w:t>a</w:t>
      </w:r>
      <w:r>
        <w:rPr>
          <w:w w:val="99"/>
        </w:rPr>
        <w:t> </w:t>
      </w:r>
      <w:r>
        <w:rPr/>
        <w:t>Labor Senator for New South Wales from 1989 to 2015. Since his election to the Senate in 1989, Senator Faulkner has held a number of ministries, serving as Minister for Veterans' Affairs, Minister for Defence Science and Personnel, Minister for the Environment, Sport and Territories, Cabinet Secretary, Special Minister of State and Minister for Defence. He served as Leader</w:t>
      </w:r>
      <w:r>
        <w:rPr>
          <w:spacing w:val="-4"/>
        </w:rPr>
        <w:t> </w:t>
      </w:r>
      <w:r>
        <w:rPr/>
        <w:t>of</w:t>
      </w:r>
      <w:r>
        <w:rPr>
          <w:spacing w:val="-4"/>
        </w:rPr>
        <w:t> </w:t>
      </w:r>
      <w:r>
        <w:rPr/>
        <w:t>the</w:t>
      </w:r>
      <w:r>
        <w:rPr>
          <w:spacing w:val="-4"/>
        </w:rPr>
        <w:t> </w:t>
      </w:r>
      <w:r>
        <w:rPr/>
        <w:t>Opposition</w:t>
      </w:r>
      <w:r>
        <w:rPr>
          <w:spacing w:val="-4"/>
        </w:rPr>
        <w:t> </w:t>
      </w:r>
      <w:r>
        <w:rPr/>
        <w:t>in</w:t>
      </w:r>
      <w:r>
        <w:rPr>
          <w:spacing w:val="-4"/>
        </w:rPr>
        <w:t> </w:t>
      </w:r>
      <w:r>
        <w:rPr/>
        <w:t>the</w:t>
      </w:r>
      <w:r>
        <w:rPr>
          <w:spacing w:val="-4"/>
        </w:rPr>
        <w:t> </w:t>
      </w:r>
      <w:r>
        <w:rPr/>
        <w:t>Senate</w:t>
      </w:r>
      <w:r>
        <w:rPr>
          <w:spacing w:val="-4"/>
        </w:rPr>
        <w:t> </w:t>
      </w:r>
      <w:r>
        <w:rPr/>
        <w:t>from</w:t>
      </w:r>
      <w:r>
        <w:rPr>
          <w:spacing w:val="-4"/>
        </w:rPr>
        <w:t> </w:t>
      </w:r>
      <w:r>
        <w:rPr/>
        <w:t>1996</w:t>
      </w:r>
      <w:r>
        <w:rPr>
          <w:spacing w:val="-4"/>
        </w:rPr>
        <w:t> </w:t>
      </w:r>
      <w:r>
        <w:rPr/>
        <w:t>to</w:t>
      </w:r>
      <w:r>
        <w:rPr>
          <w:spacing w:val="-4"/>
        </w:rPr>
        <w:t> </w:t>
      </w:r>
      <w:r>
        <w:rPr/>
        <w:t>2004.</w:t>
      </w:r>
      <w:r>
        <w:rPr>
          <w:spacing w:val="-4"/>
        </w:rPr>
        <w:t> </w:t>
      </w:r>
      <w:r>
        <w:rPr/>
        <w:t>He</w:t>
      </w:r>
      <w:r>
        <w:rPr>
          <w:spacing w:val="-4"/>
        </w:rPr>
        <w:t> </w:t>
      </w:r>
      <w:r>
        <w:rPr/>
        <w:t>has</w:t>
      </w:r>
      <w:r>
        <w:rPr>
          <w:spacing w:val="-4"/>
        </w:rPr>
        <w:t> </w:t>
      </w:r>
      <w:r>
        <w:rPr/>
        <w:t>also</w:t>
      </w:r>
      <w:r>
        <w:rPr>
          <w:spacing w:val="-4"/>
        </w:rPr>
        <w:t> </w:t>
      </w:r>
      <w:r>
        <w:rPr/>
        <w:t>held</w:t>
      </w:r>
      <w:r>
        <w:rPr>
          <w:spacing w:val="-4"/>
        </w:rPr>
        <w:t> </w:t>
      </w:r>
      <w:r>
        <w:rPr/>
        <w:t>a range of senior positions within the Australian Labor Party, including National President of the party, twenty years as a member of its National Executive and nine years as Assistant General Secretary of the New South Wales Branch. Senator Faulkner is well versed in, and passionate about the history of the Australian Labor Party. Prior to his political career, Senator Faulkner worked</w:t>
      </w:r>
      <w:r>
        <w:rPr>
          <w:spacing w:val="-8"/>
        </w:rPr>
        <w:t> </w:t>
      </w:r>
      <w:r>
        <w:rPr/>
        <w:t>as</w:t>
      </w:r>
      <w:r>
        <w:rPr>
          <w:spacing w:val="-8"/>
        </w:rPr>
        <w:t> </w:t>
      </w:r>
      <w:r>
        <w:rPr/>
        <w:t>a</w:t>
      </w:r>
      <w:r>
        <w:rPr>
          <w:spacing w:val="-8"/>
        </w:rPr>
        <w:t> </w:t>
      </w:r>
      <w:r>
        <w:rPr/>
        <w:t>teacher</w:t>
      </w:r>
      <w:r>
        <w:rPr>
          <w:spacing w:val="-8"/>
        </w:rPr>
        <w:t> </w:t>
      </w:r>
      <w:r>
        <w:rPr/>
        <w:t>of</w:t>
      </w:r>
      <w:r>
        <w:rPr>
          <w:spacing w:val="-8"/>
        </w:rPr>
        <w:t> </w:t>
      </w:r>
      <w:r>
        <w:rPr/>
        <w:t>children</w:t>
      </w:r>
      <w:r>
        <w:rPr>
          <w:spacing w:val="-8"/>
        </w:rPr>
        <w:t> </w:t>
      </w:r>
      <w:r>
        <w:rPr/>
        <w:t>with</w:t>
      </w:r>
      <w:r>
        <w:rPr>
          <w:spacing w:val="-8"/>
        </w:rPr>
        <w:t> </w:t>
      </w:r>
      <w:r>
        <w:rPr/>
        <w:t>severe</w:t>
      </w:r>
      <w:r>
        <w:rPr>
          <w:spacing w:val="-8"/>
        </w:rPr>
        <w:t> </w:t>
      </w:r>
      <w:r>
        <w:rPr/>
        <w:t>disabilities.</w:t>
      </w:r>
    </w:p>
    <w:p>
      <w:pPr>
        <w:pStyle w:val="BodyText"/>
        <w:tabs>
          <w:tab w:pos="5081" w:val="left" w:leader="none"/>
        </w:tabs>
        <w:spacing w:before="140"/>
        <w:ind w:left="1824"/>
      </w:pPr>
      <w:r>
        <w:rPr/>
        <w:t>Ms Patricia</w:t>
      </w:r>
      <w:r>
        <w:rPr>
          <w:spacing w:val="-9"/>
        </w:rPr>
        <w:t> </w:t>
      </w:r>
      <w:r>
        <w:rPr/>
        <w:t>Amphlett</w:t>
      </w:r>
      <w:r>
        <w:rPr>
          <w:spacing w:val="-5"/>
        </w:rPr>
        <w:t> </w:t>
      </w:r>
      <w:r>
        <w:rPr/>
        <w:t>OAM</w:t>
        <w:tab/>
        <w:t>Non-Executive.</w:t>
      </w:r>
    </w:p>
    <w:p>
      <w:pPr>
        <w:pStyle w:val="BodyText"/>
        <w:tabs>
          <w:tab w:pos="5081" w:val="left" w:leader="none"/>
        </w:tabs>
        <w:spacing w:before="83"/>
        <w:ind w:left="5082" w:right="1538" w:hanging="3258"/>
      </w:pPr>
      <w:r>
        <w:rPr/>
        <w:t>Experience</w:t>
        <w:tab/>
        <w:t>Appointed</w:t>
      </w:r>
      <w:r>
        <w:rPr>
          <w:spacing w:val="-6"/>
        </w:rPr>
        <w:t> </w:t>
      </w:r>
      <w:r>
        <w:rPr/>
        <w:t>as</w:t>
      </w:r>
      <w:r>
        <w:rPr>
          <w:spacing w:val="-6"/>
        </w:rPr>
        <w:t> </w:t>
      </w:r>
      <w:r>
        <w:rPr/>
        <w:t>Director</w:t>
      </w:r>
      <w:r>
        <w:rPr>
          <w:spacing w:val="-6"/>
        </w:rPr>
        <w:t> </w:t>
      </w:r>
      <w:r>
        <w:rPr/>
        <w:t>29</w:t>
      </w:r>
      <w:r>
        <w:rPr>
          <w:spacing w:val="-6"/>
        </w:rPr>
        <w:t> </w:t>
      </w:r>
      <w:r>
        <w:rPr/>
        <w:t>June</w:t>
      </w:r>
      <w:r>
        <w:rPr>
          <w:spacing w:val="-6"/>
        </w:rPr>
        <w:t> </w:t>
      </w:r>
      <w:r>
        <w:rPr/>
        <w:t>2010.</w:t>
      </w:r>
      <w:r>
        <w:rPr>
          <w:spacing w:val="-6"/>
        </w:rPr>
        <w:t> </w:t>
      </w:r>
      <w:r>
        <w:rPr/>
        <w:t>Ms</w:t>
      </w:r>
      <w:r>
        <w:rPr>
          <w:spacing w:val="-6"/>
        </w:rPr>
        <w:t> </w:t>
      </w:r>
      <w:r>
        <w:rPr/>
        <w:t>Patricia</w:t>
      </w:r>
      <w:r>
        <w:rPr>
          <w:spacing w:val="-6"/>
        </w:rPr>
        <w:t> </w:t>
      </w:r>
      <w:r>
        <w:rPr/>
        <w:t>Amphlett</w:t>
      </w:r>
      <w:r>
        <w:rPr>
          <w:spacing w:val="-6"/>
        </w:rPr>
        <w:t> </w:t>
      </w:r>
      <w:r>
        <w:rPr/>
        <w:t>OAM</w:t>
      </w:r>
      <w:r>
        <w:rPr>
          <w:spacing w:val="-6"/>
        </w:rPr>
        <w:t> </w:t>
      </w:r>
      <w:r>
        <w:rPr/>
        <w:t>is</w:t>
      </w:r>
      <w:r>
        <w:rPr>
          <w:spacing w:val="-6"/>
        </w:rPr>
        <w:t> </w:t>
      </w:r>
      <w:r>
        <w:rPr/>
        <w:t>the</w:t>
      </w:r>
      <w:r>
        <w:rPr>
          <w:spacing w:val="-1"/>
        </w:rPr>
        <w:t> </w:t>
      </w:r>
      <w:r>
        <w:rPr/>
        <w:t>Federal President of the Media, Entertainment and Arts Alliance, a position she has held since 2002. With a succession of hits and as a long standing member of the Bandstand Family, she established herself as a prominent force in the Australian music industry. Her musical talents are credited with many industry awards including Best Female Singer, Most Popular Female Performer, TV Logie for Best Teenage Personality and a succession of Gold Records. A definite 'all rounder' in the music and entertainment industry, Ms Amphlett’s talent spans a broad spectrum from writing, producing and performing</w:t>
      </w:r>
      <w:r>
        <w:rPr>
          <w:spacing w:val="-7"/>
        </w:rPr>
        <w:t> </w:t>
      </w:r>
      <w:r>
        <w:rPr/>
        <w:t>shows</w:t>
      </w:r>
      <w:r>
        <w:rPr>
          <w:spacing w:val="-7"/>
        </w:rPr>
        <w:t> </w:t>
      </w:r>
      <w:r>
        <w:rPr/>
        <w:t>for</w:t>
      </w:r>
      <w:r>
        <w:rPr>
          <w:spacing w:val="-7"/>
        </w:rPr>
        <w:t> </w:t>
      </w:r>
      <w:r>
        <w:rPr/>
        <w:t>children,</w:t>
      </w:r>
      <w:r>
        <w:rPr>
          <w:spacing w:val="-7"/>
        </w:rPr>
        <w:t> </w:t>
      </w:r>
      <w:r>
        <w:rPr/>
        <w:t>and</w:t>
      </w:r>
      <w:r>
        <w:rPr>
          <w:spacing w:val="-7"/>
        </w:rPr>
        <w:t> </w:t>
      </w:r>
      <w:r>
        <w:rPr/>
        <w:t>hosting</w:t>
      </w:r>
      <w:r>
        <w:rPr>
          <w:spacing w:val="-7"/>
        </w:rPr>
        <w:t> </w:t>
      </w:r>
      <w:r>
        <w:rPr/>
        <w:t>charity</w:t>
      </w:r>
      <w:r>
        <w:rPr>
          <w:spacing w:val="-7"/>
        </w:rPr>
        <w:t> </w:t>
      </w:r>
      <w:r>
        <w:rPr/>
        <w:t>and</w:t>
      </w:r>
      <w:r>
        <w:rPr>
          <w:spacing w:val="-7"/>
        </w:rPr>
        <w:t> </w:t>
      </w:r>
      <w:r>
        <w:rPr/>
        <w:t>corporate</w:t>
      </w:r>
      <w:r>
        <w:rPr>
          <w:spacing w:val="-7"/>
        </w:rPr>
        <w:t> </w:t>
      </w:r>
      <w:r>
        <w:rPr/>
        <w:t>events.</w:t>
      </w:r>
      <w:r>
        <w:rPr>
          <w:spacing w:val="-7"/>
        </w:rPr>
        <w:t> </w:t>
      </w:r>
      <w:r>
        <w:rPr/>
        <w:t>She maintains a high profile in the music industry, with many live performances at Festivals,</w:t>
      </w:r>
      <w:r>
        <w:rPr>
          <w:spacing w:val="-6"/>
        </w:rPr>
        <w:t> </w:t>
      </w:r>
      <w:r>
        <w:rPr/>
        <w:t>Corporate</w:t>
      </w:r>
      <w:r>
        <w:rPr>
          <w:spacing w:val="-6"/>
        </w:rPr>
        <w:t> </w:t>
      </w:r>
      <w:r>
        <w:rPr/>
        <w:t>Events,</w:t>
      </w:r>
      <w:r>
        <w:rPr>
          <w:spacing w:val="-6"/>
        </w:rPr>
        <w:t> </w:t>
      </w:r>
      <w:r>
        <w:rPr/>
        <w:t>Clubs</w:t>
      </w:r>
      <w:r>
        <w:rPr>
          <w:spacing w:val="-6"/>
        </w:rPr>
        <w:t> </w:t>
      </w:r>
      <w:r>
        <w:rPr/>
        <w:t>and</w:t>
      </w:r>
      <w:r>
        <w:rPr>
          <w:spacing w:val="-6"/>
        </w:rPr>
        <w:t> </w:t>
      </w:r>
      <w:r>
        <w:rPr/>
        <w:t>Television</w:t>
      </w:r>
      <w:r>
        <w:rPr>
          <w:spacing w:val="-6"/>
        </w:rPr>
        <w:t> </w:t>
      </w:r>
      <w:r>
        <w:rPr/>
        <w:t>shows.</w:t>
      </w:r>
      <w:r>
        <w:rPr>
          <w:spacing w:val="-5"/>
        </w:rPr>
        <w:t> </w:t>
      </w:r>
      <w:r>
        <w:rPr/>
        <w:t>Ms</w:t>
      </w:r>
      <w:r>
        <w:rPr>
          <w:spacing w:val="-5"/>
        </w:rPr>
        <w:t> </w:t>
      </w:r>
      <w:r>
        <w:rPr/>
        <w:t>Amphlett</w:t>
      </w:r>
      <w:r>
        <w:rPr>
          <w:spacing w:val="-5"/>
        </w:rPr>
        <w:t> </w:t>
      </w:r>
      <w:r>
        <w:rPr/>
        <w:t>has</w:t>
      </w:r>
      <w:r>
        <w:rPr>
          <w:spacing w:val="-5"/>
        </w:rPr>
        <w:t> </w:t>
      </w:r>
      <w:r>
        <w:rPr/>
        <w:t>a strong commitment to music education. She is a consultant for the NSW Government’s Talent Development Project. She is a member of the Board of the National Film &amp; Sound</w:t>
      </w:r>
      <w:r>
        <w:rPr>
          <w:spacing w:val="-31"/>
        </w:rPr>
        <w:t> </w:t>
      </w:r>
      <w:r>
        <w:rPr/>
        <w:t>Archives.</w:t>
      </w:r>
    </w:p>
    <w:p>
      <w:pPr>
        <w:spacing w:after="0"/>
        <w:sectPr>
          <w:pgSz w:w="12750" w:h="17680"/>
          <w:pgMar w:header="0" w:footer="867" w:top="1880" w:bottom="1120" w:left="0" w:right="0"/>
        </w:sectPr>
      </w:pPr>
    </w:p>
    <w:p>
      <w:pPr>
        <w:pStyle w:val="BodyText"/>
        <w:spacing w:before="2"/>
        <w:rPr>
          <w:sz w:val="24"/>
        </w:rPr>
      </w:pPr>
    </w:p>
    <w:p>
      <w:pPr>
        <w:pStyle w:val="Heading4"/>
      </w:pPr>
      <w:r>
        <w:rPr/>
        <w:t>Director's report</w:t>
      </w:r>
    </w:p>
    <w:p>
      <w:pPr>
        <w:pStyle w:val="Heading7"/>
        <w:ind w:left="1822" w:hanging="395"/>
      </w:pPr>
      <w:r>
        <w:rPr/>
        <w:t>For the year ended 31 December 2016</w:t>
      </w:r>
    </w:p>
    <w:p>
      <w:pPr>
        <w:pStyle w:val="BodyText"/>
        <w:spacing w:before="11"/>
        <w:rPr>
          <w:b/>
          <w:sz w:val="24"/>
        </w:rPr>
      </w:pPr>
    </w:p>
    <w:p>
      <w:pPr>
        <w:pStyle w:val="Heading8"/>
        <w:ind w:left="1822"/>
      </w:pPr>
      <w:r>
        <w:rPr/>
        <w:t>Information on directors (continued)</w:t>
      </w:r>
    </w:p>
    <w:p>
      <w:pPr>
        <w:pStyle w:val="BodyText"/>
        <w:tabs>
          <w:tab w:pos="5081" w:val="left" w:leader="none"/>
        </w:tabs>
        <w:spacing w:line="207" w:lineRule="exact" w:before="140"/>
        <w:ind w:left="1824"/>
      </w:pPr>
      <w:r>
        <w:rPr/>
        <w:t>Prof.</w:t>
      </w:r>
      <w:r>
        <w:rPr>
          <w:spacing w:val="-5"/>
        </w:rPr>
        <w:t> </w:t>
      </w:r>
      <w:r>
        <w:rPr/>
        <w:t>Barney</w:t>
      </w:r>
      <w:r>
        <w:rPr>
          <w:spacing w:val="-5"/>
        </w:rPr>
        <w:t> </w:t>
      </w:r>
      <w:r>
        <w:rPr/>
        <w:t>Glover</w:t>
        <w:tab/>
        <w:t>PhD</w:t>
      </w:r>
      <w:r>
        <w:rPr>
          <w:spacing w:val="-8"/>
        </w:rPr>
        <w:t> </w:t>
      </w:r>
      <w:r>
        <w:rPr/>
        <w:t>(Applied</w:t>
      </w:r>
      <w:r>
        <w:rPr>
          <w:spacing w:val="-8"/>
        </w:rPr>
        <w:t> </w:t>
      </w:r>
      <w:r>
        <w:rPr/>
        <w:t>Mathematics),</w:t>
      </w:r>
      <w:r>
        <w:rPr>
          <w:spacing w:val="-8"/>
        </w:rPr>
        <w:t> </w:t>
      </w:r>
      <w:r>
        <w:rPr/>
        <w:t>MSc,</w:t>
      </w:r>
      <w:r>
        <w:rPr>
          <w:spacing w:val="-8"/>
        </w:rPr>
        <w:t> </w:t>
      </w:r>
      <w:r>
        <w:rPr/>
        <w:t>BSc</w:t>
      </w:r>
      <w:r>
        <w:rPr>
          <w:spacing w:val="-8"/>
        </w:rPr>
        <w:t> </w:t>
      </w:r>
      <w:r>
        <w:rPr/>
        <w:t>(Honours),</w:t>
      </w:r>
      <w:r>
        <w:rPr>
          <w:spacing w:val="-8"/>
        </w:rPr>
        <w:t> </w:t>
      </w:r>
      <w:r>
        <w:rPr/>
        <w:t>Dip</w:t>
      </w:r>
      <w:r>
        <w:rPr>
          <w:spacing w:val="-8"/>
        </w:rPr>
        <w:t> </w:t>
      </w:r>
      <w:r>
        <w:rPr/>
        <w:t>Ed</w:t>
      </w:r>
      <w:r>
        <w:rPr>
          <w:spacing w:val="-8"/>
        </w:rPr>
        <w:t> </w:t>
      </w:r>
      <w:r>
        <w:rPr/>
        <w:t>(Melbourne),</w:t>
      </w:r>
    </w:p>
    <w:p>
      <w:pPr>
        <w:pStyle w:val="BodyText"/>
        <w:spacing w:line="207" w:lineRule="exact"/>
        <w:ind w:left="2107" w:right="2738"/>
        <w:jc w:val="center"/>
      </w:pPr>
      <w:r>
        <w:rPr/>
        <w:t>MAICD. Non-Executive.</w:t>
      </w:r>
    </w:p>
    <w:p>
      <w:pPr>
        <w:pStyle w:val="BodyText"/>
        <w:tabs>
          <w:tab w:pos="5081" w:val="left" w:leader="none"/>
        </w:tabs>
        <w:spacing w:before="83"/>
        <w:ind w:left="5082" w:right="1527" w:hanging="3258"/>
      </w:pPr>
      <w:r>
        <w:rPr/>
        <w:t>Experience</w:t>
        <w:tab/>
        <w:t>Appointed</w:t>
      </w:r>
      <w:r>
        <w:rPr>
          <w:spacing w:val="-6"/>
        </w:rPr>
        <w:t> </w:t>
      </w:r>
      <w:r>
        <w:rPr/>
        <w:t>as</w:t>
      </w:r>
      <w:r>
        <w:rPr>
          <w:spacing w:val="-6"/>
        </w:rPr>
        <w:t> </w:t>
      </w:r>
      <w:r>
        <w:rPr/>
        <w:t>Director</w:t>
      </w:r>
      <w:r>
        <w:rPr>
          <w:spacing w:val="-6"/>
        </w:rPr>
        <w:t> </w:t>
      </w:r>
      <w:r>
        <w:rPr/>
        <w:t>1</w:t>
      </w:r>
      <w:r>
        <w:rPr>
          <w:spacing w:val="-6"/>
        </w:rPr>
        <w:t> </w:t>
      </w:r>
      <w:r>
        <w:rPr/>
        <w:t>Jan</w:t>
      </w:r>
      <w:r>
        <w:rPr>
          <w:spacing w:val="-6"/>
        </w:rPr>
        <w:t> </w:t>
      </w:r>
      <w:r>
        <w:rPr/>
        <w:t>2014.</w:t>
      </w:r>
      <w:r>
        <w:rPr>
          <w:spacing w:val="-6"/>
        </w:rPr>
        <w:t> </w:t>
      </w:r>
      <w:r>
        <w:rPr/>
        <w:t>Professor</w:t>
      </w:r>
      <w:r>
        <w:rPr>
          <w:spacing w:val="-6"/>
        </w:rPr>
        <w:t> </w:t>
      </w:r>
      <w:r>
        <w:rPr/>
        <w:t>Barney</w:t>
      </w:r>
      <w:r>
        <w:rPr>
          <w:spacing w:val="-6"/>
        </w:rPr>
        <w:t> </w:t>
      </w:r>
      <w:r>
        <w:rPr/>
        <w:t>Glover</w:t>
      </w:r>
      <w:r>
        <w:rPr>
          <w:spacing w:val="-6"/>
        </w:rPr>
        <w:t> </w:t>
      </w:r>
      <w:r>
        <w:rPr/>
        <w:t>has</w:t>
      </w:r>
      <w:r>
        <w:rPr>
          <w:spacing w:val="-6"/>
        </w:rPr>
        <w:t> </w:t>
      </w:r>
      <w:r>
        <w:rPr/>
        <w:t>been</w:t>
      </w:r>
      <w:r>
        <w:rPr>
          <w:spacing w:val="-6"/>
        </w:rPr>
        <w:t> </w:t>
      </w:r>
      <w:r>
        <w:rPr/>
        <w:t>the</w:t>
      </w:r>
      <w:r>
        <w:rPr>
          <w:spacing w:val="-1"/>
        </w:rPr>
        <w:t> </w:t>
      </w:r>
      <w:r>
        <w:rPr/>
        <w:t>Vice-Chancellor and President of the Western Sydney University since he commenced in this role on 1 January 2014. Professor Glover is an accomplished academic leader and experienced Vice-Chancellor. Previously Vice-Chancellor at Charles Darwin University from 2009 to 2013, he has a long record of success in university management and leadership, particularly in</w:t>
      </w:r>
      <w:r>
        <w:rPr>
          <w:spacing w:val="-8"/>
        </w:rPr>
        <w:t> </w:t>
      </w:r>
      <w:r>
        <w:rPr/>
        <w:t>research,</w:t>
      </w:r>
      <w:r>
        <w:rPr>
          <w:spacing w:val="-8"/>
        </w:rPr>
        <w:t> </w:t>
      </w:r>
      <w:r>
        <w:rPr/>
        <w:t>intellectual</w:t>
      </w:r>
      <w:r>
        <w:rPr>
          <w:spacing w:val="-8"/>
        </w:rPr>
        <w:t> </w:t>
      </w:r>
      <w:r>
        <w:rPr/>
        <w:t>property</w:t>
      </w:r>
      <w:r>
        <w:rPr>
          <w:spacing w:val="-8"/>
        </w:rPr>
        <w:t> </w:t>
      </w:r>
      <w:r>
        <w:rPr/>
        <w:t>management</w:t>
      </w:r>
      <w:r>
        <w:rPr>
          <w:spacing w:val="-8"/>
        </w:rPr>
        <w:t> </w:t>
      </w:r>
      <w:r>
        <w:rPr/>
        <w:t>and</w:t>
      </w:r>
      <w:r>
        <w:rPr>
          <w:spacing w:val="-8"/>
        </w:rPr>
        <w:t> </w:t>
      </w:r>
      <w:r>
        <w:rPr/>
        <w:t>major</w:t>
      </w:r>
      <w:r>
        <w:rPr>
          <w:spacing w:val="-8"/>
        </w:rPr>
        <w:t> </w:t>
      </w:r>
      <w:r>
        <w:rPr/>
        <w:t>capital</w:t>
      </w:r>
      <w:r>
        <w:rPr>
          <w:spacing w:val="-8"/>
        </w:rPr>
        <w:t> </w:t>
      </w:r>
      <w:r>
        <w:rPr/>
        <w:t>development projects.Before relocating to the Northern Territory in 2009 Professor Glover was</w:t>
      </w:r>
      <w:r>
        <w:rPr>
          <w:spacing w:val="-8"/>
        </w:rPr>
        <w:t> </w:t>
      </w:r>
      <w:r>
        <w:rPr/>
        <w:t>the</w:t>
      </w:r>
      <w:r>
        <w:rPr>
          <w:spacing w:val="-8"/>
        </w:rPr>
        <w:t> </w:t>
      </w:r>
      <w:r>
        <w:rPr/>
        <w:t>Deputy</w:t>
      </w:r>
      <w:r>
        <w:rPr>
          <w:spacing w:val="-8"/>
        </w:rPr>
        <w:t> </w:t>
      </w:r>
      <w:r>
        <w:rPr/>
        <w:t>Vice-Chancellor,</w:t>
      </w:r>
      <w:r>
        <w:rPr>
          <w:spacing w:val="-8"/>
        </w:rPr>
        <w:t> </w:t>
      </w:r>
      <w:r>
        <w:rPr/>
        <w:t>Research</w:t>
      </w:r>
      <w:r>
        <w:rPr>
          <w:spacing w:val="-8"/>
        </w:rPr>
        <w:t> </w:t>
      </w:r>
      <w:r>
        <w:rPr/>
        <w:t>at</w:t>
      </w:r>
      <w:r>
        <w:rPr>
          <w:spacing w:val="-8"/>
        </w:rPr>
        <w:t> </w:t>
      </w:r>
      <w:r>
        <w:rPr/>
        <w:t>the</w:t>
      </w:r>
      <w:r>
        <w:rPr>
          <w:spacing w:val="-8"/>
        </w:rPr>
        <w:t> </w:t>
      </w:r>
      <w:r>
        <w:rPr/>
        <w:t>University</w:t>
      </w:r>
      <w:r>
        <w:rPr>
          <w:spacing w:val="-8"/>
        </w:rPr>
        <w:t> </w:t>
      </w:r>
      <w:r>
        <w:rPr/>
        <w:t>of</w:t>
      </w:r>
      <w:r>
        <w:rPr>
          <w:spacing w:val="-8"/>
        </w:rPr>
        <w:t> </w:t>
      </w:r>
      <w:r>
        <w:rPr/>
        <w:t>Newcastle.</w:t>
      </w:r>
    </w:p>
    <w:p>
      <w:pPr>
        <w:pStyle w:val="BodyText"/>
        <w:ind w:left="5082" w:right="1450"/>
      </w:pPr>
      <w:r>
        <w:rPr/>
        <w:t>Prior to this, he held several positions at Perth's Curtin University of Technology including Pro Vice-Chancellor, Research and Development. He has a strong research publication record and has co-authored four texts in mathematics education. Before his appointment at Curtin Professor Glover held a number of positions at the University of Ballarat in Victoria. Professor Glover holds a PhD in Applied Mathematics and has worked on both the east and west coasts of Australia.</w:t>
      </w:r>
    </w:p>
    <w:p>
      <w:pPr>
        <w:pStyle w:val="BodyText"/>
        <w:tabs>
          <w:tab w:pos="5081" w:val="left" w:leader="none"/>
        </w:tabs>
        <w:spacing w:before="140"/>
        <w:ind w:left="1824"/>
      </w:pPr>
      <w:r>
        <w:rPr/>
        <w:t>Ms</w:t>
      </w:r>
      <w:r>
        <w:rPr>
          <w:spacing w:val="-5"/>
        </w:rPr>
        <w:t> </w:t>
      </w:r>
      <w:r>
        <w:rPr/>
        <w:t>Gabrielle</w:t>
      </w:r>
      <w:r>
        <w:rPr>
          <w:spacing w:val="-5"/>
        </w:rPr>
        <w:t> </w:t>
      </w:r>
      <w:r>
        <w:rPr/>
        <w:t>Trainor</w:t>
        <w:tab/>
        <w:t>LLB (Melb).</w:t>
      </w:r>
      <w:r>
        <w:rPr>
          <w:spacing w:val="25"/>
        </w:rPr>
        <w:t> </w:t>
      </w:r>
      <w:r>
        <w:rPr/>
        <w:t>Non-Executive.</w:t>
      </w:r>
    </w:p>
    <w:p>
      <w:pPr>
        <w:pStyle w:val="BodyText"/>
        <w:tabs>
          <w:tab w:pos="5081" w:val="left" w:leader="none"/>
        </w:tabs>
        <w:spacing w:before="83"/>
        <w:ind w:left="5082" w:right="1451" w:hanging="3258"/>
      </w:pPr>
      <w:r>
        <w:rPr/>
        <w:drawing>
          <wp:anchor distT="0" distB="0" distL="0" distR="0" allowOverlap="1" layoutInCell="1" locked="0" behindDoc="0" simplePos="0" relativeHeight="13792">
            <wp:simplePos x="0" y="0"/>
            <wp:positionH relativeFrom="page">
              <wp:posOffset>-1587</wp:posOffset>
            </wp:positionH>
            <wp:positionV relativeFrom="paragraph">
              <wp:posOffset>675943</wp:posOffset>
            </wp:positionV>
            <wp:extent cx="136525" cy="155575"/>
            <wp:effectExtent l="0" t="0" r="0" b="0"/>
            <wp:wrapNone/>
            <wp:docPr id="931" name="image13.png" descr=""/>
            <wp:cNvGraphicFramePr>
              <a:graphicFrameLocks noChangeAspect="1"/>
            </wp:cNvGraphicFramePr>
            <a:graphic>
              <a:graphicData uri="http://schemas.openxmlformats.org/drawingml/2006/picture">
                <pic:pic>
                  <pic:nvPicPr>
                    <pic:cNvPr id="932" name="image13.png"/>
                    <pic:cNvPicPr/>
                  </pic:nvPicPr>
                  <pic:blipFill>
                    <a:blip r:embed="rId18" cstate="print"/>
                    <a:stretch>
                      <a:fillRect/>
                    </a:stretch>
                  </pic:blipFill>
                  <pic:spPr>
                    <a:xfrm>
                      <a:off x="0" y="0"/>
                      <a:ext cx="136525" cy="155575"/>
                    </a:xfrm>
                    <a:prstGeom prst="rect">
                      <a:avLst/>
                    </a:prstGeom>
                  </pic:spPr>
                </pic:pic>
              </a:graphicData>
            </a:graphic>
          </wp:anchor>
        </w:drawing>
      </w:r>
      <w:r>
        <w:rPr/>
        <w:drawing>
          <wp:anchor distT="0" distB="0" distL="0" distR="0" allowOverlap="1" layoutInCell="1" locked="0" behindDoc="0" simplePos="0" relativeHeight="13816">
            <wp:simplePos x="0" y="0"/>
            <wp:positionH relativeFrom="page">
              <wp:posOffset>7958429</wp:posOffset>
            </wp:positionH>
            <wp:positionV relativeFrom="paragraph">
              <wp:posOffset>675943</wp:posOffset>
            </wp:positionV>
            <wp:extent cx="135953" cy="155575"/>
            <wp:effectExtent l="0" t="0" r="0" b="0"/>
            <wp:wrapNone/>
            <wp:docPr id="933" name="image15.png" descr=""/>
            <wp:cNvGraphicFramePr>
              <a:graphicFrameLocks noChangeAspect="1"/>
            </wp:cNvGraphicFramePr>
            <a:graphic>
              <a:graphicData uri="http://schemas.openxmlformats.org/drawingml/2006/picture">
                <pic:pic>
                  <pic:nvPicPr>
                    <pic:cNvPr id="934" name="image15.png"/>
                    <pic:cNvPicPr/>
                  </pic:nvPicPr>
                  <pic:blipFill>
                    <a:blip r:embed="rId20" cstate="print"/>
                    <a:stretch>
                      <a:fillRect/>
                    </a:stretch>
                  </pic:blipFill>
                  <pic:spPr>
                    <a:xfrm>
                      <a:off x="0" y="0"/>
                      <a:ext cx="135953" cy="155575"/>
                    </a:xfrm>
                    <a:prstGeom prst="rect">
                      <a:avLst/>
                    </a:prstGeom>
                  </pic:spPr>
                </pic:pic>
              </a:graphicData>
            </a:graphic>
          </wp:anchor>
        </w:drawing>
      </w:r>
      <w:r>
        <w:rPr/>
        <w:t>Experience</w:t>
        <w:tab/>
        <w:t>Appointed</w:t>
      </w:r>
      <w:r>
        <w:rPr>
          <w:spacing w:val="-6"/>
        </w:rPr>
        <w:t> </w:t>
      </w:r>
      <w:r>
        <w:rPr/>
        <w:t>as</w:t>
      </w:r>
      <w:r>
        <w:rPr>
          <w:spacing w:val="-6"/>
        </w:rPr>
        <w:t> </w:t>
      </w:r>
      <w:r>
        <w:rPr/>
        <w:t>Director</w:t>
      </w:r>
      <w:r>
        <w:rPr>
          <w:spacing w:val="-6"/>
        </w:rPr>
        <w:t> </w:t>
      </w:r>
      <w:r>
        <w:rPr/>
        <w:t>29</w:t>
      </w:r>
      <w:r>
        <w:rPr>
          <w:spacing w:val="-6"/>
        </w:rPr>
        <w:t> </w:t>
      </w:r>
      <w:r>
        <w:rPr/>
        <w:t>June</w:t>
      </w:r>
      <w:r>
        <w:rPr>
          <w:spacing w:val="-6"/>
        </w:rPr>
        <w:t> </w:t>
      </w:r>
      <w:r>
        <w:rPr/>
        <w:t>2010.</w:t>
      </w:r>
      <w:r>
        <w:rPr>
          <w:spacing w:val="-6"/>
        </w:rPr>
        <w:t> </w:t>
      </w:r>
      <w:r>
        <w:rPr/>
        <w:t>Ms</w:t>
      </w:r>
      <w:r>
        <w:rPr>
          <w:spacing w:val="-6"/>
        </w:rPr>
        <w:t> </w:t>
      </w:r>
      <w:r>
        <w:rPr/>
        <w:t>Gabrielle</w:t>
      </w:r>
      <w:r>
        <w:rPr>
          <w:spacing w:val="-6"/>
        </w:rPr>
        <w:t> </w:t>
      </w:r>
      <w:r>
        <w:rPr/>
        <w:t>Trainor</w:t>
      </w:r>
      <w:r>
        <w:rPr>
          <w:spacing w:val="-6"/>
        </w:rPr>
        <w:t> </w:t>
      </w:r>
      <w:r>
        <w:rPr/>
        <w:t>is</w:t>
      </w:r>
      <w:r>
        <w:rPr>
          <w:spacing w:val="-6"/>
        </w:rPr>
        <w:t> </w:t>
      </w:r>
      <w:r>
        <w:rPr/>
        <w:t>a</w:t>
      </w:r>
      <w:r>
        <w:rPr>
          <w:spacing w:val="-6"/>
        </w:rPr>
        <w:t> </w:t>
      </w:r>
      <w:r>
        <w:rPr/>
        <w:t>non-executive</w:t>
      </w:r>
      <w:r>
        <w:rPr>
          <w:spacing w:val="-1"/>
          <w:w w:val="99"/>
        </w:rPr>
        <w:t> </w:t>
      </w:r>
      <w:r>
        <w:rPr/>
        <w:t>director and advisor. Her chair and director roles have spanned organisations in</w:t>
      </w:r>
      <w:r>
        <w:rPr>
          <w:spacing w:val="-8"/>
        </w:rPr>
        <w:t> </w:t>
      </w:r>
      <w:r>
        <w:rPr/>
        <w:t>urban</w:t>
      </w:r>
      <w:r>
        <w:rPr>
          <w:spacing w:val="-8"/>
        </w:rPr>
        <w:t> </w:t>
      </w:r>
      <w:r>
        <w:rPr/>
        <w:t>development,</w:t>
      </w:r>
      <w:r>
        <w:rPr>
          <w:spacing w:val="-8"/>
        </w:rPr>
        <w:t> </w:t>
      </w:r>
      <w:r>
        <w:rPr/>
        <w:t>transport,</w:t>
      </w:r>
      <w:r>
        <w:rPr>
          <w:spacing w:val="-8"/>
        </w:rPr>
        <w:t> </w:t>
      </w:r>
      <w:r>
        <w:rPr/>
        <w:t>education,</w:t>
      </w:r>
      <w:r>
        <w:rPr>
          <w:spacing w:val="-8"/>
        </w:rPr>
        <w:t> </w:t>
      </w:r>
      <w:r>
        <w:rPr/>
        <w:t>public</w:t>
      </w:r>
      <w:r>
        <w:rPr>
          <w:spacing w:val="-8"/>
        </w:rPr>
        <w:t> </w:t>
      </w:r>
      <w:r>
        <w:rPr/>
        <w:t>interest</w:t>
      </w:r>
      <w:r>
        <w:rPr>
          <w:spacing w:val="-8"/>
        </w:rPr>
        <w:t> </w:t>
      </w:r>
      <w:r>
        <w:rPr/>
        <w:t>law,</w:t>
      </w:r>
      <w:r>
        <w:rPr>
          <w:spacing w:val="-7"/>
        </w:rPr>
        <w:t> </w:t>
      </w:r>
      <w:r>
        <w:rPr/>
        <w:t>tourism,</w:t>
      </w:r>
      <w:r>
        <w:rPr>
          <w:spacing w:val="-7"/>
        </w:rPr>
        <w:t> </w:t>
      </w:r>
      <w:r>
        <w:rPr/>
        <w:t>culture</w:t>
      </w:r>
      <w:r>
        <w:rPr>
          <w:spacing w:val="-1"/>
        </w:rPr>
        <w:t> </w:t>
      </w:r>
      <w:r>
        <w:rPr/>
        <w:t>and sport. She was a founding partner and co-owner of specialist consultancy John Connolly &amp; Partners and over 25 years advised large listed companies on the management of major transactions and significant issues across stakeholder</w:t>
      </w:r>
      <w:r>
        <w:rPr>
          <w:spacing w:val="-7"/>
        </w:rPr>
        <w:t> </w:t>
      </w:r>
      <w:r>
        <w:rPr/>
        <w:t>groups</w:t>
      </w:r>
      <w:r>
        <w:rPr>
          <w:spacing w:val="-7"/>
        </w:rPr>
        <w:t> </w:t>
      </w:r>
      <w:r>
        <w:rPr/>
        <w:t>including</w:t>
      </w:r>
      <w:r>
        <w:rPr>
          <w:spacing w:val="-7"/>
        </w:rPr>
        <w:t> </w:t>
      </w:r>
      <w:r>
        <w:rPr/>
        <w:t>in</w:t>
      </w:r>
      <w:r>
        <w:rPr>
          <w:spacing w:val="-7"/>
        </w:rPr>
        <w:t> </w:t>
      </w:r>
      <w:r>
        <w:rPr/>
        <w:t>capital</w:t>
      </w:r>
      <w:r>
        <w:rPr>
          <w:spacing w:val="-7"/>
        </w:rPr>
        <w:t> </w:t>
      </w:r>
      <w:r>
        <w:rPr/>
        <w:t>markets,</w:t>
      </w:r>
      <w:r>
        <w:rPr>
          <w:spacing w:val="-7"/>
        </w:rPr>
        <w:t> </w:t>
      </w:r>
      <w:r>
        <w:rPr/>
        <w:t>government,</w:t>
      </w:r>
      <w:r>
        <w:rPr>
          <w:spacing w:val="-7"/>
        </w:rPr>
        <w:t> </w:t>
      </w:r>
      <w:r>
        <w:rPr/>
        <w:t>NGO’s</w:t>
      </w:r>
      <w:r>
        <w:rPr>
          <w:spacing w:val="-7"/>
        </w:rPr>
        <w:t> </w:t>
      </w:r>
      <w:r>
        <w:rPr/>
        <w:t>and</w:t>
      </w:r>
      <w:r>
        <w:rPr>
          <w:spacing w:val="-7"/>
        </w:rPr>
        <w:t> </w:t>
      </w:r>
      <w:r>
        <w:rPr/>
        <w:t>other influencers. Ms Trainor is a member of the board of Leighton Contractors (advisory board), a director of the Barangaroo Delivery Authority, Business Events Sydney, Cape York Group, the Aurora Education Foundation and is a trustee of the Charlie Perkins Education Trust. She is a member of  the board of</w:t>
      </w:r>
      <w:r>
        <w:rPr>
          <w:spacing w:val="-5"/>
        </w:rPr>
        <w:t> </w:t>
      </w:r>
      <w:r>
        <w:rPr/>
        <w:t>trustees</w:t>
      </w:r>
      <w:r>
        <w:rPr>
          <w:spacing w:val="-5"/>
        </w:rPr>
        <w:t> </w:t>
      </w:r>
      <w:r>
        <w:rPr/>
        <w:t>of</w:t>
      </w:r>
      <w:r>
        <w:rPr>
          <w:spacing w:val="-5"/>
        </w:rPr>
        <w:t> </w:t>
      </w:r>
      <w:r>
        <w:rPr/>
        <w:t>the</w:t>
      </w:r>
      <w:r>
        <w:rPr>
          <w:spacing w:val="-5"/>
        </w:rPr>
        <w:t> </w:t>
      </w:r>
      <w:r>
        <w:rPr/>
        <w:t>Western</w:t>
      </w:r>
      <w:r>
        <w:rPr>
          <w:spacing w:val="-5"/>
        </w:rPr>
        <w:t> </w:t>
      </w:r>
      <w:r>
        <w:rPr/>
        <w:t>Sydney</w:t>
      </w:r>
      <w:r>
        <w:rPr>
          <w:spacing w:val="-5"/>
        </w:rPr>
        <w:t> </w:t>
      </w:r>
      <w:r>
        <w:rPr/>
        <w:t>University.</w:t>
      </w:r>
      <w:r>
        <w:rPr>
          <w:spacing w:val="-5"/>
        </w:rPr>
        <w:t> </w:t>
      </w:r>
      <w:r>
        <w:rPr/>
        <w:t>She</w:t>
      </w:r>
      <w:r>
        <w:rPr>
          <w:spacing w:val="-5"/>
        </w:rPr>
        <w:t> </w:t>
      </w:r>
      <w:r>
        <w:rPr/>
        <w:t>is</w:t>
      </w:r>
      <w:r>
        <w:rPr>
          <w:spacing w:val="-5"/>
        </w:rPr>
        <w:t> </w:t>
      </w:r>
      <w:r>
        <w:rPr/>
        <w:t>Chair</w:t>
      </w:r>
      <w:r>
        <w:rPr>
          <w:spacing w:val="-5"/>
        </w:rPr>
        <w:t> </w:t>
      </w:r>
      <w:r>
        <w:rPr/>
        <w:t>of</w:t>
      </w:r>
      <w:r>
        <w:rPr>
          <w:spacing w:val="-5"/>
        </w:rPr>
        <w:t> </w:t>
      </w:r>
      <w:r>
        <w:rPr/>
        <w:t>the</w:t>
      </w:r>
      <w:r>
        <w:rPr>
          <w:spacing w:val="-5"/>
        </w:rPr>
        <w:t> </w:t>
      </w:r>
      <w:r>
        <w:rPr/>
        <w:t>National</w:t>
      </w:r>
      <w:r>
        <w:rPr>
          <w:spacing w:val="-5"/>
        </w:rPr>
        <w:t> </w:t>
      </w:r>
      <w:r>
        <w:rPr/>
        <w:t>Film and Sound Archive and Chair of Barnardo’s Australia. She co- chaired the 2012</w:t>
      </w:r>
      <w:r>
        <w:rPr>
          <w:spacing w:val="-6"/>
        </w:rPr>
        <w:t> </w:t>
      </w:r>
      <w:r>
        <w:rPr/>
        <w:t>Federal</w:t>
      </w:r>
      <w:r>
        <w:rPr>
          <w:spacing w:val="-6"/>
        </w:rPr>
        <w:t> </w:t>
      </w:r>
      <w:r>
        <w:rPr/>
        <w:t>Government</w:t>
      </w:r>
      <w:r>
        <w:rPr>
          <w:spacing w:val="-6"/>
        </w:rPr>
        <w:t> </w:t>
      </w:r>
      <w:r>
        <w:rPr/>
        <w:t>review</w:t>
      </w:r>
      <w:r>
        <w:rPr>
          <w:spacing w:val="-9"/>
        </w:rPr>
        <w:t> </w:t>
      </w:r>
      <w:r>
        <w:rPr/>
        <w:t>of</w:t>
      </w:r>
      <w:r>
        <w:rPr>
          <w:spacing w:val="-6"/>
        </w:rPr>
        <w:t> </w:t>
      </w:r>
      <w:r>
        <w:rPr/>
        <w:t>the</w:t>
      </w:r>
      <w:r>
        <w:rPr>
          <w:spacing w:val="-6"/>
        </w:rPr>
        <w:t> </w:t>
      </w:r>
      <w:r>
        <w:rPr/>
        <w:t>Australia</w:t>
      </w:r>
      <w:r>
        <w:rPr>
          <w:spacing w:val="-6"/>
        </w:rPr>
        <w:t> </w:t>
      </w:r>
      <w:r>
        <w:rPr/>
        <w:t>Council</w:t>
      </w:r>
      <w:r>
        <w:rPr>
          <w:spacing w:val="-6"/>
        </w:rPr>
        <w:t> </w:t>
      </w:r>
      <w:r>
        <w:rPr/>
        <w:t>for</w:t>
      </w:r>
      <w:r>
        <w:rPr>
          <w:spacing w:val="-6"/>
        </w:rPr>
        <w:t> </w:t>
      </w:r>
      <w:r>
        <w:rPr/>
        <w:t>the</w:t>
      </w:r>
      <w:r>
        <w:rPr>
          <w:spacing w:val="-6"/>
        </w:rPr>
        <w:t> </w:t>
      </w:r>
      <w:r>
        <w:rPr/>
        <w:t>Arts.</w:t>
      </w:r>
      <w:r>
        <w:rPr>
          <w:spacing w:val="-6"/>
        </w:rPr>
        <w:t> </w:t>
      </w:r>
      <w:r>
        <w:rPr/>
        <w:t>She</w:t>
      </w:r>
      <w:r>
        <w:rPr>
          <w:spacing w:val="-6"/>
        </w:rPr>
        <w:t> </w:t>
      </w:r>
      <w:r>
        <w:rPr/>
        <w:t>has had a long term involvement in indigenous affairs, including as director of Cape York Partnerships and a member of the Victorian Government’s Aboriginal Economic Development Group which reported in 2010. Ms Trainor was educated as Ll.B at the University of Melbourne and was awarded a 1986 Churchill Fellowship. She studied in the USA and UK, including as a visiting scholar at Stanford University. She is an Honorary Associate in the Graduate School of Government at Sydney University and a Fellow of the Australian Institute of Company</w:t>
      </w:r>
      <w:r>
        <w:rPr>
          <w:spacing w:val="-29"/>
        </w:rPr>
        <w:t> </w:t>
      </w:r>
      <w:r>
        <w:rPr/>
        <w:t>Directors.</w:t>
      </w:r>
    </w:p>
    <w:p>
      <w:pPr>
        <w:pStyle w:val="BodyText"/>
        <w:tabs>
          <w:tab w:pos="5081" w:val="left" w:leader="none"/>
        </w:tabs>
        <w:spacing w:before="140"/>
        <w:ind w:left="1824"/>
      </w:pPr>
      <w:r>
        <w:rPr/>
        <w:t>Mr</w:t>
      </w:r>
      <w:r>
        <w:rPr>
          <w:spacing w:val="-3"/>
        </w:rPr>
        <w:t> </w:t>
      </w:r>
      <w:r>
        <w:rPr/>
        <w:t>John</w:t>
      </w:r>
      <w:r>
        <w:rPr>
          <w:spacing w:val="-3"/>
        </w:rPr>
        <w:t> </w:t>
      </w:r>
      <w:r>
        <w:rPr/>
        <w:t>Wells</w:t>
        <w:tab/>
        <w:t>Non-Executive.</w:t>
      </w:r>
    </w:p>
    <w:p>
      <w:pPr>
        <w:pStyle w:val="BodyText"/>
        <w:tabs>
          <w:tab w:pos="5081" w:val="left" w:leader="none"/>
        </w:tabs>
        <w:spacing w:before="83"/>
        <w:ind w:left="5082" w:right="1456" w:hanging="3258"/>
      </w:pPr>
      <w:r>
        <w:rPr/>
        <w:t>Experience</w:t>
        <w:tab/>
        <w:t>Appointed</w:t>
      </w:r>
      <w:r>
        <w:rPr>
          <w:spacing w:val="-5"/>
        </w:rPr>
        <w:t> </w:t>
      </w:r>
      <w:r>
        <w:rPr/>
        <w:t>as</w:t>
      </w:r>
      <w:r>
        <w:rPr>
          <w:spacing w:val="-5"/>
        </w:rPr>
        <w:t> </w:t>
      </w:r>
      <w:r>
        <w:rPr/>
        <w:t>Director</w:t>
      </w:r>
      <w:r>
        <w:rPr>
          <w:spacing w:val="-5"/>
        </w:rPr>
        <w:t> </w:t>
      </w:r>
      <w:r>
        <w:rPr/>
        <w:t>15</w:t>
      </w:r>
      <w:r>
        <w:rPr>
          <w:spacing w:val="-5"/>
        </w:rPr>
        <w:t> </w:t>
      </w:r>
      <w:r>
        <w:rPr/>
        <w:t>June</w:t>
      </w:r>
      <w:r>
        <w:rPr>
          <w:spacing w:val="-5"/>
        </w:rPr>
        <w:t> </w:t>
      </w:r>
      <w:r>
        <w:rPr/>
        <w:t>2005.</w:t>
      </w:r>
      <w:r>
        <w:rPr>
          <w:spacing w:val="-5"/>
        </w:rPr>
        <w:t> </w:t>
      </w:r>
      <w:r>
        <w:rPr/>
        <w:t>Mr</w:t>
      </w:r>
      <w:r>
        <w:rPr>
          <w:spacing w:val="-5"/>
        </w:rPr>
        <w:t> </w:t>
      </w:r>
      <w:r>
        <w:rPr/>
        <w:t>John</w:t>
      </w:r>
      <w:r>
        <w:rPr>
          <w:spacing w:val="-5"/>
        </w:rPr>
        <w:t> </w:t>
      </w:r>
      <w:r>
        <w:rPr/>
        <w:t>Wells</w:t>
      </w:r>
      <w:r>
        <w:rPr>
          <w:spacing w:val="-5"/>
        </w:rPr>
        <w:t> </w:t>
      </w:r>
      <w:r>
        <w:rPr/>
        <w:t>is</w:t>
      </w:r>
      <w:r>
        <w:rPr>
          <w:spacing w:val="-5"/>
        </w:rPr>
        <w:t> </w:t>
      </w:r>
      <w:r>
        <w:rPr/>
        <w:t>Chairman</w:t>
      </w:r>
      <w:r>
        <w:rPr>
          <w:spacing w:val="-5"/>
        </w:rPr>
        <w:t> </w:t>
      </w:r>
      <w:r>
        <w:rPr/>
        <w:t>of</w:t>
      </w:r>
      <w:r>
        <w:rPr>
          <w:spacing w:val="-5"/>
        </w:rPr>
        <w:t> </w:t>
      </w:r>
      <w:r>
        <w:rPr/>
        <w:t>Wells</w:t>
      </w:r>
      <w:r>
        <w:rPr>
          <w:spacing w:val="-1"/>
          <w:w w:val="99"/>
        </w:rPr>
        <w:t> </w:t>
      </w:r>
      <w:r>
        <w:rPr/>
        <w:t>Haslem Pty Ltd. His career has embraced journalism at the most senior levels in</w:t>
      </w:r>
      <w:r>
        <w:rPr>
          <w:spacing w:val="-8"/>
        </w:rPr>
        <w:t> </w:t>
      </w:r>
      <w:r>
        <w:rPr/>
        <w:t>Australia</w:t>
      </w:r>
      <w:r>
        <w:rPr>
          <w:spacing w:val="-8"/>
        </w:rPr>
        <w:t> </w:t>
      </w:r>
      <w:r>
        <w:rPr/>
        <w:t>and</w:t>
      </w:r>
      <w:r>
        <w:rPr>
          <w:spacing w:val="-8"/>
        </w:rPr>
        <w:t> </w:t>
      </w:r>
      <w:r>
        <w:rPr/>
        <w:t>overseas,</w:t>
      </w:r>
      <w:r>
        <w:rPr>
          <w:spacing w:val="-8"/>
        </w:rPr>
        <w:t> </w:t>
      </w:r>
      <w:r>
        <w:rPr/>
        <w:t>senior</w:t>
      </w:r>
      <w:r>
        <w:rPr>
          <w:spacing w:val="-8"/>
        </w:rPr>
        <w:t> </w:t>
      </w:r>
      <w:r>
        <w:rPr/>
        <w:t>media</w:t>
      </w:r>
      <w:r>
        <w:rPr>
          <w:spacing w:val="-8"/>
        </w:rPr>
        <w:t> </w:t>
      </w:r>
      <w:r>
        <w:rPr/>
        <w:t>involvement</w:t>
      </w:r>
      <w:r>
        <w:rPr>
          <w:spacing w:val="-8"/>
        </w:rPr>
        <w:t> </w:t>
      </w:r>
      <w:r>
        <w:rPr/>
        <w:t>in</w:t>
      </w:r>
      <w:r>
        <w:rPr>
          <w:spacing w:val="-8"/>
        </w:rPr>
        <w:t> </w:t>
      </w:r>
      <w:r>
        <w:rPr/>
        <w:t>newspapers,</w:t>
      </w:r>
      <w:r>
        <w:rPr>
          <w:spacing w:val="-8"/>
        </w:rPr>
        <w:t> </w:t>
      </w:r>
      <w:r>
        <w:rPr/>
        <w:t>television and radio, policy advice to Federal political leaders and public affairs consulting. His major interests are in government and media and the operational elements of strategic communication campaigns. He works for all of</w:t>
      </w:r>
      <w:r>
        <w:rPr>
          <w:spacing w:val="-6"/>
        </w:rPr>
        <w:t> </w:t>
      </w:r>
      <w:r>
        <w:rPr/>
        <w:t>Wells</w:t>
      </w:r>
      <w:r>
        <w:rPr>
          <w:spacing w:val="-6"/>
        </w:rPr>
        <w:t> </w:t>
      </w:r>
      <w:r>
        <w:rPr/>
        <w:t>Haslem’s</w:t>
      </w:r>
      <w:r>
        <w:rPr>
          <w:spacing w:val="-6"/>
        </w:rPr>
        <w:t> </w:t>
      </w:r>
      <w:r>
        <w:rPr/>
        <w:t>major</w:t>
      </w:r>
      <w:r>
        <w:rPr>
          <w:spacing w:val="-6"/>
        </w:rPr>
        <w:t> </w:t>
      </w:r>
      <w:r>
        <w:rPr/>
        <w:t>clients</w:t>
      </w:r>
      <w:r>
        <w:rPr>
          <w:spacing w:val="-6"/>
        </w:rPr>
        <w:t> </w:t>
      </w:r>
      <w:r>
        <w:rPr/>
        <w:t>in</w:t>
      </w:r>
      <w:r>
        <w:rPr>
          <w:spacing w:val="-6"/>
        </w:rPr>
        <w:t> </w:t>
      </w:r>
      <w:r>
        <w:rPr/>
        <w:t>these</w:t>
      </w:r>
      <w:r>
        <w:rPr>
          <w:spacing w:val="-6"/>
        </w:rPr>
        <w:t> </w:t>
      </w:r>
      <w:r>
        <w:rPr/>
        <w:t>and</w:t>
      </w:r>
      <w:r>
        <w:rPr>
          <w:spacing w:val="-6"/>
        </w:rPr>
        <w:t> </w:t>
      </w:r>
      <w:r>
        <w:rPr/>
        <w:t>many</w:t>
      </w:r>
      <w:r>
        <w:rPr>
          <w:spacing w:val="-6"/>
        </w:rPr>
        <w:t> </w:t>
      </w:r>
      <w:r>
        <w:rPr/>
        <w:t>other</w:t>
      </w:r>
      <w:r>
        <w:rPr>
          <w:spacing w:val="-6"/>
        </w:rPr>
        <w:t> </w:t>
      </w:r>
      <w:r>
        <w:rPr/>
        <w:t>roles.</w:t>
      </w:r>
    </w:p>
    <w:p>
      <w:pPr>
        <w:spacing w:after="0"/>
        <w:sectPr>
          <w:pgSz w:w="12750" w:h="17680"/>
          <w:pgMar w:header="0" w:footer="867" w:top="1880" w:bottom="1120" w:left="0" w:right="0"/>
        </w:sectPr>
      </w:pPr>
    </w:p>
    <w:p>
      <w:pPr>
        <w:pStyle w:val="BodyText"/>
        <w:spacing w:before="2"/>
        <w:rPr>
          <w:sz w:val="24"/>
        </w:rPr>
      </w:pPr>
    </w:p>
    <w:p>
      <w:pPr>
        <w:pStyle w:val="Heading4"/>
      </w:pPr>
      <w:r>
        <w:rPr/>
        <w:t>Director's report</w:t>
      </w:r>
    </w:p>
    <w:p>
      <w:pPr>
        <w:pStyle w:val="Heading7"/>
        <w:ind w:left="1822" w:hanging="395"/>
      </w:pPr>
      <w:r>
        <w:rPr/>
        <w:t>For the year ended 31 December 2016</w:t>
      </w:r>
    </w:p>
    <w:p>
      <w:pPr>
        <w:pStyle w:val="BodyText"/>
        <w:spacing w:before="11"/>
        <w:rPr>
          <w:b/>
          <w:sz w:val="24"/>
        </w:rPr>
      </w:pPr>
    </w:p>
    <w:p>
      <w:pPr>
        <w:pStyle w:val="Heading8"/>
        <w:ind w:left="1822"/>
      </w:pPr>
      <w:r>
        <w:rPr/>
        <w:t>Information on directors (continued)</w:t>
      </w:r>
    </w:p>
    <w:p>
      <w:pPr>
        <w:pStyle w:val="BodyText"/>
        <w:tabs>
          <w:tab w:pos="5081" w:val="left" w:leader="none"/>
        </w:tabs>
        <w:spacing w:before="140"/>
        <w:ind w:left="1824"/>
      </w:pPr>
      <w:r>
        <w:rPr/>
        <w:t>Mr Talal</w:t>
      </w:r>
      <w:r>
        <w:rPr>
          <w:spacing w:val="-1"/>
        </w:rPr>
        <w:t> </w:t>
      </w:r>
      <w:r>
        <w:rPr/>
        <w:t>Yassine</w:t>
      </w:r>
      <w:r>
        <w:rPr>
          <w:spacing w:val="-1"/>
        </w:rPr>
        <w:t> </w:t>
      </w:r>
      <w:r>
        <w:rPr/>
        <w:t>OAM</w:t>
        <w:tab/>
        <w:t>BA Lib (Macquarie), Master of Laws (Sydney), MBA (Deakin).</w:t>
      </w:r>
      <w:r>
        <w:rPr>
          <w:spacing w:val="-18"/>
        </w:rPr>
        <w:t> </w:t>
      </w:r>
      <w:r>
        <w:rPr/>
        <w:t>Non-Executive.</w:t>
      </w:r>
    </w:p>
    <w:p>
      <w:pPr>
        <w:pStyle w:val="BodyText"/>
        <w:tabs>
          <w:tab w:pos="5081" w:val="left" w:leader="none"/>
        </w:tabs>
        <w:spacing w:before="83"/>
        <w:ind w:left="5082" w:right="1490" w:hanging="3258"/>
      </w:pPr>
      <w:r>
        <w:rPr/>
        <w:t>Experience</w:t>
        <w:tab/>
        <w:t>Appointed</w:t>
      </w:r>
      <w:r>
        <w:rPr>
          <w:spacing w:val="-5"/>
        </w:rPr>
        <w:t> </w:t>
      </w:r>
      <w:r>
        <w:rPr/>
        <w:t>as</w:t>
      </w:r>
      <w:r>
        <w:rPr>
          <w:spacing w:val="-5"/>
        </w:rPr>
        <w:t> </w:t>
      </w:r>
      <w:r>
        <w:rPr/>
        <w:t>Director</w:t>
      </w:r>
      <w:r>
        <w:rPr>
          <w:spacing w:val="-5"/>
        </w:rPr>
        <w:t> </w:t>
      </w:r>
      <w:r>
        <w:rPr/>
        <w:t>8</w:t>
      </w:r>
      <w:r>
        <w:rPr>
          <w:spacing w:val="-5"/>
        </w:rPr>
        <w:t> </w:t>
      </w:r>
      <w:r>
        <w:rPr/>
        <w:t>October</w:t>
      </w:r>
      <w:r>
        <w:rPr>
          <w:spacing w:val="-5"/>
        </w:rPr>
        <w:t> </w:t>
      </w:r>
      <w:r>
        <w:rPr/>
        <w:t>2010.</w:t>
      </w:r>
      <w:r>
        <w:rPr>
          <w:spacing w:val="-5"/>
        </w:rPr>
        <w:t> </w:t>
      </w:r>
      <w:r>
        <w:rPr/>
        <w:t>Mr</w:t>
      </w:r>
      <w:r>
        <w:rPr>
          <w:spacing w:val="-5"/>
        </w:rPr>
        <w:t> </w:t>
      </w:r>
      <w:r>
        <w:rPr/>
        <w:t>Talal</w:t>
      </w:r>
      <w:r>
        <w:rPr>
          <w:spacing w:val="-5"/>
        </w:rPr>
        <w:t> </w:t>
      </w:r>
      <w:r>
        <w:rPr/>
        <w:t>Yassine</w:t>
      </w:r>
      <w:r>
        <w:rPr>
          <w:spacing w:val="-5"/>
        </w:rPr>
        <w:t> </w:t>
      </w:r>
      <w:r>
        <w:rPr/>
        <w:t>OAM</w:t>
      </w:r>
      <w:r>
        <w:rPr>
          <w:spacing w:val="-5"/>
        </w:rPr>
        <w:t> </w:t>
      </w:r>
      <w:r>
        <w:rPr/>
        <w:t>is</w:t>
      </w:r>
      <w:r>
        <w:rPr>
          <w:spacing w:val="-5"/>
        </w:rPr>
        <w:t> </w:t>
      </w:r>
      <w:r>
        <w:rPr/>
        <w:t>an</w:t>
      </w:r>
      <w:r>
        <w:rPr>
          <w:spacing w:val="-1"/>
          <w:w w:val="99"/>
        </w:rPr>
        <w:t> </w:t>
      </w:r>
      <w:r>
        <w:rPr/>
        <w:t>experienced lawyer, banker and Non-Executive Director. After 10 years at PricewaterhouseCoopers as a Director and strategist, he joined investment firm Babcock &amp; Brown Ltd in the Corporate Finance Group and later in the Technical Real Estate Division. Later he held leadership positions in Better Place</w:t>
      </w:r>
      <w:r>
        <w:rPr>
          <w:spacing w:val="-6"/>
        </w:rPr>
        <w:t> </w:t>
      </w:r>
      <w:r>
        <w:rPr/>
        <w:t>Australia</w:t>
      </w:r>
      <w:r>
        <w:rPr>
          <w:spacing w:val="-6"/>
        </w:rPr>
        <w:t> </w:t>
      </w:r>
      <w:r>
        <w:rPr/>
        <w:t>and</w:t>
      </w:r>
      <w:r>
        <w:rPr>
          <w:spacing w:val="-6"/>
        </w:rPr>
        <w:t> </w:t>
      </w:r>
      <w:r>
        <w:rPr/>
        <w:t>is</w:t>
      </w:r>
      <w:r>
        <w:rPr>
          <w:spacing w:val="-6"/>
        </w:rPr>
        <w:t> </w:t>
      </w:r>
      <w:r>
        <w:rPr/>
        <w:t>currently</w:t>
      </w:r>
      <w:r>
        <w:rPr>
          <w:spacing w:val="-6"/>
        </w:rPr>
        <w:t> </w:t>
      </w:r>
      <w:r>
        <w:rPr/>
        <w:t>the</w:t>
      </w:r>
      <w:r>
        <w:rPr>
          <w:spacing w:val="-6"/>
        </w:rPr>
        <w:t> </w:t>
      </w:r>
      <w:r>
        <w:rPr/>
        <w:t>Managing</w:t>
      </w:r>
      <w:r>
        <w:rPr>
          <w:spacing w:val="-6"/>
        </w:rPr>
        <w:t> </w:t>
      </w:r>
      <w:r>
        <w:rPr/>
        <w:t>Director</w:t>
      </w:r>
      <w:r>
        <w:rPr>
          <w:spacing w:val="-6"/>
        </w:rPr>
        <w:t> </w:t>
      </w:r>
      <w:r>
        <w:rPr/>
        <w:t>of</w:t>
      </w:r>
      <w:r>
        <w:rPr>
          <w:spacing w:val="-6"/>
        </w:rPr>
        <w:t> </w:t>
      </w:r>
      <w:r>
        <w:rPr/>
        <w:t>Crescent</w:t>
      </w:r>
      <w:r>
        <w:rPr>
          <w:spacing w:val="-6"/>
        </w:rPr>
        <w:t> </w:t>
      </w:r>
      <w:r>
        <w:rPr/>
        <w:t>Wealth.</w:t>
      </w:r>
      <w:r>
        <w:rPr>
          <w:spacing w:val="-6"/>
        </w:rPr>
        <w:t> </w:t>
      </w:r>
      <w:r>
        <w:rPr/>
        <w:t>Mr Yassine currently serves on the Board of Australia Post, Sydney Ports, the Whitlam Institute, The Australian Multicultural Council and as Deputy Chairman of the Gulf Australia Business Council. He has also served on the Board of Macquarie University; and as the Deputy Chairman of a government regulator, and as Chairman as Platinum Sound Pty Ltd. Mr Yassine holds a Master of Laws, a Master of Business Administration which was focused on international business strategy, as well as holding degrees in law and diplomas from the AICD and UNE in directorship. In November 2012, he </w:t>
      </w:r>
      <w:r>
        <w:rPr>
          <w:spacing w:val="-2"/>
        </w:rPr>
        <w:t>was </w:t>
      </w:r>
      <w:r>
        <w:rPr/>
        <w:t>appointed as a Professorial Fellow at the Crawford School of Public Policy, at the Australian National University. On Australia Day 2010, he was awarded a Medal of the Order of Australia (OAM) for his service to business and to the community through a range of</w:t>
      </w:r>
      <w:r>
        <w:rPr>
          <w:spacing w:val="-35"/>
        </w:rPr>
        <w:t> </w:t>
      </w:r>
      <w:r>
        <w:rPr/>
        <w:t>education.</w:t>
      </w:r>
    </w:p>
    <w:p>
      <w:pPr>
        <w:pStyle w:val="BodyText"/>
        <w:tabs>
          <w:tab w:pos="5081" w:val="left" w:leader="none"/>
        </w:tabs>
        <w:spacing w:before="140"/>
        <w:ind w:left="1824"/>
      </w:pPr>
      <w:r>
        <w:rPr/>
        <w:t>Ms</w:t>
      </w:r>
      <w:r>
        <w:rPr>
          <w:spacing w:val="-5"/>
        </w:rPr>
        <w:t> </w:t>
      </w:r>
      <w:r>
        <w:rPr/>
        <w:t>Catherine</w:t>
      </w:r>
      <w:r>
        <w:rPr>
          <w:spacing w:val="-5"/>
        </w:rPr>
        <w:t> </w:t>
      </w:r>
      <w:r>
        <w:rPr/>
        <w:t>Dovey</w:t>
        <w:tab/>
        <w:t>BA (UNSW), Dip Ed (Sydney Teacher College).</w:t>
      </w:r>
      <w:r>
        <w:rPr>
          <w:spacing w:val="-2"/>
        </w:rPr>
        <w:t> </w:t>
      </w:r>
      <w:r>
        <w:rPr/>
        <w:t>Non-Executive.</w:t>
      </w:r>
    </w:p>
    <w:p>
      <w:pPr>
        <w:pStyle w:val="BodyText"/>
        <w:tabs>
          <w:tab w:pos="5081" w:val="left" w:leader="none"/>
        </w:tabs>
        <w:spacing w:before="83"/>
        <w:ind w:left="5082" w:right="1521" w:hanging="3258"/>
      </w:pPr>
      <w:r>
        <w:rPr/>
        <w:drawing>
          <wp:anchor distT="0" distB="0" distL="0" distR="0" allowOverlap="1" layoutInCell="1" locked="0" behindDoc="0" simplePos="0" relativeHeight="13840">
            <wp:simplePos x="0" y="0"/>
            <wp:positionH relativeFrom="page">
              <wp:posOffset>-1587</wp:posOffset>
            </wp:positionH>
            <wp:positionV relativeFrom="paragraph">
              <wp:posOffset>544879</wp:posOffset>
            </wp:positionV>
            <wp:extent cx="136525" cy="155575"/>
            <wp:effectExtent l="0" t="0" r="0" b="0"/>
            <wp:wrapNone/>
            <wp:docPr id="935" name="image13.png" descr=""/>
            <wp:cNvGraphicFramePr>
              <a:graphicFrameLocks noChangeAspect="1"/>
            </wp:cNvGraphicFramePr>
            <a:graphic>
              <a:graphicData uri="http://schemas.openxmlformats.org/drawingml/2006/picture">
                <pic:pic>
                  <pic:nvPicPr>
                    <pic:cNvPr id="936" name="image13.png"/>
                    <pic:cNvPicPr/>
                  </pic:nvPicPr>
                  <pic:blipFill>
                    <a:blip r:embed="rId18" cstate="print"/>
                    <a:stretch>
                      <a:fillRect/>
                    </a:stretch>
                  </pic:blipFill>
                  <pic:spPr>
                    <a:xfrm>
                      <a:off x="0" y="0"/>
                      <a:ext cx="136525" cy="155575"/>
                    </a:xfrm>
                    <a:prstGeom prst="rect">
                      <a:avLst/>
                    </a:prstGeom>
                  </pic:spPr>
                </pic:pic>
              </a:graphicData>
            </a:graphic>
          </wp:anchor>
        </w:drawing>
      </w:r>
      <w:r>
        <w:rPr/>
        <w:drawing>
          <wp:anchor distT="0" distB="0" distL="0" distR="0" allowOverlap="1" layoutInCell="1" locked="0" behindDoc="0" simplePos="0" relativeHeight="13864">
            <wp:simplePos x="0" y="0"/>
            <wp:positionH relativeFrom="page">
              <wp:posOffset>7958429</wp:posOffset>
            </wp:positionH>
            <wp:positionV relativeFrom="paragraph">
              <wp:posOffset>544879</wp:posOffset>
            </wp:positionV>
            <wp:extent cx="135953" cy="155575"/>
            <wp:effectExtent l="0" t="0" r="0" b="0"/>
            <wp:wrapNone/>
            <wp:docPr id="937" name="image15.png" descr=""/>
            <wp:cNvGraphicFramePr>
              <a:graphicFrameLocks noChangeAspect="1"/>
            </wp:cNvGraphicFramePr>
            <a:graphic>
              <a:graphicData uri="http://schemas.openxmlformats.org/drawingml/2006/picture">
                <pic:pic>
                  <pic:nvPicPr>
                    <pic:cNvPr id="938" name="image15.png"/>
                    <pic:cNvPicPr/>
                  </pic:nvPicPr>
                  <pic:blipFill>
                    <a:blip r:embed="rId20" cstate="print"/>
                    <a:stretch>
                      <a:fillRect/>
                    </a:stretch>
                  </pic:blipFill>
                  <pic:spPr>
                    <a:xfrm>
                      <a:off x="0" y="0"/>
                      <a:ext cx="135953" cy="155575"/>
                    </a:xfrm>
                    <a:prstGeom prst="rect">
                      <a:avLst/>
                    </a:prstGeom>
                  </pic:spPr>
                </pic:pic>
              </a:graphicData>
            </a:graphic>
          </wp:anchor>
        </w:drawing>
      </w:r>
      <w:r>
        <w:rPr/>
        <w:t>Experience</w:t>
        <w:tab/>
        <w:t>Catherine</w:t>
      </w:r>
      <w:r>
        <w:rPr>
          <w:spacing w:val="-6"/>
        </w:rPr>
        <w:t> </w:t>
      </w:r>
      <w:r>
        <w:rPr/>
        <w:t>Dovey</w:t>
      </w:r>
      <w:r>
        <w:rPr>
          <w:spacing w:val="-6"/>
        </w:rPr>
        <w:t> </w:t>
      </w:r>
      <w:r>
        <w:rPr/>
        <w:t>worked</w:t>
      </w:r>
      <w:r>
        <w:rPr>
          <w:spacing w:val="-6"/>
        </w:rPr>
        <w:t> </w:t>
      </w:r>
      <w:r>
        <w:rPr/>
        <w:t>in</w:t>
      </w:r>
      <w:r>
        <w:rPr>
          <w:spacing w:val="-6"/>
        </w:rPr>
        <w:t> </w:t>
      </w:r>
      <w:r>
        <w:rPr/>
        <w:t>the</w:t>
      </w:r>
      <w:r>
        <w:rPr>
          <w:spacing w:val="-6"/>
        </w:rPr>
        <w:t> </w:t>
      </w:r>
      <w:r>
        <w:rPr/>
        <w:t>New</w:t>
      </w:r>
      <w:r>
        <w:rPr>
          <w:spacing w:val="-9"/>
        </w:rPr>
        <w:t> </w:t>
      </w:r>
      <w:r>
        <w:rPr/>
        <w:t>South</w:t>
      </w:r>
      <w:r>
        <w:rPr>
          <w:spacing w:val="-6"/>
        </w:rPr>
        <w:t> </w:t>
      </w:r>
      <w:r>
        <w:rPr/>
        <w:t>Wales</w:t>
      </w:r>
      <w:r>
        <w:rPr>
          <w:spacing w:val="-6"/>
        </w:rPr>
        <w:t> </w:t>
      </w:r>
      <w:r>
        <w:rPr/>
        <w:t>public</w:t>
      </w:r>
      <w:r>
        <w:rPr>
          <w:spacing w:val="-6"/>
        </w:rPr>
        <w:t> </w:t>
      </w:r>
      <w:r>
        <w:rPr/>
        <w:t>service</w:t>
      </w:r>
      <w:r>
        <w:rPr>
          <w:spacing w:val="-6"/>
        </w:rPr>
        <w:t> </w:t>
      </w:r>
      <w:r>
        <w:rPr/>
        <w:t>in</w:t>
      </w:r>
      <w:r>
        <w:rPr>
          <w:spacing w:val="-6"/>
        </w:rPr>
        <w:t> </w:t>
      </w:r>
      <w:r>
        <w:rPr/>
        <w:t>public</w:t>
      </w:r>
      <w:r>
        <w:rPr>
          <w:spacing w:val="-1"/>
          <w:w w:val="99"/>
        </w:rPr>
        <w:t> </w:t>
      </w:r>
      <w:r>
        <w:rPr/>
        <w:t>policy formulation and administration. Her roles include an early period as a probation and parole officer with the NSW Corrections system and later as a member of the parole Board of NSW. In the interim she served in a variety of positions at Sydney Water. Catherine graduated from the University of New South Wales as a Bachelor of Arts and with a Diploma of Education from the then Sydney Teachers’ College. Catherine has always reflected a spirited engagement with community and education issues which included serving a decade</w:t>
      </w:r>
      <w:r>
        <w:rPr>
          <w:spacing w:val="-6"/>
        </w:rPr>
        <w:t> </w:t>
      </w:r>
      <w:r>
        <w:rPr/>
        <w:t>as</w:t>
      </w:r>
      <w:r>
        <w:rPr>
          <w:spacing w:val="-6"/>
        </w:rPr>
        <w:t> </w:t>
      </w:r>
      <w:r>
        <w:rPr/>
        <w:t>a</w:t>
      </w:r>
      <w:r>
        <w:rPr>
          <w:spacing w:val="-6"/>
        </w:rPr>
        <w:t> </w:t>
      </w:r>
      <w:r>
        <w:rPr/>
        <w:t>Board</w:t>
      </w:r>
      <w:r>
        <w:rPr>
          <w:spacing w:val="-6"/>
        </w:rPr>
        <w:t> </w:t>
      </w:r>
      <w:r>
        <w:rPr/>
        <w:t>member</w:t>
      </w:r>
      <w:r>
        <w:rPr>
          <w:spacing w:val="-6"/>
        </w:rPr>
        <w:t> </w:t>
      </w:r>
      <w:r>
        <w:rPr/>
        <w:t>of</w:t>
      </w:r>
      <w:r>
        <w:rPr>
          <w:spacing w:val="-6"/>
        </w:rPr>
        <w:t> </w:t>
      </w:r>
      <w:r>
        <w:rPr/>
        <w:t>the</w:t>
      </w:r>
      <w:r>
        <w:rPr>
          <w:spacing w:val="-6"/>
        </w:rPr>
        <w:t> </w:t>
      </w:r>
      <w:r>
        <w:rPr/>
        <w:t>International</w:t>
      </w:r>
      <w:r>
        <w:rPr>
          <w:spacing w:val="-6"/>
        </w:rPr>
        <w:t> </w:t>
      </w:r>
      <w:r>
        <w:rPr/>
        <w:t>Grammar</w:t>
      </w:r>
      <w:r>
        <w:rPr>
          <w:spacing w:val="-6"/>
        </w:rPr>
        <w:t> </w:t>
      </w:r>
      <w:r>
        <w:rPr/>
        <w:t>School.</w:t>
      </w:r>
    </w:p>
    <w:p>
      <w:pPr>
        <w:pStyle w:val="BodyText"/>
        <w:tabs>
          <w:tab w:pos="5081" w:val="left" w:leader="none"/>
        </w:tabs>
        <w:spacing w:before="140"/>
        <w:ind w:left="1824"/>
      </w:pPr>
      <w:r>
        <w:rPr/>
        <w:t>Mr</w:t>
      </w:r>
      <w:r>
        <w:rPr>
          <w:spacing w:val="-4"/>
        </w:rPr>
        <w:t> </w:t>
      </w:r>
      <w:r>
        <w:rPr/>
        <w:t>Cameron</w:t>
      </w:r>
      <w:r>
        <w:rPr>
          <w:spacing w:val="-4"/>
        </w:rPr>
        <w:t> </w:t>
      </w:r>
      <w:r>
        <w:rPr/>
        <w:t>Clyne</w:t>
        <w:tab/>
        <w:t>BA (Sydney).</w:t>
      </w:r>
      <w:r>
        <w:rPr>
          <w:spacing w:val="26"/>
        </w:rPr>
        <w:t> </w:t>
      </w:r>
      <w:r>
        <w:rPr/>
        <w:t>Non-Executive.</w:t>
      </w:r>
    </w:p>
    <w:p>
      <w:pPr>
        <w:pStyle w:val="BodyText"/>
        <w:tabs>
          <w:tab w:pos="5081" w:val="left" w:leader="none"/>
        </w:tabs>
        <w:spacing w:before="83"/>
        <w:ind w:left="5082" w:right="1488" w:hanging="3258"/>
      </w:pPr>
      <w:r>
        <w:rPr/>
        <w:t>Experience</w:t>
        <w:tab/>
        <w:t>Cameron</w:t>
      </w:r>
      <w:r>
        <w:rPr>
          <w:spacing w:val="-7"/>
        </w:rPr>
        <w:t> </w:t>
      </w:r>
      <w:r>
        <w:rPr/>
        <w:t>Clyne</w:t>
      </w:r>
      <w:r>
        <w:rPr>
          <w:spacing w:val="-7"/>
        </w:rPr>
        <w:t> </w:t>
      </w:r>
      <w:r>
        <w:rPr/>
        <w:t>is</w:t>
      </w:r>
      <w:r>
        <w:rPr>
          <w:spacing w:val="-7"/>
        </w:rPr>
        <w:t> </w:t>
      </w:r>
      <w:r>
        <w:rPr/>
        <w:t>currently</w:t>
      </w:r>
      <w:r>
        <w:rPr>
          <w:spacing w:val="-7"/>
        </w:rPr>
        <w:t> </w:t>
      </w:r>
      <w:r>
        <w:rPr/>
        <w:t>Chairman</w:t>
      </w:r>
      <w:r>
        <w:rPr>
          <w:spacing w:val="-7"/>
        </w:rPr>
        <w:t> </w:t>
      </w:r>
      <w:r>
        <w:rPr/>
        <w:t>of</w:t>
      </w:r>
      <w:r>
        <w:rPr>
          <w:spacing w:val="-7"/>
        </w:rPr>
        <w:t> </w:t>
      </w:r>
      <w:r>
        <w:rPr/>
        <w:t>Camel</w:t>
      </w:r>
      <w:r>
        <w:rPr>
          <w:spacing w:val="-7"/>
        </w:rPr>
        <w:t> </w:t>
      </w:r>
      <w:r>
        <w:rPr/>
        <w:t>Partners,</w:t>
      </w:r>
      <w:r>
        <w:rPr>
          <w:spacing w:val="-7"/>
        </w:rPr>
        <w:t> </w:t>
      </w:r>
      <w:r>
        <w:rPr/>
        <w:t>a</w:t>
      </w:r>
      <w:r>
        <w:rPr>
          <w:spacing w:val="-7"/>
        </w:rPr>
        <w:t> </w:t>
      </w:r>
      <w:r>
        <w:rPr/>
        <w:t>private</w:t>
      </w:r>
      <w:r>
        <w:rPr>
          <w:spacing w:val="-7"/>
        </w:rPr>
        <w:t> </w:t>
      </w:r>
      <w:r>
        <w:rPr/>
        <w:t>advisory</w:t>
      </w:r>
      <w:r>
        <w:rPr>
          <w:spacing w:val="-1"/>
          <w:w w:val="99"/>
        </w:rPr>
        <w:t> </w:t>
      </w:r>
      <w:r>
        <w:rPr/>
        <w:t>firm and the Camel Foundation. He is Chairman of the Australian Rugby Union; a director of SANZAAR Pty Ltd; the Western Sydney University Foundation; Camp Quality; a Patron of the Western Sydney Leadership Dialogue, and an Adjunct Professor at the WSU Business School. Cameron was Group Chief Executive Officer of National Australia Bank (NAB) from January 2009 until August 2014. He was also Chairman of Clydesdale Bank in the United Kingdom and a Director of the Bank of New Zealand. Prior to NAB Cameron was a Partner at PriceWaterhouseCoopers (PwC). He worked in their Sydney, Melbourne, San Francisco and New York offices. In 2008 he was</w:t>
      </w:r>
      <w:r>
        <w:rPr>
          <w:spacing w:val="-6"/>
        </w:rPr>
        <w:t> </w:t>
      </w:r>
      <w:r>
        <w:rPr/>
        <w:t>named</w:t>
      </w:r>
      <w:r>
        <w:rPr>
          <w:spacing w:val="-6"/>
        </w:rPr>
        <w:t> </w:t>
      </w:r>
      <w:r>
        <w:rPr/>
        <w:t>a</w:t>
      </w:r>
      <w:r>
        <w:rPr>
          <w:spacing w:val="-6"/>
        </w:rPr>
        <w:t> </w:t>
      </w:r>
      <w:r>
        <w:rPr/>
        <w:t>Young</w:t>
      </w:r>
      <w:r>
        <w:rPr>
          <w:spacing w:val="-6"/>
        </w:rPr>
        <w:t> </w:t>
      </w:r>
      <w:r>
        <w:rPr/>
        <w:t>Global</w:t>
      </w:r>
      <w:r>
        <w:rPr>
          <w:spacing w:val="-6"/>
        </w:rPr>
        <w:t> </w:t>
      </w:r>
      <w:r>
        <w:rPr/>
        <w:t>Leader</w:t>
      </w:r>
      <w:r>
        <w:rPr>
          <w:spacing w:val="-6"/>
        </w:rPr>
        <w:t> </w:t>
      </w:r>
      <w:r>
        <w:rPr/>
        <w:t>by</w:t>
      </w:r>
      <w:r>
        <w:rPr>
          <w:spacing w:val="-6"/>
        </w:rPr>
        <w:t> </w:t>
      </w:r>
      <w:r>
        <w:rPr/>
        <w:t>the</w:t>
      </w:r>
      <w:r>
        <w:rPr>
          <w:spacing w:val="-6"/>
        </w:rPr>
        <w:t> </w:t>
      </w:r>
      <w:r>
        <w:rPr/>
        <w:t>World</w:t>
      </w:r>
      <w:r>
        <w:rPr>
          <w:spacing w:val="-6"/>
        </w:rPr>
        <w:t> </w:t>
      </w:r>
      <w:r>
        <w:rPr/>
        <w:t>Economic</w:t>
      </w:r>
      <w:r>
        <w:rPr>
          <w:spacing w:val="-6"/>
        </w:rPr>
        <w:t> </w:t>
      </w:r>
      <w:r>
        <w:rPr/>
        <w:t>Forum.</w:t>
      </w:r>
    </w:p>
    <w:p>
      <w:pPr>
        <w:pStyle w:val="BodyText"/>
        <w:tabs>
          <w:tab w:pos="5081" w:val="left" w:leader="none"/>
        </w:tabs>
        <w:spacing w:before="140"/>
        <w:ind w:left="1824"/>
      </w:pPr>
      <w:r>
        <w:rPr/>
        <w:t>Mr</w:t>
      </w:r>
      <w:r>
        <w:rPr>
          <w:spacing w:val="-2"/>
        </w:rPr>
        <w:t> </w:t>
      </w:r>
      <w:r>
        <w:rPr/>
        <w:t>Geoffrey</w:t>
      </w:r>
      <w:r>
        <w:rPr>
          <w:spacing w:val="-5"/>
        </w:rPr>
        <w:t> </w:t>
      </w:r>
      <w:r>
        <w:rPr/>
        <w:t>Roberson</w:t>
        <w:tab/>
        <w:t>HonDLitt (WSU).</w:t>
      </w:r>
      <w:r>
        <w:rPr>
          <w:spacing w:val="21"/>
        </w:rPr>
        <w:t> </w:t>
      </w:r>
      <w:r>
        <w:rPr/>
        <w:t>Non-Executive.</w:t>
      </w:r>
    </w:p>
    <w:p>
      <w:pPr>
        <w:pStyle w:val="BodyText"/>
        <w:tabs>
          <w:tab w:pos="5081" w:val="left" w:leader="none"/>
        </w:tabs>
        <w:spacing w:before="83"/>
        <w:ind w:left="5082" w:right="1562" w:hanging="3258"/>
      </w:pPr>
      <w:r>
        <w:rPr/>
        <w:t>Experience</w:t>
        <w:tab/>
        <w:t>Serving</w:t>
      </w:r>
      <w:r>
        <w:rPr>
          <w:spacing w:val="-6"/>
        </w:rPr>
        <w:t> </w:t>
      </w:r>
      <w:r>
        <w:rPr/>
        <w:t>as</w:t>
      </w:r>
      <w:r>
        <w:rPr>
          <w:spacing w:val="-6"/>
        </w:rPr>
        <w:t> </w:t>
      </w:r>
      <w:r>
        <w:rPr/>
        <w:t>Director</w:t>
      </w:r>
      <w:r>
        <w:rPr>
          <w:spacing w:val="-6"/>
        </w:rPr>
        <w:t> </w:t>
      </w:r>
      <w:r>
        <w:rPr/>
        <w:t>from</w:t>
      </w:r>
      <w:r>
        <w:rPr>
          <w:spacing w:val="-6"/>
        </w:rPr>
        <w:t> </w:t>
      </w:r>
      <w:r>
        <w:rPr/>
        <w:t>26</w:t>
      </w:r>
      <w:r>
        <w:rPr>
          <w:spacing w:val="-6"/>
        </w:rPr>
        <w:t> </w:t>
      </w:r>
      <w:r>
        <w:rPr/>
        <w:t>April</w:t>
      </w:r>
      <w:r>
        <w:rPr>
          <w:spacing w:val="-6"/>
        </w:rPr>
        <w:t> </w:t>
      </w:r>
      <w:r>
        <w:rPr/>
        <w:t>2002</w:t>
      </w:r>
      <w:r>
        <w:rPr>
          <w:spacing w:val="-6"/>
        </w:rPr>
        <w:t> </w:t>
      </w:r>
      <w:r>
        <w:rPr/>
        <w:t>until</w:t>
      </w:r>
      <w:r>
        <w:rPr>
          <w:spacing w:val="-6"/>
        </w:rPr>
        <w:t> </w:t>
      </w:r>
      <w:r>
        <w:rPr/>
        <w:t>25</w:t>
      </w:r>
      <w:r>
        <w:rPr>
          <w:spacing w:val="-6"/>
        </w:rPr>
        <w:t> </w:t>
      </w:r>
      <w:r>
        <w:rPr/>
        <w:t>November</w:t>
      </w:r>
      <w:r>
        <w:rPr>
          <w:spacing w:val="-6"/>
        </w:rPr>
        <w:t> </w:t>
      </w:r>
      <w:r>
        <w:rPr/>
        <w:t>2016.</w:t>
      </w:r>
      <w:r>
        <w:rPr>
          <w:spacing w:val="-6"/>
        </w:rPr>
        <w:t> </w:t>
      </w:r>
      <w:r>
        <w:rPr/>
        <w:t>Mr</w:t>
      </w:r>
      <w:r>
        <w:rPr>
          <w:spacing w:val="-6"/>
        </w:rPr>
        <w:t> </w:t>
      </w:r>
      <w:r>
        <w:rPr/>
        <w:t>Geoffrey</w:t>
      </w:r>
      <w:r>
        <w:rPr>
          <w:spacing w:val="-1"/>
        </w:rPr>
        <w:t> </w:t>
      </w:r>
      <w:r>
        <w:rPr/>
        <w:t>Roberson</w:t>
      </w:r>
      <w:r>
        <w:rPr>
          <w:spacing w:val="-7"/>
        </w:rPr>
        <w:t> </w:t>
      </w:r>
      <w:r>
        <w:rPr/>
        <w:t>is</w:t>
      </w:r>
      <w:r>
        <w:rPr>
          <w:spacing w:val="-7"/>
        </w:rPr>
        <w:t> </w:t>
      </w:r>
      <w:r>
        <w:rPr/>
        <w:t>a</w:t>
      </w:r>
      <w:r>
        <w:rPr>
          <w:spacing w:val="-7"/>
        </w:rPr>
        <w:t> </w:t>
      </w:r>
      <w:r>
        <w:rPr/>
        <w:t>solicitor,</w:t>
      </w:r>
      <w:r>
        <w:rPr>
          <w:spacing w:val="-7"/>
        </w:rPr>
        <w:t> </w:t>
      </w:r>
      <w:r>
        <w:rPr/>
        <w:t>an</w:t>
      </w:r>
      <w:r>
        <w:rPr>
          <w:spacing w:val="-7"/>
        </w:rPr>
        <w:t> </w:t>
      </w:r>
      <w:r>
        <w:rPr/>
        <w:t>Accredited</w:t>
      </w:r>
      <w:r>
        <w:rPr>
          <w:spacing w:val="-7"/>
        </w:rPr>
        <w:t> </w:t>
      </w:r>
      <w:r>
        <w:rPr/>
        <w:t>Specialist</w:t>
      </w:r>
      <w:r>
        <w:rPr>
          <w:spacing w:val="-7"/>
        </w:rPr>
        <w:t> </w:t>
      </w:r>
      <w:r>
        <w:rPr/>
        <w:t>in</w:t>
      </w:r>
      <w:r>
        <w:rPr>
          <w:spacing w:val="-7"/>
        </w:rPr>
        <w:t> </w:t>
      </w:r>
      <w:r>
        <w:rPr/>
        <w:t>Commercial</w:t>
      </w:r>
      <w:r>
        <w:rPr>
          <w:spacing w:val="-7"/>
        </w:rPr>
        <w:t> </w:t>
      </w:r>
      <w:r>
        <w:rPr/>
        <w:t>Litigation</w:t>
      </w:r>
      <w:r>
        <w:rPr>
          <w:spacing w:val="-7"/>
        </w:rPr>
        <w:t> </w:t>
      </w:r>
      <w:r>
        <w:rPr/>
        <w:t>and he is a former President of the Law Society of New South Wales and former Deputy Chancellor of Western Sydney University. Currently the Chairman of Champion Legal Pty Limited, a Sydney-based law firm he also chairs and serves on a number of company</w:t>
      </w:r>
      <w:r>
        <w:rPr>
          <w:spacing w:val="-32"/>
        </w:rPr>
        <w:t> </w:t>
      </w:r>
      <w:r>
        <w:rPr/>
        <w:t>Boards.</w:t>
      </w:r>
    </w:p>
    <w:p>
      <w:pPr>
        <w:spacing w:after="0"/>
        <w:sectPr>
          <w:pgSz w:w="12750" w:h="17680"/>
          <w:pgMar w:header="0" w:footer="867" w:top="1880" w:bottom="1120" w:left="0" w:right="0"/>
        </w:sectPr>
      </w:pPr>
    </w:p>
    <w:p>
      <w:pPr>
        <w:pStyle w:val="BodyText"/>
        <w:spacing w:before="2"/>
        <w:rPr>
          <w:sz w:val="24"/>
        </w:rPr>
      </w:pPr>
    </w:p>
    <w:p>
      <w:pPr>
        <w:pStyle w:val="Heading4"/>
      </w:pPr>
      <w:r>
        <w:rPr/>
        <w:t>Director's report</w:t>
      </w:r>
    </w:p>
    <w:p>
      <w:pPr>
        <w:pStyle w:val="Heading7"/>
        <w:ind w:left="1822" w:hanging="395"/>
      </w:pPr>
      <w:r>
        <w:rPr/>
        <w:t>For the year ended 31 December 2016</w:t>
      </w:r>
    </w:p>
    <w:p>
      <w:pPr>
        <w:pStyle w:val="BodyText"/>
        <w:spacing w:before="11"/>
        <w:rPr>
          <w:b/>
          <w:sz w:val="24"/>
        </w:rPr>
      </w:pPr>
    </w:p>
    <w:p>
      <w:pPr>
        <w:pStyle w:val="Heading8"/>
        <w:ind w:left="1822"/>
      </w:pPr>
      <w:r>
        <w:rPr/>
        <w:t>Information on directors (continued)</w:t>
      </w:r>
    </w:p>
    <w:p>
      <w:pPr>
        <w:pStyle w:val="BodyText"/>
        <w:tabs>
          <w:tab w:pos="5081" w:val="left" w:leader="none"/>
        </w:tabs>
        <w:spacing w:line="290" w:lineRule="atLeast" w:before="56"/>
        <w:ind w:left="1824" w:right="1862"/>
      </w:pPr>
      <w:r>
        <w:rPr/>
        <w:t>Dr Kerry</w:t>
      </w:r>
      <w:r>
        <w:rPr>
          <w:spacing w:val="-7"/>
        </w:rPr>
        <w:t> </w:t>
      </w:r>
      <w:r>
        <w:rPr/>
        <w:t>Schott</w:t>
      </w:r>
      <w:r>
        <w:rPr>
          <w:spacing w:val="-4"/>
        </w:rPr>
        <w:t> </w:t>
      </w:r>
      <w:r>
        <w:rPr/>
        <w:t>AO</w:t>
        <w:tab/>
        <w:t>BA</w:t>
      </w:r>
      <w:r>
        <w:rPr>
          <w:spacing w:val="-7"/>
        </w:rPr>
        <w:t> </w:t>
      </w:r>
      <w:r>
        <w:rPr/>
        <w:t>(Hons)</w:t>
      </w:r>
      <w:r>
        <w:rPr>
          <w:spacing w:val="-7"/>
        </w:rPr>
        <w:t> </w:t>
      </w:r>
      <w:r>
        <w:rPr/>
        <w:t>(UNE),</w:t>
      </w:r>
      <w:r>
        <w:rPr>
          <w:spacing w:val="-7"/>
        </w:rPr>
        <w:t> </w:t>
      </w:r>
      <w:r>
        <w:rPr/>
        <w:t>MA</w:t>
      </w:r>
      <w:r>
        <w:rPr>
          <w:spacing w:val="-7"/>
        </w:rPr>
        <w:t> </w:t>
      </w:r>
      <w:r>
        <w:rPr/>
        <w:t>(British</w:t>
      </w:r>
      <w:r>
        <w:rPr>
          <w:spacing w:val="-7"/>
        </w:rPr>
        <w:t> </w:t>
      </w:r>
      <w:r>
        <w:rPr/>
        <w:t>Columbia),</w:t>
      </w:r>
      <w:r>
        <w:rPr>
          <w:spacing w:val="-7"/>
        </w:rPr>
        <w:t> </w:t>
      </w:r>
      <w:r>
        <w:rPr/>
        <w:t>DPhil</w:t>
      </w:r>
      <w:r>
        <w:rPr>
          <w:spacing w:val="-7"/>
        </w:rPr>
        <w:t> </w:t>
      </w:r>
      <w:r>
        <w:rPr/>
        <w:t>(Oxon).</w:t>
      </w:r>
      <w:r>
        <w:rPr>
          <w:spacing w:val="37"/>
        </w:rPr>
        <w:t> </w:t>
      </w:r>
      <w:r>
        <w:rPr/>
        <w:t>Non-Executive.</w:t>
      </w:r>
      <w:r>
        <w:rPr>
          <w:spacing w:val="-1"/>
          <w:w w:val="99"/>
        </w:rPr>
        <w:t> </w:t>
      </w:r>
      <w:r>
        <w:rPr/>
        <w:t>Experience</w:t>
        <w:tab/>
        <w:t>Serving</w:t>
      </w:r>
      <w:r>
        <w:rPr>
          <w:spacing w:val="-5"/>
        </w:rPr>
        <w:t> </w:t>
      </w:r>
      <w:r>
        <w:rPr/>
        <w:t>as</w:t>
      </w:r>
      <w:r>
        <w:rPr>
          <w:spacing w:val="-5"/>
        </w:rPr>
        <w:t> </w:t>
      </w:r>
      <w:r>
        <w:rPr/>
        <w:t>Director</w:t>
      </w:r>
      <w:r>
        <w:rPr>
          <w:spacing w:val="-5"/>
        </w:rPr>
        <w:t> </w:t>
      </w:r>
      <w:r>
        <w:rPr/>
        <w:t>from</w:t>
      </w:r>
      <w:r>
        <w:rPr>
          <w:spacing w:val="-5"/>
        </w:rPr>
        <w:t> </w:t>
      </w:r>
      <w:r>
        <w:rPr/>
        <w:t>11</w:t>
      </w:r>
      <w:r>
        <w:rPr>
          <w:spacing w:val="-5"/>
        </w:rPr>
        <w:t> </w:t>
      </w:r>
      <w:r>
        <w:rPr/>
        <w:t>September</w:t>
      </w:r>
      <w:r>
        <w:rPr>
          <w:spacing w:val="-5"/>
        </w:rPr>
        <w:t> </w:t>
      </w:r>
      <w:r>
        <w:rPr/>
        <w:t>2009</w:t>
      </w:r>
      <w:r>
        <w:rPr>
          <w:spacing w:val="-5"/>
        </w:rPr>
        <w:t> </w:t>
      </w:r>
      <w:r>
        <w:rPr/>
        <w:t>until</w:t>
      </w:r>
      <w:r>
        <w:rPr>
          <w:spacing w:val="-5"/>
        </w:rPr>
        <w:t> </w:t>
      </w:r>
      <w:r>
        <w:rPr/>
        <w:t>20</w:t>
      </w:r>
      <w:r>
        <w:rPr>
          <w:spacing w:val="-5"/>
        </w:rPr>
        <w:t> </w:t>
      </w:r>
      <w:r>
        <w:rPr/>
        <w:t>May</w:t>
      </w:r>
      <w:r>
        <w:rPr>
          <w:spacing w:val="-5"/>
        </w:rPr>
        <w:t> </w:t>
      </w:r>
      <w:r>
        <w:rPr/>
        <w:t>2016.</w:t>
      </w:r>
      <w:r>
        <w:rPr>
          <w:spacing w:val="-5"/>
        </w:rPr>
        <w:t> </w:t>
      </w:r>
      <w:r>
        <w:rPr/>
        <w:t>Dr</w:t>
      </w:r>
      <w:r>
        <w:rPr>
          <w:spacing w:val="-5"/>
        </w:rPr>
        <w:t> </w:t>
      </w:r>
      <w:r>
        <w:rPr/>
        <w:t>Kerry</w:t>
      </w:r>
    </w:p>
    <w:p>
      <w:pPr>
        <w:pStyle w:val="BodyText"/>
        <w:ind w:left="5082" w:right="1508"/>
      </w:pPr>
      <w:r>
        <w:rPr/>
        <w:drawing>
          <wp:anchor distT="0" distB="0" distL="0" distR="0" allowOverlap="1" layoutInCell="1" locked="0" behindDoc="0" simplePos="0" relativeHeight="13888">
            <wp:simplePos x="0" y="0"/>
            <wp:positionH relativeFrom="page">
              <wp:posOffset>-1587</wp:posOffset>
            </wp:positionH>
            <wp:positionV relativeFrom="paragraph">
              <wp:posOffset>2993820</wp:posOffset>
            </wp:positionV>
            <wp:extent cx="135159" cy="154019"/>
            <wp:effectExtent l="0" t="0" r="0" b="0"/>
            <wp:wrapNone/>
            <wp:docPr id="939" name="image13.png" descr=""/>
            <wp:cNvGraphicFramePr>
              <a:graphicFrameLocks noChangeAspect="1"/>
            </wp:cNvGraphicFramePr>
            <a:graphic>
              <a:graphicData uri="http://schemas.openxmlformats.org/drawingml/2006/picture">
                <pic:pic>
                  <pic:nvPicPr>
                    <pic:cNvPr id="940" name="image13.png"/>
                    <pic:cNvPicPr/>
                  </pic:nvPicPr>
                  <pic:blipFill>
                    <a:blip r:embed="rId18" cstate="print"/>
                    <a:stretch>
                      <a:fillRect/>
                    </a:stretch>
                  </pic:blipFill>
                  <pic:spPr>
                    <a:xfrm>
                      <a:off x="0" y="0"/>
                      <a:ext cx="135159" cy="154019"/>
                    </a:xfrm>
                    <a:prstGeom prst="rect">
                      <a:avLst/>
                    </a:prstGeom>
                  </pic:spPr>
                </pic:pic>
              </a:graphicData>
            </a:graphic>
          </wp:anchor>
        </w:drawing>
      </w:r>
      <w:r>
        <w:rPr/>
        <w:drawing>
          <wp:anchor distT="0" distB="0" distL="0" distR="0" allowOverlap="1" layoutInCell="1" locked="0" behindDoc="0" simplePos="0" relativeHeight="13912">
            <wp:simplePos x="0" y="0"/>
            <wp:positionH relativeFrom="page">
              <wp:posOffset>7958429</wp:posOffset>
            </wp:positionH>
            <wp:positionV relativeFrom="paragraph">
              <wp:posOffset>2993820</wp:posOffset>
            </wp:positionV>
            <wp:extent cx="135953" cy="155575"/>
            <wp:effectExtent l="0" t="0" r="0" b="0"/>
            <wp:wrapNone/>
            <wp:docPr id="941" name="image15.png" descr=""/>
            <wp:cNvGraphicFramePr>
              <a:graphicFrameLocks noChangeAspect="1"/>
            </wp:cNvGraphicFramePr>
            <a:graphic>
              <a:graphicData uri="http://schemas.openxmlformats.org/drawingml/2006/picture">
                <pic:pic>
                  <pic:nvPicPr>
                    <pic:cNvPr id="942" name="image15.png"/>
                    <pic:cNvPicPr/>
                  </pic:nvPicPr>
                  <pic:blipFill>
                    <a:blip r:embed="rId20" cstate="print"/>
                    <a:stretch>
                      <a:fillRect/>
                    </a:stretch>
                  </pic:blipFill>
                  <pic:spPr>
                    <a:xfrm>
                      <a:off x="0" y="0"/>
                      <a:ext cx="135953" cy="155575"/>
                    </a:xfrm>
                    <a:prstGeom prst="rect">
                      <a:avLst/>
                    </a:prstGeom>
                  </pic:spPr>
                </pic:pic>
              </a:graphicData>
            </a:graphic>
          </wp:anchor>
        </w:drawing>
      </w:r>
      <w:r>
        <w:rPr/>
        <w:t>Schott</w:t>
      </w:r>
      <w:r>
        <w:rPr>
          <w:spacing w:val="-6"/>
        </w:rPr>
        <w:t> </w:t>
      </w:r>
      <w:r>
        <w:rPr/>
        <w:t>AO</w:t>
      </w:r>
      <w:r>
        <w:rPr>
          <w:spacing w:val="-6"/>
        </w:rPr>
        <w:t> </w:t>
      </w:r>
      <w:r>
        <w:rPr/>
        <w:t>is</w:t>
      </w:r>
      <w:r>
        <w:rPr>
          <w:spacing w:val="-6"/>
        </w:rPr>
        <w:t> </w:t>
      </w:r>
      <w:r>
        <w:rPr/>
        <w:t>Chairman</w:t>
      </w:r>
      <w:r>
        <w:rPr>
          <w:spacing w:val="-6"/>
        </w:rPr>
        <w:t> </w:t>
      </w:r>
      <w:r>
        <w:rPr/>
        <w:t>of</w:t>
      </w:r>
      <w:r>
        <w:rPr>
          <w:spacing w:val="-6"/>
        </w:rPr>
        <w:t> </w:t>
      </w:r>
      <w:r>
        <w:rPr/>
        <w:t>the</w:t>
      </w:r>
      <w:r>
        <w:rPr>
          <w:spacing w:val="-6"/>
        </w:rPr>
        <w:t> </w:t>
      </w:r>
      <w:r>
        <w:rPr/>
        <w:t>Moorebank</w:t>
      </w:r>
      <w:r>
        <w:rPr>
          <w:spacing w:val="-6"/>
        </w:rPr>
        <w:t> </w:t>
      </w:r>
      <w:r>
        <w:rPr/>
        <w:t>Intermodal</w:t>
      </w:r>
      <w:r>
        <w:rPr>
          <w:spacing w:val="-6"/>
        </w:rPr>
        <w:t> </w:t>
      </w:r>
      <w:r>
        <w:rPr/>
        <w:t>Company</w:t>
      </w:r>
      <w:r>
        <w:rPr>
          <w:spacing w:val="-6"/>
        </w:rPr>
        <w:t> </w:t>
      </w:r>
      <w:r>
        <w:rPr/>
        <w:t>Ltd,</w:t>
      </w:r>
      <w:r>
        <w:rPr>
          <w:spacing w:val="-6"/>
        </w:rPr>
        <w:t> </w:t>
      </w:r>
      <w:r>
        <w:rPr/>
        <w:t>a</w:t>
      </w:r>
      <w:r>
        <w:rPr>
          <w:spacing w:val="-6"/>
        </w:rPr>
        <w:t> </w:t>
      </w:r>
      <w:r>
        <w:rPr/>
        <w:t>Director of NBN Co, a Director of the TCorp Board in NSW, a member of the Infrastructure Australia Board, Patron and Board member of Infrastructure Partnerships Australia and a member of the Whitlam Institute Board. Dr Schott was the Project Director for the NSW Treasury managing the sales of the government owned electricity generating plants. She was previously the Project Director of the successful sale and lease of the Sydney desalination plant. She completed her role as CEO of the Commission of Audit for the NSW Government early in 2012. Previously she was Managing Director and CEO of Sydney Water from 2006 to 2011. Dr Schott spent 15 years as an investment banker, including as Managing Director of Deutsche Bank and Executive Vice President of Bankers Trust Australia. During this time she specialised in privatisation, restructuring, and infrastructure provision. Dr Schott holds a doctorate from Oxford University (Nuffield College), a Master of Arts from the University of British Columbia, Vancouver and a Bachelor of Arts</w:t>
      </w:r>
      <w:r>
        <w:rPr>
          <w:spacing w:val="-6"/>
        </w:rPr>
        <w:t> </w:t>
      </w:r>
      <w:r>
        <w:rPr/>
        <w:t>(first</w:t>
      </w:r>
      <w:r>
        <w:rPr>
          <w:spacing w:val="-6"/>
        </w:rPr>
        <w:t> </w:t>
      </w:r>
      <w:r>
        <w:rPr/>
        <w:t>class</w:t>
      </w:r>
      <w:r>
        <w:rPr>
          <w:spacing w:val="-6"/>
        </w:rPr>
        <w:t> </w:t>
      </w:r>
      <w:r>
        <w:rPr/>
        <w:t>Honours)</w:t>
      </w:r>
      <w:r>
        <w:rPr>
          <w:spacing w:val="-6"/>
        </w:rPr>
        <w:t> </w:t>
      </w:r>
      <w:r>
        <w:rPr/>
        <w:t>from</w:t>
      </w:r>
      <w:r>
        <w:rPr>
          <w:spacing w:val="-6"/>
        </w:rPr>
        <w:t> </w:t>
      </w:r>
      <w:r>
        <w:rPr/>
        <w:t>the</w:t>
      </w:r>
      <w:r>
        <w:rPr>
          <w:spacing w:val="-6"/>
        </w:rPr>
        <w:t> </w:t>
      </w:r>
      <w:r>
        <w:rPr/>
        <w:t>University</w:t>
      </w:r>
      <w:r>
        <w:rPr>
          <w:spacing w:val="-6"/>
        </w:rPr>
        <w:t> </w:t>
      </w:r>
      <w:r>
        <w:rPr/>
        <w:t>of</w:t>
      </w:r>
      <w:r>
        <w:rPr>
          <w:spacing w:val="-6"/>
        </w:rPr>
        <w:t> </w:t>
      </w:r>
      <w:r>
        <w:rPr/>
        <w:t>New</w:t>
      </w:r>
      <w:r>
        <w:rPr>
          <w:spacing w:val="-10"/>
        </w:rPr>
        <w:t> </w:t>
      </w:r>
      <w:r>
        <w:rPr/>
        <w:t>England.</w:t>
      </w:r>
    </w:p>
    <w:p>
      <w:pPr>
        <w:spacing w:after="0"/>
        <w:sectPr>
          <w:pgSz w:w="12750" w:h="17680"/>
          <w:pgMar w:header="0" w:footer="867" w:top="1880" w:bottom="1120" w:left="0" w:right="0"/>
        </w:sectPr>
      </w:pPr>
    </w:p>
    <w:p>
      <w:pPr>
        <w:pStyle w:val="BodyText"/>
        <w:spacing w:before="2"/>
        <w:rPr>
          <w:sz w:val="24"/>
        </w:rPr>
      </w:pPr>
    </w:p>
    <w:p>
      <w:pPr>
        <w:pStyle w:val="Heading4"/>
      </w:pPr>
      <w:r>
        <w:rPr/>
        <w:t>Director's report</w:t>
      </w:r>
    </w:p>
    <w:p>
      <w:pPr>
        <w:pStyle w:val="Heading7"/>
      </w:pPr>
      <w:r>
        <w:rPr/>
        <w:t>For the year ended 31 December 2016</w:t>
      </w:r>
    </w:p>
    <w:p>
      <w:pPr>
        <w:pStyle w:val="BodyText"/>
        <w:spacing w:before="8"/>
        <w:rPr>
          <w:b/>
          <w:sz w:val="26"/>
        </w:rPr>
      </w:pPr>
    </w:p>
    <w:p>
      <w:pPr>
        <w:pStyle w:val="Heading8"/>
        <w:ind w:left="1822"/>
      </w:pPr>
      <w:r>
        <w:rPr/>
        <w:t>Meetings of directors</w:t>
      </w:r>
    </w:p>
    <w:p>
      <w:pPr>
        <w:pStyle w:val="BodyText"/>
        <w:spacing w:before="4"/>
        <w:ind w:left="1824" w:right="1375"/>
      </w:pPr>
      <w:r>
        <w:rPr/>
        <w:t>During the financial year, 4 meetings of directors (including committees of directors) were held. Attendances by each director during the year were as follows:</w:t>
      </w:r>
    </w:p>
    <w:p>
      <w:pPr>
        <w:pStyle w:val="BodyText"/>
        <w:rPr>
          <w:sz w:val="20"/>
        </w:rPr>
      </w:pPr>
    </w:p>
    <w:p>
      <w:pPr>
        <w:pStyle w:val="BodyText"/>
        <w:spacing w:before="5"/>
        <w:rPr>
          <w:sz w:val="12"/>
        </w:rPr>
      </w:pPr>
    </w:p>
    <w:tbl>
      <w:tblPr>
        <w:tblW w:w="0" w:type="auto"/>
        <w:jc w:val="left"/>
        <w:tblInd w:w="182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830"/>
        <w:gridCol w:w="1139"/>
        <w:gridCol w:w="1134"/>
      </w:tblGrid>
      <w:tr>
        <w:trPr>
          <w:trHeight w:val="283" w:hRule="exact"/>
        </w:trPr>
        <w:tc>
          <w:tcPr>
            <w:tcW w:w="2830" w:type="dxa"/>
            <w:vMerge w:val="restart"/>
            <w:tcBorders>
              <w:right w:val="single" w:sz="0" w:space="0" w:color="000000"/>
            </w:tcBorders>
          </w:tcPr>
          <w:p>
            <w:pPr/>
          </w:p>
        </w:tc>
        <w:tc>
          <w:tcPr>
            <w:tcW w:w="2273" w:type="dxa"/>
            <w:gridSpan w:val="2"/>
            <w:tcBorders>
              <w:top w:val="single" w:sz="0" w:space="0" w:color="000000"/>
              <w:left w:val="single" w:sz="0" w:space="0" w:color="000000"/>
              <w:bottom w:val="single" w:sz="0" w:space="0" w:color="000000"/>
              <w:right w:val="single" w:sz="0" w:space="0" w:color="000000"/>
            </w:tcBorders>
          </w:tcPr>
          <w:p>
            <w:pPr>
              <w:pStyle w:val="TableParagraph"/>
              <w:spacing w:before="57"/>
              <w:ind w:left="421"/>
              <w:jc w:val="left"/>
              <w:rPr>
                <w:b/>
                <w:sz w:val="16"/>
              </w:rPr>
            </w:pPr>
            <w:r>
              <w:rPr>
                <w:b/>
                <w:sz w:val="16"/>
              </w:rPr>
              <w:t>Directors' Meetings</w:t>
            </w:r>
          </w:p>
        </w:tc>
      </w:tr>
      <w:tr>
        <w:trPr>
          <w:trHeight w:val="490" w:hRule="exact"/>
        </w:trPr>
        <w:tc>
          <w:tcPr>
            <w:tcW w:w="2830" w:type="dxa"/>
            <w:vMerge/>
            <w:tcBorders>
              <w:bottom w:val="single" w:sz="0" w:space="0" w:color="000000"/>
              <w:right w:val="single" w:sz="0" w:space="0" w:color="000000"/>
            </w:tcBorders>
          </w:tcPr>
          <w:p>
            <w:pPr/>
          </w:p>
        </w:tc>
        <w:tc>
          <w:tcPr>
            <w:tcW w:w="1139" w:type="dxa"/>
            <w:tcBorders>
              <w:top w:val="single" w:sz="0" w:space="0" w:color="000000"/>
              <w:left w:val="single" w:sz="0" w:space="0" w:color="000000"/>
              <w:bottom w:val="single" w:sz="0" w:space="0" w:color="000000"/>
              <w:right w:val="single" w:sz="0" w:space="0" w:color="000000"/>
            </w:tcBorders>
          </w:tcPr>
          <w:p>
            <w:pPr>
              <w:pStyle w:val="TableParagraph"/>
              <w:spacing w:line="307" w:lineRule="auto" w:before="76"/>
              <w:ind w:left="292" w:right="7" w:hanging="232"/>
              <w:jc w:val="left"/>
              <w:rPr>
                <w:b/>
                <w:sz w:val="14"/>
              </w:rPr>
            </w:pPr>
            <w:r>
              <w:rPr>
                <w:b/>
                <w:sz w:val="14"/>
              </w:rPr>
              <w:t>Number eligible to attend</w:t>
            </w:r>
          </w:p>
        </w:tc>
        <w:tc>
          <w:tcPr>
            <w:tcW w:w="1134" w:type="dxa"/>
            <w:tcBorders>
              <w:top w:val="single" w:sz="0" w:space="0" w:color="000000"/>
              <w:left w:val="single" w:sz="0" w:space="0" w:color="000000"/>
              <w:bottom w:val="single" w:sz="0" w:space="0" w:color="000000"/>
              <w:right w:val="single" w:sz="0" w:space="0" w:color="000000"/>
            </w:tcBorders>
          </w:tcPr>
          <w:p>
            <w:pPr>
              <w:pStyle w:val="TableParagraph"/>
              <w:spacing w:line="307" w:lineRule="auto" w:before="76"/>
              <w:ind w:left="300" w:right="229" w:firstLine="27"/>
              <w:jc w:val="left"/>
              <w:rPr>
                <w:b/>
                <w:sz w:val="14"/>
              </w:rPr>
            </w:pPr>
            <w:r>
              <w:rPr>
                <w:b/>
                <w:sz w:val="14"/>
              </w:rPr>
              <w:t>Number attended</w:t>
            </w:r>
          </w:p>
        </w:tc>
      </w:tr>
      <w:tr>
        <w:trPr>
          <w:trHeight w:val="256" w:hRule="exact"/>
        </w:trPr>
        <w:tc>
          <w:tcPr>
            <w:tcW w:w="2830" w:type="dxa"/>
            <w:tcBorders>
              <w:top w:val="single" w:sz="0" w:space="0" w:color="000000"/>
              <w:left w:val="single" w:sz="0" w:space="0" w:color="000000"/>
              <w:right w:val="single" w:sz="0" w:space="0" w:color="000000"/>
            </w:tcBorders>
          </w:tcPr>
          <w:p>
            <w:pPr>
              <w:pStyle w:val="TableParagraph"/>
              <w:spacing w:before="34"/>
              <w:ind w:left="68"/>
              <w:jc w:val="left"/>
              <w:rPr>
                <w:sz w:val="16"/>
              </w:rPr>
            </w:pPr>
            <w:r>
              <w:rPr>
                <w:sz w:val="16"/>
              </w:rPr>
              <w:t>The Hon. John Faulkner</w:t>
            </w:r>
          </w:p>
        </w:tc>
        <w:tc>
          <w:tcPr>
            <w:tcW w:w="1139" w:type="dxa"/>
            <w:tcBorders>
              <w:top w:val="single" w:sz="0" w:space="0" w:color="000000"/>
              <w:left w:val="single" w:sz="0" w:space="0" w:color="000000"/>
              <w:right w:val="single" w:sz="0" w:space="0" w:color="000000"/>
            </w:tcBorders>
          </w:tcPr>
          <w:p>
            <w:pPr>
              <w:pStyle w:val="TableParagraph"/>
              <w:spacing w:before="33"/>
              <w:ind w:right="448"/>
              <w:rPr>
                <w:sz w:val="16"/>
              </w:rPr>
            </w:pPr>
            <w:r>
              <w:rPr>
                <w:w w:val="99"/>
                <w:sz w:val="16"/>
              </w:rPr>
              <w:t>4</w:t>
            </w:r>
          </w:p>
        </w:tc>
        <w:tc>
          <w:tcPr>
            <w:tcW w:w="1134" w:type="dxa"/>
            <w:tcBorders>
              <w:top w:val="single" w:sz="0" w:space="0" w:color="000000"/>
              <w:left w:val="single" w:sz="0" w:space="0" w:color="000000"/>
              <w:right w:val="single" w:sz="0" w:space="0" w:color="000000"/>
            </w:tcBorders>
          </w:tcPr>
          <w:p>
            <w:pPr>
              <w:pStyle w:val="TableParagraph"/>
              <w:spacing w:before="33"/>
              <w:ind w:right="439"/>
              <w:rPr>
                <w:sz w:val="16"/>
              </w:rPr>
            </w:pPr>
            <w:r>
              <w:rPr>
                <w:w w:val="99"/>
                <w:sz w:val="16"/>
              </w:rPr>
              <w:t>4</w:t>
            </w:r>
          </w:p>
        </w:tc>
      </w:tr>
      <w:tr>
        <w:trPr>
          <w:trHeight w:val="241" w:hRule="exact"/>
        </w:trPr>
        <w:tc>
          <w:tcPr>
            <w:tcW w:w="2830" w:type="dxa"/>
            <w:tcBorders>
              <w:left w:val="single" w:sz="0" w:space="0" w:color="000000"/>
              <w:right w:val="single" w:sz="0" w:space="0" w:color="000000"/>
            </w:tcBorders>
          </w:tcPr>
          <w:p>
            <w:pPr>
              <w:pStyle w:val="TableParagraph"/>
              <w:spacing w:before="20"/>
              <w:ind w:left="68"/>
              <w:jc w:val="left"/>
              <w:rPr>
                <w:sz w:val="16"/>
              </w:rPr>
            </w:pPr>
            <w:r>
              <w:rPr>
                <w:sz w:val="16"/>
              </w:rPr>
              <w:t>Ms Patricia Amphlett OAM</w:t>
            </w:r>
          </w:p>
        </w:tc>
        <w:tc>
          <w:tcPr>
            <w:tcW w:w="1139" w:type="dxa"/>
            <w:tcBorders>
              <w:left w:val="single" w:sz="0" w:space="0" w:color="000000"/>
              <w:right w:val="single" w:sz="0" w:space="0" w:color="000000"/>
            </w:tcBorders>
          </w:tcPr>
          <w:p>
            <w:pPr>
              <w:pStyle w:val="TableParagraph"/>
              <w:spacing w:before="19"/>
              <w:ind w:right="448"/>
              <w:rPr>
                <w:sz w:val="16"/>
              </w:rPr>
            </w:pPr>
            <w:r>
              <w:rPr>
                <w:w w:val="99"/>
                <w:sz w:val="16"/>
              </w:rPr>
              <w:t>4</w:t>
            </w:r>
          </w:p>
        </w:tc>
        <w:tc>
          <w:tcPr>
            <w:tcW w:w="1134" w:type="dxa"/>
            <w:tcBorders>
              <w:left w:val="single" w:sz="0" w:space="0" w:color="000000"/>
              <w:right w:val="single" w:sz="0" w:space="0" w:color="000000"/>
            </w:tcBorders>
          </w:tcPr>
          <w:p>
            <w:pPr>
              <w:pStyle w:val="TableParagraph"/>
              <w:spacing w:before="19"/>
              <w:ind w:right="439"/>
              <w:rPr>
                <w:sz w:val="16"/>
              </w:rPr>
            </w:pPr>
            <w:r>
              <w:rPr>
                <w:w w:val="99"/>
                <w:sz w:val="16"/>
              </w:rPr>
              <w:t>3</w:t>
            </w:r>
          </w:p>
        </w:tc>
      </w:tr>
      <w:tr>
        <w:trPr>
          <w:trHeight w:val="241" w:hRule="exact"/>
        </w:trPr>
        <w:tc>
          <w:tcPr>
            <w:tcW w:w="2830" w:type="dxa"/>
            <w:tcBorders>
              <w:left w:val="single" w:sz="0" w:space="0" w:color="000000"/>
              <w:right w:val="single" w:sz="0" w:space="0" w:color="000000"/>
            </w:tcBorders>
          </w:tcPr>
          <w:p>
            <w:pPr>
              <w:pStyle w:val="TableParagraph"/>
              <w:spacing w:before="20"/>
              <w:ind w:left="68"/>
              <w:jc w:val="left"/>
              <w:rPr>
                <w:sz w:val="16"/>
              </w:rPr>
            </w:pPr>
            <w:r>
              <w:rPr>
                <w:sz w:val="16"/>
              </w:rPr>
              <w:t>Prof. Barney Glover</w:t>
            </w:r>
          </w:p>
        </w:tc>
        <w:tc>
          <w:tcPr>
            <w:tcW w:w="1139" w:type="dxa"/>
            <w:tcBorders>
              <w:left w:val="single" w:sz="0" w:space="0" w:color="000000"/>
              <w:right w:val="single" w:sz="0" w:space="0" w:color="000000"/>
            </w:tcBorders>
          </w:tcPr>
          <w:p>
            <w:pPr>
              <w:pStyle w:val="TableParagraph"/>
              <w:spacing w:before="19"/>
              <w:ind w:right="448"/>
              <w:rPr>
                <w:sz w:val="16"/>
              </w:rPr>
            </w:pPr>
            <w:r>
              <w:rPr>
                <w:w w:val="99"/>
                <w:sz w:val="16"/>
              </w:rPr>
              <w:t>4</w:t>
            </w:r>
          </w:p>
        </w:tc>
        <w:tc>
          <w:tcPr>
            <w:tcW w:w="1134" w:type="dxa"/>
            <w:tcBorders>
              <w:left w:val="single" w:sz="0" w:space="0" w:color="000000"/>
              <w:right w:val="single" w:sz="0" w:space="0" w:color="000000"/>
            </w:tcBorders>
          </w:tcPr>
          <w:p>
            <w:pPr>
              <w:pStyle w:val="TableParagraph"/>
              <w:spacing w:before="19"/>
              <w:ind w:right="439"/>
              <w:rPr>
                <w:sz w:val="16"/>
              </w:rPr>
            </w:pPr>
            <w:r>
              <w:rPr>
                <w:w w:val="99"/>
                <w:sz w:val="16"/>
              </w:rPr>
              <w:t>4</w:t>
            </w:r>
          </w:p>
        </w:tc>
      </w:tr>
      <w:tr>
        <w:trPr>
          <w:trHeight w:val="241" w:hRule="exact"/>
        </w:trPr>
        <w:tc>
          <w:tcPr>
            <w:tcW w:w="2830" w:type="dxa"/>
            <w:tcBorders>
              <w:left w:val="single" w:sz="0" w:space="0" w:color="000000"/>
              <w:right w:val="single" w:sz="0" w:space="0" w:color="000000"/>
            </w:tcBorders>
          </w:tcPr>
          <w:p>
            <w:pPr>
              <w:pStyle w:val="TableParagraph"/>
              <w:spacing w:before="20"/>
              <w:ind w:left="68"/>
              <w:jc w:val="left"/>
              <w:rPr>
                <w:sz w:val="16"/>
              </w:rPr>
            </w:pPr>
            <w:r>
              <w:rPr>
                <w:sz w:val="16"/>
              </w:rPr>
              <w:t>Ms Gabrielle Trainor</w:t>
            </w:r>
          </w:p>
        </w:tc>
        <w:tc>
          <w:tcPr>
            <w:tcW w:w="1139" w:type="dxa"/>
            <w:tcBorders>
              <w:left w:val="single" w:sz="0" w:space="0" w:color="000000"/>
              <w:right w:val="single" w:sz="0" w:space="0" w:color="000000"/>
            </w:tcBorders>
          </w:tcPr>
          <w:p>
            <w:pPr>
              <w:pStyle w:val="TableParagraph"/>
              <w:spacing w:before="19"/>
              <w:ind w:right="448"/>
              <w:rPr>
                <w:sz w:val="16"/>
              </w:rPr>
            </w:pPr>
            <w:r>
              <w:rPr>
                <w:w w:val="99"/>
                <w:sz w:val="16"/>
              </w:rPr>
              <w:t>4</w:t>
            </w:r>
          </w:p>
        </w:tc>
        <w:tc>
          <w:tcPr>
            <w:tcW w:w="1134" w:type="dxa"/>
            <w:tcBorders>
              <w:left w:val="single" w:sz="0" w:space="0" w:color="000000"/>
              <w:right w:val="single" w:sz="0" w:space="0" w:color="000000"/>
            </w:tcBorders>
          </w:tcPr>
          <w:p>
            <w:pPr>
              <w:pStyle w:val="TableParagraph"/>
              <w:spacing w:before="19"/>
              <w:ind w:right="439"/>
              <w:rPr>
                <w:sz w:val="16"/>
              </w:rPr>
            </w:pPr>
            <w:r>
              <w:rPr>
                <w:w w:val="99"/>
                <w:sz w:val="16"/>
              </w:rPr>
              <w:t>4</w:t>
            </w:r>
          </w:p>
        </w:tc>
      </w:tr>
      <w:tr>
        <w:trPr>
          <w:trHeight w:val="241" w:hRule="exact"/>
        </w:trPr>
        <w:tc>
          <w:tcPr>
            <w:tcW w:w="2830" w:type="dxa"/>
            <w:tcBorders>
              <w:left w:val="single" w:sz="0" w:space="0" w:color="000000"/>
              <w:right w:val="single" w:sz="0" w:space="0" w:color="000000"/>
            </w:tcBorders>
          </w:tcPr>
          <w:p>
            <w:pPr>
              <w:pStyle w:val="TableParagraph"/>
              <w:spacing w:before="20"/>
              <w:ind w:left="68"/>
              <w:jc w:val="left"/>
              <w:rPr>
                <w:sz w:val="16"/>
              </w:rPr>
            </w:pPr>
            <w:r>
              <w:rPr>
                <w:sz w:val="16"/>
              </w:rPr>
              <w:t>Mr John Wells</w:t>
            </w:r>
          </w:p>
        </w:tc>
        <w:tc>
          <w:tcPr>
            <w:tcW w:w="1139" w:type="dxa"/>
            <w:tcBorders>
              <w:left w:val="single" w:sz="0" w:space="0" w:color="000000"/>
              <w:right w:val="single" w:sz="0" w:space="0" w:color="000000"/>
            </w:tcBorders>
          </w:tcPr>
          <w:p>
            <w:pPr>
              <w:pStyle w:val="TableParagraph"/>
              <w:spacing w:before="19"/>
              <w:ind w:right="448"/>
              <w:rPr>
                <w:sz w:val="16"/>
              </w:rPr>
            </w:pPr>
            <w:r>
              <w:rPr>
                <w:w w:val="99"/>
                <w:sz w:val="16"/>
              </w:rPr>
              <w:t>4</w:t>
            </w:r>
          </w:p>
        </w:tc>
        <w:tc>
          <w:tcPr>
            <w:tcW w:w="1134" w:type="dxa"/>
            <w:tcBorders>
              <w:left w:val="single" w:sz="0" w:space="0" w:color="000000"/>
              <w:right w:val="single" w:sz="0" w:space="0" w:color="000000"/>
            </w:tcBorders>
          </w:tcPr>
          <w:p>
            <w:pPr>
              <w:pStyle w:val="TableParagraph"/>
              <w:spacing w:before="19"/>
              <w:ind w:right="439"/>
              <w:rPr>
                <w:sz w:val="16"/>
              </w:rPr>
            </w:pPr>
            <w:r>
              <w:rPr>
                <w:w w:val="99"/>
                <w:sz w:val="16"/>
              </w:rPr>
              <w:t>3</w:t>
            </w:r>
          </w:p>
        </w:tc>
      </w:tr>
      <w:tr>
        <w:trPr>
          <w:trHeight w:val="241" w:hRule="exact"/>
        </w:trPr>
        <w:tc>
          <w:tcPr>
            <w:tcW w:w="2830" w:type="dxa"/>
            <w:tcBorders>
              <w:left w:val="single" w:sz="0" w:space="0" w:color="000000"/>
              <w:right w:val="single" w:sz="0" w:space="0" w:color="000000"/>
            </w:tcBorders>
          </w:tcPr>
          <w:p>
            <w:pPr>
              <w:pStyle w:val="TableParagraph"/>
              <w:spacing w:before="20"/>
              <w:ind w:left="68"/>
              <w:jc w:val="left"/>
              <w:rPr>
                <w:sz w:val="16"/>
              </w:rPr>
            </w:pPr>
            <w:r>
              <w:rPr>
                <w:sz w:val="16"/>
              </w:rPr>
              <w:t>Mr Talal Yassine OAM</w:t>
            </w:r>
          </w:p>
        </w:tc>
        <w:tc>
          <w:tcPr>
            <w:tcW w:w="1139" w:type="dxa"/>
            <w:tcBorders>
              <w:left w:val="single" w:sz="0" w:space="0" w:color="000000"/>
              <w:right w:val="single" w:sz="0" w:space="0" w:color="000000"/>
            </w:tcBorders>
          </w:tcPr>
          <w:p>
            <w:pPr>
              <w:pStyle w:val="TableParagraph"/>
              <w:spacing w:before="19"/>
              <w:ind w:right="448"/>
              <w:rPr>
                <w:sz w:val="16"/>
              </w:rPr>
            </w:pPr>
            <w:r>
              <w:rPr>
                <w:w w:val="99"/>
                <w:sz w:val="16"/>
              </w:rPr>
              <w:t>4</w:t>
            </w:r>
          </w:p>
        </w:tc>
        <w:tc>
          <w:tcPr>
            <w:tcW w:w="1134" w:type="dxa"/>
            <w:tcBorders>
              <w:left w:val="single" w:sz="0" w:space="0" w:color="000000"/>
              <w:right w:val="single" w:sz="0" w:space="0" w:color="000000"/>
            </w:tcBorders>
          </w:tcPr>
          <w:p>
            <w:pPr>
              <w:pStyle w:val="TableParagraph"/>
              <w:spacing w:before="19"/>
              <w:ind w:right="439"/>
              <w:rPr>
                <w:sz w:val="16"/>
              </w:rPr>
            </w:pPr>
            <w:r>
              <w:rPr>
                <w:w w:val="99"/>
                <w:sz w:val="16"/>
              </w:rPr>
              <w:t>3</w:t>
            </w:r>
          </w:p>
        </w:tc>
      </w:tr>
      <w:tr>
        <w:trPr>
          <w:trHeight w:val="241" w:hRule="exact"/>
        </w:trPr>
        <w:tc>
          <w:tcPr>
            <w:tcW w:w="2830" w:type="dxa"/>
            <w:tcBorders>
              <w:left w:val="single" w:sz="0" w:space="0" w:color="000000"/>
              <w:right w:val="single" w:sz="0" w:space="0" w:color="000000"/>
            </w:tcBorders>
          </w:tcPr>
          <w:p>
            <w:pPr>
              <w:pStyle w:val="TableParagraph"/>
              <w:spacing w:before="20"/>
              <w:ind w:left="68"/>
              <w:jc w:val="left"/>
              <w:rPr>
                <w:sz w:val="16"/>
              </w:rPr>
            </w:pPr>
            <w:r>
              <w:rPr>
                <w:sz w:val="16"/>
              </w:rPr>
              <w:t>Ms Catherine Dovey</w:t>
            </w:r>
          </w:p>
        </w:tc>
        <w:tc>
          <w:tcPr>
            <w:tcW w:w="1139" w:type="dxa"/>
            <w:tcBorders>
              <w:left w:val="single" w:sz="0" w:space="0" w:color="000000"/>
              <w:right w:val="single" w:sz="0" w:space="0" w:color="000000"/>
            </w:tcBorders>
          </w:tcPr>
          <w:p>
            <w:pPr>
              <w:pStyle w:val="TableParagraph"/>
              <w:spacing w:before="19"/>
              <w:ind w:right="448"/>
              <w:rPr>
                <w:sz w:val="16"/>
              </w:rPr>
            </w:pPr>
            <w:r>
              <w:rPr>
                <w:w w:val="99"/>
                <w:sz w:val="16"/>
              </w:rPr>
              <w:t>4</w:t>
            </w:r>
          </w:p>
        </w:tc>
        <w:tc>
          <w:tcPr>
            <w:tcW w:w="1134" w:type="dxa"/>
            <w:tcBorders>
              <w:left w:val="single" w:sz="0" w:space="0" w:color="000000"/>
              <w:right w:val="single" w:sz="0" w:space="0" w:color="000000"/>
            </w:tcBorders>
          </w:tcPr>
          <w:p>
            <w:pPr>
              <w:pStyle w:val="TableParagraph"/>
              <w:spacing w:before="19"/>
              <w:ind w:right="439"/>
              <w:rPr>
                <w:sz w:val="16"/>
              </w:rPr>
            </w:pPr>
            <w:r>
              <w:rPr>
                <w:w w:val="99"/>
                <w:sz w:val="16"/>
              </w:rPr>
              <w:t>4</w:t>
            </w:r>
          </w:p>
        </w:tc>
      </w:tr>
      <w:tr>
        <w:trPr>
          <w:trHeight w:val="241" w:hRule="exact"/>
        </w:trPr>
        <w:tc>
          <w:tcPr>
            <w:tcW w:w="2830" w:type="dxa"/>
            <w:tcBorders>
              <w:left w:val="single" w:sz="0" w:space="0" w:color="000000"/>
              <w:right w:val="single" w:sz="0" w:space="0" w:color="000000"/>
            </w:tcBorders>
          </w:tcPr>
          <w:p>
            <w:pPr>
              <w:pStyle w:val="TableParagraph"/>
              <w:spacing w:before="20"/>
              <w:ind w:left="68"/>
              <w:jc w:val="left"/>
              <w:rPr>
                <w:sz w:val="16"/>
              </w:rPr>
            </w:pPr>
            <w:r>
              <w:rPr>
                <w:sz w:val="16"/>
              </w:rPr>
              <w:t>Mr Cameron Clyne</w:t>
            </w:r>
          </w:p>
        </w:tc>
        <w:tc>
          <w:tcPr>
            <w:tcW w:w="1139" w:type="dxa"/>
            <w:tcBorders>
              <w:left w:val="single" w:sz="0" w:space="0" w:color="000000"/>
              <w:right w:val="single" w:sz="0" w:space="0" w:color="000000"/>
            </w:tcBorders>
          </w:tcPr>
          <w:p>
            <w:pPr>
              <w:pStyle w:val="TableParagraph"/>
              <w:spacing w:before="19"/>
              <w:ind w:right="448"/>
              <w:rPr>
                <w:sz w:val="16"/>
              </w:rPr>
            </w:pPr>
            <w:r>
              <w:rPr>
                <w:w w:val="99"/>
                <w:sz w:val="16"/>
              </w:rPr>
              <w:t>1</w:t>
            </w:r>
          </w:p>
        </w:tc>
        <w:tc>
          <w:tcPr>
            <w:tcW w:w="1134" w:type="dxa"/>
            <w:tcBorders>
              <w:left w:val="single" w:sz="0" w:space="0" w:color="000000"/>
              <w:right w:val="single" w:sz="0" w:space="0" w:color="000000"/>
            </w:tcBorders>
          </w:tcPr>
          <w:p>
            <w:pPr>
              <w:pStyle w:val="TableParagraph"/>
              <w:spacing w:before="19"/>
              <w:ind w:right="439"/>
              <w:rPr>
                <w:sz w:val="16"/>
              </w:rPr>
            </w:pPr>
            <w:r>
              <w:rPr>
                <w:w w:val="99"/>
                <w:sz w:val="16"/>
              </w:rPr>
              <w:t>1</w:t>
            </w:r>
          </w:p>
        </w:tc>
      </w:tr>
      <w:tr>
        <w:trPr>
          <w:trHeight w:val="241" w:hRule="exact"/>
        </w:trPr>
        <w:tc>
          <w:tcPr>
            <w:tcW w:w="2830" w:type="dxa"/>
            <w:tcBorders>
              <w:left w:val="single" w:sz="0" w:space="0" w:color="000000"/>
              <w:right w:val="single" w:sz="0" w:space="0" w:color="000000"/>
            </w:tcBorders>
          </w:tcPr>
          <w:p>
            <w:pPr>
              <w:pStyle w:val="TableParagraph"/>
              <w:spacing w:before="20"/>
              <w:ind w:left="68"/>
              <w:jc w:val="left"/>
              <w:rPr>
                <w:sz w:val="16"/>
              </w:rPr>
            </w:pPr>
            <w:r>
              <w:rPr>
                <w:sz w:val="16"/>
              </w:rPr>
              <w:t>Mr Geoffrey Roberson</w:t>
            </w:r>
          </w:p>
        </w:tc>
        <w:tc>
          <w:tcPr>
            <w:tcW w:w="1139" w:type="dxa"/>
            <w:tcBorders>
              <w:left w:val="single" w:sz="0" w:space="0" w:color="000000"/>
              <w:right w:val="single" w:sz="0" w:space="0" w:color="000000"/>
            </w:tcBorders>
          </w:tcPr>
          <w:p>
            <w:pPr>
              <w:pStyle w:val="TableParagraph"/>
              <w:spacing w:before="19"/>
              <w:ind w:right="448"/>
              <w:rPr>
                <w:sz w:val="16"/>
              </w:rPr>
            </w:pPr>
            <w:r>
              <w:rPr>
                <w:w w:val="99"/>
                <w:sz w:val="16"/>
              </w:rPr>
              <w:t>4</w:t>
            </w:r>
          </w:p>
        </w:tc>
        <w:tc>
          <w:tcPr>
            <w:tcW w:w="1134" w:type="dxa"/>
            <w:tcBorders>
              <w:left w:val="single" w:sz="0" w:space="0" w:color="000000"/>
              <w:right w:val="single" w:sz="0" w:space="0" w:color="000000"/>
            </w:tcBorders>
          </w:tcPr>
          <w:p>
            <w:pPr>
              <w:pStyle w:val="TableParagraph"/>
              <w:spacing w:before="19"/>
              <w:ind w:right="439"/>
              <w:rPr>
                <w:sz w:val="16"/>
              </w:rPr>
            </w:pPr>
            <w:r>
              <w:rPr>
                <w:w w:val="99"/>
                <w:sz w:val="16"/>
              </w:rPr>
              <w:t>3</w:t>
            </w:r>
          </w:p>
        </w:tc>
      </w:tr>
      <w:tr>
        <w:trPr>
          <w:trHeight w:val="477" w:hRule="exact"/>
        </w:trPr>
        <w:tc>
          <w:tcPr>
            <w:tcW w:w="2830" w:type="dxa"/>
            <w:tcBorders>
              <w:left w:val="single" w:sz="0" w:space="0" w:color="000000"/>
              <w:bottom w:val="single" w:sz="0" w:space="0" w:color="000000"/>
              <w:right w:val="single" w:sz="0" w:space="0" w:color="000000"/>
            </w:tcBorders>
          </w:tcPr>
          <w:p>
            <w:pPr>
              <w:pStyle w:val="TableParagraph"/>
              <w:spacing w:before="20"/>
              <w:ind w:left="68"/>
              <w:jc w:val="left"/>
              <w:rPr>
                <w:sz w:val="16"/>
              </w:rPr>
            </w:pPr>
            <w:r>
              <w:rPr>
                <w:sz w:val="16"/>
              </w:rPr>
              <w:t>Dr Kerry Schott AO</w:t>
            </w:r>
          </w:p>
        </w:tc>
        <w:tc>
          <w:tcPr>
            <w:tcW w:w="1139" w:type="dxa"/>
            <w:tcBorders>
              <w:left w:val="single" w:sz="0" w:space="0" w:color="000000"/>
              <w:bottom w:val="single" w:sz="0" w:space="0" w:color="000000"/>
              <w:right w:val="single" w:sz="0" w:space="0" w:color="000000"/>
            </w:tcBorders>
          </w:tcPr>
          <w:p>
            <w:pPr>
              <w:pStyle w:val="TableParagraph"/>
              <w:spacing w:before="19"/>
              <w:ind w:right="448"/>
              <w:rPr>
                <w:sz w:val="16"/>
              </w:rPr>
            </w:pPr>
            <w:r>
              <w:rPr>
                <w:w w:val="99"/>
                <w:sz w:val="16"/>
              </w:rPr>
              <w:t>2</w:t>
            </w:r>
          </w:p>
        </w:tc>
        <w:tc>
          <w:tcPr>
            <w:tcW w:w="1134" w:type="dxa"/>
            <w:tcBorders>
              <w:left w:val="single" w:sz="0" w:space="0" w:color="000000"/>
              <w:bottom w:val="single" w:sz="0" w:space="0" w:color="000000"/>
              <w:right w:val="single" w:sz="0" w:space="0" w:color="000000"/>
            </w:tcBorders>
          </w:tcPr>
          <w:p>
            <w:pPr>
              <w:pStyle w:val="TableParagraph"/>
              <w:spacing w:before="19"/>
              <w:ind w:right="439"/>
              <w:rPr>
                <w:sz w:val="16"/>
              </w:rPr>
            </w:pPr>
            <w:r>
              <w:rPr>
                <w:w w:val="99"/>
                <w:sz w:val="16"/>
              </w:rPr>
              <w:t>2</w:t>
            </w:r>
          </w:p>
        </w:tc>
      </w:tr>
    </w:tbl>
    <w:p>
      <w:pPr>
        <w:pStyle w:val="BodyText"/>
        <w:spacing w:before="10"/>
      </w:pPr>
    </w:p>
    <w:p>
      <w:pPr>
        <w:pStyle w:val="Heading8"/>
        <w:spacing w:line="207" w:lineRule="exact" w:before="77"/>
        <w:ind w:left="1822"/>
        <w:jc w:val="both"/>
      </w:pPr>
      <w:r>
        <w:rPr/>
        <w:t>Indemnification of Directors and Officers</w:t>
      </w:r>
    </w:p>
    <w:p>
      <w:pPr>
        <w:pStyle w:val="BodyText"/>
        <w:ind w:left="1823" w:right="1392"/>
        <w:jc w:val="both"/>
      </w:pPr>
      <w:r>
        <w:rPr/>
        <w:drawing>
          <wp:anchor distT="0" distB="0" distL="0" distR="0" allowOverlap="1" layoutInCell="1" locked="0" behindDoc="0" simplePos="0" relativeHeight="13960">
            <wp:simplePos x="0" y="0"/>
            <wp:positionH relativeFrom="page">
              <wp:posOffset>-1587</wp:posOffset>
            </wp:positionH>
            <wp:positionV relativeFrom="paragraph">
              <wp:posOffset>382446</wp:posOffset>
            </wp:positionV>
            <wp:extent cx="135159" cy="154019"/>
            <wp:effectExtent l="0" t="0" r="0" b="0"/>
            <wp:wrapNone/>
            <wp:docPr id="943" name="image13.png" descr=""/>
            <wp:cNvGraphicFramePr>
              <a:graphicFrameLocks noChangeAspect="1"/>
            </wp:cNvGraphicFramePr>
            <a:graphic>
              <a:graphicData uri="http://schemas.openxmlformats.org/drawingml/2006/picture">
                <pic:pic>
                  <pic:nvPicPr>
                    <pic:cNvPr id="944" name="image13.png"/>
                    <pic:cNvPicPr/>
                  </pic:nvPicPr>
                  <pic:blipFill>
                    <a:blip r:embed="rId18" cstate="print"/>
                    <a:stretch>
                      <a:fillRect/>
                    </a:stretch>
                  </pic:blipFill>
                  <pic:spPr>
                    <a:xfrm>
                      <a:off x="0" y="0"/>
                      <a:ext cx="135159" cy="154019"/>
                    </a:xfrm>
                    <a:prstGeom prst="rect">
                      <a:avLst/>
                    </a:prstGeom>
                  </pic:spPr>
                </pic:pic>
              </a:graphicData>
            </a:graphic>
          </wp:anchor>
        </w:drawing>
      </w:r>
      <w:r>
        <w:rPr/>
        <w:drawing>
          <wp:anchor distT="0" distB="0" distL="0" distR="0" allowOverlap="1" layoutInCell="1" locked="0" behindDoc="0" simplePos="0" relativeHeight="13984">
            <wp:simplePos x="0" y="0"/>
            <wp:positionH relativeFrom="page">
              <wp:posOffset>7958429</wp:posOffset>
            </wp:positionH>
            <wp:positionV relativeFrom="paragraph">
              <wp:posOffset>382446</wp:posOffset>
            </wp:positionV>
            <wp:extent cx="135953" cy="155575"/>
            <wp:effectExtent l="0" t="0" r="0" b="0"/>
            <wp:wrapNone/>
            <wp:docPr id="945" name="image15.png" descr=""/>
            <wp:cNvGraphicFramePr>
              <a:graphicFrameLocks noChangeAspect="1"/>
            </wp:cNvGraphicFramePr>
            <a:graphic>
              <a:graphicData uri="http://schemas.openxmlformats.org/drawingml/2006/picture">
                <pic:pic>
                  <pic:nvPicPr>
                    <pic:cNvPr id="946" name="image15.png"/>
                    <pic:cNvPicPr/>
                  </pic:nvPicPr>
                  <pic:blipFill>
                    <a:blip r:embed="rId20" cstate="print"/>
                    <a:stretch>
                      <a:fillRect/>
                    </a:stretch>
                  </pic:blipFill>
                  <pic:spPr>
                    <a:xfrm>
                      <a:off x="0" y="0"/>
                      <a:ext cx="135953" cy="155575"/>
                    </a:xfrm>
                    <a:prstGeom prst="rect">
                      <a:avLst/>
                    </a:prstGeom>
                  </pic:spPr>
                </pic:pic>
              </a:graphicData>
            </a:graphic>
          </wp:anchor>
        </w:drawing>
      </w:r>
      <w:r>
        <w:rPr/>
        <w:t>Whitlam Institute within Western Sydney University Limited is insured externally and in line with the Western Sydney University policies for all significant areas of risk exposure and accordingly, is not a self-insurer and makes no provision in its financial statements for internal coverage.</w:t>
      </w:r>
    </w:p>
    <w:p>
      <w:pPr>
        <w:pStyle w:val="BodyText"/>
        <w:spacing w:before="1"/>
        <w:rPr>
          <w:sz w:val="25"/>
        </w:rPr>
      </w:pPr>
    </w:p>
    <w:p>
      <w:pPr>
        <w:pStyle w:val="Heading8"/>
        <w:spacing w:line="207" w:lineRule="exact"/>
        <w:ind w:left="1822"/>
        <w:jc w:val="both"/>
      </w:pPr>
      <w:r>
        <w:rPr/>
        <w:t>Proceedings on behalf of company</w:t>
      </w:r>
    </w:p>
    <w:p>
      <w:pPr>
        <w:pStyle w:val="BodyText"/>
        <w:ind w:left="1823" w:right="1393"/>
        <w:jc w:val="both"/>
      </w:pPr>
      <w:r>
        <w:rPr/>
        <w:t>No person has applied to the Court under section 237 of the </w:t>
      </w:r>
      <w:r>
        <w:rPr>
          <w:i/>
        </w:rPr>
        <w:t>Corporations Act 2001 </w:t>
      </w:r>
      <w:r>
        <w:rPr/>
        <w:t>for leave to bring proceedings on behalf of the Company or to intervene in any proceedings to which the Company is a party, for the purpose of taking responsibility on behalf of the Company for all or any part of those proceedings.</w:t>
      </w:r>
    </w:p>
    <w:p>
      <w:pPr>
        <w:pStyle w:val="BodyText"/>
      </w:pPr>
    </w:p>
    <w:p>
      <w:pPr>
        <w:pStyle w:val="BodyText"/>
      </w:pPr>
    </w:p>
    <w:p>
      <w:pPr>
        <w:pStyle w:val="BodyText"/>
      </w:pPr>
    </w:p>
    <w:p>
      <w:pPr>
        <w:pStyle w:val="BodyText"/>
        <w:spacing w:before="2"/>
        <w:rPr>
          <w:sz w:val="14"/>
        </w:rPr>
      </w:pPr>
    </w:p>
    <w:p>
      <w:pPr>
        <w:pStyle w:val="BodyText"/>
        <w:spacing w:after="3"/>
        <w:ind w:left="1823"/>
        <w:jc w:val="both"/>
      </w:pPr>
      <w:r>
        <w:rPr/>
        <w:pict>
          <v:shape style="position:absolute;margin-left:63.417648pt;margin-top:10.522888pt;width:491pt;height:198.4pt;mso-position-horizontal-relative:page;mso-position-vertical-relative:paragraph;z-index:-1194400" type="#_x0000_t202" filled="false" stroked="false">
            <v:textbox inset="0,0,0,0">
              <w:txbxContent>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tabs>
                      <w:tab w:pos="5359" w:val="left" w:leader="none"/>
                    </w:tabs>
                    <w:spacing w:before="139"/>
                    <w:ind w:left="554"/>
                  </w:pPr>
                  <w:r>
                    <w:rPr/>
                    <w:t>Director: .........................................................................</w:t>
                    <w:tab/>
                    <w:t>Director:</w:t>
                  </w:r>
                  <w:r>
                    <w:rPr>
                      <w:spacing w:val="2"/>
                    </w:rPr>
                    <w:t> </w:t>
                  </w:r>
                  <w:r>
                    <w:rPr/>
                    <w:t>..........................................................................</w:t>
                  </w:r>
                </w:p>
                <w:p>
                  <w:pPr>
                    <w:pStyle w:val="BodyText"/>
                    <w:tabs>
                      <w:tab w:pos="5359" w:val="left" w:leader="none"/>
                    </w:tabs>
                    <w:spacing w:before="28"/>
                    <w:ind w:left="554"/>
                  </w:pPr>
                  <w:r>
                    <w:rPr/>
                    <w:t>The Hon.</w:t>
                  </w:r>
                  <w:r>
                    <w:rPr>
                      <w:spacing w:val="-8"/>
                    </w:rPr>
                    <w:t> </w:t>
                  </w:r>
                  <w:r>
                    <w:rPr/>
                    <w:t>John</w:t>
                  </w:r>
                  <w:r>
                    <w:rPr>
                      <w:spacing w:val="-4"/>
                    </w:rPr>
                    <w:t> </w:t>
                  </w:r>
                  <w:r>
                    <w:rPr/>
                    <w:t>Faulkner</w:t>
                    <w:tab/>
                    <w:t>Ms Gabrielle</w:t>
                  </w:r>
                  <w:r>
                    <w:rPr>
                      <w:spacing w:val="-19"/>
                    </w:rPr>
                    <w:t> </w:t>
                  </w:r>
                  <w:r>
                    <w:rPr/>
                    <w:t>Trainor</w:t>
                  </w:r>
                </w:p>
                <w:p>
                  <w:pPr>
                    <w:pStyle w:val="BodyText"/>
                  </w:pPr>
                </w:p>
                <w:p>
                  <w:pPr>
                    <w:pStyle w:val="BodyText"/>
                    <w:spacing w:before="4"/>
                    <w:rPr>
                      <w:sz w:val="20"/>
                    </w:rPr>
                  </w:pPr>
                </w:p>
                <w:p>
                  <w:pPr>
                    <w:pStyle w:val="BodyText"/>
                    <w:ind w:left="555"/>
                  </w:pPr>
                  <w:r>
                    <w:rPr/>
                    <w:t>Dated 17 February 2017</w:t>
                  </w:r>
                </w:p>
              </w:txbxContent>
            </v:textbox>
            <w10:wrap type="none"/>
          </v:shape>
        </w:pict>
      </w:r>
      <w:r>
        <w:rPr/>
        <w:t>Signed in accordance with a resolution of the Board of Directors'.</w:t>
      </w:r>
    </w:p>
    <w:p>
      <w:pPr>
        <w:pStyle w:val="BodyText"/>
        <w:ind w:left="1268"/>
        <w:rPr>
          <w:sz w:val="20"/>
        </w:rPr>
      </w:pPr>
      <w:r>
        <w:rPr>
          <w:sz w:val="20"/>
        </w:rPr>
        <w:drawing>
          <wp:inline distT="0" distB="0" distL="0" distR="0">
            <wp:extent cx="6156675" cy="2491740"/>
            <wp:effectExtent l="0" t="0" r="0" b="0"/>
            <wp:docPr id="947" name="image53.jpeg" descr=""/>
            <wp:cNvGraphicFramePr>
              <a:graphicFrameLocks noChangeAspect="1"/>
            </wp:cNvGraphicFramePr>
            <a:graphic>
              <a:graphicData uri="http://schemas.openxmlformats.org/drawingml/2006/picture">
                <pic:pic>
                  <pic:nvPicPr>
                    <pic:cNvPr id="948" name="image53.jpeg"/>
                    <pic:cNvPicPr/>
                  </pic:nvPicPr>
                  <pic:blipFill>
                    <a:blip r:embed="rId123" cstate="print"/>
                    <a:stretch>
                      <a:fillRect/>
                    </a:stretch>
                  </pic:blipFill>
                  <pic:spPr>
                    <a:xfrm>
                      <a:off x="0" y="0"/>
                      <a:ext cx="6156675" cy="2491740"/>
                    </a:xfrm>
                    <a:prstGeom prst="rect">
                      <a:avLst/>
                    </a:prstGeom>
                  </pic:spPr>
                </pic:pic>
              </a:graphicData>
            </a:graphic>
          </wp:inline>
        </w:drawing>
      </w:r>
      <w:r>
        <w:rPr>
          <w:sz w:val="20"/>
        </w:rPr>
      </w:r>
    </w:p>
    <w:p>
      <w:pPr>
        <w:spacing w:after="0"/>
        <w:rPr>
          <w:sz w:val="20"/>
        </w:rPr>
        <w:sectPr>
          <w:pgSz w:w="12750" w:h="17680"/>
          <w:pgMar w:header="0" w:footer="867" w:top="1880" w:bottom="1120" w:left="0" w:right="0"/>
        </w:sectPr>
      </w:pPr>
    </w:p>
    <w:p>
      <w:pPr>
        <w:tabs>
          <w:tab w:pos="12331" w:val="left" w:leader="none"/>
        </w:tabs>
        <w:spacing w:line="240" w:lineRule="auto"/>
        <w:ind w:left="417" w:right="0" w:firstLine="0"/>
        <w:rPr>
          <w:sz w:val="20"/>
        </w:rPr>
      </w:pPr>
      <w:r>
        <w:rPr/>
        <w:pict>
          <v:group style="position:absolute;margin-left:21pt;margin-top:21.443018pt;width:595.7pt;height:842.4pt;mso-position-horizontal-relative:page;mso-position-vertical-relative:page;z-index:-1194280" coordorigin="420,429" coordsize="11914,16848">
            <v:shape style="position:absolute;left:420;top:429;width:11914;height:16848" type="#_x0000_t75" stroked="false">
              <v:imagedata r:id="rId126" o:title=""/>
            </v:shape>
            <v:shape style="position:absolute;left:681;top:513;width:11583;height:16631" coordorigin="681,513" coordsize="11583,16631" path="m4085,4964l3593,4964,3593,5341,4085,5341,4085,4964m4431,995l1414,995,1414,3634,4431,3634,4431,995m7887,7907l4116,7907,4116,8671,7887,8671,7887,7907m8337,4021l7510,4021,7510,4577,8337,4577,8337,4021m11615,16536l681,16536,681,17144,11615,17144,11615,16536m12254,8797l5394,8797,5394,10881,744,10881,744,15908,5394,15908,5394,16002,12254,16002,12254,8797m12264,513l8148,513,8148,3634,12264,3634,12264,513m12264,16086l11625,16086,11625,16746,12264,16746,12264,16086e" filled="true" fillcolor="#ffffff" stroked="false">
              <v:path arrowok="t"/>
              <v:fill type="solid"/>
            </v:shape>
            <w10:wrap type="none"/>
          </v:group>
        </w:pict>
      </w:r>
      <w:r>
        <w:rPr/>
        <w:pict>
          <v:line style="position:absolute;mso-position-horizontal-relative:page;mso-position-vertical-relative:page;z-index:14080" from="12pt,21.443018pt" to="0pt,21.443018pt" stroked="true" strokeweight=".25pt" strokecolor="#000000">
            <w10:wrap type="none"/>
          </v:line>
        </w:pict>
      </w:r>
      <w:r>
        <w:rPr/>
        <w:pict>
          <v:line style="position:absolute;mso-position-horizontal-relative:page;mso-position-vertical-relative:page;z-index:14104" from="625.679993pt,21.443018pt" to="637.22802pt,21.443018pt" stroked="true" strokeweight=".25pt" strokecolor="#000000">
            <w10:wrap type="none"/>
          </v:line>
        </w:pict>
      </w:r>
      <w:r>
        <w:rPr/>
        <w:drawing>
          <wp:anchor distT="0" distB="0" distL="0" distR="0" allowOverlap="1" layoutInCell="1" locked="0" behindDoc="1" simplePos="0" relativeHeight="267241247">
            <wp:simplePos x="0" y="0"/>
            <wp:positionH relativeFrom="page">
              <wp:posOffset>3971480</wp:posOffset>
            </wp:positionH>
            <wp:positionV relativeFrom="page">
              <wp:posOffset>-2311</wp:posOffset>
            </wp:positionV>
            <wp:extent cx="155575" cy="142875"/>
            <wp:effectExtent l="0" t="0" r="0" b="0"/>
            <wp:wrapNone/>
            <wp:docPr id="951" name="image55.png" descr=""/>
            <wp:cNvGraphicFramePr>
              <a:graphicFrameLocks noChangeAspect="1"/>
            </wp:cNvGraphicFramePr>
            <a:graphic>
              <a:graphicData uri="http://schemas.openxmlformats.org/drawingml/2006/picture">
                <pic:pic>
                  <pic:nvPicPr>
                    <pic:cNvPr id="952" name="image55.png"/>
                    <pic:cNvPicPr/>
                  </pic:nvPicPr>
                  <pic:blipFill>
                    <a:blip r:embed="rId127" cstate="print"/>
                    <a:stretch>
                      <a:fillRect/>
                    </a:stretch>
                  </pic:blipFill>
                  <pic:spPr>
                    <a:xfrm>
                      <a:off x="0" y="0"/>
                      <a:ext cx="155575" cy="142875"/>
                    </a:xfrm>
                    <a:prstGeom prst="rect">
                      <a:avLst/>
                    </a:prstGeom>
                  </pic:spPr>
                </pic:pic>
              </a:graphicData>
            </a:graphic>
          </wp:anchor>
        </w:drawing>
      </w:r>
      <w:r>
        <w:rPr/>
        <w:drawing>
          <wp:anchor distT="0" distB="0" distL="0" distR="0" allowOverlap="1" layoutInCell="1" locked="0" behindDoc="0" simplePos="0" relativeHeight="14152">
            <wp:simplePos x="0" y="0"/>
            <wp:positionH relativeFrom="page">
              <wp:posOffset>-1587</wp:posOffset>
            </wp:positionH>
            <wp:positionV relativeFrom="page">
              <wp:posOffset>5543778</wp:posOffset>
            </wp:positionV>
            <wp:extent cx="135159" cy="154019"/>
            <wp:effectExtent l="0" t="0" r="0" b="0"/>
            <wp:wrapNone/>
            <wp:docPr id="953" name="image13.png" descr=""/>
            <wp:cNvGraphicFramePr>
              <a:graphicFrameLocks noChangeAspect="1"/>
            </wp:cNvGraphicFramePr>
            <a:graphic>
              <a:graphicData uri="http://schemas.openxmlformats.org/drawingml/2006/picture">
                <pic:pic>
                  <pic:nvPicPr>
                    <pic:cNvPr id="954" name="image13.png"/>
                    <pic:cNvPicPr/>
                  </pic:nvPicPr>
                  <pic:blipFill>
                    <a:blip r:embed="rId18" cstate="print"/>
                    <a:stretch>
                      <a:fillRect/>
                    </a:stretch>
                  </pic:blipFill>
                  <pic:spPr>
                    <a:xfrm>
                      <a:off x="0" y="0"/>
                      <a:ext cx="135159" cy="154019"/>
                    </a:xfrm>
                    <a:prstGeom prst="rect">
                      <a:avLst/>
                    </a:prstGeom>
                  </pic:spPr>
                </pic:pic>
              </a:graphicData>
            </a:graphic>
          </wp:anchor>
        </w:drawing>
      </w:r>
      <w:r>
        <w:rPr/>
        <w:drawing>
          <wp:anchor distT="0" distB="0" distL="0" distR="0" allowOverlap="1" layoutInCell="1" locked="0" behindDoc="0" simplePos="0" relativeHeight="14176">
            <wp:simplePos x="0" y="0"/>
            <wp:positionH relativeFrom="page">
              <wp:posOffset>7963598</wp:posOffset>
            </wp:positionH>
            <wp:positionV relativeFrom="page">
              <wp:posOffset>5543778</wp:posOffset>
            </wp:positionV>
            <wp:extent cx="130785" cy="155575"/>
            <wp:effectExtent l="0" t="0" r="0" b="0"/>
            <wp:wrapNone/>
            <wp:docPr id="955" name="image56.png" descr=""/>
            <wp:cNvGraphicFramePr>
              <a:graphicFrameLocks noChangeAspect="1"/>
            </wp:cNvGraphicFramePr>
            <a:graphic>
              <a:graphicData uri="http://schemas.openxmlformats.org/drawingml/2006/picture">
                <pic:pic>
                  <pic:nvPicPr>
                    <pic:cNvPr id="956" name="image56.png"/>
                    <pic:cNvPicPr/>
                  </pic:nvPicPr>
                  <pic:blipFill>
                    <a:blip r:embed="rId128" cstate="print"/>
                    <a:stretch>
                      <a:fillRect/>
                    </a:stretch>
                  </pic:blipFill>
                  <pic:spPr>
                    <a:xfrm>
                      <a:off x="0" y="0"/>
                      <a:ext cx="130785" cy="155575"/>
                    </a:xfrm>
                    <a:prstGeom prst="rect">
                      <a:avLst/>
                    </a:prstGeom>
                  </pic:spPr>
                </pic:pic>
              </a:graphicData>
            </a:graphic>
          </wp:anchor>
        </w:drawing>
      </w:r>
      <w:r>
        <w:rPr>
          <w:sz w:val="20"/>
        </w:rPr>
        <w:pict>
          <v:group style="width:.25pt;height:12.7pt;mso-position-horizontal-relative:char;mso-position-vertical-relative:line" coordorigin="0,0" coordsize="5,254">
            <v:line style="position:absolute" from="3,251" to="3,3" stroked="true" strokeweight=".25pt" strokecolor="#000000"/>
          </v:group>
        </w:pict>
      </w:r>
      <w:r>
        <w:rPr>
          <w:sz w:val="20"/>
        </w:rPr>
      </w:r>
      <w:r>
        <w:rPr>
          <w:sz w:val="20"/>
        </w:rPr>
        <w:tab/>
      </w:r>
      <w:r>
        <w:rPr>
          <w:sz w:val="20"/>
        </w:rPr>
        <w:pict>
          <v:group style="width:.25pt;height:12.7pt;mso-position-horizontal-relative:char;mso-position-vertical-relative:line" coordorigin="0,0" coordsize="5,254">
            <v:line style="position:absolute" from="3,251" to="3,3" stroked="true" strokeweight=".25pt" strokecolor="#000000"/>
          </v:group>
        </w:pict>
      </w:r>
      <w:r>
        <w:rPr>
          <w:sz w:val="20"/>
        </w:rPr>
      </w:r>
    </w:p>
    <w:p>
      <w:pPr>
        <w:spacing w:after="0" w:line="240" w:lineRule="auto"/>
        <w:rPr>
          <w:sz w:val="20"/>
        </w:rPr>
        <w:sectPr>
          <w:headerReference w:type="default" r:id="rId124"/>
          <w:footerReference w:type="default" r:id="rId125"/>
          <w:pgSz w:w="12750" w:h="17680"/>
          <w:pgMar w:header="0" w:footer="867" w:top="0" w:bottom="1060" w:left="0" w:right="0"/>
          <w:pgNumType w:start="200"/>
        </w:sectPr>
      </w:pPr>
    </w:p>
    <w:p>
      <w:pPr>
        <w:pStyle w:val="BodyText"/>
        <w:spacing w:before="2"/>
        <w:rPr>
          <w:sz w:val="24"/>
        </w:rPr>
      </w:pPr>
    </w:p>
    <w:p>
      <w:pPr>
        <w:pStyle w:val="Heading4"/>
      </w:pPr>
      <w:r>
        <w:rPr/>
        <w:t>Statement of comprehensive income</w:t>
      </w:r>
    </w:p>
    <w:p>
      <w:pPr>
        <w:pStyle w:val="Heading7"/>
      </w:pPr>
      <w:bookmarkStart w:name="Statement of comprehensive income" w:id="386"/>
      <w:bookmarkEnd w:id="386"/>
      <w:r>
        <w:rPr>
          <w:b w:val="0"/>
        </w:rPr>
      </w:r>
      <w:r>
        <w:rPr/>
        <w:t>For the year ended 31 December 2016</w:t>
      </w:r>
    </w:p>
    <w:p>
      <w:pPr>
        <w:pStyle w:val="BodyText"/>
        <w:spacing w:before="1"/>
        <w:rPr>
          <w:b/>
          <w:sz w:val="29"/>
        </w:rPr>
      </w:pPr>
    </w:p>
    <w:p>
      <w:pPr>
        <w:spacing w:after="0"/>
        <w:rPr>
          <w:sz w:val="29"/>
        </w:rPr>
        <w:sectPr>
          <w:headerReference w:type="default" r:id="rId129"/>
          <w:footerReference w:type="default" r:id="rId130"/>
          <w:pgSz w:w="12750" w:h="17680"/>
          <w:pgMar w:header="0" w:footer="1403" w:top="1880" w:bottom="1600" w:left="0" w:right="0"/>
          <w:pgNumType w:start="201"/>
        </w:sectPr>
      </w:pPr>
    </w:p>
    <w:p>
      <w:pPr>
        <w:pStyle w:val="BodyText"/>
        <w:rPr>
          <w:b/>
        </w:rPr>
      </w:pPr>
    </w:p>
    <w:p>
      <w:pPr>
        <w:pStyle w:val="BodyText"/>
        <w:rPr>
          <w:b/>
        </w:rPr>
      </w:pPr>
    </w:p>
    <w:p>
      <w:pPr>
        <w:pStyle w:val="BodyText"/>
        <w:spacing w:before="2"/>
        <w:rPr>
          <w:b/>
          <w:sz w:val="25"/>
        </w:rPr>
      </w:pPr>
    </w:p>
    <w:p>
      <w:pPr>
        <w:pStyle w:val="Heading8"/>
        <w:ind w:left="1455" w:right="-17"/>
      </w:pPr>
      <w:r>
        <w:rPr>
          <w:spacing w:val="-1"/>
        </w:rPr>
        <w:t>Revenue</w:t>
      </w:r>
    </w:p>
    <w:p>
      <w:pPr>
        <w:spacing w:before="77"/>
        <w:ind w:left="0" w:right="0" w:firstLine="0"/>
        <w:jc w:val="right"/>
        <w:rPr>
          <w:b/>
          <w:sz w:val="18"/>
        </w:rPr>
      </w:pPr>
      <w:r>
        <w:rPr/>
        <w:br w:type="column"/>
      </w:r>
      <w:r>
        <w:rPr>
          <w:b/>
          <w:sz w:val="18"/>
        </w:rPr>
        <w:t>2016</w:t>
      </w:r>
    </w:p>
    <w:p>
      <w:pPr>
        <w:spacing w:before="66"/>
        <w:ind w:left="0" w:right="146" w:firstLine="0"/>
        <w:jc w:val="right"/>
        <w:rPr>
          <w:b/>
          <w:sz w:val="18"/>
        </w:rPr>
      </w:pPr>
      <w:r>
        <w:rPr>
          <w:b/>
          <w:w w:val="99"/>
          <w:sz w:val="18"/>
        </w:rPr>
        <w:t>$</w:t>
      </w:r>
    </w:p>
    <w:p>
      <w:pPr>
        <w:spacing w:before="77"/>
        <w:ind w:left="828" w:right="1816" w:firstLine="0"/>
        <w:jc w:val="center"/>
        <w:rPr>
          <w:b/>
          <w:sz w:val="18"/>
        </w:rPr>
      </w:pPr>
      <w:r>
        <w:rPr/>
        <w:br w:type="column"/>
      </w:r>
      <w:r>
        <w:rPr>
          <w:b/>
          <w:sz w:val="18"/>
        </w:rPr>
        <w:t>2015</w:t>
      </w:r>
    </w:p>
    <w:p>
      <w:pPr>
        <w:spacing w:before="66"/>
        <w:ind w:left="0" w:right="987" w:firstLine="0"/>
        <w:jc w:val="center"/>
        <w:rPr>
          <w:b/>
          <w:sz w:val="18"/>
        </w:rPr>
      </w:pPr>
      <w:r>
        <w:rPr>
          <w:b/>
          <w:w w:val="99"/>
          <w:sz w:val="18"/>
        </w:rPr>
        <w:t>$</w:t>
      </w:r>
    </w:p>
    <w:p>
      <w:pPr>
        <w:spacing w:after="0"/>
        <w:jc w:val="center"/>
        <w:rPr>
          <w:sz w:val="18"/>
        </w:rPr>
        <w:sectPr>
          <w:type w:val="continuous"/>
          <w:pgSz w:w="12750" w:h="17680"/>
          <w:pgMar w:top="1660" w:bottom="0" w:left="0" w:right="0"/>
          <w:cols w:num="3" w:equalWidth="0">
            <w:col w:w="2202" w:space="5542"/>
            <w:col w:w="1854" w:space="40"/>
            <w:col w:w="3112"/>
          </w:cols>
        </w:sectPr>
      </w:pPr>
    </w:p>
    <w:p>
      <w:pPr>
        <w:pStyle w:val="BodyText"/>
        <w:tabs>
          <w:tab w:pos="8750" w:val="left" w:leader="none"/>
          <w:tab w:pos="9898" w:val="left" w:leader="none"/>
          <w:tab w:pos="11195" w:val="left" w:leader="none"/>
        </w:tabs>
        <w:spacing w:before="140"/>
        <w:ind w:left="1455"/>
      </w:pPr>
      <w:r>
        <w:rPr/>
        <w:t>Other</w:t>
      </w:r>
      <w:r>
        <w:rPr>
          <w:spacing w:val="-5"/>
        </w:rPr>
        <w:t> </w:t>
      </w:r>
      <w:r>
        <w:rPr/>
        <w:t>revenue</w:t>
        <w:tab/>
      </w:r>
      <w:r>
        <w:rPr>
          <w:rFonts w:ascii="Times New Roman"/>
          <w:u w:val="single"/>
        </w:rPr>
        <w:t> </w:t>
        <w:tab/>
      </w:r>
      <w:r>
        <w:rPr>
          <w:b/>
          <w:u w:val="single"/>
        </w:rPr>
        <w:t>-</w:t>
        <w:tab/>
      </w:r>
      <w:r>
        <w:rPr>
          <w:u w:val="single"/>
        </w:rPr>
        <w:t>-</w:t>
      </w:r>
    </w:p>
    <w:p>
      <w:pPr>
        <w:pStyle w:val="Heading8"/>
        <w:tabs>
          <w:tab w:pos="8750" w:val="left" w:leader="none"/>
          <w:tab w:pos="9898" w:val="left" w:leader="none"/>
          <w:tab w:pos="11195" w:val="left" w:leader="none"/>
        </w:tabs>
        <w:spacing w:before="9"/>
        <w:ind w:left="1455"/>
        <w:rPr>
          <w:b w:val="0"/>
        </w:rPr>
      </w:pPr>
      <w:r>
        <w:rPr/>
        <w:t>Total</w:t>
      </w:r>
      <w:r>
        <w:rPr>
          <w:spacing w:val="-2"/>
        </w:rPr>
        <w:t> </w:t>
      </w:r>
      <w:r>
        <w:rPr/>
        <w:t>revenue</w:t>
        <w:tab/>
      </w:r>
      <w:r>
        <w:rPr>
          <w:rFonts w:ascii="Times New Roman"/>
          <w:b w:val="0"/>
          <w:u w:val="single"/>
        </w:rPr>
        <w:t> </w:t>
        <w:tab/>
      </w:r>
      <w:r>
        <w:rPr>
          <w:u w:val="single"/>
        </w:rPr>
        <w:t>-</w:t>
        <w:tab/>
      </w:r>
      <w:r>
        <w:rPr>
          <w:b w:val="0"/>
          <w:u w:val="single"/>
        </w:rPr>
        <w:t>-</w:t>
      </w:r>
    </w:p>
    <w:p>
      <w:pPr>
        <w:pStyle w:val="BodyText"/>
        <w:spacing w:before="6"/>
        <w:rPr>
          <w:sz w:val="19"/>
        </w:rPr>
      </w:pPr>
    </w:p>
    <w:p>
      <w:pPr>
        <w:tabs>
          <w:tab w:pos="8750" w:val="left" w:leader="none"/>
          <w:tab w:pos="9898" w:val="left" w:leader="none"/>
          <w:tab w:pos="11195" w:val="left" w:leader="none"/>
        </w:tabs>
        <w:spacing w:before="77"/>
        <w:ind w:left="1455" w:right="0" w:firstLine="0"/>
        <w:jc w:val="left"/>
        <w:rPr>
          <w:sz w:val="18"/>
        </w:rPr>
      </w:pPr>
      <w:r>
        <w:rPr>
          <w:b/>
          <w:sz w:val="18"/>
        </w:rPr>
        <w:t>Total income</w:t>
        <w:tab/>
      </w:r>
      <w:r>
        <w:rPr>
          <w:rFonts w:ascii="Times New Roman"/>
          <w:sz w:val="18"/>
          <w:u w:val="single"/>
        </w:rPr>
        <w:t> </w:t>
        <w:tab/>
      </w:r>
      <w:r>
        <w:rPr>
          <w:b/>
          <w:sz w:val="18"/>
          <w:u w:val="single"/>
        </w:rPr>
        <w:t>-</w:t>
        <w:tab/>
      </w:r>
      <w:r>
        <w:rPr>
          <w:sz w:val="18"/>
          <w:u w:val="single"/>
        </w:rPr>
        <w:t>-</w:t>
      </w:r>
    </w:p>
    <w:p>
      <w:pPr>
        <w:pStyle w:val="BodyText"/>
        <w:spacing w:before="6"/>
        <w:rPr>
          <w:sz w:val="19"/>
        </w:rPr>
      </w:pPr>
    </w:p>
    <w:p>
      <w:pPr>
        <w:spacing w:before="77"/>
        <w:ind w:left="1455" w:right="0" w:firstLine="0"/>
        <w:jc w:val="left"/>
        <w:rPr>
          <w:b/>
          <w:sz w:val="18"/>
        </w:rPr>
      </w:pPr>
      <w:r>
        <w:rPr>
          <w:b/>
          <w:sz w:val="18"/>
        </w:rPr>
        <w:t>Expenses</w:t>
      </w:r>
    </w:p>
    <w:p>
      <w:pPr>
        <w:pStyle w:val="BodyText"/>
        <w:tabs>
          <w:tab w:pos="8750" w:val="left" w:leader="none"/>
          <w:tab w:pos="9898" w:val="left" w:leader="none"/>
          <w:tab w:pos="11195" w:val="left" w:leader="none"/>
        </w:tabs>
        <w:spacing w:before="140"/>
        <w:ind w:left="1455"/>
      </w:pPr>
      <w:r>
        <w:rPr/>
        <w:t>Finance</w:t>
      </w:r>
      <w:r>
        <w:rPr>
          <w:spacing w:val="-5"/>
        </w:rPr>
        <w:t> </w:t>
      </w:r>
      <w:r>
        <w:rPr/>
        <w:t>costs</w:t>
        <w:tab/>
      </w:r>
      <w:r>
        <w:rPr>
          <w:rFonts w:ascii="Times New Roman"/>
          <w:u w:val="single"/>
        </w:rPr>
        <w:t> </w:t>
        <w:tab/>
      </w:r>
      <w:r>
        <w:rPr>
          <w:b/>
          <w:u w:val="single"/>
        </w:rPr>
        <w:t>-</w:t>
        <w:tab/>
      </w:r>
      <w:r>
        <w:rPr>
          <w:u w:val="single"/>
        </w:rPr>
        <w:t>-</w:t>
      </w:r>
    </w:p>
    <w:p>
      <w:pPr>
        <w:pStyle w:val="Heading8"/>
        <w:tabs>
          <w:tab w:pos="8750" w:val="left" w:leader="none"/>
          <w:tab w:pos="9898" w:val="left" w:leader="none"/>
          <w:tab w:pos="11195" w:val="left" w:leader="none"/>
        </w:tabs>
        <w:spacing w:before="9"/>
        <w:ind w:left="1455"/>
        <w:rPr>
          <w:b w:val="0"/>
        </w:rPr>
      </w:pPr>
      <w:r>
        <w:rPr/>
        <w:t>Total expenses</w:t>
        <w:tab/>
      </w:r>
      <w:r>
        <w:rPr>
          <w:rFonts w:ascii="Times New Roman"/>
          <w:b w:val="0"/>
          <w:u w:val="single"/>
        </w:rPr>
        <w:t> </w:t>
        <w:tab/>
      </w:r>
      <w:r>
        <w:rPr>
          <w:u w:val="single"/>
        </w:rPr>
        <w:t>-</w:t>
        <w:tab/>
      </w:r>
      <w:r>
        <w:rPr>
          <w:b w:val="0"/>
          <w:u w:val="single"/>
        </w:rPr>
        <w:t>-</w:t>
      </w:r>
    </w:p>
    <w:p>
      <w:pPr>
        <w:pStyle w:val="BodyText"/>
        <w:spacing w:before="8"/>
      </w:pPr>
    </w:p>
    <w:p>
      <w:pPr>
        <w:tabs>
          <w:tab w:pos="8750" w:val="left" w:leader="none"/>
          <w:tab w:pos="9898" w:val="left" w:leader="none"/>
          <w:tab w:pos="11195" w:val="left" w:leader="none"/>
        </w:tabs>
        <w:spacing w:before="0"/>
        <w:ind w:left="1455" w:right="0" w:firstLine="0"/>
        <w:jc w:val="left"/>
        <w:rPr>
          <w:sz w:val="18"/>
        </w:rPr>
      </w:pPr>
      <w:r>
        <w:rPr>
          <w:b/>
          <w:sz w:val="18"/>
        </w:rPr>
        <w:t>Surplus/(deficit) for the year</w:t>
        <w:tab/>
      </w:r>
      <w:r>
        <w:rPr>
          <w:rFonts w:ascii="Times New Roman"/>
          <w:sz w:val="18"/>
          <w:u w:val="single"/>
        </w:rPr>
        <w:t> </w:t>
        <w:tab/>
      </w:r>
      <w:r>
        <w:rPr>
          <w:b/>
          <w:sz w:val="18"/>
          <w:u w:val="single"/>
        </w:rPr>
        <w:t>-</w:t>
        <w:tab/>
      </w:r>
      <w:r>
        <w:rPr>
          <w:sz w:val="18"/>
          <w:u w:val="single"/>
        </w:rPr>
        <w:t>-</w:t>
      </w:r>
    </w:p>
    <w:p>
      <w:pPr>
        <w:pStyle w:val="BodyText"/>
        <w:spacing w:before="6"/>
        <w:rPr>
          <w:sz w:val="14"/>
        </w:rPr>
      </w:pPr>
    </w:p>
    <w:p>
      <w:pPr>
        <w:pStyle w:val="BodyText"/>
        <w:tabs>
          <w:tab w:pos="8750" w:val="left" w:leader="none"/>
          <w:tab w:pos="9898" w:val="left" w:leader="none"/>
          <w:tab w:pos="11195" w:val="left" w:leader="none"/>
        </w:tabs>
        <w:spacing w:before="77"/>
        <w:ind w:left="1455"/>
      </w:pPr>
      <w:r>
        <w:rPr/>
        <w:t>Other comprehensive income for</w:t>
      </w:r>
      <w:r>
        <w:rPr>
          <w:spacing w:val="-20"/>
        </w:rPr>
        <w:t> </w:t>
      </w:r>
      <w:r>
        <w:rPr/>
        <w:t>the</w:t>
      </w:r>
      <w:r>
        <w:rPr>
          <w:spacing w:val="-5"/>
        </w:rPr>
        <w:t> </w:t>
      </w:r>
      <w:r>
        <w:rPr/>
        <w:t>year</w:t>
        <w:tab/>
      </w:r>
      <w:r>
        <w:rPr>
          <w:rFonts w:ascii="Times New Roman"/>
          <w:u w:val="single"/>
        </w:rPr>
        <w:t> </w:t>
        <w:tab/>
      </w:r>
      <w:r>
        <w:rPr>
          <w:b/>
          <w:u w:val="single"/>
        </w:rPr>
        <w:t>-</w:t>
        <w:tab/>
      </w:r>
      <w:r>
        <w:rPr>
          <w:u w:val="single"/>
        </w:rPr>
        <w:t>-</w:t>
      </w:r>
    </w:p>
    <w:p>
      <w:pPr>
        <w:pStyle w:val="Heading8"/>
        <w:tabs>
          <w:tab w:pos="8750" w:val="left" w:leader="none"/>
          <w:tab w:pos="9898" w:val="left" w:leader="none"/>
          <w:tab w:pos="11195" w:val="left" w:leader="none"/>
        </w:tabs>
        <w:spacing w:before="9"/>
        <w:ind w:left="1455"/>
        <w:rPr>
          <w:b w:val="0"/>
        </w:rPr>
      </w:pPr>
      <w:r>
        <w:rPr/>
        <w:drawing>
          <wp:anchor distT="0" distB="0" distL="0" distR="0" allowOverlap="1" layoutInCell="1" locked="0" behindDoc="0" simplePos="0" relativeHeight="14200">
            <wp:simplePos x="0" y="0"/>
            <wp:positionH relativeFrom="page">
              <wp:posOffset>-1587</wp:posOffset>
            </wp:positionH>
            <wp:positionV relativeFrom="paragraph">
              <wp:posOffset>1005381</wp:posOffset>
            </wp:positionV>
            <wp:extent cx="135159" cy="154019"/>
            <wp:effectExtent l="0" t="0" r="0" b="0"/>
            <wp:wrapNone/>
            <wp:docPr id="961" name="image13.png" descr=""/>
            <wp:cNvGraphicFramePr>
              <a:graphicFrameLocks noChangeAspect="1"/>
            </wp:cNvGraphicFramePr>
            <a:graphic>
              <a:graphicData uri="http://schemas.openxmlformats.org/drawingml/2006/picture">
                <pic:pic>
                  <pic:nvPicPr>
                    <pic:cNvPr id="962" name="image13.png"/>
                    <pic:cNvPicPr/>
                  </pic:nvPicPr>
                  <pic:blipFill>
                    <a:blip r:embed="rId18" cstate="print"/>
                    <a:stretch>
                      <a:fillRect/>
                    </a:stretch>
                  </pic:blipFill>
                  <pic:spPr>
                    <a:xfrm>
                      <a:off x="0" y="0"/>
                      <a:ext cx="135159" cy="154019"/>
                    </a:xfrm>
                    <a:prstGeom prst="rect">
                      <a:avLst/>
                    </a:prstGeom>
                  </pic:spPr>
                </pic:pic>
              </a:graphicData>
            </a:graphic>
          </wp:anchor>
        </w:drawing>
      </w:r>
      <w:r>
        <w:rPr/>
        <w:drawing>
          <wp:anchor distT="0" distB="0" distL="0" distR="0" allowOverlap="1" layoutInCell="1" locked="0" behindDoc="0" simplePos="0" relativeHeight="14224">
            <wp:simplePos x="0" y="0"/>
            <wp:positionH relativeFrom="page">
              <wp:posOffset>7958429</wp:posOffset>
            </wp:positionH>
            <wp:positionV relativeFrom="paragraph">
              <wp:posOffset>1005381</wp:posOffset>
            </wp:positionV>
            <wp:extent cx="135953" cy="155575"/>
            <wp:effectExtent l="0" t="0" r="0" b="0"/>
            <wp:wrapNone/>
            <wp:docPr id="963" name="image15.png" descr=""/>
            <wp:cNvGraphicFramePr>
              <a:graphicFrameLocks noChangeAspect="1"/>
            </wp:cNvGraphicFramePr>
            <a:graphic>
              <a:graphicData uri="http://schemas.openxmlformats.org/drawingml/2006/picture">
                <pic:pic>
                  <pic:nvPicPr>
                    <pic:cNvPr id="964" name="image15.png"/>
                    <pic:cNvPicPr/>
                  </pic:nvPicPr>
                  <pic:blipFill>
                    <a:blip r:embed="rId20" cstate="print"/>
                    <a:stretch>
                      <a:fillRect/>
                    </a:stretch>
                  </pic:blipFill>
                  <pic:spPr>
                    <a:xfrm>
                      <a:off x="0" y="0"/>
                      <a:ext cx="135953" cy="155575"/>
                    </a:xfrm>
                    <a:prstGeom prst="rect">
                      <a:avLst/>
                    </a:prstGeom>
                  </pic:spPr>
                </pic:pic>
              </a:graphicData>
            </a:graphic>
          </wp:anchor>
        </w:drawing>
      </w:r>
      <w:r>
        <w:rPr/>
        <w:t>Total comprehensive income for</w:t>
      </w:r>
      <w:r>
        <w:rPr>
          <w:spacing w:val="-12"/>
        </w:rPr>
        <w:t> </w:t>
      </w:r>
      <w:r>
        <w:rPr/>
        <w:t>the</w:t>
      </w:r>
      <w:r>
        <w:rPr>
          <w:spacing w:val="-4"/>
        </w:rPr>
        <w:t> </w:t>
      </w:r>
      <w:r>
        <w:rPr/>
        <w:t>year</w:t>
        <w:tab/>
      </w:r>
      <w:r>
        <w:rPr>
          <w:rFonts w:ascii="Times New Roman"/>
          <w:b w:val="0"/>
          <w:u w:val="single"/>
        </w:rPr>
        <w:t> </w:t>
        <w:tab/>
      </w:r>
      <w:r>
        <w:rPr>
          <w:u w:val="single"/>
        </w:rPr>
        <w:t>-</w:t>
        <w:tab/>
      </w:r>
      <w:r>
        <w:rPr>
          <w:b w:val="0"/>
          <w:u w:val="single"/>
        </w:rPr>
        <w:t>-</w:t>
      </w:r>
    </w:p>
    <w:p>
      <w:pPr>
        <w:spacing w:after="0"/>
        <w:sectPr>
          <w:type w:val="continuous"/>
          <w:pgSz w:w="12750" w:h="17680"/>
          <w:pgMar w:top="1660" w:bottom="0" w:left="0" w:right="0"/>
        </w:sectPr>
      </w:pPr>
    </w:p>
    <w:p>
      <w:pPr>
        <w:pStyle w:val="BodyText"/>
        <w:spacing w:before="2"/>
        <w:rPr>
          <w:rFonts w:ascii="Times New Roman"/>
          <w:sz w:val="24"/>
        </w:rPr>
      </w:pPr>
      <w:r>
        <w:rPr/>
        <w:drawing>
          <wp:anchor distT="0" distB="0" distL="0" distR="0" allowOverlap="1" layoutInCell="1" locked="0" behindDoc="0" simplePos="0" relativeHeight="14248">
            <wp:simplePos x="0" y="0"/>
            <wp:positionH relativeFrom="page">
              <wp:posOffset>-1587</wp:posOffset>
            </wp:positionH>
            <wp:positionV relativeFrom="page">
              <wp:posOffset>5534342</wp:posOffset>
            </wp:positionV>
            <wp:extent cx="135159" cy="154019"/>
            <wp:effectExtent l="0" t="0" r="0" b="0"/>
            <wp:wrapNone/>
            <wp:docPr id="965" name="image13.png" descr=""/>
            <wp:cNvGraphicFramePr>
              <a:graphicFrameLocks noChangeAspect="1"/>
            </wp:cNvGraphicFramePr>
            <a:graphic>
              <a:graphicData uri="http://schemas.openxmlformats.org/drawingml/2006/picture">
                <pic:pic>
                  <pic:nvPicPr>
                    <pic:cNvPr id="966" name="image13.png"/>
                    <pic:cNvPicPr/>
                  </pic:nvPicPr>
                  <pic:blipFill>
                    <a:blip r:embed="rId18" cstate="print"/>
                    <a:stretch>
                      <a:fillRect/>
                    </a:stretch>
                  </pic:blipFill>
                  <pic:spPr>
                    <a:xfrm>
                      <a:off x="0" y="0"/>
                      <a:ext cx="135159" cy="154019"/>
                    </a:xfrm>
                    <a:prstGeom prst="rect">
                      <a:avLst/>
                    </a:prstGeom>
                  </pic:spPr>
                </pic:pic>
              </a:graphicData>
            </a:graphic>
          </wp:anchor>
        </w:drawing>
      </w:r>
      <w:r>
        <w:rPr/>
        <w:drawing>
          <wp:anchor distT="0" distB="0" distL="0" distR="0" allowOverlap="1" layoutInCell="1" locked="0" behindDoc="0" simplePos="0" relativeHeight="14272">
            <wp:simplePos x="0" y="0"/>
            <wp:positionH relativeFrom="page">
              <wp:posOffset>7958429</wp:posOffset>
            </wp:positionH>
            <wp:positionV relativeFrom="page">
              <wp:posOffset>5534342</wp:posOffset>
            </wp:positionV>
            <wp:extent cx="135953" cy="155575"/>
            <wp:effectExtent l="0" t="0" r="0" b="0"/>
            <wp:wrapNone/>
            <wp:docPr id="967" name="image15.png" descr=""/>
            <wp:cNvGraphicFramePr>
              <a:graphicFrameLocks noChangeAspect="1"/>
            </wp:cNvGraphicFramePr>
            <a:graphic>
              <a:graphicData uri="http://schemas.openxmlformats.org/drawingml/2006/picture">
                <pic:pic>
                  <pic:nvPicPr>
                    <pic:cNvPr id="968" name="image15.png"/>
                    <pic:cNvPicPr/>
                  </pic:nvPicPr>
                  <pic:blipFill>
                    <a:blip r:embed="rId20" cstate="print"/>
                    <a:stretch>
                      <a:fillRect/>
                    </a:stretch>
                  </pic:blipFill>
                  <pic:spPr>
                    <a:xfrm>
                      <a:off x="0" y="0"/>
                      <a:ext cx="135953" cy="155575"/>
                    </a:xfrm>
                    <a:prstGeom prst="rect">
                      <a:avLst/>
                    </a:prstGeom>
                  </pic:spPr>
                </pic:pic>
              </a:graphicData>
            </a:graphic>
          </wp:anchor>
        </w:drawing>
      </w:r>
    </w:p>
    <w:tbl>
      <w:tblPr>
        <w:tblW w:w="0" w:type="auto"/>
        <w:jc w:val="left"/>
        <w:tblInd w:w="139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459"/>
        <w:gridCol w:w="1854"/>
        <w:gridCol w:w="2585"/>
      </w:tblGrid>
      <w:tr>
        <w:trPr>
          <w:trHeight w:val="911" w:hRule="exact"/>
        </w:trPr>
        <w:tc>
          <w:tcPr>
            <w:tcW w:w="5459" w:type="dxa"/>
          </w:tcPr>
          <w:p>
            <w:pPr>
              <w:pStyle w:val="TableParagraph"/>
              <w:spacing w:before="64"/>
              <w:ind w:left="35"/>
              <w:jc w:val="left"/>
              <w:rPr>
                <w:b/>
                <w:sz w:val="28"/>
              </w:rPr>
            </w:pPr>
            <w:r>
              <w:rPr>
                <w:b/>
                <w:sz w:val="28"/>
              </w:rPr>
              <w:t>Statement of financial position</w:t>
            </w:r>
          </w:p>
          <w:p>
            <w:pPr>
              <w:pStyle w:val="TableParagraph"/>
              <w:spacing w:before="57"/>
              <w:ind w:left="35"/>
              <w:jc w:val="left"/>
              <w:rPr>
                <w:b/>
                <w:sz w:val="22"/>
              </w:rPr>
            </w:pPr>
            <w:bookmarkStart w:name="Statement of financial position" w:id="387"/>
            <w:bookmarkEnd w:id="387"/>
            <w:r>
              <w:rPr/>
            </w:r>
            <w:r>
              <w:rPr>
                <w:b/>
                <w:sz w:val="22"/>
              </w:rPr>
              <w:t>As at 31 December 2016</w:t>
            </w:r>
          </w:p>
        </w:tc>
        <w:tc>
          <w:tcPr>
            <w:tcW w:w="4439" w:type="dxa"/>
            <w:gridSpan w:val="2"/>
          </w:tcPr>
          <w:p>
            <w:pPr/>
          </w:p>
        </w:tc>
      </w:tr>
      <w:tr>
        <w:trPr>
          <w:trHeight w:val="447" w:hRule="exact"/>
        </w:trPr>
        <w:tc>
          <w:tcPr>
            <w:tcW w:w="5459" w:type="dxa"/>
          </w:tcPr>
          <w:p>
            <w:pPr/>
          </w:p>
        </w:tc>
        <w:tc>
          <w:tcPr>
            <w:tcW w:w="1854" w:type="dxa"/>
          </w:tcPr>
          <w:p>
            <w:pPr/>
          </w:p>
        </w:tc>
        <w:tc>
          <w:tcPr>
            <w:tcW w:w="2585" w:type="dxa"/>
          </w:tcPr>
          <w:p>
            <w:pPr>
              <w:pStyle w:val="TableParagraph"/>
              <w:spacing w:before="1"/>
              <w:jc w:val="left"/>
              <w:rPr>
                <w:rFonts w:ascii="Times New Roman"/>
                <w:sz w:val="17"/>
              </w:rPr>
            </w:pPr>
          </w:p>
          <w:p>
            <w:pPr>
              <w:pStyle w:val="TableParagraph"/>
              <w:tabs>
                <w:tab w:pos="1790" w:val="left" w:leader="none"/>
              </w:tabs>
              <w:ind w:left="492"/>
              <w:jc w:val="left"/>
              <w:rPr>
                <w:b/>
                <w:sz w:val="18"/>
              </w:rPr>
            </w:pPr>
            <w:r>
              <w:rPr>
                <w:b/>
                <w:sz w:val="18"/>
              </w:rPr>
              <w:t>2016</w:t>
              <w:tab/>
              <w:t>2015</w:t>
            </w:r>
          </w:p>
        </w:tc>
      </w:tr>
      <w:tr>
        <w:trPr>
          <w:trHeight w:val="313" w:hRule="exact"/>
        </w:trPr>
        <w:tc>
          <w:tcPr>
            <w:tcW w:w="5459" w:type="dxa"/>
          </w:tcPr>
          <w:p>
            <w:pPr/>
          </w:p>
        </w:tc>
        <w:tc>
          <w:tcPr>
            <w:tcW w:w="1854" w:type="dxa"/>
          </w:tcPr>
          <w:p>
            <w:pPr>
              <w:pStyle w:val="TableParagraph"/>
              <w:spacing w:before="24"/>
              <w:ind w:left="1409"/>
              <w:jc w:val="left"/>
              <w:rPr>
                <w:b/>
                <w:sz w:val="18"/>
              </w:rPr>
            </w:pPr>
            <w:r>
              <w:rPr>
                <w:b/>
                <w:sz w:val="18"/>
              </w:rPr>
              <w:t>Note</w:t>
            </w:r>
          </w:p>
        </w:tc>
        <w:tc>
          <w:tcPr>
            <w:tcW w:w="2585" w:type="dxa"/>
          </w:tcPr>
          <w:p>
            <w:pPr>
              <w:pStyle w:val="TableParagraph"/>
              <w:tabs>
                <w:tab w:pos="1940" w:val="left" w:leader="none"/>
              </w:tabs>
              <w:spacing w:before="24"/>
              <w:ind w:left="642"/>
              <w:jc w:val="left"/>
              <w:rPr>
                <w:b/>
                <w:sz w:val="18"/>
              </w:rPr>
            </w:pPr>
            <w:r>
              <w:rPr>
                <w:b/>
                <w:sz w:val="18"/>
              </w:rPr>
              <w:t>$</w:t>
              <w:tab/>
              <w:t>$</w:t>
            </w:r>
          </w:p>
        </w:tc>
      </w:tr>
      <w:tr>
        <w:trPr>
          <w:trHeight w:val="698" w:hRule="exact"/>
        </w:trPr>
        <w:tc>
          <w:tcPr>
            <w:tcW w:w="5459" w:type="dxa"/>
          </w:tcPr>
          <w:p>
            <w:pPr>
              <w:pStyle w:val="TableParagraph"/>
              <w:spacing w:line="207" w:lineRule="exact" w:before="63"/>
              <w:ind w:left="62"/>
              <w:jc w:val="left"/>
              <w:rPr>
                <w:b/>
                <w:sz w:val="18"/>
              </w:rPr>
            </w:pPr>
            <w:r>
              <w:rPr>
                <w:b/>
                <w:sz w:val="18"/>
              </w:rPr>
              <w:t>ASSETS</w:t>
            </w:r>
          </w:p>
          <w:p>
            <w:pPr>
              <w:pStyle w:val="TableParagraph"/>
              <w:spacing w:line="206" w:lineRule="exact"/>
              <w:ind w:left="62"/>
              <w:jc w:val="left"/>
              <w:rPr>
                <w:b/>
                <w:sz w:val="18"/>
              </w:rPr>
            </w:pPr>
            <w:r>
              <w:rPr>
                <w:b/>
                <w:sz w:val="18"/>
              </w:rPr>
              <w:t>Current assets</w:t>
            </w:r>
          </w:p>
          <w:p>
            <w:pPr>
              <w:pStyle w:val="TableParagraph"/>
              <w:spacing w:line="207" w:lineRule="exact"/>
              <w:ind w:left="62"/>
              <w:jc w:val="left"/>
              <w:rPr>
                <w:sz w:val="18"/>
              </w:rPr>
            </w:pPr>
            <w:r>
              <w:rPr>
                <w:sz w:val="18"/>
              </w:rPr>
              <w:t>Cash and cash equivalents</w:t>
            </w:r>
          </w:p>
        </w:tc>
        <w:tc>
          <w:tcPr>
            <w:tcW w:w="1854" w:type="dxa"/>
          </w:tcPr>
          <w:p>
            <w:pPr>
              <w:pStyle w:val="TableParagraph"/>
              <w:jc w:val="left"/>
              <w:rPr>
                <w:rFonts w:ascii="Times New Roman"/>
                <w:sz w:val="18"/>
              </w:rPr>
            </w:pPr>
          </w:p>
          <w:p>
            <w:pPr>
              <w:pStyle w:val="TableParagraph"/>
              <w:spacing w:before="4"/>
              <w:jc w:val="left"/>
              <w:rPr>
                <w:rFonts w:ascii="Times New Roman"/>
                <w:sz w:val="23"/>
              </w:rPr>
            </w:pPr>
          </w:p>
          <w:p>
            <w:pPr>
              <w:pStyle w:val="TableParagraph"/>
              <w:ind w:left="1348"/>
              <w:jc w:val="left"/>
              <w:rPr>
                <w:sz w:val="18"/>
              </w:rPr>
            </w:pPr>
            <w:r>
              <w:rPr>
                <w:w w:val="99"/>
                <w:sz w:val="18"/>
              </w:rPr>
              <w:t>6</w:t>
            </w:r>
          </w:p>
        </w:tc>
        <w:tc>
          <w:tcPr>
            <w:tcW w:w="2585" w:type="dxa"/>
          </w:tcPr>
          <w:p>
            <w:pPr>
              <w:pStyle w:val="TableParagraph"/>
              <w:jc w:val="left"/>
              <w:rPr>
                <w:rFonts w:ascii="Times New Roman"/>
                <w:sz w:val="18"/>
              </w:rPr>
            </w:pPr>
          </w:p>
          <w:p>
            <w:pPr>
              <w:pStyle w:val="TableParagraph"/>
              <w:spacing w:before="4"/>
              <w:jc w:val="left"/>
              <w:rPr>
                <w:rFonts w:ascii="Times New Roman"/>
                <w:sz w:val="23"/>
              </w:rPr>
            </w:pPr>
          </w:p>
          <w:p>
            <w:pPr>
              <w:pStyle w:val="TableParagraph"/>
              <w:tabs>
                <w:tab w:pos="1108" w:val="left" w:leader="none"/>
                <w:tab w:pos="2405" w:val="left" w:leader="none"/>
              </w:tabs>
              <w:ind w:right="33"/>
              <w:rPr>
                <w:sz w:val="18"/>
              </w:rPr>
            </w:pPr>
            <w:r>
              <w:rPr>
                <w:rFonts w:ascii="Times New Roman"/>
                <w:sz w:val="18"/>
                <w:u w:val="single"/>
              </w:rPr>
              <w:t> </w:t>
              <w:tab/>
            </w:r>
            <w:r>
              <w:rPr>
                <w:b/>
                <w:sz w:val="18"/>
                <w:u w:val="single"/>
              </w:rPr>
              <w:t>1</w:t>
              <w:tab/>
            </w:r>
            <w:r>
              <w:rPr>
                <w:spacing w:val="-1"/>
                <w:sz w:val="18"/>
                <w:u w:val="single"/>
              </w:rPr>
              <w:t>1</w:t>
            </w:r>
          </w:p>
        </w:tc>
      </w:tr>
      <w:tr>
        <w:trPr>
          <w:trHeight w:val="362" w:hRule="exact"/>
        </w:trPr>
        <w:tc>
          <w:tcPr>
            <w:tcW w:w="5459" w:type="dxa"/>
          </w:tcPr>
          <w:p>
            <w:pPr>
              <w:pStyle w:val="TableParagraph"/>
              <w:spacing w:line="201" w:lineRule="exact"/>
              <w:ind w:left="62"/>
              <w:jc w:val="left"/>
              <w:rPr>
                <w:sz w:val="18"/>
              </w:rPr>
            </w:pPr>
            <w:r>
              <w:rPr>
                <w:sz w:val="18"/>
              </w:rPr>
              <w:t>Total current assets</w:t>
            </w:r>
          </w:p>
        </w:tc>
        <w:tc>
          <w:tcPr>
            <w:tcW w:w="1854" w:type="dxa"/>
          </w:tcPr>
          <w:p>
            <w:pPr/>
          </w:p>
        </w:tc>
        <w:tc>
          <w:tcPr>
            <w:tcW w:w="2585" w:type="dxa"/>
          </w:tcPr>
          <w:p>
            <w:pPr>
              <w:pStyle w:val="TableParagraph"/>
              <w:tabs>
                <w:tab w:pos="1108" w:val="left" w:leader="none"/>
                <w:tab w:pos="2405" w:val="left" w:leader="none"/>
              </w:tabs>
              <w:spacing w:line="201" w:lineRule="exact"/>
              <w:ind w:right="33"/>
              <w:rPr>
                <w:sz w:val="18"/>
              </w:rPr>
            </w:pPr>
            <w:r>
              <w:rPr>
                <w:rFonts w:ascii="Times New Roman"/>
                <w:sz w:val="18"/>
                <w:u w:val="single"/>
              </w:rPr>
              <w:t> </w:t>
              <w:tab/>
            </w:r>
            <w:r>
              <w:rPr>
                <w:b/>
                <w:sz w:val="18"/>
                <w:u w:val="single"/>
              </w:rPr>
              <w:t>1</w:t>
              <w:tab/>
            </w:r>
            <w:r>
              <w:rPr>
                <w:spacing w:val="-1"/>
                <w:sz w:val="18"/>
                <w:u w:val="single"/>
              </w:rPr>
              <w:t>1</w:t>
            </w:r>
          </w:p>
        </w:tc>
      </w:tr>
      <w:tr>
        <w:trPr>
          <w:trHeight w:val="580" w:hRule="exact"/>
        </w:trPr>
        <w:tc>
          <w:tcPr>
            <w:tcW w:w="5459" w:type="dxa"/>
          </w:tcPr>
          <w:p>
            <w:pPr>
              <w:pStyle w:val="TableParagraph"/>
              <w:spacing w:before="141"/>
              <w:ind w:left="62"/>
              <w:jc w:val="left"/>
              <w:rPr>
                <w:b/>
                <w:sz w:val="18"/>
              </w:rPr>
            </w:pPr>
            <w:r>
              <w:rPr>
                <w:b/>
                <w:sz w:val="18"/>
              </w:rPr>
              <w:t>Total assets</w:t>
            </w:r>
          </w:p>
        </w:tc>
        <w:tc>
          <w:tcPr>
            <w:tcW w:w="1854" w:type="dxa"/>
          </w:tcPr>
          <w:p>
            <w:pPr/>
          </w:p>
        </w:tc>
        <w:tc>
          <w:tcPr>
            <w:tcW w:w="2585" w:type="dxa"/>
          </w:tcPr>
          <w:p>
            <w:pPr>
              <w:pStyle w:val="TableParagraph"/>
              <w:tabs>
                <w:tab w:pos="1108" w:val="left" w:leader="none"/>
                <w:tab w:pos="2405" w:val="left" w:leader="none"/>
              </w:tabs>
              <w:spacing w:before="141"/>
              <w:ind w:right="33"/>
              <w:rPr>
                <w:sz w:val="18"/>
              </w:rPr>
            </w:pPr>
            <w:r>
              <w:rPr>
                <w:rFonts w:ascii="Times New Roman"/>
                <w:sz w:val="18"/>
                <w:u w:val="single"/>
              </w:rPr>
              <w:t> </w:t>
              <w:tab/>
            </w:r>
            <w:r>
              <w:rPr>
                <w:b/>
                <w:sz w:val="18"/>
                <w:u w:val="single"/>
              </w:rPr>
              <w:t>1</w:t>
              <w:tab/>
            </w:r>
            <w:r>
              <w:rPr>
                <w:spacing w:val="-1"/>
                <w:sz w:val="18"/>
                <w:u w:val="single"/>
              </w:rPr>
              <w:t>1</w:t>
            </w:r>
          </w:p>
        </w:tc>
      </w:tr>
      <w:tr>
        <w:trPr>
          <w:trHeight w:val="846" w:hRule="exact"/>
        </w:trPr>
        <w:tc>
          <w:tcPr>
            <w:tcW w:w="5459" w:type="dxa"/>
          </w:tcPr>
          <w:p>
            <w:pPr>
              <w:pStyle w:val="TableParagraph"/>
              <w:spacing w:before="4"/>
              <w:jc w:val="left"/>
              <w:rPr>
                <w:rFonts w:ascii="Times New Roman"/>
                <w:sz w:val="18"/>
              </w:rPr>
            </w:pPr>
          </w:p>
          <w:p>
            <w:pPr>
              <w:pStyle w:val="TableParagraph"/>
              <w:spacing w:line="207" w:lineRule="exact"/>
              <w:ind w:left="62"/>
              <w:jc w:val="left"/>
              <w:rPr>
                <w:b/>
                <w:sz w:val="18"/>
              </w:rPr>
            </w:pPr>
            <w:r>
              <w:rPr>
                <w:b/>
                <w:sz w:val="18"/>
              </w:rPr>
              <w:t>LIABILITIES</w:t>
            </w:r>
          </w:p>
          <w:p>
            <w:pPr>
              <w:pStyle w:val="TableParagraph"/>
              <w:spacing w:line="206" w:lineRule="exact"/>
              <w:ind w:left="62"/>
              <w:jc w:val="left"/>
              <w:rPr>
                <w:b/>
                <w:sz w:val="18"/>
              </w:rPr>
            </w:pPr>
            <w:r>
              <w:rPr>
                <w:b/>
                <w:sz w:val="18"/>
              </w:rPr>
              <w:t>Current liabilities</w:t>
            </w:r>
          </w:p>
          <w:p>
            <w:pPr>
              <w:pStyle w:val="TableParagraph"/>
              <w:spacing w:line="207" w:lineRule="exact"/>
              <w:ind w:left="62"/>
              <w:jc w:val="left"/>
              <w:rPr>
                <w:sz w:val="18"/>
              </w:rPr>
            </w:pPr>
            <w:r>
              <w:rPr>
                <w:sz w:val="18"/>
              </w:rPr>
              <w:t>Trade and other payables</w:t>
            </w:r>
          </w:p>
        </w:tc>
        <w:tc>
          <w:tcPr>
            <w:tcW w:w="1854" w:type="dxa"/>
          </w:tcPr>
          <w:p>
            <w:pPr/>
          </w:p>
        </w:tc>
        <w:tc>
          <w:tcPr>
            <w:tcW w:w="2585" w:type="dxa"/>
          </w:tcPr>
          <w:p>
            <w:pPr>
              <w:pStyle w:val="TableParagraph"/>
              <w:jc w:val="left"/>
              <w:rPr>
                <w:rFonts w:ascii="Times New Roman"/>
                <w:sz w:val="18"/>
              </w:rPr>
            </w:pPr>
          </w:p>
          <w:p>
            <w:pPr>
              <w:pStyle w:val="TableParagraph"/>
              <w:jc w:val="left"/>
              <w:rPr>
                <w:rFonts w:ascii="Times New Roman"/>
                <w:sz w:val="18"/>
              </w:rPr>
            </w:pPr>
          </w:p>
          <w:p>
            <w:pPr>
              <w:pStyle w:val="TableParagraph"/>
              <w:spacing w:before="3"/>
              <w:jc w:val="left"/>
              <w:rPr>
                <w:rFonts w:ascii="Times New Roman"/>
                <w:sz w:val="18"/>
              </w:rPr>
            </w:pPr>
          </w:p>
          <w:p>
            <w:pPr>
              <w:pStyle w:val="TableParagraph"/>
              <w:tabs>
                <w:tab w:pos="1148" w:val="left" w:leader="none"/>
                <w:tab w:pos="2445" w:val="left" w:leader="none"/>
              </w:tabs>
              <w:ind w:right="33"/>
              <w:rPr>
                <w:sz w:val="18"/>
              </w:rPr>
            </w:pPr>
            <w:r>
              <w:rPr>
                <w:rFonts w:ascii="Times New Roman"/>
                <w:sz w:val="18"/>
                <w:u w:val="single"/>
              </w:rPr>
              <w:t> </w:t>
              <w:tab/>
            </w:r>
            <w:r>
              <w:rPr>
                <w:b/>
                <w:sz w:val="18"/>
                <w:u w:val="single"/>
              </w:rPr>
              <w:t>-</w:t>
              <w:tab/>
            </w:r>
            <w:r>
              <w:rPr>
                <w:sz w:val="18"/>
                <w:u w:val="single"/>
              </w:rPr>
              <w:t>-</w:t>
            </w:r>
          </w:p>
        </w:tc>
      </w:tr>
      <w:tr>
        <w:trPr>
          <w:trHeight w:val="362" w:hRule="exact"/>
        </w:trPr>
        <w:tc>
          <w:tcPr>
            <w:tcW w:w="5459" w:type="dxa"/>
          </w:tcPr>
          <w:p>
            <w:pPr>
              <w:pStyle w:val="TableParagraph"/>
              <w:spacing w:line="201" w:lineRule="exact"/>
              <w:ind w:left="62"/>
              <w:jc w:val="left"/>
              <w:rPr>
                <w:sz w:val="18"/>
              </w:rPr>
            </w:pPr>
            <w:r>
              <w:rPr>
                <w:sz w:val="18"/>
              </w:rPr>
              <w:t>Total current liabilities</w:t>
            </w:r>
          </w:p>
        </w:tc>
        <w:tc>
          <w:tcPr>
            <w:tcW w:w="1854" w:type="dxa"/>
          </w:tcPr>
          <w:p>
            <w:pPr/>
          </w:p>
        </w:tc>
        <w:tc>
          <w:tcPr>
            <w:tcW w:w="2585" w:type="dxa"/>
          </w:tcPr>
          <w:p>
            <w:pPr>
              <w:pStyle w:val="TableParagraph"/>
              <w:tabs>
                <w:tab w:pos="1148" w:val="left" w:leader="none"/>
                <w:tab w:pos="2445" w:val="left" w:leader="none"/>
              </w:tabs>
              <w:spacing w:line="201" w:lineRule="exact"/>
              <w:ind w:right="33"/>
              <w:rPr>
                <w:sz w:val="18"/>
              </w:rPr>
            </w:pPr>
            <w:r>
              <w:rPr>
                <w:rFonts w:ascii="Times New Roman"/>
                <w:sz w:val="18"/>
                <w:u w:val="single"/>
              </w:rPr>
              <w:t> </w:t>
              <w:tab/>
            </w:r>
            <w:r>
              <w:rPr>
                <w:b/>
                <w:sz w:val="18"/>
                <w:u w:val="single"/>
              </w:rPr>
              <w:t>-</w:t>
              <w:tab/>
            </w:r>
            <w:r>
              <w:rPr>
                <w:sz w:val="18"/>
                <w:u w:val="single"/>
              </w:rPr>
              <w:t>-</w:t>
            </w:r>
          </w:p>
        </w:tc>
      </w:tr>
      <w:tr>
        <w:trPr>
          <w:trHeight w:val="509" w:hRule="exact"/>
        </w:trPr>
        <w:tc>
          <w:tcPr>
            <w:tcW w:w="5459" w:type="dxa"/>
          </w:tcPr>
          <w:p>
            <w:pPr>
              <w:pStyle w:val="TableParagraph"/>
              <w:spacing w:before="141"/>
              <w:ind w:left="62"/>
              <w:jc w:val="left"/>
              <w:rPr>
                <w:b/>
                <w:sz w:val="18"/>
              </w:rPr>
            </w:pPr>
            <w:r>
              <w:rPr>
                <w:b/>
                <w:sz w:val="18"/>
              </w:rPr>
              <w:t>Total liabilities</w:t>
            </w:r>
          </w:p>
        </w:tc>
        <w:tc>
          <w:tcPr>
            <w:tcW w:w="1854" w:type="dxa"/>
          </w:tcPr>
          <w:p>
            <w:pPr/>
          </w:p>
        </w:tc>
        <w:tc>
          <w:tcPr>
            <w:tcW w:w="2585" w:type="dxa"/>
          </w:tcPr>
          <w:p>
            <w:pPr>
              <w:pStyle w:val="TableParagraph"/>
              <w:tabs>
                <w:tab w:pos="1148" w:val="left" w:leader="none"/>
                <w:tab w:pos="2445" w:val="left" w:leader="none"/>
              </w:tabs>
              <w:spacing w:before="141"/>
              <w:ind w:right="33"/>
              <w:rPr>
                <w:sz w:val="18"/>
              </w:rPr>
            </w:pPr>
            <w:r>
              <w:rPr>
                <w:rFonts w:ascii="Times New Roman"/>
                <w:sz w:val="18"/>
                <w:u w:val="single"/>
              </w:rPr>
              <w:t> </w:t>
              <w:tab/>
            </w:r>
            <w:r>
              <w:rPr>
                <w:b/>
                <w:sz w:val="18"/>
                <w:u w:val="single"/>
              </w:rPr>
              <w:t>-</w:t>
              <w:tab/>
            </w:r>
            <w:r>
              <w:rPr>
                <w:sz w:val="18"/>
                <w:u w:val="single"/>
              </w:rPr>
              <w:t>-</w:t>
            </w:r>
          </w:p>
        </w:tc>
      </w:tr>
      <w:tr>
        <w:trPr>
          <w:trHeight w:val="580" w:hRule="exact"/>
        </w:trPr>
        <w:tc>
          <w:tcPr>
            <w:tcW w:w="5459" w:type="dxa"/>
          </w:tcPr>
          <w:p>
            <w:pPr>
              <w:pStyle w:val="TableParagraph"/>
              <w:spacing w:before="141"/>
              <w:ind w:left="62"/>
              <w:jc w:val="left"/>
              <w:rPr>
                <w:b/>
                <w:sz w:val="18"/>
              </w:rPr>
            </w:pPr>
            <w:r>
              <w:rPr>
                <w:b/>
                <w:sz w:val="18"/>
              </w:rPr>
              <w:t>Net assets</w:t>
            </w:r>
          </w:p>
        </w:tc>
        <w:tc>
          <w:tcPr>
            <w:tcW w:w="1854" w:type="dxa"/>
          </w:tcPr>
          <w:p>
            <w:pPr/>
          </w:p>
        </w:tc>
        <w:tc>
          <w:tcPr>
            <w:tcW w:w="2585" w:type="dxa"/>
          </w:tcPr>
          <w:p>
            <w:pPr>
              <w:pStyle w:val="TableParagraph"/>
              <w:tabs>
                <w:tab w:pos="1108" w:val="left" w:leader="none"/>
                <w:tab w:pos="2405" w:val="left" w:leader="none"/>
              </w:tabs>
              <w:spacing w:before="141"/>
              <w:ind w:right="33"/>
              <w:rPr>
                <w:sz w:val="18"/>
              </w:rPr>
            </w:pPr>
            <w:r>
              <w:rPr>
                <w:rFonts w:ascii="Times New Roman"/>
                <w:sz w:val="18"/>
                <w:u w:val="single"/>
              </w:rPr>
              <w:t> </w:t>
              <w:tab/>
            </w:r>
            <w:r>
              <w:rPr>
                <w:b/>
                <w:sz w:val="18"/>
                <w:u w:val="single"/>
              </w:rPr>
              <w:t>1</w:t>
              <w:tab/>
            </w:r>
            <w:r>
              <w:rPr>
                <w:spacing w:val="-1"/>
                <w:sz w:val="18"/>
                <w:u w:val="single"/>
              </w:rPr>
              <w:t>1</w:t>
            </w:r>
          </w:p>
        </w:tc>
      </w:tr>
      <w:tr>
        <w:trPr>
          <w:trHeight w:val="634" w:hRule="exact"/>
        </w:trPr>
        <w:tc>
          <w:tcPr>
            <w:tcW w:w="5459" w:type="dxa"/>
          </w:tcPr>
          <w:p>
            <w:pPr>
              <w:pStyle w:val="TableParagraph"/>
              <w:spacing w:before="4"/>
              <w:jc w:val="left"/>
              <w:rPr>
                <w:rFonts w:ascii="Times New Roman"/>
                <w:sz w:val="18"/>
              </w:rPr>
            </w:pPr>
          </w:p>
          <w:p>
            <w:pPr>
              <w:pStyle w:val="TableParagraph"/>
              <w:spacing w:line="207" w:lineRule="exact"/>
              <w:ind w:left="62"/>
              <w:jc w:val="left"/>
              <w:rPr>
                <w:b/>
                <w:sz w:val="18"/>
              </w:rPr>
            </w:pPr>
            <w:r>
              <w:rPr>
                <w:b/>
                <w:sz w:val="18"/>
              </w:rPr>
              <w:t>EQUITY</w:t>
            </w:r>
          </w:p>
          <w:p>
            <w:pPr>
              <w:pStyle w:val="TableParagraph"/>
              <w:spacing w:line="207" w:lineRule="exact"/>
              <w:ind w:left="62"/>
              <w:jc w:val="left"/>
              <w:rPr>
                <w:sz w:val="18"/>
              </w:rPr>
            </w:pPr>
            <w:r>
              <w:rPr>
                <w:sz w:val="18"/>
              </w:rPr>
              <w:t>Contributed equity</w:t>
            </w:r>
          </w:p>
        </w:tc>
        <w:tc>
          <w:tcPr>
            <w:tcW w:w="1854" w:type="dxa"/>
          </w:tcPr>
          <w:p>
            <w:pPr/>
          </w:p>
        </w:tc>
        <w:tc>
          <w:tcPr>
            <w:tcW w:w="2585" w:type="dxa"/>
          </w:tcPr>
          <w:p>
            <w:pPr>
              <w:pStyle w:val="TableParagraph"/>
              <w:jc w:val="left"/>
              <w:rPr>
                <w:rFonts w:ascii="Times New Roman"/>
                <w:sz w:val="18"/>
              </w:rPr>
            </w:pPr>
          </w:p>
          <w:p>
            <w:pPr>
              <w:pStyle w:val="TableParagraph"/>
              <w:spacing w:before="4"/>
              <w:jc w:val="left"/>
              <w:rPr>
                <w:rFonts w:ascii="Times New Roman"/>
                <w:sz w:val="18"/>
              </w:rPr>
            </w:pPr>
          </w:p>
          <w:p>
            <w:pPr>
              <w:pStyle w:val="TableParagraph"/>
              <w:tabs>
                <w:tab w:pos="1297" w:val="left" w:leader="none"/>
              </w:tabs>
              <w:ind w:right="33"/>
              <w:rPr>
                <w:sz w:val="18"/>
              </w:rPr>
            </w:pPr>
            <w:r>
              <w:rPr>
                <w:b/>
                <w:sz w:val="18"/>
              </w:rPr>
              <w:t>1</w:t>
              <w:tab/>
            </w:r>
            <w:r>
              <w:rPr>
                <w:spacing w:val="-1"/>
                <w:sz w:val="18"/>
              </w:rPr>
              <w:t>1</w:t>
            </w:r>
          </w:p>
        </w:tc>
      </w:tr>
      <w:tr>
        <w:trPr>
          <w:trHeight w:val="510" w:hRule="exact"/>
        </w:trPr>
        <w:tc>
          <w:tcPr>
            <w:tcW w:w="5459" w:type="dxa"/>
          </w:tcPr>
          <w:p>
            <w:pPr>
              <w:pStyle w:val="TableParagraph"/>
              <w:spacing w:line="197" w:lineRule="exact"/>
              <w:ind w:left="62"/>
              <w:jc w:val="left"/>
              <w:rPr>
                <w:sz w:val="18"/>
              </w:rPr>
            </w:pPr>
            <w:r>
              <w:rPr>
                <w:sz w:val="18"/>
              </w:rPr>
              <w:t>Retained earnings</w:t>
            </w:r>
          </w:p>
          <w:p>
            <w:pPr>
              <w:pStyle w:val="TableParagraph"/>
              <w:spacing w:before="9"/>
              <w:ind w:left="62"/>
              <w:jc w:val="left"/>
              <w:rPr>
                <w:b/>
                <w:sz w:val="18"/>
              </w:rPr>
            </w:pPr>
            <w:r>
              <w:rPr>
                <w:b/>
                <w:sz w:val="18"/>
              </w:rPr>
              <w:t>Total equity</w:t>
            </w:r>
          </w:p>
        </w:tc>
        <w:tc>
          <w:tcPr>
            <w:tcW w:w="1854" w:type="dxa"/>
          </w:tcPr>
          <w:p>
            <w:pPr/>
          </w:p>
        </w:tc>
        <w:tc>
          <w:tcPr>
            <w:tcW w:w="2585" w:type="dxa"/>
          </w:tcPr>
          <w:p>
            <w:pPr>
              <w:pStyle w:val="TableParagraph"/>
              <w:tabs>
                <w:tab w:pos="1192" w:val="left" w:leader="none"/>
                <w:tab w:pos="2489" w:val="left" w:leader="none"/>
              </w:tabs>
              <w:spacing w:line="197" w:lineRule="exact"/>
              <w:ind w:left="44"/>
              <w:jc w:val="left"/>
              <w:rPr>
                <w:sz w:val="18"/>
              </w:rPr>
            </w:pPr>
            <w:r>
              <w:rPr>
                <w:rFonts w:ascii="Times New Roman"/>
                <w:sz w:val="18"/>
                <w:u w:val="single"/>
              </w:rPr>
              <w:t> </w:t>
              <w:tab/>
            </w:r>
            <w:r>
              <w:rPr>
                <w:b/>
                <w:sz w:val="18"/>
                <w:u w:val="single"/>
              </w:rPr>
              <w:t>-</w:t>
              <w:tab/>
            </w:r>
            <w:r>
              <w:rPr>
                <w:sz w:val="18"/>
                <w:u w:val="single"/>
              </w:rPr>
              <w:t>-</w:t>
            </w:r>
          </w:p>
          <w:p>
            <w:pPr>
              <w:pStyle w:val="TableParagraph"/>
              <w:tabs>
                <w:tab w:pos="1152" w:val="left" w:leader="none"/>
                <w:tab w:pos="2450" w:val="left" w:leader="none"/>
              </w:tabs>
              <w:spacing w:before="9"/>
              <w:ind w:left="44"/>
              <w:jc w:val="left"/>
              <w:rPr>
                <w:sz w:val="18"/>
              </w:rPr>
            </w:pPr>
            <w:r>
              <w:rPr>
                <w:rFonts w:ascii="Times New Roman"/>
                <w:sz w:val="18"/>
                <w:u w:val="single"/>
              </w:rPr>
              <w:t> </w:t>
              <w:tab/>
            </w:r>
            <w:r>
              <w:rPr>
                <w:b/>
                <w:sz w:val="18"/>
                <w:u w:val="single"/>
              </w:rPr>
              <w:t>1</w:t>
              <w:tab/>
            </w:r>
            <w:r>
              <w:rPr>
                <w:sz w:val="18"/>
                <w:u w:val="single"/>
              </w:rPr>
              <w:t>1</w:t>
            </w:r>
          </w:p>
        </w:tc>
      </w:tr>
    </w:tbl>
    <w:p>
      <w:pPr>
        <w:spacing w:after="0"/>
        <w:jc w:val="left"/>
        <w:rPr>
          <w:sz w:val="18"/>
        </w:rPr>
        <w:sectPr>
          <w:pgSz w:w="12750" w:h="17680"/>
          <w:pgMar w:header="0" w:footer="1403" w:top="1880" w:bottom="1600" w:left="0" w:right="0"/>
        </w:sectPr>
      </w:pPr>
    </w:p>
    <w:p>
      <w:pPr>
        <w:pStyle w:val="BodyText"/>
        <w:spacing w:before="2"/>
        <w:rPr>
          <w:rFonts w:ascii="Times New Roman"/>
          <w:sz w:val="24"/>
        </w:rPr>
      </w:pPr>
      <w:r>
        <w:rPr/>
        <w:drawing>
          <wp:anchor distT="0" distB="0" distL="0" distR="0" allowOverlap="1" layoutInCell="1" locked="0" behindDoc="0" simplePos="0" relativeHeight="14296">
            <wp:simplePos x="0" y="0"/>
            <wp:positionH relativeFrom="page">
              <wp:posOffset>-1587</wp:posOffset>
            </wp:positionH>
            <wp:positionV relativeFrom="page">
              <wp:posOffset>5534342</wp:posOffset>
            </wp:positionV>
            <wp:extent cx="135159" cy="154019"/>
            <wp:effectExtent l="0" t="0" r="0" b="0"/>
            <wp:wrapNone/>
            <wp:docPr id="969" name="image13.png" descr=""/>
            <wp:cNvGraphicFramePr>
              <a:graphicFrameLocks noChangeAspect="1"/>
            </wp:cNvGraphicFramePr>
            <a:graphic>
              <a:graphicData uri="http://schemas.openxmlformats.org/drawingml/2006/picture">
                <pic:pic>
                  <pic:nvPicPr>
                    <pic:cNvPr id="970" name="image13.png"/>
                    <pic:cNvPicPr/>
                  </pic:nvPicPr>
                  <pic:blipFill>
                    <a:blip r:embed="rId18" cstate="print"/>
                    <a:stretch>
                      <a:fillRect/>
                    </a:stretch>
                  </pic:blipFill>
                  <pic:spPr>
                    <a:xfrm>
                      <a:off x="0" y="0"/>
                      <a:ext cx="135159" cy="154019"/>
                    </a:xfrm>
                    <a:prstGeom prst="rect">
                      <a:avLst/>
                    </a:prstGeom>
                  </pic:spPr>
                </pic:pic>
              </a:graphicData>
            </a:graphic>
          </wp:anchor>
        </w:drawing>
      </w:r>
      <w:r>
        <w:rPr/>
        <w:drawing>
          <wp:anchor distT="0" distB="0" distL="0" distR="0" allowOverlap="1" layoutInCell="1" locked="0" behindDoc="0" simplePos="0" relativeHeight="14320">
            <wp:simplePos x="0" y="0"/>
            <wp:positionH relativeFrom="page">
              <wp:posOffset>7958429</wp:posOffset>
            </wp:positionH>
            <wp:positionV relativeFrom="page">
              <wp:posOffset>5534342</wp:posOffset>
            </wp:positionV>
            <wp:extent cx="135953" cy="155575"/>
            <wp:effectExtent l="0" t="0" r="0" b="0"/>
            <wp:wrapNone/>
            <wp:docPr id="971" name="image15.png" descr=""/>
            <wp:cNvGraphicFramePr>
              <a:graphicFrameLocks noChangeAspect="1"/>
            </wp:cNvGraphicFramePr>
            <a:graphic>
              <a:graphicData uri="http://schemas.openxmlformats.org/drawingml/2006/picture">
                <pic:pic>
                  <pic:nvPicPr>
                    <pic:cNvPr id="972" name="image15.png"/>
                    <pic:cNvPicPr/>
                  </pic:nvPicPr>
                  <pic:blipFill>
                    <a:blip r:embed="rId20" cstate="print"/>
                    <a:stretch>
                      <a:fillRect/>
                    </a:stretch>
                  </pic:blipFill>
                  <pic:spPr>
                    <a:xfrm>
                      <a:off x="0" y="0"/>
                      <a:ext cx="135953" cy="155575"/>
                    </a:xfrm>
                    <a:prstGeom prst="rect">
                      <a:avLst/>
                    </a:prstGeom>
                  </pic:spPr>
                </pic:pic>
              </a:graphicData>
            </a:graphic>
          </wp:anchor>
        </w:drawing>
      </w:r>
    </w:p>
    <w:tbl>
      <w:tblPr>
        <w:tblW w:w="0" w:type="auto"/>
        <w:jc w:val="left"/>
        <w:tblInd w:w="139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156"/>
        <w:gridCol w:w="1293"/>
        <w:gridCol w:w="967"/>
        <w:gridCol w:w="1412"/>
      </w:tblGrid>
      <w:tr>
        <w:trPr>
          <w:trHeight w:val="911" w:hRule="exact"/>
        </w:trPr>
        <w:tc>
          <w:tcPr>
            <w:tcW w:w="6156" w:type="dxa"/>
          </w:tcPr>
          <w:p>
            <w:pPr>
              <w:pStyle w:val="TableParagraph"/>
              <w:spacing w:before="64"/>
              <w:ind w:left="35"/>
              <w:jc w:val="left"/>
              <w:rPr>
                <w:b/>
                <w:sz w:val="28"/>
              </w:rPr>
            </w:pPr>
            <w:r>
              <w:rPr>
                <w:b/>
                <w:sz w:val="28"/>
              </w:rPr>
              <w:t>Statement of changes in equity</w:t>
            </w:r>
          </w:p>
          <w:p>
            <w:pPr>
              <w:pStyle w:val="TableParagraph"/>
              <w:spacing w:before="57"/>
              <w:ind w:left="35"/>
              <w:jc w:val="left"/>
              <w:rPr>
                <w:b/>
                <w:sz w:val="22"/>
              </w:rPr>
            </w:pPr>
            <w:bookmarkStart w:name="Statement of changes in equity" w:id="388"/>
            <w:bookmarkEnd w:id="388"/>
            <w:r>
              <w:rPr/>
            </w:r>
            <w:r>
              <w:rPr>
                <w:b/>
                <w:sz w:val="22"/>
              </w:rPr>
              <w:t>For the year ended 31 December 2016</w:t>
            </w:r>
          </w:p>
        </w:tc>
        <w:tc>
          <w:tcPr>
            <w:tcW w:w="3672" w:type="dxa"/>
            <w:gridSpan w:val="3"/>
          </w:tcPr>
          <w:p>
            <w:pPr/>
          </w:p>
        </w:tc>
      </w:tr>
      <w:tr>
        <w:trPr>
          <w:trHeight w:val="653" w:hRule="exact"/>
        </w:trPr>
        <w:tc>
          <w:tcPr>
            <w:tcW w:w="6156" w:type="dxa"/>
          </w:tcPr>
          <w:p>
            <w:pPr/>
          </w:p>
        </w:tc>
        <w:tc>
          <w:tcPr>
            <w:tcW w:w="1293" w:type="dxa"/>
          </w:tcPr>
          <w:p>
            <w:pPr>
              <w:pStyle w:val="TableParagraph"/>
              <w:spacing w:before="1"/>
              <w:jc w:val="left"/>
              <w:rPr>
                <w:rFonts w:ascii="Times New Roman"/>
                <w:sz w:val="17"/>
              </w:rPr>
            </w:pPr>
          </w:p>
          <w:p>
            <w:pPr>
              <w:pStyle w:val="TableParagraph"/>
              <w:ind w:left="346" w:right="152" w:hanging="246"/>
              <w:jc w:val="left"/>
              <w:rPr>
                <w:b/>
                <w:sz w:val="18"/>
              </w:rPr>
            </w:pPr>
            <w:r>
              <w:rPr>
                <w:b/>
                <w:sz w:val="18"/>
              </w:rPr>
              <w:t>Contributed equity</w:t>
            </w:r>
          </w:p>
        </w:tc>
        <w:tc>
          <w:tcPr>
            <w:tcW w:w="967" w:type="dxa"/>
          </w:tcPr>
          <w:p>
            <w:pPr>
              <w:pStyle w:val="TableParagraph"/>
              <w:spacing w:before="1"/>
              <w:jc w:val="left"/>
              <w:rPr>
                <w:rFonts w:ascii="Times New Roman"/>
                <w:sz w:val="17"/>
              </w:rPr>
            </w:pPr>
          </w:p>
          <w:p>
            <w:pPr>
              <w:pStyle w:val="TableParagraph"/>
              <w:ind w:left="156" w:right="21" w:firstLine="6"/>
              <w:jc w:val="left"/>
              <w:rPr>
                <w:b/>
                <w:sz w:val="18"/>
              </w:rPr>
            </w:pPr>
            <w:r>
              <w:rPr>
                <w:b/>
                <w:sz w:val="18"/>
              </w:rPr>
              <w:t>Retained Earnings</w:t>
            </w:r>
          </w:p>
        </w:tc>
        <w:tc>
          <w:tcPr>
            <w:tcW w:w="1412" w:type="dxa"/>
          </w:tcPr>
          <w:p>
            <w:pPr>
              <w:pStyle w:val="TableParagraph"/>
              <w:jc w:val="left"/>
              <w:rPr>
                <w:rFonts w:ascii="Times New Roman"/>
                <w:sz w:val="18"/>
              </w:rPr>
            </w:pPr>
          </w:p>
          <w:p>
            <w:pPr>
              <w:pStyle w:val="TableParagraph"/>
              <w:spacing w:before="1"/>
              <w:jc w:val="left"/>
              <w:rPr>
                <w:rFonts w:ascii="Times New Roman"/>
                <w:sz w:val="17"/>
              </w:rPr>
            </w:pPr>
          </w:p>
          <w:p>
            <w:pPr>
              <w:pStyle w:val="TableParagraph"/>
              <w:ind w:right="117"/>
              <w:rPr>
                <w:b/>
                <w:sz w:val="18"/>
              </w:rPr>
            </w:pPr>
            <w:r>
              <w:rPr>
                <w:b/>
                <w:sz w:val="18"/>
              </w:rPr>
              <w:t>Total equity</w:t>
            </w:r>
          </w:p>
        </w:tc>
      </w:tr>
      <w:tr>
        <w:trPr>
          <w:trHeight w:val="272" w:hRule="exact"/>
        </w:trPr>
        <w:tc>
          <w:tcPr>
            <w:tcW w:w="6156" w:type="dxa"/>
          </w:tcPr>
          <w:p>
            <w:pPr/>
          </w:p>
        </w:tc>
        <w:tc>
          <w:tcPr>
            <w:tcW w:w="1293" w:type="dxa"/>
            <w:tcBorders>
              <w:bottom w:val="single" w:sz="0" w:space="0" w:color="000000"/>
            </w:tcBorders>
          </w:tcPr>
          <w:p>
            <w:pPr>
              <w:pStyle w:val="TableParagraph"/>
              <w:spacing w:before="24"/>
              <w:ind w:left="561"/>
              <w:jc w:val="left"/>
              <w:rPr>
                <w:b/>
                <w:sz w:val="18"/>
              </w:rPr>
            </w:pPr>
            <w:r>
              <w:rPr>
                <w:b/>
                <w:w w:val="99"/>
                <w:sz w:val="18"/>
              </w:rPr>
              <w:t>$</w:t>
            </w:r>
          </w:p>
        </w:tc>
        <w:tc>
          <w:tcPr>
            <w:tcW w:w="967" w:type="dxa"/>
            <w:tcBorders>
              <w:bottom w:val="single" w:sz="0" w:space="0" w:color="000000"/>
            </w:tcBorders>
          </w:tcPr>
          <w:p>
            <w:pPr>
              <w:pStyle w:val="TableParagraph"/>
              <w:spacing w:before="24"/>
              <w:ind w:right="372"/>
              <w:rPr>
                <w:b/>
                <w:sz w:val="18"/>
              </w:rPr>
            </w:pPr>
            <w:r>
              <w:rPr>
                <w:b/>
                <w:w w:val="99"/>
                <w:sz w:val="18"/>
              </w:rPr>
              <w:t>$</w:t>
            </w:r>
          </w:p>
        </w:tc>
        <w:tc>
          <w:tcPr>
            <w:tcW w:w="1412" w:type="dxa"/>
            <w:tcBorders>
              <w:bottom w:val="single" w:sz="0" w:space="0" w:color="000000"/>
            </w:tcBorders>
          </w:tcPr>
          <w:p>
            <w:pPr>
              <w:pStyle w:val="TableParagraph"/>
              <w:spacing w:before="24"/>
              <w:ind w:left="160"/>
              <w:jc w:val="center"/>
              <w:rPr>
                <w:b/>
                <w:sz w:val="18"/>
              </w:rPr>
            </w:pPr>
            <w:r>
              <w:rPr>
                <w:b/>
                <w:w w:val="99"/>
                <w:sz w:val="18"/>
              </w:rPr>
              <w:t>$</w:t>
            </w:r>
          </w:p>
        </w:tc>
      </w:tr>
      <w:tr>
        <w:trPr>
          <w:trHeight w:val="294" w:hRule="exact"/>
        </w:trPr>
        <w:tc>
          <w:tcPr>
            <w:tcW w:w="6156" w:type="dxa"/>
          </w:tcPr>
          <w:p>
            <w:pPr>
              <w:pStyle w:val="TableParagraph"/>
              <w:spacing w:before="44"/>
              <w:ind w:left="62"/>
              <w:jc w:val="left"/>
              <w:rPr>
                <w:b/>
                <w:sz w:val="18"/>
              </w:rPr>
            </w:pPr>
            <w:r>
              <w:rPr>
                <w:b/>
                <w:sz w:val="18"/>
              </w:rPr>
              <w:t>Balance at 1 January 2016</w:t>
            </w:r>
          </w:p>
        </w:tc>
        <w:tc>
          <w:tcPr>
            <w:tcW w:w="1293" w:type="dxa"/>
            <w:tcBorders>
              <w:top w:val="single" w:sz="0" w:space="0" w:color="000000"/>
            </w:tcBorders>
          </w:tcPr>
          <w:p>
            <w:pPr>
              <w:pStyle w:val="TableParagraph"/>
              <w:spacing w:before="48"/>
              <w:ind w:right="154"/>
              <w:rPr>
                <w:b/>
                <w:sz w:val="18"/>
              </w:rPr>
            </w:pPr>
            <w:r>
              <w:rPr>
                <w:b/>
                <w:w w:val="99"/>
                <w:sz w:val="18"/>
              </w:rPr>
              <w:t>1</w:t>
            </w:r>
          </w:p>
        </w:tc>
        <w:tc>
          <w:tcPr>
            <w:tcW w:w="967" w:type="dxa"/>
            <w:tcBorders>
              <w:top w:val="single" w:sz="0" w:space="0" w:color="000000"/>
            </w:tcBorders>
          </w:tcPr>
          <w:p>
            <w:pPr/>
          </w:p>
        </w:tc>
        <w:tc>
          <w:tcPr>
            <w:tcW w:w="1412" w:type="dxa"/>
            <w:tcBorders>
              <w:top w:val="single" w:sz="0" w:space="0" w:color="000000"/>
            </w:tcBorders>
          </w:tcPr>
          <w:p>
            <w:pPr>
              <w:pStyle w:val="TableParagraph"/>
              <w:tabs>
                <w:tab w:pos="1184" w:val="left" w:leader="none"/>
              </w:tabs>
              <w:spacing w:before="48"/>
              <w:ind w:right="86"/>
              <w:rPr>
                <w:b/>
                <w:sz w:val="18"/>
              </w:rPr>
            </w:pPr>
            <w:r>
              <w:rPr>
                <w:b/>
                <w:sz w:val="18"/>
              </w:rPr>
              <w:t>-</w:t>
              <w:tab/>
            </w:r>
            <w:r>
              <w:rPr>
                <w:b/>
                <w:spacing w:val="-1"/>
                <w:sz w:val="18"/>
              </w:rPr>
              <w:t>1</w:t>
            </w:r>
          </w:p>
        </w:tc>
      </w:tr>
      <w:tr>
        <w:trPr>
          <w:trHeight w:val="263" w:hRule="exact"/>
        </w:trPr>
        <w:tc>
          <w:tcPr>
            <w:tcW w:w="6156" w:type="dxa"/>
          </w:tcPr>
          <w:p>
            <w:pPr>
              <w:pStyle w:val="TableParagraph"/>
              <w:spacing w:before="20"/>
              <w:ind w:left="62"/>
              <w:jc w:val="left"/>
              <w:rPr>
                <w:sz w:val="18"/>
              </w:rPr>
            </w:pPr>
            <w:r>
              <w:rPr>
                <w:sz w:val="18"/>
              </w:rPr>
              <w:t>Total comprehensive income for the year</w:t>
            </w:r>
          </w:p>
        </w:tc>
        <w:tc>
          <w:tcPr>
            <w:tcW w:w="1293" w:type="dxa"/>
            <w:tcBorders>
              <w:bottom w:val="single" w:sz="0" w:space="0" w:color="000000"/>
            </w:tcBorders>
          </w:tcPr>
          <w:p>
            <w:pPr>
              <w:pStyle w:val="TableParagraph"/>
              <w:spacing w:before="19"/>
              <w:ind w:right="155"/>
              <w:rPr>
                <w:b/>
                <w:sz w:val="18"/>
              </w:rPr>
            </w:pPr>
            <w:r>
              <w:rPr>
                <w:b/>
                <w:w w:val="99"/>
                <w:sz w:val="18"/>
              </w:rPr>
              <w:t>-</w:t>
            </w:r>
          </w:p>
        </w:tc>
        <w:tc>
          <w:tcPr>
            <w:tcW w:w="967" w:type="dxa"/>
            <w:tcBorders>
              <w:bottom w:val="single" w:sz="0" w:space="0" w:color="000000"/>
            </w:tcBorders>
          </w:tcPr>
          <w:p>
            <w:pPr/>
          </w:p>
        </w:tc>
        <w:tc>
          <w:tcPr>
            <w:tcW w:w="1412" w:type="dxa"/>
            <w:tcBorders>
              <w:bottom w:val="single" w:sz="0" w:space="0" w:color="000000"/>
            </w:tcBorders>
          </w:tcPr>
          <w:p>
            <w:pPr>
              <w:pStyle w:val="TableParagraph"/>
              <w:tabs>
                <w:tab w:pos="1223" w:val="left" w:leader="none"/>
              </w:tabs>
              <w:spacing w:before="19"/>
              <w:ind w:right="86"/>
              <w:rPr>
                <w:b/>
                <w:sz w:val="18"/>
              </w:rPr>
            </w:pPr>
            <w:r>
              <w:rPr>
                <w:b/>
                <w:sz w:val="18"/>
              </w:rPr>
              <w:t>-</w:t>
              <w:tab/>
              <w:t>-</w:t>
            </w:r>
          </w:p>
        </w:tc>
      </w:tr>
      <w:tr>
        <w:trPr>
          <w:trHeight w:val="353" w:hRule="exact"/>
        </w:trPr>
        <w:tc>
          <w:tcPr>
            <w:tcW w:w="6156" w:type="dxa"/>
          </w:tcPr>
          <w:p>
            <w:pPr>
              <w:pStyle w:val="TableParagraph"/>
              <w:spacing w:before="123"/>
              <w:ind w:left="62"/>
              <w:jc w:val="left"/>
              <w:rPr>
                <w:b/>
                <w:sz w:val="18"/>
              </w:rPr>
            </w:pPr>
            <w:r>
              <w:rPr>
                <w:b/>
                <w:sz w:val="18"/>
              </w:rPr>
              <w:t>Balance at 31 December 2016</w:t>
            </w:r>
          </w:p>
        </w:tc>
        <w:tc>
          <w:tcPr>
            <w:tcW w:w="1293" w:type="dxa"/>
            <w:tcBorders>
              <w:top w:val="single" w:sz="0" w:space="0" w:color="000000"/>
              <w:bottom w:val="single" w:sz="0" w:space="0" w:color="000000"/>
            </w:tcBorders>
          </w:tcPr>
          <w:p>
            <w:pPr>
              <w:pStyle w:val="TableParagraph"/>
              <w:spacing w:before="122"/>
              <w:ind w:right="154"/>
              <w:rPr>
                <w:b/>
                <w:sz w:val="18"/>
              </w:rPr>
            </w:pPr>
            <w:r>
              <w:rPr>
                <w:b/>
                <w:w w:val="99"/>
                <w:sz w:val="18"/>
              </w:rPr>
              <w:t>1</w:t>
            </w:r>
          </w:p>
        </w:tc>
        <w:tc>
          <w:tcPr>
            <w:tcW w:w="967" w:type="dxa"/>
            <w:tcBorders>
              <w:top w:val="single" w:sz="0" w:space="0" w:color="000000"/>
              <w:bottom w:val="single" w:sz="0" w:space="0" w:color="000000"/>
            </w:tcBorders>
          </w:tcPr>
          <w:p>
            <w:pPr/>
          </w:p>
        </w:tc>
        <w:tc>
          <w:tcPr>
            <w:tcW w:w="1412" w:type="dxa"/>
            <w:tcBorders>
              <w:top w:val="single" w:sz="0" w:space="0" w:color="000000"/>
              <w:bottom w:val="single" w:sz="0" w:space="0" w:color="000000"/>
            </w:tcBorders>
          </w:tcPr>
          <w:p>
            <w:pPr>
              <w:pStyle w:val="TableParagraph"/>
              <w:tabs>
                <w:tab w:pos="1184" w:val="left" w:leader="none"/>
              </w:tabs>
              <w:spacing w:before="122"/>
              <w:ind w:right="86"/>
              <w:rPr>
                <w:b/>
                <w:sz w:val="18"/>
              </w:rPr>
            </w:pPr>
            <w:r>
              <w:rPr>
                <w:b/>
                <w:sz w:val="18"/>
              </w:rPr>
              <w:t>-</w:t>
              <w:tab/>
            </w:r>
            <w:r>
              <w:rPr>
                <w:b/>
                <w:spacing w:val="-1"/>
                <w:sz w:val="18"/>
              </w:rPr>
              <w:t>1</w:t>
            </w:r>
          </w:p>
        </w:tc>
      </w:tr>
      <w:tr>
        <w:trPr>
          <w:trHeight w:val="811" w:hRule="exact"/>
        </w:trPr>
        <w:tc>
          <w:tcPr>
            <w:tcW w:w="6156" w:type="dxa"/>
          </w:tcPr>
          <w:p>
            <w:pPr/>
          </w:p>
        </w:tc>
        <w:tc>
          <w:tcPr>
            <w:tcW w:w="1293" w:type="dxa"/>
            <w:tcBorders>
              <w:top w:val="single" w:sz="0" w:space="0" w:color="000000"/>
            </w:tcBorders>
          </w:tcPr>
          <w:p>
            <w:pPr>
              <w:pStyle w:val="TableParagraph"/>
              <w:jc w:val="left"/>
              <w:rPr>
                <w:rFonts w:ascii="Times New Roman"/>
                <w:sz w:val="18"/>
              </w:rPr>
            </w:pPr>
          </w:p>
          <w:p>
            <w:pPr>
              <w:pStyle w:val="TableParagraph"/>
              <w:spacing w:before="146"/>
              <w:ind w:left="346" w:right="152" w:hanging="246"/>
              <w:jc w:val="left"/>
              <w:rPr>
                <w:b/>
                <w:sz w:val="18"/>
              </w:rPr>
            </w:pPr>
            <w:r>
              <w:rPr>
                <w:b/>
                <w:sz w:val="18"/>
              </w:rPr>
              <w:t>Contributed equity</w:t>
            </w:r>
          </w:p>
        </w:tc>
        <w:tc>
          <w:tcPr>
            <w:tcW w:w="967" w:type="dxa"/>
            <w:tcBorders>
              <w:top w:val="single" w:sz="0" w:space="0" w:color="000000"/>
            </w:tcBorders>
          </w:tcPr>
          <w:p>
            <w:pPr>
              <w:pStyle w:val="TableParagraph"/>
              <w:jc w:val="left"/>
              <w:rPr>
                <w:rFonts w:ascii="Times New Roman"/>
                <w:sz w:val="18"/>
              </w:rPr>
            </w:pPr>
          </w:p>
          <w:p>
            <w:pPr>
              <w:pStyle w:val="TableParagraph"/>
              <w:spacing w:before="146"/>
              <w:ind w:left="156" w:right="21" w:firstLine="6"/>
              <w:jc w:val="left"/>
              <w:rPr>
                <w:b/>
                <w:sz w:val="18"/>
              </w:rPr>
            </w:pPr>
            <w:r>
              <w:rPr>
                <w:b/>
                <w:sz w:val="18"/>
              </w:rPr>
              <w:t>Retained Earnings</w:t>
            </w:r>
          </w:p>
        </w:tc>
        <w:tc>
          <w:tcPr>
            <w:tcW w:w="1412" w:type="dxa"/>
            <w:tcBorders>
              <w:top w:val="single" w:sz="0" w:space="0" w:color="000000"/>
            </w:tcBorders>
          </w:tcPr>
          <w:p>
            <w:pPr>
              <w:pStyle w:val="TableParagraph"/>
              <w:jc w:val="left"/>
              <w:rPr>
                <w:rFonts w:ascii="Times New Roman"/>
                <w:sz w:val="18"/>
              </w:rPr>
            </w:pPr>
          </w:p>
          <w:p>
            <w:pPr>
              <w:pStyle w:val="TableParagraph"/>
              <w:jc w:val="left"/>
              <w:rPr>
                <w:rFonts w:ascii="Times New Roman"/>
                <w:sz w:val="18"/>
              </w:rPr>
            </w:pPr>
          </w:p>
          <w:p>
            <w:pPr>
              <w:pStyle w:val="TableParagraph"/>
              <w:spacing w:before="146"/>
              <w:ind w:right="117"/>
              <w:rPr>
                <w:b/>
                <w:sz w:val="18"/>
              </w:rPr>
            </w:pPr>
            <w:r>
              <w:rPr>
                <w:b/>
                <w:sz w:val="18"/>
              </w:rPr>
              <w:t>Total equity</w:t>
            </w:r>
          </w:p>
        </w:tc>
      </w:tr>
      <w:tr>
        <w:trPr>
          <w:trHeight w:val="272" w:hRule="exact"/>
        </w:trPr>
        <w:tc>
          <w:tcPr>
            <w:tcW w:w="6156" w:type="dxa"/>
          </w:tcPr>
          <w:p>
            <w:pPr/>
          </w:p>
        </w:tc>
        <w:tc>
          <w:tcPr>
            <w:tcW w:w="1293" w:type="dxa"/>
            <w:tcBorders>
              <w:bottom w:val="single" w:sz="0" w:space="0" w:color="000000"/>
            </w:tcBorders>
          </w:tcPr>
          <w:p>
            <w:pPr>
              <w:pStyle w:val="TableParagraph"/>
              <w:spacing w:before="24"/>
              <w:ind w:left="561"/>
              <w:jc w:val="left"/>
              <w:rPr>
                <w:b/>
                <w:sz w:val="18"/>
              </w:rPr>
            </w:pPr>
            <w:r>
              <w:rPr>
                <w:b/>
                <w:w w:val="99"/>
                <w:sz w:val="18"/>
              </w:rPr>
              <w:t>$</w:t>
            </w:r>
          </w:p>
        </w:tc>
        <w:tc>
          <w:tcPr>
            <w:tcW w:w="967" w:type="dxa"/>
            <w:tcBorders>
              <w:bottom w:val="single" w:sz="0" w:space="0" w:color="000000"/>
            </w:tcBorders>
          </w:tcPr>
          <w:p>
            <w:pPr>
              <w:pStyle w:val="TableParagraph"/>
              <w:spacing w:before="24"/>
              <w:ind w:right="372"/>
              <w:rPr>
                <w:b/>
                <w:sz w:val="18"/>
              </w:rPr>
            </w:pPr>
            <w:r>
              <w:rPr>
                <w:b/>
                <w:w w:val="99"/>
                <w:sz w:val="18"/>
              </w:rPr>
              <w:t>$</w:t>
            </w:r>
          </w:p>
        </w:tc>
        <w:tc>
          <w:tcPr>
            <w:tcW w:w="1412" w:type="dxa"/>
            <w:tcBorders>
              <w:bottom w:val="single" w:sz="0" w:space="0" w:color="000000"/>
            </w:tcBorders>
          </w:tcPr>
          <w:p>
            <w:pPr>
              <w:pStyle w:val="TableParagraph"/>
              <w:spacing w:before="24"/>
              <w:ind w:left="160"/>
              <w:jc w:val="center"/>
              <w:rPr>
                <w:b/>
                <w:sz w:val="18"/>
              </w:rPr>
            </w:pPr>
            <w:r>
              <w:rPr>
                <w:b/>
                <w:w w:val="99"/>
                <w:sz w:val="18"/>
              </w:rPr>
              <w:t>$</w:t>
            </w:r>
          </w:p>
        </w:tc>
      </w:tr>
      <w:tr>
        <w:trPr>
          <w:trHeight w:val="294" w:hRule="exact"/>
        </w:trPr>
        <w:tc>
          <w:tcPr>
            <w:tcW w:w="6156" w:type="dxa"/>
          </w:tcPr>
          <w:p>
            <w:pPr>
              <w:pStyle w:val="TableParagraph"/>
              <w:spacing w:before="44"/>
              <w:ind w:left="62"/>
              <w:jc w:val="left"/>
              <w:rPr>
                <w:b/>
                <w:sz w:val="18"/>
              </w:rPr>
            </w:pPr>
            <w:r>
              <w:rPr>
                <w:b/>
                <w:sz w:val="18"/>
              </w:rPr>
              <w:t>Balance at 1 January 2015</w:t>
            </w:r>
          </w:p>
        </w:tc>
        <w:tc>
          <w:tcPr>
            <w:tcW w:w="1293" w:type="dxa"/>
            <w:tcBorders>
              <w:top w:val="single" w:sz="0" w:space="0" w:color="000000"/>
            </w:tcBorders>
          </w:tcPr>
          <w:p>
            <w:pPr>
              <w:pStyle w:val="TableParagraph"/>
              <w:spacing w:before="48"/>
              <w:ind w:right="154"/>
              <w:rPr>
                <w:sz w:val="18"/>
              </w:rPr>
            </w:pPr>
            <w:r>
              <w:rPr>
                <w:w w:val="99"/>
                <w:sz w:val="18"/>
              </w:rPr>
              <w:t>1</w:t>
            </w:r>
          </w:p>
        </w:tc>
        <w:tc>
          <w:tcPr>
            <w:tcW w:w="967" w:type="dxa"/>
            <w:tcBorders>
              <w:top w:val="single" w:sz="0" w:space="0" w:color="000000"/>
            </w:tcBorders>
          </w:tcPr>
          <w:p>
            <w:pPr/>
          </w:p>
        </w:tc>
        <w:tc>
          <w:tcPr>
            <w:tcW w:w="1412" w:type="dxa"/>
            <w:tcBorders>
              <w:top w:val="single" w:sz="0" w:space="0" w:color="000000"/>
            </w:tcBorders>
          </w:tcPr>
          <w:p>
            <w:pPr>
              <w:pStyle w:val="TableParagraph"/>
              <w:tabs>
                <w:tab w:pos="1184" w:val="left" w:leader="none"/>
              </w:tabs>
              <w:spacing w:before="48"/>
              <w:ind w:right="86"/>
              <w:rPr>
                <w:sz w:val="18"/>
              </w:rPr>
            </w:pPr>
            <w:r>
              <w:rPr>
                <w:sz w:val="18"/>
              </w:rPr>
              <w:t>-</w:t>
              <w:tab/>
            </w:r>
            <w:r>
              <w:rPr>
                <w:spacing w:val="-1"/>
                <w:sz w:val="18"/>
              </w:rPr>
              <w:t>1</w:t>
            </w:r>
          </w:p>
        </w:tc>
      </w:tr>
      <w:tr>
        <w:trPr>
          <w:trHeight w:val="263" w:hRule="exact"/>
        </w:trPr>
        <w:tc>
          <w:tcPr>
            <w:tcW w:w="6156" w:type="dxa"/>
          </w:tcPr>
          <w:p>
            <w:pPr>
              <w:pStyle w:val="TableParagraph"/>
              <w:spacing w:before="20"/>
              <w:ind w:left="62"/>
              <w:jc w:val="left"/>
              <w:rPr>
                <w:sz w:val="18"/>
              </w:rPr>
            </w:pPr>
            <w:r>
              <w:rPr>
                <w:sz w:val="18"/>
              </w:rPr>
              <w:t>Total comprehensive income for the year</w:t>
            </w:r>
          </w:p>
        </w:tc>
        <w:tc>
          <w:tcPr>
            <w:tcW w:w="1293" w:type="dxa"/>
            <w:tcBorders>
              <w:bottom w:val="single" w:sz="0" w:space="0" w:color="000000"/>
            </w:tcBorders>
          </w:tcPr>
          <w:p>
            <w:pPr>
              <w:pStyle w:val="TableParagraph"/>
              <w:spacing w:before="19"/>
              <w:ind w:right="155"/>
              <w:rPr>
                <w:sz w:val="18"/>
              </w:rPr>
            </w:pPr>
            <w:r>
              <w:rPr>
                <w:w w:val="99"/>
                <w:sz w:val="18"/>
              </w:rPr>
              <w:t>-</w:t>
            </w:r>
          </w:p>
        </w:tc>
        <w:tc>
          <w:tcPr>
            <w:tcW w:w="967" w:type="dxa"/>
            <w:tcBorders>
              <w:bottom w:val="single" w:sz="0" w:space="0" w:color="000000"/>
            </w:tcBorders>
          </w:tcPr>
          <w:p>
            <w:pPr/>
          </w:p>
        </w:tc>
        <w:tc>
          <w:tcPr>
            <w:tcW w:w="1412" w:type="dxa"/>
            <w:tcBorders>
              <w:bottom w:val="single" w:sz="0" w:space="0" w:color="000000"/>
            </w:tcBorders>
          </w:tcPr>
          <w:p>
            <w:pPr>
              <w:pStyle w:val="TableParagraph"/>
              <w:tabs>
                <w:tab w:pos="1223" w:val="left" w:leader="none"/>
              </w:tabs>
              <w:spacing w:before="19"/>
              <w:ind w:right="86"/>
              <w:rPr>
                <w:sz w:val="18"/>
              </w:rPr>
            </w:pPr>
            <w:r>
              <w:rPr>
                <w:sz w:val="18"/>
              </w:rPr>
              <w:t>-</w:t>
              <w:tab/>
              <w:t>-</w:t>
            </w:r>
          </w:p>
        </w:tc>
      </w:tr>
      <w:tr>
        <w:trPr>
          <w:trHeight w:val="353" w:hRule="exact"/>
        </w:trPr>
        <w:tc>
          <w:tcPr>
            <w:tcW w:w="6156" w:type="dxa"/>
          </w:tcPr>
          <w:p>
            <w:pPr>
              <w:pStyle w:val="TableParagraph"/>
              <w:spacing w:before="123"/>
              <w:ind w:left="62"/>
              <w:jc w:val="left"/>
              <w:rPr>
                <w:b/>
                <w:sz w:val="18"/>
              </w:rPr>
            </w:pPr>
            <w:r>
              <w:rPr>
                <w:b/>
                <w:sz w:val="18"/>
              </w:rPr>
              <w:t>Balance at 31 December 2015</w:t>
            </w:r>
          </w:p>
        </w:tc>
        <w:tc>
          <w:tcPr>
            <w:tcW w:w="1293" w:type="dxa"/>
            <w:tcBorders>
              <w:top w:val="single" w:sz="0" w:space="0" w:color="000000"/>
              <w:bottom w:val="single" w:sz="0" w:space="0" w:color="000000"/>
            </w:tcBorders>
          </w:tcPr>
          <w:p>
            <w:pPr>
              <w:pStyle w:val="TableParagraph"/>
              <w:spacing w:before="122"/>
              <w:ind w:right="154"/>
              <w:rPr>
                <w:sz w:val="18"/>
              </w:rPr>
            </w:pPr>
            <w:r>
              <w:rPr>
                <w:w w:val="99"/>
                <w:sz w:val="18"/>
              </w:rPr>
              <w:t>1</w:t>
            </w:r>
          </w:p>
        </w:tc>
        <w:tc>
          <w:tcPr>
            <w:tcW w:w="967" w:type="dxa"/>
            <w:tcBorders>
              <w:top w:val="single" w:sz="0" w:space="0" w:color="000000"/>
              <w:bottom w:val="single" w:sz="0" w:space="0" w:color="000000"/>
            </w:tcBorders>
          </w:tcPr>
          <w:p>
            <w:pPr/>
          </w:p>
        </w:tc>
        <w:tc>
          <w:tcPr>
            <w:tcW w:w="1412" w:type="dxa"/>
            <w:tcBorders>
              <w:top w:val="single" w:sz="0" w:space="0" w:color="000000"/>
              <w:bottom w:val="single" w:sz="0" w:space="0" w:color="000000"/>
            </w:tcBorders>
          </w:tcPr>
          <w:p>
            <w:pPr>
              <w:pStyle w:val="TableParagraph"/>
              <w:tabs>
                <w:tab w:pos="1184" w:val="left" w:leader="none"/>
              </w:tabs>
              <w:spacing w:before="122"/>
              <w:ind w:right="86"/>
              <w:rPr>
                <w:sz w:val="18"/>
              </w:rPr>
            </w:pPr>
            <w:r>
              <w:rPr>
                <w:sz w:val="18"/>
              </w:rPr>
              <w:t>-</w:t>
              <w:tab/>
            </w:r>
            <w:r>
              <w:rPr>
                <w:spacing w:val="-1"/>
                <w:sz w:val="18"/>
              </w:rPr>
              <w:t>1</w:t>
            </w:r>
          </w:p>
        </w:tc>
      </w:tr>
    </w:tbl>
    <w:p>
      <w:pPr>
        <w:spacing w:after="0"/>
        <w:rPr>
          <w:sz w:val="18"/>
        </w:rPr>
        <w:sectPr>
          <w:pgSz w:w="12750" w:h="17680"/>
          <w:pgMar w:header="0" w:footer="1403" w:top="1880" w:bottom="1600" w:left="0" w:right="0"/>
        </w:sectPr>
      </w:pPr>
    </w:p>
    <w:p>
      <w:pPr>
        <w:pStyle w:val="BodyText"/>
        <w:spacing w:before="2"/>
        <w:rPr>
          <w:rFonts w:ascii="Times New Roman"/>
          <w:sz w:val="24"/>
        </w:rPr>
      </w:pPr>
      <w:r>
        <w:rPr/>
        <w:drawing>
          <wp:anchor distT="0" distB="0" distL="0" distR="0" allowOverlap="1" layoutInCell="1" locked="0" behindDoc="0" simplePos="0" relativeHeight="14344">
            <wp:simplePos x="0" y="0"/>
            <wp:positionH relativeFrom="page">
              <wp:posOffset>-1587</wp:posOffset>
            </wp:positionH>
            <wp:positionV relativeFrom="page">
              <wp:posOffset>5534342</wp:posOffset>
            </wp:positionV>
            <wp:extent cx="135159" cy="154019"/>
            <wp:effectExtent l="0" t="0" r="0" b="0"/>
            <wp:wrapNone/>
            <wp:docPr id="973" name="image13.png" descr=""/>
            <wp:cNvGraphicFramePr>
              <a:graphicFrameLocks noChangeAspect="1"/>
            </wp:cNvGraphicFramePr>
            <a:graphic>
              <a:graphicData uri="http://schemas.openxmlformats.org/drawingml/2006/picture">
                <pic:pic>
                  <pic:nvPicPr>
                    <pic:cNvPr id="974" name="image13.png"/>
                    <pic:cNvPicPr/>
                  </pic:nvPicPr>
                  <pic:blipFill>
                    <a:blip r:embed="rId18" cstate="print"/>
                    <a:stretch>
                      <a:fillRect/>
                    </a:stretch>
                  </pic:blipFill>
                  <pic:spPr>
                    <a:xfrm>
                      <a:off x="0" y="0"/>
                      <a:ext cx="135159" cy="154019"/>
                    </a:xfrm>
                    <a:prstGeom prst="rect">
                      <a:avLst/>
                    </a:prstGeom>
                  </pic:spPr>
                </pic:pic>
              </a:graphicData>
            </a:graphic>
          </wp:anchor>
        </w:drawing>
      </w:r>
      <w:r>
        <w:rPr/>
        <w:drawing>
          <wp:anchor distT="0" distB="0" distL="0" distR="0" allowOverlap="1" layoutInCell="1" locked="0" behindDoc="0" simplePos="0" relativeHeight="14368">
            <wp:simplePos x="0" y="0"/>
            <wp:positionH relativeFrom="page">
              <wp:posOffset>7958429</wp:posOffset>
            </wp:positionH>
            <wp:positionV relativeFrom="page">
              <wp:posOffset>5534342</wp:posOffset>
            </wp:positionV>
            <wp:extent cx="135953" cy="155575"/>
            <wp:effectExtent l="0" t="0" r="0" b="0"/>
            <wp:wrapNone/>
            <wp:docPr id="975" name="image15.png" descr=""/>
            <wp:cNvGraphicFramePr>
              <a:graphicFrameLocks noChangeAspect="1"/>
            </wp:cNvGraphicFramePr>
            <a:graphic>
              <a:graphicData uri="http://schemas.openxmlformats.org/drawingml/2006/picture">
                <pic:pic>
                  <pic:nvPicPr>
                    <pic:cNvPr id="976" name="image15.png"/>
                    <pic:cNvPicPr/>
                  </pic:nvPicPr>
                  <pic:blipFill>
                    <a:blip r:embed="rId20" cstate="print"/>
                    <a:stretch>
                      <a:fillRect/>
                    </a:stretch>
                  </pic:blipFill>
                  <pic:spPr>
                    <a:xfrm>
                      <a:off x="0" y="0"/>
                      <a:ext cx="135953" cy="155575"/>
                    </a:xfrm>
                    <a:prstGeom prst="rect">
                      <a:avLst/>
                    </a:prstGeom>
                  </pic:spPr>
                </pic:pic>
              </a:graphicData>
            </a:graphic>
          </wp:anchor>
        </w:drawing>
      </w:r>
    </w:p>
    <w:tbl>
      <w:tblPr>
        <w:tblW w:w="0" w:type="auto"/>
        <w:jc w:val="left"/>
        <w:tblInd w:w="139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857"/>
        <w:gridCol w:w="1695"/>
        <w:gridCol w:w="2348"/>
      </w:tblGrid>
      <w:tr>
        <w:trPr>
          <w:trHeight w:val="911" w:hRule="exact"/>
        </w:trPr>
        <w:tc>
          <w:tcPr>
            <w:tcW w:w="5857" w:type="dxa"/>
          </w:tcPr>
          <w:p>
            <w:pPr>
              <w:pStyle w:val="TableParagraph"/>
              <w:spacing w:before="64"/>
              <w:ind w:left="35"/>
              <w:jc w:val="left"/>
              <w:rPr>
                <w:b/>
                <w:sz w:val="28"/>
              </w:rPr>
            </w:pPr>
            <w:r>
              <w:rPr>
                <w:b/>
                <w:sz w:val="28"/>
              </w:rPr>
              <w:t>Statement of cash flows</w:t>
            </w:r>
          </w:p>
          <w:p>
            <w:pPr>
              <w:pStyle w:val="TableParagraph"/>
              <w:spacing w:before="57"/>
              <w:ind w:left="35"/>
              <w:jc w:val="left"/>
              <w:rPr>
                <w:b/>
                <w:sz w:val="22"/>
              </w:rPr>
            </w:pPr>
            <w:bookmarkStart w:name="Statement of cash flows" w:id="389"/>
            <w:bookmarkEnd w:id="389"/>
            <w:r>
              <w:rPr/>
            </w:r>
            <w:r>
              <w:rPr>
                <w:b/>
                <w:sz w:val="22"/>
              </w:rPr>
              <w:t>For the year ended 31 December 2016</w:t>
            </w:r>
          </w:p>
        </w:tc>
        <w:tc>
          <w:tcPr>
            <w:tcW w:w="4043" w:type="dxa"/>
            <w:gridSpan w:val="2"/>
          </w:tcPr>
          <w:p>
            <w:pPr/>
          </w:p>
        </w:tc>
      </w:tr>
      <w:tr>
        <w:trPr>
          <w:trHeight w:val="447" w:hRule="exact"/>
        </w:trPr>
        <w:tc>
          <w:tcPr>
            <w:tcW w:w="5857" w:type="dxa"/>
          </w:tcPr>
          <w:p>
            <w:pPr/>
          </w:p>
        </w:tc>
        <w:tc>
          <w:tcPr>
            <w:tcW w:w="1695" w:type="dxa"/>
          </w:tcPr>
          <w:p>
            <w:pPr/>
          </w:p>
        </w:tc>
        <w:tc>
          <w:tcPr>
            <w:tcW w:w="2348" w:type="dxa"/>
          </w:tcPr>
          <w:p>
            <w:pPr>
              <w:pStyle w:val="TableParagraph"/>
              <w:spacing w:before="1"/>
              <w:jc w:val="left"/>
              <w:rPr>
                <w:rFonts w:ascii="Times New Roman"/>
                <w:sz w:val="17"/>
              </w:rPr>
            </w:pPr>
          </w:p>
          <w:p>
            <w:pPr>
              <w:pStyle w:val="TableParagraph"/>
              <w:tabs>
                <w:tab w:pos="1273" w:val="left" w:leader="none"/>
              </w:tabs>
              <w:ind w:left="95"/>
              <w:jc w:val="center"/>
              <w:rPr>
                <w:b/>
                <w:sz w:val="18"/>
              </w:rPr>
            </w:pPr>
            <w:r>
              <w:rPr>
                <w:b/>
                <w:sz w:val="18"/>
              </w:rPr>
              <w:t>2016</w:t>
              <w:tab/>
              <w:t>2015</w:t>
            </w:r>
          </w:p>
        </w:tc>
      </w:tr>
      <w:tr>
        <w:trPr>
          <w:trHeight w:val="313" w:hRule="exact"/>
        </w:trPr>
        <w:tc>
          <w:tcPr>
            <w:tcW w:w="5857" w:type="dxa"/>
          </w:tcPr>
          <w:p>
            <w:pPr/>
          </w:p>
        </w:tc>
        <w:tc>
          <w:tcPr>
            <w:tcW w:w="1695" w:type="dxa"/>
          </w:tcPr>
          <w:p>
            <w:pPr>
              <w:pStyle w:val="TableParagraph"/>
              <w:spacing w:before="24"/>
              <w:ind w:right="42"/>
              <w:rPr>
                <w:b/>
                <w:sz w:val="18"/>
              </w:rPr>
            </w:pPr>
            <w:r>
              <w:rPr>
                <w:b/>
                <w:w w:val="95"/>
                <w:sz w:val="18"/>
              </w:rPr>
              <w:t>Note</w:t>
            </w:r>
          </w:p>
        </w:tc>
        <w:tc>
          <w:tcPr>
            <w:tcW w:w="2348" w:type="dxa"/>
          </w:tcPr>
          <w:p>
            <w:pPr>
              <w:pStyle w:val="TableParagraph"/>
              <w:tabs>
                <w:tab w:pos="1275" w:val="left" w:leader="none"/>
              </w:tabs>
              <w:spacing w:before="24"/>
              <w:ind w:left="96"/>
              <w:jc w:val="center"/>
              <w:rPr>
                <w:b/>
                <w:sz w:val="18"/>
              </w:rPr>
            </w:pPr>
            <w:r>
              <w:rPr>
                <w:b/>
                <w:sz w:val="18"/>
              </w:rPr>
              <w:t>$</w:t>
              <w:tab/>
              <w:t>$</w:t>
            </w:r>
          </w:p>
        </w:tc>
      </w:tr>
      <w:tr>
        <w:trPr>
          <w:trHeight w:val="491" w:hRule="exact"/>
        </w:trPr>
        <w:tc>
          <w:tcPr>
            <w:tcW w:w="5857" w:type="dxa"/>
          </w:tcPr>
          <w:p>
            <w:pPr>
              <w:pStyle w:val="TableParagraph"/>
              <w:spacing w:line="207" w:lineRule="exact" w:before="63"/>
              <w:ind w:left="62"/>
              <w:jc w:val="left"/>
              <w:rPr>
                <w:b/>
                <w:sz w:val="18"/>
              </w:rPr>
            </w:pPr>
            <w:r>
              <w:rPr>
                <w:b/>
                <w:sz w:val="18"/>
              </w:rPr>
              <w:t>Cash flows from operating activities</w:t>
            </w:r>
          </w:p>
          <w:p>
            <w:pPr>
              <w:pStyle w:val="TableParagraph"/>
              <w:spacing w:line="207" w:lineRule="exact"/>
              <w:ind w:left="62"/>
              <w:jc w:val="left"/>
              <w:rPr>
                <w:sz w:val="18"/>
              </w:rPr>
            </w:pPr>
            <w:r>
              <w:rPr>
                <w:sz w:val="18"/>
              </w:rPr>
              <w:t>Payments to suppliers and employees</w:t>
            </w:r>
          </w:p>
        </w:tc>
        <w:tc>
          <w:tcPr>
            <w:tcW w:w="1695" w:type="dxa"/>
          </w:tcPr>
          <w:p>
            <w:pPr/>
          </w:p>
        </w:tc>
        <w:tc>
          <w:tcPr>
            <w:tcW w:w="2348" w:type="dxa"/>
          </w:tcPr>
          <w:p>
            <w:pPr>
              <w:pStyle w:val="TableParagraph"/>
              <w:spacing w:before="5"/>
              <w:jc w:val="left"/>
              <w:rPr>
                <w:rFonts w:ascii="Times New Roman"/>
                <w:sz w:val="23"/>
              </w:rPr>
            </w:pPr>
          </w:p>
          <w:p>
            <w:pPr>
              <w:pStyle w:val="TableParagraph"/>
              <w:tabs>
                <w:tab w:pos="1038" w:val="left" w:leader="none"/>
                <w:tab w:pos="2216" w:val="left" w:leader="none"/>
              </w:tabs>
              <w:ind w:left="8"/>
              <w:jc w:val="center"/>
              <w:rPr>
                <w:sz w:val="18"/>
              </w:rPr>
            </w:pPr>
            <w:r>
              <w:rPr>
                <w:rFonts w:ascii="Times New Roman"/>
                <w:sz w:val="18"/>
                <w:u w:val="single"/>
              </w:rPr>
              <w:t> </w:t>
              <w:tab/>
            </w:r>
            <w:r>
              <w:rPr>
                <w:b/>
                <w:sz w:val="18"/>
                <w:u w:val="single"/>
              </w:rPr>
              <w:t>-</w:t>
              <w:tab/>
            </w:r>
            <w:r>
              <w:rPr>
                <w:sz w:val="18"/>
                <w:u w:val="single"/>
              </w:rPr>
              <w:t>-</w:t>
            </w:r>
          </w:p>
        </w:tc>
      </w:tr>
      <w:tr>
        <w:trPr>
          <w:trHeight w:val="362" w:hRule="exact"/>
        </w:trPr>
        <w:tc>
          <w:tcPr>
            <w:tcW w:w="5857" w:type="dxa"/>
          </w:tcPr>
          <w:p>
            <w:pPr>
              <w:pStyle w:val="TableParagraph"/>
              <w:spacing w:line="201" w:lineRule="exact"/>
              <w:ind w:left="62"/>
              <w:jc w:val="left"/>
              <w:rPr>
                <w:b/>
                <w:sz w:val="18"/>
              </w:rPr>
            </w:pPr>
            <w:r>
              <w:rPr>
                <w:b/>
                <w:sz w:val="18"/>
              </w:rPr>
              <w:t>Net cash inflow/(outflow) from operating activities</w:t>
            </w:r>
          </w:p>
        </w:tc>
        <w:tc>
          <w:tcPr>
            <w:tcW w:w="1695" w:type="dxa"/>
          </w:tcPr>
          <w:p>
            <w:pPr>
              <w:pStyle w:val="TableParagraph"/>
              <w:spacing w:line="201" w:lineRule="exact"/>
              <w:ind w:left="1189"/>
              <w:jc w:val="left"/>
              <w:rPr>
                <w:sz w:val="18"/>
              </w:rPr>
            </w:pPr>
            <w:r>
              <w:rPr>
                <w:sz w:val="18"/>
              </w:rPr>
              <w:t>14</w:t>
            </w:r>
          </w:p>
        </w:tc>
        <w:tc>
          <w:tcPr>
            <w:tcW w:w="2348" w:type="dxa"/>
          </w:tcPr>
          <w:p>
            <w:pPr>
              <w:pStyle w:val="TableParagraph"/>
              <w:tabs>
                <w:tab w:pos="1038" w:val="left" w:leader="none"/>
                <w:tab w:pos="2216" w:val="left" w:leader="none"/>
              </w:tabs>
              <w:spacing w:line="201" w:lineRule="exact"/>
              <w:ind w:left="8"/>
              <w:jc w:val="center"/>
              <w:rPr>
                <w:sz w:val="18"/>
              </w:rPr>
            </w:pPr>
            <w:r>
              <w:rPr>
                <w:rFonts w:ascii="Times New Roman"/>
                <w:sz w:val="18"/>
                <w:u w:val="single"/>
              </w:rPr>
              <w:t> </w:t>
              <w:tab/>
            </w:r>
            <w:r>
              <w:rPr>
                <w:b/>
                <w:sz w:val="18"/>
                <w:u w:val="single"/>
              </w:rPr>
              <w:t>-</w:t>
              <w:tab/>
            </w:r>
            <w:r>
              <w:rPr>
                <w:sz w:val="18"/>
                <w:u w:val="single"/>
              </w:rPr>
              <w:t>-</w:t>
            </w:r>
          </w:p>
        </w:tc>
      </w:tr>
      <w:tr>
        <w:trPr>
          <w:trHeight w:val="362" w:hRule="exact"/>
        </w:trPr>
        <w:tc>
          <w:tcPr>
            <w:tcW w:w="5857" w:type="dxa"/>
          </w:tcPr>
          <w:p>
            <w:pPr>
              <w:pStyle w:val="TableParagraph"/>
              <w:spacing w:before="141"/>
              <w:ind w:left="62"/>
              <w:jc w:val="left"/>
              <w:rPr>
                <w:b/>
                <w:sz w:val="18"/>
              </w:rPr>
            </w:pPr>
            <w:r>
              <w:rPr>
                <w:b/>
                <w:sz w:val="18"/>
              </w:rPr>
              <w:t>Cash flows from investing activities</w:t>
            </w:r>
          </w:p>
        </w:tc>
        <w:tc>
          <w:tcPr>
            <w:tcW w:w="1695" w:type="dxa"/>
          </w:tcPr>
          <w:p>
            <w:pPr/>
          </w:p>
        </w:tc>
        <w:tc>
          <w:tcPr>
            <w:tcW w:w="2348" w:type="dxa"/>
          </w:tcPr>
          <w:p>
            <w:pPr/>
          </w:p>
        </w:tc>
      </w:tr>
      <w:tr>
        <w:trPr>
          <w:trHeight w:val="363" w:hRule="exact"/>
        </w:trPr>
        <w:tc>
          <w:tcPr>
            <w:tcW w:w="5857" w:type="dxa"/>
          </w:tcPr>
          <w:p>
            <w:pPr>
              <w:pStyle w:val="TableParagraph"/>
              <w:spacing w:line="202" w:lineRule="exact"/>
              <w:ind w:left="62"/>
              <w:jc w:val="left"/>
              <w:rPr>
                <w:b/>
                <w:sz w:val="18"/>
              </w:rPr>
            </w:pPr>
            <w:r>
              <w:rPr>
                <w:b/>
                <w:sz w:val="18"/>
              </w:rPr>
              <w:t>Net cash (outflow)/inflow from investing activities</w:t>
            </w:r>
          </w:p>
        </w:tc>
        <w:tc>
          <w:tcPr>
            <w:tcW w:w="1695" w:type="dxa"/>
          </w:tcPr>
          <w:p>
            <w:pPr/>
          </w:p>
        </w:tc>
        <w:tc>
          <w:tcPr>
            <w:tcW w:w="2348" w:type="dxa"/>
          </w:tcPr>
          <w:p>
            <w:pPr>
              <w:pStyle w:val="TableParagraph"/>
              <w:tabs>
                <w:tab w:pos="1038" w:val="left" w:leader="none"/>
                <w:tab w:pos="2216" w:val="left" w:leader="none"/>
              </w:tabs>
              <w:spacing w:line="202" w:lineRule="exact"/>
              <w:ind w:left="8"/>
              <w:jc w:val="center"/>
              <w:rPr>
                <w:sz w:val="18"/>
              </w:rPr>
            </w:pPr>
            <w:r>
              <w:rPr>
                <w:rFonts w:ascii="Times New Roman"/>
                <w:sz w:val="18"/>
                <w:u w:val="single"/>
              </w:rPr>
              <w:t> </w:t>
              <w:tab/>
            </w:r>
            <w:r>
              <w:rPr>
                <w:b/>
                <w:sz w:val="18"/>
                <w:u w:val="single"/>
              </w:rPr>
              <w:t>-</w:t>
              <w:tab/>
            </w:r>
            <w:r>
              <w:rPr>
                <w:sz w:val="18"/>
                <w:u w:val="single"/>
              </w:rPr>
              <w:t>-</w:t>
            </w:r>
          </w:p>
        </w:tc>
      </w:tr>
      <w:tr>
        <w:trPr>
          <w:trHeight w:val="367" w:hRule="exact"/>
        </w:trPr>
        <w:tc>
          <w:tcPr>
            <w:tcW w:w="5857" w:type="dxa"/>
          </w:tcPr>
          <w:p>
            <w:pPr>
              <w:pStyle w:val="TableParagraph"/>
              <w:spacing w:before="141"/>
              <w:ind w:left="62"/>
              <w:jc w:val="left"/>
              <w:rPr>
                <w:b/>
                <w:sz w:val="18"/>
              </w:rPr>
            </w:pPr>
            <w:r>
              <w:rPr>
                <w:b/>
                <w:sz w:val="18"/>
              </w:rPr>
              <w:t>Cash flows from financing activities</w:t>
            </w:r>
          </w:p>
        </w:tc>
        <w:tc>
          <w:tcPr>
            <w:tcW w:w="1695" w:type="dxa"/>
          </w:tcPr>
          <w:p>
            <w:pPr/>
          </w:p>
        </w:tc>
        <w:tc>
          <w:tcPr>
            <w:tcW w:w="2348" w:type="dxa"/>
          </w:tcPr>
          <w:p>
            <w:pPr/>
          </w:p>
        </w:tc>
      </w:tr>
      <w:tr>
        <w:trPr>
          <w:trHeight w:val="368" w:hRule="exact"/>
        </w:trPr>
        <w:tc>
          <w:tcPr>
            <w:tcW w:w="5857" w:type="dxa"/>
          </w:tcPr>
          <w:p>
            <w:pPr>
              <w:pStyle w:val="TableParagraph"/>
              <w:ind w:left="62"/>
              <w:jc w:val="left"/>
              <w:rPr>
                <w:b/>
                <w:sz w:val="18"/>
              </w:rPr>
            </w:pPr>
            <w:r>
              <w:rPr>
                <w:b/>
                <w:sz w:val="18"/>
              </w:rPr>
              <w:t>Net cash inflow/(outflow) from financing activities</w:t>
            </w:r>
          </w:p>
        </w:tc>
        <w:tc>
          <w:tcPr>
            <w:tcW w:w="1695" w:type="dxa"/>
          </w:tcPr>
          <w:p>
            <w:pPr/>
          </w:p>
        </w:tc>
        <w:tc>
          <w:tcPr>
            <w:tcW w:w="2348" w:type="dxa"/>
          </w:tcPr>
          <w:p>
            <w:pPr>
              <w:pStyle w:val="TableParagraph"/>
              <w:tabs>
                <w:tab w:pos="1038" w:val="left" w:leader="none"/>
                <w:tab w:pos="2216" w:val="left" w:leader="none"/>
              </w:tabs>
              <w:ind w:left="8"/>
              <w:jc w:val="center"/>
              <w:rPr>
                <w:sz w:val="18"/>
              </w:rPr>
            </w:pPr>
            <w:r>
              <w:rPr>
                <w:rFonts w:ascii="Times New Roman"/>
                <w:sz w:val="18"/>
                <w:u w:val="single"/>
              </w:rPr>
              <w:t> </w:t>
              <w:tab/>
            </w:r>
            <w:r>
              <w:rPr>
                <w:b/>
                <w:sz w:val="18"/>
                <w:u w:val="single"/>
              </w:rPr>
              <w:t>-</w:t>
              <w:tab/>
            </w:r>
            <w:r>
              <w:rPr>
                <w:sz w:val="18"/>
                <w:u w:val="single"/>
              </w:rPr>
              <w:t>-</w:t>
            </w:r>
          </w:p>
        </w:tc>
      </w:tr>
      <w:tr>
        <w:trPr>
          <w:trHeight w:val="569" w:hRule="exact"/>
        </w:trPr>
        <w:tc>
          <w:tcPr>
            <w:tcW w:w="5857" w:type="dxa"/>
          </w:tcPr>
          <w:p>
            <w:pPr>
              <w:pStyle w:val="TableParagraph"/>
              <w:spacing w:line="207" w:lineRule="exact" w:before="141"/>
              <w:ind w:left="62"/>
              <w:jc w:val="left"/>
              <w:rPr>
                <w:b/>
                <w:sz w:val="18"/>
              </w:rPr>
            </w:pPr>
            <w:r>
              <w:rPr>
                <w:b/>
                <w:sz w:val="18"/>
              </w:rPr>
              <w:t>Net increase/(decrease) in cash and cash equivalents</w:t>
            </w:r>
          </w:p>
          <w:p>
            <w:pPr>
              <w:pStyle w:val="TableParagraph"/>
              <w:spacing w:line="207" w:lineRule="exact"/>
              <w:ind w:left="62"/>
              <w:jc w:val="left"/>
              <w:rPr>
                <w:sz w:val="18"/>
              </w:rPr>
            </w:pPr>
            <w:r>
              <w:rPr>
                <w:sz w:val="18"/>
              </w:rPr>
              <w:t>Cash and cash equivalents at beginning of year</w:t>
            </w:r>
          </w:p>
        </w:tc>
        <w:tc>
          <w:tcPr>
            <w:tcW w:w="1695" w:type="dxa"/>
          </w:tcPr>
          <w:p>
            <w:pPr/>
          </w:p>
        </w:tc>
        <w:tc>
          <w:tcPr>
            <w:tcW w:w="2348" w:type="dxa"/>
          </w:tcPr>
          <w:p>
            <w:pPr>
              <w:pStyle w:val="TableParagraph"/>
              <w:tabs>
                <w:tab w:pos="2252" w:val="left" w:leader="none"/>
              </w:tabs>
              <w:spacing w:line="207" w:lineRule="exact" w:before="141"/>
              <w:ind w:left="1073"/>
              <w:jc w:val="left"/>
              <w:rPr>
                <w:sz w:val="18"/>
              </w:rPr>
            </w:pPr>
            <w:r>
              <w:rPr>
                <w:b/>
                <w:sz w:val="18"/>
              </w:rPr>
              <w:t>-</w:t>
              <w:tab/>
            </w:r>
            <w:r>
              <w:rPr>
                <w:sz w:val="18"/>
              </w:rPr>
              <w:t>-</w:t>
            </w:r>
          </w:p>
          <w:p>
            <w:pPr>
              <w:pStyle w:val="TableParagraph"/>
              <w:tabs>
                <w:tab w:pos="1034" w:val="left" w:leader="none"/>
                <w:tab w:pos="2212" w:val="left" w:leader="none"/>
              </w:tabs>
              <w:spacing w:line="207" w:lineRule="exact"/>
              <w:ind w:left="44"/>
              <w:jc w:val="left"/>
              <w:rPr>
                <w:sz w:val="18"/>
              </w:rPr>
            </w:pPr>
            <w:r>
              <w:rPr>
                <w:rFonts w:ascii="Times New Roman"/>
                <w:sz w:val="18"/>
                <w:u w:val="single"/>
              </w:rPr>
              <w:t> </w:t>
              <w:tab/>
            </w:r>
            <w:r>
              <w:rPr>
                <w:b/>
                <w:sz w:val="18"/>
                <w:u w:val="single"/>
              </w:rPr>
              <w:t>1</w:t>
              <w:tab/>
            </w:r>
            <w:r>
              <w:rPr>
                <w:sz w:val="18"/>
                <w:u w:val="single"/>
              </w:rPr>
              <w:t>1</w:t>
            </w:r>
          </w:p>
        </w:tc>
      </w:tr>
      <w:tr>
        <w:trPr>
          <w:trHeight w:val="299" w:hRule="exact"/>
        </w:trPr>
        <w:tc>
          <w:tcPr>
            <w:tcW w:w="5857" w:type="dxa"/>
          </w:tcPr>
          <w:p>
            <w:pPr>
              <w:pStyle w:val="TableParagraph"/>
              <w:spacing w:line="201" w:lineRule="exact"/>
              <w:ind w:left="62"/>
              <w:jc w:val="left"/>
              <w:rPr>
                <w:b/>
                <w:sz w:val="18"/>
              </w:rPr>
            </w:pPr>
            <w:r>
              <w:rPr>
                <w:b/>
                <w:sz w:val="18"/>
              </w:rPr>
              <w:t>Cash and cash equivalents at end of year</w:t>
            </w:r>
          </w:p>
        </w:tc>
        <w:tc>
          <w:tcPr>
            <w:tcW w:w="1695" w:type="dxa"/>
          </w:tcPr>
          <w:p>
            <w:pPr>
              <w:pStyle w:val="TableParagraph"/>
              <w:spacing w:line="201" w:lineRule="exact"/>
              <w:ind w:left="1189"/>
              <w:jc w:val="left"/>
              <w:rPr>
                <w:sz w:val="18"/>
              </w:rPr>
            </w:pPr>
            <w:r>
              <w:rPr>
                <w:w w:val="99"/>
                <w:sz w:val="18"/>
              </w:rPr>
              <w:t>6</w:t>
            </w:r>
          </w:p>
        </w:tc>
        <w:tc>
          <w:tcPr>
            <w:tcW w:w="2348" w:type="dxa"/>
          </w:tcPr>
          <w:p>
            <w:pPr>
              <w:pStyle w:val="TableParagraph"/>
              <w:tabs>
                <w:tab w:pos="999" w:val="left" w:leader="none"/>
                <w:tab w:pos="2177" w:val="left" w:leader="none"/>
              </w:tabs>
              <w:spacing w:line="201" w:lineRule="exact"/>
              <w:ind w:left="9"/>
              <w:jc w:val="center"/>
              <w:rPr>
                <w:sz w:val="18"/>
              </w:rPr>
            </w:pPr>
            <w:r>
              <w:rPr>
                <w:rFonts w:ascii="Times New Roman"/>
                <w:sz w:val="18"/>
                <w:u w:val="single"/>
              </w:rPr>
              <w:t> </w:t>
              <w:tab/>
            </w:r>
            <w:r>
              <w:rPr>
                <w:b/>
                <w:sz w:val="18"/>
                <w:u w:val="single"/>
              </w:rPr>
              <w:t>1</w:t>
              <w:tab/>
            </w:r>
            <w:r>
              <w:rPr>
                <w:sz w:val="18"/>
                <w:u w:val="single"/>
              </w:rPr>
              <w:t>1</w:t>
            </w:r>
          </w:p>
        </w:tc>
      </w:tr>
    </w:tbl>
    <w:p>
      <w:pPr>
        <w:spacing w:after="0" w:line="201" w:lineRule="exact"/>
        <w:jc w:val="center"/>
        <w:rPr>
          <w:sz w:val="18"/>
        </w:rPr>
        <w:sectPr>
          <w:pgSz w:w="12750" w:h="17680"/>
          <w:pgMar w:header="0" w:footer="1403" w:top="1880" w:bottom="1600" w:left="0" w:right="0"/>
        </w:sectPr>
      </w:pPr>
    </w:p>
    <w:p>
      <w:pPr>
        <w:pStyle w:val="BodyText"/>
        <w:spacing w:before="2"/>
        <w:rPr>
          <w:rFonts w:ascii="Times New Roman"/>
          <w:sz w:val="24"/>
        </w:rPr>
      </w:pPr>
    </w:p>
    <w:p>
      <w:pPr>
        <w:pStyle w:val="Heading4"/>
      </w:pPr>
      <w:r>
        <w:rPr/>
        <w:t>Notes to the financial statements</w:t>
      </w:r>
    </w:p>
    <w:p>
      <w:pPr>
        <w:pStyle w:val="Heading7"/>
      </w:pPr>
      <w:bookmarkStart w:name="Notes to the financial statements" w:id="390"/>
      <w:bookmarkEnd w:id="390"/>
      <w:r>
        <w:rPr>
          <w:b w:val="0"/>
        </w:rPr>
      </w:r>
      <w:bookmarkStart w:name="1 Summary of Significant Accounting Poli" w:id="391"/>
      <w:bookmarkEnd w:id="391"/>
      <w:r>
        <w:rPr>
          <w:b w:val="0"/>
        </w:rPr>
      </w:r>
      <w:r>
        <w:rPr/>
        <w:t>For the year ended 31 December 2016</w:t>
      </w:r>
    </w:p>
    <w:p>
      <w:pPr>
        <w:pStyle w:val="BodyText"/>
        <w:rPr>
          <w:b/>
          <w:sz w:val="22"/>
        </w:rPr>
      </w:pPr>
    </w:p>
    <w:p>
      <w:pPr>
        <w:pStyle w:val="BodyText"/>
        <w:rPr>
          <w:b/>
          <w:sz w:val="22"/>
        </w:rPr>
      </w:pPr>
    </w:p>
    <w:p>
      <w:pPr>
        <w:pStyle w:val="Heading8"/>
        <w:tabs>
          <w:tab w:pos="1823" w:val="left" w:leader="none"/>
        </w:tabs>
        <w:spacing w:before="160"/>
        <w:ind w:left="1429"/>
      </w:pPr>
      <w:bookmarkStart w:name="(a) Basis of Preparation" w:id="392"/>
      <w:bookmarkEnd w:id="392"/>
      <w:r>
        <w:rPr>
          <w:b w:val="0"/>
        </w:rPr>
      </w:r>
      <w:r>
        <w:rPr/>
        <w:t>1</w:t>
        <w:tab/>
        <w:t>Summary of Significant Accounting</w:t>
      </w:r>
      <w:r>
        <w:rPr>
          <w:spacing w:val="-6"/>
        </w:rPr>
        <w:t> </w:t>
      </w:r>
      <w:r>
        <w:rPr/>
        <w:t>Policies</w:t>
      </w:r>
    </w:p>
    <w:p>
      <w:pPr>
        <w:pStyle w:val="BodyText"/>
        <w:spacing w:before="11"/>
        <w:rPr>
          <w:b/>
          <w:sz w:val="24"/>
        </w:rPr>
      </w:pPr>
    </w:p>
    <w:p>
      <w:pPr>
        <w:pStyle w:val="ListParagraph"/>
        <w:numPr>
          <w:ilvl w:val="0"/>
          <w:numId w:val="77"/>
        </w:numPr>
        <w:tabs>
          <w:tab w:pos="2391" w:val="left" w:leader="none"/>
        </w:tabs>
        <w:spacing w:line="240" w:lineRule="auto" w:before="0" w:after="0"/>
        <w:ind w:left="2390" w:right="0" w:hanging="566"/>
        <w:jc w:val="left"/>
        <w:rPr>
          <w:b/>
          <w:sz w:val="18"/>
        </w:rPr>
      </w:pPr>
      <w:r>
        <w:rPr>
          <w:b/>
          <w:sz w:val="18"/>
        </w:rPr>
        <w:t>Basis of</w:t>
      </w:r>
      <w:r>
        <w:rPr>
          <w:b/>
          <w:spacing w:val="-18"/>
          <w:sz w:val="18"/>
        </w:rPr>
        <w:t> </w:t>
      </w:r>
      <w:r>
        <w:rPr>
          <w:b/>
          <w:sz w:val="18"/>
        </w:rPr>
        <w:t>Preparation</w:t>
      </w:r>
    </w:p>
    <w:p>
      <w:pPr>
        <w:spacing w:before="146"/>
        <w:ind w:left="2390" w:right="1392" w:firstLine="0"/>
        <w:jc w:val="both"/>
        <w:rPr>
          <w:sz w:val="18"/>
        </w:rPr>
      </w:pPr>
      <w:r>
        <w:rPr>
          <w:sz w:val="18"/>
        </w:rPr>
        <w:t>These financial statements are general purpose financial statements that have been prepared in accordance with</w:t>
      </w:r>
      <w:r>
        <w:rPr>
          <w:spacing w:val="-8"/>
          <w:sz w:val="18"/>
        </w:rPr>
        <w:t> </w:t>
      </w:r>
      <w:r>
        <w:rPr>
          <w:sz w:val="18"/>
        </w:rPr>
        <w:t>Australian</w:t>
      </w:r>
      <w:r>
        <w:rPr>
          <w:spacing w:val="-8"/>
          <w:sz w:val="18"/>
        </w:rPr>
        <w:t> </w:t>
      </w:r>
      <w:r>
        <w:rPr>
          <w:sz w:val="18"/>
        </w:rPr>
        <w:t>Accounting</w:t>
      </w:r>
      <w:r>
        <w:rPr>
          <w:spacing w:val="-8"/>
          <w:sz w:val="18"/>
        </w:rPr>
        <w:t> </w:t>
      </w:r>
      <w:r>
        <w:rPr>
          <w:sz w:val="18"/>
        </w:rPr>
        <w:t>Standards</w:t>
      </w:r>
      <w:r>
        <w:rPr>
          <w:spacing w:val="-8"/>
          <w:sz w:val="18"/>
        </w:rPr>
        <w:t> </w:t>
      </w:r>
      <w:r>
        <w:rPr>
          <w:sz w:val="18"/>
        </w:rPr>
        <w:t>(including</w:t>
      </w:r>
      <w:r>
        <w:rPr>
          <w:spacing w:val="-8"/>
          <w:sz w:val="18"/>
        </w:rPr>
        <w:t> </w:t>
      </w:r>
      <w:r>
        <w:rPr>
          <w:sz w:val="18"/>
        </w:rPr>
        <w:t>Australian</w:t>
      </w:r>
      <w:r>
        <w:rPr>
          <w:spacing w:val="-8"/>
          <w:sz w:val="18"/>
        </w:rPr>
        <w:t> </w:t>
      </w:r>
      <w:r>
        <w:rPr>
          <w:sz w:val="18"/>
        </w:rPr>
        <w:t>Accounting</w:t>
      </w:r>
      <w:r>
        <w:rPr>
          <w:spacing w:val="-8"/>
          <w:sz w:val="18"/>
        </w:rPr>
        <w:t> </w:t>
      </w:r>
      <w:r>
        <w:rPr>
          <w:sz w:val="18"/>
        </w:rPr>
        <w:t>Interpretations)</w:t>
      </w:r>
      <w:r>
        <w:rPr>
          <w:spacing w:val="-8"/>
          <w:sz w:val="18"/>
        </w:rPr>
        <w:t> </w:t>
      </w:r>
      <w:r>
        <w:rPr>
          <w:sz w:val="18"/>
        </w:rPr>
        <w:t>adopted</w:t>
      </w:r>
      <w:r>
        <w:rPr>
          <w:spacing w:val="-8"/>
          <w:sz w:val="18"/>
        </w:rPr>
        <w:t> </w:t>
      </w:r>
      <w:r>
        <w:rPr>
          <w:sz w:val="18"/>
        </w:rPr>
        <w:t>by</w:t>
      </w:r>
      <w:r>
        <w:rPr>
          <w:spacing w:val="-8"/>
          <w:sz w:val="18"/>
        </w:rPr>
        <w:t> </w:t>
      </w:r>
      <w:r>
        <w:rPr>
          <w:sz w:val="18"/>
        </w:rPr>
        <w:t>the</w:t>
      </w:r>
      <w:r>
        <w:rPr>
          <w:spacing w:val="-8"/>
          <w:sz w:val="18"/>
        </w:rPr>
        <w:t> </w:t>
      </w:r>
      <w:r>
        <w:rPr>
          <w:sz w:val="18"/>
        </w:rPr>
        <w:t>AASB,</w:t>
      </w:r>
      <w:r>
        <w:rPr>
          <w:spacing w:val="-8"/>
          <w:sz w:val="18"/>
        </w:rPr>
        <w:t> </w:t>
      </w:r>
      <w:r>
        <w:rPr>
          <w:sz w:val="18"/>
        </w:rPr>
        <w:t>the </w:t>
      </w:r>
      <w:r>
        <w:rPr>
          <w:i/>
          <w:sz w:val="18"/>
        </w:rPr>
        <w:t>Corporations Act 2001</w:t>
      </w:r>
      <w:r>
        <w:rPr>
          <w:sz w:val="18"/>
        </w:rPr>
        <w:t>, the requirements of the </w:t>
      </w:r>
      <w:r>
        <w:rPr>
          <w:i/>
          <w:sz w:val="18"/>
        </w:rPr>
        <w:t>Public Finance &amp; Audit Act 1983</w:t>
      </w:r>
      <w:r>
        <w:rPr>
          <w:sz w:val="18"/>
        </w:rPr>
        <w:t>, </w:t>
      </w:r>
      <w:r>
        <w:rPr>
          <w:i/>
          <w:sz w:val="18"/>
        </w:rPr>
        <w:t>Public Finance and Audit </w:t>
      </w:r>
      <w:r>
        <w:rPr>
          <w:i/>
          <w:sz w:val="18"/>
        </w:rPr>
        <w:t>Regulation</w:t>
      </w:r>
      <w:r>
        <w:rPr>
          <w:i/>
          <w:spacing w:val="-8"/>
          <w:sz w:val="18"/>
        </w:rPr>
        <w:t> </w:t>
      </w:r>
      <w:r>
        <w:rPr>
          <w:i/>
          <w:sz w:val="18"/>
        </w:rPr>
        <w:t>2015</w:t>
      </w:r>
      <w:r>
        <w:rPr>
          <w:i/>
          <w:spacing w:val="-8"/>
          <w:sz w:val="18"/>
        </w:rPr>
        <w:t> </w:t>
      </w:r>
      <w:r>
        <w:rPr>
          <w:sz w:val="18"/>
        </w:rPr>
        <w:t>and</w:t>
      </w:r>
      <w:r>
        <w:rPr>
          <w:spacing w:val="-8"/>
          <w:sz w:val="18"/>
        </w:rPr>
        <w:t> </w:t>
      </w:r>
      <w:r>
        <w:rPr>
          <w:sz w:val="18"/>
        </w:rPr>
        <w:t>other</w:t>
      </w:r>
      <w:r>
        <w:rPr>
          <w:spacing w:val="-8"/>
          <w:sz w:val="18"/>
        </w:rPr>
        <w:t> </w:t>
      </w:r>
      <w:r>
        <w:rPr>
          <w:sz w:val="18"/>
        </w:rPr>
        <w:t>authoritative</w:t>
      </w:r>
      <w:r>
        <w:rPr>
          <w:spacing w:val="-8"/>
          <w:sz w:val="18"/>
        </w:rPr>
        <w:t> </w:t>
      </w:r>
      <w:r>
        <w:rPr>
          <w:sz w:val="18"/>
        </w:rPr>
        <w:t>pronouncements</w:t>
      </w:r>
      <w:r>
        <w:rPr>
          <w:spacing w:val="-8"/>
          <w:sz w:val="18"/>
        </w:rPr>
        <w:t> </w:t>
      </w:r>
      <w:r>
        <w:rPr>
          <w:sz w:val="18"/>
        </w:rPr>
        <w:t>of</w:t>
      </w:r>
      <w:r>
        <w:rPr>
          <w:spacing w:val="-8"/>
          <w:sz w:val="18"/>
        </w:rPr>
        <w:t> </w:t>
      </w:r>
      <w:r>
        <w:rPr>
          <w:sz w:val="18"/>
        </w:rPr>
        <w:t>the</w:t>
      </w:r>
      <w:r>
        <w:rPr>
          <w:spacing w:val="-8"/>
          <w:sz w:val="18"/>
        </w:rPr>
        <w:t> </w:t>
      </w:r>
      <w:r>
        <w:rPr>
          <w:sz w:val="18"/>
        </w:rPr>
        <w:t>Australian</w:t>
      </w:r>
      <w:r>
        <w:rPr>
          <w:spacing w:val="-8"/>
          <w:sz w:val="18"/>
        </w:rPr>
        <w:t> </w:t>
      </w:r>
      <w:r>
        <w:rPr>
          <w:sz w:val="18"/>
        </w:rPr>
        <w:t>Accounting</w:t>
      </w:r>
      <w:r>
        <w:rPr>
          <w:spacing w:val="-8"/>
          <w:sz w:val="18"/>
        </w:rPr>
        <w:t> </w:t>
      </w:r>
      <w:r>
        <w:rPr>
          <w:sz w:val="18"/>
        </w:rPr>
        <w:t>Standards</w:t>
      </w:r>
      <w:r>
        <w:rPr>
          <w:spacing w:val="-8"/>
          <w:sz w:val="18"/>
        </w:rPr>
        <w:t> </w:t>
      </w:r>
      <w:r>
        <w:rPr>
          <w:sz w:val="18"/>
        </w:rPr>
        <w:t>Board</w:t>
      </w:r>
      <w:r>
        <w:rPr>
          <w:spacing w:val="-8"/>
          <w:sz w:val="18"/>
        </w:rPr>
        <w:t> </w:t>
      </w:r>
      <w:r>
        <w:rPr>
          <w:sz w:val="18"/>
        </w:rPr>
        <w:t>(AASB).</w:t>
      </w:r>
    </w:p>
    <w:p>
      <w:pPr>
        <w:pStyle w:val="BodyText"/>
        <w:spacing w:before="146"/>
        <w:ind w:left="2390" w:right="1393"/>
        <w:jc w:val="both"/>
      </w:pPr>
      <w:r>
        <w:rPr/>
        <w:t>These financial statements of the Company comply with Australian Accounting Standards some of which contain requirements specific to not-for-profit entities that are inconsistent with International Financial Reporting Standards (IFRS) requirements.</w:t>
      </w:r>
    </w:p>
    <w:p>
      <w:pPr>
        <w:pStyle w:val="BodyText"/>
        <w:spacing w:before="146"/>
        <w:ind w:left="2390" w:right="1394"/>
        <w:jc w:val="both"/>
      </w:pPr>
      <w:r>
        <w:rPr/>
        <w:t>Material accounting policies adopted in the preparation of these financial statements are presented below and have been consistently applied unless otherwise stated.</w:t>
      </w:r>
    </w:p>
    <w:p>
      <w:pPr>
        <w:pStyle w:val="BodyText"/>
        <w:spacing w:before="146"/>
        <w:ind w:left="2390" w:right="1394"/>
        <w:jc w:val="both"/>
      </w:pPr>
      <w:bookmarkStart w:name="(b) Revenue recognition" w:id="393"/>
      <w:bookmarkEnd w:id="393"/>
      <w:r>
        <w:rPr/>
      </w:r>
      <w:r>
        <w:rPr/>
        <w:t>The financial statements have been prepared on an accruals basis and are based on historical costs, modified, where applicable, by the measurement at fair value of selected non-current assets, financial assets and financial liabilities.</w:t>
      </w:r>
    </w:p>
    <w:p>
      <w:pPr>
        <w:pStyle w:val="BodyText"/>
        <w:spacing w:before="11"/>
        <w:rPr>
          <w:sz w:val="24"/>
        </w:rPr>
      </w:pPr>
    </w:p>
    <w:p>
      <w:pPr>
        <w:pStyle w:val="Heading8"/>
        <w:numPr>
          <w:ilvl w:val="0"/>
          <w:numId w:val="77"/>
        </w:numPr>
        <w:tabs>
          <w:tab w:pos="2391" w:val="left" w:leader="none"/>
        </w:tabs>
        <w:spacing w:line="240" w:lineRule="auto" w:before="0" w:after="0"/>
        <w:ind w:left="2390" w:right="0" w:hanging="566"/>
        <w:jc w:val="left"/>
      </w:pPr>
      <w:r>
        <w:rPr/>
        <w:t>Revenue</w:t>
      </w:r>
      <w:r>
        <w:rPr>
          <w:spacing w:val="-7"/>
        </w:rPr>
        <w:t> </w:t>
      </w:r>
      <w:r>
        <w:rPr/>
        <w:t>recognition</w:t>
      </w:r>
    </w:p>
    <w:p>
      <w:pPr>
        <w:pStyle w:val="BodyText"/>
        <w:spacing w:before="146"/>
        <w:ind w:left="2390" w:right="1394"/>
        <w:jc w:val="both"/>
      </w:pPr>
      <w:r>
        <w:rPr/>
        <w:drawing>
          <wp:anchor distT="0" distB="0" distL="0" distR="0" allowOverlap="1" layoutInCell="1" locked="0" behindDoc="0" simplePos="0" relativeHeight="14392">
            <wp:simplePos x="0" y="0"/>
            <wp:positionH relativeFrom="page">
              <wp:posOffset>-1587</wp:posOffset>
            </wp:positionH>
            <wp:positionV relativeFrom="paragraph">
              <wp:posOffset>584884</wp:posOffset>
            </wp:positionV>
            <wp:extent cx="136525" cy="155575"/>
            <wp:effectExtent l="0" t="0" r="0" b="0"/>
            <wp:wrapNone/>
            <wp:docPr id="979" name="image13.png" descr=""/>
            <wp:cNvGraphicFramePr>
              <a:graphicFrameLocks noChangeAspect="1"/>
            </wp:cNvGraphicFramePr>
            <a:graphic>
              <a:graphicData uri="http://schemas.openxmlformats.org/drawingml/2006/picture">
                <pic:pic>
                  <pic:nvPicPr>
                    <pic:cNvPr id="980" name="image13.png"/>
                    <pic:cNvPicPr/>
                  </pic:nvPicPr>
                  <pic:blipFill>
                    <a:blip r:embed="rId18" cstate="print"/>
                    <a:stretch>
                      <a:fillRect/>
                    </a:stretch>
                  </pic:blipFill>
                  <pic:spPr>
                    <a:xfrm>
                      <a:off x="0" y="0"/>
                      <a:ext cx="136525" cy="155575"/>
                    </a:xfrm>
                    <a:prstGeom prst="rect">
                      <a:avLst/>
                    </a:prstGeom>
                  </pic:spPr>
                </pic:pic>
              </a:graphicData>
            </a:graphic>
          </wp:anchor>
        </w:drawing>
      </w:r>
      <w:r>
        <w:rPr/>
        <w:drawing>
          <wp:anchor distT="0" distB="0" distL="0" distR="0" allowOverlap="1" layoutInCell="1" locked="0" behindDoc="0" simplePos="0" relativeHeight="14416">
            <wp:simplePos x="0" y="0"/>
            <wp:positionH relativeFrom="page">
              <wp:posOffset>7958429</wp:posOffset>
            </wp:positionH>
            <wp:positionV relativeFrom="paragraph">
              <wp:posOffset>584884</wp:posOffset>
            </wp:positionV>
            <wp:extent cx="135953" cy="155575"/>
            <wp:effectExtent l="0" t="0" r="0" b="0"/>
            <wp:wrapNone/>
            <wp:docPr id="981" name="image15.png" descr=""/>
            <wp:cNvGraphicFramePr>
              <a:graphicFrameLocks noChangeAspect="1"/>
            </wp:cNvGraphicFramePr>
            <a:graphic>
              <a:graphicData uri="http://schemas.openxmlformats.org/drawingml/2006/picture">
                <pic:pic>
                  <pic:nvPicPr>
                    <pic:cNvPr id="982" name="image15.png"/>
                    <pic:cNvPicPr/>
                  </pic:nvPicPr>
                  <pic:blipFill>
                    <a:blip r:embed="rId20" cstate="print"/>
                    <a:stretch>
                      <a:fillRect/>
                    </a:stretch>
                  </pic:blipFill>
                  <pic:spPr>
                    <a:xfrm>
                      <a:off x="0" y="0"/>
                      <a:ext cx="135953" cy="155575"/>
                    </a:xfrm>
                    <a:prstGeom prst="rect">
                      <a:avLst/>
                    </a:prstGeom>
                  </pic:spPr>
                </pic:pic>
              </a:graphicData>
            </a:graphic>
          </wp:anchor>
        </w:drawing>
      </w:r>
      <w:r>
        <w:rPr/>
        <w:t>The Company recognises revenue when the amount of revenue can be reliably measured, it is probable that </w:t>
      </w:r>
      <w:bookmarkStart w:name="(c) Cash and cash equivalents" w:id="394"/>
      <w:bookmarkEnd w:id="394"/>
      <w:r>
        <w:rPr/>
      </w:r>
      <w:r>
        <w:rPr/>
        <w:t>future economic benefits will flow to the entity and specific criteria have been met for each of the Company's activities. The Company bases its estimates on historical results, taking into consideration the type of customer, the type of transaction and the specifics of each arrangement.</w:t>
      </w:r>
    </w:p>
    <w:p>
      <w:pPr>
        <w:pStyle w:val="BodyText"/>
        <w:spacing w:before="11"/>
        <w:rPr>
          <w:sz w:val="24"/>
        </w:rPr>
      </w:pPr>
    </w:p>
    <w:p>
      <w:pPr>
        <w:pStyle w:val="Heading8"/>
        <w:numPr>
          <w:ilvl w:val="0"/>
          <w:numId w:val="77"/>
        </w:numPr>
        <w:tabs>
          <w:tab w:pos="2391" w:val="left" w:leader="none"/>
        </w:tabs>
        <w:spacing w:line="240" w:lineRule="auto" w:before="0" w:after="0"/>
        <w:ind w:left="2390" w:right="0" w:hanging="566"/>
        <w:jc w:val="left"/>
      </w:pPr>
      <w:r>
        <w:rPr/>
        <w:t>Cash and cash</w:t>
      </w:r>
      <w:r>
        <w:rPr>
          <w:spacing w:val="-5"/>
        </w:rPr>
        <w:t> </w:t>
      </w:r>
      <w:r>
        <w:rPr/>
        <w:t>equivalents</w:t>
      </w:r>
    </w:p>
    <w:p>
      <w:pPr>
        <w:pStyle w:val="BodyText"/>
        <w:spacing w:before="146"/>
        <w:ind w:left="2390" w:right="1393"/>
        <w:jc w:val="both"/>
      </w:pPr>
      <w:bookmarkStart w:name="(d) Income tax exemption" w:id="395"/>
      <w:bookmarkEnd w:id="395"/>
      <w:r>
        <w:rPr/>
      </w:r>
      <w:r>
        <w:rPr/>
        <w:t>Cash and cash equivalents includes cash on hand, deposits held at call with financial institutions, other short term, highly liquid investments with original maturities of three months or less that are readily convertible to known amounts of cash and which are subject to an insignificant risk of changes in value.</w:t>
      </w:r>
    </w:p>
    <w:p>
      <w:pPr>
        <w:pStyle w:val="BodyText"/>
        <w:spacing w:before="11"/>
        <w:rPr>
          <w:sz w:val="24"/>
        </w:rPr>
      </w:pPr>
    </w:p>
    <w:p>
      <w:pPr>
        <w:pStyle w:val="Heading8"/>
        <w:numPr>
          <w:ilvl w:val="0"/>
          <w:numId w:val="77"/>
        </w:numPr>
        <w:tabs>
          <w:tab w:pos="2391" w:val="left" w:leader="none"/>
        </w:tabs>
        <w:spacing w:line="240" w:lineRule="auto" w:before="0" w:after="0"/>
        <w:ind w:left="2390" w:right="0" w:hanging="566"/>
        <w:jc w:val="left"/>
      </w:pPr>
      <w:r>
        <w:rPr/>
        <w:t>Income tax</w:t>
      </w:r>
      <w:r>
        <w:rPr>
          <w:spacing w:val="-18"/>
        </w:rPr>
        <w:t> </w:t>
      </w:r>
      <w:r>
        <w:rPr/>
        <w:t>exemption</w:t>
      </w:r>
    </w:p>
    <w:p>
      <w:pPr>
        <w:pStyle w:val="BodyText"/>
        <w:spacing w:before="11"/>
        <w:rPr>
          <w:b/>
          <w:sz w:val="24"/>
        </w:rPr>
      </w:pPr>
    </w:p>
    <w:p>
      <w:pPr>
        <w:spacing w:before="0"/>
        <w:ind w:left="2390" w:right="1375" w:firstLine="0"/>
        <w:jc w:val="left"/>
        <w:rPr>
          <w:sz w:val="18"/>
        </w:rPr>
      </w:pPr>
      <w:bookmarkStart w:name="(e) Foreign currency transactions and ba" w:id="396"/>
      <w:bookmarkEnd w:id="396"/>
      <w:r>
        <w:rPr/>
      </w:r>
      <w:r>
        <w:rPr>
          <w:sz w:val="18"/>
        </w:rPr>
        <w:t>The Company is exempt from the payment of tax by virtue of section 50 B of the </w:t>
      </w:r>
      <w:r>
        <w:rPr>
          <w:i/>
          <w:sz w:val="18"/>
        </w:rPr>
        <w:t>Income Tax Assessment Act </w:t>
      </w:r>
      <w:r>
        <w:rPr>
          <w:i/>
          <w:sz w:val="18"/>
        </w:rPr>
        <w:t>1997</w:t>
      </w:r>
      <w:r>
        <w:rPr>
          <w:sz w:val="18"/>
        </w:rPr>
        <w:t>.</w:t>
      </w:r>
    </w:p>
    <w:p>
      <w:pPr>
        <w:pStyle w:val="BodyText"/>
        <w:spacing w:before="11"/>
        <w:rPr>
          <w:sz w:val="24"/>
        </w:rPr>
      </w:pPr>
    </w:p>
    <w:p>
      <w:pPr>
        <w:pStyle w:val="Heading8"/>
        <w:numPr>
          <w:ilvl w:val="0"/>
          <w:numId w:val="77"/>
        </w:numPr>
        <w:tabs>
          <w:tab w:pos="2391" w:val="left" w:leader="none"/>
        </w:tabs>
        <w:spacing w:line="240" w:lineRule="auto" w:before="0" w:after="0"/>
        <w:ind w:left="2390" w:right="0" w:hanging="566"/>
        <w:jc w:val="left"/>
      </w:pPr>
      <w:r>
        <w:rPr/>
        <w:t>Foreign</w:t>
      </w:r>
      <w:r>
        <w:rPr>
          <w:spacing w:val="-10"/>
        </w:rPr>
        <w:t> </w:t>
      </w:r>
      <w:r>
        <w:rPr/>
        <w:t>currency</w:t>
      </w:r>
      <w:r>
        <w:rPr>
          <w:spacing w:val="-10"/>
        </w:rPr>
        <w:t> </w:t>
      </w:r>
      <w:r>
        <w:rPr/>
        <w:t>transactions</w:t>
      </w:r>
      <w:r>
        <w:rPr>
          <w:spacing w:val="-10"/>
        </w:rPr>
        <w:t> </w:t>
      </w:r>
      <w:r>
        <w:rPr/>
        <w:t>and</w:t>
      </w:r>
      <w:r>
        <w:rPr>
          <w:spacing w:val="-10"/>
        </w:rPr>
        <w:t> </w:t>
      </w:r>
      <w:r>
        <w:rPr/>
        <w:t>balances</w:t>
      </w:r>
    </w:p>
    <w:p>
      <w:pPr>
        <w:pStyle w:val="BodyText"/>
        <w:spacing w:before="11"/>
        <w:rPr>
          <w:b/>
          <w:sz w:val="24"/>
        </w:rPr>
      </w:pPr>
    </w:p>
    <w:p>
      <w:pPr>
        <w:pStyle w:val="BodyText"/>
        <w:ind w:left="2390" w:right="1375"/>
      </w:pPr>
      <w:bookmarkStart w:name="(f) Goods and Services Tax (GST)" w:id="397"/>
      <w:bookmarkEnd w:id="397"/>
      <w:r>
        <w:rPr/>
      </w:r>
      <w:r>
        <w:rPr/>
        <w:t>The functional currency of the Company is measured using the currency of the primary economic environment which is Australian dollars. The financial statements are presented in Australian dollars which is the ultimate parent entity's functional and presentation currency.</w:t>
      </w:r>
    </w:p>
    <w:p>
      <w:pPr>
        <w:pStyle w:val="BodyText"/>
        <w:spacing w:before="11"/>
        <w:rPr>
          <w:sz w:val="24"/>
        </w:rPr>
      </w:pPr>
    </w:p>
    <w:p>
      <w:pPr>
        <w:pStyle w:val="Heading8"/>
        <w:numPr>
          <w:ilvl w:val="0"/>
          <w:numId w:val="77"/>
        </w:numPr>
        <w:tabs>
          <w:tab w:pos="2391" w:val="left" w:leader="none"/>
        </w:tabs>
        <w:spacing w:line="240" w:lineRule="auto" w:before="0" w:after="0"/>
        <w:ind w:left="2390" w:right="0" w:hanging="566"/>
        <w:jc w:val="left"/>
      </w:pPr>
      <w:r>
        <w:rPr/>
        <w:t>Goods and Services Tax</w:t>
      </w:r>
      <w:r>
        <w:rPr>
          <w:spacing w:val="-5"/>
        </w:rPr>
        <w:t> </w:t>
      </w:r>
      <w:r>
        <w:rPr/>
        <w:t>(GST)</w:t>
      </w:r>
    </w:p>
    <w:p>
      <w:pPr>
        <w:pStyle w:val="BodyText"/>
        <w:spacing w:before="146"/>
        <w:ind w:left="2390" w:right="1393"/>
        <w:jc w:val="both"/>
      </w:pPr>
      <w:r>
        <w:rPr/>
        <w:t>Revenues, expenses and assets are recognised net of the amount of associated GST, unless the GST incurred is not recoverable from the Australian Taxation Office. In this case, it is recognised as part of the cost of acquisition of the asset or as part of the expense.</w:t>
      </w:r>
    </w:p>
    <w:p>
      <w:pPr>
        <w:pStyle w:val="BodyText"/>
        <w:spacing w:before="146"/>
        <w:ind w:left="2390" w:right="1394"/>
        <w:jc w:val="both"/>
      </w:pPr>
      <w:r>
        <w:rPr/>
        <w:t>Receivables and payables are stated inclusive of the amount of GST receivable or payable. The net amount of GST recoverable from, or payable to, the Australian Taxation Office is included with other receivables or payables in the statement of financial position.</w:t>
      </w:r>
    </w:p>
    <w:p>
      <w:pPr>
        <w:pStyle w:val="BodyText"/>
        <w:spacing w:before="146"/>
        <w:ind w:left="2390" w:right="1394"/>
        <w:jc w:val="both"/>
      </w:pPr>
      <w:r>
        <w:rPr/>
        <w:t>Cash flows are presented on a gross basis. The GST components of cash flows arising from investing or financing activities which are recoverable from, or payable to the Australian Taxation Office, are presented as operating cash flows.</w:t>
      </w:r>
    </w:p>
    <w:p>
      <w:pPr>
        <w:spacing w:after="0"/>
        <w:jc w:val="both"/>
        <w:sectPr>
          <w:footerReference w:type="default" r:id="rId131"/>
          <w:pgSz w:w="12750" w:h="17680"/>
          <w:pgMar w:footer="927" w:header="0" w:top="1880" w:bottom="1120" w:left="0" w:right="0"/>
          <w:pgNumType w:start="205"/>
        </w:sectPr>
      </w:pPr>
    </w:p>
    <w:p>
      <w:pPr>
        <w:pStyle w:val="BodyText"/>
        <w:spacing w:before="2"/>
        <w:rPr>
          <w:sz w:val="24"/>
        </w:rPr>
      </w:pPr>
    </w:p>
    <w:p>
      <w:pPr>
        <w:pStyle w:val="Heading4"/>
      </w:pPr>
      <w:r>
        <w:rPr/>
        <w:t>Notes to the financial statements</w:t>
      </w:r>
    </w:p>
    <w:p>
      <w:pPr>
        <w:pStyle w:val="Heading7"/>
      </w:pPr>
      <w:r>
        <w:rPr/>
        <w:t>For the year ended 31 December 2016</w:t>
      </w:r>
    </w:p>
    <w:p>
      <w:pPr>
        <w:pStyle w:val="BodyText"/>
        <w:rPr>
          <w:b/>
          <w:sz w:val="22"/>
        </w:rPr>
      </w:pPr>
    </w:p>
    <w:p>
      <w:pPr>
        <w:pStyle w:val="BodyText"/>
        <w:rPr>
          <w:b/>
          <w:sz w:val="22"/>
        </w:rPr>
      </w:pPr>
    </w:p>
    <w:p>
      <w:pPr>
        <w:pStyle w:val="Heading8"/>
        <w:numPr>
          <w:ilvl w:val="0"/>
          <w:numId w:val="78"/>
        </w:numPr>
        <w:tabs>
          <w:tab w:pos="1824" w:val="left" w:leader="none"/>
        </w:tabs>
        <w:spacing w:line="240" w:lineRule="auto" w:before="160" w:after="0"/>
        <w:ind w:left="1824" w:right="0" w:hanging="395"/>
        <w:jc w:val="left"/>
      </w:pPr>
      <w:bookmarkStart w:name="(g) Comparative amounts" w:id="398"/>
      <w:bookmarkEnd w:id="398"/>
      <w:r>
        <w:rPr>
          <w:b w:val="0"/>
        </w:rPr>
      </w:r>
      <w:bookmarkStart w:name="(g) Comparative amounts" w:id="399"/>
      <w:bookmarkEnd w:id="399"/>
      <w:r>
        <w:rPr/>
        <w:t>Summary</w:t>
      </w:r>
      <w:r>
        <w:rPr/>
        <w:t> of Significant Accounting Policies</w:t>
      </w:r>
      <w:r>
        <w:rPr>
          <w:spacing w:val="-6"/>
        </w:rPr>
        <w:t> </w:t>
      </w:r>
      <w:r>
        <w:rPr/>
        <w:t>(continued)</w:t>
      </w:r>
    </w:p>
    <w:p>
      <w:pPr>
        <w:pStyle w:val="BodyText"/>
        <w:spacing w:before="11"/>
        <w:rPr>
          <w:b/>
          <w:sz w:val="24"/>
        </w:rPr>
      </w:pPr>
    </w:p>
    <w:p>
      <w:pPr>
        <w:pStyle w:val="ListParagraph"/>
        <w:numPr>
          <w:ilvl w:val="0"/>
          <w:numId w:val="77"/>
        </w:numPr>
        <w:tabs>
          <w:tab w:pos="2391" w:val="left" w:leader="none"/>
        </w:tabs>
        <w:spacing w:line="240" w:lineRule="auto" w:before="0" w:after="0"/>
        <w:ind w:left="2390" w:right="0" w:hanging="566"/>
        <w:jc w:val="both"/>
        <w:rPr>
          <w:b/>
          <w:sz w:val="18"/>
        </w:rPr>
      </w:pPr>
      <w:bookmarkStart w:name="(h) New accounting standards and interpr" w:id="400"/>
      <w:bookmarkEnd w:id="400"/>
      <w:r>
        <w:rPr/>
      </w:r>
      <w:bookmarkStart w:name="(h) New accounting standards and interpr" w:id="401"/>
      <w:bookmarkEnd w:id="401"/>
      <w:r>
        <w:rPr>
          <w:b/>
          <w:sz w:val="18"/>
        </w:rPr>
        <w:t>Comparati</w:t>
      </w:r>
      <w:r>
        <w:rPr>
          <w:b/>
          <w:sz w:val="18"/>
        </w:rPr>
        <w:t>ve</w:t>
      </w:r>
      <w:r>
        <w:rPr>
          <w:b/>
          <w:spacing w:val="-14"/>
          <w:sz w:val="18"/>
        </w:rPr>
        <w:t> </w:t>
      </w:r>
      <w:r>
        <w:rPr>
          <w:b/>
          <w:sz w:val="18"/>
        </w:rPr>
        <w:t>amounts</w:t>
      </w:r>
    </w:p>
    <w:p>
      <w:pPr>
        <w:pStyle w:val="BodyText"/>
        <w:spacing w:before="146"/>
        <w:ind w:left="2390" w:right="1393"/>
        <w:jc w:val="both"/>
      </w:pPr>
      <w:r>
        <w:rPr/>
        <w:t>Comparative figures have been reclassified and repositioned in the financial statements, where necessary, to conform with the basis of preparation and classification used in the current year.</w:t>
      </w:r>
    </w:p>
    <w:p>
      <w:pPr>
        <w:pStyle w:val="BodyText"/>
        <w:spacing w:before="11"/>
        <w:rPr>
          <w:sz w:val="24"/>
        </w:rPr>
      </w:pPr>
    </w:p>
    <w:p>
      <w:pPr>
        <w:pStyle w:val="Heading8"/>
        <w:numPr>
          <w:ilvl w:val="0"/>
          <w:numId w:val="77"/>
        </w:numPr>
        <w:tabs>
          <w:tab w:pos="2391" w:val="left" w:leader="none"/>
        </w:tabs>
        <w:spacing w:line="240" w:lineRule="auto" w:before="0" w:after="0"/>
        <w:ind w:left="2390" w:right="0" w:hanging="566"/>
        <w:jc w:val="both"/>
      </w:pPr>
      <w:r>
        <w:rPr/>
        <w:t>New accounting standards and</w:t>
      </w:r>
      <w:r>
        <w:rPr>
          <w:spacing w:val="3"/>
        </w:rPr>
        <w:t> </w:t>
      </w:r>
      <w:r>
        <w:rPr/>
        <w:t>interpretations</w:t>
      </w:r>
    </w:p>
    <w:p>
      <w:pPr>
        <w:pStyle w:val="BodyText"/>
        <w:spacing w:before="146"/>
        <w:ind w:left="2390" w:right="1393"/>
        <w:jc w:val="both"/>
      </w:pPr>
      <w:r>
        <w:rPr/>
        <w:t>Certain new accounting standards and interpretations have been published that are not mandatory for 31 December 2016 reporting periods and have not yet been applied in the financial statements. The Company's </w:t>
      </w:r>
      <w:bookmarkStart w:name="(i) Critical accounting estimates and ju" w:id="402"/>
      <w:bookmarkEnd w:id="402"/>
      <w:r>
        <w:rPr/>
      </w:r>
      <w:r>
        <w:rPr/>
        <w:t>assessment of the impact of these new standards and interpretations is that they will not materially affect any of the amounts recognised in the financial statements or significantly impact the disclosures in relation to the Company.</w:t>
      </w:r>
    </w:p>
    <w:p>
      <w:pPr>
        <w:pStyle w:val="BodyText"/>
        <w:spacing w:before="11"/>
        <w:rPr>
          <w:sz w:val="24"/>
        </w:rPr>
      </w:pPr>
    </w:p>
    <w:p>
      <w:pPr>
        <w:pStyle w:val="Heading8"/>
        <w:numPr>
          <w:ilvl w:val="0"/>
          <w:numId w:val="77"/>
        </w:numPr>
        <w:tabs>
          <w:tab w:pos="2391" w:val="left" w:leader="none"/>
        </w:tabs>
        <w:spacing w:line="240" w:lineRule="auto" w:before="0" w:after="0"/>
        <w:ind w:left="2390" w:right="0" w:hanging="566"/>
        <w:jc w:val="both"/>
      </w:pPr>
      <w:r>
        <w:rPr/>
        <w:t>Critical accounting estimates and</w:t>
      </w:r>
      <w:r>
        <w:rPr>
          <w:spacing w:val="-1"/>
        </w:rPr>
        <w:t> </w:t>
      </w:r>
      <w:r>
        <w:rPr/>
        <w:t>judgments</w:t>
      </w:r>
    </w:p>
    <w:p>
      <w:pPr>
        <w:pStyle w:val="BodyText"/>
        <w:spacing w:before="146"/>
        <w:ind w:left="2390" w:right="1394"/>
        <w:jc w:val="both"/>
      </w:pPr>
      <w:r>
        <w:rPr/>
        <w:t>The preparation of financial statements requires the use of certain critical accounting estimates. It also requires Management to exercise its judgement in the process of applying the Company's accounting policies. Estimates and judgements are continually evaluated and are based on historic experience and other factors, including expectations of future events that may have a financial impact on the Company and that are believed to be </w:t>
      </w:r>
      <w:bookmarkStart w:name="2 Financial Risk Management" w:id="403"/>
      <w:bookmarkEnd w:id="403"/>
      <w:r>
        <w:rPr/>
      </w:r>
      <w:r>
        <w:rPr/>
        <w:t>reasonable under the circumstances.</w:t>
      </w:r>
    </w:p>
    <w:p>
      <w:pPr>
        <w:pStyle w:val="BodyText"/>
        <w:spacing w:before="146"/>
        <w:ind w:left="2390" w:right="1394"/>
        <w:jc w:val="both"/>
      </w:pPr>
      <w:r>
        <w:rPr/>
        <w:drawing>
          <wp:anchor distT="0" distB="0" distL="0" distR="0" allowOverlap="1" layoutInCell="1" locked="0" behindDoc="0" simplePos="0" relativeHeight="14440">
            <wp:simplePos x="0" y="0"/>
            <wp:positionH relativeFrom="page">
              <wp:posOffset>-1587</wp:posOffset>
            </wp:positionH>
            <wp:positionV relativeFrom="paragraph">
              <wp:posOffset>363904</wp:posOffset>
            </wp:positionV>
            <wp:extent cx="135159" cy="154019"/>
            <wp:effectExtent l="0" t="0" r="0" b="0"/>
            <wp:wrapNone/>
            <wp:docPr id="983" name="image13.png" descr=""/>
            <wp:cNvGraphicFramePr>
              <a:graphicFrameLocks noChangeAspect="1"/>
            </wp:cNvGraphicFramePr>
            <a:graphic>
              <a:graphicData uri="http://schemas.openxmlformats.org/drawingml/2006/picture">
                <pic:pic>
                  <pic:nvPicPr>
                    <pic:cNvPr id="984" name="image13.png"/>
                    <pic:cNvPicPr/>
                  </pic:nvPicPr>
                  <pic:blipFill>
                    <a:blip r:embed="rId18" cstate="print"/>
                    <a:stretch>
                      <a:fillRect/>
                    </a:stretch>
                  </pic:blipFill>
                  <pic:spPr>
                    <a:xfrm>
                      <a:off x="0" y="0"/>
                      <a:ext cx="135159" cy="154019"/>
                    </a:xfrm>
                    <a:prstGeom prst="rect">
                      <a:avLst/>
                    </a:prstGeom>
                  </pic:spPr>
                </pic:pic>
              </a:graphicData>
            </a:graphic>
          </wp:anchor>
        </w:drawing>
      </w:r>
      <w:r>
        <w:rPr/>
        <w:drawing>
          <wp:anchor distT="0" distB="0" distL="0" distR="0" allowOverlap="1" layoutInCell="1" locked="0" behindDoc="0" simplePos="0" relativeHeight="14464">
            <wp:simplePos x="0" y="0"/>
            <wp:positionH relativeFrom="page">
              <wp:posOffset>7958429</wp:posOffset>
            </wp:positionH>
            <wp:positionV relativeFrom="paragraph">
              <wp:posOffset>363904</wp:posOffset>
            </wp:positionV>
            <wp:extent cx="135953" cy="155575"/>
            <wp:effectExtent l="0" t="0" r="0" b="0"/>
            <wp:wrapNone/>
            <wp:docPr id="985" name="image15.png" descr=""/>
            <wp:cNvGraphicFramePr>
              <a:graphicFrameLocks noChangeAspect="1"/>
            </wp:cNvGraphicFramePr>
            <a:graphic>
              <a:graphicData uri="http://schemas.openxmlformats.org/drawingml/2006/picture">
                <pic:pic>
                  <pic:nvPicPr>
                    <pic:cNvPr id="986" name="image15.png"/>
                    <pic:cNvPicPr/>
                  </pic:nvPicPr>
                  <pic:blipFill>
                    <a:blip r:embed="rId20" cstate="print"/>
                    <a:stretch>
                      <a:fillRect/>
                    </a:stretch>
                  </pic:blipFill>
                  <pic:spPr>
                    <a:xfrm>
                      <a:off x="0" y="0"/>
                      <a:ext cx="135953" cy="155575"/>
                    </a:xfrm>
                    <a:prstGeom prst="rect">
                      <a:avLst/>
                    </a:prstGeom>
                  </pic:spPr>
                </pic:pic>
              </a:graphicData>
            </a:graphic>
          </wp:anchor>
        </w:drawing>
      </w:r>
      <w:r>
        <w:rPr/>
        <w:t>There</w:t>
      </w:r>
      <w:r>
        <w:rPr>
          <w:spacing w:val="-4"/>
        </w:rPr>
        <w:t> </w:t>
      </w:r>
      <w:r>
        <w:rPr/>
        <w:t>are</w:t>
      </w:r>
      <w:r>
        <w:rPr>
          <w:spacing w:val="-4"/>
        </w:rPr>
        <w:t> </w:t>
      </w:r>
      <w:r>
        <w:rPr/>
        <w:t>no</w:t>
      </w:r>
      <w:r>
        <w:rPr>
          <w:spacing w:val="-4"/>
        </w:rPr>
        <w:t> </w:t>
      </w:r>
      <w:r>
        <w:rPr/>
        <w:t>areas</w:t>
      </w:r>
      <w:r>
        <w:rPr>
          <w:spacing w:val="-4"/>
        </w:rPr>
        <w:t> </w:t>
      </w:r>
      <w:r>
        <w:rPr/>
        <w:t>which</w:t>
      </w:r>
      <w:r>
        <w:rPr>
          <w:spacing w:val="-5"/>
        </w:rPr>
        <w:t> </w:t>
      </w:r>
      <w:r>
        <w:rPr/>
        <w:t>involve</w:t>
      </w:r>
      <w:r>
        <w:rPr>
          <w:spacing w:val="-5"/>
        </w:rPr>
        <w:t> </w:t>
      </w:r>
      <w:r>
        <w:rPr/>
        <w:t>a</w:t>
      </w:r>
      <w:r>
        <w:rPr>
          <w:spacing w:val="-5"/>
        </w:rPr>
        <w:t> </w:t>
      </w:r>
      <w:r>
        <w:rPr/>
        <w:t>high</w:t>
      </w:r>
      <w:r>
        <w:rPr>
          <w:spacing w:val="-5"/>
        </w:rPr>
        <w:t> </w:t>
      </w:r>
      <w:r>
        <w:rPr/>
        <w:t>degree</w:t>
      </w:r>
      <w:r>
        <w:rPr>
          <w:spacing w:val="-5"/>
        </w:rPr>
        <w:t> </w:t>
      </w:r>
      <w:r>
        <w:rPr/>
        <w:t>of</w:t>
      </w:r>
      <w:r>
        <w:rPr>
          <w:spacing w:val="-5"/>
        </w:rPr>
        <w:t> </w:t>
      </w:r>
      <w:r>
        <w:rPr/>
        <w:t>judgement</w:t>
      </w:r>
      <w:r>
        <w:rPr>
          <w:spacing w:val="-5"/>
        </w:rPr>
        <w:t> </w:t>
      </w:r>
      <w:r>
        <w:rPr/>
        <w:t>or</w:t>
      </w:r>
      <w:r>
        <w:rPr>
          <w:spacing w:val="-5"/>
        </w:rPr>
        <w:t> </w:t>
      </w:r>
      <w:r>
        <w:rPr/>
        <w:t>complexity</w:t>
      </w:r>
      <w:r>
        <w:rPr>
          <w:spacing w:val="-5"/>
        </w:rPr>
        <w:t> </w:t>
      </w:r>
      <w:r>
        <w:rPr/>
        <w:t>or</w:t>
      </w:r>
      <w:r>
        <w:rPr>
          <w:spacing w:val="-5"/>
        </w:rPr>
        <w:t> </w:t>
      </w:r>
      <w:r>
        <w:rPr/>
        <w:t>where</w:t>
      </w:r>
      <w:r>
        <w:rPr>
          <w:spacing w:val="-5"/>
        </w:rPr>
        <w:t> </w:t>
      </w:r>
      <w:r>
        <w:rPr/>
        <w:t>assumptions</w:t>
      </w:r>
      <w:r>
        <w:rPr>
          <w:spacing w:val="-5"/>
        </w:rPr>
        <w:t> </w:t>
      </w:r>
      <w:r>
        <w:rPr/>
        <w:t>and</w:t>
      </w:r>
      <w:r>
        <w:rPr>
          <w:spacing w:val="-5"/>
        </w:rPr>
        <w:t> </w:t>
      </w:r>
      <w:r>
        <w:rPr/>
        <w:t>estimates are</w:t>
      </w:r>
      <w:r>
        <w:rPr>
          <w:spacing w:val="-7"/>
        </w:rPr>
        <w:t> </w:t>
      </w:r>
      <w:r>
        <w:rPr/>
        <w:t>significant</w:t>
      </w:r>
      <w:r>
        <w:rPr>
          <w:spacing w:val="-7"/>
        </w:rPr>
        <w:t> </w:t>
      </w:r>
      <w:r>
        <w:rPr/>
        <w:t>to</w:t>
      </w:r>
      <w:r>
        <w:rPr>
          <w:spacing w:val="-7"/>
        </w:rPr>
        <w:t> </w:t>
      </w:r>
      <w:r>
        <w:rPr/>
        <w:t>the</w:t>
      </w:r>
      <w:r>
        <w:rPr>
          <w:spacing w:val="-7"/>
        </w:rPr>
        <w:t> </w:t>
      </w:r>
      <w:r>
        <w:rPr/>
        <w:t>financial</w:t>
      </w:r>
      <w:r>
        <w:rPr>
          <w:spacing w:val="-7"/>
        </w:rPr>
        <w:t> </w:t>
      </w:r>
      <w:r>
        <w:rPr/>
        <w:t>statements</w:t>
      </w:r>
      <w:r>
        <w:rPr>
          <w:spacing w:val="-7"/>
        </w:rPr>
        <w:t> </w:t>
      </w:r>
      <w:r>
        <w:rPr/>
        <w:t>of</w:t>
      </w:r>
      <w:r>
        <w:rPr>
          <w:spacing w:val="-7"/>
        </w:rPr>
        <w:t> </w:t>
      </w:r>
      <w:r>
        <w:rPr/>
        <w:t>the</w:t>
      </w:r>
      <w:r>
        <w:rPr>
          <w:spacing w:val="-7"/>
        </w:rPr>
        <w:t> </w:t>
      </w:r>
      <w:r>
        <w:rPr/>
        <w:t>Company.</w:t>
      </w:r>
    </w:p>
    <w:p>
      <w:pPr>
        <w:pStyle w:val="BodyText"/>
        <w:spacing w:before="11"/>
        <w:rPr>
          <w:sz w:val="24"/>
        </w:rPr>
      </w:pPr>
    </w:p>
    <w:p>
      <w:pPr>
        <w:pStyle w:val="Heading8"/>
        <w:numPr>
          <w:ilvl w:val="0"/>
          <w:numId w:val="78"/>
        </w:numPr>
        <w:tabs>
          <w:tab w:pos="1826" w:val="left" w:leader="none"/>
        </w:tabs>
        <w:spacing w:line="240" w:lineRule="auto" w:before="0" w:after="0"/>
        <w:ind w:left="1825" w:right="0" w:hanging="396"/>
        <w:jc w:val="left"/>
      </w:pPr>
      <w:r>
        <w:rPr/>
        <w:t>Financial Risk Management</w:t>
      </w:r>
    </w:p>
    <w:p>
      <w:pPr>
        <w:pStyle w:val="BodyText"/>
        <w:spacing w:before="146"/>
        <w:ind w:left="1825" w:right="1393"/>
        <w:jc w:val="both"/>
      </w:pPr>
      <w:r>
        <w:rPr/>
        <w:t>The main risks the Company is exposed to through its financial instruments are credit risk, liquidity risk and market risk (interest rate risk). The Company's overall risk management program focuses on the unpredictability of financial  markets and seeks to minimise potential adverse effects on the financial performance of the Company. The Company uses different methods to measure different types of risk to which it is exposed. These methods include sensitivity analysis</w:t>
      </w:r>
      <w:r>
        <w:rPr>
          <w:spacing w:val="-6"/>
        </w:rPr>
        <w:t> </w:t>
      </w:r>
      <w:r>
        <w:rPr/>
        <w:t>in</w:t>
      </w:r>
      <w:r>
        <w:rPr>
          <w:spacing w:val="-6"/>
        </w:rPr>
        <w:t> </w:t>
      </w:r>
      <w:r>
        <w:rPr/>
        <w:t>the</w:t>
      </w:r>
      <w:r>
        <w:rPr>
          <w:spacing w:val="-6"/>
        </w:rPr>
        <w:t> </w:t>
      </w:r>
      <w:r>
        <w:rPr/>
        <w:t>case</w:t>
      </w:r>
      <w:r>
        <w:rPr>
          <w:spacing w:val="-6"/>
        </w:rPr>
        <w:t> </w:t>
      </w:r>
      <w:r>
        <w:rPr/>
        <w:t>of</w:t>
      </w:r>
      <w:r>
        <w:rPr>
          <w:spacing w:val="-6"/>
        </w:rPr>
        <w:t> </w:t>
      </w:r>
      <w:r>
        <w:rPr/>
        <w:t>interest</w:t>
      </w:r>
      <w:r>
        <w:rPr>
          <w:spacing w:val="-6"/>
        </w:rPr>
        <w:t> </w:t>
      </w:r>
      <w:r>
        <w:rPr/>
        <w:t>rate</w:t>
      </w:r>
      <w:r>
        <w:rPr>
          <w:spacing w:val="-6"/>
        </w:rPr>
        <w:t> </w:t>
      </w:r>
      <w:r>
        <w:rPr/>
        <w:t>and</w:t>
      </w:r>
      <w:r>
        <w:rPr>
          <w:spacing w:val="-6"/>
        </w:rPr>
        <w:t> </w:t>
      </w:r>
      <w:r>
        <w:rPr/>
        <w:t>ageing</w:t>
      </w:r>
      <w:r>
        <w:rPr>
          <w:spacing w:val="-6"/>
        </w:rPr>
        <w:t> </w:t>
      </w:r>
      <w:r>
        <w:rPr/>
        <w:t>analysis</w:t>
      </w:r>
      <w:r>
        <w:rPr>
          <w:spacing w:val="-6"/>
        </w:rPr>
        <w:t> </w:t>
      </w:r>
      <w:r>
        <w:rPr/>
        <w:t>for</w:t>
      </w:r>
      <w:r>
        <w:rPr>
          <w:spacing w:val="-6"/>
        </w:rPr>
        <w:t> </w:t>
      </w:r>
      <w:r>
        <w:rPr/>
        <w:t>credit</w:t>
      </w:r>
      <w:r>
        <w:rPr>
          <w:spacing w:val="-6"/>
        </w:rPr>
        <w:t> </w:t>
      </w:r>
      <w:r>
        <w:rPr/>
        <w:t>risk.</w:t>
      </w:r>
    </w:p>
    <w:p>
      <w:pPr>
        <w:pStyle w:val="BodyText"/>
        <w:spacing w:before="146"/>
        <w:ind w:left="1825" w:right="1375"/>
      </w:pPr>
      <w:r>
        <w:rPr/>
        <w:t>The totals for each category of financial instruments, measured in accordance with AASB 139 as detailed in the accounting policies to these financial statements, are as follows:</w:t>
      </w:r>
    </w:p>
    <w:p>
      <w:pPr>
        <w:pStyle w:val="BodyText"/>
        <w:spacing w:before="10"/>
        <w:rPr>
          <w:sz w:val="23"/>
        </w:rPr>
      </w:pPr>
    </w:p>
    <w:p>
      <w:pPr>
        <w:spacing w:after="0"/>
        <w:rPr>
          <w:sz w:val="23"/>
        </w:rPr>
        <w:sectPr>
          <w:pgSz w:w="12750" w:h="17680"/>
          <w:pgMar w:header="0" w:footer="927" w:top="1880" w:bottom="1120" w:left="0" w:right="0"/>
        </w:sectPr>
      </w:pPr>
    </w:p>
    <w:p>
      <w:pPr>
        <w:pStyle w:val="BodyText"/>
      </w:pPr>
    </w:p>
    <w:p>
      <w:pPr>
        <w:pStyle w:val="BodyText"/>
        <w:spacing w:before="7"/>
        <w:rPr>
          <w:sz w:val="24"/>
        </w:rPr>
      </w:pPr>
    </w:p>
    <w:p>
      <w:pPr>
        <w:pStyle w:val="Heading8"/>
        <w:ind w:left="1825" w:right="-13"/>
      </w:pPr>
      <w:bookmarkStart w:name="(a) Credit risk" w:id="404"/>
      <w:bookmarkEnd w:id="404"/>
      <w:r>
        <w:rPr>
          <w:b w:val="0"/>
        </w:rPr>
      </w:r>
      <w:r>
        <w:rPr/>
        <w:t>Financial</w:t>
      </w:r>
      <w:r>
        <w:rPr>
          <w:spacing w:val="-12"/>
        </w:rPr>
        <w:t> </w:t>
      </w:r>
      <w:r>
        <w:rPr/>
        <w:t>Assets</w:t>
      </w:r>
    </w:p>
    <w:p>
      <w:pPr>
        <w:spacing w:line="207" w:lineRule="exact" w:before="77"/>
        <w:ind w:left="0" w:right="0" w:firstLine="0"/>
        <w:jc w:val="right"/>
        <w:rPr>
          <w:b/>
          <w:sz w:val="18"/>
        </w:rPr>
      </w:pPr>
      <w:r>
        <w:rPr/>
        <w:br w:type="column"/>
      </w:r>
      <w:r>
        <w:rPr>
          <w:b/>
          <w:sz w:val="18"/>
        </w:rPr>
        <w:t>2016</w:t>
      </w:r>
    </w:p>
    <w:p>
      <w:pPr>
        <w:spacing w:line="207" w:lineRule="exact" w:before="0"/>
        <w:ind w:left="0" w:right="146" w:firstLine="0"/>
        <w:jc w:val="right"/>
        <w:rPr>
          <w:b/>
          <w:sz w:val="18"/>
        </w:rPr>
      </w:pPr>
      <w:r>
        <w:rPr>
          <w:b/>
          <w:w w:val="99"/>
          <w:sz w:val="18"/>
        </w:rPr>
        <w:t>$</w:t>
      </w:r>
    </w:p>
    <w:p>
      <w:pPr>
        <w:spacing w:line="207" w:lineRule="exact" w:before="77"/>
        <w:ind w:left="814" w:right="1829" w:firstLine="0"/>
        <w:jc w:val="center"/>
        <w:rPr>
          <w:b/>
          <w:sz w:val="18"/>
        </w:rPr>
      </w:pPr>
      <w:r>
        <w:rPr/>
        <w:br w:type="column"/>
      </w:r>
      <w:r>
        <w:rPr>
          <w:b/>
          <w:sz w:val="18"/>
        </w:rPr>
        <w:t>2015</w:t>
      </w:r>
    </w:p>
    <w:p>
      <w:pPr>
        <w:spacing w:line="207" w:lineRule="exact" w:before="0"/>
        <w:ind w:left="0" w:right="1013" w:firstLine="0"/>
        <w:jc w:val="center"/>
        <w:rPr>
          <w:b/>
          <w:sz w:val="18"/>
        </w:rPr>
      </w:pPr>
      <w:r>
        <w:rPr>
          <w:b/>
          <w:w w:val="99"/>
          <w:sz w:val="18"/>
        </w:rPr>
        <w:t>$</w:t>
      </w:r>
    </w:p>
    <w:p>
      <w:pPr>
        <w:spacing w:after="0" w:line="207" w:lineRule="exact"/>
        <w:jc w:val="center"/>
        <w:rPr>
          <w:sz w:val="18"/>
        </w:rPr>
        <w:sectPr>
          <w:type w:val="continuous"/>
          <w:pgSz w:w="12750" w:h="17680"/>
          <w:pgMar w:top="1660" w:bottom="0" w:left="0" w:right="0"/>
          <w:cols w:num="3" w:equalWidth="0">
            <w:col w:w="3241" w:space="4133"/>
            <w:col w:w="2224" w:space="40"/>
            <w:col w:w="3112"/>
          </w:cols>
        </w:sectPr>
      </w:pPr>
    </w:p>
    <w:p>
      <w:pPr>
        <w:pStyle w:val="BodyText"/>
        <w:tabs>
          <w:tab w:pos="6925" w:val="left" w:leader="none"/>
          <w:tab w:pos="8033" w:val="left" w:leader="none"/>
          <w:tab w:pos="9332" w:val="left" w:leader="none"/>
        </w:tabs>
        <w:spacing w:line="206" w:lineRule="exact"/>
        <w:ind w:right="1484"/>
        <w:jc w:val="right"/>
      </w:pPr>
      <w:r>
        <w:rPr/>
        <w:t>Cash and</w:t>
      </w:r>
      <w:r>
        <w:rPr>
          <w:spacing w:val="-10"/>
        </w:rPr>
        <w:t> </w:t>
      </w:r>
      <w:r>
        <w:rPr/>
        <w:t>cash</w:t>
      </w:r>
      <w:r>
        <w:rPr>
          <w:spacing w:val="-5"/>
        </w:rPr>
        <w:t> </w:t>
      </w:r>
      <w:r>
        <w:rPr/>
        <w:t>equivalents</w:t>
        <w:tab/>
      </w:r>
      <w:r>
        <w:rPr>
          <w:rFonts w:ascii="Times New Roman"/>
          <w:u w:val="single"/>
        </w:rPr>
        <w:t> </w:t>
        <w:tab/>
      </w:r>
      <w:r>
        <w:rPr>
          <w:b/>
          <w:u w:val="single"/>
        </w:rPr>
        <w:t>1</w:t>
        <w:tab/>
      </w:r>
      <w:r>
        <w:rPr>
          <w:spacing w:val="-1"/>
          <w:u w:val="single"/>
        </w:rPr>
        <w:t>1</w:t>
      </w:r>
    </w:p>
    <w:p>
      <w:pPr>
        <w:tabs>
          <w:tab w:pos="1108" w:val="left" w:leader="none"/>
          <w:tab w:pos="2407" w:val="left" w:leader="none"/>
        </w:tabs>
        <w:spacing w:before="9"/>
        <w:ind w:left="0" w:right="1484" w:firstLine="0"/>
        <w:jc w:val="right"/>
        <w:rPr>
          <w:sz w:val="18"/>
        </w:rPr>
      </w:pPr>
      <w:r>
        <w:rPr>
          <w:rFonts w:ascii="Times New Roman"/>
          <w:sz w:val="18"/>
          <w:u w:val="single"/>
        </w:rPr>
        <w:t> </w:t>
        <w:tab/>
      </w:r>
      <w:r>
        <w:rPr>
          <w:b/>
          <w:sz w:val="18"/>
          <w:u w:val="single"/>
        </w:rPr>
        <w:t>1</w:t>
        <w:tab/>
      </w:r>
      <w:r>
        <w:rPr>
          <w:spacing w:val="-1"/>
          <w:sz w:val="18"/>
          <w:u w:val="single"/>
        </w:rPr>
        <w:t>1</w:t>
      </w:r>
    </w:p>
    <w:p>
      <w:pPr>
        <w:pStyle w:val="BodyText"/>
        <w:spacing w:before="3"/>
        <w:rPr>
          <w:sz w:val="9"/>
        </w:rPr>
      </w:pPr>
    </w:p>
    <w:p>
      <w:pPr>
        <w:pStyle w:val="Heading8"/>
        <w:numPr>
          <w:ilvl w:val="1"/>
          <w:numId w:val="78"/>
        </w:numPr>
        <w:tabs>
          <w:tab w:pos="2392" w:val="left" w:leader="none"/>
        </w:tabs>
        <w:spacing w:line="240" w:lineRule="auto" w:before="77" w:after="0"/>
        <w:ind w:left="2391" w:right="0" w:hanging="566"/>
        <w:jc w:val="left"/>
      </w:pPr>
      <w:r>
        <w:rPr/>
        <w:t>Credit</w:t>
      </w:r>
      <w:r>
        <w:rPr>
          <w:spacing w:val="-10"/>
        </w:rPr>
        <w:t> </w:t>
      </w:r>
      <w:r>
        <w:rPr/>
        <w:t>risk</w:t>
      </w:r>
    </w:p>
    <w:p>
      <w:pPr>
        <w:pStyle w:val="BodyText"/>
        <w:spacing w:before="150"/>
        <w:ind w:left="2392" w:right="1392"/>
        <w:jc w:val="both"/>
      </w:pPr>
      <w:r>
        <w:rPr/>
        <w:t>The credit risk on financial assets of the Company (which have been recognised in the statement of financial </w:t>
      </w:r>
      <w:bookmarkStart w:name="(b) Liquidity risk" w:id="405"/>
      <w:bookmarkEnd w:id="405"/>
      <w:r>
        <w:rPr/>
      </w:r>
      <w:r>
        <w:rPr/>
        <w:t>position) is generally the carrying amount, net of provision for loss. Credit risk arises when there is the possibility of the Company's debtors defaulting on their contractual obligations, resulting in financial loss to the Company. The Company does not have any significant exposure to any unrelated debtor.</w:t>
      </w:r>
    </w:p>
    <w:p>
      <w:pPr>
        <w:pStyle w:val="BodyText"/>
        <w:spacing w:before="4"/>
        <w:rPr>
          <w:sz w:val="14"/>
        </w:rPr>
      </w:pPr>
    </w:p>
    <w:p>
      <w:pPr>
        <w:pStyle w:val="Heading8"/>
        <w:numPr>
          <w:ilvl w:val="1"/>
          <w:numId w:val="78"/>
        </w:numPr>
        <w:tabs>
          <w:tab w:pos="2392" w:val="left" w:leader="none"/>
        </w:tabs>
        <w:spacing w:line="240" w:lineRule="auto" w:before="0" w:after="0"/>
        <w:ind w:left="2391" w:right="0" w:hanging="566"/>
        <w:jc w:val="left"/>
      </w:pPr>
      <w:r>
        <w:rPr/>
        <w:t>Liquidity risk</w:t>
      </w:r>
    </w:p>
    <w:p>
      <w:pPr>
        <w:pStyle w:val="BodyText"/>
        <w:spacing w:before="150"/>
        <w:ind w:left="2392" w:right="1394"/>
        <w:jc w:val="both"/>
      </w:pPr>
      <w:r>
        <w:rPr/>
        <w:t>Prudent liquidity risk management implies maintaining sufficient cash and the availability of funding through an adequate amount of committed credit facilities to meet obligations when due. At the end of the reporting period the Company held deposits at call of $1 (2015: $1) that are expected to readily generate cash inflows for managing liquidity risk.</w:t>
      </w:r>
    </w:p>
    <w:p>
      <w:pPr>
        <w:spacing w:after="0"/>
        <w:jc w:val="both"/>
        <w:sectPr>
          <w:type w:val="continuous"/>
          <w:pgSz w:w="12750" w:h="17680"/>
          <w:pgMar w:top="1660" w:bottom="0" w:left="0" w:right="0"/>
        </w:sectPr>
      </w:pPr>
    </w:p>
    <w:p>
      <w:pPr>
        <w:pStyle w:val="BodyText"/>
        <w:spacing w:before="2"/>
        <w:rPr>
          <w:sz w:val="24"/>
        </w:rPr>
      </w:pPr>
    </w:p>
    <w:p>
      <w:pPr>
        <w:pStyle w:val="Heading4"/>
      </w:pPr>
      <w:r>
        <w:rPr/>
        <w:t>Notes to the financial statements</w:t>
      </w:r>
    </w:p>
    <w:p>
      <w:pPr>
        <w:pStyle w:val="Heading7"/>
      </w:pPr>
      <w:r>
        <w:rPr/>
        <w:t>For the year ended 31 December 2016</w:t>
      </w:r>
    </w:p>
    <w:p>
      <w:pPr>
        <w:pStyle w:val="BodyText"/>
        <w:rPr>
          <w:b/>
          <w:sz w:val="22"/>
        </w:rPr>
      </w:pPr>
    </w:p>
    <w:p>
      <w:pPr>
        <w:pStyle w:val="BodyText"/>
        <w:rPr>
          <w:b/>
          <w:sz w:val="22"/>
        </w:rPr>
      </w:pPr>
    </w:p>
    <w:p>
      <w:pPr>
        <w:pStyle w:val="Heading8"/>
        <w:numPr>
          <w:ilvl w:val="0"/>
          <w:numId w:val="79"/>
        </w:numPr>
        <w:tabs>
          <w:tab w:pos="1826" w:val="left" w:leader="none"/>
        </w:tabs>
        <w:spacing w:line="240" w:lineRule="auto" w:before="160" w:after="0"/>
        <w:ind w:left="1825" w:right="0" w:hanging="396"/>
        <w:jc w:val="left"/>
      </w:pPr>
      <w:bookmarkStart w:name="(c) Market risk" w:id="406"/>
      <w:bookmarkEnd w:id="406"/>
      <w:r>
        <w:rPr>
          <w:b w:val="0"/>
        </w:rPr>
      </w:r>
      <w:bookmarkStart w:name="(c) Market risk" w:id="407"/>
      <w:bookmarkEnd w:id="407"/>
      <w:r>
        <w:rPr/>
        <w:t>Financial</w:t>
      </w:r>
      <w:r>
        <w:rPr/>
        <w:t> Risk Management (continued)</w:t>
      </w:r>
    </w:p>
    <w:p>
      <w:pPr>
        <w:pStyle w:val="BodyText"/>
        <w:spacing w:before="7"/>
        <w:rPr>
          <w:b/>
          <w:sz w:val="26"/>
        </w:rPr>
      </w:pPr>
    </w:p>
    <w:p>
      <w:pPr>
        <w:pStyle w:val="ListParagraph"/>
        <w:numPr>
          <w:ilvl w:val="1"/>
          <w:numId w:val="78"/>
        </w:numPr>
        <w:tabs>
          <w:tab w:pos="2392" w:val="left" w:leader="none"/>
        </w:tabs>
        <w:spacing w:line="240" w:lineRule="auto" w:before="0" w:after="0"/>
        <w:ind w:left="2391" w:right="0" w:hanging="566"/>
        <w:jc w:val="left"/>
        <w:rPr>
          <w:b/>
          <w:sz w:val="18"/>
        </w:rPr>
      </w:pPr>
      <w:r>
        <w:rPr>
          <w:b/>
          <w:sz w:val="18"/>
        </w:rPr>
        <w:t>Market</w:t>
      </w:r>
      <w:r>
        <w:rPr>
          <w:b/>
          <w:spacing w:val="-11"/>
          <w:sz w:val="18"/>
        </w:rPr>
        <w:t> </w:t>
      </w:r>
      <w:r>
        <w:rPr>
          <w:b/>
          <w:sz w:val="18"/>
        </w:rPr>
        <w:t>risk</w:t>
      </w:r>
    </w:p>
    <w:p>
      <w:pPr>
        <w:pStyle w:val="BodyText"/>
        <w:spacing w:before="150"/>
        <w:ind w:left="2392" w:right="1375"/>
      </w:pPr>
      <w:r>
        <w:rPr/>
        <w:t>Market risk is the risk that the fair value or future cash flows of a financial instrument will fluctuate because of changes in market prices.</w:t>
      </w:r>
    </w:p>
    <w:p>
      <w:pPr>
        <w:pStyle w:val="ListParagraph"/>
        <w:numPr>
          <w:ilvl w:val="2"/>
          <w:numId w:val="78"/>
        </w:numPr>
        <w:tabs>
          <w:tab w:pos="2533" w:val="left" w:leader="none"/>
        </w:tabs>
        <w:spacing w:line="207" w:lineRule="exact" w:before="146" w:after="0"/>
        <w:ind w:left="2532" w:right="0" w:hanging="140"/>
        <w:jc w:val="left"/>
        <w:rPr>
          <w:i/>
          <w:sz w:val="18"/>
        </w:rPr>
      </w:pPr>
      <w:bookmarkStart w:name="3 Expenses" w:id="408"/>
      <w:bookmarkEnd w:id="408"/>
      <w:r>
        <w:rPr/>
      </w:r>
      <w:bookmarkStart w:name="3 Expenses" w:id="409"/>
      <w:bookmarkEnd w:id="409"/>
      <w:r>
        <w:rPr>
          <w:i/>
          <w:sz w:val="18"/>
        </w:rPr>
        <w:t>Cas</w:t>
      </w:r>
      <w:r>
        <w:rPr>
          <w:i/>
          <w:sz w:val="18"/>
        </w:rPr>
        <w:t>h flow and fair value interest</w:t>
      </w:r>
      <w:r>
        <w:rPr>
          <w:i/>
          <w:spacing w:val="-33"/>
          <w:sz w:val="18"/>
        </w:rPr>
        <w:t> </w:t>
      </w:r>
      <w:r>
        <w:rPr>
          <w:i/>
          <w:sz w:val="18"/>
        </w:rPr>
        <w:t>rate</w:t>
      </w:r>
    </w:p>
    <w:p>
      <w:pPr>
        <w:pStyle w:val="BodyText"/>
        <w:spacing w:line="207" w:lineRule="exact"/>
        <w:ind w:left="2392"/>
      </w:pPr>
      <w:r>
        <w:rPr/>
        <w:t>The Company's exposure to interest rate risk is minimal as it has no borrowings.</w:t>
      </w:r>
    </w:p>
    <w:p>
      <w:pPr>
        <w:pStyle w:val="BodyText"/>
      </w:pPr>
    </w:p>
    <w:p>
      <w:pPr>
        <w:pStyle w:val="BodyText"/>
        <w:spacing w:before="7"/>
        <w:rPr>
          <w:sz w:val="26"/>
        </w:rPr>
      </w:pPr>
    </w:p>
    <w:p>
      <w:pPr>
        <w:pStyle w:val="Heading8"/>
        <w:numPr>
          <w:ilvl w:val="0"/>
          <w:numId w:val="79"/>
        </w:numPr>
        <w:tabs>
          <w:tab w:pos="1824" w:val="left" w:leader="none"/>
        </w:tabs>
        <w:spacing w:line="240" w:lineRule="auto" w:before="0" w:after="0"/>
        <w:ind w:left="1824" w:right="0" w:hanging="395"/>
        <w:jc w:val="left"/>
      </w:pPr>
      <w:bookmarkStart w:name="4 Remuneration of Auditors" w:id="410"/>
      <w:bookmarkEnd w:id="410"/>
      <w:r>
        <w:rPr>
          <w:b w:val="0"/>
        </w:rPr>
      </w:r>
      <w:bookmarkStart w:name="4 Remuneration of Auditors" w:id="411"/>
      <w:bookmarkEnd w:id="411"/>
      <w:r>
        <w:rPr/>
        <w:t>Expenses</w:t>
      </w:r>
    </w:p>
    <w:p>
      <w:pPr>
        <w:pStyle w:val="BodyText"/>
        <w:spacing w:before="150"/>
        <w:ind w:left="1825"/>
      </w:pPr>
      <w:r>
        <w:rPr/>
        <w:t>No expenses were paid by the ultimate parent entity on behalf of the Company during 2016 (2015: NIL).</w:t>
      </w:r>
    </w:p>
    <w:p>
      <w:pPr>
        <w:pStyle w:val="BodyText"/>
        <w:spacing w:before="11"/>
        <w:rPr>
          <w:sz w:val="24"/>
        </w:rPr>
      </w:pPr>
    </w:p>
    <w:p>
      <w:pPr>
        <w:pStyle w:val="Heading8"/>
        <w:numPr>
          <w:ilvl w:val="0"/>
          <w:numId w:val="79"/>
        </w:numPr>
        <w:tabs>
          <w:tab w:pos="1826" w:val="left" w:leader="none"/>
        </w:tabs>
        <w:spacing w:line="240" w:lineRule="auto" w:before="0" w:after="0"/>
        <w:ind w:left="1825" w:right="0" w:hanging="396"/>
        <w:jc w:val="left"/>
      </w:pPr>
      <w:bookmarkStart w:name="5 Fair Value Measurement" w:id="412"/>
      <w:bookmarkEnd w:id="412"/>
      <w:r>
        <w:rPr>
          <w:b w:val="0"/>
        </w:rPr>
      </w:r>
      <w:bookmarkStart w:name="5 Fair Value Measurement" w:id="413"/>
      <w:bookmarkEnd w:id="413"/>
      <w:r>
        <w:rPr/>
        <w:t>Remuneration</w:t>
      </w:r>
      <w:r>
        <w:rPr/>
        <w:t> of</w:t>
      </w:r>
      <w:r>
        <w:rPr>
          <w:spacing w:val="-6"/>
        </w:rPr>
        <w:t> </w:t>
      </w:r>
      <w:r>
        <w:rPr/>
        <w:t>Auditors</w:t>
      </w:r>
    </w:p>
    <w:p>
      <w:pPr>
        <w:pStyle w:val="BodyText"/>
        <w:spacing w:before="146"/>
        <w:ind w:left="1825" w:right="1407"/>
      </w:pPr>
      <w:r>
        <w:rPr/>
        <w:t>Full audit fees for 2016 are reflected in the books of the Whitlam Institute within Western Sydney University Trust and will be paid by the ultimate parent entity (2015: NIL).</w:t>
      </w:r>
    </w:p>
    <w:p>
      <w:pPr>
        <w:pStyle w:val="BodyText"/>
        <w:spacing w:before="11"/>
        <w:rPr>
          <w:sz w:val="24"/>
        </w:rPr>
      </w:pPr>
    </w:p>
    <w:p>
      <w:pPr>
        <w:pStyle w:val="Heading8"/>
        <w:numPr>
          <w:ilvl w:val="0"/>
          <w:numId w:val="79"/>
        </w:numPr>
        <w:tabs>
          <w:tab w:pos="1826" w:val="left" w:leader="none"/>
        </w:tabs>
        <w:spacing w:line="240" w:lineRule="auto" w:before="0" w:after="0"/>
        <w:ind w:left="1825" w:right="0" w:hanging="396"/>
        <w:jc w:val="left"/>
      </w:pPr>
      <w:r>
        <w:rPr/>
        <w:t>Fair Value</w:t>
      </w:r>
      <w:r>
        <w:rPr>
          <w:spacing w:val="-21"/>
        </w:rPr>
        <w:t> </w:t>
      </w:r>
      <w:r>
        <w:rPr/>
        <w:t>Measurement</w:t>
      </w:r>
    </w:p>
    <w:p>
      <w:pPr>
        <w:pStyle w:val="BodyText"/>
        <w:spacing w:before="11"/>
        <w:rPr>
          <w:b/>
          <w:sz w:val="24"/>
        </w:rPr>
      </w:pPr>
    </w:p>
    <w:p>
      <w:pPr>
        <w:pStyle w:val="BodyText"/>
        <w:ind w:left="1825" w:right="1375"/>
      </w:pPr>
      <w:r>
        <w:rPr/>
        <w:drawing>
          <wp:anchor distT="0" distB="0" distL="0" distR="0" allowOverlap="1" layoutInCell="1" locked="0" behindDoc="0" simplePos="0" relativeHeight="14488">
            <wp:simplePos x="0" y="0"/>
            <wp:positionH relativeFrom="page">
              <wp:posOffset>-1587</wp:posOffset>
            </wp:positionH>
            <wp:positionV relativeFrom="paragraph">
              <wp:posOffset>268146</wp:posOffset>
            </wp:positionV>
            <wp:extent cx="135159" cy="154019"/>
            <wp:effectExtent l="0" t="0" r="0" b="0"/>
            <wp:wrapNone/>
            <wp:docPr id="987" name="image13.png" descr=""/>
            <wp:cNvGraphicFramePr>
              <a:graphicFrameLocks noChangeAspect="1"/>
            </wp:cNvGraphicFramePr>
            <a:graphic>
              <a:graphicData uri="http://schemas.openxmlformats.org/drawingml/2006/picture">
                <pic:pic>
                  <pic:nvPicPr>
                    <pic:cNvPr id="988" name="image13.png"/>
                    <pic:cNvPicPr/>
                  </pic:nvPicPr>
                  <pic:blipFill>
                    <a:blip r:embed="rId18" cstate="print"/>
                    <a:stretch>
                      <a:fillRect/>
                    </a:stretch>
                  </pic:blipFill>
                  <pic:spPr>
                    <a:xfrm>
                      <a:off x="0" y="0"/>
                      <a:ext cx="135159" cy="154019"/>
                    </a:xfrm>
                    <a:prstGeom prst="rect">
                      <a:avLst/>
                    </a:prstGeom>
                  </pic:spPr>
                </pic:pic>
              </a:graphicData>
            </a:graphic>
          </wp:anchor>
        </w:drawing>
      </w:r>
      <w:r>
        <w:rPr/>
        <w:drawing>
          <wp:anchor distT="0" distB="0" distL="0" distR="0" allowOverlap="1" layoutInCell="1" locked="0" behindDoc="0" simplePos="0" relativeHeight="14512">
            <wp:simplePos x="0" y="0"/>
            <wp:positionH relativeFrom="page">
              <wp:posOffset>7958429</wp:posOffset>
            </wp:positionH>
            <wp:positionV relativeFrom="paragraph">
              <wp:posOffset>268146</wp:posOffset>
            </wp:positionV>
            <wp:extent cx="135953" cy="155575"/>
            <wp:effectExtent l="0" t="0" r="0" b="0"/>
            <wp:wrapNone/>
            <wp:docPr id="989" name="image15.png" descr=""/>
            <wp:cNvGraphicFramePr>
              <a:graphicFrameLocks noChangeAspect="1"/>
            </wp:cNvGraphicFramePr>
            <a:graphic>
              <a:graphicData uri="http://schemas.openxmlformats.org/drawingml/2006/picture">
                <pic:pic>
                  <pic:nvPicPr>
                    <pic:cNvPr id="990" name="image15.png"/>
                    <pic:cNvPicPr/>
                  </pic:nvPicPr>
                  <pic:blipFill>
                    <a:blip r:embed="rId20" cstate="print"/>
                    <a:stretch>
                      <a:fillRect/>
                    </a:stretch>
                  </pic:blipFill>
                  <pic:spPr>
                    <a:xfrm>
                      <a:off x="0" y="0"/>
                      <a:ext cx="135953" cy="155575"/>
                    </a:xfrm>
                    <a:prstGeom prst="rect">
                      <a:avLst/>
                    </a:prstGeom>
                  </pic:spPr>
                </pic:pic>
              </a:graphicData>
            </a:graphic>
          </wp:anchor>
        </w:drawing>
      </w:r>
      <w:bookmarkStart w:name="6 Cash and cash equivalents" w:id="414"/>
      <w:bookmarkEnd w:id="414"/>
      <w:r>
        <w:rPr/>
      </w:r>
      <w:r>
        <w:rPr/>
        <w:t>Fair value measurements of balance sheet items are not categorised given the lack of any assets or liabilities as at 31 December 2016.</w:t>
      </w:r>
    </w:p>
    <w:p>
      <w:pPr>
        <w:pStyle w:val="BodyText"/>
        <w:spacing w:before="3"/>
      </w:pPr>
    </w:p>
    <w:p>
      <w:pPr>
        <w:spacing w:after="0"/>
        <w:sectPr>
          <w:pgSz w:w="12750" w:h="17680"/>
          <w:pgMar w:header="0" w:footer="927" w:top="1880" w:bottom="1120" w:left="0" w:right="0"/>
        </w:sectPr>
      </w:pPr>
    </w:p>
    <w:p>
      <w:pPr>
        <w:pStyle w:val="Heading8"/>
        <w:numPr>
          <w:ilvl w:val="0"/>
          <w:numId w:val="79"/>
        </w:numPr>
        <w:tabs>
          <w:tab w:pos="1826" w:val="left" w:leader="none"/>
        </w:tabs>
        <w:spacing w:line="240" w:lineRule="auto" w:before="77" w:after="0"/>
        <w:ind w:left="1825" w:right="0" w:hanging="396"/>
        <w:jc w:val="left"/>
      </w:pPr>
      <w:r>
        <w:rPr/>
        <w:t>Cash and cash</w:t>
      </w:r>
      <w:r>
        <w:rPr>
          <w:spacing w:val="-5"/>
        </w:rPr>
        <w:t> </w:t>
      </w:r>
      <w:r>
        <w:rPr/>
        <w:t>equivalents</w:t>
      </w:r>
    </w:p>
    <w:p>
      <w:pPr>
        <w:pStyle w:val="BodyText"/>
        <w:spacing w:before="7"/>
        <w:rPr>
          <w:b/>
          <w:sz w:val="24"/>
        </w:rPr>
      </w:pPr>
      <w:r>
        <w:rPr/>
        <w:br w:type="column"/>
      </w:r>
      <w:r>
        <w:rPr>
          <w:b/>
          <w:sz w:val="24"/>
        </w:rPr>
      </w:r>
    </w:p>
    <w:p>
      <w:pPr>
        <w:spacing w:line="207" w:lineRule="exact" w:before="1"/>
        <w:ind w:left="0" w:right="0" w:firstLine="0"/>
        <w:jc w:val="right"/>
        <w:rPr>
          <w:b/>
          <w:sz w:val="18"/>
        </w:rPr>
      </w:pPr>
      <w:r>
        <w:rPr>
          <w:b/>
          <w:sz w:val="18"/>
        </w:rPr>
        <w:t>2016</w:t>
      </w:r>
    </w:p>
    <w:p>
      <w:pPr>
        <w:spacing w:line="207" w:lineRule="exact" w:before="0"/>
        <w:ind w:left="0" w:right="146" w:firstLine="0"/>
        <w:jc w:val="right"/>
        <w:rPr>
          <w:b/>
          <w:sz w:val="18"/>
        </w:rPr>
      </w:pPr>
      <w:bookmarkStart w:name="(a) Risk exposure" w:id="415"/>
      <w:bookmarkEnd w:id="415"/>
      <w:r>
        <w:rPr/>
      </w:r>
      <w:r>
        <w:rPr>
          <w:b/>
          <w:w w:val="99"/>
          <w:sz w:val="18"/>
        </w:rPr>
        <w:t>$</w:t>
      </w:r>
    </w:p>
    <w:p>
      <w:pPr>
        <w:pStyle w:val="BodyText"/>
        <w:spacing w:before="7"/>
        <w:rPr>
          <w:b/>
          <w:sz w:val="24"/>
        </w:rPr>
      </w:pPr>
      <w:r>
        <w:rPr/>
        <w:br w:type="column"/>
      </w:r>
      <w:r>
        <w:rPr>
          <w:b/>
          <w:sz w:val="24"/>
        </w:rPr>
      </w:r>
    </w:p>
    <w:p>
      <w:pPr>
        <w:spacing w:line="207" w:lineRule="exact" w:before="1"/>
        <w:ind w:left="814" w:right="1829" w:firstLine="0"/>
        <w:jc w:val="center"/>
        <w:rPr>
          <w:b/>
          <w:sz w:val="18"/>
        </w:rPr>
      </w:pPr>
      <w:r>
        <w:rPr>
          <w:b/>
          <w:sz w:val="18"/>
        </w:rPr>
        <w:t>2015</w:t>
      </w:r>
    </w:p>
    <w:p>
      <w:pPr>
        <w:spacing w:line="207" w:lineRule="exact" w:before="0"/>
        <w:ind w:left="0" w:right="1013" w:firstLine="0"/>
        <w:jc w:val="center"/>
        <w:rPr>
          <w:b/>
          <w:sz w:val="18"/>
        </w:rPr>
      </w:pPr>
      <w:r>
        <w:rPr>
          <w:b/>
          <w:w w:val="99"/>
          <w:sz w:val="18"/>
        </w:rPr>
        <w:t>$</w:t>
      </w:r>
    </w:p>
    <w:p>
      <w:pPr>
        <w:spacing w:after="0" w:line="207" w:lineRule="exact"/>
        <w:jc w:val="center"/>
        <w:rPr>
          <w:sz w:val="18"/>
        </w:rPr>
        <w:sectPr>
          <w:type w:val="continuous"/>
          <w:pgSz w:w="12750" w:h="17680"/>
          <w:pgMar w:top="1660" w:bottom="0" w:left="0" w:right="0"/>
          <w:cols w:num="3" w:equalWidth="0">
            <w:col w:w="4133" w:space="3637"/>
            <w:col w:w="1828" w:space="40"/>
            <w:col w:w="3112"/>
          </w:cols>
        </w:sectPr>
      </w:pPr>
    </w:p>
    <w:p>
      <w:pPr>
        <w:pStyle w:val="BodyText"/>
        <w:tabs>
          <w:tab w:pos="6925" w:val="left" w:leader="none"/>
          <w:tab w:pos="8033" w:val="left" w:leader="none"/>
          <w:tab w:pos="9332" w:val="left" w:leader="none"/>
        </w:tabs>
        <w:spacing w:before="84"/>
        <w:ind w:right="1484"/>
        <w:jc w:val="right"/>
      </w:pPr>
      <w:r>
        <w:rPr/>
        <w:t>Cash at bank and</w:t>
      </w:r>
      <w:r>
        <w:rPr>
          <w:spacing w:val="-12"/>
        </w:rPr>
        <w:t> </w:t>
      </w:r>
      <w:r>
        <w:rPr/>
        <w:t>in</w:t>
      </w:r>
      <w:r>
        <w:rPr>
          <w:spacing w:val="-3"/>
        </w:rPr>
        <w:t> </w:t>
      </w:r>
      <w:r>
        <w:rPr/>
        <w:t>hand</w:t>
        <w:tab/>
      </w:r>
      <w:r>
        <w:rPr>
          <w:rFonts w:ascii="Times New Roman"/>
          <w:position w:val="-2"/>
          <w:u w:val="single"/>
        </w:rPr>
        <w:t> </w:t>
        <w:tab/>
      </w:r>
      <w:r>
        <w:rPr>
          <w:b/>
          <w:position w:val="-2"/>
          <w:u w:val="single"/>
        </w:rPr>
        <w:t>1</w:t>
        <w:tab/>
      </w:r>
      <w:r>
        <w:rPr>
          <w:spacing w:val="-1"/>
          <w:position w:val="-2"/>
          <w:u w:val="single"/>
        </w:rPr>
        <w:t>1</w:t>
      </w:r>
    </w:p>
    <w:p>
      <w:pPr>
        <w:tabs>
          <w:tab w:pos="1108" w:val="left" w:leader="none"/>
          <w:tab w:pos="2407" w:val="left" w:leader="none"/>
        </w:tabs>
        <w:spacing w:before="6"/>
        <w:ind w:left="0" w:right="1484" w:firstLine="0"/>
        <w:jc w:val="right"/>
        <w:rPr>
          <w:sz w:val="18"/>
        </w:rPr>
      </w:pPr>
      <w:r>
        <w:rPr>
          <w:rFonts w:ascii="Times New Roman"/>
          <w:sz w:val="18"/>
          <w:u w:val="single"/>
        </w:rPr>
        <w:t> </w:t>
        <w:tab/>
      </w:r>
      <w:r>
        <w:rPr>
          <w:b/>
          <w:sz w:val="18"/>
          <w:u w:val="single"/>
        </w:rPr>
        <w:t>1</w:t>
        <w:tab/>
      </w:r>
      <w:r>
        <w:rPr>
          <w:spacing w:val="-1"/>
          <w:sz w:val="18"/>
          <w:u w:val="single"/>
        </w:rPr>
        <w:t>1</w:t>
      </w:r>
    </w:p>
    <w:p>
      <w:pPr>
        <w:pStyle w:val="BodyText"/>
        <w:spacing w:before="3"/>
        <w:rPr>
          <w:sz w:val="9"/>
        </w:rPr>
      </w:pPr>
    </w:p>
    <w:p>
      <w:pPr>
        <w:pStyle w:val="Heading8"/>
        <w:numPr>
          <w:ilvl w:val="1"/>
          <w:numId w:val="79"/>
        </w:numPr>
        <w:tabs>
          <w:tab w:pos="2392" w:val="left" w:leader="none"/>
        </w:tabs>
        <w:spacing w:line="240" w:lineRule="auto" w:before="77" w:after="0"/>
        <w:ind w:left="2391" w:right="0" w:hanging="566"/>
        <w:jc w:val="left"/>
      </w:pPr>
      <w:r>
        <w:rPr/>
        <w:t>Risk</w:t>
      </w:r>
      <w:r>
        <w:rPr>
          <w:spacing w:val="-12"/>
        </w:rPr>
        <w:t> </w:t>
      </w:r>
      <w:r>
        <w:rPr/>
        <w:t>exposure</w:t>
      </w:r>
    </w:p>
    <w:p>
      <w:pPr>
        <w:pStyle w:val="BodyText"/>
        <w:spacing w:before="4"/>
        <w:ind w:left="2392" w:right="1393"/>
        <w:jc w:val="both"/>
      </w:pPr>
      <w:bookmarkStart w:name="(b) Cash at bank and on hand" w:id="416"/>
      <w:bookmarkEnd w:id="416"/>
      <w:r>
        <w:rPr/>
      </w:r>
      <w:r>
        <w:rPr/>
        <w:t>The Company's exposure to interest rate risk is discussed in note 2. The maximum exposure to credit risk at the end of each reporting period is the carrying amount of each class of cash and cash equivalents mentioned </w:t>
      </w:r>
      <w:bookmarkStart w:name="(c) Fair value" w:id="417"/>
      <w:bookmarkEnd w:id="417"/>
      <w:r>
        <w:rPr/>
      </w:r>
      <w:r>
        <w:rPr/>
        <w:t>above.</w:t>
      </w:r>
    </w:p>
    <w:p>
      <w:pPr>
        <w:pStyle w:val="Heading8"/>
        <w:numPr>
          <w:ilvl w:val="1"/>
          <w:numId w:val="79"/>
        </w:numPr>
        <w:tabs>
          <w:tab w:pos="2392" w:val="left" w:leader="none"/>
        </w:tabs>
        <w:spacing w:line="240" w:lineRule="auto" w:before="131" w:after="0"/>
        <w:ind w:left="2391" w:right="0" w:hanging="566"/>
        <w:jc w:val="left"/>
      </w:pPr>
      <w:r>
        <w:rPr/>
        <w:t>Cash at bank and on hand</w:t>
      </w:r>
    </w:p>
    <w:p>
      <w:pPr>
        <w:pStyle w:val="BodyText"/>
        <w:spacing w:before="4"/>
        <w:ind w:left="2392"/>
        <w:jc w:val="both"/>
      </w:pPr>
      <w:bookmarkStart w:name="7 Contributed equity" w:id="418"/>
      <w:bookmarkEnd w:id="418"/>
      <w:r>
        <w:rPr/>
      </w:r>
      <w:bookmarkStart w:name="    " w:id="419"/>
      <w:bookmarkEnd w:id="419"/>
      <w:r>
        <w:rPr/>
      </w:r>
      <w:r>
        <w:rPr/>
        <w:t>These are non-interest bearing.</w:t>
      </w:r>
    </w:p>
    <w:p>
      <w:pPr>
        <w:pStyle w:val="Heading8"/>
        <w:numPr>
          <w:ilvl w:val="1"/>
          <w:numId w:val="79"/>
        </w:numPr>
        <w:tabs>
          <w:tab w:pos="2392" w:val="left" w:leader="none"/>
        </w:tabs>
        <w:spacing w:line="240" w:lineRule="auto" w:before="131" w:after="0"/>
        <w:ind w:left="2391" w:right="0" w:hanging="566"/>
        <w:jc w:val="left"/>
      </w:pPr>
      <w:r>
        <w:rPr/>
        <w:t>Fair</w:t>
      </w:r>
      <w:r>
        <w:rPr>
          <w:spacing w:val="-6"/>
        </w:rPr>
        <w:t> </w:t>
      </w:r>
      <w:r>
        <w:rPr/>
        <w:t>value</w:t>
      </w:r>
    </w:p>
    <w:p>
      <w:pPr>
        <w:pStyle w:val="BodyText"/>
        <w:spacing w:before="4"/>
        <w:ind w:left="2392"/>
        <w:jc w:val="both"/>
      </w:pPr>
      <w:r>
        <w:rPr/>
        <w:t>The carrying amount for cash and cash equivalents equals the fair value.</w:t>
      </w:r>
    </w:p>
    <w:p>
      <w:pPr>
        <w:pStyle w:val="BodyText"/>
        <w:spacing w:before="6"/>
        <w:rPr>
          <w:sz w:val="19"/>
        </w:rPr>
      </w:pPr>
    </w:p>
    <w:p>
      <w:pPr>
        <w:pStyle w:val="Heading8"/>
        <w:numPr>
          <w:ilvl w:val="0"/>
          <w:numId w:val="79"/>
        </w:numPr>
        <w:tabs>
          <w:tab w:pos="1824" w:val="left" w:leader="none"/>
        </w:tabs>
        <w:spacing w:line="240" w:lineRule="auto" w:before="0" w:after="0"/>
        <w:ind w:left="1824" w:right="0" w:hanging="395"/>
        <w:jc w:val="left"/>
      </w:pPr>
      <w:r>
        <w:rPr/>
        <w:t>Contributed equity</w:t>
      </w:r>
    </w:p>
    <w:p>
      <w:pPr>
        <w:pStyle w:val="BodyText"/>
        <w:rPr>
          <w:b/>
        </w:rPr>
      </w:pPr>
    </w:p>
    <w:p>
      <w:pPr>
        <w:pStyle w:val="BodyText"/>
        <w:spacing w:before="5"/>
        <w:rPr>
          <w:b/>
          <w:sz w:val="19"/>
        </w:rPr>
      </w:pPr>
    </w:p>
    <w:p>
      <w:pPr>
        <w:tabs>
          <w:tab w:pos="9832" w:val="left" w:leader="none"/>
        </w:tabs>
        <w:spacing w:before="1"/>
        <w:ind w:left="7168" w:right="0" w:firstLine="0"/>
        <w:jc w:val="left"/>
        <w:rPr>
          <w:b/>
          <w:sz w:val="18"/>
        </w:rPr>
      </w:pPr>
      <w:r>
        <w:rPr>
          <w:b/>
          <w:sz w:val="18"/>
        </w:rPr>
        <w:t>Shares</w:t>
        <w:tab/>
        <w:t>Total</w:t>
      </w:r>
    </w:p>
    <w:p>
      <w:pPr>
        <w:spacing w:after="0"/>
        <w:jc w:val="left"/>
        <w:rPr>
          <w:sz w:val="18"/>
        </w:rPr>
        <w:sectPr>
          <w:type w:val="continuous"/>
          <w:pgSz w:w="12750" w:h="17680"/>
          <w:pgMar w:top="1660" w:bottom="0" w:left="0" w:right="0"/>
        </w:sectPr>
      </w:pPr>
    </w:p>
    <w:p>
      <w:pPr>
        <w:pStyle w:val="BodyText"/>
        <w:rPr>
          <w:b/>
        </w:rPr>
      </w:pPr>
    </w:p>
    <w:p>
      <w:pPr>
        <w:pStyle w:val="BodyText"/>
        <w:spacing w:before="9"/>
        <w:rPr>
          <w:b/>
          <w:sz w:val="17"/>
        </w:rPr>
      </w:pPr>
    </w:p>
    <w:p>
      <w:pPr>
        <w:spacing w:before="0"/>
        <w:ind w:left="1852" w:right="-7" w:firstLine="0"/>
        <w:jc w:val="left"/>
        <w:rPr>
          <w:b/>
          <w:sz w:val="18"/>
        </w:rPr>
      </w:pPr>
      <w:bookmarkStart w:name="(a) Movements in ordinary share capital" w:id="420"/>
      <w:bookmarkEnd w:id="420"/>
      <w:r>
        <w:rPr/>
      </w:r>
      <w:r>
        <w:rPr>
          <w:b/>
          <w:sz w:val="18"/>
        </w:rPr>
        <w:t>Ordinary</w:t>
      </w:r>
      <w:r>
        <w:rPr>
          <w:b/>
          <w:spacing w:val="-15"/>
          <w:sz w:val="18"/>
        </w:rPr>
        <w:t> </w:t>
      </w:r>
      <w:r>
        <w:rPr>
          <w:b/>
          <w:sz w:val="18"/>
        </w:rPr>
        <w:t>shares</w:t>
      </w:r>
    </w:p>
    <w:p>
      <w:pPr>
        <w:spacing w:line="206" w:lineRule="exact" w:before="0"/>
        <w:ind w:left="0" w:right="0" w:firstLine="0"/>
        <w:jc w:val="right"/>
        <w:rPr>
          <w:b/>
          <w:sz w:val="18"/>
        </w:rPr>
      </w:pPr>
      <w:r>
        <w:rPr/>
        <w:br w:type="column"/>
      </w:r>
      <w:r>
        <w:rPr>
          <w:b/>
          <w:sz w:val="18"/>
        </w:rPr>
        <w:t>2016</w:t>
      </w:r>
    </w:p>
    <w:p>
      <w:pPr>
        <w:spacing w:line="207" w:lineRule="exact" w:before="0"/>
        <w:ind w:left="0" w:right="146" w:firstLine="0"/>
        <w:jc w:val="right"/>
        <w:rPr>
          <w:b/>
          <w:sz w:val="18"/>
        </w:rPr>
      </w:pPr>
      <w:r>
        <w:rPr>
          <w:b/>
          <w:w w:val="99"/>
          <w:sz w:val="18"/>
        </w:rPr>
        <w:t>$</w:t>
      </w:r>
    </w:p>
    <w:p>
      <w:pPr>
        <w:spacing w:line="206" w:lineRule="exact" w:before="0"/>
        <w:ind w:left="0" w:right="0" w:firstLine="0"/>
        <w:jc w:val="right"/>
        <w:rPr>
          <w:b/>
          <w:sz w:val="18"/>
        </w:rPr>
      </w:pPr>
      <w:r>
        <w:rPr/>
        <w:br w:type="column"/>
      </w:r>
      <w:r>
        <w:rPr>
          <w:b/>
          <w:sz w:val="18"/>
        </w:rPr>
        <w:t>2015</w:t>
      </w:r>
    </w:p>
    <w:p>
      <w:pPr>
        <w:spacing w:line="207" w:lineRule="exact" w:before="0"/>
        <w:ind w:left="0" w:right="146" w:firstLine="0"/>
        <w:jc w:val="right"/>
        <w:rPr>
          <w:b/>
          <w:sz w:val="18"/>
        </w:rPr>
      </w:pPr>
      <w:r>
        <w:rPr>
          <w:b/>
          <w:w w:val="99"/>
          <w:sz w:val="18"/>
        </w:rPr>
        <w:t>$</w:t>
      </w:r>
    </w:p>
    <w:p>
      <w:pPr>
        <w:spacing w:line="206" w:lineRule="exact" w:before="0"/>
        <w:ind w:left="0" w:right="0" w:firstLine="0"/>
        <w:jc w:val="right"/>
        <w:rPr>
          <w:b/>
          <w:sz w:val="18"/>
        </w:rPr>
      </w:pPr>
      <w:r>
        <w:rPr/>
        <w:br w:type="column"/>
      </w:r>
      <w:r>
        <w:rPr>
          <w:b/>
          <w:sz w:val="18"/>
        </w:rPr>
        <w:t>2016</w:t>
      </w:r>
    </w:p>
    <w:p>
      <w:pPr>
        <w:spacing w:line="207" w:lineRule="exact" w:before="0"/>
        <w:ind w:left="0" w:right="146" w:firstLine="0"/>
        <w:jc w:val="right"/>
        <w:rPr>
          <w:b/>
          <w:sz w:val="18"/>
        </w:rPr>
      </w:pPr>
      <w:r>
        <w:rPr>
          <w:b/>
          <w:w w:val="99"/>
          <w:sz w:val="18"/>
        </w:rPr>
        <w:t>$</w:t>
      </w:r>
    </w:p>
    <w:p>
      <w:pPr>
        <w:spacing w:line="206" w:lineRule="exact" w:before="0"/>
        <w:ind w:left="827" w:right="1815" w:firstLine="0"/>
        <w:jc w:val="center"/>
        <w:rPr>
          <w:b/>
          <w:sz w:val="18"/>
        </w:rPr>
      </w:pPr>
      <w:r>
        <w:rPr/>
        <w:br w:type="column"/>
      </w:r>
      <w:r>
        <w:rPr>
          <w:b/>
          <w:sz w:val="18"/>
        </w:rPr>
        <w:t>2015</w:t>
      </w:r>
    </w:p>
    <w:p>
      <w:pPr>
        <w:spacing w:line="207" w:lineRule="exact" w:before="0"/>
        <w:ind w:left="0" w:right="987" w:firstLine="0"/>
        <w:jc w:val="center"/>
        <w:rPr>
          <w:b/>
          <w:sz w:val="18"/>
        </w:rPr>
      </w:pPr>
      <w:r>
        <w:rPr>
          <w:b/>
          <w:w w:val="99"/>
          <w:sz w:val="18"/>
        </w:rPr>
        <w:t>$</w:t>
      </w:r>
    </w:p>
    <w:p>
      <w:pPr>
        <w:spacing w:after="0" w:line="207" w:lineRule="exact"/>
        <w:jc w:val="center"/>
        <w:rPr>
          <w:sz w:val="18"/>
        </w:rPr>
        <w:sectPr>
          <w:type w:val="continuous"/>
          <w:pgSz w:w="12750" w:h="17680"/>
          <w:pgMar w:top="1660" w:bottom="0" w:left="0" w:right="0"/>
          <w:cols w:num="5" w:equalWidth="0">
            <w:col w:w="3231" w:space="1535"/>
            <w:col w:w="2252" w:space="40"/>
            <w:col w:w="1243" w:space="40"/>
            <w:col w:w="1258" w:space="40"/>
            <w:col w:w="3111"/>
          </w:cols>
        </w:sectPr>
      </w:pPr>
    </w:p>
    <w:p>
      <w:pPr>
        <w:pStyle w:val="BodyText"/>
        <w:tabs>
          <w:tab w:pos="6155" w:val="left" w:leader="none"/>
          <w:tab w:pos="7293" w:val="left" w:leader="none"/>
          <w:tab w:pos="8561" w:val="left" w:leader="none"/>
          <w:tab w:pos="9887" w:val="left" w:leader="none"/>
          <w:tab w:pos="11156" w:val="left" w:leader="none"/>
        </w:tabs>
        <w:spacing w:before="27"/>
        <w:ind w:left="1852"/>
      </w:pPr>
      <w:r>
        <w:rPr/>
        <w:t>Fully</w:t>
      </w:r>
      <w:r>
        <w:rPr>
          <w:spacing w:val="-4"/>
        </w:rPr>
        <w:t> </w:t>
      </w:r>
      <w:r>
        <w:rPr/>
        <w:t>paid</w:t>
        <w:tab/>
      </w:r>
      <w:r>
        <w:rPr>
          <w:rFonts w:ascii="Times New Roman"/>
          <w:position w:val="-2"/>
          <w:u w:val="single"/>
        </w:rPr>
        <w:t> </w:t>
        <w:tab/>
      </w:r>
      <w:r>
        <w:rPr>
          <w:b/>
          <w:position w:val="-2"/>
          <w:u w:val="single"/>
        </w:rPr>
        <w:t>1</w:t>
        <w:tab/>
      </w:r>
      <w:r>
        <w:rPr>
          <w:position w:val="-2"/>
          <w:u w:val="single"/>
        </w:rPr>
        <w:t>1</w:t>
        <w:tab/>
      </w:r>
      <w:r>
        <w:rPr>
          <w:b/>
          <w:position w:val="-2"/>
          <w:u w:val="single"/>
        </w:rPr>
        <w:t>1</w:t>
        <w:tab/>
      </w:r>
      <w:r>
        <w:rPr>
          <w:position w:val="-2"/>
          <w:u w:val="single"/>
        </w:rPr>
        <w:t>1</w:t>
      </w:r>
    </w:p>
    <w:p>
      <w:pPr>
        <w:pStyle w:val="Heading8"/>
        <w:tabs>
          <w:tab w:pos="6155" w:val="left" w:leader="none"/>
          <w:tab w:pos="7293" w:val="left" w:leader="none"/>
          <w:tab w:pos="8561" w:val="left" w:leader="none"/>
          <w:tab w:pos="9887" w:val="left" w:leader="none"/>
          <w:tab w:pos="11156" w:val="left" w:leader="none"/>
        </w:tabs>
        <w:spacing w:before="6"/>
        <w:ind w:left="1852"/>
        <w:rPr>
          <w:b w:val="0"/>
        </w:rPr>
      </w:pPr>
      <w:r>
        <w:rPr/>
        <w:t>Total contributed equity</w:t>
        <w:tab/>
      </w:r>
      <w:r>
        <w:rPr>
          <w:rFonts w:ascii="Times New Roman"/>
          <w:b w:val="0"/>
          <w:u w:val="single"/>
        </w:rPr>
        <w:t> </w:t>
        <w:tab/>
      </w:r>
      <w:r>
        <w:rPr>
          <w:u w:val="single"/>
        </w:rPr>
        <w:t>1</w:t>
        <w:tab/>
      </w:r>
      <w:r>
        <w:rPr>
          <w:b w:val="0"/>
          <w:u w:val="single"/>
        </w:rPr>
        <w:t>1</w:t>
        <w:tab/>
      </w:r>
      <w:r>
        <w:rPr>
          <w:u w:val="single"/>
        </w:rPr>
        <w:t>1</w:t>
        <w:tab/>
      </w:r>
      <w:r>
        <w:rPr>
          <w:b w:val="0"/>
          <w:u w:val="single"/>
        </w:rPr>
        <w:t>1</w:t>
      </w:r>
    </w:p>
    <w:p>
      <w:pPr>
        <w:pStyle w:val="BodyText"/>
        <w:spacing w:before="1"/>
        <w:rPr>
          <w:sz w:val="19"/>
        </w:rPr>
      </w:pPr>
    </w:p>
    <w:p>
      <w:pPr>
        <w:pStyle w:val="ListParagraph"/>
        <w:numPr>
          <w:ilvl w:val="1"/>
          <w:numId w:val="79"/>
        </w:numPr>
        <w:tabs>
          <w:tab w:pos="2391" w:val="left" w:leader="none"/>
        </w:tabs>
        <w:spacing w:line="240" w:lineRule="auto" w:before="77" w:after="0"/>
        <w:ind w:left="2390" w:right="0" w:hanging="566"/>
        <w:jc w:val="left"/>
        <w:rPr>
          <w:b/>
          <w:sz w:val="18"/>
        </w:rPr>
      </w:pPr>
      <w:r>
        <w:rPr>
          <w:b/>
          <w:sz w:val="18"/>
        </w:rPr>
        <w:t>Movements in ordinary share</w:t>
      </w:r>
      <w:r>
        <w:rPr>
          <w:b/>
          <w:spacing w:val="-33"/>
          <w:sz w:val="18"/>
        </w:rPr>
        <w:t> </w:t>
      </w:r>
      <w:r>
        <w:rPr>
          <w:b/>
          <w:sz w:val="18"/>
        </w:rPr>
        <w:t>capital</w:t>
      </w:r>
    </w:p>
    <w:p>
      <w:pPr>
        <w:pStyle w:val="BodyText"/>
        <w:spacing w:before="146"/>
        <w:ind w:left="2390"/>
      </w:pPr>
      <w:r>
        <w:rPr/>
        <w:t>There were no movements in contributed equity during the financial year.</w:t>
      </w:r>
    </w:p>
    <w:p>
      <w:pPr>
        <w:spacing w:after="0"/>
        <w:sectPr>
          <w:type w:val="continuous"/>
          <w:pgSz w:w="12750" w:h="17680"/>
          <w:pgMar w:top="1660" w:bottom="0" w:left="0" w:right="0"/>
        </w:sectPr>
      </w:pPr>
    </w:p>
    <w:p>
      <w:pPr>
        <w:pStyle w:val="BodyText"/>
        <w:spacing w:before="2"/>
        <w:rPr>
          <w:sz w:val="24"/>
        </w:rPr>
      </w:pPr>
    </w:p>
    <w:p>
      <w:pPr>
        <w:pStyle w:val="Heading4"/>
      </w:pPr>
      <w:r>
        <w:rPr/>
        <w:t>Notes to the financial statements</w:t>
      </w:r>
    </w:p>
    <w:p>
      <w:pPr>
        <w:pStyle w:val="Heading7"/>
      </w:pPr>
      <w:bookmarkStart w:name="8 Commitments" w:id="421"/>
      <w:bookmarkEnd w:id="421"/>
      <w:r>
        <w:rPr>
          <w:b w:val="0"/>
        </w:rPr>
      </w:r>
      <w:r>
        <w:rPr/>
        <w:t>For the year ended 31 December 2016</w:t>
      </w:r>
    </w:p>
    <w:p>
      <w:pPr>
        <w:pStyle w:val="BodyText"/>
        <w:rPr>
          <w:b/>
          <w:sz w:val="22"/>
        </w:rPr>
      </w:pPr>
    </w:p>
    <w:p>
      <w:pPr>
        <w:pStyle w:val="BodyText"/>
        <w:rPr>
          <w:b/>
          <w:sz w:val="22"/>
        </w:rPr>
      </w:pPr>
    </w:p>
    <w:p>
      <w:pPr>
        <w:pStyle w:val="Heading8"/>
        <w:numPr>
          <w:ilvl w:val="0"/>
          <w:numId w:val="79"/>
        </w:numPr>
        <w:tabs>
          <w:tab w:pos="1826" w:val="left" w:leader="none"/>
        </w:tabs>
        <w:spacing w:line="240" w:lineRule="auto" w:before="160" w:after="0"/>
        <w:ind w:left="1825" w:right="0" w:hanging="396"/>
        <w:jc w:val="left"/>
      </w:pPr>
      <w:bookmarkStart w:name="9 Contingencies" w:id="422"/>
      <w:bookmarkEnd w:id="422"/>
      <w:r>
        <w:rPr>
          <w:b w:val="0"/>
        </w:rPr>
      </w:r>
      <w:bookmarkStart w:name="9 Contingencies" w:id="423"/>
      <w:bookmarkEnd w:id="423"/>
      <w:r>
        <w:rPr/>
        <w:t>Commitments</w:t>
      </w:r>
    </w:p>
    <w:p>
      <w:pPr>
        <w:pStyle w:val="BodyText"/>
        <w:spacing w:before="112"/>
        <w:ind w:left="1825"/>
        <w:jc w:val="both"/>
      </w:pPr>
      <w:r>
        <w:rPr/>
        <w:t>The Company had no commitments at 31 December 2016 (31 December 2015: nil).</w:t>
      </w:r>
    </w:p>
    <w:p>
      <w:pPr>
        <w:pStyle w:val="BodyText"/>
        <w:spacing w:before="11"/>
        <w:rPr>
          <w:sz w:val="24"/>
        </w:rPr>
      </w:pPr>
    </w:p>
    <w:p>
      <w:pPr>
        <w:pStyle w:val="Heading8"/>
        <w:numPr>
          <w:ilvl w:val="0"/>
          <w:numId w:val="79"/>
        </w:numPr>
        <w:tabs>
          <w:tab w:pos="1826" w:val="left" w:leader="none"/>
        </w:tabs>
        <w:spacing w:line="240" w:lineRule="auto" w:before="0" w:after="0"/>
        <w:ind w:left="1825" w:right="0" w:hanging="396"/>
        <w:jc w:val="left"/>
      </w:pPr>
      <w:bookmarkStart w:name="10 Key Management Personnel Disclosures" w:id="424"/>
      <w:bookmarkEnd w:id="424"/>
      <w:r>
        <w:rPr>
          <w:b w:val="0"/>
        </w:rPr>
      </w:r>
      <w:bookmarkStart w:name="10 Key Management Personnel Disclosures" w:id="425"/>
      <w:bookmarkEnd w:id="425"/>
      <w:r>
        <w:rPr/>
        <w:t>Contingencies</w:t>
      </w:r>
    </w:p>
    <w:p>
      <w:pPr>
        <w:pStyle w:val="BodyText"/>
        <w:spacing w:before="112"/>
        <w:ind w:left="1825" w:right="1375"/>
      </w:pPr>
      <w:r>
        <w:rPr/>
        <w:t>In the opinion of the Directors, the Company did not have any contingencies as at 31 December 2016 (31 December 2015: nil).</w:t>
      </w:r>
    </w:p>
    <w:p>
      <w:pPr>
        <w:pStyle w:val="BodyText"/>
        <w:spacing w:before="11"/>
        <w:rPr>
          <w:sz w:val="24"/>
        </w:rPr>
      </w:pPr>
    </w:p>
    <w:p>
      <w:pPr>
        <w:pStyle w:val="Heading8"/>
        <w:numPr>
          <w:ilvl w:val="0"/>
          <w:numId w:val="79"/>
        </w:numPr>
        <w:tabs>
          <w:tab w:pos="1826" w:val="left" w:leader="none"/>
        </w:tabs>
        <w:spacing w:line="240" w:lineRule="auto" w:before="0" w:after="0"/>
        <w:ind w:left="1825" w:right="0" w:hanging="396"/>
        <w:jc w:val="left"/>
      </w:pPr>
      <w:bookmarkStart w:name="11 Related party transactions" w:id="426"/>
      <w:bookmarkEnd w:id="426"/>
      <w:r>
        <w:rPr>
          <w:b w:val="0"/>
        </w:rPr>
      </w:r>
      <w:bookmarkStart w:name="11 Related party transactions" w:id="427"/>
      <w:bookmarkEnd w:id="427"/>
      <w:r>
        <w:rPr/>
        <w:t>Ke</w:t>
      </w:r>
      <w:r>
        <w:rPr/>
        <w:t>y Management Personnel</w:t>
      </w:r>
      <w:r>
        <w:rPr>
          <w:spacing w:val="-33"/>
        </w:rPr>
        <w:t> </w:t>
      </w:r>
      <w:r>
        <w:rPr/>
        <w:t>Disclosures</w:t>
      </w:r>
    </w:p>
    <w:p>
      <w:pPr>
        <w:pStyle w:val="BodyText"/>
        <w:spacing w:before="112"/>
        <w:ind w:left="1825" w:right="1375"/>
      </w:pPr>
      <w:r>
        <w:rPr/>
        <w:t>No remuneration has been paid to the key management personnel of Whitlam Institute within Western  Sydney </w:t>
      </w:r>
      <w:bookmarkStart w:name="(a) Parent entity" w:id="428"/>
      <w:bookmarkEnd w:id="428"/>
      <w:r>
        <w:rPr/>
      </w:r>
      <w:r>
        <w:rPr/>
        <w:t>University Limited during the year (2015: nil).</w:t>
      </w:r>
    </w:p>
    <w:p>
      <w:pPr>
        <w:pStyle w:val="BodyText"/>
        <w:spacing w:before="11"/>
        <w:rPr>
          <w:sz w:val="24"/>
        </w:rPr>
      </w:pPr>
    </w:p>
    <w:p>
      <w:pPr>
        <w:pStyle w:val="Heading8"/>
        <w:numPr>
          <w:ilvl w:val="0"/>
          <w:numId w:val="79"/>
        </w:numPr>
        <w:tabs>
          <w:tab w:pos="1826" w:val="left" w:leader="none"/>
        </w:tabs>
        <w:spacing w:line="240" w:lineRule="auto" w:before="0" w:after="0"/>
        <w:ind w:left="1825" w:right="0" w:hanging="396"/>
        <w:jc w:val="left"/>
      </w:pPr>
      <w:r>
        <w:rPr/>
        <w:t>Related party</w:t>
      </w:r>
      <w:r>
        <w:rPr>
          <w:spacing w:val="-24"/>
        </w:rPr>
        <w:t> </w:t>
      </w:r>
      <w:r>
        <w:rPr/>
        <w:t>transactions</w:t>
      </w:r>
    </w:p>
    <w:p>
      <w:pPr>
        <w:pStyle w:val="ListParagraph"/>
        <w:numPr>
          <w:ilvl w:val="1"/>
          <w:numId w:val="79"/>
        </w:numPr>
        <w:tabs>
          <w:tab w:pos="2392" w:val="left" w:leader="none"/>
        </w:tabs>
        <w:spacing w:line="240" w:lineRule="auto" w:before="131" w:after="0"/>
        <w:ind w:left="2391" w:right="0" w:hanging="566"/>
        <w:jc w:val="both"/>
        <w:rPr>
          <w:b/>
          <w:sz w:val="18"/>
        </w:rPr>
      </w:pPr>
      <w:bookmarkStart w:name="(b) Transactions with related parties" w:id="429"/>
      <w:bookmarkEnd w:id="429"/>
      <w:r>
        <w:rPr/>
      </w:r>
      <w:bookmarkStart w:name="(b) Transactions with related parties" w:id="430"/>
      <w:bookmarkEnd w:id="430"/>
      <w:r>
        <w:rPr>
          <w:b/>
          <w:sz w:val="18"/>
        </w:rPr>
        <w:t>Parent</w:t>
      </w:r>
      <w:r>
        <w:rPr>
          <w:b/>
          <w:sz w:val="18"/>
        </w:rPr>
        <w:t> entity</w:t>
      </w:r>
    </w:p>
    <w:p>
      <w:pPr>
        <w:pStyle w:val="BodyText"/>
        <w:spacing w:before="117"/>
        <w:ind w:left="996" w:right="3531"/>
        <w:jc w:val="center"/>
      </w:pPr>
      <w:r>
        <w:rPr/>
        <w:t>The ultimate parent entity of the Trust is Western Sydney University.</w:t>
      </w:r>
    </w:p>
    <w:p>
      <w:pPr>
        <w:pStyle w:val="Heading8"/>
        <w:numPr>
          <w:ilvl w:val="1"/>
          <w:numId w:val="79"/>
        </w:numPr>
        <w:tabs>
          <w:tab w:pos="2392" w:val="left" w:leader="none"/>
        </w:tabs>
        <w:spacing w:line="240" w:lineRule="auto" w:before="131" w:after="0"/>
        <w:ind w:left="2391" w:right="0" w:hanging="566"/>
        <w:jc w:val="both"/>
      </w:pPr>
      <w:bookmarkStart w:name="12 Economic dependency" w:id="431"/>
      <w:bookmarkEnd w:id="431"/>
      <w:r>
        <w:rPr>
          <w:b w:val="0"/>
        </w:rPr>
      </w:r>
      <w:bookmarkStart w:name="12 Economic dependency" w:id="432"/>
      <w:bookmarkEnd w:id="432"/>
      <w:r>
        <w:rPr/>
        <w:t>Transactions</w:t>
      </w:r>
      <w:r>
        <w:rPr/>
        <w:t> with related</w:t>
      </w:r>
      <w:r>
        <w:rPr>
          <w:spacing w:val="5"/>
        </w:rPr>
        <w:t> </w:t>
      </w:r>
      <w:r>
        <w:rPr/>
        <w:t>parties</w:t>
      </w:r>
    </w:p>
    <w:p>
      <w:pPr>
        <w:pStyle w:val="BodyText"/>
        <w:spacing w:before="117"/>
        <w:ind w:left="2392"/>
      </w:pPr>
      <w:r>
        <w:rPr/>
        <w:t>There were no transactions with related parties in 2016 (2015: nil).</w:t>
      </w:r>
    </w:p>
    <w:p>
      <w:pPr>
        <w:pStyle w:val="BodyText"/>
        <w:spacing w:before="6"/>
        <w:rPr>
          <w:sz w:val="19"/>
        </w:rPr>
      </w:pPr>
    </w:p>
    <w:p>
      <w:pPr>
        <w:pStyle w:val="Heading8"/>
        <w:numPr>
          <w:ilvl w:val="0"/>
          <w:numId w:val="79"/>
        </w:numPr>
        <w:tabs>
          <w:tab w:pos="1824" w:val="left" w:leader="none"/>
        </w:tabs>
        <w:spacing w:line="240" w:lineRule="auto" w:before="0" w:after="0"/>
        <w:ind w:left="1824" w:right="0" w:hanging="395"/>
        <w:jc w:val="left"/>
      </w:pPr>
      <w:bookmarkStart w:name="13 Events occurring after the reporting " w:id="433"/>
      <w:bookmarkEnd w:id="433"/>
      <w:r>
        <w:rPr>
          <w:b w:val="0"/>
        </w:rPr>
      </w:r>
      <w:bookmarkStart w:name="13 Events occurring after the reporting " w:id="434"/>
      <w:bookmarkEnd w:id="434"/>
      <w:r>
        <w:rPr/>
        <w:t>Economic</w:t>
      </w:r>
      <w:r>
        <w:rPr/>
        <w:t> dependency</w:t>
      </w:r>
    </w:p>
    <w:p>
      <w:pPr>
        <w:pStyle w:val="BodyText"/>
        <w:spacing w:before="112"/>
        <w:ind w:left="1825" w:right="1375"/>
      </w:pPr>
      <w:r>
        <w:rPr/>
        <w:drawing>
          <wp:anchor distT="0" distB="0" distL="0" distR="0" allowOverlap="1" layoutInCell="1" locked="0" behindDoc="0" simplePos="0" relativeHeight="14584">
            <wp:simplePos x="0" y="0"/>
            <wp:positionH relativeFrom="page">
              <wp:posOffset>-1587</wp:posOffset>
            </wp:positionH>
            <wp:positionV relativeFrom="paragraph">
              <wp:posOffset>229538</wp:posOffset>
            </wp:positionV>
            <wp:extent cx="136525" cy="155575"/>
            <wp:effectExtent l="0" t="0" r="0" b="0"/>
            <wp:wrapNone/>
            <wp:docPr id="991" name="image13.png" descr=""/>
            <wp:cNvGraphicFramePr>
              <a:graphicFrameLocks noChangeAspect="1"/>
            </wp:cNvGraphicFramePr>
            <a:graphic>
              <a:graphicData uri="http://schemas.openxmlformats.org/drawingml/2006/picture">
                <pic:pic>
                  <pic:nvPicPr>
                    <pic:cNvPr id="992" name="image13.png"/>
                    <pic:cNvPicPr/>
                  </pic:nvPicPr>
                  <pic:blipFill>
                    <a:blip r:embed="rId18" cstate="print"/>
                    <a:stretch>
                      <a:fillRect/>
                    </a:stretch>
                  </pic:blipFill>
                  <pic:spPr>
                    <a:xfrm>
                      <a:off x="0" y="0"/>
                      <a:ext cx="136525" cy="155575"/>
                    </a:xfrm>
                    <a:prstGeom prst="rect">
                      <a:avLst/>
                    </a:prstGeom>
                  </pic:spPr>
                </pic:pic>
              </a:graphicData>
            </a:graphic>
          </wp:anchor>
        </w:drawing>
      </w:r>
      <w:r>
        <w:rPr/>
        <w:drawing>
          <wp:anchor distT="0" distB="0" distL="0" distR="0" allowOverlap="1" layoutInCell="1" locked="0" behindDoc="0" simplePos="0" relativeHeight="14608">
            <wp:simplePos x="0" y="0"/>
            <wp:positionH relativeFrom="page">
              <wp:posOffset>7958429</wp:posOffset>
            </wp:positionH>
            <wp:positionV relativeFrom="paragraph">
              <wp:posOffset>229538</wp:posOffset>
            </wp:positionV>
            <wp:extent cx="135953" cy="155575"/>
            <wp:effectExtent l="0" t="0" r="0" b="0"/>
            <wp:wrapNone/>
            <wp:docPr id="993" name="image15.png" descr=""/>
            <wp:cNvGraphicFramePr>
              <a:graphicFrameLocks noChangeAspect="1"/>
            </wp:cNvGraphicFramePr>
            <a:graphic>
              <a:graphicData uri="http://schemas.openxmlformats.org/drawingml/2006/picture">
                <pic:pic>
                  <pic:nvPicPr>
                    <pic:cNvPr id="994" name="image15.png"/>
                    <pic:cNvPicPr/>
                  </pic:nvPicPr>
                  <pic:blipFill>
                    <a:blip r:embed="rId20" cstate="print"/>
                    <a:stretch>
                      <a:fillRect/>
                    </a:stretch>
                  </pic:blipFill>
                  <pic:spPr>
                    <a:xfrm>
                      <a:off x="0" y="0"/>
                      <a:ext cx="135953" cy="155575"/>
                    </a:xfrm>
                    <a:prstGeom prst="rect">
                      <a:avLst/>
                    </a:prstGeom>
                  </pic:spPr>
                </pic:pic>
              </a:graphicData>
            </a:graphic>
          </wp:anchor>
        </w:drawing>
      </w:r>
      <w:r>
        <w:rPr/>
        <w:t>The Company is economically dependent on the Western Sydney University for the provision of office accommodation and support activities.</w:t>
      </w:r>
    </w:p>
    <w:p>
      <w:pPr>
        <w:pStyle w:val="BodyText"/>
        <w:spacing w:before="11"/>
        <w:rPr>
          <w:sz w:val="24"/>
        </w:rPr>
      </w:pPr>
    </w:p>
    <w:p>
      <w:pPr>
        <w:pStyle w:val="Heading8"/>
        <w:numPr>
          <w:ilvl w:val="0"/>
          <w:numId w:val="79"/>
        </w:numPr>
        <w:tabs>
          <w:tab w:pos="1826" w:val="left" w:leader="none"/>
        </w:tabs>
        <w:spacing w:line="240" w:lineRule="auto" w:before="0" w:after="0"/>
        <w:ind w:left="1825" w:right="0" w:hanging="396"/>
        <w:jc w:val="left"/>
      </w:pPr>
      <w:r>
        <w:rPr/>
        <w:t>Events occurring after the reporting</w:t>
      </w:r>
      <w:r>
        <w:rPr>
          <w:spacing w:val="-7"/>
        </w:rPr>
        <w:t> </w:t>
      </w:r>
      <w:r>
        <w:rPr/>
        <w:t>date</w:t>
      </w:r>
    </w:p>
    <w:p>
      <w:pPr>
        <w:pStyle w:val="BodyText"/>
        <w:spacing w:before="112"/>
        <w:ind w:left="1825" w:right="1392"/>
        <w:jc w:val="both"/>
      </w:pPr>
      <w:bookmarkStart w:name="14 Reconciliation of result for the year" w:id="435"/>
      <w:bookmarkEnd w:id="435"/>
      <w:r>
        <w:rPr/>
      </w:r>
      <w:r>
        <w:rPr/>
        <w:t>No matters or circumstances have arisen since the end of the financial year which significantly affected or may significantly affect the operations of the Company, the results of those operations, or the state of affairs of the Company in future financial years (2015: nil).</w:t>
      </w:r>
    </w:p>
    <w:p>
      <w:pPr>
        <w:pStyle w:val="BodyText"/>
        <w:spacing w:before="11"/>
        <w:rPr>
          <w:sz w:val="19"/>
        </w:rPr>
      </w:pPr>
    </w:p>
    <w:p>
      <w:pPr>
        <w:spacing w:after="0"/>
        <w:rPr>
          <w:sz w:val="19"/>
        </w:rPr>
        <w:sectPr>
          <w:pgSz w:w="12750" w:h="17680"/>
          <w:pgMar w:header="0" w:footer="927" w:top="1880" w:bottom="1120" w:left="0" w:right="0"/>
        </w:sectPr>
      </w:pPr>
    </w:p>
    <w:p>
      <w:pPr>
        <w:pStyle w:val="Heading8"/>
        <w:numPr>
          <w:ilvl w:val="0"/>
          <w:numId w:val="79"/>
        </w:numPr>
        <w:tabs>
          <w:tab w:pos="1824" w:val="left" w:leader="none"/>
        </w:tabs>
        <w:spacing w:line="240" w:lineRule="auto" w:before="77" w:after="0"/>
        <w:ind w:left="1824" w:right="0" w:hanging="395"/>
        <w:jc w:val="left"/>
      </w:pPr>
      <w:r>
        <w:rPr/>
        <w:t>Reconciliation of result for the year to cashflows from operating</w:t>
      </w:r>
      <w:r>
        <w:rPr>
          <w:spacing w:val="-1"/>
        </w:rPr>
        <w:t> </w:t>
      </w:r>
      <w:r>
        <w:rPr/>
        <w:t>activities</w:t>
      </w:r>
    </w:p>
    <w:p>
      <w:pPr>
        <w:pStyle w:val="BodyText"/>
        <w:rPr>
          <w:b/>
        </w:rPr>
      </w:pPr>
      <w:r>
        <w:rPr/>
        <w:br w:type="column"/>
      </w:r>
      <w:r>
        <w:rPr>
          <w:b/>
        </w:rPr>
      </w:r>
    </w:p>
    <w:p>
      <w:pPr>
        <w:spacing w:before="115"/>
        <w:ind w:left="0" w:right="0" w:firstLine="0"/>
        <w:jc w:val="right"/>
        <w:rPr>
          <w:b/>
          <w:sz w:val="18"/>
        </w:rPr>
      </w:pPr>
      <w:r>
        <w:rPr>
          <w:b/>
          <w:sz w:val="18"/>
        </w:rPr>
        <w:t>2016</w:t>
      </w:r>
    </w:p>
    <w:p>
      <w:pPr>
        <w:spacing w:before="66"/>
        <w:ind w:left="0" w:right="146" w:firstLine="0"/>
        <w:jc w:val="right"/>
        <w:rPr>
          <w:b/>
          <w:sz w:val="18"/>
        </w:rPr>
      </w:pPr>
      <w:r>
        <w:rPr>
          <w:b/>
          <w:w w:val="99"/>
          <w:sz w:val="18"/>
        </w:rPr>
        <w:t>$</w:t>
      </w:r>
    </w:p>
    <w:p>
      <w:pPr>
        <w:pStyle w:val="BodyText"/>
        <w:rPr>
          <w:b/>
        </w:rPr>
      </w:pPr>
      <w:r>
        <w:rPr/>
        <w:br w:type="column"/>
      </w:r>
      <w:r>
        <w:rPr>
          <w:b/>
        </w:rPr>
      </w:r>
    </w:p>
    <w:p>
      <w:pPr>
        <w:spacing w:before="115"/>
        <w:ind w:left="827" w:right="1841" w:firstLine="0"/>
        <w:jc w:val="center"/>
        <w:rPr>
          <w:b/>
          <w:sz w:val="18"/>
        </w:rPr>
      </w:pPr>
      <w:r>
        <w:rPr>
          <w:b/>
          <w:sz w:val="18"/>
        </w:rPr>
        <w:t>2015</w:t>
      </w:r>
    </w:p>
    <w:p>
      <w:pPr>
        <w:spacing w:before="66"/>
        <w:ind w:left="0" w:right="1012" w:firstLine="0"/>
        <w:jc w:val="center"/>
        <w:rPr>
          <w:b/>
          <w:sz w:val="18"/>
        </w:rPr>
      </w:pPr>
      <w:r>
        <w:rPr>
          <w:b/>
          <w:w w:val="99"/>
          <w:sz w:val="18"/>
        </w:rPr>
        <w:t>$</w:t>
      </w:r>
    </w:p>
    <w:p>
      <w:pPr>
        <w:spacing w:after="0"/>
        <w:jc w:val="center"/>
        <w:rPr>
          <w:sz w:val="18"/>
        </w:rPr>
        <w:sectPr>
          <w:type w:val="continuous"/>
          <w:pgSz w:w="12750" w:h="17680"/>
          <w:pgMar w:top="1660" w:bottom="0" w:left="0" w:right="0"/>
          <w:cols w:num="3" w:equalWidth="0">
            <w:col w:w="8129" w:space="40"/>
            <w:col w:w="1431" w:space="40"/>
            <w:col w:w="3110"/>
          </w:cols>
        </w:sectPr>
      </w:pPr>
    </w:p>
    <w:p>
      <w:pPr>
        <w:pStyle w:val="BodyText"/>
        <w:tabs>
          <w:tab w:pos="9899" w:val="left" w:leader="none"/>
          <w:tab w:pos="11198" w:val="left" w:leader="none"/>
        </w:tabs>
        <w:spacing w:before="62"/>
        <w:ind w:left="1825"/>
      </w:pPr>
      <w:r>
        <w:rPr/>
        <w:t>Surplus for</w:t>
      </w:r>
      <w:r>
        <w:rPr>
          <w:spacing w:val="-8"/>
        </w:rPr>
        <w:t> </w:t>
      </w:r>
      <w:r>
        <w:rPr/>
        <w:t>the</w:t>
      </w:r>
      <w:r>
        <w:rPr>
          <w:spacing w:val="-4"/>
        </w:rPr>
        <w:t> </w:t>
      </w:r>
      <w:r>
        <w:rPr/>
        <w:t>year</w:t>
        <w:tab/>
      </w:r>
      <w:r>
        <w:rPr>
          <w:b/>
        </w:rPr>
        <w:t>-</w:t>
        <w:tab/>
      </w:r>
      <w:r>
        <w:rPr/>
        <w:t>-</w:t>
      </w:r>
    </w:p>
    <w:p>
      <w:pPr>
        <w:pStyle w:val="Heading8"/>
        <w:spacing w:before="56"/>
        <w:ind w:left="1825"/>
      </w:pPr>
      <w:r>
        <w:rPr/>
        <w:t>Changes in assets and liabilities:</w:t>
      </w:r>
    </w:p>
    <w:p>
      <w:pPr>
        <w:pStyle w:val="ListParagraph"/>
        <w:numPr>
          <w:ilvl w:val="0"/>
          <w:numId w:val="80"/>
        </w:numPr>
        <w:tabs>
          <w:tab w:pos="2200" w:val="left" w:leader="none"/>
          <w:tab w:pos="9899" w:val="left" w:leader="none"/>
          <w:tab w:pos="11198" w:val="left" w:leader="none"/>
        </w:tabs>
        <w:spacing w:line="240" w:lineRule="auto" w:before="56" w:after="0"/>
        <w:ind w:left="1825" w:right="0" w:firstLine="264"/>
        <w:jc w:val="left"/>
        <w:rPr>
          <w:sz w:val="18"/>
        </w:rPr>
      </w:pPr>
      <w:r>
        <w:rPr>
          <w:sz w:val="18"/>
        </w:rPr>
        <w:t>(increase)/decrease in trade and</w:t>
      </w:r>
      <w:r>
        <w:rPr>
          <w:spacing w:val="-27"/>
          <w:sz w:val="18"/>
        </w:rPr>
        <w:t> </w:t>
      </w:r>
      <w:r>
        <w:rPr>
          <w:sz w:val="18"/>
        </w:rPr>
        <w:t>other</w:t>
      </w:r>
      <w:r>
        <w:rPr>
          <w:spacing w:val="-7"/>
          <w:sz w:val="18"/>
        </w:rPr>
        <w:t> </w:t>
      </w:r>
      <w:r>
        <w:rPr>
          <w:sz w:val="18"/>
        </w:rPr>
        <w:t>receivables</w:t>
        <w:tab/>
      </w:r>
      <w:r>
        <w:rPr>
          <w:b/>
          <w:sz w:val="18"/>
        </w:rPr>
        <w:t>-</w:t>
        <w:tab/>
      </w:r>
      <w:r>
        <w:rPr>
          <w:sz w:val="18"/>
        </w:rPr>
        <w:t>-</w:t>
      </w:r>
    </w:p>
    <w:p>
      <w:pPr>
        <w:pStyle w:val="ListParagraph"/>
        <w:numPr>
          <w:ilvl w:val="0"/>
          <w:numId w:val="80"/>
        </w:numPr>
        <w:tabs>
          <w:tab w:pos="2200" w:val="left" w:leader="none"/>
          <w:tab w:pos="9899" w:val="left" w:leader="none"/>
          <w:tab w:pos="11198" w:val="left" w:leader="none"/>
        </w:tabs>
        <w:spacing w:line="240" w:lineRule="auto" w:before="57" w:after="0"/>
        <w:ind w:left="2199" w:right="0" w:hanging="110"/>
        <w:jc w:val="left"/>
        <w:rPr>
          <w:sz w:val="18"/>
        </w:rPr>
      </w:pPr>
      <w:r>
        <w:rPr>
          <w:sz w:val="18"/>
        </w:rPr>
        <w:t>(increase)/decrease</w:t>
      </w:r>
      <w:r>
        <w:rPr>
          <w:spacing w:val="-7"/>
          <w:sz w:val="18"/>
        </w:rPr>
        <w:t> </w:t>
      </w:r>
      <w:r>
        <w:rPr>
          <w:sz w:val="18"/>
        </w:rPr>
        <w:t>in</w:t>
      </w:r>
      <w:r>
        <w:rPr>
          <w:spacing w:val="-7"/>
          <w:sz w:val="18"/>
        </w:rPr>
        <w:t> </w:t>
      </w:r>
      <w:r>
        <w:rPr>
          <w:sz w:val="18"/>
        </w:rPr>
        <w:t>assets</w:t>
        <w:tab/>
      </w:r>
      <w:r>
        <w:rPr>
          <w:b/>
          <w:sz w:val="18"/>
        </w:rPr>
        <w:t>-</w:t>
        <w:tab/>
      </w:r>
      <w:r>
        <w:rPr>
          <w:sz w:val="18"/>
        </w:rPr>
        <w:t>-</w:t>
      </w:r>
    </w:p>
    <w:p>
      <w:pPr>
        <w:pStyle w:val="ListParagraph"/>
        <w:numPr>
          <w:ilvl w:val="0"/>
          <w:numId w:val="80"/>
        </w:numPr>
        <w:tabs>
          <w:tab w:pos="2200" w:val="left" w:leader="none"/>
          <w:tab w:pos="9899" w:val="left" w:leader="none"/>
          <w:tab w:pos="11198" w:val="left" w:leader="none"/>
        </w:tabs>
        <w:spacing w:line="326" w:lineRule="auto" w:before="57" w:after="0"/>
        <w:ind w:left="1825" w:right="1484" w:firstLine="264"/>
        <w:jc w:val="left"/>
        <w:rPr>
          <w:sz w:val="18"/>
        </w:rPr>
      </w:pPr>
      <w:r>
        <w:rPr/>
        <w:pict>
          <v:group style="position:absolute;margin-left:437.529999pt;margin-top:14.541884pt;width:129.85pt;height:1pt;mso-position-horizontal-relative:page;mso-position-vertical-relative:paragraph;z-index:-1193800" coordorigin="8751,291" coordsize="2597,20">
            <v:line style="position:absolute" from="8752,292" to="10049,292" stroked="true" strokeweight=".06pt" strokecolor="#000000"/>
            <v:line style="position:absolute" from="8752,293" to="10049,293" stroked="true" strokeweight=".06pt" strokecolor="#000000"/>
            <v:line style="position:absolute" from="8752,294" to="10049,294" stroked="true" strokeweight=".06pt" strokecolor="#000000"/>
            <v:line style="position:absolute" from="8752,295" to="10049,295" stroked="true" strokeweight=".06pt" strokecolor="#000000"/>
            <v:line style="position:absolute" from="8752,297" to="10049,297" stroked="true" strokeweight=".06pt" strokecolor="#000000"/>
            <v:line style="position:absolute" from="8752,298" to="10049,298" stroked="true" strokeweight=".06pt" strokecolor="#000000"/>
            <v:line style="position:absolute" from="8752,299" to="10049,299" stroked="true" strokeweight=".06pt" strokecolor="#000000"/>
            <v:line style="position:absolute" from="8752,300" to="10049,300" stroked="true" strokeweight=".06pt" strokecolor="#000000"/>
            <v:line style="position:absolute" from="8752,301" to="10049,301" stroked="true" strokeweight=".06pt" strokecolor="#000000"/>
            <v:line style="position:absolute" from="8752,303" to="10049,303" stroked="true" strokeweight=".06pt" strokecolor="#000000"/>
            <v:line style="position:absolute" from="8752,304" to="10049,304" stroked="true" strokeweight=".06pt" strokecolor="#000000"/>
            <v:line style="position:absolute" from="8752,305" to="10049,305" stroked="true" strokeweight=".06pt" strokecolor="#000000"/>
            <v:line style="position:absolute" from="8752,306" to="10049,306" stroked="true" strokeweight=".06pt" strokecolor="#000000"/>
            <v:line style="position:absolute" from="8752,307" to="10049,307" stroked="true" strokeweight=".06pt" strokecolor="#000000"/>
            <v:line style="position:absolute" from="8752,309" to="10049,309" stroked="true" strokeweight=".06pt" strokecolor="#000000"/>
            <v:line style="position:absolute" from="8752,310" to="10049,310" stroked="true" strokeweight=".06pt" strokecolor="#000000"/>
            <v:line style="position:absolute" from="10049,292" to="11346,292" stroked="true" strokeweight=".06pt" strokecolor="#000000"/>
            <v:line style="position:absolute" from="10049,293" to="11346,293" stroked="true" strokeweight=".06pt" strokecolor="#000000"/>
            <v:line style="position:absolute" from="10049,294" to="11346,294" stroked="true" strokeweight=".06pt" strokecolor="#000000"/>
            <v:line style="position:absolute" from="10049,295" to="11346,295" stroked="true" strokeweight=".06pt" strokecolor="#000000"/>
            <v:line style="position:absolute" from="10049,297" to="11346,297" stroked="true" strokeweight=".06pt" strokecolor="#000000"/>
            <v:line style="position:absolute" from="10049,298" to="11346,298" stroked="true" strokeweight=".06pt" strokecolor="#000000"/>
            <v:line style="position:absolute" from="10049,299" to="11346,299" stroked="true" strokeweight=".06pt" strokecolor="#000000"/>
            <v:line style="position:absolute" from="10049,300" to="11346,300" stroked="true" strokeweight=".06pt" strokecolor="#000000"/>
            <v:line style="position:absolute" from="10049,301" to="11346,301" stroked="true" strokeweight=".06pt" strokecolor="#000000"/>
            <v:line style="position:absolute" from="10049,303" to="11346,303" stroked="true" strokeweight=".06pt" strokecolor="#000000"/>
            <v:line style="position:absolute" from="10049,304" to="11346,304" stroked="true" strokeweight=".06pt" strokecolor="#000000"/>
            <v:line style="position:absolute" from="10049,305" to="11346,305" stroked="true" strokeweight=".06pt" strokecolor="#000000"/>
            <v:line style="position:absolute" from="10049,306" to="11346,306" stroked="true" strokeweight=".06pt" strokecolor="#000000"/>
            <v:line style="position:absolute" from="10049,307" to="11346,307" stroked="true" strokeweight=".06pt" strokecolor="#000000"/>
            <v:line style="position:absolute" from="10049,309" to="11346,309" stroked="true" strokeweight=".06pt" strokecolor="#000000"/>
            <v:line style="position:absolute" from="10049,310" to="11346,310" stroked="true" strokeweight=".06pt" strokecolor="#000000"/>
            <w10:wrap type="none"/>
          </v:group>
        </w:pict>
      </w:r>
      <w:r>
        <w:rPr/>
        <w:pict>
          <v:group style="position:absolute;margin-left:437.529999pt;margin-top:31.461885pt;width:129.85pt;height:2.5pt;mso-position-horizontal-relative:page;mso-position-vertical-relative:paragraph;z-index:-1193776" coordorigin="8751,629" coordsize="2597,50">
            <v:line style="position:absolute" from="8752,630" to="10049,630" stroked="true" strokeweight=".06pt" strokecolor="#000000"/>
            <v:line style="position:absolute" from="8752,631" to="10049,631" stroked="true" strokeweight=".06pt" strokecolor="#000000"/>
            <v:line style="position:absolute" from="8752,633" to="10049,633" stroked="true" strokeweight=".06pt" strokecolor="#000000"/>
            <v:line style="position:absolute" from="8752,634" to="10049,634" stroked="true" strokeweight=".06pt" strokecolor="#000000"/>
            <v:line style="position:absolute" from="8752,635" to="10049,635" stroked="true" strokeweight=".06pt" strokecolor="#000000"/>
            <v:line style="position:absolute" from="8752,636" to="10049,636" stroked="true" strokeweight=".06pt" strokecolor="#000000"/>
            <v:line style="position:absolute" from="8752,637" to="10049,637" stroked="true" strokeweight=".06pt" strokecolor="#000000"/>
            <v:line style="position:absolute" from="8752,639" to="10049,639" stroked="true" strokeweight=".06pt" strokecolor="#000000"/>
            <v:line style="position:absolute" from="8752,640" to="10049,640" stroked="true" strokeweight=".06pt" strokecolor="#000000"/>
            <v:line style="position:absolute" from="8752,641" to="10049,641" stroked="true" strokeweight=".06pt" strokecolor="#000000"/>
            <v:line style="position:absolute" from="8752,642" to="10049,642" stroked="true" strokeweight=".06pt" strokecolor="#000000"/>
            <v:line style="position:absolute" from="8752,643" to="10049,643" stroked="true" strokeweight=".06pt" strokecolor="#000000"/>
            <v:line style="position:absolute" from="8752,645" to="10049,645" stroked="true" strokeweight=".06pt" strokecolor="#000000"/>
            <v:line style="position:absolute" from="8752,664" to="10049,664" stroked="true" strokeweight=".06pt" strokecolor="#000000"/>
            <v:line style="position:absolute" from="8752,665" to="10049,665" stroked="true" strokeweight=".06pt" strokecolor="#000000"/>
            <v:line style="position:absolute" from="8752,666" to="10049,666" stroked="true" strokeweight=".06pt" strokecolor="#000000"/>
            <v:line style="position:absolute" from="8752,667" to="10049,667" stroked="true" strokeweight=".06pt" strokecolor="#000000"/>
            <v:line style="position:absolute" from="8752,669" to="10049,669" stroked="true" strokeweight=".06pt" strokecolor="#000000"/>
            <v:line style="position:absolute" from="8752,670" to="10049,670" stroked="true" strokeweight=".06pt" strokecolor="#000000"/>
            <v:line style="position:absolute" from="8752,671" to="10049,671" stroked="true" strokeweight=".06pt" strokecolor="#000000"/>
            <v:line style="position:absolute" from="8752,672" to="10049,672" stroked="true" strokeweight=".06pt" strokecolor="#000000"/>
            <v:line style="position:absolute" from="8752,673" to="10049,673" stroked="true" strokeweight=".06pt" strokecolor="#000000"/>
            <v:line style="position:absolute" from="8752,675" to="10049,675" stroked="true" strokeweight=".06pt" strokecolor="#000000"/>
            <v:line style="position:absolute" from="8752,676" to="10049,676" stroked="true" strokeweight=".06pt" strokecolor="#000000"/>
            <v:line style="position:absolute" from="8752,677" to="10049,677" stroked="true" strokeweight=".06pt" strokecolor="#000000"/>
            <v:line style="position:absolute" from="8752,678" to="10049,678" stroked="true" strokeweight=".06pt" strokecolor="#000000"/>
            <v:line style="position:absolute" from="10049,630" to="11346,630" stroked="true" strokeweight=".06pt" strokecolor="#000000"/>
            <v:line style="position:absolute" from="10049,631" to="11346,631" stroked="true" strokeweight=".06pt" strokecolor="#000000"/>
            <v:line style="position:absolute" from="10049,633" to="11346,633" stroked="true" strokeweight=".06pt" strokecolor="#000000"/>
            <v:line style="position:absolute" from="10049,634" to="11346,634" stroked="true" strokeweight=".06pt" strokecolor="#000000"/>
            <v:line style="position:absolute" from="10049,635" to="11346,635" stroked="true" strokeweight=".06pt" strokecolor="#000000"/>
            <v:line style="position:absolute" from="10049,636" to="11346,636" stroked="true" strokeweight=".06pt" strokecolor="#000000"/>
            <v:line style="position:absolute" from="10049,637" to="11346,637" stroked="true" strokeweight=".06pt" strokecolor="#000000"/>
            <v:line style="position:absolute" from="10049,639" to="11346,639" stroked="true" strokeweight=".06pt" strokecolor="#000000"/>
            <v:line style="position:absolute" from="10049,640" to="11346,640" stroked="true" strokeweight=".06pt" strokecolor="#000000"/>
            <v:line style="position:absolute" from="10049,641" to="11346,641" stroked="true" strokeweight=".06pt" strokecolor="#000000"/>
            <v:line style="position:absolute" from="10049,642" to="11346,642" stroked="true" strokeweight=".06pt" strokecolor="#000000"/>
            <v:line style="position:absolute" from="10049,643" to="11346,643" stroked="true" strokeweight=".06pt" strokecolor="#000000"/>
            <v:line style="position:absolute" from="10049,645" to="11346,645" stroked="true" strokeweight=".06pt" strokecolor="#000000"/>
            <v:line style="position:absolute" from="10049,664" to="11346,664" stroked="true" strokeweight=".06pt" strokecolor="#000000"/>
            <v:line style="position:absolute" from="10049,665" to="11346,665" stroked="true" strokeweight=".06pt" strokecolor="#000000"/>
            <v:line style="position:absolute" from="10049,666" to="11346,666" stroked="true" strokeweight=".06pt" strokecolor="#000000"/>
            <v:line style="position:absolute" from="10049,667" to="11346,667" stroked="true" strokeweight=".06pt" strokecolor="#000000"/>
            <v:line style="position:absolute" from="10049,669" to="11346,669" stroked="true" strokeweight=".06pt" strokecolor="#000000"/>
            <v:line style="position:absolute" from="10049,670" to="11346,670" stroked="true" strokeweight=".06pt" strokecolor="#000000"/>
            <v:line style="position:absolute" from="10049,671" to="11346,671" stroked="true" strokeweight=".06pt" strokecolor="#000000"/>
            <v:line style="position:absolute" from="10049,672" to="11346,672" stroked="true" strokeweight=".06pt" strokecolor="#000000"/>
            <v:line style="position:absolute" from="10049,673" to="11346,673" stroked="true" strokeweight=".06pt" strokecolor="#000000"/>
            <v:line style="position:absolute" from="10049,675" to="11346,675" stroked="true" strokeweight=".06pt" strokecolor="#000000"/>
            <v:line style="position:absolute" from="10049,676" to="11346,676" stroked="true" strokeweight=".06pt" strokecolor="#000000"/>
            <v:line style="position:absolute" from="10049,677" to="11346,677" stroked="true" strokeweight=".06pt" strokecolor="#000000"/>
            <v:line style="position:absolute" from="10049,678" to="11346,678" stroked="true" strokeweight=".06pt" strokecolor="#000000"/>
            <w10:wrap type="none"/>
          </v:group>
        </w:pict>
      </w:r>
      <w:r>
        <w:rPr>
          <w:sz w:val="18"/>
        </w:rPr>
        <w:t>increase/(decrease) in trade and</w:t>
      </w:r>
      <w:r>
        <w:rPr>
          <w:spacing w:val="-25"/>
          <w:sz w:val="18"/>
        </w:rPr>
        <w:t> </w:t>
      </w:r>
      <w:r>
        <w:rPr>
          <w:sz w:val="18"/>
        </w:rPr>
        <w:t>other</w:t>
      </w:r>
      <w:r>
        <w:rPr>
          <w:spacing w:val="-7"/>
          <w:sz w:val="18"/>
        </w:rPr>
        <w:t> </w:t>
      </w:r>
      <w:r>
        <w:rPr>
          <w:sz w:val="18"/>
        </w:rPr>
        <w:t>payables</w:t>
        <w:tab/>
      </w:r>
      <w:r>
        <w:rPr>
          <w:b/>
          <w:sz w:val="18"/>
        </w:rPr>
        <w:t>-</w:t>
        <w:tab/>
      </w:r>
      <w:r>
        <w:rPr>
          <w:sz w:val="18"/>
        </w:rPr>
        <w:t>- Cashflow</w:t>
      </w:r>
      <w:r>
        <w:rPr>
          <w:spacing w:val="-9"/>
          <w:sz w:val="18"/>
        </w:rPr>
        <w:t> </w:t>
      </w:r>
      <w:r>
        <w:rPr>
          <w:sz w:val="18"/>
        </w:rPr>
        <w:t>from</w:t>
      </w:r>
      <w:r>
        <w:rPr>
          <w:spacing w:val="-5"/>
          <w:sz w:val="18"/>
        </w:rPr>
        <w:t> </w:t>
      </w:r>
      <w:r>
        <w:rPr>
          <w:sz w:val="18"/>
        </w:rPr>
        <w:t>operations</w:t>
        <w:tab/>
      </w:r>
      <w:r>
        <w:rPr>
          <w:b/>
          <w:position w:val="-8"/>
          <w:sz w:val="18"/>
        </w:rPr>
        <w:t>-</w:t>
        <w:tab/>
      </w:r>
      <w:r>
        <w:rPr>
          <w:position w:val="-8"/>
          <w:sz w:val="18"/>
        </w:rPr>
        <w:t>-</w:t>
      </w:r>
    </w:p>
    <w:p>
      <w:pPr>
        <w:pStyle w:val="BodyText"/>
        <w:rPr>
          <w:sz w:val="20"/>
        </w:rPr>
      </w:pPr>
    </w:p>
    <w:p>
      <w:pPr>
        <w:pStyle w:val="BodyText"/>
        <w:spacing w:before="2"/>
        <w:rPr>
          <w:sz w:val="17"/>
        </w:rPr>
      </w:pPr>
    </w:p>
    <w:p>
      <w:pPr>
        <w:pStyle w:val="Heading8"/>
        <w:spacing w:before="78"/>
        <w:ind w:left="2107" w:right="1678"/>
        <w:jc w:val="center"/>
      </w:pPr>
      <w:r>
        <w:rPr/>
        <w:t>END OF AUDITED FINANCIAL STATEMENTS</w:t>
      </w:r>
    </w:p>
    <w:p>
      <w:pPr>
        <w:spacing w:after="0"/>
        <w:jc w:val="center"/>
        <w:sectPr>
          <w:type w:val="continuous"/>
          <w:pgSz w:w="12750" w:h="17680"/>
          <w:pgMar w:top="1660" w:bottom="0" w:left="0" w:right="0"/>
        </w:sectPr>
      </w:pPr>
    </w:p>
    <w:p>
      <w:pPr>
        <w:pStyle w:val="BodyText"/>
        <w:spacing w:before="2"/>
        <w:rPr>
          <w:b/>
          <w:sz w:val="24"/>
        </w:rPr>
      </w:pPr>
      <w:r>
        <w:rPr/>
        <w:drawing>
          <wp:anchor distT="0" distB="0" distL="0" distR="0" allowOverlap="1" layoutInCell="1" locked="0" behindDoc="0" simplePos="0" relativeHeight="14680">
            <wp:simplePos x="0" y="0"/>
            <wp:positionH relativeFrom="page">
              <wp:posOffset>-1587</wp:posOffset>
            </wp:positionH>
            <wp:positionV relativeFrom="page">
              <wp:posOffset>5534342</wp:posOffset>
            </wp:positionV>
            <wp:extent cx="135159" cy="154019"/>
            <wp:effectExtent l="0" t="0" r="0" b="0"/>
            <wp:wrapNone/>
            <wp:docPr id="995" name="image13.png" descr=""/>
            <wp:cNvGraphicFramePr>
              <a:graphicFrameLocks noChangeAspect="1"/>
            </wp:cNvGraphicFramePr>
            <a:graphic>
              <a:graphicData uri="http://schemas.openxmlformats.org/drawingml/2006/picture">
                <pic:pic>
                  <pic:nvPicPr>
                    <pic:cNvPr id="996" name="image13.png"/>
                    <pic:cNvPicPr/>
                  </pic:nvPicPr>
                  <pic:blipFill>
                    <a:blip r:embed="rId18" cstate="print"/>
                    <a:stretch>
                      <a:fillRect/>
                    </a:stretch>
                  </pic:blipFill>
                  <pic:spPr>
                    <a:xfrm>
                      <a:off x="0" y="0"/>
                      <a:ext cx="135159" cy="154019"/>
                    </a:xfrm>
                    <a:prstGeom prst="rect">
                      <a:avLst/>
                    </a:prstGeom>
                  </pic:spPr>
                </pic:pic>
              </a:graphicData>
            </a:graphic>
          </wp:anchor>
        </w:drawing>
      </w:r>
      <w:r>
        <w:rPr/>
        <w:drawing>
          <wp:anchor distT="0" distB="0" distL="0" distR="0" allowOverlap="1" layoutInCell="1" locked="0" behindDoc="0" simplePos="0" relativeHeight="14704">
            <wp:simplePos x="0" y="0"/>
            <wp:positionH relativeFrom="page">
              <wp:posOffset>7958429</wp:posOffset>
            </wp:positionH>
            <wp:positionV relativeFrom="page">
              <wp:posOffset>5534342</wp:posOffset>
            </wp:positionV>
            <wp:extent cx="135953" cy="155575"/>
            <wp:effectExtent l="0" t="0" r="0" b="0"/>
            <wp:wrapNone/>
            <wp:docPr id="997" name="image15.png" descr=""/>
            <wp:cNvGraphicFramePr>
              <a:graphicFrameLocks noChangeAspect="1"/>
            </wp:cNvGraphicFramePr>
            <a:graphic>
              <a:graphicData uri="http://schemas.openxmlformats.org/drawingml/2006/picture">
                <pic:pic>
                  <pic:nvPicPr>
                    <pic:cNvPr id="998" name="image15.png"/>
                    <pic:cNvPicPr/>
                  </pic:nvPicPr>
                  <pic:blipFill>
                    <a:blip r:embed="rId20" cstate="print"/>
                    <a:stretch>
                      <a:fillRect/>
                    </a:stretch>
                  </pic:blipFill>
                  <pic:spPr>
                    <a:xfrm>
                      <a:off x="0" y="0"/>
                      <a:ext cx="135953" cy="155575"/>
                    </a:xfrm>
                    <a:prstGeom prst="rect">
                      <a:avLst/>
                    </a:prstGeom>
                  </pic:spPr>
                </pic:pic>
              </a:graphicData>
            </a:graphic>
          </wp:anchor>
        </w:drawing>
      </w:r>
    </w:p>
    <w:p>
      <w:pPr>
        <w:spacing w:before="64"/>
        <w:ind w:left="1428" w:right="0" w:firstLine="0"/>
        <w:jc w:val="left"/>
        <w:rPr>
          <w:b/>
          <w:sz w:val="28"/>
        </w:rPr>
      </w:pPr>
      <w:r>
        <w:rPr>
          <w:b/>
          <w:sz w:val="28"/>
        </w:rPr>
        <w:t>Director's declaration</w:t>
      </w:r>
    </w:p>
    <w:p>
      <w:pPr>
        <w:pStyle w:val="BodyText"/>
        <w:rPr>
          <w:b/>
          <w:sz w:val="25"/>
        </w:rPr>
      </w:pPr>
    </w:p>
    <w:p>
      <w:pPr>
        <w:pStyle w:val="BodyText"/>
        <w:ind w:left="1428"/>
      </w:pPr>
      <w:r>
        <w:rPr/>
        <w:t>In the Director's opinion:</w:t>
      </w:r>
    </w:p>
    <w:p>
      <w:pPr>
        <w:pStyle w:val="BodyText"/>
        <w:spacing w:before="11"/>
        <w:rPr>
          <w:sz w:val="24"/>
        </w:rPr>
      </w:pPr>
    </w:p>
    <w:p>
      <w:pPr>
        <w:pStyle w:val="ListParagraph"/>
        <w:numPr>
          <w:ilvl w:val="0"/>
          <w:numId w:val="81"/>
        </w:numPr>
        <w:tabs>
          <w:tab w:pos="1728" w:val="left" w:leader="none"/>
        </w:tabs>
        <w:spacing w:line="240" w:lineRule="auto" w:before="0" w:after="0"/>
        <w:ind w:left="1824" w:right="0" w:hanging="396"/>
        <w:jc w:val="left"/>
        <w:rPr>
          <w:sz w:val="18"/>
        </w:rPr>
      </w:pPr>
      <w:r>
        <w:rPr>
          <w:sz w:val="18"/>
        </w:rPr>
        <w:t>The</w:t>
      </w:r>
      <w:r>
        <w:rPr>
          <w:spacing w:val="-6"/>
          <w:sz w:val="18"/>
        </w:rPr>
        <w:t> </w:t>
      </w:r>
      <w:r>
        <w:rPr>
          <w:sz w:val="18"/>
        </w:rPr>
        <w:t>financial</w:t>
      </w:r>
      <w:r>
        <w:rPr>
          <w:spacing w:val="-6"/>
          <w:sz w:val="18"/>
        </w:rPr>
        <w:t> </w:t>
      </w:r>
      <w:r>
        <w:rPr>
          <w:sz w:val="18"/>
        </w:rPr>
        <w:t>statements</w:t>
      </w:r>
      <w:r>
        <w:rPr>
          <w:spacing w:val="-6"/>
          <w:sz w:val="18"/>
        </w:rPr>
        <w:t> </w:t>
      </w:r>
      <w:r>
        <w:rPr>
          <w:sz w:val="18"/>
        </w:rPr>
        <w:t>and</w:t>
      </w:r>
      <w:r>
        <w:rPr>
          <w:spacing w:val="-6"/>
          <w:sz w:val="18"/>
        </w:rPr>
        <w:t> </w:t>
      </w:r>
      <w:r>
        <w:rPr>
          <w:sz w:val="18"/>
        </w:rPr>
        <w:t>notes</w:t>
      </w:r>
      <w:r>
        <w:rPr>
          <w:spacing w:val="-6"/>
          <w:sz w:val="18"/>
        </w:rPr>
        <w:t> </w:t>
      </w:r>
      <w:r>
        <w:rPr>
          <w:sz w:val="18"/>
        </w:rPr>
        <w:t>are</w:t>
      </w:r>
      <w:r>
        <w:rPr>
          <w:spacing w:val="-6"/>
          <w:sz w:val="18"/>
        </w:rPr>
        <w:t> </w:t>
      </w:r>
      <w:r>
        <w:rPr>
          <w:sz w:val="18"/>
        </w:rPr>
        <w:t>in</w:t>
      </w:r>
      <w:r>
        <w:rPr>
          <w:spacing w:val="-6"/>
          <w:sz w:val="18"/>
        </w:rPr>
        <w:t> </w:t>
      </w:r>
      <w:r>
        <w:rPr>
          <w:sz w:val="18"/>
        </w:rPr>
        <w:t>accordance</w:t>
      </w:r>
      <w:r>
        <w:rPr>
          <w:spacing w:val="-6"/>
          <w:sz w:val="18"/>
        </w:rPr>
        <w:t> </w:t>
      </w:r>
      <w:r>
        <w:rPr>
          <w:sz w:val="18"/>
        </w:rPr>
        <w:t>with</w:t>
      </w:r>
      <w:r>
        <w:rPr>
          <w:spacing w:val="-5"/>
          <w:sz w:val="18"/>
        </w:rPr>
        <w:t> </w:t>
      </w:r>
      <w:r>
        <w:rPr>
          <w:sz w:val="18"/>
        </w:rPr>
        <w:t>the</w:t>
      </w:r>
      <w:r>
        <w:rPr>
          <w:spacing w:val="-6"/>
          <w:sz w:val="18"/>
        </w:rPr>
        <w:t> </w:t>
      </w:r>
      <w:r>
        <w:rPr>
          <w:i/>
          <w:sz w:val="18"/>
        </w:rPr>
        <w:t>Corporations</w:t>
      </w:r>
      <w:r>
        <w:rPr>
          <w:i/>
          <w:spacing w:val="-6"/>
          <w:sz w:val="18"/>
        </w:rPr>
        <w:t> </w:t>
      </w:r>
      <w:r>
        <w:rPr>
          <w:i/>
          <w:sz w:val="18"/>
        </w:rPr>
        <w:t>Act</w:t>
      </w:r>
      <w:r>
        <w:rPr>
          <w:i/>
          <w:spacing w:val="-6"/>
          <w:sz w:val="18"/>
        </w:rPr>
        <w:t> </w:t>
      </w:r>
      <w:r>
        <w:rPr>
          <w:i/>
          <w:sz w:val="18"/>
        </w:rPr>
        <w:t>2001</w:t>
      </w:r>
      <w:r>
        <w:rPr>
          <w:i/>
          <w:spacing w:val="-6"/>
          <w:sz w:val="18"/>
        </w:rPr>
        <w:t> </w:t>
      </w:r>
      <w:r>
        <w:rPr>
          <w:sz w:val="18"/>
        </w:rPr>
        <w:t>and:</w:t>
      </w:r>
    </w:p>
    <w:p>
      <w:pPr>
        <w:pStyle w:val="BodyText"/>
        <w:spacing w:before="11"/>
        <w:rPr>
          <w:sz w:val="24"/>
        </w:rPr>
      </w:pPr>
    </w:p>
    <w:p>
      <w:pPr>
        <w:pStyle w:val="ListParagraph"/>
        <w:numPr>
          <w:ilvl w:val="1"/>
          <w:numId w:val="81"/>
        </w:numPr>
        <w:tabs>
          <w:tab w:pos="2222" w:val="left" w:leader="none"/>
        </w:tabs>
        <w:spacing w:line="240" w:lineRule="auto" w:before="0" w:after="0"/>
        <w:ind w:left="2221" w:right="1393" w:hanging="397"/>
        <w:jc w:val="both"/>
        <w:rPr>
          <w:sz w:val="18"/>
        </w:rPr>
      </w:pPr>
      <w:r>
        <w:rPr>
          <w:sz w:val="18"/>
        </w:rPr>
        <w:t>comply with Australian Accounting Standards and other interpretations, the </w:t>
      </w:r>
      <w:r>
        <w:rPr>
          <w:i/>
          <w:sz w:val="18"/>
        </w:rPr>
        <w:t>Corporations Regulations 2001, Public </w:t>
      </w:r>
      <w:r>
        <w:rPr>
          <w:i/>
          <w:sz w:val="18"/>
        </w:rPr>
        <w:t>Finance and Audit Act 1983 the Public Finance and Audit Regulation 2015 </w:t>
      </w:r>
      <w:r>
        <w:rPr>
          <w:sz w:val="18"/>
        </w:rPr>
        <w:t>and other mandatory professional reporting requirements;</w:t>
      </w:r>
      <w:r>
        <w:rPr>
          <w:spacing w:val="-26"/>
          <w:sz w:val="18"/>
        </w:rPr>
        <w:t> </w:t>
      </w:r>
      <w:r>
        <w:rPr>
          <w:sz w:val="18"/>
        </w:rPr>
        <w:t>and</w:t>
      </w:r>
    </w:p>
    <w:p>
      <w:pPr>
        <w:pStyle w:val="BodyText"/>
        <w:spacing w:before="11"/>
        <w:rPr>
          <w:sz w:val="24"/>
        </w:rPr>
      </w:pPr>
    </w:p>
    <w:p>
      <w:pPr>
        <w:pStyle w:val="ListParagraph"/>
        <w:numPr>
          <w:ilvl w:val="1"/>
          <w:numId w:val="81"/>
        </w:numPr>
        <w:tabs>
          <w:tab w:pos="2222" w:val="left" w:leader="none"/>
        </w:tabs>
        <w:spacing w:line="240" w:lineRule="auto" w:before="0" w:after="0"/>
        <w:ind w:left="2221" w:right="1394" w:hanging="397"/>
        <w:jc w:val="both"/>
        <w:rPr>
          <w:sz w:val="18"/>
        </w:rPr>
      </w:pPr>
      <w:r>
        <w:rPr>
          <w:sz w:val="18"/>
        </w:rPr>
        <w:t>give a true and fair view of the financial position as at 31 December 2016 and of the performance for the year ended on that date of the</w:t>
      </w:r>
      <w:r>
        <w:rPr>
          <w:spacing w:val="-29"/>
          <w:sz w:val="18"/>
        </w:rPr>
        <w:t> </w:t>
      </w:r>
      <w:r>
        <w:rPr>
          <w:sz w:val="18"/>
        </w:rPr>
        <w:t>Company.</w:t>
      </w:r>
    </w:p>
    <w:p>
      <w:pPr>
        <w:pStyle w:val="BodyText"/>
        <w:spacing w:before="10"/>
        <w:rPr>
          <w:sz w:val="17"/>
        </w:rPr>
      </w:pPr>
    </w:p>
    <w:p>
      <w:pPr>
        <w:pStyle w:val="ListParagraph"/>
        <w:numPr>
          <w:ilvl w:val="0"/>
          <w:numId w:val="81"/>
        </w:numPr>
        <w:tabs>
          <w:tab w:pos="1824" w:val="left" w:leader="none"/>
        </w:tabs>
        <w:spacing w:line="240" w:lineRule="auto" w:before="0" w:after="0"/>
        <w:ind w:left="1824" w:right="1394" w:hanging="396"/>
        <w:jc w:val="left"/>
        <w:rPr>
          <w:sz w:val="18"/>
        </w:rPr>
      </w:pPr>
      <w:r>
        <w:rPr>
          <w:sz w:val="18"/>
        </w:rPr>
        <w:t>There are reasonable grounds to believe that the Company will be able to pay its debts as and when they become due and</w:t>
      </w:r>
      <w:r>
        <w:rPr>
          <w:spacing w:val="-13"/>
          <w:sz w:val="18"/>
        </w:rPr>
        <w:t> </w:t>
      </w:r>
      <w:r>
        <w:rPr>
          <w:sz w:val="18"/>
        </w:rPr>
        <w:t>payable.</w:t>
      </w:r>
    </w:p>
    <w:p>
      <w:pPr>
        <w:pStyle w:val="BodyText"/>
        <w:spacing w:before="11"/>
        <w:rPr>
          <w:sz w:val="24"/>
        </w:rPr>
      </w:pPr>
    </w:p>
    <w:p>
      <w:pPr>
        <w:pStyle w:val="BodyText"/>
        <w:ind w:left="1428"/>
      </w:pPr>
      <w:r>
        <w:rPr/>
        <w:pict>
          <v:shape style="position:absolute;margin-left:43.943558pt;margin-top:9.232239pt;width:501.6pt;height:233.5pt;mso-position-horizontal-relative:page;mso-position-vertical-relative:paragraph;z-index:-1193704" type="#_x0000_t202" filled="false" stroked="false">
            <v:textbox inset="0,0,0,0">
              <w:txbxContent>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4"/>
                    <w:rPr>
                      <w:sz w:val="14"/>
                    </w:rPr>
                  </w:pPr>
                </w:p>
                <w:p>
                  <w:pPr>
                    <w:pStyle w:val="BodyText"/>
                    <w:tabs>
                      <w:tab w:pos="5550" w:val="left" w:leader="none"/>
                    </w:tabs>
                    <w:ind w:left="591"/>
                  </w:pPr>
                  <w:r>
                    <w:rPr/>
                    <w:t>Director ............................................................................</w:t>
                    <w:tab/>
                    <w:t>Director</w:t>
                  </w:r>
                  <w:r>
                    <w:rPr>
                      <w:spacing w:val="2"/>
                    </w:rPr>
                    <w:t> </w:t>
                  </w:r>
                  <w:r>
                    <w:rPr/>
                    <w:t>...........................................................................</w:t>
                  </w:r>
                </w:p>
                <w:p>
                  <w:pPr>
                    <w:pStyle w:val="BodyText"/>
                    <w:spacing w:before="10"/>
                    <w:rPr>
                      <w:sz w:val="17"/>
                    </w:rPr>
                  </w:pPr>
                </w:p>
                <w:p>
                  <w:pPr>
                    <w:pStyle w:val="BodyText"/>
                    <w:tabs>
                      <w:tab w:pos="5550" w:val="left" w:leader="none"/>
                    </w:tabs>
                    <w:ind w:left="591"/>
                  </w:pPr>
                  <w:r>
                    <w:rPr/>
                    <w:t>The Hon.</w:t>
                  </w:r>
                  <w:r>
                    <w:rPr>
                      <w:spacing w:val="-8"/>
                    </w:rPr>
                    <w:t> </w:t>
                  </w:r>
                  <w:r>
                    <w:rPr/>
                    <w:t>John</w:t>
                  </w:r>
                  <w:r>
                    <w:rPr>
                      <w:spacing w:val="-4"/>
                    </w:rPr>
                    <w:t> </w:t>
                  </w:r>
                  <w:r>
                    <w:rPr/>
                    <w:t>Faulkner</w:t>
                    <w:tab/>
                    <w:t>Ms Gabrielle</w:t>
                  </w:r>
                  <w:r>
                    <w:rPr>
                      <w:spacing w:val="-19"/>
                    </w:rPr>
                    <w:t> </w:t>
                  </w:r>
                  <w:r>
                    <w:rPr/>
                    <w:t>Trainor</w:t>
                  </w:r>
                </w:p>
                <w:p>
                  <w:pPr>
                    <w:pStyle w:val="BodyText"/>
                  </w:pPr>
                </w:p>
                <w:p>
                  <w:pPr>
                    <w:pStyle w:val="BodyText"/>
                  </w:pPr>
                </w:p>
                <w:p>
                  <w:pPr>
                    <w:pStyle w:val="BodyText"/>
                  </w:pPr>
                </w:p>
                <w:p>
                  <w:pPr>
                    <w:pStyle w:val="BodyText"/>
                  </w:pPr>
                </w:p>
                <w:p>
                  <w:pPr>
                    <w:pStyle w:val="BodyText"/>
                    <w:spacing w:before="138"/>
                    <w:ind w:left="549"/>
                  </w:pPr>
                  <w:r>
                    <w:rPr/>
                    <w:t>Dated 17 February 2017</w:t>
                  </w:r>
                </w:p>
              </w:txbxContent>
            </v:textbox>
            <w10:wrap type="none"/>
          </v:shape>
        </w:pict>
      </w:r>
      <w:r>
        <w:rPr/>
        <w:drawing>
          <wp:anchor distT="0" distB="0" distL="0" distR="0" allowOverlap="1" layoutInCell="1" locked="0" behindDoc="1" simplePos="0" relativeHeight="267241775">
            <wp:simplePos x="0" y="0"/>
            <wp:positionH relativeFrom="page">
              <wp:posOffset>558083</wp:posOffset>
            </wp:positionH>
            <wp:positionV relativeFrom="paragraph">
              <wp:posOffset>117249</wp:posOffset>
            </wp:positionV>
            <wp:extent cx="6369821" cy="2965313"/>
            <wp:effectExtent l="0" t="0" r="0" b="0"/>
            <wp:wrapNone/>
            <wp:docPr id="999" name="image57.jpeg" descr=""/>
            <wp:cNvGraphicFramePr>
              <a:graphicFrameLocks noChangeAspect="1"/>
            </wp:cNvGraphicFramePr>
            <a:graphic>
              <a:graphicData uri="http://schemas.openxmlformats.org/drawingml/2006/picture">
                <pic:pic>
                  <pic:nvPicPr>
                    <pic:cNvPr id="1000" name="image57.jpeg"/>
                    <pic:cNvPicPr/>
                  </pic:nvPicPr>
                  <pic:blipFill>
                    <a:blip r:embed="rId132" cstate="print"/>
                    <a:stretch>
                      <a:fillRect/>
                    </a:stretch>
                  </pic:blipFill>
                  <pic:spPr>
                    <a:xfrm>
                      <a:off x="0" y="0"/>
                      <a:ext cx="6369821" cy="2965313"/>
                    </a:xfrm>
                    <a:prstGeom prst="rect">
                      <a:avLst/>
                    </a:prstGeom>
                  </pic:spPr>
                </pic:pic>
              </a:graphicData>
            </a:graphic>
          </wp:anchor>
        </w:drawing>
      </w:r>
      <w:r>
        <w:rPr/>
        <w:t>This declaration is made in accordance with a resolution of the Directors.</w:t>
      </w:r>
    </w:p>
    <w:p>
      <w:pPr>
        <w:spacing w:after="0"/>
        <w:sectPr>
          <w:pgSz w:w="12750" w:h="17680"/>
          <w:pgMar w:header="0" w:footer="927" w:top="1880" w:bottom="1120" w:left="0" w:right="0"/>
        </w:sectPr>
      </w:pPr>
    </w:p>
    <w:p>
      <w:pPr>
        <w:pStyle w:val="BodyText"/>
        <w:rPr>
          <w:sz w:val="20"/>
        </w:rPr>
      </w:pPr>
    </w:p>
    <w:p>
      <w:pPr>
        <w:pStyle w:val="BodyText"/>
        <w:rPr>
          <w:sz w:val="20"/>
        </w:rPr>
      </w:pPr>
    </w:p>
    <w:p>
      <w:pPr>
        <w:pStyle w:val="BodyText"/>
        <w:spacing w:before="5"/>
        <w:rPr>
          <w:sz w:val="24"/>
        </w:rPr>
      </w:pPr>
    </w:p>
    <w:p>
      <w:pPr>
        <w:pStyle w:val="BodyText"/>
        <w:ind w:left="5589"/>
        <w:rPr>
          <w:sz w:val="20"/>
        </w:rPr>
      </w:pPr>
      <w:r>
        <w:rPr>
          <w:sz w:val="20"/>
        </w:rPr>
        <w:drawing>
          <wp:inline distT="0" distB="0" distL="0" distR="0">
            <wp:extent cx="1005362" cy="1060703"/>
            <wp:effectExtent l="0" t="0" r="0" b="0"/>
            <wp:docPr id="1003" name="image58.png" descr=""/>
            <wp:cNvGraphicFramePr>
              <a:graphicFrameLocks noChangeAspect="1"/>
            </wp:cNvGraphicFramePr>
            <a:graphic>
              <a:graphicData uri="http://schemas.openxmlformats.org/drawingml/2006/picture">
                <pic:pic>
                  <pic:nvPicPr>
                    <pic:cNvPr id="1004" name="image58.png"/>
                    <pic:cNvPicPr/>
                  </pic:nvPicPr>
                  <pic:blipFill>
                    <a:blip r:embed="rId134" cstate="print"/>
                    <a:stretch>
                      <a:fillRect/>
                    </a:stretch>
                  </pic:blipFill>
                  <pic:spPr>
                    <a:xfrm>
                      <a:off x="0" y="0"/>
                      <a:ext cx="1005362" cy="1060703"/>
                    </a:xfrm>
                    <a:prstGeom prst="rect">
                      <a:avLst/>
                    </a:prstGeom>
                  </pic:spPr>
                </pic:pic>
              </a:graphicData>
            </a:graphic>
          </wp:inline>
        </w:drawing>
      </w:r>
      <w:r>
        <w:rPr>
          <w:sz w:val="20"/>
        </w:rPr>
      </w:r>
    </w:p>
    <w:p>
      <w:pPr>
        <w:pStyle w:val="BodyText"/>
        <w:rPr>
          <w:sz w:val="20"/>
        </w:rPr>
      </w:pPr>
    </w:p>
    <w:p>
      <w:pPr>
        <w:pStyle w:val="BodyText"/>
        <w:rPr>
          <w:sz w:val="20"/>
        </w:rPr>
      </w:pPr>
    </w:p>
    <w:p>
      <w:pPr>
        <w:pStyle w:val="BodyText"/>
        <w:rPr>
          <w:sz w:val="20"/>
        </w:rPr>
      </w:pPr>
    </w:p>
    <w:p>
      <w:pPr>
        <w:pStyle w:val="BodyText"/>
        <w:rPr>
          <w:sz w:val="19"/>
        </w:rPr>
      </w:pPr>
    </w:p>
    <w:p>
      <w:pPr>
        <w:spacing w:before="69"/>
        <w:ind w:left="2107" w:right="2102" w:firstLine="0"/>
        <w:jc w:val="center"/>
        <w:rPr>
          <w:rFonts w:ascii="Times New Roman" w:hAnsi="Times New Roman"/>
          <w:sz w:val="24"/>
        </w:rPr>
      </w:pPr>
      <w:r>
        <w:rPr>
          <w:rFonts w:ascii="Times New Roman" w:hAnsi="Times New Roman"/>
          <w:w w:val="105"/>
          <w:sz w:val="24"/>
        </w:rPr>
        <w:t>INDEPENDENT AUDITOR’S REPORT</w:t>
      </w:r>
    </w:p>
    <w:p>
      <w:pPr>
        <w:spacing w:before="167"/>
        <w:ind w:left="2107" w:right="2107" w:firstLine="0"/>
        <w:jc w:val="center"/>
        <w:rPr>
          <w:rFonts w:ascii="Times New Roman"/>
          <w:sz w:val="20"/>
        </w:rPr>
      </w:pPr>
      <w:r>
        <w:rPr>
          <w:rFonts w:ascii="Times New Roman"/>
          <w:w w:val="115"/>
          <w:sz w:val="20"/>
        </w:rPr>
        <w:t>Whitlam Institute within Western Sydney University Limited</w:t>
      </w:r>
    </w:p>
    <w:p>
      <w:pPr>
        <w:pStyle w:val="BodyText"/>
        <w:rPr>
          <w:rFonts w:ascii="Times New Roman"/>
          <w:sz w:val="20"/>
        </w:rPr>
      </w:pPr>
    </w:p>
    <w:p>
      <w:pPr>
        <w:pStyle w:val="BodyText"/>
        <w:rPr>
          <w:rFonts w:ascii="Times New Roman"/>
          <w:sz w:val="20"/>
        </w:rPr>
      </w:pPr>
    </w:p>
    <w:p>
      <w:pPr>
        <w:spacing w:line="247" w:lineRule="auto" w:before="135"/>
        <w:ind w:left="1838" w:right="2033" w:firstLine="0"/>
        <w:jc w:val="left"/>
        <w:rPr>
          <w:rFonts w:ascii="Times New Roman"/>
          <w:sz w:val="20"/>
        </w:rPr>
      </w:pPr>
      <w:r>
        <w:rPr>
          <w:rFonts w:ascii="Times New Roman"/>
          <w:w w:val="110"/>
          <w:sz w:val="20"/>
        </w:rPr>
        <w:t>To</w:t>
      </w:r>
      <w:r>
        <w:rPr>
          <w:rFonts w:ascii="Times New Roman"/>
          <w:spacing w:val="-11"/>
          <w:w w:val="110"/>
          <w:sz w:val="20"/>
        </w:rPr>
        <w:t> </w:t>
      </w:r>
      <w:r>
        <w:rPr>
          <w:rFonts w:ascii="Times New Roman"/>
          <w:w w:val="110"/>
          <w:sz w:val="20"/>
        </w:rPr>
        <w:t>Members</w:t>
      </w:r>
      <w:r>
        <w:rPr>
          <w:rFonts w:ascii="Times New Roman"/>
          <w:spacing w:val="-10"/>
          <w:w w:val="110"/>
          <w:sz w:val="20"/>
        </w:rPr>
        <w:t> </w:t>
      </w:r>
      <w:r>
        <w:rPr>
          <w:rFonts w:ascii="Times New Roman"/>
          <w:w w:val="110"/>
          <w:sz w:val="20"/>
        </w:rPr>
        <w:t>of</w:t>
      </w:r>
      <w:r>
        <w:rPr>
          <w:rFonts w:ascii="Times New Roman"/>
          <w:spacing w:val="-8"/>
          <w:w w:val="110"/>
          <w:sz w:val="20"/>
        </w:rPr>
        <w:t> </w:t>
      </w:r>
      <w:r>
        <w:rPr>
          <w:rFonts w:ascii="Times New Roman"/>
          <w:w w:val="110"/>
          <w:sz w:val="20"/>
        </w:rPr>
        <w:t>the</w:t>
      </w:r>
      <w:r>
        <w:rPr>
          <w:rFonts w:ascii="Times New Roman"/>
          <w:spacing w:val="-11"/>
          <w:w w:val="110"/>
          <w:sz w:val="20"/>
        </w:rPr>
        <w:t> </w:t>
      </w:r>
      <w:r>
        <w:rPr>
          <w:rFonts w:ascii="Times New Roman"/>
          <w:w w:val="110"/>
          <w:sz w:val="20"/>
        </w:rPr>
        <w:t>New</w:t>
      </w:r>
      <w:r>
        <w:rPr>
          <w:rFonts w:ascii="Times New Roman"/>
          <w:spacing w:val="-10"/>
          <w:w w:val="110"/>
          <w:sz w:val="20"/>
        </w:rPr>
        <w:t> </w:t>
      </w:r>
      <w:r>
        <w:rPr>
          <w:rFonts w:ascii="Times New Roman"/>
          <w:w w:val="110"/>
          <w:sz w:val="20"/>
        </w:rPr>
        <w:t>South</w:t>
      </w:r>
      <w:r>
        <w:rPr>
          <w:rFonts w:ascii="Times New Roman"/>
          <w:spacing w:val="-12"/>
          <w:w w:val="110"/>
          <w:sz w:val="20"/>
        </w:rPr>
        <w:t> </w:t>
      </w:r>
      <w:r>
        <w:rPr>
          <w:rFonts w:ascii="Times New Roman"/>
          <w:w w:val="110"/>
          <w:sz w:val="20"/>
        </w:rPr>
        <w:t>Wales</w:t>
      </w:r>
      <w:r>
        <w:rPr>
          <w:rFonts w:ascii="Times New Roman"/>
          <w:spacing w:val="-10"/>
          <w:w w:val="110"/>
          <w:sz w:val="20"/>
        </w:rPr>
        <w:t> </w:t>
      </w:r>
      <w:r>
        <w:rPr>
          <w:rFonts w:ascii="Times New Roman"/>
          <w:w w:val="110"/>
          <w:sz w:val="20"/>
        </w:rPr>
        <w:t>Parliament</w:t>
      </w:r>
      <w:r>
        <w:rPr>
          <w:rFonts w:ascii="Times New Roman"/>
          <w:spacing w:val="-10"/>
          <w:w w:val="110"/>
          <w:sz w:val="20"/>
        </w:rPr>
        <w:t> </w:t>
      </w:r>
      <w:r>
        <w:rPr>
          <w:rFonts w:ascii="Times New Roman"/>
          <w:w w:val="110"/>
          <w:sz w:val="20"/>
        </w:rPr>
        <w:t>and</w:t>
      </w:r>
      <w:r>
        <w:rPr>
          <w:rFonts w:ascii="Times New Roman"/>
          <w:spacing w:val="-8"/>
          <w:w w:val="110"/>
          <w:sz w:val="20"/>
        </w:rPr>
        <w:t> </w:t>
      </w:r>
      <w:r>
        <w:rPr>
          <w:rFonts w:ascii="Times New Roman"/>
          <w:w w:val="110"/>
          <w:sz w:val="20"/>
        </w:rPr>
        <w:t>Members</w:t>
      </w:r>
      <w:r>
        <w:rPr>
          <w:rFonts w:ascii="Times New Roman"/>
          <w:spacing w:val="-10"/>
          <w:w w:val="110"/>
          <w:sz w:val="20"/>
        </w:rPr>
        <w:t> </w:t>
      </w:r>
      <w:r>
        <w:rPr>
          <w:rFonts w:ascii="Times New Roman"/>
          <w:w w:val="110"/>
          <w:sz w:val="20"/>
        </w:rPr>
        <w:t>of</w:t>
      </w:r>
      <w:r>
        <w:rPr>
          <w:rFonts w:ascii="Times New Roman"/>
          <w:spacing w:val="-12"/>
          <w:w w:val="110"/>
          <w:sz w:val="20"/>
        </w:rPr>
        <w:t> </w:t>
      </w:r>
      <w:r>
        <w:rPr>
          <w:rFonts w:ascii="Times New Roman"/>
          <w:w w:val="110"/>
          <w:sz w:val="20"/>
        </w:rPr>
        <w:t>Whitlam</w:t>
      </w:r>
      <w:r>
        <w:rPr>
          <w:rFonts w:ascii="Times New Roman"/>
          <w:spacing w:val="-7"/>
          <w:w w:val="110"/>
          <w:sz w:val="20"/>
        </w:rPr>
        <w:t> </w:t>
      </w:r>
      <w:r>
        <w:rPr>
          <w:rFonts w:ascii="Times New Roman"/>
          <w:w w:val="110"/>
          <w:sz w:val="20"/>
        </w:rPr>
        <w:t>Institute</w:t>
      </w:r>
      <w:r>
        <w:rPr>
          <w:rFonts w:ascii="Times New Roman"/>
          <w:spacing w:val="-8"/>
          <w:w w:val="110"/>
          <w:sz w:val="20"/>
        </w:rPr>
        <w:t> </w:t>
      </w:r>
      <w:r>
        <w:rPr>
          <w:rFonts w:ascii="Times New Roman"/>
          <w:w w:val="110"/>
          <w:sz w:val="20"/>
        </w:rPr>
        <w:t>within</w:t>
      </w:r>
      <w:r>
        <w:rPr>
          <w:rFonts w:ascii="Times New Roman"/>
          <w:spacing w:val="-12"/>
          <w:w w:val="110"/>
          <w:sz w:val="20"/>
        </w:rPr>
        <w:t> </w:t>
      </w:r>
      <w:r>
        <w:rPr>
          <w:rFonts w:ascii="Times New Roman"/>
          <w:w w:val="110"/>
          <w:sz w:val="20"/>
        </w:rPr>
        <w:t>Western </w:t>
      </w:r>
      <w:r>
        <w:rPr>
          <w:rFonts w:ascii="Times New Roman"/>
          <w:w w:val="105"/>
          <w:sz w:val="20"/>
        </w:rPr>
        <w:t>Sydney University</w:t>
      </w:r>
      <w:r>
        <w:rPr>
          <w:rFonts w:ascii="Times New Roman"/>
          <w:spacing w:val="2"/>
          <w:w w:val="105"/>
          <w:sz w:val="20"/>
        </w:rPr>
        <w:t> </w:t>
      </w:r>
      <w:r>
        <w:rPr>
          <w:rFonts w:ascii="Times New Roman"/>
          <w:w w:val="105"/>
          <w:sz w:val="20"/>
        </w:rPr>
        <w:t>Limited</w:t>
      </w:r>
    </w:p>
    <w:p>
      <w:pPr>
        <w:spacing w:before="163"/>
        <w:ind w:left="1838" w:right="0" w:firstLine="0"/>
        <w:jc w:val="left"/>
        <w:rPr>
          <w:rFonts w:ascii="Times New Roman"/>
          <w:sz w:val="24"/>
        </w:rPr>
      </w:pPr>
      <w:r>
        <w:rPr>
          <w:rFonts w:ascii="Times New Roman"/>
          <w:w w:val="115"/>
          <w:sz w:val="24"/>
        </w:rPr>
        <w:t>Opinion</w:t>
      </w:r>
    </w:p>
    <w:p>
      <w:pPr>
        <w:spacing w:line="249" w:lineRule="auto" w:before="126"/>
        <w:ind w:left="1838" w:right="2216" w:firstLine="0"/>
        <w:jc w:val="left"/>
        <w:rPr>
          <w:rFonts w:ascii="Times New Roman" w:hAnsi="Times New Roman"/>
          <w:sz w:val="20"/>
        </w:rPr>
      </w:pPr>
      <w:r>
        <w:rPr>
          <w:rFonts w:ascii="Times New Roman" w:hAnsi="Times New Roman"/>
          <w:w w:val="110"/>
          <w:sz w:val="20"/>
        </w:rPr>
        <w:t>I have audited the accompanying financial statements of Whitlam Institute within Western Sydney University Limited (the Company), which comprise the statement of financial position as at 31 December 2016, the statement of comprehensive income, statement of changes in equity and statement of cash flows for the year then ended, notes comprising a summary of significant accounting policies and other explanatory information, and the directors’ declaration.</w:t>
      </w:r>
    </w:p>
    <w:p>
      <w:pPr>
        <w:spacing w:before="171"/>
        <w:ind w:left="1838" w:right="0" w:firstLine="0"/>
        <w:jc w:val="left"/>
        <w:rPr>
          <w:rFonts w:ascii="Times New Roman"/>
          <w:sz w:val="20"/>
        </w:rPr>
      </w:pPr>
      <w:r>
        <w:rPr>
          <w:rFonts w:ascii="Times New Roman"/>
          <w:w w:val="105"/>
          <w:sz w:val="20"/>
        </w:rPr>
        <w:t>In my opinion the financial  statements:</w:t>
      </w:r>
    </w:p>
    <w:p>
      <w:pPr>
        <w:pStyle w:val="BodyText"/>
        <w:spacing w:before="7"/>
        <w:rPr>
          <w:rFonts w:ascii="Times New Roman"/>
          <w:sz w:val="15"/>
        </w:rPr>
      </w:pPr>
    </w:p>
    <w:p>
      <w:pPr>
        <w:pStyle w:val="ListParagraph"/>
        <w:numPr>
          <w:ilvl w:val="0"/>
          <w:numId w:val="82"/>
        </w:numPr>
        <w:tabs>
          <w:tab w:pos="2199" w:val="left" w:leader="none"/>
        </w:tabs>
        <w:spacing w:line="240" w:lineRule="auto" w:before="1" w:after="0"/>
        <w:ind w:left="2198" w:right="0" w:hanging="360"/>
        <w:jc w:val="left"/>
        <w:rPr>
          <w:rFonts w:ascii="Times New Roman"/>
          <w:sz w:val="20"/>
        </w:rPr>
      </w:pPr>
      <w:r>
        <w:rPr>
          <w:rFonts w:ascii="Times New Roman"/>
          <w:w w:val="110"/>
          <w:sz w:val="20"/>
        </w:rPr>
        <w:t>are</w:t>
      </w:r>
      <w:r>
        <w:rPr>
          <w:rFonts w:ascii="Times New Roman"/>
          <w:spacing w:val="-10"/>
          <w:w w:val="110"/>
          <w:sz w:val="20"/>
        </w:rPr>
        <w:t> </w:t>
      </w:r>
      <w:r>
        <w:rPr>
          <w:rFonts w:ascii="Times New Roman"/>
          <w:w w:val="110"/>
          <w:sz w:val="20"/>
        </w:rPr>
        <w:t>in</w:t>
      </w:r>
      <w:r>
        <w:rPr>
          <w:rFonts w:ascii="Times New Roman"/>
          <w:spacing w:val="-10"/>
          <w:w w:val="110"/>
          <w:sz w:val="20"/>
        </w:rPr>
        <w:t> </w:t>
      </w:r>
      <w:r>
        <w:rPr>
          <w:rFonts w:ascii="Times New Roman"/>
          <w:w w:val="110"/>
          <w:sz w:val="20"/>
        </w:rPr>
        <w:t>accordance</w:t>
      </w:r>
      <w:r>
        <w:rPr>
          <w:rFonts w:ascii="Times New Roman"/>
          <w:spacing w:val="-6"/>
          <w:w w:val="110"/>
          <w:sz w:val="20"/>
        </w:rPr>
        <w:t> </w:t>
      </w:r>
      <w:r>
        <w:rPr>
          <w:rFonts w:ascii="Times New Roman"/>
          <w:w w:val="110"/>
          <w:sz w:val="20"/>
        </w:rPr>
        <w:t>with</w:t>
      </w:r>
      <w:r>
        <w:rPr>
          <w:rFonts w:ascii="Times New Roman"/>
          <w:spacing w:val="-10"/>
          <w:w w:val="110"/>
          <w:sz w:val="20"/>
        </w:rPr>
        <w:t> </w:t>
      </w:r>
      <w:r>
        <w:rPr>
          <w:rFonts w:ascii="Times New Roman"/>
          <w:w w:val="110"/>
          <w:sz w:val="20"/>
        </w:rPr>
        <w:t>the</w:t>
      </w:r>
      <w:r>
        <w:rPr>
          <w:rFonts w:ascii="Times New Roman"/>
          <w:spacing w:val="-8"/>
          <w:w w:val="110"/>
          <w:sz w:val="20"/>
        </w:rPr>
        <w:t> </w:t>
      </w:r>
      <w:r>
        <w:rPr>
          <w:rFonts w:ascii="Times New Roman"/>
          <w:w w:val="110"/>
          <w:sz w:val="20"/>
        </w:rPr>
        <w:t>Corporations</w:t>
      </w:r>
      <w:r>
        <w:rPr>
          <w:rFonts w:ascii="Times New Roman"/>
          <w:spacing w:val="-7"/>
          <w:w w:val="110"/>
          <w:sz w:val="20"/>
        </w:rPr>
        <w:t> </w:t>
      </w:r>
      <w:r>
        <w:rPr>
          <w:rFonts w:ascii="Times New Roman"/>
          <w:w w:val="110"/>
          <w:sz w:val="20"/>
        </w:rPr>
        <w:t>Act</w:t>
      </w:r>
      <w:r>
        <w:rPr>
          <w:rFonts w:ascii="Times New Roman"/>
          <w:spacing w:val="-12"/>
          <w:w w:val="110"/>
          <w:sz w:val="20"/>
        </w:rPr>
        <w:t> </w:t>
      </w:r>
      <w:r>
        <w:rPr>
          <w:rFonts w:ascii="Times New Roman"/>
          <w:w w:val="110"/>
          <w:sz w:val="20"/>
        </w:rPr>
        <w:t>2001,</w:t>
      </w:r>
      <w:r>
        <w:rPr>
          <w:rFonts w:ascii="Times New Roman"/>
          <w:spacing w:val="-9"/>
          <w:w w:val="110"/>
          <w:sz w:val="20"/>
        </w:rPr>
        <w:t> </w:t>
      </w:r>
      <w:r>
        <w:rPr>
          <w:rFonts w:ascii="Times New Roman"/>
          <w:w w:val="110"/>
          <w:sz w:val="20"/>
        </w:rPr>
        <w:t>including:</w:t>
      </w:r>
    </w:p>
    <w:p>
      <w:pPr>
        <w:spacing w:line="249" w:lineRule="auto" w:before="72"/>
        <w:ind w:left="2971" w:right="2031" w:hanging="1"/>
        <w:jc w:val="left"/>
        <w:rPr>
          <w:rFonts w:ascii="Times New Roman" w:hAnsi="Times New Roman"/>
          <w:sz w:val="20"/>
        </w:rPr>
      </w:pPr>
      <w:r>
        <w:rPr/>
        <w:drawing>
          <wp:anchor distT="0" distB="0" distL="0" distR="0" allowOverlap="1" layoutInCell="1" locked="0" behindDoc="0" simplePos="0" relativeHeight="14752">
            <wp:simplePos x="0" y="0"/>
            <wp:positionH relativeFrom="page">
              <wp:posOffset>1531619</wp:posOffset>
            </wp:positionH>
            <wp:positionV relativeFrom="paragraph">
              <wp:posOffset>118565</wp:posOffset>
            </wp:positionV>
            <wp:extent cx="67055" cy="18287"/>
            <wp:effectExtent l="0" t="0" r="0" b="0"/>
            <wp:wrapNone/>
            <wp:docPr id="1005" name="image59.png" descr=""/>
            <wp:cNvGraphicFramePr>
              <a:graphicFrameLocks noChangeAspect="1"/>
            </wp:cNvGraphicFramePr>
            <a:graphic>
              <a:graphicData uri="http://schemas.openxmlformats.org/drawingml/2006/picture">
                <pic:pic>
                  <pic:nvPicPr>
                    <pic:cNvPr id="1006" name="image59.png"/>
                    <pic:cNvPicPr/>
                  </pic:nvPicPr>
                  <pic:blipFill>
                    <a:blip r:embed="rId135" cstate="print"/>
                    <a:stretch>
                      <a:fillRect/>
                    </a:stretch>
                  </pic:blipFill>
                  <pic:spPr>
                    <a:xfrm>
                      <a:off x="0" y="0"/>
                      <a:ext cx="67055" cy="18287"/>
                    </a:xfrm>
                    <a:prstGeom prst="rect">
                      <a:avLst/>
                    </a:prstGeom>
                  </pic:spPr>
                </pic:pic>
              </a:graphicData>
            </a:graphic>
          </wp:anchor>
        </w:drawing>
      </w:r>
      <w:r>
        <w:rPr>
          <w:rFonts w:ascii="Times New Roman" w:hAnsi="Times New Roman"/>
          <w:w w:val="110"/>
          <w:sz w:val="20"/>
        </w:rPr>
        <w:t>giving a true and fair view of the Company’s financial position as at 31 December 2016 and its performance for the year ended on that  date</w:t>
      </w:r>
    </w:p>
    <w:p>
      <w:pPr>
        <w:spacing w:before="61"/>
        <w:ind w:left="2971" w:right="0" w:firstLine="0"/>
        <w:jc w:val="left"/>
        <w:rPr>
          <w:rFonts w:ascii="Times New Roman"/>
          <w:sz w:val="20"/>
        </w:rPr>
      </w:pPr>
      <w:r>
        <w:rPr/>
        <w:drawing>
          <wp:anchor distT="0" distB="0" distL="0" distR="0" allowOverlap="1" layoutInCell="1" locked="0" behindDoc="0" simplePos="0" relativeHeight="14776">
            <wp:simplePos x="0" y="0"/>
            <wp:positionH relativeFrom="page">
              <wp:posOffset>1531619</wp:posOffset>
            </wp:positionH>
            <wp:positionV relativeFrom="paragraph">
              <wp:posOffset>113104</wp:posOffset>
            </wp:positionV>
            <wp:extent cx="67055" cy="18287"/>
            <wp:effectExtent l="0" t="0" r="0" b="0"/>
            <wp:wrapNone/>
            <wp:docPr id="1007" name="image60.png" descr=""/>
            <wp:cNvGraphicFramePr>
              <a:graphicFrameLocks noChangeAspect="1"/>
            </wp:cNvGraphicFramePr>
            <a:graphic>
              <a:graphicData uri="http://schemas.openxmlformats.org/drawingml/2006/picture">
                <pic:pic>
                  <pic:nvPicPr>
                    <pic:cNvPr id="1008" name="image60.png"/>
                    <pic:cNvPicPr/>
                  </pic:nvPicPr>
                  <pic:blipFill>
                    <a:blip r:embed="rId136" cstate="print"/>
                    <a:stretch>
                      <a:fillRect/>
                    </a:stretch>
                  </pic:blipFill>
                  <pic:spPr>
                    <a:xfrm>
                      <a:off x="0" y="0"/>
                      <a:ext cx="67055" cy="18287"/>
                    </a:xfrm>
                    <a:prstGeom prst="rect">
                      <a:avLst/>
                    </a:prstGeom>
                  </pic:spPr>
                </pic:pic>
              </a:graphicData>
            </a:graphic>
          </wp:anchor>
        </w:drawing>
      </w:r>
      <w:r>
        <w:rPr/>
        <w:drawing>
          <wp:anchor distT="0" distB="0" distL="0" distR="0" allowOverlap="1" layoutInCell="1" locked="0" behindDoc="0" simplePos="0" relativeHeight="14800">
            <wp:simplePos x="0" y="0"/>
            <wp:positionH relativeFrom="page">
              <wp:posOffset>-1587</wp:posOffset>
            </wp:positionH>
            <wp:positionV relativeFrom="paragraph">
              <wp:posOffset>23125</wp:posOffset>
            </wp:positionV>
            <wp:extent cx="136525" cy="155575"/>
            <wp:effectExtent l="0" t="0" r="0" b="0"/>
            <wp:wrapNone/>
            <wp:docPr id="1009" name="image13.png" descr=""/>
            <wp:cNvGraphicFramePr>
              <a:graphicFrameLocks noChangeAspect="1"/>
            </wp:cNvGraphicFramePr>
            <a:graphic>
              <a:graphicData uri="http://schemas.openxmlformats.org/drawingml/2006/picture">
                <pic:pic>
                  <pic:nvPicPr>
                    <pic:cNvPr id="1010" name="image13.png"/>
                    <pic:cNvPicPr/>
                  </pic:nvPicPr>
                  <pic:blipFill>
                    <a:blip r:embed="rId18" cstate="print"/>
                    <a:stretch>
                      <a:fillRect/>
                    </a:stretch>
                  </pic:blipFill>
                  <pic:spPr>
                    <a:xfrm>
                      <a:off x="0" y="0"/>
                      <a:ext cx="136525" cy="155575"/>
                    </a:xfrm>
                    <a:prstGeom prst="rect">
                      <a:avLst/>
                    </a:prstGeom>
                  </pic:spPr>
                </pic:pic>
              </a:graphicData>
            </a:graphic>
          </wp:anchor>
        </w:drawing>
      </w:r>
      <w:r>
        <w:rPr/>
        <w:drawing>
          <wp:anchor distT="0" distB="0" distL="0" distR="0" allowOverlap="1" layoutInCell="1" locked="0" behindDoc="0" simplePos="0" relativeHeight="14824">
            <wp:simplePos x="0" y="0"/>
            <wp:positionH relativeFrom="page">
              <wp:posOffset>7959026</wp:posOffset>
            </wp:positionH>
            <wp:positionV relativeFrom="paragraph">
              <wp:posOffset>23125</wp:posOffset>
            </wp:positionV>
            <wp:extent cx="135356" cy="155575"/>
            <wp:effectExtent l="0" t="0" r="0" b="0"/>
            <wp:wrapNone/>
            <wp:docPr id="1011" name="image14.png" descr=""/>
            <wp:cNvGraphicFramePr>
              <a:graphicFrameLocks noChangeAspect="1"/>
            </wp:cNvGraphicFramePr>
            <a:graphic>
              <a:graphicData uri="http://schemas.openxmlformats.org/drawingml/2006/picture">
                <pic:pic>
                  <pic:nvPicPr>
                    <pic:cNvPr id="1012" name="image14.png"/>
                    <pic:cNvPicPr/>
                  </pic:nvPicPr>
                  <pic:blipFill>
                    <a:blip r:embed="rId19" cstate="print"/>
                    <a:stretch>
                      <a:fillRect/>
                    </a:stretch>
                  </pic:blipFill>
                  <pic:spPr>
                    <a:xfrm>
                      <a:off x="0" y="0"/>
                      <a:ext cx="135356" cy="155575"/>
                    </a:xfrm>
                    <a:prstGeom prst="rect">
                      <a:avLst/>
                    </a:prstGeom>
                  </pic:spPr>
                </pic:pic>
              </a:graphicData>
            </a:graphic>
          </wp:anchor>
        </w:drawing>
      </w:r>
      <w:r>
        <w:rPr>
          <w:rFonts w:ascii="Times New Roman"/>
          <w:w w:val="110"/>
          <w:sz w:val="20"/>
        </w:rPr>
        <w:t>complying with Australian Accounting Standards and the Corporations Regulations 2001</w:t>
      </w:r>
    </w:p>
    <w:p>
      <w:pPr>
        <w:pStyle w:val="ListParagraph"/>
        <w:numPr>
          <w:ilvl w:val="0"/>
          <w:numId w:val="82"/>
        </w:numPr>
        <w:tabs>
          <w:tab w:pos="2199" w:val="left" w:leader="none"/>
        </w:tabs>
        <w:spacing w:line="252" w:lineRule="auto" w:before="67" w:after="0"/>
        <w:ind w:left="2198" w:right="1994" w:hanging="360"/>
        <w:jc w:val="left"/>
        <w:rPr>
          <w:rFonts w:ascii="Times New Roman"/>
          <w:sz w:val="20"/>
        </w:rPr>
      </w:pPr>
      <w:r>
        <w:rPr>
          <w:rFonts w:ascii="Times New Roman"/>
          <w:w w:val="105"/>
          <w:sz w:val="20"/>
        </w:rPr>
        <w:t>are in accordance with section 41B of the Public Finance and Audit Act 1983 (PF&amp;A Act) and the Public Finance and Audit Regulation  </w:t>
      </w:r>
      <w:r>
        <w:rPr>
          <w:rFonts w:ascii="Times New Roman"/>
          <w:spacing w:val="17"/>
          <w:w w:val="105"/>
          <w:sz w:val="20"/>
        </w:rPr>
        <w:t> </w:t>
      </w:r>
      <w:r>
        <w:rPr>
          <w:rFonts w:ascii="Times New Roman"/>
          <w:w w:val="105"/>
          <w:sz w:val="20"/>
        </w:rPr>
        <w:t>2015.</w:t>
      </w:r>
    </w:p>
    <w:p>
      <w:pPr>
        <w:pStyle w:val="BodyText"/>
        <w:spacing w:before="9"/>
        <w:rPr>
          <w:rFonts w:ascii="Times New Roman"/>
          <w:sz w:val="16"/>
        </w:rPr>
      </w:pPr>
    </w:p>
    <w:p>
      <w:pPr>
        <w:spacing w:before="0"/>
        <w:ind w:left="1838" w:right="0" w:firstLine="0"/>
        <w:jc w:val="left"/>
        <w:rPr>
          <w:rFonts w:ascii="Times New Roman"/>
          <w:sz w:val="20"/>
        </w:rPr>
      </w:pPr>
      <w:r>
        <w:rPr>
          <w:rFonts w:ascii="Times New Roman"/>
          <w:w w:val="105"/>
          <w:sz w:val="20"/>
        </w:rPr>
        <w:t>My opinion should be read in conjunction with the rest of this  </w:t>
      </w:r>
      <w:r>
        <w:rPr>
          <w:rFonts w:ascii="Times New Roman"/>
          <w:spacing w:val="51"/>
          <w:w w:val="105"/>
          <w:sz w:val="20"/>
        </w:rPr>
        <w:t> </w:t>
      </w:r>
      <w:r>
        <w:rPr>
          <w:rFonts w:ascii="Times New Roman"/>
          <w:w w:val="105"/>
          <w:sz w:val="20"/>
        </w:rPr>
        <w:t>report.</w:t>
      </w:r>
    </w:p>
    <w:p>
      <w:pPr>
        <w:spacing w:before="169"/>
        <w:ind w:left="1838" w:right="0" w:firstLine="0"/>
        <w:jc w:val="left"/>
        <w:rPr>
          <w:rFonts w:ascii="Times New Roman"/>
          <w:sz w:val="24"/>
        </w:rPr>
      </w:pPr>
      <w:r>
        <w:rPr>
          <w:rFonts w:ascii="Times New Roman"/>
          <w:w w:val="115"/>
          <w:sz w:val="24"/>
        </w:rPr>
        <w:t>Basis for Opinion</w:t>
      </w:r>
    </w:p>
    <w:p>
      <w:pPr>
        <w:spacing w:line="249" w:lineRule="auto" w:before="128"/>
        <w:ind w:left="1838" w:right="2033" w:firstLine="0"/>
        <w:jc w:val="left"/>
        <w:rPr>
          <w:rFonts w:ascii="Times New Roman" w:hAnsi="Times New Roman"/>
          <w:sz w:val="20"/>
        </w:rPr>
      </w:pPr>
      <w:r>
        <w:rPr>
          <w:rFonts w:ascii="Times New Roman" w:hAnsi="Times New Roman"/>
          <w:w w:val="105"/>
          <w:sz w:val="20"/>
        </w:rPr>
        <w:t>I conducted my audit in accordance with Australian Auditing Standards. My responsibilities under the standards are described in the ‘Auditor’s Responsibilities for the Audit of the Financial Statements’ section of my report.</w:t>
      </w:r>
    </w:p>
    <w:p>
      <w:pPr>
        <w:spacing w:before="171"/>
        <w:ind w:left="1838" w:right="0" w:firstLine="0"/>
        <w:jc w:val="left"/>
        <w:rPr>
          <w:rFonts w:ascii="Times New Roman"/>
          <w:sz w:val="20"/>
        </w:rPr>
      </w:pPr>
      <w:r>
        <w:rPr>
          <w:rFonts w:ascii="Times New Roman"/>
          <w:w w:val="105"/>
          <w:sz w:val="20"/>
        </w:rPr>
        <w:t>I am  independent  of  the Company in  accordance  with the requirements of the:</w:t>
      </w:r>
    </w:p>
    <w:p>
      <w:pPr>
        <w:pStyle w:val="BodyText"/>
        <w:spacing w:before="7"/>
        <w:rPr>
          <w:rFonts w:ascii="Times New Roman"/>
          <w:sz w:val="15"/>
        </w:rPr>
      </w:pPr>
    </w:p>
    <w:p>
      <w:pPr>
        <w:pStyle w:val="ListParagraph"/>
        <w:numPr>
          <w:ilvl w:val="0"/>
          <w:numId w:val="82"/>
        </w:numPr>
        <w:tabs>
          <w:tab w:pos="2199" w:val="left" w:leader="none"/>
        </w:tabs>
        <w:spacing w:line="240" w:lineRule="auto" w:before="1" w:after="0"/>
        <w:ind w:left="2198" w:right="0" w:hanging="360"/>
        <w:jc w:val="left"/>
        <w:rPr>
          <w:rFonts w:ascii="Times New Roman"/>
          <w:sz w:val="20"/>
        </w:rPr>
      </w:pPr>
      <w:r>
        <w:rPr>
          <w:rFonts w:ascii="Times New Roman"/>
          <w:w w:val="105"/>
          <w:sz w:val="20"/>
        </w:rPr>
        <w:t>Australian  Auditing</w:t>
      </w:r>
      <w:r>
        <w:rPr>
          <w:rFonts w:ascii="Times New Roman"/>
          <w:spacing w:val="19"/>
          <w:w w:val="105"/>
          <w:sz w:val="20"/>
        </w:rPr>
        <w:t> </w:t>
      </w:r>
      <w:r>
        <w:rPr>
          <w:rFonts w:ascii="Times New Roman"/>
          <w:w w:val="105"/>
          <w:sz w:val="20"/>
        </w:rPr>
        <w:t>Standards</w:t>
      </w:r>
    </w:p>
    <w:p>
      <w:pPr>
        <w:pStyle w:val="ListParagraph"/>
        <w:numPr>
          <w:ilvl w:val="0"/>
          <w:numId w:val="82"/>
        </w:numPr>
        <w:tabs>
          <w:tab w:pos="2199" w:val="left" w:leader="none"/>
        </w:tabs>
        <w:spacing w:line="240" w:lineRule="auto" w:before="67" w:after="0"/>
        <w:ind w:left="2198" w:right="0" w:hanging="360"/>
        <w:jc w:val="left"/>
        <w:rPr>
          <w:rFonts w:ascii="Times New Roman"/>
          <w:sz w:val="20"/>
        </w:rPr>
      </w:pPr>
      <w:r>
        <w:rPr>
          <w:rFonts w:ascii="Times New Roman"/>
          <w:w w:val="110"/>
          <w:sz w:val="20"/>
        </w:rPr>
        <w:t>Corporations Act</w:t>
      </w:r>
      <w:r>
        <w:rPr>
          <w:rFonts w:ascii="Times New Roman"/>
          <w:spacing w:val="-38"/>
          <w:w w:val="110"/>
          <w:sz w:val="20"/>
        </w:rPr>
        <w:t> </w:t>
      </w:r>
      <w:r>
        <w:rPr>
          <w:rFonts w:ascii="Times New Roman"/>
          <w:w w:val="110"/>
          <w:sz w:val="20"/>
        </w:rPr>
        <w:t>2001</w:t>
      </w:r>
    </w:p>
    <w:p>
      <w:pPr>
        <w:pStyle w:val="ListParagraph"/>
        <w:numPr>
          <w:ilvl w:val="0"/>
          <w:numId w:val="82"/>
        </w:numPr>
        <w:tabs>
          <w:tab w:pos="2199" w:val="left" w:leader="none"/>
        </w:tabs>
        <w:spacing w:line="252" w:lineRule="auto" w:before="70" w:after="0"/>
        <w:ind w:left="2198" w:right="2982" w:hanging="360"/>
        <w:jc w:val="left"/>
        <w:rPr>
          <w:rFonts w:ascii="Times New Roman" w:hAnsi="Times New Roman"/>
          <w:sz w:val="20"/>
        </w:rPr>
      </w:pPr>
      <w:r>
        <w:rPr>
          <w:rFonts w:ascii="Times New Roman" w:hAnsi="Times New Roman"/>
          <w:w w:val="105"/>
          <w:sz w:val="20"/>
        </w:rPr>
        <w:t>Accounting Professional and Ethical Standards Board’s APES 110 ‘Code of Ethics for Professional  Accountants’  (APES</w:t>
      </w:r>
      <w:r>
        <w:rPr>
          <w:rFonts w:ascii="Times New Roman" w:hAnsi="Times New Roman"/>
          <w:spacing w:val="15"/>
          <w:w w:val="105"/>
          <w:sz w:val="20"/>
        </w:rPr>
        <w:t> </w:t>
      </w:r>
      <w:r>
        <w:rPr>
          <w:rFonts w:ascii="Times New Roman" w:hAnsi="Times New Roman"/>
          <w:w w:val="105"/>
          <w:sz w:val="20"/>
        </w:rPr>
        <w:t>110).</w:t>
      </w:r>
    </w:p>
    <w:p>
      <w:pPr>
        <w:pStyle w:val="BodyText"/>
        <w:rPr>
          <w:rFonts w:ascii="Times New Roman"/>
          <w:sz w:val="17"/>
        </w:rPr>
      </w:pPr>
    </w:p>
    <w:p>
      <w:pPr>
        <w:spacing w:before="0"/>
        <w:ind w:left="1838" w:right="0" w:firstLine="0"/>
        <w:jc w:val="left"/>
        <w:rPr>
          <w:rFonts w:ascii="Times New Roman"/>
          <w:sz w:val="20"/>
        </w:rPr>
      </w:pPr>
      <w:r>
        <w:rPr>
          <w:rFonts w:ascii="Times New Roman"/>
          <w:w w:val="105"/>
          <w:sz w:val="20"/>
        </w:rPr>
        <w:t>I have also fulfilled my other ethical responsibilities    in accordance with APES 110.</w:t>
      </w:r>
    </w:p>
    <w:p>
      <w:pPr>
        <w:pStyle w:val="BodyText"/>
        <w:spacing w:before="10"/>
        <w:rPr>
          <w:rFonts w:ascii="Times New Roman"/>
          <w:sz w:val="15"/>
        </w:rPr>
      </w:pPr>
    </w:p>
    <w:p>
      <w:pPr>
        <w:spacing w:line="247" w:lineRule="auto" w:before="0"/>
        <w:ind w:left="1838" w:right="2216" w:firstLine="0"/>
        <w:jc w:val="left"/>
        <w:rPr>
          <w:rFonts w:ascii="Times New Roman" w:hAnsi="Times New Roman"/>
          <w:sz w:val="20"/>
        </w:rPr>
      </w:pPr>
      <w:r>
        <w:rPr>
          <w:rFonts w:ascii="Times New Roman" w:hAnsi="Times New Roman"/>
          <w:w w:val="105"/>
          <w:sz w:val="20"/>
        </w:rPr>
        <w:t>The PF&amp;A Act further promotes independence by ensuring the Auditor–General and the Audit Office   of New South Wales are not compromised in their roles   </w:t>
      </w:r>
      <w:r>
        <w:rPr>
          <w:rFonts w:ascii="Times New Roman" w:hAnsi="Times New Roman"/>
          <w:spacing w:val="27"/>
          <w:w w:val="105"/>
          <w:sz w:val="20"/>
        </w:rPr>
        <w:t> </w:t>
      </w:r>
      <w:r>
        <w:rPr>
          <w:rFonts w:ascii="Times New Roman" w:hAnsi="Times New Roman"/>
          <w:w w:val="105"/>
          <w:sz w:val="20"/>
        </w:rPr>
        <w:t>by:</w:t>
      </w:r>
    </w:p>
    <w:p>
      <w:pPr>
        <w:pStyle w:val="ListParagraph"/>
        <w:numPr>
          <w:ilvl w:val="0"/>
          <w:numId w:val="82"/>
        </w:numPr>
        <w:tabs>
          <w:tab w:pos="2199" w:val="left" w:leader="none"/>
        </w:tabs>
        <w:spacing w:line="240" w:lineRule="auto" w:before="176" w:after="0"/>
        <w:ind w:left="2198" w:right="0" w:hanging="360"/>
        <w:jc w:val="left"/>
        <w:rPr>
          <w:rFonts w:ascii="Times New Roman" w:hAnsi="Times New Roman"/>
          <w:sz w:val="20"/>
        </w:rPr>
      </w:pPr>
      <w:r>
        <w:rPr>
          <w:rFonts w:ascii="Times New Roman" w:hAnsi="Times New Roman"/>
          <w:w w:val="105"/>
          <w:sz w:val="20"/>
        </w:rPr>
        <w:t>providing</w:t>
      </w:r>
      <w:r>
        <w:rPr>
          <w:rFonts w:ascii="Times New Roman" w:hAnsi="Times New Roman"/>
          <w:spacing w:val="28"/>
          <w:w w:val="105"/>
          <w:sz w:val="20"/>
        </w:rPr>
        <w:t> </w:t>
      </w:r>
      <w:r>
        <w:rPr>
          <w:rFonts w:ascii="Times New Roman" w:hAnsi="Times New Roman"/>
          <w:w w:val="105"/>
          <w:sz w:val="20"/>
        </w:rPr>
        <w:t>that</w:t>
      </w:r>
      <w:r>
        <w:rPr>
          <w:rFonts w:ascii="Times New Roman" w:hAnsi="Times New Roman"/>
          <w:spacing w:val="29"/>
          <w:w w:val="105"/>
          <w:sz w:val="20"/>
        </w:rPr>
        <w:t> </w:t>
      </w:r>
      <w:r>
        <w:rPr>
          <w:rFonts w:ascii="Times New Roman" w:hAnsi="Times New Roman"/>
          <w:w w:val="105"/>
          <w:sz w:val="20"/>
        </w:rPr>
        <w:t>only</w:t>
      </w:r>
      <w:r>
        <w:rPr>
          <w:rFonts w:ascii="Times New Roman" w:hAnsi="Times New Roman"/>
          <w:spacing w:val="23"/>
          <w:w w:val="105"/>
          <w:sz w:val="20"/>
        </w:rPr>
        <w:t> </w:t>
      </w:r>
      <w:r>
        <w:rPr>
          <w:rFonts w:ascii="Times New Roman" w:hAnsi="Times New Roman"/>
          <w:w w:val="105"/>
          <w:sz w:val="20"/>
        </w:rPr>
        <w:t>Parliament,</w:t>
      </w:r>
      <w:r>
        <w:rPr>
          <w:rFonts w:ascii="Times New Roman" w:hAnsi="Times New Roman"/>
          <w:spacing w:val="29"/>
          <w:w w:val="105"/>
          <w:sz w:val="20"/>
        </w:rPr>
        <w:t> </w:t>
      </w:r>
      <w:r>
        <w:rPr>
          <w:rFonts w:ascii="Times New Roman" w:hAnsi="Times New Roman"/>
          <w:w w:val="105"/>
          <w:sz w:val="20"/>
        </w:rPr>
        <w:t>and</w:t>
      </w:r>
      <w:r>
        <w:rPr>
          <w:rFonts w:ascii="Times New Roman" w:hAnsi="Times New Roman"/>
          <w:spacing w:val="28"/>
          <w:w w:val="105"/>
          <w:sz w:val="20"/>
        </w:rPr>
        <w:t> </w:t>
      </w:r>
      <w:r>
        <w:rPr>
          <w:rFonts w:ascii="Times New Roman" w:hAnsi="Times New Roman"/>
          <w:w w:val="105"/>
          <w:sz w:val="20"/>
        </w:rPr>
        <w:t>not</w:t>
      </w:r>
      <w:r>
        <w:rPr>
          <w:rFonts w:ascii="Times New Roman" w:hAnsi="Times New Roman"/>
          <w:spacing w:val="29"/>
          <w:w w:val="105"/>
          <w:sz w:val="20"/>
        </w:rPr>
        <w:t> </w:t>
      </w:r>
      <w:r>
        <w:rPr>
          <w:rFonts w:ascii="Times New Roman" w:hAnsi="Times New Roman"/>
          <w:w w:val="105"/>
          <w:sz w:val="20"/>
        </w:rPr>
        <w:t>the</w:t>
      </w:r>
      <w:r>
        <w:rPr>
          <w:rFonts w:ascii="Times New Roman" w:hAnsi="Times New Roman"/>
          <w:spacing w:val="29"/>
          <w:w w:val="105"/>
          <w:sz w:val="20"/>
        </w:rPr>
        <w:t> </w:t>
      </w:r>
      <w:r>
        <w:rPr>
          <w:rFonts w:ascii="Times New Roman" w:hAnsi="Times New Roman"/>
          <w:w w:val="105"/>
          <w:sz w:val="20"/>
        </w:rPr>
        <w:t>executive</w:t>
      </w:r>
      <w:r>
        <w:rPr>
          <w:rFonts w:ascii="Times New Roman" w:hAnsi="Times New Roman"/>
          <w:spacing w:val="32"/>
          <w:w w:val="105"/>
          <w:sz w:val="20"/>
        </w:rPr>
        <w:t> </w:t>
      </w:r>
      <w:r>
        <w:rPr>
          <w:rFonts w:ascii="Times New Roman" w:hAnsi="Times New Roman"/>
          <w:w w:val="105"/>
          <w:sz w:val="20"/>
        </w:rPr>
        <w:t>government,</w:t>
      </w:r>
      <w:r>
        <w:rPr>
          <w:rFonts w:ascii="Times New Roman" w:hAnsi="Times New Roman"/>
          <w:spacing w:val="26"/>
          <w:w w:val="105"/>
          <w:sz w:val="20"/>
        </w:rPr>
        <w:t> </w:t>
      </w:r>
      <w:r>
        <w:rPr>
          <w:rFonts w:ascii="Times New Roman" w:hAnsi="Times New Roman"/>
          <w:w w:val="105"/>
          <w:sz w:val="20"/>
        </w:rPr>
        <w:t>can</w:t>
      </w:r>
      <w:r>
        <w:rPr>
          <w:rFonts w:ascii="Times New Roman" w:hAnsi="Times New Roman"/>
          <w:spacing w:val="26"/>
          <w:w w:val="105"/>
          <w:sz w:val="20"/>
        </w:rPr>
        <w:t> </w:t>
      </w:r>
      <w:r>
        <w:rPr>
          <w:rFonts w:ascii="Times New Roman" w:hAnsi="Times New Roman"/>
          <w:w w:val="105"/>
          <w:sz w:val="20"/>
        </w:rPr>
        <w:t>remove</w:t>
      </w:r>
      <w:r>
        <w:rPr>
          <w:rFonts w:ascii="Times New Roman" w:hAnsi="Times New Roman"/>
          <w:spacing w:val="26"/>
          <w:w w:val="105"/>
          <w:sz w:val="20"/>
        </w:rPr>
        <w:t> </w:t>
      </w:r>
      <w:r>
        <w:rPr>
          <w:rFonts w:ascii="Times New Roman" w:hAnsi="Times New Roman"/>
          <w:w w:val="105"/>
          <w:sz w:val="20"/>
        </w:rPr>
        <w:t>an</w:t>
      </w:r>
      <w:r>
        <w:rPr>
          <w:rFonts w:ascii="Times New Roman" w:hAnsi="Times New Roman"/>
          <w:spacing w:val="25"/>
          <w:w w:val="105"/>
          <w:sz w:val="20"/>
        </w:rPr>
        <w:t> </w:t>
      </w:r>
      <w:r>
        <w:rPr>
          <w:rFonts w:ascii="Times New Roman" w:hAnsi="Times New Roman"/>
          <w:w w:val="105"/>
          <w:sz w:val="20"/>
        </w:rPr>
        <w:t>Auditor–General</w:t>
      </w:r>
    </w:p>
    <w:p>
      <w:pPr>
        <w:pStyle w:val="ListParagraph"/>
        <w:numPr>
          <w:ilvl w:val="0"/>
          <w:numId w:val="82"/>
        </w:numPr>
        <w:tabs>
          <w:tab w:pos="2199" w:val="left" w:leader="none"/>
        </w:tabs>
        <w:spacing w:line="249" w:lineRule="auto" w:before="70" w:after="0"/>
        <w:ind w:left="2198" w:right="2017" w:hanging="360"/>
        <w:jc w:val="left"/>
        <w:rPr>
          <w:rFonts w:ascii="Times New Roman" w:hAnsi="Times New Roman"/>
          <w:sz w:val="20"/>
        </w:rPr>
      </w:pPr>
      <w:r>
        <w:rPr>
          <w:rFonts w:ascii="Times New Roman" w:hAnsi="Times New Roman"/>
          <w:w w:val="105"/>
          <w:sz w:val="20"/>
        </w:rPr>
        <w:t>mandating the Auditor–General as  auditor  of  public sector agencies,  but  precluding the  provision of  non-audit</w:t>
      </w:r>
      <w:r>
        <w:rPr>
          <w:rFonts w:ascii="Times New Roman" w:hAnsi="Times New Roman"/>
          <w:spacing w:val="24"/>
          <w:w w:val="105"/>
          <w:sz w:val="20"/>
        </w:rPr>
        <w:t> </w:t>
      </w:r>
      <w:r>
        <w:rPr>
          <w:rFonts w:ascii="Times New Roman" w:hAnsi="Times New Roman"/>
          <w:w w:val="105"/>
          <w:sz w:val="20"/>
        </w:rPr>
        <w:t>services.</w:t>
      </w:r>
    </w:p>
    <w:p>
      <w:pPr>
        <w:pStyle w:val="BodyText"/>
        <w:rPr>
          <w:rFonts w:ascii="Times New Roman"/>
          <w:sz w:val="17"/>
        </w:rPr>
      </w:pPr>
    </w:p>
    <w:p>
      <w:pPr>
        <w:spacing w:line="249" w:lineRule="auto" w:before="0"/>
        <w:ind w:left="1838" w:right="1831" w:firstLine="0"/>
        <w:jc w:val="left"/>
        <w:rPr>
          <w:rFonts w:ascii="Times New Roman" w:hAnsi="Times New Roman"/>
          <w:sz w:val="20"/>
        </w:rPr>
      </w:pPr>
      <w:r>
        <w:rPr/>
        <w:drawing>
          <wp:anchor distT="0" distB="0" distL="0" distR="0" allowOverlap="1" layoutInCell="1" locked="0" behindDoc="0" simplePos="0" relativeHeight="14728">
            <wp:simplePos x="0" y="0"/>
            <wp:positionH relativeFrom="page">
              <wp:posOffset>1167383</wp:posOffset>
            </wp:positionH>
            <wp:positionV relativeFrom="paragraph">
              <wp:posOffset>699209</wp:posOffset>
            </wp:positionV>
            <wp:extent cx="5753099" cy="195071"/>
            <wp:effectExtent l="0" t="0" r="0" b="0"/>
            <wp:wrapNone/>
            <wp:docPr id="1013" name="image61.jpeg" descr=""/>
            <wp:cNvGraphicFramePr>
              <a:graphicFrameLocks noChangeAspect="1"/>
            </wp:cNvGraphicFramePr>
            <a:graphic>
              <a:graphicData uri="http://schemas.openxmlformats.org/drawingml/2006/picture">
                <pic:pic>
                  <pic:nvPicPr>
                    <pic:cNvPr id="1014" name="image61.jpeg"/>
                    <pic:cNvPicPr/>
                  </pic:nvPicPr>
                  <pic:blipFill>
                    <a:blip r:embed="rId137" cstate="print"/>
                    <a:stretch>
                      <a:fillRect/>
                    </a:stretch>
                  </pic:blipFill>
                  <pic:spPr>
                    <a:xfrm>
                      <a:off x="0" y="0"/>
                      <a:ext cx="5753099" cy="195071"/>
                    </a:xfrm>
                    <a:prstGeom prst="rect">
                      <a:avLst/>
                    </a:prstGeom>
                  </pic:spPr>
                </pic:pic>
              </a:graphicData>
            </a:graphic>
          </wp:anchor>
        </w:drawing>
      </w:r>
      <w:r>
        <w:rPr>
          <w:rFonts w:ascii="Times New Roman" w:hAnsi="Times New Roman"/>
          <w:w w:val="110"/>
          <w:sz w:val="20"/>
        </w:rPr>
        <w:t>I confirm the independence declaration, required by the Corporations Act 2001, provided to the directors of the Company on 16 February 2017, would be in the same terms if provided to the directors as at the time of this Independent Auditor’s Report.</w:t>
      </w:r>
    </w:p>
    <w:p>
      <w:pPr>
        <w:spacing w:after="0" w:line="249" w:lineRule="auto"/>
        <w:jc w:val="left"/>
        <w:rPr>
          <w:rFonts w:ascii="Times New Roman" w:hAnsi="Times New Roman"/>
          <w:sz w:val="20"/>
        </w:rPr>
        <w:sectPr>
          <w:headerReference w:type="default" r:id="rId133"/>
          <w:pgSz w:w="12750" w:h="17680"/>
          <w:pgMar w:header="0" w:footer="927" w:top="420" w:bottom="1120" w:left="0" w:right="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9"/>
        <w:rPr>
          <w:rFonts w:ascii="Times New Roman"/>
          <w:sz w:val="16"/>
        </w:rPr>
      </w:pPr>
    </w:p>
    <w:p>
      <w:pPr>
        <w:spacing w:before="69"/>
        <w:ind w:left="1838" w:right="0" w:firstLine="0"/>
        <w:jc w:val="left"/>
        <w:rPr>
          <w:rFonts w:ascii="Times New Roman" w:hAnsi="Times New Roman"/>
          <w:sz w:val="24"/>
        </w:rPr>
      </w:pPr>
      <w:r>
        <w:rPr>
          <w:rFonts w:ascii="Times New Roman" w:hAnsi="Times New Roman"/>
          <w:w w:val="120"/>
          <w:sz w:val="24"/>
        </w:rPr>
        <w:t>Directors’ Responsibility for the Financial Statements</w:t>
      </w:r>
    </w:p>
    <w:p>
      <w:pPr>
        <w:spacing w:line="249" w:lineRule="auto" w:before="126"/>
        <w:ind w:left="1838" w:right="1933" w:firstLine="0"/>
        <w:jc w:val="left"/>
        <w:rPr>
          <w:rFonts w:ascii="Times New Roman"/>
          <w:sz w:val="20"/>
        </w:rPr>
      </w:pPr>
      <w:r>
        <w:rPr>
          <w:rFonts w:ascii="Times New Roman"/>
          <w:w w:val="110"/>
          <w:sz w:val="20"/>
        </w:rPr>
        <w:t>The directors of the Company are responsible for the preparation and fair presentation of the financial statements in accordance with Australian Accounting Standards, the PF&amp;A Act and the Corporations Act 2001 and for such internal control as the directors determine is necessary to enable the preparation and fair presentation of the financial statements that are free from material misstatement, whether due to fraud or</w:t>
      </w:r>
      <w:r>
        <w:rPr>
          <w:rFonts w:ascii="Times New Roman"/>
          <w:spacing w:val="-10"/>
          <w:w w:val="110"/>
          <w:sz w:val="20"/>
        </w:rPr>
        <w:t> </w:t>
      </w:r>
      <w:r>
        <w:rPr>
          <w:rFonts w:ascii="Times New Roman"/>
          <w:w w:val="110"/>
          <w:sz w:val="20"/>
        </w:rPr>
        <w:t>error.</w:t>
      </w:r>
    </w:p>
    <w:p>
      <w:pPr>
        <w:spacing w:line="249" w:lineRule="auto" w:before="174"/>
        <w:ind w:left="1838" w:right="1862" w:firstLine="0"/>
        <w:jc w:val="left"/>
        <w:rPr>
          <w:rFonts w:ascii="Times New Roman" w:hAnsi="Times New Roman"/>
          <w:sz w:val="20"/>
        </w:rPr>
      </w:pPr>
      <w:r>
        <w:rPr>
          <w:rFonts w:ascii="Times New Roman" w:hAnsi="Times New Roman"/>
          <w:w w:val="115"/>
          <w:sz w:val="20"/>
        </w:rPr>
        <w:t>In</w:t>
      </w:r>
      <w:r>
        <w:rPr>
          <w:rFonts w:ascii="Times New Roman" w:hAnsi="Times New Roman"/>
          <w:spacing w:val="-23"/>
          <w:w w:val="115"/>
          <w:sz w:val="20"/>
        </w:rPr>
        <w:t> </w:t>
      </w:r>
      <w:r>
        <w:rPr>
          <w:rFonts w:ascii="Times New Roman" w:hAnsi="Times New Roman"/>
          <w:w w:val="115"/>
          <w:sz w:val="20"/>
        </w:rPr>
        <w:t>preparing</w:t>
      </w:r>
      <w:r>
        <w:rPr>
          <w:rFonts w:ascii="Times New Roman" w:hAnsi="Times New Roman"/>
          <w:spacing w:val="-22"/>
          <w:w w:val="115"/>
          <w:sz w:val="20"/>
        </w:rPr>
        <w:t> </w:t>
      </w:r>
      <w:r>
        <w:rPr>
          <w:rFonts w:ascii="Times New Roman" w:hAnsi="Times New Roman"/>
          <w:w w:val="115"/>
          <w:sz w:val="20"/>
        </w:rPr>
        <w:t>the</w:t>
      </w:r>
      <w:r>
        <w:rPr>
          <w:rFonts w:ascii="Times New Roman" w:hAnsi="Times New Roman"/>
          <w:spacing w:val="-23"/>
          <w:w w:val="115"/>
          <w:sz w:val="20"/>
        </w:rPr>
        <w:t> </w:t>
      </w:r>
      <w:r>
        <w:rPr>
          <w:rFonts w:ascii="Times New Roman" w:hAnsi="Times New Roman"/>
          <w:w w:val="115"/>
          <w:sz w:val="20"/>
        </w:rPr>
        <w:t>financial</w:t>
      </w:r>
      <w:r>
        <w:rPr>
          <w:rFonts w:ascii="Times New Roman" w:hAnsi="Times New Roman"/>
          <w:spacing w:val="-24"/>
          <w:w w:val="115"/>
          <w:sz w:val="20"/>
        </w:rPr>
        <w:t> </w:t>
      </w:r>
      <w:r>
        <w:rPr>
          <w:rFonts w:ascii="Times New Roman" w:hAnsi="Times New Roman"/>
          <w:w w:val="115"/>
          <w:sz w:val="20"/>
        </w:rPr>
        <w:t>statements,</w:t>
      </w:r>
      <w:r>
        <w:rPr>
          <w:rFonts w:ascii="Times New Roman" w:hAnsi="Times New Roman"/>
          <w:spacing w:val="-24"/>
          <w:w w:val="115"/>
          <w:sz w:val="20"/>
        </w:rPr>
        <w:t> </w:t>
      </w:r>
      <w:r>
        <w:rPr>
          <w:rFonts w:ascii="Times New Roman" w:hAnsi="Times New Roman"/>
          <w:w w:val="115"/>
          <w:sz w:val="20"/>
        </w:rPr>
        <w:t>the</w:t>
      </w:r>
      <w:r>
        <w:rPr>
          <w:rFonts w:ascii="Times New Roman" w:hAnsi="Times New Roman"/>
          <w:spacing w:val="-23"/>
          <w:w w:val="115"/>
          <w:sz w:val="20"/>
        </w:rPr>
        <w:t> </w:t>
      </w:r>
      <w:r>
        <w:rPr>
          <w:rFonts w:ascii="Times New Roman" w:hAnsi="Times New Roman"/>
          <w:w w:val="115"/>
          <w:sz w:val="20"/>
        </w:rPr>
        <w:t>directors</w:t>
      </w:r>
      <w:r>
        <w:rPr>
          <w:rFonts w:ascii="Times New Roman" w:hAnsi="Times New Roman"/>
          <w:spacing w:val="-22"/>
          <w:w w:val="115"/>
          <w:sz w:val="20"/>
        </w:rPr>
        <w:t> </w:t>
      </w:r>
      <w:r>
        <w:rPr>
          <w:rFonts w:ascii="Times New Roman" w:hAnsi="Times New Roman"/>
          <w:w w:val="115"/>
          <w:sz w:val="20"/>
        </w:rPr>
        <w:t>must</w:t>
      </w:r>
      <w:r>
        <w:rPr>
          <w:rFonts w:ascii="Times New Roman" w:hAnsi="Times New Roman"/>
          <w:spacing w:val="-24"/>
          <w:w w:val="115"/>
          <w:sz w:val="20"/>
        </w:rPr>
        <w:t> </w:t>
      </w:r>
      <w:r>
        <w:rPr>
          <w:rFonts w:ascii="Times New Roman" w:hAnsi="Times New Roman"/>
          <w:w w:val="115"/>
          <w:sz w:val="20"/>
        </w:rPr>
        <w:t>assess</w:t>
      </w:r>
      <w:r>
        <w:rPr>
          <w:rFonts w:ascii="Times New Roman" w:hAnsi="Times New Roman"/>
          <w:spacing w:val="-22"/>
          <w:w w:val="115"/>
          <w:sz w:val="20"/>
        </w:rPr>
        <w:t> </w:t>
      </w:r>
      <w:r>
        <w:rPr>
          <w:rFonts w:ascii="Times New Roman" w:hAnsi="Times New Roman"/>
          <w:w w:val="115"/>
          <w:sz w:val="20"/>
        </w:rPr>
        <w:t>the</w:t>
      </w:r>
      <w:r>
        <w:rPr>
          <w:rFonts w:ascii="Times New Roman" w:hAnsi="Times New Roman"/>
          <w:spacing w:val="-22"/>
          <w:w w:val="115"/>
          <w:sz w:val="20"/>
        </w:rPr>
        <w:t> </w:t>
      </w:r>
      <w:r>
        <w:rPr>
          <w:rFonts w:ascii="Times New Roman" w:hAnsi="Times New Roman"/>
          <w:w w:val="115"/>
          <w:sz w:val="20"/>
        </w:rPr>
        <w:t>Company’s</w:t>
      </w:r>
      <w:r>
        <w:rPr>
          <w:rFonts w:ascii="Times New Roman" w:hAnsi="Times New Roman"/>
          <w:spacing w:val="-21"/>
          <w:w w:val="115"/>
          <w:sz w:val="20"/>
        </w:rPr>
        <w:t> </w:t>
      </w:r>
      <w:r>
        <w:rPr>
          <w:rFonts w:ascii="Times New Roman" w:hAnsi="Times New Roman"/>
          <w:w w:val="115"/>
          <w:sz w:val="20"/>
        </w:rPr>
        <w:t>ability</w:t>
      </w:r>
      <w:r>
        <w:rPr>
          <w:rFonts w:ascii="Times New Roman" w:hAnsi="Times New Roman"/>
          <w:spacing w:val="-25"/>
          <w:w w:val="115"/>
          <w:sz w:val="20"/>
        </w:rPr>
        <w:t> </w:t>
      </w:r>
      <w:r>
        <w:rPr>
          <w:rFonts w:ascii="Times New Roman" w:hAnsi="Times New Roman"/>
          <w:w w:val="115"/>
          <w:sz w:val="20"/>
        </w:rPr>
        <w:t>to</w:t>
      </w:r>
      <w:r>
        <w:rPr>
          <w:rFonts w:ascii="Times New Roman" w:hAnsi="Times New Roman"/>
          <w:spacing w:val="-20"/>
          <w:w w:val="115"/>
          <w:sz w:val="20"/>
        </w:rPr>
        <w:t> </w:t>
      </w:r>
      <w:r>
        <w:rPr>
          <w:rFonts w:ascii="Times New Roman" w:hAnsi="Times New Roman"/>
          <w:w w:val="115"/>
          <w:sz w:val="20"/>
        </w:rPr>
        <w:t>continue</w:t>
      </w:r>
      <w:r>
        <w:rPr>
          <w:rFonts w:ascii="Times New Roman" w:hAnsi="Times New Roman"/>
          <w:spacing w:val="-23"/>
          <w:w w:val="115"/>
          <w:sz w:val="20"/>
        </w:rPr>
        <w:t> </w:t>
      </w:r>
      <w:r>
        <w:rPr>
          <w:rFonts w:ascii="Times New Roman" w:hAnsi="Times New Roman"/>
          <w:w w:val="115"/>
          <w:sz w:val="20"/>
        </w:rPr>
        <w:t>as</w:t>
      </w:r>
      <w:r>
        <w:rPr>
          <w:rFonts w:ascii="Times New Roman" w:hAnsi="Times New Roman"/>
          <w:spacing w:val="-22"/>
          <w:w w:val="115"/>
          <w:sz w:val="20"/>
        </w:rPr>
        <w:t> </w:t>
      </w:r>
      <w:r>
        <w:rPr>
          <w:rFonts w:ascii="Times New Roman" w:hAnsi="Times New Roman"/>
          <w:w w:val="115"/>
          <w:sz w:val="20"/>
        </w:rPr>
        <w:t>a going concern unless they intend to liquidate the Company or cease operations. The assessment must disclose, as applicable, matters related to going concern and the appropriateness of using the going</w:t>
      </w:r>
      <w:r>
        <w:rPr>
          <w:rFonts w:ascii="Times New Roman" w:hAnsi="Times New Roman"/>
          <w:spacing w:val="-33"/>
          <w:w w:val="115"/>
          <w:sz w:val="20"/>
        </w:rPr>
        <w:t> </w:t>
      </w:r>
      <w:r>
        <w:rPr>
          <w:rFonts w:ascii="Times New Roman" w:hAnsi="Times New Roman"/>
          <w:w w:val="115"/>
          <w:sz w:val="20"/>
        </w:rPr>
        <w:t>concern</w:t>
      </w:r>
      <w:r>
        <w:rPr>
          <w:rFonts w:ascii="Times New Roman" w:hAnsi="Times New Roman"/>
          <w:spacing w:val="-33"/>
          <w:w w:val="115"/>
          <w:sz w:val="20"/>
        </w:rPr>
        <w:t> </w:t>
      </w:r>
      <w:r>
        <w:rPr>
          <w:rFonts w:ascii="Times New Roman" w:hAnsi="Times New Roman"/>
          <w:w w:val="115"/>
          <w:sz w:val="20"/>
        </w:rPr>
        <w:t>basis</w:t>
      </w:r>
      <w:r>
        <w:rPr>
          <w:rFonts w:ascii="Times New Roman" w:hAnsi="Times New Roman"/>
          <w:spacing w:val="-33"/>
          <w:w w:val="115"/>
          <w:sz w:val="20"/>
        </w:rPr>
        <w:t> </w:t>
      </w:r>
      <w:r>
        <w:rPr>
          <w:rFonts w:ascii="Times New Roman" w:hAnsi="Times New Roman"/>
          <w:w w:val="115"/>
          <w:sz w:val="20"/>
        </w:rPr>
        <w:t>of</w:t>
      </w:r>
      <w:r>
        <w:rPr>
          <w:rFonts w:ascii="Times New Roman" w:hAnsi="Times New Roman"/>
          <w:spacing w:val="-32"/>
          <w:w w:val="115"/>
          <w:sz w:val="20"/>
        </w:rPr>
        <w:t> </w:t>
      </w:r>
      <w:r>
        <w:rPr>
          <w:rFonts w:ascii="Times New Roman" w:hAnsi="Times New Roman"/>
          <w:w w:val="115"/>
          <w:sz w:val="20"/>
        </w:rPr>
        <w:t>accounting.</w:t>
      </w:r>
    </w:p>
    <w:p>
      <w:pPr>
        <w:spacing w:before="160"/>
        <w:ind w:left="1838" w:right="0" w:firstLine="0"/>
        <w:jc w:val="left"/>
        <w:rPr>
          <w:rFonts w:ascii="Times New Roman" w:hAnsi="Times New Roman"/>
          <w:sz w:val="24"/>
        </w:rPr>
      </w:pPr>
      <w:r>
        <w:rPr>
          <w:rFonts w:ascii="Times New Roman" w:hAnsi="Times New Roman"/>
          <w:w w:val="115"/>
          <w:sz w:val="24"/>
        </w:rPr>
        <w:t>Auditor’s Responsibility for the Audit of the Financial </w:t>
      </w:r>
      <w:r>
        <w:rPr>
          <w:rFonts w:ascii="Times New Roman" w:hAnsi="Times New Roman"/>
          <w:spacing w:val="60"/>
          <w:w w:val="115"/>
          <w:sz w:val="24"/>
        </w:rPr>
        <w:t> </w:t>
      </w:r>
      <w:r>
        <w:rPr>
          <w:rFonts w:ascii="Times New Roman" w:hAnsi="Times New Roman"/>
          <w:w w:val="115"/>
          <w:sz w:val="24"/>
        </w:rPr>
        <w:t>Statements</w:t>
      </w:r>
    </w:p>
    <w:p>
      <w:pPr>
        <w:spacing w:before="123"/>
        <w:ind w:left="1838" w:right="0" w:firstLine="0"/>
        <w:jc w:val="left"/>
        <w:rPr>
          <w:rFonts w:ascii="Times New Roman"/>
          <w:sz w:val="20"/>
        </w:rPr>
      </w:pPr>
      <w:r>
        <w:rPr>
          <w:rFonts w:ascii="Times New Roman"/>
          <w:w w:val="105"/>
          <w:sz w:val="20"/>
        </w:rPr>
        <w:t>My objectives are to:</w:t>
      </w:r>
    </w:p>
    <w:p>
      <w:pPr>
        <w:pStyle w:val="BodyText"/>
        <w:spacing w:before="10"/>
        <w:rPr>
          <w:rFonts w:ascii="Times New Roman"/>
          <w:sz w:val="15"/>
        </w:rPr>
      </w:pPr>
    </w:p>
    <w:p>
      <w:pPr>
        <w:pStyle w:val="ListParagraph"/>
        <w:numPr>
          <w:ilvl w:val="0"/>
          <w:numId w:val="82"/>
        </w:numPr>
        <w:tabs>
          <w:tab w:pos="2405" w:val="left" w:leader="none"/>
        </w:tabs>
        <w:spacing w:line="249" w:lineRule="auto" w:before="0" w:after="0"/>
        <w:ind w:left="2404" w:right="2078" w:hanging="566"/>
        <w:jc w:val="left"/>
        <w:rPr>
          <w:rFonts w:ascii="Times New Roman"/>
          <w:sz w:val="20"/>
        </w:rPr>
      </w:pPr>
      <w:r>
        <w:rPr>
          <w:rFonts w:ascii="Times New Roman"/>
          <w:w w:val="110"/>
          <w:sz w:val="20"/>
        </w:rPr>
        <w:t>obtain reasonable assurance about whether the financial statements as a whole are free from material misstatement, whether due to fraud or</w:t>
      </w:r>
      <w:r>
        <w:rPr>
          <w:rFonts w:ascii="Times New Roman"/>
          <w:spacing w:val="-3"/>
          <w:w w:val="110"/>
          <w:sz w:val="20"/>
        </w:rPr>
        <w:t> </w:t>
      </w:r>
      <w:r>
        <w:rPr>
          <w:rFonts w:ascii="Times New Roman"/>
          <w:w w:val="110"/>
          <w:sz w:val="20"/>
        </w:rPr>
        <w:t>error</w:t>
      </w:r>
    </w:p>
    <w:p>
      <w:pPr>
        <w:pStyle w:val="ListParagraph"/>
        <w:numPr>
          <w:ilvl w:val="0"/>
          <w:numId w:val="82"/>
        </w:numPr>
        <w:tabs>
          <w:tab w:pos="2405" w:val="left" w:leader="none"/>
        </w:tabs>
        <w:spacing w:line="240" w:lineRule="auto" w:before="61" w:after="0"/>
        <w:ind w:left="2404" w:right="0" w:hanging="566"/>
        <w:jc w:val="left"/>
        <w:rPr>
          <w:rFonts w:ascii="Times New Roman" w:hAnsi="Times New Roman"/>
          <w:sz w:val="20"/>
        </w:rPr>
      </w:pPr>
      <w:r>
        <w:rPr>
          <w:rFonts w:ascii="Times New Roman" w:hAnsi="Times New Roman"/>
          <w:w w:val="110"/>
          <w:sz w:val="20"/>
        </w:rPr>
        <w:t>issue</w:t>
      </w:r>
      <w:r>
        <w:rPr>
          <w:rFonts w:ascii="Times New Roman" w:hAnsi="Times New Roman"/>
          <w:spacing w:val="-15"/>
          <w:w w:val="110"/>
          <w:sz w:val="20"/>
        </w:rPr>
        <w:t> </w:t>
      </w:r>
      <w:r>
        <w:rPr>
          <w:rFonts w:ascii="Times New Roman" w:hAnsi="Times New Roman"/>
          <w:w w:val="110"/>
          <w:sz w:val="20"/>
        </w:rPr>
        <w:t>an</w:t>
      </w:r>
      <w:r>
        <w:rPr>
          <w:rFonts w:ascii="Times New Roman" w:hAnsi="Times New Roman"/>
          <w:spacing w:val="-13"/>
          <w:w w:val="110"/>
          <w:sz w:val="20"/>
        </w:rPr>
        <w:t> </w:t>
      </w:r>
      <w:r>
        <w:rPr>
          <w:rFonts w:ascii="Times New Roman" w:hAnsi="Times New Roman"/>
          <w:w w:val="110"/>
          <w:sz w:val="20"/>
        </w:rPr>
        <w:t>Independent</w:t>
      </w:r>
      <w:r>
        <w:rPr>
          <w:rFonts w:ascii="Times New Roman" w:hAnsi="Times New Roman"/>
          <w:spacing w:val="-14"/>
          <w:w w:val="110"/>
          <w:sz w:val="20"/>
        </w:rPr>
        <w:t> </w:t>
      </w:r>
      <w:r>
        <w:rPr>
          <w:rFonts w:ascii="Times New Roman" w:hAnsi="Times New Roman"/>
          <w:w w:val="110"/>
          <w:sz w:val="20"/>
        </w:rPr>
        <w:t>Auditor’s</w:t>
      </w:r>
      <w:r>
        <w:rPr>
          <w:rFonts w:ascii="Times New Roman" w:hAnsi="Times New Roman"/>
          <w:spacing w:val="-15"/>
          <w:w w:val="110"/>
          <w:sz w:val="20"/>
        </w:rPr>
        <w:t> </w:t>
      </w:r>
      <w:r>
        <w:rPr>
          <w:rFonts w:ascii="Times New Roman" w:hAnsi="Times New Roman"/>
          <w:w w:val="110"/>
          <w:sz w:val="20"/>
        </w:rPr>
        <w:t>Report</w:t>
      </w:r>
      <w:r>
        <w:rPr>
          <w:rFonts w:ascii="Times New Roman" w:hAnsi="Times New Roman"/>
          <w:spacing w:val="-17"/>
          <w:w w:val="110"/>
          <w:sz w:val="20"/>
        </w:rPr>
        <w:t> </w:t>
      </w:r>
      <w:r>
        <w:rPr>
          <w:rFonts w:ascii="Times New Roman" w:hAnsi="Times New Roman"/>
          <w:w w:val="110"/>
          <w:sz w:val="20"/>
        </w:rPr>
        <w:t>including</w:t>
      </w:r>
      <w:r>
        <w:rPr>
          <w:rFonts w:ascii="Times New Roman" w:hAnsi="Times New Roman"/>
          <w:spacing w:val="-15"/>
          <w:w w:val="110"/>
          <w:sz w:val="20"/>
        </w:rPr>
        <w:t> </w:t>
      </w:r>
      <w:r>
        <w:rPr>
          <w:rFonts w:ascii="Times New Roman" w:hAnsi="Times New Roman"/>
          <w:spacing w:val="3"/>
          <w:w w:val="110"/>
          <w:sz w:val="20"/>
        </w:rPr>
        <w:t>my</w:t>
      </w:r>
      <w:r>
        <w:rPr>
          <w:rFonts w:ascii="Times New Roman" w:hAnsi="Times New Roman"/>
          <w:spacing w:val="-20"/>
          <w:w w:val="110"/>
          <w:sz w:val="20"/>
        </w:rPr>
        <w:t> </w:t>
      </w:r>
      <w:r>
        <w:rPr>
          <w:rFonts w:ascii="Times New Roman" w:hAnsi="Times New Roman"/>
          <w:w w:val="110"/>
          <w:sz w:val="20"/>
        </w:rPr>
        <w:t>opinion.</w:t>
      </w:r>
    </w:p>
    <w:p>
      <w:pPr>
        <w:pStyle w:val="BodyText"/>
        <w:spacing w:before="2"/>
        <w:rPr>
          <w:rFonts w:ascii="Times New Roman"/>
        </w:rPr>
      </w:pPr>
    </w:p>
    <w:p>
      <w:pPr>
        <w:spacing w:line="249" w:lineRule="auto" w:before="0"/>
        <w:ind w:left="1838" w:right="2351" w:firstLine="0"/>
        <w:jc w:val="left"/>
        <w:rPr>
          <w:rFonts w:ascii="Times New Roman"/>
          <w:sz w:val="20"/>
        </w:rPr>
      </w:pPr>
      <w:r>
        <w:rPr>
          <w:rFonts w:ascii="Times New Roman"/>
          <w:w w:val="110"/>
          <w:sz w:val="20"/>
        </w:rPr>
        <w:t>Reasonable assurance is a high level of assurance, but does not guarantee an audit conducted in accordance with Australian Auditing Standards will always detect material misstatements.</w:t>
      </w:r>
    </w:p>
    <w:p>
      <w:pPr>
        <w:spacing w:line="249" w:lineRule="auto" w:before="1"/>
        <w:ind w:left="1838" w:right="1858" w:firstLine="0"/>
        <w:jc w:val="left"/>
        <w:rPr>
          <w:rFonts w:ascii="Times New Roman"/>
          <w:sz w:val="20"/>
        </w:rPr>
      </w:pPr>
      <w:r>
        <w:rPr>
          <w:rFonts w:ascii="Times New Roman"/>
          <w:w w:val="110"/>
          <w:sz w:val="20"/>
        </w:rPr>
        <w:t>Misstatements</w:t>
      </w:r>
      <w:r>
        <w:rPr>
          <w:rFonts w:ascii="Times New Roman"/>
          <w:spacing w:val="-8"/>
          <w:w w:val="110"/>
          <w:sz w:val="20"/>
        </w:rPr>
        <w:t> </w:t>
      </w:r>
      <w:r>
        <w:rPr>
          <w:rFonts w:ascii="Times New Roman"/>
          <w:w w:val="110"/>
          <w:sz w:val="20"/>
        </w:rPr>
        <w:t>can</w:t>
      </w:r>
      <w:r>
        <w:rPr>
          <w:rFonts w:ascii="Times New Roman"/>
          <w:spacing w:val="-8"/>
          <w:w w:val="110"/>
          <w:sz w:val="20"/>
        </w:rPr>
        <w:t> </w:t>
      </w:r>
      <w:r>
        <w:rPr>
          <w:rFonts w:ascii="Times New Roman"/>
          <w:w w:val="110"/>
          <w:sz w:val="20"/>
        </w:rPr>
        <w:t>arise</w:t>
      </w:r>
      <w:r>
        <w:rPr>
          <w:rFonts w:ascii="Times New Roman"/>
          <w:spacing w:val="-8"/>
          <w:w w:val="110"/>
          <w:sz w:val="20"/>
        </w:rPr>
        <w:t> </w:t>
      </w:r>
      <w:r>
        <w:rPr>
          <w:rFonts w:ascii="Times New Roman"/>
          <w:w w:val="110"/>
          <w:sz w:val="20"/>
        </w:rPr>
        <w:t>from</w:t>
      </w:r>
      <w:r>
        <w:rPr>
          <w:rFonts w:ascii="Times New Roman"/>
          <w:spacing w:val="-6"/>
          <w:w w:val="110"/>
          <w:sz w:val="20"/>
        </w:rPr>
        <w:t> </w:t>
      </w:r>
      <w:r>
        <w:rPr>
          <w:rFonts w:ascii="Times New Roman"/>
          <w:w w:val="110"/>
          <w:sz w:val="20"/>
        </w:rPr>
        <w:t>fraud</w:t>
      </w:r>
      <w:r>
        <w:rPr>
          <w:rFonts w:ascii="Times New Roman"/>
          <w:spacing w:val="-8"/>
          <w:w w:val="110"/>
          <w:sz w:val="20"/>
        </w:rPr>
        <w:t> </w:t>
      </w:r>
      <w:r>
        <w:rPr>
          <w:rFonts w:ascii="Times New Roman"/>
          <w:w w:val="110"/>
          <w:sz w:val="20"/>
        </w:rPr>
        <w:t>or</w:t>
      </w:r>
      <w:r>
        <w:rPr>
          <w:rFonts w:ascii="Times New Roman"/>
          <w:spacing w:val="-7"/>
          <w:w w:val="110"/>
          <w:sz w:val="20"/>
        </w:rPr>
        <w:t> </w:t>
      </w:r>
      <w:r>
        <w:rPr>
          <w:rFonts w:ascii="Times New Roman"/>
          <w:w w:val="110"/>
          <w:sz w:val="20"/>
        </w:rPr>
        <w:t>error.</w:t>
      </w:r>
      <w:r>
        <w:rPr>
          <w:rFonts w:ascii="Times New Roman"/>
          <w:spacing w:val="-6"/>
          <w:w w:val="110"/>
          <w:sz w:val="20"/>
        </w:rPr>
        <w:t> </w:t>
      </w:r>
      <w:r>
        <w:rPr>
          <w:rFonts w:ascii="Times New Roman"/>
          <w:w w:val="110"/>
          <w:sz w:val="20"/>
        </w:rPr>
        <w:t>Misstatements</w:t>
      </w:r>
      <w:r>
        <w:rPr>
          <w:rFonts w:ascii="Times New Roman"/>
          <w:spacing w:val="-8"/>
          <w:w w:val="110"/>
          <w:sz w:val="20"/>
        </w:rPr>
        <w:t> </w:t>
      </w:r>
      <w:r>
        <w:rPr>
          <w:rFonts w:ascii="Times New Roman"/>
          <w:w w:val="110"/>
          <w:sz w:val="20"/>
        </w:rPr>
        <w:t>are</w:t>
      </w:r>
      <w:r>
        <w:rPr>
          <w:rFonts w:ascii="Times New Roman"/>
          <w:spacing w:val="-8"/>
          <w:w w:val="110"/>
          <w:sz w:val="20"/>
        </w:rPr>
        <w:t> </w:t>
      </w:r>
      <w:r>
        <w:rPr>
          <w:rFonts w:ascii="Times New Roman"/>
          <w:w w:val="110"/>
          <w:sz w:val="20"/>
        </w:rPr>
        <w:t>considered</w:t>
      </w:r>
      <w:r>
        <w:rPr>
          <w:rFonts w:ascii="Times New Roman"/>
          <w:spacing w:val="-8"/>
          <w:w w:val="110"/>
          <w:sz w:val="20"/>
        </w:rPr>
        <w:t> </w:t>
      </w:r>
      <w:r>
        <w:rPr>
          <w:rFonts w:ascii="Times New Roman"/>
          <w:w w:val="110"/>
          <w:sz w:val="20"/>
        </w:rPr>
        <w:t>material</w:t>
      </w:r>
      <w:r>
        <w:rPr>
          <w:rFonts w:ascii="Times New Roman"/>
          <w:spacing w:val="-8"/>
          <w:w w:val="110"/>
          <w:sz w:val="20"/>
        </w:rPr>
        <w:t> </w:t>
      </w:r>
      <w:r>
        <w:rPr>
          <w:rFonts w:ascii="Times New Roman"/>
          <w:w w:val="110"/>
          <w:sz w:val="20"/>
        </w:rPr>
        <w:t>if,</w:t>
      </w:r>
      <w:r>
        <w:rPr>
          <w:rFonts w:ascii="Times New Roman"/>
          <w:spacing w:val="-8"/>
          <w:w w:val="110"/>
          <w:sz w:val="20"/>
        </w:rPr>
        <w:t> </w:t>
      </w:r>
      <w:r>
        <w:rPr>
          <w:rFonts w:ascii="Times New Roman"/>
          <w:w w:val="110"/>
          <w:sz w:val="20"/>
        </w:rPr>
        <w:t>individually</w:t>
      </w:r>
      <w:r>
        <w:rPr>
          <w:rFonts w:ascii="Times New Roman"/>
          <w:spacing w:val="-11"/>
          <w:w w:val="110"/>
          <w:sz w:val="20"/>
        </w:rPr>
        <w:t> </w:t>
      </w:r>
      <w:r>
        <w:rPr>
          <w:rFonts w:ascii="Times New Roman"/>
          <w:w w:val="110"/>
          <w:sz w:val="20"/>
        </w:rPr>
        <w:t>or</w:t>
      </w:r>
      <w:r>
        <w:rPr>
          <w:rFonts w:ascii="Times New Roman"/>
          <w:spacing w:val="-4"/>
          <w:w w:val="110"/>
          <w:sz w:val="20"/>
        </w:rPr>
        <w:t> </w:t>
      </w:r>
      <w:r>
        <w:rPr>
          <w:rFonts w:ascii="Times New Roman"/>
          <w:w w:val="110"/>
          <w:sz w:val="20"/>
        </w:rPr>
        <w:t>in aggregate, they could reasonably be expected to influence the economic decisions users take based    on the financial</w:t>
      </w:r>
      <w:r>
        <w:rPr>
          <w:rFonts w:ascii="Times New Roman"/>
          <w:spacing w:val="19"/>
          <w:w w:val="110"/>
          <w:sz w:val="20"/>
        </w:rPr>
        <w:t> </w:t>
      </w:r>
      <w:r>
        <w:rPr>
          <w:rFonts w:ascii="Times New Roman"/>
          <w:w w:val="110"/>
          <w:sz w:val="20"/>
        </w:rPr>
        <w:t>statements.</w:t>
      </w:r>
    </w:p>
    <w:p>
      <w:pPr>
        <w:spacing w:line="249" w:lineRule="auto" w:before="174"/>
        <w:ind w:left="1838" w:right="2033" w:firstLine="0"/>
        <w:jc w:val="left"/>
        <w:rPr>
          <w:rFonts w:ascii="Times New Roman"/>
          <w:sz w:val="20"/>
        </w:rPr>
      </w:pPr>
      <w:r>
        <w:rPr>
          <w:rFonts w:ascii="Times New Roman"/>
          <w:w w:val="110"/>
          <w:sz w:val="20"/>
        </w:rPr>
        <w:t>A</w:t>
      </w:r>
      <w:r>
        <w:rPr>
          <w:rFonts w:ascii="Times New Roman"/>
          <w:spacing w:val="-11"/>
          <w:w w:val="110"/>
          <w:sz w:val="20"/>
        </w:rPr>
        <w:t> </w:t>
      </w:r>
      <w:r>
        <w:rPr>
          <w:rFonts w:ascii="Times New Roman"/>
          <w:w w:val="110"/>
          <w:sz w:val="20"/>
        </w:rPr>
        <w:t>description</w:t>
      </w:r>
      <w:r>
        <w:rPr>
          <w:rFonts w:ascii="Times New Roman"/>
          <w:spacing w:val="-11"/>
          <w:w w:val="110"/>
          <w:sz w:val="20"/>
        </w:rPr>
        <w:t> </w:t>
      </w:r>
      <w:r>
        <w:rPr>
          <w:rFonts w:ascii="Times New Roman"/>
          <w:w w:val="110"/>
          <w:sz w:val="20"/>
        </w:rPr>
        <w:t>of</w:t>
      </w:r>
      <w:r>
        <w:rPr>
          <w:rFonts w:ascii="Times New Roman"/>
          <w:spacing w:val="-9"/>
          <w:w w:val="110"/>
          <w:sz w:val="20"/>
        </w:rPr>
        <w:t> </w:t>
      </w:r>
      <w:r>
        <w:rPr>
          <w:rFonts w:ascii="Times New Roman"/>
          <w:spacing w:val="3"/>
          <w:w w:val="110"/>
          <w:sz w:val="20"/>
        </w:rPr>
        <w:t>my</w:t>
      </w:r>
      <w:r>
        <w:rPr>
          <w:rFonts w:ascii="Times New Roman"/>
          <w:spacing w:val="-16"/>
          <w:w w:val="110"/>
          <w:sz w:val="20"/>
        </w:rPr>
        <w:t> </w:t>
      </w:r>
      <w:r>
        <w:rPr>
          <w:rFonts w:ascii="Times New Roman"/>
          <w:w w:val="110"/>
          <w:sz w:val="20"/>
        </w:rPr>
        <w:t>responsibilities</w:t>
      </w:r>
      <w:r>
        <w:rPr>
          <w:rFonts w:ascii="Times New Roman"/>
          <w:spacing w:val="-11"/>
          <w:w w:val="110"/>
          <w:sz w:val="20"/>
        </w:rPr>
        <w:t> </w:t>
      </w:r>
      <w:r>
        <w:rPr>
          <w:rFonts w:ascii="Times New Roman"/>
          <w:w w:val="110"/>
          <w:sz w:val="20"/>
        </w:rPr>
        <w:t>for</w:t>
      </w:r>
      <w:r>
        <w:rPr>
          <w:rFonts w:ascii="Times New Roman"/>
          <w:spacing w:val="-11"/>
          <w:w w:val="110"/>
          <w:sz w:val="20"/>
        </w:rPr>
        <w:t> </w:t>
      </w:r>
      <w:r>
        <w:rPr>
          <w:rFonts w:ascii="Times New Roman"/>
          <w:w w:val="110"/>
          <w:sz w:val="20"/>
        </w:rPr>
        <w:t>the</w:t>
      </w:r>
      <w:r>
        <w:rPr>
          <w:rFonts w:ascii="Times New Roman"/>
          <w:spacing w:val="-9"/>
          <w:w w:val="110"/>
          <w:sz w:val="20"/>
        </w:rPr>
        <w:t> </w:t>
      </w:r>
      <w:r>
        <w:rPr>
          <w:rFonts w:ascii="Times New Roman"/>
          <w:w w:val="110"/>
          <w:sz w:val="20"/>
        </w:rPr>
        <w:t>audit</w:t>
      </w:r>
      <w:r>
        <w:rPr>
          <w:rFonts w:ascii="Times New Roman"/>
          <w:spacing w:val="-9"/>
          <w:w w:val="110"/>
          <w:sz w:val="20"/>
        </w:rPr>
        <w:t> </w:t>
      </w:r>
      <w:r>
        <w:rPr>
          <w:rFonts w:ascii="Times New Roman"/>
          <w:w w:val="110"/>
          <w:sz w:val="20"/>
        </w:rPr>
        <w:t>of</w:t>
      </w:r>
      <w:r>
        <w:rPr>
          <w:rFonts w:ascii="Times New Roman"/>
          <w:spacing w:val="-9"/>
          <w:w w:val="110"/>
          <w:sz w:val="20"/>
        </w:rPr>
        <w:t> </w:t>
      </w:r>
      <w:r>
        <w:rPr>
          <w:rFonts w:ascii="Times New Roman"/>
          <w:w w:val="110"/>
          <w:sz w:val="20"/>
        </w:rPr>
        <w:t>the</w:t>
      </w:r>
      <w:r>
        <w:rPr>
          <w:rFonts w:ascii="Times New Roman"/>
          <w:spacing w:val="-9"/>
          <w:w w:val="110"/>
          <w:sz w:val="20"/>
        </w:rPr>
        <w:t> </w:t>
      </w:r>
      <w:r>
        <w:rPr>
          <w:rFonts w:ascii="Times New Roman"/>
          <w:w w:val="110"/>
          <w:sz w:val="20"/>
        </w:rPr>
        <w:t>financial</w:t>
      </w:r>
      <w:r>
        <w:rPr>
          <w:rFonts w:ascii="Times New Roman"/>
          <w:spacing w:val="-12"/>
          <w:w w:val="110"/>
          <w:sz w:val="20"/>
        </w:rPr>
        <w:t> </w:t>
      </w:r>
      <w:r>
        <w:rPr>
          <w:rFonts w:ascii="Times New Roman"/>
          <w:w w:val="110"/>
          <w:sz w:val="20"/>
        </w:rPr>
        <w:t>statements</w:t>
      </w:r>
      <w:r>
        <w:rPr>
          <w:rFonts w:ascii="Times New Roman"/>
          <w:spacing w:val="-11"/>
          <w:w w:val="110"/>
          <w:sz w:val="20"/>
        </w:rPr>
        <w:t> </w:t>
      </w:r>
      <w:r>
        <w:rPr>
          <w:rFonts w:ascii="Times New Roman"/>
          <w:w w:val="110"/>
          <w:sz w:val="20"/>
        </w:rPr>
        <w:t>is</w:t>
      </w:r>
      <w:r>
        <w:rPr>
          <w:rFonts w:ascii="Times New Roman"/>
          <w:spacing w:val="-11"/>
          <w:w w:val="110"/>
          <w:sz w:val="20"/>
        </w:rPr>
        <w:t> </w:t>
      </w:r>
      <w:r>
        <w:rPr>
          <w:rFonts w:ascii="Times New Roman"/>
          <w:w w:val="110"/>
          <w:sz w:val="20"/>
        </w:rPr>
        <w:t>located</w:t>
      </w:r>
      <w:r>
        <w:rPr>
          <w:rFonts w:ascii="Times New Roman"/>
          <w:spacing w:val="-11"/>
          <w:w w:val="110"/>
          <w:sz w:val="20"/>
        </w:rPr>
        <w:t> </w:t>
      </w:r>
      <w:r>
        <w:rPr>
          <w:rFonts w:ascii="Times New Roman"/>
          <w:w w:val="110"/>
          <w:sz w:val="20"/>
        </w:rPr>
        <w:t>at</w:t>
      </w:r>
      <w:r>
        <w:rPr>
          <w:rFonts w:ascii="Times New Roman"/>
          <w:spacing w:val="-9"/>
          <w:w w:val="110"/>
          <w:sz w:val="20"/>
        </w:rPr>
        <w:t> </w:t>
      </w:r>
      <w:r>
        <w:rPr>
          <w:rFonts w:ascii="Times New Roman"/>
          <w:w w:val="110"/>
          <w:sz w:val="20"/>
        </w:rPr>
        <w:t>the</w:t>
      </w:r>
      <w:r>
        <w:rPr>
          <w:rFonts w:ascii="Times New Roman"/>
          <w:spacing w:val="-8"/>
          <w:w w:val="110"/>
          <w:sz w:val="20"/>
        </w:rPr>
        <w:t> </w:t>
      </w:r>
      <w:r>
        <w:rPr>
          <w:rFonts w:ascii="Times New Roman"/>
          <w:w w:val="110"/>
          <w:sz w:val="20"/>
        </w:rPr>
        <w:t>Auditing and Assurance Standards Board website at:</w:t>
      </w:r>
      <w:r>
        <w:rPr>
          <w:rFonts w:ascii="Times New Roman"/>
          <w:spacing w:val="10"/>
          <w:w w:val="110"/>
          <w:sz w:val="20"/>
        </w:rPr>
        <w:t> </w:t>
      </w:r>
      <w:hyperlink r:id="rId138">
        <w:r>
          <w:rPr>
            <w:rFonts w:ascii="Times New Roman"/>
            <w:color w:val="808080"/>
            <w:w w:val="110"/>
            <w:sz w:val="20"/>
            <w:u w:val="single" w:color="808080"/>
          </w:rPr>
          <w:t>http://www.auasb.gov.au/auditors_files/ar3.pdf</w:t>
        </w:r>
      </w:hyperlink>
    </w:p>
    <w:p>
      <w:pPr>
        <w:spacing w:line="422" w:lineRule="auto" w:before="0"/>
        <w:ind w:left="1838" w:right="6586" w:firstLine="0"/>
        <w:jc w:val="left"/>
        <w:rPr>
          <w:rFonts w:ascii="Times New Roman" w:hAnsi="Times New Roman"/>
          <w:sz w:val="20"/>
        </w:rPr>
      </w:pPr>
      <w:r>
        <w:rPr/>
        <w:drawing>
          <wp:anchor distT="0" distB="0" distL="0" distR="0" allowOverlap="1" layoutInCell="1" locked="0" behindDoc="0" simplePos="0" relativeHeight="14872">
            <wp:simplePos x="0" y="0"/>
            <wp:positionH relativeFrom="page">
              <wp:posOffset>-1587</wp:posOffset>
            </wp:positionH>
            <wp:positionV relativeFrom="paragraph">
              <wp:posOffset>223658</wp:posOffset>
            </wp:positionV>
            <wp:extent cx="136525" cy="155575"/>
            <wp:effectExtent l="0" t="0" r="0" b="0"/>
            <wp:wrapNone/>
            <wp:docPr id="1015" name="image13.png" descr=""/>
            <wp:cNvGraphicFramePr>
              <a:graphicFrameLocks noChangeAspect="1"/>
            </wp:cNvGraphicFramePr>
            <a:graphic>
              <a:graphicData uri="http://schemas.openxmlformats.org/drawingml/2006/picture">
                <pic:pic>
                  <pic:nvPicPr>
                    <pic:cNvPr id="1016" name="image13.png"/>
                    <pic:cNvPicPr/>
                  </pic:nvPicPr>
                  <pic:blipFill>
                    <a:blip r:embed="rId18" cstate="print"/>
                    <a:stretch>
                      <a:fillRect/>
                    </a:stretch>
                  </pic:blipFill>
                  <pic:spPr>
                    <a:xfrm>
                      <a:off x="0" y="0"/>
                      <a:ext cx="136525" cy="155575"/>
                    </a:xfrm>
                    <a:prstGeom prst="rect">
                      <a:avLst/>
                    </a:prstGeom>
                  </pic:spPr>
                </pic:pic>
              </a:graphicData>
            </a:graphic>
          </wp:anchor>
        </w:drawing>
      </w:r>
      <w:r>
        <w:rPr/>
        <w:drawing>
          <wp:anchor distT="0" distB="0" distL="0" distR="0" allowOverlap="1" layoutInCell="1" locked="0" behindDoc="0" simplePos="0" relativeHeight="14896">
            <wp:simplePos x="0" y="0"/>
            <wp:positionH relativeFrom="page">
              <wp:posOffset>7959026</wp:posOffset>
            </wp:positionH>
            <wp:positionV relativeFrom="paragraph">
              <wp:posOffset>223658</wp:posOffset>
            </wp:positionV>
            <wp:extent cx="135356" cy="155575"/>
            <wp:effectExtent l="0" t="0" r="0" b="0"/>
            <wp:wrapNone/>
            <wp:docPr id="1017" name="image14.png" descr=""/>
            <wp:cNvGraphicFramePr>
              <a:graphicFrameLocks noChangeAspect="1"/>
            </wp:cNvGraphicFramePr>
            <a:graphic>
              <a:graphicData uri="http://schemas.openxmlformats.org/drawingml/2006/picture">
                <pic:pic>
                  <pic:nvPicPr>
                    <pic:cNvPr id="1018" name="image14.png"/>
                    <pic:cNvPicPr/>
                  </pic:nvPicPr>
                  <pic:blipFill>
                    <a:blip r:embed="rId19" cstate="print"/>
                    <a:stretch>
                      <a:fillRect/>
                    </a:stretch>
                  </pic:blipFill>
                  <pic:spPr>
                    <a:xfrm>
                      <a:off x="0" y="0"/>
                      <a:ext cx="135356" cy="155575"/>
                    </a:xfrm>
                    <a:prstGeom prst="rect">
                      <a:avLst/>
                    </a:prstGeom>
                  </pic:spPr>
                </pic:pic>
              </a:graphicData>
            </a:graphic>
          </wp:anchor>
        </w:drawing>
      </w:r>
      <w:r>
        <w:rPr>
          <w:rFonts w:ascii="Times New Roman" w:hAnsi="Times New Roman"/>
          <w:w w:val="105"/>
          <w:sz w:val="20"/>
        </w:rPr>
        <w:t>The description forms part of </w:t>
      </w:r>
      <w:r>
        <w:rPr>
          <w:rFonts w:ascii="Times New Roman" w:hAnsi="Times New Roman"/>
          <w:spacing w:val="2"/>
          <w:w w:val="105"/>
          <w:sz w:val="20"/>
        </w:rPr>
        <w:t>my </w:t>
      </w:r>
      <w:r>
        <w:rPr>
          <w:rFonts w:ascii="Times New Roman" w:hAnsi="Times New Roman"/>
          <w:w w:val="105"/>
          <w:sz w:val="20"/>
        </w:rPr>
        <w:t>auditor’s report. My opinion  does  not provide</w:t>
      </w:r>
      <w:r>
        <w:rPr>
          <w:rFonts w:ascii="Times New Roman" w:hAnsi="Times New Roman"/>
          <w:spacing w:val="50"/>
          <w:w w:val="105"/>
          <w:sz w:val="20"/>
        </w:rPr>
        <w:t> </w:t>
      </w:r>
      <w:r>
        <w:rPr>
          <w:rFonts w:ascii="Times New Roman" w:hAnsi="Times New Roman"/>
          <w:w w:val="105"/>
          <w:sz w:val="20"/>
        </w:rPr>
        <w:t>assurance:</w:t>
      </w:r>
    </w:p>
    <w:p>
      <w:pPr>
        <w:pStyle w:val="ListParagraph"/>
        <w:numPr>
          <w:ilvl w:val="0"/>
          <w:numId w:val="82"/>
        </w:numPr>
        <w:tabs>
          <w:tab w:pos="2405" w:val="left" w:leader="none"/>
        </w:tabs>
        <w:spacing w:line="240" w:lineRule="auto" w:before="17" w:after="0"/>
        <w:ind w:left="2404" w:right="0" w:hanging="566"/>
        <w:jc w:val="left"/>
        <w:rPr>
          <w:rFonts w:ascii="Times New Roman"/>
          <w:sz w:val="20"/>
        </w:rPr>
      </w:pPr>
      <w:r>
        <w:rPr>
          <w:rFonts w:ascii="Times New Roman"/>
          <w:w w:val="105"/>
          <w:sz w:val="20"/>
        </w:rPr>
        <w:t>that the Company carried out its activities effectively, efficiently and  </w:t>
      </w:r>
      <w:r>
        <w:rPr>
          <w:rFonts w:ascii="Times New Roman"/>
          <w:spacing w:val="46"/>
          <w:w w:val="105"/>
          <w:sz w:val="20"/>
        </w:rPr>
        <w:t> </w:t>
      </w:r>
      <w:r>
        <w:rPr>
          <w:rFonts w:ascii="Times New Roman"/>
          <w:w w:val="105"/>
          <w:sz w:val="20"/>
        </w:rPr>
        <w:t>economically</w:t>
      </w:r>
    </w:p>
    <w:p>
      <w:pPr>
        <w:pStyle w:val="ListParagraph"/>
        <w:numPr>
          <w:ilvl w:val="0"/>
          <w:numId w:val="82"/>
        </w:numPr>
        <w:tabs>
          <w:tab w:pos="2405" w:val="left" w:leader="none"/>
        </w:tabs>
        <w:spacing w:line="249" w:lineRule="auto" w:before="70" w:after="0"/>
        <w:ind w:left="2404" w:right="2855" w:hanging="566"/>
        <w:jc w:val="left"/>
        <w:rPr>
          <w:rFonts w:ascii="Times New Roman"/>
          <w:sz w:val="20"/>
        </w:rPr>
      </w:pPr>
      <w:r>
        <w:rPr>
          <w:rFonts w:ascii="Times New Roman"/>
          <w:w w:val="110"/>
          <w:sz w:val="20"/>
        </w:rPr>
        <w:t>about</w:t>
      </w:r>
      <w:r>
        <w:rPr>
          <w:rFonts w:ascii="Times New Roman"/>
          <w:spacing w:val="-8"/>
          <w:w w:val="110"/>
          <w:sz w:val="20"/>
        </w:rPr>
        <w:t> </w:t>
      </w:r>
      <w:r>
        <w:rPr>
          <w:rFonts w:ascii="Times New Roman"/>
          <w:w w:val="110"/>
          <w:sz w:val="20"/>
        </w:rPr>
        <w:t>the</w:t>
      </w:r>
      <w:r>
        <w:rPr>
          <w:rFonts w:ascii="Times New Roman"/>
          <w:spacing w:val="-7"/>
          <w:w w:val="110"/>
          <w:sz w:val="20"/>
        </w:rPr>
        <w:t> </w:t>
      </w:r>
      <w:r>
        <w:rPr>
          <w:rFonts w:ascii="Times New Roman"/>
          <w:w w:val="110"/>
          <w:sz w:val="20"/>
        </w:rPr>
        <w:t>security</w:t>
      </w:r>
      <w:r>
        <w:rPr>
          <w:rFonts w:ascii="Times New Roman"/>
          <w:spacing w:val="-11"/>
          <w:w w:val="110"/>
          <w:sz w:val="20"/>
        </w:rPr>
        <w:t> </w:t>
      </w:r>
      <w:r>
        <w:rPr>
          <w:rFonts w:ascii="Times New Roman"/>
          <w:w w:val="110"/>
          <w:sz w:val="20"/>
        </w:rPr>
        <w:t>and</w:t>
      </w:r>
      <w:r>
        <w:rPr>
          <w:rFonts w:ascii="Times New Roman"/>
          <w:spacing w:val="-7"/>
          <w:w w:val="110"/>
          <w:sz w:val="20"/>
        </w:rPr>
        <w:t> </w:t>
      </w:r>
      <w:r>
        <w:rPr>
          <w:rFonts w:ascii="Times New Roman"/>
          <w:w w:val="110"/>
          <w:sz w:val="20"/>
        </w:rPr>
        <w:t>controls</w:t>
      </w:r>
      <w:r>
        <w:rPr>
          <w:rFonts w:ascii="Times New Roman"/>
          <w:spacing w:val="-6"/>
          <w:w w:val="110"/>
          <w:sz w:val="20"/>
        </w:rPr>
        <w:t> </w:t>
      </w:r>
      <w:r>
        <w:rPr>
          <w:rFonts w:ascii="Times New Roman"/>
          <w:w w:val="110"/>
          <w:sz w:val="20"/>
        </w:rPr>
        <w:t>over</w:t>
      </w:r>
      <w:r>
        <w:rPr>
          <w:rFonts w:ascii="Times New Roman"/>
          <w:spacing w:val="-5"/>
          <w:w w:val="110"/>
          <w:sz w:val="20"/>
        </w:rPr>
        <w:t> </w:t>
      </w:r>
      <w:r>
        <w:rPr>
          <w:rFonts w:ascii="Times New Roman"/>
          <w:w w:val="110"/>
          <w:sz w:val="20"/>
        </w:rPr>
        <w:t>the</w:t>
      </w:r>
      <w:r>
        <w:rPr>
          <w:rFonts w:ascii="Times New Roman"/>
          <w:spacing w:val="-6"/>
          <w:w w:val="110"/>
          <w:sz w:val="20"/>
        </w:rPr>
        <w:t> </w:t>
      </w:r>
      <w:r>
        <w:rPr>
          <w:rFonts w:ascii="Times New Roman"/>
          <w:w w:val="110"/>
          <w:sz w:val="20"/>
        </w:rPr>
        <w:t>electronic</w:t>
      </w:r>
      <w:r>
        <w:rPr>
          <w:rFonts w:ascii="Times New Roman"/>
          <w:spacing w:val="-4"/>
          <w:w w:val="110"/>
          <w:sz w:val="20"/>
        </w:rPr>
        <w:t> </w:t>
      </w:r>
      <w:r>
        <w:rPr>
          <w:rFonts w:ascii="Times New Roman"/>
          <w:w w:val="110"/>
          <w:sz w:val="20"/>
        </w:rPr>
        <w:t>publication</w:t>
      </w:r>
      <w:r>
        <w:rPr>
          <w:rFonts w:ascii="Times New Roman"/>
          <w:spacing w:val="-6"/>
          <w:w w:val="110"/>
          <w:sz w:val="20"/>
        </w:rPr>
        <w:t> </w:t>
      </w:r>
      <w:r>
        <w:rPr>
          <w:rFonts w:ascii="Times New Roman"/>
          <w:w w:val="110"/>
          <w:sz w:val="20"/>
        </w:rPr>
        <w:t>of</w:t>
      </w:r>
      <w:r>
        <w:rPr>
          <w:rFonts w:ascii="Times New Roman"/>
          <w:spacing w:val="-4"/>
          <w:w w:val="110"/>
          <w:sz w:val="20"/>
        </w:rPr>
        <w:t> </w:t>
      </w:r>
      <w:r>
        <w:rPr>
          <w:rFonts w:ascii="Times New Roman"/>
          <w:w w:val="110"/>
          <w:sz w:val="20"/>
        </w:rPr>
        <w:t>the</w:t>
      </w:r>
      <w:r>
        <w:rPr>
          <w:rFonts w:ascii="Times New Roman"/>
          <w:spacing w:val="-7"/>
          <w:w w:val="110"/>
          <w:sz w:val="20"/>
        </w:rPr>
        <w:t> </w:t>
      </w:r>
      <w:r>
        <w:rPr>
          <w:rFonts w:ascii="Times New Roman"/>
          <w:w w:val="110"/>
          <w:sz w:val="20"/>
        </w:rPr>
        <w:t>audited</w:t>
      </w:r>
      <w:r>
        <w:rPr>
          <w:rFonts w:ascii="Times New Roman"/>
          <w:spacing w:val="-6"/>
          <w:w w:val="110"/>
          <w:sz w:val="20"/>
        </w:rPr>
        <w:t> </w:t>
      </w:r>
      <w:r>
        <w:rPr>
          <w:rFonts w:ascii="Times New Roman"/>
          <w:w w:val="110"/>
          <w:sz w:val="20"/>
        </w:rPr>
        <w:t>financial statements on any website where they may be  </w:t>
      </w:r>
      <w:r>
        <w:rPr>
          <w:rFonts w:ascii="Times New Roman"/>
          <w:spacing w:val="2"/>
          <w:w w:val="110"/>
          <w:sz w:val="20"/>
        </w:rPr>
        <w:t> </w:t>
      </w:r>
      <w:r>
        <w:rPr>
          <w:rFonts w:ascii="Times New Roman"/>
          <w:w w:val="110"/>
          <w:sz w:val="20"/>
        </w:rPr>
        <w:t>presented</w:t>
      </w:r>
    </w:p>
    <w:p>
      <w:pPr>
        <w:pStyle w:val="ListParagraph"/>
        <w:numPr>
          <w:ilvl w:val="0"/>
          <w:numId w:val="82"/>
        </w:numPr>
        <w:tabs>
          <w:tab w:pos="2405" w:val="left" w:leader="none"/>
        </w:tabs>
        <w:spacing w:line="240" w:lineRule="auto" w:before="61" w:after="0"/>
        <w:ind w:left="2404" w:right="0" w:hanging="566"/>
        <w:jc w:val="left"/>
        <w:rPr>
          <w:rFonts w:ascii="Times New Roman"/>
          <w:sz w:val="20"/>
        </w:rPr>
      </w:pPr>
      <w:r>
        <w:rPr>
          <w:rFonts w:ascii="Times New Roman"/>
          <w:w w:val="110"/>
          <w:sz w:val="20"/>
        </w:rPr>
        <w:t>about</w:t>
      </w:r>
      <w:r>
        <w:rPr>
          <w:rFonts w:ascii="Times New Roman"/>
          <w:spacing w:val="-9"/>
          <w:w w:val="110"/>
          <w:sz w:val="20"/>
        </w:rPr>
        <w:t> </w:t>
      </w:r>
      <w:r>
        <w:rPr>
          <w:rFonts w:ascii="Times New Roman"/>
          <w:w w:val="110"/>
          <w:sz w:val="20"/>
        </w:rPr>
        <w:t>any</w:t>
      </w:r>
      <w:r>
        <w:rPr>
          <w:rFonts w:ascii="Times New Roman"/>
          <w:spacing w:val="-9"/>
          <w:w w:val="110"/>
          <w:sz w:val="20"/>
        </w:rPr>
        <w:t> </w:t>
      </w:r>
      <w:r>
        <w:rPr>
          <w:rFonts w:ascii="Times New Roman"/>
          <w:w w:val="110"/>
          <w:sz w:val="20"/>
        </w:rPr>
        <w:t>other</w:t>
      </w:r>
      <w:r>
        <w:rPr>
          <w:rFonts w:ascii="Times New Roman"/>
          <w:spacing w:val="-3"/>
          <w:w w:val="110"/>
          <w:sz w:val="20"/>
        </w:rPr>
        <w:t> </w:t>
      </w:r>
      <w:r>
        <w:rPr>
          <w:rFonts w:ascii="Times New Roman"/>
          <w:w w:val="110"/>
          <w:sz w:val="20"/>
        </w:rPr>
        <w:t>information</w:t>
      </w:r>
      <w:r>
        <w:rPr>
          <w:rFonts w:ascii="Times New Roman"/>
          <w:spacing w:val="-6"/>
          <w:w w:val="110"/>
          <w:sz w:val="20"/>
        </w:rPr>
        <w:t> </w:t>
      </w:r>
      <w:r>
        <w:rPr>
          <w:rFonts w:ascii="Times New Roman"/>
          <w:w w:val="110"/>
          <w:sz w:val="20"/>
        </w:rPr>
        <w:t>which</w:t>
      </w:r>
      <w:r>
        <w:rPr>
          <w:rFonts w:ascii="Times New Roman"/>
          <w:spacing w:val="-7"/>
          <w:w w:val="110"/>
          <w:sz w:val="20"/>
        </w:rPr>
        <w:t> </w:t>
      </w:r>
      <w:r>
        <w:rPr>
          <w:rFonts w:ascii="Times New Roman"/>
          <w:w w:val="110"/>
          <w:sz w:val="20"/>
        </w:rPr>
        <w:t>may</w:t>
      </w:r>
      <w:r>
        <w:rPr>
          <w:rFonts w:ascii="Times New Roman"/>
          <w:spacing w:val="-10"/>
          <w:w w:val="110"/>
          <w:sz w:val="20"/>
        </w:rPr>
        <w:t> </w:t>
      </w:r>
      <w:r>
        <w:rPr>
          <w:rFonts w:ascii="Times New Roman"/>
          <w:w w:val="110"/>
          <w:sz w:val="20"/>
        </w:rPr>
        <w:t>have</w:t>
      </w:r>
      <w:r>
        <w:rPr>
          <w:rFonts w:ascii="Times New Roman"/>
          <w:spacing w:val="-8"/>
          <w:w w:val="110"/>
          <w:sz w:val="20"/>
        </w:rPr>
        <w:t> </w:t>
      </w:r>
      <w:r>
        <w:rPr>
          <w:rFonts w:ascii="Times New Roman"/>
          <w:w w:val="110"/>
          <w:sz w:val="20"/>
        </w:rPr>
        <w:t>been</w:t>
      </w:r>
      <w:r>
        <w:rPr>
          <w:rFonts w:ascii="Times New Roman"/>
          <w:spacing w:val="-6"/>
          <w:w w:val="110"/>
          <w:sz w:val="20"/>
        </w:rPr>
        <w:t> </w:t>
      </w:r>
      <w:r>
        <w:rPr>
          <w:rFonts w:ascii="Times New Roman"/>
          <w:w w:val="110"/>
          <w:sz w:val="20"/>
        </w:rPr>
        <w:t>hyperlinked</w:t>
      </w:r>
      <w:r>
        <w:rPr>
          <w:rFonts w:ascii="Times New Roman"/>
          <w:spacing w:val="-7"/>
          <w:w w:val="110"/>
          <w:sz w:val="20"/>
        </w:rPr>
        <w:t> </w:t>
      </w:r>
      <w:r>
        <w:rPr>
          <w:rFonts w:ascii="Times New Roman"/>
          <w:w w:val="110"/>
          <w:sz w:val="20"/>
        </w:rPr>
        <w:t>to/from</w:t>
      </w:r>
      <w:r>
        <w:rPr>
          <w:rFonts w:ascii="Times New Roman"/>
          <w:spacing w:val="-3"/>
          <w:w w:val="110"/>
          <w:sz w:val="20"/>
        </w:rPr>
        <w:t> </w:t>
      </w:r>
      <w:r>
        <w:rPr>
          <w:rFonts w:ascii="Times New Roman"/>
          <w:w w:val="110"/>
          <w:sz w:val="20"/>
        </w:rPr>
        <w:t>the</w:t>
      </w:r>
      <w:r>
        <w:rPr>
          <w:rFonts w:ascii="Times New Roman"/>
          <w:spacing w:val="-7"/>
          <w:w w:val="110"/>
          <w:sz w:val="20"/>
        </w:rPr>
        <w:t> </w:t>
      </w:r>
      <w:r>
        <w:rPr>
          <w:rFonts w:ascii="Times New Roman"/>
          <w:w w:val="110"/>
          <w:sz w:val="20"/>
        </w:rPr>
        <w:t>financial</w:t>
      </w:r>
      <w:r>
        <w:rPr>
          <w:rFonts w:ascii="Times New Roman"/>
          <w:spacing w:val="-7"/>
          <w:w w:val="110"/>
          <w:sz w:val="20"/>
        </w:rPr>
        <w:t> </w:t>
      </w:r>
      <w:r>
        <w:rPr>
          <w:rFonts w:ascii="Times New Roman"/>
          <w:w w:val="110"/>
          <w:sz w:val="20"/>
        </w:rPr>
        <w:t>statements.</w:t>
      </w:r>
    </w:p>
    <w:p>
      <w:pPr>
        <w:pStyle w:val="BodyText"/>
        <w:spacing w:before="1"/>
        <w:rPr>
          <w:rFonts w:ascii="Times New Roman"/>
          <w:sz w:val="10"/>
        </w:rPr>
      </w:pPr>
      <w:r>
        <w:rPr/>
        <w:drawing>
          <wp:anchor distT="0" distB="0" distL="0" distR="0" allowOverlap="1" layoutInCell="1" locked="0" behindDoc="0" simplePos="0" relativeHeight="14848">
            <wp:simplePos x="0" y="0"/>
            <wp:positionH relativeFrom="page">
              <wp:posOffset>1173480</wp:posOffset>
            </wp:positionH>
            <wp:positionV relativeFrom="paragraph">
              <wp:posOffset>99020</wp:posOffset>
            </wp:positionV>
            <wp:extent cx="2165913" cy="725043"/>
            <wp:effectExtent l="0" t="0" r="0" b="0"/>
            <wp:wrapTopAndBottom/>
            <wp:docPr id="1019" name="image62.jpeg" descr=""/>
            <wp:cNvGraphicFramePr>
              <a:graphicFrameLocks noChangeAspect="1"/>
            </wp:cNvGraphicFramePr>
            <a:graphic>
              <a:graphicData uri="http://schemas.openxmlformats.org/drawingml/2006/picture">
                <pic:pic>
                  <pic:nvPicPr>
                    <pic:cNvPr id="1020" name="image62.jpeg"/>
                    <pic:cNvPicPr/>
                  </pic:nvPicPr>
                  <pic:blipFill>
                    <a:blip r:embed="rId139" cstate="print"/>
                    <a:stretch>
                      <a:fillRect/>
                    </a:stretch>
                  </pic:blipFill>
                  <pic:spPr>
                    <a:xfrm>
                      <a:off x="0" y="0"/>
                      <a:ext cx="2165913" cy="725043"/>
                    </a:xfrm>
                    <a:prstGeom prst="rect">
                      <a:avLst/>
                    </a:prstGeom>
                  </pic:spPr>
                </pic:pic>
              </a:graphicData>
            </a:graphic>
          </wp:anchor>
        </w:drawing>
      </w:r>
    </w:p>
    <w:p>
      <w:pPr>
        <w:spacing w:before="111"/>
        <w:ind w:left="1838" w:right="0" w:firstLine="0"/>
        <w:jc w:val="left"/>
        <w:rPr>
          <w:rFonts w:ascii="Times New Roman"/>
          <w:sz w:val="20"/>
        </w:rPr>
      </w:pPr>
      <w:r>
        <w:rPr>
          <w:rFonts w:ascii="Times New Roman"/>
          <w:w w:val="110"/>
          <w:sz w:val="20"/>
        </w:rPr>
        <w:t>Renee Meimaroglou</w:t>
      </w:r>
    </w:p>
    <w:p>
      <w:pPr>
        <w:spacing w:before="7"/>
        <w:ind w:left="1838" w:right="0" w:firstLine="0"/>
        <w:jc w:val="left"/>
        <w:rPr>
          <w:rFonts w:ascii="Times New Roman"/>
          <w:sz w:val="20"/>
        </w:rPr>
      </w:pPr>
      <w:r>
        <w:rPr>
          <w:rFonts w:ascii="Times New Roman"/>
          <w:w w:val="105"/>
          <w:sz w:val="20"/>
        </w:rPr>
        <w:t>Director, Financial Audit Services</w:t>
      </w:r>
    </w:p>
    <w:p>
      <w:pPr>
        <w:pStyle w:val="BodyText"/>
        <w:spacing w:before="10"/>
        <w:rPr>
          <w:rFonts w:ascii="Times New Roman"/>
          <w:sz w:val="15"/>
        </w:rPr>
      </w:pPr>
    </w:p>
    <w:p>
      <w:pPr>
        <w:spacing w:line="247" w:lineRule="auto" w:before="0"/>
        <w:ind w:left="1838" w:right="9327" w:firstLine="0"/>
        <w:jc w:val="left"/>
        <w:rPr>
          <w:rFonts w:ascii="Times New Roman"/>
          <w:sz w:val="20"/>
        </w:rPr>
      </w:pPr>
      <w:r>
        <w:rPr>
          <w:rFonts w:ascii="Times New Roman"/>
          <w:w w:val="110"/>
          <w:sz w:val="20"/>
        </w:rPr>
        <w:t>21 February 2017 SYDNEY</w:t>
      </w:r>
    </w:p>
    <w:p>
      <w:pPr>
        <w:spacing w:after="0" w:line="247" w:lineRule="auto"/>
        <w:jc w:val="left"/>
        <w:rPr>
          <w:rFonts w:ascii="Times New Roman"/>
          <w:sz w:val="20"/>
        </w:rPr>
        <w:sectPr>
          <w:pgSz w:w="12750" w:h="17680"/>
          <w:pgMar w:header="0" w:footer="927" w:top="420" w:bottom="1120" w:left="0" w:right="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2"/>
        <w:rPr>
          <w:rFonts w:ascii="Times New Roman"/>
        </w:rPr>
      </w:pPr>
    </w:p>
    <w:p>
      <w:pPr>
        <w:pStyle w:val="BodyText"/>
        <w:spacing w:before="77"/>
        <w:ind w:left="2107" w:right="2106"/>
        <w:jc w:val="center"/>
      </w:pPr>
      <w:r>
        <w:rPr/>
        <w:drawing>
          <wp:anchor distT="0" distB="0" distL="0" distR="0" allowOverlap="1" layoutInCell="1" locked="0" behindDoc="0" simplePos="0" relativeHeight="14920">
            <wp:simplePos x="0" y="0"/>
            <wp:positionH relativeFrom="page">
              <wp:posOffset>-1587</wp:posOffset>
            </wp:positionH>
            <wp:positionV relativeFrom="paragraph">
              <wp:posOffset>752816</wp:posOffset>
            </wp:positionV>
            <wp:extent cx="135159" cy="154019"/>
            <wp:effectExtent l="0" t="0" r="0" b="0"/>
            <wp:wrapNone/>
            <wp:docPr id="1021" name="image13.png" descr=""/>
            <wp:cNvGraphicFramePr>
              <a:graphicFrameLocks noChangeAspect="1"/>
            </wp:cNvGraphicFramePr>
            <a:graphic>
              <a:graphicData uri="http://schemas.openxmlformats.org/drawingml/2006/picture">
                <pic:pic>
                  <pic:nvPicPr>
                    <pic:cNvPr id="1022" name="image13.png"/>
                    <pic:cNvPicPr/>
                  </pic:nvPicPr>
                  <pic:blipFill>
                    <a:blip r:embed="rId18" cstate="print"/>
                    <a:stretch>
                      <a:fillRect/>
                    </a:stretch>
                  </pic:blipFill>
                  <pic:spPr>
                    <a:xfrm>
                      <a:off x="0" y="0"/>
                      <a:ext cx="135159" cy="154019"/>
                    </a:xfrm>
                    <a:prstGeom prst="rect">
                      <a:avLst/>
                    </a:prstGeom>
                  </pic:spPr>
                </pic:pic>
              </a:graphicData>
            </a:graphic>
          </wp:anchor>
        </w:drawing>
      </w:r>
      <w:r>
        <w:rPr/>
        <w:drawing>
          <wp:anchor distT="0" distB="0" distL="0" distR="0" allowOverlap="1" layoutInCell="1" locked="0" behindDoc="0" simplePos="0" relativeHeight="14944">
            <wp:simplePos x="0" y="0"/>
            <wp:positionH relativeFrom="page">
              <wp:posOffset>7959026</wp:posOffset>
            </wp:positionH>
            <wp:positionV relativeFrom="paragraph">
              <wp:posOffset>752816</wp:posOffset>
            </wp:positionV>
            <wp:extent cx="135356" cy="155575"/>
            <wp:effectExtent l="0" t="0" r="0" b="0"/>
            <wp:wrapNone/>
            <wp:docPr id="1023" name="image14.png" descr=""/>
            <wp:cNvGraphicFramePr>
              <a:graphicFrameLocks noChangeAspect="1"/>
            </wp:cNvGraphicFramePr>
            <a:graphic>
              <a:graphicData uri="http://schemas.openxmlformats.org/drawingml/2006/picture">
                <pic:pic>
                  <pic:nvPicPr>
                    <pic:cNvPr id="1024" name="image14.png"/>
                    <pic:cNvPicPr/>
                  </pic:nvPicPr>
                  <pic:blipFill>
                    <a:blip r:embed="rId19" cstate="print"/>
                    <a:stretch>
                      <a:fillRect/>
                    </a:stretch>
                  </pic:blipFill>
                  <pic:spPr>
                    <a:xfrm>
                      <a:off x="0" y="0"/>
                      <a:ext cx="135356" cy="155575"/>
                    </a:xfrm>
                    <a:prstGeom prst="rect">
                      <a:avLst/>
                    </a:prstGeom>
                  </pic:spPr>
                </pic:pic>
              </a:graphicData>
            </a:graphic>
          </wp:anchor>
        </w:drawing>
      </w:r>
      <w:r>
        <w:rPr/>
        <w:t>This page is intentionally blank</w:t>
      </w:r>
    </w:p>
    <w:p>
      <w:pPr>
        <w:spacing w:after="0"/>
        <w:jc w:val="center"/>
        <w:sectPr>
          <w:pgSz w:w="12750" w:h="17680"/>
          <w:pgMar w:header="0" w:footer="927" w:top="420" w:bottom="112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8"/>
        </w:rPr>
      </w:pPr>
    </w:p>
    <w:p>
      <w:pPr>
        <w:pStyle w:val="Heading1"/>
        <w:ind w:right="1375"/>
      </w:pPr>
      <w:bookmarkStart w:name="Cover page" w:id="436"/>
      <w:bookmarkEnd w:id="436"/>
      <w:r>
        <w:rPr>
          <w:b w:val="0"/>
        </w:rPr>
      </w:r>
      <w:r>
        <w:rPr/>
        <w:t>Whitlam Institute Within Western Sydney University Trust</w:t>
      </w:r>
    </w:p>
    <w:p>
      <w:pPr>
        <w:spacing w:line="230" w:lineRule="exact" w:before="0"/>
        <w:ind w:left="1428" w:right="0" w:firstLine="0"/>
        <w:jc w:val="left"/>
        <w:rPr>
          <w:b/>
          <w:sz w:val="20"/>
        </w:rPr>
      </w:pPr>
      <w:r>
        <w:rPr>
          <w:b/>
          <w:sz w:val="20"/>
        </w:rPr>
        <w:t>ABN: 42 247 216 279</w:t>
      </w:r>
    </w:p>
    <w:p>
      <w:pPr>
        <w:pStyle w:val="BodyText"/>
        <w:rPr>
          <w:b/>
          <w:sz w:val="20"/>
        </w:rPr>
      </w:pPr>
    </w:p>
    <w:p>
      <w:pPr>
        <w:pStyle w:val="BodyText"/>
        <w:rPr>
          <w:b/>
          <w:sz w:val="20"/>
        </w:rPr>
      </w:pPr>
    </w:p>
    <w:p>
      <w:pPr>
        <w:pStyle w:val="BodyText"/>
        <w:spacing w:before="10"/>
        <w:rPr>
          <w:b/>
          <w:sz w:val="15"/>
        </w:rPr>
      </w:pPr>
    </w:p>
    <w:p>
      <w:pPr>
        <w:spacing w:before="0"/>
        <w:ind w:left="1428" w:right="0" w:firstLine="0"/>
        <w:jc w:val="left"/>
        <w:rPr>
          <w:b/>
          <w:sz w:val="28"/>
        </w:rPr>
      </w:pPr>
      <w:r>
        <w:rPr/>
        <w:drawing>
          <wp:anchor distT="0" distB="0" distL="0" distR="0" allowOverlap="1" layoutInCell="1" locked="0" behindDoc="0" simplePos="0" relativeHeight="14968">
            <wp:simplePos x="0" y="0"/>
            <wp:positionH relativeFrom="page">
              <wp:posOffset>-1587</wp:posOffset>
            </wp:positionH>
            <wp:positionV relativeFrom="paragraph">
              <wp:posOffset>19098</wp:posOffset>
            </wp:positionV>
            <wp:extent cx="136525" cy="155575"/>
            <wp:effectExtent l="0" t="0" r="0" b="0"/>
            <wp:wrapNone/>
            <wp:docPr id="1025" name="image13.png" descr=""/>
            <wp:cNvGraphicFramePr>
              <a:graphicFrameLocks noChangeAspect="1"/>
            </wp:cNvGraphicFramePr>
            <a:graphic>
              <a:graphicData uri="http://schemas.openxmlformats.org/drawingml/2006/picture">
                <pic:pic>
                  <pic:nvPicPr>
                    <pic:cNvPr id="1026" name="image13.png"/>
                    <pic:cNvPicPr/>
                  </pic:nvPicPr>
                  <pic:blipFill>
                    <a:blip r:embed="rId18" cstate="print"/>
                    <a:stretch>
                      <a:fillRect/>
                    </a:stretch>
                  </pic:blipFill>
                  <pic:spPr>
                    <a:xfrm>
                      <a:off x="0" y="0"/>
                      <a:ext cx="136525" cy="155575"/>
                    </a:xfrm>
                    <a:prstGeom prst="rect">
                      <a:avLst/>
                    </a:prstGeom>
                  </pic:spPr>
                </pic:pic>
              </a:graphicData>
            </a:graphic>
          </wp:anchor>
        </w:drawing>
      </w:r>
      <w:r>
        <w:rPr/>
        <w:drawing>
          <wp:anchor distT="0" distB="0" distL="0" distR="0" allowOverlap="1" layoutInCell="1" locked="0" behindDoc="0" simplePos="0" relativeHeight="14992">
            <wp:simplePos x="0" y="0"/>
            <wp:positionH relativeFrom="page">
              <wp:posOffset>7958429</wp:posOffset>
            </wp:positionH>
            <wp:positionV relativeFrom="paragraph">
              <wp:posOffset>19098</wp:posOffset>
            </wp:positionV>
            <wp:extent cx="135953" cy="155575"/>
            <wp:effectExtent l="0" t="0" r="0" b="0"/>
            <wp:wrapNone/>
            <wp:docPr id="1027" name="image15.png" descr=""/>
            <wp:cNvGraphicFramePr>
              <a:graphicFrameLocks noChangeAspect="1"/>
            </wp:cNvGraphicFramePr>
            <a:graphic>
              <a:graphicData uri="http://schemas.openxmlformats.org/drawingml/2006/picture">
                <pic:pic>
                  <pic:nvPicPr>
                    <pic:cNvPr id="1028" name="image15.png"/>
                    <pic:cNvPicPr/>
                  </pic:nvPicPr>
                  <pic:blipFill>
                    <a:blip r:embed="rId20" cstate="print"/>
                    <a:stretch>
                      <a:fillRect/>
                    </a:stretch>
                  </pic:blipFill>
                  <pic:spPr>
                    <a:xfrm>
                      <a:off x="0" y="0"/>
                      <a:ext cx="135953" cy="155575"/>
                    </a:xfrm>
                    <a:prstGeom prst="rect">
                      <a:avLst/>
                    </a:prstGeom>
                  </pic:spPr>
                </pic:pic>
              </a:graphicData>
            </a:graphic>
          </wp:anchor>
        </w:drawing>
      </w:r>
      <w:r>
        <w:rPr>
          <w:b/>
          <w:sz w:val="28"/>
        </w:rPr>
        <w:t>Financial Statements</w:t>
      </w:r>
    </w:p>
    <w:p>
      <w:pPr>
        <w:spacing w:before="230"/>
        <w:ind w:left="1428" w:right="0" w:firstLine="0"/>
        <w:jc w:val="left"/>
        <w:rPr>
          <w:b/>
          <w:sz w:val="20"/>
        </w:rPr>
      </w:pPr>
      <w:r>
        <w:rPr>
          <w:b/>
          <w:sz w:val="20"/>
        </w:rPr>
        <w:t>For the Year Ended 31 December 2016</w:t>
      </w:r>
    </w:p>
    <w:p>
      <w:pPr>
        <w:spacing w:before="169"/>
        <w:ind w:left="1428" w:right="1375" w:firstLine="0"/>
        <w:jc w:val="left"/>
        <w:rPr>
          <w:sz w:val="20"/>
        </w:rPr>
      </w:pPr>
      <w:r>
        <w:rPr>
          <w:sz w:val="20"/>
        </w:rPr>
        <w:t>These financial statements of the Whitlam Institute Within Western Sydney University Trust (the Trust) are presented as an individual entity. The financial statements are presented in Australian currency.</w:t>
      </w:r>
    </w:p>
    <w:p>
      <w:pPr>
        <w:spacing w:before="169"/>
        <w:ind w:left="1428" w:right="1375" w:firstLine="0"/>
        <w:jc w:val="left"/>
        <w:rPr>
          <w:sz w:val="20"/>
        </w:rPr>
      </w:pPr>
      <w:r>
        <w:rPr>
          <w:sz w:val="20"/>
        </w:rPr>
        <w:t>The registered office and principal place of business of the Whitlam Institute Within Western Sydney University Trust is:</w:t>
      </w:r>
    </w:p>
    <w:p>
      <w:pPr>
        <w:spacing w:line="417" w:lineRule="auto" w:before="169"/>
        <w:ind w:left="1428" w:right="6245" w:firstLine="0"/>
        <w:jc w:val="left"/>
        <w:rPr>
          <w:sz w:val="20"/>
        </w:rPr>
      </w:pPr>
      <w:r>
        <w:rPr>
          <w:sz w:val="20"/>
        </w:rPr>
        <w:t>Whitlam Institute Within Western Sydney University Trust Western Sydney University</w:t>
      </w:r>
    </w:p>
    <w:p>
      <w:pPr>
        <w:spacing w:line="417" w:lineRule="auto" w:before="4"/>
        <w:ind w:left="1428" w:right="8328" w:firstLine="0"/>
        <w:jc w:val="left"/>
        <w:rPr>
          <w:sz w:val="20"/>
        </w:rPr>
      </w:pPr>
      <w:r>
        <w:rPr>
          <w:sz w:val="20"/>
        </w:rPr>
        <w:t>Building EZ, Parramatta Campus Cnr James Ruse Dr &amp; Victoria Rd Rydalmere NSW 2116 Registered postal address</w:t>
      </w:r>
      <w:r>
        <w:rPr>
          <w:spacing w:val="4"/>
          <w:sz w:val="20"/>
        </w:rPr>
        <w:t> </w:t>
      </w:r>
      <w:r>
        <w:rPr>
          <w:sz w:val="20"/>
        </w:rPr>
        <w:t>is:</w:t>
      </w:r>
    </w:p>
    <w:p>
      <w:pPr>
        <w:spacing w:line="417" w:lineRule="auto" w:before="4"/>
        <w:ind w:left="1428" w:right="6245" w:firstLine="0"/>
        <w:jc w:val="left"/>
        <w:rPr>
          <w:sz w:val="20"/>
        </w:rPr>
      </w:pPr>
      <w:r>
        <w:rPr>
          <w:sz w:val="20"/>
        </w:rPr>
        <w:t>Whitlam Institute Within Western Sydney University Trust Locked Bag 1797</w:t>
      </w:r>
    </w:p>
    <w:p>
      <w:pPr>
        <w:spacing w:before="4"/>
        <w:ind w:left="1428" w:right="0" w:firstLine="0"/>
        <w:jc w:val="left"/>
        <w:rPr>
          <w:sz w:val="20"/>
        </w:rPr>
      </w:pPr>
      <w:r>
        <w:rPr>
          <w:sz w:val="20"/>
        </w:rPr>
        <w:t>Penrith NSW 2751</w:t>
      </w:r>
    </w:p>
    <w:p>
      <w:pPr>
        <w:spacing w:before="169"/>
        <w:ind w:left="1428" w:right="1375" w:firstLine="0"/>
        <w:jc w:val="left"/>
        <w:rPr>
          <w:sz w:val="20"/>
        </w:rPr>
      </w:pPr>
      <w:r>
        <w:rPr>
          <w:sz w:val="20"/>
        </w:rPr>
        <w:t>A description of the nature of the Trust's operations and it principal activities is included in the Trustees' report which is not part of these financial statements.</w:t>
      </w:r>
    </w:p>
    <w:p>
      <w:pPr>
        <w:spacing w:before="169"/>
        <w:ind w:left="1427" w:right="1375" w:firstLine="0"/>
        <w:jc w:val="left"/>
        <w:rPr>
          <w:sz w:val="20"/>
        </w:rPr>
      </w:pPr>
      <w:r>
        <w:rPr>
          <w:sz w:val="20"/>
        </w:rPr>
        <w:t>These financial statements were authorised for issue by the Trustees' on 17 February 2017. The Trustees have the power to amend and reissue the financial statements.</w:t>
      </w:r>
    </w:p>
    <w:p>
      <w:pPr>
        <w:spacing w:after="0"/>
        <w:jc w:val="left"/>
        <w:rPr>
          <w:sz w:val="20"/>
        </w:rPr>
        <w:sectPr>
          <w:pgSz w:w="12750" w:h="17680"/>
          <w:pgMar w:header="0" w:footer="927" w:top="420" w:bottom="1120" w:left="0" w:right="0"/>
        </w:sectPr>
      </w:pPr>
    </w:p>
    <w:p>
      <w:pPr>
        <w:pStyle w:val="BodyText"/>
        <w:spacing w:before="2"/>
        <w:rPr>
          <w:sz w:val="24"/>
        </w:rPr>
      </w:pPr>
    </w:p>
    <w:p>
      <w:pPr>
        <w:spacing w:before="64"/>
        <w:ind w:left="1428" w:right="0" w:firstLine="0"/>
        <w:jc w:val="left"/>
        <w:rPr>
          <w:b/>
          <w:sz w:val="28"/>
        </w:rPr>
      </w:pPr>
      <w:bookmarkStart w:name="Trustees' report" w:id="437"/>
      <w:bookmarkEnd w:id="437"/>
      <w:r>
        <w:rPr/>
      </w:r>
      <w:r>
        <w:rPr>
          <w:b/>
          <w:sz w:val="28"/>
        </w:rPr>
        <w:t>Trustees' report</w:t>
      </w:r>
    </w:p>
    <w:p>
      <w:pPr>
        <w:pStyle w:val="Heading7"/>
      </w:pPr>
      <w:r>
        <w:rPr/>
        <w:t>For the year ended 31 December 2016</w:t>
      </w:r>
    </w:p>
    <w:p>
      <w:pPr>
        <w:pStyle w:val="BodyText"/>
        <w:rPr>
          <w:b/>
          <w:sz w:val="22"/>
        </w:rPr>
      </w:pPr>
    </w:p>
    <w:p>
      <w:pPr>
        <w:pStyle w:val="BodyText"/>
        <w:spacing w:before="10"/>
        <w:rPr>
          <w:b/>
          <w:sz w:val="29"/>
        </w:rPr>
      </w:pPr>
    </w:p>
    <w:p>
      <w:pPr>
        <w:pStyle w:val="BodyText"/>
        <w:ind w:left="1824" w:right="1375"/>
      </w:pPr>
      <w:r>
        <w:rPr/>
        <w:t>The Trustees present their report on Whitlam Institute Within Western Sydney University Trust for the financial year ended 31 December 2016.</w:t>
      </w:r>
    </w:p>
    <w:p>
      <w:pPr>
        <w:pStyle w:val="BodyText"/>
        <w:spacing w:before="11"/>
        <w:rPr>
          <w:sz w:val="24"/>
        </w:rPr>
      </w:pPr>
    </w:p>
    <w:p>
      <w:pPr>
        <w:pStyle w:val="BodyText"/>
        <w:ind w:left="1824"/>
      </w:pPr>
      <w:r>
        <w:rPr/>
        <w:t>Trustees</w:t>
      </w:r>
    </w:p>
    <w:p>
      <w:pPr>
        <w:pStyle w:val="BodyText"/>
        <w:spacing w:before="11"/>
        <w:rPr>
          <w:sz w:val="24"/>
        </w:rPr>
      </w:pPr>
    </w:p>
    <w:p>
      <w:pPr>
        <w:pStyle w:val="BodyText"/>
        <w:ind w:left="1824" w:right="1375"/>
      </w:pPr>
      <w:r>
        <w:rPr/>
        <w:t>The Whitlam Institute Within Western Sydney University Limited (referred to hereafter as the Trustee Company) has been appointed as the Trustee of the Trust. The following persons have been directors of the Trustee Company during the whole of the financial year and to the date of this report:</w:t>
      </w:r>
    </w:p>
    <w:p>
      <w:pPr>
        <w:pStyle w:val="BodyText"/>
      </w:pPr>
    </w:p>
    <w:p>
      <w:pPr>
        <w:pStyle w:val="BodyText"/>
      </w:pPr>
    </w:p>
    <w:p>
      <w:pPr>
        <w:pStyle w:val="BodyText"/>
        <w:spacing w:line="307" w:lineRule="auto" w:before="110"/>
        <w:ind w:left="1822" w:right="8797"/>
      </w:pPr>
      <w:r>
        <w:rPr/>
        <w:t>The Hon. John Faulkner Ms Patricia Amphlett OAM Prof. Barney Glover</w:t>
      </w:r>
    </w:p>
    <w:p>
      <w:pPr>
        <w:pStyle w:val="BodyText"/>
        <w:spacing w:line="307" w:lineRule="auto"/>
        <w:ind w:left="1822" w:right="9277"/>
      </w:pPr>
      <w:r>
        <w:rPr/>
        <w:t>Ms Gabrielle Trainor Mr John Wells</w:t>
      </w:r>
    </w:p>
    <w:p>
      <w:pPr>
        <w:pStyle w:val="BodyText"/>
        <w:spacing w:line="307" w:lineRule="auto"/>
        <w:ind w:left="1822" w:right="9107"/>
      </w:pPr>
      <w:r>
        <w:rPr/>
        <w:t>Mr Talal Yassine OAM Ms Catherine Dovey</w:t>
      </w:r>
    </w:p>
    <w:p>
      <w:pPr>
        <w:pStyle w:val="BodyText"/>
        <w:tabs>
          <w:tab w:pos="7946" w:val="left" w:leader="none"/>
        </w:tabs>
        <w:ind w:left="1822"/>
      </w:pPr>
      <w:r>
        <w:rPr/>
        <w:t>Mr</w:t>
      </w:r>
      <w:r>
        <w:rPr>
          <w:spacing w:val="-4"/>
        </w:rPr>
        <w:t> </w:t>
      </w:r>
      <w:r>
        <w:rPr/>
        <w:t>Cameron</w:t>
      </w:r>
      <w:r>
        <w:rPr>
          <w:spacing w:val="-4"/>
        </w:rPr>
        <w:t> </w:t>
      </w:r>
      <w:r>
        <w:rPr/>
        <w:t>Clyne</w:t>
        <w:tab/>
        <w:t>Appointed 6 September</w:t>
      </w:r>
      <w:r>
        <w:rPr>
          <w:spacing w:val="-24"/>
        </w:rPr>
        <w:t> </w:t>
      </w:r>
      <w:r>
        <w:rPr/>
        <w:t>2016</w:t>
      </w:r>
    </w:p>
    <w:p>
      <w:pPr>
        <w:pStyle w:val="BodyText"/>
        <w:tabs>
          <w:tab w:pos="7946" w:val="left" w:leader="none"/>
        </w:tabs>
        <w:spacing w:before="57"/>
        <w:ind w:left="1822"/>
      </w:pPr>
      <w:r>
        <w:rPr/>
        <w:t>Mr</w:t>
      </w:r>
      <w:r>
        <w:rPr>
          <w:spacing w:val="-2"/>
        </w:rPr>
        <w:t> </w:t>
      </w:r>
      <w:r>
        <w:rPr/>
        <w:t>Geoffrey</w:t>
      </w:r>
      <w:r>
        <w:rPr>
          <w:spacing w:val="-5"/>
        </w:rPr>
        <w:t> </w:t>
      </w:r>
      <w:r>
        <w:rPr/>
        <w:t>Roberson</w:t>
        <w:tab/>
        <w:t>Resigned 25 November</w:t>
      </w:r>
      <w:r>
        <w:rPr>
          <w:spacing w:val="-23"/>
        </w:rPr>
        <w:t> </w:t>
      </w:r>
      <w:r>
        <w:rPr/>
        <w:t>2016</w:t>
      </w:r>
    </w:p>
    <w:p>
      <w:pPr>
        <w:pStyle w:val="BodyText"/>
        <w:tabs>
          <w:tab w:pos="7946" w:val="left" w:leader="none"/>
        </w:tabs>
        <w:spacing w:before="57"/>
        <w:ind w:left="1822"/>
      </w:pPr>
      <w:bookmarkStart w:name=" Principal Activities" w:id="438"/>
      <w:bookmarkEnd w:id="438"/>
      <w:r>
        <w:rPr/>
      </w:r>
      <w:r>
        <w:rPr/>
        <w:t>Dr Kerry</w:t>
      </w:r>
      <w:r>
        <w:rPr>
          <w:spacing w:val="-7"/>
        </w:rPr>
        <w:t> </w:t>
      </w:r>
      <w:r>
        <w:rPr/>
        <w:t>Schott</w:t>
      </w:r>
      <w:r>
        <w:rPr>
          <w:spacing w:val="-4"/>
        </w:rPr>
        <w:t> </w:t>
      </w:r>
      <w:r>
        <w:rPr/>
        <w:t>AO</w:t>
        <w:tab/>
        <w:t>Resigned 20 May</w:t>
      </w:r>
      <w:r>
        <w:rPr>
          <w:spacing w:val="-18"/>
        </w:rPr>
        <w:t> </w:t>
      </w:r>
      <w:r>
        <w:rPr/>
        <w:t>2016</w:t>
      </w:r>
    </w:p>
    <w:p>
      <w:pPr>
        <w:pStyle w:val="BodyText"/>
      </w:pPr>
    </w:p>
    <w:p>
      <w:pPr>
        <w:pStyle w:val="BodyText"/>
        <w:spacing w:before="108"/>
        <w:ind w:left="1829"/>
      </w:pPr>
      <w:r>
        <w:rPr/>
        <w:drawing>
          <wp:anchor distT="0" distB="0" distL="0" distR="0" allowOverlap="1" layoutInCell="1" locked="0" behindDoc="0" simplePos="0" relativeHeight="15016">
            <wp:simplePos x="0" y="0"/>
            <wp:positionH relativeFrom="page">
              <wp:posOffset>-1587</wp:posOffset>
            </wp:positionH>
            <wp:positionV relativeFrom="paragraph">
              <wp:posOffset>76122</wp:posOffset>
            </wp:positionV>
            <wp:extent cx="136525" cy="155575"/>
            <wp:effectExtent l="0" t="0" r="0" b="0"/>
            <wp:wrapNone/>
            <wp:docPr id="1031" name="image13.png" descr=""/>
            <wp:cNvGraphicFramePr>
              <a:graphicFrameLocks noChangeAspect="1"/>
            </wp:cNvGraphicFramePr>
            <a:graphic>
              <a:graphicData uri="http://schemas.openxmlformats.org/drawingml/2006/picture">
                <pic:pic>
                  <pic:nvPicPr>
                    <pic:cNvPr id="1032" name="image13.png"/>
                    <pic:cNvPicPr/>
                  </pic:nvPicPr>
                  <pic:blipFill>
                    <a:blip r:embed="rId18" cstate="print"/>
                    <a:stretch>
                      <a:fillRect/>
                    </a:stretch>
                  </pic:blipFill>
                  <pic:spPr>
                    <a:xfrm>
                      <a:off x="0" y="0"/>
                      <a:ext cx="136525" cy="155575"/>
                    </a:xfrm>
                    <a:prstGeom prst="rect">
                      <a:avLst/>
                    </a:prstGeom>
                  </pic:spPr>
                </pic:pic>
              </a:graphicData>
            </a:graphic>
          </wp:anchor>
        </w:drawing>
      </w:r>
      <w:r>
        <w:rPr/>
        <w:drawing>
          <wp:anchor distT="0" distB="0" distL="0" distR="0" allowOverlap="1" layoutInCell="1" locked="0" behindDoc="0" simplePos="0" relativeHeight="15040">
            <wp:simplePos x="0" y="0"/>
            <wp:positionH relativeFrom="page">
              <wp:posOffset>7958429</wp:posOffset>
            </wp:positionH>
            <wp:positionV relativeFrom="paragraph">
              <wp:posOffset>76122</wp:posOffset>
            </wp:positionV>
            <wp:extent cx="135953" cy="155575"/>
            <wp:effectExtent l="0" t="0" r="0" b="0"/>
            <wp:wrapNone/>
            <wp:docPr id="1033" name="image15.png" descr=""/>
            <wp:cNvGraphicFramePr>
              <a:graphicFrameLocks noChangeAspect="1"/>
            </wp:cNvGraphicFramePr>
            <a:graphic>
              <a:graphicData uri="http://schemas.openxmlformats.org/drawingml/2006/picture">
                <pic:pic>
                  <pic:nvPicPr>
                    <pic:cNvPr id="1034" name="image15.png"/>
                    <pic:cNvPicPr/>
                  </pic:nvPicPr>
                  <pic:blipFill>
                    <a:blip r:embed="rId20" cstate="print"/>
                    <a:stretch>
                      <a:fillRect/>
                    </a:stretch>
                  </pic:blipFill>
                  <pic:spPr>
                    <a:xfrm>
                      <a:off x="0" y="0"/>
                      <a:ext cx="135953" cy="155575"/>
                    </a:xfrm>
                    <a:prstGeom prst="rect">
                      <a:avLst/>
                    </a:prstGeom>
                  </pic:spPr>
                </pic:pic>
              </a:graphicData>
            </a:graphic>
          </wp:anchor>
        </w:drawing>
      </w:r>
      <w:r>
        <w:rPr/>
        <w:t>Directors have been in office since the start of the financial year to the date of this report unless otherwise stated.</w:t>
      </w:r>
    </w:p>
    <w:p>
      <w:pPr>
        <w:pStyle w:val="BodyText"/>
        <w:spacing w:before="7"/>
        <w:rPr>
          <w:sz w:val="26"/>
        </w:rPr>
      </w:pPr>
    </w:p>
    <w:p>
      <w:pPr>
        <w:pStyle w:val="Heading8"/>
        <w:ind w:left="1822"/>
      </w:pPr>
      <w:r>
        <w:rPr/>
        <w:t>Principal Activities</w:t>
      </w:r>
    </w:p>
    <w:p>
      <w:pPr>
        <w:pStyle w:val="BodyText"/>
        <w:spacing w:before="4"/>
        <w:rPr>
          <w:b/>
          <w:sz w:val="25"/>
        </w:rPr>
      </w:pPr>
    </w:p>
    <w:p>
      <w:pPr>
        <w:pStyle w:val="BodyText"/>
        <w:ind w:left="1823"/>
      </w:pPr>
      <w:r>
        <w:rPr/>
        <w:t>There were no significant changes in the nature of the Trust's activities during the year.</w:t>
      </w:r>
    </w:p>
    <w:p>
      <w:pPr>
        <w:pStyle w:val="BodyText"/>
        <w:spacing w:before="11"/>
        <w:rPr>
          <w:sz w:val="24"/>
        </w:rPr>
      </w:pPr>
    </w:p>
    <w:p>
      <w:pPr>
        <w:pStyle w:val="BodyText"/>
        <w:ind w:left="1823" w:right="2032"/>
        <w:jc w:val="both"/>
      </w:pPr>
      <w:r>
        <w:rPr/>
        <w:t>The</w:t>
      </w:r>
      <w:r>
        <w:rPr>
          <w:spacing w:val="-5"/>
        </w:rPr>
        <w:t> </w:t>
      </w:r>
      <w:r>
        <w:rPr/>
        <w:t>Whitlam</w:t>
      </w:r>
      <w:r>
        <w:rPr>
          <w:spacing w:val="-6"/>
        </w:rPr>
        <w:t> </w:t>
      </w:r>
      <w:r>
        <w:rPr/>
        <w:t>Institute</w:t>
      </w:r>
      <w:r>
        <w:rPr>
          <w:spacing w:val="-6"/>
        </w:rPr>
        <w:t> </w:t>
      </w:r>
      <w:r>
        <w:rPr/>
        <w:t>Within</w:t>
      </w:r>
      <w:r>
        <w:rPr>
          <w:spacing w:val="-6"/>
        </w:rPr>
        <w:t> </w:t>
      </w:r>
      <w:r>
        <w:rPr/>
        <w:t>Western</w:t>
      </w:r>
      <w:r>
        <w:rPr>
          <w:spacing w:val="-6"/>
        </w:rPr>
        <w:t> </w:t>
      </w:r>
      <w:r>
        <w:rPr/>
        <w:t>Sydney</w:t>
      </w:r>
      <w:r>
        <w:rPr>
          <w:spacing w:val="-6"/>
        </w:rPr>
        <w:t> </w:t>
      </w:r>
      <w:r>
        <w:rPr/>
        <w:t>University</w:t>
      </w:r>
      <w:r>
        <w:rPr>
          <w:spacing w:val="-6"/>
        </w:rPr>
        <w:t> </w:t>
      </w:r>
      <w:r>
        <w:rPr/>
        <w:t>Trust</w:t>
      </w:r>
      <w:r>
        <w:rPr>
          <w:spacing w:val="-6"/>
        </w:rPr>
        <w:t> </w:t>
      </w:r>
      <w:r>
        <w:rPr/>
        <w:t>exists</w:t>
      </w:r>
      <w:r>
        <w:rPr>
          <w:spacing w:val="-6"/>
        </w:rPr>
        <w:t> </w:t>
      </w:r>
      <w:r>
        <w:rPr/>
        <w:t>to</w:t>
      </w:r>
      <w:r>
        <w:rPr>
          <w:spacing w:val="-6"/>
        </w:rPr>
        <w:t> </w:t>
      </w:r>
      <w:r>
        <w:rPr/>
        <w:t>support</w:t>
      </w:r>
      <w:r>
        <w:rPr>
          <w:spacing w:val="-6"/>
        </w:rPr>
        <w:t> </w:t>
      </w:r>
      <w:r>
        <w:rPr/>
        <w:t>(through</w:t>
      </w:r>
      <w:r>
        <w:rPr>
          <w:spacing w:val="-6"/>
        </w:rPr>
        <w:t> </w:t>
      </w:r>
      <w:r>
        <w:rPr/>
        <w:t>the</w:t>
      </w:r>
      <w:r>
        <w:rPr>
          <w:spacing w:val="-6"/>
        </w:rPr>
        <w:t> </w:t>
      </w:r>
      <w:r>
        <w:rPr/>
        <w:t>provision</w:t>
      </w:r>
      <w:r>
        <w:rPr>
          <w:spacing w:val="-6"/>
        </w:rPr>
        <w:t> </w:t>
      </w:r>
      <w:r>
        <w:rPr/>
        <w:t>of</w:t>
      </w:r>
      <w:r>
        <w:rPr>
          <w:spacing w:val="-6"/>
        </w:rPr>
        <w:t> </w:t>
      </w:r>
      <w:r>
        <w:rPr/>
        <w:t>money, property</w:t>
      </w:r>
      <w:r>
        <w:rPr>
          <w:spacing w:val="-5"/>
        </w:rPr>
        <w:t> </w:t>
      </w:r>
      <w:r>
        <w:rPr/>
        <w:t>or</w:t>
      </w:r>
      <w:r>
        <w:rPr>
          <w:spacing w:val="-5"/>
        </w:rPr>
        <w:t> </w:t>
      </w:r>
      <w:r>
        <w:rPr/>
        <w:t>benefits)</w:t>
      </w:r>
      <w:r>
        <w:rPr>
          <w:spacing w:val="-5"/>
        </w:rPr>
        <w:t> </w:t>
      </w:r>
      <w:r>
        <w:rPr/>
        <w:t>Western</w:t>
      </w:r>
      <w:r>
        <w:rPr>
          <w:spacing w:val="-5"/>
        </w:rPr>
        <w:t> </w:t>
      </w:r>
      <w:r>
        <w:rPr/>
        <w:t>Sydney</w:t>
      </w:r>
      <w:r>
        <w:rPr>
          <w:spacing w:val="-5"/>
        </w:rPr>
        <w:t> </w:t>
      </w:r>
      <w:r>
        <w:rPr/>
        <w:t>University,</w:t>
      </w:r>
      <w:r>
        <w:rPr>
          <w:spacing w:val="-5"/>
        </w:rPr>
        <w:t> </w:t>
      </w:r>
      <w:r>
        <w:rPr/>
        <w:t>specifically</w:t>
      </w:r>
      <w:r>
        <w:rPr>
          <w:spacing w:val="-5"/>
        </w:rPr>
        <w:t> </w:t>
      </w:r>
      <w:r>
        <w:rPr/>
        <w:t>the</w:t>
      </w:r>
      <w:r>
        <w:rPr>
          <w:spacing w:val="-5"/>
        </w:rPr>
        <w:t> </w:t>
      </w:r>
      <w:r>
        <w:rPr/>
        <w:t>work</w:t>
      </w:r>
      <w:r>
        <w:rPr>
          <w:spacing w:val="-4"/>
        </w:rPr>
        <w:t> </w:t>
      </w:r>
      <w:r>
        <w:rPr/>
        <w:t>of</w:t>
      </w:r>
      <w:r>
        <w:rPr>
          <w:spacing w:val="-4"/>
        </w:rPr>
        <w:t> </w:t>
      </w:r>
      <w:r>
        <w:rPr/>
        <w:t>the</w:t>
      </w:r>
      <w:r>
        <w:rPr>
          <w:spacing w:val="-4"/>
        </w:rPr>
        <w:t> </w:t>
      </w:r>
      <w:r>
        <w:rPr/>
        <w:t>Whitlam</w:t>
      </w:r>
      <w:r>
        <w:rPr>
          <w:spacing w:val="-4"/>
        </w:rPr>
        <w:t> </w:t>
      </w:r>
      <w:r>
        <w:rPr/>
        <w:t>Institute</w:t>
      </w:r>
      <w:r>
        <w:rPr>
          <w:spacing w:val="-4"/>
        </w:rPr>
        <w:t> </w:t>
      </w:r>
      <w:r>
        <w:rPr/>
        <w:t>with</w:t>
      </w:r>
      <w:r>
        <w:rPr>
          <w:spacing w:val="-4"/>
        </w:rPr>
        <w:t> </w:t>
      </w:r>
      <w:r>
        <w:rPr/>
        <w:t>respect</w:t>
      </w:r>
      <w:r>
        <w:rPr>
          <w:spacing w:val="-4"/>
        </w:rPr>
        <w:t> </w:t>
      </w:r>
      <w:r>
        <w:rPr/>
        <w:t>to</w:t>
      </w:r>
      <w:r>
        <w:rPr>
          <w:spacing w:val="-4"/>
        </w:rPr>
        <w:t> </w:t>
      </w:r>
      <w:r>
        <w:rPr/>
        <w:t>the Whitlam</w:t>
      </w:r>
      <w:r>
        <w:rPr>
          <w:spacing w:val="-9"/>
        </w:rPr>
        <w:t> </w:t>
      </w:r>
      <w:r>
        <w:rPr/>
        <w:t>Prime</w:t>
      </w:r>
      <w:r>
        <w:rPr>
          <w:spacing w:val="-9"/>
        </w:rPr>
        <w:t> </w:t>
      </w:r>
      <w:r>
        <w:rPr/>
        <w:t>Ministerial</w:t>
      </w:r>
      <w:r>
        <w:rPr>
          <w:spacing w:val="-9"/>
        </w:rPr>
        <w:t> </w:t>
      </w:r>
      <w:r>
        <w:rPr/>
        <w:t>Collection</w:t>
      </w:r>
      <w:r>
        <w:rPr>
          <w:spacing w:val="-9"/>
        </w:rPr>
        <w:t> </w:t>
      </w:r>
      <w:r>
        <w:rPr/>
        <w:t>and</w:t>
      </w:r>
      <w:r>
        <w:rPr>
          <w:spacing w:val="-9"/>
        </w:rPr>
        <w:t> </w:t>
      </w:r>
      <w:r>
        <w:rPr/>
        <w:t>the</w:t>
      </w:r>
      <w:r>
        <w:rPr>
          <w:spacing w:val="-9"/>
        </w:rPr>
        <w:t> </w:t>
      </w:r>
      <w:r>
        <w:rPr/>
        <w:t>Institute's</w:t>
      </w:r>
      <w:r>
        <w:rPr>
          <w:spacing w:val="-9"/>
        </w:rPr>
        <w:t> </w:t>
      </w:r>
      <w:r>
        <w:rPr/>
        <w:t>research,</w:t>
      </w:r>
      <w:r>
        <w:rPr>
          <w:spacing w:val="-9"/>
        </w:rPr>
        <w:t> </w:t>
      </w:r>
      <w:r>
        <w:rPr/>
        <w:t>educational</w:t>
      </w:r>
      <w:r>
        <w:rPr>
          <w:spacing w:val="-9"/>
        </w:rPr>
        <w:t> </w:t>
      </w:r>
      <w:r>
        <w:rPr/>
        <w:t>and</w:t>
      </w:r>
      <w:r>
        <w:rPr>
          <w:spacing w:val="-9"/>
        </w:rPr>
        <w:t> </w:t>
      </w:r>
      <w:r>
        <w:rPr/>
        <w:t>policy</w:t>
      </w:r>
      <w:r>
        <w:rPr>
          <w:spacing w:val="-9"/>
        </w:rPr>
        <w:t> </w:t>
      </w:r>
      <w:r>
        <w:rPr/>
        <w:t>activity.</w:t>
      </w:r>
    </w:p>
    <w:p>
      <w:pPr>
        <w:spacing w:after="0"/>
        <w:jc w:val="both"/>
        <w:sectPr>
          <w:headerReference w:type="default" r:id="rId140"/>
          <w:pgSz w:w="12750" w:h="17680"/>
          <w:pgMar w:header="0" w:footer="927" w:top="1880" w:bottom="1120" w:left="0" w:right="0"/>
        </w:sectPr>
      </w:pPr>
    </w:p>
    <w:p>
      <w:pPr>
        <w:pStyle w:val="BodyText"/>
        <w:spacing w:before="2"/>
        <w:rPr>
          <w:sz w:val="24"/>
        </w:rPr>
      </w:pPr>
    </w:p>
    <w:p>
      <w:pPr>
        <w:pStyle w:val="Heading4"/>
      </w:pPr>
      <w:r>
        <w:rPr/>
        <w:t>Trustees' report</w:t>
      </w:r>
    </w:p>
    <w:p>
      <w:pPr>
        <w:pStyle w:val="Heading7"/>
      </w:pPr>
      <w:r>
        <w:rPr/>
        <w:t>For the year ended 31 December 2016</w:t>
      </w:r>
    </w:p>
    <w:p>
      <w:pPr>
        <w:pStyle w:val="BodyText"/>
        <w:spacing w:before="7"/>
        <w:rPr>
          <w:b/>
          <w:sz w:val="26"/>
        </w:rPr>
      </w:pPr>
    </w:p>
    <w:p>
      <w:pPr>
        <w:pStyle w:val="Heading8"/>
        <w:ind w:left="1822"/>
      </w:pPr>
      <w:r>
        <w:rPr/>
        <w:t>Meetings of trustees</w:t>
      </w:r>
    </w:p>
    <w:p>
      <w:pPr>
        <w:pStyle w:val="BodyText"/>
        <w:spacing w:before="4"/>
        <w:rPr>
          <w:b/>
          <w:sz w:val="25"/>
        </w:rPr>
      </w:pPr>
    </w:p>
    <w:p>
      <w:pPr>
        <w:pStyle w:val="BodyText"/>
        <w:ind w:left="1823" w:right="1375"/>
      </w:pPr>
      <w:r>
        <w:rPr/>
        <w:t>During the financial year, 4 meetings of trustees (including committees of trustees) were held. Attendances by each trustee during the year were as follows:</w:t>
      </w:r>
    </w:p>
    <w:p>
      <w:pPr>
        <w:pStyle w:val="BodyText"/>
        <w:spacing w:before="1"/>
        <w:rPr>
          <w:sz w:val="26"/>
        </w:rPr>
      </w:pPr>
    </w:p>
    <w:tbl>
      <w:tblPr>
        <w:tblW w:w="0" w:type="auto"/>
        <w:jc w:val="left"/>
        <w:tblInd w:w="182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830"/>
        <w:gridCol w:w="1133"/>
        <w:gridCol w:w="1128"/>
      </w:tblGrid>
      <w:tr>
        <w:trPr>
          <w:trHeight w:val="260" w:hRule="exact"/>
        </w:trPr>
        <w:tc>
          <w:tcPr>
            <w:tcW w:w="2830" w:type="dxa"/>
            <w:vMerge w:val="restart"/>
            <w:tcBorders>
              <w:right w:val="single" w:sz="0" w:space="0" w:color="000000"/>
            </w:tcBorders>
          </w:tcPr>
          <w:p>
            <w:pPr/>
          </w:p>
        </w:tc>
        <w:tc>
          <w:tcPr>
            <w:tcW w:w="2261" w:type="dxa"/>
            <w:gridSpan w:val="2"/>
            <w:tcBorders>
              <w:top w:val="single" w:sz="0" w:space="0" w:color="000000"/>
              <w:left w:val="single" w:sz="0" w:space="0" w:color="000000"/>
              <w:bottom w:val="single" w:sz="0" w:space="0" w:color="000000"/>
              <w:right w:val="single" w:sz="0" w:space="0" w:color="000000"/>
            </w:tcBorders>
          </w:tcPr>
          <w:p>
            <w:pPr>
              <w:pStyle w:val="TableParagraph"/>
              <w:spacing w:before="38"/>
              <w:ind w:left="433"/>
              <w:jc w:val="left"/>
              <w:rPr>
                <w:b/>
                <w:sz w:val="16"/>
              </w:rPr>
            </w:pPr>
            <w:r>
              <w:rPr>
                <w:b/>
                <w:sz w:val="16"/>
              </w:rPr>
              <w:t>Trustees Meetings</w:t>
            </w:r>
          </w:p>
        </w:tc>
      </w:tr>
      <w:tr>
        <w:trPr>
          <w:trHeight w:val="398" w:hRule="exact"/>
        </w:trPr>
        <w:tc>
          <w:tcPr>
            <w:tcW w:w="2830" w:type="dxa"/>
            <w:vMerge/>
            <w:tcBorders>
              <w:bottom w:val="single" w:sz="0" w:space="0" w:color="000000"/>
              <w:right w:val="single" w:sz="0" w:space="0" w:color="000000"/>
            </w:tcBorders>
          </w:tcPr>
          <w:p>
            <w:pPr/>
          </w:p>
        </w:tc>
        <w:tc>
          <w:tcPr>
            <w:tcW w:w="1133" w:type="dxa"/>
            <w:tcBorders>
              <w:top w:val="single" w:sz="0" w:space="0" w:color="000000"/>
              <w:left w:val="single" w:sz="0" w:space="0" w:color="000000"/>
              <w:bottom w:val="single" w:sz="0" w:space="0" w:color="000000"/>
              <w:right w:val="single" w:sz="0" w:space="0" w:color="000000"/>
            </w:tcBorders>
          </w:tcPr>
          <w:p>
            <w:pPr>
              <w:pStyle w:val="TableParagraph"/>
              <w:spacing w:before="39"/>
              <w:ind w:left="270" w:right="23" w:hanging="232"/>
              <w:jc w:val="left"/>
              <w:rPr>
                <w:b/>
                <w:sz w:val="14"/>
              </w:rPr>
            </w:pPr>
            <w:r>
              <w:rPr>
                <w:b/>
                <w:sz w:val="14"/>
              </w:rPr>
              <w:t>Number eligible to attend</w:t>
            </w:r>
          </w:p>
        </w:tc>
        <w:tc>
          <w:tcPr>
            <w:tcW w:w="1128" w:type="dxa"/>
            <w:tcBorders>
              <w:top w:val="single" w:sz="0" w:space="0" w:color="000000"/>
              <w:left w:val="single" w:sz="0" w:space="0" w:color="000000"/>
              <w:bottom w:val="single" w:sz="0" w:space="0" w:color="000000"/>
              <w:right w:val="single" w:sz="0" w:space="0" w:color="000000"/>
            </w:tcBorders>
          </w:tcPr>
          <w:p>
            <w:pPr>
              <w:pStyle w:val="TableParagraph"/>
              <w:spacing w:before="39"/>
              <w:ind w:left="273" w:right="250" w:firstLine="27"/>
              <w:jc w:val="left"/>
              <w:rPr>
                <w:b/>
                <w:sz w:val="14"/>
              </w:rPr>
            </w:pPr>
            <w:r>
              <w:rPr>
                <w:b/>
                <w:sz w:val="14"/>
              </w:rPr>
              <w:t>Number attended</w:t>
            </w:r>
          </w:p>
        </w:tc>
      </w:tr>
      <w:tr>
        <w:trPr>
          <w:trHeight w:val="256" w:hRule="exact"/>
        </w:trPr>
        <w:tc>
          <w:tcPr>
            <w:tcW w:w="2830" w:type="dxa"/>
            <w:tcBorders>
              <w:top w:val="single" w:sz="0" w:space="0" w:color="000000"/>
              <w:left w:val="single" w:sz="0" w:space="0" w:color="000000"/>
              <w:right w:val="single" w:sz="0" w:space="0" w:color="000000"/>
            </w:tcBorders>
          </w:tcPr>
          <w:p>
            <w:pPr>
              <w:pStyle w:val="TableParagraph"/>
              <w:spacing w:before="34"/>
              <w:ind w:left="51"/>
              <w:jc w:val="left"/>
              <w:rPr>
                <w:sz w:val="16"/>
              </w:rPr>
            </w:pPr>
            <w:r>
              <w:rPr>
                <w:sz w:val="16"/>
              </w:rPr>
              <w:t>The Hon. John Faulkner</w:t>
            </w:r>
          </w:p>
        </w:tc>
        <w:tc>
          <w:tcPr>
            <w:tcW w:w="1133" w:type="dxa"/>
            <w:tcBorders>
              <w:top w:val="single" w:sz="0" w:space="0" w:color="000000"/>
              <w:left w:val="single" w:sz="0" w:space="0" w:color="000000"/>
              <w:right w:val="single" w:sz="0" w:space="0" w:color="000000"/>
            </w:tcBorders>
          </w:tcPr>
          <w:p>
            <w:pPr>
              <w:pStyle w:val="TableParagraph"/>
              <w:spacing w:before="33"/>
              <w:ind w:right="464"/>
              <w:rPr>
                <w:sz w:val="16"/>
              </w:rPr>
            </w:pPr>
            <w:r>
              <w:rPr>
                <w:w w:val="99"/>
                <w:sz w:val="16"/>
              </w:rPr>
              <w:t>4</w:t>
            </w:r>
          </w:p>
        </w:tc>
        <w:tc>
          <w:tcPr>
            <w:tcW w:w="1128" w:type="dxa"/>
            <w:tcBorders>
              <w:top w:val="single" w:sz="0" w:space="0" w:color="000000"/>
              <w:left w:val="single" w:sz="0" w:space="0" w:color="000000"/>
              <w:right w:val="single" w:sz="0" w:space="0" w:color="000000"/>
            </w:tcBorders>
          </w:tcPr>
          <w:p>
            <w:pPr>
              <w:pStyle w:val="TableParagraph"/>
              <w:spacing w:before="33"/>
              <w:ind w:right="460"/>
              <w:rPr>
                <w:sz w:val="16"/>
              </w:rPr>
            </w:pPr>
            <w:r>
              <w:rPr>
                <w:w w:val="99"/>
                <w:sz w:val="16"/>
              </w:rPr>
              <w:t>4</w:t>
            </w:r>
          </w:p>
        </w:tc>
      </w:tr>
      <w:tr>
        <w:trPr>
          <w:trHeight w:val="241" w:hRule="exact"/>
        </w:trPr>
        <w:tc>
          <w:tcPr>
            <w:tcW w:w="2830" w:type="dxa"/>
            <w:tcBorders>
              <w:left w:val="single" w:sz="0" w:space="0" w:color="000000"/>
              <w:right w:val="single" w:sz="0" w:space="0" w:color="000000"/>
            </w:tcBorders>
          </w:tcPr>
          <w:p>
            <w:pPr>
              <w:pStyle w:val="TableParagraph"/>
              <w:spacing w:before="20"/>
              <w:ind w:left="51"/>
              <w:jc w:val="left"/>
              <w:rPr>
                <w:sz w:val="16"/>
              </w:rPr>
            </w:pPr>
            <w:r>
              <w:rPr>
                <w:sz w:val="16"/>
              </w:rPr>
              <w:t>Ms Patricia Amphlett OAM</w:t>
            </w:r>
          </w:p>
        </w:tc>
        <w:tc>
          <w:tcPr>
            <w:tcW w:w="1133" w:type="dxa"/>
            <w:tcBorders>
              <w:left w:val="single" w:sz="0" w:space="0" w:color="000000"/>
              <w:right w:val="single" w:sz="0" w:space="0" w:color="000000"/>
            </w:tcBorders>
          </w:tcPr>
          <w:p>
            <w:pPr>
              <w:pStyle w:val="TableParagraph"/>
              <w:spacing w:before="19"/>
              <w:ind w:right="464"/>
              <w:rPr>
                <w:sz w:val="16"/>
              </w:rPr>
            </w:pPr>
            <w:r>
              <w:rPr>
                <w:w w:val="99"/>
                <w:sz w:val="16"/>
              </w:rPr>
              <w:t>4</w:t>
            </w:r>
          </w:p>
        </w:tc>
        <w:tc>
          <w:tcPr>
            <w:tcW w:w="1128" w:type="dxa"/>
            <w:tcBorders>
              <w:left w:val="single" w:sz="0" w:space="0" w:color="000000"/>
              <w:right w:val="single" w:sz="0" w:space="0" w:color="000000"/>
            </w:tcBorders>
          </w:tcPr>
          <w:p>
            <w:pPr>
              <w:pStyle w:val="TableParagraph"/>
              <w:spacing w:before="19"/>
              <w:ind w:right="460"/>
              <w:rPr>
                <w:sz w:val="16"/>
              </w:rPr>
            </w:pPr>
            <w:r>
              <w:rPr>
                <w:w w:val="99"/>
                <w:sz w:val="16"/>
              </w:rPr>
              <w:t>3</w:t>
            </w:r>
          </w:p>
        </w:tc>
      </w:tr>
      <w:tr>
        <w:trPr>
          <w:trHeight w:val="241" w:hRule="exact"/>
        </w:trPr>
        <w:tc>
          <w:tcPr>
            <w:tcW w:w="2830" w:type="dxa"/>
            <w:tcBorders>
              <w:left w:val="single" w:sz="0" w:space="0" w:color="000000"/>
              <w:right w:val="single" w:sz="0" w:space="0" w:color="000000"/>
            </w:tcBorders>
          </w:tcPr>
          <w:p>
            <w:pPr>
              <w:pStyle w:val="TableParagraph"/>
              <w:spacing w:before="20"/>
              <w:ind w:left="51"/>
              <w:jc w:val="left"/>
              <w:rPr>
                <w:sz w:val="16"/>
              </w:rPr>
            </w:pPr>
            <w:r>
              <w:rPr>
                <w:sz w:val="16"/>
              </w:rPr>
              <w:t>Prof. Barney Glover</w:t>
            </w:r>
          </w:p>
        </w:tc>
        <w:tc>
          <w:tcPr>
            <w:tcW w:w="1133" w:type="dxa"/>
            <w:tcBorders>
              <w:left w:val="single" w:sz="0" w:space="0" w:color="000000"/>
              <w:right w:val="single" w:sz="0" w:space="0" w:color="000000"/>
            </w:tcBorders>
          </w:tcPr>
          <w:p>
            <w:pPr>
              <w:pStyle w:val="TableParagraph"/>
              <w:spacing w:before="19"/>
              <w:ind w:right="464"/>
              <w:rPr>
                <w:sz w:val="16"/>
              </w:rPr>
            </w:pPr>
            <w:r>
              <w:rPr>
                <w:w w:val="99"/>
                <w:sz w:val="16"/>
              </w:rPr>
              <w:t>4</w:t>
            </w:r>
          </w:p>
        </w:tc>
        <w:tc>
          <w:tcPr>
            <w:tcW w:w="1128" w:type="dxa"/>
            <w:tcBorders>
              <w:left w:val="single" w:sz="0" w:space="0" w:color="000000"/>
              <w:right w:val="single" w:sz="0" w:space="0" w:color="000000"/>
            </w:tcBorders>
          </w:tcPr>
          <w:p>
            <w:pPr>
              <w:pStyle w:val="TableParagraph"/>
              <w:spacing w:before="19"/>
              <w:ind w:right="460"/>
              <w:rPr>
                <w:sz w:val="16"/>
              </w:rPr>
            </w:pPr>
            <w:r>
              <w:rPr>
                <w:w w:val="99"/>
                <w:sz w:val="16"/>
              </w:rPr>
              <w:t>4</w:t>
            </w:r>
          </w:p>
        </w:tc>
      </w:tr>
      <w:tr>
        <w:trPr>
          <w:trHeight w:val="241" w:hRule="exact"/>
        </w:trPr>
        <w:tc>
          <w:tcPr>
            <w:tcW w:w="2830" w:type="dxa"/>
            <w:tcBorders>
              <w:left w:val="single" w:sz="0" w:space="0" w:color="000000"/>
              <w:right w:val="single" w:sz="0" w:space="0" w:color="000000"/>
            </w:tcBorders>
          </w:tcPr>
          <w:p>
            <w:pPr>
              <w:pStyle w:val="TableParagraph"/>
              <w:spacing w:before="20"/>
              <w:ind w:left="51"/>
              <w:jc w:val="left"/>
              <w:rPr>
                <w:sz w:val="16"/>
              </w:rPr>
            </w:pPr>
            <w:r>
              <w:rPr>
                <w:sz w:val="16"/>
              </w:rPr>
              <w:t>Ms Gabrielle Trainor</w:t>
            </w:r>
          </w:p>
        </w:tc>
        <w:tc>
          <w:tcPr>
            <w:tcW w:w="1133" w:type="dxa"/>
            <w:tcBorders>
              <w:left w:val="single" w:sz="0" w:space="0" w:color="000000"/>
              <w:right w:val="single" w:sz="0" w:space="0" w:color="000000"/>
            </w:tcBorders>
          </w:tcPr>
          <w:p>
            <w:pPr>
              <w:pStyle w:val="TableParagraph"/>
              <w:spacing w:before="19"/>
              <w:ind w:right="464"/>
              <w:rPr>
                <w:sz w:val="16"/>
              </w:rPr>
            </w:pPr>
            <w:r>
              <w:rPr>
                <w:w w:val="99"/>
                <w:sz w:val="16"/>
              </w:rPr>
              <w:t>4</w:t>
            </w:r>
          </w:p>
        </w:tc>
        <w:tc>
          <w:tcPr>
            <w:tcW w:w="1128" w:type="dxa"/>
            <w:tcBorders>
              <w:left w:val="single" w:sz="0" w:space="0" w:color="000000"/>
              <w:right w:val="single" w:sz="0" w:space="0" w:color="000000"/>
            </w:tcBorders>
          </w:tcPr>
          <w:p>
            <w:pPr>
              <w:pStyle w:val="TableParagraph"/>
              <w:spacing w:before="19"/>
              <w:ind w:right="460"/>
              <w:rPr>
                <w:sz w:val="16"/>
              </w:rPr>
            </w:pPr>
            <w:r>
              <w:rPr>
                <w:w w:val="99"/>
                <w:sz w:val="16"/>
              </w:rPr>
              <w:t>4</w:t>
            </w:r>
          </w:p>
        </w:tc>
      </w:tr>
      <w:tr>
        <w:trPr>
          <w:trHeight w:val="241" w:hRule="exact"/>
        </w:trPr>
        <w:tc>
          <w:tcPr>
            <w:tcW w:w="2830" w:type="dxa"/>
            <w:tcBorders>
              <w:left w:val="single" w:sz="0" w:space="0" w:color="000000"/>
              <w:right w:val="single" w:sz="0" w:space="0" w:color="000000"/>
            </w:tcBorders>
          </w:tcPr>
          <w:p>
            <w:pPr>
              <w:pStyle w:val="TableParagraph"/>
              <w:spacing w:before="20"/>
              <w:ind w:left="51"/>
              <w:jc w:val="left"/>
              <w:rPr>
                <w:sz w:val="16"/>
              </w:rPr>
            </w:pPr>
            <w:r>
              <w:rPr>
                <w:sz w:val="16"/>
              </w:rPr>
              <w:t>Mr John Wells</w:t>
            </w:r>
          </w:p>
        </w:tc>
        <w:tc>
          <w:tcPr>
            <w:tcW w:w="1133" w:type="dxa"/>
            <w:tcBorders>
              <w:left w:val="single" w:sz="0" w:space="0" w:color="000000"/>
              <w:right w:val="single" w:sz="0" w:space="0" w:color="000000"/>
            </w:tcBorders>
          </w:tcPr>
          <w:p>
            <w:pPr>
              <w:pStyle w:val="TableParagraph"/>
              <w:spacing w:before="19"/>
              <w:ind w:right="464"/>
              <w:rPr>
                <w:sz w:val="16"/>
              </w:rPr>
            </w:pPr>
            <w:r>
              <w:rPr>
                <w:w w:val="99"/>
                <w:sz w:val="16"/>
              </w:rPr>
              <w:t>4</w:t>
            </w:r>
          </w:p>
        </w:tc>
        <w:tc>
          <w:tcPr>
            <w:tcW w:w="1128" w:type="dxa"/>
            <w:tcBorders>
              <w:left w:val="single" w:sz="0" w:space="0" w:color="000000"/>
              <w:right w:val="single" w:sz="0" w:space="0" w:color="000000"/>
            </w:tcBorders>
          </w:tcPr>
          <w:p>
            <w:pPr>
              <w:pStyle w:val="TableParagraph"/>
              <w:spacing w:before="19"/>
              <w:ind w:right="460"/>
              <w:rPr>
                <w:sz w:val="16"/>
              </w:rPr>
            </w:pPr>
            <w:r>
              <w:rPr>
                <w:w w:val="99"/>
                <w:sz w:val="16"/>
              </w:rPr>
              <w:t>3</w:t>
            </w:r>
          </w:p>
        </w:tc>
      </w:tr>
      <w:tr>
        <w:trPr>
          <w:trHeight w:val="241" w:hRule="exact"/>
        </w:trPr>
        <w:tc>
          <w:tcPr>
            <w:tcW w:w="2830" w:type="dxa"/>
            <w:tcBorders>
              <w:left w:val="single" w:sz="0" w:space="0" w:color="000000"/>
              <w:right w:val="single" w:sz="0" w:space="0" w:color="000000"/>
            </w:tcBorders>
          </w:tcPr>
          <w:p>
            <w:pPr>
              <w:pStyle w:val="TableParagraph"/>
              <w:spacing w:before="20"/>
              <w:ind w:left="51"/>
              <w:jc w:val="left"/>
              <w:rPr>
                <w:sz w:val="16"/>
              </w:rPr>
            </w:pPr>
            <w:r>
              <w:rPr>
                <w:sz w:val="16"/>
              </w:rPr>
              <w:t>Mr Talal Yassine OAM</w:t>
            </w:r>
          </w:p>
        </w:tc>
        <w:tc>
          <w:tcPr>
            <w:tcW w:w="1133" w:type="dxa"/>
            <w:tcBorders>
              <w:left w:val="single" w:sz="0" w:space="0" w:color="000000"/>
              <w:right w:val="single" w:sz="0" w:space="0" w:color="000000"/>
            </w:tcBorders>
          </w:tcPr>
          <w:p>
            <w:pPr>
              <w:pStyle w:val="TableParagraph"/>
              <w:spacing w:before="19"/>
              <w:ind w:right="464"/>
              <w:rPr>
                <w:sz w:val="16"/>
              </w:rPr>
            </w:pPr>
            <w:r>
              <w:rPr>
                <w:w w:val="99"/>
                <w:sz w:val="16"/>
              </w:rPr>
              <w:t>4</w:t>
            </w:r>
          </w:p>
        </w:tc>
        <w:tc>
          <w:tcPr>
            <w:tcW w:w="1128" w:type="dxa"/>
            <w:tcBorders>
              <w:left w:val="single" w:sz="0" w:space="0" w:color="000000"/>
              <w:right w:val="single" w:sz="0" w:space="0" w:color="000000"/>
            </w:tcBorders>
          </w:tcPr>
          <w:p>
            <w:pPr>
              <w:pStyle w:val="TableParagraph"/>
              <w:spacing w:before="19"/>
              <w:ind w:right="460"/>
              <w:rPr>
                <w:sz w:val="16"/>
              </w:rPr>
            </w:pPr>
            <w:r>
              <w:rPr>
                <w:w w:val="99"/>
                <w:sz w:val="16"/>
              </w:rPr>
              <w:t>3</w:t>
            </w:r>
          </w:p>
        </w:tc>
      </w:tr>
      <w:tr>
        <w:trPr>
          <w:trHeight w:val="241" w:hRule="exact"/>
        </w:trPr>
        <w:tc>
          <w:tcPr>
            <w:tcW w:w="2830" w:type="dxa"/>
            <w:tcBorders>
              <w:left w:val="single" w:sz="0" w:space="0" w:color="000000"/>
              <w:right w:val="single" w:sz="0" w:space="0" w:color="000000"/>
            </w:tcBorders>
          </w:tcPr>
          <w:p>
            <w:pPr>
              <w:pStyle w:val="TableParagraph"/>
              <w:spacing w:before="20"/>
              <w:ind w:left="51"/>
              <w:jc w:val="left"/>
              <w:rPr>
                <w:sz w:val="16"/>
              </w:rPr>
            </w:pPr>
            <w:r>
              <w:rPr>
                <w:sz w:val="16"/>
              </w:rPr>
              <w:t>Ms Catherine Dovey</w:t>
            </w:r>
          </w:p>
        </w:tc>
        <w:tc>
          <w:tcPr>
            <w:tcW w:w="1133" w:type="dxa"/>
            <w:tcBorders>
              <w:left w:val="single" w:sz="0" w:space="0" w:color="000000"/>
              <w:right w:val="single" w:sz="0" w:space="0" w:color="000000"/>
            </w:tcBorders>
          </w:tcPr>
          <w:p>
            <w:pPr>
              <w:pStyle w:val="TableParagraph"/>
              <w:spacing w:before="19"/>
              <w:ind w:right="464"/>
              <w:rPr>
                <w:sz w:val="16"/>
              </w:rPr>
            </w:pPr>
            <w:r>
              <w:rPr>
                <w:w w:val="99"/>
                <w:sz w:val="16"/>
              </w:rPr>
              <w:t>4</w:t>
            </w:r>
          </w:p>
        </w:tc>
        <w:tc>
          <w:tcPr>
            <w:tcW w:w="1128" w:type="dxa"/>
            <w:tcBorders>
              <w:left w:val="single" w:sz="0" w:space="0" w:color="000000"/>
              <w:right w:val="single" w:sz="0" w:space="0" w:color="000000"/>
            </w:tcBorders>
          </w:tcPr>
          <w:p>
            <w:pPr>
              <w:pStyle w:val="TableParagraph"/>
              <w:spacing w:before="19"/>
              <w:ind w:right="460"/>
              <w:rPr>
                <w:sz w:val="16"/>
              </w:rPr>
            </w:pPr>
            <w:r>
              <w:rPr>
                <w:w w:val="99"/>
                <w:sz w:val="16"/>
              </w:rPr>
              <w:t>4</w:t>
            </w:r>
          </w:p>
        </w:tc>
      </w:tr>
      <w:tr>
        <w:trPr>
          <w:trHeight w:val="241" w:hRule="exact"/>
        </w:trPr>
        <w:tc>
          <w:tcPr>
            <w:tcW w:w="2830" w:type="dxa"/>
            <w:tcBorders>
              <w:left w:val="single" w:sz="0" w:space="0" w:color="000000"/>
              <w:right w:val="single" w:sz="0" w:space="0" w:color="000000"/>
            </w:tcBorders>
          </w:tcPr>
          <w:p>
            <w:pPr>
              <w:pStyle w:val="TableParagraph"/>
              <w:spacing w:before="20"/>
              <w:ind w:left="51"/>
              <w:jc w:val="left"/>
              <w:rPr>
                <w:sz w:val="16"/>
              </w:rPr>
            </w:pPr>
            <w:r>
              <w:rPr>
                <w:sz w:val="16"/>
              </w:rPr>
              <w:t>Mr Cameron Clyne</w:t>
            </w:r>
          </w:p>
        </w:tc>
        <w:tc>
          <w:tcPr>
            <w:tcW w:w="1133" w:type="dxa"/>
            <w:tcBorders>
              <w:left w:val="single" w:sz="0" w:space="0" w:color="000000"/>
              <w:right w:val="single" w:sz="0" w:space="0" w:color="000000"/>
            </w:tcBorders>
          </w:tcPr>
          <w:p>
            <w:pPr>
              <w:pStyle w:val="TableParagraph"/>
              <w:spacing w:before="19"/>
              <w:ind w:right="464"/>
              <w:rPr>
                <w:sz w:val="16"/>
              </w:rPr>
            </w:pPr>
            <w:r>
              <w:rPr>
                <w:w w:val="99"/>
                <w:sz w:val="16"/>
              </w:rPr>
              <w:t>1</w:t>
            </w:r>
          </w:p>
        </w:tc>
        <w:tc>
          <w:tcPr>
            <w:tcW w:w="1128" w:type="dxa"/>
            <w:tcBorders>
              <w:left w:val="single" w:sz="0" w:space="0" w:color="000000"/>
              <w:right w:val="single" w:sz="0" w:space="0" w:color="000000"/>
            </w:tcBorders>
          </w:tcPr>
          <w:p>
            <w:pPr>
              <w:pStyle w:val="TableParagraph"/>
              <w:spacing w:before="19"/>
              <w:ind w:right="460"/>
              <w:rPr>
                <w:sz w:val="16"/>
              </w:rPr>
            </w:pPr>
            <w:r>
              <w:rPr>
                <w:w w:val="99"/>
                <w:sz w:val="16"/>
              </w:rPr>
              <w:t>1</w:t>
            </w:r>
          </w:p>
        </w:tc>
      </w:tr>
      <w:tr>
        <w:trPr>
          <w:trHeight w:val="241" w:hRule="exact"/>
        </w:trPr>
        <w:tc>
          <w:tcPr>
            <w:tcW w:w="2830" w:type="dxa"/>
            <w:tcBorders>
              <w:left w:val="single" w:sz="0" w:space="0" w:color="000000"/>
              <w:right w:val="single" w:sz="0" w:space="0" w:color="000000"/>
            </w:tcBorders>
          </w:tcPr>
          <w:p>
            <w:pPr>
              <w:pStyle w:val="TableParagraph"/>
              <w:spacing w:before="20"/>
              <w:ind w:left="51"/>
              <w:jc w:val="left"/>
              <w:rPr>
                <w:sz w:val="16"/>
              </w:rPr>
            </w:pPr>
            <w:r>
              <w:rPr>
                <w:sz w:val="16"/>
              </w:rPr>
              <w:t>Mr Geoffrey Roberson</w:t>
            </w:r>
          </w:p>
        </w:tc>
        <w:tc>
          <w:tcPr>
            <w:tcW w:w="1133" w:type="dxa"/>
            <w:tcBorders>
              <w:left w:val="single" w:sz="0" w:space="0" w:color="000000"/>
              <w:right w:val="single" w:sz="0" w:space="0" w:color="000000"/>
            </w:tcBorders>
          </w:tcPr>
          <w:p>
            <w:pPr>
              <w:pStyle w:val="TableParagraph"/>
              <w:spacing w:before="19"/>
              <w:ind w:right="464"/>
              <w:rPr>
                <w:sz w:val="16"/>
              </w:rPr>
            </w:pPr>
            <w:r>
              <w:rPr>
                <w:w w:val="99"/>
                <w:sz w:val="16"/>
              </w:rPr>
              <w:t>4</w:t>
            </w:r>
          </w:p>
        </w:tc>
        <w:tc>
          <w:tcPr>
            <w:tcW w:w="1128" w:type="dxa"/>
            <w:tcBorders>
              <w:left w:val="single" w:sz="0" w:space="0" w:color="000000"/>
              <w:right w:val="single" w:sz="0" w:space="0" w:color="000000"/>
            </w:tcBorders>
          </w:tcPr>
          <w:p>
            <w:pPr>
              <w:pStyle w:val="TableParagraph"/>
              <w:spacing w:before="19"/>
              <w:ind w:right="460"/>
              <w:rPr>
                <w:sz w:val="16"/>
              </w:rPr>
            </w:pPr>
            <w:r>
              <w:rPr>
                <w:w w:val="99"/>
                <w:sz w:val="16"/>
              </w:rPr>
              <w:t>3</w:t>
            </w:r>
          </w:p>
        </w:tc>
      </w:tr>
      <w:tr>
        <w:trPr>
          <w:trHeight w:val="477" w:hRule="exact"/>
        </w:trPr>
        <w:tc>
          <w:tcPr>
            <w:tcW w:w="2830" w:type="dxa"/>
            <w:tcBorders>
              <w:left w:val="single" w:sz="0" w:space="0" w:color="000000"/>
              <w:bottom w:val="single" w:sz="0" w:space="0" w:color="000000"/>
              <w:right w:val="single" w:sz="0" w:space="0" w:color="000000"/>
            </w:tcBorders>
          </w:tcPr>
          <w:p>
            <w:pPr>
              <w:pStyle w:val="TableParagraph"/>
              <w:spacing w:before="20"/>
              <w:ind w:left="51"/>
              <w:jc w:val="left"/>
              <w:rPr>
                <w:sz w:val="16"/>
              </w:rPr>
            </w:pPr>
            <w:r>
              <w:rPr>
                <w:sz w:val="16"/>
              </w:rPr>
              <w:t>Dr Kerry Schott AO</w:t>
            </w:r>
          </w:p>
        </w:tc>
        <w:tc>
          <w:tcPr>
            <w:tcW w:w="1133" w:type="dxa"/>
            <w:tcBorders>
              <w:left w:val="single" w:sz="0" w:space="0" w:color="000000"/>
              <w:bottom w:val="single" w:sz="0" w:space="0" w:color="000000"/>
              <w:right w:val="single" w:sz="0" w:space="0" w:color="000000"/>
            </w:tcBorders>
          </w:tcPr>
          <w:p>
            <w:pPr>
              <w:pStyle w:val="TableParagraph"/>
              <w:spacing w:before="19"/>
              <w:ind w:right="464"/>
              <w:rPr>
                <w:sz w:val="16"/>
              </w:rPr>
            </w:pPr>
            <w:r>
              <w:rPr>
                <w:w w:val="99"/>
                <w:sz w:val="16"/>
              </w:rPr>
              <w:t>2</w:t>
            </w:r>
          </w:p>
        </w:tc>
        <w:tc>
          <w:tcPr>
            <w:tcW w:w="1128" w:type="dxa"/>
            <w:tcBorders>
              <w:left w:val="single" w:sz="0" w:space="0" w:color="000000"/>
              <w:bottom w:val="single" w:sz="0" w:space="0" w:color="000000"/>
              <w:right w:val="single" w:sz="0" w:space="0" w:color="000000"/>
            </w:tcBorders>
          </w:tcPr>
          <w:p>
            <w:pPr>
              <w:pStyle w:val="TableParagraph"/>
              <w:spacing w:before="19"/>
              <w:ind w:right="460"/>
              <w:rPr>
                <w:sz w:val="16"/>
              </w:rPr>
            </w:pPr>
            <w:r>
              <w:rPr>
                <w:w w:val="99"/>
                <w:sz w:val="16"/>
              </w:rPr>
              <w:t>2</w:t>
            </w:r>
          </w:p>
        </w:tc>
      </w:tr>
    </w:tbl>
    <w:p>
      <w:pPr>
        <w:pStyle w:val="BodyText"/>
        <w:spacing w:before="9"/>
      </w:pPr>
    </w:p>
    <w:p>
      <w:pPr>
        <w:pStyle w:val="BodyText"/>
        <w:spacing w:before="77" w:after="15"/>
        <w:ind w:left="1824"/>
      </w:pPr>
      <w:r>
        <w:rPr/>
        <w:pict>
          <v:shape style="position:absolute;margin-left:90.052979pt;margin-top:14.928446pt;width:474.55pt;height:125.1pt;mso-position-horizontal-relative:page;mso-position-vertical-relative:paragraph;z-index:-1193272" type="#_x0000_t202" filled="false" stroked="false">
            <v:textbox inset="0,0,0,0">
              <w:txbxContent>
                <w:p>
                  <w:pPr>
                    <w:pStyle w:val="BodyText"/>
                  </w:pPr>
                </w:p>
                <w:p>
                  <w:pPr>
                    <w:pStyle w:val="BodyText"/>
                  </w:pPr>
                </w:p>
                <w:p>
                  <w:pPr>
                    <w:pStyle w:val="BodyText"/>
                  </w:pPr>
                </w:p>
                <w:p>
                  <w:pPr>
                    <w:pStyle w:val="BodyText"/>
                  </w:pPr>
                </w:p>
                <w:p>
                  <w:pPr>
                    <w:pStyle w:val="BodyText"/>
                  </w:pPr>
                </w:p>
                <w:p>
                  <w:pPr>
                    <w:pStyle w:val="BodyText"/>
                    <w:spacing w:before="8"/>
                    <w:rPr>
                      <w:sz w:val="19"/>
                    </w:rPr>
                  </w:pPr>
                </w:p>
                <w:p>
                  <w:pPr>
                    <w:pStyle w:val="BodyText"/>
                    <w:ind w:left="21"/>
                  </w:pPr>
                  <w:r>
                    <w:rPr/>
                    <w:t>Director: ...............................................................................  Director: ..............................................................................</w:t>
                  </w:r>
                </w:p>
                <w:p>
                  <w:pPr>
                    <w:pStyle w:val="BodyText"/>
                    <w:tabs>
                      <w:tab w:pos="6351" w:val="left" w:leader="none"/>
                    </w:tabs>
                    <w:spacing w:before="27"/>
                    <w:ind w:left="1416"/>
                  </w:pPr>
                  <w:r>
                    <w:rPr/>
                    <w:t>The Hon.</w:t>
                  </w:r>
                  <w:r>
                    <w:rPr>
                      <w:spacing w:val="-8"/>
                    </w:rPr>
                    <w:t> </w:t>
                  </w:r>
                  <w:r>
                    <w:rPr/>
                    <w:t>John</w:t>
                  </w:r>
                  <w:r>
                    <w:rPr>
                      <w:spacing w:val="-4"/>
                    </w:rPr>
                    <w:t> </w:t>
                  </w:r>
                  <w:r>
                    <w:rPr/>
                    <w:t>Faulkner</w:t>
                    <w:tab/>
                    <w:t>Ms Gabrielle</w:t>
                  </w:r>
                  <w:r>
                    <w:rPr>
                      <w:spacing w:val="-19"/>
                    </w:rPr>
                    <w:t> </w:t>
                  </w:r>
                  <w:r>
                    <w:rPr/>
                    <w:t>Trainor</w:t>
                  </w:r>
                </w:p>
                <w:p>
                  <w:pPr>
                    <w:pStyle w:val="BodyText"/>
                  </w:pPr>
                </w:p>
                <w:p>
                  <w:pPr>
                    <w:pStyle w:val="BodyText"/>
                  </w:pPr>
                </w:p>
                <w:p>
                  <w:pPr>
                    <w:pStyle w:val="BodyText"/>
                    <w:spacing w:before="1"/>
                    <w:rPr>
                      <w:sz w:val="14"/>
                    </w:rPr>
                  </w:pPr>
                </w:p>
                <w:p>
                  <w:pPr>
                    <w:pStyle w:val="BodyText"/>
                    <w:ind w:left="22"/>
                  </w:pPr>
                  <w:r>
                    <w:rPr/>
                    <w:t>Dated 17 February 2017</w:t>
                  </w:r>
                </w:p>
              </w:txbxContent>
            </v:textbox>
            <w10:wrap type="none"/>
          </v:shape>
        </w:pict>
      </w:r>
      <w:r>
        <w:rPr/>
        <w:drawing>
          <wp:anchor distT="0" distB="0" distL="0" distR="0" allowOverlap="1" layoutInCell="1" locked="0" behindDoc="0" simplePos="0" relativeHeight="15088">
            <wp:simplePos x="0" y="0"/>
            <wp:positionH relativeFrom="page">
              <wp:posOffset>-1587</wp:posOffset>
            </wp:positionH>
            <wp:positionV relativeFrom="paragraph">
              <wp:posOffset>499921</wp:posOffset>
            </wp:positionV>
            <wp:extent cx="135159" cy="154019"/>
            <wp:effectExtent l="0" t="0" r="0" b="0"/>
            <wp:wrapNone/>
            <wp:docPr id="1035" name="image13.png" descr=""/>
            <wp:cNvGraphicFramePr>
              <a:graphicFrameLocks noChangeAspect="1"/>
            </wp:cNvGraphicFramePr>
            <a:graphic>
              <a:graphicData uri="http://schemas.openxmlformats.org/drawingml/2006/picture">
                <pic:pic>
                  <pic:nvPicPr>
                    <pic:cNvPr id="1036" name="image13.png"/>
                    <pic:cNvPicPr/>
                  </pic:nvPicPr>
                  <pic:blipFill>
                    <a:blip r:embed="rId18" cstate="print"/>
                    <a:stretch>
                      <a:fillRect/>
                    </a:stretch>
                  </pic:blipFill>
                  <pic:spPr>
                    <a:xfrm>
                      <a:off x="0" y="0"/>
                      <a:ext cx="135159" cy="154019"/>
                    </a:xfrm>
                    <a:prstGeom prst="rect">
                      <a:avLst/>
                    </a:prstGeom>
                  </pic:spPr>
                </pic:pic>
              </a:graphicData>
            </a:graphic>
          </wp:anchor>
        </w:drawing>
      </w:r>
      <w:r>
        <w:rPr/>
        <w:drawing>
          <wp:anchor distT="0" distB="0" distL="0" distR="0" allowOverlap="1" layoutInCell="1" locked="0" behindDoc="0" simplePos="0" relativeHeight="15112">
            <wp:simplePos x="0" y="0"/>
            <wp:positionH relativeFrom="page">
              <wp:posOffset>7958429</wp:posOffset>
            </wp:positionH>
            <wp:positionV relativeFrom="paragraph">
              <wp:posOffset>499921</wp:posOffset>
            </wp:positionV>
            <wp:extent cx="135953" cy="155575"/>
            <wp:effectExtent l="0" t="0" r="0" b="0"/>
            <wp:wrapNone/>
            <wp:docPr id="1037" name="image15.png" descr=""/>
            <wp:cNvGraphicFramePr>
              <a:graphicFrameLocks noChangeAspect="1"/>
            </wp:cNvGraphicFramePr>
            <a:graphic>
              <a:graphicData uri="http://schemas.openxmlformats.org/drawingml/2006/picture">
                <pic:pic>
                  <pic:nvPicPr>
                    <pic:cNvPr id="1038" name="image15.png"/>
                    <pic:cNvPicPr/>
                  </pic:nvPicPr>
                  <pic:blipFill>
                    <a:blip r:embed="rId20" cstate="print"/>
                    <a:stretch>
                      <a:fillRect/>
                    </a:stretch>
                  </pic:blipFill>
                  <pic:spPr>
                    <a:xfrm>
                      <a:off x="0" y="0"/>
                      <a:ext cx="135953" cy="155575"/>
                    </a:xfrm>
                    <a:prstGeom prst="rect">
                      <a:avLst/>
                    </a:prstGeom>
                  </pic:spPr>
                </pic:pic>
              </a:graphicData>
            </a:graphic>
          </wp:anchor>
        </w:drawing>
      </w:r>
      <w:r>
        <w:rPr/>
        <w:t>This report is made in accordance with a resolution of the Trustee.</w:t>
      </w:r>
    </w:p>
    <w:p>
      <w:pPr>
        <w:pStyle w:val="BodyText"/>
        <w:ind w:left="1801"/>
        <w:rPr>
          <w:sz w:val="20"/>
        </w:rPr>
      </w:pPr>
      <w:r>
        <w:rPr>
          <w:sz w:val="20"/>
        </w:rPr>
        <w:drawing>
          <wp:inline distT="0" distB="0" distL="0" distR="0">
            <wp:extent cx="6001597" cy="1581626"/>
            <wp:effectExtent l="0" t="0" r="0" b="0"/>
            <wp:docPr id="1039" name="image63.jpeg" descr=""/>
            <wp:cNvGraphicFramePr>
              <a:graphicFrameLocks noChangeAspect="1"/>
            </wp:cNvGraphicFramePr>
            <a:graphic>
              <a:graphicData uri="http://schemas.openxmlformats.org/drawingml/2006/picture">
                <pic:pic>
                  <pic:nvPicPr>
                    <pic:cNvPr id="1040" name="image63.jpeg"/>
                    <pic:cNvPicPr/>
                  </pic:nvPicPr>
                  <pic:blipFill>
                    <a:blip r:embed="rId141" cstate="print"/>
                    <a:stretch>
                      <a:fillRect/>
                    </a:stretch>
                  </pic:blipFill>
                  <pic:spPr>
                    <a:xfrm>
                      <a:off x="0" y="0"/>
                      <a:ext cx="6001597" cy="1581626"/>
                    </a:xfrm>
                    <a:prstGeom prst="rect">
                      <a:avLst/>
                    </a:prstGeom>
                  </pic:spPr>
                </pic:pic>
              </a:graphicData>
            </a:graphic>
          </wp:inline>
        </w:drawing>
      </w:r>
      <w:r>
        <w:rPr>
          <w:sz w:val="20"/>
        </w:rPr>
      </w:r>
    </w:p>
    <w:p>
      <w:pPr>
        <w:spacing w:after="0"/>
        <w:rPr>
          <w:sz w:val="20"/>
        </w:rPr>
        <w:sectPr>
          <w:pgSz w:w="12750" w:h="17680"/>
          <w:pgMar w:header="0" w:footer="927" w:top="1880" w:bottom="1120" w:left="0" w:right="0"/>
        </w:sectPr>
      </w:pPr>
    </w:p>
    <w:p>
      <w:pPr>
        <w:pStyle w:val="BodyText"/>
        <w:spacing w:before="2"/>
        <w:rPr>
          <w:rFonts w:ascii="Times New Roman"/>
          <w:sz w:val="24"/>
        </w:rPr>
      </w:pPr>
      <w:r>
        <w:rPr/>
        <w:drawing>
          <wp:anchor distT="0" distB="0" distL="0" distR="0" allowOverlap="1" layoutInCell="1" locked="0" behindDoc="0" simplePos="0" relativeHeight="15136">
            <wp:simplePos x="0" y="0"/>
            <wp:positionH relativeFrom="page">
              <wp:posOffset>-1587</wp:posOffset>
            </wp:positionH>
            <wp:positionV relativeFrom="page">
              <wp:posOffset>5534342</wp:posOffset>
            </wp:positionV>
            <wp:extent cx="135159" cy="154019"/>
            <wp:effectExtent l="0" t="0" r="0" b="0"/>
            <wp:wrapNone/>
            <wp:docPr id="1043" name="image13.png" descr=""/>
            <wp:cNvGraphicFramePr>
              <a:graphicFrameLocks noChangeAspect="1"/>
            </wp:cNvGraphicFramePr>
            <a:graphic>
              <a:graphicData uri="http://schemas.openxmlformats.org/drawingml/2006/picture">
                <pic:pic>
                  <pic:nvPicPr>
                    <pic:cNvPr id="1044" name="image13.png"/>
                    <pic:cNvPicPr/>
                  </pic:nvPicPr>
                  <pic:blipFill>
                    <a:blip r:embed="rId18" cstate="print"/>
                    <a:stretch>
                      <a:fillRect/>
                    </a:stretch>
                  </pic:blipFill>
                  <pic:spPr>
                    <a:xfrm>
                      <a:off x="0" y="0"/>
                      <a:ext cx="135159" cy="154019"/>
                    </a:xfrm>
                    <a:prstGeom prst="rect">
                      <a:avLst/>
                    </a:prstGeom>
                  </pic:spPr>
                </pic:pic>
              </a:graphicData>
            </a:graphic>
          </wp:anchor>
        </w:drawing>
      </w:r>
      <w:r>
        <w:rPr/>
        <w:drawing>
          <wp:anchor distT="0" distB="0" distL="0" distR="0" allowOverlap="1" layoutInCell="1" locked="0" behindDoc="0" simplePos="0" relativeHeight="15160">
            <wp:simplePos x="0" y="0"/>
            <wp:positionH relativeFrom="page">
              <wp:posOffset>7958429</wp:posOffset>
            </wp:positionH>
            <wp:positionV relativeFrom="page">
              <wp:posOffset>5534342</wp:posOffset>
            </wp:positionV>
            <wp:extent cx="135953" cy="155575"/>
            <wp:effectExtent l="0" t="0" r="0" b="0"/>
            <wp:wrapNone/>
            <wp:docPr id="1045" name="image15.png" descr=""/>
            <wp:cNvGraphicFramePr>
              <a:graphicFrameLocks noChangeAspect="1"/>
            </wp:cNvGraphicFramePr>
            <a:graphic>
              <a:graphicData uri="http://schemas.openxmlformats.org/drawingml/2006/picture">
                <pic:pic>
                  <pic:nvPicPr>
                    <pic:cNvPr id="1046" name="image15.png"/>
                    <pic:cNvPicPr/>
                  </pic:nvPicPr>
                  <pic:blipFill>
                    <a:blip r:embed="rId20" cstate="print"/>
                    <a:stretch>
                      <a:fillRect/>
                    </a:stretch>
                  </pic:blipFill>
                  <pic:spPr>
                    <a:xfrm>
                      <a:off x="0" y="0"/>
                      <a:ext cx="135953" cy="155575"/>
                    </a:xfrm>
                    <a:prstGeom prst="rect">
                      <a:avLst/>
                    </a:prstGeom>
                  </pic:spPr>
                </pic:pic>
              </a:graphicData>
            </a:graphic>
          </wp:anchor>
        </w:drawing>
      </w:r>
    </w:p>
    <w:tbl>
      <w:tblPr>
        <w:tblW w:w="0" w:type="auto"/>
        <w:jc w:val="left"/>
        <w:tblInd w:w="139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836"/>
        <w:gridCol w:w="1448"/>
        <w:gridCol w:w="1560"/>
        <w:gridCol w:w="1109"/>
      </w:tblGrid>
      <w:tr>
        <w:trPr>
          <w:trHeight w:val="911" w:hRule="exact"/>
        </w:trPr>
        <w:tc>
          <w:tcPr>
            <w:tcW w:w="5836" w:type="dxa"/>
          </w:tcPr>
          <w:p>
            <w:pPr>
              <w:pStyle w:val="TableParagraph"/>
              <w:spacing w:before="64"/>
              <w:ind w:left="35"/>
              <w:jc w:val="left"/>
              <w:rPr>
                <w:b/>
                <w:sz w:val="28"/>
              </w:rPr>
            </w:pPr>
            <w:r>
              <w:rPr>
                <w:b/>
                <w:sz w:val="28"/>
              </w:rPr>
              <w:t>Statement of comprehensive income</w:t>
            </w:r>
          </w:p>
          <w:p>
            <w:pPr>
              <w:pStyle w:val="TableParagraph"/>
              <w:spacing w:before="57"/>
              <w:ind w:left="35"/>
              <w:jc w:val="left"/>
              <w:rPr>
                <w:b/>
                <w:sz w:val="22"/>
              </w:rPr>
            </w:pPr>
            <w:bookmarkStart w:name="Statement of comprehensive income" w:id="439"/>
            <w:bookmarkEnd w:id="439"/>
            <w:r>
              <w:rPr/>
            </w:r>
            <w:r>
              <w:rPr>
                <w:b/>
                <w:sz w:val="22"/>
              </w:rPr>
              <w:t>For the Year Ended 31 December 2016</w:t>
            </w:r>
          </w:p>
        </w:tc>
        <w:tc>
          <w:tcPr>
            <w:tcW w:w="4117" w:type="dxa"/>
            <w:gridSpan w:val="3"/>
          </w:tcPr>
          <w:p>
            <w:pPr/>
          </w:p>
        </w:tc>
      </w:tr>
      <w:tr>
        <w:trPr>
          <w:trHeight w:val="447" w:hRule="exact"/>
        </w:trPr>
        <w:tc>
          <w:tcPr>
            <w:tcW w:w="5836" w:type="dxa"/>
          </w:tcPr>
          <w:p>
            <w:pPr/>
          </w:p>
        </w:tc>
        <w:tc>
          <w:tcPr>
            <w:tcW w:w="1448" w:type="dxa"/>
          </w:tcPr>
          <w:p>
            <w:pPr/>
          </w:p>
        </w:tc>
        <w:tc>
          <w:tcPr>
            <w:tcW w:w="1560" w:type="dxa"/>
          </w:tcPr>
          <w:p>
            <w:pPr>
              <w:pStyle w:val="TableParagraph"/>
              <w:spacing w:before="1"/>
              <w:jc w:val="left"/>
              <w:rPr>
                <w:rFonts w:ascii="Times New Roman"/>
                <w:sz w:val="17"/>
              </w:rPr>
            </w:pPr>
          </w:p>
          <w:p>
            <w:pPr>
              <w:pStyle w:val="TableParagraph"/>
              <w:ind w:left="491"/>
              <w:jc w:val="left"/>
              <w:rPr>
                <w:b/>
                <w:sz w:val="18"/>
              </w:rPr>
            </w:pPr>
            <w:r>
              <w:rPr>
                <w:b/>
                <w:sz w:val="18"/>
              </w:rPr>
              <w:t>2016</w:t>
            </w:r>
          </w:p>
        </w:tc>
        <w:tc>
          <w:tcPr>
            <w:tcW w:w="1109" w:type="dxa"/>
          </w:tcPr>
          <w:p>
            <w:pPr>
              <w:pStyle w:val="TableParagraph"/>
              <w:spacing w:before="1"/>
              <w:jc w:val="left"/>
              <w:rPr>
                <w:rFonts w:ascii="Times New Roman"/>
                <w:sz w:val="17"/>
              </w:rPr>
            </w:pPr>
          </w:p>
          <w:p>
            <w:pPr>
              <w:pStyle w:val="TableParagraph"/>
              <w:ind w:left="250"/>
              <w:jc w:val="left"/>
              <w:rPr>
                <w:b/>
                <w:sz w:val="18"/>
              </w:rPr>
            </w:pPr>
            <w:r>
              <w:rPr>
                <w:b/>
                <w:sz w:val="18"/>
              </w:rPr>
              <w:t>2015</w:t>
            </w:r>
          </w:p>
        </w:tc>
      </w:tr>
      <w:tr>
        <w:trPr>
          <w:trHeight w:val="313" w:hRule="exact"/>
        </w:trPr>
        <w:tc>
          <w:tcPr>
            <w:tcW w:w="5836" w:type="dxa"/>
          </w:tcPr>
          <w:p>
            <w:pPr/>
          </w:p>
        </w:tc>
        <w:tc>
          <w:tcPr>
            <w:tcW w:w="1448" w:type="dxa"/>
          </w:tcPr>
          <w:p>
            <w:pPr>
              <w:pStyle w:val="TableParagraph"/>
              <w:spacing w:before="24"/>
              <w:ind w:left="897" w:right="11"/>
              <w:jc w:val="center"/>
              <w:rPr>
                <w:b/>
                <w:sz w:val="18"/>
              </w:rPr>
            </w:pPr>
            <w:r>
              <w:rPr>
                <w:b/>
                <w:sz w:val="18"/>
              </w:rPr>
              <w:t>Notes</w:t>
            </w:r>
          </w:p>
        </w:tc>
        <w:tc>
          <w:tcPr>
            <w:tcW w:w="1560" w:type="dxa"/>
          </w:tcPr>
          <w:p>
            <w:pPr>
              <w:pStyle w:val="TableParagraph"/>
              <w:spacing w:before="24"/>
              <w:ind w:right="173"/>
              <w:jc w:val="center"/>
              <w:rPr>
                <w:b/>
                <w:sz w:val="18"/>
              </w:rPr>
            </w:pPr>
            <w:r>
              <w:rPr>
                <w:b/>
                <w:w w:val="99"/>
                <w:sz w:val="18"/>
              </w:rPr>
              <w:t>$</w:t>
            </w:r>
          </w:p>
        </w:tc>
        <w:tc>
          <w:tcPr>
            <w:tcW w:w="1109" w:type="dxa"/>
          </w:tcPr>
          <w:p>
            <w:pPr>
              <w:pStyle w:val="TableParagraph"/>
              <w:spacing w:before="24"/>
              <w:ind w:right="204"/>
              <w:jc w:val="center"/>
              <w:rPr>
                <w:b/>
                <w:sz w:val="18"/>
              </w:rPr>
            </w:pPr>
            <w:r>
              <w:rPr>
                <w:b/>
                <w:w w:val="99"/>
                <w:sz w:val="18"/>
              </w:rPr>
              <w:t>$</w:t>
            </w:r>
          </w:p>
        </w:tc>
      </w:tr>
      <w:tr>
        <w:trPr>
          <w:trHeight w:val="364" w:hRule="exact"/>
        </w:trPr>
        <w:tc>
          <w:tcPr>
            <w:tcW w:w="5836" w:type="dxa"/>
          </w:tcPr>
          <w:p>
            <w:pPr>
              <w:pStyle w:val="TableParagraph"/>
              <w:spacing w:before="63"/>
              <w:ind w:left="79"/>
              <w:jc w:val="left"/>
              <w:rPr>
                <w:b/>
                <w:sz w:val="18"/>
              </w:rPr>
            </w:pPr>
            <w:r>
              <w:rPr>
                <w:b/>
                <w:sz w:val="18"/>
              </w:rPr>
              <w:t>Revenue</w:t>
            </w:r>
          </w:p>
        </w:tc>
        <w:tc>
          <w:tcPr>
            <w:tcW w:w="1448" w:type="dxa"/>
          </w:tcPr>
          <w:p>
            <w:pPr>
              <w:pStyle w:val="TableParagraph"/>
              <w:spacing w:line="186" w:lineRule="exact"/>
              <w:ind w:left="888"/>
              <w:jc w:val="center"/>
              <w:rPr>
                <w:sz w:val="18"/>
              </w:rPr>
            </w:pPr>
            <w:r>
              <w:rPr>
                <w:w w:val="99"/>
                <w:sz w:val="18"/>
              </w:rPr>
              <w:t>3</w:t>
            </w:r>
          </w:p>
        </w:tc>
        <w:tc>
          <w:tcPr>
            <w:tcW w:w="1560" w:type="dxa"/>
          </w:tcPr>
          <w:p>
            <w:pPr/>
          </w:p>
        </w:tc>
        <w:tc>
          <w:tcPr>
            <w:tcW w:w="1109" w:type="dxa"/>
          </w:tcPr>
          <w:p>
            <w:pPr/>
          </w:p>
        </w:tc>
      </w:tr>
      <w:tr>
        <w:trPr>
          <w:trHeight w:val="320" w:hRule="exact"/>
        </w:trPr>
        <w:tc>
          <w:tcPr>
            <w:tcW w:w="5836" w:type="dxa"/>
          </w:tcPr>
          <w:p>
            <w:pPr>
              <w:pStyle w:val="TableParagraph"/>
              <w:spacing w:before="74"/>
              <w:ind w:left="79"/>
              <w:jc w:val="left"/>
              <w:rPr>
                <w:sz w:val="18"/>
              </w:rPr>
            </w:pPr>
            <w:r>
              <w:rPr>
                <w:sz w:val="18"/>
              </w:rPr>
              <w:t>Services</w:t>
            </w:r>
          </w:p>
        </w:tc>
        <w:tc>
          <w:tcPr>
            <w:tcW w:w="1448" w:type="dxa"/>
          </w:tcPr>
          <w:p>
            <w:pPr>
              <w:pStyle w:val="TableParagraph"/>
              <w:spacing w:before="75"/>
              <w:ind w:left="888"/>
              <w:jc w:val="center"/>
              <w:rPr>
                <w:sz w:val="18"/>
              </w:rPr>
            </w:pPr>
            <w:r>
              <w:rPr>
                <w:w w:val="99"/>
                <w:sz w:val="18"/>
              </w:rPr>
              <w:t>3</w:t>
            </w:r>
          </w:p>
        </w:tc>
        <w:tc>
          <w:tcPr>
            <w:tcW w:w="1560" w:type="dxa"/>
          </w:tcPr>
          <w:p>
            <w:pPr>
              <w:pStyle w:val="TableParagraph"/>
              <w:spacing w:before="75"/>
              <w:ind w:right="308"/>
              <w:rPr>
                <w:b/>
                <w:sz w:val="18"/>
              </w:rPr>
            </w:pPr>
            <w:r>
              <w:rPr>
                <w:b/>
                <w:w w:val="95"/>
                <w:sz w:val="18"/>
              </w:rPr>
              <w:t>150,725</w:t>
            </w:r>
          </w:p>
        </w:tc>
        <w:tc>
          <w:tcPr>
            <w:tcW w:w="1109" w:type="dxa"/>
          </w:tcPr>
          <w:p>
            <w:pPr>
              <w:pStyle w:val="TableParagraph"/>
              <w:spacing w:before="75"/>
              <w:ind w:right="86"/>
              <w:rPr>
                <w:sz w:val="18"/>
              </w:rPr>
            </w:pPr>
            <w:r>
              <w:rPr>
                <w:w w:val="95"/>
                <w:sz w:val="18"/>
              </w:rPr>
              <w:t>79,328</w:t>
            </w:r>
          </w:p>
        </w:tc>
      </w:tr>
      <w:tr>
        <w:trPr>
          <w:trHeight w:val="264" w:hRule="exact"/>
        </w:trPr>
        <w:tc>
          <w:tcPr>
            <w:tcW w:w="5836" w:type="dxa"/>
          </w:tcPr>
          <w:p>
            <w:pPr>
              <w:pStyle w:val="TableParagraph"/>
              <w:spacing w:before="18"/>
              <w:ind w:left="79"/>
              <w:jc w:val="left"/>
              <w:rPr>
                <w:sz w:val="18"/>
              </w:rPr>
            </w:pPr>
            <w:r>
              <w:rPr>
                <w:sz w:val="18"/>
              </w:rPr>
              <w:t>Other revenue</w:t>
            </w:r>
          </w:p>
        </w:tc>
        <w:tc>
          <w:tcPr>
            <w:tcW w:w="1448" w:type="dxa"/>
          </w:tcPr>
          <w:p>
            <w:pPr>
              <w:pStyle w:val="TableParagraph"/>
              <w:spacing w:before="19"/>
              <w:ind w:left="888"/>
              <w:jc w:val="center"/>
              <w:rPr>
                <w:sz w:val="18"/>
              </w:rPr>
            </w:pPr>
            <w:r>
              <w:rPr>
                <w:w w:val="99"/>
                <w:sz w:val="18"/>
              </w:rPr>
              <w:t>3</w:t>
            </w:r>
          </w:p>
        </w:tc>
        <w:tc>
          <w:tcPr>
            <w:tcW w:w="1560" w:type="dxa"/>
          </w:tcPr>
          <w:p>
            <w:pPr>
              <w:pStyle w:val="TableParagraph"/>
              <w:spacing w:before="19"/>
              <w:ind w:right="308"/>
              <w:rPr>
                <w:b/>
                <w:sz w:val="18"/>
              </w:rPr>
            </w:pPr>
            <w:r>
              <w:rPr>
                <w:b/>
                <w:w w:val="95"/>
                <w:sz w:val="18"/>
              </w:rPr>
              <w:t>14,079</w:t>
            </w:r>
          </w:p>
        </w:tc>
        <w:tc>
          <w:tcPr>
            <w:tcW w:w="1109" w:type="dxa"/>
          </w:tcPr>
          <w:p>
            <w:pPr>
              <w:pStyle w:val="TableParagraph"/>
              <w:spacing w:before="19"/>
              <w:ind w:right="86"/>
              <w:rPr>
                <w:sz w:val="18"/>
              </w:rPr>
            </w:pPr>
            <w:r>
              <w:rPr>
                <w:w w:val="95"/>
                <w:sz w:val="18"/>
              </w:rPr>
              <w:t>11,341</w:t>
            </w:r>
          </w:p>
        </w:tc>
      </w:tr>
      <w:tr>
        <w:trPr>
          <w:trHeight w:val="263" w:hRule="exact"/>
        </w:trPr>
        <w:tc>
          <w:tcPr>
            <w:tcW w:w="5836" w:type="dxa"/>
          </w:tcPr>
          <w:p>
            <w:pPr>
              <w:pStyle w:val="TableParagraph"/>
              <w:spacing w:before="18"/>
              <w:ind w:left="79"/>
              <w:jc w:val="left"/>
              <w:rPr>
                <w:sz w:val="18"/>
              </w:rPr>
            </w:pPr>
            <w:r>
              <w:rPr>
                <w:sz w:val="18"/>
              </w:rPr>
              <w:t>Contribution of assets</w:t>
            </w:r>
          </w:p>
        </w:tc>
        <w:tc>
          <w:tcPr>
            <w:tcW w:w="1448" w:type="dxa"/>
          </w:tcPr>
          <w:p>
            <w:pPr/>
          </w:p>
        </w:tc>
        <w:tc>
          <w:tcPr>
            <w:tcW w:w="1560" w:type="dxa"/>
            <w:tcBorders>
              <w:bottom w:val="single" w:sz="0" w:space="0" w:color="000000"/>
            </w:tcBorders>
          </w:tcPr>
          <w:p>
            <w:pPr>
              <w:pStyle w:val="TableParagraph"/>
              <w:spacing w:before="19"/>
              <w:ind w:right="308"/>
              <w:rPr>
                <w:b/>
                <w:sz w:val="18"/>
              </w:rPr>
            </w:pPr>
            <w:r>
              <w:rPr>
                <w:b/>
                <w:w w:val="95"/>
                <w:sz w:val="18"/>
              </w:rPr>
              <w:t>31,575</w:t>
            </w:r>
          </w:p>
        </w:tc>
        <w:tc>
          <w:tcPr>
            <w:tcW w:w="1109" w:type="dxa"/>
            <w:tcBorders>
              <w:bottom w:val="single" w:sz="0" w:space="0" w:color="000000"/>
            </w:tcBorders>
          </w:tcPr>
          <w:p>
            <w:pPr>
              <w:pStyle w:val="TableParagraph"/>
              <w:spacing w:before="19"/>
              <w:ind w:right="86"/>
              <w:rPr>
                <w:sz w:val="18"/>
              </w:rPr>
            </w:pPr>
            <w:r>
              <w:rPr>
                <w:w w:val="99"/>
                <w:sz w:val="18"/>
              </w:rPr>
              <w:t>-</w:t>
            </w:r>
          </w:p>
        </w:tc>
      </w:tr>
      <w:tr>
        <w:trPr>
          <w:trHeight w:val="343" w:hRule="exact"/>
        </w:trPr>
        <w:tc>
          <w:tcPr>
            <w:tcW w:w="5836" w:type="dxa"/>
          </w:tcPr>
          <w:p>
            <w:pPr>
              <w:pStyle w:val="TableParagraph"/>
              <w:spacing w:before="123"/>
              <w:ind w:left="79"/>
              <w:jc w:val="left"/>
              <w:rPr>
                <w:b/>
                <w:sz w:val="18"/>
              </w:rPr>
            </w:pPr>
            <w:r>
              <w:rPr>
                <w:b/>
                <w:sz w:val="18"/>
              </w:rPr>
              <w:t>Total revenue</w:t>
            </w:r>
          </w:p>
        </w:tc>
        <w:tc>
          <w:tcPr>
            <w:tcW w:w="1448" w:type="dxa"/>
          </w:tcPr>
          <w:p>
            <w:pPr/>
          </w:p>
        </w:tc>
        <w:tc>
          <w:tcPr>
            <w:tcW w:w="1560" w:type="dxa"/>
            <w:tcBorders>
              <w:top w:val="single" w:sz="0" w:space="0" w:color="000000"/>
              <w:bottom w:val="single" w:sz="0" w:space="0" w:color="000000"/>
            </w:tcBorders>
          </w:tcPr>
          <w:p>
            <w:pPr>
              <w:pStyle w:val="TableParagraph"/>
              <w:spacing w:before="122"/>
              <w:ind w:right="308"/>
              <w:rPr>
                <w:b/>
                <w:sz w:val="18"/>
              </w:rPr>
            </w:pPr>
            <w:r>
              <w:rPr>
                <w:b/>
                <w:w w:val="95"/>
                <w:sz w:val="18"/>
              </w:rPr>
              <w:t>196,379</w:t>
            </w:r>
          </w:p>
        </w:tc>
        <w:tc>
          <w:tcPr>
            <w:tcW w:w="1109" w:type="dxa"/>
            <w:tcBorders>
              <w:top w:val="single" w:sz="0" w:space="0" w:color="000000"/>
              <w:bottom w:val="single" w:sz="0" w:space="0" w:color="000000"/>
            </w:tcBorders>
          </w:tcPr>
          <w:p>
            <w:pPr>
              <w:pStyle w:val="TableParagraph"/>
              <w:spacing w:before="122"/>
              <w:ind w:right="86"/>
              <w:rPr>
                <w:sz w:val="18"/>
              </w:rPr>
            </w:pPr>
            <w:r>
              <w:rPr>
                <w:w w:val="95"/>
                <w:sz w:val="18"/>
              </w:rPr>
              <w:t>90,669</w:t>
            </w:r>
          </w:p>
        </w:tc>
      </w:tr>
      <w:tr>
        <w:trPr>
          <w:trHeight w:val="598" w:hRule="exact"/>
        </w:trPr>
        <w:tc>
          <w:tcPr>
            <w:tcW w:w="5836" w:type="dxa"/>
          </w:tcPr>
          <w:p>
            <w:pPr>
              <w:pStyle w:val="TableParagraph"/>
              <w:spacing w:before="10"/>
              <w:jc w:val="left"/>
              <w:rPr>
                <w:rFonts w:ascii="Times New Roman"/>
                <w:sz w:val="25"/>
              </w:rPr>
            </w:pPr>
          </w:p>
          <w:p>
            <w:pPr>
              <w:pStyle w:val="TableParagraph"/>
              <w:ind w:left="79"/>
              <w:jc w:val="left"/>
              <w:rPr>
                <w:b/>
                <w:sz w:val="18"/>
              </w:rPr>
            </w:pPr>
            <w:r>
              <w:rPr>
                <w:b/>
                <w:sz w:val="18"/>
              </w:rPr>
              <w:t>Expenses</w:t>
            </w:r>
          </w:p>
        </w:tc>
        <w:tc>
          <w:tcPr>
            <w:tcW w:w="1448" w:type="dxa"/>
          </w:tcPr>
          <w:p>
            <w:pPr/>
          </w:p>
        </w:tc>
        <w:tc>
          <w:tcPr>
            <w:tcW w:w="1560" w:type="dxa"/>
            <w:tcBorders>
              <w:top w:val="single" w:sz="0" w:space="0" w:color="000000"/>
            </w:tcBorders>
          </w:tcPr>
          <w:p>
            <w:pPr/>
          </w:p>
        </w:tc>
        <w:tc>
          <w:tcPr>
            <w:tcW w:w="1109" w:type="dxa"/>
            <w:tcBorders>
              <w:top w:val="single" w:sz="0" w:space="0" w:color="000000"/>
            </w:tcBorders>
          </w:tcPr>
          <w:p>
            <w:pPr/>
          </w:p>
        </w:tc>
      </w:tr>
      <w:tr>
        <w:trPr>
          <w:trHeight w:val="320" w:hRule="exact"/>
        </w:trPr>
        <w:tc>
          <w:tcPr>
            <w:tcW w:w="5836" w:type="dxa"/>
          </w:tcPr>
          <w:p>
            <w:pPr>
              <w:pStyle w:val="TableParagraph"/>
              <w:spacing w:before="74"/>
              <w:ind w:left="79"/>
              <w:jc w:val="left"/>
              <w:rPr>
                <w:sz w:val="18"/>
              </w:rPr>
            </w:pPr>
            <w:r>
              <w:rPr>
                <w:sz w:val="18"/>
              </w:rPr>
              <w:t>Contribution to Ultimate Parent Entity</w:t>
            </w:r>
          </w:p>
        </w:tc>
        <w:tc>
          <w:tcPr>
            <w:tcW w:w="1448" w:type="dxa"/>
          </w:tcPr>
          <w:p>
            <w:pPr>
              <w:pStyle w:val="TableParagraph"/>
              <w:spacing w:before="75"/>
              <w:ind w:left="888"/>
              <w:jc w:val="center"/>
              <w:rPr>
                <w:sz w:val="18"/>
              </w:rPr>
            </w:pPr>
            <w:r>
              <w:rPr>
                <w:w w:val="99"/>
                <w:sz w:val="18"/>
              </w:rPr>
              <w:t>4</w:t>
            </w:r>
          </w:p>
        </w:tc>
        <w:tc>
          <w:tcPr>
            <w:tcW w:w="1560" w:type="dxa"/>
          </w:tcPr>
          <w:p>
            <w:pPr>
              <w:pStyle w:val="TableParagraph"/>
              <w:spacing w:before="75"/>
              <w:ind w:right="248"/>
              <w:rPr>
                <w:b/>
                <w:sz w:val="18"/>
              </w:rPr>
            </w:pPr>
            <w:r>
              <w:rPr>
                <w:b/>
                <w:w w:val="95"/>
                <w:sz w:val="18"/>
              </w:rPr>
              <w:t>(55,870)</w:t>
            </w:r>
          </w:p>
        </w:tc>
        <w:tc>
          <w:tcPr>
            <w:tcW w:w="1109" w:type="dxa"/>
          </w:tcPr>
          <w:p>
            <w:pPr>
              <w:pStyle w:val="TableParagraph"/>
              <w:spacing w:before="75"/>
              <w:ind w:right="27"/>
              <w:rPr>
                <w:sz w:val="18"/>
              </w:rPr>
            </w:pPr>
            <w:r>
              <w:rPr>
                <w:w w:val="95"/>
                <w:sz w:val="18"/>
              </w:rPr>
              <w:t>(55,000)</w:t>
            </w:r>
          </w:p>
        </w:tc>
      </w:tr>
      <w:tr>
        <w:trPr>
          <w:trHeight w:val="264" w:hRule="exact"/>
        </w:trPr>
        <w:tc>
          <w:tcPr>
            <w:tcW w:w="5836" w:type="dxa"/>
          </w:tcPr>
          <w:p>
            <w:pPr>
              <w:pStyle w:val="TableParagraph"/>
              <w:spacing w:before="18"/>
              <w:ind w:left="79"/>
              <w:jc w:val="left"/>
              <w:rPr>
                <w:sz w:val="18"/>
              </w:rPr>
            </w:pPr>
            <w:r>
              <w:rPr>
                <w:sz w:val="18"/>
              </w:rPr>
              <w:t>Event expenses</w:t>
            </w:r>
          </w:p>
        </w:tc>
        <w:tc>
          <w:tcPr>
            <w:tcW w:w="1448" w:type="dxa"/>
          </w:tcPr>
          <w:p>
            <w:pPr>
              <w:pStyle w:val="TableParagraph"/>
              <w:spacing w:before="19"/>
              <w:ind w:left="888"/>
              <w:jc w:val="center"/>
              <w:rPr>
                <w:sz w:val="18"/>
              </w:rPr>
            </w:pPr>
            <w:r>
              <w:rPr>
                <w:w w:val="99"/>
                <w:sz w:val="18"/>
              </w:rPr>
              <w:t>4</w:t>
            </w:r>
          </w:p>
        </w:tc>
        <w:tc>
          <w:tcPr>
            <w:tcW w:w="1560" w:type="dxa"/>
          </w:tcPr>
          <w:p>
            <w:pPr>
              <w:pStyle w:val="TableParagraph"/>
              <w:spacing w:before="19"/>
              <w:ind w:right="249"/>
              <w:rPr>
                <w:b/>
                <w:sz w:val="18"/>
              </w:rPr>
            </w:pPr>
            <w:r>
              <w:rPr>
                <w:b/>
                <w:w w:val="95"/>
                <w:sz w:val="18"/>
              </w:rPr>
              <w:t>(1,191)</w:t>
            </w:r>
          </w:p>
        </w:tc>
        <w:tc>
          <w:tcPr>
            <w:tcW w:w="1109" w:type="dxa"/>
          </w:tcPr>
          <w:p>
            <w:pPr>
              <w:pStyle w:val="TableParagraph"/>
              <w:spacing w:before="19"/>
              <w:ind w:right="86"/>
              <w:rPr>
                <w:sz w:val="18"/>
              </w:rPr>
            </w:pPr>
            <w:r>
              <w:rPr>
                <w:w w:val="99"/>
                <w:sz w:val="18"/>
              </w:rPr>
              <w:t>-</w:t>
            </w:r>
          </w:p>
        </w:tc>
      </w:tr>
      <w:tr>
        <w:trPr>
          <w:trHeight w:val="263" w:hRule="exact"/>
        </w:trPr>
        <w:tc>
          <w:tcPr>
            <w:tcW w:w="5836" w:type="dxa"/>
          </w:tcPr>
          <w:p>
            <w:pPr>
              <w:pStyle w:val="TableParagraph"/>
              <w:spacing w:before="18"/>
              <w:ind w:left="79"/>
              <w:jc w:val="left"/>
              <w:rPr>
                <w:sz w:val="18"/>
              </w:rPr>
            </w:pPr>
            <w:r>
              <w:rPr>
                <w:sz w:val="18"/>
              </w:rPr>
              <w:t>Bank charges</w:t>
            </w:r>
          </w:p>
        </w:tc>
        <w:tc>
          <w:tcPr>
            <w:tcW w:w="1448" w:type="dxa"/>
          </w:tcPr>
          <w:p>
            <w:pPr>
              <w:pStyle w:val="TableParagraph"/>
              <w:spacing w:before="19"/>
              <w:ind w:left="888"/>
              <w:jc w:val="center"/>
              <w:rPr>
                <w:sz w:val="18"/>
              </w:rPr>
            </w:pPr>
            <w:r>
              <w:rPr>
                <w:w w:val="99"/>
                <w:sz w:val="18"/>
              </w:rPr>
              <w:t>4</w:t>
            </w:r>
          </w:p>
        </w:tc>
        <w:tc>
          <w:tcPr>
            <w:tcW w:w="1560" w:type="dxa"/>
            <w:tcBorders>
              <w:bottom w:val="single" w:sz="0" w:space="0" w:color="000000"/>
            </w:tcBorders>
          </w:tcPr>
          <w:p>
            <w:pPr>
              <w:pStyle w:val="TableParagraph"/>
              <w:spacing w:before="19"/>
              <w:ind w:right="249"/>
              <w:rPr>
                <w:b/>
                <w:sz w:val="18"/>
              </w:rPr>
            </w:pPr>
            <w:r>
              <w:rPr>
                <w:b/>
                <w:sz w:val="18"/>
              </w:rPr>
              <w:t>(197)</w:t>
            </w:r>
          </w:p>
        </w:tc>
        <w:tc>
          <w:tcPr>
            <w:tcW w:w="1109" w:type="dxa"/>
            <w:tcBorders>
              <w:bottom w:val="single" w:sz="0" w:space="0" w:color="000000"/>
            </w:tcBorders>
          </w:tcPr>
          <w:p>
            <w:pPr>
              <w:pStyle w:val="TableParagraph"/>
              <w:spacing w:before="19"/>
              <w:ind w:right="27"/>
              <w:rPr>
                <w:sz w:val="18"/>
              </w:rPr>
            </w:pPr>
            <w:r>
              <w:rPr>
                <w:sz w:val="18"/>
              </w:rPr>
              <w:t>(194)</w:t>
            </w:r>
          </w:p>
        </w:tc>
      </w:tr>
      <w:tr>
        <w:trPr>
          <w:trHeight w:val="343" w:hRule="exact"/>
        </w:trPr>
        <w:tc>
          <w:tcPr>
            <w:tcW w:w="5836" w:type="dxa"/>
          </w:tcPr>
          <w:p>
            <w:pPr>
              <w:pStyle w:val="TableParagraph"/>
              <w:spacing w:before="123"/>
              <w:ind w:left="79"/>
              <w:jc w:val="left"/>
              <w:rPr>
                <w:b/>
                <w:sz w:val="18"/>
              </w:rPr>
            </w:pPr>
            <w:r>
              <w:rPr>
                <w:b/>
                <w:sz w:val="18"/>
              </w:rPr>
              <w:t>Total expenses</w:t>
            </w:r>
          </w:p>
        </w:tc>
        <w:tc>
          <w:tcPr>
            <w:tcW w:w="1448" w:type="dxa"/>
          </w:tcPr>
          <w:p>
            <w:pPr/>
          </w:p>
        </w:tc>
        <w:tc>
          <w:tcPr>
            <w:tcW w:w="1560" w:type="dxa"/>
            <w:tcBorders>
              <w:top w:val="single" w:sz="0" w:space="0" w:color="000000"/>
              <w:bottom w:val="single" w:sz="0" w:space="0" w:color="000000"/>
            </w:tcBorders>
          </w:tcPr>
          <w:p>
            <w:pPr>
              <w:pStyle w:val="TableParagraph"/>
              <w:spacing w:before="122"/>
              <w:ind w:right="248"/>
              <w:rPr>
                <w:b/>
                <w:sz w:val="18"/>
              </w:rPr>
            </w:pPr>
            <w:r>
              <w:rPr>
                <w:b/>
                <w:w w:val="95"/>
                <w:sz w:val="18"/>
              </w:rPr>
              <w:t>(57,258)</w:t>
            </w:r>
          </w:p>
        </w:tc>
        <w:tc>
          <w:tcPr>
            <w:tcW w:w="1109" w:type="dxa"/>
            <w:tcBorders>
              <w:top w:val="single" w:sz="0" w:space="0" w:color="000000"/>
              <w:bottom w:val="single" w:sz="0" w:space="0" w:color="000000"/>
            </w:tcBorders>
          </w:tcPr>
          <w:p>
            <w:pPr>
              <w:pStyle w:val="TableParagraph"/>
              <w:spacing w:before="122"/>
              <w:ind w:right="27"/>
              <w:rPr>
                <w:sz w:val="18"/>
              </w:rPr>
            </w:pPr>
            <w:r>
              <w:rPr>
                <w:w w:val="95"/>
                <w:sz w:val="18"/>
              </w:rPr>
              <w:t>(55,194)</w:t>
            </w:r>
          </w:p>
        </w:tc>
      </w:tr>
      <w:tr>
        <w:trPr>
          <w:trHeight w:val="442" w:hRule="exact"/>
        </w:trPr>
        <w:tc>
          <w:tcPr>
            <w:tcW w:w="5836" w:type="dxa"/>
          </w:tcPr>
          <w:p>
            <w:pPr>
              <w:pStyle w:val="TableParagraph"/>
              <w:spacing w:before="2"/>
              <w:jc w:val="left"/>
              <w:rPr>
                <w:rFonts w:ascii="Times New Roman"/>
                <w:sz w:val="19"/>
              </w:rPr>
            </w:pPr>
          </w:p>
          <w:p>
            <w:pPr>
              <w:pStyle w:val="TableParagraph"/>
              <w:ind w:left="79"/>
              <w:jc w:val="left"/>
              <w:rPr>
                <w:b/>
                <w:sz w:val="18"/>
              </w:rPr>
            </w:pPr>
            <w:r>
              <w:rPr>
                <w:b/>
                <w:sz w:val="18"/>
              </w:rPr>
              <w:t>Surplus for the year</w:t>
            </w:r>
          </w:p>
        </w:tc>
        <w:tc>
          <w:tcPr>
            <w:tcW w:w="1448" w:type="dxa"/>
          </w:tcPr>
          <w:p>
            <w:pPr/>
          </w:p>
        </w:tc>
        <w:tc>
          <w:tcPr>
            <w:tcW w:w="1560" w:type="dxa"/>
            <w:tcBorders>
              <w:top w:val="single" w:sz="0" w:space="0" w:color="000000"/>
              <w:bottom w:val="single" w:sz="0" w:space="0" w:color="000000"/>
            </w:tcBorders>
          </w:tcPr>
          <w:p>
            <w:pPr>
              <w:pStyle w:val="TableParagraph"/>
              <w:spacing w:before="2"/>
              <w:jc w:val="left"/>
              <w:rPr>
                <w:rFonts w:ascii="Times New Roman"/>
                <w:sz w:val="19"/>
              </w:rPr>
            </w:pPr>
          </w:p>
          <w:p>
            <w:pPr>
              <w:pStyle w:val="TableParagraph"/>
              <w:ind w:right="308"/>
              <w:rPr>
                <w:b/>
                <w:sz w:val="18"/>
              </w:rPr>
            </w:pPr>
            <w:r>
              <w:rPr>
                <w:b/>
                <w:w w:val="95"/>
                <w:sz w:val="18"/>
              </w:rPr>
              <w:t>139,121</w:t>
            </w:r>
          </w:p>
        </w:tc>
        <w:tc>
          <w:tcPr>
            <w:tcW w:w="1109" w:type="dxa"/>
            <w:tcBorders>
              <w:top w:val="single" w:sz="0" w:space="0" w:color="000000"/>
              <w:bottom w:val="single" w:sz="0" w:space="0" w:color="000000"/>
            </w:tcBorders>
          </w:tcPr>
          <w:p>
            <w:pPr>
              <w:pStyle w:val="TableParagraph"/>
              <w:spacing w:before="2"/>
              <w:jc w:val="left"/>
              <w:rPr>
                <w:rFonts w:ascii="Times New Roman"/>
                <w:sz w:val="19"/>
              </w:rPr>
            </w:pPr>
          </w:p>
          <w:p>
            <w:pPr>
              <w:pStyle w:val="TableParagraph"/>
              <w:ind w:right="86"/>
              <w:rPr>
                <w:sz w:val="18"/>
              </w:rPr>
            </w:pPr>
            <w:r>
              <w:rPr>
                <w:w w:val="95"/>
                <w:sz w:val="18"/>
              </w:rPr>
              <w:t>35,475</w:t>
            </w:r>
          </w:p>
        </w:tc>
      </w:tr>
      <w:tr>
        <w:trPr>
          <w:trHeight w:val="927" w:hRule="exact"/>
        </w:trPr>
        <w:tc>
          <w:tcPr>
            <w:tcW w:w="5836" w:type="dxa"/>
          </w:tcPr>
          <w:p>
            <w:pPr>
              <w:pStyle w:val="TableParagraph"/>
              <w:jc w:val="left"/>
              <w:rPr>
                <w:rFonts w:ascii="Times New Roman"/>
                <w:sz w:val="18"/>
              </w:rPr>
            </w:pPr>
          </w:p>
          <w:p>
            <w:pPr>
              <w:pStyle w:val="TableParagraph"/>
              <w:spacing w:before="11"/>
              <w:jc w:val="left"/>
              <w:rPr>
                <w:rFonts w:ascii="Times New Roman"/>
                <w:sz w:val="20"/>
              </w:rPr>
            </w:pPr>
          </w:p>
          <w:p>
            <w:pPr>
              <w:pStyle w:val="TableParagraph"/>
              <w:ind w:left="79"/>
              <w:jc w:val="left"/>
              <w:rPr>
                <w:b/>
                <w:sz w:val="18"/>
              </w:rPr>
            </w:pPr>
            <w:r>
              <w:rPr>
                <w:b/>
                <w:sz w:val="18"/>
              </w:rPr>
              <w:t>Other comprehensive income for the year</w:t>
            </w:r>
          </w:p>
          <w:p>
            <w:pPr>
              <w:pStyle w:val="TableParagraph"/>
              <w:spacing w:before="27"/>
              <w:ind w:left="79"/>
              <w:jc w:val="left"/>
              <w:rPr>
                <w:sz w:val="18"/>
              </w:rPr>
            </w:pPr>
            <w:r>
              <w:rPr>
                <w:sz w:val="18"/>
              </w:rPr>
              <w:t>Revaluation changes for property, plant and equipment</w:t>
            </w:r>
          </w:p>
        </w:tc>
        <w:tc>
          <w:tcPr>
            <w:tcW w:w="1448" w:type="dxa"/>
          </w:tcPr>
          <w:p>
            <w:pPr/>
          </w:p>
        </w:tc>
        <w:tc>
          <w:tcPr>
            <w:tcW w:w="1560" w:type="dxa"/>
            <w:tcBorders>
              <w:top w:val="single" w:sz="0" w:space="0" w:color="000000"/>
              <w:bottom w:val="single" w:sz="0" w:space="0" w:color="000000"/>
            </w:tcBorders>
          </w:tcPr>
          <w:p>
            <w:pPr>
              <w:pStyle w:val="TableParagraph"/>
              <w:jc w:val="left"/>
              <w:rPr>
                <w:rFonts w:ascii="Times New Roman"/>
                <w:sz w:val="18"/>
              </w:rPr>
            </w:pPr>
          </w:p>
          <w:p>
            <w:pPr>
              <w:pStyle w:val="TableParagraph"/>
              <w:jc w:val="left"/>
              <w:rPr>
                <w:rFonts w:ascii="Times New Roman"/>
                <w:sz w:val="18"/>
              </w:rPr>
            </w:pPr>
          </w:p>
          <w:p>
            <w:pPr>
              <w:pStyle w:val="TableParagraph"/>
              <w:spacing w:before="4"/>
              <w:jc w:val="left"/>
              <w:rPr>
                <w:rFonts w:ascii="Times New Roman"/>
                <w:sz w:val="23"/>
              </w:rPr>
            </w:pPr>
          </w:p>
          <w:p>
            <w:pPr>
              <w:pStyle w:val="TableParagraph"/>
              <w:ind w:right="308"/>
              <w:rPr>
                <w:b/>
                <w:sz w:val="18"/>
              </w:rPr>
            </w:pPr>
            <w:r>
              <w:rPr>
                <w:b/>
                <w:w w:val="95"/>
                <w:sz w:val="18"/>
              </w:rPr>
              <w:t>20,040</w:t>
            </w:r>
          </w:p>
        </w:tc>
        <w:tc>
          <w:tcPr>
            <w:tcW w:w="1109" w:type="dxa"/>
            <w:tcBorders>
              <w:top w:val="single" w:sz="0" w:space="0" w:color="000000"/>
              <w:bottom w:val="single" w:sz="0" w:space="0" w:color="000000"/>
            </w:tcBorders>
          </w:tcPr>
          <w:p>
            <w:pPr>
              <w:pStyle w:val="TableParagraph"/>
              <w:jc w:val="left"/>
              <w:rPr>
                <w:rFonts w:ascii="Times New Roman"/>
                <w:sz w:val="18"/>
              </w:rPr>
            </w:pPr>
          </w:p>
          <w:p>
            <w:pPr>
              <w:pStyle w:val="TableParagraph"/>
              <w:jc w:val="left"/>
              <w:rPr>
                <w:rFonts w:ascii="Times New Roman"/>
                <w:sz w:val="18"/>
              </w:rPr>
            </w:pPr>
          </w:p>
          <w:p>
            <w:pPr>
              <w:pStyle w:val="TableParagraph"/>
              <w:spacing w:before="4"/>
              <w:jc w:val="left"/>
              <w:rPr>
                <w:rFonts w:ascii="Times New Roman"/>
                <w:sz w:val="23"/>
              </w:rPr>
            </w:pPr>
          </w:p>
          <w:p>
            <w:pPr>
              <w:pStyle w:val="TableParagraph"/>
              <w:ind w:right="86"/>
              <w:rPr>
                <w:sz w:val="18"/>
              </w:rPr>
            </w:pPr>
            <w:r>
              <w:rPr>
                <w:w w:val="99"/>
                <w:sz w:val="18"/>
              </w:rPr>
              <w:t>-</w:t>
            </w:r>
          </w:p>
        </w:tc>
      </w:tr>
      <w:tr>
        <w:trPr>
          <w:trHeight w:val="338" w:hRule="exact"/>
        </w:trPr>
        <w:tc>
          <w:tcPr>
            <w:tcW w:w="5836" w:type="dxa"/>
          </w:tcPr>
          <w:p>
            <w:pPr>
              <w:pStyle w:val="TableParagraph"/>
              <w:spacing w:before="123"/>
              <w:ind w:left="79"/>
              <w:jc w:val="left"/>
              <w:rPr>
                <w:b/>
                <w:sz w:val="18"/>
              </w:rPr>
            </w:pPr>
            <w:r>
              <w:rPr>
                <w:b/>
                <w:sz w:val="18"/>
              </w:rPr>
              <w:t>Total other comprehensive income for the year</w:t>
            </w:r>
          </w:p>
        </w:tc>
        <w:tc>
          <w:tcPr>
            <w:tcW w:w="1448" w:type="dxa"/>
          </w:tcPr>
          <w:p>
            <w:pPr/>
          </w:p>
        </w:tc>
        <w:tc>
          <w:tcPr>
            <w:tcW w:w="1560" w:type="dxa"/>
            <w:tcBorders>
              <w:top w:val="single" w:sz="0" w:space="0" w:color="000000"/>
              <w:bottom w:val="single" w:sz="0" w:space="0" w:color="000000"/>
            </w:tcBorders>
          </w:tcPr>
          <w:p>
            <w:pPr>
              <w:pStyle w:val="TableParagraph"/>
              <w:spacing w:before="122"/>
              <w:ind w:right="308"/>
              <w:rPr>
                <w:b/>
                <w:sz w:val="18"/>
              </w:rPr>
            </w:pPr>
            <w:r>
              <w:rPr>
                <w:b/>
                <w:w w:val="95"/>
                <w:sz w:val="18"/>
              </w:rPr>
              <w:t>20,040</w:t>
            </w:r>
          </w:p>
        </w:tc>
        <w:tc>
          <w:tcPr>
            <w:tcW w:w="1109" w:type="dxa"/>
            <w:tcBorders>
              <w:top w:val="single" w:sz="0" w:space="0" w:color="000000"/>
              <w:bottom w:val="single" w:sz="0" w:space="0" w:color="000000"/>
            </w:tcBorders>
          </w:tcPr>
          <w:p>
            <w:pPr>
              <w:pStyle w:val="TableParagraph"/>
              <w:spacing w:before="122"/>
              <w:ind w:right="86"/>
              <w:rPr>
                <w:sz w:val="18"/>
              </w:rPr>
            </w:pPr>
            <w:r>
              <w:rPr>
                <w:w w:val="99"/>
                <w:sz w:val="18"/>
              </w:rPr>
              <w:t>-</w:t>
            </w:r>
          </w:p>
        </w:tc>
      </w:tr>
      <w:tr>
        <w:trPr>
          <w:trHeight w:val="809" w:hRule="exact"/>
        </w:trPr>
        <w:tc>
          <w:tcPr>
            <w:tcW w:w="5836" w:type="dxa"/>
          </w:tcPr>
          <w:p>
            <w:pPr>
              <w:pStyle w:val="TableParagraph"/>
              <w:jc w:val="left"/>
              <w:rPr>
                <w:rFonts w:ascii="Times New Roman"/>
                <w:sz w:val="18"/>
              </w:rPr>
            </w:pPr>
          </w:p>
          <w:p>
            <w:pPr>
              <w:pStyle w:val="TableParagraph"/>
              <w:jc w:val="left"/>
              <w:rPr>
                <w:rFonts w:ascii="Times New Roman"/>
                <w:sz w:val="18"/>
              </w:rPr>
            </w:pPr>
          </w:p>
          <w:p>
            <w:pPr>
              <w:pStyle w:val="TableParagraph"/>
              <w:spacing w:before="147"/>
              <w:ind w:left="79"/>
              <w:jc w:val="left"/>
              <w:rPr>
                <w:b/>
                <w:sz w:val="18"/>
              </w:rPr>
            </w:pPr>
            <w:r>
              <w:rPr>
                <w:b/>
                <w:sz w:val="18"/>
              </w:rPr>
              <w:t>Total comprehensive income for the year</w:t>
            </w:r>
          </w:p>
        </w:tc>
        <w:tc>
          <w:tcPr>
            <w:tcW w:w="1448" w:type="dxa"/>
          </w:tcPr>
          <w:p>
            <w:pPr/>
          </w:p>
        </w:tc>
        <w:tc>
          <w:tcPr>
            <w:tcW w:w="1560" w:type="dxa"/>
            <w:tcBorders>
              <w:top w:val="single" w:sz="0" w:space="0" w:color="000000"/>
              <w:bottom w:val="single" w:sz="0" w:space="0" w:color="000000"/>
            </w:tcBorders>
          </w:tcPr>
          <w:p>
            <w:pPr>
              <w:pStyle w:val="TableParagraph"/>
              <w:jc w:val="left"/>
              <w:rPr>
                <w:rFonts w:ascii="Times New Roman"/>
                <w:sz w:val="18"/>
              </w:rPr>
            </w:pPr>
          </w:p>
          <w:p>
            <w:pPr>
              <w:pStyle w:val="TableParagraph"/>
              <w:jc w:val="left"/>
              <w:rPr>
                <w:rFonts w:ascii="Times New Roman"/>
                <w:sz w:val="18"/>
              </w:rPr>
            </w:pPr>
          </w:p>
          <w:p>
            <w:pPr>
              <w:pStyle w:val="TableParagraph"/>
              <w:spacing w:before="145"/>
              <w:ind w:right="308"/>
              <w:rPr>
                <w:b/>
                <w:sz w:val="18"/>
              </w:rPr>
            </w:pPr>
            <w:r>
              <w:rPr>
                <w:b/>
                <w:w w:val="95"/>
                <w:sz w:val="18"/>
              </w:rPr>
              <w:t>159,161</w:t>
            </w:r>
          </w:p>
        </w:tc>
        <w:tc>
          <w:tcPr>
            <w:tcW w:w="1109" w:type="dxa"/>
            <w:tcBorders>
              <w:top w:val="single" w:sz="0" w:space="0" w:color="000000"/>
              <w:bottom w:val="single" w:sz="0" w:space="0" w:color="000000"/>
            </w:tcBorders>
          </w:tcPr>
          <w:p>
            <w:pPr>
              <w:pStyle w:val="TableParagraph"/>
              <w:jc w:val="left"/>
              <w:rPr>
                <w:rFonts w:ascii="Times New Roman"/>
                <w:sz w:val="18"/>
              </w:rPr>
            </w:pPr>
          </w:p>
          <w:p>
            <w:pPr>
              <w:pStyle w:val="TableParagraph"/>
              <w:jc w:val="left"/>
              <w:rPr>
                <w:rFonts w:ascii="Times New Roman"/>
                <w:sz w:val="18"/>
              </w:rPr>
            </w:pPr>
          </w:p>
          <w:p>
            <w:pPr>
              <w:pStyle w:val="TableParagraph"/>
              <w:spacing w:before="145"/>
              <w:ind w:right="86"/>
              <w:rPr>
                <w:sz w:val="18"/>
              </w:rPr>
            </w:pPr>
            <w:r>
              <w:rPr>
                <w:w w:val="95"/>
                <w:sz w:val="18"/>
              </w:rPr>
              <w:t>35,475</w:t>
            </w:r>
          </w:p>
        </w:tc>
      </w:tr>
      <w:tr>
        <w:trPr>
          <w:trHeight w:val="1127" w:hRule="exact"/>
        </w:trPr>
        <w:tc>
          <w:tcPr>
            <w:tcW w:w="5836" w:type="dxa"/>
          </w:tcPr>
          <w:p>
            <w:pPr>
              <w:pStyle w:val="TableParagraph"/>
              <w:jc w:val="left"/>
              <w:rPr>
                <w:rFonts w:ascii="Times New Roman"/>
                <w:sz w:val="18"/>
              </w:rPr>
            </w:pPr>
          </w:p>
          <w:p>
            <w:pPr>
              <w:pStyle w:val="TableParagraph"/>
              <w:jc w:val="left"/>
              <w:rPr>
                <w:rFonts w:ascii="Times New Roman"/>
                <w:sz w:val="18"/>
              </w:rPr>
            </w:pPr>
          </w:p>
          <w:p>
            <w:pPr>
              <w:pStyle w:val="TableParagraph"/>
              <w:jc w:val="left"/>
              <w:rPr>
                <w:rFonts w:ascii="Times New Roman"/>
                <w:sz w:val="18"/>
              </w:rPr>
            </w:pPr>
          </w:p>
          <w:p>
            <w:pPr>
              <w:pStyle w:val="TableParagraph"/>
              <w:spacing w:before="146"/>
              <w:ind w:left="79"/>
              <w:jc w:val="left"/>
              <w:rPr>
                <w:b/>
                <w:sz w:val="18"/>
              </w:rPr>
            </w:pPr>
            <w:r>
              <w:rPr>
                <w:b/>
                <w:sz w:val="18"/>
              </w:rPr>
              <w:t>Comprehensive income for the year attributable to</w:t>
            </w:r>
          </w:p>
        </w:tc>
        <w:tc>
          <w:tcPr>
            <w:tcW w:w="1448" w:type="dxa"/>
          </w:tcPr>
          <w:p>
            <w:pPr/>
          </w:p>
        </w:tc>
        <w:tc>
          <w:tcPr>
            <w:tcW w:w="1560" w:type="dxa"/>
            <w:tcBorders>
              <w:top w:val="single" w:sz="0" w:space="0" w:color="000000"/>
            </w:tcBorders>
          </w:tcPr>
          <w:p>
            <w:pPr/>
          </w:p>
        </w:tc>
        <w:tc>
          <w:tcPr>
            <w:tcW w:w="1109" w:type="dxa"/>
            <w:tcBorders>
              <w:top w:val="single" w:sz="0" w:space="0" w:color="000000"/>
            </w:tcBorders>
          </w:tcPr>
          <w:p>
            <w:pPr/>
          </w:p>
        </w:tc>
      </w:tr>
      <w:tr>
        <w:trPr>
          <w:trHeight w:val="379" w:hRule="exact"/>
        </w:trPr>
        <w:tc>
          <w:tcPr>
            <w:tcW w:w="5836" w:type="dxa"/>
          </w:tcPr>
          <w:p>
            <w:pPr>
              <w:pStyle w:val="TableParagraph"/>
              <w:spacing w:before="135"/>
              <w:ind w:left="79"/>
              <w:jc w:val="left"/>
              <w:rPr>
                <w:sz w:val="18"/>
              </w:rPr>
            </w:pPr>
            <w:r>
              <w:rPr>
                <w:sz w:val="18"/>
              </w:rPr>
              <w:t>Non - controlling interest</w:t>
            </w:r>
          </w:p>
        </w:tc>
        <w:tc>
          <w:tcPr>
            <w:tcW w:w="1448" w:type="dxa"/>
          </w:tcPr>
          <w:p>
            <w:pPr/>
          </w:p>
        </w:tc>
        <w:tc>
          <w:tcPr>
            <w:tcW w:w="1560" w:type="dxa"/>
          </w:tcPr>
          <w:p>
            <w:pPr>
              <w:pStyle w:val="TableParagraph"/>
              <w:spacing w:before="134"/>
              <w:ind w:right="308"/>
              <w:rPr>
                <w:b/>
                <w:sz w:val="18"/>
              </w:rPr>
            </w:pPr>
            <w:r>
              <w:rPr>
                <w:b/>
                <w:w w:val="99"/>
                <w:sz w:val="18"/>
              </w:rPr>
              <w:t>-</w:t>
            </w:r>
          </w:p>
        </w:tc>
        <w:tc>
          <w:tcPr>
            <w:tcW w:w="1109" w:type="dxa"/>
          </w:tcPr>
          <w:p>
            <w:pPr>
              <w:pStyle w:val="TableParagraph"/>
              <w:spacing w:before="134"/>
              <w:ind w:right="86"/>
              <w:rPr>
                <w:sz w:val="18"/>
              </w:rPr>
            </w:pPr>
            <w:r>
              <w:rPr>
                <w:w w:val="99"/>
                <w:sz w:val="18"/>
              </w:rPr>
              <w:t>-</w:t>
            </w:r>
          </w:p>
        </w:tc>
      </w:tr>
      <w:tr>
        <w:trPr>
          <w:trHeight w:val="263" w:hRule="exact"/>
        </w:trPr>
        <w:tc>
          <w:tcPr>
            <w:tcW w:w="5836" w:type="dxa"/>
          </w:tcPr>
          <w:p>
            <w:pPr>
              <w:pStyle w:val="TableParagraph"/>
              <w:spacing w:before="18"/>
              <w:ind w:left="79"/>
              <w:jc w:val="left"/>
              <w:rPr>
                <w:sz w:val="18"/>
              </w:rPr>
            </w:pPr>
            <w:r>
              <w:rPr>
                <w:sz w:val="18"/>
              </w:rPr>
              <w:t>The parent</w:t>
            </w:r>
          </w:p>
        </w:tc>
        <w:tc>
          <w:tcPr>
            <w:tcW w:w="1448" w:type="dxa"/>
          </w:tcPr>
          <w:p>
            <w:pPr/>
          </w:p>
        </w:tc>
        <w:tc>
          <w:tcPr>
            <w:tcW w:w="1560" w:type="dxa"/>
            <w:tcBorders>
              <w:bottom w:val="single" w:sz="0" w:space="0" w:color="000000"/>
            </w:tcBorders>
          </w:tcPr>
          <w:p>
            <w:pPr>
              <w:pStyle w:val="TableParagraph"/>
              <w:spacing w:before="19"/>
              <w:ind w:right="308"/>
              <w:rPr>
                <w:b/>
                <w:sz w:val="18"/>
              </w:rPr>
            </w:pPr>
            <w:r>
              <w:rPr>
                <w:b/>
                <w:w w:val="95"/>
                <w:sz w:val="18"/>
              </w:rPr>
              <w:t>159,161</w:t>
            </w:r>
          </w:p>
        </w:tc>
        <w:tc>
          <w:tcPr>
            <w:tcW w:w="1109" w:type="dxa"/>
            <w:tcBorders>
              <w:bottom w:val="single" w:sz="0" w:space="0" w:color="000000"/>
            </w:tcBorders>
          </w:tcPr>
          <w:p>
            <w:pPr>
              <w:pStyle w:val="TableParagraph"/>
              <w:spacing w:before="19"/>
              <w:ind w:right="86"/>
              <w:rPr>
                <w:sz w:val="18"/>
              </w:rPr>
            </w:pPr>
            <w:r>
              <w:rPr>
                <w:w w:val="95"/>
                <w:sz w:val="18"/>
              </w:rPr>
              <w:t>35,475</w:t>
            </w:r>
          </w:p>
        </w:tc>
      </w:tr>
      <w:tr>
        <w:trPr>
          <w:trHeight w:val="344" w:hRule="exact"/>
        </w:trPr>
        <w:tc>
          <w:tcPr>
            <w:tcW w:w="5836" w:type="dxa"/>
          </w:tcPr>
          <w:p>
            <w:pPr>
              <w:pStyle w:val="TableParagraph"/>
              <w:spacing w:before="123"/>
              <w:ind w:left="79"/>
              <w:jc w:val="left"/>
              <w:rPr>
                <w:b/>
                <w:sz w:val="18"/>
              </w:rPr>
            </w:pPr>
            <w:r>
              <w:rPr>
                <w:b/>
                <w:sz w:val="18"/>
              </w:rPr>
              <w:t>Total comprehensive income for the year</w:t>
            </w:r>
          </w:p>
        </w:tc>
        <w:tc>
          <w:tcPr>
            <w:tcW w:w="1448" w:type="dxa"/>
          </w:tcPr>
          <w:p>
            <w:pPr/>
          </w:p>
        </w:tc>
        <w:tc>
          <w:tcPr>
            <w:tcW w:w="1560" w:type="dxa"/>
            <w:tcBorders>
              <w:top w:val="single" w:sz="0" w:space="0" w:color="000000"/>
              <w:bottom w:val="single" w:sz="0" w:space="0" w:color="000000"/>
            </w:tcBorders>
          </w:tcPr>
          <w:p>
            <w:pPr>
              <w:pStyle w:val="TableParagraph"/>
              <w:spacing w:before="122"/>
              <w:ind w:right="308"/>
              <w:rPr>
                <w:b/>
                <w:sz w:val="18"/>
              </w:rPr>
            </w:pPr>
            <w:r>
              <w:rPr>
                <w:b/>
                <w:w w:val="95"/>
                <w:sz w:val="18"/>
              </w:rPr>
              <w:t>159,161</w:t>
            </w:r>
          </w:p>
        </w:tc>
        <w:tc>
          <w:tcPr>
            <w:tcW w:w="1109" w:type="dxa"/>
            <w:tcBorders>
              <w:top w:val="single" w:sz="0" w:space="0" w:color="000000"/>
              <w:bottom w:val="single" w:sz="0" w:space="0" w:color="000000"/>
            </w:tcBorders>
          </w:tcPr>
          <w:p>
            <w:pPr>
              <w:pStyle w:val="TableParagraph"/>
              <w:spacing w:before="122"/>
              <w:ind w:right="86"/>
              <w:rPr>
                <w:sz w:val="18"/>
              </w:rPr>
            </w:pPr>
            <w:r>
              <w:rPr>
                <w:w w:val="95"/>
                <w:sz w:val="18"/>
              </w:rPr>
              <w:t>35,475</w:t>
            </w:r>
          </w:p>
        </w:tc>
      </w:tr>
    </w:tbl>
    <w:p>
      <w:pPr>
        <w:spacing w:after="0"/>
        <w:rPr>
          <w:sz w:val="18"/>
        </w:rPr>
        <w:sectPr>
          <w:footerReference w:type="default" r:id="rId142"/>
          <w:pgSz w:w="12750" w:h="17680"/>
          <w:pgMar w:footer="1403" w:header="0" w:top="1880" w:bottom="1600" w:left="0" w:right="0"/>
          <w:pgNumType w:start="216"/>
        </w:sectPr>
      </w:pPr>
    </w:p>
    <w:p>
      <w:pPr>
        <w:pStyle w:val="BodyText"/>
        <w:spacing w:before="2"/>
        <w:rPr>
          <w:rFonts w:ascii="Times New Roman"/>
          <w:sz w:val="24"/>
        </w:rPr>
      </w:pPr>
      <w:r>
        <w:rPr/>
        <w:drawing>
          <wp:anchor distT="0" distB="0" distL="0" distR="0" allowOverlap="1" layoutInCell="1" locked="0" behindDoc="0" simplePos="0" relativeHeight="15184">
            <wp:simplePos x="0" y="0"/>
            <wp:positionH relativeFrom="page">
              <wp:posOffset>-1587</wp:posOffset>
            </wp:positionH>
            <wp:positionV relativeFrom="page">
              <wp:posOffset>5534342</wp:posOffset>
            </wp:positionV>
            <wp:extent cx="135159" cy="154019"/>
            <wp:effectExtent l="0" t="0" r="0" b="0"/>
            <wp:wrapNone/>
            <wp:docPr id="1047" name="image13.png" descr=""/>
            <wp:cNvGraphicFramePr>
              <a:graphicFrameLocks noChangeAspect="1"/>
            </wp:cNvGraphicFramePr>
            <a:graphic>
              <a:graphicData uri="http://schemas.openxmlformats.org/drawingml/2006/picture">
                <pic:pic>
                  <pic:nvPicPr>
                    <pic:cNvPr id="1048" name="image13.png"/>
                    <pic:cNvPicPr/>
                  </pic:nvPicPr>
                  <pic:blipFill>
                    <a:blip r:embed="rId18" cstate="print"/>
                    <a:stretch>
                      <a:fillRect/>
                    </a:stretch>
                  </pic:blipFill>
                  <pic:spPr>
                    <a:xfrm>
                      <a:off x="0" y="0"/>
                      <a:ext cx="135159" cy="154019"/>
                    </a:xfrm>
                    <a:prstGeom prst="rect">
                      <a:avLst/>
                    </a:prstGeom>
                  </pic:spPr>
                </pic:pic>
              </a:graphicData>
            </a:graphic>
          </wp:anchor>
        </w:drawing>
      </w:r>
      <w:r>
        <w:rPr/>
        <w:drawing>
          <wp:anchor distT="0" distB="0" distL="0" distR="0" allowOverlap="1" layoutInCell="1" locked="0" behindDoc="0" simplePos="0" relativeHeight="15208">
            <wp:simplePos x="0" y="0"/>
            <wp:positionH relativeFrom="page">
              <wp:posOffset>7958429</wp:posOffset>
            </wp:positionH>
            <wp:positionV relativeFrom="page">
              <wp:posOffset>5534342</wp:posOffset>
            </wp:positionV>
            <wp:extent cx="135953" cy="155575"/>
            <wp:effectExtent l="0" t="0" r="0" b="0"/>
            <wp:wrapNone/>
            <wp:docPr id="1049" name="image15.png" descr=""/>
            <wp:cNvGraphicFramePr>
              <a:graphicFrameLocks noChangeAspect="1"/>
            </wp:cNvGraphicFramePr>
            <a:graphic>
              <a:graphicData uri="http://schemas.openxmlformats.org/drawingml/2006/picture">
                <pic:pic>
                  <pic:nvPicPr>
                    <pic:cNvPr id="1050" name="image15.png"/>
                    <pic:cNvPicPr/>
                  </pic:nvPicPr>
                  <pic:blipFill>
                    <a:blip r:embed="rId20" cstate="print"/>
                    <a:stretch>
                      <a:fillRect/>
                    </a:stretch>
                  </pic:blipFill>
                  <pic:spPr>
                    <a:xfrm>
                      <a:off x="0" y="0"/>
                      <a:ext cx="135953" cy="155575"/>
                    </a:xfrm>
                    <a:prstGeom prst="rect">
                      <a:avLst/>
                    </a:prstGeom>
                  </pic:spPr>
                </pic:pic>
              </a:graphicData>
            </a:graphic>
          </wp:anchor>
        </w:drawing>
      </w:r>
    </w:p>
    <w:tbl>
      <w:tblPr>
        <w:tblW w:w="0" w:type="auto"/>
        <w:jc w:val="left"/>
        <w:tblInd w:w="139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459"/>
        <w:gridCol w:w="1878"/>
        <w:gridCol w:w="2614"/>
      </w:tblGrid>
      <w:tr>
        <w:trPr>
          <w:trHeight w:val="911" w:hRule="exact"/>
        </w:trPr>
        <w:tc>
          <w:tcPr>
            <w:tcW w:w="5459" w:type="dxa"/>
          </w:tcPr>
          <w:p>
            <w:pPr>
              <w:pStyle w:val="TableParagraph"/>
              <w:spacing w:before="64"/>
              <w:ind w:left="35"/>
              <w:jc w:val="left"/>
              <w:rPr>
                <w:b/>
                <w:sz w:val="28"/>
              </w:rPr>
            </w:pPr>
            <w:r>
              <w:rPr>
                <w:b/>
                <w:sz w:val="28"/>
              </w:rPr>
              <w:t>Statement of financial position</w:t>
            </w:r>
          </w:p>
          <w:p>
            <w:pPr>
              <w:pStyle w:val="TableParagraph"/>
              <w:spacing w:before="57"/>
              <w:ind w:left="35"/>
              <w:jc w:val="left"/>
              <w:rPr>
                <w:b/>
                <w:sz w:val="22"/>
              </w:rPr>
            </w:pPr>
            <w:bookmarkStart w:name="Statement of financial position" w:id="440"/>
            <w:bookmarkEnd w:id="440"/>
            <w:r>
              <w:rPr/>
            </w:r>
            <w:r>
              <w:rPr>
                <w:b/>
                <w:sz w:val="22"/>
              </w:rPr>
              <w:t>As at 31 December 2016</w:t>
            </w:r>
          </w:p>
        </w:tc>
        <w:tc>
          <w:tcPr>
            <w:tcW w:w="4492" w:type="dxa"/>
            <w:gridSpan w:val="2"/>
          </w:tcPr>
          <w:p>
            <w:pPr/>
          </w:p>
        </w:tc>
      </w:tr>
      <w:tr>
        <w:trPr>
          <w:trHeight w:val="447" w:hRule="exact"/>
        </w:trPr>
        <w:tc>
          <w:tcPr>
            <w:tcW w:w="5459" w:type="dxa"/>
          </w:tcPr>
          <w:p>
            <w:pPr/>
          </w:p>
        </w:tc>
        <w:tc>
          <w:tcPr>
            <w:tcW w:w="1878" w:type="dxa"/>
          </w:tcPr>
          <w:p>
            <w:pPr/>
          </w:p>
        </w:tc>
        <w:tc>
          <w:tcPr>
            <w:tcW w:w="2614" w:type="dxa"/>
          </w:tcPr>
          <w:p>
            <w:pPr>
              <w:pStyle w:val="TableParagraph"/>
              <w:spacing w:before="1"/>
              <w:jc w:val="left"/>
              <w:rPr>
                <w:rFonts w:ascii="Times New Roman"/>
                <w:sz w:val="17"/>
              </w:rPr>
            </w:pPr>
          </w:p>
          <w:p>
            <w:pPr>
              <w:pStyle w:val="TableParagraph"/>
              <w:tabs>
                <w:tab w:pos="1765" w:val="left" w:leader="none"/>
              </w:tabs>
              <w:ind w:left="468"/>
              <w:jc w:val="left"/>
              <w:rPr>
                <w:b/>
                <w:sz w:val="18"/>
              </w:rPr>
            </w:pPr>
            <w:r>
              <w:rPr>
                <w:b/>
                <w:sz w:val="18"/>
              </w:rPr>
              <w:t>2016</w:t>
              <w:tab/>
              <w:t>2015</w:t>
            </w:r>
          </w:p>
        </w:tc>
      </w:tr>
      <w:tr>
        <w:trPr>
          <w:trHeight w:val="313" w:hRule="exact"/>
        </w:trPr>
        <w:tc>
          <w:tcPr>
            <w:tcW w:w="5459" w:type="dxa"/>
          </w:tcPr>
          <w:p>
            <w:pPr/>
          </w:p>
        </w:tc>
        <w:tc>
          <w:tcPr>
            <w:tcW w:w="1878" w:type="dxa"/>
          </w:tcPr>
          <w:p>
            <w:pPr>
              <w:pStyle w:val="TableParagraph"/>
              <w:spacing w:before="24"/>
              <w:ind w:left="1359" w:right="-1"/>
              <w:jc w:val="left"/>
              <w:rPr>
                <w:b/>
                <w:sz w:val="18"/>
              </w:rPr>
            </w:pPr>
            <w:r>
              <w:rPr>
                <w:b/>
                <w:sz w:val="18"/>
              </w:rPr>
              <w:t>Notes</w:t>
            </w:r>
          </w:p>
        </w:tc>
        <w:tc>
          <w:tcPr>
            <w:tcW w:w="2614" w:type="dxa"/>
          </w:tcPr>
          <w:p>
            <w:pPr>
              <w:pStyle w:val="TableParagraph"/>
              <w:tabs>
                <w:tab w:pos="1915" w:val="left" w:leader="none"/>
              </w:tabs>
              <w:spacing w:before="24"/>
              <w:ind w:left="618"/>
              <w:jc w:val="left"/>
              <w:rPr>
                <w:b/>
                <w:sz w:val="18"/>
              </w:rPr>
            </w:pPr>
            <w:r>
              <w:rPr>
                <w:b/>
                <w:sz w:val="18"/>
              </w:rPr>
              <w:t>$</w:t>
              <w:tab/>
              <w:t>$</w:t>
            </w:r>
          </w:p>
        </w:tc>
      </w:tr>
      <w:tr>
        <w:trPr>
          <w:trHeight w:val="692" w:hRule="exact"/>
        </w:trPr>
        <w:tc>
          <w:tcPr>
            <w:tcW w:w="5459" w:type="dxa"/>
          </w:tcPr>
          <w:p>
            <w:pPr>
              <w:pStyle w:val="TableParagraph"/>
              <w:spacing w:line="207" w:lineRule="exact" w:before="63"/>
              <w:ind w:left="62"/>
              <w:jc w:val="left"/>
              <w:rPr>
                <w:b/>
                <w:sz w:val="18"/>
              </w:rPr>
            </w:pPr>
            <w:r>
              <w:rPr>
                <w:b/>
                <w:sz w:val="18"/>
              </w:rPr>
              <w:t>ASSETS</w:t>
            </w:r>
          </w:p>
          <w:p>
            <w:pPr>
              <w:pStyle w:val="TableParagraph"/>
              <w:spacing w:line="206" w:lineRule="exact"/>
              <w:ind w:left="62"/>
              <w:jc w:val="left"/>
              <w:rPr>
                <w:b/>
                <w:sz w:val="18"/>
              </w:rPr>
            </w:pPr>
            <w:r>
              <w:rPr>
                <w:b/>
                <w:sz w:val="18"/>
              </w:rPr>
              <w:t>Current assets</w:t>
            </w:r>
          </w:p>
          <w:p>
            <w:pPr>
              <w:pStyle w:val="TableParagraph"/>
              <w:spacing w:line="207" w:lineRule="exact"/>
              <w:ind w:left="62"/>
              <w:jc w:val="left"/>
              <w:rPr>
                <w:sz w:val="18"/>
              </w:rPr>
            </w:pPr>
            <w:r>
              <w:rPr>
                <w:sz w:val="18"/>
              </w:rPr>
              <w:t>Cash and cash equivalents</w:t>
            </w:r>
          </w:p>
        </w:tc>
        <w:tc>
          <w:tcPr>
            <w:tcW w:w="1878" w:type="dxa"/>
          </w:tcPr>
          <w:p>
            <w:pPr>
              <w:pStyle w:val="TableParagraph"/>
              <w:jc w:val="left"/>
              <w:rPr>
                <w:rFonts w:ascii="Times New Roman"/>
                <w:sz w:val="18"/>
              </w:rPr>
            </w:pPr>
          </w:p>
          <w:p>
            <w:pPr>
              <w:pStyle w:val="TableParagraph"/>
              <w:spacing w:before="4"/>
              <w:jc w:val="left"/>
              <w:rPr>
                <w:rFonts w:ascii="Times New Roman"/>
                <w:sz w:val="23"/>
              </w:rPr>
            </w:pPr>
          </w:p>
          <w:p>
            <w:pPr>
              <w:pStyle w:val="TableParagraph"/>
              <w:ind w:left="1348"/>
              <w:jc w:val="left"/>
              <w:rPr>
                <w:sz w:val="18"/>
              </w:rPr>
            </w:pPr>
            <w:r>
              <w:rPr>
                <w:w w:val="99"/>
                <w:sz w:val="18"/>
              </w:rPr>
              <w:t>7</w:t>
            </w:r>
          </w:p>
        </w:tc>
        <w:tc>
          <w:tcPr>
            <w:tcW w:w="2614" w:type="dxa"/>
          </w:tcPr>
          <w:p>
            <w:pPr>
              <w:pStyle w:val="TableParagraph"/>
              <w:jc w:val="left"/>
              <w:rPr>
                <w:rFonts w:ascii="Times New Roman"/>
                <w:sz w:val="18"/>
              </w:rPr>
            </w:pPr>
          </w:p>
          <w:p>
            <w:pPr>
              <w:pStyle w:val="TableParagraph"/>
              <w:spacing w:before="4"/>
              <w:jc w:val="left"/>
              <w:rPr>
                <w:rFonts w:ascii="Times New Roman"/>
                <w:sz w:val="23"/>
              </w:rPr>
            </w:pPr>
          </w:p>
          <w:p>
            <w:pPr>
              <w:pStyle w:val="TableParagraph"/>
              <w:tabs>
                <w:tab w:pos="1297" w:val="left" w:leader="none"/>
              </w:tabs>
              <w:ind w:right="86"/>
              <w:rPr>
                <w:sz w:val="18"/>
              </w:rPr>
            </w:pPr>
            <w:r>
              <w:rPr>
                <w:b/>
                <w:sz w:val="18"/>
              </w:rPr>
              <w:t>575,222</w:t>
              <w:tab/>
            </w:r>
            <w:r>
              <w:rPr>
                <w:spacing w:val="-1"/>
                <w:w w:val="95"/>
                <w:sz w:val="18"/>
              </w:rPr>
              <w:t>471,976</w:t>
            </w:r>
          </w:p>
        </w:tc>
      </w:tr>
      <w:tr>
        <w:trPr>
          <w:trHeight w:val="212" w:hRule="exact"/>
        </w:trPr>
        <w:tc>
          <w:tcPr>
            <w:tcW w:w="5459" w:type="dxa"/>
          </w:tcPr>
          <w:p>
            <w:pPr>
              <w:pStyle w:val="TableParagraph"/>
              <w:spacing w:line="197" w:lineRule="exact"/>
              <w:ind w:left="62"/>
              <w:jc w:val="left"/>
              <w:rPr>
                <w:sz w:val="18"/>
              </w:rPr>
            </w:pPr>
            <w:r>
              <w:rPr>
                <w:sz w:val="18"/>
              </w:rPr>
              <w:t>Trade and other receivables</w:t>
            </w:r>
          </w:p>
        </w:tc>
        <w:tc>
          <w:tcPr>
            <w:tcW w:w="1878" w:type="dxa"/>
          </w:tcPr>
          <w:p>
            <w:pPr/>
          </w:p>
        </w:tc>
        <w:tc>
          <w:tcPr>
            <w:tcW w:w="2614" w:type="dxa"/>
          </w:tcPr>
          <w:p>
            <w:pPr>
              <w:pStyle w:val="TableParagraph"/>
              <w:tabs>
                <w:tab w:pos="759" w:val="left" w:leader="none"/>
                <w:tab w:pos="2445" w:val="left" w:leader="none"/>
              </w:tabs>
              <w:spacing w:line="197" w:lineRule="exact"/>
              <w:ind w:right="86"/>
              <w:rPr>
                <w:sz w:val="18"/>
              </w:rPr>
            </w:pPr>
            <w:r>
              <w:rPr>
                <w:rFonts w:ascii="Times New Roman"/>
                <w:sz w:val="18"/>
                <w:u w:val="single"/>
              </w:rPr>
              <w:t> </w:t>
              <w:tab/>
            </w:r>
            <w:r>
              <w:rPr>
                <w:b/>
                <w:sz w:val="18"/>
                <w:u w:val="single"/>
              </w:rPr>
              <w:t>3,700</w:t>
              <w:tab/>
            </w:r>
            <w:r>
              <w:rPr>
                <w:sz w:val="18"/>
                <w:u w:val="single"/>
              </w:rPr>
              <w:t>-</w:t>
            </w:r>
          </w:p>
        </w:tc>
      </w:tr>
      <w:tr>
        <w:trPr>
          <w:trHeight w:val="295" w:hRule="exact"/>
        </w:trPr>
        <w:tc>
          <w:tcPr>
            <w:tcW w:w="5459" w:type="dxa"/>
          </w:tcPr>
          <w:p>
            <w:pPr>
              <w:pStyle w:val="TableParagraph"/>
              <w:spacing w:line="201" w:lineRule="exact"/>
              <w:ind w:left="62"/>
              <w:jc w:val="left"/>
              <w:rPr>
                <w:sz w:val="18"/>
              </w:rPr>
            </w:pPr>
            <w:r>
              <w:rPr>
                <w:sz w:val="18"/>
              </w:rPr>
              <w:t>Total current assets</w:t>
            </w:r>
          </w:p>
        </w:tc>
        <w:tc>
          <w:tcPr>
            <w:tcW w:w="1878" w:type="dxa"/>
          </w:tcPr>
          <w:p>
            <w:pPr/>
          </w:p>
        </w:tc>
        <w:tc>
          <w:tcPr>
            <w:tcW w:w="2614" w:type="dxa"/>
          </w:tcPr>
          <w:p>
            <w:pPr>
              <w:pStyle w:val="TableParagraph"/>
              <w:tabs>
                <w:tab w:pos="560" w:val="left" w:leader="none"/>
                <w:tab w:pos="1857" w:val="left" w:leader="none"/>
              </w:tabs>
              <w:spacing w:line="201" w:lineRule="exact"/>
              <w:ind w:right="86"/>
              <w:rPr>
                <w:sz w:val="18"/>
              </w:rPr>
            </w:pPr>
            <w:r>
              <w:rPr>
                <w:rFonts w:ascii="Times New Roman"/>
                <w:sz w:val="18"/>
                <w:u w:val="thick"/>
              </w:rPr>
              <w:t> </w:t>
              <w:tab/>
            </w:r>
            <w:r>
              <w:rPr>
                <w:b/>
                <w:sz w:val="18"/>
                <w:u w:val="thick"/>
              </w:rPr>
              <w:t>578,922</w:t>
              <w:tab/>
            </w:r>
            <w:r>
              <w:rPr>
                <w:spacing w:val="-1"/>
                <w:w w:val="95"/>
                <w:sz w:val="18"/>
                <w:u w:val="thick"/>
              </w:rPr>
              <w:t>471,976</w:t>
            </w:r>
          </w:p>
        </w:tc>
      </w:tr>
      <w:tr>
        <w:trPr>
          <w:trHeight w:val="502" w:hRule="exact"/>
        </w:trPr>
        <w:tc>
          <w:tcPr>
            <w:tcW w:w="5459" w:type="dxa"/>
          </w:tcPr>
          <w:p>
            <w:pPr>
              <w:pStyle w:val="TableParagraph"/>
              <w:spacing w:line="207" w:lineRule="exact" w:before="73"/>
              <w:ind w:left="62"/>
              <w:jc w:val="left"/>
              <w:rPr>
                <w:b/>
                <w:sz w:val="18"/>
              </w:rPr>
            </w:pPr>
            <w:r>
              <w:rPr>
                <w:b/>
                <w:sz w:val="18"/>
              </w:rPr>
              <w:t>Non-current assets</w:t>
            </w:r>
          </w:p>
          <w:p>
            <w:pPr>
              <w:pStyle w:val="TableParagraph"/>
              <w:spacing w:line="207" w:lineRule="exact"/>
              <w:ind w:left="62"/>
              <w:jc w:val="left"/>
              <w:rPr>
                <w:sz w:val="18"/>
              </w:rPr>
            </w:pPr>
            <w:r>
              <w:rPr>
                <w:sz w:val="18"/>
              </w:rPr>
              <w:t>Property, plant and equipment</w:t>
            </w:r>
          </w:p>
        </w:tc>
        <w:tc>
          <w:tcPr>
            <w:tcW w:w="1878" w:type="dxa"/>
          </w:tcPr>
          <w:p>
            <w:pPr>
              <w:pStyle w:val="TableParagraph"/>
              <w:spacing w:before="4"/>
              <w:jc w:val="left"/>
              <w:rPr>
                <w:rFonts w:ascii="Times New Roman"/>
                <w:sz w:val="24"/>
              </w:rPr>
            </w:pPr>
          </w:p>
          <w:p>
            <w:pPr>
              <w:pStyle w:val="TableParagraph"/>
              <w:ind w:left="1348"/>
              <w:jc w:val="left"/>
              <w:rPr>
                <w:sz w:val="18"/>
              </w:rPr>
            </w:pPr>
            <w:r>
              <w:rPr>
                <w:w w:val="99"/>
                <w:sz w:val="18"/>
              </w:rPr>
              <w:t>8</w:t>
            </w:r>
          </w:p>
        </w:tc>
        <w:tc>
          <w:tcPr>
            <w:tcW w:w="2614" w:type="dxa"/>
          </w:tcPr>
          <w:p>
            <w:pPr>
              <w:pStyle w:val="TableParagraph"/>
              <w:spacing w:before="4"/>
              <w:jc w:val="left"/>
              <w:rPr>
                <w:rFonts w:ascii="Times New Roman"/>
                <w:sz w:val="24"/>
              </w:rPr>
            </w:pPr>
          </w:p>
          <w:p>
            <w:pPr>
              <w:pStyle w:val="TableParagraph"/>
              <w:tabs>
                <w:tab w:pos="560" w:val="left" w:leader="none"/>
                <w:tab w:pos="1857" w:val="left" w:leader="none"/>
              </w:tabs>
              <w:ind w:right="86"/>
              <w:rPr>
                <w:sz w:val="18"/>
              </w:rPr>
            </w:pPr>
            <w:r>
              <w:rPr>
                <w:rFonts w:ascii="Times New Roman"/>
                <w:sz w:val="18"/>
                <w:u w:val="single"/>
              </w:rPr>
              <w:t> </w:t>
              <w:tab/>
            </w:r>
            <w:r>
              <w:rPr>
                <w:b/>
                <w:sz w:val="18"/>
                <w:u w:val="single"/>
              </w:rPr>
              <w:t>830,442</w:t>
              <w:tab/>
            </w:r>
            <w:r>
              <w:rPr>
                <w:spacing w:val="-1"/>
                <w:w w:val="95"/>
                <w:sz w:val="18"/>
                <w:u w:val="single"/>
              </w:rPr>
              <w:t>778,827</w:t>
            </w:r>
          </w:p>
        </w:tc>
      </w:tr>
      <w:tr>
        <w:trPr>
          <w:trHeight w:val="367" w:hRule="exact"/>
        </w:trPr>
        <w:tc>
          <w:tcPr>
            <w:tcW w:w="5459" w:type="dxa"/>
          </w:tcPr>
          <w:p>
            <w:pPr>
              <w:pStyle w:val="TableParagraph"/>
              <w:spacing w:line="201" w:lineRule="exact"/>
              <w:ind w:left="62"/>
              <w:jc w:val="left"/>
              <w:rPr>
                <w:sz w:val="18"/>
              </w:rPr>
            </w:pPr>
            <w:r>
              <w:rPr>
                <w:sz w:val="18"/>
              </w:rPr>
              <w:t>Total non-current assets</w:t>
            </w:r>
          </w:p>
        </w:tc>
        <w:tc>
          <w:tcPr>
            <w:tcW w:w="1878" w:type="dxa"/>
          </w:tcPr>
          <w:p>
            <w:pPr/>
          </w:p>
        </w:tc>
        <w:tc>
          <w:tcPr>
            <w:tcW w:w="2614" w:type="dxa"/>
          </w:tcPr>
          <w:p>
            <w:pPr>
              <w:pStyle w:val="TableParagraph"/>
              <w:tabs>
                <w:tab w:pos="560" w:val="left" w:leader="none"/>
                <w:tab w:pos="1857" w:val="left" w:leader="none"/>
              </w:tabs>
              <w:spacing w:line="201" w:lineRule="exact"/>
              <w:ind w:right="86"/>
              <w:rPr>
                <w:sz w:val="18"/>
              </w:rPr>
            </w:pPr>
            <w:r>
              <w:rPr>
                <w:rFonts w:ascii="Times New Roman"/>
                <w:sz w:val="18"/>
                <w:u w:val="thick"/>
              </w:rPr>
              <w:t> </w:t>
              <w:tab/>
            </w:r>
            <w:r>
              <w:rPr>
                <w:b/>
                <w:sz w:val="18"/>
                <w:u w:val="thick"/>
              </w:rPr>
              <w:t>830,442</w:t>
              <w:tab/>
            </w:r>
            <w:r>
              <w:rPr>
                <w:spacing w:val="-1"/>
                <w:w w:val="95"/>
                <w:sz w:val="18"/>
                <w:u w:val="thick"/>
              </w:rPr>
              <w:t>778,827</w:t>
            </w:r>
          </w:p>
        </w:tc>
      </w:tr>
      <w:tr>
        <w:trPr>
          <w:trHeight w:val="588" w:hRule="exact"/>
        </w:trPr>
        <w:tc>
          <w:tcPr>
            <w:tcW w:w="5459" w:type="dxa"/>
          </w:tcPr>
          <w:p>
            <w:pPr>
              <w:pStyle w:val="TableParagraph"/>
              <w:spacing w:before="145"/>
              <w:ind w:left="62"/>
              <w:jc w:val="left"/>
              <w:rPr>
                <w:b/>
                <w:sz w:val="18"/>
              </w:rPr>
            </w:pPr>
            <w:r>
              <w:rPr>
                <w:b/>
                <w:sz w:val="18"/>
              </w:rPr>
              <w:t>Total assets</w:t>
            </w:r>
          </w:p>
        </w:tc>
        <w:tc>
          <w:tcPr>
            <w:tcW w:w="1878" w:type="dxa"/>
          </w:tcPr>
          <w:p>
            <w:pPr/>
          </w:p>
        </w:tc>
        <w:tc>
          <w:tcPr>
            <w:tcW w:w="2614" w:type="dxa"/>
          </w:tcPr>
          <w:p>
            <w:pPr>
              <w:pStyle w:val="TableParagraph"/>
              <w:tabs>
                <w:tab w:pos="410" w:val="left" w:leader="none"/>
                <w:tab w:pos="1707" w:val="left" w:leader="none"/>
              </w:tabs>
              <w:spacing w:before="145"/>
              <w:ind w:right="86"/>
              <w:rPr>
                <w:sz w:val="18"/>
              </w:rPr>
            </w:pPr>
            <w:r>
              <w:rPr>
                <w:rFonts w:ascii="Times New Roman"/>
                <w:sz w:val="18"/>
                <w:u w:val="thick"/>
              </w:rPr>
              <w:t> </w:t>
              <w:tab/>
            </w:r>
            <w:r>
              <w:rPr>
                <w:b/>
                <w:sz w:val="18"/>
                <w:u w:val="thick"/>
              </w:rPr>
              <w:t>1,409,364</w:t>
              <w:tab/>
            </w:r>
            <w:r>
              <w:rPr>
                <w:spacing w:val="-1"/>
                <w:w w:val="95"/>
                <w:sz w:val="18"/>
                <w:u w:val="thick"/>
              </w:rPr>
              <w:t>1,250,803</w:t>
            </w:r>
          </w:p>
        </w:tc>
      </w:tr>
      <w:tr>
        <w:trPr>
          <w:trHeight w:val="652" w:hRule="exact"/>
        </w:trPr>
        <w:tc>
          <w:tcPr>
            <w:tcW w:w="5459" w:type="dxa"/>
          </w:tcPr>
          <w:p>
            <w:pPr>
              <w:pStyle w:val="TableParagraph"/>
              <w:spacing w:before="8"/>
              <w:jc w:val="left"/>
              <w:rPr>
                <w:rFonts w:ascii="Times New Roman"/>
                <w:sz w:val="18"/>
              </w:rPr>
            </w:pPr>
          </w:p>
          <w:p>
            <w:pPr>
              <w:pStyle w:val="TableParagraph"/>
              <w:spacing w:line="207" w:lineRule="exact" w:before="1"/>
              <w:ind w:left="62"/>
              <w:jc w:val="left"/>
              <w:rPr>
                <w:b/>
                <w:sz w:val="18"/>
              </w:rPr>
            </w:pPr>
            <w:r>
              <w:rPr>
                <w:b/>
                <w:sz w:val="18"/>
              </w:rPr>
              <w:t>LIABILITIES</w:t>
            </w:r>
          </w:p>
          <w:p>
            <w:pPr>
              <w:pStyle w:val="TableParagraph"/>
              <w:spacing w:line="207" w:lineRule="exact"/>
              <w:ind w:left="62"/>
              <w:jc w:val="left"/>
              <w:rPr>
                <w:b/>
                <w:sz w:val="18"/>
              </w:rPr>
            </w:pPr>
            <w:r>
              <w:rPr>
                <w:b/>
                <w:sz w:val="18"/>
              </w:rPr>
              <w:t>Current liabilities</w:t>
            </w:r>
          </w:p>
        </w:tc>
        <w:tc>
          <w:tcPr>
            <w:tcW w:w="1878" w:type="dxa"/>
          </w:tcPr>
          <w:p>
            <w:pPr/>
          </w:p>
        </w:tc>
        <w:tc>
          <w:tcPr>
            <w:tcW w:w="2614" w:type="dxa"/>
          </w:tcPr>
          <w:p>
            <w:pPr/>
          </w:p>
        </w:tc>
      </w:tr>
      <w:tr>
        <w:trPr>
          <w:trHeight w:val="244" w:hRule="exact"/>
        </w:trPr>
        <w:tc>
          <w:tcPr>
            <w:tcW w:w="5459" w:type="dxa"/>
          </w:tcPr>
          <w:p>
            <w:pPr>
              <w:pStyle w:val="TableParagraph"/>
              <w:spacing w:before="4"/>
              <w:ind w:left="62"/>
              <w:jc w:val="left"/>
              <w:rPr>
                <w:sz w:val="18"/>
              </w:rPr>
            </w:pPr>
            <w:r>
              <w:rPr>
                <w:sz w:val="18"/>
              </w:rPr>
              <w:t>Other liabilities</w:t>
            </w:r>
          </w:p>
        </w:tc>
        <w:tc>
          <w:tcPr>
            <w:tcW w:w="1878" w:type="dxa"/>
          </w:tcPr>
          <w:p>
            <w:pPr/>
          </w:p>
        </w:tc>
        <w:tc>
          <w:tcPr>
            <w:tcW w:w="2614" w:type="dxa"/>
            <w:tcBorders>
              <w:bottom w:val="single" w:sz="0" w:space="0" w:color="000000"/>
            </w:tcBorders>
          </w:tcPr>
          <w:p>
            <w:pPr>
              <w:pStyle w:val="TableParagraph"/>
              <w:tabs>
                <w:tab w:pos="1058" w:val="left" w:leader="none"/>
              </w:tabs>
              <w:spacing w:before="5"/>
              <w:ind w:right="86"/>
              <w:rPr>
                <w:sz w:val="18"/>
              </w:rPr>
            </w:pPr>
            <w:r>
              <w:rPr>
                <w:b/>
                <w:sz w:val="18"/>
              </w:rPr>
              <w:t>-</w:t>
              <w:tab/>
            </w:r>
            <w:r>
              <w:rPr>
                <w:spacing w:val="-2"/>
                <w:sz w:val="18"/>
              </w:rPr>
              <w:t>600</w:t>
            </w:r>
          </w:p>
        </w:tc>
      </w:tr>
      <w:tr>
        <w:trPr>
          <w:trHeight w:val="225" w:hRule="exact"/>
        </w:trPr>
        <w:tc>
          <w:tcPr>
            <w:tcW w:w="5459" w:type="dxa"/>
          </w:tcPr>
          <w:p>
            <w:pPr>
              <w:pStyle w:val="TableParagraph"/>
              <w:spacing w:before="5"/>
              <w:ind w:left="62"/>
              <w:jc w:val="left"/>
              <w:rPr>
                <w:sz w:val="18"/>
              </w:rPr>
            </w:pPr>
            <w:r>
              <w:rPr>
                <w:sz w:val="18"/>
              </w:rPr>
              <w:t>Total current liabilities</w:t>
            </w:r>
          </w:p>
        </w:tc>
        <w:tc>
          <w:tcPr>
            <w:tcW w:w="1878" w:type="dxa"/>
          </w:tcPr>
          <w:p>
            <w:pPr/>
          </w:p>
        </w:tc>
        <w:tc>
          <w:tcPr>
            <w:tcW w:w="2614" w:type="dxa"/>
            <w:tcBorders>
              <w:top w:val="single" w:sz="0" w:space="0" w:color="000000"/>
              <w:bottom w:val="single" w:sz="0" w:space="0" w:color="000000"/>
            </w:tcBorders>
          </w:tcPr>
          <w:p>
            <w:pPr>
              <w:pStyle w:val="TableParagraph"/>
              <w:tabs>
                <w:tab w:pos="1058" w:val="left" w:leader="none"/>
              </w:tabs>
              <w:spacing w:before="5"/>
              <w:ind w:right="86"/>
              <w:rPr>
                <w:sz w:val="18"/>
              </w:rPr>
            </w:pPr>
            <w:r>
              <w:rPr>
                <w:b/>
                <w:sz w:val="18"/>
              </w:rPr>
              <w:t>-</w:t>
              <w:tab/>
            </w:r>
            <w:r>
              <w:rPr>
                <w:spacing w:val="-2"/>
                <w:sz w:val="18"/>
              </w:rPr>
              <w:t>600</w:t>
            </w:r>
          </w:p>
        </w:tc>
      </w:tr>
      <w:tr>
        <w:trPr>
          <w:trHeight w:val="517" w:hRule="exact"/>
        </w:trPr>
        <w:tc>
          <w:tcPr>
            <w:tcW w:w="5459" w:type="dxa"/>
          </w:tcPr>
          <w:p>
            <w:pPr>
              <w:pStyle w:val="TableParagraph"/>
              <w:spacing w:before="10"/>
              <w:jc w:val="left"/>
              <w:rPr>
                <w:rFonts w:ascii="Times New Roman"/>
                <w:sz w:val="25"/>
              </w:rPr>
            </w:pPr>
          </w:p>
          <w:p>
            <w:pPr>
              <w:pStyle w:val="TableParagraph"/>
              <w:ind w:left="62"/>
              <w:jc w:val="left"/>
              <w:rPr>
                <w:b/>
                <w:sz w:val="18"/>
              </w:rPr>
            </w:pPr>
            <w:r>
              <w:rPr>
                <w:b/>
                <w:sz w:val="18"/>
              </w:rPr>
              <w:t>Total liabilities</w:t>
            </w:r>
          </w:p>
        </w:tc>
        <w:tc>
          <w:tcPr>
            <w:tcW w:w="1878" w:type="dxa"/>
          </w:tcPr>
          <w:p>
            <w:pPr/>
          </w:p>
        </w:tc>
        <w:tc>
          <w:tcPr>
            <w:tcW w:w="2614" w:type="dxa"/>
            <w:tcBorders>
              <w:top w:val="single" w:sz="0" w:space="0" w:color="000000"/>
              <w:bottom w:val="single" w:sz="0" w:space="0" w:color="000000"/>
            </w:tcBorders>
          </w:tcPr>
          <w:p>
            <w:pPr>
              <w:pStyle w:val="TableParagraph"/>
              <w:spacing w:before="9"/>
              <w:jc w:val="left"/>
              <w:rPr>
                <w:rFonts w:ascii="Times New Roman"/>
                <w:sz w:val="25"/>
              </w:rPr>
            </w:pPr>
          </w:p>
          <w:p>
            <w:pPr>
              <w:pStyle w:val="TableParagraph"/>
              <w:tabs>
                <w:tab w:pos="1058" w:val="left" w:leader="none"/>
              </w:tabs>
              <w:spacing w:before="1"/>
              <w:ind w:right="86"/>
              <w:rPr>
                <w:sz w:val="18"/>
              </w:rPr>
            </w:pPr>
            <w:r>
              <w:rPr>
                <w:b/>
                <w:sz w:val="18"/>
              </w:rPr>
              <w:t>-</w:t>
              <w:tab/>
            </w:r>
            <w:r>
              <w:rPr>
                <w:spacing w:val="-2"/>
                <w:sz w:val="18"/>
              </w:rPr>
              <w:t>600</w:t>
            </w:r>
          </w:p>
        </w:tc>
      </w:tr>
      <w:tr>
        <w:trPr>
          <w:trHeight w:val="517" w:hRule="exact"/>
        </w:trPr>
        <w:tc>
          <w:tcPr>
            <w:tcW w:w="5459" w:type="dxa"/>
          </w:tcPr>
          <w:p>
            <w:pPr>
              <w:pStyle w:val="TableParagraph"/>
              <w:spacing w:before="10"/>
              <w:jc w:val="left"/>
              <w:rPr>
                <w:rFonts w:ascii="Times New Roman"/>
                <w:sz w:val="25"/>
              </w:rPr>
            </w:pPr>
          </w:p>
          <w:p>
            <w:pPr>
              <w:pStyle w:val="TableParagraph"/>
              <w:ind w:left="62"/>
              <w:jc w:val="left"/>
              <w:rPr>
                <w:b/>
                <w:sz w:val="18"/>
              </w:rPr>
            </w:pPr>
            <w:r>
              <w:rPr>
                <w:b/>
                <w:sz w:val="18"/>
              </w:rPr>
              <w:t>Net assets</w:t>
            </w:r>
          </w:p>
        </w:tc>
        <w:tc>
          <w:tcPr>
            <w:tcW w:w="1878" w:type="dxa"/>
          </w:tcPr>
          <w:p>
            <w:pPr/>
          </w:p>
        </w:tc>
        <w:tc>
          <w:tcPr>
            <w:tcW w:w="2614" w:type="dxa"/>
            <w:tcBorders>
              <w:top w:val="single" w:sz="0" w:space="0" w:color="000000"/>
              <w:bottom w:val="single" w:sz="0" w:space="0" w:color="000000"/>
            </w:tcBorders>
          </w:tcPr>
          <w:p>
            <w:pPr>
              <w:pStyle w:val="TableParagraph"/>
              <w:spacing w:before="9"/>
              <w:jc w:val="left"/>
              <w:rPr>
                <w:rFonts w:ascii="Times New Roman"/>
                <w:sz w:val="25"/>
              </w:rPr>
            </w:pPr>
          </w:p>
          <w:p>
            <w:pPr>
              <w:pStyle w:val="TableParagraph"/>
              <w:tabs>
                <w:tab w:pos="1297" w:val="left" w:leader="none"/>
              </w:tabs>
              <w:spacing w:before="1"/>
              <w:ind w:right="86"/>
              <w:rPr>
                <w:sz w:val="18"/>
              </w:rPr>
            </w:pPr>
            <w:r>
              <w:rPr>
                <w:b/>
                <w:sz w:val="18"/>
              </w:rPr>
              <w:t>1,409,364</w:t>
              <w:tab/>
            </w:r>
            <w:r>
              <w:rPr>
                <w:spacing w:val="-1"/>
                <w:w w:val="95"/>
                <w:sz w:val="18"/>
              </w:rPr>
              <w:t>1,250,203</w:t>
            </w:r>
          </w:p>
        </w:tc>
      </w:tr>
      <w:tr>
        <w:trPr>
          <w:trHeight w:val="862" w:hRule="exact"/>
        </w:trPr>
        <w:tc>
          <w:tcPr>
            <w:tcW w:w="5459" w:type="dxa"/>
          </w:tcPr>
          <w:p>
            <w:pPr>
              <w:pStyle w:val="TableParagraph"/>
              <w:jc w:val="left"/>
              <w:rPr>
                <w:rFonts w:ascii="Times New Roman"/>
                <w:sz w:val="18"/>
              </w:rPr>
            </w:pPr>
          </w:p>
          <w:p>
            <w:pPr>
              <w:pStyle w:val="TableParagraph"/>
              <w:spacing w:before="2"/>
              <w:jc w:val="left"/>
              <w:rPr>
                <w:rFonts w:ascii="Times New Roman"/>
                <w:sz w:val="20"/>
              </w:rPr>
            </w:pPr>
          </w:p>
          <w:p>
            <w:pPr>
              <w:pStyle w:val="TableParagraph"/>
              <w:spacing w:line="207" w:lineRule="exact"/>
              <w:ind w:left="62"/>
              <w:jc w:val="left"/>
              <w:rPr>
                <w:b/>
                <w:sz w:val="18"/>
              </w:rPr>
            </w:pPr>
            <w:r>
              <w:rPr>
                <w:b/>
                <w:sz w:val="18"/>
              </w:rPr>
              <w:t>TRUST FUNDS</w:t>
            </w:r>
          </w:p>
          <w:p>
            <w:pPr>
              <w:pStyle w:val="TableParagraph"/>
              <w:spacing w:line="207" w:lineRule="exact"/>
              <w:ind w:left="62"/>
              <w:jc w:val="left"/>
              <w:rPr>
                <w:sz w:val="18"/>
              </w:rPr>
            </w:pPr>
            <w:r>
              <w:rPr>
                <w:sz w:val="18"/>
              </w:rPr>
              <w:t>Settled fund</w:t>
            </w:r>
          </w:p>
        </w:tc>
        <w:tc>
          <w:tcPr>
            <w:tcW w:w="1878" w:type="dxa"/>
          </w:tcPr>
          <w:p>
            <w:pPr/>
          </w:p>
        </w:tc>
        <w:tc>
          <w:tcPr>
            <w:tcW w:w="2614" w:type="dxa"/>
            <w:tcBorders>
              <w:top w:val="single" w:sz="0" w:space="0" w:color="000000"/>
            </w:tcBorders>
          </w:tcPr>
          <w:p>
            <w:pPr>
              <w:pStyle w:val="TableParagraph"/>
              <w:jc w:val="left"/>
              <w:rPr>
                <w:rFonts w:ascii="Times New Roman"/>
                <w:sz w:val="18"/>
              </w:rPr>
            </w:pPr>
          </w:p>
          <w:p>
            <w:pPr>
              <w:pStyle w:val="TableParagraph"/>
              <w:jc w:val="left"/>
              <w:rPr>
                <w:rFonts w:ascii="Times New Roman"/>
                <w:sz w:val="18"/>
              </w:rPr>
            </w:pPr>
          </w:p>
          <w:p>
            <w:pPr>
              <w:pStyle w:val="TableParagraph"/>
              <w:spacing w:before="1"/>
              <w:jc w:val="left"/>
              <w:rPr>
                <w:rFonts w:ascii="Times New Roman"/>
                <w:sz w:val="20"/>
              </w:rPr>
            </w:pPr>
          </w:p>
          <w:p>
            <w:pPr>
              <w:pStyle w:val="TableParagraph"/>
              <w:tabs>
                <w:tab w:pos="1297" w:val="left" w:leader="none"/>
              </w:tabs>
              <w:ind w:right="86"/>
              <w:rPr>
                <w:sz w:val="18"/>
              </w:rPr>
            </w:pPr>
            <w:r>
              <w:rPr>
                <w:b/>
                <w:sz w:val="18"/>
              </w:rPr>
              <w:t>1</w:t>
              <w:tab/>
            </w:r>
            <w:r>
              <w:rPr>
                <w:spacing w:val="-1"/>
                <w:sz w:val="18"/>
              </w:rPr>
              <w:t>1</w:t>
            </w:r>
          </w:p>
        </w:tc>
      </w:tr>
      <w:tr>
        <w:trPr>
          <w:trHeight w:val="206" w:hRule="exact"/>
        </w:trPr>
        <w:tc>
          <w:tcPr>
            <w:tcW w:w="5459" w:type="dxa"/>
          </w:tcPr>
          <w:p>
            <w:pPr>
              <w:pStyle w:val="TableParagraph"/>
              <w:spacing w:line="197" w:lineRule="exact"/>
              <w:ind w:left="62"/>
              <w:jc w:val="left"/>
              <w:rPr>
                <w:sz w:val="18"/>
              </w:rPr>
            </w:pPr>
            <w:r>
              <w:rPr>
                <w:sz w:val="18"/>
              </w:rPr>
              <w:t>Reserves</w:t>
            </w:r>
          </w:p>
        </w:tc>
        <w:tc>
          <w:tcPr>
            <w:tcW w:w="1878" w:type="dxa"/>
          </w:tcPr>
          <w:p>
            <w:pPr>
              <w:pStyle w:val="TableParagraph"/>
              <w:spacing w:line="197" w:lineRule="exact"/>
              <w:ind w:left="1348"/>
              <w:jc w:val="left"/>
              <w:rPr>
                <w:sz w:val="18"/>
              </w:rPr>
            </w:pPr>
            <w:r>
              <w:rPr>
                <w:w w:val="99"/>
                <w:sz w:val="18"/>
              </w:rPr>
              <w:t>9</w:t>
            </w:r>
          </w:p>
        </w:tc>
        <w:tc>
          <w:tcPr>
            <w:tcW w:w="2614" w:type="dxa"/>
          </w:tcPr>
          <w:p>
            <w:pPr>
              <w:pStyle w:val="TableParagraph"/>
              <w:tabs>
                <w:tab w:pos="1297" w:val="left" w:leader="none"/>
              </w:tabs>
              <w:spacing w:line="197" w:lineRule="exact"/>
              <w:ind w:right="86"/>
              <w:rPr>
                <w:sz w:val="18"/>
              </w:rPr>
            </w:pPr>
            <w:r>
              <w:rPr>
                <w:b/>
                <w:sz w:val="18"/>
              </w:rPr>
              <w:t>195,247</w:t>
              <w:tab/>
            </w:r>
            <w:r>
              <w:rPr>
                <w:spacing w:val="-1"/>
                <w:w w:val="95"/>
                <w:sz w:val="18"/>
              </w:rPr>
              <w:t>175,207</w:t>
            </w:r>
          </w:p>
        </w:tc>
      </w:tr>
      <w:tr>
        <w:trPr>
          <w:trHeight w:val="212" w:hRule="exact"/>
        </w:trPr>
        <w:tc>
          <w:tcPr>
            <w:tcW w:w="5459" w:type="dxa"/>
          </w:tcPr>
          <w:p>
            <w:pPr>
              <w:pStyle w:val="TableParagraph"/>
              <w:spacing w:line="197" w:lineRule="exact"/>
              <w:ind w:left="62"/>
              <w:jc w:val="left"/>
              <w:rPr>
                <w:sz w:val="18"/>
              </w:rPr>
            </w:pPr>
            <w:r>
              <w:rPr>
                <w:sz w:val="18"/>
              </w:rPr>
              <w:t>Retained earnings</w:t>
            </w:r>
          </w:p>
        </w:tc>
        <w:tc>
          <w:tcPr>
            <w:tcW w:w="1878" w:type="dxa"/>
          </w:tcPr>
          <w:p>
            <w:pPr>
              <w:pStyle w:val="TableParagraph"/>
              <w:spacing w:line="197" w:lineRule="exact"/>
              <w:ind w:left="1348" w:right="-1"/>
              <w:jc w:val="left"/>
              <w:rPr>
                <w:sz w:val="18"/>
              </w:rPr>
            </w:pPr>
            <w:r>
              <w:rPr>
                <w:sz w:val="18"/>
              </w:rPr>
              <w:t>10</w:t>
            </w:r>
          </w:p>
        </w:tc>
        <w:tc>
          <w:tcPr>
            <w:tcW w:w="2614" w:type="dxa"/>
          </w:tcPr>
          <w:p>
            <w:pPr>
              <w:pStyle w:val="TableParagraph"/>
              <w:tabs>
                <w:tab w:pos="410" w:val="left" w:leader="none"/>
                <w:tab w:pos="1707" w:val="left" w:leader="none"/>
              </w:tabs>
              <w:spacing w:line="197" w:lineRule="exact"/>
              <w:ind w:right="86"/>
              <w:rPr>
                <w:sz w:val="18"/>
              </w:rPr>
            </w:pPr>
            <w:r>
              <w:rPr>
                <w:rFonts w:ascii="Times New Roman"/>
                <w:sz w:val="18"/>
                <w:u w:val="single"/>
              </w:rPr>
              <w:t> </w:t>
              <w:tab/>
            </w:r>
            <w:r>
              <w:rPr>
                <w:b/>
                <w:sz w:val="18"/>
                <w:u w:val="single"/>
              </w:rPr>
              <w:t>1,214,116</w:t>
              <w:tab/>
            </w:r>
            <w:r>
              <w:rPr>
                <w:spacing w:val="-1"/>
                <w:w w:val="95"/>
                <w:sz w:val="18"/>
                <w:u w:val="single"/>
              </w:rPr>
              <w:t>1,074,995</w:t>
            </w:r>
          </w:p>
        </w:tc>
      </w:tr>
      <w:tr>
        <w:trPr>
          <w:trHeight w:val="299" w:hRule="exact"/>
        </w:trPr>
        <w:tc>
          <w:tcPr>
            <w:tcW w:w="5459" w:type="dxa"/>
          </w:tcPr>
          <w:p>
            <w:pPr>
              <w:pStyle w:val="TableParagraph"/>
              <w:spacing w:line="201" w:lineRule="exact"/>
              <w:ind w:left="62"/>
              <w:jc w:val="left"/>
              <w:rPr>
                <w:b/>
                <w:sz w:val="18"/>
              </w:rPr>
            </w:pPr>
            <w:r>
              <w:rPr>
                <w:b/>
                <w:sz w:val="18"/>
              </w:rPr>
              <w:t>Total trust funds</w:t>
            </w:r>
          </w:p>
        </w:tc>
        <w:tc>
          <w:tcPr>
            <w:tcW w:w="1878" w:type="dxa"/>
          </w:tcPr>
          <w:p>
            <w:pPr/>
          </w:p>
        </w:tc>
        <w:tc>
          <w:tcPr>
            <w:tcW w:w="2614" w:type="dxa"/>
          </w:tcPr>
          <w:p>
            <w:pPr>
              <w:pStyle w:val="TableParagraph"/>
              <w:tabs>
                <w:tab w:pos="410" w:val="left" w:leader="none"/>
                <w:tab w:pos="1707" w:val="left" w:leader="none"/>
              </w:tabs>
              <w:spacing w:line="201" w:lineRule="exact"/>
              <w:ind w:right="86"/>
              <w:rPr>
                <w:sz w:val="18"/>
              </w:rPr>
            </w:pPr>
            <w:r>
              <w:rPr>
                <w:rFonts w:ascii="Times New Roman"/>
                <w:sz w:val="18"/>
                <w:u w:val="thick"/>
              </w:rPr>
              <w:t> </w:t>
              <w:tab/>
            </w:r>
            <w:r>
              <w:rPr>
                <w:b/>
                <w:sz w:val="18"/>
                <w:u w:val="thick"/>
              </w:rPr>
              <w:t>1,409,364</w:t>
              <w:tab/>
            </w:r>
            <w:r>
              <w:rPr>
                <w:spacing w:val="-1"/>
                <w:w w:val="95"/>
                <w:sz w:val="18"/>
                <w:u w:val="thick"/>
              </w:rPr>
              <w:t>1,250,203</w:t>
            </w:r>
          </w:p>
        </w:tc>
      </w:tr>
    </w:tbl>
    <w:p>
      <w:pPr>
        <w:spacing w:after="0" w:line="201" w:lineRule="exact"/>
        <w:rPr>
          <w:sz w:val="18"/>
        </w:rPr>
        <w:sectPr>
          <w:pgSz w:w="12750" w:h="17680"/>
          <w:pgMar w:header="0" w:footer="1403" w:top="1880" w:bottom="1600" w:left="0" w:right="0"/>
        </w:sectPr>
      </w:pPr>
    </w:p>
    <w:p>
      <w:pPr>
        <w:pStyle w:val="BodyText"/>
        <w:spacing w:before="2"/>
        <w:rPr>
          <w:rFonts w:ascii="Times New Roman"/>
          <w:sz w:val="24"/>
        </w:rPr>
      </w:pPr>
      <w:r>
        <w:rPr/>
        <w:drawing>
          <wp:anchor distT="0" distB="0" distL="0" distR="0" allowOverlap="1" layoutInCell="1" locked="0" behindDoc="0" simplePos="0" relativeHeight="15232">
            <wp:simplePos x="0" y="0"/>
            <wp:positionH relativeFrom="page">
              <wp:posOffset>-1587</wp:posOffset>
            </wp:positionH>
            <wp:positionV relativeFrom="page">
              <wp:posOffset>5534342</wp:posOffset>
            </wp:positionV>
            <wp:extent cx="135159" cy="154019"/>
            <wp:effectExtent l="0" t="0" r="0" b="0"/>
            <wp:wrapNone/>
            <wp:docPr id="1051" name="image13.png" descr=""/>
            <wp:cNvGraphicFramePr>
              <a:graphicFrameLocks noChangeAspect="1"/>
            </wp:cNvGraphicFramePr>
            <a:graphic>
              <a:graphicData uri="http://schemas.openxmlformats.org/drawingml/2006/picture">
                <pic:pic>
                  <pic:nvPicPr>
                    <pic:cNvPr id="1052" name="image13.png"/>
                    <pic:cNvPicPr/>
                  </pic:nvPicPr>
                  <pic:blipFill>
                    <a:blip r:embed="rId18" cstate="print"/>
                    <a:stretch>
                      <a:fillRect/>
                    </a:stretch>
                  </pic:blipFill>
                  <pic:spPr>
                    <a:xfrm>
                      <a:off x="0" y="0"/>
                      <a:ext cx="135159" cy="154019"/>
                    </a:xfrm>
                    <a:prstGeom prst="rect">
                      <a:avLst/>
                    </a:prstGeom>
                  </pic:spPr>
                </pic:pic>
              </a:graphicData>
            </a:graphic>
          </wp:anchor>
        </w:drawing>
      </w:r>
      <w:r>
        <w:rPr/>
        <w:drawing>
          <wp:anchor distT="0" distB="0" distL="0" distR="0" allowOverlap="1" layoutInCell="1" locked="0" behindDoc="0" simplePos="0" relativeHeight="15256">
            <wp:simplePos x="0" y="0"/>
            <wp:positionH relativeFrom="page">
              <wp:posOffset>7958429</wp:posOffset>
            </wp:positionH>
            <wp:positionV relativeFrom="page">
              <wp:posOffset>5534342</wp:posOffset>
            </wp:positionV>
            <wp:extent cx="135953" cy="155575"/>
            <wp:effectExtent l="0" t="0" r="0" b="0"/>
            <wp:wrapNone/>
            <wp:docPr id="1053" name="image15.png" descr=""/>
            <wp:cNvGraphicFramePr>
              <a:graphicFrameLocks noChangeAspect="1"/>
            </wp:cNvGraphicFramePr>
            <a:graphic>
              <a:graphicData uri="http://schemas.openxmlformats.org/drawingml/2006/picture">
                <pic:pic>
                  <pic:nvPicPr>
                    <pic:cNvPr id="1054" name="image15.png"/>
                    <pic:cNvPicPr/>
                  </pic:nvPicPr>
                  <pic:blipFill>
                    <a:blip r:embed="rId20" cstate="print"/>
                    <a:stretch>
                      <a:fillRect/>
                    </a:stretch>
                  </pic:blipFill>
                  <pic:spPr>
                    <a:xfrm>
                      <a:off x="0" y="0"/>
                      <a:ext cx="135953" cy="155575"/>
                    </a:xfrm>
                    <a:prstGeom prst="rect">
                      <a:avLst/>
                    </a:prstGeom>
                  </pic:spPr>
                </pic:pic>
              </a:graphicData>
            </a:graphic>
          </wp:anchor>
        </w:drawing>
      </w:r>
    </w:p>
    <w:tbl>
      <w:tblPr>
        <w:tblW w:w="0" w:type="auto"/>
        <w:jc w:val="left"/>
        <w:tblInd w:w="139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501"/>
        <w:gridCol w:w="1475"/>
        <w:gridCol w:w="1197"/>
        <w:gridCol w:w="1177"/>
        <w:gridCol w:w="1216"/>
      </w:tblGrid>
      <w:tr>
        <w:trPr>
          <w:trHeight w:val="911" w:hRule="exact"/>
        </w:trPr>
        <w:tc>
          <w:tcPr>
            <w:tcW w:w="4501" w:type="dxa"/>
          </w:tcPr>
          <w:p>
            <w:pPr>
              <w:pStyle w:val="TableParagraph"/>
              <w:spacing w:before="64"/>
              <w:ind w:left="35"/>
              <w:jc w:val="left"/>
              <w:rPr>
                <w:b/>
                <w:sz w:val="28"/>
              </w:rPr>
            </w:pPr>
            <w:r>
              <w:rPr>
                <w:b/>
                <w:sz w:val="28"/>
              </w:rPr>
              <w:t>Statement of changes in equity</w:t>
            </w:r>
          </w:p>
          <w:p>
            <w:pPr>
              <w:pStyle w:val="TableParagraph"/>
              <w:spacing w:before="57"/>
              <w:ind w:left="35"/>
              <w:jc w:val="left"/>
              <w:rPr>
                <w:b/>
                <w:sz w:val="22"/>
              </w:rPr>
            </w:pPr>
            <w:bookmarkStart w:name="Statement of changes in equity" w:id="441"/>
            <w:bookmarkEnd w:id="441"/>
            <w:r>
              <w:rPr/>
            </w:r>
            <w:r>
              <w:rPr>
                <w:b/>
                <w:sz w:val="22"/>
              </w:rPr>
              <w:t>For the Year Ended 31 December 2016</w:t>
            </w:r>
          </w:p>
        </w:tc>
        <w:tc>
          <w:tcPr>
            <w:tcW w:w="5065" w:type="dxa"/>
            <w:gridSpan w:val="4"/>
          </w:tcPr>
          <w:p>
            <w:pPr/>
          </w:p>
        </w:tc>
      </w:tr>
      <w:tr>
        <w:trPr>
          <w:trHeight w:val="653" w:hRule="exact"/>
        </w:trPr>
        <w:tc>
          <w:tcPr>
            <w:tcW w:w="4501" w:type="dxa"/>
          </w:tcPr>
          <w:p>
            <w:pPr/>
          </w:p>
        </w:tc>
        <w:tc>
          <w:tcPr>
            <w:tcW w:w="1475" w:type="dxa"/>
          </w:tcPr>
          <w:p>
            <w:pPr>
              <w:pStyle w:val="TableParagraph"/>
              <w:jc w:val="left"/>
              <w:rPr>
                <w:rFonts w:ascii="Times New Roman"/>
                <w:sz w:val="18"/>
              </w:rPr>
            </w:pPr>
          </w:p>
          <w:p>
            <w:pPr>
              <w:pStyle w:val="TableParagraph"/>
              <w:spacing w:before="1"/>
              <w:jc w:val="left"/>
              <w:rPr>
                <w:rFonts w:ascii="Times New Roman"/>
                <w:sz w:val="17"/>
              </w:rPr>
            </w:pPr>
          </w:p>
          <w:p>
            <w:pPr>
              <w:pStyle w:val="TableParagraph"/>
              <w:ind w:right="149"/>
              <w:rPr>
                <w:b/>
                <w:sz w:val="18"/>
              </w:rPr>
            </w:pPr>
            <w:r>
              <w:rPr>
                <w:b/>
                <w:sz w:val="18"/>
              </w:rPr>
              <w:t>Settled fund</w:t>
            </w:r>
          </w:p>
        </w:tc>
        <w:tc>
          <w:tcPr>
            <w:tcW w:w="1197" w:type="dxa"/>
          </w:tcPr>
          <w:p>
            <w:pPr>
              <w:pStyle w:val="TableParagraph"/>
              <w:spacing w:before="1"/>
              <w:jc w:val="left"/>
              <w:rPr>
                <w:rFonts w:ascii="Times New Roman"/>
                <w:sz w:val="17"/>
              </w:rPr>
            </w:pPr>
          </w:p>
          <w:p>
            <w:pPr>
              <w:pStyle w:val="TableParagraph"/>
              <w:ind w:left="151" w:right="255" w:firstLine="6"/>
              <w:jc w:val="left"/>
              <w:rPr>
                <w:b/>
                <w:sz w:val="18"/>
              </w:rPr>
            </w:pPr>
            <w:r>
              <w:rPr>
                <w:b/>
                <w:sz w:val="18"/>
              </w:rPr>
              <w:t>Retained Earnings</w:t>
            </w:r>
          </w:p>
        </w:tc>
        <w:tc>
          <w:tcPr>
            <w:tcW w:w="1177" w:type="dxa"/>
          </w:tcPr>
          <w:p>
            <w:pPr>
              <w:pStyle w:val="TableParagraph"/>
              <w:jc w:val="left"/>
              <w:rPr>
                <w:rFonts w:ascii="Times New Roman"/>
                <w:sz w:val="18"/>
              </w:rPr>
            </w:pPr>
          </w:p>
          <w:p>
            <w:pPr>
              <w:pStyle w:val="TableParagraph"/>
              <w:spacing w:before="1"/>
              <w:jc w:val="left"/>
              <w:rPr>
                <w:rFonts w:ascii="Times New Roman"/>
                <w:sz w:val="17"/>
              </w:rPr>
            </w:pPr>
          </w:p>
          <w:p>
            <w:pPr>
              <w:pStyle w:val="TableParagraph"/>
              <w:ind w:left="143"/>
              <w:jc w:val="left"/>
              <w:rPr>
                <w:b/>
                <w:sz w:val="18"/>
              </w:rPr>
            </w:pPr>
            <w:r>
              <w:rPr>
                <w:b/>
                <w:sz w:val="18"/>
              </w:rPr>
              <w:t>Reserves</w:t>
            </w:r>
          </w:p>
        </w:tc>
        <w:tc>
          <w:tcPr>
            <w:tcW w:w="1216" w:type="dxa"/>
          </w:tcPr>
          <w:p>
            <w:pPr>
              <w:pStyle w:val="TableParagraph"/>
              <w:jc w:val="left"/>
              <w:rPr>
                <w:rFonts w:ascii="Times New Roman"/>
                <w:sz w:val="18"/>
              </w:rPr>
            </w:pPr>
          </w:p>
          <w:p>
            <w:pPr>
              <w:pStyle w:val="TableParagraph"/>
              <w:spacing w:before="1"/>
              <w:jc w:val="left"/>
              <w:rPr>
                <w:rFonts w:ascii="Times New Roman"/>
                <w:sz w:val="17"/>
              </w:rPr>
            </w:pPr>
          </w:p>
          <w:p>
            <w:pPr>
              <w:pStyle w:val="TableParagraph"/>
              <w:ind w:right="84"/>
              <w:rPr>
                <w:b/>
                <w:sz w:val="18"/>
              </w:rPr>
            </w:pPr>
            <w:r>
              <w:rPr>
                <w:b/>
                <w:sz w:val="18"/>
              </w:rPr>
              <w:t>Total Equity</w:t>
            </w:r>
          </w:p>
        </w:tc>
      </w:tr>
      <w:tr>
        <w:trPr>
          <w:trHeight w:val="272" w:hRule="exact"/>
        </w:trPr>
        <w:tc>
          <w:tcPr>
            <w:tcW w:w="4501" w:type="dxa"/>
          </w:tcPr>
          <w:p>
            <w:pPr/>
          </w:p>
        </w:tc>
        <w:tc>
          <w:tcPr>
            <w:tcW w:w="1475" w:type="dxa"/>
            <w:tcBorders>
              <w:bottom w:val="single" w:sz="0" w:space="0" w:color="000000"/>
            </w:tcBorders>
          </w:tcPr>
          <w:p>
            <w:pPr>
              <w:pStyle w:val="TableParagraph"/>
              <w:spacing w:before="24"/>
              <w:ind w:left="132"/>
              <w:jc w:val="center"/>
              <w:rPr>
                <w:b/>
                <w:sz w:val="18"/>
              </w:rPr>
            </w:pPr>
            <w:r>
              <w:rPr>
                <w:b/>
                <w:w w:val="99"/>
                <w:sz w:val="18"/>
              </w:rPr>
              <w:t>$</w:t>
            </w:r>
          </w:p>
        </w:tc>
        <w:tc>
          <w:tcPr>
            <w:tcW w:w="1197" w:type="dxa"/>
            <w:tcBorders>
              <w:bottom w:val="single" w:sz="0" w:space="0" w:color="000000"/>
            </w:tcBorders>
          </w:tcPr>
          <w:p>
            <w:pPr>
              <w:pStyle w:val="TableParagraph"/>
              <w:spacing w:before="24"/>
              <w:ind w:right="118"/>
              <w:jc w:val="center"/>
              <w:rPr>
                <w:b/>
                <w:sz w:val="18"/>
              </w:rPr>
            </w:pPr>
            <w:r>
              <w:rPr>
                <w:b/>
                <w:w w:val="99"/>
                <w:sz w:val="18"/>
              </w:rPr>
              <w:t>$</w:t>
            </w:r>
          </w:p>
        </w:tc>
        <w:tc>
          <w:tcPr>
            <w:tcW w:w="1177" w:type="dxa"/>
            <w:tcBorders>
              <w:bottom w:val="single" w:sz="0" w:space="0" w:color="000000"/>
            </w:tcBorders>
          </w:tcPr>
          <w:p>
            <w:pPr>
              <w:pStyle w:val="TableParagraph"/>
              <w:spacing w:before="24"/>
              <w:ind w:right="44"/>
              <w:jc w:val="center"/>
              <w:rPr>
                <w:b/>
                <w:sz w:val="18"/>
              </w:rPr>
            </w:pPr>
            <w:r>
              <w:rPr>
                <w:b/>
                <w:w w:val="99"/>
                <w:sz w:val="18"/>
              </w:rPr>
              <w:t>$</w:t>
            </w:r>
          </w:p>
        </w:tc>
        <w:tc>
          <w:tcPr>
            <w:tcW w:w="1216" w:type="dxa"/>
            <w:tcBorders>
              <w:bottom w:val="single" w:sz="0" w:space="0" w:color="000000"/>
            </w:tcBorders>
          </w:tcPr>
          <w:p>
            <w:pPr>
              <w:pStyle w:val="TableParagraph"/>
              <w:spacing w:before="24"/>
              <w:ind w:left="8"/>
              <w:jc w:val="center"/>
              <w:rPr>
                <w:b/>
                <w:sz w:val="18"/>
              </w:rPr>
            </w:pPr>
            <w:r>
              <w:rPr>
                <w:b/>
                <w:w w:val="99"/>
                <w:sz w:val="18"/>
              </w:rPr>
              <w:t>$</w:t>
            </w:r>
          </w:p>
        </w:tc>
      </w:tr>
      <w:tr>
        <w:trPr>
          <w:trHeight w:val="284" w:hRule="exact"/>
        </w:trPr>
        <w:tc>
          <w:tcPr>
            <w:tcW w:w="4501" w:type="dxa"/>
          </w:tcPr>
          <w:p>
            <w:pPr>
              <w:pStyle w:val="TableParagraph"/>
              <w:spacing w:before="38"/>
              <w:ind w:left="108"/>
              <w:jc w:val="left"/>
              <w:rPr>
                <w:b/>
                <w:sz w:val="18"/>
              </w:rPr>
            </w:pPr>
            <w:r>
              <w:rPr>
                <w:b/>
                <w:sz w:val="18"/>
              </w:rPr>
              <w:t>Balance at 1 January 2016</w:t>
            </w:r>
          </w:p>
        </w:tc>
        <w:tc>
          <w:tcPr>
            <w:tcW w:w="1475" w:type="dxa"/>
            <w:tcBorders>
              <w:top w:val="single" w:sz="0" w:space="0" w:color="000000"/>
            </w:tcBorders>
          </w:tcPr>
          <w:p>
            <w:pPr>
              <w:pStyle w:val="TableParagraph"/>
              <w:spacing w:before="38"/>
              <w:ind w:right="168"/>
              <w:rPr>
                <w:sz w:val="18"/>
              </w:rPr>
            </w:pPr>
            <w:r>
              <w:rPr>
                <w:w w:val="99"/>
                <w:sz w:val="18"/>
              </w:rPr>
              <w:t>1</w:t>
            </w:r>
          </w:p>
        </w:tc>
        <w:tc>
          <w:tcPr>
            <w:tcW w:w="1197" w:type="dxa"/>
            <w:tcBorders>
              <w:top w:val="single" w:sz="0" w:space="0" w:color="000000"/>
            </w:tcBorders>
          </w:tcPr>
          <w:p>
            <w:pPr>
              <w:pStyle w:val="TableParagraph"/>
              <w:spacing w:before="38"/>
              <w:ind w:right="141"/>
              <w:rPr>
                <w:sz w:val="18"/>
              </w:rPr>
            </w:pPr>
            <w:r>
              <w:rPr>
                <w:w w:val="95"/>
                <w:sz w:val="18"/>
              </w:rPr>
              <w:t>1,074,995</w:t>
            </w:r>
          </w:p>
        </w:tc>
        <w:tc>
          <w:tcPr>
            <w:tcW w:w="1177" w:type="dxa"/>
            <w:tcBorders>
              <w:top w:val="single" w:sz="0" w:space="0" w:color="000000"/>
            </w:tcBorders>
          </w:tcPr>
          <w:p>
            <w:pPr>
              <w:pStyle w:val="TableParagraph"/>
              <w:spacing w:before="38"/>
              <w:ind w:right="94"/>
              <w:rPr>
                <w:sz w:val="18"/>
              </w:rPr>
            </w:pPr>
            <w:r>
              <w:rPr>
                <w:w w:val="95"/>
                <w:sz w:val="18"/>
              </w:rPr>
              <w:t>175,207</w:t>
            </w:r>
          </w:p>
        </w:tc>
        <w:tc>
          <w:tcPr>
            <w:tcW w:w="1216" w:type="dxa"/>
            <w:tcBorders>
              <w:top w:val="single" w:sz="0" w:space="0" w:color="000000"/>
            </w:tcBorders>
          </w:tcPr>
          <w:p>
            <w:pPr>
              <w:pStyle w:val="TableParagraph"/>
              <w:spacing w:before="38"/>
              <w:ind w:right="86"/>
              <w:rPr>
                <w:b/>
                <w:sz w:val="18"/>
              </w:rPr>
            </w:pPr>
            <w:r>
              <w:rPr>
                <w:b/>
                <w:w w:val="95"/>
                <w:sz w:val="18"/>
              </w:rPr>
              <w:t>1,250,203</w:t>
            </w:r>
          </w:p>
        </w:tc>
      </w:tr>
      <w:tr>
        <w:trPr>
          <w:trHeight w:val="264" w:hRule="exact"/>
        </w:trPr>
        <w:tc>
          <w:tcPr>
            <w:tcW w:w="4501" w:type="dxa"/>
          </w:tcPr>
          <w:p>
            <w:pPr>
              <w:pStyle w:val="TableParagraph"/>
              <w:spacing w:before="18"/>
              <w:ind w:left="108"/>
              <w:jc w:val="left"/>
              <w:rPr>
                <w:sz w:val="18"/>
              </w:rPr>
            </w:pPr>
            <w:r>
              <w:rPr>
                <w:sz w:val="18"/>
              </w:rPr>
              <w:t>Revaluation of property, plant and equipment</w:t>
            </w:r>
          </w:p>
        </w:tc>
        <w:tc>
          <w:tcPr>
            <w:tcW w:w="1475" w:type="dxa"/>
          </w:tcPr>
          <w:p>
            <w:pPr>
              <w:pStyle w:val="TableParagraph"/>
              <w:spacing w:before="19"/>
              <w:ind w:right="168"/>
              <w:rPr>
                <w:b/>
                <w:sz w:val="18"/>
              </w:rPr>
            </w:pPr>
            <w:r>
              <w:rPr>
                <w:b/>
                <w:w w:val="99"/>
                <w:sz w:val="18"/>
              </w:rPr>
              <w:t>-</w:t>
            </w:r>
          </w:p>
        </w:tc>
        <w:tc>
          <w:tcPr>
            <w:tcW w:w="1197" w:type="dxa"/>
          </w:tcPr>
          <w:p>
            <w:pPr>
              <w:pStyle w:val="TableParagraph"/>
              <w:spacing w:before="19"/>
              <w:ind w:right="141"/>
              <w:rPr>
                <w:b/>
                <w:sz w:val="18"/>
              </w:rPr>
            </w:pPr>
            <w:r>
              <w:rPr>
                <w:b/>
                <w:w w:val="99"/>
                <w:sz w:val="18"/>
              </w:rPr>
              <w:t>-</w:t>
            </w:r>
          </w:p>
        </w:tc>
        <w:tc>
          <w:tcPr>
            <w:tcW w:w="1177" w:type="dxa"/>
          </w:tcPr>
          <w:p>
            <w:pPr>
              <w:pStyle w:val="TableParagraph"/>
              <w:spacing w:before="19"/>
              <w:ind w:right="94"/>
              <w:rPr>
                <w:sz w:val="18"/>
              </w:rPr>
            </w:pPr>
            <w:r>
              <w:rPr>
                <w:w w:val="95"/>
                <w:sz w:val="18"/>
              </w:rPr>
              <w:t>20,040</w:t>
            </w:r>
          </w:p>
        </w:tc>
        <w:tc>
          <w:tcPr>
            <w:tcW w:w="1216" w:type="dxa"/>
          </w:tcPr>
          <w:p>
            <w:pPr>
              <w:pStyle w:val="TableParagraph"/>
              <w:spacing w:before="19"/>
              <w:ind w:right="86"/>
              <w:rPr>
                <w:b/>
                <w:sz w:val="18"/>
              </w:rPr>
            </w:pPr>
            <w:r>
              <w:rPr>
                <w:b/>
                <w:w w:val="95"/>
                <w:sz w:val="18"/>
              </w:rPr>
              <w:t>20,040</w:t>
            </w:r>
          </w:p>
        </w:tc>
      </w:tr>
      <w:tr>
        <w:trPr>
          <w:trHeight w:val="263" w:hRule="exact"/>
        </w:trPr>
        <w:tc>
          <w:tcPr>
            <w:tcW w:w="4501" w:type="dxa"/>
          </w:tcPr>
          <w:p>
            <w:pPr>
              <w:pStyle w:val="TableParagraph"/>
              <w:spacing w:before="18"/>
              <w:ind w:left="108"/>
              <w:jc w:val="left"/>
              <w:rPr>
                <w:sz w:val="18"/>
              </w:rPr>
            </w:pPr>
            <w:r>
              <w:rPr>
                <w:sz w:val="18"/>
              </w:rPr>
              <w:t>Surplus for the year</w:t>
            </w:r>
          </w:p>
        </w:tc>
        <w:tc>
          <w:tcPr>
            <w:tcW w:w="1475" w:type="dxa"/>
            <w:tcBorders>
              <w:bottom w:val="single" w:sz="0" w:space="0" w:color="000000"/>
            </w:tcBorders>
          </w:tcPr>
          <w:p>
            <w:pPr>
              <w:pStyle w:val="TableParagraph"/>
              <w:spacing w:before="19"/>
              <w:ind w:right="168"/>
              <w:rPr>
                <w:b/>
                <w:sz w:val="18"/>
              </w:rPr>
            </w:pPr>
            <w:r>
              <w:rPr>
                <w:b/>
                <w:w w:val="99"/>
                <w:sz w:val="18"/>
              </w:rPr>
              <w:t>-</w:t>
            </w:r>
          </w:p>
        </w:tc>
        <w:tc>
          <w:tcPr>
            <w:tcW w:w="1197" w:type="dxa"/>
            <w:tcBorders>
              <w:bottom w:val="single" w:sz="0" w:space="0" w:color="000000"/>
            </w:tcBorders>
          </w:tcPr>
          <w:p>
            <w:pPr>
              <w:pStyle w:val="TableParagraph"/>
              <w:spacing w:before="19"/>
              <w:ind w:right="141"/>
              <w:rPr>
                <w:sz w:val="18"/>
              </w:rPr>
            </w:pPr>
            <w:r>
              <w:rPr>
                <w:w w:val="95"/>
                <w:sz w:val="18"/>
              </w:rPr>
              <w:t>139,121</w:t>
            </w:r>
          </w:p>
        </w:tc>
        <w:tc>
          <w:tcPr>
            <w:tcW w:w="1177" w:type="dxa"/>
            <w:tcBorders>
              <w:bottom w:val="single" w:sz="0" w:space="0" w:color="000000"/>
            </w:tcBorders>
          </w:tcPr>
          <w:p>
            <w:pPr>
              <w:pStyle w:val="TableParagraph"/>
              <w:spacing w:before="19"/>
              <w:ind w:right="94"/>
              <w:rPr>
                <w:b/>
                <w:sz w:val="18"/>
              </w:rPr>
            </w:pPr>
            <w:r>
              <w:rPr>
                <w:b/>
                <w:w w:val="99"/>
                <w:sz w:val="18"/>
              </w:rPr>
              <w:t>-</w:t>
            </w:r>
          </w:p>
        </w:tc>
        <w:tc>
          <w:tcPr>
            <w:tcW w:w="1216" w:type="dxa"/>
            <w:tcBorders>
              <w:bottom w:val="single" w:sz="0" w:space="0" w:color="000000"/>
            </w:tcBorders>
          </w:tcPr>
          <w:p>
            <w:pPr>
              <w:pStyle w:val="TableParagraph"/>
              <w:spacing w:before="19"/>
              <w:ind w:right="86"/>
              <w:rPr>
                <w:b/>
                <w:sz w:val="18"/>
              </w:rPr>
            </w:pPr>
            <w:r>
              <w:rPr>
                <w:b/>
                <w:w w:val="95"/>
                <w:sz w:val="18"/>
              </w:rPr>
              <w:t>139,121</w:t>
            </w:r>
          </w:p>
        </w:tc>
      </w:tr>
      <w:tr>
        <w:trPr>
          <w:trHeight w:val="338" w:hRule="exact"/>
        </w:trPr>
        <w:tc>
          <w:tcPr>
            <w:tcW w:w="4501" w:type="dxa"/>
          </w:tcPr>
          <w:p>
            <w:pPr>
              <w:pStyle w:val="TableParagraph"/>
              <w:spacing w:before="123"/>
              <w:ind w:left="108"/>
              <w:jc w:val="left"/>
              <w:rPr>
                <w:b/>
                <w:sz w:val="18"/>
              </w:rPr>
            </w:pPr>
            <w:r>
              <w:rPr>
                <w:b/>
                <w:sz w:val="18"/>
              </w:rPr>
              <w:t>Total comprehensive income for the year</w:t>
            </w:r>
          </w:p>
        </w:tc>
        <w:tc>
          <w:tcPr>
            <w:tcW w:w="1475" w:type="dxa"/>
            <w:tcBorders>
              <w:top w:val="single" w:sz="0" w:space="0" w:color="000000"/>
              <w:bottom w:val="single" w:sz="0" w:space="0" w:color="000000"/>
            </w:tcBorders>
          </w:tcPr>
          <w:p>
            <w:pPr>
              <w:pStyle w:val="TableParagraph"/>
              <w:spacing w:before="122"/>
              <w:ind w:right="168"/>
              <w:rPr>
                <w:b/>
                <w:sz w:val="18"/>
              </w:rPr>
            </w:pPr>
            <w:r>
              <w:rPr>
                <w:b/>
                <w:w w:val="99"/>
                <w:sz w:val="18"/>
              </w:rPr>
              <w:t>-</w:t>
            </w:r>
          </w:p>
        </w:tc>
        <w:tc>
          <w:tcPr>
            <w:tcW w:w="1197" w:type="dxa"/>
            <w:tcBorders>
              <w:top w:val="single" w:sz="0" w:space="0" w:color="000000"/>
              <w:bottom w:val="single" w:sz="0" w:space="0" w:color="000000"/>
            </w:tcBorders>
          </w:tcPr>
          <w:p>
            <w:pPr>
              <w:pStyle w:val="TableParagraph"/>
              <w:spacing w:before="122"/>
              <w:ind w:right="141"/>
              <w:rPr>
                <w:b/>
                <w:sz w:val="18"/>
              </w:rPr>
            </w:pPr>
            <w:r>
              <w:rPr>
                <w:b/>
                <w:w w:val="95"/>
                <w:sz w:val="18"/>
              </w:rPr>
              <w:t>139,121</w:t>
            </w:r>
          </w:p>
        </w:tc>
        <w:tc>
          <w:tcPr>
            <w:tcW w:w="1177" w:type="dxa"/>
            <w:tcBorders>
              <w:top w:val="single" w:sz="0" w:space="0" w:color="000000"/>
              <w:bottom w:val="single" w:sz="0" w:space="0" w:color="000000"/>
            </w:tcBorders>
          </w:tcPr>
          <w:p>
            <w:pPr>
              <w:pStyle w:val="TableParagraph"/>
              <w:spacing w:before="122"/>
              <w:ind w:right="94"/>
              <w:rPr>
                <w:b/>
                <w:sz w:val="18"/>
              </w:rPr>
            </w:pPr>
            <w:r>
              <w:rPr>
                <w:b/>
                <w:w w:val="95"/>
                <w:sz w:val="18"/>
              </w:rPr>
              <w:t>20,040</w:t>
            </w:r>
          </w:p>
        </w:tc>
        <w:tc>
          <w:tcPr>
            <w:tcW w:w="1216" w:type="dxa"/>
            <w:tcBorders>
              <w:top w:val="single" w:sz="0" w:space="0" w:color="000000"/>
              <w:bottom w:val="single" w:sz="0" w:space="0" w:color="000000"/>
            </w:tcBorders>
          </w:tcPr>
          <w:p>
            <w:pPr>
              <w:pStyle w:val="TableParagraph"/>
              <w:spacing w:before="122"/>
              <w:ind w:right="86"/>
              <w:rPr>
                <w:b/>
                <w:sz w:val="18"/>
              </w:rPr>
            </w:pPr>
            <w:r>
              <w:rPr>
                <w:b/>
                <w:w w:val="95"/>
                <w:sz w:val="18"/>
              </w:rPr>
              <w:t>159,161</w:t>
            </w:r>
          </w:p>
        </w:tc>
      </w:tr>
      <w:tr>
        <w:trPr>
          <w:trHeight w:val="344" w:hRule="exact"/>
        </w:trPr>
        <w:tc>
          <w:tcPr>
            <w:tcW w:w="4501" w:type="dxa"/>
          </w:tcPr>
          <w:p>
            <w:pPr>
              <w:pStyle w:val="TableParagraph"/>
              <w:spacing w:before="123"/>
              <w:ind w:left="108"/>
              <w:jc w:val="left"/>
              <w:rPr>
                <w:b/>
                <w:sz w:val="18"/>
              </w:rPr>
            </w:pPr>
            <w:r>
              <w:rPr>
                <w:b/>
                <w:sz w:val="18"/>
              </w:rPr>
              <w:t>Balance at 31 December 2016</w:t>
            </w:r>
          </w:p>
        </w:tc>
        <w:tc>
          <w:tcPr>
            <w:tcW w:w="1475" w:type="dxa"/>
            <w:tcBorders>
              <w:top w:val="single" w:sz="0" w:space="0" w:color="000000"/>
              <w:bottom w:val="single" w:sz="0" w:space="0" w:color="000000"/>
            </w:tcBorders>
          </w:tcPr>
          <w:p>
            <w:pPr>
              <w:pStyle w:val="TableParagraph"/>
              <w:spacing w:before="122"/>
              <w:ind w:right="168"/>
              <w:rPr>
                <w:b/>
                <w:sz w:val="18"/>
              </w:rPr>
            </w:pPr>
            <w:r>
              <w:rPr>
                <w:b/>
                <w:w w:val="99"/>
                <w:sz w:val="18"/>
              </w:rPr>
              <w:t>1</w:t>
            </w:r>
          </w:p>
        </w:tc>
        <w:tc>
          <w:tcPr>
            <w:tcW w:w="1197" w:type="dxa"/>
            <w:tcBorders>
              <w:top w:val="single" w:sz="0" w:space="0" w:color="000000"/>
              <w:bottom w:val="single" w:sz="0" w:space="0" w:color="000000"/>
            </w:tcBorders>
          </w:tcPr>
          <w:p>
            <w:pPr>
              <w:pStyle w:val="TableParagraph"/>
              <w:spacing w:before="122"/>
              <w:ind w:right="141"/>
              <w:rPr>
                <w:b/>
                <w:sz w:val="18"/>
              </w:rPr>
            </w:pPr>
            <w:r>
              <w:rPr>
                <w:b/>
                <w:w w:val="95"/>
                <w:sz w:val="18"/>
              </w:rPr>
              <w:t>1,214,116</w:t>
            </w:r>
          </w:p>
        </w:tc>
        <w:tc>
          <w:tcPr>
            <w:tcW w:w="1177" w:type="dxa"/>
            <w:tcBorders>
              <w:top w:val="single" w:sz="0" w:space="0" w:color="000000"/>
              <w:bottom w:val="single" w:sz="0" w:space="0" w:color="000000"/>
            </w:tcBorders>
          </w:tcPr>
          <w:p>
            <w:pPr>
              <w:pStyle w:val="TableParagraph"/>
              <w:spacing w:before="122"/>
              <w:ind w:right="94"/>
              <w:rPr>
                <w:b/>
                <w:sz w:val="18"/>
              </w:rPr>
            </w:pPr>
            <w:r>
              <w:rPr>
                <w:b/>
                <w:w w:val="95"/>
                <w:sz w:val="18"/>
              </w:rPr>
              <w:t>195,247</w:t>
            </w:r>
          </w:p>
        </w:tc>
        <w:tc>
          <w:tcPr>
            <w:tcW w:w="1216" w:type="dxa"/>
            <w:tcBorders>
              <w:top w:val="single" w:sz="0" w:space="0" w:color="000000"/>
              <w:bottom w:val="single" w:sz="0" w:space="0" w:color="000000"/>
            </w:tcBorders>
          </w:tcPr>
          <w:p>
            <w:pPr>
              <w:pStyle w:val="TableParagraph"/>
              <w:spacing w:before="122"/>
              <w:ind w:right="86"/>
              <w:rPr>
                <w:b/>
                <w:sz w:val="18"/>
              </w:rPr>
            </w:pPr>
            <w:r>
              <w:rPr>
                <w:b/>
                <w:w w:val="95"/>
                <w:sz w:val="18"/>
              </w:rPr>
              <w:t>1,409,364</w:t>
            </w:r>
          </w:p>
        </w:tc>
      </w:tr>
      <w:tr>
        <w:trPr>
          <w:trHeight w:val="801" w:hRule="exact"/>
        </w:trPr>
        <w:tc>
          <w:tcPr>
            <w:tcW w:w="4501" w:type="dxa"/>
          </w:tcPr>
          <w:p>
            <w:pPr/>
          </w:p>
        </w:tc>
        <w:tc>
          <w:tcPr>
            <w:tcW w:w="1475" w:type="dxa"/>
            <w:tcBorders>
              <w:top w:val="single" w:sz="0" w:space="0" w:color="000000"/>
            </w:tcBorders>
          </w:tcPr>
          <w:p>
            <w:pPr>
              <w:pStyle w:val="TableParagraph"/>
              <w:jc w:val="left"/>
              <w:rPr>
                <w:rFonts w:ascii="Times New Roman"/>
                <w:sz w:val="18"/>
              </w:rPr>
            </w:pPr>
          </w:p>
          <w:p>
            <w:pPr>
              <w:pStyle w:val="TableParagraph"/>
              <w:jc w:val="left"/>
              <w:rPr>
                <w:rFonts w:ascii="Times New Roman"/>
                <w:sz w:val="18"/>
              </w:rPr>
            </w:pPr>
          </w:p>
          <w:p>
            <w:pPr>
              <w:pStyle w:val="TableParagraph"/>
              <w:spacing w:before="136"/>
              <w:ind w:right="149"/>
              <w:rPr>
                <w:b/>
                <w:sz w:val="18"/>
              </w:rPr>
            </w:pPr>
            <w:r>
              <w:rPr>
                <w:b/>
                <w:sz w:val="18"/>
              </w:rPr>
              <w:t>Settled fund</w:t>
            </w:r>
          </w:p>
        </w:tc>
        <w:tc>
          <w:tcPr>
            <w:tcW w:w="1197" w:type="dxa"/>
            <w:tcBorders>
              <w:top w:val="single" w:sz="0" w:space="0" w:color="000000"/>
            </w:tcBorders>
          </w:tcPr>
          <w:p>
            <w:pPr>
              <w:pStyle w:val="TableParagraph"/>
              <w:jc w:val="left"/>
              <w:rPr>
                <w:rFonts w:ascii="Times New Roman"/>
                <w:sz w:val="18"/>
              </w:rPr>
            </w:pPr>
          </w:p>
          <w:p>
            <w:pPr>
              <w:pStyle w:val="TableParagraph"/>
              <w:spacing w:before="137"/>
              <w:ind w:left="151" w:right="255" w:firstLine="6"/>
              <w:jc w:val="left"/>
              <w:rPr>
                <w:b/>
                <w:sz w:val="18"/>
              </w:rPr>
            </w:pPr>
            <w:r>
              <w:rPr>
                <w:b/>
                <w:sz w:val="18"/>
              </w:rPr>
              <w:t>Retained Earnings</w:t>
            </w:r>
          </w:p>
        </w:tc>
        <w:tc>
          <w:tcPr>
            <w:tcW w:w="1177" w:type="dxa"/>
            <w:tcBorders>
              <w:top w:val="single" w:sz="0" w:space="0" w:color="000000"/>
            </w:tcBorders>
          </w:tcPr>
          <w:p>
            <w:pPr>
              <w:pStyle w:val="TableParagraph"/>
              <w:jc w:val="left"/>
              <w:rPr>
                <w:rFonts w:ascii="Times New Roman"/>
                <w:sz w:val="18"/>
              </w:rPr>
            </w:pPr>
          </w:p>
          <w:p>
            <w:pPr>
              <w:pStyle w:val="TableParagraph"/>
              <w:jc w:val="left"/>
              <w:rPr>
                <w:rFonts w:ascii="Times New Roman"/>
                <w:sz w:val="18"/>
              </w:rPr>
            </w:pPr>
          </w:p>
          <w:p>
            <w:pPr>
              <w:pStyle w:val="TableParagraph"/>
              <w:spacing w:before="136"/>
              <w:ind w:left="143"/>
              <w:jc w:val="left"/>
              <w:rPr>
                <w:b/>
                <w:sz w:val="18"/>
              </w:rPr>
            </w:pPr>
            <w:r>
              <w:rPr>
                <w:b/>
                <w:sz w:val="18"/>
              </w:rPr>
              <w:t>Reserves</w:t>
            </w:r>
          </w:p>
        </w:tc>
        <w:tc>
          <w:tcPr>
            <w:tcW w:w="1216" w:type="dxa"/>
            <w:tcBorders>
              <w:top w:val="single" w:sz="0" w:space="0" w:color="000000"/>
            </w:tcBorders>
          </w:tcPr>
          <w:p>
            <w:pPr>
              <w:pStyle w:val="TableParagraph"/>
              <w:jc w:val="left"/>
              <w:rPr>
                <w:rFonts w:ascii="Times New Roman"/>
                <w:sz w:val="18"/>
              </w:rPr>
            </w:pPr>
          </w:p>
          <w:p>
            <w:pPr>
              <w:pStyle w:val="TableParagraph"/>
              <w:jc w:val="left"/>
              <w:rPr>
                <w:rFonts w:ascii="Times New Roman"/>
                <w:sz w:val="18"/>
              </w:rPr>
            </w:pPr>
          </w:p>
          <w:p>
            <w:pPr>
              <w:pStyle w:val="TableParagraph"/>
              <w:spacing w:before="136"/>
              <w:ind w:right="84"/>
              <w:rPr>
                <w:b/>
                <w:sz w:val="18"/>
              </w:rPr>
            </w:pPr>
            <w:r>
              <w:rPr>
                <w:b/>
                <w:sz w:val="18"/>
              </w:rPr>
              <w:t>Total Equity</w:t>
            </w:r>
          </w:p>
        </w:tc>
      </w:tr>
      <w:tr>
        <w:trPr>
          <w:trHeight w:val="272" w:hRule="exact"/>
        </w:trPr>
        <w:tc>
          <w:tcPr>
            <w:tcW w:w="4501" w:type="dxa"/>
          </w:tcPr>
          <w:p>
            <w:pPr/>
          </w:p>
        </w:tc>
        <w:tc>
          <w:tcPr>
            <w:tcW w:w="1475" w:type="dxa"/>
            <w:tcBorders>
              <w:bottom w:val="single" w:sz="0" w:space="0" w:color="000000"/>
            </w:tcBorders>
          </w:tcPr>
          <w:p>
            <w:pPr>
              <w:pStyle w:val="TableParagraph"/>
              <w:spacing w:before="24"/>
              <w:ind w:left="132"/>
              <w:jc w:val="center"/>
              <w:rPr>
                <w:b/>
                <w:sz w:val="18"/>
              </w:rPr>
            </w:pPr>
            <w:r>
              <w:rPr>
                <w:b/>
                <w:w w:val="99"/>
                <w:sz w:val="18"/>
              </w:rPr>
              <w:t>$</w:t>
            </w:r>
          </w:p>
        </w:tc>
        <w:tc>
          <w:tcPr>
            <w:tcW w:w="1197" w:type="dxa"/>
            <w:tcBorders>
              <w:bottom w:val="single" w:sz="0" w:space="0" w:color="000000"/>
            </w:tcBorders>
          </w:tcPr>
          <w:p>
            <w:pPr>
              <w:pStyle w:val="TableParagraph"/>
              <w:spacing w:before="24"/>
              <w:ind w:right="118"/>
              <w:jc w:val="center"/>
              <w:rPr>
                <w:b/>
                <w:sz w:val="18"/>
              </w:rPr>
            </w:pPr>
            <w:r>
              <w:rPr>
                <w:b/>
                <w:w w:val="99"/>
                <w:sz w:val="18"/>
              </w:rPr>
              <w:t>$</w:t>
            </w:r>
          </w:p>
        </w:tc>
        <w:tc>
          <w:tcPr>
            <w:tcW w:w="1177" w:type="dxa"/>
            <w:tcBorders>
              <w:bottom w:val="single" w:sz="0" w:space="0" w:color="000000"/>
            </w:tcBorders>
          </w:tcPr>
          <w:p>
            <w:pPr>
              <w:pStyle w:val="TableParagraph"/>
              <w:spacing w:before="24"/>
              <w:ind w:right="44"/>
              <w:jc w:val="center"/>
              <w:rPr>
                <w:b/>
                <w:sz w:val="18"/>
              </w:rPr>
            </w:pPr>
            <w:r>
              <w:rPr>
                <w:b/>
                <w:w w:val="99"/>
                <w:sz w:val="18"/>
              </w:rPr>
              <w:t>$</w:t>
            </w:r>
          </w:p>
        </w:tc>
        <w:tc>
          <w:tcPr>
            <w:tcW w:w="1216" w:type="dxa"/>
            <w:tcBorders>
              <w:bottom w:val="single" w:sz="0" w:space="0" w:color="000000"/>
            </w:tcBorders>
          </w:tcPr>
          <w:p>
            <w:pPr>
              <w:pStyle w:val="TableParagraph"/>
              <w:spacing w:before="24"/>
              <w:ind w:left="8"/>
              <w:jc w:val="center"/>
              <w:rPr>
                <w:b/>
                <w:sz w:val="18"/>
              </w:rPr>
            </w:pPr>
            <w:r>
              <w:rPr>
                <w:b/>
                <w:w w:val="99"/>
                <w:sz w:val="18"/>
              </w:rPr>
              <w:t>$</w:t>
            </w:r>
          </w:p>
        </w:tc>
      </w:tr>
      <w:tr>
        <w:trPr>
          <w:trHeight w:val="284" w:hRule="exact"/>
        </w:trPr>
        <w:tc>
          <w:tcPr>
            <w:tcW w:w="4501" w:type="dxa"/>
          </w:tcPr>
          <w:p>
            <w:pPr>
              <w:pStyle w:val="TableParagraph"/>
              <w:spacing w:before="38"/>
              <w:ind w:left="108"/>
              <w:jc w:val="left"/>
              <w:rPr>
                <w:b/>
                <w:sz w:val="18"/>
              </w:rPr>
            </w:pPr>
            <w:r>
              <w:rPr>
                <w:b/>
                <w:sz w:val="18"/>
              </w:rPr>
              <w:t>Balance at 1 January 2015</w:t>
            </w:r>
          </w:p>
        </w:tc>
        <w:tc>
          <w:tcPr>
            <w:tcW w:w="1475" w:type="dxa"/>
            <w:tcBorders>
              <w:top w:val="single" w:sz="0" w:space="0" w:color="000000"/>
            </w:tcBorders>
          </w:tcPr>
          <w:p>
            <w:pPr>
              <w:pStyle w:val="TableParagraph"/>
              <w:spacing w:before="38"/>
              <w:ind w:right="168"/>
              <w:rPr>
                <w:sz w:val="18"/>
              </w:rPr>
            </w:pPr>
            <w:r>
              <w:rPr>
                <w:w w:val="99"/>
                <w:sz w:val="18"/>
              </w:rPr>
              <w:t>1</w:t>
            </w:r>
          </w:p>
        </w:tc>
        <w:tc>
          <w:tcPr>
            <w:tcW w:w="1197" w:type="dxa"/>
            <w:tcBorders>
              <w:top w:val="single" w:sz="0" w:space="0" w:color="000000"/>
            </w:tcBorders>
          </w:tcPr>
          <w:p>
            <w:pPr>
              <w:pStyle w:val="TableParagraph"/>
              <w:spacing w:before="38"/>
              <w:ind w:right="141"/>
              <w:rPr>
                <w:sz w:val="18"/>
              </w:rPr>
            </w:pPr>
            <w:r>
              <w:rPr>
                <w:w w:val="95"/>
                <w:sz w:val="18"/>
              </w:rPr>
              <w:t>1,039,520</w:t>
            </w:r>
          </w:p>
        </w:tc>
        <w:tc>
          <w:tcPr>
            <w:tcW w:w="1177" w:type="dxa"/>
            <w:tcBorders>
              <w:top w:val="single" w:sz="0" w:space="0" w:color="000000"/>
            </w:tcBorders>
          </w:tcPr>
          <w:p>
            <w:pPr>
              <w:pStyle w:val="TableParagraph"/>
              <w:spacing w:before="38"/>
              <w:ind w:right="94"/>
              <w:rPr>
                <w:sz w:val="18"/>
              </w:rPr>
            </w:pPr>
            <w:r>
              <w:rPr>
                <w:w w:val="95"/>
                <w:sz w:val="18"/>
              </w:rPr>
              <w:t>175,207</w:t>
            </w:r>
          </w:p>
        </w:tc>
        <w:tc>
          <w:tcPr>
            <w:tcW w:w="1216" w:type="dxa"/>
            <w:tcBorders>
              <w:top w:val="single" w:sz="0" w:space="0" w:color="000000"/>
            </w:tcBorders>
          </w:tcPr>
          <w:p>
            <w:pPr>
              <w:pStyle w:val="TableParagraph"/>
              <w:spacing w:before="38"/>
              <w:ind w:right="86"/>
              <w:rPr>
                <w:sz w:val="18"/>
              </w:rPr>
            </w:pPr>
            <w:r>
              <w:rPr>
                <w:w w:val="95"/>
                <w:sz w:val="18"/>
              </w:rPr>
              <w:t>1,214,728</w:t>
            </w:r>
          </w:p>
        </w:tc>
      </w:tr>
      <w:tr>
        <w:trPr>
          <w:trHeight w:val="264" w:hRule="exact"/>
        </w:trPr>
        <w:tc>
          <w:tcPr>
            <w:tcW w:w="4501" w:type="dxa"/>
          </w:tcPr>
          <w:p>
            <w:pPr>
              <w:pStyle w:val="TableParagraph"/>
              <w:spacing w:before="18"/>
              <w:ind w:left="108"/>
              <w:jc w:val="left"/>
              <w:rPr>
                <w:sz w:val="18"/>
              </w:rPr>
            </w:pPr>
            <w:r>
              <w:rPr>
                <w:sz w:val="18"/>
              </w:rPr>
              <w:t>Revaluation of property, plant and equipment</w:t>
            </w:r>
          </w:p>
        </w:tc>
        <w:tc>
          <w:tcPr>
            <w:tcW w:w="1475" w:type="dxa"/>
          </w:tcPr>
          <w:p>
            <w:pPr>
              <w:pStyle w:val="TableParagraph"/>
              <w:spacing w:before="19"/>
              <w:ind w:right="168"/>
              <w:rPr>
                <w:sz w:val="18"/>
              </w:rPr>
            </w:pPr>
            <w:r>
              <w:rPr>
                <w:w w:val="99"/>
                <w:sz w:val="18"/>
              </w:rPr>
              <w:t>-</w:t>
            </w:r>
          </w:p>
        </w:tc>
        <w:tc>
          <w:tcPr>
            <w:tcW w:w="1197" w:type="dxa"/>
          </w:tcPr>
          <w:p>
            <w:pPr>
              <w:pStyle w:val="TableParagraph"/>
              <w:spacing w:before="19"/>
              <w:ind w:right="141"/>
              <w:rPr>
                <w:sz w:val="18"/>
              </w:rPr>
            </w:pPr>
            <w:r>
              <w:rPr>
                <w:w w:val="99"/>
                <w:sz w:val="18"/>
              </w:rPr>
              <w:t>-</w:t>
            </w:r>
          </w:p>
        </w:tc>
        <w:tc>
          <w:tcPr>
            <w:tcW w:w="1177" w:type="dxa"/>
          </w:tcPr>
          <w:p>
            <w:pPr>
              <w:pStyle w:val="TableParagraph"/>
              <w:spacing w:before="19"/>
              <w:ind w:right="94"/>
              <w:rPr>
                <w:sz w:val="18"/>
              </w:rPr>
            </w:pPr>
            <w:r>
              <w:rPr>
                <w:w w:val="99"/>
                <w:sz w:val="18"/>
              </w:rPr>
              <w:t>-</w:t>
            </w:r>
          </w:p>
        </w:tc>
        <w:tc>
          <w:tcPr>
            <w:tcW w:w="1216" w:type="dxa"/>
          </w:tcPr>
          <w:p>
            <w:pPr>
              <w:pStyle w:val="TableParagraph"/>
              <w:spacing w:before="19"/>
              <w:ind w:right="86"/>
              <w:rPr>
                <w:sz w:val="18"/>
              </w:rPr>
            </w:pPr>
            <w:r>
              <w:rPr>
                <w:w w:val="99"/>
                <w:sz w:val="18"/>
              </w:rPr>
              <w:t>-</w:t>
            </w:r>
          </w:p>
        </w:tc>
      </w:tr>
      <w:tr>
        <w:trPr>
          <w:trHeight w:val="263" w:hRule="exact"/>
        </w:trPr>
        <w:tc>
          <w:tcPr>
            <w:tcW w:w="4501" w:type="dxa"/>
          </w:tcPr>
          <w:p>
            <w:pPr>
              <w:pStyle w:val="TableParagraph"/>
              <w:spacing w:before="18"/>
              <w:ind w:left="108"/>
              <w:jc w:val="left"/>
              <w:rPr>
                <w:sz w:val="18"/>
              </w:rPr>
            </w:pPr>
            <w:r>
              <w:rPr>
                <w:sz w:val="18"/>
              </w:rPr>
              <w:t>Surplus for the year</w:t>
            </w:r>
          </w:p>
        </w:tc>
        <w:tc>
          <w:tcPr>
            <w:tcW w:w="1475" w:type="dxa"/>
            <w:tcBorders>
              <w:bottom w:val="single" w:sz="0" w:space="0" w:color="000000"/>
            </w:tcBorders>
          </w:tcPr>
          <w:p>
            <w:pPr>
              <w:pStyle w:val="TableParagraph"/>
              <w:spacing w:before="19"/>
              <w:ind w:right="168"/>
              <w:rPr>
                <w:sz w:val="18"/>
              </w:rPr>
            </w:pPr>
            <w:r>
              <w:rPr>
                <w:w w:val="99"/>
                <w:sz w:val="18"/>
              </w:rPr>
              <w:t>-</w:t>
            </w:r>
          </w:p>
        </w:tc>
        <w:tc>
          <w:tcPr>
            <w:tcW w:w="1197" w:type="dxa"/>
            <w:tcBorders>
              <w:bottom w:val="single" w:sz="0" w:space="0" w:color="000000"/>
            </w:tcBorders>
          </w:tcPr>
          <w:p>
            <w:pPr>
              <w:pStyle w:val="TableParagraph"/>
              <w:spacing w:before="19"/>
              <w:ind w:right="141"/>
              <w:rPr>
                <w:sz w:val="18"/>
              </w:rPr>
            </w:pPr>
            <w:r>
              <w:rPr>
                <w:w w:val="95"/>
                <w:sz w:val="18"/>
              </w:rPr>
              <w:t>35,475</w:t>
            </w:r>
          </w:p>
        </w:tc>
        <w:tc>
          <w:tcPr>
            <w:tcW w:w="1177" w:type="dxa"/>
            <w:tcBorders>
              <w:bottom w:val="single" w:sz="0" w:space="0" w:color="000000"/>
            </w:tcBorders>
          </w:tcPr>
          <w:p>
            <w:pPr>
              <w:pStyle w:val="TableParagraph"/>
              <w:spacing w:before="19"/>
              <w:ind w:right="94"/>
              <w:rPr>
                <w:sz w:val="18"/>
              </w:rPr>
            </w:pPr>
            <w:r>
              <w:rPr>
                <w:w w:val="99"/>
                <w:sz w:val="18"/>
              </w:rPr>
              <w:t>-</w:t>
            </w:r>
          </w:p>
        </w:tc>
        <w:tc>
          <w:tcPr>
            <w:tcW w:w="1216" w:type="dxa"/>
            <w:tcBorders>
              <w:bottom w:val="single" w:sz="0" w:space="0" w:color="000000"/>
            </w:tcBorders>
          </w:tcPr>
          <w:p>
            <w:pPr>
              <w:pStyle w:val="TableParagraph"/>
              <w:spacing w:before="19"/>
              <w:ind w:right="86"/>
              <w:rPr>
                <w:sz w:val="18"/>
              </w:rPr>
            </w:pPr>
            <w:r>
              <w:rPr>
                <w:w w:val="95"/>
                <w:sz w:val="18"/>
              </w:rPr>
              <w:t>35,475</w:t>
            </w:r>
          </w:p>
        </w:tc>
      </w:tr>
      <w:tr>
        <w:trPr>
          <w:trHeight w:val="338" w:hRule="exact"/>
        </w:trPr>
        <w:tc>
          <w:tcPr>
            <w:tcW w:w="4501" w:type="dxa"/>
          </w:tcPr>
          <w:p>
            <w:pPr>
              <w:pStyle w:val="TableParagraph"/>
              <w:spacing w:before="123"/>
              <w:ind w:left="108"/>
              <w:jc w:val="left"/>
              <w:rPr>
                <w:b/>
                <w:sz w:val="18"/>
              </w:rPr>
            </w:pPr>
            <w:r>
              <w:rPr>
                <w:b/>
                <w:sz w:val="18"/>
              </w:rPr>
              <w:t>Total comprehensive income for the year</w:t>
            </w:r>
          </w:p>
        </w:tc>
        <w:tc>
          <w:tcPr>
            <w:tcW w:w="1475" w:type="dxa"/>
            <w:tcBorders>
              <w:top w:val="single" w:sz="0" w:space="0" w:color="000000"/>
              <w:bottom w:val="single" w:sz="0" w:space="0" w:color="000000"/>
            </w:tcBorders>
          </w:tcPr>
          <w:p>
            <w:pPr>
              <w:pStyle w:val="TableParagraph"/>
              <w:spacing w:before="122"/>
              <w:ind w:right="168"/>
              <w:rPr>
                <w:sz w:val="18"/>
              </w:rPr>
            </w:pPr>
            <w:r>
              <w:rPr>
                <w:w w:val="99"/>
                <w:sz w:val="18"/>
              </w:rPr>
              <w:t>-</w:t>
            </w:r>
          </w:p>
        </w:tc>
        <w:tc>
          <w:tcPr>
            <w:tcW w:w="1197" w:type="dxa"/>
            <w:tcBorders>
              <w:top w:val="single" w:sz="0" w:space="0" w:color="000000"/>
              <w:bottom w:val="single" w:sz="0" w:space="0" w:color="000000"/>
            </w:tcBorders>
          </w:tcPr>
          <w:p>
            <w:pPr>
              <w:pStyle w:val="TableParagraph"/>
              <w:spacing w:before="122"/>
              <w:ind w:right="141"/>
              <w:rPr>
                <w:sz w:val="18"/>
              </w:rPr>
            </w:pPr>
            <w:r>
              <w:rPr>
                <w:w w:val="95"/>
                <w:sz w:val="18"/>
              </w:rPr>
              <w:t>35,475</w:t>
            </w:r>
          </w:p>
        </w:tc>
        <w:tc>
          <w:tcPr>
            <w:tcW w:w="1177" w:type="dxa"/>
            <w:tcBorders>
              <w:top w:val="single" w:sz="0" w:space="0" w:color="000000"/>
              <w:bottom w:val="single" w:sz="0" w:space="0" w:color="000000"/>
            </w:tcBorders>
          </w:tcPr>
          <w:p>
            <w:pPr>
              <w:pStyle w:val="TableParagraph"/>
              <w:spacing w:before="122"/>
              <w:ind w:right="94"/>
              <w:rPr>
                <w:sz w:val="18"/>
              </w:rPr>
            </w:pPr>
            <w:r>
              <w:rPr>
                <w:w w:val="99"/>
                <w:sz w:val="18"/>
              </w:rPr>
              <w:t>-</w:t>
            </w:r>
          </w:p>
        </w:tc>
        <w:tc>
          <w:tcPr>
            <w:tcW w:w="1216" w:type="dxa"/>
            <w:tcBorders>
              <w:top w:val="single" w:sz="0" w:space="0" w:color="000000"/>
              <w:bottom w:val="single" w:sz="0" w:space="0" w:color="000000"/>
            </w:tcBorders>
          </w:tcPr>
          <w:p>
            <w:pPr>
              <w:pStyle w:val="TableParagraph"/>
              <w:spacing w:before="122"/>
              <w:ind w:right="86"/>
              <w:rPr>
                <w:sz w:val="18"/>
              </w:rPr>
            </w:pPr>
            <w:r>
              <w:rPr>
                <w:w w:val="95"/>
                <w:sz w:val="18"/>
              </w:rPr>
              <w:t>35,475</w:t>
            </w:r>
          </w:p>
        </w:tc>
      </w:tr>
      <w:tr>
        <w:trPr>
          <w:trHeight w:val="344" w:hRule="exact"/>
        </w:trPr>
        <w:tc>
          <w:tcPr>
            <w:tcW w:w="4501" w:type="dxa"/>
          </w:tcPr>
          <w:p>
            <w:pPr>
              <w:pStyle w:val="TableParagraph"/>
              <w:spacing w:before="123"/>
              <w:ind w:left="108"/>
              <w:jc w:val="left"/>
              <w:rPr>
                <w:b/>
                <w:sz w:val="18"/>
              </w:rPr>
            </w:pPr>
            <w:r>
              <w:rPr>
                <w:b/>
                <w:sz w:val="18"/>
              </w:rPr>
              <w:t>Balance at 31 December 2015</w:t>
            </w:r>
          </w:p>
        </w:tc>
        <w:tc>
          <w:tcPr>
            <w:tcW w:w="1475" w:type="dxa"/>
            <w:tcBorders>
              <w:top w:val="single" w:sz="0" w:space="0" w:color="000000"/>
              <w:bottom w:val="single" w:sz="0" w:space="0" w:color="000000"/>
            </w:tcBorders>
          </w:tcPr>
          <w:p>
            <w:pPr>
              <w:pStyle w:val="TableParagraph"/>
              <w:spacing w:before="122"/>
              <w:ind w:right="168"/>
              <w:rPr>
                <w:sz w:val="18"/>
              </w:rPr>
            </w:pPr>
            <w:r>
              <w:rPr>
                <w:w w:val="99"/>
                <w:sz w:val="18"/>
              </w:rPr>
              <w:t>1</w:t>
            </w:r>
          </w:p>
        </w:tc>
        <w:tc>
          <w:tcPr>
            <w:tcW w:w="1197" w:type="dxa"/>
            <w:tcBorders>
              <w:top w:val="single" w:sz="0" w:space="0" w:color="000000"/>
              <w:bottom w:val="single" w:sz="0" w:space="0" w:color="000000"/>
            </w:tcBorders>
          </w:tcPr>
          <w:p>
            <w:pPr>
              <w:pStyle w:val="TableParagraph"/>
              <w:spacing w:before="122"/>
              <w:ind w:right="141"/>
              <w:rPr>
                <w:sz w:val="18"/>
              </w:rPr>
            </w:pPr>
            <w:r>
              <w:rPr>
                <w:w w:val="95"/>
                <w:sz w:val="18"/>
              </w:rPr>
              <w:t>1,074,995</w:t>
            </w:r>
          </w:p>
        </w:tc>
        <w:tc>
          <w:tcPr>
            <w:tcW w:w="1177" w:type="dxa"/>
            <w:tcBorders>
              <w:top w:val="single" w:sz="0" w:space="0" w:color="000000"/>
              <w:bottom w:val="single" w:sz="0" w:space="0" w:color="000000"/>
            </w:tcBorders>
          </w:tcPr>
          <w:p>
            <w:pPr>
              <w:pStyle w:val="TableParagraph"/>
              <w:spacing w:before="122"/>
              <w:ind w:right="94"/>
              <w:rPr>
                <w:sz w:val="18"/>
              </w:rPr>
            </w:pPr>
            <w:r>
              <w:rPr>
                <w:w w:val="95"/>
                <w:sz w:val="18"/>
              </w:rPr>
              <w:t>175,207</w:t>
            </w:r>
          </w:p>
        </w:tc>
        <w:tc>
          <w:tcPr>
            <w:tcW w:w="1216" w:type="dxa"/>
            <w:tcBorders>
              <w:top w:val="single" w:sz="0" w:space="0" w:color="000000"/>
              <w:bottom w:val="single" w:sz="0" w:space="0" w:color="000000"/>
            </w:tcBorders>
          </w:tcPr>
          <w:p>
            <w:pPr>
              <w:pStyle w:val="TableParagraph"/>
              <w:spacing w:before="122"/>
              <w:ind w:right="86"/>
              <w:rPr>
                <w:sz w:val="18"/>
              </w:rPr>
            </w:pPr>
            <w:r>
              <w:rPr>
                <w:w w:val="95"/>
                <w:sz w:val="18"/>
              </w:rPr>
              <w:t>1,250,203</w:t>
            </w:r>
          </w:p>
        </w:tc>
      </w:tr>
    </w:tbl>
    <w:p>
      <w:pPr>
        <w:spacing w:after="0"/>
        <w:rPr>
          <w:sz w:val="18"/>
        </w:rPr>
        <w:sectPr>
          <w:pgSz w:w="12750" w:h="17680"/>
          <w:pgMar w:header="0" w:footer="1403" w:top="1880" w:bottom="1600" w:left="0" w:right="0"/>
        </w:sectPr>
      </w:pPr>
    </w:p>
    <w:p>
      <w:pPr>
        <w:pStyle w:val="BodyText"/>
        <w:spacing w:before="2"/>
        <w:rPr>
          <w:rFonts w:ascii="Times New Roman"/>
          <w:sz w:val="24"/>
        </w:rPr>
      </w:pPr>
    </w:p>
    <w:p>
      <w:pPr>
        <w:pStyle w:val="Heading4"/>
      </w:pPr>
      <w:r>
        <w:rPr/>
        <w:t>Statement of cash flows</w:t>
      </w:r>
    </w:p>
    <w:p>
      <w:pPr>
        <w:pStyle w:val="Heading7"/>
      </w:pPr>
      <w:bookmarkStart w:name="Statement of cash flows" w:id="442"/>
      <w:bookmarkEnd w:id="442"/>
      <w:r>
        <w:rPr>
          <w:b w:val="0"/>
        </w:rPr>
      </w:r>
      <w:r>
        <w:rPr/>
        <w:t>For the Year Ended 31 December 2016</w:t>
      </w:r>
    </w:p>
    <w:p>
      <w:pPr>
        <w:pStyle w:val="BodyText"/>
        <w:spacing w:before="1"/>
        <w:rPr>
          <w:b/>
          <w:sz w:val="29"/>
        </w:rPr>
      </w:pPr>
    </w:p>
    <w:p>
      <w:pPr>
        <w:spacing w:after="0"/>
        <w:rPr>
          <w:sz w:val="29"/>
        </w:rPr>
        <w:sectPr>
          <w:pgSz w:w="12750" w:h="17680"/>
          <w:pgMar w:header="0" w:footer="1403" w:top="1880" w:bottom="1600" w:left="0" w:right="0"/>
        </w:sectPr>
      </w:pPr>
    </w:p>
    <w:p>
      <w:pPr>
        <w:pStyle w:val="BodyText"/>
        <w:rPr>
          <w:b/>
        </w:rPr>
      </w:pPr>
    </w:p>
    <w:p>
      <w:pPr>
        <w:pStyle w:val="Heading8"/>
        <w:spacing w:before="144"/>
        <w:jc w:val="right"/>
      </w:pPr>
      <w:r>
        <w:rPr/>
        <w:t>Notes</w:t>
      </w:r>
    </w:p>
    <w:p>
      <w:pPr>
        <w:spacing w:before="77"/>
        <w:ind w:left="425" w:right="0" w:firstLine="0"/>
        <w:jc w:val="center"/>
        <w:rPr>
          <w:b/>
          <w:sz w:val="18"/>
        </w:rPr>
      </w:pPr>
      <w:r>
        <w:rPr/>
        <w:br w:type="column"/>
      </w:r>
      <w:r>
        <w:rPr>
          <w:b/>
          <w:spacing w:val="-1"/>
          <w:sz w:val="18"/>
        </w:rPr>
        <w:t>2016</w:t>
      </w:r>
    </w:p>
    <w:p>
      <w:pPr>
        <w:spacing w:before="66"/>
        <w:ind w:left="0" w:right="146" w:firstLine="0"/>
        <w:jc w:val="right"/>
        <w:rPr>
          <w:b/>
          <w:sz w:val="18"/>
        </w:rPr>
      </w:pPr>
      <w:r>
        <w:rPr>
          <w:b/>
          <w:w w:val="99"/>
          <w:sz w:val="18"/>
        </w:rPr>
        <w:t>$</w:t>
      </w:r>
    </w:p>
    <w:p>
      <w:pPr>
        <w:spacing w:before="77"/>
        <w:ind w:left="837" w:right="1840" w:firstLine="0"/>
        <w:jc w:val="center"/>
        <w:rPr>
          <w:b/>
          <w:sz w:val="18"/>
        </w:rPr>
      </w:pPr>
      <w:r>
        <w:rPr/>
        <w:br w:type="column"/>
      </w:r>
      <w:r>
        <w:rPr>
          <w:b/>
          <w:sz w:val="18"/>
        </w:rPr>
        <w:t>2015</w:t>
      </w:r>
    </w:p>
    <w:p>
      <w:pPr>
        <w:spacing w:before="66"/>
        <w:ind w:left="0" w:right="1001" w:firstLine="0"/>
        <w:jc w:val="center"/>
        <w:rPr>
          <w:b/>
          <w:sz w:val="18"/>
        </w:rPr>
      </w:pPr>
      <w:r>
        <w:rPr>
          <w:b/>
          <w:w w:val="99"/>
          <w:sz w:val="18"/>
        </w:rPr>
        <w:t>$</w:t>
      </w:r>
    </w:p>
    <w:p>
      <w:pPr>
        <w:spacing w:after="0"/>
        <w:jc w:val="center"/>
        <w:rPr>
          <w:sz w:val="18"/>
        </w:rPr>
        <w:sectPr>
          <w:type w:val="continuous"/>
          <w:pgSz w:w="12750" w:h="17680"/>
          <w:pgMar w:top="1660" w:bottom="0" w:left="0" w:right="0"/>
          <w:cols w:num="3" w:equalWidth="0">
            <w:col w:w="8720" w:space="40"/>
            <w:col w:w="824" w:space="40"/>
            <w:col w:w="3126"/>
          </w:cols>
        </w:sectPr>
      </w:pPr>
    </w:p>
    <w:p>
      <w:pPr>
        <w:pStyle w:val="BodyText"/>
        <w:spacing w:before="3"/>
        <w:rPr>
          <w:b/>
          <w:sz w:val="15"/>
        </w:rPr>
      </w:pPr>
    </w:p>
    <w:p>
      <w:pPr>
        <w:spacing w:before="0"/>
        <w:ind w:left="1471" w:right="0" w:firstLine="0"/>
        <w:jc w:val="left"/>
        <w:rPr>
          <w:b/>
          <w:sz w:val="18"/>
        </w:rPr>
      </w:pPr>
      <w:r>
        <w:rPr>
          <w:b/>
          <w:sz w:val="18"/>
        </w:rPr>
        <w:t>Cash flows from operating activities</w:t>
      </w:r>
    </w:p>
    <w:p>
      <w:pPr>
        <w:tabs>
          <w:tab w:pos="9310" w:val="left" w:leader="none"/>
          <w:tab w:pos="10707" w:val="left" w:leader="none"/>
        </w:tabs>
        <w:spacing w:before="28"/>
        <w:ind w:left="1471" w:right="0" w:firstLine="0"/>
        <w:jc w:val="left"/>
        <w:rPr>
          <w:sz w:val="18"/>
        </w:rPr>
      </w:pPr>
      <w:r>
        <w:rPr>
          <w:sz w:val="18"/>
        </w:rPr>
        <w:t>Receipts</w:t>
      </w:r>
      <w:r>
        <w:rPr>
          <w:spacing w:val="-6"/>
          <w:sz w:val="18"/>
        </w:rPr>
        <w:t> </w:t>
      </w:r>
      <w:r>
        <w:rPr>
          <w:sz w:val="18"/>
        </w:rPr>
        <w:t>from</w:t>
      </w:r>
      <w:r>
        <w:rPr>
          <w:spacing w:val="-6"/>
          <w:sz w:val="18"/>
        </w:rPr>
        <w:t> </w:t>
      </w:r>
      <w:r>
        <w:rPr>
          <w:sz w:val="18"/>
        </w:rPr>
        <w:t>customers</w:t>
        <w:tab/>
      </w:r>
      <w:r>
        <w:rPr>
          <w:b/>
          <w:sz w:val="18"/>
        </w:rPr>
        <w:t>150,125</w:t>
        <w:tab/>
      </w:r>
      <w:r>
        <w:rPr>
          <w:sz w:val="18"/>
        </w:rPr>
        <w:t>79,328</w:t>
      </w:r>
    </w:p>
    <w:p>
      <w:pPr>
        <w:pStyle w:val="BodyText"/>
        <w:tabs>
          <w:tab w:pos="9350" w:val="left" w:leader="none"/>
          <w:tab w:pos="10647" w:val="left" w:leader="none"/>
        </w:tabs>
        <w:spacing w:before="57"/>
        <w:ind w:left="1471"/>
      </w:pPr>
      <w:r>
        <w:rPr/>
        <w:t>Payments to suppliers</w:t>
      </w:r>
      <w:r>
        <w:rPr>
          <w:spacing w:val="-16"/>
        </w:rPr>
        <w:t> </w:t>
      </w:r>
      <w:r>
        <w:rPr/>
        <w:t>and</w:t>
      </w:r>
      <w:r>
        <w:rPr>
          <w:spacing w:val="-6"/>
        </w:rPr>
        <w:t> </w:t>
      </w:r>
      <w:r>
        <w:rPr/>
        <w:t>employees</w:t>
        <w:tab/>
      </w:r>
      <w:r>
        <w:rPr>
          <w:b/>
        </w:rPr>
        <w:t>(57,258)</w:t>
        <w:tab/>
      </w:r>
      <w:r>
        <w:rPr/>
        <w:t>(55,194)</w:t>
      </w:r>
    </w:p>
    <w:p>
      <w:pPr>
        <w:tabs>
          <w:tab w:pos="9410" w:val="left" w:leader="none"/>
          <w:tab w:pos="10707" w:val="left" w:leader="none"/>
        </w:tabs>
        <w:spacing w:before="57"/>
        <w:ind w:left="1471" w:right="0" w:firstLine="0"/>
        <w:jc w:val="left"/>
        <w:rPr>
          <w:sz w:val="18"/>
        </w:rPr>
      </w:pPr>
      <w:r>
        <w:rPr/>
        <w:pict>
          <v:group style="position:absolute;margin-left:437.470001pt;margin-top:14.541902pt;width:129.85pt;height:1.55pt;mso-position-horizontal-relative:page;mso-position-vertical-relative:paragraph;z-index:15280;mso-wrap-distance-left:0;mso-wrap-distance-right:0" coordorigin="8749,291" coordsize="2597,31">
            <v:line style="position:absolute" from="8750,292" to="10048,292" stroked="true" strokeweight=".06pt" strokecolor="#000000"/>
            <v:line style="position:absolute" from="8750,293" to="10048,293" stroked="true" strokeweight=".06pt" strokecolor="#000000"/>
            <v:line style="position:absolute" from="8750,294" to="10048,294" stroked="true" strokeweight=".06pt" strokecolor="#000000"/>
            <v:line style="position:absolute" from="8750,295" to="10048,295" stroked="true" strokeweight=".06pt" strokecolor="#000000"/>
            <v:line style="position:absolute" from="8750,297" to="10048,297" stroked="true" strokeweight=".06pt" strokecolor="#000000"/>
            <v:line style="position:absolute" from="8750,298" to="10048,298" stroked="true" strokeweight=".06pt" strokecolor="#000000"/>
            <v:line style="position:absolute" from="8750,299" to="10048,299" stroked="true" strokeweight=".06pt" strokecolor="#000000"/>
            <v:line style="position:absolute" from="8750,300" to="10048,300" stroked="true" strokeweight=".06pt" strokecolor="#000000"/>
            <v:line style="position:absolute" from="8750,301" to="10048,301" stroked="true" strokeweight=".06pt" strokecolor="#000000"/>
            <v:line style="position:absolute" from="8750,303" to="10048,303" stroked="true" strokeweight=".06pt" strokecolor="#000000"/>
            <v:line style="position:absolute" from="8750,304" to="10048,304" stroked="true" strokeweight=".06pt" strokecolor="#000000"/>
            <v:line style="position:absolute" from="8750,305" to="10048,305" stroked="true" strokeweight=".06pt" strokecolor="#000000"/>
            <v:line style="position:absolute" from="8750,306" to="10048,306" stroked="true" strokeweight=".06pt" strokecolor="#000000"/>
            <v:line style="position:absolute" from="8750,307" to="10048,307" stroked="true" strokeweight=".06pt" strokecolor="#000000"/>
            <v:line style="position:absolute" from="8750,309" to="10048,309" stroked="true" strokeweight=".06pt" strokecolor="#000000"/>
            <v:line style="position:absolute" from="8750,310" to="10048,310" stroked="true" strokeweight=".06pt" strokecolor="#000000"/>
            <v:line style="position:absolute" from="8750,311" to="10048,311" stroked="true" strokeweight=".06pt" strokecolor="#000000"/>
            <v:line style="position:absolute" from="8750,312" to="10048,312" stroked="true" strokeweight=".06pt" strokecolor="#000000"/>
            <v:line style="position:absolute" from="8750,313" to="10048,313" stroked="true" strokeweight=".06pt" strokecolor="#000000"/>
            <v:line style="position:absolute" from="8750,315" to="10048,315" stroked="true" strokeweight=".06pt" strokecolor="#000000"/>
            <v:line style="position:absolute" from="8750,316" to="10048,316" stroked="true" strokeweight=".06pt" strokecolor="#000000"/>
            <v:line style="position:absolute" from="8750,317" to="10048,317" stroked="true" strokeweight=".06pt" strokecolor="#000000"/>
            <v:line style="position:absolute" from="8750,318" to="10048,318" stroked="true" strokeweight=".06pt" strokecolor="#000000"/>
            <v:line style="position:absolute" from="8750,319" to="10048,319" stroked="true" strokeweight=".06pt" strokecolor="#000000"/>
            <v:line style="position:absolute" from="8750,321" to="10048,321" stroked="true" strokeweight=".06pt" strokecolor="#000000"/>
            <v:line style="position:absolute" from="10048,292" to="11345,292" stroked="true" strokeweight=".06pt" strokecolor="#000000"/>
            <v:line style="position:absolute" from="10048,293" to="11345,293" stroked="true" strokeweight=".06pt" strokecolor="#000000"/>
            <v:line style="position:absolute" from="10048,294" to="11345,294" stroked="true" strokeweight=".06pt" strokecolor="#000000"/>
            <v:line style="position:absolute" from="10048,295" to="11345,295" stroked="true" strokeweight=".06pt" strokecolor="#000000"/>
            <v:line style="position:absolute" from="10048,297" to="11345,297" stroked="true" strokeweight=".06pt" strokecolor="#000000"/>
            <v:line style="position:absolute" from="10048,298" to="11345,298" stroked="true" strokeweight=".06pt" strokecolor="#000000"/>
            <v:line style="position:absolute" from="10048,299" to="11345,299" stroked="true" strokeweight=".06pt" strokecolor="#000000"/>
            <v:line style="position:absolute" from="10048,300" to="11345,300" stroked="true" strokeweight=".06pt" strokecolor="#000000"/>
            <v:line style="position:absolute" from="10048,301" to="11345,301" stroked="true" strokeweight=".06pt" strokecolor="#000000"/>
            <v:line style="position:absolute" from="10048,303" to="11345,303" stroked="true" strokeweight=".06pt" strokecolor="#000000"/>
            <v:line style="position:absolute" from="10048,304" to="11345,304" stroked="true" strokeweight=".06pt" strokecolor="#000000"/>
            <v:line style="position:absolute" from="10048,305" to="11345,305" stroked="true" strokeweight=".06pt" strokecolor="#000000"/>
            <v:line style="position:absolute" from="10048,306" to="11345,306" stroked="true" strokeweight=".06pt" strokecolor="#000000"/>
            <v:line style="position:absolute" from="10048,307" to="11345,307" stroked="true" strokeweight=".06pt" strokecolor="#000000"/>
            <v:line style="position:absolute" from="10048,309" to="11345,309" stroked="true" strokeweight=".06pt" strokecolor="#000000"/>
            <v:line style="position:absolute" from="10048,310" to="11345,310" stroked="true" strokeweight=".06pt" strokecolor="#000000"/>
            <v:line style="position:absolute" from="10048,311" to="11345,311" stroked="true" strokeweight=".06pt" strokecolor="#000000"/>
            <v:line style="position:absolute" from="10048,312" to="11345,312" stroked="true" strokeweight=".06pt" strokecolor="#000000"/>
            <v:line style="position:absolute" from="10048,313" to="11345,313" stroked="true" strokeweight=".06pt" strokecolor="#000000"/>
            <v:line style="position:absolute" from="10048,315" to="11345,315" stroked="true" strokeweight=".06pt" strokecolor="#000000"/>
            <v:line style="position:absolute" from="10048,316" to="11345,316" stroked="true" strokeweight=".06pt" strokecolor="#000000"/>
            <v:line style="position:absolute" from="10048,317" to="11345,317" stroked="true" strokeweight=".06pt" strokecolor="#000000"/>
            <v:line style="position:absolute" from="10048,318" to="11345,318" stroked="true" strokeweight=".06pt" strokecolor="#000000"/>
            <v:line style="position:absolute" from="10048,319" to="11345,319" stroked="true" strokeweight=".06pt" strokecolor="#000000"/>
            <v:line style="position:absolute" from="10048,321" to="11345,321" stroked="true" strokeweight=".06pt" strokecolor="#000000"/>
            <w10:wrap type="topAndBottom"/>
          </v:group>
        </w:pict>
      </w:r>
      <w:r>
        <w:rPr>
          <w:sz w:val="18"/>
        </w:rPr>
        <w:t>Investment</w:t>
      </w:r>
      <w:r>
        <w:rPr>
          <w:spacing w:val="-6"/>
          <w:sz w:val="18"/>
        </w:rPr>
        <w:t> </w:t>
      </w:r>
      <w:r>
        <w:rPr>
          <w:sz w:val="18"/>
        </w:rPr>
        <w:t>income</w:t>
        <w:tab/>
      </w:r>
      <w:r>
        <w:rPr>
          <w:b/>
          <w:sz w:val="18"/>
        </w:rPr>
        <w:t>10,379</w:t>
        <w:tab/>
      </w:r>
      <w:r>
        <w:rPr>
          <w:sz w:val="18"/>
        </w:rPr>
        <w:t>11,341</w:t>
      </w:r>
    </w:p>
    <w:p>
      <w:pPr>
        <w:pStyle w:val="Heading8"/>
        <w:tabs>
          <w:tab w:pos="8369" w:val="left" w:leader="none"/>
          <w:tab w:pos="9310" w:val="left" w:leader="none"/>
          <w:tab w:pos="10707" w:val="left" w:leader="none"/>
        </w:tabs>
        <w:ind w:left="1471"/>
        <w:rPr>
          <w:b w:val="0"/>
        </w:rPr>
      </w:pPr>
      <w:r>
        <w:rPr/>
        <w:t>Net cash inflow/(outflow) from</w:t>
      </w:r>
      <w:r>
        <w:rPr>
          <w:spacing w:val="3"/>
        </w:rPr>
        <w:t> </w:t>
      </w:r>
      <w:r>
        <w:rPr/>
        <w:t>operating activities</w:t>
        <w:tab/>
      </w:r>
      <w:r>
        <w:rPr>
          <w:b w:val="0"/>
          <w:position w:val="-5"/>
        </w:rPr>
        <w:t>16</w:t>
        <w:tab/>
      </w:r>
      <w:r>
        <w:rPr>
          <w:position w:val="-8"/>
        </w:rPr>
        <w:t>103,246</w:t>
        <w:tab/>
      </w:r>
      <w:r>
        <w:rPr>
          <w:b w:val="0"/>
          <w:position w:val="-8"/>
        </w:rPr>
        <w:t>35,475</w:t>
      </w:r>
    </w:p>
    <w:p>
      <w:pPr>
        <w:pStyle w:val="BodyText"/>
        <w:spacing w:line="30" w:lineRule="exact"/>
        <w:ind w:left="8749"/>
        <w:rPr>
          <w:sz w:val="3"/>
        </w:rPr>
      </w:pPr>
      <w:r>
        <w:rPr>
          <w:position w:val="0"/>
          <w:sz w:val="3"/>
        </w:rPr>
        <w:pict>
          <v:group style="width:129.85pt;height:1.55pt;mso-position-horizontal-relative:char;mso-position-vertical-relative:line" coordorigin="0,0" coordsize="2597,31">
            <v:line style="position:absolute" from="1,1" to="1298,1" stroked="true" strokeweight=".06pt" strokecolor="#000000"/>
            <v:line style="position:absolute" from="1,2" to="1298,2" stroked="true" strokeweight=".06pt" strokecolor="#000000"/>
            <v:line style="position:absolute" from="1,3" to="1298,3" stroked="true" strokeweight=".06pt" strokecolor="#000000"/>
            <v:line style="position:absolute" from="1,5" to="1298,5" stroked="true" strokeweight=".06pt" strokecolor="#000000"/>
            <v:line style="position:absolute" from="1,6" to="1298,6" stroked="true" strokeweight=".06pt" strokecolor="#000000"/>
            <v:line style="position:absolute" from="1,7" to="1298,7" stroked="true" strokeweight=".06pt" strokecolor="#000000"/>
            <v:line style="position:absolute" from="1,8" to="1298,8" stroked="true" strokeweight=".06pt" strokecolor="#000000"/>
            <v:line style="position:absolute" from="1,9" to="1298,9" stroked="true" strokeweight=".06pt" strokecolor="#000000"/>
            <v:line style="position:absolute" from="1,11" to="1298,11" stroked="true" strokeweight=".06pt" strokecolor="#000000"/>
            <v:line style="position:absolute" from="1,12" to="1298,12" stroked="true" strokeweight=".06pt" strokecolor="#000000"/>
            <v:line style="position:absolute" from="1,13" to="1298,13" stroked="true" strokeweight=".06pt" strokecolor="#000000"/>
            <v:line style="position:absolute" from="1,14" to="1298,14" stroked="true" strokeweight=".06pt" strokecolor="#000000"/>
            <v:line style="position:absolute" from="1,15" to="1298,15" stroked="true" strokeweight=".06pt" strokecolor="#000000"/>
            <v:line style="position:absolute" from="1,17" to="1298,17" stroked="true" strokeweight=".06pt" strokecolor="#000000"/>
            <v:line style="position:absolute" from="1,18" to="1298,18" stroked="true" strokeweight=".06pt" strokecolor="#000000"/>
            <v:line style="position:absolute" from="1,19" to="1298,19" stroked="true" strokeweight=".06pt" strokecolor="#000000"/>
            <v:line style="position:absolute" from="1,20" to="1298,20" stroked="true" strokeweight=".06pt" strokecolor="#000000"/>
            <v:line style="position:absolute" from="1,21" to="1298,21" stroked="true" strokeweight=".06pt" strokecolor="#000000"/>
            <v:line style="position:absolute" from="1,23" to="1298,23" stroked="true" strokeweight=".06pt" strokecolor="#000000"/>
            <v:line style="position:absolute" from="1,24" to="1298,24" stroked="true" strokeweight=".06pt" strokecolor="#000000"/>
            <v:line style="position:absolute" from="1,25" to="1298,25" stroked="true" strokeweight=".06pt" strokecolor="#000000"/>
            <v:line style="position:absolute" from="1,26" to="1298,26" stroked="true" strokeweight=".06pt" strokecolor="#000000"/>
            <v:line style="position:absolute" from="1,27" to="1298,27" stroked="true" strokeweight=".06pt" strokecolor="#000000"/>
            <v:line style="position:absolute" from="1,29" to="1298,29" stroked="true" strokeweight=".06pt" strokecolor="#000000"/>
            <v:line style="position:absolute" from="1,30" to="1298,30" stroked="true" strokeweight=".06pt" strokecolor="#000000"/>
            <v:line style="position:absolute" from="1298,1" to="2595,1" stroked="true" strokeweight=".06pt" strokecolor="#000000"/>
            <v:line style="position:absolute" from="1298,2" to="2595,2" stroked="true" strokeweight=".06pt" strokecolor="#000000"/>
            <v:line style="position:absolute" from="1298,3" to="2595,3" stroked="true" strokeweight=".06pt" strokecolor="#000000"/>
            <v:line style="position:absolute" from="1298,5" to="2595,5" stroked="true" strokeweight=".06pt" strokecolor="#000000"/>
            <v:line style="position:absolute" from="1298,6" to="2595,6" stroked="true" strokeweight=".06pt" strokecolor="#000000"/>
            <v:line style="position:absolute" from="1298,7" to="2595,7" stroked="true" strokeweight=".06pt" strokecolor="#000000"/>
            <v:line style="position:absolute" from="1298,8" to="2595,8" stroked="true" strokeweight=".06pt" strokecolor="#000000"/>
            <v:line style="position:absolute" from="1298,9" to="2595,9" stroked="true" strokeweight=".06pt" strokecolor="#000000"/>
            <v:line style="position:absolute" from="1298,11" to="2595,11" stroked="true" strokeweight=".06pt" strokecolor="#000000"/>
            <v:line style="position:absolute" from="1298,12" to="2595,12" stroked="true" strokeweight=".06pt" strokecolor="#000000"/>
            <v:line style="position:absolute" from="1298,13" to="2595,13" stroked="true" strokeweight=".06pt" strokecolor="#000000"/>
            <v:line style="position:absolute" from="1298,14" to="2595,14" stroked="true" strokeweight=".06pt" strokecolor="#000000"/>
            <v:line style="position:absolute" from="1298,15" to="2595,15" stroked="true" strokeweight=".06pt" strokecolor="#000000"/>
            <v:line style="position:absolute" from="1298,17" to="2595,17" stroked="true" strokeweight=".06pt" strokecolor="#000000"/>
            <v:line style="position:absolute" from="1298,18" to="2595,18" stroked="true" strokeweight=".06pt" strokecolor="#000000"/>
            <v:line style="position:absolute" from="1298,19" to="2595,19" stroked="true" strokeweight=".06pt" strokecolor="#000000"/>
            <v:line style="position:absolute" from="1298,20" to="2595,20" stroked="true" strokeweight=".06pt" strokecolor="#000000"/>
            <v:line style="position:absolute" from="1298,21" to="2595,21" stroked="true" strokeweight=".06pt" strokecolor="#000000"/>
            <v:line style="position:absolute" from="1298,23" to="2595,23" stroked="true" strokeweight=".06pt" strokecolor="#000000"/>
            <v:line style="position:absolute" from="1298,24" to="2595,24" stroked="true" strokeweight=".06pt" strokecolor="#000000"/>
            <v:line style="position:absolute" from="1298,25" to="2595,25" stroked="true" strokeweight=".06pt" strokecolor="#000000"/>
            <v:line style="position:absolute" from="1298,26" to="2595,26" stroked="true" strokeweight=".06pt" strokecolor="#000000"/>
            <v:line style="position:absolute" from="1298,27" to="2595,27" stroked="true" strokeweight=".06pt" strokecolor="#000000"/>
            <v:line style="position:absolute" from="1298,29" to="2595,29" stroked="true" strokeweight=".06pt" strokecolor="#000000"/>
            <v:line style="position:absolute" from="1298,30" to="2595,30" stroked="true" strokeweight=".06pt" strokecolor="#000000"/>
          </v:group>
        </w:pict>
      </w:r>
      <w:r>
        <w:rPr>
          <w:position w:val="0"/>
          <w:sz w:val="3"/>
        </w:rPr>
      </w:r>
    </w:p>
    <w:p>
      <w:pPr>
        <w:pStyle w:val="BodyText"/>
        <w:spacing w:before="3"/>
        <w:rPr>
          <w:sz w:val="28"/>
        </w:rPr>
      </w:pPr>
    </w:p>
    <w:p>
      <w:pPr>
        <w:spacing w:before="77"/>
        <w:ind w:left="1472" w:right="0" w:firstLine="0"/>
        <w:jc w:val="left"/>
        <w:rPr>
          <w:b/>
          <w:sz w:val="18"/>
        </w:rPr>
      </w:pPr>
      <w:r>
        <w:rPr>
          <w:b/>
          <w:sz w:val="18"/>
        </w:rPr>
        <w:t>Cash flows from investing activities</w:t>
      </w:r>
    </w:p>
    <w:p>
      <w:pPr>
        <w:pStyle w:val="BodyText"/>
        <w:spacing w:line="30" w:lineRule="exact"/>
        <w:ind w:left="8749"/>
        <w:rPr>
          <w:sz w:val="3"/>
        </w:rPr>
      </w:pPr>
      <w:r>
        <w:rPr>
          <w:position w:val="0"/>
          <w:sz w:val="3"/>
        </w:rPr>
        <w:pict>
          <v:group style="width:129.85pt;height:1.55pt;mso-position-horizontal-relative:char;mso-position-vertical-relative:line" coordorigin="0,0" coordsize="2597,31">
            <v:line style="position:absolute" from="1,1" to="1298,1" stroked="true" strokeweight=".06pt" strokecolor="#000000"/>
            <v:line style="position:absolute" from="1,2" to="1298,2" stroked="true" strokeweight=".06pt" strokecolor="#000000"/>
            <v:line style="position:absolute" from="1,3" to="1298,3" stroked="true" strokeweight=".06pt" strokecolor="#000000"/>
            <v:line style="position:absolute" from="1,5" to="1298,5" stroked="true" strokeweight=".06pt" strokecolor="#000000"/>
            <v:line style="position:absolute" from="1,6" to="1298,6" stroked="true" strokeweight=".06pt" strokecolor="#000000"/>
            <v:line style="position:absolute" from="1,7" to="1298,7" stroked="true" strokeweight=".06pt" strokecolor="#000000"/>
            <v:line style="position:absolute" from="1,8" to="1298,8" stroked="true" strokeweight=".06pt" strokecolor="#000000"/>
            <v:line style="position:absolute" from="1,9" to="1298,9" stroked="true" strokeweight=".06pt" strokecolor="#000000"/>
            <v:line style="position:absolute" from="1,11" to="1298,11" stroked="true" strokeweight=".06pt" strokecolor="#000000"/>
            <v:line style="position:absolute" from="1,12" to="1298,12" stroked="true" strokeweight=".06pt" strokecolor="#000000"/>
            <v:line style="position:absolute" from="1,13" to="1298,13" stroked="true" strokeweight=".06pt" strokecolor="#000000"/>
            <v:line style="position:absolute" from="1,14" to="1298,14" stroked="true" strokeweight=".06pt" strokecolor="#000000"/>
            <v:line style="position:absolute" from="1,15" to="1298,15" stroked="true" strokeweight=".06pt" strokecolor="#000000"/>
            <v:line style="position:absolute" from="1,17" to="1298,17" stroked="true" strokeweight=".06pt" strokecolor="#000000"/>
            <v:line style="position:absolute" from="1,18" to="1298,18" stroked="true" strokeweight=".06pt" strokecolor="#000000"/>
            <v:line style="position:absolute" from="1,19" to="1298,19" stroked="true" strokeweight=".06pt" strokecolor="#000000"/>
            <v:line style="position:absolute" from="1,20" to="1298,20" stroked="true" strokeweight=".06pt" strokecolor="#000000"/>
            <v:line style="position:absolute" from="1,21" to="1298,21" stroked="true" strokeweight=".06pt" strokecolor="#000000"/>
            <v:line style="position:absolute" from="1,23" to="1298,23" stroked="true" strokeweight=".06pt" strokecolor="#000000"/>
            <v:line style="position:absolute" from="1,24" to="1298,24" stroked="true" strokeweight=".06pt" strokecolor="#000000"/>
            <v:line style="position:absolute" from="1,25" to="1298,25" stroked="true" strokeweight=".06pt" strokecolor="#000000"/>
            <v:line style="position:absolute" from="1,26" to="1298,26" stroked="true" strokeweight=".06pt" strokecolor="#000000"/>
            <v:line style="position:absolute" from="1,27" to="1298,27" stroked="true" strokeweight=".06pt" strokecolor="#000000"/>
            <v:line style="position:absolute" from="1,29" to="1298,29" stroked="true" strokeweight=".06pt" strokecolor="#000000"/>
            <v:line style="position:absolute" from="1,30" to="1298,30" stroked="true" strokeweight=".06pt" strokecolor="#000000"/>
            <v:line style="position:absolute" from="1298,1" to="2595,1" stroked="true" strokeweight=".06pt" strokecolor="#000000"/>
            <v:line style="position:absolute" from="1298,2" to="2595,2" stroked="true" strokeweight=".06pt" strokecolor="#000000"/>
            <v:line style="position:absolute" from="1298,3" to="2595,3" stroked="true" strokeweight=".06pt" strokecolor="#000000"/>
            <v:line style="position:absolute" from="1298,5" to="2595,5" stroked="true" strokeweight=".06pt" strokecolor="#000000"/>
            <v:line style="position:absolute" from="1298,6" to="2595,6" stroked="true" strokeweight=".06pt" strokecolor="#000000"/>
            <v:line style="position:absolute" from="1298,7" to="2595,7" stroked="true" strokeweight=".06pt" strokecolor="#000000"/>
            <v:line style="position:absolute" from="1298,8" to="2595,8" stroked="true" strokeweight=".06pt" strokecolor="#000000"/>
            <v:line style="position:absolute" from="1298,9" to="2595,9" stroked="true" strokeweight=".06pt" strokecolor="#000000"/>
            <v:line style="position:absolute" from="1298,11" to="2595,11" stroked="true" strokeweight=".06pt" strokecolor="#000000"/>
            <v:line style="position:absolute" from="1298,12" to="2595,12" stroked="true" strokeweight=".06pt" strokecolor="#000000"/>
            <v:line style="position:absolute" from="1298,13" to="2595,13" stroked="true" strokeweight=".06pt" strokecolor="#000000"/>
            <v:line style="position:absolute" from="1298,14" to="2595,14" stroked="true" strokeweight=".06pt" strokecolor="#000000"/>
            <v:line style="position:absolute" from="1298,15" to="2595,15" stroked="true" strokeweight=".06pt" strokecolor="#000000"/>
            <v:line style="position:absolute" from="1298,17" to="2595,17" stroked="true" strokeweight=".06pt" strokecolor="#000000"/>
            <v:line style="position:absolute" from="1298,18" to="2595,18" stroked="true" strokeweight=".06pt" strokecolor="#000000"/>
            <v:line style="position:absolute" from="1298,19" to="2595,19" stroked="true" strokeweight=".06pt" strokecolor="#000000"/>
            <v:line style="position:absolute" from="1298,20" to="2595,20" stroked="true" strokeweight=".06pt" strokecolor="#000000"/>
            <v:line style="position:absolute" from="1298,21" to="2595,21" stroked="true" strokeweight=".06pt" strokecolor="#000000"/>
            <v:line style="position:absolute" from="1298,23" to="2595,23" stroked="true" strokeweight=".06pt" strokecolor="#000000"/>
            <v:line style="position:absolute" from="1298,24" to="2595,24" stroked="true" strokeweight=".06pt" strokecolor="#000000"/>
            <v:line style="position:absolute" from="1298,25" to="2595,25" stroked="true" strokeweight=".06pt" strokecolor="#000000"/>
            <v:line style="position:absolute" from="1298,26" to="2595,26" stroked="true" strokeweight=".06pt" strokecolor="#000000"/>
            <v:line style="position:absolute" from="1298,27" to="2595,27" stroked="true" strokeweight=".06pt" strokecolor="#000000"/>
            <v:line style="position:absolute" from="1298,29" to="2595,29" stroked="true" strokeweight=".06pt" strokecolor="#000000"/>
            <v:line style="position:absolute" from="1298,30" to="2595,30" stroked="true" strokeweight=".06pt" strokecolor="#000000"/>
          </v:group>
        </w:pict>
      </w:r>
      <w:r>
        <w:rPr>
          <w:position w:val="0"/>
          <w:sz w:val="3"/>
        </w:rPr>
      </w:r>
    </w:p>
    <w:p>
      <w:pPr>
        <w:tabs>
          <w:tab w:pos="9898" w:val="left" w:leader="none"/>
          <w:tab w:pos="11195" w:val="left" w:leader="none"/>
        </w:tabs>
        <w:spacing w:before="27"/>
        <w:ind w:left="1472" w:right="0" w:firstLine="0"/>
        <w:jc w:val="left"/>
        <w:rPr>
          <w:sz w:val="18"/>
        </w:rPr>
      </w:pPr>
      <w:r>
        <w:rPr>
          <w:b/>
          <w:sz w:val="18"/>
        </w:rPr>
        <w:t>Net cash inflow/(outflow) from investing activities</w:t>
        <w:tab/>
      </w:r>
      <w:r>
        <w:rPr>
          <w:b/>
          <w:position w:val="-8"/>
          <w:sz w:val="18"/>
        </w:rPr>
        <w:t>-</w:t>
        <w:tab/>
      </w:r>
      <w:r>
        <w:rPr>
          <w:position w:val="-8"/>
          <w:sz w:val="18"/>
        </w:rPr>
        <w:t>-</w:t>
      </w:r>
    </w:p>
    <w:p>
      <w:pPr>
        <w:pStyle w:val="BodyText"/>
        <w:spacing w:line="30" w:lineRule="exact"/>
        <w:ind w:left="8749"/>
        <w:rPr>
          <w:sz w:val="3"/>
        </w:rPr>
      </w:pPr>
      <w:r>
        <w:rPr>
          <w:position w:val="0"/>
          <w:sz w:val="3"/>
        </w:rPr>
        <w:pict>
          <v:group style="width:129.85pt;height:1.55pt;mso-position-horizontal-relative:char;mso-position-vertical-relative:line" coordorigin="0,0" coordsize="2597,31">
            <v:line style="position:absolute" from="1,1" to="1298,1" stroked="true" strokeweight=".06pt" strokecolor="#000000"/>
            <v:line style="position:absolute" from="1,2" to="1298,2" stroked="true" strokeweight=".06pt" strokecolor="#000000"/>
            <v:line style="position:absolute" from="1,3" to="1298,3" stroked="true" strokeweight=".06pt" strokecolor="#000000"/>
            <v:line style="position:absolute" from="1,5" to="1298,5" stroked="true" strokeweight=".06pt" strokecolor="#000000"/>
            <v:line style="position:absolute" from="1,6" to="1298,6" stroked="true" strokeweight=".06pt" strokecolor="#000000"/>
            <v:line style="position:absolute" from="1,7" to="1298,7" stroked="true" strokeweight=".06pt" strokecolor="#000000"/>
            <v:line style="position:absolute" from="1,8" to="1298,8" stroked="true" strokeweight=".06pt" strokecolor="#000000"/>
            <v:line style="position:absolute" from="1,9" to="1298,9" stroked="true" strokeweight=".06pt" strokecolor="#000000"/>
            <v:line style="position:absolute" from="1,11" to="1298,11" stroked="true" strokeweight=".06pt" strokecolor="#000000"/>
            <v:line style="position:absolute" from="1,12" to="1298,12" stroked="true" strokeweight=".06pt" strokecolor="#000000"/>
            <v:line style="position:absolute" from="1,13" to="1298,13" stroked="true" strokeweight=".06pt" strokecolor="#000000"/>
            <v:line style="position:absolute" from="1,14" to="1298,14" stroked="true" strokeweight=".06pt" strokecolor="#000000"/>
            <v:line style="position:absolute" from="1,15" to="1298,15" stroked="true" strokeweight=".06pt" strokecolor="#000000"/>
            <v:line style="position:absolute" from="1,17" to="1298,17" stroked="true" strokeweight=".06pt" strokecolor="#000000"/>
            <v:line style="position:absolute" from="1,18" to="1298,18" stroked="true" strokeweight=".06pt" strokecolor="#000000"/>
            <v:line style="position:absolute" from="1,19" to="1298,19" stroked="true" strokeweight=".06pt" strokecolor="#000000"/>
            <v:line style="position:absolute" from="1,20" to="1298,20" stroked="true" strokeweight=".06pt" strokecolor="#000000"/>
            <v:line style="position:absolute" from="1,21" to="1298,21" stroked="true" strokeweight=".06pt" strokecolor="#000000"/>
            <v:line style="position:absolute" from="1,23" to="1298,23" stroked="true" strokeweight=".06pt" strokecolor="#000000"/>
            <v:line style="position:absolute" from="1,24" to="1298,24" stroked="true" strokeweight=".06pt" strokecolor="#000000"/>
            <v:line style="position:absolute" from="1,25" to="1298,25" stroked="true" strokeweight=".06pt" strokecolor="#000000"/>
            <v:line style="position:absolute" from="1,26" to="1298,26" stroked="true" strokeweight=".06pt" strokecolor="#000000"/>
            <v:line style="position:absolute" from="1,27" to="1298,27" stroked="true" strokeweight=".06pt" strokecolor="#000000"/>
            <v:line style="position:absolute" from="1,29" to="1298,29" stroked="true" strokeweight=".06pt" strokecolor="#000000"/>
            <v:line style="position:absolute" from="1,30" to="1298,30" stroked="true" strokeweight=".06pt" strokecolor="#000000"/>
            <v:line style="position:absolute" from="1298,1" to="2595,1" stroked="true" strokeweight=".06pt" strokecolor="#000000"/>
            <v:line style="position:absolute" from="1298,2" to="2595,2" stroked="true" strokeweight=".06pt" strokecolor="#000000"/>
            <v:line style="position:absolute" from="1298,3" to="2595,3" stroked="true" strokeweight=".06pt" strokecolor="#000000"/>
            <v:line style="position:absolute" from="1298,5" to="2595,5" stroked="true" strokeweight=".06pt" strokecolor="#000000"/>
            <v:line style="position:absolute" from="1298,6" to="2595,6" stroked="true" strokeweight=".06pt" strokecolor="#000000"/>
            <v:line style="position:absolute" from="1298,7" to="2595,7" stroked="true" strokeweight=".06pt" strokecolor="#000000"/>
            <v:line style="position:absolute" from="1298,8" to="2595,8" stroked="true" strokeweight=".06pt" strokecolor="#000000"/>
            <v:line style="position:absolute" from="1298,9" to="2595,9" stroked="true" strokeweight=".06pt" strokecolor="#000000"/>
            <v:line style="position:absolute" from="1298,11" to="2595,11" stroked="true" strokeweight=".06pt" strokecolor="#000000"/>
            <v:line style="position:absolute" from="1298,12" to="2595,12" stroked="true" strokeweight=".06pt" strokecolor="#000000"/>
            <v:line style="position:absolute" from="1298,13" to="2595,13" stroked="true" strokeweight=".06pt" strokecolor="#000000"/>
            <v:line style="position:absolute" from="1298,14" to="2595,14" stroked="true" strokeweight=".06pt" strokecolor="#000000"/>
            <v:line style="position:absolute" from="1298,15" to="2595,15" stroked="true" strokeweight=".06pt" strokecolor="#000000"/>
            <v:line style="position:absolute" from="1298,17" to="2595,17" stroked="true" strokeweight=".06pt" strokecolor="#000000"/>
            <v:line style="position:absolute" from="1298,18" to="2595,18" stroked="true" strokeweight=".06pt" strokecolor="#000000"/>
            <v:line style="position:absolute" from="1298,19" to="2595,19" stroked="true" strokeweight=".06pt" strokecolor="#000000"/>
            <v:line style="position:absolute" from="1298,20" to="2595,20" stroked="true" strokeweight=".06pt" strokecolor="#000000"/>
            <v:line style="position:absolute" from="1298,21" to="2595,21" stroked="true" strokeweight=".06pt" strokecolor="#000000"/>
            <v:line style="position:absolute" from="1298,23" to="2595,23" stroked="true" strokeweight=".06pt" strokecolor="#000000"/>
            <v:line style="position:absolute" from="1298,24" to="2595,24" stroked="true" strokeweight=".06pt" strokecolor="#000000"/>
            <v:line style="position:absolute" from="1298,25" to="2595,25" stroked="true" strokeweight=".06pt" strokecolor="#000000"/>
            <v:line style="position:absolute" from="1298,26" to="2595,26" stroked="true" strokeweight=".06pt" strokecolor="#000000"/>
            <v:line style="position:absolute" from="1298,27" to="2595,27" stroked="true" strokeweight=".06pt" strokecolor="#000000"/>
            <v:line style="position:absolute" from="1298,29" to="2595,29" stroked="true" strokeweight=".06pt" strokecolor="#000000"/>
            <v:line style="position:absolute" from="1298,30" to="2595,30" stroked="true" strokeweight=".06pt" strokecolor="#000000"/>
          </v:group>
        </w:pict>
      </w:r>
      <w:r>
        <w:rPr>
          <w:position w:val="0"/>
          <w:sz w:val="3"/>
        </w:rPr>
      </w:r>
    </w:p>
    <w:p>
      <w:pPr>
        <w:pStyle w:val="BodyText"/>
        <w:spacing w:before="3"/>
        <w:rPr>
          <w:sz w:val="28"/>
        </w:rPr>
      </w:pPr>
    </w:p>
    <w:p>
      <w:pPr>
        <w:spacing w:before="77"/>
        <w:ind w:left="1472" w:right="0" w:firstLine="0"/>
        <w:jc w:val="left"/>
        <w:rPr>
          <w:b/>
          <w:sz w:val="18"/>
        </w:rPr>
      </w:pPr>
      <w:r>
        <w:rPr>
          <w:b/>
          <w:sz w:val="18"/>
        </w:rPr>
        <w:t>Cash flows from financing activities</w:t>
      </w:r>
    </w:p>
    <w:p>
      <w:pPr>
        <w:pStyle w:val="BodyText"/>
        <w:spacing w:line="30" w:lineRule="exact"/>
        <w:ind w:left="8749"/>
        <w:rPr>
          <w:sz w:val="3"/>
        </w:rPr>
      </w:pPr>
      <w:r>
        <w:rPr>
          <w:position w:val="0"/>
          <w:sz w:val="3"/>
        </w:rPr>
        <w:pict>
          <v:group style="width:129.85pt;height:1.55pt;mso-position-horizontal-relative:char;mso-position-vertical-relative:line" coordorigin="0,0" coordsize="2597,31">
            <v:line style="position:absolute" from="1,1" to="1298,1" stroked="true" strokeweight=".06pt" strokecolor="#000000"/>
            <v:line style="position:absolute" from="1,2" to="1298,2" stroked="true" strokeweight=".06pt" strokecolor="#000000"/>
            <v:line style="position:absolute" from="1,3" to="1298,3" stroked="true" strokeweight=".06pt" strokecolor="#000000"/>
            <v:line style="position:absolute" from="1,5" to="1298,5" stroked="true" strokeweight=".06pt" strokecolor="#000000"/>
            <v:line style="position:absolute" from="1,6" to="1298,6" stroked="true" strokeweight=".06pt" strokecolor="#000000"/>
            <v:line style="position:absolute" from="1,7" to="1298,7" stroked="true" strokeweight=".06pt" strokecolor="#000000"/>
            <v:line style="position:absolute" from="1,8" to="1298,8" stroked="true" strokeweight=".06pt" strokecolor="#000000"/>
            <v:line style="position:absolute" from="1,9" to="1298,9" stroked="true" strokeweight=".06pt" strokecolor="#000000"/>
            <v:line style="position:absolute" from="1,11" to="1298,11" stroked="true" strokeweight=".06pt" strokecolor="#000000"/>
            <v:line style="position:absolute" from="1,12" to="1298,12" stroked="true" strokeweight=".06pt" strokecolor="#000000"/>
            <v:line style="position:absolute" from="1,13" to="1298,13" stroked="true" strokeweight=".06pt" strokecolor="#000000"/>
            <v:line style="position:absolute" from="1,14" to="1298,14" stroked="true" strokeweight=".06pt" strokecolor="#000000"/>
            <v:line style="position:absolute" from="1,15" to="1298,15" stroked="true" strokeweight=".06pt" strokecolor="#000000"/>
            <v:line style="position:absolute" from="1,17" to="1298,17" stroked="true" strokeweight=".06pt" strokecolor="#000000"/>
            <v:line style="position:absolute" from="1,18" to="1298,18" stroked="true" strokeweight=".06pt" strokecolor="#000000"/>
            <v:line style="position:absolute" from="1,19" to="1298,19" stroked="true" strokeweight=".06pt" strokecolor="#000000"/>
            <v:line style="position:absolute" from="1,20" to="1298,20" stroked="true" strokeweight=".06pt" strokecolor="#000000"/>
            <v:line style="position:absolute" from="1,21" to="1298,21" stroked="true" strokeweight=".06pt" strokecolor="#000000"/>
            <v:line style="position:absolute" from="1,23" to="1298,23" stroked="true" strokeweight=".06pt" strokecolor="#000000"/>
            <v:line style="position:absolute" from="1,24" to="1298,24" stroked="true" strokeweight=".06pt" strokecolor="#000000"/>
            <v:line style="position:absolute" from="1,25" to="1298,25" stroked="true" strokeweight=".06pt" strokecolor="#000000"/>
            <v:line style="position:absolute" from="1,26" to="1298,26" stroked="true" strokeweight=".06pt" strokecolor="#000000"/>
            <v:line style="position:absolute" from="1,27" to="1298,27" stroked="true" strokeweight=".06pt" strokecolor="#000000"/>
            <v:line style="position:absolute" from="1,29" to="1298,29" stroked="true" strokeweight=".06pt" strokecolor="#000000"/>
            <v:line style="position:absolute" from="1,30" to="1298,30" stroked="true" strokeweight=".06pt" strokecolor="#000000"/>
            <v:line style="position:absolute" from="1298,1" to="2595,1" stroked="true" strokeweight=".06pt" strokecolor="#000000"/>
            <v:line style="position:absolute" from="1298,2" to="2595,2" stroked="true" strokeweight=".06pt" strokecolor="#000000"/>
            <v:line style="position:absolute" from="1298,3" to="2595,3" stroked="true" strokeweight=".06pt" strokecolor="#000000"/>
            <v:line style="position:absolute" from="1298,5" to="2595,5" stroked="true" strokeweight=".06pt" strokecolor="#000000"/>
            <v:line style="position:absolute" from="1298,6" to="2595,6" stroked="true" strokeweight=".06pt" strokecolor="#000000"/>
            <v:line style="position:absolute" from="1298,7" to="2595,7" stroked="true" strokeweight=".06pt" strokecolor="#000000"/>
            <v:line style="position:absolute" from="1298,8" to="2595,8" stroked="true" strokeweight=".06pt" strokecolor="#000000"/>
            <v:line style="position:absolute" from="1298,9" to="2595,9" stroked="true" strokeweight=".06pt" strokecolor="#000000"/>
            <v:line style="position:absolute" from="1298,11" to="2595,11" stroked="true" strokeweight=".06pt" strokecolor="#000000"/>
            <v:line style="position:absolute" from="1298,12" to="2595,12" stroked="true" strokeweight=".06pt" strokecolor="#000000"/>
            <v:line style="position:absolute" from="1298,13" to="2595,13" stroked="true" strokeweight=".06pt" strokecolor="#000000"/>
            <v:line style="position:absolute" from="1298,14" to="2595,14" stroked="true" strokeweight=".06pt" strokecolor="#000000"/>
            <v:line style="position:absolute" from="1298,15" to="2595,15" stroked="true" strokeweight=".06pt" strokecolor="#000000"/>
            <v:line style="position:absolute" from="1298,17" to="2595,17" stroked="true" strokeweight=".06pt" strokecolor="#000000"/>
            <v:line style="position:absolute" from="1298,18" to="2595,18" stroked="true" strokeweight=".06pt" strokecolor="#000000"/>
            <v:line style="position:absolute" from="1298,19" to="2595,19" stroked="true" strokeweight=".06pt" strokecolor="#000000"/>
            <v:line style="position:absolute" from="1298,20" to="2595,20" stroked="true" strokeweight=".06pt" strokecolor="#000000"/>
            <v:line style="position:absolute" from="1298,21" to="2595,21" stroked="true" strokeweight=".06pt" strokecolor="#000000"/>
            <v:line style="position:absolute" from="1298,23" to="2595,23" stroked="true" strokeweight=".06pt" strokecolor="#000000"/>
            <v:line style="position:absolute" from="1298,24" to="2595,24" stroked="true" strokeweight=".06pt" strokecolor="#000000"/>
            <v:line style="position:absolute" from="1298,25" to="2595,25" stroked="true" strokeweight=".06pt" strokecolor="#000000"/>
            <v:line style="position:absolute" from="1298,26" to="2595,26" stroked="true" strokeweight=".06pt" strokecolor="#000000"/>
            <v:line style="position:absolute" from="1298,27" to="2595,27" stroked="true" strokeweight=".06pt" strokecolor="#000000"/>
            <v:line style="position:absolute" from="1298,29" to="2595,29" stroked="true" strokeweight=".06pt" strokecolor="#000000"/>
            <v:line style="position:absolute" from="1298,30" to="2595,30" stroked="true" strokeweight=".06pt" strokecolor="#000000"/>
          </v:group>
        </w:pict>
      </w:r>
      <w:r>
        <w:rPr>
          <w:position w:val="0"/>
          <w:sz w:val="3"/>
        </w:rPr>
      </w:r>
    </w:p>
    <w:p>
      <w:pPr>
        <w:tabs>
          <w:tab w:pos="9898" w:val="left" w:leader="none"/>
          <w:tab w:pos="11195" w:val="left" w:leader="none"/>
        </w:tabs>
        <w:spacing w:before="27"/>
        <w:ind w:left="1472" w:right="0" w:firstLine="0"/>
        <w:jc w:val="left"/>
        <w:rPr>
          <w:sz w:val="18"/>
        </w:rPr>
      </w:pPr>
      <w:r>
        <w:rPr>
          <w:b/>
          <w:sz w:val="18"/>
        </w:rPr>
        <w:t>Net cash inflow/(outflow) from</w:t>
      </w:r>
      <w:r>
        <w:rPr>
          <w:b/>
          <w:spacing w:val="2"/>
          <w:sz w:val="18"/>
        </w:rPr>
        <w:t> </w:t>
      </w:r>
      <w:r>
        <w:rPr>
          <w:b/>
          <w:sz w:val="18"/>
        </w:rPr>
        <w:t>financing activities</w:t>
        <w:tab/>
      </w:r>
      <w:r>
        <w:rPr>
          <w:b/>
          <w:position w:val="-8"/>
          <w:sz w:val="18"/>
        </w:rPr>
        <w:t>-</w:t>
        <w:tab/>
      </w:r>
      <w:r>
        <w:rPr>
          <w:position w:val="-8"/>
          <w:sz w:val="18"/>
        </w:rPr>
        <w:t>-</w:t>
      </w:r>
    </w:p>
    <w:p>
      <w:pPr>
        <w:pStyle w:val="BodyText"/>
        <w:spacing w:line="30" w:lineRule="exact"/>
        <w:ind w:left="8749"/>
        <w:rPr>
          <w:sz w:val="3"/>
        </w:rPr>
      </w:pPr>
      <w:r>
        <w:rPr>
          <w:position w:val="0"/>
          <w:sz w:val="3"/>
        </w:rPr>
        <w:pict>
          <v:group style="width:129.85pt;height:1.55pt;mso-position-horizontal-relative:char;mso-position-vertical-relative:line" coordorigin="0,0" coordsize="2597,31">
            <v:line style="position:absolute" from="1,1" to="1298,1" stroked="true" strokeweight=".06pt" strokecolor="#000000"/>
            <v:line style="position:absolute" from="1,2" to="1298,2" stroked="true" strokeweight=".06pt" strokecolor="#000000"/>
            <v:line style="position:absolute" from="1,3" to="1298,3" stroked="true" strokeweight=".06pt" strokecolor="#000000"/>
            <v:line style="position:absolute" from="1,5" to="1298,5" stroked="true" strokeweight=".06pt" strokecolor="#000000"/>
            <v:line style="position:absolute" from="1,6" to="1298,6" stroked="true" strokeweight=".06pt" strokecolor="#000000"/>
            <v:line style="position:absolute" from="1,7" to="1298,7" stroked="true" strokeweight=".06pt" strokecolor="#000000"/>
            <v:line style="position:absolute" from="1,8" to="1298,8" stroked="true" strokeweight=".06pt" strokecolor="#000000"/>
            <v:line style="position:absolute" from="1,9" to="1298,9" stroked="true" strokeweight=".06pt" strokecolor="#000000"/>
            <v:line style="position:absolute" from="1,11" to="1298,11" stroked="true" strokeweight=".06pt" strokecolor="#000000"/>
            <v:line style="position:absolute" from="1,12" to="1298,12" stroked="true" strokeweight=".06pt" strokecolor="#000000"/>
            <v:line style="position:absolute" from="1,13" to="1298,13" stroked="true" strokeweight=".06pt" strokecolor="#000000"/>
            <v:line style="position:absolute" from="1,14" to="1298,14" stroked="true" strokeweight=".06pt" strokecolor="#000000"/>
            <v:line style="position:absolute" from="1,15" to="1298,15" stroked="true" strokeweight=".06pt" strokecolor="#000000"/>
            <v:line style="position:absolute" from="1,17" to="1298,17" stroked="true" strokeweight=".06pt" strokecolor="#000000"/>
            <v:line style="position:absolute" from="1,18" to="1298,18" stroked="true" strokeweight=".06pt" strokecolor="#000000"/>
            <v:line style="position:absolute" from="1,19" to="1298,19" stroked="true" strokeweight=".06pt" strokecolor="#000000"/>
            <v:line style="position:absolute" from="1,20" to="1298,20" stroked="true" strokeweight=".06pt" strokecolor="#000000"/>
            <v:line style="position:absolute" from="1,21" to="1298,21" stroked="true" strokeweight=".06pt" strokecolor="#000000"/>
            <v:line style="position:absolute" from="1,23" to="1298,23" stroked="true" strokeweight=".06pt" strokecolor="#000000"/>
            <v:line style="position:absolute" from="1,24" to="1298,24" stroked="true" strokeweight=".06pt" strokecolor="#000000"/>
            <v:line style="position:absolute" from="1,25" to="1298,25" stroked="true" strokeweight=".06pt" strokecolor="#000000"/>
            <v:line style="position:absolute" from="1,26" to="1298,26" stroked="true" strokeweight=".06pt" strokecolor="#000000"/>
            <v:line style="position:absolute" from="1,27" to="1298,27" stroked="true" strokeweight=".06pt" strokecolor="#000000"/>
            <v:line style="position:absolute" from="1,29" to="1298,29" stroked="true" strokeweight=".06pt" strokecolor="#000000"/>
            <v:line style="position:absolute" from="1,30" to="1298,30" stroked="true" strokeweight=".06pt" strokecolor="#000000"/>
            <v:line style="position:absolute" from="1298,1" to="2595,1" stroked="true" strokeweight=".06pt" strokecolor="#000000"/>
            <v:line style="position:absolute" from="1298,2" to="2595,2" stroked="true" strokeweight=".06pt" strokecolor="#000000"/>
            <v:line style="position:absolute" from="1298,3" to="2595,3" stroked="true" strokeweight=".06pt" strokecolor="#000000"/>
            <v:line style="position:absolute" from="1298,5" to="2595,5" stroked="true" strokeweight=".06pt" strokecolor="#000000"/>
            <v:line style="position:absolute" from="1298,6" to="2595,6" stroked="true" strokeweight=".06pt" strokecolor="#000000"/>
            <v:line style="position:absolute" from="1298,7" to="2595,7" stroked="true" strokeweight=".06pt" strokecolor="#000000"/>
            <v:line style="position:absolute" from="1298,8" to="2595,8" stroked="true" strokeweight=".06pt" strokecolor="#000000"/>
            <v:line style="position:absolute" from="1298,9" to="2595,9" stroked="true" strokeweight=".06pt" strokecolor="#000000"/>
            <v:line style="position:absolute" from="1298,11" to="2595,11" stroked="true" strokeweight=".06pt" strokecolor="#000000"/>
            <v:line style="position:absolute" from="1298,12" to="2595,12" stroked="true" strokeweight=".06pt" strokecolor="#000000"/>
            <v:line style="position:absolute" from="1298,13" to="2595,13" stroked="true" strokeweight=".06pt" strokecolor="#000000"/>
            <v:line style="position:absolute" from="1298,14" to="2595,14" stroked="true" strokeweight=".06pt" strokecolor="#000000"/>
            <v:line style="position:absolute" from="1298,15" to="2595,15" stroked="true" strokeweight=".06pt" strokecolor="#000000"/>
            <v:line style="position:absolute" from="1298,17" to="2595,17" stroked="true" strokeweight=".06pt" strokecolor="#000000"/>
            <v:line style="position:absolute" from="1298,18" to="2595,18" stroked="true" strokeweight=".06pt" strokecolor="#000000"/>
            <v:line style="position:absolute" from="1298,19" to="2595,19" stroked="true" strokeweight=".06pt" strokecolor="#000000"/>
            <v:line style="position:absolute" from="1298,20" to="2595,20" stroked="true" strokeweight=".06pt" strokecolor="#000000"/>
            <v:line style="position:absolute" from="1298,21" to="2595,21" stroked="true" strokeweight=".06pt" strokecolor="#000000"/>
            <v:line style="position:absolute" from="1298,23" to="2595,23" stroked="true" strokeweight=".06pt" strokecolor="#000000"/>
            <v:line style="position:absolute" from="1298,24" to="2595,24" stroked="true" strokeweight=".06pt" strokecolor="#000000"/>
            <v:line style="position:absolute" from="1298,25" to="2595,25" stroked="true" strokeweight=".06pt" strokecolor="#000000"/>
            <v:line style="position:absolute" from="1298,26" to="2595,26" stroked="true" strokeweight=".06pt" strokecolor="#000000"/>
            <v:line style="position:absolute" from="1298,27" to="2595,27" stroked="true" strokeweight=".06pt" strokecolor="#000000"/>
            <v:line style="position:absolute" from="1298,29" to="2595,29" stroked="true" strokeweight=".06pt" strokecolor="#000000"/>
            <v:line style="position:absolute" from="1298,30" to="2595,30" stroked="true" strokeweight=".06pt" strokecolor="#000000"/>
          </v:group>
        </w:pict>
      </w:r>
      <w:r>
        <w:rPr>
          <w:position w:val="0"/>
          <w:sz w:val="3"/>
        </w:rPr>
      </w:r>
    </w:p>
    <w:p>
      <w:pPr>
        <w:pStyle w:val="BodyText"/>
        <w:spacing w:before="10"/>
        <w:rPr>
          <w:sz w:val="20"/>
        </w:rPr>
      </w:pPr>
    </w:p>
    <w:p>
      <w:pPr>
        <w:tabs>
          <w:tab w:pos="9310" w:val="left" w:leader="none"/>
          <w:tab w:pos="10707" w:val="left" w:leader="none"/>
        </w:tabs>
        <w:spacing w:before="78"/>
        <w:ind w:left="1472" w:right="0" w:firstLine="0"/>
        <w:jc w:val="left"/>
        <w:rPr>
          <w:sz w:val="18"/>
        </w:rPr>
      </w:pPr>
      <w:r>
        <w:rPr>
          <w:b/>
          <w:sz w:val="18"/>
        </w:rPr>
        <w:t>Net increase/(decrease) in cash and</w:t>
      </w:r>
      <w:r>
        <w:rPr>
          <w:b/>
          <w:spacing w:val="-29"/>
          <w:sz w:val="18"/>
        </w:rPr>
        <w:t> </w:t>
      </w:r>
      <w:r>
        <w:rPr>
          <w:b/>
          <w:sz w:val="18"/>
        </w:rPr>
        <w:t>cash</w:t>
      </w:r>
      <w:r>
        <w:rPr>
          <w:b/>
          <w:spacing w:val="-6"/>
          <w:sz w:val="18"/>
        </w:rPr>
        <w:t> </w:t>
      </w:r>
      <w:r>
        <w:rPr>
          <w:b/>
          <w:sz w:val="18"/>
        </w:rPr>
        <w:t>equivalents</w:t>
        <w:tab/>
        <w:t>103,246</w:t>
        <w:tab/>
      </w:r>
      <w:r>
        <w:rPr>
          <w:sz w:val="18"/>
        </w:rPr>
        <w:t>35,475</w:t>
      </w:r>
    </w:p>
    <w:p>
      <w:pPr>
        <w:pStyle w:val="BodyText"/>
        <w:tabs>
          <w:tab w:pos="9310" w:val="left" w:leader="none"/>
          <w:tab w:pos="10607" w:val="left" w:leader="none"/>
        </w:tabs>
        <w:spacing w:before="57"/>
        <w:ind w:left="1472"/>
      </w:pPr>
      <w:r>
        <w:rPr/>
        <w:pict>
          <v:group style="position:absolute;margin-left:437.470001pt;margin-top:14.541891pt;width:129.85pt;height:1.55pt;mso-position-horizontal-relative:page;mso-position-vertical-relative:paragraph;z-index:15424;mso-wrap-distance-left:0;mso-wrap-distance-right:0" coordorigin="8749,291" coordsize="2597,31">
            <v:line style="position:absolute" from="8750,292" to="10048,292" stroked="true" strokeweight=".06pt" strokecolor="#000000"/>
            <v:line style="position:absolute" from="8750,293" to="10048,293" stroked="true" strokeweight=".06pt" strokecolor="#000000"/>
            <v:line style="position:absolute" from="8750,294" to="10048,294" stroked="true" strokeweight=".06pt" strokecolor="#000000"/>
            <v:line style="position:absolute" from="8750,295" to="10048,295" stroked="true" strokeweight=".06pt" strokecolor="#000000"/>
            <v:line style="position:absolute" from="8750,297" to="10048,297" stroked="true" strokeweight=".06pt" strokecolor="#000000"/>
            <v:line style="position:absolute" from="8750,298" to="10048,298" stroked="true" strokeweight=".06pt" strokecolor="#000000"/>
            <v:line style="position:absolute" from="8750,299" to="10048,299" stroked="true" strokeweight=".06pt" strokecolor="#000000"/>
            <v:line style="position:absolute" from="8750,300" to="10048,300" stroked="true" strokeweight=".06pt" strokecolor="#000000"/>
            <v:line style="position:absolute" from="8750,301" to="10048,301" stroked="true" strokeweight=".06pt" strokecolor="#000000"/>
            <v:line style="position:absolute" from="8750,303" to="10048,303" stroked="true" strokeweight=".06pt" strokecolor="#000000"/>
            <v:line style="position:absolute" from="8750,304" to="10048,304" stroked="true" strokeweight=".06pt" strokecolor="#000000"/>
            <v:line style="position:absolute" from="8750,305" to="10048,305" stroked="true" strokeweight=".06pt" strokecolor="#000000"/>
            <v:line style="position:absolute" from="8750,306" to="10048,306" stroked="true" strokeweight=".06pt" strokecolor="#000000"/>
            <v:line style="position:absolute" from="8750,307" to="10048,307" stroked="true" strokeweight=".06pt" strokecolor="#000000"/>
            <v:line style="position:absolute" from="8750,309" to="10048,309" stroked="true" strokeweight=".06pt" strokecolor="#000000"/>
            <v:line style="position:absolute" from="8750,310" to="10048,310" stroked="true" strokeweight=".06pt" strokecolor="#000000"/>
            <v:line style="position:absolute" from="8750,311" to="10048,311" stroked="true" strokeweight=".06pt" strokecolor="#000000"/>
            <v:line style="position:absolute" from="8750,312" to="10048,312" stroked="true" strokeweight=".06pt" strokecolor="#000000"/>
            <v:line style="position:absolute" from="8750,313" to="10048,313" stroked="true" strokeweight=".06pt" strokecolor="#000000"/>
            <v:line style="position:absolute" from="8750,315" to="10048,315" stroked="true" strokeweight=".06pt" strokecolor="#000000"/>
            <v:line style="position:absolute" from="8750,316" to="10048,316" stroked="true" strokeweight=".06pt" strokecolor="#000000"/>
            <v:line style="position:absolute" from="8750,317" to="10048,317" stroked="true" strokeweight=".06pt" strokecolor="#000000"/>
            <v:line style="position:absolute" from="8750,318" to="10048,318" stroked="true" strokeweight=".06pt" strokecolor="#000000"/>
            <v:line style="position:absolute" from="8750,319" to="10048,319" stroked="true" strokeweight=".06pt" strokecolor="#000000"/>
            <v:line style="position:absolute" from="8750,321" to="10048,321" stroked="true" strokeweight=".06pt" strokecolor="#000000"/>
            <v:line style="position:absolute" from="10048,292" to="11345,292" stroked="true" strokeweight=".06pt" strokecolor="#000000"/>
            <v:line style="position:absolute" from="10048,293" to="11345,293" stroked="true" strokeweight=".06pt" strokecolor="#000000"/>
            <v:line style="position:absolute" from="10048,294" to="11345,294" stroked="true" strokeweight=".06pt" strokecolor="#000000"/>
            <v:line style="position:absolute" from="10048,295" to="11345,295" stroked="true" strokeweight=".06pt" strokecolor="#000000"/>
            <v:line style="position:absolute" from="10048,297" to="11345,297" stroked="true" strokeweight=".06pt" strokecolor="#000000"/>
            <v:line style="position:absolute" from="10048,298" to="11345,298" stroked="true" strokeweight=".06pt" strokecolor="#000000"/>
            <v:line style="position:absolute" from="10048,299" to="11345,299" stroked="true" strokeweight=".06pt" strokecolor="#000000"/>
            <v:line style="position:absolute" from="10048,300" to="11345,300" stroked="true" strokeweight=".06pt" strokecolor="#000000"/>
            <v:line style="position:absolute" from="10048,301" to="11345,301" stroked="true" strokeweight=".06pt" strokecolor="#000000"/>
            <v:line style="position:absolute" from="10048,303" to="11345,303" stroked="true" strokeweight=".06pt" strokecolor="#000000"/>
            <v:line style="position:absolute" from="10048,304" to="11345,304" stroked="true" strokeweight=".06pt" strokecolor="#000000"/>
            <v:line style="position:absolute" from="10048,305" to="11345,305" stroked="true" strokeweight=".06pt" strokecolor="#000000"/>
            <v:line style="position:absolute" from="10048,306" to="11345,306" stroked="true" strokeweight=".06pt" strokecolor="#000000"/>
            <v:line style="position:absolute" from="10048,307" to="11345,307" stroked="true" strokeweight=".06pt" strokecolor="#000000"/>
            <v:line style="position:absolute" from="10048,309" to="11345,309" stroked="true" strokeweight=".06pt" strokecolor="#000000"/>
            <v:line style="position:absolute" from="10048,310" to="11345,310" stroked="true" strokeweight=".06pt" strokecolor="#000000"/>
            <v:line style="position:absolute" from="10048,311" to="11345,311" stroked="true" strokeweight=".06pt" strokecolor="#000000"/>
            <v:line style="position:absolute" from="10048,312" to="11345,312" stroked="true" strokeweight=".06pt" strokecolor="#000000"/>
            <v:line style="position:absolute" from="10048,313" to="11345,313" stroked="true" strokeweight=".06pt" strokecolor="#000000"/>
            <v:line style="position:absolute" from="10048,315" to="11345,315" stroked="true" strokeweight=".06pt" strokecolor="#000000"/>
            <v:line style="position:absolute" from="10048,316" to="11345,316" stroked="true" strokeweight=".06pt" strokecolor="#000000"/>
            <v:line style="position:absolute" from="10048,317" to="11345,317" stroked="true" strokeweight=".06pt" strokecolor="#000000"/>
            <v:line style="position:absolute" from="10048,318" to="11345,318" stroked="true" strokeweight=".06pt" strokecolor="#000000"/>
            <v:line style="position:absolute" from="10048,319" to="11345,319" stroked="true" strokeweight=".06pt" strokecolor="#000000"/>
            <v:line style="position:absolute" from="10048,321" to="11345,321" stroked="true" strokeweight=".06pt" strokecolor="#000000"/>
            <w10:wrap type="topAndBottom"/>
          </v:group>
        </w:pict>
      </w:r>
      <w:r>
        <w:rPr/>
        <w:drawing>
          <wp:anchor distT="0" distB="0" distL="0" distR="0" allowOverlap="1" layoutInCell="1" locked="0" behindDoc="0" simplePos="0" relativeHeight="15472">
            <wp:simplePos x="0" y="0"/>
            <wp:positionH relativeFrom="page">
              <wp:posOffset>-1587</wp:posOffset>
            </wp:positionH>
            <wp:positionV relativeFrom="paragraph">
              <wp:posOffset>559611</wp:posOffset>
            </wp:positionV>
            <wp:extent cx="135159" cy="154019"/>
            <wp:effectExtent l="0" t="0" r="0" b="0"/>
            <wp:wrapNone/>
            <wp:docPr id="1055" name="image13.png" descr=""/>
            <wp:cNvGraphicFramePr>
              <a:graphicFrameLocks noChangeAspect="1"/>
            </wp:cNvGraphicFramePr>
            <a:graphic>
              <a:graphicData uri="http://schemas.openxmlformats.org/drawingml/2006/picture">
                <pic:pic>
                  <pic:nvPicPr>
                    <pic:cNvPr id="1056" name="image13.png"/>
                    <pic:cNvPicPr/>
                  </pic:nvPicPr>
                  <pic:blipFill>
                    <a:blip r:embed="rId18" cstate="print"/>
                    <a:stretch>
                      <a:fillRect/>
                    </a:stretch>
                  </pic:blipFill>
                  <pic:spPr>
                    <a:xfrm>
                      <a:off x="0" y="0"/>
                      <a:ext cx="135159" cy="154019"/>
                    </a:xfrm>
                    <a:prstGeom prst="rect">
                      <a:avLst/>
                    </a:prstGeom>
                  </pic:spPr>
                </pic:pic>
              </a:graphicData>
            </a:graphic>
          </wp:anchor>
        </w:drawing>
      </w:r>
      <w:r>
        <w:rPr/>
        <w:drawing>
          <wp:anchor distT="0" distB="0" distL="0" distR="0" allowOverlap="1" layoutInCell="1" locked="0" behindDoc="0" simplePos="0" relativeHeight="15496">
            <wp:simplePos x="0" y="0"/>
            <wp:positionH relativeFrom="page">
              <wp:posOffset>7958429</wp:posOffset>
            </wp:positionH>
            <wp:positionV relativeFrom="paragraph">
              <wp:posOffset>559611</wp:posOffset>
            </wp:positionV>
            <wp:extent cx="135953" cy="155575"/>
            <wp:effectExtent l="0" t="0" r="0" b="0"/>
            <wp:wrapNone/>
            <wp:docPr id="1057" name="image15.png" descr=""/>
            <wp:cNvGraphicFramePr>
              <a:graphicFrameLocks noChangeAspect="1"/>
            </wp:cNvGraphicFramePr>
            <a:graphic>
              <a:graphicData uri="http://schemas.openxmlformats.org/drawingml/2006/picture">
                <pic:pic>
                  <pic:nvPicPr>
                    <pic:cNvPr id="1058" name="image15.png"/>
                    <pic:cNvPicPr/>
                  </pic:nvPicPr>
                  <pic:blipFill>
                    <a:blip r:embed="rId20" cstate="print"/>
                    <a:stretch>
                      <a:fillRect/>
                    </a:stretch>
                  </pic:blipFill>
                  <pic:spPr>
                    <a:xfrm>
                      <a:off x="0" y="0"/>
                      <a:ext cx="135953" cy="155575"/>
                    </a:xfrm>
                    <a:prstGeom prst="rect">
                      <a:avLst/>
                    </a:prstGeom>
                  </pic:spPr>
                </pic:pic>
              </a:graphicData>
            </a:graphic>
          </wp:anchor>
        </w:drawing>
      </w:r>
      <w:r>
        <w:rPr/>
        <w:t>Cash and cash equivalents at beginning</w:t>
      </w:r>
      <w:r>
        <w:rPr>
          <w:spacing w:val="-27"/>
        </w:rPr>
        <w:t> </w:t>
      </w:r>
      <w:r>
        <w:rPr/>
        <w:t>of</w:t>
      </w:r>
      <w:r>
        <w:rPr>
          <w:spacing w:val="-5"/>
        </w:rPr>
        <w:t> </w:t>
      </w:r>
      <w:r>
        <w:rPr/>
        <w:t>year</w:t>
        <w:tab/>
      </w:r>
      <w:r>
        <w:rPr>
          <w:b/>
        </w:rPr>
        <w:t>471,976</w:t>
        <w:tab/>
      </w:r>
      <w:r>
        <w:rPr/>
        <w:t>436,501</w:t>
      </w:r>
    </w:p>
    <w:p>
      <w:pPr>
        <w:pStyle w:val="Heading8"/>
        <w:tabs>
          <w:tab w:pos="8420" w:val="left" w:leader="none"/>
          <w:tab w:pos="9310" w:val="left" w:leader="none"/>
          <w:tab w:pos="10607" w:val="left" w:leader="none"/>
        </w:tabs>
        <w:ind w:left="1472"/>
        <w:rPr>
          <w:b w:val="0"/>
        </w:rPr>
      </w:pPr>
      <w:r>
        <w:rPr/>
        <w:t>Cash and cash equivalents at end</w:t>
      </w:r>
      <w:r>
        <w:rPr>
          <w:spacing w:val="-13"/>
        </w:rPr>
        <w:t> </w:t>
      </w:r>
      <w:r>
        <w:rPr/>
        <w:t>of</w:t>
      </w:r>
      <w:r>
        <w:rPr>
          <w:spacing w:val="-3"/>
        </w:rPr>
        <w:t> </w:t>
      </w:r>
      <w:r>
        <w:rPr/>
        <w:t>year</w:t>
        <w:tab/>
      </w:r>
      <w:r>
        <w:rPr>
          <w:b w:val="0"/>
          <w:position w:val="-5"/>
        </w:rPr>
        <w:t>7</w:t>
        <w:tab/>
      </w:r>
      <w:r>
        <w:rPr>
          <w:position w:val="-8"/>
        </w:rPr>
        <w:t>575,222</w:t>
        <w:tab/>
      </w:r>
      <w:r>
        <w:rPr>
          <w:b w:val="0"/>
          <w:position w:val="-8"/>
        </w:rPr>
        <w:t>471,976</w:t>
      </w:r>
    </w:p>
    <w:p>
      <w:pPr>
        <w:pStyle w:val="BodyText"/>
        <w:spacing w:line="30" w:lineRule="exact"/>
        <w:ind w:left="8749"/>
        <w:rPr>
          <w:sz w:val="3"/>
        </w:rPr>
      </w:pPr>
      <w:r>
        <w:rPr>
          <w:position w:val="0"/>
          <w:sz w:val="3"/>
        </w:rPr>
        <w:pict>
          <v:group style="width:129.85pt;height:1.55pt;mso-position-horizontal-relative:char;mso-position-vertical-relative:line" coordorigin="0,0" coordsize="2597,31">
            <v:line style="position:absolute" from="1,1" to="1298,1" stroked="true" strokeweight=".06pt" strokecolor="#000000"/>
            <v:line style="position:absolute" from="1,2" to="1298,2" stroked="true" strokeweight=".06pt" strokecolor="#000000"/>
            <v:line style="position:absolute" from="1,3" to="1298,3" stroked="true" strokeweight=".06pt" strokecolor="#000000"/>
            <v:line style="position:absolute" from="1,5" to="1298,5" stroked="true" strokeweight=".06pt" strokecolor="#000000"/>
            <v:line style="position:absolute" from="1,6" to="1298,6" stroked="true" strokeweight=".06pt" strokecolor="#000000"/>
            <v:line style="position:absolute" from="1,7" to="1298,7" stroked="true" strokeweight=".06pt" strokecolor="#000000"/>
            <v:line style="position:absolute" from="1,8" to="1298,8" stroked="true" strokeweight=".06pt" strokecolor="#000000"/>
            <v:line style="position:absolute" from="1,9" to="1298,9" stroked="true" strokeweight=".06pt" strokecolor="#000000"/>
            <v:line style="position:absolute" from="1,11" to="1298,11" stroked="true" strokeweight=".06pt" strokecolor="#000000"/>
            <v:line style="position:absolute" from="1,12" to="1298,12" stroked="true" strokeweight=".06pt" strokecolor="#000000"/>
            <v:line style="position:absolute" from="1,13" to="1298,13" stroked="true" strokeweight=".06pt" strokecolor="#000000"/>
            <v:line style="position:absolute" from="1,14" to="1298,14" stroked="true" strokeweight=".06pt" strokecolor="#000000"/>
            <v:line style="position:absolute" from="1,15" to="1298,15" stroked="true" strokeweight=".06pt" strokecolor="#000000"/>
            <v:line style="position:absolute" from="1,17" to="1298,17" stroked="true" strokeweight=".06pt" strokecolor="#000000"/>
            <v:line style="position:absolute" from="1,18" to="1298,18" stroked="true" strokeweight=".06pt" strokecolor="#000000"/>
            <v:line style="position:absolute" from="1,19" to="1298,19" stroked="true" strokeweight=".06pt" strokecolor="#000000"/>
            <v:line style="position:absolute" from="1,20" to="1298,20" stroked="true" strokeweight=".06pt" strokecolor="#000000"/>
            <v:line style="position:absolute" from="1,21" to="1298,21" stroked="true" strokeweight=".06pt" strokecolor="#000000"/>
            <v:line style="position:absolute" from="1,23" to="1298,23" stroked="true" strokeweight=".06pt" strokecolor="#000000"/>
            <v:line style="position:absolute" from="1,24" to="1298,24" stroked="true" strokeweight=".06pt" strokecolor="#000000"/>
            <v:line style="position:absolute" from="1,25" to="1298,25" stroked="true" strokeweight=".06pt" strokecolor="#000000"/>
            <v:line style="position:absolute" from="1,26" to="1298,26" stroked="true" strokeweight=".06pt" strokecolor="#000000"/>
            <v:line style="position:absolute" from="1,27" to="1298,27" stroked="true" strokeweight=".06pt" strokecolor="#000000"/>
            <v:line style="position:absolute" from="1,29" to="1298,29" stroked="true" strokeweight=".06pt" strokecolor="#000000"/>
            <v:line style="position:absolute" from="1,30" to="1298,30" stroked="true" strokeweight=".06pt" strokecolor="#000000"/>
            <v:line style="position:absolute" from="1298,1" to="2595,1" stroked="true" strokeweight=".06pt" strokecolor="#000000"/>
            <v:line style="position:absolute" from="1298,2" to="2595,2" stroked="true" strokeweight=".06pt" strokecolor="#000000"/>
            <v:line style="position:absolute" from="1298,3" to="2595,3" stroked="true" strokeweight=".06pt" strokecolor="#000000"/>
            <v:line style="position:absolute" from="1298,5" to="2595,5" stroked="true" strokeweight=".06pt" strokecolor="#000000"/>
            <v:line style="position:absolute" from="1298,6" to="2595,6" stroked="true" strokeweight=".06pt" strokecolor="#000000"/>
            <v:line style="position:absolute" from="1298,7" to="2595,7" stroked="true" strokeweight=".06pt" strokecolor="#000000"/>
            <v:line style="position:absolute" from="1298,8" to="2595,8" stroked="true" strokeweight=".06pt" strokecolor="#000000"/>
            <v:line style="position:absolute" from="1298,9" to="2595,9" stroked="true" strokeweight=".06pt" strokecolor="#000000"/>
            <v:line style="position:absolute" from="1298,11" to="2595,11" stroked="true" strokeweight=".06pt" strokecolor="#000000"/>
            <v:line style="position:absolute" from="1298,12" to="2595,12" stroked="true" strokeweight=".06pt" strokecolor="#000000"/>
            <v:line style="position:absolute" from="1298,13" to="2595,13" stroked="true" strokeweight=".06pt" strokecolor="#000000"/>
            <v:line style="position:absolute" from="1298,14" to="2595,14" stroked="true" strokeweight=".06pt" strokecolor="#000000"/>
            <v:line style="position:absolute" from="1298,15" to="2595,15" stroked="true" strokeweight=".06pt" strokecolor="#000000"/>
            <v:line style="position:absolute" from="1298,17" to="2595,17" stroked="true" strokeweight=".06pt" strokecolor="#000000"/>
            <v:line style="position:absolute" from="1298,18" to="2595,18" stroked="true" strokeweight=".06pt" strokecolor="#000000"/>
            <v:line style="position:absolute" from="1298,19" to="2595,19" stroked="true" strokeweight=".06pt" strokecolor="#000000"/>
            <v:line style="position:absolute" from="1298,20" to="2595,20" stroked="true" strokeweight=".06pt" strokecolor="#000000"/>
            <v:line style="position:absolute" from="1298,21" to="2595,21" stroked="true" strokeweight=".06pt" strokecolor="#000000"/>
            <v:line style="position:absolute" from="1298,23" to="2595,23" stroked="true" strokeweight=".06pt" strokecolor="#000000"/>
            <v:line style="position:absolute" from="1298,24" to="2595,24" stroked="true" strokeweight=".06pt" strokecolor="#000000"/>
            <v:line style="position:absolute" from="1298,25" to="2595,25" stroked="true" strokeweight=".06pt" strokecolor="#000000"/>
            <v:line style="position:absolute" from="1298,26" to="2595,26" stroked="true" strokeweight=".06pt" strokecolor="#000000"/>
            <v:line style="position:absolute" from="1298,27" to="2595,27" stroked="true" strokeweight=".06pt" strokecolor="#000000"/>
            <v:line style="position:absolute" from="1298,29" to="2595,29" stroked="true" strokeweight=".06pt" strokecolor="#000000"/>
            <v:line style="position:absolute" from="1298,30" to="2595,30" stroked="true" strokeweight=".06pt" strokecolor="#000000"/>
          </v:group>
        </w:pict>
      </w:r>
      <w:r>
        <w:rPr>
          <w:position w:val="0"/>
          <w:sz w:val="3"/>
        </w:rPr>
      </w:r>
    </w:p>
    <w:p>
      <w:pPr>
        <w:spacing w:after="0" w:line="30" w:lineRule="exact"/>
        <w:rPr>
          <w:sz w:val="3"/>
        </w:rPr>
        <w:sectPr>
          <w:type w:val="continuous"/>
          <w:pgSz w:w="12750" w:h="17680"/>
          <w:pgMar w:top="1660" w:bottom="0" w:left="0" w:right="0"/>
        </w:sectPr>
      </w:pPr>
    </w:p>
    <w:p>
      <w:pPr>
        <w:pStyle w:val="BodyText"/>
        <w:spacing w:before="2"/>
        <w:rPr>
          <w:sz w:val="24"/>
        </w:rPr>
      </w:pPr>
    </w:p>
    <w:p>
      <w:pPr>
        <w:pStyle w:val="Heading4"/>
      </w:pPr>
      <w:r>
        <w:rPr/>
        <w:t>Notes to the financial statements</w:t>
      </w:r>
    </w:p>
    <w:p>
      <w:pPr>
        <w:pStyle w:val="Heading7"/>
      </w:pPr>
      <w:bookmarkStart w:name="Notes to the financial statements" w:id="443"/>
      <w:bookmarkEnd w:id="443"/>
      <w:r>
        <w:rPr>
          <w:b w:val="0"/>
        </w:rPr>
      </w:r>
      <w:bookmarkStart w:name="1 Summary of Significant Accounting Poli" w:id="444"/>
      <w:bookmarkEnd w:id="444"/>
      <w:r>
        <w:rPr>
          <w:b w:val="0"/>
        </w:rPr>
      </w:r>
      <w:r>
        <w:rPr/>
        <w:t>For the Year Ended 31 December 2016</w:t>
      </w:r>
    </w:p>
    <w:p>
      <w:pPr>
        <w:pStyle w:val="BodyText"/>
        <w:rPr>
          <w:b/>
          <w:sz w:val="22"/>
        </w:rPr>
      </w:pPr>
    </w:p>
    <w:p>
      <w:pPr>
        <w:pStyle w:val="BodyText"/>
        <w:rPr>
          <w:b/>
          <w:sz w:val="22"/>
        </w:rPr>
      </w:pPr>
    </w:p>
    <w:p>
      <w:pPr>
        <w:pStyle w:val="Heading8"/>
        <w:tabs>
          <w:tab w:pos="1823" w:val="left" w:leader="none"/>
        </w:tabs>
        <w:spacing w:before="160"/>
        <w:ind w:left="1429"/>
      </w:pPr>
      <w:bookmarkStart w:name="(a) Basis of Preparation" w:id="445"/>
      <w:bookmarkEnd w:id="445"/>
      <w:r>
        <w:rPr>
          <w:b w:val="0"/>
        </w:rPr>
      </w:r>
      <w:r>
        <w:rPr/>
        <w:t>1</w:t>
        <w:tab/>
        <w:t>Summary of Significant Accounting</w:t>
      </w:r>
      <w:r>
        <w:rPr>
          <w:spacing w:val="-6"/>
        </w:rPr>
        <w:t> </w:t>
      </w:r>
      <w:r>
        <w:rPr/>
        <w:t>Policies</w:t>
      </w:r>
    </w:p>
    <w:p>
      <w:pPr>
        <w:pStyle w:val="BodyText"/>
        <w:spacing w:before="11"/>
        <w:rPr>
          <w:b/>
          <w:sz w:val="24"/>
        </w:rPr>
      </w:pPr>
    </w:p>
    <w:p>
      <w:pPr>
        <w:pStyle w:val="ListParagraph"/>
        <w:numPr>
          <w:ilvl w:val="0"/>
          <w:numId w:val="83"/>
        </w:numPr>
        <w:tabs>
          <w:tab w:pos="2391" w:val="left" w:leader="none"/>
        </w:tabs>
        <w:spacing w:line="240" w:lineRule="auto" w:before="0" w:after="0"/>
        <w:ind w:left="2390" w:right="0" w:hanging="566"/>
        <w:jc w:val="left"/>
        <w:rPr>
          <w:b/>
          <w:sz w:val="18"/>
        </w:rPr>
      </w:pPr>
      <w:r>
        <w:rPr>
          <w:b/>
          <w:sz w:val="18"/>
        </w:rPr>
        <w:t>Basis of</w:t>
      </w:r>
      <w:r>
        <w:rPr>
          <w:b/>
          <w:spacing w:val="-18"/>
          <w:sz w:val="18"/>
        </w:rPr>
        <w:t> </w:t>
      </w:r>
      <w:r>
        <w:rPr>
          <w:b/>
          <w:sz w:val="18"/>
        </w:rPr>
        <w:t>Preparation</w:t>
      </w:r>
    </w:p>
    <w:p>
      <w:pPr>
        <w:pStyle w:val="BodyText"/>
        <w:spacing w:before="11"/>
        <w:rPr>
          <w:b/>
          <w:sz w:val="24"/>
        </w:rPr>
      </w:pPr>
    </w:p>
    <w:p>
      <w:pPr>
        <w:pStyle w:val="BodyText"/>
        <w:ind w:left="1824" w:right="1375"/>
      </w:pPr>
      <w:r>
        <w:rPr/>
        <w:t>These financial statements are general purpose financial statements that have been prepared in accordance with Australian Accounting Standards (including Australian Accounting Interpretations) adopted by the AASB, the requirements of the </w:t>
      </w:r>
      <w:r>
        <w:rPr>
          <w:i/>
        </w:rPr>
        <w:t>Public Finance &amp; Audit Act 1983</w:t>
      </w:r>
      <w:r>
        <w:rPr/>
        <w:t>, </w:t>
      </w:r>
      <w:r>
        <w:rPr>
          <w:i/>
        </w:rPr>
        <w:t>Public Finance and Audit Regulation 2015 </w:t>
      </w:r>
      <w:r>
        <w:rPr/>
        <w:t>and other authoritative pronouncements of the Australian Accounting Standards Board (AASB).</w:t>
      </w:r>
    </w:p>
    <w:p>
      <w:pPr>
        <w:pStyle w:val="BodyText"/>
        <w:spacing w:before="11"/>
        <w:rPr>
          <w:sz w:val="24"/>
        </w:rPr>
      </w:pPr>
    </w:p>
    <w:p>
      <w:pPr>
        <w:pStyle w:val="BodyText"/>
        <w:ind w:left="1823" w:right="1375"/>
      </w:pPr>
      <w:r>
        <w:rPr/>
        <w:t>These financial statements of the Whitlam Institute Within Western Sydney University Trust comply with Australian Accounting Standards some of which contains requirements specific to not for profit entities that are inconsistent with International Financial Reporting Standards (IFRS) requirements.</w:t>
      </w:r>
    </w:p>
    <w:p>
      <w:pPr>
        <w:pStyle w:val="BodyText"/>
        <w:spacing w:before="11"/>
        <w:rPr>
          <w:sz w:val="24"/>
        </w:rPr>
      </w:pPr>
    </w:p>
    <w:p>
      <w:pPr>
        <w:pStyle w:val="BodyText"/>
        <w:ind w:left="1823" w:right="1407"/>
      </w:pPr>
      <w:r>
        <w:rPr/>
        <w:t>Material accounting policies adopted in the preparation of these financial statements are presented below and have been consistently applied unless otherwise stated.</w:t>
      </w:r>
    </w:p>
    <w:p>
      <w:pPr>
        <w:pStyle w:val="BodyText"/>
        <w:spacing w:before="11"/>
        <w:rPr>
          <w:sz w:val="24"/>
        </w:rPr>
      </w:pPr>
    </w:p>
    <w:p>
      <w:pPr>
        <w:pStyle w:val="BodyText"/>
        <w:ind w:left="1823" w:right="1375"/>
      </w:pPr>
      <w:bookmarkStart w:name="(b) Revenue recognition" w:id="446"/>
      <w:bookmarkEnd w:id="446"/>
      <w:r>
        <w:rPr/>
      </w:r>
      <w:r>
        <w:rPr/>
        <w:t>The financial statements have been prepared on an accruals basis and are based on historical costs, modified, where applicable, by the measurement at fair value of selected non-current assets, financial assets and financial liabilities.</w:t>
      </w:r>
    </w:p>
    <w:p>
      <w:pPr>
        <w:pStyle w:val="BodyText"/>
        <w:spacing w:before="11"/>
        <w:rPr>
          <w:sz w:val="24"/>
        </w:rPr>
      </w:pPr>
    </w:p>
    <w:p>
      <w:pPr>
        <w:pStyle w:val="Heading8"/>
        <w:numPr>
          <w:ilvl w:val="0"/>
          <w:numId w:val="83"/>
        </w:numPr>
        <w:tabs>
          <w:tab w:pos="2391" w:val="left" w:leader="none"/>
        </w:tabs>
        <w:spacing w:line="240" w:lineRule="auto" w:before="0" w:after="0"/>
        <w:ind w:left="2390" w:right="0" w:hanging="566"/>
        <w:jc w:val="left"/>
      </w:pPr>
      <w:r>
        <w:rPr/>
        <w:t>Revenue</w:t>
      </w:r>
      <w:r>
        <w:rPr>
          <w:spacing w:val="-7"/>
        </w:rPr>
        <w:t> </w:t>
      </w:r>
      <w:r>
        <w:rPr/>
        <w:t>recognition</w:t>
      </w:r>
    </w:p>
    <w:p>
      <w:pPr>
        <w:pStyle w:val="BodyText"/>
        <w:spacing w:before="11"/>
        <w:rPr>
          <w:b/>
          <w:sz w:val="24"/>
        </w:rPr>
      </w:pPr>
    </w:p>
    <w:p>
      <w:pPr>
        <w:pStyle w:val="BodyText"/>
        <w:ind w:left="1824" w:right="1390"/>
      </w:pPr>
      <w:r>
        <w:rPr/>
        <w:drawing>
          <wp:anchor distT="0" distB="0" distL="0" distR="0" allowOverlap="1" layoutInCell="1" locked="0" behindDoc="0" simplePos="0" relativeHeight="15520">
            <wp:simplePos x="0" y="0"/>
            <wp:positionH relativeFrom="page">
              <wp:posOffset>-1587</wp:posOffset>
            </wp:positionH>
            <wp:positionV relativeFrom="paragraph">
              <wp:posOffset>173658</wp:posOffset>
            </wp:positionV>
            <wp:extent cx="136525" cy="155575"/>
            <wp:effectExtent l="0" t="0" r="0" b="0"/>
            <wp:wrapNone/>
            <wp:docPr id="1061" name="image13.png" descr=""/>
            <wp:cNvGraphicFramePr>
              <a:graphicFrameLocks noChangeAspect="1"/>
            </wp:cNvGraphicFramePr>
            <a:graphic>
              <a:graphicData uri="http://schemas.openxmlformats.org/drawingml/2006/picture">
                <pic:pic>
                  <pic:nvPicPr>
                    <pic:cNvPr id="1062" name="image13.png"/>
                    <pic:cNvPicPr/>
                  </pic:nvPicPr>
                  <pic:blipFill>
                    <a:blip r:embed="rId18" cstate="print"/>
                    <a:stretch>
                      <a:fillRect/>
                    </a:stretch>
                  </pic:blipFill>
                  <pic:spPr>
                    <a:xfrm>
                      <a:off x="0" y="0"/>
                      <a:ext cx="136525" cy="155575"/>
                    </a:xfrm>
                    <a:prstGeom prst="rect">
                      <a:avLst/>
                    </a:prstGeom>
                  </pic:spPr>
                </pic:pic>
              </a:graphicData>
            </a:graphic>
          </wp:anchor>
        </w:drawing>
      </w:r>
      <w:r>
        <w:rPr/>
        <w:drawing>
          <wp:anchor distT="0" distB="0" distL="0" distR="0" allowOverlap="1" layoutInCell="1" locked="0" behindDoc="0" simplePos="0" relativeHeight="15544">
            <wp:simplePos x="0" y="0"/>
            <wp:positionH relativeFrom="page">
              <wp:posOffset>7958429</wp:posOffset>
            </wp:positionH>
            <wp:positionV relativeFrom="paragraph">
              <wp:posOffset>173658</wp:posOffset>
            </wp:positionV>
            <wp:extent cx="135953" cy="155575"/>
            <wp:effectExtent l="0" t="0" r="0" b="0"/>
            <wp:wrapNone/>
            <wp:docPr id="1063" name="image15.png" descr=""/>
            <wp:cNvGraphicFramePr>
              <a:graphicFrameLocks noChangeAspect="1"/>
            </wp:cNvGraphicFramePr>
            <a:graphic>
              <a:graphicData uri="http://schemas.openxmlformats.org/drawingml/2006/picture">
                <pic:pic>
                  <pic:nvPicPr>
                    <pic:cNvPr id="1064" name="image15.png"/>
                    <pic:cNvPicPr/>
                  </pic:nvPicPr>
                  <pic:blipFill>
                    <a:blip r:embed="rId20" cstate="print"/>
                    <a:stretch>
                      <a:fillRect/>
                    </a:stretch>
                  </pic:blipFill>
                  <pic:spPr>
                    <a:xfrm>
                      <a:off x="0" y="0"/>
                      <a:ext cx="135953" cy="155575"/>
                    </a:xfrm>
                    <a:prstGeom prst="rect">
                      <a:avLst/>
                    </a:prstGeom>
                  </pic:spPr>
                </pic:pic>
              </a:graphicData>
            </a:graphic>
          </wp:anchor>
        </w:drawing>
      </w:r>
      <w:r>
        <w:rPr/>
        <w:t>The Trust recognises revenue when the amount of revenue can be reliably measured, it is probable that future economic benefits will flow to the entity and specific criteria have been met for each of the Trust's activities as described below. The Trust bases its estimates on historical results, taking into consideration the type of customer, the type of transaction and the specifics of each arrangement.</w:t>
      </w:r>
    </w:p>
    <w:p>
      <w:pPr>
        <w:pStyle w:val="BodyText"/>
        <w:spacing w:before="11"/>
        <w:rPr>
          <w:sz w:val="24"/>
        </w:rPr>
      </w:pPr>
    </w:p>
    <w:p>
      <w:pPr>
        <w:pStyle w:val="BodyText"/>
        <w:ind w:left="1824"/>
      </w:pPr>
      <w:r>
        <w:rPr/>
        <w:t>Revenue is recognised for the major business activities as follows:</w:t>
      </w:r>
    </w:p>
    <w:p>
      <w:pPr>
        <w:pStyle w:val="BodyText"/>
        <w:spacing w:before="11"/>
        <w:rPr>
          <w:sz w:val="24"/>
        </w:rPr>
      </w:pPr>
    </w:p>
    <w:p>
      <w:pPr>
        <w:pStyle w:val="ListParagraph"/>
        <w:numPr>
          <w:ilvl w:val="0"/>
          <w:numId w:val="84"/>
        </w:numPr>
        <w:tabs>
          <w:tab w:pos="2108" w:val="left" w:leader="none"/>
        </w:tabs>
        <w:spacing w:line="240" w:lineRule="auto" w:before="0" w:after="0"/>
        <w:ind w:left="2107" w:right="0" w:hanging="283"/>
        <w:jc w:val="left"/>
        <w:rPr>
          <w:sz w:val="18"/>
        </w:rPr>
      </w:pPr>
      <w:r>
        <w:rPr>
          <w:sz w:val="18"/>
        </w:rPr>
        <w:t>Donations, Scholarships and</w:t>
      </w:r>
      <w:r>
        <w:rPr>
          <w:spacing w:val="-32"/>
          <w:sz w:val="18"/>
        </w:rPr>
        <w:t> </w:t>
      </w:r>
      <w:r>
        <w:rPr>
          <w:sz w:val="18"/>
        </w:rPr>
        <w:t>Prizes</w:t>
      </w:r>
    </w:p>
    <w:p>
      <w:pPr>
        <w:pStyle w:val="BodyText"/>
        <w:spacing w:before="11"/>
        <w:rPr>
          <w:sz w:val="24"/>
        </w:rPr>
      </w:pPr>
    </w:p>
    <w:p>
      <w:pPr>
        <w:pStyle w:val="BodyText"/>
        <w:ind w:left="1824"/>
      </w:pPr>
      <w:r>
        <w:rPr/>
        <w:t>Donations, scholarships and prizes are recognised when they are received.</w:t>
      </w:r>
    </w:p>
    <w:p>
      <w:pPr>
        <w:pStyle w:val="BodyText"/>
        <w:spacing w:before="11"/>
        <w:rPr>
          <w:sz w:val="24"/>
        </w:rPr>
      </w:pPr>
    </w:p>
    <w:p>
      <w:pPr>
        <w:pStyle w:val="BodyText"/>
        <w:ind w:left="1824" w:right="1375"/>
      </w:pPr>
      <w:r>
        <w:rPr/>
        <w:t>A sale is recorded when goods have been delivered to the customer, the customer has accepted the goods and collectability of the related receivables is probable.</w:t>
      </w:r>
    </w:p>
    <w:p>
      <w:pPr>
        <w:pStyle w:val="BodyText"/>
        <w:spacing w:before="11"/>
        <w:rPr>
          <w:sz w:val="24"/>
        </w:rPr>
      </w:pPr>
    </w:p>
    <w:p>
      <w:pPr>
        <w:pStyle w:val="ListParagraph"/>
        <w:numPr>
          <w:ilvl w:val="0"/>
          <w:numId w:val="84"/>
        </w:numPr>
        <w:tabs>
          <w:tab w:pos="2108" w:val="left" w:leader="none"/>
        </w:tabs>
        <w:spacing w:line="240" w:lineRule="auto" w:before="0" w:after="0"/>
        <w:ind w:left="2107" w:right="0" w:hanging="283"/>
        <w:jc w:val="left"/>
        <w:rPr>
          <w:sz w:val="18"/>
        </w:rPr>
      </w:pPr>
      <w:r>
        <w:rPr>
          <w:sz w:val="18"/>
        </w:rPr>
        <w:t>Rendering of</w:t>
      </w:r>
      <w:r>
        <w:rPr>
          <w:spacing w:val="-20"/>
          <w:sz w:val="18"/>
        </w:rPr>
        <w:t> </w:t>
      </w:r>
      <w:r>
        <w:rPr>
          <w:sz w:val="18"/>
        </w:rPr>
        <w:t>services</w:t>
      </w:r>
    </w:p>
    <w:p>
      <w:pPr>
        <w:pStyle w:val="BodyText"/>
        <w:spacing w:before="11"/>
        <w:rPr>
          <w:sz w:val="24"/>
        </w:rPr>
      </w:pPr>
    </w:p>
    <w:p>
      <w:pPr>
        <w:pStyle w:val="BodyText"/>
        <w:ind w:left="1824" w:right="1375"/>
      </w:pPr>
      <w:r>
        <w:rPr/>
        <w:t>Revenue is recognised when the service is provided or by reference to the stage of completion (based on labour hours incurred to date).</w:t>
      </w:r>
    </w:p>
    <w:p>
      <w:pPr>
        <w:pStyle w:val="BodyText"/>
        <w:spacing w:before="11"/>
        <w:rPr>
          <w:sz w:val="24"/>
        </w:rPr>
      </w:pPr>
    </w:p>
    <w:p>
      <w:pPr>
        <w:pStyle w:val="ListParagraph"/>
        <w:numPr>
          <w:ilvl w:val="0"/>
          <w:numId w:val="84"/>
        </w:numPr>
        <w:tabs>
          <w:tab w:pos="2158" w:val="left" w:leader="none"/>
        </w:tabs>
        <w:spacing w:line="240" w:lineRule="auto" w:before="0" w:after="0"/>
        <w:ind w:left="2157" w:right="0" w:hanging="333"/>
        <w:jc w:val="left"/>
        <w:rPr>
          <w:sz w:val="18"/>
        </w:rPr>
      </w:pPr>
      <w:r>
        <w:rPr>
          <w:sz w:val="18"/>
        </w:rPr>
        <w:t>Event</w:t>
      </w:r>
      <w:r>
        <w:rPr>
          <w:spacing w:val="-12"/>
          <w:sz w:val="18"/>
        </w:rPr>
        <w:t> </w:t>
      </w:r>
      <w:r>
        <w:rPr>
          <w:sz w:val="18"/>
        </w:rPr>
        <w:t>income</w:t>
      </w:r>
    </w:p>
    <w:p>
      <w:pPr>
        <w:pStyle w:val="BodyText"/>
        <w:spacing w:before="11"/>
        <w:rPr>
          <w:sz w:val="24"/>
        </w:rPr>
      </w:pPr>
    </w:p>
    <w:p>
      <w:pPr>
        <w:pStyle w:val="BodyText"/>
        <w:ind w:left="1824"/>
      </w:pPr>
      <w:r>
        <w:rPr/>
        <w:t>Event income is only recognised when the economic benefits associated with the transaction flows to the entity.</w:t>
      </w:r>
    </w:p>
    <w:p>
      <w:pPr>
        <w:pStyle w:val="BodyText"/>
        <w:spacing w:before="11"/>
        <w:rPr>
          <w:sz w:val="24"/>
        </w:rPr>
      </w:pPr>
    </w:p>
    <w:p>
      <w:pPr>
        <w:pStyle w:val="ListParagraph"/>
        <w:numPr>
          <w:ilvl w:val="0"/>
          <w:numId w:val="84"/>
        </w:numPr>
        <w:tabs>
          <w:tab w:pos="2108" w:val="left" w:leader="none"/>
        </w:tabs>
        <w:spacing w:line="240" w:lineRule="auto" w:before="0" w:after="0"/>
        <w:ind w:left="2107" w:right="0" w:hanging="283"/>
        <w:jc w:val="left"/>
        <w:rPr>
          <w:sz w:val="18"/>
        </w:rPr>
      </w:pPr>
      <w:r>
        <w:rPr>
          <w:sz w:val="18"/>
        </w:rPr>
        <w:t>Investment</w:t>
      </w:r>
      <w:r>
        <w:rPr>
          <w:spacing w:val="-17"/>
          <w:sz w:val="18"/>
        </w:rPr>
        <w:t> </w:t>
      </w:r>
      <w:r>
        <w:rPr>
          <w:sz w:val="18"/>
        </w:rPr>
        <w:t>income</w:t>
      </w:r>
    </w:p>
    <w:p>
      <w:pPr>
        <w:pStyle w:val="BodyText"/>
        <w:spacing w:before="11"/>
        <w:rPr>
          <w:sz w:val="24"/>
        </w:rPr>
      </w:pPr>
    </w:p>
    <w:p>
      <w:pPr>
        <w:pStyle w:val="BodyText"/>
        <w:spacing w:line="573" w:lineRule="auto"/>
        <w:ind w:left="1824" w:right="4222"/>
      </w:pPr>
      <w:r>
        <w:rPr/>
        <w:t>Investment income is recognised as it accrues using the effective interest method. All other material revenue is accounted for on an accrual basis.</w:t>
      </w:r>
    </w:p>
    <w:p>
      <w:pPr>
        <w:spacing w:after="0" w:line="573" w:lineRule="auto"/>
        <w:sectPr>
          <w:footerReference w:type="default" r:id="rId143"/>
          <w:pgSz w:w="12750" w:h="17680"/>
          <w:pgMar w:footer="907" w:header="0" w:top="1880" w:bottom="1100" w:left="0" w:right="0"/>
          <w:pgNumType w:start="220"/>
        </w:sectPr>
      </w:pPr>
    </w:p>
    <w:p>
      <w:pPr>
        <w:pStyle w:val="BodyText"/>
        <w:spacing w:before="2"/>
        <w:rPr>
          <w:sz w:val="24"/>
        </w:rPr>
      </w:pPr>
    </w:p>
    <w:p>
      <w:pPr>
        <w:pStyle w:val="Heading4"/>
      </w:pPr>
      <w:r>
        <w:rPr/>
        <w:t>Notes to the financial statements</w:t>
      </w:r>
    </w:p>
    <w:p>
      <w:pPr>
        <w:pStyle w:val="Heading7"/>
      </w:pPr>
      <w:r>
        <w:rPr/>
        <w:t>For the Year Ended 31 December 2016</w:t>
      </w:r>
    </w:p>
    <w:p>
      <w:pPr>
        <w:pStyle w:val="BodyText"/>
        <w:rPr>
          <w:b/>
          <w:sz w:val="22"/>
        </w:rPr>
      </w:pPr>
    </w:p>
    <w:p>
      <w:pPr>
        <w:pStyle w:val="BodyText"/>
        <w:rPr>
          <w:b/>
          <w:sz w:val="22"/>
        </w:rPr>
      </w:pPr>
    </w:p>
    <w:p>
      <w:pPr>
        <w:pStyle w:val="Heading8"/>
        <w:tabs>
          <w:tab w:pos="1823" w:val="left" w:leader="none"/>
        </w:tabs>
        <w:spacing w:before="160"/>
        <w:ind w:left="1429"/>
      </w:pPr>
      <w:bookmarkStart w:name="(c) Cash and cash equivalents" w:id="447"/>
      <w:bookmarkEnd w:id="447"/>
      <w:r>
        <w:rPr>
          <w:b w:val="0"/>
        </w:rPr>
      </w:r>
      <w:r>
        <w:rPr/>
        <w:t>1</w:t>
        <w:tab/>
        <w:t>Summary of Significant Accounting Policies</w:t>
      </w:r>
      <w:r>
        <w:rPr>
          <w:spacing w:val="-6"/>
        </w:rPr>
        <w:t> </w:t>
      </w:r>
      <w:r>
        <w:rPr/>
        <w:t>(continued)</w:t>
      </w:r>
    </w:p>
    <w:p>
      <w:pPr>
        <w:pStyle w:val="BodyText"/>
        <w:spacing w:before="11"/>
        <w:rPr>
          <w:b/>
          <w:sz w:val="24"/>
        </w:rPr>
      </w:pPr>
    </w:p>
    <w:p>
      <w:pPr>
        <w:pStyle w:val="ListParagraph"/>
        <w:numPr>
          <w:ilvl w:val="0"/>
          <w:numId w:val="83"/>
        </w:numPr>
        <w:tabs>
          <w:tab w:pos="2391" w:val="left" w:leader="none"/>
        </w:tabs>
        <w:spacing w:line="240" w:lineRule="auto" w:before="0" w:after="0"/>
        <w:ind w:left="2390" w:right="0" w:hanging="566"/>
        <w:jc w:val="left"/>
        <w:rPr>
          <w:b/>
          <w:sz w:val="18"/>
        </w:rPr>
      </w:pPr>
      <w:r>
        <w:rPr>
          <w:b/>
          <w:sz w:val="18"/>
        </w:rPr>
        <w:t>Cash and cash</w:t>
      </w:r>
      <w:r>
        <w:rPr>
          <w:b/>
          <w:spacing w:val="-5"/>
          <w:sz w:val="18"/>
        </w:rPr>
        <w:t> </w:t>
      </w:r>
      <w:r>
        <w:rPr>
          <w:b/>
          <w:sz w:val="18"/>
        </w:rPr>
        <w:t>equivalents</w:t>
      </w:r>
    </w:p>
    <w:p>
      <w:pPr>
        <w:pStyle w:val="BodyText"/>
        <w:spacing w:before="11"/>
        <w:rPr>
          <w:b/>
          <w:sz w:val="24"/>
        </w:rPr>
      </w:pPr>
    </w:p>
    <w:p>
      <w:pPr>
        <w:pStyle w:val="BodyText"/>
        <w:ind w:left="1823" w:right="1372"/>
      </w:pPr>
      <w:bookmarkStart w:name="(d) Income tax exemption" w:id="448"/>
      <w:bookmarkEnd w:id="448"/>
      <w:r>
        <w:rPr/>
      </w:r>
      <w:r>
        <w:rPr/>
        <w:t>Cash and cash equivalents includes cash on hand, deposits held at call with financial institutions, other short term, highly liquid investments with original maturities of three months or less that are readily convertible to known amounts of cash and which are subject to an insignificant risk of changes in value.</w:t>
      </w:r>
    </w:p>
    <w:p>
      <w:pPr>
        <w:pStyle w:val="BodyText"/>
        <w:spacing w:before="11"/>
        <w:rPr>
          <w:sz w:val="24"/>
        </w:rPr>
      </w:pPr>
    </w:p>
    <w:p>
      <w:pPr>
        <w:pStyle w:val="Heading8"/>
        <w:numPr>
          <w:ilvl w:val="0"/>
          <w:numId w:val="83"/>
        </w:numPr>
        <w:tabs>
          <w:tab w:pos="2391" w:val="left" w:leader="none"/>
        </w:tabs>
        <w:spacing w:line="240" w:lineRule="auto" w:before="0" w:after="0"/>
        <w:ind w:left="2390" w:right="0" w:hanging="566"/>
        <w:jc w:val="left"/>
      </w:pPr>
      <w:r>
        <w:rPr/>
        <w:t>Income tax</w:t>
      </w:r>
      <w:r>
        <w:rPr>
          <w:spacing w:val="-18"/>
        </w:rPr>
        <w:t> </w:t>
      </w:r>
      <w:r>
        <w:rPr/>
        <w:t>exemption</w:t>
      </w:r>
    </w:p>
    <w:p>
      <w:pPr>
        <w:pStyle w:val="BodyText"/>
        <w:spacing w:before="11"/>
        <w:rPr>
          <w:b/>
          <w:sz w:val="24"/>
        </w:rPr>
      </w:pPr>
    </w:p>
    <w:p>
      <w:pPr>
        <w:pStyle w:val="BodyText"/>
        <w:ind w:left="1823" w:right="2073"/>
      </w:pPr>
      <w:bookmarkStart w:name="(e) Government grants" w:id="449"/>
      <w:bookmarkEnd w:id="449"/>
      <w:r>
        <w:rPr/>
      </w:r>
      <w:r>
        <w:rPr/>
        <w:t>The Trust is exempt from the payment of tax by virtue of section 50 B of the Income Tax Assessment Act 1997. Accordingly no provision for income tax liability or future income tax benefit has been included in the accounts.</w:t>
      </w:r>
    </w:p>
    <w:p>
      <w:pPr>
        <w:pStyle w:val="BodyText"/>
        <w:spacing w:before="11"/>
        <w:rPr>
          <w:sz w:val="24"/>
        </w:rPr>
      </w:pPr>
    </w:p>
    <w:p>
      <w:pPr>
        <w:pStyle w:val="Heading8"/>
        <w:numPr>
          <w:ilvl w:val="0"/>
          <w:numId w:val="83"/>
        </w:numPr>
        <w:tabs>
          <w:tab w:pos="2391" w:val="left" w:leader="none"/>
        </w:tabs>
        <w:spacing w:line="240" w:lineRule="auto" w:before="0" w:after="0"/>
        <w:ind w:left="2390" w:right="0" w:hanging="566"/>
        <w:jc w:val="left"/>
      </w:pPr>
      <w:r>
        <w:rPr/>
        <w:t>Government</w:t>
      </w:r>
      <w:r>
        <w:rPr>
          <w:spacing w:val="-18"/>
        </w:rPr>
        <w:t> </w:t>
      </w:r>
      <w:r>
        <w:rPr/>
        <w:t>grants</w:t>
      </w:r>
    </w:p>
    <w:p>
      <w:pPr>
        <w:pStyle w:val="BodyText"/>
        <w:spacing w:before="11"/>
        <w:rPr>
          <w:b/>
          <w:sz w:val="24"/>
        </w:rPr>
      </w:pPr>
    </w:p>
    <w:p>
      <w:pPr>
        <w:pStyle w:val="BodyText"/>
        <w:ind w:left="1823" w:right="1375"/>
      </w:pPr>
      <w:r>
        <w:rPr/>
        <w:t>Grants from the government are recognised at their fair value where there is a reasonable assurance that the grant will be received and the Trust will comply with all attached conditions.</w:t>
      </w:r>
    </w:p>
    <w:p>
      <w:pPr>
        <w:pStyle w:val="BodyText"/>
        <w:spacing w:before="11"/>
        <w:rPr>
          <w:sz w:val="24"/>
        </w:rPr>
      </w:pPr>
    </w:p>
    <w:p>
      <w:pPr>
        <w:pStyle w:val="BodyText"/>
        <w:ind w:left="1823" w:right="1375"/>
      </w:pPr>
      <w:bookmarkStart w:name="(f) Trade receivables" w:id="450"/>
      <w:bookmarkEnd w:id="450"/>
      <w:r>
        <w:rPr/>
      </w:r>
      <w:r>
        <w:rPr/>
        <w:t>Government grants relating to costs are deferred and recognised in the surplus or deficit over the period necessary to match them with the costs that they are intended to compensate.</w:t>
      </w:r>
    </w:p>
    <w:p>
      <w:pPr>
        <w:pStyle w:val="BodyText"/>
        <w:spacing w:before="11"/>
        <w:rPr>
          <w:sz w:val="24"/>
        </w:rPr>
      </w:pPr>
    </w:p>
    <w:p>
      <w:pPr>
        <w:pStyle w:val="Heading8"/>
        <w:numPr>
          <w:ilvl w:val="0"/>
          <w:numId w:val="83"/>
        </w:numPr>
        <w:tabs>
          <w:tab w:pos="2391" w:val="left" w:leader="none"/>
        </w:tabs>
        <w:spacing w:line="240" w:lineRule="auto" w:before="0" w:after="0"/>
        <w:ind w:left="2390" w:right="0" w:hanging="566"/>
        <w:jc w:val="left"/>
      </w:pPr>
      <w:r>
        <w:rPr/>
        <w:drawing>
          <wp:anchor distT="0" distB="0" distL="0" distR="0" allowOverlap="1" layoutInCell="1" locked="0" behindDoc="0" simplePos="0" relativeHeight="15568">
            <wp:simplePos x="0" y="0"/>
            <wp:positionH relativeFrom="page">
              <wp:posOffset>-1587</wp:posOffset>
            </wp:positionH>
            <wp:positionV relativeFrom="paragraph">
              <wp:posOffset>121842</wp:posOffset>
            </wp:positionV>
            <wp:extent cx="135159" cy="154019"/>
            <wp:effectExtent l="0" t="0" r="0" b="0"/>
            <wp:wrapNone/>
            <wp:docPr id="1065" name="image13.png" descr=""/>
            <wp:cNvGraphicFramePr>
              <a:graphicFrameLocks noChangeAspect="1"/>
            </wp:cNvGraphicFramePr>
            <a:graphic>
              <a:graphicData uri="http://schemas.openxmlformats.org/drawingml/2006/picture">
                <pic:pic>
                  <pic:nvPicPr>
                    <pic:cNvPr id="1066" name="image13.png"/>
                    <pic:cNvPicPr/>
                  </pic:nvPicPr>
                  <pic:blipFill>
                    <a:blip r:embed="rId18" cstate="print"/>
                    <a:stretch>
                      <a:fillRect/>
                    </a:stretch>
                  </pic:blipFill>
                  <pic:spPr>
                    <a:xfrm>
                      <a:off x="0" y="0"/>
                      <a:ext cx="135159" cy="154019"/>
                    </a:xfrm>
                    <a:prstGeom prst="rect">
                      <a:avLst/>
                    </a:prstGeom>
                  </pic:spPr>
                </pic:pic>
              </a:graphicData>
            </a:graphic>
          </wp:anchor>
        </w:drawing>
      </w:r>
      <w:r>
        <w:rPr/>
        <w:drawing>
          <wp:anchor distT="0" distB="0" distL="0" distR="0" allowOverlap="1" layoutInCell="1" locked="0" behindDoc="0" simplePos="0" relativeHeight="15592">
            <wp:simplePos x="0" y="0"/>
            <wp:positionH relativeFrom="page">
              <wp:posOffset>7958429</wp:posOffset>
            </wp:positionH>
            <wp:positionV relativeFrom="paragraph">
              <wp:posOffset>121842</wp:posOffset>
            </wp:positionV>
            <wp:extent cx="135953" cy="155575"/>
            <wp:effectExtent l="0" t="0" r="0" b="0"/>
            <wp:wrapNone/>
            <wp:docPr id="1067" name="image15.png" descr=""/>
            <wp:cNvGraphicFramePr>
              <a:graphicFrameLocks noChangeAspect="1"/>
            </wp:cNvGraphicFramePr>
            <a:graphic>
              <a:graphicData uri="http://schemas.openxmlformats.org/drawingml/2006/picture">
                <pic:pic>
                  <pic:nvPicPr>
                    <pic:cNvPr id="1068" name="image15.png"/>
                    <pic:cNvPicPr/>
                  </pic:nvPicPr>
                  <pic:blipFill>
                    <a:blip r:embed="rId20" cstate="print"/>
                    <a:stretch>
                      <a:fillRect/>
                    </a:stretch>
                  </pic:blipFill>
                  <pic:spPr>
                    <a:xfrm>
                      <a:off x="0" y="0"/>
                      <a:ext cx="135953" cy="155575"/>
                    </a:xfrm>
                    <a:prstGeom prst="rect">
                      <a:avLst/>
                    </a:prstGeom>
                  </pic:spPr>
                </pic:pic>
              </a:graphicData>
            </a:graphic>
          </wp:anchor>
        </w:drawing>
      </w:r>
      <w:r>
        <w:rPr/>
        <w:t>Trade</w:t>
      </w:r>
      <w:r>
        <w:rPr>
          <w:spacing w:val="-21"/>
        </w:rPr>
        <w:t> </w:t>
      </w:r>
      <w:r>
        <w:rPr/>
        <w:t>receivables</w:t>
      </w:r>
    </w:p>
    <w:p>
      <w:pPr>
        <w:pStyle w:val="BodyText"/>
        <w:spacing w:before="11"/>
        <w:rPr>
          <w:b/>
          <w:sz w:val="24"/>
        </w:rPr>
      </w:pPr>
    </w:p>
    <w:p>
      <w:pPr>
        <w:pStyle w:val="BodyText"/>
        <w:ind w:left="1823" w:right="1466"/>
        <w:jc w:val="both"/>
      </w:pPr>
      <w:r>
        <w:rPr/>
        <w:t>Trade</w:t>
      </w:r>
      <w:r>
        <w:rPr>
          <w:spacing w:val="-6"/>
        </w:rPr>
        <w:t> </w:t>
      </w:r>
      <w:r>
        <w:rPr/>
        <w:t>receivables</w:t>
      </w:r>
      <w:r>
        <w:rPr>
          <w:spacing w:val="-6"/>
        </w:rPr>
        <w:t> </w:t>
      </w:r>
      <w:r>
        <w:rPr/>
        <w:t>are</w:t>
      </w:r>
      <w:r>
        <w:rPr>
          <w:spacing w:val="-6"/>
        </w:rPr>
        <w:t> </w:t>
      </w:r>
      <w:r>
        <w:rPr/>
        <w:t>recognised</w:t>
      </w:r>
      <w:r>
        <w:rPr>
          <w:spacing w:val="-6"/>
        </w:rPr>
        <w:t> </w:t>
      </w:r>
      <w:r>
        <w:rPr/>
        <w:t>initially</w:t>
      </w:r>
      <w:r>
        <w:rPr>
          <w:spacing w:val="-6"/>
        </w:rPr>
        <w:t> </w:t>
      </w:r>
      <w:r>
        <w:rPr/>
        <w:t>at</w:t>
      </w:r>
      <w:r>
        <w:rPr>
          <w:spacing w:val="-6"/>
        </w:rPr>
        <w:t> </w:t>
      </w:r>
      <w:r>
        <w:rPr/>
        <w:t>fair</w:t>
      </w:r>
      <w:r>
        <w:rPr>
          <w:spacing w:val="-6"/>
        </w:rPr>
        <w:t> </w:t>
      </w:r>
      <w:r>
        <w:rPr/>
        <w:t>value</w:t>
      </w:r>
      <w:r>
        <w:rPr>
          <w:spacing w:val="-6"/>
        </w:rPr>
        <w:t> </w:t>
      </w:r>
      <w:r>
        <w:rPr/>
        <w:t>and</w:t>
      </w:r>
      <w:r>
        <w:rPr>
          <w:spacing w:val="-6"/>
        </w:rPr>
        <w:t> </w:t>
      </w:r>
      <w:r>
        <w:rPr/>
        <w:t>subsequently</w:t>
      </w:r>
      <w:r>
        <w:rPr>
          <w:spacing w:val="-6"/>
        </w:rPr>
        <w:t> </w:t>
      </w:r>
      <w:r>
        <w:rPr/>
        <w:t>measured</w:t>
      </w:r>
      <w:r>
        <w:rPr>
          <w:spacing w:val="-6"/>
        </w:rPr>
        <w:t> </w:t>
      </w:r>
      <w:r>
        <w:rPr/>
        <w:t>at</w:t>
      </w:r>
      <w:r>
        <w:rPr>
          <w:spacing w:val="-6"/>
        </w:rPr>
        <w:t> </w:t>
      </w:r>
      <w:r>
        <w:rPr/>
        <w:t>amortised</w:t>
      </w:r>
      <w:r>
        <w:rPr>
          <w:spacing w:val="-6"/>
        </w:rPr>
        <w:t> </w:t>
      </w:r>
      <w:r>
        <w:rPr/>
        <w:t>cost</w:t>
      </w:r>
      <w:r>
        <w:rPr>
          <w:spacing w:val="-6"/>
        </w:rPr>
        <w:t> </w:t>
      </w:r>
      <w:r>
        <w:rPr/>
        <w:t>using</w:t>
      </w:r>
      <w:r>
        <w:rPr>
          <w:spacing w:val="-6"/>
        </w:rPr>
        <w:t> </w:t>
      </w:r>
      <w:r>
        <w:rPr/>
        <w:t>the</w:t>
      </w:r>
      <w:r>
        <w:rPr>
          <w:spacing w:val="-6"/>
        </w:rPr>
        <w:t> </w:t>
      </w:r>
      <w:r>
        <w:rPr/>
        <w:t>effective interest method, less provision for impairment. Trade receivables are generally due for settlement within 30 days. They are</w:t>
      </w:r>
      <w:r>
        <w:rPr>
          <w:spacing w:val="-6"/>
        </w:rPr>
        <w:t> </w:t>
      </w:r>
      <w:r>
        <w:rPr/>
        <w:t>presented</w:t>
      </w:r>
      <w:r>
        <w:rPr>
          <w:spacing w:val="-6"/>
        </w:rPr>
        <w:t> </w:t>
      </w:r>
      <w:r>
        <w:rPr/>
        <w:t>as</w:t>
      </w:r>
      <w:r>
        <w:rPr>
          <w:spacing w:val="-6"/>
        </w:rPr>
        <w:t> </w:t>
      </w:r>
      <w:r>
        <w:rPr/>
        <w:t>current</w:t>
      </w:r>
      <w:r>
        <w:rPr>
          <w:spacing w:val="-6"/>
        </w:rPr>
        <w:t> </w:t>
      </w:r>
      <w:r>
        <w:rPr/>
        <w:t>assets</w:t>
      </w:r>
      <w:r>
        <w:rPr>
          <w:spacing w:val="-6"/>
        </w:rPr>
        <w:t> </w:t>
      </w:r>
      <w:r>
        <w:rPr/>
        <w:t>unless</w:t>
      </w:r>
      <w:r>
        <w:rPr>
          <w:spacing w:val="-6"/>
        </w:rPr>
        <w:t> </w:t>
      </w:r>
      <w:r>
        <w:rPr/>
        <w:t>collection</w:t>
      </w:r>
      <w:r>
        <w:rPr>
          <w:spacing w:val="-6"/>
        </w:rPr>
        <w:t> </w:t>
      </w:r>
      <w:r>
        <w:rPr/>
        <w:t>is</w:t>
      </w:r>
      <w:r>
        <w:rPr>
          <w:spacing w:val="-6"/>
        </w:rPr>
        <w:t> </w:t>
      </w:r>
      <w:r>
        <w:rPr/>
        <w:t>not</w:t>
      </w:r>
      <w:r>
        <w:rPr>
          <w:spacing w:val="-6"/>
        </w:rPr>
        <w:t> </w:t>
      </w:r>
      <w:r>
        <w:rPr/>
        <w:t>expected</w:t>
      </w:r>
      <w:r>
        <w:rPr>
          <w:spacing w:val="-6"/>
        </w:rPr>
        <w:t> </w:t>
      </w:r>
      <w:r>
        <w:rPr/>
        <w:t>for</w:t>
      </w:r>
      <w:r>
        <w:rPr>
          <w:spacing w:val="-6"/>
        </w:rPr>
        <w:t> </w:t>
      </w:r>
      <w:r>
        <w:rPr/>
        <w:t>more</w:t>
      </w:r>
      <w:r>
        <w:rPr>
          <w:spacing w:val="-6"/>
        </w:rPr>
        <w:t> </w:t>
      </w:r>
      <w:r>
        <w:rPr/>
        <w:t>than</w:t>
      </w:r>
      <w:r>
        <w:rPr>
          <w:spacing w:val="-6"/>
        </w:rPr>
        <w:t> </w:t>
      </w:r>
      <w:r>
        <w:rPr/>
        <w:t>12</w:t>
      </w:r>
      <w:r>
        <w:rPr>
          <w:spacing w:val="-6"/>
        </w:rPr>
        <w:t> </w:t>
      </w:r>
      <w:r>
        <w:rPr/>
        <w:t>months</w:t>
      </w:r>
      <w:r>
        <w:rPr>
          <w:spacing w:val="-6"/>
        </w:rPr>
        <w:t> </w:t>
      </w:r>
      <w:r>
        <w:rPr/>
        <w:t>after</w:t>
      </w:r>
      <w:r>
        <w:rPr>
          <w:spacing w:val="-6"/>
        </w:rPr>
        <w:t> </w:t>
      </w:r>
      <w:r>
        <w:rPr/>
        <w:t>the</w:t>
      </w:r>
      <w:r>
        <w:rPr>
          <w:spacing w:val="-6"/>
        </w:rPr>
        <w:t> </w:t>
      </w:r>
      <w:r>
        <w:rPr/>
        <w:t>reporting</w:t>
      </w:r>
      <w:r>
        <w:rPr>
          <w:spacing w:val="-6"/>
        </w:rPr>
        <w:t> </w:t>
      </w:r>
      <w:r>
        <w:rPr/>
        <w:t>date.</w:t>
      </w:r>
    </w:p>
    <w:p>
      <w:pPr>
        <w:pStyle w:val="BodyText"/>
        <w:spacing w:before="11"/>
        <w:rPr>
          <w:sz w:val="24"/>
        </w:rPr>
      </w:pPr>
    </w:p>
    <w:p>
      <w:pPr>
        <w:pStyle w:val="BodyText"/>
        <w:ind w:left="1823" w:right="1401"/>
      </w:pPr>
      <w:r>
        <w:rPr/>
        <w:t>Collectability of trade receivables is reviewed on an ongoing basis. Debts which are known to be uncollectable are written off by reducing the carrying amount directly. An allowance account (provision for impairment of trade receivables) is used when there is objective evidence that the Trust will not be able to collect all amounts due according to the original terms of the receivables. Significant financial difficulties of the debtor, probability that the debtor will enter bankruptcy or financial reorganisation, and default or delinquency in payments (more than 30 days overdue) are considered indicators that the trade receivable is impaired. The amount of the impairment is the difference between the book value and the amount determined to be collectable.</w:t>
      </w:r>
    </w:p>
    <w:p>
      <w:pPr>
        <w:pStyle w:val="BodyText"/>
        <w:spacing w:before="11"/>
        <w:rPr>
          <w:sz w:val="24"/>
        </w:rPr>
      </w:pPr>
    </w:p>
    <w:p>
      <w:pPr>
        <w:pStyle w:val="BodyText"/>
        <w:ind w:left="1823" w:right="1375"/>
      </w:pPr>
      <w:r>
        <w:rPr/>
        <w:t>The amount of the impairment loss is recognised in surplus/(deficit) within other expenses. When a trade receivable for </w:t>
      </w:r>
      <w:bookmarkStart w:name="(g) Fair value estimation" w:id="451"/>
      <w:bookmarkEnd w:id="451"/>
      <w:r>
        <w:rPr/>
      </w:r>
      <w:r>
        <w:rPr/>
        <w:t>which an impairment allowance had been recognised becomes uncollectable in a subsequent period, it is written off against the allowance account. Subsequent recoveries of amounts previously written off are credited against other expenses in surplus/(deficit).</w:t>
      </w:r>
    </w:p>
    <w:p>
      <w:pPr>
        <w:pStyle w:val="BodyText"/>
        <w:spacing w:before="11"/>
        <w:rPr>
          <w:sz w:val="24"/>
        </w:rPr>
      </w:pPr>
    </w:p>
    <w:p>
      <w:pPr>
        <w:pStyle w:val="Heading8"/>
        <w:numPr>
          <w:ilvl w:val="0"/>
          <w:numId w:val="83"/>
        </w:numPr>
        <w:tabs>
          <w:tab w:pos="2391" w:val="left" w:leader="none"/>
        </w:tabs>
        <w:spacing w:line="240" w:lineRule="auto" w:before="0" w:after="0"/>
        <w:ind w:left="2390" w:right="0" w:hanging="566"/>
        <w:jc w:val="left"/>
      </w:pPr>
      <w:r>
        <w:rPr/>
        <w:t>Fair value</w:t>
      </w:r>
      <w:r>
        <w:rPr>
          <w:spacing w:val="-5"/>
        </w:rPr>
        <w:t> </w:t>
      </w:r>
      <w:r>
        <w:rPr/>
        <w:t>estimation</w:t>
      </w:r>
    </w:p>
    <w:p>
      <w:pPr>
        <w:pStyle w:val="BodyText"/>
        <w:spacing w:before="11"/>
        <w:rPr>
          <w:b/>
          <w:sz w:val="24"/>
        </w:rPr>
      </w:pPr>
    </w:p>
    <w:p>
      <w:pPr>
        <w:pStyle w:val="BodyText"/>
        <w:ind w:left="1824" w:right="1375"/>
      </w:pPr>
      <w:r>
        <w:rPr/>
        <w:t>The fair value of financial assets and financial liabilities must be estimated for recognition and measurement or for disclosure purposes.</w:t>
      </w:r>
    </w:p>
    <w:p>
      <w:pPr>
        <w:pStyle w:val="BodyText"/>
        <w:spacing w:before="11"/>
        <w:rPr>
          <w:sz w:val="24"/>
        </w:rPr>
      </w:pPr>
    </w:p>
    <w:p>
      <w:pPr>
        <w:pStyle w:val="BodyText"/>
        <w:ind w:left="1824" w:right="1375"/>
      </w:pPr>
      <w:bookmarkStart w:name="(h) Property, plant and equipment" w:id="452"/>
      <w:bookmarkEnd w:id="452"/>
      <w:r>
        <w:rPr/>
      </w:r>
      <w:r>
        <w:rPr/>
        <w:t>The carrying value less impairment provision of trade receivables and payables are assumed to approximate their fair values due to their short term nature.</w:t>
      </w:r>
    </w:p>
    <w:p>
      <w:pPr>
        <w:pStyle w:val="BodyText"/>
        <w:spacing w:before="11"/>
        <w:rPr>
          <w:sz w:val="24"/>
        </w:rPr>
      </w:pPr>
    </w:p>
    <w:p>
      <w:pPr>
        <w:pStyle w:val="Heading8"/>
        <w:numPr>
          <w:ilvl w:val="0"/>
          <w:numId w:val="83"/>
        </w:numPr>
        <w:tabs>
          <w:tab w:pos="2391" w:val="left" w:leader="none"/>
        </w:tabs>
        <w:spacing w:line="240" w:lineRule="auto" w:before="0" w:after="0"/>
        <w:ind w:left="2390" w:right="0" w:hanging="566"/>
        <w:jc w:val="left"/>
      </w:pPr>
      <w:r>
        <w:rPr/>
        <w:t>Property, plant and equipment</w:t>
      </w:r>
    </w:p>
    <w:p>
      <w:pPr>
        <w:pStyle w:val="BodyText"/>
        <w:spacing w:before="11"/>
        <w:rPr>
          <w:b/>
          <w:sz w:val="24"/>
        </w:rPr>
      </w:pPr>
    </w:p>
    <w:p>
      <w:pPr>
        <w:pStyle w:val="BodyText"/>
        <w:ind w:left="1824" w:right="1375"/>
      </w:pPr>
      <w:r>
        <w:rPr/>
        <w:t>Property, plant and equipment is stated at historical cost less depreciation. Historical cost includes expenditure that is directly attributable to the acquisition of the items. Cost may also include transfers from equity of any gains/losses on qualifying cash flow hedges of foreign currency purchases of property, plant and equipment.</w:t>
      </w:r>
    </w:p>
    <w:p>
      <w:pPr>
        <w:spacing w:after="0"/>
        <w:sectPr>
          <w:pgSz w:w="12750" w:h="17680"/>
          <w:pgMar w:header="0" w:footer="907" w:top="1880" w:bottom="1120" w:left="0" w:right="0"/>
        </w:sectPr>
      </w:pPr>
    </w:p>
    <w:p>
      <w:pPr>
        <w:pStyle w:val="BodyText"/>
        <w:spacing w:before="2"/>
        <w:rPr>
          <w:sz w:val="24"/>
        </w:rPr>
      </w:pPr>
    </w:p>
    <w:p>
      <w:pPr>
        <w:pStyle w:val="Heading4"/>
      </w:pPr>
      <w:r>
        <w:rPr/>
        <w:t>Notes to the financial statements</w:t>
      </w:r>
    </w:p>
    <w:p>
      <w:pPr>
        <w:pStyle w:val="Heading7"/>
      </w:pPr>
      <w:r>
        <w:rPr/>
        <w:t>For the Year Ended 31 December 2016</w:t>
      </w:r>
    </w:p>
    <w:p>
      <w:pPr>
        <w:pStyle w:val="BodyText"/>
        <w:rPr>
          <w:b/>
          <w:sz w:val="22"/>
        </w:rPr>
      </w:pPr>
    </w:p>
    <w:p>
      <w:pPr>
        <w:pStyle w:val="BodyText"/>
        <w:rPr>
          <w:b/>
          <w:sz w:val="22"/>
        </w:rPr>
      </w:pPr>
    </w:p>
    <w:p>
      <w:pPr>
        <w:pStyle w:val="Heading8"/>
        <w:tabs>
          <w:tab w:pos="1823" w:val="left" w:leader="none"/>
        </w:tabs>
        <w:spacing w:before="160"/>
        <w:ind w:left="1429"/>
      </w:pPr>
      <w:r>
        <w:rPr/>
        <w:t>1</w:t>
        <w:tab/>
        <w:t>Summary of Significant Accounting Policies</w:t>
      </w:r>
      <w:r>
        <w:rPr>
          <w:spacing w:val="-6"/>
        </w:rPr>
        <w:t> </w:t>
      </w:r>
      <w:r>
        <w:rPr/>
        <w:t>(continued)</w:t>
      </w:r>
    </w:p>
    <w:p>
      <w:pPr>
        <w:pStyle w:val="BodyText"/>
        <w:spacing w:before="11"/>
        <w:rPr>
          <w:b/>
          <w:sz w:val="24"/>
        </w:rPr>
      </w:pPr>
    </w:p>
    <w:p>
      <w:pPr>
        <w:pStyle w:val="ListParagraph"/>
        <w:numPr>
          <w:ilvl w:val="0"/>
          <w:numId w:val="85"/>
        </w:numPr>
        <w:tabs>
          <w:tab w:pos="2391" w:val="left" w:leader="none"/>
        </w:tabs>
        <w:spacing w:line="240" w:lineRule="auto" w:before="0" w:after="0"/>
        <w:ind w:left="2390" w:right="0" w:hanging="566"/>
        <w:jc w:val="left"/>
        <w:rPr>
          <w:b/>
          <w:sz w:val="18"/>
        </w:rPr>
      </w:pPr>
      <w:r>
        <w:rPr>
          <w:b/>
          <w:sz w:val="18"/>
        </w:rPr>
        <w:t>Property, plant and equipment (continued)</w:t>
      </w:r>
    </w:p>
    <w:p>
      <w:pPr>
        <w:pStyle w:val="BodyText"/>
        <w:spacing w:before="11"/>
        <w:rPr>
          <w:b/>
          <w:sz w:val="24"/>
        </w:rPr>
      </w:pPr>
    </w:p>
    <w:p>
      <w:pPr>
        <w:pStyle w:val="BodyText"/>
        <w:ind w:left="1824" w:right="1375"/>
      </w:pPr>
      <w:r>
        <w:rPr/>
        <w:t>Subsequent costs are included in the asset's carrying amount or recognised as a separate asset, as appropriate, only when it is probable that future economic benefits associated with the item will flow to the Trust and the cost of the item can be measured reliably. The carrying amount of any component accounted for as a separate asset is derecognised when replaced. All other repairs and maintenance are charged to surplus or deficit during the reporting period in which they are incurred.</w:t>
      </w:r>
    </w:p>
    <w:p>
      <w:pPr>
        <w:pStyle w:val="BodyText"/>
        <w:spacing w:before="11"/>
        <w:rPr>
          <w:sz w:val="24"/>
        </w:rPr>
      </w:pPr>
    </w:p>
    <w:p>
      <w:pPr>
        <w:pStyle w:val="BodyText"/>
        <w:ind w:left="1824" w:right="1375"/>
      </w:pPr>
      <w:r>
        <w:rPr/>
        <w:t>Property, plant and equipment consists only of the Whitlam Collection and is not depreciated given the nature of its contents.</w:t>
      </w:r>
    </w:p>
    <w:p>
      <w:pPr>
        <w:pStyle w:val="BodyText"/>
        <w:spacing w:before="11"/>
        <w:rPr>
          <w:sz w:val="24"/>
        </w:rPr>
      </w:pPr>
    </w:p>
    <w:p>
      <w:pPr>
        <w:pStyle w:val="BodyText"/>
        <w:ind w:left="1824" w:right="1375"/>
      </w:pPr>
      <w:r>
        <w:rPr/>
        <w:t>The assets' residual values and useful lives are reviewed, and adjusted if appropriate, at the end of each reporting period.</w:t>
      </w:r>
    </w:p>
    <w:p>
      <w:pPr>
        <w:pStyle w:val="BodyText"/>
        <w:spacing w:before="11"/>
        <w:rPr>
          <w:sz w:val="24"/>
        </w:rPr>
      </w:pPr>
    </w:p>
    <w:p>
      <w:pPr>
        <w:pStyle w:val="BodyText"/>
        <w:ind w:left="1824" w:right="1375"/>
      </w:pPr>
      <w:r>
        <w:rPr/>
        <w:t>Gains and losses on disposals are determined by comparing proceeds with carrying amount. These are included in the statement of comprehensive income.</w:t>
      </w:r>
    </w:p>
    <w:p>
      <w:pPr>
        <w:pStyle w:val="BodyText"/>
        <w:spacing w:before="11"/>
        <w:rPr>
          <w:sz w:val="24"/>
        </w:rPr>
      </w:pPr>
    </w:p>
    <w:p>
      <w:pPr>
        <w:pStyle w:val="BodyText"/>
        <w:ind w:left="1824"/>
      </w:pPr>
      <w:r>
        <w:rPr/>
        <w:t>Whitlam Collection</w:t>
      </w:r>
    </w:p>
    <w:p>
      <w:pPr>
        <w:pStyle w:val="BodyText"/>
        <w:spacing w:before="11"/>
        <w:rPr>
          <w:sz w:val="24"/>
        </w:rPr>
      </w:pPr>
    </w:p>
    <w:p>
      <w:pPr>
        <w:pStyle w:val="BodyText"/>
        <w:ind w:left="1823" w:right="1501"/>
      </w:pPr>
      <w:r>
        <w:rPr/>
        <w:drawing>
          <wp:anchor distT="0" distB="0" distL="0" distR="0" allowOverlap="1" layoutInCell="1" locked="0" behindDoc="0" simplePos="0" relativeHeight="15616">
            <wp:simplePos x="0" y="0"/>
            <wp:positionH relativeFrom="page">
              <wp:posOffset>-1587</wp:posOffset>
            </wp:positionH>
            <wp:positionV relativeFrom="paragraph">
              <wp:posOffset>173658</wp:posOffset>
            </wp:positionV>
            <wp:extent cx="136525" cy="155575"/>
            <wp:effectExtent l="0" t="0" r="0" b="0"/>
            <wp:wrapNone/>
            <wp:docPr id="1069" name="image13.png" descr=""/>
            <wp:cNvGraphicFramePr>
              <a:graphicFrameLocks noChangeAspect="1"/>
            </wp:cNvGraphicFramePr>
            <a:graphic>
              <a:graphicData uri="http://schemas.openxmlformats.org/drawingml/2006/picture">
                <pic:pic>
                  <pic:nvPicPr>
                    <pic:cNvPr id="1070" name="image13.png"/>
                    <pic:cNvPicPr/>
                  </pic:nvPicPr>
                  <pic:blipFill>
                    <a:blip r:embed="rId18" cstate="print"/>
                    <a:stretch>
                      <a:fillRect/>
                    </a:stretch>
                  </pic:blipFill>
                  <pic:spPr>
                    <a:xfrm>
                      <a:off x="0" y="0"/>
                      <a:ext cx="136525" cy="155575"/>
                    </a:xfrm>
                    <a:prstGeom prst="rect">
                      <a:avLst/>
                    </a:prstGeom>
                  </pic:spPr>
                </pic:pic>
              </a:graphicData>
            </a:graphic>
          </wp:anchor>
        </w:drawing>
      </w:r>
      <w:r>
        <w:rPr/>
        <w:drawing>
          <wp:anchor distT="0" distB="0" distL="0" distR="0" allowOverlap="1" layoutInCell="1" locked="0" behindDoc="0" simplePos="0" relativeHeight="15640">
            <wp:simplePos x="0" y="0"/>
            <wp:positionH relativeFrom="page">
              <wp:posOffset>7958429</wp:posOffset>
            </wp:positionH>
            <wp:positionV relativeFrom="paragraph">
              <wp:posOffset>173658</wp:posOffset>
            </wp:positionV>
            <wp:extent cx="135953" cy="155575"/>
            <wp:effectExtent l="0" t="0" r="0" b="0"/>
            <wp:wrapNone/>
            <wp:docPr id="1071" name="image15.png" descr=""/>
            <wp:cNvGraphicFramePr>
              <a:graphicFrameLocks noChangeAspect="1"/>
            </wp:cNvGraphicFramePr>
            <a:graphic>
              <a:graphicData uri="http://schemas.openxmlformats.org/drawingml/2006/picture">
                <pic:pic>
                  <pic:nvPicPr>
                    <pic:cNvPr id="1072" name="image15.png"/>
                    <pic:cNvPicPr/>
                  </pic:nvPicPr>
                  <pic:blipFill>
                    <a:blip r:embed="rId20" cstate="print"/>
                    <a:stretch>
                      <a:fillRect/>
                    </a:stretch>
                  </pic:blipFill>
                  <pic:spPr>
                    <a:xfrm>
                      <a:off x="0" y="0"/>
                      <a:ext cx="135953" cy="155575"/>
                    </a:xfrm>
                    <a:prstGeom prst="rect">
                      <a:avLst/>
                    </a:prstGeom>
                  </pic:spPr>
                </pic:pic>
              </a:graphicData>
            </a:graphic>
          </wp:anchor>
        </w:drawing>
      </w:r>
      <w:r>
        <w:rPr/>
        <w:t>Assets comprising the Whitlam Collection have been donated to the Trust. Market valuations have been obtained from a valuer to determine the fair value of the contribution in accordance with AASB 13 and AASB116 Fair value </w:t>
      </w:r>
      <w:bookmarkStart w:name="(i) Goods and Services Tax (GST)" w:id="453"/>
      <w:bookmarkEnd w:id="453"/>
      <w:r>
        <w:rPr/>
      </w:r>
      <w:r>
        <w:rPr/>
        <w:t>measurement. The Whitlam Collection was revalued in 2016 in accordance with the ultimate parent entity three year revaluation cycle however previously the Whitlam Collection was revalued at the end of 2014 following the passing of the Hon Gough Whitlam AC QC.</w:t>
      </w:r>
    </w:p>
    <w:p>
      <w:pPr>
        <w:pStyle w:val="BodyText"/>
        <w:spacing w:before="11"/>
        <w:rPr>
          <w:sz w:val="24"/>
        </w:rPr>
      </w:pPr>
    </w:p>
    <w:p>
      <w:pPr>
        <w:pStyle w:val="Heading8"/>
        <w:numPr>
          <w:ilvl w:val="0"/>
          <w:numId w:val="85"/>
        </w:numPr>
        <w:tabs>
          <w:tab w:pos="2391" w:val="left" w:leader="none"/>
        </w:tabs>
        <w:spacing w:line="240" w:lineRule="auto" w:before="0" w:after="0"/>
        <w:ind w:left="2390" w:right="0" w:hanging="566"/>
        <w:jc w:val="left"/>
      </w:pPr>
      <w:r>
        <w:rPr/>
        <w:t>Goods and Services Tax</w:t>
      </w:r>
      <w:r>
        <w:rPr>
          <w:spacing w:val="-5"/>
        </w:rPr>
        <w:t> </w:t>
      </w:r>
      <w:r>
        <w:rPr/>
        <w:t>(GST)</w:t>
      </w:r>
    </w:p>
    <w:p>
      <w:pPr>
        <w:pStyle w:val="BodyText"/>
        <w:spacing w:before="11"/>
        <w:rPr>
          <w:b/>
          <w:sz w:val="24"/>
        </w:rPr>
      </w:pPr>
    </w:p>
    <w:p>
      <w:pPr>
        <w:pStyle w:val="BodyText"/>
        <w:ind w:left="1824" w:right="1450"/>
      </w:pPr>
      <w:r>
        <w:rPr/>
        <w:t>Revenues, expenses and assets are recognised net of the amount of associated GST, unless the GST incurred is not recoverable from the Australian Taxation Office. In this case it is recognised as part of the cost of acquisition of the asset or as part of the expense.</w:t>
      </w:r>
    </w:p>
    <w:p>
      <w:pPr>
        <w:pStyle w:val="BodyText"/>
        <w:spacing w:before="11"/>
        <w:rPr>
          <w:sz w:val="24"/>
        </w:rPr>
      </w:pPr>
    </w:p>
    <w:p>
      <w:pPr>
        <w:pStyle w:val="BodyText"/>
        <w:ind w:left="1823" w:right="1375"/>
      </w:pPr>
      <w:r>
        <w:rPr/>
        <w:t>Receivables and payables are stated inclusive of the amount of GST receivable or payable. The net amount of GST recoverable from, or payable to, the Australian Taxation Office is included with other receivables or payables in the statement of financial position.</w:t>
      </w:r>
    </w:p>
    <w:p>
      <w:pPr>
        <w:pStyle w:val="BodyText"/>
        <w:spacing w:before="11"/>
        <w:rPr>
          <w:sz w:val="24"/>
        </w:rPr>
      </w:pPr>
    </w:p>
    <w:p>
      <w:pPr>
        <w:pStyle w:val="BodyText"/>
        <w:ind w:left="1823" w:right="1375"/>
      </w:pPr>
      <w:bookmarkStart w:name="(j) Comparative amounts" w:id="454"/>
      <w:bookmarkEnd w:id="454"/>
      <w:r>
        <w:rPr/>
      </w:r>
      <w:r>
        <w:rPr/>
        <w:t>Cash flows are presented on a gross basis. The GST components of cash flows arising from investing or financing activities which are recoverable from, or payable to the Australian Taxation Office, are presented as operating cash flows.</w:t>
      </w:r>
    </w:p>
    <w:p>
      <w:pPr>
        <w:pStyle w:val="BodyText"/>
        <w:spacing w:before="11"/>
        <w:rPr>
          <w:sz w:val="24"/>
        </w:rPr>
      </w:pPr>
    </w:p>
    <w:p>
      <w:pPr>
        <w:pStyle w:val="Heading8"/>
        <w:numPr>
          <w:ilvl w:val="0"/>
          <w:numId w:val="85"/>
        </w:numPr>
        <w:tabs>
          <w:tab w:pos="2391" w:val="left" w:leader="none"/>
        </w:tabs>
        <w:spacing w:line="240" w:lineRule="auto" w:before="0" w:after="0"/>
        <w:ind w:left="2390" w:right="0" w:hanging="566"/>
        <w:jc w:val="left"/>
      </w:pPr>
      <w:bookmarkStart w:name="(k) New accounting standards and interpr" w:id="455"/>
      <w:bookmarkEnd w:id="455"/>
      <w:r>
        <w:rPr>
          <w:b w:val="0"/>
        </w:rPr>
      </w:r>
      <w:bookmarkStart w:name="(k) New accounting standards and interpr" w:id="456"/>
      <w:bookmarkEnd w:id="456"/>
      <w:r>
        <w:rPr/>
        <w:t>Comparati</w:t>
      </w:r>
      <w:r>
        <w:rPr/>
        <w:t>ve</w:t>
      </w:r>
      <w:r>
        <w:rPr>
          <w:spacing w:val="-14"/>
        </w:rPr>
        <w:t> </w:t>
      </w:r>
      <w:r>
        <w:rPr/>
        <w:t>amounts</w:t>
      </w:r>
    </w:p>
    <w:p>
      <w:pPr>
        <w:pStyle w:val="BodyText"/>
        <w:spacing w:before="11"/>
        <w:rPr>
          <w:b/>
          <w:sz w:val="24"/>
        </w:rPr>
      </w:pPr>
    </w:p>
    <w:p>
      <w:pPr>
        <w:pStyle w:val="BodyText"/>
        <w:ind w:left="1824"/>
      </w:pPr>
      <w:r>
        <w:rPr/>
        <w:t>No comparatives were restated in the financial statements.</w:t>
      </w:r>
    </w:p>
    <w:p>
      <w:pPr>
        <w:pStyle w:val="BodyText"/>
        <w:spacing w:before="11"/>
        <w:rPr>
          <w:sz w:val="24"/>
        </w:rPr>
      </w:pPr>
    </w:p>
    <w:p>
      <w:pPr>
        <w:pStyle w:val="Heading8"/>
        <w:numPr>
          <w:ilvl w:val="0"/>
          <w:numId w:val="85"/>
        </w:numPr>
        <w:tabs>
          <w:tab w:pos="2391" w:val="left" w:leader="none"/>
        </w:tabs>
        <w:spacing w:line="240" w:lineRule="auto" w:before="0" w:after="0"/>
        <w:ind w:left="2390" w:right="0" w:hanging="566"/>
        <w:jc w:val="left"/>
      </w:pPr>
      <w:r>
        <w:rPr/>
        <w:t>New accounting standards and</w:t>
      </w:r>
      <w:r>
        <w:rPr>
          <w:spacing w:val="3"/>
        </w:rPr>
        <w:t> </w:t>
      </w:r>
      <w:r>
        <w:rPr/>
        <w:t>interpretations</w:t>
      </w:r>
    </w:p>
    <w:p>
      <w:pPr>
        <w:pStyle w:val="BodyText"/>
        <w:spacing w:before="11"/>
        <w:rPr>
          <w:b/>
          <w:sz w:val="24"/>
        </w:rPr>
      </w:pPr>
    </w:p>
    <w:p>
      <w:pPr>
        <w:pStyle w:val="BodyText"/>
        <w:ind w:left="1824" w:right="1375"/>
      </w:pPr>
      <w:r>
        <w:rPr/>
        <w:t>Certain new accounting standards and interpretations have been published that are not mandatory for 31 December 2016 reporting periods and have not yet been applied in the financial report. The Trust's assessment of the impact of these new standards and interpretations is that they will not materially affect any of the amounts recognised in the financial statements or significantly impact the disclosures in relation to the Trust.</w:t>
      </w:r>
    </w:p>
    <w:p>
      <w:pPr>
        <w:spacing w:after="0"/>
        <w:sectPr>
          <w:pgSz w:w="12750" w:h="17680"/>
          <w:pgMar w:header="0" w:footer="907" w:top="1880" w:bottom="1120" w:left="0" w:right="0"/>
        </w:sectPr>
      </w:pPr>
    </w:p>
    <w:p>
      <w:pPr>
        <w:pStyle w:val="BodyText"/>
        <w:spacing w:before="2"/>
        <w:rPr>
          <w:sz w:val="24"/>
        </w:rPr>
      </w:pPr>
    </w:p>
    <w:p>
      <w:pPr>
        <w:pStyle w:val="Heading4"/>
      </w:pPr>
      <w:r>
        <w:rPr/>
        <w:t>Notes to the financial statements</w:t>
      </w:r>
    </w:p>
    <w:p>
      <w:pPr>
        <w:pStyle w:val="Heading7"/>
      </w:pPr>
      <w:r>
        <w:rPr/>
        <w:t>For the Year Ended 31 December 2016</w:t>
      </w:r>
    </w:p>
    <w:p>
      <w:pPr>
        <w:pStyle w:val="BodyText"/>
        <w:rPr>
          <w:b/>
          <w:sz w:val="22"/>
        </w:rPr>
      </w:pPr>
    </w:p>
    <w:p>
      <w:pPr>
        <w:pStyle w:val="BodyText"/>
        <w:rPr>
          <w:b/>
          <w:sz w:val="22"/>
        </w:rPr>
      </w:pPr>
    </w:p>
    <w:p>
      <w:pPr>
        <w:pStyle w:val="Heading8"/>
        <w:numPr>
          <w:ilvl w:val="0"/>
          <w:numId w:val="86"/>
        </w:numPr>
        <w:tabs>
          <w:tab w:pos="1824" w:val="left" w:leader="none"/>
        </w:tabs>
        <w:spacing w:line="240" w:lineRule="auto" w:before="160" w:after="0"/>
        <w:ind w:left="1824" w:right="0" w:hanging="395"/>
        <w:jc w:val="left"/>
      </w:pPr>
      <w:bookmarkStart w:name="(l) Critical accounting estimates and ju" w:id="457"/>
      <w:bookmarkEnd w:id="457"/>
      <w:r>
        <w:rPr>
          <w:b w:val="0"/>
        </w:rPr>
      </w:r>
      <w:bookmarkStart w:name="(l) Critical accounting estimates and ju" w:id="458"/>
      <w:bookmarkEnd w:id="458"/>
      <w:r>
        <w:rPr/>
        <w:t>Summary</w:t>
      </w:r>
      <w:r>
        <w:rPr/>
        <w:t> of Significant Accounting Policies</w:t>
      </w:r>
      <w:r>
        <w:rPr>
          <w:spacing w:val="-6"/>
        </w:rPr>
        <w:t> </w:t>
      </w:r>
      <w:r>
        <w:rPr/>
        <w:t>(continued)</w:t>
      </w:r>
    </w:p>
    <w:p>
      <w:pPr>
        <w:pStyle w:val="BodyText"/>
        <w:spacing w:before="11"/>
        <w:rPr>
          <w:b/>
          <w:sz w:val="24"/>
        </w:rPr>
      </w:pPr>
    </w:p>
    <w:p>
      <w:pPr>
        <w:pStyle w:val="ListParagraph"/>
        <w:numPr>
          <w:ilvl w:val="0"/>
          <w:numId w:val="85"/>
        </w:numPr>
        <w:tabs>
          <w:tab w:pos="2391" w:val="left" w:leader="none"/>
        </w:tabs>
        <w:spacing w:line="240" w:lineRule="auto" w:before="0" w:after="0"/>
        <w:ind w:left="2390" w:right="0" w:hanging="566"/>
        <w:jc w:val="left"/>
        <w:rPr>
          <w:b/>
          <w:sz w:val="18"/>
        </w:rPr>
      </w:pPr>
      <w:r>
        <w:rPr>
          <w:b/>
          <w:sz w:val="18"/>
        </w:rPr>
        <w:t>Critical accounting estimates and</w:t>
      </w:r>
      <w:r>
        <w:rPr>
          <w:b/>
          <w:spacing w:val="-1"/>
          <w:sz w:val="18"/>
        </w:rPr>
        <w:t> </w:t>
      </w:r>
      <w:r>
        <w:rPr>
          <w:b/>
          <w:sz w:val="18"/>
        </w:rPr>
        <w:t>judgments</w:t>
      </w:r>
    </w:p>
    <w:p>
      <w:pPr>
        <w:pStyle w:val="BodyText"/>
        <w:spacing w:before="11"/>
        <w:rPr>
          <w:b/>
          <w:sz w:val="24"/>
        </w:rPr>
      </w:pPr>
    </w:p>
    <w:p>
      <w:pPr>
        <w:pStyle w:val="BodyText"/>
        <w:ind w:left="1824" w:right="1375"/>
      </w:pPr>
      <w:r>
        <w:rPr/>
        <w:t>The preparation of financial statements requires the use of certain critical accounting estimates. It also requires management to exercise its judgement in the process of applying the Trust's accounting policies. Estimates and judgements are continually evaluated and are based on historic experience and other factors, including expectations of future events that may have a financial impact on the Trust and that are believed to be reasonable under the circumstances.</w:t>
      </w:r>
    </w:p>
    <w:p>
      <w:pPr>
        <w:pStyle w:val="BodyText"/>
        <w:spacing w:before="11"/>
        <w:rPr>
          <w:sz w:val="24"/>
        </w:rPr>
      </w:pPr>
    </w:p>
    <w:p>
      <w:pPr>
        <w:pStyle w:val="BodyText"/>
        <w:ind w:left="1824"/>
      </w:pPr>
      <w:r>
        <w:rPr/>
        <w:t>The valuation of assets and the estimate of useful life uses estimates and judgments.</w:t>
      </w:r>
    </w:p>
    <w:p>
      <w:pPr>
        <w:pStyle w:val="BodyText"/>
        <w:spacing w:before="11"/>
        <w:rPr>
          <w:sz w:val="24"/>
        </w:rPr>
      </w:pPr>
    </w:p>
    <w:p>
      <w:pPr>
        <w:pStyle w:val="BodyText"/>
        <w:ind w:left="1823" w:right="1338"/>
      </w:pPr>
      <w:r>
        <w:rPr/>
        <w:drawing>
          <wp:anchor distT="0" distB="0" distL="0" distR="0" allowOverlap="1" layoutInCell="1" locked="0" behindDoc="0" simplePos="0" relativeHeight="15664">
            <wp:simplePos x="0" y="0"/>
            <wp:positionH relativeFrom="page">
              <wp:posOffset>-1587</wp:posOffset>
            </wp:positionH>
            <wp:positionV relativeFrom="paragraph">
              <wp:posOffset>1508682</wp:posOffset>
            </wp:positionV>
            <wp:extent cx="135159" cy="154019"/>
            <wp:effectExtent l="0" t="0" r="0" b="0"/>
            <wp:wrapNone/>
            <wp:docPr id="1073" name="image13.png" descr=""/>
            <wp:cNvGraphicFramePr>
              <a:graphicFrameLocks noChangeAspect="1"/>
            </wp:cNvGraphicFramePr>
            <a:graphic>
              <a:graphicData uri="http://schemas.openxmlformats.org/drawingml/2006/picture">
                <pic:pic>
                  <pic:nvPicPr>
                    <pic:cNvPr id="1074" name="image13.png"/>
                    <pic:cNvPicPr/>
                  </pic:nvPicPr>
                  <pic:blipFill>
                    <a:blip r:embed="rId18" cstate="print"/>
                    <a:stretch>
                      <a:fillRect/>
                    </a:stretch>
                  </pic:blipFill>
                  <pic:spPr>
                    <a:xfrm>
                      <a:off x="0" y="0"/>
                      <a:ext cx="135159" cy="154019"/>
                    </a:xfrm>
                    <a:prstGeom prst="rect">
                      <a:avLst/>
                    </a:prstGeom>
                  </pic:spPr>
                </pic:pic>
              </a:graphicData>
            </a:graphic>
          </wp:anchor>
        </w:drawing>
      </w:r>
      <w:r>
        <w:rPr/>
        <w:drawing>
          <wp:anchor distT="0" distB="0" distL="0" distR="0" allowOverlap="1" layoutInCell="1" locked="0" behindDoc="0" simplePos="0" relativeHeight="15688">
            <wp:simplePos x="0" y="0"/>
            <wp:positionH relativeFrom="page">
              <wp:posOffset>7958429</wp:posOffset>
            </wp:positionH>
            <wp:positionV relativeFrom="paragraph">
              <wp:posOffset>1508682</wp:posOffset>
            </wp:positionV>
            <wp:extent cx="135953" cy="155575"/>
            <wp:effectExtent l="0" t="0" r="0" b="0"/>
            <wp:wrapNone/>
            <wp:docPr id="1075" name="image15.png" descr=""/>
            <wp:cNvGraphicFramePr>
              <a:graphicFrameLocks noChangeAspect="1"/>
            </wp:cNvGraphicFramePr>
            <a:graphic>
              <a:graphicData uri="http://schemas.openxmlformats.org/drawingml/2006/picture">
                <pic:pic>
                  <pic:nvPicPr>
                    <pic:cNvPr id="1076" name="image15.png"/>
                    <pic:cNvPicPr/>
                  </pic:nvPicPr>
                  <pic:blipFill>
                    <a:blip r:embed="rId20" cstate="print"/>
                    <a:stretch>
                      <a:fillRect/>
                    </a:stretch>
                  </pic:blipFill>
                  <pic:spPr>
                    <a:xfrm>
                      <a:off x="0" y="0"/>
                      <a:ext cx="135953" cy="155575"/>
                    </a:xfrm>
                    <a:prstGeom prst="rect">
                      <a:avLst/>
                    </a:prstGeom>
                  </pic:spPr>
                </pic:pic>
              </a:graphicData>
            </a:graphic>
          </wp:anchor>
        </w:drawing>
      </w:r>
      <w:r>
        <w:rPr/>
        <w:t>The valuation of the Whitlam Collection within Property Plant and Equipment has been signed by an independent expert valuer Peter Tinslay, Valuer on the basis of a fair value for accounting purposes.</w:t>
      </w:r>
    </w:p>
    <w:p>
      <w:pPr>
        <w:spacing w:after="0"/>
        <w:sectPr>
          <w:pgSz w:w="12750" w:h="17680"/>
          <w:pgMar w:header="0" w:footer="907" w:top="1880" w:bottom="1120" w:left="0" w:right="0"/>
        </w:sectPr>
      </w:pPr>
    </w:p>
    <w:p>
      <w:pPr>
        <w:pStyle w:val="BodyText"/>
        <w:spacing w:before="2"/>
        <w:rPr>
          <w:sz w:val="24"/>
        </w:rPr>
      </w:pPr>
    </w:p>
    <w:p>
      <w:pPr>
        <w:pStyle w:val="Heading4"/>
      </w:pPr>
      <w:r>
        <w:rPr/>
        <w:t>Notes to the financial statements</w:t>
      </w:r>
    </w:p>
    <w:p>
      <w:pPr>
        <w:pStyle w:val="Heading7"/>
      </w:pPr>
      <w:bookmarkStart w:name="2 Financial Risk Management" w:id="459"/>
      <w:bookmarkEnd w:id="459"/>
      <w:r>
        <w:rPr>
          <w:b w:val="0"/>
        </w:rPr>
      </w:r>
      <w:r>
        <w:rPr/>
        <w:t>For the Year Ended 31 December 2016</w:t>
      </w:r>
    </w:p>
    <w:p>
      <w:pPr>
        <w:pStyle w:val="BodyText"/>
        <w:rPr>
          <w:b/>
          <w:sz w:val="22"/>
        </w:rPr>
      </w:pPr>
    </w:p>
    <w:p>
      <w:pPr>
        <w:pStyle w:val="BodyText"/>
        <w:rPr>
          <w:b/>
          <w:sz w:val="22"/>
        </w:rPr>
      </w:pPr>
    </w:p>
    <w:p>
      <w:pPr>
        <w:pStyle w:val="Heading8"/>
        <w:numPr>
          <w:ilvl w:val="0"/>
          <w:numId w:val="86"/>
        </w:numPr>
        <w:tabs>
          <w:tab w:pos="1826" w:val="left" w:leader="none"/>
        </w:tabs>
        <w:spacing w:line="240" w:lineRule="auto" w:before="160" w:after="0"/>
        <w:ind w:left="1825" w:right="0" w:hanging="396"/>
        <w:jc w:val="left"/>
      </w:pPr>
      <w:r>
        <w:rPr/>
        <w:t>Financial Risk Management</w:t>
      </w:r>
    </w:p>
    <w:p>
      <w:pPr>
        <w:pStyle w:val="BodyText"/>
        <w:spacing w:before="11"/>
        <w:rPr>
          <w:b/>
          <w:sz w:val="24"/>
        </w:rPr>
      </w:pPr>
    </w:p>
    <w:p>
      <w:pPr>
        <w:pStyle w:val="BodyText"/>
        <w:ind w:left="1427" w:right="1338"/>
      </w:pPr>
      <w:r>
        <w:rPr/>
        <w:t>The main risks Whitlam Institute Within Western Sydney University Trust is exposed to through its financial instruments are liquidity risk and market risk (interest rate risk). The Trust's overall risk management program focuses on the unpredictability of financial markets and seeks to minimise potential adverse effects on the financial performance of the Trust. The Trust uses different methods to measure different types of risk to which it is exposed. These methods include sensitivity analysis in the case of interest rate and ageing analysis for credit risk.</w:t>
      </w:r>
    </w:p>
    <w:p>
      <w:pPr>
        <w:pStyle w:val="BodyText"/>
        <w:spacing w:before="11"/>
        <w:rPr>
          <w:sz w:val="24"/>
        </w:rPr>
      </w:pPr>
    </w:p>
    <w:p>
      <w:pPr>
        <w:pStyle w:val="BodyText"/>
        <w:ind w:left="1427" w:right="1375"/>
      </w:pPr>
      <w:r>
        <w:rPr/>
        <w:t>The totals for each category of financial instruments, measured in accordance with AASB 139 as detailed in the accounting policies to these financial statements, are as follows:</w:t>
      </w:r>
    </w:p>
    <w:p>
      <w:pPr>
        <w:spacing w:after="0"/>
        <w:sectPr>
          <w:pgSz w:w="12750" w:h="17680"/>
          <w:pgMar w:header="0" w:footer="907" w:top="1880" w:bottom="1120" w:left="0" w:right="0"/>
        </w:sectPr>
      </w:pPr>
    </w:p>
    <w:p>
      <w:pPr>
        <w:pStyle w:val="BodyText"/>
      </w:pPr>
    </w:p>
    <w:p>
      <w:pPr>
        <w:pStyle w:val="BodyText"/>
      </w:pPr>
    </w:p>
    <w:p>
      <w:pPr>
        <w:pStyle w:val="Heading8"/>
        <w:spacing w:before="132"/>
        <w:ind w:left="1428" w:right="-14"/>
      </w:pPr>
      <w:r>
        <w:rPr/>
        <w:t>Financial</w:t>
      </w:r>
      <w:r>
        <w:rPr>
          <w:spacing w:val="-12"/>
        </w:rPr>
        <w:t> </w:t>
      </w:r>
      <w:r>
        <w:rPr/>
        <w:t>Assets</w:t>
      </w:r>
    </w:p>
    <w:p>
      <w:pPr>
        <w:pStyle w:val="BodyText"/>
        <w:spacing w:before="7"/>
        <w:rPr>
          <w:b/>
          <w:sz w:val="26"/>
        </w:rPr>
      </w:pPr>
      <w:r>
        <w:rPr/>
        <w:br w:type="column"/>
      </w:r>
      <w:r>
        <w:rPr>
          <w:b/>
          <w:sz w:val="26"/>
        </w:rPr>
      </w:r>
    </w:p>
    <w:p>
      <w:pPr>
        <w:spacing w:before="0"/>
        <w:ind w:left="0" w:right="0" w:firstLine="0"/>
        <w:jc w:val="right"/>
        <w:rPr>
          <w:b/>
          <w:sz w:val="18"/>
        </w:rPr>
      </w:pPr>
      <w:r>
        <w:rPr>
          <w:b/>
          <w:sz w:val="18"/>
        </w:rPr>
        <w:t>Notes</w:t>
      </w:r>
    </w:p>
    <w:p>
      <w:pPr>
        <w:spacing w:before="33"/>
        <w:ind w:left="461" w:right="0" w:firstLine="0"/>
        <w:jc w:val="center"/>
        <w:rPr>
          <w:b/>
          <w:sz w:val="18"/>
        </w:rPr>
      </w:pPr>
      <w:r>
        <w:rPr/>
        <w:br w:type="column"/>
      </w:r>
      <w:r>
        <w:rPr>
          <w:b/>
          <w:spacing w:val="-1"/>
          <w:sz w:val="18"/>
        </w:rPr>
        <w:t>2016</w:t>
      </w:r>
    </w:p>
    <w:p>
      <w:pPr>
        <w:spacing w:before="66"/>
        <w:ind w:left="0" w:right="146" w:firstLine="0"/>
        <w:jc w:val="right"/>
        <w:rPr>
          <w:b/>
          <w:sz w:val="18"/>
        </w:rPr>
      </w:pPr>
      <w:r>
        <w:rPr>
          <w:b/>
          <w:w w:val="99"/>
          <w:sz w:val="18"/>
        </w:rPr>
        <w:t>$</w:t>
      </w:r>
    </w:p>
    <w:p>
      <w:pPr>
        <w:spacing w:before="33"/>
        <w:ind w:left="814" w:right="1829" w:firstLine="0"/>
        <w:jc w:val="center"/>
        <w:rPr>
          <w:b/>
          <w:sz w:val="18"/>
        </w:rPr>
      </w:pPr>
      <w:r>
        <w:rPr/>
        <w:br w:type="column"/>
      </w:r>
      <w:r>
        <w:rPr>
          <w:b/>
          <w:sz w:val="18"/>
        </w:rPr>
        <w:t>2015</w:t>
      </w:r>
    </w:p>
    <w:p>
      <w:pPr>
        <w:spacing w:before="66"/>
        <w:ind w:left="0" w:right="1013" w:firstLine="0"/>
        <w:jc w:val="center"/>
        <w:rPr>
          <w:b/>
          <w:sz w:val="18"/>
        </w:rPr>
      </w:pPr>
      <w:r>
        <w:rPr>
          <w:b/>
          <w:w w:val="99"/>
          <w:sz w:val="18"/>
        </w:rPr>
        <w:t>$</w:t>
      </w:r>
    </w:p>
    <w:p>
      <w:pPr>
        <w:spacing w:after="0"/>
        <w:jc w:val="center"/>
        <w:rPr>
          <w:sz w:val="18"/>
        </w:rPr>
        <w:sectPr>
          <w:type w:val="continuous"/>
          <w:pgSz w:w="12750" w:h="17680"/>
          <w:pgMar w:top="1660" w:bottom="0" w:left="0" w:right="0"/>
          <w:cols w:num="4" w:equalWidth="0">
            <w:col w:w="2843" w:space="3927"/>
            <w:col w:w="1928" w:space="40"/>
            <w:col w:w="860" w:space="40"/>
            <w:col w:w="3112"/>
          </w:cols>
        </w:sectPr>
      </w:pPr>
    </w:p>
    <w:p>
      <w:pPr>
        <w:pStyle w:val="BodyText"/>
        <w:tabs>
          <w:tab w:pos="6745" w:val="left" w:leader="none"/>
          <w:tab w:pos="7882" w:val="left" w:leader="none"/>
          <w:tab w:pos="9181" w:val="left" w:leader="none"/>
        </w:tabs>
        <w:spacing w:line="206" w:lineRule="exact"/>
        <w:ind w:right="1485"/>
        <w:jc w:val="right"/>
      </w:pPr>
      <w:r>
        <w:rPr/>
        <w:t>Cash and</w:t>
      </w:r>
      <w:r>
        <w:rPr>
          <w:spacing w:val="-10"/>
        </w:rPr>
        <w:t> </w:t>
      </w:r>
      <w:r>
        <w:rPr/>
        <w:t>cash</w:t>
      </w:r>
      <w:r>
        <w:rPr>
          <w:spacing w:val="-5"/>
        </w:rPr>
        <w:t> </w:t>
      </w:r>
      <w:r>
        <w:rPr/>
        <w:t>equivalents</w:t>
        <w:tab/>
        <w:t>7</w:t>
        <w:tab/>
      </w:r>
      <w:r>
        <w:rPr>
          <w:b/>
        </w:rPr>
        <w:t>575,222</w:t>
        <w:tab/>
      </w:r>
      <w:r>
        <w:rPr>
          <w:spacing w:val="-1"/>
          <w:w w:val="95"/>
        </w:rPr>
        <w:t>471,976</w:t>
      </w:r>
    </w:p>
    <w:p>
      <w:pPr>
        <w:pStyle w:val="BodyText"/>
        <w:tabs>
          <w:tab w:pos="7322" w:val="left" w:leader="none"/>
          <w:tab w:pos="8081" w:val="left" w:leader="none"/>
          <w:tab w:pos="9769" w:val="left" w:leader="none"/>
        </w:tabs>
        <w:spacing w:before="27"/>
        <w:ind w:right="1485"/>
        <w:jc w:val="right"/>
      </w:pPr>
      <w:r>
        <w:rPr/>
        <w:t>Trade and</w:t>
      </w:r>
      <w:r>
        <w:rPr>
          <w:spacing w:val="-10"/>
        </w:rPr>
        <w:t> </w:t>
      </w:r>
      <w:r>
        <w:rPr/>
        <w:t>other</w:t>
      </w:r>
      <w:r>
        <w:rPr>
          <w:spacing w:val="-5"/>
        </w:rPr>
        <w:t> </w:t>
      </w:r>
      <w:r>
        <w:rPr/>
        <w:t>receivables</w:t>
        <w:tab/>
      </w:r>
      <w:r>
        <w:rPr>
          <w:rFonts w:ascii="Times New Roman"/>
          <w:position w:val="-2"/>
          <w:u w:val="single"/>
        </w:rPr>
        <w:t> </w:t>
        <w:tab/>
      </w:r>
      <w:r>
        <w:rPr>
          <w:b/>
          <w:position w:val="-2"/>
          <w:u w:val="single"/>
        </w:rPr>
        <w:t>3,700</w:t>
        <w:tab/>
      </w:r>
      <w:r>
        <w:rPr>
          <w:position w:val="-2"/>
          <w:u w:val="single"/>
        </w:rPr>
        <w:t>-</w:t>
      </w:r>
    </w:p>
    <w:p>
      <w:pPr>
        <w:tabs>
          <w:tab w:pos="560" w:val="left" w:leader="none"/>
          <w:tab w:pos="1858" w:val="left" w:leader="none"/>
        </w:tabs>
        <w:spacing w:before="6"/>
        <w:ind w:left="0" w:right="1485" w:firstLine="0"/>
        <w:jc w:val="right"/>
        <w:rPr>
          <w:sz w:val="18"/>
        </w:rPr>
      </w:pPr>
      <w:r>
        <w:rPr>
          <w:rFonts w:ascii="Times New Roman"/>
          <w:sz w:val="18"/>
          <w:u w:val="thick"/>
        </w:rPr>
        <w:t> </w:t>
        <w:tab/>
      </w:r>
      <w:r>
        <w:rPr>
          <w:b/>
          <w:sz w:val="18"/>
          <w:u w:val="thick"/>
        </w:rPr>
        <w:t>578,922</w:t>
        <w:tab/>
      </w:r>
      <w:r>
        <w:rPr>
          <w:spacing w:val="-1"/>
          <w:w w:val="95"/>
          <w:sz w:val="18"/>
          <w:u w:val="thick"/>
        </w:rPr>
        <w:t>471,976</w:t>
      </w:r>
    </w:p>
    <w:p>
      <w:pPr>
        <w:pStyle w:val="BodyText"/>
        <w:spacing w:before="8"/>
        <w:rPr>
          <w:sz w:val="14"/>
        </w:rPr>
      </w:pPr>
    </w:p>
    <w:p>
      <w:pPr>
        <w:pStyle w:val="Heading8"/>
        <w:spacing w:before="1"/>
        <w:ind w:left="1428"/>
      </w:pPr>
      <w:bookmarkStart w:name="(a) Credit risk" w:id="460"/>
      <w:bookmarkEnd w:id="460"/>
      <w:r>
        <w:rPr>
          <w:b w:val="0"/>
        </w:rPr>
      </w:r>
      <w:r>
        <w:rPr/>
        <w:t>Financial Liabilities</w:t>
      </w:r>
    </w:p>
    <w:p>
      <w:pPr>
        <w:pStyle w:val="BodyText"/>
        <w:tabs>
          <w:tab w:pos="7322" w:val="left" w:leader="none"/>
          <w:tab w:pos="8470" w:val="left" w:leader="none"/>
          <w:tab w:pos="9530" w:val="left" w:leader="none"/>
        </w:tabs>
        <w:spacing w:before="27"/>
        <w:ind w:right="1485"/>
        <w:jc w:val="right"/>
      </w:pPr>
      <w:r>
        <w:rPr/>
        <w:t>Other</w:t>
      </w:r>
      <w:r>
        <w:rPr>
          <w:spacing w:val="-6"/>
        </w:rPr>
        <w:t> </w:t>
      </w:r>
      <w:r>
        <w:rPr/>
        <w:t>liabilities</w:t>
        <w:tab/>
      </w:r>
      <w:r>
        <w:rPr>
          <w:rFonts w:ascii="Times New Roman"/>
          <w:position w:val="-2"/>
          <w:u w:val="single"/>
        </w:rPr>
        <w:t> </w:t>
        <w:tab/>
      </w:r>
      <w:r>
        <w:rPr>
          <w:b/>
          <w:position w:val="-2"/>
          <w:u w:val="single"/>
        </w:rPr>
        <w:t>-</w:t>
        <w:tab/>
      </w:r>
      <w:r>
        <w:rPr>
          <w:spacing w:val="-2"/>
          <w:position w:val="-2"/>
          <w:u w:val="single"/>
        </w:rPr>
        <w:t>600</w:t>
      </w:r>
    </w:p>
    <w:p>
      <w:pPr>
        <w:tabs>
          <w:tab w:pos="1148" w:val="left" w:leader="none"/>
          <w:tab w:pos="2207" w:val="left" w:leader="none"/>
        </w:tabs>
        <w:spacing w:before="6"/>
        <w:ind w:left="0" w:right="1485" w:firstLine="0"/>
        <w:jc w:val="right"/>
        <w:rPr>
          <w:sz w:val="18"/>
        </w:rPr>
      </w:pPr>
      <w:r>
        <w:rPr>
          <w:rFonts w:ascii="Times New Roman"/>
          <w:sz w:val="18"/>
          <w:u w:val="thick"/>
        </w:rPr>
        <w:t> </w:t>
        <w:tab/>
      </w:r>
      <w:r>
        <w:rPr>
          <w:b/>
          <w:sz w:val="18"/>
          <w:u w:val="thick"/>
        </w:rPr>
        <w:t>-</w:t>
        <w:tab/>
      </w:r>
      <w:r>
        <w:rPr>
          <w:spacing w:val="-2"/>
          <w:sz w:val="18"/>
          <w:u w:val="thick"/>
        </w:rPr>
        <w:t>600</w:t>
      </w:r>
    </w:p>
    <w:p>
      <w:pPr>
        <w:pStyle w:val="BodyText"/>
        <w:spacing w:before="6"/>
        <w:rPr>
          <w:sz w:val="22"/>
        </w:rPr>
      </w:pPr>
    </w:p>
    <w:p>
      <w:pPr>
        <w:pStyle w:val="Heading8"/>
        <w:numPr>
          <w:ilvl w:val="1"/>
          <w:numId w:val="86"/>
        </w:numPr>
        <w:tabs>
          <w:tab w:pos="2392" w:val="left" w:leader="none"/>
        </w:tabs>
        <w:spacing w:line="240" w:lineRule="auto" w:before="77" w:after="0"/>
        <w:ind w:left="2391" w:right="0" w:hanging="566"/>
        <w:jc w:val="left"/>
      </w:pPr>
      <w:r>
        <w:rPr/>
        <w:drawing>
          <wp:anchor distT="0" distB="0" distL="0" distR="0" allowOverlap="1" layoutInCell="1" locked="0" behindDoc="0" simplePos="0" relativeHeight="15712">
            <wp:simplePos x="0" y="0"/>
            <wp:positionH relativeFrom="page">
              <wp:posOffset>-1587</wp:posOffset>
            </wp:positionH>
            <wp:positionV relativeFrom="paragraph">
              <wp:posOffset>253795</wp:posOffset>
            </wp:positionV>
            <wp:extent cx="136525" cy="155575"/>
            <wp:effectExtent l="0" t="0" r="0" b="0"/>
            <wp:wrapNone/>
            <wp:docPr id="1077" name="image13.png" descr=""/>
            <wp:cNvGraphicFramePr>
              <a:graphicFrameLocks noChangeAspect="1"/>
            </wp:cNvGraphicFramePr>
            <a:graphic>
              <a:graphicData uri="http://schemas.openxmlformats.org/drawingml/2006/picture">
                <pic:pic>
                  <pic:nvPicPr>
                    <pic:cNvPr id="1078" name="image13.png"/>
                    <pic:cNvPicPr/>
                  </pic:nvPicPr>
                  <pic:blipFill>
                    <a:blip r:embed="rId18" cstate="print"/>
                    <a:stretch>
                      <a:fillRect/>
                    </a:stretch>
                  </pic:blipFill>
                  <pic:spPr>
                    <a:xfrm>
                      <a:off x="0" y="0"/>
                      <a:ext cx="136525" cy="155575"/>
                    </a:xfrm>
                    <a:prstGeom prst="rect">
                      <a:avLst/>
                    </a:prstGeom>
                  </pic:spPr>
                </pic:pic>
              </a:graphicData>
            </a:graphic>
          </wp:anchor>
        </w:drawing>
      </w:r>
      <w:r>
        <w:rPr/>
        <w:drawing>
          <wp:anchor distT="0" distB="0" distL="0" distR="0" allowOverlap="1" layoutInCell="1" locked="0" behindDoc="0" simplePos="0" relativeHeight="15736">
            <wp:simplePos x="0" y="0"/>
            <wp:positionH relativeFrom="page">
              <wp:posOffset>7958429</wp:posOffset>
            </wp:positionH>
            <wp:positionV relativeFrom="paragraph">
              <wp:posOffset>253795</wp:posOffset>
            </wp:positionV>
            <wp:extent cx="135953" cy="155575"/>
            <wp:effectExtent l="0" t="0" r="0" b="0"/>
            <wp:wrapNone/>
            <wp:docPr id="1079" name="image15.png" descr=""/>
            <wp:cNvGraphicFramePr>
              <a:graphicFrameLocks noChangeAspect="1"/>
            </wp:cNvGraphicFramePr>
            <a:graphic>
              <a:graphicData uri="http://schemas.openxmlformats.org/drawingml/2006/picture">
                <pic:pic>
                  <pic:nvPicPr>
                    <pic:cNvPr id="1080" name="image15.png"/>
                    <pic:cNvPicPr/>
                  </pic:nvPicPr>
                  <pic:blipFill>
                    <a:blip r:embed="rId20" cstate="print"/>
                    <a:stretch>
                      <a:fillRect/>
                    </a:stretch>
                  </pic:blipFill>
                  <pic:spPr>
                    <a:xfrm>
                      <a:off x="0" y="0"/>
                      <a:ext cx="135953" cy="155575"/>
                    </a:xfrm>
                    <a:prstGeom prst="rect">
                      <a:avLst/>
                    </a:prstGeom>
                  </pic:spPr>
                </pic:pic>
              </a:graphicData>
            </a:graphic>
          </wp:anchor>
        </w:drawing>
      </w:r>
      <w:r>
        <w:rPr/>
        <w:t>Credit</w:t>
      </w:r>
      <w:r>
        <w:rPr>
          <w:spacing w:val="-10"/>
        </w:rPr>
        <w:t> </w:t>
      </w:r>
      <w:r>
        <w:rPr/>
        <w:t>risk</w:t>
      </w:r>
    </w:p>
    <w:p>
      <w:pPr>
        <w:pStyle w:val="BodyText"/>
        <w:spacing w:before="4"/>
        <w:rPr>
          <w:b/>
          <w:sz w:val="25"/>
        </w:rPr>
      </w:pPr>
    </w:p>
    <w:p>
      <w:pPr>
        <w:pStyle w:val="BodyText"/>
        <w:ind w:left="1824" w:right="1375"/>
      </w:pPr>
      <w:r>
        <w:rPr/>
        <w:t>The credit risk on financial assets of the Trust which have been recognised on the statement of financial position is generally the carrying amount, net of provision for loss. Credit risk arises when there is the possibility of the Trust's debtors defaulting on their contractual obligations, resulting in financial loss to the Trust. The Trust does not have any significant exposure to any unrelated debtor.</w:t>
      </w:r>
    </w:p>
    <w:p>
      <w:pPr>
        <w:pStyle w:val="BodyText"/>
        <w:spacing w:before="11"/>
        <w:rPr>
          <w:sz w:val="24"/>
        </w:rPr>
      </w:pPr>
    </w:p>
    <w:p>
      <w:pPr>
        <w:pStyle w:val="BodyText"/>
        <w:ind w:left="1824"/>
      </w:pPr>
      <w:r>
        <w:rPr/>
        <w:t>The following table details the Trust's trade and other receivables exposure to credit risk with ageing analysis.</w:t>
      </w:r>
    </w:p>
    <w:p>
      <w:pPr>
        <w:pStyle w:val="BodyText"/>
        <w:rPr>
          <w:sz w:val="20"/>
        </w:rPr>
      </w:pPr>
    </w:p>
    <w:p>
      <w:pPr>
        <w:pStyle w:val="BodyText"/>
        <w:spacing w:before="2"/>
        <w:rPr>
          <w:sz w:val="16"/>
        </w:rPr>
      </w:pPr>
    </w:p>
    <w:p>
      <w:pPr>
        <w:spacing w:after="0"/>
        <w:rPr>
          <w:sz w:val="16"/>
        </w:rPr>
        <w:sectPr>
          <w:type w:val="continuous"/>
          <w:pgSz w:w="12750" w:h="17680"/>
          <w:pgMar w:top="1660" w:bottom="0" w:left="0" w:right="0"/>
        </w:sectPr>
      </w:pPr>
    </w:p>
    <w:p>
      <w:pPr>
        <w:pStyle w:val="Heading8"/>
        <w:spacing w:line="207" w:lineRule="exact" w:before="78"/>
        <w:jc w:val="right"/>
      </w:pPr>
      <w:r>
        <w:rPr/>
        <w:t>2016</w:t>
      </w:r>
    </w:p>
    <w:p>
      <w:pPr>
        <w:spacing w:line="207" w:lineRule="exact" w:before="0"/>
        <w:ind w:left="0" w:right="146" w:firstLine="0"/>
        <w:jc w:val="right"/>
        <w:rPr>
          <w:b/>
          <w:sz w:val="18"/>
        </w:rPr>
      </w:pPr>
      <w:r>
        <w:rPr>
          <w:b/>
          <w:w w:val="99"/>
          <w:sz w:val="18"/>
        </w:rPr>
        <w:t>$</w:t>
      </w:r>
    </w:p>
    <w:p>
      <w:pPr>
        <w:spacing w:line="207" w:lineRule="exact" w:before="78"/>
        <w:ind w:left="841" w:right="1841" w:firstLine="0"/>
        <w:jc w:val="center"/>
        <w:rPr>
          <w:b/>
          <w:sz w:val="18"/>
        </w:rPr>
      </w:pPr>
      <w:r>
        <w:rPr/>
        <w:br w:type="column"/>
      </w:r>
      <w:r>
        <w:rPr>
          <w:b/>
          <w:sz w:val="18"/>
        </w:rPr>
        <w:t>2015</w:t>
      </w:r>
    </w:p>
    <w:p>
      <w:pPr>
        <w:spacing w:line="207" w:lineRule="exact" w:before="0"/>
        <w:ind w:left="0" w:right="999" w:firstLine="0"/>
        <w:jc w:val="center"/>
        <w:rPr>
          <w:b/>
          <w:sz w:val="18"/>
        </w:rPr>
      </w:pPr>
      <w:r>
        <w:rPr>
          <w:b/>
          <w:w w:val="99"/>
          <w:sz w:val="18"/>
        </w:rPr>
        <w:t>$</w:t>
      </w:r>
    </w:p>
    <w:p>
      <w:pPr>
        <w:spacing w:after="0" w:line="207" w:lineRule="exact"/>
        <w:jc w:val="center"/>
        <w:rPr>
          <w:sz w:val="18"/>
        </w:rPr>
        <w:sectPr>
          <w:type w:val="continuous"/>
          <w:pgSz w:w="12750" w:h="17680"/>
          <w:pgMar w:top="1660" w:bottom="0" w:left="0" w:right="0"/>
          <w:cols w:num="2" w:equalWidth="0">
            <w:col w:w="9586" w:space="40"/>
            <w:col w:w="3124"/>
          </w:cols>
        </w:sectPr>
      </w:pPr>
    </w:p>
    <w:p>
      <w:pPr>
        <w:tabs>
          <w:tab w:pos="9512" w:val="left" w:leader="none"/>
          <w:tab w:pos="11198" w:val="left" w:leader="none"/>
        </w:tabs>
        <w:spacing w:line="206" w:lineRule="exact" w:before="0"/>
        <w:ind w:left="1428" w:right="0" w:firstLine="0"/>
        <w:jc w:val="left"/>
        <w:rPr>
          <w:sz w:val="18"/>
        </w:rPr>
      </w:pPr>
      <w:bookmarkStart w:name="(b) Liquidity risk" w:id="461"/>
      <w:bookmarkEnd w:id="461"/>
      <w:r>
        <w:rPr/>
      </w:r>
      <w:r>
        <w:rPr>
          <w:sz w:val="18"/>
        </w:rPr>
        <w:t>Up to</w:t>
      </w:r>
      <w:r>
        <w:rPr>
          <w:spacing w:val="-5"/>
          <w:sz w:val="18"/>
        </w:rPr>
        <w:t> </w:t>
      </w:r>
      <w:r>
        <w:rPr>
          <w:sz w:val="18"/>
        </w:rPr>
        <w:t>3</w:t>
      </w:r>
      <w:r>
        <w:rPr>
          <w:spacing w:val="-3"/>
          <w:sz w:val="18"/>
        </w:rPr>
        <w:t> </w:t>
      </w:r>
      <w:r>
        <w:rPr>
          <w:sz w:val="18"/>
        </w:rPr>
        <w:t>months</w:t>
        <w:tab/>
      </w:r>
      <w:r>
        <w:rPr>
          <w:b/>
          <w:sz w:val="18"/>
        </w:rPr>
        <w:t>2,645</w:t>
        <w:tab/>
      </w:r>
      <w:r>
        <w:rPr>
          <w:sz w:val="18"/>
        </w:rPr>
        <w:t>-</w:t>
      </w:r>
    </w:p>
    <w:p>
      <w:pPr>
        <w:tabs>
          <w:tab w:pos="8751" w:val="left" w:leader="none"/>
          <w:tab w:pos="9512" w:val="left" w:leader="none"/>
          <w:tab w:pos="11198" w:val="left" w:leader="none"/>
        </w:tabs>
        <w:spacing w:line="207" w:lineRule="exact" w:before="0"/>
        <w:ind w:left="1428" w:right="0" w:firstLine="0"/>
        <w:jc w:val="left"/>
        <w:rPr>
          <w:sz w:val="18"/>
        </w:rPr>
      </w:pPr>
      <w:r>
        <w:rPr>
          <w:sz w:val="18"/>
        </w:rPr>
        <w:t>3 to</w:t>
      </w:r>
      <w:r>
        <w:rPr>
          <w:spacing w:val="-5"/>
          <w:sz w:val="18"/>
        </w:rPr>
        <w:t> </w:t>
      </w:r>
      <w:r>
        <w:rPr>
          <w:sz w:val="18"/>
        </w:rPr>
        <w:t>6</w:t>
      </w:r>
      <w:r>
        <w:rPr>
          <w:spacing w:val="-3"/>
          <w:sz w:val="18"/>
        </w:rPr>
        <w:t> </w:t>
      </w:r>
      <w:r>
        <w:rPr>
          <w:sz w:val="18"/>
        </w:rPr>
        <w:t>months</w:t>
        <w:tab/>
      </w:r>
      <w:r>
        <w:rPr>
          <w:rFonts w:ascii="Times New Roman"/>
          <w:sz w:val="18"/>
          <w:u w:val="single"/>
        </w:rPr>
        <w:t> </w:t>
        <w:tab/>
      </w:r>
      <w:r>
        <w:rPr>
          <w:b/>
          <w:sz w:val="18"/>
          <w:u w:val="single"/>
        </w:rPr>
        <w:t>1,055</w:t>
        <w:tab/>
      </w:r>
      <w:r>
        <w:rPr>
          <w:sz w:val="18"/>
          <w:u w:val="single"/>
        </w:rPr>
        <w:t>-</w:t>
      </w:r>
    </w:p>
    <w:p>
      <w:pPr>
        <w:pStyle w:val="Heading8"/>
        <w:tabs>
          <w:tab w:pos="8751" w:val="left" w:leader="none"/>
          <w:tab w:pos="9512" w:val="left" w:leader="none"/>
          <w:tab w:pos="11198" w:val="left" w:leader="none"/>
        </w:tabs>
        <w:spacing w:before="18"/>
        <w:ind w:left="1428"/>
        <w:rPr>
          <w:b w:val="0"/>
        </w:rPr>
      </w:pPr>
      <w:r>
        <w:rPr/>
        <w:t>Total</w:t>
        <w:tab/>
      </w:r>
      <w:r>
        <w:rPr>
          <w:rFonts w:ascii="Times New Roman"/>
          <w:b w:val="0"/>
          <w:u w:val="thick"/>
        </w:rPr>
        <w:t> </w:t>
        <w:tab/>
      </w:r>
      <w:r>
        <w:rPr>
          <w:u w:val="thick"/>
        </w:rPr>
        <w:t>3,700</w:t>
        <w:tab/>
      </w:r>
      <w:r>
        <w:rPr>
          <w:b w:val="0"/>
          <w:u w:val="thick"/>
        </w:rPr>
        <w:t>-</w:t>
      </w:r>
    </w:p>
    <w:p>
      <w:pPr>
        <w:pStyle w:val="BodyText"/>
        <w:spacing w:before="4"/>
        <w:rPr>
          <w:sz w:val="22"/>
        </w:rPr>
      </w:pPr>
    </w:p>
    <w:p>
      <w:pPr>
        <w:pStyle w:val="ListParagraph"/>
        <w:numPr>
          <w:ilvl w:val="1"/>
          <w:numId w:val="86"/>
        </w:numPr>
        <w:tabs>
          <w:tab w:pos="2392" w:val="left" w:leader="none"/>
        </w:tabs>
        <w:spacing w:line="240" w:lineRule="auto" w:before="77" w:after="0"/>
        <w:ind w:left="2391" w:right="0" w:hanging="566"/>
        <w:jc w:val="left"/>
        <w:rPr>
          <w:b/>
          <w:sz w:val="18"/>
        </w:rPr>
      </w:pPr>
      <w:r>
        <w:rPr>
          <w:b/>
          <w:sz w:val="18"/>
        </w:rPr>
        <w:t>Liquidity risk</w:t>
      </w:r>
    </w:p>
    <w:p>
      <w:pPr>
        <w:pStyle w:val="BodyText"/>
        <w:spacing w:before="4"/>
        <w:rPr>
          <w:b/>
          <w:sz w:val="25"/>
        </w:rPr>
      </w:pPr>
    </w:p>
    <w:p>
      <w:pPr>
        <w:pStyle w:val="BodyText"/>
        <w:ind w:left="1823" w:right="1482"/>
      </w:pPr>
      <w:r>
        <w:rPr/>
        <w:t>Prudent liquidity risk management implies maintaining sufficient cash and the availability of funding through an adequate amount of committed credit facilities to meet obligations when due. At the end of the reporting period the Trust held deposits at call of $575,222 (2015: $471,976) that are expected to readily generate cash inflows for managing liquidity risk.</w:t>
      </w:r>
    </w:p>
    <w:p>
      <w:pPr>
        <w:spacing w:after="0"/>
        <w:sectPr>
          <w:type w:val="continuous"/>
          <w:pgSz w:w="12750" w:h="17680"/>
          <w:pgMar w:top="1660" w:bottom="0" w:left="0" w:right="0"/>
        </w:sectPr>
      </w:pPr>
    </w:p>
    <w:p>
      <w:pPr>
        <w:pStyle w:val="BodyText"/>
        <w:spacing w:before="2"/>
        <w:rPr>
          <w:sz w:val="24"/>
        </w:rPr>
      </w:pPr>
    </w:p>
    <w:p>
      <w:pPr>
        <w:pStyle w:val="Heading4"/>
      </w:pPr>
      <w:r>
        <w:rPr/>
        <w:t>Notes to the financial statements</w:t>
      </w:r>
    </w:p>
    <w:p>
      <w:pPr>
        <w:pStyle w:val="Heading7"/>
      </w:pPr>
      <w:r>
        <w:rPr/>
        <w:t>For the Year Ended 31 December 2016</w:t>
      </w:r>
    </w:p>
    <w:p>
      <w:pPr>
        <w:pStyle w:val="BodyText"/>
        <w:rPr>
          <w:b/>
          <w:sz w:val="22"/>
        </w:rPr>
      </w:pPr>
    </w:p>
    <w:p>
      <w:pPr>
        <w:pStyle w:val="BodyText"/>
        <w:rPr>
          <w:b/>
          <w:sz w:val="22"/>
        </w:rPr>
      </w:pPr>
    </w:p>
    <w:p>
      <w:pPr>
        <w:pStyle w:val="Heading8"/>
        <w:tabs>
          <w:tab w:pos="1825" w:val="left" w:leader="none"/>
        </w:tabs>
        <w:spacing w:before="160"/>
        <w:ind w:left="1429"/>
      </w:pPr>
      <w:bookmarkStart w:name="Market risk" w:id="462"/>
      <w:bookmarkEnd w:id="462"/>
      <w:r>
        <w:rPr>
          <w:b w:val="0"/>
        </w:rPr>
      </w:r>
      <w:r>
        <w:rPr/>
        <w:t>2</w:t>
        <w:tab/>
        <w:t>Financial Risk Management (continued)</w:t>
      </w:r>
    </w:p>
    <w:p>
      <w:pPr>
        <w:pStyle w:val="BodyText"/>
        <w:spacing w:before="7"/>
        <w:rPr>
          <w:b/>
          <w:sz w:val="26"/>
        </w:rPr>
      </w:pPr>
    </w:p>
    <w:p>
      <w:pPr>
        <w:pStyle w:val="ListParagraph"/>
        <w:numPr>
          <w:ilvl w:val="1"/>
          <w:numId w:val="86"/>
        </w:numPr>
        <w:tabs>
          <w:tab w:pos="2392" w:val="left" w:leader="none"/>
        </w:tabs>
        <w:spacing w:line="240" w:lineRule="auto" w:before="0" w:after="0"/>
        <w:ind w:left="2391" w:right="0" w:hanging="566"/>
        <w:jc w:val="left"/>
        <w:rPr>
          <w:b/>
          <w:sz w:val="18"/>
        </w:rPr>
      </w:pPr>
      <w:r>
        <w:rPr>
          <w:b/>
          <w:sz w:val="18"/>
        </w:rPr>
        <w:t>Market</w:t>
      </w:r>
      <w:r>
        <w:rPr>
          <w:b/>
          <w:spacing w:val="-11"/>
          <w:sz w:val="18"/>
        </w:rPr>
        <w:t> </w:t>
      </w:r>
      <w:r>
        <w:rPr>
          <w:b/>
          <w:sz w:val="18"/>
        </w:rPr>
        <w:t>risk</w:t>
      </w:r>
    </w:p>
    <w:p>
      <w:pPr>
        <w:pStyle w:val="BodyText"/>
        <w:spacing w:before="4"/>
        <w:rPr>
          <w:b/>
          <w:sz w:val="25"/>
        </w:rPr>
      </w:pPr>
    </w:p>
    <w:p>
      <w:pPr>
        <w:pStyle w:val="BodyText"/>
        <w:ind w:left="1823" w:right="1532"/>
      </w:pPr>
      <w:r>
        <w:rPr/>
        <w:t>Market risk is the risk that the fair value or future cash flows of a financial instrument will fluctuate because of changes in market prices.</w:t>
      </w:r>
    </w:p>
    <w:p>
      <w:pPr>
        <w:pStyle w:val="BodyText"/>
        <w:spacing w:before="11"/>
        <w:rPr>
          <w:sz w:val="24"/>
        </w:rPr>
      </w:pPr>
    </w:p>
    <w:p>
      <w:pPr>
        <w:pStyle w:val="ListParagraph"/>
        <w:numPr>
          <w:ilvl w:val="0"/>
          <w:numId w:val="87"/>
        </w:numPr>
        <w:tabs>
          <w:tab w:pos="2035" w:val="left" w:leader="none"/>
        </w:tabs>
        <w:spacing w:line="240" w:lineRule="auto" w:before="0" w:after="0"/>
        <w:ind w:left="2034" w:right="0" w:hanging="209"/>
        <w:jc w:val="left"/>
        <w:rPr>
          <w:sz w:val="18"/>
        </w:rPr>
      </w:pPr>
      <w:r>
        <w:rPr>
          <w:sz w:val="18"/>
        </w:rPr>
        <w:t>Cash flow</w:t>
      </w:r>
      <w:r>
        <w:rPr>
          <w:spacing w:val="-37"/>
          <w:sz w:val="18"/>
        </w:rPr>
        <w:t> </w:t>
      </w:r>
      <w:r>
        <w:rPr>
          <w:sz w:val="18"/>
        </w:rPr>
        <w:t>and fair value interest rate</w:t>
      </w:r>
    </w:p>
    <w:p>
      <w:pPr>
        <w:pStyle w:val="BodyText"/>
        <w:spacing w:before="11"/>
        <w:rPr>
          <w:sz w:val="24"/>
        </w:rPr>
      </w:pPr>
    </w:p>
    <w:p>
      <w:pPr>
        <w:pStyle w:val="BodyText"/>
        <w:ind w:left="1824"/>
      </w:pPr>
      <w:r>
        <w:rPr/>
        <w:t>The Trust's exposure to interest rate risk is minimal as it has no borrowings.</w:t>
      </w:r>
    </w:p>
    <w:p>
      <w:pPr>
        <w:pStyle w:val="BodyText"/>
        <w:spacing w:before="11"/>
        <w:rPr>
          <w:sz w:val="24"/>
        </w:rPr>
      </w:pPr>
    </w:p>
    <w:p>
      <w:pPr>
        <w:pStyle w:val="ListParagraph"/>
        <w:numPr>
          <w:ilvl w:val="0"/>
          <w:numId w:val="87"/>
        </w:numPr>
        <w:tabs>
          <w:tab w:pos="2074" w:val="left" w:leader="none"/>
        </w:tabs>
        <w:spacing w:line="240" w:lineRule="auto" w:before="0" w:after="0"/>
        <w:ind w:left="2073" w:right="0" w:hanging="248"/>
        <w:jc w:val="left"/>
        <w:rPr>
          <w:sz w:val="18"/>
        </w:rPr>
      </w:pPr>
      <w:r>
        <w:rPr>
          <w:sz w:val="18"/>
        </w:rPr>
        <w:t>Summarised sensitivity</w:t>
      </w:r>
      <w:r>
        <w:rPr>
          <w:spacing w:val="-30"/>
          <w:sz w:val="18"/>
        </w:rPr>
        <w:t> </w:t>
      </w:r>
      <w:r>
        <w:rPr>
          <w:sz w:val="18"/>
        </w:rPr>
        <w:t>analysis</w:t>
      </w:r>
    </w:p>
    <w:p>
      <w:pPr>
        <w:pStyle w:val="BodyText"/>
        <w:spacing w:before="11"/>
        <w:rPr>
          <w:sz w:val="24"/>
        </w:rPr>
      </w:pPr>
    </w:p>
    <w:p>
      <w:pPr>
        <w:pStyle w:val="BodyText"/>
        <w:ind w:left="1825" w:right="1375"/>
      </w:pPr>
      <w:r>
        <w:rPr/>
        <w:pict>
          <v:shape style="position:absolute;margin-left:317.570007pt;margin-top:43.009052pt;width:248.65pt;height:60.3pt;mso-position-horizontal-relative:page;mso-position-vertical-relative:paragraph;z-index:15832"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913"/>
                    <w:gridCol w:w="978"/>
                    <w:gridCol w:w="1127"/>
                    <w:gridCol w:w="910"/>
                    <w:gridCol w:w="1045"/>
                  </w:tblGrid>
                  <w:tr>
                    <w:trPr>
                      <w:trHeight w:val="706" w:hRule="exact"/>
                    </w:trPr>
                    <w:tc>
                      <w:tcPr>
                        <w:tcW w:w="913" w:type="dxa"/>
                      </w:tcPr>
                      <w:p>
                        <w:pPr>
                          <w:pStyle w:val="TableParagraph"/>
                          <w:jc w:val="left"/>
                          <w:rPr>
                            <w:sz w:val="18"/>
                          </w:rPr>
                        </w:pPr>
                      </w:p>
                      <w:p>
                        <w:pPr>
                          <w:pStyle w:val="TableParagraph"/>
                          <w:spacing w:before="6"/>
                          <w:jc w:val="left"/>
                          <w:rPr>
                            <w:sz w:val="24"/>
                          </w:rPr>
                        </w:pPr>
                      </w:p>
                      <w:p>
                        <w:pPr>
                          <w:pStyle w:val="TableParagraph"/>
                          <w:spacing w:before="1"/>
                          <w:ind w:left="13" w:right="178"/>
                          <w:jc w:val="center"/>
                          <w:rPr>
                            <w:sz w:val="18"/>
                          </w:rPr>
                        </w:pPr>
                        <w:r>
                          <w:rPr>
                            <w:sz w:val="18"/>
                          </w:rPr>
                          <w:t>Carrying</w:t>
                        </w:r>
                      </w:p>
                    </w:tc>
                    <w:tc>
                      <w:tcPr>
                        <w:tcW w:w="978" w:type="dxa"/>
                      </w:tcPr>
                      <w:p>
                        <w:pPr>
                          <w:pStyle w:val="TableParagraph"/>
                          <w:spacing w:before="77"/>
                          <w:ind w:left="202" w:firstLine="4"/>
                          <w:jc w:val="left"/>
                          <w:rPr>
                            <w:sz w:val="18"/>
                          </w:rPr>
                        </w:pPr>
                        <w:r>
                          <w:rPr>
                            <w:sz w:val="18"/>
                          </w:rPr>
                          <w:t>-100bps</w:t>
                        </w:r>
                      </w:p>
                      <w:p>
                        <w:pPr>
                          <w:pStyle w:val="TableParagraph"/>
                          <w:spacing w:before="10"/>
                          <w:jc w:val="left"/>
                          <w:rPr>
                            <w:sz w:val="17"/>
                          </w:rPr>
                        </w:pPr>
                      </w:p>
                      <w:p>
                        <w:pPr>
                          <w:pStyle w:val="TableParagraph"/>
                          <w:ind w:left="202"/>
                          <w:jc w:val="left"/>
                          <w:rPr>
                            <w:sz w:val="18"/>
                          </w:rPr>
                        </w:pPr>
                        <w:r>
                          <w:rPr>
                            <w:sz w:val="18"/>
                          </w:rPr>
                          <w:t>Surplus/</w:t>
                        </w:r>
                      </w:p>
                    </w:tc>
                    <w:tc>
                      <w:tcPr>
                        <w:tcW w:w="1127" w:type="dxa"/>
                      </w:tcPr>
                      <w:p>
                        <w:pPr/>
                      </w:p>
                    </w:tc>
                    <w:tc>
                      <w:tcPr>
                        <w:tcW w:w="910" w:type="dxa"/>
                      </w:tcPr>
                      <w:p>
                        <w:pPr>
                          <w:pStyle w:val="TableParagraph"/>
                          <w:spacing w:before="77"/>
                          <w:ind w:left="125" w:hanging="18"/>
                          <w:jc w:val="left"/>
                          <w:rPr>
                            <w:sz w:val="18"/>
                          </w:rPr>
                        </w:pPr>
                        <w:r>
                          <w:rPr>
                            <w:sz w:val="18"/>
                          </w:rPr>
                          <w:t>+100bps</w:t>
                        </w:r>
                      </w:p>
                      <w:p>
                        <w:pPr>
                          <w:pStyle w:val="TableParagraph"/>
                          <w:spacing w:before="10"/>
                          <w:jc w:val="left"/>
                          <w:rPr>
                            <w:sz w:val="17"/>
                          </w:rPr>
                        </w:pPr>
                      </w:p>
                      <w:p>
                        <w:pPr>
                          <w:pStyle w:val="TableParagraph"/>
                          <w:ind w:left="125"/>
                          <w:jc w:val="left"/>
                          <w:rPr>
                            <w:sz w:val="18"/>
                          </w:rPr>
                        </w:pPr>
                        <w:r>
                          <w:rPr>
                            <w:sz w:val="18"/>
                          </w:rPr>
                          <w:t>Surplus/</w:t>
                        </w:r>
                      </w:p>
                    </w:tc>
                    <w:tc>
                      <w:tcPr>
                        <w:tcW w:w="1045" w:type="dxa"/>
                      </w:tcPr>
                      <w:p>
                        <w:pPr/>
                      </w:p>
                    </w:tc>
                  </w:tr>
                  <w:tr>
                    <w:trPr>
                      <w:trHeight w:val="206" w:hRule="exact"/>
                    </w:trPr>
                    <w:tc>
                      <w:tcPr>
                        <w:tcW w:w="913" w:type="dxa"/>
                      </w:tcPr>
                      <w:p>
                        <w:pPr>
                          <w:pStyle w:val="TableParagraph"/>
                          <w:spacing w:line="197" w:lineRule="exact"/>
                          <w:ind w:left="13" w:right="178"/>
                          <w:jc w:val="center"/>
                          <w:rPr>
                            <w:sz w:val="18"/>
                          </w:rPr>
                        </w:pPr>
                        <w:r>
                          <w:rPr>
                            <w:sz w:val="18"/>
                          </w:rPr>
                          <w:t>amount</w:t>
                        </w:r>
                      </w:p>
                    </w:tc>
                    <w:tc>
                      <w:tcPr>
                        <w:tcW w:w="978" w:type="dxa"/>
                      </w:tcPr>
                      <w:p>
                        <w:pPr>
                          <w:pStyle w:val="TableParagraph"/>
                          <w:spacing w:line="197" w:lineRule="exact"/>
                          <w:ind w:left="216" w:right="131"/>
                          <w:jc w:val="center"/>
                          <w:rPr>
                            <w:sz w:val="18"/>
                          </w:rPr>
                        </w:pPr>
                        <w:r>
                          <w:rPr>
                            <w:sz w:val="18"/>
                          </w:rPr>
                          <w:t>(deficit)</w:t>
                        </w:r>
                      </w:p>
                    </w:tc>
                    <w:tc>
                      <w:tcPr>
                        <w:tcW w:w="1127" w:type="dxa"/>
                      </w:tcPr>
                      <w:p>
                        <w:pPr>
                          <w:pStyle w:val="TableParagraph"/>
                          <w:spacing w:line="197" w:lineRule="exact"/>
                          <w:ind w:left="97" w:right="88"/>
                          <w:jc w:val="center"/>
                          <w:rPr>
                            <w:sz w:val="18"/>
                          </w:rPr>
                        </w:pPr>
                        <w:r>
                          <w:rPr>
                            <w:sz w:val="18"/>
                          </w:rPr>
                          <w:t>Trust funds</w:t>
                        </w:r>
                      </w:p>
                    </w:tc>
                    <w:tc>
                      <w:tcPr>
                        <w:tcW w:w="910" w:type="dxa"/>
                      </w:tcPr>
                      <w:p>
                        <w:pPr>
                          <w:pStyle w:val="TableParagraph"/>
                          <w:spacing w:line="197" w:lineRule="exact"/>
                          <w:ind w:left="139" w:right="139"/>
                          <w:jc w:val="center"/>
                          <w:rPr>
                            <w:sz w:val="18"/>
                          </w:rPr>
                        </w:pPr>
                        <w:r>
                          <w:rPr>
                            <w:sz w:val="18"/>
                          </w:rPr>
                          <w:t>(deficit)</w:t>
                        </w:r>
                      </w:p>
                    </w:tc>
                    <w:tc>
                      <w:tcPr>
                        <w:tcW w:w="1045" w:type="dxa"/>
                      </w:tcPr>
                      <w:p>
                        <w:pPr>
                          <w:pStyle w:val="TableParagraph"/>
                          <w:spacing w:line="197" w:lineRule="exact"/>
                          <w:ind w:left="88" w:right="15"/>
                          <w:jc w:val="center"/>
                          <w:rPr>
                            <w:sz w:val="18"/>
                          </w:rPr>
                        </w:pPr>
                        <w:r>
                          <w:rPr>
                            <w:sz w:val="18"/>
                          </w:rPr>
                          <w:t>Trust funds</w:t>
                        </w:r>
                      </w:p>
                    </w:tc>
                  </w:tr>
                  <w:tr>
                    <w:trPr>
                      <w:trHeight w:val="293" w:hRule="exact"/>
                    </w:trPr>
                    <w:tc>
                      <w:tcPr>
                        <w:tcW w:w="913" w:type="dxa"/>
                      </w:tcPr>
                      <w:p>
                        <w:pPr>
                          <w:pStyle w:val="TableParagraph"/>
                          <w:spacing w:line="197" w:lineRule="exact"/>
                          <w:ind w:right="164"/>
                          <w:jc w:val="center"/>
                          <w:rPr>
                            <w:sz w:val="18"/>
                          </w:rPr>
                        </w:pPr>
                        <w:r>
                          <w:rPr>
                            <w:w w:val="99"/>
                            <w:sz w:val="18"/>
                          </w:rPr>
                          <w:t>$</w:t>
                        </w:r>
                      </w:p>
                    </w:tc>
                    <w:tc>
                      <w:tcPr>
                        <w:tcW w:w="978" w:type="dxa"/>
                      </w:tcPr>
                      <w:p>
                        <w:pPr>
                          <w:pStyle w:val="TableParagraph"/>
                          <w:spacing w:line="197" w:lineRule="exact"/>
                          <w:ind w:left="86"/>
                          <w:jc w:val="center"/>
                          <w:rPr>
                            <w:sz w:val="18"/>
                          </w:rPr>
                        </w:pPr>
                        <w:r>
                          <w:rPr>
                            <w:w w:val="99"/>
                            <w:sz w:val="18"/>
                          </w:rPr>
                          <w:t>$</w:t>
                        </w:r>
                      </w:p>
                    </w:tc>
                    <w:tc>
                      <w:tcPr>
                        <w:tcW w:w="1127" w:type="dxa"/>
                      </w:tcPr>
                      <w:p>
                        <w:pPr>
                          <w:pStyle w:val="TableParagraph"/>
                          <w:spacing w:line="197" w:lineRule="exact"/>
                          <w:ind w:left="9"/>
                          <w:jc w:val="center"/>
                          <w:rPr>
                            <w:sz w:val="18"/>
                          </w:rPr>
                        </w:pPr>
                        <w:r>
                          <w:rPr>
                            <w:w w:val="99"/>
                            <w:sz w:val="18"/>
                          </w:rPr>
                          <w:t>$</w:t>
                        </w:r>
                      </w:p>
                    </w:tc>
                    <w:tc>
                      <w:tcPr>
                        <w:tcW w:w="910" w:type="dxa"/>
                      </w:tcPr>
                      <w:p>
                        <w:pPr>
                          <w:pStyle w:val="TableParagraph"/>
                          <w:spacing w:line="197" w:lineRule="exact"/>
                          <w:ind w:left="1"/>
                          <w:jc w:val="center"/>
                          <w:rPr>
                            <w:sz w:val="18"/>
                          </w:rPr>
                        </w:pPr>
                        <w:r>
                          <w:rPr>
                            <w:w w:val="99"/>
                            <w:sz w:val="18"/>
                          </w:rPr>
                          <w:t>$</w:t>
                        </w:r>
                      </w:p>
                    </w:tc>
                    <w:tc>
                      <w:tcPr>
                        <w:tcW w:w="1045" w:type="dxa"/>
                      </w:tcPr>
                      <w:p>
                        <w:pPr>
                          <w:pStyle w:val="TableParagraph"/>
                          <w:spacing w:line="197" w:lineRule="exact"/>
                          <w:ind w:left="74"/>
                          <w:jc w:val="center"/>
                          <w:rPr>
                            <w:sz w:val="18"/>
                          </w:rPr>
                        </w:pPr>
                        <w:r>
                          <w:rPr>
                            <w:w w:val="99"/>
                            <w:sz w:val="18"/>
                          </w:rPr>
                          <w:t>$</w:t>
                        </w:r>
                      </w:p>
                    </w:tc>
                  </w:tr>
                </w:tbl>
                <w:p>
                  <w:pPr>
                    <w:pStyle w:val="BodyText"/>
                  </w:pPr>
                </w:p>
              </w:txbxContent>
            </v:textbox>
            <w10:wrap type="none"/>
          </v:shape>
        </w:pict>
      </w:r>
      <w:r>
        <w:rPr/>
        <w:t>The following table summarises the sensitivity of the Trust's financial assets and financial liabilities to interest rate risk. The Trust's financial assets and financial liabilities are not subject to foreign exchange risk and other price risk.</w:t>
      </w:r>
    </w:p>
    <w:p>
      <w:pPr>
        <w:pStyle w:val="BodyText"/>
      </w:pPr>
    </w:p>
    <w:p>
      <w:pPr>
        <w:pStyle w:val="BodyText"/>
      </w:pPr>
    </w:p>
    <w:p>
      <w:pPr>
        <w:pStyle w:val="BodyText"/>
      </w:pPr>
    </w:p>
    <w:p>
      <w:pPr>
        <w:pStyle w:val="BodyText"/>
      </w:pPr>
    </w:p>
    <w:p>
      <w:pPr>
        <w:pStyle w:val="BodyText"/>
        <w:spacing w:before="8"/>
        <w:rPr>
          <w:sz w:val="20"/>
        </w:rPr>
      </w:pPr>
    </w:p>
    <w:p>
      <w:pPr>
        <w:pStyle w:val="Heading8"/>
        <w:ind w:left="1428"/>
      </w:pPr>
      <w:r>
        <w:rPr/>
        <w:t>31 December 2016</w:t>
      </w:r>
    </w:p>
    <w:p>
      <w:pPr>
        <w:pStyle w:val="BodyText"/>
        <w:spacing w:before="5"/>
        <w:rPr>
          <w:b/>
          <w:sz w:val="20"/>
        </w:rPr>
      </w:pPr>
    </w:p>
    <w:p>
      <w:pPr>
        <w:spacing w:line="207" w:lineRule="exact" w:before="77"/>
        <w:ind w:left="1428" w:right="0" w:firstLine="0"/>
        <w:jc w:val="left"/>
        <w:rPr>
          <w:b/>
          <w:sz w:val="18"/>
        </w:rPr>
      </w:pPr>
      <w:r>
        <w:rPr/>
        <w:drawing>
          <wp:anchor distT="0" distB="0" distL="0" distR="0" allowOverlap="1" layoutInCell="1" locked="0" behindDoc="0" simplePos="0" relativeHeight="15760">
            <wp:simplePos x="0" y="0"/>
            <wp:positionH relativeFrom="page">
              <wp:posOffset>-1587</wp:posOffset>
            </wp:positionH>
            <wp:positionV relativeFrom="paragraph">
              <wp:posOffset>38149</wp:posOffset>
            </wp:positionV>
            <wp:extent cx="136525" cy="155575"/>
            <wp:effectExtent l="0" t="0" r="0" b="0"/>
            <wp:wrapNone/>
            <wp:docPr id="1081" name="image13.png" descr=""/>
            <wp:cNvGraphicFramePr>
              <a:graphicFrameLocks noChangeAspect="1"/>
            </wp:cNvGraphicFramePr>
            <a:graphic>
              <a:graphicData uri="http://schemas.openxmlformats.org/drawingml/2006/picture">
                <pic:pic>
                  <pic:nvPicPr>
                    <pic:cNvPr id="1082" name="image13.png"/>
                    <pic:cNvPicPr/>
                  </pic:nvPicPr>
                  <pic:blipFill>
                    <a:blip r:embed="rId18" cstate="print"/>
                    <a:stretch>
                      <a:fillRect/>
                    </a:stretch>
                  </pic:blipFill>
                  <pic:spPr>
                    <a:xfrm>
                      <a:off x="0" y="0"/>
                      <a:ext cx="136525" cy="155575"/>
                    </a:xfrm>
                    <a:prstGeom prst="rect">
                      <a:avLst/>
                    </a:prstGeom>
                  </pic:spPr>
                </pic:pic>
              </a:graphicData>
            </a:graphic>
          </wp:anchor>
        </w:drawing>
      </w:r>
      <w:r>
        <w:rPr/>
        <w:drawing>
          <wp:anchor distT="0" distB="0" distL="0" distR="0" allowOverlap="1" layoutInCell="1" locked="0" behindDoc="0" simplePos="0" relativeHeight="15784">
            <wp:simplePos x="0" y="0"/>
            <wp:positionH relativeFrom="page">
              <wp:posOffset>7958429</wp:posOffset>
            </wp:positionH>
            <wp:positionV relativeFrom="paragraph">
              <wp:posOffset>38149</wp:posOffset>
            </wp:positionV>
            <wp:extent cx="135953" cy="155575"/>
            <wp:effectExtent l="0" t="0" r="0" b="0"/>
            <wp:wrapNone/>
            <wp:docPr id="1083" name="image15.png" descr=""/>
            <wp:cNvGraphicFramePr>
              <a:graphicFrameLocks noChangeAspect="1"/>
            </wp:cNvGraphicFramePr>
            <a:graphic>
              <a:graphicData uri="http://schemas.openxmlformats.org/drawingml/2006/picture">
                <pic:pic>
                  <pic:nvPicPr>
                    <pic:cNvPr id="1084" name="image15.png"/>
                    <pic:cNvPicPr/>
                  </pic:nvPicPr>
                  <pic:blipFill>
                    <a:blip r:embed="rId20" cstate="print"/>
                    <a:stretch>
                      <a:fillRect/>
                    </a:stretch>
                  </pic:blipFill>
                  <pic:spPr>
                    <a:xfrm>
                      <a:off x="0" y="0"/>
                      <a:ext cx="135953" cy="155575"/>
                    </a:xfrm>
                    <a:prstGeom prst="rect">
                      <a:avLst/>
                    </a:prstGeom>
                  </pic:spPr>
                </pic:pic>
              </a:graphicData>
            </a:graphic>
          </wp:anchor>
        </w:drawing>
      </w:r>
      <w:r>
        <w:rPr>
          <w:b/>
          <w:sz w:val="18"/>
        </w:rPr>
        <w:t>Financial assets</w:t>
      </w:r>
    </w:p>
    <w:p>
      <w:pPr>
        <w:pStyle w:val="BodyText"/>
        <w:tabs>
          <w:tab w:pos="6551" w:val="left" w:leader="none"/>
          <w:tab w:pos="7705" w:val="left" w:leader="none"/>
          <w:tab w:pos="8719" w:val="left" w:leader="none"/>
          <w:tab w:pos="9793" w:val="left" w:leader="none"/>
          <w:tab w:pos="10807" w:val="left" w:leader="none"/>
        </w:tabs>
        <w:spacing w:line="206" w:lineRule="exact"/>
        <w:ind w:left="1428"/>
      </w:pPr>
      <w:r>
        <w:rPr/>
        <w:t>Cash and</w:t>
      </w:r>
      <w:r>
        <w:rPr>
          <w:spacing w:val="-10"/>
        </w:rPr>
        <w:t> </w:t>
      </w:r>
      <w:r>
        <w:rPr/>
        <w:t>cash</w:t>
      </w:r>
      <w:r>
        <w:rPr>
          <w:spacing w:val="-5"/>
        </w:rPr>
        <w:t> </w:t>
      </w:r>
      <w:r>
        <w:rPr/>
        <w:t>equivalents</w:t>
        <w:tab/>
        <w:t>575,222</w:t>
        <w:tab/>
        <w:t>(5,752)</w:t>
        <w:tab/>
        <w:t>(5,752)</w:t>
        <w:tab/>
        <w:t>5,752</w:t>
        <w:tab/>
        <w:t>5,752</w:t>
      </w:r>
    </w:p>
    <w:p>
      <w:pPr>
        <w:pStyle w:val="BodyText"/>
        <w:tabs>
          <w:tab w:pos="6160" w:val="left" w:leader="none"/>
          <w:tab w:pos="6751" w:val="left" w:leader="none"/>
          <w:tab w:pos="7954" w:val="left" w:leader="none"/>
          <w:tab w:pos="8968" w:val="left" w:leader="none"/>
          <w:tab w:pos="10042" w:val="left" w:leader="none"/>
          <w:tab w:pos="11056" w:val="left" w:leader="none"/>
        </w:tabs>
        <w:spacing w:line="207" w:lineRule="exact"/>
        <w:ind w:left="1428"/>
      </w:pPr>
      <w:r>
        <w:rPr/>
        <w:t>Trade</w:t>
      </w:r>
      <w:r>
        <w:rPr>
          <w:spacing w:val="-5"/>
        </w:rPr>
        <w:t> </w:t>
      </w:r>
      <w:r>
        <w:rPr/>
        <w:t>receivables</w:t>
      </w:r>
      <w:r>
        <w:rPr>
          <w:spacing w:val="-4"/>
        </w:rPr>
        <w:t> </w:t>
      </w:r>
      <w:r>
        <w:rPr>
          <w:position w:val="5"/>
          <w:sz w:val="12"/>
        </w:rPr>
        <w:t>(a)</w:t>
        <w:tab/>
      </w:r>
      <w:r>
        <w:rPr>
          <w:rFonts w:ascii="Times New Roman"/>
          <w:u w:val="single"/>
        </w:rPr>
        <w:t> </w:t>
        <w:tab/>
      </w:r>
      <w:r>
        <w:rPr>
          <w:u w:val="single"/>
        </w:rPr>
        <w:t>3,700</w:t>
        <w:tab/>
        <w:t>(37)</w:t>
        <w:tab/>
        <w:t>(37)</w:t>
        <w:tab/>
        <w:t>37</w:t>
        <w:tab/>
        <w:t>37</w:t>
      </w:r>
    </w:p>
    <w:p>
      <w:pPr>
        <w:pStyle w:val="BodyText"/>
        <w:tabs>
          <w:tab w:pos="6160" w:val="left" w:leader="none"/>
          <w:tab w:pos="7705" w:val="left" w:leader="none"/>
          <w:tab w:pos="8719" w:val="left" w:leader="none"/>
          <w:tab w:pos="9793" w:val="left" w:leader="none"/>
          <w:tab w:pos="10807" w:val="left" w:leader="none"/>
        </w:tabs>
        <w:spacing w:before="9"/>
        <w:ind w:left="1428"/>
      </w:pPr>
      <w:r>
        <w:rPr/>
        <w:t>Total increase/(decrease) in</w:t>
      </w:r>
      <w:r>
        <w:rPr>
          <w:spacing w:val="-21"/>
        </w:rPr>
        <w:t> </w:t>
      </w:r>
      <w:r>
        <w:rPr/>
        <w:t>financial</w:t>
      </w:r>
      <w:r>
        <w:rPr>
          <w:spacing w:val="-7"/>
        </w:rPr>
        <w:t> </w:t>
      </w:r>
      <w:r>
        <w:rPr/>
        <w:t>assets</w:t>
        <w:tab/>
      </w:r>
      <w:r>
        <w:rPr>
          <w:rFonts w:ascii="Times New Roman"/>
          <w:u w:val="single"/>
        </w:rPr>
        <w:t> </w:t>
        <w:tab/>
      </w:r>
      <w:r>
        <w:rPr>
          <w:u w:val="single"/>
        </w:rPr>
        <w:t>(5,789)</w:t>
        <w:tab/>
        <w:t>(5,789)</w:t>
        <w:tab/>
        <w:t>5,789</w:t>
        <w:tab/>
        <w:t>5,789</w:t>
      </w:r>
    </w:p>
    <w:p>
      <w:pPr>
        <w:pStyle w:val="Heading8"/>
        <w:spacing w:line="207" w:lineRule="exact" w:before="122"/>
        <w:ind w:left="1428"/>
      </w:pPr>
      <w:r>
        <w:rPr/>
        <w:t>Financial liabilities</w:t>
      </w:r>
    </w:p>
    <w:p>
      <w:pPr>
        <w:pStyle w:val="BodyText"/>
        <w:tabs>
          <w:tab w:pos="6160" w:val="left" w:leader="none"/>
          <w:tab w:pos="7139" w:val="left" w:leader="none"/>
          <w:tab w:pos="8153" w:val="left" w:leader="none"/>
          <w:tab w:pos="9167" w:val="left" w:leader="none"/>
          <w:tab w:pos="10181" w:val="left" w:leader="none"/>
          <w:tab w:pos="11195" w:val="left" w:leader="none"/>
        </w:tabs>
        <w:spacing w:line="207" w:lineRule="exact"/>
        <w:ind w:left="1428"/>
      </w:pPr>
      <w:r>
        <w:rPr/>
        <w:t>Other</w:t>
      </w:r>
      <w:r>
        <w:rPr>
          <w:spacing w:val="-5"/>
        </w:rPr>
        <w:t> </w:t>
      </w:r>
      <w:r>
        <w:rPr/>
        <w:t>liabilities</w:t>
      </w:r>
      <w:r>
        <w:rPr>
          <w:spacing w:val="-4"/>
        </w:rPr>
        <w:t> </w:t>
      </w:r>
      <w:r>
        <w:rPr>
          <w:position w:val="5"/>
          <w:sz w:val="12"/>
        </w:rPr>
        <w:t>(a)</w:t>
        <w:tab/>
      </w:r>
      <w:r>
        <w:rPr>
          <w:rFonts w:ascii="Times New Roman"/>
          <w:u w:val="single"/>
        </w:rPr>
        <w:t> </w:t>
        <w:tab/>
      </w:r>
      <w:r>
        <w:rPr>
          <w:u w:val="single"/>
        </w:rPr>
        <w:t>-</w:t>
        <w:tab/>
        <w:t>-</w:t>
        <w:tab/>
        <w:t>-</w:t>
        <w:tab/>
        <w:t>-</w:t>
        <w:tab/>
        <w:t>-</w:t>
      </w:r>
    </w:p>
    <w:p>
      <w:pPr>
        <w:pStyle w:val="BodyText"/>
        <w:spacing w:line="207" w:lineRule="exact" w:before="9"/>
        <w:ind w:left="1428"/>
      </w:pPr>
      <w:r>
        <w:rPr/>
        <w:t>Total increase/(decrease) in financial</w:t>
      </w:r>
    </w:p>
    <w:p>
      <w:pPr>
        <w:pStyle w:val="BodyText"/>
        <w:tabs>
          <w:tab w:pos="6160" w:val="left" w:leader="none"/>
          <w:tab w:pos="8153" w:val="left" w:leader="none"/>
          <w:tab w:pos="9167" w:val="left" w:leader="none"/>
          <w:tab w:pos="10181" w:val="left" w:leader="none"/>
          <w:tab w:pos="11195" w:val="left" w:leader="none"/>
        </w:tabs>
        <w:spacing w:line="207" w:lineRule="exact"/>
        <w:ind w:left="1428"/>
      </w:pPr>
      <w:r>
        <w:rPr/>
        <w:t>liabilities</w:t>
        <w:tab/>
      </w:r>
      <w:r>
        <w:rPr>
          <w:rFonts w:ascii="Times New Roman"/>
          <w:u w:val="single"/>
        </w:rPr>
        <w:t> </w:t>
        <w:tab/>
      </w:r>
      <w:r>
        <w:rPr>
          <w:u w:val="single"/>
        </w:rPr>
        <w:t>-</w:t>
        <w:tab/>
        <w:t>-</w:t>
        <w:tab/>
        <w:t>-</w:t>
        <w:tab/>
        <w:t>-</w:t>
      </w:r>
    </w:p>
    <w:p>
      <w:pPr>
        <w:pStyle w:val="BodyText"/>
        <w:tabs>
          <w:tab w:pos="6160" w:val="left" w:leader="none"/>
          <w:tab w:pos="7705" w:val="left" w:leader="none"/>
          <w:tab w:pos="8719" w:val="left" w:leader="none"/>
          <w:tab w:pos="9793" w:val="left" w:leader="none"/>
          <w:tab w:pos="10807" w:val="left" w:leader="none"/>
        </w:tabs>
        <w:spacing w:before="149"/>
        <w:ind w:left="1428"/>
      </w:pPr>
      <w:r>
        <w:rPr/>
        <w:t>Total</w:t>
      </w:r>
      <w:r>
        <w:rPr>
          <w:spacing w:val="-9"/>
        </w:rPr>
        <w:t> </w:t>
      </w:r>
      <w:r>
        <w:rPr/>
        <w:t>increase/(decrease)</w:t>
        <w:tab/>
      </w:r>
      <w:r>
        <w:rPr>
          <w:rFonts w:ascii="Times New Roman"/>
          <w:u w:val="single"/>
        </w:rPr>
        <w:t> </w:t>
        <w:tab/>
      </w:r>
      <w:r>
        <w:rPr>
          <w:u w:val="single"/>
        </w:rPr>
        <w:t>(5,789)</w:t>
        <w:tab/>
        <w:t>(5,789)</w:t>
        <w:tab/>
        <w:t>5,789</w:t>
        <w:tab/>
        <w:t>5,789</w:t>
      </w:r>
    </w:p>
    <w:p>
      <w:pPr>
        <w:pStyle w:val="BodyText"/>
        <w:rPr>
          <w:sz w:val="20"/>
        </w:rPr>
      </w:pPr>
    </w:p>
    <w:p>
      <w:pPr>
        <w:pStyle w:val="BodyText"/>
        <w:rPr>
          <w:sz w:val="20"/>
        </w:rPr>
      </w:pPr>
    </w:p>
    <w:p>
      <w:pPr>
        <w:pStyle w:val="BodyText"/>
        <w:rPr>
          <w:sz w:val="20"/>
        </w:rPr>
      </w:pPr>
    </w:p>
    <w:p>
      <w:pPr>
        <w:pStyle w:val="BodyText"/>
        <w:spacing w:before="9"/>
        <w:rPr>
          <w:sz w:val="21"/>
        </w:rPr>
      </w:pPr>
    </w:p>
    <w:p>
      <w:pPr>
        <w:pStyle w:val="Heading8"/>
        <w:spacing w:before="77"/>
        <w:ind w:left="1429"/>
      </w:pPr>
      <w:r>
        <w:rPr/>
        <w:pict>
          <v:shape style="position:absolute;margin-left:317.570007pt;margin-top:-27.120934pt;width:248.65pt;height:60.3pt;mso-position-horizontal-relative:page;mso-position-vertical-relative:paragraph;z-index:15808"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913"/>
                    <w:gridCol w:w="978"/>
                    <w:gridCol w:w="1127"/>
                    <w:gridCol w:w="910"/>
                    <w:gridCol w:w="1045"/>
                  </w:tblGrid>
                  <w:tr>
                    <w:trPr>
                      <w:trHeight w:val="706" w:hRule="exact"/>
                    </w:trPr>
                    <w:tc>
                      <w:tcPr>
                        <w:tcW w:w="913" w:type="dxa"/>
                      </w:tcPr>
                      <w:p>
                        <w:pPr>
                          <w:pStyle w:val="TableParagraph"/>
                          <w:jc w:val="left"/>
                          <w:rPr>
                            <w:sz w:val="18"/>
                          </w:rPr>
                        </w:pPr>
                      </w:p>
                      <w:p>
                        <w:pPr>
                          <w:pStyle w:val="TableParagraph"/>
                          <w:spacing w:before="6"/>
                          <w:jc w:val="left"/>
                          <w:rPr>
                            <w:sz w:val="24"/>
                          </w:rPr>
                        </w:pPr>
                      </w:p>
                      <w:p>
                        <w:pPr>
                          <w:pStyle w:val="TableParagraph"/>
                          <w:spacing w:before="1"/>
                          <w:ind w:left="13" w:right="178"/>
                          <w:jc w:val="center"/>
                          <w:rPr>
                            <w:sz w:val="18"/>
                          </w:rPr>
                        </w:pPr>
                        <w:r>
                          <w:rPr>
                            <w:sz w:val="18"/>
                          </w:rPr>
                          <w:t>Carrying</w:t>
                        </w:r>
                      </w:p>
                    </w:tc>
                    <w:tc>
                      <w:tcPr>
                        <w:tcW w:w="978" w:type="dxa"/>
                      </w:tcPr>
                      <w:p>
                        <w:pPr>
                          <w:pStyle w:val="TableParagraph"/>
                          <w:spacing w:before="77"/>
                          <w:ind w:left="202" w:firstLine="4"/>
                          <w:jc w:val="left"/>
                          <w:rPr>
                            <w:sz w:val="18"/>
                          </w:rPr>
                        </w:pPr>
                        <w:r>
                          <w:rPr>
                            <w:sz w:val="18"/>
                          </w:rPr>
                          <w:t>-100bps</w:t>
                        </w:r>
                      </w:p>
                      <w:p>
                        <w:pPr>
                          <w:pStyle w:val="TableParagraph"/>
                          <w:spacing w:before="10"/>
                          <w:jc w:val="left"/>
                          <w:rPr>
                            <w:sz w:val="17"/>
                          </w:rPr>
                        </w:pPr>
                      </w:p>
                      <w:p>
                        <w:pPr>
                          <w:pStyle w:val="TableParagraph"/>
                          <w:ind w:left="202"/>
                          <w:jc w:val="left"/>
                          <w:rPr>
                            <w:sz w:val="18"/>
                          </w:rPr>
                        </w:pPr>
                        <w:r>
                          <w:rPr>
                            <w:sz w:val="18"/>
                          </w:rPr>
                          <w:t>Surplus/</w:t>
                        </w:r>
                      </w:p>
                    </w:tc>
                    <w:tc>
                      <w:tcPr>
                        <w:tcW w:w="1127" w:type="dxa"/>
                      </w:tcPr>
                      <w:p>
                        <w:pPr/>
                      </w:p>
                    </w:tc>
                    <w:tc>
                      <w:tcPr>
                        <w:tcW w:w="910" w:type="dxa"/>
                      </w:tcPr>
                      <w:p>
                        <w:pPr>
                          <w:pStyle w:val="TableParagraph"/>
                          <w:spacing w:before="77"/>
                          <w:ind w:left="125" w:hanging="18"/>
                          <w:jc w:val="left"/>
                          <w:rPr>
                            <w:sz w:val="18"/>
                          </w:rPr>
                        </w:pPr>
                        <w:r>
                          <w:rPr>
                            <w:sz w:val="18"/>
                          </w:rPr>
                          <w:t>+100bps</w:t>
                        </w:r>
                      </w:p>
                      <w:p>
                        <w:pPr>
                          <w:pStyle w:val="TableParagraph"/>
                          <w:spacing w:before="10"/>
                          <w:jc w:val="left"/>
                          <w:rPr>
                            <w:sz w:val="17"/>
                          </w:rPr>
                        </w:pPr>
                      </w:p>
                      <w:p>
                        <w:pPr>
                          <w:pStyle w:val="TableParagraph"/>
                          <w:ind w:left="125"/>
                          <w:jc w:val="left"/>
                          <w:rPr>
                            <w:sz w:val="18"/>
                          </w:rPr>
                        </w:pPr>
                        <w:r>
                          <w:rPr>
                            <w:sz w:val="18"/>
                          </w:rPr>
                          <w:t>Surplus/</w:t>
                        </w:r>
                      </w:p>
                    </w:tc>
                    <w:tc>
                      <w:tcPr>
                        <w:tcW w:w="1045" w:type="dxa"/>
                      </w:tcPr>
                      <w:p>
                        <w:pPr/>
                      </w:p>
                    </w:tc>
                  </w:tr>
                  <w:tr>
                    <w:trPr>
                      <w:trHeight w:val="206" w:hRule="exact"/>
                    </w:trPr>
                    <w:tc>
                      <w:tcPr>
                        <w:tcW w:w="913" w:type="dxa"/>
                      </w:tcPr>
                      <w:p>
                        <w:pPr>
                          <w:pStyle w:val="TableParagraph"/>
                          <w:spacing w:line="197" w:lineRule="exact"/>
                          <w:ind w:left="13" w:right="178"/>
                          <w:jc w:val="center"/>
                          <w:rPr>
                            <w:sz w:val="18"/>
                          </w:rPr>
                        </w:pPr>
                        <w:r>
                          <w:rPr>
                            <w:sz w:val="18"/>
                          </w:rPr>
                          <w:t>amount</w:t>
                        </w:r>
                      </w:p>
                    </w:tc>
                    <w:tc>
                      <w:tcPr>
                        <w:tcW w:w="978" w:type="dxa"/>
                      </w:tcPr>
                      <w:p>
                        <w:pPr>
                          <w:pStyle w:val="TableParagraph"/>
                          <w:spacing w:line="197" w:lineRule="exact"/>
                          <w:ind w:left="216" w:right="131"/>
                          <w:jc w:val="center"/>
                          <w:rPr>
                            <w:sz w:val="18"/>
                          </w:rPr>
                        </w:pPr>
                        <w:r>
                          <w:rPr>
                            <w:sz w:val="18"/>
                          </w:rPr>
                          <w:t>(deficit)</w:t>
                        </w:r>
                      </w:p>
                    </w:tc>
                    <w:tc>
                      <w:tcPr>
                        <w:tcW w:w="1127" w:type="dxa"/>
                      </w:tcPr>
                      <w:p>
                        <w:pPr>
                          <w:pStyle w:val="TableParagraph"/>
                          <w:spacing w:line="197" w:lineRule="exact"/>
                          <w:ind w:left="97" w:right="88"/>
                          <w:jc w:val="center"/>
                          <w:rPr>
                            <w:sz w:val="18"/>
                          </w:rPr>
                        </w:pPr>
                        <w:r>
                          <w:rPr>
                            <w:sz w:val="18"/>
                          </w:rPr>
                          <w:t>Trust funds</w:t>
                        </w:r>
                      </w:p>
                    </w:tc>
                    <w:tc>
                      <w:tcPr>
                        <w:tcW w:w="910" w:type="dxa"/>
                      </w:tcPr>
                      <w:p>
                        <w:pPr>
                          <w:pStyle w:val="TableParagraph"/>
                          <w:spacing w:line="197" w:lineRule="exact"/>
                          <w:ind w:left="139" w:right="139"/>
                          <w:jc w:val="center"/>
                          <w:rPr>
                            <w:sz w:val="18"/>
                          </w:rPr>
                        </w:pPr>
                        <w:r>
                          <w:rPr>
                            <w:sz w:val="18"/>
                          </w:rPr>
                          <w:t>(deficit)</w:t>
                        </w:r>
                      </w:p>
                    </w:tc>
                    <w:tc>
                      <w:tcPr>
                        <w:tcW w:w="1045" w:type="dxa"/>
                      </w:tcPr>
                      <w:p>
                        <w:pPr>
                          <w:pStyle w:val="TableParagraph"/>
                          <w:spacing w:line="197" w:lineRule="exact"/>
                          <w:ind w:left="88" w:right="15"/>
                          <w:jc w:val="center"/>
                          <w:rPr>
                            <w:sz w:val="18"/>
                          </w:rPr>
                        </w:pPr>
                        <w:r>
                          <w:rPr>
                            <w:sz w:val="18"/>
                          </w:rPr>
                          <w:t>Trust funds</w:t>
                        </w:r>
                      </w:p>
                    </w:tc>
                  </w:tr>
                  <w:tr>
                    <w:trPr>
                      <w:trHeight w:val="293" w:hRule="exact"/>
                    </w:trPr>
                    <w:tc>
                      <w:tcPr>
                        <w:tcW w:w="913" w:type="dxa"/>
                      </w:tcPr>
                      <w:p>
                        <w:pPr>
                          <w:pStyle w:val="TableParagraph"/>
                          <w:spacing w:line="197" w:lineRule="exact"/>
                          <w:ind w:right="164"/>
                          <w:jc w:val="center"/>
                          <w:rPr>
                            <w:sz w:val="18"/>
                          </w:rPr>
                        </w:pPr>
                        <w:r>
                          <w:rPr>
                            <w:w w:val="99"/>
                            <w:sz w:val="18"/>
                          </w:rPr>
                          <w:t>$</w:t>
                        </w:r>
                      </w:p>
                    </w:tc>
                    <w:tc>
                      <w:tcPr>
                        <w:tcW w:w="978" w:type="dxa"/>
                      </w:tcPr>
                      <w:p>
                        <w:pPr>
                          <w:pStyle w:val="TableParagraph"/>
                          <w:spacing w:line="197" w:lineRule="exact"/>
                          <w:ind w:left="86"/>
                          <w:jc w:val="center"/>
                          <w:rPr>
                            <w:sz w:val="18"/>
                          </w:rPr>
                        </w:pPr>
                        <w:r>
                          <w:rPr>
                            <w:w w:val="99"/>
                            <w:sz w:val="18"/>
                          </w:rPr>
                          <w:t>$</w:t>
                        </w:r>
                      </w:p>
                    </w:tc>
                    <w:tc>
                      <w:tcPr>
                        <w:tcW w:w="1127" w:type="dxa"/>
                      </w:tcPr>
                      <w:p>
                        <w:pPr>
                          <w:pStyle w:val="TableParagraph"/>
                          <w:spacing w:line="197" w:lineRule="exact"/>
                          <w:ind w:left="9"/>
                          <w:jc w:val="center"/>
                          <w:rPr>
                            <w:sz w:val="18"/>
                          </w:rPr>
                        </w:pPr>
                        <w:r>
                          <w:rPr>
                            <w:w w:val="99"/>
                            <w:sz w:val="18"/>
                          </w:rPr>
                          <w:t>$</w:t>
                        </w:r>
                      </w:p>
                    </w:tc>
                    <w:tc>
                      <w:tcPr>
                        <w:tcW w:w="910" w:type="dxa"/>
                      </w:tcPr>
                      <w:p>
                        <w:pPr>
                          <w:pStyle w:val="TableParagraph"/>
                          <w:spacing w:line="197" w:lineRule="exact"/>
                          <w:ind w:left="1"/>
                          <w:jc w:val="center"/>
                          <w:rPr>
                            <w:sz w:val="18"/>
                          </w:rPr>
                        </w:pPr>
                        <w:r>
                          <w:rPr>
                            <w:w w:val="99"/>
                            <w:sz w:val="18"/>
                          </w:rPr>
                          <w:t>$</w:t>
                        </w:r>
                      </w:p>
                    </w:tc>
                    <w:tc>
                      <w:tcPr>
                        <w:tcW w:w="1045" w:type="dxa"/>
                      </w:tcPr>
                      <w:p>
                        <w:pPr>
                          <w:pStyle w:val="TableParagraph"/>
                          <w:spacing w:line="197" w:lineRule="exact"/>
                          <w:ind w:left="74"/>
                          <w:jc w:val="center"/>
                          <w:rPr>
                            <w:sz w:val="18"/>
                          </w:rPr>
                        </w:pPr>
                        <w:r>
                          <w:rPr>
                            <w:w w:val="99"/>
                            <w:sz w:val="18"/>
                          </w:rPr>
                          <w:t>$</w:t>
                        </w:r>
                      </w:p>
                    </w:tc>
                  </w:tr>
                </w:tbl>
                <w:p>
                  <w:pPr>
                    <w:pStyle w:val="BodyText"/>
                  </w:pPr>
                </w:p>
              </w:txbxContent>
            </v:textbox>
            <w10:wrap type="none"/>
          </v:shape>
        </w:pict>
      </w:r>
      <w:r>
        <w:rPr/>
        <w:t>31 December 2015</w:t>
      </w:r>
    </w:p>
    <w:p>
      <w:pPr>
        <w:pStyle w:val="BodyText"/>
        <w:spacing w:before="5"/>
        <w:rPr>
          <w:b/>
          <w:sz w:val="20"/>
        </w:rPr>
      </w:pPr>
    </w:p>
    <w:p>
      <w:pPr>
        <w:spacing w:line="207" w:lineRule="exact" w:before="77"/>
        <w:ind w:left="1429" w:right="0" w:firstLine="0"/>
        <w:jc w:val="left"/>
        <w:rPr>
          <w:b/>
          <w:sz w:val="18"/>
        </w:rPr>
      </w:pPr>
      <w:r>
        <w:rPr>
          <w:b/>
          <w:sz w:val="18"/>
        </w:rPr>
        <w:t>Financial assets</w:t>
      </w:r>
    </w:p>
    <w:p>
      <w:pPr>
        <w:pStyle w:val="BodyText"/>
        <w:tabs>
          <w:tab w:pos="6551" w:val="left" w:leader="none"/>
          <w:tab w:pos="7705" w:val="left" w:leader="none"/>
          <w:tab w:pos="8719" w:val="left" w:leader="none"/>
          <w:tab w:pos="9793" w:val="left" w:leader="none"/>
          <w:tab w:pos="10807" w:val="left" w:leader="none"/>
        </w:tabs>
        <w:spacing w:line="207" w:lineRule="exact" w:after="32"/>
        <w:ind w:left="1429"/>
      </w:pPr>
      <w:r>
        <w:rPr/>
        <w:t>Cash and</w:t>
      </w:r>
      <w:r>
        <w:rPr>
          <w:spacing w:val="-10"/>
        </w:rPr>
        <w:t> </w:t>
      </w:r>
      <w:r>
        <w:rPr/>
        <w:t>cash</w:t>
      </w:r>
      <w:r>
        <w:rPr>
          <w:spacing w:val="-5"/>
        </w:rPr>
        <w:t> </w:t>
      </w:r>
      <w:r>
        <w:rPr/>
        <w:t>equivalents</w:t>
        <w:tab/>
        <w:t>471,976</w:t>
        <w:tab/>
        <w:t>(4,720)</w:t>
        <w:tab/>
        <w:t>(4,720)</w:t>
        <w:tab/>
        <w:t>4,720</w:t>
        <w:tab/>
        <w:t>4,720</w:t>
      </w:r>
    </w:p>
    <w:tbl>
      <w:tblPr>
        <w:tblW w:w="0" w:type="auto"/>
        <w:jc w:val="left"/>
        <w:tblInd w:w="139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153"/>
        <w:gridCol w:w="5744"/>
      </w:tblGrid>
      <w:tr>
        <w:trPr>
          <w:trHeight w:val="519" w:hRule="exact"/>
        </w:trPr>
        <w:tc>
          <w:tcPr>
            <w:tcW w:w="4153" w:type="dxa"/>
          </w:tcPr>
          <w:p>
            <w:pPr>
              <w:pStyle w:val="TableParagraph"/>
              <w:spacing w:line="184" w:lineRule="exact"/>
              <w:ind w:left="35"/>
              <w:jc w:val="left"/>
              <w:rPr>
                <w:sz w:val="18"/>
              </w:rPr>
            </w:pPr>
            <w:r>
              <w:rPr>
                <w:sz w:val="18"/>
              </w:rPr>
              <w:t>Total increase/(decrease) in financial assets</w:t>
            </w:r>
          </w:p>
          <w:p>
            <w:pPr>
              <w:pStyle w:val="TableParagraph"/>
              <w:spacing w:before="122"/>
              <w:ind w:left="35"/>
              <w:jc w:val="left"/>
              <w:rPr>
                <w:b/>
                <w:sz w:val="18"/>
              </w:rPr>
            </w:pPr>
            <w:r>
              <w:rPr>
                <w:b/>
                <w:sz w:val="18"/>
              </w:rPr>
              <w:t>Financial liabilities</w:t>
            </w:r>
          </w:p>
        </w:tc>
        <w:tc>
          <w:tcPr>
            <w:tcW w:w="5744" w:type="dxa"/>
          </w:tcPr>
          <w:p>
            <w:pPr>
              <w:pStyle w:val="TableParagraph"/>
              <w:tabs>
                <w:tab w:pos="1544" w:val="left" w:leader="none"/>
                <w:tab w:pos="2558" w:val="left" w:leader="none"/>
                <w:tab w:pos="3632" w:val="left" w:leader="none"/>
                <w:tab w:pos="4646" w:val="left" w:leader="none"/>
              </w:tabs>
              <w:spacing w:line="184" w:lineRule="exact"/>
              <w:ind w:right="33"/>
              <w:rPr>
                <w:sz w:val="18"/>
              </w:rPr>
            </w:pPr>
            <w:r>
              <w:rPr>
                <w:rFonts w:ascii="Times New Roman"/>
                <w:sz w:val="18"/>
                <w:u w:val="single"/>
              </w:rPr>
              <w:t> </w:t>
              <w:tab/>
            </w:r>
            <w:r>
              <w:rPr>
                <w:sz w:val="18"/>
                <w:u w:val="single"/>
              </w:rPr>
              <w:t>(4,720)</w:t>
              <w:tab/>
              <w:t>(4,720)</w:t>
              <w:tab/>
              <w:t>4,720</w:t>
              <w:tab/>
            </w:r>
            <w:r>
              <w:rPr>
                <w:spacing w:val="-2"/>
                <w:sz w:val="18"/>
                <w:u w:val="single"/>
              </w:rPr>
              <w:t>4,720</w:t>
            </w:r>
          </w:p>
        </w:tc>
      </w:tr>
      <w:tr>
        <w:trPr>
          <w:trHeight w:val="214" w:hRule="exact"/>
        </w:trPr>
        <w:tc>
          <w:tcPr>
            <w:tcW w:w="4153" w:type="dxa"/>
          </w:tcPr>
          <w:p>
            <w:pPr>
              <w:pStyle w:val="TableParagraph"/>
              <w:spacing w:line="200" w:lineRule="exact"/>
              <w:ind w:left="35"/>
              <w:jc w:val="left"/>
              <w:rPr>
                <w:sz w:val="12"/>
              </w:rPr>
            </w:pPr>
            <w:r>
              <w:rPr>
                <w:sz w:val="18"/>
              </w:rPr>
              <w:t>Other liabilities </w:t>
            </w:r>
            <w:r>
              <w:rPr>
                <w:position w:val="5"/>
                <w:sz w:val="12"/>
              </w:rPr>
              <w:t>(a)</w:t>
            </w:r>
          </w:p>
        </w:tc>
        <w:tc>
          <w:tcPr>
            <w:tcW w:w="5744" w:type="dxa"/>
          </w:tcPr>
          <w:p>
            <w:pPr>
              <w:pStyle w:val="TableParagraph"/>
              <w:tabs>
                <w:tab w:pos="740" w:val="left" w:leader="none"/>
                <w:tab w:pos="1893" w:val="left" w:leader="none"/>
                <w:tab w:pos="2907" w:val="left" w:leader="none"/>
                <w:tab w:pos="3981" w:val="left" w:leader="none"/>
                <w:tab w:pos="4995" w:val="left" w:leader="none"/>
              </w:tabs>
              <w:spacing w:line="200" w:lineRule="exact"/>
              <w:ind w:right="33"/>
              <w:rPr>
                <w:sz w:val="18"/>
              </w:rPr>
            </w:pPr>
            <w:r>
              <w:rPr>
                <w:rFonts w:ascii="Times New Roman"/>
                <w:sz w:val="18"/>
                <w:u w:val="single"/>
              </w:rPr>
              <w:t> </w:t>
              <w:tab/>
            </w:r>
            <w:r>
              <w:rPr>
                <w:sz w:val="18"/>
                <w:u w:val="single"/>
              </w:rPr>
              <w:t>600</w:t>
              <w:tab/>
              <w:t>(6)</w:t>
              <w:tab/>
              <w:t>(6)</w:t>
              <w:tab/>
              <w:t>6</w:t>
              <w:tab/>
            </w:r>
            <w:r>
              <w:rPr>
                <w:spacing w:val="-1"/>
                <w:sz w:val="18"/>
                <w:u w:val="single"/>
              </w:rPr>
              <w:t>6</w:t>
            </w:r>
          </w:p>
        </w:tc>
      </w:tr>
      <w:tr>
        <w:trPr>
          <w:trHeight w:val="211" w:hRule="exact"/>
        </w:trPr>
        <w:tc>
          <w:tcPr>
            <w:tcW w:w="4153" w:type="dxa"/>
          </w:tcPr>
          <w:p>
            <w:pPr>
              <w:pStyle w:val="TableParagraph"/>
              <w:spacing w:line="201" w:lineRule="exact"/>
              <w:ind w:left="35"/>
              <w:jc w:val="left"/>
              <w:rPr>
                <w:sz w:val="18"/>
              </w:rPr>
            </w:pPr>
            <w:r>
              <w:rPr>
                <w:sz w:val="18"/>
              </w:rPr>
              <w:t>Total increase/(decrease) in financial</w:t>
            </w:r>
          </w:p>
        </w:tc>
        <w:tc>
          <w:tcPr>
            <w:tcW w:w="5744" w:type="dxa"/>
          </w:tcPr>
          <w:p>
            <w:pPr/>
          </w:p>
        </w:tc>
      </w:tr>
      <w:tr>
        <w:trPr>
          <w:trHeight w:val="282" w:hRule="exact"/>
        </w:trPr>
        <w:tc>
          <w:tcPr>
            <w:tcW w:w="4153" w:type="dxa"/>
          </w:tcPr>
          <w:p>
            <w:pPr>
              <w:pStyle w:val="TableParagraph"/>
              <w:spacing w:line="197" w:lineRule="exact"/>
              <w:ind w:left="35"/>
              <w:jc w:val="left"/>
              <w:rPr>
                <w:sz w:val="18"/>
              </w:rPr>
            </w:pPr>
            <w:r>
              <w:rPr>
                <w:sz w:val="18"/>
              </w:rPr>
              <w:t>liabilities</w:t>
            </w:r>
          </w:p>
        </w:tc>
        <w:tc>
          <w:tcPr>
            <w:tcW w:w="5744" w:type="dxa"/>
          </w:tcPr>
          <w:p>
            <w:pPr>
              <w:pStyle w:val="TableParagraph"/>
              <w:tabs>
                <w:tab w:pos="1893" w:val="left" w:leader="none"/>
                <w:tab w:pos="2907" w:val="left" w:leader="none"/>
                <w:tab w:pos="3981" w:val="left" w:leader="none"/>
                <w:tab w:pos="4995" w:val="left" w:leader="none"/>
              </w:tabs>
              <w:spacing w:line="197" w:lineRule="exact"/>
              <w:ind w:right="33"/>
              <w:rPr>
                <w:sz w:val="18"/>
              </w:rPr>
            </w:pPr>
            <w:r>
              <w:rPr>
                <w:rFonts w:ascii="Times New Roman"/>
                <w:sz w:val="18"/>
                <w:u w:val="single"/>
              </w:rPr>
              <w:t> </w:t>
              <w:tab/>
            </w:r>
            <w:r>
              <w:rPr>
                <w:sz w:val="18"/>
                <w:u w:val="single"/>
              </w:rPr>
              <w:t>(6)</w:t>
              <w:tab/>
              <w:t>(6)</w:t>
              <w:tab/>
              <w:t>6</w:t>
              <w:tab/>
            </w:r>
            <w:r>
              <w:rPr>
                <w:spacing w:val="-1"/>
                <w:sz w:val="18"/>
                <w:u w:val="single"/>
              </w:rPr>
              <w:t>6</w:t>
            </w:r>
          </w:p>
        </w:tc>
      </w:tr>
      <w:tr>
        <w:trPr>
          <w:trHeight w:val="369" w:hRule="exact"/>
        </w:trPr>
        <w:tc>
          <w:tcPr>
            <w:tcW w:w="4153" w:type="dxa"/>
          </w:tcPr>
          <w:p>
            <w:pPr>
              <w:pStyle w:val="TableParagraph"/>
              <w:spacing w:before="64"/>
              <w:ind w:left="35"/>
              <w:jc w:val="left"/>
              <w:rPr>
                <w:sz w:val="18"/>
              </w:rPr>
            </w:pPr>
            <w:r>
              <w:rPr>
                <w:sz w:val="18"/>
              </w:rPr>
              <w:t>Total increase/(decrease)</w:t>
            </w:r>
          </w:p>
        </w:tc>
        <w:tc>
          <w:tcPr>
            <w:tcW w:w="5744" w:type="dxa"/>
          </w:tcPr>
          <w:p>
            <w:pPr>
              <w:pStyle w:val="TableParagraph"/>
              <w:tabs>
                <w:tab w:pos="1544" w:val="left" w:leader="none"/>
                <w:tab w:pos="2558" w:val="left" w:leader="none"/>
                <w:tab w:pos="3632" w:val="left" w:leader="none"/>
                <w:tab w:pos="4646" w:val="left" w:leader="none"/>
              </w:tabs>
              <w:spacing w:before="64"/>
              <w:ind w:right="33"/>
              <w:rPr>
                <w:sz w:val="18"/>
              </w:rPr>
            </w:pPr>
            <w:r>
              <w:rPr>
                <w:rFonts w:ascii="Times New Roman"/>
                <w:sz w:val="18"/>
                <w:u w:val="single"/>
              </w:rPr>
              <w:t> </w:t>
              <w:tab/>
            </w:r>
            <w:r>
              <w:rPr>
                <w:sz w:val="18"/>
                <w:u w:val="single"/>
              </w:rPr>
              <w:t>(4,726)</w:t>
              <w:tab/>
              <w:t>(4,726)</w:t>
              <w:tab/>
              <w:t>4,726</w:t>
              <w:tab/>
            </w:r>
            <w:r>
              <w:rPr>
                <w:spacing w:val="-2"/>
                <w:sz w:val="18"/>
                <w:u w:val="single"/>
              </w:rPr>
              <w:t>4,726</w:t>
            </w:r>
          </w:p>
        </w:tc>
      </w:tr>
    </w:tbl>
    <w:p>
      <w:pPr>
        <w:pStyle w:val="BodyText"/>
        <w:spacing w:before="8"/>
        <w:rPr>
          <w:sz w:val="10"/>
        </w:rPr>
      </w:pPr>
    </w:p>
    <w:p>
      <w:pPr>
        <w:pStyle w:val="ListParagraph"/>
        <w:numPr>
          <w:ilvl w:val="0"/>
          <w:numId w:val="88"/>
        </w:numPr>
        <w:tabs>
          <w:tab w:pos="2377" w:val="left" w:leader="none"/>
        </w:tabs>
        <w:spacing w:line="240" w:lineRule="auto" w:before="77" w:after="0"/>
        <w:ind w:left="2376" w:right="0" w:hanging="269"/>
        <w:jc w:val="left"/>
        <w:rPr>
          <w:sz w:val="18"/>
        </w:rPr>
      </w:pPr>
      <w:r>
        <w:rPr>
          <w:sz w:val="18"/>
        </w:rPr>
        <w:t>These</w:t>
      </w:r>
      <w:r>
        <w:rPr>
          <w:spacing w:val="-8"/>
          <w:sz w:val="18"/>
        </w:rPr>
        <w:t> </w:t>
      </w:r>
      <w:r>
        <w:rPr>
          <w:sz w:val="18"/>
        </w:rPr>
        <w:t>amounts</w:t>
      </w:r>
      <w:r>
        <w:rPr>
          <w:spacing w:val="-8"/>
          <w:sz w:val="18"/>
        </w:rPr>
        <w:t> </w:t>
      </w:r>
      <w:r>
        <w:rPr>
          <w:sz w:val="18"/>
        </w:rPr>
        <w:t>exclude</w:t>
      </w:r>
      <w:r>
        <w:rPr>
          <w:spacing w:val="-8"/>
          <w:sz w:val="18"/>
        </w:rPr>
        <w:t> </w:t>
      </w:r>
      <w:r>
        <w:rPr>
          <w:sz w:val="18"/>
        </w:rPr>
        <w:t>all</w:t>
      </w:r>
      <w:r>
        <w:rPr>
          <w:spacing w:val="-8"/>
          <w:sz w:val="18"/>
        </w:rPr>
        <w:t> </w:t>
      </w:r>
      <w:r>
        <w:rPr>
          <w:sz w:val="18"/>
        </w:rPr>
        <w:t>statutory</w:t>
      </w:r>
      <w:r>
        <w:rPr>
          <w:spacing w:val="-8"/>
          <w:sz w:val="18"/>
        </w:rPr>
        <w:t> </w:t>
      </w:r>
      <w:r>
        <w:rPr>
          <w:sz w:val="18"/>
        </w:rPr>
        <w:t>payables</w:t>
      </w:r>
      <w:r>
        <w:rPr>
          <w:spacing w:val="-8"/>
          <w:sz w:val="18"/>
        </w:rPr>
        <w:t> </w:t>
      </w:r>
      <w:r>
        <w:rPr>
          <w:sz w:val="18"/>
        </w:rPr>
        <w:t>and</w:t>
      </w:r>
      <w:r>
        <w:rPr>
          <w:spacing w:val="-8"/>
          <w:sz w:val="18"/>
        </w:rPr>
        <w:t> </w:t>
      </w:r>
      <w:r>
        <w:rPr>
          <w:sz w:val="18"/>
        </w:rPr>
        <w:t>receivables.</w:t>
      </w:r>
    </w:p>
    <w:p>
      <w:pPr>
        <w:spacing w:after="0" w:line="240" w:lineRule="auto"/>
        <w:jc w:val="left"/>
        <w:rPr>
          <w:sz w:val="18"/>
        </w:rPr>
        <w:sectPr>
          <w:pgSz w:w="12750" w:h="17680"/>
          <w:pgMar w:header="0" w:footer="907" w:top="1880" w:bottom="1120" w:left="0" w:right="0"/>
        </w:sectPr>
      </w:pPr>
    </w:p>
    <w:p>
      <w:pPr>
        <w:pStyle w:val="BodyText"/>
        <w:spacing w:before="2"/>
        <w:rPr>
          <w:sz w:val="24"/>
        </w:rPr>
      </w:pPr>
    </w:p>
    <w:p>
      <w:pPr>
        <w:pStyle w:val="Heading4"/>
      </w:pPr>
      <w:r>
        <w:rPr/>
        <w:t>Notes to the financial statements</w:t>
      </w:r>
    </w:p>
    <w:p>
      <w:pPr>
        <w:pStyle w:val="Heading7"/>
      </w:pPr>
      <w:bookmarkStart w:name="3 Revenue" w:id="463"/>
      <w:bookmarkEnd w:id="463"/>
      <w:r>
        <w:rPr>
          <w:b w:val="0"/>
        </w:rPr>
      </w:r>
      <w:r>
        <w:rPr/>
        <w:t>For the Year Ended 31 December 2016</w:t>
      </w:r>
    </w:p>
    <w:p>
      <w:pPr>
        <w:pStyle w:val="BodyText"/>
        <w:rPr>
          <w:b/>
          <w:sz w:val="20"/>
        </w:rPr>
      </w:pPr>
    </w:p>
    <w:p>
      <w:pPr>
        <w:pStyle w:val="BodyText"/>
        <w:rPr>
          <w:b/>
          <w:sz w:val="20"/>
        </w:rPr>
      </w:pPr>
    </w:p>
    <w:p>
      <w:pPr>
        <w:pStyle w:val="BodyText"/>
        <w:spacing w:before="3"/>
        <w:rPr>
          <w:b/>
          <w:sz w:val="11"/>
        </w:rPr>
      </w:pPr>
    </w:p>
    <w:tbl>
      <w:tblPr>
        <w:tblW w:w="0" w:type="auto"/>
        <w:jc w:val="left"/>
        <w:tblInd w:w="139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038"/>
        <w:gridCol w:w="4860"/>
      </w:tblGrid>
      <w:tr>
        <w:trPr>
          <w:trHeight w:val="567" w:hRule="exact"/>
        </w:trPr>
        <w:tc>
          <w:tcPr>
            <w:tcW w:w="5038" w:type="dxa"/>
          </w:tcPr>
          <w:p>
            <w:pPr>
              <w:pStyle w:val="TableParagraph"/>
              <w:tabs>
                <w:tab w:pos="430" w:val="left" w:leader="none"/>
              </w:tabs>
              <w:spacing w:before="77"/>
              <w:ind w:left="35"/>
              <w:jc w:val="left"/>
              <w:rPr>
                <w:b/>
                <w:sz w:val="18"/>
              </w:rPr>
            </w:pPr>
            <w:r>
              <w:rPr>
                <w:b/>
                <w:sz w:val="18"/>
              </w:rPr>
              <w:t>3</w:t>
              <w:tab/>
              <w:t>Revenue</w:t>
            </w:r>
          </w:p>
        </w:tc>
        <w:tc>
          <w:tcPr>
            <w:tcW w:w="4860" w:type="dxa"/>
          </w:tcPr>
          <w:p>
            <w:pPr>
              <w:pStyle w:val="TableParagraph"/>
              <w:jc w:val="left"/>
              <w:rPr>
                <w:b/>
                <w:sz w:val="18"/>
              </w:rPr>
            </w:pPr>
          </w:p>
          <w:p>
            <w:pPr>
              <w:pStyle w:val="TableParagraph"/>
              <w:tabs>
                <w:tab w:pos="4050" w:val="left" w:leader="none"/>
              </w:tabs>
              <w:spacing w:before="110"/>
              <w:ind w:left="2766"/>
              <w:jc w:val="left"/>
              <w:rPr>
                <w:b/>
                <w:sz w:val="18"/>
              </w:rPr>
            </w:pPr>
            <w:r>
              <w:rPr>
                <w:b/>
                <w:sz w:val="18"/>
              </w:rPr>
              <w:t>2016</w:t>
              <w:tab/>
              <w:t>2015</w:t>
            </w:r>
          </w:p>
        </w:tc>
      </w:tr>
      <w:tr>
        <w:trPr>
          <w:trHeight w:val="266" w:hRule="exact"/>
        </w:trPr>
        <w:tc>
          <w:tcPr>
            <w:tcW w:w="5038" w:type="dxa"/>
          </w:tcPr>
          <w:p>
            <w:pPr/>
          </w:p>
        </w:tc>
        <w:tc>
          <w:tcPr>
            <w:tcW w:w="4860" w:type="dxa"/>
          </w:tcPr>
          <w:p>
            <w:pPr>
              <w:pStyle w:val="TableParagraph"/>
              <w:tabs>
                <w:tab w:pos="4200" w:val="left" w:leader="none"/>
              </w:tabs>
              <w:spacing w:before="24"/>
              <w:ind w:left="2916"/>
              <w:jc w:val="left"/>
              <w:rPr>
                <w:b/>
                <w:sz w:val="18"/>
              </w:rPr>
            </w:pPr>
            <w:r>
              <w:rPr>
                <w:b/>
                <w:sz w:val="18"/>
              </w:rPr>
              <w:t>$</w:t>
              <w:tab/>
              <w:t>$</w:t>
            </w:r>
          </w:p>
        </w:tc>
      </w:tr>
      <w:tr>
        <w:trPr>
          <w:trHeight w:val="439" w:hRule="exact"/>
        </w:trPr>
        <w:tc>
          <w:tcPr>
            <w:tcW w:w="5038" w:type="dxa"/>
          </w:tcPr>
          <w:p>
            <w:pPr>
              <w:pStyle w:val="TableParagraph"/>
              <w:spacing w:line="207" w:lineRule="exact" w:before="16"/>
              <w:ind w:left="35"/>
              <w:jc w:val="left"/>
              <w:rPr>
                <w:b/>
                <w:sz w:val="18"/>
              </w:rPr>
            </w:pPr>
            <w:r>
              <w:rPr>
                <w:b/>
                <w:sz w:val="18"/>
              </w:rPr>
              <w:t>Services</w:t>
            </w:r>
          </w:p>
          <w:p>
            <w:pPr>
              <w:pStyle w:val="TableParagraph"/>
              <w:spacing w:line="207" w:lineRule="exact"/>
              <w:ind w:left="35"/>
              <w:jc w:val="left"/>
              <w:rPr>
                <w:sz w:val="12"/>
              </w:rPr>
            </w:pPr>
            <w:r>
              <w:rPr>
                <w:sz w:val="18"/>
              </w:rPr>
              <w:t>Donations </w:t>
            </w:r>
            <w:r>
              <w:rPr>
                <w:position w:val="5"/>
                <w:sz w:val="12"/>
              </w:rPr>
              <w:t>(a)</w:t>
            </w:r>
          </w:p>
        </w:tc>
        <w:tc>
          <w:tcPr>
            <w:tcW w:w="4860" w:type="dxa"/>
          </w:tcPr>
          <w:p>
            <w:pPr>
              <w:pStyle w:val="TableParagraph"/>
              <w:spacing w:before="4"/>
              <w:jc w:val="left"/>
              <w:rPr>
                <w:b/>
                <w:sz w:val="19"/>
              </w:rPr>
            </w:pPr>
          </w:p>
          <w:p>
            <w:pPr>
              <w:pStyle w:val="TableParagraph"/>
              <w:tabs>
                <w:tab w:pos="1397" w:val="left" w:leader="none"/>
              </w:tabs>
              <w:ind w:right="33"/>
              <w:rPr>
                <w:sz w:val="18"/>
              </w:rPr>
            </w:pPr>
            <w:r>
              <w:rPr>
                <w:b/>
                <w:sz w:val="18"/>
              </w:rPr>
              <w:t>150,725</w:t>
              <w:tab/>
            </w:r>
            <w:r>
              <w:rPr>
                <w:spacing w:val="-1"/>
                <w:w w:val="95"/>
                <w:sz w:val="18"/>
              </w:rPr>
              <w:t>55,778</w:t>
            </w:r>
          </w:p>
        </w:tc>
      </w:tr>
      <w:tr>
        <w:trPr>
          <w:trHeight w:val="212" w:hRule="exact"/>
        </w:trPr>
        <w:tc>
          <w:tcPr>
            <w:tcW w:w="5038" w:type="dxa"/>
          </w:tcPr>
          <w:p>
            <w:pPr>
              <w:pStyle w:val="TableParagraph"/>
              <w:spacing w:line="197" w:lineRule="exact"/>
              <w:ind w:left="35"/>
              <w:jc w:val="left"/>
              <w:rPr>
                <w:sz w:val="18"/>
              </w:rPr>
            </w:pPr>
            <w:r>
              <w:rPr>
                <w:sz w:val="18"/>
              </w:rPr>
              <w:t>Royalty and intellectual property</w:t>
            </w:r>
          </w:p>
        </w:tc>
        <w:tc>
          <w:tcPr>
            <w:tcW w:w="4860" w:type="dxa"/>
          </w:tcPr>
          <w:p>
            <w:pPr>
              <w:pStyle w:val="TableParagraph"/>
              <w:tabs>
                <w:tab w:pos="1148" w:val="left" w:leader="none"/>
                <w:tab w:pos="1958" w:val="left" w:leader="none"/>
              </w:tabs>
              <w:spacing w:line="197" w:lineRule="exact"/>
              <w:ind w:right="33"/>
              <w:rPr>
                <w:sz w:val="18"/>
              </w:rPr>
            </w:pPr>
            <w:r>
              <w:rPr>
                <w:rFonts w:ascii="Times New Roman"/>
                <w:sz w:val="18"/>
                <w:u w:val="single"/>
              </w:rPr>
              <w:t> </w:t>
              <w:tab/>
            </w:r>
            <w:r>
              <w:rPr>
                <w:b/>
                <w:sz w:val="18"/>
                <w:u w:val="single"/>
              </w:rPr>
              <w:t>-</w:t>
              <w:tab/>
            </w:r>
            <w:r>
              <w:rPr>
                <w:spacing w:val="-1"/>
                <w:w w:val="95"/>
                <w:sz w:val="18"/>
                <w:u w:val="single"/>
              </w:rPr>
              <w:t>23,550</w:t>
            </w:r>
          </w:p>
        </w:tc>
      </w:tr>
      <w:tr>
        <w:trPr>
          <w:trHeight w:val="362" w:hRule="exact"/>
        </w:trPr>
        <w:tc>
          <w:tcPr>
            <w:tcW w:w="5038" w:type="dxa"/>
          </w:tcPr>
          <w:p>
            <w:pPr>
              <w:pStyle w:val="TableParagraph"/>
              <w:spacing w:line="201" w:lineRule="exact"/>
              <w:ind w:left="35"/>
              <w:jc w:val="left"/>
              <w:rPr>
                <w:b/>
                <w:sz w:val="18"/>
              </w:rPr>
            </w:pPr>
            <w:r>
              <w:rPr>
                <w:b/>
                <w:sz w:val="18"/>
              </w:rPr>
              <w:t>Total services</w:t>
            </w:r>
          </w:p>
        </w:tc>
        <w:tc>
          <w:tcPr>
            <w:tcW w:w="4860" w:type="dxa"/>
          </w:tcPr>
          <w:p>
            <w:pPr>
              <w:pStyle w:val="TableParagraph"/>
              <w:tabs>
                <w:tab w:pos="560" w:val="left" w:leader="none"/>
                <w:tab w:pos="1958" w:val="left" w:leader="none"/>
              </w:tabs>
              <w:spacing w:line="201" w:lineRule="exact"/>
              <w:ind w:right="33"/>
              <w:rPr>
                <w:sz w:val="18"/>
              </w:rPr>
            </w:pPr>
            <w:r>
              <w:rPr>
                <w:rFonts w:ascii="Times New Roman"/>
                <w:sz w:val="18"/>
                <w:u w:val="single"/>
              </w:rPr>
              <w:t> </w:t>
              <w:tab/>
            </w:r>
            <w:r>
              <w:rPr>
                <w:b/>
                <w:sz w:val="18"/>
                <w:u w:val="single"/>
              </w:rPr>
              <w:t>150,725</w:t>
              <w:tab/>
            </w:r>
            <w:r>
              <w:rPr>
                <w:spacing w:val="-1"/>
                <w:w w:val="95"/>
                <w:sz w:val="18"/>
                <w:u w:val="single"/>
              </w:rPr>
              <w:t>79,328</w:t>
            </w:r>
          </w:p>
        </w:tc>
      </w:tr>
      <w:tr>
        <w:trPr>
          <w:trHeight w:val="357" w:hRule="exact"/>
        </w:trPr>
        <w:tc>
          <w:tcPr>
            <w:tcW w:w="5038" w:type="dxa"/>
          </w:tcPr>
          <w:p>
            <w:pPr>
              <w:pStyle w:val="TableParagraph"/>
              <w:spacing w:before="141"/>
              <w:ind w:left="35"/>
              <w:jc w:val="left"/>
              <w:rPr>
                <w:b/>
                <w:sz w:val="18"/>
              </w:rPr>
            </w:pPr>
            <w:r>
              <w:rPr>
                <w:b/>
                <w:sz w:val="18"/>
              </w:rPr>
              <w:t>Other revenue</w:t>
            </w:r>
          </w:p>
        </w:tc>
        <w:tc>
          <w:tcPr>
            <w:tcW w:w="4860" w:type="dxa"/>
          </w:tcPr>
          <w:p>
            <w:pPr/>
          </w:p>
        </w:tc>
      </w:tr>
      <w:tr>
        <w:trPr>
          <w:trHeight w:val="206" w:hRule="exact"/>
        </w:trPr>
        <w:tc>
          <w:tcPr>
            <w:tcW w:w="5038" w:type="dxa"/>
          </w:tcPr>
          <w:p>
            <w:pPr>
              <w:pStyle w:val="TableParagraph"/>
              <w:spacing w:line="197" w:lineRule="exact"/>
              <w:ind w:left="35"/>
              <w:jc w:val="left"/>
              <w:rPr>
                <w:sz w:val="18"/>
              </w:rPr>
            </w:pPr>
            <w:r>
              <w:rPr>
                <w:sz w:val="18"/>
              </w:rPr>
              <w:t>Interest</w:t>
            </w:r>
          </w:p>
        </w:tc>
        <w:tc>
          <w:tcPr>
            <w:tcW w:w="4860" w:type="dxa"/>
          </w:tcPr>
          <w:p>
            <w:pPr>
              <w:pStyle w:val="TableParagraph"/>
              <w:tabs>
                <w:tab w:pos="1448" w:val="left" w:leader="none"/>
              </w:tabs>
              <w:spacing w:line="197" w:lineRule="exact"/>
              <w:ind w:right="33"/>
              <w:rPr>
                <w:sz w:val="18"/>
              </w:rPr>
            </w:pPr>
            <w:r>
              <w:rPr>
                <w:b/>
                <w:sz w:val="18"/>
              </w:rPr>
              <w:t>4,114</w:t>
              <w:tab/>
            </w:r>
            <w:r>
              <w:rPr>
                <w:spacing w:val="-2"/>
                <w:sz w:val="18"/>
              </w:rPr>
              <w:t>607</w:t>
            </w:r>
          </w:p>
        </w:tc>
      </w:tr>
      <w:tr>
        <w:trPr>
          <w:trHeight w:val="212" w:hRule="exact"/>
        </w:trPr>
        <w:tc>
          <w:tcPr>
            <w:tcW w:w="5038" w:type="dxa"/>
          </w:tcPr>
          <w:p>
            <w:pPr>
              <w:pStyle w:val="TableParagraph"/>
              <w:spacing w:line="197" w:lineRule="exact"/>
              <w:ind w:left="35"/>
              <w:jc w:val="left"/>
              <w:rPr>
                <w:sz w:val="18"/>
              </w:rPr>
            </w:pPr>
            <w:r>
              <w:rPr>
                <w:sz w:val="18"/>
              </w:rPr>
              <w:t>Distributions from managed funds</w:t>
            </w:r>
          </w:p>
        </w:tc>
        <w:tc>
          <w:tcPr>
            <w:tcW w:w="4860" w:type="dxa"/>
          </w:tcPr>
          <w:p>
            <w:pPr>
              <w:pStyle w:val="TableParagraph"/>
              <w:tabs>
                <w:tab w:pos="759" w:val="left" w:leader="none"/>
                <w:tab w:pos="1958" w:val="left" w:leader="none"/>
              </w:tabs>
              <w:spacing w:line="197" w:lineRule="exact"/>
              <w:ind w:right="33"/>
              <w:rPr>
                <w:sz w:val="18"/>
              </w:rPr>
            </w:pPr>
            <w:r>
              <w:rPr>
                <w:rFonts w:ascii="Times New Roman"/>
                <w:sz w:val="18"/>
                <w:u w:val="single"/>
              </w:rPr>
              <w:t> </w:t>
              <w:tab/>
            </w:r>
            <w:r>
              <w:rPr>
                <w:b/>
                <w:sz w:val="18"/>
                <w:u w:val="single"/>
              </w:rPr>
              <w:t>9,965</w:t>
              <w:tab/>
            </w:r>
            <w:r>
              <w:rPr>
                <w:spacing w:val="-1"/>
                <w:w w:val="95"/>
                <w:sz w:val="18"/>
                <w:u w:val="single"/>
              </w:rPr>
              <w:t>10,734</w:t>
            </w:r>
          </w:p>
        </w:tc>
      </w:tr>
      <w:tr>
        <w:trPr>
          <w:trHeight w:val="358" w:hRule="exact"/>
        </w:trPr>
        <w:tc>
          <w:tcPr>
            <w:tcW w:w="5038" w:type="dxa"/>
          </w:tcPr>
          <w:p>
            <w:pPr>
              <w:pStyle w:val="TableParagraph"/>
              <w:spacing w:line="201" w:lineRule="exact"/>
              <w:ind w:left="35"/>
              <w:jc w:val="left"/>
              <w:rPr>
                <w:b/>
                <w:sz w:val="18"/>
              </w:rPr>
            </w:pPr>
            <w:bookmarkStart w:name="(a) Donations" w:id="464"/>
            <w:bookmarkEnd w:id="464"/>
            <w:r>
              <w:rPr/>
            </w:r>
            <w:r>
              <w:rPr>
                <w:b/>
                <w:sz w:val="18"/>
              </w:rPr>
              <w:t>Total other revenue</w:t>
            </w:r>
          </w:p>
        </w:tc>
        <w:tc>
          <w:tcPr>
            <w:tcW w:w="4860" w:type="dxa"/>
          </w:tcPr>
          <w:p>
            <w:pPr>
              <w:pStyle w:val="TableParagraph"/>
              <w:tabs>
                <w:tab w:pos="659" w:val="left" w:leader="none"/>
                <w:tab w:pos="1958" w:val="left" w:leader="none"/>
              </w:tabs>
              <w:spacing w:line="201" w:lineRule="exact"/>
              <w:ind w:right="33"/>
              <w:rPr>
                <w:sz w:val="18"/>
              </w:rPr>
            </w:pPr>
            <w:r>
              <w:rPr>
                <w:rFonts w:ascii="Times New Roman"/>
                <w:sz w:val="18"/>
                <w:u w:val="single"/>
              </w:rPr>
              <w:t> </w:t>
              <w:tab/>
            </w:r>
            <w:r>
              <w:rPr>
                <w:b/>
                <w:sz w:val="18"/>
                <w:u w:val="single"/>
              </w:rPr>
              <w:t>14,079</w:t>
              <w:tab/>
            </w:r>
            <w:r>
              <w:rPr>
                <w:spacing w:val="-1"/>
                <w:w w:val="95"/>
                <w:sz w:val="18"/>
                <w:u w:val="single"/>
              </w:rPr>
              <w:t>11,341</w:t>
            </w:r>
          </w:p>
        </w:tc>
      </w:tr>
      <w:tr>
        <w:trPr>
          <w:trHeight w:val="516" w:hRule="exact"/>
        </w:trPr>
        <w:tc>
          <w:tcPr>
            <w:tcW w:w="5038" w:type="dxa"/>
          </w:tcPr>
          <w:p>
            <w:pPr>
              <w:pStyle w:val="TableParagraph"/>
              <w:spacing w:before="136"/>
              <w:ind w:left="35"/>
              <w:jc w:val="left"/>
              <w:rPr>
                <w:b/>
                <w:sz w:val="18"/>
              </w:rPr>
            </w:pPr>
            <w:r>
              <w:rPr>
                <w:b/>
                <w:sz w:val="18"/>
              </w:rPr>
              <w:t>Total revenue</w:t>
            </w:r>
          </w:p>
        </w:tc>
        <w:tc>
          <w:tcPr>
            <w:tcW w:w="4860" w:type="dxa"/>
          </w:tcPr>
          <w:p>
            <w:pPr>
              <w:pStyle w:val="TableParagraph"/>
              <w:tabs>
                <w:tab w:pos="560" w:val="left" w:leader="none"/>
                <w:tab w:pos="1958" w:val="left" w:leader="none"/>
              </w:tabs>
              <w:spacing w:before="136"/>
              <w:ind w:right="33"/>
              <w:rPr>
                <w:sz w:val="18"/>
              </w:rPr>
            </w:pPr>
            <w:r>
              <w:rPr>
                <w:rFonts w:ascii="Times New Roman"/>
                <w:sz w:val="18"/>
                <w:u w:val="single"/>
              </w:rPr>
              <w:t> </w:t>
              <w:tab/>
            </w:r>
            <w:r>
              <w:rPr>
                <w:b/>
                <w:sz w:val="18"/>
                <w:u w:val="single"/>
              </w:rPr>
              <w:t>164,804</w:t>
              <w:tab/>
            </w:r>
            <w:r>
              <w:rPr>
                <w:spacing w:val="-1"/>
                <w:w w:val="95"/>
                <w:sz w:val="18"/>
                <w:u w:val="single"/>
              </w:rPr>
              <w:t>90,669</w:t>
            </w:r>
          </w:p>
        </w:tc>
      </w:tr>
      <w:tr>
        <w:trPr>
          <w:trHeight w:val="456" w:hRule="exact"/>
        </w:trPr>
        <w:tc>
          <w:tcPr>
            <w:tcW w:w="5038" w:type="dxa"/>
          </w:tcPr>
          <w:p>
            <w:pPr>
              <w:pStyle w:val="TableParagraph"/>
              <w:tabs>
                <w:tab w:pos="997" w:val="left" w:leader="none"/>
              </w:tabs>
              <w:spacing w:before="153"/>
              <w:ind w:left="431"/>
              <w:jc w:val="left"/>
              <w:rPr>
                <w:b/>
                <w:sz w:val="18"/>
              </w:rPr>
            </w:pPr>
            <w:r>
              <w:rPr>
                <w:b/>
                <w:sz w:val="18"/>
              </w:rPr>
              <w:t>(a)</w:t>
              <w:tab/>
              <w:t>Donations</w:t>
            </w:r>
          </w:p>
        </w:tc>
        <w:tc>
          <w:tcPr>
            <w:tcW w:w="4860" w:type="dxa"/>
          </w:tcPr>
          <w:p>
            <w:pPr/>
          </w:p>
        </w:tc>
      </w:tr>
    </w:tbl>
    <w:p>
      <w:pPr>
        <w:pStyle w:val="BodyText"/>
        <w:spacing w:before="4"/>
        <w:rPr>
          <w:b/>
          <w:sz w:val="10"/>
        </w:rPr>
      </w:pPr>
    </w:p>
    <w:p>
      <w:pPr>
        <w:pStyle w:val="BodyText"/>
        <w:spacing w:before="77"/>
        <w:ind w:left="1824" w:right="1410"/>
      </w:pPr>
      <w:r>
        <w:rPr/>
        <w:drawing>
          <wp:anchor distT="0" distB="0" distL="0" distR="0" allowOverlap="1" layoutInCell="1" locked="0" behindDoc="0" simplePos="0" relativeHeight="15856">
            <wp:simplePos x="0" y="0"/>
            <wp:positionH relativeFrom="page">
              <wp:posOffset>-1587</wp:posOffset>
            </wp:positionH>
            <wp:positionV relativeFrom="paragraph">
              <wp:posOffset>752905</wp:posOffset>
            </wp:positionV>
            <wp:extent cx="135159" cy="154019"/>
            <wp:effectExtent l="0" t="0" r="0" b="0"/>
            <wp:wrapNone/>
            <wp:docPr id="1085" name="image13.png" descr=""/>
            <wp:cNvGraphicFramePr>
              <a:graphicFrameLocks noChangeAspect="1"/>
            </wp:cNvGraphicFramePr>
            <a:graphic>
              <a:graphicData uri="http://schemas.openxmlformats.org/drawingml/2006/picture">
                <pic:pic>
                  <pic:nvPicPr>
                    <pic:cNvPr id="1086" name="image13.png"/>
                    <pic:cNvPicPr/>
                  </pic:nvPicPr>
                  <pic:blipFill>
                    <a:blip r:embed="rId18" cstate="print"/>
                    <a:stretch>
                      <a:fillRect/>
                    </a:stretch>
                  </pic:blipFill>
                  <pic:spPr>
                    <a:xfrm>
                      <a:off x="0" y="0"/>
                      <a:ext cx="135159" cy="154019"/>
                    </a:xfrm>
                    <a:prstGeom prst="rect">
                      <a:avLst/>
                    </a:prstGeom>
                  </pic:spPr>
                </pic:pic>
              </a:graphicData>
            </a:graphic>
          </wp:anchor>
        </w:drawing>
      </w:r>
      <w:r>
        <w:rPr/>
        <w:drawing>
          <wp:anchor distT="0" distB="0" distL="0" distR="0" allowOverlap="1" layoutInCell="1" locked="0" behindDoc="0" simplePos="0" relativeHeight="15880">
            <wp:simplePos x="0" y="0"/>
            <wp:positionH relativeFrom="page">
              <wp:posOffset>7958429</wp:posOffset>
            </wp:positionH>
            <wp:positionV relativeFrom="paragraph">
              <wp:posOffset>752905</wp:posOffset>
            </wp:positionV>
            <wp:extent cx="135953" cy="155575"/>
            <wp:effectExtent l="0" t="0" r="0" b="0"/>
            <wp:wrapNone/>
            <wp:docPr id="1087" name="image15.png" descr=""/>
            <wp:cNvGraphicFramePr>
              <a:graphicFrameLocks noChangeAspect="1"/>
            </wp:cNvGraphicFramePr>
            <a:graphic>
              <a:graphicData uri="http://schemas.openxmlformats.org/drawingml/2006/picture">
                <pic:pic>
                  <pic:nvPicPr>
                    <pic:cNvPr id="1088" name="image15.png"/>
                    <pic:cNvPicPr/>
                  </pic:nvPicPr>
                  <pic:blipFill>
                    <a:blip r:embed="rId20" cstate="print"/>
                    <a:stretch>
                      <a:fillRect/>
                    </a:stretch>
                  </pic:blipFill>
                  <pic:spPr>
                    <a:xfrm>
                      <a:off x="0" y="0"/>
                      <a:ext cx="135953" cy="155575"/>
                    </a:xfrm>
                    <a:prstGeom prst="rect">
                      <a:avLst/>
                    </a:prstGeom>
                  </pic:spPr>
                </pic:pic>
              </a:graphicData>
            </a:graphic>
          </wp:anchor>
        </w:drawing>
      </w:r>
      <w:bookmarkStart w:name="4 Expenses" w:id="465"/>
      <w:bookmarkEnd w:id="465"/>
      <w:r>
        <w:rPr/>
      </w:r>
      <w:r>
        <w:rPr/>
        <w:t>In 2016 the Trust received donations of $150,725. This has increased significantly from 2015 following the establishment of the EG Whitlam Centenary Endowment Fund along with a fund raising dinner to mark the centenary of the Hon Gough Whitlam AC QC .</w:t>
      </w:r>
    </w:p>
    <w:p>
      <w:pPr>
        <w:pStyle w:val="BodyText"/>
        <w:spacing w:before="11"/>
        <w:rPr>
          <w:sz w:val="19"/>
        </w:rPr>
      </w:pPr>
    </w:p>
    <w:tbl>
      <w:tblPr>
        <w:tblW w:w="0" w:type="auto"/>
        <w:jc w:val="left"/>
        <w:tblInd w:w="139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359"/>
        <w:gridCol w:w="1477"/>
        <w:gridCol w:w="1117"/>
      </w:tblGrid>
      <w:tr>
        <w:trPr>
          <w:trHeight w:val="725" w:hRule="exact"/>
        </w:trPr>
        <w:tc>
          <w:tcPr>
            <w:tcW w:w="7359" w:type="dxa"/>
          </w:tcPr>
          <w:p>
            <w:pPr>
              <w:pStyle w:val="TableParagraph"/>
              <w:tabs>
                <w:tab w:pos="430" w:val="left" w:leader="none"/>
              </w:tabs>
              <w:spacing w:before="77"/>
              <w:ind w:left="36"/>
              <w:jc w:val="left"/>
              <w:rPr>
                <w:b/>
                <w:sz w:val="18"/>
              </w:rPr>
            </w:pPr>
            <w:r>
              <w:rPr>
                <w:b/>
                <w:sz w:val="18"/>
              </w:rPr>
              <w:t>4</w:t>
              <w:tab/>
              <w:t>Expenses</w:t>
            </w:r>
          </w:p>
        </w:tc>
        <w:tc>
          <w:tcPr>
            <w:tcW w:w="1477" w:type="dxa"/>
          </w:tcPr>
          <w:p>
            <w:pPr>
              <w:pStyle w:val="TableParagraph"/>
              <w:jc w:val="left"/>
              <w:rPr>
                <w:sz w:val="25"/>
              </w:rPr>
            </w:pPr>
          </w:p>
          <w:p>
            <w:pPr>
              <w:pStyle w:val="TableParagraph"/>
              <w:spacing w:line="207" w:lineRule="exact"/>
              <w:ind w:left="428" w:right="607"/>
              <w:jc w:val="center"/>
              <w:rPr>
                <w:b/>
                <w:sz w:val="18"/>
              </w:rPr>
            </w:pPr>
            <w:r>
              <w:rPr>
                <w:b/>
                <w:sz w:val="18"/>
              </w:rPr>
              <w:t>2016</w:t>
            </w:r>
          </w:p>
          <w:p>
            <w:pPr>
              <w:pStyle w:val="TableParagraph"/>
              <w:spacing w:line="207" w:lineRule="exact"/>
              <w:ind w:right="177"/>
              <w:jc w:val="center"/>
              <w:rPr>
                <w:b/>
                <w:sz w:val="18"/>
              </w:rPr>
            </w:pPr>
            <w:r>
              <w:rPr>
                <w:b/>
                <w:w w:val="99"/>
                <w:sz w:val="18"/>
              </w:rPr>
              <w:t>$</w:t>
            </w:r>
          </w:p>
        </w:tc>
        <w:tc>
          <w:tcPr>
            <w:tcW w:w="1117" w:type="dxa"/>
          </w:tcPr>
          <w:p>
            <w:pPr>
              <w:pStyle w:val="TableParagraph"/>
              <w:jc w:val="left"/>
              <w:rPr>
                <w:sz w:val="25"/>
              </w:rPr>
            </w:pPr>
          </w:p>
          <w:p>
            <w:pPr>
              <w:pStyle w:val="TableParagraph"/>
              <w:spacing w:line="207" w:lineRule="exact"/>
              <w:ind w:left="248" w:right="427"/>
              <w:jc w:val="center"/>
              <w:rPr>
                <w:sz w:val="18"/>
              </w:rPr>
            </w:pPr>
            <w:r>
              <w:rPr>
                <w:sz w:val="18"/>
              </w:rPr>
              <w:t>2015</w:t>
            </w:r>
          </w:p>
          <w:p>
            <w:pPr>
              <w:pStyle w:val="TableParagraph"/>
              <w:spacing w:line="207" w:lineRule="exact"/>
              <w:ind w:right="177"/>
              <w:jc w:val="center"/>
              <w:rPr>
                <w:sz w:val="18"/>
              </w:rPr>
            </w:pPr>
            <w:r>
              <w:rPr>
                <w:w w:val="99"/>
                <w:sz w:val="18"/>
              </w:rPr>
              <w:t>$</w:t>
            </w:r>
          </w:p>
        </w:tc>
      </w:tr>
      <w:tr>
        <w:trPr>
          <w:trHeight w:val="250" w:hRule="exact"/>
        </w:trPr>
        <w:tc>
          <w:tcPr>
            <w:tcW w:w="7359" w:type="dxa"/>
          </w:tcPr>
          <w:p>
            <w:pPr>
              <w:pStyle w:val="TableParagraph"/>
              <w:spacing w:before="6"/>
              <w:ind w:left="35"/>
              <w:jc w:val="left"/>
              <w:rPr>
                <w:sz w:val="18"/>
              </w:rPr>
            </w:pPr>
            <w:r>
              <w:rPr>
                <w:sz w:val="18"/>
              </w:rPr>
              <w:t>Contribution to Ultimate Parent Entity</w:t>
            </w:r>
          </w:p>
        </w:tc>
        <w:tc>
          <w:tcPr>
            <w:tcW w:w="1477" w:type="dxa"/>
          </w:tcPr>
          <w:p>
            <w:pPr>
              <w:pStyle w:val="TableParagraph"/>
              <w:spacing w:before="4"/>
              <w:ind w:right="266"/>
              <w:rPr>
                <w:b/>
                <w:sz w:val="18"/>
              </w:rPr>
            </w:pPr>
            <w:r>
              <w:rPr>
                <w:b/>
                <w:w w:val="95"/>
                <w:sz w:val="18"/>
              </w:rPr>
              <w:t>55,870</w:t>
            </w:r>
          </w:p>
        </w:tc>
        <w:tc>
          <w:tcPr>
            <w:tcW w:w="1117" w:type="dxa"/>
          </w:tcPr>
          <w:p>
            <w:pPr>
              <w:pStyle w:val="TableParagraph"/>
              <w:spacing w:before="4"/>
              <w:ind w:right="86"/>
              <w:rPr>
                <w:sz w:val="18"/>
              </w:rPr>
            </w:pPr>
            <w:r>
              <w:rPr>
                <w:w w:val="95"/>
                <w:sz w:val="18"/>
              </w:rPr>
              <w:t>55,000</w:t>
            </w:r>
          </w:p>
        </w:tc>
      </w:tr>
      <w:tr>
        <w:trPr>
          <w:trHeight w:val="281" w:hRule="exact"/>
        </w:trPr>
        <w:tc>
          <w:tcPr>
            <w:tcW w:w="7359" w:type="dxa"/>
          </w:tcPr>
          <w:p>
            <w:pPr>
              <w:pStyle w:val="TableParagraph"/>
              <w:spacing w:before="18"/>
              <w:ind w:left="35"/>
              <w:jc w:val="left"/>
              <w:rPr>
                <w:sz w:val="18"/>
              </w:rPr>
            </w:pPr>
            <w:r>
              <w:rPr>
                <w:sz w:val="18"/>
              </w:rPr>
              <w:t>Event expenses</w:t>
            </w:r>
          </w:p>
        </w:tc>
        <w:tc>
          <w:tcPr>
            <w:tcW w:w="1477" w:type="dxa"/>
          </w:tcPr>
          <w:p>
            <w:pPr>
              <w:pStyle w:val="TableParagraph"/>
              <w:spacing w:before="45"/>
              <w:ind w:right="266"/>
              <w:rPr>
                <w:b/>
                <w:sz w:val="18"/>
              </w:rPr>
            </w:pPr>
            <w:r>
              <w:rPr>
                <w:b/>
                <w:sz w:val="18"/>
              </w:rPr>
              <w:t>1,191</w:t>
            </w:r>
          </w:p>
        </w:tc>
        <w:tc>
          <w:tcPr>
            <w:tcW w:w="1117" w:type="dxa"/>
          </w:tcPr>
          <w:p>
            <w:pPr>
              <w:pStyle w:val="TableParagraph"/>
              <w:spacing w:before="45"/>
              <w:ind w:right="86"/>
              <w:rPr>
                <w:sz w:val="18"/>
              </w:rPr>
            </w:pPr>
            <w:r>
              <w:rPr>
                <w:w w:val="99"/>
                <w:sz w:val="18"/>
              </w:rPr>
              <w:t>-</w:t>
            </w:r>
          </w:p>
        </w:tc>
      </w:tr>
      <w:tr>
        <w:trPr>
          <w:trHeight w:val="253" w:hRule="exact"/>
        </w:trPr>
        <w:tc>
          <w:tcPr>
            <w:tcW w:w="7359" w:type="dxa"/>
          </w:tcPr>
          <w:p>
            <w:pPr>
              <w:pStyle w:val="TableParagraph"/>
              <w:spacing w:before="10"/>
              <w:ind w:left="35"/>
              <w:jc w:val="left"/>
              <w:rPr>
                <w:sz w:val="18"/>
              </w:rPr>
            </w:pPr>
            <w:bookmarkStart w:name="5 Remuneration of Auditors" w:id="466"/>
            <w:bookmarkEnd w:id="466"/>
            <w:r>
              <w:rPr/>
            </w:r>
            <w:r>
              <w:rPr>
                <w:sz w:val="18"/>
              </w:rPr>
              <w:t>Bank charges</w:t>
            </w:r>
          </w:p>
        </w:tc>
        <w:tc>
          <w:tcPr>
            <w:tcW w:w="1477" w:type="dxa"/>
            <w:tcBorders>
              <w:bottom w:val="single" w:sz="0" w:space="0" w:color="000000"/>
            </w:tcBorders>
          </w:tcPr>
          <w:p>
            <w:pPr>
              <w:pStyle w:val="TableParagraph"/>
              <w:spacing w:before="9"/>
              <w:ind w:right="266"/>
              <w:rPr>
                <w:b/>
                <w:sz w:val="18"/>
              </w:rPr>
            </w:pPr>
            <w:r>
              <w:rPr>
                <w:b/>
                <w:sz w:val="18"/>
              </w:rPr>
              <w:t>197</w:t>
            </w:r>
          </w:p>
        </w:tc>
        <w:tc>
          <w:tcPr>
            <w:tcW w:w="1117" w:type="dxa"/>
            <w:tcBorders>
              <w:bottom w:val="single" w:sz="0" w:space="0" w:color="000000"/>
            </w:tcBorders>
          </w:tcPr>
          <w:p>
            <w:pPr>
              <w:pStyle w:val="TableParagraph"/>
              <w:spacing w:before="9"/>
              <w:ind w:right="86"/>
              <w:rPr>
                <w:sz w:val="18"/>
              </w:rPr>
            </w:pPr>
            <w:r>
              <w:rPr>
                <w:sz w:val="18"/>
              </w:rPr>
              <w:t>194</w:t>
            </w:r>
          </w:p>
        </w:tc>
      </w:tr>
      <w:tr>
        <w:trPr>
          <w:trHeight w:val="338" w:hRule="exact"/>
        </w:trPr>
        <w:tc>
          <w:tcPr>
            <w:tcW w:w="7359" w:type="dxa"/>
          </w:tcPr>
          <w:p>
            <w:pPr>
              <w:pStyle w:val="TableParagraph"/>
              <w:spacing w:before="123"/>
              <w:ind w:left="35"/>
              <w:jc w:val="left"/>
              <w:rPr>
                <w:b/>
                <w:sz w:val="18"/>
              </w:rPr>
            </w:pPr>
            <w:r>
              <w:rPr>
                <w:b/>
                <w:sz w:val="18"/>
              </w:rPr>
              <w:t>Total expenses</w:t>
            </w:r>
          </w:p>
        </w:tc>
        <w:tc>
          <w:tcPr>
            <w:tcW w:w="1477" w:type="dxa"/>
            <w:tcBorders>
              <w:top w:val="single" w:sz="0" w:space="0" w:color="000000"/>
              <w:bottom w:val="single" w:sz="0" w:space="0" w:color="000000"/>
            </w:tcBorders>
          </w:tcPr>
          <w:p>
            <w:pPr>
              <w:pStyle w:val="TableParagraph"/>
              <w:spacing w:before="122"/>
              <w:ind w:right="266"/>
              <w:rPr>
                <w:b/>
                <w:sz w:val="18"/>
              </w:rPr>
            </w:pPr>
            <w:r>
              <w:rPr>
                <w:b/>
                <w:w w:val="95"/>
                <w:sz w:val="18"/>
              </w:rPr>
              <w:t>57,258</w:t>
            </w:r>
          </w:p>
        </w:tc>
        <w:tc>
          <w:tcPr>
            <w:tcW w:w="1117" w:type="dxa"/>
            <w:tcBorders>
              <w:top w:val="single" w:sz="0" w:space="0" w:color="000000"/>
              <w:bottom w:val="single" w:sz="0" w:space="0" w:color="000000"/>
            </w:tcBorders>
          </w:tcPr>
          <w:p>
            <w:pPr>
              <w:pStyle w:val="TableParagraph"/>
              <w:spacing w:before="122"/>
              <w:ind w:right="86"/>
              <w:rPr>
                <w:sz w:val="18"/>
              </w:rPr>
            </w:pPr>
            <w:r>
              <w:rPr>
                <w:w w:val="95"/>
                <w:sz w:val="18"/>
              </w:rPr>
              <w:t>55,194</w:t>
            </w:r>
          </w:p>
        </w:tc>
      </w:tr>
      <w:tr>
        <w:trPr>
          <w:trHeight w:val="602" w:hRule="exact"/>
        </w:trPr>
        <w:tc>
          <w:tcPr>
            <w:tcW w:w="7359" w:type="dxa"/>
          </w:tcPr>
          <w:p>
            <w:pPr>
              <w:pStyle w:val="TableParagraph"/>
              <w:spacing w:before="11"/>
              <w:jc w:val="left"/>
              <w:rPr>
                <w:sz w:val="25"/>
              </w:rPr>
            </w:pPr>
          </w:p>
          <w:p>
            <w:pPr>
              <w:pStyle w:val="TableParagraph"/>
              <w:tabs>
                <w:tab w:pos="432" w:val="left" w:leader="none"/>
              </w:tabs>
              <w:ind w:left="36"/>
              <w:jc w:val="left"/>
              <w:rPr>
                <w:b/>
                <w:sz w:val="18"/>
              </w:rPr>
            </w:pPr>
            <w:r>
              <w:rPr>
                <w:b/>
                <w:sz w:val="18"/>
              </w:rPr>
              <w:t>5</w:t>
              <w:tab/>
              <w:t>Remuneration of</w:t>
            </w:r>
            <w:r>
              <w:rPr>
                <w:b/>
                <w:spacing w:val="-6"/>
                <w:sz w:val="18"/>
              </w:rPr>
              <w:t> </w:t>
            </w:r>
            <w:r>
              <w:rPr>
                <w:b/>
                <w:sz w:val="18"/>
              </w:rPr>
              <w:t>Auditors</w:t>
            </w:r>
          </w:p>
        </w:tc>
        <w:tc>
          <w:tcPr>
            <w:tcW w:w="1477" w:type="dxa"/>
            <w:tcBorders>
              <w:top w:val="single" w:sz="0" w:space="0" w:color="000000"/>
            </w:tcBorders>
          </w:tcPr>
          <w:p>
            <w:pPr/>
          </w:p>
        </w:tc>
        <w:tc>
          <w:tcPr>
            <w:tcW w:w="1117" w:type="dxa"/>
            <w:tcBorders>
              <w:top w:val="single" w:sz="0" w:space="0" w:color="000000"/>
            </w:tcBorders>
          </w:tcPr>
          <w:p>
            <w:pPr/>
          </w:p>
        </w:tc>
      </w:tr>
    </w:tbl>
    <w:p>
      <w:pPr>
        <w:pStyle w:val="BodyText"/>
        <w:spacing w:before="10"/>
        <w:rPr>
          <w:sz w:val="9"/>
        </w:rPr>
      </w:pPr>
    </w:p>
    <w:p>
      <w:pPr>
        <w:pStyle w:val="BodyText"/>
        <w:spacing w:before="78"/>
        <w:ind w:left="1428"/>
      </w:pPr>
      <w:r>
        <w:rPr/>
        <w:t>Audit fees of $9,635 for 2016 (2015: $9,404) will be paid by the ultimate parent entity.</w:t>
      </w:r>
    </w:p>
    <w:p>
      <w:pPr>
        <w:spacing w:after="0"/>
        <w:sectPr>
          <w:pgSz w:w="12750" w:h="17680"/>
          <w:pgMar w:header="0" w:footer="907" w:top="1880" w:bottom="1120" w:left="0" w:right="0"/>
        </w:sectPr>
      </w:pPr>
    </w:p>
    <w:p>
      <w:pPr>
        <w:pStyle w:val="BodyText"/>
        <w:spacing w:before="2"/>
        <w:rPr>
          <w:sz w:val="24"/>
        </w:rPr>
      </w:pPr>
    </w:p>
    <w:p>
      <w:pPr>
        <w:pStyle w:val="Heading4"/>
      </w:pPr>
      <w:r>
        <w:rPr/>
        <w:t>Notes to the financial statements</w:t>
      </w:r>
    </w:p>
    <w:p>
      <w:pPr>
        <w:pStyle w:val="Heading7"/>
      </w:pPr>
      <w:bookmarkStart w:name="Fair Value Measurement" w:id="467"/>
      <w:bookmarkEnd w:id="467"/>
      <w:r>
        <w:rPr>
          <w:b w:val="0"/>
        </w:rPr>
      </w:r>
      <w:bookmarkStart w:name="6 Fair Value Measurement " w:id="468"/>
      <w:bookmarkEnd w:id="468"/>
      <w:r>
        <w:rPr>
          <w:b w:val="0"/>
        </w:rPr>
      </w:r>
      <w:r>
        <w:rPr/>
        <w:t>For the Year Ended 31 December 2016</w:t>
      </w:r>
    </w:p>
    <w:p>
      <w:pPr>
        <w:pStyle w:val="BodyText"/>
        <w:rPr>
          <w:b/>
          <w:sz w:val="22"/>
        </w:rPr>
      </w:pPr>
    </w:p>
    <w:p>
      <w:pPr>
        <w:pStyle w:val="BodyText"/>
        <w:rPr>
          <w:b/>
          <w:sz w:val="22"/>
        </w:rPr>
      </w:pPr>
    </w:p>
    <w:p>
      <w:pPr>
        <w:pStyle w:val="Heading8"/>
        <w:tabs>
          <w:tab w:pos="1825" w:val="left" w:leader="none"/>
        </w:tabs>
        <w:spacing w:line="595" w:lineRule="auto" w:before="160"/>
        <w:ind w:left="1824" w:right="8848" w:hanging="395"/>
      </w:pPr>
      <w:bookmarkStart w:name=" Fair value hierarchy" w:id="469"/>
      <w:bookmarkEnd w:id="469"/>
      <w:r>
        <w:rPr>
          <w:b w:val="0"/>
        </w:rPr>
      </w:r>
      <w:r>
        <w:rPr/>
        <w:t>6</w:t>
        <w:tab/>
        <w:tab/>
        <w:t>Fair</w:t>
      </w:r>
      <w:r>
        <w:rPr>
          <w:spacing w:val="-11"/>
        </w:rPr>
        <w:t> </w:t>
      </w:r>
      <w:r>
        <w:rPr/>
        <w:t>Value</w:t>
      </w:r>
      <w:r>
        <w:rPr>
          <w:spacing w:val="-11"/>
        </w:rPr>
        <w:t> </w:t>
      </w:r>
      <w:r>
        <w:rPr/>
        <w:t>Measurement</w:t>
      </w:r>
      <w:r>
        <w:rPr>
          <w:spacing w:val="-1"/>
          <w:w w:val="99"/>
        </w:rPr>
        <w:t> </w:t>
      </w:r>
      <w:r>
        <w:rPr/>
        <w:t>Fair value</w:t>
      </w:r>
      <w:r>
        <w:rPr>
          <w:spacing w:val="-19"/>
        </w:rPr>
        <w:t> </w:t>
      </w:r>
      <w:r>
        <w:rPr/>
        <w:t>hierarchy</w:t>
      </w:r>
    </w:p>
    <w:p>
      <w:pPr>
        <w:pStyle w:val="BodyText"/>
        <w:ind w:left="1428" w:right="1375"/>
      </w:pPr>
      <w:r>
        <w:rPr/>
        <w:t>Whitlam Institute Within Western Sydney University Trust categorises assets and liabilities measured at fair value into a hierarchy based on the level of inputs used in measurements as follows:</w:t>
      </w:r>
    </w:p>
    <w:p>
      <w:pPr>
        <w:pStyle w:val="BodyText"/>
      </w:pPr>
    </w:p>
    <w:p>
      <w:pPr>
        <w:pStyle w:val="BodyText"/>
      </w:pPr>
    </w:p>
    <w:p>
      <w:pPr>
        <w:pStyle w:val="BodyText"/>
        <w:tabs>
          <w:tab w:pos="3694" w:val="left" w:leader="none"/>
        </w:tabs>
        <w:spacing w:before="108"/>
        <w:ind w:left="3694" w:right="1670" w:hanging="2267"/>
      </w:pPr>
      <w:r>
        <w:rPr/>
        <w:t>Level</w:t>
      </w:r>
      <w:r>
        <w:rPr>
          <w:spacing w:val="-3"/>
        </w:rPr>
        <w:t> </w:t>
      </w:r>
      <w:r>
        <w:rPr/>
        <w:t>1</w:t>
        <w:tab/>
        <w:t>Unadjusted</w:t>
      </w:r>
      <w:r>
        <w:rPr>
          <w:spacing w:val="-7"/>
        </w:rPr>
        <w:t> </w:t>
      </w:r>
      <w:r>
        <w:rPr/>
        <w:t>quoted</w:t>
      </w:r>
      <w:r>
        <w:rPr>
          <w:spacing w:val="-7"/>
        </w:rPr>
        <w:t> </w:t>
      </w:r>
      <w:r>
        <w:rPr/>
        <w:t>prices</w:t>
      </w:r>
      <w:r>
        <w:rPr>
          <w:spacing w:val="-7"/>
        </w:rPr>
        <w:t> </w:t>
      </w:r>
      <w:r>
        <w:rPr/>
        <w:t>in</w:t>
      </w:r>
      <w:r>
        <w:rPr>
          <w:spacing w:val="-7"/>
        </w:rPr>
        <w:t> </w:t>
      </w:r>
      <w:r>
        <w:rPr/>
        <w:t>active</w:t>
      </w:r>
      <w:r>
        <w:rPr>
          <w:spacing w:val="-7"/>
        </w:rPr>
        <w:t> </w:t>
      </w:r>
      <w:r>
        <w:rPr/>
        <w:t>markets</w:t>
      </w:r>
      <w:r>
        <w:rPr>
          <w:spacing w:val="-7"/>
        </w:rPr>
        <w:t> </w:t>
      </w:r>
      <w:r>
        <w:rPr/>
        <w:t>for</w:t>
      </w:r>
      <w:r>
        <w:rPr>
          <w:spacing w:val="-7"/>
        </w:rPr>
        <w:t> </w:t>
      </w:r>
      <w:r>
        <w:rPr/>
        <w:t>identical</w:t>
      </w:r>
      <w:r>
        <w:rPr>
          <w:spacing w:val="-7"/>
        </w:rPr>
        <w:t> </w:t>
      </w:r>
      <w:r>
        <w:rPr/>
        <w:t>assets</w:t>
      </w:r>
      <w:r>
        <w:rPr>
          <w:spacing w:val="-7"/>
        </w:rPr>
        <w:t> </w:t>
      </w:r>
      <w:r>
        <w:rPr/>
        <w:t>or</w:t>
      </w:r>
      <w:r>
        <w:rPr>
          <w:spacing w:val="-7"/>
        </w:rPr>
        <w:t> </w:t>
      </w:r>
      <w:r>
        <w:rPr/>
        <w:t>liabilities</w:t>
      </w:r>
      <w:r>
        <w:rPr>
          <w:spacing w:val="-7"/>
        </w:rPr>
        <w:t> </w:t>
      </w:r>
      <w:r>
        <w:rPr/>
        <w:t>that</w:t>
      </w:r>
      <w:r>
        <w:rPr>
          <w:spacing w:val="-7"/>
        </w:rPr>
        <w:t> </w:t>
      </w:r>
      <w:r>
        <w:rPr/>
        <w:t>the</w:t>
      </w:r>
      <w:r>
        <w:rPr>
          <w:spacing w:val="-7"/>
        </w:rPr>
        <w:t> </w:t>
      </w:r>
      <w:r>
        <w:rPr/>
        <w:t>entity</w:t>
      </w:r>
      <w:r>
        <w:rPr>
          <w:spacing w:val="-7"/>
        </w:rPr>
        <w:t> </w:t>
      </w:r>
      <w:r>
        <w:rPr/>
        <w:t>can</w:t>
      </w:r>
      <w:r>
        <w:rPr>
          <w:spacing w:val="-1"/>
          <w:w w:val="99"/>
        </w:rPr>
        <w:t> </w:t>
      </w:r>
      <w:r>
        <w:rPr/>
        <w:t>access at the measurement</w:t>
      </w:r>
      <w:r>
        <w:rPr>
          <w:spacing w:val="-28"/>
        </w:rPr>
        <w:t> </w:t>
      </w:r>
      <w:r>
        <w:rPr/>
        <w:t>date.</w:t>
      </w:r>
    </w:p>
    <w:p>
      <w:pPr>
        <w:pStyle w:val="BodyText"/>
        <w:tabs>
          <w:tab w:pos="3694" w:val="left" w:leader="none"/>
        </w:tabs>
        <w:spacing w:before="57"/>
        <w:ind w:left="3694" w:right="1881" w:hanging="2267"/>
      </w:pPr>
      <w:r>
        <w:rPr/>
        <w:t>Level</w:t>
      </w:r>
      <w:r>
        <w:rPr>
          <w:spacing w:val="-3"/>
        </w:rPr>
        <w:t> </w:t>
      </w:r>
      <w:r>
        <w:rPr/>
        <w:t>2</w:t>
        <w:tab/>
        <w:t>Inputs</w:t>
      </w:r>
      <w:r>
        <w:rPr>
          <w:spacing w:val="-6"/>
        </w:rPr>
        <w:t> </w:t>
      </w:r>
      <w:r>
        <w:rPr/>
        <w:t>other</w:t>
      </w:r>
      <w:r>
        <w:rPr>
          <w:spacing w:val="-6"/>
        </w:rPr>
        <w:t> </w:t>
      </w:r>
      <w:r>
        <w:rPr/>
        <w:t>than</w:t>
      </w:r>
      <w:r>
        <w:rPr>
          <w:spacing w:val="-6"/>
        </w:rPr>
        <w:t> </w:t>
      </w:r>
      <w:r>
        <w:rPr/>
        <w:t>quoted</w:t>
      </w:r>
      <w:r>
        <w:rPr>
          <w:spacing w:val="-6"/>
        </w:rPr>
        <w:t> </w:t>
      </w:r>
      <w:r>
        <w:rPr/>
        <w:t>prices</w:t>
      </w:r>
      <w:r>
        <w:rPr>
          <w:spacing w:val="-6"/>
        </w:rPr>
        <w:t> </w:t>
      </w:r>
      <w:r>
        <w:rPr/>
        <w:t>included</w:t>
      </w:r>
      <w:r>
        <w:rPr>
          <w:spacing w:val="-6"/>
        </w:rPr>
        <w:t> </w:t>
      </w:r>
      <w:r>
        <w:rPr/>
        <w:t>within</w:t>
      </w:r>
      <w:r>
        <w:rPr>
          <w:spacing w:val="-6"/>
        </w:rPr>
        <w:t> </w:t>
      </w:r>
      <w:r>
        <w:rPr/>
        <w:t>Level</w:t>
      </w:r>
      <w:r>
        <w:rPr>
          <w:spacing w:val="-6"/>
        </w:rPr>
        <w:t> </w:t>
      </w:r>
      <w:r>
        <w:rPr/>
        <w:t>1</w:t>
      </w:r>
      <w:r>
        <w:rPr>
          <w:spacing w:val="-6"/>
        </w:rPr>
        <w:t> </w:t>
      </w:r>
      <w:r>
        <w:rPr/>
        <w:t>that</w:t>
      </w:r>
      <w:r>
        <w:rPr>
          <w:spacing w:val="-6"/>
        </w:rPr>
        <w:t> </w:t>
      </w:r>
      <w:r>
        <w:rPr/>
        <w:t>are</w:t>
      </w:r>
      <w:r>
        <w:rPr>
          <w:spacing w:val="-6"/>
        </w:rPr>
        <w:t> </w:t>
      </w:r>
      <w:r>
        <w:rPr/>
        <w:t>observable</w:t>
      </w:r>
      <w:r>
        <w:rPr>
          <w:spacing w:val="-6"/>
        </w:rPr>
        <w:t> </w:t>
      </w:r>
      <w:r>
        <w:rPr/>
        <w:t>for</w:t>
      </w:r>
      <w:r>
        <w:rPr>
          <w:spacing w:val="-6"/>
        </w:rPr>
        <w:t> </w:t>
      </w:r>
      <w:r>
        <w:rPr/>
        <w:t>the</w:t>
      </w:r>
      <w:r>
        <w:rPr>
          <w:spacing w:val="-6"/>
        </w:rPr>
        <w:t> </w:t>
      </w:r>
      <w:r>
        <w:rPr/>
        <w:t>asset</w:t>
      </w:r>
      <w:r>
        <w:rPr>
          <w:spacing w:val="-6"/>
        </w:rPr>
        <w:t> </w:t>
      </w:r>
      <w:r>
        <w:rPr/>
        <w:t>or</w:t>
      </w:r>
      <w:r>
        <w:rPr>
          <w:spacing w:val="-1"/>
          <w:w w:val="99"/>
        </w:rPr>
        <w:t> </w:t>
      </w:r>
      <w:r>
        <w:rPr/>
        <w:t>liability,</w:t>
      </w:r>
      <w:r>
        <w:rPr>
          <w:spacing w:val="-10"/>
        </w:rPr>
        <w:t> </w:t>
      </w:r>
      <w:r>
        <w:rPr/>
        <w:t>either</w:t>
      </w:r>
      <w:r>
        <w:rPr>
          <w:spacing w:val="-10"/>
        </w:rPr>
        <w:t> </w:t>
      </w:r>
      <w:r>
        <w:rPr/>
        <w:t>directly</w:t>
      </w:r>
      <w:r>
        <w:rPr>
          <w:spacing w:val="-10"/>
        </w:rPr>
        <w:t> </w:t>
      </w:r>
      <w:r>
        <w:rPr/>
        <w:t>or</w:t>
      </w:r>
      <w:r>
        <w:rPr>
          <w:spacing w:val="-10"/>
        </w:rPr>
        <w:t> </w:t>
      </w:r>
      <w:r>
        <w:rPr/>
        <w:t>indirectly.</w:t>
      </w:r>
    </w:p>
    <w:p>
      <w:pPr>
        <w:pStyle w:val="BodyText"/>
        <w:tabs>
          <w:tab w:pos="3694" w:val="left" w:leader="none"/>
        </w:tabs>
        <w:spacing w:before="57"/>
        <w:ind w:left="1428"/>
      </w:pPr>
      <w:r>
        <w:rPr/>
        <w:t>Level</w:t>
      </w:r>
      <w:r>
        <w:rPr>
          <w:spacing w:val="-3"/>
        </w:rPr>
        <w:t> </w:t>
      </w:r>
      <w:r>
        <w:rPr/>
        <w:t>3</w:t>
        <w:tab/>
        <w:t>Unobservable</w:t>
      </w:r>
      <w:r>
        <w:rPr>
          <w:spacing w:val="-7"/>
        </w:rPr>
        <w:t> </w:t>
      </w:r>
      <w:r>
        <w:rPr/>
        <w:t>inputs</w:t>
      </w:r>
      <w:r>
        <w:rPr>
          <w:spacing w:val="-7"/>
        </w:rPr>
        <w:t> </w:t>
      </w:r>
      <w:r>
        <w:rPr/>
        <w:t>for</w:t>
      </w:r>
      <w:r>
        <w:rPr>
          <w:spacing w:val="-7"/>
        </w:rPr>
        <w:t> </w:t>
      </w:r>
      <w:r>
        <w:rPr/>
        <w:t>the</w:t>
      </w:r>
      <w:r>
        <w:rPr>
          <w:spacing w:val="-7"/>
        </w:rPr>
        <w:t> </w:t>
      </w:r>
      <w:r>
        <w:rPr/>
        <w:t>asset</w:t>
      </w:r>
      <w:r>
        <w:rPr>
          <w:spacing w:val="-7"/>
        </w:rPr>
        <w:t> </w:t>
      </w:r>
      <w:r>
        <w:rPr/>
        <w:t>or</w:t>
      </w:r>
      <w:r>
        <w:rPr>
          <w:spacing w:val="-7"/>
        </w:rPr>
        <w:t> </w:t>
      </w:r>
      <w:r>
        <w:rPr/>
        <w:t>liability.</w:t>
      </w:r>
    </w:p>
    <w:p>
      <w:pPr>
        <w:pStyle w:val="BodyText"/>
      </w:pPr>
    </w:p>
    <w:p>
      <w:pPr>
        <w:pStyle w:val="BodyText"/>
        <w:spacing w:before="109"/>
        <w:ind w:left="1428"/>
      </w:pPr>
      <w:r>
        <w:rPr/>
        <w:drawing>
          <wp:anchor distT="0" distB="0" distL="0" distR="0" allowOverlap="1" layoutInCell="1" locked="0" behindDoc="0" simplePos="0" relativeHeight="15904">
            <wp:simplePos x="0" y="0"/>
            <wp:positionH relativeFrom="page">
              <wp:posOffset>-1587</wp:posOffset>
            </wp:positionH>
            <wp:positionV relativeFrom="paragraph">
              <wp:posOffset>1190801</wp:posOffset>
            </wp:positionV>
            <wp:extent cx="135159" cy="154019"/>
            <wp:effectExtent l="0" t="0" r="0" b="0"/>
            <wp:wrapNone/>
            <wp:docPr id="1089" name="image13.png" descr=""/>
            <wp:cNvGraphicFramePr>
              <a:graphicFrameLocks noChangeAspect="1"/>
            </wp:cNvGraphicFramePr>
            <a:graphic>
              <a:graphicData uri="http://schemas.openxmlformats.org/drawingml/2006/picture">
                <pic:pic>
                  <pic:nvPicPr>
                    <pic:cNvPr id="1090" name="image13.png"/>
                    <pic:cNvPicPr/>
                  </pic:nvPicPr>
                  <pic:blipFill>
                    <a:blip r:embed="rId18" cstate="print"/>
                    <a:stretch>
                      <a:fillRect/>
                    </a:stretch>
                  </pic:blipFill>
                  <pic:spPr>
                    <a:xfrm>
                      <a:off x="0" y="0"/>
                      <a:ext cx="135159" cy="154019"/>
                    </a:xfrm>
                    <a:prstGeom prst="rect">
                      <a:avLst/>
                    </a:prstGeom>
                  </pic:spPr>
                </pic:pic>
              </a:graphicData>
            </a:graphic>
          </wp:anchor>
        </w:drawing>
      </w:r>
      <w:r>
        <w:rPr/>
        <w:drawing>
          <wp:anchor distT="0" distB="0" distL="0" distR="0" allowOverlap="1" layoutInCell="1" locked="0" behindDoc="0" simplePos="0" relativeHeight="15928">
            <wp:simplePos x="0" y="0"/>
            <wp:positionH relativeFrom="page">
              <wp:posOffset>7958429</wp:posOffset>
            </wp:positionH>
            <wp:positionV relativeFrom="paragraph">
              <wp:posOffset>1190801</wp:posOffset>
            </wp:positionV>
            <wp:extent cx="135953" cy="155575"/>
            <wp:effectExtent l="0" t="0" r="0" b="0"/>
            <wp:wrapNone/>
            <wp:docPr id="1091" name="image15.png" descr=""/>
            <wp:cNvGraphicFramePr>
              <a:graphicFrameLocks noChangeAspect="1"/>
            </wp:cNvGraphicFramePr>
            <a:graphic>
              <a:graphicData uri="http://schemas.openxmlformats.org/drawingml/2006/picture">
                <pic:pic>
                  <pic:nvPicPr>
                    <pic:cNvPr id="1092" name="image15.png"/>
                    <pic:cNvPicPr/>
                  </pic:nvPicPr>
                  <pic:blipFill>
                    <a:blip r:embed="rId20" cstate="print"/>
                    <a:stretch>
                      <a:fillRect/>
                    </a:stretch>
                  </pic:blipFill>
                  <pic:spPr>
                    <a:xfrm>
                      <a:off x="0" y="0"/>
                      <a:ext cx="135953" cy="155575"/>
                    </a:xfrm>
                    <a:prstGeom prst="rect">
                      <a:avLst/>
                    </a:prstGeom>
                  </pic:spPr>
                </pic:pic>
              </a:graphicData>
            </a:graphic>
          </wp:anchor>
        </w:drawing>
      </w:r>
      <w:r>
        <w:rPr/>
        <w:t>The table below shows the assigned level for each asset and liability held at fair value by the Trust:</w:t>
      </w:r>
    </w:p>
    <w:p>
      <w:pPr>
        <w:pStyle w:val="BodyText"/>
        <w:rPr>
          <w:sz w:val="20"/>
        </w:rPr>
      </w:pPr>
    </w:p>
    <w:p>
      <w:pPr>
        <w:pStyle w:val="BodyText"/>
        <w:spacing w:before="1" w:after="1"/>
        <w:rPr>
          <w:sz w:val="19"/>
        </w:rPr>
      </w:pPr>
    </w:p>
    <w:tbl>
      <w:tblPr>
        <w:tblW w:w="0" w:type="auto"/>
        <w:jc w:val="left"/>
        <w:tblInd w:w="143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717"/>
        <w:gridCol w:w="1062"/>
        <w:gridCol w:w="1673"/>
        <w:gridCol w:w="922"/>
        <w:gridCol w:w="1533"/>
      </w:tblGrid>
      <w:tr>
        <w:trPr>
          <w:trHeight w:val="640" w:hRule="exact"/>
        </w:trPr>
        <w:tc>
          <w:tcPr>
            <w:tcW w:w="4717" w:type="dxa"/>
          </w:tcPr>
          <w:p>
            <w:pPr>
              <w:pStyle w:val="TableParagraph"/>
              <w:jc w:val="left"/>
              <w:rPr>
                <w:sz w:val="18"/>
              </w:rPr>
            </w:pPr>
          </w:p>
          <w:p>
            <w:pPr>
              <w:pStyle w:val="TableParagraph"/>
              <w:spacing w:before="143"/>
              <w:ind w:left="35"/>
              <w:jc w:val="left"/>
              <w:rPr>
                <w:b/>
                <w:sz w:val="18"/>
              </w:rPr>
            </w:pPr>
            <w:r>
              <w:rPr>
                <w:b/>
                <w:sz w:val="18"/>
              </w:rPr>
              <w:t>31 December 2016</w:t>
            </w:r>
          </w:p>
        </w:tc>
        <w:tc>
          <w:tcPr>
            <w:tcW w:w="1062" w:type="dxa"/>
          </w:tcPr>
          <w:p>
            <w:pPr>
              <w:pStyle w:val="TableParagraph"/>
              <w:spacing w:before="77"/>
              <w:ind w:left="346" w:right="65"/>
              <w:jc w:val="center"/>
              <w:rPr>
                <w:b/>
                <w:sz w:val="18"/>
              </w:rPr>
            </w:pPr>
            <w:r>
              <w:rPr>
                <w:b/>
                <w:sz w:val="18"/>
              </w:rPr>
              <w:t>Level 1</w:t>
            </w:r>
          </w:p>
          <w:p>
            <w:pPr>
              <w:pStyle w:val="TableParagraph"/>
              <w:spacing w:before="66"/>
              <w:ind w:left="281"/>
              <w:jc w:val="center"/>
              <w:rPr>
                <w:b/>
                <w:sz w:val="18"/>
              </w:rPr>
            </w:pPr>
            <w:r>
              <w:rPr>
                <w:b/>
                <w:w w:val="99"/>
                <w:sz w:val="18"/>
              </w:rPr>
              <w:t>$</w:t>
            </w:r>
          </w:p>
        </w:tc>
        <w:tc>
          <w:tcPr>
            <w:tcW w:w="1673" w:type="dxa"/>
          </w:tcPr>
          <w:p>
            <w:pPr>
              <w:pStyle w:val="TableParagraph"/>
              <w:spacing w:before="77"/>
              <w:ind w:left="581" w:right="440"/>
              <w:jc w:val="center"/>
              <w:rPr>
                <w:b/>
                <w:sz w:val="18"/>
              </w:rPr>
            </w:pPr>
            <w:r>
              <w:rPr>
                <w:b/>
                <w:sz w:val="18"/>
              </w:rPr>
              <w:t>Level 2</w:t>
            </w:r>
          </w:p>
          <w:p>
            <w:pPr>
              <w:pStyle w:val="TableParagraph"/>
              <w:spacing w:before="66"/>
              <w:ind w:left="141"/>
              <w:jc w:val="center"/>
              <w:rPr>
                <w:b/>
                <w:sz w:val="18"/>
              </w:rPr>
            </w:pPr>
            <w:r>
              <w:rPr>
                <w:b/>
                <w:w w:val="99"/>
                <w:sz w:val="18"/>
              </w:rPr>
              <w:t>$</w:t>
            </w:r>
          </w:p>
        </w:tc>
        <w:tc>
          <w:tcPr>
            <w:tcW w:w="922" w:type="dxa"/>
          </w:tcPr>
          <w:p>
            <w:pPr>
              <w:pStyle w:val="TableParagraph"/>
              <w:spacing w:before="77"/>
              <w:ind w:left="206" w:right="65"/>
              <w:jc w:val="center"/>
              <w:rPr>
                <w:b/>
                <w:sz w:val="18"/>
              </w:rPr>
            </w:pPr>
            <w:r>
              <w:rPr>
                <w:b/>
                <w:sz w:val="18"/>
              </w:rPr>
              <w:t>Level 3</w:t>
            </w:r>
          </w:p>
          <w:p>
            <w:pPr>
              <w:pStyle w:val="TableParagraph"/>
              <w:spacing w:before="66"/>
              <w:ind w:left="141"/>
              <w:jc w:val="center"/>
              <w:rPr>
                <w:b/>
                <w:sz w:val="18"/>
              </w:rPr>
            </w:pPr>
            <w:r>
              <w:rPr>
                <w:b/>
                <w:w w:val="99"/>
                <w:sz w:val="18"/>
              </w:rPr>
              <w:t>$</w:t>
            </w:r>
          </w:p>
        </w:tc>
        <w:tc>
          <w:tcPr>
            <w:tcW w:w="1533" w:type="dxa"/>
          </w:tcPr>
          <w:p>
            <w:pPr>
              <w:pStyle w:val="TableParagraph"/>
              <w:spacing w:before="77"/>
              <w:ind w:left="281" w:right="1"/>
              <w:jc w:val="center"/>
              <w:rPr>
                <w:b/>
                <w:sz w:val="18"/>
              </w:rPr>
            </w:pPr>
            <w:r>
              <w:rPr>
                <w:b/>
                <w:sz w:val="18"/>
              </w:rPr>
              <w:t>Total</w:t>
            </w:r>
          </w:p>
          <w:p>
            <w:pPr>
              <w:pStyle w:val="TableParagraph"/>
              <w:spacing w:before="66"/>
              <w:ind w:left="281"/>
              <w:jc w:val="center"/>
              <w:rPr>
                <w:b/>
                <w:sz w:val="18"/>
              </w:rPr>
            </w:pPr>
            <w:r>
              <w:rPr>
                <w:b/>
                <w:w w:val="99"/>
                <w:sz w:val="18"/>
              </w:rPr>
              <w:t>$</w:t>
            </w:r>
          </w:p>
        </w:tc>
      </w:tr>
      <w:tr>
        <w:trPr>
          <w:trHeight w:val="542" w:hRule="exact"/>
        </w:trPr>
        <w:tc>
          <w:tcPr>
            <w:tcW w:w="4717" w:type="dxa"/>
          </w:tcPr>
          <w:p>
            <w:pPr>
              <w:pStyle w:val="TableParagraph"/>
              <w:spacing w:before="63"/>
              <w:ind w:left="35"/>
              <w:jc w:val="left"/>
              <w:rPr>
                <w:b/>
                <w:sz w:val="18"/>
              </w:rPr>
            </w:pPr>
            <w:r>
              <w:rPr>
                <w:b/>
                <w:sz w:val="18"/>
              </w:rPr>
              <w:t>Non-financial assets</w:t>
            </w:r>
          </w:p>
          <w:p>
            <w:pPr>
              <w:pStyle w:val="TableParagraph"/>
              <w:spacing w:before="29"/>
              <w:ind w:left="35"/>
              <w:jc w:val="left"/>
              <w:rPr>
                <w:sz w:val="18"/>
              </w:rPr>
            </w:pPr>
            <w:r>
              <w:rPr>
                <w:sz w:val="18"/>
              </w:rPr>
              <w:t>Property, plant and equipment</w:t>
            </w:r>
          </w:p>
        </w:tc>
        <w:tc>
          <w:tcPr>
            <w:tcW w:w="1062" w:type="dxa"/>
            <w:tcBorders>
              <w:bottom w:val="single" w:sz="0" w:space="0" w:color="000000"/>
            </w:tcBorders>
          </w:tcPr>
          <w:p>
            <w:pPr/>
          </w:p>
        </w:tc>
        <w:tc>
          <w:tcPr>
            <w:tcW w:w="1673" w:type="dxa"/>
            <w:tcBorders>
              <w:bottom w:val="single" w:sz="0" w:space="0" w:color="000000"/>
            </w:tcBorders>
          </w:tcPr>
          <w:p>
            <w:pPr>
              <w:pStyle w:val="TableParagraph"/>
              <w:spacing w:before="11"/>
              <w:jc w:val="left"/>
              <w:rPr>
                <w:sz w:val="25"/>
              </w:rPr>
            </w:pPr>
          </w:p>
          <w:p>
            <w:pPr>
              <w:pStyle w:val="TableParagraph"/>
              <w:tabs>
                <w:tab w:pos="795" w:val="left" w:leader="none"/>
              </w:tabs>
              <w:ind w:left="86"/>
              <w:jc w:val="left"/>
              <w:rPr>
                <w:b/>
                <w:sz w:val="18"/>
              </w:rPr>
            </w:pPr>
            <w:r>
              <w:rPr>
                <w:b/>
                <w:sz w:val="18"/>
              </w:rPr>
              <w:t>-</w:t>
              <w:tab/>
              <w:t>830,442</w:t>
            </w:r>
          </w:p>
        </w:tc>
        <w:tc>
          <w:tcPr>
            <w:tcW w:w="922" w:type="dxa"/>
            <w:tcBorders>
              <w:bottom w:val="single" w:sz="0" w:space="0" w:color="000000"/>
            </w:tcBorders>
          </w:tcPr>
          <w:p>
            <w:pPr/>
          </w:p>
        </w:tc>
        <w:tc>
          <w:tcPr>
            <w:tcW w:w="1533" w:type="dxa"/>
            <w:tcBorders>
              <w:bottom w:val="single" w:sz="0" w:space="0" w:color="000000"/>
            </w:tcBorders>
          </w:tcPr>
          <w:p>
            <w:pPr>
              <w:pStyle w:val="TableParagraph"/>
              <w:spacing w:before="11"/>
              <w:jc w:val="left"/>
              <w:rPr>
                <w:sz w:val="25"/>
              </w:rPr>
            </w:pPr>
          </w:p>
          <w:p>
            <w:pPr>
              <w:pStyle w:val="TableParagraph"/>
              <w:tabs>
                <w:tab w:pos="709" w:val="left" w:leader="none"/>
              </w:tabs>
              <w:ind w:right="1"/>
              <w:jc w:val="center"/>
              <w:rPr>
                <w:b/>
                <w:sz w:val="18"/>
              </w:rPr>
            </w:pPr>
            <w:r>
              <w:rPr>
                <w:b/>
                <w:sz w:val="18"/>
              </w:rPr>
              <w:t>-</w:t>
              <w:tab/>
              <w:t>830,442</w:t>
            </w:r>
          </w:p>
        </w:tc>
      </w:tr>
      <w:tr>
        <w:trPr>
          <w:trHeight w:val="338" w:hRule="exact"/>
        </w:trPr>
        <w:tc>
          <w:tcPr>
            <w:tcW w:w="4717" w:type="dxa"/>
          </w:tcPr>
          <w:p>
            <w:pPr>
              <w:pStyle w:val="TableParagraph"/>
              <w:spacing w:before="123"/>
              <w:ind w:left="35"/>
              <w:jc w:val="left"/>
              <w:rPr>
                <w:b/>
                <w:sz w:val="18"/>
              </w:rPr>
            </w:pPr>
            <w:r>
              <w:rPr>
                <w:b/>
                <w:sz w:val="18"/>
              </w:rPr>
              <w:t>Total non-financial assets</w:t>
            </w:r>
          </w:p>
        </w:tc>
        <w:tc>
          <w:tcPr>
            <w:tcW w:w="1062" w:type="dxa"/>
            <w:tcBorders>
              <w:top w:val="single" w:sz="0" w:space="0" w:color="000000"/>
              <w:bottom w:val="single" w:sz="0" w:space="0" w:color="000000"/>
            </w:tcBorders>
          </w:tcPr>
          <w:p>
            <w:pPr/>
          </w:p>
        </w:tc>
        <w:tc>
          <w:tcPr>
            <w:tcW w:w="1673" w:type="dxa"/>
            <w:tcBorders>
              <w:top w:val="single" w:sz="0" w:space="0" w:color="000000"/>
              <w:bottom w:val="single" w:sz="0" w:space="0" w:color="000000"/>
            </w:tcBorders>
          </w:tcPr>
          <w:p>
            <w:pPr>
              <w:pStyle w:val="TableParagraph"/>
              <w:tabs>
                <w:tab w:pos="795" w:val="left" w:leader="none"/>
              </w:tabs>
              <w:spacing w:before="122"/>
              <w:ind w:left="86"/>
              <w:jc w:val="left"/>
              <w:rPr>
                <w:b/>
                <w:sz w:val="18"/>
              </w:rPr>
            </w:pPr>
            <w:r>
              <w:rPr>
                <w:b/>
                <w:sz w:val="18"/>
              </w:rPr>
              <w:t>-</w:t>
              <w:tab/>
              <w:t>830,442</w:t>
            </w:r>
          </w:p>
        </w:tc>
        <w:tc>
          <w:tcPr>
            <w:tcW w:w="922" w:type="dxa"/>
            <w:tcBorders>
              <w:top w:val="single" w:sz="0" w:space="0" w:color="000000"/>
              <w:bottom w:val="single" w:sz="0" w:space="0" w:color="000000"/>
            </w:tcBorders>
          </w:tcPr>
          <w:p>
            <w:pPr/>
          </w:p>
        </w:tc>
        <w:tc>
          <w:tcPr>
            <w:tcW w:w="1533" w:type="dxa"/>
            <w:tcBorders>
              <w:top w:val="single" w:sz="0" w:space="0" w:color="000000"/>
              <w:bottom w:val="single" w:sz="0" w:space="0" w:color="000000"/>
            </w:tcBorders>
          </w:tcPr>
          <w:p>
            <w:pPr>
              <w:pStyle w:val="TableParagraph"/>
              <w:tabs>
                <w:tab w:pos="709" w:val="left" w:leader="none"/>
              </w:tabs>
              <w:spacing w:before="122"/>
              <w:ind w:right="1"/>
              <w:jc w:val="center"/>
              <w:rPr>
                <w:b/>
                <w:sz w:val="18"/>
              </w:rPr>
            </w:pPr>
            <w:r>
              <w:rPr>
                <w:b/>
                <w:sz w:val="18"/>
              </w:rPr>
              <w:t>-</w:t>
              <w:tab/>
              <w:t>830,442</w:t>
            </w:r>
          </w:p>
        </w:tc>
      </w:tr>
      <w:tr>
        <w:trPr>
          <w:trHeight w:val="344" w:hRule="exact"/>
        </w:trPr>
        <w:tc>
          <w:tcPr>
            <w:tcW w:w="4717" w:type="dxa"/>
          </w:tcPr>
          <w:p>
            <w:pPr>
              <w:pStyle w:val="TableParagraph"/>
              <w:spacing w:before="123"/>
              <w:ind w:left="35"/>
              <w:jc w:val="left"/>
              <w:rPr>
                <w:b/>
                <w:sz w:val="18"/>
              </w:rPr>
            </w:pPr>
            <w:r>
              <w:rPr>
                <w:b/>
                <w:sz w:val="18"/>
              </w:rPr>
              <w:t>Total assets</w:t>
            </w:r>
          </w:p>
        </w:tc>
        <w:tc>
          <w:tcPr>
            <w:tcW w:w="1062" w:type="dxa"/>
            <w:tcBorders>
              <w:top w:val="single" w:sz="0" w:space="0" w:color="000000"/>
              <w:bottom w:val="single" w:sz="0" w:space="0" w:color="000000"/>
            </w:tcBorders>
          </w:tcPr>
          <w:p>
            <w:pPr/>
          </w:p>
        </w:tc>
        <w:tc>
          <w:tcPr>
            <w:tcW w:w="1673" w:type="dxa"/>
            <w:tcBorders>
              <w:top w:val="single" w:sz="0" w:space="0" w:color="000000"/>
              <w:bottom w:val="single" w:sz="0" w:space="0" w:color="000000"/>
            </w:tcBorders>
          </w:tcPr>
          <w:p>
            <w:pPr>
              <w:pStyle w:val="TableParagraph"/>
              <w:tabs>
                <w:tab w:pos="795" w:val="left" w:leader="none"/>
              </w:tabs>
              <w:spacing w:before="122"/>
              <w:ind w:left="86"/>
              <w:jc w:val="left"/>
              <w:rPr>
                <w:b/>
                <w:sz w:val="18"/>
              </w:rPr>
            </w:pPr>
            <w:r>
              <w:rPr>
                <w:b/>
                <w:sz w:val="18"/>
              </w:rPr>
              <w:t>-</w:t>
              <w:tab/>
              <w:t>830,442</w:t>
            </w:r>
          </w:p>
        </w:tc>
        <w:tc>
          <w:tcPr>
            <w:tcW w:w="922" w:type="dxa"/>
            <w:tcBorders>
              <w:top w:val="single" w:sz="0" w:space="0" w:color="000000"/>
              <w:bottom w:val="single" w:sz="0" w:space="0" w:color="000000"/>
            </w:tcBorders>
          </w:tcPr>
          <w:p>
            <w:pPr/>
          </w:p>
        </w:tc>
        <w:tc>
          <w:tcPr>
            <w:tcW w:w="1533" w:type="dxa"/>
            <w:tcBorders>
              <w:top w:val="single" w:sz="0" w:space="0" w:color="000000"/>
              <w:bottom w:val="single" w:sz="0" w:space="0" w:color="000000"/>
            </w:tcBorders>
          </w:tcPr>
          <w:p>
            <w:pPr>
              <w:pStyle w:val="TableParagraph"/>
              <w:tabs>
                <w:tab w:pos="709" w:val="left" w:leader="none"/>
              </w:tabs>
              <w:spacing w:before="122"/>
              <w:ind w:right="1"/>
              <w:jc w:val="center"/>
              <w:rPr>
                <w:b/>
                <w:sz w:val="18"/>
              </w:rPr>
            </w:pPr>
            <w:r>
              <w:rPr>
                <w:b/>
                <w:sz w:val="18"/>
              </w:rPr>
              <w:t>-</w:t>
              <w:tab/>
              <w:t>830,442</w:t>
            </w:r>
          </w:p>
        </w:tc>
      </w:tr>
    </w:tbl>
    <w:p>
      <w:pPr>
        <w:pStyle w:val="BodyText"/>
        <w:rPr>
          <w:sz w:val="20"/>
        </w:rPr>
      </w:pPr>
    </w:p>
    <w:p>
      <w:pPr>
        <w:pStyle w:val="BodyText"/>
        <w:spacing w:before="7"/>
        <w:rPr>
          <w:sz w:val="20"/>
        </w:rPr>
      </w:pPr>
    </w:p>
    <w:tbl>
      <w:tblPr>
        <w:tblW w:w="0" w:type="auto"/>
        <w:jc w:val="left"/>
        <w:tblInd w:w="143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717"/>
        <w:gridCol w:w="1437"/>
        <w:gridCol w:w="1297"/>
        <w:gridCol w:w="2455"/>
      </w:tblGrid>
      <w:tr>
        <w:trPr>
          <w:trHeight w:val="640" w:hRule="exact"/>
        </w:trPr>
        <w:tc>
          <w:tcPr>
            <w:tcW w:w="4717" w:type="dxa"/>
          </w:tcPr>
          <w:p>
            <w:pPr>
              <w:pStyle w:val="TableParagraph"/>
              <w:jc w:val="left"/>
              <w:rPr>
                <w:sz w:val="18"/>
              </w:rPr>
            </w:pPr>
          </w:p>
          <w:p>
            <w:pPr>
              <w:pStyle w:val="TableParagraph"/>
              <w:spacing w:before="143"/>
              <w:ind w:left="35"/>
              <w:jc w:val="left"/>
              <w:rPr>
                <w:b/>
                <w:sz w:val="18"/>
              </w:rPr>
            </w:pPr>
            <w:r>
              <w:rPr>
                <w:b/>
                <w:sz w:val="18"/>
              </w:rPr>
              <w:t>31 December 2015</w:t>
            </w:r>
          </w:p>
        </w:tc>
        <w:tc>
          <w:tcPr>
            <w:tcW w:w="1437" w:type="dxa"/>
          </w:tcPr>
          <w:p>
            <w:pPr>
              <w:pStyle w:val="TableParagraph"/>
              <w:spacing w:before="77"/>
              <w:ind w:left="347" w:right="438"/>
              <w:jc w:val="center"/>
              <w:rPr>
                <w:b/>
                <w:sz w:val="18"/>
              </w:rPr>
            </w:pPr>
            <w:r>
              <w:rPr>
                <w:b/>
                <w:sz w:val="18"/>
              </w:rPr>
              <w:t>Level 1</w:t>
            </w:r>
          </w:p>
          <w:p>
            <w:pPr>
              <w:pStyle w:val="TableParagraph"/>
              <w:spacing w:before="66"/>
              <w:ind w:right="91"/>
              <w:jc w:val="center"/>
              <w:rPr>
                <w:b/>
                <w:sz w:val="18"/>
              </w:rPr>
            </w:pPr>
            <w:r>
              <w:rPr>
                <w:b/>
                <w:w w:val="99"/>
                <w:sz w:val="18"/>
              </w:rPr>
              <w:t>$</w:t>
            </w:r>
          </w:p>
        </w:tc>
        <w:tc>
          <w:tcPr>
            <w:tcW w:w="1297" w:type="dxa"/>
          </w:tcPr>
          <w:p>
            <w:pPr>
              <w:pStyle w:val="TableParagraph"/>
              <w:spacing w:before="77"/>
              <w:ind w:left="207" w:right="438"/>
              <w:jc w:val="center"/>
              <w:rPr>
                <w:b/>
                <w:sz w:val="18"/>
              </w:rPr>
            </w:pPr>
            <w:r>
              <w:rPr>
                <w:b/>
                <w:sz w:val="18"/>
              </w:rPr>
              <w:t>Level 2</w:t>
            </w:r>
          </w:p>
          <w:p>
            <w:pPr>
              <w:pStyle w:val="TableParagraph"/>
              <w:spacing w:before="66"/>
              <w:ind w:right="231"/>
              <w:jc w:val="center"/>
              <w:rPr>
                <w:b/>
                <w:sz w:val="18"/>
              </w:rPr>
            </w:pPr>
            <w:r>
              <w:rPr>
                <w:b/>
                <w:w w:val="99"/>
                <w:sz w:val="18"/>
              </w:rPr>
              <w:t>$</w:t>
            </w:r>
          </w:p>
        </w:tc>
        <w:tc>
          <w:tcPr>
            <w:tcW w:w="2455" w:type="dxa"/>
          </w:tcPr>
          <w:p>
            <w:pPr>
              <w:pStyle w:val="TableParagraph"/>
              <w:tabs>
                <w:tab w:pos="1384" w:val="left" w:leader="none"/>
              </w:tabs>
              <w:spacing w:before="77"/>
              <w:ind w:right="180"/>
              <w:jc w:val="center"/>
              <w:rPr>
                <w:b/>
                <w:sz w:val="18"/>
              </w:rPr>
            </w:pPr>
            <w:r>
              <w:rPr>
                <w:b/>
                <w:sz w:val="18"/>
              </w:rPr>
              <w:t>Level</w:t>
            </w:r>
            <w:r>
              <w:rPr>
                <w:b/>
                <w:spacing w:val="-2"/>
                <w:sz w:val="18"/>
              </w:rPr>
              <w:t> </w:t>
            </w:r>
            <w:r>
              <w:rPr>
                <w:b/>
                <w:sz w:val="18"/>
              </w:rPr>
              <w:t>3</w:t>
              <w:tab/>
              <w:t>Total</w:t>
            </w:r>
          </w:p>
          <w:p>
            <w:pPr>
              <w:pStyle w:val="TableParagraph"/>
              <w:tabs>
                <w:tab w:pos="1297" w:val="left" w:leader="none"/>
              </w:tabs>
              <w:spacing w:before="66"/>
              <w:ind w:right="91"/>
              <w:jc w:val="center"/>
              <w:rPr>
                <w:b/>
                <w:sz w:val="18"/>
              </w:rPr>
            </w:pPr>
            <w:r>
              <w:rPr>
                <w:b/>
                <w:sz w:val="18"/>
              </w:rPr>
              <w:t>$</w:t>
              <w:tab/>
              <w:t>$</w:t>
            </w:r>
          </w:p>
        </w:tc>
      </w:tr>
      <w:tr>
        <w:trPr>
          <w:trHeight w:val="542" w:hRule="exact"/>
        </w:trPr>
        <w:tc>
          <w:tcPr>
            <w:tcW w:w="4717" w:type="dxa"/>
          </w:tcPr>
          <w:p>
            <w:pPr>
              <w:pStyle w:val="TableParagraph"/>
              <w:spacing w:before="63"/>
              <w:ind w:left="35"/>
              <w:jc w:val="left"/>
              <w:rPr>
                <w:b/>
                <w:sz w:val="18"/>
              </w:rPr>
            </w:pPr>
            <w:r>
              <w:rPr>
                <w:b/>
                <w:sz w:val="18"/>
              </w:rPr>
              <w:t>Non-financial assets</w:t>
            </w:r>
          </w:p>
          <w:p>
            <w:pPr>
              <w:pStyle w:val="TableParagraph"/>
              <w:spacing w:before="29"/>
              <w:ind w:left="35"/>
              <w:jc w:val="left"/>
              <w:rPr>
                <w:sz w:val="18"/>
              </w:rPr>
            </w:pPr>
            <w:r>
              <w:rPr>
                <w:sz w:val="18"/>
              </w:rPr>
              <w:t>Property, plant and equipment</w:t>
            </w:r>
          </w:p>
        </w:tc>
        <w:tc>
          <w:tcPr>
            <w:tcW w:w="1437" w:type="dxa"/>
            <w:tcBorders>
              <w:bottom w:val="single" w:sz="0" w:space="0" w:color="000000"/>
            </w:tcBorders>
          </w:tcPr>
          <w:p>
            <w:pPr>
              <w:pStyle w:val="TableParagraph"/>
              <w:spacing w:before="11"/>
              <w:jc w:val="left"/>
              <w:rPr>
                <w:sz w:val="25"/>
              </w:rPr>
            </w:pPr>
          </w:p>
          <w:p>
            <w:pPr>
              <w:pStyle w:val="TableParagraph"/>
              <w:ind w:right="226"/>
              <w:rPr>
                <w:sz w:val="18"/>
              </w:rPr>
            </w:pPr>
            <w:r>
              <w:rPr>
                <w:w w:val="95"/>
                <w:sz w:val="18"/>
              </w:rPr>
              <w:t>13,575</w:t>
            </w:r>
          </w:p>
        </w:tc>
        <w:tc>
          <w:tcPr>
            <w:tcW w:w="1297" w:type="dxa"/>
            <w:tcBorders>
              <w:bottom w:val="single" w:sz="0" w:space="0" w:color="000000"/>
            </w:tcBorders>
          </w:tcPr>
          <w:p>
            <w:pPr>
              <w:pStyle w:val="TableParagraph"/>
              <w:spacing w:before="11"/>
              <w:jc w:val="left"/>
              <w:rPr>
                <w:sz w:val="25"/>
              </w:rPr>
            </w:pPr>
          </w:p>
          <w:p>
            <w:pPr>
              <w:pStyle w:val="TableParagraph"/>
              <w:ind w:right="226"/>
              <w:rPr>
                <w:sz w:val="18"/>
              </w:rPr>
            </w:pPr>
            <w:r>
              <w:rPr>
                <w:w w:val="95"/>
                <w:sz w:val="18"/>
              </w:rPr>
              <w:t>765,252</w:t>
            </w:r>
          </w:p>
        </w:tc>
        <w:tc>
          <w:tcPr>
            <w:tcW w:w="2455" w:type="dxa"/>
            <w:tcBorders>
              <w:bottom w:val="single" w:sz="0" w:space="0" w:color="000000"/>
            </w:tcBorders>
          </w:tcPr>
          <w:p>
            <w:pPr>
              <w:pStyle w:val="TableParagraph"/>
              <w:spacing w:before="11"/>
              <w:jc w:val="left"/>
              <w:rPr>
                <w:sz w:val="25"/>
              </w:rPr>
            </w:pPr>
          </w:p>
          <w:p>
            <w:pPr>
              <w:pStyle w:val="TableParagraph"/>
              <w:tabs>
                <w:tab w:pos="709" w:val="left" w:leader="none"/>
              </w:tabs>
              <w:ind w:right="86"/>
              <w:rPr>
                <w:sz w:val="18"/>
              </w:rPr>
            </w:pPr>
            <w:r>
              <w:rPr>
                <w:sz w:val="18"/>
              </w:rPr>
              <w:t>-</w:t>
              <w:tab/>
            </w:r>
            <w:r>
              <w:rPr>
                <w:spacing w:val="-1"/>
                <w:w w:val="95"/>
                <w:sz w:val="18"/>
              </w:rPr>
              <w:t>778,827</w:t>
            </w:r>
          </w:p>
        </w:tc>
      </w:tr>
      <w:tr>
        <w:trPr>
          <w:trHeight w:val="338" w:hRule="exact"/>
        </w:trPr>
        <w:tc>
          <w:tcPr>
            <w:tcW w:w="4717" w:type="dxa"/>
          </w:tcPr>
          <w:p>
            <w:pPr>
              <w:pStyle w:val="TableParagraph"/>
              <w:spacing w:before="123"/>
              <w:ind w:left="35"/>
              <w:jc w:val="left"/>
              <w:rPr>
                <w:b/>
                <w:sz w:val="18"/>
              </w:rPr>
            </w:pPr>
            <w:r>
              <w:rPr>
                <w:b/>
                <w:sz w:val="18"/>
              </w:rPr>
              <w:t>Total non-financial assets</w:t>
            </w:r>
          </w:p>
        </w:tc>
        <w:tc>
          <w:tcPr>
            <w:tcW w:w="1437" w:type="dxa"/>
            <w:tcBorders>
              <w:top w:val="single" w:sz="0" w:space="0" w:color="000000"/>
              <w:bottom w:val="single" w:sz="0" w:space="0" w:color="000000"/>
            </w:tcBorders>
          </w:tcPr>
          <w:p>
            <w:pPr>
              <w:pStyle w:val="TableParagraph"/>
              <w:spacing w:before="122"/>
              <w:ind w:right="226"/>
              <w:rPr>
                <w:sz w:val="18"/>
              </w:rPr>
            </w:pPr>
            <w:r>
              <w:rPr>
                <w:w w:val="95"/>
                <w:sz w:val="18"/>
              </w:rPr>
              <w:t>13,575</w:t>
            </w:r>
          </w:p>
        </w:tc>
        <w:tc>
          <w:tcPr>
            <w:tcW w:w="1297" w:type="dxa"/>
            <w:tcBorders>
              <w:top w:val="single" w:sz="0" w:space="0" w:color="000000"/>
              <w:bottom w:val="single" w:sz="0" w:space="0" w:color="000000"/>
            </w:tcBorders>
          </w:tcPr>
          <w:p>
            <w:pPr>
              <w:pStyle w:val="TableParagraph"/>
              <w:spacing w:before="122"/>
              <w:ind w:right="226"/>
              <w:rPr>
                <w:sz w:val="18"/>
              </w:rPr>
            </w:pPr>
            <w:r>
              <w:rPr>
                <w:w w:val="95"/>
                <w:sz w:val="18"/>
              </w:rPr>
              <w:t>765,252</w:t>
            </w:r>
          </w:p>
        </w:tc>
        <w:tc>
          <w:tcPr>
            <w:tcW w:w="2455" w:type="dxa"/>
            <w:tcBorders>
              <w:top w:val="single" w:sz="0" w:space="0" w:color="000000"/>
              <w:bottom w:val="single" w:sz="0" w:space="0" w:color="000000"/>
            </w:tcBorders>
          </w:tcPr>
          <w:p>
            <w:pPr>
              <w:pStyle w:val="TableParagraph"/>
              <w:tabs>
                <w:tab w:pos="709" w:val="left" w:leader="none"/>
              </w:tabs>
              <w:spacing w:before="122"/>
              <w:ind w:right="86"/>
              <w:rPr>
                <w:sz w:val="18"/>
              </w:rPr>
            </w:pPr>
            <w:r>
              <w:rPr>
                <w:sz w:val="18"/>
              </w:rPr>
              <w:t>-</w:t>
              <w:tab/>
            </w:r>
            <w:r>
              <w:rPr>
                <w:spacing w:val="-1"/>
                <w:w w:val="95"/>
                <w:sz w:val="18"/>
              </w:rPr>
              <w:t>778,827</w:t>
            </w:r>
          </w:p>
        </w:tc>
      </w:tr>
      <w:tr>
        <w:trPr>
          <w:trHeight w:val="344" w:hRule="exact"/>
        </w:trPr>
        <w:tc>
          <w:tcPr>
            <w:tcW w:w="4717" w:type="dxa"/>
          </w:tcPr>
          <w:p>
            <w:pPr>
              <w:pStyle w:val="TableParagraph"/>
              <w:spacing w:before="123"/>
              <w:ind w:left="35"/>
              <w:jc w:val="left"/>
              <w:rPr>
                <w:b/>
                <w:sz w:val="18"/>
              </w:rPr>
            </w:pPr>
            <w:r>
              <w:rPr>
                <w:b/>
                <w:sz w:val="18"/>
              </w:rPr>
              <w:t>Total assets</w:t>
            </w:r>
          </w:p>
        </w:tc>
        <w:tc>
          <w:tcPr>
            <w:tcW w:w="1437" w:type="dxa"/>
            <w:tcBorders>
              <w:top w:val="single" w:sz="0" w:space="0" w:color="000000"/>
              <w:bottom w:val="single" w:sz="0" w:space="0" w:color="000000"/>
            </w:tcBorders>
          </w:tcPr>
          <w:p>
            <w:pPr>
              <w:pStyle w:val="TableParagraph"/>
              <w:spacing w:before="122"/>
              <w:ind w:right="226"/>
              <w:rPr>
                <w:sz w:val="18"/>
              </w:rPr>
            </w:pPr>
            <w:r>
              <w:rPr>
                <w:w w:val="95"/>
                <w:sz w:val="18"/>
              </w:rPr>
              <w:t>13,575</w:t>
            </w:r>
          </w:p>
        </w:tc>
        <w:tc>
          <w:tcPr>
            <w:tcW w:w="1297" w:type="dxa"/>
            <w:tcBorders>
              <w:top w:val="single" w:sz="0" w:space="0" w:color="000000"/>
              <w:bottom w:val="single" w:sz="0" w:space="0" w:color="000000"/>
            </w:tcBorders>
          </w:tcPr>
          <w:p>
            <w:pPr>
              <w:pStyle w:val="TableParagraph"/>
              <w:spacing w:before="122"/>
              <w:ind w:right="226"/>
              <w:rPr>
                <w:sz w:val="18"/>
              </w:rPr>
            </w:pPr>
            <w:r>
              <w:rPr>
                <w:w w:val="95"/>
                <w:sz w:val="18"/>
              </w:rPr>
              <w:t>765,252</w:t>
            </w:r>
          </w:p>
        </w:tc>
        <w:tc>
          <w:tcPr>
            <w:tcW w:w="2455" w:type="dxa"/>
            <w:tcBorders>
              <w:top w:val="single" w:sz="0" w:space="0" w:color="000000"/>
              <w:bottom w:val="single" w:sz="0" w:space="0" w:color="000000"/>
            </w:tcBorders>
          </w:tcPr>
          <w:p>
            <w:pPr>
              <w:pStyle w:val="TableParagraph"/>
              <w:tabs>
                <w:tab w:pos="709" w:val="left" w:leader="none"/>
              </w:tabs>
              <w:spacing w:before="122"/>
              <w:ind w:right="86"/>
              <w:rPr>
                <w:sz w:val="18"/>
              </w:rPr>
            </w:pPr>
            <w:r>
              <w:rPr>
                <w:sz w:val="18"/>
              </w:rPr>
              <w:t>-</w:t>
              <w:tab/>
            </w:r>
            <w:r>
              <w:rPr>
                <w:spacing w:val="-1"/>
                <w:w w:val="95"/>
                <w:sz w:val="18"/>
              </w:rPr>
              <w:t>778,827</w:t>
            </w:r>
          </w:p>
        </w:tc>
      </w:tr>
    </w:tbl>
    <w:p>
      <w:pPr>
        <w:spacing w:after="0"/>
        <w:rPr>
          <w:sz w:val="18"/>
        </w:rPr>
        <w:sectPr>
          <w:pgSz w:w="12750" w:h="17680"/>
          <w:pgMar w:header="0" w:footer="907" w:top="1880" w:bottom="1120" w:left="0" w:right="0"/>
        </w:sectPr>
      </w:pPr>
    </w:p>
    <w:p>
      <w:pPr>
        <w:pStyle w:val="BodyText"/>
        <w:spacing w:before="2"/>
        <w:rPr>
          <w:sz w:val="24"/>
        </w:rPr>
      </w:pPr>
    </w:p>
    <w:p>
      <w:pPr>
        <w:pStyle w:val="Heading4"/>
      </w:pPr>
      <w:r>
        <w:rPr/>
        <w:t>Notes to the financial statements</w:t>
      </w:r>
    </w:p>
    <w:p>
      <w:pPr>
        <w:pStyle w:val="Heading7"/>
      </w:pPr>
      <w:r>
        <w:rPr/>
        <w:t>For the Year Ended 31 December 2016</w:t>
      </w:r>
    </w:p>
    <w:p>
      <w:pPr>
        <w:pStyle w:val="BodyText"/>
        <w:rPr>
          <w:b/>
          <w:sz w:val="22"/>
        </w:rPr>
      </w:pPr>
    </w:p>
    <w:p>
      <w:pPr>
        <w:pStyle w:val="BodyText"/>
        <w:rPr>
          <w:b/>
          <w:sz w:val="22"/>
        </w:rPr>
      </w:pPr>
    </w:p>
    <w:p>
      <w:pPr>
        <w:pStyle w:val="Heading8"/>
        <w:tabs>
          <w:tab w:pos="1825" w:val="left" w:leader="none"/>
        </w:tabs>
        <w:spacing w:before="160"/>
        <w:ind w:left="1429"/>
      </w:pPr>
      <w:bookmarkStart w:name="Fair value measurements" w:id="470"/>
      <w:bookmarkEnd w:id="470"/>
      <w:r>
        <w:rPr>
          <w:b w:val="0"/>
        </w:rPr>
      </w:r>
      <w:r>
        <w:rPr/>
        <w:t>6</w:t>
        <w:tab/>
        <w:t>Fair Value Measurement</w:t>
      </w:r>
      <w:r>
        <w:rPr>
          <w:spacing w:val="-1"/>
        </w:rPr>
        <w:t> </w:t>
      </w:r>
      <w:r>
        <w:rPr/>
        <w:t>(continued)</w:t>
      </w:r>
    </w:p>
    <w:p>
      <w:pPr>
        <w:pStyle w:val="BodyText"/>
        <w:spacing w:before="7"/>
        <w:rPr>
          <w:b/>
          <w:sz w:val="26"/>
        </w:rPr>
      </w:pPr>
    </w:p>
    <w:p>
      <w:pPr>
        <w:pStyle w:val="ListParagraph"/>
        <w:numPr>
          <w:ilvl w:val="0"/>
          <w:numId w:val="89"/>
        </w:numPr>
        <w:tabs>
          <w:tab w:pos="2392" w:val="left" w:leader="none"/>
        </w:tabs>
        <w:spacing w:line="240" w:lineRule="auto" w:before="0" w:after="0"/>
        <w:ind w:left="2391" w:right="0" w:hanging="566"/>
        <w:jc w:val="left"/>
        <w:rPr>
          <w:b/>
          <w:sz w:val="18"/>
        </w:rPr>
      </w:pPr>
      <w:r>
        <w:rPr>
          <w:b/>
          <w:sz w:val="18"/>
        </w:rPr>
        <w:t>Fair value</w:t>
      </w:r>
      <w:r>
        <w:rPr>
          <w:b/>
          <w:spacing w:val="-22"/>
          <w:sz w:val="18"/>
        </w:rPr>
        <w:t> </w:t>
      </w:r>
      <w:r>
        <w:rPr>
          <w:b/>
          <w:sz w:val="18"/>
        </w:rPr>
        <w:t>measurements</w:t>
      </w:r>
    </w:p>
    <w:p>
      <w:pPr>
        <w:pStyle w:val="BodyText"/>
        <w:spacing w:before="4"/>
        <w:rPr>
          <w:b/>
          <w:sz w:val="25"/>
        </w:rPr>
      </w:pPr>
    </w:p>
    <w:p>
      <w:pPr>
        <w:pStyle w:val="BodyText"/>
        <w:ind w:left="1823" w:right="1387"/>
      </w:pPr>
      <w:r>
        <w:rPr/>
        <w:t>Due</w:t>
      </w:r>
      <w:r>
        <w:rPr>
          <w:spacing w:val="-6"/>
        </w:rPr>
        <w:t> </w:t>
      </w:r>
      <w:r>
        <w:rPr/>
        <w:t>to</w:t>
      </w:r>
      <w:r>
        <w:rPr>
          <w:spacing w:val="-6"/>
        </w:rPr>
        <w:t> </w:t>
      </w:r>
      <w:r>
        <w:rPr/>
        <w:t>the</w:t>
      </w:r>
      <w:r>
        <w:rPr>
          <w:spacing w:val="-6"/>
        </w:rPr>
        <w:t> </w:t>
      </w:r>
      <w:r>
        <w:rPr/>
        <w:t>short-term</w:t>
      </w:r>
      <w:r>
        <w:rPr>
          <w:spacing w:val="-6"/>
        </w:rPr>
        <w:t> </w:t>
      </w:r>
      <w:r>
        <w:rPr/>
        <w:t>nature</w:t>
      </w:r>
      <w:r>
        <w:rPr>
          <w:spacing w:val="-6"/>
        </w:rPr>
        <w:t> </w:t>
      </w:r>
      <w:r>
        <w:rPr/>
        <w:t>of</w:t>
      </w:r>
      <w:r>
        <w:rPr>
          <w:spacing w:val="-6"/>
        </w:rPr>
        <w:t> </w:t>
      </w:r>
      <w:r>
        <w:rPr/>
        <w:t>the</w:t>
      </w:r>
      <w:r>
        <w:rPr>
          <w:spacing w:val="-6"/>
        </w:rPr>
        <w:t> </w:t>
      </w:r>
      <w:r>
        <w:rPr/>
        <w:t>current</w:t>
      </w:r>
      <w:r>
        <w:rPr>
          <w:spacing w:val="-6"/>
        </w:rPr>
        <w:t> </w:t>
      </w:r>
      <w:r>
        <w:rPr/>
        <w:t>receivable</w:t>
      </w:r>
      <w:r>
        <w:rPr>
          <w:spacing w:val="-6"/>
        </w:rPr>
        <w:t> </w:t>
      </w:r>
      <w:r>
        <w:rPr/>
        <w:t>their</w:t>
      </w:r>
      <w:r>
        <w:rPr>
          <w:spacing w:val="-6"/>
        </w:rPr>
        <w:t> </w:t>
      </w:r>
      <w:r>
        <w:rPr/>
        <w:t>carrying</w:t>
      </w:r>
      <w:r>
        <w:rPr>
          <w:spacing w:val="-6"/>
        </w:rPr>
        <w:t> </w:t>
      </w:r>
      <w:r>
        <w:rPr/>
        <w:t>value</w:t>
      </w:r>
      <w:r>
        <w:rPr>
          <w:spacing w:val="-6"/>
        </w:rPr>
        <w:t> </w:t>
      </w:r>
      <w:r>
        <w:rPr/>
        <w:t>is</w:t>
      </w:r>
      <w:r>
        <w:rPr>
          <w:spacing w:val="-6"/>
        </w:rPr>
        <w:t> </w:t>
      </w:r>
      <w:r>
        <w:rPr/>
        <w:t>assumed</w:t>
      </w:r>
      <w:r>
        <w:rPr>
          <w:spacing w:val="-6"/>
        </w:rPr>
        <w:t> </w:t>
      </w:r>
      <w:r>
        <w:rPr/>
        <w:t>to</w:t>
      </w:r>
      <w:r>
        <w:rPr>
          <w:spacing w:val="-6"/>
        </w:rPr>
        <w:t> </w:t>
      </w:r>
      <w:r>
        <w:rPr/>
        <w:t>approximate</w:t>
      </w:r>
      <w:r>
        <w:rPr>
          <w:spacing w:val="-6"/>
        </w:rPr>
        <w:t> </w:t>
      </w:r>
      <w:r>
        <w:rPr/>
        <w:t>their</w:t>
      </w:r>
      <w:r>
        <w:rPr>
          <w:spacing w:val="-6"/>
        </w:rPr>
        <w:t> </w:t>
      </w:r>
      <w:r>
        <w:rPr/>
        <w:t>fair</w:t>
      </w:r>
      <w:r>
        <w:rPr>
          <w:spacing w:val="-6"/>
        </w:rPr>
        <w:t> </w:t>
      </w:r>
      <w:r>
        <w:rPr/>
        <w:t>value</w:t>
      </w:r>
      <w:r>
        <w:rPr>
          <w:spacing w:val="-6"/>
        </w:rPr>
        <w:t> </w:t>
      </w:r>
      <w:r>
        <w:rPr/>
        <w:t>and based</w:t>
      </w:r>
      <w:r>
        <w:rPr>
          <w:spacing w:val="-6"/>
        </w:rPr>
        <w:t> </w:t>
      </w:r>
      <w:r>
        <w:rPr/>
        <w:t>on</w:t>
      </w:r>
      <w:r>
        <w:rPr>
          <w:spacing w:val="-6"/>
        </w:rPr>
        <w:t> </w:t>
      </w:r>
      <w:r>
        <w:rPr/>
        <w:t>credit</w:t>
      </w:r>
      <w:r>
        <w:rPr>
          <w:spacing w:val="-6"/>
        </w:rPr>
        <w:t> </w:t>
      </w:r>
      <w:r>
        <w:rPr/>
        <w:t>history</w:t>
      </w:r>
      <w:r>
        <w:rPr>
          <w:spacing w:val="-6"/>
        </w:rPr>
        <w:t> </w:t>
      </w:r>
      <w:r>
        <w:rPr/>
        <w:t>it</w:t>
      </w:r>
      <w:r>
        <w:rPr>
          <w:spacing w:val="-6"/>
        </w:rPr>
        <w:t> </w:t>
      </w:r>
      <w:r>
        <w:rPr/>
        <w:t>is</w:t>
      </w:r>
      <w:r>
        <w:rPr>
          <w:spacing w:val="-6"/>
        </w:rPr>
        <w:t> </w:t>
      </w:r>
      <w:r>
        <w:rPr/>
        <w:t>expected</w:t>
      </w:r>
      <w:r>
        <w:rPr>
          <w:spacing w:val="-6"/>
        </w:rPr>
        <w:t> </w:t>
      </w:r>
      <w:r>
        <w:rPr/>
        <w:t>that</w:t>
      </w:r>
      <w:r>
        <w:rPr>
          <w:spacing w:val="-6"/>
        </w:rPr>
        <w:t> </w:t>
      </w:r>
      <w:r>
        <w:rPr/>
        <w:t>the</w:t>
      </w:r>
      <w:r>
        <w:rPr>
          <w:spacing w:val="-6"/>
        </w:rPr>
        <w:t> </w:t>
      </w:r>
      <w:r>
        <w:rPr/>
        <w:t>receivable</w:t>
      </w:r>
      <w:r>
        <w:rPr>
          <w:spacing w:val="-6"/>
        </w:rPr>
        <w:t> </w:t>
      </w:r>
      <w:r>
        <w:rPr/>
        <w:t>that</w:t>
      </w:r>
      <w:r>
        <w:rPr>
          <w:spacing w:val="-6"/>
        </w:rPr>
        <w:t> </w:t>
      </w:r>
      <w:r>
        <w:rPr/>
        <w:t>are</w:t>
      </w:r>
      <w:r>
        <w:rPr>
          <w:spacing w:val="-6"/>
        </w:rPr>
        <w:t> </w:t>
      </w:r>
      <w:r>
        <w:rPr/>
        <w:t>neither</w:t>
      </w:r>
      <w:r>
        <w:rPr>
          <w:spacing w:val="-6"/>
        </w:rPr>
        <w:t> </w:t>
      </w:r>
      <w:r>
        <w:rPr/>
        <w:t>past</w:t>
      </w:r>
      <w:r>
        <w:rPr>
          <w:spacing w:val="-6"/>
        </w:rPr>
        <w:t> </w:t>
      </w:r>
      <w:r>
        <w:rPr/>
        <w:t>due</w:t>
      </w:r>
      <w:r>
        <w:rPr>
          <w:spacing w:val="-6"/>
        </w:rPr>
        <w:t> </w:t>
      </w:r>
      <w:r>
        <w:rPr/>
        <w:t>nor</w:t>
      </w:r>
      <w:r>
        <w:rPr>
          <w:spacing w:val="-6"/>
        </w:rPr>
        <w:t> </w:t>
      </w:r>
      <w:r>
        <w:rPr/>
        <w:t>impaired</w:t>
      </w:r>
      <w:r>
        <w:rPr>
          <w:spacing w:val="-6"/>
        </w:rPr>
        <w:t> </w:t>
      </w:r>
      <w:r>
        <w:rPr/>
        <w:t>will</w:t>
      </w:r>
      <w:r>
        <w:rPr>
          <w:spacing w:val="-6"/>
        </w:rPr>
        <w:t> </w:t>
      </w:r>
      <w:r>
        <w:rPr/>
        <w:t>be</w:t>
      </w:r>
      <w:r>
        <w:rPr>
          <w:spacing w:val="-6"/>
        </w:rPr>
        <w:t> </w:t>
      </w:r>
      <w:r>
        <w:rPr/>
        <w:t>received</w:t>
      </w:r>
      <w:r>
        <w:rPr>
          <w:spacing w:val="-6"/>
        </w:rPr>
        <w:t> </w:t>
      </w:r>
      <w:r>
        <w:rPr/>
        <w:t>when</w:t>
      </w:r>
      <w:r>
        <w:rPr>
          <w:spacing w:val="-6"/>
        </w:rPr>
        <w:t> </w:t>
      </w:r>
      <w:r>
        <w:rPr/>
        <w:t>due.</w:t>
      </w:r>
    </w:p>
    <w:p>
      <w:pPr>
        <w:pStyle w:val="BodyText"/>
        <w:spacing w:before="11"/>
        <w:rPr>
          <w:sz w:val="24"/>
        </w:rPr>
      </w:pPr>
    </w:p>
    <w:p>
      <w:pPr>
        <w:pStyle w:val="BodyText"/>
        <w:ind w:left="1823"/>
      </w:pPr>
      <w:r>
        <w:rPr/>
        <w:t>The carrying amounts and aggregate net fair values of financial assets and liabilities at balance date are:</w:t>
      </w:r>
    </w:p>
    <w:p>
      <w:pPr>
        <w:pStyle w:val="BodyText"/>
      </w:pPr>
    </w:p>
    <w:p>
      <w:pPr>
        <w:pStyle w:val="BodyText"/>
      </w:pPr>
    </w:p>
    <w:p>
      <w:pPr>
        <w:pStyle w:val="Heading8"/>
        <w:tabs>
          <w:tab w:pos="9653" w:val="left" w:leader="none"/>
        </w:tabs>
        <w:spacing w:before="113"/>
        <w:ind w:left="6757"/>
      </w:pPr>
      <w:r>
        <w:rPr/>
        <w:t>Carrying</w:t>
      </w:r>
      <w:r>
        <w:rPr>
          <w:spacing w:val="-6"/>
        </w:rPr>
        <w:t> </w:t>
      </w:r>
      <w:r>
        <w:rPr/>
        <w:t>Amount</w:t>
        <w:tab/>
        <w:t>Fair Value</w:t>
      </w:r>
    </w:p>
    <w:p>
      <w:pPr>
        <w:pStyle w:val="BodyText"/>
        <w:spacing w:before="10"/>
        <w:rPr>
          <w:b/>
          <w:sz w:val="22"/>
        </w:rPr>
      </w:pPr>
    </w:p>
    <w:p>
      <w:pPr>
        <w:spacing w:after="0"/>
        <w:rPr>
          <w:sz w:val="22"/>
        </w:rPr>
        <w:sectPr>
          <w:pgSz w:w="12750" w:h="17680"/>
          <w:pgMar w:header="0" w:footer="907" w:top="1880" w:bottom="1120" w:left="0" w:right="0"/>
        </w:sectPr>
      </w:pPr>
    </w:p>
    <w:p>
      <w:pPr>
        <w:spacing w:before="77"/>
        <w:ind w:left="0" w:right="0" w:firstLine="0"/>
        <w:jc w:val="right"/>
        <w:rPr>
          <w:b/>
          <w:sz w:val="18"/>
        </w:rPr>
      </w:pPr>
      <w:r>
        <w:rPr>
          <w:b/>
          <w:sz w:val="18"/>
        </w:rPr>
        <w:t>2016</w:t>
      </w:r>
    </w:p>
    <w:p>
      <w:pPr>
        <w:spacing w:before="66"/>
        <w:ind w:left="0" w:right="146" w:firstLine="0"/>
        <w:jc w:val="right"/>
        <w:rPr>
          <w:b/>
          <w:sz w:val="18"/>
        </w:rPr>
      </w:pPr>
      <w:r>
        <w:rPr>
          <w:b/>
          <w:w w:val="99"/>
          <w:sz w:val="18"/>
        </w:rPr>
        <w:t>$</w:t>
      </w:r>
    </w:p>
    <w:p>
      <w:pPr>
        <w:spacing w:before="77"/>
        <w:ind w:left="0" w:right="0" w:firstLine="0"/>
        <w:jc w:val="right"/>
        <w:rPr>
          <w:b/>
          <w:sz w:val="18"/>
        </w:rPr>
      </w:pPr>
      <w:r>
        <w:rPr/>
        <w:br w:type="column"/>
      </w:r>
      <w:r>
        <w:rPr>
          <w:b/>
          <w:sz w:val="18"/>
        </w:rPr>
        <w:t>2015</w:t>
      </w:r>
    </w:p>
    <w:p>
      <w:pPr>
        <w:spacing w:before="66"/>
        <w:ind w:left="0" w:right="146" w:firstLine="0"/>
        <w:jc w:val="right"/>
        <w:rPr>
          <w:b/>
          <w:sz w:val="18"/>
        </w:rPr>
      </w:pPr>
      <w:r>
        <w:rPr>
          <w:b/>
          <w:w w:val="99"/>
          <w:sz w:val="18"/>
        </w:rPr>
        <w:t>$</w:t>
      </w:r>
    </w:p>
    <w:p>
      <w:pPr>
        <w:spacing w:before="77"/>
        <w:ind w:left="0" w:right="0" w:firstLine="0"/>
        <w:jc w:val="right"/>
        <w:rPr>
          <w:b/>
          <w:sz w:val="18"/>
        </w:rPr>
      </w:pPr>
      <w:r>
        <w:rPr/>
        <w:br w:type="column"/>
      </w:r>
      <w:r>
        <w:rPr>
          <w:b/>
          <w:sz w:val="18"/>
        </w:rPr>
        <w:t>2016</w:t>
      </w:r>
    </w:p>
    <w:p>
      <w:pPr>
        <w:spacing w:before="66"/>
        <w:ind w:left="0" w:right="146" w:firstLine="0"/>
        <w:jc w:val="right"/>
        <w:rPr>
          <w:b/>
          <w:sz w:val="18"/>
        </w:rPr>
      </w:pPr>
      <w:r>
        <w:rPr>
          <w:b/>
          <w:w w:val="99"/>
          <w:sz w:val="18"/>
        </w:rPr>
        <w:t>$</w:t>
      </w:r>
    </w:p>
    <w:p>
      <w:pPr>
        <w:spacing w:before="77"/>
        <w:ind w:left="826" w:right="1807" w:firstLine="0"/>
        <w:jc w:val="center"/>
        <w:rPr>
          <w:b/>
          <w:sz w:val="18"/>
        </w:rPr>
      </w:pPr>
      <w:r>
        <w:rPr/>
        <w:br w:type="column"/>
      </w:r>
      <w:r>
        <w:rPr>
          <w:b/>
          <w:sz w:val="18"/>
        </w:rPr>
        <w:t>2015</w:t>
      </w:r>
    </w:p>
    <w:p>
      <w:pPr>
        <w:spacing w:before="66"/>
        <w:ind w:left="0" w:right="980" w:firstLine="0"/>
        <w:jc w:val="center"/>
        <w:rPr>
          <w:b/>
          <w:sz w:val="18"/>
        </w:rPr>
      </w:pPr>
      <w:r>
        <w:rPr>
          <w:b/>
          <w:w w:val="99"/>
          <w:sz w:val="18"/>
        </w:rPr>
        <w:t>$</w:t>
      </w:r>
    </w:p>
    <w:p>
      <w:pPr>
        <w:spacing w:after="0"/>
        <w:jc w:val="center"/>
        <w:rPr>
          <w:sz w:val="18"/>
        </w:rPr>
        <w:sectPr>
          <w:type w:val="continuous"/>
          <w:pgSz w:w="12750" w:h="17680"/>
          <w:pgMar w:top="1660" w:bottom="0" w:left="0" w:right="0"/>
          <w:cols w:num="4" w:equalWidth="0">
            <w:col w:w="7040" w:space="40"/>
            <w:col w:w="1243" w:space="40"/>
            <w:col w:w="1272" w:space="40"/>
            <w:col w:w="3075"/>
          </w:cols>
        </w:sectPr>
      </w:pPr>
    </w:p>
    <w:p>
      <w:pPr>
        <w:pStyle w:val="BodyText"/>
        <w:spacing w:before="11"/>
        <w:rPr>
          <w:b/>
          <w:sz w:val="5"/>
        </w:rPr>
      </w:pPr>
    </w:p>
    <w:tbl>
      <w:tblPr>
        <w:tblW w:w="0" w:type="auto"/>
        <w:jc w:val="left"/>
        <w:tblInd w:w="143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717"/>
        <w:gridCol w:w="5189"/>
      </w:tblGrid>
      <w:tr>
        <w:trPr>
          <w:trHeight w:val="558" w:hRule="exact"/>
        </w:trPr>
        <w:tc>
          <w:tcPr>
            <w:tcW w:w="4717" w:type="dxa"/>
          </w:tcPr>
          <w:p>
            <w:pPr>
              <w:pStyle w:val="TableParagraph"/>
              <w:spacing w:before="77"/>
              <w:ind w:left="35"/>
              <w:jc w:val="left"/>
              <w:rPr>
                <w:b/>
                <w:sz w:val="18"/>
              </w:rPr>
            </w:pPr>
            <w:r>
              <w:rPr>
                <w:b/>
                <w:sz w:val="18"/>
              </w:rPr>
              <w:t>Financial assets</w:t>
            </w:r>
          </w:p>
          <w:p>
            <w:pPr>
              <w:pStyle w:val="TableParagraph"/>
              <w:spacing w:before="29"/>
              <w:ind w:left="35"/>
              <w:jc w:val="left"/>
              <w:rPr>
                <w:sz w:val="18"/>
              </w:rPr>
            </w:pPr>
            <w:r>
              <w:rPr>
                <w:sz w:val="18"/>
              </w:rPr>
              <w:t>Cash and cash equivalents</w:t>
            </w:r>
          </w:p>
        </w:tc>
        <w:tc>
          <w:tcPr>
            <w:tcW w:w="5189" w:type="dxa"/>
          </w:tcPr>
          <w:p>
            <w:pPr>
              <w:pStyle w:val="TableParagraph"/>
              <w:jc w:val="left"/>
              <w:rPr>
                <w:b/>
                <w:sz w:val="18"/>
              </w:rPr>
            </w:pPr>
          </w:p>
          <w:p>
            <w:pPr>
              <w:pStyle w:val="TableParagraph"/>
              <w:tabs>
                <w:tab w:pos="1269" w:val="left" w:leader="none"/>
                <w:tab w:pos="2594" w:val="left" w:leader="none"/>
                <w:tab w:pos="3863" w:val="left" w:leader="none"/>
              </w:tabs>
              <w:spacing w:before="105"/>
              <w:ind w:right="85"/>
              <w:rPr>
                <w:sz w:val="18"/>
              </w:rPr>
            </w:pPr>
            <w:r>
              <w:rPr>
                <w:b/>
                <w:sz w:val="18"/>
              </w:rPr>
              <w:t>575,222</w:t>
              <w:tab/>
            </w:r>
            <w:r>
              <w:rPr>
                <w:sz w:val="18"/>
              </w:rPr>
              <w:t>471,976</w:t>
              <w:tab/>
            </w:r>
            <w:r>
              <w:rPr>
                <w:b/>
                <w:sz w:val="18"/>
              </w:rPr>
              <w:t>575,222</w:t>
              <w:tab/>
            </w:r>
            <w:r>
              <w:rPr>
                <w:spacing w:val="-1"/>
                <w:w w:val="95"/>
                <w:sz w:val="18"/>
              </w:rPr>
              <w:t>471,976</w:t>
            </w:r>
          </w:p>
        </w:tc>
      </w:tr>
      <w:tr>
        <w:trPr>
          <w:trHeight w:val="306" w:hRule="exact"/>
        </w:trPr>
        <w:tc>
          <w:tcPr>
            <w:tcW w:w="4717" w:type="dxa"/>
          </w:tcPr>
          <w:p>
            <w:pPr>
              <w:pStyle w:val="TableParagraph"/>
              <w:spacing w:before="19"/>
              <w:ind w:left="35"/>
              <w:jc w:val="left"/>
              <w:rPr>
                <w:sz w:val="18"/>
              </w:rPr>
            </w:pPr>
            <w:r>
              <w:rPr>
                <w:sz w:val="18"/>
              </w:rPr>
              <w:t>Trade and other receivables</w:t>
            </w:r>
          </w:p>
        </w:tc>
        <w:tc>
          <w:tcPr>
            <w:tcW w:w="5189" w:type="dxa"/>
          </w:tcPr>
          <w:p>
            <w:pPr>
              <w:pStyle w:val="TableParagraph"/>
              <w:tabs>
                <w:tab w:pos="1658" w:val="left" w:leader="none"/>
                <w:tab w:pos="2594" w:val="left" w:leader="none"/>
                <w:tab w:pos="4252" w:val="left" w:leader="none"/>
              </w:tabs>
              <w:spacing w:before="18"/>
              <w:ind w:right="85"/>
              <w:rPr>
                <w:sz w:val="18"/>
              </w:rPr>
            </w:pPr>
            <w:r>
              <w:rPr>
                <w:b/>
                <w:sz w:val="18"/>
              </w:rPr>
              <w:t>3,700</w:t>
              <w:tab/>
            </w:r>
            <w:r>
              <w:rPr>
                <w:sz w:val="18"/>
              </w:rPr>
              <w:t>-</w:t>
              <w:tab/>
            </w:r>
            <w:r>
              <w:rPr>
                <w:b/>
                <w:sz w:val="18"/>
              </w:rPr>
              <w:t>3,700</w:t>
              <w:tab/>
            </w:r>
            <w:r>
              <w:rPr>
                <w:sz w:val="18"/>
              </w:rPr>
              <w:t>-</w:t>
            </w:r>
          </w:p>
        </w:tc>
      </w:tr>
      <w:tr>
        <w:trPr>
          <w:trHeight w:val="343" w:hRule="exact"/>
        </w:trPr>
        <w:tc>
          <w:tcPr>
            <w:tcW w:w="4717" w:type="dxa"/>
          </w:tcPr>
          <w:p>
            <w:pPr>
              <w:pStyle w:val="TableParagraph"/>
              <w:spacing w:before="60"/>
              <w:ind w:left="35"/>
              <w:jc w:val="left"/>
              <w:rPr>
                <w:b/>
                <w:sz w:val="18"/>
              </w:rPr>
            </w:pPr>
            <w:r>
              <w:rPr>
                <w:b/>
                <w:sz w:val="18"/>
              </w:rPr>
              <w:t>Total financial assets</w:t>
            </w:r>
          </w:p>
        </w:tc>
        <w:tc>
          <w:tcPr>
            <w:tcW w:w="5189" w:type="dxa"/>
          </w:tcPr>
          <w:p>
            <w:pPr>
              <w:pStyle w:val="TableParagraph"/>
              <w:tabs>
                <w:tab w:pos="589" w:val="left" w:leader="none"/>
                <w:tab w:pos="1858" w:val="left" w:leader="none"/>
                <w:tab w:pos="3183" w:val="left" w:leader="none"/>
                <w:tab w:pos="4453" w:val="left" w:leader="none"/>
              </w:tabs>
              <w:spacing w:before="60"/>
              <w:ind w:right="85"/>
              <w:rPr>
                <w:sz w:val="18"/>
              </w:rPr>
            </w:pPr>
            <w:r>
              <w:rPr>
                <w:rFonts w:ascii="Times New Roman"/>
                <w:sz w:val="18"/>
                <w:u w:val="single"/>
              </w:rPr>
              <w:t> </w:t>
              <w:tab/>
            </w:r>
            <w:r>
              <w:rPr>
                <w:b/>
                <w:sz w:val="18"/>
                <w:u w:val="single"/>
              </w:rPr>
              <w:t>578,922</w:t>
              <w:tab/>
            </w:r>
            <w:r>
              <w:rPr>
                <w:sz w:val="18"/>
                <w:u w:val="single"/>
              </w:rPr>
              <w:t>471,976</w:t>
              <w:tab/>
            </w:r>
            <w:r>
              <w:rPr>
                <w:b/>
                <w:sz w:val="18"/>
                <w:u w:val="single"/>
              </w:rPr>
              <w:t>578,922</w:t>
              <w:tab/>
            </w:r>
            <w:r>
              <w:rPr>
                <w:spacing w:val="-1"/>
                <w:w w:val="95"/>
                <w:sz w:val="18"/>
                <w:u w:val="single"/>
              </w:rPr>
              <w:t>471,976</w:t>
            </w:r>
          </w:p>
        </w:tc>
      </w:tr>
      <w:tr>
        <w:trPr>
          <w:trHeight w:val="535" w:hRule="exact"/>
        </w:trPr>
        <w:tc>
          <w:tcPr>
            <w:tcW w:w="4717" w:type="dxa"/>
          </w:tcPr>
          <w:p>
            <w:pPr>
              <w:pStyle w:val="TableParagraph"/>
              <w:spacing w:before="55"/>
              <w:ind w:left="35"/>
              <w:jc w:val="left"/>
              <w:rPr>
                <w:b/>
                <w:sz w:val="18"/>
              </w:rPr>
            </w:pPr>
            <w:r>
              <w:rPr>
                <w:b/>
                <w:sz w:val="18"/>
              </w:rPr>
              <w:t>Financial Liabilities</w:t>
            </w:r>
          </w:p>
          <w:p>
            <w:pPr>
              <w:pStyle w:val="TableParagraph"/>
              <w:spacing w:before="29"/>
              <w:ind w:left="35"/>
              <w:jc w:val="left"/>
              <w:rPr>
                <w:sz w:val="18"/>
              </w:rPr>
            </w:pPr>
            <w:r>
              <w:rPr>
                <w:sz w:val="18"/>
              </w:rPr>
              <w:t>Other liabilities</w:t>
            </w:r>
          </w:p>
        </w:tc>
        <w:tc>
          <w:tcPr>
            <w:tcW w:w="5189" w:type="dxa"/>
            <w:tcBorders>
              <w:bottom w:val="single" w:sz="0" w:space="0" w:color="000000"/>
            </w:tcBorders>
          </w:tcPr>
          <w:p>
            <w:pPr>
              <w:pStyle w:val="TableParagraph"/>
              <w:spacing w:before="3"/>
              <w:jc w:val="left"/>
              <w:rPr>
                <w:b/>
                <w:sz w:val="25"/>
              </w:rPr>
            </w:pPr>
          </w:p>
          <w:p>
            <w:pPr>
              <w:pStyle w:val="TableParagraph"/>
              <w:tabs>
                <w:tab w:pos="1030" w:val="left" w:leader="none"/>
                <w:tab w:pos="2594" w:val="left" w:leader="none"/>
                <w:tab w:pos="3625" w:val="left" w:leader="none"/>
              </w:tabs>
              <w:ind w:right="85"/>
              <w:rPr>
                <w:sz w:val="18"/>
              </w:rPr>
            </w:pPr>
            <w:r>
              <w:rPr>
                <w:b/>
                <w:sz w:val="18"/>
              </w:rPr>
              <w:t>-</w:t>
              <w:tab/>
            </w:r>
            <w:r>
              <w:rPr>
                <w:sz w:val="18"/>
              </w:rPr>
              <w:t>600</w:t>
              <w:tab/>
            </w:r>
            <w:r>
              <w:rPr>
                <w:b/>
                <w:sz w:val="18"/>
              </w:rPr>
              <w:t>-</w:t>
              <w:tab/>
            </w:r>
            <w:r>
              <w:rPr>
                <w:spacing w:val="-2"/>
                <w:sz w:val="18"/>
              </w:rPr>
              <w:t>600</w:t>
            </w:r>
          </w:p>
        </w:tc>
      </w:tr>
      <w:tr>
        <w:trPr>
          <w:trHeight w:val="338" w:hRule="exact"/>
        </w:trPr>
        <w:tc>
          <w:tcPr>
            <w:tcW w:w="4717" w:type="dxa"/>
          </w:tcPr>
          <w:p>
            <w:pPr>
              <w:pStyle w:val="TableParagraph"/>
              <w:spacing w:before="123"/>
              <w:ind w:left="35"/>
              <w:jc w:val="left"/>
              <w:rPr>
                <w:b/>
                <w:sz w:val="18"/>
              </w:rPr>
            </w:pPr>
            <w:r>
              <w:rPr>
                <w:b/>
                <w:sz w:val="18"/>
              </w:rPr>
              <w:t>Total financial liabilities</w:t>
            </w:r>
          </w:p>
        </w:tc>
        <w:tc>
          <w:tcPr>
            <w:tcW w:w="5189" w:type="dxa"/>
            <w:tcBorders>
              <w:top w:val="single" w:sz="0" w:space="0" w:color="000000"/>
              <w:bottom w:val="single" w:sz="0" w:space="0" w:color="000000"/>
            </w:tcBorders>
          </w:tcPr>
          <w:p>
            <w:pPr>
              <w:pStyle w:val="TableParagraph"/>
              <w:tabs>
                <w:tab w:pos="1030" w:val="left" w:leader="none"/>
                <w:tab w:pos="2594" w:val="left" w:leader="none"/>
                <w:tab w:pos="3625" w:val="left" w:leader="none"/>
              </w:tabs>
              <w:spacing w:before="122"/>
              <w:ind w:right="85"/>
              <w:rPr>
                <w:sz w:val="18"/>
              </w:rPr>
            </w:pPr>
            <w:r>
              <w:rPr>
                <w:b/>
                <w:sz w:val="18"/>
              </w:rPr>
              <w:t>-</w:t>
              <w:tab/>
            </w:r>
            <w:r>
              <w:rPr>
                <w:sz w:val="18"/>
              </w:rPr>
              <w:t>600</w:t>
              <w:tab/>
            </w:r>
            <w:r>
              <w:rPr>
                <w:b/>
                <w:sz w:val="18"/>
              </w:rPr>
              <w:t>-</w:t>
              <w:tab/>
            </w:r>
            <w:r>
              <w:rPr>
                <w:spacing w:val="-2"/>
                <w:sz w:val="18"/>
              </w:rPr>
              <w:t>600</w:t>
            </w:r>
          </w:p>
        </w:tc>
      </w:tr>
    </w:tbl>
    <w:p>
      <w:pPr>
        <w:pStyle w:val="BodyText"/>
        <w:spacing w:before="3"/>
        <w:rPr>
          <w:b/>
          <w:sz w:val="19"/>
        </w:rPr>
      </w:pPr>
    </w:p>
    <w:p>
      <w:pPr>
        <w:pStyle w:val="BodyText"/>
        <w:spacing w:before="77"/>
        <w:ind w:left="1824"/>
      </w:pPr>
      <w:r>
        <w:rPr/>
        <w:drawing>
          <wp:anchor distT="0" distB="0" distL="0" distR="0" allowOverlap="1" layoutInCell="1" locked="0" behindDoc="0" simplePos="0" relativeHeight="15952">
            <wp:simplePos x="0" y="0"/>
            <wp:positionH relativeFrom="page">
              <wp:posOffset>-1587</wp:posOffset>
            </wp:positionH>
            <wp:positionV relativeFrom="paragraph">
              <wp:posOffset>-554686</wp:posOffset>
            </wp:positionV>
            <wp:extent cx="135159" cy="154019"/>
            <wp:effectExtent l="0" t="0" r="0" b="0"/>
            <wp:wrapNone/>
            <wp:docPr id="1093" name="image13.png" descr=""/>
            <wp:cNvGraphicFramePr>
              <a:graphicFrameLocks noChangeAspect="1"/>
            </wp:cNvGraphicFramePr>
            <a:graphic>
              <a:graphicData uri="http://schemas.openxmlformats.org/drawingml/2006/picture">
                <pic:pic>
                  <pic:nvPicPr>
                    <pic:cNvPr id="1094" name="image13.png"/>
                    <pic:cNvPicPr/>
                  </pic:nvPicPr>
                  <pic:blipFill>
                    <a:blip r:embed="rId18" cstate="print"/>
                    <a:stretch>
                      <a:fillRect/>
                    </a:stretch>
                  </pic:blipFill>
                  <pic:spPr>
                    <a:xfrm>
                      <a:off x="0" y="0"/>
                      <a:ext cx="135159" cy="154019"/>
                    </a:xfrm>
                    <a:prstGeom prst="rect">
                      <a:avLst/>
                    </a:prstGeom>
                  </pic:spPr>
                </pic:pic>
              </a:graphicData>
            </a:graphic>
          </wp:anchor>
        </w:drawing>
      </w:r>
      <w:r>
        <w:rPr/>
        <w:drawing>
          <wp:anchor distT="0" distB="0" distL="0" distR="0" allowOverlap="1" layoutInCell="1" locked="0" behindDoc="0" simplePos="0" relativeHeight="15976">
            <wp:simplePos x="0" y="0"/>
            <wp:positionH relativeFrom="page">
              <wp:posOffset>7958429</wp:posOffset>
            </wp:positionH>
            <wp:positionV relativeFrom="paragraph">
              <wp:posOffset>-554686</wp:posOffset>
            </wp:positionV>
            <wp:extent cx="135953" cy="155575"/>
            <wp:effectExtent l="0" t="0" r="0" b="0"/>
            <wp:wrapNone/>
            <wp:docPr id="1095" name="image15.png" descr=""/>
            <wp:cNvGraphicFramePr>
              <a:graphicFrameLocks noChangeAspect="1"/>
            </wp:cNvGraphicFramePr>
            <a:graphic>
              <a:graphicData uri="http://schemas.openxmlformats.org/drawingml/2006/picture">
                <pic:pic>
                  <pic:nvPicPr>
                    <pic:cNvPr id="1096" name="image15.png"/>
                    <pic:cNvPicPr/>
                  </pic:nvPicPr>
                  <pic:blipFill>
                    <a:blip r:embed="rId20" cstate="print"/>
                    <a:stretch>
                      <a:fillRect/>
                    </a:stretch>
                  </pic:blipFill>
                  <pic:spPr>
                    <a:xfrm>
                      <a:off x="0" y="0"/>
                      <a:ext cx="135953" cy="155575"/>
                    </a:xfrm>
                    <a:prstGeom prst="rect">
                      <a:avLst/>
                    </a:prstGeom>
                  </pic:spPr>
                </pic:pic>
              </a:graphicData>
            </a:graphic>
          </wp:anchor>
        </w:drawing>
      </w:r>
      <w:r>
        <w:rPr/>
        <w:t>The Trust measures and recognises the following assets and liabilities at fair value on a recurring basis:</w:t>
      </w:r>
    </w:p>
    <w:p>
      <w:pPr>
        <w:pStyle w:val="BodyText"/>
        <w:spacing w:before="5"/>
        <w:rPr>
          <w:sz w:val="25"/>
        </w:rPr>
      </w:pPr>
    </w:p>
    <w:p>
      <w:pPr>
        <w:pStyle w:val="ListParagraph"/>
        <w:numPr>
          <w:ilvl w:val="0"/>
          <w:numId w:val="90"/>
        </w:numPr>
        <w:tabs>
          <w:tab w:pos="2392" w:val="left" w:leader="none"/>
        </w:tabs>
        <w:spacing w:line="240" w:lineRule="auto" w:before="1" w:after="0"/>
        <w:ind w:left="2391" w:right="0" w:hanging="567"/>
        <w:jc w:val="left"/>
        <w:rPr>
          <w:sz w:val="18"/>
        </w:rPr>
      </w:pPr>
      <w:bookmarkStart w:name="(b) Valuation techniques used to derive " w:id="471"/>
      <w:bookmarkEnd w:id="471"/>
      <w:r>
        <w:rPr/>
      </w:r>
      <w:bookmarkStart w:name="(b) Valuation techniques used to derive " w:id="472"/>
      <w:bookmarkEnd w:id="472"/>
      <w:r>
        <w:rPr>
          <w:sz w:val="18"/>
        </w:rPr>
        <w:t>Property</w:t>
      </w:r>
      <w:r>
        <w:rPr>
          <w:sz w:val="18"/>
        </w:rPr>
        <w:t>, plant and</w:t>
      </w:r>
      <w:r>
        <w:rPr>
          <w:spacing w:val="-27"/>
          <w:sz w:val="18"/>
        </w:rPr>
        <w:t> </w:t>
      </w:r>
      <w:r>
        <w:rPr>
          <w:sz w:val="18"/>
        </w:rPr>
        <w:t>equipment</w:t>
      </w:r>
    </w:p>
    <w:p>
      <w:pPr>
        <w:pStyle w:val="BodyText"/>
      </w:pPr>
    </w:p>
    <w:p>
      <w:pPr>
        <w:pStyle w:val="BodyText"/>
        <w:spacing w:before="7"/>
        <w:rPr>
          <w:sz w:val="24"/>
        </w:rPr>
      </w:pPr>
    </w:p>
    <w:p>
      <w:pPr>
        <w:pStyle w:val="Heading8"/>
        <w:numPr>
          <w:ilvl w:val="0"/>
          <w:numId w:val="89"/>
        </w:numPr>
        <w:tabs>
          <w:tab w:pos="2392" w:val="left" w:leader="none"/>
        </w:tabs>
        <w:spacing w:line="240" w:lineRule="auto" w:before="0" w:after="0"/>
        <w:ind w:left="2391" w:right="0" w:hanging="566"/>
        <w:jc w:val="left"/>
      </w:pPr>
      <w:r>
        <w:rPr/>
        <w:t>Valuation techniques used to derive level 1, level 2 and level 3 fair</w:t>
      </w:r>
      <w:r>
        <w:rPr>
          <w:spacing w:val="-32"/>
        </w:rPr>
        <w:t> </w:t>
      </w:r>
      <w:r>
        <w:rPr/>
        <w:t>values</w:t>
      </w:r>
    </w:p>
    <w:p>
      <w:pPr>
        <w:pStyle w:val="BodyText"/>
        <w:spacing w:before="4"/>
        <w:rPr>
          <w:b/>
          <w:sz w:val="25"/>
        </w:rPr>
      </w:pPr>
    </w:p>
    <w:p>
      <w:pPr>
        <w:pStyle w:val="ListParagraph"/>
        <w:numPr>
          <w:ilvl w:val="0"/>
          <w:numId w:val="91"/>
        </w:numPr>
        <w:tabs>
          <w:tab w:pos="2034" w:val="left" w:leader="none"/>
        </w:tabs>
        <w:spacing w:line="240" w:lineRule="auto" w:before="0" w:after="0"/>
        <w:ind w:left="2033" w:right="0" w:hanging="209"/>
        <w:jc w:val="left"/>
        <w:rPr>
          <w:sz w:val="18"/>
        </w:rPr>
      </w:pPr>
      <w:r>
        <w:rPr>
          <w:sz w:val="18"/>
        </w:rPr>
        <w:t>Recurring fair value</w:t>
      </w:r>
      <w:r>
        <w:rPr>
          <w:spacing w:val="-31"/>
          <w:sz w:val="18"/>
        </w:rPr>
        <w:t> </w:t>
      </w:r>
      <w:r>
        <w:rPr>
          <w:sz w:val="18"/>
        </w:rPr>
        <w:t>measurements</w:t>
      </w:r>
    </w:p>
    <w:p>
      <w:pPr>
        <w:pStyle w:val="BodyText"/>
        <w:spacing w:before="11"/>
        <w:rPr>
          <w:sz w:val="24"/>
        </w:rPr>
      </w:pPr>
    </w:p>
    <w:p>
      <w:pPr>
        <w:pStyle w:val="BodyText"/>
        <w:ind w:left="1823" w:right="1407"/>
      </w:pPr>
      <w:r>
        <w:rPr/>
        <w:t>The fair value of assets that are not traded in an active market is determined using valuation techniques. These valuation techniques maximise the use of observable market data where it is available and rely as little as possible on entity specific estimates. If all significant inputs required to fair value an instrument are observable, the instrument is included in level 2.</w:t>
      </w:r>
    </w:p>
    <w:p>
      <w:pPr>
        <w:pStyle w:val="BodyText"/>
        <w:spacing w:before="11"/>
        <w:rPr>
          <w:sz w:val="24"/>
        </w:rPr>
      </w:pPr>
    </w:p>
    <w:p>
      <w:pPr>
        <w:pStyle w:val="BodyText"/>
        <w:ind w:left="1823"/>
      </w:pPr>
      <w:r>
        <w:rPr/>
        <w:t>If one or more of the significant inputs is not based on observable market data, the instrument is included in level 3.</w:t>
      </w:r>
    </w:p>
    <w:p>
      <w:pPr>
        <w:pStyle w:val="BodyText"/>
        <w:spacing w:before="11"/>
        <w:rPr>
          <w:sz w:val="24"/>
        </w:rPr>
      </w:pPr>
    </w:p>
    <w:p>
      <w:pPr>
        <w:pStyle w:val="BodyText"/>
        <w:ind w:left="1824" w:right="1375"/>
      </w:pPr>
      <w:r>
        <w:rPr/>
        <w:t>The Trust uses a variety of methods and makes assumptions that are based on market conditions existing at each balance date.</w:t>
      </w:r>
    </w:p>
    <w:p>
      <w:pPr>
        <w:pStyle w:val="BodyText"/>
        <w:spacing w:before="11"/>
        <w:rPr>
          <w:sz w:val="24"/>
        </w:rPr>
      </w:pPr>
    </w:p>
    <w:p>
      <w:pPr>
        <w:pStyle w:val="BodyText"/>
        <w:ind w:left="1823" w:right="1387"/>
      </w:pPr>
      <w:r>
        <w:rPr/>
        <w:t>Due</w:t>
      </w:r>
      <w:r>
        <w:rPr>
          <w:spacing w:val="-6"/>
        </w:rPr>
        <w:t> </w:t>
      </w:r>
      <w:r>
        <w:rPr/>
        <w:t>to</w:t>
      </w:r>
      <w:r>
        <w:rPr>
          <w:spacing w:val="-6"/>
        </w:rPr>
        <w:t> </w:t>
      </w:r>
      <w:r>
        <w:rPr/>
        <w:t>the</w:t>
      </w:r>
      <w:r>
        <w:rPr>
          <w:spacing w:val="-6"/>
        </w:rPr>
        <w:t> </w:t>
      </w:r>
      <w:r>
        <w:rPr/>
        <w:t>short-term</w:t>
      </w:r>
      <w:r>
        <w:rPr>
          <w:spacing w:val="-6"/>
        </w:rPr>
        <w:t> </w:t>
      </w:r>
      <w:r>
        <w:rPr/>
        <w:t>nature</w:t>
      </w:r>
      <w:r>
        <w:rPr>
          <w:spacing w:val="-6"/>
        </w:rPr>
        <w:t> </w:t>
      </w:r>
      <w:r>
        <w:rPr/>
        <w:t>of</w:t>
      </w:r>
      <w:r>
        <w:rPr>
          <w:spacing w:val="-6"/>
        </w:rPr>
        <w:t> </w:t>
      </w:r>
      <w:r>
        <w:rPr/>
        <w:t>the</w:t>
      </w:r>
      <w:r>
        <w:rPr>
          <w:spacing w:val="-6"/>
        </w:rPr>
        <w:t> </w:t>
      </w:r>
      <w:r>
        <w:rPr/>
        <w:t>current</w:t>
      </w:r>
      <w:r>
        <w:rPr>
          <w:spacing w:val="-6"/>
        </w:rPr>
        <w:t> </w:t>
      </w:r>
      <w:r>
        <w:rPr/>
        <w:t>receivable</w:t>
      </w:r>
      <w:r>
        <w:rPr>
          <w:spacing w:val="-6"/>
        </w:rPr>
        <w:t> </w:t>
      </w:r>
      <w:r>
        <w:rPr/>
        <w:t>their</w:t>
      </w:r>
      <w:r>
        <w:rPr>
          <w:spacing w:val="-6"/>
        </w:rPr>
        <w:t> </w:t>
      </w:r>
      <w:r>
        <w:rPr/>
        <w:t>carrying</w:t>
      </w:r>
      <w:r>
        <w:rPr>
          <w:spacing w:val="-6"/>
        </w:rPr>
        <w:t> </w:t>
      </w:r>
      <w:r>
        <w:rPr/>
        <w:t>value</w:t>
      </w:r>
      <w:r>
        <w:rPr>
          <w:spacing w:val="-6"/>
        </w:rPr>
        <w:t> </w:t>
      </w:r>
      <w:r>
        <w:rPr/>
        <w:t>is</w:t>
      </w:r>
      <w:r>
        <w:rPr>
          <w:spacing w:val="-6"/>
        </w:rPr>
        <w:t> </w:t>
      </w:r>
      <w:r>
        <w:rPr/>
        <w:t>assumed</w:t>
      </w:r>
      <w:r>
        <w:rPr>
          <w:spacing w:val="-6"/>
        </w:rPr>
        <w:t> </w:t>
      </w:r>
      <w:r>
        <w:rPr/>
        <w:t>to</w:t>
      </w:r>
      <w:r>
        <w:rPr>
          <w:spacing w:val="-6"/>
        </w:rPr>
        <w:t> </w:t>
      </w:r>
      <w:r>
        <w:rPr/>
        <w:t>approximate</w:t>
      </w:r>
      <w:r>
        <w:rPr>
          <w:spacing w:val="-6"/>
        </w:rPr>
        <w:t> </w:t>
      </w:r>
      <w:r>
        <w:rPr/>
        <w:t>their</w:t>
      </w:r>
      <w:r>
        <w:rPr>
          <w:spacing w:val="-6"/>
        </w:rPr>
        <w:t> </w:t>
      </w:r>
      <w:r>
        <w:rPr/>
        <w:t>fair</w:t>
      </w:r>
      <w:r>
        <w:rPr>
          <w:spacing w:val="-6"/>
        </w:rPr>
        <w:t> </w:t>
      </w:r>
      <w:r>
        <w:rPr/>
        <w:t>value</w:t>
      </w:r>
      <w:r>
        <w:rPr>
          <w:spacing w:val="-6"/>
        </w:rPr>
        <w:t> </w:t>
      </w:r>
      <w:r>
        <w:rPr/>
        <w:t>and based</w:t>
      </w:r>
      <w:r>
        <w:rPr>
          <w:spacing w:val="-6"/>
        </w:rPr>
        <w:t> </w:t>
      </w:r>
      <w:r>
        <w:rPr/>
        <w:t>on</w:t>
      </w:r>
      <w:r>
        <w:rPr>
          <w:spacing w:val="-6"/>
        </w:rPr>
        <w:t> </w:t>
      </w:r>
      <w:r>
        <w:rPr/>
        <w:t>credit</w:t>
      </w:r>
      <w:r>
        <w:rPr>
          <w:spacing w:val="-6"/>
        </w:rPr>
        <w:t> </w:t>
      </w:r>
      <w:r>
        <w:rPr/>
        <w:t>history</w:t>
      </w:r>
      <w:r>
        <w:rPr>
          <w:spacing w:val="-6"/>
        </w:rPr>
        <w:t> </w:t>
      </w:r>
      <w:r>
        <w:rPr/>
        <w:t>it</w:t>
      </w:r>
      <w:r>
        <w:rPr>
          <w:spacing w:val="-6"/>
        </w:rPr>
        <w:t> </w:t>
      </w:r>
      <w:r>
        <w:rPr/>
        <w:t>is</w:t>
      </w:r>
      <w:r>
        <w:rPr>
          <w:spacing w:val="-6"/>
        </w:rPr>
        <w:t> </w:t>
      </w:r>
      <w:r>
        <w:rPr/>
        <w:t>expected</w:t>
      </w:r>
      <w:r>
        <w:rPr>
          <w:spacing w:val="-6"/>
        </w:rPr>
        <w:t> </w:t>
      </w:r>
      <w:r>
        <w:rPr/>
        <w:t>that</w:t>
      </w:r>
      <w:r>
        <w:rPr>
          <w:spacing w:val="-6"/>
        </w:rPr>
        <w:t> </w:t>
      </w:r>
      <w:r>
        <w:rPr/>
        <w:t>the</w:t>
      </w:r>
      <w:r>
        <w:rPr>
          <w:spacing w:val="-6"/>
        </w:rPr>
        <w:t> </w:t>
      </w:r>
      <w:r>
        <w:rPr/>
        <w:t>receivable</w:t>
      </w:r>
      <w:r>
        <w:rPr>
          <w:spacing w:val="-6"/>
        </w:rPr>
        <w:t> </w:t>
      </w:r>
      <w:r>
        <w:rPr/>
        <w:t>that</w:t>
      </w:r>
      <w:r>
        <w:rPr>
          <w:spacing w:val="-6"/>
        </w:rPr>
        <w:t> </w:t>
      </w:r>
      <w:r>
        <w:rPr/>
        <w:t>are</w:t>
      </w:r>
      <w:r>
        <w:rPr>
          <w:spacing w:val="-6"/>
        </w:rPr>
        <w:t> </w:t>
      </w:r>
      <w:r>
        <w:rPr/>
        <w:t>neither</w:t>
      </w:r>
      <w:r>
        <w:rPr>
          <w:spacing w:val="-6"/>
        </w:rPr>
        <w:t> </w:t>
      </w:r>
      <w:r>
        <w:rPr/>
        <w:t>past</w:t>
      </w:r>
      <w:r>
        <w:rPr>
          <w:spacing w:val="-6"/>
        </w:rPr>
        <w:t> </w:t>
      </w:r>
      <w:r>
        <w:rPr/>
        <w:t>due</w:t>
      </w:r>
      <w:r>
        <w:rPr>
          <w:spacing w:val="-6"/>
        </w:rPr>
        <w:t> </w:t>
      </w:r>
      <w:r>
        <w:rPr/>
        <w:t>nor</w:t>
      </w:r>
      <w:r>
        <w:rPr>
          <w:spacing w:val="-6"/>
        </w:rPr>
        <w:t> </w:t>
      </w:r>
      <w:r>
        <w:rPr/>
        <w:t>impaired</w:t>
      </w:r>
      <w:r>
        <w:rPr>
          <w:spacing w:val="-6"/>
        </w:rPr>
        <w:t> </w:t>
      </w:r>
      <w:r>
        <w:rPr/>
        <w:t>will</w:t>
      </w:r>
      <w:r>
        <w:rPr>
          <w:spacing w:val="-6"/>
        </w:rPr>
        <w:t> </w:t>
      </w:r>
      <w:r>
        <w:rPr/>
        <w:t>be</w:t>
      </w:r>
      <w:r>
        <w:rPr>
          <w:spacing w:val="-6"/>
        </w:rPr>
        <w:t> </w:t>
      </w:r>
      <w:r>
        <w:rPr/>
        <w:t>received</w:t>
      </w:r>
      <w:r>
        <w:rPr>
          <w:spacing w:val="-6"/>
        </w:rPr>
        <w:t> </w:t>
      </w:r>
      <w:r>
        <w:rPr/>
        <w:t>when</w:t>
      </w:r>
      <w:r>
        <w:rPr>
          <w:spacing w:val="-6"/>
        </w:rPr>
        <w:t> </w:t>
      </w:r>
      <w:r>
        <w:rPr/>
        <w:t>due.</w:t>
      </w:r>
    </w:p>
    <w:p>
      <w:pPr>
        <w:pStyle w:val="BodyText"/>
        <w:spacing w:before="11"/>
        <w:rPr>
          <w:sz w:val="24"/>
        </w:rPr>
      </w:pPr>
    </w:p>
    <w:p>
      <w:pPr>
        <w:pStyle w:val="BodyText"/>
        <w:spacing w:line="573" w:lineRule="auto"/>
        <w:ind w:left="1823" w:right="4333"/>
      </w:pPr>
      <w:r>
        <w:rPr/>
        <w:t>Property, plant and equipment is valued using current observable market values. All of the resulting fair value estimates are included in level 1 and level 2.</w:t>
      </w:r>
    </w:p>
    <w:p>
      <w:pPr>
        <w:spacing w:after="0" w:line="573" w:lineRule="auto"/>
        <w:sectPr>
          <w:type w:val="continuous"/>
          <w:pgSz w:w="12750" w:h="17680"/>
          <w:pgMar w:top="1660" w:bottom="0" w:left="0" w:right="0"/>
        </w:sectPr>
      </w:pPr>
    </w:p>
    <w:p>
      <w:pPr>
        <w:pStyle w:val="BodyText"/>
        <w:spacing w:before="2"/>
        <w:rPr>
          <w:sz w:val="24"/>
        </w:rPr>
      </w:pPr>
    </w:p>
    <w:p>
      <w:pPr>
        <w:pStyle w:val="Heading4"/>
      </w:pPr>
      <w:r>
        <w:rPr/>
        <w:t>Notes to the financial statements</w:t>
      </w:r>
    </w:p>
    <w:p>
      <w:pPr>
        <w:pStyle w:val="Heading7"/>
      </w:pPr>
      <w:r>
        <w:rPr/>
        <w:t>For the Year Ended 31 December 2016</w:t>
      </w:r>
    </w:p>
    <w:p>
      <w:pPr>
        <w:pStyle w:val="BodyText"/>
        <w:rPr>
          <w:b/>
          <w:sz w:val="22"/>
        </w:rPr>
      </w:pPr>
    </w:p>
    <w:p>
      <w:pPr>
        <w:pStyle w:val="BodyText"/>
        <w:rPr>
          <w:b/>
          <w:sz w:val="22"/>
        </w:rPr>
      </w:pPr>
    </w:p>
    <w:p>
      <w:pPr>
        <w:pStyle w:val="Heading8"/>
        <w:numPr>
          <w:ilvl w:val="0"/>
          <w:numId w:val="92"/>
        </w:numPr>
        <w:tabs>
          <w:tab w:pos="1826" w:val="left" w:leader="none"/>
        </w:tabs>
        <w:spacing w:line="240" w:lineRule="auto" w:before="160" w:after="0"/>
        <w:ind w:left="1825" w:right="0" w:hanging="396"/>
        <w:jc w:val="left"/>
      </w:pPr>
      <w:r>
        <w:rPr/>
        <w:t>Fair Value Measurement</w:t>
      </w:r>
      <w:r>
        <w:rPr>
          <w:spacing w:val="-1"/>
        </w:rPr>
        <w:t> </w:t>
      </w:r>
      <w:r>
        <w:rPr/>
        <w:t>(continued)</w:t>
      </w:r>
    </w:p>
    <w:p>
      <w:pPr>
        <w:pStyle w:val="BodyText"/>
        <w:spacing w:before="11"/>
        <w:rPr>
          <w:b/>
          <w:sz w:val="24"/>
        </w:rPr>
      </w:pPr>
    </w:p>
    <w:p>
      <w:pPr>
        <w:tabs>
          <w:tab w:pos="2391" w:val="left" w:leader="none"/>
        </w:tabs>
        <w:spacing w:before="0"/>
        <w:ind w:left="1825" w:right="0" w:firstLine="0"/>
        <w:jc w:val="left"/>
        <w:rPr>
          <w:b/>
          <w:sz w:val="18"/>
        </w:rPr>
      </w:pPr>
      <w:r>
        <w:rPr>
          <w:b/>
          <w:sz w:val="18"/>
        </w:rPr>
        <w:t>(b)</w:t>
        <w:tab/>
        <w:t>Valuation techniques used to derive level 1, level 2 and level 3 fair values</w:t>
      </w:r>
      <w:r>
        <w:rPr>
          <w:b/>
          <w:spacing w:val="-27"/>
          <w:sz w:val="18"/>
        </w:rPr>
        <w:t> </w:t>
      </w:r>
      <w:r>
        <w:rPr>
          <w:b/>
          <w:sz w:val="18"/>
        </w:rPr>
        <w:t>(continued)</w:t>
      </w:r>
    </w:p>
    <w:p>
      <w:pPr>
        <w:pStyle w:val="BodyText"/>
        <w:spacing w:before="11"/>
        <w:rPr>
          <w:b/>
          <w:sz w:val="24"/>
        </w:rPr>
      </w:pPr>
    </w:p>
    <w:p>
      <w:pPr>
        <w:pStyle w:val="ListParagraph"/>
        <w:numPr>
          <w:ilvl w:val="0"/>
          <w:numId w:val="91"/>
        </w:numPr>
        <w:tabs>
          <w:tab w:pos="2074" w:val="left" w:leader="none"/>
        </w:tabs>
        <w:spacing w:line="240" w:lineRule="auto" w:before="0" w:after="0"/>
        <w:ind w:left="2073" w:right="0" w:hanging="249"/>
        <w:jc w:val="left"/>
        <w:rPr>
          <w:sz w:val="18"/>
        </w:rPr>
      </w:pPr>
      <w:bookmarkStart w:name="7 Cash and cash equivalents" w:id="473"/>
      <w:bookmarkEnd w:id="473"/>
      <w:r>
        <w:rPr/>
      </w:r>
      <w:bookmarkStart w:name="7 Cash and cash equivalents" w:id="474"/>
      <w:bookmarkEnd w:id="474"/>
      <w:r>
        <w:rPr>
          <w:sz w:val="18"/>
        </w:rPr>
        <w:t>Non-recurrin</w:t>
      </w:r>
      <w:r>
        <w:rPr>
          <w:sz w:val="18"/>
        </w:rPr>
        <w:t>g fair value</w:t>
      </w:r>
      <w:r>
        <w:rPr>
          <w:spacing w:val="-34"/>
          <w:sz w:val="18"/>
        </w:rPr>
        <w:t> </w:t>
      </w:r>
      <w:r>
        <w:rPr>
          <w:sz w:val="18"/>
        </w:rPr>
        <w:t>measurement</w:t>
      </w:r>
    </w:p>
    <w:p>
      <w:pPr>
        <w:pStyle w:val="BodyText"/>
        <w:spacing w:before="11"/>
        <w:rPr>
          <w:sz w:val="24"/>
        </w:rPr>
      </w:pPr>
    </w:p>
    <w:p>
      <w:pPr>
        <w:pStyle w:val="BodyText"/>
        <w:ind w:left="1824"/>
      </w:pPr>
      <w:r>
        <w:rPr/>
        <w:t>The Trust does not hold assets that use non-recurring fair value measurements during the current or prior periods.</w:t>
      </w:r>
    </w:p>
    <w:p>
      <w:pPr>
        <w:pStyle w:val="BodyText"/>
        <w:spacing w:before="3"/>
      </w:pPr>
    </w:p>
    <w:p>
      <w:pPr>
        <w:spacing w:after="0"/>
        <w:sectPr>
          <w:pgSz w:w="12750" w:h="17680"/>
          <w:pgMar w:header="0" w:footer="907" w:top="1880" w:bottom="1120" w:left="0" w:right="0"/>
        </w:sectPr>
      </w:pPr>
    </w:p>
    <w:p>
      <w:pPr>
        <w:pStyle w:val="Heading8"/>
        <w:numPr>
          <w:ilvl w:val="0"/>
          <w:numId w:val="92"/>
        </w:numPr>
        <w:tabs>
          <w:tab w:pos="1826" w:val="left" w:leader="none"/>
        </w:tabs>
        <w:spacing w:line="240" w:lineRule="auto" w:before="77" w:after="0"/>
        <w:ind w:left="1825" w:right="0" w:hanging="396"/>
        <w:jc w:val="left"/>
      </w:pPr>
      <w:r>
        <w:rPr/>
        <w:t>Cash and cash</w:t>
      </w:r>
      <w:r>
        <w:rPr>
          <w:spacing w:val="-5"/>
        </w:rPr>
        <w:t> </w:t>
      </w:r>
      <w:r>
        <w:rPr/>
        <w:t>equivalents</w:t>
      </w:r>
    </w:p>
    <w:p>
      <w:pPr>
        <w:pStyle w:val="BodyText"/>
        <w:spacing w:before="7"/>
        <w:rPr>
          <w:b/>
          <w:sz w:val="24"/>
        </w:rPr>
      </w:pPr>
      <w:r>
        <w:rPr/>
        <w:br w:type="column"/>
      </w:r>
      <w:r>
        <w:rPr>
          <w:b/>
          <w:sz w:val="24"/>
        </w:rPr>
      </w:r>
    </w:p>
    <w:p>
      <w:pPr>
        <w:spacing w:line="207" w:lineRule="exact" w:before="1"/>
        <w:ind w:left="0" w:right="0" w:firstLine="0"/>
        <w:jc w:val="right"/>
        <w:rPr>
          <w:b/>
          <w:sz w:val="18"/>
        </w:rPr>
      </w:pPr>
      <w:r>
        <w:rPr>
          <w:b/>
          <w:sz w:val="18"/>
        </w:rPr>
        <w:t>2016</w:t>
      </w:r>
    </w:p>
    <w:p>
      <w:pPr>
        <w:spacing w:line="207" w:lineRule="exact" w:before="0"/>
        <w:ind w:left="0" w:right="146" w:firstLine="0"/>
        <w:jc w:val="right"/>
        <w:rPr>
          <w:b/>
          <w:sz w:val="18"/>
        </w:rPr>
      </w:pPr>
      <w:r>
        <w:rPr>
          <w:b/>
          <w:w w:val="99"/>
          <w:sz w:val="18"/>
        </w:rPr>
        <w:t>$</w:t>
      </w:r>
    </w:p>
    <w:p>
      <w:pPr>
        <w:pStyle w:val="BodyText"/>
        <w:spacing w:before="7"/>
        <w:rPr>
          <w:b/>
          <w:sz w:val="24"/>
        </w:rPr>
      </w:pPr>
      <w:r>
        <w:rPr/>
        <w:br w:type="column"/>
      </w:r>
      <w:r>
        <w:rPr>
          <w:b/>
          <w:sz w:val="24"/>
        </w:rPr>
      </w:r>
    </w:p>
    <w:p>
      <w:pPr>
        <w:spacing w:line="207" w:lineRule="exact" w:before="1"/>
        <w:ind w:left="814" w:right="1829" w:firstLine="0"/>
        <w:jc w:val="center"/>
        <w:rPr>
          <w:b/>
          <w:sz w:val="18"/>
        </w:rPr>
      </w:pPr>
      <w:r>
        <w:rPr>
          <w:b/>
          <w:sz w:val="18"/>
        </w:rPr>
        <w:t>2015</w:t>
      </w:r>
    </w:p>
    <w:p>
      <w:pPr>
        <w:spacing w:line="207" w:lineRule="exact" w:before="0"/>
        <w:ind w:left="0" w:right="1013" w:firstLine="0"/>
        <w:jc w:val="center"/>
        <w:rPr>
          <w:b/>
          <w:sz w:val="18"/>
        </w:rPr>
      </w:pPr>
      <w:r>
        <w:rPr>
          <w:b/>
          <w:w w:val="99"/>
          <w:sz w:val="18"/>
        </w:rPr>
        <w:t>$</w:t>
      </w:r>
    </w:p>
    <w:p>
      <w:pPr>
        <w:spacing w:after="0" w:line="207" w:lineRule="exact"/>
        <w:jc w:val="center"/>
        <w:rPr>
          <w:sz w:val="18"/>
        </w:rPr>
        <w:sectPr>
          <w:type w:val="continuous"/>
          <w:pgSz w:w="12750" w:h="17680"/>
          <w:pgMar w:top="1660" w:bottom="0" w:left="0" w:right="0"/>
          <w:cols w:num="3" w:equalWidth="0">
            <w:col w:w="4133" w:space="3637"/>
            <w:col w:w="1828" w:space="40"/>
            <w:col w:w="3112"/>
          </w:cols>
        </w:sectPr>
      </w:pPr>
    </w:p>
    <w:tbl>
      <w:tblPr>
        <w:tblW w:w="0" w:type="auto"/>
        <w:jc w:val="left"/>
        <w:tblInd w:w="139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749"/>
        <w:gridCol w:w="5150"/>
      </w:tblGrid>
      <w:tr>
        <w:trPr>
          <w:trHeight w:val="208" w:hRule="exact"/>
        </w:trPr>
        <w:tc>
          <w:tcPr>
            <w:tcW w:w="4749" w:type="dxa"/>
          </w:tcPr>
          <w:p>
            <w:pPr>
              <w:pStyle w:val="TableParagraph"/>
              <w:spacing w:line="184" w:lineRule="exact"/>
              <w:ind w:left="35"/>
              <w:jc w:val="left"/>
              <w:rPr>
                <w:sz w:val="18"/>
              </w:rPr>
            </w:pPr>
            <w:r>
              <w:rPr>
                <w:sz w:val="18"/>
              </w:rPr>
              <w:t>Cash at bank and on hand</w:t>
            </w:r>
          </w:p>
        </w:tc>
        <w:tc>
          <w:tcPr>
            <w:tcW w:w="5150" w:type="dxa"/>
          </w:tcPr>
          <w:p>
            <w:pPr>
              <w:pStyle w:val="TableParagraph"/>
              <w:tabs>
                <w:tab w:pos="1298" w:val="left" w:leader="none"/>
              </w:tabs>
              <w:spacing w:line="184" w:lineRule="exact"/>
              <w:ind w:right="33"/>
              <w:rPr>
                <w:sz w:val="18"/>
              </w:rPr>
            </w:pPr>
            <w:r>
              <w:rPr>
                <w:b/>
                <w:sz w:val="18"/>
              </w:rPr>
              <w:t>27,196</w:t>
              <w:tab/>
            </w:r>
            <w:r>
              <w:rPr>
                <w:spacing w:val="-1"/>
                <w:w w:val="95"/>
                <w:sz w:val="18"/>
              </w:rPr>
              <w:t>23,915</w:t>
            </w:r>
          </w:p>
        </w:tc>
      </w:tr>
      <w:tr>
        <w:trPr>
          <w:trHeight w:val="236" w:hRule="exact"/>
        </w:trPr>
        <w:tc>
          <w:tcPr>
            <w:tcW w:w="4749" w:type="dxa"/>
          </w:tcPr>
          <w:p>
            <w:pPr>
              <w:pStyle w:val="TableParagraph"/>
              <w:spacing w:before="6"/>
              <w:ind w:left="35"/>
              <w:jc w:val="left"/>
              <w:rPr>
                <w:sz w:val="18"/>
              </w:rPr>
            </w:pPr>
            <w:bookmarkStart w:name="(a) Risk exposure" w:id="475"/>
            <w:bookmarkEnd w:id="475"/>
            <w:r>
              <w:rPr/>
            </w:r>
            <w:r>
              <w:rPr>
                <w:sz w:val="18"/>
              </w:rPr>
              <w:t>Term deposits</w:t>
            </w:r>
          </w:p>
        </w:tc>
        <w:tc>
          <w:tcPr>
            <w:tcW w:w="5150" w:type="dxa"/>
          </w:tcPr>
          <w:p>
            <w:pPr>
              <w:pStyle w:val="TableParagraph"/>
              <w:tabs>
                <w:tab w:pos="1886" w:val="left" w:leader="none"/>
              </w:tabs>
              <w:spacing w:before="4"/>
              <w:ind w:right="33"/>
              <w:rPr>
                <w:sz w:val="18"/>
              </w:rPr>
            </w:pPr>
            <w:r>
              <w:rPr>
                <w:b/>
                <w:sz w:val="18"/>
              </w:rPr>
              <w:t>400,000</w:t>
              <w:tab/>
            </w:r>
            <w:r>
              <w:rPr>
                <w:sz w:val="18"/>
              </w:rPr>
              <w:t>-</w:t>
            </w:r>
          </w:p>
        </w:tc>
      </w:tr>
      <w:tr>
        <w:trPr>
          <w:trHeight w:val="230" w:hRule="exact"/>
        </w:trPr>
        <w:tc>
          <w:tcPr>
            <w:tcW w:w="4749" w:type="dxa"/>
          </w:tcPr>
          <w:p>
            <w:pPr>
              <w:pStyle w:val="TableParagraph"/>
              <w:spacing w:before="4"/>
              <w:ind w:left="35"/>
              <w:jc w:val="left"/>
              <w:rPr>
                <w:sz w:val="18"/>
              </w:rPr>
            </w:pPr>
            <w:r>
              <w:rPr>
                <w:sz w:val="18"/>
              </w:rPr>
              <w:t>T-Corp investments</w:t>
            </w:r>
          </w:p>
        </w:tc>
        <w:tc>
          <w:tcPr>
            <w:tcW w:w="5150" w:type="dxa"/>
          </w:tcPr>
          <w:p>
            <w:pPr>
              <w:pStyle w:val="TableParagraph"/>
              <w:tabs>
                <w:tab w:pos="560" w:val="left" w:leader="none"/>
                <w:tab w:pos="1858" w:val="left" w:leader="none"/>
              </w:tabs>
              <w:spacing w:before="4"/>
              <w:ind w:right="33"/>
              <w:rPr>
                <w:sz w:val="18"/>
              </w:rPr>
            </w:pPr>
            <w:r>
              <w:rPr>
                <w:rFonts w:ascii="Times New Roman"/>
                <w:sz w:val="18"/>
                <w:u w:val="single"/>
              </w:rPr>
              <w:t> </w:t>
              <w:tab/>
            </w:r>
            <w:r>
              <w:rPr>
                <w:b/>
                <w:sz w:val="18"/>
                <w:u w:val="single"/>
              </w:rPr>
              <w:t>148,026</w:t>
              <w:tab/>
            </w:r>
            <w:r>
              <w:rPr>
                <w:spacing w:val="-1"/>
                <w:w w:val="95"/>
                <w:sz w:val="18"/>
                <w:u w:val="single"/>
              </w:rPr>
              <w:t>448,061</w:t>
            </w:r>
          </w:p>
        </w:tc>
      </w:tr>
      <w:tr>
        <w:trPr>
          <w:trHeight w:val="303" w:hRule="exact"/>
        </w:trPr>
        <w:tc>
          <w:tcPr>
            <w:tcW w:w="4749" w:type="dxa"/>
          </w:tcPr>
          <w:p>
            <w:pPr/>
          </w:p>
        </w:tc>
        <w:tc>
          <w:tcPr>
            <w:tcW w:w="5150" w:type="dxa"/>
          </w:tcPr>
          <w:p>
            <w:pPr>
              <w:pStyle w:val="TableParagraph"/>
              <w:tabs>
                <w:tab w:pos="560" w:val="left" w:leader="none"/>
                <w:tab w:pos="1858" w:val="left" w:leader="none"/>
              </w:tabs>
              <w:spacing w:line="206" w:lineRule="exact"/>
              <w:ind w:right="33"/>
              <w:rPr>
                <w:sz w:val="18"/>
              </w:rPr>
            </w:pPr>
            <w:r>
              <w:rPr>
                <w:rFonts w:ascii="Times New Roman"/>
                <w:sz w:val="18"/>
                <w:u w:val="thick"/>
              </w:rPr>
              <w:t> </w:t>
              <w:tab/>
            </w:r>
            <w:r>
              <w:rPr>
                <w:b/>
                <w:sz w:val="18"/>
                <w:u w:val="thick"/>
              </w:rPr>
              <w:t>575,222</w:t>
              <w:tab/>
            </w:r>
            <w:r>
              <w:rPr>
                <w:spacing w:val="-1"/>
                <w:w w:val="95"/>
                <w:sz w:val="18"/>
                <w:u w:val="thick"/>
              </w:rPr>
              <w:t>471,976</w:t>
            </w:r>
          </w:p>
        </w:tc>
      </w:tr>
    </w:tbl>
    <w:p>
      <w:pPr>
        <w:pStyle w:val="BodyText"/>
        <w:spacing w:before="1"/>
        <w:rPr>
          <w:b/>
          <w:sz w:val="16"/>
        </w:rPr>
      </w:pPr>
    </w:p>
    <w:p>
      <w:pPr>
        <w:pStyle w:val="ListParagraph"/>
        <w:numPr>
          <w:ilvl w:val="1"/>
          <w:numId w:val="92"/>
        </w:numPr>
        <w:tabs>
          <w:tab w:pos="2392" w:val="left" w:leader="none"/>
        </w:tabs>
        <w:spacing w:line="240" w:lineRule="auto" w:before="77" w:after="0"/>
        <w:ind w:left="2391" w:right="0" w:hanging="566"/>
        <w:jc w:val="left"/>
        <w:rPr>
          <w:b/>
          <w:sz w:val="18"/>
        </w:rPr>
      </w:pPr>
      <w:r>
        <w:rPr>
          <w:b/>
          <w:sz w:val="18"/>
        </w:rPr>
        <w:t>Risk</w:t>
      </w:r>
      <w:r>
        <w:rPr>
          <w:b/>
          <w:spacing w:val="-12"/>
          <w:sz w:val="18"/>
        </w:rPr>
        <w:t> </w:t>
      </w:r>
      <w:r>
        <w:rPr>
          <w:b/>
          <w:sz w:val="18"/>
        </w:rPr>
        <w:t>exposure</w:t>
      </w:r>
    </w:p>
    <w:p>
      <w:pPr>
        <w:pStyle w:val="BodyText"/>
        <w:spacing w:before="4"/>
        <w:rPr>
          <w:b/>
          <w:sz w:val="25"/>
        </w:rPr>
      </w:pPr>
    </w:p>
    <w:p>
      <w:pPr>
        <w:pStyle w:val="BodyText"/>
        <w:ind w:left="1824" w:right="1338"/>
      </w:pPr>
      <w:bookmarkStart w:name="(b) Cash at bank and on hand" w:id="476"/>
      <w:bookmarkEnd w:id="476"/>
      <w:r>
        <w:rPr/>
      </w:r>
      <w:r>
        <w:rPr/>
        <w:t>The Trust's exposure to interest rate risk is discussed in note 2. The maximum exposure to credit risk at the end of each reporting period is the carrying amount of each class of cash and cash equivalents mentioned above.</w:t>
      </w:r>
    </w:p>
    <w:p>
      <w:pPr>
        <w:pStyle w:val="BodyText"/>
        <w:spacing w:before="7"/>
        <w:rPr>
          <w:sz w:val="26"/>
        </w:rPr>
      </w:pPr>
    </w:p>
    <w:p>
      <w:pPr>
        <w:pStyle w:val="Heading8"/>
        <w:numPr>
          <w:ilvl w:val="1"/>
          <w:numId w:val="92"/>
        </w:numPr>
        <w:tabs>
          <w:tab w:pos="2392" w:val="left" w:leader="none"/>
        </w:tabs>
        <w:spacing w:line="240" w:lineRule="auto" w:before="0" w:after="0"/>
        <w:ind w:left="2391" w:right="0" w:hanging="566"/>
        <w:jc w:val="left"/>
      </w:pPr>
      <w:r>
        <w:rPr/>
        <w:drawing>
          <wp:anchor distT="0" distB="0" distL="0" distR="0" allowOverlap="1" layoutInCell="1" locked="0" behindDoc="0" simplePos="0" relativeHeight="16000">
            <wp:simplePos x="0" y="0"/>
            <wp:positionH relativeFrom="page">
              <wp:posOffset>-1587</wp:posOffset>
            </wp:positionH>
            <wp:positionV relativeFrom="paragraph">
              <wp:posOffset>78408</wp:posOffset>
            </wp:positionV>
            <wp:extent cx="136525" cy="155575"/>
            <wp:effectExtent l="0" t="0" r="0" b="0"/>
            <wp:wrapNone/>
            <wp:docPr id="1097" name="image13.png" descr=""/>
            <wp:cNvGraphicFramePr>
              <a:graphicFrameLocks noChangeAspect="1"/>
            </wp:cNvGraphicFramePr>
            <a:graphic>
              <a:graphicData uri="http://schemas.openxmlformats.org/drawingml/2006/picture">
                <pic:pic>
                  <pic:nvPicPr>
                    <pic:cNvPr id="1098" name="image13.png"/>
                    <pic:cNvPicPr/>
                  </pic:nvPicPr>
                  <pic:blipFill>
                    <a:blip r:embed="rId18" cstate="print"/>
                    <a:stretch>
                      <a:fillRect/>
                    </a:stretch>
                  </pic:blipFill>
                  <pic:spPr>
                    <a:xfrm>
                      <a:off x="0" y="0"/>
                      <a:ext cx="136525" cy="155575"/>
                    </a:xfrm>
                    <a:prstGeom prst="rect">
                      <a:avLst/>
                    </a:prstGeom>
                  </pic:spPr>
                </pic:pic>
              </a:graphicData>
            </a:graphic>
          </wp:anchor>
        </w:drawing>
      </w:r>
      <w:r>
        <w:rPr/>
        <w:drawing>
          <wp:anchor distT="0" distB="0" distL="0" distR="0" allowOverlap="1" layoutInCell="1" locked="0" behindDoc="0" simplePos="0" relativeHeight="16024">
            <wp:simplePos x="0" y="0"/>
            <wp:positionH relativeFrom="page">
              <wp:posOffset>7958429</wp:posOffset>
            </wp:positionH>
            <wp:positionV relativeFrom="paragraph">
              <wp:posOffset>78408</wp:posOffset>
            </wp:positionV>
            <wp:extent cx="135953" cy="155575"/>
            <wp:effectExtent l="0" t="0" r="0" b="0"/>
            <wp:wrapNone/>
            <wp:docPr id="1099" name="image15.png" descr=""/>
            <wp:cNvGraphicFramePr>
              <a:graphicFrameLocks noChangeAspect="1"/>
            </wp:cNvGraphicFramePr>
            <a:graphic>
              <a:graphicData uri="http://schemas.openxmlformats.org/drawingml/2006/picture">
                <pic:pic>
                  <pic:nvPicPr>
                    <pic:cNvPr id="1100" name="image15.png"/>
                    <pic:cNvPicPr/>
                  </pic:nvPicPr>
                  <pic:blipFill>
                    <a:blip r:embed="rId20" cstate="print"/>
                    <a:stretch>
                      <a:fillRect/>
                    </a:stretch>
                  </pic:blipFill>
                  <pic:spPr>
                    <a:xfrm>
                      <a:off x="0" y="0"/>
                      <a:ext cx="135953" cy="155575"/>
                    </a:xfrm>
                    <a:prstGeom prst="rect">
                      <a:avLst/>
                    </a:prstGeom>
                  </pic:spPr>
                </pic:pic>
              </a:graphicData>
            </a:graphic>
          </wp:anchor>
        </w:drawing>
      </w:r>
      <w:bookmarkStart w:name="(c) Fair value" w:id="477"/>
      <w:bookmarkEnd w:id="477"/>
      <w:r>
        <w:rPr>
          <w:b w:val="0"/>
        </w:rPr>
      </w:r>
      <w:bookmarkStart w:name="(c) Fair value" w:id="478"/>
      <w:bookmarkEnd w:id="478"/>
      <w:r>
        <w:rPr/>
        <w:t>Cash</w:t>
      </w:r>
      <w:r>
        <w:rPr/>
        <w:t> at bank and on hand</w:t>
      </w:r>
    </w:p>
    <w:p>
      <w:pPr>
        <w:pStyle w:val="BodyText"/>
        <w:spacing w:before="4"/>
        <w:rPr>
          <w:b/>
          <w:sz w:val="25"/>
        </w:rPr>
      </w:pPr>
    </w:p>
    <w:p>
      <w:pPr>
        <w:pStyle w:val="BodyText"/>
        <w:ind w:left="1824"/>
      </w:pPr>
      <w:r>
        <w:rPr/>
        <w:t>These are non-interest bearing.</w:t>
      </w:r>
    </w:p>
    <w:p>
      <w:pPr>
        <w:pStyle w:val="BodyText"/>
        <w:spacing w:before="7"/>
        <w:rPr>
          <w:sz w:val="26"/>
        </w:rPr>
      </w:pPr>
    </w:p>
    <w:p>
      <w:pPr>
        <w:pStyle w:val="Heading8"/>
        <w:numPr>
          <w:ilvl w:val="1"/>
          <w:numId w:val="92"/>
        </w:numPr>
        <w:tabs>
          <w:tab w:pos="2392" w:val="left" w:leader="none"/>
        </w:tabs>
        <w:spacing w:line="240" w:lineRule="auto" w:before="0" w:after="0"/>
        <w:ind w:left="2391" w:right="0" w:hanging="566"/>
        <w:jc w:val="left"/>
      </w:pPr>
      <w:r>
        <w:rPr/>
        <w:t>Fair</w:t>
      </w:r>
      <w:r>
        <w:rPr>
          <w:spacing w:val="-6"/>
        </w:rPr>
        <w:t> </w:t>
      </w:r>
      <w:r>
        <w:rPr/>
        <w:t>value</w:t>
      </w:r>
    </w:p>
    <w:p>
      <w:pPr>
        <w:pStyle w:val="BodyText"/>
        <w:spacing w:before="4"/>
        <w:rPr>
          <w:b/>
          <w:sz w:val="25"/>
        </w:rPr>
      </w:pPr>
    </w:p>
    <w:p>
      <w:pPr>
        <w:pStyle w:val="BodyText"/>
        <w:ind w:left="1824"/>
      </w:pPr>
      <w:r>
        <w:rPr/>
        <w:t>The carrying amount for cash and cash equivalents equals the fair value.</w:t>
      </w:r>
    </w:p>
    <w:p>
      <w:pPr>
        <w:spacing w:after="0"/>
        <w:sectPr>
          <w:type w:val="continuous"/>
          <w:pgSz w:w="12750" w:h="17680"/>
          <w:pgMar w:top="1660" w:bottom="0" w:left="0" w:right="0"/>
        </w:sectPr>
      </w:pPr>
    </w:p>
    <w:p>
      <w:pPr>
        <w:pStyle w:val="BodyText"/>
        <w:spacing w:before="2"/>
        <w:rPr>
          <w:sz w:val="24"/>
        </w:rPr>
      </w:pPr>
    </w:p>
    <w:p>
      <w:pPr>
        <w:pStyle w:val="Heading4"/>
      </w:pPr>
      <w:r>
        <w:rPr/>
        <w:t>Notes to the financial statements</w:t>
      </w:r>
    </w:p>
    <w:p>
      <w:pPr>
        <w:pStyle w:val="Heading7"/>
      </w:pPr>
      <w:bookmarkStart w:name="8 Property, plant and equipment" w:id="479"/>
      <w:bookmarkEnd w:id="479"/>
      <w:r>
        <w:rPr>
          <w:b w:val="0"/>
        </w:rPr>
      </w:r>
      <w:r>
        <w:rPr/>
        <w:t>For the Year Ended 31 December 2016</w:t>
      </w:r>
    </w:p>
    <w:p>
      <w:pPr>
        <w:pStyle w:val="BodyText"/>
        <w:spacing w:before="2"/>
        <w:rPr>
          <w:b/>
          <w:sz w:val="26"/>
        </w:rPr>
      </w:pPr>
    </w:p>
    <w:tbl>
      <w:tblPr>
        <w:tblW w:w="0" w:type="auto"/>
        <w:jc w:val="left"/>
        <w:tblInd w:w="139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196"/>
        <w:gridCol w:w="4704"/>
      </w:tblGrid>
      <w:tr>
        <w:trPr>
          <w:trHeight w:val="498" w:hRule="exact"/>
        </w:trPr>
        <w:tc>
          <w:tcPr>
            <w:tcW w:w="5196" w:type="dxa"/>
          </w:tcPr>
          <w:p>
            <w:pPr>
              <w:pStyle w:val="TableParagraph"/>
              <w:tabs>
                <w:tab w:pos="432" w:val="left" w:leader="none"/>
              </w:tabs>
              <w:spacing w:before="77"/>
              <w:ind w:left="36"/>
              <w:jc w:val="left"/>
              <w:rPr>
                <w:b/>
                <w:sz w:val="18"/>
              </w:rPr>
            </w:pPr>
            <w:r>
              <w:rPr>
                <w:b/>
                <w:sz w:val="18"/>
              </w:rPr>
              <w:t>8</w:t>
              <w:tab/>
              <w:t>Property, plant and equipment</w:t>
            </w:r>
          </w:p>
        </w:tc>
        <w:tc>
          <w:tcPr>
            <w:tcW w:w="4704" w:type="dxa"/>
          </w:tcPr>
          <w:p>
            <w:pPr>
              <w:pStyle w:val="TableParagraph"/>
              <w:spacing w:before="7"/>
              <w:jc w:val="left"/>
              <w:rPr>
                <w:b/>
                <w:sz w:val="24"/>
              </w:rPr>
            </w:pPr>
          </w:p>
          <w:p>
            <w:pPr>
              <w:pStyle w:val="TableParagraph"/>
              <w:tabs>
                <w:tab w:pos="3879" w:val="left" w:leader="none"/>
              </w:tabs>
              <w:ind w:left="2506"/>
              <w:jc w:val="left"/>
              <w:rPr>
                <w:b/>
                <w:sz w:val="18"/>
              </w:rPr>
            </w:pPr>
            <w:r>
              <w:rPr>
                <w:b/>
                <w:sz w:val="18"/>
              </w:rPr>
              <w:t>Library</w:t>
              <w:tab/>
              <w:t>Total</w:t>
            </w:r>
          </w:p>
        </w:tc>
      </w:tr>
      <w:tr>
        <w:trPr>
          <w:trHeight w:val="185" w:hRule="exact"/>
        </w:trPr>
        <w:tc>
          <w:tcPr>
            <w:tcW w:w="5196" w:type="dxa"/>
          </w:tcPr>
          <w:p>
            <w:pPr/>
          </w:p>
        </w:tc>
        <w:tc>
          <w:tcPr>
            <w:tcW w:w="4704" w:type="dxa"/>
          </w:tcPr>
          <w:p>
            <w:pPr>
              <w:pStyle w:val="TableParagraph"/>
              <w:tabs>
                <w:tab w:pos="4049" w:val="left" w:leader="none"/>
              </w:tabs>
              <w:spacing w:line="175" w:lineRule="exact"/>
              <w:ind w:left="2765"/>
              <w:jc w:val="left"/>
              <w:rPr>
                <w:b/>
                <w:sz w:val="16"/>
              </w:rPr>
            </w:pPr>
            <w:r>
              <w:rPr>
                <w:b/>
                <w:sz w:val="16"/>
              </w:rPr>
              <w:t>$</w:t>
              <w:tab/>
              <w:t>$</w:t>
            </w:r>
          </w:p>
        </w:tc>
      </w:tr>
      <w:tr>
        <w:trPr>
          <w:trHeight w:val="207" w:hRule="exact"/>
        </w:trPr>
        <w:tc>
          <w:tcPr>
            <w:tcW w:w="5196" w:type="dxa"/>
          </w:tcPr>
          <w:p>
            <w:pPr>
              <w:pStyle w:val="TableParagraph"/>
              <w:spacing w:line="197" w:lineRule="exact"/>
              <w:ind w:left="35"/>
              <w:jc w:val="left"/>
              <w:rPr>
                <w:b/>
                <w:sz w:val="18"/>
              </w:rPr>
            </w:pPr>
            <w:r>
              <w:rPr>
                <w:b/>
                <w:sz w:val="18"/>
              </w:rPr>
              <w:t>At 1 January 2015</w:t>
            </w:r>
          </w:p>
        </w:tc>
        <w:tc>
          <w:tcPr>
            <w:tcW w:w="4704" w:type="dxa"/>
          </w:tcPr>
          <w:p>
            <w:pPr/>
          </w:p>
        </w:tc>
      </w:tr>
      <w:tr>
        <w:trPr>
          <w:trHeight w:val="212" w:hRule="exact"/>
        </w:trPr>
        <w:tc>
          <w:tcPr>
            <w:tcW w:w="5196" w:type="dxa"/>
          </w:tcPr>
          <w:p>
            <w:pPr>
              <w:pStyle w:val="TableParagraph"/>
              <w:spacing w:line="197" w:lineRule="exact"/>
              <w:ind w:left="35"/>
              <w:jc w:val="left"/>
              <w:rPr>
                <w:sz w:val="18"/>
              </w:rPr>
            </w:pPr>
            <w:r>
              <w:rPr>
                <w:sz w:val="18"/>
              </w:rPr>
              <w:t>Valuation</w:t>
            </w:r>
          </w:p>
        </w:tc>
        <w:tc>
          <w:tcPr>
            <w:tcW w:w="4704" w:type="dxa"/>
          </w:tcPr>
          <w:p>
            <w:pPr>
              <w:pStyle w:val="TableParagraph"/>
              <w:tabs>
                <w:tab w:pos="560" w:val="left" w:leader="none"/>
                <w:tab w:pos="1858" w:val="left" w:leader="none"/>
              </w:tabs>
              <w:spacing w:line="197" w:lineRule="exact"/>
              <w:ind w:right="33"/>
              <w:rPr>
                <w:sz w:val="18"/>
              </w:rPr>
            </w:pPr>
            <w:r>
              <w:rPr>
                <w:rFonts w:ascii="Times New Roman"/>
                <w:sz w:val="18"/>
                <w:u w:val="single"/>
              </w:rPr>
              <w:t> </w:t>
              <w:tab/>
            </w:r>
            <w:r>
              <w:rPr>
                <w:sz w:val="18"/>
                <w:u w:val="single"/>
              </w:rPr>
              <w:t>778,827</w:t>
              <w:tab/>
            </w:r>
            <w:r>
              <w:rPr>
                <w:spacing w:val="-1"/>
                <w:w w:val="95"/>
                <w:sz w:val="18"/>
                <w:u w:val="single"/>
              </w:rPr>
              <w:t>778,827</w:t>
            </w:r>
          </w:p>
        </w:tc>
      </w:tr>
      <w:tr>
        <w:trPr>
          <w:trHeight w:val="291" w:hRule="exact"/>
        </w:trPr>
        <w:tc>
          <w:tcPr>
            <w:tcW w:w="5196" w:type="dxa"/>
          </w:tcPr>
          <w:p>
            <w:pPr>
              <w:pStyle w:val="TableParagraph"/>
              <w:spacing w:line="201" w:lineRule="exact"/>
              <w:ind w:left="35"/>
              <w:jc w:val="left"/>
              <w:rPr>
                <w:sz w:val="18"/>
              </w:rPr>
            </w:pPr>
            <w:r>
              <w:rPr>
                <w:sz w:val="18"/>
              </w:rPr>
              <w:t>Net book amount</w:t>
            </w:r>
          </w:p>
        </w:tc>
        <w:tc>
          <w:tcPr>
            <w:tcW w:w="4704" w:type="dxa"/>
          </w:tcPr>
          <w:p>
            <w:pPr>
              <w:pStyle w:val="TableParagraph"/>
              <w:tabs>
                <w:tab w:pos="560" w:val="left" w:leader="none"/>
                <w:tab w:pos="1858" w:val="left" w:leader="none"/>
              </w:tabs>
              <w:spacing w:line="201" w:lineRule="exact"/>
              <w:ind w:right="33"/>
              <w:rPr>
                <w:sz w:val="18"/>
              </w:rPr>
            </w:pPr>
            <w:r>
              <w:rPr>
                <w:rFonts w:ascii="Times New Roman"/>
                <w:sz w:val="18"/>
                <w:u w:val="single"/>
              </w:rPr>
              <w:t> </w:t>
              <w:tab/>
            </w:r>
            <w:r>
              <w:rPr>
                <w:sz w:val="18"/>
                <w:u w:val="single"/>
              </w:rPr>
              <w:t>778,827</w:t>
              <w:tab/>
            </w:r>
            <w:r>
              <w:rPr>
                <w:spacing w:val="-1"/>
                <w:w w:val="95"/>
                <w:sz w:val="18"/>
                <w:u w:val="single"/>
              </w:rPr>
              <w:t>778,827</w:t>
            </w:r>
          </w:p>
        </w:tc>
      </w:tr>
      <w:tr>
        <w:trPr>
          <w:trHeight w:val="286" w:hRule="exact"/>
        </w:trPr>
        <w:tc>
          <w:tcPr>
            <w:tcW w:w="5196" w:type="dxa"/>
          </w:tcPr>
          <w:p>
            <w:pPr>
              <w:pStyle w:val="TableParagraph"/>
              <w:spacing w:before="69"/>
              <w:ind w:left="35"/>
              <w:jc w:val="left"/>
              <w:rPr>
                <w:b/>
                <w:sz w:val="18"/>
              </w:rPr>
            </w:pPr>
            <w:r>
              <w:rPr>
                <w:b/>
                <w:sz w:val="18"/>
              </w:rPr>
              <w:t>Year ended 31 December 2015</w:t>
            </w:r>
          </w:p>
        </w:tc>
        <w:tc>
          <w:tcPr>
            <w:tcW w:w="4704" w:type="dxa"/>
          </w:tcPr>
          <w:p>
            <w:pPr/>
          </w:p>
        </w:tc>
      </w:tr>
      <w:tr>
        <w:trPr>
          <w:trHeight w:val="206" w:hRule="exact"/>
        </w:trPr>
        <w:tc>
          <w:tcPr>
            <w:tcW w:w="5196" w:type="dxa"/>
          </w:tcPr>
          <w:p>
            <w:pPr>
              <w:pStyle w:val="TableParagraph"/>
              <w:spacing w:line="197" w:lineRule="exact"/>
              <w:ind w:left="35"/>
              <w:jc w:val="left"/>
              <w:rPr>
                <w:sz w:val="18"/>
              </w:rPr>
            </w:pPr>
            <w:r>
              <w:rPr>
                <w:sz w:val="18"/>
              </w:rPr>
              <w:t>Opening net book amount</w:t>
            </w:r>
          </w:p>
        </w:tc>
        <w:tc>
          <w:tcPr>
            <w:tcW w:w="4704" w:type="dxa"/>
          </w:tcPr>
          <w:p>
            <w:pPr>
              <w:pStyle w:val="TableParagraph"/>
              <w:tabs>
                <w:tab w:pos="1298" w:val="left" w:leader="none"/>
              </w:tabs>
              <w:spacing w:line="197" w:lineRule="exact"/>
              <w:ind w:right="33"/>
              <w:rPr>
                <w:sz w:val="18"/>
              </w:rPr>
            </w:pPr>
            <w:r>
              <w:rPr>
                <w:sz w:val="18"/>
              </w:rPr>
              <w:t>778,827</w:t>
              <w:tab/>
            </w:r>
            <w:r>
              <w:rPr>
                <w:spacing w:val="-1"/>
                <w:w w:val="95"/>
                <w:sz w:val="18"/>
              </w:rPr>
              <w:t>778,827</w:t>
            </w:r>
          </w:p>
        </w:tc>
      </w:tr>
      <w:tr>
        <w:trPr>
          <w:trHeight w:val="216" w:hRule="exact"/>
        </w:trPr>
        <w:tc>
          <w:tcPr>
            <w:tcW w:w="5196" w:type="dxa"/>
          </w:tcPr>
          <w:p>
            <w:pPr>
              <w:pStyle w:val="TableParagraph"/>
              <w:spacing w:line="197" w:lineRule="exact"/>
              <w:ind w:left="35"/>
              <w:jc w:val="left"/>
              <w:rPr>
                <w:sz w:val="18"/>
              </w:rPr>
            </w:pPr>
            <w:r>
              <w:rPr>
                <w:sz w:val="18"/>
              </w:rPr>
              <w:t>Revaluation</w:t>
            </w:r>
          </w:p>
        </w:tc>
        <w:tc>
          <w:tcPr>
            <w:tcW w:w="4704" w:type="dxa"/>
          </w:tcPr>
          <w:p>
            <w:pPr>
              <w:pStyle w:val="TableParagraph"/>
              <w:tabs>
                <w:tab w:pos="1298" w:val="left" w:leader="none"/>
              </w:tabs>
              <w:spacing w:line="197" w:lineRule="exact"/>
              <w:ind w:right="33"/>
              <w:rPr>
                <w:sz w:val="18"/>
              </w:rPr>
            </w:pPr>
            <w:r>
              <w:rPr>
                <w:sz w:val="18"/>
              </w:rPr>
              <w:t>-</w:t>
              <w:tab/>
            </w:r>
            <w:r>
              <w:rPr>
                <w:spacing w:val="-1"/>
                <w:sz w:val="18"/>
              </w:rPr>
              <w:t>-</w:t>
            </w:r>
          </w:p>
        </w:tc>
      </w:tr>
      <w:tr>
        <w:trPr>
          <w:trHeight w:val="221" w:hRule="exact"/>
        </w:trPr>
        <w:tc>
          <w:tcPr>
            <w:tcW w:w="5196" w:type="dxa"/>
          </w:tcPr>
          <w:p>
            <w:pPr>
              <w:pStyle w:val="TableParagraph"/>
              <w:ind w:left="35"/>
              <w:jc w:val="left"/>
              <w:rPr>
                <w:sz w:val="18"/>
              </w:rPr>
            </w:pPr>
            <w:r>
              <w:rPr>
                <w:sz w:val="18"/>
              </w:rPr>
              <w:t>Additions</w:t>
            </w:r>
          </w:p>
        </w:tc>
        <w:tc>
          <w:tcPr>
            <w:tcW w:w="4704" w:type="dxa"/>
          </w:tcPr>
          <w:p>
            <w:pPr>
              <w:pStyle w:val="TableParagraph"/>
              <w:tabs>
                <w:tab w:pos="1148" w:val="left" w:leader="none"/>
                <w:tab w:pos="2446" w:val="left" w:leader="none"/>
              </w:tabs>
              <w:ind w:right="33"/>
              <w:rPr>
                <w:sz w:val="18"/>
              </w:rPr>
            </w:pPr>
            <w:r>
              <w:rPr>
                <w:rFonts w:ascii="Times New Roman"/>
                <w:sz w:val="18"/>
                <w:u w:val="single"/>
              </w:rPr>
              <w:t> </w:t>
              <w:tab/>
            </w:r>
            <w:r>
              <w:rPr>
                <w:sz w:val="18"/>
                <w:u w:val="single"/>
              </w:rPr>
              <w:t>-</w:t>
              <w:tab/>
              <w:t>-</w:t>
            </w:r>
          </w:p>
        </w:tc>
      </w:tr>
      <w:tr>
        <w:trPr>
          <w:trHeight w:val="291" w:hRule="exact"/>
        </w:trPr>
        <w:tc>
          <w:tcPr>
            <w:tcW w:w="5196" w:type="dxa"/>
          </w:tcPr>
          <w:p>
            <w:pPr>
              <w:pStyle w:val="TableParagraph"/>
              <w:spacing w:line="201" w:lineRule="exact"/>
              <w:ind w:left="35"/>
              <w:jc w:val="left"/>
              <w:rPr>
                <w:sz w:val="18"/>
              </w:rPr>
            </w:pPr>
            <w:r>
              <w:rPr>
                <w:sz w:val="18"/>
              </w:rPr>
              <w:t>Closing net book amount</w:t>
            </w:r>
          </w:p>
        </w:tc>
        <w:tc>
          <w:tcPr>
            <w:tcW w:w="4704" w:type="dxa"/>
          </w:tcPr>
          <w:p>
            <w:pPr>
              <w:pStyle w:val="TableParagraph"/>
              <w:tabs>
                <w:tab w:pos="560" w:val="left" w:leader="none"/>
                <w:tab w:pos="1858" w:val="left" w:leader="none"/>
              </w:tabs>
              <w:spacing w:line="201" w:lineRule="exact"/>
              <w:ind w:right="33"/>
              <w:rPr>
                <w:sz w:val="18"/>
              </w:rPr>
            </w:pPr>
            <w:r>
              <w:rPr>
                <w:rFonts w:ascii="Times New Roman"/>
                <w:sz w:val="18"/>
                <w:u w:val="single"/>
              </w:rPr>
              <w:t> </w:t>
              <w:tab/>
            </w:r>
            <w:r>
              <w:rPr>
                <w:sz w:val="18"/>
                <w:u w:val="single"/>
              </w:rPr>
              <w:t>778,827</w:t>
              <w:tab/>
            </w:r>
            <w:r>
              <w:rPr>
                <w:spacing w:val="-1"/>
                <w:w w:val="95"/>
                <w:sz w:val="18"/>
                <w:u w:val="single"/>
              </w:rPr>
              <w:t>778,827</w:t>
            </w:r>
          </w:p>
        </w:tc>
      </w:tr>
      <w:tr>
        <w:trPr>
          <w:trHeight w:val="286" w:hRule="exact"/>
        </w:trPr>
        <w:tc>
          <w:tcPr>
            <w:tcW w:w="5196" w:type="dxa"/>
          </w:tcPr>
          <w:p>
            <w:pPr>
              <w:pStyle w:val="TableParagraph"/>
              <w:spacing w:before="69"/>
              <w:ind w:left="35"/>
              <w:jc w:val="left"/>
              <w:rPr>
                <w:b/>
                <w:sz w:val="18"/>
              </w:rPr>
            </w:pPr>
            <w:r>
              <w:rPr>
                <w:b/>
                <w:sz w:val="18"/>
              </w:rPr>
              <w:t>At 31 December 2015</w:t>
            </w:r>
          </w:p>
        </w:tc>
        <w:tc>
          <w:tcPr>
            <w:tcW w:w="4704" w:type="dxa"/>
          </w:tcPr>
          <w:p>
            <w:pPr/>
          </w:p>
        </w:tc>
      </w:tr>
      <w:tr>
        <w:trPr>
          <w:trHeight w:val="212" w:hRule="exact"/>
        </w:trPr>
        <w:tc>
          <w:tcPr>
            <w:tcW w:w="5196" w:type="dxa"/>
          </w:tcPr>
          <w:p>
            <w:pPr>
              <w:pStyle w:val="TableParagraph"/>
              <w:spacing w:line="197" w:lineRule="exact"/>
              <w:ind w:left="35"/>
              <w:jc w:val="left"/>
              <w:rPr>
                <w:sz w:val="18"/>
              </w:rPr>
            </w:pPr>
            <w:r>
              <w:rPr>
                <w:sz w:val="18"/>
              </w:rPr>
              <w:t>Valuation</w:t>
            </w:r>
          </w:p>
        </w:tc>
        <w:tc>
          <w:tcPr>
            <w:tcW w:w="4704" w:type="dxa"/>
          </w:tcPr>
          <w:p>
            <w:pPr>
              <w:pStyle w:val="TableParagraph"/>
              <w:tabs>
                <w:tab w:pos="560" w:val="left" w:leader="none"/>
                <w:tab w:pos="1858" w:val="left" w:leader="none"/>
              </w:tabs>
              <w:spacing w:line="197" w:lineRule="exact"/>
              <w:ind w:right="33"/>
              <w:rPr>
                <w:sz w:val="18"/>
              </w:rPr>
            </w:pPr>
            <w:r>
              <w:rPr>
                <w:rFonts w:ascii="Times New Roman"/>
                <w:sz w:val="18"/>
                <w:u w:val="single"/>
              </w:rPr>
              <w:t> </w:t>
              <w:tab/>
            </w:r>
            <w:r>
              <w:rPr>
                <w:sz w:val="18"/>
                <w:u w:val="single"/>
              </w:rPr>
              <w:t>778,827</w:t>
              <w:tab/>
            </w:r>
            <w:r>
              <w:rPr>
                <w:spacing w:val="-1"/>
                <w:w w:val="95"/>
                <w:sz w:val="18"/>
                <w:u w:val="single"/>
              </w:rPr>
              <w:t>778,827</w:t>
            </w:r>
          </w:p>
        </w:tc>
      </w:tr>
      <w:tr>
        <w:trPr>
          <w:trHeight w:val="291" w:hRule="exact"/>
        </w:trPr>
        <w:tc>
          <w:tcPr>
            <w:tcW w:w="5196" w:type="dxa"/>
          </w:tcPr>
          <w:p>
            <w:pPr>
              <w:pStyle w:val="TableParagraph"/>
              <w:spacing w:line="201" w:lineRule="exact"/>
              <w:ind w:left="35"/>
              <w:jc w:val="left"/>
              <w:rPr>
                <w:sz w:val="18"/>
              </w:rPr>
            </w:pPr>
            <w:r>
              <w:rPr>
                <w:sz w:val="18"/>
              </w:rPr>
              <w:t>Net book amount</w:t>
            </w:r>
          </w:p>
        </w:tc>
        <w:tc>
          <w:tcPr>
            <w:tcW w:w="4704" w:type="dxa"/>
          </w:tcPr>
          <w:p>
            <w:pPr>
              <w:pStyle w:val="TableParagraph"/>
              <w:tabs>
                <w:tab w:pos="560" w:val="left" w:leader="none"/>
                <w:tab w:pos="1858" w:val="left" w:leader="none"/>
              </w:tabs>
              <w:spacing w:line="201" w:lineRule="exact"/>
              <w:ind w:right="33"/>
              <w:rPr>
                <w:sz w:val="18"/>
              </w:rPr>
            </w:pPr>
            <w:r>
              <w:rPr>
                <w:rFonts w:ascii="Times New Roman"/>
                <w:sz w:val="18"/>
                <w:u w:val="single"/>
              </w:rPr>
              <w:t> </w:t>
              <w:tab/>
            </w:r>
            <w:r>
              <w:rPr>
                <w:sz w:val="18"/>
                <w:u w:val="single"/>
              </w:rPr>
              <w:t>778,827</w:t>
              <w:tab/>
            </w:r>
            <w:r>
              <w:rPr>
                <w:spacing w:val="-1"/>
                <w:w w:val="95"/>
                <w:sz w:val="18"/>
                <w:u w:val="single"/>
              </w:rPr>
              <w:t>778,827</w:t>
            </w:r>
          </w:p>
        </w:tc>
      </w:tr>
      <w:tr>
        <w:trPr>
          <w:trHeight w:val="295" w:hRule="exact"/>
        </w:trPr>
        <w:tc>
          <w:tcPr>
            <w:tcW w:w="5196" w:type="dxa"/>
          </w:tcPr>
          <w:p>
            <w:pPr>
              <w:pStyle w:val="TableParagraph"/>
              <w:spacing w:before="69"/>
              <w:ind w:left="35"/>
              <w:jc w:val="left"/>
              <w:rPr>
                <w:b/>
                <w:sz w:val="18"/>
              </w:rPr>
            </w:pPr>
            <w:r>
              <w:rPr>
                <w:b/>
                <w:sz w:val="18"/>
              </w:rPr>
              <w:t>Year ended 31 December 2016</w:t>
            </w:r>
          </w:p>
        </w:tc>
        <w:tc>
          <w:tcPr>
            <w:tcW w:w="4704" w:type="dxa"/>
          </w:tcPr>
          <w:p>
            <w:pPr/>
          </w:p>
        </w:tc>
      </w:tr>
      <w:tr>
        <w:trPr>
          <w:trHeight w:val="216" w:hRule="exact"/>
        </w:trPr>
        <w:tc>
          <w:tcPr>
            <w:tcW w:w="5196" w:type="dxa"/>
          </w:tcPr>
          <w:p>
            <w:pPr>
              <w:pStyle w:val="TableParagraph"/>
              <w:ind w:left="35"/>
              <w:jc w:val="left"/>
              <w:rPr>
                <w:sz w:val="18"/>
              </w:rPr>
            </w:pPr>
            <w:r>
              <w:rPr>
                <w:sz w:val="18"/>
              </w:rPr>
              <w:t>Opening net book amount</w:t>
            </w:r>
          </w:p>
        </w:tc>
        <w:tc>
          <w:tcPr>
            <w:tcW w:w="4704" w:type="dxa"/>
          </w:tcPr>
          <w:p>
            <w:pPr>
              <w:pStyle w:val="TableParagraph"/>
              <w:tabs>
                <w:tab w:pos="1298" w:val="left" w:leader="none"/>
              </w:tabs>
              <w:ind w:right="33"/>
              <w:rPr>
                <w:sz w:val="18"/>
              </w:rPr>
            </w:pPr>
            <w:r>
              <w:rPr>
                <w:sz w:val="18"/>
              </w:rPr>
              <w:t>778,827</w:t>
              <w:tab/>
            </w:r>
            <w:r>
              <w:rPr>
                <w:spacing w:val="-1"/>
                <w:w w:val="95"/>
                <w:sz w:val="18"/>
              </w:rPr>
              <w:t>778,827</w:t>
            </w:r>
          </w:p>
        </w:tc>
      </w:tr>
      <w:tr>
        <w:trPr>
          <w:trHeight w:val="206" w:hRule="exact"/>
        </w:trPr>
        <w:tc>
          <w:tcPr>
            <w:tcW w:w="5196" w:type="dxa"/>
          </w:tcPr>
          <w:p>
            <w:pPr>
              <w:pStyle w:val="TableParagraph"/>
              <w:spacing w:line="197" w:lineRule="exact"/>
              <w:ind w:left="35"/>
              <w:jc w:val="left"/>
              <w:rPr>
                <w:sz w:val="18"/>
              </w:rPr>
            </w:pPr>
            <w:r>
              <w:rPr>
                <w:sz w:val="18"/>
              </w:rPr>
              <w:t>Revaluation</w:t>
            </w:r>
          </w:p>
        </w:tc>
        <w:tc>
          <w:tcPr>
            <w:tcW w:w="4704" w:type="dxa"/>
          </w:tcPr>
          <w:p>
            <w:pPr>
              <w:pStyle w:val="TableParagraph"/>
              <w:tabs>
                <w:tab w:pos="1298" w:val="left" w:leader="none"/>
              </w:tabs>
              <w:spacing w:line="197" w:lineRule="exact"/>
              <w:ind w:right="33"/>
              <w:rPr>
                <w:sz w:val="18"/>
              </w:rPr>
            </w:pPr>
            <w:r>
              <w:rPr>
                <w:sz w:val="18"/>
              </w:rPr>
              <w:t>20,040</w:t>
              <w:tab/>
            </w:r>
            <w:r>
              <w:rPr>
                <w:spacing w:val="-1"/>
                <w:w w:val="95"/>
                <w:sz w:val="18"/>
              </w:rPr>
              <w:t>20,040</w:t>
            </w:r>
          </w:p>
        </w:tc>
      </w:tr>
      <w:tr>
        <w:trPr>
          <w:trHeight w:val="212" w:hRule="exact"/>
        </w:trPr>
        <w:tc>
          <w:tcPr>
            <w:tcW w:w="5196" w:type="dxa"/>
          </w:tcPr>
          <w:p>
            <w:pPr>
              <w:pStyle w:val="TableParagraph"/>
              <w:spacing w:line="197" w:lineRule="exact"/>
              <w:ind w:left="35"/>
              <w:jc w:val="left"/>
              <w:rPr>
                <w:sz w:val="18"/>
              </w:rPr>
            </w:pPr>
            <w:r>
              <w:rPr>
                <w:sz w:val="18"/>
              </w:rPr>
              <w:t>Additions</w:t>
            </w:r>
          </w:p>
        </w:tc>
        <w:tc>
          <w:tcPr>
            <w:tcW w:w="4704" w:type="dxa"/>
          </w:tcPr>
          <w:p>
            <w:pPr>
              <w:pStyle w:val="TableParagraph"/>
              <w:tabs>
                <w:tab w:pos="659" w:val="left" w:leader="none"/>
                <w:tab w:pos="1958" w:val="left" w:leader="none"/>
              </w:tabs>
              <w:spacing w:line="197" w:lineRule="exact"/>
              <w:ind w:right="33"/>
              <w:rPr>
                <w:sz w:val="18"/>
              </w:rPr>
            </w:pPr>
            <w:r>
              <w:rPr>
                <w:rFonts w:ascii="Times New Roman"/>
                <w:sz w:val="18"/>
                <w:u w:val="single"/>
              </w:rPr>
              <w:t> </w:t>
              <w:tab/>
            </w:r>
            <w:r>
              <w:rPr>
                <w:sz w:val="18"/>
                <w:u w:val="single"/>
              </w:rPr>
              <w:t>31,575</w:t>
              <w:tab/>
            </w:r>
            <w:r>
              <w:rPr>
                <w:spacing w:val="-1"/>
                <w:w w:val="95"/>
                <w:sz w:val="18"/>
                <w:u w:val="single"/>
              </w:rPr>
              <w:t>31,575</w:t>
            </w:r>
          </w:p>
        </w:tc>
      </w:tr>
      <w:tr>
        <w:trPr>
          <w:trHeight w:val="291" w:hRule="exact"/>
        </w:trPr>
        <w:tc>
          <w:tcPr>
            <w:tcW w:w="5196" w:type="dxa"/>
          </w:tcPr>
          <w:p>
            <w:pPr>
              <w:pStyle w:val="TableParagraph"/>
              <w:spacing w:line="201" w:lineRule="exact"/>
              <w:ind w:left="35"/>
              <w:jc w:val="left"/>
              <w:rPr>
                <w:sz w:val="18"/>
              </w:rPr>
            </w:pPr>
            <w:r>
              <w:rPr>
                <w:sz w:val="18"/>
              </w:rPr>
              <w:t>Closing net book amount</w:t>
            </w:r>
          </w:p>
        </w:tc>
        <w:tc>
          <w:tcPr>
            <w:tcW w:w="4704" w:type="dxa"/>
          </w:tcPr>
          <w:p>
            <w:pPr>
              <w:pStyle w:val="TableParagraph"/>
              <w:tabs>
                <w:tab w:pos="560" w:val="left" w:leader="none"/>
                <w:tab w:pos="1858" w:val="left" w:leader="none"/>
              </w:tabs>
              <w:spacing w:line="201" w:lineRule="exact"/>
              <w:ind w:right="33"/>
              <w:rPr>
                <w:sz w:val="18"/>
              </w:rPr>
            </w:pPr>
            <w:r>
              <w:rPr>
                <w:rFonts w:ascii="Times New Roman"/>
                <w:sz w:val="18"/>
                <w:u w:val="single"/>
              </w:rPr>
              <w:t> </w:t>
              <w:tab/>
            </w:r>
            <w:r>
              <w:rPr>
                <w:sz w:val="18"/>
                <w:u w:val="single"/>
              </w:rPr>
              <w:t>830,442</w:t>
              <w:tab/>
            </w:r>
            <w:r>
              <w:rPr>
                <w:spacing w:val="-1"/>
                <w:w w:val="95"/>
                <w:sz w:val="18"/>
                <w:u w:val="single"/>
              </w:rPr>
              <w:t>830,442</w:t>
            </w:r>
          </w:p>
        </w:tc>
      </w:tr>
      <w:tr>
        <w:trPr>
          <w:trHeight w:val="286" w:hRule="exact"/>
        </w:trPr>
        <w:tc>
          <w:tcPr>
            <w:tcW w:w="5196" w:type="dxa"/>
          </w:tcPr>
          <w:p>
            <w:pPr>
              <w:pStyle w:val="TableParagraph"/>
              <w:spacing w:before="69"/>
              <w:ind w:left="35"/>
              <w:jc w:val="left"/>
              <w:rPr>
                <w:b/>
                <w:sz w:val="18"/>
              </w:rPr>
            </w:pPr>
            <w:bookmarkStart w:name="9 Reserves" w:id="480"/>
            <w:bookmarkEnd w:id="480"/>
            <w:r>
              <w:rPr/>
            </w:r>
            <w:r>
              <w:rPr>
                <w:b/>
                <w:sz w:val="18"/>
              </w:rPr>
              <w:t>At 31 December 2016</w:t>
            </w:r>
          </w:p>
        </w:tc>
        <w:tc>
          <w:tcPr>
            <w:tcW w:w="4704" w:type="dxa"/>
          </w:tcPr>
          <w:p>
            <w:pPr/>
          </w:p>
        </w:tc>
      </w:tr>
      <w:tr>
        <w:trPr>
          <w:trHeight w:val="212" w:hRule="exact"/>
        </w:trPr>
        <w:tc>
          <w:tcPr>
            <w:tcW w:w="5196" w:type="dxa"/>
          </w:tcPr>
          <w:p>
            <w:pPr>
              <w:pStyle w:val="TableParagraph"/>
              <w:spacing w:line="197" w:lineRule="exact"/>
              <w:ind w:left="35"/>
              <w:jc w:val="left"/>
              <w:rPr>
                <w:sz w:val="18"/>
              </w:rPr>
            </w:pPr>
            <w:r>
              <w:rPr>
                <w:sz w:val="18"/>
              </w:rPr>
              <w:t>Valuation</w:t>
            </w:r>
          </w:p>
        </w:tc>
        <w:tc>
          <w:tcPr>
            <w:tcW w:w="4704" w:type="dxa"/>
          </w:tcPr>
          <w:p>
            <w:pPr>
              <w:pStyle w:val="TableParagraph"/>
              <w:tabs>
                <w:tab w:pos="560" w:val="left" w:leader="none"/>
                <w:tab w:pos="1858" w:val="left" w:leader="none"/>
              </w:tabs>
              <w:spacing w:line="197" w:lineRule="exact"/>
              <w:ind w:right="33"/>
              <w:rPr>
                <w:sz w:val="18"/>
              </w:rPr>
            </w:pPr>
            <w:r>
              <w:rPr>
                <w:rFonts w:ascii="Times New Roman"/>
                <w:sz w:val="18"/>
                <w:u w:val="single"/>
              </w:rPr>
              <w:t> </w:t>
              <w:tab/>
            </w:r>
            <w:r>
              <w:rPr>
                <w:sz w:val="18"/>
                <w:u w:val="single"/>
              </w:rPr>
              <w:t>830,442</w:t>
              <w:tab/>
            </w:r>
            <w:r>
              <w:rPr>
                <w:spacing w:val="-1"/>
                <w:w w:val="95"/>
                <w:sz w:val="18"/>
                <w:u w:val="single"/>
              </w:rPr>
              <w:t>830,442</w:t>
            </w:r>
          </w:p>
        </w:tc>
      </w:tr>
      <w:tr>
        <w:trPr>
          <w:trHeight w:val="365" w:hRule="exact"/>
        </w:trPr>
        <w:tc>
          <w:tcPr>
            <w:tcW w:w="5196" w:type="dxa"/>
          </w:tcPr>
          <w:p>
            <w:pPr>
              <w:pStyle w:val="TableParagraph"/>
              <w:spacing w:line="201" w:lineRule="exact"/>
              <w:ind w:left="35"/>
              <w:jc w:val="left"/>
              <w:rPr>
                <w:sz w:val="18"/>
              </w:rPr>
            </w:pPr>
            <w:r>
              <w:rPr>
                <w:sz w:val="18"/>
              </w:rPr>
              <w:t>Net book amount</w:t>
            </w:r>
          </w:p>
        </w:tc>
        <w:tc>
          <w:tcPr>
            <w:tcW w:w="4704" w:type="dxa"/>
          </w:tcPr>
          <w:p>
            <w:pPr>
              <w:pStyle w:val="TableParagraph"/>
              <w:tabs>
                <w:tab w:pos="560" w:val="left" w:leader="none"/>
                <w:tab w:pos="1858" w:val="left" w:leader="none"/>
              </w:tabs>
              <w:spacing w:line="201" w:lineRule="exact"/>
              <w:ind w:right="33"/>
              <w:rPr>
                <w:sz w:val="18"/>
              </w:rPr>
            </w:pPr>
            <w:r>
              <w:rPr>
                <w:rFonts w:ascii="Times New Roman"/>
                <w:sz w:val="18"/>
                <w:u w:val="single"/>
              </w:rPr>
              <w:t> </w:t>
              <w:tab/>
            </w:r>
            <w:r>
              <w:rPr>
                <w:sz w:val="18"/>
                <w:u w:val="single"/>
              </w:rPr>
              <w:t>830,442</w:t>
              <w:tab/>
            </w:r>
            <w:r>
              <w:rPr>
                <w:spacing w:val="-1"/>
                <w:w w:val="95"/>
                <w:sz w:val="18"/>
                <w:u w:val="single"/>
              </w:rPr>
              <w:t>830,442</w:t>
            </w:r>
          </w:p>
        </w:tc>
      </w:tr>
      <w:tr>
        <w:trPr>
          <w:trHeight w:val="374" w:hRule="exact"/>
        </w:trPr>
        <w:tc>
          <w:tcPr>
            <w:tcW w:w="5196" w:type="dxa"/>
          </w:tcPr>
          <w:p>
            <w:pPr>
              <w:pStyle w:val="TableParagraph"/>
              <w:tabs>
                <w:tab w:pos="432" w:val="left" w:leader="none"/>
              </w:tabs>
              <w:spacing w:before="143"/>
              <w:ind w:left="36"/>
              <w:jc w:val="left"/>
              <w:rPr>
                <w:b/>
                <w:sz w:val="18"/>
              </w:rPr>
            </w:pPr>
            <w:r>
              <w:rPr>
                <w:b/>
                <w:sz w:val="18"/>
              </w:rPr>
              <w:t>9</w:t>
              <w:tab/>
              <w:t>Reserves</w:t>
            </w:r>
          </w:p>
        </w:tc>
        <w:tc>
          <w:tcPr>
            <w:tcW w:w="4704" w:type="dxa"/>
          </w:tcPr>
          <w:p>
            <w:pPr/>
          </w:p>
        </w:tc>
      </w:tr>
      <w:tr>
        <w:trPr>
          <w:trHeight w:val="221" w:hRule="exact"/>
        </w:trPr>
        <w:tc>
          <w:tcPr>
            <w:tcW w:w="5196" w:type="dxa"/>
          </w:tcPr>
          <w:p>
            <w:pPr/>
          </w:p>
        </w:tc>
        <w:tc>
          <w:tcPr>
            <w:tcW w:w="4704" w:type="dxa"/>
          </w:tcPr>
          <w:p>
            <w:pPr>
              <w:pStyle w:val="TableParagraph"/>
              <w:tabs>
                <w:tab w:pos="3908" w:val="left" w:leader="none"/>
              </w:tabs>
              <w:spacing w:before="5"/>
              <w:ind w:left="2611"/>
              <w:jc w:val="left"/>
              <w:rPr>
                <w:b/>
                <w:sz w:val="18"/>
              </w:rPr>
            </w:pPr>
            <w:r>
              <w:rPr>
                <w:b/>
                <w:sz w:val="18"/>
              </w:rPr>
              <w:t>2016</w:t>
              <w:tab/>
              <w:t>2015</w:t>
            </w:r>
          </w:p>
        </w:tc>
      </w:tr>
      <w:tr>
        <w:trPr>
          <w:trHeight w:val="208" w:hRule="exact"/>
        </w:trPr>
        <w:tc>
          <w:tcPr>
            <w:tcW w:w="5196" w:type="dxa"/>
          </w:tcPr>
          <w:p>
            <w:pPr/>
          </w:p>
        </w:tc>
        <w:tc>
          <w:tcPr>
            <w:tcW w:w="4704" w:type="dxa"/>
          </w:tcPr>
          <w:p>
            <w:pPr>
              <w:pStyle w:val="TableParagraph"/>
              <w:tabs>
                <w:tab w:pos="4058" w:val="left" w:leader="none"/>
              </w:tabs>
              <w:spacing w:line="197" w:lineRule="exact"/>
              <w:ind w:left="2761"/>
              <w:jc w:val="left"/>
              <w:rPr>
                <w:b/>
                <w:sz w:val="18"/>
              </w:rPr>
            </w:pPr>
            <w:bookmarkStart w:name=" Movements" w:id="481"/>
            <w:bookmarkEnd w:id="481"/>
            <w:r>
              <w:rPr/>
            </w:r>
            <w:r>
              <w:rPr>
                <w:b/>
                <w:sz w:val="18"/>
              </w:rPr>
              <w:t>$</w:t>
              <w:tab/>
              <w:t>$</w:t>
            </w:r>
          </w:p>
        </w:tc>
      </w:tr>
    </w:tbl>
    <w:p>
      <w:pPr>
        <w:pStyle w:val="BodyText"/>
        <w:tabs>
          <w:tab w:pos="7882" w:val="left" w:leader="none"/>
          <w:tab w:pos="9179" w:val="left" w:leader="none"/>
        </w:tabs>
        <w:spacing w:before="18"/>
        <w:ind w:right="1485"/>
        <w:jc w:val="right"/>
      </w:pPr>
      <w:r>
        <w:rPr/>
        <w:pict>
          <v:group style="position:absolute;margin-left:437.529999pt;margin-top:12.531883pt;width:129.85pt;height:.550pt;mso-position-horizontal-relative:page;mso-position-vertical-relative:paragraph;z-index:16048;mso-wrap-distance-left:0;mso-wrap-distance-right:0" coordorigin="8751,251" coordsize="2597,11">
            <v:line style="position:absolute" from="8752,252" to="10049,252" stroked="true" strokeweight=".06pt" strokecolor="#000000"/>
            <v:line style="position:absolute" from="8752,253" to="10049,253" stroked="true" strokeweight=".06pt" strokecolor="#000000"/>
            <v:line style="position:absolute" from="8752,254" to="10049,254" stroked="true" strokeweight=".06pt" strokecolor="#000000"/>
            <v:line style="position:absolute" from="8752,255" to="10049,255" stroked="true" strokeweight=".06pt" strokecolor="#000000"/>
            <v:line style="position:absolute" from="8752,256" to="10049,256" stroked="true" strokeweight=".06pt" strokecolor="#000000"/>
            <v:line style="position:absolute" from="8752,258" to="10049,258" stroked="true" strokeweight=".06pt" strokecolor="#000000"/>
            <v:line style="position:absolute" from="8752,259" to="10049,259" stroked="true" strokeweight=".06pt" strokecolor="#000000"/>
            <v:line style="position:absolute" from="8752,260" to="10049,260" stroked="true" strokeweight=".06pt" strokecolor="#000000"/>
            <v:line style="position:absolute" from="10049,252" to="11346,252" stroked="true" strokeweight=".06pt" strokecolor="#000000"/>
            <v:line style="position:absolute" from="10049,253" to="11346,253" stroked="true" strokeweight=".06pt" strokecolor="#000000"/>
            <v:line style="position:absolute" from="10049,254" to="11346,254" stroked="true" strokeweight=".06pt" strokecolor="#000000"/>
            <v:line style="position:absolute" from="10049,255" to="11346,255" stroked="true" strokeweight=".06pt" strokecolor="#000000"/>
            <v:line style="position:absolute" from="10049,256" to="11346,256" stroked="true" strokeweight=".06pt" strokecolor="#000000"/>
            <v:line style="position:absolute" from="10049,258" to="11346,258" stroked="true" strokeweight=".06pt" strokecolor="#000000"/>
            <v:line style="position:absolute" from="10049,259" to="11346,259" stroked="true" strokeweight=".06pt" strokecolor="#000000"/>
            <v:line style="position:absolute" from="10049,260" to="11346,260" stroked="true" strokeweight=".06pt" strokecolor="#000000"/>
            <w10:wrap type="topAndBottom"/>
          </v:group>
        </w:pict>
      </w:r>
      <w:r>
        <w:rPr/>
        <w:drawing>
          <wp:anchor distT="0" distB="0" distL="0" distR="0" allowOverlap="1" layoutInCell="1" locked="0" behindDoc="0" simplePos="0" relativeHeight="16096">
            <wp:simplePos x="0" y="0"/>
            <wp:positionH relativeFrom="page">
              <wp:posOffset>-1587</wp:posOffset>
            </wp:positionH>
            <wp:positionV relativeFrom="paragraph">
              <wp:posOffset>-472517</wp:posOffset>
            </wp:positionV>
            <wp:extent cx="135159" cy="154019"/>
            <wp:effectExtent l="0" t="0" r="0" b="0"/>
            <wp:wrapNone/>
            <wp:docPr id="1101" name="image13.png" descr=""/>
            <wp:cNvGraphicFramePr>
              <a:graphicFrameLocks noChangeAspect="1"/>
            </wp:cNvGraphicFramePr>
            <a:graphic>
              <a:graphicData uri="http://schemas.openxmlformats.org/drawingml/2006/picture">
                <pic:pic>
                  <pic:nvPicPr>
                    <pic:cNvPr id="1102" name="image13.png"/>
                    <pic:cNvPicPr/>
                  </pic:nvPicPr>
                  <pic:blipFill>
                    <a:blip r:embed="rId18" cstate="print"/>
                    <a:stretch>
                      <a:fillRect/>
                    </a:stretch>
                  </pic:blipFill>
                  <pic:spPr>
                    <a:xfrm>
                      <a:off x="0" y="0"/>
                      <a:ext cx="135159" cy="154019"/>
                    </a:xfrm>
                    <a:prstGeom prst="rect">
                      <a:avLst/>
                    </a:prstGeom>
                  </pic:spPr>
                </pic:pic>
              </a:graphicData>
            </a:graphic>
          </wp:anchor>
        </w:drawing>
      </w:r>
      <w:r>
        <w:rPr/>
        <w:drawing>
          <wp:anchor distT="0" distB="0" distL="0" distR="0" allowOverlap="1" layoutInCell="1" locked="0" behindDoc="0" simplePos="0" relativeHeight="16120">
            <wp:simplePos x="0" y="0"/>
            <wp:positionH relativeFrom="page">
              <wp:posOffset>7958429</wp:posOffset>
            </wp:positionH>
            <wp:positionV relativeFrom="paragraph">
              <wp:posOffset>-472517</wp:posOffset>
            </wp:positionV>
            <wp:extent cx="135953" cy="155575"/>
            <wp:effectExtent l="0" t="0" r="0" b="0"/>
            <wp:wrapNone/>
            <wp:docPr id="1103" name="image15.png" descr=""/>
            <wp:cNvGraphicFramePr>
              <a:graphicFrameLocks noChangeAspect="1"/>
            </wp:cNvGraphicFramePr>
            <a:graphic>
              <a:graphicData uri="http://schemas.openxmlformats.org/drawingml/2006/picture">
                <pic:pic>
                  <pic:nvPicPr>
                    <pic:cNvPr id="1104" name="image15.png"/>
                    <pic:cNvPicPr/>
                  </pic:nvPicPr>
                  <pic:blipFill>
                    <a:blip r:embed="rId20" cstate="print"/>
                    <a:stretch>
                      <a:fillRect/>
                    </a:stretch>
                  </pic:blipFill>
                  <pic:spPr>
                    <a:xfrm>
                      <a:off x="0" y="0"/>
                      <a:ext cx="135953" cy="155575"/>
                    </a:xfrm>
                    <a:prstGeom prst="rect">
                      <a:avLst/>
                    </a:prstGeom>
                  </pic:spPr>
                </pic:pic>
              </a:graphicData>
            </a:graphic>
          </wp:anchor>
        </w:drawing>
      </w:r>
      <w:r>
        <w:rPr/>
        <w:t>Revaluation surplus - property, plant</w:t>
      </w:r>
      <w:r>
        <w:rPr>
          <w:spacing w:val="-29"/>
        </w:rPr>
        <w:t> </w:t>
      </w:r>
      <w:r>
        <w:rPr/>
        <w:t>and</w:t>
      </w:r>
      <w:r>
        <w:rPr>
          <w:spacing w:val="-6"/>
        </w:rPr>
        <w:t> </w:t>
      </w:r>
      <w:r>
        <w:rPr/>
        <w:t>equipment</w:t>
        <w:tab/>
      </w:r>
      <w:r>
        <w:rPr>
          <w:b/>
        </w:rPr>
        <w:t>195,247</w:t>
        <w:tab/>
      </w:r>
      <w:r>
        <w:rPr>
          <w:spacing w:val="-1"/>
          <w:w w:val="95"/>
        </w:rPr>
        <w:t>175,207</w:t>
      </w:r>
    </w:p>
    <w:p>
      <w:pPr>
        <w:tabs>
          <w:tab w:pos="1297" w:val="left" w:leader="none"/>
        </w:tabs>
        <w:spacing w:before="0"/>
        <w:ind w:left="0" w:right="1485" w:firstLine="0"/>
        <w:jc w:val="right"/>
        <w:rPr>
          <w:sz w:val="18"/>
        </w:rPr>
      </w:pPr>
      <w:r>
        <w:rPr>
          <w:b/>
          <w:sz w:val="18"/>
        </w:rPr>
        <w:t>195,247</w:t>
        <w:tab/>
      </w:r>
      <w:r>
        <w:rPr>
          <w:spacing w:val="-1"/>
          <w:w w:val="95"/>
          <w:sz w:val="18"/>
        </w:rPr>
        <w:t>175,207</w:t>
      </w:r>
    </w:p>
    <w:p>
      <w:pPr>
        <w:pStyle w:val="BodyText"/>
        <w:spacing w:line="30" w:lineRule="exact"/>
        <w:ind w:left="8750"/>
        <w:rPr>
          <w:sz w:val="3"/>
        </w:rPr>
      </w:pPr>
      <w:r>
        <w:rPr>
          <w:position w:val="0"/>
          <w:sz w:val="3"/>
        </w:rPr>
        <w:pict>
          <v:group style="width:129.85pt;height:1.55pt;mso-position-horizontal-relative:char;mso-position-vertical-relative:line" coordorigin="0,0" coordsize="2597,31">
            <v:line style="position:absolute" from="1,1" to="1298,1" stroked="true" strokeweight=".06pt" strokecolor="#000000"/>
            <v:line style="position:absolute" from="1,2" to="1298,2" stroked="true" strokeweight=".06pt" strokecolor="#000000"/>
            <v:line style="position:absolute" from="1,3" to="1298,3" stroked="true" strokeweight=".06pt" strokecolor="#000000"/>
            <v:line style="position:absolute" from="1,5" to="1298,5" stroked="true" strokeweight=".06pt" strokecolor="#000000"/>
            <v:line style="position:absolute" from="1,6" to="1298,6" stroked="true" strokeweight=".06pt" strokecolor="#000000"/>
            <v:line style="position:absolute" from="1,7" to="1298,7" stroked="true" strokeweight=".06pt" strokecolor="#000000"/>
            <v:line style="position:absolute" from="1,8" to="1298,8" stroked="true" strokeweight=".06pt" strokecolor="#000000"/>
            <v:line style="position:absolute" from="1,9" to="1298,9" stroked="true" strokeweight=".06pt" strokecolor="#000000"/>
            <v:line style="position:absolute" from="1,11" to="1298,11" stroked="true" strokeweight=".06pt" strokecolor="#000000"/>
            <v:line style="position:absolute" from="1,12" to="1298,12" stroked="true" strokeweight=".06pt" strokecolor="#000000"/>
            <v:line style="position:absolute" from="1,13" to="1298,13" stroked="true" strokeweight=".06pt" strokecolor="#000000"/>
            <v:line style="position:absolute" from="1,14" to="1298,14" stroked="true" strokeweight=".06pt" strokecolor="#000000"/>
            <v:line style="position:absolute" from="1,15" to="1298,15" stroked="true" strokeweight=".06pt" strokecolor="#000000"/>
            <v:line style="position:absolute" from="1,17" to="1298,17" stroked="true" strokeweight=".06pt" strokecolor="#000000"/>
            <v:line style="position:absolute" from="1,18" to="1298,18" stroked="true" strokeweight=".06pt" strokecolor="#000000"/>
            <v:line style="position:absolute" from="1,19" to="1298,19" stroked="true" strokeweight=".06pt" strokecolor="#000000"/>
            <v:line style="position:absolute" from="1,20" to="1298,20" stroked="true" strokeweight=".06pt" strokecolor="#000000"/>
            <v:line style="position:absolute" from="1,21" to="1298,21" stroked="true" strokeweight=".06pt" strokecolor="#000000"/>
            <v:line style="position:absolute" from="1,23" to="1298,23" stroked="true" strokeweight=".06pt" strokecolor="#000000"/>
            <v:line style="position:absolute" from="1,24" to="1298,24" stroked="true" strokeweight=".06pt" strokecolor="#000000"/>
            <v:line style="position:absolute" from="1,25" to="1298,25" stroked="true" strokeweight=".06pt" strokecolor="#000000"/>
            <v:line style="position:absolute" from="1,26" to="1298,26" stroked="true" strokeweight=".06pt" strokecolor="#000000"/>
            <v:line style="position:absolute" from="1,27" to="1298,27" stroked="true" strokeweight=".06pt" strokecolor="#000000"/>
            <v:line style="position:absolute" from="1,29" to="1298,29" stroked="true" strokeweight=".06pt" strokecolor="#000000"/>
            <v:line style="position:absolute" from="1,30" to="1298,30" stroked="true" strokeweight=".06pt" strokecolor="#000000"/>
            <v:line style="position:absolute" from="1298,1" to="2595,1" stroked="true" strokeweight=".06pt" strokecolor="#000000"/>
            <v:line style="position:absolute" from="1298,2" to="2595,2" stroked="true" strokeweight=".06pt" strokecolor="#000000"/>
            <v:line style="position:absolute" from="1298,3" to="2595,3" stroked="true" strokeweight=".06pt" strokecolor="#000000"/>
            <v:line style="position:absolute" from="1298,5" to="2595,5" stroked="true" strokeweight=".06pt" strokecolor="#000000"/>
            <v:line style="position:absolute" from="1298,6" to="2595,6" stroked="true" strokeweight=".06pt" strokecolor="#000000"/>
            <v:line style="position:absolute" from="1298,7" to="2595,7" stroked="true" strokeweight=".06pt" strokecolor="#000000"/>
            <v:line style="position:absolute" from="1298,8" to="2595,8" stroked="true" strokeweight=".06pt" strokecolor="#000000"/>
            <v:line style="position:absolute" from="1298,9" to="2595,9" stroked="true" strokeweight=".06pt" strokecolor="#000000"/>
            <v:line style="position:absolute" from="1298,11" to="2595,11" stroked="true" strokeweight=".06pt" strokecolor="#000000"/>
            <v:line style="position:absolute" from="1298,12" to="2595,12" stroked="true" strokeweight=".06pt" strokecolor="#000000"/>
            <v:line style="position:absolute" from="1298,13" to="2595,13" stroked="true" strokeweight=".06pt" strokecolor="#000000"/>
            <v:line style="position:absolute" from="1298,14" to="2595,14" stroked="true" strokeweight=".06pt" strokecolor="#000000"/>
            <v:line style="position:absolute" from="1298,15" to="2595,15" stroked="true" strokeweight=".06pt" strokecolor="#000000"/>
            <v:line style="position:absolute" from="1298,17" to="2595,17" stroked="true" strokeweight=".06pt" strokecolor="#000000"/>
            <v:line style="position:absolute" from="1298,18" to="2595,18" stroked="true" strokeweight=".06pt" strokecolor="#000000"/>
            <v:line style="position:absolute" from="1298,19" to="2595,19" stroked="true" strokeweight=".06pt" strokecolor="#000000"/>
            <v:line style="position:absolute" from="1298,20" to="2595,20" stroked="true" strokeweight=".06pt" strokecolor="#000000"/>
            <v:line style="position:absolute" from="1298,21" to="2595,21" stroked="true" strokeweight=".06pt" strokecolor="#000000"/>
            <v:line style="position:absolute" from="1298,23" to="2595,23" stroked="true" strokeweight=".06pt" strokecolor="#000000"/>
            <v:line style="position:absolute" from="1298,24" to="2595,24" stroked="true" strokeweight=".06pt" strokecolor="#000000"/>
            <v:line style="position:absolute" from="1298,25" to="2595,25" stroked="true" strokeweight=".06pt" strokecolor="#000000"/>
            <v:line style="position:absolute" from="1298,26" to="2595,26" stroked="true" strokeweight=".06pt" strokecolor="#000000"/>
            <v:line style="position:absolute" from="1298,27" to="2595,27" stroked="true" strokeweight=".06pt" strokecolor="#000000"/>
            <v:line style="position:absolute" from="1298,29" to="2595,29" stroked="true" strokeweight=".06pt" strokecolor="#000000"/>
            <v:line style="position:absolute" from="1298,30" to="2595,30" stroked="true" strokeweight=".06pt" strokecolor="#000000"/>
          </v:group>
        </w:pict>
      </w:r>
      <w:r>
        <w:rPr>
          <w:position w:val="0"/>
          <w:sz w:val="3"/>
        </w:rPr>
      </w:r>
    </w:p>
    <w:p>
      <w:pPr>
        <w:pStyle w:val="BodyText"/>
        <w:spacing w:before="11"/>
        <w:rPr>
          <w:sz w:val="19"/>
        </w:rPr>
      </w:pPr>
    </w:p>
    <w:p>
      <w:pPr>
        <w:spacing w:after="0"/>
        <w:rPr>
          <w:sz w:val="19"/>
        </w:rPr>
        <w:sectPr>
          <w:pgSz w:w="12750" w:h="17680"/>
          <w:pgMar w:header="0" w:footer="907" w:top="1880" w:bottom="1120" w:left="0" w:right="0"/>
        </w:sectPr>
      </w:pPr>
    </w:p>
    <w:p>
      <w:pPr>
        <w:pStyle w:val="Heading8"/>
        <w:spacing w:before="77"/>
        <w:ind w:left="1824" w:right="-17"/>
      </w:pPr>
      <w:r>
        <w:rPr/>
        <w:t>Movements</w:t>
      </w:r>
    </w:p>
    <w:p>
      <w:pPr>
        <w:pStyle w:val="BodyText"/>
        <w:rPr>
          <w:b/>
        </w:rPr>
      </w:pPr>
    </w:p>
    <w:p>
      <w:pPr>
        <w:pStyle w:val="BodyText"/>
        <w:spacing w:before="3"/>
        <w:rPr>
          <w:b/>
        </w:rPr>
      </w:pPr>
    </w:p>
    <w:p>
      <w:pPr>
        <w:pStyle w:val="BodyText"/>
        <w:ind w:left="1429" w:right="-17"/>
      </w:pPr>
      <w:r>
        <w:rPr/>
        <w:t>Revaluation surplus - </w:t>
      </w:r>
      <w:r>
        <w:rPr>
          <w:spacing w:val="-3"/>
        </w:rPr>
        <w:t>property, </w:t>
      </w:r>
      <w:r>
        <w:rPr/>
        <w:t>plant and equipment</w:t>
      </w:r>
    </w:p>
    <w:p>
      <w:pPr>
        <w:pStyle w:val="BodyText"/>
        <w:rPr>
          <w:sz w:val="25"/>
        </w:rPr>
      </w:pPr>
      <w:r>
        <w:rPr/>
        <w:br w:type="column"/>
      </w:r>
      <w:r>
        <w:rPr>
          <w:sz w:val="25"/>
        </w:rPr>
      </w:r>
    </w:p>
    <w:p>
      <w:pPr>
        <w:pStyle w:val="Heading8"/>
        <w:spacing w:line="207" w:lineRule="exact" w:before="1"/>
        <w:jc w:val="right"/>
      </w:pPr>
      <w:r>
        <w:rPr/>
        <w:t>2016</w:t>
      </w:r>
    </w:p>
    <w:p>
      <w:pPr>
        <w:spacing w:line="207" w:lineRule="exact" w:before="0"/>
        <w:ind w:left="0" w:right="146" w:firstLine="0"/>
        <w:jc w:val="right"/>
        <w:rPr>
          <w:b/>
          <w:sz w:val="18"/>
        </w:rPr>
      </w:pPr>
      <w:r>
        <w:rPr>
          <w:b/>
          <w:w w:val="99"/>
          <w:sz w:val="18"/>
        </w:rPr>
        <w:t>$</w:t>
      </w:r>
    </w:p>
    <w:p>
      <w:pPr>
        <w:pStyle w:val="BodyText"/>
        <w:rPr>
          <w:b/>
          <w:sz w:val="25"/>
        </w:rPr>
      </w:pPr>
      <w:r>
        <w:rPr/>
        <w:br w:type="column"/>
      </w:r>
      <w:r>
        <w:rPr>
          <w:b/>
          <w:sz w:val="25"/>
        </w:rPr>
      </w:r>
    </w:p>
    <w:p>
      <w:pPr>
        <w:spacing w:line="207" w:lineRule="exact" w:before="1"/>
        <w:ind w:left="815" w:right="1829" w:firstLine="0"/>
        <w:jc w:val="center"/>
        <w:rPr>
          <w:b/>
          <w:sz w:val="18"/>
        </w:rPr>
      </w:pPr>
      <w:r>
        <w:rPr>
          <w:b/>
          <w:sz w:val="18"/>
        </w:rPr>
        <w:t>2015</w:t>
      </w:r>
    </w:p>
    <w:p>
      <w:pPr>
        <w:spacing w:line="207" w:lineRule="exact" w:before="0"/>
        <w:ind w:left="0" w:right="1012" w:firstLine="0"/>
        <w:jc w:val="center"/>
        <w:rPr>
          <w:b/>
          <w:sz w:val="18"/>
        </w:rPr>
      </w:pPr>
      <w:r>
        <w:rPr>
          <w:b/>
          <w:w w:val="99"/>
          <w:sz w:val="18"/>
        </w:rPr>
        <w:t>$</w:t>
      </w:r>
    </w:p>
    <w:p>
      <w:pPr>
        <w:spacing w:after="0" w:line="207" w:lineRule="exact"/>
        <w:jc w:val="center"/>
        <w:rPr>
          <w:sz w:val="18"/>
        </w:rPr>
        <w:sectPr>
          <w:type w:val="continuous"/>
          <w:pgSz w:w="12750" w:h="17680"/>
          <w:pgMar w:top="1660" w:bottom="0" w:left="0" w:right="0"/>
          <w:cols w:num="3" w:equalWidth="0">
            <w:col w:w="5535" w:space="2236"/>
            <w:col w:w="1828" w:space="40"/>
            <w:col w:w="3111"/>
          </w:cols>
        </w:sectPr>
      </w:pPr>
    </w:p>
    <w:p>
      <w:pPr>
        <w:tabs>
          <w:tab w:pos="9311" w:val="left" w:leader="none"/>
          <w:tab w:pos="10610" w:val="left" w:leader="none"/>
        </w:tabs>
        <w:spacing w:line="206" w:lineRule="exact" w:before="0"/>
        <w:ind w:left="1429" w:right="0" w:firstLine="0"/>
        <w:jc w:val="left"/>
        <w:rPr>
          <w:sz w:val="18"/>
        </w:rPr>
      </w:pPr>
      <w:bookmarkStart w:name="(a) Nature and purpose of reserves" w:id="482"/>
      <w:bookmarkEnd w:id="482"/>
      <w:r>
        <w:rPr/>
      </w:r>
      <w:r>
        <w:rPr>
          <w:sz w:val="18"/>
        </w:rPr>
        <w:t>Balance</w:t>
      </w:r>
      <w:r>
        <w:rPr>
          <w:spacing w:val="-4"/>
          <w:sz w:val="18"/>
        </w:rPr>
        <w:t> </w:t>
      </w:r>
      <w:r>
        <w:rPr>
          <w:sz w:val="18"/>
        </w:rPr>
        <w:t>1</w:t>
      </w:r>
      <w:r>
        <w:rPr>
          <w:spacing w:val="-4"/>
          <w:sz w:val="18"/>
        </w:rPr>
        <w:t> </w:t>
      </w:r>
      <w:r>
        <w:rPr>
          <w:sz w:val="18"/>
        </w:rPr>
        <w:t>January</w:t>
        <w:tab/>
      </w:r>
      <w:r>
        <w:rPr>
          <w:b/>
          <w:sz w:val="18"/>
        </w:rPr>
        <w:t>175,207</w:t>
        <w:tab/>
      </w:r>
      <w:r>
        <w:rPr>
          <w:sz w:val="18"/>
        </w:rPr>
        <w:t>175,207</w:t>
      </w:r>
    </w:p>
    <w:p>
      <w:pPr>
        <w:tabs>
          <w:tab w:pos="8751" w:val="left" w:leader="none"/>
          <w:tab w:pos="9411" w:val="left" w:leader="none"/>
          <w:tab w:pos="11198" w:val="left" w:leader="none"/>
        </w:tabs>
        <w:spacing w:line="207" w:lineRule="exact" w:before="0"/>
        <w:ind w:left="1429" w:right="0" w:firstLine="0"/>
        <w:jc w:val="left"/>
        <w:rPr>
          <w:sz w:val="18"/>
        </w:rPr>
      </w:pPr>
      <w:r>
        <w:rPr>
          <w:sz w:val="18"/>
        </w:rPr>
        <w:t>Revaluation</w:t>
      </w:r>
      <w:r>
        <w:rPr>
          <w:spacing w:val="-5"/>
          <w:sz w:val="18"/>
        </w:rPr>
        <w:t> </w:t>
      </w:r>
      <w:r>
        <w:rPr>
          <w:sz w:val="18"/>
        </w:rPr>
        <w:t>-</w:t>
      </w:r>
      <w:r>
        <w:rPr>
          <w:spacing w:val="-5"/>
          <w:sz w:val="18"/>
        </w:rPr>
        <w:t> </w:t>
      </w:r>
      <w:r>
        <w:rPr>
          <w:sz w:val="18"/>
        </w:rPr>
        <w:t>gross</w:t>
        <w:tab/>
      </w:r>
      <w:r>
        <w:rPr>
          <w:rFonts w:ascii="Times New Roman"/>
          <w:sz w:val="18"/>
          <w:u w:val="single"/>
        </w:rPr>
        <w:t> </w:t>
        <w:tab/>
      </w:r>
      <w:r>
        <w:rPr>
          <w:b/>
          <w:sz w:val="18"/>
          <w:u w:val="single"/>
        </w:rPr>
        <w:t>20,040</w:t>
        <w:tab/>
      </w:r>
      <w:r>
        <w:rPr>
          <w:sz w:val="18"/>
          <w:u w:val="single"/>
        </w:rPr>
        <w:t>-</w:t>
      </w:r>
    </w:p>
    <w:p>
      <w:pPr>
        <w:tabs>
          <w:tab w:pos="8751" w:val="left" w:leader="none"/>
          <w:tab w:pos="9311" w:val="left" w:leader="none"/>
          <w:tab w:pos="10610" w:val="left" w:leader="none"/>
        </w:tabs>
        <w:spacing w:before="9"/>
        <w:ind w:left="1429" w:right="0" w:firstLine="0"/>
        <w:jc w:val="left"/>
        <w:rPr>
          <w:sz w:val="18"/>
        </w:rPr>
      </w:pPr>
      <w:r>
        <w:rPr>
          <w:sz w:val="18"/>
        </w:rPr>
        <w:t>Balance</w:t>
      </w:r>
      <w:r>
        <w:rPr>
          <w:spacing w:val="-5"/>
          <w:sz w:val="18"/>
        </w:rPr>
        <w:t> </w:t>
      </w:r>
      <w:r>
        <w:rPr>
          <w:sz w:val="18"/>
        </w:rPr>
        <w:t>31</w:t>
      </w:r>
      <w:r>
        <w:rPr>
          <w:spacing w:val="-5"/>
          <w:sz w:val="18"/>
        </w:rPr>
        <w:t> </w:t>
      </w:r>
      <w:r>
        <w:rPr>
          <w:sz w:val="18"/>
        </w:rPr>
        <w:t>December</w:t>
        <w:tab/>
      </w:r>
      <w:r>
        <w:rPr>
          <w:rFonts w:ascii="Times New Roman"/>
          <w:sz w:val="18"/>
          <w:u w:val="thick"/>
        </w:rPr>
        <w:t> </w:t>
        <w:tab/>
      </w:r>
      <w:r>
        <w:rPr>
          <w:b/>
          <w:sz w:val="18"/>
          <w:u w:val="thick"/>
        </w:rPr>
        <w:t>195,247</w:t>
        <w:tab/>
      </w:r>
      <w:r>
        <w:rPr>
          <w:sz w:val="18"/>
          <w:u w:val="thick"/>
        </w:rPr>
        <w:t>175,207</w:t>
      </w:r>
    </w:p>
    <w:p>
      <w:pPr>
        <w:pStyle w:val="BodyText"/>
        <w:spacing w:before="4"/>
        <w:rPr>
          <w:sz w:val="22"/>
        </w:rPr>
      </w:pPr>
    </w:p>
    <w:p>
      <w:pPr>
        <w:pStyle w:val="Heading8"/>
        <w:tabs>
          <w:tab w:pos="2391" w:val="left" w:leader="none"/>
        </w:tabs>
        <w:spacing w:before="77"/>
        <w:ind w:left="1825"/>
      </w:pPr>
      <w:r>
        <w:rPr/>
        <w:t>(a)</w:t>
        <w:tab/>
        <w:t>Nature and purpose of</w:t>
      </w:r>
      <w:r>
        <w:rPr>
          <w:spacing w:val="-8"/>
        </w:rPr>
        <w:t> </w:t>
      </w:r>
      <w:r>
        <w:rPr/>
        <w:t>reserves</w:t>
      </w:r>
    </w:p>
    <w:p>
      <w:pPr>
        <w:pStyle w:val="BodyText"/>
        <w:spacing w:before="4"/>
        <w:rPr>
          <w:b/>
          <w:sz w:val="25"/>
        </w:rPr>
      </w:pPr>
    </w:p>
    <w:p>
      <w:pPr>
        <w:pStyle w:val="BodyText"/>
        <w:ind w:left="1824"/>
      </w:pPr>
      <w:r>
        <w:rPr/>
        <w:t>(i) Revaluation surplus - property, plant and equipment</w:t>
      </w:r>
    </w:p>
    <w:p>
      <w:pPr>
        <w:pStyle w:val="BodyText"/>
        <w:spacing w:before="11"/>
        <w:rPr>
          <w:sz w:val="24"/>
        </w:rPr>
      </w:pPr>
    </w:p>
    <w:p>
      <w:pPr>
        <w:pStyle w:val="BodyText"/>
        <w:ind w:left="1824" w:right="1375"/>
      </w:pPr>
      <w:r>
        <w:rPr/>
        <w:t>The property, plant and equipment revaluation reserve is used to record increments and decrements on the revaluation of non-current assets, as described in note 1(h).</w:t>
      </w:r>
    </w:p>
    <w:p>
      <w:pPr>
        <w:spacing w:after="0"/>
        <w:sectPr>
          <w:type w:val="continuous"/>
          <w:pgSz w:w="12750" w:h="17680"/>
          <w:pgMar w:top="1660" w:bottom="0" w:left="0" w:right="0"/>
        </w:sectPr>
      </w:pPr>
    </w:p>
    <w:p>
      <w:pPr>
        <w:pStyle w:val="BodyText"/>
        <w:spacing w:before="2"/>
        <w:rPr>
          <w:sz w:val="24"/>
        </w:rPr>
      </w:pPr>
    </w:p>
    <w:tbl>
      <w:tblPr>
        <w:tblW w:w="0" w:type="auto"/>
        <w:jc w:val="left"/>
        <w:tblInd w:w="139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097"/>
        <w:gridCol w:w="2721"/>
        <w:gridCol w:w="1083"/>
      </w:tblGrid>
      <w:tr>
        <w:trPr>
          <w:trHeight w:val="1038" w:hRule="exact"/>
        </w:trPr>
        <w:tc>
          <w:tcPr>
            <w:tcW w:w="6097" w:type="dxa"/>
          </w:tcPr>
          <w:p>
            <w:pPr>
              <w:pStyle w:val="TableParagraph"/>
              <w:spacing w:before="64"/>
              <w:ind w:left="35"/>
              <w:jc w:val="left"/>
              <w:rPr>
                <w:b/>
                <w:sz w:val="28"/>
              </w:rPr>
            </w:pPr>
            <w:r>
              <w:rPr>
                <w:b/>
                <w:sz w:val="28"/>
              </w:rPr>
              <w:t>Notes to the financial statements</w:t>
            </w:r>
          </w:p>
          <w:p>
            <w:pPr>
              <w:pStyle w:val="TableParagraph"/>
              <w:spacing w:before="57"/>
              <w:ind w:left="35"/>
              <w:jc w:val="left"/>
              <w:rPr>
                <w:b/>
                <w:sz w:val="22"/>
              </w:rPr>
            </w:pPr>
            <w:bookmarkStart w:name="Retained surplus" w:id="483"/>
            <w:bookmarkEnd w:id="483"/>
            <w:r>
              <w:rPr/>
            </w:r>
            <w:r>
              <w:rPr>
                <w:b/>
                <w:sz w:val="22"/>
              </w:rPr>
              <w:t>For the Year Ended 31 December 2016</w:t>
            </w:r>
          </w:p>
        </w:tc>
        <w:tc>
          <w:tcPr>
            <w:tcW w:w="3804" w:type="dxa"/>
            <w:gridSpan w:val="2"/>
            <w:vMerge w:val="restart"/>
          </w:tcPr>
          <w:p>
            <w:pPr/>
          </w:p>
        </w:tc>
      </w:tr>
      <w:tr>
        <w:trPr>
          <w:trHeight w:val="684" w:hRule="exact"/>
        </w:trPr>
        <w:tc>
          <w:tcPr>
            <w:tcW w:w="6097" w:type="dxa"/>
          </w:tcPr>
          <w:p>
            <w:pPr>
              <w:pStyle w:val="TableParagraph"/>
              <w:jc w:val="left"/>
              <w:rPr>
                <w:sz w:val="18"/>
              </w:rPr>
            </w:pPr>
          </w:p>
          <w:p>
            <w:pPr>
              <w:pStyle w:val="TableParagraph"/>
              <w:spacing w:before="117"/>
              <w:ind w:left="36"/>
              <w:jc w:val="left"/>
              <w:rPr>
                <w:b/>
                <w:sz w:val="18"/>
              </w:rPr>
            </w:pPr>
            <w:r>
              <w:rPr>
                <w:b/>
                <w:sz w:val="18"/>
              </w:rPr>
              <w:t>10    Retained surplus</w:t>
            </w:r>
          </w:p>
        </w:tc>
        <w:tc>
          <w:tcPr>
            <w:tcW w:w="3804" w:type="dxa"/>
            <w:gridSpan w:val="2"/>
            <w:vMerge/>
          </w:tcPr>
          <w:p>
            <w:pPr/>
          </w:p>
        </w:tc>
      </w:tr>
      <w:tr>
        <w:trPr>
          <w:trHeight w:val="557" w:hRule="exact"/>
        </w:trPr>
        <w:tc>
          <w:tcPr>
            <w:tcW w:w="6097" w:type="dxa"/>
          </w:tcPr>
          <w:p>
            <w:pPr>
              <w:pStyle w:val="TableParagraph"/>
              <w:spacing w:before="134"/>
              <w:ind w:left="35"/>
              <w:jc w:val="left"/>
              <w:rPr>
                <w:sz w:val="18"/>
              </w:rPr>
            </w:pPr>
            <w:r>
              <w:rPr>
                <w:sz w:val="18"/>
              </w:rPr>
              <w:t>Movements in retained surplus were as follows:</w:t>
            </w:r>
          </w:p>
        </w:tc>
        <w:tc>
          <w:tcPr>
            <w:tcW w:w="2721" w:type="dxa"/>
          </w:tcPr>
          <w:p>
            <w:pPr>
              <w:pStyle w:val="TableParagraph"/>
              <w:jc w:val="left"/>
              <w:rPr>
                <w:sz w:val="18"/>
              </w:rPr>
            </w:pPr>
          </w:p>
          <w:p>
            <w:pPr>
              <w:pStyle w:val="TableParagraph"/>
              <w:spacing w:before="133"/>
              <w:ind w:left="1710"/>
              <w:jc w:val="left"/>
              <w:rPr>
                <w:b/>
                <w:sz w:val="18"/>
              </w:rPr>
            </w:pPr>
            <w:r>
              <w:rPr>
                <w:b/>
                <w:sz w:val="18"/>
              </w:rPr>
              <w:t>2016</w:t>
            </w:r>
          </w:p>
        </w:tc>
        <w:tc>
          <w:tcPr>
            <w:tcW w:w="1083" w:type="dxa"/>
          </w:tcPr>
          <w:p>
            <w:pPr>
              <w:pStyle w:val="TableParagraph"/>
              <w:jc w:val="left"/>
              <w:rPr>
                <w:sz w:val="18"/>
              </w:rPr>
            </w:pPr>
          </w:p>
          <w:p>
            <w:pPr>
              <w:pStyle w:val="TableParagraph"/>
              <w:spacing w:before="133"/>
              <w:ind w:left="274"/>
              <w:jc w:val="left"/>
              <w:rPr>
                <w:b/>
                <w:sz w:val="18"/>
              </w:rPr>
            </w:pPr>
            <w:r>
              <w:rPr>
                <w:b/>
                <w:sz w:val="18"/>
              </w:rPr>
              <w:t>2015</w:t>
            </w:r>
          </w:p>
        </w:tc>
      </w:tr>
      <w:tr>
        <w:trPr>
          <w:trHeight w:val="413" w:hRule="exact"/>
        </w:trPr>
        <w:tc>
          <w:tcPr>
            <w:tcW w:w="6097" w:type="dxa"/>
          </w:tcPr>
          <w:p>
            <w:pPr>
              <w:pStyle w:val="TableParagraph"/>
              <w:spacing w:before="1"/>
              <w:jc w:val="left"/>
              <w:rPr>
                <w:sz w:val="17"/>
              </w:rPr>
            </w:pPr>
          </w:p>
          <w:p>
            <w:pPr>
              <w:pStyle w:val="TableParagraph"/>
              <w:ind w:left="35"/>
              <w:jc w:val="left"/>
              <w:rPr>
                <w:sz w:val="18"/>
              </w:rPr>
            </w:pPr>
            <w:r>
              <w:rPr>
                <w:sz w:val="18"/>
              </w:rPr>
              <w:t>Balance as at 1 January</w:t>
            </w:r>
          </w:p>
        </w:tc>
        <w:tc>
          <w:tcPr>
            <w:tcW w:w="2721" w:type="dxa"/>
          </w:tcPr>
          <w:p>
            <w:pPr>
              <w:pStyle w:val="TableParagraph"/>
              <w:ind w:left="1672" w:firstLine="188"/>
              <w:jc w:val="left"/>
              <w:rPr>
                <w:b/>
                <w:sz w:val="18"/>
              </w:rPr>
            </w:pPr>
            <w:r>
              <w:rPr>
                <w:b/>
                <w:sz w:val="18"/>
              </w:rPr>
              <w:t>$ 1,074,995</w:t>
            </w:r>
          </w:p>
        </w:tc>
        <w:tc>
          <w:tcPr>
            <w:tcW w:w="1083" w:type="dxa"/>
          </w:tcPr>
          <w:p>
            <w:pPr>
              <w:pStyle w:val="TableParagraph"/>
              <w:spacing w:line="197" w:lineRule="exact"/>
              <w:ind w:right="132"/>
              <w:jc w:val="center"/>
              <w:rPr>
                <w:b/>
                <w:sz w:val="18"/>
              </w:rPr>
            </w:pPr>
            <w:r>
              <w:rPr>
                <w:b/>
                <w:w w:val="99"/>
                <w:sz w:val="18"/>
              </w:rPr>
              <w:t>$</w:t>
            </w:r>
          </w:p>
          <w:p>
            <w:pPr>
              <w:pStyle w:val="TableParagraph"/>
              <w:spacing w:line="207" w:lineRule="exact"/>
              <w:ind w:left="250"/>
              <w:jc w:val="left"/>
              <w:rPr>
                <w:sz w:val="18"/>
              </w:rPr>
            </w:pPr>
            <w:r>
              <w:rPr>
                <w:sz w:val="18"/>
              </w:rPr>
              <w:t>1,039,520</w:t>
            </w:r>
          </w:p>
        </w:tc>
      </w:tr>
      <w:tr>
        <w:trPr>
          <w:trHeight w:val="193" w:hRule="exact"/>
        </w:trPr>
        <w:tc>
          <w:tcPr>
            <w:tcW w:w="6097" w:type="dxa"/>
          </w:tcPr>
          <w:p>
            <w:pPr>
              <w:pStyle w:val="TableParagraph"/>
              <w:spacing w:line="197" w:lineRule="exact"/>
              <w:ind w:left="35"/>
              <w:jc w:val="left"/>
              <w:rPr>
                <w:sz w:val="18"/>
              </w:rPr>
            </w:pPr>
            <w:bookmarkStart w:name="11 Commitments" w:id="484"/>
            <w:bookmarkEnd w:id="484"/>
            <w:r>
              <w:rPr/>
            </w:r>
            <w:r>
              <w:rPr>
                <w:sz w:val="18"/>
              </w:rPr>
              <w:t>Surplus for the year</w:t>
            </w:r>
          </w:p>
        </w:tc>
        <w:tc>
          <w:tcPr>
            <w:tcW w:w="2721" w:type="dxa"/>
          </w:tcPr>
          <w:p>
            <w:pPr>
              <w:pStyle w:val="TableParagraph"/>
              <w:spacing w:line="197" w:lineRule="exact"/>
              <w:ind w:right="248"/>
              <w:rPr>
                <w:b/>
                <w:sz w:val="18"/>
              </w:rPr>
            </w:pPr>
            <w:r>
              <w:rPr>
                <w:b/>
                <w:w w:val="95"/>
                <w:sz w:val="18"/>
              </w:rPr>
              <w:t>139,121</w:t>
            </w:r>
          </w:p>
        </w:tc>
        <w:tc>
          <w:tcPr>
            <w:tcW w:w="1083" w:type="dxa"/>
          </w:tcPr>
          <w:p>
            <w:pPr>
              <w:pStyle w:val="TableParagraph"/>
              <w:spacing w:line="197" w:lineRule="exact"/>
              <w:ind w:left="499"/>
              <w:jc w:val="left"/>
              <w:rPr>
                <w:sz w:val="18"/>
              </w:rPr>
            </w:pPr>
            <w:r>
              <w:rPr>
                <w:sz w:val="18"/>
              </w:rPr>
              <w:t>35,475</w:t>
            </w:r>
          </w:p>
        </w:tc>
      </w:tr>
    </w:tbl>
    <w:p>
      <w:pPr>
        <w:pStyle w:val="BodyText"/>
        <w:tabs>
          <w:tab w:pos="8751" w:val="left" w:leader="none"/>
          <w:tab w:pos="9899" w:val="left" w:leader="none"/>
          <w:tab w:pos="11198" w:val="left" w:leader="none"/>
        </w:tabs>
        <w:spacing w:before="3"/>
        <w:ind w:left="1428"/>
      </w:pPr>
      <w:r>
        <w:rPr/>
        <w:t>Trust distributions for</w:t>
      </w:r>
      <w:r>
        <w:rPr>
          <w:spacing w:val="-15"/>
        </w:rPr>
        <w:t> </w:t>
      </w:r>
      <w:r>
        <w:rPr/>
        <w:t>the</w:t>
      </w:r>
      <w:r>
        <w:rPr>
          <w:spacing w:val="-5"/>
        </w:rPr>
        <w:t> </w:t>
      </w:r>
      <w:r>
        <w:rPr/>
        <w:t>year</w:t>
        <w:tab/>
      </w:r>
      <w:r>
        <w:rPr>
          <w:rFonts w:ascii="Times New Roman"/>
          <w:u w:val="single"/>
        </w:rPr>
        <w:t> </w:t>
        <w:tab/>
      </w:r>
      <w:r>
        <w:rPr>
          <w:b/>
          <w:u w:val="single"/>
        </w:rPr>
        <w:t>-</w:t>
        <w:tab/>
      </w:r>
      <w:r>
        <w:rPr>
          <w:u w:val="single"/>
        </w:rPr>
        <w:t>-</w:t>
      </w:r>
    </w:p>
    <w:p>
      <w:pPr>
        <w:tabs>
          <w:tab w:pos="8751" w:val="left" w:leader="none"/>
          <w:tab w:pos="9161" w:val="left" w:leader="none"/>
          <w:tab w:pos="10460" w:val="left" w:leader="none"/>
        </w:tabs>
        <w:spacing w:before="9"/>
        <w:ind w:left="1428" w:right="0" w:firstLine="0"/>
        <w:jc w:val="left"/>
        <w:rPr>
          <w:sz w:val="18"/>
        </w:rPr>
      </w:pPr>
      <w:r>
        <w:rPr>
          <w:sz w:val="18"/>
        </w:rPr>
        <w:t>Balance as at</w:t>
      </w:r>
      <w:r>
        <w:rPr>
          <w:spacing w:val="-11"/>
          <w:sz w:val="18"/>
        </w:rPr>
        <w:t> </w:t>
      </w:r>
      <w:r>
        <w:rPr>
          <w:sz w:val="18"/>
        </w:rPr>
        <w:t>31</w:t>
      </w:r>
      <w:r>
        <w:rPr>
          <w:spacing w:val="-4"/>
          <w:sz w:val="18"/>
        </w:rPr>
        <w:t> </w:t>
      </w:r>
      <w:r>
        <w:rPr>
          <w:sz w:val="18"/>
        </w:rPr>
        <w:t>December</w:t>
        <w:tab/>
      </w:r>
      <w:r>
        <w:rPr>
          <w:rFonts w:ascii="Times New Roman"/>
          <w:sz w:val="18"/>
          <w:u w:val="thick"/>
        </w:rPr>
        <w:t> </w:t>
        <w:tab/>
      </w:r>
      <w:r>
        <w:rPr>
          <w:b/>
          <w:sz w:val="18"/>
          <w:u w:val="thick"/>
        </w:rPr>
        <w:t>1,214,116</w:t>
        <w:tab/>
      </w:r>
      <w:r>
        <w:rPr>
          <w:sz w:val="18"/>
          <w:u w:val="thick"/>
        </w:rPr>
        <w:t>1,074,995</w:t>
      </w:r>
    </w:p>
    <w:p>
      <w:pPr>
        <w:pStyle w:val="BodyText"/>
        <w:spacing w:before="8"/>
        <w:rPr>
          <w:sz w:val="20"/>
        </w:rPr>
      </w:pPr>
    </w:p>
    <w:p>
      <w:pPr>
        <w:pStyle w:val="Heading8"/>
        <w:numPr>
          <w:ilvl w:val="0"/>
          <w:numId w:val="93"/>
        </w:numPr>
        <w:tabs>
          <w:tab w:pos="1826" w:val="left" w:leader="none"/>
        </w:tabs>
        <w:spacing w:line="240" w:lineRule="auto" w:before="77" w:after="0"/>
        <w:ind w:left="1825" w:right="0" w:hanging="396"/>
        <w:jc w:val="left"/>
      </w:pPr>
      <w:bookmarkStart w:name="12 Contingencies" w:id="485"/>
      <w:bookmarkEnd w:id="485"/>
      <w:r>
        <w:rPr>
          <w:b w:val="0"/>
        </w:rPr>
      </w:r>
      <w:bookmarkStart w:name="12 Contingencies" w:id="486"/>
      <w:bookmarkEnd w:id="486"/>
      <w:r>
        <w:rPr/>
        <w:t>Commitments</w:t>
      </w:r>
    </w:p>
    <w:p>
      <w:pPr>
        <w:pStyle w:val="BodyText"/>
        <w:spacing w:before="11"/>
        <w:rPr>
          <w:b/>
          <w:sz w:val="24"/>
        </w:rPr>
      </w:pPr>
    </w:p>
    <w:p>
      <w:pPr>
        <w:pStyle w:val="BodyText"/>
        <w:ind w:left="1428"/>
      </w:pPr>
      <w:r>
        <w:rPr/>
        <w:t>The Trust had no commitments at 31 December 2016 (31 December 2015: nil).</w:t>
      </w:r>
    </w:p>
    <w:p>
      <w:pPr>
        <w:pStyle w:val="BodyText"/>
        <w:spacing w:before="11"/>
        <w:rPr>
          <w:sz w:val="24"/>
        </w:rPr>
      </w:pPr>
    </w:p>
    <w:p>
      <w:pPr>
        <w:pStyle w:val="Heading8"/>
        <w:numPr>
          <w:ilvl w:val="0"/>
          <w:numId w:val="93"/>
        </w:numPr>
        <w:tabs>
          <w:tab w:pos="1826" w:val="left" w:leader="none"/>
        </w:tabs>
        <w:spacing w:line="240" w:lineRule="auto" w:before="0" w:after="0"/>
        <w:ind w:left="1825" w:right="0" w:hanging="396"/>
        <w:jc w:val="left"/>
      </w:pPr>
      <w:bookmarkStart w:name="13 Key Management Personnel Disclosures" w:id="487"/>
      <w:bookmarkEnd w:id="487"/>
      <w:r>
        <w:rPr>
          <w:b w:val="0"/>
        </w:rPr>
      </w:r>
      <w:bookmarkStart w:name="13 Key Management Personnel Disclosures" w:id="488"/>
      <w:bookmarkEnd w:id="488"/>
      <w:r>
        <w:rPr/>
        <w:t>Contingencies</w:t>
      </w:r>
    </w:p>
    <w:p>
      <w:pPr>
        <w:pStyle w:val="BodyText"/>
        <w:spacing w:before="11"/>
        <w:rPr>
          <w:b/>
          <w:sz w:val="24"/>
        </w:rPr>
      </w:pPr>
    </w:p>
    <w:p>
      <w:pPr>
        <w:pStyle w:val="BodyText"/>
        <w:ind w:left="1428"/>
      </w:pPr>
      <w:r>
        <w:rPr/>
        <w:t>The Trust did not have any contingencies at 31 December 2016 (31 December 2015: nil).</w:t>
      </w:r>
    </w:p>
    <w:p>
      <w:pPr>
        <w:pStyle w:val="BodyText"/>
        <w:spacing w:before="11"/>
        <w:rPr>
          <w:sz w:val="24"/>
        </w:rPr>
      </w:pPr>
    </w:p>
    <w:p>
      <w:pPr>
        <w:pStyle w:val="Heading8"/>
        <w:numPr>
          <w:ilvl w:val="0"/>
          <w:numId w:val="93"/>
        </w:numPr>
        <w:tabs>
          <w:tab w:pos="1826" w:val="left" w:leader="none"/>
        </w:tabs>
        <w:spacing w:line="240" w:lineRule="auto" w:before="0" w:after="0"/>
        <w:ind w:left="1825" w:right="0" w:hanging="396"/>
        <w:jc w:val="left"/>
      </w:pPr>
      <w:r>
        <w:rPr/>
        <w:t>Key Management Personnel</w:t>
      </w:r>
      <w:r>
        <w:rPr>
          <w:spacing w:val="-33"/>
        </w:rPr>
        <w:t> </w:t>
      </w:r>
      <w:r>
        <w:rPr/>
        <w:t>Disclosures</w:t>
      </w:r>
    </w:p>
    <w:p>
      <w:pPr>
        <w:pStyle w:val="BodyText"/>
        <w:spacing w:before="11"/>
        <w:rPr>
          <w:b/>
          <w:sz w:val="24"/>
        </w:rPr>
      </w:pPr>
    </w:p>
    <w:p>
      <w:pPr>
        <w:pStyle w:val="BodyText"/>
        <w:ind w:left="1428" w:right="1375"/>
      </w:pPr>
      <w:r>
        <w:rPr/>
        <w:drawing>
          <wp:anchor distT="0" distB="0" distL="0" distR="0" allowOverlap="1" layoutInCell="1" locked="0" behindDoc="0" simplePos="0" relativeHeight="16144">
            <wp:simplePos x="0" y="0"/>
            <wp:positionH relativeFrom="page">
              <wp:posOffset>-1587</wp:posOffset>
            </wp:positionH>
            <wp:positionV relativeFrom="paragraph">
              <wp:posOffset>281100</wp:posOffset>
            </wp:positionV>
            <wp:extent cx="135159" cy="154019"/>
            <wp:effectExtent l="0" t="0" r="0" b="0"/>
            <wp:wrapNone/>
            <wp:docPr id="1105" name="image13.png" descr=""/>
            <wp:cNvGraphicFramePr>
              <a:graphicFrameLocks noChangeAspect="1"/>
            </wp:cNvGraphicFramePr>
            <a:graphic>
              <a:graphicData uri="http://schemas.openxmlformats.org/drawingml/2006/picture">
                <pic:pic>
                  <pic:nvPicPr>
                    <pic:cNvPr id="1106" name="image13.png"/>
                    <pic:cNvPicPr/>
                  </pic:nvPicPr>
                  <pic:blipFill>
                    <a:blip r:embed="rId18" cstate="print"/>
                    <a:stretch>
                      <a:fillRect/>
                    </a:stretch>
                  </pic:blipFill>
                  <pic:spPr>
                    <a:xfrm>
                      <a:off x="0" y="0"/>
                      <a:ext cx="135159" cy="154019"/>
                    </a:xfrm>
                    <a:prstGeom prst="rect">
                      <a:avLst/>
                    </a:prstGeom>
                  </pic:spPr>
                </pic:pic>
              </a:graphicData>
            </a:graphic>
          </wp:anchor>
        </w:drawing>
      </w:r>
      <w:r>
        <w:rPr/>
        <w:drawing>
          <wp:anchor distT="0" distB="0" distL="0" distR="0" allowOverlap="1" layoutInCell="1" locked="0" behindDoc="0" simplePos="0" relativeHeight="16168">
            <wp:simplePos x="0" y="0"/>
            <wp:positionH relativeFrom="page">
              <wp:posOffset>7958429</wp:posOffset>
            </wp:positionH>
            <wp:positionV relativeFrom="paragraph">
              <wp:posOffset>281100</wp:posOffset>
            </wp:positionV>
            <wp:extent cx="135953" cy="155575"/>
            <wp:effectExtent l="0" t="0" r="0" b="0"/>
            <wp:wrapNone/>
            <wp:docPr id="1107" name="image15.png" descr=""/>
            <wp:cNvGraphicFramePr>
              <a:graphicFrameLocks noChangeAspect="1"/>
            </wp:cNvGraphicFramePr>
            <a:graphic>
              <a:graphicData uri="http://schemas.openxmlformats.org/drawingml/2006/picture">
                <pic:pic>
                  <pic:nvPicPr>
                    <pic:cNvPr id="1108" name="image15.png"/>
                    <pic:cNvPicPr/>
                  </pic:nvPicPr>
                  <pic:blipFill>
                    <a:blip r:embed="rId20" cstate="print"/>
                    <a:stretch>
                      <a:fillRect/>
                    </a:stretch>
                  </pic:blipFill>
                  <pic:spPr>
                    <a:xfrm>
                      <a:off x="0" y="0"/>
                      <a:ext cx="135953" cy="155575"/>
                    </a:xfrm>
                    <a:prstGeom prst="rect">
                      <a:avLst/>
                    </a:prstGeom>
                  </pic:spPr>
                </pic:pic>
              </a:graphicData>
            </a:graphic>
          </wp:anchor>
        </w:drawing>
      </w:r>
      <w:bookmarkStart w:name="14 Related party transactions" w:id="489"/>
      <w:bookmarkEnd w:id="489"/>
      <w:r>
        <w:rPr/>
      </w:r>
      <w:r>
        <w:rPr/>
        <w:t>No remuneration has been paid to the key management personnel of Whitlam Institute Within Western Sydney University </w:t>
      </w:r>
      <w:bookmarkStart w:name="(a) Parent entity" w:id="490"/>
      <w:bookmarkEnd w:id="490"/>
      <w:r>
        <w:rPr/>
      </w:r>
      <w:r>
        <w:rPr/>
        <w:t>Trust during the year (2015: nil).</w:t>
      </w:r>
    </w:p>
    <w:p>
      <w:pPr>
        <w:pStyle w:val="BodyText"/>
        <w:spacing w:before="11"/>
        <w:rPr>
          <w:sz w:val="24"/>
        </w:rPr>
      </w:pPr>
    </w:p>
    <w:p>
      <w:pPr>
        <w:pStyle w:val="Heading8"/>
        <w:numPr>
          <w:ilvl w:val="0"/>
          <w:numId w:val="93"/>
        </w:numPr>
        <w:tabs>
          <w:tab w:pos="1826" w:val="left" w:leader="none"/>
        </w:tabs>
        <w:spacing w:line="240" w:lineRule="auto" w:before="0" w:after="0"/>
        <w:ind w:left="1825" w:right="0" w:hanging="396"/>
        <w:jc w:val="left"/>
      </w:pPr>
      <w:r>
        <w:rPr/>
        <w:t>Related party</w:t>
      </w:r>
      <w:r>
        <w:rPr>
          <w:spacing w:val="-24"/>
        </w:rPr>
        <w:t> </w:t>
      </w:r>
      <w:r>
        <w:rPr/>
        <w:t>transactions</w:t>
      </w:r>
    </w:p>
    <w:p>
      <w:pPr>
        <w:pStyle w:val="BodyText"/>
        <w:spacing w:before="7"/>
        <w:rPr>
          <w:b/>
          <w:sz w:val="26"/>
        </w:rPr>
      </w:pPr>
    </w:p>
    <w:p>
      <w:pPr>
        <w:pStyle w:val="ListParagraph"/>
        <w:numPr>
          <w:ilvl w:val="1"/>
          <w:numId w:val="93"/>
        </w:numPr>
        <w:tabs>
          <w:tab w:pos="2392" w:val="left" w:leader="none"/>
        </w:tabs>
        <w:spacing w:line="240" w:lineRule="auto" w:before="0" w:after="0"/>
        <w:ind w:left="2391" w:right="0" w:hanging="566"/>
        <w:jc w:val="left"/>
        <w:rPr>
          <w:b/>
          <w:sz w:val="18"/>
        </w:rPr>
      </w:pPr>
      <w:bookmarkStart w:name="(b) Transactions with related parties" w:id="491"/>
      <w:bookmarkEnd w:id="491"/>
      <w:r>
        <w:rPr/>
      </w:r>
      <w:bookmarkStart w:name="(b) Transactions with related parties" w:id="492"/>
      <w:bookmarkEnd w:id="492"/>
      <w:r>
        <w:rPr>
          <w:b/>
          <w:sz w:val="18"/>
        </w:rPr>
        <w:t>Parent</w:t>
      </w:r>
      <w:r>
        <w:rPr>
          <w:b/>
          <w:sz w:val="18"/>
        </w:rPr>
        <w:t> entity</w:t>
      </w:r>
    </w:p>
    <w:p>
      <w:pPr>
        <w:pStyle w:val="BodyText"/>
        <w:spacing w:before="4"/>
        <w:rPr>
          <w:b/>
          <w:sz w:val="25"/>
        </w:rPr>
      </w:pPr>
    </w:p>
    <w:p>
      <w:pPr>
        <w:pStyle w:val="BodyText"/>
        <w:ind w:left="1428"/>
      </w:pPr>
      <w:r>
        <w:rPr/>
        <w:t>The ultimate parent entity of the Trust is Western Sydney University.</w:t>
      </w:r>
    </w:p>
    <w:p>
      <w:pPr>
        <w:pStyle w:val="BodyText"/>
        <w:spacing w:before="11"/>
        <w:rPr>
          <w:sz w:val="19"/>
        </w:rPr>
      </w:pPr>
    </w:p>
    <w:tbl>
      <w:tblPr>
        <w:tblW w:w="0" w:type="auto"/>
        <w:jc w:val="left"/>
        <w:tblInd w:w="139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945"/>
        <w:gridCol w:w="2921"/>
        <w:gridCol w:w="1093"/>
      </w:tblGrid>
      <w:tr>
        <w:trPr>
          <w:trHeight w:val="572" w:hRule="exact"/>
        </w:trPr>
        <w:tc>
          <w:tcPr>
            <w:tcW w:w="5945" w:type="dxa"/>
          </w:tcPr>
          <w:p>
            <w:pPr>
              <w:pStyle w:val="TableParagraph"/>
              <w:tabs>
                <w:tab w:pos="998" w:val="left" w:leader="none"/>
              </w:tabs>
              <w:spacing w:before="77"/>
              <w:ind w:left="432"/>
              <w:jc w:val="left"/>
              <w:rPr>
                <w:b/>
                <w:sz w:val="18"/>
              </w:rPr>
            </w:pPr>
            <w:r>
              <w:rPr>
                <w:b/>
                <w:sz w:val="18"/>
              </w:rPr>
              <w:t>(b)</w:t>
              <w:tab/>
              <w:t>Transactions with related</w:t>
            </w:r>
            <w:r>
              <w:rPr>
                <w:b/>
                <w:spacing w:val="5"/>
                <w:sz w:val="18"/>
              </w:rPr>
              <w:t> </w:t>
            </w:r>
            <w:r>
              <w:rPr>
                <w:b/>
                <w:sz w:val="18"/>
              </w:rPr>
              <w:t>parties</w:t>
            </w:r>
          </w:p>
        </w:tc>
        <w:tc>
          <w:tcPr>
            <w:tcW w:w="2921" w:type="dxa"/>
          </w:tcPr>
          <w:p>
            <w:pPr>
              <w:pStyle w:val="TableParagraph"/>
              <w:jc w:val="left"/>
              <w:rPr>
                <w:sz w:val="18"/>
              </w:rPr>
            </w:pPr>
          </w:p>
          <w:p>
            <w:pPr>
              <w:pStyle w:val="TableParagraph"/>
              <w:spacing w:before="115"/>
              <w:ind w:left="1862"/>
              <w:jc w:val="left"/>
              <w:rPr>
                <w:b/>
                <w:sz w:val="18"/>
              </w:rPr>
            </w:pPr>
            <w:r>
              <w:rPr>
                <w:b/>
                <w:sz w:val="18"/>
              </w:rPr>
              <w:t>2016</w:t>
            </w:r>
          </w:p>
        </w:tc>
        <w:tc>
          <w:tcPr>
            <w:tcW w:w="1093" w:type="dxa"/>
          </w:tcPr>
          <w:p>
            <w:pPr>
              <w:pStyle w:val="TableParagraph"/>
              <w:jc w:val="left"/>
              <w:rPr>
                <w:sz w:val="18"/>
              </w:rPr>
            </w:pPr>
          </w:p>
          <w:p>
            <w:pPr>
              <w:pStyle w:val="TableParagraph"/>
              <w:spacing w:before="115"/>
              <w:ind w:left="238"/>
              <w:jc w:val="left"/>
              <w:rPr>
                <w:b/>
                <w:sz w:val="18"/>
              </w:rPr>
            </w:pPr>
            <w:r>
              <w:rPr>
                <w:b/>
                <w:sz w:val="18"/>
              </w:rPr>
              <w:t>2015</w:t>
            </w:r>
          </w:p>
        </w:tc>
      </w:tr>
      <w:tr>
        <w:trPr>
          <w:trHeight w:val="271" w:hRule="exact"/>
        </w:trPr>
        <w:tc>
          <w:tcPr>
            <w:tcW w:w="5945" w:type="dxa"/>
          </w:tcPr>
          <w:p>
            <w:pPr/>
          </w:p>
        </w:tc>
        <w:tc>
          <w:tcPr>
            <w:tcW w:w="2921" w:type="dxa"/>
          </w:tcPr>
          <w:p>
            <w:pPr>
              <w:pStyle w:val="TableParagraph"/>
              <w:spacing w:before="24"/>
              <w:ind w:right="806"/>
              <w:rPr>
                <w:b/>
                <w:sz w:val="18"/>
              </w:rPr>
            </w:pPr>
            <w:bookmarkStart w:name="15 Economic dependency" w:id="493"/>
            <w:bookmarkEnd w:id="493"/>
            <w:r>
              <w:rPr/>
            </w:r>
            <w:r>
              <w:rPr>
                <w:b/>
                <w:w w:val="99"/>
                <w:sz w:val="18"/>
              </w:rPr>
              <w:t>$</w:t>
            </w:r>
          </w:p>
        </w:tc>
        <w:tc>
          <w:tcPr>
            <w:tcW w:w="1093" w:type="dxa"/>
          </w:tcPr>
          <w:p>
            <w:pPr>
              <w:pStyle w:val="TableParagraph"/>
              <w:spacing w:before="24"/>
              <w:ind w:right="213"/>
              <w:jc w:val="center"/>
              <w:rPr>
                <w:b/>
                <w:sz w:val="18"/>
              </w:rPr>
            </w:pPr>
            <w:r>
              <w:rPr>
                <w:b/>
                <w:w w:val="99"/>
                <w:sz w:val="18"/>
              </w:rPr>
              <w:t>$</w:t>
            </w:r>
          </w:p>
        </w:tc>
      </w:tr>
      <w:tr>
        <w:trPr>
          <w:trHeight w:val="267" w:hRule="exact"/>
        </w:trPr>
        <w:tc>
          <w:tcPr>
            <w:tcW w:w="5945" w:type="dxa"/>
          </w:tcPr>
          <w:p>
            <w:pPr>
              <w:pStyle w:val="TableParagraph"/>
              <w:spacing w:before="22"/>
              <w:ind w:left="35"/>
              <w:jc w:val="left"/>
              <w:rPr>
                <w:sz w:val="18"/>
              </w:rPr>
            </w:pPr>
            <w:r>
              <w:rPr>
                <w:sz w:val="18"/>
              </w:rPr>
              <w:t>Matched Donations from the Ultimate Parent Entity</w:t>
            </w:r>
          </w:p>
        </w:tc>
        <w:tc>
          <w:tcPr>
            <w:tcW w:w="2921" w:type="dxa"/>
          </w:tcPr>
          <w:p>
            <w:pPr>
              <w:pStyle w:val="TableParagraph"/>
              <w:spacing w:before="21"/>
              <w:ind w:right="236"/>
              <w:rPr>
                <w:b/>
                <w:sz w:val="18"/>
              </w:rPr>
            </w:pPr>
            <w:r>
              <w:rPr>
                <w:b/>
                <w:w w:val="95"/>
                <w:sz w:val="18"/>
              </w:rPr>
              <w:t>(10,804)</w:t>
            </w:r>
          </w:p>
        </w:tc>
        <w:tc>
          <w:tcPr>
            <w:tcW w:w="1093" w:type="dxa"/>
          </w:tcPr>
          <w:p>
            <w:pPr>
              <w:pStyle w:val="TableParagraph"/>
              <w:spacing w:before="21"/>
              <w:ind w:right="33"/>
              <w:rPr>
                <w:sz w:val="18"/>
              </w:rPr>
            </w:pPr>
            <w:r>
              <w:rPr>
                <w:w w:val="95"/>
                <w:sz w:val="18"/>
              </w:rPr>
              <w:t>(17,717)</w:t>
            </w:r>
          </w:p>
        </w:tc>
      </w:tr>
      <w:tr>
        <w:trPr>
          <w:trHeight w:val="403" w:hRule="exact"/>
        </w:trPr>
        <w:tc>
          <w:tcPr>
            <w:tcW w:w="5945" w:type="dxa"/>
          </w:tcPr>
          <w:p>
            <w:pPr>
              <w:pStyle w:val="TableParagraph"/>
              <w:spacing w:before="19"/>
              <w:ind w:left="35"/>
              <w:jc w:val="left"/>
              <w:rPr>
                <w:sz w:val="18"/>
              </w:rPr>
            </w:pPr>
            <w:r>
              <w:rPr>
                <w:sz w:val="18"/>
              </w:rPr>
              <w:t>Payments to the Ultimate Parent Entity</w:t>
            </w:r>
          </w:p>
        </w:tc>
        <w:tc>
          <w:tcPr>
            <w:tcW w:w="2921" w:type="dxa"/>
          </w:tcPr>
          <w:p>
            <w:pPr>
              <w:pStyle w:val="TableParagraph"/>
              <w:spacing w:before="18"/>
              <w:ind w:right="296"/>
              <w:rPr>
                <w:b/>
                <w:sz w:val="18"/>
              </w:rPr>
            </w:pPr>
            <w:r>
              <w:rPr>
                <w:b/>
                <w:w w:val="95"/>
                <w:sz w:val="18"/>
              </w:rPr>
              <w:t>55,870</w:t>
            </w:r>
          </w:p>
        </w:tc>
        <w:tc>
          <w:tcPr>
            <w:tcW w:w="1093" w:type="dxa"/>
          </w:tcPr>
          <w:p>
            <w:pPr>
              <w:pStyle w:val="TableParagraph"/>
              <w:spacing w:before="18"/>
              <w:ind w:right="92"/>
              <w:rPr>
                <w:sz w:val="18"/>
              </w:rPr>
            </w:pPr>
            <w:r>
              <w:rPr>
                <w:w w:val="95"/>
                <w:sz w:val="18"/>
              </w:rPr>
              <w:t>55,000</w:t>
            </w:r>
          </w:p>
        </w:tc>
      </w:tr>
      <w:tr>
        <w:trPr>
          <w:trHeight w:val="461" w:hRule="exact"/>
        </w:trPr>
        <w:tc>
          <w:tcPr>
            <w:tcW w:w="5945" w:type="dxa"/>
          </w:tcPr>
          <w:p>
            <w:pPr>
              <w:pStyle w:val="TableParagraph"/>
              <w:spacing w:before="157"/>
              <w:ind w:left="36"/>
              <w:jc w:val="left"/>
              <w:rPr>
                <w:b/>
                <w:sz w:val="18"/>
              </w:rPr>
            </w:pPr>
            <w:r>
              <w:rPr>
                <w:b/>
                <w:sz w:val="18"/>
              </w:rPr>
              <w:t>15    Economic dependency</w:t>
            </w:r>
          </w:p>
        </w:tc>
        <w:tc>
          <w:tcPr>
            <w:tcW w:w="2921" w:type="dxa"/>
          </w:tcPr>
          <w:p>
            <w:pPr/>
          </w:p>
        </w:tc>
        <w:tc>
          <w:tcPr>
            <w:tcW w:w="1093" w:type="dxa"/>
          </w:tcPr>
          <w:p>
            <w:pPr/>
          </w:p>
        </w:tc>
      </w:tr>
    </w:tbl>
    <w:p>
      <w:pPr>
        <w:pStyle w:val="BodyText"/>
        <w:spacing w:before="10"/>
        <w:rPr>
          <w:sz w:val="9"/>
        </w:rPr>
      </w:pPr>
    </w:p>
    <w:p>
      <w:pPr>
        <w:pStyle w:val="BodyText"/>
        <w:spacing w:before="78"/>
        <w:ind w:left="1428" w:right="1375"/>
      </w:pPr>
      <w:r>
        <w:rPr/>
        <w:t>The Trust is economically dependent on the Western Sydney University for the provision of office accommodation and support activities.</w:t>
      </w:r>
    </w:p>
    <w:p>
      <w:pPr>
        <w:spacing w:after="0"/>
        <w:sectPr>
          <w:pgSz w:w="12750" w:h="17680"/>
          <w:pgMar w:header="0" w:footer="907" w:top="1880" w:bottom="1120" w:left="0" w:right="0"/>
        </w:sectPr>
      </w:pPr>
    </w:p>
    <w:p>
      <w:pPr>
        <w:pStyle w:val="BodyText"/>
        <w:spacing w:before="2"/>
        <w:rPr>
          <w:sz w:val="24"/>
        </w:rPr>
      </w:pPr>
    </w:p>
    <w:tbl>
      <w:tblPr>
        <w:tblW w:w="0" w:type="auto"/>
        <w:jc w:val="left"/>
        <w:tblInd w:w="139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359"/>
        <w:gridCol w:w="1500"/>
        <w:gridCol w:w="1094"/>
      </w:tblGrid>
      <w:tr>
        <w:trPr>
          <w:trHeight w:val="1048" w:hRule="exact"/>
        </w:trPr>
        <w:tc>
          <w:tcPr>
            <w:tcW w:w="7359" w:type="dxa"/>
          </w:tcPr>
          <w:p>
            <w:pPr>
              <w:pStyle w:val="TableParagraph"/>
              <w:spacing w:before="64"/>
              <w:ind w:left="35"/>
              <w:jc w:val="left"/>
              <w:rPr>
                <w:b/>
                <w:sz w:val="28"/>
              </w:rPr>
            </w:pPr>
            <w:r>
              <w:rPr>
                <w:b/>
                <w:sz w:val="28"/>
              </w:rPr>
              <w:t>Notes to the financial statements</w:t>
            </w:r>
          </w:p>
          <w:p>
            <w:pPr>
              <w:pStyle w:val="TableParagraph"/>
              <w:spacing w:before="57"/>
              <w:ind w:left="35"/>
              <w:jc w:val="left"/>
              <w:rPr>
                <w:b/>
                <w:sz w:val="22"/>
              </w:rPr>
            </w:pPr>
            <w:bookmarkStart w:name="16 Reconciliation of surplus/(deficit) t" w:id="494"/>
            <w:bookmarkEnd w:id="494"/>
            <w:r>
              <w:rPr/>
            </w:r>
            <w:r>
              <w:rPr>
                <w:b/>
                <w:sz w:val="22"/>
              </w:rPr>
              <w:t>For the Year Ended 31 December 2016</w:t>
            </w:r>
          </w:p>
        </w:tc>
        <w:tc>
          <w:tcPr>
            <w:tcW w:w="2594" w:type="dxa"/>
            <w:gridSpan w:val="2"/>
            <w:vMerge w:val="restart"/>
          </w:tcPr>
          <w:p>
            <w:pPr/>
          </w:p>
        </w:tc>
      </w:tr>
      <w:tr>
        <w:trPr>
          <w:trHeight w:val="696" w:hRule="exact"/>
        </w:trPr>
        <w:tc>
          <w:tcPr>
            <w:tcW w:w="7359" w:type="dxa"/>
          </w:tcPr>
          <w:p>
            <w:pPr>
              <w:pStyle w:val="TableParagraph"/>
              <w:jc w:val="left"/>
              <w:rPr>
                <w:sz w:val="18"/>
              </w:rPr>
            </w:pPr>
          </w:p>
          <w:p>
            <w:pPr>
              <w:pStyle w:val="TableParagraph"/>
              <w:spacing w:before="127"/>
              <w:ind w:left="36"/>
              <w:jc w:val="left"/>
              <w:rPr>
                <w:b/>
                <w:sz w:val="18"/>
              </w:rPr>
            </w:pPr>
            <w:r>
              <w:rPr>
                <w:b/>
                <w:sz w:val="18"/>
              </w:rPr>
              <w:t>16    Reconciliation of surplus/(deficit) to net cash inflow from operating activities</w:t>
            </w:r>
          </w:p>
        </w:tc>
        <w:tc>
          <w:tcPr>
            <w:tcW w:w="2594" w:type="dxa"/>
            <w:gridSpan w:val="2"/>
            <w:vMerge/>
          </w:tcPr>
          <w:p>
            <w:pPr/>
          </w:p>
        </w:tc>
      </w:tr>
      <w:tr>
        <w:trPr>
          <w:trHeight w:val="559" w:hRule="exact"/>
        </w:trPr>
        <w:tc>
          <w:tcPr>
            <w:tcW w:w="7359" w:type="dxa"/>
          </w:tcPr>
          <w:p>
            <w:pPr>
              <w:pStyle w:val="TableParagraph"/>
              <w:spacing w:before="136"/>
              <w:ind w:left="35"/>
              <w:jc w:val="left"/>
              <w:rPr>
                <w:sz w:val="18"/>
              </w:rPr>
            </w:pPr>
            <w:r>
              <w:rPr>
                <w:sz w:val="18"/>
              </w:rPr>
              <w:t>Reconciliation of net income to net cash provided by operating activities:</w:t>
            </w:r>
          </w:p>
        </w:tc>
        <w:tc>
          <w:tcPr>
            <w:tcW w:w="1500" w:type="dxa"/>
          </w:tcPr>
          <w:p>
            <w:pPr>
              <w:pStyle w:val="TableParagraph"/>
              <w:jc w:val="left"/>
              <w:rPr>
                <w:sz w:val="18"/>
              </w:rPr>
            </w:pPr>
          </w:p>
          <w:p>
            <w:pPr>
              <w:pStyle w:val="TableParagraph"/>
              <w:spacing w:before="136"/>
              <w:ind w:left="448" w:right="269"/>
              <w:jc w:val="left"/>
              <w:rPr>
                <w:b/>
                <w:sz w:val="18"/>
              </w:rPr>
            </w:pPr>
            <w:r>
              <w:rPr>
                <w:b/>
                <w:sz w:val="18"/>
              </w:rPr>
              <w:t>2016</w:t>
            </w:r>
          </w:p>
        </w:tc>
        <w:tc>
          <w:tcPr>
            <w:tcW w:w="1094" w:type="dxa"/>
          </w:tcPr>
          <w:p>
            <w:pPr>
              <w:pStyle w:val="TableParagraph"/>
              <w:jc w:val="left"/>
              <w:rPr>
                <w:sz w:val="18"/>
              </w:rPr>
            </w:pPr>
          </w:p>
          <w:p>
            <w:pPr>
              <w:pStyle w:val="TableParagraph"/>
              <w:spacing w:before="136"/>
              <w:ind w:left="232"/>
              <w:jc w:val="left"/>
              <w:rPr>
                <w:b/>
                <w:sz w:val="18"/>
              </w:rPr>
            </w:pPr>
            <w:r>
              <w:rPr>
                <w:b/>
                <w:sz w:val="18"/>
              </w:rPr>
              <w:t>2015</w:t>
            </w:r>
          </w:p>
        </w:tc>
      </w:tr>
      <w:tr>
        <w:trPr>
          <w:trHeight w:val="469" w:hRule="exact"/>
        </w:trPr>
        <w:tc>
          <w:tcPr>
            <w:tcW w:w="7359" w:type="dxa"/>
          </w:tcPr>
          <w:p>
            <w:pPr>
              <w:pStyle w:val="TableParagraph"/>
              <w:spacing w:before="1"/>
              <w:jc w:val="left"/>
              <w:rPr>
                <w:sz w:val="17"/>
              </w:rPr>
            </w:pPr>
          </w:p>
          <w:p>
            <w:pPr>
              <w:pStyle w:val="TableParagraph"/>
              <w:ind w:left="35"/>
              <w:jc w:val="left"/>
              <w:rPr>
                <w:sz w:val="18"/>
              </w:rPr>
            </w:pPr>
            <w:r>
              <w:rPr>
                <w:sz w:val="18"/>
              </w:rPr>
              <w:t>Surplus for the year</w:t>
            </w:r>
          </w:p>
        </w:tc>
        <w:tc>
          <w:tcPr>
            <w:tcW w:w="1500" w:type="dxa"/>
          </w:tcPr>
          <w:p>
            <w:pPr>
              <w:pStyle w:val="TableParagraph"/>
              <w:ind w:left="560" w:right="269" w:firstLine="38"/>
              <w:jc w:val="left"/>
              <w:rPr>
                <w:b/>
                <w:sz w:val="18"/>
              </w:rPr>
            </w:pPr>
            <w:r>
              <w:rPr>
                <w:b/>
                <w:sz w:val="18"/>
              </w:rPr>
              <w:t>$ 139,121</w:t>
            </w:r>
          </w:p>
        </w:tc>
        <w:tc>
          <w:tcPr>
            <w:tcW w:w="1094" w:type="dxa"/>
          </w:tcPr>
          <w:p>
            <w:pPr>
              <w:pStyle w:val="TableParagraph"/>
              <w:spacing w:line="197" w:lineRule="exact"/>
              <w:ind w:right="227"/>
              <w:jc w:val="center"/>
              <w:rPr>
                <w:b/>
                <w:sz w:val="18"/>
              </w:rPr>
            </w:pPr>
            <w:r>
              <w:rPr>
                <w:b/>
                <w:w w:val="99"/>
                <w:sz w:val="18"/>
              </w:rPr>
              <w:t>$</w:t>
            </w:r>
          </w:p>
          <w:p>
            <w:pPr>
              <w:pStyle w:val="TableParagraph"/>
              <w:spacing w:line="207" w:lineRule="exact"/>
              <w:ind w:left="457"/>
              <w:jc w:val="left"/>
              <w:rPr>
                <w:sz w:val="18"/>
              </w:rPr>
            </w:pPr>
            <w:r>
              <w:rPr>
                <w:sz w:val="18"/>
              </w:rPr>
              <w:t>35,475</w:t>
            </w:r>
          </w:p>
        </w:tc>
      </w:tr>
      <w:tr>
        <w:trPr>
          <w:trHeight w:val="483" w:hRule="exact"/>
        </w:trPr>
        <w:tc>
          <w:tcPr>
            <w:tcW w:w="7359" w:type="dxa"/>
          </w:tcPr>
          <w:p>
            <w:pPr>
              <w:pStyle w:val="TableParagraph"/>
              <w:spacing w:line="207" w:lineRule="exact" w:before="46"/>
              <w:ind w:left="35"/>
              <w:jc w:val="left"/>
              <w:rPr>
                <w:b/>
                <w:sz w:val="18"/>
              </w:rPr>
            </w:pPr>
            <w:r>
              <w:rPr>
                <w:b/>
                <w:sz w:val="18"/>
              </w:rPr>
              <w:t>Changes in assets and liabilities:</w:t>
            </w:r>
          </w:p>
          <w:p>
            <w:pPr>
              <w:pStyle w:val="TableParagraph"/>
              <w:spacing w:line="207" w:lineRule="exact"/>
              <w:ind w:left="299"/>
              <w:jc w:val="left"/>
              <w:rPr>
                <w:sz w:val="18"/>
              </w:rPr>
            </w:pPr>
            <w:r>
              <w:rPr>
                <w:sz w:val="18"/>
              </w:rPr>
              <w:t>- (increase)/decrease in trade and other receivables</w:t>
            </w:r>
          </w:p>
        </w:tc>
        <w:tc>
          <w:tcPr>
            <w:tcW w:w="1500" w:type="dxa"/>
          </w:tcPr>
          <w:p>
            <w:pPr>
              <w:pStyle w:val="TableParagraph"/>
              <w:jc w:val="left"/>
              <w:rPr>
                <w:sz w:val="22"/>
              </w:rPr>
            </w:pPr>
          </w:p>
          <w:p>
            <w:pPr>
              <w:pStyle w:val="TableParagraph"/>
              <w:ind w:right="230"/>
              <w:rPr>
                <w:b/>
                <w:sz w:val="18"/>
              </w:rPr>
            </w:pPr>
            <w:r>
              <w:rPr>
                <w:b/>
                <w:w w:val="95"/>
                <w:sz w:val="18"/>
              </w:rPr>
              <w:t>(3,700)</w:t>
            </w:r>
          </w:p>
        </w:tc>
        <w:tc>
          <w:tcPr>
            <w:tcW w:w="1094" w:type="dxa"/>
          </w:tcPr>
          <w:p>
            <w:pPr>
              <w:pStyle w:val="TableParagraph"/>
              <w:jc w:val="left"/>
              <w:rPr>
                <w:sz w:val="22"/>
              </w:rPr>
            </w:pPr>
          </w:p>
          <w:p>
            <w:pPr>
              <w:pStyle w:val="TableParagraph"/>
              <w:ind w:right="85"/>
              <w:rPr>
                <w:sz w:val="18"/>
              </w:rPr>
            </w:pPr>
            <w:r>
              <w:rPr>
                <w:w w:val="99"/>
                <w:sz w:val="18"/>
              </w:rPr>
              <w:t>-</w:t>
            </w:r>
          </w:p>
        </w:tc>
      </w:tr>
      <w:tr>
        <w:trPr>
          <w:trHeight w:val="250" w:hRule="exact"/>
        </w:trPr>
        <w:tc>
          <w:tcPr>
            <w:tcW w:w="7359" w:type="dxa"/>
          </w:tcPr>
          <w:p>
            <w:pPr>
              <w:pStyle w:val="TableParagraph"/>
              <w:spacing w:before="4"/>
              <w:ind w:left="299"/>
              <w:jc w:val="left"/>
              <w:rPr>
                <w:sz w:val="18"/>
              </w:rPr>
            </w:pPr>
            <w:r>
              <w:rPr>
                <w:sz w:val="18"/>
              </w:rPr>
              <w:t>- (increase)/decrease in assets</w:t>
            </w:r>
          </w:p>
        </w:tc>
        <w:tc>
          <w:tcPr>
            <w:tcW w:w="1500" w:type="dxa"/>
          </w:tcPr>
          <w:p>
            <w:pPr>
              <w:pStyle w:val="TableParagraph"/>
              <w:spacing w:before="5"/>
              <w:ind w:right="230"/>
              <w:rPr>
                <w:b/>
                <w:sz w:val="18"/>
              </w:rPr>
            </w:pPr>
            <w:r>
              <w:rPr>
                <w:b/>
                <w:w w:val="95"/>
                <w:sz w:val="18"/>
              </w:rPr>
              <w:t>(31,575)</w:t>
            </w:r>
          </w:p>
        </w:tc>
        <w:tc>
          <w:tcPr>
            <w:tcW w:w="1094" w:type="dxa"/>
          </w:tcPr>
          <w:p>
            <w:pPr>
              <w:pStyle w:val="TableParagraph"/>
              <w:spacing w:before="5"/>
              <w:ind w:right="85"/>
              <w:rPr>
                <w:sz w:val="18"/>
              </w:rPr>
            </w:pPr>
            <w:r>
              <w:rPr>
                <w:w w:val="99"/>
                <w:sz w:val="18"/>
              </w:rPr>
              <w:t>-</w:t>
            </w:r>
          </w:p>
        </w:tc>
      </w:tr>
      <w:tr>
        <w:trPr>
          <w:trHeight w:val="259" w:hRule="exact"/>
        </w:trPr>
        <w:tc>
          <w:tcPr>
            <w:tcW w:w="7359" w:type="dxa"/>
          </w:tcPr>
          <w:p>
            <w:pPr>
              <w:pStyle w:val="TableParagraph"/>
              <w:spacing w:before="18"/>
              <w:ind w:left="299"/>
              <w:jc w:val="left"/>
              <w:rPr>
                <w:sz w:val="18"/>
              </w:rPr>
            </w:pPr>
            <w:r>
              <w:rPr>
                <w:sz w:val="18"/>
              </w:rPr>
              <w:t>- increase/(decrease) in other liabilities</w:t>
            </w:r>
          </w:p>
        </w:tc>
        <w:tc>
          <w:tcPr>
            <w:tcW w:w="1500" w:type="dxa"/>
            <w:tcBorders>
              <w:bottom w:val="single" w:sz="0" w:space="0" w:color="000000"/>
            </w:tcBorders>
          </w:tcPr>
          <w:p>
            <w:pPr>
              <w:pStyle w:val="TableParagraph"/>
              <w:spacing w:before="19"/>
              <w:ind w:right="230"/>
              <w:rPr>
                <w:b/>
                <w:sz w:val="18"/>
              </w:rPr>
            </w:pPr>
            <w:r>
              <w:rPr>
                <w:b/>
                <w:sz w:val="18"/>
              </w:rPr>
              <w:t>(600)</w:t>
            </w:r>
          </w:p>
        </w:tc>
        <w:tc>
          <w:tcPr>
            <w:tcW w:w="1094" w:type="dxa"/>
            <w:tcBorders>
              <w:bottom w:val="single" w:sz="0" w:space="0" w:color="000000"/>
            </w:tcBorders>
          </w:tcPr>
          <w:p>
            <w:pPr>
              <w:pStyle w:val="TableParagraph"/>
              <w:spacing w:before="19"/>
              <w:ind w:right="85"/>
              <w:rPr>
                <w:sz w:val="18"/>
              </w:rPr>
            </w:pPr>
            <w:r>
              <w:rPr>
                <w:w w:val="99"/>
                <w:sz w:val="18"/>
              </w:rPr>
              <w:t>-</w:t>
            </w:r>
          </w:p>
        </w:tc>
      </w:tr>
      <w:tr>
        <w:trPr>
          <w:trHeight w:val="221" w:hRule="exact"/>
        </w:trPr>
        <w:tc>
          <w:tcPr>
            <w:tcW w:w="7359" w:type="dxa"/>
          </w:tcPr>
          <w:p>
            <w:pPr>
              <w:pStyle w:val="TableParagraph"/>
              <w:spacing w:before="5"/>
              <w:ind w:left="35"/>
              <w:jc w:val="left"/>
              <w:rPr>
                <w:sz w:val="18"/>
              </w:rPr>
            </w:pPr>
            <w:bookmarkStart w:name="17 Events occurring after the reporting " w:id="495"/>
            <w:bookmarkEnd w:id="495"/>
            <w:r>
              <w:rPr/>
            </w:r>
            <w:r>
              <w:rPr>
                <w:sz w:val="18"/>
              </w:rPr>
              <w:t>Cashflow from operations</w:t>
            </w:r>
          </w:p>
        </w:tc>
        <w:tc>
          <w:tcPr>
            <w:tcW w:w="1500" w:type="dxa"/>
            <w:tcBorders>
              <w:top w:val="single" w:sz="0" w:space="0" w:color="000000"/>
              <w:bottom w:val="single" w:sz="0" w:space="0" w:color="000000"/>
            </w:tcBorders>
          </w:tcPr>
          <w:p>
            <w:pPr>
              <w:pStyle w:val="TableParagraph"/>
              <w:spacing w:before="5"/>
              <w:ind w:right="289"/>
              <w:rPr>
                <w:b/>
                <w:sz w:val="18"/>
              </w:rPr>
            </w:pPr>
            <w:r>
              <w:rPr>
                <w:b/>
                <w:w w:val="95"/>
                <w:sz w:val="18"/>
              </w:rPr>
              <w:t>103,246</w:t>
            </w:r>
          </w:p>
        </w:tc>
        <w:tc>
          <w:tcPr>
            <w:tcW w:w="1094" w:type="dxa"/>
            <w:tcBorders>
              <w:top w:val="single" w:sz="0" w:space="0" w:color="000000"/>
              <w:bottom w:val="single" w:sz="0" w:space="0" w:color="000000"/>
            </w:tcBorders>
          </w:tcPr>
          <w:p>
            <w:pPr>
              <w:pStyle w:val="TableParagraph"/>
              <w:spacing w:before="5"/>
              <w:ind w:right="85"/>
              <w:rPr>
                <w:sz w:val="18"/>
              </w:rPr>
            </w:pPr>
            <w:r>
              <w:rPr>
                <w:w w:val="95"/>
                <w:sz w:val="18"/>
              </w:rPr>
              <w:t>35,475</w:t>
            </w:r>
          </w:p>
        </w:tc>
      </w:tr>
    </w:tbl>
    <w:p>
      <w:pPr>
        <w:pStyle w:val="BodyText"/>
        <w:rPr>
          <w:sz w:val="20"/>
        </w:rPr>
      </w:pPr>
    </w:p>
    <w:p>
      <w:pPr>
        <w:pStyle w:val="BodyText"/>
        <w:rPr>
          <w:sz w:val="20"/>
        </w:rPr>
      </w:pPr>
    </w:p>
    <w:p>
      <w:pPr>
        <w:pStyle w:val="BodyText"/>
        <w:spacing w:before="3"/>
        <w:rPr>
          <w:sz w:val="22"/>
        </w:rPr>
      </w:pPr>
    </w:p>
    <w:p>
      <w:pPr>
        <w:pStyle w:val="Heading8"/>
        <w:spacing w:before="77"/>
        <w:ind w:left="1429"/>
        <w:jc w:val="both"/>
      </w:pPr>
      <w:r>
        <w:rPr/>
        <w:t>17    Events occurring after the reporting date</w:t>
      </w:r>
    </w:p>
    <w:p>
      <w:pPr>
        <w:pStyle w:val="BodyText"/>
        <w:spacing w:before="11"/>
        <w:rPr>
          <w:b/>
          <w:sz w:val="24"/>
        </w:rPr>
      </w:pPr>
    </w:p>
    <w:p>
      <w:pPr>
        <w:pStyle w:val="BodyText"/>
        <w:ind w:left="1427" w:right="1578"/>
        <w:jc w:val="both"/>
      </w:pPr>
      <w:r>
        <w:rPr/>
        <w:t>No</w:t>
      </w:r>
      <w:r>
        <w:rPr>
          <w:spacing w:val="-6"/>
        </w:rPr>
        <w:t> </w:t>
      </w:r>
      <w:r>
        <w:rPr/>
        <w:t>matters</w:t>
      </w:r>
      <w:r>
        <w:rPr>
          <w:spacing w:val="-6"/>
        </w:rPr>
        <w:t> </w:t>
      </w:r>
      <w:r>
        <w:rPr/>
        <w:t>or</w:t>
      </w:r>
      <w:r>
        <w:rPr>
          <w:spacing w:val="-6"/>
        </w:rPr>
        <w:t> </w:t>
      </w:r>
      <w:r>
        <w:rPr/>
        <w:t>circumstances</w:t>
      </w:r>
      <w:r>
        <w:rPr>
          <w:spacing w:val="-6"/>
        </w:rPr>
        <w:t> </w:t>
      </w:r>
      <w:r>
        <w:rPr/>
        <w:t>have</w:t>
      </w:r>
      <w:r>
        <w:rPr>
          <w:spacing w:val="-6"/>
        </w:rPr>
        <w:t> </w:t>
      </w:r>
      <w:r>
        <w:rPr/>
        <w:t>arisen</w:t>
      </w:r>
      <w:r>
        <w:rPr>
          <w:spacing w:val="-6"/>
        </w:rPr>
        <w:t> </w:t>
      </w:r>
      <w:r>
        <w:rPr/>
        <w:t>since</w:t>
      </w:r>
      <w:r>
        <w:rPr>
          <w:spacing w:val="-6"/>
        </w:rPr>
        <w:t> </w:t>
      </w:r>
      <w:r>
        <w:rPr/>
        <w:t>the</w:t>
      </w:r>
      <w:r>
        <w:rPr>
          <w:spacing w:val="-6"/>
        </w:rPr>
        <w:t> </w:t>
      </w:r>
      <w:r>
        <w:rPr/>
        <w:t>end</w:t>
      </w:r>
      <w:r>
        <w:rPr>
          <w:spacing w:val="-6"/>
        </w:rPr>
        <w:t> </w:t>
      </w:r>
      <w:r>
        <w:rPr/>
        <w:t>of</w:t>
      </w:r>
      <w:r>
        <w:rPr>
          <w:spacing w:val="-6"/>
        </w:rPr>
        <w:t> </w:t>
      </w:r>
      <w:r>
        <w:rPr/>
        <w:t>the</w:t>
      </w:r>
      <w:r>
        <w:rPr>
          <w:spacing w:val="-6"/>
        </w:rPr>
        <w:t> </w:t>
      </w:r>
      <w:r>
        <w:rPr/>
        <w:t>financial</w:t>
      </w:r>
      <w:r>
        <w:rPr>
          <w:spacing w:val="-5"/>
        </w:rPr>
        <w:t> </w:t>
      </w:r>
      <w:r>
        <w:rPr/>
        <w:t>year</w:t>
      </w:r>
      <w:r>
        <w:rPr>
          <w:spacing w:val="-5"/>
        </w:rPr>
        <w:t> </w:t>
      </w:r>
      <w:r>
        <w:rPr/>
        <w:t>which</w:t>
      </w:r>
      <w:r>
        <w:rPr>
          <w:spacing w:val="-6"/>
        </w:rPr>
        <w:t> </w:t>
      </w:r>
      <w:r>
        <w:rPr/>
        <w:t>significantly</w:t>
      </w:r>
      <w:r>
        <w:rPr>
          <w:spacing w:val="-6"/>
        </w:rPr>
        <w:t> </w:t>
      </w:r>
      <w:r>
        <w:rPr/>
        <w:t>affected</w:t>
      </w:r>
      <w:r>
        <w:rPr>
          <w:spacing w:val="-6"/>
        </w:rPr>
        <w:t> </w:t>
      </w:r>
      <w:r>
        <w:rPr/>
        <w:t>or</w:t>
      </w:r>
      <w:r>
        <w:rPr>
          <w:spacing w:val="-6"/>
        </w:rPr>
        <w:t> </w:t>
      </w:r>
      <w:r>
        <w:rPr/>
        <w:t>may</w:t>
      </w:r>
      <w:r>
        <w:rPr>
          <w:spacing w:val="-6"/>
        </w:rPr>
        <w:t> </w:t>
      </w:r>
      <w:r>
        <w:rPr/>
        <w:t>significantly affect the operations of the Trust, the results of those operations, or the state of affairs of the Trust in future financial years (2015:</w:t>
      </w:r>
      <w:r>
        <w:rPr>
          <w:spacing w:val="-12"/>
        </w:rPr>
        <w:t> </w:t>
      </w:r>
      <w:r>
        <w:rPr/>
        <w:t>nil).</w:t>
      </w:r>
    </w:p>
    <w:p>
      <w:pPr>
        <w:pStyle w:val="BodyText"/>
      </w:pPr>
    </w:p>
    <w:p>
      <w:pPr>
        <w:pStyle w:val="BodyText"/>
      </w:pPr>
    </w:p>
    <w:p>
      <w:pPr>
        <w:pStyle w:val="BodyText"/>
      </w:pPr>
    </w:p>
    <w:p>
      <w:pPr>
        <w:pStyle w:val="BodyText"/>
      </w:pPr>
    </w:p>
    <w:p>
      <w:pPr>
        <w:pStyle w:val="BodyText"/>
        <w:spacing w:before="2"/>
        <w:rPr>
          <w:sz w:val="20"/>
        </w:rPr>
      </w:pPr>
    </w:p>
    <w:p>
      <w:pPr>
        <w:pStyle w:val="Heading8"/>
        <w:ind w:left="2107" w:right="2077"/>
        <w:jc w:val="center"/>
      </w:pPr>
      <w:r>
        <w:rPr/>
        <w:drawing>
          <wp:anchor distT="0" distB="0" distL="0" distR="0" allowOverlap="1" layoutInCell="1" locked="0" behindDoc="0" simplePos="0" relativeHeight="16192">
            <wp:simplePos x="0" y="0"/>
            <wp:positionH relativeFrom="page">
              <wp:posOffset>-1587</wp:posOffset>
            </wp:positionH>
            <wp:positionV relativeFrom="paragraph">
              <wp:posOffset>-260681</wp:posOffset>
            </wp:positionV>
            <wp:extent cx="135159" cy="154019"/>
            <wp:effectExtent l="0" t="0" r="0" b="0"/>
            <wp:wrapNone/>
            <wp:docPr id="1109" name="image13.png" descr=""/>
            <wp:cNvGraphicFramePr>
              <a:graphicFrameLocks noChangeAspect="1"/>
            </wp:cNvGraphicFramePr>
            <a:graphic>
              <a:graphicData uri="http://schemas.openxmlformats.org/drawingml/2006/picture">
                <pic:pic>
                  <pic:nvPicPr>
                    <pic:cNvPr id="1110" name="image13.png"/>
                    <pic:cNvPicPr/>
                  </pic:nvPicPr>
                  <pic:blipFill>
                    <a:blip r:embed="rId18" cstate="print"/>
                    <a:stretch>
                      <a:fillRect/>
                    </a:stretch>
                  </pic:blipFill>
                  <pic:spPr>
                    <a:xfrm>
                      <a:off x="0" y="0"/>
                      <a:ext cx="135159" cy="154019"/>
                    </a:xfrm>
                    <a:prstGeom prst="rect">
                      <a:avLst/>
                    </a:prstGeom>
                  </pic:spPr>
                </pic:pic>
              </a:graphicData>
            </a:graphic>
          </wp:anchor>
        </w:drawing>
      </w:r>
      <w:r>
        <w:rPr/>
        <w:drawing>
          <wp:anchor distT="0" distB="0" distL="0" distR="0" allowOverlap="1" layoutInCell="1" locked="0" behindDoc="0" simplePos="0" relativeHeight="16216">
            <wp:simplePos x="0" y="0"/>
            <wp:positionH relativeFrom="page">
              <wp:posOffset>7958429</wp:posOffset>
            </wp:positionH>
            <wp:positionV relativeFrom="paragraph">
              <wp:posOffset>-260681</wp:posOffset>
            </wp:positionV>
            <wp:extent cx="135953" cy="155575"/>
            <wp:effectExtent l="0" t="0" r="0" b="0"/>
            <wp:wrapNone/>
            <wp:docPr id="1111" name="image15.png" descr=""/>
            <wp:cNvGraphicFramePr>
              <a:graphicFrameLocks noChangeAspect="1"/>
            </wp:cNvGraphicFramePr>
            <a:graphic>
              <a:graphicData uri="http://schemas.openxmlformats.org/drawingml/2006/picture">
                <pic:pic>
                  <pic:nvPicPr>
                    <pic:cNvPr id="1112" name="image15.png"/>
                    <pic:cNvPicPr/>
                  </pic:nvPicPr>
                  <pic:blipFill>
                    <a:blip r:embed="rId20" cstate="print"/>
                    <a:stretch>
                      <a:fillRect/>
                    </a:stretch>
                  </pic:blipFill>
                  <pic:spPr>
                    <a:xfrm>
                      <a:off x="0" y="0"/>
                      <a:ext cx="135953" cy="155575"/>
                    </a:xfrm>
                    <a:prstGeom prst="rect">
                      <a:avLst/>
                    </a:prstGeom>
                  </pic:spPr>
                </pic:pic>
              </a:graphicData>
            </a:graphic>
          </wp:anchor>
        </w:drawing>
      </w:r>
      <w:r>
        <w:rPr/>
        <w:t>END OF AUDITED FINANCIAL STATEMENTS</w:t>
      </w:r>
    </w:p>
    <w:p>
      <w:pPr>
        <w:spacing w:after="0"/>
        <w:jc w:val="center"/>
        <w:sectPr>
          <w:pgSz w:w="12750" w:h="17680"/>
          <w:pgMar w:header="0" w:footer="907" w:top="1880" w:bottom="1120" w:left="0" w:right="0"/>
        </w:sectPr>
      </w:pPr>
    </w:p>
    <w:p>
      <w:pPr>
        <w:pStyle w:val="BodyText"/>
        <w:spacing w:before="2"/>
        <w:rPr>
          <w:b/>
          <w:sz w:val="24"/>
        </w:rPr>
      </w:pPr>
      <w:r>
        <w:rPr/>
        <w:drawing>
          <wp:anchor distT="0" distB="0" distL="0" distR="0" allowOverlap="1" layoutInCell="1" locked="0" behindDoc="0" simplePos="0" relativeHeight="16288">
            <wp:simplePos x="0" y="0"/>
            <wp:positionH relativeFrom="page">
              <wp:posOffset>-1587</wp:posOffset>
            </wp:positionH>
            <wp:positionV relativeFrom="page">
              <wp:posOffset>5534342</wp:posOffset>
            </wp:positionV>
            <wp:extent cx="135159" cy="154019"/>
            <wp:effectExtent l="0" t="0" r="0" b="0"/>
            <wp:wrapNone/>
            <wp:docPr id="1113" name="image13.png" descr=""/>
            <wp:cNvGraphicFramePr>
              <a:graphicFrameLocks noChangeAspect="1"/>
            </wp:cNvGraphicFramePr>
            <a:graphic>
              <a:graphicData uri="http://schemas.openxmlformats.org/drawingml/2006/picture">
                <pic:pic>
                  <pic:nvPicPr>
                    <pic:cNvPr id="1114" name="image13.png"/>
                    <pic:cNvPicPr/>
                  </pic:nvPicPr>
                  <pic:blipFill>
                    <a:blip r:embed="rId18" cstate="print"/>
                    <a:stretch>
                      <a:fillRect/>
                    </a:stretch>
                  </pic:blipFill>
                  <pic:spPr>
                    <a:xfrm>
                      <a:off x="0" y="0"/>
                      <a:ext cx="135159" cy="154019"/>
                    </a:xfrm>
                    <a:prstGeom prst="rect">
                      <a:avLst/>
                    </a:prstGeom>
                  </pic:spPr>
                </pic:pic>
              </a:graphicData>
            </a:graphic>
          </wp:anchor>
        </w:drawing>
      </w:r>
      <w:r>
        <w:rPr/>
        <w:drawing>
          <wp:anchor distT="0" distB="0" distL="0" distR="0" allowOverlap="1" layoutInCell="1" locked="0" behindDoc="0" simplePos="0" relativeHeight="16312">
            <wp:simplePos x="0" y="0"/>
            <wp:positionH relativeFrom="page">
              <wp:posOffset>7958429</wp:posOffset>
            </wp:positionH>
            <wp:positionV relativeFrom="page">
              <wp:posOffset>5534342</wp:posOffset>
            </wp:positionV>
            <wp:extent cx="135953" cy="155575"/>
            <wp:effectExtent l="0" t="0" r="0" b="0"/>
            <wp:wrapNone/>
            <wp:docPr id="1115" name="image15.png" descr=""/>
            <wp:cNvGraphicFramePr>
              <a:graphicFrameLocks noChangeAspect="1"/>
            </wp:cNvGraphicFramePr>
            <a:graphic>
              <a:graphicData uri="http://schemas.openxmlformats.org/drawingml/2006/picture">
                <pic:pic>
                  <pic:nvPicPr>
                    <pic:cNvPr id="1116" name="image15.png"/>
                    <pic:cNvPicPr/>
                  </pic:nvPicPr>
                  <pic:blipFill>
                    <a:blip r:embed="rId20" cstate="print"/>
                    <a:stretch>
                      <a:fillRect/>
                    </a:stretch>
                  </pic:blipFill>
                  <pic:spPr>
                    <a:xfrm>
                      <a:off x="0" y="0"/>
                      <a:ext cx="135953" cy="155575"/>
                    </a:xfrm>
                    <a:prstGeom prst="rect">
                      <a:avLst/>
                    </a:prstGeom>
                  </pic:spPr>
                </pic:pic>
              </a:graphicData>
            </a:graphic>
          </wp:anchor>
        </w:drawing>
      </w:r>
    </w:p>
    <w:p>
      <w:pPr>
        <w:spacing w:before="64"/>
        <w:ind w:left="1428" w:right="0" w:firstLine="0"/>
        <w:jc w:val="left"/>
        <w:rPr>
          <w:b/>
          <w:sz w:val="28"/>
        </w:rPr>
      </w:pPr>
      <w:r>
        <w:rPr>
          <w:b/>
          <w:sz w:val="28"/>
        </w:rPr>
        <w:t>Trustees' declaration</w:t>
      </w:r>
    </w:p>
    <w:p>
      <w:pPr>
        <w:pStyle w:val="BodyText"/>
        <w:rPr>
          <w:b/>
          <w:sz w:val="25"/>
        </w:rPr>
      </w:pPr>
    </w:p>
    <w:p>
      <w:pPr>
        <w:pStyle w:val="BodyText"/>
        <w:ind w:left="1428"/>
      </w:pPr>
      <w:r>
        <w:rPr/>
        <w:t>In the Trustee's opinion:</w:t>
      </w:r>
    </w:p>
    <w:p>
      <w:pPr>
        <w:pStyle w:val="BodyText"/>
        <w:spacing w:before="6"/>
        <w:rPr>
          <w:sz w:val="19"/>
        </w:rPr>
      </w:pPr>
    </w:p>
    <w:p>
      <w:pPr>
        <w:pStyle w:val="ListParagraph"/>
        <w:numPr>
          <w:ilvl w:val="0"/>
          <w:numId w:val="94"/>
        </w:numPr>
        <w:tabs>
          <w:tab w:pos="1824" w:val="left" w:leader="none"/>
        </w:tabs>
        <w:spacing w:line="240" w:lineRule="auto" w:before="0" w:after="0"/>
        <w:ind w:left="1824" w:right="0" w:hanging="396"/>
        <w:jc w:val="left"/>
        <w:rPr>
          <w:sz w:val="18"/>
        </w:rPr>
      </w:pPr>
      <w:r>
        <w:rPr>
          <w:sz w:val="18"/>
        </w:rPr>
        <w:t>the</w:t>
      </w:r>
      <w:r>
        <w:rPr>
          <w:spacing w:val="-4"/>
          <w:sz w:val="18"/>
        </w:rPr>
        <w:t> </w:t>
      </w:r>
      <w:r>
        <w:rPr>
          <w:sz w:val="18"/>
        </w:rPr>
        <w:t>financial</w:t>
      </w:r>
      <w:r>
        <w:rPr>
          <w:spacing w:val="-5"/>
          <w:sz w:val="18"/>
        </w:rPr>
        <w:t> </w:t>
      </w:r>
      <w:r>
        <w:rPr>
          <w:sz w:val="18"/>
        </w:rPr>
        <w:t>statements</w:t>
      </w:r>
      <w:r>
        <w:rPr>
          <w:spacing w:val="-5"/>
          <w:sz w:val="18"/>
        </w:rPr>
        <w:t> </w:t>
      </w:r>
      <w:r>
        <w:rPr>
          <w:sz w:val="18"/>
        </w:rPr>
        <w:t>and</w:t>
      </w:r>
      <w:r>
        <w:rPr>
          <w:spacing w:val="-5"/>
          <w:sz w:val="18"/>
        </w:rPr>
        <w:t> </w:t>
      </w:r>
      <w:r>
        <w:rPr>
          <w:sz w:val="18"/>
        </w:rPr>
        <w:t>notes,</w:t>
      </w:r>
      <w:r>
        <w:rPr>
          <w:spacing w:val="-5"/>
          <w:sz w:val="18"/>
        </w:rPr>
        <w:t> </w:t>
      </w:r>
      <w:r>
        <w:rPr>
          <w:sz w:val="18"/>
        </w:rPr>
        <w:t>as</w:t>
      </w:r>
      <w:r>
        <w:rPr>
          <w:spacing w:val="-5"/>
          <w:sz w:val="18"/>
        </w:rPr>
        <w:t> </w:t>
      </w:r>
      <w:r>
        <w:rPr>
          <w:sz w:val="18"/>
        </w:rPr>
        <w:t>set</w:t>
      </w:r>
      <w:r>
        <w:rPr>
          <w:spacing w:val="-5"/>
          <w:sz w:val="18"/>
        </w:rPr>
        <w:t> </w:t>
      </w:r>
      <w:r>
        <w:rPr>
          <w:sz w:val="18"/>
        </w:rPr>
        <w:t>out</w:t>
      </w:r>
      <w:r>
        <w:rPr>
          <w:spacing w:val="-5"/>
          <w:sz w:val="18"/>
        </w:rPr>
        <w:t> </w:t>
      </w:r>
      <w:r>
        <w:rPr>
          <w:sz w:val="18"/>
        </w:rPr>
        <w:t>on</w:t>
      </w:r>
      <w:r>
        <w:rPr>
          <w:spacing w:val="-5"/>
          <w:sz w:val="18"/>
        </w:rPr>
        <w:t> </w:t>
      </w:r>
      <w:r>
        <w:rPr>
          <w:sz w:val="18"/>
        </w:rPr>
        <w:t>pages</w:t>
      </w:r>
      <w:r>
        <w:rPr>
          <w:spacing w:val="-5"/>
          <w:sz w:val="18"/>
        </w:rPr>
        <w:t> </w:t>
      </w:r>
      <w:r>
        <w:rPr>
          <w:sz w:val="18"/>
        </w:rPr>
        <w:t>216</w:t>
      </w:r>
      <w:r>
        <w:rPr>
          <w:spacing w:val="-5"/>
          <w:sz w:val="18"/>
        </w:rPr>
        <w:t> </w:t>
      </w:r>
      <w:r>
        <w:rPr>
          <w:sz w:val="18"/>
        </w:rPr>
        <w:t>to</w:t>
      </w:r>
      <w:r>
        <w:rPr>
          <w:spacing w:val="-5"/>
          <w:sz w:val="18"/>
        </w:rPr>
        <w:t> </w:t>
      </w:r>
      <w:r>
        <w:rPr>
          <w:sz w:val="18"/>
        </w:rPr>
        <w:t>232</w:t>
      </w:r>
    </w:p>
    <w:p>
      <w:pPr>
        <w:pStyle w:val="BodyText"/>
        <w:spacing w:before="4"/>
        <w:rPr>
          <w:sz w:val="25"/>
        </w:rPr>
      </w:pPr>
    </w:p>
    <w:p>
      <w:pPr>
        <w:pStyle w:val="ListParagraph"/>
        <w:numPr>
          <w:ilvl w:val="1"/>
          <w:numId w:val="94"/>
        </w:numPr>
        <w:tabs>
          <w:tab w:pos="2222" w:val="left" w:leader="none"/>
        </w:tabs>
        <w:spacing w:line="240" w:lineRule="auto" w:before="0" w:after="0"/>
        <w:ind w:left="2221" w:right="1438" w:hanging="397"/>
        <w:jc w:val="left"/>
        <w:rPr>
          <w:sz w:val="18"/>
        </w:rPr>
      </w:pPr>
      <w:r>
        <w:rPr>
          <w:sz w:val="18"/>
        </w:rPr>
        <w:t>comply</w:t>
      </w:r>
      <w:r>
        <w:rPr>
          <w:spacing w:val="-7"/>
          <w:sz w:val="18"/>
        </w:rPr>
        <w:t> </w:t>
      </w:r>
      <w:r>
        <w:rPr>
          <w:sz w:val="18"/>
        </w:rPr>
        <w:t>with</w:t>
      </w:r>
      <w:r>
        <w:rPr>
          <w:spacing w:val="-7"/>
          <w:sz w:val="18"/>
        </w:rPr>
        <w:t> </w:t>
      </w:r>
      <w:r>
        <w:rPr>
          <w:sz w:val="18"/>
        </w:rPr>
        <w:t>Australian</w:t>
      </w:r>
      <w:r>
        <w:rPr>
          <w:spacing w:val="-7"/>
          <w:sz w:val="18"/>
        </w:rPr>
        <w:t> </w:t>
      </w:r>
      <w:r>
        <w:rPr>
          <w:sz w:val="18"/>
        </w:rPr>
        <w:t>Accounting</w:t>
      </w:r>
      <w:r>
        <w:rPr>
          <w:spacing w:val="-7"/>
          <w:sz w:val="18"/>
        </w:rPr>
        <w:t> </w:t>
      </w:r>
      <w:r>
        <w:rPr>
          <w:sz w:val="18"/>
        </w:rPr>
        <w:t>Standards</w:t>
      </w:r>
      <w:r>
        <w:rPr>
          <w:spacing w:val="-7"/>
          <w:sz w:val="18"/>
        </w:rPr>
        <w:t> </w:t>
      </w:r>
      <w:r>
        <w:rPr>
          <w:sz w:val="18"/>
        </w:rPr>
        <w:t>and</w:t>
      </w:r>
      <w:r>
        <w:rPr>
          <w:spacing w:val="-7"/>
          <w:sz w:val="18"/>
        </w:rPr>
        <w:t> </w:t>
      </w:r>
      <w:r>
        <w:rPr>
          <w:sz w:val="18"/>
        </w:rPr>
        <w:t>other</w:t>
      </w:r>
      <w:r>
        <w:rPr>
          <w:spacing w:val="-7"/>
          <w:sz w:val="18"/>
        </w:rPr>
        <w:t> </w:t>
      </w:r>
      <w:r>
        <w:rPr>
          <w:sz w:val="18"/>
        </w:rPr>
        <w:t>interpretations,</w:t>
      </w:r>
      <w:r>
        <w:rPr>
          <w:spacing w:val="-7"/>
          <w:sz w:val="18"/>
        </w:rPr>
        <w:t> </w:t>
      </w:r>
      <w:r>
        <w:rPr>
          <w:sz w:val="18"/>
        </w:rPr>
        <w:t>the</w:t>
      </w:r>
      <w:r>
        <w:rPr>
          <w:spacing w:val="-7"/>
          <w:sz w:val="18"/>
        </w:rPr>
        <w:t> </w:t>
      </w:r>
      <w:r>
        <w:rPr>
          <w:sz w:val="18"/>
        </w:rPr>
        <w:t>Public</w:t>
      </w:r>
      <w:r>
        <w:rPr>
          <w:spacing w:val="-7"/>
          <w:sz w:val="18"/>
        </w:rPr>
        <w:t> </w:t>
      </w:r>
      <w:r>
        <w:rPr>
          <w:sz w:val="18"/>
        </w:rPr>
        <w:t>Finance</w:t>
      </w:r>
      <w:r>
        <w:rPr>
          <w:spacing w:val="-7"/>
          <w:sz w:val="18"/>
        </w:rPr>
        <w:t> </w:t>
      </w:r>
      <w:r>
        <w:rPr>
          <w:sz w:val="18"/>
        </w:rPr>
        <w:t>and</w:t>
      </w:r>
      <w:r>
        <w:rPr>
          <w:spacing w:val="-7"/>
          <w:sz w:val="18"/>
        </w:rPr>
        <w:t> </w:t>
      </w:r>
      <w:r>
        <w:rPr>
          <w:sz w:val="18"/>
        </w:rPr>
        <w:t>Audit</w:t>
      </w:r>
      <w:r>
        <w:rPr>
          <w:spacing w:val="-7"/>
          <w:sz w:val="18"/>
        </w:rPr>
        <w:t> </w:t>
      </w:r>
      <w:r>
        <w:rPr>
          <w:sz w:val="18"/>
        </w:rPr>
        <w:t>Act</w:t>
      </w:r>
      <w:r>
        <w:rPr>
          <w:spacing w:val="-7"/>
          <w:sz w:val="18"/>
        </w:rPr>
        <w:t> </w:t>
      </w:r>
      <w:r>
        <w:rPr>
          <w:sz w:val="18"/>
        </w:rPr>
        <w:t>1983,</w:t>
      </w:r>
      <w:r>
        <w:rPr>
          <w:spacing w:val="-7"/>
          <w:sz w:val="18"/>
        </w:rPr>
        <w:t> </w:t>
      </w:r>
      <w:r>
        <w:rPr>
          <w:sz w:val="18"/>
        </w:rPr>
        <w:t>the Public</w:t>
      </w:r>
      <w:r>
        <w:rPr>
          <w:spacing w:val="-8"/>
          <w:sz w:val="18"/>
        </w:rPr>
        <w:t> </w:t>
      </w:r>
      <w:r>
        <w:rPr>
          <w:sz w:val="18"/>
        </w:rPr>
        <w:t>Finance</w:t>
      </w:r>
      <w:r>
        <w:rPr>
          <w:spacing w:val="-8"/>
          <w:sz w:val="18"/>
        </w:rPr>
        <w:t> </w:t>
      </w:r>
      <w:r>
        <w:rPr>
          <w:sz w:val="18"/>
        </w:rPr>
        <w:t>and</w:t>
      </w:r>
      <w:r>
        <w:rPr>
          <w:spacing w:val="-8"/>
          <w:sz w:val="18"/>
        </w:rPr>
        <w:t> </w:t>
      </w:r>
      <w:r>
        <w:rPr>
          <w:sz w:val="18"/>
        </w:rPr>
        <w:t>Audit</w:t>
      </w:r>
      <w:r>
        <w:rPr>
          <w:spacing w:val="-8"/>
          <w:sz w:val="18"/>
        </w:rPr>
        <w:t> </w:t>
      </w:r>
      <w:r>
        <w:rPr>
          <w:sz w:val="18"/>
        </w:rPr>
        <w:t>Regulation</w:t>
      </w:r>
      <w:r>
        <w:rPr>
          <w:spacing w:val="-8"/>
          <w:sz w:val="18"/>
        </w:rPr>
        <w:t> </w:t>
      </w:r>
      <w:r>
        <w:rPr>
          <w:sz w:val="18"/>
        </w:rPr>
        <w:t>2015</w:t>
      </w:r>
      <w:r>
        <w:rPr>
          <w:spacing w:val="-8"/>
          <w:sz w:val="18"/>
        </w:rPr>
        <w:t> </w:t>
      </w:r>
      <w:r>
        <w:rPr>
          <w:sz w:val="18"/>
        </w:rPr>
        <w:t>and</w:t>
      </w:r>
      <w:r>
        <w:rPr>
          <w:spacing w:val="-8"/>
          <w:sz w:val="18"/>
        </w:rPr>
        <w:t> </w:t>
      </w:r>
      <w:r>
        <w:rPr>
          <w:sz w:val="18"/>
        </w:rPr>
        <w:t>other</w:t>
      </w:r>
      <w:r>
        <w:rPr>
          <w:spacing w:val="-8"/>
          <w:sz w:val="18"/>
        </w:rPr>
        <w:t> </w:t>
      </w:r>
      <w:r>
        <w:rPr>
          <w:sz w:val="18"/>
        </w:rPr>
        <w:t>mandatory</w:t>
      </w:r>
      <w:r>
        <w:rPr>
          <w:spacing w:val="-8"/>
          <w:sz w:val="18"/>
        </w:rPr>
        <w:t> </w:t>
      </w:r>
      <w:r>
        <w:rPr>
          <w:sz w:val="18"/>
        </w:rPr>
        <w:t>professional</w:t>
      </w:r>
      <w:r>
        <w:rPr>
          <w:spacing w:val="-8"/>
          <w:sz w:val="18"/>
        </w:rPr>
        <w:t> </w:t>
      </w:r>
      <w:r>
        <w:rPr>
          <w:sz w:val="18"/>
        </w:rPr>
        <w:t>reporting</w:t>
      </w:r>
      <w:r>
        <w:rPr>
          <w:spacing w:val="-8"/>
          <w:sz w:val="18"/>
        </w:rPr>
        <w:t> </w:t>
      </w:r>
      <w:r>
        <w:rPr>
          <w:sz w:val="18"/>
        </w:rPr>
        <w:t>requirements;</w:t>
      </w:r>
      <w:r>
        <w:rPr>
          <w:spacing w:val="-8"/>
          <w:sz w:val="18"/>
        </w:rPr>
        <w:t> </w:t>
      </w:r>
      <w:r>
        <w:rPr>
          <w:sz w:val="18"/>
        </w:rPr>
        <w:t>and</w:t>
      </w:r>
    </w:p>
    <w:p>
      <w:pPr>
        <w:pStyle w:val="BodyText"/>
        <w:spacing w:before="11"/>
        <w:rPr>
          <w:sz w:val="24"/>
        </w:rPr>
      </w:pPr>
    </w:p>
    <w:p>
      <w:pPr>
        <w:pStyle w:val="ListParagraph"/>
        <w:numPr>
          <w:ilvl w:val="1"/>
          <w:numId w:val="94"/>
        </w:numPr>
        <w:tabs>
          <w:tab w:pos="2222" w:val="left" w:leader="none"/>
        </w:tabs>
        <w:spacing w:line="240" w:lineRule="auto" w:before="0" w:after="0"/>
        <w:ind w:left="2221" w:right="1767" w:hanging="397"/>
        <w:jc w:val="left"/>
        <w:rPr>
          <w:sz w:val="18"/>
        </w:rPr>
      </w:pPr>
      <w:r>
        <w:rPr>
          <w:sz w:val="18"/>
        </w:rPr>
        <w:t>give a true and fair view of the financial position as at 31 December 2016 and of the performance for the year ended on that date of the</w:t>
      </w:r>
      <w:r>
        <w:rPr>
          <w:spacing w:val="-20"/>
          <w:sz w:val="18"/>
        </w:rPr>
        <w:t> </w:t>
      </w:r>
      <w:r>
        <w:rPr>
          <w:sz w:val="18"/>
        </w:rPr>
        <w:t>Trust;</w:t>
      </w:r>
    </w:p>
    <w:p>
      <w:pPr>
        <w:pStyle w:val="BodyText"/>
        <w:spacing w:before="10"/>
        <w:rPr>
          <w:sz w:val="17"/>
        </w:rPr>
      </w:pPr>
    </w:p>
    <w:p>
      <w:pPr>
        <w:pStyle w:val="ListParagraph"/>
        <w:numPr>
          <w:ilvl w:val="0"/>
          <w:numId w:val="94"/>
        </w:numPr>
        <w:tabs>
          <w:tab w:pos="1824" w:val="left" w:leader="none"/>
        </w:tabs>
        <w:spacing w:line="240" w:lineRule="auto" w:before="0" w:after="0"/>
        <w:ind w:left="1824" w:right="1541" w:hanging="396"/>
        <w:jc w:val="left"/>
        <w:rPr>
          <w:sz w:val="18"/>
        </w:rPr>
      </w:pPr>
      <w:r>
        <w:rPr>
          <w:sz w:val="18"/>
        </w:rPr>
        <w:t>There</w:t>
      </w:r>
      <w:r>
        <w:rPr>
          <w:spacing w:val="-5"/>
          <w:sz w:val="18"/>
        </w:rPr>
        <w:t> </w:t>
      </w:r>
      <w:r>
        <w:rPr>
          <w:sz w:val="18"/>
        </w:rPr>
        <w:t>are</w:t>
      </w:r>
      <w:r>
        <w:rPr>
          <w:spacing w:val="-5"/>
          <w:sz w:val="18"/>
        </w:rPr>
        <w:t> </w:t>
      </w:r>
      <w:r>
        <w:rPr>
          <w:sz w:val="18"/>
        </w:rPr>
        <w:t>reasonable</w:t>
      </w:r>
      <w:r>
        <w:rPr>
          <w:spacing w:val="-5"/>
          <w:sz w:val="18"/>
        </w:rPr>
        <w:t> </w:t>
      </w:r>
      <w:r>
        <w:rPr>
          <w:sz w:val="18"/>
        </w:rPr>
        <w:t>grounds</w:t>
      </w:r>
      <w:r>
        <w:rPr>
          <w:spacing w:val="-5"/>
          <w:sz w:val="18"/>
        </w:rPr>
        <w:t> </w:t>
      </w:r>
      <w:r>
        <w:rPr>
          <w:sz w:val="18"/>
        </w:rPr>
        <w:t>to</w:t>
      </w:r>
      <w:r>
        <w:rPr>
          <w:spacing w:val="-5"/>
          <w:sz w:val="18"/>
        </w:rPr>
        <w:t> </w:t>
      </w:r>
      <w:r>
        <w:rPr>
          <w:sz w:val="18"/>
        </w:rPr>
        <w:t>believe</w:t>
      </w:r>
      <w:r>
        <w:rPr>
          <w:spacing w:val="-5"/>
          <w:sz w:val="18"/>
        </w:rPr>
        <w:t> </w:t>
      </w:r>
      <w:r>
        <w:rPr>
          <w:sz w:val="18"/>
        </w:rPr>
        <w:t>that</w:t>
      </w:r>
      <w:r>
        <w:rPr>
          <w:spacing w:val="-5"/>
          <w:sz w:val="18"/>
        </w:rPr>
        <w:t> </w:t>
      </w:r>
      <w:r>
        <w:rPr>
          <w:sz w:val="18"/>
        </w:rPr>
        <w:t>the</w:t>
      </w:r>
      <w:r>
        <w:rPr>
          <w:spacing w:val="-4"/>
          <w:sz w:val="18"/>
        </w:rPr>
        <w:t> </w:t>
      </w:r>
      <w:r>
        <w:rPr>
          <w:sz w:val="18"/>
        </w:rPr>
        <w:t>Trust</w:t>
      </w:r>
      <w:r>
        <w:rPr>
          <w:spacing w:val="-4"/>
          <w:sz w:val="18"/>
        </w:rPr>
        <w:t> </w:t>
      </w:r>
      <w:r>
        <w:rPr>
          <w:sz w:val="18"/>
        </w:rPr>
        <w:t>will</w:t>
      </w:r>
      <w:r>
        <w:rPr>
          <w:spacing w:val="-5"/>
          <w:sz w:val="18"/>
        </w:rPr>
        <w:t> </w:t>
      </w:r>
      <w:r>
        <w:rPr>
          <w:sz w:val="18"/>
        </w:rPr>
        <w:t>be</w:t>
      </w:r>
      <w:r>
        <w:rPr>
          <w:spacing w:val="-5"/>
          <w:sz w:val="18"/>
        </w:rPr>
        <w:t> </w:t>
      </w:r>
      <w:r>
        <w:rPr>
          <w:sz w:val="18"/>
        </w:rPr>
        <w:t>able</w:t>
      </w:r>
      <w:r>
        <w:rPr>
          <w:spacing w:val="-5"/>
          <w:sz w:val="18"/>
        </w:rPr>
        <w:t> </w:t>
      </w:r>
      <w:r>
        <w:rPr>
          <w:sz w:val="18"/>
        </w:rPr>
        <w:t>to</w:t>
      </w:r>
      <w:r>
        <w:rPr>
          <w:spacing w:val="-5"/>
          <w:sz w:val="18"/>
        </w:rPr>
        <w:t> </w:t>
      </w:r>
      <w:r>
        <w:rPr>
          <w:sz w:val="18"/>
        </w:rPr>
        <w:t>pay</w:t>
      </w:r>
      <w:r>
        <w:rPr>
          <w:spacing w:val="-5"/>
          <w:sz w:val="18"/>
        </w:rPr>
        <w:t> </w:t>
      </w:r>
      <w:r>
        <w:rPr>
          <w:sz w:val="18"/>
        </w:rPr>
        <w:t>its</w:t>
      </w:r>
      <w:r>
        <w:rPr>
          <w:spacing w:val="-5"/>
          <w:sz w:val="18"/>
        </w:rPr>
        <w:t> </w:t>
      </w:r>
      <w:r>
        <w:rPr>
          <w:sz w:val="18"/>
        </w:rPr>
        <w:t>debts</w:t>
      </w:r>
      <w:r>
        <w:rPr>
          <w:spacing w:val="-5"/>
          <w:sz w:val="18"/>
        </w:rPr>
        <w:t> </w:t>
      </w:r>
      <w:r>
        <w:rPr>
          <w:sz w:val="18"/>
        </w:rPr>
        <w:t>as</w:t>
      </w:r>
      <w:r>
        <w:rPr>
          <w:spacing w:val="-5"/>
          <w:sz w:val="18"/>
        </w:rPr>
        <w:t> </w:t>
      </w:r>
      <w:r>
        <w:rPr>
          <w:sz w:val="18"/>
        </w:rPr>
        <w:t>and</w:t>
      </w:r>
      <w:r>
        <w:rPr>
          <w:spacing w:val="-5"/>
          <w:sz w:val="18"/>
        </w:rPr>
        <w:t> </w:t>
      </w:r>
      <w:r>
        <w:rPr>
          <w:sz w:val="18"/>
        </w:rPr>
        <w:t>when</w:t>
      </w:r>
      <w:r>
        <w:rPr>
          <w:spacing w:val="-5"/>
          <w:sz w:val="18"/>
        </w:rPr>
        <w:t> </w:t>
      </w:r>
      <w:r>
        <w:rPr>
          <w:sz w:val="18"/>
        </w:rPr>
        <w:t>they</w:t>
      </w:r>
      <w:r>
        <w:rPr>
          <w:spacing w:val="-5"/>
          <w:sz w:val="18"/>
        </w:rPr>
        <w:t> </w:t>
      </w:r>
      <w:r>
        <w:rPr>
          <w:sz w:val="18"/>
        </w:rPr>
        <w:t>become</w:t>
      </w:r>
      <w:r>
        <w:rPr>
          <w:spacing w:val="-5"/>
          <w:sz w:val="18"/>
        </w:rPr>
        <w:t> </w:t>
      </w:r>
      <w:r>
        <w:rPr>
          <w:sz w:val="18"/>
        </w:rPr>
        <w:t>due</w:t>
      </w:r>
      <w:r>
        <w:rPr>
          <w:spacing w:val="-5"/>
          <w:sz w:val="18"/>
        </w:rPr>
        <w:t> </w:t>
      </w:r>
      <w:r>
        <w:rPr>
          <w:sz w:val="18"/>
        </w:rPr>
        <w:t>and payable.</w:t>
      </w:r>
    </w:p>
    <w:p>
      <w:pPr>
        <w:pStyle w:val="BodyText"/>
        <w:spacing w:before="11"/>
        <w:rPr>
          <w:sz w:val="24"/>
        </w:rPr>
      </w:pPr>
    </w:p>
    <w:p>
      <w:pPr>
        <w:pStyle w:val="BodyText"/>
        <w:ind w:left="1428" w:right="1338"/>
      </w:pPr>
      <w:r>
        <w:rPr/>
        <w:drawing>
          <wp:anchor distT="0" distB="0" distL="0" distR="0" allowOverlap="1" layoutInCell="1" locked="0" behindDoc="0" simplePos="0" relativeHeight="16240">
            <wp:simplePos x="0" y="0"/>
            <wp:positionH relativeFrom="page">
              <wp:posOffset>814459</wp:posOffset>
            </wp:positionH>
            <wp:positionV relativeFrom="paragraph">
              <wp:posOffset>279627</wp:posOffset>
            </wp:positionV>
            <wp:extent cx="6152506" cy="1534477"/>
            <wp:effectExtent l="0" t="0" r="0" b="0"/>
            <wp:wrapTopAndBottom/>
            <wp:docPr id="1117" name="image64.jpeg" descr=""/>
            <wp:cNvGraphicFramePr>
              <a:graphicFrameLocks noChangeAspect="1"/>
            </wp:cNvGraphicFramePr>
            <a:graphic>
              <a:graphicData uri="http://schemas.openxmlformats.org/drawingml/2006/picture">
                <pic:pic>
                  <pic:nvPicPr>
                    <pic:cNvPr id="1118" name="image64.jpeg"/>
                    <pic:cNvPicPr/>
                  </pic:nvPicPr>
                  <pic:blipFill>
                    <a:blip r:embed="rId144" cstate="print"/>
                    <a:stretch>
                      <a:fillRect/>
                    </a:stretch>
                  </pic:blipFill>
                  <pic:spPr>
                    <a:xfrm>
                      <a:off x="0" y="0"/>
                      <a:ext cx="6152506" cy="1534477"/>
                    </a:xfrm>
                    <a:prstGeom prst="rect">
                      <a:avLst/>
                    </a:prstGeom>
                  </pic:spPr>
                </pic:pic>
              </a:graphicData>
            </a:graphic>
          </wp:anchor>
        </w:drawing>
      </w:r>
      <w:r>
        <w:rPr/>
        <w:pict>
          <v:shape style="position:absolute;margin-left:64.130661pt;margin-top:22.017899pt;width:488.8pt;height:121.95pt;mso-position-horizontal-relative:page;mso-position-vertical-relative:paragraph;z-index:-1192072" type="#_x0000_t202" filled="false" stroked="false">
            <v:textbox inset="0,0,0,0">
              <w:txbxContent>
                <w:p>
                  <w:pPr>
                    <w:pStyle w:val="BodyText"/>
                  </w:pPr>
                </w:p>
                <w:p>
                  <w:pPr>
                    <w:pStyle w:val="BodyText"/>
                  </w:pPr>
                </w:p>
                <w:p>
                  <w:pPr>
                    <w:pStyle w:val="BodyText"/>
                  </w:pPr>
                </w:p>
                <w:p>
                  <w:pPr>
                    <w:pStyle w:val="BodyText"/>
                  </w:pPr>
                </w:p>
                <w:p>
                  <w:pPr>
                    <w:pStyle w:val="BodyText"/>
                  </w:pPr>
                </w:p>
                <w:p>
                  <w:pPr>
                    <w:pStyle w:val="BodyText"/>
                    <w:spacing w:before="6"/>
                    <w:rPr>
                      <w:sz w:val="24"/>
                    </w:rPr>
                  </w:pPr>
                </w:p>
                <w:p>
                  <w:pPr>
                    <w:pStyle w:val="BodyText"/>
                    <w:tabs>
                      <w:tab w:pos="5146" w:val="left" w:leader="none"/>
                    </w:tabs>
                    <w:ind w:left="187"/>
                  </w:pPr>
                  <w:r>
                    <w:rPr/>
                    <w:t>Director ..................................................................</w:t>
                    <w:tab/>
                    <w:t>Director</w:t>
                  </w:r>
                  <w:r>
                    <w:rPr>
                      <w:spacing w:val="1"/>
                    </w:rPr>
                    <w:t> </w:t>
                  </w:r>
                  <w:r>
                    <w:rPr/>
                    <w:t>..................................................................</w:t>
                  </w:r>
                </w:p>
                <w:p>
                  <w:pPr>
                    <w:pStyle w:val="BodyText"/>
                    <w:tabs>
                      <w:tab w:pos="5146" w:val="left" w:leader="none"/>
                    </w:tabs>
                    <w:spacing w:before="28"/>
                    <w:ind w:left="187"/>
                  </w:pPr>
                  <w:r>
                    <w:rPr/>
                    <w:t>The Hon.</w:t>
                  </w:r>
                  <w:r>
                    <w:rPr>
                      <w:spacing w:val="-8"/>
                    </w:rPr>
                    <w:t> </w:t>
                  </w:r>
                  <w:r>
                    <w:rPr/>
                    <w:t>John</w:t>
                  </w:r>
                  <w:r>
                    <w:rPr>
                      <w:spacing w:val="-4"/>
                    </w:rPr>
                    <w:t> </w:t>
                  </w:r>
                  <w:r>
                    <w:rPr/>
                    <w:t>Faulkner</w:t>
                    <w:tab/>
                    <w:t>Ms Gabrielle</w:t>
                  </w:r>
                  <w:r>
                    <w:rPr>
                      <w:spacing w:val="-19"/>
                    </w:rPr>
                    <w:t> </w:t>
                  </w:r>
                  <w:r>
                    <w:rPr/>
                    <w:t>Trainor</w:t>
                  </w:r>
                </w:p>
                <w:p>
                  <w:pPr>
                    <w:pStyle w:val="BodyText"/>
                  </w:pPr>
                </w:p>
                <w:p>
                  <w:pPr>
                    <w:pStyle w:val="BodyText"/>
                    <w:spacing w:before="4"/>
                    <w:rPr>
                      <w:sz w:val="20"/>
                    </w:rPr>
                  </w:pPr>
                </w:p>
                <w:p>
                  <w:pPr>
                    <w:pStyle w:val="BodyText"/>
                    <w:ind w:left="145"/>
                  </w:pPr>
                  <w:r>
                    <w:rPr/>
                    <w:t>Dated 17 February 2017</w:t>
                  </w:r>
                </w:p>
              </w:txbxContent>
            </v:textbox>
            <w10:wrap type="none"/>
          </v:shape>
        </w:pict>
      </w:r>
      <w:r>
        <w:rPr/>
        <w:t>This declaration is made in accordance with a resolution of the Trustee Company, the Whitlam Institute with Western Sydney University Limited.</w:t>
      </w:r>
    </w:p>
    <w:p>
      <w:pPr>
        <w:spacing w:after="0"/>
        <w:sectPr>
          <w:pgSz w:w="12750" w:h="17680"/>
          <w:pgMar w:header="0" w:footer="907" w:top="1880" w:bottom="1120" w:left="0" w:right="0"/>
        </w:sectPr>
      </w:pPr>
    </w:p>
    <w:p>
      <w:pPr>
        <w:pStyle w:val="BodyText"/>
        <w:rPr>
          <w:sz w:val="20"/>
        </w:rPr>
      </w:pPr>
    </w:p>
    <w:p>
      <w:pPr>
        <w:pStyle w:val="BodyText"/>
        <w:rPr>
          <w:sz w:val="20"/>
        </w:rPr>
      </w:pPr>
    </w:p>
    <w:p>
      <w:pPr>
        <w:pStyle w:val="BodyText"/>
        <w:spacing w:before="4"/>
        <w:rPr>
          <w:sz w:val="22"/>
        </w:rPr>
      </w:pPr>
    </w:p>
    <w:p>
      <w:pPr>
        <w:pStyle w:val="BodyText"/>
        <w:ind w:left="5589"/>
        <w:rPr>
          <w:sz w:val="20"/>
        </w:rPr>
      </w:pPr>
      <w:r>
        <w:rPr>
          <w:sz w:val="20"/>
        </w:rPr>
        <w:drawing>
          <wp:inline distT="0" distB="0" distL="0" distR="0">
            <wp:extent cx="1003907" cy="1060703"/>
            <wp:effectExtent l="0" t="0" r="0" b="0"/>
            <wp:docPr id="1121" name="image58.png" descr=""/>
            <wp:cNvGraphicFramePr>
              <a:graphicFrameLocks noChangeAspect="1"/>
            </wp:cNvGraphicFramePr>
            <a:graphic>
              <a:graphicData uri="http://schemas.openxmlformats.org/drawingml/2006/picture">
                <pic:pic>
                  <pic:nvPicPr>
                    <pic:cNvPr id="1122" name="image58.png"/>
                    <pic:cNvPicPr/>
                  </pic:nvPicPr>
                  <pic:blipFill>
                    <a:blip r:embed="rId134" cstate="print"/>
                    <a:stretch>
                      <a:fillRect/>
                    </a:stretch>
                  </pic:blipFill>
                  <pic:spPr>
                    <a:xfrm>
                      <a:off x="0" y="0"/>
                      <a:ext cx="1003907" cy="1060703"/>
                    </a:xfrm>
                    <a:prstGeom prst="rect">
                      <a:avLst/>
                    </a:prstGeom>
                  </pic:spPr>
                </pic:pic>
              </a:graphicData>
            </a:graphic>
          </wp:inline>
        </w:drawing>
      </w:r>
      <w:r>
        <w:rPr>
          <w:sz w:val="20"/>
        </w:rPr>
      </w:r>
    </w:p>
    <w:p>
      <w:pPr>
        <w:pStyle w:val="BodyText"/>
        <w:rPr>
          <w:sz w:val="20"/>
        </w:rPr>
      </w:pPr>
    </w:p>
    <w:p>
      <w:pPr>
        <w:pStyle w:val="BodyText"/>
        <w:rPr>
          <w:sz w:val="20"/>
        </w:rPr>
      </w:pPr>
    </w:p>
    <w:p>
      <w:pPr>
        <w:pStyle w:val="BodyText"/>
        <w:rPr>
          <w:sz w:val="20"/>
        </w:rPr>
      </w:pPr>
    </w:p>
    <w:p>
      <w:pPr>
        <w:pStyle w:val="BodyText"/>
        <w:spacing w:before="10"/>
        <w:rPr>
          <w:sz w:val="16"/>
        </w:rPr>
      </w:pPr>
    </w:p>
    <w:p>
      <w:pPr>
        <w:spacing w:before="70"/>
        <w:ind w:left="2107" w:right="2102" w:firstLine="0"/>
        <w:jc w:val="center"/>
        <w:rPr>
          <w:rFonts w:ascii="Times New Roman" w:hAnsi="Times New Roman"/>
          <w:sz w:val="24"/>
        </w:rPr>
      </w:pPr>
      <w:r>
        <w:rPr>
          <w:rFonts w:ascii="Times New Roman" w:hAnsi="Times New Roman"/>
          <w:w w:val="105"/>
          <w:sz w:val="24"/>
        </w:rPr>
        <w:t>INDEPENDENT AUDITOR’S REPORT</w:t>
      </w:r>
    </w:p>
    <w:p>
      <w:pPr>
        <w:spacing w:before="169"/>
        <w:ind w:left="3657" w:right="0" w:firstLine="0"/>
        <w:jc w:val="left"/>
        <w:rPr>
          <w:rFonts w:ascii="Times New Roman"/>
          <w:sz w:val="20"/>
        </w:rPr>
      </w:pPr>
      <w:r>
        <w:rPr>
          <w:rFonts w:ascii="Times New Roman"/>
          <w:w w:val="115"/>
          <w:sz w:val="20"/>
        </w:rPr>
        <w:t>Whitlam Institute within Western Sydney University Trust</w:t>
      </w:r>
    </w:p>
    <w:p>
      <w:pPr>
        <w:pStyle w:val="BodyText"/>
        <w:rPr>
          <w:rFonts w:ascii="Times New Roman"/>
          <w:sz w:val="20"/>
        </w:rPr>
      </w:pPr>
    </w:p>
    <w:p>
      <w:pPr>
        <w:pStyle w:val="BodyText"/>
        <w:rPr>
          <w:rFonts w:ascii="Times New Roman"/>
          <w:sz w:val="20"/>
        </w:rPr>
      </w:pPr>
    </w:p>
    <w:p>
      <w:pPr>
        <w:spacing w:before="123"/>
        <w:ind w:left="1838" w:right="0" w:firstLine="0"/>
        <w:jc w:val="left"/>
        <w:rPr>
          <w:rFonts w:ascii="Times New Roman"/>
          <w:sz w:val="20"/>
        </w:rPr>
      </w:pPr>
      <w:r>
        <w:rPr>
          <w:rFonts w:ascii="Times New Roman"/>
          <w:w w:val="105"/>
          <w:sz w:val="20"/>
        </w:rPr>
        <w:t>To Members of  the New South Wales  Parliament</w:t>
      </w:r>
    </w:p>
    <w:p>
      <w:pPr>
        <w:spacing w:before="167"/>
        <w:ind w:left="1838" w:right="0" w:firstLine="0"/>
        <w:jc w:val="left"/>
        <w:rPr>
          <w:rFonts w:ascii="Times New Roman"/>
          <w:sz w:val="24"/>
        </w:rPr>
      </w:pPr>
      <w:r>
        <w:rPr>
          <w:rFonts w:ascii="Times New Roman"/>
          <w:w w:val="115"/>
          <w:sz w:val="24"/>
        </w:rPr>
        <w:t>Opinion</w:t>
      </w:r>
    </w:p>
    <w:p>
      <w:pPr>
        <w:spacing w:line="249" w:lineRule="auto" w:before="128"/>
        <w:ind w:left="1838" w:right="1862" w:firstLine="0"/>
        <w:jc w:val="left"/>
        <w:rPr>
          <w:rFonts w:ascii="Times New Roman"/>
          <w:sz w:val="20"/>
        </w:rPr>
      </w:pPr>
      <w:r>
        <w:rPr>
          <w:rFonts w:ascii="Times New Roman"/>
          <w:w w:val="105"/>
          <w:sz w:val="20"/>
        </w:rPr>
        <w:t>I </w:t>
      </w:r>
      <w:r>
        <w:rPr>
          <w:rFonts w:ascii="Times New Roman"/>
          <w:spacing w:val="-3"/>
          <w:w w:val="105"/>
          <w:sz w:val="20"/>
        </w:rPr>
        <w:t>have audited </w:t>
      </w:r>
      <w:r>
        <w:rPr>
          <w:rFonts w:ascii="Times New Roman"/>
          <w:spacing w:val="-2"/>
          <w:w w:val="105"/>
          <w:sz w:val="20"/>
        </w:rPr>
        <w:t>the </w:t>
      </w:r>
      <w:r>
        <w:rPr>
          <w:rFonts w:ascii="Times New Roman"/>
          <w:spacing w:val="-3"/>
          <w:w w:val="105"/>
          <w:sz w:val="20"/>
        </w:rPr>
        <w:t>accompanying financial statements of Whitlam Institute </w:t>
      </w:r>
      <w:r>
        <w:rPr>
          <w:rFonts w:ascii="Times New Roman"/>
          <w:spacing w:val="-4"/>
          <w:w w:val="105"/>
          <w:sz w:val="20"/>
        </w:rPr>
        <w:t>within </w:t>
      </w:r>
      <w:r>
        <w:rPr>
          <w:rFonts w:ascii="Times New Roman"/>
          <w:w w:val="105"/>
          <w:sz w:val="20"/>
        </w:rPr>
        <w:t>Western </w:t>
      </w:r>
      <w:r>
        <w:rPr>
          <w:rFonts w:ascii="Times New Roman"/>
          <w:spacing w:val="-3"/>
          <w:w w:val="105"/>
          <w:sz w:val="20"/>
        </w:rPr>
        <w:t>Sydney    University </w:t>
      </w:r>
      <w:r>
        <w:rPr>
          <w:rFonts w:ascii="Times New Roman"/>
          <w:w w:val="105"/>
          <w:sz w:val="20"/>
        </w:rPr>
        <w:t>Trust </w:t>
      </w:r>
      <w:r>
        <w:rPr>
          <w:rFonts w:ascii="Times New Roman"/>
          <w:spacing w:val="-3"/>
          <w:w w:val="105"/>
          <w:sz w:val="20"/>
        </w:rPr>
        <w:t>(the Trust), which comprise </w:t>
      </w:r>
      <w:r>
        <w:rPr>
          <w:rFonts w:ascii="Times New Roman"/>
          <w:spacing w:val="-2"/>
          <w:w w:val="105"/>
          <w:sz w:val="20"/>
        </w:rPr>
        <w:t>the </w:t>
      </w:r>
      <w:r>
        <w:rPr>
          <w:rFonts w:ascii="Times New Roman"/>
          <w:spacing w:val="-3"/>
          <w:w w:val="105"/>
          <w:sz w:val="20"/>
        </w:rPr>
        <w:t>statement </w:t>
      </w:r>
      <w:r>
        <w:rPr>
          <w:rFonts w:ascii="Times New Roman"/>
          <w:w w:val="105"/>
          <w:sz w:val="20"/>
        </w:rPr>
        <w:t>of </w:t>
      </w:r>
      <w:r>
        <w:rPr>
          <w:rFonts w:ascii="Times New Roman"/>
          <w:spacing w:val="-3"/>
          <w:w w:val="105"/>
          <w:sz w:val="20"/>
        </w:rPr>
        <w:t>financial position </w:t>
      </w:r>
      <w:r>
        <w:rPr>
          <w:rFonts w:ascii="Times New Roman"/>
          <w:w w:val="105"/>
          <w:sz w:val="20"/>
        </w:rPr>
        <w:t>as at 31 </w:t>
      </w:r>
      <w:r>
        <w:rPr>
          <w:rFonts w:ascii="Times New Roman"/>
          <w:spacing w:val="-3"/>
          <w:w w:val="105"/>
          <w:sz w:val="20"/>
        </w:rPr>
        <w:t>December 2016,     </w:t>
      </w:r>
      <w:r>
        <w:rPr>
          <w:rFonts w:ascii="Times New Roman"/>
          <w:spacing w:val="-2"/>
          <w:w w:val="105"/>
          <w:sz w:val="20"/>
        </w:rPr>
        <w:t>the </w:t>
      </w:r>
      <w:r>
        <w:rPr>
          <w:rFonts w:ascii="Times New Roman"/>
          <w:spacing w:val="-3"/>
          <w:w w:val="105"/>
          <w:sz w:val="20"/>
        </w:rPr>
        <w:t>statement  of  comprehensive  income,  statement  of  </w:t>
      </w:r>
      <w:r>
        <w:rPr>
          <w:rFonts w:ascii="Times New Roman"/>
          <w:spacing w:val="-4"/>
          <w:w w:val="105"/>
          <w:sz w:val="20"/>
        </w:rPr>
        <w:t>changes  </w:t>
      </w:r>
      <w:r>
        <w:rPr>
          <w:rFonts w:ascii="Times New Roman"/>
          <w:spacing w:val="-3"/>
          <w:w w:val="105"/>
          <w:sz w:val="20"/>
        </w:rPr>
        <w:t>in  equity and  statement  </w:t>
      </w:r>
      <w:r>
        <w:rPr>
          <w:rFonts w:ascii="Times New Roman"/>
          <w:w w:val="105"/>
          <w:sz w:val="20"/>
        </w:rPr>
        <w:t>of  cash </w:t>
      </w:r>
      <w:r>
        <w:rPr>
          <w:rFonts w:ascii="Times New Roman"/>
          <w:spacing w:val="-3"/>
          <w:w w:val="105"/>
          <w:sz w:val="20"/>
        </w:rPr>
        <w:t>flows </w:t>
      </w:r>
      <w:r>
        <w:rPr>
          <w:rFonts w:ascii="Times New Roman"/>
          <w:w w:val="105"/>
          <w:sz w:val="20"/>
        </w:rPr>
        <w:t>for </w:t>
      </w:r>
      <w:r>
        <w:rPr>
          <w:rFonts w:ascii="Times New Roman"/>
          <w:spacing w:val="-2"/>
          <w:w w:val="105"/>
          <w:sz w:val="20"/>
        </w:rPr>
        <w:t>the </w:t>
      </w:r>
      <w:r>
        <w:rPr>
          <w:rFonts w:ascii="Times New Roman"/>
          <w:spacing w:val="-4"/>
          <w:w w:val="105"/>
          <w:sz w:val="20"/>
        </w:rPr>
        <w:t>year </w:t>
      </w:r>
      <w:r>
        <w:rPr>
          <w:rFonts w:ascii="Times New Roman"/>
          <w:spacing w:val="-3"/>
          <w:w w:val="105"/>
          <w:sz w:val="20"/>
        </w:rPr>
        <w:t>then ended, notes comprising </w:t>
      </w:r>
      <w:r>
        <w:rPr>
          <w:rFonts w:ascii="Times New Roman"/>
          <w:w w:val="105"/>
          <w:sz w:val="20"/>
        </w:rPr>
        <w:t>a summary of </w:t>
      </w:r>
      <w:r>
        <w:rPr>
          <w:rFonts w:ascii="Times New Roman"/>
          <w:spacing w:val="-3"/>
          <w:w w:val="105"/>
          <w:sz w:val="20"/>
        </w:rPr>
        <w:t>significant accounting </w:t>
      </w:r>
      <w:r>
        <w:rPr>
          <w:rFonts w:ascii="Times New Roman"/>
          <w:spacing w:val="-4"/>
          <w:w w:val="105"/>
          <w:sz w:val="20"/>
        </w:rPr>
        <w:t>policies and </w:t>
      </w:r>
      <w:r>
        <w:rPr>
          <w:rFonts w:ascii="Times New Roman"/>
          <w:spacing w:val="-3"/>
          <w:w w:val="105"/>
          <w:sz w:val="20"/>
        </w:rPr>
        <w:t>other explanatory information.</w:t>
      </w:r>
    </w:p>
    <w:p>
      <w:pPr>
        <w:spacing w:before="171"/>
        <w:ind w:left="1838" w:right="0" w:firstLine="0"/>
        <w:jc w:val="left"/>
        <w:rPr>
          <w:rFonts w:ascii="Times New Roman"/>
          <w:sz w:val="20"/>
        </w:rPr>
      </w:pPr>
      <w:r>
        <w:rPr>
          <w:rFonts w:ascii="Times New Roman"/>
          <w:w w:val="105"/>
          <w:sz w:val="20"/>
        </w:rPr>
        <w:t>In my opinion,  the financial statements:</w:t>
      </w:r>
    </w:p>
    <w:p>
      <w:pPr>
        <w:pStyle w:val="BodyText"/>
        <w:spacing w:before="10"/>
        <w:rPr>
          <w:rFonts w:ascii="Times New Roman"/>
          <w:sz w:val="15"/>
        </w:rPr>
      </w:pPr>
    </w:p>
    <w:p>
      <w:pPr>
        <w:pStyle w:val="ListParagraph"/>
        <w:numPr>
          <w:ilvl w:val="0"/>
          <w:numId w:val="95"/>
        </w:numPr>
        <w:tabs>
          <w:tab w:pos="2405" w:val="left" w:leader="none"/>
        </w:tabs>
        <w:spacing w:line="249" w:lineRule="auto" w:before="0" w:after="0"/>
        <w:ind w:left="2404" w:right="1901" w:hanging="566"/>
        <w:jc w:val="left"/>
        <w:rPr>
          <w:rFonts w:ascii="Times New Roman"/>
          <w:sz w:val="20"/>
        </w:rPr>
      </w:pPr>
      <w:r>
        <w:rPr>
          <w:rFonts w:ascii="Times New Roman"/>
          <w:w w:val="110"/>
          <w:sz w:val="20"/>
        </w:rPr>
        <w:t>give</w:t>
      </w:r>
      <w:r>
        <w:rPr>
          <w:rFonts w:ascii="Times New Roman"/>
          <w:spacing w:val="-6"/>
          <w:w w:val="110"/>
          <w:sz w:val="20"/>
        </w:rPr>
        <w:t> </w:t>
      </w:r>
      <w:r>
        <w:rPr>
          <w:rFonts w:ascii="Times New Roman"/>
          <w:w w:val="110"/>
          <w:sz w:val="20"/>
        </w:rPr>
        <w:t>a</w:t>
      </w:r>
      <w:r>
        <w:rPr>
          <w:rFonts w:ascii="Times New Roman"/>
          <w:spacing w:val="-4"/>
          <w:w w:val="110"/>
          <w:sz w:val="20"/>
        </w:rPr>
        <w:t> </w:t>
      </w:r>
      <w:r>
        <w:rPr>
          <w:rFonts w:ascii="Times New Roman"/>
          <w:w w:val="110"/>
          <w:sz w:val="20"/>
        </w:rPr>
        <w:t>true</w:t>
      </w:r>
      <w:r>
        <w:rPr>
          <w:rFonts w:ascii="Times New Roman"/>
          <w:spacing w:val="-3"/>
          <w:w w:val="110"/>
          <w:sz w:val="20"/>
        </w:rPr>
        <w:t> </w:t>
      </w:r>
      <w:r>
        <w:rPr>
          <w:rFonts w:ascii="Times New Roman"/>
          <w:w w:val="110"/>
          <w:sz w:val="20"/>
        </w:rPr>
        <w:t>and</w:t>
      </w:r>
      <w:r>
        <w:rPr>
          <w:rFonts w:ascii="Times New Roman"/>
          <w:spacing w:val="-2"/>
          <w:w w:val="110"/>
          <w:sz w:val="20"/>
        </w:rPr>
        <w:t> </w:t>
      </w:r>
      <w:r>
        <w:rPr>
          <w:rFonts w:ascii="Times New Roman"/>
          <w:w w:val="110"/>
          <w:sz w:val="20"/>
        </w:rPr>
        <w:t>fair</w:t>
      </w:r>
      <w:r>
        <w:rPr>
          <w:rFonts w:ascii="Times New Roman"/>
          <w:spacing w:val="-5"/>
          <w:w w:val="110"/>
          <w:sz w:val="20"/>
        </w:rPr>
        <w:t> </w:t>
      </w:r>
      <w:r>
        <w:rPr>
          <w:rFonts w:ascii="Times New Roman"/>
          <w:w w:val="110"/>
          <w:sz w:val="20"/>
        </w:rPr>
        <w:t>view</w:t>
      </w:r>
      <w:r>
        <w:rPr>
          <w:rFonts w:ascii="Times New Roman"/>
          <w:spacing w:val="-5"/>
          <w:w w:val="110"/>
          <w:sz w:val="20"/>
        </w:rPr>
        <w:t> </w:t>
      </w:r>
      <w:r>
        <w:rPr>
          <w:rFonts w:ascii="Times New Roman"/>
          <w:w w:val="110"/>
          <w:sz w:val="20"/>
        </w:rPr>
        <w:t>of</w:t>
      </w:r>
      <w:r>
        <w:rPr>
          <w:rFonts w:ascii="Times New Roman"/>
          <w:spacing w:val="-3"/>
          <w:w w:val="110"/>
          <w:sz w:val="20"/>
        </w:rPr>
        <w:t> </w:t>
      </w:r>
      <w:r>
        <w:rPr>
          <w:rFonts w:ascii="Times New Roman"/>
          <w:w w:val="110"/>
          <w:sz w:val="20"/>
        </w:rPr>
        <w:t>the</w:t>
      </w:r>
      <w:r>
        <w:rPr>
          <w:rFonts w:ascii="Times New Roman"/>
          <w:spacing w:val="-5"/>
          <w:w w:val="110"/>
          <w:sz w:val="20"/>
        </w:rPr>
        <w:t> </w:t>
      </w:r>
      <w:r>
        <w:rPr>
          <w:rFonts w:ascii="Times New Roman"/>
          <w:w w:val="110"/>
          <w:sz w:val="20"/>
        </w:rPr>
        <w:t>financial</w:t>
      </w:r>
      <w:r>
        <w:rPr>
          <w:rFonts w:ascii="Times New Roman"/>
          <w:spacing w:val="-5"/>
          <w:w w:val="110"/>
          <w:sz w:val="20"/>
        </w:rPr>
        <w:t> </w:t>
      </w:r>
      <w:r>
        <w:rPr>
          <w:rFonts w:ascii="Times New Roman"/>
          <w:w w:val="110"/>
          <w:sz w:val="20"/>
        </w:rPr>
        <w:t>position</w:t>
      </w:r>
      <w:r>
        <w:rPr>
          <w:rFonts w:ascii="Times New Roman"/>
          <w:spacing w:val="-4"/>
          <w:w w:val="110"/>
          <w:sz w:val="20"/>
        </w:rPr>
        <w:t> </w:t>
      </w:r>
      <w:r>
        <w:rPr>
          <w:rFonts w:ascii="Times New Roman"/>
          <w:w w:val="110"/>
          <w:sz w:val="20"/>
        </w:rPr>
        <w:t>of</w:t>
      </w:r>
      <w:r>
        <w:rPr>
          <w:rFonts w:ascii="Times New Roman"/>
          <w:spacing w:val="-3"/>
          <w:w w:val="110"/>
          <w:sz w:val="20"/>
        </w:rPr>
        <w:t> </w:t>
      </w:r>
      <w:r>
        <w:rPr>
          <w:rFonts w:ascii="Times New Roman"/>
          <w:w w:val="110"/>
          <w:sz w:val="20"/>
        </w:rPr>
        <w:t>the</w:t>
      </w:r>
      <w:r>
        <w:rPr>
          <w:rFonts w:ascii="Times New Roman"/>
          <w:spacing w:val="-3"/>
          <w:w w:val="110"/>
          <w:sz w:val="20"/>
        </w:rPr>
        <w:t> </w:t>
      </w:r>
      <w:r>
        <w:rPr>
          <w:rFonts w:ascii="Times New Roman"/>
          <w:w w:val="110"/>
          <w:sz w:val="20"/>
        </w:rPr>
        <w:t>Trust</w:t>
      </w:r>
      <w:r>
        <w:rPr>
          <w:rFonts w:ascii="Times New Roman"/>
          <w:spacing w:val="-7"/>
          <w:w w:val="110"/>
          <w:sz w:val="20"/>
        </w:rPr>
        <w:t> </w:t>
      </w:r>
      <w:r>
        <w:rPr>
          <w:rFonts w:ascii="Times New Roman"/>
          <w:w w:val="110"/>
          <w:sz w:val="20"/>
        </w:rPr>
        <w:t>as</w:t>
      </w:r>
      <w:r>
        <w:rPr>
          <w:rFonts w:ascii="Times New Roman"/>
          <w:spacing w:val="-5"/>
          <w:w w:val="110"/>
          <w:sz w:val="20"/>
        </w:rPr>
        <w:t> </w:t>
      </w:r>
      <w:r>
        <w:rPr>
          <w:rFonts w:ascii="Times New Roman"/>
          <w:w w:val="110"/>
          <w:sz w:val="20"/>
        </w:rPr>
        <w:t>at</w:t>
      </w:r>
      <w:r>
        <w:rPr>
          <w:rFonts w:ascii="Times New Roman"/>
          <w:spacing w:val="-5"/>
          <w:w w:val="110"/>
          <w:sz w:val="20"/>
        </w:rPr>
        <w:t> </w:t>
      </w:r>
      <w:r>
        <w:rPr>
          <w:rFonts w:ascii="Times New Roman"/>
          <w:w w:val="110"/>
          <w:sz w:val="20"/>
        </w:rPr>
        <w:t>31</w:t>
      </w:r>
      <w:r>
        <w:rPr>
          <w:rFonts w:ascii="Times New Roman"/>
          <w:spacing w:val="-5"/>
          <w:w w:val="110"/>
          <w:sz w:val="20"/>
        </w:rPr>
        <w:t> </w:t>
      </w:r>
      <w:r>
        <w:rPr>
          <w:rFonts w:ascii="Times New Roman"/>
          <w:w w:val="110"/>
          <w:sz w:val="20"/>
        </w:rPr>
        <w:t>December</w:t>
      </w:r>
      <w:r>
        <w:rPr>
          <w:rFonts w:ascii="Times New Roman"/>
          <w:spacing w:val="-4"/>
          <w:w w:val="110"/>
          <w:sz w:val="20"/>
        </w:rPr>
        <w:t> </w:t>
      </w:r>
      <w:r>
        <w:rPr>
          <w:rFonts w:ascii="Times New Roman"/>
          <w:w w:val="110"/>
          <w:sz w:val="20"/>
        </w:rPr>
        <w:t>2016,</w:t>
      </w:r>
      <w:r>
        <w:rPr>
          <w:rFonts w:ascii="Times New Roman"/>
          <w:spacing w:val="-3"/>
          <w:w w:val="110"/>
          <w:sz w:val="20"/>
        </w:rPr>
        <w:t> </w:t>
      </w:r>
      <w:r>
        <w:rPr>
          <w:rFonts w:ascii="Times New Roman"/>
          <w:w w:val="110"/>
          <w:sz w:val="20"/>
        </w:rPr>
        <w:t>and</w:t>
      </w:r>
      <w:r>
        <w:rPr>
          <w:rFonts w:ascii="Times New Roman"/>
          <w:spacing w:val="-2"/>
          <w:w w:val="110"/>
          <w:sz w:val="20"/>
        </w:rPr>
        <w:t> </w:t>
      </w:r>
      <w:r>
        <w:rPr>
          <w:rFonts w:ascii="Times New Roman"/>
          <w:w w:val="110"/>
          <w:sz w:val="20"/>
        </w:rPr>
        <w:t>of</w:t>
      </w:r>
      <w:r>
        <w:rPr>
          <w:rFonts w:ascii="Times New Roman"/>
          <w:spacing w:val="-3"/>
          <w:w w:val="110"/>
          <w:sz w:val="20"/>
        </w:rPr>
        <w:t> </w:t>
      </w:r>
      <w:r>
        <w:rPr>
          <w:rFonts w:ascii="Times New Roman"/>
          <w:w w:val="110"/>
          <w:sz w:val="20"/>
        </w:rPr>
        <w:t>its financial performance and its cash flows for the year then</w:t>
      </w:r>
      <w:r>
        <w:rPr>
          <w:rFonts w:ascii="Times New Roman"/>
          <w:spacing w:val="1"/>
          <w:w w:val="110"/>
          <w:sz w:val="20"/>
        </w:rPr>
        <w:t> </w:t>
      </w:r>
      <w:r>
        <w:rPr>
          <w:rFonts w:ascii="Times New Roman"/>
          <w:w w:val="110"/>
          <w:sz w:val="20"/>
        </w:rPr>
        <w:t>ended</w:t>
      </w:r>
    </w:p>
    <w:p>
      <w:pPr>
        <w:pStyle w:val="ListParagraph"/>
        <w:numPr>
          <w:ilvl w:val="0"/>
          <w:numId w:val="95"/>
        </w:numPr>
        <w:tabs>
          <w:tab w:pos="2461" w:val="left" w:leader="none"/>
        </w:tabs>
        <w:spacing w:line="240" w:lineRule="auto" w:before="61" w:after="0"/>
        <w:ind w:left="2460" w:right="0" w:hanging="622"/>
        <w:jc w:val="left"/>
        <w:rPr>
          <w:rFonts w:ascii="Times New Roman"/>
          <w:sz w:val="20"/>
        </w:rPr>
      </w:pPr>
      <w:r>
        <w:rPr>
          <w:rFonts w:ascii="Times New Roman"/>
          <w:w w:val="105"/>
          <w:sz w:val="20"/>
        </w:rPr>
        <w:t>in accordance with Australian Accounting   </w:t>
      </w:r>
      <w:r>
        <w:rPr>
          <w:rFonts w:ascii="Times New Roman"/>
          <w:spacing w:val="10"/>
          <w:w w:val="105"/>
          <w:sz w:val="20"/>
        </w:rPr>
        <w:t> </w:t>
      </w:r>
      <w:r>
        <w:rPr>
          <w:rFonts w:ascii="Times New Roman"/>
          <w:w w:val="105"/>
          <w:sz w:val="20"/>
        </w:rPr>
        <w:t>Standards</w:t>
      </w:r>
    </w:p>
    <w:p>
      <w:pPr>
        <w:pStyle w:val="ListParagraph"/>
        <w:numPr>
          <w:ilvl w:val="0"/>
          <w:numId w:val="95"/>
        </w:numPr>
        <w:tabs>
          <w:tab w:pos="2405" w:val="left" w:leader="none"/>
        </w:tabs>
        <w:spacing w:line="252" w:lineRule="auto" w:before="67" w:after="0"/>
        <w:ind w:left="2404" w:right="2121" w:hanging="566"/>
        <w:jc w:val="left"/>
        <w:rPr>
          <w:rFonts w:ascii="Times New Roman"/>
          <w:sz w:val="20"/>
        </w:rPr>
      </w:pPr>
      <w:r>
        <w:rPr/>
        <w:drawing>
          <wp:anchor distT="0" distB="0" distL="0" distR="0" allowOverlap="1" layoutInCell="1" locked="0" behindDoc="0" simplePos="0" relativeHeight="16360">
            <wp:simplePos x="0" y="0"/>
            <wp:positionH relativeFrom="page">
              <wp:posOffset>-1587</wp:posOffset>
            </wp:positionH>
            <wp:positionV relativeFrom="paragraph">
              <wp:posOffset>215911</wp:posOffset>
            </wp:positionV>
            <wp:extent cx="136525" cy="155575"/>
            <wp:effectExtent l="0" t="0" r="0" b="0"/>
            <wp:wrapNone/>
            <wp:docPr id="1123" name="image13.png" descr=""/>
            <wp:cNvGraphicFramePr>
              <a:graphicFrameLocks noChangeAspect="1"/>
            </wp:cNvGraphicFramePr>
            <a:graphic>
              <a:graphicData uri="http://schemas.openxmlformats.org/drawingml/2006/picture">
                <pic:pic>
                  <pic:nvPicPr>
                    <pic:cNvPr id="1124" name="image13.png"/>
                    <pic:cNvPicPr/>
                  </pic:nvPicPr>
                  <pic:blipFill>
                    <a:blip r:embed="rId18" cstate="print"/>
                    <a:stretch>
                      <a:fillRect/>
                    </a:stretch>
                  </pic:blipFill>
                  <pic:spPr>
                    <a:xfrm>
                      <a:off x="0" y="0"/>
                      <a:ext cx="136525" cy="155575"/>
                    </a:xfrm>
                    <a:prstGeom prst="rect">
                      <a:avLst/>
                    </a:prstGeom>
                  </pic:spPr>
                </pic:pic>
              </a:graphicData>
            </a:graphic>
          </wp:anchor>
        </w:drawing>
      </w:r>
      <w:r>
        <w:rPr/>
        <w:drawing>
          <wp:anchor distT="0" distB="0" distL="0" distR="0" allowOverlap="1" layoutInCell="1" locked="0" behindDoc="0" simplePos="0" relativeHeight="16384">
            <wp:simplePos x="0" y="0"/>
            <wp:positionH relativeFrom="page">
              <wp:posOffset>7959026</wp:posOffset>
            </wp:positionH>
            <wp:positionV relativeFrom="paragraph">
              <wp:posOffset>215911</wp:posOffset>
            </wp:positionV>
            <wp:extent cx="135356" cy="155575"/>
            <wp:effectExtent l="0" t="0" r="0" b="0"/>
            <wp:wrapNone/>
            <wp:docPr id="1125" name="image14.png" descr=""/>
            <wp:cNvGraphicFramePr>
              <a:graphicFrameLocks noChangeAspect="1"/>
            </wp:cNvGraphicFramePr>
            <a:graphic>
              <a:graphicData uri="http://schemas.openxmlformats.org/drawingml/2006/picture">
                <pic:pic>
                  <pic:nvPicPr>
                    <pic:cNvPr id="1126" name="image14.png"/>
                    <pic:cNvPicPr/>
                  </pic:nvPicPr>
                  <pic:blipFill>
                    <a:blip r:embed="rId19" cstate="print"/>
                    <a:stretch>
                      <a:fillRect/>
                    </a:stretch>
                  </pic:blipFill>
                  <pic:spPr>
                    <a:xfrm>
                      <a:off x="0" y="0"/>
                      <a:ext cx="135356" cy="155575"/>
                    </a:xfrm>
                    <a:prstGeom prst="rect">
                      <a:avLst/>
                    </a:prstGeom>
                  </pic:spPr>
                </pic:pic>
              </a:graphicData>
            </a:graphic>
          </wp:anchor>
        </w:drawing>
      </w:r>
      <w:r>
        <w:rPr>
          <w:rFonts w:ascii="Times New Roman"/>
          <w:w w:val="105"/>
          <w:sz w:val="20"/>
        </w:rPr>
        <w:t>are in accordance with section 41B of the Public Finance and Audit Act 1983 (PF&amp;A Act) and  the  Public Finance and Audit Regulation </w:t>
      </w:r>
      <w:r>
        <w:rPr>
          <w:rFonts w:ascii="Times New Roman"/>
          <w:spacing w:val="39"/>
          <w:w w:val="105"/>
          <w:sz w:val="20"/>
        </w:rPr>
        <w:t> </w:t>
      </w:r>
      <w:r>
        <w:rPr>
          <w:rFonts w:ascii="Times New Roman"/>
          <w:w w:val="105"/>
          <w:sz w:val="20"/>
        </w:rPr>
        <w:t>2015.</w:t>
      </w:r>
    </w:p>
    <w:p>
      <w:pPr>
        <w:pStyle w:val="BodyText"/>
        <w:spacing w:before="9"/>
        <w:rPr>
          <w:rFonts w:ascii="Times New Roman"/>
          <w:sz w:val="16"/>
        </w:rPr>
      </w:pPr>
    </w:p>
    <w:p>
      <w:pPr>
        <w:spacing w:before="0"/>
        <w:ind w:left="1838" w:right="0" w:firstLine="0"/>
        <w:jc w:val="left"/>
        <w:rPr>
          <w:rFonts w:ascii="Times New Roman"/>
          <w:sz w:val="20"/>
        </w:rPr>
      </w:pPr>
      <w:r>
        <w:rPr>
          <w:rFonts w:ascii="Times New Roman"/>
          <w:w w:val="105"/>
          <w:sz w:val="20"/>
        </w:rPr>
        <w:t>My opinion should be read in conjunction with the rest of this  report.</w:t>
      </w:r>
    </w:p>
    <w:p>
      <w:pPr>
        <w:spacing w:before="169"/>
        <w:ind w:left="1838" w:right="0" w:firstLine="0"/>
        <w:jc w:val="left"/>
        <w:rPr>
          <w:rFonts w:ascii="Times New Roman"/>
          <w:sz w:val="24"/>
        </w:rPr>
      </w:pPr>
      <w:r>
        <w:rPr>
          <w:rFonts w:ascii="Times New Roman"/>
          <w:w w:val="115"/>
          <w:sz w:val="24"/>
        </w:rPr>
        <w:t>Basis for Opinion</w:t>
      </w:r>
    </w:p>
    <w:p>
      <w:pPr>
        <w:spacing w:line="249" w:lineRule="auto" w:before="126"/>
        <w:ind w:left="1838" w:right="2073" w:firstLine="0"/>
        <w:jc w:val="left"/>
        <w:rPr>
          <w:rFonts w:ascii="Times New Roman" w:hAnsi="Times New Roman"/>
          <w:sz w:val="20"/>
        </w:rPr>
      </w:pPr>
      <w:r>
        <w:rPr>
          <w:rFonts w:ascii="Times New Roman" w:hAnsi="Times New Roman"/>
          <w:w w:val="105"/>
          <w:sz w:val="20"/>
        </w:rPr>
        <w:t>I </w:t>
      </w:r>
      <w:r>
        <w:rPr>
          <w:rFonts w:ascii="Times New Roman" w:hAnsi="Times New Roman"/>
          <w:spacing w:val="-3"/>
          <w:w w:val="105"/>
          <w:sz w:val="20"/>
        </w:rPr>
        <w:t>conducted </w:t>
      </w:r>
      <w:r>
        <w:rPr>
          <w:rFonts w:ascii="Times New Roman" w:hAnsi="Times New Roman"/>
          <w:w w:val="105"/>
          <w:sz w:val="20"/>
        </w:rPr>
        <w:t>my </w:t>
      </w:r>
      <w:r>
        <w:rPr>
          <w:rFonts w:ascii="Times New Roman" w:hAnsi="Times New Roman"/>
          <w:spacing w:val="-3"/>
          <w:w w:val="105"/>
          <w:sz w:val="20"/>
        </w:rPr>
        <w:t>audit in accordance with Australian Auditing Standards. </w:t>
      </w:r>
      <w:r>
        <w:rPr>
          <w:rFonts w:ascii="Times New Roman" w:hAnsi="Times New Roman"/>
          <w:w w:val="105"/>
          <w:sz w:val="20"/>
        </w:rPr>
        <w:t>My </w:t>
      </w:r>
      <w:r>
        <w:rPr>
          <w:rFonts w:ascii="Times New Roman" w:hAnsi="Times New Roman"/>
          <w:spacing w:val="-4"/>
          <w:w w:val="105"/>
          <w:sz w:val="20"/>
        </w:rPr>
        <w:t>responsibilities </w:t>
      </w:r>
      <w:r>
        <w:rPr>
          <w:rFonts w:ascii="Times New Roman" w:hAnsi="Times New Roman"/>
          <w:spacing w:val="-3"/>
          <w:w w:val="105"/>
          <w:sz w:val="20"/>
        </w:rPr>
        <w:t>under the standards </w:t>
      </w:r>
      <w:r>
        <w:rPr>
          <w:rFonts w:ascii="Times New Roman" w:hAnsi="Times New Roman"/>
          <w:w w:val="105"/>
          <w:sz w:val="20"/>
        </w:rPr>
        <w:t>are </w:t>
      </w:r>
      <w:r>
        <w:rPr>
          <w:rFonts w:ascii="Times New Roman" w:hAnsi="Times New Roman"/>
          <w:spacing w:val="-3"/>
          <w:w w:val="105"/>
          <w:sz w:val="20"/>
        </w:rPr>
        <w:t>described </w:t>
      </w:r>
      <w:r>
        <w:rPr>
          <w:rFonts w:ascii="Times New Roman" w:hAnsi="Times New Roman"/>
          <w:w w:val="105"/>
          <w:sz w:val="20"/>
        </w:rPr>
        <w:t>in </w:t>
      </w:r>
      <w:r>
        <w:rPr>
          <w:rFonts w:ascii="Times New Roman" w:hAnsi="Times New Roman"/>
          <w:spacing w:val="-3"/>
          <w:w w:val="105"/>
          <w:sz w:val="20"/>
        </w:rPr>
        <w:t>the </w:t>
      </w:r>
      <w:r>
        <w:rPr>
          <w:rFonts w:ascii="Times New Roman" w:hAnsi="Times New Roman"/>
          <w:spacing w:val="-4"/>
          <w:w w:val="105"/>
          <w:sz w:val="20"/>
        </w:rPr>
        <w:t>‘Auditor’s Responsibilities </w:t>
      </w:r>
      <w:r>
        <w:rPr>
          <w:rFonts w:ascii="Times New Roman" w:hAnsi="Times New Roman"/>
          <w:spacing w:val="-3"/>
          <w:w w:val="105"/>
          <w:sz w:val="20"/>
        </w:rPr>
        <w:t>for </w:t>
      </w:r>
      <w:r>
        <w:rPr>
          <w:rFonts w:ascii="Times New Roman" w:hAnsi="Times New Roman"/>
          <w:spacing w:val="-2"/>
          <w:w w:val="105"/>
          <w:sz w:val="20"/>
        </w:rPr>
        <w:t>the </w:t>
      </w:r>
      <w:r>
        <w:rPr>
          <w:rFonts w:ascii="Times New Roman" w:hAnsi="Times New Roman"/>
          <w:spacing w:val="-3"/>
          <w:w w:val="105"/>
          <w:sz w:val="20"/>
        </w:rPr>
        <w:t>Audit </w:t>
      </w:r>
      <w:r>
        <w:rPr>
          <w:rFonts w:ascii="Times New Roman" w:hAnsi="Times New Roman"/>
          <w:w w:val="105"/>
          <w:sz w:val="20"/>
        </w:rPr>
        <w:t>of </w:t>
      </w:r>
      <w:r>
        <w:rPr>
          <w:rFonts w:ascii="Times New Roman" w:hAnsi="Times New Roman"/>
          <w:spacing w:val="-2"/>
          <w:w w:val="105"/>
          <w:sz w:val="20"/>
        </w:rPr>
        <w:t>the </w:t>
      </w:r>
      <w:r>
        <w:rPr>
          <w:rFonts w:ascii="Times New Roman" w:hAnsi="Times New Roman"/>
          <w:spacing w:val="-3"/>
          <w:w w:val="105"/>
          <w:sz w:val="20"/>
        </w:rPr>
        <w:t>Financial Statements’ section     </w:t>
      </w:r>
      <w:r>
        <w:rPr>
          <w:rFonts w:ascii="Times New Roman" w:hAnsi="Times New Roman"/>
          <w:w w:val="105"/>
          <w:sz w:val="20"/>
        </w:rPr>
        <w:t>of my</w:t>
      </w:r>
      <w:r>
        <w:rPr>
          <w:rFonts w:ascii="Times New Roman" w:hAnsi="Times New Roman"/>
          <w:spacing w:val="-1"/>
          <w:w w:val="105"/>
          <w:sz w:val="20"/>
        </w:rPr>
        <w:t> </w:t>
      </w:r>
      <w:r>
        <w:rPr>
          <w:rFonts w:ascii="Times New Roman" w:hAnsi="Times New Roman"/>
          <w:spacing w:val="-3"/>
          <w:w w:val="105"/>
          <w:sz w:val="20"/>
        </w:rPr>
        <w:t>report.</w:t>
      </w:r>
    </w:p>
    <w:p>
      <w:pPr>
        <w:spacing w:before="171"/>
        <w:ind w:left="1838" w:right="0" w:firstLine="0"/>
        <w:jc w:val="left"/>
        <w:rPr>
          <w:rFonts w:ascii="Times New Roman"/>
          <w:sz w:val="20"/>
        </w:rPr>
      </w:pPr>
      <w:r>
        <w:rPr>
          <w:rFonts w:ascii="Times New Roman"/>
          <w:sz w:val="20"/>
        </w:rPr>
        <w:t>I  am  independent  of  the  Trust  in  accordance  with  the  requirements  of the:</w:t>
      </w:r>
    </w:p>
    <w:p>
      <w:pPr>
        <w:pStyle w:val="BodyText"/>
        <w:spacing w:before="10"/>
        <w:rPr>
          <w:rFonts w:ascii="Times New Roman"/>
          <w:sz w:val="15"/>
        </w:rPr>
      </w:pPr>
    </w:p>
    <w:p>
      <w:pPr>
        <w:pStyle w:val="ListParagraph"/>
        <w:numPr>
          <w:ilvl w:val="0"/>
          <w:numId w:val="95"/>
        </w:numPr>
        <w:tabs>
          <w:tab w:pos="2405" w:val="left" w:leader="none"/>
        </w:tabs>
        <w:spacing w:line="240" w:lineRule="auto" w:before="0" w:after="0"/>
        <w:ind w:left="2404" w:right="0" w:hanging="566"/>
        <w:jc w:val="left"/>
        <w:rPr>
          <w:rFonts w:ascii="Times New Roman"/>
          <w:sz w:val="20"/>
        </w:rPr>
      </w:pPr>
      <w:r>
        <w:rPr>
          <w:rFonts w:ascii="Times New Roman"/>
          <w:w w:val="105"/>
          <w:sz w:val="20"/>
        </w:rPr>
        <w:t>Australian  Auditing</w:t>
      </w:r>
      <w:r>
        <w:rPr>
          <w:rFonts w:ascii="Times New Roman"/>
          <w:spacing w:val="19"/>
          <w:w w:val="105"/>
          <w:sz w:val="20"/>
        </w:rPr>
        <w:t> </w:t>
      </w:r>
      <w:r>
        <w:rPr>
          <w:rFonts w:ascii="Times New Roman"/>
          <w:w w:val="105"/>
          <w:sz w:val="20"/>
        </w:rPr>
        <w:t>Standards</w:t>
      </w:r>
    </w:p>
    <w:p>
      <w:pPr>
        <w:pStyle w:val="ListParagraph"/>
        <w:numPr>
          <w:ilvl w:val="0"/>
          <w:numId w:val="95"/>
        </w:numPr>
        <w:tabs>
          <w:tab w:pos="2405" w:val="left" w:leader="none"/>
        </w:tabs>
        <w:spacing w:line="249" w:lineRule="auto" w:before="70" w:after="0"/>
        <w:ind w:left="2404" w:right="2776" w:hanging="566"/>
        <w:jc w:val="left"/>
        <w:rPr>
          <w:rFonts w:ascii="Times New Roman" w:hAnsi="Times New Roman"/>
          <w:sz w:val="20"/>
        </w:rPr>
      </w:pPr>
      <w:r>
        <w:rPr>
          <w:rFonts w:ascii="Times New Roman" w:hAnsi="Times New Roman"/>
          <w:w w:val="105"/>
          <w:sz w:val="20"/>
        </w:rPr>
        <w:t>Accounting Professional and Ethical Standards Board’s APES 110 ‘Code of Ethics for Professional  Accountants’  (APES</w:t>
      </w:r>
      <w:r>
        <w:rPr>
          <w:rFonts w:ascii="Times New Roman" w:hAnsi="Times New Roman"/>
          <w:spacing w:val="15"/>
          <w:w w:val="105"/>
          <w:sz w:val="20"/>
        </w:rPr>
        <w:t> </w:t>
      </w:r>
      <w:r>
        <w:rPr>
          <w:rFonts w:ascii="Times New Roman" w:hAnsi="Times New Roman"/>
          <w:w w:val="105"/>
          <w:sz w:val="20"/>
        </w:rPr>
        <w:t>110).</w:t>
      </w:r>
    </w:p>
    <w:p>
      <w:pPr>
        <w:pStyle w:val="BodyText"/>
        <w:spacing w:before="2"/>
        <w:rPr>
          <w:rFonts w:ascii="Times New Roman"/>
          <w:sz w:val="17"/>
        </w:rPr>
      </w:pPr>
    </w:p>
    <w:p>
      <w:pPr>
        <w:spacing w:before="0"/>
        <w:ind w:left="1838" w:right="0" w:firstLine="0"/>
        <w:jc w:val="left"/>
        <w:rPr>
          <w:rFonts w:ascii="Times New Roman"/>
          <w:sz w:val="20"/>
        </w:rPr>
      </w:pPr>
      <w:r>
        <w:rPr>
          <w:rFonts w:ascii="Times New Roman"/>
          <w:sz w:val="20"/>
        </w:rPr>
        <w:t>I  have  also  fulfilled  my other  ethical  responsibilities  in  accordance  with  APES 110.</w:t>
      </w:r>
    </w:p>
    <w:p>
      <w:pPr>
        <w:pStyle w:val="BodyText"/>
        <w:spacing w:before="7"/>
        <w:rPr>
          <w:rFonts w:ascii="Times New Roman"/>
          <w:sz w:val="15"/>
        </w:rPr>
      </w:pPr>
    </w:p>
    <w:p>
      <w:pPr>
        <w:spacing w:line="247" w:lineRule="auto" w:before="1"/>
        <w:ind w:left="1838" w:right="2109" w:firstLine="0"/>
        <w:jc w:val="left"/>
        <w:rPr>
          <w:rFonts w:ascii="Times New Roman" w:hAnsi="Times New Roman"/>
          <w:sz w:val="20"/>
        </w:rPr>
      </w:pPr>
      <w:r>
        <w:rPr>
          <w:rFonts w:ascii="Times New Roman" w:hAnsi="Times New Roman"/>
          <w:w w:val="105"/>
          <w:sz w:val="20"/>
        </w:rPr>
        <w:t>The PF&amp;A Act further promotes independence by ensuring the Auditor–General and the Audit Office of New South Wales are not compromised in their roles    by:</w:t>
      </w:r>
    </w:p>
    <w:p>
      <w:pPr>
        <w:pStyle w:val="ListParagraph"/>
        <w:numPr>
          <w:ilvl w:val="0"/>
          <w:numId w:val="95"/>
        </w:numPr>
        <w:tabs>
          <w:tab w:pos="2405" w:val="left" w:leader="none"/>
        </w:tabs>
        <w:spacing w:line="249" w:lineRule="auto" w:before="176" w:after="0"/>
        <w:ind w:left="2404" w:right="2345" w:hanging="566"/>
        <w:jc w:val="left"/>
        <w:rPr>
          <w:rFonts w:ascii="Times New Roman" w:hAnsi="Times New Roman"/>
          <w:sz w:val="20"/>
        </w:rPr>
      </w:pPr>
      <w:r>
        <w:rPr>
          <w:rFonts w:ascii="Times New Roman" w:hAnsi="Times New Roman"/>
          <w:w w:val="110"/>
          <w:sz w:val="20"/>
        </w:rPr>
        <w:t>providing</w:t>
      </w:r>
      <w:r>
        <w:rPr>
          <w:rFonts w:ascii="Times New Roman" w:hAnsi="Times New Roman"/>
          <w:spacing w:val="-6"/>
          <w:w w:val="110"/>
          <w:sz w:val="20"/>
        </w:rPr>
        <w:t> </w:t>
      </w:r>
      <w:r>
        <w:rPr>
          <w:rFonts w:ascii="Times New Roman" w:hAnsi="Times New Roman"/>
          <w:w w:val="110"/>
          <w:sz w:val="20"/>
        </w:rPr>
        <w:t>that</w:t>
      </w:r>
      <w:r>
        <w:rPr>
          <w:rFonts w:ascii="Times New Roman" w:hAnsi="Times New Roman"/>
          <w:spacing w:val="-5"/>
          <w:w w:val="110"/>
          <w:sz w:val="20"/>
        </w:rPr>
        <w:t> </w:t>
      </w:r>
      <w:r>
        <w:rPr>
          <w:rFonts w:ascii="Times New Roman" w:hAnsi="Times New Roman"/>
          <w:w w:val="110"/>
          <w:sz w:val="20"/>
        </w:rPr>
        <w:t>only</w:t>
      </w:r>
      <w:r>
        <w:rPr>
          <w:rFonts w:ascii="Times New Roman" w:hAnsi="Times New Roman"/>
          <w:spacing w:val="-8"/>
          <w:w w:val="110"/>
          <w:sz w:val="20"/>
        </w:rPr>
        <w:t> </w:t>
      </w:r>
      <w:r>
        <w:rPr>
          <w:rFonts w:ascii="Times New Roman" w:hAnsi="Times New Roman"/>
          <w:w w:val="110"/>
          <w:sz w:val="20"/>
        </w:rPr>
        <w:t>Parliament,</w:t>
      </w:r>
      <w:r>
        <w:rPr>
          <w:rFonts w:ascii="Times New Roman" w:hAnsi="Times New Roman"/>
          <w:spacing w:val="-5"/>
          <w:w w:val="110"/>
          <w:sz w:val="20"/>
        </w:rPr>
        <w:t> </w:t>
      </w:r>
      <w:r>
        <w:rPr>
          <w:rFonts w:ascii="Times New Roman" w:hAnsi="Times New Roman"/>
          <w:w w:val="110"/>
          <w:sz w:val="20"/>
        </w:rPr>
        <w:t>and</w:t>
      </w:r>
      <w:r>
        <w:rPr>
          <w:rFonts w:ascii="Times New Roman" w:hAnsi="Times New Roman"/>
          <w:spacing w:val="-6"/>
          <w:w w:val="110"/>
          <w:sz w:val="20"/>
        </w:rPr>
        <w:t> </w:t>
      </w:r>
      <w:r>
        <w:rPr>
          <w:rFonts w:ascii="Times New Roman" w:hAnsi="Times New Roman"/>
          <w:w w:val="110"/>
          <w:sz w:val="20"/>
        </w:rPr>
        <w:t>not</w:t>
      </w:r>
      <w:r>
        <w:rPr>
          <w:rFonts w:ascii="Times New Roman" w:hAnsi="Times New Roman"/>
          <w:spacing w:val="-5"/>
          <w:w w:val="110"/>
          <w:sz w:val="20"/>
        </w:rPr>
        <w:t> </w:t>
      </w:r>
      <w:r>
        <w:rPr>
          <w:rFonts w:ascii="Times New Roman" w:hAnsi="Times New Roman"/>
          <w:w w:val="110"/>
          <w:sz w:val="20"/>
        </w:rPr>
        <w:t>the</w:t>
      </w:r>
      <w:r>
        <w:rPr>
          <w:rFonts w:ascii="Times New Roman" w:hAnsi="Times New Roman"/>
          <w:spacing w:val="-5"/>
          <w:w w:val="110"/>
          <w:sz w:val="20"/>
        </w:rPr>
        <w:t> </w:t>
      </w:r>
      <w:r>
        <w:rPr>
          <w:rFonts w:ascii="Times New Roman" w:hAnsi="Times New Roman"/>
          <w:w w:val="110"/>
          <w:sz w:val="20"/>
        </w:rPr>
        <w:t>executive</w:t>
      </w:r>
      <w:r>
        <w:rPr>
          <w:rFonts w:ascii="Times New Roman" w:hAnsi="Times New Roman"/>
          <w:spacing w:val="-3"/>
          <w:w w:val="110"/>
          <w:sz w:val="20"/>
        </w:rPr>
        <w:t> </w:t>
      </w:r>
      <w:r>
        <w:rPr>
          <w:rFonts w:ascii="Times New Roman" w:hAnsi="Times New Roman"/>
          <w:w w:val="110"/>
          <w:sz w:val="20"/>
        </w:rPr>
        <w:t>government,</w:t>
      </w:r>
      <w:r>
        <w:rPr>
          <w:rFonts w:ascii="Times New Roman" w:hAnsi="Times New Roman"/>
          <w:spacing w:val="-7"/>
          <w:w w:val="110"/>
          <w:sz w:val="20"/>
        </w:rPr>
        <w:t> </w:t>
      </w:r>
      <w:r>
        <w:rPr>
          <w:rFonts w:ascii="Times New Roman" w:hAnsi="Times New Roman"/>
          <w:w w:val="110"/>
          <w:sz w:val="20"/>
        </w:rPr>
        <w:t>can</w:t>
      </w:r>
      <w:r>
        <w:rPr>
          <w:rFonts w:ascii="Times New Roman" w:hAnsi="Times New Roman"/>
          <w:spacing w:val="-7"/>
          <w:w w:val="110"/>
          <w:sz w:val="20"/>
        </w:rPr>
        <w:t> </w:t>
      </w:r>
      <w:r>
        <w:rPr>
          <w:rFonts w:ascii="Times New Roman" w:hAnsi="Times New Roman"/>
          <w:w w:val="110"/>
          <w:sz w:val="20"/>
        </w:rPr>
        <w:t>remove</w:t>
      </w:r>
      <w:r>
        <w:rPr>
          <w:rFonts w:ascii="Times New Roman" w:hAnsi="Times New Roman"/>
          <w:spacing w:val="-7"/>
          <w:w w:val="110"/>
          <w:sz w:val="20"/>
        </w:rPr>
        <w:t> </w:t>
      </w:r>
      <w:r>
        <w:rPr>
          <w:rFonts w:ascii="Times New Roman" w:hAnsi="Times New Roman"/>
          <w:w w:val="110"/>
          <w:sz w:val="20"/>
        </w:rPr>
        <w:t>an</w:t>
      </w:r>
      <w:r>
        <w:rPr>
          <w:rFonts w:ascii="Times New Roman" w:hAnsi="Times New Roman"/>
          <w:spacing w:val="-8"/>
          <w:w w:val="110"/>
          <w:sz w:val="20"/>
        </w:rPr>
        <w:t> </w:t>
      </w:r>
      <w:r>
        <w:rPr>
          <w:rFonts w:ascii="Times New Roman" w:hAnsi="Times New Roman"/>
          <w:w w:val="110"/>
          <w:sz w:val="20"/>
        </w:rPr>
        <w:t>Auditor– General</w:t>
      </w:r>
    </w:p>
    <w:p>
      <w:pPr>
        <w:pStyle w:val="ListParagraph"/>
        <w:numPr>
          <w:ilvl w:val="0"/>
          <w:numId w:val="95"/>
        </w:numPr>
        <w:tabs>
          <w:tab w:pos="2405" w:val="left" w:leader="none"/>
        </w:tabs>
        <w:spacing w:line="249" w:lineRule="auto" w:before="61" w:after="0"/>
        <w:ind w:left="2404" w:right="2668" w:hanging="566"/>
        <w:jc w:val="left"/>
        <w:rPr>
          <w:rFonts w:ascii="Times New Roman" w:hAnsi="Times New Roman"/>
          <w:sz w:val="20"/>
        </w:rPr>
      </w:pPr>
      <w:r>
        <w:rPr>
          <w:rFonts w:ascii="Times New Roman" w:hAnsi="Times New Roman"/>
          <w:w w:val="105"/>
          <w:sz w:val="20"/>
        </w:rPr>
        <w:t>mandating the Auditor–General as auditor of public sector agencies, but precluding the provision  of  non-audit</w:t>
      </w:r>
      <w:r>
        <w:rPr>
          <w:rFonts w:ascii="Times New Roman" w:hAnsi="Times New Roman"/>
          <w:spacing w:val="-17"/>
          <w:w w:val="105"/>
          <w:sz w:val="20"/>
        </w:rPr>
        <w:t> </w:t>
      </w:r>
      <w:r>
        <w:rPr>
          <w:rFonts w:ascii="Times New Roman" w:hAnsi="Times New Roman"/>
          <w:w w:val="105"/>
          <w:sz w:val="20"/>
        </w:rPr>
        <w:t>services.</w:t>
      </w:r>
    </w:p>
    <w:p>
      <w:pPr>
        <w:pStyle w:val="BodyText"/>
        <w:spacing w:before="4"/>
        <w:rPr>
          <w:rFonts w:ascii="Times New Roman"/>
          <w:sz w:val="17"/>
        </w:rPr>
      </w:pPr>
    </w:p>
    <w:p>
      <w:pPr>
        <w:spacing w:line="247" w:lineRule="auto" w:before="1"/>
        <w:ind w:left="1838" w:right="1450" w:firstLine="0"/>
        <w:jc w:val="left"/>
        <w:rPr>
          <w:rFonts w:ascii="Times New Roman"/>
          <w:sz w:val="20"/>
        </w:rPr>
      </w:pPr>
      <w:r>
        <w:rPr/>
        <w:drawing>
          <wp:anchor distT="0" distB="0" distL="0" distR="0" allowOverlap="1" layoutInCell="1" locked="0" behindDoc="0" simplePos="0" relativeHeight="16336">
            <wp:simplePos x="0" y="0"/>
            <wp:positionH relativeFrom="page">
              <wp:posOffset>1167383</wp:posOffset>
            </wp:positionH>
            <wp:positionV relativeFrom="paragraph">
              <wp:posOffset>1114372</wp:posOffset>
            </wp:positionV>
            <wp:extent cx="5753099" cy="195071"/>
            <wp:effectExtent l="0" t="0" r="0" b="0"/>
            <wp:wrapNone/>
            <wp:docPr id="1127" name="image61.jpeg" descr=""/>
            <wp:cNvGraphicFramePr>
              <a:graphicFrameLocks noChangeAspect="1"/>
            </wp:cNvGraphicFramePr>
            <a:graphic>
              <a:graphicData uri="http://schemas.openxmlformats.org/drawingml/2006/picture">
                <pic:pic>
                  <pic:nvPicPr>
                    <pic:cNvPr id="1128" name="image61.jpeg"/>
                    <pic:cNvPicPr/>
                  </pic:nvPicPr>
                  <pic:blipFill>
                    <a:blip r:embed="rId137" cstate="print"/>
                    <a:stretch>
                      <a:fillRect/>
                    </a:stretch>
                  </pic:blipFill>
                  <pic:spPr>
                    <a:xfrm>
                      <a:off x="0" y="0"/>
                      <a:ext cx="5753099" cy="195071"/>
                    </a:xfrm>
                    <a:prstGeom prst="rect">
                      <a:avLst/>
                    </a:prstGeom>
                  </pic:spPr>
                </pic:pic>
              </a:graphicData>
            </a:graphic>
          </wp:anchor>
        </w:drawing>
      </w:r>
      <w:r>
        <w:rPr>
          <w:rFonts w:ascii="Times New Roman"/>
          <w:w w:val="110"/>
          <w:sz w:val="20"/>
        </w:rPr>
        <w:t>I </w:t>
      </w:r>
      <w:r>
        <w:rPr>
          <w:rFonts w:ascii="Times New Roman"/>
          <w:spacing w:val="-4"/>
          <w:w w:val="110"/>
          <w:sz w:val="20"/>
        </w:rPr>
        <w:t>believe </w:t>
      </w:r>
      <w:r>
        <w:rPr>
          <w:rFonts w:ascii="Times New Roman"/>
          <w:spacing w:val="-3"/>
          <w:w w:val="110"/>
          <w:sz w:val="20"/>
        </w:rPr>
        <w:t>the audit evidence </w:t>
      </w:r>
      <w:r>
        <w:rPr>
          <w:rFonts w:ascii="Times New Roman"/>
          <w:w w:val="110"/>
          <w:sz w:val="20"/>
        </w:rPr>
        <w:t>I </w:t>
      </w:r>
      <w:r>
        <w:rPr>
          <w:rFonts w:ascii="Times New Roman"/>
          <w:spacing w:val="-3"/>
          <w:w w:val="110"/>
          <w:sz w:val="20"/>
        </w:rPr>
        <w:t>have </w:t>
      </w:r>
      <w:r>
        <w:rPr>
          <w:rFonts w:ascii="Times New Roman"/>
          <w:spacing w:val="-4"/>
          <w:w w:val="110"/>
          <w:sz w:val="20"/>
        </w:rPr>
        <w:t>obtained </w:t>
      </w:r>
      <w:r>
        <w:rPr>
          <w:rFonts w:ascii="Times New Roman"/>
          <w:spacing w:val="-3"/>
          <w:w w:val="110"/>
          <w:sz w:val="20"/>
        </w:rPr>
        <w:t>is sufficient </w:t>
      </w:r>
      <w:r>
        <w:rPr>
          <w:rFonts w:ascii="Times New Roman"/>
          <w:spacing w:val="-4"/>
          <w:w w:val="110"/>
          <w:sz w:val="20"/>
        </w:rPr>
        <w:t>and </w:t>
      </w:r>
      <w:r>
        <w:rPr>
          <w:rFonts w:ascii="Times New Roman"/>
          <w:spacing w:val="-3"/>
          <w:w w:val="110"/>
          <w:sz w:val="20"/>
        </w:rPr>
        <w:t>appropriate </w:t>
      </w:r>
      <w:r>
        <w:rPr>
          <w:rFonts w:ascii="Times New Roman"/>
          <w:w w:val="110"/>
          <w:sz w:val="20"/>
        </w:rPr>
        <w:t>to </w:t>
      </w:r>
      <w:r>
        <w:rPr>
          <w:rFonts w:ascii="Times New Roman"/>
          <w:spacing w:val="-4"/>
          <w:w w:val="110"/>
          <w:sz w:val="20"/>
        </w:rPr>
        <w:t>provide </w:t>
      </w:r>
      <w:r>
        <w:rPr>
          <w:rFonts w:ascii="Times New Roman"/>
          <w:w w:val="110"/>
          <w:sz w:val="20"/>
        </w:rPr>
        <w:t>a </w:t>
      </w:r>
      <w:r>
        <w:rPr>
          <w:rFonts w:ascii="Times New Roman"/>
          <w:spacing w:val="-3"/>
          <w:w w:val="110"/>
          <w:sz w:val="20"/>
        </w:rPr>
        <w:t>basis </w:t>
      </w:r>
      <w:r>
        <w:rPr>
          <w:rFonts w:ascii="Times New Roman"/>
          <w:w w:val="110"/>
          <w:sz w:val="20"/>
        </w:rPr>
        <w:t>for my </w:t>
      </w:r>
      <w:r>
        <w:rPr>
          <w:rFonts w:ascii="Times New Roman"/>
          <w:spacing w:val="-3"/>
          <w:w w:val="110"/>
          <w:sz w:val="20"/>
        </w:rPr>
        <w:t>audit </w:t>
      </w:r>
      <w:r>
        <w:rPr>
          <w:rFonts w:ascii="Times New Roman"/>
          <w:spacing w:val="-4"/>
          <w:w w:val="110"/>
          <w:sz w:val="20"/>
        </w:rPr>
        <w:t>opinion.</w:t>
      </w:r>
    </w:p>
    <w:p>
      <w:pPr>
        <w:spacing w:after="0" w:line="247" w:lineRule="auto"/>
        <w:jc w:val="left"/>
        <w:rPr>
          <w:rFonts w:ascii="Times New Roman"/>
          <w:sz w:val="20"/>
        </w:rPr>
        <w:sectPr>
          <w:headerReference w:type="default" r:id="rId145"/>
          <w:pgSz w:w="12750" w:h="17680"/>
          <w:pgMar w:header="0" w:footer="907" w:top="420" w:bottom="1120" w:left="0" w:right="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9"/>
        <w:rPr>
          <w:rFonts w:ascii="Times New Roman"/>
          <w:sz w:val="16"/>
        </w:rPr>
      </w:pPr>
    </w:p>
    <w:p>
      <w:pPr>
        <w:spacing w:before="69"/>
        <w:ind w:left="1838" w:right="0" w:firstLine="0"/>
        <w:jc w:val="left"/>
        <w:rPr>
          <w:rFonts w:ascii="Times New Roman" w:hAnsi="Times New Roman"/>
          <w:sz w:val="24"/>
        </w:rPr>
      </w:pPr>
      <w:r>
        <w:rPr>
          <w:rFonts w:ascii="Times New Roman" w:hAnsi="Times New Roman"/>
          <w:w w:val="120"/>
          <w:sz w:val="24"/>
        </w:rPr>
        <w:t>Director’s Responsibility for the Financial Statements</w:t>
      </w:r>
    </w:p>
    <w:p>
      <w:pPr>
        <w:spacing w:line="249" w:lineRule="auto" w:before="126"/>
        <w:ind w:left="1838" w:right="1971" w:firstLine="0"/>
        <w:jc w:val="left"/>
        <w:rPr>
          <w:rFonts w:ascii="Times New Roman"/>
          <w:sz w:val="20"/>
        </w:rPr>
      </w:pPr>
      <w:r>
        <w:rPr>
          <w:rFonts w:ascii="Times New Roman"/>
          <w:w w:val="110"/>
          <w:sz w:val="20"/>
        </w:rPr>
        <w:t>The </w:t>
      </w:r>
      <w:r>
        <w:rPr>
          <w:rFonts w:ascii="Times New Roman"/>
          <w:spacing w:val="-3"/>
          <w:w w:val="110"/>
          <w:sz w:val="20"/>
        </w:rPr>
        <w:t>Directors </w:t>
      </w:r>
      <w:r>
        <w:rPr>
          <w:rFonts w:ascii="Times New Roman"/>
          <w:w w:val="110"/>
          <w:sz w:val="20"/>
        </w:rPr>
        <w:t>are </w:t>
      </w:r>
      <w:r>
        <w:rPr>
          <w:rFonts w:ascii="Times New Roman"/>
          <w:spacing w:val="-3"/>
          <w:w w:val="110"/>
          <w:sz w:val="20"/>
        </w:rPr>
        <w:t>responsible </w:t>
      </w:r>
      <w:r>
        <w:rPr>
          <w:rFonts w:ascii="Times New Roman"/>
          <w:w w:val="110"/>
          <w:sz w:val="20"/>
        </w:rPr>
        <w:t>for </w:t>
      </w:r>
      <w:r>
        <w:rPr>
          <w:rFonts w:ascii="Times New Roman"/>
          <w:spacing w:val="-2"/>
          <w:w w:val="110"/>
          <w:sz w:val="20"/>
        </w:rPr>
        <w:t>the </w:t>
      </w:r>
      <w:r>
        <w:rPr>
          <w:rFonts w:ascii="Times New Roman"/>
          <w:spacing w:val="-3"/>
          <w:w w:val="110"/>
          <w:sz w:val="20"/>
        </w:rPr>
        <w:t>preparation </w:t>
      </w:r>
      <w:r>
        <w:rPr>
          <w:rFonts w:ascii="Times New Roman"/>
          <w:spacing w:val="-2"/>
          <w:w w:val="110"/>
          <w:sz w:val="20"/>
        </w:rPr>
        <w:t>and </w:t>
      </w:r>
      <w:r>
        <w:rPr>
          <w:rFonts w:ascii="Times New Roman"/>
          <w:w w:val="110"/>
          <w:sz w:val="20"/>
        </w:rPr>
        <w:t>fair </w:t>
      </w:r>
      <w:r>
        <w:rPr>
          <w:rFonts w:ascii="Times New Roman"/>
          <w:spacing w:val="-3"/>
          <w:w w:val="110"/>
          <w:sz w:val="20"/>
        </w:rPr>
        <w:t>presentation </w:t>
      </w:r>
      <w:r>
        <w:rPr>
          <w:rFonts w:ascii="Times New Roman"/>
          <w:w w:val="110"/>
          <w:sz w:val="20"/>
        </w:rPr>
        <w:t>of </w:t>
      </w:r>
      <w:r>
        <w:rPr>
          <w:rFonts w:ascii="Times New Roman"/>
          <w:spacing w:val="-2"/>
          <w:w w:val="110"/>
          <w:sz w:val="20"/>
        </w:rPr>
        <w:t>the </w:t>
      </w:r>
      <w:r>
        <w:rPr>
          <w:rFonts w:ascii="Times New Roman"/>
          <w:spacing w:val="-3"/>
          <w:w w:val="110"/>
          <w:sz w:val="20"/>
        </w:rPr>
        <w:t>financial statements </w:t>
      </w:r>
      <w:r>
        <w:rPr>
          <w:rFonts w:ascii="Times New Roman"/>
          <w:w w:val="110"/>
          <w:sz w:val="20"/>
        </w:rPr>
        <w:t>in </w:t>
      </w:r>
      <w:r>
        <w:rPr>
          <w:rFonts w:ascii="Times New Roman"/>
          <w:spacing w:val="-3"/>
          <w:w w:val="110"/>
          <w:sz w:val="20"/>
        </w:rPr>
        <w:t>accordance</w:t>
      </w:r>
      <w:r>
        <w:rPr>
          <w:rFonts w:ascii="Times New Roman"/>
          <w:spacing w:val="-11"/>
          <w:w w:val="110"/>
          <w:sz w:val="20"/>
        </w:rPr>
        <w:t> </w:t>
      </w:r>
      <w:r>
        <w:rPr>
          <w:rFonts w:ascii="Times New Roman"/>
          <w:spacing w:val="-3"/>
          <w:w w:val="110"/>
          <w:sz w:val="20"/>
        </w:rPr>
        <w:t>with</w:t>
      </w:r>
      <w:r>
        <w:rPr>
          <w:rFonts w:ascii="Times New Roman"/>
          <w:spacing w:val="-11"/>
          <w:w w:val="110"/>
          <w:sz w:val="20"/>
        </w:rPr>
        <w:t> </w:t>
      </w:r>
      <w:r>
        <w:rPr>
          <w:rFonts w:ascii="Times New Roman"/>
          <w:spacing w:val="-3"/>
          <w:w w:val="110"/>
          <w:sz w:val="20"/>
        </w:rPr>
        <w:t>Australian</w:t>
      </w:r>
      <w:r>
        <w:rPr>
          <w:rFonts w:ascii="Times New Roman"/>
          <w:spacing w:val="-13"/>
          <w:w w:val="110"/>
          <w:sz w:val="20"/>
        </w:rPr>
        <w:t> </w:t>
      </w:r>
      <w:r>
        <w:rPr>
          <w:rFonts w:ascii="Times New Roman"/>
          <w:spacing w:val="-3"/>
          <w:w w:val="110"/>
          <w:sz w:val="20"/>
        </w:rPr>
        <w:t>Accounting</w:t>
      </w:r>
      <w:r>
        <w:rPr>
          <w:rFonts w:ascii="Times New Roman"/>
          <w:spacing w:val="-11"/>
          <w:w w:val="110"/>
          <w:sz w:val="20"/>
        </w:rPr>
        <w:t> </w:t>
      </w:r>
      <w:r>
        <w:rPr>
          <w:rFonts w:ascii="Times New Roman"/>
          <w:spacing w:val="-3"/>
          <w:w w:val="110"/>
          <w:sz w:val="20"/>
        </w:rPr>
        <w:t>Standards</w:t>
      </w:r>
      <w:r>
        <w:rPr>
          <w:rFonts w:ascii="Times New Roman"/>
          <w:spacing w:val="-10"/>
          <w:w w:val="110"/>
          <w:sz w:val="20"/>
        </w:rPr>
        <w:t> </w:t>
      </w:r>
      <w:r>
        <w:rPr>
          <w:rFonts w:ascii="Times New Roman"/>
          <w:spacing w:val="-3"/>
          <w:w w:val="110"/>
          <w:sz w:val="20"/>
        </w:rPr>
        <w:t>and</w:t>
      </w:r>
      <w:r>
        <w:rPr>
          <w:rFonts w:ascii="Times New Roman"/>
          <w:spacing w:val="-11"/>
          <w:w w:val="110"/>
          <w:sz w:val="20"/>
        </w:rPr>
        <w:t> </w:t>
      </w:r>
      <w:r>
        <w:rPr>
          <w:rFonts w:ascii="Times New Roman"/>
          <w:spacing w:val="-4"/>
          <w:w w:val="110"/>
          <w:sz w:val="20"/>
        </w:rPr>
        <w:t>the</w:t>
      </w:r>
      <w:r>
        <w:rPr>
          <w:rFonts w:ascii="Times New Roman"/>
          <w:spacing w:val="-11"/>
          <w:w w:val="110"/>
          <w:sz w:val="20"/>
        </w:rPr>
        <w:t> </w:t>
      </w:r>
      <w:r>
        <w:rPr>
          <w:rFonts w:ascii="Times New Roman"/>
          <w:spacing w:val="-3"/>
          <w:w w:val="110"/>
          <w:sz w:val="20"/>
        </w:rPr>
        <w:t>PF&amp;A</w:t>
      </w:r>
      <w:r>
        <w:rPr>
          <w:rFonts w:ascii="Times New Roman"/>
          <w:spacing w:val="-11"/>
          <w:w w:val="110"/>
          <w:sz w:val="20"/>
        </w:rPr>
        <w:t> </w:t>
      </w:r>
      <w:r>
        <w:rPr>
          <w:rFonts w:ascii="Times New Roman"/>
          <w:w w:val="110"/>
          <w:sz w:val="20"/>
        </w:rPr>
        <w:t>Act,</w:t>
      </w:r>
      <w:r>
        <w:rPr>
          <w:rFonts w:ascii="Times New Roman"/>
          <w:spacing w:val="-11"/>
          <w:w w:val="110"/>
          <w:sz w:val="20"/>
        </w:rPr>
        <w:t> </w:t>
      </w:r>
      <w:r>
        <w:rPr>
          <w:rFonts w:ascii="Times New Roman"/>
          <w:spacing w:val="-3"/>
          <w:w w:val="110"/>
          <w:sz w:val="20"/>
        </w:rPr>
        <w:t>and</w:t>
      </w:r>
      <w:r>
        <w:rPr>
          <w:rFonts w:ascii="Times New Roman"/>
          <w:spacing w:val="-11"/>
          <w:w w:val="110"/>
          <w:sz w:val="20"/>
        </w:rPr>
        <w:t> </w:t>
      </w:r>
      <w:r>
        <w:rPr>
          <w:rFonts w:ascii="Times New Roman"/>
          <w:w w:val="110"/>
          <w:sz w:val="20"/>
        </w:rPr>
        <w:t>for</w:t>
      </w:r>
      <w:r>
        <w:rPr>
          <w:rFonts w:ascii="Times New Roman"/>
          <w:spacing w:val="-12"/>
          <w:w w:val="110"/>
          <w:sz w:val="20"/>
        </w:rPr>
        <w:t> </w:t>
      </w:r>
      <w:r>
        <w:rPr>
          <w:rFonts w:ascii="Times New Roman"/>
          <w:w w:val="110"/>
          <w:sz w:val="20"/>
        </w:rPr>
        <w:t>such</w:t>
      </w:r>
      <w:r>
        <w:rPr>
          <w:rFonts w:ascii="Times New Roman"/>
          <w:spacing w:val="-13"/>
          <w:w w:val="110"/>
          <w:sz w:val="20"/>
        </w:rPr>
        <w:t> </w:t>
      </w:r>
      <w:r>
        <w:rPr>
          <w:rFonts w:ascii="Times New Roman"/>
          <w:spacing w:val="-3"/>
          <w:w w:val="110"/>
          <w:sz w:val="20"/>
        </w:rPr>
        <w:t>internal</w:t>
      </w:r>
      <w:r>
        <w:rPr>
          <w:rFonts w:ascii="Times New Roman"/>
          <w:spacing w:val="-12"/>
          <w:w w:val="110"/>
          <w:sz w:val="20"/>
        </w:rPr>
        <w:t> </w:t>
      </w:r>
      <w:r>
        <w:rPr>
          <w:rFonts w:ascii="Times New Roman"/>
          <w:spacing w:val="-3"/>
          <w:w w:val="110"/>
          <w:sz w:val="20"/>
        </w:rPr>
        <w:t>control</w:t>
      </w:r>
      <w:r>
        <w:rPr>
          <w:rFonts w:ascii="Times New Roman"/>
          <w:spacing w:val="-12"/>
          <w:w w:val="110"/>
          <w:sz w:val="20"/>
        </w:rPr>
        <w:t> </w:t>
      </w:r>
      <w:r>
        <w:rPr>
          <w:rFonts w:ascii="Times New Roman"/>
          <w:w w:val="110"/>
          <w:sz w:val="20"/>
        </w:rPr>
        <w:t>as</w:t>
      </w:r>
      <w:r>
        <w:rPr>
          <w:rFonts w:ascii="Times New Roman"/>
          <w:spacing w:val="-10"/>
          <w:w w:val="110"/>
          <w:sz w:val="20"/>
        </w:rPr>
        <w:t> </w:t>
      </w:r>
      <w:r>
        <w:rPr>
          <w:rFonts w:ascii="Times New Roman"/>
          <w:spacing w:val="-3"/>
          <w:w w:val="110"/>
          <w:sz w:val="20"/>
        </w:rPr>
        <w:t>the Directors determine </w:t>
      </w:r>
      <w:r>
        <w:rPr>
          <w:rFonts w:ascii="Times New Roman"/>
          <w:w w:val="110"/>
          <w:sz w:val="20"/>
        </w:rPr>
        <w:t>is </w:t>
      </w:r>
      <w:r>
        <w:rPr>
          <w:rFonts w:ascii="Times New Roman"/>
          <w:spacing w:val="-3"/>
          <w:w w:val="110"/>
          <w:sz w:val="20"/>
        </w:rPr>
        <w:t>necessary </w:t>
      </w:r>
      <w:r>
        <w:rPr>
          <w:rFonts w:ascii="Times New Roman"/>
          <w:w w:val="110"/>
          <w:sz w:val="20"/>
        </w:rPr>
        <w:t>to </w:t>
      </w:r>
      <w:r>
        <w:rPr>
          <w:rFonts w:ascii="Times New Roman"/>
          <w:spacing w:val="-3"/>
          <w:w w:val="110"/>
          <w:sz w:val="20"/>
        </w:rPr>
        <w:t>enable </w:t>
      </w:r>
      <w:r>
        <w:rPr>
          <w:rFonts w:ascii="Times New Roman"/>
          <w:spacing w:val="-2"/>
          <w:w w:val="110"/>
          <w:sz w:val="20"/>
        </w:rPr>
        <w:t>the </w:t>
      </w:r>
      <w:r>
        <w:rPr>
          <w:rFonts w:ascii="Times New Roman"/>
          <w:spacing w:val="-3"/>
          <w:w w:val="110"/>
          <w:sz w:val="20"/>
        </w:rPr>
        <w:t>preparation and fair </w:t>
      </w:r>
      <w:r>
        <w:rPr>
          <w:rFonts w:ascii="Times New Roman"/>
          <w:spacing w:val="-4"/>
          <w:w w:val="110"/>
          <w:sz w:val="20"/>
        </w:rPr>
        <w:t>presentation </w:t>
      </w:r>
      <w:r>
        <w:rPr>
          <w:rFonts w:ascii="Times New Roman"/>
          <w:w w:val="110"/>
          <w:sz w:val="20"/>
        </w:rPr>
        <w:t>of </w:t>
      </w:r>
      <w:r>
        <w:rPr>
          <w:rFonts w:ascii="Times New Roman"/>
          <w:spacing w:val="-4"/>
          <w:w w:val="110"/>
          <w:sz w:val="20"/>
        </w:rPr>
        <w:t>the </w:t>
      </w:r>
      <w:r>
        <w:rPr>
          <w:rFonts w:ascii="Times New Roman"/>
          <w:spacing w:val="-3"/>
          <w:w w:val="110"/>
          <w:sz w:val="20"/>
        </w:rPr>
        <w:t>financial statements that are </w:t>
      </w:r>
      <w:r>
        <w:rPr>
          <w:rFonts w:ascii="Times New Roman"/>
          <w:w w:val="110"/>
          <w:sz w:val="20"/>
        </w:rPr>
        <w:t>free from </w:t>
      </w:r>
      <w:r>
        <w:rPr>
          <w:rFonts w:ascii="Times New Roman"/>
          <w:spacing w:val="-3"/>
          <w:w w:val="110"/>
          <w:sz w:val="20"/>
        </w:rPr>
        <w:t>material misstatement, </w:t>
      </w:r>
      <w:r>
        <w:rPr>
          <w:rFonts w:ascii="Times New Roman"/>
          <w:spacing w:val="-4"/>
          <w:w w:val="110"/>
          <w:sz w:val="20"/>
        </w:rPr>
        <w:t>whether </w:t>
      </w:r>
      <w:r>
        <w:rPr>
          <w:rFonts w:ascii="Times New Roman"/>
          <w:spacing w:val="-3"/>
          <w:w w:val="110"/>
          <w:sz w:val="20"/>
        </w:rPr>
        <w:t>due </w:t>
      </w:r>
      <w:r>
        <w:rPr>
          <w:rFonts w:ascii="Times New Roman"/>
          <w:w w:val="110"/>
          <w:sz w:val="20"/>
        </w:rPr>
        <w:t>to </w:t>
      </w:r>
      <w:r>
        <w:rPr>
          <w:rFonts w:ascii="Times New Roman"/>
          <w:spacing w:val="-3"/>
          <w:w w:val="110"/>
          <w:sz w:val="20"/>
        </w:rPr>
        <w:t>fraud </w:t>
      </w:r>
      <w:r>
        <w:rPr>
          <w:rFonts w:ascii="Times New Roman"/>
          <w:w w:val="110"/>
          <w:sz w:val="20"/>
        </w:rPr>
        <w:t>or</w:t>
      </w:r>
      <w:r>
        <w:rPr>
          <w:rFonts w:ascii="Times New Roman"/>
          <w:spacing w:val="-1"/>
          <w:w w:val="110"/>
          <w:sz w:val="20"/>
        </w:rPr>
        <w:t> </w:t>
      </w:r>
      <w:r>
        <w:rPr>
          <w:rFonts w:ascii="Times New Roman"/>
          <w:spacing w:val="-3"/>
          <w:w w:val="110"/>
          <w:sz w:val="20"/>
        </w:rPr>
        <w:t>error.</w:t>
      </w:r>
    </w:p>
    <w:p>
      <w:pPr>
        <w:spacing w:line="249" w:lineRule="auto" w:before="174"/>
        <w:ind w:left="1838" w:right="2005" w:firstLine="0"/>
        <w:jc w:val="left"/>
        <w:rPr>
          <w:rFonts w:ascii="Times New Roman" w:hAnsi="Times New Roman"/>
          <w:sz w:val="20"/>
        </w:rPr>
      </w:pPr>
      <w:r>
        <w:rPr>
          <w:rFonts w:ascii="Times New Roman" w:hAnsi="Times New Roman"/>
          <w:w w:val="110"/>
          <w:sz w:val="20"/>
        </w:rPr>
        <w:t>In </w:t>
      </w:r>
      <w:r>
        <w:rPr>
          <w:rFonts w:ascii="Times New Roman" w:hAnsi="Times New Roman"/>
          <w:spacing w:val="-3"/>
          <w:w w:val="110"/>
          <w:sz w:val="20"/>
        </w:rPr>
        <w:t>preparing </w:t>
      </w:r>
      <w:r>
        <w:rPr>
          <w:rFonts w:ascii="Times New Roman" w:hAnsi="Times New Roman"/>
          <w:spacing w:val="-2"/>
          <w:w w:val="110"/>
          <w:sz w:val="20"/>
        </w:rPr>
        <w:t>the </w:t>
      </w:r>
      <w:r>
        <w:rPr>
          <w:rFonts w:ascii="Times New Roman" w:hAnsi="Times New Roman"/>
          <w:spacing w:val="-3"/>
          <w:w w:val="110"/>
          <w:sz w:val="20"/>
        </w:rPr>
        <w:t>financial statements, </w:t>
      </w:r>
      <w:r>
        <w:rPr>
          <w:rFonts w:ascii="Times New Roman" w:hAnsi="Times New Roman"/>
          <w:spacing w:val="-2"/>
          <w:w w:val="110"/>
          <w:sz w:val="20"/>
        </w:rPr>
        <w:t>the </w:t>
      </w:r>
      <w:r>
        <w:rPr>
          <w:rFonts w:ascii="Times New Roman" w:hAnsi="Times New Roman"/>
          <w:spacing w:val="-3"/>
          <w:w w:val="110"/>
          <w:sz w:val="20"/>
        </w:rPr>
        <w:t>Directors </w:t>
      </w:r>
      <w:r>
        <w:rPr>
          <w:rFonts w:ascii="Times New Roman" w:hAnsi="Times New Roman"/>
          <w:w w:val="110"/>
          <w:sz w:val="20"/>
        </w:rPr>
        <w:t>must </w:t>
      </w:r>
      <w:r>
        <w:rPr>
          <w:rFonts w:ascii="Times New Roman" w:hAnsi="Times New Roman"/>
          <w:spacing w:val="-3"/>
          <w:w w:val="110"/>
          <w:sz w:val="20"/>
        </w:rPr>
        <w:t>assess </w:t>
      </w:r>
      <w:r>
        <w:rPr>
          <w:rFonts w:ascii="Times New Roman" w:hAnsi="Times New Roman"/>
          <w:spacing w:val="-2"/>
          <w:w w:val="110"/>
          <w:sz w:val="20"/>
        </w:rPr>
        <w:t>the </w:t>
      </w:r>
      <w:r>
        <w:rPr>
          <w:rFonts w:ascii="Times New Roman" w:hAnsi="Times New Roman"/>
          <w:spacing w:val="-3"/>
          <w:w w:val="110"/>
          <w:sz w:val="20"/>
        </w:rPr>
        <w:t>Trust’s ability </w:t>
      </w:r>
      <w:r>
        <w:rPr>
          <w:rFonts w:ascii="Times New Roman" w:hAnsi="Times New Roman"/>
          <w:w w:val="110"/>
          <w:sz w:val="20"/>
        </w:rPr>
        <w:t>to </w:t>
      </w:r>
      <w:r>
        <w:rPr>
          <w:rFonts w:ascii="Times New Roman" w:hAnsi="Times New Roman"/>
          <w:spacing w:val="-3"/>
          <w:w w:val="110"/>
          <w:sz w:val="20"/>
        </w:rPr>
        <w:t>continue </w:t>
      </w:r>
      <w:r>
        <w:rPr>
          <w:rFonts w:ascii="Times New Roman" w:hAnsi="Times New Roman"/>
          <w:w w:val="110"/>
          <w:sz w:val="20"/>
        </w:rPr>
        <w:t>as a </w:t>
      </w:r>
      <w:r>
        <w:rPr>
          <w:rFonts w:ascii="Times New Roman" w:hAnsi="Times New Roman"/>
          <w:spacing w:val="-3"/>
          <w:w w:val="110"/>
          <w:sz w:val="20"/>
        </w:rPr>
        <w:t>going </w:t>
      </w:r>
      <w:r>
        <w:rPr>
          <w:rFonts w:ascii="Times New Roman" w:hAnsi="Times New Roman"/>
          <w:w w:val="110"/>
          <w:sz w:val="20"/>
        </w:rPr>
        <w:t>concern </w:t>
      </w:r>
      <w:r>
        <w:rPr>
          <w:rFonts w:ascii="Times New Roman" w:hAnsi="Times New Roman"/>
          <w:spacing w:val="-3"/>
          <w:w w:val="110"/>
          <w:sz w:val="20"/>
        </w:rPr>
        <w:t>unless the </w:t>
      </w:r>
      <w:r>
        <w:rPr>
          <w:rFonts w:ascii="Times New Roman" w:hAnsi="Times New Roman"/>
          <w:w w:val="110"/>
          <w:sz w:val="20"/>
        </w:rPr>
        <w:t>Trust </w:t>
      </w:r>
      <w:r>
        <w:rPr>
          <w:rFonts w:ascii="Times New Roman" w:hAnsi="Times New Roman"/>
          <w:spacing w:val="-4"/>
          <w:w w:val="110"/>
          <w:sz w:val="20"/>
        </w:rPr>
        <w:t>will </w:t>
      </w:r>
      <w:r>
        <w:rPr>
          <w:rFonts w:ascii="Times New Roman" w:hAnsi="Times New Roman"/>
          <w:w w:val="110"/>
          <w:sz w:val="20"/>
        </w:rPr>
        <w:t>be </w:t>
      </w:r>
      <w:r>
        <w:rPr>
          <w:rFonts w:ascii="Times New Roman" w:hAnsi="Times New Roman"/>
          <w:spacing w:val="-3"/>
          <w:w w:val="110"/>
          <w:sz w:val="20"/>
        </w:rPr>
        <w:t>dissolved </w:t>
      </w:r>
      <w:r>
        <w:rPr>
          <w:rFonts w:ascii="Times New Roman" w:hAnsi="Times New Roman"/>
          <w:w w:val="110"/>
          <w:sz w:val="20"/>
        </w:rPr>
        <w:t>by an </w:t>
      </w:r>
      <w:r>
        <w:rPr>
          <w:rFonts w:ascii="Times New Roman" w:hAnsi="Times New Roman"/>
          <w:spacing w:val="-2"/>
          <w:w w:val="110"/>
          <w:sz w:val="20"/>
        </w:rPr>
        <w:t>Act </w:t>
      </w:r>
      <w:r>
        <w:rPr>
          <w:rFonts w:ascii="Times New Roman" w:hAnsi="Times New Roman"/>
          <w:w w:val="110"/>
          <w:sz w:val="20"/>
        </w:rPr>
        <w:t>of </w:t>
      </w:r>
      <w:r>
        <w:rPr>
          <w:rFonts w:ascii="Times New Roman" w:hAnsi="Times New Roman"/>
          <w:spacing w:val="-4"/>
          <w:w w:val="110"/>
          <w:sz w:val="20"/>
        </w:rPr>
        <w:t>Parliament </w:t>
      </w:r>
      <w:r>
        <w:rPr>
          <w:rFonts w:ascii="Times New Roman" w:hAnsi="Times New Roman"/>
          <w:w w:val="110"/>
          <w:sz w:val="20"/>
        </w:rPr>
        <w:t>or </w:t>
      </w:r>
      <w:r>
        <w:rPr>
          <w:rFonts w:ascii="Times New Roman" w:hAnsi="Times New Roman"/>
          <w:spacing w:val="-3"/>
          <w:w w:val="110"/>
          <w:sz w:val="20"/>
        </w:rPr>
        <w:t>otherwise cease operations. </w:t>
      </w:r>
      <w:r>
        <w:rPr>
          <w:rFonts w:ascii="Times New Roman" w:hAnsi="Times New Roman"/>
          <w:w w:val="110"/>
          <w:sz w:val="20"/>
        </w:rPr>
        <w:t>The </w:t>
      </w:r>
      <w:r>
        <w:rPr>
          <w:rFonts w:ascii="Times New Roman" w:hAnsi="Times New Roman"/>
          <w:spacing w:val="-3"/>
          <w:w w:val="110"/>
          <w:sz w:val="20"/>
        </w:rPr>
        <w:t>assessment </w:t>
      </w:r>
      <w:r>
        <w:rPr>
          <w:rFonts w:ascii="Times New Roman" w:hAnsi="Times New Roman"/>
          <w:w w:val="110"/>
          <w:sz w:val="20"/>
        </w:rPr>
        <w:t>must </w:t>
      </w:r>
      <w:r>
        <w:rPr>
          <w:rFonts w:ascii="Times New Roman" w:hAnsi="Times New Roman"/>
          <w:spacing w:val="-3"/>
          <w:w w:val="110"/>
          <w:sz w:val="20"/>
        </w:rPr>
        <w:t>disclose, </w:t>
      </w:r>
      <w:r>
        <w:rPr>
          <w:rFonts w:ascii="Times New Roman" w:hAnsi="Times New Roman"/>
          <w:w w:val="110"/>
          <w:sz w:val="20"/>
        </w:rPr>
        <w:t>as </w:t>
      </w:r>
      <w:r>
        <w:rPr>
          <w:rFonts w:ascii="Times New Roman" w:hAnsi="Times New Roman"/>
          <w:spacing w:val="-3"/>
          <w:w w:val="110"/>
          <w:sz w:val="20"/>
        </w:rPr>
        <w:t>applicable, matters related </w:t>
      </w:r>
      <w:r>
        <w:rPr>
          <w:rFonts w:ascii="Times New Roman" w:hAnsi="Times New Roman"/>
          <w:w w:val="110"/>
          <w:sz w:val="20"/>
        </w:rPr>
        <w:t>to </w:t>
      </w:r>
      <w:r>
        <w:rPr>
          <w:rFonts w:ascii="Times New Roman" w:hAnsi="Times New Roman"/>
          <w:spacing w:val="-3"/>
          <w:w w:val="110"/>
          <w:sz w:val="20"/>
        </w:rPr>
        <w:t>going </w:t>
      </w:r>
      <w:r>
        <w:rPr>
          <w:rFonts w:ascii="Times New Roman" w:hAnsi="Times New Roman"/>
          <w:w w:val="110"/>
          <w:sz w:val="20"/>
        </w:rPr>
        <w:t>concern </w:t>
      </w:r>
      <w:r>
        <w:rPr>
          <w:rFonts w:ascii="Times New Roman" w:hAnsi="Times New Roman"/>
          <w:spacing w:val="-2"/>
          <w:w w:val="110"/>
          <w:sz w:val="20"/>
        </w:rPr>
        <w:t>and the </w:t>
      </w:r>
      <w:r>
        <w:rPr>
          <w:rFonts w:ascii="Times New Roman" w:hAnsi="Times New Roman"/>
          <w:spacing w:val="-4"/>
          <w:w w:val="110"/>
          <w:sz w:val="20"/>
        </w:rPr>
        <w:t>appropriateness </w:t>
      </w:r>
      <w:r>
        <w:rPr>
          <w:rFonts w:ascii="Times New Roman" w:hAnsi="Times New Roman"/>
          <w:spacing w:val="-3"/>
          <w:w w:val="110"/>
          <w:sz w:val="20"/>
        </w:rPr>
        <w:t>of using </w:t>
      </w:r>
      <w:r>
        <w:rPr>
          <w:rFonts w:ascii="Times New Roman" w:hAnsi="Times New Roman"/>
          <w:spacing w:val="-2"/>
          <w:w w:val="110"/>
          <w:sz w:val="20"/>
        </w:rPr>
        <w:t>the </w:t>
      </w:r>
      <w:r>
        <w:rPr>
          <w:rFonts w:ascii="Times New Roman" w:hAnsi="Times New Roman"/>
          <w:spacing w:val="-3"/>
          <w:w w:val="110"/>
          <w:sz w:val="20"/>
        </w:rPr>
        <w:t>going concern basis </w:t>
      </w:r>
      <w:r>
        <w:rPr>
          <w:rFonts w:ascii="Times New Roman" w:hAnsi="Times New Roman"/>
          <w:w w:val="110"/>
          <w:sz w:val="20"/>
        </w:rPr>
        <w:t>of </w:t>
      </w:r>
      <w:r>
        <w:rPr>
          <w:rFonts w:ascii="Times New Roman" w:hAnsi="Times New Roman"/>
          <w:spacing w:val="-4"/>
          <w:w w:val="110"/>
          <w:sz w:val="20"/>
        </w:rPr>
        <w:t>accounting.</w:t>
      </w:r>
    </w:p>
    <w:p>
      <w:pPr>
        <w:spacing w:before="160"/>
        <w:ind w:left="1838" w:right="0" w:firstLine="0"/>
        <w:jc w:val="left"/>
        <w:rPr>
          <w:rFonts w:ascii="Times New Roman" w:hAnsi="Times New Roman"/>
          <w:sz w:val="24"/>
        </w:rPr>
      </w:pPr>
      <w:r>
        <w:rPr>
          <w:rFonts w:ascii="Times New Roman" w:hAnsi="Times New Roman"/>
          <w:w w:val="115"/>
          <w:sz w:val="24"/>
        </w:rPr>
        <w:t>Auditor’s Responsibility for the Audit of the Financial </w:t>
      </w:r>
      <w:r>
        <w:rPr>
          <w:rFonts w:ascii="Times New Roman" w:hAnsi="Times New Roman"/>
          <w:spacing w:val="60"/>
          <w:w w:val="115"/>
          <w:sz w:val="24"/>
        </w:rPr>
        <w:t> </w:t>
      </w:r>
      <w:r>
        <w:rPr>
          <w:rFonts w:ascii="Times New Roman" w:hAnsi="Times New Roman"/>
          <w:w w:val="115"/>
          <w:sz w:val="24"/>
        </w:rPr>
        <w:t>Statements</w:t>
      </w:r>
    </w:p>
    <w:p>
      <w:pPr>
        <w:spacing w:before="123"/>
        <w:ind w:left="1838" w:right="0" w:firstLine="0"/>
        <w:jc w:val="left"/>
        <w:rPr>
          <w:rFonts w:ascii="Times New Roman"/>
          <w:sz w:val="20"/>
        </w:rPr>
      </w:pPr>
      <w:r>
        <w:rPr>
          <w:rFonts w:ascii="Times New Roman"/>
          <w:w w:val="105"/>
          <w:sz w:val="20"/>
        </w:rPr>
        <w:t>My objectives are to:</w:t>
      </w:r>
    </w:p>
    <w:p>
      <w:pPr>
        <w:pStyle w:val="BodyText"/>
        <w:spacing w:before="10"/>
        <w:rPr>
          <w:rFonts w:ascii="Times New Roman"/>
          <w:sz w:val="15"/>
        </w:rPr>
      </w:pPr>
    </w:p>
    <w:p>
      <w:pPr>
        <w:pStyle w:val="ListParagraph"/>
        <w:numPr>
          <w:ilvl w:val="0"/>
          <w:numId w:val="95"/>
        </w:numPr>
        <w:tabs>
          <w:tab w:pos="2405" w:val="left" w:leader="none"/>
        </w:tabs>
        <w:spacing w:line="249" w:lineRule="auto" w:before="0" w:after="0"/>
        <w:ind w:left="2404" w:right="2078" w:hanging="566"/>
        <w:jc w:val="left"/>
        <w:rPr>
          <w:rFonts w:ascii="Times New Roman"/>
          <w:sz w:val="20"/>
        </w:rPr>
      </w:pPr>
      <w:r>
        <w:rPr>
          <w:rFonts w:ascii="Times New Roman"/>
          <w:w w:val="110"/>
          <w:sz w:val="20"/>
        </w:rPr>
        <w:t>obtain reasonable assurance about whether the financial statements as a whole are free from material misstatement, whether due to fraud or</w:t>
      </w:r>
      <w:r>
        <w:rPr>
          <w:rFonts w:ascii="Times New Roman"/>
          <w:spacing w:val="-3"/>
          <w:w w:val="110"/>
          <w:sz w:val="20"/>
        </w:rPr>
        <w:t> </w:t>
      </w:r>
      <w:r>
        <w:rPr>
          <w:rFonts w:ascii="Times New Roman"/>
          <w:w w:val="110"/>
          <w:sz w:val="20"/>
        </w:rPr>
        <w:t>error</w:t>
      </w:r>
    </w:p>
    <w:p>
      <w:pPr>
        <w:pStyle w:val="ListParagraph"/>
        <w:numPr>
          <w:ilvl w:val="0"/>
          <w:numId w:val="95"/>
        </w:numPr>
        <w:tabs>
          <w:tab w:pos="2405" w:val="left" w:leader="none"/>
        </w:tabs>
        <w:spacing w:line="240" w:lineRule="auto" w:before="61" w:after="0"/>
        <w:ind w:left="2404" w:right="0" w:hanging="566"/>
        <w:jc w:val="left"/>
        <w:rPr>
          <w:rFonts w:ascii="Times New Roman" w:hAnsi="Times New Roman"/>
          <w:sz w:val="20"/>
        </w:rPr>
      </w:pPr>
      <w:r>
        <w:rPr>
          <w:rFonts w:ascii="Times New Roman" w:hAnsi="Times New Roman"/>
          <w:w w:val="110"/>
          <w:sz w:val="20"/>
        </w:rPr>
        <w:t>issue</w:t>
      </w:r>
      <w:r>
        <w:rPr>
          <w:rFonts w:ascii="Times New Roman" w:hAnsi="Times New Roman"/>
          <w:spacing w:val="-15"/>
          <w:w w:val="110"/>
          <w:sz w:val="20"/>
        </w:rPr>
        <w:t> </w:t>
      </w:r>
      <w:r>
        <w:rPr>
          <w:rFonts w:ascii="Times New Roman" w:hAnsi="Times New Roman"/>
          <w:w w:val="110"/>
          <w:sz w:val="20"/>
        </w:rPr>
        <w:t>an</w:t>
      </w:r>
      <w:r>
        <w:rPr>
          <w:rFonts w:ascii="Times New Roman" w:hAnsi="Times New Roman"/>
          <w:spacing w:val="-13"/>
          <w:w w:val="110"/>
          <w:sz w:val="20"/>
        </w:rPr>
        <w:t> </w:t>
      </w:r>
      <w:r>
        <w:rPr>
          <w:rFonts w:ascii="Times New Roman" w:hAnsi="Times New Roman"/>
          <w:w w:val="110"/>
          <w:sz w:val="20"/>
        </w:rPr>
        <w:t>Independent</w:t>
      </w:r>
      <w:r>
        <w:rPr>
          <w:rFonts w:ascii="Times New Roman" w:hAnsi="Times New Roman"/>
          <w:spacing w:val="-14"/>
          <w:w w:val="110"/>
          <w:sz w:val="20"/>
        </w:rPr>
        <w:t> </w:t>
      </w:r>
      <w:r>
        <w:rPr>
          <w:rFonts w:ascii="Times New Roman" w:hAnsi="Times New Roman"/>
          <w:w w:val="110"/>
          <w:sz w:val="20"/>
        </w:rPr>
        <w:t>Auditor’s</w:t>
      </w:r>
      <w:r>
        <w:rPr>
          <w:rFonts w:ascii="Times New Roman" w:hAnsi="Times New Roman"/>
          <w:spacing w:val="-15"/>
          <w:w w:val="110"/>
          <w:sz w:val="20"/>
        </w:rPr>
        <w:t> </w:t>
      </w:r>
      <w:r>
        <w:rPr>
          <w:rFonts w:ascii="Times New Roman" w:hAnsi="Times New Roman"/>
          <w:w w:val="110"/>
          <w:sz w:val="20"/>
        </w:rPr>
        <w:t>Report</w:t>
      </w:r>
      <w:r>
        <w:rPr>
          <w:rFonts w:ascii="Times New Roman" w:hAnsi="Times New Roman"/>
          <w:spacing w:val="-17"/>
          <w:w w:val="110"/>
          <w:sz w:val="20"/>
        </w:rPr>
        <w:t> </w:t>
      </w:r>
      <w:r>
        <w:rPr>
          <w:rFonts w:ascii="Times New Roman" w:hAnsi="Times New Roman"/>
          <w:w w:val="110"/>
          <w:sz w:val="20"/>
        </w:rPr>
        <w:t>including</w:t>
      </w:r>
      <w:r>
        <w:rPr>
          <w:rFonts w:ascii="Times New Roman" w:hAnsi="Times New Roman"/>
          <w:spacing w:val="-15"/>
          <w:w w:val="110"/>
          <w:sz w:val="20"/>
        </w:rPr>
        <w:t> </w:t>
      </w:r>
      <w:r>
        <w:rPr>
          <w:rFonts w:ascii="Times New Roman" w:hAnsi="Times New Roman"/>
          <w:spacing w:val="3"/>
          <w:w w:val="110"/>
          <w:sz w:val="20"/>
        </w:rPr>
        <w:t>my</w:t>
      </w:r>
      <w:r>
        <w:rPr>
          <w:rFonts w:ascii="Times New Roman" w:hAnsi="Times New Roman"/>
          <w:spacing w:val="-20"/>
          <w:w w:val="110"/>
          <w:sz w:val="20"/>
        </w:rPr>
        <w:t> </w:t>
      </w:r>
      <w:r>
        <w:rPr>
          <w:rFonts w:ascii="Times New Roman" w:hAnsi="Times New Roman"/>
          <w:w w:val="110"/>
          <w:sz w:val="20"/>
        </w:rPr>
        <w:t>opinion.</w:t>
      </w:r>
    </w:p>
    <w:p>
      <w:pPr>
        <w:pStyle w:val="BodyText"/>
        <w:spacing w:before="2"/>
        <w:rPr>
          <w:rFonts w:ascii="Times New Roman"/>
        </w:rPr>
      </w:pPr>
    </w:p>
    <w:p>
      <w:pPr>
        <w:spacing w:line="249" w:lineRule="auto" w:before="0"/>
        <w:ind w:left="1838" w:right="1862" w:firstLine="0"/>
        <w:jc w:val="left"/>
        <w:rPr>
          <w:rFonts w:ascii="Times New Roman"/>
          <w:sz w:val="20"/>
        </w:rPr>
      </w:pPr>
      <w:r>
        <w:rPr>
          <w:rFonts w:ascii="Times New Roman"/>
          <w:spacing w:val="-3"/>
          <w:w w:val="110"/>
          <w:sz w:val="20"/>
        </w:rPr>
        <w:t>Reasonable assurance is </w:t>
      </w:r>
      <w:r>
        <w:rPr>
          <w:rFonts w:ascii="Times New Roman"/>
          <w:w w:val="110"/>
          <w:sz w:val="20"/>
        </w:rPr>
        <w:t>a </w:t>
      </w:r>
      <w:r>
        <w:rPr>
          <w:rFonts w:ascii="Times New Roman"/>
          <w:spacing w:val="-3"/>
          <w:w w:val="110"/>
          <w:sz w:val="20"/>
        </w:rPr>
        <w:t>high level </w:t>
      </w:r>
      <w:r>
        <w:rPr>
          <w:rFonts w:ascii="Times New Roman"/>
          <w:w w:val="110"/>
          <w:sz w:val="20"/>
        </w:rPr>
        <w:t>of </w:t>
      </w:r>
      <w:r>
        <w:rPr>
          <w:rFonts w:ascii="Times New Roman"/>
          <w:spacing w:val="-3"/>
          <w:w w:val="110"/>
          <w:sz w:val="20"/>
        </w:rPr>
        <w:t>assurance, </w:t>
      </w:r>
      <w:r>
        <w:rPr>
          <w:rFonts w:ascii="Times New Roman"/>
          <w:spacing w:val="-2"/>
          <w:w w:val="110"/>
          <w:sz w:val="20"/>
        </w:rPr>
        <w:t>but </w:t>
      </w:r>
      <w:r>
        <w:rPr>
          <w:rFonts w:ascii="Times New Roman"/>
          <w:spacing w:val="-3"/>
          <w:w w:val="110"/>
          <w:sz w:val="20"/>
        </w:rPr>
        <w:t>does not guarantee </w:t>
      </w:r>
      <w:r>
        <w:rPr>
          <w:rFonts w:ascii="Times New Roman"/>
          <w:w w:val="110"/>
          <w:sz w:val="20"/>
        </w:rPr>
        <w:t>an </w:t>
      </w:r>
      <w:r>
        <w:rPr>
          <w:rFonts w:ascii="Times New Roman"/>
          <w:spacing w:val="-3"/>
          <w:w w:val="110"/>
          <w:sz w:val="20"/>
        </w:rPr>
        <w:t>audit conducted </w:t>
      </w:r>
      <w:r>
        <w:rPr>
          <w:rFonts w:ascii="Times New Roman"/>
          <w:w w:val="110"/>
          <w:sz w:val="20"/>
        </w:rPr>
        <w:t>in </w:t>
      </w:r>
      <w:r>
        <w:rPr>
          <w:rFonts w:ascii="Times New Roman"/>
          <w:spacing w:val="-3"/>
          <w:w w:val="110"/>
          <w:sz w:val="20"/>
        </w:rPr>
        <w:t>accordance with Australian Auditing Standards </w:t>
      </w:r>
      <w:r>
        <w:rPr>
          <w:rFonts w:ascii="Times New Roman"/>
          <w:spacing w:val="-4"/>
          <w:w w:val="110"/>
          <w:sz w:val="20"/>
        </w:rPr>
        <w:t>will </w:t>
      </w:r>
      <w:r>
        <w:rPr>
          <w:rFonts w:ascii="Times New Roman"/>
          <w:spacing w:val="-3"/>
          <w:w w:val="110"/>
          <w:sz w:val="20"/>
        </w:rPr>
        <w:t>always detect material misstatements. Misstatements </w:t>
      </w:r>
      <w:r>
        <w:rPr>
          <w:rFonts w:ascii="Times New Roman"/>
          <w:w w:val="110"/>
          <w:sz w:val="20"/>
        </w:rPr>
        <w:t>can arise </w:t>
      </w:r>
      <w:r>
        <w:rPr>
          <w:rFonts w:ascii="Times New Roman"/>
          <w:spacing w:val="-3"/>
          <w:w w:val="110"/>
          <w:sz w:val="20"/>
        </w:rPr>
        <w:t>from </w:t>
      </w:r>
      <w:r>
        <w:rPr>
          <w:rFonts w:ascii="Times New Roman"/>
          <w:w w:val="110"/>
          <w:sz w:val="20"/>
        </w:rPr>
        <w:t>fraud or </w:t>
      </w:r>
      <w:r>
        <w:rPr>
          <w:rFonts w:ascii="Times New Roman"/>
          <w:spacing w:val="-3"/>
          <w:w w:val="110"/>
          <w:sz w:val="20"/>
        </w:rPr>
        <w:t>error. Misstatements </w:t>
      </w:r>
      <w:r>
        <w:rPr>
          <w:rFonts w:ascii="Times New Roman"/>
          <w:w w:val="110"/>
          <w:sz w:val="20"/>
        </w:rPr>
        <w:t>are </w:t>
      </w:r>
      <w:r>
        <w:rPr>
          <w:rFonts w:ascii="Times New Roman"/>
          <w:spacing w:val="-3"/>
          <w:w w:val="110"/>
          <w:sz w:val="20"/>
        </w:rPr>
        <w:t>considered material </w:t>
      </w:r>
      <w:r>
        <w:rPr>
          <w:rFonts w:ascii="Times New Roman"/>
          <w:w w:val="110"/>
          <w:sz w:val="20"/>
        </w:rPr>
        <w:t>if, </w:t>
      </w:r>
      <w:r>
        <w:rPr>
          <w:rFonts w:ascii="Times New Roman"/>
          <w:spacing w:val="-4"/>
          <w:w w:val="110"/>
          <w:sz w:val="20"/>
        </w:rPr>
        <w:t>individually </w:t>
      </w:r>
      <w:r>
        <w:rPr>
          <w:rFonts w:ascii="Times New Roman"/>
          <w:w w:val="110"/>
          <w:sz w:val="20"/>
        </w:rPr>
        <w:t>or </w:t>
      </w:r>
      <w:r>
        <w:rPr>
          <w:rFonts w:ascii="Times New Roman"/>
          <w:spacing w:val="-3"/>
          <w:w w:val="110"/>
          <w:sz w:val="20"/>
        </w:rPr>
        <w:t>in aggregate, </w:t>
      </w:r>
      <w:r>
        <w:rPr>
          <w:rFonts w:ascii="Times New Roman"/>
          <w:w w:val="110"/>
          <w:sz w:val="20"/>
        </w:rPr>
        <w:t>they </w:t>
      </w:r>
      <w:r>
        <w:rPr>
          <w:rFonts w:ascii="Times New Roman"/>
          <w:spacing w:val="-3"/>
          <w:w w:val="110"/>
          <w:sz w:val="20"/>
        </w:rPr>
        <w:t>could reasonably </w:t>
      </w:r>
      <w:r>
        <w:rPr>
          <w:rFonts w:ascii="Times New Roman"/>
          <w:w w:val="110"/>
          <w:sz w:val="20"/>
        </w:rPr>
        <w:t>be </w:t>
      </w:r>
      <w:r>
        <w:rPr>
          <w:rFonts w:ascii="Times New Roman"/>
          <w:spacing w:val="-3"/>
          <w:w w:val="110"/>
          <w:sz w:val="20"/>
        </w:rPr>
        <w:t>expected </w:t>
      </w:r>
      <w:r>
        <w:rPr>
          <w:rFonts w:ascii="Times New Roman"/>
          <w:w w:val="110"/>
          <w:sz w:val="20"/>
        </w:rPr>
        <w:t>to </w:t>
      </w:r>
      <w:r>
        <w:rPr>
          <w:rFonts w:ascii="Times New Roman"/>
          <w:spacing w:val="-3"/>
          <w:w w:val="110"/>
          <w:sz w:val="20"/>
        </w:rPr>
        <w:t>influence the economic decisions users take </w:t>
      </w:r>
      <w:r>
        <w:rPr>
          <w:rFonts w:ascii="Times New Roman"/>
          <w:spacing w:val="-4"/>
          <w:w w:val="110"/>
          <w:sz w:val="20"/>
        </w:rPr>
        <w:t>based </w:t>
      </w:r>
      <w:r>
        <w:rPr>
          <w:rFonts w:ascii="Times New Roman"/>
          <w:w w:val="110"/>
          <w:sz w:val="20"/>
        </w:rPr>
        <w:t>on </w:t>
      </w:r>
      <w:r>
        <w:rPr>
          <w:rFonts w:ascii="Times New Roman"/>
          <w:spacing w:val="-2"/>
          <w:w w:val="110"/>
          <w:sz w:val="20"/>
        </w:rPr>
        <w:t>the </w:t>
      </w:r>
      <w:r>
        <w:rPr>
          <w:rFonts w:ascii="Times New Roman"/>
          <w:spacing w:val="-3"/>
          <w:w w:val="110"/>
          <w:sz w:val="20"/>
        </w:rPr>
        <w:t>financial statements.</w:t>
      </w:r>
    </w:p>
    <w:p>
      <w:pPr>
        <w:spacing w:line="249" w:lineRule="auto" w:before="174"/>
        <w:ind w:left="1838" w:right="1375" w:firstLine="0"/>
        <w:jc w:val="left"/>
        <w:rPr>
          <w:rFonts w:ascii="Times New Roman"/>
          <w:sz w:val="20"/>
        </w:rPr>
      </w:pPr>
      <w:r>
        <w:rPr>
          <w:rFonts w:ascii="Times New Roman"/>
          <w:w w:val="105"/>
          <w:sz w:val="20"/>
        </w:rPr>
        <w:t>A description of my responsibilities for the audit of the financial statements is located at the Auditing and Assurance  Standards  Board  website  at:   </w:t>
      </w:r>
      <w:hyperlink r:id="rId138">
        <w:r>
          <w:rPr>
            <w:rFonts w:ascii="Times New Roman"/>
            <w:color w:val="808080"/>
            <w:w w:val="105"/>
            <w:sz w:val="20"/>
            <w:u w:val="single" w:color="808080"/>
          </w:rPr>
          <w:t>http://www.auasb.gov.au/auditors_files/ar3.pdf.</w:t>
        </w:r>
        <w:r>
          <w:rPr>
            <w:rFonts w:ascii="Times New Roman"/>
            <w:w w:val="105"/>
            <w:sz w:val="20"/>
          </w:rPr>
          <w:t>.</w:t>
        </w:r>
      </w:hyperlink>
    </w:p>
    <w:p>
      <w:pPr>
        <w:spacing w:line="422" w:lineRule="auto" w:before="0"/>
        <w:ind w:left="1838" w:right="6586" w:firstLine="0"/>
        <w:jc w:val="left"/>
        <w:rPr>
          <w:rFonts w:ascii="Times New Roman" w:hAnsi="Times New Roman"/>
          <w:sz w:val="20"/>
        </w:rPr>
      </w:pPr>
      <w:r>
        <w:rPr/>
        <w:drawing>
          <wp:anchor distT="0" distB="0" distL="0" distR="0" allowOverlap="1" layoutInCell="1" locked="0" behindDoc="0" simplePos="0" relativeHeight="16432">
            <wp:simplePos x="0" y="0"/>
            <wp:positionH relativeFrom="page">
              <wp:posOffset>-1587</wp:posOffset>
            </wp:positionH>
            <wp:positionV relativeFrom="paragraph">
              <wp:posOffset>376058</wp:posOffset>
            </wp:positionV>
            <wp:extent cx="136525" cy="155575"/>
            <wp:effectExtent l="0" t="0" r="0" b="0"/>
            <wp:wrapNone/>
            <wp:docPr id="1129" name="image13.png" descr=""/>
            <wp:cNvGraphicFramePr>
              <a:graphicFrameLocks noChangeAspect="1"/>
            </wp:cNvGraphicFramePr>
            <a:graphic>
              <a:graphicData uri="http://schemas.openxmlformats.org/drawingml/2006/picture">
                <pic:pic>
                  <pic:nvPicPr>
                    <pic:cNvPr id="1130" name="image13.png"/>
                    <pic:cNvPicPr/>
                  </pic:nvPicPr>
                  <pic:blipFill>
                    <a:blip r:embed="rId18" cstate="print"/>
                    <a:stretch>
                      <a:fillRect/>
                    </a:stretch>
                  </pic:blipFill>
                  <pic:spPr>
                    <a:xfrm>
                      <a:off x="0" y="0"/>
                      <a:ext cx="136525" cy="155575"/>
                    </a:xfrm>
                    <a:prstGeom prst="rect">
                      <a:avLst/>
                    </a:prstGeom>
                  </pic:spPr>
                </pic:pic>
              </a:graphicData>
            </a:graphic>
          </wp:anchor>
        </w:drawing>
      </w:r>
      <w:r>
        <w:rPr/>
        <w:drawing>
          <wp:anchor distT="0" distB="0" distL="0" distR="0" allowOverlap="1" layoutInCell="1" locked="0" behindDoc="0" simplePos="0" relativeHeight="16456">
            <wp:simplePos x="0" y="0"/>
            <wp:positionH relativeFrom="page">
              <wp:posOffset>7959026</wp:posOffset>
            </wp:positionH>
            <wp:positionV relativeFrom="paragraph">
              <wp:posOffset>376058</wp:posOffset>
            </wp:positionV>
            <wp:extent cx="135356" cy="155575"/>
            <wp:effectExtent l="0" t="0" r="0" b="0"/>
            <wp:wrapNone/>
            <wp:docPr id="1131" name="image14.png" descr=""/>
            <wp:cNvGraphicFramePr>
              <a:graphicFrameLocks noChangeAspect="1"/>
            </wp:cNvGraphicFramePr>
            <a:graphic>
              <a:graphicData uri="http://schemas.openxmlformats.org/drawingml/2006/picture">
                <pic:pic>
                  <pic:nvPicPr>
                    <pic:cNvPr id="1132" name="image14.png"/>
                    <pic:cNvPicPr/>
                  </pic:nvPicPr>
                  <pic:blipFill>
                    <a:blip r:embed="rId19" cstate="print"/>
                    <a:stretch>
                      <a:fillRect/>
                    </a:stretch>
                  </pic:blipFill>
                  <pic:spPr>
                    <a:xfrm>
                      <a:off x="0" y="0"/>
                      <a:ext cx="135356" cy="155575"/>
                    </a:xfrm>
                    <a:prstGeom prst="rect">
                      <a:avLst/>
                    </a:prstGeom>
                  </pic:spPr>
                </pic:pic>
              </a:graphicData>
            </a:graphic>
          </wp:anchor>
        </w:drawing>
      </w:r>
      <w:r>
        <w:rPr>
          <w:rFonts w:ascii="Times New Roman" w:hAnsi="Times New Roman"/>
          <w:w w:val="105"/>
          <w:sz w:val="20"/>
        </w:rPr>
        <w:t>The description forms part of my auditor’s report. My opinion  does  not  provide assurance:</w:t>
      </w:r>
    </w:p>
    <w:p>
      <w:pPr>
        <w:pStyle w:val="ListParagraph"/>
        <w:numPr>
          <w:ilvl w:val="0"/>
          <w:numId w:val="95"/>
        </w:numPr>
        <w:tabs>
          <w:tab w:pos="2405" w:val="left" w:leader="none"/>
        </w:tabs>
        <w:spacing w:line="240" w:lineRule="auto" w:before="17" w:after="0"/>
        <w:ind w:left="2404" w:right="0" w:hanging="566"/>
        <w:jc w:val="left"/>
        <w:rPr>
          <w:rFonts w:ascii="Times New Roman"/>
          <w:sz w:val="20"/>
        </w:rPr>
      </w:pPr>
      <w:r>
        <w:rPr>
          <w:rFonts w:ascii="Times New Roman"/>
          <w:w w:val="105"/>
          <w:sz w:val="20"/>
        </w:rPr>
        <w:t>that the Trust carried out its activities effectively, efficiently and  </w:t>
      </w:r>
      <w:r>
        <w:rPr>
          <w:rFonts w:ascii="Times New Roman"/>
          <w:spacing w:val="19"/>
          <w:w w:val="105"/>
          <w:sz w:val="20"/>
        </w:rPr>
        <w:t> </w:t>
      </w:r>
      <w:r>
        <w:rPr>
          <w:rFonts w:ascii="Times New Roman"/>
          <w:w w:val="105"/>
          <w:sz w:val="20"/>
        </w:rPr>
        <w:t>economically</w:t>
      </w:r>
    </w:p>
    <w:p>
      <w:pPr>
        <w:pStyle w:val="ListParagraph"/>
        <w:numPr>
          <w:ilvl w:val="0"/>
          <w:numId w:val="95"/>
        </w:numPr>
        <w:tabs>
          <w:tab w:pos="2405" w:val="left" w:leader="none"/>
        </w:tabs>
        <w:spacing w:line="249" w:lineRule="auto" w:before="70" w:after="0"/>
        <w:ind w:left="2404" w:right="2855" w:hanging="566"/>
        <w:jc w:val="left"/>
        <w:rPr>
          <w:rFonts w:ascii="Times New Roman"/>
          <w:sz w:val="20"/>
        </w:rPr>
      </w:pPr>
      <w:r>
        <w:rPr>
          <w:rFonts w:ascii="Times New Roman"/>
          <w:w w:val="110"/>
          <w:sz w:val="20"/>
        </w:rPr>
        <w:t>about</w:t>
      </w:r>
      <w:r>
        <w:rPr>
          <w:rFonts w:ascii="Times New Roman"/>
          <w:spacing w:val="-8"/>
          <w:w w:val="110"/>
          <w:sz w:val="20"/>
        </w:rPr>
        <w:t> </w:t>
      </w:r>
      <w:r>
        <w:rPr>
          <w:rFonts w:ascii="Times New Roman"/>
          <w:w w:val="110"/>
          <w:sz w:val="20"/>
        </w:rPr>
        <w:t>the</w:t>
      </w:r>
      <w:r>
        <w:rPr>
          <w:rFonts w:ascii="Times New Roman"/>
          <w:spacing w:val="-7"/>
          <w:w w:val="110"/>
          <w:sz w:val="20"/>
        </w:rPr>
        <w:t> </w:t>
      </w:r>
      <w:r>
        <w:rPr>
          <w:rFonts w:ascii="Times New Roman"/>
          <w:w w:val="110"/>
          <w:sz w:val="20"/>
        </w:rPr>
        <w:t>security</w:t>
      </w:r>
      <w:r>
        <w:rPr>
          <w:rFonts w:ascii="Times New Roman"/>
          <w:spacing w:val="-11"/>
          <w:w w:val="110"/>
          <w:sz w:val="20"/>
        </w:rPr>
        <w:t> </w:t>
      </w:r>
      <w:r>
        <w:rPr>
          <w:rFonts w:ascii="Times New Roman"/>
          <w:w w:val="110"/>
          <w:sz w:val="20"/>
        </w:rPr>
        <w:t>and</w:t>
      </w:r>
      <w:r>
        <w:rPr>
          <w:rFonts w:ascii="Times New Roman"/>
          <w:spacing w:val="-7"/>
          <w:w w:val="110"/>
          <w:sz w:val="20"/>
        </w:rPr>
        <w:t> </w:t>
      </w:r>
      <w:r>
        <w:rPr>
          <w:rFonts w:ascii="Times New Roman"/>
          <w:w w:val="110"/>
          <w:sz w:val="20"/>
        </w:rPr>
        <w:t>controls</w:t>
      </w:r>
      <w:r>
        <w:rPr>
          <w:rFonts w:ascii="Times New Roman"/>
          <w:spacing w:val="-6"/>
          <w:w w:val="110"/>
          <w:sz w:val="20"/>
        </w:rPr>
        <w:t> </w:t>
      </w:r>
      <w:r>
        <w:rPr>
          <w:rFonts w:ascii="Times New Roman"/>
          <w:w w:val="110"/>
          <w:sz w:val="20"/>
        </w:rPr>
        <w:t>over</w:t>
      </w:r>
      <w:r>
        <w:rPr>
          <w:rFonts w:ascii="Times New Roman"/>
          <w:spacing w:val="-5"/>
          <w:w w:val="110"/>
          <w:sz w:val="20"/>
        </w:rPr>
        <w:t> </w:t>
      </w:r>
      <w:r>
        <w:rPr>
          <w:rFonts w:ascii="Times New Roman"/>
          <w:w w:val="110"/>
          <w:sz w:val="20"/>
        </w:rPr>
        <w:t>the</w:t>
      </w:r>
      <w:r>
        <w:rPr>
          <w:rFonts w:ascii="Times New Roman"/>
          <w:spacing w:val="-6"/>
          <w:w w:val="110"/>
          <w:sz w:val="20"/>
        </w:rPr>
        <w:t> </w:t>
      </w:r>
      <w:r>
        <w:rPr>
          <w:rFonts w:ascii="Times New Roman"/>
          <w:w w:val="110"/>
          <w:sz w:val="20"/>
        </w:rPr>
        <w:t>electronic</w:t>
      </w:r>
      <w:r>
        <w:rPr>
          <w:rFonts w:ascii="Times New Roman"/>
          <w:spacing w:val="-4"/>
          <w:w w:val="110"/>
          <w:sz w:val="20"/>
        </w:rPr>
        <w:t> </w:t>
      </w:r>
      <w:r>
        <w:rPr>
          <w:rFonts w:ascii="Times New Roman"/>
          <w:w w:val="110"/>
          <w:sz w:val="20"/>
        </w:rPr>
        <w:t>publication</w:t>
      </w:r>
      <w:r>
        <w:rPr>
          <w:rFonts w:ascii="Times New Roman"/>
          <w:spacing w:val="-6"/>
          <w:w w:val="110"/>
          <w:sz w:val="20"/>
        </w:rPr>
        <w:t> </w:t>
      </w:r>
      <w:r>
        <w:rPr>
          <w:rFonts w:ascii="Times New Roman"/>
          <w:w w:val="110"/>
          <w:sz w:val="20"/>
        </w:rPr>
        <w:t>of</w:t>
      </w:r>
      <w:r>
        <w:rPr>
          <w:rFonts w:ascii="Times New Roman"/>
          <w:spacing w:val="-4"/>
          <w:w w:val="110"/>
          <w:sz w:val="20"/>
        </w:rPr>
        <w:t> </w:t>
      </w:r>
      <w:r>
        <w:rPr>
          <w:rFonts w:ascii="Times New Roman"/>
          <w:w w:val="110"/>
          <w:sz w:val="20"/>
        </w:rPr>
        <w:t>the</w:t>
      </w:r>
      <w:r>
        <w:rPr>
          <w:rFonts w:ascii="Times New Roman"/>
          <w:spacing w:val="-7"/>
          <w:w w:val="110"/>
          <w:sz w:val="20"/>
        </w:rPr>
        <w:t> </w:t>
      </w:r>
      <w:r>
        <w:rPr>
          <w:rFonts w:ascii="Times New Roman"/>
          <w:w w:val="110"/>
          <w:sz w:val="20"/>
        </w:rPr>
        <w:t>audited</w:t>
      </w:r>
      <w:r>
        <w:rPr>
          <w:rFonts w:ascii="Times New Roman"/>
          <w:spacing w:val="-6"/>
          <w:w w:val="110"/>
          <w:sz w:val="20"/>
        </w:rPr>
        <w:t> </w:t>
      </w:r>
      <w:r>
        <w:rPr>
          <w:rFonts w:ascii="Times New Roman"/>
          <w:w w:val="110"/>
          <w:sz w:val="20"/>
        </w:rPr>
        <w:t>financial statements on any website where they may be  </w:t>
      </w:r>
      <w:r>
        <w:rPr>
          <w:rFonts w:ascii="Times New Roman"/>
          <w:spacing w:val="2"/>
          <w:w w:val="110"/>
          <w:sz w:val="20"/>
        </w:rPr>
        <w:t> </w:t>
      </w:r>
      <w:r>
        <w:rPr>
          <w:rFonts w:ascii="Times New Roman"/>
          <w:w w:val="110"/>
          <w:sz w:val="20"/>
        </w:rPr>
        <w:t>presented</w:t>
      </w:r>
    </w:p>
    <w:p>
      <w:pPr>
        <w:pStyle w:val="ListParagraph"/>
        <w:numPr>
          <w:ilvl w:val="0"/>
          <w:numId w:val="95"/>
        </w:numPr>
        <w:tabs>
          <w:tab w:pos="2405" w:val="left" w:leader="none"/>
        </w:tabs>
        <w:spacing w:line="240" w:lineRule="auto" w:before="61" w:after="0"/>
        <w:ind w:left="2404" w:right="0" w:hanging="566"/>
        <w:jc w:val="left"/>
        <w:rPr>
          <w:rFonts w:ascii="Times New Roman"/>
          <w:sz w:val="20"/>
        </w:rPr>
      </w:pPr>
      <w:r>
        <w:rPr>
          <w:rFonts w:ascii="Times New Roman"/>
          <w:w w:val="110"/>
          <w:sz w:val="20"/>
        </w:rPr>
        <w:t>about</w:t>
      </w:r>
      <w:r>
        <w:rPr>
          <w:rFonts w:ascii="Times New Roman"/>
          <w:spacing w:val="-9"/>
          <w:w w:val="110"/>
          <w:sz w:val="20"/>
        </w:rPr>
        <w:t> </w:t>
      </w:r>
      <w:r>
        <w:rPr>
          <w:rFonts w:ascii="Times New Roman"/>
          <w:w w:val="110"/>
          <w:sz w:val="20"/>
        </w:rPr>
        <w:t>any</w:t>
      </w:r>
      <w:r>
        <w:rPr>
          <w:rFonts w:ascii="Times New Roman"/>
          <w:spacing w:val="-9"/>
          <w:w w:val="110"/>
          <w:sz w:val="20"/>
        </w:rPr>
        <w:t> </w:t>
      </w:r>
      <w:r>
        <w:rPr>
          <w:rFonts w:ascii="Times New Roman"/>
          <w:w w:val="110"/>
          <w:sz w:val="20"/>
        </w:rPr>
        <w:t>other</w:t>
      </w:r>
      <w:r>
        <w:rPr>
          <w:rFonts w:ascii="Times New Roman"/>
          <w:spacing w:val="-3"/>
          <w:w w:val="110"/>
          <w:sz w:val="20"/>
        </w:rPr>
        <w:t> </w:t>
      </w:r>
      <w:r>
        <w:rPr>
          <w:rFonts w:ascii="Times New Roman"/>
          <w:w w:val="110"/>
          <w:sz w:val="20"/>
        </w:rPr>
        <w:t>information</w:t>
      </w:r>
      <w:r>
        <w:rPr>
          <w:rFonts w:ascii="Times New Roman"/>
          <w:spacing w:val="-6"/>
          <w:w w:val="110"/>
          <w:sz w:val="20"/>
        </w:rPr>
        <w:t> </w:t>
      </w:r>
      <w:r>
        <w:rPr>
          <w:rFonts w:ascii="Times New Roman"/>
          <w:w w:val="110"/>
          <w:sz w:val="20"/>
        </w:rPr>
        <w:t>which</w:t>
      </w:r>
      <w:r>
        <w:rPr>
          <w:rFonts w:ascii="Times New Roman"/>
          <w:spacing w:val="-7"/>
          <w:w w:val="110"/>
          <w:sz w:val="20"/>
        </w:rPr>
        <w:t> </w:t>
      </w:r>
      <w:r>
        <w:rPr>
          <w:rFonts w:ascii="Times New Roman"/>
          <w:w w:val="110"/>
          <w:sz w:val="20"/>
        </w:rPr>
        <w:t>may</w:t>
      </w:r>
      <w:r>
        <w:rPr>
          <w:rFonts w:ascii="Times New Roman"/>
          <w:spacing w:val="-10"/>
          <w:w w:val="110"/>
          <w:sz w:val="20"/>
        </w:rPr>
        <w:t> </w:t>
      </w:r>
      <w:r>
        <w:rPr>
          <w:rFonts w:ascii="Times New Roman"/>
          <w:w w:val="110"/>
          <w:sz w:val="20"/>
        </w:rPr>
        <w:t>have</w:t>
      </w:r>
      <w:r>
        <w:rPr>
          <w:rFonts w:ascii="Times New Roman"/>
          <w:spacing w:val="-8"/>
          <w:w w:val="110"/>
          <w:sz w:val="20"/>
        </w:rPr>
        <w:t> </w:t>
      </w:r>
      <w:r>
        <w:rPr>
          <w:rFonts w:ascii="Times New Roman"/>
          <w:w w:val="110"/>
          <w:sz w:val="20"/>
        </w:rPr>
        <w:t>been</w:t>
      </w:r>
      <w:r>
        <w:rPr>
          <w:rFonts w:ascii="Times New Roman"/>
          <w:spacing w:val="-6"/>
          <w:w w:val="110"/>
          <w:sz w:val="20"/>
        </w:rPr>
        <w:t> </w:t>
      </w:r>
      <w:r>
        <w:rPr>
          <w:rFonts w:ascii="Times New Roman"/>
          <w:w w:val="110"/>
          <w:sz w:val="20"/>
        </w:rPr>
        <w:t>hyperlinked</w:t>
      </w:r>
      <w:r>
        <w:rPr>
          <w:rFonts w:ascii="Times New Roman"/>
          <w:spacing w:val="-7"/>
          <w:w w:val="110"/>
          <w:sz w:val="20"/>
        </w:rPr>
        <w:t> </w:t>
      </w:r>
      <w:r>
        <w:rPr>
          <w:rFonts w:ascii="Times New Roman"/>
          <w:w w:val="110"/>
          <w:sz w:val="20"/>
        </w:rPr>
        <w:t>to/from</w:t>
      </w:r>
      <w:r>
        <w:rPr>
          <w:rFonts w:ascii="Times New Roman"/>
          <w:spacing w:val="-3"/>
          <w:w w:val="110"/>
          <w:sz w:val="20"/>
        </w:rPr>
        <w:t> </w:t>
      </w:r>
      <w:r>
        <w:rPr>
          <w:rFonts w:ascii="Times New Roman"/>
          <w:w w:val="110"/>
          <w:sz w:val="20"/>
        </w:rPr>
        <w:t>the</w:t>
      </w:r>
      <w:r>
        <w:rPr>
          <w:rFonts w:ascii="Times New Roman"/>
          <w:spacing w:val="-7"/>
          <w:w w:val="110"/>
          <w:sz w:val="20"/>
        </w:rPr>
        <w:t> </w:t>
      </w:r>
      <w:r>
        <w:rPr>
          <w:rFonts w:ascii="Times New Roman"/>
          <w:w w:val="110"/>
          <w:sz w:val="20"/>
        </w:rPr>
        <w:t>financial</w:t>
      </w:r>
      <w:r>
        <w:rPr>
          <w:rFonts w:ascii="Times New Roman"/>
          <w:spacing w:val="-7"/>
          <w:w w:val="110"/>
          <w:sz w:val="20"/>
        </w:rPr>
        <w:t> </w:t>
      </w:r>
      <w:r>
        <w:rPr>
          <w:rFonts w:ascii="Times New Roman"/>
          <w:w w:val="110"/>
          <w:sz w:val="20"/>
        </w:rPr>
        <w:t>statements</w:t>
      </w:r>
    </w:p>
    <w:p>
      <w:pPr>
        <w:pStyle w:val="BodyText"/>
        <w:spacing w:before="2"/>
        <w:rPr>
          <w:rFonts w:ascii="Times New Roman"/>
          <w:sz w:val="16"/>
        </w:rPr>
      </w:pPr>
      <w:r>
        <w:rPr/>
        <w:drawing>
          <wp:anchor distT="0" distB="0" distL="0" distR="0" allowOverlap="1" layoutInCell="1" locked="0" behindDoc="0" simplePos="0" relativeHeight="16408">
            <wp:simplePos x="0" y="0"/>
            <wp:positionH relativeFrom="page">
              <wp:posOffset>1171955</wp:posOffset>
            </wp:positionH>
            <wp:positionV relativeFrom="paragraph">
              <wp:posOffset>143216</wp:posOffset>
            </wp:positionV>
            <wp:extent cx="2165912" cy="725042"/>
            <wp:effectExtent l="0" t="0" r="0" b="0"/>
            <wp:wrapTopAndBottom/>
            <wp:docPr id="1133" name="image62.jpeg" descr=""/>
            <wp:cNvGraphicFramePr>
              <a:graphicFrameLocks noChangeAspect="1"/>
            </wp:cNvGraphicFramePr>
            <a:graphic>
              <a:graphicData uri="http://schemas.openxmlformats.org/drawingml/2006/picture">
                <pic:pic>
                  <pic:nvPicPr>
                    <pic:cNvPr id="1134" name="image62.jpeg"/>
                    <pic:cNvPicPr/>
                  </pic:nvPicPr>
                  <pic:blipFill>
                    <a:blip r:embed="rId139" cstate="print"/>
                    <a:stretch>
                      <a:fillRect/>
                    </a:stretch>
                  </pic:blipFill>
                  <pic:spPr>
                    <a:xfrm>
                      <a:off x="0" y="0"/>
                      <a:ext cx="2165912" cy="725042"/>
                    </a:xfrm>
                    <a:prstGeom prst="rect">
                      <a:avLst/>
                    </a:prstGeom>
                  </pic:spPr>
                </pic:pic>
              </a:graphicData>
            </a:graphic>
          </wp:anchor>
        </w:drawing>
      </w:r>
    </w:p>
    <w:p>
      <w:pPr>
        <w:spacing w:before="41"/>
        <w:ind w:left="1838" w:right="0" w:firstLine="0"/>
        <w:jc w:val="left"/>
        <w:rPr>
          <w:rFonts w:ascii="Times New Roman"/>
          <w:sz w:val="20"/>
        </w:rPr>
      </w:pPr>
      <w:r>
        <w:rPr>
          <w:rFonts w:ascii="Times New Roman"/>
          <w:w w:val="110"/>
          <w:sz w:val="20"/>
        </w:rPr>
        <w:t>Renee Meimaroglou</w:t>
      </w:r>
    </w:p>
    <w:p>
      <w:pPr>
        <w:spacing w:before="7"/>
        <w:ind w:left="1838" w:right="0" w:firstLine="0"/>
        <w:jc w:val="left"/>
        <w:rPr>
          <w:rFonts w:ascii="Times New Roman"/>
          <w:sz w:val="20"/>
        </w:rPr>
      </w:pPr>
      <w:r>
        <w:rPr>
          <w:rFonts w:ascii="Times New Roman"/>
          <w:w w:val="105"/>
          <w:sz w:val="20"/>
        </w:rPr>
        <w:t>Director, Financial Audit  Services</w:t>
      </w:r>
    </w:p>
    <w:p>
      <w:pPr>
        <w:pStyle w:val="BodyText"/>
        <w:rPr>
          <w:rFonts w:ascii="Times New Roman"/>
          <w:sz w:val="20"/>
        </w:rPr>
      </w:pPr>
    </w:p>
    <w:p>
      <w:pPr>
        <w:pStyle w:val="BodyText"/>
        <w:rPr>
          <w:rFonts w:ascii="Times New Roman"/>
          <w:sz w:val="20"/>
        </w:rPr>
      </w:pPr>
    </w:p>
    <w:p>
      <w:pPr>
        <w:spacing w:line="247" w:lineRule="auto" w:before="133"/>
        <w:ind w:left="1838" w:right="8999" w:firstLine="0"/>
        <w:jc w:val="left"/>
        <w:rPr>
          <w:rFonts w:ascii="Times New Roman"/>
          <w:sz w:val="20"/>
        </w:rPr>
      </w:pPr>
      <w:r>
        <w:rPr>
          <w:rFonts w:ascii="Times New Roman"/>
          <w:w w:val="110"/>
          <w:sz w:val="20"/>
        </w:rPr>
        <w:t>21 February 2017 SYDNEY</w:t>
      </w:r>
    </w:p>
    <w:p>
      <w:pPr>
        <w:spacing w:after="0" w:line="247" w:lineRule="auto"/>
        <w:jc w:val="left"/>
        <w:rPr>
          <w:rFonts w:ascii="Times New Roman"/>
          <w:sz w:val="20"/>
        </w:rPr>
        <w:sectPr>
          <w:pgSz w:w="12750" w:h="17680"/>
          <w:pgMar w:header="0" w:footer="907" w:top="420" w:bottom="1120" w:left="0" w:right="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2"/>
        <w:rPr>
          <w:rFonts w:ascii="Times New Roman"/>
        </w:rPr>
      </w:pPr>
    </w:p>
    <w:p>
      <w:pPr>
        <w:pStyle w:val="BodyText"/>
        <w:spacing w:before="77"/>
        <w:ind w:left="2107" w:right="2106"/>
        <w:jc w:val="center"/>
      </w:pPr>
      <w:r>
        <w:rPr/>
        <w:drawing>
          <wp:anchor distT="0" distB="0" distL="0" distR="0" allowOverlap="1" layoutInCell="1" locked="0" behindDoc="0" simplePos="0" relativeHeight="16480">
            <wp:simplePos x="0" y="0"/>
            <wp:positionH relativeFrom="page">
              <wp:posOffset>-1587</wp:posOffset>
            </wp:positionH>
            <wp:positionV relativeFrom="paragraph">
              <wp:posOffset>752816</wp:posOffset>
            </wp:positionV>
            <wp:extent cx="135159" cy="154019"/>
            <wp:effectExtent l="0" t="0" r="0" b="0"/>
            <wp:wrapNone/>
            <wp:docPr id="1135" name="image13.png" descr=""/>
            <wp:cNvGraphicFramePr>
              <a:graphicFrameLocks noChangeAspect="1"/>
            </wp:cNvGraphicFramePr>
            <a:graphic>
              <a:graphicData uri="http://schemas.openxmlformats.org/drawingml/2006/picture">
                <pic:pic>
                  <pic:nvPicPr>
                    <pic:cNvPr id="1136" name="image13.png"/>
                    <pic:cNvPicPr/>
                  </pic:nvPicPr>
                  <pic:blipFill>
                    <a:blip r:embed="rId18" cstate="print"/>
                    <a:stretch>
                      <a:fillRect/>
                    </a:stretch>
                  </pic:blipFill>
                  <pic:spPr>
                    <a:xfrm>
                      <a:off x="0" y="0"/>
                      <a:ext cx="135159" cy="154019"/>
                    </a:xfrm>
                    <a:prstGeom prst="rect">
                      <a:avLst/>
                    </a:prstGeom>
                  </pic:spPr>
                </pic:pic>
              </a:graphicData>
            </a:graphic>
          </wp:anchor>
        </w:drawing>
      </w:r>
      <w:r>
        <w:rPr/>
        <w:drawing>
          <wp:anchor distT="0" distB="0" distL="0" distR="0" allowOverlap="1" layoutInCell="1" locked="0" behindDoc="0" simplePos="0" relativeHeight="16504">
            <wp:simplePos x="0" y="0"/>
            <wp:positionH relativeFrom="page">
              <wp:posOffset>7959026</wp:posOffset>
            </wp:positionH>
            <wp:positionV relativeFrom="paragraph">
              <wp:posOffset>752816</wp:posOffset>
            </wp:positionV>
            <wp:extent cx="135356" cy="155575"/>
            <wp:effectExtent l="0" t="0" r="0" b="0"/>
            <wp:wrapNone/>
            <wp:docPr id="1137" name="image14.png" descr=""/>
            <wp:cNvGraphicFramePr>
              <a:graphicFrameLocks noChangeAspect="1"/>
            </wp:cNvGraphicFramePr>
            <a:graphic>
              <a:graphicData uri="http://schemas.openxmlformats.org/drawingml/2006/picture">
                <pic:pic>
                  <pic:nvPicPr>
                    <pic:cNvPr id="1138" name="image14.png"/>
                    <pic:cNvPicPr/>
                  </pic:nvPicPr>
                  <pic:blipFill>
                    <a:blip r:embed="rId19" cstate="print"/>
                    <a:stretch>
                      <a:fillRect/>
                    </a:stretch>
                  </pic:blipFill>
                  <pic:spPr>
                    <a:xfrm>
                      <a:off x="0" y="0"/>
                      <a:ext cx="135356" cy="155575"/>
                    </a:xfrm>
                    <a:prstGeom prst="rect">
                      <a:avLst/>
                    </a:prstGeom>
                  </pic:spPr>
                </pic:pic>
              </a:graphicData>
            </a:graphic>
          </wp:anchor>
        </w:drawing>
      </w:r>
      <w:r>
        <w:rPr/>
        <w:t>This page is intentionally blank</w:t>
      </w:r>
    </w:p>
    <w:p>
      <w:pPr>
        <w:spacing w:after="0"/>
        <w:jc w:val="center"/>
        <w:sectPr>
          <w:pgSz w:w="12750" w:h="17680"/>
          <w:pgMar w:header="0" w:footer="907" w:top="420" w:bottom="112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5"/>
        </w:rPr>
      </w:pPr>
    </w:p>
    <w:p>
      <w:pPr>
        <w:spacing w:line="276" w:lineRule="auto" w:before="33"/>
        <w:ind w:left="1860" w:right="3096" w:firstLine="0"/>
        <w:jc w:val="left"/>
        <w:rPr>
          <w:b/>
          <w:sz w:val="52"/>
        </w:rPr>
      </w:pPr>
      <w:bookmarkStart w:name="8. Budget and Performance Indicators (p." w:id="496"/>
      <w:bookmarkEnd w:id="496"/>
      <w:r>
        <w:rPr/>
      </w:r>
      <w:bookmarkStart w:name="B&amp;PI Cover Page.pdf" w:id="497"/>
      <w:bookmarkEnd w:id="497"/>
      <w:r>
        <w:rPr/>
      </w:r>
      <w:r>
        <w:rPr>
          <w:b/>
          <w:sz w:val="52"/>
        </w:rPr>
        <w:t>Western Sydney University and Controlled Entities</w:t>
      </w:r>
    </w:p>
    <w:p>
      <w:pPr>
        <w:pStyle w:val="BodyText"/>
        <w:rPr>
          <w:b/>
          <w:sz w:val="52"/>
        </w:rPr>
      </w:pPr>
    </w:p>
    <w:p>
      <w:pPr>
        <w:pStyle w:val="BodyText"/>
        <w:spacing w:before="9"/>
        <w:rPr>
          <w:b/>
          <w:sz w:val="42"/>
        </w:rPr>
      </w:pPr>
    </w:p>
    <w:p>
      <w:pPr>
        <w:spacing w:before="1"/>
        <w:ind w:left="1860" w:right="0" w:firstLine="0"/>
        <w:jc w:val="left"/>
        <w:rPr>
          <w:b/>
          <w:sz w:val="52"/>
        </w:rPr>
      </w:pPr>
      <w:r>
        <w:rPr/>
        <w:drawing>
          <wp:anchor distT="0" distB="0" distL="0" distR="0" allowOverlap="1" layoutInCell="1" locked="0" behindDoc="0" simplePos="0" relativeHeight="16528">
            <wp:simplePos x="0" y="0"/>
            <wp:positionH relativeFrom="page">
              <wp:posOffset>-1587</wp:posOffset>
            </wp:positionH>
            <wp:positionV relativeFrom="paragraph">
              <wp:posOffset>287195</wp:posOffset>
            </wp:positionV>
            <wp:extent cx="136525" cy="155575"/>
            <wp:effectExtent l="0" t="0" r="0" b="0"/>
            <wp:wrapNone/>
            <wp:docPr id="1139" name="image22.png" descr=""/>
            <wp:cNvGraphicFramePr>
              <a:graphicFrameLocks noChangeAspect="1"/>
            </wp:cNvGraphicFramePr>
            <a:graphic>
              <a:graphicData uri="http://schemas.openxmlformats.org/drawingml/2006/picture">
                <pic:pic>
                  <pic:nvPicPr>
                    <pic:cNvPr id="1140" name="image22.png"/>
                    <pic:cNvPicPr/>
                  </pic:nvPicPr>
                  <pic:blipFill>
                    <a:blip r:embed="rId28" cstate="print"/>
                    <a:stretch>
                      <a:fillRect/>
                    </a:stretch>
                  </pic:blipFill>
                  <pic:spPr>
                    <a:xfrm>
                      <a:off x="0" y="0"/>
                      <a:ext cx="136525" cy="155575"/>
                    </a:xfrm>
                    <a:prstGeom prst="rect">
                      <a:avLst/>
                    </a:prstGeom>
                  </pic:spPr>
                </pic:pic>
              </a:graphicData>
            </a:graphic>
          </wp:anchor>
        </w:drawing>
      </w:r>
      <w:r>
        <w:rPr/>
        <w:drawing>
          <wp:anchor distT="0" distB="0" distL="0" distR="0" allowOverlap="1" layoutInCell="1" locked="0" behindDoc="0" simplePos="0" relativeHeight="16552">
            <wp:simplePos x="0" y="0"/>
            <wp:positionH relativeFrom="page">
              <wp:posOffset>7957756</wp:posOffset>
            </wp:positionH>
            <wp:positionV relativeFrom="paragraph">
              <wp:posOffset>287195</wp:posOffset>
            </wp:positionV>
            <wp:extent cx="136627" cy="155575"/>
            <wp:effectExtent l="0" t="0" r="0" b="0"/>
            <wp:wrapNone/>
            <wp:docPr id="1141" name="image26.png" descr=""/>
            <wp:cNvGraphicFramePr>
              <a:graphicFrameLocks noChangeAspect="1"/>
            </wp:cNvGraphicFramePr>
            <a:graphic>
              <a:graphicData uri="http://schemas.openxmlformats.org/drawingml/2006/picture">
                <pic:pic>
                  <pic:nvPicPr>
                    <pic:cNvPr id="1142" name="image26.png"/>
                    <pic:cNvPicPr/>
                  </pic:nvPicPr>
                  <pic:blipFill>
                    <a:blip r:embed="rId45" cstate="print"/>
                    <a:stretch>
                      <a:fillRect/>
                    </a:stretch>
                  </pic:blipFill>
                  <pic:spPr>
                    <a:xfrm>
                      <a:off x="0" y="0"/>
                      <a:ext cx="136627" cy="155575"/>
                    </a:xfrm>
                    <a:prstGeom prst="rect">
                      <a:avLst/>
                    </a:prstGeom>
                  </pic:spPr>
                </pic:pic>
              </a:graphicData>
            </a:graphic>
          </wp:anchor>
        </w:drawing>
      </w:r>
      <w:r>
        <w:rPr>
          <w:b/>
          <w:sz w:val="52"/>
        </w:rPr>
        <w:t>Budget and Performance Indicators</w:t>
      </w:r>
    </w:p>
    <w:p>
      <w:pPr>
        <w:spacing w:after="0"/>
        <w:jc w:val="left"/>
        <w:rPr>
          <w:sz w:val="52"/>
        </w:rPr>
        <w:sectPr>
          <w:pgSz w:w="12750" w:h="17680"/>
          <w:pgMar w:header="0" w:footer="907" w:top="420" w:bottom="1100" w:left="0" w:right="0"/>
        </w:sectPr>
      </w:pPr>
    </w:p>
    <w:p>
      <w:pPr>
        <w:pStyle w:val="BodyText"/>
        <w:rPr>
          <w:b/>
          <w:sz w:val="20"/>
        </w:rPr>
      </w:pPr>
      <w:r>
        <w:rPr/>
        <w:drawing>
          <wp:anchor distT="0" distB="0" distL="0" distR="0" allowOverlap="1" layoutInCell="1" locked="0" behindDoc="0" simplePos="0" relativeHeight="16576">
            <wp:simplePos x="0" y="0"/>
            <wp:positionH relativeFrom="page">
              <wp:posOffset>-1587</wp:posOffset>
            </wp:positionH>
            <wp:positionV relativeFrom="page">
              <wp:posOffset>5546318</wp:posOffset>
            </wp:positionV>
            <wp:extent cx="136413" cy="155448"/>
            <wp:effectExtent l="0" t="0" r="0" b="0"/>
            <wp:wrapNone/>
            <wp:docPr id="1145" name="image22.png" descr=""/>
            <wp:cNvGraphicFramePr>
              <a:graphicFrameLocks noChangeAspect="1"/>
            </wp:cNvGraphicFramePr>
            <a:graphic>
              <a:graphicData uri="http://schemas.openxmlformats.org/drawingml/2006/picture">
                <pic:pic>
                  <pic:nvPicPr>
                    <pic:cNvPr id="1146" name="image22.png"/>
                    <pic:cNvPicPr/>
                  </pic:nvPicPr>
                  <pic:blipFill>
                    <a:blip r:embed="rId28" cstate="print"/>
                    <a:stretch>
                      <a:fillRect/>
                    </a:stretch>
                  </pic:blipFill>
                  <pic:spPr>
                    <a:xfrm>
                      <a:off x="0" y="0"/>
                      <a:ext cx="136413" cy="155448"/>
                    </a:xfrm>
                    <a:prstGeom prst="rect">
                      <a:avLst/>
                    </a:prstGeom>
                  </pic:spPr>
                </pic:pic>
              </a:graphicData>
            </a:graphic>
          </wp:anchor>
        </w:drawing>
      </w:r>
      <w:r>
        <w:rPr/>
        <w:drawing>
          <wp:anchor distT="0" distB="0" distL="0" distR="0" allowOverlap="1" layoutInCell="1" locked="0" behindDoc="0" simplePos="0" relativeHeight="16600">
            <wp:simplePos x="0" y="0"/>
            <wp:positionH relativeFrom="page">
              <wp:posOffset>7957756</wp:posOffset>
            </wp:positionH>
            <wp:positionV relativeFrom="page">
              <wp:posOffset>5546318</wp:posOffset>
            </wp:positionV>
            <wp:extent cx="136627" cy="155575"/>
            <wp:effectExtent l="0" t="0" r="0" b="0"/>
            <wp:wrapNone/>
            <wp:docPr id="1147" name="image26.png" descr=""/>
            <wp:cNvGraphicFramePr>
              <a:graphicFrameLocks noChangeAspect="1"/>
            </wp:cNvGraphicFramePr>
            <a:graphic>
              <a:graphicData uri="http://schemas.openxmlformats.org/drawingml/2006/picture">
                <pic:pic>
                  <pic:nvPicPr>
                    <pic:cNvPr id="1148" name="image26.png"/>
                    <pic:cNvPicPr/>
                  </pic:nvPicPr>
                  <pic:blipFill>
                    <a:blip r:embed="rId45" cstate="print"/>
                    <a:stretch>
                      <a:fillRect/>
                    </a:stretch>
                  </pic:blipFill>
                  <pic:spPr>
                    <a:xfrm>
                      <a:off x="0" y="0"/>
                      <a:ext cx="136627" cy="155575"/>
                    </a:xfrm>
                    <a:prstGeom prst="rect">
                      <a:avLst/>
                    </a:prstGeom>
                  </pic:spPr>
                </pic:pic>
              </a:graphicData>
            </a:graphic>
          </wp:anchor>
        </w:drawing>
      </w:r>
    </w:p>
    <w:p>
      <w:pPr>
        <w:pStyle w:val="BodyText"/>
        <w:rPr>
          <w:b/>
          <w:sz w:val="20"/>
        </w:rPr>
      </w:pPr>
    </w:p>
    <w:p>
      <w:pPr>
        <w:pStyle w:val="BodyText"/>
        <w:spacing w:before="2"/>
        <w:rPr>
          <w:b/>
        </w:rPr>
      </w:pPr>
    </w:p>
    <w:p>
      <w:pPr>
        <w:pStyle w:val="Heading7"/>
        <w:spacing w:before="0"/>
        <w:ind w:left="866"/>
      </w:pPr>
      <w:bookmarkStart w:name="Binder2.pdf" w:id="498"/>
      <w:bookmarkEnd w:id="498"/>
      <w:r>
        <w:rPr>
          <w:b w:val="0"/>
        </w:rPr>
      </w:r>
      <w:bookmarkStart w:name="Annual Report 2016 actual comparison to " w:id="499"/>
      <w:bookmarkEnd w:id="499"/>
      <w:r>
        <w:rPr>
          <w:b w:val="0"/>
        </w:rPr>
      </w:r>
      <w:r>
        <w:rPr/>
        <w:t>2016 Actual to Budget Comparative Analysis</w:t>
      </w:r>
    </w:p>
    <w:p>
      <w:pPr>
        <w:pStyle w:val="BodyText"/>
        <w:spacing w:before="6"/>
        <w:rPr>
          <w:b/>
          <w:sz w:val="17"/>
        </w:rPr>
      </w:pPr>
    </w:p>
    <w:tbl>
      <w:tblPr>
        <w:tblW w:w="0" w:type="auto"/>
        <w:jc w:val="left"/>
        <w:tblInd w:w="652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129"/>
        <w:gridCol w:w="1288"/>
        <w:gridCol w:w="1283"/>
        <w:gridCol w:w="1135"/>
      </w:tblGrid>
      <w:tr>
        <w:trPr>
          <w:trHeight w:val="335" w:hRule="exact"/>
        </w:trPr>
        <w:tc>
          <w:tcPr>
            <w:tcW w:w="1129" w:type="dxa"/>
          </w:tcPr>
          <w:p>
            <w:pPr>
              <w:pStyle w:val="TableParagraph"/>
              <w:spacing w:before="77"/>
              <w:ind w:right="336"/>
              <w:rPr>
                <w:b/>
                <w:sz w:val="18"/>
              </w:rPr>
            </w:pPr>
            <w:r>
              <w:rPr>
                <w:b/>
                <w:w w:val="95"/>
                <w:sz w:val="18"/>
              </w:rPr>
              <w:t>2016</w:t>
            </w:r>
          </w:p>
        </w:tc>
        <w:tc>
          <w:tcPr>
            <w:tcW w:w="1288" w:type="dxa"/>
          </w:tcPr>
          <w:p>
            <w:pPr>
              <w:pStyle w:val="TableParagraph"/>
              <w:spacing w:before="77"/>
              <w:ind w:right="220"/>
              <w:rPr>
                <w:b/>
                <w:sz w:val="18"/>
              </w:rPr>
            </w:pPr>
            <w:r>
              <w:rPr>
                <w:b/>
                <w:sz w:val="18"/>
              </w:rPr>
              <w:t>2016</w:t>
            </w:r>
          </w:p>
        </w:tc>
        <w:tc>
          <w:tcPr>
            <w:tcW w:w="1283" w:type="dxa"/>
          </w:tcPr>
          <w:p>
            <w:pPr>
              <w:pStyle w:val="TableParagraph"/>
              <w:spacing w:before="77"/>
              <w:ind w:right="131"/>
              <w:rPr>
                <w:b/>
                <w:i/>
                <w:sz w:val="18"/>
              </w:rPr>
            </w:pPr>
            <w:r>
              <w:rPr>
                <w:b/>
                <w:i/>
                <w:sz w:val="18"/>
              </w:rPr>
              <w:t>2016</w:t>
            </w:r>
          </w:p>
        </w:tc>
        <w:tc>
          <w:tcPr>
            <w:tcW w:w="1135" w:type="dxa"/>
          </w:tcPr>
          <w:p>
            <w:pPr>
              <w:pStyle w:val="TableParagraph"/>
              <w:spacing w:before="77"/>
              <w:ind w:right="68"/>
              <w:rPr>
                <w:b/>
                <w:i/>
                <w:sz w:val="18"/>
              </w:rPr>
            </w:pPr>
            <w:r>
              <w:rPr>
                <w:b/>
                <w:i/>
                <w:w w:val="95"/>
                <w:sz w:val="18"/>
              </w:rPr>
              <w:t>2016</w:t>
            </w:r>
          </w:p>
        </w:tc>
      </w:tr>
      <w:tr>
        <w:trPr>
          <w:trHeight w:val="290" w:hRule="exact"/>
        </w:trPr>
        <w:tc>
          <w:tcPr>
            <w:tcW w:w="1129" w:type="dxa"/>
          </w:tcPr>
          <w:p>
            <w:pPr>
              <w:pStyle w:val="TableParagraph"/>
              <w:spacing w:before="32"/>
              <w:ind w:right="332"/>
              <w:rPr>
                <w:b/>
                <w:sz w:val="18"/>
              </w:rPr>
            </w:pPr>
            <w:r>
              <w:rPr>
                <w:b/>
                <w:w w:val="95"/>
                <w:sz w:val="18"/>
              </w:rPr>
              <w:t>BUDGET</w:t>
            </w:r>
          </w:p>
        </w:tc>
        <w:tc>
          <w:tcPr>
            <w:tcW w:w="1288" w:type="dxa"/>
          </w:tcPr>
          <w:p>
            <w:pPr>
              <w:pStyle w:val="TableParagraph"/>
              <w:spacing w:before="32"/>
              <w:ind w:right="212"/>
              <w:rPr>
                <w:b/>
                <w:sz w:val="18"/>
              </w:rPr>
            </w:pPr>
            <w:r>
              <w:rPr>
                <w:b/>
                <w:w w:val="95"/>
                <w:sz w:val="18"/>
              </w:rPr>
              <w:t>ACTUAL</w:t>
            </w:r>
          </w:p>
        </w:tc>
        <w:tc>
          <w:tcPr>
            <w:tcW w:w="1283" w:type="dxa"/>
          </w:tcPr>
          <w:p>
            <w:pPr>
              <w:pStyle w:val="TableParagraph"/>
              <w:spacing w:before="32"/>
              <w:ind w:right="126"/>
              <w:rPr>
                <w:b/>
                <w:i/>
                <w:sz w:val="18"/>
              </w:rPr>
            </w:pPr>
            <w:r>
              <w:rPr>
                <w:b/>
                <w:i/>
                <w:w w:val="95"/>
                <w:sz w:val="18"/>
              </w:rPr>
              <w:t>VARIANCE</w:t>
            </w:r>
          </w:p>
        </w:tc>
        <w:tc>
          <w:tcPr>
            <w:tcW w:w="1135" w:type="dxa"/>
          </w:tcPr>
          <w:p>
            <w:pPr>
              <w:pStyle w:val="TableParagraph"/>
              <w:spacing w:before="32"/>
              <w:ind w:right="64"/>
              <w:rPr>
                <w:b/>
                <w:i/>
                <w:sz w:val="18"/>
              </w:rPr>
            </w:pPr>
            <w:r>
              <w:rPr>
                <w:b/>
                <w:i/>
                <w:w w:val="95"/>
                <w:sz w:val="18"/>
              </w:rPr>
              <w:t>VARIANCE</w:t>
            </w:r>
          </w:p>
        </w:tc>
      </w:tr>
      <w:tr>
        <w:trPr>
          <w:trHeight w:val="335" w:hRule="exact"/>
        </w:trPr>
        <w:tc>
          <w:tcPr>
            <w:tcW w:w="1129" w:type="dxa"/>
          </w:tcPr>
          <w:p>
            <w:pPr>
              <w:pStyle w:val="TableParagraph"/>
              <w:spacing w:before="32"/>
              <w:ind w:right="336"/>
              <w:rPr>
                <w:b/>
                <w:sz w:val="18"/>
              </w:rPr>
            </w:pPr>
            <w:r>
              <w:rPr>
                <w:b/>
                <w:w w:val="95"/>
                <w:sz w:val="18"/>
              </w:rPr>
              <w:t>$'000</w:t>
            </w:r>
          </w:p>
        </w:tc>
        <w:tc>
          <w:tcPr>
            <w:tcW w:w="1288" w:type="dxa"/>
          </w:tcPr>
          <w:p>
            <w:pPr>
              <w:pStyle w:val="TableParagraph"/>
              <w:spacing w:before="32"/>
              <w:ind w:right="221"/>
              <w:rPr>
                <w:b/>
                <w:sz w:val="18"/>
              </w:rPr>
            </w:pPr>
            <w:r>
              <w:rPr>
                <w:b/>
                <w:w w:val="95"/>
                <w:sz w:val="18"/>
              </w:rPr>
              <w:t>$'000</w:t>
            </w:r>
          </w:p>
        </w:tc>
        <w:tc>
          <w:tcPr>
            <w:tcW w:w="1283" w:type="dxa"/>
          </w:tcPr>
          <w:p>
            <w:pPr>
              <w:pStyle w:val="TableParagraph"/>
              <w:spacing w:before="32"/>
              <w:ind w:right="129"/>
              <w:rPr>
                <w:b/>
                <w:i/>
                <w:sz w:val="18"/>
              </w:rPr>
            </w:pPr>
            <w:r>
              <w:rPr>
                <w:b/>
                <w:i/>
                <w:w w:val="95"/>
                <w:sz w:val="18"/>
              </w:rPr>
              <w:t>$'000</w:t>
            </w:r>
          </w:p>
        </w:tc>
        <w:tc>
          <w:tcPr>
            <w:tcW w:w="1135" w:type="dxa"/>
          </w:tcPr>
          <w:p>
            <w:pPr>
              <w:pStyle w:val="TableParagraph"/>
              <w:spacing w:before="51"/>
              <w:ind w:right="33"/>
              <w:rPr>
                <w:sz w:val="16"/>
              </w:rPr>
            </w:pPr>
            <w:r>
              <w:rPr>
                <w:w w:val="100"/>
                <w:sz w:val="16"/>
              </w:rPr>
              <w:t>%</w:t>
            </w:r>
          </w:p>
        </w:tc>
      </w:tr>
    </w:tbl>
    <w:p>
      <w:pPr>
        <w:pStyle w:val="Heading8"/>
        <w:spacing w:before="45" w:after="36"/>
        <w:ind w:left="1428"/>
      </w:pPr>
      <w:r>
        <w:rPr/>
        <w:t>INCOME FROM CONTINUING OPERATIONS</w:t>
      </w:r>
    </w:p>
    <w:tbl>
      <w:tblPr>
        <w:tblW w:w="0" w:type="auto"/>
        <w:jc w:val="left"/>
        <w:tblInd w:w="142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609"/>
        <w:gridCol w:w="1178"/>
        <w:gridCol w:w="1476"/>
        <w:gridCol w:w="1329"/>
        <w:gridCol w:w="1418"/>
        <w:gridCol w:w="925"/>
      </w:tblGrid>
      <w:tr>
        <w:trPr>
          <w:trHeight w:val="668" w:hRule="exact"/>
        </w:trPr>
        <w:tc>
          <w:tcPr>
            <w:tcW w:w="3609" w:type="dxa"/>
          </w:tcPr>
          <w:p>
            <w:pPr>
              <w:pStyle w:val="TableParagraph"/>
              <w:spacing w:before="76"/>
              <w:ind w:left="314" w:right="593"/>
              <w:jc w:val="left"/>
              <w:rPr>
                <w:b/>
                <w:sz w:val="18"/>
              </w:rPr>
            </w:pPr>
            <w:r>
              <w:rPr>
                <w:b/>
                <w:sz w:val="18"/>
              </w:rPr>
              <w:t>GOVERNMENT</w:t>
            </w:r>
          </w:p>
          <w:p>
            <w:pPr>
              <w:pStyle w:val="TableParagraph"/>
              <w:spacing w:before="155"/>
              <w:ind w:left="314" w:right="593"/>
              <w:jc w:val="left"/>
              <w:rPr>
                <w:b/>
                <w:sz w:val="18"/>
              </w:rPr>
            </w:pPr>
            <w:r>
              <w:rPr>
                <w:b/>
                <w:sz w:val="18"/>
              </w:rPr>
              <w:t>ACADEMIC ACTIVITIES</w:t>
            </w:r>
          </w:p>
        </w:tc>
        <w:tc>
          <w:tcPr>
            <w:tcW w:w="1178" w:type="dxa"/>
          </w:tcPr>
          <w:p>
            <w:pPr/>
          </w:p>
        </w:tc>
        <w:tc>
          <w:tcPr>
            <w:tcW w:w="1476" w:type="dxa"/>
          </w:tcPr>
          <w:p>
            <w:pPr>
              <w:pStyle w:val="TableParagraph"/>
              <w:spacing w:before="76"/>
              <w:ind w:right="376"/>
              <w:rPr>
                <w:b/>
                <w:sz w:val="18"/>
              </w:rPr>
            </w:pPr>
            <w:r>
              <w:rPr>
                <w:b/>
                <w:w w:val="95"/>
                <w:sz w:val="18"/>
              </w:rPr>
              <w:t>559,247</w:t>
            </w:r>
          </w:p>
        </w:tc>
        <w:tc>
          <w:tcPr>
            <w:tcW w:w="1329" w:type="dxa"/>
          </w:tcPr>
          <w:p>
            <w:pPr>
              <w:pStyle w:val="TableParagraph"/>
              <w:spacing w:before="76"/>
              <w:ind w:right="301"/>
              <w:rPr>
                <w:b/>
                <w:sz w:val="18"/>
              </w:rPr>
            </w:pPr>
            <w:r>
              <w:rPr>
                <w:b/>
                <w:w w:val="95"/>
                <w:sz w:val="18"/>
              </w:rPr>
              <w:t>553,490</w:t>
            </w:r>
          </w:p>
        </w:tc>
        <w:tc>
          <w:tcPr>
            <w:tcW w:w="1418" w:type="dxa"/>
          </w:tcPr>
          <w:p>
            <w:pPr>
              <w:pStyle w:val="TableParagraph"/>
              <w:spacing w:before="76"/>
              <w:ind w:right="343"/>
              <w:rPr>
                <w:b/>
                <w:i/>
                <w:sz w:val="18"/>
              </w:rPr>
            </w:pPr>
            <w:r>
              <w:rPr>
                <w:b/>
                <w:i/>
                <w:w w:val="95"/>
                <w:sz w:val="18"/>
              </w:rPr>
              <w:t>(5,757)</w:t>
            </w:r>
          </w:p>
        </w:tc>
        <w:tc>
          <w:tcPr>
            <w:tcW w:w="925" w:type="dxa"/>
          </w:tcPr>
          <w:p>
            <w:pPr>
              <w:pStyle w:val="TableParagraph"/>
              <w:spacing w:before="95"/>
              <w:ind w:right="33"/>
              <w:rPr>
                <w:b/>
                <w:sz w:val="16"/>
              </w:rPr>
            </w:pPr>
            <w:r>
              <w:rPr>
                <w:b/>
                <w:sz w:val="16"/>
              </w:rPr>
              <w:t>-1.0%</w:t>
            </w:r>
          </w:p>
        </w:tc>
      </w:tr>
      <w:tr>
        <w:trPr>
          <w:trHeight w:val="233" w:hRule="exact"/>
        </w:trPr>
        <w:tc>
          <w:tcPr>
            <w:tcW w:w="3609" w:type="dxa"/>
          </w:tcPr>
          <w:p>
            <w:pPr>
              <w:pStyle w:val="TableParagraph"/>
              <w:spacing w:before="3"/>
              <w:ind w:left="614" w:right="593"/>
              <w:jc w:val="left"/>
              <w:rPr>
                <w:sz w:val="18"/>
              </w:rPr>
            </w:pPr>
            <w:r>
              <w:rPr>
                <w:sz w:val="18"/>
              </w:rPr>
              <w:t>International Onshore</w:t>
            </w:r>
          </w:p>
        </w:tc>
        <w:tc>
          <w:tcPr>
            <w:tcW w:w="1178" w:type="dxa"/>
          </w:tcPr>
          <w:p>
            <w:pPr/>
          </w:p>
        </w:tc>
        <w:tc>
          <w:tcPr>
            <w:tcW w:w="1476" w:type="dxa"/>
          </w:tcPr>
          <w:p>
            <w:pPr>
              <w:pStyle w:val="TableParagraph"/>
              <w:spacing w:before="3"/>
              <w:ind w:right="375"/>
              <w:rPr>
                <w:sz w:val="18"/>
              </w:rPr>
            </w:pPr>
            <w:r>
              <w:rPr>
                <w:w w:val="95"/>
                <w:sz w:val="18"/>
              </w:rPr>
              <w:t>80,569</w:t>
            </w:r>
          </w:p>
        </w:tc>
        <w:tc>
          <w:tcPr>
            <w:tcW w:w="1329" w:type="dxa"/>
          </w:tcPr>
          <w:p>
            <w:pPr>
              <w:pStyle w:val="TableParagraph"/>
              <w:spacing w:before="3"/>
              <w:ind w:right="301"/>
              <w:rPr>
                <w:sz w:val="18"/>
              </w:rPr>
            </w:pPr>
            <w:r>
              <w:rPr>
                <w:w w:val="95"/>
                <w:sz w:val="18"/>
              </w:rPr>
              <w:t>77,728</w:t>
            </w:r>
          </w:p>
        </w:tc>
        <w:tc>
          <w:tcPr>
            <w:tcW w:w="1418" w:type="dxa"/>
          </w:tcPr>
          <w:p>
            <w:pPr>
              <w:pStyle w:val="TableParagraph"/>
              <w:spacing w:before="3"/>
              <w:ind w:right="343"/>
              <w:rPr>
                <w:b/>
                <w:i/>
                <w:sz w:val="18"/>
              </w:rPr>
            </w:pPr>
            <w:r>
              <w:rPr>
                <w:b/>
                <w:i/>
                <w:w w:val="95"/>
                <w:sz w:val="18"/>
              </w:rPr>
              <w:t>(2,841)</w:t>
            </w:r>
          </w:p>
        </w:tc>
        <w:tc>
          <w:tcPr>
            <w:tcW w:w="925" w:type="dxa"/>
          </w:tcPr>
          <w:p>
            <w:pPr>
              <w:pStyle w:val="TableParagraph"/>
              <w:spacing w:before="22"/>
              <w:ind w:right="33"/>
              <w:rPr>
                <w:b/>
                <w:sz w:val="16"/>
              </w:rPr>
            </w:pPr>
            <w:r>
              <w:rPr>
                <w:b/>
                <w:sz w:val="16"/>
              </w:rPr>
              <w:t>-3.5%</w:t>
            </w:r>
          </w:p>
        </w:tc>
      </w:tr>
      <w:tr>
        <w:trPr>
          <w:trHeight w:val="233" w:hRule="exact"/>
        </w:trPr>
        <w:tc>
          <w:tcPr>
            <w:tcW w:w="3609" w:type="dxa"/>
          </w:tcPr>
          <w:p>
            <w:pPr>
              <w:pStyle w:val="TableParagraph"/>
              <w:spacing w:before="3"/>
              <w:ind w:left="614" w:right="593"/>
              <w:jc w:val="left"/>
              <w:rPr>
                <w:sz w:val="18"/>
              </w:rPr>
            </w:pPr>
            <w:r>
              <w:rPr>
                <w:sz w:val="18"/>
              </w:rPr>
              <w:t>International Offshore</w:t>
            </w:r>
          </w:p>
        </w:tc>
        <w:tc>
          <w:tcPr>
            <w:tcW w:w="1178" w:type="dxa"/>
          </w:tcPr>
          <w:p>
            <w:pPr/>
          </w:p>
        </w:tc>
        <w:tc>
          <w:tcPr>
            <w:tcW w:w="1476" w:type="dxa"/>
          </w:tcPr>
          <w:p>
            <w:pPr>
              <w:pStyle w:val="TableParagraph"/>
              <w:spacing w:before="3"/>
              <w:ind w:right="373"/>
              <w:rPr>
                <w:sz w:val="18"/>
              </w:rPr>
            </w:pPr>
            <w:r>
              <w:rPr>
                <w:w w:val="95"/>
                <w:sz w:val="18"/>
              </w:rPr>
              <w:t>699</w:t>
            </w:r>
          </w:p>
        </w:tc>
        <w:tc>
          <w:tcPr>
            <w:tcW w:w="1329" w:type="dxa"/>
          </w:tcPr>
          <w:p>
            <w:pPr>
              <w:pStyle w:val="TableParagraph"/>
              <w:spacing w:before="3"/>
              <w:ind w:right="299"/>
              <w:rPr>
                <w:sz w:val="18"/>
              </w:rPr>
            </w:pPr>
            <w:r>
              <w:rPr>
                <w:w w:val="95"/>
                <w:sz w:val="18"/>
              </w:rPr>
              <w:t>822</w:t>
            </w:r>
          </w:p>
        </w:tc>
        <w:tc>
          <w:tcPr>
            <w:tcW w:w="1418" w:type="dxa"/>
          </w:tcPr>
          <w:p>
            <w:pPr>
              <w:pStyle w:val="TableParagraph"/>
              <w:spacing w:before="3"/>
              <w:ind w:right="344"/>
              <w:rPr>
                <w:b/>
                <w:i/>
                <w:sz w:val="18"/>
              </w:rPr>
            </w:pPr>
            <w:r>
              <w:rPr>
                <w:b/>
                <w:i/>
                <w:w w:val="95"/>
                <w:sz w:val="18"/>
              </w:rPr>
              <w:t>123</w:t>
            </w:r>
          </w:p>
        </w:tc>
        <w:tc>
          <w:tcPr>
            <w:tcW w:w="925" w:type="dxa"/>
          </w:tcPr>
          <w:p>
            <w:pPr>
              <w:pStyle w:val="TableParagraph"/>
              <w:spacing w:before="22"/>
              <w:ind w:right="33"/>
              <w:rPr>
                <w:b/>
                <w:sz w:val="16"/>
              </w:rPr>
            </w:pPr>
            <w:r>
              <w:rPr>
                <w:b/>
                <w:sz w:val="16"/>
              </w:rPr>
              <w:t>17.6%</w:t>
            </w:r>
          </w:p>
        </w:tc>
      </w:tr>
      <w:tr>
        <w:trPr>
          <w:trHeight w:val="233" w:hRule="exact"/>
        </w:trPr>
        <w:tc>
          <w:tcPr>
            <w:tcW w:w="3609" w:type="dxa"/>
          </w:tcPr>
          <w:p>
            <w:pPr>
              <w:pStyle w:val="TableParagraph"/>
              <w:spacing w:before="3"/>
              <w:ind w:left="614" w:right="593"/>
              <w:jc w:val="left"/>
              <w:rPr>
                <w:sz w:val="18"/>
              </w:rPr>
            </w:pPr>
            <w:r>
              <w:rPr>
                <w:sz w:val="18"/>
              </w:rPr>
              <w:t>Local fee-paying</w:t>
            </w:r>
          </w:p>
        </w:tc>
        <w:tc>
          <w:tcPr>
            <w:tcW w:w="1178" w:type="dxa"/>
          </w:tcPr>
          <w:p>
            <w:pPr/>
          </w:p>
        </w:tc>
        <w:tc>
          <w:tcPr>
            <w:tcW w:w="1476" w:type="dxa"/>
          </w:tcPr>
          <w:p>
            <w:pPr>
              <w:pStyle w:val="TableParagraph"/>
              <w:spacing w:before="3"/>
              <w:ind w:right="375"/>
              <w:rPr>
                <w:sz w:val="18"/>
              </w:rPr>
            </w:pPr>
            <w:r>
              <w:rPr>
                <w:w w:val="95"/>
                <w:sz w:val="18"/>
              </w:rPr>
              <w:t>15,322</w:t>
            </w:r>
          </w:p>
        </w:tc>
        <w:tc>
          <w:tcPr>
            <w:tcW w:w="1329" w:type="dxa"/>
          </w:tcPr>
          <w:p>
            <w:pPr>
              <w:pStyle w:val="TableParagraph"/>
              <w:spacing w:before="3"/>
              <w:ind w:right="301"/>
              <w:rPr>
                <w:sz w:val="18"/>
              </w:rPr>
            </w:pPr>
            <w:r>
              <w:rPr>
                <w:w w:val="95"/>
                <w:sz w:val="18"/>
              </w:rPr>
              <w:t>15,643</w:t>
            </w:r>
          </w:p>
        </w:tc>
        <w:tc>
          <w:tcPr>
            <w:tcW w:w="1418" w:type="dxa"/>
          </w:tcPr>
          <w:p>
            <w:pPr>
              <w:pStyle w:val="TableParagraph"/>
              <w:spacing w:before="3"/>
              <w:ind w:right="344"/>
              <w:rPr>
                <w:b/>
                <w:i/>
                <w:sz w:val="18"/>
              </w:rPr>
            </w:pPr>
            <w:r>
              <w:rPr>
                <w:b/>
                <w:i/>
                <w:w w:val="95"/>
                <w:sz w:val="18"/>
              </w:rPr>
              <w:t>321</w:t>
            </w:r>
          </w:p>
        </w:tc>
        <w:tc>
          <w:tcPr>
            <w:tcW w:w="925" w:type="dxa"/>
          </w:tcPr>
          <w:p>
            <w:pPr>
              <w:pStyle w:val="TableParagraph"/>
              <w:spacing w:before="22"/>
              <w:ind w:right="34"/>
              <w:rPr>
                <w:b/>
                <w:sz w:val="16"/>
              </w:rPr>
            </w:pPr>
            <w:r>
              <w:rPr>
                <w:b/>
                <w:sz w:val="16"/>
              </w:rPr>
              <w:t>2.1%</w:t>
            </w:r>
          </w:p>
        </w:tc>
      </w:tr>
      <w:tr>
        <w:trPr>
          <w:trHeight w:val="233" w:hRule="exact"/>
        </w:trPr>
        <w:tc>
          <w:tcPr>
            <w:tcW w:w="3609" w:type="dxa"/>
          </w:tcPr>
          <w:p>
            <w:pPr>
              <w:pStyle w:val="TableParagraph"/>
              <w:spacing w:before="3"/>
              <w:ind w:left="614" w:right="593"/>
              <w:jc w:val="left"/>
              <w:rPr>
                <w:sz w:val="18"/>
              </w:rPr>
            </w:pPr>
            <w:r>
              <w:rPr>
                <w:sz w:val="18"/>
              </w:rPr>
              <w:t>External Research Grants</w:t>
            </w:r>
          </w:p>
        </w:tc>
        <w:tc>
          <w:tcPr>
            <w:tcW w:w="1178" w:type="dxa"/>
          </w:tcPr>
          <w:p>
            <w:pPr/>
          </w:p>
        </w:tc>
        <w:tc>
          <w:tcPr>
            <w:tcW w:w="1476" w:type="dxa"/>
          </w:tcPr>
          <w:p>
            <w:pPr>
              <w:pStyle w:val="TableParagraph"/>
              <w:spacing w:before="3"/>
              <w:ind w:right="375"/>
              <w:rPr>
                <w:sz w:val="18"/>
              </w:rPr>
            </w:pPr>
            <w:r>
              <w:rPr>
                <w:w w:val="95"/>
                <w:sz w:val="18"/>
              </w:rPr>
              <w:t>29,800</w:t>
            </w:r>
          </w:p>
        </w:tc>
        <w:tc>
          <w:tcPr>
            <w:tcW w:w="1329" w:type="dxa"/>
          </w:tcPr>
          <w:p>
            <w:pPr>
              <w:pStyle w:val="TableParagraph"/>
              <w:spacing w:before="3"/>
              <w:ind w:right="301"/>
              <w:rPr>
                <w:sz w:val="18"/>
              </w:rPr>
            </w:pPr>
            <w:r>
              <w:rPr>
                <w:w w:val="95"/>
                <w:sz w:val="18"/>
              </w:rPr>
              <w:t>26,378</w:t>
            </w:r>
          </w:p>
        </w:tc>
        <w:tc>
          <w:tcPr>
            <w:tcW w:w="1418" w:type="dxa"/>
          </w:tcPr>
          <w:p>
            <w:pPr>
              <w:pStyle w:val="TableParagraph"/>
              <w:spacing w:before="3"/>
              <w:ind w:right="343"/>
              <w:rPr>
                <w:b/>
                <w:i/>
                <w:sz w:val="18"/>
              </w:rPr>
            </w:pPr>
            <w:r>
              <w:rPr>
                <w:b/>
                <w:i/>
                <w:w w:val="95"/>
                <w:sz w:val="18"/>
              </w:rPr>
              <w:t>(3,422)</w:t>
            </w:r>
          </w:p>
        </w:tc>
        <w:tc>
          <w:tcPr>
            <w:tcW w:w="925" w:type="dxa"/>
          </w:tcPr>
          <w:p>
            <w:pPr>
              <w:pStyle w:val="TableParagraph"/>
              <w:spacing w:before="22"/>
              <w:ind w:right="33"/>
              <w:rPr>
                <w:b/>
                <w:sz w:val="16"/>
              </w:rPr>
            </w:pPr>
            <w:r>
              <w:rPr>
                <w:b/>
                <w:sz w:val="16"/>
              </w:rPr>
              <w:t>-11.5%</w:t>
            </w:r>
          </w:p>
        </w:tc>
      </w:tr>
      <w:tr>
        <w:trPr>
          <w:trHeight w:val="233" w:hRule="exact"/>
        </w:trPr>
        <w:tc>
          <w:tcPr>
            <w:tcW w:w="3609" w:type="dxa"/>
          </w:tcPr>
          <w:p>
            <w:pPr>
              <w:pStyle w:val="TableParagraph"/>
              <w:spacing w:before="3"/>
              <w:ind w:right="161"/>
              <w:rPr>
                <w:sz w:val="18"/>
              </w:rPr>
            </w:pPr>
            <w:r>
              <w:rPr>
                <w:sz w:val="18"/>
              </w:rPr>
              <w:t>Consulting, Contracting &amp; Royalties</w:t>
            </w:r>
          </w:p>
        </w:tc>
        <w:tc>
          <w:tcPr>
            <w:tcW w:w="1178" w:type="dxa"/>
          </w:tcPr>
          <w:p>
            <w:pPr/>
          </w:p>
        </w:tc>
        <w:tc>
          <w:tcPr>
            <w:tcW w:w="1476" w:type="dxa"/>
          </w:tcPr>
          <w:p>
            <w:pPr>
              <w:pStyle w:val="TableParagraph"/>
              <w:spacing w:before="3"/>
              <w:ind w:right="375"/>
              <w:rPr>
                <w:sz w:val="18"/>
              </w:rPr>
            </w:pPr>
            <w:r>
              <w:rPr>
                <w:w w:val="95"/>
                <w:sz w:val="18"/>
              </w:rPr>
              <w:t>1,705</w:t>
            </w:r>
          </w:p>
        </w:tc>
        <w:tc>
          <w:tcPr>
            <w:tcW w:w="1329" w:type="dxa"/>
          </w:tcPr>
          <w:p>
            <w:pPr>
              <w:pStyle w:val="TableParagraph"/>
              <w:spacing w:before="3"/>
              <w:ind w:right="300"/>
              <w:rPr>
                <w:sz w:val="18"/>
              </w:rPr>
            </w:pPr>
            <w:r>
              <w:rPr>
                <w:w w:val="95"/>
                <w:sz w:val="18"/>
              </w:rPr>
              <w:t>4,209</w:t>
            </w:r>
          </w:p>
        </w:tc>
        <w:tc>
          <w:tcPr>
            <w:tcW w:w="1418" w:type="dxa"/>
          </w:tcPr>
          <w:p>
            <w:pPr>
              <w:pStyle w:val="TableParagraph"/>
              <w:spacing w:before="3"/>
              <w:ind w:right="345"/>
              <w:rPr>
                <w:b/>
                <w:i/>
                <w:sz w:val="18"/>
              </w:rPr>
            </w:pPr>
            <w:r>
              <w:rPr>
                <w:b/>
                <w:i/>
                <w:w w:val="95"/>
                <w:sz w:val="18"/>
              </w:rPr>
              <w:t>2,504</w:t>
            </w:r>
          </w:p>
        </w:tc>
        <w:tc>
          <w:tcPr>
            <w:tcW w:w="925" w:type="dxa"/>
          </w:tcPr>
          <w:p>
            <w:pPr>
              <w:pStyle w:val="TableParagraph"/>
              <w:spacing w:before="22"/>
              <w:ind w:right="33"/>
              <w:rPr>
                <w:b/>
                <w:sz w:val="16"/>
              </w:rPr>
            </w:pPr>
            <w:r>
              <w:rPr>
                <w:b/>
                <w:sz w:val="16"/>
              </w:rPr>
              <w:t>146.9%</w:t>
            </w:r>
          </w:p>
        </w:tc>
      </w:tr>
      <w:tr>
        <w:trPr>
          <w:trHeight w:val="283" w:hRule="exact"/>
        </w:trPr>
        <w:tc>
          <w:tcPr>
            <w:tcW w:w="3609" w:type="dxa"/>
          </w:tcPr>
          <w:p>
            <w:pPr>
              <w:pStyle w:val="TableParagraph"/>
              <w:spacing w:before="3"/>
              <w:ind w:left="614" w:right="593"/>
              <w:jc w:val="left"/>
              <w:rPr>
                <w:sz w:val="18"/>
              </w:rPr>
            </w:pPr>
            <w:r>
              <w:rPr>
                <w:sz w:val="18"/>
              </w:rPr>
              <w:t>Other Academic</w:t>
            </w:r>
          </w:p>
        </w:tc>
        <w:tc>
          <w:tcPr>
            <w:tcW w:w="1178" w:type="dxa"/>
          </w:tcPr>
          <w:p>
            <w:pPr/>
          </w:p>
        </w:tc>
        <w:tc>
          <w:tcPr>
            <w:tcW w:w="1476" w:type="dxa"/>
          </w:tcPr>
          <w:p>
            <w:pPr>
              <w:pStyle w:val="TableParagraph"/>
              <w:spacing w:before="3"/>
              <w:ind w:right="375"/>
              <w:rPr>
                <w:sz w:val="18"/>
              </w:rPr>
            </w:pPr>
            <w:r>
              <w:rPr>
                <w:w w:val="95"/>
                <w:sz w:val="18"/>
              </w:rPr>
              <w:t>42,764</w:t>
            </w:r>
          </w:p>
        </w:tc>
        <w:tc>
          <w:tcPr>
            <w:tcW w:w="1329" w:type="dxa"/>
          </w:tcPr>
          <w:p>
            <w:pPr>
              <w:pStyle w:val="TableParagraph"/>
              <w:spacing w:before="3"/>
              <w:ind w:right="301"/>
              <w:rPr>
                <w:sz w:val="18"/>
              </w:rPr>
            </w:pPr>
            <w:r>
              <w:rPr>
                <w:w w:val="95"/>
                <w:sz w:val="18"/>
              </w:rPr>
              <w:t>43,116</w:t>
            </w:r>
          </w:p>
        </w:tc>
        <w:tc>
          <w:tcPr>
            <w:tcW w:w="1418" w:type="dxa"/>
          </w:tcPr>
          <w:p>
            <w:pPr>
              <w:pStyle w:val="TableParagraph"/>
              <w:spacing w:before="3"/>
              <w:ind w:right="344"/>
              <w:rPr>
                <w:b/>
                <w:i/>
                <w:sz w:val="18"/>
              </w:rPr>
            </w:pPr>
            <w:r>
              <w:rPr>
                <w:b/>
                <w:i/>
                <w:w w:val="95"/>
                <w:sz w:val="18"/>
              </w:rPr>
              <w:t>352</w:t>
            </w:r>
          </w:p>
        </w:tc>
        <w:tc>
          <w:tcPr>
            <w:tcW w:w="925" w:type="dxa"/>
          </w:tcPr>
          <w:p>
            <w:pPr>
              <w:pStyle w:val="TableParagraph"/>
              <w:spacing w:before="22"/>
              <w:ind w:right="34"/>
              <w:rPr>
                <w:b/>
                <w:sz w:val="16"/>
              </w:rPr>
            </w:pPr>
            <w:r>
              <w:rPr>
                <w:b/>
                <w:sz w:val="16"/>
              </w:rPr>
              <w:t>0.8%</w:t>
            </w:r>
          </w:p>
        </w:tc>
      </w:tr>
      <w:tr>
        <w:trPr>
          <w:trHeight w:val="257" w:hRule="exact"/>
        </w:trPr>
        <w:tc>
          <w:tcPr>
            <w:tcW w:w="3609" w:type="dxa"/>
          </w:tcPr>
          <w:p>
            <w:pPr/>
          </w:p>
        </w:tc>
        <w:tc>
          <w:tcPr>
            <w:tcW w:w="1178" w:type="dxa"/>
          </w:tcPr>
          <w:p>
            <w:pPr>
              <w:pStyle w:val="TableParagraph"/>
              <w:spacing w:before="54"/>
              <w:ind w:left="53"/>
              <w:jc w:val="left"/>
              <w:rPr>
                <w:b/>
                <w:sz w:val="18"/>
              </w:rPr>
            </w:pPr>
            <w:r>
              <w:rPr>
                <w:b/>
                <w:sz w:val="18"/>
              </w:rPr>
              <w:t>Sub Total</w:t>
            </w:r>
          </w:p>
        </w:tc>
        <w:tc>
          <w:tcPr>
            <w:tcW w:w="1476" w:type="dxa"/>
          </w:tcPr>
          <w:p>
            <w:pPr>
              <w:pStyle w:val="TableParagraph"/>
              <w:spacing w:before="54"/>
              <w:ind w:right="376"/>
              <w:rPr>
                <w:b/>
                <w:sz w:val="18"/>
              </w:rPr>
            </w:pPr>
            <w:r>
              <w:rPr>
                <w:b/>
                <w:w w:val="95"/>
                <w:sz w:val="18"/>
              </w:rPr>
              <w:t>170,859</w:t>
            </w:r>
          </w:p>
        </w:tc>
        <w:tc>
          <w:tcPr>
            <w:tcW w:w="1329" w:type="dxa"/>
          </w:tcPr>
          <w:p>
            <w:pPr>
              <w:pStyle w:val="TableParagraph"/>
              <w:spacing w:before="54"/>
              <w:ind w:right="301"/>
              <w:rPr>
                <w:b/>
                <w:sz w:val="18"/>
              </w:rPr>
            </w:pPr>
            <w:r>
              <w:rPr>
                <w:b/>
                <w:w w:val="95"/>
                <w:sz w:val="18"/>
              </w:rPr>
              <w:t>167,896</w:t>
            </w:r>
          </w:p>
        </w:tc>
        <w:tc>
          <w:tcPr>
            <w:tcW w:w="1418" w:type="dxa"/>
          </w:tcPr>
          <w:p>
            <w:pPr>
              <w:pStyle w:val="TableParagraph"/>
              <w:spacing w:before="54"/>
              <w:ind w:right="343"/>
              <w:rPr>
                <w:b/>
                <w:i/>
                <w:sz w:val="18"/>
              </w:rPr>
            </w:pPr>
            <w:r>
              <w:rPr>
                <w:b/>
                <w:i/>
                <w:w w:val="95"/>
                <w:sz w:val="18"/>
              </w:rPr>
              <w:t>(2,963)</w:t>
            </w:r>
          </w:p>
        </w:tc>
        <w:tc>
          <w:tcPr>
            <w:tcW w:w="925" w:type="dxa"/>
          </w:tcPr>
          <w:p>
            <w:pPr>
              <w:pStyle w:val="TableParagraph"/>
              <w:spacing w:before="72"/>
              <w:ind w:right="33"/>
              <w:rPr>
                <w:b/>
                <w:sz w:val="16"/>
              </w:rPr>
            </w:pPr>
            <w:r>
              <w:rPr>
                <w:b/>
                <w:sz w:val="16"/>
              </w:rPr>
              <w:t>-1.7%</w:t>
            </w:r>
          </w:p>
        </w:tc>
      </w:tr>
      <w:tr>
        <w:trPr>
          <w:trHeight w:val="632" w:hRule="exact"/>
        </w:trPr>
        <w:tc>
          <w:tcPr>
            <w:tcW w:w="3609" w:type="dxa"/>
          </w:tcPr>
          <w:p>
            <w:pPr>
              <w:pStyle w:val="TableParagraph"/>
              <w:spacing w:before="159"/>
              <w:ind w:left="314" w:right="593"/>
              <w:jc w:val="left"/>
              <w:rPr>
                <w:b/>
                <w:sz w:val="18"/>
              </w:rPr>
            </w:pPr>
            <w:r>
              <w:rPr>
                <w:b/>
                <w:sz w:val="18"/>
              </w:rPr>
              <w:t>OTHER INCOME ACTIVITIES</w:t>
            </w:r>
          </w:p>
          <w:p>
            <w:pPr>
              <w:pStyle w:val="TableParagraph"/>
              <w:spacing w:before="25"/>
              <w:ind w:left="614" w:right="593"/>
              <w:jc w:val="left"/>
              <w:rPr>
                <w:sz w:val="18"/>
              </w:rPr>
            </w:pPr>
            <w:r>
              <w:rPr>
                <w:sz w:val="18"/>
              </w:rPr>
              <w:t>Leases &amp; Other Commercial</w:t>
            </w:r>
          </w:p>
        </w:tc>
        <w:tc>
          <w:tcPr>
            <w:tcW w:w="1178" w:type="dxa"/>
          </w:tcPr>
          <w:p>
            <w:pPr/>
          </w:p>
        </w:tc>
        <w:tc>
          <w:tcPr>
            <w:tcW w:w="1476" w:type="dxa"/>
          </w:tcPr>
          <w:p>
            <w:pPr>
              <w:pStyle w:val="TableParagraph"/>
              <w:jc w:val="left"/>
              <w:rPr>
                <w:b/>
                <w:sz w:val="18"/>
              </w:rPr>
            </w:pPr>
          </w:p>
          <w:p>
            <w:pPr>
              <w:pStyle w:val="TableParagraph"/>
              <w:spacing w:before="1"/>
              <w:jc w:val="left"/>
              <w:rPr>
                <w:b/>
                <w:sz w:val="16"/>
              </w:rPr>
            </w:pPr>
          </w:p>
          <w:p>
            <w:pPr>
              <w:pStyle w:val="TableParagraph"/>
              <w:ind w:right="374"/>
              <w:rPr>
                <w:sz w:val="18"/>
              </w:rPr>
            </w:pPr>
            <w:r>
              <w:rPr>
                <w:w w:val="95"/>
                <w:sz w:val="18"/>
              </w:rPr>
              <w:t>5,903</w:t>
            </w:r>
          </w:p>
        </w:tc>
        <w:tc>
          <w:tcPr>
            <w:tcW w:w="1329" w:type="dxa"/>
          </w:tcPr>
          <w:p>
            <w:pPr>
              <w:pStyle w:val="TableParagraph"/>
              <w:jc w:val="left"/>
              <w:rPr>
                <w:b/>
                <w:sz w:val="18"/>
              </w:rPr>
            </w:pPr>
          </w:p>
          <w:p>
            <w:pPr>
              <w:pStyle w:val="TableParagraph"/>
              <w:spacing w:before="1"/>
              <w:jc w:val="left"/>
              <w:rPr>
                <w:b/>
                <w:sz w:val="16"/>
              </w:rPr>
            </w:pPr>
          </w:p>
          <w:p>
            <w:pPr>
              <w:pStyle w:val="TableParagraph"/>
              <w:ind w:right="300"/>
              <w:rPr>
                <w:sz w:val="18"/>
              </w:rPr>
            </w:pPr>
            <w:r>
              <w:rPr>
                <w:w w:val="95"/>
                <w:sz w:val="18"/>
              </w:rPr>
              <w:t>5,034</w:t>
            </w:r>
          </w:p>
        </w:tc>
        <w:tc>
          <w:tcPr>
            <w:tcW w:w="1418" w:type="dxa"/>
          </w:tcPr>
          <w:p>
            <w:pPr>
              <w:pStyle w:val="TableParagraph"/>
              <w:jc w:val="left"/>
              <w:rPr>
                <w:b/>
                <w:sz w:val="18"/>
              </w:rPr>
            </w:pPr>
          </w:p>
          <w:p>
            <w:pPr>
              <w:pStyle w:val="TableParagraph"/>
              <w:spacing w:before="1"/>
              <w:jc w:val="left"/>
              <w:rPr>
                <w:b/>
                <w:sz w:val="16"/>
              </w:rPr>
            </w:pPr>
          </w:p>
          <w:p>
            <w:pPr>
              <w:pStyle w:val="TableParagraph"/>
              <w:ind w:right="342"/>
              <w:rPr>
                <w:b/>
                <w:i/>
                <w:sz w:val="18"/>
              </w:rPr>
            </w:pPr>
            <w:r>
              <w:rPr>
                <w:b/>
                <w:i/>
                <w:sz w:val="18"/>
              </w:rPr>
              <w:t>(869)</w:t>
            </w:r>
          </w:p>
        </w:tc>
        <w:tc>
          <w:tcPr>
            <w:tcW w:w="925" w:type="dxa"/>
          </w:tcPr>
          <w:p>
            <w:pPr>
              <w:pStyle w:val="TableParagraph"/>
              <w:jc w:val="left"/>
              <w:rPr>
                <w:b/>
                <w:sz w:val="16"/>
              </w:rPr>
            </w:pPr>
          </w:p>
          <w:p>
            <w:pPr>
              <w:pStyle w:val="TableParagraph"/>
              <w:spacing w:before="8"/>
              <w:jc w:val="left"/>
              <w:rPr>
                <w:b/>
                <w:sz w:val="19"/>
              </w:rPr>
            </w:pPr>
          </w:p>
          <w:p>
            <w:pPr>
              <w:pStyle w:val="TableParagraph"/>
              <w:ind w:right="33"/>
              <w:rPr>
                <w:b/>
                <w:sz w:val="16"/>
              </w:rPr>
            </w:pPr>
            <w:r>
              <w:rPr>
                <w:b/>
                <w:sz w:val="16"/>
              </w:rPr>
              <w:t>-14.7%</w:t>
            </w:r>
          </w:p>
        </w:tc>
      </w:tr>
      <w:tr>
        <w:trPr>
          <w:trHeight w:val="254" w:hRule="exact"/>
        </w:trPr>
        <w:tc>
          <w:tcPr>
            <w:tcW w:w="3609" w:type="dxa"/>
          </w:tcPr>
          <w:p>
            <w:pPr>
              <w:pStyle w:val="TableParagraph"/>
              <w:spacing w:before="14"/>
              <w:ind w:left="614" w:right="593"/>
              <w:jc w:val="left"/>
              <w:rPr>
                <w:sz w:val="18"/>
              </w:rPr>
            </w:pPr>
            <w:r>
              <w:rPr>
                <w:sz w:val="18"/>
              </w:rPr>
              <w:t>Investment Income</w:t>
            </w:r>
          </w:p>
        </w:tc>
        <w:tc>
          <w:tcPr>
            <w:tcW w:w="1178" w:type="dxa"/>
          </w:tcPr>
          <w:p>
            <w:pPr/>
          </w:p>
        </w:tc>
        <w:tc>
          <w:tcPr>
            <w:tcW w:w="1476" w:type="dxa"/>
          </w:tcPr>
          <w:p>
            <w:pPr>
              <w:pStyle w:val="TableParagraph"/>
              <w:spacing w:before="14"/>
              <w:ind w:right="375"/>
              <w:rPr>
                <w:sz w:val="18"/>
              </w:rPr>
            </w:pPr>
            <w:r>
              <w:rPr>
                <w:w w:val="95"/>
                <w:sz w:val="18"/>
              </w:rPr>
              <w:t>10,163</w:t>
            </w:r>
          </w:p>
        </w:tc>
        <w:tc>
          <w:tcPr>
            <w:tcW w:w="1329" w:type="dxa"/>
          </w:tcPr>
          <w:p>
            <w:pPr>
              <w:pStyle w:val="TableParagraph"/>
              <w:spacing w:before="14"/>
              <w:ind w:right="300"/>
              <w:rPr>
                <w:sz w:val="18"/>
              </w:rPr>
            </w:pPr>
            <w:r>
              <w:rPr>
                <w:w w:val="95"/>
                <w:sz w:val="18"/>
              </w:rPr>
              <w:t>8,649</w:t>
            </w:r>
          </w:p>
        </w:tc>
        <w:tc>
          <w:tcPr>
            <w:tcW w:w="1418" w:type="dxa"/>
          </w:tcPr>
          <w:p>
            <w:pPr>
              <w:pStyle w:val="TableParagraph"/>
              <w:spacing w:before="14"/>
              <w:ind w:right="343"/>
              <w:rPr>
                <w:b/>
                <w:i/>
                <w:sz w:val="18"/>
              </w:rPr>
            </w:pPr>
            <w:r>
              <w:rPr>
                <w:b/>
                <w:i/>
                <w:w w:val="95"/>
                <w:sz w:val="18"/>
              </w:rPr>
              <w:t>(1,514)</w:t>
            </w:r>
          </w:p>
        </w:tc>
        <w:tc>
          <w:tcPr>
            <w:tcW w:w="925" w:type="dxa"/>
          </w:tcPr>
          <w:p>
            <w:pPr>
              <w:pStyle w:val="TableParagraph"/>
              <w:spacing w:before="33"/>
              <w:ind w:right="33"/>
              <w:rPr>
                <w:b/>
                <w:sz w:val="16"/>
              </w:rPr>
            </w:pPr>
            <w:r>
              <w:rPr>
                <w:b/>
                <w:sz w:val="16"/>
              </w:rPr>
              <w:t>-14.9%</w:t>
            </w:r>
          </w:p>
        </w:tc>
      </w:tr>
      <w:tr>
        <w:trPr>
          <w:trHeight w:val="244" w:hRule="exact"/>
        </w:trPr>
        <w:tc>
          <w:tcPr>
            <w:tcW w:w="3609" w:type="dxa"/>
          </w:tcPr>
          <w:p>
            <w:pPr>
              <w:pStyle w:val="TableParagraph"/>
              <w:spacing w:before="14"/>
              <w:ind w:right="51"/>
              <w:rPr>
                <w:sz w:val="18"/>
              </w:rPr>
            </w:pPr>
            <w:r>
              <w:rPr>
                <w:sz w:val="18"/>
              </w:rPr>
              <w:t>Land/Property Development Projects</w:t>
            </w:r>
          </w:p>
        </w:tc>
        <w:tc>
          <w:tcPr>
            <w:tcW w:w="1178" w:type="dxa"/>
          </w:tcPr>
          <w:p>
            <w:pPr/>
          </w:p>
        </w:tc>
        <w:tc>
          <w:tcPr>
            <w:tcW w:w="1476" w:type="dxa"/>
          </w:tcPr>
          <w:p>
            <w:pPr>
              <w:pStyle w:val="TableParagraph"/>
              <w:spacing w:before="14"/>
              <w:ind w:right="376"/>
              <w:rPr>
                <w:sz w:val="18"/>
              </w:rPr>
            </w:pPr>
            <w:r>
              <w:rPr>
                <w:w w:val="95"/>
                <w:sz w:val="18"/>
              </w:rPr>
              <w:t>162,676</w:t>
            </w:r>
          </w:p>
        </w:tc>
        <w:tc>
          <w:tcPr>
            <w:tcW w:w="1329" w:type="dxa"/>
          </w:tcPr>
          <w:p>
            <w:pPr>
              <w:pStyle w:val="TableParagraph"/>
              <w:spacing w:before="14"/>
              <w:ind w:right="301"/>
              <w:rPr>
                <w:sz w:val="18"/>
              </w:rPr>
            </w:pPr>
            <w:r>
              <w:rPr>
                <w:w w:val="95"/>
                <w:sz w:val="18"/>
              </w:rPr>
              <w:t>25,083</w:t>
            </w:r>
          </w:p>
        </w:tc>
        <w:tc>
          <w:tcPr>
            <w:tcW w:w="1418" w:type="dxa"/>
          </w:tcPr>
          <w:p>
            <w:pPr>
              <w:pStyle w:val="TableParagraph"/>
              <w:spacing w:before="14"/>
              <w:ind w:right="344"/>
              <w:rPr>
                <w:b/>
                <w:i/>
                <w:sz w:val="18"/>
              </w:rPr>
            </w:pPr>
            <w:r>
              <w:rPr>
                <w:b/>
                <w:i/>
                <w:w w:val="95"/>
                <w:sz w:val="18"/>
              </w:rPr>
              <w:t>(137,593)</w:t>
            </w:r>
          </w:p>
        </w:tc>
        <w:tc>
          <w:tcPr>
            <w:tcW w:w="925" w:type="dxa"/>
          </w:tcPr>
          <w:p>
            <w:pPr>
              <w:pStyle w:val="TableParagraph"/>
              <w:spacing w:before="33"/>
              <w:ind w:right="33"/>
              <w:rPr>
                <w:b/>
                <w:sz w:val="16"/>
              </w:rPr>
            </w:pPr>
            <w:r>
              <w:rPr>
                <w:b/>
                <w:sz w:val="16"/>
              </w:rPr>
              <w:t>-84.6%</w:t>
            </w:r>
          </w:p>
        </w:tc>
      </w:tr>
      <w:tr>
        <w:trPr>
          <w:trHeight w:val="262" w:hRule="exact"/>
        </w:trPr>
        <w:tc>
          <w:tcPr>
            <w:tcW w:w="3609" w:type="dxa"/>
          </w:tcPr>
          <w:p>
            <w:pPr>
              <w:pStyle w:val="TableParagraph"/>
              <w:spacing w:before="3"/>
              <w:ind w:left="614" w:right="593"/>
              <w:jc w:val="left"/>
              <w:rPr>
                <w:sz w:val="18"/>
              </w:rPr>
            </w:pPr>
            <w:r>
              <w:rPr>
                <w:sz w:val="18"/>
              </w:rPr>
              <w:t>Other Incidental</w:t>
            </w:r>
          </w:p>
        </w:tc>
        <w:tc>
          <w:tcPr>
            <w:tcW w:w="1178" w:type="dxa"/>
          </w:tcPr>
          <w:p>
            <w:pPr/>
          </w:p>
        </w:tc>
        <w:tc>
          <w:tcPr>
            <w:tcW w:w="1476" w:type="dxa"/>
          </w:tcPr>
          <w:p>
            <w:pPr>
              <w:pStyle w:val="TableParagraph"/>
              <w:spacing w:before="3"/>
              <w:ind w:right="375"/>
              <w:rPr>
                <w:sz w:val="18"/>
              </w:rPr>
            </w:pPr>
            <w:r>
              <w:rPr>
                <w:w w:val="95"/>
                <w:sz w:val="18"/>
              </w:rPr>
              <w:t>12,266</w:t>
            </w:r>
          </w:p>
        </w:tc>
        <w:tc>
          <w:tcPr>
            <w:tcW w:w="1329" w:type="dxa"/>
          </w:tcPr>
          <w:p>
            <w:pPr>
              <w:pStyle w:val="TableParagraph"/>
              <w:spacing w:before="3"/>
              <w:ind w:right="301"/>
              <w:rPr>
                <w:sz w:val="18"/>
              </w:rPr>
            </w:pPr>
            <w:r>
              <w:rPr>
                <w:w w:val="95"/>
                <w:sz w:val="18"/>
              </w:rPr>
              <w:t>16,099</w:t>
            </w:r>
          </w:p>
        </w:tc>
        <w:tc>
          <w:tcPr>
            <w:tcW w:w="1418" w:type="dxa"/>
          </w:tcPr>
          <w:p>
            <w:pPr>
              <w:pStyle w:val="TableParagraph"/>
              <w:spacing w:before="3"/>
              <w:ind w:right="345"/>
              <w:rPr>
                <w:b/>
                <w:i/>
                <w:sz w:val="18"/>
              </w:rPr>
            </w:pPr>
            <w:r>
              <w:rPr>
                <w:b/>
                <w:i/>
                <w:w w:val="95"/>
                <w:sz w:val="18"/>
              </w:rPr>
              <w:t>3,833</w:t>
            </w:r>
          </w:p>
        </w:tc>
        <w:tc>
          <w:tcPr>
            <w:tcW w:w="925" w:type="dxa"/>
          </w:tcPr>
          <w:p>
            <w:pPr>
              <w:pStyle w:val="TableParagraph"/>
              <w:spacing w:before="22"/>
              <w:ind w:right="33"/>
              <w:rPr>
                <w:b/>
                <w:sz w:val="16"/>
              </w:rPr>
            </w:pPr>
            <w:r>
              <w:rPr>
                <w:b/>
                <w:sz w:val="16"/>
              </w:rPr>
              <w:t>31.2%</w:t>
            </w:r>
          </w:p>
        </w:tc>
      </w:tr>
      <w:tr>
        <w:trPr>
          <w:trHeight w:val="494" w:hRule="exact"/>
        </w:trPr>
        <w:tc>
          <w:tcPr>
            <w:tcW w:w="3609" w:type="dxa"/>
          </w:tcPr>
          <w:p>
            <w:pPr>
              <w:pStyle w:val="TableParagraph"/>
              <w:jc w:val="left"/>
              <w:rPr>
                <w:b/>
                <w:sz w:val="23"/>
              </w:rPr>
            </w:pPr>
          </w:p>
          <w:p>
            <w:pPr>
              <w:pStyle w:val="TableParagraph"/>
              <w:ind w:left="314" w:right="593"/>
              <w:jc w:val="left"/>
              <w:rPr>
                <w:b/>
                <w:sz w:val="18"/>
              </w:rPr>
            </w:pPr>
            <w:r>
              <w:rPr>
                <w:b/>
                <w:sz w:val="18"/>
              </w:rPr>
              <w:t>WSU ENTITIES</w:t>
            </w:r>
          </w:p>
        </w:tc>
        <w:tc>
          <w:tcPr>
            <w:tcW w:w="1178" w:type="dxa"/>
          </w:tcPr>
          <w:p>
            <w:pPr>
              <w:pStyle w:val="TableParagraph"/>
              <w:spacing w:before="32"/>
              <w:ind w:left="53"/>
              <w:jc w:val="left"/>
              <w:rPr>
                <w:b/>
                <w:sz w:val="18"/>
              </w:rPr>
            </w:pPr>
            <w:r>
              <w:rPr>
                <w:b/>
                <w:sz w:val="18"/>
              </w:rPr>
              <w:t>Sub Total</w:t>
            </w:r>
          </w:p>
        </w:tc>
        <w:tc>
          <w:tcPr>
            <w:tcW w:w="1476" w:type="dxa"/>
          </w:tcPr>
          <w:p>
            <w:pPr>
              <w:pStyle w:val="TableParagraph"/>
              <w:spacing w:before="32"/>
              <w:ind w:right="376"/>
              <w:rPr>
                <w:b/>
                <w:sz w:val="18"/>
              </w:rPr>
            </w:pPr>
            <w:r>
              <w:rPr>
                <w:b/>
                <w:w w:val="95"/>
                <w:sz w:val="18"/>
              </w:rPr>
              <w:t>191,008</w:t>
            </w:r>
          </w:p>
        </w:tc>
        <w:tc>
          <w:tcPr>
            <w:tcW w:w="1329" w:type="dxa"/>
          </w:tcPr>
          <w:p>
            <w:pPr>
              <w:pStyle w:val="TableParagraph"/>
              <w:spacing w:before="32"/>
              <w:ind w:right="300"/>
              <w:rPr>
                <w:b/>
                <w:sz w:val="18"/>
              </w:rPr>
            </w:pPr>
            <w:r>
              <w:rPr>
                <w:b/>
                <w:w w:val="95"/>
                <w:sz w:val="18"/>
              </w:rPr>
              <w:t>54,865</w:t>
            </w:r>
          </w:p>
        </w:tc>
        <w:tc>
          <w:tcPr>
            <w:tcW w:w="1418" w:type="dxa"/>
          </w:tcPr>
          <w:p>
            <w:pPr>
              <w:pStyle w:val="TableParagraph"/>
              <w:spacing w:before="32"/>
              <w:ind w:right="344"/>
              <w:rPr>
                <w:b/>
                <w:i/>
                <w:sz w:val="18"/>
              </w:rPr>
            </w:pPr>
            <w:r>
              <w:rPr>
                <w:b/>
                <w:i/>
                <w:w w:val="95"/>
                <w:sz w:val="18"/>
              </w:rPr>
              <w:t>(136,143)</w:t>
            </w:r>
          </w:p>
        </w:tc>
        <w:tc>
          <w:tcPr>
            <w:tcW w:w="925" w:type="dxa"/>
          </w:tcPr>
          <w:p>
            <w:pPr>
              <w:pStyle w:val="TableParagraph"/>
              <w:spacing w:before="51"/>
              <w:ind w:right="33"/>
              <w:rPr>
                <w:b/>
                <w:sz w:val="16"/>
              </w:rPr>
            </w:pPr>
            <w:r>
              <w:rPr>
                <w:b/>
                <w:sz w:val="16"/>
              </w:rPr>
              <w:t>-71.3%</w:t>
            </w:r>
          </w:p>
        </w:tc>
      </w:tr>
      <w:tr>
        <w:trPr>
          <w:trHeight w:val="233" w:hRule="exact"/>
        </w:trPr>
        <w:tc>
          <w:tcPr>
            <w:tcW w:w="4787" w:type="dxa"/>
            <w:gridSpan w:val="2"/>
          </w:tcPr>
          <w:p>
            <w:pPr>
              <w:pStyle w:val="TableParagraph"/>
              <w:spacing w:before="3"/>
              <w:ind w:left="614"/>
              <w:jc w:val="left"/>
              <w:rPr>
                <w:sz w:val="18"/>
              </w:rPr>
            </w:pPr>
            <w:r>
              <w:rPr>
                <w:sz w:val="18"/>
              </w:rPr>
              <w:t>WSU College</w:t>
            </w:r>
          </w:p>
        </w:tc>
        <w:tc>
          <w:tcPr>
            <w:tcW w:w="1476" w:type="dxa"/>
          </w:tcPr>
          <w:p>
            <w:pPr>
              <w:pStyle w:val="TableParagraph"/>
              <w:spacing w:before="3"/>
              <w:ind w:right="375"/>
              <w:rPr>
                <w:sz w:val="18"/>
              </w:rPr>
            </w:pPr>
            <w:r>
              <w:rPr>
                <w:w w:val="95"/>
                <w:sz w:val="18"/>
              </w:rPr>
              <w:t>65,112</w:t>
            </w:r>
          </w:p>
        </w:tc>
        <w:tc>
          <w:tcPr>
            <w:tcW w:w="1329" w:type="dxa"/>
          </w:tcPr>
          <w:p>
            <w:pPr>
              <w:pStyle w:val="TableParagraph"/>
              <w:spacing w:before="3"/>
              <w:ind w:right="301"/>
              <w:rPr>
                <w:sz w:val="18"/>
              </w:rPr>
            </w:pPr>
            <w:r>
              <w:rPr>
                <w:w w:val="95"/>
                <w:sz w:val="18"/>
              </w:rPr>
              <w:t>59,992</w:t>
            </w:r>
          </w:p>
        </w:tc>
        <w:tc>
          <w:tcPr>
            <w:tcW w:w="1418" w:type="dxa"/>
          </w:tcPr>
          <w:p>
            <w:pPr>
              <w:pStyle w:val="TableParagraph"/>
              <w:spacing w:before="3"/>
              <w:ind w:right="343"/>
              <w:rPr>
                <w:b/>
                <w:i/>
                <w:sz w:val="18"/>
              </w:rPr>
            </w:pPr>
            <w:r>
              <w:rPr>
                <w:b/>
                <w:i/>
                <w:w w:val="95"/>
                <w:sz w:val="18"/>
              </w:rPr>
              <w:t>(5,120)</w:t>
            </w:r>
          </w:p>
        </w:tc>
        <w:tc>
          <w:tcPr>
            <w:tcW w:w="925" w:type="dxa"/>
          </w:tcPr>
          <w:p>
            <w:pPr>
              <w:pStyle w:val="TableParagraph"/>
              <w:spacing w:before="22"/>
              <w:ind w:right="33"/>
              <w:rPr>
                <w:b/>
                <w:sz w:val="16"/>
              </w:rPr>
            </w:pPr>
            <w:r>
              <w:rPr>
                <w:b/>
                <w:sz w:val="16"/>
              </w:rPr>
              <w:t>-7.9%</w:t>
            </w:r>
          </w:p>
        </w:tc>
      </w:tr>
      <w:tr>
        <w:trPr>
          <w:trHeight w:val="233" w:hRule="exact"/>
        </w:trPr>
        <w:tc>
          <w:tcPr>
            <w:tcW w:w="4787" w:type="dxa"/>
            <w:gridSpan w:val="2"/>
          </w:tcPr>
          <w:p>
            <w:pPr>
              <w:pStyle w:val="TableParagraph"/>
              <w:spacing w:before="3"/>
              <w:ind w:left="614"/>
              <w:jc w:val="left"/>
              <w:rPr>
                <w:sz w:val="18"/>
              </w:rPr>
            </w:pPr>
            <w:r>
              <w:rPr>
                <w:sz w:val="18"/>
              </w:rPr>
              <w:t>Whitlam Institute</w:t>
            </w:r>
          </w:p>
        </w:tc>
        <w:tc>
          <w:tcPr>
            <w:tcW w:w="1476" w:type="dxa"/>
          </w:tcPr>
          <w:p>
            <w:pPr>
              <w:pStyle w:val="TableParagraph"/>
              <w:spacing w:before="3"/>
              <w:ind w:right="372"/>
              <w:rPr>
                <w:sz w:val="18"/>
              </w:rPr>
            </w:pPr>
            <w:r>
              <w:rPr>
                <w:sz w:val="18"/>
              </w:rPr>
              <w:t>62</w:t>
            </w:r>
          </w:p>
        </w:tc>
        <w:tc>
          <w:tcPr>
            <w:tcW w:w="1329" w:type="dxa"/>
          </w:tcPr>
          <w:p>
            <w:pPr>
              <w:pStyle w:val="TableParagraph"/>
              <w:spacing w:before="3"/>
              <w:ind w:right="299"/>
              <w:rPr>
                <w:sz w:val="18"/>
              </w:rPr>
            </w:pPr>
            <w:r>
              <w:rPr>
                <w:w w:val="95"/>
                <w:sz w:val="18"/>
              </w:rPr>
              <w:t>197</w:t>
            </w:r>
          </w:p>
        </w:tc>
        <w:tc>
          <w:tcPr>
            <w:tcW w:w="1418" w:type="dxa"/>
          </w:tcPr>
          <w:p>
            <w:pPr>
              <w:pStyle w:val="TableParagraph"/>
              <w:spacing w:before="3"/>
              <w:ind w:right="344"/>
              <w:rPr>
                <w:b/>
                <w:i/>
                <w:sz w:val="18"/>
              </w:rPr>
            </w:pPr>
            <w:r>
              <w:rPr>
                <w:b/>
                <w:i/>
                <w:w w:val="95"/>
                <w:sz w:val="18"/>
              </w:rPr>
              <w:t>135</w:t>
            </w:r>
          </w:p>
        </w:tc>
        <w:tc>
          <w:tcPr>
            <w:tcW w:w="925" w:type="dxa"/>
          </w:tcPr>
          <w:p>
            <w:pPr>
              <w:pStyle w:val="TableParagraph"/>
              <w:spacing w:before="22"/>
              <w:ind w:right="33"/>
              <w:rPr>
                <w:b/>
                <w:sz w:val="16"/>
              </w:rPr>
            </w:pPr>
            <w:r>
              <w:rPr>
                <w:b/>
                <w:sz w:val="16"/>
              </w:rPr>
              <w:t>217.7%</w:t>
            </w:r>
          </w:p>
        </w:tc>
      </w:tr>
      <w:tr>
        <w:trPr>
          <w:trHeight w:val="233" w:hRule="exact"/>
        </w:trPr>
        <w:tc>
          <w:tcPr>
            <w:tcW w:w="4787" w:type="dxa"/>
            <w:gridSpan w:val="2"/>
          </w:tcPr>
          <w:p>
            <w:pPr>
              <w:pStyle w:val="TableParagraph"/>
              <w:spacing w:before="3"/>
              <w:ind w:left="614"/>
              <w:jc w:val="left"/>
              <w:rPr>
                <w:sz w:val="18"/>
              </w:rPr>
            </w:pPr>
            <w:r>
              <w:rPr>
                <w:sz w:val="18"/>
              </w:rPr>
              <w:t>UWSELL</w:t>
            </w:r>
          </w:p>
        </w:tc>
        <w:tc>
          <w:tcPr>
            <w:tcW w:w="1476" w:type="dxa"/>
          </w:tcPr>
          <w:p>
            <w:pPr>
              <w:pStyle w:val="TableParagraph"/>
              <w:spacing w:before="3"/>
              <w:ind w:right="374"/>
              <w:rPr>
                <w:sz w:val="18"/>
              </w:rPr>
            </w:pPr>
            <w:r>
              <w:rPr>
                <w:w w:val="95"/>
                <w:sz w:val="18"/>
              </w:rPr>
              <w:t>6,294</w:t>
            </w:r>
          </w:p>
        </w:tc>
        <w:tc>
          <w:tcPr>
            <w:tcW w:w="1329" w:type="dxa"/>
          </w:tcPr>
          <w:p>
            <w:pPr>
              <w:pStyle w:val="TableParagraph"/>
              <w:spacing w:before="3"/>
              <w:ind w:right="300"/>
              <w:rPr>
                <w:sz w:val="18"/>
              </w:rPr>
            </w:pPr>
            <w:r>
              <w:rPr>
                <w:w w:val="95"/>
                <w:sz w:val="18"/>
              </w:rPr>
              <w:t>6,559</w:t>
            </w:r>
          </w:p>
        </w:tc>
        <w:tc>
          <w:tcPr>
            <w:tcW w:w="1418" w:type="dxa"/>
          </w:tcPr>
          <w:p>
            <w:pPr>
              <w:pStyle w:val="TableParagraph"/>
              <w:spacing w:before="3"/>
              <w:ind w:right="344"/>
              <w:rPr>
                <w:b/>
                <w:i/>
                <w:sz w:val="18"/>
              </w:rPr>
            </w:pPr>
            <w:r>
              <w:rPr>
                <w:b/>
                <w:i/>
                <w:w w:val="95"/>
                <w:sz w:val="18"/>
              </w:rPr>
              <w:t>265</w:t>
            </w:r>
          </w:p>
        </w:tc>
        <w:tc>
          <w:tcPr>
            <w:tcW w:w="925" w:type="dxa"/>
          </w:tcPr>
          <w:p>
            <w:pPr>
              <w:pStyle w:val="TableParagraph"/>
              <w:spacing w:before="22"/>
              <w:ind w:right="34"/>
              <w:rPr>
                <w:b/>
                <w:sz w:val="16"/>
              </w:rPr>
            </w:pPr>
            <w:r>
              <w:rPr>
                <w:b/>
                <w:sz w:val="16"/>
              </w:rPr>
              <w:t>4.2%</w:t>
            </w:r>
          </w:p>
        </w:tc>
      </w:tr>
      <w:tr>
        <w:trPr>
          <w:trHeight w:val="582" w:hRule="exact"/>
        </w:trPr>
        <w:tc>
          <w:tcPr>
            <w:tcW w:w="4787" w:type="dxa"/>
            <w:gridSpan w:val="2"/>
          </w:tcPr>
          <w:p>
            <w:pPr>
              <w:pStyle w:val="TableParagraph"/>
              <w:spacing w:before="3"/>
              <w:ind w:left="614"/>
              <w:jc w:val="left"/>
              <w:rPr>
                <w:sz w:val="18"/>
              </w:rPr>
            </w:pPr>
            <w:r>
              <w:rPr>
                <w:sz w:val="18"/>
              </w:rPr>
              <w:t>uwsconnect</w:t>
            </w:r>
          </w:p>
          <w:p>
            <w:pPr>
              <w:pStyle w:val="TableParagraph"/>
              <w:spacing w:before="26"/>
              <w:ind w:left="614"/>
              <w:jc w:val="left"/>
              <w:rPr>
                <w:sz w:val="18"/>
              </w:rPr>
            </w:pPr>
            <w:r>
              <w:rPr>
                <w:sz w:val="18"/>
              </w:rPr>
              <w:t>Adjustments on Consolidation</w:t>
            </w:r>
          </w:p>
        </w:tc>
        <w:tc>
          <w:tcPr>
            <w:tcW w:w="1476" w:type="dxa"/>
          </w:tcPr>
          <w:p>
            <w:pPr>
              <w:pStyle w:val="TableParagraph"/>
              <w:spacing w:before="3"/>
              <w:ind w:right="375"/>
              <w:rPr>
                <w:sz w:val="18"/>
              </w:rPr>
            </w:pPr>
            <w:r>
              <w:rPr>
                <w:w w:val="95"/>
                <w:sz w:val="18"/>
              </w:rPr>
              <w:t>19,999</w:t>
            </w:r>
          </w:p>
        </w:tc>
        <w:tc>
          <w:tcPr>
            <w:tcW w:w="1329" w:type="dxa"/>
          </w:tcPr>
          <w:p>
            <w:pPr>
              <w:pStyle w:val="TableParagraph"/>
              <w:spacing w:before="3"/>
              <w:ind w:right="301"/>
              <w:rPr>
                <w:sz w:val="18"/>
              </w:rPr>
            </w:pPr>
            <w:r>
              <w:rPr>
                <w:w w:val="95"/>
                <w:sz w:val="18"/>
              </w:rPr>
              <w:t>21,541</w:t>
            </w:r>
          </w:p>
        </w:tc>
        <w:tc>
          <w:tcPr>
            <w:tcW w:w="1418" w:type="dxa"/>
          </w:tcPr>
          <w:p>
            <w:pPr>
              <w:pStyle w:val="TableParagraph"/>
              <w:spacing w:before="3"/>
              <w:ind w:right="345"/>
              <w:rPr>
                <w:b/>
                <w:i/>
                <w:sz w:val="18"/>
              </w:rPr>
            </w:pPr>
            <w:r>
              <w:rPr>
                <w:b/>
                <w:i/>
                <w:w w:val="95"/>
                <w:sz w:val="18"/>
              </w:rPr>
              <w:t>1,542</w:t>
            </w:r>
          </w:p>
        </w:tc>
        <w:tc>
          <w:tcPr>
            <w:tcW w:w="925" w:type="dxa"/>
          </w:tcPr>
          <w:p>
            <w:pPr>
              <w:pStyle w:val="TableParagraph"/>
              <w:spacing w:before="22"/>
              <w:ind w:right="34"/>
              <w:rPr>
                <w:b/>
                <w:sz w:val="16"/>
              </w:rPr>
            </w:pPr>
            <w:r>
              <w:rPr>
                <w:b/>
                <w:sz w:val="16"/>
              </w:rPr>
              <w:t>7.7%</w:t>
            </w:r>
          </w:p>
        </w:tc>
      </w:tr>
      <w:tr>
        <w:trPr>
          <w:trHeight w:val="466" w:hRule="exact"/>
        </w:trPr>
        <w:tc>
          <w:tcPr>
            <w:tcW w:w="4787" w:type="dxa"/>
            <w:gridSpan w:val="2"/>
          </w:tcPr>
          <w:p>
            <w:pPr>
              <w:pStyle w:val="TableParagraph"/>
              <w:spacing w:before="120"/>
              <w:ind w:right="302"/>
              <w:rPr>
                <w:b/>
                <w:sz w:val="18"/>
              </w:rPr>
            </w:pPr>
            <w:r>
              <w:rPr>
                <w:b/>
                <w:sz w:val="18"/>
              </w:rPr>
              <w:t>Sub Total</w:t>
            </w:r>
          </w:p>
        </w:tc>
        <w:tc>
          <w:tcPr>
            <w:tcW w:w="1476" w:type="dxa"/>
          </w:tcPr>
          <w:p>
            <w:pPr>
              <w:pStyle w:val="TableParagraph"/>
              <w:spacing w:before="120"/>
              <w:ind w:right="375"/>
              <w:rPr>
                <w:b/>
                <w:sz w:val="18"/>
              </w:rPr>
            </w:pPr>
            <w:r>
              <w:rPr>
                <w:b/>
                <w:w w:val="95"/>
                <w:sz w:val="18"/>
              </w:rPr>
              <w:t>91,467</w:t>
            </w:r>
          </w:p>
        </w:tc>
        <w:tc>
          <w:tcPr>
            <w:tcW w:w="1329" w:type="dxa"/>
          </w:tcPr>
          <w:p>
            <w:pPr>
              <w:pStyle w:val="TableParagraph"/>
              <w:spacing w:before="120"/>
              <w:ind w:right="300"/>
              <w:rPr>
                <w:b/>
                <w:sz w:val="18"/>
              </w:rPr>
            </w:pPr>
            <w:r>
              <w:rPr>
                <w:b/>
                <w:w w:val="95"/>
                <w:sz w:val="18"/>
              </w:rPr>
              <w:t>88,289</w:t>
            </w:r>
          </w:p>
        </w:tc>
        <w:tc>
          <w:tcPr>
            <w:tcW w:w="1418" w:type="dxa"/>
          </w:tcPr>
          <w:p>
            <w:pPr>
              <w:pStyle w:val="TableParagraph"/>
              <w:spacing w:before="120"/>
              <w:ind w:right="343"/>
              <w:rPr>
                <w:b/>
                <w:i/>
                <w:sz w:val="18"/>
              </w:rPr>
            </w:pPr>
            <w:r>
              <w:rPr>
                <w:b/>
                <w:i/>
                <w:w w:val="95"/>
                <w:sz w:val="18"/>
              </w:rPr>
              <w:t>(3,178)</w:t>
            </w:r>
          </w:p>
        </w:tc>
        <w:tc>
          <w:tcPr>
            <w:tcW w:w="925" w:type="dxa"/>
          </w:tcPr>
          <w:p>
            <w:pPr>
              <w:pStyle w:val="TableParagraph"/>
              <w:spacing w:before="138"/>
              <w:ind w:right="33"/>
              <w:rPr>
                <w:b/>
                <w:sz w:val="16"/>
              </w:rPr>
            </w:pPr>
            <w:r>
              <w:rPr>
                <w:b/>
                <w:sz w:val="16"/>
              </w:rPr>
              <w:t>-3.5%</w:t>
            </w:r>
          </w:p>
        </w:tc>
      </w:tr>
      <w:tr>
        <w:trPr>
          <w:trHeight w:val="466" w:hRule="exact"/>
        </w:trPr>
        <w:tc>
          <w:tcPr>
            <w:tcW w:w="4787" w:type="dxa"/>
            <w:gridSpan w:val="2"/>
          </w:tcPr>
          <w:p>
            <w:pPr>
              <w:pStyle w:val="TableParagraph"/>
              <w:spacing w:before="119"/>
              <w:ind w:left="1420"/>
              <w:jc w:val="left"/>
              <w:rPr>
                <w:b/>
                <w:sz w:val="18"/>
              </w:rPr>
            </w:pPr>
            <w:r>
              <w:rPr>
                <w:b/>
                <w:sz w:val="18"/>
              </w:rPr>
              <w:t>TOTAL SELF-GENERATED INCOME</w:t>
            </w:r>
          </w:p>
        </w:tc>
        <w:tc>
          <w:tcPr>
            <w:tcW w:w="1476" w:type="dxa"/>
          </w:tcPr>
          <w:p>
            <w:pPr>
              <w:pStyle w:val="TableParagraph"/>
              <w:spacing w:before="119"/>
              <w:ind w:right="376"/>
              <w:rPr>
                <w:b/>
                <w:sz w:val="18"/>
              </w:rPr>
            </w:pPr>
            <w:r>
              <w:rPr>
                <w:b/>
                <w:w w:val="95"/>
                <w:sz w:val="18"/>
              </w:rPr>
              <w:t>453,334</w:t>
            </w:r>
          </w:p>
        </w:tc>
        <w:tc>
          <w:tcPr>
            <w:tcW w:w="1329" w:type="dxa"/>
          </w:tcPr>
          <w:p>
            <w:pPr>
              <w:pStyle w:val="TableParagraph"/>
              <w:spacing w:before="119"/>
              <w:ind w:right="301"/>
              <w:rPr>
                <w:b/>
                <w:sz w:val="18"/>
              </w:rPr>
            </w:pPr>
            <w:r>
              <w:rPr>
                <w:b/>
                <w:w w:val="95"/>
                <w:sz w:val="18"/>
              </w:rPr>
              <w:t>311,050</w:t>
            </w:r>
          </w:p>
        </w:tc>
        <w:tc>
          <w:tcPr>
            <w:tcW w:w="1418" w:type="dxa"/>
          </w:tcPr>
          <w:p>
            <w:pPr>
              <w:pStyle w:val="TableParagraph"/>
              <w:spacing w:before="119"/>
              <w:ind w:right="344"/>
              <w:rPr>
                <w:b/>
                <w:i/>
                <w:sz w:val="18"/>
              </w:rPr>
            </w:pPr>
            <w:r>
              <w:rPr>
                <w:b/>
                <w:i/>
                <w:w w:val="95"/>
                <w:sz w:val="18"/>
              </w:rPr>
              <w:t>(142,284)</w:t>
            </w:r>
          </w:p>
        </w:tc>
        <w:tc>
          <w:tcPr>
            <w:tcW w:w="925" w:type="dxa"/>
          </w:tcPr>
          <w:p>
            <w:pPr>
              <w:pStyle w:val="TableParagraph"/>
              <w:spacing w:before="138"/>
              <w:ind w:right="33"/>
              <w:rPr>
                <w:b/>
                <w:sz w:val="16"/>
              </w:rPr>
            </w:pPr>
            <w:r>
              <w:rPr>
                <w:b/>
                <w:sz w:val="16"/>
              </w:rPr>
              <w:t>-31.4%</w:t>
            </w:r>
          </w:p>
        </w:tc>
      </w:tr>
      <w:tr>
        <w:trPr>
          <w:trHeight w:val="523" w:hRule="exact"/>
        </w:trPr>
        <w:tc>
          <w:tcPr>
            <w:tcW w:w="4787" w:type="dxa"/>
            <w:gridSpan w:val="2"/>
          </w:tcPr>
          <w:p>
            <w:pPr>
              <w:pStyle w:val="TableParagraph"/>
              <w:spacing w:before="120"/>
              <w:ind w:left="3117"/>
              <w:jc w:val="left"/>
              <w:rPr>
                <w:b/>
                <w:sz w:val="18"/>
              </w:rPr>
            </w:pPr>
            <w:r>
              <w:rPr>
                <w:b/>
                <w:sz w:val="18"/>
              </w:rPr>
              <w:t>TOTAL INCOME</w:t>
            </w:r>
          </w:p>
        </w:tc>
        <w:tc>
          <w:tcPr>
            <w:tcW w:w="1476" w:type="dxa"/>
          </w:tcPr>
          <w:p>
            <w:pPr>
              <w:pStyle w:val="TableParagraph"/>
              <w:spacing w:before="120"/>
              <w:ind w:right="377"/>
              <w:rPr>
                <w:b/>
                <w:sz w:val="18"/>
              </w:rPr>
            </w:pPr>
            <w:r>
              <w:rPr>
                <w:b/>
                <w:w w:val="95"/>
                <w:sz w:val="18"/>
              </w:rPr>
              <w:t>1,012,581</w:t>
            </w:r>
          </w:p>
        </w:tc>
        <w:tc>
          <w:tcPr>
            <w:tcW w:w="1329" w:type="dxa"/>
          </w:tcPr>
          <w:p>
            <w:pPr>
              <w:pStyle w:val="TableParagraph"/>
              <w:spacing w:before="120"/>
              <w:ind w:right="301"/>
              <w:rPr>
                <w:b/>
                <w:sz w:val="18"/>
              </w:rPr>
            </w:pPr>
            <w:r>
              <w:rPr>
                <w:b/>
                <w:w w:val="95"/>
                <w:sz w:val="18"/>
              </w:rPr>
              <w:t>864,540</w:t>
            </w:r>
          </w:p>
        </w:tc>
        <w:tc>
          <w:tcPr>
            <w:tcW w:w="1418" w:type="dxa"/>
          </w:tcPr>
          <w:p>
            <w:pPr>
              <w:pStyle w:val="TableParagraph"/>
              <w:spacing w:before="120"/>
              <w:ind w:right="345"/>
              <w:rPr>
                <w:b/>
                <w:i/>
                <w:sz w:val="18"/>
              </w:rPr>
            </w:pPr>
            <w:r>
              <w:rPr>
                <w:b/>
                <w:i/>
                <w:w w:val="95"/>
                <w:sz w:val="18"/>
              </w:rPr>
              <w:t>(148,041)</w:t>
            </w:r>
          </w:p>
        </w:tc>
        <w:tc>
          <w:tcPr>
            <w:tcW w:w="925" w:type="dxa"/>
          </w:tcPr>
          <w:p>
            <w:pPr>
              <w:pStyle w:val="TableParagraph"/>
              <w:spacing w:before="138"/>
              <w:ind w:right="33"/>
              <w:rPr>
                <w:b/>
                <w:sz w:val="16"/>
              </w:rPr>
            </w:pPr>
            <w:r>
              <w:rPr>
                <w:b/>
                <w:sz w:val="16"/>
              </w:rPr>
              <w:t>-14.6%</w:t>
            </w:r>
          </w:p>
        </w:tc>
      </w:tr>
      <w:tr>
        <w:trPr>
          <w:trHeight w:val="407" w:hRule="exact"/>
        </w:trPr>
        <w:tc>
          <w:tcPr>
            <w:tcW w:w="6263" w:type="dxa"/>
            <w:gridSpan w:val="3"/>
          </w:tcPr>
          <w:p>
            <w:pPr>
              <w:pStyle w:val="TableParagraph"/>
              <w:spacing w:line="152" w:lineRule="exact"/>
              <w:jc w:val="left"/>
              <w:rPr>
                <w:b/>
                <w:sz w:val="18"/>
              </w:rPr>
            </w:pPr>
            <w:r>
              <w:rPr>
                <w:b/>
                <w:sz w:val="18"/>
              </w:rPr>
              <w:t>EXPENSES FROM CONTINUING OPERATIONS</w:t>
            </w:r>
          </w:p>
          <w:p>
            <w:pPr>
              <w:pStyle w:val="TableParagraph"/>
              <w:tabs>
                <w:tab w:pos="5234" w:val="left" w:leader="none"/>
              </w:tabs>
              <w:spacing w:before="25"/>
              <w:ind w:left="614"/>
              <w:jc w:val="left"/>
              <w:rPr>
                <w:sz w:val="18"/>
              </w:rPr>
            </w:pPr>
            <w:r>
              <w:rPr>
                <w:sz w:val="18"/>
              </w:rPr>
              <w:t>Schools</w:t>
              <w:tab/>
              <w:t>228,216</w:t>
            </w:r>
          </w:p>
        </w:tc>
        <w:tc>
          <w:tcPr>
            <w:tcW w:w="1329" w:type="dxa"/>
          </w:tcPr>
          <w:p>
            <w:pPr>
              <w:pStyle w:val="TableParagraph"/>
              <w:spacing w:before="4"/>
              <w:jc w:val="left"/>
              <w:rPr>
                <w:b/>
                <w:sz w:val="15"/>
              </w:rPr>
            </w:pPr>
          </w:p>
          <w:p>
            <w:pPr>
              <w:pStyle w:val="TableParagraph"/>
              <w:spacing w:before="1"/>
              <w:ind w:right="301"/>
              <w:rPr>
                <w:sz w:val="18"/>
              </w:rPr>
            </w:pPr>
            <w:r>
              <w:rPr>
                <w:w w:val="95"/>
                <w:sz w:val="18"/>
              </w:rPr>
              <w:t>220,668</w:t>
            </w:r>
          </w:p>
        </w:tc>
        <w:tc>
          <w:tcPr>
            <w:tcW w:w="1418" w:type="dxa"/>
          </w:tcPr>
          <w:p>
            <w:pPr>
              <w:pStyle w:val="TableParagraph"/>
              <w:spacing w:before="4"/>
              <w:jc w:val="left"/>
              <w:rPr>
                <w:b/>
                <w:sz w:val="15"/>
              </w:rPr>
            </w:pPr>
          </w:p>
          <w:p>
            <w:pPr>
              <w:pStyle w:val="TableParagraph"/>
              <w:spacing w:before="1"/>
              <w:ind w:right="345"/>
              <w:rPr>
                <w:b/>
                <w:i/>
                <w:sz w:val="18"/>
              </w:rPr>
            </w:pPr>
            <w:r>
              <w:rPr>
                <w:b/>
                <w:i/>
                <w:w w:val="95"/>
                <w:sz w:val="18"/>
              </w:rPr>
              <w:t>7,548</w:t>
            </w:r>
          </w:p>
        </w:tc>
        <w:tc>
          <w:tcPr>
            <w:tcW w:w="925" w:type="dxa"/>
          </w:tcPr>
          <w:p>
            <w:pPr>
              <w:pStyle w:val="TableParagraph"/>
              <w:jc w:val="left"/>
              <w:rPr>
                <w:b/>
                <w:sz w:val="17"/>
              </w:rPr>
            </w:pPr>
          </w:p>
          <w:p>
            <w:pPr>
              <w:pStyle w:val="TableParagraph"/>
              <w:ind w:right="34"/>
              <w:rPr>
                <w:b/>
                <w:sz w:val="16"/>
              </w:rPr>
            </w:pPr>
            <w:r>
              <w:rPr>
                <w:b/>
                <w:sz w:val="16"/>
              </w:rPr>
              <w:t>3.3%</w:t>
            </w:r>
          </w:p>
        </w:tc>
      </w:tr>
      <w:tr>
        <w:trPr>
          <w:trHeight w:val="233" w:hRule="exact"/>
        </w:trPr>
        <w:tc>
          <w:tcPr>
            <w:tcW w:w="3609" w:type="dxa"/>
          </w:tcPr>
          <w:p>
            <w:pPr>
              <w:pStyle w:val="TableParagraph"/>
              <w:spacing w:before="3"/>
              <w:ind w:left="614" w:right="593"/>
              <w:jc w:val="left"/>
              <w:rPr>
                <w:sz w:val="18"/>
              </w:rPr>
            </w:pPr>
            <w:r>
              <w:rPr>
                <w:sz w:val="18"/>
              </w:rPr>
              <w:t>Research</w:t>
            </w:r>
          </w:p>
        </w:tc>
        <w:tc>
          <w:tcPr>
            <w:tcW w:w="2654" w:type="dxa"/>
            <w:gridSpan w:val="2"/>
          </w:tcPr>
          <w:p>
            <w:pPr>
              <w:pStyle w:val="TableParagraph"/>
              <w:spacing w:before="3"/>
              <w:ind w:left="1726"/>
              <w:jc w:val="left"/>
              <w:rPr>
                <w:sz w:val="18"/>
              </w:rPr>
            </w:pPr>
            <w:r>
              <w:rPr>
                <w:sz w:val="18"/>
              </w:rPr>
              <w:t>86,400</w:t>
            </w:r>
          </w:p>
        </w:tc>
        <w:tc>
          <w:tcPr>
            <w:tcW w:w="1329" w:type="dxa"/>
          </w:tcPr>
          <w:p>
            <w:pPr>
              <w:pStyle w:val="TableParagraph"/>
              <w:spacing w:before="3"/>
              <w:ind w:right="301"/>
              <w:rPr>
                <w:sz w:val="18"/>
              </w:rPr>
            </w:pPr>
            <w:r>
              <w:rPr>
                <w:w w:val="95"/>
                <w:sz w:val="18"/>
              </w:rPr>
              <w:t>79,266</w:t>
            </w:r>
          </w:p>
        </w:tc>
        <w:tc>
          <w:tcPr>
            <w:tcW w:w="1418" w:type="dxa"/>
          </w:tcPr>
          <w:p>
            <w:pPr>
              <w:pStyle w:val="TableParagraph"/>
              <w:spacing w:before="3"/>
              <w:ind w:right="345"/>
              <w:rPr>
                <w:b/>
                <w:i/>
                <w:sz w:val="18"/>
              </w:rPr>
            </w:pPr>
            <w:r>
              <w:rPr>
                <w:b/>
                <w:i/>
                <w:w w:val="95"/>
                <w:sz w:val="18"/>
              </w:rPr>
              <w:t>7,134</w:t>
            </w:r>
          </w:p>
        </w:tc>
        <w:tc>
          <w:tcPr>
            <w:tcW w:w="925" w:type="dxa"/>
          </w:tcPr>
          <w:p>
            <w:pPr>
              <w:pStyle w:val="TableParagraph"/>
              <w:spacing w:before="22"/>
              <w:ind w:right="34"/>
              <w:rPr>
                <w:b/>
                <w:sz w:val="16"/>
              </w:rPr>
            </w:pPr>
            <w:r>
              <w:rPr>
                <w:b/>
                <w:sz w:val="16"/>
              </w:rPr>
              <w:t>8.3%</w:t>
            </w:r>
          </w:p>
        </w:tc>
      </w:tr>
      <w:tr>
        <w:trPr>
          <w:trHeight w:val="233" w:hRule="exact"/>
        </w:trPr>
        <w:tc>
          <w:tcPr>
            <w:tcW w:w="3609" w:type="dxa"/>
          </w:tcPr>
          <w:p>
            <w:pPr>
              <w:pStyle w:val="TableParagraph"/>
              <w:spacing w:before="3"/>
              <w:ind w:left="614" w:right="593"/>
              <w:jc w:val="left"/>
              <w:rPr>
                <w:sz w:val="18"/>
              </w:rPr>
            </w:pPr>
            <w:r>
              <w:rPr>
                <w:sz w:val="18"/>
              </w:rPr>
              <w:t>Divisions</w:t>
            </w:r>
          </w:p>
        </w:tc>
        <w:tc>
          <w:tcPr>
            <w:tcW w:w="2654" w:type="dxa"/>
            <w:gridSpan w:val="2"/>
          </w:tcPr>
          <w:p>
            <w:pPr>
              <w:pStyle w:val="TableParagraph"/>
              <w:spacing w:before="3"/>
              <w:ind w:left="1625"/>
              <w:jc w:val="left"/>
              <w:rPr>
                <w:sz w:val="18"/>
              </w:rPr>
            </w:pPr>
            <w:r>
              <w:rPr>
                <w:sz w:val="18"/>
              </w:rPr>
              <w:t>159,626</w:t>
            </w:r>
          </w:p>
        </w:tc>
        <w:tc>
          <w:tcPr>
            <w:tcW w:w="1329" w:type="dxa"/>
          </w:tcPr>
          <w:p>
            <w:pPr>
              <w:pStyle w:val="TableParagraph"/>
              <w:spacing w:before="3"/>
              <w:ind w:right="301"/>
              <w:rPr>
                <w:sz w:val="18"/>
              </w:rPr>
            </w:pPr>
            <w:r>
              <w:rPr>
                <w:w w:val="95"/>
                <w:sz w:val="18"/>
              </w:rPr>
              <w:t>156,013</w:t>
            </w:r>
          </w:p>
        </w:tc>
        <w:tc>
          <w:tcPr>
            <w:tcW w:w="1418" w:type="dxa"/>
          </w:tcPr>
          <w:p>
            <w:pPr>
              <w:pStyle w:val="TableParagraph"/>
              <w:spacing w:before="3"/>
              <w:ind w:right="345"/>
              <w:rPr>
                <w:b/>
                <w:i/>
                <w:sz w:val="18"/>
              </w:rPr>
            </w:pPr>
            <w:r>
              <w:rPr>
                <w:b/>
                <w:i/>
                <w:w w:val="95"/>
                <w:sz w:val="18"/>
              </w:rPr>
              <w:t>3,613</w:t>
            </w:r>
          </w:p>
        </w:tc>
        <w:tc>
          <w:tcPr>
            <w:tcW w:w="925" w:type="dxa"/>
          </w:tcPr>
          <w:p>
            <w:pPr>
              <w:pStyle w:val="TableParagraph"/>
              <w:spacing w:before="22"/>
              <w:ind w:right="34"/>
              <w:rPr>
                <w:b/>
                <w:sz w:val="16"/>
              </w:rPr>
            </w:pPr>
            <w:r>
              <w:rPr>
                <w:b/>
                <w:sz w:val="16"/>
              </w:rPr>
              <w:t>2.3%</w:t>
            </w:r>
          </w:p>
        </w:tc>
      </w:tr>
      <w:tr>
        <w:trPr>
          <w:trHeight w:val="233" w:hRule="exact"/>
        </w:trPr>
        <w:tc>
          <w:tcPr>
            <w:tcW w:w="3609" w:type="dxa"/>
          </w:tcPr>
          <w:p>
            <w:pPr>
              <w:pStyle w:val="TableParagraph"/>
              <w:spacing w:before="3"/>
              <w:ind w:left="614" w:right="593"/>
              <w:jc w:val="left"/>
              <w:rPr>
                <w:sz w:val="18"/>
              </w:rPr>
            </w:pPr>
            <w:r>
              <w:rPr>
                <w:sz w:val="18"/>
              </w:rPr>
              <w:t>WSU Entities</w:t>
            </w:r>
          </w:p>
        </w:tc>
        <w:tc>
          <w:tcPr>
            <w:tcW w:w="2654" w:type="dxa"/>
            <w:gridSpan w:val="2"/>
          </w:tcPr>
          <w:p>
            <w:pPr>
              <w:pStyle w:val="TableParagraph"/>
              <w:spacing w:before="3"/>
              <w:ind w:left="1726"/>
              <w:jc w:val="left"/>
              <w:rPr>
                <w:sz w:val="18"/>
              </w:rPr>
            </w:pPr>
            <w:r>
              <w:rPr>
                <w:sz w:val="18"/>
              </w:rPr>
              <w:t>90,678</w:t>
            </w:r>
          </w:p>
        </w:tc>
        <w:tc>
          <w:tcPr>
            <w:tcW w:w="1329" w:type="dxa"/>
          </w:tcPr>
          <w:p>
            <w:pPr>
              <w:pStyle w:val="TableParagraph"/>
              <w:spacing w:before="3"/>
              <w:ind w:right="300"/>
              <w:rPr>
                <w:sz w:val="18"/>
              </w:rPr>
            </w:pPr>
            <w:r>
              <w:rPr>
                <w:w w:val="95"/>
                <w:sz w:val="18"/>
              </w:rPr>
              <w:t>89,471</w:t>
            </w:r>
          </w:p>
        </w:tc>
        <w:tc>
          <w:tcPr>
            <w:tcW w:w="1418" w:type="dxa"/>
          </w:tcPr>
          <w:p>
            <w:pPr>
              <w:pStyle w:val="TableParagraph"/>
              <w:spacing w:before="3"/>
              <w:ind w:right="345"/>
              <w:rPr>
                <w:b/>
                <w:i/>
                <w:sz w:val="18"/>
              </w:rPr>
            </w:pPr>
            <w:r>
              <w:rPr>
                <w:b/>
                <w:i/>
                <w:w w:val="95"/>
                <w:sz w:val="18"/>
              </w:rPr>
              <w:t>1,207</w:t>
            </w:r>
          </w:p>
        </w:tc>
        <w:tc>
          <w:tcPr>
            <w:tcW w:w="925" w:type="dxa"/>
          </w:tcPr>
          <w:p>
            <w:pPr>
              <w:pStyle w:val="TableParagraph"/>
              <w:spacing w:before="22"/>
              <w:ind w:right="34"/>
              <w:rPr>
                <w:b/>
                <w:sz w:val="16"/>
              </w:rPr>
            </w:pPr>
            <w:r>
              <w:rPr>
                <w:b/>
                <w:sz w:val="16"/>
              </w:rPr>
              <w:t>1.3%</w:t>
            </w:r>
          </w:p>
        </w:tc>
      </w:tr>
      <w:tr>
        <w:trPr>
          <w:trHeight w:val="233" w:hRule="exact"/>
        </w:trPr>
        <w:tc>
          <w:tcPr>
            <w:tcW w:w="3609" w:type="dxa"/>
          </w:tcPr>
          <w:p>
            <w:pPr>
              <w:pStyle w:val="TableParagraph"/>
              <w:spacing w:before="3"/>
              <w:ind w:left="614" w:right="593"/>
              <w:jc w:val="left"/>
              <w:rPr>
                <w:sz w:val="18"/>
              </w:rPr>
            </w:pPr>
            <w:r>
              <w:rPr>
                <w:sz w:val="18"/>
              </w:rPr>
              <w:t>Consulting &amp; Innovation</w:t>
            </w:r>
          </w:p>
        </w:tc>
        <w:tc>
          <w:tcPr>
            <w:tcW w:w="2654" w:type="dxa"/>
            <w:gridSpan w:val="2"/>
          </w:tcPr>
          <w:p>
            <w:pPr>
              <w:pStyle w:val="TableParagraph"/>
              <w:spacing w:before="3"/>
              <w:ind w:right="375"/>
              <w:rPr>
                <w:sz w:val="18"/>
              </w:rPr>
            </w:pPr>
            <w:r>
              <w:rPr>
                <w:w w:val="95"/>
                <w:sz w:val="18"/>
              </w:rPr>
              <w:t>2,443</w:t>
            </w:r>
          </w:p>
        </w:tc>
        <w:tc>
          <w:tcPr>
            <w:tcW w:w="1329" w:type="dxa"/>
          </w:tcPr>
          <w:p>
            <w:pPr>
              <w:pStyle w:val="TableParagraph"/>
              <w:spacing w:before="3"/>
              <w:ind w:right="300"/>
              <w:rPr>
                <w:sz w:val="18"/>
              </w:rPr>
            </w:pPr>
            <w:r>
              <w:rPr>
                <w:w w:val="95"/>
                <w:sz w:val="18"/>
              </w:rPr>
              <w:t>3,648</w:t>
            </w:r>
          </w:p>
        </w:tc>
        <w:tc>
          <w:tcPr>
            <w:tcW w:w="1418" w:type="dxa"/>
          </w:tcPr>
          <w:p>
            <w:pPr>
              <w:pStyle w:val="TableParagraph"/>
              <w:spacing w:before="3"/>
              <w:ind w:right="343"/>
              <w:rPr>
                <w:b/>
                <w:i/>
                <w:sz w:val="18"/>
              </w:rPr>
            </w:pPr>
            <w:r>
              <w:rPr>
                <w:b/>
                <w:i/>
                <w:w w:val="95"/>
                <w:sz w:val="18"/>
              </w:rPr>
              <w:t>(1,205)</w:t>
            </w:r>
          </w:p>
        </w:tc>
        <w:tc>
          <w:tcPr>
            <w:tcW w:w="925" w:type="dxa"/>
          </w:tcPr>
          <w:p>
            <w:pPr>
              <w:pStyle w:val="TableParagraph"/>
              <w:spacing w:before="22"/>
              <w:ind w:right="33"/>
              <w:rPr>
                <w:b/>
                <w:sz w:val="16"/>
              </w:rPr>
            </w:pPr>
            <w:r>
              <w:rPr>
                <w:b/>
                <w:sz w:val="16"/>
              </w:rPr>
              <w:t>-49.3%</w:t>
            </w:r>
          </w:p>
        </w:tc>
      </w:tr>
      <w:tr>
        <w:trPr>
          <w:trHeight w:val="233" w:hRule="exact"/>
        </w:trPr>
        <w:tc>
          <w:tcPr>
            <w:tcW w:w="3609" w:type="dxa"/>
          </w:tcPr>
          <w:p>
            <w:pPr>
              <w:pStyle w:val="TableParagraph"/>
              <w:spacing w:before="3"/>
              <w:ind w:left="614" w:right="593"/>
              <w:jc w:val="left"/>
              <w:rPr>
                <w:sz w:val="18"/>
              </w:rPr>
            </w:pPr>
            <w:r>
              <w:rPr>
                <w:sz w:val="18"/>
              </w:rPr>
              <w:t>WSU Wide</w:t>
            </w:r>
          </w:p>
        </w:tc>
        <w:tc>
          <w:tcPr>
            <w:tcW w:w="2654" w:type="dxa"/>
            <w:gridSpan w:val="2"/>
          </w:tcPr>
          <w:p>
            <w:pPr>
              <w:pStyle w:val="TableParagraph"/>
              <w:spacing w:before="3"/>
              <w:ind w:left="1625"/>
              <w:jc w:val="left"/>
              <w:rPr>
                <w:sz w:val="18"/>
              </w:rPr>
            </w:pPr>
            <w:r>
              <w:rPr>
                <w:sz w:val="18"/>
              </w:rPr>
              <w:t>131,908</w:t>
            </w:r>
          </w:p>
        </w:tc>
        <w:tc>
          <w:tcPr>
            <w:tcW w:w="1329" w:type="dxa"/>
          </w:tcPr>
          <w:p>
            <w:pPr>
              <w:pStyle w:val="TableParagraph"/>
              <w:spacing w:before="3"/>
              <w:ind w:right="301"/>
              <w:rPr>
                <w:sz w:val="18"/>
              </w:rPr>
            </w:pPr>
            <w:r>
              <w:rPr>
                <w:w w:val="95"/>
                <w:sz w:val="18"/>
              </w:rPr>
              <w:t>149,384</w:t>
            </w:r>
          </w:p>
        </w:tc>
        <w:tc>
          <w:tcPr>
            <w:tcW w:w="1418" w:type="dxa"/>
          </w:tcPr>
          <w:p>
            <w:pPr>
              <w:pStyle w:val="TableParagraph"/>
              <w:spacing w:before="3"/>
              <w:ind w:right="344"/>
              <w:rPr>
                <w:b/>
                <w:i/>
                <w:sz w:val="18"/>
              </w:rPr>
            </w:pPr>
            <w:r>
              <w:rPr>
                <w:b/>
                <w:i/>
                <w:w w:val="95"/>
                <w:sz w:val="18"/>
              </w:rPr>
              <w:t>(17,476)</w:t>
            </w:r>
          </w:p>
        </w:tc>
        <w:tc>
          <w:tcPr>
            <w:tcW w:w="925" w:type="dxa"/>
          </w:tcPr>
          <w:p>
            <w:pPr>
              <w:pStyle w:val="TableParagraph"/>
              <w:spacing w:before="22"/>
              <w:ind w:right="33"/>
              <w:rPr>
                <w:b/>
                <w:sz w:val="16"/>
              </w:rPr>
            </w:pPr>
            <w:r>
              <w:rPr>
                <w:b/>
                <w:sz w:val="16"/>
              </w:rPr>
              <w:t>-13.2%</w:t>
            </w:r>
          </w:p>
        </w:tc>
      </w:tr>
      <w:tr>
        <w:trPr>
          <w:trHeight w:val="233" w:hRule="exact"/>
        </w:trPr>
        <w:tc>
          <w:tcPr>
            <w:tcW w:w="3609" w:type="dxa"/>
          </w:tcPr>
          <w:p>
            <w:pPr>
              <w:pStyle w:val="TableParagraph"/>
              <w:spacing w:before="3"/>
              <w:ind w:left="614" w:right="593"/>
              <w:jc w:val="left"/>
              <w:rPr>
                <w:sz w:val="18"/>
              </w:rPr>
            </w:pPr>
            <w:r>
              <w:rPr>
                <w:sz w:val="18"/>
              </w:rPr>
              <w:t>Strategic Initiatives</w:t>
            </w:r>
          </w:p>
        </w:tc>
        <w:tc>
          <w:tcPr>
            <w:tcW w:w="2654" w:type="dxa"/>
            <w:gridSpan w:val="2"/>
          </w:tcPr>
          <w:p>
            <w:pPr>
              <w:pStyle w:val="TableParagraph"/>
              <w:spacing w:before="3"/>
              <w:ind w:left="1726"/>
              <w:jc w:val="left"/>
              <w:rPr>
                <w:sz w:val="18"/>
              </w:rPr>
            </w:pPr>
            <w:r>
              <w:rPr>
                <w:sz w:val="18"/>
              </w:rPr>
              <w:t>58,502</w:t>
            </w:r>
          </w:p>
        </w:tc>
        <w:tc>
          <w:tcPr>
            <w:tcW w:w="1329" w:type="dxa"/>
          </w:tcPr>
          <w:p>
            <w:pPr>
              <w:pStyle w:val="TableParagraph"/>
              <w:spacing w:before="3"/>
              <w:ind w:right="301"/>
              <w:rPr>
                <w:sz w:val="18"/>
              </w:rPr>
            </w:pPr>
            <w:r>
              <w:rPr>
                <w:w w:val="95"/>
                <w:sz w:val="18"/>
              </w:rPr>
              <w:t>48,231</w:t>
            </w:r>
          </w:p>
        </w:tc>
        <w:tc>
          <w:tcPr>
            <w:tcW w:w="1418" w:type="dxa"/>
          </w:tcPr>
          <w:p>
            <w:pPr>
              <w:pStyle w:val="TableParagraph"/>
              <w:spacing w:before="3"/>
              <w:ind w:right="346"/>
              <w:rPr>
                <w:b/>
                <w:i/>
                <w:sz w:val="18"/>
              </w:rPr>
            </w:pPr>
            <w:r>
              <w:rPr>
                <w:b/>
                <w:i/>
                <w:w w:val="95"/>
                <w:sz w:val="18"/>
              </w:rPr>
              <w:t>10,271</w:t>
            </w:r>
          </w:p>
        </w:tc>
        <w:tc>
          <w:tcPr>
            <w:tcW w:w="925" w:type="dxa"/>
          </w:tcPr>
          <w:p>
            <w:pPr>
              <w:pStyle w:val="TableParagraph"/>
              <w:spacing w:before="22"/>
              <w:ind w:right="33"/>
              <w:rPr>
                <w:b/>
                <w:sz w:val="16"/>
              </w:rPr>
            </w:pPr>
            <w:r>
              <w:rPr>
                <w:b/>
                <w:sz w:val="16"/>
              </w:rPr>
              <w:t>17.6%</w:t>
            </w:r>
          </w:p>
        </w:tc>
      </w:tr>
      <w:tr>
        <w:trPr>
          <w:trHeight w:val="233" w:hRule="exact"/>
        </w:trPr>
        <w:tc>
          <w:tcPr>
            <w:tcW w:w="3609" w:type="dxa"/>
          </w:tcPr>
          <w:p>
            <w:pPr>
              <w:pStyle w:val="TableParagraph"/>
              <w:spacing w:before="3"/>
              <w:ind w:left="614" w:right="593"/>
              <w:jc w:val="left"/>
              <w:rPr>
                <w:sz w:val="18"/>
              </w:rPr>
            </w:pPr>
            <w:r>
              <w:rPr>
                <w:sz w:val="18"/>
              </w:rPr>
              <w:t>Minor Works (Expensed)</w:t>
            </w:r>
          </w:p>
        </w:tc>
        <w:tc>
          <w:tcPr>
            <w:tcW w:w="2654" w:type="dxa"/>
            <w:gridSpan w:val="2"/>
          </w:tcPr>
          <w:p>
            <w:pPr>
              <w:pStyle w:val="TableParagraph"/>
              <w:spacing w:before="3"/>
              <w:ind w:right="374"/>
              <w:rPr>
                <w:sz w:val="18"/>
              </w:rPr>
            </w:pPr>
            <w:r>
              <w:rPr>
                <w:w w:val="95"/>
                <w:sz w:val="18"/>
              </w:rPr>
              <w:t>7,000</w:t>
            </w:r>
          </w:p>
        </w:tc>
        <w:tc>
          <w:tcPr>
            <w:tcW w:w="1329" w:type="dxa"/>
          </w:tcPr>
          <w:p>
            <w:pPr>
              <w:pStyle w:val="TableParagraph"/>
              <w:spacing w:before="3"/>
              <w:ind w:right="300"/>
              <w:rPr>
                <w:sz w:val="18"/>
              </w:rPr>
            </w:pPr>
            <w:r>
              <w:rPr>
                <w:w w:val="95"/>
                <w:sz w:val="18"/>
              </w:rPr>
              <w:t>8,996</w:t>
            </w:r>
          </w:p>
        </w:tc>
        <w:tc>
          <w:tcPr>
            <w:tcW w:w="1418" w:type="dxa"/>
          </w:tcPr>
          <w:p>
            <w:pPr>
              <w:pStyle w:val="TableParagraph"/>
              <w:spacing w:before="3"/>
              <w:ind w:right="343"/>
              <w:rPr>
                <w:b/>
                <w:i/>
                <w:sz w:val="18"/>
              </w:rPr>
            </w:pPr>
            <w:r>
              <w:rPr>
                <w:b/>
                <w:i/>
                <w:w w:val="95"/>
                <w:sz w:val="18"/>
              </w:rPr>
              <w:t>(1,997)</w:t>
            </w:r>
          </w:p>
        </w:tc>
        <w:tc>
          <w:tcPr>
            <w:tcW w:w="925" w:type="dxa"/>
          </w:tcPr>
          <w:p>
            <w:pPr>
              <w:pStyle w:val="TableParagraph"/>
              <w:spacing w:before="22"/>
              <w:ind w:right="33"/>
              <w:rPr>
                <w:b/>
                <w:sz w:val="16"/>
              </w:rPr>
            </w:pPr>
            <w:r>
              <w:rPr>
                <w:b/>
                <w:sz w:val="16"/>
              </w:rPr>
              <w:t>-28.5%</w:t>
            </w:r>
          </w:p>
        </w:tc>
      </w:tr>
      <w:tr>
        <w:trPr>
          <w:trHeight w:val="233" w:hRule="exact"/>
        </w:trPr>
        <w:tc>
          <w:tcPr>
            <w:tcW w:w="3609" w:type="dxa"/>
          </w:tcPr>
          <w:p>
            <w:pPr>
              <w:pStyle w:val="TableParagraph"/>
              <w:spacing w:before="3"/>
              <w:ind w:left="614" w:right="593"/>
              <w:jc w:val="left"/>
              <w:rPr>
                <w:sz w:val="18"/>
              </w:rPr>
            </w:pPr>
            <w:r>
              <w:rPr>
                <w:sz w:val="18"/>
              </w:rPr>
              <w:t>External Trust &amp; Tied Grants</w:t>
            </w:r>
          </w:p>
        </w:tc>
        <w:tc>
          <w:tcPr>
            <w:tcW w:w="2654" w:type="dxa"/>
            <w:gridSpan w:val="2"/>
          </w:tcPr>
          <w:p>
            <w:pPr>
              <w:pStyle w:val="TableParagraph"/>
              <w:spacing w:before="3"/>
              <w:ind w:left="1726"/>
              <w:jc w:val="left"/>
              <w:rPr>
                <w:sz w:val="18"/>
              </w:rPr>
            </w:pPr>
            <w:r>
              <w:rPr>
                <w:sz w:val="18"/>
              </w:rPr>
              <w:t>17,208</w:t>
            </w:r>
          </w:p>
        </w:tc>
        <w:tc>
          <w:tcPr>
            <w:tcW w:w="1329" w:type="dxa"/>
          </w:tcPr>
          <w:p>
            <w:pPr>
              <w:pStyle w:val="TableParagraph"/>
              <w:spacing w:before="3"/>
              <w:ind w:right="300"/>
              <w:rPr>
                <w:sz w:val="18"/>
              </w:rPr>
            </w:pPr>
            <w:r>
              <w:rPr>
                <w:w w:val="95"/>
                <w:sz w:val="18"/>
              </w:rPr>
              <w:t>18,853</w:t>
            </w:r>
          </w:p>
        </w:tc>
        <w:tc>
          <w:tcPr>
            <w:tcW w:w="1418" w:type="dxa"/>
          </w:tcPr>
          <w:p>
            <w:pPr>
              <w:pStyle w:val="TableParagraph"/>
              <w:spacing w:before="3"/>
              <w:ind w:right="343"/>
              <w:rPr>
                <w:b/>
                <w:i/>
                <w:sz w:val="18"/>
              </w:rPr>
            </w:pPr>
            <w:r>
              <w:rPr>
                <w:b/>
                <w:i/>
                <w:w w:val="95"/>
                <w:sz w:val="18"/>
              </w:rPr>
              <w:t>(1,645)</w:t>
            </w:r>
          </w:p>
        </w:tc>
        <w:tc>
          <w:tcPr>
            <w:tcW w:w="925" w:type="dxa"/>
          </w:tcPr>
          <w:p>
            <w:pPr>
              <w:pStyle w:val="TableParagraph"/>
              <w:spacing w:before="22"/>
              <w:ind w:right="33"/>
              <w:rPr>
                <w:b/>
                <w:sz w:val="16"/>
              </w:rPr>
            </w:pPr>
            <w:r>
              <w:rPr>
                <w:b/>
                <w:sz w:val="16"/>
              </w:rPr>
              <w:t>-9.6%</w:t>
            </w:r>
          </w:p>
        </w:tc>
      </w:tr>
      <w:tr>
        <w:trPr>
          <w:trHeight w:val="233" w:hRule="exact"/>
        </w:trPr>
        <w:tc>
          <w:tcPr>
            <w:tcW w:w="3609" w:type="dxa"/>
          </w:tcPr>
          <w:p>
            <w:pPr>
              <w:pStyle w:val="TableParagraph"/>
              <w:spacing w:before="3"/>
              <w:ind w:left="614" w:right="593"/>
              <w:jc w:val="left"/>
              <w:rPr>
                <w:sz w:val="18"/>
              </w:rPr>
            </w:pPr>
            <w:r>
              <w:rPr>
                <w:sz w:val="18"/>
              </w:rPr>
              <w:t>Depreciation</w:t>
            </w:r>
          </w:p>
        </w:tc>
        <w:tc>
          <w:tcPr>
            <w:tcW w:w="2654" w:type="dxa"/>
            <w:gridSpan w:val="2"/>
          </w:tcPr>
          <w:p>
            <w:pPr>
              <w:pStyle w:val="TableParagraph"/>
              <w:spacing w:before="3"/>
              <w:ind w:left="1725"/>
              <w:jc w:val="left"/>
              <w:rPr>
                <w:sz w:val="18"/>
              </w:rPr>
            </w:pPr>
            <w:r>
              <w:rPr>
                <w:sz w:val="18"/>
              </w:rPr>
              <w:t>37,000</w:t>
            </w:r>
          </w:p>
        </w:tc>
        <w:tc>
          <w:tcPr>
            <w:tcW w:w="1329" w:type="dxa"/>
          </w:tcPr>
          <w:p>
            <w:pPr>
              <w:pStyle w:val="TableParagraph"/>
              <w:spacing w:before="3"/>
              <w:ind w:right="301"/>
              <w:rPr>
                <w:sz w:val="18"/>
              </w:rPr>
            </w:pPr>
            <w:r>
              <w:rPr>
                <w:w w:val="95"/>
                <w:sz w:val="18"/>
              </w:rPr>
              <w:t>42,579</w:t>
            </w:r>
          </w:p>
        </w:tc>
        <w:tc>
          <w:tcPr>
            <w:tcW w:w="1418" w:type="dxa"/>
          </w:tcPr>
          <w:p>
            <w:pPr>
              <w:pStyle w:val="TableParagraph"/>
              <w:spacing w:before="3"/>
              <w:ind w:right="343"/>
              <w:rPr>
                <w:b/>
                <w:i/>
                <w:sz w:val="18"/>
              </w:rPr>
            </w:pPr>
            <w:r>
              <w:rPr>
                <w:b/>
                <w:i/>
                <w:w w:val="95"/>
                <w:sz w:val="18"/>
              </w:rPr>
              <w:t>(5,579)</w:t>
            </w:r>
          </w:p>
        </w:tc>
        <w:tc>
          <w:tcPr>
            <w:tcW w:w="925" w:type="dxa"/>
          </w:tcPr>
          <w:p>
            <w:pPr>
              <w:pStyle w:val="TableParagraph"/>
              <w:spacing w:before="22"/>
              <w:ind w:right="33"/>
              <w:rPr>
                <w:b/>
                <w:sz w:val="16"/>
              </w:rPr>
            </w:pPr>
            <w:r>
              <w:rPr>
                <w:b/>
                <w:sz w:val="16"/>
              </w:rPr>
              <w:t>-15.1%</w:t>
            </w:r>
          </w:p>
        </w:tc>
      </w:tr>
      <w:tr>
        <w:trPr>
          <w:trHeight w:val="539" w:hRule="exact"/>
        </w:trPr>
        <w:tc>
          <w:tcPr>
            <w:tcW w:w="3609" w:type="dxa"/>
          </w:tcPr>
          <w:p>
            <w:pPr>
              <w:pStyle w:val="TableParagraph"/>
              <w:spacing w:line="268" w:lineRule="auto" w:before="3"/>
              <w:ind w:left="614" w:right="593"/>
              <w:jc w:val="left"/>
              <w:rPr>
                <w:sz w:val="18"/>
              </w:rPr>
            </w:pPr>
            <w:r>
              <w:rPr>
                <w:sz w:val="18"/>
              </w:rPr>
              <w:t>Land Development Projects Adjustments on Consolidation</w:t>
            </w:r>
          </w:p>
        </w:tc>
        <w:tc>
          <w:tcPr>
            <w:tcW w:w="2654" w:type="dxa"/>
            <w:gridSpan w:val="2"/>
          </w:tcPr>
          <w:p>
            <w:pPr>
              <w:pStyle w:val="TableParagraph"/>
              <w:spacing w:before="3"/>
              <w:ind w:left="1725"/>
              <w:jc w:val="left"/>
              <w:rPr>
                <w:sz w:val="18"/>
              </w:rPr>
            </w:pPr>
            <w:r>
              <w:rPr>
                <w:sz w:val="18"/>
              </w:rPr>
              <w:t>61,022</w:t>
            </w:r>
          </w:p>
        </w:tc>
        <w:tc>
          <w:tcPr>
            <w:tcW w:w="1329" w:type="dxa"/>
          </w:tcPr>
          <w:p>
            <w:pPr>
              <w:pStyle w:val="TableParagraph"/>
              <w:spacing w:before="3"/>
              <w:ind w:right="301"/>
              <w:rPr>
                <w:sz w:val="18"/>
              </w:rPr>
            </w:pPr>
            <w:r>
              <w:rPr>
                <w:w w:val="95"/>
                <w:sz w:val="18"/>
              </w:rPr>
              <w:t>12,594</w:t>
            </w:r>
          </w:p>
        </w:tc>
        <w:tc>
          <w:tcPr>
            <w:tcW w:w="1418" w:type="dxa"/>
          </w:tcPr>
          <w:p>
            <w:pPr>
              <w:pStyle w:val="TableParagraph"/>
              <w:spacing w:before="3"/>
              <w:ind w:right="346"/>
              <w:rPr>
                <w:b/>
                <w:i/>
                <w:sz w:val="18"/>
              </w:rPr>
            </w:pPr>
            <w:r>
              <w:rPr>
                <w:b/>
                <w:i/>
                <w:w w:val="95"/>
                <w:sz w:val="18"/>
              </w:rPr>
              <w:t>48,428</w:t>
            </w:r>
          </w:p>
        </w:tc>
        <w:tc>
          <w:tcPr>
            <w:tcW w:w="925" w:type="dxa"/>
          </w:tcPr>
          <w:p>
            <w:pPr>
              <w:pStyle w:val="TableParagraph"/>
              <w:spacing w:before="22"/>
              <w:ind w:right="33"/>
              <w:rPr>
                <w:b/>
                <w:sz w:val="16"/>
              </w:rPr>
            </w:pPr>
            <w:r>
              <w:rPr>
                <w:b/>
                <w:sz w:val="16"/>
              </w:rPr>
              <w:t>79.4%</w:t>
            </w:r>
          </w:p>
        </w:tc>
      </w:tr>
    </w:tbl>
    <w:p>
      <w:pPr>
        <w:tabs>
          <w:tab w:pos="6662" w:val="left" w:leader="none"/>
          <w:tab w:pos="8066" w:val="left" w:leader="none"/>
          <w:tab w:pos="9539" w:val="left" w:leader="none"/>
          <w:tab w:pos="10960" w:val="left" w:leader="none"/>
        </w:tabs>
        <w:spacing w:before="59"/>
        <w:ind w:left="3986" w:right="0" w:firstLine="0"/>
        <w:jc w:val="left"/>
        <w:rPr>
          <w:b/>
          <w:sz w:val="16"/>
        </w:rPr>
      </w:pPr>
      <w:r>
        <w:rPr>
          <w:b/>
          <w:sz w:val="18"/>
        </w:rPr>
        <w:t>TOTAL EXPENDITURE</w:t>
        <w:tab/>
        <w:t>880,003</w:t>
        <w:tab/>
        <w:t>829,703</w:t>
        <w:tab/>
      </w:r>
      <w:r>
        <w:rPr>
          <w:b/>
          <w:i/>
          <w:sz w:val="18"/>
        </w:rPr>
        <w:t>50,299</w:t>
        <w:tab/>
      </w:r>
      <w:r>
        <w:rPr>
          <w:b/>
          <w:sz w:val="16"/>
        </w:rPr>
        <w:t>5.7%</w:t>
      </w:r>
    </w:p>
    <w:p>
      <w:pPr>
        <w:pStyle w:val="BodyText"/>
        <w:rPr>
          <w:b/>
        </w:rPr>
      </w:pPr>
    </w:p>
    <w:p>
      <w:pPr>
        <w:pStyle w:val="BodyText"/>
        <w:rPr>
          <w:b/>
        </w:rPr>
      </w:pPr>
    </w:p>
    <w:p>
      <w:pPr>
        <w:pStyle w:val="BodyText"/>
        <w:spacing w:before="7"/>
        <w:rPr>
          <w:b/>
        </w:rPr>
      </w:pPr>
    </w:p>
    <w:p>
      <w:pPr>
        <w:tabs>
          <w:tab w:pos="6662" w:val="left" w:leader="none"/>
          <w:tab w:pos="8167" w:val="left" w:leader="none"/>
          <w:tab w:pos="9422" w:val="left" w:leader="none"/>
          <w:tab w:pos="10819" w:val="left" w:leader="none"/>
        </w:tabs>
        <w:spacing w:before="0"/>
        <w:ind w:left="1428" w:right="0" w:firstLine="0"/>
        <w:jc w:val="left"/>
        <w:rPr>
          <w:b/>
          <w:sz w:val="16"/>
        </w:rPr>
      </w:pPr>
      <w:r>
        <w:rPr>
          <w:b/>
          <w:sz w:val="18"/>
        </w:rPr>
        <w:t>NET OPERATING RESULT</w:t>
        <w:tab/>
        <w:t>132,578</w:t>
        <w:tab/>
        <w:t>34,837</w:t>
        <w:tab/>
      </w:r>
      <w:r>
        <w:rPr>
          <w:b/>
          <w:i/>
          <w:sz w:val="18"/>
        </w:rPr>
        <w:t>(97,742)</w:t>
        <w:tab/>
      </w:r>
      <w:r>
        <w:rPr>
          <w:b/>
          <w:position w:val="1"/>
          <w:sz w:val="16"/>
        </w:rPr>
        <w:t>-73.7%</w:t>
      </w:r>
    </w:p>
    <w:p>
      <w:pPr>
        <w:spacing w:after="0"/>
        <w:jc w:val="left"/>
        <w:rPr>
          <w:sz w:val="16"/>
        </w:rPr>
        <w:sectPr>
          <w:headerReference w:type="default" r:id="rId146"/>
          <w:pgSz w:w="12750" w:h="17680"/>
          <w:pgMar w:header="0" w:footer="907" w:top="1380" w:bottom="1100" w:left="0" w:right="0"/>
        </w:sectPr>
      </w:pPr>
    </w:p>
    <w:p>
      <w:pPr>
        <w:pStyle w:val="BodyText"/>
        <w:rPr>
          <w:b/>
          <w:sz w:val="20"/>
        </w:rPr>
      </w:pPr>
    </w:p>
    <w:p>
      <w:pPr>
        <w:pStyle w:val="BodyText"/>
        <w:rPr>
          <w:b/>
          <w:sz w:val="20"/>
        </w:rPr>
      </w:pPr>
    </w:p>
    <w:p>
      <w:pPr>
        <w:pStyle w:val="BodyText"/>
        <w:spacing w:before="1"/>
        <w:rPr>
          <w:b/>
          <w:sz w:val="11"/>
        </w:rPr>
      </w:pPr>
    </w:p>
    <w:tbl>
      <w:tblPr>
        <w:tblW w:w="0" w:type="auto"/>
        <w:jc w:val="left"/>
        <w:tblInd w:w="83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881"/>
        <w:gridCol w:w="2046"/>
      </w:tblGrid>
      <w:tr>
        <w:trPr>
          <w:trHeight w:val="863" w:hRule="exact"/>
        </w:trPr>
        <w:tc>
          <w:tcPr>
            <w:tcW w:w="5881" w:type="dxa"/>
          </w:tcPr>
          <w:p>
            <w:pPr>
              <w:pStyle w:val="TableParagraph"/>
              <w:spacing w:before="72"/>
              <w:ind w:left="35"/>
              <w:jc w:val="left"/>
              <w:rPr>
                <w:b/>
                <w:sz w:val="22"/>
              </w:rPr>
            </w:pPr>
            <w:r>
              <w:rPr>
                <w:b/>
                <w:sz w:val="22"/>
              </w:rPr>
              <w:t>Western Sydney University 2017 Budget</w:t>
            </w:r>
          </w:p>
        </w:tc>
        <w:tc>
          <w:tcPr>
            <w:tcW w:w="2046" w:type="dxa"/>
          </w:tcPr>
          <w:p>
            <w:pPr>
              <w:pStyle w:val="TableParagraph"/>
              <w:jc w:val="left"/>
              <w:rPr>
                <w:b/>
                <w:sz w:val="18"/>
              </w:rPr>
            </w:pPr>
          </w:p>
          <w:p>
            <w:pPr>
              <w:pStyle w:val="TableParagraph"/>
              <w:jc w:val="left"/>
              <w:rPr>
                <w:b/>
                <w:sz w:val="18"/>
              </w:rPr>
            </w:pPr>
          </w:p>
          <w:p>
            <w:pPr>
              <w:pStyle w:val="TableParagraph"/>
              <w:spacing w:before="6"/>
              <w:jc w:val="left"/>
              <w:rPr>
                <w:b/>
                <w:sz w:val="16"/>
              </w:rPr>
            </w:pPr>
          </w:p>
          <w:p>
            <w:pPr>
              <w:pStyle w:val="TableParagraph"/>
              <w:ind w:right="37"/>
              <w:rPr>
                <w:b/>
                <w:sz w:val="18"/>
              </w:rPr>
            </w:pPr>
            <w:r>
              <w:rPr>
                <w:b/>
                <w:sz w:val="18"/>
              </w:rPr>
              <w:t>2017</w:t>
            </w:r>
          </w:p>
        </w:tc>
      </w:tr>
      <w:tr>
        <w:trPr>
          <w:trHeight w:val="290" w:hRule="exact"/>
        </w:trPr>
        <w:tc>
          <w:tcPr>
            <w:tcW w:w="5881" w:type="dxa"/>
          </w:tcPr>
          <w:p>
            <w:pPr/>
          </w:p>
        </w:tc>
        <w:tc>
          <w:tcPr>
            <w:tcW w:w="2046" w:type="dxa"/>
          </w:tcPr>
          <w:p>
            <w:pPr>
              <w:pStyle w:val="TableParagraph"/>
              <w:spacing w:before="32"/>
              <w:ind w:right="33"/>
              <w:rPr>
                <w:b/>
                <w:sz w:val="18"/>
              </w:rPr>
            </w:pPr>
            <w:r>
              <w:rPr>
                <w:b/>
                <w:w w:val="95"/>
                <w:sz w:val="18"/>
              </w:rPr>
              <w:t>BUDGET</w:t>
            </w:r>
          </w:p>
        </w:tc>
      </w:tr>
      <w:tr>
        <w:trPr>
          <w:trHeight w:val="319" w:hRule="exact"/>
        </w:trPr>
        <w:tc>
          <w:tcPr>
            <w:tcW w:w="5881" w:type="dxa"/>
          </w:tcPr>
          <w:p>
            <w:pPr/>
          </w:p>
        </w:tc>
        <w:tc>
          <w:tcPr>
            <w:tcW w:w="2046" w:type="dxa"/>
          </w:tcPr>
          <w:p>
            <w:pPr>
              <w:pStyle w:val="TableParagraph"/>
              <w:spacing w:before="32"/>
              <w:ind w:right="37"/>
              <w:rPr>
                <w:b/>
                <w:sz w:val="18"/>
              </w:rPr>
            </w:pPr>
            <w:r>
              <w:rPr>
                <w:b/>
                <w:w w:val="95"/>
                <w:sz w:val="18"/>
              </w:rPr>
              <w:t>$'000</w:t>
            </w:r>
          </w:p>
        </w:tc>
      </w:tr>
      <w:tr>
        <w:trPr>
          <w:trHeight w:val="334" w:hRule="exact"/>
        </w:trPr>
        <w:tc>
          <w:tcPr>
            <w:tcW w:w="5881" w:type="dxa"/>
          </w:tcPr>
          <w:p>
            <w:pPr>
              <w:pStyle w:val="TableParagraph"/>
              <w:spacing w:before="61"/>
              <w:ind w:left="596"/>
              <w:jc w:val="left"/>
              <w:rPr>
                <w:b/>
                <w:sz w:val="18"/>
              </w:rPr>
            </w:pPr>
            <w:r>
              <w:rPr>
                <w:b/>
                <w:sz w:val="18"/>
              </w:rPr>
              <w:t>INCOME FROM CONTINUING OPERATIONS</w:t>
            </w:r>
          </w:p>
        </w:tc>
        <w:tc>
          <w:tcPr>
            <w:tcW w:w="2046" w:type="dxa"/>
          </w:tcPr>
          <w:p>
            <w:pPr/>
          </w:p>
        </w:tc>
      </w:tr>
      <w:tr>
        <w:trPr>
          <w:trHeight w:val="341" w:hRule="exact"/>
        </w:trPr>
        <w:tc>
          <w:tcPr>
            <w:tcW w:w="5881" w:type="dxa"/>
          </w:tcPr>
          <w:p>
            <w:pPr>
              <w:pStyle w:val="TableParagraph"/>
              <w:spacing w:before="46"/>
              <w:ind w:left="911"/>
              <w:jc w:val="left"/>
              <w:rPr>
                <w:b/>
                <w:sz w:val="18"/>
              </w:rPr>
            </w:pPr>
            <w:r>
              <w:rPr>
                <w:b/>
                <w:sz w:val="18"/>
              </w:rPr>
              <w:t>GOVERNMENT</w:t>
            </w:r>
          </w:p>
        </w:tc>
        <w:tc>
          <w:tcPr>
            <w:tcW w:w="2046" w:type="dxa"/>
          </w:tcPr>
          <w:p>
            <w:pPr>
              <w:pStyle w:val="TableParagraph"/>
              <w:spacing w:before="46"/>
              <w:ind w:right="39"/>
              <w:rPr>
                <w:b/>
                <w:sz w:val="18"/>
              </w:rPr>
            </w:pPr>
            <w:r>
              <w:rPr>
                <w:b/>
                <w:w w:val="95"/>
                <w:sz w:val="18"/>
              </w:rPr>
              <w:t>554,690</w:t>
            </w:r>
          </w:p>
        </w:tc>
      </w:tr>
      <w:tr>
        <w:trPr>
          <w:trHeight w:val="530" w:hRule="exact"/>
        </w:trPr>
        <w:tc>
          <w:tcPr>
            <w:tcW w:w="5881" w:type="dxa"/>
          </w:tcPr>
          <w:p>
            <w:pPr>
              <w:pStyle w:val="TableParagraph"/>
              <w:spacing w:before="68"/>
              <w:ind w:left="911"/>
              <w:jc w:val="left"/>
              <w:rPr>
                <w:b/>
                <w:sz w:val="18"/>
              </w:rPr>
            </w:pPr>
            <w:r>
              <w:rPr>
                <w:b/>
                <w:sz w:val="18"/>
              </w:rPr>
              <w:t>ACADEMIC ACTIVITIES</w:t>
            </w:r>
          </w:p>
          <w:p>
            <w:pPr>
              <w:pStyle w:val="TableParagraph"/>
              <w:spacing w:before="25"/>
              <w:ind w:left="1211"/>
              <w:jc w:val="left"/>
              <w:rPr>
                <w:sz w:val="18"/>
              </w:rPr>
            </w:pPr>
            <w:r>
              <w:rPr>
                <w:sz w:val="18"/>
              </w:rPr>
              <w:t>International Onshore</w:t>
            </w:r>
          </w:p>
        </w:tc>
        <w:tc>
          <w:tcPr>
            <w:tcW w:w="2046" w:type="dxa"/>
          </w:tcPr>
          <w:p>
            <w:pPr>
              <w:pStyle w:val="TableParagraph"/>
              <w:spacing w:before="1"/>
              <w:jc w:val="left"/>
              <w:rPr>
                <w:b/>
                <w:sz w:val="26"/>
              </w:rPr>
            </w:pPr>
          </w:p>
          <w:p>
            <w:pPr>
              <w:pStyle w:val="TableParagraph"/>
              <w:spacing w:before="1"/>
              <w:ind w:right="38"/>
              <w:rPr>
                <w:sz w:val="18"/>
              </w:rPr>
            </w:pPr>
            <w:r>
              <w:rPr>
                <w:w w:val="95"/>
                <w:sz w:val="18"/>
              </w:rPr>
              <w:t>88,843</w:t>
            </w:r>
          </w:p>
        </w:tc>
      </w:tr>
      <w:tr>
        <w:trPr>
          <w:trHeight w:val="233" w:hRule="exact"/>
        </w:trPr>
        <w:tc>
          <w:tcPr>
            <w:tcW w:w="5881" w:type="dxa"/>
          </w:tcPr>
          <w:p>
            <w:pPr>
              <w:pStyle w:val="TableParagraph"/>
              <w:spacing w:before="3"/>
              <w:ind w:left="1211"/>
              <w:jc w:val="left"/>
              <w:rPr>
                <w:sz w:val="18"/>
              </w:rPr>
            </w:pPr>
            <w:r>
              <w:rPr>
                <w:sz w:val="18"/>
              </w:rPr>
              <w:t>International Offshore</w:t>
            </w:r>
          </w:p>
        </w:tc>
        <w:tc>
          <w:tcPr>
            <w:tcW w:w="2046" w:type="dxa"/>
          </w:tcPr>
          <w:p>
            <w:pPr>
              <w:pStyle w:val="TableParagraph"/>
              <w:spacing w:before="3"/>
              <w:ind w:right="36"/>
              <w:rPr>
                <w:sz w:val="18"/>
              </w:rPr>
            </w:pPr>
            <w:r>
              <w:rPr>
                <w:w w:val="95"/>
                <w:sz w:val="18"/>
              </w:rPr>
              <w:t>957</w:t>
            </w:r>
          </w:p>
        </w:tc>
      </w:tr>
      <w:tr>
        <w:trPr>
          <w:trHeight w:val="233" w:hRule="exact"/>
        </w:trPr>
        <w:tc>
          <w:tcPr>
            <w:tcW w:w="5881" w:type="dxa"/>
          </w:tcPr>
          <w:p>
            <w:pPr>
              <w:pStyle w:val="TableParagraph"/>
              <w:spacing w:before="3"/>
              <w:ind w:left="1211"/>
              <w:jc w:val="left"/>
              <w:rPr>
                <w:sz w:val="18"/>
              </w:rPr>
            </w:pPr>
            <w:r>
              <w:rPr>
                <w:sz w:val="18"/>
              </w:rPr>
              <w:t>Local fee-paying</w:t>
            </w:r>
          </w:p>
        </w:tc>
        <w:tc>
          <w:tcPr>
            <w:tcW w:w="2046" w:type="dxa"/>
          </w:tcPr>
          <w:p>
            <w:pPr>
              <w:pStyle w:val="TableParagraph"/>
              <w:spacing w:before="3"/>
              <w:ind w:right="38"/>
              <w:rPr>
                <w:sz w:val="18"/>
              </w:rPr>
            </w:pPr>
            <w:r>
              <w:rPr>
                <w:w w:val="95"/>
                <w:sz w:val="18"/>
              </w:rPr>
              <w:t>17,440</w:t>
            </w:r>
          </w:p>
        </w:tc>
      </w:tr>
      <w:tr>
        <w:trPr>
          <w:trHeight w:val="233" w:hRule="exact"/>
        </w:trPr>
        <w:tc>
          <w:tcPr>
            <w:tcW w:w="5881" w:type="dxa"/>
          </w:tcPr>
          <w:p>
            <w:pPr>
              <w:pStyle w:val="TableParagraph"/>
              <w:spacing w:before="3"/>
              <w:ind w:left="1211"/>
              <w:jc w:val="left"/>
              <w:rPr>
                <w:sz w:val="18"/>
              </w:rPr>
            </w:pPr>
            <w:r>
              <w:rPr>
                <w:sz w:val="18"/>
              </w:rPr>
              <w:t>External Research Grants</w:t>
            </w:r>
          </w:p>
        </w:tc>
        <w:tc>
          <w:tcPr>
            <w:tcW w:w="2046" w:type="dxa"/>
          </w:tcPr>
          <w:p>
            <w:pPr>
              <w:pStyle w:val="TableParagraph"/>
              <w:spacing w:before="3"/>
              <w:ind w:right="38"/>
              <w:rPr>
                <w:sz w:val="18"/>
              </w:rPr>
            </w:pPr>
            <w:r>
              <w:rPr>
                <w:w w:val="95"/>
                <w:sz w:val="18"/>
              </w:rPr>
              <w:t>36,285</w:t>
            </w:r>
          </w:p>
        </w:tc>
      </w:tr>
      <w:tr>
        <w:trPr>
          <w:trHeight w:val="233" w:hRule="exact"/>
        </w:trPr>
        <w:tc>
          <w:tcPr>
            <w:tcW w:w="5881" w:type="dxa"/>
          </w:tcPr>
          <w:p>
            <w:pPr>
              <w:pStyle w:val="TableParagraph"/>
              <w:spacing w:before="3"/>
              <w:ind w:left="1211"/>
              <w:jc w:val="left"/>
              <w:rPr>
                <w:sz w:val="18"/>
              </w:rPr>
            </w:pPr>
            <w:r>
              <w:rPr>
                <w:sz w:val="18"/>
              </w:rPr>
              <w:t>Consulting, Contracting &amp; Royalties</w:t>
            </w:r>
          </w:p>
        </w:tc>
        <w:tc>
          <w:tcPr>
            <w:tcW w:w="2046" w:type="dxa"/>
          </w:tcPr>
          <w:p>
            <w:pPr>
              <w:pStyle w:val="TableParagraph"/>
              <w:spacing w:before="3"/>
              <w:ind w:right="38"/>
              <w:rPr>
                <w:sz w:val="18"/>
              </w:rPr>
            </w:pPr>
            <w:r>
              <w:rPr>
                <w:w w:val="95"/>
                <w:sz w:val="18"/>
              </w:rPr>
              <w:t>4,066</w:t>
            </w:r>
          </w:p>
        </w:tc>
      </w:tr>
      <w:tr>
        <w:trPr>
          <w:trHeight w:val="283" w:hRule="exact"/>
        </w:trPr>
        <w:tc>
          <w:tcPr>
            <w:tcW w:w="5881" w:type="dxa"/>
          </w:tcPr>
          <w:p>
            <w:pPr>
              <w:pStyle w:val="TableParagraph"/>
              <w:spacing w:before="3"/>
              <w:ind w:left="1211"/>
              <w:jc w:val="left"/>
              <w:rPr>
                <w:sz w:val="18"/>
              </w:rPr>
            </w:pPr>
            <w:r>
              <w:rPr>
                <w:sz w:val="18"/>
              </w:rPr>
              <w:t>Other</w:t>
            </w:r>
          </w:p>
        </w:tc>
        <w:tc>
          <w:tcPr>
            <w:tcW w:w="2046" w:type="dxa"/>
          </w:tcPr>
          <w:p>
            <w:pPr>
              <w:pStyle w:val="TableParagraph"/>
              <w:spacing w:before="3"/>
              <w:ind w:right="38"/>
              <w:rPr>
                <w:sz w:val="18"/>
              </w:rPr>
            </w:pPr>
            <w:r>
              <w:rPr>
                <w:w w:val="95"/>
                <w:sz w:val="18"/>
              </w:rPr>
              <w:t>44,936</w:t>
            </w:r>
          </w:p>
        </w:tc>
      </w:tr>
      <w:tr>
        <w:trPr>
          <w:trHeight w:val="257" w:hRule="exact"/>
        </w:trPr>
        <w:tc>
          <w:tcPr>
            <w:tcW w:w="5881" w:type="dxa"/>
          </w:tcPr>
          <w:p>
            <w:pPr>
              <w:pStyle w:val="TableParagraph"/>
              <w:spacing w:before="53"/>
              <w:ind w:right="1209"/>
              <w:rPr>
                <w:b/>
                <w:sz w:val="18"/>
              </w:rPr>
            </w:pPr>
            <w:r>
              <w:rPr>
                <w:b/>
                <w:sz w:val="18"/>
              </w:rPr>
              <w:t>Sub Total</w:t>
            </w:r>
          </w:p>
        </w:tc>
        <w:tc>
          <w:tcPr>
            <w:tcW w:w="2046" w:type="dxa"/>
          </w:tcPr>
          <w:p>
            <w:pPr>
              <w:pStyle w:val="TableParagraph"/>
              <w:spacing w:before="53"/>
              <w:ind w:right="39"/>
              <w:rPr>
                <w:b/>
                <w:sz w:val="18"/>
              </w:rPr>
            </w:pPr>
            <w:r>
              <w:rPr>
                <w:b/>
                <w:w w:val="95"/>
                <w:sz w:val="18"/>
              </w:rPr>
              <w:t>192,527</w:t>
            </w:r>
          </w:p>
        </w:tc>
      </w:tr>
      <w:tr>
        <w:trPr>
          <w:trHeight w:val="389" w:hRule="exact"/>
        </w:trPr>
        <w:tc>
          <w:tcPr>
            <w:tcW w:w="5881" w:type="dxa"/>
          </w:tcPr>
          <w:p>
            <w:pPr>
              <w:pStyle w:val="TableParagraph"/>
              <w:spacing w:before="159"/>
              <w:ind w:left="911"/>
              <w:jc w:val="left"/>
              <w:rPr>
                <w:b/>
                <w:sz w:val="18"/>
              </w:rPr>
            </w:pPr>
            <w:r>
              <w:rPr>
                <w:b/>
                <w:sz w:val="18"/>
              </w:rPr>
              <w:t>OTHER INCOME ACTIVITIES</w:t>
            </w:r>
          </w:p>
        </w:tc>
        <w:tc>
          <w:tcPr>
            <w:tcW w:w="2046" w:type="dxa"/>
          </w:tcPr>
          <w:p>
            <w:pPr/>
          </w:p>
        </w:tc>
      </w:tr>
      <w:tr>
        <w:trPr>
          <w:trHeight w:val="244" w:hRule="exact"/>
        </w:trPr>
        <w:tc>
          <w:tcPr>
            <w:tcW w:w="5881" w:type="dxa"/>
          </w:tcPr>
          <w:p>
            <w:pPr>
              <w:pStyle w:val="TableParagraph"/>
              <w:spacing w:before="3"/>
              <w:ind w:left="1211"/>
              <w:jc w:val="left"/>
              <w:rPr>
                <w:sz w:val="18"/>
              </w:rPr>
            </w:pPr>
            <w:r>
              <w:rPr>
                <w:sz w:val="18"/>
              </w:rPr>
              <w:t>Leases &amp; Other Commercial</w:t>
            </w:r>
          </w:p>
        </w:tc>
        <w:tc>
          <w:tcPr>
            <w:tcW w:w="2046" w:type="dxa"/>
          </w:tcPr>
          <w:p>
            <w:pPr>
              <w:pStyle w:val="TableParagraph"/>
              <w:spacing w:before="3"/>
              <w:ind w:right="37"/>
              <w:rPr>
                <w:sz w:val="18"/>
              </w:rPr>
            </w:pPr>
            <w:r>
              <w:rPr>
                <w:w w:val="95"/>
                <w:sz w:val="18"/>
              </w:rPr>
              <w:t>9,440</w:t>
            </w:r>
          </w:p>
        </w:tc>
      </w:tr>
      <w:tr>
        <w:trPr>
          <w:trHeight w:val="254" w:hRule="exact"/>
        </w:trPr>
        <w:tc>
          <w:tcPr>
            <w:tcW w:w="5881" w:type="dxa"/>
          </w:tcPr>
          <w:p>
            <w:pPr>
              <w:pStyle w:val="TableParagraph"/>
              <w:spacing w:before="14"/>
              <w:ind w:left="1211"/>
              <w:jc w:val="left"/>
              <w:rPr>
                <w:sz w:val="18"/>
              </w:rPr>
            </w:pPr>
            <w:r>
              <w:rPr>
                <w:sz w:val="18"/>
              </w:rPr>
              <w:t>Investment Income</w:t>
            </w:r>
          </w:p>
        </w:tc>
        <w:tc>
          <w:tcPr>
            <w:tcW w:w="2046" w:type="dxa"/>
          </w:tcPr>
          <w:p>
            <w:pPr>
              <w:pStyle w:val="TableParagraph"/>
              <w:spacing w:before="14"/>
              <w:ind w:right="38"/>
              <w:rPr>
                <w:sz w:val="18"/>
              </w:rPr>
            </w:pPr>
            <w:r>
              <w:rPr>
                <w:w w:val="95"/>
                <w:sz w:val="18"/>
              </w:rPr>
              <w:t>10,148</w:t>
            </w:r>
          </w:p>
        </w:tc>
      </w:tr>
      <w:tr>
        <w:trPr>
          <w:trHeight w:val="244" w:hRule="exact"/>
        </w:trPr>
        <w:tc>
          <w:tcPr>
            <w:tcW w:w="5881" w:type="dxa"/>
          </w:tcPr>
          <w:p>
            <w:pPr>
              <w:pStyle w:val="TableParagraph"/>
              <w:spacing w:before="14"/>
              <w:ind w:left="1211"/>
              <w:jc w:val="left"/>
              <w:rPr>
                <w:sz w:val="18"/>
              </w:rPr>
            </w:pPr>
            <w:r>
              <w:rPr>
                <w:sz w:val="18"/>
              </w:rPr>
              <w:t>Land/Property Development Projects</w:t>
            </w:r>
          </w:p>
        </w:tc>
        <w:tc>
          <w:tcPr>
            <w:tcW w:w="2046" w:type="dxa"/>
          </w:tcPr>
          <w:p>
            <w:pPr>
              <w:pStyle w:val="TableParagraph"/>
              <w:spacing w:before="14"/>
              <w:ind w:right="39"/>
              <w:rPr>
                <w:sz w:val="18"/>
              </w:rPr>
            </w:pPr>
            <w:r>
              <w:rPr>
                <w:w w:val="95"/>
                <w:sz w:val="18"/>
              </w:rPr>
              <w:t>178,039</w:t>
            </w:r>
          </w:p>
        </w:tc>
      </w:tr>
      <w:tr>
        <w:trPr>
          <w:trHeight w:val="262" w:hRule="exact"/>
        </w:trPr>
        <w:tc>
          <w:tcPr>
            <w:tcW w:w="5881" w:type="dxa"/>
          </w:tcPr>
          <w:p>
            <w:pPr>
              <w:pStyle w:val="TableParagraph"/>
              <w:spacing w:before="3"/>
              <w:ind w:left="1211"/>
              <w:jc w:val="left"/>
              <w:rPr>
                <w:sz w:val="18"/>
              </w:rPr>
            </w:pPr>
            <w:r>
              <w:rPr>
                <w:sz w:val="18"/>
              </w:rPr>
              <w:t>Other Incidental</w:t>
            </w:r>
          </w:p>
        </w:tc>
        <w:tc>
          <w:tcPr>
            <w:tcW w:w="2046" w:type="dxa"/>
          </w:tcPr>
          <w:p>
            <w:pPr>
              <w:pStyle w:val="TableParagraph"/>
              <w:spacing w:before="3"/>
              <w:ind w:right="37"/>
              <w:rPr>
                <w:sz w:val="18"/>
              </w:rPr>
            </w:pPr>
            <w:r>
              <w:rPr>
                <w:w w:val="95"/>
                <w:sz w:val="18"/>
              </w:rPr>
              <w:t>9,993</w:t>
            </w:r>
          </w:p>
        </w:tc>
      </w:tr>
      <w:tr>
        <w:trPr>
          <w:trHeight w:val="235" w:hRule="exact"/>
        </w:trPr>
        <w:tc>
          <w:tcPr>
            <w:tcW w:w="5881" w:type="dxa"/>
          </w:tcPr>
          <w:p>
            <w:pPr>
              <w:pStyle w:val="TableParagraph"/>
              <w:spacing w:before="32"/>
              <w:ind w:right="1209"/>
              <w:rPr>
                <w:b/>
                <w:sz w:val="18"/>
              </w:rPr>
            </w:pPr>
            <w:r>
              <w:rPr>
                <w:b/>
                <w:sz w:val="18"/>
              </w:rPr>
              <w:t>Sub Total</w:t>
            </w:r>
          </w:p>
        </w:tc>
        <w:tc>
          <w:tcPr>
            <w:tcW w:w="2046" w:type="dxa"/>
          </w:tcPr>
          <w:p>
            <w:pPr>
              <w:pStyle w:val="TableParagraph"/>
              <w:spacing w:before="32"/>
              <w:ind w:right="39"/>
              <w:rPr>
                <w:b/>
                <w:sz w:val="18"/>
              </w:rPr>
            </w:pPr>
            <w:r>
              <w:rPr>
                <w:b/>
                <w:w w:val="95"/>
                <w:sz w:val="18"/>
              </w:rPr>
              <w:t>207,620</w:t>
            </w:r>
          </w:p>
        </w:tc>
      </w:tr>
      <w:tr>
        <w:trPr>
          <w:trHeight w:val="259" w:hRule="exact"/>
        </w:trPr>
        <w:tc>
          <w:tcPr>
            <w:tcW w:w="5881" w:type="dxa"/>
          </w:tcPr>
          <w:p>
            <w:pPr>
              <w:pStyle w:val="TableParagraph"/>
              <w:spacing w:before="29"/>
              <w:ind w:left="911"/>
              <w:jc w:val="left"/>
              <w:rPr>
                <w:b/>
                <w:sz w:val="18"/>
              </w:rPr>
            </w:pPr>
            <w:r>
              <w:rPr>
                <w:b/>
                <w:sz w:val="18"/>
              </w:rPr>
              <w:t>WSU ENTITIES</w:t>
            </w:r>
          </w:p>
        </w:tc>
        <w:tc>
          <w:tcPr>
            <w:tcW w:w="2046" w:type="dxa"/>
          </w:tcPr>
          <w:p>
            <w:pPr/>
          </w:p>
        </w:tc>
      </w:tr>
      <w:tr>
        <w:trPr>
          <w:trHeight w:val="233" w:hRule="exact"/>
        </w:trPr>
        <w:tc>
          <w:tcPr>
            <w:tcW w:w="5881" w:type="dxa"/>
          </w:tcPr>
          <w:p>
            <w:pPr>
              <w:pStyle w:val="TableParagraph"/>
              <w:spacing w:before="3"/>
              <w:ind w:left="1211"/>
              <w:jc w:val="left"/>
              <w:rPr>
                <w:sz w:val="18"/>
              </w:rPr>
            </w:pPr>
            <w:r>
              <w:rPr>
                <w:sz w:val="18"/>
              </w:rPr>
              <w:t>WSU College</w:t>
            </w:r>
          </w:p>
        </w:tc>
        <w:tc>
          <w:tcPr>
            <w:tcW w:w="2046" w:type="dxa"/>
          </w:tcPr>
          <w:p>
            <w:pPr>
              <w:pStyle w:val="TableParagraph"/>
              <w:spacing w:before="3"/>
              <w:ind w:right="38"/>
              <w:rPr>
                <w:sz w:val="18"/>
              </w:rPr>
            </w:pPr>
            <w:r>
              <w:rPr>
                <w:w w:val="95"/>
                <w:sz w:val="18"/>
              </w:rPr>
              <w:t>63,013</w:t>
            </w:r>
          </w:p>
        </w:tc>
      </w:tr>
      <w:tr>
        <w:trPr>
          <w:trHeight w:val="233" w:hRule="exact"/>
        </w:trPr>
        <w:tc>
          <w:tcPr>
            <w:tcW w:w="5881" w:type="dxa"/>
          </w:tcPr>
          <w:p>
            <w:pPr>
              <w:pStyle w:val="TableParagraph"/>
              <w:spacing w:before="3"/>
              <w:ind w:left="1211"/>
              <w:jc w:val="left"/>
              <w:rPr>
                <w:sz w:val="18"/>
              </w:rPr>
            </w:pPr>
            <w:r>
              <w:rPr>
                <w:sz w:val="18"/>
              </w:rPr>
              <w:t>Whitlam Institute</w:t>
            </w:r>
          </w:p>
        </w:tc>
        <w:tc>
          <w:tcPr>
            <w:tcW w:w="2046" w:type="dxa"/>
          </w:tcPr>
          <w:p>
            <w:pPr>
              <w:pStyle w:val="TableParagraph"/>
              <w:spacing w:before="3"/>
              <w:ind w:right="36"/>
              <w:rPr>
                <w:sz w:val="18"/>
              </w:rPr>
            </w:pPr>
            <w:r>
              <w:rPr>
                <w:w w:val="95"/>
                <w:sz w:val="18"/>
              </w:rPr>
              <w:t>175</w:t>
            </w:r>
          </w:p>
        </w:tc>
      </w:tr>
      <w:tr>
        <w:trPr>
          <w:trHeight w:val="233" w:hRule="exact"/>
        </w:trPr>
        <w:tc>
          <w:tcPr>
            <w:tcW w:w="5881" w:type="dxa"/>
          </w:tcPr>
          <w:p>
            <w:pPr>
              <w:pStyle w:val="TableParagraph"/>
              <w:spacing w:before="3"/>
              <w:ind w:left="1211"/>
              <w:jc w:val="left"/>
              <w:rPr>
                <w:sz w:val="18"/>
              </w:rPr>
            </w:pPr>
            <w:r>
              <w:rPr>
                <w:sz w:val="18"/>
              </w:rPr>
              <w:t>UWS Early Learning</w:t>
            </w:r>
          </w:p>
        </w:tc>
        <w:tc>
          <w:tcPr>
            <w:tcW w:w="2046" w:type="dxa"/>
          </w:tcPr>
          <w:p>
            <w:pPr>
              <w:pStyle w:val="TableParagraph"/>
              <w:spacing w:before="3"/>
              <w:ind w:right="37"/>
              <w:rPr>
                <w:sz w:val="18"/>
              </w:rPr>
            </w:pPr>
            <w:r>
              <w:rPr>
                <w:w w:val="95"/>
                <w:sz w:val="18"/>
              </w:rPr>
              <w:t>6,864</w:t>
            </w:r>
          </w:p>
        </w:tc>
      </w:tr>
      <w:tr>
        <w:trPr>
          <w:trHeight w:val="349" w:hRule="exact"/>
        </w:trPr>
        <w:tc>
          <w:tcPr>
            <w:tcW w:w="5881" w:type="dxa"/>
          </w:tcPr>
          <w:p>
            <w:pPr>
              <w:pStyle w:val="TableParagraph"/>
              <w:spacing w:before="3"/>
              <w:ind w:left="1211"/>
              <w:jc w:val="left"/>
              <w:rPr>
                <w:sz w:val="18"/>
              </w:rPr>
            </w:pPr>
            <w:r>
              <w:rPr>
                <w:sz w:val="18"/>
              </w:rPr>
              <w:t>uwsconnect</w:t>
            </w:r>
          </w:p>
        </w:tc>
        <w:tc>
          <w:tcPr>
            <w:tcW w:w="2046" w:type="dxa"/>
          </w:tcPr>
          <w:p>
            <w:pPr>
              <w:pStyle w:val="TableParagraph"/>
              <w:spacing w:before="3"/>
              <w:ind w:right="38"/>
              <w:rPr>
                <w:sz w:val="18"/>
              </w:rPr>
            </w:pPr>
            <w:r>
              <w:rPr>
                <w:w w:val="95"/>
                <w:sz w:val="18"/>
              </w:rPr>
              <w:t>16,155</w:t>
            </w:r>
          </w:p>
        </w:tc>
      </w:tr>
      <w:tr>
        <w:trPr>
          <w:trHeight w:val="466" w:hRule="exact"/>
        </w:trPr>
        <w:tc>
          <w:tcPr>
            <w:tcW w:w="5881" w:type="dxa"/>
          </w:tcPr>
          <w:p>
            <w:pPr>
              <w:pStyle w:val="TableParagraph"/>
              <w:spacing w:before="120"/>
              <w:ind w:right="1209"/>
              <w:rPr>
                <w:b/>
                <w:sz w:val="18"/>
              </w:rPr>
            </w:pPr>
            <w:r>
              <w:rPr>
                <w:b/>
                <w:sz w:val="18"/>
              </w:rPr>
              <w:t>Sub Total</w:t>
            </w:r>
          </w:p>
        </w:tc>
        <w:tc>
          <w:tcPr>
            <w:tcW w:w="2046" w:type="dxa"/>
          </w:tcPr>
          <w:p>
            <w:pPr>
              <w:pStyle w:val="TableParagraph"/>
              <w:spacing w:before="120"/>
              <w:ind w:right="38"/>
              <w:rPr>
                <w:b/>
                <w:sz w:val="18"/>
              </w:rPr>
            </w:pPr>
            <w:r>
              <w:rPr>
                <w:b/>
                <w:w w:val="95"/>
                <w:sz w:val="18"/>
              </w:rPr>
              <w:t>86,207</w:t>
            </w:r>
          </w:p>
        </w:tc>
      </w:tr>
      <w:tr>
        <w:trPr>
          <w:trHeight w:val="466" w:hRule="exact"/>
        </w:trPr>
        <w:tc>
          <w:tcPr>
            <w:tcW w:w="5881" w:type="dxa"/>
          </w:tcPr>
          <w:p>
            <w:pPr>
              <w:pStyle w:val="TableParagraph"/>
              <w:spacing w:before="120"/>
              <w:ind w:right="1201"/>
              <w:rPr>
                <w:b/>
                <w:sz w:val="18"/>
              </w:rPr>
            </w:pPr>
            <w:r>
              <w:rPr>
                <w:b/>
                <w:sz w:val="18"/>
              </w:rPr>
              <w:t>TOTAL SELF-GENERATED INCOME</w:t>
            </w:r>
          </w:p>
        </w:tc>
        <w:tc>
          <w:tcPr>
            <w:tcW w:w="2046" w:type="dxa"/>
          </w:tcPr>
          <w:p>
            <w:pPr>
              <w:pStyle w:val="TableParagraph"/>
              <w:spacing w:before="120"/>
              <w:ind w:right="39"/>
              <w:rPr>
                <w:b/>
                <w:sz w:val="18"/>
              </w:rPr>
            </w:pPr>
            <w:r>
              <w:rPr>
                <w:b/>
                <w:w w:val="95"/>
                <w:sz w:val="18"/>
              </w:rPr>
              <w:t>486,354</w:t>
            </w:r>
          </w:p>
        </w:tc>
      </w:tr>
      <w:tr>
        <w:trPr>
          <w:trHeight w:val="423" w:hRule="exact"/>
        </w:trPr>
        <w:tc>
          <w:tcPr>
            <w:tcW w:w="5881" w:type="dxa"/>
          </w:tcPr>
          <w:p>
            <w:pPr>
              <w:pStyle w:val="TableParagraph"/>
              <w:spacing w:before="120"/>
              <w:ind w:right="1204"/>
              <w:rPr>
                <w:b/>
                <w:sz w:val="18"/>
              </w:rPr>
            </w:pPr>
            <w:r>
              <w:rPr>
                <w:b/>
                <w:sz w:val="18"/>
              </w:rPr>
              <w:t>TOTAL INCOME</w:t>
            </w:r>
          </w:p>
        </w:tc>
        <w:tc>
          <w:tcPr>
            <w:tcW w:w="2046" w:type="dxa"/>
          </w:tcPr>
          <w:p>
            <w:pPr>
              <w:pStyle w:val="TableParagraph"/>
              <w:spacing w:before="120"/>
              <w:ind w:right="40"/>
              <w:rPr>
                <w:b/>
                <w:sz w:val="18"/>
              </w:rPr>
            </w:pPr>
            <w:r>
              <w:rPr>
                <w:b/>
                <w:w w:val="95"/>
                <w:sz w:val="18"/>
              </w:rPr>
              <w:t>1,041,044</w:t>
            </w:r>
          </w:p>
        </w:tc>
      </w:tr>
    </w:tbl>
    <w:p>
      <w:pPr>
        <w:pStyle w:val="BodyText"/>
        <w:rPr>
          <w:b/>
          <w:sz w:val="20"/>
        </w:rPr>
      </w:pPr>
    </w:p>
    <w:p>
      <w:pPr>
        <w:pStyle w:val="BodyText"/>
        <w:spacing w:before="11"/>
        <w:rPr>
          <w:b/>
        </w:rPr>
      </w:pPr>
    </w:p>
    <w:p>
      <w:pPr>
        <w:pStyle w:val="Heading8"/>
        <w:spacing w:before="77" w:after="38"/>
        <w:ind w:left="1428"/>
      </w:pPr>
      <w:r>
        <w:rPr/>
        <w:drawing>
          <wp:anchor distT="0" distB="0" distL="0" distR="0" allowOverlap="1" layoutInCell="1" locked="0" behindDoc="0" simplePos="0" relativeHeight="16624">
            <wp:simplePos x="0" y="0"/>
            <wp:positionH relativeFrom="page">
              <wp:posOffset>-1587</wp:posOffset>
            </wp:positionH>
            <wp:positionV relativeFrom="paragraph">
              <wp:posOffset>-1362110</wp:posOffset>
            </wp:positionV>
            <wp:extent cx="136413" cy="155448"/>
            <wp:effectExtent l="0" t="0" r="0" b="0"/>
            <wp:wrapNone/>
            <wp:docPr id="1149" name="image22.png" descr=""/>
            <wp:cNvGraphicFramePr>
              <a:graphicFrameLocks noChangeAspect="1"/>
            </wp:cNvGraphicFramePr>
            <a:graphic>
              <a:graphicData uri="http://schemas.openxmlformats.org/drawingml/2006/picture">
                <pic:pic>
                  <pic:nvPicPr>
                    <pic:cNvPr id="1150" name="image22.png"/>
                    <pic:cNvPicPr/>
                  </pic:nvPicPr>
                  <pic:blipFill>
                    <a:blip r:embed="rId28" cstate="print"/>
                    <a:stretch>
                      <a:fillRect/>
                    </a:stretch>
                  </pic:blipFill>
                  <pic:spPr>
                    <a:xfrm>
                      <a:off x="0" y="0"/>
                      <a:ext cx="136413" cy="155448"/>
                    </a:xfrm>
                    <a:prstGeom prst="rect">
                      <a:avLst/>
                    </a:prstGeom>
                  </pic:spPr>
                </pic:pic>
              </a:graphicData>
            </a:graphic>
          </wp:anchor>
        </w:drawing>
      </w:r>
      <w:r>
        <w:rPr/>
        <w:drawing>
          <wp:anchor distT="0" distB="0" distL="0" distR="0" allowOverlap="1" layoutInCell="1" locked="0" behindDoc="0" simplePos="0" relativeHeight="16648">
            <wp:simplePos x="0" y="0"/>
            <wp:positionH relativeFrom="page">
              <wp:posOffset>7957756</wp:posOffset>
            </wp:positionH>
            <wp:positionV relativeFrom="paragraph">
              <wp:posOffset>-1362110</wp:posOffset>
            </wp:positionV>
            <wp:extent cx="136627" cy="155575"/>
            <wp:effectExtent l="0" t="0" r="0" b="0"/>
            <wp:wrapNone/>
            <wp:docPr id="1151" name="image26.png" descr=""/>
            <wp:cNvGraphicFramePr>
              <a:graphicFrameLocks noChangeAspect="1"/>
            </wp:cNvGraphicFramePr>
            <a:graphic>
              <a:graphicData uri="http://schemas.openxmlformats.org/drawingml/2006/picture">
                <pic:pic>
                  <pic:nvPicPr>
                    <pic:cNvPr id="1152" name="image26.png"/>
                    <pic:cNvPicPr/>
                  </pic:nvPicPr>
                  <pic:blipFill>
                    <a:blip r:embed="rId45" cstate="print"/>
                    <a:stretch>
                      <a:fillRect/>
                    </a:stretch>
                  </pic:blipFill>
                  <pic:spPr>
                    <a:xfrm>
                      <a:off x="0" y="0"/>
                      <a:ext cx="136627" cy="155575"/>
                    </a:xfrm>
                    <a:prstGeom prst="rect">
                      <a:avLst/>
                    </a:prstGeom>
                  </pic:spPr>
                </pic:pic>
              </a:graphicData>
            </a:graphic>
          </wp:anchor>
        </w:drawing>
      </w:r>
      <w:r>
        <w:rPr/>
        <w:t>EXPENSES FROM CONTINUING OPERATIONS</w:t>
      </w:r>
    </w:p>
    <w:tbl>
      <w:tblPr>
        <w:tblW w:w="0" w:type="auto"/>
        <w:jc w:val="left"/>
        <w:tblInd w:w="170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337"/>
        <w:gridCol w:w="2708"/>
      </w:tblGrid>
      <w:tr>
        <w:trPr>
          <w:trHeight w:val="306" w:hRule="exact"/>
        </w:trPr>
        <w:tc>
          <w:tcPr>
            <w:tcW w:w="4337" w:type="dxa"/>
          </w:tcPr>
          <w:p>
            <w:pPr>
              <w:pStyle w:val="TableParagraph"/>
              <w:spacing w:before="77"/>
              <w:ind w:left="35"/>
              <w:jc w:val="left"/>
              <w:rPr>
                <w:sz w:val="18"/>
              </w:rPr>
            </w:pPr>
            <w:r>
              <w:rPr>
                <w:sz w:val="18"/>
              </w:rPr>
              <w:t>Schools</w:t>
            </w:r>
          </w:p>
        </w:tc>
        <w:tc>
          <w:tcPr>
            <w:tcW w:w="2708" w:type="dxa"/>
          </w:tcPr>
          <w:p>
            <w:pPr>
              <w:pStyle w:val="TableParagraph"/>
              <w:spacing w:before="77"/>
              <w:ind w:right="34"/>
              <w:rPr>
                <w:sz w:val="18"/>
              </w:rPr>
            </w:pPr>
            <w:r>
              <w:rPr>
                <w:w w:val="95"/>
                <w:sz w:val="18"/>
              </w:rPr>
              <w:t>226,429</w:t>
            </w:r>
          </w:p>
        </w:tc>
      </w:tr>
      <w:tr>
        <w:trPr>
          <w:trHeight w:val="233" w:hRule="exact"/>
        </w:trPr>
        <w:tc>
          <w:tcPr>
            <w:tcW w:w="4337" w:type="dxa"/>
          </w:tcPr>
          <w:p>
            <w:pPr>
              <w:pStyle w:val="TableParagraph"/>
              <w:spacing w:before="3"/>
              <w:ind w:left="35"/>
              <w:jc w:val="left"/>
              <w:rPr>
                <w:sz w:val="18"/>
              </w:rPr>
            </w:pPr>
            <w:r>
              <w:rPr>
                <w:sz w:val="18"/>
              </w:rPr>
              <w:t>Research</w:t>
            </w:r>
          </w:p>
        </w:tc>
        <w:tc>
          <w:tcPr>
            <w:tcW w:w="2708" w:type="dxa"/>
          </w:tcPr>
          <w:p>
            <w:pPr>
              <w:pStyle w:val="TableParagraph"/>
              <w:spacing w:before="3"/>
              <w:ind w:right="33"/>
              <w:rPr>
                <w:sz w:val="18"/>
              </w:rPr>
            </w:pPr>
            <w:r>
              <w:rPr>
                <w:w w:val="95"/>
                <w:sz w:val="18"/>
              </w:rPr>
              <w:t>90,178</w:t>
            </w:r>
          </w:p>
        </w:tc>
      </w:tr>
      <w:tr>
        <w:trPr>
          <w:trHeight w:val="233" w:hRule="exact"/>
        </w:trPr>
        <w:tc>
          <w:tcPr>
            <w:tcW w:w="4337" w:type="dxa"/>
          </w:tcPr>
          <w:p>
            <w:pPr>
              <w:pStyle w:val="TableParagraph"/>
              <w:spacing w:before="3"/>
              <w:ind w:left="35"/>
              <w:jc w:val="left"/>
              <w:rPr>
                <w:sz w:val="18"/>
              </w:rPr>
            </w:pPr>
            <w:r>
              <w:rPr>
                <w:sz w:val="18"/>
              </w:rPr>
              <w:t>Divisions</w:t>
            </w:r>
          </w:p>
        </w:tc>
        <w:tc>
          <w:tcPr>
            <w:tcW w:w="2708" w:type="dxa"/>
          </w:tcPr>
          <w:p>
            <w:pPr>
              <w:pStyle w:val="TableParagraph"/>
              <w:spacing w:before="3"/>
              <w:ind w:right="34"/>
              <w:rPr>
                <w:sz w:val="18"/>
              </w:rPr>
            </w:pPr>
            <w:r>
              <w:rPr>
                <w:w w:val="95"/>
                <w:sz w:val="18"/>
              </w:rPr>
              <w:t>160,793</w:t>
            </w:r>
          </w:p>
        </w:tc>
      </w:tr>
      <w:tr>
        <w:trPr>
          <w:trHeight w:val="233" w:hRule="exact"/>
        </w:trPr>
        <w:tc>
          <w:tcPr>
            <w:tcW w:w="4337" w:type="dxa"/>
          </w:tcPr>
          <w:p>
            <w:pPr>
              <w:pStyle w:val="TableParagraph"/>
              <w:spacing w:before="3"/>
              <w:ind w:left="35"/>
              <w:jc w:val="left"/>
              <w:rPr>
                <w:sz w:val="18"/>
              </w:rPr>
            </w:pPr>
            <w:r>
              <w:rPr>
                <w:sz w:val="18"/>
              </w:rPr>
              <w:t>WSU Entities</w:t>
            </w:r>
          </w:p>
        </w:tc>
        <w:tc>
          <w:tcPr>
            <w:tcW w:w="2708" w:type="dxa"/>
          </w:tcPr>
          <w:p>
            <w:pPr>
              <w:pStyle w:val="TableParagraph"/>
              <w:spacing w:before="3"/>
              <w:ind w:right="33"/>
              <w:rPr>
                <w:sz w:val="18"/>
              </w:rPr>
            </w:pPr>
            <w:r>
              <w:rPr>
                <w:w w:val="95"/>
                <w:sz w:val="18"/>
              </w:rPr>
              <w:t>85,825</w:t>
            </w:r>
          </w:p>
        </w:tc>
      </w:tr>
      <w:tr>
        <w:trPr>
          <w:trHeight w:val="233" w:hRule="exact"/>
        </w:trPr>
        <w:tc>
          <w:tcPr>
            <w:tcW w:w="4337" w:type="dxa"/>
          </w:tcPr>
          <w:p>
            <w:pPr>
              <w:pStyle w:val="TableParagraph"/>
              <w:spacing w:before="3"/>
              <w:ind w:left="35"/>
              <w:jc w:val="left"/>
              <w:rPr>
                <w:sz w:val="18"/>
              </w:rPr>
            </w:pPr>
            <w:r>
              <w:rPr>
                <w:sz w:val="18"/>
              </w:rPr>
              <w:t>Consulting &amp; Innovation</w:t>
            </w:r>
          </w:p>
        </w:tc>
        <w:tc>
          <w:tcPr>
            <w:tcW w:w="2708" w:type="dxa"/>
          </w:tcPr>
          <w:p>
            <w:pPr>
              <w:pStyle w:val="TableParagraph"/>
              <w:spacing w:before="3"/>
              <w:ind w:right="33"/>
              <w:rPr>
                <w:sz w:val="18"/>
              </w:rPr>
            </w:pPr>
            <w:r>
              <w:rPr>
                <w:w w:val="95"/>
                <w:sz w:val="18"/>
              </w:rPr>
              <w:t>4,066</w:t>
            </w:r>
          </w:p>
        </w:tc>
      </w:tr>
      <w:tr>
        <w:trPr>
          <w:trHeight w:val="233" w:hRule="exact"/>
        </w:trPr>
        <w:tc>
          <w:tcPr>
            <w:tcW w:w="4337" w:type="dxa"/>
          </w:tcPr>
          <w:p>
            <w:pPr>
              <w:pStyle w:val="TableParagraph"/>
              <w:spacing w:before="3"/>
              <w:ind w:left="35"/>
              <w:jc w:val="left"/>
              <w:rPr>
                <w:sz w:val="18"/>
              </w:rPr>
            </w:pPr>
            <w:r>
              <w:rPr>
                <w:sz w:val="18"/>
              </w:rPr>
              <w:t>WSU Wide</w:t>
            </w:r>
          </w:p>
        </w:tc>
        <w:tc>
          <w:tcPr>
            <w:tcW w:w="2708" w:type="dxa"/>
          </w:tcPr>
          <w:p>
            <w:pPr>
              <w:pStyle w:val="TableParagraph"/>
              <w:spacing w:before="3"/>
              <w:ind w:right="34"/>
              <w:rPr>
                <w:sz w:val="18"/>
              </w:rPr>
            </w:pPr>
            <w:r>
              <w:rPr>
                <w:w w:val="95"/>
                <w:sz w:val="18"/>
              </w:rPr>
              <w:t>165,775</w:t>
            </w:r>
          </w:p>
        </w:tc>
      </w:tr>
      <w:tr>
        <w:trPr>
          <w:trHeight w:val="233" w:hRule="exact"/>
        </w:trPr>
        <w:tc>
          <w:tcPr>
            <w:tcW w:w="4337" w:type="dxa"/>
          </w:tcPr>
          <w:p>
            <w:pPr>
              <w:pStyle w:val="TableParagraph"/>
              <w:spacing w:before="3"/>
              <w:ind w:left="35"/>
              <w:jc w:val="left"/>
              <w:rPr>
                <w:sz w:val="18"/>
              </w:rPr>
            </w:pPr>
            <w:r>
              <w:rPr>
                <w:sz w:val="18"/>
              </w:rPr>
              <w:t>Strategic Initiatives</w:t>
            </w:r>
          </w:p>
        </w:tc>
        <w:tc>
          <w:tcPr>
            <w:tcW w:w="2708" w:type="dxa"/>
          </w:tcPr>
          <w:p>
            <w:pPr>
              <w:pStyle w:val="TableParagraph"/>
              <w:spacing w:before="3"/>
              <w:ind w:right="33"/>
              <w:rPr>
                <w:sz w:val="18"/>
              </w:rPr>
            </w:pPr>
            <w:r>
              <w:rPr>
                <w:w w:val="95"/>
                <w:sz w:val="18"/>
              </w:rPr>
              <w:t>50,448</w:t>
            </w:r>
          </w:p>
        </w:tc>
      </w:tr>
      <w:tr>
        <w:trPr>
          <w:trHeight w:val="233" w:hRule="exact"/>
        </w:trPr>
        <w:tc>
          <w:tcPr>
            <w:tcW w:w="4337" w:type="dxa"/>
          </w:tcPr>
          <w:p>
            <w:pPr>
              <w:pStyle w:val="TableParagraph"/>
              <w:spacing w:before="3"/>
              <w:ind w:left="35"/>
              <w:jc w:val="left"/>
              <w:rPr>
                <w:sz w:val="18"/>
              </w:rPr>
            </w:pPr>
            <w:r>
              <w:rPr>
                <w:sz w:val="18"/>
              </w:rPr>
              <w:t>Minor Works (Expensed)</w:t>
            </w:r>
          </w:p>
        </w:tc>
        <w:tc>
          <w:tcPr>
            <w:tcW w:w="2708" w:type="dxa"/>
          </w:tcPr>
          <w:p>
            <w:pPr>
              <w:pStyle w:val="TableParagraph"/>
              <w:spacing w:before="3"/>
              <w:ind w:right="33"/>
              <w:rPr>
                <w:sz w:val="18"/>
              </w:rPr>
            </w:pPr>
            <w:r>
              <w:rPr>
                <w:w w:val="95"/>
                <w:sz w:val="18"/>
              </w:rPr>
              <w:t>7,000</w:t>
            </w:r>
          </w:p>
        </w:tc>
      </w:tr>
      <w:tr>
        <w:trPr>
          <w:trHeight w:val="233" w:hRule="exact"/>
        </w:trPr>
        <w:tc>
          <w:tcPr>
            <w:tcW w:w="4337" w:type="dxa"/>
          </w:tcPr>
          <w:p>
            <w:pPr>
              <w:pStyle w:val="TableParagraph"/>
              <w:spacing w:before="3"/>
              <w:ind w:left="35"/>
              <w:jc w:val="left"/>
              <w:rPr>
                <w:sz w:val="18"/>
              </w:rPr>
            </w:pPr>
            <w:r>
              <w:rPr>
                <w:sz w:val="18"/>
              </w:rPr>
              <w:t>External Trust &amp; Tied Grants</w:t>
            </w:r>
          </w:p>
        </w:tc>
        <w:tc>
          <w:tcPr>
            <w:tcW w:w="2708" w:type="dxa"/>
          </w:tcPr>
          <w:p>
            <w:pPr>
              <w:pStyle w:val="TableParagraph"/>
              <w:spacing w:before="3"/>
              <w:ind w:right="33"/>
              <w:rPr>
                <w:sz w:val="18"/>
              </w:rPr>
            </w:pPr>
            <w:r>
              <w:rPr>
                <w:w w:val="95"/>
                <w:sz w:val="18"/>
              </w:rPr>
              <w:t>16,422</w:t>
            </w:r>
          </w:p>
        </w:tc>
      </w:tr>
      <w:tr>
        <w:trPr>
          <w:trHeight w:val="233" w:hRule="exact"/>
        </w:trPr>
        <w:tc>
          <w:tcPr>
            <w:tcW w:w="4337" w:type="dxa"/>
          </w:tcPr>
          <w:p>
            <w:pPr>
              <w:pStyle w:val="TableParagraph"/>
              <w:spacing w:before="3"/>
              <w:ind w:left="35"/>
              <w:jc w:val="left"/>
              <w:rPr>
                <w:sz w:val="18"/>
              </w:rPr>
            </w:pPr>
            <w:r>
              <w:rPr>
                <w:sz w:val="18"/>
              </w:rPr>
              <w:t>Depreciation</w:t>
            </w:r>
          </w:p>
        </w:tc>
        <w:tc>
          <w:tcPr>
            <w:tcW w:w="2708" w:type="dxa"/>
          </w:tcPr>
          <w:p>
            <w:pPr>
              <w:pStyle w:val="TableParagraph"/>
              <w:spacing w:before="3"/>
              <w:ind w:right="33"/>
              <w:rPr>
                <w:sz w:val="18"/>
              </w:rPr>
            </w:pPr>
            <w:r>
              <w:rPr>
                <w:w w:val="95"/>
                <w:sz w:val="18"/>
              </w:rPr>
              <w:t>45,402</w:t>
            </w:r>
          </w:p>
        </w:tc>
      </w:tr>
      <w:tr>
        <w:trPr>
          <w:trHeight w:val="306" w:hRule="exact"/>
        </w:trPr>
        <w:tc>
          <w:tcPr>
            <w:tcW w:w="4337" w:type="dxa"/>
          </w:tcPr>
          <w:p>
            <w:pPr>
              <w:pStyle w:val="TableParagraph"/>
              <w:spacing w:before="3"/>
              <w:ind w:left="35"/>
              <w:jc w:val="left"/>
              <w:rPr>
                <w:sz w:val="18"/>
              </w:rPr>
            </w:pPr>
            <w:r>
              <w:rPr>
                <w:sz w:val="18"/>
              </w:rPr>
              <w:t>Land Development Projects</w:t>
            </w:r>
          </w:p>
        </w:tc>
        <w:tc>
          <w:tcPr>
            <w:tcW w:w="2708" w:type="dxa"/>
          </w:tcPr>
          <w:p>
            <w:pPr>
              <w:pStyle w:val="TableParagraph"/>
              <w:spacing w:before="3"/>
              <w:ind w:right="34"/>
              <w:rPr>
                <w:sz w:val="18"/>
              </w:rPr>
            </w:pPr>
            <w:r>
              <w:rPr>
                <w:w w:val="95"/>
                <w:sz w:val="18"/>
              </w:rPr>
              <w:t>109,516</w:t>
            </w:r>
          </w:p>
        </w:tc>
      </w:tr>
    </w:tbl>
    <w:p>
      <w:pPr>
        <w:tabs>
          <w:tab w:pos="8066" w:val="left" w:leader="none"/>
        </w:tabs>
        <w:spacing w:before="59"/>
        <w:ind w:left="3576" w:right="0" w:firstLine="0"/>
        <w:jc w:val="left"/>
        <w:rPr>
          <w:b/>
          <w:sz w:val="18"/>
        </w:rPr>
      </w:pPr>
      <w:r>
        <w:rPr>
          <w:b/>
          <w:sz w:val="18"/>
        </w:rPr>
        <w:t>TOTAL EXPENDITURE</w:t>
        <w:tab/>
        <w:t>961,854</w:t>
      </w:r>
    </w:p>
    <w:p>
      <w:pPr>
        <w:pStyle w:val="BodyText"/>
        <w:rPr>
          <w:b/>
        </w:rPr>
      </w:pPr>
    </w:p>
    <w:p>
      <w:pPr>
        <w:pStyle w:val="BodyText"/>
        <w:spacing w:before="10"/>
        <w:rPr>
          <w:b/>
          <w:sz w:val="23"/>
        </w:rPr>
      </w:pPr>
    </w:p>
    <w:p>
      <w:pPr>
        <w:tabs>
          <w:tab w:pos="8167" w:val="left" w:leader="none"/>
        </w:tabs>
        <w:spacing w:before="0"/>
        <w:ind w:left="1428" w:right="0" w:firstLine="0"/>
        <w:jc w:val="left"/>
        <w:rPr>
          <w:b/>
          <w:sz w:val="18"/>
        </w:rPr>
      </w:pPr>
      <w:r>
        <w:rPr>
          <w:b/>
          <w:sz w:val="18"/>
        </w:rPr>
        <w:t>NET REPORTED RESULT</w:t>
        <w:tab/>
        <w:t>79,190</w:t>
      </w:r>
    </w:p>
    <w:p>
      <w:pPr>
        <w:spacing w:after="0"/>
        <w:jc w:val="left"/>
        <w:rPr>
          <w:sz w:val="18"/>
        </w:rPr>
        <w:sectPr>
          <w:pgSz w:w="12750" w:h="17680"/>
          <w:pgMar w:header="0" w:footer="907" w:top="1400" w:bottom="1100" w:left="0" w:right="0"/>
        </w:sectPr>
      </w:pPr>
    </w:p>
    <w:p>
      <w:pPr>
        <w:pStyle w:val="BodyText"/>
        <w:spacing w:before="7"/>
        <w:rPr>
          <w:b/>
          <w:sz w:val="22"/>
        </w:rPr>
      </w:pPr>
    </w:p>
    <w:p>
      <w:pPr>
        <w:spacing w:before="59"/>
        <w:ind w:left="1501" w:right="0" w:firstLine="0"/>
        <w:jc w:val="left"/>
        <w:rPr>
          <w:b/>
          <w:sz w:val="32"/>
        </w:rPr>
      </w:pPr>
      <w:bookmarkStart w:name="B and P.pdf" w:id="500"/>
      <w:bookmarkEnd w:id="500"/>
      <w:r>
        <w:rPr/>
      </w:r>
      <w:bookmarkStart w:name="AP Invoices for AP Performance Indicator" w:id="501"/>
      <w:bookmarkEnd w:id="501"/>
      <w:r>
        <w:rPr/>
      </w:r>
      <w:r>
        <w:rPr>
          <w:b/>
          <w:sz w:val="32"/>
        </w:rPr>
        <w:t>Accounts Payable Performance Indicators - 2016</w:t>
      </w:r>
    </w:p>
    <w:p>
      <w:pPr>
        <w:pStyle w:val="BodyText"/>
        <w:rPr>
          <w:b/>
          <w:sz w:val="20"/>
        </w:rPr>
      </w:pPr>
    </w:p>
    <w:p>
      <w:pPr>
        <w:pStyle w:val="BodyText"/>
        <w:rPr>
          <w:b/>
          <w:sz w:val="20"/>
        </w:rPr>
      </w:pPr>
    </w:p>
    <w:p>
      <w:pPr>
        <w:pStyle w:val="BodyText"/>
        <w:spacing w:before="6"/>
        <w:rPr>
          <w:b/>
          <w:sz w:val="24"/>
        </w:rPr>
      </w:pPr>
    </w:p>
    <w:tbl>
      <w:tblPr>
        <w:tblW w:w="0" w:type="auto"/>
        <w:jc w:val="left"/>
        <w:tblInd w:w="144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595"/>
        <w:gridCol w:w="1381"/>
        <w:gridCol w:w="1296"/>
        <w:gridCol w:w="1296"/>
        <w:gridCol w:w="1200"/>
      </w:tblGrid>
      <w:tr>
        <w:trPr>
          <w:trHeight w:val="605" w:hRule="exact"/>
        </w:trPr>
        <w:tc>
          <w:tcPr>
            <w:tcW w:w="4595" w:type="dxa"/>
          </w:tcPr>
          <w:p>
            <w:pPr>
              <w:pStyle w:val="TableParagraph"/>
              <w:jc w:val="left"/>
              <w:rPr>
                <w:b/>
                <w:sz w:val="18"/>
              </w:rPr>
            </w:pPr>
          </w:p>
          <w:p>
            <w:pPr>
              <w:pStyle w:val="TableParagraph"/>
              <w:spacing w:before="140"/>
              <w:ind w:left="37"/>
              <w:jc w:val="left"/>
              <w:rPr>
                <w:b/>
                <w:sz w:val="19"/>
              </w:rPr>
            </w:pPr>
            <w:r>
              <w:rPr>
                <w:b/>
                <w:sz w:val="19"/>
              </w:rPr>
              <w:t>Category</w:t>
            </w:r>
          </w:p>
        </w:tc>
        <w:tc>
          <w:tcPr>
            <w:tcW w:w="1381" w:type="dxa"/>
          </w:tcPr>
          <w:p>
            <w:pPr>
              <w:pStyle w:val="TableParagraph"/>
              <w:spacing w:line="271" w:lineRule="auto" w:before="79"/>
              <w:ind w:left="286" w:right="388" w:firstLine="140"/>
              <w:jc w:val="left"/>
              <w:rPr>
                <w:b/>
                <w:sz w:val="19"/>
              </w:rPr>
            </w:pPr>
            <w:r>
              <w:rPr>
                <w:b/>
                <w:sz w:val="19"/>
              </w:rPr>
              <w:t>First Quarter</w:t>
            </w:r>
          </w:p>
        </w:tc>
        <w:tc>
          <w:tcPr>
            <w:tcW w:w="1296" w:type="dxa"/>
          </w:tcPr>
          <w:p>
            <w:pPr>
              <w:pStyle w:val="TableParagraph"/>
              <w:spacing w:line="271" w:lineRule="auto" w:before="79"/>
              <w:ind w:left="201" w:right="388"/>
              <w:jc w:val="left"/>
              <w:rPr>
                <w:b/>
                <w:sz w:val="19"/>
              </w:rPr>
            </w:pPr>
            <w:r>
              <w:rPr>
                <w:b/>
                <w:sz w:val="19"/>
              </w:rPr>
              <w:t>Second Quarter</w:t>
            </w:r>
          </w:p>
        </w:tc>
        <w:tc>
          <w:tcPr>
            <w:tcW w:w="1296" w:type="dxa"/>
          </w:tcPr>
          <w:p>
            <w:pPr>
              <w:pStyle w:val="TableParagraph"/>
              <w:spacing w:line="271" w:lineRule="auto" w:before="79"/>
              <w:ind w:left="201" w:right="388" w:firstLine="108"/>
              <w:jc w:val="left"/>
              <w:rPr>
                <w:b/>
                <w:sz w:val="19"/>
              </w:rPr>
            </w:pPr>
            <w:r>
              <w:rPr>
                <w:b/>
                <w:sz w:val="19"/>
              </w:rPr>
              <w:t>Third Quarter</w:t>
            </w:r>
          </w:p>
        </w:tc>
        <w:tc>
          <w:tcPr>
            <w:tcW w:w="1200" w:type="dxa"/>
          </w:tcPr>
          <w:p>
            <w:pPr>
              <w:pStyle w:val="TableParagraph"/>
              <w:spacing w:line="271" w:lineRule="auto" w:before="79"/>
              <w:ind w:left="201" w:right="292" w:firstLine="43"/>
              <w:jc w:val="left"/>
              <w:rPr>
                <w:b/>
                <w:sz w:val="19"/>
              </w:rPr>
            </w:pPr>
            <w:r>
              <w:rPr>
                <w:b/>
                <w:sz w:val="19"/>
              </w:rPr>
              <w:t>Fourth Quarter</w:t>
            </w:r>
          </w:p>
        </w:tc>
      </w:tr>
      <w:tr>
        <w:trPr>
          <w:trHeight w:val="271" w:hRule="exact"/>
        </w:trPr>
        <w:tc>
          <w:tcPr>
            <w:tcW w:w="4595" w:type="dxa"/>
            <w:tcBorders>
              <w:bottom w:val="single" w:sz="8" w:space="0" w:color="000000"/>
            </w:tcBorders>
          </w:tcPr>
          <w:p>
            <w:pPr/>
          </w:p>
        </w:tc>
        <w:tc>
          <w:tcPr>
            <w:tcW w:w="1381" w:type="dxa"/>
            <w:tcBorders>
              <w:bottom w:val="single" w:sz="8" w:space="0" w:color="000000"/>
            </w:tcBorders>
          </w:tcPr>
          <w:p>
            <w:pPr>
              <w:pStyle w:val="TableParagraph"/>
              <w:spacing w:before="22"/>
              <w:ind w:right="88"/>
              <w:jc w:val="center"/>
              <w:rPr>
                <w:b/>
                <w:sz w:val="19"/>
              </w:rPr>
            </w:pPr>
            <w:r>
              <w:rPr>
                <w:b/>
                <w:w w:val="102"/>
                <w:sz w:val="19"/>
              </w:rPr>
              <w:t>$</w:t>
            </w:r>
          </w:p>
        </w:tc>
        <w:tc>
          <w:tcPr>
            <w:tcW w:w="1296" w:type="dxa"/>
            <w:tcBorders>
              <w:bottom w:val="single" w:sz="8" w:space="0" w:color="000000"/>
            </w:tcBorders>
          </w:tcPr>
          <w:p>
            <w:pPr>
              <w:pStyle w:val="TableParagraph"/>
              <w:spacing w:before="22"/>
              <w:ind w:right="173"/>
              <w:jc w:val="center"/>
              <w:rPr>
                <w:b/>
                <w:sz w:val="19"/>
              </w:rPr>
            </w:pPr>
            <w:r>
              <w:rPr>
                <w:b/>
                <w:w w:val="102"/>
                <w:sz w:val="19"/>
              </w:rPr>
              <w:t>$</w:t>
            </w:r>
          </w:p>
        </w:tc>
        <w:tc>
          <w:tcPr>
            <w:tcW w:w="1296" w:type="dxa"/>
            <w:tcBorders>
              <w:bottom w:val="single" w:sz="8" w:space="0" w:color="000000"/>
            </w:tcBorders>
          </w:tcPr>
          <w:p>
            <w:pPr>
              <w:pStyle w:val="TableParagraph"/>
              <w:spacing w:before="22"/>
              <w:ind w:right="173"/>
              <w:jc w:val="center"/>
              <w:rPr>
                <w:b/>
                <w:sz w:val="19"/>
              </w:rPr>
            </w:pPr>
            <w:r>
              <w:rPr>
                <w:b/>
                <w:w w:val="102"/>
                <w:sz w:val="19"/>
              </w:rPr>
              <w:t>$</w:t>
            </w:r>
          </w:p>
        </w:tc>
        <w:tc>
          <w:tcPr>
            <w:tcW w:w="1200" w:type="dxa"/>
            <w:tcBorders>
              <w:bottom w:val="single" w:sz="8" w:space="0" w:color="000000"/>
            </w:tcBorders>
          </w:tcPr>
          <w:p>
            <w:pPr>
              <w:pStyle w:val="TableParagraph"/>
              <w:spacing w:before="22"/>
              <w:ind w:right="77"/>
              <w:jc w:val="center"/>
              <w:rPr>
                <w:b/>
                <w:sz w:val="19"/>
              </w:rPr>
            </w:pPr>
            <w:r>
              <w:rPr>
                <w:b/>
                <w:w w:val="102"/>
                <w:sz w:val="19"/>
              </w:rPr>
              <w:t>$</w:t>
            </w:r>
          </w:p>
        </w:tc>
      </w:tr>
      <w:tr>
        <w:trPr>
          <w:trHeight w:val="576" w:hRule="exact"/>
        </w:trPr>
        <w:tc>
          <w:tcPr>
            <w:tcW w:w="4595" w:type="dxa"/>
            <w:tcBorders>
              <w:top w:val="single" w:sz="8" w:space="0" w:color="000000"/>
            </w:tcBorders>
          </w:tcPr>
          <w:p>
            <w:pPr>
              <w:pStyle w:val="TableParagraph"/>
              <w:spacing w:before="1"/>
              <w:jc w:val="left"/>
              <w:rPr>
                <w:b/>
                <w:sz w:val="26"/>
              </w:rPr>
            </w:pPr>
          </w:p>
          <w:p>
            <w:pPr>
              <w:pStyle w:val="TableParagraph"/>
              <w:ind w:left="37"/>
              <w:jc w:val="left"/>
              <w:rPr>
                <w:b/>
                <w:sz w:val="19"/>
              </w:rPr>
            </w:pPr>
            <w:r>
              <w:rPr>
                <w:b/>
                <w:sz w:val="19"/>
              </w:rPr>
              <w:t>1. Schedule of Accounts  Payable</w:t>
            </w:r>
          </w:p>
        </w:tc>
        <w:tc>
          <w:tcPr>
            <w:tcW w:w="1381" w:type="dxa"/>
            <w:tcBorders>
              <w:top w:val="single" w:sz="8" w:space="0" w:color="000000"/>
            </w:tcBorders>
          </w:tcPr>
          <w:p>
            <w:pPr/>
          </w:p>
        </w:tc>
        <w:tc>
          <w:tcPr>
            <w:tcW w:w="1296" w:type="dxa"/>
            <w:tcBorders>
              <w:top w:val="single" w:sz="8" w:space="0" w:color="000000"/>
            </w:tcBorders>
          </w:tcPr>
          <w:p>
            <w:pPr/>
          </w:p>
        </w:tc>
        <w:tc>
          <w:tcPr>
            <w:tcW w:w="1296" w:type="dxa"/>
            <w:tcBorders>
              <w:top w:val="single" w:sz="8" w:space="0" w:color="000000"/>
            </w:tcBorders>
          </w:tcPr>
          <w:p>
            <w:pPr/>
          </w:p>
        </w:tc>
        <w:tc>
          <w:tcPr>
            <w:tcW w:w="1200" w:type="dxa"/>
            <w:tcBorders>
              <w:top w:val="single" w:sz="8" w:space="0" w:color="000000"/>
            </w:tcBorders>
          </w:tcPr>
          <w:p>
            <w:pPr/>
          </w:p>
        </w:tc>
      </w:tr>
      <w:tr>
        <w:trPr>
          <w:trHeight w:val="278" w:hRule="exact"/>
        </w:trPr>
        <w:tc>
          <w:tcPr>
            <w:tcW w:w="4595" w:type="dxa"/>
          </w:tcPr>
          <w:p>
            <w:pPr>
              <w:pStyle w:val="TableParagraph"/>
              <w:spacing w:before="33"/>
              <w:ind w:left="34"/>
              <w:jc w:val="left"/>
              <w:rPr>
                <w:sz w:val="17"/>
              </w:rPr>
            </w:pPr>
            <w:r>
              <w:rPr>
                <w:w w:val="105"/>
                <w:sz w:val="17"/>
              </w:rPr>
              <w:t>Paid within 30 days</w:t>
            </w:r>
          </w:p>
        </w:tc>
        <w:tc>
          <w:tcPr>
            <w:tcW w:w="1381" w:type="dxa"/>
          </w:tcPr>
          <w:p>
            <w:pPr>
              <w:pStyle w:val="TableParagraph"/>
              <w:spacing w:before="33"/>
              <w:ind w:left="313"/>
              <w:jc w:val="left"/>
              <w:rPr>
                <w:sz w:val="17"/>
              </w:rPr>
            </w:pPr>
            <w:r>
              <w:rPr>
                <w:w w:val="105"/>
                <w:sz w:val="17"/>
              </w:rPr>
              <w:t>72,385,141</w:t>
            </w:r>
          </w:p>
        </w:tc>
        <w:tc>
          <w:tcPr>
            <w:tcW w:w="1296" w:type="dxa"/>
          </w:tcPr>
          <w:p>
            <w:pPr>
              <w:pStyle w:val="TableParagraph"/>
              <w:spacing w:before="33"/>
              <w:ind w:right="187"/>
              <w:rPr>
                <w:sz w:val="17"/>
              </w:rPr>
            </w:pPr>
            <w:r>
              <w:rPr>
                <w:sz w:val="17"/>
              </w:rPr>
              <w:t>84,872,544</w:t>
            </w:r>
          </w:p>
        </w:tc>
        <w:tc>
          <w:tcPr>
            <w:tcW w:w="1296" w:type="dxa"/>
          </w:tcPr>
          <w:p>
            <w:pPr>
              <w:pStyle w:val="TableParagraph"/>
              <w:spacing w:before="33"/>
              <w:ind w:left="132"/>
              <w:jc w:val="left"/>
              <w:rPr>
                <w:sz w:val="17"/>
              </w:rPr>
            </w:pPr>
            <w:r>
              <w:rPr>
                <w:w w:val="105"/>
                <w:sz w:val="17"/>
              </w:rPr>
              <w:t>102,473,974</w:t>
            </w:r>
          </w:p>
        </w:tc>
        <w:tc>
          <w:tcPr>
            <w:tcW w:w="1200" w:type="dxa"/>
          </w:tcPr>
          <w:p>
            <w:pPr>
              <w:pStyle w:val="TableParagraph"/>
              <w:spacing w:before="33"/>
              <w:ind w:right="91"/>
              <w:rPr>
                <w:sz w:val="17"/>
              </w:rPr>
            </w:pPr>
            <w:r>
              <w:rPr>
                <w:sz w:val="17"/>
              </w:rPr>
              <w:t>118,534,647</w:t>
            </w:r>
          </w:p>
        </w:tc>
      </w:tr>
      <w:tr>
        <w:trPr>
          <w:trHeight w:val="280" w:hRule="exact"/>
        </w:trPr>
        <w:tc>
          <w:tcPr>
            <w:tcW w:w="4595" w:type="dxa"/>
          </w:tcPr>
          <w:p>
            <w:pPr>
              <w:pStyle w:val="TableParagraph"/>
              <w:spacing w:before="34"/>
              <w:ind w:left="34"/>
              <w:jc w:val="left"/>
              <w:rPr>
                <w:sz w:val="17"/>
              </w:rPr>
            </w:pPr>
            <w:r>
              <w:rPr>
                <w:w w:val="105"/>
                <w:sz w:val="17"/>
              </w:rPr>
              <w:t>Paid between 31-60 days</w:t>
            </w:r>
          </w:p>
        </w:tc>
        <w:tc>
          <w:tcPr>
            <w:tcW w:w="1381" w:type="dxa"/>
          </w:tcPr>
          <w:p>
            <w:pPr>
              <w:pStyle w:val="TableParagraph"/>
              <w:spacing w:before="34"/>
              <w:ind w:left="313"/>
              <w:jc w:val="left"/>
              <w:rPr>
                <w:sz w:val="17"/>
              </w:rPr>
            </w:pPr>
            <w:r>
              <w:rPr>
                <w:w w:val="105"/>
                <w:sz w:val="17"/>
              </w:rPr>
              <w:t>33,159,239</w:t>
            </w:r>
          </w:p>
        </w:tc>
        <w:tc>
          <w:tcPr>
            <w:tcW w:w="1296" w:type="dxa"/>
          </w:tcPr>
          <w:p>
            <w:pPr>
              <w:pStyle w:val="TableParagraph"/>
              <w:spacing w:before="34"/>
              <w:ind w:right="187"/>
              <w:rPr>
                <w:sz w:val="17"/>
              </w:rPr>
            </w:pPr>
            <w:r>
              <w:rPr>
                <w:sz w:val="17"/>
              </w:rPr>
              <w:t>27,852,608</w:t>
            </w:r>
          </w:p>
        </w:tc>
        <w:tc>
          <w:tcPr>
            <w:tcW w:w="1296" w:type="dxa"/>
          </w:tcPr>
          <w:p>
            <w:pPr>
              <w:pStyle w:val="TableParagraph"/>
              <w:spacing w:before="34"/>
              <w:ind w:left="229"/>
              <w:jc w:val="left"/>
              <w:rPr>
                <w:sz w:val="17"/>
              </w:rPr>
            </w:pPr>
            <w:r>
              <w:rPr>
                <w:w w:val="105"/>
                <w:sz w:val="17"/>
              </w:rPr>
              <w:t>33,092,517</w:t>
            </w:r>
          </w:p>
        </w:tc>
        <w:tc>
          <w:tcPr>
            <w:tcW w:w="1200" w:type="dxa"/>
          </w:tcPr>
          <w:p>
            <w:pPr>
              <w:pStyle w:val="TableParagraph"/>
              <w:spacing w:before="34"/>
              <w:ind w:right="91"/>
              <w:rPr>
                <w:sz w:val="17"/>
              </w:rPr>
            </w:pPr>
            <w:r>
              <w:rPr>
                <w:sz w:val="17"/>
              </w:rPr>
              <w:t>45,880,293</w:t>
            </w:r>
          </w:p>
        </w:tc>
      </w:tr>
      <w:tr>
        <w:trPr>
          <w:trHeight w:val="280" w:hRule="exact"/>
        </w:trPr>
        <w:tc>
          <w:tcPr>
            <w:tcW w:w="4595" w:type="dxa"/>
          </w:tcPr>
          <w:p>
            <w:pPr>
              <w:pStyle w:val="TableParagraph"/>
              <w:spacing w:before="34"/>
              <w:ind w:left="34"/>
              <w:jc w:val="left"/>
              <w:rPr>
                <w:sz w:val="17"/>
              </w:rPr>
            </w:pPr>
            <w:r>
              <w:rPr>
                <w:w w:val="105"/>
                <w:sz w:val="17"/>
              </w:rPr>
              <w:t>Paid between 61-90 days</w:t>
            </w:r>
          </w:p>
        </w:tc>
        <w:tc>
          <w:tcPr>
            <w:tcW w:w="1381" w:type="dxa"/>
          </w:tcPr>
          <w:p>
            <w:pPr>
              <w:pStyle w:val="TableParagraph"/>
              <w:spacing w:before="34"/>
              <w:ind w:left="410"/>
              <w:jc w:val="left"/>
              <w:rPr>
                <w:sz w:val="17"/>
              </w:rPr>
            </w:pPr>
            <w:r>
              <w:rPr>
                <w:w w:val="105"/>
                <w:sz w:val="17"/>
              </w:rPr>
              <w:t>3,166,135</w:t>
            </w:r>
          </w:p>
        </w:tc>
        <w:tc>
          <w:tcPr>
            <w:tcW w:w="1296" w:type="dxa"/>
          </w:tcPr>
          <w:p>
            <w:pPr>
              <w:pStyle w:val="TableParagraph"/>
              <w:spacing w:before="34"/>
              <w:ind w:right="188"/>
              <w:rPr>
                <w:sz w:val="17"/>
              </w:rPr>
            </w:pPr>
            <w:r>
              <w:rPr>
                <w:sz w:val="17"/>
              </w:rPr>
              <w:t>1,942,601</w:t>
            </w:r>
          </w:p>
        </w:tc>
        <w:tc>
          <w:tcPr>
            <w:tcW w:w="1296" w:type="dxa"/>
          </w:tcPr>
          <w:p>
            <w:pPr>
              <w:pStyle w:val="TableParagraph"/>
              <w:spacing w:before="34"/>
              <w:ind w:left="326"/>
              <w:jc w:val="left"/>
              <w:rPr>
                <w:sz w:val="17"/>
              </w:rPr>
            </w:pPr>
            <w:r>
              <w:rPr>
                <w:w w:val="105"/>
                <w:sz w:val="17"/>
              </w:rPr>
              <w:t>4,610,399</w:t>
            </w:r>
          </w:p>
        </w:tc>
        <w:tc>
          <w:tcPr>
            <w:tcW w:w="1200" w:type="dxa"/>
          </w:tcPr>
          <w:p>
            <w:pPr>
              <w:pStyle w:val="TableParagraph"/>
              <w:spacing w:before="34"/>
              <w:ind w:right="92"/>
              <w:rPr>
                <w:sz w:val="17"/>
              </w:rPr>
            </w:pPr>
            <w:r>
              <w:rPr>
                <w:sz w:val="17"/>
              </w:rPr>
              <w:t>1,819,415</w:t>
            </w:r>
          </w:p>
        </w:tc>
      </w:tr>
      <w:tr>
        <w:trPr>
          <w:trHeight w:val="280" w:hRule="exact"/>
        </w:trPr>
        <w:tc>
          <w:tcPr>
            <w:tcW w:w="4595" w:type="dxa"/>
          </w:tcPr>
          <w:p>
            <w:pPr>
              <w:pStyle w:val="TableParagraph"/>
              <w:spacing w:before="34"/>
              <w:ind w:left="34"/>
              <w:jc w:val="left"/>
              <w:rPr>
                <w:sz w:val="17"/>
              </w:rPr>
            </w:pPr>
            <w:r>
              <w:rPr>
                <w:w w:val="105"/>
                <w:sz w:val="17"/>
              </w:rPr>
              <w:t>Paid between 91-120 days</w:t>
            </w:r>
          </w:p>
        </w:tc>
        <w:tc>
          <w:tcPr>
            <w:tcW w:w="1381" w:type="dxa"/>
          </w:tcPr>
          <w:p>
            <w:pPr>
              <w:pStyle w:val="TableParagraph"/>
              <w:spacing w:before="34"/>
              <w:ind w:right="188"/>
              <w:rPr>
                <w:sz w:val="17"/>
              </w:rPr>
            </w:pPr>
            <w:r>
              <w:rPr>
                <w:sz w:val="17"/>
              </w:rPr>
              <w:t>666,243</w:t>
            </w:r>
          </w:p>
        </w:tc>
        <w:tc>
          <w:tcPr>
            <w:tcW w:w="1296" w:type="dxa"/>
          </w:tcPr>
          <w:p>
            <w:pPr>
              <w:pStyle w:val="TableParagraph"/>
              <w:spacing w:before="34"/>
              <w:ind w:right="187"/>
              <w:rPr>
                <w:sz w:val="17"/>
              </w:rPr>
            </w:pPr>
            <w:r>
              <w:rPr>
                <w:sz w:val="17"/>
              </w:rPr>
              <w:t>719,451</w:t>
            </w:r>
          </w:p>
        </w:tc>
        <w:tc>
          <w:tcPr>
            <w:tcW w:w="1296" w:type="dxa"/>
          </w:tcPr>
          <w:p>
            <w:pPr>
              <w:pStyle w:val="TableParagraph"/>
              <w:spacing w:before="34"/>
              <w:ind w:right="187"/>
              <w:rPr>
                <w:sz w:val="17"/>
              </w:rPr>
            </w:pPr>
            <w:r>
              <w:rPr>
                <w:sz w:val="17"/>
              </w:rPr>
              <w:t>824,282</w:t>
            </w:r>
          </w:p>
        </w:tc>
        <w:tc>
          <w:tcPr>
            <w:tcW w:w="1200" w:type="dxa"/>
          </w:tcPr>
          <w:p>
            <w:pPr>
              <w:pStyle w:val="TableParagraph"/>
              <w:spacing w:before="34"/>
              <w:ind w:right="92"/>
              <w:rPr>
                <w:sz w:val="17"/>
              </w:rPr>
            </w:pPr>
            <w:r>
              <w:rPr>
                <w:sz w:val="17"/>
              </w:rPr>
              <w:t>651,396</w:t>
            </w:r>
          </w:p>
        </w:tc>
      </w:tr>
      <w:tr>
        <w:trPr>
          <w:trHeight w:val="280" w:hRule="exact"/>
        </w:trPr>
        <w:tc>
          <w:tcPr>
            <w:tcW w:w="4595" w:type="dxa"/>
          </w:tcPr>
          <w:p>
            <w:pPr>
              <w:pStyle w:val="TableParagraph"/>
              <w:spacing w:before="34"/>
              <w:ind w:left="34"/>
              <w:jc w:val="left"/>
              <w:rPr>
                <w:sz w:val="17"/>
              </w:rPr>
            </w:pPr>
            <w:r>
              <w:rPr>
                <w:w w:val="105"/>
                <w:sz w:val="17"/>
              </w:rPr>
              <w:t>Paid more than 120 days</w:t>
            </w:r>
          </w:p>
        </w:tc>
        <w:tc>
          <w:tcPr>
            <w:tcW w:w="1381" w:type="dxa"/>
          </w:tcPr>
          <w:p>
            <w:pPr>
              <w:pStyle w:val="TableParagraph"/>
              <w:spacing w:before="34"/>
              <w:ind w:left="410"/>
              <w:jc w:val="left"/>
              <w:rPr>
                <w:sz w:val="17"/>
              </w:rPr>
            </w:pPr>
            <w:r>
              <w:rPr>
                <w:w w:val="105"/>
                <w:sz w:val="17"/>
              </w:rPr>
              <w:t>1,060,999</w:t>
            </w:r>
          </w:p>
        </w:tc>
        <w:tc>
          <w:tcPr>
            <w:tcW w:w="1296" w:type="dxa"/>
          </w:tcPr>
          <w:p>
            <w:pPr>
              <w:pStyle w:val="TableParagraph"/>
              <w:spacing w:before="34"/>
              <w:ind w:right="188"/>
              <w:rPr>
                <w:sz w:val="17"/>
              </w:rPr>
            </w:pPr>
            <w:r>
              <w:rPr>
                <w:sz w:val="17"/>
              </w:rPr>
              <w:t>1,039,362</w:t>
            </w:r>
          </w:p>
        </w:tc>
        <w:tc>
          <w:tcPr>
            <w:tcW w:w="1296" w:type="dxa"/>
          </w:tcPr>
          <w:p>
            <w:pPr>
              <w:pStyle w:val="TableParagraph"/>
              <w:spacing w:before="34"/>
              <w:ind w:right="187"/>
              <w:rPr>
                <w:sz w:val="17"/>
              </w:rPr>
            </w:pPr>
            <w:r>
              <w:rPr>
                <w:sz w:val="17"/>
              </w:rPr>
              <w:t>681,619</w:t>
            </w:r>
          </w:p>
        </w:tc>
        <w:tc>
          <w:tcPr>
            <w:tcW w:w="1200" w:type="dxa"/>
          </w:tcPr>
          <w:p>
            <w:pPr>
              <w:pStyle w:val="TableParagraph"/>
              <w:spacing w:before="34"/>
              <w:ind w:right="91"/>
              <w:rPr>
                <w:sz w:val="17"/>
              </w:rPr>
            </w:pPr>
            <w:r>
              <w:rPr>
                <w:sz w:val="17"/>
              </w:rPr>
              <w:t>271,913</w:t>
            </w:r>
          </w:p>
        </w:tc>
      </w:tr>
      <w:tr>
        <w:trPr>
          <w:trHeight w:val="412" w:hRule="exact"/>
        </w:trPr>
        <w:tc>
          <w:tcPr>
            <w:tcW w:w="4595" w:type="dxa"/>
          </w:tcPr>
          <w:p>
            <w:pPr>
              <w:pStyle w:val="TableParagraph"/>
              <w:spacing w:before="34"/>
              <w:ind w:left="34"/>
              <w:jc w:val="left"/>
              <w:rPr>
                <w:b/>
                <w:sz w:val="17"/>
              </w:rPr>
            </w:pPr>
            <w:r>
              <w:rPr>
                <w:b/>
                <w:w w:val="105"/>
                <w:sz w:val="17"/>
              </w:rPr>
              <w:t>Total</w:t>
            </w:r>
          </w:p>
        </w:tc>
        <w:tc>
          <w:tcPr>
            <w:tcW w:w="1381" w:type="dxa"/>
          </w:tcPr>
          <w:p>
            <w:pPr>
              <w:pStyle w:val="TableParagraph"/>
              <w:spacing w:before="34"/>
              <w:ind w:left="216"/>
              <w:jc w:val="left"/>
              <w:rPr>
                <w:b/>
                <w:sz w:val="17"/>
              </w:rPr>
            </w:pPr>
            <w:r>
              <w:rPr>
                <w:b/>
                <w:w w:val="105"/>
                <w:sz w:val="17"/>
              </w:rPr>
              <w:t>110,437,757</w:t>
            </w:r>
          </w:p>
        </w:tc>
        <w:tc>
          <w:tcPr>
            <w:tcW w:w="1296" w:type="dxa"/>
          </w:tcPr>
          <w:p>
            <w:pPr>
              <w:pStyle w:val="TableParagraph"/>
              <w:spacing w:before="34"/>
              <w:ind w:right="187"/>
              <w:rPr>
                <w:b/>
                <w:sz w:val="17"/>
              </w:rPr>
            </w:pPr>
            <w:r>
              <w:rPr>
                <w:b/>
                <w:sz w:val="17"/>
              </w:rPr>
              <w:t>116,426,566</w:t>
            </w:r>
          </w:p>
        </w:tc>
        <w:tc>
          <w:tcPr>
            <w:tcW w:w="1296" w:type="dxa"/>
          </w:tcPr>
          <w:p>
            <w:pPr>
              <w:pStyle w:val="TableParagraph"/>
              <w:spacing w:before="34"/>
              <w:ind w:left="132"/>
              <w:jc w:val="left"/>
              <w:rPr>
                <w:b/>
                <w:sz w:val="17"/>
              </w:rPr>
            </w:pPr>
            <w:r>
              <w:rPr>
                <w:b/>
                <w:w w:val="105"/>
                <w:sz w:val="17"/>
              </w:rPr>
              <w:t>141,682,791</w:t>
            </w:r>
          </w:p>
        </w:tc>
        <w:tc>
          <w:tcPr>
            <w:tcW w:w="1200" w:type="dxa"/>
          </w:tcPr>
          <w:p>
            <w:pPr>
              <w:pStyle w:val="TableParagraph"/>
              <w:spacing w:before="34"/>
              <w:ind w:right="91"/>
              <w:rPr>
                <w:b/>
                <w:sz w:val="17"/>
              </w:rPr>
            </w:pPr>
            <w:r>
              <w:rPr>
                <w:b/>
                <w:sz w:val="17"/>
              </w:rPr>
              <w:t>167,157,664</w:t>
            </w:r>
          </w:p>
        </w:tc>
      </w:tr>
      <w:tr>
        <w:trPr>
          <w:trHeight w:val="429" w:hRule="exact"/>
        </w:trPr>
        <w:tc>
          <w:tcPr>
            <w:tcW w:w="4595" w:type="dxa"/>
          </w:tcPr>
          <w:p>
            <w:pPr>
              <w:pStyle w:val="TableParagraph"/>
              <w:spacing w:before="2"/>
              <w:jc w:val="left"/>
              <w:rPr>
                <w:b/>
                <w:sz w:val="14"/>
              </w:rPr>
            </w:pPr>
          </w:p>
          <w:p>
            <w:pPr>
              <w:pStyle w:val="TableParagraph"/>
              <w:ind w:left="37"/>
              <w:jc w:val="left"/>
              <w:rPr>
                <w:b/>
                <w:sz w:val="19"/>
              </w:rPr>
            </w:pPr>
            <w:r>
              <w:rPr>
                <w:b/>
                <w:sz w:val="19"/>
              </w:rPr>
              <w:t>2. Accounts Paid on</w:t>
            </w:r>
            <w:r>
              <w:rPr>
                <w:b/>
                <w:spacing w:val="52"/>
                <w:sz w:val="19"/>
              </w:rPr>
              <w:t> </w:t>
            </w:r>
            <w:r>
              <w:rPr>
                <w:b/>
                <w:sz w:val="19"/>
              </w:rPr>
              <w:t>Time</w:t>
            </w:r>
          </w:p>
        </w:tc>
        <w:tc>
          <w:tcPr>
            <w:tcW w:w="1381" w:type="dxa"/>
          </w:tcPr>
          <w:p>
            <w:pPr/>
          </w:p>
        </w:tc>
        <w:tc>
          <w:tcPr>
            <w:tcW w:w="1296" w:type="dxa"/>
          </w:tcPr>
          <w:p>
            <w:pPr/>
          </w:p>
        </w:tc>
        <w:tc>
          <w:tcPr>
            <w:tcW w:w="1296" w:type="dxa"/>
          </w:tcPr>
          <w:p>
            <w:pPr/>
          </w:p>
        </w:tc>
        <w:tc>
          <w:tcPr>
            <w:tcW w:w="1200" w:type="dxa"/>
          </w:tcPr>
          <w:p>
            <w:pPr/>
          </w:p>
        </w:tc>
      </w:tr>
      <w:tr>
        <w:trPr>
          <w:trHeight w:val="246" w:hRule="exact"/>
        </w:trPr>
        <w:tc>
          <w:tcPr>
            <w:tcW w:w="4595" w:type="dxa"/>
          </w:tcPr>
          <w:p>
            <w:pPr>
              <w:pStyle w:val="TableParagraph"/>
              <w:spacing w:before="33"/>
              <w:ind w:left="34"/>
              <w:jc w:val="left"/>
              <w:rPr>
                <w:sz w:val="17"/>
              </w:rPr>
            </w:pPr>
            <w:r>
              <w:rPr>
                <w:w w:val="105"/>
                <w:sz w:val="17"/>
              </w:rPr>
              <w:t>Target percentage of accounts paid on time</w:t>
            </w:r>
          </w:p>
        </w:tc>
        <w:tc>
          <w:tcPr>
            <w:tcW w:w="1381" w:type="dxa"/>
          </w:tcPr>
          <w:p>
            <w:pPr>
              <w:pStyle w:val="TableParagraph"/>
              <w:spacing w:before="33"/>
              <w:ind w:right="130"/>
              <w:rPr>
                <w:sz w:val="17"/>
              </w:rPr>
            </w:pPr>
            <w:r>
              <w:rPr>
                <w:sz w:val="17"/>
              </w:rPr>
              <w:t>100.0%</w:t>
            </w:r>
          </w:p>
        </w:tc>
        <w:tc>
          <w:tcPr>
            <w:tcW w:w="1296" w:type="dxa"/>
          </w:tcPr>
          <w:p>
            <w:pPr>
              <w:pStyle w:val="TableParagraph"/>
              <w:spacing w:before="33"/>
              <w:ind w:right="130"/>
              <w:rPr>
                <w:sz w:val="17"/>
              </w:rPr>
            </w:pPr>
            <w:r>
              <w:rPr>
                <w:sz w:val="17"/>
              </w:rPr>
              <w:t>100.0%</w:t>
            </w:r>
          </w:p>
        </w:tc>
        <w:tc>
          <w:tcPr>
            <w:tcW w:w="1296" w:type="dxa"/>
          </w:tcPr>
          <w:p>
            <w:pPr>
              <w:pStyle w:val="TableParagraph"/>
              <w:spacing w:before="33"/>
              <w:ind w:right="130"/>
              <w:rPr>
                <w:sz w:val="17"/>
              </w:rPr>
            </w:pPr>
            <w:r>
              <w:rPr>
                <w:sz w:val="17"/>
              </w:rPr>
              <w:t>100.0%</w:t>
            </w:r>
          </w:p>
        </w:tc>
        <w:tc>
          <w:tcPr>
            <w:tcW w:w="1200" w:type="dxa"/>
          </w:tcPr>
          <w:p>
            <w:pPr>
              <w:pStyle w:val="TableParagraph"/>
              <w:spacing w:before="33"/>
              <w:ind w:right="34"/>
              <w:rPr>
                <w:sz w:val="17"/>
              </w:rPr>
            </w:pPr>
            <w:r>
              <w:rPr>
                <w:sz w:val="17"/>
              </w:rPr>
              <w:t>100.0%</w:t>
            </w:r>
          </w:p>
        </w:tc>
      </w:tr>
      <w:tr>
        <w:trPr>
          <w:trHeight w:val="311" w:hRule="exact"/>
        </w:trPr>
        <w:tc>
          <w:tcPr>
            <w:tcW w:w="4595" w:type="dxa"/>
          </w:tcPr>
          <w:p>
            <w:pPr>
              <w:pStyle w:val="TableParagraph"/>
              <w:spacing w:before="9"/>
              <w:ind w:left="34"/>
              <w:jc w:val="left"/>
              <w:rPr>
                <w:sz w:val="11"/>
              </w:rPr>
            </w:pPr>
            <w:r>
              <w:rPr>
                <w:w w:val="105"/>
                <w:sz w:val="17"/>
              </w:rPr>
              <w:t>Actual percentage of accounts paid on time</w:t>
            </w:r>
            <w:r>
              <w:rPr>
                <w:w w:val="105"/>
                <w:position w:val="9"/>
                <w:sz w:val="11"/>
              </w:rPr>
              <w:t>#</w:t>
            </w:r>
          </w:p>
        </w:tc>
        <w:tc>
          <w:tcPr>
            <w:tcW w:w="1381" w:type="dxa"/>
          </w:tcPr>
          <w:p>
            <w:pPr>
              <w:pStyle w:val="TableParagraph"/>
              <w:spacing w:before="66"/>
              <w:ind w:right="130"/>
              <w:rPr>
                <w:sz w:val="17"/>
              </w:rPr>
            </w:pPr>
            <w:r>
              <w:rPr>
                <w:sz w:val="17"/>
              </w:rPr>
              <w:t>65.5%</w:t>
            </w:r>
          </w:p>
        </w:tc>
        <w:tc>
          <w:tcPr>
            <w:tcW w:w="1296" w:type="dxa"/>
          </w:tcPr>
          <w:p>
            <w:pPr>
              <w:pStyle w:val="TableParagraph"/>
              <w:spacing w:before="66"/>
              <w:ind w:right="130"/>
              <w:rPr>
                <w:sz w:val="17"/>
              </w:rPr>
            </w:pPr>
            <w:r>
              <w:rPr>
                <w:sz w:val="17"/>
              </w:rPr>
              <w:t>72.9%</w:t>
            </w:r>
          </w:p>
        </w:tc>
        <w:tc>
          <w:tcPr>
            <w:tcW w:w="1296" w:type="dxa"/>
          </w:tcPr>
          <w:p>
            <w:pPr>
              <w:pStyle w:val="TableParagraph"/>
              <w:spacing w:before="66"/>
              <w:ind w:right="130"/>
              <w:rPr>
                <w:sz w:val="17"/>
              </w:rPr>
            </w:pPr>
            <w:r>
              <w:rPr>
                <w:sz w:val="17"/>
              </w:rPr>
              <w:t>72.3%</w:t>
            </w:r>
          </w:p>
        </w:tc>
        <w:tc>
          <w:tcPr>
            <w:tcW w:w="1200" w:type="dxa"/>
          </w:tcPr>
          <w:p>
            <w:pPr>
              <w:pStyle w:val="TableParagraph"/>
              <w:spacing w:before="66"/>
              <w:ind w:right="34"/>
              <w:rPr>
                <w:sz w:val="17"/>
              </w:rPr>
            </w:pPr>
            <w:r>
              <w:rPr>
                <w:sz w:val="17"/>
              </w:rPr>
              <w:t>70.9%</w:t>
            </w:r>
          </w:p>
        </w:tc>
      </w:tr>
      <w:tr>
        <w:trPr>
          <w:trHeight w:val="280" w:hRule="exact"/>
        </w:trPr>
        <w:tc>
          <w:tcPr>
            <w:tcW w:w="4595" w:type="dxa"/>
          </w:tcPr>
          <w:p>
            <w:pPr>
              <w:pStyle w:val="TableParagraph"/>
              <w:spacing w:before="34"/>
              <w:ind w:left="34"/>
              <w:jc w:val="left"/>
              <w:rPr>
                <w:sz w:val="17"/>
              </w:rPr>
            </w:pPr>
            <w:r>
              <w:rPr>
                <w:w w:val="105"/>
                <w:sz w:val="17"/>
              </w:rPr>
              <w:t>Total dollar amount of accounts paid on time</w:t>
            </w:r>
          </w:p>
        </w:tc>
        <w:tc>
          <w:tcPr>
            <w:tcW w:w="1381" w:type="dxa"/>
          </w:tcPr>
          <w:p>
            <w:pPr>
              <w:pStyle w:val="TableParagraph"/>
              <w:spacing w:before="34"/>
              <w:ind w:left="313"/>
              <w:jc w:val="left"/>
              <w:rPr>
                <w:sz w:val="17"/>
              </w:rPr>
            </w:pPr>
            <w:r>
              <w:rPr>
                <w:w w:val="105"/>
                <w:sz w:val="17"/>
              </w:rPr>
              <w:t>72,385,141</w:t>
            </w:r>
          </w:p>
        </w:tc>
        <w:tc>
          <w:tcPr>
            <w:tcW w:w="1296" w:type="dxa"/>
          </w:tcPr>
          <w:p>
            <w:pPr>
              <w:pStyle w:val="TableParagraph"/>
              <w:spacing w:before="34"/>
              <w:ind w:right="187"/>
              <w:rPr>
                <w:sz w:val="17"/>
              </w:rPr>
            </w:pPr>
            <w:r>
              <w:rPr>
                <w:sz w:val="17"/>
              </w:rPr>
              <w:t>84,872,544</w:t>
            </w:r>
          </w:p>
        </w:tc>
        <w:tc>
          <w:tcPr>
            <w:tcW w:w="1296" w:type="dxa"/>
          </w:tcPr>
          <w:p>
            <w:pPr>
              <w:pStyle w:val="TableParagraph"/>
              <w:spacing w:before="34"/>
              <w:ind w:left="132"/>
              <w:jc w:val="left"/>
              <w:rPr>
                <w:sz w:val="17"/>
              </w:rPr>
            </w:pPr>
            <w:r>
              <w:rPr>
                <w:w w:val="105"/>
                <w:sz w:val="17"/>
              </w:rPr>
              <w:t>102,473,974</w:t>
            </w:r>
          </w:p>
        </w:tc>
        <w:tc>
          <w:tcPr>
            <w:tcW w:w="1200" w:type="dxa"/>
          </w:tcPr>
          <w:p>
            <w:pPr>
              <w:pStyle w:val="TableParagraph"/>
              <w:spacing w:before="34"/>
              <w:ind w:right="91"/>
              <w:rPr>
                <w:sz w:val="17"/>
              </w:rPr>
            </w:pPr>
            <w:r>
              <w:rPr>
                <w:sz w:val="17"/>
              </w:rPr>
              <w:t>118,534,647</w:t>
            </w:r>
          </w:p>
        </w:tc>
      </w:tr>
      <w:tr>
        <w:trPr>
          <w:trHeight w:val="396" w:hRule="exact"/>
        </w:trPr>
        <w:tc>
          <w:tcPr>
            <w:tcW w:w="4595" w:type="dxa"/>
          </w:tcPr>
          <w:p>
            <w:pPr>
              <w:pStyle w:val="TableParagraph"/>
              <w:spacing w:before="34"/>
              <w:ind w:left="34"/>
              <w:jc w:val="left"/>
              <w:rPr>
                <w:b/>
                <w:sz w:val="17"/>
              </w:rPr>
            </w:pPr>
            <w:r>
              <w:rPr>
                <w:b/>
                <w:w w:val="105"/>
                <w:sz w:val="17"/>
              </w:rPr>
              <w:t>Total dollar amount of accounts paid</w:t>
            </w:r>
          </w:p>
        </w:tc>
        <w:tc>
          <w:tcPr>
            <w:tcW w:w="1381" w:type="dxa"/>
          </w:tcPr>
          <w:p>
            <w:pPr>
              <w:pStyle w:val="TableParagraph"/>
              <w:spacing w:before="34"/>
              <w:ind w:left="217"/>
              <w:jc w:val="left"/>
              <w:rPr>
                <w:b/>
                <w:sz w:val="17"/>
              </w:rPr>
            </w:pPr>
            <w:r>
              <w:rPr>
                <w:b/>
                <w:w w:val="105"/>
                <w:sz w:val="17"/>
              </w:rPr>
              <w:t>110,437,757</w:t>
            </w:r>
          </w:p>
        </w:tc>
        <w:tc>
          <w:tcPr>
            <w:tcW w:w="1296" w:type="dxa"/>
          </w:tcPr>
          <w:p>
            <w:pPr>
              <w:pStyle w:val="TableParagraph"/>
              <w:spacing w:before="34"/>
              <w:ind w:right="187"/>
              <w:rPr>
                <w:b/>
                <w:sz w:val="17"/>
              </w:rPr>
            </w:pPr>
            <w:r>
              <w:rPr>
                <w:b/>
                <w:sz w:val="17"/>
              </w:rPr>
              <w:t>116,426,566</w:t>
            </w:r>
          </w:p>
        </w:tc>
        <w:tc>
          <w:tcPr>
            <w:tcW w:w="1296" w:type="dxa"/>
          </w:tcPr>
          <w:p>
            <w:pPr>
              <w:pStyle w:val="TableParagraph"/>
              <w:spacing w:before="34"/>
              <w:ind w:left="132"/>
              <w:jc w:val="left"/>
              <w:rPr>
                <w:b/>
                <w:sz w:val="17"/>
              </w:rPr>
            </w:pPr>
            <w:r>
              <w:rPr>
                <w:b/>
                <w:w w:val="105"/>
                <w:sz w:val="17"/>
              </w:rPr>
              <w:t>141,682,791</w:t>
            </w:r>
          </w:p>
        </w:tc>
        <w:tc>
          <w:tcPr>
            <w:tcW w:w="1200" w:type="dxa"/>
          </w:tcPr>
          <w:p>
            <w:pPr>
              <w:pStyle w:val="TableParagraph"/>
              <w:spacing w:before="34"/>
              <w:ind w:right="91"/>
              <w:rPr>
                <w:b/>
                <w:sz w:val="17"/>
              </w:rPr>
            </w:pPr>
            <w:r>
              <w:rPr>
                <w:b/>
                <w:sz w:val="17"/>
              </w:rPr>
              <w:t>167,157,664</w:t>
            </w:r>
          </w:p>
        </w:tc>
      </w:tr>
      <w:tr>
        <w:trPr>
          <w:trHeight w:val="459" w:hRule="exact"/>
        </w:trPr>
        <w:tc>
          <w:tcPr>
            <w:tcW w:w="4595" w:type="dxa"/>
          </w:tcPr>
          <w:p>
            <w:pPr>
              <w:pStyle w:val="TableParagraph"/>
              <w:spacing w:before="155"/>
              <w:ind w:left="24"/>
              <w:jc w:val="left"/>
              <w:rPr>
                <w:sz w:val="15"/>
              </w:rPr>
            </w:pPr>
            <w:r>
              <w:rPr>
                <w:w w:val="105"/>
                <w:position w:val="8"/>
                <w:sz w:val="10"/>
              </w:rPr>
              <w:t># </w:t>
            </w:r>
            <w:r>
              <w:rPr>
                <w:w w:val="105"/>
                <w:sz w:val="15"/>
              </w:rPr>
              <w:t>based on invoice date, not date received in Accounts Payable.</w:t>
            </w:r>
          </w:p>
        </w:tc>
        <w:tc>
          <w:tcPr>
            <w:tcW w:w="1381" w:type="dxa"/>
          </w:tcPr>
          <w:p>
            <w:pPr/>
          </w:p>
        </w:tc>
        <w:tc>
          <w:tcPr>
            <w:tcW w:w="1296" w:type="dxa"/>
          </w:tcPr>
          <w:p>
            <w:pPr/>
          </w:p>
        </w:tc>
        <w:tc>
          <w:tcPr>
            <w:tcW w:w="1296" w:type="dxa"/>
          </w:tcPr>
          <w:p>
            <w:pPr/>
          </w:p>
        </w:tc>
        <w:tc>
          <w:tcPr>
            <w:tcW w:w="1200" w:type="dxa"/>
          </w:tcPr>
          <w:p>
            <w:pPr/>
          </w:p>
        </w:tc>
      </w:tr>
    </w:tbl>
    <w:p>
      <w:pPr>
        <w:pStyle w:val="BodyText"/>
        <w:rPr>
          <w:b/>
          <w:sz w:val="20"/>
        </w:rPr>
      </w:pPr>
    </w:p>
    <w:p>
      <w:pPr>
        <w:pStyle w:val="BodyText"/>
        <w:rPr>
          <w:b/>
          <w:sz w:val="20"/>
        </w:rPr>
      </w:pPr>
    </w:p>
    <w:p>
      <w:pPr>
        <w:pStyle w:val="BodyText"/>
        <w:spacing w:before="10"/>
        <w:rPr>
          <w:b/>
          <w:sz w:val="20"/>
        </w:rPr>
      </w:pPr>
    </w:p>
    <w:p>
      <w:pPr>
        <w:spacing w:before="59"/>
        <w:ind w:left="1488" w:right="0" w:firstLine="0"/>
        <w:jc w:val="left"/>
        <w:rPr>
          <w:b/>
          <w:sz w:val="32"/>
        </w:rPr>
      </w:pPr>
      <w:r>
        <w:rPr/>
        <w:drawing>
          <wp:anchor distT="0" distB="0" distL="0" distR="0" allowOverlap="1" layoutInCell="1" locked="0" behindDoc="0" simplePos="0" relativeHeight="16672">
            <wp:simplePos x="0" y="0"/>
            <wp:positionH relativeFrom="page">
              <wp:posOffset>-1587</wp:posOffset>
            </wp:positionH>
            <wp:positionV relativeFrom="paragraph">
              <wp:posOffset>14767</wp:posOffset>
            </wp:positionV>
            <wp:extent cx="136525" cy="155575"/>
            <wp:effectExtent l="0" t="0" r="0" b="0"/>
            <wp:wrapNone/>
            <wp:docPr id="1155" name="image22.png" descr=""/>
            <wp:cNvGraphicFramePr>
              <a:graphicFrameLocks noChangeAspect="1"/>
            </wp:cNvGraphicFramePr>
            <a:graphic>
              <a:graphicData uri="http://schemas.openxmlformats.org/drawingml/2006/picture">
                <pic:pic>
                  <pic:nvPicPr>
                    <pic:cNvPr id="1156" name="image22.png"/>
                    <pic:cNvPicPr/>
                  </pic:nvPicPr>
                  <pic:blipFill>
                    <a:blip r:embed="rId28" cstate="print"/>
                    <a:stretch>
                      <a:fillRect/>
                    </a:stretch>
                  </pic:blipFill>
                  <pic:spPr>
                    <a:xfrm>
                      <a:off x="0" y="0"/>
                      <a:ext cx="136525" cy="155575"/>
                    </a:xfrm>
                    <a:prstGeom prst="rect">
                      <a:avLst/>
                    </a:prstGeom>
                  </pic:spPr>
                </pic:pic>
              </a:graphicData>
            </a:graphic>
          </wp:anchor>
        </w:drawing>
      </w:r>
      <w:r>
        <w:rPr/>
        <w:drawing>
          <wp:anchor distT="0" distB="0" distL="0" distR="0" allowOverlap="1" layoutInCell="1" locked="0" behindDoc="0" simplePos="0" relativeHeight="16696">
            <wp:simplePos x="0" y="0"/>
            <wp:positionH relativeFrom="page">
              <wp:posOffset>7957756</wp:posOffset>
            </wp:positionH>
            <wp:positionV relativeFrom="paragraph">
              <wp:posOffset>14767</wp:posOffset>
            </wp:positionV>
            <wp:extent cx="136627" cy="155575"/>
            <wp:effectExtent l="0" t="0" r="0" b="0"/>
            <wp:wrapNone/>
            <wp:docPr id="1157" name="image26.png" descr=""/>
            <wp:cNvGraphicFramePr>
              <a:graphicFrameLocks noChangeAspect="1"/>
            </wp:cNvGraphicFramePr>
            <a:graphic>
              <a:graphicData uri="http://schemas.openxmlformats.org/drawingml/2006/picture">
                <pic:pic>
                  <pic:nvPicPr>
                    <pic:cNvPr id="1158" name="image26.png"/>
                    <pic:cNvPicPr/>
                  </pic:nvPicPr>
                  <pic:blipFill>
                    <a:blip r:embed="rId45" cstate="print"/>
                    <a:stretch>
                      <a:fillRect/>
                    </a:stretch>
                  </pic:blipFill>
                  <pic:spPr>
                    <a:xfrm>
                      <a:off x="0" y="0"/>
                      <a:ext cx="136627" cy="155575"/>
                    </a:xfrm>
                    <a:prstGeom prst="rect">
                      <a:avLst/>
                    </a:prstGeom>
                  </pic:spPr>
                </pic:pic>
              </a:graphicData>
            </a:graphic>
          </wp:anchor>
        </w:drawing>
      </w:r>
      <w:r>
        <w:rPr>
          <w:b/>
          <w:sz w:val="32"/>
        </w:rPr>
        <w:t>Investment Portfolio Performance</w:t>
      </w:r>
    </w:p>
    <w:p>
      <w:pPr>
        <w:pStyle w:val="BodyText"/>
        <w:spacing w:before="1"/>
        <w:rPr>
          <w:b/>
          <w:sz w:val="25"/>
        </w:rPr>
      </w:pPr>
    </w:p>
    <w:p>
      <w:pPr>
        <w:pStyle w:val="BodyText"/>
        <w:spacing w:line="256" w:lineRule="auto" w:before="77"/>
        <w:ind w:left="1493" w:right="1881"/>
      </w:pPr>
      <w:r>
        <w:rPr/>
        <w:t>The University had $98.2 million in investments at 31 December 2016 ($85.5 million at 31 December 2015). The University increased its investment in the Acadian Australian Equity High Yield Fund during the 2016 year by $0.6 million. The underperformance of the Acadian fund occurred in the 2nd half of 2016, and is a result of the strong performance of the higher risk and higher volatility sectors such as energy, materials and banking to which the Acadian strategy has a lower exposure. On an annualised basis the return since inception is 14.37% compared to the benchmark of 12.32%. Distributions received were re-invested. The University increased its investment in a fixed income portfolio managed by JBWere during 2016 by $4.1 million. Investment performance was satisfactory and the lower yield reflected lower interest rates. Distributions received were re-invested.</w:t>
      </w:r>
    </w:p>
    <w:p>
      <w:pPr>
        <w:pStyle w:val="BodyText"/>
        <w:rPr>
          <w:sz w:val="20"/>
        </w:rPr>
      </w:pPr>
    </w:p>
    <w:p>
      <w:pPr>
        <w:pStyle w:val="BodyText"/>
        <w:rPr>
          <w:sz w:val="11"/>
        </w:rPr>
      </w:pPr>
    </w:p>
    <w:tbl>
      <w:tblPr>
        <w:tblW w:w="0" w:type="auto"/>
        <w:jc w:val="left"/>
        <w:tblInd w:w="149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017"/>
        <w:gridCol w:w="819"/>
        <w:gridCol w:w="803"/>
        <w:gridCol w:w="838"/>
        <w:gridCol w:w="784"/>
        <w:gridCol w:w="839"/>
        <w:gridCol w:w="784"/>
        <w:gridCol w:w="820"/>
        <w:gridCol w:w="803"/>
      </w:tblGrid>
      <w:tr>
        <w:trPr>
          <w:trHeight w:val="199" w:hRule="exact"/>
        </w:trPr>
        <w:tc>
          <w:tcPr>
            <w:tcW w:w="3017" w:type="dxa"/>
            <w:tcBorders>
              <w:bottom w:val="single" w:sz="5" w:space="0" w:color="000000"/>
              <w:right w:val="single" w:sz="5" w:space="0" w:color="000000"/>
            </w:tcBorders>
          </w:tcPr>
          <w:p>
            <w:pPr/>
          </w:p>
        </w:tc>
        <w:tc>
          <w:tcPr>
            <w:tcW w:w="1622" w:type="dxa"/>
            <w:gridSpan w:val="2"/>
            <w:tcBorders>
              <w:top w:val="single" w:sz="5" w:space="0" w:color="000000"/>
              <w:left w:val="single" w:sz="5" w:space="0" w:color="000000"/>
              <w:bottom w:val="single" w:sz="5" w:space="0" w:color="000000"/>
              <w:right w:val="single" w:sz="5" w:space="0" w:color="000000"/>
            </w:tcBorders>
          </w:tcPr>
          <w:p>
            <w:pPr>
              <w:pStyle w:val="TableParagraph"/>
              <w:spacing w:before="1"/>
              <w:ind w:left="641" w:right="625"/>
              <w:jc w:val="center"/>
              <w:rPr>
                <w:rFonts w:ascii="Calibri"/>
                <w:b/>
                <w:sz w:val="15"/>
              </w:rPr>
            </w:pPr>
            <w:r>
              <w:rPr>
                <w:rFonts w:ascii="Calibri"/>
                <w:b/>
                <w:sz w:val="15"/>
              </w:rPr>
              <w:t>2016</w:t>
            </w:r>
          </w:p>
        </w:tc>
        <w:tc>
          <w:tcPr>
            <w:tcW w:w="1622" w:type="dxa"/>
            <w:gridSpan w:val="2"/>
            <w:tcBorders>
              <w:top w:val="single" w:sz="5" w:space="0" w:color="000000"/>
              <w:left w:val="single" w:sz="5" w:space="0" w:color="000000"/>
              <w:bottom w:val="single" w:sz="5" w:space="0" w:color="000000"/>
              <w:right w:val="single" w:sz="5" w:space="0" w:color="000000"/>
            </w:tcBorders>
          </w:tcPr>
          <w:p>
            <w:pPr>
              <w:pStyle w:val="TableParagraph"/>
              <w:spacing w:before="1"/>
              <w:ind w:left="641" w:right="625"/>
              <w:jc w:val="center"/>
              <w:rPr>
                <w:rFonts w:ascii="Calibri"/>
                <w:b/>
                <w:sz w:val="15"/>
              </w:rPr>
            </w:pPr>
            <w:r>
              <w:rPr>
                <w:rFonts w:ascii="Calibri"/>
                <w:b/>
                <w:sz w:val="15"/>
              </w:rPr>
              <w:t>2015</w:t>
            </w:r>
          </w:p>
        </w:tc>
        <w:tc>
          <w:tcPr>
            <w:tcW w:w="1622" w:type="dxa"/>
            <w:gridSpan w:val="2"/>
            <w:tcBorders>
              <w:top w:val="single" w:sz="5" w:space="0" w:color="000000"/>
              <w:left w:val="single" w:sz="5" w:space="0" w:color="000000"/>
              <w:bottom w:val="single" w:sz="5" w:space="0" w:color="000000"/>
              <w:right w:val="single" w:sz="5" w:space="0" w:color="000000"/>
            </w:tcBorders>
          </w:tcPr>
          <w:p>
            <w:pPr>
              <w:pStyle w:val="TableParagraph"/>
              <w:spacing w:before="1"/>
              <w:ind w:left="641" w:right="625"/>
              <w:jc w:val="center"/>
              <w:rPr>
                <w:rFonts w:ascii="Calibri"/>
                <w:b/>
                <w:sz w:val="15"/>
              </w:rPr>
            </w:pPr>
            <w:r>
              <w:rPr>
                <w:rFonts w:ascii="Calibri"/>
                <w:b/>
                <w:sz w:val="15"/>
              </w:rPr>
              <w:t>2014</w:t>
            </w:r>
          </w:p>
        </w:tc>
        <w:tc>
          <w:tcPr>
            <w:tcW w:w="1622" w:type="dxa"/>
            <w:gridSpan w:val="2"/>
            <w:tcBorders>
              <w:top w:val="single" w:sz="5" w:space="0" w:color="000000"/>
              <w:left w:val="single" w:sz="5" w:space="0" w:color="000000"/>
              <w:bottom w:val="single" w:sz="5" w:space="0" w:color="000000"/>
              <w:right w:val="single" w:sz="5" w:space="0" w:color="000000"/>
            </w:tcBorders>
          </w:tcPr>
          <w:p>
            <w:pPr>
              <w:pStyle w:val="TableParagraph"/>
              <w:spacing w:before="1"/>
              <w:ind w:left="641" w:right="625"/>
              <w:jc w:val="center"/>
              <w:rPr>
                <w:rFonts w:ascii="Calibri"/>
                <w:b/>
                <w:sz w:val="15"/>
              </w:rPr>
            </w:pPr>
            <w:r>
              <w:rPr>
                <w:rFonts w:ascii="Calibri"/>
                <w:b/>
                <w:sz w:val="15"/>
              </w:rPr>
              <w:t>2013</w:t>
            </w:r>
          </w:p>
        </w:tc>
      </w:tr>
      <w:tr>
        <w:trPr>
          <w:trHeight w:val="598" w:hRule="exact"/>
        </w:trPr>
        <w:tc>
          <w:tcPr>
            <w:tcW w:w="3017" w:type="dxa"/>
            <w:tcBorders>
              <w:top w:val="single" w:sz="5" w:space="0" w:color="000000"/>
              <w:left w:val="single" w:sz="5" w:space="0" w:color="000000"/>
              <w:bottom w:val="single" w:sz="5" w:space="0" w:color="000000"/>
              <w:right w:val="single" w:sz="5" w:space="0" w:color="000000"/>
            </w:tcBorders>
          </w:tcPr>
          <w:p>
            <w:pPr>
              <w:pStyle w:val="TableParagraph"/>
              <w:spacing w:before="7"/>
              <w:jc w:val="left"/>
              <w:rPr>
                <w:sz w:val="17"/>
              </w:rPr>
            </w:pPr>
          </w:p>
          <w:p>
            <w:pPr>
              <w:pStyle w:val="TableParagraph"/>
              <w:ind w:left="19"/>
              <w:jc w:val="left"/>
              <w:rPr>
                <w:rFonts w:ascii="Calibri"/>
                <w:b/>
                <w:sz w:val="15"/>
              </w:rPr>
            </w:pPr>
            <w:r>
              <w:rPr>
                <w:rFonts w:ascii="Calibri"/>
                <w:b/>
                <w:sz w:val="15"/>
              </w:rPr>
              <w:t>Fund</w:t>
            </w:r>
          </w:p>
        </w:tc>
        <w:tc>
          <w:tcPr>
            <w:tcW w:w="1622" w:type="dxa"/>
            <w:gridSpan w:val="2"/>
            <w:tcBorders>
              <w:top w:val="single" w:sz="5" w:space="0" w:color="000000"/>
              <w:left w:val="single" w:sz="5" w:space="0" w:color="000000"/>
              <w:bottom w:val="single" w:sz="5" w:space="0" w:color="000000"/>
              <w:right w:val="single" w:sz="5" w:space="0" w:color="000000"/>
            </w:tcBorders>
          </w:tcPr>
          <w:p>
            <w:pPr>
              <w:pStyle w:val="TableParagraph"/>
              <w:tabs>
                <w:tab w:pos="849" w:val="left" w:leader="none"/>
              </w:tabs>
              <w:spacing w:line="261" w:lineRule="auto" w:before="3"/>
              <w:ind w:left="182" w:right="36" w:firstLine="14"/>
              <w:jc w:val="left"/>
              <w:rPr>
                <w:rFonts w:ascii="Calibri"/>
                <w:b/>
                <w:sz w:val="15"/>
              </w:rPr>
            </w:pPr>
            <w:r>
              <w:rPr>
                <w:rFonts w:ascii="Calibri"/>
                <w:b/>
                <w:sz w:val="15"/>
              </w:rPr>
              <w:t>Actual</w:t>
              <w:tab/>
              <w:t>Benchmark Return</w:t>
              <w:tab/>
              <w:t>Return</w:t>
            </w:r>
          </w:p>
          <w:p>
            <w:pPr>
              <w:pStyle w:val="TableParagraph"/>
              <w:tabs>
                <w:tab w:pos="1154" w:val="left" w:leader="none"/>
              </w:tabs>
              <w:spacing w:line="183" w:lineRule="exact"/>
              <w:ind w:left="343" w:right="36"/>
              <w:jc w:val="left"/>
              <w:rPr>
                <w:rFonts w:ascii="Calibri"/>
                <w:b/>
                <w:sz w:val="15"/>
              </w:rPr>
            </w:pPr>
            <w:r>
              <w:rPr>
                <w:rFonts w:ascii="Calibri"/>
                <w:b/>
                <w:sz w:val="15"/>
              </w:rPr>
              <w:t>%</w:t>
              <w:tab/>
              <w:t>%</w:t>
            </w:r>
          </w:p>
        </w:tc>
        <w:tc>
          <w:tcPr>
            <w:tcW w:w="1622" w:type="dxa"/>
            <w:gridSpan w:val="2"/>
            <w:tcBorders>
              <w:top w:val="single" w:sz="5" w:space="0" w:color="000000"/>
              <w:left w:val="single" w:sz="5" w:space="0" w:color="000000"/>
              <w:bottom w:val="single" w:sz="5" w:space="0" w:color="000000"/>
              <w:right w:val="single" w:sz="5" w:space="0" w:color="000000"/>
            </w:tcBorders>
          </w:tcPr>
          <w:p>
            <w:pPr>
              <w:pStyle w:val="TableParagraph"/>
              <w:tabs>
                <w:tab w:pos="849" w:val="left" w:leader="none"/>
              </w:tabs>
              <w:spacing w:line="261" w:lineRule="auto" w:before="3"/>
              <w:ind w:left="182" w:right="36" w:firstLine="14"/>
              <w:jc w:val="left"/>
              <w:rPr>
                <w:rFonts w:ascii="Calibri"/>
                <w:b/>
                <w:sz w:val="15"/>
              </w:rPr>
            </w:pPr>
            <w:r>
              <w:rPr>
                <w:rFonts w:ascii="Calibri"/>
                <w:b/>
                <w:sz w:val="15"/>
              </w:rPr>
              <w:t>Actual</w:t>
              <w:tab/>
              <w:t>Benchmark Return</w:t>
              <w:tab/>
              <w:t>Return</w:t>
            </w:r>
          </w:p>
          <w:p>
            <w:pPr>
              <w:pStyle w:val="TableParagraph"/>
              <w:tabs>
                <w:tab w:pos="1154" w:val="left" w:leader="none"/>
              </w:tabs>
              <w:spacing w:line="183" w:lineRule="exact"/>
              <w:ind w:left="343" w:right="36"/>
              <w:jc w:val="left"/>
              <w:rPr>
                <w:rFonts w:ascii="Calibri"/>
                <w:b/>
                <w:sz w:val="15"/>
              </w:rPr>
            </w:pPr>
            <w:r>
              <w:rPr>
                <w:rFonts w:ascii="Calibri"/>
                <w:b/>
                <w:sz w:val="15"/>
              </w:rPr>
              <w:t>%</w:t>
              <w:tab/>
              <w:t>%</w:t>
            </w:r>
          </w:p>
        </w:tc>
        <w:tc>
          <w:tcPr>
            <w:tcW w:w="1622" w:type="dxa"/>
            <w:gridSpan w:val="2"/>
            <w:tcBorders>
              <w:top w:val="single" w:sz="5" w:space="0" w:color="000000"/>
              <w:left w:val="single" w:sz="5" w:space="0" w:color="000000"/>
              <w:bottom w:val="single" w:sz="5" w:space="0" w:color="000000"/>
              <w:right w:val="single" w:sz="5" w:space="0" w:color="000000"/>
            </w:tcBorders>
          </w:tcPr>
          <w:p>
            <w:pPr>
              <w:pStyle w:val="TableParagraph"/>
              <w:tabs>
                <w:tab w:pos="849" w:val="left" w:leader="none"/>
              </w:tabs>
              <w:spacing w:line="261" w:lineRule="auto" w:before="3"/>
              <w:ind w:left="182" w:right="36" w:firstLine="14"/>
              <w:jc w:val="left"/>
              <w:rPr>
                <w:rFonts w:ascii="Calibri"/>
                <w:b/>
                <w:sz w:val="15"/>
              </w:rPr>
            </w:pPr>
            <w:r>
              <w:rPr>
                <w:rFonts w:ascii="Calibri"/>
                <w:b/>
                <w:sz w:val="15"/>
              </w:rPr>
              <w:t>Actual</w:t>
              <w:tab/>
              <w:t>Benchmark Return</w:t>
              <w:tab/>
              <w:t>Return</w:t>
            </w:r>
          </w:p>
          <w:p>
            <w:pPr>
              <w:pStyle w:val="TableParagraph"/>
              <w:tabs>
                <w:tab w:pos="1154" w:val="left" w:leader="none"/>
              </w:tabs>
              <w:spacing w:line="183" w:lineRule="exact"/>
              <w:ind w:left="343" w:right="36"/>
              <w:jc w:val="left"/>
              <w:rPr>
                <w:rFonts w:ascii="Calibri"/>
                <w:b/>
                <w:sz w:val="15"/>
              </w:rPr>
            </w:pPr>
            <w:r>
              <w:rPr>
                <w:rFonts w:ascii="Calibri"/>
                <w:b/>
                <w:sz w:val="15"/>
              </w:rPr>
              <w:t>%</w:t>
              <w:tab/>
              <w:t>%</w:t>
            </w:r>
          </w:p>
        </w:tc>
        <w:tc>
          <w:tcPr>
            <w:tcW w:w="1622" w:type="dxa"/>
            <w:gridSpan w:val="2"/>
            <w:tcBorders>
              <w:top w:val="single" w:sz="5" w:space="0" w:color="000000"/>
              <w:left w:val="single" w:sz="5" w:space="0" w:color="000000"/>
              <w:bottom w:val="single" w:sz="5" w:space="0" w:color="000000"/>
              <w:right w:val="single" w:sz="5" w:space="0" w:color="000000"/>
            </w:tcBorders>
          </w:tcPr>
          <w:p>
            <w:pPr>
              <w:pStyle w:val="TableParagraph"/>
              <w:tabs>
                <w:tab w:pos="849" w:val="left" w:leader="none"/>
              </w:tabs>
              <w:spacing w:line="261" w:lineRule="auto" w:before="3"/>
              <w:ind w:left="182" w:right="36" w:firstLine="14"/>
              <w:jc w:val="left"/>
              <w:rPr>
                <w:rFonts w:ascii="Calibri"/>
                <w:b/>
                <w:sz w:val="15"/>
              </w:rPr>
            </w:pPr>
            <w:r>
              <w:rPr>
                <w:rFonts w:ascii="Calibri"/>
                <w:b/>
                <w:sz w:val="15"/>
              </w:rPr>
              <w:t>Actual</w:t>
              <w:tab/>
              <w:t>Benchmark Return</w:t>
              <w:tab/>
              <w:t>Return</w:t>
            </w:r>
          </w:p>
          <w:p>
            <w:pPr>
              <w:pStyle w:val="TableParagraph"/>
              <w:tabs>
                <w:tab w:pos="1154" w:val="left" w:leader="none"/>
              </w:tabs>
              <w:spacing w:line="183" w:lineRule="exact"/>
              <w:ind w:left="342" w:right="36"/>
              <w:jc w:val="left"/>
              <w:rPr>
                <w:rFonts w:ascii="Calibri"/>
                <w:b/>
                <w:sz w:val="15"/>
              </w:rPr>
            </w:pPr>
            <w:r>
              <w:rPr>
                <w:rFonts w:ascii="Calibri"/>
                <w:b/>
                <w:sz w:val="15"/>
              </w:rPr>
              <w:t>%</w:t>
              <w:tab/>
              <w:t>%</w:t>
            </w:r>
          </w:p>
        </w:tc>
      </w:tr>
      <w:tr>
        <w:trPr>
          <w:trHeight w:val="206" w:hRule="exact"/>
        </w:trPr>
        <w:tc>
          <w:tcPr>
            <w:tcW w:w="3017" w:type="dxa"/>
            <w:tcBorders>
              <w:top w:val="single" w:sz="5" w:space="0" w:color="000000"/>
              <w:left w:val="single" w:sz="5" w:space="0" w:color="000000"/>
              <w:right w:val="single" w:sz="5" w:space="0" w:color="000000"/>
            </w:tcBorders>
          </w:tcPr>
          <w:p>
            <w:pPr>
              <w:pStyle w:val="TableParagraph"/>
              <w:spacing w:before="3"/>
              <w:ind w:left="19"/>
              <w:jc w:val="left"/>
              <w:rPr>
                <w:rFonts w:ascii="Calibri" w:hAnsi="Calibri"/>
                <w:b/>
                <w:i/>
                <w:sz w:val="15"/>
              </w:rPr>
            </w:pPr>
            <w:r>
              <w:rPr>
                <w:rFonts w:ascii="Calibri" w:hAnsi="Calibri"/>
                <w:b/>
                <w:i/>
                <w:sz w:val="15"/>
              </w:rPr>
              <w:t>Other Financial Assets ‐  Non‐current</w:t>
            </w:r>
          </w:p>
        </w:tc>
        <w:tc>
          <w:tcPr>
            <w:tcW w:w="819" w:type="dxa"/>
            <w:tcBorders>
              <w:top w:val="single" w:sz="5" w:space="0" w:color="000000"/>
              <w:left w:val="single" w:sz="5" w:space="0" w:color="000000"/>
            </w:tcBorders>
          </w:tcPr>
          <w:p>
            <w:pPr/>
          </w:p>
        </w:tc>
        <w:tc>
          <w:tcPr>
            <w:tcW w:w="803" w:type="dxa"/>
            <w:tcBorders>
              <w:top w:val="single" w:sz="5" w:space="0" w:color="000000"/>
              <w:right w:val="single" w:sz="5" w:space="0" w:color="000000"/>
            </w:tcBorders>
          </w:tcPr>
          <w:p>
            <w:pPr/>
          </w:p>
        </w:tc>
        <w:tc>
          <w:tcPr>
            <w:tcW w:w="838" w:type="dxa"/>
            <w:tcBorders>
              <w:top w:val="single" w:sz="5" w:space="0" w:color="000000"/>
              <w:left w:val="single" w:sz="5" w:space="0" w:color="000000"/>
            </w:tcBorders>
          </w:tcPr>
          <w:p>
            <w:pPr/>
          </w:p>
        </w:tc>
        <w:tc>
          <w:tcPr>
            <w:tcW w:w="784" w:type="dxa"/>
            <w:tcBorders>
              <w:top w:val="single" w:sz="5" w:space="0" w:color="000000"/>
              <w:right w:val="single" w:sz="5" w:space="0" w:color="000000"/>
            </w:tcBorders>
          </w:tcPr>
          <w:p>
            <w:pPr/>
          </w:p>
        </w:tc>
        <w:tc>
          <w:tcPr>
            <w:tcW w:w="839" w:type="dxa"/>
            <w:tcBorders>
              <w:top w:val="single" w:sz="5" w:space="0" w:color="000000"/>
              <w:left w:val="single" w:sz="5" w:space="0" w:color="000000"/>
            </w:tcBorders>
          </w:tcPr>
          <w:p>
            <w:pPr/>
          </w:p>
        </w:tc>
        <w:tc>
          <w:tcPr>
            <w:tcW w:w="784" w:type="dxa"/>
            <w:tcBorders>
              <w:top w:val="single" w:sz="5" w:space="0" w:color="000000"/>
              <w:right w:val="single" w:sz="5" w:space="0" w:color="000000"/>
            </w:tcBorders>
          </w:tcPr>
          <w:p>
            <w:pPr/>
          </w:p>
        </w:tc>
        <w:tc>
          <w:tcPr>
            <w:tcW w:w="820" w:type="dxa"/>
            <w:tcBorders>
              <w:top w:val="single" w:sz="5" w:space="0" w:color="000000"/>
              <w:left w:val="single" w:sz="5" w:space="0" w:color="000000"/>
            </w:tcBorders>
          </w:tcPr>
          <w:p>
            <w:pPr/>
          </w:p>
        </w:tc>
        <w:tc>
          <w:tcPr>
            <w:tcW w:w="803" w:type="dxa"/>
            <w:tcBorders>
              <w:top w:val="single" w:sz="5" w:space="0" w:color="000000"/>
              <w:right w:val="single" w:sz="5" w:space="0" w:color="000000"/>
            </w:tcBorders>
          </w:tcPr>
          <w:p>
            <w:pPr/>
          </w:p>
        </w:tc>
      </w:tr>
      <w:tr>
        <w:trPr>
          <w:trHeight w:val="227" w:hRule="exact"/>
        </w:trPr>
        <w:tc>
          <w:tcPr>
            <w:tcW w:w="3017" w:type="dxa"/>
            <w:tcBorders>
              <w:left w:val="single" w:sz="5" w:space="0" w:color="000000"/>
              <w:right w:val="single" w:sz="5" w:space="0" w:color="000000"/>
            </w:tcBorders>
          </w:tcPr>
          <w:p>
            <w:pPr>
              <w:pStyle w:val="TableParagraph"/>
              <w:spacing w:line="210" w:lineRule="exact"/>
              <w:ind w:left="19"/>
              <w:jc w:val="left"/>
              <w:rPr>
                <w:rFonts w:ascii="Calibri"/>
                <w:sz w:val="10"/>
              </w:rPr>
            </w:pPr>
            <w:r>
              <w:rPr>
                <w:rFonts w:ascii="Calibri"/>
                <w:w w:val="105"/>
                <w:sz w:val="15"/>
              </w:rPr>
              <w:t>Acadian Australian Equity High Yield Fund </w:t>
            </w:r>
            <w:r>
              <w:rPr>
                <w:rFonts w:ascii="Calibri"/>
                <w:w w:val="105"/>
                <w:position w:val="8"/>
                <w:sz w:val="10"/>
              </w:rPr>
              <w:t>4</w:t>
            </w:r>
          </w:p>
        </w:tc>
        <w:tc>
          <w:tcPr>
            <w:tcW w:w="819" w:type="dxa"/>
            <w:tcBorders>
              <w:left w:val="single" w:sz="5" w:space="0" w:color="000000"/>
            </w:tcBorders>
          </w:tcPr>
          <w:p>
            <w:pPr>
              <w:pStyle w:val="TableParagraph"/>
              <w:spacing w:before="29"/>
              <w:ind w:left="162" w:right="161"/>
              <w:jc w:val="center"/>
              <w:rPr>
                <w:rFonts w:ascii="Calibri"/>
                <w:sz w:val="15"/>
              </w:rPr>
            </w:pPr>
            <w:r>
              <w:rPr>
                <w:rFonts w:ascii="Calibri"/>
                <w:sz w:val="15"/>
              </w:rPr>
              <w:t>11.41%</w:t>
            </w:r>
          </w:p>
        </w:tc>
        <w:tc>
          <w:tcPr>
            <w:tcW w:w="803" w:type="dxa"/>
            <w:tcBorders>
              <w:right w:val="single" w:sz="5" w:space="0" w:color="000000"/>
            </w:tcBorders>
          </w:tcPr>
          <w:p>
            <w:pPr>
              <w:pStyle w:val="TableParagraph"/>
              <w:spacing w:before="29"/>
              <w:ind w:left="160" w:right="147"/>
              <w:jc w:val="center"/>
              <w:rPr>
                <w:rFonts w:ascii="Calibri"/>
                <w:sz w:val="15"/>
              </w:rPr>
            </w:pPr>
            <w:r>
              <w:rPr>
                <w:rFonts w:ascii="Calibri"/>
                <w:sz w:val="15"/>
              </w:rPr>
              <w:t>13.40%</w:t>
            </w:r>
          </w:p>
        </w:tc>
        <w:tc>
          <w:tcPr>
            <w:tcW w:w="838" w:type="dxa"/>
            <w:tcBorders>
              <w:left w:val="single" w:sz="5" w:space="0" w:color="000000"/>
            </w:tcBorders>
          </w:tcPr>
          <w:p>
            <w:pPr>
              <w:pStyle w:val="TableParagraph"/>
              <w:spacing w:before="29"/>
              <w:ind w:left="164" w:right="179"/>
              <w:jc w:val="center"/>
              <w:rPr>
                <w:rFonts w:ascii="Calibri"/>
                <w:sz w:val="15"/>
              </w:rPr>
            </w:pPr>
            <w:r>
              <w:rPr>
                <w:rFonts w:ascii="Calibri"/>
                <w:sz w:val="15"/>
              </w:rPr>
              <w:t>10.38%</w:t>
            </w:r>
          </w:p>
        </w:tc>
        <w:tc>
          <w:tcPr>
            <w:tcW w:w="784" w:type="dxa"/>
            <w:tcBorders>
              <w:right w:val="single" w:sz="5" w:space="0" w:color="000000"/>
            </w:tcBorders>
          </w:tcPr>
          <w:p>
            <w:pPr>
              <w:pStyle w:val="TableParagraph"/>
              <w:spacing w:before="29"/>
              <w:ind w:left="179" w:right="183"/>
              <w:jc w:val="center"/>
              <w:rPr>
                <w:rFonts w:ascii="Calibri"/>
                <w:sz w:val="15"/>
              </w:rPr>
            </w:pPr>
            <w:r>
              <w:rPr>
                <w:rFonts w:ascii="Calibri"/>
                <w:sz w:val="15"/>
              </w:rPr>
              <w:t>4.40%</w:t>
            </w:r>
          </w:p>
        </w:tc>
        <w:tc>
          <w:tcPr>
            <w:tcW w:w="839" w:type="dxa"/>
            <w:tcBorders>
              <w:left w:val="single" w:sz="5" w:space="0" w:color="000000"/>
            </w:tcBorders>
          </w:tcPr>
          <w:p>
            <w:pPr>
              <w:pStyle w:val="TableParagraph"/>
              <w:spacing w:before="29"/>
              <w:ind w:left="164" w:right="179"/>
              <w:jc w:val="center"/>
              <w:rPr>
                <w:rFonts w:ascii="Calibri"/>
                <w:sz w:val="15"/>
              </w:rPr>
            </w:pPr>
            <w:r>
              <w:rPr>
                <w:rFonts w:ascii="Calibri"/>
                <w:sz w:val="15"/>
              </w:rPr>
              <w:t>12.01%</w:t>
            </w:r>
          </w:p>
        </w:tc>
        <w:tc>
          <w:tcPr>
            <w:tcW w:w="784" w:type="dxa"/>
            <w:tcBorders>
              <w:right w:val="single" w:sz="5" w:space="0" w:color="000000"/>
            </w:tcBorders>
          </w:tcPr>
          <w:p>
            <w:pPr>
              <w:pStyle w:val="TableParagraph"/>
              <w:spacing w:before="29"/>
              <w:ind w:left="180" w:right="183"/>
              <w:jc w:val="center"/>
              <w:rPr>
                <w:rFonts w:ascii="Calibri"/>
                <w:sz w:val="15"/>
              </w:rPr>
            </w:pPr>
            <w:r>
              <w:rPr>
                <w:rFonts w:ascii="Calibri"/>
                <w:sz w:val="15"/>
              </w:rPr>
              <w:t>6.90%</w:t>
            </w:r>
          </w:p>
        </w:tc>
        <w:tc>
          <w:tcPr>
            <w:tcW w:w="820" w:type="dxa"/>
            <w:tcBorders>
              <w:left w:val="single" w:sz="5" w:space="0" w:color="000000"/>
            </w:tcBorders>
          </w:tcPr>
          <w:p>
            <w:pPr>
              <w:pStyle w:val="TableParagraph"/>
              <w:spacing w:before="29"/>
              <w:ind w:left="163" w:right="161"/>
              <w:jc w:val="center"/>
              <w:rPr>
                <w:rFonts w:ascii="Calibri"/>
                <w:sz w:val="15"/>
              </w:rPr>
            </w:pPr>
            <w:r>
              <w:rPr>
                <w:rFonts w:ascii="Calibri"/>
                <w:sz w:val="15"/>
              </w:rPr>
              <w:t>22.28%</w:t>
            </w:r>
          </w:p>
        </w:tc>
        <w:tc>
          <w:tcPr>
            <w:tcW w:w="803" w:type="dxa"/>
            <w:tcBorders>
              <w:right w:val="single" w:sz="5" w:space="0" w:color="000000"/>
            </w:tcBorders>
          </w:tcPr>
          <w:p>
            <w:pPr>
              <w:pStyle w:val="TableParagraph"/>
              <w:spacing w:before="29"/>
              <w:ind w:left="160" w:right="146"/>
              <w:jc w:val="center"/>
              <w:rPr>
                <w:rFonts w:ascii="Calibri"/>
                <w:sz w:val="15"/>
              </w:rPr>
            </w:pPr>
            <w:r>
              <w:rPr>
                <w:rFonts w:ascii="Calibri"/>
                <w:sz w:val="15"/>
              </w:rPr>
              <w:t>21.76%</w:t>
            </w:r>
          </w:p>
        </w:tc>
      </w:tr>
      <w:tr>
        <w:trPr>
          <w:trHeight w:val="228" w:hRule="exact"/>
        </w:trPr>
        <w:tc>
          <w:tcPr>
            <w:tcW w:w="3017" w:type="dxa"/>
            <w:tcBorders>
              <w:left w:val="single" w:sz="5" w:space="0" w:color="000000"/>
              <w:right w:val="single" w:sz="5" w:space="0" w:color="000000"/>
            </w:tcBorders>
          </w:tcPr>
          <w:p>
            <w:pPr>
              <w:pStyle w:val="TableParagraph"/>
              <w:spacing w:line="211" w:lineRule="exact"/>
              <w:ind w:left="19"/>
              <w:jc w:val="left"/>
              <w:rPr>
                <w:rFonts w:ascii="Calibri" w:hAnsi="Calibri"/>
                <w:sz w:val="10"/>
              </w:rPr>
            </w:pPr>
            <w:r>
              <w:rPr>
                <w:rFonts w:ascii="Calibri" w:hAnsi="Calibri"/>
                <w:w w:val="105"/>
                <w:sz w:val="15"/>
              </w:rPr>
              <w:t>Held To Maturity ‐ JB Were </w:t>
            </w:r>
            <w:r>
              <w:rPr>
                <w:rFonts w:ascii="Calibri" w:hAnsi="Calibri"/>
                <w:w w:val="105"/>
                <w:position w:val="8"/>
                <w:sz w:val="10"/>
              </w:rPr>
              <w:t>5</w:t>
            </w:r>
          </w:p>
        </w:tc>
        <w:tc>
          <w:tcPr>
            <w:tcW w:w="819" w:type="dxa"/>
            <w:tcBorders>
              <w:left w:val="single" w:sz="5" w:space="0" w:color="000000"/>
            </w:tcBorders>
          </w:tcPr>
          <w:p>
            <w:pPr>
              <w:pStyle w:val="TableParagraph"/>
              <w:spacing w:before="30"/>
              <w:ind w:left="162" w:right="161"/>
              <w:jc w:val="center"/>
              <w:rPr>
                <w:rFonts w:ascii="Calibri"/>
                <w:sz w:val="15"/>
              </w:rPr>
            </w:pPr>
            <w:r>
              <w:rPr>
                <w:rFonts w:ascii="Calibri"/>
                <w:sz w:val="15"/>
              </w:rPr>
              <w:t>3.50%</w:t>
            </w:r>
          </w:p>
        </w:tc>
        <w:tc>
          <w:tcPr>
            <w:tcW w:w="803" w:type="dxa"/>
            <w:tcBorders>
              <w:right w:val="single" w:sz="5" w:space="0" w:color="000000"/>
            </w:tcBorders>
          </w:tcPr>
          <w:p>
            <w:pPr>
              <w:pStyle w:val="TableParagraph"/>
              <w:spacing w:before="30"/>
              <w:ind w:left="160" w:right="147"/>
              <w:jc w:val="center"/>
              <w:rPr>
                <w:rFonts w:ascii="Calibri"/>
                <w:sz w:val="15"/>
              </w:rPr>
            </w:pPr>
            <w:r>
              <w:rPr>
                <w:rFonts w:ascii="Calibri"/>
                <w:sz w:val="15"/>
              </w:rPr>
              <w:t>2.07%</w:t>
            </w:r>
          </w:p>
        </w:tc>
        <w:tc>
          <w:tcPr>
            <w:tcW w:w="838" w:type="dxa"/>
            <w:tcBorders>
              <w:left w:val="single" w:sz="5" w:space="0" w:color="000000"/>
            </w:tcBorders>
          </w:tcPr>
          <w:p>
            <w:pPr>
              <w:pStyle w:val="TableParagraph"/>
              <w:spacing w:before="30"/>
              <w:ind w:left="164" w:right="179"/>
              <w:jc w:val="center"/>
              <w:rPr>
                <w:rFonts w:ascii="Calibri"/>
                <w:sz w:val="15"/>
              </w:rPr>
            </w:pPr>
            <w:r>
              <w:rPr>
                <w:rFonts w:ascii="Calibri"/>
                <w:sz w:val="15"/>
              </w:rPr>
              <w:t>4.04%</w:t>
            </w:r>
          </w:p>
        </w:tc>
        <w:tc>
          <w:tcPr>
            <w:tcW w:w="784" w:type="dxa"/>
            <w:tcBorders>
              <w:right w:val="single" w:sz="5" w:space="0" w:color="000000"/>
            </w:tcBorders>
          </w:tcPr>
          <w:p>
            <w:pPr>
              <w:pStyle w:val="TableParagraph"/>
              <w:spacing w:before="30"/>
              <w:ind w:left="180" w:right="183"/>
              <w:jc w:val="center"/>
              <w:rPr>
                <w:rFonts w:ascii="Calibri"/>
                <w:sz w:val="15"/>
              </w:rPr>
            </w:pPr>
            <w:r>
              <w:rPr>
                <w:rFonts w:ascii="Calibri"/>
                <w:sz w:val="15"/>
              </w:rPr>
              <w:t>2.33%</w:t>
            </w:r>
          </w:p>
        </w:tc>
        <w:tc>
          <w:tcPr>
            <w:tcW w:w="839" w:type="dxa"/>
            <w:tcBorders>
              <w:left w:val="single" w:sz="5" w:space="0" w:color="000000"/>
            </w:tcBorders>
          </w:tcPr>
          <w:p>
            <w:pPr>
              <w:pStyle w:val="TableParagraph"/>
              <w:spacing w:before="30"/>
              <w:ind w:left="164" w:right="179"/>
              <w:jc w:val="center"/>
              <w:rPr>
                <w:rFonts w:ascii="Calibri"/>
                <w:sz w:val="15"/>
              </w:rPr>
            </w:pPr>
            <w:r>
              <w:rPr>
                <w:rFonts w:ascii="Calibri"/>
                <w:sz w:val="15"/>
              </w:rPr>
              <w:t>4.76%</w:t>
            </w:r>
          </w:p>
        </w:tc>
        <w:tc>
          <w:tcPr>
            <w:tcW w:w="784" w:type="dxa"/>
            <w:tcBorders>
              <w:right w:val="single" w:sz="5" w:space="0" w:color="000000"/>
            </w:tcBorders>
          </w:tcPr>
          <w:p>
            <w:pPr>
              <w:pStyle w:val="TableParagraph"/>
              <w:spacing w:before="30"/>
              <w:ind w:left="180" w:right="182"/>
              <w:jc w:val="center"/>
              <w:rPr>
                <w:rFonts w:ascii="Calibri"/>
                <w:sz w:val="15"/>
              </w:rPr>
            </w:pPr>
            <w:r>
              <w:rPr>
                <w:rFonts w:ascii="Calibri"/>
                <w:sz w:val="15"/>
              </w:rPr>
              <w:t>2.69%</w:t>
            </w:r>
          </w:p>
        </w:tc>
        <w:tc>
          <w:tcPr>
            <w:tcW w:w="820" w:type="dxa"/>
            <w:tcBorders>
              <w:left w:val="single" w:sz="5" w:space="0" w:color="000000"/>
            </w:tcBorders>
          </w:tcPr>
          <w:p>
            <w:pPr>
              <w:pStyle w:val="TableParagraph"/>
              <w:spacing w:before="30"/>
              <w:ind w:right="67"/>
              <w:jc w:val="center"/>
              <w:rPr>
                <w:rFonts w:ascii="Calibri" w:hAnsi="Calibri"/>
                <w:sz w:val="15"/>
              </w:rPr>
            </w:pPr>
            <w:r>
              <w:rPr>
                <w:rFonts w:ascii="Calibri" w:hAnsi="Calibri"/>
                <w:w w:val="102"/>
                <w:sz w:val="15"/>
              </w:rPr>
              <w:t>‐</w:t>
            </w:r>
          </w:p>
        </w:tc>
        <w:tc>
          <w:tcPr>
            <w:tcW w:w="803" w:type="dxa"/>
            <w:tcBorders>
              <w:right w:val="single" w:sz="5" w:space="0" w:color="000000"/>
            </w:tcBorders>
          </w:tcPr>
          <w:p>
            <w:pPr>
              <w:pStyle w:val="TableParagraph"/>
              <w:spacing w:before="30"/>
              <w:ind w:right="55"/>
              <w:jc w:val="center"/>
              <w:rPr>
                <w:rFonts w:ascii="Calibri" w:hAnsi="Calibri"/>
                <w:sz w:val="15"/>
              </w:rPr>
            </w:pPr>
            <w:r>
              <w:rPr>
                <w:rFonts w:ascii="Calibri" w:hAnsi="Calibri"/>
                <w:w w:val="102"/>
                <w:sz w:val="15"/>
              </w:rPr>
              <w:t>‐</w:t>
            </w:r>
          </w:p>
        </w:tc>
      </w:tr>
      <w:tr>
        <w:trPr>
          <w:trHeight w:val="422" w:hRule="exact"/>
        </w:trPr>
        <w:tc>
          <w:tcPr>
            <w:tcW w:w="3017" w:type="dxa"/>
            <w:tcBorders>
              <w:left w:val="single" w:sz="5" w:space="0" w:color="000000"/>
              <w:bottom w:val="single" w:sz="5" w:space="0" w:color="000000"/>
              <w:right w:val="single" w:sz="5" w:space="0" w:color="000000"/>
            </w:tcBorders>
          </w:tcPr>
          <w:p>
            <w:pPr>
              <w:pStyle w:val="TableParagraph"/>
              <w:spacing w:line="211" w:lineRule="exact"/>
              <w:ind w:left="19"/>
              <w:jc w:val="left"/>
              <w:rPr>
                <w:rFonts w:ascii="Calibri"/>
                <w:sz w:val="10"/>
              </w:rPr>
            </w:pPr>
            <w:r>
              <w:rPr>
                <w:rFonts w:ascii="Calibri"/>
                <w:w w:val="105"/>
                <w:sz w:val="15"/>
              </w:rPr>
              <w:t>Unlisted Securities </w:t>
            </w:r>
            <w:r>
              <w:rPr>
                <w:rFonts w:ascii="Calibri"/>
                <w:w w:val="105"/>
                <w:position w:val="8"/>
                <w:sz w:val="10"/>
              </w:rPr>
              <w:t>6</w:t>
            </w:r>
          </w:p>
        </w:tc>
        <w:tc>
          <w:tcPr>
            <w:tcW w:w="819" w:type="dxa"/>
            <w:tcBorders>
              <w:left w:val="single" w:sz="5" w:space="0" w:color="000000"/>
              <w:bottom w:val="single" w:sz="5" w:space="0" w:color="000000"/>
            </w:tcBorders>
          </w:tcPr>
          <w:p>
            <w:pPr>
              <w:pStyle w:val="TableParagraph"/>
              <w:spacing w:before="30"/>
              <w:ind w:right="69"/>
              <w:jc w:val="center"/>
              <w:rPr>
                <w:rFonts w:ascii="Calibri" w:hAnsi="Calibri"/>
                <w:sz w:val="15"/>
              </w:rPr>
            </w:pPr>
            <w:r>
              <w:rPr>
                <w:rFonts w:ascii="Calibri" w:hAnsi="Calibri"/>
                <w:w w:val="102"/>
                <w:sz w:val="15"/>
              </w:rPr>
              <w:t>‐</w:t>
            </w:r>
          </w:p>
        </w:tc>
        <w:tc>
          <w:tcPr>
            <w:tcW w:w="803" w:type="dxa"/>
            <w:tcBorders>
              <w:bottom w:val="single" w:sz="5" w:space="0" w:color="000000"/>
              <w:right w:val="single" w:sz="5" w:space="0" w:color="000000"/>
            </w:tcBorders>
          </w:tcPr>
          <w:p>
            <w:pPr>
              <w:pStyle w:val="TableParagraph"/>
              <w:spacing w:before="30"/>
              <w:ind w:right="56"/>
              <w:jc w:val="center"/>
              <w:rPr>
                <w:rFonts w:ascii="Calibri" w:hAnsi="Calibri"/>
                <w:sz w:val="15"/>
              </w:rPr>
            </w:pPr>
            <w:r>
              <w:rPr>
                <w:rFonts w:ascii="Calibri" w:hAnsi="Calibri"/>
                <w:w w:val="102"/>
                <w:sz w:val="15"/>
              </w:rPr>
              <w:t>‐</w:t>
            </w:r>
          </w:p>
        </w:tc>
        <w:tc>
          <w:tcPr>
            <w:tcW w:w="838" w:type="dxa"/>
            <w:tcBorders>
              <w:left w:val="single" w:sz="5" w:space="0" w:color="000000"/>
              <w:bottom w:val="single" w:sz="5" w:space="0" w:color="000000"/>
            </w:tcBorders>
          </w:tcPr>
          <w:p>
            <w:pPr>
              <w:pStyle w:val="TableParagraph"/>
              <w:spacing w:before="30"/>
              <w:ind w:right="87"/>
              <w:jc w:val="center"/>
              <w:rPr>
                <w:rFonts w:ascii="Calibri" w:hAnsi="Calibri"/>
                <w:sz w:val="15"/>
              </w:rPr>
            </w:pPr>
            <w:r>
              <w:rPr>
                <w:rFonts w:ascii="Calibri" w:hAnsi="Calibri"/>
                <w:w w:val="102"/>
                <w:sz w:val="15"/>
              </w:rPr>
              <w:t>‐</w:t>
            </w:r>
          </w:p>
        </w:tc>
        <w:tc>
          <w:tcPr>
            <w:tcW w:w="784" w:type="dxa"/>
            <w:tcBorders>
              <w:bottom w:val="single" w:sz="5" w:space="0" w:color="000000"/>
              <w:right w:val="single" w:sz="5" w:space="0" w:color="000000"/>
            </w:tcBorders>
          </w:tcPr>
          <w:p>
            <w:pPr>
              <w:pStyle w:val="TableParagraph"/>
              <w:spacing w:before="30"/>
              <w:ind w:right="75"/>
              <w:jc w:val="center"/>
              <w:rPr>
                <w:rFonts w:ascii="Calibri" w:hAnsi="Calibri"/>
                <w:sz w:val="15"/>
              </w:rPr>
            </w:pPr>
            <w:r>
              <w:rPr>
                <w:rFonts w:ascii="Calibri" w:hAnsi="Calibri"/>
                <w:w w:val="102"/>
                <w:sz w:val="15"/>
              </w:rPr>
              <w:t>‐</w:t>
            </w:r>
          </w:p>
        </w:tc>
        <w:tc>
          <w:tcPr>
            <w:tcW w:w="839" w:type="dxa"/>
            <w:tcBorders>
              <w:left w:val="single" w:sz="5" w:space="0" w:color="000000"/>
              <w:bottom w:val="single" w:sz="5" w:space="0" w:color="000000"/>
            </w:tcBorders>
          </w:tcPr>
          <w:p>
            <w:pPr>
              <w:pStyle w:val="TableParagraph"/>
              <w:spacing w:before="30"/>
              <w:ind w:right="87"/>
              <w:jc w:val="center"/>
              <w:rPr>
                <w:rFonts w:ascii="Calibri" w:hAnsi="Calibri"/>
                <w:sz w:val="15"/>
              </w:rPr>
            </w:pPr>
            <w:r>
              <w:rPr>
                <w:rFonts w:ascii="Calibri" w:hAnsi="Calibri"/>
                <w:w w:val="102"/>
                <w:sz w:val="15"/>
              </w:rPr>
              <w:t>‐</w:t>
            </w:r>
          </w:p>
        </w:tc>
        <w:tc>
          <w:tcPr>
            <w:tcW w:w="784" w:type="dxa"/>
            <w:tcBorders>
              <w:bottom w:val="single" w:sz="5" w:space="0" w:color="000000"/>
              <w:right w:val="single" w:sz="5" w:space="0" w:color="000000"/>
            </w:tcBorders>
          </w:tcPr>
          <w:p>
            <w:pPr>
              <w:pStyle w:val="TableParagraph"/>
              <w:spacing w:before="30"/>
              <w:ind w:right="76"/>
              <w:jc w:val="center"/>
              <w:rPr>
                <w:rFonts w:ascii="Calibri" w:hAnsi="Calibri"/>
                <w:sz w:val="15"/>
              </w:rPr>
            </w:pPr>
            <w:r>
              <w:rPr>
                <w:rFonts w:ascii="Calibri" w:hAnsi="Calibri"/>
                <w:w w:val="102"/>
                <w:sz w:val="15"/>
              </w:rPr>
              <w:t>‐</w:t>
            </w:r>
          </w:p>
        </w:tc>
        <w:tc>
          <w:tcPr>
            <w:tcW w:w="820" w:type="dxa"/>
            <w:tcBorders>
              <w:left w:val="single" w:sz="5" w:space="0" w:color="000000"/>
              <w:bottom w:val="single" w:sz="5" w:space="0" w:color="000000"/>
            </w:tcBorders>
          </w:tcPr>
          <w:p>
            <w:pPr>
              <w:pStyle w:val="TableParagraph"/>
              <w:spacing w:before="30"/>
              <w:ind w:right="69"/>
              <w:jc w:val="center"/>
              <w:rPr>
                <w:rFonts w:ascii="Calibri" w:hAnsi="Calibri"/>
                <w:sz w:val="15"/>
              </w:rPr>
            </w:pPr>
            <w:r>
              <w:rPr>
                <w:rFonts w:ascii="Calibri" w:hAnsi="Calibri"/>
                <w:w w:val="102"/>
                <w:sz w:val="15"/>
              </w:rPr>
              <w:t>‐</w:t>
            </w:r>
          </w:p>
        </w:tc>
        <w:tc>
          <w:tcPr>
            <w:tcW w:w="803" w:type="dxa"/>
            <w:tcBorders>
              <w:bottom w:val="single" w:sz="5" w:space="0" w:color="000000"/>
              <w:right w:val="single" w:sz="5" w:space="0" w:color="000000"/>
            </w:tcBorders>
          </w:tcPr>
          <w:p>
            <w:pPr>
              <w:pStyle w:val="TableParagraph"/>
              <w:spacing w:before="30"/>
              <w:ind w:right="57"/>
              <w:jc w:val="center"/>
              <w:rPr>
                <w:rFonts w:ascii="Calibri" w:hAnsi="Calibri"/>
                <w:sz w:val="15"/>
              </w:rPr>
            </w:pPr>
            <w:r>
              <w:rPr>
                <w:rFonts w:ascii="Calibri" w:hAnsi="Calibri"/>
                <w:w w:val="102"/>
                <w:sz w:val="15"/>
              </w:rPr>
              <w:t>‐</w:t>
            </w:r>
          </w:p>
        </w:tc>
      </w:tr>
    </w:tbl>
    <w:p>
      <w:pPr>
        <w:pStyle w:val="BodyText"/>
        <w:spacing w:before="4"/>
        <w:rPr>
          <w:sz w:val="9"/>
        </w:rPr>
      </w:pPr>
    </w:p>
    <w:p>
      <w:pPr>
        <w:spacing w:before="90"/>
        <w:ind w:left="1526" w:right="0" w:firstLine="0"/>
        <w:jc w:val="left"/>
        <w:rPr>
          <w:rFonts w:ascii="Calibri" w:hAnsi="Calibri"/>
          <w:sz w:val="12"/>
        </w:rPr>
      </w:pPr>
      <w:r>
        <w:rPr>
          <w:rFonts w:ascii="Calibri" w:hAnsi="Calibri"/>
          <w:w w:val="105"/>
          <w:position w:val="6"/>
          <w:sz w:val="8"/>
        </w:rPr>
        <w:t>4  </w:t>
      </w:r>
      <w:r>
        <w:rPr>
          <w:rFonts w:ascii="Calibri" w:hAnsi="Calibri"/>
          <w:w w:val="105"/>
          <w:sz w:val="12"/>
        </w:rPr>
        <w:t>‐ Acadian Australian Equity High Yield Fund ‐ full year performance</w:t>
      </w:r>
    </w:p>
    <w:p>
      <w:pPr>
        <w:spacing w:before="31"/>
        <w:ind w:left="1526" w:right="0" w:firstLine="0"/>
        <w:jc w:val="left"/>
        <w:rPr>
          <w:rFonts w:ascii="Calibri" w:hAnsi="Calibri"/>
          <w:sz w:val="12"/>
        </w:rPr>
      </w:pPr>
      <w:r>
        <w:rPr>
          <w:rFonts w:ascii="Calibri" w:hAnsi="Calibri"/>
          <w:w w:val="105"/>
          <w:position w:val="6"/>
          <w:sz w:val="8"/>
        </w:rPr>
        <w:t>5  </w:t>
      </w:r>
      <w:r>
        <w:rPr>
          <w:rFonts w:ascii="Calibri" w:hAnsi="Calibri"/>
          <w:w w:val="105"/>
          <w:sz w:val="12"/>
        </w:rPr>
        <w:t>‐ Fixed income portfolio managed by JBWere ‐ full year performance</w:t>
      </w:r>
    </w:p>
    <w:p>
      <w:pPr>
        <w:spacing w:before="31"/>
        <w:ind w:left="1526" w:right="0" w:firstLine="0"/>
        <w:jc w:val="left"/>
        <w:rPr>
          <w:rFonts w:ascii="Calibri" w:hAnsi="Calibri"/>
          <w:sz w:val="12"/>
        </w:rPr>
      </w:pPr>
      <w:r>
        <w:rPr>
          <w:rFonts w:ascii="Calibri" w:hAnsi="Calibri"/>
          <w:w w:val="105"/>
          <w:position w:val="6"/>
          <w:sz w:val="8"/>
        </w:rPr>
        <w:t>6  </w:t>
      </w:r>
      <w:r>
        <w:rPr>
          <w:rFonts w:ascii="Calibri" w:hAnsi="Calibri"/>
          <w:w w:val="105"/>
          <w:sz w:val="12"/>
        </w:rPr>
        <w:t>‐ The University had $11.3 million in unlisted securities as at 31 December 2016 ($9.5 million at 31 December 2015) which are not measured for performance.</w:t>
      </w:r>
    </w:p>
    <w:p>
      <w:pPr>
        <w:spacing w:after="0"/>
        <w:jc w:val="left"/>
        <w:rPr>
          <w:rFonts w:ascii="Calibri" w:hAnsi="Calibri"/>
          <w:sz w:val="12"/>
        </w:rPr>
        <w:sectPr>
          <w:headerReference w:type="default" r:id="rId147"/>
          <w:pgSz w:w="12750" w:h="17680"/>
          <w:pgMar w:header="0" w:footer="907" w:top="1200" w:bottom="1100" w:left="0" w:right="0"/>
        </w:sectPr>
      </w:pPr>
    </w:p>
    <w:p>
      <w:pPr>
        <w:pStyle w:val="BodyText"/>
        <w:rPr>
          <w:rFonts w:ascii="Calibri"/>
          <w:sz w:val="20"/>
        </w:rPr>
      </w:pPr>
    </w:p>
    <w:p>
      <w:pPr>
        <w:pStyle w:val="BodyText"/>
        <w:spacing w:before="2"/>
        <w:rPr>
          <w:rFonts w:ascii="Calibri"/>
        </w:rPr>
      </w:pPr>
    </w:p>
    <w:p>
      <w:pPr>
        <w:pStyle w:val="Heading4"/>
        <w:ind w:left="1860"/>
      </w:pPr>
      <w:bookmarkStart w:name="2016 Entity Information.pdf" w:id="502"/>
      <w:bookmarkEnd w:id="502"/>
      <w:r>
        <w:rPr>
          <w:b w:val="0"/>
        </w:rPr>
      </w:r>
      <w:r>
        <w:rPr>
          <w:color w:val="0D0D0D"/>
        </w:rPr>
        <w:t>uwsconnect Ltd</w:t>
      </w:r>
    </w:p>
    <w:p>
      <w:pPr>
        <w:pStyle w:val="BodyText"/>
        <w:spacing w:line="207" w:lineRule="exact" w:before="206"/>
        <w:ind w:left="1860"/>
      </w:pPr>
      <w:r>
        <w:rPr>
          <w:color w:val="0D0D0D"/>
          <w:u w:val="single" w:color="0D0D0D"/>
        </w:rPr>
        <w:t>Principal Objectives</w:t>
      </w:r>
    </w:p>
    <w:p>
      <w:pPr>
        <w:pStyle w:val="BodyText"/>
        <w:ind w:left="1860" w:right="1995"/>
      </w:pPr>
      <w:r>
        <w:rPr>
          <w:color w:val="0D0D0D"/>
        </w:rPr>
        <w:t>The principal objective of the company is to provide food and beverage, retail, sporting and campus life facilities and services across all six of the Western Sydney University campuses.</w:t>
      </w:r>
    </w:p>
    <w:p>
      <w:pPr>
        <w:pStyle w:val="BodyText"/>
      </w:pPr>
    </w:p>
    <w:p>
      <w:pPr>
        <w:pStyle w:val="BodyText"/>
        <w:spacing w:line="207" w:lineRule="exact"/>
        <w:ind w:left="1860"/>
      </w:pPr>
      <w:r>
        <w:rPr>
          <w:color w:val="0D0D0D"/>
          <w:u w:val="single" w:color="0D0D0D"/>
        </w:rPr>
        <w:t>Principal Activities and Strategic Projects</w:t>
      </w:r>
    </w:p>
    <w:p>
      <w:pPr>
        <w:pStyle w:val="BodyText"/>
        <w:ind w:left="1859" w:right="1896"/>
      </w:pPr>
      <w:r>
        <w:rPr>
          <w:color w:val="0D0D0D"/>
        </w:rPr>
        <w:t>The principal activity of the company during the 2016 financial year was the provision of sports and leisure, retail, food and beverage, and other services to the Western Sydney University community including students, staff, alumni and residents of greater Western Sydney.</w:t>
      </w:r>
    </w:p>
    <w:p>
      <w:pPr>
        <w:pStyle w:val="BodyText"/>
      </w:pPr>
    </w:p>
    <w:p>
      <w:pPr>
        <w:pStyle w:val="BodyText"/>
        <w:ind w:left="1859"/>
      </w:pPr>
      <w:r>
        <w:rPr>
          <w:color w:val="0D0D0D"/>
          <w:u w:val="single" w:color="0D0D0D"/>
        </w:rPr>
        <w:t>Performance measures</w:t>
      </w:r>
    </w:p>
    <w:p>
      <w:pPr>
        <w:pStyle w:val="BodyText"/>
        <w:spacing w:before="4"/>
        <w:rPr>
          <w:sz w:val="13"/>
        </w:rPr>
      </w:pPr>
    </w:p>
    <w:p>
      <w:pPr>
        <w:pStyle w:val="BodyText"/>
        <w:spacing w:before="77"/>
        <w:ind w:left="1860" w:right="2425"/>
      </w:pPr>
      <w:r>
        <w:rPr>
          <w:color w:val="0D0D0D"/>
        </w:rPr>
        <w:t>The performance measures of the company are financial and non-financial related to trading in community services.</w:t>
      </w:r>
    </w:p>
    <w:p>
      <w:pPr>
        <w:pStyle w:val="BodyText"/>
        <w:spacing w:before="2"/>
      </w:pPr>
    </w:p>
    <w:tbl>
      <w:tblPr>
        <w:tblW w:w="0" w:type="auto"/>
        <w:jc w:val="left"/>
        <w:tblInd w:w="18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416"/>
        <w:gridCol w:w="1985"/>
        <w:gridCol w:w="1985"/>
        <w:gridCol w:w="1700"/>
      </w:tblGrid>
      <w:tr>
        <w:trPr>
          <w:trHeight w:val="600" w:hRule="exact"/>
        </w:trPr>
        <w:tc>
          <w:tcPr>
            <w:tcW w:w="3416" w:type="dxa"/>
          </w:tcPr>
          <w:p>
            <w:pPr>
              <w:pStyle w:val="TableParagraph"/>
              <w:spacing w:before="1"/>
              <w:jc w:val="left"/>
              <w:rPr>
                <w:sz w:val="16"/>
              </w:rPr>
            </w:pPr>
          </w:p>
          <w:p>
            <w:pPr>
              <w:pStyle w:val="TableParagraph"/>
              <w:ind w:left="98"/>
              <w:jc w:val="left"/>
              <w:rPr>
                <w:b/>
                <w:i/>
                <w:sz w:val="18"/>
              </w:rPr>
            </w:pPr>
            <w:r>
              <w:rPr>
                <w:b/>
                <w:i/>
                <w:sz w:val="18"/>
              </w:rPr>
              <w:t>Category</w:t>
            </w:r>
          </w:p>
        </w:tc>
        <w:tc>
          <w:tcPr>
            <w:tcW w:w="1985" w:type="dxa"/>
          </w:tcPr>
          <w:p>
            <w:pPr>
              <w:pStyle w:val="TableParagraph"/>
              <w:spacing w:before="1"/>
              <w:jc w:val="left"/>
              <w:rPr>
                <w:sz w:val="16"/>
              </w:rPr>
            </w:pPr>
          </w:p>
          <w:p>
            <w:pPr>
              <w:pStyle w:val="TableParagraph"/>
              <w:ind w:right="49"/>
              <w:rPr>
                <w:b/>
                <w:i/>
                <w:sz w:val="18"/>
              </w:rPr>
            </w:pPr>
            <w:r>
              <w:rPr>
                <w:b/>
                <w:i/>
                <w:sz w:val="18"/>
              </w:rPr>
              <w:t>FY 2016 Actual</w:t>
            </w:r>
          </w:p>
        </w:tc>
        <w:tc>
          <w:tcPr>
            <w:tcW w:w="1985" w:type="dxa"/>
          </w:tcPr>
          <w:p>
            <w:pPr>
              <w:pStyle w:val="TableParagraph"/>
              <w:spacing w:before="1"/>
              <w:jc w:val="left"/>
              <w:rPr>
                <w:sz w:val="16"/>
              </w:rPr>
            </w:pPr>
          </w:p>
          <w:p>
            <w:pPr>
              <w:pStyle w:val="TableParagraph"/>
              <w:ind w:right="50"/>
              <w:rPr>
                <w:b/>
                <w:i/>
                <w:sz w:val="18"/>
              </w:rPr>
            </w:pPr>
            <w:r>
              <w:rPr>
                <w:b/>
                <w:i/>
                <w:sz w:val="18"/>
              </w:rPr>
              <w:t>Annual 2016 Budget</w:t>
            </w:r>
          </w:p>
        </w:tc>
        <w:tc>
          <w:tcPr>
            <w:tcW w:w="1700" w:type="dxa"/>
          </w:tcPr>
          <w:p>
            <w:pPr>
              <w:pStyle w:val="TableParagraph"/>
              <w:spacing w:before="82"/>
              <w:ind w:left="857" w:right="32" w:hanging="179"/>
              <w:jc w:val="left"/>
              <w:rPr>
                <w:b/>
                <w:i/>
                <w:sz w:val="18"/>
              </w:rPr>
            </w:pPr>
            <w:r>
              <w:rPr>
                <w:b/>
                <w:i/>
                <w:sz w:val="18"/>
              </w:rPr>
              <w:t>% Full year </w:t>
            </w:r>
            <w:r>
              <w:rPr>
                <w:b/>
                <w:i/>
                <w:sz w:val="18"/>
              </w:rPr>
              <w:t>achieved</w:t>
            </w:r>
          </w:p>
        </w:tc>
      </w:tr>
      <w:tr>
        <w:trPr>
          <w:trHeight w:val="290" w:hRule="exact"/>
        </w:trPr>
        <w:tc>
          <w:tcPr>
            <w:tcW w:w="3416" w:type="dxa"/>
          </w:tcPr>
          <w:p>
            <w:pPr>
              <w:pStyle w:val="TableParagraph"/>
              <w:spacing w:before="62"/>
              <w:ind w:left="98"/>
              <w:jc w:val="left"/>
              <w:rPr>
                <w:sz w:val="18"/>
              </w:rPr>
            </w:pPr>
            <w:r>
              <w:rPr>
                <w:sz w:val="18"/>
              </w:rPr>
              <w:t>Revenue</w:t>
            </w:r>
          </w:p>
        </w:tc>
        <w:tc>
          <w:tcPr>
            <w:tcW w:w="1985" w:type="dxa"/>
          </w:tcPr>
          <w:p>
            <w:pPr>
              <w:pStyle w:val="TableParagraph"/>
              <w:spacing w:before="62"/>
              <w:ind w:right="50"/>
              <w:rPr>
                <w:sz w:val="18"/>
              </w:rPr>
            </w:pPr>
            <w:r>
              <w:rPr>
                <w:sz w:val="18"/>
              </w:rPr>
              <w:t>$21,425,022</w:t>
            </w:r>
          </w:p>
        </w:tc>
        <w:tc>
          <w:tcPr>
            <w:tcW w:w="1985" w:type="dxa"/>
          </w:tcPr>
          <w:p>
            <w:pPr>
              <w:pStyle w:val="TableParagraph"/>
              <w:spacing w:before="62"/>
              <w:ind w:right="51"/>
              <w:rPr>
                <w:sz w:val="18"/>
              </w:rPr>
            </w:pPr>
            <w:r>
              <w:rPr>
                <w:sz w:val="18"/>
              </w:rPr>
              <w:t>$19,998,824</w:t>
            </w:r>
          </w:p>
        </w:tc>
        <w:tc>
          <w:tcPr>
            <w:tcW w:w="1700" w:type="dxa"/>
          </w:tcPr>
          <w:p>
            <w:pPr>
              <w:pStyle w:val="TableParagraph"/>
              <w:spacing w:before="62"/>
              <w:ind w:right="51"/>
              <w:rPr>
                <w:sz w:val="18"/>
              </w:rPr>
            </w:pPr>
            <w:r>
              <w:rPr>
                <w:sz w:val="18"/>
              </w:rPr>
              <w:t>107%</w:t>
            </w:r>
          </w:p>
        </w:tc>
      </w:tr>
      <w:tr>
        <w:trPr>
          <w:trHeight w:val="290" w:hRule="exact"/>
        </w:trPr>
        <w:tc>
          <w:tcPr>
            <w:tcW w:w="3416" w:type="dxa"/>
          </w:tcPr>
          <w:p>
            <w:pPr>
              <w:pStyle w:val="TableParagraph"/>
              <w:spacing w:before="61"/>
              <w:ind w:left="98"/>
              <w:jc w:val="left"/>
              <w:rPr>
                <w:sz w:val="18"/>
              </w:rPr>
            </w:pPr>
            <w:r>
              <w:rPr>
                <w:sz w:val="18"/>
              </w:rPr>
              <w:t>Expenses</w:t>
            </w:r>
          </w:p>
        </w:tc>
        <w:tc>
          <w:tcPr>
            <w:tcW w:w="1985" w:type="dxa"/>
          </w:tcPr>
          <w:p>
            <w:pPr>
              <w:pStyle w:val="TableParagraph"/>
              <w:spacing w:before="61"/>
              <w:ind w:right="50"/>
              <w:rPr>
                <w:sz w:val="18"/>
              </w:rPr>
            </w:pPr>
            <w:r>
              <w:rPr>
                <w:sz w:val="18"/>
              </w:rPr>
              <w:t>$22,979,514</w:t>
            </w:r>
          </w:p>
        </w:tc>
        <w:tc>
          <w:tcPr>
            <w:tcW w:w="1985" w:type="dxa"/>
          </w:tcPr>
          <w:p>
            <w:pPr>
              <w:pStyle w:val="TableParagraph"/>
              <w:spacing w:before="61"/>
              <w:ind w:right="51"/>
              <w:rPr>
                <w:sz w:val="18"/>
              </w:rPr>
            </w:pPr>
            <w:r>
              <w:rPr>
                <w:sz w:val="18"/>
              </w:rPr>
              <w:t>$19,722,584</w:t>
            </w:r>
          </w:p>
        </w:tc>
        <w:tc>
          <w:tcPr>
            <w:tcW w:w="1700" w:type="dxa"/>
          </w:tcPr>
          <w:p>
            <w:pPr>
              <w:pStyle w:val="TableParagraph"/>
              <w:spacing w:before="61"/>
              <w:ind w:right="51"/>
              <w:rPr>
                <w:sz w:val="18"/>
              </w:rPr>
            </w:pPr>
            <w:r>
              <w:rPr>
                <w:sz w:val="18"/>
              </w:rPr>
              <w:t>117%</w:t>
            </w:r>
          </w:p>
        </w:tc>
      </w:tr>
      <w:tr>
        <w:trPr>
          <w:trHeight w:val="289" w:hRule="exact"/>
        </w:trPr>
        <w:tc>
          <w:tcPr>
            <w:tcW w:w="3416" w:type="dxa"/>
          </w:tcPr>
          <w:p>
            <w:pPr>
              <w:pStyle w:val="TableParagraph"/>
              <w:spacing w:before="60"/>
              <w:ind w:left="98"/>
              <w:jc w:val="left"/>
              <w:rPr>
                <w:b/>
                <w:sz w:val="18"/>
              </w:rPr>
            </w:pPr>
            <w:r>
              <w:rPr>
                <w:b/>
                <w:sz w:val="18"/>
              </w:rPr>
              <w:t>Operating Surplus/(Deficit)</w:t>
            </w:r>
          </w:p>
        </w:tc>
        <w:tc>
          <w:tcPr>
            <w:tcW w:w="1985" w:type="dxa"/>
          </w:tcPr>
          <w:p>
            <w:pPr>
              <w:pStyle w:val="TableParagraph"/>
              <w:spacing w:before="60"/>
              <w:ind w:right="51"/>
              <w:rPr>
                <w:b/>
                <w:sz w:val="18"/>
              </w:rPr>
            </w:pPr>
            <w:r>
              <w:rPr>
                <w:b/>
                <w:sz w:val="18"/>
              </w:rPr>
              <w:t>($1,554,492)</w:t>
            </w:r>
          </w:p>
        </w:tc>
        <w:tc>
          <w:tcPr>
            <w:tcW w:w="1985" w:type="dxa"/>
          </w:tcPr>
          <w:p>
            <w:pPr>
              <w:pStyle w:val="TableParagraph"/>
              <w:spacing w:before="60"/>
              <w:ind w:right="51"/>
              <w:rPr>
                <w:b/>
                <w:sz w:val="18"/>
              </w:rPr>
            </w:pPr>
            <w:r>
              <w:rPr>
                <w:b/>
                <w:sz w:val="18"/>
              </w:rPr>
              <w:t>$276,240</w:t>
            </w:r>
          </w:p>
        </w:tc>
        <w:tc>
          <w:tcPr>
            <w:tcW w:w="1700" w:type="dxa"/>
          </w:tcPr>
          <w:p>
            <w:pPr>
              <w:pStyle w:val="TableParagraph"/>
              <w:spacing w:before="61"/>
              <w:ind w:right="52"/>
              <w:rPr>
                <w:sz w:val="18"/>
              </w:rPr>
            </w:pPr>
            <w:r>
              <w:rPr>
                <w:sz w:val="18"/>
              </w:rPr>
              <w:t>0%</w:t>
            </w:r>
          </w:p>
        </w:tc>
      </w:tr>
      <w:tr>
        <w:trPr>
          <w:trHeight w:val="227" w:hRule="exact"/>
        </w:trPr>
        <w:tc>
          <w:tcPr>
            <w:tcW w:w="3416" w:type="dxa"/>
          </w:tcPr>
          <w:p>
            <w:pPr>
              <w:pStyle w:val="TableParagraph"/>
              <w:spacing w:line="206" w:lineRule="exact"/>
              <w:ind w:left="98"/>
              <w:jc w:val="left"/>
              <w:rPr>
                <w:sz w:val="18"/>
              </w:rPr>
            </w:pPr>
            <w:r>
              <w:rPr>
                <w:sz w:val="18"/>
              </w:rPr>
              <w:t>Accumulated Retained Earnings</w:t>
            </w:r>
          </w:p>
        </w:tc>
        <w:tc>
          <w:tcPr>
            <w:tcW w:w="1985" w:type="dxa"/>
          </w:tcPr>
          <w:p>
            <w:pPr>
              <w:pStyle w:val="TableParagraph"/>
              <w:spacing w:line="206" w:lineRule="exact"/>
              <w:ind w:right="51"/>
              <w:rPr>
                <w:sz w:val="18"/>
              </w:rPr>
            </w:pPr>
            <w:r>
              <w:rPr>
                <w:sz w:val="18"/>
              </w:rPr>
              <w:t>($4,339,244)</w:t>
            </w:r>
          </w:p>
        </w:tc>
        <w:tc>
          <w:tcPr>
            <w:tcW w:w="1985" w:type="dxa"/>
          </w:tcPr>
          <w:p>
            <w:pPr/>
          </w:p>
        </w:tc>
        <w:tc>
          <w:tcPr>
            <w:tcW w:w="1700" w:type="dxa"/>
          </w:tcPr>
          <w:p>
            <w:pPr/>
          </w:p>
        </w:tc>
      </w:tr>
    </w:tbl>
    <w:p>
      <w:pPr>
        <w:pStyle w:val="BodyText"/>
        <w:spacing w:before="3"/>
        <w:rPr>
          <w:sz w:val="11"/>
        </w:rPr>
      </w:pPr>
    </w:p>
    <w:p>
      <w:pPr>
        <w:pStyle w:val="BodyText"/>
        <w:spacing w:before="77"/>
        <w:ind w:left="1859" w:right="2295"/>
      </w:pPr>
      <w:r>
        <w:rPr/>
        <w:t>Financial KPI’s were not achieved with the budgeted operating surplus not met due to higher expenses than budget; primarily due to decline in student numbers in addition to increase in cost of raw materials and consumables used.</w:t>
      </w:r>
    </w:p>
    <w:p>
      <w:pPr>
        <w:pStyle w:val="BodyText"/>
      </w:pPr>
    </w:p>
    <w:p>
      <w:pPr>
        <w:pStyle w:val="BodyText"/>
        <w:ind w:left="1859" w:right="1806"/>
      </w:pPr>
      <w:r>
        <w:rPr/>
        <w:t>Non-financial KPI’s related primarily to the centralisation of shared services, including Finance and Administration, IT, Visual Communications and Human Resources, and inventory reduction.</w:t>
      </w:r>
    </w:p>
    <w:p>
      <w:pPr>
        <w:pStyle w:val="BodyText"/>
      </w:pPr>
    </w:p>
    <w:p>
      <w:pPr>
        <w:pStyle w:val="BodyText"/>
        <w:ind w:left="1859"/>
      </w:pPr>
      <w:r>
        <w:rPr/>
        <w:drawing>
          <wp:anchor distT="0" distB="0" distL="0" distR="0" allowOverlap="1" layoutInCell="1" locked="0" behindDoc="0" simplePos="0" relativeHeight="16720">
            <wp:simplePos x="0" y="0"/>
            <wp:positionH relativeFrom="page">
              <wp:posOffset>-1587</wp:posOffset>
            </wp:positionH>
            <wp:positionV relativeFrom="paragraph">
              <wp:posOffset>22316</wp:posOffset>
            </wp:positionV>
            <wp:extent cx="136525" cy="155575"/>
            <wp:effectExtent l="0" t="0" r="0" b="0"/>
            <wp:wrapNone/>
            <wp:docPr id="1161" name="image22.png" descr=""/>
            <wp:cNvGraphicFramePr>
              <a:graphicFrameLocks noChangeAspect="1"/>
            </wp:cNvGraphicFramePr>
            <a:graphic>
              <a:graphicData uri="http://schemas.openxmlformats.org/drawingml/2006/picture">
                <pic:pic>
                  <pic:nvPicPr>
                    <pic:cNvPr id="1162" name="image22.png"/>
                    <pic:cNvPicPr/>
                  </pic:nvPicPr>
                  <pic:blipFill>
                    <a:blip r:embed="rId28" cstate="print"/>
                    <a:stretch>
                      <a:fillRect/>
                    </a:stretch>
                  </pic:blipFill>
                  <pic:spPr>
                    <a:xfrm>
                      <a:off x="0" y="0"/>
                      <a:ext cx="136525" cy="155575"/>
                    </a:xfrm>
                    <a:prstGeom prst="rect">
                      <a:avLst/>
                    </a:prstGeom>
                  </pic:spPr>
                </pic:pic>
              </a:graphicData>
            </a:graphic>
          </wp:anchor>
        </w:drawing>
      </w:r>
      <w:r>
        <w:rPr/>
        <w:drawing>
          <wp:anchor distT="0" distB="0" distL="0" distR="0" allowOverlap="1" layoutInCell="1" locked="0" behindDoc="0" simplePos="0" relativeHeight="16744">
            <wp:simplePos x="0" y="0"/>
            <wp:positionH relativeFrom="page">
              <wp:posOffset>7957756</wp:posOffset>
            </wp:positionH>
            <wp:positionV relativeFrom="paragraph">
              <wp:posOffset>22316</wp:posOffset>
            </wp:positionV>
            <wp:extent cx="136627" cy="155575"/>
            <wp:effectExtent l="0" t="0" r="0" b="0"/>
            <wp:wrapNone/>
            <wp:docPr id="1163" name="image26.png" descr=""/>
            <wp:cNvGraphicFramePr>
              <a:graphicFrameLocks noChangeAspect="1"/>
            </wp:cNvGraphicFramePr>
            <a:graphic>
              <a:graphicData uri="http://schemas.openxmlformats.org/drawingml/2006/picture">
                <pic:pic>
                  <pic:nvPicPr>
                    <pic:cNvPr id="1164" name="image26.png"/>
                    <pic:cNvPicPr/>
                  </pic:nvPicPr>
                  <pic:blipFill>
                    <a:blip r:embed="rId45" cstate="print"/>
                    <a:stretch>
                      <a:fillRect/>
                    </a:stretch>
                  </pic:blipFill>
                  <pic:spPr>
                    <a:xfrm>
                      <a:off x="0" y="0"/>
                      <a:ext cx="136627" cy="155575"/>
                    </a:xfrm>
                    <a:prstGeom prst="rect">
                      <a:avLst/>
                    </a:prstGeom>
                  </pic:spPr>
                </pic:pic>
              </a:graphicData>
            </a:graphic>
          </wp:anchor>
        </w:drawing>
      </w:r>
      <w:r>
        <w:rPr>
          <w:color w:val="0D0D0D"/>
        </w:rPr>
        <w:t>As a key provider of student services uwsconnect receives some ongoing financial support from the University.</w:t>
      </w:r>
    </w:p>
    <w:p>
      <w:pPr>
        <w:pStyle w:val="BodyText"/>
      </w:pPr>
    </w:p>
    <w:p>
      <w:pPr>
        <w:pStyle w:val="BodyText"/>
        <w:ind w:left="1859"/>
      </w:pPr>
      <w:r>
        <w:rPr>
          <w:u w:val="single"/>
        </w:rPr>
        <w:t>Management and Operations</w:t>
      </w:r>
    </w:p>
    <w:p>
      <w:pPr>
        <w:pStyle w:val="BodyText"/>
        <w:ind w:left="1860" w:right="2225"/>
      </w:pPr>
      <w:r>
        <w:rPr/>
        <w:t>uwsconnect Ltd is a wholly owned entity of Western Sydney University. An independent Board of Directors is responsible for the overall operations of the Company.</w:t>
      </w:r>
    </w:p>
    <w:p>
      <w:pPr>
        <w:pStyle w:val="BodyText"/>
      </w:pPr>
    </w:p>
    <w:p>
      <w:pPr>
        <w:pStyle w:val="Heading4"/>
        <w:spacing w:before="116"/>
        <w:ind w:left="1860"/>
      </w:pPr>
      <w:r>
        <w:rPr>
          <w:color w:val="0D0D0D"/>
        </w:rPr>
        <w:t>UWS Early Learning Ltd</w:t>
      </w:r>
    </w:p>
    <w:p>
      <w:pPr>
        <w:pStyle w:val="BodyText"/>
        <w:spacing w:line="207" w:lineRule="exact" w:before="206"/>
        <w:ind w:left="1860"/>
      </w:pPr>
      <w:r>
        <w:rPr>
          <w:u w:val="single"/>
        </w:rPr>
        <w:t>Principal Objectives</w:t>
      </w:r>
    </w:p>
    <w:p>
      <w:pPr>
        <w:pStyle w:val="BodyText"/>
        <w:ind w:left="1859" w:right="2035"/>
      </w:pPr>
      <w:r>
        <w:rPr/>
        <w:t>The principal objective of the Company is to provide affordable, high quality early childhood care and education for the children of Western Sydney University staff, students and the local community.</w:t>
      </w:r>
    </w:p>
    <w:p>
      <w:pPr>
        <w:pStyle w:val="BodyText"/>
      </w:pPr>
    </w:p>
    <w:p>
      <w:pPr>
        <w:pStyle w:val="BodyText"/>
        <w:spacing w:line="207" w:lineRule="exact"/>
        <w:ind w:left="1859"/>
      </w:pPr>
      <w:r>
        <w:rPr>
          <w:u w:val="single"/>
        </w:rPr>
        <w:t>Principal Activities and Strategic Projects</w:t>
      </w:r>
    </w:p>
    <w:p>
      <w:pPr>
        <w:pStyle w:val="BodyText"/>
        <w:ind w:left="1905" w:right="1862"/>
      </w:pPr>
      <w:r>
        <w:rPr>
          <w:color w:val="0D0D0D"/>
        </w:rPr>
        <w:t>To provide affordable, high quality early childhood care and education for the children of Western Sydney University staff, students and the local community. The provision of this service is campus based to enable staff, students and the local community the greatest opportunity to balance work and study commitments with childrearing.</w:t>
      </w:r>
    </w:p>
    <w:p>
      <w:pPr>
        <w:pStyle w:val="BodyText"/>
      </w:pPr>
    </w:p>
    <w:p>
      <w:pPr>
        <w:pStyle w:val="BodyText"/>
        <w:spacing w:line="207" w:lineRule="exact"/>
        <w:ind w:left="1905"/>
      </w:pPr>
      <w:r>
        <w:rPr>
          <w:color w:val="0D0D0D"/>
          <w:u w:val="single" w:color="0D0D0D"/>
        </w:rPr>
        <w:t>Performance Measures</w:t>
      </w:r>
    </w:p>
    <w:p>
      <w:pPr>
        <w:pStyle w:val="BodyText"/>
        <w:ind w:left="1905" w:right="1375"/>
      </w:pPr>
      <w:r>
        <w:rPr>
          <w:color w:val="0D0D0D"/>
        </w:rPr>
        <w:t>The performance measures of the company are both financial and non-financial. The Company has adopted the following key performance indicators</w:t>
      </w:r>
    </w:p>
    <w:p>
      <w:pPr>
        <w:pStyle w:val="ListParagraph"/>
        <w:numPr>
          <w:ilvl w:val="0"/>
          <w:numId w:val="96"/>
        </w:numPr>
        <w:tabs>
          <w:tab w:pos="2626" w:val="left" w:leader="none"/>
        </w:tabs>
        <w:spacing w:line="219" w:lineRule="exact" w:before="0" w:after="0"/>
        <w:ind w:left="2625" w:right="0" w:hanging="360"/>
        <w:jc w:val="left"/>
        <w:rPr>
          <w:color w:val="0D0D0D"/>
          <w:sz w:val="18"/>
        </w:rPr>
      </w:pPr>
      <w:r>
        <w:rPr>
          <w:color w:val="0D0D0D"/>
          <w:sz w:val="18"/>
        </w:rPr>
        <w:t>Ensure</w:t>
      </w:r>
      <w:r>
        <w:rPr>
          <w:color w:val="0D0D0D"/>
          <w:spacing w:val="-4"/>
          <w:sz w:val="18"/>
        </w:rPr>
        <w:t> </w:t>
      </w:r>
      <w:r>
        <w:rPr>
          <w:color w:val="0D0D0D"/>
          <w:sz w:val="18"/>
        </w:rPr>
        <w:t>all</w:t>
      </w:r>
      <w:r>
        <w:rPr>
          <w:color w:val="0D0D0D"/>
          <w:spacing w:val="-4"/>
          <w:sz w:val="18"/>
        </w:rPr>
        <w:t> </w:t>
      </w:r>
      <w:r>
        <w:rPr>
          <w:color w:val="0D0D0D"/>
          <w:sz w:val="18"/>
        </w:rPr>
        <w:t>services</w:t>
      </w:r>
      <w:r>
        <w:rPr>
          <w:color w:val="0D0D0D"/>
          <w:spacing w:val="-4"/>
          <w:sz w:val="18"/>
        </w:rPr>
        <w:t> </w:t>
      </w:r>
      <w:r>
        <w:rPr>
          <w:color w:val="0D0D0D"/>
          <w:sz w:val="18"/>
        </w:rPr>
        <w:t>at</w:t>
      </w:r>
      <w:r>
        <w:rPr>
          <w:color w:val="0D0D0D"/>
          <w:spacing w:val="-4"/>
          <w:sz w:val="18"/>
        </w:rPr>
        <w:t> </w:t>
      </w:r>
      <w:r>
        <w:rPr>
          <w:color w:val="0D0D0D"/>
          <w:sz w:val="18"/>
        </w:rPr>
        <w:t>least</w:t>
      </w:r>
      <w:r>
        <w:rPr>
          <w:color w:val="0D0D0D"/>
          <w:spacing w:val="-4"/>
          <w:sz w:val="18"/>
        </w:rPr>
        <w:t> </w:t>
      </w:r>
      <w:r>
        <w:rPr>
          <w:color w:val="0D0D0D"/>
          <w:sz w:val="18"/>
        </w:rPr>
        <w:t>meet</w:t>
      </w:r>
      <w:r>
        <w:rPr>
          <w:color w:val="0D0D0D"/>
          <w:spacing w:val="-4"/>
          <w:sz w:val="18"/>
        </w:rPr>
        <w:t> </w:t>
      </w:r>
      <w:r>
        <w:rPr>
          <w:color w:val="0D0D0D"/>
          <w:sz w:val="18"/>
        </w:rPr>
        <w:t>Education</w:t>
      </w:r>
      <w:r>
        <w:rPr>
          <w:color w:val="0D0D0D"/>
          <w:spacing w:val="-3"/>
          <w:sz w:val="18"/>
        </w:rPr>
        <w:t> </w:t>
      </w:r>
      <w:r>
        <w:rPr>
          <w:color w:val="0D0D0D"/>
          <w:sz w:val="18"/>
        </w:rPr>
        <w:t>and</w:t>
      </w:r>
      <w:r>
        <w:rPr>
          <w:color w:val="0D0D0D"/>
          <w:spacing w:val="-4"/>
          <w:sz w:val="18"/>
        </w:rPr>
        <w:t> </w:t>
      </w:r>
      <w:r>
        <w:rPr>
          <w:color w:val="0D0D0D"/>
          <w:sz w:val="18"/>
        </w:rPr>
        <w:t>Care</w:t>
      </w:r>
      <w:r>
        <w:rPr>
          <w:color w:val="0D0D0D"/>
          <w:spacing w:val="-4"/>
          <w:sz w:val="18"/>
        </w:rPr>
        <w:t> </w:t>
      </w:r>
      <w:r>
        <w:rPr>
          <w:color w:val="0D0D0D"/>
          <w:sz w:val="18"/>
        </w:rPr>
        <w:t>National</w:t>
      </w:r>
      <w:r>
        <w:rPr>
          <w:color w:val="0D0D0D"/>
          <w:spacing w:val="-4"/>
          <w:sz w:val="18"/>
        </w:rPr>
        <w:t> </w:t>
      </w:r>
      <w:r>
        <w:rPr>
          <w:color w:val="0D0D0D"/>
          <w:sz w:val="18"/>
        </w:rPr>
        <w:t>Quality</w:t>
      </w:r>
      <w:r>
        <w:rPr>
          <w:color w:val="0D0D0D"/>
          <w:spacing w:val="-6"/>
          <w:sz w:val="18"/>
        </w:rPr>
        <w:t> </w:t>
      </w:r>
      <w:r>
        <w:rPr>
          <w:color w:val="0D0D0D"/>
          <w:sz w:val="18"/>
        </w:rPr>
        <w:t>Standards</w:t>
      </w:r>
    </w:p>
    <w:p>
      <w:pPr>
        <w:pStyle w:val="ListParagraph"/>
        <w:numPr>
          <w:ilvl w:val="0"/>
          <w:numId w:val="96"/>
        </w:numPr>
        <w:tabs>
          <w:tab w:pos="2626" w:val="left" w:leader="none"/>
        </w:tabs>
        <w:spacing w:line="219" w:lineRule="exact" w:before="0" w:after="0"/>
        <w:ind w:left="2625" w:right="0" w:hanging="360"/>
        <w:jc w:val="left"/>
        <w:rPr>
          <w:color w:val="0D0D0D"/>
          <w:sz w:val="18"/>
        </w:rPr>
      </w:pPr>
      <w:r>
        <w:rPr>
          <w:color w:val="0D0D0D"/>
          <w:sz w:val="18"/>
        </w:rPr>
        <w:t>Utilisation</w:t>
      </w:r>
      <w:r>
        <w:rPr>
          <w:color w:val="0D0D0D"/>
          <w:spacing w:val="-6"/>
          <w:sz w:val="18"/>
        </w:rPr>
        <w:t> </w:t>
      </w:r>
      <w:r>
        <w:rPr>
          <w:color w:val="0D0D0D"/>
          <w:sz w:val="18"/>
        </w:rPr>
        <w:t>rates</w:t>
      </w:r>
      <w:r>
        <w:rPr>
          <w:color w:val="0D0D0D"/>
          <w:spacing w:val="-6"/>
          <w:sz w:val="18"/>
        </w:rPr>
        <w:t> </w:t>
      </w:r>
      <w:r>
        <w:rPr>
          <w:color w:val="0D0D0D"/>
          <w:sz w:val="18"/>
        </w:rPr>
        <w:t>at</w:t>
      </w:r>
      <w:r>
        <w:rPr>
          <w:color w:val="0D0D0D"/>
          <w:spacing w:val="-6"/>
          <w:sz w:val="18"/>
        </w:rPr>
        <w:t> </w:t>
      </w:r>
      <w:r>
        <w:rPr>
          <w:color w:val="0D0D0D"/>
          <w:sz w:val="18"/>
        </w:rPr>
        <w:t>all</w:t>
      </w:r>
      <w:r>
        <w:rPr>
          <w:color w:val="0D0D0D"/>
          <w:spacing w:val="-6"/>
          <w:sz w:val="18"/>
        </w:rPr>
        <w:t> </w:t>
      </w:r>
      <w:r>
        <w:rPr>
          <w:color w:val="0D0D0D"/>
          <w:sz w:val="18"/>
        </w:rPr>
        <w:t>Centres</w:t>
      </w:r>
      <w:r>
        <w:rPr>
          <w:color w:val="0D0D0D"/>
          <w:spacing w:val="-5"/>
          <w:sz w:val="18"/>
        </w:rPr>
        <w:t> </w:t>
      </w:r>
      <w:r>
        <w:rPr>
          <w:color w:val="0D0D0D"/>
          <w:sz w:val="18"/>
        </w:rPr>
        <w:t>increasing</w:t>
      </w:r>
      <w:r>
        <w:rPr>
          <w:color w:val="0D0D0D"/>
          <w:spacing w:val="-6"/>
          <w:sz w:val="18"/>
        </w:rPr>
        <w:t> </w:t>
      </w:r>
      <w:r>
        <w:rPr>
          <w:color w:val="0D0D0D"/>
          <w:sz w:val="18"/>
        </w:rPr>
        <w:t>and</w:t>
      </w:r>
      <w:r>
        <w:rPr>
          <w:color w:val="0D0D0D"/>
          <w:spacing w:val="-5"/>
          <w:sz w:val="18"/>
        </w:rPr>
        <w:t> </w:t>
      </w:r>
      <w:r>
        <w:rPr>
          <w:color w:val="0D0D0D"/>
          <w:sz w:val="18"/>
        </w:rPr>
        <w:t>stabilising</w:t>
      </w:r>
    </w:p>
    <w:p>
      <w:pPr>
        <w:pStyle w:val="ListParagraph"/>
        <w:numPr>
          <w:ilvl w:val="0"/>
          <w:numId w:val="96"/>
        </w:numPr>
        <w:tabs>
          <w:tab w:pos="2626" w:val="left" w:leader="none"/>
        </w:tabs>
        <w:spacing w:line="219" w:lineRule="exact" w:before="0" w:after="0"/>
        <w:ind w:left="2625" w:right="0" w:hanging="360"/>
        <w:jc w:val="left"/>
        <w:rPr>
          <w:color w:val="0D0D0D"/>
          <w:sz w:val="18"/>
        </w:rPr>
      </w:pPr>
      <w:r>
        <w:rPr>
          <w:color w:val="0D0D0D"/>
          <w:sz w:val="18"/>
        </w:rPr>
        <w:t>Centralisation</w:t>
      </w:r>
      <w:r>
        <w:rPr>
          <w:color w:val="0D0D0D"/>
          <w:spacing w:val="-6"/>
          <w:sz w:val="18"/>
        </w:rPr>
        <w:t> </w:t>
      </w:r>
      <w:r>
        <w:rPr>
          <w:color w:val="0D0D0D"/>
          <w:sz w:val="18"/>
        </w:rPr>
        <w:t>of</w:t>
      </w:r>
      <w:r>
        <w:rPr>
          <w:color w:val="0D0D0D"/>
          <w:spacing w:val="-7"/>
          <w:sz w:val="18"/>
        </w:rPr>
        <w:t> </w:t>
      </w:r>
      <w:r>
        <w:rPr>
          <w:color w:val="0D0D0D"/>
          <w:sz w:val="18"/>
        </w:rPr>
        <w:t>the</w:t>
      </w:r>
      <w:r>
        <w:rPr>
          <w:color w:val="0D0D0D"/>
          <w:spacing w:val="-7"/>
          <w:sz w:val="18"/>
        </w:rPr>
        <w:t> </w:t>
      </w:r>
      <w:r>
        <w:rPr>
          <w:color w:val="0D0D0D"/>
          <w:sz w:val="18"/>
        </w:rPr>
        <w:t>Financial</w:t>
      </w:r>
      <w:r>
        <w:rPr>
          <w:color w:val="0D0D0D"/>
          <w:spacing w:val="-6"/>
          <w:sz w:val="18"/>
        </w:rPr>
        <w:t> </w:t>
      </w:r>
      <w:r>
        <w:rPr>
          <w:color w:val="0D0D0D"/>
          <w:sz w:val="18"/>
        </w:rPr>
        <w:t>and</w:t>
      </w:r>
      <w:r>
        <w:rPr>
          <w:color w:val="0D0D0D"/>
          <w:spacing w:val="-7"/>
          <w:sz w:val="18"/>
        </w:rPr>
        <w:t> </w:t>
      </w:r>
      <w:r>
        <w:rPr>
          <w:color w:val="0D0D0D"/>
          <w:sz w:val="18"/>
        </w:rPr>
        <w:t>Administrative</w:t>
      </w:r>
      <w:r>
        <w:rPr>
          <w:color w:val="0D0D0D"/>
          <w:spacing w:val="-7"/>
          <w:sz w:val="18"/>
        </w:rPr>
        <w:t> </w:t>
      </w:r>
      <w:r>
        <w:rPr>
          <w:color w:val="0D0D0D"/>
          <w:sz w:val="18"/>
        </w:rPr>
        <w:t>functions</w:t>
      </w:r>
    </w:p>
    <w:p>
      <w:pPr>
        <w:pStyle w:val="ListParagraph"/>
        <w:numPr>
          <w:ilvl w:val="0"/>
          <w:numId w:val="96"/>
        </w:numPr>
        <w:tabs>
          <w:tab w:pos="2626" w:val="left" w:leader="none"/>
        </w:tabs>
        <w:spacing w:line="240" w:lineRule="auto" w:before="0" w:after="0"/>
        <w:ind w:left="2625" w:right="2314" w:hanging="360"/>
        <w:jc w:val="left"/>
        <w:rPr>
          <w:color w:val="0D0D0D"/>
          <w:sz w:val="18"/>
        </w:rPr>
      </w:pPr>
      <w:r>
        <w:rPr>
          <w:color w:val="0D0D0D"/>
          <w:sz w:val="18"/>
        </w:rPr>
        <w:t>Financial operations of the Company now consolidated into the University’s financial reporting and budgeting</w:t>
      </w:r>
      <w:r>
        <w:rPr>
          <w:color w:val="0D0D0D"/>
          <w:spacing w:val="-9"/>
          <w:sz w:val="18"/>
        </w:rPr>
        <w:t> </w:t>
      </w:r>
      <w:r>
        <w:rPr>
          <w:color w:val="0D0D0D"/>
          <w:sz w:val="18"/>
        </w:rPr>
        <w:t>cycle</w:t>
      </w:r>
    </w:p>
    <w:p>
      <w:pPr>
        <w:pStyle w:val="ListParagraph"/>
        <w:numPr>
          <w:ilvl w:val="0"/>
          <w:numId w:val="96"/>
        </w:numPr>
        <w:tabs>
          <w:tab w:pos="2626" w:val="left" w:leader="none"/>
        </w:tabs>
        <w:spacing w:line="219" w:lineRule="exact" w:before="0" w:after="0"/>
        <w:ind w:left="2625" w:right="0" w:hanging="360"/>
        <w:jc w:val="left"/>
        <w:rPr>
          <w:color w:val="0D0D0D"/>
          <w:sz w:val="18"/>
        </w:rPr>
      </w:pPr>
      <w:r>
        <w:rPr>
          <w:color w:val="0D0D0D"/>
          <w:sz w:val="18"/>
        </w:rPr>
        <w:t>Continuing</w:t>
      </w:r>
      <w:r>
        <w:rPr>
          <w:color w:val="0D0D0D"/>
          <w:spacing w:val="-5"/>
          <w:sz w:val="18"/>
        </w:rPr>
        <w:t> </w:t>
      </w:r>
      <w:r>
        <w:rPr>
          <w:color w:val="0D0D0D"/>
          <w:sz w:val="18"/>
        </w:rPr>
        <w:t>to</w:t>
      </w:r>
      <w:r>
        <w:rPr>
          <w:color w:val="0D0D0D"/>
          <w:spacing w:val="-5"/>
          <w:sz w:val="18"/>
        </w:rPr>
        <w:t> </w:t>
      </w:r>
      <w:r>
        <w:rPr>
          <w:color w:val="0D0D0D"/>
          <w:sz w:val="18"/>
        </w:rPr>
        <w:t>explore</w:t>
      </w:r>
      <w:r>
        <w:rPr>
          <w:color w:val="0D0D0D"/>
          <w:spacing w:val="-3"/>
          <w:sz w:val="18"/>
        </w:rPr>
        <w:t> </w:t>
      </w:r>
      <w:r>
        <w:rPr>
          <w:color w:val="0D0D0D"/>
          <w:sz w:val="18"/>
        </w:rPr>
        <w:t>ways</w:t>
      </w:r>
      <w:r>
        <w:rPr>
          <w:color w:val="0D0D0D"/>
          <w:spacing w:val="-5"/>
          <w:sz w:val="18"/>
        </w:rPr>
        <w:t> </w:t>
      </w:r>
      <w:r>
        <w:rPr>
          <w:color w:val="0D0D0D"/>
          <w:sz w:val="18"/>
        </w:rPr>
        <w:t>of</w:t>
      </w:r>
      <w:r>
        <w:rPr>
          <w:color w:val="0D0D0D"/>
          <w:spacing w:val="-5"/>
          <w:sz w:val="18"/>
        </w:rPr>
        <w:t> </w:t>
      </w:r>
      <w:r>
        <w:rPr>
          <w:color w:val="0D0D0D"/>
          <w:sz w:val="18"/>
        </w:rPr>
        <w:t>offering</w:t>
      </w:r>
      <w:r>
        <w:rPr>
          <w:color w:val="0D0D0D"/>
          <w:spacing w:val="-5"/>
          <w:sz w:val="18"/>
        </w:rPr>
        <w:t> </w:t>
      </w:r>
      <w:r>
        <w:rPr>
          <w:color w:val="0D0D0D"/>
          <w:sz w:val="18"/>
        </w:rPr>
        <w:t>casual</w:t>
      </w:r>
      <w:r>
        <w:rPr>
          <w:color w:val="0D0D0D"/>
          <w:spacing w:val="-5"/>
          <w:sz w:val="18"/>
        </w:rPr>
        <w:t> </w:t>
      </w:r>
      <w:r>
        <w:rPr>
          <w:color w:val="0D0D0D"/>
          <w:sz w:val="18"/>
        </w:rPr>
        <w:t>care</w:t>
      </w:r>
      <w:r>
        <w:rPr>
          <w:color w:val="0D0D0D"/>
          <w:spacing w:val="-5"/>
          <w:sz w:val="18"/>
        </w:rPr>
        <w:t> </w:t>
      </w:r>
      <w:r>
        <w:rPr>
          <w:color w:val="0D0D0D"/>
          <w:sz w:val="18"/>
        </w:rPr>
        <w:t>in</w:t>
      </w:r>
      <w:r>
        <w:rPr>
          <w:color w:val="0D0D0D"/>
          <w:spacing w:val="-5"/>
          <w:sz w:val="18"/>
        </w:rPr>
        <w:t> </w:t>
      </w:r>
      <w:r>
        <w:rPr>
          <w:color w:val="0D0D0D"/>
          <w:sz w:val="18"/>
        </w:rPr>
        <w:t>addition</w:t>
      </w:r>
      <w:r>
        <w:rPr>
          <w:color w:val="0D0D0D"/>
          <w:spacing w:val="-4"/>
          <w:sz w:val="18"/>
        </w:rPr>
        <w:t> </w:t>
      </w:r>
      <w:r>
        <w:rPr>
          <w:color w:val="0D0D0D"/>
          <w:sz w:val="18"/>
        </w:rPr>
        <w:t>to</w:t>
      </w:r>
      <w:r>
        <w:rPr>
          <w:color w:val="0D0D0D"/>
          <w:spacing w:val="-5"/>
          <w:sz w:val="18"/>
        </w:rPr>
        <w:t> </w:t>
      </w:r>
      <w:r>
        <w:rPr>
          <w:color w:val="0D0D0D"/>
          <w:sz w:val="18"/>
        </w:rPr>
        <w:t>permanent</w:t>
      </w:r>
      <w:r>
        <w:rPr>
          <w:color w:val="0D0D0D"/>
          <w:spacing w:val="-5"/>
          <w:sz w:val="18"/>
        </w:rPr>
        <w:t> </w:t>
      </w:r>
      <w:r>
        <w:rPr>
          <w:color w:val="0D0D0D"/>
          <w:sz w:val="18"/>
        </w:rPr>
        <w:t>placement</w:t>
      </w:r>
    </w:p>
    <w:p>
      <w:pPr>
        <w:pStyle w:val="ListParagraph"/>
        <w:numPr>
          <w:ilvl w:val="0"/>
          <w:numId w:val="96"/>
        </w:numPr>
        <w:tabs>
          <w:tab w:pos="2626" w:val="left" w:leader="none"/>
        </w:tabs>
        <w:spacing w:line="219" w:lineRule="exact" w:before="0" w:after="0"/>
        <w:ind w:left="2625" w:right="0" w:hanging="360"/>
        <w:jc w:val="left"/>
        <w:rPr>
          <w:color w:val="0D0D0D"/>
          <w:sz w:val="18"/>
        </w:rPr>
      </w:pPr>
      <w:r>
        <w:rPr>
          <w:color w:val="0D0D0D"/>
          <w:sz w:val="18"/>
        </w:rPr>
        <w:t>Community</w:t>
      </w:r>
      <w:r>
        <w:rPr>
          <w:color w:val="0D0D0D"/>
          <w:spacing w:val="-14"/>
          <w:sz w:val="18"/>
        </w:rPr>
        <w:t> </w:t>
      </w:r>
      <w:r>
        <w:rPr>
          <w:color w:val="0D0D0D"/>
          <w:sz w:val="18"/>
        </w:rPr>
        <w:t>Engagement</w:t>
      </w:r>
    </w:p>
    <w:p>
      <w:pPr>
        <w:spacing w:after="0" w:line="219" w:lineRule="exact"/>
        <w:jc w:val="left"/>
        <w:rPr>
          <w:sz w:val="18"/>
        </w:rPr>
        <w:sectPr>
          <w:headerReference w:type="default" r:id="rId148"/>
          <w:pgSz w:w="12750" w:h="17680"/>
          <w:pgMar w:header="0" w:footer="907" w:top="1340" w:bottom="1100" w:left="0" w:right="0"/>
        </w:sectPr>
      </w:pPr>
    </w:p>
    <w:p>
      <w:pPr>
        <w:pStyle w:val="BodyText"/>
        <w:rPr>
          <w:sz w:val="20"/>
        </w:rPr>
      </w:pPr>
    </w:p>
    <w:p>
      <w:pPr>
        <w:pStyle w:val="BodyText"/>
        <w:rPr>
          <w:sz w:val="20"/>
        </w:rPr>
      </w:pPr>
    </w:p>
    <w:p>
      <w:pPr>
        <w:pStyle w:val="BodyText"/>
        <w:spacing w:before="1"/>
        <w:rPr>
          <w:sz w:val="24"/>
        </w:rPr>
      </w:pPr>
    </w:p>
    <w:tbl>
      <w:tblPr>
        <w:tblW w:w="0" w:type="auto"/>
        <w:jc w:val="left"/>
        <w:tblInd w:w="18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416"/>
        <w:gridCol w:w="1985"/>
        <w:gridCol w:w="1985"/>
        <w:gridCol w:w="1700"/>
      </w:tblGrid>
      <w:tr>
        <w:trPr>
          <w:trHeight w:val="601" w:hRule="exact"/>
        </w:trPr>
        <w:tc>
          <w:tcPr>
            <w:tcW w:w="3416" w:type="dxa"/>
          </w:tcPr>
          <w:p>
            <w:pPr>
              <w:pStyle w:val="TableParagraph"/>
              <w:spacing w:before="2"/>
              <w:jc w:val="left"/>
              <w:rPr>
                <w:sz w:val="16"/>
              </w:rPr>
            </w:pPr>
          </w:p>
          <w:p>
            <w:pPr>
              <w:pStyle w:val="TableParagraph"/>
              <w:ind w:left="98"/>
              <w:jc w:val="left"/>
              <w:rPr>
                <w:b/>
                <w:i/>
                <w:sz w:val="18"/>
              </w:rPr>
            </w:pPr>
            <w:r>
              <w:rPr>
                <w:b/>
                <w:i/>
                <w:sz w:val="18"/>
              </w:rPr>
              <w:t>Category</w:t>
            </w:r>
          </w:p>
        </w:tc>
        <w:tc>
          <w:tcPr>
            <w:tcW w:w="1985" w:type="dxa"/>
          </w:tcPr>
          <w:p>
            <w:pPr>
              <w:pStyle w:val="TableParagraph"/>
              <w:spacing w:before="2"/>
              <w:jc w:val="left"/>
              <w:rPr>
                <w:sz w:val="16"/>
              </w:rPr>
            </w:pPr>
          </w:p>
          <w:p>
            <w:pPr>
              <w:pStyle w:val="TableParagraph"/>
              <w:ind w:right="96"/>
              <w:rPr>
                <w:b/>
                <w:i/>
                <w:sz w:val="18"/>
              </w:rPr>
            </w:pPr>
            <w:r>
              <w:rPr>
                <w:b/>
                <w:i/>
                <w:sz w:val="18"/>
              </w:rPr>
              <w:t>FY 2016 Actual</w:t>
            </w:r>
          </w:p>
        </w:tc>
        <w:tc>
          <w:tcPr>
            <w:tcW w:w="1985" w:type="dxa"/>
          </w:tcPr>
          <w:p>
            <w:pPr>
              <w:pStyle w:val="TableParagraph"/>
              <w:spacing w:before="2"/>
              <w:jc w:val="left"/>
              <w:rPr>
                <w:sz w:val="16"/>
              </w:rPr>
            </w:pPr>
          </w:p>
          <w:p>
            <w:pPr>
              <w:pStyle w:val="TableParagraph"/>
              <w:ind w:right="97"/>
              <w:rPr>
                <w:b/>
                <w:i/>
                <w:sz w:val="18"/>
              </w:rPr>
            </w:pPr>
            <w:r>
              <w:rPr>
                <w:b/>
                <w:i/>
                <w:sz w:val="18"/>
              </w:rPr>
              <w:t>Annual 2016 Budget</w:t>
            </w:r>
          </w:p>
        </w:tc>
        <w:tc>
          <w:tcPr>
            <w:tcW w:w="1700" w:type="dxa"/>
          </w:tcPr>
          <w:p>
            <w:pPr>
              <w:pStyle w:val="TableParagraph"/>
              <w:spacing w:before="83"/>
              <w:ind w:left="812" w:right="77" w:hanging="179"/>
              <w:jc w:val="left"/>
              <w:rPr>
                <w:b/>
                <w:i/>
                <w:sz w:val="18"/>
              </w:rPr>
            </w:pPr>
            <w:r>
              <w:rPr>
                <w:b/>
                <w:i/>
                <w:sz w:val="18"/>
              </w:rPr>
              <w:t>% Full year </w:t>
            </w:r>
            <w:r>
              <w:rPr>
                <w:b/>
                <w:i/>
                <w:sz w:val="18"/>
              </w:rPr>
              <w:t>achieved</w:t>
            </w:r>
          </w:p>
        </w:tc>
      </w:tr>
      <w:tr>
        <w:trPr>
          <w:trHeight w:val="290" w:hRule="exact"/>
        </w:trPr>
        <w:tc>
          <w:tcPr>
            <w:tcW w:w="3416" w:type="dxa"/>
          </w:tcPr>
          <w:p>
            <w:pPr>
              <w:pStyle w:val="TableParagraph"/>
              <w:spacing w:before="62"/>
              <w:ind w:left="98"/>
              <w:jc w:val="left"/>
              <w:rPr>
                <w:sz w:val="18"/>
              </w:rPr>
            </w:pPr>
            <w:r>
              <w:rPr>
                <w:sz w:val="18"/>
              </w:rPr>
              <w:t>Revenue</w:t>
            </w:r>
          </w:p>
        </w:tc>
        <w:tc>
          <w:tcPr>
            <w:tcW w:w="1985" w:type="dxa"/>
          </w:tcPr>
          <w:p>
            <w:pPr>
              <w:pStyle w:val="TableParagraph"/>
              <w:spacing w:before="62"/>
              <w:ind w:right="97"/>
              <w:rPr>
                <w:sz w:val="18"/>
              </w:rPr>
            </w:pPr>
            <w:r>
              <w:rPr>
                <w:sz w:val="18"/>
              </w:rPr>
              <w:t>$6,558,579</w:t>
            </w:r>
          </w:p>
        </w:tc>
        <w:tc>
          <w:tcPr>
            <w:tcW w:w="1985" w:type="dxa"/>
          </w:tcPr>
          <w:p>
            <w:pPr>
              <w:pStyle w:val="TableParagraph"/>
              <w:spacing w:before="62"/>
              <w:ind w:right="98"/>
              <w:rPr>
                <w:sz w:val="18"/>
              </w:rPr>
            </w:pPr>
            <w:r>
              <w:rPr>
                <w:sz w:val="18"/>
              </w:rPr>
              <w:t>$6,293,986</w:t>
            </w:r>
          </w:p>
        </w:tc>
        <w:tc>
          <w:tcPr>
            <w:tcW w:w="1700" w:type="dxa"/>
          </w:tcPr>
          <w:p>
            <w:pPr>
              <w:pStyle w:val="TableParagraph"/>
              <w:spacing w:before="62"/>
              <w:ind w:right="97"/>
              <w:rPr>
                <w:sz w:val="18"/>
              </w:rPr>
            </w:pPr>
            <w:r>
              <w:rPr>
                <w:sz w:val="18"/>
              </w:rPr>
              <w:t>104%</w:t>
            </w:r>
          </w:p>
        </w:tc>
      </w:tr>
      <w:tr>
        <w:trPr>
          <w:trHeight w:val="290" w:hRule="exact"/>
        </w:trPr>
        <w:tc>
          <w:tcPr>
            <w:tcW w:w="3416" w:type="dxa"/>
          </w:tcPr>
          <w:p>
            <w:pPr>
              <w:pStyle w:val="TableParagraph"/>
              <w:spacing w:before="61"/>
              <w:ind w:left="98"/>
              <w:jc w:val="left"/>
              <w:rPr>
                <w:sz w:val="18"/>
              </w:rPr>
            </w:pPr>
            <w:r>
              <w:rPr>
                <w:sz w:val="18"/>
              </w:rPr>
              <w:t>Expenses</w:t>
            </w:r>
          </w:p>
        </w:tc>
        <w:tc>
          <w:tcPr>
            <w:tcW w:w="1985" w:type="dxa"/>
          </w:tcPr>
          <w:p>
            <w:pPr>
              <w:pStyle w:val="TableParagraph"/>
              <w:spacing w:before="61"/>
              <w:ind w:right="97"/>
              <w:rPr>
                <w:sz w:val="18"/>
              </w:rPr>
            </w:pPr>
            <w:r>
              <w:rPr>
                <w:sz w:val="18"/>
              </w:rPr>
              <w:t>$6,325,658</w:t>
            </w:r>
          </w:p>
        </w:tc>
        <w:tc>
          <w:tcPr>
            <w:tcW w:w="1985" w:type="dxa"/>
          </w:tcPr>
          <w:p>
            <w:pPr>
              <w:pStyle w:val="TableParagraph"/>
              <w:spacing w:before="61"/>
              <w:ind w:right="98"/>
              <w:rPr>
                <w:sz w:val="18"/>
              </w:rPr>
            </w:pPr>
            <w:r>
              <w:rPr>
                <w:sz w:val="18"/>
              </w:rPr>
              <w:t>$6,208,829</w:t>
            </w:r>
          </w:p>
        </w:tc>
        <w:tc>
          <w:tcPr>
            <w:tcW w:w="1700" w:type="dxa"/>
          </w:tcPr>
          <w:p>
            <w:pPr>
              <w:pStyle w:val="TableParagraph"/>
              <w:spacing w:before="61"/>
              <w:ind w:right="97"/>
              <w:rPr>
                <w:sz w:val="18"/>
              </w:rPr>
            </w:pPr>
            <w:r>
              <w:rPr>
                <w:sz w:val="18"/>
              </w:rPr>
              <w:t>102%</w:t>
            </w:r>
          </w:p>
        </w:tc>
      </w:tr>
      <w:tr>
        <w:trPr>
          <w:trHeight w:val="289" w:hRule="exact"/>
        </w:trPr>
        <w:tc>
          <w:tcPr>
            <w:tcW w:w="3416" w:type="dxa"/>
          </w:tcPr>
          <w:p>
            <w:pPr>
              <w:pStyle w:val="TableParagraph"/>
              <w:spacing w:before="60"/>
              <w:ind w:left="98"/>
              <w:jc w:val="left"/>
              <w:rPr>
                <w:b/>
                <w:sz w:val="18"/>
              </w:rPr>
            </w:pPr>
            <w:r>
              <w:rPr>
                <w:b/>
                <w:sz w:val="18"/>
              </w:rPr>
              <w:t>Operating Surplus</w:t>
            </w:r>
          </w:p>
        </w:tc>
        <w:tc>
          <w:tcPr>
            <w:tcW w:w="1985" w:type="dxa"/>
          </w:tcPr>
          <w:p>
            <w:pPr>
              <w:pStyle w:val="TableParagraph"/>
              <w:spacing w:before="60"/>
              <w:ind w:right="97"/>
              <w:rPr>
                <w:b/>
                <w:sz w:val="18"/>
              </w:rPr>
            </w:pPr>
            <w:r>
              <w:rPr>
                <w:b/>
                <w:sz w:val="18"/>
              </w:rPr>
              <w:t>$232,921</w:t>
            </w:r>
          </w:p>
        </w:tc>
        <w:tc>
          <w:tcPr>
            <w:tcW w:w="1985" w:type="dxa"/>
          </w:tcPr>
          <w:p>
            <w:pPr>
              <w:pStyle w:val="TableParagraph"/>
              <w:spacing w:before="60"/>
              <w:ind w:right="99"/>
              <w:rPr>
                <w:b/>
                <w:sz w:val="18"/>
              </w:rPr>
            </w:pPr>
            <w:r>
              <w:rPr>
                <w:b/>
                <w:sz w:val="18"/>
              </w:rPr>
              <w:t>$85,157</w:t>
            </w:r>
          </w:p>
        </w:tc>
        <w:tc>
          <w:tcPr>
            <w:tcW w:w="1700" w:type="dxa"/>
          </w:tcPr>
          <w:p>
            <w:pPr>
              <w:pStyle w:val="TableParagraph"/>
              <w:spacing w:before="61"/>
              <w:ind w:right="97"/>
              <w:rPr>
                <w:sz w:val="18"/>
              </w:rPr>
            </w:pPr>
            <w:r>
              <w:rPr>
                <w:sz w:val="18"/>
              </w:rPr>
              <w:t>0%</w:t>
            </w:r>
          </w:p>
        </w:tc>
      </w:tr>
      <w:tr>
        <w:trPr>
          <w:trHeight w:val="227" w:hRule="exact"/>
        </w:trPr>
        <w:tc>
          <w:tcPr>
            <w:tcW w:w="3416" w:type="dxa"/>
          </w:tcPr>
          <w:p>
            <w:pPr>
              <w:pStyle w:val="TableParagraph"/>
              <w:spacing w:line="206" w:lineRule="exact"/>
              <w:ind w:left="98"/>
              <w:jc w:val="left"/>
              <w:rPr>
                <w:sz w:val="18"/>
              </w:rPr>
            </w:pPr>
            <w:r>
              <w:rPr>
                <w:sz w:val="18"/>
              </w:rPr>
              <w:t>Accumulated Retained Earnings</w:t>
            </w:r>
          </w:p>
        </w:tc>
        <w:tc>
          <w:tcPr>
            <w:tcW w:w="1985" w:type="dxa"/>
          </w:tcPr>
          <w:p>
            <w:pPr>
              <w:pStyle w:val="TableParagraph"/>
              <w:spacing w:line="206" w:lineRule="exact"/>
              <w:ind w:right="97"/>
              <w:rPr>
                <w:sz w:val="18"/>
              </w:rPr>
            </w:pPr>
            <w:r>
              <w:rPr>
                <w:sz w:val="18"/>
              </w:rPr>
              <w:t>$1,054,055</w:t>
            </w:r>
          </w:p>
        </w:tc>
        <w:tc>
          <w:tcPr>
            <w:tcW w:w="1985" w:type="dxa"/>
          </w:tcPr>
          <w:p>
            <w:pPr/>
          </w:p>
        </w:tc>
        <w:tc>
          <w:tcPr>
            <w:tcW w:w="1700" w:type="dxa"/>
          </w:tcPr>
          <w:p>
            <w:pPr/>
          </w:p>
        </w:tc>
      </w:tr>
    </w:tbl>
    <w:p>
      <w:pPr>
        <w:pStyle w:val="BodyText"/>
        <w:spacing w:before="3"/>
        <w:rPr>
          <w:sz w:val="11"/>
        </w:rPr>
      </w:pPr>
    </w:p>
    <w:p>
      <w:pPr>
        <w:pStyle w:val="BodyText"/>
        <w:spacing w:line="207" w:lineRule="exact" w:before="77"/>
        <w:ind w:left="1860"/>
      </w:pPr>
      <w:r>
        <w:rPr>
          <w:u w:val="single"/>
        </w:rPr>
        <w:t>Management and Operations</w:t>
      </w:r>
    </w:p>
    <w:p>
      <w:pPr>
        <w:pStyle w:val="BodyText"/>
        <w:ind w:left="1860" w:right="2165"/>
      </w:pPr>
      <w:r>
        <w:rPr/>
        <w:t>UWS Early Learning Limited is a wholly owned entity of Western Sydney University. An independent Board of Directors is responsible for the overall operations of the Company.</w:t>
      </w:r>
    </w:p>
    <w:p>
      <w:pPr>
        <w:pStyle w:val="BodyText"/>
      </w:pPr>
    </w:p>
    <w:p>
      <w:pPr>
        <w:pStyle w:val="BodyText"/>
      </w:pPr>
    </w:p>
    <w:p>
      <w:pPr>
        <w:pStyle w:val="BodyText"/>
        <w:rPr>
          <w:sz w:val="17"/>
        </w:rPr>
      </w:pPr>
    </w:p>
    <w:p>
      <w:pPr>
        <w:pStyle w:val="Heading4"/>
        <w:spacing w:before="0"/>
        <w:ind w:left="1860" w:right="1375"/>
      </w:pPr>
      <w:r>
        <w:rPr/>
        <w:t>UWS Enterprises Pty Ltd (trading as Western Sydney University The College)</w:t>
      </w:r>
    </w:p>
    <w:p>
      <w:pPr>
        <w:pStyle w:val="BodyText"/>
        <w:spacing w:before="238"/>
        <w:ind w:left="1860"/>
      </w:pPr>
      <w:r>
        <w:rPr>
          <w:u w:val="single"/>
        </w:rPr>
        <w:t>Principal Objectives</w:t>
      </w:r>
    </w:p>
    <w:p>
      <w:pPr>
        <w:pStyle w:val="BodyText"/>
        <w:spacing w:before="60"/>
        <w:ind w:left="1860" w:right="1915"/>
      </w:pPr>
      <w:r>
        <w:rPr/>
        <w:t>The principal objective of the company is to provide English and Academic Pathways programs to the University, complemented by other professional and community programs, consistent with Western Sydney University imperatives.</w:t>
      </w:r>
    </w:p>
    <w:p>
      <w:pPr>
        <w:pStyle w:val="BodyText"/>
      </w:pPr>
    </w:p>
    <w:p>
      <w:pPr>
        <w:pStyle w:val="BodyText"/>
        <w:spacing w:before="120"/>
        <w:ind w:left="1860"/>
      </w:pPr>
      <w:r>
        <w:rPr>
          <w:u w:val="single"/>
        </w:rPr>
        <w:t>Principal Activities and Strategic Projects</w:t>
      </w:r>
    </w:p>
    <w:p>
      <w:pPr>
        <w:pStyle w:val="BodyText"/>
        <w:spacing w:before="59"/>
        <w:ind w:left="1860"/>
      </w:pPr>
      <w:r>
        <w:rPr/>
        <w:t>The principal activities of the company are structured into the following three key areas:</w:t>
      </w:r>
    </w:p>
    <w:p>
      <w:pPr>
        <w:pStyle w:val="BodyText"/>
        <w:spacing w:before="11"/>
        <w:rPr>
          <w:sz w:val="17"/>
        </w:rPr>
      </w:pPr>
    </w:p>
    <w:p>
      <w:pPr>
        <w:pStyle w:val="ListParagraph"/>
        <w:numPr>
          <w:ilvl w:val="0"/>
          <w:numId w:val="96"/>
        </w:numPr>
        <w:tabs>
          <w:tab w:pos="2580" w:val="left" w:leader="none"/>
        </w:tabs>
        <w:spacing w:line="240" w:lineRule="auto" w:before="0" w:after="0"/>
        <w:ind w:left="2580" w:right="1907" w:hanging="360"/>
        <w:jc w:val="left"/>
        <w:rPr>
          <w:sz w:val="18"/>
        </w:rPr>
      </w:pPr>
      <w:r>
        <w:rPr/>
        <w:drawing>
          <wp:anchor distT="0" distB="0" distL="0" distR="0" allowOverlap="1" layoutInCell="1" locked="0" behindDoc="0" simplePos="0" relativeHeight="16768">
            <wp:simplePos x="0" y="0"/>
            <wp:positionH relativeFrom="page">
              <wp:posOffset>-1587</wp:posOffset>
            </wp:positionH>
            <wp:positionV relativeFrom="paragraph">
              <wp:posOffset>455176</wp:posOffset>
            </wp:positionV>
            <wp:extent cx="136525" cy="155575"/>
            <wp:effectExtent l="0" t="0" r="0" b="0"/>
            <wp:wrapNone/>
            <wp:docPr id="1165" name="image22.png" descr=""/>
            <wp:cNvGraphicFramePr>
              <a:graphicFrameLocks noChangeAspect="1"/>
            </wp:cNvGraphicFramePr>
            <a:graphic>
              <a:graphicData uri="http://schemas.openxmlformats.org/drawingml/2006/picture">
                <pic:pic>
                  <pic:nvPicPr>
                    <pic:cNvPr id="1166" name="image22.png"/>
                    <pic:cNvPicPr/>
                  </pic:nvPicPr>
                  <pic:blipFill>
                    <a:blip r:embed="rId28" cstate="print"/>
                    <a:stretch>
                      <a:fillRect/>
                    </a:stretch>
                  </pic:blipFill>
                  <pic:spPr>
                    <a:xfrm>
                      <a:off x="0" y="0"/>
                      <a:ext cx="136525" cy="155575"/>
                    </a:xfrm>
                    <a:prstGeom prst="rect">
                      <a:avLst/>
                    </a:prstGeom>
                  </pic:spPr>
                </pic:pic>
              </a:graphicData>
            </a:graphic>
          </wp:anchor>
        </w:drawing>
      </w:r>
      <w:r>
        <w:rPr/>
        <w:drawing>
          <wp:anchor distT="0" distB="0" distL="0" distR="0" allowOverlap="1" layoutInCell="1" locked="0" behindDoc="0" simplePos="0" relativeHeight="16792">
            <wp:simplePos x="0" y="0"/>
            <wp:positionH relativeFrom="page">
              <wp:posOffset>7957756</wp:posOffset>
            </wp:positionH>
            <wp:positionV relativeFrom="paragraph">
              <wp:posOffset>455176</wp:posOffset>
            </wp:positionV>
            <wp:extent cx="136627" cy="155575"/>
            <wp:effectExtent l="0" t="0" r="0" b="0"/>
            <wp:wrapNone/>
            <wp:docPr id="1167" name="image26.png" descr=""/>
            <wp:cNvGraphicFramePr>
              <a:graphicFrameLocks noChangeAspect="1"/>
            </wp:cNvGraphicFramePr>
            <a:graphic>
              <a:graphicData uri="http://schemas.openxmlformats.org/drawingml/2006/picture">
                <pic:pic>
                  <pic:nvPicPr>
                    <pic:cNvPr id="1168" name="image26.png"/>
                    <pic:cNvPicPr/>
                  </pic:nvPicPr>
                  <pic:blipFill>
                    <a:blip r:embed="rId45" cstate="print"/>
                    <a:stretch>
                      <a:fillRect/>
                    </a:stretch>
                  </pic:blipFill>
                  <pic:spPr>
                    <a:xfrm>
                      <a:off x="0" y="0"/>
                      <a:ext cx="136627" cy="155575"/>
                    </a:xfrm>
                    <a:prstGeom prst="rect">
                      <a:avLst/>
                    </a:prstGeom>
                  </pic:spPr>
                </pic:pic>
              </a:graphicData>
            </a:graphic>
          </wp:anchor>
        </w:drawing>
      </w:r>
      <w:r>
        <w:rPr>
          <w:sz w:val="18"/>
        </w:rPr>
        <w:t>Academic Pathways which provides Foundation Studies and a variety of Diploma programs for students proceeding to an academic degree at Western Sydney University. The College continues to offer the Extended Four Term Diploma in addition to the existing University Foundation Studies and Diplomas courses (that are equivalent to first year University programs). The College established the Western Sydney</w:t>
      </w:r>
      <w:r>
        <w:rPr>
          <w:spacing w:val="-7"/>
          <w:sz w:val="18"/>
        </w:rPr>
        <w:t> </w:t>
      </w:r>
      <w:r>
        <w:rPr>
          <w:sz w:val="18"/>
        </w:rPr>
        <w:t>University</w:t>
      </w:r>
      <w:r>
        <w:rPr>
          <w:spacing w:val="-7"/>
          <w:sz w:val="18"/>
        </w:rPr>
        <w:t> </w:t>
      </w:r>
      <w:r>
        <w:rPr>
          <w:sz w:val="18"/>
        </w:rPr>
        <w:t>International</w:t>
      </w:r>
      <w:r>
        <w:rPr>
          <w:spacing w:val="-7"/>
          <w:sz w:val="18"/>
        </w:rPr>
        <w:t> </w:t>
      </w:r>
      <w:r>
        <w:rPr>
          <w:sz w:val="18"/>
        </w:rPr>
        <w:t>College</w:t>
      </w:r>
      <w:r>
        <w:rPr>
          <w:spacing w:val="-7"/>
          <w:sz w:val="18"/>
        </w:rPr>
        <w:t> </w:t>
      </w:r>
      <w:r>
        <w:rPr>
          <w:sz w:val="18"/>
        </w:rPr>
        <w:t>("the</w:t>
      </w:r>
      <w:r>
        <w:rPr>
          <w:spacing w:val="-7"/>
          <w:sz w:val="18"/>
        </w:rPr>
        <w:t> </w:t>
      </w:r>
      <w:r>
        <w:rPr>
          <w:sz w:val="18"/>
        </w:rPr>
        <w:t>International</w:t>
      </w:r>
      <w:r>
        <w:rPr>
          <w:spacing w:val="-6"/>
          <w:sz w:val="18"/>
        </w:rPr>
        <w:t> </w:t>
      </w:r>
      <w:r>
        <w:rPr>
          <w:sz w:val="18"/>
        </w:rPr>
        <w:t>College")</w:t>
      </w:r>
      <w:r>
        <w:rPr>
          <w:spacing w:val="-7"/>
          <w:sz w:val="18"/>
        </w:rPr>
        <w:t> </w:t>
      </w:r>
      <w:r>
        <w:rPr>
          <w:sz w:val="18"/>
        </w:rPr>
        <w:t>as</w:t>
      </w:r>
      <w:r>
        <w:rPr>
          <w:spacing w:val="-7"/>
          <w:sz w:val="18"/>
        </w:rPr>
        <w:t> </w:t>
      </w:r>
      <w:r>
        <w:rPr>
          <w:sz w:val="18"/>
        </w:rPr>
        <w:t>a</w:t>
      </w:r>
      <w:r>
        <w:rPr>
          <w:spacing w:val="-7"/>
          <w:sz w:val="18"/>
        </w:rPr>
        <w:t> </w:t>
      </w:r>
      <w:r>
        <w:rPr>
          <w:sz w:val="18"/>
        </w:rPr>
        <w:t>joint</w:t>
      </w:r>
      <w:r>
        <w:rPr>
          <w:spacing w:val="-7"/>
          <w:sz w:val="18"/>
        </w:rPr>
        <w:t> </w:t>
      </w:r>
      <w:r>
        <w:rPr>
          <w:sz w:val="18"/>
        </w:rPr>
        <w:t>venture</w:t>
      </w:r>
      <w:r>
        <w:rPr>
          <w:spacing w:val="-5"/>
          <w:sz w:val="18"/>
        </w:rPr>
        <w:t> </w:t>
      </w:r>
      <w:r>
        <w:rPr>
          <w:sz w:val="18"/>
        </w:rPr>
        <w:t>with</w:t>
      </w:r>
      <w:r>
        <w:rPr>
          <w:spacing w:val="-7"/>
          <w:sz w:val="18"/>
        </w:rPr>
        <w:t> </w:t>
      </w:r>
      <w:r>
        <w:rPr>
          <w:sz w:val="18"/>
        </w:rPr>
        <w:t>Navitas</w:t>
      </w:r>
      <w:r>
        <w:rPr>
          <w:spacing w:val="-7"/>
          <w:sz w:val="18"/>
        </w:rPr>
        <w:t> </w:t>
      </w:r>
      <w:r>
        <w:rPr>
          <w:sz w:val="18"/>
        </w:rPr>
        <w:t>Ltd.</w:t>
      </w:r>
    </w:p>
    <w:p>
      <w:pPr>
        <w:pStyle w:val="ListParagraph"/>
        <w:numPr>
          <w:ilvl w:val="0"/>
          <w:numId w:val="96"/>
        </w:numPr>
        <w:tabs>
          <w:tab w:pos="2580" w:val="left" w:leader="none"/>
        </w:tabs>
        <w:spacing w:line="240" w:lineRule="auto" w:before="0" w:after="0"/>
        <w:ind w:left="2580" w:right="1990" w:hanging="360"/>
        <w:jc w:val="left"/>
        <w:rPr>
          <w:sz w:val="18"/>
        </w:rPr>
      </w:pPr>
      <w:r>
        <w:rPr>
          <w:sz w:val="18"/>
        </w:rPr>
        <w:t>English Programs which enable international students to gain the academic English skills essential for university entrance. This unit also provides a diversity of programmes for international groups including industry</w:t>
      </w:r>
      <w:r>
        <w:rPr>
          <w:spacing w:val="-7"/>
          <w:sz w:val="18"/>
        </w:rPr>
        <w:t> </w:t>
      </w:r>
      <w:r>
        <w:rPr>
          <w:sz w:val="18"/>
        </w:rPr>
        <w:t>visits</w:t>
      </w:r>
      <w:r>
        <w:rPr>
          <w:spacing w:val="-5"/>
          <w:sz w:val="18"/>
        </w:rPr>
        <w:t> </w:t>
      </w:r>
      <w:r>
        <w:rPr>
          <w:sz w:val="18"/>
        </w:rPr>
        <w:t>and</w:t>
      </w:r>
      <w:r>
        <w:rPr>
          <w:spacing w:val="-5"/>
          <w:sz w:val="18"/>
        </w:rPr>
        <w:t> </w:t>
      </w:r>
      <w:r>
        <w:rPr>
          <w:sz w:val="18"/>
        </w:rPr>
        <w:t>cultural</w:t>
      </w:r>
      <w:r>
        <w:rPr>
          <w:spacing w:val="-5"/>
          <w:sz w:val="18"/>
        </w:rPr>
        <w:t> </w:t>
      </w:r>
      <w:r>
        <w:rPr>
          <w:sz w:val="18"/>
        </w:rPr>
        <w:t>immersion,</w:t>
      </w:r>
      <w:r>
        <w:rPr>
          <w:spacing w:val="-5"/>
          <w:sz w:val="18"/>
        </w:rPr>
        <w:t> </w:t>
      </w:r>
      <w:r>
        <w:rPr>
          <w:sz w:val="18"/>
        </w:rPr>
        <w:t>as</w:t>
      </w:r>
      <w:r>
        <w:rPr>
          <w:spacing w:val="-3"/>
          <w:sz w:val="18"/>
        </w:rPr>
        <w:t> </w:t>
      </w:r>
      <w:r>
        <w:rPr>
          <w:sz w:val="18"/>
        </w:rPr>
        <w:t>well</w:t>
      </w:r>
      <w:r>
        <w:rPr>
          <w:spacing w:val="-5"/>
          <w:sz w:val="18"/>
        </w:rPr>
        <w:t> </w:t>
      </w:r>
      <w:r>
        <w:rPr>
          <w:sz w:val="18"/>
        </w:rPr>
        <w:t>is</w:t>
      </w:r>
      <w:r>
        <w:rPr>
          <w:spacing w:val="-6"/>
          <w:sz w:val="18"/>
        </w:rPr>
        <w:t> </w:t>
      </w:r>
      <w:r>
        <w:rPr>
          <w:sz w:val="18"/>
        </w:rPr>
        <w:t>IELTS</w:t>
      </w:r>
      <w:r>
        <w:rPr>
          <w:spacing w:val="-5"/>
          <w:sz w:val="18"/>
        </w:rPr>
        <w:t> </w:t>
      </w:r>
      <w:r>
        <w:rPr>
          <w:sz w:val="18"/>
        </w:rPr>
        <w:t>and</w:t>
      </w:r>
      <w:r>
        <w:rPr>
          <w:spacing w:val="-5"/>
          <w:sz w:val="18"/>
        </w:rPr>
        <w:t> </w:t>
      </w:r>
      <w:r>
        <w:rPr>
          <w:sz w:val="18"/>
        </w:rPr>
        <w:t>other</w:t>
      </w:r>
      <w:r>
        <w:rPr>
          <w:spacing w:val="-5"/>
          <w:sz w:val="18"/>
        </w:rPr>
        <w:t> </w:t>
      </w:r>
      <w:r>
        <w:rPr>
          <w:sz w:val="18"/>
        </w:rPr>
        <w:t>English-language</w:t>
      </w:r>
      <w:r>
        <w:rPr>
          <w:spacing w:val="-5"/>
          <w:sz w:val="18"/>
        </w:rPr>
        <w:t> </w:t>
      </w:r>
      <w:r>
        <w:rPr>
          <w:sz w:val="18"/>
        </w:rPr>
        <w:t>assessment</w:t>
      </w:r>
      <w:r>
        <w:rPr>
          <w:spacing w:val="-5"/>
          <w:sz w:val="18"/>
        </w:rPr>
        <w:t> </w:t>
      </w:r>
      <w:r>
        <w:rPr>
          <w:sz w:val="18"/>
        </w:rPr>
        <w:t>tests.</w:t>
      </w:r>
    </w:p>
    <w:p>
      <w:pPr>
        <w:pStyle w:val="ListParagraph"/>
        <w:numPr>
          <w:ilvl w:val="0"/>
          <w:numId w:val="96"/>
        </w:numPr>
        <w:tabs>
          <w:tab w:pos="2580" w:val="left" w:leader="none"/>
        </w:tabs>
        <w:spacing w:line="240" w:lineRule="auto" w:before="0" w:after="0"/>
        <w:ind w:left="2580" w:right="1828" w:hanging="360"/>
        <w:jc w:val="left"/>
        <w:rPr>
          <w:sz w:val="18"/>
        </w:rPr>
      </w:pPr>
      <w:r>
        <w:rPr>
          <w:sz w:val="18"/>
        </w:rPr>
        <w:t>Professional and Community Programs which delivers VET sector courses, acts as the College Registered Training Organisation (RTO), and conducts Property and Trust Management, SKILLMAX and HSC preparation</w:t>
      </w:r>
      <w:r>
        <w:rPr>
          <w:spacing w:val="-17"/>
          <w:sz w:val="18"/>
        </w:rPr>
        <w:t> </w:t>
      </w:r>
      <w:r>
        <w:rPr>
          <w:sz w:val="18"/>
        </w:rPr>
        <w:t>courses.</w:t>
      </w:r>
    </w:p>
    <w:p>
      <w:pPr>
        <w:pStyle w:val="BodyText"/>
      </w:pPr>
    </w:p>
    <w:p>
      <w:pPr>
        <w:pStyle w:val="BodyText"/>
        <w:ind w:left="1859" w:right="2446"/>
      </w:pPr>
      <w:r>
        <w:rPr/>
        <w:t>During the 2016 financial year the company undertook numerous strategic projects in accordance with the company’s overall objectives and principal activities.</w:t>
      </w:r>
    </w:p>
    <w:p>
      <w:pPr>
        <w:pStyle w:val="BodyText"/>
      </w:pPr>
    </w:p>
    <w:p>
      <w:pPr>
        <w:pStyle w:val="BodyText"/>
        <w:spacing w:line="207" w:lineRule="exact"/>
        <w:ind w:left="1859"/>
      </w:pPr>
      <w:r>
        <w:rPr>
          <w:u w:val="single"/>
        </w:rPr>
        <w:t>Performance Measures</w:t>
      </w:r>
    </w:p>
    <w:p>
      <w:pPr>
        <w:pStyle w:val="BodyText"/>
        <w:spacing w:line="207" w:lineRule="exact"/>
        <w:ind w:left="1860"/>
      </w:pPr>
      <w:r>
        <w:rPr/>
        <w:t>The performance measures of the Company are both financial and non-financial:</w:t>
      </w:r>
    </w:p>
    <w:p>
      <w:pPr>
        <w:pStyle w:val="ListParagraph"/>
        <w:numPr>
          <w:ilvl w:val="0"/>
          <w:numId w:val="96"/>
        </w:numPr>
        <w:tabs>
          <w:tab w:pos="2580" w:val="left" w:leader="none"/>
        </w:tabs>
        <w:spacing w:line="240" w:lineRule="auto" w:before="0" w:after="0"/>
        <w:ind w:left="2580" w:right="2009" w:hanging="360"/>
        <w:jc w:val="left"/>
        <w:rPr>
          <w:sz w:val="18"/>
        </w:rPr>
      </w:pPr>
      <w:r>
        <w:rPr>
          <w:sz w:val="18"/>
        </w:rPr>
        <w:t>The relatively new Extended Diploma Program still provides some challenges in the prediction of load/revenue for the year. Other Academic Pathway Programs performed below expected</w:t>
      </w:r>
      <w:r>
        <w:rPr>
          <w:spacing w:val="-11"/>
          <w:sz w:val="18"/>
        </w:rPr>
        <w:t> </w:t>
      </w:r>
      <w:r>
        <w:rPr>
          <w:sz w:val="18"/>
        </w:rPr>
        <w:t>projections.</w:t>
      </w:r>
    </w:p>
    <w:p>
      <w:pPr>
        <w:pStyle w:val="ListParagraph"/>
        <w:numPr>
          <w:ilvl w:val="0"/>
          <w:numId w:val="96"/>
        </w:numPr>
        <w:tabs>
          <w:tab w:pos="2580" w:val="left" w:leader="none"/>
        </w:tabs>
        <w:spacing w:line="240" w:lineRule="auto" w:before="0" w:after="0"/>
        <w:ind w:left="2580" w:right="2088" w:hanging="360"/>
        <w:jc w:val="left"/>
        <w:rPr>
          <w:sz w:val="18"/>
        </w:rPr>
      </w:pPr>
      <w:r>
        <w:rPr>
          <w:sz w:val="18"/>
        </w:rPr>
        <w:t>Shift towards International College as preferred provider for international pathways along with general decrease</w:t>
      </w:r>
      <w:r>
        <w:rPr>
          <w:spacing w:val="-4"/>
          <w:sz w:val="18"/>
        </w:rPr>
        <w:t> </w:t>
      </w:r>
      <w:r>
        <w:rPr>
          <w:sz w:val="18"/>
        </w:rPr>
        <w:t>in</w:t>
      </w:r>
      <w:r>
        <w:rPr>
          <w:spacing w:val="-4"/>
          <w:sz w:val="18"/>
        </w:rPr>
        <w:t> </w:t>
      </w:r>
      <w:r>
        <w:rPr>
          <w:sz w:val="18"/>
        </w:rPr>
        <w:t>international</w:t>
      </w:r>
      <w:r>
        <w:rPr>
          <w:spacing w:val="-4"/>
          <w:sz w:val="18"/>
        </w:rPr>
        <w:t> </w:t>
      </w:r>
      <w:r>
        <w:rPr>
          <w:sz w:val="18"/>
        </w:rPr>
        <w:t>enrolments</w:t>
      </w:r>
      <w:r>
        <w:rPr>
          <w:spacing w:val="-4"/>
          <w:sz w:val="18"/>
        </w:rPr>
        <w:t> </w:t>
      </w:r>
      <w:r>
        <w:rPr>
          <w:sz w:val="18"/>
        </w:rPr>
        <w:t>is</w:t>
      </w:r>
      <w:r>
        <w:rPr>
          <w:spacing w:val="-4"/>
          <w:sz w:val="18"/>
        </w:rPr>
        <w:t> </w:t>
      </w:r>
      <w:r>
        <w:rPr>
          <w:sz w:val="18"/>
        </w:rPr>
        <w:t>having</w:t>
      </w:r>
      <w:r>
        <w:rPr>
          <w:spacing w:val="-4"/>
          <w:sz w:val="18"/>
        </w:rPr>
        <w:t> </w:t>
      </w:r>
      <w:r>
        <w:rPr>
          <w:sz w:val="18"/>
        </w:rPr>
        <w:t>an</w:t>
      </w:r>
      <w:r>
        <w:rPr>
          <w:spacing w:val="-4"/>
          <w:sz w:val="18"/>
        </w:rPr>
        <w:t> </w:t>
      </w:r>
      <w:r>
        <w:rPr>
          <w:sz w:val="18"/>
        </w:rPr>
        <w:t>impact</w:t>
      </w:r>
      <w:r>
        <w:rPr>
          <w:spacing w:val="-4"/>
          <w:sz w:val="18"/>
        </w:rPr>
        <w:t> </w:t>
      </w:r>
      <w:r>
        <w:rPr>
          <w:sz w:val="18"/>
        </w:rPr>
        <w:t>on</w:t>
      </w:r>
      <w:r>
        <w:rPr>
          <w:spacing w:val="-4"/>
          <w:sz w:val="18"/>
        </w:rPr>
        <w:t> </w:t>
      </w:r>
      <w:r>
        <w:rPr>
          <w:sz w:val="18"/>
        </w:rPr>
        <w:t>Income</w:t>
      </w:r>
    </w:p>
    <w:p>
      <w:pPr>
        <w:pStyle w:val="ListParagraph"/>
        <w:numPr>
          <w:ilvl w:val="0"/>
          <w:numId w:val="96"/>
        </w:numPr>
        <w:tabs>
          <w:tab w:pos="2580" w:val="left" w:leader="none"/>
        </w:tabs>
        <w:spacing w:line="240" w:lineRule="auto" w:before="0" w:after="0"/>
        <w:ind w:left="2580" w:right="0" w:hanging="360"/>
        <w:jc w:val="left"/>
        <w:rPr>
          <w:sz w:val="18"/>
        </w:rPr>
      </w:pPr>
      <w:r>
        <w:rPr>
          <w:sz w:val="18"/>
        </w:rPr>
        <w:t>English Programs continue to be affected by Visa</w:t>
      </w:r>
      <w:r>
        <w:rPr>
          <w:spacing w:val="-34"/>
          <w:sz w:val="18"/>
        </w:rPr>
        <w:t> </w:t>
      </w:r>
      <w:r>
        <w:rPr>
          <w:sz w:val="18"/>
        </w:rPr>
        <w:t>issues.</w:t>
      </w:r>
    </w:p>
    <w:p>
      <w:pPr>
        <w:pStyle w:val="BodyText"/>
      </w:pPr>
    </w:p>
    <w:tbl>
      <w:tblPr>
        <w:tblW w:w="0" w:type="auto"/>
        <w:jc w:val="left"/>
        <w:tblInd w:w="18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416"/>
        <w:gridCol w:w="1985"/>
        <w:gridCol w:w="1985"/>
        <w:gridCol w:w="1700"/>
      </w:tblGrid>
      <w:tr>
        <w:trPr>
          <w:trHeight w:val="601" w:hRule="exact"/>
        </w:trPr>
        <w:tc>
          <w:tcPr>
            <w:tcW w:w="3416" w:type="dxa"/>
          </w:tcPr>
          <w:p>
            <w:pPr>
              <w:pStyle w:val="TableParagraph"/>
              <w:spacing w:before="1"/>
              <w:jc w:val="left"/>
              <w:rPr>
                <w:sz w:val="16"/>
              </w:rPr>
            </w:pPr>
          </w:p>
          <w:p>
            <w:pPr>
              <w:pStyle w:val="TableParagraph"/>
              <w:ind w:left="98"/>
              <w:jc w:val="left"/>
              <w:rPr>
                <w:b/>
                <w:i/>
                <w:sz w:val="18"/>
              </w:rPr>
            </w:pPr>
            <w:r>
              <w:rPr>
                <w:b/>
                <w:i/>
                <w:sz w:val="18"/>
              </w:rPr>
              <w:t>Category</w:t>
            </w:r>
          </w:p>
        </w:tc>
        <w:tc>
          <w:tcPr>
            <w:tcW w:w="1985" w:type="dxa"/>
          </w:tcPr>
          <w:p>
            <w:pPr>
              <w:pStyle w:val="TableParagraph"/>
              <w:spacing w:before="1"/>
              <w:jc w:val="left"/>
              <w:rPr>
                <w:sz w:val="16"/>
              </w:rPr>
            </w:pPr>
          </w:p>
          <w:p>
            <w:pPr>
              <w:pStyle w:val="TableParagraph"/>
              <w:ind w:right="49"/>
              <w:rPr>
                <w:b/>
                <w:i/>
                <w:sz w:val="18"/>
              </w:rPr>
            </w:pPr>
            <w:r>
              <w:rPr>
                <w:b/>
                <w:i/>
                <w:sz w:val="18"/>
              </w:rPr>
              <w:t>FY 2016 Actual</w:t>
            </w:r>
          </w:p>
        </w:tc>
        <w:tc>
          <w:tcPr>
            <w:tcW w:w="1985" w:type="dxa"/>
          </w:tcPr>
          <w:p>
            <w:pPr>
              <w:pStyle w:val="TableParagraph"/>
              <w:spacing w:before="1"/>
              <w:jc w:val="left"/>
              <w:rPr>
                <w:sz w:val="16"/>
              </w:rPr>
            </w:pPr>
          </w:p>
          <w:p>
            <w:pPr>
              <w:pStyle w:val="TableParagraph"/>
              <w:ind w:right="50"/>
              <w:rPr>
                <w:b/>
                <w:i/>
                <w:sz w:val="18"/>
              </w:rPr>
            </w:pPr>
            <w:r>
              <w:rPr>
                <w:b/>
                <w:i/>
                <w:sz w:val="18"/>
              </w:rPr>
              <w:t>Annual 2016 Budget</w:t>
            </w:r>
          </w:p>
        </w:tc>
        <w:tc>
          <w:tcPr>
            <w:tcW w:w="1700" w:type="dxa"/>
          </w:tcPr>
          <w:p>
            <w:pPr>
              <w:pStyle w:val="TableParagraph"/>
              <w:spacing w:before="82"/>
              <w:ind w:left="857" w:right="32" w:hanging="179"/>
              <w:jc w:val="left"/>
              <w:rPr>
                <w:b/>
                <w:i/>
                <w:sz w:val="18"/>
              </w:rPr>
            </w:pPr>
            <w:r>
              <w:rPr>
                <w:b/>
                <w:i/>
                <w:sz w:val="18"/>
              </w:rPr>
              <w:t>% Full year </w:t>
            </w:r>
            <w:r>
              <w:rPr>
                <w:b/>
                <w:i/>
                <w:sz w:val="18"/>
              </w:rPr>
              <w:t>achieved</w:t>
            </w:r>
          </w:p>
        </w:tc>
      </w:tr>
      <w:tr>
        <w:trPr>
          <w:trHeight w:val="289" w:hRule="exact"/>
        </w:trPr>
        <w:tc>
          <w:tcPr>
            <w:tcW w:w="3416" w:type="dxa"/>
          </w:tcPr>
          <w:p>
            <w:pPr>
              <w:pStyle w:val="TableParagraph"/>
              <w:spacing w:before="61"/>
              <w:ind w:left="98"/>
              <w:jc w:val="left"/>
              <w:rPr>
                <w:sz w:val="18"/>
              </w:rPr>
            </w:pPr>
            <w:r>
              <w:rPr>
                <w:sz w:val="18"/>
              </w:rPr>
              <w:t>Revenue</w:t>
            </w:r>
          </w:p>
        </w:tc>
        <w:tc>
          <w:tcPr>
            <w:tcW w:w="1985" w:type="dxa"/>
          </w:tcPr>
          <w:p>
            <w:pPr>
              <w:pStyle w:val="TableParagraph"/>
              <w:spacing w:before="61"/>
              <w:ind w:right="50"/>
              <w:rPr>
                <w:sz w:val="18"/>
              </w:rPr>
            </w:pPr>
            <w:r>
              <w:rPr>
                <w:sz w:val="18"/>
              </w:rPr>
              <w:t>$59,992,274</w:t>
            </w:r>
          </w:p>
        </w:tc>
        <w:tc>
          <w:tcPr>
            <w:tcW w:w="1985" w:type="dxa"/>
          </w:tcPr>
          <w:p>
            <w:pPr>
              <w:pStyle w:val="TableParagraph"/>
              <w:spacing w:before="61"/>
              <w:ind w:right="51"/>
              <w:rPr>
                <w:sz w:val="18"/>
              </w:rPr>
            </w:pPr>
            <w:r>
              <w:rPr>
                <w:sz w:val="18"/>
              </w:rPr>
              <w:t>$65,111,780</w:t>
            </w:r>
          </w:p>
        </w:tc>
        <w:tc>
          <w:tcPr>
            <w:tcW w:w="1700" w:type="dxa"/>
          </w:tcPr>
          <w:p>
            <w:pPr>
              <w:pStyle w:val="TableParagraph"/>
              <w:spacing w:before="61"/>
              <w:ind w:right="52"/>
              <w:rPr>
                <w:sz w:val="18"/>
              </w:rPr>
            </w:pPr>
            <w:r>
              <w:rPr>
                <w:sz w:val="18"/>
              </w:rPr>
              <w:t>92%</w:t>
            </w:r>
          </w:p>
        </w:tc>
      </w:tr>
      <w:tr>
        <w:trPr>
          <w:trHeight w:val="290" w:hRule="exact"/>
        </w:trPr>
        <w:tc>
          <w:tcPr>
            <w:tcW w:w="3416" w:type="dxa"/>
          </w:tcPr>
          <w:p>
            <w:pPr>
              <w:pStyle w:val="TableParagraph"/>
              <w:spacing w:before="62"/>
              <w:ind w:left="98"/>
              <w:jc w:val="left"/>
              <w:rPr>
                <w:sz w:val="18"/>
              </w:rPr>
            </w:pPr>
            <w:r>
              <w:rPr>
                <w:sz w:val="18"/>
              </w:rPr>
              <w:t>Expenses</w:t>
            </w:r>
          </w:p>
        </w:tc>
        <w:tc>
          <w:tcPr>
            <w:tcW w:w="1985" w:type="dxa"/>
          </w:tcPr>
          <w:p>
            <w:pPr>
              <w:pStyle w:val="TableParagraph"/>
              <w:spacing w:before="62"/>
              <w:ind w:right="50"/>
              <w:rPr>
                <w:sz w:val="18"/>
              </w:rPr>
            </w:pPr>
            <w:r>
              <w:rPr>
                <w:sz w:val="18"/>
              </w:rPr>
              <w:t>$59,992,274</w:t>
            </w:r>
          </w:p>
        </w:tc>
        <w:tc>
          <w:tcPr>
            <w:tcW w:w="1985" w:type="dxa"/>
          </w:tcPr>
          <w:p>
            <w:pPr>
              <w:pStyle w:val="TableParagraph"/>
              <w:spacing w:before="62"/>
              <w:ind w:right="51"/>
              <w:rPr>
                <w:sz w:val="18"/>
              </w:rPr>
            </w:pPr>
            <w:r>
              <w:rPr>
                <w:sz w:val="18"/>
              </w:rPr>
              <w:t>$64,683,688</w:t>
            </w:r>
          </w:p>
        </w:tc>
        <w:tc>
          <w:tcPr>
            <w:tcW w:w="1700" w:type="dxa"/>
          </w:tcPr>
          <w:p>
            <w:pPr>
              <w:pStyle w:val="TableParagraph"/>
              <w:spacing w:before="62"/>
              <w:ind w:right="52"/>
              <w:rPr>
                <w:sz w:val="18"/>
              </w:rPr>
            </w:pPr>
            <w:r>
              <w:rPr>
                <w:sz w:val="18"/>
              </w:rPr>
              <w:t>93%</w:t>
            </w:r>
          </w:p>
        </w:tc>
      </w:tr>
      <w:tr>
        <w:trPr>
          <w:trHeight w:val="290" w:hRule="exact"/>
        </w:trPr>
        <w:tc>
          <w:tcPr>
            <w:tcW w:w="3416" w:type="dxa"/>
          </w:tcPr>
          <w:p>
            <w:pPr>
              <w:pStyle w:val="TableParagraph"/>
              <w:spacing w:before="60"/>
              <w:ind w:left="98"/>
              <w:jc w:val="left"/>
              <w:rPr>
                <w:b/>
                <w:sz w:val="18"/>
              </w:rPr>
            </w:pPr>
            <w:r>
              <w:rPr>
                <w:b/>
                <w:sz w:val="18"/>
              </w:rPr>
              <w:t>Operating Surplus</w:t>
            </w:r>
          </w:p>
        </w:tc>
        <w:tc>
          <w:tcPr>
            <w:tcW w:w="1985" w:type="dxa"/>
          </w:tcPr>
          <w:p>
            <w:pPr>
              <w:pStyle w:val="TableParagraph"/>
              <w:spacing w:before="60"/>
              <w:ind w:right="49"/>
              <w:rPr>
                <w:b/>
                <w:sz w:val="18"/>
              </w:rPr>
            </w:pPr>
            <w:r>
              <w:rPr>
                <w:b/>
                <w:w w:val="99"/>
                <w:sz w:val="18"/>
              </w:rPr>
              <w:t>-</w:t>
            </w:r>
          </w:p>
        </w:tc>
        <w:tc>
          <w:tcPr>
            <w:tcW w:w="1985" w:type="dxa"/>
          </w:tcPr>
          <w:p>
            <w:pPr>
              <w:pStyle w:val="TableParagraph"/>
              <w:spacing w:before="60"/>
              <w:ind w:right="51"/>
              <w:rPr>
                <w:b/>
                <w:sz w:val="18"/>
              </w:rPr>
            </w:pPr>
            <w:r>
              <w:rPr>
                <w:b/>
                <w:sz w:val="18"/>
              </w:rPr>
              <w:t>$428,092</w:t>
            </w:r>
          </w:p>
        </w:tc>
        <w:tc>
          <w:tcPr>
            <w:tcW w:w="1700" w:type="dxa"/>
          </w:tcPr>
          <w:p>
            <w:pPr>
              <w:pStyle w:val="TableParagraph"/>
              <w:spacing w:before="61"/>
              <w:ind w:right="52"/>
              <w:rPr>
                <w:sz w:val="18"/>
              </w:rPr>
            </w:pPr>
            <w:r>
              <w:rPr>
                <w:sz w:val="18"/>
              </w:rPr>
              <w:t>0%</w:t>
            </w:r>
          </w:p>
        </w:tc>
      </w:tr>
      <w:tr>
        <w:trPr>
          <w:trHeight w:val="227" w:hRule="exact"/>
        </w:trPr>
        <w:tc>
          <w:tcPr>
            <w:tcW w:w="3416" w:type="dxa"/>
          </w:tcPr>
          <w:p>
            <w:pPr>
              <w:pStyle w:val="TableParagraph"/>
              <w:spacing w:line="205" w:lineRule="exact"/>
              <w:ind w:left="98"/>
              <w:jc w:val="left"/>
              <w:rPr>
                <w:sz w:val="18"/>
              </w:rPr>
            </w:pPr>
            <w:r>
              <w:rPr>
                <w:sz w:val="18"/>
              </w:rPr>
              <w:t>Accumulated Retained Earnings</w:t>
            </w:r>
          </w:p>
        </w:tc>
        <w:tc>
          <w:tcPr>
            <w:tcW w:w="1985" w:type="dxa"/>
          </w:tcPr>
          <w:p>
            <w:pPr>
              <w:pStyle w:val="TableParagraph"/>
              <w:spacing w:line="205" w:lineRule="exact"/>
              <w:ind w:right="50"/>
              <w:rPr>
                <w:sz w:val="18"/>
              </w:rPr>
            </w:pPr>
            <w:r>
              <w:rPr>
                <w:sz w:val="18"/>
              </w:rPr>
              <w:t>$6,765,448</w:t>
            </w:r>
          </w:p>
        </w:tc>
        <w:tc>
          <w:tcPr>
            <w:tcW w:w="1985" w:type="dxa"/>
          </w:tcPr>
          <w:p>
            <w:pPr/>
          </w:p>
        </w:tc>
        <w:tc>
          <w:tcPr>
            <w:tcW w:w="1700" w:type="dxa"/>
          </w:tcPr>
          <w:p>
            <w:pPr/>
          </w:p>
        </w:tc>
      </w:tr>
    </w:tbl>
    <w:p>
      <w:pPr>
        <w:pStyle w:val="BodyText"/>
        <w:spacing w:before="7"/>
        <w:rPr>
          <w:sz w:val="21"/>
        </w:rPr>
      </w:pPr>
    </w:p>
    <w:p>
      <w:pPr>
        <w:pStyle w:val="BodyText"/>
        <w:spacing w:before="77"/>
        <w:ind w:left="1860"/>
      </w:pPr>
      <w:r>
        <w:rPr>
          <w:u w:val="single"/>
        </w:rPr>
        <w:t>Management and Operations</w:t>
      </w:r>
    </w:p>
    <w:p>
      <w:pPr>
        <w:pStyle w:val="BodyText"/>
        <w:ind w:left="1860" w:right="1754"/>
      </w:pPr>
      <w:r>
        <w:rPr/>
        <w:t>UWS Enterprises Pty Ltd (trading as Western Sydney University The College) is a wholly owned entity of Western Sydney University. An independent Board of Directors is responsible for the overall operations of the company and the day to day activities are managed by a newly appointed Chief Executive Officer.</w:t>
      </w:r>
    </w:p>
    <w:p>
      <w:pPr>
        <w:spacing w:after="0"/>
        <w:sectPr>
          <w:pgSz w:w="12750" w:h="17680"/>
          <w:pgMar w:header="0" w:footer="907" w:top="1340" w:bottom="1100" w:left="0" w:right="0"/>
        </w:sectPr>
      </w:pPr>
    </w:p>
    <w:p>
      <w:pPr>
        <w:pStyle w:val="BodyText"/>
        <w:rPr>
          <w:sz w:val="20"/>
        </w:rPr>
      </w:pPr>
    </w:p>
    <w:p>
      <w:pPr>
        <w:pStyle w:val="BodyText"/>
        <w:spacing w:before="3"/>
        <w:rPr>
          <w:sz w:val="19"/>
        </w:rPr>
      </w:pPr>
    </w:p>
    <w:p>
      <w:pPr>
        <w:pStyle w:val="BodyText"/>
        <w:spacing w:before="77"/>
        <w:ind w:left="1860" w:right="1915"/>
      </w:pPr>
      <w:r>
        <w:rPr/>
        <w:t>The Board has oversight of the Academic Advisory Committee and the English and Professional and Community Programs Academic Advisory Committee. An Audit Committee of the Board was established in 2010 and has made a significant contribution to financial monitoring and reporting within the organisation.</w:t>
      </w:r>
    </w:p>
    <w:p>
      <w:pPr>
        <w:pStyle w:val="BodyText"/>
      </w:pPr>
    </w:p>
    <w:p>
      <w:pPr>
        <w:pStyle w:val="BodyText"/>
      </w:pPr>
    </w:p>
    <w:p>
      <w:pPr>
        <w:pStyle w:val="Heading4"/>
        <w:spacing w:before="157"/>
        <w:ind w:left="1860"/>
      </w:pPr>
      <w:r>
        <w:rPr/>
        <w:t>Whitlam Institute within Western Sydney University Limited</w:t>
      </w:r>
    </w:p>
    <w:p>
      <w:pPr>
        <w:pStyle w:val="BodyText"/>
        <w:spacing w:before="118"/>
        <w:ind w:left="1860"/>
      </w:pPr>
      <w:r>
        <w:rPr>
          <w:u w:val="single"/>
        </w:rPr>
        <w:t>Principal Objectives</w:t>
      </w:r>
    </w:p>
    <w:p>
      <w:pPr>
        <w:pStyle w:val="BodyText"/>
        <w:ind w:left="1859" w:right="1450"/>
      </w:pPr>
      <w:r>
        <w:rPr/>
        <w:t>The Whitlam Institute is a trustee of the Whitlam Institute within Western Sydney University Trust which was established by agreement between Western Sydney University and the Hon EG Whitlam in 2000. Its spirit is best captured in Gough’s own words when signing the Deed of Gift:</w:t>
      </w:r>
    </w:p>
    <w:p>
      <w:pPr>
        <w:pStyle w:val="BodyText"/>
        <w:spacing w:before="4"/>
        <w:rPr>
          <w:sz w:val="11"/>
        </w:rPr>
      </w:pPr>
    </w:p>
    <w:p>
      <w:pPr>
        <w:spacing w:before="77"/>
        <w:ind w:left="1859" w:right="1816" w:firstLine="0"/>
        <w:jc w:val="left"/>
        <w:rPr>
          <w:i/>
          <w:sz w:val="18"/>
        </w:rPr>
      </w:pPr>
      <w:r>
        <w:rPr>
          <w:i/>
          <w:sz w:val="18"/>
        </w:rPr>
        <w:t>‘The greatest contribution that I hope to bestow is inspiration. That the work and causes championed in my </w:t>
      </w:r>
      <w:r>
        <w:rPr>
          <w:i/>
          <w:sz w:val="18"/>
        </w:rPr>
        <w:t>parliamentary career and the statesman service that followed, will provide the basis for ongoing research and advocacy from this university into the contemporary challenges that confront and can improve the quality of life for all Australians.’[December 2003]</w:t>
      </w:r>
    </w:p>
    <w:p>
      <w:pPr>
        <w:pStyle w:val="BodyText"/>
        <w:spacing w:before="118"/>
        <w:ind w:left="1859"/>
      </w:pPr>
      <w:r>
        <w:rPr>
          <w:u w:val="single"/>
        </w:rPr>
        <w:t>Principal Activities and Strategic Projects</w:t>
      </w:r>
    </w:p>
    <w:p>
      <w:pPr>
        <w:pStyle w:val="BodyText"/>
        <w:ind w:left="1860" w:right="1795"/>
      </w:pPr>
      <w:r>
        <w:rPr/>
        <w:t>The Whitlam Institute works as an educator, policy influencer and research institute. It is also home to the Whitlam Prime Ministerial Collection and the Whitlam Reading Room which houses selected books and papers donated by Mr. Whitlam. The collection provides on-line access to papers held both at the Institute and in the National Archives. It maintains an active public education program.</w:t>
      </w:r>
    </w:p>
    <w:p>
      <w:pPr>
        <w:pStyle w:val="BodyText"/>
      </w:pPr>
    </w:p>
    <w:p>
      <w:pPr>
        <w:pStyle w:val="BodyText"/>
        <w:ind w:left="1860" w:right="2105"/>
      </w:pPr>
      <w:r>
        <w:rPr/>
        <w:t>The Institute's strategic program continues to expand in accordance with the intentions outlined in its current Strategic Plan 2016-2018 and subsequently amended in the mid-term review. The strategic priorities focus on:</w:t>
      </w:r>
    </w:p>
    <w:p>
      <w:pPr>
        <w:pStyle w:val="BodyText"/>
        <w:spacing w:before="11"/>
        <w:rPr>
          <w:sz w:val="17"/>
        </w:rPr>
      </w:pPr>
    </w:p>
    <w:p>
      <w:pPr>
        <w:pStyle w:val="ListParagraph"/>
        <w:numPr>
          <w:ilvl w:val="0"/>
          <w:numId w:val="96"/>
        </w:numPr>
        <w:tabs>
          <w:tab w:pos="2570" w:val="left" w:leader="none"/>
        </w:tabs>
        <w:spacing w:line="219" w:lineRule="exact" w:before="0" w:after="0"/>
        <w:ind w:left="2569" w:right="0" w:hanging="284"/>
        <w:jc w:val="left"/>
        <w:rPr>
          <w:sz w:val="18"/>
        </w:rPr>
      </w:pPr>
      <w:r>
        <w:rPr>
          <w:sz w:val="18"/>
        </w:rPr>
        <w:t>The historical</w:t>
      </w:r>
      <w:r>
        <w:rPr>
          <w:spacing w:val="-14"/>
          <w:sz w:val="18"/>
        </w:rPr>
        <w:t> </w:t>
      </w:r>
      <w:r>
        <w:rPr>
          <w:sz w:val="18"/>
        </w:rPr>
        <w:t>legacy;</w:t>
      </w:r>
    </w:p>
    <w:p>
      <w:pPr>
        <w:pStyle w:val="ListParagraph"/>
        <w:numPr>
          <w:ilvl w:val="0"/>
          <w:numId w:val="96"/>
        </w:numPr>
        <w:tabs>
          <w:tab w:pos="2570" w:val="left" w:leader="none"/>
        </w:tabs>
        <w:spacing w:line="219" w:lineRule="exact" w:before="0" w:after="0"/>
        <w:ind w:left="2569" w:right="0" w:hanging="284"/>
        <w:jc w:val="left"/>
        <w:rPr>
          <w:sz w:val="18"/>
        </w:rPr>
      </w:pPr>
      <w:r>
        <w:rPr>
          <w:sz w:val="18"/>
        </w:rPr>
        <w:t>Contemporary relevance through public policy</w:t>
      </w:r>
      <w:r>
        <w:rPr>
          <w:spacing w:val="-30"/>
          <w:sz w:val="18"/>
        </w:rPr>
        <w:t> </w:t>
      </w:r>
      <w:r>
        <w:rPr>
          <w:sz w:val="18"/>
        </w:rPr>
        <w:t>development;</w:t>
      </w:r>
    </w:p>
    <w:p>
      <w:pPr>
        <w:pStyle w:val="ListParagraph"/>
        <w:numPr>
          <w:ilvl w:val="0"/>
          <w:numId w:val="96"/>
        </w:numPr>
        <w:tabs>
          <w:tab w:pos="2570" w:val="left" w:leader="none"/>
        </w:tabs>
        <w:spacing w:line="220" w:lineRule="exact" w:before="0" w:after="0"/>
        <w:ind w:left="2569" w:right="0" w:hanging="284"/>
        <w:jc w:val="left"/>
        <w:rPr>
          <w:sz w:val="18"/>
        </w:rPr>
      </w:pPr>
      <w:r>
        <w:rPr>
          <w:sz w:val="18"/>
        </w:rPr>
        <w:t>The education and outreach</w:t>
      </w:r>
      <w:r>
        <w:rPr>
          <w:spacing w:val="-20"/>
          <w:sz w:val="18"/>
        </w:rPr>
        <w:t> </w:t>
      </w:r>
      <w:r>
        <w:rPr>
          <w:sz w:val="18"/>
        </w:rPr>
        <w:t>program;</w:t>
      </w:r>
    </w:p>
    <w:p>
      <w:pPr>
        <w:pStyle w:val="ListParagraph"/>
        <w:numPr>
          <w:ilvl w:val="0"/>
          <w:numId w:val="96"/>
        </w:numPr>
        <w:tabs>
          <w:tab w:pos="2570" w:val="left" w:leader="none"/>
        </w:tabs>
        <w:spacing w:line="219" w:lineRule="exact" w:before="0" w:after="0"/>
        <w:ind w:left="2569" w:right="0" w:hanging="284"/>
        <w:jc w:val="left"/>
        <w:rPr>
          <w:sz w:val="18"/>
        </w:rPr>
      </w:pPr>
      <w:r>
        <w:rPr>
          <w:sz w:val="18"/>
        </w:rPr>
        <w:t>Governance;</w:t>
      </w:r>
    </w:p>
    <w:p>
      <w:pPr>
        <w:pStyle w:val="ListParagraph"/>
        <w:numPr>
          <w:ilvl w:val="0"/>
          <w:numId w:val="96"/>
        </w:numPr>
        <w:tabs>
          <w:tab w:pos="2570" w:val="left" w:leader="none"/>
        </w:tabs>
        <w:spacing w:line="219" w:lineRule="exact" w:before="0" w:after="0"/>
        <w:ind w:left="2569" w:right="0" w:hanging="284"/>
        <w:jc w:val="left"/>
        <w:rPr>
          <w:sz w:val="18"/>
        </w:rPr>
      </w:pPr>
      <w:r>
        <w:rPr>
          <w:sz w:val="18"/>
        </w:rPr>
        <w:t>Organisation;</w:t>
      </w:r>
      <w:r>
        <w:rPr>
          <w:spacing w:val="-12"/>
          <w:sz w:val="18"/>
        </w:rPr>
        <w:t> </w:t>
      </w:r>
      <w:r>
        <w:rPr>
          <w:sz w:val="18"/>
        </w:rPr>
        <w:t>and</w:t>
      </w:r>
    </w:p>
    <w:p>
      <w:pPr>
        <w:pStyle w:val="ListParagraph"/>
        <w:numPr>
          <w:ilvl w:val="0"/>
          <w:numId w:val="96"/>
        </w:numPr>
        <w:tabs>
          <w:tab w:pos="2570" w:val="left" w:leader="none"/>
        </w:tabs>
        <w:spacing w:line="220" w:lineRule="exact" w:before="0" w:after="0"/>
        <w:ind w:left="2569" w:right="0" w:hanging="284"/>
        <w:jc w:val="left"/>
        <w:rPr>
          <w:sz w:val="18"/>
        </w:rPr>
      </w:pPr>
      <w:r>
        <w:rPr/>
        <w:drawing>
          <wp:anchor distT="0" distB="0" distL="0" distR="0" allowOverlap="1" layoutInCell="1" locked="0" behindDoc="0" simplePos="0" relativeHeight="16816">
            <wp:simplePos x="0" y="0"/>
            <wp:positionH relativeFrom="page">
              <wp:posOffset>-1587</wp:posOffset>
            </wp:positionH>
            <wp:positionV relativeFrom="paragraph">
              <wp:posOffset>180642</wp:posOffset>
            </wp:positionV>
            <wp:extent cx="136525" cy="155575"/>
            <wp:effectExtent l="0" t="0" r="0" b="0"/>
            <wp:wrapNone/>
            <wp:docPr id="1169" name="image22.png" descr=""/>
            <wp:cNvGraphicFramePr>
              <a:graphicFrameLocks noChangeAspect="1"/>
            </wp:cNvGraphicFramePr>
            <a:graphic>
              <a:graphicData uri="http://schemas.openxmlformats.org/drawingml/2006/picture">
                <pic:pic>
                  <pic:nvPicPr>
                    <pic:cNvPr id="1170" name="image22.png"/>
                    <pic:cNvPicPr/>
                  </pic:nvPicPr>
                  <pic:blipFill>
                    <a:blip r:embed="rId28" cstate="print"/>
                    <a:stretch>
                      <a:fillRect/>
                    </a:stretch>
                  </pic:blipFill>
                  <pic:spPr>
                    <a:xfrm>
                      <a:off x="0" y="0"/>
                      <a:ext cx="136525" cy="155575"/>
                    </a:xfrm>
                    <a:prstGeom prst="rect">
                      <a:avLst/>
                    </a:prstGeom>
                  </pic:spPr>
                </pic:pic>
              </a:graphicData>
            </a:graphic>
          </wp:anchor>
        </w:drawing>
      </w:r>
      <w:r>
        <w:rPr/>
        <w:drawing>
          <wp:anchor distT="0" distB="0" distL="0" distR="0" allowOverlap="1" layoutInCell="1" locked="0" behindDoc="0" simplePos="0" relativeHeight="16840">
            <wp:simplePos x="0" y="0"/>
            <wp:positionH relativeFrom="page">
              <wp:posOffset>7957756</wp:posOffset>
            </wp:positionH>
            <wp:positionV relativeFrom="paragraph">
              <wp:posOffset>180642</wp:posOffset>
            </wp:positionV>
            <wp:extent cx="136627" cy="155575"/>
            <wp:effectExtent l="0" t="0" r="0" b="0"/>
            <wp:wrapNone/>
            <wp:docPr id="1171" name="image26.png" descr=""/>
            <wp:cNvGraphicFramePr>
              <a:graphicFrameLocks noChangeAspect="1"/>
            </wp:cNvGraphicFramePr>
            <a:graphic>
              <a:graphicData uri="http://schemas.openxmlformats.org/drawingml/2006/picture">
                <pic:pic>
                  <pic:nvPicPr>
                    <pic:cNvPr id="1172" name="image26.png"/>
                    <pic:cNvPicPr/>
                  </pic:nvPicPr>
                  <pic:blipFill>
                    <a:blip r:embed="rId45" cstate="print"/>
                    <a:stretch>
                      <a:fillRect/>
                    </a:stretch>
                  </pic:blipFill>
                  <pic:spPr>
                    <a:xfrm>
                      <a:off x="0" y="0"/>
                      <a:ext cx="136627" cy="155575"/>
                    </a:xfrm>
                    <a:prstGeom prst="rect">
                      <a:avLst/>
                    </a:prstGeom>
                  </pic:spPr>
                </pic:pic>
              </a:graphicData>
            </a:graphic>
          </wp:anchor>
        </w:drawing>
      </w:r>
      <w:r>
        <w:rPr>
          <w:sz w:val="18"/>
        </w:rPr>
        <w:t>Resourcing.</w:t>
      </w:r>
    </w:p>
    <w:p>
      <w:pPr>
        <w:pStyle w:val="BodyText"/>
        <w:spacing w:before="10"/>
        <w:rPr>
          <w:sz w:val="17"/>
        </w:rPr>
      </w:pPr>
    </w:p>
    <w:p>
      <w:pPr>
        <w:pStyle w:val="BodyText"/>
        <w:spacing w:line="207" w:lineRule="exact"/>
        <w:ind w:left="1859"/>
      </w:pPr>
      <w:r>
        <w:rPr>
          <w:u w:val="single"/>
        </w:rPr>
        <w:t>Performance Measures</w:t>
      </w:r>
    </w:p>
    <w:p>
      <w:pPr>
        <w:pStyle w:val="BodyText"/>
        <w:ind w:left="1860" w:right="2575"/>
      </w:pPr>
      <w:r>
        <w:rPr/>
        <w:t>The performance measures of the Company are primarily of a non-financial nature and are driven by the philanthropic nature of the trust and the role of the trustee.</w:t>
      </w:r>
    </w:p>
    <w:p>
      <w:pPr>
        <w:pStyle w:val="BodyText"/>
      </w:pPr>
    </w:p>
    <w:p>
      <w:pPr>
        <w:pStyle w:val="BodyText"/>
        <w:spacing w:line="207" w:lineRule="exact"/>
        <w:ind w:left="1860"/>
      </w:pPr>
      <w:r>
        <w:rPr/>
        <w:t>The Whitlam Institute is guided by the ‘three great aims’ that drove the Whitlam Program of 1972. They are</w:t>
      </w:r>
    </w:p>
    <w:p>
      <w:pPr>
        <w:pStyle w:val="ListParagraph"/>
        <w:numPr>
          <w:ilvl w:val="0"/>
          <w:numId w:val="96"/>
        </w:numPr>
        <w:tabs>
          <w:tab w:pos="2580" w:val="left" w:leader="none"/>
        </w:tabs>
        <w:spacing w:line="220" w:lineRule="exact" w:before="0" w:after="0"/>
        <w:ind w:left="2580" w:right="0" w:hanging="360"/>
        <w:jc w:val="left"/>
        <w:rPr>
          <w:sz w:val="18"/>
        </w:rPr>
      </w:pPr>
      <w:r>
        <w:rPr>
          <w:sz w:val="18"/>
        </w:rPr>
        <w:t>to promote</w:t>
      </w:r>
      <w:r>
        <w:rPr>
          <w:spacing w:val="-11"/>
          <w:sz w:val="18"/>
        </w:rPr>
        <w:t> </w:t>
      </w:r>
      <w:r>
        <w:rPr>
          <w:sz w:val="18"/>
        </w:rPr>
        <w:t>equality</w:t>
      </w:r>
    </w:p>
    <w:p>
      <w:pPr>
        <w:pStyle w:val="ListParagraph"/>
        <w:numPr>
          <w:ilvl w:val="0"/>
          <w:numId w:val="96"/>
        </w:numPr>
        <w:tabs>
          <w:tab w:pos="2580" w:val="left" w:leader="none"/>
        </w:tabs>
        <w:spacing w:line="219" w:lineRule="exact" w:before="0" w:after="0"/>
        <w:ind w:left="2580" w:right="0" w:hanging="360"/>
        <w:jc w:val="left"/>
        <w:rPr>
          <w:sz w:val="18"/>
        </w:rPr>
      </w:pPr>
      <w:r>
        <w:rPr>
          <w:sz w:val="18"/>
        </w:rPr>
        <w:t>to</w:t>
      </w:r>
      <w:r>
        <w:rPr>
          <w:spacing w:val="-4"/>
          <w:sz w:val="18"/>
        </w:rPr>
        <w:t> </w:t>
      </w:r>
      <w:r>
        <w:rPr>
          <w:sz w:val="18"/>
        </w:rPr>
        <w:t>involve</w:t>
      </w:r>
      <w:r>
        <w:rPr>
          <w:spacing w:val="-4"/>
          <w:sz w:val="18"/>
        </w:rPr>
        <w:t> </w:t>
      </w:r>
      <w:r>
        <w:rPr>
          <w:sz w:val="18"/>
        </w:rPr>
        <w:t>the</w:t>
      </w:r>
      <w:r>
        <w:rPr>
          <w:spacing w:val="-4"/>
          <w:sz w:val="18"/>
        </w:rPr>
        <w:t> </w:t>
      </w:r>
      <w:r>
        <w:rPr>
          <w:sz w:val="18"/>
        </w:rPr>
        <w:t>people</w:t>
      </w:r>
      <w:r>
        <w:rPr>
          <w:spacing w:val="-4"/>
          <w:sz w:val="18"/>
        </w:rPr>
        <w:t> </w:t>
      </w:r>
      <w:r>
        <w:rPr>
          <w:sz w:val="18"/>
        </w:rPr>
        <w:t>of</w:t>
      </w:r>
      <w:r>
        <w:rPr>
          <w:spacing w:val="-4"/>
          <w:sz w:val="18"/>
        </w:rPr>
        <w:t> </w:t>
      </w:r>
      <w:r>
        <w:rPr>
          <w:sz w:val="18"/>
        </w:rPr>
        <w:t>Australia</w:t>
      </w:r>
      <w:r>
        <w:rPr>
          <w:spacing w:val="-4"/>
          <w:sz w:val="18"/>
        </w:rPr>
        <w:t> </w:t>
      </w:r>
      <w:r>
        <w:rPr>
          <w:sz w:val="18"/>
        </w:rPr>
        <w:t>in</w:t>
      </w:r>
      <w:r>
        <w:rPr>
          <w:spacing w:val="-4"/>
          <w:sz w:val="18"/>
        </w:rPr>
        <w:t> </w:t>
      </w:r>
      <w:r>
        <w:rPr>
          <w:sz w:val="18"/>
        </w:rPr>
        <w:t>the</w:t>
      </w:r>
      <w:r>
        <w:rPr>
          <w:spacing w:val="-4"/>
          <w:sz w:val="18"/>
        </w:rPr>
        <w:t> </w:t>
      </w:r>
      <w:r>
        <w:rPr>
          <w:sz w:val="18"/>
        </w:rPr>
        <w:t>decision-making</w:t>
      </w:r>
      <w:r>
        <w:rPr>
          <w:spacing w:val="-4"/>
          <w:sz w:val="18"/>
        </w:rPr>
        <w:t> </w:t>
      </w:r>
      <w:r>
        <w:rPr>
          <w:sz w:val="18"/>
        </w:rPr>
        <w:t>processes</w:t>
      </w:r>
      <w:r>
        <w:rPr>
          <w:spacing w:val="-4"/>
          <w:sz w:val="18"/>
        </w:rPr>
        <w:t> </w:t>
      </w:r>
      <w:r>
        <w:rPr>
          <w:sz w:val="18"/>
        </w:rPr>
        <w:t>of</w:t>
      </w:r>
      <w:r>
        <w:rPr>
          <w:spacing w:val="-4"/>
          <w:sz w:val="18"/>
        </w:rPr>
        <w:t> </w:t>
      </w:r>
      <w:r>
        <w:rPr>
          <w:sz w:val="18"/>
        </w:rPr>
        <w:t>our</w:t>
      </w:r>
      <w:r>
        <w:rPr>
          <w:spacing w:val="-4"/>
          <w:sz w:val="18"/>
        </w:rPr>
        <w:t> </w:t>
      </w:r>
      <w:r>
        <w:rPr>
          <w:sz w:val="18"/>
        </w:rPr>
        <w:t>land,</w:t>
      </w:r>
      <w:r>
        <w:rPr>
          <w:spacing w:val="-4"/>
          <w:sz w:val="18"/>
        </w:rPr>
        <w:t> </w:t>
      </w:r>
      <w:r>
        <w:rPr>
          <w:sz w:val="18"/>
        </w:rPr>
        <w:t>and</w:t>
      </w:r>
    </w:p>
    <w:p>
      <w:pPr>
        <w:pStyle w:val="ListParagraph"/>
        <w:numPr>
          <w:ilvl w:val="0"/>
          <w:numId w:val="96"/>
        </w:numPr>
        <w:tabs>
          <w:tab w:pos="2580" w:val="left" w:leader="none"/>
        </w:tabs>
        <w:spacing w:line="219" w:lineRule="exact" w:before="0" w:after="0"/>
        <w:ind w:left="2580" w:right="0" w:hanging="360"/>
        <w:jc w:val="left"/>
        <w:rPr>
          <w:sz w:val="18"/>
        </w:rPr>
      </w:pPr>
      <w:r>
        <w:rPr>
          <w:sz w:val="18"/>
        </w:rPr>
        <w:t>to</w:t>
      </w:r>
      <w:r>
        <w:rPr>
          <w:spacing w:val="-4"/>
          <w:sz w:val="18"/>
        </w:rPr>
        <w:t> </w:t>
      </w:r>
      <w:r>
        <w:rPr>
          <w:sz w:val="18"/>
        </w:rPr>
        <w:t>liberate</w:t>
      </w:r>
      <w:r>
        <w:rPr>
          <w:spacing w:val="-4"/>
          <w:sz w:val="18"/>
        </w:rPr>
        <w:t> </w:t>
      </w:r>
      <w:r>
        <w:rPr>
          <w:sz w:val="18"/>
        </w:rPr>
        <w:t>the</w:t>
      </w:r>
      <w:r>
        <w:rPr>
          <w:spacing w:val="-4"/>
          <w:sz w:val="18"/>
        </w:rPr>
        <w:t> </w:t>
      </w:r>
      <w:r>
        <w:rPr>
          <w:sz w:val="18"/>
        </w:rPr>
        <w:t>talents</w:t>
      </w:r>
      <w:r>
        <w:rPr>
          <w:spacing w:val="-4"/>
          <w:sz w:val="18"/>
        </w:rPr>
        <w:t> </w:t>
      </w:r>
      <w:r>
        <w:rPr>
          <w:sz w:val="18"/>
        </w:rPr>
        <w:t>and</w:t>
      </w:r>
      <w:r>
        <w:rPr>
          <w:spacing w:val="-4"/>
          <w:sz w:val="18"/>
        </w:rPr>
        <w:t> </w:t>
      </w:r>
      <w:r>
        <w:rPr>
          <w:sz w:val="18"/>
        </w:rPr>
        <w:t>uplift</w:t>
      </w:r>
      <w:r>
        <w:rPr>
          <w:spacing w:val="-4"/>
          <w:sz w:val="18"/>
        </w:rPr>
        <w:t> </w:t>
      </w:r>
      <w:r>
        <w:rPr>
          <w:sz w:val="18"/>
        </w:rPr>
        <w:t>the</w:t>
      </w:r>
      <w:r>
        <w:rPr>
          <w:spacing w:val="-4"/>
          <w:sz w:val="18"/>
        </w:rPr>
        <w:t> </w:t>
      </w:r>
      <w:r>
        <w:rPr>
          <w:sz w:val="18"/>
        </w:rPr>
        <w:t>horizons</w:t>
      </w:r>
      <w:r>
        <w:rPr>
          <w:spacing w:val="-3"/>
          <w:sz w:val="18"/>
        </w:rPr>
        <w:t> </w:t>
      </w:r>
      <w:r>
        <w:rPr>
          <w:sz w:val="18"/>
        </w:rPr>
        <w:t>of</w:t>
      </w:r>
      <w:r>
        <w:rPr>
          <w:spacing w:val="-4"/>
          <w:sz w:val="18"/>
        </w:rPr>
        <w:t> </w:t>
      </w:r>
      <w:r>
        <w:rPr>
          <w:sz w:val="18"/>
        </w:rPr>
        <w:t>the</w:t>
      </w:r>
      <w:r>
        <w:rPr>
          <w:spacing w:val="-4"/>
          <w:sz w:val="18"/>
        </w:rPr>
        <w:t> </w:t>
      </w:r>
      <w:r>
        <w:rPr>
          <w:sz w:val="18"/>
        </w:rPr>
        <w:t>Australian</w:t>
      </w:r>
      <w:r>
        <w:rPr>
          <w:spacing w:val="-5"/>
          <w:sz w:val="18"/>
        </w:rPr>
        <w:t> </w:t>
      </w:r>
      <w:r>
        <w:rPr>
          <w:sz w:val="18"/>
        </w:rPr>
        <w:t>people.</w:t>
      </w:r>
    </w:p>
    <w:p>
      <w:pPr>
        <w:pStyle w:val="BodyText"/>
        <w:rPr>
          <w:sz w:val="20"/>
        </w:rPr>
      </w:pPr>
    </w:p>
    <w:p>
      <w:pPr>
        <w:pStyle w:val="BodyText"/>
        <w:spacing w:before="1"/>
        <w:rPr>
          <w:sz w:val="16"/>
        </w:rPr>
      </w:pPr>
    </w:p>
    <w:tbl>
      <w:tblPr>
        <w:tblW w:w="0" w:type="auto"/>
        <w:jc w:val="left"/>
        <w:tblInd w:w="18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133"/>
        <w:gridCol w:w="1843"/>
        <w:gridCol w:w="2126"/>
        <w:gridCol w:w="1984"/>
      </w:tblGrid>
      <w:tr>
        <w:trPr>
          <w:trHeight w:val="502" w:hRule="exact"/>
        </w:trPr>
        <w:tc>
          <w:tcPr>
            <w:tcW w:w="3133" w:type="dxa"/>
          </w:tcPr>
          <w:p>
            <w:pPr>
              <w:pStyle w:val="TableParagraph"/>
              <w:spacing w:before="136"/>
              <w:ind w:left="98"/>
              <w:jc w:val="left"/>
              <w:rPr>
                <w:b/>
                <w:i/>
                <w:sz w:val="18"/>
              </w:rPr>
            </w:pPr>
            <w:r>
              <w:rPr>
                <w:b/>
                <w:i/>
                <w:sz w:val="18"/>
              </w:rPr>
              <w:t>Category</w:t>
            </w:r>
          </w:p>
        </w:tc>
        <w:tc>
          <w:tcPr>
            <w:tcW w:w="1843" w:type="dxa"/>
          </w:tcPr>
          <w:p>
            <w:pPr>
              <w:pStyle w:val="TableParagraph"/>
              <w:spacing w:before="136"/>
              <w:ind w:right="50"/>
              <w:rPr>
                <w:b/>
                <w:i/>
                <w:sz w:val="18"/>
              </w:rPr>
            </w:pPr>
            <w:r>
              <w:rPr>
                <w:b/>
                <w:i/>
                <w:sz w:val="18"/>
              </w:rPr>
              <w:t>FY 2016 Actual</w:t>
            </w:r>
          </w:p>
        </w:tc>
        <w:tc>
          <w:tcPr>
            <w:tcW w:w="2126" w:type="dxa"/>
          </w:tcPr>
          <w:p>
            <w:pPr>
              <w:pStyle w:val="TableParagraph"/>
              <w:spacing w:before="136"/>
              <w:ind w:right="50"/>
              <w:rPr>
                <w:b/>
                <w:i/>
                <w:sz w:val="18"/>
              </w:rPr>
            </w:pPr>
            <w:r>
              <w:rPr>
                <w:b/>
                <w:i/>
                <w:sz w:val="18"/>
              </w:rPr>
              <w:t>Annual 2016 Budget</w:t>
            </w:r>
          </w:p>
        </w:tc>
        <w:tc>
          <w:tcPr>
            <w:tcW w:w="1984" w:type="dxa"/>
          </w:tcPr>
          <w:p>
            <w:pPr>
              <w:pStyle w:val="TableParagraph"/>
              <w:spacing w:before="136"/>
              <w:ind w:right="49"/>
              <w:rPr>
                <w:b/>
                <w:i/>
                <w:sz w:val="18"/>
              </w:rPr>
            </w:pPr>
            <w:r>
              <w:rPr>
                <w:b/>
                <w:i/>
                <w:sz w:val="18"/>
              </w:rPr>
              <w:t>% Full year achieved</w:t>
            </w:r>
          </w:p>
        </w:tc>
      </w:tr>
      <w:tr>
        <w:trPr>
          <w:trHeight w:val="290" w:hRule="exact"/>
        </w:trPr>
        <w:tc>
          <w:tcPr>
            <w:tcW w:w="3133" w:type="dxa"/>
          </w:tcPr>
          <w:p>
            <w:pPr>
              <w:pStyle w:val="TableParagraph"/>
              <w:spacing w:before="61"/>
              <w:ind w:left="98"/>
              <w:jc w:val="left"/>
              <w:rPr>
                <w:sz w:val="18"/>
              </w:rPr>
            </w:pPr>
            <w:r>
              <w:rPr>
                <w:sz w:val="18"/>
              </w:rPr>
              <w:t>Revenue</w:t>
            </w:r>
          </w:p>
        </w:tc>
        <w:tc>
          <w:tcPr>
            <w:tcW w:w="1843" w:type="dxa"/>
          </w:tcPr>
          <w:p>
            <w:pPr>
              <w:pStyle w:val="TableParagraph"/>
              <w:spacing w:before="61"/>
              <w:ind w:right="51"/>
              <w:rPr>
                <w:sz w:val="18"/>
              </w:rPr>
            </w:pPr>
            <w:r>
              <w:rPr>
                <w:sz w:val="18"/>
              </w:rPr>
              <w:t>$196,379</w:t>
            </w:r>
          </w:p>
        </w:tc>
        <w:tc>
          <w:tcPr>
            <w:tcW w:w="2126" w:type="dxa"/>
          </w:tcPr>
          <w:p>
            <w:pPr>
              <w:pStyle w:val="TableParagraph"/>
              <w:spacing w:before="61"/>
              <w:ind w:right="51"/>
              <w:rPr>
                <w:sz w:val="18"/>
              </w:rPr>
            </w:pPr>
            <w:r>
              <w:rPr>
                <w:sz w:val="18"/>
              </w:rPr>
              <w:t>$158,694</w:t>
            </w:r>
          </w:p>
        </w:tc>
        <w:tc>
          <w:tcPr>
            <w:tcW w:w="1984" w:type="dxa"/>
          </w:tcPr>
          <w:p>
            <w:pPr>
              <w:pStyle w:val="TableParagraph"/>
              <w:spacing w:before="61"/>
              <w:ind w:right="50"/>
              <w:rPr>
                <w:sz w:val="18"/>
              </w:rPr>
            </w:pPr>
            <w:r>
              <w:rPr>
                <w:sz w:val="18"/>
              </w:rPr>
              <w:t>124%</w:t>
            </w:r>
          </w:p>
        </w:tc>
      </w:tr>
      <w:tr>
        <w:trPr>
          <w:trHeight w:val="290" w:hRule="exact"/>
        </w:trPr>
        <w:tc>
          <w:tcPr>
            <w:tcW w:w="3133" w:type="dxa"/>
          </w:tcPr>
          <w:p>
            <w:pPr>
              <w:pStyle w:val="TableParagraph"/>
              <w:spacing w:before="61"/>
              <w:ind w:left="98"/>
              <w:jc w:val="left"/>
              <w:rPr>
                <w:sz w:val="18"/>
              </w:rPr>
            </w:pPr>
            <w:r>
              <w:rPr>
                <w:sz w:val="18"/>
              </w:rPr>
              <w:t>Expenses</w:t>
            </w:r>
          </w:p>
        </w:tc>
        <w:tc>
          <w:tcPr>
            <w:tcW w:w="1843" w:type="dxa"/>
          </w:tcPr>
          <w:p>
            <w:pPr>
              <w:pStyle w:val="TableParagraph"/>
              <w:spacing w:before="61"/>
              <w:ind w:right="51"/>
              <w:rPr>
                <w:sz w:val="18"/>
              </w:rPr>
            </w:pPr>
            <w:r>
              <w:rPr>
                <w:sz w:val="18"/>
              </w:rPr>
              <w:t>$57,258</w:t>
            </w:r>
          </w:p>
        </w:tc>
        <w:tc>
          <w:tcPr>
            <w:tcW w:w="2126" w:type="dxa"/>
          </w:tcPr>
          <w:p>
            <w:pPr>
              <w:pStyle w:val="TableParagraph"/>
              <w:spacing w:before="61"/>
              <w:ind w:right="51"/>
              <w:rPr>
                <w:sz w:val="18"/>
              </w:rPr>
            </w:pPr>
            <w:r>
              <w:rPr>
                <w:sz w:val="18"/>
              </w:rPr>
              <w:t>$56,065</w:t>
            </w:r>
          </w:p>
        </w:tc>
        <w:tc>
          <w:tcPr>
            <w:tcW w:w="1984" w:type="dxa"/>
          </w:tcPr>
          <w:p>
            <w:pPr>
              <w:pStyle w:val="TableParagraph"/>
              <w:spacing w:before="61"/>
              <w:ind w:right="50"/>
              <w:rPr>
                <w:sz w:val="18"/>
              </w:rPr>
            </w:pPr>
            <w:r>
              <w:rPr>
                <w:sz w:val="18"/>
              </w:rPr>
              <w:t>102%</w:t>
            </w:r>
          </w:p>
        </w:tc>
      </w:tr>
      <w:tr>
        <w:trPr>
          <w:trHeight w:val="289" w:hRule="exact"/>
        </w:trPr>
        <w:tc>
          <w:tcPr>
            <w:tcW w:w="3133" w:type="dxa"/>
          </w:tcPr>
          <w:p>
            <w:pPr>
              <w:pStyle w:val="TableParagraph"/>
              <w:spacing w:before="60"/>
              <w:ind w:left="98"/>
              <w:jc w:val="left"/>
              <w:rPr>
                <w:b/>
                <w:sz w:val="18"/>
              </w:rPr>
            </w:pPr>
            <w:r>
              <w:rPr>
                <w:b/>
                <w:sz w:val="18"/>
              </w:rPr>
              <w:t>Operating Surplus</w:t>
            </w:r>
          </w:p>
        </w:tc>
        <w:tc>
          <w:tcPr>
            <w:tcW w:w="1843" w:type="dxa"/>
          </w:tcPr>
          <w:p>
            <w:pPr>
              <w:pStyle w:val="TableParagraph"/>
              <w:spacing w:before="60"/>
              <w:ind w:right="51"/>
              <w:rPr>
                <w:b/>
                <w:sz w:val="18"/>
              </w:rPr>
            </w:pPr>
            <w:r>
              <w:rPr>
                <w:b/>
                <w:sz w:val="18"/>
              </w:rPr>
              <w:t>$139,121</w:t>
            </w:r>
          </w:p>
        </w:tc>
        <w:tc>
          <w:tcPr>
            <w:tcW w:w="2126" w:type="dxa"/>
          </w:tcPr>
          <w:p>
            <w:pPr>
              <w:pStyle w:val="TableParagraph"/>
              <w:spacing w:before="60"/>
              <w:ind w:right="51"/>
              <w:rPr>
                <w:b/>
                <w:sz w:val="18"/>
              </w:rPr>
            </w:pPr>
            <w:r>
              <w:rPr>
                <w:b/>
                <w:sz w:val="18"/>
              </w:rPr>
              <w:t>$102,629</w:t>
            </w:r>
          </w:p>
        </w:tc>
        <w:tc>
          <w:tcPr>
            <w:tcW w:w="1984" w:type="dxa"/>
          </w:tcPr>
          <w:p>
            <w:pPr>
              <w:pStyle w:val="TableParagraph"/>
              <w:spacing w:before="61"/>
              <w:ind w:right="50"/>
              <w:rPr>
                <w:sz w:val="18"/>
              </w:rPr>
            </w:pPr>
            <w:r>
              <w:rPr>
                <w:sz w:val="18"/>
              </w:rPr>
              <w:t>0%</w:t>
            </w:r>
          </w:p>
        </w:tc>
      </w:tr>
      <w:tr>
        <w:trPr>
          <w:trHeight w:val="227" w:hRule="exact"/>
        </w:trPr>
        <w:tc>
          <w:tcPr>
            <w:tcW w:w="3133" w:type="dxa"/>
          </w:tcPr>
          <w:p>
            <w:pPr>
              <w:pStyle w:val="TableParagraph"/>
              <w:spacing w:line="206" w:lineRule="exact"/>
              <w:ind w:left="98"/>
              <w:jc w:val="left"/>
              <w:rPr>
                <w:sz w:val="18"/>
              </w:rPr>
            </w:pPr>
            <w:r>
              <w:rPr>
                <w:sz w:val="18"/>
              </w:rPr>
              <w:t>Accumulated Retained Earnings</w:t>
            </w:r>
          </w:p>
        </w:tc>
        <w:tc>
          <w:tcPr>
            <w:tcW w:w="1843" w:type="dxa"/>
          </w:tcPr>
          <w:p>
            <w:pPr>
              <w:pStyle w:val="TableParagraph"/>
              <w:spacing w:line="206" w:lineRule="exact"/>
              <w:ind w:right="52"/>
              <w:rPr>
                <w:sz w:val="18"/>
              </w:rPr>
            </w:pPr>
            <w:r>
              <w:rPr>
                <w:sz w:val="18"/>
              </w:rPr>
              <w:t>$1,214,116</w:t>
            </w:r>
          </w:p>
        </w:tc>
        <w:tc>
          <w:tcPr>
            <w:tcW w:w="2126" w:type="dxa"/>
          </w:tcPr>
          <w:p>
            <w:pPr/>
          </w:p>
        </w:tc>
        <w:tc>
          <w:tcPr>
            <w:tcW w:w="1984" w:type="dxa"/>
          </w:tcPr>
          <w:p>
            <w:pPr/>
          </w:p>
        </w:tc>
      </w:tr>
    </w:tbl>
    <w:p>
      <w:pPr>
        <w:pStyle w:val="BodyText"/>
        <w:spacing w:before="2"/>
        <w:rPr>
          <w:sz w:val="29"/>
        </w:rPr>
      </w:pPr>
    </w:p>
    <w:p>
      <w:pPr>
        <w:pStyle w:val="BodyText"/>
        <w:spacing w:before="77"/>
        <w:ind w:left="1860"/>
      </w:pPr>
      <w:r>
        <w:rPr>
          <w:u w:val="single"/>
        </w:rPr>
        <w:t>Management and Operations</w:t>
      </w:r>
    </w:p>
    <w:p>
      <w:pPr>
        <w:pStyle w:val="BodyText"/>
        <w:ind w:left="1860" w:right="2490"/>
      </w:pPr>
      <w:r>
        <w:rPr/>
        <w:t>The Whitlam Institute within Western Sydney University Limited is a wholly owned entity of Western Sydney University.</w:t>
      </w:r>
    </w:p>
    <w:p>
      <w:pPr>
        <w:pStyle w:val="BodyText"/>
        <w:spacing w:before="120"/>
        <w:ind w:left="1860" w:right="2735"/>
      </w:pPr>
      <w:r>
        <w:rPr/>
        <w:t>The Whitlam Institute Board is politically bipartisan and consists of leaders in academia, business, and government organisations. The Board participates in the strategic development of the Institute.</w:t>
      </w:r>
    </w:p>
    <w:p>
      <w:pPr>
        <w:pStyle w:val="BodyText"/>
        <w:spacing w:before="119"/>
        <w:ind w:left="1860" w:right="1866"/>
      </w:pPr>
      <w:r>
        <w:rPr/>
        <w:t>The Whitlam Institute is led by its Director Eric Sidoti. Its small secretariat is committed to the highest quality in all its activity whether that might be its policy and research work, outreach activity, public information program or events.</w:t>
      </w:r>
    </w:p>
    <w:p>
      <w:pPr>
        <w:spacing w:after="0"/>
        <w:sectPr>
          <w:pgSz w:w="12750" w:h="17680"/>
          <w:pgMar w:header="0" w:footer="907" w:top="1340" w:bottom="11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pPr>
    </w:p>
    <w:p>
      <w:pPr>
        <w:pStyle w:val="BodyText"/>
        <w:spacing w:before="77"/>
        <w:ind w:left="2107" w:right="2106"/>
        <w:jc w:val="center"/>
      </w:pPr>
      <w:r>
        <w:rPr/>
        <w:drawing>
          <wp:anchor distT="0" distB="0" distL="0" distR="0" allowOverlap="1" layoutInCell="1" locked="0" behindDoc="0" simplePos="0" relativeHeight="16864">
            <wp:simplePos x="0" y="0"/>
            <wp:positionH relativeFrom="page">
              <wp:posOffset>-1587</wp:posOffset>
            </wp:positionH>
            <wp:positionV relativeFrom="paragraph">
              <wp:posOffset>752816</wp:posOffset>
            </wp:positionV>
            <wp:extent cx="135159" cy="154019"/>
            <wp:effectExtent l="0" t="0" r="0" b="0"/>
            <wp:wrapNone/>
            <wp:docPr id="1175" name="image13.png" descr=""/>
            <wp:cNvGraphicFramePr>
              <a:graphicFrameLocks noChangeAspect="1"/>
            </wp:cNvGraphicFramePr>
            <a:graphic>
              <a:graphicData uri="http://schemas.openxmlformats.org/drawingml/2006/picture">
                <pic:pic>
                  <pic:nvPicPr>
                    <pic:cNvPr id="1176" name="image13.png"/>
                    <pic:cNvPicPr/>
                  </pic:nvPicPr>
                  <pic:blipFill>
                    <a:blip r:embed="rId18" cstate="print"/>
                    <a:stretch>
                      <a:fillRect/>
                    </a:stretch>
                  </pic:blipFill>
                  <pic:spPr>
                    <a:xfrm>
                      <a:off x="0" y="0"/>
                      <a:ext cx="135159" cy="154019"/>
                    </a:xfrm>
                    <a:prstGeom prst="rect">
                      <a:avLst/>
                    </a:prstGeom>
                  </pic:spPr>
                </pic:pic>
              </a:graphicData>
            </a:graphic>
          </wp:anchor>
        </w:drawing>
      </w:r>
      <w:r>
        <w:rPr/>
        <w:drawing>
          <wp:anchor distT="0" distB="0" distL="0" distR="0" allowOverlap="1" layoutInCell="1" locked="0" behindDoc="0" simplePos="0" relativeHeight="16888">
            <wp:simplePos x="0" y="0"/>
            <wp:positionH relativeFrom="page">
              <wp:posOffset>7959026</wp:posOffset>
            </wp:positionH>
            <wp:positionV relativeFrom="paragraph">
              <wp:posOffset>752816</wp:posOffset>
            </wp:positionV>
            <wp:extent cx="135356" cy="155575"/>
            <wp:effectExtent l="0" t="0" r="0" b="0"/>
            <wp:wrapNone/>
            <wp:docPr id="1177" name="image14.png" descr=""/>
            <wp:cNvGraphicFramePr>
              <a:graphicFrameLocks noChangeAspect="1"/>
            </wp:cNvGraphicFramePr>
            <a:graphic>
              <a:graphicData uri="http://schemas.openxmlformats.org/drawingml/2006/picture">
                <pic:pic>
                  <pic:nvPicPr>
                    <pic:cNvPr id="1178" name="image14.png"/>
                    <pic:cNvPicPr/>
                  </pic:nvPicPr>
                  <pic:blipFill>
                    <a:blip r:embed="rId19" cstate="print"/>
                    <a:stretch>
                      <a:fillRect/>
                    </a:stretch>
                  </pic:blipFill>
                  <pic:spPr>
                    <a:xfrm>
                      <a:off x="0" y="0"/>
                      <a:ext cx="135356" cy="155575"/>
                    </a:xfrm>
                    <a:prstGeom prst="rect">
                      <a:avLst/>
                    </a:prstGeom>
                  </pic:spPr>
                </pic:pic>
              </a:graphicData>
            </a:graphic>
          </wp:anchor>
        </w:drawing>
      </w:r>
      <w:r>
        <w:rPr/>
        <w:t>This page is intentionally blank</w:t>
      </w:r>
    </w:p>
    <w:p>
      <w:pPr>
        <w:spacing w:after="0"/>
        <w:jc w:val="center"/>
        <w:sectPr>
          <w:headerReference w:type="default" r:id="rId149"/>
          <w:pgSz w:w="12750" w:h="17680"/>
          <w:pgMar w:header="0" w:footer="907" w:top="420" w:bottom="1120" w:left="0" w:right="0"/>
        </w:sectPr>
      </w:pPr>
    </w:p>
    <w:p>
      <w:pPr>
        <w:spacing w:line="249" w:lineRule="auto" w:before="50"/>
        <w:ind w:left="4768" w:right="4926" w:firstLine="0"/>
        <w:jc w:val="center"/>
        <w:rPr>
          <w:rFonts w:ascii="Gotham Narrow Book"/>
          <w:b w:val="0"/>
          <w:sz w:val="16"/>
        </w:rPr>
      </w:pPr>
      <w:r>
        <w:rPr/>
        <w:pict>
          <v:shape style="position:absolute;margin-left:6.827pt;margin-top:6.827014pt;width:623.65pt;height:870.25pt;mso-position-horizontal-relative:page;mso-position-vertical-relative:page;z-index:-1191424" type="#_x0000_t202" filled="false" stroked="false">
            <v:textbox inset="0,0,0,0">
              <w:txbxContent>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spacing w:before="1"/>
                    <w:rPr>
                      <w:sz w:val="12"/>
                    </w:rPr>
                  </w:pPr>
                </w:p>
                <w:p>
                  <w:pPr>
                    <w:spacing w:before="0"/>
                    <w:ind w:left="1190" w:right="0" w:firstLine="0"/>
                    <w:jc w:val="left"/>
                    <w:rPr>
                      <w:rFonts w:ascii="Gotham Narrow Book"/>
                      <w:b w:val="0"/>
                      <w:sz w:val="13"/>
                    </w:rPr>
                  </w:pPr>
                  <w:r>
                    <w:rPr>
                      <w:rFonts w:ascii="Gotham Narrow Book"/>
                      <w:b w:val="0"/>
                      <w:color w:val="231F20"/>
                      <w:sz w:val="13"/>
                    </w:rPr>
                    <w:t>ANNUAL REPORT 2016</w:t>
                  </w: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1"/>
                    </w:rPr>
                  </w:pPr>
                </w:p>
                <w:p>
                  <w:pPr>
                    <w:tabs>
                      <w:tab w:pos="9729" w:val="left" w:leader="none"/>
                    </w:tabs>
                    <w:spacing w:before="0"/>
                    <w:ind w:left="1190" w:right="0" w:firstLine="0"/>
                    <w:jc w:val="left"/>
                    <w:rPr>
                      <w:rFonts w:ascii="Gotham Narrow Book"/>
                      <w:b w:val="0"/>
                      <w:sz w:val="13"/>
                    </w:rPr>
                  </w:pPr>
                  <w:r>
                    <w:rPr>
                      <w:rFonts w:ascii="Gotham Narrow Book"/>
                      <w:b w:val="0"/>
                      <w:color w:val="231F20"/>
                      <w:sz w:val="13"/>
                    </w:rPr>
                    <w:t>2</w:t>
                    <w:tab/>
                    <w:t>Western  Sydney University</w:t>
                  </w:r>
                </w:p>
              </w:txbxContent>
            </v:textbox>
            <w10:wrap type="none"/>
          </v:shape>
        </w:pict>
      </w:r>
      <w:r>
        <w:rPr/>
        <w:pict>
          <v:group style="position:absolute;margin-left:-.625pt;margin-top:-.624785pt;width:638.550pt;height:885.15pt;mso-position-horizontal-relative:page;mso-position-vertical-relative:page;z-index:-1191400" coordorigin="-13,-12" coordsize="12771,17703">
            <v:rect style="position:absolute;left:137;top:137;width:12472;height:17405" filled="true" fillcolor="#231f20" stroked="false">
              <v:fill type="solid"/>
            </v:rect>
            <v:shape style="position:absolute;left:5803;top:14160;width:1141;height:1426" coordorigin="5803,14160" coordsize="1141,1426" path="m6943,14160l5803,14160,5803,15018,5814,15095,5845,15169,5892,15239,5950,15305,6017,15365,6087,15420,6158,15468,6225,15509,6283,15541,6330,15566,6361,15581,6373,15586,6384,15581,6415,15566,6462,15541,6521,15509,6587,15468,6658,15420,6729,15365,6795,15305,6854,15239,6889,15187,6105,15187,5917,14388,6943,14388,6943,14160xm6372,14640l6255,15133,6214,15143,6175,15155,6139,15170,6105,15187,6640,15187,6606,15170,6569,15155,6531,15143,6490,15133,6372,14640xm6943,14388l6828,14388,6640,15187,6889,15187,6901,15169,6932,15095,6943,15018,6943,14388xm6322,14388l6035,14388,6179,14986,6322,14388xm6710,14388l6423,14388,6569,14986,6710,14388xe" filled="true" fillcolor="#ffffff" stroked="false">
              <v:path arrowok="t"/>
              <v:fill type="solid"/>
            </v:shape>
            <v:shape style="position:absolute;left:-300;top:17258;width:12746;height:17678" coordorigin="-300,17258" coordsize="12746,17678" path="m300,420l0,420m12446,420l12746,420m300,17258l0,17258m12446,17258l12746,17258m420,300l420,0m420,17378l420,17678m12326,300l12326,0m12326,17378l12326,17678e" filled="false" stroked="true" strokeweight="1.25pt" strokecolor="#ffffff">
              <v:path arrowok="t"/>
            </v:shape>
            <v:shape style="position:absolute;left:-300;top:17258;width:12746;height:17678" coordorigin="-300,17258" coordsize="12746,17678" path="m300,420l0,420m12446,420l12746,420m300,17258l0,17258m12446,17258l12746,17258m420,300l420,0m420,17378l420,17678m12326,300l12326,0m12326,17378l12326,17678e" filled="false" stroked="true" strokeweight=".25pt" strokecolor="#000000">
              <v:path arrowok="t"/>
            </v:shape>
            <v:shape style="position:absolute;left:6240;top:18;width:265;height:265" type="#_x0000_t75" stroked="false">
              <v:imagedata r:id="rId8" o:title=""/>
            </v:shape>
            <v:shape style="position:absolute;left:6240;top:17395;width:265;height:265" type="#_x0000_t75" stroked="false">
              <v:imagedata r:id="rId9" o:title=""/>
            </v:shape>
            <v:shape style="position:absolute;left:18;top:8706;width:265;height:265" type="#_x0000_t75" stroked="false">
              <v:imagedata r:id="rId10" o:title=""/>
            </v:shape>
            <v:shape style="position:absolute;left:12463;top:8706;width:265;height:265" type="#_x0000_t75" stroked="false">
              <v:imagedata r:id="rId11" o:title=""/>
            </v:shape>
            <v:shape style="position:absolute;left:626;top:17470;width:68;height:91" coordorigin="626,17470" coordsize="68,91" path="m626,17530l626,17539,629,17547,634,17552,640,17558,649,17560,659,17560,668,17560,676,17558,683,17554,689,17550,693,17543,693,17534,693,17526,652,17506,647,17505,645,17503,641,17501,640,17498,640,17494,640,17490,641,17487,644,17484,647,17481,652,17480,658,17480,666,17480,679,17497,690,17497,690,17487,687,17480,681,17476,675,17472,667,17470,659,17470,649,17470,642,17472,636,17477,631,17482,629,17488,629,17496,629,17503,631,17509,637,17512,640,17514,645,17516,652,17518,664,17520,670,17522,674,17524,677,17526,680,17528,681,17531,681,17536,681,17542,678,17546,671,17549,668,17550,664,17550,660,17550,650,17550,637,17530,626,17530xe" filled="false" stroked="true" strokeweight=".4pt" strokecolor="#ffffff">
              <v:path arrowok="t"/>
            </v:shape>
            <v:shape style="position:absolute;left:702;top:17472;width:70;height:87" coordorigin="702,17472" coordsize="70,87" path="m702,17472l702,17482,731,17482,731,17558,743,17558,743,17482,772,17482,772,17472,702,17472xe" filled="false" stroked="true" strokeweight=".4pt" strokecolor="#ffffff">
              <v:path arrowok="t"/>
            </v:shape>
            <v:shape style="position:absolute;left:-12;top:17638;width:71;height:87" coordorigin="-12,17638" coordsize="71,87" path="m796,17511l796,17482,823,17482,827,17482,830,17482,833,17484,837,17486,839,17490,839,17496,839,17502,837,17506,834,17508,831,17510,827,17511,822,17511,796,17511xm784,17558l796,17558,796,17521,821,17521,826,17521,829,17521,832,17522,835,17524,837,17528,838,17534,838,17548,838,17552,839,17554,839,17555,839,17556,839,17557,840,17558,854,17558,854,17556,852,17555,851,17553,850,17551,850,17549,850,17547,850,17543,849,17532,849,17527,848,17523,846,17521,845,17519,842,17517,839,17516,843,17514,846,17511,848,17508,850,17504,851,17500,851,17495,851,17485,847,17478,839,17475,835,17473,829,17472,823,17472,784,17472,784,17558xe" filled="false" stroked="true" strokeweight=".4pt" strokecolor="#ffffff">
              <v:path arrowok="t"/>
            </v:shape>
            <v:shape style="position:absolute;left:-25;top:17627;width:77;height:87" coordorigin="-25,17627" coordsize="77,87" path="m887,17523l900,17485,914,17523,887,17523xm862,17558l874,17558,883,17532,917,17532,926,17558,939,17558,907,17472,894,17472,862,17558xe" filled="false" stroked="true" strokeweight=".4pt" strokecolor="#ffffff">
              <v:path arrowok="t"/>
            </v:shape>
            <v:shape style="position:absolute;left:952;top:17474;width:31;height:84" coordorigin="952,17474" coordsize="31,84" path="m971,17498l971,17558,983,17558,983,17474,974,17474,973,17481,970,17485,967,17487,964,17488,959,17490,952,17490,952,17498,971,17498xe" filled="false" stroked="true" strokeweight=".4pt" strokecolor="#ffffff">
              <v:path arrowok="t"/>
            </v:shape>
            <v:shape style="position:absolute;left:1011;top:17475;width:59;height:83" coordorigin="1011,17475" coordsize="59,83" path="m1011,17475l1011,17486,1058,17486,1052,17493,1023,17558,1035,17558,1037,17549,1038,17543,1039,17539,1041,17533,1044,17526,1047,17519,1050,17512,1070,17484,1070,17475,1011,17475xe" filled="false" stroked="true" strokeweight=".4pt" strokecolor="#ffffff">
              <v:path arrowok="t"/>
            </v:shape>
            <v:shape style="position:absolute;left:1077;top:17474;width:58;height:85" coordorigin="1077,17474" coordsize="58,85" path="m1077,17558l1135,17558,1135,17548,1089,17548,1090,17544,1093,17540,1096,17537,1099,17535,1102,17533,1105,17531,1113,17526,1121,17522,1125,17519,1128,17516,1133,17511,1135,17505,1135,17499,1135,17492,1133,17487,1129,17481,1124,17476,1117,17474,1108,17474,1096,17474,1079,17504,1090,17504,1090,17498,1091,17494,1093,17491,1095,17486,1100,17483,1108,17483,1112,17483,1116,17485,1119,17488,1122,17490,1124,17494,1124,17499,1124,17503,1122,17507,1119,17510,1117,17512,1113,17515,1108,17518,1097,17524,1089,17529,1084,17534,1082,17539,1079,17544,1078,17551,1077,17558xe" filled="false" stroked="true" strokeweight=".4pt" strokecolor="#ffffff">
              <v:path arrowok="t"/>
            </v:shape>
            <v:shape style="position:absolute;left:1144;top:17475;width:58;height:85" coordorigin="1144,17475" coordsize="58,85" path="m1144,17536l1145,17544,1148,17550,1153,17554,1158,17558,1164,17560,1171,17560,1182,17560,1190,17557,1195,17551,1199,17545,1202,17538,1202,17530,1202,17522,1199,17516,1194,17511,1189,17506,1182,17504,1174,17504,1170,17504,1158,17509,1161,17485,1197,17485,1197,17475,1154,17475,1147,17520,1156,17521,1158,17518,1160,17517,1163,17515,1166,17514,1169,17513,1172,17513,1177,17513,1182,17515,1185,17518,1189,17521,1191,17526,1191,17531,1191,17536,1189,17541,1186,17545,1183,17549,1178,17551,1172,17551,1169,17551,1166,17550,1163,17549,1159,17547,1156,17542,1155,17536,1144,17536xe" filled="false" stroked="true" strokeweight=".4pt" strokecolor="#ffffff">
              <v:path arrowok="t"/>
            </v:shape>
            <v:shape style="position:absolute;left:1238;top:17458;width:372;height:113" type="#_x0000_t75" stroked="false">
              <v:imagedata r:id="rId12" o:title=""/>
            </v:shape>
            <v:shape style="position:absolute;left:1654;top:17468;width:355;height:119" type="#_x0000_t75" stroked="false">
              <v:imagedata r:id="rId13" o:title=""/>
            </v:shape>
            <v:shape style="position:absolute;left:2045;top:17474;width:58;height:85" coordorigin="2045,17474" coordsize="58,85" path="m2045,17558l2102,17558,2102,17548,2056,17548,2057,17544,2060,17540,2064,17537,2066,17535,2069,17533,2073,17531,2081,17526,2088,17522,2093,17519,2096,17516,2100,17511,2103,17505,2103,17499,2103,17492,2100,17487,2096,17481,2092,17476,2084,17474,2075,17474,2063,17474,2047,17504,2057,17504,2058,17498,2058,17494,2060,17491,2063,17486,2068,17483,2075,17483,2080,17483,2084,17485,2087,17488,2089,17490,2091,17494,2091,17499,2091,17503,2089,17507,2086,17510,2084,17512,2081,17515,2076,17518,2064,17524,2057,17529,2052,17534,2049,17539,2046,17544,2045,17551,2045,17558xe" filled="false" stroked="true" strokeweight=".4pt" strokecolor="#ffffff">
              <v:path arrowok="t"/>
            </v:shape>
            <v:shape style="position:absolute;left:-29;top:17678;width:58;height:87" coordorigin="-29,17678" coordsize="58,87" path="m2140,17474l2128,17474,2120,17480,2115,17493,2113,17500,2111,17508,2111,17518,2111,17530,2113,17540,2117,17547,2122,17556,2130,17560,2140,17560,2151,17560,2159,17555,2164,17544,2168,17537,2169,17527,2169,17516,2169,17504,2167,17494,2164,17487,2159,17478,2151,17474,2140,17474xm2140,17550l2133,17550,2128,17547,2125,17539,2124,17533,2123,17527,2123,17518,2123,17507,2124,17498,2127,17492,2130,17486,2134,17483,2141,17483,2147,17483,2152,17486,2154,17493,2157,17499,2158,17507,2158,17516,2158,17529,2156,17538,2153,17543,2150,17548,2145,17550,2140,17550xe" filled="false" stroked="true" strokeweight=".4pt" strokecolor="#ffffff">
              <v:path arrowok="t"/>
            </v:shape>
            <v:shape style="position:absolute;left:2186;top:17474;width:31;height:84" coordorigin="2186,17474" coordsize="31,84" path="m2206,17498l2206,17558,2217,17558,2217,17474,2208,17474,2207,17481,2205,17485,2202,17487,2199,17488,2193,17490,2186,17490,2186,17498,2206,17498xe" filled="false" stroked="true" strokeweight=".4pt" strokecolor="#ffffff">
              <v:path arrowok="t"/>
            </v:shape>
            <v:shape style="position:absolute;left:-31;top:17678;width:58;height:87" coordorigin="-31,17678" coordsize="58,87" path="m2276,17474l2263,17474,2254,17481,2249,17494,2247,17502,2246,17511,2246,17521,2246,17535,2248,17545,2254,17551,2260,17557,2267,17560,2274,17560,2284,17560,2291,17557,2296,17551,2301,17545,2303,17539,2303,17531,2303,17522,2300,17515,2295,17511,2290,17506,2284,17504,2277,17504,2273,17504,2269,17505,2266,17506,2262,17508,2259,17511,2256,17514,2257,17504,2259,17496,2262,17491,2266,17486,2270,17483,2276,17483,2281,17483,2285,17485,2288,17488,2289,17490,2290,17493,2291,17496,2301,17496,2301,17491,2299,17486,2296,17481,2292,17476,2286,17474,2276,17474xm2275,17551l2270,17551,2266,17549,2262,17545,2259,17542,2258,17537,2258,17532,2258,17526,2260,17521,2263,17518,2266,17515,2270,17514,2275,17514,2281,17514,2286,17516,2288,17520,2291,17523,2292,17527,2292,17532,2292,17537,2291,17541,2288,17545,2285,17549,2281,17551,2275,17551xe" filled="false" stroked="true" strokeweight=".4pt" strokecolor="#ffffff">
              <v:path arrowok="t"/>
            </v:shape>
            <v:shape style="position:absolute;left:2374;top:17458;width:170;height:113" type="#_x0000_t75" stroked="false">
              <v:imagedata r:id="rId14" o:title=""/>
            </v:shape>
            <v:shape style="position:absolute;left:2585;top:17474;width:58;height:85" coordorigin="2585,17474" coordsize="58,85" path="m2585,17558l2643,17558,2643,17548,2597,17548,2598,17544,2600,17540,2604,17537,2606,17535,2609,17533,2613,17531,2621,17526,2628,17522,2633,17519,2636,17516,2641,17511,2643,17505,2643,17499,2643,17492,2641,17487,2636,17481,2632,17476,2625,17474,2615,17474,2604,17474,2587,17504,2598,17504,2598,17498,2599,17494,2600,17491,2603,17486,2608,17483,2615,17483,2620,17483,2624,17485,2627,17488,2630,17490,2631,17494,2631,17499,2631,17503,2630,17507,2627,17510,2625,17512,2621,17515,2616,17518,2605,17524,2597,17529,2592,17534,2590,17539,2587,17544,2585,17551,2585,17558xe" filled="false" stroked="true" strokeweight=".4pt" strokecolor="#ffffff">
              <v:path arrowok="t"/>
            </v:shape>
            <v:shape style="position:absolute;left:2715;top:17495;width:58;height:63" coordorigin="2715,17495" coordsize="58,63" path="m2715,17495l2739,17558,2750,17558,2773,17495,2762,17495,2744,17546,2728,17495,2715,17495xe" filled="false" stroked="true" strokeweight=".4pt" strokecolor="#ffffff">
              <v:path arrowok="t"/>
            </v:shape>
            <v:shape style="position:absolute;left:2786;top:17474;width:31;height:84" coordorigin="2786,17474" coordsize="31,84" path="m2806,17498l2806,17558,2817,17558,2817,17474,2809,17474,2807,17481,2805,17485,2802,17487,2799,17488,2794,17490,2786,17490,2786,17498,2806,17498xe" filled="false" stroked="true" strokeweight=".4pt" strokecolor="#ffffff">
              <v:path arrowok="t"/>
            </v:shape>
            <v:line style="position:absolute" from="2879,17527" to="2897,17527" stroked="true" strokeweight="3.523pt" strokecolor="#ffffff"/>
            <v:line style="position:absolute" from="2879,17478" to="2897,17478" stroked="true" strokeweight=".998pt" strokecolor="#ffffff"/>
            <v:shape style="position:absolute;left:2909;top:17494;width:52;height:65" coordorigin="2909,17494" coordsize="52,65" path="m2909,17558l2920,17558,2920,17525,2920,17521,2932,17504,2933,17503,2935,17503,2938,17503,2943,17503,2946,17505,2948,17509,2949,17511,2950,17514,2950,17518,2950,17558,2960,17558,2960,17518,2960,17511,2960,17506,2958,17503,2955,17497,2949,17494,2940,17494,2936,17494,2919,17504,2919,17495,2909,17495,2909,17558xe" filled="false" stroked="true" strokeweight=".4pt" strokecolor="#ffffff">
              <v:path arrowok="t"/>
            </v:shape>
            <v:shape style="position:absolute;left:-11;top:17622;width:56;height:89" coordorigin="-11,17622" coordsize="56,89" path="m2983,17527l2983,17519,2984,17513,2988,17509,2991,17505,2995,17503,3000,17503,3005,17503,3009,17505,3012,17509,3016,17513,3017,17519,3017,17526,3017,17534,3016,17540,3013,17545,3009,17549,3005,17551,3001,17551,2994,17551,2990,17549,2987,17544,2984,17539,2983,17534,2983,17527xm2998,17494l2990,17494,2983,17497,2979,17504,2974,17511,2972,17519,2972,17528,2972,17538,2974,17545,2979,17551,2984,17557,2990,17560,2997,17560,3002,17560,3005,17559,3009,17557,3012,17556,3015,17553,3017,17549,3017,17558,3027,17558,3027,17471,3017,17471,3017,17503,3014,17500,3012,17498,3010,17497,3007,17495,3003,17494,2998,17494xe" filled="false" stroked="true" strokeweight=".4pt" strokecolor="#ffffff">
              <v:path arrowok="t"/>
            </v:shape>
            <v:shape style="position:absolute;left:-11;top:17622;width:56;height:89" coordorigin="-11,17622" coordsize="56,89" path="m3049,17527l3049,17519,3051,17513,3054,17509,3058,17505,3062,17503,3067,17503,3072,17503,3076,17505,3079,17509,3082,17513,3084,17519,3084,17526,3084,17534,3082,17540,3079,17545,3076,17549,3072,17551,3067,17551,3061,17551,3057,17549,3054,17544,3051,17539,3049,17534,3049,17527xm3065,17494l3057,17494,3050,17497,3045,17504,3041,17511,3038,17519,3038,17528,3038,17538,3041,17545,3046,17551,3051,17557,3057,17560,3064,17560,3068,17560,3072,17559,3076,17557,3079,17556,3082,17553,3084,17549,3084,17558,3094,17558,3094,17471,3084,17471,3084,17503,3081,17500,3079,17498,3077,17497,3074,17495,3070,17494,3065,17494xe" filled="false" stroked="true" strokeweight=".4pt" strokecolor="#ffffff">
              <v:path arrowok="t"/>
            </v:shape>
            <v:shape style="position:absolute;left:3206;top:17474;width:58;height:85" coordorigin="3206,17474" coordsize="58,85" path="m3206,17558l3263,17558,3263,17548,3217,17548,3218,17544,3221,17540,3225,17537,3227,17535,3230,17533,3234,17531,3242,17526,3249,17522,3254,17519,3256,17516,3261,17511,3264,17505,3264,17499,3264,17492,3261,17487,3257,17481,3252,17476,3245,17474,3236,17474,3224,17474,3208,17504,3218,17504,3218,17498,3219,17494,3221,17491,3224,17486,3229,17483,3236,17483,3241,17483,3245,17485,3247,17488,3250,17490,3252,17494,3252,17499,3252,17503,3250,17507,3247,17510,3245,17512,3241,17515,3236,17518,3225,17524,3218,17529,3213,17534,3210,17539,3207,17544,3206,17551,3206,17558xe" filled="false" stroked="true" strokeweight=".4pt" strokecolor="#ffffff">
              <v:path arrowok="t"/>
            </v:shape>
            <v:shape style="position:absolute;left:11137;top:17474;width:31;height:84" coordorigin="11137,17474" coordsize="31,84" path="m11157,17498l11157,17558,11168,17558,11168,17474,11160,17474,11158,17481,11156,17485,11153,17487,11150,17488,11145,17490,11137,17490,11137,17498,11157,17498xe" filled="false" stroked="true" strokeweight=".4pt" strokecolor="#ffffff">
              <v:path arrowok="t"/>
            </v:shape>
            <v:shape style="position:absolute;left:-1;top:17614;width:57;height:87" coordorigin="-1,17614" coordsize="57,87" path="m11198,17537l11198,17544,11200,17549,11204,17554,11208,17558,11214,17560,11223,17560,11235,17560,11244,17553,11249,17540,11252,17532,11253,17523,11253,17513,11253,17504,11252,17496,11249,17490,11245,17479,11236,17474,11224,17474,11215,17474,11208,17477,11204,17482,11199,17488,11197,17495,11197,17503,11197,17510,11199,17517,11204,17522,11208,17527,11215,17530,11223,17530,11227,17530,11230,17529,11234,17527,11237,17526,11240,17523,11243,17519,11241,17532,11239,17541,11235,17545,11232,17549,11227,17551,11222,17551,11220,17551,11217,17551,11215,17550,11211,17547,11209,17543,11208,17537,11198,17537xm11224,17520l11218,17520,11214,17519,11211,17515,11209,17512,11207,17508,11207,17502,11207,17497,11209,17492,11212,17489,11215,17485,11219,17483,11224,17483,11229,17483,11233,17485,11236,17488,11239,17491,11241,17496,11241,17502,11241,17509,11239,17513,11236,17516,11232,17519,11228,17520,11224,17520xe" filled="false" stroked="true" strokeweight=".4pt" strokecolor="#ffffff">
              <v:path arrowok="t"/>
            </v:shape>
            <v:shape style="position:absolute;left:11259;top:17472;width:37;height:87" coordorigin="11259,17472" coordsize="37,87" path="m11259,17558l11268,17558,11295,17472,11286,17472,11259,17558xe" filled="false" stroked="true" strokeweight=".4pt" strokecolor="#ffffff">
              <v:path arrowok="t"/>
            </v:shape>
            <v:shape style="position:absolute;left:-29;top:17678;width:58;height:87" coordorigin="-29,17678" coordsize="58,87" path="m11325,17474l11313,17474,11304,17480,11300,17493,11297,17500,11296,17508,11296,17518,11296,17530,11298,17540,11302,17547,11307,17556,11315,17560,11325,17560,11336,17560,11344,17555,11349,17544,11352,17537,11354,17527,11354,17516,11354,17504,11352,17494,11348,17487,11344,17478,11336,17474,11325,17474xm11325,17550l11318,17550,11313,17547,11310,17539,11308,17533,11307,17527,11307,17518,11307,17507,11309,17498,11312,17492,11315,17486,11319,17483,11325,17483,11332,17483,11337,17486,11339,17493,11341,17499,11343,17507,11343,17516,11343,17529,11341,17538,11338,17543,11334,17548,11330,17550,11325,17550xe" filled="false" stroked="true" strokeweight=".4pt" strokecolor="#ffffff">
              <v:path arrowok="t"/>
            </v:shape>
            <v:shape style="position:absolute;left:-10;top:17623;width:60;height:85" coordorigin="-10,17623" coordsize="60,85" path="m11372,17528l11399,17490,11399,17528,11372,17528xm11409,17558l11409,17537,11422,17537,11422,17528,11409,17528,11409,17474,11401,17474,11362,17527,11362,17537,11399,17537,11399,17558,11409,17558xe" filled="false" stroked="true" strokeweight=".4pt" strokecolor="#ffffff">
              <v:path arrowok="t"/>
            </v:shape>
            <v:shape style="position:absolute;left:11426;top:17472;width:37;height:87" coordorigin="11426,17472" coordsize="37,87" path="m11426,17558l11435,17558,11462,17472,11453,17472,11426,17558xe" filled="false" stroked="true" strokeweight=".4pt" strokecolor="#ffffff">
              <v:path arrowok="t"/>
            </v:shape>
            <v:shape style="position:absolute;left:11463;top:17474;width:58;height:85" coordorigin="11463,17474" coordsize="58,85" path="m11463,17558l11520,17558,11520,17548,11475,17548,11476,17544,11478,17540,11482,17537,11484,17535,11487,17533,11491,17531,11499,17526,11506,17522,11511,17519,11514,17516,11519,17511,11521,17505,11521,17499,11521,17492,11519,17487,11514,17481,11510,17476,11503,17474,11493,17474,11482,17474,11465,17504,11476,17504,11476,17498,11477,17494,11478,17491,11481,17486,11486,17483,11493,17483,11498,17483,11502,17485,11505,17488,11508,17490,11509,17494,11509,17499,11509,17503,11508,17507,11504,17510,11502,17512,11499,17515,11494,17518,11483,17524,11475,17529,11470,17534,11467,17539,11465,17544,11463,17551,11463,17558xe" filled="false" stroked="true" strokeweight=".4pt" strokecolor="#ffffff">
              <v:path arrowok="t"/>
            </v:shape>
            <v:shape style="position:absolute;left:-29;top:17678;width:58;height:87" coordorigin="-29,17678" coordsize="58,87" path="m11558,17474l11546,17474,11538,17480,11533,17493,11531,17500,11530,17508,11530,17518,11530,17530,11532,17540,11536,17547,11541,17556,11548,17560,11558,17560,11569,17560,11578,17555,11582,17544,11586,17537,11588,17527,11588,17516,11588,17504,11586,17494,11582,17487,11577,17478,11569,17474,11558,17474xm11558,17550l11551,17550,11547,17547,11544,17539,11542,17533,11541,17527,11541,17518,11541,17507,11542,17498,11545,17492,11548,17486,11553,17483,11559,17483,11566,17483,11570,17486,11573,17493,11575,17499,11576,17507,11576,17516,11576,17529,11575,17538,11571,17543,11568,17548,11564,17550,11558,17550xe" filled="false" stroked="true" strokeweight=".4pt" strokecolor="#ffffff">
              <v:path arrowok="t"/>
            </v:shape>
            <v:shape style="position:absolute;left:11604;top:17474;width:31;height:84" coordorigin="11604,17474" coordsize="31,84" path="m11624,17498l11624,17558,11635,17558,11635,17474,11627,17474,11625,17481,11623,17485,11620,17487,11617,17488,11612,17490,11604,17490,11604,17498,11624,17498xe" filled="false" stroked="true" strokeweight=".4pt" strokecolor="#ffffff">
              <v:path arrowok="t"/>
            </v:shape>
            <v:shape style="position:absolute;left:11664;top:17475;width:59;height:83" coordorigin="11664,17475" coordsize="59,83" path="m11664,17475l11664,17486,11710,17486,11704,17493,11676,17558,11687,17558,11689,17549,11691,17543,11692,17539,11694,17533,11696,17526,11699,17519,11703,17512,11722,17484,11722,17475,11664,17475xe" filled="false" stroked="true" strokeweight=".4pt" strokecolor="#ffffff">
              <v:path arrowok="t"/>
            </v:shape>
            <v:shape style="position:absolute;left:11829;top:17474;width:59;height:87" coordorigin="11829,17474" coordsize="59,87" path="m11857,17560l11867,17560,11874,17558,11880,17553,11885,17547,11888,17541,11888,17533,11888,17528,11874,17513,11876,17512,11879,17511,11880,17509,11883,17505,11884,17501,11884,17496,11884,17489,11882,17483,11877,17479,11873,17476,11866,17474,11858,17474,11847,17474,11839,17478,11835,17486,11832,17490,11831,17495,11831,17501,11842,17501,11842,17497,11843,17493,11844,17490,11847,17486,11852,17483,11859,17483,11863,17483,11866,17485,11869,17487,11872,17489,11873,17492,11873,17496,11873,17502,11871,17506,11867,17508,11864,17509,11861,17510,11857,17510,11856,17510,11852,17510,11852,17519,11853,17519,11853,17519,11854,17519,11855,17519,11856,17519,11856,17519,11863,17519,11867,17520,11871,17522,11875,17525,11876,17529,11876,17535,11876,17539,11875,17543,11871,17546,11868,17549,11863,17550,11858,17550,11851,17550,11846,17548,11843,17544,11841,17541,11840,17537,11840,17532,11829,17532,11829,17540,11831,17546,11836,17552,11840,17557,11847,17560,11857,17560xe" filled="false" stroked="true" strokeweight=".4pt" strokecolor="#ffffff">
              <v:path arrowok="t"/>
            </v:shape>
            <v:line style="position:absolute" from="11902,17502" to="11922,17502" stroked="true" strokeweight="1.039pt" strokecolor="#ffffff"/>
            <v:shape style="position:absolute;left:-29;top:17678;width:58;height:87" coordorigin="-29,17678" coordsize="58,87" path="m11959,17474l11947,17474,11938,17480,11934,17493,11931,17500,11930,17508,11930,17518,11930,17530,11932,17540,11936,17547,11941,17556,11949,17560,11959,17560,11970,17560,11978,17555,11983,17544,11986,17537,11988,17527,11988,17516,11988,17504,11986,17494,11982,17487,11977,17478,11970,17474,11959,17474xm11959,17550l11952,17550,11947,17547,11944,17539,11942,17533,11941,17527,11941,17518,11941,17507,11943,17498,11946,17492,11948,17486,11953,17483,11959,17483,11966,17483,11971,17486,11973,17493,11975,17499,11976,17507,11976,17516,11976,17529,11975,17538,11972,17543,11968,17548,11964,17550,11959,17550xe" filled="false" stroked="true" strokeweight=".4pt" strokecolor="#ffffff">
              <v:path arrowok="t"/>
            </v:shape>
            <v:shape style="position:absolute;left:11997;top:17475;width:58;height:85" coordorigin="11997,17475" coordsize="58,85" path="m11997,17536l11997,17544,12000,17550,12006,17554,12011,17558,12017,17560,12024,17560,12035,17560,12042,17557,12047,17551,12052,17545,12055,17538,12055,17530,12055,17522,12052,17516,12047,17511,12041,17506,12035,17504,12027,17504,12023,17504,12011,17509,12014,17485,12050,17485,12050,17475,12006,17475,12000,17520,12009,17521,12011,17518,12013,17517,12016,17515,12018,17514,12021,17513,12025,17513,12030,17513,12034,17515,12038,17518,12041,17521,12043,17526,12043,17531,12043,17536,12042,17541,12039,17545,12036,17549,12031,17551,12025,17551,12022,17551,12019,17550,12016,17549,12011,17547,12008,17542,12008,17536,11997,17536xe" filled="false" stroked="true" strokeweight=".4pt" strokecolor="#ffffff">
              <v:path arrowok="t"/>
            </v:shape>
            <v:shape style="position:absolute;left:0;top:17592;width:64;height:87" coordorigin="0,17592" coordsize="64,87" path="m12103,17558l12115,17558,12115,17521,12142,17521,12150,17521,12157,17519,12161,17514,12165,17509,12167,17503,12167,17496,12167,17489,12165,17483,12160,17478,12156,17474,12149,17472,12142,17472,12103,17472,12103,17558xm12155,17496l12155,17502,12154,17506,12151,17508,12147,17510,12143,17512,12138,17512,12115,17512,12115,17482,12138,17482,12142,17482,12146,17482,12148,17484,12153,17486,12155,17490,12155,17496xe" filled="false" stroked="true" strokeweight=".4pt" strokecolor="#ffffff">
              <v:path arrowok="t"/>
            </v:shape>
            <v:shape style="position:absolute;left:12182;top:17472;width:83;height:87" coordorigin="12182,17472" coordsize="83,87" path="m12182,17558l12193,17558,12193,17507,12193,17505,12193,17502,12193,17497,12193,17493,12193,17490,12193,17488,12193,17485,12217,17558,12229,17558,12254,17485,12254,17490,12254,17494,12253,17498,12253,17502,12253,17505,12253,17507,12253,17558,12265,17558,12265,17472,12248,17472,12223,17545,12199,17472,12182,17472,12182,17558xe" filled="false" stroked="true" strokeweight=".4pt" strokecolor="#ffffff">
              <v:path arrowok="t"/>
            </v:shape>
            <w10:wrap type="none"/>
          </v:group>
        </w:pict>
      </w:r>
      <w:r>
        <w:rPr>
          <w:rFonts w:ascii="Gotham Narrow Book"/>
          <w:b w:val="0"/>
          <w:color w:val="FFFFFF"/>
          <w:sz w:val="16"/>
        </w:rPr>
        <w:t>Western Sydney University Locked Bag 1797</w:t>
      </w:r>
    </w:p>
    <w:p>
      <w:pPr>
        <w:spacing w:before="0"/>
        <w:ind w:left="4768" w:right="4925" w:firstLine="0"/>
        <w:jc w:val="center"/>
        <w:rPr>
          <w:rFonts w:ascii="Gotham Narrow Book"/>
          <w:b w:val="0"/>
          <w:sz w:val="16"/>
        </w:rPr>
      </w:pPr>
      <w:r>
        <w:rPr>
          <w:rFonts w:ascii="Gotham Narrow Book"/>
          <w:b w:val="0"/>
          <w:color w:val="FFFFFF"/>
          <w:sz w:val="16"/>
        </w:rPr>
        <w:t>Penrith NSW 2751 Australia</w:t>
      </w:r>
    </w:p>
    <w:p>
      <w:pPr>
        <w:pStyle w:val="BodyText"/>
        <w:rPr>
          <w:rFonts w:ascii="Gotham Narrow Book"/>
          <w:b w:val="0"/>
          <w:sz w:val="16"/>
        </w:rPr>
      </w:pPr>
    </w:p>
    <w:p>
      <w:pPr>
        <w:pStyle w:val="BodyText"/>
        <w:rPr>
          <w:rFonts w:ascii="Gotham Narrow Book"/>
          <w:b w:val="0"/>
          <w:sz w:val="16"/>
        </w:rPr>
      </w:pPr>
    </w:p>
    <w:p>
      <w:pPr>
        <w:pStyle w:val="BodyText"/>
        <w:rPr>
          <w:rFonts w:ascii="Gotham Narrow Book"/>
          <w:b w:val="0"/>
          <w:sz w:val="16"/>
        </w:rPr>
      </w:pPr>
    </w:p>
    <w:p>
      <w:pPr>
        <w:pStyle w:val="BodyText"/>
        <w:rPr>
          <w:rFonts w:ascii="Gotham Narrow Book"/>
          <w:b w:val="0"/>
          <w:sz w:val="16"/>
        </w:rPr>
      </w:pPr>
    </w:p>
    <w:p>
      <w:pPr>
        <w:pStyle w:val="BodyText"/>
        <w:rPr>
          <w:rFonts w:ascii="Gotham Narrow Book"/>
          <w:b w:val="0"/>
          <w:sz w:val="16"/>
        </w:rPr>
      </w:pPr>
    </w:p>
    <w:p>
      <w:pPr>
        <w:pStyle w:val="BodyText"/>
        <w:rPr>
          <w:rFonts w:ascii="Gotham Narrow Book"/>
          <w:b w:val="0"/>
          <w:sz w:val="16"/>
        </w:rPr>
      </w:pPr>
    </w:p>
    <w:p>
      <w:pPr>
        <w:pStyle w:val="BodyText"/>
        <w:rPr>
          <w:rFonts w:ascii="Gotham Narrow Book"/>
          <w:b w:val="0"/>
          <w:sz w:val="16"/>
        </w:rPr>
      </w:pPr>
    </w:p>
    <w:p>
      <w:pPr>
        <w:pStyle w:val="BodyText"/>
        <w:rPr>
          <w:rFonts w:ascii="Gotham Narrow Book"/>
          <w:b w:val="0"/>
          <w:sz w:val="16"/>
        </w:rPr>
      </w:pPr>
    </w:p>
    <w:p>
      <w:pPr>
        <w:pStyle w:val="BodyText"/>
        <w:rPr>
          <w:rFonts w:ascii="Gotham Narrow Book"/>
          <w:b w:val="0"/>
          <w:sz w:val="16"/>
        </w:rPr>
      </w:pPr>
    </w:p>
    <w:p>
      <w:pPr>
        <w:pStyle w:val="BodyText"/>
        <w:rPr>
          <w:rFonts w:ascii="Gotham Narrow Book"/>
          <w:b w:val="0"/>
          <w:sz w:val="16"/>
        </w:rPr>
      </w:pPr>
    </w:p>
    <w:p>
      <w:pPr>
        <w:pStyle w:val="BodyText"/>
        <w:rPr>
          <w:rFonts w:ascii="Gotham Narrow Book"/>
          <w:b w:val="0"/>
          <w:sz w:val="16"/>
        </w:rPr>
      </w:pPr>
    </w:p>
    <w:p>
      <w:pPr>
        <w:pStyle w:val="BodyText"/>
        <w:rPr>
          <w:rFonts w:ascii="Gotham Narrow Book"/>
          <w:b w:val="0"/>
          <w:sz w:val="16"/>
        </w:rPr>
      </w:pPr>
    </w:p>
    <w:p>
      <w:pPr>
        <w:pStyle w:val="BodyText"/>
        <w:rPr>
          <w:rFonts w:ascii="Gotham Narrow Book"/>
          <w:b w:val="0"/>
          <w:sz w:val="16"/>
        </w:rPr>
      </w:pPr>
    </w:p>
    <w:p>
      <w:pPr>
        <w:pStyle w:val="BodyText"/>
        <w:rPr>
          <w:rFonts w:ascii="Gotham Narrow Book"/>
          <w:b w:val="0"/>
          <w:sz w:val="16"/>
        </w:rPr>
      </w:pPr>
    </w:p>
    <w:p>
      <w:pPr>
        <w:pStyle w:val="BodyText"/>
        <w:rPr>
          <w:rFonts w:ascii="Gotham Narrow Book"/>
          <w:b w:val="0"/>
          <w:sz w:val="16"/>
        </w:rPr>
      </w:pPr>
    </w:p>
    <w:p>
      <w:pPr>
        <w:pStyle w:val="BodyText"/>
        <w:rPr>
          <w:rFonts w:ascii="Gotham Narrow Book"/>
          <w:b w:val="0"/>
          <w:sz w:val="16"/>
        </w:rPr>
      </w:pPr>
    </w:p>
    <w:p>
      <w:pPr>
        <w:pStyle w:val="BodyText"/>
        <w:rPr>
          <w:rFonts w:ascii="Gotham Narrow Book"/>
          <w:b w:val="0"/>
          <w:sz w:val="16"/>
        </w:rPr>
      </w:pPr>
    </w:p>
    <w:p>
      <w:pPr>
        <w:pStyle w:val="BodyText"/>
        <w:rPr>
          <w:rFonts w:ascii="Gotham Narrow Book"/>
          <w:b w:val="0"/>
          <w:sz w:val="16"/>
        </w:rPr>
      </w:pPr>
    </w:p>
    <w:p>
      <w:pPr>
        <w:pStyle w:val="BodyText"/>
        <w:rPr>
          <w:rFonts w:ascii="Gotham Narrow Book"/>
          <w:b w:val="0"/>
          <w:sz w:val="16"/>
        </w:rPr>
      </w:pPr>
    </w:p>
    <w:p>
      <w:pPr>
        <w:pStyle w:val="BodyText"/>
        <w:rPr>
          <w:rFonts w:ascii="Gotham Narrow Book"/>
          <w:b w:val="0"/>
          <w:sz w:val="16"/>
        </w:rPr>
      </w:pPr>
    </w:p>
    <w:p>
      <w:pPr>
        <w:pStyle w:val="BodyText"/>
        <w:rPr>
          <w:rFonts w:ascii="Gotham Narrow Book"/>
          <w:b w:val="0"/>
          <w:sz w:val="16"/>
        </w:rPr>
      </w:pPr>
    </w:p>
    <w:p>
      <w:pPr>
        <w:pStyle w:val="BodyText"/>
        <w:rPr>
          <w:rFonts w:ascii="Gotham Narrow Book"/>
          <w:b w:val="0"/>
          <w:sz w:val="16"/>
        </w:rPr>
      </w:pPr>
    </w:p>
    <w:p>
      <w:pPr>
        <w:pStyle w:val="BodyText"/>
        <w:rPr>
          <w:rFonts w:ascii="Gotham Narrow Book"/>
          <w:b w:val="0"/>
          <w:sz w:val="16"/>
        </w:rPr>
      </w:pPr>
    </w:p>
    <w:p>
      <w:pPr>
        <w:pStyle w:val="BodyText"/>
        <w:rPr>
          <w:rFonts w:ascii="Gotham Narrow Book"/>
          <w:b w:val="0"/>
          <w:sz w:val="16"/>
        </w:rPr>
      </w:pPr>
    </w:p>
    <w:p>
      <w:pPr>
        <w:pStyle w:val="BodyText"/>
        <w:rPr>
          <w:rFonts w:ascii="Gotham Narrow Book"/>
          <w:b w:val="0"/>
          <w:sz w:val="16"/>
        </w:rPr>
      </w:pPr>
    </w:p>
    <w:p>
      <w:pPr>
        <w:pStyle w:val="BodyText"/>
        <w:rPr>
          <w:rFonts w:ascii="Gotham Narrow Book"/>
          <w:b w:val="0"/>
          <w:sz w:val="16"/>
        </w:rPr>
      </w:pPr>
    </w:p>
    <w:p>
      <w:pPr>
        <w:pStyle w:val="BodyText"/>
        <w:rPr>
          <w:rFonts w:ascii="Gotham Narrow Book"/>
          <w:b w:val="0"/>
          <w:sz w:val="16"/>
        </w:rPr>
      </w:pPr>
    </w:p>
    <w:p>
      <w:pPr>
        <w:pStyle w:val="BodyText"/>
        <w:rPr>
          <w:rFonts w:ascii="Gotham Narrow Book"/>
          <w:b w:val="0"/>
          <w:sz w:val="16"/>
        </w:rPr>
      </w:pPr>
    </w:p>
    <w:p>
      <w:pPr>
        <w:pStyle w:val="BodyText"/>
        <w:rPr>
          <w:rFonts w:ascii="Gotham Narrow Book"/>
          <w:b w:val="0"/>
          <w:sz w:val="16"/>
        </w:rPr>
      </w:pPr>
    </w:p>
    <w:p>
      <w:pPr>
        <w:pStyle w:val="BodyText"/>
        <w:rPr>
          <w:rFonts w:ascii="Gotham Narrow Book"/>
          <w:b w:val="0"/>
          <w:sz w:val="16"/>
        </w:rPr>
      </w:pPr>
    </w:p>
    <w:p>
      <w:pPr>
        <w:pStyle w:val="BodyText"/>
        <w:rPr>
          <w:rFonts w:ascii="Gotham Narrow Book"/>
          <w:b w:val="0"/>
          <w:sz w:val="16"/>
        </w:rPr>
      </w:pPr>
    </w:p>
    <w:p>
      <w:pPr>
        <w:pStyle w:val="BodyText"/>
        <w:rPr>
          <w:rFonts w:ascii="Gotham Narrow Book"/>
          <w:b w:val="0"/>
          <w:sz w:val="16"/>
        </w:rPr>
      </w:pPr>
    </w:p>
    <w:p>
      <w:pPr>
        <w:pStyle w:val="BodyText"/>
        <w:rPr>
          <w:rFonts w:ascii="Gotham Narrow Book"/>
          <w:b w:val="0"/>
          <w:sz w:val="16"/>
        </w:rPr>
      </w:pPr>
    </w:p>
    <w:p>
      <w:pPr>
        <w:pStyle w:val="BodyText"/>
        <w:rPr>
          <w:rFonts w:ascii="Gotham Narrow Book"/>
          <w:b w:val="0"/>
          <w:sz w:val="16"/>
        </w:rPr>
      </w:pPr>
    </w:p>
    <w:p>
      <w:pPr>
        <w:pStyle w:val="BodyText"/>
        <w:rPr>
          <w:rFonts w:ascii="Gotham Narrow Book"/>
          <w:b w:val="0"/>
          <w:sz w:val="16"/>
        </w:rPr>
      </w:pPr>
    </w:p>
    <w:p>
      <w:pPr>
        <w:pStyle w:val="BodyText"/>
        <w:rPr>
          <w:rFonts w:ascii="Gotham Narrow Book"/>
          <w:b w:val="0"/>
          <w:sz w:val="16"/>
        </w:rPr>
      </w:pPr>
    </w:p>
    <w:p>
      <w:pPr>
        <w:pStyle w:val="BodyText"/>
        <w:rPr>
          <w:rFonts w:ascii="Gotham Narrow Book"/>
          <w:b w:val="0"/>
          <w:sz w:val="16"/>
        </w:rPr>
      </w:pPr>
    </w:p>
    <w:p>
      <w:pPr>
        <w:pStyle w:val="BodyText"/>
        <w:rPr>
          <w:rFonts w:ascii="Gotham Narrow Book"/>
          <w:b w:val="0"/>
          <w:sz w:val="16"/>
        </w:rPr>
      </w:pPr>
    </w:p>
    <w:p>
      <w:pPr>
        <w:pStyle w:val="BodyText"/>
        <w:rPr>
          <w:rFonts w:ascii="Gotham Narrow Book"/>
          <w:b w:val="0"/>
          <w:sz w:val="16"/>
        </w:rPr>
      </w:pPr>
    </w:p>
    <w:p>
      <w:pPr>
        <w:pStyle w:val="BodyText"/>
        <w:rPr>
          <w:rFonts w:ascii="Gotham Narrow Book"/>
          <w:b w:val="0"/>
          <w:sz w:val="16"/>
        </w:rPr>
      </w:pPr>
    </w:p>
    <w:p>
      <w:pPr>
        <w:pStyle w:val="BodyText"/>
        <w:rPr>
          <w:rFonts w:ascii="Gotham Narrow Book"/>
          <w:b w:val="0"/>
          <w:sz w:val="16"/>
        </w:rPr>
      </w:pPr>
    </w:p>
    <w:p>
      <w:pPr>
        <w:pStyle w:val="BodyText"/>
        <w:rPr>
          <w:rFonts w:ascii="Gotham Narrow Book"/>
          <w:b w:val="0"/>
          <w:sz w:val="16"/>
        </w:rPr>
      </w:pPr>
    </w:p>
    <w:p>
      <w:pPr>
        <w:pStyle w:val="BodyText"/>
        <w:rPr>
          <w:rFonts w:ascii="Gotham Narrow Book"/>
          <w:b w:val="0"/>
          <w:sz w:val="16"/>
        </w:rPr>
      </w:pPr>
    </w:p>
    <w:p>
      <w:pPr>
        <w:pStyle w:val="BodyText"/>
        <w:rPr>
          <w:rFonts w:ascii="Gotham Narrow Book"/>
          <w:b w:val="0"/>
          <w:sz w:val="16"/>
        </w:rPr>
      </w:pPr>
    </w:p>
    <w:p>
      <w:pPr>
        <w:pStyle w:val="BodyText"/>
        <w:rPr>
          <w:rFonts w:ascii="Gotham Narrow Book"/>
          <w:b w:val="0"/>
          <w:sz w:val="16"/>
        </w:rPr>
      </w:pPr>
    </w:p>
    <w:p>
      <w:pPr>
        <w:pStyle w:val="BodyText"/>
        <w:rPr>
          <w:rFonts w:ascii="Gotham Narrow Book"/>
          <w:b w:val="0"/>
          <w:sz w:val="16"/>
        </w:rPr>
      </w:pPr>
    </w:p>
    <w:p>
      <w:pPr>
        <w:pStyle w:val="BodyText"/>
        <w:rPr>
          <w:rFonts w:ascii="Gotham Narrow Book"/>
          <w:b w:val="0"/>
          <w:sz w:val="16"/>
        </w:rPr>
      </w:pPr>
    </w:p>
    <w:p>
      <w:pPr>
        <w:pStyle w:val="BodyText"/>
        <w:rPr>
          <w:rFonts w:ascii="Gotham Narrow Book"/>
          <w:b w:val="0"/>
          <w:sz w:val="16"/>
        </w:rPr>
      </w:pPr>
    </w:p>
    <w:p>
      <w:pPr>
        <w:pStyle w:val="BodyText"/>
        <w:rPr>
          <w:rFonts w:ascii="Gotham Narrow Book"/>
          <w:b w:val="0"/>
          <w:sz w:val="16"/>
        </w:rPr>
      </w:pPr>
    </w:p>
    <w:p>
      <w:pPr>
        <w:pStyle w:val="BodyText"/>
        <w:rPr>
          <w:rFonts w:ascii="Gotham Narrow Book"/>
          <w:b w:val="0"/>
          <w:sz w:val="16"/>
        </w:rPr>
      </w:pPr>
    </w:p>
    <w:p>
      <w:pPr>
        <w:pStyle w:val="BodyText"/>
        <w:rPr>
          <w:rFonts w:ascii="Gotham Narrow Book"/>
          <w:b w:val="0"/>
          <w:sz w:val="16"/>
        </w:rPr>
      </w:pPr>
    </w:p>
    <w:p>
      <w:pPr>
        <w:pStyle w:val="BodyText"/>
        <w:rPr>
          <w:rFonts w:ascii="Gotham Narrow Book"/>
          <w:b w:val="0"/>
          <w:sz w:val="16"/>
        </w:rPr>
      </w:pPr>
    </w:p>
    <w:p>
      <w:pPr>
        <w:pStyle w:val="BodyText"/>
        <w:rPr>
          <w:rFonts w:ascii="Gotham Narrow Book"/>
          <w:b w:val="0"/>
          <w:sz w:val="16"/>
        </w:rPr>
      </w:pPr>
    </w:p>
    <w:p>
      <w:pPr>
        <w:pStyle w:val="BodyText"/>
        <w:rPr>
          <w:rFonts w:ascii="Gotham Narrow Book"/>
          <w:b w:val="0"/>
          <w:sz w:val="16"/>
        </w:rPr>
      </w:pPr>
    </w:p>
    <w:p>
      <w:pPr>
        <w:pStyle w:val="BodyText"/>
        <w:rPr>
          <w:rFonts w:ascii="Gotham Narrow Book"/>
          <w:b w:val="0"/>
          <w:sz w:val="16"/>
        </w:rPr>
      </w:pPr>
    </w:p>
    <w:p>
      <w:pPr>
        <w:pStyle w:val="BodyText"/>
        <w:rPr>
          <w:rFonts w:ascii="Gotham Narrow Book"/>
          <w:b w:val="0"/>
          <w:sz w:val="16"/>
        </w:rPr>
      </w:pPr>
    </w:p>
    <w:p>
      <w:pPr>
        <w:pStyle w:val="BodyText"/>
        <w:rPr>
          <w:rFonts w:ascii="Gotham Narrow Book"/>
          <w:b w:val="0"/>
          <w:sz w:val="16"/>
        </w:rPr>
      </w:pPr>
    </w:p>
    <w:p>
      <w:pPr>
        <w:pStyle w:val="BodyText"/>
        <w:rPr>
          <w:rFonts w:ascii="Gotham Narrow Book"/>
          <w:b w:val="0"/>
          <w:sz w:val="16"/>
        </w:rPr>
      </w:pPr>
    </w:p>
    <w:p>
      <w:pPr>
        <w:pStyle w:val="BodyText"/>
        <w:rPr>
          <w:rFonts w:ascii="Gotham Narrow Book"/>
          <w:b w:val="0"/>
          <w:sz w:val="16"/>
        </w:rPr>
      </w:pPr>
    </w:p>
    <w:p>
      <w:pPr>
        <w:pStyle w:val="BodyText"/>
        <w:rPr>
          <w:rFonts w:ascii="Gotham Narrow Book"/>
          <w:b w:val="0"/>
          <w:sz w:val="16"/>
        </w:rPr>
      </w:pPr>
    </w:p>
    <w:p>
      <w:pPr>
        <w:pStyle w:val="BodyText"/>
        <w:rPr>
          <w:rFonts w:ascii="Gotham Narrow Book"/>
          <w:b w:val="0"/>
          <w:sz w:val="16"/>
        </w:rPr>
      </w:pPr>
    </w:p>
    <w:p>
      <w:pPr>
        <w:pStyle w:val="BodyText"/>
        <w:rPr>
          <w:rFonts w:ascii="Gotham Narrow Book"/>
          <w:b w:val="0"/>
          <w:sz w:val="16"/>
        </w:rPr>
      </w:pPr>
    </w:p>
    <w:p>
      <w:pPr>
        <w:pStyle w:val="BodyText"/>
        <w:rPr>
          <w:rFonts w:ascii="Gotham Narrow Book"/>
          <w:b w:val="0"/>
          <w:sz w:val="16"/>
        </w:rPr>
      </w:pPr>
    </w:p>
    <w:p>
      <w:pPr>
        <w:pStyle w:val="BodyText"/>
        <w:rPr>
          <w:rFonts w:ascii="Gotham Narrow Book"/>
          <w:b w:val="0"/>
          <w:sz w:val="16"/>
        </w:rPr>
      </w:pPr>
    </w:p>
    <w:p>
      <w:pPr>
        <w:pStyle w:val="BodyText"/>
        <w:rPr>
          <w:rFonts w:ascii="Gotham Narrow Book"/>
          <w:b w:val="0"/>
          <w:sz w:val="16"/>
        </w:rPr>
      </w:pPr>
    </w:p>
    <w:p>
      <w:pPr>
        <w:pStyle w:val="BodyText"/>
        <w:rPr>
          <w:rFonts w:ascii="Gotham Narrow Book"/>
          <w:b w:val="0"/>
          <w:sz w:val="16"/>
        </w:rPr>
      </w:pPr>
    </w:p>
    <w:p>
      <w:pPr>
        <w:pStyle w:val="BodyText"/>
        <w:rPr>
          <w:rFonts w:ascii="Gotham Narrow Book"/>
          <w:b w:val="0"/>
          <w:sz w:val="16"/>
        </w:rPr>
      </w:pPr>
    </w:p>
    <w:p>
      <w:pPr>
        <w:pStyle w:val="BodyText"/>
        <w:rPr>
          <w:rFonts w:ascii="Gotham Narrow Book"/>
          <w:b w:val="0"/>
          <w:sz w:val="16"/>
        </w:rPr>
      </w:pPr>
    </w:p>
    <w:p>
      <w:pPr>
        <w:pStyle w:val="BodyText"/>
        <w:rPr>
          <w:rFonts w:ascii="Gotham Narrow Book"/>
          <w:b w:val="0"/>
          <w:sz w:val="16"/>
        </w:rPr>
      </w:pPr>
    </w:p>
    <w:p>
      <w:pPr>
        <w:pStyle w:val="BodyText"/>
        <w:rPr>
          <w:rFonts w:ascii="Gotham Narrow Book"/>
          <w:b w:val="0"/>
          <w:sz w:val="16"/>
        </w:rPr>
      </w:pPr>
    </w:p>
    <w:p>
      <w:pPr>
        <w:pStyle w:val="BodyText"/>
        <w:rPr>
          <w:rFonts w:ascii="Gotham Narrow Book"/>
          <w:b w:val="0"/>
          <w:sz w:val="16"/>
        </w:rPr>
      </w:pPr>
    </w:p>
    <w:p>
      <w:pPr>
        <w:pStyle w:val="Heading5"/>
        <w:spacing w:line="240" w:lineRule="auto" w:before="141"/>
        <w:ind w:left="2855" w:right="3012"/>
        <w:jc w:val="center"/>
        <w:rPr>
          <w:rFonts w:ascii="Gotham Narrow Bold"/>
        </w:rPr>
      </w:pPr>
      <w:r>
        <w:rPr>
          <w:rFonts w:ascii="Gotham Narrow Bold"/>
          <w:color w:val="FFFFFF"/>
        </w:rPr>
        <w:t>WESTERNSYDNEY.EDU.AU</w:t>
      </w: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spacing w:before="7"/>
        <w:rPr>
          <w:rFonts w:ascii="Gotham Narrow Bold"/>
          <w:b/>
        </w:rPr>
      </w:pPr>
    </w:p>
    <w:p>
      <w:pPr>
        <w:tabs>
          <w:tab w:pos="10605" w:val="left" w:leader="none"/>
        </w:tabs>
        <w:spacing w:before="80"/>
        <w:ind w:left="100" w:right="0" w:firstLine="0"/>
        <w:jc w:val="left"/>
        <w:rPr>
          <w:sz w:val="12"/>
        </w:rPr>
      </w:pPr>
      <w:r>
        <w:rPr>
          <w:sz w:val="12"/>
        </w:rPr>
        <w:t>STRA1725 Annual Report 2016_Vol</w:t>
      </w:r>
      <w:r>
        <w:rPr>
          <w:spacing w:val="-11"/>
          <w:sz w:val="12"/>
        </w:rPr>
        <w:t> </w:t>
      </w:r>
      <w:r>
        <w:rPr>
          <w:sz w:val="12"/>
        </w:rPr>
        <w:t>2_v1.indd </w:t>
      </w:r>
      <w:r>
        <w:rPr>
          <w:spacing w:val="26"/>
          <w:sz w:val="12"/>
        </w:rPr>
        <w:t> </w:t>
      </w:r>
      <w:r>
        <w:rPr>
          <w:sz w:val="12"/>
        </w:rPr>
        <w:t>2</w:t>
        <w:tab/>
        <w:t>19/04/2017   3:05</w:t>
      </w:r>
      <w:r>
        <w:rPr>
          <w:spacing w:val="-12"/>
          <w:sz w:val="12"/>
        </w:rPr>
        <w:t> </w:t>
      </w:r>
      <w:r>
        <w:rPr>
          <w:sz w:val="12"/>
        </w:rPr>
        <w:t>PM</w:t>
      </w:r>
    </w:p>
    <w:sectPr>
      <w:headerReference w:type="default" r:id="rId150"/>
      <w:footerReference w:type="default" r:id="rId151"/>
      <w:pgSz w:w="12750" w:h="17680"/>
      <w:pgMar w:header="0" w:footer="0" w:top="1460" w:bottom="0" w:left="520" w:right="3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Tahoma">
    <w:altName w:val="Tahoma"/>
    <w:charset w:val="0"/>
    <w:family w:val="swiss"/>
    <w:pitch w:val="variable"/>
  </w:font>
  <w:font w:name="Corbel">
    <w:altName w:val="Corbel"/>
    <w:charset w:val="0"/>
    <w:family w:val="swiss"/>
    <w:pitch w:val="variable"/>
  </w:font>
  <w:font w:name="Chronicle Text G1">
    <w:altName w:val="Chronicle Text G1"/>
    <w:charset w:val="0"/>
    <w:family w:val="modern"/>
    <w:pitch w:val="variable"/>
  </w:font>
  <w:font w:name="Symbol">
    <w:altName w:val="Symbol"/>
    <w:charset w:val="2"/>
    <w:family w:val="roman"/>
    <w:pitch w:val="variable"/>
  </w:font>
  <w:font w:name="Calibri">
    <w:altName w:val="Calibri"/>
    <w:charset w:val="0"/>
    <w:family w:val="swiss"/>
    <w:pitch w:val="variable"/>
  </w:font>
  <w:font w:name="Gotham Narrow Book">
    <w:altName w:val="Gotham Narrow Book"/>
    <w:charset w:val="0"/>
    <w:family w:val="modern"/>
    <w:pitch w:val="variable"/>
  </w:font>
  <w:font w:name="Gotham Narrow Bold">
    <w:altName w:val="Gotham Narrow Bold"/>
    <w:charset w:val="0"/>
    <w:family w:val="moder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314.384979pt;margin-top:827.476563pt;width:8.450pt;height:10pt;mso-position-horizontal-relative:page;mso-position-vertical-relative:page;z-index:-1207312" type="#_x0000_t202" filled="false" stroked="false">
          <v:textbox inset="0,0,0,0">
            <w:txbxContent>
              <w:p>
                <w:pPr>
                  <w:spacing w:line="184" w:lineRule="exact" w:before="0"/>
                  <w:ind w:left="40" w:right="0" w:firstLine="0"/>
                  <w:jc w:val="left"/>
                  <w:rPr>
                    <w:sz w:val="16"/>
                  </w:rPr>
                </w:pPr>
                <w:r>
                  <w:rPr/>
                  <w:fldChar w:fldCharType="begin"/>
                </w:r>
                <w:r>
                  <w:rPr>
                    <w:w w:val="99"/>
                    <w:sz w:val="16"/>
                  </w:rPr>
                  <w:instrText> PAGE </w:instrText>
                </w:r>
                <w:r>
                  <w:rPr/>
                  <w:fldChar w:fldCharType="separate"/>
                </w:r>
                <w:r>
                  <w:rPr/>
                  <w:t>1</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204144" from="21pt,871.843018pt" to="21pt,883.843004pt" stroked="true" strokeweight=".25pt" strokecolor="#000000">
          <w10:wrap type="none"/>
        </v:line>
      </w:pict>
    </w:r>
    <w:r>
      <w:rPr/>
      <w:drawing>
        <wp:anchor distT="0" distB="0" distL="0" distR="0" allowOverlap="1" layoutInCell="1" locked="0" behindDoc="1" simplePos="0" relativeHeight="267231335">
          <wp:simplePos x="0" y="0"/>
          <wp:positionH relativeFrom="page">
            <wp:posOffset>3968896</wp:posOffset>
          </wp:positionH>
          <wp:positionV relativeFrom="page">
            <wp:posOffset>11089868</wp:posOffset>
          </wp:positionV>
          <wp:extent cx="155575" cy="136525"/>
          <wp:effectExtent l="0" t="0" r="0" b="0"/>
          <wp:wrapNone/>
          <wp:docPr id="335" name="image12.png" descr=""/>
          <wp:cNvGraphicFramePr>
            <a:graphicFrameLocks noChangeAspect="1"/>
          </wp:cNvGraphicFramePr>
          <a:graphic>
            <a:graphicData uri="http://schemas.openxmlformats.org/drawingml/2006/picture">
              <pic:pic>
                <pic:nvPicPr>
                  <pic:cNvPr id="336" name="image12.png"/>
                  <pic:cNvPicPr/>
                </pic:nvPicPr>
                <pic:blipFill>
                  <a:blip r:embed="rId1" cstate="print"/>
                  <a:stretch>
                    <a:fillRect/>
                  </a:stretch>
                </pic:blipFill>
                <pic:spPr>
                  <a:xfrm>
                    <a:off x="0" y="0"/>
                    <a:ext cx="155575" cy="136525"/>
                  </a:xfrm>
                  <a:prstGeom prst="rect">
                    <a:avLst/>
                  </a:prstGeom>
                </pic:spPr>
              </pic:pic>
            </a:graphicData>
          </a:graphic>
        </wp:anchor>
      </w:drawing>
    </w:r>
    <w:r>
      <w:rPr/>
      <w:pict>
        <v:line style="position:absolute;mso-position-horizontal-relative:page;mso-position-vertical-relative:page;z-index:-1204096" from="616.27301pt,871.843018pt" to="616.27301pt,883.843004pt" stroked="true" strokeweight=".25pt" strokecolor="#000000">
          <w10:wrap type="none"/>
        </v:line>
      </w:pict>
    </w:r>
    <w:r>
      <w:rPr/>
      <w:pict>
        <v:line style="position:absolute;mso-position-horizontal-relative:page;mso-position-vertical-relative:page;z-index:-1204072" from="12pt,862.843018pt" to="0pt,862.843018pt" stroked="true" strokeweight=".25pt" strokecolor="#000000">
          <w10:wrap type="none"/>
        </v:line>
      </w:pict>
    </w:r>
    <w:r>
      <w:rPr/>
      <w:pict>
        <v:line style="position:absolute;mso-position-horizontal-relative:page;mso-position-vertical-relative:page;z-index:-1204048" from="625.27301pt,862.843018pt" to="637.228038pt,862.843018pt" stroked="true" strokeweight=".25pt" strokecolor="#000000">
          <w10:wrap type="none"/>
        </v:line>
      </w:pict>
    </w:r>
    <w:r>
      <w:rPr/>
      <w:pict>
        <v:shape style="position:absolute;margin-left:312.187012pt;margin-top:826.476563pt;width:12.9pt;height:10pt;mso-position-horizontal-relative:page;mso-position-vertical-relative:page;z-index:-1204024" type="#_x0000_t202" filled="false" stroked="false">
          <v:textbox inset="0,0,0,0">
            <w:txbxContent>
              <w:p>
                <w:pPr>
                  <w:spacing w:line="184" w:lineRule="exact" w:before="0"/>
                  <w:ind w:left="40" w:right="0" w:firstLine="0"/>
                  <w:jc w:val="left"/>
                  <w:rPr>
                    <w:sz w:val="16"/>
                  </w:rPr>
                </w:pPr>
                <w:r>
                  <w:rPr/>
                  <w:fldChar w:fldCharType="begin"/>
                </w:r>
                <w:r>
                  <w:rPr>
                    <w:sz w:val="16"/>
                  </w:rPr>
                  <w:instrText> PAGE </w:instrText>
                </w:r>
                <w:r>
                  <w:rPr/>
                  <w:fldChar w:fldCharType="separate"/>
                </w:r>
                <w:r>
                  <w:rPr/>
                  <w:t>73</w:t>
                </w:r>
                <w:r>
                  <w:rPr/>
                  <w:fldChar w:fldCharType="end"/>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5.375pt;margin-top:571.64801pt;width:1.25pt;height:21.75pt;mso-position-horizontal-relative:page;mso-position-vertical-relative:page;z-index:-1203832" coordorigin="508,11433" coordsize="25,435">
          <v:line style="position:absolute" from="520,11565" to="520,11865" stroked="true" strokeweight=".25pt" strokecolor="#000000"/>
          <v:line style="position:absolute" from="520,11445" to="520,11805" stroked="true" strokeweight="1.25pt" strokecolor="#ffffff"/>
          <v:line style="position:absolute" from="520,11445" to="520,11805" stroked="true" strokeweight=".25pt" strokecolor="#000000"/>
          <w10:wrap type="none"/>
        </v:group>
      </w:pict>
    </w:r>
    <w:r>
      <w:rPr/>
      <w:pict>
        <v:group style="position:absolute;margin-left:815.260986pt;margin-top:571.64801pt;width:1.25pt;height:21.75pt;mso-position-horizontal-relative:page;mso-position-vertical-relative:page;z-index:-1203808" coordorigin="16305,11433" coordsize="25,435">
          <v:line style="position:absolute" from="16318,11565" to="16318,11865" stroked="true" strokeweight=".25pt" strokecolor="#000000"/>
          <v:line style="position:absolute" from="16318,11445" to="16318,11805" stroked="true" strokeweight="1.25pt" strokecolor="#ffffff"/>
          <v:line style="position:absolute" from="16318,11445" to="16318,11805" stroked="true" strokeweight=".25pt" strokecolor="#000000"/>
          <w10:wrap type="none"/>
        </v:group>
      </w:pict>
    </w:r>
    <w:r>
      <w:rPr/>
      <w:drawing>
        <wp:anchor distT="0" distB="0" distL="0" distR="0" allowOverlap="1" layoutInCell="1" locked="0" behindDoc="1" simplePos="0" relativeHeight="267231671">
          <wp:simplePos x="0" y="0"/>
          <wp:positionH relativeFrom="page">
            <wp:posOffset>5268188</wp:posOffset>
          </wp:positionH>
          <wp:positionV relativeFrom="page">
            <wp:posOffset>7361529</wp:posOffset>
          </wp:positionV>
          <wp:extent cx="155575" cy="155575"/>
          <wp:effectExtent l="0" t="0" r="0" b="0"/>
          <wp:wrapNone/>
          <wp:docPr id="375" name="image25.png" descr=""/>
          <wp:cNvGraphicFramePr>
            <a:graphicFrameLocks noChangeAspect="1"/>
          </wp:cNvGraphicFramePr>
          <a:graphic>
            <a:graphicData uri="http://schemas.openxmlformats.org/drawingml/2006/picture">
              <pic:pic>
                <pic:nvPicPr>
                  <pic:cNvPr id="376" name="image25.png"/>
                  <pic:cNvPicPr/>
                </pic:nvPicPr>
                <pic:blipFill>
                  <a:blip r:embed="rId1" cstate="print"/>
                  <a:stretch>
                    <a:fillRect/>
                  </a:stretch>
                </pic:blipFill>
                <pic:spPr>
                  <a:xfrm>
                    <a:off x="0" y="0"/>
                    <a:ext cx="155575" cy="155575"/>
                  </a:xfrm>
                  <a:prstGeom prst="rect">
                    <a:avLst/>
                  </a:prstGeom>
                </pic:spPr>
              </pic:pic>
            </a:graphicData>
          </a:graphic>
        </wp:anchor>
      </w:drawing>
    </w:r>
    <w:r>
      <w:rPr/>
      <w:pict>
        <v:group style="position:absolute;margin-left:1.875pt;margin-top:568.64801pt;width:21.75pt;height:1.25pt;mso-position-horizontal-relative:page;mso-position-vertical-relative:page;z-index:-1203760" coordorigin="38,11373" coordsize="435,25">
          <v:line style="position:absolute" from="340,11385" to="40,11385" stroked="true" strokeweight=".25pt" strokecolor="#000000"/>
          <v:line style="position:absolute" from="460,11385" to="100,11385" stroked="true" strokeweight="1.25pt" strokecolor="#ffffff"/>
          <v:line style="position:absolute" from="460,11385" to="100,11385" stroked="true" strokeweight=".25pt" strokecolor="#000000"/>
          <w10:wrap type="none"/>
        </v:group>
      </w:pict>
    </w:r>
    <w:r>
      <w:rPr/>
      <w:pict>
        <v:group style="position:absolute;margin-left:818.260986pt;margin-top:568.64801pt;width:21.75pt;height:1.25pt;mso-position-horizontal-relative:page;mso-position-vertical-relative:page;z-index:-1203736" coordorigin="16365,11373" coordsize="435,25">
          <v:line style="position:absolute" from="16498,11385" to="16798,11385" stroked="true" strokeweight=".25pt" strokecolor="#000000"/>
          <v:line style="position:absolute" from="16378,11385" to="16738,11385" stroked="true" strokeweight="1.25pt" strokecolor="#ffffff"/>
          <v:line style="position:absolute" from="16378,11385" to="16738,11385" stroked="true" strokeweight=".25pt" strokecolor="#000000"/>
          <w10:wrap type="none"/>
        </v:group>
      </w:pict>
    </w:r>
    <w:r>
      <w:rPr/>
      <w:pict>
        <v:shape style="position:absolute;margin-left:414.4935pt;margin-top:558.906555pt;width:12.9pt;height:10pt;mso-position-horizontal-relative:page;mso-position-vertical-relative:page;z-index:-1203712" type="#_x0000_t202" filled="false" stroked="false">
          <v:textbox inset="0,0,0,0">
            <w:txbxContent>
              <w:p>
                <w:pPr>
                  <w:spacing w:line="184" w:lineRule="exact" w:before="0"/>
                  <w:ind w:left="40" w:right="0" w:firstLine="0"/>
                  <w:jc w:val="left"/>
                  <w:rPr>
                    <w:sz w:val="16"/>
                  </w:rPr>
                </w:pPr>
                <w:r>
                  <w:rPr/>
                  <w:fldChar w:fldCharType="begin"/>
                </w:r>
                <w:r>
                  <w:rPr>
                    <w:sz w:val="16"/>
                  </w:rPr>
                  <w:instrText> PAGE </w:instrText>
                </w:r>
                <w:r>
                  <w:rPr/>
                  <w:fldChar w:fldCharType="separate"/>
                </w:r>
                <w:r>
                  <w:rPr/>
                  <w:t>82</w:t>
                </w:r>
                <w:r>
                  <w:rPr/>
                  <w:fldChar w:fldCharType="end"/>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5.375pt;margin-top:571.64801pt;width:1.25pt;height:21.75pt;mso-position-horizontal-relative:page;mso-position-vertical-relative:page;z-index:-1203520" coordorigin="508,11433" coordsize="25,435">
          <v:line style="position:absolute" from="520,11565" to="520,11865" stroked="true" strokeweight=".25pt" strokecolor="#000000"/>
          <v:line style="position:absolute" from="520,11445" to="520,11805" stroked="true" strokeweight="1.25pt" strokecolor="#ffffff"/>
          <v:line style="position:absolute" from="520,11445" to="520,11805" stroked="true" strokeweight=".25pt" strokecolor="#000000"/>
          <w10:wrap type="none"/>
        </v:group>
      </w:pict>
    </w:r>
    <w:r>
      <w:rPr/>
      <w:pict>
        <v:group style="position:absolute;margin-left:815.260986pt;margin-top:571.64801pt;width:1.25pt;height:21.75pt;mso-position-horizontal-relative:page;mso-position-vertical-relative:page;z-index:-1203496" coordorigin="16305,11433" coordsize="25,435">
          <v:line style="position:absolute" from="16318,11565" to="16318,11865" stroked="true" strokeweight=".25pt" strokecolor="#000000"/>
          <v:line style="position:absolute" from="16318,11445" to="16318,11805" stroked="true" strokeweight="1.25pt" strokecolor="#ffffff"/>
          <v:line style="position:absolute" from="16318,11445" to="16318,11805" stroked="true" strokeweight=".25pt" strokecolor="#000000"/>
          <w10:wrap type="none"/>
        </v:group>
      </w:pict>
    </w:r>
    <w:r>
      <w:rPr/>
      <w:drawing>
        <wp:anchor distT="0" distB="0" distL="0" distR="0" allowOverlap="1" layoutInCell="1" locked="0" behindDoc="1" simplePos="0" relativeHeight="267231983">
          <wp:simplePos x="0" y="0"/>
          <wp:positionH relativeFrom="page">
            <wp:posOffset>5268188</wp:posOffset>
          </wp:positionH>
          <wp:positionV relativeFrom="page">
            <wp:posOffset>7361529</wp:posOffset>
          </wp:positionV>
          <wp:extent cx="155575" cy="155575"/>
          <wp:effectExtent l="0" t="0" r="0" b="0"/>
          <wp:wrapNone/>
          <wp:docPr id="403" name="image25.png" descr=""/>
          <wp:cNvGraphicFramePr>
            <a:graphicFrameLocks noChangeAspect="1"/>
          </wp:cNvGraphicFramePr>
          <a:graphic>
            <a:graphicData uri="http://schemas.openxmlformats.org/drawingml/2006/picture">
              <pic:pic>
                <pic:nvPicPr>
                  <pic:cNvPr id="404" name="image25.png"/>
                  <pic:cNvPicPr/>
                </pic:nvPicPr>
                <pic:blipFill>
                  <a:blip r:embed="rId1" cstate="print"/>
                  <a:stretch>
                    <a:fillRect/>
                  </a:stretch>
                </pic:blipFill>
                <pic:spPr>
                  <a:xfrm>
                    <a:off x="0" y="0"/>
                    <a:ext cx="155575" cy="155575"/>
                  </a:xfrm>
                  <a:prstGeom prst="rect">
                    <a:avLst/>
                  </a:prstGeom>
                </pic:spPr>
              </pic:pic>
            </a:graphicData>
          </a:graphic>
        </wp:anchor>
      </w:drawing>
    </w:r>
    <w:r>
      <w:rPr/>
      <w:pict>
        <v:group style="position:absolute;margin-left:1.875pt;margin-top:568.64801pt;width:21.75pt;height:1.25pt;mso-position-horizontal-relative:page;mso-position-vertical-relative:page;z-index:-1203448" coordorigin="38,11373" coordsize="435,25">
          <v:line style="position:absolute" from="340,11385" to="40,11385" stroked="true" strokeweight=".25pt" strokecolor="#000000"/>
          <v:line style="position:absolute" from="460,11385" to="100,11385" stroked="true" strokeweight="1.25pt" strokecolor="#ffffff"/>
          <v:line style="position:absolute" from="460,11385" to="100,11385" stroked="true" strokeweight=".25pt" strokecolor="#000000"/>
          <w10:wrap type="none"/>
        </v:group>
      </w:pict>
    </w:r>
    <w:r>
      <w:rPr/>
      <w:pict>
        <v:group style="position:absolute;margin-left:818.260986pt;margin-top:568.64801pt;width:21.75pt;height:1.25pt;mso-position-horizontal-relative:page;mso-position-vertical-relative:page;z-index:-1203424" coordorigin="16365,11373" coordsize="435,25">
          <v:line style="position:absolute" from="16498,11385" to="16798,11385" stroked="true" strokeweight=".25pt" strokecolor="#000000"/>
          <v:line style="position:absolute" from="16378,11385" to="16738,11385" stroked="true" strokeweight="1.25pt" strokecolor="#ffffff"/>
          <v:line style="position:absolute" from="16378,11385" to="16738,11385" stroked="true" strokeweight=".25pt" strokecolor="#000000"/>
          <w10:wrap type="none"/>
        </v:group>
      </w:pict>
    </w:r>
    <w:r>
      <w:rPr/>
      <w:pict>
        <v:shape style="position:absolute;margin-left:414.4935pt;margin-top:558.906555pt;width:12.9pt;height:10pt;mso-position-horizontal-relative:page;mso-position-vertical-relative:page;z-index:-1203400" type="#_x0000_t202" filled="false" stroked="false">
          <v:textbox inset="0,0,0,0">
            <w:txbxContent>
              <w:p>
                <w:pPr>
                  <w:spacing w:line="184" w:lineRule="exact" w:before="0"/>
                  <w:ind w:left="40" w:right="0" w:firstLine="0"/>
                  <w:jc w:val="left"/>
                  <w:rPr>
                    <w:sz w:val="16"/>
                  </w:rPr>
                </w:pPr>
                <w:r>
                  <w:rPr/>
                  <w:fldChar w:fldCharType="begin"/>
                </w:r>
                <w:r>
                  <w:rPr>
                    <w:sz w:val="16"/>
                  </w:rPr>
                  <w:instrText> PAGE </w:instrText>
                </w:r>
                <w:r>
                  <w:rPr/>
                  <w:fldChar w:fldCharType="separate"/>
                </w:r>
                <w:r>
                  <w:rPr/>
                  <w:t>87</w:t>
                </w:r>
                <w:r>
                  <w:rPr/>
                  <w:fldChar w:fldCharType="end"/>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203208" from="21pt,871.843018pt" to="21pt,883.843004pt" stroked="true" strokeweight=".25pt" strokecolor="#000000">
          <w10:wrap type="none"/>
        </v:line>
      </w:pict>
    </w:r>
    <w:r>
      <w:rPr/>
      <w:drawing>
        <wp:anchor distT="0" distB="0" distL="0" distR="0" allowOverlap="1" layoutInCell="1" locked="0" behindDoc="1" simplePos="0" relativeHeight="267232271">
          <wp:simplePos x="0" y="0"/>
          <wp:positionH relativeFrom="page">
            <wp:posOffset>3968896</wp:posOffset>
          </wp:positionH>
          <wp:positionV relativeFrom="page">
            <wp:posOffset>11089868</wp:posOffset>
          </wp:positionV>
          <wp:extent cx="155575" cy="136525"/>
          <wp:effectExtent l="0" t="0" r="0" b="0"/>
          <wp:wrapNone/>
          <wp:docPr id="415" name="image12.png" descr=""/>
          <wp:cNvGraphicFramePr>
            <a:graphicFrameLocks noChangeAspect="1"/>
          </wp:cNvGraphicFramePr>
          <a:graphic>
            <a:graphicData uri="http://schemas.openxmlformats.org/drawingml/2006/picture">
              <pic:pic>
                <pic:nvPicPr>
                  <pic:cNvPr id="416" name="image12.png"/>
                  <pic:cNvPicPr/>
                </pic:nvPicPr>
                <pic:blipFill>
                  <a:blip r:embed="rId1" cstate="print"/>
                  <a:stretch>
                    <a:fillRect/>
                  </a:stretch>
                </pic:blipFill>
                <pic:spPr>
                  <a:xfrm>
                    <a:off x="0" y="0"/>
                    <a:ext cx="155575" cy="136525"/>
                  </a:xfrm>
                  <a:prstGeom prst="rect">
                    <a:avLst/>
                  </a:prstGeom>
                </pic:spPr>
              </pic:pic>
            </a:graphicData>
          </a:graphic>
        </wp:anchor>
      </w:drawing>
    </w:r>
    <w:r>
      <w:rPr/>
      <w:pict>
        <v:line style="position:absolute;mso-position-horizontal-relative:page;mso-position-vertical-relative:page;z-index:-1203160" from="616.27301pt,871.843018pt" to="616.27301pt,883.843004pt" stroked="true" strokeweight=".25pt" strokecolor="#000000">
          <w10:wrap type="none"/>
        </v:line>
      </w:pict>
    </w:r>
    <w:r>
      <w:rPr/>
      <w:pict>
        <v:line style="position:absolute;mso-position-horizontal-relative:page;mso-position-vertical-relative:page;z-index:-1203136" from="12pt,862.843018pt" to="0pt,862.843018pt" stroked="true" strokeweight=".25pt" strokecolor="#000000">
          <w10:wrap type="none"/>
        </v:line>
      </w:pict>
    </w:r>
    <w:r>
      <w:rPr/>
      <w:pict>
        <v:line style="position:absolute;mso-position-horizontal-relative:page;mso-position-vertical-relative:page;z-index:-1203112" from="625.27301pt,862.843018pt" to="637.228038pt,862.843018pt" stroked="true" strokeweight=".25pt" strokecolor="#000000">
          <w10:wrap type="none"/>
        </v:line>
      </w:pict>
    </w:r>
    <w:r>
      <w:rPr/>
      <w:pict>
        <v:shape style="position:absolute;margin-left:312.050507pt;margin-top:826.476563pt;width:13.05pt;height:11pt;mso-position-horizontal-relative:page;mso-position-vertical-relative:page;z-index:-1203088" type="#_x0000_t202" filled="false" stroked="false">
          <v:textbox inset="0,0,0,0">
            <w:txbxContent>
              <w:p>
                <w:pPr>
                  <w:spacing w:before="19"/>
                  <w:ind w:left="40" w:right="0" w:firstLine="0"/>
                  <w:jc w:val="left"/>
                  <w:rPr>
                    <w:sz w:val="16"/>
                  </w:rPr>
                </w:pPr>
                <w:r>
                  <w:rPr/>
                  <w:fldChar w:fldCharType="begin"/>
                </w:r>
                <w:r>
                  <w:rPr>
                    <w:sz w:val="16"/>
                  </w:rPr>
                  <w:instrText> PAGE </w:instrText>
                </w:r>
                <w:r>
                  <w:rPr/>
                  <w:fldChar w:fldCharType="separate"/>
                </w:r>
                <w:r>
                  <w:rPr/>
                  <w:t>97</w:t>
                </w:r>
                <w:r>
                  <w:rPr/>
                  <w:fldChar w:fldCharType="end"/>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202944" from="21pt,872.843018pt" to="21pt,883.843018pt" stroked="true" strokeweight=".25pt" strokecolor="#000000">
          <w10:wrap type="none"/>
        </v:line>
      </w:pict>
    </w:r>
    <w:r>
      <w:rPr/>
      <w:drawing>
        <wp:anchor distT="0" distB="0" distL="0" distR="0" allowOverlap="1" layoutInCell="1" locked="0" behindDoc="1" simplePos="0" relativeHeight="267232535">
          <wp:simplePos x="0" y="0"/>
          <wp:positionH relativeFrom="page">
            <wp:posOffset>3967162</wp:posOffset>
          </wp:positionH>
          <wp:positionV relativeFrom="page">
            <wp:posOffset>11102568</wp:posOffset>
          </wp:positionV>
          <wp:extent cx="155575" cy="123825"/>
          <wp:effectExtent l="0" t="0" r="0" b="0"/>
          <wp:wrapNone/>
          <wp:docPr id="455" name="image28.png" descr=""/>
          <wp:cNvGraphicFramePr>
            <a:graphicFrameLocks noChangeAspect="1"/>
          </wp:cNvGraphicFramePr>
          <a:graphic>
            <a:graphicData uri="http://schemas.openxmlformats.org/drawingml/2006/picture">
              <pic:pic>
                <pic:nvPicPr>
                  <pic:cNvPr id="456" name="image28.png"/>
                  <pic:cNvPicPr/>
                </pic:nvPicPr>
                <pic:blipFill>
                  <a:blip r:embed="rId1" cstate="print"/>
                  <a:stretch>
                    <a:fillRect/>
                  </a:stretch>
                </pic:blipFill>
                <pic:spPr>
                  <a:xfrm>
                    <a:off x="0" y="0"/>
                    <a:ext cx="155575" cy="123825"/>
                  </a:xfrm>
                  <a:prstGeom prst="rect">
                    <a:avLst/>
                  </a:prstGeom>
                </pic:spPr>
              </pic:pic>
            </a:graphicData>
          </a:graphic>
        </wp:anchor>
      </w:drawing>
    </w:r>
    <w:r>
      <w:rPr/>
      <w:pict>
        <v:line style="position:absolute;mso-position-horizontal-relative:page;mso-position-vertical-relative:page;z-index:-1202896" from="616pt,872.843018pt" to="616pt,883.843018pt" stroked="true" strokeweight=".25pt" strokecolor="#000000">
          <w10:wrap type="none"/>
        </v:line>
      </w:pict>
    </w:r>
    <w:r>
      <w:rPr/>
      <w:pict>
        <v:line style="position:absolute;mso-position-horizontal-relative:page;mso-position-vertical-relative:page;z-index:-1202872" from="12pt,863.843018pt" to="0pt,863.843018pt" stroked="true" strokeweight=".25pt" strokecolor="#000000">
          <w10:wrap type="none"/>
        </v:line>
      </w:pict>
    </w:r>
    <w:r>
      <w:rPr/>
      <w:pict>
        <v:line style="position:absolute;mso-position-horizontal-relative:page;mso-position-vertical-relative:page;z-index:-1202848" from="625pt,863.843018pt" to="637.228027pt,863.843018pt" stroked="true" strokeweight=".25pt" strokecolor="#000000">
          <w10:wrap type="none"/>
        </v:line>
      </w:pict>
    </w:r>
    <w:r>
      <w:rPr/>
      <w:pict>
        <v:shape style="position:absolute;margin-left:309.825989pt;margin-top:826.476563pt;width:17.5pt;height:11pt;mso-position-horizontal-relative:page;mso-position-vertical-relative:page;z-index:-1202824" type="#_x0000_t202" filled="false" stroked="false">
          <v:textbox inset="0,0,0,0">
            <w:txbxContent>
              <w:p>
                <w:pPr>
                  <w:spacing w:line="184" w:lineRule="exact" w:before="0"/>
                  <w:ind w:left="42" w:right="0" w:firstLine="0"/>
                  <w:jc w:val="left"/>
                  <w:rPr>
                    <w:sz w:val="16"/>
                  </w:rPr>
                </w:pPr>
                <w:r>
                  <w:rPr/>
                  <w:fldChar w:fldCharType="begin"/>
                </w:r>
                <w:r>
                  <w:rPr>
                    <w:sz w:val="16"/>
                  </w:rPr>
                  <w:instrText> PAGE </w:instrText>
                </w:r>
                <w:r>
                  <w:rPr/>
                  <w:fldChar w:fldCharType="separate"/>
                </w:r>
                <w:r>
                  <w:rPr/>
                  <w:t>100</w:t>
                </w:r>
                <w:r>
                  <w:rPr/>
                  <w:fldChar w:fldCharType="end"/>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202080" from="21pt,871.843018pt" to="21pt,883.843004pt" stroked="true" strokeweight=".25pt" strokecolor="#000000">
          <w10:wrap type="none"/>
        </v:line>
      </w:pict>
    </w:r>
    <w:r>
      <w:rPr/>
      <w:drawing>
        <wp:anchor distT="0" distB="0" distL="0" distR="0" allowOverlap="1" layoutInCell="1" locked="0" behindDoc="1" simplePos="0" relativeHeight="267233399">
          <wp:simplePos x="0" y="0"/>
          <wp:positionH relativeFrom="page">
            <wp:posOffset>3968896</wp:posOffset>
          </wp:positionH>
          <wp:positionV relativeFrom="page">
            <wp:posOffset>11089868</wp:posOffset>
          </wp:positionV>
          <wp:extent cx="155575" cy="136525"/>
          <wp:effectExtent l="0" t="0" r="0" b="0"/>
          <wp:wrapNone/>
          <wp:docPr id="607" name="image12.png" descr=""/>
          <wp:cNvGraphicFramePr>
            <a:graphicFrameLocks noChangeAspect="1"/>
          </wp:cNvGraphicFramePr>
          <a:graphic>
            <a:graphicData uri="http://schemas.openxmlformats.org/drawingml/2006/picture">
              <pic:pic>
                <pic:nvPicPr>
                  <pic:cNvPr id="608" name="image12.png"/>
                  <pic:cNvPicPr/>
                </pic:nvPicPr>
                <pic:blipFill>
                  <a:blip r:embed="rId1" cstate="print"/>
                  <a:stretch>
                    <a:fillRect/>
                  </a:stretch>
                </pic:blipFill>
                <pic:spPr>
                  <a:xfrm>
                    <a:off x="0" y="0"/>
                    <a:ext cx="155575" cy="136525"/>
                  </a:xfrm>
                  <a:prstGeom prst="rect">
                    <a:avLst/>
                  </a:prstGeom>
                </pic:spPr>
              </pic:pic>
            </a:graphicData>
          </a:graphic>
        </wp:anchor>
      </w:drawing>
    </w:r>
    <w:r>
      <w:rPr/>
      <w:pict>
        <v:line style="position:absolute;mso-position-horizontal-relative:page;mso-position-vertical-relative:page;z-index:-1202032" from="616.27301pt,871.843018pt" to="616.27301pt,883.843004pt" stroked="true" strokeweight=".25pt" strokecolor="#000000">
          <w10:wrap type="none"/>
        </v:line>
      </w:pict>
    </w:r>
    <w:r>
      <w:rPr/>
      <w:pict>
        <v:line style="position:absolute;mso-position-horizontal-relative:page;mso-position-vertical-relative:page;z-index:-1202008" from="12pt,862.843018pt" to="0pt,862.843018pt" stroked="true" strokeweight=".25pt" strokecolor="#000000">
          <w10:wrap type="none"/>
        </v:line>
      </w:pict>
    </w:r>
    <w:r>
      <w:rPr/>
      <w:pict>
        <v:line style="position:absolute;mso-position-horizontal-relative:page;mso-position-vertical-relative:page;z-index:-1201984" from="625.27301pt,862.843018pt" to="637.228038pt,862.843018pt" stroked="true" strokeweight=".25pt" strokecolor="#000000">
          <w10:wrap type="none"/>
        </v:line>
      </w:pict>
    </w:r>
    <w:r>
      <w:rPr/>
      <w:pict>
        <v:shape style="position:absolute;margin-left:309.825989pt;margin-top:826.476563pt;width:17.5pt;height:11pt;mso-position-horizontal-relative:page;mso-position-vertical-relative:page;z-index:-1201960" type="#_x0000_t202" filled="false" stroked="false">
          <v:textbox inset="0,0,0,0">
            <w:txbxContent>
              <w:p>
                <w:pPr>
                  <w:spacing w:before="19"/>
                  <w:ind w:left="40" w:right="0" w:firstLine="0"/>
                  <w:jc w:val="left"/>
                  <w:rPr>
                    <w:sz w:val="16"/>
                  </w:rPr>
                </w:pPr>
                <w:r>
                  <w:rPr/>
                  <w:fldChar w:fldCharType="begin"/>
                </w:r>
                <w:r>
                  <w:rPr>
                    <w:sz w:val="16"/>
                  </w:rPr>
                  <w:instrText> PAGE </w:instrText>
                </w:r>
                <w:r>
                  <w:rPr/>
                  <w:fldChar w:fldCharType="separate"/>
                </w:r>
                <w:r>
                  <w:rPr/>
                  <w:t>137</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207168" from="21pt,871.843018pt" to="21pt,883.843pt" stroked="true" strokeweight=".25pt" strokecolor="#000000">
          <w10:wrap type="none"/>
        </v:line>
      </w:pict>
    </w:r>
    <w:r>
      <w:rPr/>
      <w:drawing>
        <wp:anchor distT="0" distB="0" distL="0" distR="0" allowOverlap="1" layoutInCell="1" locked="0" behindDoc="1" simplePos="0" relativeHeight="267228311">
          <wp:simplePos x="0" y="0"/>
          <wp:positionH relativeFrom="page">
            <wp:posOffset>3969194</wp:posOffset>
          </wp:positionH>
          <wp:positionV relativeFrom="page">
            <wp:posOffset>11089868</wp:posOffset>
          </wp:positionV>
          <wp:extent cx="155575" cy="136525"/>
          <wp:effectExtent l="0" t="0" r="0" b="0"/>
          <wp:wrapNone/>
          <wp:docPr id="3" name="image12.png" descr=""/>
          <wp:cNvGraphicFramePr>
            <a:graphicFrameLocks noChangeAspect="1"/>
          </wp:cNvGraphicFramePr>
          <a:graphic>
            <a:graphicData uri="http://schemas.openxmlformats.org/drawingml/2006/picture">
              <pic:pic>
                <pic:nvPicPr>
                  <pic:cNvPr id="4" name="image12.png"/>
                  <pic:cNvPicPr/>
                </pic:nvPicPr>
                <pic:blipFill>
                  <a:blip r:embed="rId1" cstate="print"/>
                  <a:stretch>
                    <a:fillRect/>
                  </a:stretch>
                </pic:blipFill>
                <pic:spPr>
                  <a:xfrm>
                    <a:off x="0" y="0"/>
                    <a:ext cx="155575" cy="136525"/>
                  </a:xfrm>
                  <a:prstGeom prst="rect">
                    <a:avLst/>
                  </a:prstGeom>
                </pic:spPr>
              </pic:pic>
            </a:graphicData>
          </a:graphic>
        </wp:anchor>
      </w:drawing>
    </w:r>
    <w:r>
      <w:rPr/>
      <w:pict>
        <v:line style="position:absolute;mso-position-horizontal-relative:page;mso-position-vertical-relative:page;z-index:-1207120" from="616.320007pt,871.843018pt" to="616.320007pt,883.843pt" stroked="true" strokeweight=".25pt" strokecolor="#000000">
          <w10:wrap type="none"/>
        </v:line>
      </w:pict>
    </w:r>
    <w:r>
      <w:rPr/>
      <w:pict>
        <v:line style="position:absolute;mso-position-horizontal-relative:page;mso-position-vertical-relative:page;z-index:-1207096" from="12pt,862.843018pt" to="0pt,862.843018pt" stroked="true" strokeweight=".25pt" strokecolor="#000000">
          <w10:wrap type="none"/>
        </v:line>
      </w:pict>
    </w:r>
    <w:r>
      <w:rPr/>
      <w:pict>
        <v:line style="position:absolute;mso-position-horizontal-relative:page;mso-position-vertical-relative:page;z-index:-1207072" from="625.320007pt,862.843018pt" to="637.228035pt,862.843018pt" stroked="true" strokeweight=".25pt" strokecolor="#000000">
          <w10:wrap type="none"/>
        </v:line>
      </w:pict>
    </w:r>
    <w:r>
      <w:rPr/>
      <w:pict>
        <v:shape style="position:absolute;margin-left:314.274994pt;margin-top:826.476563pt;width:8.65pt;height:11pt;mso-position-horizontal-relative:page;mso-position-vertical-relative:page;z-index:-1207048" type="#_x0000_t202" filled="false" stroked="false">
          <v:textbox inset="0,0,0,0">
            <w:txbxContent>
              <w:p>
                <w:pPr>
                  <w:spacing w:before="19"/>
                  <w:ind w:left="40" w:right="0" w:firstLine="0"/>
                  <w:jc w:val="left"/>
                  <w:rPr>
                    <w:sz w:val="16"/>
                  </w:rPr>
                </w:pPr>
                <w:r>
                  <w:rPr/>
                  <w:fldChar w:fldCharType="begin"/>
                </w:r>
                <w:r>
                  <w:rPr>
                    <w:w w:val="99"/>
                    <w:sz w:val="16"/>
                  </w:rPr>
                  <w:instrText> PAGE </w:instrText>
                </w:r>
                <w:r>
                  <w:rPr/>
                  <w:fldChar w:fldCharType="separate"/>
                </w:r>
                <w:r>
                  <w:rPr/>
                  <w:t>7</w:t>
                </w:r>
                <w:r>
                  <w:rPr/>
                  <w:fldChar w:fldCharType="end"/>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201864" from="21pt,872.843018pt" to="21pt,883.843018pt" stroked="true" strokeweight=".25pt" strokecolor="#000000">
          <w10:wrap type="none"/>
        </v:line>
      </w:pict>
    </w:r>
    <w:r>
      <w:rPr/>
      <w:drawing>
        <wp:anchor distT="0" distB="0" distL="0" distR="0" allowOverlap="1" layoutInCell="1" locked="0" behindDoc="1" simplePos="0" relativeHeight="267233615">
          <wp:simplePos x="0" y="0"/>
          <wp:positionH relativeFrom="page">
            <wp:posOffset>3967162</wp:posOffset>
          </wp:positionH>
          <wp:positionV relativeFrom="page">
            <wp:posOffset>11102568</wp:posOffset>
          </wp:positionV>
          <wp:extent cx="155575" cy="123825"/>
          <wp:effectExtent l="0" t="0" r="0" b="0"/>
          <wp:wrapNone/>
          <wp:docPr id="643" name="image28.png" descr=""/>
          <wp:cNvGraphicFramePr>
            <a:graphicFrameLocks noChangeAspect="1"/>
          </wp:cNvGraphicFramePr>
          <a:graphic>
            <a:graphicData uri="http://schemas.openxmlformats.org/drawingml/2006/picture">
              <pic:pic>
                <pic:nvPicPr>
                  <pic:cNvPr id="644" name="image28.png"/>
                  <pic:cNvPicPr/>
                </pic:nvPicPr>
                <pic:blipFill>
                  <a:blip r:embed="rId1" cstate="print"/>
                  <a:stretch>
                    <a:fillRect/>
                  </a:stretch>
                </pic:blipFill>
                <pic:spPr>
                  <a:xfrm>
                    <a:off x="0" y="0"/>
                    <a:ext cx="155575" cy="123825"/>
                  </a:xfrm>
                  <a:prstGeom prst="rect">
                    <a:avLst/>
                  </a:prstGeom>
                </pic:spPr>
              </pic:pic>
            </a:graphicData>
          </a:graphic>
        </wp:anchor>
      </w:drawing>
    </w:r>
    <w:r>
      <w:rPr/>
      <w:pict>
        <v:line style="position:absolute;mso-position-horizontal-relative:page;mso-position-vertical-relative:page;z-index:-1201816" from="616pt,872.843018pt" to="616pt,883.843018pt" stroked="true" strokeweight=".25pt" strokecolor="#000000">
          <w10:wrap type="none"/>
        </v:line>
      </w:pict>
    </w:r>
    <w:r>
      <w:rPr/>
      <w:pict>
        <v:line style="position:absolute;mso-position-horizontal-relative:page;mso-position-vertical-relative:page;z-index:-1201792" from="12pt,863.843018pt" to="0pt,863.843018pt" stroked="true" strokeweight=".25pt" strokecolor="#000000">
          <w10:wrap type="none"/>
        </v:line>
      </w:pict>
    </w:r>
    <w:r>
      <w:rPr/>
      <w:pict>
        <v:line style="position:absolute;mso-position-horizontal-relative:page;mso-position-vertical-relative:page;z-index:-1201768" from="625pt,863.843018pt" to="637.228027pt,863.843018pt" stroked="true" strokeweight=".25pt" strokecolor="#000000">
          <w10:wrap type="none"/>
        </v:line>
      </w:pict>
    </w:r>
    <w:r>
      <w:rPr/>
      <w:pict>
        <v:shape style="position:absolute;margin-left:309.825989pt;margin-top:826.476563pt;width:17.6pt;height:11pt;mso-position-horizontal-relative:page;mso-position-vertical-relative:page;z-index:-1201744" type="#_x0000_t202" filled="false" stroked="false">
          <v:textbox inset="0,0,0,0">
            <w:txbxContent>
              <w:p>
                <w:pPr>
                  <w:spacing w:before="19"/>
                  <w:ind w:left="40" w:right="0" w:firstLine="0"/>
                  <w:jc w:val="left"/>
                  <w:rPr>
                    <w:sz w:val="16"/>
                  </w:rPr>
                </w:pPr>
                <w:r>
                  <w:rPr/>
                  <w:fldChar w:fldCharType="begin"/>
                </w:r>
                <w:r>
                  <w:rPr>
                    <w:sz w:val="16"/>
                  </w:rPr>
                  <w:instrText> PAGE </w:instrText>
                </w:r>
                <w:r>
                  <w:rPr/>
                  <w:fldChar w:fldCharType="separate"/>
                </w:r>
                <w:r>
                  <w:rPr/>
                  <w:t>138</w:t>
                </w:r>
                <w:r>
                  <w:rPr/>
                  <w:fldChar w:fldCharType="end"/>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201720" from="21pt,872.843018pt" to="21pt,883.843042pt" stroked="true" strokeweight=".25pt" strokecolor="#000000">
          <w10:wrap type="none"/>
        </v:line>
      </w:pict>
    </w:r>
    <w:r>
      <w:rPr/>
      <w:drawing>
        <wp:anchor distT="0" distB="0" distL="0" distR="0" allowOverlap="1" layoutInCell="1" locked="0" behindDoc="1" simplePos="0" relativeHeight="267233759">
          <wp:simplePos x="0" y="0"/>
          <wp:positionH relativeFrom="page">
            <wp:posOffset>3969956</wp:posOffset>
          </wp:positionH>
          <wp:positionV relativeFrom="page">
            <wp:posOffset>11102568</wp:posOffset>
          </wp:positionV>
          <wp:extent cx="155575" cy="123825"/>
          <wp:effectExtent l="0" t="0" r="0" b="0"/>
          <wp:wrapNone/>
          <wp:docPr id="653" name="image39.png" descr=""/>
          <wp:cNvGraphicFramePr>
            <a:graphicFrameLocks noChangeAspect="1"/>
          </wp:cNvGraphicFramePr>
          <a:graphic>
            <a:graphicData uri="http://schemas.openxmlformats.org/drawingml/2006/picture">
              <pic:pic>
                <pic:nvPicPr>
                  <pic:cNvPr id="654" name="image39.png"/>
                  <pic:cNvPicPr/>
                </pic:nvPicPr>
                <pic:blipFill>
                  <a:blip r:embed="rId1" cstate="print"/>
                  <a:stretch>
                    <a:fillRect/>
                  </a:stretch>
                </pic:blipFill>
                <pic:spPr>
                  <a:xfrm>
                    <a:off x="0" y="0"/>
                    <a:ext cx="155575" cy="123825"/>
                  </a:xfrm>
                  <a:prstGeom prst="rect">
                    <a:avLst/>
                  </a:prstGeom>
                </pic:spPr>
              </pic:pic>
            </a:graphicData>
          </a:graphic>
        </wp:anchor>
      </w:drawing>
    </w:r>
    <w:r>
      <w:rPr/>
      <w:pict>
        <v:line style="position:absolute;mso-position-horizontal-relative:page;mso-position-vertical-relative:page;z-index:-1201672" from="616.440002pt,872.843018pt" to="616.440002pt,883.843042pt" stroked="true" strokeweight=".25pt" strokecolor="#000000">
          <w10:wrap type="none"/>
        </v:line>
      </w:pict>
    </w:r>
    <w:r>
      <w:rPr/>
      <w:pict>
        <v:line style="position:absolute;mso-position-horizontal-relative:page;mso-position-vertical-relative:page;z-index:-1201648" from="12pt,863.843018pt" to="0pt,863.843018pt" stroked="true" strokeweight=".25pt" strokecolor="#000000">
          <w10:wrap type="none"/>
        </v:line>
      </w:pict>
    </w:r>
    <w:r>
      <w:rPr/>
      <w:pict>
        <v:line style="position:absolute;mso-position-horizontal-relative:page;mso-position-vertical-relative:page;z-index:-1201624" from="625.440002pt,863.843018pt" to="637.22803pt,863.843018pt" stroked="true" strokeweight=".25pt" strokecolor="#000000">
          <w10:wrap type="none"/>
        </v:line>
      </w:pict>
    </w:r>
    <w:r>
      <w:rPr/>
      <w:pict>
        <v:shape style="position:absolute;margin-left:310.04599pt;margin-top:827.476563pt;width:17.350pt;height:10pt;mso-position-horizontal-relative:page;mso-position-vertical-relative:page;z-index:-1201600" type="#_x0000_t202" filled="false" stroked="false">
          <v:textbox inset="0,0,0,0">
            <w:txbxContent>
              <w:p>
                <w:pPr>
                  <w:spacing w:line="184" w:lineRule="exact" w:before="0"/>
                  <w:ind w:left="40" w:right="0" w:firstLine="0"/>
                  <w:jc w:val="left"/>
                  <w:rPr>
                    <w:sz w:val="16"/>
                  </w:rPr>
                </w:pPr>
                <w:r>
                  <w:rPr/>
                  <w:fldChar w:fldCharType="begin"/>
                </w:r>
                <w:r>
                  <w:rPr>
                    <w:sz w:val="16"/>
                  </w:rPr>
                  <w:instrText> PAGE </w:instrText>
                </w:r>
                <w:r>
                  <w:rPr/>
                  <w:fldChar w:fldCharType="separate"/>
                </w:r>
                <w:r>
                  <w:rPr/>
                  <w:t>140</w:t>
                </w:r>
                <w:r>
                  <w:rPr/>
                  <w:fldChar w:fldCharType="end"/>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201168" from="21pt,872.843018pt" to="21pt,883.843018pt" stroked="true" strokeweight=".25pt" strokecolor="#000000">
          <w10:wrap type="none"/>
        </v:line>
      </w:pict>
    </w:r>
    <w:r>
      <w:rPr/>
      <w:drawing>
        <wp:anchor distT="0" distB="0" distL="0" distR="0" allowOverlap="1" layoutInCell="1" locked="0" behindDoc="1" simplePos="0" relativeHeight="267234311">
          <wp:simplePos x="0" y="0"/>
          <wp:positionH relativeFrom="page">
            <wp:posOffset>3967162</wp:posOffset>
          </wp:positionH>
          <wp:positionV relativeFrom="page">
            <wp:posOffset>11102568</wp:posOffset>
          </wp:positionV>
          <wp:extent cx="155575" cy="123825"/>
          <wp:effectExtent l="0" t="0" r="0" b="0"/>
          <wp:wrapNone/>
          <wp:docPr id="781" name="image28.png" descr=""/>
          <wp:cNvGraphicFramePr>
            <a:graphicFrameLocks noChangeAspect="1"/>
          </wp:cNvGraphicFramePr>
          <a:graphic>
            <a:graphicData uri="http://schemas.openxmlformats.org/drawingml/2006/picture">
              <pic:pic>
                <pic:nvPicPr>
                  <pic:cNvPr id="782" name="image28.png"/>
                  <pic:cNvPicPr/>
                </pic:nvPicPr>
                <pic:blipFill>
                  <a:blip r:embed="rId1" cstate="print"/>
                  <a:stretch>
                    <a:fillRect/>
                  </a:stretch>
                </pic:blipFill>
                <pic:spPr>
                  <a:xfrm>
                    <a:off x="0" y="0"/>
                    <a:ext cx="155575" cy="123825"/>
                  </a:xfrm>
                  <a:prstGeom prst="rect">
                    <a:avLst/>
                  </a:prstGeom>
                </pic:spPr>
              </pic:pic>
            </a:graphicData>
          </a:graphic>
        </wp:anchor>
      </w:drawing>
    </w:r>
    <w:r>
      <w:rPr/>
      <w:pict>
        <v:line style="position:absolute;mso-position-horizontal-relative:page;mso-position-vertical-relative:page;z-index:-1201120" from="616pt,872.843018pt" to="616pt,883.843018pt" stroked="true" strokeweight=".25pt" strokecolor="#000000">
          <w10:wrap type="none"/>
        </v:line>
      </w:pict>
    </w:r>
    <w:r>
      <w:rPr/>
      <w:pict>
        <v:line style="position:absolute;mso-position-horizontal-relative:page;mso-position-vertical-relative:page;z-index:-1201096" from="12pt,863.843018pt" to="0pt,863.843018pt" stroked="true" strokeweight=".25pt" strokecolor="#000000">
          <w10:wrap type="none"/>
        </v:line>
      </w:pict>
    </w:r>
    <w:r>
      <w:rPr/>
      <w:pict>
        <v:line style="position:absolute;mso-position-horizontal-relative:page;mso-position-vertical-relative:page;z-index:-1201072" from="625pt,863.843018pt" to="637.228027pt,863.843018pt" stroked="true" strokeweight=".25pt" strokecolor="#000000">
          <w10:wrap type="none"/>
        </v:line>
      </w:pict>
    </w:r>
    <w:r>
      <w:rPr/>
      <w:pict>
        <v:shape style="position:absolute;margin-left:309.825989pt;margin-top:826.476563pt;width:17.5pt;height:11pt;mso-position-horizontal-relative:page;mso-position-vertical-relative:page;z-index:-1201048" type="#_x0000_t202" filled="false" stroked="false">
          <v:textbox inset="0,0,0,0">
            <w:txbxContent>
              <w:p>
                <w:pPr>
                  <w:spacing w:before="19"/>
                  <w:ind w:left="40" w:right="0" w:firstLine="0"/>
                  <w:jc w:val="left"/>
                  <w:rPr>
                    <w:sz w:val="16"/>
                  </w:rPr>
                </w:pPr>
                <w:r>
                  <w:rPr/>
                  <w:fldChar w:fldCharType="begin"/>
                </w:r>
                <w:r>
                  <w:rPr>
                    <w:sz w:val="16"/>
                  </w:rPr>
                  <w:instrText> PAGE </w:instrText>
                </w:r>
                <w:r>
                  <w:rPr/>
                  <w:fldChar w:fldCharType="separate"/>
                </w:r>
                <w:r>
                  <w:rPr/>
                  <w:t>168</w:t>
                </w:r>
                <w:r>
                  <w:rPr/>
                  <w:fldChar w:fldCharType="end"/>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200880" from="21pt,871.843018pt" to="21pt,883.843004pt" stroked="true" strokeweight=".25pt" strokecolor="#000000">
          <w10:wrap type="none"/>
        </v:line>
      </w:pict>
    </w:r>
    <w:r>
      <w:rPr/>
      <w:drawing>
        <wp:anchor distT="0" distB="0" distL="0" distR="0" allowOverlap="1" layoutInCell="1" locked="0" behindDoc="1" simplePos="0" relativeHeight="267234599">
          <wp:simplePos x="0" y="0"/>
          <wp:positionH relativeFrom="page">
            <wp:posOffset>3968896</wp:posOffset>
          </wp:positionH>
          <wp:positionV relativeFrom="page">
            <wp:posOffset>11089868</wp:posOffset>
          </wp:positionV>
          <wp:extent cx="155575" cy="136525"/>
          <wp:effectExtent l="0" t="0" r="0" b="0"/>
          <wp:wrapNone/>
          <wp:docPr id="797" name="image12.png" descr=""/>
          <wp:cNvGraphicFramePr>
            <a:graphicFrameLocks noChangeAspect="1"/>
          </wp:cNvGraphicFramePr>
          <a:graphic>
            <a:graphicData uri="http://schemas.openxmlformats.org/drawingml/2006/picture">
              <pic:pic>
                <pic:nvPicPr>
                  <pic:cNvPr id="798" name="image12.png"/>
                  <pic:cNvPicPr/>
                </pic:nvPicPr>
                <pic:blipFill>
                  <a:blip r:embed="rId1" cstate="print"/>
                  <a:stretch>
                    <a:fillRect/>
                  </a:stretch>
                </pic:blipFill>
                <pic:spPr>
                  <a:xfrm>
                    <a:off x="0" y="0"/>
                    <a:ext cx="155575" cy="136525"/>
                  </a:xfrm>
                  <a:prstGeom prst="rect">
                    <a:avLst/>
                  </a:prstGeom>
                </pic:spPr>
              </pic:pic>
            </a:graphicData>
          </a:graphic>
        </wp:anchor>
      </w:drawing>
    </w:r>
    <w:r>
      <w:rPr/>
      <w:pict>
        <v:line style="position:absolute;mso-position-horizontal-relative:page;mso-position-vertical-relative:page;z-index:-1200832" from="616.27301pt,871.843018pt" to="616.27301pt,883.843004pt" stroked="true" strokeweight=".25pt" strokecolor="#000000">
          <w10:wrap type="none"/>
        </v:line>
      </w:pict>
    </w:r>
    <w:r>
      <w:rPr/>
      <w:pict>
        <v:line style="position:absolute;mso-position-horizontal-relative:page;mso-position-vertical-relative:page;z-index:-1200808" from="12pt,862.843018pt" to="0pt,862.843018pt" stroked="true" strokeweight=".25pt" strokecolor="#000000">
          <w10:wrap type="none"/>
        </v:line>
      </w:pict>
    </w:r>
    <w:r>
      <w:rPr/>
      <w:pict>
        <v:line style="position:absolute;mso-position-horizontal-relative:page;mso-position-vertical-relative:page;z-index:-1200784" from="625.27301pt,862.843018pt" to="637.228038pt,862.843018pt" stroked="true" strokeweight=".25pt" strokecolor="#000000">
          <w10:wrap type="none"/>
        </v:line>
      </w:pict>
    </w:r>
    <w:r>
      <w:rPr/>
      <w:pict>
        <v:shape style="position:absolute;margin-left:189.559998pt;margin-top:802.710205pt;width:259.7pt;height:11pt;mso-position-horizontal-relative:page;mso-position-vertical-relative:page;z-index:-1200760" type="#_x0000_t202" filled="false" stroked="false">
          <v:textbox inset="0,0,0,0">
            <w:txbxContent>
              <w:p>
                <w:pPr>
                  <w:pStyle w:val="BodyText"/>
                  <w:spacing w:line="204" w:lineRule="exact"/>
                  <w:ind w:left="20" w:right="-9"/>
                </w:pPr>
                <w:r>
                  <w:rPr/>
                  <w:t>The accompanying notes form part of these financial statements.</w:t>
                </w:r>
              </w:p>
            </w:txbxContent>
          </v:textbox>
          <w10:wrap type="none"/>
        </v:shape>
      </w:pict>
    </w:r>
    <w:r>
      <w:rPr/>
      <w:pict>
        <v:shape style="position:absolute;margin-left:309.962494pt;margin-top:826.476563pt;width:17.350pt;height:10pt;mso-position-horizontal-relative:page;mso-position-vertical-relative:page;z-index:-1200736" type="#_x0000_t202" filled="false" stroked="false">
          <v:textbox inset="0,0,0,0">
            <w:txbxContent>
              <w:p>
                <w:pPr>
                  <w:spacing w:line="184" w:lineRule="exact" w:before="0"/>
                  <w:ind w:left="40" w:right="0" w:firstLine="0"/>
                  <w:jc w:val="left"/>
                  <w:rPr>
                    <w:sz w:val="16"/>
                  </w:rPr>
                </w:pPr>
                <w:r>
                  <w:rPr/>
                  <w:fldChar w:fldCharType="begin"/>
                </w:r>
                <w:r>
                  <w:rPr>
                    <w:sz w:val="16"/>
                  </w:rPr>
                  <w:instrText> PAGE </w:instrText>
                </w:r>
                <w:r>
                  <w:rPr/>
                  <w:fldChar w:fldCharType="separate"/>
                </w:r>
                <w:r>
                  <w:rPr/>
                  <w:t>171</w:t>
                </w:r>
                <w:r>
                  <w:rPr/>
                  <w:fldChar w:fldCharType="end"/>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200208" from="21pt,871.843018pt" to="21pt,883.843004pt" stroked="true" strokeweight=".25pt" strokecolor="#000000">
          <w10:wrap type="none"/>
        </v:line>
      </w:pict>
    </w:r>
    <w:r>
      <w:rPr/>
      <w:drawing>
        <wp:anchor distT="0" distB="0" distL="0" distR="0" allowOverlap="1" layoutInCell="1" locked="0" behindDoc="1" simplePos="0" relativeHeight="267235271">
          <wp:simplePos x="0" y="0"/>
          <wp:positionH relativeFrom="page">
            <wp:posOffset>3968896</wp:posOffset>
          </wp:positionH>
          <wp:positionV relativeFrom="page">
            <wp:posOffset>11089868</wp:posOffset>
          </wp:positionV>
          <wp:extent cx="155575" cy="136525"/>
          <wp:effectExtent l="0" t="0" r="0" b="0"/>
          <wp:wrapNone/>
          <wp:docPr id="821" name="image12.png" descr=""/>
          <wp:cNvGraphicFramePr>
            <a:graphicFrameLocks noChangeAspect="1"/>
          </wp:cNvGraphicFramePr>
          <a:graphic>
            <a:graphicData uri="http://schemas.openxmlformats.org/drawingml/2006/picture">
              <pic:pic>
                <pic:nvPicPr>
                  <pic:cNvPr id="822" name="image12.png"/>
                  <pic:cNvPicPr/>
                </pic:nvPicPr>
                <pic:blipFill>
                  <a:blip r:embed="rId1" cstate="print"/>
                  <a:stretch>
                    <a:fillRect/>
                  </a:stretch>
                </pic:blipFill>
                <pic:spPr>
                  <a:xfrm>
                    <a:off x="0" y="0"/>
                    <a:ext cx="155575" cy="136525"/>
                  </a:xfrm>
                  <a:prstGeom prst="rect">
                    <a:avLst/>
                  </a:prstGeom>
                </pic:spPr>
              </pic:pic>
            </a:graphicData>
          </a:graphic>
        </wp:anchor>
      </w:drawing>
    </w:r>
    <w:r>
      <w:rPr/>
      <w:pict>
        <v:line style="position:absolute;mso-position-horizontal-relative:page;mso-position-vertical-relative:page;z-index:-1200160" from="616.27301pt,871.843018pt" to="616.27301pt,883.843004pt" stroked="true" strokeweight=".25pt" strokecolor="#000000">
          <w10:wrap type="none"/>
        </v:line>
      </w:pict>
    </w:r>
    <w:r>
      <w:rPr/>
      <w:pict>
        <v:line style="position:absolute;mso-position-horizontal-relative:page;mso-position-vertical-relative:page;z-index:-1200136" from="12pt,862.843018pt" to="0pt,862.843018pt" stroked="true" strokeweight=".25pt" strokecolor="#000000">
          <w10:wrap type="none"/>
        </v:line>
      </w:pict>
    </w:r>
    <w:r>
      <w:rPr/>
      <w:pict>
        <v:line style="position:absolute;mso-position-horizontal-relative:page;mso-position-vertical-relative:page;z-index:-1200112" from="625.27301pt,862.843018pt" to="637.228038pt,862.843018pt" stroked="true" strokeweight=".25pt" strokecolor="#000000">
          <w10:wrap type="none"/>
        </v:line>
      </w:pict>
    </w:r>
    <w:r>
      <w:rPr/>
      <w:pict>
        <v:shape style="position:absolute;margin-left:309.962494pt;margin-top:826.476563pt;width:17.350pt;height:10pt;mso-position-horizontal-relative:page;mso-position-vertical-relative:page;z-index:-1200088" type="#_x0000_t202" filled="false" stroked="false">
          <v:textbox inset="0,0,0,0">
            <w:txbxContent>
              <w:p>
                <w:pPr>
                  <w:spacing w:line="184" w:lineRule="exact" w:before="0"/>
                  <w:ind w:left="40" w:right="0" w:firstLine="0"/>
                  <w:jc w:val="left"/>
                  <w:rPr>
                    <w:sz w:val="16"/>
                  </w:rPr>
                </w:pPr>
                <w:r>
                  <w:rPr/>
                  <w:fldChar w:fldCharType="begin"/>
                </w:r>
                <w:r>
                  <w:rPr>
                    <w:sz w:val="16"/>
                  </w:rPr>
                  <w:instrText> PAGE </w:instrText>
                </w:r>
                <w:r>
                  <w:rPr/>
                  <w:fldChar w:fldCharType="separate"/>
                </w:r>
                <w:r>
                  <w:rPr/>
                  <w:t>175</w:t>
                </w:r>
                <w:r>
                  <w:rPr/>
                  <w:fldChar w:fldCharType="end"/>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199680" from="21pt,871.843018pt" to="21pt,883.843004pt" stroked="true" strokeweight=".25pt" strokecolor="#000000">
          <w10:wrap type="none"/>
        </v:line>
      </w:pict>
    </w:r>
    <w:r>
      <w:rPr/>
      <w:drawing>
        <wp:anchor distT="0" distB="0" distL="0" distR="0" allowOverlap="1" layoutInCell="1" locked="0" behindDoc="1" simplePos="0" relativeHeight="267235799">
          <wp:simplePos x="0" y="0"/>
          <wp:positionH relativeFrom="page">
            <wp:posOffset>3968896</wp:posOffset>
          </wp:positionH>
          <wp:positionV relativeFrom="page">
            <wp:posOffset>11089868</wp:posOffset>
          </wp:positionV>
          <wp:extent cx="155575" cy="136525"/>
          <wp:effectExtent l="0" t="0" r="0" b="0"/>
          <wp:wrapNone/>
          <wp:docPr id="843" name="image12.png" descr=""/>
          <wp:cNvGraphicFramePr>
            <a:graphicFrameLocks noChangeAspect="1"/>
          </wp:cNvGraphicFramePr>
          <a:graphic>
            <a:graphicData uri="http://schemas.openxmlformats.org/drawingml/2006/picture">
              <pic:pic>
                <pic:nvPicPr>
                  <pic:cNvPr id="844" name="image12.png"/>
                  <pic:cNvPicPr/>
                </pic:nvPicPr>
                <pic:blipFill>
                  <a:blip r:embed="rId1" cstate="print"/>
                  <a:stretch>
                    <a:fillRect/>
                  </a:stretch>
                </pic:blipFill>
                <pic:spPr>
                  <a:xfrm>
                    <a:off x="0" y="0"/>
                    <a:ext cx="155575" cy="136525"/>
                  </a:xfrm>
                  <a:prstGeom prst="rect">
                    <a:avLst/>
                  </a:prstGeom>
                </pic:spPr>
              </pic:pic>
            </a:graphicData>
          </a:graphic>
        </wp:anchor>
      </w:drawing>
    </w:r>
    <w:r>
      <w:rPr/>
      <w:pict>
        <v:line style="position:absolute;mso-position-horizontal-relative:page;mso-position-vertical-relative:page;z-index:-1199632" from="616.27301pt,871.843018pt" to="616.27301pt,883.843004pt" stroked="true" strokeweight=".25pt" strokecolor="#000000">
          <w10:wrap type="none"/>
        </v:line>
      </w:pict>
    </w:r>
    <w:r>
      <w:rPr/>
      <w:pict>
        <v:line style="position:absolute;mso-position-horizontal-relative:page;mso-position-vertical-relative:page;z-index:-1199608" from="12pt,862.843018pt" to="0pt,862.843018pt" stroked="true" strokeweight=".25pt" strokecolor="#000000">
          <w10:wrap type="none"/>
        </v:line>
      </w:pict>
    </w:r>
    <w:r>
      <w:rPr/>
      <w:pict>
        <v:line style="position:absolute;mso-position-horizontal-relative:page;mso-position-vertical-relative:page;z-index:-1199584" from="625.27301pt,862.843018pt" to="637.228038pt,862.843018pt" stroked="true" strokeweight=".25pt" strokecolor="#000000">
          <w10:wrap type="none"/>
        </v:line>
      </w:pict>
    </w:r>
    <w:r>
      <w:rPr/>
      <w:pict>
        <v:group style="position:absolute;margin-left:437.48999pt;margin-top:720.192993pt;width:129.8pt;height:1pt;mso-position-horizontal-relative:page;mso-position-vertical-relative:page;z-index:-1199560" coordorigin="8750,14404" coordsize="2596,20">
          <v:line style="position:absolute" from="8750,14404" to="10048,14404" stroked="true" strokeweight=".06pt" strokecolor="#000000"/>
          <v:line style="position:absolute" from="8750,14406" to="10048,14406" stroked="true" strokeweight=".06pt" strokecolor="#000000"/>
          <v:line style="position:absolute" from="8750,14407" to="10048,14407" stroked="true" strokeweight=".06pt" strokecolor="#000000"/>
          <v:line style="position:absolute" from="8750,14408" to="10048,14408" stroked="true" strokeweight=".06pt" strokecolor="#000000"/>
          <v:line style="position:absolute" from="8750,14409" to="10048,14409" stroked="true" strokeweight=".06pt" strokecolor="#000000"/>
          <v:line style="position:absolute" from="8750,14410" to="10048,14410" stroked="true" strokeweight=".06pt" strokecolor="#000000"/>
          <v:line style="position:absolute" from="8750,14412" to="10048,14412" stroked="true" strokeweight=".06pt" strokecolor="#000000"/>
          <v:line style="position:absolute" from="8750,14413" to="10048,14413" stroked="true" strokeweight=".06pt" strokecolor="#000000"/>
          <v:line style="position:absolute" from="8750,14414" to="10048,14414" stroked="true" strokeweight=".06pt" strokecolor="#000000"/>
          <v:line style="position:absolute" from="8750,14415" to="10048,14415" stroked="true" strokeweight=".06pt" strokecolor="#000000"/>
          <v:line style="position:absolute" from="8750,14416" to="10048,14416" stroked="true" strokeweight=".06pt" strokecolor="#000000"/>
          <v:line style="position:absolute" from="8750,14418" to="10048,14418" stroked="true" strokeweight=".06pt" strokecolor="#000000"/>
          <v:line style="position:absolute" from="8750,14419" to="10048,14419" stroked="true" strokeweight=".06pt" strokecolor="#000000"/>
          <v:line style="position:absolute" from="8750,14420" to="10048,14420" stroked="true" strokeweight=".06pt" strokecolor="#000000"/>
          <v:line style="position:absolute" from="8750,14421" to="10048,14421" stroked="true" strokeweight=".06pt" strokecolor="#000000"/>
          <v:line style="position:absolute" from="8750,14422" to="10048,14422" stroked="true" strokeweight=".06pt" strokecolor="#000000"/>
          <v:line style="position:absolute" from="10048,14404" to="11345,14404" stroked="true" strokeweight=".06pt" strokecolor="#000000"/>
          <v:line style="position:absolute" from="10048,14406" to="11345,14406" stroked="true" strokeweight=".06pt" strokecolor="#000000"/>
          <v:line style="position:absolute" from="10048,14407" to="11345,14407" stroked="true" strokeweight=".06pt" strokecolor="#000000"/>
          <v:line style="position:absolute" from="10048,14408" to="11345,14408" stroked="true" strokeweight=".06pt" strokecolor="#000000"/>
          <v:line style="position:absolute" from="10048,14409" to="11345,14409" stroked="true" strokeweight=".06pt" strokecolor="#000000"/>
          <v:line style="position:absolute" from="10048,14410" to="11345,14410" stroked="true" strokeweight=".06pt" strokecolor="#000000"/>
          <v:line style="position:absolute" from="10048,14412" to="11345,14412" stroked="true" strokeweight=".06pt" strokecolor="#000000"/>
          <v:line style="position:absolute" from="10048,14413" to="11345,14413" stroked="true" strokeweight=".06pt" strokecolor="#000000"/>
          <v:line style="position:absolute" from="10048,14414" to="11345,14414" stroked="true" strokeweight=".06pt" strokecolor="#000000"/>
          <v:line style="position:absolute" from="10048,14415" to="11345,14415" stroked="true" strokeweight=".06pt" strokecolor="#000000"/>
          <v:line style="position:absolute" from="10048,14416" to="11345,14416" stroked="true" strokeweight=".06pt" strokecolor="#000000"/>
          <v:line style="position:absolute" from="10048,14418" to="11345,14418" stroked="true" strokeweight=".06pt" strokecolor="#000000"/>
          <v:line style="position:absolute" from="10048,14419" to="11345,14419" stroked="true" strokeweight=".06pt" strokecolor="#000000"/>
          <v:line style="position:absolute" from="10048,14420" to="11345,14420" stroked="true" strokeweight=".06pt" strokecolor="#000000"/>
          <v:line style="position:absolute" from="10048,14421" to="11345,14421" stroked="true" strokeweight=".06pt" strokecolor="#000000"/>
          <v:line style="position:absolute" from="10048,14422" to="11345,14422" stroked="true" strokeweight=".06pt" strokecolor="#000000"/>
          <w10:wrap type="none"/>
        </v:group>
      </w:pict>
    </w:r>
    <w:r>
      <w:rPr/>
      <w:pict>
        <v:shape style="position:absolute;margin-left:309.962494pt;margin-top:826.476563pt;width:17.350pt;height:10pt;mso-position-horizontal-relative:page;mso-position-vertical-relative:page;z-index:-1199536" type="#_x0000_t202" filled="false" stroked="false">
          <v:textbox inset="0,0,0,0">
            <w:txbxContent>
              <w:p>
                <w:pPr>
                  <w:spacing w:line="184" w:lineRule="exact" w:before="0"/>
                  <w:ind w:left="40" w:right="0" w:firstLine="0"/>
                  <w:jc w:val="left"/>
                  <w:rPr>
                    <w:sz w:val="16"/>
                  </w:rPr>
                </w:pPr>
                <w:r>
                  <w:rPr/>
                  <w:fldChar w:fldCharType="begin"/>
                </w:r>
                <w:r>
                  <w:rPr>
                    <w:sz w:val="16"/>
                  </w:rPr>
                  <w:instrText> PAGE </w:instrText>
                </w:r>
                <w:r>
                  <w:rPr/>
                  <w:fldChar w:fldCharType="separate"/>
                </w:r>
                <w:r>
                  <w:rPr/>
                  <w:t>179</w:t>
                </w:r>
                <w:r>
                  <w:rPr/>
                  <w:fldChar w:fldCharType="end"/>
                </w:r>
              </w:p>
            </w:txbxContent>
          </v:textbox>
          <w10:wrap type="non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199512" from="21pt,871.843018pt" to="21pt,883.843004pt" stroked="true" strokeweight=".25pt" strokecolor="#000000">
          <w10:wrap type="none"/>
        </v:line>
      </w:pict>
    </w:r>
    <w:r>
      <w:rPr/>
      <w:drawing>
        <wp:anchor distT="0" distB="0" distL="0" distR="0" allowOverlap="1" layoutInCell="1" locked="0" behindDoc="1" simplePos="0" relativeHeight="267235967">
          <wp:simplePos x="0" y="0"/>
          <wp:positionH relativeFrom="page">
            <wp:posOffset>3968896</wp:posOffset>
          </wp:positionH>
          <wp:positionV relativeFrom="page">
            <wp:posOffset>11089868</wp:posOffset>
          </wp:positionV>
          <wp:extent cx="155575" cy="136525"/>
          <wp:effectExtent l="0" t="0" r="0" b="0"/>
          <wp:wrapNone/>
          <wp:docPr id="849" name="image12.png" descr=""/>
          <wp:cNvGraphicFramePr>
            <a:graphicFrameLocks noChangeAspect="1"/>
          </wp:cNvGraphicFramePr>
          <a:graphic>
            <a:graphicData uri="http://schemas.openxmlformats.org/drawingml/2006/picture">
              <pic:pic>
                <pic:nvPicPr>
                  <pic:cNvPr id="850" name="image12.png"/>
                  <pic:cNvPicPr/>
                </pic:nvPicPr>
                <pic:blipFill>
                  <a:blip r:embed="rId1" cstate="print"/>
                  <a:stretch>
                    <a:fillRect/>
                  </a:stretch>
                </pic:blipFill>
                <pic:spPr>
                  <a:xfrm>
                    <a:off x="0" y="0"/>
                    <a:ext cx="155575" cy="136525"/>
                  </a:xfrm>
                  <a:prstGeom prst="rect">
                    <a:avLst/>
                  </a:prstGeom>
                </pic:spPr>
              </pic:pic>
            </a:graphicData>
          </a:graphic>
        </wp:anchor>
      </w:drawing>
    </w:r>
    <w:r>
      <w:rPr/>
      <w:pict>
        <v:line style="position:absolute;mso-position-horizontal-relative:page;mso-position-vertical-relative:page;z-index:-1199464" from="616.27301pt,871.843018pt" to="616.27301pt,883.843004pt" stroked="true" strokeweight=".25pt" strokecolor="#000000">
          <w10:wrap type="none"/>
        </v:line>
      </w:pict>
    </w:r>
    <w:r>
      <w:rPr/>
      <w:pict>
        <v:line style="position:absolute;mso-position-horizontal-relative:page;mso-position-vertical-relative:page;z-index:-1199440" from="12pt,862.843018pt" to="0pt,862.843018pt" stroked="true" strokeweight=".25pt" strokecolor="#000000">
          <w10:wrap type="none"/>
        </v:line>
      </w:pict>
    </w:r>
    <w:r>
      <w:rPr/>
      <w:pict>
        <v:line style="position:absolute;mso-position-horizontal-relative:page;mso-position-vertical-relative:page;z-index:-1199416" from="625.27301pt,862.843018pt" to="637.228038pt,862.843018pt" stroked="true" strokeweight=".25pt" strokecolor="#000000">
          <w10:wrap type="none"/>
        </v:line>
      </w:pict>
    </w:r>
    <w:r>
      <w:rPr/>
      <w:pict>
        <v:group style="position:absolute;margin-left:437.48999pt;margin-top:722.953003pt;width:129.8pt;height:.8pt;mso-position-horizontal-relative:page;mso-position-vertical-relative:page;z-index:-1199392" coordorigin="8750,14459" coordsize="2596,16">
          <v:line style="position:absolute" from="8750,14460" to="10048,14460" stroked="true" strokeweight=".06pt" strokecolor="#000000"/>
          <v:line style="position:absolute" from="8750,14461" to="10048,14461" stroked="true" strokeweight=".06pt" strokecolor="#000000"/>
          <v:line style="position:absolute" from="8750,14462" to="10048,14462" stroked="true" strokeweight=".06pt" strokecolor="#000000"/>
          <v:line style="position:absolute" from="8750,14463" to="10048,14463" stroked="true" strokeweight=".06pt" strokecolor="#000000"/>
          <v:line style="position:absolute" from="8750,14464" to="10048,14464" stroked="true" strokeweight=".06pt" strokecolor="#000000"/>
          <v:line style="position:absolute" from="8750,14466" to="10048,14466" stroked="true" strokeweight=".06pt" strokecolor="#000000"/>
          <v:line style="position:absolute" from="8750,14467" to="10048,14467" stroked="true" strokeweight=".06pt" strokecolor="#000000"/>
          <v:line style="position:absolute" from="8750,14468" to="10048,14468" stroked="true" strokeweight=".06pt" strokecolor="#000000"/>
          <v:line style="position:absolute" from="8750,14469" to="10048,14469" stroked="true" strokeweight=".06pt" strokecolor="#000000"/>
          <v:line style="position:absolute" from="8750,14470" to="10048,14470" stroked="true" strokeweight=".06pt" strokecolor="#000000"/>
          <v:line style="position:absolute" from="8750,14472" to="10048,14472" stroked="true" strokeweight=".06pt" strokecolor="#000000"/>
          <v:line style="position:absolute" from="8750,14473" to="10048,14473" stroked="true" strokeweight=".06pt" strokecolor="#000000"/>
          <v:line style="position:absolute" from="8750,14474" to="10048,14474" stroked="true" strokeweight=".06pt" strokecolor="#000000"/>
          <v:line style="position:absolute" from="10048,14460" to="11345,14460" stroked="true" strokeweight=".06pt" strokecolor="#000000"/>
          <v:line style="position:absolute" from="10048,14461" to="11345,14461" stroked="true" strokeweight=".06pt" strokecolor="#000000"/>
          <v:line style="position:absolute" from="10048,14462" to="11345,14462" stroked="true" strokeweight=".06pt" strokecolor="#000000"/>
          <v:line style="position:absolute" from="10048,14463" to="11345,14463" stroked="true" strokeweight=".06pt" strokecolor="#000000"/>
          <v:line style="position:absolute" from="10048,14464" to="11345,14464" stroked="true" strokeweight=".06pt" strokecolor="#000000"/>
          <v:line style="position:absolute" from="10048,14466" to="11345,14466" stroked="true" strokeweight=".06pt" strokecolor="#000000"/>
          <v:line style="position:absolute" from="10048,14467" to="11345,14467" stroked="true" strokeweight=".06pt" strokecolor="#000000"/>
          <v:line style="position:absolute" from="10048,14468" to="11345,14468" stroked="true" strokeweight=".06pt" strokecolor="#000000"/>
          <v:line style="position:absolute" from="10048,14469" to="11345,14469" stroked="true" strokeweight=".06pt" strokecolor="#000000"/>
          <v:line style="position:absolute" from="10048,14470" to="11345,14470" stroked="true" strokeweight=".06pt" strokecolor="#000000"/>
          <v:line style="position:absolute" from="10048,14472" to="11345,14472" stroked="true" strokeweight=".06pt" strokecolor="#000000"/>
          <v:line style="position:absolute" from="10048,14473" to="11345,14473" stroked="true" strokeweight=".06pt" strokecolor="#000000"/>
          <v:line style="position:absolute" from="10048,14474" to="11345,14474" stroked="true" strokeweight=".06pt" strokecolor="#000000"/>
          <w10:wrap type="none"/>
        </v:group>
      </w:pict>
    </w:r>
    <w:r>
      <w:rPr/>
      <w:pict>
        <v:group style="position:absolute;margin-left:437.48999pt;margin-top:721.27301pt;width:129.8pt;height:.8pt;mso-position-horizontal-relative:page;mso-position-vertical-relative:page;z-index:-1199368" coordorigin="8750,14425" coordsize="2596,16">
          <v:line style="position:absolute" from="8750,14426" to="10048,14426" stroked="true" strokeweight=".06pt" strokecolor="#000000"/>
          <v:line style="position:absolute" from="8750,14427" to="10048,14427" stroked="true" strokeweight=".06pt" strokecolor="#000000"/>
          <v:line style="position:absolute" from="8750,14428" to="10048,14428" stroked="true" strokeweight=".06pt" strokecolor="#000000"/>
          <v:line style="position:absolute" from="8750,14430" to="10048,14430" stroked="true" strokeweight=".06pt" strokecolor="#000000"/>
          <v:line style="position:absolute" from="8750,14431" to="10048,14431" stroked="true" strokeweight=".06pt" strokecolor="#000000"/>
          <v:line style="position:absolute" from="8750,14432" to="10048,14432" stroked="true" strokeweight=".06pt" strokecolor="#000000"/>
          <v:line style="position:absolute" from="8750,14433" to="10048,14433" stroked="true" strokeweight=".06pt" strokecolor="#000000"/>
          <v:line style="position:absolute" from="8750,14434" to="10048,14434" stroked="true" strokeweight=".06pt" strokecolor="#000000"/>
          <v:line style="position:absolute" from="8750,14436" to="10048,14436" stroked="true" strokeweight=".06pt" strokecolor="#000000"/>
          <v:line style="position:absolute" from="8750,14437" to="10048,14437" stroked="true" strokeweight=".06pt" strokecolor="#000000"/>
          <v:line style="position:absolute" from="8750,14438" to="10048,14438" stroked="true" strokeweight=".06pt" strokecolor="#000000"/>
          <v:line style="position:absolute" from="8750,14439" to="10048,14439" stroked="true" strokeweight=".06pt" strokecolor="#000000"/>
          <v:line style="position:absolute" from="8750,14440" to="10048,14440" stroked="true" strokeweight=".06pt" strokecolor="#000000"/>
          <v:line style="position:absolute" from="10048,14426" to="11345,14426" stroked="true" strokeweight=".06pt" strokecolor="#000000"/>
          <v:line style="position:absolute" from="10048,14427" to="11345,14427" stroked="true" strokeweight=".06pt" strokecolor="#000000"/>
          <v:line style="position:absolute" from="10048,14428" to="11345,14428" stroked="true" strokeweight=".06pt" strokecolor="#000000"/>
          <v:line style="position:absolute" from="10048,14430" to="11345,14430" stroked="true" strokeweight=".06pt" strokecolor="#000000"/>
          <v:line style="position:absolute" from="10048,14431" to="11345,14431" stroked="true" strokeweight=".06pt" strokecolor="#000000"/>
          <v:line style="position:absolute" from="10048,14432" to="11345,14432" stroked="true" strokeweight=".06pt" strokecolor="#000000"/>
          <v:line style="position:absolute" from="10048,14433" to="11345,14433" stroked="true" strokeweight=".06pt" strokecolor="#000000"/>
          <v:line style="position:absolute" from="10048,14434" to="11345,14434" stroked="true" strokeweight=".06pt" strokecolor="#000000"/>
          <v:line style="position:absolute" from="10048,14436" to="11345,14436" stroked="true" strokeweight=".06pt" strokecolor="#000000"/>
          <v:line style="position:absolute" from="10048,14437" to="11345,14437" stroked="true" strokeweight=".06pt" strokecolor="#000000"/>
          <v:line style="position:absolute" from="10048,14438" to="11345,14438" stroked="true" strokeweight=".06pt" strokecolor="#000000"/>
          <v:line style="position:absolute" from="10048,14439" to="11345,14439" stroked="true" strokeweight=".06pt" strokecolor="#000000"/>
          <v:line style="position:absolute" from="10048,14440" to="11345,14440" stroked="true" strokeweight=".06pt" strokecolor="#000000"/>
          <w10:wrap type="none"/>
        </v:group>
      </w:pict>
    </w:r>
    <w:r>
      <w:rPr/>
      <w:pict>
        <v:shape style="position:absolute;margin-left:309.962494pt;margin-top:826.476563pt;width:17.350pt;height:10pt;mso-position-horizontal-relative:page;mso-position-vertical-relative:page;z-index:-1199344" type="#_x0000_t202" filled="false" stroked="false">
          <v:textbox inset="0,0,0,0">
            <w:txbxContent>
              <w:p>
                <w:pPr>
                  <w:spacing w:line="184" w:lineRule="exact" w:before="0"/>
                  <w:ind w:left="40" w:right="0" w:firstLine="0"/>
                  <w:jc w:val="left"/>
                  <w:rPr>
                    <w:sz w:val="16"/>
                  </w:rPr>
                </w:pPr>
                <w:r>
                  <w:rPr/>
                  <w:fldChar w:fldCharType="begin"/>
                </w:r>
                <w:r>
                  <w:rPr>
                    <w:sz w:val="16"/>
                  </w:rPr>
                  <w:instrText> PAGE </w:instrText>
                </w:r>
                <w:r>
                  <w:rPr/>
                  <w:fldChar w:fldCharType="separate"/>
                </w:r>
                <w:r>
                  <w:rPr/>
                  <w:t>181</w:t>
                </w:r>
                <w:r>
                  <w:rPr/>
                  <w:fldChar w:fldCharType="end"/>
                </w:r>
              </w:p>
            </w:txbxContent>
          </v:textbox>
          <w10:wrap type="non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199320" from="21pt,871.843018pt" to="21pt,883.843004pt" stroked="true" strokeweight=".25pt" strokecolor="#000000">
          <w10:wrap type="none"/>
        </v:line>
      </w:pict>
    </w:r>
    <w:r>
      <w:rPr/>
      <w:drawing>
        <wp:anchor distT="0" distB="0" distL="0" distR="0" allowOverlap="1" layoutInCell="1" locked="0" behindDoc="1" simplePos="0" relativeHeight="267236159">
          <wp:simplePos x="0" y="0"/>
          <wp:positionH relativeFrom="page">
            <wp:posOffset>3968896</wp:posOffset>
          </wp:positionH>
          <wp:positionV relativeFrom="page">
            <wp:posOffset>11089868</wp:posOffset>
          </wp:positionV>
          <wp:extent cx="155575" cy="136525"/>
          <wp:effectExtent l="0" t="0" r="0" b="0"/>
          <wp:wrapNone/>
          <wp:docPr id="859" name="image12.png" descr=""/>
          <wp:cNvGraphicFramePr>
            <a:graphicFrameLocks noChangeAspect="1"/>
          </wp:cNvGraphicFramePr>
          <a:graphic>
            <a:graphicData uri="http://schemas.openxmlformats.org/drawingml/2006/picture">
              <pic:pic>
                <pic:nvPicPr>
                  <pic:cNvPr id="860" name="image12.png"/>
                  <pic:cNvPicPr/>
                </pic:nvPicPr>
                <pic:blipFill>
                  <a:blip r:embed="rId1" cstate="print"/>
                  <a:stretch>
                    <a:fillRect/>
                  </a:stretch>
                </pic:blipFill>
                <pic:spPr>
                  <a:xfrm>
                    <a:off x="0" y="0"/>
                    <a:ext cx="155575" cy="136525"/>
                  </a:xfrm>
                  <a:prstGeom prst="rect">
                    <a:avLst/>
                  </a:prstGeom>
                </pic:spPr>
              </pic:pic>
            </a:graphicData>
          </a:graphic>
        </wp:anchor>
      </w:drawing>
    </w:r>
    <w:r>
      <w:rPr/>
      <w:pict>
        <v:line style="position:absolute;mso-position-horizontal-relative:page;mso-position-vertical-relative:page;z-index:-1199272" from="616.27301pt,871.843018pt" to="616.27301pt,883.843004pt" stroked="true" strokeweight=".25pt" strokecolor="#000000">
          <w10:wrap type="none"/>
        </v:line>
      </w:pict>
    </w:r>
    <w:r>
      <w:rPr/>
      <w:pict>
        <v:line style="position:absolute;mso-position-horizontal-relative:page;mso-position-vertical-relative:page;z-index:-1199248" from="12pt,862.843018pt" to="0pt,862.843018pt" stroked="true" strokeweight=".25pt" strokecolor="#000000">
          <w10:wrap type="none"/>
        </v:line>
      </w:pict>
    </w:r>
    <w:r>
      <w:rPr/>
      <w:pict>
        <v:line style="position:absolute;mso-position-horizontal-relative:page;mso-position-vertical-relative:page;z-index:-1199224" from="625.27301pt,862.843018pt" to="637.228038pt,862.843018pt" stroked="true" strokeweight=".25pt" strokecolor="#000000">
          <w10:wrap type="none"/>
        </v:line>
      </w:pict>
    </w:r>
    <w:r>
      <w:rPr/>
      <w:pict>
        <v:shape style="position:absolute;margin-left:309.825989pt;margin-top:826.476563pt;width:17.5pt;height:11pt;mso-position-horizontal-relative:page;mso-position-vertical-relative:page;z-index:-1199200" type="#_x0000_t202" filled="false" stroked="false">
          <v:textbox inset="0,0,0,0">
            <w:txbxContent>
              <w:p>
                <w:pPr>
                  <w:spacing w:before="19"/>
                  <w:ind w:left="40" w:right="0" w:firstLine="0"/>
                  <w:jc w:val="left"/>
                  <w:rPr>
                    <w:sz w:val="16"/>
                  </w:rPr>
                </w:pPr>
                <w:r>
                  <w:rPr/>
                  <w:fldChar w:fldCharType="begin"/>
                </w:r>
                <w:r>
                  <w:rPr>
                    <w:sz w:val="16"/>
                  </w:rPr>
                  <w:instrText> PAGE </w:instrText>
                </w:r>
                <w:r>
                  <w:rPr/>
                  <w:fldChar w:fldCharType="separate"/>
                </w:r>
                <w:r>
                  <w:rPr/>
                  <w:t>190</w:t>
                </w:r>
                <w:r>
                  <w:rPr/>
                  <w:fldChar w:fldCharType="end"/>
                </w:r>
              </w:p>
            </w:txbxContent>
          </v:textbox>
          <w10:wrap type="non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198720" from="21pt,872.843018pt" to="21pt,883.843018pt" stroked="true" strokeweight=".25pt" strokecolor="#000000">
          <w10:wrap type="none"/>
        </v:line>
      </w:pict>
    </w:r>
    <w:r>
      <w:rPr/>
      <w:drawing>
        <wp:anchor distT="0" distB="0" distL="0" distR="0" allowOverlap="1" layoutInCell="1" locked="0" behindDoc="1" simplePos="0" relativeHeight="267236759">
          <wp:simplePos x="0" y="0"/>
          <wp:positionH relativeFrom="page">
            <wp:posOffset>3967162</wp:posOffset>
          </wp:positionH>
          <wp:positionV relativeFrom="page">
            <wp:posOffset>11102568</wp:posOffset>
          </wp:positionV>
          <wp:extent cx="155575" cy="123825"/>
          <wp:effectExtent l="0" t="0" r="0" b="0"/>
          <wp:wrapNone/>
          <wp:docPr id="907" name="image28.png" descr=""/>
          <wp:cNvGraphicFramePr>
            <a:graphicFrameLocks noChangeAspect="1"/>
          </wp:cNvGraphicFramePr>
          <a:graphic>
            <a:graphicData uri="http://schemas.openxmlformats.org/drawingml/2006/picture">
              <pic:pic>
                <pic:nvPicPr>
                  <pic:cNvPr id="908" name="image28.png"/>
                  <pic:cNvPicPr/>
                </pic:nvPicPr>
                <pic:blipFill>
                  <a:blip r:embed="rId1" cstate="print"/>
                  <a:stretch>
                    <a:fillRect/>
                  </a:stretch>
                </pic:blipFill>
                <pic:spPr>
                  <a:xfrm>
                    <a:off x="0" y="0"/>
                    <a:ext cx="155575" cy="123825"/>
                  </a:xfrm>
                  <a:prstGeom prst="rect">
                    <a:avLst/>
                  </a:prstGeom>
                </pic:spPr>
              </pic:pic>
            </a:graphicData>
          </a:graphic>
        </wp:anchor>
      </w:drawing>
    </w:r>
    <w:r>
      <w:rPr/>
      <w:pict>
        <v:line style="position:absolute;mso-position-horizontal-relative:page;mso-position-vertical-relative:page;z-index:-1198672" from="616pt,872.843018pt" to="616pt,883.843018pt" stroked="true" strokeweight=".25pt" strokecolor="#000000">
          <w10:wrap type="none"/>
        </v:line>
      </w:pict>
    </w:r>
    <w:r>
      <w:rPr/>
      <w:pict>
        <v:line style="position:absolute;mso-position-horizontal-relative:page;mso-position-vertical-relative:page;z-index:-1198648" from="12pt,863.843018pt" to="0pt,863.843018pt" stroked="true" strokeweight=".25pt" strokecolor="#000000">
          <w10:wrap type="none"/>
        </v:line>
      </w:pict>
    </w:r>
    <w:r>
      <w:rPr/>
      <w:pict>
        <v:line style="position:absolute;mso-position-horizontal-relative:page;mso-position-vertical-relative:page;z-index:-1198624" from="625pt,863.843018pt" to="637.228027pt,863.843018pt" stroked="true" strokeweight=".25pt" strokecolor="#000000">
          <w10:wrap type="none"/>
        </v:line>
      </w:pict>
    </w:r>
    <w:r>
      <w:rPr/>
      <w:pict>
        <v:shape style="position:absolute;margin-left:309.825989pt;margin-top:826.476563pt;width:17.55pt;height:11pt;mso-position-horizontal-relative:page;mso-position-vertical-relative:page;z-index:-1198600" type="#_x0000_t202" filled="false" stroked="false">
          <v:textbox inset="0,0,0,0">
            <w:txbxContent>
              <w:p>
                <w:pPr>
                  <w:spacing w:before="19"/>
                  <w:ind w:left="40" w:right="0" w:firstLine="0"/>
                  <w:jc w:val="left"/>
                  <w:rPr>
                    <w:sz w:val="16"/>
                  </w:rPr>
                </w:pPr>
                <w:r>
                  <w:rPr/>
                  <w:fldChar w:fldCharType="begin"/>
                </w:r>
                <w:r>
                  <w:rPr>
                    <w:sz w:val="16"/>
                  </w:rPr>
                  <w:instrText> PAGE </w:instrText>
                </w:r>
                <w:r>
                  <w:rPr/>
                  <w:fldChar w:fldCharType="separate"/>
                </w:r>
                <w:r>
                  <w:rPr/>
                  <w:t>191</w:t>
                </w:r>
                <w:r>
                  <w:rPr/>
                  <w:fldChar w:fldCharType="end"/>
                </w:r>
              </w:p>
            </w:txbxContent>
          </v:textbox>
          <w10:wrap type="non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198432" from="21pt,872.843018pt" to="21pt,883.843042pt" stroked="true" strokeweight=".25pt" strokecolor="#000000">
          <w10:wrap type="none"/>
        </v:line>
      </w:pict>
    </w:r>
    <w:r>
      <w:rPr/>
      <w:drawing>
        <wp:anchor distT="0" distB="0" distL="0" distR="0" allowOverlap="1" layoutInCell="1" locked="0" behindDoc="1" simplePos="0" relativeHeight="267237047">
          <wp:simplePos x="0" y="0"/>
          <wp:positionH relativeFrom="page">
            <wp:posOffset>3971480</wp:posOffset>
          </wp:positionH>
          <wp:positionV relativeFrom="page">
            <wp:posOffset>11102568</wp:posOffset>
          </wp:positionV>
          <wp:extent cx="155575" cy="123825"/>
          <wp:effectExtent l="0" t="0" r="0" b="0"/>
          <wp:wrapNone/>
          <wp:docPr id="949" name="image28.png" descr=""/>
          <wp:cNvGraphicFramePr>
            <a:graphicFrameLocks noChangeAspect="1"/>
          </wp:cNvGraphicFramePr>
          <a:graphic>
            <a:graphicData uri="http://schemas.openxmlformats.org/drawingml/2006/picture">
              <pic:pic>
                <pic:nvPicPr>
                  <pic:cNvPr id="950" name="image28.png"/>
                  <pic:cNvPicPr/>
                </pic:nvPicPr>
                <pic:blipFill>
                  <a:blip r:embed="rId1" cstate="print"/>
                  <a:stretch>
                    <a:fillRect/>
                  </a:stretch>
                </pic:blipFill>
                <pic:spPr>
                  <a:xfrm>
                    <a:off x="0" y="0"/>
                    <a:ext cx="155575" cy="123825"/>
                  </a:xfrm>
                  <a:prstGeom prst="rect">
                    <a:avLst/>
                  </a:prstGeom>
                </pic:spPr>
              </pic:pic>
            </a:graphicData>
          </a:graphic>
        </wp:anchor>
      </w:drawing>
    </w:r>
    <w:r>
      <w:rPr/>
      <w:pict>
        <v:line style="position:absolute;mso-position-horizontal-relative:page;mso-position-vertical-relative:page;z-index:-1198384" from="616.679993pt,872.843018pt" to="616.679993pt,883.843042pt" stroked="true" strokeweight=".25pt" strokecolor="#000000">
          <w10:wrap type="none"/>
        </v:line>
      </w:pict>
    </w:r>
    <w:r>
      <w:rPr/>
      <w:pict>
        <v:line style="position:absolute;mso-position-horizontal-relative:page;mso-position-vertical-relative:page;z-index:-1198360" from="12pt,863.843018pt" to="0pt,863.843018pt" stroked="true" strokeweight=".25pt" strokecolor="#000000">
          <w10:wrap type="none"/>
        </v:line>
      </w:pict>
    </w:r>
    <w:r>
      <w:rPr/>
      <w:pict>
        <v:line style="position:absolute;mso-position-horizontal-relative:page;mso-position-vertical-relative:page;z-index:-1198336" from="625.679993pt,863.843018pt" to="637.22802pt,863.843018pt" stroked="true" strokeweight=".25pt" strokecolor="#000000">
          <w10:wrap type="none"/>
        </v:line>
      </w:pict>
    </w:r>
    <w:r>
      <w:rPr/>
      <w:pict>
        <v:shape style="position:absolute;margin-left:310.165985pt;margin-top:827.476563pt;width:17.350pt;height:10pt;mso-position-horizontal-relative:page;mso-position-vertical-relative:page;z-index:-1198312" type="#_x0000_t202" filled="false" stroked="false">
          <v:textbox inset="0,0,0,0">
            <w:txbxContent>
              <w:p>
                <w:pPr>
                  <w:spacing w:line="184" w:lineRule="exact" w:before="0"/>
                  <w:ind w:left="40" w:right="0" w:firstLine="0"/>
                  <w:jc w:val="left"/>
                  <w:rPr>
                    <w:sz w:val="16"/>
                  </w:rPr>
                </w:pPr>
                <w:r>
                  <w:rPr/>
                  <w:fldChar w:fldCharType="begin"/>
                </w:r>
                <w:r>
                  <w:rPr>
                    <w:sz w:val="16"/>
                  </w:rPr>
                  <w:instrText> PAGE </w:instrText>
                </w:r>
                <w:r>
                  <w:rPr/>
                  <w:fldChar w:fldCharType="separate"/>
                </w:r>
                <w:r>
                  <w:rPr/>
                  <w:t>200</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206616" from="21pt,871.843018pt" to="21pt,883.843004pt" stroked="true" strokeweight=".25pt" strokecolor="#000000">
          <w10:wrap type="none"/>
        </v:line>
      </w:pict>
    </w:r>
    <w:r>
      <w:rPr/>
      <w:drawing>
        <wp:anchor distT="0" distB="0" distL="0" distR="0" allowOverlap="1" layoutInCell="1" locked="0" behindDoc="1" simplePos="0" relativeHeight="267228863">
          <wp:simplePos x="0" y="0"/>
          <wp:positionH relativeFrom="page">
            <wp:posOffset>3968896</wp:posOffset>
          </wp:positionH>
          <wp:positionV relativeFrom="page">
            <wp:posOffset>11089868</wp:posOffset>
          </wp:positionV>
          <wp:extent cx="155575" cy="136525"/>
          <wp:effectExtent l="0" t="0" r="0" b="0"/>
          <wp:wrapNone/>
          <wp:docPr id="41" name="image12.png" descr=""/>
          <wp:cNvGraphicFramePr>
            <a:graphicFrameLocks noChangeAspect="1"/>
          </wp:cNvGraphicFramePr>
          <a:graphic>
            <a:graphicData uri="http://schemas.openxmlformats.org/drawingml/2006/picture">
              <pic:pic>
                <pic:nvPicPr>
                  <pic:cNvPr id="42" name="image12.png"/>
                  <pic:cNvPicPr/>
                </pic:nvPicPr>
                <pic:blipFill>
                  <a:blip r:embed="rId1" cstate="print"/>
                  <a:stretch>
                    <a:fillRect/>
                  </a:stretch>
                </pic:blipFill>
                <pic:spPr>
                  <a:xfrm>
                    <a:off x="0" y="0"/>
                    <a:ext cx="155575" cy="136525"/>
                  </a:xfrm>
                  <a:prstGeom prst="rect">
                    <a:avLst/>
                  </a:prstGeom>
                </pic:spPr>
              </pic:pic>
            </a:graphicData>
          </a:graphic>
        </wp:anchor>
      </w:drawing>
    </w:r>
    <w:r>
      <w:rPr/>
      <w:pict>
        <v:line style="position:absolute;mso-position-horizontal-relative:page;mso-position-vertical-relative:page;z-index:-1206568" from="616.27301pt,871.843018pt" to="616.27301pt,883.843004pt" stroked="true" strokeweight=".25pt" strokecolor="#000000">
          <w10:wrap type="none"/>
        </v:line>
      </w:pict>
    </w:r>
    <w:r>
      <w:rPr/>
      <w:pict>
        <v:line style="position:absolute;mso-position-horizontal-relative:page;mso-position-vertical-relative:page;z-index:-1206544" from="12pt,862.843018pt" to="0pt,862.843018pt" stroked="true" strokeweight=".25pt" strokecolor="#000000">
          <w10:wrap type="none"/>
        </v:line>
      </w:pict>
    </w:r>
    <w:r>
      <w:rPr/>
      <w:pict>
        <v:line style="position:absolute;mso-position-horizontal-relative:page;mso-position-vertical-relative:page;z-index:-1206520" from="625.27301pt,862.843018pt" to="637.228038pt,862.843018pt" stroked="true" strokeweight=".25pt" strokecolor="#000000">
          <w10:wrap type="none"/>
        </v:line>
      </w:pict>
    </w:r>
    <w:r>
      <w:rPr/>
      <w:pict>
        <v:shape style="position:absolute;margin-left:70.400002pt;margin-top:802.710205pt;width:259.7pt;height:11pt;mso-position-horizontal-relative:page;mso-position-vertical-relative:page;z-index:-1206496" type="#_x0000_t202" filled="false" stroked="false">
          <v:textbox inset="0,0,0,0">
            <w:txbxContent>
              <w:p>
                <w:pPr>
                  <w:pStyle w:val="BodyText"/>
                  <w:spacing w:line="204" w:lineRule="exact"/>
                  <w:ind w:left="20" w:right="-9"/>
                </w:pPr>
                <w:r>
                  <w:rPr/>
                  <w:t>The accompanying notes form part of these financial statements.</w:t>
                </w:r>
              </w:p>
            </w:txbxContent>
          </v:textbox>
          <w10:wrap type="none"/>
        </v:shape>
      </w:pict>
    </w:r>
    <w:r>
      <w:rPr/>
      <w:pict>
        <v:shape style="position:absolute;margin-left:312.187012pt;margin-top:826.476563pt;width:12.9pt;height:10pt;mso-position-horizontal-relative:page;mso-position-vertical-relative:page;z-index:-1206472" type="#_x0000_t202" filled="false" stroked="false">
          <v:textbox inset="0,0,0,0">
            <w:txbxContent>
              <w:p>
                <w:pPr>
                  <w:spacing w:line="184" w:lineRule="exact" w:before="0"/>
                  <w:ind w:left="40" w:right="0" w:firstLine="0"/>
                  <w:jc w:val="left"/>
                  <w:rPr>
                    <w:sz w:val="16"/>
                  </w:rPr>
                </w:pPr>
                <w:r>
                  <w:rPr/>
                  <w:fldChar w:fldCharType="begin"/>
                </w:r>
                <w:r>
                  <w:rPr>
                    <w:sz w:val="16"/>
                  </w:rPr>
                  <w:instrText> PAGE </w:instrText>
                </w:r>
                <w:r>
                  <w:rPr/>
                  <w:fldChar w:fldCharType="separate"/>
                </w:r>
                <w:r>
                  <w:rPr/>
                  <w:t>10</w:t>
                </w:r>
                <w:r>
                  <w:rPr/>
                  <w:fldChar w:fldCharType="end"/>
                </w:r>
              </w:p>
            </w:txbxContent>
          </v:textbox>
          <w10:wrap type="non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198144" from="21pt,871.843018pt" to="21pt,883.843004pt" stroked="true" strokeweight=".25pt" strokecolor="#000000">
          <w10:wrap type="none"/>
        </v:line>
      </w:pict>
    </w:r>
    <w:r>
      <w:rPr/>
      <w:drawing>
        <wp:anchor distT="0" distB="0" distL="0" distR="0" allowOverlap="1" layoutInCell="1" locked="0" behindDoc="1" simplePos="0" relativeHeight="267237335">
          <wp:simplePos x="0" y="0"/>
          <wp:positionH relativeFrom="page">
            <wp:posOffset>3968896</wp:posOffset>
          </wp:positionH>
          <wp:positionV relativeFrom="page">
            <wp:posOffset>11089868</wp:posOffset>
          </wp:positionV>
          <wp:extent cx="155575" cy="136525"/>
          <wp:effectExtent l="0" t="0" r="0" b="0"/>
          <wp:wrapNone/>
          <wp:docPr id="959" name="image12.png" descr=""/>
          <wp:cNvGraphicFramePr>
            <a:graphicFrameLocks noChangeAspect="1"/>
          </wp:cNvGraphicFramePr>
          <a:graphic>
            <a:graphicData uri="http://schemas.openxmlformats.org/drawingml/2006/picture">
              <pic:pic>
                <pic:nvPicPr>
                  <pic:cNvPr id="960" name="image12.png"/>
                  <pic:cNvPicPr/>
                </pic:nvPicPr>
                <pic:blipFill>
                  <a:blip r:embed="rId1" cstate="print"/>
                  <a:stretch>
                    <a:fillRect/>
                  </a:stretch>
                </pic:blipFill>
                <pic:spPr>
                  <a:xfrm>
                    <a:off x="0" y="0"/>
                    <a:ext cx="155575" cy="136525"/>
                  </a:xfrm>
                  <a:prstGeom prst="rect">
                    <a:avLst/>
                  </a:prstGeom>
                </pic:spPr>
              </pic:pic>
            </a:graphicData>
          </a:graphic>
        </wp:anchor>
      </w:drawing>
    </w:r>
    <w:r>
      <w:rPr/>
      <w:pict>
        <v:line style="position:absolute;mso-position-horizontal-relative:page;mso-position-vertical-relative:page;z-index:-1198096" from="616.27301pt,871.843018pt" to="616.27301pt,883.843004pt" stroked="true" strokeweight=".25pt" strokecolor="#000000">
          <w10:wrap type="none"/>
        </v:line>
      </w:pict>
    </w:r>
    <w:r>
      <w:rPr/>
      <w:pict>
        <v:line style="position:absolute;mso-position-horizontal-relative:page;mso-position-vertical-relative:page;z-index:-1198072" from="12pt,862.843018pt" to="0pt,862.843018pt" stroked="true" strokeweight=".25pt" strokecolor="#000000">
          <w10:wrap type="none"/>
        </v:line>
      </w:pict>
    </w:r>
    <w:r>
      <w:rPr/>
      <w:pict>
        <v:line style="position:absolute;mso-position-horizontal-relative:page;mso-position-vertical-relative:page;z-index:-1198048" from="625.27301pt,862.843018pt" to="637.228038pt,862.843018pt" stroked="true" strokeweight=".25pt" strokecolor="#000000">
          <w10:wrap type="none"/>
        </v:line>
      </w:pict>
    </w:r>
    <w:r>
      <w:rPr/>
      <w:pict>
        <v:shape style="position:absolute;margin-left:70.400002pt;margin-top:802.710205pt;width:259.7pt;height:11pt;mso-position-horizontal-relative:page;mso-position-vertical-relative:page;z-index:-1198024" type="#_x0000_t202" filled="false" stroked="false">
          <v:textbox inset="0,0,0,0">
            <w:txbxContent>
              <w:p>
                <w:pPr>
                  <w:pStyle w:val="BodyText"/>
                  <w:spacing w:line="204" w:lineRule="exact"/>
                  <w:ind w:left="20" w:right="-9"/>
                </w:pPr>
                <w:r>
                  <w:rPr/>
                  <w:t>The accompanying notes form part of these financial statements.</w:t>
                </w:r>
              </w:p>
            </w:txbxContent>
          </v:textbox>
          <w10:wrap type="none"/>
        </v:shape>
      </w:pict>
    </w:r>
    <w:r>
      <w:rPr/>
      <w:pict>
        <v:shape style="position:absolute;margin-left:309.962494pt;margin-top:826.476563pt;width:17.350pt;height:10pt;mso-position-horizontal-relative:page;mso-position-vertical-relative:page;z-index:-1198000" type="#_x0000_t202" filled="false" stroked="false">
          <v:textbox inset="0,0,0,0">
            <w:txbxContent>
              <w:p>
                <w:pPr>
                  <w:spacing w:line="184" w:lineRule="exact" w:before="0"/>
                  <w:ind w:left="40" w:right="0" w:firstLine="0"/>
                  <w:jc w:val="left"/>
                  <w:rPr>
                    <w:sz w:val="16"/>
                  </w:rPr>
                </w:pPr>
                <w:r>
                  <w:rPr/>
                  <w:fldChar w:fldCharType="begin"/>
                </w:r>
                <w:r>
                  <w:rPr>
                    <w:sz w:val="16"/>
                  </w:rPr>
                  <w:instrText> PAGE </w:instrText>
                </w:r>
                <w:r>
                  <w:rPr/>
                  <w:fldChar w:fldCharType="separate"/>
                </w:r>
                <w:r>
                  <w:rPr/>
                  <w:t>201</w:t>
                </w:r>
                <w:r>
                  <w:rPr/>
                  <w:fldChar w:fldCharType="end"/>
                </w:r>
              </w:p>
            </w:txbxContent>
          </v:textbox>
          <w10:wrap type="non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197976" from="21pt,871.843018pt" to="21pt,883.843004pt" stroked="true" strokeweight=".25pt" strokecolor="#000000">
          <w10:wrap type="none"/>
        </v:line>
      </w:pict>
    </w:r>
    <w:r>
      <w:rPr/>
      <w:drawing>
        <wp:anchor distT="0" distB="0" distL="0" distR="0" allowOverlap="1" layoutInCell="1" locked="0" behindDoc="1" simplePos="0" relativeHeight="267237503">
          <wp:simplePos x="0" y="0"/>
          <wp:positionH relativeFrom="page">
            <wp:posOffset>3968896</wp:posOffset>
          </wp:positionH>
          <wp:positionV relativeFrom="page">
            <wp:posOffset>11089868</wp:posOffset>
          </wp:positionV>
          <wp:extent cx="155575" cy="136525"/>
          <wp:effectExtent l="0" t="0" r="0" b="0"/>
          <wp:wrapNone/>
          <wp:docPr id="977" name="image12.png" descr=""/>
          <wp:cNvGraphicFramePr>
            <a:graphicFrameLocks noChangeAspect="1"/>
          </wp:cNvGraphicFramePr>
          <a:graphic>
            <a:graphicData uri="http://schemas.openxmlformats.org/drawingml/2006/picture">
              <pic:pic>
                <pic:nvPicPr>
                  <pic:cNvPr id="978" name="image12.png"/>
                  <pic:cNvPicPr/>
                </pic:nvPicPr>
                <pic:blipFill>
                  <a:blip r:embed="rId1" cstate="print"/>
                  <a:stretch>
                    <a:fillRect/>
                  </a:stretch>
                </pic:blipFill>
                <pic:spPr>
                  <a:xfrm>
                    <a:off x="0" y="0"/>
                    <a:ext cx="155575" cy="136525"/>
                  </a:xfrm>
                  <a:prstGeom prst="rect">
                    <a:avLst/>
                  </a:prstGeom>
                </pic:spPr>
              </pic:pic>
            </a:graphicData>
          </a:graphic>
        </wp:anchor>
      </w:drawing>
    </w:r>
    <w:r>
      <w:rPr/>
      <w:pict>
        <v:line style="position:absolute;mso-position-horizontal-relative:page;mso-position-vertical-relative:page;z-index:-1197928" from="616.27301pt,871.843018pt" to="616.27301pt,883.843004pt" stroked="true" strokeweight=".25pt" strokecolor="#000000">
          <w10:wrap type="none"/>
        </v:line>
      </w:pict>
    </w:r>
    <w:r>
      <w:rPr/>
      <w:pict>
        <v:line style="position:absolute;mso-position-horizontal-relative:page;mso-position-vertical-relative:page;z-index:-1197904" from="12pt,862.843018pt" to="0pt,862.843018pt" stroked="true" strokeweight=".25pt" strokecolor="#000000">
          <w10:wrap type="none"/>
        </v:line>
      </w:pict>
    </w:r>
    <w:r>
      <w:rPr/>
      <w:pict>
        <v:line style="position:absolute;mso-position-horizontal-relative:page;mso-position-vertical-relative:page;z-index:-1197880" from="625.27301pt,862.843018pt" to="637.228038pt,862.843018pt" stroked="true" strokeweight=".25pt" strokecolor="#000000">
          <w10:wrap type="none"/>
        </v:line>
      </w:pict>
    </w:r>
    <w:r>
      <w:rPr/>
      <w:pict>
        <v:shape style="position:absolute;margin-left:309.962494pt;margin-top:826.476563pt;width:17.4pt;height:10pt;mso-position-horizontal-relative:page;mso-position-vertical-relative:page;z-index:-1197856" type="#_x0000_t202" filled="false" stroked="false">
          <v:textbox inset="0,0,0,0">
            <w:txbxContent>
              <w:p>
                <w:pPr>
                  <w:spacing w:line="184" w:lineRule="exact" w:before="0"/>
                  <w:ind w:left="40" w:right="0" w:firstLine="0"/>
                  <w:jc w:val="left"/>
                  <w:rPr>
                    <w:sz w:val="16"/>
                  </w:rPr>
                </w:pPr>
                <w:r>
                  <w:rPr/>
                  <w:fldChar w:fldCharType="begin"/>
                </w:r>
                <w:r>
                  <w:rPr>
                    <w:sz w:val="16"/>
                  </w:rPr>
                  <w:instrText> PAGE </w:instrText>
                </w:r>
                <w:r>
                  <w:rPr/>
                  <w:fldChar w:fldCharType="separate"/>
                </w:r>
                <w:r>
                  <w:rPr/>
                  <w:t>205</w:t>
                </w:r>
                <w:r>
                  <w:rPr/>
                  <w:fldChar w:fldCharType="end"/>
                </w:r>
              </w:p>
            </w:txbxContent>
          </v:textbox>
          <w10:wrap type="non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197568" from="21pt,871.843018pt" to="21pt,883.843004pt" stroked="true" strokeweight=".25pt" strokecolor="#000000">
          <w10:wrap type="none"/>
        </v:line>
      </w:pict>
    </w:r>
    <w:r>
      <w:rPr/>
      <w:drawing>
        <wp:anchor distT="0" distB="0" distL="0" distR="0" allowOverlap="1" layoutInCell="1" locked="0" behindDoc="1" simplePos="0" relativeHeight="267237911">
          <wp:simplePos x="0" y="0"/>
          <wp:positionH relativeFrom="page">
            <wp:posOffset>3968896</wp:posOffset>
          </wp:positionH>
          <wp:positionV relativeFrom="page">
            <wp:posOffset>11089868</wp:posOffset>
          </wp:positionV>
          <wp:extent cx="155575" cy="136525"/>
          <wp:effectExtent l="0" t="0" r="0" b="0"/>
          <wp:wrapNone/>
          <wp:docPr id="1041" name="image12.png" descr=""/>
          <wp:cNvGraphicFramePr>
            <a:graphicFrameLocks noChangeAspect="1"/>
          </wp:cNvGraphicFramePr>
          <a:graphic>
            <a:graphicData uri="http://schemas.openxmlformats.org/drawingml/2006/picture">
              <pic:pic>
                <pic:nvPicPr>
                  <pic:cNvPr id="1042" name="image12.png"/>
                  <pic:cNvPicPr/>
                </pic:nvPicPr>
                <pic:blipFill>
                  <a:blip r:embed="rId1" cstate="print"/>
                  <a:stretch>
                    <a:fillRect/>
                  </a:stretch>
                </pic:blipFill>
                <pic:spPr>
                  <a:xfrm>
                    <a:off x="0" y="0"/>
                    <a:ext cx="155575" cy="136525"/>
                  </a:xfrm>
                  <a:prstGeom prst="rect">
                    <a:avLst/>
                  </a:prstGeom>
                </pic:spPr>
              </pic:pic>
            </a:graphicData>
          </a:graphic>
        </wp:anchor>
      </w:drawing>
    </w:r>
    <w:r>
      <w:rPr/>
      <w:pict>
        <v:line style="position:absolute;mso-position-horizontal-relative:page;mso-position-vertical-relative:page;z-index:-1197520" from="616.27301pt,871.843018pt" to="616.27301pt,883.843004pt" stroked="true" strokeweight=".25pt" strokecolor="#000000">
          <w10:wrap type="none"/>
        </v:line>
      </w:pict>
    </w:r>
    <w:r>
      <w:rPr/>
      <w:pict>
        <v:line style="position:absolute;mso-position-horizontal-relative:page;mso-position-vertical-relative:page;z-index:-1197496" from="12pt,862.843018pt" to="0pt,862.843018pt" stroked="true" strokeweight=".25pt" strokecolor="#000000">
          <w10:wrap type="none"/>
        </v:line>
      </w:pict>
    </w:r>
    <w:r>
      <w:rPr/>
      <w:pict>
        <v:line style="position:absolute;mso-position-horizontal-relative:page;mso-position-vertical-relative:page;z-index:-1197472" from="625.27301pt,862.843018pt" to="637.228038pt,862.843018pt" stroked="true" strokeweight=".25pt" strokecolor="#000000">
          <w10:wrap type="none"/>
        </v:line>
      </w:pict>
    </w:r>
    <w:r>
      <w:rPr/>
      <w:pict>
        <v:shape style="position:absolute;margin-left:70.400002pt;margin-top:802.710205pt;width:259.7pt;height:11pt;mso-position-horizontal-relative:page;mso-position-vertical-relative:page;z-index:-1197448" type="#_x0000_t202" filled="false" stroked="false">
          <v:textbox inset="0,0,0,0">
            <w:txbxContent>
              <w:p>
                <w:pPr>
                  <w:pStyle w:val="BodyText"/>
                  <w:spacing w:line="204" w:lineRule="exact"/>
                  <w:ind w:left="20" w:right="-9"/>
                </w:pPr>
                <w:r>
                  <w:rPr/>
                  <w:t>The accompanying notes form part of these financial statements.</w:t>
                </w:r>
              </w:p>
            </w:txbxContent>
          </v:textbox>
          <w10:wrap type="none"/>
        </v:shape>
      </w:pict>
    </w:r>
    <w:r>
      <w:rPr/>
      <w:pict>
        <v:shape style="position:absolute;margin-left:309.962494pt;margin-top:826.476563pt;width:17.350pt;height:10pt;mso-position-horizontal-relative:page;mso-position-vertical-relative:page;z-index:-1197424" type="#_x0000_t202" filled="false" stroked="false">
          <v:textbox inset="0,0,0,0">
            <w:txbxContent>
              <w:p>
                <w:pPr>
                  <w:spacing w:line="184" w:lineRule="exact" w:before="0"/>
                  <w:ind w:left="40" w:right="0" w:firstLine="0"/>
                  <w:jc w:val="left"/>
                  <w:rPr>
                    <w:sz w:val="16"/>
                  </w:rPr>
                </w:pPr>
                <w:r>
                  <w:rPr/>
                  <w:fldChar w:fldCharType="begin"/>
                </w:r>
                <w:r>
                  <w:rPr>
                    <w:sz w:val="16"/>
                  </w:rPr>
                  <w:instrText> PAGE </w:instrText>
                </w:r>
                <w:r>
                  <w:rPr/>
                  <w:fldChar w:fldCharType="separate"/>
                </w:r>
                <w:r>
                  <w:rPr/>
                  <w:t>216</w:t>
                </w:r>
                <w:r>
                  <w:rPr/>
                  <w:fldChar w:fldCharType="end"/>
                </w:r>
              </w:p>
            </w:txbxContent>
          </v:textbox>
          <w10:wrap type="non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197400" from="21pt,871.843018pt" to="21pt,883.843004pt" stroked="true" strokeweight=".25pt" strokecolor="#000000">
          <w10:wrap type="none"/>
        </v:line>
      </w:pict>
    </w:r>
    <w:r>
      <w:rPr/>
      <w:drawing>
        <wp:anchor distT="0" distB="0" distL="0" distR="0" allowOverlap="1" layoutInCell="1" locked="0" behindDoc="1" simplePos="0" relativeHeight="267238079">
          <wp:simplePos x="0" y="0"/>
          <wp:positionH relativeFrom="page">
            <wp:posOffset>3968896</wp:posOffset>
          </wp:positionH>
          <wp:positionV relativeFrom="page">
            <wp:posOffset>11089868</wp:posOffset>
          </wp:positionV>
          <wp:extent cx="155575" cy="136525"/>
          <wp:effectExtent l="0" t="0" r="0" b="0"/>
          <wp:wrapNone/>
          <wp:docPr id="1059" name="image12.png" descr=""/>
          <wp:cNvGraphicFramePr>
            <a:graphicFrameLocks noChangeAspect="1"/>
          </wp:cNvGraphicFramePr>
          <a:graphic>
            <a:graphicData uri="http://schemas.openxmlformats.org/drawingml/2006/picture">
              <pic:pic>
                <pic:nvPicPr>
                  <pic:cNvPr id="1060" name="image12.png"/>
                  <pic:cNvPicPr/>
                </pic:nvPicPr>
                <pic:blipFill>
                  <a:blip r:embed="rId1" cstate="print"/>
                  <a:stretch>
                    <a:fillRect/>
                  </a:stretch>
                </pic:blipFill>
                <pic:spPr>
                  <a:xfrm>
                    <a:off x="0" y="0"/>
                    <a:ext cx="155575" cy="136525"/>
                  </a:xfrm>
                  <a:prstGeom prst="rect">
                    <a:avLst/>
                  </a:prstGeom>
                </pic:spPr>
              </pic:pic>
            </a:graphicData>
          </a:graphic>
        </wp:anchor>
      </w:drawing>
    </w:r>
    <w:r>
      <w:rPr/>
      <w:pict>
        <v:line style="position:absolute;mso-position-horizontal-relative:page;mso-position-vertical-relative:page;z-index:-1197352" from="616.27301pt,871.843018pt" to="616.27301pt,883.843004pt" stroked="true" strokeweight=".25pt" strokecolor="#000000">
          <w10:wrap type="none"/>
        </v:line>
      </w:pict>
    </w:r>
    <w:r>
      <w:rPr/>
      <w:pict>
        <v:line style="position:absolute;mso-position-horizontal-relative:page;mso-position-vertical-relative:page;z-index:-1197328" from="12pt,862.843018pt" to="0pt,862.843018pt" stroked="true" strokeweight=".25pt" strokecolor="#000000">
          <w10:wrap type="none"/>
        </v:line>
      </w:pict>
    </w:r>
    <w:r>
      <w:rPr/>
      <w:pict>
        <v:line style="position:absolute;mso-position-horizontal-relative:page;mso-position-vertical-relative:page;z-index:-1197304" from="625.27301pt,862.843018pt" to="637.228038pt,862.843018pt" stroked="true" strokeweight=".25pt" strokecolor="#000000">
          <w10:wrap type="none"/>
        </v:line>
      </w:pict>
    </w:r>
    <w:r>
      <w:rPr/>
      <w:pict>
        <v:shape style="position:absolute;margin-left:309.935974pt;margin-top:826.476563pt;width:17.4pt;height:11pt;mso-position-horizontal-relative:page;mso-position-vertical-relative:page;z-index:-1197280" type="#_x0000_t202" filled="false" stroked="false">
          <v:textbox inset="0,0,0,0">
            <w:txbxContent>
              <w:p>
                <w:pPr>
                  <w:spacing w:before="19"/>
                  <w:ind w:left="40" w:right="0" w:firstLine="0"/>
                  <w:jc w:val="left"/>
                  <w:rPr>
                    <w:sz w:val="16"/>
                  </w:rPr>
                </w:pPr>
                <w:r>
                  <w:rPr/>
                  <w:fldChar w:fldCharType="begin"/>
                </w:r>
                <w:r>
                  <w:rPr>
                    <w:sz w:val="16"/>
                  </w:rPr>
                  <w:instrText> PAGE </w:instrText>
                </w:r>
                <w:r>
                  <w:rPr/>
                  <w:fldChar w:fldCharType="separate"/>
                </w:r>
                <w:r>
                  <w:rPr/>
                  <w:t>237</w:t>
                </w:r>
                <w:r>
                  <w:rPr/>
                  <w:fldChar w:fldCharType="end"/>
                </w:r>
              </w:p>
            </w:txbxContent>
          </v:textbox>
          <w10:wrap type="non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206184" from="21pt,871.843018pt" to="21pt,883.843004pt" stroked="true" strokeweight=".25pt" strokecolor="#000000">
          <w10:wrap type="none"/>
        </v:line>
      </w:pict>
    </w:r>
    <w:r>
      <w:rPr/>
      <w:drawing>
        <wp:anchor distT="0" distB="0" distL="0" distR="0" allowOverlap="1" layoutInCell="1" locked="0" behindDoc="1" simplePos="0" relativeHeight="267229295">
          <wp:simplePos x="0" y="0"/>
          <wp:positionH relativeFrom="page">
            <wp:posOffset>3968896</wp:posOffset>
          </wp:positionH>
          <wp:positionV relativeFrom="page">
            <wp:posOffset>11089868</wp:posOffset>
          </wp:positionV>
          <wp:extent cx="155575" cy="136525"/>
          <wp:effectExtent l="0" t="0" r="0" b="0"/>
          <wp:wrapNone/>
          <wp:docPr id="59" name="image12.png" descr=""/>
          <wp:cNvGraphicFramePr>
            <a:graphicFrameLocks noChangeAspect="1"/>
          </wp:cNvGraphicFramePr>
          <a:graphic>
            <a:graphicData uri="http://schemas.openxmlformats.org/drawingml/2006/picture">
              <pic:pic>
                <pic:nvPicPr>
                  <pic:cNvPr id="60" name="image12.png"/>
                  <pic:cNvPicPr/>
                </pic:nvPicPr>
                <pic:blipFill>
                  <a:blip r:embed="rId1" cstate="print"/>
                  <a:stretch>
                    <a:fillRect/>
                  </a:stretch>
                </pic:blipFill>
                <pic:spPr>
                  <a:xfrm>
                    <a:off x="0" y="0"/>
                    <a:ext cx="155575" cy="136525"/>
                  </a:xfrm>
                  <a:prstGeom prst="rect">
                    <a:avLst/>
                  </a:prstGeom>
                </pic:spPr>
              </pic:pic>
            </a:graphicData>
          </a:graphic>
        </wp:anchor>
      </w:drawing>
    </w:r>
    <w:r>
      <w:rPr/>
      <w:pict>
        <v:line style="position:absolute;mso-position-horizontal-relative:page;mso-position-vertical-relative:page;z-index:-1206136" from="616.27301pt,871.843018pt" to="616.27301pt,883.843004pt" stroked="true" strokeweight=".25pt" strokecolor="#000000">
          <w10:wrap type="none"/>
        </v:line>
      </w:pict>
    </w:r>
    <w:r>
      <w:rPr/>
      <w:pict>
        <v:line style="position:absolute;mso-position-horizontal-relative:page;mso-position-vertical-relative:page;z-index:-1206112" from="12pt,862.843018pt" to="0pt,862.843018pt" stroked="true" strokeweight=".25pt" strokecolor="#000000">
          <w10:wrap type="none"/>
        </v:line>
      </w:pict>
    </w:r>
    <w:r>
      <w:rPr/>
      <w:pict>
        <v:line style="position:absolute;mso-position-horizontal-relative:page;mso-position-vertical-relative:page;z-index:-1206088" from="625.27301pt,862.843018pt" to="637.228038pt,862.843018pt" stroked="true" strokeweight=".25pt" strokecolor="#000000">
          <w10:wrap type="none"/>
        </v:line>
      </w:pict>
    </w:r>
    <w:r>
      <w:rPr/>
      <w:pict>
        <v:group style="position:absolute;margin-left:375.089996pt;margin-top:620.713013pt;width:192.15pt;height:1pt;mso-position-horizontal-relative:page;mso-position-vertical-relative:page;z-index:-1206064" coordorigin="7502,12414" coordsize="3843,20">
          <v:line style="position:absolute" from="7502,12415" to="7672,12415" stroked="true" strokeweight=".06pt" strokecolor="#000000"/>
          <v:line style="position:absolute" from="7502,12416" to="7672,12416" stroked="true" strokeweight=".06pt" strokecolor="#000000"/>
          <v:line style="position:absolute" from="7502,12417" to="7672,12417" stroked="true" strokeweight=".06pt" strokecolor="#000000"/>
          <v:line style="position:absolute" from="7502,12418" to="7672,12418" stroked="true" strokeweight=".06pt" strokecolor="#000000"/>
          <v:line style="position:absolute" from="7502,12420" to="7672,12420" stroked="true" strokeweight=".06pt" strokecolor="#000000"/>
          <v:line style="position:absolute" from="7502,12421" to="7672,12421" stroked="true" strokeweight=".06pt" strokecolor="#000000"/>
          <v:line style="position:absolute" from="7502,12422" to="7672,12422" stroked="true" strokeweight=".06pt" strokecolor="#000000"/>
          <v:line style="position:absolute" from="7502,12423" to="7672,12423" stroked="true" strokeweight=".06pt" strokecolor="#000000"/>
          <v:line style="position:absolute" from="7502,12424" to="7672,12424" stroked="true" strokeweight=".06pt" strokecolor="#000000"/>
          <v:line style="position:absolute" from="7502,12426" to="7672,12426" stroked="true" strokeweight=".06pt" strokecolor="#000000"/>
          <v:line style="position:absolute" from="7502,12427" to="7672,12427" stroked="true" strokeweight=".06pt" strokecolor="#000000"/>
          <v:line style="position:absolute" from="7502,12428" to="7672,12428" stroked="true" strokeweight=".06pt" strokecolor="#000000"/>
          <v:line style="position:absolute" from="7502,12429" to="7672,12429" stroked="true" strokeweight=".06pt" strokecolor="#000000"/>
          <v:line style="position:absolute" from="7502,12430" to="7672,12430" stroked="true" strokeweight=".06pt" strokecolor="#000000"/>
          <v:line style="position:absolute" from="7502,12432" to="7672,12432" stroked="true" strokeweight=".06pt" strokecolor="#000000"/>
          <v:line style="position:absolute" from="7502,12433" to="7672,12433" stroked="true" strokeweight=".06pt" strokecolor="#000000"/>
          <v:line style="position:absolute" from="7672,12415" to="8896,12415" stroked="true" strokeweight=".06pt" strokecolor="#000000"/>
          <v:line style="position:absolute" from="7672,12416" to="8896,12416" stroked="true" strokeweight=".06pt" strokecolor="#000000"/>
          <v:line style="position:absolute" from="7672,12417" to="8896,12417" stroked="true" strokeweight=".06pt" strokecolor="#000000"/>
          <v:line style="position:absolute" from="7672,12418" to="8896,12418" stroked="true" strokeweight=".06pt" strokecolor="#000000"/>
          <v:line style="position:absolute" from="7672,12420" to="8896,12420" stroked="true" strokeweight=".06pt" strokecolor="#000000"/>
          <v:line style="position:absolute" from="7672,12421" to="8896,12421" stroked="true" strokeweight=".06pt" strokecolor="#000000"/>
          <v:line style="position:absolute" from="7672,12422" to="8896,12422" stroked="true" strokeweight=".06pt" strokecolor="#000000"/>
          <v:line style="position:absolute" from="7672,12423" to="8896,12423" stroked="true" strokeweight=".06pt" strokecolor="#000000"/>
          <v:line style="position:absolute" from="7672,12424" to="8896,12424" stroked="true" strokeweight=".06pt" strokecolor="#000000"/>
          <v:line style="position:absolute" from="7672,12426" to="8896,12426" stroked="true" strokeweight=".06pt" strokecolor="#000000"/>
          <v:line style="position:absolute" from="7672,12427" to="8896,12427" stroked="true" strokeweight=".06pt" strokecolor="#000000"/>
          <v:line style="position:absolute" from="7672,12428" to="8896,12428" stroked="true" strokeweight=".06pt" strokecolor="#000000"/>
          <v:line style="position:absolute" from="7672,12429" to="8896,12429" stroked="true" strokeweight=".06pt" strokecolor="#000000"/>
          <v:line style="position:absolute" from="7672,12430" to="8896,12430" stroked="true" strokeweight=".06pt" strokecolor="#000000"/>
          <v:line style="position:absolute" from="7672,12432" to="8896,12432" stroked="true" strokeweight=".06pt" strokecolor="#000000"/>
          <v:line style="position:absolute" from="7672,12433" to="8896,12433" stroked="true" strokeweight=".06pt" strokecolor="#000000"/>
          <v:line style="position:absolute" from="8896,12415" to="10120,12415" stroked="true" strokeweight=".06pt" strokecolor="#000000"/>
          <v:line style="position:absolute" from="8896,12416" to="10120,12416" stroked="true" strokeweight=".06pt" strokecolor="#000000"/>
          <v:line style="position:absolute" from="8896,12417" to="10120,12417" stroked="true" strokeweight=".06pt" strokecolor="#000000"/>
          <v:line style="position:absolute" from="8896,12418" to="10120,12418" stroked="true" strokeweight=".06pt" strokecolor="#000000"/>
          <v:line style="position:absolute" from="8896,12420" to="10120,12420" stroked="true" strokeweight=".06pt" strokecolor="#000000"/>
          <v:line style="position:absolute" from="8896,12421" to="10120,12421" stroked="true" strokeweight=".06pt" strokecolor="#000000"/>
          <v:line style="position:absolute" from="8896,12422" to="10120,12422" stroked="true" strokeweight=".06pt" strokecolor="#000000"/>
          <v:line style="position:absolute" from="8896,12423" to="10120,12423" stroked="true" strokeweight=".06pt" strokecolor="#000000"/>
          <v:line style="position:absolute" from="8896,12424" to="10120,12424" stroked="true" strokeweight=".06pt" strokecolor="#000000"/>
          <v:line style="position:absolute" from="8896,12426" to="10120,12426" stroked="true" strokeweight=".06pt" strokecolor="#000000"/>
          <v:line style="position:absolute" from="8896,12427" to="10120,12427" stroked="true" strokeweight=".06pt" strokecolor="#000000"/>
          <v:line style="position:absolute" from="8896,12428" to="10120,12428" stroked="true" strokeweight=".06pt" strokecolor="#000000"/>
          <v:line style="position:absolute" from="8896,12429" to="10120,12429" stroked="true" strokeweight=".06pt" strokecolor="#000000"/>
          <v:line style="position:absolute" from="8896,12430" to="10120,12430" stroked="true" strokeweight=".06pt" strokecolor="#000000"/>
          <v:line style="position:absolute" from="8896,12432" to="10120,12432" stroked="true" strokeweight=".06pt" strokecolor="#000000"/>
          <v:line style="position:absolute" from="8896,12433" to="10120,12433" stroked="true" strokeweight=".06pt" strokecolor="#000000"/>
          <v:line style="position:absolute" from="10120,12415" to="11344,12415" stroked="true" strokeweight=".06pt" strokecolor="#000000"/>
          <v:line style="position:absolute" from="10120,12416" to="11344,12416" stroked="true" strokeweight=".06pt" strokecolor="#000000"/>
          <v:line style="position:absolute" from="10120,12417" to="11344,12417" stroked="true" strokeweight=".06pt" strokecolor="#000000"/>
          <v:line style="position:absolute" from="10120,12418" to="11344,12418" stroked="true" strokeweight=".06pt" strokecolor="#000000"/>
          <v:line style="position:absolute" from="10120,12420" to="11344,12420" stroked="true" strokeweight=".06pt" strokecolor="#000000"/>
          <v:line style="position:absolute" from="10120,12421" to="11344,12421" stroked="true" strokeweight=".06pt" strokecolor="#000000"/>
          <v:line style="position:absolute" from="10120,12422" to="11344,12422" stroked="true" strokeweight=".06pt" strokecolor="#000000"/>
          <v:line style="position:absolute" from="10120,12423" to="11344,12423" stroked="true" strokeweight=".06pt" strokecolor="#000000"/>
          <v:line style="position:absolute" from="10120,12424" to="11344,12424" stroked="true" strokeweight=".06pt" strokecolor="#000000"/>
          <v:line style="position:absolute" from="10120,12426" to="11344,12426" stroked="true" strokeweight=".06pt" strokecolor="#000000"/>
          <v:line style="position:absolute" from="10120,12427" to="11344,12427" stroked="true" strokeweight=".06pt" strokecolor="#000000"/>
          <v:line style="position:absolute" from="10120,12428" to="11344,12428" stroked="true" strokeweight=".06pt" strokecolor="#000000"/>
          <v:line style="position:absolute" from="10120,12429" to="11344,12429" stroked="true" strokeweight=".06pt" strokecolor="#000000"/>
          <v:line style="position:absolute" from="10120,12430" to="11344,12430" stroked="true" strokeweight=".06pt" strokecolor="#000000"/>
          <v:line style="position:absolute" from="10120,12432" to="11344,12432" stroked="true" strokeweight=".06pt" strokecolor="#000000"/>
          <v:line style="position:absolute" from="10120,12433" to="11344,12433" stroked="true" strokeweight=".06pt" strokecolor="#000000"/>
          <w10:wrap type="none"/>
        </v:group>
      </w:pict>
    </w:r>
    <w:r>
      <w:rPr/>
      <w:pict>
        <v:shape style="position:absolute;margin-left:70.400002pt;margin-top:802.710205pt;width:259.7pt;height:11pt;mso-position-horizontal-relative:page;mso-position-vertical-relative:page;z-index:-1206040" type="#_x0000_t202" filled="false" stroked="false">
          <v:textbox inset="0,0,0,0">
            <w:txbxContent>
              <w:p>
                <w:pPr>
                  <w:pStyle w:val="BodyText"/>
                  <w:spacing w:line="204" w:lineRule="exact"/>
                  <w:ind w:left="20" w:right="-9"/>
                </w:pPr>
                <w:r>
                  <w:rPr/>
                  <w:t>The accompanying notes form part of these financial statements.</w:t>
                </w:r>
              </w:p>
            </w:txbxContent>
          </v:textbox>
          <w10:wrap type="none"/>
        </v:shape>
      </w:pict>
    </w:r>
    <w:r>
      <w:rPr/>
      <w:pict>
        <v:shape style="position:absolute;margin-left:312.187012pt;margin-top:826.476563pt;width:12.9pt;height:10pt;mso-position-horizontal-relative:page;mso-position-vertical-relative:page;z-index:-1206016" type="#_x0000_t202" filled="false" stroked="false">
          <v:textbox inset="0,0,0,0">
            <w:txbxContent>
              <w:p>
                <w:pPr>
                  <w:spacing w:line="184" w:lineRule="exact" w:before="0"/>
                  <w:ind w:left="40" w:right="0" w:firstLine="0"/>
                  <w:jc w:val="left"/>
                  <w:rPr>
                    <w:sz w:val="16"/>
                  </w:rPr>
                </w:pPr>
                <w:r>
                  <w:rPr/>
                  <w:fldChar w:fldCharType="begin"/>
                </w:r>
                <w:r>
                  <w:rPr>
                    <w:sz w:val="16"/>
                  </w:rPr>
                  <w:instrText> PAGE </w:instrText>
                </w:r>
                <w:r>
                  <w:rPr/>
                  <w:fldChar w:fldCharType="separate"/>
                </w:r>
                <w:r>
                  <w:rPr/>
                  <w:t>11</w:t>
                </w:r>
                <w:r>
                  <w:rPr/>
                  <w:fldChar w:fldCharType="end"/>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205584" from="21pt,871.843018pt" to="21pt,883.843004pt" stroked="true" strokeweight=".25pt" strokecolor="#000000">
          <w10:wrap type="none"/>
        </v:line>
      </w:pict>
    </w:r>
    <w:r>
      <w:rPr/>
      <w:drawing>
        <wp:anchor distT="0" distB="0" distL="0" distR="0" allowOverlap="1" layoutInCell="1" locked="0" behindDoc="1" simplePos="0" relativeHeight="267229895">
          <wp:simplePos x="0" y="0"/>
          <wp:positionH relativeFrom="page">
            <wp:posOffset>3968896</wp:posOffset>
          </wp:positionH>
          <wp:positionV relativeFrom="page">
            <wp:posOffset>11089868</wp:posOffset>
          </wp:positionV>
          <wp:extent cx="155575" cy="136525"/>
          <wp:effectExtent l="0" t="0" r="0" b="0"/>
          <wp:wrapNone/>
          <wp:docPr id="73" name="image12.png" descr=""/>
          <wp:cNvGraphicFramePr>
            <a:graphicFrameLocks noChangeAspect="1"/>
          </wp:cNvGraphicFramePr>
          <a:graphic>
            <a:graphicData uri="http://schemas.openxmlformats.org/drawingml/2006/picture">
              <pic:pic>
                <pic:nvPicPr>
                  <pic:cNvPr id="74" name="image12.png"/>
                  <pic:cNvPicPr/>
                </pic:nvPicPr>
                <pic:blipFill>
                  <a:blip r:embed="rId1" cstate="print"/>
                  <a:stretch>
                    <a:fillRect/>
                  </a:stretch>
                </pic:blipFill>
                <pic:spPr>
                  <a:xfrm>
                    <a:off x="0" y="0"/>
                    <a:ext cx="155575" cy="136525"/>
                  </a:xfrm>
                  <a:prstGeom prst="rect">
                    <a:avLst/>
                  </a:prstGeom>
                </pic:spPr>
              </pic:pic>
            </a:graphicData>
          </a:graphic>
        </wp:anchor>
      </w:drawing>
    </w:r>
    <w:r>
      <w:rPr/>
      <w:pict>
        <v:line style="position:absolute;mso-position-horizontal-relative:page;mso-position-vertical-relative:page;z-index:-1205536" from="616.27301pt,871.843018pt" to="616.27301pt,883.843004pt" stroked="true" strokeweight=".25pt" strokecolor="#000000">
          <w10:wrap type="none"/>
        </v:line>
      </w:pict>
    </w:r>
    <w:r>
      <w:rPr/>
      <w:pict>
        <v:line style="position:absolute;mso-position-horizontal-relative:page;mso-position-vertical-relative:page;z-index:-1205512" from="12pt,862.843018pt" to="0pt,862.843018pt" stroked="true" strokeweight=".25pt" strokecolor="#000000">
          <w10:wrap type="none"/>
        </v:line>
      </w:pict>
    </w:r>
    <w:r>
      <w:rPr/>
      <w:pict>
        <v:line style="position:absolute;mso-position-horizontal-relative:page;mso-position-vertical-relative:page;z-index:-1205488" from="625.27301pt,862.843018pt" to="637.228038pt,862.843018pt" stroked="true" strokeweight=".25pt" strokecolor="#000000">
          <w10:wrap type="none"/>
        </v:line>
      </w:pict>
    </w:r>
    <w:r>
      <w:rPr/>
      <w:pict>
        <v:shape style="position:absolute;margin-left:70.400002pt;margin-top:802.710205pt;width:259.7pt;height:11pt;mso-position-horizontal-relative:page;mso-position-vertical-relative:page;z-index:-1205464" type="#_x0000_t202" filled="false" stroked="false">
          <v:textbox inset="0,0,0,0">
            <w:txbxContent>
              <w:p>
                <w:pPr>
                  <w:pStyle w:val="BodyText"/>
                  <w:spacing w:line="204" w:lineRule="exact"/>
                  <w:ind w:left="20" w:right="-9"/>
                </w:pPr>
                <w:r>
                  <w:rPr/>
                  <w:t>The accompanying notes form part of these financial statements.</w:t>
                </w:r>
              </w:p>
            </w:txbxContent>
          </v:textbox>
          <w10:wrap type="none"/>
        </v:shape>
      </w:pict>
    </w:r>
    <w:r>
      <w:rPr/>
      <w:pict>
        <v:shape style="position:absolute;margin-left:313.187012pt;margin-top:826.476563pt;width:10.9pt;height:10pt;mso-position-horizontal-relative:page;mso-position-vertical-relative:page;z-index:-1205440" type="#_x0000_t202" filled="false" stroked="false">
          <v:textbox inset="0,0,0,0">
            <w:txbxContent>
              <w:p>
                <w:pPr>
                  <w:spacing w:line="184" w:lineRule="exact" w:before="0"/>
                  <w:ind w:left="20" w:right="0" w:firstLine="0"/>
                  <w:jc w:val="left"/>
                  <w:rPr>
                    <w:sz w:val="16"/>
                  </w:rPr>
                </w:pPr>
                <w:r>
                  <w:rPr>
                    <w:sz w:val="16"/>
                  </w:rPr>
                  <w:t>13</w:t>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205248" from="21pt,871.843018pt" to="21pt,883.843004pt" stroked="true" strokeweight=".25pt" strokecolor="#000000">
          <w10:wrap type="none"/>
        </v:line>
      </w:pict>
    </w:r>
    <w:r>
      <w:rPr/>
      <w:drawing>
        <wp:anchor distT="0" distB="0" distL="0" distR="0" allowOverlap="1" layoutInCell="1" locked="0" behindDoc="1" simplePos="0" relativeHeight="267230231">
          <wp:simplePos x="0" y="0"/>
          <wp:positionH relativeFrom="page">
            <wp:posOffset>3968896</wp:posOffset>
          </wp:positionH>
          <wp:positionV relativeFrom="page">
            <wp:posOffset>11089868</wp:posOffset>
          </wp:positionV>
          <wp:extent cx="155575" cy="136525"/>
          <wp:effectExtent l="0" t="0" r="0" b="0"/>
          <wp:wrapNone/>
          <wp:docPr id="81" name="image12.png" descr=""/>
          <wp:cNvGraphicFramePr>
            <a:graphicFrameLocks noChangeAspect="1"/>
          </wp:cNvGraphicFramePr>
          <a:graphic>
            <a:graphicData uri="http://schemas.openxmlformats.org/drawingml/2006/picture">
              <pic:pic>
                <pic:nvPicPr>
                  <pic:cNvPr id="82" name="image12.png"/>
                  <pic:cNvPicPr/>
                </pic:nvPicPr>
                <pic:blipFill>
                  <a:blip r:embed="rId1" cstate="print"/>
                  <a:stretch>
                    <a:fillRect/>
                  </a:stretch>
                </pic:blipFill>
                <pic:spPr>
                  <a:xfrm>
                    <a:off x="0" y="0"/>
                    <a:ext cx="155575" cy="136525"/>
                  </a:xfrm>
                  <a:prstGeom prst="rect">
                    <a:avLst/>
                  </a:prstGeom>
                </pic:spPr>
              </pic:pic>
            </a:graphicData>
          </a:graphic>
        </wp:anchor>
      </w:drawing>
    </w:r>
    <w:r>
      <w:rPr/>
      <w:pict>
        <v:line style="position:absolute;mso-position-horizontal-relative:page;mso-position-vertical-relative:page;z-index:-1205200" from="616.27301pt,871.843018pt" to="616.27301pt,883.843004pt" stroked="true" strokeweight=".25pt" strokecolor="#000000">
          <w10:wrap type="none"/>
        </v:line>
      </w:pict>
    </w:r>
    <w:r>
      <w:rPr/>
      <w:pict>
        <v:line style="position:absolute;mso-position-horizontal-relative:page;mso-position-vertical-relative:page;z-index:-1205176" from="12pt,862.843018pt" to="0pt,862.843018pt" stroked="true" strokeweight=".25pt" strokecolor="#000000">
          <w10:wrap type="none"/>
        </v:line>
      </w:pict>
    </w:r>
    <w:r>
      <w:rPr/>
      <w:pict>
        <v:line style="position:absolute;mso-position-horizontal-relative:page;mso-position-vertical-relative:page;z-index:-1205152" from="625.27301pt,862.843018pt" to="637.228038pt,862.843018pt" stroked="true" strokeweight=".25pt" strokecolor="#000000">
          <w10:wrap type="none"/>
        </v:line>
      </w:pict>
    </w:r>
    <w:r>
      <w:rPr/>
      <w:pict>
        <v:shape style="position:absolute;margin-left:312.187012pt;margin-top:826.476563pt;width:12.9pt;height:10pt;mso-position-horizontal-relative:page;mso-position-vertical-relative:page;z-index:-1205128" type="#_x0000_t202" filled="false" stroked="false">
          <v:textbox inset="0,0,0,0">
            <w:txbxContent>
              <w:p>
                <w:pPr>
                  <w:spacing w:line="184" w:lineRule="exact" w:before="0"/>
                  <w:ind w:left="40" w:right="0" w:firstLine="0"/>
                  <w:jc w:val="left"/>
                  <w:rPr>
                    <w:sz w:val="16"/>
                  </w:rPr>
                </w:pPr>
                <w:r>
                  <w:rPr/>
                  <w:fldChar w:fldCharType="begin"/>
                </w:r>
                <w:r>
                  <w:rPr>
                    <w:sz w:val="16"/>
                  </w:rPr>
                  <w:instrText> PAGE </w:instrText>
                </w:r>
                <w:r>
                  <w:rPr/>
                  <w:fldChar w:fldCharType="separate"/>
                </w:r>
                <w:r>
                  <w:rPr/>
                  <w:t>14</w:t>
                </w:r>
                <w:r>
                  <w:rPr/>
                  <w:fldChar w:fldCharType="end"/>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5.375pt;margin-top:571.64801pt;width:1.25pt;height:21.75pt;mso-position-horizontal-relative:page;mso-position-vertical-relative:page;z-index:-1204936" coordorigin="508,11433" coordsize="25,435">
          <v:line style="position:absolute" from="520,11565" to="520,11865" stroked="true" strokeweight=".25pt" strokecolor="#000000"/>
          <v:line style="position:absolute" from="520,11445" to="520,11805" stroked="true" strokeweight="1.25pt" strokecolor="#ffffff"/>
          <v:line style="position:absolute" from="520,11445" to="520,11805" stroked="true" strokeweight=".25pt" strokecolor="#000000"/>
          <w10:wrap type="none"/>
        </v:group>
      </w:pict>
    </w:r>
    <w:r>
      <w:rPr/>
      <w:pict>
        <v:group style="position:absolute;margin-left:815.260986pt;margin-top:571.64801pt;width:1.25pt;height:21.75pt;mso-position-horizontal-relative:page;mso-position-vertical-relative:page;z-index:-1204912" coordorigin="16305,11433" coordsize="25,435">
          <v:line style="position:absolute" from="16318,11565" to="16318,11865" stroked="true" strokeweight=".25pt" strokecolor="#000000"/>
          <v:line style="position:absolute" from="16318,11445" to="16318,11805" stroked="true" strokeweight="1.25pt" strokecolor="#ffffff"/>
          <v:line style="position:absolute" from="16318,11445" to="16318,11805" stroked="true" strokeweight=".25pt" strokecolor="#000000"/>
          <w10:wrap type="none"/>
        </v:group>
      </w:pict>
    </w:r>
    <w:r>
      <w:rPr/>
      <w:drawing>
        <wp:anchor distT="0" distB="0" distL="0" distR="0" allowOverlap="1" layoutInCell="1" locked="0" behindDoc="1" simplePos="0" relativeHeight="267230567">
          <wp:simplePos x="0" y="0"/>
          <wp:positionH relativeFrom="page">
            <wp:posOffset>5268188</wp:posOffset>
          </wp:positionH>
          <wp:positionV relativeFrom="page">
            <wp:posOffset>7361529</wp:posOffset>
          </wp:positionV>
          <wp:extent cx="155575" cy="155575"/>
          <wp:effectExtent l="0" t="0" r="0" b="0"/>
          <wp:wrapNone/>
          <wp:docPr id="213" name="image25.png" descr=""/>
          <wp:cNvGraphicFramePr>
            <a:graphicFrameLocks noChangeAspect="1"/>
          </wp:cNvGraphicFramePr>
          <a:graphic>
            <a:graphicData uri="http://schemas.openxmlformats.org/drawingml/2006/picture">
              <pic:pic>
                <pic:nvPicPr>
                  <pic:cNvPr id="214" name="image25.png"/>
                  <pic:cNvPicPr/>
                </pic:nvPicPr>
                <pic:blipFill>
                  <a:blip r:embed="rId1" cstate="print"/>
                  <a:stretch>
                    <a:fillRect/>
                  </a:stretch>
                </pic:blipFill>
                <pic:spPr>
                  <a:xfrm>
                    <a:off x="0" y="0"/>
                    <a:ext cx="155575" cy="155575"/>
                  </a:xfrm>
                  <a:prstGeom prst="rect">
                    <a:avLst/>
                  </a:prstGeom>
                </pic:spPr>
              </pic:pic>
            </a:graphicData>
          </a:graphic>
        </wp:anchor>
      </w:drawing>
    </w:r>
    <w:r>
      <w:rPr/>
      <w:pict>
        <v:group style="position:absolute;margin-left:1.875pt;margin-top:568.64801pt;width:21.75pt;height:1.25pt;mso-position-horizontal-relative:page;mso-position-vertical-relative:page;z-index:-1204864" coordorigin="38,11373" coordsize="435,25">
          <v:line style="position:absolute" from="340,11385" to="40,11385" stroked="true" strokeweight=".25pt" strokecolor="#000000"/>
          <v:line style="position:absolute" from="460,11385" to="100,11385" stroked="true" strokeweight="1.25pt" strokecolor="#ffffff"/>
          <v:line style="position:absolute" from="460,11385" to="100,11385" stroked="true" strokeweight=".25pt" strokecolor="#000000"/>
          <w10:wrap type="none"/>
        </v:group>
      </w:pict>
    </w:r>
    <w:r>
      <w:rPr/>
      <w:pict>
        <v:group style="position:absolute;margin-left:818.260986pt;margin-top:568.64801pt;width:21.75pt;height:1.25pt;mso-position-horizontal-relative:page;mso-position-vertical-relative:page;z-index:-1204840" coordorigin="16365,11373" coordsize="435,25">
          <v:line style="position:absolute" from="16498,11385" to="16798,11385" stroked="true" strokeweight=".25pt" strokecolor="#000000"/>
          <v:line style="position:absolute" from="16378,11385" to="16738,11385" stroked="true" strokeweight="1.25pt" strokecolor="#ffffff"/>
          <v:line style="position:absolute" from="16378,11385" to="16738,11385" stroked="true" strokeweight=".25pt" strokecolor="#000000"/>
          <w10:wrap type="none"/>
        </v:group>
      </w:pict>
    </w:r>
    <w:r>
      <w:rPr/>
      <w:pict>
        <v:shape style="position:absolute;margin-left:414.4935pt;margin-top:558.906555pt;width:12.9pt;height:10pt;mso-position-horizontal-relative:page;mso-position-vertical-relative:page;z-index:-1204816" type="#_x0000_t202" filled="false" stroked="false">
          <v:textbox inset="0,0,0,0">
            <w:txbxContent>
              <w:p>
                <w:pPr>
                  <w:spacing w:line="184" w:lineRule="exact" w:before="0"/>
                  <w:ind w:left="40" w:right="0" w:firstLine="0"/>
                  <w:jc w:val="left"/>
                  <w:rPr>
                    <w:sz w:val="16"/>
                  </w:rPr>
                </w:pPr>
                <w:r>
                  <w:rPr/>
                  <w:fldChar w:fldCharType="begin"/>
                </w:r>
                <w:r>
                  <w:rPr>
                    <w:sz w:val="16"/>
                  </w:rPr>
                  <w:instrText> PAGE </w:instrText>
                </w:r>
                <w:r>
                  <w:rPr/>
                  <w:fldChar w:fldCharType="separate"/>
                </w:r>
                <w:r>
                  <w:rPr/>
                  <w:t>46</w:t>
                </w:r>
                <w:r>
                  <w:rPr/>
                  <w:fldChar w:fldCharType="end"/>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204624" from="21pt,871.843018pt" to="21pt,883.843004pt" stroked="true" strokeweight=".25pt" strokecolor="#000000">
          <w10:wrap type="none"/>
        </v:line>
      </w:pict>
    </w:r>
    <w:r>
      <w:rPr/>
      <w:drawing>
        <wp:anchor distT="0" distB="0" distL="0" distR="0" allowOverlap="1" layoutInCell="1" locked="0" behindDoc="1" simplePos="0" relativeHeight="267230855">
          <wp:simplePos x="0" y="0"/>
          <wp:positionH relativeFrom="page">
            <wp:posOffset>3968896</wp:posOffset>
          </wp:positionH>
          <wp:positionV relativeFrom="page">
            <wp:posOffset>11089868</wp:posOffset>
          </wp:positionV>
          <wp:extent cx="155575" cy="136525"/>
          <wp:effectExtent l="0" t="0" r="0" b="0"/>
          <wp:wrapNone/>
          <wp:docPr id="233" name="image12.png" descr=""/>
          <wp:cNvGraphicFramePr>
            <a:graphicFrameLocks noChangeAspect="1"/>
          </wp:cNvGraphicFramePr>
          <a:graphic>
            <a:graphicData uri="http://schemas.openxmlformats.org/drawingml/2006/picture">
              <pic:pic>
                <pic:nvPicPr>
                  <pic:cNvPr id="234" name="image12.png"/>
                  <pic:cNvPicPr/>
                </pic:nvPicPr>
                <pic:blipFill>
                  <a:blip r:embed="rId1" cstate="print"/>
                  <a:stretch>
                    <a:fillRect/>
                  </a:stretch>
                </pic:blipFill>
                <pic:spPr>
                  <a:xfrm>
                    <a:off x="0" y="0"/>
                    <a:ext cx="155575" cy="136525"/>
                  </a:xfrm>
                  <a:prstGeom prst="rect">
                    <a:avLst/>
                  </a:prstGeom>
                </pic:spPr>
              </pic:pic>
            </a:graphicData>
          </a:graphic>
        </wp:anchor>
      </w:drawing>
    </w:r>
    <w:r>
      <w:rPr/>
      <w:pict>
        <v:line style="position:absolute;mso-position-horizontal-relative:page;mso-position-vertical-relative:page;z-index:-1204576" from="616.27301pt,871.843018pt" to="616.27301pt,883.843004pt" stroked="true" strokeweight=".25pt" strokecolor="#000000">
          <w10:wrap type="none"/>
        </v:line>
      </w:pict>
    </w:r>
    <w:r>
      <w:rPr/>
      <w:pict>
        <v:line style="position:absolute;mso-position-horizontal-relative:page;mso-position-vertical-relative:page;z-index:-1204552" from="12pt,862.843018pt" to="0pt,862.843018pt" stroked="true" strokeweight=".25pt" strokecolor="#000000">
          <w10:wrap type="none"/>
        </v:line>
      </w:pict>
    </w:r>
    <w:r>
      <w:rPr/>
      <w:pict>
        <v:line style="position:absolute;mso-position-horizontal-relative:page;mso-position-vertical-relative:page;z-index:-1204528" from="625.27301pt,862.843018pt" to="637.228038pt,862.843018pt" stroked="true" strokeweight=".25pt" strokecolor="#000000">
          <w10:wrap type="none"/>
        </v:line>
      </w:pict>
    </w:r>
    <w:r>
      <w:rPr/>
      <w:pict>
        <v:shape style="position:absolute;margin-left:312.160492pt;margin-top:826.476563pt;width:12.95pt;height:11pt;mso-position-horizontal-relative:page;mso-position-vertical-relative:page;z-index:-1204504" type="#_x0000_t202" filled="false" stroked="false">
          <v:textbox inset="0,0,0,0">
            <w:txbxContent>
              <w:p>
                <w:pPr>
                  <w:spacing w:before="19"/>
                  <w:ind w:left="40" w:right="0" w:firstLine="0"/>
                  <w:jc w:val="left"/>
                  <w:rPr>
                    <w:sz w:val="16"/>
                  </w:rPr>
                </w:pPr>
                <w:r>
                  <w:rPr/>
                  <w:fldChar w:fldCharType="begin"/>
                </w:r>
                <w:r>
                  <w:rPr>
                    <w:sz w:val="16"/>
                  </w:rPr>
                  <w:instrText> PAGE </w:instrText>
                </w:r>
                <w:r>
                  <w:rPr/>
                  <w:fldChar w:fldCharType="separate"/>
                </w:r>
                <w:r>
                  <w:rPr/>
                  <w:t>68</w:t>
                </w:r>
                <w:r>
                  <w:rPr/>
                  <w:fldChar w:fldCharType="end"/>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207288" from="21pt,11.923018pt" to="21pt,-.000017pt" stroked="true" strokeweight=".25pt" strokecolor="#000000">
          <w10:wrap type="none"/>
        </v:line>
      </w:pict>
    </w:r>
    <w:r>
      <w:rPr/>
      <w:drawing>
        <wp:anchor distT="0" distB="0" distL="0" distR="0" allowOverlap="1" layoutInCell="1" locked="0" behindDoc="1" simplePos="0" relativeHeight="267228191">
          <wp:simplePos x="0" y="0"/>
          <wp:positionH relativeFrom="page">
            <wp:posOffset>3969194</wp:posOffset>
          </wp:positionH>
          <wp:positionV relativeFrom="page">
            <wp:posOffset>-1587</wp:posOffset>
          </wp:positionV>
          <wp:extent cx="155575" cy="135547"/>
          <wp:effectExtent l="0" t="0" r="0" b="0"/>
          <wp:wrapNone/>
          <wp:docPr id="1" name="image11.png" descr=""/>
          <wp:cNvGraphicFramePr>
            <a:graphicFrameLocks noChangeAspect="1"/>
          </wp:cNvGraphicFramePr>
          <a:graphic>
            <a:graphicData uri="http://schemas.openxmlformats.org/drawingml/2006/picture">
              <pic:pic>
                <pic:nvPicPr>
                  <pic:cNvPr id="2" name="image11.png"/>
                  <pic:cNvPicPr/>
                </pic:nvPicPr>
                <pic:blipFill>
                  <a:blip r:embed="rId1" cstate="print"/>
                  <a:stretch>
                    <a:fillRect/>
                  </a:stretch>
                </pic:blipFill>
                <pic:spPr>
                  <a:xfrm>
                    <a:off x="0" y="0"/>
                    <a:ext cx="155575" cy="135547"/>
                  </a:xfrm>
                  <a:prstGeom prst="rect">
                    <a:avLst/>
                  </a:prstGeom>
                </pic:spPr>
              </pic:pic>
            </a:graphicData>
          </a:graphic>
        </wp:anchor>
      </w:drawing>
    </w:r>
    <w:r>
      <w:rPr/>
      <w:pict>
        <v:line style="position:absolute;mso-position-horizontal-relative:page;mso-position-vertical-relative:page;z-index:-1207240" from="616.320007pt,11.923018pt" to="616.320007pt,-.000017pt" stroked="true" strokeweight=".25pt" strokecolor="#000000">
          <w10:wrap type="none"/>
        </v:line>
      </w:pict>
    </w:r>
    <w:r>
      <w:rPr/>
      <w:pict>
        <v:line style="position:absolute;mso-position-horizontal-relative:page;mso-position-vertical-relative:page;z-index:-1207216" from="12pt,20.923018pt" to="0pt,20.923018pt" stroked="true" strokeweight=".25pt" strokecolor="#000000">
          <w10:wrap type="none"/>
        </v:line>
      </w:pict>
    </w:r>
    <w:r>
      <w:rPr/>
      <w:pict>
        <v:line style="position:absolute;mso-position-horizontal-relative:page;mso-position-vertical-relative:page;z-index:-1207192" from="625.320007pt,20.923018pt" to="637.228035pt,20.923018pt" stroked="true" strokeweight=".25pt" strokecolor="#000000">
          <w10:wrap type="none"/>
        </v:lin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5.375pt;margin-top:1.87501pt;width:1.25pt;height:21.75pt;mso-position-horizontal-relative:page;mso-position-vertical-relative:page;z-index:-1205104" coordorigin="508,38" coordsize="25,435">
          <v:line style="position:absolute" from="520,340" to="520,40" stroked="true" strokeweight=".25pt" strokecolor="#000000"/>
          <v:line style="position:absolute" from="520,460" to="520,100" stroked="true" strokeweight="1.25pt" strokecolor="#ffffff"/>
          <v:line style="position:absolute" from="520,460" to="520,100" stroked="true" strokeweight=".25pt" strokecolor="#000000"/>
          <w10:wrap type="none"/>
        </v:group>
      </w:pict>
    </w:r>
    <w:r>
      <w:rPr/>
      <w:pict>
        <v:group style="position:absolute;margin-left:815.260986pt;margin-top:1.87501pt;width:1.25pt;height:21.75pt;mso-position-horizontal-relative:page;mso-position-vertical-relative:page;z-index:-1205080" coordorigin="16305,38" coordsize="25,435">
          <v:line style="position:absolute" from="16318,340" to="16318,40" stroked="true" strokeweight=".25pt" strokecolor="#000000"/>
          <v:line style="position:absolute" from="16318,460" to="16318,100" stroked="true" strokeweight="1.25pt" strokecolor="#ffffff"/>
          <v:line style="position:absolute" from="16318,460" to="16318,100" stroked="true" strokeweight=".25pt" strokecolor="#000000"/>
          <w10:wrap type="none"/>
        </v:group>
      </w:pict>
    </w:r>
    <w:r>
      <w:rPr/>
      <w:drawing>
        <wp:anchor distT="0" distB="0" distL="0" distR="0" allowOverlap="1" layoutInCell="1" locked="0" behindDoc="1" simplePos="0" relativeHeight="267230399">
          <wp:simplePos x="0" y="0"/>
          <wp:positionH relativeFrom="page">
            <wp:posOffset>5268188</wp:posOffset>
          </wp:positionH>
          <wp:positionV relativeFrom="page">
            <wp:posOffset>42862</wp:posOffset>
          </wp:positionV>
          <wp:extent cx="155575" cy="155575"/>
          <wp:effectExtent l="0" t="0" r="0" b="0"/>
          <wp:wrapNone/>
          <wp:docPr id="211" name="image24.png" descr=""/>
          <wp:cNvGraphicFramePr>
            <a:graphicFrameLocks noChangeAspect="1"/>
          </wp:cNvGraphicFramePr>
          <a:graphic>
            <a:graphicData uri="http://schemas.openxmlformats.org/drawingml/2006/picture">
              <pic:pic>
                <pic:nvPicPr>
                  <pic:cNvPr id="212" name="image24.png"/>
                  <pic:cNvPicPr/>
                </pic:nvPicPr>
                <pic:blipFill>
                  <a:blip r:embed="rId1" cstate="print"/>
                  <a:stretch>
                    <a:fillRect/>
                  </a:stretch>
                </pic:blipFill>
                <pic:spPr>
                  <a:xfrm>
                    <a:off x="0" y="0"/>
                    <a:ext cx="155575" cy="155575"/>
                  </a:xfrm>
                  <a:prstGeom prst="rect">
                    <a:avLst/>
                  </a:prstGeom>
                </pic:spPr>
              </pic:pic>
            </a:graphicData>
          </a:graphic>
        </wp:anchor>
      </w:drawing>
    </w:r>
    <w:r>
      <w:rPr/>
      <w:pict>
        <v:group style="position:absolute;margin-left:1.875pt;margin-top:25.37501pt;width:21.75pt;height:1.25pt;mso-position-horizontal-relative:page;mso-position-vertical-relative:page;z-index:-1205032" coordorigin="38,508" coordsize="435,25">
          <v:line style="position:absolute" from="340,520" to="40,520" stroked="true" strokeweight=".25pt" strokecolor="#000000"/>
          <v:line style="position:absolute" from="460,520" to="100,520" stroked="true" strokeweight="1.25pt" strokecolor="#ffffff"/>
          <v:line style="position:absolute" from="460,520" to="100,520" stroked="true" strokeweight=".25pt" strokecolor="#000000"/>
          <w10:wrap type="none"/>
        </v:group>
      </w:pict>
    </w:r>
    <w:r>
      <w:rPr/>
      <w:pict>
        <v:group style="position:absolute;margin-left:818.260986pt;margin-top:25.37501pt;width:21.75pt;height:1.25pt;mso-position-horizontal-relative:page;mso-position-vertical-relative:page;z-index:-1205008" coordorigin="16365,508" coordsize="435,25">
          <v:line style="position:absolute" from="16498,520" to="16798,520" stroked="true" strokeweight=".25pt" strokecolor="#000000"/>
          <v:line style="position:absolute" from="16378,520" to="16738,520" stroked="true" strokeweight="1.25pt" strokecolor="#ffffff"/>
          <v:line style="position:absolute" from="16378,520" to="16738,520" stroked="true" strokeweight=".25pt" strokecolor="#000000"/>
          <w10:wrap type="none"/>
        </v:group>
      </w:pict>
    </w:r>
    <w:r>
      <w:rPr/>
      <w:pict>
        <v:shape style="position:absolute;margin-left:49.400002pt;margin-top:50.895756pt;width:143.550pt;height:13pt;mso-position-horizontal-relative:page;mso-position-vertical-relative:page;z-index:-1204984" type="#_x0000_t202" filled="false" stroked="false">
          <v:textbox inset="0,0,0,0">
            <w:txbxContent>
              <w:p>
                <w:pPr>
                  <w:spacing w:line="245" w:lineRule="exact" w:before="0"/>
                  <w:ind w:left="20" w:right="-6" w:firstLine="0"/>
                  <w:jc w:val="left"/>
                  <w:rPr>
                    <w:b/>
                    <w:sz w:val="22"/>
                  </w:rPr>
                </w:pPr>
                <w:r>
                  <w:rPr>
                    <w:b/>
                    <w:sz w:val="22"/>
                  </w:rPr>
                  <w:t>Western Sydney University</w:t>
                </w:r>
              </w:p>
            </w:txbxContent>
          </v:textbox>
          <w10:wrap type="none"/>
        </v:shape>
      </w:pict>
    </w:r>
    <w:r>
      <w:rPr/>
      <w:pict>
        <v:shape style="position:absolute;margin-left:49.400002pt;margin-top:80.864815pt;width:226.85pt;height:31.55pt;mso-position-horizontal-relative:page;mso-position-vertical-relative:page;z-index:-1204960" type="#_x0000_t202" filled="false" stroked="false">
          <v:textbox inset="0,0,0,0">
            <w:txbxContent>
              <w:p>
                <w:pPr>
                  <w:spacing w:line="306" w:lineRule="exact" w:before="0"/>
                  <w:ind w:left="20" w:right="0" w:firstLine="0"/>
                  <w:jc w:val="left"/>
                  <w:rPr>
                    <w:b/>
                    <w:sz w:val="28"/>
                  </w:rPr>
                </w:pPr>
                <w:r>
                  <w:rPr>
                    <w:b/>
                    <w:sz w:val="28"/>
                  </w:rPr>
                  <w:t>Notes to the Financial Statements</w:t>
                </w:r>
              </w:p>
              <w:p>
                <w:pPr>
                  <w:spacing w:before="57"/>
                  <w:ind w:left="20" w:right="0" w:firstLine="0"/>
                  <w:jc w:val="left"/>
                  <w:rPr>
                    <w:b/>
                    <w:sz w:val="22"/>
                  </w:rPr>
                </w:pPr>
                <w:r>
                  <w:rPr>
                    <w:b/>
                    <w:sz w:val="22"/>
                  </w:rPr>
                  <w:t>For the Year Ended 31 December 2016</w:t>
                </w:r>
              </w:p>
            </w:txbxContent>
          </v:textbox>
          <w10:wrap type="non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204792" from="21pt,11.957018pt" to="21pt,-.000014pt" stroked="true" strokeweight=".25pt" strokecolor="#000000">
          <w10:wrap type="none"/>
        </v:line>
      </w:pict>
    </w:r>
    <w:r>
      <w:rPr/>
      <w:drawing>
        <wp:anchor distT="0" distB="0" distL="0" distR="0" allowOverlap="1" layoutInCell="1" locked="0" behindDoc="1" simplePos="0" relativeHeight="267230687">
          <wp:simplePos x="0" y="0"/>
          <wp:positionH relativeFrom="page">
            <wp:posOffset>3968896</wp:posOffset>
          </wp:positionH>
          <wp:positionV relativeFrom="page">
            <wp:posOffset>-1587</wp:posOffset>
          </wp:positionV>
          <wp:extent cx="155575" cy="135979"/>
          <wp:effectExtent l="0" t="0" r="0" b="0"/>
          <wp:wrapNone/>
          <wp:docPr id="231" name="image17.png" descr=""/>
          <wp:cNvGraphicFramePr>
            <a:graphicFrameLocks noChangeAspect="1"/>
          </wp:cNvGraphicFramePr>
          <a:graphic>
            <a:graphicData uri="http://schemas.openxmlformats.org/drawingml/2006/picture">
              <pic:pic>
                <pic:nvPicPr>
                  <pic:cNvPr id="232" name="image17.png"/>
                  <pic:cNvPicPr/>
                </pic:nvPicPr>
                <pic:blipFill>
                  <a:blip r:embed="rId1" cstate="print"/>
                  <a:stretch>
                    <a:fillRect/>
                  </a:stretch>
                </pic:blipFill>
                <pic:spPr>
                  <a:xfrm>
                    <a:off x="0" y="0"/>
                    <a:ext cx="155575" cy="135979"/>
                  </a:xfrm>
                  <a:prstGeom prst="rect">
                    <a:avLst/>
                  </a:prstGeom>
                </pic:spPr>
              </pic:pic>
            </a:graphicData>
          </a:graphic>
        </wp:anchor>
      </w:drawing>
    </w:r>
    <w:r>
      <w:rPr/>
      <w:pict>
        <v:line style="position:absolute;mso-position-horizontal-relative:page;mso-position-vertical-relative:page;z-index:-1204744" from="616.27301pt,11.957018pt" to="616.27301pt,-.000014pt" stroked="true" strokeweight=".25pt" strokecolor="#000000">
          <w10:wrap type="none"/>
        </v:line>
      </w:pict>
    </w:r>
    <w:r>
      <w:rPr/>
      <w:pict>
        <v:line style="position:absolute;mso-position-horizontal-relative:page;mso-position-vertical-relative:page;z-index:-1204720" from="12pt,20.957018pt" to="0pt,20.957018pt" stroked="true" strokeweight=".25pt" strokecolor="#000000">
          <w10:wrap type="none"/>
        </v:line>
      </w:pict>
    </w:r>
    <w:r>
      <w:rPr/>
      <w:pict>
        <v:line style="position:absolute;mso-position-horizontal-relative:page;mso-position-vertical-relative:page;z-index:-1204696" from="625.27301pt,20.957018pt" to="637.228038pt,20.957018pt" stroked="true" strokeweight=".25pt" strokecolor="#000000">
          <w10:wrap type="none"/>
        </v:line>
      </w:pict>
    </w:r>
    <w:r>
      <w:rPr/>
      <w:pict>
        <v:shape style="position:absolute;margin-left:70.400002pt;margin-top:71.865761pt;width:143.550pt;height:13pt;mso-position-horizontal-relative:page;mso-position-vertical-relative:page;z-index:-1204672" type="#_x0000_t202" filled="false" stroked="false">
          <v:textbox inset="0,0,0,0">
            <w:txbxContent>
              <w:p>
                <w:pPr>
                  <w:spacing w:line="245" w:lineRule="exact" w:before="0"/>
                  <w:ind w:left="20" w:right="-6" w:firstLine="0"/>
                  <w:jc w:val="left"/>
                  <w:rPr>
                    <w:b/>
                    <w:sz w:val="22"/>
                  </w:rPr>
                </w:pPr>
                <w:r>
                  <w:rPr>
                    <w:b/>
                    <w:sz w:val="22"/>
                  </w:rPr>
                  <w:t>Western Sydney University</w:t>
                </w:r>
              </w:p>
            </w:txbxContent>
          </v:textbox>
          <w10:wrap type="none"/>
        </v:shape>
      </w:pict>
    </w:r>
    <w:r>
      <w:rPr/>
      <w:pict>
        <v:shape style="position:absolute;margin-left:70.400002pt;margin-top:101.834816pt;width:226.85pt;height:31.55pt;mso-position-horizontal-relative:page;mso-position-vertical-relative:page;z-index:-1204648" type="#_x0000_t202" filled="false" stroked="false">
          <v:textbox inset="0,0,0,0">
            <w:txbxContent>
              <w:p>
                <w:pPr>
                  <w:spacing w:line="306" w:lineRule="exact" w:before="0"/>
                  <w:ind w:left="20" w:right="0" w:firstLine="0"/>
                  <w:jc w:val="left"/>
                  <w:rPr>
                    <w:b/>
                    <w:sz w:val="28"/>
                  </w:rPr>
                </w:pPr>
                <w:r>
                  <w:rPr>
                    <w:b/>
                    <w:sz w:val="28"/>
                  </w:rPr>
                  <w:t>Notes to the Financial Statements</w:t>
                </w:r>
              </w:p>
              <w:p>
                <w:pPr>
                  <w:spacing w:before="57"/>
                  <w:ind w:left="20" w:right="0" w:firstLine="0"/>
                  <w:jc w:val="left"/>
                  <w:rPr>
                    <w:b/>
                    <w:sz w:val="22"/>
                  </w:rPr>
                </w:pPr>
                <w:r>
                  <w:rPr>
                    <w:b/>
                    <w:sz w:val="22"/>
                  </w:rPr>
                  <w:t>For the Year Ended 31 December 2016</w:t>
                </w:r>
              </w:p>
            </w:txbxContent>
          </v:textbox>
          <w10:wrap type="non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204480" from="21pt,11.957018pt" to="21pt,-.000014pt" stroked="true" strokeweight=".25pt" strokecolor="#000000">
          <w10:wrap type="none"/>
        </v:line>
      </w:pict>
    </w:r>
    <w:r>
      <w:rPr/>
      <w:drawing>
        <wp:anchor distT="0" distB="0" distL="0" distR="0" allowOverlap="1" layoutInCell="1" locked="0" behindDoc="1" simplePos="0" relativeHeight="267230999">
          <wp:simplePos x="0" y="0"/>
          <wp:positionH relativeFrom="page">
            <wp:posOffset>3968896</wp:posOffset>
          </wp:positionH>
          <wp:positionV relativeFrom="page">
            <wp:posOffset>-1587</wp:posOffset>
          </wp:positionV>
          <wp:extent cx="155575" cy="135979"/>
          <wp:effectExtent l="0" t="0" r="0" b="0"/>
          <wp:wrapNone/>
          <wp:docPr id="251" name="image17.png" descr=""/>
          <wp:cNvGraphicFramePr>
            <a:graphicFrameLocks noChangeAspect="1"/>
          </wp:cNvGraphicFramePr>
          <a:graphic>
            <a:graphicData uri="http://schemas.openxmlformats.org/drawingml/2006/picture">
              <pic:pic>
                <pic:nvPicPr>
                  <pic:cNvPr id="252" name="image17.png"/>
                  <pic:cNvPicPr/>
                </pic:nvPicPr>
                <pic:blipFill>
                  <a:blip r:embed="rId1" cstate="print"/>
                  <a:stretch>
                    <a:fillRect/>
                  </a:stretch>
                </pic:blipFill>
                <pic:spPr>
                  <a:xfrm>
                    <a:off x="0" y="0"/>
                    <a:ext cx="155575" cy="135979"/>
                  </a:xfrm>
                  <a:prstGeom prst="rect">
                    <a:avLst/>
                  </a:prstGeom>
                </pic:spPr>
              </pic:pic>
            </a:graphicData>
          </a:graphic>
        </wp:anchor>
      </w:drawing>
    </w:r>
    <w:r>
      <w:rPr/>
      <w:pict>
        <v:line style="position:absolute;mso-position-horizontal-relative:page;mso-position-vertical-relative:page;z-index:-1204432" from="616.27301pt,11.957018pt" to="616.27301pt,-.000014pt" stroked="true" strokeweight=".25pt" strokecolor="#000000">
          <w10:wrap type="none"/>
        </v:line>
      </w:pict>
    </w:r>
    <w:r>
      <w:rPr/>
      <w:pict>
        <v:line style="position:absolute;mso-position-horizontal-relative:page;mso-position-vertical-relative:page;z-index:-1204408" from="12pt,20.957018pt" to="0pt,20.957018pt" stroked="true" strokeweight=".25pt" strokecolor="#000000">
          <w10:wrap type="none"/>
        </v:line>
      </w:pict>
    </w:r>
    <w:r>
      <w:rPr/>
      <w:pict>
        <v:line style="position:absolute;mso-position-horizontal-relative:page;mso-position-vertical-relative:page;z-index:-1204384" from="625.27301pt,20.957018pt" to="637.228038pt,20.957018pt" stroked="true" strokeweight=".25pt" strokecolor="#000000">
          <w10:wrap type="none"/>
        </v:line>
      </w:pict>
    </w:r>
    <w:r>
      <w:rPr/>
      <w:pict>
        <v:shape style="position:absolute;margin-left:70.400002pt;margin-top:71.865761pt;width:143.550pt;height:13pt;mso-position-horizontal-relative:page;mso-position-vertical-relative:page;z-index:-1204360" type="#_x0000_t202" filled="false" stroked="false">
          <v:textbox inset="0,0,0,0">
            <w:txbxContent>
              <w:p>
                <w:pPr>
                  <w:spacing w:line="245" w:lineRule="exact" w:before="0"/>
                  <w:ind w:left="20" w:right="-6" w:firstLine="0"/>
                  <w:jc w:val="left"/>
                  <w:rPr>
                    <w:b/>
                    <w:sz w:val="22"/>
                  </w:rPr>
                </w:pPr>
                <w:r>
                  <w:rPr>
                    <w:b/>
                    <w:sz w:val="22"/>
                  </w:rPr>
                  <w:t>Western Sydney University</w:t>
                </w:r>
              </w:p>
            </w:txbxContent>
          </v:textbox>
          <w10:wrap type="none"/>
        </v:shape>
      </w:pict>
    </w:r>
    <w:r>
      <w:rPr/>
      <w:pict>
        <v:shape style="position:absolute;margin-left:70.400002pt;margin-top:101.834816pt;width:226.85pt;height:31.55pt;mso-position-horizontal-relative:page;mso-position-vertical-relative:page;z-index:-1204336" type="#_x0000_t202" filled="false" stroked="false">
          <v:textbox inset="0,0,0,0">
            <w:txbxContent>
              <w:p>
                <w:pPr>
                  <w:spacing w:line="306" w:lineRule="exact" w:before="0"/>
                  <w:ind w:left="20" w:right="0" w:firstLine="0"/>
                  <w:jc w:val="left"/>
                  <w:rPr>
                    <w:b/>
                    <w:sz w:val="28"/>
                  </w:rPr>
                </w:pPr>
                <w:r>
                  <w:rPr>
                    <w:b/>
                    <w:sz w:val="28"/>
                  </w:rPr>
                  <w:t>Notes to the Financial Statements</w:t>
                </w:r>
              </w:p>
              <w:p>
                <w:pPr>
                  <w:spacing w:before="57"/>
                  <w:ind w:left="20" w:right="0" w:firstLine="0"/>
                  <w:jc w:val="left"/>
                  <w:rPr>
                    <w:b/>
                    <w:sz w:val="22"/>
                  </w:rPr>
                </w:pPr>
                <w:r>
                  <w:rPr>
                    <w:b/>
                    <w:sz w:val="22"/>
                  </w:rPr>
                  <w:t>For the Year Ended 31 December 2016</w:t>
                </w:r>
              </w:p>
            </w:txbxContent>
          </v:textbox>
          <w10:wrap type="non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204312" from="21pt,11.957018pt" to="21pt,-.000014pt" stroked="true" strokeweight=".25pt" strokecolor="#000000">
          <w10:wrap type="none"/>
        </v:line>
      </w:pict>
    </w:r>
    <w:r>
      <w:rPr/>
      <w:drawing>
        <wp:anchor distT="0" distB="0" distL="0" distR="0" allowOverlap="1" layoutInCell="1" locked="0" behindDoc="1" simplePos="0" relativeHeight="267231167">
          <wp:simplePos x="0" y="0"/>
          <wp:positionH relativeFrom="page">
            <wp:posOffset>3968896</wp:posOffset>
          </wp:positionH>
          <wp:positionV relativeFrom="page">
            <wp:posOffset>-1587</wp:posOffset>
          </wp:positionV>
          <wp:extent cx="155575" cy="135979"/>
          <wp:effectExtent l="0" t="0" r="0" b="0"/>
          <wp:wrapNone/>
          <wp:docPr id="333" name="image17.png" descr=""/>
          <wp:cNvGraphicFramePr>
            <a:graphicFrameLocks noChangeAspect="1"/>
          </wp:cNvGraphicFramePr>
          <a:graphic>
            <a:graphicData uri="http://schemas.openxmlformats.org/drawingml/2006/picture">
              <pic:pic>
                <pic:nvPicPr>
                  <pic:cNvPr id="334" name="image17.png"/>
                  <pic:cNvPicPr/>
                </pic:nvPicPr>
                <pic:blipFill>
                  <a:blip r:embed="rId1" cstate="print"/>
                  <a:stretch>
                    <a:fillRect/>
                  </a:stretch>
                </pic:blipFill>
                <pic:spPr>
                  <a:xfrm>
                    <a:off x="0" y="0"/>
                    <a:ext cx="155575" cy="135979"/>
                  </a:xfrm>
                  <a:prstGeom prst="rect">
                    <a:avLst/>
                  </a:prstGeom>
                </pic:spPr>
              </pic:pic>
            </a:graphicData>
          </a:graphic>
        </wp:anchor>
      </w:drawing>
    </w:r>
    <w:r>
      <w:rPr/>
      <w:pict>
        <v:line style="position:absolute;mso-position-horizontal-relative:page;mso-position-vertical-relative:page;z-index:-1204264" from="616.27301pt,11.957018pt" to="616.27301pt,-.000014pt" stroked="true" strokeweight=".25pt" strokecolor="#000000">
          <w10:wrap type="none"/>
        </v:line>
      </w:pict>
    </w:r>
    <w:r>
      <w:rPr/>
      <w:pict>
        <v:line style="position:absolute;mso-position-horizontal-relative:page;mso-position-vertical-relative:page;z-index:-1204240" from="12pt,20.957018pt" to="0pt,20.957018pt" stroked="true" strokeweight=".25pt" strokecolor="#000000">
          <w10:wrap type="none"/>
        </v:line>
      </w:pict>
    </w:r>
    <w:r>
      <w:rPr/>
      <w:pict>
        <v:line style="position:absolute;mso-position-horizontal-relative:page;mso-position-vertical-relative:page;z-index:-1204216" from="625.27301pt,20.957018pt" to="637.228038pt,20.957018pt" stroked="true" strokeweight=".25pt" strokecolor="#000000">
          <w10:wrap type="none"/>
        </v:line>
      </w:pict>
    </w:r>
    <w:r>
      <w:rPr/>
      <w:pict>
        <v:shape style="position:absolute;margin-left:70.400002pt;margin-top:71.865761pt;width:143.550pt;height:13pt;mso-position-horizontal-relative:page;mso-position-vertical-relative:page;z-index:-1204192" type="#_x0000_t202" filled="false" stroked="false">
          <v:textbox inset="0,0,0,0">
            <w:txbxContent>
              <w:p>
                <w:pPr>
                  <w:spacing w:line="245" w:lineRule="exact" w:before="0"/>
                  <w:ind w:left="20" w:right="-6" w:firstLine="0"/>
                  <w:jc w:val="left"/>
                  <w:rPr>
                    <w:b/>
                    <w:sz w:val="22"/>
                  </w:rPr>
                </w:pPr>
                <w:r>
                  <w:rPr>
                    <w:b/>
                    <w:sz w:val="22"/>
                  </w:rPr>
                  <w:t>Western Sydney University</w:t>
                </w:r>
              </w:p>
            </w:txbxContent>
          </v:textbox>
          <w10:wrap type="none"/>
        </v:shape>
      </w:pict>
    </w:r>
    <w:r>
      <w:rPr/>
      <w:pict>
        <v:shape style="position:absolute;margin-left:70.400002pt;margin-top:101.834816pt;width:226.85pt;height:31.55pt;mso-position-horizontal-relative:page;mso-position-vertical-relative:page;z-index:-1204168" type="#_x0000_t202" filled="false" stroked="false">
          <v:textbox inset="0,0,0,0">
            <w:txbxContent>
              <w:p>
                <w:pPr>
                  <w:spacing w:line="306" w:lineRule="exact" w:before="0"/>
                  <w:ind w:left="20" w:right="0" w:firstLine="0"/>
                  <w:jc w:val="left"/>
                  <w:rPr>
                    <w:b/>
                    <w:sz w:val="28"/>
                  </w:rPr>
                </w:pPr>
                <w:r>
                  <w:rPr>
                    <w:b/>
                    <w:sz w:val="28"/>
                  </w:rPr>
                  <w:t>Notes to the Financial Statements</w:t>
                </w:r>
              </w:p>
              <w:p>
                <w:pPr>
                  <w:spacing w:before="57"/>
                  <w:ind w:left="20" w:right="0" w:firstLine="0"/>
                  <w:jc w:val="left"/>
                  <w:rPr>
                    <w:b/>
                    <w:sz w:val="22"/>
                  </w:rPr>
                </w:pPr>
                <w:r>
                  <w:rPr>
                    <w:b/>
                    <w:sz w:val="22"/>
                  </w:rPr>
                  <w:t>For the Year Ended 31 December 2016</w:t>
                </w:r>
              </w:p>
            </w:txbxContent>
          </v:textbox>
          <w10:wrap type="non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5.375pt;margin-top:1.87501pt;width:1.25pt;height:21.75pt;mso-position-horizontal-relative:page;mso-position-vertical-relative:page;z-index:-1204000" coordorigin="508,38" coordsize="25,435">
          <v:line style="position:absolute" from="520,340" to="520,40" stroked="true" strokeweight=".25pt" strokecolor="#000000"/>
          <v:line style="position:absolute" from="520,460" to="520,100" stroked="true" strokeweight="1.25pt" strokecolor="#ffffff"/>
          <v:line style="position:absolute" from="520,460" to="520,100" stroked="true" strokeweight=".25pt" strokecolor="#000000"/>
          <w10:wrap type="none"/>
        </v:group>
      </w:pict>
    </w:r>
    <w:r>
      <w:rPr/>
      <w:pict>
        <v:group style="position:absolute;margin-left:815.260986pt;margin-top:1.87501pt;width:1.25pt;height:21.75pt;mso-position-horizontal-relative:page;mso-position-vertical-relative:page;z-index:-1203976" coordorigin="16305,38" coordsize="25,435">
          <v:line style="position:absolute" from="16318,340" to="16318,40" stroked="true" strokeweight=".25pt" strokecolor="#000000"/>
          <v:line style="position:absolute" from="16318,460" to="16318,100" stroked="true" strokeweight="1.25pt" strokecolor="#ffffff"/>
          <v:line style="position:absolute" from="16318,460" to="16318,100" stroked="true" strokeweight=".25pt" strokecolor="#000000"/>
          <w10:wrap type="none"/>
        </v:group>
      </w:pict>
    </w:r>
    <w:r>
      <w:rPr/>
      <w:drawing>
        <wp:anchor distT="0" distB="0" distL="0" distR="0" allowOverlap="1" layoutInCell="1" locked="0" behindDoc="1" simplePos="0" relativeHeight="267231503">
          <wp:simplePos x="0" y="0"/>
          <wp:positionH relativeFrom="page">
            <wp:posOffset>5268188</wp:posOffset>
          </wp:positionH>
          <wp:positionV relativeFrom="page">
            <wp:posOffset>42862</wp:posOffset>
          </wp:positionV>
          <wp:extent cx="155575" cy="155575"/>
          <wp:effectExtent l="0" t="0" r="0" b="0"/>
          <wp:wrapNone/>
          <wp:docPr id="373" name="image24.png" descr=""/>
          <wp:cNvGraphicFramePr>
            <a:graphicFrameLocks noChangeAspect="1"/>
          </wp:cNvGraphicFramePr>
          <a:graphic>
            <a:graphicData uri="http://schemas.openxmlformats.org/drawingml/2006/picture">
              <pic:pic>
                <pic:nvPicPr>
                  <pic:cNvPr id="374" name="image24.png"/>
                  <pic:cNvPicPr/>
                </pic:nvPicPr>
                <pic:blipFill>
                  <a:blip r:embed="rId1" cstate="print"/>
                  <a:stretch>
                    <a:fillRect/>
                  </a:stretch>
                </pic:blipFill>
                <pic:spPr>
                  <a:xfrm>
                    <a:off x="0" y="0"/>
                    <a:ext cx="155575" cy="155575"/>
                  </a:xfrm>
                  <a:prstGeom prst="rect">
                    <a:avLst/>
                  </a:prstGeom>
                </pic:spPr>
              </pic:pic>
            </a:graphicData>
          </a:graphic>
        </wp:anchor>
      </w:drawing>
    </w:r>
    <w:r>
      <w:rPr/>
      <w:pict>
        <v:group style="position:absolute;margin-left:1.875pt;margin-top:25.37501pt;width:21.75pt;height:1.25pt;mso-position-horizontal-relative:page;mso-position-vertical-relative:page;z-index:-1203928" coordorigin="38,508" coordsize="435,25">
          <v:line style="position:absolute" from="340,520" to="40,520" stroked="true" strokeweight=".25pt" strokecolor="#000000"/>
          <v:line style="position:absolute" from="460,520" to="100,520" stroked="true" strokeweight="1.25pt" strokecolor="#ffffff"/>
          <v:line style="position:absolute" from="460,520" to="100,520" stroked="true" strokeweight=".25pt" strokecolor="#000000"/>
          <w10:wrap type="none"/>
        </v:group>
      </w:pict>
    </w:r>
    <w:r>
      <w:rPr/>
      <w:pict>
        <v:group style="position:absolute;margin-left:818.260986pt;margin-top:25.37501pt;width:21.75pt;height:1.25pt;mso-position-horizontal-relative:page;mso-position-vertical-relative:page;z-index:-1203904" coordorigin="16365,508" coordsize="435,25">
          <v:line style="position:absolute" from="16498,520" to="16798,520" stroked="true" strokeweight=".25pt" strokecolor="#000000"/>
          <v:line style="position:absolute" from="16378,520" to="16738,520" stroked="true" strokeweight="1.25pt" strokecolor="#ffffff"/>
          <v:line style="position:absolute" from="16378,520" to="16738,520" stroked="true" strokeweight=".25pt" strokecolor="#000000"/>
          <w10:wrap type="none"/>
        </v:group>
      </w:pict>
    </w:r>
    <w:r>
      <w:rPr/>
      <w:pict>
        <v:shape style="position:absolute;margin-left:49.400002pt;margin-top:50.895756pt;width:143.550pt;height:13pt;mso-position-horizontal-relative:page;mso-position-vertical-relative:page;z-index:-1203880" type="#_x0000_t202" filled="false" stroked="false">
          <v:textbox inset="0,0,0,0">
            <w:txbxContent>
              <w:p>
                <w:pPr>
                  <w:spacing w:line="245" w:lineRule="exact" w:before="0"/>
                  <w:ind w:left="20" w:right="-6" w:firstLine="0"/>
                  <w:jc w:val="left"/>
                  <w:rPr>
                    <w:b/>
                    <w:sz w:val="22"/>
                  </w:rPr>
                </w:pPr>
                <w:r>
                  <w:rPr>
                    <w:b/>
                    <w:sz w:val="22"/>
                  </w:rPr>
                  <w:t>Western Sydney University</w:t>
                </w:r>
              </w:p>
            </w:txbxContent>
          </v:textbox>
          <w10:wrap type="none"/>
        </v:shape>
      </w:pict>
    </w:r>
    <w:r>
      <w:rPr/>
      <w:pict>
        <v:shape style="position:absolute;margin-left:49.400002pt;margin-top:80.864815pt;width:226.85pt;height:31.55pt;mso-position-horizontal-relative:page;mso-position-vertical-relative:page;z-index:-1203856" type="#_x0000_t202" filled="false" stroked="false">
          <v:textbox inset="0,0,0,0">
            <w:txbxContent>
              <w:p>
                <w:pPr>
                  <w:spacing w:line="306" w:lineRule="exact" w:before="0"/>
                  <w:ind w:left="20" w:right="0" w:firstLine="0"/>
                  <w:jc w:val="left"/>
                  <w:rPr>
                    <w:b/>
                    <w:sz w:val="28"/>
                  </w:rPr>
                </w:pPr>
                <w:r>
                  <w:rPr>
                    <w:b/>
                    <w:sz w:val="28"/>
                  </w:rPr>
                  <w:t>Notes to the Financial Statements</w:t>
                </w:r>
              </w:p>
              <w:p>
                <w:pPr>
                  <w:spacing w:before="57"/>
                  <w:ind w:left="20" w:right="0" w:firstLine="0"/>
                  <w:jc w:val="left"/>
                  <w:rPr>
                    <w:b/>
                    <w:sz w:val="22"/>
                  </w:rPr>
                </w:pPr>
                <w:r>
                  <w:rPr>
                    <w:b/>
                    <w:sz w:val="22"/>
                  </w:rPr>
                  <w:t>For the Year Ended 31 December 2016</w:t>
                </w:r>
              </w:p>
            </w:txbxContent>
          </v:textbox>
          <w10:wrap type="non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5.375pt;margin-top:1.87501pt;width:1.25pt;height:21.75pt;mso-position-horizontal-relative:page;mso-position-vertical-relative:page;z-index:-1203688" coordorigin="508,38" coordsize="25,435">
          <v:line style="position:absolute" from="520,340" to="520,40" stroked="true" strokeweight=".25pt" strokecolor="#000000"/>
          <v:line style="position:absolute" from="520,460" to="520,100" stroked="true" strokeweight="1.25pt" strokecolor="#ffffff"/>
          <v:line style="position:absolute" from="520,460" to="520,100" stroked="true" strokeweight=".25pt" strokecolor="#000000"/>
          <w10:wrap type="none"/>
        </v:group>
      </w:pict>
    </w:r>
    <w:r>
      <w:rPr/>
      <w:pict>
        <v:group style="position:absolute;margin-left:815.260986pt;margin-top:1.87501pt;width:1.25pt;height:21.75pt;mso-position-horizontal-relative:page;mso-position-vertical-relative:page;z-index:-1203664" coordorigin="16305,38" coordsize="25,435">
          <v:line style="position:absolute" from="16318,340" to="16318,40" stroked="true" strokeweight=".25pt" strokecolor="#000000"/>
          <v:line style="position:absolute" from="16318,460" to="16318,100" stroked="true" strokeweight="1.25pt" strokecolor="#ffffff"/>
          <v:line style="position:absolute" from="16318,460" to="16318,100" stroked="true" strokeweight=".25pt" strokecolor="#000000"/>
          <w10:wrap type="none"/>
        </v:group>
      </w:pict>
    </w:r>
    <w:r>
      <w:rPr/>
      <w:drawing>
        <wp:anchor distT="0" distB="0" distL="0" distR="0" allowOverlap="1" layoutInCell="1" locked="0" behindDoc="1" simplePos="0" relativeHeight="267231815">
          <wp:simplePos x="0" y="0"/>
          <wp:positionH relativeFrom="page">
            <wp:posOffset>5268188</wp:posOffset>
          </wp:positionH>
          <wp:positionV relativeFrom="page">
            <wp:posOffset>42862</wp:posOffset>
          </wp:positionV>
          <wp:extent cx="155575" cy="155575"/>
          <wp:effectExtent l="0" t="0" r="0" b="0"/>
          <wp:wrapNone/>
          <wp:docPr id="401" name="image24.png" descr=""/>
          <wp:cNvGraphicFramePr>
            <a:graphicFrameLocks noChangeAspect="1"/>
          </wp:cNvGraphicFramePr>
          <a:graphic>
            <a:graphicData uri="http://schemas.openxmlformats.org/drawingml/2006/picture">
              <pic:pic>
                <pic:nvPicPr>
                  <pic:cNvPr id="402" name="image24.png"/>
                  <pic:cNvPicPr/>
                </pic:nvPicPr>
                <pic:blipFill>
                  <a:blip r:embed="rId1" cstate="print"/>
                  <a:stretch>
                    <a:fillRect/>
                  </a:stretch>
                </pic:blipFill>
                <pic:spPr>
                  <a:xfrm>
                    <a:off x="0" y="0"/>
                    <a:ext cx="155575" cy="155575"/>
                  </a:xfrm>
                  <a:prstGeom prst="rect">
                    <a:avLst/>
                  </a:prstGeom>
                </pic:spPr>
              </pic:pic>
            </a:graphicData>
          </a:graphic>
        </wp:anchor>
      </w:drawing>
    </w:r>
    <w:r>
      <w:rPr/>
      <w:pict>
        <v:group style="position:absolute;margin-left:1.875pt;margin-top:25.37501pt;width:21.75pt;height:1.25pt;mso-position-horizontal-relative:page;mso-position-vertical-relative:page;z-index:-1203616" coordorigin="38,508" coordsize="435,25">
          <v:line style="position:absolute" from="340,520" to="40,520" stroked="true" strokeweight=".25pt" strokecolor="#000000"/>
          <v:line style="position:absolute" from="460,520" to="100,520" stroked="true" strokeweight="1.25pt" strokecolor="#ffffff"/>
          <v:line style="position:absolute" from="460,520" to="100,520" stroked="true" strokeweight=".25pt" strokecolor="#000000"/>
          <w10:wrap type="none"/>
        </v:group>
      </w:pict>
    </w:r>
    <w:r>
      <w:rPr/>
      <w:pict>
        <v:group style="position:absolute;margin-left:818.260986pt;margin-top:25.37501pt;width:21.75pt;height:1.25pt;mso-position-horizontal-relative:page;mso-position-vertical-relative:page;z-index:-1203592" coordorigin="16365,508" coordsize="435,25">
          <v:line style="position:absolute" from="16498,520" to="16798,520" stroked="true" strokeweight=".25pt" strokecolor="#000000"/>
          <v:line style="position:absolute" from="16378,520" to="16738,520" stroked="true" strokeweight="1.25pt" strokecolor="#ffffff"/>
          <v:line style="position:absolute" from="16378,520" to="16738,520" stroked="true" strokeweight=".25pt" strokecolor="#000000"/>
          <w10:wrap type="none"/>
        </v:group>
      </w:pict>
    </w:r>
    <w:r>
      <w:rPr/>
      <w:pict>
        <v:shape style="position:absolute;margin-left:49.400002pt;margin-top:50.895756pt;width:143.550pt;height:13pt;mso-position-horizontal-relative:page;mso-position-vertical-relative:page;z-index:-1203568" type="#_x0000_t202" filled="false" stroked="false">
          <v:textbox inset="0,0,0,0">
            <w:txbxContent>
              <w:p>
                <w:pPr>
                  <w:spacing w:line="245" w:lineRule="exact" w:before="0"/>
                  <w:ind w:left="20" w:right="-6" w:firstLine="0"/>
                  <w:jc w:val="left"/>
                  <w:rPr>
                    <w:b/>
                    <w:sz w:val="22"/>
                  </w:rPr>
                </w:pPr>
                <w:r>
                  <w:rPr>
                    <w:b/>
                    <w:sz w:val="22"/>
                  </w:rPr>
                  <w:t>Western Sydney University</w:t>
                </w:r>
              </w:p>
            </w:txbxContent>
          </v:textbox>
          <w10:wrap type="none"/>
        </v:shape>
      </w:pict>
    </w:r>
    <w:r>
      <w:rPr/>
      <w:pict>
        <v:shape style="position:absolute;margin-left:49.400002pt;margin-top:80.864815pt;width:226.85pt;height:31.55pt;mso-position-horizontal-relative:page;mso-position-vertical-relative:page;z-index:-1203544" type="#_x0000_t202" filled="false" stroked="false">
          <v:textbox inset="0,0,0,0">
            <w:txbxContent>
              <w:p>
                <w:pPr>
                  <w:spacing w:line="306" w:lineRule="exact" w:before="0"/>
                  <w:ind w:left="20" w:right="0" w:firstLine="0"/>
                  <w:jc w:val="left"/>
                  <w:rPr>
                    <w:b/>
                    <w:sz w:val="28"/>
                  </w:rPr>
                </w:pPr>
                <w:r>
                  <w:rPr>
                    <w:b/>
                    <w:sz w:val="28"/>
                  </w:rPr>
                  <w:t>Notes to the Financial Statements</w:t>
                </w:r>
              </w:p>
              <w:p>
                <w:pPr>
                  <w:spacing w:before="57"/>
                  <w:ind w:left="20" w:right="0" w:firstLine="0"/>
                  <w:jc w:val="left"/>
                  <w:rPr>
                    <w:b/>
                    <w:sz w:val="22"/>
                  </w:rPr>
                </w:pPr>
                <w:r>
                  <w:rPr>
                    <w:b/>
                    <w:sz w:val="22"/>
                  </w:rPr>
                  <w:t>For the Year Ended 31 December 2016</w:t>
                </w:r>
              </w:p>
            </w:txbxContent>
          </v:textbox>
          <w10:wrap type="none"/>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203376" from="21pt,11.957018pt" to="21pt,-.000014pt" stroked="true" strokeweight=".25pt" strokecolor="#000000">
          <w10:wrap type="none"/>
        </v:line>
      </w:pict>
    </w:r>
    <w:r>
      <w:rPr/>
      <w:drawing>
        <wp:anchor distT="0" distB="0" distL="0" distR="0" allowOverlap="1" layoutInCell="1" locked="0" behindDoc="1" simplePos="0" relativeHeight="267232103">
          <wp:simplePos x="0" y="0"/>
          <wp:positionH relativeFrom="page">
            <wp:posOffset>3968896</wp:posOffset>
          </wp:positionH>
          <wp:positionV relativeFrom="page">
            <wp:posOffset>-1587</wp:posOffset>
          </wp:positionV>
          <wp:extent cx="155575" cy="135979"/>
          <wp:effectExtent l="0" t="0" r="0" b="0"/>
          <wp:wrapNone/>
          <wp:docPr id="413" name="image17.png" descr=""/>
          <wp:cNvGraphicFramePr>
            <a:graphicFrameLocks noChangeAspect="1"/>
          </wp:cNvGraphicFramePr>
          <a:graphic>
            <a:graphicData uri="http://schemas.openxmlformats.org/drawingml/2006/picture">
              <pic:pic>
                <pic:nvPicPr>
                  <pic:cNvPr id="414" name="image17.png"/>
                  <pic:cNvPicPr/>
                </pic:nvPicPr>
                <pic:blipFill>
                  <a:blip r:embed="rId1" cstate="print"/>
                  <a:stretch>
                    <a:fillRect/>
                  </a:stretch>
                </pic:blipFill>
                <pic:spPr>
                  <a:xfrm>
                    <a:off x="0" y="0"/>
                    <a:ext cx="155575" cy="135979"/>
                  </a:xfrm>
                  <a:prstGeom prst="rect">
                    <a:avLst/>
                  </a:prstGeom>
                </pic:spPr>
              </pic:pic>
            </a:graphicData>
          </a:graphic>
        </wp:anchor>
      </w:drawing>
    </w:r>
    <w:r>
      <w:rPr/>
      <w:pict>
        <v:line style="position:absolute;mso-position-horizontal-relative:page;mso-position-vertical-relative:page;z-index:-1203328" from="616.27301pt,11.957018pt" to="616.27301pt,-.000014pt" stroked="true" strokeweight=".25pt" strokecolor="#000000">
          <w10:wrap type="none"/>
        </v:line>
      </w:pict>
    </w:r>
    <w:r>
      <w:rPr/>
      <w:pict>
        <v:line style="position:absolute;mso-position-horizontal-relative:page;mso-position-vertical-relative:page;z-index:-1203304" from="12pt,20.957018pt" to="0pt,20.957018pt" stroked="true" strokeweight=".25pt" strokecolor="#000000">
          <w10:wrap type="none"/>
        </v:line>
      </w:pict>
    </w:r>
    <w:r>
      <w:rPr/>
      <w:pict>
        <v:line style="position:absolute;mso-position-horizontal-relative:page;mso-position-vertical-relative:page;z-index:-1203280" from="625.27301pt,20.957018pt" to="637.228038pt,20.957018pt" stroked="true" strokeweight=".25pt" strokecolor="#000000">
          <w10:wrap type="none"/>
        </v:line>
      </w:pict>
    </w:r>
    <w:r>
      <w:rPr/>
      <w:pict>
        <v:shape style="position:absolute;margin-left:70.400002pt;margin-top:71.865761pt;width:143.550pt;height:13pt;mso-position-horizontal-relative:page;mso-position-vertical-relative:page;z-index:-1203256" type="#_x0000_t202" filled="false" stroked="false">
          <v:textbox inset="0,0,0,0">
            <w:txbxContent>
              <w:p>
                <w:pPr>
                  <w:spacing w:line="245" w:lineRule="exact" w:before="0"/>
                  <w:ind w:left="20" w:right="-6" w:firstLine="0"/>
                  <w:jc w:val="left"/>
                  <w:rPr>
                    <w:b/>
                    <w:sz w:val="22"/>
                  </w:rPr>
                </w:pPr>
                <w:r>
                  <w:rPr>
                    <w:b/>
                    <w:sz w:val="22"/>
                  </w:rPr>
                  <w:t>Western Sydney University</w:t>
                </w:r>
              </w:p>
            </w:txbxContent>
          </v:textbox>
          <w10:wrap type="none"/>
        </v:shape>
      </w:pict>
    </w:r>
    <w:r>
      <w:rPr/>
      <w:pict>
        <v:shape style="position:absolute;margin-left:70.400002pt;margin-top:101.834816pt;width:226.85pt;height:31.55pt;mso-position-horizontal-relative:page;mso-position-vertical-relative:page;z-index:-1203232" type="#_x0000_t202" filled="false" stroked="false">
          <v:textbox inset="0,0,0,0">
            <w:txbxContent>
              <w:p>
                <w:pPr>
                  <w:spacing w:line="306" w:lineRule="exact" w:before="0"/>
                  <w:ind w:left="20" w:right="0" w:firstLine="0"/>
                  <w:jc w:val="left"/>
                  <w:rPr>
                    <w:b/>
                    <w:sz w:val="28"/>
                  </w:rPr>
                </w:pPr>
                <w:r>
                  <w:rPr>
                    <w:b/>
                    <w:sz w:val="28"/>
                  </w:rPr>
                  <w:t>Notes to the Financial Statements</w:t>
                </w:r>
              </w:p>
              <w:p>
                <w:pPr>
                  <w:spacing w:before="57"/>
                  <w:ind w:left="20" w:right="0" w:firstLine="0"/>
                  <w:jc w:val="left"/>
                  <w:rPr>
                    <w:b/>
                    <w:sz w:val="22"/>
                  </w:rPr>
                </w:pPr>
                <w:r>
                  <w:rPr>
                    <w:b/>
                    <w:sz w:val="22"/>
                  </w:rPr>
                  <w:t>For the Year Ended 31 December 2016</w:t>
                </w:r>
              </w:p>
            </w:txbxContent>
          </v:textbox>
          <w10:wrap type="none"/>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203064" from="21pt,12.843018pt" to="21pt,0pt" stroked="true" strokeweight=".25pt" strokecolor="#000000">
          <w10:wrap type="none"/>
        </v:line>
      </w:pict>
    </w:r>
    <w:r>
      <w:rPr/>
      <w:drawing>
        <wp:anchor distT="0" distB="0" distL="0" distR="0" allowOverlap="1" layoutInCell="1" locked="0" behindDoc="1" simplePos="0" relativeHeight="267232415">
          <wp:simplePos x="0" y="0"/>
          <wp:positionH relativeFrom="page">
            <wp:posOffset>3967162</wp:posOffset>
          </wp:positionH>
          <wp:positionV relativeFrom="page">
            <wp:posOffset>-1587</wp:posOffset>
          </wp:positionV>
          <wp:extent cx="155575" cy="147231"/>
          <wp:effectExtent l="0" t="0" r="0" b="0"/>
          <wp:wrapNone/>
          <wp:docPr id="449" name="image20.png" descr=""/>
          <wp:cNvGraphicFramePr>
            <a:graphicFrameLocks noChangeAspect="1"/>
          </wp:cNvGraphicFramePr>
          <a:graphic>
            <a:graphicData uri="http://schemas.openxmlformats.org/drawingml/2006/picture">
              <pic:pic>
                <pic:nvPicPr>
                  <pic:cNvPr id="450" name="image20.png"/>
                  <pic:cNvPicPr/>
                </pic:nvPicPr>
                <pic:blipFill>
                  <a:blip r:embed="rId1" cstate="print"/>
                  <a:stretch>
                    <a:fillRect/>
                  </a:stretch>
                </pic:blipFill>
                <pic:spPr>
                  <a:xfrm>
                    <a:off x="0" y="0"/>
                    <a:ext cx="155575" cy="147231"/>
                  </a:xfrm>
                  <a:prstGeom prst="rect">
                    <a:avLst/>
                  </a:prstGeom>
                </pic:spPr>
              </pic:pic>
            </a:graphicData>
          </a:graphic>
        </wp:anchor>
      </w:drawing>
    </w:r>
    <w:r>
      <w:rPr/>
      <w:pict>
        <v:line style="position:absolute;mso-position-horizontal-relative:page;mso-position-vertical-relative:page;z-index:-1203016" from="616pt,12.843018pt" to="616pt,0pt" stroked="true" strokeweight=".25pt" strokecolor="#000000">
          <w10:wrap type="none"/>
        </v:line>
      </w:pict>
    </w:r>
    <w:r>
      <w:rPr/>
      <w:pict>
        <v:line style="position:absolute;mso-position-horizontal-relative:page;mso-position-vertical-relative:page;z-index:-1202992" from="12pt,21.843018pt" to="0pt,21.843018pt" stroked="true" strokeweight=".25pt" strokecolor="#000000">
          <w10:wrap type="none"/>
        </v:line>
      </w:pict>
    </w:r>
    <w:r>
      <w:rPr/>
      <w:pict>
        <v:line style="position:absolute;mso-position-horizontal-relative:page;mso-position-vertical-relative:page;z-index:-1202968" from="625pt,21.843018pt" to="637.228027pt,21.843018pt" stroked="true" strokeweight=".25pt" strokecolor="#000000">
          <w10:wrap type="none"/>
        </v:lin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207024" from="21pt,11.957018pt" to="21pt,-.000014pt" stroked="true" strokeweight=".25pt" strokecolor="#000000">
          <w10:wrap type="none"/>
        </v:line>
      </w:pict>
    </w:r>
    <w:r>
      <w:rPr/>
      <w:drawing>
        <wp:anchor distT="0" distB="0" distL="0" distR="0" allowOverlap="1" layoutInCell="1" locked="0" behindDoc="1" simplePos="0" relativeHeight="267228455">
          <wp:simplePos x="0" y="0"/>
          <wp:positionH relativeFrom="page">
            <wp:posOffset>3968896</wp:posOffset>
          </wp:positionH>
          <wp:positionV relativeFrom="page">
            <wp:posOffset>-1587</wp:posOffset>
          </wp:positionV>
          <wp:extent cx="155575" cy="135979"/>
          <wp:effectExtent l="0" t="0" r="0" b="0"/>
          <wp:wrapNone/>
          <wp:docPr id="19" name="image17.png" descr=""/>
          <wp:cNvGraphicFramePr>
            <a:graphicFrameLocks noChangeAspect="1"/>
          </wp:cNvGraphicFramePr>
          <a:graphic>
            <a:graphicData uri="http://schemas.openxmlformats.org/drawingml/2006/picture">
              <pic:pic>
                <pic:nvPicPr>
                  <pic:cNvPr id="20" name="image17.png"/>
                  <pic:cNvPicPr/>
                </pic:nvPicPr>
                <pic:blipFill>
                  <a:blip r:embed="rId1" cstate="print"/>
                  <a:stretch>
                    <a:fillRect/>
                  </a:stretch>
                </pic:blipFill>
                <pic:spPr>
                  <a:xfrm>
                    <a:off x="0" y="0"/>
                    <a:ext cx="155575" cy="135979"/>
                  </a:xfrm>
                  <a:prstGeom prst="rect">
                    <a:avLst/>
                  </a:prstGeom>
                </pic:spPr>
              </pic:pic>
            </a:graphicData>
          </a:graphic>
        </wp:anchor>
      </w:drawing>
    </w:r>
    <w:r>
      <w:rPr/>
      <w:pict>
        <v:line style="position:absolute;mso-position-horizontal-relative:page;mso-position-vertical-relative:page;z-index:-1206976" from="616.27301pt,11.957018pt" to="616.27301pt,-.000014pt" stroked="true" strokeweight=".25pt" strokecolor="#000000">
          <w10:wrap type="none"/>
        </v:line>
      </w:pict>
    </w:r>
    <w:r>
      <w:rPr/>
      <w:pict>
        <v:line style="position:absolute;mso-position-horizontal-relative:page;mso-position-vertical-relative:page;z-index:-1206952" from="12pt,20.957018pt" to="0pt,20.957018pt" stroked="true" strokeweight=".25pt" strokecolor="#000000">
          <w10:wrap type="none"/>
        </v:line>
      </w:pict>
    </w:r>
    <w:r>
      <w:rPr/>
      <w:pict>
        <v:line style="position:absolute;mso-position-horizontal-relative:page;mso-position-vertical-relative:page;z-index:-1206928" from="625.27301pt,20.957018pt" to="637.228038pt,20.957018pt" stroked="true" strokeweight=".25pt" strokecolor="#000000">
          <w10:wrap type="none"/>
        </v:line>
      </w:pict>
    </w:r>
    <w:r>
      <w:rPr/>
      <w:pict>
        <v:shape style="position:absolute;margin-left:70.400002pt;margin-top:71.865761pt;width:143.550pt;height:13pt;mso-position-horizontal-relative:page;mso-position-vertical-relative:page;z-index:-1206904" type="#_x0000_t202" filled="false" stroked="false">
          <v:textbox inset="0,0,0,0">
            <w:txbxContent>
              <w:p>
                <w:pPr>
                  <w:spacing w:line="245" w:lineRule="exact" w:before="0"/>
                  <w:ind w:left="20" w:right="-6" w:firstLine="0"/>
                  <w:jc w:val="left"/>
                  <w:rPr>
                    <w:b/>
                    <w:sz w:val="22"/>
                  </w:rPr>
                </w:pPr>
                <w:r>
                  <w:rPr>
                    <w:b/>
                    <w:sz w:val="22"/>
                  </w:rPr>
                  <w:t>Western Sydney University</w:t>
                </w:r>
              </w:p>
            </w:txbxContent>
          </v:textbox>
          <w10:wrap type="none"/>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202800" from="21pt,11.957018pt" to="21pt,-.000014pt" stroked="true" strokeweight=".25pt" strokecolor="#000000">
          <w10:wrap type="none"/>
        </v:line>
      </w:pict>
    </w:r>
    <w:r>
      <w:rPr/>
      <w:drawing>
        <wp:anchor distT="0" distB="0" distL="0" distR="0" allowOverlap="1" layoutInCell="1" locked="0" behindDoc="1" simplePos="0" relativeHeight="267232679">
          <wp:simplePos x="0" y="0"/>
          <wp:positionH relativeFrom="page">
            <wp:posOffset>3968896</wp:posOffset>
          </wp:positionH>
          <wp:positionV relativeFrom="page">
            <wp:posOffset>-1587</wp:posOffset>
          </wp:positionV>
          <wp:extent cx="155575" cy="135979"/>
          <wp:effectExtent l="0" t="0" r="0" b="0"/>
          <wp:wrapNone/>
          <wp:docPr id="465" name="image17.png" descr=""/>
          <wp:cNvGraphicFramePr>
            <a:graphicFrameLocks noChangeAspect="1"/>
          </wp:cNvGraphicFramePr>
          <a:graphic>
            <a:graphicData uri="http://schemas.openxmlformats.org/drawingml/2006/picture">
              <pic:pic>
                <pic:nvPicPr>
                  <pic:cNvPr id="466" name="image17.png"/>
                  <pic:cNvPicPr/>
                </pic:nvPicPr>
                <pic:blipFill>
                  <a:blip r:embed="rId1" cstate="print"/>
                  <a:stretch>
                    <a:fillRect/>
                  </a:stretch>
                </pic:blipFill>
                <pic:spPr>
                  <a:xfrm>
                    <a:off x="0" y="0"/>
                    <a:ext cx="155575" cy="135979"/>
                  </a:xfrm>
                  <a:prstGeom prst="rect">
                    <a:avLst/>
                  </a:prstGeom>
                </pic:spPr>
              </pic:pic>
            </a:graphicData>
          </a:graphic>
        </wp:anchor>
      </w:drawing>
    </w:r>
    <w:r>
      <w:rPr/>
      <w:pict>
        <v:line style="position:absolute;mso-position-horizontal-relative:page;mso-position-vertical-relative:page;z-index:-1202752" from="616.27301pt,11.957018pt" to="616.27301pt,-.000014pt" stroked="true" strokeweight=".25pt" strokecolor="#000000">
          <w10:wrap type="none"/>
        </v:line>
      </w:pict>
    </w:r>
    <w:r>
      <w:rPr/>
      <w:pict>
        <v:line style="position:absolute;mso-position-horizontal-relative:page;mso-position-vertical-relative:page;z-index:-1202728" from="12pt,20.957018pt" to="0pt,20.957018pt" stroked="true" strokeweight=".25pt" strokecolor="#000000">
          <w10:wrap type="none"/>
        </v:line>
      </w:pict>
    </w:r>
    <w:r>
      <w:rPr/>
      <w:pict>
        <v:line style="position:absolute;mso-position-horizontal-relative:page;mso-position-vertical-relative:page;z-index:-1202704" from="625.27301pt,20.957018pt" to="637.228038pt,20.957018pt" stroked="true" strokeweight=".25pt" strokecolor="#000000">
          <w10:wrap type="none"/>
        </v:line>
      </w:pict>
    </w:r>
    <w:r>
      <w:rPr/>
      <w:pict>
        <v:shape style="position:absolute;margin-left:70.400002pt;margin-top:71.865761pt;width:421.9pt;height:23.95pt;mso-position-horizontal-relative:page;mso-position-vertical-relative:page;z-index:-1202680" type="#_x0000_t202" filled="false" stroked="false">
          <v:textbox inset="0,0,0,0">
            <w:txbxContent>
              <w:p>
                <w:pPr>
                  <w:spacing w:line="245" w:lineRule="exact" w:before="0"/>
                  <w:ind w:left="20" w:right="-14" w:firstLine="0"/>
                  <w:jc w:val="left"/>
                  <w:rPr>
                    <w:b/>
                    <w:sz w:val="22"/>
                  </w:rPr>
                </w:pPr>
                <w:r>
                  <w:rPr>
                    <w:b/>
                    <w:sz w:val="22"/>
                  </w:rPr>
                  <w:t>UWS Enterprises Pty Limited Trading as Western Sydney University The College</w:t>
                </w:r>
              </w:p>
              <w:p>
                <w:pPr>
                  <w:spacing w:before="56"/>
                  <w:ind w:left="20" w:right="-14" w:firstLine="0"/>
                  <w:jc w:val="left"/>
                  <w:rPr>
                    <w:b/>
                    <w:sz w:val="14"/>
                  </w:rPr>
                </w:pPr>
                <w:r>
                  <w:rPr>
                    <w:b/>
                    <w:sz w:val="14"/>
                  </w:rPr>
                  <w:t>ABN: 44 003 474 468</w:t>
                </w:r>
              </w:p>
            </w:txbxContent>
          </v:textbox>
          <w10:wrap type="none"/>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202656" from="21pt,12.843018pt" to="21pt,0pt" stroked="true" strokeweight=".25pt" strokecolor="#000000">
          <w10:wrap type="none"/>
        </v:line>
      </w:pict>
    </w:r>
    <w:r>
      <w:rPr/>
      <w:drawing>
        <wp:anchor distT="0" distB="0" distL="0" distR="0" allowOverlap="1" layoutInCell="1" locked="0" behindDoc="1" simplePos="0" relativeHeight="267232823">
          <wp:simplePos x="0" y="0"/>
          <wp:positionH relativeFrom="page">
            <wp:posOffset>3967162</wp:posOffset>
          </wp:positionH>
          <wp:positionV relativeFrom="page">
            <wp:posOffset>-1587</wp:posOffset>
          </wp:positionV>
          <wp:extent cx="155575" cy="147231"/>
          <wp:effectExtent l="0" t="0" r="0" b="0"/>
          <wp:wrapNone/>
          <wp:docPr id="487" name="image20.png" descr=""/>
          <wp:cNvGraphicFramePr>
            <a:graphicFrameLocks noChangeAspect="1"/>
          </wp:cNvGraphicFramePr>
          <a:graphic>
            <a:graphicData uri="http://schemas.openxmlformats.org/drawingml/2006/picture">
              <pic:pic>
                <pic:nvPicPr>
                  <pic:cNvPr id="488" name="image20.png"/>
                  <pic:cNvPicPr/>
                </pic:nvPicPr>
                <pic:blipFill>
                  <a:blip r:embed="rId1" cstate="print"/>
                  <a:stretch>
                    <a:fillRect/>
                  </a:stretch>
                </pic:blipFill>
                <pic:spPr>
                  <a:xfrm>
                    <a:off x="0" y="0"/>
                    <a:ext cx="155575" cy="147231"/>
                  </a:xfrm>
                  <a:prstGeom prst="rect">
                    <a:avLst/>
                  </a:prstGeom>
                </pic:spPr>
              </pic:pic>
            </a:graphicData>
          </a:graphic>
        </wp:anchor>
      </w:drawing>
    </w:r>
    <w:r>
      <w:rPr/>
      <w:pict>
        <v:line style="position:absolute;mso-position-horizontal-relative:page;mso-position-vertical-relative:page;z-index:-1202608" from="616pt,12.843018pt" to="616pt,0pt" stroked="true" strokeweight=".25pt" strokecolor="#000000">
          <w10:wrap type="none"/>
        </v:line>
      </w:pict>
    </w:r>
    <w:r>
      <w:rPr/>
      <w:pict>
        <v:line style="position:absolute;mso-position-horizontal-relative:page;mso-position-vertical-relative:page;z-index:-1202584" from="12pt,21.843018pt" to="0pt,21.843018pt" stroked="true" strokeweight=".25pt" strokecolor="#000000">
          <w10:wrap type="none"/>
        </v:line>
      </w:pict>
    </w:r>
    <w:r>
      <w:rPr/>
      <w:pict>
        <v:line style="position:absolute;mso-position-horizontal-relative:page;mso-position-vertical-relative:page;z-index:-1202560" from="625pt,21.843018pt" to="637.228027pt,21.843018pt" stroked="true" strokeweight=".25pt" strokecolor="#000000">
          <w10:wrap type="none"/>
        </v:lin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202536" from="21pt,11.957018pt" to="21pt,-.000014pt" stroked="true" strokeweight=".25pt" strokecolor="#000000">
          <w10:wrap type="none"/>
        </v:line>
      </w:pict>
    </w:r>
    <w:r>
      <w:rPr/>
      <w:drawing>
        <wp:anchor distT="0" distB="0" distL="0" distR="0" allowOverlap="1" layoutInCell="1" locked="0" behindDoc="1" simplePos="0" relativeHeight="267232943">
          <wp:simplePos x="0" y="0"/>
          <wp:positionH relativeFrom="page">
            <wp:posOffset>3968896</wp:posOffset>
          </wp:positionH>
          <wp:positionV relativeFrom="page">
            <wp:posOffset>-1587</wp:posOffset>
          </wp:positionV>
          <wp:extent cx="155575" cy="135979"/>
          <wp:effectExtent l="0" t="0" r="0" b="0"/>
          <wp:wrapNone/>
          <wp:docPr id="493" name="image17.png" descr=""/>
          <wp:cNvGraphicFramePr>
            <a:graphicFrameLocks noChangeAspect="1"/>
          </wp:cNvGraphicFramePr>
          <a:graphic>
            <a:graphicData uri="http://schemas.openxmlformats.org/drawingml/2006/picture">
              <pic:pic>
                <pic:nvPicPr>
                  <pic:cNvPr id="494" name="image17.png"/>
                  <pic:cNvPicPr/>
                </pic:nvPicPr>
                <pic:blipFill>
                  <a:blip r:embed="rId1" cstate="print"/>
                  <a:stretch>
                    <a:fillRect/>
                  </a:stretch>
                </pic:blipFill>
                <pic:spPr>
                  <a:xfrm>
                    <a:off x="0" y="0"/>
                    <a:ext cx="155575" cy="135979"/>
                  </a:xfrm>
                  <a:prstGeom prst="rect">
                    <a:avLst/>
                  </a:prstGeom>
                </pic:spPr>
              </pic:pic>
            </a:graphicData>
          </a:graphic>
        </wp:anchor>
      </w:drawing>
    </w:r>
    <w:r>
      <w:rPr/>
      <w:pict>
        <v:line style="position:absolute;mso-position-horizontal-relative:page;mso-position-vertical-relative:page;z-index:-1202488" from="616.27301pt,11.957018pt" to="616.27301pt,-.000014pt" stroked="true" strokeweight=".25pt" strokecolor="#000000">
          <w10:wrap type="none"/>
        </v:line>
      </w:pict>
    </w:r>
    <w:r>
      <w:rPr/>
      <w:pict>
        <v:line style="position:absolute;mso-position-horizontal-relative:page;mso-position-vertical-relative:page;z-index:-1202464" from="12pt,20.957018pt" to="0pt,20.957018pt" stroked="true" strokeweight=".25pt" strokecolor="#000000">
          <w10:wrap type="none"/>
        </v:line>
      </w:pict>
    </w:r>
    <w:r>
      <w:rPr/>
      <w:pict>
        <v:line style="position:absolute;mso-position-horizontal-relative:page;mso-position-vertical-relative:page;z-index:-1202440" from="625.27301pt,20.957018pt" to="637.228038pt,20.957018pt" stroked="true" strokeweight=".25pt" strokecolor="#000000">
          <w10:wrap type="none"/>
        </v:line>
      </w:pict>
    </w:r>
    <w:r>
      <w:rPr/>
      <w:pict>
        <v:shape style="position:absolute;margin-left:70.400002pt;margin-top:71.865761pt;width:421.9pt;height:23.95pt;mso-position-horizontal-relative:page;mso-position-vertical-relative:page;z-index:-1202416" type="#_x0000_t202" filled="false" stroked="false">
          <v:textbox inset="0,0,0,0">
            <w:txbxContent>
              <w:p>
                <w:pPr>
                  <w:spacing w:line="245" w:lineRule="exact" w:before="0"/>
                  <w:ind w:left="20" w:right="-14" w:firstLine="0"/>
                  <w:jc w:val="left"/>
                  <w:rPr>
                    <w:b/>
                    <w:sz w:val="22"/>
                  </w:rPr>
                </w:pPr>
                <w:r>
                  <w:rPr>
                    <w:b/>
                    <w:sz w:val="22"/>
                  </w:rPr>
                  <w:t>UWS Enterprises Pty Limited Trading as Western Sydney University The College</w:t>
                </w:r>
              </w:p>
              <w:p>
                <w:pPr>
                  <w:spacing w:before="56"/>
                  <w:ind w:left="20" w:right="-14" w:firstLine="0"/>
                  <w:jc w:val="left"/>
                  <w:rPr>
                    <w:b/>
                    <w:sz w:val="14"/>
                  </w:rPr>
                </w:pPr>
                <w:r>
                  <w:rPr>
                    <w:b/>
                    <w:sz w:val="14"/>
                  </w:rPr>
                  <w:t>ABN: 44 003 474 468</w:t>
                </w:r>
              </w:p>
            </w:txbxContent>
          </v:textbox>
          <w10:wrap type="none"/>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202392" from="21pt,11.957018pt" to="21pt,-.000014pt" stroked="true" strokeweight=".25pt" strokecolor="#000000">
          <w10:wrap type="none"/>
        </v:line>
      </w:pict>
    </w:r>
    <w:r>
      <w:rPr/>
      <w:drawing>
        <wp:anchor distT="0" distB="0" distL="0" distR="0" allowOverlap="1" layoutInCell="1" locked="0" behindDoc="1" simplePos="0" relativeHeight="267233087">
          <wp:simplePos x="0" y="0"/>
          <wp:positionH relativeFrom="page">
            <wp:posOffset>3968896</wp:posOffset>
          </wp:positionH>
          <wp:positionV relativeFrom="page">
            <wp:posOffset>-1587</wp:posOffset>
          </wp:positionV>
          <wp:extent cx="155575" cy="135979"/>
          <wp:effectExtent l="0" t="0" r="0" b="0"/>
          <wp:wrapNone/>
          <wp:docPr id="555" name="image17.png" descr=""/>
          <wp:cNvGraphicFramePr>
            <a:graphicFrameLocks noChangeAspect="1"/>
          </wp:cNvGraphicFramePr>
          <a:graphic>
            <a:graphicData uri="http://schemas.openxmlformats.org/drawingml/2006/picture">
              <pic:pic>
                <pic:nvPicPr>
                  <pic:cNvPr id="556" name="image17.png"/>
                  <pic:cNvPicPr/>
                </pic:nvPicPr>
                <pic:blipFill>
                  <a:blip r:embed="rId1" cstate="print"/>
                  <a:stretch>
                    <a:fillRect/>
                  </a:stretch>
                </pic:blipFill>
                <pic:spPr>
                  <a:xfrm>
                    <a:off x="0" y="0"/>
                    <a:ext cx="155575" cy="135979"/>
                  </a:xfrm>
                  <a:prstGeom prst="rect">
                    <a:avLst/>
                  </a:prstGeom>
                </pic:spPr>
              </pic:pic>
            </a:graphicData>
          </a:graphic>
        </wp:anchor>
      </w:drawing>
    </w:r>
    <w:r>
      <w:rPr/>
      <w:pict>
        <v:line style="position:absolute;mso-position-horizontal-relative:page;mso-position-vertical-relative:page;z-index:-1202344" from="616.27301pt,11.957018pt" to="616.27301pt,-.000014pt" stroked="true" strokeweight=".25pt" strokecolor="#000000">
          <w10:wrap type="none"/>
        </v:line>
      </w:pict>
    </w:r>
    <w:r>
      <w:rPr/>
      <w:pict>
        <v:line style="position:absolute;mso-position-horizontal-relative:page;mso-position-vertical-relative:page;z-index:-1202320" from="12pt,20.957018pt" to="0pt,20.957018pt" stroked="true" strokeweight=".25pt" strokecolor="#000000">
          <w10:wrap type="none"/>
        </v:line>
      </w:pict>
    </w:r>
    <w:r>
      <w:rPr/>
      <w:pict>
        <v:line style="position:absolute;mso-position-horizontal-relative:page;mso-position-vertical-relative:page;z-index:-1202296" from="625.27301pt,20.957018pt" to="637.228038pt,20.957018pt" stroked="true" strokeweight=".25pt" strokecolor="#000000">
          <w10:wrap type="none"/>
        </v:line>
      </w:pict>
    </w:r>
    <w:r>
      <w:rPr/>
      <w:pict>
        <v:shape style="position:absolute;margin-left:70.400002pt;margin-top:71.865761pt;width:421.9pt;height:23.95pt;mso-position-horizontal-relative:page;mso-position-vertical-relative:page;z-index:-1202272" type="#_x0000_t202" filled="false" stroked="false">
          <v:textbox inset="0,0,0,0">
            <w:txbxContent>
              <w:p>
                <w:pPr>
                  <w:spacing w:line="245" w:lineRule="exact" w:before="0"/>
                  <w:ind w:left="20" w:right="-14" w:firstLine="0"/>
                  <w:jc w:val="left"/>
                  <w:rPr>
                    <w:b/>
                    <w:sz w:val="22"/>
                  </w:rPr>
                </w:pPr>
                <w:r>
                  <w:rPr>
                    <w:b/>
                    <w:sz w:val="22"/>
                  </w:rPr>
                  <w:t>UWS Enterprises Pty Limited Trading as Western Sydney University The College</w:t>
                </w:r>
              </w:p>
              <w:p>
                <w:pPr>
                  <w:spacing w:before="56"/>
                  <w:ind w:left="20" w:right="-14" w:firstLine="0"/>
                  <w:jc w:val="left"/>
                  <w:rPr>
                    <w:b/>
                    <w:sz w:val="14"/>
                  </w:rPr>
                </w:pPr>
                <w:r>
                  <w:rPr>
                    <w:b/>
                    <w:sz w:val="14"/>
                  </w:rPr>
                  <w:t>ABN: 44 003 474 468</w:t>
                </w:r>
              </w:p>
            </w:txbxContent>
          </v:textbox>
          <w10:wrap type="none"/>
        </v:shape>
      </w:pict>
    </w:r>
    <w:r>
      <w:rPr/>
      <w:pict>
        <v:shape style="position:absolute;margin-left:70.400002pt;margin-top:112.694817pt;width:226.85pt;height:31.55pt;mso-position-horizontal-relative:page;mso-position-vertical-relative:page;z-index:-1202248" type="#_x0000_t202" filled="false" stroked="false">
          <v:textbox inset="0,0,0,0">
            <w:txbxContent>
              <w:p>
                <w:pPr>
                  <w:spacing w:line="306" w:lineRule="exact" w:before="0"/>
                  <w:ind w:left="20" w:right="0" w:firstLine="0"/>
                  <w:jc w:val="left"/>
                  <w:rPr>
                    <w:b/>
                    <w:sz w:val="28"/>
                  </w:rPr>
                </w:pPr>
                <w:r>
                  <w:rPr>
                    <w:b/>
                    <w:sz w:val="28"/>
                  </w:rPr>
                  <w:t>Notes to the Financial Statements</w:t>
                </w:r>
              </w:p>
              <w:p>
                <w:pPr>
                  <w:spacing w:before="57"/>
                  <w:ind w:left="20" w:right="0" w:firstLine="0"/>
                  <w:jc w:val="left"/>
                  <w:rPr>
                    <w:b/>
                    <w:sz w:val="22"/>
                  </w:rPr>
                </w:pPr>
                <w:r>
                  <w:rPr>
                    <w:b/>
                    <w:sz w:val="22"/>
                  </w:rPr>
                  <w:t>For the Year Ended 31 December 2016</w:t>
                </w:r>
              </w:p>
            </w:txbxContent>
          </v:textbox>
          <w10:wrap type="none"/>
        </v:shape>
      </w:pic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202224" from="21pt,11.957018pt" to="21pt,-.000014pt" stroked="true" strokeweight=".25pt" strokecolor="#000000">
          <w10:wrap type="none"/>
        </v:line>
      </w:pict>
    </w:r>
    <w:r>
      <w:rPr/>
      <w:drawing>
        <wp:anchor distT="0" distB="0" distL="0" distR="0" allowOverlap="1" layoutInCell="1" locked="0" behindDoc="1" simplePos="0" relativeHeight="267233255">
          <wp:simplePos x="0" y="0"/>
          <wp:positionH relativeFrom="page">
            <wp:posOffset>3968896</wp:posOffset>
          </wp:positionH>
          <wp:positionV relativeFrom="page">
            <wp:posOffset>-1587</wp:posOffset>
          </wp:positionV>
          <wp:extent cx="155575" cy="135979"/>
          <wp:effectExtent l="0" t="0" r="0" b="0"/>
          <wp:wrapNone/>
          <wp:docPr id="605" name="image17.png" descr=""/>
          <wp:cNvGraphicFramePr>
            <a:graphicFrameLocks noChangeAspect="1"/>
          </wp:cNvGraphicFramePr>
          <a:graphic>
            <a:graphicData uri="http://schemas.openxmlformats.org/drawingml/2006/picture">
              <pic:pic>
                <pic:nvPicPr>
                  <pic:cNvPr id="606" name="image17.png"/>
                  <pic:cNvPicPr/>
                </pic:nvPicPr>
                <pic:blipFill>
                  <a:blip r:embed="rId1" cstate="print"/>
                  <a:stretch>
                    <a:fillRect/>
                  </a:stretch>
                </pic:blipFill>
                <pic:spPr>
                  <a:xfrm>
                    <a:off x="0" y="0"/>
                    <a:ext cx="155575" cy="135979"/>
                  </a:xfrm>
                  <a:prstGeom prst="rect">
                    <a:avLst/>
                  </a:prstGeom>
                </pic:spPr>
              </pic:pic>
            </a:graphicData>
          </a:graphic>
        </wp:anchor>
      </w:drawing>
    </w:r>
    <w:r>
      <w:rPr/>
      <w:pict>
        <v:line style="position:absolute;mso-position-horizontal-relative:page;mso-position-vertical-relative:page;z-index:-1202176" from="616.27301pt,11.957018pt" to="616.27301pt,-.000014pt" stroked="true" strokeweight=".25pt" strokecolor="#000000">
          <w10:wrap type="none"/>
        </v:line>
      </w:pict>
    </w:r>
    <w:r>
      <w:rPr/>
      <w:pict>
        <v:line style="position:absolute;mso-position-horizontal-relative:page;mso-position-vertical-relative:page;z-index:-1202152" from="12pt,20.957018pt" to="0pt,20.957018pt" stroked="true" strokeweight=".25pt" strokecolor="#000000">
          <w10:wrap type="none"/>
        </v:line>
      </w:pict>
    </w:r>
    <w:r>
      <w:rPr/>
      <w:pict>
        <v:line style="position:absolute;mso-position-horizontal-relative:page;mso-position-vertical-relative:page;z-index:-1202128" from="625.27301pt,20.957018pt" to="637.228038pt,20.957018pt" stroked="true" strokeweight=".25pt" strokecolor="#000000">
          <w10:wrap type="none"/>
        </v:line>
      </w:pict>
    </w:r>
    <w:r>
      <w:rPr/>
      <w:pict>
        <v:shape style="position:absolute;margin-left:70.400002pt;margin-top:71.865761pt;width:421.9pt;height:23.95pt;mso-position-horizontal-relative:page;mso-position-vertical-relative:page;z-index:-1202104" type="#_x0000_t202" filled="false" stroked="false">
          <v:textbox inset="0,0,0,0">
            <w:txbxContent>
              <w:p>
                <w:pPr>
                  <w:spacing w:line="245" w:lineRule="exact" w:before="0"/>
                  <w:ind w:left="20" w:right="-14" w:firstLine="0"/>
                  <w:jc w:val="left"/>
                  <w:rPr>
                    <w:b/>
                    <w:sz w:val="22"/>
                  </w:rPr>
                </w:pPr>
                <w:r>
                  <w:rPr>
                    <w:b/>
                    <w:sz w:val="22"/>
                  </w:rPr>
                  <w:t>UWS Enterprises Pty Limited Trading as Western Sydney University The College</w:t>
                </w:r>
              </w:p>
              <w:p>
                <w:pPr>
                  <w:spacing w:before="56"/>
                  <w:ind w:left="20" w:right="-14" w:firstLine="0"/>
                  <w:jc w:val="left"/>
                  <w:rPr>
                    <w:b/>
                    <w:sz w:val="14"/>
                  </w:rPr>
                </w:pPr>
                <w:r>
                  <w:rPr>
                    <w:b/>
                    <w:sz w:val="14"/>
                  </w:rPr>
                  <w:t>ABN: 44 003 474 468</w:t>
                </w:r>
              </w:p>
            </w:txbxContent>
          </v:textbox>
          <w10:wrap type="none"/>
        </v:shape>
      </w:pic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201936" from="21pt,12.843018pt" to="21pt,0pt" stroked="true" strokeweight=".25pt" strokecolor="#000000">
          <w10:wrap type="none"/>
        </v:line>
      </w:pict>
    </w:r>
    <w:r>
      <w:rPr/>
      <w:drawing>
        <wp:anchor distT="0" distB="0" distL="0" distR="0" allowOverlap="1" layoutInCell="1" locked="0" behindDoc="1" simplePos="0" relativeHeight="267233543">
          <wp:simplePos x="0" y="0"/>
          <wp:positionH relativeFrom="page">
            <wp:posOffset>3967162</wp:posOffset>
          </wp:positionH>
          <wp:positionV relativeFrom="page">
            <wp:posOffset>-1587</wp:posOffset>
          </wp:positionV>
          <wp:extent cx="155575" cy="147231"/>
          <wp:effectExtent l="0" t="0" r="0" b="0"/>
          <wp:wrapNone/>
          <wp:docPr id="637" name="image20.png" descr=""/>
          <wp:cNvGraphicFramePr>
            <a:graphicFrameLocks noChangeAspect="1"/>
          </wp:cNvGraphicFramePr>
          <a:graphic>
            <a:graphicData uri="http://schemas.openxmlformats.org/drawingml/2006/picture">
              <pic:pic>
                <pic:nvPicPr>
                  <pic:cNvPr id="638" name="image20.png"/>
                  <pic:cNvPicPr/>
                </pic:nvPicPr>
                <pic:blipFill>
                  <a:blip r:embed="rId1" cstate="print"/>
                  <a:stretch>
                    <a:fillRect/>
                  </a:stretch>
                </pic:blipFill>
                <pic:spPr>
                  <a:xfrm>
                    <a:off x="0" y="0"/>
                    <a:ext cx="155575" cy="147231"/>
                  </a:xfrm>
                  <a:prstGeom prst="rect">
                    <a:avLst/>
                  </a:prstGeom>
                </pic:spPr>
              </pic:pic>
            </a:graphicData>
          </a:graphic>
        </wp:anchor>
      </w:drawing>
    </w:r>
    <w:r>
      <w:rPr/>
      <w:pict>
        <v:line style="position:absolute;mso-position-horizontal-relative:page;mso-position-vertical-relative:page;z-index:-1201888" from="616pt,12.843018pt" to="616pt,0pt" stroked="true" strokeweight=".25pt" strokecolor="#000000">
          <w10:wrap type="none"/>
        </v:line>
      </w:pic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206880" from="21pt,11.957018pt" to="21pt,-.000014pt" stroked="true" strokeweight=".25pt" strokecolor="#000000">
          <w10:wrap type="none"/>
        </v:line>
      </w:pict>
    </w:r>
    <w:r>
      <w:rPr/>
      <w:drawing>
        <wp:anchor distT="0" distB="0" distL="0" distR="0" allowOverlap="1" layoutInCell="1" locked="0" behindDoc="1" simplePos="0" relativeHeight="267228599">
          <wp:simplePos x="0" y="0"/>
          <wp:positionH relativeFrom="page">
            <wp:posOffset>3968896</wp:posOffset>
          </wp:positionH>
          <wp:positionV relativeFrom="page">
            <wp:posOffset>-1587</wp:posOffset>
          </wp:positionV>
          <wp:extent cx="155575" cy="135979"/>
          <wp:effectExtent l="0" t="0" r="0" b="0"/>
          <wp:wrapNone/>
          <wp:docPr id="27" name="image17.png" descr=""/>
          <wp:cNvGraphicFramePr>
            <a:graphicFrameLocks noChangeAspect="1"/>
          </wp:cNvGraphicFramePr>
          <a:graphic>
            <a:graphicData uri="http://schemas.openxmlformats.org/drawingml/2006/picture">
              <pic:pic>
                <pic:nvPicPr>
                  <pic:cNvPr id="28" name="image17.png"/>
                  <pic:cNvPicPr/>
                </pic:nvPicPr>
                <pic:blipFill>
                  <a:blip r:embed="rId1" cstate="print"/>
                  <a:stretch>
                    <a:fillRect/>
                  </a:stretch>
                </pic:blipFill>
                <pic:spPr>
                  <a:xfrm>
                    <a:off x="0" y="0"/>
                    <a:ext cx="155575" cy="135979"/>
                  </a:xfrm>
                  <a:prstGeom prst="rect">
                    <a:avLst/>
                  </a:prstGeom>
                </pic:spPr>
              </pic:pic>
            </a:graphicData>
          </a:graphic>
        </wp:anchor>
      </w:drawing>
    </w:r>
    <w:r>
      <w:rPr/>
      <w:pict>
        <v:line style="position:absolute;mso-position-horizontal-relative:page;mso-position-vertical-relative:page;z-index:-1206832" from="616.27301pt,11.957018pt" to="616.27301pt,-.000014pt" stroked="true" strokeweight=".25pt" strokecolor="#000000">
          <w10:wrap type="none"/>
        </v:line>
      </w:pict>
    </w:r>
    <w:r>
      <w:rPr/>
      <w:pict>
        <v:line style="position:absolute;mso-position-horizontal-relative:page;mso-position-vertical-relative:page;z-index:-1206808" from="12pt,20.957018pt" to="0pt,20.957018pt" stroked="true" strokeweight=".25pt" strokecolor="#000000">
          <w10:wrap type="none"/>
        </v:line>
      </w:pict>
    </w:r>
    <w:r>
      <w:rPr/>
      <w:pict>
        <v:line style="position:absolute;mso-position-horizontal-relative:page;mso-position-vertical-relative:page;z-index:-1206784" from="625.27301pt,20.957018pt" to="637.228038pt,20.957018pt" stroked="true" strokeweight=".25pt" strokecolor="#000000">
          <w10:wrap type="none"/>
        </v:line>
      </w:pict>
    </w:r>
    <w:r>
      <w:rPr/>
      <w:pict>
        <v:shape style="position:absolute;margin-left:70.400002pt;margin-top:71.865761pt;width:143.550pt;height:13pt;mso-position-horizontal-relative:page;mso-position-vertical-relative:page;z-index:-1206760" type="#_x0000_t202" filled="false" stroked="false">
          <v:textbox inset="0,0,0,0">
            <w:txbxContent>
              <w:p>
                <w:pPr>
                  <w:spacing w:line="245" w:lineRule="exact" w:before="0"/>
                  <w:ind w:left="20" w:right="-6" w:firstLine="0"/>
                  <w:jc w:val="left"/>
                  <w:rPr>
                    <w:b/>
                    <w:sz w:val="22"/>
                  </w:rPr>
                </w:pPr>
                <w:r>
                  <w:rPr>
                    <w:b/>
                    <w:sz w:val="22"/>
                  </w:rPr>
                  <w:t>Western Sydney University</w:t>
                </w:r>
              </w:p>
            </w:txbxContent>
          </v:textbox>
          <w10:wrap type="none"/>
        </v:shape>
      </w:pic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201576" from="21pt,11.957018pt" to="21pt,-.000014pt" stroked="true" strokeweight=".25pt" strokecolor="#000000">
          <w10:wrap type="none"/>
        </v:line>
      </w:pict>
    </w:r>
    <w:r>
      <w:rPr/>
      <w:drawing>
        <wp:anchor distT="0" distB="0" distL="0" distR="0" allowOverlap="1" layoutInCell="1" locked="0" behindDoc="1" simplePos="0" relativeHeight="267233903">
          <wp:simplePos x="0" y="0"/>
          <wp:positionH relativeFrom="page">
            <wp:posOffset>3968896</wp:posOffset>
          </wp:positionH>
          <wp:positionV relativeFrom="page">
            <wp:posOffset>-1587</wp:posOffset>
          </wp:positionV>
          <wp:extent cx="155575" cy="135979"/>
          <wp:effectExtent l="0" t="0" r="0" b="0"/>
          <wp:wrapNone/>
          <wp:docPr id="661" name="image17.png" descr=""/>
          <wp:cNvGraphicFramePr>
            <a:graphicFrameLocks noChangeAspect="1"/>
          </wp:cNvGraphicFramePr>
          <a:graphic>
            <a:graphicData uri="http://schemas.openxmlformats.org/drawingml/2006/picture">
              <pic:pic>
                <pic:nvPicPr>
                  <pic:cNvPr id="662" name="image17.png"/>
                  <pic:cNvPicPr/>
                </pic:nvPicPr>
                <pic:blipFill>
                  <a:blip r:embed="rId1" cstate="print"/>
                  <a:stretch>
                    <a:fillRect/>
                  </a:stretch>
                </pic:blipFill>
                <pic:spPr>
                  <a:xfrm>
                    <a:off x="0" y="0"/>
                    <a:ext cx="155575" cy="135979"/>
                  </a:xfrm>
                  <a:prstGeom prst="rect">
                    <a:avLst/>
                  </a:prstGeom>
                </pic:spPr>
              </pic:pic>
            </a:graphicData>
          </a:graphic>
        </wp:anchor>
      </w:drawing>
    </w:r>
    <w:r>
      <w:rPr/>
      <w:pict>
        <v:line style="position:absolute;mso-position-horizontal-relative:page;mso-position-vertical-relative:page;z-index:-1201528" from="616.27301pt,11.957018pt" to="616.27301pt,-.000014pt" stroked="true" strokeweight=".25pt" strokecolor="#000000">
          <w10:wrap type="none"/>
        </v:line>
      </w:pict>
    </w:r>
    <w:r>
      <w:rPr/>
      <w:pict>
        <v:line style="position:absolute;mso-position-horizontal-relative:page;mso-position-vertical-relative:page;z-index:-1201504" from="12pt,20.957018pt" to="0pt,20.957018pt" stroked="true" strokeweight=".25pt" strokecolor="#000000">
          <w10:wrap type="none"/>
        </v:line>
      </w:pict>
    </w:r>
    <w:r>
      <w:rPr/>
      <w:pict>
        <v:line style="position:absolute;mso-position-horizontal-relative:page;mso-position-vertical-relative:page;z-index:-1201480" from="625.27301pt,20.957018pt" to="637.228038pt,20.957018pt" stroked="true" strokeweight=".25pt" strokecolor="#000000">
          <w10:wrap type="none"/>
        </v:line>
      </w:pict>
    </w:r>
    <w:r>
      <w:rPr/>
      <w:pict>
        <v:shape style="position:absolute;margin-left:70.400002pt;margin-top:71.817146pt;width:108.5pt;height:23.95pt;mso-position-horizontal-relative:page;mso-position-vertical-relative:page;z-index:-1201456" type="#_x0000_t202" filled="false" stroked="false">
          <v:textbox inset="0,0,0,0">
            <w:txbxContent>
              <w:p>
                <w:pPr>
                  <w:spacing w:line="246" w:lineRule="exact" w:before="0"/>
                  <w:ind w:left="20" w:right="0" w:firstLine="0"/>
                  <w:jc w:val="left"/>
                  <w:rPr>
                    <w:b/>
                    <w:sz w:val="22"/>
                  </w:rPr>
                </w:pPr>
                <w:r>
                  <w:rPr>
                    <w:b/>
                    <w:sz w:val="22"/>
                  </w:rPr>
                  <w:t>uwsconnect Limited</w:t>
                </w:r>
              </w:p>
              <w:p>
                <w:pPr>
                  <w:spacing w:before="55"/>
                  <w:ind w:left="20" w:right="0" w:firstLine="0"/>
                  <w:jc w:val="left"/>
                  <w:rPr>
                    <w:b/>
                    <w:sz w:val="14"/>
                  </w:rPr>
                </w:pPr>
                <w:r>
                  <w:rPr>
                    <w:b/>
                    <w:sz w:val="14"/>
                  </w:rPr>
                  <w:t>ABN 45 107 759 197</w:t>
                </w:r>
              </w:p>
            </w:txbxContent>
          </v:textbox>
          <w10:wrap type="none"/>
        </v:shape>
      </w:pic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201432" from="21pt,11.957018pt" to="21pt,-.000014pt" stroked="true" strokeweight=".25pt" strokecolor="#000000">
          <w10:wrap type="none"/>
        </v:line>
      </w:pict>
    </w:r>
    <w:r>
      <w:rPr/>
      <w:drawing>
        <wp:anchor distT="0" distB="0" distL="0" distR="0" allowOverlap="1" layoutInCell="1" locked="0" behindDoc="1" simplePos="0" relativeHeight="267234047">
          <wp:simplePos x="0" y="0"/>
          <wp:positionH relativeFrom="page">
            <wp:posOffset>3968896</wp:posOffset>
          </wp:positionH>
          <wp:positionV relativeFrom="page">
            <wp:posOffset>-1587</wp:posOffset>
          </wp:positionV>
          <wp:extent cx="155575" cy="135979"/>
          <wp:effectExtent l="0" t="0" r="0" b="0"/>
          <wp:wrapNone/>
          <wp:docPr id="767" name="image17.png" descr=""/>
          <wp:cNvGraphicFramePr>
            <a:graphicFrameLocks noChangeAspect="1"/>
          </wp:cNvGraphicFramePr>
          <a:graphic>
            <a:graphicData uri="http://schemas.openxmlformats.org/drawingml/2006/picture">
              <pic:pic>
                <pic:nvPicPr>
                  <pic:cNvPr id="768" name="image17.png"/>
                  <pic:cNvPicPr/>
                </pic:nvPicPr>
                <pic:blipFill>
                  <a:blip r:embed="rId1" cstate="print"/>
                  <a:stretch>
                    <a:fillRect/>
                  </a:stretch>
                </pic:blipFill>
                <pic:spPr>
                  <a:xfrm>
                    <a:off x="0" y="0"/>
                    <a:ext cx="155575" cy="135979"/>
                  </a:xfrm>
                  <a:prstGeom prst="rect">
                    <a:avLst/>
                  </a:prstGeom>
                </pic:spPr>
              </pic:pic>
            </a:graphicData>
          </a:graphic>
        </wp:anchor>
      </w:drawing>
    </w:r>
    <w:r>
      <w:rPr/>
      <w:pict>
        <v:line style="position:absolute;mso-position-horizontal-relative:page;mso-position-vertical-relative:page;z-index:-1201384" from="616.27301pt,11.957018pt" to="616.27301pt,-.000014pt" stroked="true" strokeweight=".25pt" strokecolor="#000000">
          <w10:wrap type="none"/>
        </v:line>
      </w:pict>
    </w:r>
    <w:r>
      <w:rPr/>
      <w:pict>
        <v:line style="position:absolute;mso-position-horizontal-relative:page;mso-position-vertical-relative:page;z-index:-1201360" from="12pt,20.957018pt" to="0pt,20.957018pt" stroked="true" strokeweight=".25pt" strokecolor="#000000">
          <w10:wrap type="none"/>
        </v:line>
      </w:pict>
    </w:r>
    <w:r>
      <w:rPr/>
      <w:pict>
        <v:line style="position:absolute;mso-position-horizontal-relative:page;mso-position-vertical-relative:page;z-index:-1201336" from="625.27301pt,20.957018pt" to="637.228038pt,20.957018pt" stroked="true" strokeweight=".25pt" strokecolor="#000000">
          <w10:wrap type="none"/>
        </v:line>
      </w:pict>
    </w:r>
    <w:r>
      <w:rPr/>
      <w:pict>
        <v:shape style="position:absolute;margin-left:70.400002pt;margin-top:71.817146pt;width:108.5pt;height:13.05pt;mso-position-horizontal-relative:page;mso-position-vertical-relative:page;z-index:-1201312" type="#_x0000_t202" filled="false" stroked="false">
          <v:textbox inset="0,0,0,0">
            <w:txbxContent>
              <w:p>
                <w:pPr>
                  <w:spacing w:line="246" w:lineRule="exact" w:before="0"/>
                  <w:ind w:left="20" w:right="0" w:firstLine="0"/>
                  <w:jc w:val="left"/>
                  <w:rPr>
                    <w:b/>
                    <w:sz w:val="22"/>
                  </w:rPr>
                </w:pPr>
                <w:r>
                  <w:rPr>
                    <w:b/>
                    <w:sz w:val="22"/>
                  </w:rPr>
                  <w:t>uwsconnect Limited</w:t>
                </w:r>
              </w:p>
            </w:txbxContent>
          </v:textbox>
          <w10:wrap type="none"/>
        </v:shape>
      </w:pic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201288" from="21pt,12.843018pt" to="21pt,0pt" stroked="true" strokeweight=".25pt" strokecolor="#000000">
          <w10:wrap type="none"/>
        </v:line>
      </w:pict>
    </w:r>
    <w:r>
      <w:rPr/>
      <w:drawing>
        <wp:anchor distT="0" distB="0" distL="0" distR="0" allowOverlap="1" layoutInCell="1" locked="0" behindDoc="1" simplePos="0" relativeHeight="267234191">
          <wp:simplePos x="0" y="0"/>
          <wp:positionH relativeFrom="page">
            <wp:posOffset>3967162</wp:posOffset>
          </wp:positionH>
          <wp:positionV relativeFrom="page">
            <wp:posOffset>-1587</wp:posOffset>
          </wp:positionV>
          <wp:extent cx="155575" cy="147231"/>
          <wp:effectExtent l="0" t="0" r="0" b="0"/>
          <wp:wrapNone/>
          <wp:docPr id="775" name="image20.png" descr=""/>
          <wp:cNvGraphicFramePr>
            <a:graphicFrameLocks noChangeAspect="1"/>
          </wp:cNvGraphicFramePr>
          <a:graphic>
            <a:graphicData uri="http://schemas.openxmlformats.org/drawingml/2006/picture">
              <pic:pic>
                <pic:nvPicPr>
                  <pic:cNvPr id="776" name="image20.png"/>
                  <pic:cNvPicPr/>
                </pic:nvPicPr>
                <pic:blipFill>
                  <a:blip r:embed="rId1" cstate="print"/>
                  <a:stretch>
                    <a:fillRect/>
                  </a:stretch>
                </pic:blipFill>
                <pic:spPr>
                  <a:xfrm>
                    <a:off x="0" y="0"/>
                    <a:ext cx="155575" cy="147231"/>
                  </a:xfrm>
                  <a:prstGeom prst="rect">
                    <a:avLst/>
                  </a:prstGeom>
                </pic:spPr>
              </pic:pic>
            </a:graphicData>
          </a:graphic>
        </wp:anchor>
      </w:drawing>
    </w:r>
    <w:r>
      <w:rPr/>
      <w:pict>
        <v:line style="position:absolute;mso-position-horizontal-relative:page;mso-position-vertical-relative:page;z-index:-1201240" from="616pt,12.843018pt" to="616pt,0pt" stroked="true" strokeweight=".25pt" strokecolor="#000000">
          <w10:wrap type="none"/>
        </v:line>
      </w:pict>
    </w:r>
    <w:r>
      <w:rPr/>
      <w:pict>
        <v:line style="position:absolute;mso-position-horizontal-relative:page;mso-position-vertical-relative:page;z-index:-1201216" from="12pt,21.843018pt" to="0pt,21.843018pt" stroked="true" strokeweight=".25pt" strokecolor="#000000">
          <w10:wrap type="none"/>
        </v:line>
      </w:pict>
    </w:r>
    <w:r>
      <w:rPr/>
      <w:pict>
        <v:line style="position:absolute;mso-position-horizontal-relative:page;mso-position-vertical-relative:page;z-index:-1201192" from="625pt,21.843018pt" to="637.228027pt,21.843018pt" stroked="true" strokeweight=".25pt" strokecolor="#000000">
          <w10:wrap type="none"/>
        </v:line>
      </w:pic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201024" from="21pt,11.957018pt" to="21pt,-.000014pt" stroked="true" strokeweight=".25pt" strokecolor="#000000">
          <w10:wrap type="none"/>
        </v:line>
      </w:pict>
    </w:r>
    <w:r>
      <w:rPr/>
      <w:drawing>
        <wp:anchor distT="0" distB="0" distL="0" distR="0" allowOverlap="1" layoutInCell="1" locked="0" behindDoc="1" simplePos="0" relativeHeight="267234455">
          <wp:simplePos x="0" y="0"/>
          <wp:positionH relativeFrom="page">
            <wp:posOffset>3968896</wp:posOffset>
          </wp:positionH>
          <wp:positionV relativeFrom="page">
            <wp:posOffset>-1587</wp:posOffset>
          </wp:positionV>
          <wp:extent cx="155575" cy="135979"/>
          <wp:effectExtent l="0" t="0" r="0" b="0"/>
          <wp:wrapNone/>
          <wp:docPr id="795" name="image17.png" descr=""/>
          <wp:cNvGraphicFramePr>
            <a:graphicFrameLocks noChangeAspect="1"/>
          </wp:cNvGraphicFramePr>
          <a:graphic>
            <a:graphicData uri="http://schemas.openxmlformats.org/drawingml/2006/picture">
              <pic:pic>
                <pic:nvPicPr>
                  <pic:cNvPr id="796" name="image17.png"/>
                  <pic:cNvPicPr/>
                </pic:nvPicPr>
                <pic:blipFill>
                  <a:blip r:embed="rId1" cstate="print"/>
                  <a:stretch>
                    <a:fillRect/>
                  </a:stretch>
                </pic:blipFill>
                <pic:spPr>
                  <a:xfrm>
                    <a:off x="0" y="0"/>
                    <a:ext cx="155575" cy="135979"/>
                  </a:xfrm>
                  <a:prstGeom prst="rect">
                    <a:avLst/>
                  </a:prstGeom>
                </pic:spPr>
              </pic:pic>
            </a:graphicData>
          </a:graphic>
        </wp:anchor>
      </w:drawing>
    </w:r>
    <w:r>
      <w:rPr/>
      <w:pict>
        <v:line style="position:absolute;mso-position-horizontal-relative:page;mso-position-vertical-relative:page;z-index:-1200976" from="616.27301pt,11.957018pt" to="616.27301pt,-.000014pt" stroked="true" strokeweight=".25pt" strokecolor="#000000">
          <w10:wrap type="none"/>
        </v:line>
      </w:pict>
    </w:r>
    <w:r>
      <w:rPr/>
      <w:pict>
        <v:line style="position:absolute;mso-position-horizontal-relative:page;mso-position-vertical-relative:page;z-index:-1200952" from="12pt,20.957018pt" to="0pt,20.957018pt" stroked="true" strokeweight=".25pt" strokecolor="#000000">
          <w10:wrap type="none"/>
        </v:line>
      </w:pict>
    </w:r>
    <w:r>
      <w:rPr/>
      <w:pict>
        <v:line style="position:absolute;mso-position-horizontal-relative:page;mso-position-vertical-relative:page;z-index:-1200928" from="625.27301pt,20.957018pt" to="637.228038pt,20.957018pt" stroked="true" strokeweight=".25pt" strokecolor="#000000">
          <w10:wrap type="none"/>
        </v:line>
      </w:pict>
    </w:r>
    <w:r>
      <w:rPr/>
      <w:pict>
        <v:shape style="position:absolute;margin-left:70.400002pt;margin-top:71.865761pt;width:149.1pt;height:23.95pt;mso-position-horizontal-relative:page;mso-position-vertical-relative:page;z-index:-1200904" type="#_x0000_t202" filled="false" stroked="false">
          <v:textbox inset="0,0,0,0">
            <w:txbxContent>
              <w:p>
                <w:pPr>
                  <w:spacing w:line="245" w:lineRule="exact" w:before="0"/>
                  <w:ind w:left="20" w:right="-5" w:firstLine="0"/>
                  <w:jc w:val="left"/>
                  <w:rPr>
                    <w:b/>
                    <w:sz w:val="22"/>
                  </w:rPr>
                </w:pPr>
                <w:r>
                  <w:rPr>
                    <w:b/>
                    <w:sz w:val="22"/>
                  </w:rPr>
                  <w:t>UWS Early Learning Limited</w:t>
                </w:r>
              </w:p>
              <w:p>
                <w:pPr>
                  <w:spacing w:before="56"/>
                  <w:ind w:left="20" w:right="-5" w:firstLine="0"/>
                  <w:jc w:val="left"/>
                  <w:rPr>
                    <w:b/>
                    <w:sz w:val="14"/>
                  </w:rPr>
                </w:pPr>
                <w:r>
                  <w:rPr>
                    <w:b/>
                    <w:sz w:val="14"/>
                  </w:rPr>
                  <w:t>ABN 39155993445</w:t>
                </w:r>
              </w:p>
            </w:txbxContent>
          </v:textbox>
          <w10:wrap type="none"/>
        </v:shape>
      </w:pic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200712" from="21pt,11.957018pt" to="21pt,-.000014pt" stroked="true" strokeweight=".25pt" strokecolor="#000000">
          <w10:wrap type="none"/>
        </v:line>
      </w:pict>
    </w:r>
    <w:r>
      <w:rPr/>
      <w:drawing>
        <wp:anchor distT="0" distB="0" distL="0" distR="0" allowOverlap="1" layoutInCell="1" locked="0" behindDoc="1" simplePos="0" relativeHeight="267234767">
          <wp:simplePos x="0" y="0"/>
          <wp:positionH relativeFrom="page">
            <wp:posOffset>3968896</wp:posOffset>
          </wp:positionH>
          <wp:positionV relativeFrom="page">
            <wp:posOffset>-1587</wp:posOffset>
          </wp:positionV>
          <wp:extent cx="155575" cy="135979"/>
          <wp:effectExtent l="0" t="0" r="0" b="0"/>
          <wp:wrapNone/>
          <wp:docPr id="807" name="image17.png" descr=""/>
          <wp:cNvGraphicFramePr>
            <a:graphicFrameLocks noChangeAspect="1"/>
          </wp:cNvGraphicFramePr>
          <a:graphic>
            <a:graphicData uri="http://schemas.openxmlformats.org/drawingml/2006/picture">
              <pic:pic>
                <pic:nvPicPr>
                  <pic:cNvPr id="808" name="image17.png"/>
                  <pic:cNvPicPr/>
                </pic:nvPicPr>
                <pic:blipFill>
                  <a:blip r:embed="rId1" cstate="print"/>
                  <a:stretch>
                    <a:fillRect/>
                  </a:stretch>
                </pic:blipFill>
                <pic:spPr>
                  <a:xfrm>
                    <a:off x="0" y="0"/>
                    <a:ext cx="155575" cy="135979"/>
                  </a:xfrm>
                  <a:prstGeom prst="rect">
                    <a:avLst/>
                  </a:prstGeom>
                </pic:spPr>
              </pic:pic>
            </a:graphicData>
          </a:graphic>
        </wp:anchor>
      </w:drawing>
    </w:r>
    <w:r>
      <w:rPr/>
      <w:pict>
        <v:line style="position:absolute;mso-position-horizontal-relative:page;mso-position-vertical-relative:page;z-index:-1200664" from="616.27301pt,11.957018pt" to="616.27301pt,-.000014pt" stroked="true" strokeweight=".25pt" strokecolor="#000000">
          <w10:wrap type="none"/>
        </v:line>
      </w:pict>
    </w:r>
    <w:r>
      <w:rPr/>
      <w:pict>
        <v:line style="position:absolute;mso-position-horizontal-relative:page;mso-position-vertical-relative:page;z-index:-1200640" from="12pt,20.957018pt" to="0pt,20.957018pt" stroked="true" strokeweight=".25pt" strokecolor="#000000">
          <w10:wrap type="none"/>
        </v:line>
      </w:pict>
    </w:r>
    <w:r>
      <w:rPr/>
      <w:pict>
        <v:line style="position:absolute;mso-position-horizontal-relative:page;mso-position-vertical-relative:page;z-index:-1200616" from="625.27301pt,20.957018pt" to="637.228038pt,20.957018pt" stroked="true" strokeweight=".25pt" strokecolor="#000000">
          <w10:wrap type="none"/>
        </v:line>
      </w:pict>
    </w:r>
    <w:r>
      <w:rPr/>
      <w:pict>
        <v:shape style="position:absolute;margin-left:70.400002pt;margin-top:71.865761pt;width:149.1pt;height:23.95pt;mso-position-horizontal-relative:page;mso-position-vertical-relative:page;z-index:-1200592" type="#_x0000_t202" filled="false" stroked="false">
          <v:textbox inset="0,0,0,0">
            <w:txbxContent>
              <w:p>
                <w:pPr>
                  <w:spacing w:line="245" w:lineRule="exact" w:before="0"/>
                  <w:ind w:left="20" w:right="-5" w:firstLine="0"/>
                  <w:jc w:val="left"/>
                  <w:rPr>
                    <w:b/>
                    <w:sz w:val="22"/>
                  </w:rPr>
                </w:pPr>
                <w:r>
                  <w:rPr>
                    <w:b/>
                    <w:sz w:val="22"/>
                  </w:rPr>
                  <w:t>UWS Early Learning Limited</w:t>
                </w:r>
              </w:p>
              <w:p>
                <w:pPr>
                  <w:spacing w:before="56"/>
                  <w:ind w:left="20" w:right="-5" w:firstLine="0"/>
                  <w:jc w:val="left"/>
                  <w:rPr>
                    <w:b/>
                    <w:sz w:val="14"/>
                  </w:rPr>
                </w:pPr>
                <w:r>
                  <w:rPr>
                    <w:b/>
                    <w:sz w:val="14"/>
                  </w:rPr>
                  <w:t>ABN 39155993445</w:t>
                </w:r>
              </w:p>
            </w:txbxContent>
          </v:textbox>
          <w10:wrap type="none"/>
        </v:shape>
      </w:pict>
    </w:r>
    <w:r>
      <w:rPr/>
      <w:pict>
        <v:shape style="position:absolute;margin-left:70.400002pt;margin-top:112.43924pt;width:199.35pt;height:29.55pt;mso-position-horizontal-relative:page;mso-position-vertical-relative:page;z-index:-1200568" type="#_x0000_t202" filled="false" stroked="false">
          <v:textbox inset="0,0,0,0">
            <w:txbxContent>
              <w:p>
                <w:pPr>
                  <w:spacing w:line="265" w:lineRule="exact" w:before="0"/>
                  <w:ind w:left="20" w:right="-3" w:firstLine="0"/>
                  <w:jc w:val="left"/>
                  <w:rPr>
                    <w:b/>
                    <w:sz w:val="24"/>
                  </w:rPr>
                </w:pPr>
                <w:r>
                  <w:rPr>
                    <w:b/>
                    <w:sz w:val="24"/>
                  </w:rPr>
                  <w:t>Statement of Changes in Equity</w:t>
                </w:r>
              </w:p>
              <w:p>
                <w:pPr>
                  <w:spacing w:before="57"/>
                  <w:ind w:left="20" w:right="-3" w:firstLine="0"/>
                  <w:jc w:val="left"/>
                  <w:rPr>
                    <w:b/>
                    <w:sz w:val="22"/>
                  </w:rPr>
                </w:pPr>
                <w:r>
                  <w:rPr>
                    <w:b/>
                    <w:sz w:val="22"/>
                  </w:rPr>
                  <w:t>For the year ended 31 December 2016</w:t>
                </w:r>
              </w:p>
            </w:txbxContent>
          </v:textbox>
          <w10:wrap type="none"/>
        </v:shape>
      </w:pic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200544" from="21pt,11.957018pt" to="21pt,-.000014pt" stroked="true" strokeweight=".25pt" strokecolor="#000000">
          <w10:wrap type="none"/>
        </v:line>
      </w:pict>
    </w:r>
    <w:r>
      <w:rPr/>
      <w:drawing>
        <wp:anchor distT="0" distB="0" distL="0" distR="0" allowOverlap="1" layoutInCell="1" locked="0" behindDoc="1" simplePos="0" relativeHeight="267234935">
          <wp:simplePos x="0" y="0"/>
          <wp:positionH relativeFrom="page">
            <wp:posOffset>3968896</wp:posOffset>
          </wp:positionH>
          <wp:positionV relativeFrom="page">
            <wp:posOffset>-1587</wp:posOffset>
          </wp:positionV>
          <wp:extent cx="155575" cy="135979"/>
          <wp:effectExtent l="0" t="0" r="0" b="0"/>
          <wp:wrapNone/>
          <wp:docPr id="813" name="image17.png" descr=""/>
          <wp:cNvGraphicFramePr>
            <a:graphicFrameLocks noChangeAspect="1"/>
          </wp:cNvGraphicFramePr>
          <a:graphic>
            <a:graphicData uri="http://schemas.openxmlformats.org/drawingml/2006/picture">
              <pic:pic>
                <pic:nvPicPr>
                  <pic:cNvPr id="814" name="image17.png"/>
                  <pic:cNvPicPr/>
                </pic:nvPicPr>
                <pic:blipFill>
                  <a:blip r:embed="rId1" cstate="print"/>
                  <a:stretch>
                    <a:fillRect/>
                  </a:stretch>
                </pic:blipFill>
                <pic:spPr>
                  <a:xfrm>
                    <a:off x="0" y="0"/>
                    <a:ext cx="155575" cy="135979"/>
                  </a:xfrm>
                  <a:prstGeom prst="rect">
                    <a:avLst/>
                  </a:prstGeom>
                </pic:spPr>
              </pic:pic>
            </a:graphicData>
          </a:graphic>
        </wp:anchor>
      </w:drawing>
    </w:r>
    <w:r>
      <w:rPr/>
      <w:pict>
        <v:line style="position:absolute;mso-position-horizontal-relative:page;mso-position-vertical-relative:page;z-index:-1200496" from="616.27301pt,11.957018pt" to="616.27301pt,-.000014pt" stroked="true" strokeweight=".25pt" strokecolor="#000000">
          <w10:wrap type="none"/>
        </v:line>
      </w:pict>
    </w:r>
    <w:r>
      <w:rPr/>
      <w:pict>
        <v:line style="position:absolute;mso-position-horizontal-relative:page;mso-position-vertical-relative:page;z-index:-1200472" from="12pt,20.957018pt" to="0pt,20.957018pt" stroked="true" strokeweight=".25pt" strokecolor="#000000">
          <w10:wrap type="none"/>
        </v:line>
      </w:pict>
    </w:r>
    <w:r>
      <w:rPr/>
      <w:pict>
        <v:line style="position:absolute;mso-position-horizontal-relative:page;mso-position-vertical-relative:page;z-index:-1200448" from="625.27301pt,20.957018pt" to="637.228038pt,20.957018pt" stroked="true" strokeweight=".25pt" strokecolor="#000000">
          <w10:wrap type="none"/>
        </v:line>
      </w:pict>
    </w:r>
    <w:r>
      <w:rPr/>
      <w:pict>
        <v:shape style="position:absolute;margin-left:70.400002pt;margin-top:71.865761pt;width:149.1pt;height:23.95pt;mso-position-horizontal-relative:page;mso-position-vertical-relative:page;z-index:-1200424" type="#_x0000_t202" filled="false" stroked="false">
          <v:textbox inset="0,0,0,0">
            <w:txbxContent>
              <w:p>
                <w:pPr>
                  <w:spacing w:line="245" w:lineRule="exact" w:before="0"/>
                  <w:ind w:left="20" w:right="-5" w:firstLine="0"/>
                  <w:jc w:val="left"/>
                  <w:rPr>
                    <w:b/>
                    <w:sz w:val="22"/>
                  </w:rPr>
                </w:pPr>
                <w:r>
                  <w:rPr>
                    <w:b/>
                    <w:sz w:val="22"/>
                  </w:rPr>
                  <w:t>UWS Early Learning Limited</w:t>
                </w:r>
              </w:p>
              <w:p>
                <w:pPr>
                  <w:spacing w:before="56"/>
                  <w:ind w:left="20" w:right="-5" w:firstLine="0"/>
                  <w:jc w:val="left"/>
                  <w:rPr>
                    <w:b/>
                    <w:sz w:val="14"/>
                  </w:rPr>
                </w:pPr>
                <w:r>
                  <w:rPr>
                    <w:b/>
                    <w:sz w:val="14"/>
                  </w:rPr>
                  <w:t>ABN 39155993445</w:t>
                </w:r>
              </w:p>
            </w:txbxContent>
          </v:textbox>
          <w10:wrap type="none"/>
        </v:shape>
      </w:pict>
    </w:r>
    <w:r>
      <w:rPr/>
      <w:pict>
        <v:shape style="position:absolute;margin-left:70.400002pt;margin-top:112.43924pt;width:199.35pt;height:29.55pt;mso-position-horizontal-relative:page;mso-position-vertical-relative:page;z-index:-1200400" type="#_x0000_t202" filled="false" stroked="false">
          <v:textbox inset="0,0,0,0">
            <w:txbxContent>
              <w:p>
                <w:pPr>
                  <w:spacing w:line="265" w:lineRule="exact" w:before="0"/>
                  <w:ind w:left="20" w:right="-3" w:firstLine="0"/>
                  <w:jc w:val="left"/>
                  <w:rPr>
                    <w:b/>
                    <w:sz w:val="24"/>
                  </w:rPr>
                </w:pPr>
                <w:r>
                  <w:rPr>
                    <w:b/>
                    <w:sz w:val="24"/>
                  </w:rPr>
                  <w:t>Statement of Cash Flows</w:t>
                </w:r>
              </w:p>
              <w:p>
                <w:pPr>
                  <w:spacing w:before="57"/>
                  <w:ind w:left="20" w:right="-3" w:firstLine="0"/>
                  <w:jc w:val="left"/>
                  <w:rPr>
                    <w:b/>
                    <w:sz w:val="22"/>
                  </w:rPr>
                </w:pPr>
                <w:r>
                  <w:rPr>
                    <w:b/>
                    <w:sz w:val="22"/>
                  </w:rPr>
                  <w:t>For the year ended 31 December 2016</w:t>
                </w:r>
              </w:p>
            </w:txbxContent>
          </v:textbox>
          <w10:wrap type="none"/>
        </v:shape>
      </w:pict>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200376" from="21pt,11.957018pt" to="21pt,-.000014pt" stroked="true" strokeweight=".25pt" strokecolor="#000000">
          <w10:wrap type="none"/>
        </v:line>
      </w:pict>
    </w:r>
    <w:r>
      <w:rPr/>
      <w:drawing>
        <wp:anchor distT="0" distB="0" distL="0" distR="0" allowOverlap="1" layoutInCell="1" locked="0" behindDoc="1" simplePos="0" relativeHeight="267235103">
          <wp:simplePos x="0" y="0"/>
          <wp:positionH relativeFrom="page">
            <wp:posOffset>3968896</wp:posOffset>
          </wp:positionH>
          <wp:positionV relativeFrom="page">
            <wp:posOffset>-1587</wp:posOffset>
          </wp:positionV>
          <wp:extent cx="155575" cy="135979"/>
          <wp:effectExtent l="0" t="0" r="0" b="0"/>
          <wp:wrapNone/>
          <wp:docPr id="819" name="image17.png" descr=""/>
          <wp:cNvGraphicFramePr>
            <a:graphicFrameLocks noChangeAspect="1"/>
          </wp:cNvGraphicFramePr>
          <a:graphic>
            <a:graphicData uri="http://schemas.openxmlformats.org/drawingml/2006/picture">
              <pic:pic>
                <pic:nvPicPr>
                  <pic:cNvPr id="820" name="image17.png"/>
                  <pic:cNvPicPr/>
                </pic:nvPicPr>
                <pic:blipFill>
                  <a:blip r:embed="rId1" cstate="print"/>
                  <a:stretch>
                    <a:fillRect/>
                  </a:stretch>
                </pic:blipFill>
                <pic:spPr>
                  <a:xfrm>
                    <a:off x="0" y="0"/>
                    <a:ext cx="155575" cy="135979"/>
                  </a:xfrm>
                  <a:prstGeom prst="rect">
                    <a:avLst/>
                  </a:prstGeom>
                </pic:spPr>
              </pic:pic>
            </a:graphicData>
          </a:graphic>
        </wp:anchor>
      </w:drawing>
    </w:r>
    <w:r>
      <w:rPr/>
      <w:pict>
        <v:line style="position:absolute;mso-position-horizontal-relative:page;mso-position-vertical-relative:page;z-index:-1200328" from="616.27301pt,11.957018pt" to="616.27301pt,-.000014pt" stroked="true" strokeweight=".25pt" strokecolor="#000000">
          <w10:wrap type="none"/>
        </v:line>
      </w:pict>
    </w:r>
    <w:r>
      <w:rPr/>
      <w:pict>
        <v:line style="position:absolute;mso-position-horizontal-relative:page;mso-position-vertical-relative:page;z-index:-1200304" from="12pt,20.957018pt" to="0pt,20.957018pt" stroked="true" strokeweight=".25pt" strokecolor="#000000">
          <w10:wrap type="none"/>
        </v:line>
      </w:pict>
    </w:r>
    <w:r>
      <w:rPr/>
      <w:pict>
        <v:line style="position:absolute;mso-position-horizontal-relative:page;mso-position-vertical-relative:page;z-index:-1200280" from="625.27301pt,20.957018pt" to="637.228038pt,20.957018pt" stroked="true" strokeweight=".25pt" strokecolor="#000000">
          <w10:wrap type="none"/>
        </v:line>
      </w:pict>
    </w:r>
    <w:r>
      <w:rPr/>
      <w:pict>
        <v:shape style="position:absolute;margin-left:70.400002pt;margin-top:71.865761pt;width:149.1pt;height:23.95pt;mso-position-horizontal-relative:page;mso-position-vertical-relative:page;z-index:-1200256" type="#_x0000_t202" filled="false" stroked="false">
          <v:textbox inset="0,0,0,0">
            <w:txbxContent>
              <w:p>
                <w:pPr>
                  <w:spacing w:line="245" w:lineRule="exact" w:before="0"/>
                  <w:ind w:left="20" w:right="-5" w:firstLine="0"/>
                  <w:jc w:val="left"/>
                  <w:rPr>
                    <w:b/>
                    <w:sz w:val="22"/>
                  </w:rPr>
                </w:pPr>
                <w:r>
                  <w:rPr>
                    <w:b/>
                    <w:sz w:val="22"/>
                  </w:rPr>
                  <w:t>UWS Early Learning Limited</w:t>
                </w:r>
              </w:p>
              <w:p>
                <w:pPr>
                  <w:spacing w:before="56"/>
                  <w:ind w:left="20" w:right="-5" w:firstLine="0"/>
                  <w:jc w:val="left"/>
                  <w:rPr>
                    <w:b/>
                    <w:sz w:val="14"/>
                  </w:rPr>
                </w:pPr>
                <w:r>
                  <w:rPr>
                    <w:b/>
                    <w:sz w:val="14"/>
                  </w:rPr>
                  <w:t>ABN 39155993445</w:t>
                </w:r>
              </w:p>
            </w:txbxContent>
          </v:textbox>
          <w10:wrap type="none"/>
        </v:shape>
      </w:pict>
    </w:r>
    <w:r>
      <w:rPr/>
      <w:pict>
        <v:shape style="position:absolute;margin-left:70.400002pt;margin-top:112.43924pt;width:199.35pt;height:29.55pt;mso-position-horizontal-relative:page;mso-position-vertical-relative:page;z-index:-1200232" type="#_x0000_t202" filled="false" stroked="false">
          <v:textbox inset="0,0,0,0">
            <w:txbxContent>
              <w:p>
                <w:pPr>
                  <w:spacing w:line="265" w:lineRule="exact" w:before="0"/>
                  <w:ind w:left="20" w:right="-3" w:firstLine="0"/>
                  <w:jc w:val="left"/>
                  <w:rPr>
                    <w:b/>
                    <w:sz w:val="24"/>
                  </w:rPr>
                </w:pPr>
                <w:r>
                  <w:rPr>
                    <w:b/>
                    <w:sz w:val="24"/>
                  </w:rPr>
                  <w:t>Notes to the Financial Statements</w:t>
                </w:r>
              </w:p>
              <w:p>
                <w:pPr>
                  <w:spacing w:before="57"/>
                  <w:ind w:left="20" w:right="-3" w:firstLine="0"/>
                  <w:jc w:val="left"/>
                  <w:rPr>
                    <w:b/>
                    <w:sz w:val="22"/>
                  </w:rPr>
                </w:pPr>
                <w:r>
                  <w:rPr>
                    <w:b/>
                    <w:sz w:val="22"/>
                  </w:rPr>
                  <w:t>For the year ended 31 December 2016</w:t>
                </w:r>
              </w:p>
            </w:txbxContent>
          </v:textbox>
          <w10:wrap type="none"/>
        </v:shape>
      </w:pict>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200064" from="21pt,11.957018pt" to="21pt,-.000014pt" stroked="true" strokeweight=".25pt" strokecolor="#000000">
          <w10:wrap type="none"/>
        </v:line>
      </w:pict>
    </w:r>
    <w:r>
      <w:rPr/>
      <w:drawing>
        <wp:anchor distT="0" distB="0" distL="0" distR="0" allowOverlap="1" layoutInCell="1" locked="0" behindDoc="1" simplePos="0" relativeHeight="267235415">
          <wp:simplePos x="0" y="0"/>
          <wp:positionH relativeFrom="page">
            <wp:posOffset>3968896</wp:posOffset>
          </wp:positionH>
          <wp:positionV relativeFrom="page">
            <wp:posOffset>-1587</wp:posOffset>
          </wp:positionV>
          <wp:extent cx="155575" cy="135979"/>
          <wp:effectExtent l="0" t="0" r="0" b="0"/>
          <wp:wrapNone/>
          <wp:docPr id="827" name="image17.png" descr=""/>
          <wp:cNvGraphicFramePr>
            <a:graphicFrameLocks noChangeAspect="1"/>
          </wp:cNvGraphicFramePr>
          <a:graphic>
            <a:graphicData uri="http://schemas.openxmlformats.org/drawingml/2006/picture">
              <pic:pic>
                <pic:nvPicPr>
                  <pic:cNvPr id="828" name="image17.png"/>
                  <pic:cNvPicPr/>
                </pic:nvPicPr>
                <pic:blipFill>
                  <a:blip r:embed="rId1" cstate="print"/>
                  <a:stretch>
                    <a:fillRect/>
                  </a:stretch>
                </pic:blipFill>
                <pic:spPr>
                  <a:xfrm>
                    <a:off x="0" y="0"/>
                    <a:ext cx="155575" cy="135979"/>
                  </a:xfrm>
                  <a:prstGeom prst="rect">
                    <a:avLst/>
                  </a:prstGeom>
                </pic:spPr>
              </pic:pic>
            </a:graphicData>
          </a:graphic>
        </wp:anchor>
      </w:drawing>
    </w:r>
    <w:r>
      <w:rPr/>
      <w:pict>
        <v:line style="position:absolute;mso-position-horizontal-relative:page;mso-position-vertical-relative:page;z-index:-1200016" from="616.27301pt,11.957018pt" to="616.27301pt,-.000014pt" stroked="true" strokeweight=".25pt" strokecolor="#000000">
          <w10:wrap type="none"/>
        </v:line>
      </w:pict>
    </w:r>
    <w:r>
      <w:rPr/>
      <w:pict>
        <v:line style="position:absolute;mso-position-horizontal-relative:page;mso-position-vertical-relative:page;z-index:-1199992" from="12pt,20.957018pt" to="0pt,20.957018pt" stroked="true" strokeweight=".25pt" strokecolor="#000000">
          <w10:wrap type="none"/>
        </v:line>
      </w:pict>
    </w:r>
    <w:r>
      <w:rPr/>
      <w:pict>
        <v:line style="position:absolute;mso-position-horizontal-relative:page;mso-position-vertical-relative:page;z-index:-1199968" from="625.27301pt,20.957018pt" to="637.228038pt,20.957018pt" stroked="true" strokeweight=".25pt" strokecolor="#000000">
          <w10:wrap type="none"/>
        </v:line>
      </w:pict>
    </w:r>
    <w:r>
      <w:rPr/>
      <w:pict>
        <v:shape style="position:absolute;margin-left:70.400002pt;margin-top:71.865761pt;width:149.1pt;height:23.95pt;mso-position-horizontal-relative:page;mso-position-vertical-relative:page;z-index:-1199944" type="#_x0000_t202" filled="false" stroked="false">
          <v:textbox inset="0,0,0,0">
            <w:txbxContent>
              <w:p>
                <w:pPr>
                  <w:spacing w:line="245" w:lineRule="exact" w:before="0"/>
                  <w:ind w:left="20" w:right="-5" w:firstLine="0"/>
                  <w:jc w:val="left"/>
                  <w:rPr>
                    <w:b/>
                    <w:sz w:val="22"/>
                  </w:rPr>
                </w:pPr>
                <w:r>
                  <w:rPr>
                    <w:b/>
                    <w:sz w:val="22"/>
                  </w:rPr>
                  <w:t>UWS Early Learning Limited</w:t>
                </w:r>
              </w:p>
              <w:p>
                <w:pPr>
                  <w:spacing w:before="56"/>
                  <w:ind w:left="20" w:right="-5" w:firstLine="0"/>
                  <w:jc w:val="left"/>
                  <w:rPr>
                    <w:b/>
                    <w:sz w:val="14"/>
                  </w:rPr>
                </w:pPr>
                <w:r>
                  <w:rPr>
                    <w:b/>
                    <w:sz w:val="14"/>
                  </w:rPr>
                  <w:t>ABN 39155993445</w:t>
                </w:r>
              </w:p>
            </w:txbxContent>
          </v:textbox>
          <w10:wrap type="none"/>
        </v:shape>
      </w:pict>
    </w:r>
    <w:r>
      <w:rPr/>
      <w:pict>
        <v:shape style="position:absolute;margin-left:70.400002pt;margin-top:112.43924pt;width:199.35pt;height:29.55pt;mso-position-horizontal-relative:page;mso-position-vertical-relative:page;z-index:-1199920" type="#_x0000_t202" filled="false" stroked="false">
          <v:textbox inset="0,0,0,0">
            <w:txbxContent>
              <w:p>
                <w:pPr>
                  <w:spacing w:line="265" w:lineRule="exact" w:before="0"/>
                  <w:ind w:left="20" w:right="-3" w:firstLine="0"/>
                  <w:jc w:val="left"/>
                  <w:rPr>
                    <w:b/>
                    <w:sz w:val="24"/>
                  </w:rPr>
                </w:pPr>
                <w:r>
                  <w:rPr>
                    <w:b/>
                    <w:sz w:val="24"/>
                  </w:rPr>
                  <w:t>Notes to the Financial Statements</w:t>
                </w:r>
              </w:p>
              <w:p>
                <w:pPr>
                  <w:spacing w:before="57"/>
                  <w:ind w:left="20" w:right="-3" w:firstLine="0"/>
                  <w:jc w:val="left"/>
                  <w:rPr>
                    <w:b/>
                    <w:sz w:val="22"/>
                  </w:rPr>
                </w:pPr>
                <w:r>
                  <w:rPr>
                    <w:b/>
                    <w:sz w:val="22"/>
                  </w:rPr>
                  <w:t>For the year ended 31 December 2016</w:t>
                </w:r>
              </w:p>
            </w:txbxContent>
          </v:textbox>
          <w10:wrap type="none"/>
        </v:shape>
      </w:pict>
    </w:r>
    <w:r>
      <w:rPr/>
      <w:pict>
        <v:shape style="position:absolute;margin-left:70.459999pt;margin-top:155.730179pt;width:7.05pt;height:11pt;mso-position-horizontal-relative:page;mso-position-vertical-relative:page;z-index:-1199896" type="#_x0000_t202" filled="false" stroked="false">
          <v:textbox inset="0,0,0,0">
            <w:txbxContent>
              <w:p>
                <w:pPr>
                  <w:spacing w:line="204" w:lineRule="exact" w:before="0"/>
                  <w:ind w:left="20" w:right="0" w:firstLine="0"/>
                  <w:jc w:val="left"/>
                  <w:rPr>
                    <w:b/>
                    <w:sz w:val="18"/>
                  </w:rPr>
                </w:pPr>
                <w:r>
                  <w:rPr>
                    <w:b/>
                    <w:w w:val="99"/>
                    <w:sz w:val="18"/>
                  </w:rPr>
                  <w:t>1</w:t>
                </w:r>
              </w:p>
            </w:txbxContent>
          </v:textbox>
          <w10:wrap type="none"/>
        </v:shape>
      </w:pict>
    </w:r>
    <w:r>
      <w:rPr/>
      <w:pict>
        <v:shape style="position:absolute;margin-left:90.199997pt;margin-top:155.730179pt;width:233.75pt;height:11pt;mso-position-horizontal-relative:page;mso-position-vertical-relative:page;z-index:-1199872" type="#_x0000_t202" filled="false" stroked="false">
          <v:textbox inset="0,0,0,0">
            <w:txbxContent>
              <w:p>
                <w:pPr>
                  <w:spacing w:line="204" w:lineRule="exact" w:before="0"/>
                  <w:ind w:left="20" w:right="0" w:firstLine="0"/>
                  <w:jc w:val="left"/>
                  <w:rPr>
                    <w:b/>
                    <w:sz w:val="18"/>
                  </w:rPr>
                </w:pPr>
                <w:r>
                  <w:rPr>
                    <w:b/>
                    <w:sz w:val="18"/>
                  </w:rPr>
                  <w:t>Summary of significant accounting policies continued</w:t>
                </w:r>
              </w:p>
            </w:txbxContent>
          </v:textbox>
          <w10:wrap type="none"/>
        </v:shape>
      </w:pic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199848" from="21pt,11.957018pt" to="21pt,-.000014pt" stroked="true" strokeweight=".25pt" strokecolor="#000000">
          <w10:wrap type="none"/>
        </v:line>
      </w:pict>
    </w:r>
    <w:r>
      <w:rPr/>
      <w:drawing>
        <wp:anchor distT="0" distB="0" distL="0" distR="0" allowOverlap="1" layoutInCell="1" locked="0" behindDoc="1" simplePos="0" relativeHeight="267235631">
          <wp:simplePos x="0" y="0"/>
          <wp:positionH relativeFrom="page">
            <wp:posOffset>3968896</wp:posOffset>
          </wp:positionH>
          <wp:positionV relativeFrom="page">
            <wp:posOffset>-1587</wp:posOffset>
          </wp:positionV>
          <wp:extent cx="155575" cy="135979"/>
          <wp:effectExtent l="0" t="0" r="0" b="0"/>
          <wp:wrapNone/>
          <wp:docPr id="841" name="image17.png" descr=""/>
          <wp:cNvGraphicFramePr>
            <a:graphicFrameLocks noChangeAspect="1"/>
          </wp:cNvGraphicFramePr>
          <a:graphic>
            <a:graphicData uri="http://schemas.openxmlformats.org/drawingml/2006/picture">
              <pic:pic>
                <pic:nvPicPr>
                  <pic:cNvPr id="842" name="image17.png"/>
                  <pic:cNvPicPr/>
                </pic:nvPicPr>
                <pic:blipFill>
                  <a:blip r:embed="rId1" cstate="print"/>
                  <a:stretch>
                    <a:fillRect/>
                  </a:stretch>
                </pic:blipFill>
                <pic:spPr>
                  <a:xfrm>
                    <a:off x="0" y="0"/>
                    <a:ext cx="155575" cy="135979"/>
                  </a:xfrm>
                  <a:prstGeom prst="rect">
                    <a:avLst/>
                  </a:prstGeom>
                </pic:spPr>
              </pic:pic>
            </a:graphicData>
          </a:graphic>
        </wp:anchor>
      </w:drawing>
    </w:r>
    <w:r>
      <w:rPr/>
      <w:pict>
        <v:line style="position:absolute;mso-position-horizontal-relative:page;mso-position-vertical-relative:page;z-index:-1199800" from="616.27301pt,11.957018pt" to="616.27301pt,-.000014pt" stroked="true" strokeweight=".25pt" strokecolor="#000000">
          <w10:wrap type="none"/>
        </v:line>
      </w:pict>
    </w:r>
    <w:r>
      <w:rPr/>
      <w:pict>
        <v:line style="position:absolute;mso-position-horizontal-relative:page;mso-position-vertical-relative:page;z-index:-1199776" from="12pt,20.957018pt" to="0pt,20.957018pt" stroked="true" strokeweight=".25pt" strokecolor="#000000">
          <w10:wrap type="none"/>
        </v:line>
      </w:pict>
    </w:r>
    <w:r>
      <w:rPr/>
      <w:pict>
        <v:line style="position:absolute;mso-position-horizontal-relative:page;mso-position-vertical-relative:page;z-index:-1199752" from="625.27301pt,20.957018pt" to="637.228038pt,20.957018pt" stroked="true" strokeweight=".25pt" strokecolor="#000000">
          <w10:wrap type="none"/>
        </v:line>
      </w:pict>
    </w:r>
    <w:r>
      <w:rPr/>
      <w:pict>
        <v:shape style="position:absolute;margin-left:70.400002pt;margin-top:71.865761pt;width:149.1pt;height:23.95pt;mso-position-horizontal-relative:page;mso-position-vertical-relative:page;z-index:-1199728" type="#_x0000_t202" filled="false" stroked="false">
          <v:textbox inset="0,0,0,0">
            <w:txbxContent>
              <w:p>
                <w:pPr>
                  <w:spacing w:line="245" w:lineRule="exact" w:before="0"/>
                  <w:ind w:left="20" w:right="-5" w:firstLine="0"/>
                  <w:jc w:val="left"/>
                  <w:rPr>
                    <w:b/>
                    <w:sz w:val="22"/>
                  </w:rPr>
                </w:pPr>
                <w:r>
                  <w:rPr>
                    <w:b/>
                    <w:sz w:val="22"/>
                  </w:rPr>
                  <w:t>UWS Early Learning Limited</w:t>
                </w:r>
              </w:p>
              <w:p>
                <w:pPr>
                  <w:spacing w:before="56"/>
                  <w:ind w:left="20" w:right="-5" w:firstLine="0"/>
                  <w:jc w:val="left"/>
                  <w:rPr>
                    <w:b/>
                    <w:sz w:val="14"/>
                  </w:rPr>
                </w:pPr>
                <w:r>
                  <w:rPr>
                    <w:b/>
                    <w:sz w:val="14"/>
                  </w:rPr>
                  <w:t>ABN 39155993445</w:t>
                </w:r>
              </w:p>
            </w:txbxContent>
          </v:textbox>
          <w10:wrap type="none"/>
        </v:shape>
      </w:pict>
    </w:r>
    <w:r>
      <w:rPr/>
      <w:pict>
        <v:shape style="position:absolute;margin-left:70.400002pt;margin-top:112.43924pt;width:199.35pt;height:29.55pt;mso-position-horizontal-relative:page;mso-position-vertical-relative:page;z-index:-1199704" type="#_x0000_t202" filled="false" stroked="false">
          <v:textbox inset="0,0,0,0">
            <w:txbxContent>
              <w:p>
                <w:pPr>
                  <w:spacing w:line="265" w:lineRule="exact" w:before="0"/>
                  <w:ind w:left="20" w:right="-3" w:firstLine="0"/>
                  <w:jc w:val="left"/>
                  <w:rPr>
                    <w:b/>
                    <w:sz w:val="24"/>
                  </w:rPr>
                </w:pPr>
                <w:r>
                  <w:rPr>
                    <w:b/>
                    <w:sz w:val="24"/>
                  </w:rPr>
                  <w:t>Notes to the Financial Statements</w:t>
                </w:r>
              </w:p>
              <w:p>
                <w:pPr>
                  <w:spacing w:before="57"/>
                  <w:ind w:left="20" w:right="-3" w:firstLine="0"/>
                  <w:jc w:val="left"/>
                  <w:rPr>
                    <w:b/>
                    <w:sz w:val="22"/>
                  </w:rPr>
                </w:pPr>
                <w:r>
                  <w:rPr>
                    <w:b/>
                    <w:sz w:val="22"/>
                  </w:rPr>
                  <w:t>For the year ended 31 December 2016</w:t>
                </w:r>
              </w:p>
            </w:txbxContent>
          </v:textbox>
          <w10:wrap type="none"/>
        </v:shape>
      </w:pict>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199176" from="21pt,11.957018pt" to="21pt,-.000014pt" stroked="true" strokeweight=".25pt" strokecolor="#000000">
          <w10:wrap type="none"/>
        </v:line>
      </w:pict>
    </w:r>
    <w:r>
      <w:rPr/>
      <w:drawing>
        <wp:anchor distT="0" distB="0" distL="0" distR="0" allowOverlap="1" layoutInCell="1" locked="0" behindDoc="1" simplePos="0" relativeHeight="267236303">
          <wp:simplePos x="0" y="0"/>
          <wp:positionH relativeFrom="page">
            <wp:posOffset>3968896</wp:posOffset>
          </wp:positionH>
          <wp:positionV relativeFrom="page">
            <wp:posOffset>-1587</wp:posOffset>
          </wp:positionV>
          <wp:extent cx="155575" cy="135979"/>
          <wp:effectExtent l="0" t="0" r="0" b="0"/>
          <wp:wrapNone/>
          <wp:docPr id="873" name="image17.png" descr=""/>
          <wp:cNvGraphicFramePr>
            <a:graphicFrameLocks noChangeAspect="1"/>
          </wp:cNvGraphicFramePr>
          <a:graphic>
            <a:graphicData uri="http://schemas.openxmlformats.org/drawingml/2006/picture">
              <pic:pic>
                <pic:nvPicPr>
                  <pic:cNvPr id="874" name="image17.png"/>
                  <pic:cNvPicPr/>
                </pic:nvPicPr>
                <pic:blipFill>
                  <a:blip r:embed="rId1" cstate="print"/>
                  <a:stretch>
                    <a:fillRect/>
                  </a:stretch>
                </pic:blipFill>
                <pic:spPr>
                  <a:xfrm>
                    <a:off x="0" y="0"/>
                    <a:ext cx="155575" cy="135979"/>
                  </a:xfrm>
                  <a:prstGeom prst="rect">
                    <a:avLst/>
                  </a:prstGeom>
                </pic:spPr>
              </pic:pic>
            </a:graphicData>
          </a:graphic>
        </wp:anchor>
      </w:drawing>
    </w:r>
    <w:r>
      <w:rPr/>
      <w:pict>
        <v:line style="position:absolute;mso-position-horizontal-relative:page;mso-position-vertical-relative:page;z-index:-1199128" from="616.27301pt,11.957018pt" to="616.27301pt,-.000014pt" stroked="true" strokeweight=".25pt" strokecolor="#000000">
          <w10:wrap type="none"/>
        </v:line>
      </w:pict>
    </w:r>
    <w:r>
      <w:rPr/>
      <w:pict>
        <v:line style="position:absolute;mso-position-horizontal-relative:page;mso-position-vertical-relative:page;z-index:-1199104" from="12pt,20.957018pt" to="0pt,20.957018pt" stroked="true" strokeweight=".25pt" strokecolor="#000000">
          <w10:wrap type="none"/>
        </v:line>
      </w:pict>
    </w:r>
    <w:r>
      <w:rPr/>
      <w:pict>
        <v:line style="position:absolute;mso-position-horizontal-relative:page;mso-position-vertical-relative:page;z-index:-1199080" from="625.27301pt,20.957018pt" to="637.228038pt,20.957018pt" stroked="true" strokeweight=".25pt" strokecolor="#000000">
          <w10:wrap type="none"/>
        </v:line>
      </w:pict>
    </w:r>
    <w:r>
      <w:rPr/>
      <w:pict>
        <v:shape style="position:absolute;margin-left:70.400002pt;margin-top:71.865761pt;width:149.1pt;height:23.95pt;mso-position-horizontal-relative:page;mso-position-vertical-relative:page;z-index:-1199056" type="#_x0000_t202" filled="false" stroked="false">
          <v:textbox inset="0,0,0,0">
            <w:txbxContent>
              <w:p>
                <w:pPr>
                  <w:spacing w:line="245" w:lineRule="exact" w:before="0"/>
                  <w:ind w:left="20" w:right="-5" w:firstLine="0"/>
                  <w:jc w:val="left"/>
                  <w:rPr>
                    <w:b/>
                    <w:sz w:val="22"/>
                  </w:rPr>
                </w:pPr>
                <w:r>
                  <w:rPr>
                    <w:b/>
                    <w:sz w:val="22"/>
                  </w:rPr>
                  <w:t>UWS Early Learning Limited</w:t>
                </w:r>
              </w:p>
              <w:p>
                <w:pPr>
                  <w:spacing w:before="56"/>
                  <w:ind w:left="20" w:right="-5" w:firstLine="0"/>
                  <w:jc w:val="left"/>
                  <w:rPr>
                    <w:b/>
                    <w:sz w:val="14"/>
                  </w:rPr>
                </w:pPr>
                <w:r>
                  <w:rPr>
                    <w:b/>
                    <w:sz w:val="14"/>
                  </w:rPr>
                  <w:t>ABN 39155993445</w:t>
                </w:r>
              </w:p>
            </w:txbxContent>
          </v:textbox>
          <w10:wrap type="none"/>
        </v:shape>
      </w:pict>
    </w:r>
    <w:r>
      <w:rPr/>
      <w:pict>
        <v:shape style="position:absolute;margin-left:70.400002pt;margin-top:112.43924pt;width:199.35pt;height:29.55pt;mso-position-horizontal-relative:page;mso-position-vertical-relative:page;z-index:-1199032" type="#_x0000_t202" filled="false" stroked="false">
          <v:textbox inset="0,0,0,0">
            <w:txbxContent>
              <w:p>
                <w:pPr>
                  <w:spacing w:line="265" w:lineRule="exact" w:before="0"/>
                  <w:ind w:left="20" w:right="-3" w:firstLine="0"/>
                  <w:jc w:val="left"/>
                  <w:rPr>
                    <w:b/>
                    <w:sz w:val="24"/>
                  </w:rPr>
                </w:pPr>
                <w:r>
                  <w:rPr>
                    <w:b/>
                    <w:sz w:val="24"/>
                  </w:rPr>
                  <w:t>Notes to the Financial Statements</w:t>
                </w:r>
              </w:p>
              <w:p>
                <w:pPr>
                  <w:spacing w:before="57"/>
                  <w:ind w:left="20" w:right="-3" w:firstLine="0"/>
                  <w:jc w:val="left"/>
                  <w:rPr>
                    <w:b/>
                    <w:sz w:val="22"/>
                  </w:rPr>
                </w:pPr>
                <w:r>
                  <w:rPr>
                    <w:b/>
                    <w:sz w:val="22"/>
                  </w:rPr>
                  <w:t>For the year ended 31 December 2016</w:t>
                </w:r>
              </w:p>
            </w:txbxContent>
          </v:textbox>
          <w10:wrap type="none"/>
        </v:shape>
      </w:pict>
    </w:r>
    <w:r>
      <w:rPr/>
      <w:pict>
        <v:shape style="position:absolute;margin-left:70.400002pt;margin-top:155.730179pt;width:182.9pt;height:11pt;mso-position-horizontal-relative:page;mso-position-vertical-relative:page;z-index:-1199008" type="#_x0000_t202" filled="false" stroked="false">
          <v:textbox inset="0,0,0,0">
            <w:txbxContent>
              <w:p>
                <w:pPr>
                  <w:spacing w:line="204" w:lineRule="exact" w:before="0"/>
                  <w:ind w:left="20" w:right="-3" w:firstLine="0"/>
                  <w:jc w:val="left"/>
                  <w:rPr>
                    <w:b/>
                    <w:sz w:val="18"/>
                  </w:rPr>
                </w:pPr>
                <w:r>
                  <w:rPr>
                    <w:b/>
                    <w:sz w:val="18"/>
                  </w:rPr>
                  <w:t>15    Financial risk management continued</w:t>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206736" from="21pt,12.843018pt" to="21pt,0pt" stroked="true" strokeweight=".25pt" strokecolor="#000000">
          <w10:wrap type="none"/>
        </v:line>
      </w:pict>
    </w:r>
    <w:r>
      <w:rPr/>
      <w:drawing>
        <wp:anchor distT="0" distB="0" distL="0" distR="0" allowOverlap="1" layoutInCell="1" locked="0" behindDoc="1" simplePos="0" relativeHeight="267228743">
          <wp:simplePos x="0" y="0"/>
          <wp:positionH relativeFrom="page">
            <wp:posOffset>3967162</wp:posOffset>
          </wp:positionH>
          <wp:positionV relativeFrom="page">
            <wp:posOffset>-1587</wp:posOffset>
          </wp:positionV>
          <wp:extent cx="155575" cy="147231"/>
          <wp:effectExtent l="0" t="0" r="0" b="0"/>
          <wp:wrapNone/>
          <wp:docPr id="35" name="image20.png" descr=""/>
          <wp:cNvGraphicFramePr>
            <a:graphicFrameLocks noChangeAspect="1"/>
          </wp:cNvGraphicFramePr>
          <a:graphic>
            <a:graphicData uri="http://schemas.openxmlformats.org/drawingml/2006/picture">
              <pic:pic>
                <pic:nvPicPr>
                  <pic:cNvPr id="36" name="image20.png"/>
                  <pic:cNvPicPr/>
                </pic:nvPicPr>
                <pic:blipFill>
                  <a:blip r:embed="rId1" cstate="print"/>
                  <a:stretch>
                    <a:fillRect/>
                  </a:stretch>
                </pic:blipFill>
                <pic:spPr>
                  <a:xfrm>
                    <a:off x="0" y="0"/>
                    <a:ext cx="155575" cy="147231"/>
                  </a:xfrm>
                  <a:prstGeom prst="rect">
                    <a:avLst/>
                  </a:prstGeom>
                </pic:spPr>
              </pic:pic>
            </a:graphicData>
          </a:graphic>
        </wp:anchor>
      </w:drawing>
    </w:r>
    <w:r>
      <w:rPr/>
      <w:pict>
        <v:line style="position:absolute;mso-position-horizontal-relative:page;mso-position-vertical-relative:page;z-index:-1206688" from="616pt,12.843018pt" to="616pt,0pt" stroked="true" strokeweight=".25pt" strokecolor="#000000">
          <w10:wrap type="none"/>
        </v:line>
      </w:pict>
    </w:r>
    <w:r>
      <w:rPr/>
      <w:pict>
        <v:line style="position:absolute;mso-position-horizontal-relative:page;mso-position-vertical-relative:page;z-index:-1206664" from="12pt,21.843018pt" to="0pt,21.843018pt" stroked="true" strokeweight=".25pt" strokecolor="#000000">
          <w10:wrap type="none"/>
        </v:line>
      </w:pict>
    </w:r>
    <w:r>
      <w:rPr/>
      <w:pict>
        <v:line style="position:absolute;mso-position-horizontal-relative:page;mso-position-vertical-relative:page;z-index:-1206640" from="625pt,21.843018pt" to="637.228027pt,21.843018pt" stroked="true" strokeweight=".25pt" strokecolor="#000000">
          <w10:wrap type="none"/>
        </v:line>
      </w:pict>
    </w: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198984" from="21pt,11.957018pt" to="21pt,-.000014pt" stroked="true" strokeweight=".25pt" strokecolor="#000000">
          <w10:wrap type="none"/>
        </v:line>
      </w:pict>
    </w:r>
    <w:r>
      <w:rPr/>
      <w:drawing>
        <wp:anchor distT="0" distB="0" distL="0" distR="0" allowOverlap="1" layoutInCell="1" locked="0" behindDoc="1" simplePos="0" relativeHeight="267236495">
          <wp:simplePos x="0" y="0"/>
          <wp:positionH relativeFrom="page">
            <wp:posOffset>3968896</wp:posOffset>
          </wp:positionH>
          <wp:positionV relativeFrom="page">
            <wp:posOffset>-1587</wp:posOffset>
          </wp:positionV>
          <wp:extent cx="155575" cy="135979"/>
          <wp:effectExtent l="0" t="0" r="0" b="0"/>
          <wp:wrapNone/>
          <wp:docPr id="887" name="image17.png" descr=""/>
          <wp:cNvGraphicFramePr>
            <a:graphicFrameLocks noChangeAspect="1"/>
          </wp:cNvGraphicFramePr>
          <a:graphic>
            <a:graphicData uri="http://schemas.openxmlformats.org/drawingml/2006/picture">
              <pic:pic>
                <pic:nvPicPr>
                  <pic:cNvPr id="888" name="image17.png"/>
                  <pic:cNvPicPr/>
                </pic:nvPicPr>
                <pic:blipFill>
                  <a:blip r:embed="rId1" cstate="print"/>
                  <a:stretch>
                    <a:fillRect/>
                  </a:stretch>
                </pic:blipFill>
                <pic:spPr>
                  <a:xfrm>
                    <a:off x="0" y="0"/>
                    <a:ext cx="155575" cy="135979"/>
                  </a:xfrm>
                  <a:prstGeom prst="rect">
                    <a:avLst/>
                  </a:prstGeom>
                </pic:spPr>
              </pic:pic>
            </a:graphicData>
          </a:graphic>
        </wp:anchor>
      </w:drawing>
    </w:r>
    <w:r>
      <w:rPr/>
      <w:pict>
        <v:line style="position:absolute;mso-position-horizontal-relative:page;mso-position-vertical-relative:page;z-index:-1198936" from="616.27301pt,11.957018pt" to="616.27301pt,-.000014pt" stroked="true" strokeweight=".25pt" strokecolor="#000000">
          <w10:wrap type="none"/>
        </v:line>
      </w:pict>
    </w:r>
    <w:r>
      <w:rPr/>
      <w:pict>
        <v:line style="position:absolute;mso-position-horizontal-relative:page;mso-position-vertical-relative:page;z-index:-1198912" from="12pt,20.957018pt" to="0pt,20.957018pt" stroked="true" strokeweight=".25pt" strokecolor="#000000">
          <w10:wrap type="none"/>
        </v:line>
      </w:pict>
    </w:r>
    <w:r>
      <w:rPr/>
      <w:pict>
        <v:line style="position:absolute;mso-position-horizontal-relative:page;mso-position-vertical-relative:page;z-index:-1198888" from="625.27301pt,20.957018pt" to="637.228038pt,20.957018pt" stroked="true" strokeweight=".25pt" strokecolor="#000000">
          <w10:wrap type="none"/>
        </v:line>
      </w:pict>
    </w:r>
    <w:r>
      <w:rPr/>
      <w:pict>
        <v:shape style="position:absolute;margin-left:70.400002pt;margin-top:71.865761pt;width:149.1pt;height:23.95pt;mso-position-horizontal-relative:page;mso-position-vertical-relative:page;z-index:-1198864" type="#_x0000_t202" filled="false" stroked="false">
          <v:textbox inset="0,0,0,0">
            <w:txbxContent>
              <w:p>
                <w:pPr>
                  <w:spacing w:line="245" w:lineRule="exact" w:before="0"/>
                  <w:ind w:left="20" w:right="-5" w:firstLine="0"/>
                  <w:jc w:val="left"/>
                  <w:rPr>
                    <w:b/>
                    <w:sz w:val="22"/>
                  </w:rPr>
                </w:pPr>
                <w:r>
                  <w:rPr>
                    <w:b/>
                    <w:sz w:val="22"/>
                  </w:rPr>
                  <w:t>UWS Early Learning Limited</w:t>
                </w:r>
              </w:p>
              <w:p>
                <w:pPr>
                  <w:spacing w:before="56"/>
                  <w:ind w:left="20" w:right="-5" w:firstLine="0"/>
                  <w:jc w:val="left"/>
                  <w:rPr>
                    <w:b/>
                    <w:sz w:val="14"/>
                  </w:rPr>
                </w:pPr>
                <w:r>
                  <w:rPr>
                    <w:b/>
                    <w:sz w:val="14"/>
                  </w:rPr>
                  <w:t>ABN 39155993445</w:t>
                </w:r>
              </w:p>
            </w:txbxContent>
          </v:textbox>
          <w10:wrap type="none"/>
        </v:shape>
      </w:pict>
    </w: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198840" from="21pt,12.843018pt" to="21pt,0pt" stroked="true" strokeweight=".25pt" strokecolor="#000000">
          <w10:wrap type="none"/>
        </v:line>
      </w:pict>
    </w:r>
    <w:r>
      <w:rPr/>
      <w:drawing>
        <wp:anchor distT="0" distB="0" distL="0" distR="0" allowOverlap="1" layoutInCell="1" locked="0" behindDoc="1" simplePos="0" relativeHeight="267236639">
          <wp:simplePos x="0" y="0"/>
          <wp:positionH relativeFrom="page">
            <wp:posOffset>3967162</wp:posOffset>
          </wp:positionH>
          <wp:positionV relativeFrom="page">
            <wp:posOffset>-1587</wp:posOffset>
          </wp:positionV>
          <wp:extent cx="155575" cy="147231"/>
          <wp:effectExtent l="0" t="0" r="0" b="0"/>
          <wp:wrapNone/>
          <wp:docPr id="901" name="image20.png" descr=""/>
          <wp:cNvGraphicFramePr>
            <a:graphicFrameLocks noChangeAspect="1"/>
          </wp:cNvGraphicFramePr>
          <a:graphic>
            <a:graphicData uri="http://schemas.openxmlformats.org/drawingml/2006/picture">
              <pic:pic>
                <pic:nvPicPr>
                  <pic:cNvPr id="902" name="image20.png"/>
                  <pic:cNvPicPr/>
                </pic:nvPicPr>
                <pic:blipFill>
                  <a:blip r:embed="rId1" cstate="print"/>
                  <a:stretch>
                    <a:fillRect/>
                  </a:stretch>
                </pic:blipFill>
                <pic:spPr>
                  <a:xfrm>
                    <a:off x="0" y="0"/>
                    <a:ext cx="155575" cy="147231"/>
                  </a:xfrm>
                  <a:prstGeom prst="rect">
                    <a:avLst/>
                  </a:prstGeom>
                </pic:spPr>
              </pic:pic>
            </a:graphicData>
          </a:graphic>
        </wp:anchor>
      </w:drawing>
    </w:r>
    <w:r>
      <w:rPr/>
      <w:pict>
        <v:line style="position:absolute;mso-position-horizontal-relative:page;mso-position-vertical-relative:page;z-index:-1198792" from="616pt,12.843018pt" to="616pt,0pt" stroked="true" strokeweight=".25pt" strokecolor="#000000">
          <w10:wrap type="none"/>
        </v:line>
      </w:pict>
    </w:r>
    <w:r>
      <w:rPr/>
      <w:pict>
        <v:line style="position:absolute;mso-position-horizontal-relative:page;mso-position-vertical-relative:page;z-index:-1198768" from="12pt,21.843018pt" to="0pt,21.843018pt" stroked="true" strokeweight=".25pt" strokecolor="#000000">
          <w10:wrap type="none"/>
        </v:line>
      </w:pict>
    </w:r>
    <w:r>
      <w:rPr/>
      <w:pict>
        <v:line style="position:absolute;mso-position-horizontal-relative:page;mso-position-vertical-relative:page;z-index:-1198744" from="625pt,21.843018pt" to="637.228027pt,21.843018pt" stroked="true" strokeweight=".25pt" strokecolor="#000000">
          <w10:wrap type="none"/>
        </v:line>
      </w:pict>
    </w: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198576" from="21pt,11.957018pt" to="21pt,-.000014pt" stroked="true" strokeweight=".25pt" strokecolor="#000000">
          <w10:wrap type="none"/>
        </v:line>
      </w:pict>
    </w:r>
    <w:r>
      <w:rPr/>
      <w:drawing>
        <wp:anchor distT="0" distB="0" distL="0" distR="0" allowOverlap="1" layoutInCell="1" locked="0" behindDoc="1" simplePos="0" relativeHeight="267236903">
          <wp:simplePos x="0" y="0"/>
          <wp:positionH relativeFrom="page">
            <wp:posOffset>3968896</wp:posOffset>
          </wp:positionH>
          <wp:positionV relativeFrom="page">
            <wp:posOffset>-1587</wp:posOffset>
          </wp:positionV>
          <wp:extent cx="155575" cy="135979"/>
          <wp:effectExtent l="0" t="0" r="0" b="0"/>
          <wp:wrapNone/>
          <wp:docPr id="921" name="image17.png" descr=""/>
          <wp:cNvGraphicFramePr>
            <a:graphicFrameLocks noChangeAspect="1"/>
          </wp:cNvGraphicFramePr>
          <a:graphic>
            <a:graphicData uri="http://schemas.openxmlformats.org/drawingml/2006/picture">
              <pic:pic>
                <pic:nvPicPr>
                  <pic:cNvPr id="922" name="image17.png"/>
                  <pic:cNvPicPr/>
                </pic:nvPicPr>
                <pic:blipFill>
                  <a:blip r:embed="rId1" cstate="print"/>
                  <a:stretch>
                    <a:fillRect/>
                  </a:stretch>
                </pic:blipFill>
                <pic:spPr>
                  <a:xfrm>
                    <a:off x="0" y="0"/>
                    <a:ext cx="155575" cy="135979"/>
                  </a:xfrm>
                  <a:prstGeom prst="rect">
                    <a:avLst/>
                  </a:prstGeom>
                </pic:spPr>
              </pic:pic>
            </a:graphicData>
          </a:graphic>
        </wp:anchor>
      </w:drawing>
    </w:r>
    <w:r>
      <w:rPr/>
      <w:pict>
        <v:line style="position:absolute;mso-position-horizontal-relative:page;mso-position-vertical-relative:page;z-index:-1198528" from="616.27301pt,11.957018pt" to="616.27301pt,-.000014pt" stroked="true" strokeweight=".25pt" strokecolor="#000000">
          <w10:wrap type="none"/>
        </v:line>
      </w:pict>
    </w:r>
    <w:r>
      <w:rPr/>
      <w:pict>
        <v:line style="position:absolute;mso-position-horizontal-relative:page;mso-position-vertical-relative:page;z-index:-1198504" from="12pt,20.957018pt" to="0pt,20.957018pt" stroked="true" strokeweight=".25pt" strokecolor="#000000">
          <w10:wrap type="none"/>
        </v:line>
      </w:pict>
    </w:r>
    <w:r>
      <w:rPr/>
      <w:pict>
        <v:line style="position:absolute;mso-position-horizontal-relative:page;mso-position-vertical-relative:page;z-index:-1198480" from="625.27301pt,20.957018pt" to="637.228038pt,20.957018pt" stroked="true" strokeweight=".25pt" strokecolor="#000000">
          <w10:wrap type="none"/>
        </v:line>
      </w:pict>
    </w:r>
    <w:r>
      <w:rPr/>
      <w:pict>
        <v:shape style="position:absolute;margin-left:70.400002pt;margin-top:71.865761pt;width:312.2pt;height:23.95pt;mso-position-horizontal-relative:page;mso-position-vertical-relative:page;z-index:-1198456" type="#_x0000_t202" filled="false" stroked="false">
          <v:textbox inset="0,0,0,0">
            <w:txbxContent>
              <w:p>
                <w:pPr>
                  <w:spacing w:line="245" w:lineRule="exact" w:before="0"/>
                  <w:ind w:left="20" w:right="-6" w:firstLine="0"/>
                  <w:jc w:val="left"/>
                  <w:rPr>
                    <w:b/>
                    <w:sz w:val="22"/>
                  </w:rPr>
                </w:pPr>
                <w:r>
                  <w:rPr>
                    <w:b/>
                    <w:sz w:val="22"/>
                  </w:rPr>
                  <w:t>Whitlam Institute within Western Sydney University Limited</w:t>
                </w:r>
              </w:p>
              <w:p>
                <w:pPr>
                  <w:spacing w:before="56"/>
                  <w:ind w:left="20" w:right="-6" w:firstLine="0"/>
                  <w:jc w:val="left"/>
                  <w:rPr>
                    <w:b/>
                    <w:sz w:val="14"/>
                  </w:rPr>
                </w:pPr>
                <w:r>
                  <w:rPr>
                    <w:b/>
                    <w:sz w:val="14"/>
                  </w:rPr>
                  <w:t>ABN: 50 100 342 309</w:t>
                </w:r>
              </w:p>
            </w:txbxContent>
          </v:textbox>
          <w10:wrap type="none"/>
        </v:shape>
      </w:pict>
    </w: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198288" from="21pt,11.957018pt" to="21pt,-.000014pt" stroked="true" strokeweight=".25pt" strokecolor="#000000">
          <w10:wrap type="none"/>
        </v:line>
      </w:pict>
    </w:r>
    <w:r>
      <w:rPr/>
      <w:drawing>
        <wp:anchor distT="0" distB="0" distL="0" distR="0" allowOverlap="1" layoutInCell="1" locked="0" behindDoc="1" simplePos="0" relativeHeight="267237191">
          <wp:simplePos x="0" y="0"/>
          <wp:positionH relativeFrom="page">
            <wp:posOffset>3968896</wp:posOffset>
          </wp:positionH>
          <wp:positionV relativeFrom="page">
            <wp:posOffset>-1587</wp:posOffset>
          </wp:positionV>
          <wp:extent cx="155575" cy="135979"/>
          <wp:effectExtent l="0" t="0" r="0" b="0"/>
          <wp:wrapNone/>
          <wp:docPr id="957" name="image17.png" descr=""/>
          <wp:cNvGraphicFramePr>
            <a:graphicFrameLocks noChangeAspect="1"/>
          </wp:cNvGraphicFramePr>
          <a:graphic>
            <a:graphicData uri="http://schemas.openxmlformats.org/drawingml/2006/picture">
              <pic:pic>
                <pic:nvPicPr>
                  <pic:cNvPr id="958" name="image17.png"/>
                  <pic:cNvPicPr/>
                </pic:nvPicPr>
                <pic:blipFill>
                  <a:blip r:embed="rId1" cstate="print"/>
                  <a:stretch>
                    <a:fillRect/>
                  </a:stretch>
                </pic:blipFill>
                <pic:spPr>
                  <a:xfrm>
                    <a:off x="0" y="0"/>
                    <a:ext cx="155575" cy="135979"/>
                  </a:xfrm>
                  <a:prstGeom prst="rect">
                    <a:avLst/>
                  </a:prstGeom>
                </pic:spPr>
              </pic:pic>
            </a:graphicData>
          </a:graphic>
        </wp:anchor>
      </w:drawing>
    </w:r>
    <w:r>
      <w:rPr/>
      <w:pict>
        <v:line style="position:absolute;mso-position-horizontal-relative:page;mso-position-vertical-relative:page;z-index:-1198240" from="616.27301pt,11.957018pt" to="616.27301pt,-.000014pt" stroked="true" strokeweight=".25pt" strokecolor="#000000">
          <w10:wrap type="none"/>
        </v:line>
      </w:pict>
    </w:r>
    <w:r>
      <w:rPr/>
      <w:pict>
        <v:line style="position:absolute;mso-position-horizontal-relative:page;mso-position-vertical-relative:page;z-index:-1198216" from="12pt,20.957018pt" to="0pt,20.957018pt" stroked="true" strokeweight=".25pt" strokecolor="#000000">
          <w10:wrap type="none"/>
        </v:line>
      </w:pict>
    </w:r>
    <w:r>
      <w:rPr/>
      <w:pict>
        <v:line style="position:absolute;mso-position-horizontal-relative:page;mso-position-vertical-relative:page;z-index:-1198192" from="625.27301pt,20.957018pt" to="637.228038pt,20.957018pt" stroked="true" strokeweight=".25pt" strokecolor="#000000">
          <w10:wrap type="none"/>
        </v:line>
      </w:pict>
    </w:r>
    <w:r>
      <w:rPr/>
      <w:pict>
        <v:shape style="position:absolute;margin-left:70.400002pt;margin-top:71.865761pt;width:312.2pt;height:23.95pt;mso-position-horizontal-relative:page;mso-position-vertical-relative:page;z-index:-1198168" type="#_x0000_t202" filled="false" stroked="false">
          <v:textbox inset="0,0,0,0">
            <w:txbxContent>
              <w:p>
                <w:pPr>
                  <w:spacing w:line="245" w:lineRule="exact" w:before="0"/>
                  <w:ind w:left="20" w:right="-6" w:firstLine="0"/>
                  <w:jc w:val="left"/>
                  <w:rPr>
                    <w:b/>
                    <w:sz w:val="22"/>
                  </w:rPr>
                </w:pPr>
                <w:r>
                  <w:rPr>
                    <w:b/>
                    <w:sz w:val="22"/>
                  </w:rPr>
                  <w:t>Whitlam Institute within Western Sydney University Limited</w:t>
                </w:r>
              </w:p>
              <w:p>
                <w:pPr>
                  <w:spacing w:before="56"/>
                  <w:ind w:left="20" w:right="-6" w:firstLine="0"/>
                  <w:jc w:val="left"/>
                  <w:rPr>
                    <w:b/>
                    <w:sz w:val="14"/>
                  </w:rPr>
                </w:pPr>
                <w:r>
                  <w:rPr>
                    <w:b/>
                    <w:sz w:val="14"/>
                  </w:rPr>
                  <w:t>ABN: 50 100 342 309</w:t>
                </w:r>
              </w:p>
            </w:txbxContent>
          </v:textbox>
          <w10:wrap type="none"/>
        </v:shape>
      </w:pict>
    </w: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197832" from="21pt,11.923018pt" to="21pt,-.000017pt" stroked="true" strokeweight=".25pt" strokecolor="#000000">
          <w10:wrap type="none"/>
        </v:line>
      </w:pict>
    </w:r>
    <w:r>
      <w:rPr/>
      <w:drawing>
        <wp:anchor distT="0" distB="0" distL="0" distR="0" allowOverlap="1" layoutInCell="1" locked="0" behindDoc="1" simplePos="0" relativeHeight="267237647">
          <wp:simplePos x="0" y="0"/>
          <wp:positionH relativeFrom="page">
            <wp:posOffset>3969194</wp:posOffset>
          </wp:positionH>
          <wp:positionV relativeFrom="page">
            <wp:posOffset>-1587</wp:posOffset>
          </wp:positionV>
          <wp:extent cx="155575" cy="135547"/>
          <wp:effectExtent l="0" t="0" r="0" b="0"/>
          <wp:wrapNone/>
          <wp:docPr id="1001" name="image11.png" descr=""/>
          <wp:cNvGraphicFramePr>
            <a:graphicFrameLocks noChangeAspect="1"/>
          </wp:cNvGraphicFramePr>
          <a:graphic>
            <a:graphicData uri="http://schemas.openxmlformats.org/drawingml/2006/picture">
              <pic:pic>
                <pic:nvPicPr>
                  <pic:cNvPr id="1002" name="image11.png"/>
                  <pic:cNvPicPr/>
                </pic:nvPicPr>
                <pic:blipFill>
                  <a:blip r:embed="rId1" cstate="print"/>
                  <a:stretch>
                    <a:fillRect/>
                  </a:stretch>
                </pic:blipFill>
                <pic:spPr>
                  <a:xfrm>
                    <a:off x="0" y="0"/>
                    <a:ext cx="155575" cy="135547"/>
                  </a:xfrm>
                  <a:prstGeom prst="rect">
                    <a:avLst/>
                  </a:prstGeom>
                </pic:spPr>
              </pic:pic>
            </a:graphicData>
          </a:graphic>
        </wp:anchor>
      </w:drawing>
    </w:r>
    <w:r>
      <w:rPr/>
      <w:pict>
        <v:line style="position:absolute;mso-position-horizontal-relative:page;mso-position-vertical-relative:page;z-index:-1197784" from="616.320007pt,11.923018pt" to="616.320007pt,-.000017pt" stroked="true" strokeweight=".25pt" strokecolor="#000000">
          <w10:wrap type="none"/>
        </v:line>
      </w:pict>
    </w:r>
    <w:r>
      <w:rPr/>
      <w:pict>
        <v:line style="position:absolute;mso-position-horizontal-relative:page;mso-position-vertical-relative:page;z-index:-1197760" from="12pt,20.923018pt" to="0pt,20.923018pt" stroked="true" strokeweight=".25pt" strokecolor="#000000">
          <w10:wrap type="none"/>
        </v:line>
      </w:pict>
    </w:r>
    <w:r>
      <w:rPr/>
      <w:pict>
        <v:line style="position:absolute;mso-position-horizontal-relative:page;mso-position-vertical-relative:page;z-index:-1197736" from="625.320007pt,20.923018pt" to="637.228035pt,20.923018pt" stroked="true" strokeweight=".25pt" strokecolor="#000000">
          <w10:wrap type="none"/>
        </v:line>
      </w:pict>
    </w: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197712" from="21pt,11.957018pt" to="21pt,-.000014pt" stroked="true" strokeweight=".25pt" strokecolor="#000000">
          <w10:wrap type="none"/>
        </v:line>
      </w:pict>
    </w:r>
    <w:r>
      <w:rPr/>
      <w:drawing>
        <wp:anchor distT="0" distB="0" distL="0" distR="0" allowOverlap="1" layoutInCell="1" locked="0" behindDoc="1" simplePos="0" relativeHeight="267237767">
          <wp:simplePos x="0" y="0"/>
          <wp:positionH relativeFrom="page">
            <wp:posOffset>3968896</wp:posOffset>
          </wp:positionH>
          <wp:positionV relativeFrom="page">
            <wp:posOffset>-1587</wp:posOffset>
          </wp:positionV>
          <wp:extent cx="155575" cy="135979"/>
          <wp:effectExtent l="0" t="0" r="0" b="0"/>
          <wp:wrapNone/>
          <wp:docPr id="1029" name="image17.png" descr=""/>
          <wp:cNvGraphicFramePr>
            <a:graphicFrameLocks noChangeAspect="1"/>
          </wp:cNvGraphicFramePr>
          <a:graphic>
            <a:graphicData uri="http://schemas.openxmlformats.org/drawingml/2006/picture">
              <pic:pic>
                <pic:nvPicPr>
                  <pic:cNvPr id="1030" name="image17.png"/>
                  <pic:cNvPicPr/>
                </pic:nvPicPr>
                <pic:blipFill>
                  <a:blip r:embed="rId1" cstate="print"/>
                  <a:stretch>
                    <a:fillRect/>
                  </a:stretch>
                </pic:blipFill>
                <pic:spPr>
                  <a:xfrm>
                    <a:off x="0" y="0"/>
                    <a:ext cx="155575" cy="135979"/>
                  </a:xfrm>
                  <a:prstGeom prst="rect">
                    <a:avLst/>
                  </a:prstGeom>
                </pic:spPr>
              </pic:pic>
            </a:graphicData>
          </a:graphic>
        </wp:anchor>
      </w:drawing>
    </w:r>
    <w:r>
      <w:rPr/>
      <w:pict>
        <v:line style="position:absolute;mso-position-horizontal-relative:page;mso-position-vertical-relative:page;z-index:-1197664" from="616.27301pt,11.957018pt" to="616.27301pt,-.000014pt" stroked="true" strokeweight=".25pt" strokecolor="#000000">
          <w10:wrap type="none"/>
        </v:line>
      </w:pict>
    </w:r>
    <w:r>
      <w:rPr/>
      <w:pict>
        <v:line style="position:absolute;mso-position-horizontal-relative:page;mso-position-vertical-relative:page;z-index:-1197640" from="12pt,20.957018pt" to="0pt,20.957018pt" stroked="true" strokeweight=".25pt" strokecolor="#000000">
          <w10:wrap type="none"/>
        </v:line>
      </w:pict>
    </w:r>
    <w:r>
      <w:rPr/>
      <w:pict>
        <v:line style="position:absolute;mso-position-horizontal-relative:page;mso-position-vertical-relative:page;z-index:-1197616" from="625.27301pt,20.957018pt" to="637.228038pt,20.957018pt" stroked="true" strokeweight=".25pt" strokecolor="#000000">
          <w10:wrap type="none"/>
        </v:line>
      </w:pict>
    </w:r>
    <w:r>
      <w:rPr/>
      <w:pict>
        <v:shape style="position:absolute;margin-left:70.400002pt;margin-top:71.865761pt;width:302.3pt;height:23.95pt;mso-position-horizontal-relative:page;mso-position-vertical-relative:page;z-index:-1197592" type="#_x0000_t202" filled="false" stroked="false">
          <v:textbox inset="0,0,0,0">
            <w:txbxContent>
              <w:p>
                <w:pPr>
                  <w:spacing w:line="245" w:lineRule="exact" w:before="0"/>
                  <w:ind w:left="20" w:right="-8" w:firstLine="0"/>
                  <w:jc w:val="left"/>
                  <w:rPr>
                    <w:b/>
                    <w:sz w:val="22"/>
                  </w:rPr>
                </w:pPr>
                <w:r>
                  <w:rPr>
                    <w:b/>
                    <w:sz w:val="22"/>
                  </w:rPr>
                  <w:t>Whitlam Institute Within Western Sydney University Trust</w:t>
                </w:r>
              </w:p>
              <w:p>
                <w:pPr>
                  <w:spacing w:before="56"/>
                  <w:ind w:left="20" w:right="-8" w:firstLine="0"/>
                  <w:jc w:val="left"/>
                  <w:rPr>
                    <w:b/>
                    <w:sz w:val="14"/>
                  </w:rPr>
                </w:pPr>
                <w:r>
                  <w:rPr>
                    <w:b/>
                    <w:sz w:val="14"/>
                  </w:rPr>
                  <w:t>ABN: 42 247 216 279</w:t>
                </w:r>
              </w:p>
            </w:txbxContent>
          </v:textbox>
          <w10:wrap type="none"/>
        </v:shape>
      </w:pict>
    </w: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197256" from="21pt,11.923018pt" to="21pt,-.000017pt" stroked="true" strokeweight=".25pt" strokecolor="#000000">
          <w10:wrap type="none"/>
        </v:line>
      </w:pict>
    </w:r>
    <w:r>
      <w:rPr/>
      <w:drawing>
        <wp:anchor distT="0" distB="0" distL="0" distR="0" allowOverlap="1" layoutInCell="1" locked="0" behindDoc="1" simplePos="0" relativeHeight="267238223">
          <wp:simplePos x="0" y="0"/>
          <wp:positionH relativeFrom="page">
            <wp:posOffset>3969194</wp:posOffset>
          </wp:positionH>
          <wp:positionV relativeFrom="page">
            <wp:posOffset>-1587</wp:posOffset>
          </wp:positionV>
          <wp:extent cx="155575" cy="135547"/>
          <wp:effectExtent l="0" t="0" r="0" b="0"/>
          <wp:wrapNone/>
          <wp:docPr id="1119" name="image11.png" descr=""/>
          <wp:cNvGraphicFramePr>
            <a:graphicFrameLocks noChangeAspect="1"/>
          </wp:cNvGraphicFramePr>
          <a:graphic>
            <a:graphicData uri="http://schemas.openxmlformats.org/drawingml/2006/picture">
              <pic:pic>
                <pic:nvPicPr>
                  <pic:cNvPr id="1120" name="image11.png"/>
                  <pic:cNvPicPr/>
                </pic:nvPicPr>
                <pic:blipFill>
                  <a:blip r:embed="rId1" cstate="print"/>
                  <a:stretch>
                    <a:fillRect/>
                  </a:stretch>
                </pic:blipFill>
                <pic:spPr>
                  <a:xfrm>
                    <a:off x="0" y="0"/>
                    <a:ext cx="155575" cy="135547"/>
                  </a:xfrm>
                  <a:prstGeom prst="rect">
                    <a:avLst/>
                  </a:prstGeom>
                </pic:spPr>
              </pic:pic>
            </a:graphicData>
          </a:graphic>
        </wp:anchor>
      </w:drawing>
    </w:r>
    <w:r>
      <w:rPr/>
      <w:pict>
        <v:line style="position:absolute;mso-position-horizontal-relative:page;mso-position-vertical-relative:page;z-index:-1197208" from="616.320007pt,11.923018pt" to="616.320007pt,-.000017pt" stroked="true" strokeweight=".25pt" strokecolor="#000000">
          <w10:wrap type="none"/>
        </v:line>
      </w:pict>
    </w:r>
    <w:r>
      <w:rPr/>
      <w:pict>
        <v:line style="position:absolute;mso-position-horizontal-relative:page;mso-position-vertical-relative:page;z-index:-1197184" from="12pt,20.923018pt" to="0pt,20.923018pt" stroked="true" strokeweight=".25pt" strokecolor="#000000">
          <w10:wrap type="none"/>
        </v:line>
      </w:pict>
    </w:r>
    <w:r>
      <w:rPr/>
      <w:pict>
        <v:line style="position:absolute;mso-position-horizontal-relative:page;mso-position-vertical-relative:page;z-index:-1197160" from="625.320007pt,20.923018pt" to="637.228035pt,20.923018pt" stroked="true" strokeweight=".25pt" strokecolor="#000000">
          <w10:wrap type="none"/>
        </v:line>
      </w:pict>
    </w: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197136" from="21pt,12.843018pt" to="21pt,0pt" stroked="true" strokeweight=".25pt" strokecolor="#000000">
          <w10:wrap type="none"/>
        </v:line>
      </w:pict>
    </w:r>
    <w:r>
      <w:rPr/>
      <w:drawing>
        <wp:anchor distT="0" distB="0" distL="0" distR="0" allowOverlap="1" layoutInCell="1" locked="0" behindDoc="1" simplePos="0" relativeHeight="267238343">
          <wp:simplePos x="0" y="0"/>
          <wp:positionH relativeFrom="page">
            <wp:posOffset>3968559</wp:posOffset>
          </wp:positionH>
          <wp:positionV relativeFrom="page">
            <wp:posOffset>-1587</wp:posOffset>
          </wp:positionV>
          <wp:extent cx="155575" cy="147231"/>
          <wp:effectExtent l="0" t="0" r="0" b="0"/>
          <wp:wrapNone/>
          <wp:docPr id="1143" name="image20.png" descr=""/>
          <wp:cNvGraphicFramePr>
            <a:graphicFrameLocks noChangeAspect="1"/>
          </wp:cNvGraphicFramePr>
          <a:graphic>
            <a:graphicData uri="http://schemas.openxmlformats.org/drawingml/2006/picture">
              <pic:pic>
                <pic:nvPicPr>
                  <pic:cNvPr id="1144" name="image20.png"/>
                  <pic:cNvPicPr/>
                </pic:nvPicPr>
                <pic:blipFill>
                  <a:blip r:embed="rId1" cstate="print"/>
                  <a:stretch>
                    <a:fillRect/>
                  </a:stretch>
                </pic:blipFill>
                <pic:spPr>
                  <a:xfrm>
                    <a:off x="0" y="0"/>
                    <a:ext cx="155575" cy="147231"/>
                  </a:xfrm>
                  <a:prstGeom prst="rect">
                    <a:avLst/>
                  </a:prstGeom>
                </pic:spPr>
              </pic:pic>
            </a:graphicData>
          </a:graphic>
        </wp:anchor>
      </w:drawing>
    </w:r>
    <w:r>
      <w:rPr/>
      <w:pict>
        <v:line style="position:absolute;mso-position-horizontal-relative:page;mso-position-vertical-relative:page;z-index:-1197088" from="616.219971pt,12.843018pt" to="616.219971pt,0pt" stroked="true" strokeweight=".25pt" strokecolor="#000000">
          <w10:wrap type="none"/>
        </v:line>
      </w:pict>
    </w:r>
    <w:r>
      <w:rPr/>
      <w:pict>
        <v:line style="position:absolute;mso-position-horizontal-relative:page;mso-position-vertical-relative:page;z-index:-1197064" from="12pt,21.843018pt" to="0pt,21.843018pt" stroked="true" strokeweight=".25pt" strokecolor="#000000">
          <w10:wrap type="none"/>
        </v:line>
      </w:pict>
    </w:r>
    <w:r>
      <w:rPr/>
      <w:pict>
        <v:line style="position:absolute;mso-position-horizontal-relative:page;mso-position-vertical-relative:page;z-index:-1197040" from="625.219971pt,21.843018pt" to="637.227998pt,21.843018pt" stroked="true" strokeweight=".25pt" strokecolor="#000000">
          <w10:wrap type="none"/>
        </v:line>
      </w:pict>
    </w:r>
    <w:r>
      <w:rPr/>
      <w:pict>
        <v:shape style="position:absolute;margin-left:399.520996pt;margin-top:59.965187pt;width:143.550pt;height:11pt;mso-position-horizontal-relative:page;mso-position-vertical-relative:page;z-index:-1197016" type="#_x0000_t202" filled="false" stroked="false">
          <v:textbox inset="0,0,0,0">
            <w:txbxContent>
              <w:p>
                <w:pPr>
                  <w:pStyle w:val="BodyText"/>
                  <w:spacing w:line="204" w:lineRule="exact"/>
                  <w:ind w:left="20" w:right="-1"/>
                </w:pPr>
                <w:r>
                  <w:rPr/>
                  <w:t>Budget and Performance Indicators</w:t>
                </w:r>
              </w:p>
            </w:txbxContent>
          </v:textbox>
          <w10:wrap type="none"/>
        </v:shape>
      </w:pict>
    </w: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196992" from="21pt,12.843018pt" to="21pt,0pt" stroked="true" strokeweight=".25pt" strokecolor="#000000">
          <w10:wrap type="none"/>
        </v:line>
      </w:pict>
    </w:r>
    <w:r>
      <w:rPr/>
      <w:drawing>
        <wp:anchor distT="0" distB="0" distL="0" distR="0" allowOverlap="1" layoutInCell="1" locked="0" behindDoc="1" simplePos="0" relativeHeight="267238487">
          <wp:simplePos x="0" y="0"/>
          <wp:positionH relativeFrom="page">
            <wp:posOffset>3968559</wp:posOffset>
          </wp:positionH>
          <wp:positionV relativeFrom="page">
            <wp:posOffset>-1587</wp:posOffset>
          </wp:positionV>
          <wp:extent cx="155575" cy="147231"/>
          <wp:effectExtent l="0" t="0" r="0" b="0"/>
          <wp:wrapNone/>
          <wp:docPr id="1153" name="image20.png" descr=""/>
          <wp:cNvGraphicFramePr>
            <a:graphicFrameLocks noChangeAspect="1"/>
          </wp:cNvGraphicFramePr>
          <a:graphic>
            <a:graphicData uri="http://schemas.openxmlformats.org/drawingml/2006/picture">
              <pic:pic>
                <pic:nvPicPr>
                  <pic:cNvPr id="1154" name="image20.png"/>
                  <pic:cNvPicPr/>
                </pic:nvPicPr>
                <pic:blipFill>
                  <a:blip r:embed="rId1" cstate="print"/>
                  <a:stretch>
                    <a:fillRect/>
                  </a:stretch>
                </pic:blipFill>
                <pic:spPr>
                  <a:xfrm>
                    <a:off x="0" y="0"/>
                    <a:ext cx="155575" cy="147231"/>
                  </a:xfrm>
                  <a:prstGeom prst="rect">
                    <a:avLst/>
                  </a:prstGeom>
                </pic:spPr>
              </pic:pic>
            </a:graphicData>
          </a:graphic>
        </wp:anchor>
      </w:drawing>
    </w:r>
    <w:r>
      <w:rPr/>
      <w:pict>
        <v:line style="position:absolute;mso-position-horizontal-relative:page;mso-position-vertical-relative:page;z-index:-1196944" from="616.219971pt,12.843018pt" to="616.219971pt,0pt" stroked="true" strokeweight=".25pt" strokecolor="#000000">
          <w10:wrap type="none"/>
        </v:line>
      </w:pict>
    </w:r>
    <w:r>
      <w:rPr/>
      <w:pict>
        <v:line style="position:absolute;mso-position-horizontal-relative:page;mso-position-vertical-relative:page;z-index:-1196920" from="12pt,21.843018pt" to="0pt,21.843018pt" stroked="true" strokeweight=".25pt" strokecolor="#000000">
          <w10:wrap type="none"/>
        </v:line>
      </w:pict>
    </w:r>
    <w:r>
      <w:rPr/>
      <w:pict>
        <v:line style="position:absolute;mso-position-horizontal-relative:page;mso-position-vertical-relative:page;z-index:-1196896" from="625.219971pt,21.843018pt" to="637.227998pt,21.843018pt" stroked="true" strokeweight=".25pt" strokecolor="#000000">
          <w10:wrap type="none"/>
        </v:line>
      </w:pict>
    </w:r>
    <w:r>
      <w:rPr/>
      <w:pict>
        <v:shape style="position:absolute;margin-left:401.779999pt;margin-top:50.053185pt;width:143.550pt;height:11pt;mso-position-horizontal-relative:page;mso-position-vertical-relative:page;z-index:-1196872" type="#_x0000_t202" filled="false" stroked="false">
          <v:textbox inset="0,0,0,0">
            <w:txbxContent>
              <w:p>
                <w:pPr>
                  <w:pStyle w:val="BodyText"/>
                  <w:spacing w:line="204" w:lineRule="exact"/>
                  <w:ind w:left="20" w:right="-1"/>
                </w:pPr>
                <w:r>
                  <w:rPr/>
                  <w:t>Budget and Performance Indicators</w:t>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206448" from="21pt,11.957018pt" to="21pt,-.000014pt" stroked="true" strokeweight=".25pt" strokecolor="#000000">
          <w10:wrap type="none"/>
        </v:line>
      </w:pict>
    </w:r>
    <w:r>
      <w:rPr/>
      <w:drawing>
        <wp:anchor distT="0" distB="0" distL="0" distR="0" allowOverlap="1" layoutInCell="1" locked="0" behindDoc="1" simplePos="0" relativeHeight="267229031">
          <wp:simplePos x="0" y="0"/>
          <wp:positionH relativeFrom="page">
            <wp:posOffset>3968896</wp:posOffset>
          </wp:positionH>
          <wp:positionV relativeFrom="page">
            <wp:posOffset>-1587</wp:posOffset>
          </wp:positionV>
          <wp:extent cx="155575" cy="135979"/>
          <wp:effectExtent l="0" t="0" r="0" b="0"/>
          <wp:wrapNone/>
          <wp:docPr id="47" name="image17.png" descr=""/>
          <wp:cNvGraphicFramePr>
            <a:graphicFrameLocks noChangeAspect="1"/>
          </wp:cNvGraphicFramePr>
          <a:graphic>
            <a:graphicData uri="http://schemas.openxmlformats.org/drawingml/2006/picture">
              <pic:pic>
                <pic:nvPicPr>
                  <pic:cNvPr id="48" name="image17.png"/>
                  <pic:cNvPicPr/>
                </pic:nvPicPr>
                <pic:blipFill>
                  <a:blip r:embed="rId1" cstate="print"/>
                  <a:stretch>
                    <a:fillRect/>
                  </a:stretch>
                </pic:blipFill>
                <pic:spPr>
                  <a:xfrm>
                    <a:off x="0" y="0"/>
                    <a:ext cx="155575" cy="135979"/>
                  </a:xfrm>
                  <a:prstGeom prst="rect">
                    <a:avLst/>
                  </a:prstGeom>
                </pic:spPr>
              </pic:pic>
            </a:graphicData>
          </a:graphic>
        </wp:anchor>
      </w:drawing>
    </w:r>
    <w:r>
      <w:rPr/>
      <w:pict>
        <v:line style="position:absolute;mso-position-horizontal-relative:page;mso-position-vertical-relative:page;z-index:-1206400" from="616.27301pt,11.957018pt" to="616.27301pt,-.000014pt" stroked="true" strokeweight=".25pt" strokecolor="#000000">
          <w10:wrap type="none"/>
        </v:line>
      </w:pict>
    </w:r>
    <w:r>
      <w:rPr/>
      <w:pict>
        <v:line style="position:absolute;mso-position-horizontal-relative:page;mso-position-vertical-relative:page;z-index:-1206376" from="12pt,20.957018pt" to="0pt,20.957018pt" stroked="true" strokeweight=".25pt" strokecolor="#000000">
          <w10:wrap type="none"/>
        </v:line>
      </w:pict>
    </w:r>
    <w:r>
      <w:rPr/>
      <w:pict>
        <v:line style="position:absolute;mso-position-horizontal-relative:page;mso-position-vertical-relative:page;z-index:-1206352" from="625.27301pt,20.957018pt" to="637.228038pt,20.957018pt" stroked="true" strokeweight=".25pt" strokecolor="#000000">
          <w10:wrap type="none"/>
        </v:line>
      </w:pict>
    </w: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196848" from="21pt,12.843018pt" to="21pt,0pt" stroked="true" strokeweight=".25pt" strokecolor="#000000">
          <w10:wrap type="none"/>
        </v:line>
      </w:pict>
    </w:r>
    <w:r>
      <w:rPr/>
      <w:drawing>
        <wp:anchor distT="0" distB="0" distL="0" distR="0" allowOverlap="1" layoutInCell="1" locked="0" behindDoc="1" simplePos="0" relativeHeight="267238631">
          <wp:simplePos x="0" y="0"/>
          <wp:positionH relativeFrom="page">
            <wp:posOffset>3968559</wp:posOffset>
          </wp:positionH>
          <wp:positionV relativeFrom="page">
            <wp:posOffset>-1587</wp:posOffset>
          </wp:positionV>
          <wp:extent cx="155575" cy="147231"/>
          <wp:effectExtent l="0" t="0" r="0" b="0"/>
          <wp:wrapNone/>
          <wp:docPr id="1159" name="image20.png" descr=""/>
          <wp:cNvGraphicFramePr>
            <a:graphicFrameLocks noChangeAspect="1"/>
          </wp:cNvGraphicFramePr>
          <a:graphic>
            <a:graphicData uri="http://schemas.openxmlformats.org/drawingml/2006/picture">
              <pic:pic>
                <pic:nvPicPr>
                  <pic:cNvPr id="1160" name="image20.png"/>
                  <pic:cNvPicPr/>
                </pic:nvPicPr>
                <pic:blipFill>
                  <a:blip r:embed="rId1" cstate="print"/>
                  <a:stretch>
                    <a:fillRect/>
                  </a:stretch>
                </pic:blipFill>
                <pic:spPr>
                  <a:xfrm>
                    <a:off x="0" y="0"/>
                    <a:ext cx="155575" cy="147231"/>
                  </a:xfrm>
                  <a:prstGeom prst="rect">
                    <a:avLst/>
                  </a:prstGeom>
                </pic:spPr>
              </pic:pic>
            </a:graphicData>
          </a:graphic>
        </wp:anchor>
      </w:drawing>
    </w:r>
    <w:r>
      <w:rPr/>
      <w:pict>
        <v:line style="position:absolute;mso-position-horizontal-relative:page;mso-position-vertical-relative:page;z-index:-1196800" from="616.219971pt,12.843018pt" to="616.219971pt,0pt" stroked="true" strokeweight=".25pt" strokecolor="#000000">
          <w10:wrap type="none"/>
        </v:line>
      </w:pict>
    </w:r>
    <w:r>
      <w:rPr/>
      <w:pict>
        <v:line style="position:absolute;mso-position-horizontal-relative:page;mso-position-vertical-relative:page;z-index:-1196776" from="12pt,21.843018pt" to="0pt,21.843018pt" stroked="true" strokeweight=".25pt" strokecolor="#000000">
          <w10:wrap type="none"/>
        </v:line>
      </w:pict>
    </w:r>
    <w:r>
      <w:rPr/>
      <w:pict>
        <v:line style="position:absolute;mso-position-horizontal-relative:page;mso-position-vertical-relative:page;z-index:-1196752" from="625.219971pt,21.843018pt" to="637.227998pt,21.843018pt" stroked="true" strokeweight=".25pt" strokecolor="#000000">
          <w10:wrap type="none"/>
        </v:line>
      </w:pict>
    </w:r>
    <w:r>
      <w:rPr/>
      <w:pict>
        <v:shape style="position:absolute;margin-left:402.979706pt;margin-top:57.289886pt;width:143.550pt;height:11pt;mso-position-horizontal-relative:page;mso-position-vertical-relative:page;z-index:-1196728" type="#_x0000_t202" filled="false" stroked="false">
          <v:textbox inset="0,0,0,0">
            <w:txbxContent>
              <w:p>
                <w:pPr>
                  <w:pStyle w:val="BodyText"/>
                  <w:spacing w:line="204" w:lineRule="exact"/>
                  <w:ind w:left="20" w:right="-1"/>
                </w:pPr>
                <w:r>
                  <w:rPr/>
                  <w:t>Budget and Performance Indicators</w:t>
                </w:r>
              </w:p>
            </w:txbxContent>
          </v:textbox>
          <w10:wrap type="none"/>
        </v:shape>
      </w:pict>
    </w: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196704" from="21pt,11.923018pt" to="21pt,-.000017pt" stroked="true" strokeweight=".25pt" strokecolor="#000000">
          <w10:wrap type="none"/>
        </v:line>
      </w:pict>
    </w:r>
    <w:r>
      <w:rPr/>
      <w:drawing>
        <wp:anchor distT="0" distB="0" distL="0" distR="0" allowOverlap="1" layoutInCell="1" locked="0" behindDoc="1" simplePos="0" relativeHeight="267238775">
          <wp:simplePos x="0" y="0"/>
          <wp:positionH relativeFrom="page">
            <wp:posOffset>3969194</wp:posOffset>
          </wp:positionH>
          <wp:positionV relativeFrom="page">
            <wp:posOffset>-1587</wp:posOffset>
          </wp:positionV>
          <wp:extent cx="155575" cy="135547"/>
          <wp:effectExtent l="0" t="0" r="0" b="0"/>
          <wp:wrapNone/>
          <wp:docPr id="1173" name="image11.png" descr=""/>
          <wp:cNvGraphicFramePr>
            <a:graphicFrameLocks noChangeAspect="1"/>
          </wp:cNvGraphicFramePr>
          <a:graphic>
            <a:graphicData uri="http://schemas.openxmlformats.org/drawingml/2006/picture">
              <pic:pic>
                <pic:nvPicPr>
                  <pic:cNvPr id="1174" name="image11.png"/>
                  <pic:cNvPicPr/>
                </pic:nvPicPr>
                <pic:blipFill>
                  <a:blip r:embed="rId1" cstate="print"/>
                  <a:stretch>
                    <a:fillRect/>
                  </a:stretch>
                </pic:blipFill>
                <pic:spPr>
                  <a:xfrm>
                    <a:off x="0" y="0"/>
                    <a:ext cx="155575" cy="135547"/>
                  </a:xfrm>
                  <a:prstGeom prst="rect">
                    <a:avLst/>
                  </a:prstGeom>
                </pic:spPr>
              </pic:pic>
            </a:graphicData>
          </a:graphic>
        </wp:anchor>
      </w:drawing>
    </w:r>
    <w:r>
      <w:rPr/>
      <w:pict>
        <v:line style="position:absolute;mso-position-horizontal-relative:page;mso-position-vertical-relative:page;z-index:-1196656" from="616.320007pt,11.923018pt" to="616.320007pt,-.000017pt" stroked="true" strokeweight=".25pt" strokecolor="#000000">
          <w10:wrap type="none"/>
        </v:line>
      </w:pict>
    </w:r>
    <w:r>
      <w:rPr/>
      <w:pict>
        <v:line style="position:absolute;mso-position-horizontal-relative:page;mso-position-vertical-relative:page;z-index:-1196632" from="12pt,20.923018pt" to="0pt,20.923018pt" stroked="true" strokeweight=".25pt" strokecolor="#000000">
          <w10:wrap type="none"/>
        </v:line>
      </w:pict>
    </w:r>
    <w:r>
      <w:rPr/>
      <w:pict>
        <v:line style="position:absolute;mso-position-horizontal-relative:page;mso-position-vertical-relative:page;z-index:-1196608" from="625.320007pt,20.923018pt" to="637.228035pt,20.923018pt" stroked="true" strokeweight=".25pt" strokecolor="#000000">
          <w10:wrap type="none"/>
        </v:line>
      </w:pict>
    </w: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206328" from="21pt,11.957018pt" to="21pt,-.000014pt" stroked="true" strokeweight=".25pt" strokecolor="#000000">
          <w10:wrap type="none"/>
        </v:line>
      </w:pict>
    </w:r>
    <w:r>
      <w:rPr/>
      <w:drawing>
        <wp:anchor distT="0" distB="0" distL="0" distR="0" allowOverlap="1" layoutInCell="1" locked="0" behindDoc="1" simplePos="0" relativeHeight="267229151">
          <wp:simplePos x="0" y="0"/>
          <wp:positionH relativeFrom="page">
            <wp:posOffset>3968896</wp:posOffset>
          </wp:positionH>
          <wp:positionV relativeFrom="page">
            <wp:posOffset>-1587</wp:posOffset>
          </wp:positionV>
          <wp:extent cx="155575" cy="135979"/>
          <wp:effectExtent l="0" t="0" r="0" b="0"/>
          <wp:wrapNone/>
          <wp:docPr id="53" name="image17.png" descr=""/>
          <wp:cNvGraphicFramePr>
            <a:graphicFrameLocks noChangeAspect="1"/>
          </wp:cNvGraphicFramePr>
          <a:graphic>
            <a:graphicData uri="http://schemas.openxmlformats.org/drawingml/2006/picture">
              <pic:pic>
                <pic:nvPicPr>
                  <pic:cNvPr id="54" name="image17.png"/>
                  <pic:cNvPicPr/>
                </pic:nvPicPr>
                <pic:blipFill>
                  <a:blip r:embed="rId1" cstate="print"/>
                  <a:stretch>
                    <a:fillRect/>
                  </a:stretch>
                </pic:blipFill>
                <pic:spPr>
                  <a:xfrm>
                    <a:off x="0" y="0"/>
                    <a:ext cx="155575" cy="135979"/>
                  </a:xfrm>
                  <a:prstGeom prst="rect">
                    <a:avLst/>
                  </a:prstGeom>
                </pic:spPr>
              </pic:pic>
            </a:graphicData>
          </a:graphic>
        </wp:anchor>
      </w:drawing>
    </w:r>
    <w:r>
      <w:rPr/>
      <w:pict>
        <v:line style="position:absolute;mso-position-horizontal-relative:page;mso-position-vertical-relative:page;z-index:-1206280" from="616.27301pt,11.957018pt" to="616.27301pt,-.000014pt" stroked="true" strokeweight=".25pt" strokecolor="#000000">
          <w10:wrap type="none"/>
        </v:line>
      </w:pict>
    </w:r>
    <w:r>
      <w:rPr/>
      <w:pict>
        <v:line style="position:absolute;mso-position-horizontal-relative:page;mso-position-vertical-relative:page;z-index:-1206256" from="12pt,20.957018pt" to="0pt,20.957018pt" stroked="true" strokeweight=".25pt" strokecolor="#000000">
          <w10:wrap type="none"/>
        </v:line>
      </w:pict>
    </w:r>
    <w:r>
      <w:rPr/>
      <w:pict>
        <v:line style="position:absolute;mso-position-horizontal-relative:page;mso-position-vertical-relative:page;z-index:-1206232" from="625.27301pt,20.957018pt" to="637.228038pt,20.957018pt" stroked="true" strokeweight=".25pt" strokecolor="#000000">
          <w10:wrap type="none"/>
        </v:line>
      </w:pict>
    </w:r>
    <w:r>
      <w:rPr/>
      <w:pict>
        <v:shape style="position:absolute;margin-left:70.400002pt;margin-top:71.865761pt;width:143.550pt;height:13pt;mso-position-horizontal-relative:page;mso-position-vertical-relative:page;z-index:-1206208" type="#_x0000_t202" filled="false" stroked="false">
          <v:textbox inset="0,0,0,0">
            <w:txbxContent>
              <w:p>
                <w:pPr>
                  <w:spacing w:line="245" w:lineRule="exact" w:before="0"/>
                  <w:ind w:left="20" w:right="-6" w:firstLine="0"/>
                  <w:jc w:val="left"/>
                  <w:rPr>
                    <w:b/>
                    <w:sz w:val="22"/>
                  </w:rPr>
                </w:pPr>
                <w:r>
                  <w:rPr>
                    <w:b/>
                    <w:sz w:val="22"/>
                  </w:rPr>
                  <w:t>Western Sydney University</w:t>
                </w:r>
              </w:p>
            </w:txbxContent>
          </v:textbox>
          <w10:wrap type="non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205992" from="21pt,11.957018pt" to="21pt,-.000014pt" stroked="true" strokeweight=".25pt" strokecolor="#000000">
          <w10:wrap type="none"/>
        </v:line>
      </w:pict>
    </w:r>
    <w:r>
      <w:rPr/>
      <w:drawing>
        <wp:anchor distT="0" distB="0" distL="0" distR="0" allowOverlap="1" layoutInCell="1" locked="0" behindDoc="1" simplePos="0" relativeHeight="267229487">
          <wp:simplePos x="0" y="0"/>
          <wp:positionH relativeFrom="page">
            <wp:posOffset>3968896</wp:posOffset>
          </wp:positionH>
          <wp:positionV relativeFrom="page">
            <wp:posOffset>-1587</wp:posOffset>
          </wp:positionV>
          <wp:extent cx="155575" cy="135979"/>
          <wp:effectExtent l="0" t="0" r="0" b="0"/>
          <wp:wrapNone/>
          <wp:docPr id="65" name="image17.png" descr=""/>
          <wp:cNvGraphicFramePr>
            <a:graphicFrameLocks noChangeAspect="1"/>
          </wp:cNvGraphicFramePr>
          <a:graphic>
            <a:graphicData uri="http://schemas.openxmlformats.org/drawingml/2006/picture">
              <pic:pic>
                <pic:nvPicPr>
                  <pic:cNvPr id="66" name="image17.png"/>
                  <pic:cNvPicPr/>
                </pic:nvPicPr>
                <pic:blipFill>
                  <a:blip r:embed="rId1" cstate="print"/>
                  <a:stretch>
                    <a:fillRect/>
                  </a:stretch>
                </pic:blipFill>
                <pic:spPr>
                  <a:xfrm>
                    <a:off x="0" y="0"/>
                    <a:ext cx="155575" cy="135979"/>
                  </a:xfrm>
                  <a:prstGeom prst="rect">
                    <a:avLst/>
                  </a:prstGeom>
                </pic:spPr>
              </pic:pic>
            </a:graphicData>
          </a:graphic>
        </wp:anchor>
      </w:drawing>
    </w:r>
    <w:r>
      <w:rPr/>
      <w:pict>
        <v:line style="position:absolute;mso-position-horizontal-relative:page;mso-position-vertical-relative:page;z-index:-1205944" from="616.27301pt,11.957018pt" to="616.27301pt,-.000014pt" stroked="true" strokeweight=".25pt" strokecolor="#000000">
          <w10:wrap type="none"/>
        </v:line>
      </w:pict>
    </w:r>
    <w:r>
      <w:rPr/>
      <w:pict>
        <v:line style="position:absolute;mso-position-horizontal-relative:page;mso-position-vertical-relative:page;z-index:-1205920" from="12pt,20.957018pt" to="0pt,20.957018pt" stroked="true" strokeweight=".25pt" strokecolor="#000000">
          <w10:wrap type="none"/>
        </v:line>
      </w:pict>
    </w:r>
    <w:r>
      <w:rPr/>
      <w:pict>
        <v:line style="position:absolute;mso-position-horizontal-relative:page;mso-position-vertical-relative:page;z-index:-1205896" from="625.27301pt,20.957018pt" to="637.228038pt,20.957018pt" stroked="true" strokeweight=".25pt" strokecolor="#000000">
          <w10:wrap type="none"/>
        </v:line>
      </w:pict>
    </w:r>
    <w:r>
      <w:rPr/>
      <w:pict>
        <v:shape style="position:absolute;margin-left:70.400002pt;margin-top:71.865761pt;width:143.550pt;height:13pt;mso-position-horizontal-relative:page;mso-position-vertical-relative:page;z-index:-1205872" type="#_x0000_t202" filled="false" stroked="false">
          <v:textbox inset="0,0,0,0">
            <w:txbxContent>
              <w:p>
                <w:pPr>
                  <w:spacing w:line="245" w:lineRule="exact" w:before="0"/>
                  <w:ind w:left="20" w:right="-6" w:firstLine="0"/>
                  <w:jc w:val="left"/>
                  <w:rPr>
                    <w:b/>
                    <w:sz w:val="22"/>
                  </w:rPr>
                </w:pPr>
                <w:r>
                  <w:rPr>
                    <w:b/>
                    <w:sz w:val="22"/>
                  </w:rPr>
                  <w:t>Western Sydney University</w:t>
                </w:r>
              </w:p>
            </w:txbxContent>
          </v:textbox>
          <w10:wrap type="none"/>
        </v:shape>
      </w:pict>
    </w:r>
    <w:r>
      <w:rPr/>
      <w:pict>
        <v:shape style="position:absolute;margin-left:70.400002pt;margin-top:101.834816pt;width:212.65pt;height:31.55pt;mso-position-horizontal-relative:page;mso-position-vertical-relative:page;z-index:-1205848" type="#_x0000_t202" filled="false" stroked="false">
          <v:textbox inset="0,0,0,0">
            <w:txbxContent>
              <w:p>
                <w:pPr>
                  <w:spacing w:line="306" w:lineRule="exact" w:before="0"/>
                  <w:ind w:left="20" w:right="-3" w:firstLine="0"/>
                  <w:jc w:val="left"/>
                  <w:rPr>
                    <w:b/>
                    <w:sz w:val="28"/>
                  </w:rPr>
                </w:pPr>
                <w:r>
                  <w:rPr>
                    <w:b/>
                    <w:sz w:val="28"/>
                  </w:rPr>
                  <w:t>Statement of Changes in Equity</w:t>
                </w:r>
              </w:p>
              <w:p>
                <w:pPr>
                  <w:spacing w:before="57"/>
                  <w:ind w:left="20" w:right="-3" w:firstLine="0"/>
                  <w:jc w:val="left"/>
                  <w:rPr>
                    <w:b/>
                    <w:sz w:val="22"/>
                  </w:rPr>
                </w:pPr>
                <w:r>
                  <w:rPr>
                    <w:b/>
                    <w:sz w:val="22"/>
                  </w:rPr>
                  <w:t>For the Year Ended 31 December 2016</w:t>
                </w:r>
              </w:p>
            </w:txbxContent>
          </v:textbox>
          <w10:wrap type="none"/>
        </v:shape>
      </w:pict>
    </w:r>
    <w:r>
      <w:rPr/>
      <w:pict>
        <v:shape style="position:absolute;margin-left:441.679993pt;margin-top:153.390182pt;width:59.05pt;height:35pt;mso-position-horizontal-relative:page;mso-position-vertical-relative:page;z-index:-1205824" type="#_x0000_t202" filled="false" stroked="false">
          <v:textbox inset="0,0,0,0">
            <w:txbxContent>
              <w:p>
                <w:pPr>
                  <w:spacing w:line="204" w:lineRule="exact" w:before="0"/>
                  <w:ind w:left="20" w:right="0" w:firstLine="0"/>
                  <w:jc w:val="left"/>
                  <w:rPr>
                    <w:b/>
                    <w:sz w:val="18"/>
                  </w:rPr>
                </w:pPr>
                <w:r>
                  <w:rPr>
                    <w:b/>
                    <w:sz w:val="18"/>
                  </w:rPr>
                  <w:t>Consolidated</w:t>
                </w:r>
              </w:p>
              <w:p>
                <w:pPr>
                  <w:spacing w:before="66"/>
                  <w:ind w:left="287" w:right="103" w:firstLine="6"/>
                  <w:jc w:val="left"/>
                  <w:rPr>
                    <w:b/>
                    <w:sz w:val="18"/>
                  </w:rPr>
                </w:pPr>
                <w:r>
                  <w:rPr>
                    <w:b/>
                    <w:sz w:val="18"/>
                  </w:rPr>
                  <w:t>Retained Earnings</w:t>
                </w:r>
              </w:p>
            </w:txbxContent>
          </v:textbox>
          <w10:wrap type="none"/>
        </v:shape>
      </w:pict>
    </w:r>
    <w:r>
      <w:rPr/>
      <w:pict>
        <v:shape style="position:absolute;margin-left:393.320007pt;margin-top:177.390182pt;width:41.7pt;height:11pt;mso-position-horizontal-relative:page;mso-position-vertical-relative:page;z-index:-1205800" type="#_x0000_t202" filled="false" stroked="false">
          <v:textbox inset="0,0,0,0">
            <w:txbxContent>
              <w:p>
                <w:pPr>
                  <w:spacing w:line="204" w:lineRule="exact" w:before="0"/>
                  <w:ind w:left="20" w:right="-7" w:firstLine="0"/>
                  <w:jc w:val="left"/>
                  <w:rPr>
                    <w:b/>
                    <w:sz w:val="18"/>
                  </w:rPr>
                </w:pPr>
                <w:r>
                  <w:rPr>
                    <w:b/>
                    <w:sz w:val="18"/>
                  </w:rPr>
                  <w:t>Reserves</w:t>
                </w:r>
              </w:p>
            </w:txbxContent>
          </v:textbox>
          <w10:wrap type="none"/>
        </v:shape>
      </w:pict>
    </w:r>
    <w:r>
      <w:rPr/>
      <w:pict>
        <v:shape style="position:absolute;margin-left:524.119995pt;margin-top:177.390182pt;width:23.55pt;height:11pt;mso-position-horizontal-relative:page;mso-position-vertical-relative:page;z-index:-1205776" type="#_x0000_t202" filled="false" stroked="false">
          <v:textbox inset="0,0,0,0">
            <w:txbxContent>
              <w:p>
                <w:pPr>
                  <w:spacing w:line="204" w:lineRule="exact" w:before="0"/>
                  <w:ind w:left="20" w:right="0" w:firstLine="0"/>
                  <w:jc w:val="left"/>
                  <w:rPr>
                    <w:b/>
                    <w:sz w:val="18"/>
                  </w:rPr>
                </w:pPr>
                <w:r>
                  <w:rPr>
                    <w:b/>
                    <w:sz w:val="18"/>
                  </w:rPr>
                  <w:t>Total</w:t>
                </w:r>
              </w:p>
            </w:txbxContent>
          </v:textbox>
          <w10:wrap type="non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205752" from="21pt,11.957018pt" to="21pt,-.000014pt" stroked="true" strokeweight=".25pt" strokecolor="#000000">
          <w10:wrap type="none"/>
        </v:line>
      </w:pict>
    </w:r>
    <w:r>
      <w:rPr/>
      <w:drawing>
        <wp:anchor distT="0" distB="0" distL="0" distR="0" allowOverlap="1" layoutInCell="1" locked="0" behindDoc="1" simplePos="0" relativeHeight="267229727">
          <wp:simplePos x="0" y="0"/>
          <wp:positionH relativeFrom="page">
            <wp:posOffset>3968896</wp:posOffset>
          </wp:positionH>
          <wp:positionV relativeFrom="page">
            <wp:posOffset>-1587</wp:posOffset>
          </wp:positionV>
          <wp:extent cx="155575" cy="135979"/>
          <wp:effectExtent l="0" t="0" r="0" b="0"/>
          <wp:wrapNone/>
          <wp:docPr id="71" name="image17.png" descr=""/>
          <wp:cNvGraphicFramePr>
            <a:graphicFrameLocks noChangeAspect="1"/>
          </wp:cNvGraphicFramePr>
          <a:graphic>
            <a:graphicData uri="http://schemas.openxmlformats.org/drawingml/2006/picture">
              <pic:pic>
                <pic:nvPicPr>
                  <pic:cNvPr id="72" name="image17.png"/>
                  <pic:cNvPicPr/>
                </pic:nvPicPr>
                <pic:blipFill>
                  <a:blip r:embed="rId1" cstate="print"/>
                  <a:stretch>
                    <a:fillRect/>
                  </a:stretch>
                </pic:blipFill>
                <pic:spPr>
                  <a:xfrm>
                    <a:off x="0" y="0"/>
                    <a:ext cx="155575" cy="135979"/>
                  </a:xfrm>
                  <a:prstGeom prst="rect">
                    <a:avLst/>
                  </a:prstGeom>
                </pic:spPr>
              </pic:pic>
            </a:graphicData>
          </a:graphic>
        </wp:anchor>
      </w:drawing>
    </w:r>
    <w:r>
      <w:rPr/>
      <w:pict>
        <v:line style="position:absolute;mso-position-horizontal-relative:page;mso-position-vertical-relative:page;z-index:-1205704" from="616.27301pt,11.957018pt" to="616.27301pt,-.000014pt" stroked="true" strokeweight=".25pt" strokecolor="#000000">
          <w10:wrap type="none"/>
        </v:line>
      </w:pict>
    </w:r>
    <w:r>
      <w:rPr/>
      <w:pict>
        <v:line style="position:absolute;mso-position-horizontal-relative:page;mso-position-vertical-relative:page;z-index:-1205680" from="12pt,20.957018pt" to="0pt,20.957018pt" stroked="true" strokeweight=".25pt" strokecolor="#000000">
          <w10:wrap type="none"/>
        </v:line>
      </w:pict>
    </w:r>
    <w:r>
      <w:rPr/>
      <w:pict>
        <v:line style="position:absolute;mso-position-horizontal-relative:page;mso-position-vertical-relative:page;z-index:-1205656" from="625.27301pt,20.957018pt" to="637.228038pt,20.957018pt" stroked="true" strokeweight=".25pt" strokecolor="#000000">
          <w10:wrap type="none"/>
        </v:line>
      </w:pict>
    </w:r>
    <w:r>
      <w:rPr/>
      <w:pict>
        <v:shape style="position:absolute;margin-left:70.400002pt;margin-top:71.865761pt;width:143.550pt;height:13pt;mso-position-horizontal-relative:page;mso-position-vertical-relative:page;z-index:-1205632" type="#_x0000_t202" filled="false" stroked="false">
          <v:textbox inset="0,0,0,0">
            <w:txbxContent>
              <w:p>
                <w:pPr>
                  <w:spacing w:line="245" w:lineRule="exact" w:before="0"/>
                  <w:ind w:left="20" w:right="-6" w:firstLine="0"/>
                  <w:jc w:val="left"/>
                  <w:rPr>
                    <w:b/>
                    <w:sz w:val="22"/>
                  </w:rPr>
                </w:pPr>
                <w:r>
                  <w:rPr>
                    <w:b/>
                    <w:sz w:val="22"/>
                  </w:rPr>
                  <w:t>Western Sydney University</w:t>
                </w:r>
              </w:p>
            </w:txbxContent>
          </v:textbox>
          <w10:wrap type="none"/>
        </v:shape>
      </w:pict>
    </w:r>
    <w:r>
      <w:rPr/>
      <w:pict>
        <v:shape style="position:absolute;margin-left:70.400002pt;margin-top:101.834816pt;width:201.85pt;height:31.55pt;mso-position-horizontal-relative:page;mso-position-vertical-relative:page;z-index:-1205608" type="#_x0000_t202" filled="false" stroked="false">
          <v:textbox inset="0,0,0,0">
            <w:txbxContent>
              <w:p>
                <w:pPr>
                  <w:spacing w:line="306" w:lineRule="exact" w:before="0"/>
                  <w:ind w:left="20" w:right="-2" w:firstLine="0"/>
                  <w:jc w:val="left"/>
                  <w:rPr>
                    <w:b/>
                    <w:sz w:val="28"/>
                  </w:rPr>
                </w:pPr>
                <w:r>
                  <w:rPr>
                    <w:b/>
                    <w:sz w:val="28"/>
                  </w:rPr>
                  <w:t>Statement of Cash Flows</w:t>
                </w:r>
              </w:p>
              <w:p>
                <w:pPr>
                  <w:spacing w:before="57"/>
                  <w:ind w:left="20" w:right="-2" w:firstLine="0"/>
                  <w:jc w:val="left"/>
                  <w:rPr>
                    <w:b/>
                    <w:sz w:val="22"/>
                  </w:rPr>
                </w:pPr>
                <w:r>
                  <w:rPr>
                    <w:b/>
                    <w:sz w:val="22"/>
                  </w:rPr>
                  <w:t>For the Year Ended 31 December 2016</w:t>
                </w:r>
              </w:p>
            </w:txbxContent>
          </v:textbox>
          <w10:wrap type="non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205416" from="21pt,11.957018pt" to="21pt,-.000014pt" stroked="true" strokeweight=".25pt" strokecolor="#000000">
          <w10:wrap type="none"/>
        </v:line>
      </w:pict>
    </w:r>
    <w:r>
      <w:rPr/>
      <w:drawing>
        <wp:anchor distT="0" distB="0" distL="0" distR="0" allowOverlap="1" layoutInCell="1" locked="0" behindDoc="1" simplePos="0" relativeHeight="267230063">
          <wp:simplePos x="0" y="0"/>
          <wp:positionH relativeFrom="page">
            <wp:posOffset>3968896</wp:posOffset>
          </wp:positionH>
          <wp:positionV relativeFrom="page">
            <wp:posOffset>-1587</wp:posOffset>
          </wp:positionV>
          <wp:extent cx="155575" cy="135979"/>
          <wp:effectExtent l="0" t="0" r="0" b="0"/>
          <wp:wrapNone/>
          <wp:docPr id="79" name="image17.png" descr=""/>
          <wp:cNvGraphicFramePr>
            <a:graphicFrameLocks noChangeAspect="1"/>
          </wp:cNvGraphicFramePr>
          <a:graphic>
            <a:graphicData uri="http://schemas.openxmlformats.org/drawingml/2006/picture">
              <pic:pic>
                <pic:nvPicPr>
                  <pic:cNvPr id="80" name="image17.png"/>
                  <pic:cNvPicPr/>
                </pic:nvPicPr>
                <pic:blipFill>
                  <a:blip r:embed="rId1" cstate="print"/>
                  <a:stretch>
                    <a:fillRect/>
                  </a:stretch>
                </pic:blipFill>
                <pic:spPr>
                  <a:xfrm>
                    <a:off x="0" y="0"/>
                    <a:ext cx="155575" cy="135979"/>
                  </a:xfrm>
                  <a:prstGeom prst="rect">
                    <a:avLst/>
                  </a:prstGeom>
                </pic:spPr>
              </pic:pic>
            </a:graphicData>
          </a:graphic>
        </wp:anchor>
      </w:drawing>
    </w:r>
    <w:r>
      <w:rPr/>
      <w:pict>
        <v:line style="position:absolute;mso-position-horizontal-relative:page;mso-position-vertical-relative:page;z-index:-1205368" from="616.27301pt,11.957018pt" to="616.27301pt,-.000014pt" stroked="true" strokeweight=".25pt" strokecolor="#000000">
          <w10:wrap type="none"/>
        </v:line>
      </w:pict>
    </w:r>
    <w:r>
      <w:rPr/>
      <w:pict>
        <v:line style="position:absolute;mso-position-horizontal-relative:page;mso-position-vertical-relative:page;z-index:-1205344" from="12pt,20.957018pt" to="0pt,20.957018pt" stroked="true" strokeweight=".25pt" strokecolor="#000000">
          <w10:wrap type="none"/>
        </v:line>
      </w:pict>
    </w:r>
    <w:r>
      <w:rPr/>
      <w:pict>
        <v:line style="position:absolute;mso-position-horizontal-relative:page;mso-position-vertical-relative:page;z-index:-1205320" from="625.27301pt,20.957018pt" to="637.228038pt,20.957018pt" stroked="true" strokeweight=".25pt" strokecolor="#000000">
          <w10:wrap type="none"/>
        </v:line>
      </w:pict>
    </w:r>
    <w:r>
      <w:rPr/>
      <w:pict>
        <v:shape style="position:absolute;margin-left:70.400002pt;margin-top:71.865761pt;width:143.550pt;height:13pt;mso-position-horizontal-relative:page;mso-position-vertical-relative:page;z-index:-1205296" type="#_x0000_t202" filled="false" stroked="false">
          <v:textbox inset="0,0,0,0">
            <w:txbxContent>
              <w:p>
                <w:pPr>
                  <w:spacing w:line="245" w:lineRule="exact" w:before="0"/>
                  <w:ind w:left="20" w:right="-6" w:firstLine="0"/>
                  <w:jc w:val="left"/>
                  <w:rPr>
                    <w:b/>
                    <w:sz w:val="22"/>
                  </w:rPr>
                </w:pPr>
                <w:r>
                  <w:rPr>
                    <w:b/>
                    <w:sz w:val="22"/>
                  </w:rPr>
                  <w:t>Western Sydney University</w:t>
                </w:r>
              </w:p>
            </w:txbxContent>
          </v:textbox>
          <w10:wrap type="none"/>
        </v:shape>
      </w:pict>
    </w:r>
    <w:r>
      <w:rPr/>
      <w:pict>
        <v:shape style="position:absolute;margin-left:70.400002pt;margin-top:101.834816pt;width:226.85pt;height:31.55pt;mso-position-horizontal-relative:page;mso-position-vertical-relative:page;z-index:-1205272" type="#_x0000_t202" filled="false" stroked="false">
          <v:textbox inset="0,0,0,0">
            <w:txbxContent>
              <w:p>
                <w:pPr>
                  <w:spacing w:line="306" w:lineRule="exact" w:before="0"/>
                  <w:ind w:left="20" w:right="0" w:firstLine="0"/>
                  <w:jc w:val="left"/>
                  <w:rPr>
                    <w:b/>
                    <w:sz w:val="28"/>
                  </w:rPr>
                </w:pPr>
                <w:r>
                  <w:rPr>
                    <w:b/>
                    <w:sz w:val="28"/>
                  </w:rPr>
                  <w:t>Notes to the Financial Statements</w:t>
                </w:r>
              </w:p>
              <w:p>
                <w:pPr>
                  <w:spacing w:before="57"/>
                  <w:ind w:left="20" w:right="0" w:firstLine="0"/>
                  <w:jc w:val="left"/>
                  <w:rPr>
                    <w:b/>
                    <w:sz w:val="22"/>
                  </w:rPr>
                </w:pPr>
                <w:r>
                  <w:rPr>
                    <w:b/>
                    <w:sz w:val="22"/>
                  </w:rPr>
                  <w:t>For the Year Ended 31 December 2016</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95">
    <w:multiLevelType w:val="hybridMultilevel"/>
    <w:lvl w:ilvl="0">
      <w:start w:val="1"/>
      <w:numFmt w:val="bullet"/>
      <w:lvlText w:val=""/>
      <w:lvlJc w:val="left"/>
      <w:pPr>
        <w:ind w:left="2625" w:hanging="360"/>
      </w:pPr>
      <w:rPr>
        <w:rFonts w:hint="default" w:ascii="Symbol" w:hAnsi="Symbol" w:eastAsia="Symbol" w:cs="Symbol"/>
        <w:w w:val="100"/>
      </w:rPr>
    </w:lvl>
    <w:lvl w:ilvl="1">
      <w:start w:val="1"/>
      <w:numFmt w:val="bullet"/>
      <w:lvlText w:val="•"/>
      <w:lvlJc w:val="left"/>
      <w:pPr>
        <w:ind w:left="3632" w:hanging="360"/>
      </w:pPr>
      <w:rPr>
        <w:rFonts w:hint="default"/>
      </w:rPr>
    </w:lvl>
    <w:lvl w:ilvl="2">
      <w:start w:val="1"/>
      <w:numFmt w:val="bullet"/>
      <w:lvlText w:val="•"/>
      <w:lvlJc w:val="left"/>
      <w:pPr>
        <w:ind w:left="4644" w:hanging="360"/>
      </w:pPr>
      <w:rPr>
        <w:rFonts w:hint="default"/>
      </w:rPr>
    </w:lvl>
    <w:lvl w:ilvl="3">
      <w:start w:val="1"/>
      <w:numFmt w:val="bullet"/>
      <w:lvlText w:val="•"/>
      <w:lvlJc w:val="left"/>
      <w:pPr>
        <w:ind w:left="5657" w:hanging="360"/>
      </w:pPr>
      <w:rPr>
        <w:rFonts w:hint="default"/>
      </w:rPr>
    </w:lvl>
    <w:lvl w:ilvl="4">
      <w:start w:val="1"/>
      <w:numFmt w:val="bullet"/>
      <w:lvlText w:val="•"/>
      <w:lvlJc w:val="left"/>
      <w:pPr>
        <w:ind w:left="6669" w:hanging="360"/>
      </w:pPr>
      <w:rPr>
        <w:rFonts w:hint="default"/>
      </w:rPr>
    </w:lvl>
    <w:lvl w:ilvl="5">
      <w:start w:val="1"/>
      <w:numFmt w:val="bullet"/>
      <w:lvlText w:val="•"/>
      <w:lvlJc w:val="left"/>
      <w:pPr>
        <w:ind w:left="7682" w:hanging="360"/>
      </w:pPr>
      <w:rPr>
        <w:rFonts w:hint="default"/>
      </w:rPr>
    </w:lvl>
    <w:lvl w:ilvl="6">
      <w:start w:val="1"/>
      <w:numFmt w:val="bullet"/>
      <w:lvlText w:val="•"/>
      <w:lvlJc w:val="left"/>
      <w:pPr>
        <w:ind w:left="8694" w:hanging="360"/>
      </w:pPr>
      <w:rPr>
        <w:rFonts w:hint="default"/>
      </w:rPr>
    </w:lvl>
    <w:lvl w:ilvl="7">
      <w:start w:val="1"/>
      <w:numFmt w:val="bullet"/>
      <w:lvlText w:val="•"/>
      <w:lvlJc w:val="left"/>
      <w:pPr>
        <w:ind w:left="9707" w:hanging="360"/>
      </w:pPr>
      <w:rPr>
        <w:rFonts w:hint="default"/>
      </w:rPr>
    </w:lvl>
    <w:lvl w:ilvl="8">
      <w:start w:val="1"/>
      <w:numFmt w:val="bullet"/>
      <w:lvlText w:val="•"/>
      <w:lvlJc w:val="left"/>
      <w:pPr>
        <w:ind w:left="10719" w:hanging="360"/>
      </w:pPr>
      <w:rPr>
        <w:rFonts w:hint="default"/>
      </w:rPr>
    </w:lvl>
  </w:abstractNum>
  <w:abstractNum w:abstractNumId="88">
    <w:multiLevelType w:val="hybridMultilevel"/>
    <w:lvl w:ilvl="0">
      <w:start w:val="1"/>
      <w:numFmt w:val="lowerLetter"/>
      <w:lvlText w:val="(%1)"/>
      <w:lvlJc w:val="left"/>
      <w:pPr>
        <w:ind w:left="2391" w:hanging="567"/>
        <w:jc w:val="left"/>
      </w:pPr>
      <w:rPr>
        <w:rFonts w:hint="default" w:ascii="Arial" w:hAnsi="Arial" w:eastAsia="Arial" w:cs="Arial"/>
        <w:b/>
        <w:bCs/>
        <w:spacing w:val="-1"/>
        <w:w w:val="99"/>
        <w:sz w:val="18"/>
        <w:szCs w:val="18"/>
      </w:rPr>
    </w:lvl>
    <w:lvl w:ilvl="1">
      <w:start w:val="1"/>
      <w:numFmt w:val="bullet"/>
      <w:lvlText w:val="•"/>
      <w:lvlJc w:val="left"/>
      <w:pPr>
        <w:ind w:left="3434" w:hanging="567"/>
      </w:pPr>
      <w:rPr>
        <w:rFonts w:hint="default"/>
      </w:rPr>
    </w:lvl>
    <w:lvl w:ilvl="2">
      <w:start w:val="1"/>
      <w:numFmt w:val="bullet"/>
      <w:lvlText w:val="•"/>
      <w:lvlJc w:val="left"/>
      <w:pPr>
        <w:ind w:left="4468" w:hanging="567"/>
      </w:pPr>
      <w:rPr>
        <w:rFonts w:hint="default"/>
      </w:rPr>
    </w:lvl>
    <w:lvl w:ilvl="3">
      <w:start w:val="1"/>
      <w:numFmt w:val="bullet"/>
      <w:lvlText w:val="•"/>
      <w:lvlJc w:val="left"/>
      <w:pPr>
        <w:ind w:left="5503" w:hanging="567"/>
      </w:pPr>
      <w:rPr>
        <w:rFonts w:hint="default"/>
      </w:rPr>
    </w:lvl>
    <w:lvl w:ilvl="4">
      <w:start w:val="1"/>
      <w:numFmt w:val="bullet"/>
      <w:lvlText w:val="•"/>
      <w:lvlJc w:val="left"/>
      <w:pPr>
        <w:ind w:left="6537" w:hanging="567"/>
      </w:pPr>
      <w:rPr>
        <w:rFonts w:hint="default"/>
      </w:rPr>
    </w:lvl>
    <w:lvl w:ilvl="5">
      <w:start w:val="1"/>
      <w:numFmt w:val="bullet"/>
      <w:lvlText w:val="•"/>
      <w:lvlJc w:val="left"/>
      <w:pPr>
        <w:ind w:left="7572" w:hanging="567"/>
      </w:pPr>
      <w:rPr>
        <w:rFonts w:hint="default"/>
      </w:rPr>
    </w:lvl>
    <w:lvl w:ilvl="6">
      <w:start w:val="1"/>
      <w:numFmt w:val="bullet"/>
      <w:lvlText w:val="•"/>
      <w:lvlJc w:val="left"/>
      <w:pPr>
        <w:ind w:left="8606" w:hanging="567"/>
      </w:pPr>
      <w:rPr>
        <w:rFonts w:hint="default"/>
      </w:rPr>
    </w:lvl>
    <w:lvl w:ilvl="7">
      <w:start w:val="1"/>
      <w:numFmt w:val="bullet"/>
      <w:lvlText w:val="•"/>
      <w:lvlJc w:val="left"/>
      <w:pPr>
        <w:ind w:left="9641" w:hanging="567"/>
      </w:pPr>
      <w:rPr>
        <w:rFonts w:hint="default"/>
      </w:rPr>
    </w:lvl>
    <w:lvl w:ilvl="8">
      <w:start w:val="1"/>
      <w:numFmt w:val="bullet"/>
      <w:lvlText w:val="•"/>
      <w:lvlJc w:val="left"/>
      <w:pPr>
        <w:ind w:left="10675" w:hanging="567"/>
      </w:pPr>
      <w:rPr>
        <w:rFonts w:hint="default"/>
      </w:rPr>
    </w:lvl>
  </w:abstractNum>
  <w:abstractNum w:abstractNumId="87">
    <w:multiLevelType w:val="hybridMultilevel"/>
    <w:lvl w:ilvl="0">
      <w:start w:val="1"/>
      <w:numFmt w:val="lowerLetter"/>
      <w:lvlText w:val="(%1)"/>
      <w:lvlJc w:val="left"/>
      <w:pPr>
        <w:ind w:left="2376" w:hanging="270"/>
        <w:jc w:val="left"/>
      </w:pPr>
      <w:rPr>
        <w:rFonts w:hint="default" w:ascii="Arial" w:hAnsi="Arial" w:eastAsia="Arial" w:cs="Arial"/>
        <w:spacing w:val="-1"/>
        <w:w w:val="99"/>
        <w:sz w:val="18"/>
        <w:szCs w:val="18"/>
      </w:rPr>
    </w:lvl>
    <w:lvl w:ilvl="1">
      <w:start w:val="1"/>
      <w:numFmt w:val="bullet"/>
      <w:lvlText w:val="•"/>
      <w:lvlJc w:val="left"/>
      <w:pPr>
        <w:ind w:left="3416" w:hanging="270"/>
      </w:pPr>
      <w:rPr>
        <w:rFonts w:hint="default"/>
      </w:rPr>
    </w:lvl>
    <w:lvl w:ilvl="2">
      <w:start w:val="1"/>
      <w:numFmt w:val="bullet"/>
      <w:lvlText w:val="•"/>
      <w:lvlJc w:val="left"/>
      <w:pPr>
        <w:ind w:left="4452" w:hanging="270"/>
      </w:pPr>
      <w:rPr>
        <w:rFonts w:hint="default"/>
      </w:rPr>
    </w:lvl>
    <w:lvl w:ilvl="3">
      <w:start w:val="1"/>
      <w:numFmt w:val="bullet"/>
      <w:lvlText w:val="•"/>
      <w:lvlJc w:val="left"/>
      <w:pPr>
        <w:ind w:left="5489" w:hanging="270"/>
      </w:pPr>
      <w:rPr>
        <w:rFonts w:hint="default"/>
      </w:rPr>
    </w:lvl>
    <w:lvl w:ilvl="4">
      <w:start w:val="1"/>
      <w:numFmt w:val="bullet"/>
      <w:lvlText w:val="•"/>
      <w:lvlJc w:val="left"/>
      <w:pPr>
        <w:ind w:left="6525" w:hanging="270"/>
      </w:pPr>
      <w:rPr>
        <w:rFonts w:hint="default"/>
      </w:rPr>
    </w:lvl>
    <w:lvl w:ilvl="5">
      <w:start w:val="1"/>
      <w:numFmt w:val="bullet"/>
      <w:lvlText w:val="•"/>
      <w:lvlJc w:val="left"/>
      <w:pPr>
        <w:ind w:left="7562" w:hanging="270"/>
      </w:pPr>
      <w:rPr>
        <w:rFonts w:hint="default"/>
      </w:rPr>
    </w:lvl>
    <w:lvl w:ilvl="6">
      <w:start w:val="1"/>
      <w:numFmt w:val="bullet"/>
      <w:lvlText w:val="•"/>
      <w:lvlJc w:val="left"/>
      <w:pPr>
        <w:ind w:left="8598" w:hanging="270"/>
      </w:pPr>
      <w:rPr>
        <w:rFonts w:hint="default"/>
      </w:rPr>
    </w:lvl>
    <w:lvl w:ilvl="7">
      <w:start w:val="1"/>
      <w:numFmt w:val="bullet"/>
      <w:lvlText w:val="•"/>
      <w:lvlJc w:val="left"/>
      <w:pPr>
        <w:ind w:left="9635" w:hanging="270"/>
      </w:pPr>
      <w:rPr>
        <w:rFonts w:hint="default"/>
      </w:rPr>
    </w:lvl>
    <w:lvl w:ilvl="8">
      <w:start w:val="1"/>
      <w:numFmt w:val="bullet"/>
      <w:lvlText w:val="•"/>
      <w:lvlJc w:val="left"/>
      <w:pPr>
        <w:ind w:left="10671" w:hanging="270"/>
      </w:pPr>
      <w:rPr>
        <w:rFonts w:hint="default"/>
      </w:rPr>
    </w:lvl>
  </w:abstractNum>
  <w:abstractNum w:abstractNumId="82">
    <w:multiLevelType w:val="hybridMultilevel"/>
    <w:lvl w:ilvl="0">
      <w:start w:val="1"/>
      <w:numFmt w:val="lowerLetter"/>
      <w:lvlText w:val="(%1)"/>
      <w:lvlJc w:val="left"/>
      <w:pPr>
        <w:ind w:left="2390" w:hanging="567"/>
        <w:jc w:val="left"/>
      </w:pPr>
      <w:rPr>
        <w:rFonts w:hint="default" w:ascii="Arial" w:hAnsi="Arial" w:eastAsia="Arial" w:cs="Arial"/>
        <w:b/>
        <w:bCs/>
        <w:spacing w:val="-1"/>
        <w:w w:val="99"/>
        <w:sz w:val="18"/>
        <w:szCs w:val="18"/>
      </w:rPr>
    </w:lvl>
    <w:lvl w:ilvl="1">
      <w:start w:val="1"/>
      <w:numFmt w:val="bullet"/>
      <w:lvlText w:val="•"/>
      <w:lvlJc w:val="left"/>
      <w:pPr>
        <w:ind w:left="3434" w:hanging="567"/>
      </w:pPr>
      <w:rPr>
        <w:rFonts w:hint="default"/>
      </w:rPr>
    </w:lvl>
    <w:lvl w:ilvl="2">
      <w:start w:val="1"/>
      <w:numFmt w:val="bullet"/>
      <w:lvlText w:val="•"/>
      <w:lvlJc w:val="left"/>
      <w:pPr>
        <w:ind w:left="4468" w:hanging="567"/>
      </w:pPr>
      <w:rPr>
        <w:rFonts w:hint="default"/>
      </w:rPr>
    </w:lvl>
    <w:lvl w:ilvl="3">
      <w:start w:val="1"/>
      <w:numFmt w:val="bullet"/>
      <w:lvlText w:val="•"/>
      <w:lvlJc w:val="left"/>
      <w:pPr>
        <w:ind w:left="5503" w:hanging="567"/>
      </w:pPr>
      <w:rPr>
        <w:rFonts w:hint="default"/>
      </w:rPr>
    </w:lvl>
    <w:lvl w:ilvl="4">
      <w:start w:val="1"/>
      <w:numFmt w:val="bullet"/>
      <w:lvlText w:val="•"/>
      <w:lvlJc w:val="left"/>
      <w:pPr>
        <w:ind w:left="6537" w:hanging="567"/>
      </w:pPr>
      <w:rPr>
        <w:rFonts w:hint="default"/>
      </w:rPr>
    </w:lvl>
    <w:lvl w:ilvl="5">
      <w:start w:val="1"/>
      <w:numFmt w:val="bullet"/>
      <w:lvlText w:val="•"/>
      <w:lvlJc w:val="left"/>
      <w:pPr>
        <w:ind w:left="7572" w:hanging="567"/>
      </w:pPr>
      <w:rPr>
        <w:rFonts w:hint="default"/>
      </w:rPr>
    </w:lvl>
    <w:lvl w:ilvl="6">
      <w:start w:val="1"/>
      <w:numFmt w:val="bullet"/>
      <w:lvlText w:val="•"/>
      <w:lvlJc w:val="left"/>
      <w:pPr>
        <w:ind w:left="8606" w:hanging="567"/>
      </w:pPr>
      <w:rPr>
        <w:rFonts w:hint="default"/>
      </w:rPr>
    </w:lvl>
    <w:lvl w:ilvl="7">
      <w:start w:val="1"/>
      <w:numFmt w:val="bullet"/>
      <w:lvlText w:val="•"/>
      <w:lvlJc w:val="left"/>
      <w:pPr>
        <w:ind w:left="9641" w:hanging="567"/>
      </w:pPr>
      <w:rPr>
        <w:rFonts w:hint="default"/>
      </w:rPr>
    </w:lvl>
    <w:lvl w:ilvl="8">
      <w:start w:val="1"/>
      <w:numFmt w:val="bullet"/>
      <w:lvlText w:val="•"/>
      <w:lvlJc w:val="left"/>
      <w:pPr>
        <w:ind w:left="10675" w:hanging="567"/>
      </w:pPr>
      <w:rPr>
        <w:rFonts w:hint="default"/>
      </w:rPr>
    </w:lvl>
  </w:abstractNum>
  <w:abstractNum w:abstractNumId="76">
    <w:multiLevelType w:val="hybridMultilevel"/>
    <w:lvl w:ilvl="0">
      <w:start w:val="1"/>
      <w:numFmt w:val="lowerLetter"/>
      <w:lvlText w:val="(%1)"/>
      <w:lvlJc w:val="left"/>
      <w:pPr>
        <w:ind w:left="2390" w:hanging="567"/>
        <w:jc w:val="left"/>
      </w:pPr>
      <w:rPr>
        <w:rFonts w:hint="default" w:ascii="Arial" w:hAnsi="Arial" w:eastAsia="Arial" w:cs="Arial"/>
        <w:b/>
        <w:bCs/>
        <w:spacing w:val="-1"/>
        <w:w w:val="99"/>
        <w:sz w:val="18"/>
        <w:szCs w:val="18"/>
      </w:rPr>
    </w:lvl>
    <w:lvl w:ilvl="1">
      <w:start w:val="1"/>
      <w:numFmt w:val="bullet"/>
      <w:lvlText w:val="•"/>
      <w:lvlJc w:val="left"/>
      <w:pPr>
        <w:ind w:left="3434" w:hanging="567"/>
      </w:pPr>
      <w:rPr>
        <w:rFonts w:hint="default"/>
      </w:rPr>
    </w:lvl>
    <w:lvl w:ilvl="2">
      <w:start w:val="1"/>
      <w:numFmt w:val="bullet"/>
      <w:lvlText w:val="•"/>
      <w:lvlJc w:val="left"/>
      <w:pPr>
        <w:ind w:left="4468" w:hanging="567"/>
      </w:pPr>
      <w:rPr>
        <w:rFonts w:hint="default"/>
      </w:rPr>
    </w:lvl>
    <w:lvl w:ilvl="3">
      <w:start w:val="1"/>
      <w:numFmt w:val="bullet"/>
      <w:lvlText w:val="•"/>
      <w:lvlJc w:val="left"/>
      <w:pPr>
        <w:ind w:left="5503" w:hanging="567"/>
      </w:pPr>
      <w:rPr>
        <w:rFonts w:hint="default"/>
      </w:rPr>
    </w:lvl>
    <w:lvl w:ilvl="4">
      <w:start w:val="1"/>
      <w:numFmt w:val="bullet"/>
      <w:lvlText w:val="•"/>
      <w:lvlJc w:val="left"/>
      <w:pPr>
        <w:ind w:left="6537" w:hanging="567"/>
      </w:pPr>
      <w:rPr>
        <w:rFonts w:hint="default"/>
      </w:rPr>
    </w:lvl>
    <w:lvl w:ilvl="5">
      <w:start w:val="1"/>
      <w:numFmt w:val="bullet"/>
      <w:lvlText w:val="•"/>
      <w:lvlJc w:val="left"/>
      <w:pPr>
        <w:ind w:left="7572" w:hanging="567"/>
      </w:pPr>
      <w:rPr>
        <w:rFonts w:hint="default"/>
      </w:rPr>
    </w:lvl>
    <w:lvl w:ilvl="6">
      <w:start w:val="1"/>
      <w:numFmt w:val="bullet"/>
      <w:lvlText w:val="•"/>
      <w:lvlJc w:val="left"/>
      <w:pPr>
        <w:ind w:left="8606" w:hanging="567"/>
      </w:pPr>
      <w:rPr>
        <w:rFonts w:hint="default"/>
      </w:rPr>
    </w:lvl>
    <w:lvl w:ilvl="7">
      <w:start w:val="1"/>
      <w:numFmt w:val="bullet"/>
      <w:lvlText w:val="•"/>
      <w:lvlJc w:val="left"/>
      <w:pPr>
        <w:ind w:left="9641" w:hanging="567"/>
      </w:pPr>
      <w:rPr>
        <w:rFonts w:hint="default"/>
      </w:rPr>
    </w:lvl>
    <w:lvl w:ilvl="8">
      <w:start w:val="1"/>
      <w:numFmt w:val="bullet"/>
      <w:lvlText w:val="•"/>
      <w:lvlJc w:val="left"/>
      <w:pPr>
        <w:ind w:left="10675" w:hanging="567"/>
      </w:pPr>
      <w:rPr>
        <w:rFonts w:hint="default"/>
      </w:rPr>
    </w:lvl>
  </w:abstractNum>
  <w:abstractNum w:abstractNumId="66">
    <w:multiLevelType w:val="hybridMultilevel"/>
    <w:lvl w:ilvl="0">
      <w:start w:val="1"/>
      <w:numFmt w:val="lowerLetter"/>
      <w:lvlText w:val="(%1)"/>
      <w:lvlJc w:val="left"/>
      <w:pPr>
        <w:ind w:left="2107" w:hanging="272"/>
        <w:jc w:val="left"/>
      </w:pPr>
      <w:rPr>
        <w:rFonts w:hint="default" w:ascii="Arial" w:hAnsi="Arial" w:eastAsia="Arial" w:cs="Arial"/>
        <w:w w:val="99"/>
        <w:sz w:val="18"/>
        <w:szCs w:val="18"/>
      </w:rPr>
    </w:lvl>
    <w:lvl w:ilvl="1">
      <w:start w:val="1"/>
      <w:numFmt w:val="bullet"/>
      <w:lvlText w:val="•"/>
      <w:lvlJc w:val="left"/>
      <w:pPr>
        <w:ind w:left="3164" w:hanging="272"/>
      </w:pPr>
      <w:rPr>
        <w:rFonts w:hint="default"/>
      </w:rPr>
    </w:lvl>
    <w:lvl w:ilvl="2">
      <w:start w:val="1"/>
      <w:numFmt w:val="bullet"/>
      <w:lvlText w:val="•"/>
      <w:lvlJc w:val="left"/>
      <w:pPr>
        <w:ind w:left="4228" w:hanging="272"/>
      </w:pPr>
      <w:rPr>
        <w:rFonts w:hint="default"/>
      </w:rPr>
    </w:lvl>
    <w:lvl w:ilvl="3">
      <w:start w:val="1"/>
      <w:numFmt w:val="bullet"/>
      <w:lvlText w:val="•"/>
      <w:lvlJc w:val="left"/>
      <w:pPr>
        <w:ind w:left="5293" w:hanging="272"/>
      </w:pPr>
      <w:rPr>
        <w:rFonts w:hint="default"/>
      </w:rPr>
    </w:lvl>
    <w:lvl w:ilvl="4">
      <w:start w:val="1"/>
      <w:numFmt w:val="bullet"/>
      <w:lvlText w:val="•"/>
      <w:lvlJc w:val="left"/>
      <w:pPr>
        <w:ind w:left="6357" w:hanging="272"/>
      </w:pPr>
      <w:rPr>
        <w:rFonts w:hint="default"/>
      </w:rPr>
    </w:lvl>
    <w:lvl w:ilvl="5">
      <w:start w:val="1"/>
      <w:numFmt w:val="bullet"/>
      <w:lvlText w:val="•"/>
      <w:lvlJc w:val="left"/>
      <w:pPr>
        <w:ind w:left="7422" w:hanging="272"/>
      </w:pPr>
      <w:rPr>
        <w:rFonts w:hint="default"/>
      </w:rPr>
    </w:lvl>
    <w:lvl w:ilvl="6">
      <w:start w:val="1"/>
      <w:numFmt w:val="bullet"/>
      <w:lvlText w:val="•"/>
      <w:lvlJc w:val="left"/>
      <w:pPr>
        <w:ind w:left="8486" w:hanging="272"/>
      </w:pPr>
      <w:rPr>
        <w:rFonts w:hint="default"/>
      </w:rPr>
    </w:lvl>
    <w:lvl w:ilvl="7">
      <w:start w:val="1"/>
      <w:numFmt w:val="bullet"/>
      <w:lvlText w:val="•"/>
      <w:lvlJc w:val="left"/>
      <w:pPr>
        <w:ind w:left="9551" w:hanging="272"/>
      </w:pPr>
      <w:rPr>
        <w:rFonts w:hint="default"/>
      </w:rPr>
    </w:lvl>
    <w:lvl w:ilvl="8">
      <w:start w:val="1"/>
      <w:numFmt w:val="bullet"/>
      <w:lvlText w:val="•"/>
      <w:lvlJc w:val="left"/>
      <w:pPr>
        <w:ind w:left="10615" w:hanging="272"/>
      </w:pPr>
      <w:rPr>
        <w:rFonts w:hint="default"/>
      </w:rPr>
    </w:lvl>
  </w:abstractNum>
  <w:abstractNum w:abstractNumId="60">
    <w:multiLevelType w:val="hybridMultilevel"/>
    <w:lvl w:ilvl="0">
      <w:start w:val="1"/>
      <w:numFmt w:val="lowerLetter"/>
      <w:lvlText w:val="(%1)"/>
      <w:lvlJc w:val="left"/>
      <w:pPr>
        <w:ind w:left="2390" w:hanging="567"/>
        <w:jc w:val="left"/>
      </w:pPr>
      <w:rPr>
        <w:rFonts w:hint="default" w:ascii="Arial" w:hAnsi="Arial" w:eastAsia="Arial" w:cs="Arial"/>
        <w:b/>
        <w:bCs/>
        <w:w w:val="99"/>
        <w:sz w:val="18"/>
        <w:szCs w:val="18"/>
      </w:rPr>
    </w:lvl>
    <w:lvl w:ilvl="1">
      <w:start w:val="1"/>
      <w:numFmt w:val="bullet"/>
      <w:lvlText w:val="•"/>
      <w:lvlJc w:val="left"/>
      <w:pPr>
        <w:ind w:left="3434" w:hanging="567"/>
      </w:pPr>
      <w:rPr>
        <w:rFonts w:hint="default"/>
      </w:rPr>
    </w:lvl>
    <w:lvl w:ilvl="2">
      <w:start w:val="1"/>
      <w:numFmt w:val="bullet"/>
      <w:lvlText w:val="•"/>
      <w:lvlJc w:val="left"/>
      <w:pPr>
        <w:ind w:left="4468" w:hanging="567"/>
      </w:pPr>
      <w:rPr>
        <w:rFonts w:hint="default"/>
      </w:rPr>
    </w:lvl>
    <w:lvl w:ilvl="3">
      <w:start w:val="1"/>
      <w:numFmt w:val="bullet"/>
      <w:lvlText w:val="•"/>
      <w:lvlJc w:val="left"/>
      <w:pPr>
        <w:ind w:left="5503" w:hanging="567"/>
      </w:pPr>
      <w:rPr>
        <w:rFonts w:hint="default"/>
      </w:rPr>
    </w:lvl>
    <w:lvl w:ilvl="4">
      <w:start w:val="1"/>
      <w:numFmt w:val="bullet"/>
      <w:lvlText w:val="•"/>
      <w:lvlJc w:val="left"/>
      <w:pPr>
        <w:ind w:left="6537" w:hanging="567"/>
      </w:pPr>
      <w:rPr>
        <w:rFonts w:hint="default"/>
      </w:rPr>
    </w:lvl>
    <w:lvl w:ilvl="5">
      <w:start w:val="1"/>
      <w:numFmt w:val="bullet"/>
      <w:lvlText w:val="•"/>
      <w:lvlJc w:val="left"/>
      <w:pPr>
        <w:ind w:left="7572" w:hanging="567"/>
      </w:pPr>
      <w:rPr>
        <w:rFonts w:hint="default"/>
      </w:rPr>
    </w:lvl>
    <w:lvl w:ilvl="6">
      <w:start w:val="1"/>
      <w:numFmt w:val="bullet"/>
      <w:lvlText w:val="•"/>
      <w:lvlJc w:val="left"/>
      <w:pPr>
        <w:ind w:left="8606" w:hanging="567"/>
      </w:pPr>
      <w:rPr>
        <w:rFonts w:hint="default"/>
      </w:rPr>
    </w:lvl>
    <w:lvl w:ilvl="7">
      <w:start w:val="1"/>
      <w:numFmt w:val="bullet"/>
      <w:lvlText w:val="•"/>
      <w:lvlJc w:val="left"/>
      <w:pPr>
        <w:ind w:left="9641" w:hanging="567"/>
      </w:pPr>
      <w:rPr>
        <w:rFonts w:hint="default"/>
      </w:rPr>
    </w:lvl>
    <w:lvl w:ilvl="8">
      <w:start w:val="1"/>
      <w:numFmt w:val="bullet"/>
      <w:lvlText w:val="•"/>
      <w:lvlJc w:val="left"/>
      <w:pPr>
        <w:ind w:left="10675" w:hanging="567"/>
      </w:pPr>
      <w:rPr>
        <w:rFonts w:hint="default"/>
      </w:rPr>
    </w:lvl>
  </w:abstractNum>
  <w:abstractNum w:abstractNumId="56">
    <w:multiLevelType w:val="hybridMultilevel"/>
    <w:lvl w:ilvl="0">
      <w:start w:val="1"/>
      <w:numFmt w:val="lowerLetter"/>
      <w:lvlText w:val="(%1)"/>
      <w:lvlJc w:val="left"/>
      <w:pPr>
        <w:ind w:left="2390" w:hanging="567"/>
        <w:jc w:val="left"/>
      </w:pPr>
      <w:rPr>
        <w:rFonts w:hint="default" w:ascii="Arial" w:hAnsi="Arial" w:eastAsia="Arial" w:cs="Arial"/>
        <w:b/>
        <w:bCs/>
        <w:w w:val="99"/>
        <w:sz w:val="18"/>
        <w:szCs w:val="18"/>
      </w:rPr>
    </w:lvl>
    <w:lvl w:ilvl="1">
      <w:start w:val="1"/>
      <w:numFmt w:val="lowerRoman"/>
      <w:lvlText w:val="(%2)"/>
      <w:lvlJc w:val="left"/>
      <w:pPr>
        <w:ind w:left="2956" w:hanging="567"/>
        <w:jc w:val="left"/>
      </w:pPr>
      <w:rPr>
        <w:rFonts w:hint="default" w:ascii="Arial" w:hAnsi="Arial" w:eastAsia="Arial" w:cs="Arial"/>
        <w:b/>
        <w:bCs/>
        <w:w w:val="100"/>
        <w:sz w:val="18"/>
        <w:szCs w:val="18"/>
      </w:rPr>
    </w:lvl>
    <w:lvl w:ilvl="2">
      <w:start w:val="1"/>
      <w:numFmt w:val="bullet"/>
      <w:lvlText w:val="•"/>
      <w:lvlJc w:val="left"/>
      <w:pPr>
        <w:ind w:left="4047" w:hanging="567"/>
      </w:pPr>
      <w:rPr>
        <w:rFonts w:hint="default"/>
      </w:rPr>
    </w:lvl>
    <w:lvl w:ilvl="3">
      <w:start w:val="1"/>
      <w:numFmt w:val="bullet"/>
      <w:lvlText w:val="•"/>
      <w:lvlJc w:val="left"/>
      <w:pPr>
        <w:ind w:left="5134" w:hanging="567"/>
      </w:pPr>
      <w:rPr>
        <w:rFonts w:hint="default"/>
      </w:rPr>
    </w:lvl>
    <w:lvl w:ilvl="4">
      <w:start w:val="1"/>
      <w:numFmt w:val="bullet"/>
      <w:lvlText w:val="•"/>
      <w:lvlJc w:val="left"/>
      <w:pPr>
        <w:ind w:left="6221" w:hanging="567"/>
      </w:pPr>
      <w:rPr>
        <w:rFonts w:hint="default"/>
      </w:rPr>
    </w:lvl>
    <w:lvl w:ilvl="5">
      <w:start w:val="1"/>
      <w:numFmt w:val="bullet"/>
      <w:lvlText w:val="•"/>
      <w:lvlJc w:val="left"/>
      <w:pPr>
        <w:ind w:left="7308" w:hanging="567"/>
      </w:pPr>
      <w:rPr>
        <w:rFonts w:hint="default"/>
      </w:rPr>
    </w:lvl>
    <w:lvl w:ilvl="6">
      <w:start w:val="1"/>
      <w:numFmt w:val="bullet"/>
      <w:lvlText w:val="•"/>
      <w:lvlJc w:val="left"/>
      <w:pPr>
        <w:ind w:left="8395" w:hanging="567"/>
      </w:pPr>
      <w:rPr>
        <w:rFonts w:hint="default"/>
      </w:rPr>
    </w:lvl>
    <w:lvl w:ilvl="7">
      <w:start w:val="1"/>
      <w:numFmt w:val="bullet"/>
      <w:lvlText w:val="•"/>
      <w:lvlJc w:val="left"/>
      <w:pPr>
        <w:ind w:left="9483" w:hanging="567"/>
      </w:pPr>
      <w:rPr>
        <w:rFonts w:hint="default"/>
      </w:rPr>
    </w:lvl>
    <w:lvl w:ilvl="8">
      <w:start w:val="1"/>
      <w:numFmt w:val="bullet"/>
      <w:lvlText w:val="•"/>
      <w:lvlJc w:val="left"/>
      <w:pPr>
        <w:ind w:left="10570" w:hanging="567"/>
      </w:pPr>
      <w:rPr>
        <w:rFonts w:hint="default"/>
      </w:rPr>
    </w:lvl>
  </w:abstractNum>
  <w:abstractNum w:abstractNumId="51">
    <w:multiLevelType w:val="hybridMultilevel"/>
    <w:lvl w:ilvl="0">
      <w:start w:val="1"/>
      <w:numFmt w:val="lowerLetter"/>
      <w:lvlText w:val="(%1)"/>
      <w:lvlJc w:val="left"/>
      <w:pPr>
        <w:ind w:left="2391" w:hanging="567"/>
        <w:jc w:val="left"/>
      </w:pPr>
      <w:rPr>
        <w:rFonts w:hint="default" w:ascii="Arial" w:hAnsi="Arial" w:eastAsia="Arial" w:cs="Arial"/>
        <w:b/>
        <w:bCs/>
        <w:spacing w:val="-1"/>
        <w:w w:val="99"/>
        <w:sz w:val="18"/>
        <w:szCs w:val="18"/>
      </w:rPr>
    </w:lvl>
    <w:lvl w:ilvl="1">
      <w:start w:val="1"/>
      <w:numFmt w:val="bullet"/>
      <w:lvlText w:val=""/>
      <w:lvlJc w:val="left"/>
      <w:pPr>
        <w:ind w:left="2959" w:hanging="567"/>
      </w:pPr>
      <w:rPr>
        <w:rFonts w:hint="default" w:ascii="Symbol" w:hAnsi="Symbol" w:eastAsia="Symbol" w:cs="Symbol"/>
        <w:w w:val="100"/>
        <w:sz w:val="18"/>
        <w:szCs w:val="18"/>
      </w:rPr>
    </w:lvl>
    <w:lvl w:ilvl="2">
      <w:start w:val="1"/>
      <w:numFmt w:val="bullet"/>
      <w:lvlText w:val="•"/>
      <w:lvlJc w:val="left"/>
      <w:pPr>
        <w:ind w:left="4047" w:hanging="567"/>
      </w:pPr>
      <w:rPr>
        <w:rFonts w:hint="default"/>
      </w:rPr>
    </w:lvl>
    <w:lvl w:ilvl="3">
      <w:start w:val="1"/>
      <w:numFmt w:val="bullet"/>
      <w:lvlText w:val="•"/>
      <w:lvlJc w:val="left"/>
      <w:pPr>
        <w:ind w:left="5134" w:hanging="567"/>
      </w:pPr>
      <w:rPr>
        <w:rFonts w:hint="default"/>
      </w:rPr>
    </w:lvl>
    <w:lvl w:ilvl="4">
      <w:start w:val="1"/>
      <w:numFmt w:val="bullet"/>
      <w:lvlText w:val="•"/>
      <w:lvlJc w:val="left"/>
      <w:pPr>
        <w:ind w:left="6221" w:hanging="567"/>
      </w:pPr>
      <w:rPr>
        <w:rFonts w:hint="default"/>
      </w:rPr>
    </w:lvl>
    <w:lvl w:ilvl="5">
      <w:start w:val="1"/>
      <w:numFmt w:val="bullet"/>
      <w:lvlText w:val="•"/>
      <w:lvlJc w:val="left"/>
      <w:pPr>
        <w:ind w:left="7308" w:hanging="567"/>
      </w:pPr>
      <w:rPr>
        <w:rFonts w:hint="default"/>
      </w:rPr>
    </w:lvl>
    <w:lvl w:ilvl="6">
      <w:start w:val="1"/>
      <w:numFmt w:val="bullet"/>
      <w:lvlText w:val="•"/>
      <w:lvlJc w:val="left"/>
      <w:pPr>
        <w:ind w:left="8395" w:hanging="567"/>
      </w:pPr>
      <w:rPr>
        <w:rFonts w:hint="default"/>
      </w:rPr>
    </w:lvl>
    <w:lvl w:ilvl="7">
      <w:start w:val="1"/>
      <w:numFmt w:val="bullet"/>
      <w:lvlText w:val="•"/>
      <w:lvlJc w:val="left"/>
      <w:pPr>
        <w:ind w:left="9483" w:hanging="567"/>
      </w:pPr>
      <w:rPr>
        <w:rFonts w:hint="default"/>
      </w:rPr>
    </w:lvl>
    <w:lvl w:ilvl="8">
      <w:start w:val="1"/>
      <w:numFmt w:val="bullet"/>
      <w:lvlText w:val="•"/>
      <w:lvlJc w:val="left"/>
      <w:pPr>
        <w:ind w:left="10570" w:hanging="567"/>
      </w:pPr>
      <w:rPr>
        <w:rFonts w:hint="default"/>
      </w:rPr>
    </w:lvl>
  </w:abstractNum>
  <w:abstractNum w:abstractNumId="47">
    <w:multiLevelType w:val="hybridMultilevel"/>
    <w:lvl w:ilvl="0">
      <w:start w:val="1"/>
      <w:numFmt w:val="lowerLetter"/>
      <w:lvlText w:val="(%1)"/>
      <w:lvlJc w:val="left"/>
      <w:pPr>
        <w:ind w:left="2391" w:hanging="567"/>
        <w:jc w:val="left"/>
      </w:pPr>
      <w:rPr>
        <w:rFonts w:hint="default" w:ascii="Arial" w:hAnsi="Arial" w:eastAsia="Arial" w:cs="Arial"/>
        <w:b/>
        <w:bCs/>
        <w:spacing w:val="-1"/>
        <w:w w:val="99"/>
        <w:sz w:val="18"/>
        <w:szCs w:val="18"/>
      </w:rPr>
    </w:lvl>
    <w:lvl w:ilvl="1">
      <w:start w:val="1"/>
      <w:numFmt w:val="bullet"/>
      <w:lvlText w:val="•"/>
      <w:lvlJc w:val="left"/>
      <w:pPr>
        <w:ind w:left="3434" w:hanging="567"/>
      </w:pPr>
      <w:rPr>
        <w:rFonts w:hint="default"/>
      </w:rPr>
    </w:lvl>
    <w:lvl w:ilvl="2">
      <w:start w:val="1"/>
      <w:numFmt w:val="bullet"/>
      <w:lvlText w:val="•"/>
      <w:lvlJc w:val="left"/>
      <w:pPr>
        <w:ind w:left="4468" w:hanging="567"/>
      </w:pPr>
      <w:rPr>
        <w:rFonts w:hint="default"/>
      </w:rPr>
    </w:lvl>
    <w:lvl w:ilvl="3">
      <w:start w:val="1"/>
      <w:numFmt w:val="bullet"/>
      <w:lvlText w:val="•"/>
      <w:lvlJc w:val="left"/>
      <w:pPr>
        <w:ind w:left="5503" w:hanging="567"/>
      </w:pPr>
      <w:rPr>
        <w:rFonts w:hint="default"/>
      </w:rPr>
    </w:lvl>
    <w:lvl w:ilvl="4">
      <w:start w:val="1"/>
      <w:numFmt w:val="bullet"/>
      <w:lvlText w:val="•"/>
      <w:lvlJc w:val="left"/>
      <w:pPr>
        <w:ind w:left="6537" w:hanging="567"/>
      </w:pPr>
      <w:rPr>
        <w:rFonts w:hint="default"/>
      </w:rPr>
    </w:lvl>
    <w:lvl w:ilvl="5">
      <w:start w:val="1"/>
      <w:numFmt w:val="bullet"/>
      <w:lvlText w:val="•"/>
      <w:lvlJc w:val="left"/>
      <w:pPr>
        <w:ind w:left="7572" w:hanging="567"/>
      </w:pPr>
      <w:rPr>
        <w:rFonts w:hint="default"/>
      </w:rPr>
    </w:lvl>
    <w:lvl w:ilvl="6">
      <w:start w:val="1"/>
      <w:numFmt w:val="bullet"/>
      <w:lvlText w:val="•"/>
      <w:lvlJc w:val="left"/>
      <w:pPr>
        <w:ind w:left="8606" w:hanging="567"/>
      </w:pPr>
      <w:rPr>
        <w:rFonts w:hint="default"/>
      </w:rPr>
    </w:lvl>
    <w:lvl w:ilvl="7">
      <w:start w:val="1"/>
      <w:numFmt w:val="bullet"/>
      <w:lvlText w:val="•"/>
      <w:lvlJc w:val="left"/>
      <w:pPr>
        <w:ind w:left="9641" w:hanging="567"/>
      </w:pPr>
      <w:rPr>
        <w:rFonts w:hint="default"/>
      </w:rPr>
    </w:lvl>
    <w:lvl w:ilvl="8">
      <w:start w:val="1"/>
      <w:numFmt w:val="bullet"/>
      <w:lvlText w:val="•"/>
      <w:lvlJc w:val="left"/>
      <w:pPr>
        <w:ind w:left="10675" w:hanging="567"/>
      </w:pPr>
      <w:rPr>
        <w:rFonts w:hint="default"/>
      </w:rPr>
    </w:lvl>
  </w:abstractNum>
  <w:abstractNum w:abstractNumId="43">
    <w:multiLevelType w:val="hybridMultilevel"/>
    <w:lvl w:ilvl="0">
      <w:start w:val="1"/>
      <w:numFmt w:val="lowerRoman"/>
      <w:lvlText w:val="(%1)"/>
      <w:lvlJc w:val="left"/>
      <w:pPr>
        <w:ind w:left="2390" w:hanging="567"/>
        <w:jc w:val="left"/>
      </w:pPr>
      <w:rPr>
        <w:rFonts w:hint="default" w:ascii="Arial" w:hAnsi="Arial" w:eastAsia="Arial" w:cs="Arial"/>
        <w:b/>
        <w:bCs/>
        <w:w w:val="100"/>
        <w:sz w:val="18"/>
        <w:szCs w:val="18"/>
      </w:rPr>
    </w:lvl>
    <w:lvl w:ilvl="1">
      <w:start w:val="1"/>
      <w:numFmt w:val="bullet"/>
      <w:lvlText w:val="•"/>
      <w:lvlJc w:val="left"/>
      <w:pPr>
        <w:ind w:left="3434" w:hanging="567"/>
      </w:pPr>
      <w:rPr>
        <w:rFonts w:hint="default"/>
      </w:rPr>
    </w:lvl>
    <w:lvl w:ilvl="2">
      <w:start w:val="1"/>
      <w:numFmt w:val="bullet"/>
      <w:lvlText w:val="•"/>
      <w:lvlJc w:val="left"/>
      <w:pPr>
        <w:ind w:left="4468" w:hanging="567"/>
      </w:pPr>
      <w:rPr>
        <w:rFonts w:hint="default"/>
      </w:rPr>
    </w:lvl>
    <w:lvl w:ilvl="3">
      <w:start w:val="1"/>
      <w:numFmt w:val="bullet"/>
      <w:lvlText w:val="•"/>
      <w:lvlJc w:val="left"/>
      <w:pPr>
        <w:ind w:left="5503" w:hanging="567"/>
      </w:pPr>
      <w:rPr>
        <w:rFonts w:hint="default"/>
      </w:rPr>
    </w:lvl>
    <w:lvl w:ilvl="4">
      <w:start w:val="1"/>
      <w:numFmt w:val="bullet"/>
      <w:lvlText w:val="•"/>
      <w:lvlJc w:val="left"/>
      <w:pPr>
        <w:ind w:left="6537" w:hanging="567"/>
      </w:pPr>
      <w:rPr>
        <w:rFonts w:hint="default"/>
      </w:rPr>
    </w:lvl>
    <w:lvl w:ilvl="5">
      <w:start w:val="1"/>
      <w:numFmt w:val="bullet"/>
      <w:lvlText w:val="•"/>
      <w:lvlJc w:val="left"/>
      <w:pPr>
        <w:ind w:left="7572" w:hanging="567"/>
      </w:pPr>
      <w:rPr>
        <w:rFonts w:hint="default"/>
      </w:rPr>
    </w:lvl>
    <w:lvl w:ilvl="6">
      <w:start w:val="1"/>
      <w:numFmt w:val="bullet"/>
      <w:lvlText w:val="•"/>
      <w:lvlJc w:val="left"/>
      <w:pPr>
        <w:ind w:left="8606" w:hanging="567"/>
      </w:pPr>
      <w:rPr>
        <w:rFonts w:hint="default"/>
      </w:rPr>
    </w:lvl>
    <w:lvl w:ilvl="7">
      <w:start w:val="1"/>
      <w:numFmt w:val="bullet"/>
      <w:lvlText w:val="•"/>
      <w:lvlJc w:val="left"/>
      <w:pPr>
        <w:ind w:left="9641" w:hanging="567"/>
      </w:pPr>
      <w:rPr>
        <w:rFonts w:hint="default"/>
      </w:rPr>
    </w:lvl>
    <w:lvl w:ilvl="8">
      <w:start w:val="1"/>
      <w:numFmt w:val="bullet"/>
      <w:lvlText w:val="•"/>
      <w:lvlJc w:val="left"/>
      <w:pPr>
        <w:ind w:left="10675" w:hanging="567"/>
      </w:pPr>
      <w:rPr>
        <w:rFonts w:hint="default"/>
      </w:rPr>
    </w:lvl>
  </w:abstractNum>
  <w:abstractNum w:abstractNumId="42">
    <w:multiLevelType w:val="hybridMultilevel"/>
    <w:lvl w:ilvl="0">
      <w:start w:val="1"/>
      <w:numFmt w:val="lowerLetter"/>
      <w:lvlText w:val="(%1)"/>
      <w:lvlJc w:val="left"/>
      <w:pPr>
        <w:ind w:left="2390" w:hanging="567"/>
        <w:jc w:val="left"/>
      </w:pPr>
      <w:rPr>
        <w:rFonts w:hint="default" w:ascii="Arial" w:hAnsi="Arial" w:eastAsia="Arial" w:cs="Arial"/>
        <w:b/>
        <w:bCs/>
        <w:spacing w:val="-1"/>
        <w:w w:val="99"/>
        <w:sz w:val="18"/>
        <w:szCs w:val="18"/>
      </w:rPr>
    </w:lvl>
    <w:lvl w:ilvl="1">
      <w:start w:val="1"/>
      <w:numFmt w:val="lowerRoman"/>
      <w:lvlText w:val="(%2)"/>
      <w:lvlJc w:val="left"/>
      <w:pPr>
        <w:ind w:left="2837" w:hanging="447"/>
        <w:jc w:val="left"/>
      </w:pPr>
      <w:rPr>
        <w:rFonts w:hint="default" w:ascii="Arial" w:hAnsi="Arial" w:eastAsia="Arial" w:cs="Arial"/>
        <w:b/>
        <w:bCs/>
        <w:i/>
        <w:w w:val="100"/>
        <w:sz w:val="18"/>
        <w:szCs w:val="18"/>
      </w:rPr>
    </w:lvl>
    <w:lvl w:ilvl="2">
      <w:start w:val="1"/>
      <w:numFmt w:val="bullet"/>
      <w:lvlText w:val="•"/>
      <w:lvlJc w:val="left"/>
      <w:pPr>
        <w:ind w:left="3940" w:hanging="447"/>
      </w:pPr>
      <w:rPr>
        <w:rFonts w:hint="default"/>
      </w:rPr>
    </w:lvl>
    <w:lvl w:ilvl="3">
      <w:start w:val="1"/>
      <w:numFmt w:val="bullet"/>
      <w:lvlText w:val="•"/>
      <w:lvlJc w:val="left"/>
      <w:pPr>
        <w:ind w:left="5041" w:hanging="447"/>
      </w:pPr>
      <w:rPr>
        <w:rFonts w:hint="default"/>
      </w:rPr>
    </w:lvl>
    <w:lvl w:ilvl="4">
      <w:start w:val="1"/>
      <w:numFmt w:val="bullet"/>
      <w:lvlText w:val="•"/>
      <w:lvlJc w:val="left"/>
      <w:pPr>
        <w:ind w:left="6141" w:hanging="447"/>
      </w:pPr>
      <w:rPr>
        <w:rFonts w:hint="default"/>
      </w:rPr>
    </w:lvl>
    <w:lvl w:ilvl="5">
      <w:start w:val="1"/>
      <w:numFmt w:val="bullet"/>
      <w:lvlText w:val="•"/>
      <w:lvlJc w:val="left"/>
      <w:pPr>
        <w:ind w:left="7242" w:hanging="447"/>
      </w:pPr>
      <w:rPr>
        <w:rFonts w:hint="default"/>
      </w:rPr>
    </w:lvl>
    <w:lvl w:ilvl="6">
      <w:start w:val="1"/>
      <w:numFmt w:val="bullet"/>
      <w:lvlText w:val="•"/>
      <w:lvlJc w:val="left"/>
      <w:pPr>
        <w:ind w:left="8342" w:hanging="447"/>
      </w:pPr>
      <w:rPr>
        <w:rFonts w:hint="default"/>
      </w:rPr>
    </w:lvl>
    <w:lvl w:ilvl="7">
      <w:start w:val="1"/>
      <w:numFmt w:val="bullet"/>
      <w:lvlText w:val="•"/>
      <w:lvlJc w:val="left"/>
      <w:pPr>
        <w:ind w:left="9443" w:hanging="447"/>
      </w:pPr>
      <w:rPr>
        <w:rFonts w:hint="default"/>
      </w:rPr>
    </w:lvl>
    <w:lvl w:ilvl="8">
      <w:start w:val="1"/>
      <w:numFmt w:val="bullet"/>
      <w:lvlText w:val="•"/>
      <w:lvlJc w:val="left"/>
      <w:pPr>
        <w:ind w:left="10543" w:hanging="447"/>
      </w:pPr>
      <w:rPr>
        <w:rFonts w:hint="default"/>
      </w:rPr>
    </w:lvl>
  </w:abstractNum>
  <w:abstractNum w:abstractNumId="29">
    <w:multiLevelType w:val="hybridMultilevel"/>
    <w:lvl w:ilvl="0">
      <w:start w:val="1"/>
      <w:numFmt w:val="lowerLetter"/>
      <w:lvlText w:val="(%1)"/>
      <w:lvlJc w:val="left"/>
      <w:pPr>
        <w:ind w:left="2391" w:hanging="567"/>
        <w:jc w:val="left"/>
      </w:pPr>
      <w:rPr>
        <w:rFonts w:hint="default" w:ascii="Arial" w:hAnsi="Arial" w:eastAsia="Arial" w:cs="Arial"/>
        <w:w w:val="99"/>
        <w:sz w:val="18"/>
        <w:szCs w:val="18"/>
      </w:rPr>
    </w:lvl>
    <w:lvl w:ilvl="1">
      <w:start w:val="1"/>
      <w:numFmt w:val="lowerRoman"/>
      <w:lvlText w:val="%2)"/>
      <w:lvlJc w:val="left"/>
      <w:pPr>
        <w:ind w:left="2390" w:hanging="150"/>
        <w:jc w:val="left"/>
      </w:pPr>
      <w:rPr>
        <w:rFonts w:hint="default" w:ascii="Arial" w:hAnsi="Arial" w:eastAsia="Arial" w:cs="Arial"/>
        <w:w w:val="99"/>
        <w:sz w:val="18"/>
        <w:szCs w:val="18"/>
      </w:rPr>
    </w:lvl>
    <w:lvl w:ilvl="2">
      <w:start w:val="1"/>
      <w:numFmt w:val="bullet"/>
      <w:lvlText w:val="•"/>
      <w:lvlJc w:val="left"/>
      <w:pPr>
        <w:ind w:left="4468" w:hanging="150"/>
      </w:pPr>
      <w:rPr>
        <w:rFonts w:hint="default"/>
      </w:rPr>
    </w:lvl>
    <w:lvl w:ilvl="3">
      <w:start w:val="1"/>
      <w:numFmt w:val="bullet"/>
      <w:lvlText w:val="•"/>
      <w:lvlJc w:val="left"/>
      <w:pPr>
        <w:ind w:left="5503" w:hanging="150"/>
      </w:pPr>
      <w:rPr>
        <w:rFonts w:hint="default"/>
      </w:rPr>
    </w:lvl>
    <w:lvl w:ilvl="4">
      <w:start w:val="1"/>
      <w:numFmt w:val="bullet"/>
      <w:lvlText w:val="•"/>
      <w:lvlJc w:val="left"/>
      <w:pPr>
        <w:ind w:left="6537" w:hanging="150"/>
      </w:pPr>
      <w:rPr>
        <w:rFonts w:hint="default"/>
      </w:rPr>
    </w:lvl>
    <w:lvl w:ilvl="5">
      <w:start w:val="1"/>
      <w:numFmt w:val="bullet"/>
      <w:lvlText w:val="•"/>
      <w:lvlJc w:val="left"/>
      <w:pPr>
        <w:ind w:left="7572" w:hanging="150"/>
      </w:pPr>
      <w:rPr>
        <w:rFonts w:hint="default"/>
      </w:rPr>
    </w:lvl>
    <w:lvl w:ilvl="6">
      <w:start w:val="1"/>
      <w:numFmt w:val="bullet"/>
      <w:lvlText w:val="•"/>
      <w:lvlJc w:val="left"/>
      <w:pPr>
        <w:ind w:left="8606" w:hanging="150"/>
      </w:pPr>
      <w:rPr>
        <w:rFonts w:hint="default"/>
      </w:rPr>
    </w:lvl>
    <w:lvl w:ilvl="7">
      <w:start w:val="1"/>
      <w:numFmt w:val="bullet"/>
      <w:lvlText w:val="•"/>
      <w:lvlJc w:val="left"/>
      <w:pPr>
        <w:ind w:left="9641" w:hanging="150"/>
      </w:pPr>
      <w:rPr>
        <w:rFonts w:hint="default"/>
      </w:rPr>
    </w:lvl>
    <w:lvl w:ilvl="8">
      <w:start w:val="1"/>
      <w:numFmt w:val="bullet"/>
      <w:lvlText w:val="•"/>
      <w:lvlJc w:val="left"/>
      <w:pPr>
        <w:ind w:left="10675" w:hanging="150"/>
      </w:pPr>
      <w:rPr>
        <w:rFonts w:hint="default"/>
      </w:rPr>
    </w:lvl>
  </w:abstractNum>
  <w:abstractNum w:abstractNumId="26">
    <w:multiLevelType w:val="hybridMultilevel"/>
    <w:lvl w:ilvl="0">
      <w:start w:val="1"/>
      <w:numFmt w:val="lowerLetter"/>
      <w:lvlText w:val="(%1)"/>
      <w:lvlJc w:val="left"/>
      <w:pPr>
        <w:ind w:left="2391" w:hanging="567"/>
        <w:jc w:val="left"/>
      </w:pPr>
      <w:rPr>
        <w:rFonts w:hint="default" w:ascii="Arial" w:hAnsi="Arial" w:eastAsia="Arial" w:cs="Arial"/>
        <w:spacing w:val="-1"/>
        <w:w w:val="99"/>
        <w:sz w:val="18"/>
        <w:szCs w:val="18"/>
      </w:rPr>
    </w:lvl>
    <w:lvl w:ilvl="1">
      <w:start w:val="1"/>
      <w:numFmt w:val="lowerRoman"/>
      <w:lvlText w:val="(%2)"/>
      <w:lvlJc w:val="left"/>
      <w:pPr>
        <w:ind w:left="2599" w:hanging="210"/>
        <w:jc w:val="left"/>
      </w:pPr>
      <w:rPr>
        <w:rFonts w:hint="default" w:ascii="Arial" w:hAnsi="Arial" w:eastAsia="Arial" w:cs="Arial"/>
        <w:spacing w:val="-1"/>
        <w:w w:val="99"/>
        <w:sz w:val="18"/>
        <w:szCs w:val="18"/>
      </w:rPr>
    </w:lvl>
    <w:lvl w:ilvl="2">
      <w:start w:val="1"/>
      <w:numFmt w:val="bullet"/>
      <w:lvlText w:val="•"/>
      <w:lvlJc w:val="left"/>
      <w:pPr>
        <w:ind w:left="3727" w:hanging="210"/>
      </w:pPr>
      <w:rPr>
        <w:rFonts w:hint="default"/>
      </w:rPr>
    </w:lvl>
    <w:lvl w:ilvl="3">
      <w:start w:val="1"/>
      <w:numFmt w:val="bullet"/>
      <w:lvlText w:val="•"/>
      <w:lvlJc w:val="left"/>
      <w:pPr>
        <w:ind w:left="4854" w:hanging="210"/>
      </w:pPr>
      <w:rPr>
        <w:rFonts w:hint="default"/>
      </w:rPr>
    </w:lvl>
    <w:lvl w:ilvl="4">
      <w:start w:val="1"/>
      <w:numFmt w:val="bullet"/>
      <w:lvlText w:val="•"/>
      <w:lvlJc w:val="left"/>
      <w:pPr>
        <w:ind w:left="5981" w:hanging="210"/>
      </w:pPr>
      <w:rPr>
        <w:rFonts w:hint="default"/>
      </w:rPr>
    </w:lvl>
    <w:lvl w:ilvl="5">
      <w:start w:val="1"/>
      <w:numFmt w:val="bullet"/>
      <w:lvlText w:val="•"/>
      <w:lvlJc w:val="left"/>
      <w:pPr>
        <w:ind w:left="7108" w:hanging="210"/>
      </w:pPr>
      <w:rPr>
        <w:rFonts w:hint="default"/>
      </w:rPr>
    </w:lvl>
    <w:lvl w:ilvl="6">
      <w:start w:val="1"/>
      <w:numFmt w:val="bullet"/>
      <w:lvlText w:val="•"/>
      <w:lvlJc w:val="left"/>
      <w:pPr>
        <w:ind w:left="8235" w:hanging="210"/>
      </w:pPr>
      <w:rPr>
        <w:rFonts w:hint="default"/>
      </w:rPr>
    </w:lvl>
    <w:lvl w:ilvl="7">
      <w:start w:val="1"/>
      <w:numFmt w:val="bullet"/>
      <w:lvlText w:val="•"/>
      <w:lvlJc w:val="left"/>
      <w:pPr>
        <w:ind w:left="9363" w:hanging="210"/>
      </w:pPr>
      <w:rPr>
        <w:rFonts w:hint="default"/>
      </w:rPr>
    </w:lvl>
    <w:lvl w:ilvl="8">
      <w:start w:val="1"/>
      <w:numFmt w:val="bullet"/>
      <w:lvlText w:val="•"/>
      <w:lvlJc w:val="left"/>
      <w:pPr>
        <w:ind w:left="10490" w:hanging="210"/>
      </w:pPr>
      <w:rPr>
        <w:rFonts w:hint="default"/>
      </w:rPr>
    </w:lvl>
  </w:abstractNum>
  <w:abstractNum w:abstractNumId="22">
    <w:multiLevelType w:val="hybridMultilevel"/>
    <w:lvl w:ilvl="0">
      <w:start w:val="1"/>
      <w:numFmt w:val="lowerLetter"/>
      <w:lvlText w:val="(%1)"/>
      <w:lvlJc w:val="left"/>
      <w:pPr>
        <w:ind w:left="2391" w:hanging="567"/>
        <w:jc w:val="left"/>
      </w:pPr>
      <w:rPr>
        <w:rFonts w:hint="default" w:ascii="Arial" w:hAnsi="Arial" w:eastAsia="Arial" w:cs="Arial"/>
        <w:spacing w:val="-1"/>
        <w:w w:val="99"/>
        <w:sz w:val="18"/>
        <w:szCs w:val="18"/>
      </w:rPr>
    </w:lvl>
    <w:lvl w:ilvl="1">
      <w:start w:val="1"/>
      <w:numFmt w:val="bullet"/>
      <w:lvlText w:val="•"/>
      <w:lvlJc w:val="left"/>
      <w:pPr>
        <w:ind w:left="3434" w:hanging="567"/>
      </w:pPr>
      <w:rPr>
        <w:rFonts w:hint="default"/>
      </w:rPr>
    </w:lvl>
    <w:lvl w:ilvl="2">
      <w:start w:val="1"/>
      <w:numFmt w:val="bullet"/>
      <w:lvlText w:val="•"/>
      <w:lvlJc w:val="left"/>
      <w:pPr>
        <w:ind w:left="4468" w:hanging="567"/>
      </w:pPr>
      <w:rPr>
        <w:rFonts w:hint="default"/>
      </w:rPr>
    </w:lvl>
    <w:lvl w:ilvl="3">
      <w:start w:val="1"/>
      <w:numFmt w:val="bullet"/>
      <w:lvlText w:val="•"/>
      <w:lvlJc w:val="left"/>
      <w:pPr>
        <w:ind w:left="5503" w:hanging="567"/>
      </w:pPr>
      <w:rPr>
        <w:rFonts w:hint="default"/>
      </w:rPr>
    </w:lvl>
    <w:lvl w:ilvl="4">
      <w:start w:val="1"/>
      <w:numFmt w:val="bullet"/>
      <w:lvlText w:val="•"/>
      <w:lvlJc w:val="left"/>
      <w:pPr>
        <w:ind w:left="6537" w:hanging="567"/>
      </w:pPr>
      <w:rPr>
        <w:rFonts w:hint="default"/>
      </w:rPr>
    </w:lvl>
    <w:lvl w:ilvl="5">
      <w:start w:val="1"/>
      <w:numFmt w:val="bullet"/>
      <w:lvlText w:val="•"/>
      <w:lvlJc w:val="left"/>
      <w:pPr>
        <w:ind w:left="7572" w:hanging="567"/>
      </w:pPr>
      <w:rPr>
        <w:rFonts w:hint="default"/>
      </w:rPr>
    </w:lvl>
    <w:lvl w:ilvl="6">
      <w:start w:val="1"/>
      <w:numFmt w:val="bullet"/>
      <w:lvlText w:val="•"/>
      <w:lvlJc w:val="left"/>
      <w:pPr>
        <w:ind w:left="8606" w:hanging="567"/>
      </w:pPr>
      <w:rPr>
        <w:rFonts w:hint="default"/>
      </w:rPr>
    </w:lvl>
    <w:lvl w:ilvl="7">
      <w:start w:val="1"/>
      <w:numFmt w:val="bullet"/>
      <w:lvlText w:val="•"/>
      <w:lvlJc w:val="left"/>
      <w:pPr>
        <w:ind w:left="9641" w:hanging="567"/>
      </w:pPr>
      <w:rPr>
        <w:rFonts w:hint="default"/>
      </w:rPr>
    </w:lvl>
    <w:lvl w:ilvl="8">
      <w:start w:val="1"/>
      <w:numFmt w:val="bullet"/>
      <w:lvlText w:val="•"/>
      <w:lvlJc w:val="left"/>
      <w:pPr>
        <w:ind w:left="10675" w:hanging="567"/>
      </w:pPr>
      <w:rPr>
        <w:rFonts w:hint="default"/>
      </w:rPr>
    </w:lvl>
  </w:abstractNum>
  <w:abstractNum w:abstractNumId="19">
    <w:multiLevelType w:val="hybridMultilevel"/>
    <w:lvl w:ilvl="0">
      <w:start w:val="1"/>
      <w:numFmt w:val="lowerLetter"/>
      <w:lvlText w:val="(%1)"/>
      <w:lvlJc w:val="left"/>
      <w:pPr>
        <w:ind w:left="2391" w:hanging="567"/>
        <w:jc w:val="left"/>
      </w:pPr>
      <w:rPr>
        <w:rFonts w:hint="default" w:ascii="Arial" w:hAnsi="Arial" w:eastAsia="Arial" w:cs="Arial"/>
        <w:spacing w:val="-1"/>
        <w:w w:val="99"/>
        <w:sz w:val="18"/>
        <w:szCs w:val="18"/>
      </w:rPr>
    </w:lvl>
    <w:lvl w:ilvl="1">
      <w:start w:val="1"/>
      <w:numFmt w:val="bullet"/>
      <w:lvlText w:val="•"/>
      <w:lvlJc w:val="left"/>
      <w:pPr>
        <w:ind w:left="3434" w:hanging="567"/>
      </w:pPr>
      <w:rPr>
        <w:rFonts w:hint="default"/>
      </w:rPr>
    </w:lvl>
    <w:lvl w:ilvl="2">
      <w:start w:val="1"/>
      <w:numFmt w:val="bullet"/>
      <w:lvlText w:val="•"/>
      <w:lvlJc w:val="left"/>
      <w:pPr>
        <w:ind w:left="4468" w:hanging="567"/>
      </w:pPr>
      <w:rPr>
        <w:rFonts w:hint="default"/>
      </w:rPr>
    </w:lvl>
    <w:lvl w:ilvl="3">
      <w:start w:val="1"/>
      <w:numFmt w:val="bullet"/>
      <w:lvlText w:val="•"/>
      <w:lvlJc w:val="left"/>
      <w:pPr>
        <w:ind w:left="5503" w:hanging="567"/>
      </w:pPr>
      <w:rPr>
        <w:rFonts w:hint="default"/>
      </w:rPr>
    </w:lvl>
    <w:lvl w:ilvl="4">
      <w:start w:val="1"/>
      <w:numFmt w:val="bullet"/>
      <w:lvlText w:val="•"/>
      <w:lvlJc w:val="left"/>
      <w:pPr>
        <w:ind w:left="6537" w:hanging="567"/>
      </w:pPr>
      <w:rPr>
        <w:rFonts w:hint="default"/>
      </w:rPr>
    </w:lvl>
    <w:lvl w:ilvl="5">
      <w:start w:val="1"/>
      <w:numFmt w:val="bullet"/>
      <w:lvlText w:val="•"/>
      <w:lvlJc w:val="left"/>
      <w:pPr>
        <w:ind w:left="7572" w:hanging="567"/>
      </w:pPr>
      <w:rPr>
        <w:rFonts w:hint="default"/>
      </w:rPr>
    </w:lvl>
    <w:lvl w:ilvl="6">
      <w:start w:val="1"/>
      <w:numFmt w:val="bullet"/>
      <w:lvlText w:val="•"/>
      <w:lvlJc w:val="left"/>
      <w:pPr>
        <w:ind w:left="8606" w:hanging="567"/>
      </w:pPr>
      <w:rPr>
        <w:rFonts w:hint="default"/>
      </w:rPr>
    </w:lvl>
    <w:lvl w:ilvl="7">
      <w:start w:val="1"/>
      <w:numFmt w:val="bullet"/>
      <w:lvlText w:val="•"/>
      <w:lvlJc w:val="left"/>
      <w:pPr>
        <w:ind w:left="9641" w:hanging="567"/>
      </w:pPr>
      <w:rPr>
        <w:rFonts w:hint="default"/>
      </w:rPr>
    </w:lvl>
    <w:lvl w:ilvl="8">
      <w:start w:val="1"/>
      <w:numFmt w:val="bullet"/>
      <w:lvlText w:val="•"/>
      <w:lvlJc w:val="left"/>
      <w:pPr>
        <w:ind w:left="10675" w:hanging="567"/>
      </w:pPr>
      <w:rPr>
        <w:rFonts w:hint="default"/>
      </w:rPr>
    </w:lvl>
  </w:abstractNum>
  <w:abstractNum w:abstractNumId="6">
    <w:multiLevelType w:val="hybridMultilevel"/>
    <w:lvl w:ilvl="0">
      <w:start w:val="1"/>
      <w:numFmt w:val="bullet"/>
      <w:lvlText w:val="-"/>
      <w:lvlJc w:val="left"/>
      <w:pPr>
        <w:ind w:left="2107" w:hanging="284"/>
      </w:pPr>
      <w:rPr>
        <w:rFonts w:hint="default" w:ascii="Arial" w:hAnsi="Arial" w:eastAsia="Arial" w:cs="Arial"/>
        <w:spacing w:val="-1"/>
        <w:w w:val="99"/>
        <w:sz w:val="18"/>
        <w:szCs w:val="18"/>
      </w:rPr>
    </w:lvl>
    <w:lvl w:ilvl="1">
      <w:start w:val="1"/>
      <w:numFmt w:val="bullet"/>
      <w:lvlText w:val="•"/>
      <w:lvlJc w:val="left"/>
      <w:pPr>
        <w:ind w:left="3164" w:hanging="284"/>
      </w:pPr>
      <w:rPr>
        <w:rFonts w:hint="default"/>
      </w:rPr>
    </w:lvl>
    <w:lvl w:ilvl="2">
      <w:start w:val="1"/>
      <w:numFmt w:val="bullet"/>
      <w:lvlText w:val="•"/>
      <w:lvlJc w:val="left"/>
      <w:pPr>
        <w:ind w:left="4228" w:hanging="284"/>
      </w:pPr>
      <w:rPr>
        <w:rFonts w:hint="default"/>
      </w:rPr>
    </w:lvl>
    <w:lvl w:ilvl="3">
      <w:start w:val="1"/>
      <w:numFmt w:val="bullet"/>
      <w:lvlText w:val="•"/>
      <w:lvlJc w:val="left"/>
      <w:pPr>
        <w:ind w:left="5293" w:hanging="284"/>
      </w:pPr>
      <w:rPr>
        <w:rFonts w:hint="default"/>
      </w:rPr>
    </w:lvl>
    <w:lvl w:ilvl="4">
      <w:start w:val="1"/>
      <w:numFmt w:val="bullet"/>
      <w:lvlText w:val="•"/>
      <w:lvlJc w:val="left"/>
      <w:pPr>
        <w:ind w:left="6357" w:hanging="284"/>
      </w:pPr>
      <w:rPr>
        <w:rFonts w:hint="default"/>
      </w:rPr>
    </w:lvl>
    <w:lvl w:ilvl="5">
      <w:start w:val="1"/>
      <w:numFmt w:val="bullet"/>
      <w:lvlText w:val="•"/>
      <w:lvlJc w:val="left"/>
      <w:pPr>
        <w:ind w:left="7422" w:hanging="284"/>
      </w:pPr>
      <w:rPr>
        <w:rFonts w:hint="default"/>
      </w:rPr>
    </w:lvl>
    <w:lvl w:ilvl="6">
      <w:start w:val="1"/>
      <w:numFmt w:val="bullet"/>
      <w:lvlText w:val="•"/>
      <w:lvlJc w:val="left"/>
      <w:pPr>
        <w:ind w:left="8486" w:hanging="284"/>
      </w:pPr>
      <w:rPr>
        <w:rFonts w:hint="default"/>
      </w:rPr>
    </w:lvl>
    <w:lvl w:ilvl="7">
      <w:start w:val="1"/>
      <w:numFmt w:val="bullet"/>
      <w:lvlText w:val="•"/>
      <w:lvlJc w:val="left"/>
      <w:pPr>
        <w:ind w:left="9551" w:hanging="284"/>
      </w:pPr>
      <w:rPr>
        <w:rFonts w:hint="default"/>
      </w:rPr>
    </w:lvl>
    <w:lvl w:ilvl="8">
      <w:start w:val="1"/>
      <w:numFmt w:val="bullet"/>
      <w:lvlText w:val="•"/>
      <w:lvlJc w:val="left"/>
      <w:pPr>
        <w:ind w:left="10615" w:hanging="284"/>
      </w:pPr>
      <w:rPr>
        <w:rFonts w:hint="default"/>
      </w:rPr>
    </w:lvl>
  </w:abstractNum>
  <w:abstractNum w:abstractNumId="3">
    <w:multiLevelType w:val="hybridMultilevel"/>
    <w:lvl w:ilvl="0">
      <w:start w:val="1"/>
      <w:numFmt w:val="lowerLetter"/>
      <w:lvlText w:val="(%1)"/>
      <w:lvlJc w:val="left"/>
      <w:pPr>
        <w:ind w:left="2390" w:hanging="567"/>
        <w:jc w:val="left"/>
      </w:pPr>
      <w:rPr>
        <w:rFonts w:hint="default" w:ascii="Arial" w:hAnsi="Arial" w:eastAsia="Arial" w:cs="Arial"/>
        <w:b/>
        <w:bCs/>
        <w:spacing w:val="-1"/>
        <w:w w:val="99"/>
        <w:sz w:val="18"/>
        <w:szCs w:val="18"/>
      </w:rPr>
    </w:lvl>
    <w:lvl w:ilvl="1">
      <w:start w:val="1"/>
      <w:numFmt w:val="lowerRoman"/>
      <w:lvlText w:val="%2."/>
      <w:lvlJc w:val="left"/>
      <w:pPr>
        <w:ind w:left="1824" w:hanging="183"/>
        <w:jc w:val="left"/>
      </w:pPr>
      <w:rPr>
        <w:rFonts w:hint="default" w:ascii="Arial" w:hAnsi="Arial" w:eastAsia="Arial" w:cs="Arial"/>
        <w:spacing w:val="-8"/>
        <w:w w:val="99"/>
        <w:sz w:val="18"/>
        <w:szCs w:val="18"/>
      </w:rPr>
    </w:lvl>
    <w:lvl w:ilvl="2">
      <w:start w:val="1"/>
      <w:numFmt w:val="bullet"/>
      <w:lvlText w:val="•"/>
      <w:lvlJc w:val="left"/>
      <w:pPr>
        <w:ind w:left="3549" w:hanging="183"/>
      </w:pPr>
      <w:rPr>
        <w:rFonts w:hint="default"/>
      </w:rPr>
    </w:lvl>
    <w:lvl w:ilvl="3">
      <w:start w:val="1"/>
      <w:numFmt w:val="bullet"/>
      <w:lvlText w:val="•"/>
      <w:lvlJc w:val="left"/>
      <w:pPr>
        <w:ind w:left="4698" w:hanging="183"/>
      </w:pPr>
      <w:rPr>
        <w:rFonts w:hint="default"/>
      </w:rPr>
    </w:lvl>
    <w:lvl w:ilvl="4">
      <w:start w:val="1"/>
      <w:numFmt w:val="bullet"/>
      <w:lvlText w:val="•"/>
      <w:lvlJc w:val="left"/>
      <w:pPr>
        <w:ind w:left="5848" w:hanging="183"/>
      </w:pPr>
      <w:rPr>
        <w:rFonts w:hint="default"/>
      </w:rPr>
    </w:lvl>
    <w:lvl w:ilvl="5">
      <w:start w:val="1"/>
      <w:numFmt w:val="bullet"/>
      <w:lvlText w:val="•"/>
      <w:lvlJc w:val="left"/>
      <w:pPr>
        <w:ind w:left="6997" w:hanging="183"/>
      </w:pPr>
      <w:rPr>
        <w:rFonts w:hint="default"/>
      </w:rPr>
    </w:lvl>
    <w:lvl w:ilvl="6">
      <w:start w:val="1"/>
      <w:numFmt w:val="bullet"/>
      <w:lvlText w:val="•"/>
      <w:lvlJc w:val="left"/>
      <w:pPr>
        <w:ind w:left="8146" w:hanging="183"/>
      </w:pPr>
      <w:rPr>
        <w:rFonts w:hint="default"/>
      </w:rPr>
    </w:lvl>
    <w:lvl w:ilvl="7">
      <w:start w:val="1"/>
      <w:numFmt w:val="bullet"/>
      <w:lvlText w:val="•"/>
      <w:lvlJc w:val="left"/>
      <w:pPr>
        <w:ind w:left="9296" w:hanging="183"/>
      </w:pPr>
      <w:rPr>
        <w:rFonts w:hint="default"/>
      </w:rPr>
    </w:lvl>
    <w:lvl w:ilvl="8">
      <w:start w:val="1"/>
      <w:numFmt w:val="bullet"/>
      <w:lvlText w:val="•"/>
      <w:lvlJc w:val="left"/>
      <w:pPr>
        <w:ind w:left="10445" w:hanging="183"/>
      </w:pPr>
      <w:rPr>
        <w:rFonts w:hint="default"/>
      </w:rPr>
    </w:lvl>
  </w:abstractNum>
  <w:abstractNum w:abstractNumId="1">
    <w:multiLevelType w:val="hybridMultilevel"/>
    <w:lvl w:ilvl="0">
      <w:start w:val="1"/>
      <w:numFmt w:val="lowerLetter"/>
      <w:lvlText w:val="(%1)"/>
      <w:lvlJc w:val="left"/>
      <w:pPr>
        <w:ind w:left="2390" w:hanging="567"/>
        <w:jc w:val="left"/>
      </w:pPr>
      <w:rPr>
        <w:rFonts w:hint="default" w:ascii="Arial" w:hAnsi="Arial" w:eastAsia="Arial" w:cs="Arial"/>
        <w:b/>
        <w:bCs/>
        <w:spacing w:val="-1"/>
        <w:w w:val="99"/>
        <w:sz w:val="18"/>
        <w:szCs w:val="18"/>
      </w:rPr>
    </w:lvl>
    <w:lvl w:ilvl="1">
      <w:start w:val="1"/>
      <w:numFmt w:val="bullet"/>
      <w:lvlText w:val="•"/>
      <w:lvlJc w:val="left"/>
      <w:pPr>
        <w:ind w:left="3434" w:hanging="567"/>
      </w:pPr>
      <w:rPr>
        <w:rFonts w:hint="default"/>
      </w:rPr>
    </w:lvl>
    <w:lvl w:ilvl="2">
      <w:start w:val="1"/>
      <w:numFmt w:val="bullet"/>
      <w:lvlText w:val="•"/>
      <w:lvlJc w:val="left"/>
      <w:pPr>
        <w:ind w:left="4468" w:hanging="567"/>
      </w:pPr>
      <w:rPr>
        <w:rFonts w:hint="default"/>
      </w:rPr>
    </w:lvl>
    <w:lvl w:ilvl="3">
      <w:start w:val="1"/>
      <w:numFmt w:val="bullet"/>
      <w:lvlText w:val="•"/>
      <w:lvlJc w:val="left"/>
      <w:pPr>
        <w:ind w:left="5503" w:hanging="567"/>
      </w:pPr>
      <w:rPr>
        <w:rFonts w:hint="default"/>
      </w:rPr>
    </w:lvl>
    <w:lvl w:ilvl="4">
      <w:start w:val="1"/>
      <w:numFmt w:val="bullet"/>
      <w:lvlText w:val="•"/>
      <w:lvlJc w:val="left"/>
      <w:pPr>
        <w:ind w:left="6537" w:hanging="567"/>
      </w:pPr>
      <w:rPr>
        <w:rFonts w:hint="default"/>
      </w:rPr>
    </w:lvl>
    <w:lvl w:ilvl="5">
      <w:start w:val="1"/>
      <w:numFmt w:val="bullet"/>
      <w:lvlText w:val="•"/>
      <w:lvlJc w:val="left"/>
      <w:pPr>
        <w:ind w:left="7572" w:hanging="567"/>
      </w:pPr>
      <w:rPr>
        <w:rFonts w:hint="default"/>
      </w:rPr>
    </w:lvl>
    <w:lvl w:ilvl="6">
      <w:start w:val="1"/>
      <w:numFmt w:val="bullet"/>
      <w:lvlText w:val="•"/>
      <w:lvlJc w:val="left"/>
      <w:pPr>
        <w:ind w:left="8606" w:hanging="567"/>
      </w:pPr>
      <w:rPr>
        <w:rFonts w:hint="default"/>
      </w:rPr>
    </w:lvl>
    <w:lvl w:ilvl="7">
      <w:start w:val="1"/>
      <w:numFmt w:val="bullet"/>
      <w:lvlText w:val="•"/>
      <w:lvlJc w:val="left"/>
      <w:pPr>
        <w:ind w:left="9641" w:hanging="567"/>
      </w:pPr>
      <w:rPr>
        <w:rFonts w:hint="default"/>
      </w:rPr>
    </w:lvl>
    <w:lvl w:ilvl="8">
      <w:start w:val="1"/>
      <w:numFmt w:val="bullet"/>
      <w:lvlText w:val="•"/>
      <w:lvlJc w:val="left"/>
      <w:pPr>
        <w:ind w:left="10675" w:hanging="567"/>
      </w:pPr>
      <w:rPr>
        <w:rFonts w:hint="default"/>
      </w:rPr>
    </w:lvl>
  </w:abstractNum>
  <w:abstractNum w:abstractNumId="94">
    <w:multiLevelType w:val="hybridMultilevel"/>
    <w:lvl w:ilvl="0">
      <w:start w:val="1"/>
      <w:numFmt w:val="bullet"/>
      <w:lvlText w:val="•"/>
      <w:lvlJc w:val="left"/>
      <w:pPr>
        <w:ind w:left="2404" w:hanging="567"/>
      </w:pPr>
      <w:rPr>
        <w:rFonts w:hint="default" w:ascii="Times New Roman" w:hAnsi="Times New Roman" w:eastAsia="Times New Roman" w:cs="Times New Roman"/>
        <w:w w:val="99"/>
        <w:sz w:val="18"/>
        <w:szCs w:val="18"/>
      </w:rPr>
    </w:lvl>
    <w:lvl w:ilvl="1">
      <w:start w:val="1"/>
      <w:numFmt w:val="bullet"/>
      <w:lvlText w:val="•"/>
      <w:lvlJc w:val="left"/>
      <w:pPr>
        <w:ind w:left="3434" w:hanging="567"/>
      </w:pPr>
      <w:rPr>
        <w:rFonts w:hint="default"/>
      </w:rPr>
    </w:lvl>
    <w:lvl w:ilvl="2">
      <w:start w:val="1"/>
      <w:numFmt w:val="bullet"/>
      <w:lvlText w:val="•"/>
      <w:lvlJc w:val="left"/>
      <w:pPr>
        <w:ind w:left="4468" w:hanging="567"/>
      </w:pPr>
      <w:rPr>
        <w:rFonts w:hint="default"/>
      </w:rPr>
    </w:lvl>
    <w:lvl w:ilvl="3">
      <w:start w:val="1"/>
      <w:numFmt w:val="bullet"/>
      <w:lvlText w:val="•"/>
      <w:lvlJc w:val="left"/>
      <w:pPr>
        <w:ind w:left="5503" w:hanging="567"/>
      </w:pPr>
      <w:rPr>
        <w:rFonts w:hint="default"/>
      </w:rPr>
    </w:lvl>
    <w:lvl w:ilvl="4">
      <w:start w:val="1"/>
      <w:numFmt w:val="bullet"/>
      <w:lvlText w:val="•"/>
      <w:lvlJc w:val="left"/>
      <w:pPr>
        <w:ind w:left="6537" w:hanging="567"/>
      </w:pPr>
      <w:rPr>
        <w:rFonts w:hint="default"/>
      </w:rPr>
    </w:lvl>
    <w:lvl w:ilvl="5">
      <w:start w:val="1"/>
      <w:numFmt w:val="bullet"/>
      <w:lvlText w:val="•"/>
      <w:lvlJc w:val="left"/>
      <w:pPr>
        <w:ind w:left="7572" w:hanging="567"/>
      </w:pPr>
      <w:rPr>
        <w:rFonts w:hint="default"/>
      </w:rPr>
    </w:lvl>
    <w:lvl w:ilvl="6">
      <w:start w:val="1"/>
      <w:numFmt w:val="bullet"/>
      <w:lvlText w:val="•"/>
      <w:lvlJc w:val="left"/>
      <w:pPr>
        <w:ind w:left="8606" w:hanging="567"/>
      </w:pPr>
      <w:rPr>
        <w:rFonts w:hint="default"/>
      </w:rPr>
    </w:lvl>
    <w:lvl w:ilvl="7">
      <w:start w:val="1"/>
      <w:numFmt w:val="bullet"/>
      <w:lvlText w:val="•"/>
      <w:lvlJc w:val="left"/>
      <w:pPr>
        <w:ind w:left="9641" w:hanging="567"/>
      </w:pPr>
      <w:rPr>
        <w:rFonts w:hint="default"/>
      </w:rPr>
    </w:lvl>
    <w:lvl w:ilvl="8">
      <w:start w:val="1"/>
      <w:numFmt w:val="bullet"/>
      <w:lvlText w:val="•"/>
      <w:lvlJc w:val="left"/>
      <w:pPr>
        <w:ind w:left="10675" w:hanging="567"/>
      </w:pPr>
      <w:rPr>
        <w:rFonts w:hint="default"/>
      </w:rPr>
    </w:lvl>
  </w:abstractNum>
  <w:abstractNum w:abstractNumId="93">
    <w:multiLevelType w:val="hybridMultilevel"/>
    <w:lvl w:ilvl="0">
      <w:start w:val="1"/>
      <w:numFmt w:val="decimal"/>
      <w:lvlText w:val="%1."/>
      <w:lvlJc w:val="left"/>
      <w:pPr>
        <w:ind w:left="1824" w:hanging="396"/>
        <w:jc w:val="left"/>
      </w:pPr>
      <w:rPr>
        <w:rFonts w:hint="default" w:ascii="Arial" w:hAnsi="Arial" w:eastAsia="Arial" w:cs="Arial"/>
        <w:spacing w:val="-1"/>
        <w:w w:val="99"/>
        <w:sz w:val="18"/>
        <w:szCs w:val="18"/>
      </w:rPr>
    </w:lvl>
    <w:lvl w:ilvl="1">
      <w:start w:val="1"/>
      <w:numFmt w:val="lowerLetter"/>
      <w:lvlText w:val="%2."/>
      <w:lvlJc w:val="left"/>
      <w:pPr>
        <w:ind w:left="2221" w:hanging="398"/>
        <w:jc w:val="left"/>
      </w:pPr>
      <w:rPr>
        <w:rFonts w:hint="default" w:ascii="Arial" w:hAnsi="Arial" w:eastAsia="Arial" w:cs="Arial"/>
        <w:spacing w:val="-5"/>
        <w:w w:val="99"/>
        <w:sz w:val="18"/>
        <w:szCs w:val="18"/>
      </w:rPr>
    </w:lvl>
    <w:lvl w:ilvl="2">
      <w:start w:val="1"/>
      <w:numFmt w:val="bullet"/>
      <w:lvlText w:val="•"/>
      <w:lvlJc w:val="left"/>
      <w:pPr>
        <w:ind w:left="3389" w:hanging="398"/>
      </w:pPr>
      <w:rPr>
        <w:rFonts w:hint="default"/>
      </w:rPr>
    </w:lvl>
    <w:lvl w:ilvl="3">
      <w:start w:val="1"/>
      <w:numFmt w:val="bullet"/>
      <w:lvlText w:val="•"/>
      <w:lvlJc w:val="left"/>
      <w:pPr>
        <w:ind w:left="4558" w:hanging="398"/>
      </w:pPr>
      <w:rPr>
        <w:rFonts w:hint="default"/>
      </w:rPr>
    </w:lvl>
    <w:lvl w:ilvl="4">
      <w:start w:val="1"/>
      <w:numFmt w:val="bullet"/>
      <w:lvlText w:val="•"/>
      <w:lvlJc w:val="left"/>
      <w:pPr>
        <w:ind w:left="5728" w:hanging="398"/>
      </w:pPr>
      <w:rPr>
        <w:rFonts w:hint="default"/>
      </w:rPr>
    </w:lvl>
    <w:lvl w:ilvl="5">
      <w:start w:val="1"/>
      <w:numFmt w:val="bullet"/>
      <w:lvlText w:val="•"/>
      <w:lvlJc w:val="left"/>
      <w:pPr>
        <w:ind w:left="6897" w:hanging="398"/>
      </w:pPr>
      <w:rPr>
        <w:rFonts w:hint="default"/>
      </w:rPr>
    </w:lvl>
    <w:lvl w:ilvl="6">
      <w:start w:val="1"/>
      <w:numFmt w:val="bullet"/>
      <w:lvlText w:val="•"/>
      <w:lvlJc w:val="left"/>
      <w:pPr>
        <w:ind w:left="8066" w:hanging="398"/>
      </w:pPr>
      <w:rPr>
        <w:rFonts w:hint="default"/>
      </w:rPr>
    </w:lvl>
    <w:lvl w:ilvl="7">
      <w:start w:val="1"/>
      <w:numFmt w:val="bullet"/>
      <w:lvlText w:val="•"/>
      <w:lvlJc w:val="left"/>
      <w:pPr>
        <w:ind w:left="9236" w:hanging="398"/>
      </w:pPr>
      <w:rPr>
        <w:rFonts w:hint="default"/>
      </w:rPr>
    </w:lvl>
    <w:lvl w:ilvl="8">
      <w:start w:val="1"/>
      <w:numFmt w:val="bullet"/>
      <w:lvlText w:val="•"/>
      <w:lvlJc w:val="left"/>
      <w:pPr>
        <w:ind w:left="10405" w:hanging="398"/>
      </w:pPr>
      <w:rPr>
        <w:rFonts w:hint="default"/>
      </w:rPr>
    </w:lvl>
  </w:abstractNum>
  <w:abstractNum w:abstractNumId="92">
    <w:multiLevelType w:val="hybridMultilevel"/>
    <w:lvl w:ilvl="0">
      <w:start w:val="11"/>
      <w:numFmt w:val="decimal"/>
      <w:lvlText w:val="%1"/>
      <w:lvlJc w:val="left"/>
      <w:pPr>
        <w:ind w:left="1825" w:hanging="396"/>
        <w:jc w:val="left"/>
      </w:pPr>
      <w:rPr>
        <w:rFonts w:hint="default" w:ascii="Arial" w:hAnsi="Arial" w:eastAsia="Arial" w:cs="Arial"/>
        <w:b/>
        <w:bCs/>
        <w:spacing w:val="-1"/>
        <w:w w:val="99"/>
        <w:sz w:val="18"/>
        <w:szCs w:val="18"/>
      </w:rPr>
    </w:lvl>
    <w:lvl w:ilvl="1">
      <w:start w:val="1"/>
      <w:numFmt w:val="lowerLetter"/>
      <w:lvlText w:val="(%2)"/>
      <w:lvlJc w:val="left"/>
      <w:pPr>
        <w:ind w:left="2391" w:hanging="567"/>
        <w:jc w:val="left"/>
      </w:pPr>
      <w:rPr>
        <w:rFonts w:hint="default" w:ascii="Arial" w:hAnsi="Arial" w:eastAsia="Arial" w:cs="Arial"/>
        <w:b/>
        <w:bCs/>
        <w:spacing w:val="-1"/>
        <w:w w:val="99"/>
        <w:sz w:val="18"/>
        <w:szCs w:val="18"/>
      </w:rPr>
    </w:lvl>
    <w:lvl w:ilvl="2">
      <w:start w:val="1"/>
      <w:numFmt w:val="bullet"/>
      <w:lvlText w:val="•"/>
      <w:lvlJc w:val="left"/>
      <w:pPr>
        <w:ind w:left="3549" w:hanging="567"/>
      </w:pPr>
      <w:rPr>
        <w:rFonts w:hint="default"/>
      </w:rPr>
    </w:lvl>
    <w:lvl w:ilvl="3">
      <w:start w:val="1"/>
      <w:numFmt w:val="bullet"/>
      <w:lvlText w:val="•"/>
      <w:lvlJc w:val="left"/>
      <w:pPr>
        <w:ind w:left="4698" w:hanging="567"/>
      </w:pPr>
      <w:rPr>
        <w:rFonts w:hint="default"/>
      </w:rPr>
    </w:lvl>
    <w:lvl w:ilvl="4">
      <w:start w:val="1"/>
      <w:numFmt w:val="bullet"/>
      <w:lvlText w:val="•"/>
      <w:lvlJc w:val="left"/>
      <w:pPr>
        <w:ind w:left="5848" w:hanging="567"/>
      </w:pPr>
      <w:rPr>
        <w:rFonts w:hint="default"/>
      </w:rPr>
    </w:lvl>
    <w:lvl w:ilvl="5">
      <w:start w:val="1"/>
      <w:numFmt w:val="bullet"/>
      <w:lvlText w:val="•"/>
      <w:lvlJc w:val="left"/>
      <w:pPr>
        <w:ind w:left="6997" w:hanging="567"/>
      </w:pPr>
      <w:rPr>
        <w:rFonts w:hint="default"/>
      </w:rPr>
    </w:lvl>
    <w:lvl w:ilvl="6">
      <w:start w:val="1"/>
      <w:numFmt w:val="bullet"/>
      <w:lvlText w:val="•"/>
      <w:lvlJc w:val="left"/>
      <w:pPr>
        <w:ind w:left="8146" w:hanging="567"/>
      </w:pPr>
      <w:rPr>
        <w:rFonts w:hint="default"/>
      </w:rPr>
    </w:lvl>
    <w:lvl w:ilvl="7">
      <w:start w:val="1"/>
      <w:numFmt w:val="bullet"/>
      <w:lvlText w:val="•"/>
      <w:lvlJc w:val="left"/>
      <w:pPr>
        <w:ind w:left="9296" w:hanging="567"/>
      </w:pPr>
      <w:rPr>
        <w:rFonts w:hint="default"/>
      </w:rPr>
    </w:lvl>
    <w:lvl w:ilvl="8">
      <w:start w:val="1"/>
      <w:numFmt w:val="bullet"/>
      <w:lvlText w:val="•"/>
      <w:lvlJc w:val="left"/>
      <w:pPr>
        <w:ind w:left="10445" w:hanging="567"/>
      </w:pPr>
      <w:rPr>
        <w:rFonts w:hint="default"/>
      </w:rPr>
    </w:lvl>
  </w:abstractNum>
  <w:abstractNum w:abstractNumId="91">
    <w:multiLevelType w:val="hybridMultilevel"/>
    <w:lvl w:ilvl="0">
      <w:start w:val="6"/>
      <w:numFmt w:val="decimal"/>
      <w:lvlText w:val="%1"/>
      <w:lvlJc w:val="left"/>
      <w:pPr>
        <w:ind w:left="1825" w:hanging="396"/>
        <w:jc w:val="left"/>
      </w:pPr>
      <w:rPr>
        <w:rFonts w:hint="default" w:ascii="Arial" w:hAnsi="Arial" w:eastAsia="Arial" w:cs="Arial"/>
        <w:b/>
        <w:bCs/>
        <w:w w:val="99"/>
        <w:sz w:val="18"/>
        <w:szCs w:val="18"/>
      </w:rPr>
    </w:lvl>
    <w:lvl w:ilvl="1">
      <w:start w:val="1"/>
      <w:numFmt w:val="lowerLetter"/>
      <w:lvlText w:val="(%2)"/>
      <w:lvlJc w:val="left"/>
      <w:pPr>
        <w:ind w:left="2391" w:hanging="567"/>
        <w:jc w:val="left"/>
      </w:pPr>
      <w:rPr>
        <w:rFonts w:hint="default" w:ascii="Arial" w:hAnsi="Arial" w:eastAsia="Arial" w:cs="Arial"/>
        <w:b/>
        <w:bCs/>
        <w:spacing w:val="-1"/>
        <w:w w:val="99"/>
        <w:sz w:val="18"/>
        <w:szCs w:val="18"/>
      </w:rPr>
    </w:lvl>
    <w:lvl w:ilvl="2">
      <w:start w:val="1"/>
      <w:numFmt w:val="bullet"/>
      <w:lvlText w:val="•"/>
      <w:lvlJc w:val="left"/>
      <w:pPr>
        <w:ind w:left="3549" w:hanging="567"/>
      </w:pPr>
      <w:rPr>
        <w:rFonts w:hint="default"/>
      </w:rPr>
    </w:lvl>
    <w:lvl w:ilvl="3">
      <w:start w:val="1"/>
      <w:numFmt w:val="bullet"/>
      <w:lvlText w:val="•"/>
      <w:lvlJc w:val="left"/>
      <w:pPr>
        <w:ind w:left="4698" w:hanging="567"/>
      </w:pPr>
      <w:rPr>
        <w:rFonts w:hint="default"/>
      </w:rPr>
    </w:lvl>
    <w:lvl w:ilvl="4">
      <w:start w:val="1"/>
      <w:numFmt w:val="bullet"/>
      <w:lvlText w:val="•"/>
      <w:lvlJc w:val="left"/>
      <w:pPr>
        <w:ind w:left="5848" w:hanging="567"/>
      </w:pPr>
      <w:rPr>
        <w:rFonts w:hint="default"/>
      </w:rPr>
    </w:lvl>
    <w:lvl w:ilvl="5">
      <w:start w:val="1"/>
      <w:numFmt w:val="bullet"/>
      <w:lvlText w:val="•"/>
      <w:lvlJc w:val="left"/>
      <w:pPr>
        <w:ind w:left="6997" w:hanging="567"/>
      </w:pPr>
      <w:rPr>
        <w:rFonts w:hint="default"/>
      </w:rPr>
    </w:lvl>
    <w:lvl w:ilvl="6">
      <w:start w:val="1"/>
      <w:numFmt w:val="bullet"/>
      <w:lvlText w:val="•"/>
      <w:lvlJc w:val="left"/>
      <w:pPr>
        <w:ind w:left="8146" w:hanging="567"/>
      </w:pPr>
      <w:rPr>
        <w:rFonts w:hint="default"/>
      </w:rPr>
    </w:lvl>
    <w:lvl w:ilvl="7">
      <w:start w:val="1"/>
      <w:numFmt w:val="bullet"/>
      <w:lvlText w:val="•"/>
      <w:lvlJc w:val="left"/>
      <w:pPr>
        <w:ind w:left="9296" w:hanging="567"/>
      </w:pPr>
      <w:rPr>
        <w:rFonts w:hint="default"/>
      </w:rPr>
    </w:lvl>
    <w:lvl w:ilvl="8">
      <w:start w:val="1"/>
      <w:numFmt w:val="bullet"/>
      <w:lvlText w:val="•"/>
      <w:lvlJc w:val="left"/>
      <w:pPr>
        <w:ind w:left="10445" w:hanging="567"/>
      </w:pPr>
      <w:rPr>
        <w:rFonts w:hint="default"/>
      </w:rPr>
    </w:lvl>
  </w:abstractNum>
  <w:abstractNum w:abstractNumId="90">
    <w:multiLevelType w:val="hybridMultilevel"/>
    <w:lvl w:ilvl="0">
      <w:start w:val="1"/>
      <w:numFmt w:val="lowerRoman"/>
      <w:lvlText w:val="(%1)"/>
      <w:lvlJc w:val="left"/>
      <w:pPr>
        <w:ind w:left="2033" w:hanging="210"/>
        <w:jc w:val="left"/>
      </w:pPr>
      <w:rPr>
        <w:rFonts w:hint="default" w:ascii="Arial" w:hAnsi="Arial" w:eastAsia="Arial" w:cs="Arial"/>
        <w:spacing w:val="-1"/>
        <w:w w:val="99"/>
        <w:sz w:val="18"/>
        <w:szCs w:val="18"/>
      </w:rPr>
    </w:lvl>
    <w:lvl w:ilvl="1">
      <w:start w:val="1"/>
      <w:numFmt w:val="bullet"/>
      <w:lvlText w:val="•"/>
      <w:lvlJc w:val="left"/>
      <w:pPr>
        <w:ind w:left="3110" w:hanging="210"/>
      </w:pPr>
      <w:rPr>
        <w:rFonts w:hint="default"/>
      </w:rPr>
    </w:lvl>
    <w:lvl w:ilvl="2">
      <w:start w:val="1"/>
      <w:numFmt w:val="bullet"/>
      <w:lvlText w:val="•"/>
      <w:lvlJc w:val="left"/>
      <w:pPr>
        <w:ind w:left="4180" w:hanging="210"/>
      </w:pPr>
      <w:rPr>
        <w:rFonts w:hint="default"/>
      </w:rPr>
    </w:lvl>
    <w:lvl w:ilvl="3">
      <w:start w:val="1"/>
      <w:numFmt w:val="bullet"/>
      <w:lvlText w:val="•"/>
      <w:lvlJc w:val="left"/>
      <w:pPr>
        <w:ind w:left="5251" w:hanging="210"/>
      </w:pPr>
      <w:rPr>
        <w:rFonts w:hint="default"/>
      </w:rPr>
    </w:lvl>
    <w:lvl w:ilvl="4">
      <w:start w:val="1"/>
      <w:numFmt w:val="bullet"/>
      <w:lvlText w:val="•"/>
      <w:lvlJc w:val="left"/>
      <w:pPr>
        <w:ind w:left="6321" w:hanging="210"/>
      </w:pPr>
      <w:rPr>
        <w:rFonts w:hint="default"/>
      </w:rPr>
    </w:lvl>
    <w:lvl w:ilvl="5">
      <w:start w:val="1"/>
      <w:numFmt w:val="bullet"/>
      <w:lvlText w:val="•"/>
      <w:lvlJc w:val="left"/>
      <w:pPr>
        <w:ind w:left="7392" w:hanging="210"/>
      </w:pPr>
      <w:rPr>
        <w:rFonts w:hint="default"/>
      </w:rPr>
    </w:lvl>
    <w:lvl w:ilvl="6">
      <w:start w:val="1"/>
      <w:numFmt w:val="bullet"/>
      <w:lvlText w:val="•"/>
      <w:lvlJc w:val="left"/>
      <w:pPr>
        <w:ind w:left="8462" w:hanging="210"/>
      </w:pPr>
      <w:rPr>
        <w:rFonts w:hint="default"/>
      </w:rPr>
    </w:lvl>
    <w:lvl w:ilvl="7">
      <w:start w:val="1"/>
      <w:numFmt w:val="bullet"/>
      <w:lvlText w:val="•"/>
      <w:lvlJc w:val="left"/>
      <w:pPr>
        <w:ind w:left="9533" w:hanging="210"/>
      </w:pPr>
      <w:rPr>
        <w:rFonts w:hint="default"/>
      </w:rPr>
    </w:lvl>
    <w:lvl w:ilvl="8">
      <w:start w:val="1"/>
      <w:numFmt w:val="bullet"/>
      <w:lvlText w:val="•"/>
      <w:lvlJc w:val="left"/>
      <w:pPr>
        <w:ind w:left="10603" w:hanging="210"/>
      </w:pPr>
      <w:rPr>
        <w:rFonts w:hint="default"/>
      </w:rPr>
    </w:lvl>
  </w:abstractNum>
  <w:abstractNum w:abstractNumId="89">
    <w:multiLevelType w:val="hybridMultilevel"/>
    <w:lvl w:ilvl="0">
      <w:start w:val="1"/>
      <w:numFmt w:val="bullet"/>
      <w:lvlText w:val=""/>
      <w:lvlJc w:val="left"/>
      <w:pPr>
        <w:ind w:left="2391" w:hanging="568"/>
      </w:pPr>
      <w:rPr>
        <w:rFonts w:hint="default" w:ascii="Symbol" w:hAnsi="Symbol" w:eastAsia="Symbol" w:cs="Symbol"/>
        <w:w w:val="100"/>
        <w:sz w:val="18"/>
        <w:szCs w:val="18"/>
      </w:rPr>
    </w:lvl>
    <w:lvl w:ilvl="1">
      <w:start w:val="1"/>
      <w:numFmt w:val="bullet"/>
      <w:lvlText w:val="•"/>
      <w:lvlJc w:val="left"/>
      <w:pPr>
        <w:ind w:left="3434" w:hanging="568"/>
      </w:pPr>
      <w:rPr>
        <w:rFonts w:hint="default"/>
      </w:rPr>
    </w:lvl>
    <w:lvl w:ilvl="2">
      <w:start w:val="1"/>
      <w:numFmt w:val="bullet"/>
      <w:lvlText w:val="•"/>
      <w:lvlJc w:val="left"/>
      <w:pPr>
        <w:ind w:left="4468" w:hanging="568"/>
      </w:pPr>
      <w:rPr>
        <w:rFonts w:hint="default"/>
      </w:rPr>
    </w:lvl>
    <w:lvl w:ilvl="3">
      <w:start w:val="1"/>
      <w:numFmt w:val="bullet"/>
      <w:lvlText w:val="•"/>
      <w:lvlJc w:val="left"/>
      <w:pPr>
        <w:ind w:left="5503" w:hanging="568"/>
      </w:pPr>
      <w:rPr>
        <w:rFonts w:hint="default"/>
      </w:rPr>
    </w:lvl>
    <w:lvl w:ilvl="4">
      <w:start w:val="1"/>
      <w:numFmt w:val="bullet"/>
      <w:lvlText w:val="•"/>
      <w:lvlJc w:val="left"/>
      <w:pPr>
        <w:ind w:left="6537" w:hanging="568"/>
      </w:pPr>
      <w:rPr>
        <w:rFonts w:hint="default"/>
      </w:rPr>
    </w:lvl>
    <w:lvl w:ilvl="5">
      <w:start w:val="1"/>
      <w:numFmt w:val="bullet"/>
      <w:lvlText w:val="•"/>
      <w:lvlJc w:val="left"/>
      <w:pPr>
        <w:ind w:left="7572" w:hanging="568"/>
      </w:pPr>
      <w:rPr>
        <w:rFonts w:hint="default"/>
      </w:rPr>
    </w:lvl>
    <w:lvl w:ilvl="6">
      <w:start w:val="1"/>
      <w:numFmt w:val="bullet"/>
      <w:lvlText w:val="•"/>
      <w:lvlJc w:val="left"/>
      <w:pPr>
        <w:ind w:left="8606" w:hanging="568"/>
      </w:pPr>
      <w:rPr>
        <w:rFonts w:hint="default"/>
      </w:rPr>
    </w:lvl>
    <w:lvl w:ilvl="7">
      <w:start w:val="1"/>
      <w:numFmt w:val="bullet"/>
      <w:lvlText w:val="•"/>
      <w:lvlJc w:val="left"/>
      <w:pPr>
        <w:ind w:left="9641" w:hanging="568"/>
      </w:pPr>
      <w:rPr>
        <w:rFonts w:hint="default"/>
      </w:rPr>
    </w:lvl>
    <w:lvl w:ilvl="8">
      <w:start w:val="1"/>
      <w:numFmt w:val="bullet"/>
      <w:lvlText w:val="•"/>
      <w:lvlJc w:val="left"/>
      <w:pPr>
        <w:ind w:left="10675" w:hanging="568"/>
      </w:pPr>
      <w:rPr>
        <w:rFonts w:hint="default"/>
      </w:rPr>
    </w:lvl>
  </w:abstractNum>
  <w:abstractNum w:abstractNumId="86">
    <w:multiLevelType w:val="hybridMultilevel"/>
    <w:lvl w:ilvl="0">
      <w:start w:val="1"/>
      <w:numFmt w:val="lowerRoman"/>
      <w:lvlText w:val="(%1)"/>
      <w:lvlJc w:val="left"/>
      <w:pPr>
        <w:ind w:left="2034" w:hanging="210"/>
        <w:jc w:val="left"/>
      </w:pPr>
      <w:rPr>
        <w:rFonts w:hint="default" w:ascii="Arial" w:hAnsi="Arial" w:eastAsia="Arial" w:cs="Arial"/>
        <w:spacing w:val="-1"/>
        <w:w w:val="99"/>
        <w:sz w:val="18"/>
        <w:szCs w:val="18"/>
      </w:rPr>
    </w:lvl>
    <w:lvl w:ilvl="1">
      <w:start w:val="1"/>
      <w:numFmt w:val="bullet"/>
      <w:lvlText w:val="•"/>
      <w:lvlJc w:val="left"/>
      <w:pPr>
        <w:ind w:left="3110" w:hanging="210"/>
      </w:pPr>
      <w:rPr>
        <w:rFonts w:hint="default"/>
      </w:rPr>
    </w:lvl>
    <w:lvl w:ilvl="2">
      <w:start w:val="1"/>
      <w:numFmt w:val="bullet"/>
      <w:lvlText w:val="•"/>
      <w:lvlJc w:val="left"/>
      <w:pPr>
        <w:ind w:left="4180" w:hanging="210"/>
      </w:pPr>
      <w:rPr>
        <w:rFonts w:hint="default"/>
      </w:rPr>
    </w:lvl>
    <w:lvl w:ilvl="3">
      <w:start w:val="1"/>
      <w:numFmt w:val="bullet"/>
      <w:lvlText w:val="•"/>
      <w:lvlJc w:val="left"/>
      <w:pPr>
        <w:ind w:left="5251" w:hanging="210"/>
      </w:pPr>
      <w:rPr>
        <w:rFonts w:hint="default"/>
      </w:rPr>
    </w:lvl>
    <w:lvl w:ilvl="4">
      <w:start w:val="1"/>
      <w:numFmt w:val="bullet"/>
      <w:lvlText w:val="•"/>
      <w:lvlJc w:val="left"/>
      <w:pPr>
        <w:ind w:left="6321" w:hanging="210"/>
      </w:pPr>
      <w:rPr>
        <w:rFonts w:hint="default"/>
      </w:rPr>
    </w:lvl>
    <w:lvl w:ilvl="5">
      <w:start w:val="1"/>
      <w:numFmt w:val="bullet"/>
      <w:lvlText w:val="•"/>
      <w:lvlJc w:val="left"/>
      <w:pPr>
        <w:ind w:left="7392" w:hanging="210"/>
      </w:pPr>
      <w:rPr>
        <w:rFonts w:hint="default"/>
      </w:rPr>
    </w:lvl>
    <w:lvl w:ilvl="6">
      <w:start w:val="1"/>
      <w:numFmt w:val="bullet"/>
      <w:lvlText w:val="•"/>
      <w:lvlJc w:val="left"/>
      <w:pPr>
        <w:ind w:left="8462" w:hanging="210"/>
      </w:pPr>
      <w:rPr>
        <w:rFonts w:hint="default"/>
      </w:rPr>
    </w:lvl>
    <w:lvl w:ilvl="7">
      <w:start w:val="1"/>
      <w:numFmt w:val="bullet"/>
      <w:lvlText w:val="•"/>
      <w:lvlJc w:val="left"/>
      <w:pPr>
        <w:ind w:left="9533" w:hanging="210"/>
      </w:pPr>
      <w:rPr>
        <w:rFonts w:hint="default"/>
      </w:rPr>
    </w:lvl>
    <w:lvl w:ilvl="8">
      <w:start w:val="1"/>
      <w:numFmt w:val="bullet"/>
      <w:lvlText w:val="•"/>
      <w:lvlJc w:val="left"/>
      <w:pPr>
        <w:ind w:left="10603" w:hanging="210"/>
      </w:pPr>
      <w:rPr>
        <w:rFonts w:hint="default"/>
      </w:rPr>
    </w:lvl>
  </w:abstractNum>
  <w:abstractNum w:abstractNumId="85">
    <w:multiLevelType w:val="hybridMultilevel"/>
    <w:lvl w:ilvl="0">
      <w:start w:val="1"/>
      <w:numFmt w:val="decimal"/>
      <w:lvlText w:val="%1"/>
      <w:lvlJc w:val="left"/>
      <w:pPr>
        <w:ind w:left="1824" w:hanging="395"/>
        <w:jc w:val="left"/>
      </w:pPr>
      <w:rPr>
        <w:rFonts w:hint="default" w:ascii="Arial" w:hAnsi="Arial" w:eastAsia="Arial" w:cs="Arial"/>
        <w:b/>
        <w:bCs/>
        <w:w w:val="99"/>
        <w:sz w:val="18"/>
        <w:szCs w:val="18"/>
      </w:rPr>
    </w:lvl>
    <w:lvl w:ilvl="1">
      <w:start w:val="1"/>
      <w:numFmt w:val="lowerLetter"/>
      <w:lvlText w:val="(%2)"/>
      <w:lvlJc w:val="left"/>
      <w:pPr>
        <w:ind w:left="2391" w:hanging="567"/>
        <w:jc w:val="left"/>
      </w:pPr>
      <w:rPr>
        <w:rFonts w:hint="default" w:ascii="Arial" w:hAnsi="Arial" w:eastAsia="Arial" w:cs="Arial"/>
        <w:b/>
        <w:bCs/>
        <w:spacing w:val="-1"/>
        <w:w w:val="99"/>
        <w:sz w:val="18"/>
        <w:szCs w:val="18"/>
      </w:rPr>
    </w:lvl>
    <w:lvl w:ilvl="2">
      <w:start w:val="1"/>
      <w:numFmt w:val="bullet"/>
      <w:lvlText w:val="•"/>
      <w:lvlJc w:val="left"/>
      <w:pPr>
        <w:ind w:left="3549" w:hanging="567"/>
      </w:pPr>
      <w:rPr>
        <w:rFonts w:hint="default"/>
      </w:rPr>
    </w:lvl>
    <w:lvl w:ilvl="3">
      <w:start w:val="1"/>
      <w:numFmt w:val="bullet"/>
      <w:lvlText w:val="•"/>
      <w:lvlJc w:val="left"/>
      <w:pPr>
        <w:ind w:left="4698" w:hanging="567"/>
      </w:pPr>
      <w:rPr>
        <w:rFonts w:hint="default"/>
      </w:rPr>
    </w:lvl>
    <w:lvl w:ilvl="4">
      <w:start w:val="1"/>
      <w:numFmt w:val="bullet"/>
      <w:lvlText w:val="•"/>
      <w:lvlJc w:val="left"/>
      <w:pPr>
        <w:ind w:left="5848" w:hanging="567"/>
      </w:pPr>
      <w:rPr>
        <w:rFonts w:hint="default"/>
      </w:rPr>
    </w:lvl>
    <w:lvl w:ilvl="5">
      <w:start w:val="1"/>
      <w:numFmt w:val="bullet"/>
      <w:lvlText w:val="•"/>
      <w:lvlJc w:val="left"/>
      <w:pPr>
        <w:ind w:left="6997" w:hanging="567"/>
      </w:pPr>
      <w:rPr>
        <w:rFonts w:hint="default"/>
      </w:rPr>
    </w:lvl>
    <w:lvl w:ilvl="6">
      <w:start w:val="1"/>
      <w:numFmt w:val="bullet"/>
      <w:lvlText w:val="•"/>
      <w:lvlJc w:val="left"/>
      <w:pPr>
        <w:ind w:left="8146" w:hanging="567"/>
      </w:pPr>
      <w:rPr>
        <w:rFonts w:hint="default"/>
      </w:rPr>
    </w:lvl>
    <w:lvl w:ilvl="7">
      <w:start w:val="1"/>
      <w:numFmt w:val="bullet"/>
      <w:lvlText w:val="•"/>
      <w:lvlJc w:val="left"/>
      <w:pPr>
        <w:ind w:left="9296" w:hanging="567"/>
      </w:pPr>
      <w:rPr>
        <w:rFonts w:hint="default"/>
      </w:rPr>
    </w:lvl>
    <w:lvl w:ilvl="8">
      <w:start w:val="1"/>
      <w:numFmt w:val="bullet"/>
      <w:lvlText w:val="•"/>
      <w:lvlJc w:val="left"/>
      <w:pPr>
        <w:ind w:left="10445" w:hanging="567"/>
      </w:pPr>
      <w:rPr>
        <w:rFonts w:hint="default"/>
      </w:rPr>
    </w:lvl>
  </w:abstractNum>
  <w:abstractNum w:abstractNumId="84">
    <w:multiLevelType w:val="hybridMultilevel"/>
    <w:lvl w:ilvl="0">
      <w:start w:val="8"/>
      <w:numFmt w:val="lowerLetter"/>
      <w:lvlText w:val="(%1)"/>
      <w:lvlJc w:val="left"/>
      <w:pPr>
        <w:ind w:left="2390" w:hanging="567"/>
        <w:jc w:val="left"/>
      </w:pPr>
      <w:rPr>
        <w:rFonts w:hint="default" w:ascii="Arial" w:hAnsi="Arial" w:eastAsia="Arial" w:cs="Arial"/>
        <w:b/>
        <w:bCs/>
        <w:w w:val="100"/>
        <w:sz w:val="18"/>
        <w:szCs w:val="18"/>
      </w:rPr>
    </w:lvl>
    <w:lvl w:ilvl="1">
      <w:start w:val="1"/>
      <w:numFmt w:val="bullet"/>
      <w:lvlText w:val="•"/>
      <w:lvlJc w:val="left"/>
      <w:pPr>
        <w:ind w:left="3434" w:hanging="567"/>
      </w:pPr>
      <w:rPr>
        <w:rFonts w:hint="default"/>
      </w:rPr>
    </w:lvl>
    <w:lvl w:ilvl="2">
      <w:start w:val="1"/>
      <w:numFmt w:val="bullet"/>
      <w:lvlText w:val="•"/>
      <w:lvlJc w:val="left"/>
      <w:pPr>
        <w:ind w:left="4468" w:hanging="567"/>
      </w:pPr>
      <w:rPr>
        <w:rFonts w:hint="default"/>
      </w:rPr>
    </w:lvl>
    <w:lvl w:ilvl="3">
      <w:start w:val="1"/>
      <w:numFmt w:val="bullet"/>
      <w:lvlText w:val="•"/>
      <w:lvlJc w:val="left"/>
      <w:pPr>
        <w:ind w:left="5503" w:hanging="567"/>
      </w:pPr>
      <w:rPr>
        <w:rFonts w:hint="default"/>
      </w:rPr>
    </w:lvl>
    <w:lvl w:ilvl="4">
      <w:start w:val="1"/>
      <w:numFmt w:val="bullet"/>
      <w:lvlText w:val="•"/>
      <w:lvlJc w:val="left"/>
      <w:pPr>
        <w:ind w:left="6537" w:hanging="567"/>
      </w:pPr>
      <w:rPr>
        <w:rFonts w:hint="default"/>
      </w:rPr>
    </w:lvl>
    <w:lvl w:ilvl="5">
      <w:start w:val="1"/>
      <w:numFmt w:val="bullet"/>
      <w:lvlText w:val="•"/>
      <w:lvlJc w:val="left"/>
      <w:pPr>
        <w:ind w:left="7572" w:hanging="567"/>
      </w:pPr>
      <w:rPr>
        <w:rFonts w:hint="default"/>
      </w:rPr>
    </w:lvl>
    <w:lvl w:ilvl="6">
      <w:start w:val="1"/>
      <w:numFmt w:val="bullet"/>
      <w:lvlText w:val="•"/>
      <w:lvlJc w:val="left"/>
      <w:pPr>
        <w:ind w:left="8606" w:hanging="567"/>
      </w:pPr>
      <w:rPr>
        <w:rFonts w:hint="default"/>
      </w:rPr>
    </w:lvl>
    <w:lvl w:ilvl="7">
      <w:start w:val="1"/>
      <w:numFmt w:val="bullet"/>
      <w:lvlText w:val="•"/>
      <w:lvlJc w:val="left"/>
      <w:pPr>
        <w:ind w:left="9641" w:hanging="567"/>
      </w:pPr>
      <w:rPr>
        <w:rFonts w:hint="default"/>
      </w:rPr>
    </w:lvl>
    <w:lvl w:ilvl="8">
      <w:start w:val="1"/>
      <w:numFmt w:val="bullet"/>
      <w:lvlText w:val="•"/>
      <w:lvlJc w:val="left"/>
      <w:pPr>
        <w:ind w:left="10675" w:hanging="567"/>
      </w:pPr>
      <w:rPr>
        <w:rFonts w:hint="default"/>
      </w:rPr>
    </w:lvl>
  </w:abstractNum>
  <w:abstractNum w:abstractNumId="83">
    <w:multiLevelType w:val="hybridMultilevel"/>
    <w:lvl w:ilvl="0">
      <w:start w:val="1"/>
      <w:numFmt w:val="lowerRoman"/>
      <w:lvlText w:val="(%1)"/>
      <w:lvlJc w:val="left"/>
      <w:pPr>
        <w:ind w:left="2107" w:hanging="284"/>
        <w:jc w:val="left"/>
      </w:pPr>
      <w:rPr>
        <w:rFonts w:hint="default" w:ascii="Arial" w:hAnsi="Arial" w:eastAsia="Arial" w:cs="Arial"/>
        <w:spacing w:val="-1"/>
        <w:w w:val="99"/>
        <w:sz w:val="18"/>
        <w:szCs w:val="18"/>
      </w:rPr>
    </w:lvl>
    <w:lvl w:ilvl="1">
      <w:start w:val="1"/>
      <w:numFmt w:val="bullet"/>
      <w:lvlText w:val="•"/>
      <w:lvlJc w:val="left"/>
      <w:pPr>
        <w:ind w:left="3164" w:hanging="284"/>
      </w:pPr>
      <w:rPr>
        <w:rFonts w:hint="default"/>
      </w:rPr>
    </w:lvl>
    <w:lvl w:ilvl="2">
      <w:start w:val="1"/>
      <w:numFmt w:val="bullet"/>
      <w:lvlText w:val="•"/>
      <w:lvlJc w:val="left"/>
      <w:pPr>
        <w:ind w:left="4228" w:hanging="284"/>
      </w:pPr>
      <w:rPr>
        <w:rFonts w:hint="default"/>
      </w:rPr>
    </w:lvl>
    <w:lvl w:ilvl="3">
      <w:start w:val="1"/>
      <w:numFmt w:val="bullet"/>
      <w:lvlText w:val="•"/>
      <w:lvlJc w:val="left"/>
      <w:pPr>
        <w:ind w:left="5293" w:hanging="284"/>
      </w:pPr>
      <w:rPr>
        <w:rFonts w:hint="default"/>
      </w:rPr>
    </w:lvl>
    <w:lvl w:ilvl="4">
      <w:start w:val="1"/>
      <w:numFmt w:val="bullet"/>
      <w:lvlText w:val="•"/>
      <w:lvlJc w:val="left"/>
      <w:pPr>
        <w:ind w:left="6357" w:hanging="284"/>
      </w:pPr>
      <w:rPr>
        <w:rFonts w:hint="default"/>
      </w:rPr>
    </w:lvl>
    <w:lvl w:ilvl="5">
      <w:start w:val="1"/>
      <w:numFmt w:val="bullet"/>
      <w:lvlText w:val="•"/>
      <w:lvlJc w:val="left"/>
      <w:pPr>
        <w:ind w:left="7422" w:hanging="284"/>
      </w:pPr>
      <w:rPr>
        <w:rFonts w:hint="default"/>
      </w:rPr>
    </w:lvl>
    <w:lvl w:ilvl="6">
      <w:start w:val="1"/>
      <w:numFmt w:val="bullet"/>
      <w:lvlText w:val="•"/>
      <w:lvlJc w:val="left"/>
      <w:pPr>
        <w:ind w:left="8486" w:hanging="284"/>
      </w:pPr>
      <w:rPr>
        <w:rFonts w:hint="default"/>
      </w:rPr>
    </w:lvl>
    <w:lvl w:ilvl="7">
      <w:start w:val="1"/>
      <w:numFmt w:val="bullet"/>
      <w:lvlText w:val="•"/>
      <w:lvlJc w:val="left"/>
      <w:pPr>
        <w:ind w:left="9551" w:hanging="284"/>
      </w:pPr>
      <w:rPr>
        <w:rFonts w:hint="default"/>
      </w:rPr>
    </w:lvl>
    <w:lvl w:ilvl="8">
      <w:start w:val="1"/>
      <w:numFmt w:val="bullet"/>
      <w:lvlText w:val="•"/>
      <w:lvlJc w:val="left"/>
      <w:pPr>
        <w:ind w:left="10615" w:hanging="284"/>
      </w:pPr>
      <w:rPr>
        <w:rFonts w:hint="default"/>
      </w:rPr>
    </w:lvl>
  </w:abstractNum>
  <w:abstractNum w:abstractNumId="81">
    <w:multiLevelType w:val="hybridMultilevel"/>
    <w:lvl w:ilvl="0">
      <w:start w:val="1"/>
      <w:numFmt w:val="bullet"/>
      <w:lvlText w:val="•"/>
      <w:lvlJc w:val="left"/>
      <w:pPr>
        <w:ind w:left="2198" w:hanging="360"/>
      </w:pPr>
      <w:rPr>
        <w:rFonts w:hint="default" w:ascii="Times New Roman" w:hAnsi="Times New Roman" w:eastAsia="Times New Roman" w:cs="Times New Roman"/>
        <w:w w:val="99"/>
        <w:sz w:val="18"/>
        <w:szCs w:val="18"/>
      </w:rPr>
    </w:lvl>
    <w:lvl w:ilvl="1">
      <w:start w:val="1"/>
      <w:numFmt w:val="bullet"/>
      <w:lvlText w:val="•"/>
      <w:lvlJc w:val="left"/>
      <w:pPr>
        <w:ind w:left="3254" w:hanging="360"/>
      </w:pPr>
      <w:rPr>
        <w:rFonts w:hint="default"/>
      </w:rPr>
    </w:lvl>
    <w:lvl w:ilvl="2">
      <w:start w:val="1"/>
      <w:numFmt w:val="bullet"/>
      <w:lvlText w:val="•"/>
      <w:lvlJc w:val="left"/>
      <w:pPr>
        <w:ind w:left="4308" w:hanging="360"/>
      </w:pPr>
      <w:rPr>
        <w:rFonts w:hint="default"/>
      </w:rPr>
    </w:lvl>
    <w:lvl w:ilvl="3">
      <w:start w:val="1"/>
      <w:numFmt w:val="bullet"/>
      <w:lvlText w:val="•"/>
      <w:lvlJc w:val="left"/>
      <w:pPr>
        <w:ind w:left="5363" w:hanging="360"/>
      </w:pPr>
      <w:rPr>
        <w:rFonts w:hint="default"/>
      </w:rPr>
    </w:lvl>
    <w:lvl w:ilvl="4">
      <w:start w:val="1"/>
      <w:numFmt w:val="bullet"/>
      <w:lvlText w:val="•"/>
      <w:lvlJc w:val="left"/>
      <w:pPr>
        <w:ind w:left="6417" w:hanging="360"/>
      </w:pPr>
      <w:rPr>
        <w:rFonts w:hint="default"/>
      </w:rPr>
    </w:lvl>
    <w:lvl w:ilvl="5">
      <w:start w:val="1"/>
      <w:numFmt w:val="bullet"/>
      <w:lvlText w:val="•"/>
      <w:lvlJc w:val="left"/>
      <w:pPr>
        <w:ind w:left="7472" w:hanging="360"/>
      </w:pPr>
      <w:rPr>
        <w:rFonts w:hint="default"/>
      </w:rPr>
    </w:lvl>
    <w:lvl w:ilvl="6">
      <w:start w:val="1"/>
      <w:numFmt w:val="bullet"/>
      <w:lvlText w:val="•"/>
      <w:lvlJc w:val="left"/>
      <w:pPr>
        <w:ind w:left="8526" w:hanging="360"/>
      </w:pPr>
      <w:rPr>
        <w:rFonts w:hint="default"/>
      </w:rPr>
    </w:lvl>
    <w:lvl w:ilvl="7">
      <w:start w:val="1"/>
      <w:numFmt w:val="bullet"/>
      <w:lvlText w:val="•"/>
      <w:lvlJc w:val="left"/>
      <w:pPr>
        <w:ind w:left="9581" w:hanging="360"/>
      </w:pPr>
      <w:rPr>
        <w:rFonts w:hint="default"/>
      </w:rPr>
    </w:lvl>
    <w:lvl w:ilvl="8">
      <w:start w:val="1"/>
      <w:numFmt w:val="bullet"/>
      <w:lvlText w:val="•"/>
      <w:lvlJc w:val="left"/>
      <w:pPr>
        <w:ind w:left="10635" w:hanging="360"/>
      </w:pPr>
      <w:rPr>
        <w:rFonts w:hint="default"/>
      </w:rPr>
    </w:lvl>
  </w:abstractNum>
  <w:abstractNum w:abstractNumId="80">
    <w:multiLevelType w:val="hybridMultilevel"/>
    <w:lvl w:ilvl="0">
      <w:start w:val="1"/>
      <w:numFmt w:val="decimal"/>
      <w:lvlText w:val="%1."/>
      <w:lvlJc w:val="left"/>
      <w:pPr>
        <w:ind w:left="1824" w:hanging="300"/>
        <w:jc w:val="left"/>
      </w:pPr>
      <w:rPr>
        <w:rFonts w:hint="default" w:ascii="Arial" w:hAnsi="Arial" w:eastAsia="Arial" w:cs="Arial"/>
        <w:spacing w:val="-5"/>
        <w:w w:val="99"/>
        <w:sz w:val="18"/>
        <w:szCs w:val="18"/>
      </w:rPr>
    </w:lvl>
    <w:lvl w:ilvl="1">
      <w:start w:val="1"/>
      <w:numFmt w:val="lowerLetter"/>
      <w:lvlText w:val="%2."/>
      <w:lvlJc w:val="left"/>
      <w:pPr>
        <w:ind w:left="2221" w:hanging="398"/>
        <w:jc w:val="left"/>
      </w:pPr>
      <w:rPr>
        <w:rFonts w:hint="default" w:ascii="Arial" w:hAnsi="Arial" w:eastAsia="Arial" w:cs="Arial"/>
        <w:spacing w:val="-17"/>
        <w:w w:val="99"/>
        <w:sz w:val="18"/>
        <w:szCs w:val="18"/>
      </w:rPr>
    </w:lvl>
    <w:lvl w:ilvl="2">
      <w:start w:val="1"/>
      <w:numFmt w:val="bullet"/>
      <w:lvlText w:val="•"/>
      <w:lvlJc w:val="left"/>
      <w:pPr>
        <w:ind w:left="3389" w:hanging="398"/>
      </w:pPr>
      <w:rPr>
        <w:rFonts w:hint="default"/>
      </w:rPr>
    </w:lvl>
    <w:lvl w:ilvl="3">
      <w:start w:val="1"/>
      <w:numFmt w:val="bullet"/>
      <w:lvlText w:val="•"/>
      <w:lvlJc w:val="left"/>
      <w:pPr>
        <w:ind w:left="4558" w:hanging="398"/>
      </w:pPr>
      <w:rPr>
        <w:rFonts w:hint="default"/>
      </w:rPr>
    </w:lvl>
    <w:lvl w:ilvl="4">
      <w:start w:val="1"/>
      <w:numFmt w:val="bullet"/>
      <w:lvlText w:val="•"/>
      <w:lvlJc w:val="left"/>
      <w:pPr>
        <w:ind w:left="5728" w:hanging="398"/>
      </w:pPr>
      <w:rPr>
        <w:rFonts w:hint="default"/>
      </w:rPr>
    </w:lvl>
    <w:lvl w:ilvl="5">
      <w:start w:val="1"/>
      <w:numFmt w:val="bullet"/>
      <w:lvlText w:val="•"/>
      <w:lvlJc w:val="left"/>
      <w:pPr>
        <w:ind w:left="6897" w:hanging="398"/>
      </w:pPr>
      <w:rPr>
        <w:rFonts w:hint="default"/>
      </w:rPr>
    </w:lvl>
    <w:lvl w:ilvl="6">
      <w:start w:val="1"/>
      <w:numFmt w:val="bullet"/>
      <w:lvlText w:val="•"/>
      <w:lvlJc w:val="left"/>
      <w:pPr>
        <w:ind w:left="8066" w:hanging="398"/>
      </w:pPr>
      <w:rPr>
        <w:rFonts w:hint="default"/>
      </w:rPr>
    </w:lvl>
    <w:lvl w:ilvl="7">
      <w:start w:val="1"/>
      <w:numFmt w:val="bullet"/>
      <w:lvlText w:val="•"/>
      <w:lvlJc w:val="left"/>
      <w:pPr>
        <w:ind w:left="9236" w:hanging="398"/>
      </w:pPr>
      <w:rPr>
        <w:rFonts w:hint="default"/>
      </w:rPr>
    </w:lvl>
    <w:lvl w:ilvl="8">
      <w:start w:val="1"/>
      <w:numFmt w:val="bullet"/>
      <w:lvlText w:val="•"/>
      <w:lvlJc w:val="left"/>
      <w:pPr>
        <w:ind w:left="10405" w:hanging="398"/>
      </w:pPr>
      <w:rPr>
        <w:rFonts w:hint="default"/>
      </w:rPr>
    </w:lvl>
  </w:abstractNum>
  <w:abstractNum w:abstractNumId="79">
    <w:multiLevelType w:val="hybridMultilevel"/>
    <w:lvl w:ilvl="0">
      <w:start w:val="1"/>
      <w:numFmt w:val="bullet"/>
      <w:lvlText w:val="-"/>
      <w:lvlJc w:val="left"/>
      <w:pPr>
        <w:ind w:left="1825" w:hanging="110"/>
      </w:pPr>
      <w:rPr>
        <w:rFonts w:hint="default" w:ascii="Arial" w:hAnsi="Arial" w:eastAsia="Arial" w:cs="Arial"/>
        <w:w w:val="99"/>
        <w:sz w:val="18"/>
        <w:szCs w:val="18"/>
      </w:rPr>
    </w:lvl>
    <w:lvl w:ilvl="1">
      <w:start w:val="1"/>
      <w:numFmt w:val="bullet"/>
      <w:lvlText w:val="•"/>
      <w:lvlJc w:val="left"/>
      <w:pPr>
        <w:ind w:left="2912" w:hanging="110"/>
      </w:pPr>
      <w:rPr>
        <w:rFonts w:hint="default"/>
      </w:rPr>
    </w:lvl>
    <w:lvl w:ilvl="2">
      <w:start w:val="1"/>
      <w:numFmt w:val="bullet"/>
      <w:lvlText w:val="•"/>
      <w:lvlJc w:val="left"/>
      <w:pPr>
        <w:ind w:left="4004" w:hanging="110"/>
      </w:pPr>
      <w:rPr>
        <w:rFonts w:hint="default"/>
      </w:rPr>
    </w:lvl>
    <w:lvl w:ilvl="3">
      <w:start w:val="1"/>
      <w:numFmt w:val="bullet"/>
      <w:lvlText w:val="•"/>
      <w:lvlJc w:val="left"/>
      <w:pPr>
        <w:ind w:left="5097" w:hanging="110"/>
      </w:pPr>
      <w:rPr>
        <w:rFonts w:hint="default"/>
      </w:rPr>
    </w:lvl>
    <w:lvl w:ilvl="4">
      <w:start w:val="1"/>
      <w:numFmt w:val="bullet"/>
      <w:lvlText w:val="•"/>
      <w:lvlJc w:val="left"/>
      <w:pPr>
        <w:ind w:left="6189" w:hanging="110"/>
      </w:pPr>
      <w:rPr>
        <w:rFonts w:hint="default"/>
      </w:rPr>
    </w:lvl>
    <w:lvl w:ilvl="5">
      <w:start w:val="1"/>
      <w:numFmt w:val="bullet"/>
      <w:lvlText w:val="•"/>
      <w:lvlJc w:val="left"/>
      <w:pPr>
        <w:ind w:left="7282" w:hanging="110"/>
      </w:pPr>
      <w:rPr>
        <w:rFonts w:hint="default"/>
      </w:rPr>
    </w:lvl>
    <w:lvl w:ilvl="6">
      <w:start w:val="1"/>
      <w:numFmt w:val="bullet"/>
      <w:lvlText w:val="•"/>
      <w:lvlJc w:val="left"/>
      <w:pPr>
        <w:ind w:left="8374" w:hanging="110"/>
      </w:pPr>
      <w:rPr>
        <w:rFonts w:hint="default"/>
      </w:rPr>
    </w:lvl>
    <w:lvl w:ilvl="7">
      <w:start w:val="1"/>
      <w:numFmt w:val="bullet"/>
      <w:lvlText w:val="•"/>
      <w:lvlJc w:val="left"/>
      <w:pPr>
        <w:ind w:left="9467" w:hanging="110"/>
      </w:pPr>
      <w:rPr>
        <w:rFonts w:hint="default"/>
      </w:rPr>
    </w:lvl>
    <w:lvl w:ilvl="8">
      <w:start w:val="1"/>
      <w:numFmt w:val="bullet"/>
      <w:lvlText w:val="•"/>
      <w:lvlJc w:val="left"/>
      <w:pPr>
        <w:ind w:left="10559" w:hanging="110"/>
      </w:pPr>
      <w:rPr>
        <w:rFonts w:hint="default"/>
      </w:rPr>
    </w:lvl>
  </w:abstractNum>
  <w:abstractNum w:abstractNumId="78">
    <w:multiLevelType w:val="hybridMultilevel"/>
    <w:lvl w:ilvl="0">
      <w:start w:val="2"/>
      <w:numFmt w:val="decimal"/>
      <w:lvlText w:val="%1"/>
      <w:lvlJc w:val="left"/>
      <w:pPr>
        <w:ind w:left="1825" w:hanging="396"/>
        <w:jc w:val="left"/>
      </w:pPr>
      <w:rPr>
        <w:rFonts w:hint="default" w:ascii="Arial" w:hAnsi="Arial" w:eastAsia="Arial" w:cs="Arial"/>
        <w:b/>
        <w:bCs/>
        <w:w w:val="99"/>
        <w:sz w:val="18"/>
        <w:szCs w:val="18"/>
      </w:rPr>
    </w:lvl>
    <w:lvl w:ilvl="1">
      <w:start w:val="1"/>
      <w:numFmt w:val="lowerLetter"/>
      <w:lvlText w:val="(%2)"/>
      <w:lvlJc w:val="left"/>
      <w:pPr>
        <w:ind w:left="2391" w:hanging="567"/>
        <w:jc w:val="left"/>
      </w:pPr>
      <w:rPr>
        <w:rFonts w:hint="default" w:ascii="Arial" w:hAnsi="Arial" w:eastAsia="Arial" w:cs="Arial"/>
        <w:b/>
        <w:bCs/>
        <w:spacing w:val="-1"/>
        <w:w w:val="99"/>
        <w:sz w:val="18"/>
        <w:szCs w:val="18"/>
      </w:rPr>
    </w:lvl>
    <w:lvl w:ilvl="2">
      <w:start w:val="1"/>
      <w:numFmt w:val="bullet"/>
      <w:lvlText w:val="•"/>
      <w:lvlJc w:val="left"/>
      <w:pPr>
        <w:ind w:left="3549" w:hanging="567"/>
      </w:pPr>
      <w:rPr>
        <w:rFonts w:hint="default"/>
      </w:rPr>
    </w:lvl>
    <w:lvl w:ilvl="3">
      <w:start w:val="1"/>
      <w:numFmt w:val="bullet"/>
      <w:lvlText w:val="•"/>
      <w:lvlJc w:val="left"/>
      <w:pPr>
        <w:ind w:left="4698" w:hanging="567"/>
      </w:pPr>
      <w:rPr>
        <w:rFonts w:hint="default"/>
      </w:rPr>
    </w:lvl>
    <w:lvl w:ilvl="4">
      <w:start w:val="1"/>
      <w:numFmt w:val="bullet"/>
      <w:lvlText w:val="•"/>
      <w:lvlJc w:val="left"/>
      <w:pPr>
        <w:ind w:left="5848" w:hanging="567"/>
      </w:pPr>
      <w:rPr>
        <w:rFonts w:hint="default"/>
      </w:rPr>
    </w:lvl>
    <w:lvl w:ilvl="5">
      <w:start w:val="1"/>
      <w:numFmt w:val="bullet"/>
      <w:lvlText w:val="•"/>
      <w:lvlJc w:val="left"/>
      <w:pPr>
        <w:ind w:left="6997" w:hanging="567"/>
      </w:pPr>
      <w:rPr>
        <w:rFonts w:hint="default"/>
      </w:rPr>
    </w:lvl>
    <w:lvl w:ilvl="6">
      <w:start w:val="1"/>
      <w:numFmt w:val="bullet"/>
      <w:lvlText w:val="•"/>
      <w:lvlJc w:val="left"/>
      <w:pPr>
        <w:ind w:left="8146" w:hanging="567"/>
      </w:pPr>
      <w:rPr>
        <w:rFonts w:hint="default"/>
      </w:rPr>
    </w:lvl>
    <w:lvl w:ilvl="7">
      <w:start w:val="1"/>
      <w:numFmt w:val="bullet"/>
      <w:lvlText w:val="•"/>
      <w:lvlJc w:val="left"/>
      <w:pPr>
        <w:ind w:left="9296" w:hanging="567"/>
      </w:pPr>
      <w:rPr>
        <w:rFonts w:hint="default"/>
      </w:rPr>
    </w:lvl>
    <w:lvl w:ilvl="8">
      <w:start w:val="1"/>
      <w:numFmt w:val="bullet"/>
      <w:lvlText w:val="•"/>
      <w:lvlJc w:val="left"/>
      <w:pPr>
        <w:ind w:left="10445" w:hanging="567"/>
      </w:pPr>
      <w:rPr>
        <w:rFonts w:hint="default"/>
      </w:rPr>
    </w:lvl>
  </w:abstractNum>
  <w:abstractNum w:abstractNumId="77">
    <w:multiLevelType w:val="hybridMultilevel"/>
    <w:lvl w:ilvl="0">
      <w:start w:val="1"/>
      <w:numFmt w:val="decimal"/>
      <w:lvlText w:val="%1"/>
      <w:lvlJc w:val="left"/>
      <w:pPr>
        <w:ind w:left="1824" w:hanging="395"/>
        <w:jc w:val="left"/>
      </w:pPr>
      <w:rPr>
        <w:rFonts w:hint="default" w:ascii="Arial" w:hAnsi="Arial" w:eastAsia="Arial" w:cs="Arial"/>
        <w:b/>
        <w:bCs/>
        <w:w w:val="99"/>
        <w:sz w:val="18"/>
        <w:szCs w:val="18"/>
      </w:rPr>
    </w:lvl>
    <w:lvl w:ilvl="1">
      <w:start w:val="1"/>
      <w:numFmt w:val="lowerLetter"/>
      <w:lvlText w:val="(%2)"/>
      <w:lvlJc w:val="left"/>
      <w:pPr>
        <w:ind w:left="2391" w:hanging="567"/>
        <w:jc w:val="left"/>
      </w:pPr>
      <w:rPr>
        <w:rFonts w:hint="default" w:ascii="Arial" w:hAnsi="Arial" w:eastAsia="Arial" w:cs="Arial"/>
        <w:b/>
        <w:bCs/>
        <w:spacing w:val="-1"/>
        <w:w w:val="99"/>
        <w:sz w:val="18"/>
        <w:szCs w:val="18"/>
      </w:rPr>
    </w:lvl>
    <w:lvl w:ilvl="2">
      <w:start w:val="1"/>
      <w:numFmt w:val="lowerRoman"/>
      <w:lvlText w:val="%3."/>
      <w:lvlJc w:val="left"/>
      <w:pPr>
        <w:ind w:left="2532" w:hanging="140"/>
        <w:jc w:val="left"/>
      </w:pPr>
      <w:rPr>
        <w:rFonts w:hint="default" w:ascii="Arial" w:hAnsi="Arial" w:eastAsia="Arial" w:cs="Arial"/>
        <w:i/>
        <w:spacing w:val="-1"/>
        <w:w w:val="99"/>
        <w:sz w:val="18"/>
        <w:szCs w:val="18"/>
      </w:rPr>
    </w:lvl>
    <w:lvl w:ilvl="3">
      <w:start w:val="1"/>
      <w:numFmt w:val="bullet"/>
      <w:lvlText w:val="•"/>
      <w:lvlJc w:val="left"/>
      <w:pPr>
        <w:ind w:left="3815" w:hanging="140"/>
      </w:pPr>
      <w:rPr>
        <w:rFonts w:hint="default"/>
      </w:rPr>
    </w:lvl>
    <w:lvl w:ilvl="4">
      <w:start w:val="1"/>
      <w:numFmt w:val="bullet"/>
      <w:lvlText w:val="•"/>
      <w:lvlJc w:val="left"/>
      <w:pPr>
        <w:ind w:left="5091" w:hanging="140"/>
      </w:pPr>
      <w:rPr>
        <w:rFonts w:hint="default"/>
      </w:rPr>
    </w:lvl>
    <w:lvl w:ilvl="5">
      <w:start w:val="1"/>
      <w:numFmt w:val="bullet"/>
      <w:lvlText w:val="•"/>
      <w:lvlJc w:val="left"/>
      <w:pPr>
        <w:ind w:left="6366" w:hanging="140"/>
      </w:pPr>
      <w:rPr>
        <w:rFonts w:hint="default"/>
      </w:rPr>
    </w:lvl>
    <w:lvl w:ilvl="6">
      <w:start w:val="1"/>
      <w:numFmt w:val="bullet"/>
      <w:lvlText w:val="•"/>
      <w:lvlJc w:val="left"/>
      <w:pPr>
        <w:ind w:left="7642" w:hanging="140"/>
      </w:pPr>
      <w:rPr>
        <w:rFonts w:hint="default"/>
      </w:rPr>
    </w:lvl>
    <w:lvl w:ilvl="7">
      <w:start w:val="1"/>
      <w:numFmt w:val="bullet"/>
      <w:lvlText w:val="•"/>
      <w:lvlJc w:val="left"/>
      <w:pPr>
        <w:ind w:left="8917" w:hanging="140"/>
      </w:pPr>
      <w:rPr>
        <w:rFonts w:hint="default"/>
      </w:rPr>
    </w:lvl>
    <w:lvl w:ilvl="8">
      <w:start w:val="1"/>
      <w:numFmt w:val="bullet"/>
      <w:lvlText w:val="•"/>
      <w:lvlJc w:val="left"/>
      <w:pPr>
        <w:ind w:left="10193" w:hanging="140"/>
      </w:pPr>
      <w:rPr>
        <w:rFonts w:hint="default"/>
      </w:rPr>
    </w:lvl>
  </w:abstractNum>
  <w:abstractNum w:abstractNumId="75">
    <w:multiLevelType w:val="hybridMultilevel"/>
    <w:lvl w:ilvl="0">
      <w:start w:val="1"/>
      <w:numFmt w:val="lowerLetter"/>
      <w:lvlText w:val="(%1)"/>
      <w:lvlJc w:val="left"/>
      <w:pPr>
        <w:ind w:left="2156" w:hanging="730"/>
        <w:jc w:val="left"/>
      </w:pPr>
      <w:rPr>
        <w:rFonts w:hint="default" w:ascii="Arial" w:hAnsi="Arial" w:eastAsia="Arial" w:cs="Arial"/>
        <w:spacing w:val="-1"/>
        <w:w w:val="99"/>
        <w:sz w:val="18"/>
        <w:szCs w:val="18"/>
      </w:rPr>
    </w:lvl>
    <w:lvl w:ilvl="1">
      <w:start w:val="1"/>
      <w:numFmt w:val="bullet"/>
      <w:lvlText w:val="•"/>
      <w:lvlJc w:val="left"/>
      <w:pPr>
        <w:ind w:left="3218" w:hanging="730"/>
      </w:pPr>
      <w:rPr>
        <w:rFonts w:hint="default"/>
      </w:rPr>
    </w:lvl>
    <w:lvl w:ilvl="2">
      <w:start w:val="1"/>
      <w:numFmt w:val="bullet"/>
      <w:lvlText w:val="•"/>
      <w:lvlJc w:val="left"/>
      <w:pPr>
        <w:ind w:left="4276" w:hanging="730"/>
      </w:pPr>
      <w:rPr>
        <w:rFonts w:hint="default"/>
      </w:rPr>
    </w:lvl>
    <w:lvl w:ilvl="3">
      <w:start w:val="1"/>
      <w:numFmt w:val="bullet"/>
      <w:lvlText w:val="•"/>
      <w:lvlJc w:val="left"/>
      <w:pPr>
        <w:ind w:left="5335" w:hanging="730"/>
      </w:pPr>
      <w:rPr>
        <w:rFonts w:hint="default"/>
      </w:rPr>
    </w:lvl>
    <w:lvl w:ilvl="4">
      <w:start w:val="1"/>
      <w:numFmt w:val="bullet"/>
      <w:lvlText w:val="•"/>
      <w:lvlJc w:val="left"/>
      <w:pPr>
        <w:ind w:left="6393" w:hanging="730"/>
      </w:pPr>
      <w:rPr>
        <w:rFonts w:hint="default"/>
      </w:rPr>
    </w:lvl>
    <w:lvl w:ilvl="5">
      <w:start w:val="1"/>
      <w:numFmt w:val="bullet"/>
      <w:lvlText w:val="•"/>
      <w:lvlJc w:val="left"/>
      <w:pPr>
        <w:ind w:left="7452" w:hanging="730"/>
      </w:pPr>
      <w:rPr>
        <w:rFonts w:hint="default"/>
      </w:rPr>
    </w:lvl>
    <w:lvl w:ilvl="6">
      <w:start w:val="1"/>
      <w:numFmt w:val="bullet"/>
      <w:lvlText w:val="•"/>
      <w:lvlJc w:val="left"/>
      <w:pPr>
        <w:ind w:left="8510" w:hanging="730"/>
      </w:pPr>
      <w:rPr>
        <w:rFonts w:hint="default"/>
      </w:rPr>
    </w:lvl>
    <w:lvl w:ilvl="7">
      <w:start w:val="1"/>
      <w:numFmt w:val="bullet"/>
      <w:lvlText w:val="•"/>
      <w:lvlJc w:val="left"/>
      <w:pPr>
        <w:ind w:left="9569" w:hanging="730"/>
      </w:pPr>
      <w:rPr>
        <w:rFonts w:hint="default"/>
      </w:rPr>
    </w:lvl>
    <w:lvl w:ilvl="8">
      <w:start w:val="1"/>
      <w:numFmt w:val="bullet"/>
      <w:lvlText w:val="•"/>
      <w:lvlJc w:val="left"/>
      <w:pPr>
        <w:ind w:left="10627" w:hanging="730"/>
      </w:pPr>
      <w:rPr>
        <w:rFonts w:hint="default"/>
      </w:rPr>
    </w:lvl>
  </w:abstractNum>
  <w:abstractNum w:abstractNumId="74">
    <w:multiLevelType w:val="hybridMultilevel"/>
    <w:lvl w:ilvl="0">
      <w:start w:val="1"/>
      <w:numFmt w:val="decimal"/>
      <w:lvlText w:val="%1."/>
      <w:lvlJc w:val="left"/>
      <w:pPr>
        <w:ind w:left="1824" w:hanging="396"/>
        <w:jc w:val="left"/>
      </w:pPr>
      <w:rPr>
        <w:rFonts w:hint="default" w:ascii="Arial" w:hAnsi="Arial" w:eastAsia="Arial" w:cs="Arial"/>
        <w:spacing w:val="-1"/>
        <w:w w:val="99"/>
        <w:sz w:val="18"/>
        <w:szCs w:val="18"/>
      </w:rPr>
    </w:lvl>
    <w:lvl w:ilvl="1">
      <w:start w:val="1"/>
      <w:numFmt w:val="lowerLetter"/>
      <w:lvlText w:val="%2."/>
      <w:lvlJc w:val="left"/>
      <w:pPr>
        <w:ind w:left="2221" w:hanging="398"/>
        <w:jc w:val="left"/>
      </w:pPr>
      <w:rPr>
        <w:rFonts w:hint="default" w:ascii="Arial" w:hAnsi="Arial" w:eastAsia="Arial" w:cs="Arial"/>
        <w:spacing w:val="-5"/>
        <w:w w:val="99"/>
        <w:sz w:val="18"/>
        <w:szCs w:val="18"/>
      </w:rPr>
    </w:lvl>
    <w:lvl w:ilvl="2">
      <w:start w:val="1"/>
      <w:numFmt w:val="bullet"/>
      <w:lvlText w:val="•"/>
      <w:lvlJc w:val="left"/>
      <w:pPr>
        <w:ind w:left="3389" w:hanging="398"/>
      </w:pPr>
      <w:rPr>
        <w:rFonts w:hint="default"/>
      </w:rPr>
    </w:lvl>
    <w:lvl w:ilvl="3">
      <w:start w:val="1"/>
      <w:numFmt w:val="bullet"/>
      <w:lvlText w:val="•"/>
      <w:lvlJc w:val="left"/>
      <w:pPr>
        <w:ind w:left="4558" w:hanging="398"/>
      </w:pPr>
      <w:rPr>
        <w:rFonts w:hint="default"/>
      </w:rPr>
    </w:lvl>
    <w:lvl w:ilvl="4">
      <w:start w:val="1"/>
      <w:numFmt w:val="bullet"/>
      <w:lvlText w:val="•"/>
      <w:lvlJc w:val="left"/>
      <w:pPr>
        <w:ind w:left="5728" w:hanging="398"/>
      </w:pPr>
      <w:rPr>
        <w:rFonts w:hint="default"/>
      </w:rPr>
    </w:lvl>
    <w:lvl w:ilvl="5">
      <w:start w:val="1"/>
      <w:numFmt w:val="bullet"/>
      <w:lvlText w:val="•"/>
      <w:lvlJc w:val="left"/>
      <w:pPr>
        <w:ind w:left="6897" w:hanging="398"/>
      </w:pPr>
      <w:rPr>
        <w:rFonts w:hint="default"/>
      </w:rPr>
    </w:lvl>
    <w:lvl w:ilvl="6">
      <w:start w:val="1"/>
      <w:numFmt w:val="bullet"/>
      <w:lvlText w:val="•"/>
      <w:lvlJc w:val="left"/>
      <w:pPr>
        <w:ind w:left="8066" w:hanging="398"/>
      </w:pPr>
      <w:rPr>
        <w:rFonts w:hint="default"/>
      </w:rPr>
    </w:lvl>
    <w:lvl w:ilvl="7">
      <w:start w:val="1"/>
      <w:numFmt w:val="bullet"/>
      <w:lvlText w:val="•"/>
      <w:lvlJc w:val="left"/>
      <w:pPr>
        <w:ind w:left="9236" w:hanging="398"/>
      </w:pPr>
      <w:rPr>
        <w:rFonts w:hint="default"/>
      </w:rPr>
    </w:lvl>
    <w:lvl w:ilvl="8">
      <w:start w:val="1"/>
      <w:numFmt w:val="bullet"/>
      <w:lvlText w:val="•"/>
      <w:lvlJc w:val="left"/>
      <w:pPr>
        <w:ind w:left="10405" w:hanging="398"/>
      </w:pPr>
      <w:rPr>
        <w:rFonts w:hint="default"/>
      </w:rPr>
    </w:lvl>
  </w:abstractNum>
  <w:abstractNum w:abstractNumId="73">
    <w:multiLevelType w:val="hybridMultilevel"/>
    <w:lvl w:ilvl="0">
      <w:start w:val="1"/>
      <w:numFmt w:val="bullet"/>
      <w:lvlText w:val=""/>
      <w:lvlJc w:val="left"/>
      <w:pPr>
        <w:ind w:left="2391" w:hanging="567"/>
      </w:pPr>
      <w:rPr>
        <w:rFonts w:hint="default" w:ascii="Symbol" w:hAnsi="Symbol" w:eastAsia="Symbol" w:cs="Symbol"/>
        <w:w w:val="100"/>
        <w:sz w:val="18"/>
        <w:szCs w:val="18"/>
      </w:rPr>
    </w:lvl>
    <w:lvl w:ilvl="1">
      <w:start w:val="1"/>
      <w:numFmt w:val="bullet"/>
      <w:lvlText w:val="•"/>
      <w:lvlJc w:val="left"/>
      <w:pPr>
        <w:ind w:left="3434" w:hanging="567"/>
      </w:pPr>
      <w:rPr>
        <w:rFonts w:hint="default"/>
      </w:rPr>
    </w:lvl>
    <w:lvl w:ilvl="2">
      <w:start w:val="1"/>
      <w:numFmt w:val="bullet"/>
      <w:lvlText w:val="•"/>
      <w:lvlJc w:val="left"/>
      <w:pPr>
        <w:ind w:left="4468" w:hanging="567"/>
      </w:pPr>
      <w:rPr>
        <w:rFonts w:hint="default"/>
      </w:rPr>
    </w:lvl>
    <w:lvl w:ilvl="3">
      <w:start w:val="1"/>
      <w:numFmt w:val="bullet"/>
      <w:lvlText w:val="•"/>
      <w:lvlJc w:val="left"/>
      <w:pPr>
        <w:ind w:left="5503" w:hanging="567"/>
      </w:pPr>
      <w:rPr>
        <w:rFonts w:hint="default"/>
      </w:rPr>
    </w:lvl>
    <w:lvl w:ilvl="4">
      <w:start w:val="1"/>
      <w:numFmt w:val="bullet"/>
      <w:lvlText w:val="•"/>
      <w:lvlJc w:val="left"/>
      <w:pPr>
        <w:ind w:left="6537" w:hanging="567"/>
      </w:pPr>
      <w:rPr>
        <w:rFonts w:hint="default"/>
      </w:rPr>
    </w:lvl>
    <w:lvl w:ilvl="5">
      <w:start w:val="1"/>
      <w:numFmt w:val="bullet"/>
      <w:lvlText w:val="•"/>
      <w:lvlJc w:val="left"/>
      <w:pPr>
        <w:ind w:left="7572" w:hanging="567"/>
      </w:pPr>
      <w:rPr>
        <w:rFonts w:hint="default"/>
      </w:rPr>
    </w:lvl>
    <w:lvl w:ilvl="6">
      <w:start w:val="1"/>
      <w:numFmt w:val="bullet"/>
      <w:lvlText w:val="•"/>
      <w:lvlJc w:val="left"/>
      <w:pPr>
        <w:ind w:left="8606" w:hanging="567"/>
      </w:pPr>
      <w:rPr>
        <w:rFonts w:hint="default"/>
      </w:rPr>
    </w:lvl>
    <w:lvl w:ilvl="7">
      <w:start w:val="1"/>
      <w:numFmt w:val="bullet"/>
      <w:lvlText w:val="•"/>
      <w:lvlJc w:val="left"/>
      <w:pPr>
        <w:ind w:left="9641" w:hanging="567"/>
      </w:pPr>
      <w:rPr>
        <w:rFonts w:hint="default"/>
      </w:rPr>
    </w:lvl>
    <w:lvl w:ilvl="8">
      <w:start w:val="1"/>
      <w:numFmt w:val="bullet"/>
      <w:lvlText w:val="•"/>
      <w:lvlJc w:val="left"/>
      <w:pPr>
        <w:ind w:left="10675" w:hanging="567"/>
      </w:pPr>
      <w:rPr>
        <w:rFonts w:hint="default"/>
      </w:rPr>
    </w:lvl>
  </w:abstractNum>
  <w:abstractNum w:abstractNumId="72">
    <w:multiLevelType w:val="hybridMultilevel"/>
    <w:lvl w:ilvl="0">
      <w:start w:val="1"/>
      <w:numFmt w:val="lowerRoman"/>
      <w:lvlText w:val="(%1)"/>
      <w:lvlJc w:val="left"/>
      <w:pPr>
        <w:ind w:left="2162" w:hanging="310"/>
        <w:jc w:val="left"/>
      </w:pPr>
      <w:rPr>
        <w:rFonts w:hint="default" w:ascii="Arial" w:hAnsi="Arial" w:eastAsia="Arial" w:cs="Arial"/>
        <w:spacing w:val="-1"/>
        <w:w w:val="99"/>
        <w:sz w:val="18"/>
        <w:szCs w:val="18"/>
      </w:rPr>
    </w:lvl>
    <w:lvl w:ilvl="1">
      <w:start w:val="1"/>
      <w:numFmt w:val="bullet"/>
      <w:lvlText w:val="•"/>
      <w:lvlJc w:val="left"/>
      <w:pPr>
        <w:ind w:left="3218" w:hanging="310"/>
      </w:pPr>
      <w:rPr>
        <w:rFonts w:hint="default"/>
      </w:rPr>
    </w:lvl>
    <w:lvl w:ilvl="2">
      <w:start w:val="1"/>
      <w:numFmt w:val="bullet"/>
      <w:lvlText w:val="•"/>
      <w:lvlJc w:val="left"/>
      <w:pPr>
        <w:ind w:left="4276" w:hanging="310"/>
      </w:pPr>
      <w:rPr>
        <w:rFonts w:hint="default"/>
      </w:rPr>
    </w:lvl>
    <w:lvl w:ilvl="3">
      <w:start w:val="1"/>
      <w:numFmt w:val="bullet"/>
      <w:lvlText w:val="•"/>
      <w:lvlJc w:val="left"/>
      <w:pPr>
        <w:ind w:left="5335" w:hanging="310"/>
      </w:pPr>
      <w:rPr>
        <w:rFonts w:hint="default"/>
      </w:rPr>
    </w:lvl>
    <w:lvl w:ilvl="4">
      <w:start w:val="1"/>
      <w:numFmt w:val="bullet"/>
      <w:lvlText w:val="•"/>
      <w:lvlJc w:val="left"/>
      <w:pPr>
        <w:ind w:left="6393" w:hanging="310"/>
      </w:pPr>
      <w:rPr>
        <w:rFonts w:hint="default"/>
      </w:rPr>
    </w:lvl>
    <w:lvl w:ilvl="5">
      <w:start w:val="1"/>
      <w:numFmt w:val="bullet"/>
      <w:lvlText w:val="•"/>
      <w:lvlJc w:val="left"/>
      <w:pPr>
        <w:ind w:left="7452" w:hanging="310"/>
      </w:pPr>
      <w:rPr>
        <w:rFonts w:hint="default"/>
      </w:rPr>
    </w:lvl>
    <w:lvl w:ilvl="6">
      <w:start w:val="1"/>
      <w:numFmt w:val="bullet"/>
      <w:lvlText w:val="•"/>
      <w:lvlJc w:val="left"/>
      <w:pPr>
        <w:ind w:left="8510" w:hanging="310"/>
      </w:pPr>
      <w:rPr>
        <w:rFonts w:hint="default"/>
      </w:rPr>
    </w:lvl>
    <w:lvl w:ilvl="7">
      <w:start w:val="1"/>
      <w:numFmt w:val="bullet"/>
      <w:lvlText w:val="•"/>
      <w:lvlJc w:val="left"/>
      <w:pPr>
        <w:ind w:left="9569" w:hanging="310"/>
      </w:pPr>
      <w:rPr>
        <w:rFonts w:hint="default"/>
      </w:rPr>
    </w:lvl>
    <w:lvl w:ilvl="8">
      <w:start w:val="1"/>
      <w:numFmt w:val="bullet"/>
      <w:lvlText w:val="•"/>
      <w:lvlJc w:val="left"/>
      <w:pPr>
        <w:ind w:left="10627" w:hanging="310"/>
      </w:pPr>
      <w:rPr>
        <w:rFonts w:hint="default"/>
      </w:rPr>
    </w:lvl>
  </w:abstractNum>
  <w:abstractNum w:abstractNumId="71">
    <w:multiLevelType w:val="hybridMultilevel"/>
    <w:lvl w:ilvl="0">
      <w:start w:val="15"/>
      <w:numFmt w:val="decimal"/>
      <w:lvlText w:val="%1"/>
      <w:lvlJc w:val="left"/>
      <w:pPr>
        <w:ind w:left="1824" w:hanging="396"/>
        <w:jc w:val="left"/>
      </w:pPr>
      <w:rPr>
        <w:rFonts w:hint="default" w:ascii="Arial" w:hAnsi="Arial" w:eastAsia="Arial" w:cs="Arial"/>
        <w:b/>
        <w:bCs/>
        <w:spacing w:val="-1"/>
        <w:w w:val="99"/>
        <w:sz w:val="18"/>
        <w:szCs w:val="18"/>
      </w:rPr>
    </w:lvl>
    <w:lvl w:ilvl="1">
      <w:start w:val="1"/>
      <w:numFmt w:val="lowerLetter"/>
      <w:lvlText w:val="(%2)"/>
      <w:lvlJc w:val="left"/>
      <w:pPr>
        <w:ind w:left="2391" w:hanging="567"/>
        <w:jc w:val="left"/>
      </w:pPr>
      <w:rPr>
        <w:rFonts w:hint="default" w:ascii="Arial" w:hAnsi="Arial" w:eastAsia="Arial" w:cs="Arial"/>
        <w:b/>
        <w:bCs/>
        <w:spacing w:val="-1"/>
        <w:w w:val="99"/>
        <w:sz w:val="18"/>
        <w:szCs w:val="18"/>
      </w:rPr>
    </w:lvl>
    <w:lvl w:ilvl="2">
      <w:start w:val="1"/>
      <w:numFmt w:val="bullet"/>
      <w:lvlText w:val="•"/>
      <w:lvlJc w:val="left"/>
      <w:pPr>
        <w:ind w:left="3549" w:hanging="567"/>
      </w:pPr>
      <w:rPr>
        <w:rFonts w:hint="default"/>
      </w:rPr>
    </w:lvl>
    <w:lvl w:ilvl="3">
      <w:start w:val="1"/>
      <w:numFmt w:val="bullet"/>
      <w:lvlText w:val="•"/>
      <w:lvlJc w:val="left"/>
      <w:pPr>
        <w:ind w:left="4698" w:hanging="567"/>
      </w:pPr>
      <w:rPr>
        <w:rFonts w:hint="default"/>
      </w:rPr>
    </w:lvl>
    <w:lvl w:ilvl="4">
      <w:start w:val="1"/>
      <w:numFmt w:val="bullet"/>
      <w:lvlText w:val="•"/>
      <w:lvlJc w:val="left"/>
      <w:pPr>
        <w:ind w:left="5848" w:hanging="567"/>
      </w:pPr>
      <w:rPr>
        <w:rFonts w:hint="default"/>
      </w:rPr>
    </w:lvl>
    <w:lvl w:ilvl="5">
      <w:start w:val="1"/>
      <w:numFmt w:val="bullet"/>
      <w:lvlText w:val="•"/>
      <w:lvlJc w:val="left"/>
      <w:pPr>
        <w:ind w:left="6997" w:hanging="567"/>
      </w:pPr>
      <w:rPr>
        <w:rFonts w:hint="default"/>
      </w:rPr>
    </w:lvl>
    <w:lvl w:ilvl="6">
      <w:start w:val="1"/>
      <w:numFmt w:val="bullet"/>
      <w:lvlText w:val="•"/>
      <w:lvlJc w:val="left"/>
      <w:pPr>
        <w:ind w:left="8146" w:hanging="567"/>
      </w:pPr>
      <w:rPr>
        <w:rFonts w:hint="default"/>
      </w:rPr>
    </w:lvl>
    <w:lvl w:ilvl="7">
      <w:start w:val="1"/>
      <w:numFmt w:val="bullet"/>
      <w:lvlText w:val="•"/>
      <w:lvlJc w:val="left"/>
      <w:pPr>
        <w:ind w:left="9296" w:hanging="567"/>
      </w:pPr>
      <w:rPr>
        <w:rFonts w:hint="default"/>
      </w:rPr>
    </w:lvl>
    <w:lvl w:ilvl="8">
      <w:start w:val="1"/>
      <w:numFmt w:val="bullet"/>
      <w:lvlText w:val="•"/>
      <w:lvlJc w:val="left"/>
      <w:pPr>
        <w:ind w:left="10445" w:hanging="567"/>
      </w:pPr>
      <w:rPr>
        <w:rFonts w:hint="default"/>
      </w:rPr>
    </w:lvl>
  </w:abstractNum>
  <w:abstractNum w:abstractNumId="70">
    <w:multiLevelType w:val="hybridMultilevel"/>
    <w:lvl w:ilvl="0">
      <w:start w:val="9"/>
      <w:numFmt w:val="decimal"/>
      <w:lvlText w:val="%1"/>
      <w:lvlJc w:val="left"/>
      <w:pPr>
        <w:ind w:left="1824" w:hanging="396"/>
        <w:jc w:val="left"/>
      </w:pPr>
      <w:rPr>
        <w:rFonts w:hint="default" w:ascii="Arial" w:hAnsi="Arial" w:eastAsia="Arial" w:cs="Arial"/>
        <w:b/>
        <w:bCs/>
        <w:w w:val="99"/>
        <w:sz w:val="18"/>
        <w:szCs w:val="18"/>
      </w:rPr>
    </w:lvl>
    <w:lvl w:ilvl="1">
      <w:start w:val="1"/>
      <w:numFmt w:val="lowerLetter"/>
      <w:lvlText w:val="(%2)"/>
      <w:lvlJc w:val="left"/>
      <w:pPr>
        <w:ind w:left="2391" w:hanging="567"/>
        <w:jc w:val="left"/>
      </w:pPr>
      <w:rPr>
        <w:rFonts w:hint="default" w:ascii="Arial" w:hAnsi="Arial" w:eastAsia="Arial" w:cs="Arial"/>
        <w:b/>
        <w:bCs/>
        <w:spacing w:val="-1"/>
        <w:w w:val="99"/>
        <w:sz w:val="18"/>
        <w:szCs w:val="18"/>
      </w:rPr>
    </w:lvl>
    <w:lvl w:ilvl="2">
      <w:start w:val="1"/>
      <w:numFmt w:val="bullet"/>
      <w:lvlText w:val="•"/>
      <w:lvlJc w:val="left"/>
      <w:pPr>
        <w:ind w:left="3549" w:hanging="567"/>
      </w:pPr>
      <w:rPr>
        <w:rFonts w:hint="default"/>
      </w:rPr>
    </w:lvl>
    <w:lvl w:ilvl="3">
      <w:start w:val="1"/>
      <w:numFmt w:val="bullet"/>
      <w:lvlText w:val="•"/>
      <w:lvlJc w:val="left"/>
      <w:pPr>
        <w:ind w:left="4698" w:hanging="567"/>
      </w:pPr>
      <w:rPr>
        <w:rFonts w:hint="default"/>
      </w:rPr>
    </w:lvl>
    <w:lvl w:ilvl="4">
      <w:start w:val="1"/>
      <w:numFmt w:val="bullet"/>
      <w:lvlText w:val="•"/>
      <w:lvlJc w:val="left"/>
      <w:pPr>
        <w:ind w:left="5848" w:hanging="567"/>
      </w:pPr>
      <w:rPr>
        <w:rFonts w:hint="default"/>
      </w:rPr>
    </w:lvl>
    <w:lvl w:ilvl="5">
      <w:start w:val="1"/>
      <w:numFmt w:val="bullet"/>
      <w:lvlText w:val="•"/>
      <w:lvlJc w:val="left"/>
      <w:pPr>
        <w:ind w:left="6997" w:hanging="567"/>
      </w:pPr>
      <w:rPr>
        <w:rFonts w:hint="default"/>
      </w:rPr>
    </w:lvl>
    <w:lvl w:ilvl="6">
      <w:start w:val="1"/>
      <w:numFmt w:val="bullet"/>
      <w:lvlText w:val="•"/>
      <w:lvlJc w:val="left"/>
      <w:pPr>
        <w:ind w:left="8146" w:hanging="567"/>
      </w:pPr>
      <w:rPr>
        <w:rFonts w:hint="default"/>
      </w:rPr>
    </w:lvl>
    <w:lvl w:ilvl="7">
      <w:start w:val="1"/>
      <w:numFmt w:val="bullet"/>
      <w:lvlText w:val="•"/>
      <w:lvlJc w:val="left"/>
      <w:pPr>
        <w:ind w:left="9296" w:hanging="567"/>
      </w:pPr>
      <w:rPr>
        <w:rFonts w:hint="default"/>
      </w:rPr>
    </w:lvl>
    <w:lvl w:ilvl="8">
      <w:start w:val="1"/>
      <w:numFmt w:val="bullet"/>
      <w:lvlText w:val="•"/>
      <w:lvlJc w:val="left"/>
      <w:pPr>
        <w:ind w:left="10445" w:hanging="567"/>
      </w:pPr>
      <w:rPr>
        <w:rFonts w:hint="default"/>
      </w:rPr>
    </w:lvl>
  </w:abstractNum>
  <w:abstractNum w:abstractNumId="69">
    <w:multiLevelType w:val="hybridMultilevel"/>
    <w:lvl w:ilvl="0">
      <w:start w:val="4"/>
      <w:numFmt w:val="decimal"/>
      <w:lvlText w:val="%1"/>
      <w:lvlJc w:val="left"/>
      <w:pPr>
        <w:ind w:left="1824" w:hanging="396"/>
        <w:jc w:val="left"/>
      </w:pPr>
      <w:rPr>
        <w:rFonts w:hint="default" w:ascii="Arial" w:hAnsi="Arial" w:eastAsia="Arial" w:cs="Arial"/>
        <w:b/>
        <w:bCs/>
        <w:w w:val="99"/>
        <w:sz w:val="18"/>
        <w:szCs w:val="18"/>
      </w:rPr>
    </w:lvl>
    <w:lvl w:ilvl="1">
      <w:start w:val="1"/>
      <w:numFmt w:val="lowerLetter"/>
      <w:lvlText w:val="(%2)"/>
      <w:lvlJc w:val="left"/>
      <w:pPr>
        <w:ind w:left="2122" w:hanging="270"/>
        <w:jc w:val="left"/>
      </w:pPr>
      <w:rPr>
        <w:rFonts w:hint="default" w:ascii="Arial" w:hAnsi="Arial" w:eastAsia="Arial" w:cs="Arial"/>
        <w:spacing w:val="-1"/>
        <w:w w:val="99"/>
        <w:sz w:val="18"/>
        <w:szCs w:val="18"/>
      </w:rPr>
    </w:lvl>
    <w:lvl w:ilvl="2">
      <w:start w:val="1"/>
      <w:numFmt w:val="bullet"/>
      <w:lvlText w:val="•"/>
      <w:lvlJc w:val="left"/>
      <w:pPr>
        <w:ind w:left="2343" w:hanging="270"/>
      </w:pPr>
      <w:rPr>
        <w:rFonts w:hint="default"/>
      </w:rPr>
    </w:lvl>
    <w:lvl w:ilvl="3">
      <w:start w:val="1"/>
      <w:numFmt w:val="bullet"/>
      <w:lvlText w:val="•"/>
      <w:lvlJc w:val="left"/>
      <w:pPr>
        <w:ind w:left="2566" w:hanging="270"/>
      </w:pPr>
      <w:rPr>
        <w:rFonts w:hint="default"/>
      </w:rPr>
    </w:lvl>
    <w:lvl w:ilvl="4">
      <w:start w:val="1"/>
      <w:numFmt w:val="bullet"/>
      <w:lvlText w:val="•"/>
      <w:lvlJc w:val="left"/>
      <w:pPr>
        <w:ind w:left="2790" w:hanging="270"/>
      </w:pPr>
      <w:rPr>
        <w:rFonts w:hint="default"/>
      </w:rPr>
    </w:lvl>
    <w:lvl w:ilvl="5">
      <w:start w:val="1"/>
      <w:numFmt w:val="bullet"/>
      <w:lvlText w:val="•"/>
      <w:lvlJc w:val="left"/>
      <w:pPr>
        <w:ind w:left="3013" w:hanging="270"/>
      </w:pPr>
      <w:rPr>
        <w:rFonts w:hint="default"/>
      </w:rPr>
    </w:lvl>
    <w:lvl w:ilvl="6">
      <w:start w:val="1"/>
      <w:numFmt w:val="bullet"/>
      <w:lvlText w:val="•"/>
      <w:lvlJc w:val="left"/>
      <w:pPr>
        <w:ind w:left="3237" w:hanging="270"/>
      </w:pPr>
      <w:rPr>
        <w:rFonts w:hint="default"/>
      </w:rPr>
    </w:lvl>
    <w:lvl w:ilvl="7">
      <w:start w:val="1"/>
      <w:numFmt w:val="bullet"/>
      <w:lvlText w:val="•"/>
      <w:lvlJc w:val="left"/>
      <w:pPr>
        <w:ind w:left="3460" w:hanging="270"/>
      </w:pPr>
      <w:rPr>
        <w:rFonts w:hint="default"/>
      </w:rPr>
    </w:lvl>
    <w:lvl w:ilvl="8">
      <w:start w:val="1"/>
      <w:numFmt w:val="bullet"/>
      <w:lvlText w:val="•"/>
      <w:lvlJc w:val="left"/>
      <w:pPr>
        <w:ind w:left="3684" w:hanging="270"/>
      </w:pPr>
      <w:rPr>
        <w:rFonts w:hint="default"/>
      </w:rPr>
    </w:lvl>
  </w:abstractNum>
  <w:abstractNum w:abstractNumId="68">
    <w:multiLevelType w:val="hybridMultilevel"/>
    <w:lvl w:ilvl="0">
      <w:start w:val="3"/>
      <w:numFmt w:val="lowerLetter"/>
      <w:lvlText w:val="(%1)"/>
      <w:lvlJc w:val="left"/>
      <w:pPr>
        <w:ind w:left="1824" w:hanging="396"/>
        <w:jc w:val="left"/>
      </w:pPr>
      <w:rPr>
        <w:rFonts w:hint="default" w:ascii="Arial" w:hAnsi="Arial" w:eastAsia="Arial" w:cs="Arial"/>
        <w:b/>
        <w:bCs/>
        <w:spacing w:val="-1"/>
        <w:w w:val="99"/>
        <w:sz w:val="18"/>
        <w:szCs w:val="18"/>
      </w:rPr>
    </w:lvl>
    <w:lvl w:ilvl="1">
      <w:start w:val="1"/>
      <w:numFmt w:val="lowerRoman"/>
      <w:lvlText w:val="(%2)"/>
      <w:lvlJc w:val="left"/>
      <w:pPr>
        <w:ind w:left="2062" w:hanging="210"/>
        <w:jc w:val="left"/>
      </w:pPr>
      <w:rPr>
        <w:rFonts w:hint="default" w:ascii="Arial" w:hAnsi="Arial" w:eastAsia="Arial" w:cs="Arial"/>
        <w:spacing w:val="-1"/>
        <w:w w:val="99"/>
        <w:sz w:val="18"/>
        <w:szCs w:val="18"/>
      </w:rPr>
    </w:lvl>
    <w:lvl w:ilvl="2">
      <w:start w:val="1"/>
      <w:numFmt w:val="bullet"/>
      <w:lvlText w:val="•"/>
      <w:lvlJc w:val="left"/>
      <w:pPr>
        <w:ind w:left="2120" w:hanging="210"/>
      </w:pPr>
      <w:rPr>
        <w:rFonts w:hint="default"/>
      </w:rPr>
    </w:lvl>
    <w:lvl w:ilvl="3">
      <w:start w:val="1"/>
      <w:numFmt w:val="bullet"/>
      <w:lvlText w:val="•"/>
      <w:lvlJc w:val="left"/>
      <w:pPr>
        <w:ind w:left="3448" w:hanging="210"/>
      </w:pPr>
      <w:rPr>
        <w:rFonts w:hint="default"/>
      </w:rPr>
    </w:lvl>
    <w:lvl w:ilvl="4">
      <w:start w:val="1"/>
      <w:numFmt w:val="bullet"/>
      <w:lvlText w:val="•"/>
      <w:lvlJc w:val="left"/>
      <w:pPr>
        <w:ind w:left="4776" w:hanging="210"/>
      </w:pPr>
      <w:rPr>
        <w:rFonts w:hint="default"/>
      </w:rPr>
    </w:lvl>
    <w:lvl w:ilvl="5">
      <w:start w:val="1"/>
      <w:numFmt w:val="bullet"/>
      <w:lvlText w:val="•"/>
      <w:lvlJc w:val="left"/>
      <w:pPr>
        <w:ind w:left="6104" w:hanging="210"/>
      </w:pPr>
      <w:rPr>
        <w:rFonts w:hint="default"/>
      </w:rPr>
    </w:lvl>
    <w:lvl w:ilvl="6">
      <w:start w:val="1"/>
      <w:numFmt w:val="bullet"/>
      <w:lvlText w:val="•"/>
      <w:lvlJc w:val="left"/>
      <w:pPr>
        <w:ind w:left="7432" w:hanging="210"/>
      </w:pPr>
      <w:rPr>
        <w:rFonts w:hint="default"/>
      </w:rPr>
    </w:lvl>
    <w:lvl w:ilvl="7">
      <w:start w:val="1"/>
      <w:numFmt w:val="bullet"/>
      <w:lvlText w:val="•"/>
      <w:lvlJc w:val="left"/>
      <w:pPr>
        <w:ind w:left="8760" w:hanging="210"/>
      </w:pPr>
      <w:rPr>
        <w:rFonts w:hint="default"/>
      </w:rPr>
    </w:lvl>
    <w:lvl w:ilvl="8">
      <w:start w:val="1"/>
      <w:numFmt w:val="bullet"/>
      <w:lvlText w:val="•"/>
      <w:lvlJc w:val="left"/>
      <w:pPr>
        <w:ind w:left="10088" w:hanging="210"/>
      </w:pPr>
      <w:rPr>
        <w:rFonts w:hint="default"/>
      </w:rPr>
    </w:lvl>
  </w:abstractNum>
  <w:abstractNum w:abstractNumId="67">
    <w:multiLevelType w:val="hybridMultilevel"/>
    <w:lvl w:ilvl="0">
      <w:start w:val="1"/>
      <w:numFmt w:val="lowerLetter"/>
      <w:lvlText w:val="(%1)"/>
      <w:lvlJc w:val="left"/>
      <w:pPr>
        <w:ind w:left="1824" w:hanging="396"/>
        <w:jc w:val="left"/>
      </w:pPr>
      <w:rPr>
        <w:rFonts w:hint="default" w:ascii="Arial" w:hAnsi="Arial" w:eastAsia="Arial" w:cs="Arial"/>
        <w:b/>
        <w:bCs/>
        <w:spacing w:val="-1"/>
        <w:w w:val="99"/>
        <w:sz w:val="18"/>
        <w:szCs w:val="18"/>
      </w:rPr>
    </w:lvl>
    <w:lvl w:ilvl="1">
      <w:start w:val="1"/>
      <w:numFmt w:val="bullet"/>
      <w:lvlText w:val="•"/>
      <w:lvlJc w:val="left"/>
      <w:pPr>
        <w:ind w:left="2912" w:hanging="396"/>
      </w:pPr>
      <w:rPr>
        <w:rFonts w:hint="default"/>
      </w:rPr>
    </w:lvl>
    <w:lvl w:ilvl="2">
      <w:start w:val="1"/>
      <w:numFmt w:val="bullet"/>
      <w:lvlText w:val="•"/>
      <w:lvlJc w:val="left"/>
      <w:pPr>
        <w:ind w:left="4004" w:hanging="396"/>
      </w:pPr>
      <w:rPr>
        <w:rFonts w:hint="default"/>
      </w:rPr>
    </w:lvl>
    <w:lvl w:ilvl="3">
      <w:start w:val="1"/>
      <w:numFmt w:val="bullet"/>
      <w:lvlText w:val="•"/>
      <w:lvlJc w:val="left"/>
      <w:pPr>
        <w:ind w:left="5097" w:hanging="396"/>
      </w:pPr>
      <w:rPr>
        <w:rFonts w:hint="default"/>
      </w:rPr>
    </w:lvl>
    <w:lvl w:ilvl="4">
      <w:start w:val="1"/>
      <w:numFmt w:val="bullet"/>
      <w:lvlText w:val="•"/>
      <w:lvlJc w:val="left"/>
      <w:pPr>
        <w:ind w:left="6189" w:hanging="396"/>
      </w:pPr>
      <w:rPr>
        <w:rFonts w:hint="default"/>
      </w:rPr>
    </w:lvl>
    <w:lvl w:ilvl="5">
      <w:start w:val="1"/>
      <w:numFmt w:val="bullet"/>
      <w:lvlText w:val="•"/>
      <w:lvlJc w:val="left"/>
      <w:pPr>
        <w:ind w:left="7282" w:hanging="396"/>
      </w:pPr>
      <w:rPr>
        <w:rFonts w:hint="default"/>
      </w:rPr>
    </w:lvl>
    <w:lvl w:ilvl="6">
      <w:start w:val="1"/>
      <w:numFmt w:val="bullet"/>
      <w:lvlText w:val="•"/>
      <w:lvlJc w:val="left"/>
      <w:pPr>
        <w:ind w:left="8374" w:hanging="396"/>
      </w:pPr>
      <w:rPr>
        <w:rFonts w:hint="default"/>
      </w:rPr>
    </w:lvl>
    <w:lvl w:ilvl="7">
      <w:start w:val="1"/>
      <w:numFmt w:val="bullet"/>
      <w:lvlText w:val="•"/>
      <w:lvlJc w:val="left"/>
      <w:pPr>
        <w:ind w:left="9467" w:hanging="396"/>
      </w:pPr>
      <w:rPr>
        <w:rFonts w:hint="default"/>
      </w:rPr>
    </w:lvl>
    <w:lvl w:ilvl="8">
      <w:start w:val="1"/>
      <w:numFmt w:val="bullet"/>
      <w:lvlText w:val="•"/>
      <w:lvlJc w:val="left"/>
      <w:pPr>
        <w:ind w:left="10559" w:hanging="396"/>
      </w:pPr>
      <w:rPr>
        <w:rFonts w:hint="default"/>
      </w:rPr>
    </w:lvl>
  </w:abstractNum>
  <w:abstractNum w:abstractNumId="65">
    <w:multiLevelType w:val="hybridMultilevel"/>
    <w:lvl w:ilvl="0">
      <w:start w:val="1"/>
      <w:numFmt w:val="decimal"/>
      <w:lvlText w:val="%1."/>
      <w:lvlJc w:val="left"/>
      <w:pPr>
        <w:ind w:left="1824" w:hanging="396"/>
        <w:jc w:val="left"/>
      </w:pPr>
      <w:rPr>
        <w:rFonts w:hint="default" w:ascii="Arial" w:hAnsi="Arial" w:eastAsia="Arial" w:cs="Arial"/>
        <w:w w:val="99"/>
        <w:sz w:val="18"/>
        <w:szCs w:val="18"/>
      </w:rPr>
    </w:lvl>
    <w:lvl w:ilvl="1">
      <w:start w:val="1"/>
      <w:numFmt w:val="lowerLetter"/>
      <w:lvlText w:val="%2."/>
      <w:lvlJc w:val="left"/>
      <w:pPr>
        <w:ind w:left="2220" w:hanging="396"/>
        <w:jc w:val="left"/>
      </w:pPr>
      <w:rPr>
        <w:rFonts w:hint="default" w:ascii="Arial" w:hAnsi="Arial" w:eastAsia="Arial" w:cs="Arial"/>
        <w:w w:val="99"/>
        <w:sz w:val="18"/>
        <w:szCs w:val="18"/>
      </w:rPr>
    </w:lvl>
    <w:lvl w:ilvl="2">
      <w:start w:val="1"/>
      <w:numFmt w:val="bullet"/>
      <w:lvlText w:val="•"/>
      <w:lvlJc w:val="left"/>
      <w:pPr>
        <w:ind w:left="3389" w:hanging="396"/>
      </w:pPr>
      <w:rPr>
        <w:rFonts w:hint="default"/>
      </w:rPr>
    </w:lvl>
    <w:lvl w:ilvl="3">
      <w:start w:val="1"/>
      <w:numFmt w:val="bullet"/>
      <w:lvlText w:val="•"/>
      <w:lvlJc w:val="left"/>
      <w:pPr>
        <w:ind w:left="4558" w:hanging="396"/>
      </w:pPr>
      <w:rPr>
        <w:rFonts w:hint="default"/>
      </w:rPr>
    </w:lvl>
    <w:lvl w:ilvl="4">
      <w:start w:val="1"/>
      <w:numFmt w:val="bullet"/>
      <w:lvlText w:val="•"/>
      <w:lvlJc w:val="left"/>
      <w:pPr>
        <w:ind w:left="5728" w:hanging="396"/>
      </w:pPr>
      <w:rPr>
        <w:rFonts w:hint="default"/>
      </w:rPr>
    </w:lvl>
    <w:lvl w:ilvl="5">
      <w:start w:val="1"/>
      <w:numFmt w:val="bullet"/>
      <w:lvlText w:val="•"/>
      <w:lvlJc w:val="left"/>
      <w:pPr>
        <w:ind w:left="6897" w:hanging="396"/>
      </w:pPr>
      <w:rPr>
        <w:rFonts w:hint="default"/>
      </w:rPr>
    </w:lvl>
    <w:lvl w:ilvl="6">
      <w:start w:val="1"/>
      <w:numFmt w:val="bullet"/>
      <w:lvlText w:val="•"/>
      <w:lvlJc w:val="left"/>
      <w:pPr>
        <w:ind w:left="8066" w:hanging="396"/>
      </w:pPr>
      <w:rPr>
        <w:rFonts w:hint="default"/>
      </w:rPr>
    </w:lvl>
    <w:lvl w:ilvl="7">
      <w:start w:val="1"/>
      <w:numFmt w:val="bullet"/>
      <w:lvlText w:val="•"/>
      <w:lvlJc w:val="left"/>
      <w:pPr>
        <w:ind w:left="9236" w:hanging="396"/>
      </w:pPr>
      <w:rPr>
        <w:rFonts w:hint="default"/>
      </w:rPr>
    </w:lvl>
    <w:lvl w:ilvl="8">
      <w:start w:val="1"/>
      <w:numFmt w:val="bullet"/>
      <w:lvlText w:val="•"/>
      <w:lvlJc w:val="left"/>
      <w:pPr>
        <w:ind w:left="10405" w:hanging="396"/>
      </w:pPr>
      <w:rPr>
        <w:rFonts w:hint="default"/>
      </w:rPr>
    </w:lvl>
  </w:abstractNum>
  <w:abstractNum w:abstractNumId="64">
    <w:multiLevelType w:val="hybridMultilevel"/>
    <w:lvl w:ilvl="0">
      <w:start w:val="21"/>
      <w:numFmt w:val="decimal"/>
      <w:lvlText w:val="%1"/>
      <w:lvlJc w:val="left"/>
      <w:pPr>
        <w:ind w:left="1824" w:hanging="394"/>
        <w:jc w:val="left"/>
      </w:pPr>
      <w:rPr>
        <w:rFonts w:hint="default" w:ascii="Arial" w:hAnsi="Arial" w:eastAsia="Arial" w:cs="Arial"/>
        <w:b/>
        <w:bCs/>
        <w:w w:val="99"/>
        <w:sz w:val="18"/>
        <w:szCs w:val="18"/>
      </w:rPr>
    </w:lvl>
    <w:lvl w:ilvl="1">
      <w:start w:val="1"/>
      <w:numFmt w:val="lowerLetter"/>
      <w:lvlText w:val="(%2)"/>
      <w:lvlJc w:val="left"/>
      <w:pPr>
        <w:ind w:left="2390" w:hanging="567"/>
        <w:jc w:val="left"/>
      </w:pPr>
      <w:rPr>
        <w:rFonts w:hint="default" w:ascii="Arial" w:hAnsi="Arial" w:eastAsia="Arial" w:cs="Arial"/>
        <w:b/>
        <w:bCs/>
        <w:w w:val="99"/>
        <w:sz w:val="18"/>
        <w:szCs w:val="18"/>
      </w:rPr>
    </w:lvl>
    <w:lvl w:ilvl="2">
      <w:start w:val="1"/>
      <w:numFmt w:val="bullet"/>
      <w:lvlText w:val="•"/>
      <w:lvlJc w:val="left"/>
      <w:pPr>
        <w:ind w:left="3549" w:hanging="567"/>
      </w:pPr>
      <w:rPr>
        <w:rFonts w:hint="default"/>
      </w:rPr>
    </w:lvl>
    <w:lvl w:ilvl="3">
      <w:start w:val="1"/>
      <w:numFmt w:val="bullet"/>
      <w:lvlText w:val="•"/>
      <w:lvlJc w:val="left"/>
      <w:pPr>
        <w:ind w:left="4698" w:hanging="567"/>
      </w:pPr>
      <w:rPr>
        <w:rFonts w:hint="default"/>
      </w:rPr>
    </w:lvl>
    <w:lvl w:ilvl="4">
      <w:start w:val="1"/>
      <w:numFmt w:val="bullet"/>
      <w:lvlText w:val="•"/>
      <w:lvlJc w:val="left"/>
      <w:pPr>
        <w:ind w:left="5848" w:hanging="567"/>
      </w:pPr>
      <w:rPr>
        <w:rFonts w:hint="default"/>
      </w:rPr>
    </w:lvl>
    <w:lvl w:ilvl="5">
      <w:start w:val="1"/>
      <w:numFmt w:val="bullet"/>
      <w:lvlText w:val="•"/>
      <w:lvlJc w:val="left"/>
      <w:pPr>
        <w:ind w:left="6997" w:hanging="567"/>
      </w:pPr>
      <w:rPr>
        <w:rFonts w:hint="default"/>
      </w:rPr>
    </w:lvl>
    <w:lvl w:ilvl="6">
      <w:start w:val="1"/>
      <w:numFmt w:val="bullet"/>
      <w:lvlText w:val="•"/>
      <w:lvlJc w:val="left"/>
      <w:pPr>
        <w:ind w:left="8146" w:hanging="567"/>
      </w:pPr>
      <w:rPr>
        <w:rFonts w:hint="default"/>
      </w:rPr>
    </w:lvl>
    <w:lvl w:ilvl="7">
      <w:start w:val="1"/>
      <w:numFmt w:val="bullet"/>
      <w:lvlText w:val="•"/>
      <w:lvlJc w:val="left"/>
      <w:pPr>
        <w:ind w:left="9296" w:hanging="567"/>
      </w:pPr>
      <w:rPr>
        <w:rFonts w:hint="default"/>
      </w:rPr>
    </w:lvl>
    <w:lvl w:ilvl="8">
      <w:start w:val="1"/>
      <w:numFmt w:val="bullet"/>
      <w:lvlText w:val="•"/>
      <w:lvlJc w:val="left"/>
      <w:pPr>
        <w:ind w:left="10445" w:hanging="567"/>
      </w:pPr>
      <w:rPr>
        <w:rFonts w:hint="default"/>
      </w:rPr>
    </w:lvl>
  </w:abstractNum>
  <w:abstractNum w:abstractNumId="63">
    <w:multiLevelType w:val="hybridMultilevel"/>
    <w:lvl w:ilvl="0">
      <w:start w:val="9"/>
      <w:numFmt w:val="decimal"/>
      <w:lvlText w:val="%1"/>
      <w:lvlJc w:val="left"/>
      <w:pPr>
        <w:ind w:left="1824" w:hanging="394"/>
        <w:jc w:val="left"/>
      </w:pPr>
      <w:rPr>
        <w:rFonts w:hint="default" w:ascii="Arial" w:hAnsi="Arial" w:eastAsia="Arial" w:cs="Arial"/>
        <w:b/>
        <w:bCs/>
        <w:w w:val="99"/>
        <w:sz w:val="18"/>
        <w:szCs w:val="18"/>
      </w:rPr>
    </w:lvl>
    <w:lvl w:ilvl="1">
      <w:start w:val="1"/>
      <w:numFmt w:val="lowerLetter"/>
      <w:lvlText w:val="(%2)"/>
      <w:lvlJc w:val="left"/>
      <w:pPr>
        <w:ind w:left="2390" w:hanging="567"/>
        <w:jc w:val="left"/>
      </w:pPr>
      <w:rPr>
        <w:rFonts w:hint="default" w:ascii="Arial" w:hAnsi="Arial" w:eastAsia="Arial" w:cs="Arial"/>
        <w:b/>
        <w:bCs/>
        <w:w w:val="99"/>
        <w:sz w:val="18"/>
        <w:szCs w:val="18"/>
      </w:rPr>
    </w:lvl>
    <w:lvl w:ilvl="2">
      <w:start w:val="1"/>
      <w:numFmt w:val="bullet"/>
      <w:lvlText w:val="•"/>
      <w:lvlJc w:val="left"/>
      <w:pPr>
        <w:ind w:left="2484" w:hanging="567"/>
      </w:pPr>
      <w:rPr>
        <w:rFonts w:hint="default"/>
      </w:rPr>
    </w:lvl>
    <w:lvl w:ilvl="3">
      <w:start w:val="1"/>
      <w:numFmt w:val="bullet"/>
      <w:lvlText w:val="•"/>
      <w:lvlJc w:val="left"/>
      <w:pPr>
        <w:ind w:left="2569" w:hanging="567"/>
      </w:pPr>
      <w:rPr>
        <w:rFonts w:hint="default"/>
      </w:rPr>
    </w:lvl>
    <w:lvl w:ilvl="4">
      <w:start w:val="1"/>
      <w:numFmt w:val="bullet"/>
      <w:lvlText w:val="•"/>
      <w:lvlJc w:val="left"/>
      <w:pPr>
        <w:ind w:left="2653" w:hanging="567"/>
      </w:pPr>
      <w:rPr>
        <w:rFonts w:hint="default"/>
      </w:rPr>
    </w:lvl>
    <w:lvl w:ilvl="5">
      <w:start w:val="1"/>
      <w:numFmt w:val="bullet"/>
      <w:lvlText w:val="•"/>
      <w:lvlJc w:val="left"/>
      <w:pPr>
        <w:ind w:left="2738" w:hanging="567"/>
      </w:pPr>
      <w:rPr>
        <w:rFonts w:hint="default"/>
      </w:rPr>
    </w:lvl>
    <w:lvl w:ilvl="6">
      <w:start w:val="1"/>
      <w:numFmt w:val="bullet"/>
      <w:lvlText w:val="•"/>
      <w:lvlJc w:val="left"/>
      <w:pPr>
        <w:ind w:left="2822" w:hanging="567"/>
      </w:pPr>
      <w:rPr>
        <w:rFonts w:hint="default"/>
      </w:rPr>
    </w:lvl>
    <w:lvl w:ilvl="7">
      <w:start w:val="1"/>
      <w:numFmt w:val="bullet"/>
      <w:lvlText w:val="•"/>
      <w:lvlJc w:val="left"/>
      <w:pPr>
        <w:ind w:left="2907" w:hanging="567"/>
      </w:pPr>
      <w:rPr>
        <w:rFonts w:hint="default"/>
      </w:rPr>
    </w:lvl>
    <w:lvl w:ilvl="8">
      <w:start w:val="1"/>
      <w:numFmt w:val="bullet"/>
      <w:lvlText w:val="•"/>
      <w:lvlJc w:val="left"/>
      <w:pPr>
        <w:ind w:left="2991" w:hanging="567"/>
      </w:pPr>
      <w:rPr>
        <w:rFonts w:hint="default"/>
      </w:rPr>
    </w:lvl>
  </w:abstractNum>
  <w:abstractNum w:abstractNumId="62">
    <w:multiLevelType w:val="hybridMultilevel"/>
    <w:lvl w:ilvl="0">
      <w:start w:val="6"/>
      <w:numFmt w:val="decimal"/>
      <w:lvlText w:val="%1"/>
      <w:lvlJc w:val="left"/>
      <w:pPr>
        <w:ind w:left="1824" w:hanging="394"/>
        <w:jc w:val="left"/>
      </w:pPr>
      <w:rPr>
        <w:rFonts w:hint="default" w:ascii="Arial" w:hAnsi="Arial" w:eastAsia="Arial" w:cs="Arial"/>
        <w:b/>
        <w:bCs/>
        <w:w w:val="99"/>
        <w:sz w:val="18"/>
        <w:szCs w:val="18"/>
      </w:rPr>
    </w:lvl>
    <w:lvl w:ilvl="1">
      <w:start w:val="1"/>
      <w:numFmt w:val="lowerLetter"/>
      <w:lvlText w:val="(%2)"/>
      <w:lvlJc w:val="left"/>
      <w:pPr>
        <w:ind w:left="2390" w:hanging="567"/>
        <w:jc w:val="left"/>
      </w:pPr>
      <w:rPr>
        <w:rFonts w:hint="default" w:ascii="Arial" w:hAnsi="Arial" w:eastAsia="Arial" w:cs="Arial"/>
        <w:b/>
        <w:bCs/>
        <w:w w:val="99"/>
        <w:sz w:val="18"/>
        <w:szCs w:val="18"/>
      </w:rPr>
    </w:lvl>
    <w:lvl w:ilvl="2">
      <w:start w:val="1"/>
      <w:numFmt w:val="bullet"/>
      <w:lvlText w:val="•"/>
      <w:lvlJc w:val="left"/>
      <w:pPr>
        <w:ind w:left="3549" w:hanging="567"/>
      </w:pPr>
      <w:rPr>
        <w:rFonts w:hint="default"/>
      </w:rPr>
    </w:lvl>
    <w:lvl w:ilvl="3">
      <w:start w:val="1"/>
      <w:numFmt w:val="bullet"/>
      <w:lvlText w:val="•"/>
      <w:lvlJc w:val="left"/>
      <w:pPr>
        <w:ind w:left="4698" w:hanging="567"/>
      </w:pPr>
      <w:rPr>
        <w:rFonts w:hint="default"/>
      </w:rPr>
    </w:lvl>
    <w:lvl w:ilvl="4">
      <w:start w:val="1"/>
      <w:numFmt w:val="bullet"/>
      <w:lvlText w:val="•"/>
      <w:lvlJc w:val="left"/>
      <w:pPr>
        <w:ind w:left="5848" w:hanging="567"/>
      </w:pPr>
      <w:rPr>
        <w:rFonts w:hint="default"/>
      </w:rPr>
    </w:lvl>
    <w:lvl w:ilvl="5">
      <w:start w:val="1"/>
      <w:numFmt w:val="bullet"/>
      <w:lvlText w:val="•"/>
      <w:lvlJc w:val="left"/>
      <w:pPr>
        <w:ind w:left="6997" w:hanging="567"/>
      </w:pPr>
      <w:rPr>
        <w:rFonts w:hint="default"/>
      </w:rPr>
    </w:lvl>
    <w:lvl w:ilvl="6">
      <w:start w:val="1"/>
      <w:numFmt w:val="bullet"/>
      <w:lvlText w:val="•"/>
      <w:lvlJc w:val="left"/>
      <w:pPr>
        <w:ind w:left="8146" w:hanging="567"/>
      </w:pPr>
      <w:rPr>
        <w:rFonts w:hint="default"/>
      </w:rPr>
    </w:lvl>
    <w:lvl w:ilvl="7">
      <w:start w:val="1"/>
      <w:numFmt w:val="bullet"/>
      <w:lvlText w:val="•"/>
      <w:lvlJc w:val="left"/>
      <w:pPr>
        <w:ind w:left="9296" w:hanging="567"/>
      </w:pPr>
      <w:rPr>
        <w:rFonts w:hint="default"/>
      </w:rPr>
    </w:lvl>
    <w:lvl w:ilvl="8">
      <w:start w:val="1"/>
      <w:numFmt w:val="bullet"/>
      <w:lvlText w:val="•"/>
      <w:lvlJc w:val="left"/>
      <w:pPr>
        <w:ind w:left="10445" w:hanging="567"/>
      </w:pPr>
      <w:rPr>
        <w:rFonts w:hint="default"/>
      </w:rPr>
    </w:lvl>
  </w:abstractNum>
  <w:abstractNum w:abstractNumId="61">
    <w:multiLevelType w:val="hybridMultilevel"/>
    <w:lvl w:ilvl="0">
      <w:start w:val="1"/>
      <w:numFmt w:val="lowerRoman"/>
      <w:lvlText w:val="(%1)"/>
      <w:lvlJc w:val="left"/>
      <w:pPr>
        <w:ind w:left="2035" w:hanging="212"/>
        <w:jc w:val="left"/>
      </w:pPr>
      <w:rPr>
        <w:rFonts w:hint="default" w:ascii="Arial" w:hAnsi="Arial" w:eastAsia="Arial" w:cs="Arial"/>
        <w:w w:val="99"/>
        <w:sz w:val="18"/>
        <w:szCs w:val="18"/>
      </w:rPr>
    </w:lvl>
    <w:lvl w:ilvl="1">
      <w:start w:val="1"/>
      <w:numFmt w:val="bullet"/>
      <w:lvlText w:val="•"/>
      <w:lvlJc w:val="left"/>
      <w:pPr>
        <w:ind w:left="3110" w:hanging="212"/>
      </w:pPr>
      <w:rPr>
        <w:rFonts w:hint="default"/>
      </w:rPr>
    </w:lvl>
    <w:lvl w:ilvl="2">
      <w:start w:val="1"/>
      <w:numFmt w:val="bullet"/>
      <w:lvlText w:val="•"/>
      <w:lvlJc w:val="left"/>
      <w:pPr>
        <w:ind w:left="4180" w:hanging="212"/>
      </w:pPr>
      <w:rPr>
        <w:rFonts w:hint="default"/>
      </w:rPr>
    </w:lvl>
    <w:lvl w:ilvl="3">
      <w:start w:val="1"/>
      <w:numFmt w:val="bullet"/>
      <w:lvlText w:val="•"/>
      <w:lvlJc w:val="left"/>
      <w:pPr>
        <w:ind w:left="5251" w:hanging="212"/>
      </w:pPr>
      <w:rPr>
        <w:rFonts w:hint="default"/>
      </w:rPr>
    </w:lvl>
    <w:lvl w:ilvl="4">
      <w:start w:val="1"/>
      <w:numFmt w:val="bullet"/>
      <w:lvlText w:val="•"/>
      <w:lvlJc w:val="left"/>
      <w:pPr>
        <w:ind w:left="6321" w:hanging="212"/>
      </w:pPr>
      <w:rPr>
        <w:rFonts w:hint="default"/>
      </w:rPr>
    </w:lvl>
    <w:lvl w:ilvl="5">
      <w:start w:val="1"/>
      <w:numFmt w:val="bullet"/>
      <w:lvlText w:val="•"/>
      <w:lvlJc w:val="left"/>
      <w:pPr>
        <w:ind w:left="7392" w:hanging="212"/>
      </w:pPr>
      <w:rPr>
        <w:rFonts w:hint="default"/>
      </w:rPr>
    </w:lvl>
    <w:lvl w:ilvl="6">
      <w:start w:val="1"/>
      <w:numFmt w:val="bullet"/>
      <w:lvlText w:val="•"/>
      <w:lvlJc w:val="left"/>
      <w:pPr>
        <w:ind w:left="8462" w:hanging="212"/>
      </w:pPr>
      <w:rPr>
        <w:rFonts w:hint="default"/>
      </w:rPr>
    </w:lvl>
    <w:lvl w:ilvl="7">
      <w:start w:val="1"/>
      <w:numFmt w:val="bullet"/>
      <w:lvlText w:val="•"/>
      <w:lvlJc w:val="left"/>
      <w:pPr>
        <w:ind w:left="9533" w:hanging="212"/>
      </w:pPr>
      <w:rPr>
        <w:rFonts w:hint="default"/>
      </w:rPr>
    </w:lvl>
    <w:lvl w:ilvl="8">
      <w:start w:val="1"/>
      <w:numFmt w:val="bullet"/>
      <w:lvlText w:val="•"/>
      <w:lvlJc w:val="left"/>
      <w:pPr>
        <w:ind w:left="10603" w:hanging="212"/>
      </w:pPr>
      <w:rPr>
        <w:rFonts w:hint="default"/>
      </w:rPr>
    </w:lvl>
  </w:abstractNum>
  <w:abstractNum w:abstractNumId="59">
    <w:multiLevelType w:val="hybridMultilevel"/>
    <w:lvl w:ilvl="0">
      <w:start w:val="1"/>
      <w:numFmt w:val="decimal"/>
      <w:lvlText w:val="%1"/>
      <w:lvlJc w:val="left"/>
      <w:pPr>
        <w:ind w:left="1824" w:hanging="394"/>
        <w:jc w:val="left"/>
      </w:pPr>
      <w:rPr>
        <w:rFonts w:hint="default" w:ascii="Arial" w:hAnsi="Arial" w:eastAsia="Arial" w:cs="Arial"/>
        <w:b/>
        <w:bCs/>
        <w:w w:val="99"/>
        <w:sz w:val="18"/>
        <w:szCs w:val="18"/>
      </w:rPr>
    </w:lvl>
    <w:lvl w:ilvl="1">
      <w:start w:val="1"/>
      <w:numFmt w:val="bullet"/>
      <w:lvlText w:val="•"/>
      <w:lvlJc w:val="left"/>
      <w:pPr>
        <w:ind w:left="2912" w:hanging="394"/>
      </w:pPr>
      <w:rPr>
        <w:rFonts w:hint="default"/>
      </w:rPr>
    </w:lvl>
    <w:lvl w:ilvl="2">
      <w:start w:val="1"/>
      <w:numFmt w:val="bullet"/>
      <w:lvlText w:val="•"/>
      <w:lvlJc w:val="left"/>
      <w:pPr>
        <w:ind w:left="4004" w:hanging="394"/>
      </w:pPr>
      <w:rPr>
        <w:rFonts w:hint="default"/>
      </w:rPr>
    </w:lvl>
    <w:lvl w:ilvl="3">
      <w:start w:val="1"/>
      <w:numFmt w:val="bullet"/>
      <w:lvlText w:val="•"/>
      <w:lvlJc w:val="left"/>
      <w:pPr>
        <w:ind w:left="5097" w:hanging="394"/>
      </w:pPr>
      <w:rPr>
        <w:rFonts w:hint="default"/>
      </w:rPr>
    </w:lvl>
    <w:lvl w:ilvl="4">
      <w:start w:val="1"/>
      <w:numFmt w:val="bullet"/>
      <w:lvlText w:val="•"/>
      <w:lvlJc w:val="left"/>
      <w:pPr>
        <w:ind w:left="6189" w:hanging="394"/>
      </w:pPr>
      <w:rPr>
        <w:rFonts w:hint="default"/>
      </w:rPr>
    </w:lvl>
    <w:lvl w:ilvl="5">
      <w:start w:val="1"/>
      <w:numFmt w:val="bullet"/>
      <w:lvlText w:val="•"/>
      <w:lvlJc w:val="left"/>
      <w:pPr>
        <w:ind w:left="7282" w:hanging="394"/>
      </w:pPr>
      <w:rPr>
        <w:rFonts w:hint="default"/>
      </w:rPr>
    </w:lvl>
    <w:lvl w:ilvl="6">
      <w:start w:val="1"/>
      <w:numFmt w:val="bullet"/>
      <w:lvlText w:val="•"/>
      <w:lvlJc w:val="left"/>
      <w:pPr>
        <w:ind w:left="8374" w:hanging="394"/>
      </w:pPr>
      <w:rPr>
        <w:rFonts w:hint="default"/>
      </w:rPr>
    </w:lvl>
    <w:lvl w:ilvl="7">
      <w:start w:val="1"/>
      <w:numFmt w:val="bullet"/>
      <w:lvlText w:val="•"/>
      <w:lvlJc w:val="left"/>
      <w:pPr>
        <w:ind w:left="9467" w:hanging="394"/>
      </w:pPr>
      <w:rPr>
        <w:rFonts w:hint="default"/>
      </w:rPr>
    </w:lvl>
    <w:lvl w:ilvl="8">
      <w:start w:val="1"/>
      <w:numFmt w:val="bullet"/>
      <w:lvlText w:val="•"/>
      <w:lvlJc w:val="left"/>
      <w:pPr>
        <w:ind w:left="10559" w:hanging="394"/>
      </w:pPr>
      <w:rPr>
        <w:rFonts w:hint="default"/>
      </w:rPr>
    </w:lvl>
  </w:abstractNum>
  <w:abstractNum w:abstractNumId="58">
    <w:multiLevelType w:val="hybridMultilevel"/>
    <w:lvl w:ilvl="0">
      <w:start w:val="8"/>
      <w:numFmt w:val="lowerLetter"/>
      <w:lvlText w:val="(%1)"/>
      <w:lvlJc w:val="left"/>
      <w:pPr>
        <w:ind w:left="2390" w:hanging="567"/>
        <w:jc w:val="left"/>
      </w:pPr>
      <w:rPr>
        <w:rFonts w:hint="default" w:ascii="Arial" w:hAnsi="Arial" w:eastAsia="Arial" w:cs="Arial"/>
        <w:b/>
        <w:bCs/>
        <w:w w:val="100"/>
        <w:sz w:val="18"/>
        <w:szCs w:val="18"/>
      </w:rPr>
    </w:lvl>
    <w:lvl w:ilvl="1">
      <w:start w:val="1"/>
      <w:numFmt w:val="lowerRoman"/>
      <w:lvlText w:val="(%2)"/>
      <w:lvlJc w:val="left"/>
      <w:pPr>
        <w:ind w:left="2956" w:hanging="567"/>
        <w:jc w:val="left"/>
      </w:pPr>
      <w:rPr>
        <w:rFonts w:hint="default" w:ascii="Arial" w:hAnsi="Arial" w:eastAsia="Arial" w:cs="Arial"/>
        <w:b/>
        <w:bCs/>
        <w:w w:val="100"/>
        <w:sz w:val="18"/>
        <w:szCs w:val="18"/>
      </w:rPr>
    </w:lvl>
    <w:lvl w:ilvl="2">
      <w:start w:val="1"/>
      <w:numFmt w:val="bullet"/>
      <w:lvlText w:val="•"/>
      <w:lvlJc w:val="left"/>
      <w:pPr>
        <w:ind w:left="4047" w:hanging="567"/>
      </w:pPr>
      <w:rPr>
        <w:rFonts w:hint="default"/>
      </w:rPr>
    </w:lvl>
    <w:lvl w:ilvl="3">
      <w:start w:val="1"/>
      <w:numFmt w:val="bullet"/>
      <w:lvlText w:val="•"/>
      <w:lvlJc w:val="left"/>
      <w:pPr>
        <w:ind w:left="5134" w:hanging="567"/>
      </w:pPr>
      <w:rPr>
        <w:rFonts w:hint="default"/>
      </w:rPr>
    </w:lvl>
    <w:lvl w:ilvl="4">
      <w:start w:val="1"/>
      <w:numFmt w:val="bullet"/>
      <w:lvlText w:val="•"/>
      <w:lvlJc w:val="left"/>
      <w:pPr>
        <w:ind w:left="6221" w:hanging="567"/>
      </w:pPr>
      <w:rPr>
        <w:rFonts w:hint="default"/>
      </w:rPr>
    </w:lvl>
    <w:lvl w:ilvl="5">
      <w:start w:val="1"/>
      <w:numFmt w:val="bullet"/>
      <w:lvlText w:val="•"/>
      <w:lvlJc w:val="left"/>
      <w:pPr>
        <w:ind w:left="7308" w:hanging="567"/>
      </w:pPr>
      <w:rPr>
        <w:rFonts w:hint="default"/>
      </w:rPr>
    </w:lvl>
    <w:lvl w:ilvl="6">
      <w:start w:val="1"/>
      <w:numFmt w:val="bullet"/>
      <w:lvlText w:val="•"/>
      <w:lvlJc w:val="left"/>
      <w:pPr>
        <w:ind w:left="8395" w:hanging="567"/>
      </w:pPr>
      <w:rPr>
        <w:rFonts w:hint="default"/>
      </w:rPr>
    </w:lvl>
    <w:lvl w:ilvl="7">
      <w:start w:val="1"/>
      <w:numFmt w:val="bullet"/>
      <w:lvlText w:val="•"/>
      <w:lvlJc w:val="left"/>
      <w:pPr>
        <w:ind w:left="9483" w:hanging="567"/>
      </w:pPr>
      <w:rPr>
        <w:rFonts w:hint="default"/>
      </w:rPr>
    </w:lvl>
    <w:lvl w:ilvl="8">
      <w:start w:val="1"/>
      <w:numFmt w:val="bullet"/>
      <w:lvlText w:val="•"/>
      <w:lvlJc w:val="left"/>
      <w:pPr>
        <w:ind w:left="10570" w:hanging="567"/>
      </w:pPr>
      <w:rPr>
        <w:rFonts w:hint="default"/>
      </w:rPr>
    </w:lvl>
  </w:abstractNum>
  <w:abstractNum w:abstractNumId="57">
    <w:multiLevelType w:val="hybridMultilevel"/>
    <w:lvl w:ilvl="0">
      <w:start w:val="2"/>
      <w:numFmt w:val="lowerLetter"/>
      <w:lvlText w:val="(%1)"/>
      <w:lvlJc w:val="left"/>
      <w:pPr>
        <w:ind w:left="1824" w:hanging="567"/>
        <w:jc w:val="left"/>
      </w:pPr>
      <w:rPr>
        <w:rFonts w:hint="default" w:ascii="Arial" w:hAnsi="Arial" w:eastAsia="Arial" w:cs="Arial"/>
        <w:b/>
        <w:bCs/>
        <w:w w:val="100"/>
        <w:sz w:val="18"/>
        <w:szCs w:val="18"/>
      </w:rPr>
    </w:lvl>
    <w:lvl w:ilvl="1">
      <w:start w:val="1"/>
      <w:numFmt w:val="lowerRoman"/>
      <w:lvlText w:val="(%2)"/>
      <w:lvlJc w:val="left"/>
      <w:pPr>
        <w:ind w:left="2956" w:hanging="567"/>
        <w:jc w:val="left"/>
      </w:pPr>
      <w:rPr>
        <w:rFonts w:hint="default" w:ascii="Arial" w:hAnsi="Arial" w:eastAsia="Arial" w:cs="Arial"/>
        <w:b/>
        <w:bCs/>
        <w:w w:val="100"/>
        <w:sz w:val="18"/>
        <w:szCs w:val="18"/>
      </w:rPr>
    </w:lvl>
    <w:lvl w:ilvl="2">
      <w:start w:val="1"/>
      <w:numFmt w:val="bullet"/>
      <w:lvlText w:val="•"/>
      <w:lvlJc w:val="left"/>
      <w:pPr>
        <w:ind w:left="4047" w:hanging="567"/>
      </w:pPr>
      <w:rPr>
        <w:rFonts w:hint="default"/>
      </w:rPr>
    </w:lvl>
    <w:lvl w:ilvl="3">
      <w:start w:val="1"/>
      <w:numFmt w:val="bullet"/>
      <w:lvlText w:val="•"/>
      <w:lvlJc w:val="left"/>
      <w:pPr>
        <w:ind w:left="5134" w:hanging="567"/>
      </w:pPr>
      <w:rPr>
        <w:rFonts w:hint="default"/>
      </w:rPr>
    </w:lvl>
    <w:lvl w:ilvl="4">
      <w:start w:val="1"/>
      <w:numFmt w:val="bullet"/>
      <w:lvlText w:val="•"/>
      <w:lvlJc w:val="left"/>
      <w:pPr>
        <w:ind w:left="6221" w:hanging="567"/>
      </w:pPr>
      <w:rPr>
        <w:rFonts w:hint="default"/>
      </w:rPr>
    </w:lvl>
    <w:lvl w:ilvl="5">
      <w:start w:val="1"/>
      <w:numFmt w:val="bullet"/>
      <w:lvlText w:val="•"/>
      <w:lvlJc w:val="left"/>
      <w:pPr>
        <w:ind w:left="7308" w:hanging="567"/>
      </w:pPr>
      <w:rPr>
        <w:rFonts w:hint="default"/>
      </w:rPr>
    </w:lvl>
    <w:lvl w:ilvl="6">
      <w:start w:val="1"/>
      <w:numFmt w:val="bullet"/>
      <w:lvlText w:val="•"/>
      <w:lvlJc w:val="left"/>
      <w:pPr>
        <w:ind w:left="8395" w:hanging="567"/>
      </w:pPr>
      <w:rPr>
        <w:rFonts w:hint="default"/>
      </w:rPr>
    </w:lvl>
    <w:lvl w:ilvl="7">
      <w:start w:val="1"/>
      <w:numFmt w:val="bullet"/>
      <w:lvlText w:val="•"/>
      <w:lvlJc w:val="left"/>
      <w:pPr>
        <w:ind w:left="9483" w:hanging="567"/>
      </w:pPr>
      <w:rPr>
        <w:rFonts w:hint="default"/>
      </w:rPr>
    </w:lvl>
    <w:lvl w:ilvl="8">
      <w:start w:val="1"/>
      <w:numFmt w:val="bullet"/>
      <w:lvlText w:val="•"/>
      <w:lvlJc w:val="left"/>
      <w:pPr>
        <w:ind w:left="10570" w:hanging="567"/>
      </w:pPr>
      <w:rPr>
        <w:rFonts w:hint="default"/>
      </w:rPr>
    </w:lvl>
  </w:abstractNum>
  <w:abstractNum w:abstractNumId="55">
    <w:multiLevelType w:val="hybridMultilevel"/>
    <w:lvl w:ilvl="0">
      <w:start w:val="20"/>
      <w:numFmt w:val="decimal"/>
      <w:lvlText w:val="%1"/>
      <w:lvlJc w:val="left"/>
      <w:pPr>
        <w:ind w:left="1825" w:hanging="396"/>
        <w:jc w:val="left"/>
      </w:pPr>
      <w:rPr>
        <w:rFonts w:hint="default" w:ascii="Arial" w:hAnsi="Arial" w:eastAsia="Arial" w:cs="Arial"/>
        <w:b/>
        <w:bCs/>
        <w:spacing w:val="-1"/>
        <w:w w:val="99"/>
        <w:sz w:val="18"/>
        <w:szCs w:val="18"/>
      </w:rPr>
    </w:lvl>
    <w:lvl w:ilvl="1">
      <w:start w:val="1"/>
      <w:numFmt w:val="bullet"/>
      <w:lvlText w:val="•"/>
      <w:lvlJc w:val="left"/>
      <w:pPr>
        <w:ind w:left="2912" w:hanging="396"/>
      </w:pPr>
      <w:rPr>
        <w:rFonts w:hint="default"/>
      </w:rPr>
    </w:lvl>
    <w:lvl w:ilvl="2">
      <w:start w:val="1"/>
      <w:numFmt w:val="bullet"/>
      <w:lvlText w:val="•"/>
      <w:lvlJc w:val="left"/>
      <w:pPr>
        <w:ind w:left="4004" w:hanging="396"/>
      </w:pPr>
      <w:rPr>
        <w:rFonts w:hint="default"/>
      </w:rPr>
    </w:lvl>
    <w:lvl w:ilvl="3">
      <w:start w:val="1"/>
      <w:numFmt w:val="bullet"/>
      <w:lvlText w:val="•"/>
      <w:lvlJc w:val="left"/>
      <w:pPr>
        <w:ind w:left="5097" w:hanging="396"/>
      </w:pPr>
      <w:rPr>
        <w:rFonts w:hint="default"/>
      </w:rPr>
    </w:lvl>
    <w:lvl w:ilvl="4">
      <w:start w:val="1"/>
      <w:numFmt w:val="bullet"/>
      <w:lvlText w:val="•"/>
      <w:lvlJc w:val="left"/>
      <w:pPr>
        <w:ind w:left="6189" w:hanging="396"/>
      </w:pPr>
      <w:rPr>
        <w:rFonts w:hint="default"/>
      </w:rPr>
    </w:lvl>
    <w:lvl w:ilvl="5">
      <w:start w:val="1"/>
      <w:numFmt w:val="bullet"/>
      <w:lvlText w:val="•"/>
      <w:lvlJc w:val="left"/>
      <w:pPr>
        <w:ind w:left="7282" w:hanging="396"/>
      </w:pPr>
      <w:rPr>
        <w:rFonts w:hint="default"/>
      </w:rPr>
    </w:lvl>
    <w:lvl w:ilvl="6">
      <w:start w:val="1"/>
      <w:numFmt w:val="bullet"/>
      <w:lvlText w:val="•"/>
      <w:lvlJc w:val="left"/>
      <w:pPr>
        <w:ind w:left="8374" w:hanging="396"/>
      </w:pPr>
      <w:rPr>
        <w:rFonts w:hint="default"/>
      </w:rPr>
    </w:lvl>
    <w:lvl w:ilvl="7">
      <w:start w:val="1"/>
      <w:numFmt w:val="bullet"/>
      <w:lvlText w:val="•"/>
      <w:lvlJc w:val="left"/>
      <w:pPr>
        <w:ind w:left="9467" w:hanging="396"/>
      </w:pPr>
      <w:rPr>
        <w:rFonts w:hint="default"/>
      </w:rPr>
    </w:lvl>
    <w:lvl w:ilvl="8">
      <w:start w:val="1"/>
      <w:numFmt w:val="bullet"/>
      <w:lvlText w:val="•"/>
      <w:lvlJc w:val="left"/>
      <w:pPr>
        <w:ind w:left="10559" w:hanging="396"/>
      </w:pPr>
      <w:rPr>
        <w:rFonts w:hint="default"/>
      </w:rPr>
    </w:lvl>
  </w:abstractNum>
  <w:abstractNum w:abstractNumId="54">
    <w:multiLevelType w:val="hybridMultilevel"/>
    <w:lvl w:ilvl="0">
      <w:start w:val="1"/>
      <w:numFmt w:val="lowerLetter"/>
      <w:lvlText w:val="(%1)"/>
      <w:lvlJc w:val="left"/>
      <w:pPr>
        <w:ind w:left="2391" w:hanging="567"/>
        <w:jc w:val="left"/>
      </w:pPr>
      <w:rPr>
        <w:rFonts w:hint="default" w:ascii="Arial" w:hAnsi="Arial" w:eastAsia="Arial" w:cs="Arial"/>
        <w:b/>
        <w:bCs/>
        <w:spacing w:val="-1"/>
        <w:w w:val="99"/>
        <w:sz w:val="18"/>
        <w:szCs w:val="18"/>
      </w:rPr>
    </w:lvl>
    <w:lvl w:ilvl="1">
      <w:start w:val="1"/>
      <w:numFmt w:val="lowerRoman"/>
      <w:lvlText w:val="(%2)"/>
      <w:lvlJc w:val="left"/>
      <w:pPr>
        <w:ind w:left="2568" w:hanging="210"/>
        <w:jc w:val="right"/>
      </w:pPr>
      <w:rPr>
        <w:rFonts w:hint="default" w:ascii="Arial" w:hAnsi="Arial" w:eastAsia="Arial" w:cs="Arial"/>
        <w:i/>
        <w:spacing w:val="-1"/>
        <w:w w:val="99"/>
        <w:sz w:val="18"/>
        <w:szCs w:val="18"/>
      </w:rPr>
    </w:lvl>
    <w:lvl w:ilvl="2">
      <w:start w:val="1"/>
      <w:numFmt w:val="bullet"/>
      <w:lvlText w:val="•"/>
      <w:lvlJc w:val="left"/>
      <w:pPr>
        <w:ind w:left="3691" w:hanging="210"/>
      </w:pPr>
      <w:rPr>
        <w:rFonts w:hint="default"/>
      </w:rPr>
    </w:lvl>
    <w:lvl w:ilvl="3">
      <w:start w:val="1"/>
      <w:numFmt w:val="bullet"/>
      <w:lvlText w:val="•"/>
      <w:lvlJc w:val="left"/>
      <w:pPr>
        <w:ind w:left="4823" w:hanging="210"/>
      </w:pPr>
      <w:rPr>
        <w:rFonts w:hint="default"/>
      </w:rPr>
    </w:lvl>
    <w:lvl w:ilvl="4">
      <w:start w:val="1"/>
      <w:numFmt w:val="bullet"/>
      <w:lvlText w:val="•"/>
      <w:lvlJc w:val="left"/>
      <w:pPr>
        <w:ind w:left="5954" w:hanging="210"/>
      </w:pPr>
      <w:rPr>
        <w:rFonts w:hint="default"/>
      </w:rPr>
    </w:lvl>
    <w:lvl w:ilvl="5">
      <w:start w:val="1"/>
      <w:numFmt w:val="bullet"/>
      <w:lvlText w:val="•"/>
      <w:lvlJc w:val="left"/>
      <w:pPr>
        <w:ind w:left="7086" w:hanging="210"/>
      </w:pPr>
      <w:rPr>
        <w:rFonts w:hint="default"/>
      </w:rPr>
    </w:lvl>
    <w:lvl w:ilvl="6">
      <w:start w:val="1"/>
      <w:numFmt w:val="bullet"/>
      <w:lvlText w:val="•"/>
      <w:lvlJc w:val="left"/>
      <w:pPr>
        <w:ind w:left="8218" w:hanging="210"/>
      </w:pPr>
      <w:rPr>
        <w:rFonts w:hint="default"/>
      </w:rPr>
    </w:lvl>
    <w:lvl w:ilvl="7">
      <w:start w:val="1"/>
      <w:numFmt w:val="bullet"/>
      <w:lvlText w:val="•"/>
      <w:lvlJc w:val="left"/>
      <w:pPr>
        <w:ind w:left="9349" w:hanging="210"/>
      </w:pPr>
      <w:rPr>
        <w:rFonts w:hint="default"/>
      </w:rPr>
    </w:lvl>
    <w:lvl w:ilvl="8">
      <w:start w:val="1"/>
      <w:numFmt w:val="bullet"/>
      <w:lvlText w:val="•"/>
      <w:lvlJc w:val="left"/>
      <w:pPr>
        <w:ind w:left="10481" w:hanging="210"/>
      </w:pPr>
      <w:rPr>
        <w:rFonts w:hint="default"/>
      </w:rPr>
    </w:lvl>
  </w:abstractNum>
  <w:abstractNum w:abstractNumId="53">
    <w:multiLevelType w:val="hybridMultilevel"/>
    <w:lvl w:ilvl="0">
      <w:start w:val="17"/>
      <w:numFmt w:val="decimal"/>
      <w:lvlText w:val="%1"/>
      <w:lvlJc w:val="left"/>
      <w:pPr>
        <w:ind w:left="1825" w:hanging="396"/>
        <w:jc w:val="left"/>
      </w:pPr>
      <w:rPr>
        <w:rFonts w:hint="default" w:ascii="Arial" w:hAnsi="Arial" w:eastAsia="Arial" w:cs="Arial"/>
        <w:b/>
        <w:bCs/>
        <w:spacing w:val="-1"/>
        <w:w w:val="99"/>
        <w:sz w:val="18"/>
        <w:szCs w:val="18"/>
      </w:rPr>
    </w:lvl>
    <w:lvl w:ilvl="1">
      <w:start w:val="1"/>
      <w:numFmt w:val="lowerLetter"/>
      <w:lvlText w:val="(%2)"/>
      <w:lvlJc w:val="left"/>
      <w:pPr>
        <w:ind w:left="2391" w:hanging="567"/>
        <w:jc w:val="left"/>
      </w:pPr>
      <w:rPr>
        <w:rFonts w:hint="default" w:ascii="Arial" w:hAnsi="Arial" w:eastAsia="Arial" w:cs="Arial"/>
        <w:b/>
        <w:bCs/>
        <w:spacing w:val="-1"/>
        <w:w w:val="99"/>
        <w:sz w:val="18"/>
        <w:szCs w:val="18"/>
      </w:rPr>
    </w:lvl>
    <w:lvl w:ilvl="2">
      <w:start w:val="1"/>
      <w:numFmt w:val="bullet"/>
      <w:lvlText w:val="•"/>
      <w:lvlJc w:val="left"/>
      <w:pPr>
        <w:ind w:left="2670" w:hanging="567"/>
      </w:pPr>
      <w:rPr>
        <w:rFonts w:hint="default"/>
      </w:rPr>
    </w:lvl>
    <w:lvl w:ilvl="3">
      <w:start w:val="1"/>
      <w:numFmt w:val="bullet"/>
      <w:lvlText w:val="•"/>
      <w:lvlJc w:val="left"/>
      <w:pPr>
        <w:ind w:left="2941" w:hanging="567"/>
      </w:pPr>
      <w:rPr>
        <w:rFonts w:hint="default"/>
      </w:rPr>
    </w:lvl>
    <w:lvl w:ilvl="4">
      <w:start w:val="1"/>
      <w:numFmt w:val="bullet"/>
      <w:lvlText w:val="•"/>
      <w:lvlJc w:val="left"/>
      <w:pPr>
        <w:ind w:left="3212" w:hanging="567"/>
      </w:pPr>
      <w:rPr>
        <w:rFonts w:hint="default"/>
      </w:rPr>
    </w:lvl>
    <w:lvl w:ilvl="5">
      <w:start w:val="1"/>
      <w:numFmt w:val="bullet"/>
      <w:lvlText w:val="•"/>
      <w:lvlJc w:val="left"/>
      <w:pPr>
        <w:ind w:left="3482" w:hanging="567"/>
      </w:pPr>
      <w:rPr>
        <w:rFonts w:hint="default"/>
      </w:rPr>
    </w:lvl>
    <w:lvl w:ilvl="6">
      <w:start w:val="1"/>
      <w:numFmt w:val="bullet"/>
      <w:lvlText w:val="•"/>
      <w:lvlJc w:val="left"/>
      <w:pPr>
        <w:ind w:left="3753" w:hanging="567"/>
      </w:pPr>
      <w:rPr>
        <w:rFonts w:hint="default"/>
      </w:rPr>
    </w:lvl>
    <w:lvl w:ilvl="7">
      <w:start w:val="1"/>
      <w:numFmt w:val="bullet"/>
      <w:lvlText w:val="•"/>
      <w:lvlJc w:val="left"/>
      <w:pPr>
        <w:ind w:left="4024" w:hanging="567"/>
      </w:pPr>
      <w:rPr>
        <w:rFonts w:hint="default"/>
      </w:rPr>
    </w:lvl>
    <w:lvl w:ilvl="8">
      <w:start w:val="1"/>
      <w:numFmt w:val="bullet"/>
      <w:lvlText w:val="•"/>
      <w:lvlJc w:val="left"/>
      <w:pPr>
        <w:ind w:left="4294" w:hanging="567"/>
      </w:pPr>
      <w:rPr>
        <w:rFonts w:hint="default"/>
      </w:rPr>
    </w:lvl>
  </w:abstractNum>
  <w:abstractNum w:abstractNumId="52">
    <w:multiLevelType w:val="hybridMultilevel"/>
    <w:lvl w:ilvl="0">
      <w:start w:val="1"/>
      <w:numFmt w:val="lowerRoman"/>
      <w:lvlText w:val="%1."/>
      <w:lvlJc w:val="left"/>
      <w:pPr>
        <w:ind w:left="2532" w:hanging="141"/>
        <w:jc w:val="left"/>
      </w:pPr>
      <w:rPr>
        <w:rFonts w:hint="default" w:ascii="Arial" w:hAnsi="Arial" w:eastAsia="Arial" w:cs="Arial"/>
        <w:i/>
        <w:spacing w:val="-1"/>
        <w:w w:val="99"/>
        <w:sz w:val="18"/>
        <w:szCs w:val="18"/>
      </w:rPr>
    </w:lvl>
    <w:lvl w:ilvl="1">
      <w:start w:val="1"/>
      <w:numFmt w:val="bullet"/>
      <w:lvlText w:val="•"/>
      <w:lvlJc w:val="left"/>
      <w:pPr>
        <w:ind w:left="3560" w:hanging="141"/>
      </w:pPr>
      <w:rPr>
        <w:rFonts w:hint="default"/>
      </w:rPr>
    </w:lvl>
    <w:lvl w:ilvl="2">
      <w:start w:val="1"/>
      <w:numFmt w:val="bullet"/>
      <w:lvlText w:val="•"/>
      <w:lvlJc w:val="left"/>
      <w:pPr>
        <w:ind w:left="4580" w:hanging="141"/>
      </w:pPr>
      <w:rPr>
        <w:rFonts w:hint="default"/>
      </w:rPr>
    </w:lvl>
    <w:lvl w:ilvl="3">
      <w:start w:val="1"/>
      <w:numFmt w:val="bullet"/>
      <w:lvlText w:val="•"/>
      <w:lvlJc w:val="left"/>
      <w:pPr>
        <w:ind w:left="5601" w:hanging="141"/>
      </w:pPr>
      <w:rPr>
        <w:rFonts w:hint="default"/>
      </w:rPr>
    </w:lvl>
    <w:lvl w:ilvl="4">
      <w:start w:val="1"/>
      <w:numFmt w:val="bullet"/>
      <w:lvlText w:val="•"/>
      <w:lvlJc w:val="left"/>
      <w:pPr>
        <w:ind w:left="6621" w:hanging="141"/>
      </w:pPr>
      <w:rPr>
        <w:rFonts w:hint="default"/>
      </w:rPr>
    </w:lvl>
    <w:lvl w:ilvl="5">
      <w:start w:val="1"/>
      <w:numFmt w:val="bullet"/>
      <w:lvlText w:val="•"/>
      <w:lvlJc w:val="left"/>
      <w:pPr>
        <w:ind w:left="7642" w:hanging="141"/>
      </w:pPr>
      <w:rPr>
        <w:rFonts w:hint="default"/>
      </w:rPr>
    </w:lvl>
    <w:lvl w:ilvl="6">
      <w:start w:val="1"/>
      <w:numFmt w:val="bullet"/>
      <w:lvlText w:val="•"/>
      <w:lvlJc w:val="left"/>
      <w:pPr>
        <w:ind w:left="8662" w:hanging="141"/>
      </w:pPr>
      <w:rPr>
        <w:rFonts w:hint="default"/>
      </w:rPr>
    </w:lvl>
    <w:lvl w:ilvl="7">
      <w:start w:val="1"/>
      <w:numFmt w:val="bullet"/>
      <w:lvlText w:val="•"/>
      <w:lvlJc w:val="left"/>
      <w:pPr>
        <w:ind w:left="9683" w:hanging="141"/>
      </w:pPr>
      <w:rPr>
        <w:rFonts w:hint="default"/>
      </w:rPr>
    </w:lvl>
    <w:lvl w:ilvl="8">
      <w:start w:val="1"/>
      <w:numFmt w:val="bullet"/>
      <w:lvlText w:val="•"/>
      <w:lvlJc w:val="left"/>
      <w:pPr>
        <w:ind w:left="10703" w:hanging="141"/>
      </w:pPr>
      <w:rPr>
        <w:rFonts w:hint="default"/>
      </w:rPr>
    </w:lvl>
  </w:abstractNum>
  <w:abstractNum w:abstractNumId="50">
    <w:multiLevelType w:val="hybridMultilevel"/>
    <w:lvl w:ilvl="0">
      <w:start w:val="1"/>
      <w:numFmt w:val="decimal"/>
      <w:lvlText w:val="(%1)"/>
      <w:lvlJc w:val="left"/>
      <w:pPr>
        <w:ind w:left="2094" w:hanging="270"/>
        <w:jc w:val="left"/>
      </w:pPr>
      <w:rPr>
        <w:rFonts w:hint="default" w:ascii="Arial" w:hAnsi="Arial" w:eastAsia="Arial" w:cs="Arial"/>
        <w:spacing w:val="-1"/>
        <w:w w:val="99"/>
        <w:sz w:val="18"/>
        <w:szCs w:val="18"/>
      </w:rPr>
    </w:lvl>
    <w:lvl w:ilvl="1">
      <w:start w:val="1"/>
      <w:numFmt w:val="bullet"/>
      <w:lvlText w:val="•"/>
      <w:lvlJc w:val="left"/>
      <w:pPr>
        <w:ind w:left="3164" w:hanging="270"/>
      </w:pPr>
      <w:rPr>
        <w:rFonts w:hint="default"/>
      </w:rPr>
    </w:lvl>
    <w:lvl w:ilvl="2">
      <w:start w:val="1"/>
      <w:numFmt w:val="bullet"/>
      <w:lvlText w:val="•"/>
      <w:lvlJc w:val="left"/>
      <w:pPr>
        <w:ind w:left="4228" w:hanging="270"/>
      </w:pPr>
      <w:rPr>
        <w:rFonts w:hint="default"/>
      </w:rPr>
    </w:lvl>
    <w:lvl w:ilvl="3">
      <w:start w:val="1"/>
      <w:numFmt w:val="bullet"/>
      <w:lvlText w:val="•"/>
      <w:lvlJc w:val="left"/>
      <w:pPr>
        <w:ind w:left="5293" w:hanging="270"/>
      </w:pPr>
      <w:rPr>
        <w:rFonts w:hint="default"/>
      </w:rPr>
    </w:lvl>
    <w:lvl w:ilvl="4">
      <w:start w:val="1"/>
      <w:numFmt w:val="bullet"/>
      <w:lvlText w:val="•"/>
      <w:lvlJc w:val="left"/>
      <w:pPr>
        <w:ind w:left="6357" w:hanging="270"/>
      </w:pPr>
      <w:rPr>
        <w:rFonts w:hint="default"/>
      </w:rPr>
    </w:lvl>
    <w:lvl w:ilvl="5">
      <w:start w:val="1"/>
      <w:numFmt w:val="bullet"/>
      <w:lvlText w:val="•"/>
      <w:lvlJc w:val="left"/>
      <w:pPr>
        <w:ind w:left="7422" w:hanging="270"/>
      </w:pPr>
      <w:rPr>
        <w:rFonts w:hint="default"/>
      </w:rPr>
    </w:lvl>
    <w:lvl w:ilvl="6">
      <w:start w:val="1"/>
      <w:numFmt w:val="bullet"/>
      <w:lvlText w:val="•"/>
      <w:lvlJc w:val="left"/>
      <w:pPr>
        <w:ind w:left="8486" w:hanging="270"/>
      </w:pPr>
      <w:rPr>
        <w:rFonts w:hint="default"/>
      </w:rPr>
    </w:lvl>
    <w:lvl w:ilvl="7">
      <w:start w:val="1"/>
      <w:numFmt w:val="bullet"/>
      <w:lvlText w:val="•"/>
      <w:lvlJc w:val="left"/>
      <w:pPr>
        <w:ind w:left="9551" w:hanging="270"/>
      </w:pPr>
      <w:rPr>
        <w:rFonts w:hint="default"/>
      </w:rPr>
    </w:lvl>
    <w:lvl w:ilvl="8">
      <w:start w:val="1"/>
      <w:numFmt w:val="bullet"/>
      <w:lvlText w:val="•"/>
      <w:lvlJc w:val="left"/>
      <w:pPr>
        <w:ind w:left="10615" w:hanging="270"/>
      </w:pPr>
      <w:rPr>
        <w:rFonts w:hint="default"/>
      </w:rPr>
    </w:lvl>
  </w:abstractNum>
  <w:abstractNum w:abstractNumId="49">
    <w:multiLevelType w:val="hybridMultilevel"/>
    <w:lvl w:ilvl="0">
      <w:start w:val="12"/>
      <w:numFmt w:val="decimal"/>
      <w:lvlText w:val="%1"/>
      <w:lvlJc w:val="left"/>
      <w:pPr>
        <w:ind w:left="1825" w:hanging="396"/>
        <w:jc w:val="left"/>
      </w:pPr>
      <w:rPr>
        <w:rFonts w:hint="default" w:ascii="Arial" w:hAnsi="Arial" w:eastAsia="Arial" w:cs="Arial"/>
        <w:b/>
        <w:bCs/>
        <w:spacing w:val="-1"/>
        <w:w w:val="99"/>
        <w:sz w:val="18"/>
        <w:szCs w:val="18"/>
      </w:rPr>
    </w:lvl>
    <w:lvl w:ilvl="1">
      <w:start w:val="1"/>
      <w:numFmt w:val="lowerLetter"/>
      <w:lvlText w:val="(%2)"/>
      <w:lvlJc w:val="left"/>
      <w:pPr>
        <w:ind w:left="2391" w:hanging="567"/>
        <w:jc w:val="left"/>
      </w:pPr>
      <w:rPr>
        <w:rFonts w:hint="default" w:ascii="Arial" w:hAnsi="Arial" w:eastAsia="Arial" w:cs="Arial"/>
        <w:b/>
        <w:bCs/>
        <w:spacing w:val="-1"/>
        <w:w w:val="99"/>
        <w:sz w:val="18"/>
        <w:szCs w:val="18"/>
      </w:rPr>
    </w:lvl>
    <w:lvl w:ilvl="2">
      <w:start w:val="1"/>
      <w:numFmt w:val="bullet"/>
      <w:lvlText w:val="•"/>
      <w:lvlJc w:val="left"/>
      <w:pPr>
        <w:ind w:left="3549" w:hanging="567"/>
      </w:pPr>
      <w:rPr>
        <w:rFonts w:hint="default"/>
      </w:rPr>
    </w:lvl>
    <w:lvl w:ilvl="3">
      <w:start w:val="1"/>
      <w:numFmt w:val="bullet"/>
      <w:lvlText w:val="•"/>
      <w:lvlJc w:val="left"/>
      <w:pPr>
        <w:ind w:left="4698" w:hanging="567"/>
      </w:pPr>
      <w:rPr>
        <w:rFonts w:hint="default"/>
      </w:rPr>
    </w:lvl>
    <w:lvl w:ilvl="4">
      <w:start w:val="1"/>
      <w:numFmt w:val="bullet"/>
      <w:lvlText w:val="•"/>
      <w:lvlJc w:val="left"/>
      <w:pPr>
        <w:ind w:left="5848" w:hanging="567"/>
      </w:pPr>
      <w:rPr>
        <w:rFonts w:hint="default"/>
      </w:rPr>
    </w:lvl>
    <w:lvl w:ilvl="5">
      <w:start w:val="1"/>
      <w:numFmt w:val="bullet"/>
      <w:lvlText w:val="•"/>
      <w:lvlJc w:val="left"/>
      <w:pPr>
        <w:ind w:left="6997" w:hanging="567"/>
      </w:pPr>
      <w:rPr>
        <w:rFonts w:hint="default"/>
      </w:rPr>
    </w:lvl>
    <w:lvl w:ilvl="6">
      <w:start w:val="1"/>
      <w:numFmt w:val="bullet"/>
      <w:lvlText w:val="•"/>
      <w:lvlJc w:val="left"/>
      <w:pPr>
        <w:ind w:left="8146" w:hanging="567"/>
      </w:pPr>
      <w:rPr>
        <w:rFonts w:hint="default"/>
      </w:rPr>
    </w:lvl>
    <w:lvl w:ilvl="7">
      <w:start w:val="1"/>
      <w:numFmt w:val="bullet"/>
      <w:lvlText w:val="•"/>
      <w:lvlJc w:val="left"/>
      <w:pPr>
        <w:ind w:left="9296" w:hanging="567"/>
      </w:pPr>
      <w:rPr>
        <w:rFonts w:hint="default"/>
      </w:rPr>
    </w:lvl>
    <w:lvl w:ilvl="8">
      <w:start w:val="1"/>
      <w:numFmt w:val="bullet"/>
      <w:lvlText w:val="•"/>
      <w:lvlJc w:val="left"/>
      <w:pPr>
        <w:ind w:left="10445" w:hanging="567"/>
      </w:pPr>
      <w:rPr>
        <w:rFonts w:hint="default"/>
      </w:rPr>
    </w:lvl>
  </w:abstractNum>
  <w:abstractNum w:abstractNumId="48">
    <w:multiLevelType w:val="hybridMultilevel"/>
    <w:lvl w:ilvl="0">
      <w:start w:val="7"/>
      <w:numFmt w:val="decimal"/>
      <w:lvlText w:val="%1"/>
      <w:lvlJc w:val="left"/>
      <w:pPr>
        <w:ind w:left="1825" w:hanging="396"/>
        <w:jc w:val="left"/>
      </w:pPr>
      <w:rPr>
        <w:rFonts w:hint="default" w:ascii="Arial" w:hAnsi="Arial" w:eastAsia="Arial" w:cs="Arial"/>
        <w:b/>
        <w:bCs/>
        <w:w w:val="99"/>
        <w:sz w:val="18"/>
        <w:szCs w:val="18"/>
      </w:rPr>
    </w:lvl>
    <w:lvl w:ilvl="1">
      <w:start w:val="1"/>
      <w:numFmt w:val="lowerLetter"/>
      <w:lvlText w:val="(%2)"/>
      <w:lvlJc w:val="left"/>
      <w:pPr>
        <w:ind w:left="2391" w:hanging="567"/>
        <w:jc w:val="left"/>
      </w:pPr>
      <w:rPr>
        <w:rFonts w:hint="default" w:ascii="Arial" w:hAnsi="Arial" w:eastAsia="Arial" w:cs="Arial"/>
        <w:b/>
        <w:bCs/>
        <w:spacing w:val="-1"/>
        <w:w w:val="99"/>
        <w:sz w:val="18"/>
        <w:szCs w:val="18"/>
      </w:rPr>
    </w:lvl>
    <w:lvl w:ilvl="2">
      <w:start w:val="1"/>
      <w:numFmt w:val="bullet"/>
      <w:lvlText w:val="•"/>
      <w:lvlJc w:val="left"/>
      <w:pPr>
        <w:ind w:left="3549" w:hanging="567"/>
      </w:pPr>
      <w:rPr>
        <w:rFonts w:hint="default"/>
      </w:rPr>
    </w:lvl>
    <w:lvl w:ilvl="3">
      <w:start w:val="1"/>
      <w:numFmt w:val="bullet"/>
      <w:lvlText w:val="•"/>
      <w:lvlJc w:val="left"/>
      <w:pPr>
        <w:ind w:left="4698" w:hanging="567"/>
      </w:pPr>
      <w:rPr>
        <w:rFonts w:hint="default"/>
      </w:rPr>
    </w:lvl>
    <w:lvl w:ilvl="4">
      <w:start w:val="1"/>
      <w:numFmt w:val="bullet"/>
      <w:lvlText w:val="•"/>
      <w:lvlJc w:val="left"/>
      <w:pPr>
        <w:ind w:left="5848" w:hanging="567"/>
      </w:pPr>
      <w:rPr>
        <w:rFonts w:hint="default"/>
      </w:rPr>
    </w:lvl>
    <w:lvl w:ilvl="5">
      <w:start w:val="1"/>
      <w:numFmt w:val="bullet"/>
      <w:lvlText w:val="•"/>
      <w:lvlJc w:val="left"/>
      <w:pPr>
        <w:ind w:left="6997" w:hanging="567"/>
      </w:pPr>
      <w:rPr>
        <w:rFonts w:hint="default"/>
      </w:rPr>
    </w:lvl>
    <w:lvl w:ilvl="6">
      <w:start w:val="1"/>
      <w:numFmt w:val="bullet"/>
      <w:lvlText w:val="•"/>
      <w:lvlJc w:val="left"/>
      <w:pPr>
        <w:ind w:left="8146" w:hanging="567"/>
      </w:pPr>
      <w:rPr>
        <w:rFonts w:hint="default"/>
      </w:rPr>
    </w:lvl>
    <w:lvl w:ilvl="7">
      <w:start w:val="1"/>
      <w:numFmt w:val="bullet"/>
      <w:lvlText w:val="•"/>
      <w:lvlJc w:val="left"/>
      <w:pPr>
        <w:ind w:left="9296" w:hanging="567"/>
      </w:pPr>
      <w:rPr>
        <w:rFonts w:hint="default"/>
      </w:rPr>
    </w:lvl>
    <w:lvl w:ilvl="8">
      <w:start w:val="1"/>
      <w:numFmt w:val="bullet"/>
      <w:lvlText w:val="•"/>
      <w:lvlJc w:val="left"/>
      <w:pPr>
        <w:ind w:left="10445" w:hanging="567"/>
      </w:pPr>
      <w:rPr>
        <w:rFonts w:hint="default"/>
      </w:rPr>
    </w:lvl>
  </w:abstractNum>
  <w:abstractNum w:abstractNumId="46">
    <w:multiLevelType w:val="hybridMultilevel"/>
    <w:lvl w:ilvl="0">
      <w:start w:val="16"/>
      <w:numFmt w:val="lowerLetter"/>
      <w:lvlText w:val="(%1)"/>
      <w:lvlJc w:val="left"/>
      <w:pPr>
        <w:ind w:left="2390" w:hanging="567"/>
        <w:jc w:val="left"/>
      </w:pPr>
      <w:rPr>
        <w:rFonts w:hint="default" w:ascii="Arial" w:hAnsi="Arial" w:eastAsia="Arial" w:cs="Arial"/>
        <w:b/>
        <w:bCs/>
        <w:w w:val="100"/>
        <w:sz w:val="18"/>
        <w:szCs w:val="18"/>
      </w:rPr>
    </w:lvl>
    <w:lvl w:ilvl="1">
      <w:start w:val="1"/>
      <w:numFmt w:val="bullet"/>
      <w:lvlText w:val="•"/>
      <w:lvlJc w:val="left"/>
      <w:pPr>
        <w:ind w:left="3434" w:hanging="567"/>
      </w:pPr>
      <w:rPr>
        <w:rFonts w:hint="default"/>
      </w:rPr>
    </w:lvl>
    <w:lvl w:ilvl="2">
      <w:start w:val="1"/>
      <w:numFmt w:val="bullet"/>
      <w:lvlText w:val="•"/>
      <w:lvlJc w:val="left"/>
      <w:pPr>
        <w:ind w:left="4468" w:hanging="567"/>
      </w:pPr>
      <w:rPr>
        <w:rFonts w:hint="default"/>
      </w:rPr>
    </w:lvl>
    <w:lvl w:ilvl="3">
      <w:start w:val="1"/>
      <w:numFmt w:val="bullet"/>
      <w:lvlText w:val="•"/>
      <w:lvlJc w:val="left"/>
      <w:pPr>
        <w:ind w:left="5503" w:hanging="567"/>
      </w:pPr>
      <w:rPr>
        <w:rFonts w:hint="default"/>
      </w:rPr>
    </w:lvl>
    <w:lvl w:ilvl="4">
      <w:start w:val="1"/>
      <w:numFmt w:val="bullet"/>
      <w:lvlText w:val="•"/>
      <w:lvlJc w:val="left"/>
      <w:pPr>
        <w:ind w:left="6537" w:hanging="567"/>
      </w:pPr>
      <w:rPr>
        <w:rFonts w:hint="default"/>
      </w:rPr>
    </w:lvl>
    <w:lvl w:ilvl="5">
      <w:start w:val="1"/>
      <w:numFmt w:val="bullet"/>
      <w:lvlText w:val="•"/>
      <w:lvlJc w:val="left"/>
      <w:pPr>
        <w:ind w:left="7572" w:hanging="567"/>
      </w:pPr>
      <w:rPr>
        <w:rFonts w:hint="default"/>
      </w:rPr>
    </w:lvl>
    <w:lvl w:ilvl="6">
      <w:start w:val="1"/>
      <w:numFmt w:val="bullet"/>
      <w:lvlText w:val="•"/>
      <w:lvlJc w:val="left"/>
      <w:pPr>
        <w:ind w:left="8606" w:hanging="567"/>
      </w:pPr>
      <w:rPr>
        <w:rFonts w:hint="default"/>
      </w:rPr>
    </w:lvl>
    <w:lvl w:ilvl="7">
      <w:start w:val="1"/>
      <w:numFmt w:val="bullet"/>
      <w:lvlText w:val="•"/>
      <w:lvlJc w:val="left"/>
      <w:pPr>
        <w:ind w:left="9641" w:hanging="567"/>
      </w:pPr>
      <w:rPr>
        <w:rFonts w:hint="default"/>
      </w:rPr>
    </w:lvl>
    <w:lvl w:ilvl="8">
      <w:start w:val="1"/>
      <w:numFmt w:val="bullet"/>
      <w:lvlText w:val="•"/>
      <w:lvlJc w:val="left"/>
      <w:pPr>
        <w:ind w:left="10675" w:hanging="567"/>
      </w:pPr>
      <w:rPr>
        <w:rFonts w:hint="default"/>
      </w:rPr>
    </w:lvl>
  </w:abstractNum>
  <w:abstractNum w:abstractNumId="45">
    <w:multiLevelType w:val="hybridMultilevel"/>
    <w:lvl w:ilvl="0">
      <w:start w:val="12"/>
      <w:numFmt w:val="lowerLetter"/>
      <w:lvlText w:val="(%1)"/>
      <w:lvlJc w:val="left"/>
      <w:pPr>
        <w:ind w:left="2390" w:hanging="567"/>
        <w:jc w:val="left"/>
      </w:pPr>
      <w:rPr>
        <w:rFonts w:hint="default" w:ascii="Arial" w:hAnsi="Arial" w:eastAsia="Arial" w:cs="Arial"/>
        <w:b/>
        <w:bCs/>
        <w:w w:val="100"/>
        <w:sz w:val="18"/>
        <w:szCs w:val="18"/>
      </w:rPr>
    </w:lvl>
    <w:lvl w:ilvl="1">
      <w:start w:val="1"/>
      <w:numFmt w:val="bullet"/>
      <w:lvlText w:val="•"/>
      <w:lvlJc w:val="left"/>
      <w:pPr>
        <w:ind w:left="3434" w:hanging="567"/>
      </w:pPr>
      <w:rPr>
        <w:rFonts w:hint="default"/>
      </w:rPr>
    </w:lvl>
    <w:lvl w:ilvl="2">
      <w:start w:val="1"/>
      <w:numFmt w:val="bullet"/>
      <w:lvlText w:val="•"/>
      <w:lvlJc w:val="left"/>
      <w:pPr>
        <w:ind w:left="4468" w:hanging="567"/>
      </w:pPr>
      <w:rPr>
        <w:rFonts w:hint="default"/>
      </w:rPr>
    </w:lvl>
    <w:lvl w:ilvl="3">
      <w:start w:val="1"/>
      <w:numFmt w:val="bullet"/>
      <w:lvlText w:val="•"/>
      <w:lvlJc w:val="left"/>
      <w:pPr>
        <w:ind w:left="5503" w:hanging="567"/>
      </w:pPr>
      <w:rPr>
        <w:rFonts w:hint="default"/>
      </w:rPr>
    </w:lvl>
    <w:lvl w:ilvl="4">
      <w:start w:val="1"/>
      <w:numFmt w:val="bullet"/>
      <w:lvlText w:val="•"/>
      <w:lvlJc w:val="left"/>
      <w:pPr>
        <w:ind w:left="6537" w:hanging="567"/>
      </w:pPr>
      <w:rPr>
        <w:rFonts w:hint="default"/>
      </w:rPr>
    </w:lvl>
    <w:lvl w:ilvl="5">
      <w:start w:val="1"/>
      <w:numFmt w:val="bullet"/>
      <w:lvlText w:val="•"/>
      <w:lvlJc w:val="left"/>
      <w:pPr>
        <w:ind w:left="7572" w:hanging="567"/>
      </w:pPr>
      <w:rPr>
        <w:rFonts w:hint="default"/>
      </w:rPr>
    </w:lvl>
    <w:lvl w:ilvl="6">
      <w:start w:val="1"/>
      <w:numFmt w:val="bullet"/>
      <w:lvlText w:val="•"/>
      <w:lvlJc w:val="left"/>
      <w:pPr>
        <w:ind w:left="8606" w:hanging="567"/>
      </w:pPr>
      <w:rPr>
        <w:rFonts w:hint="default"/>
      </w:rPr>
    </w:lvl>
    <w:lvl w:ilvl="7">
      <w:start w:val="1"/>
      <w:numFmt w:val="bullet"/>
      <w:lvlText w:val="•"/>
      <w:lvlJc w:val="left"/>
      <w:pPr>
        <w:ind w:left="9641" w:hanging="567"/>
      </w:pPr>
      <w:rPr>
        <w:rFonts w:hint="default"/>
      </w:rPr>
    </w:lvl>
    <w:lvl w:ilvl="8">
      <w:start w:val="1"/>
      <w:numFmt w:val="bullet"/>
      <w:lvlText w:val="•"/>
      <w:lvlJc w:val="left"/>
      <w:pPr>
        <w:ind w:left="10675" w:hanging="567"/>
      </w:pPr>
      <w:rPr>
        <w:rFonts w:hint="default"/>
      </w:rPr>
    </w:lvl>
  </w:abstractNum>
  <w:abstractNum w:abstractNumId="44">
    <w:multiLevelType w:val="hybridMultilevel"/>
    <w:lvl w:ilvl="0">
      <w:start w:val="10"/>
      <w:numFmt w:val="lowerLetter"/>
      <w:lvlText w:val="(%1)"/>
      <w:lvlJc w:val="left"/>
      <w:pPr>
        <w:ind w:left="2390" w:hanging="567"/>
        <w:jc w:val="left"/>
      </w:pPr>
      <w:rPr>
        <w:rFonts w:hint="default" w:ascii="Arial" w:hAnsi="Arial" w:eastAsia="Arial" w:cs="Arial"/>
        <w:b/>
        <w:bCs/>
        <w:w w:val="100"/>
        <w:sz w:val="18"/>
        <w:szCs w:val="18"/>
      </w:rPr>
    </w:lvl>
    <w:lvl w:ilvl="1">
      <w:start w:val="1"/>
      <w:numFmt w:val="bullet"/>
      <w:lvlText w:val="•"/>
      <w:lvlJc w:val="left"/>
      <w:pPr>
        <w:ind w:left="3434" w:hanging="567"/>
      </w:pPr>
      <w:rPr>
        <w:rFonts w:hint="default"/>
      </w:rPr>
    </w:lvl>
    <w:lvl w:ilvl="2">
      <w:start w:val="1"/>
      <w:numFmt w:val="bullet"/>
      <w:lvlText w:val="•"/>
      <w:lvlJc w:val="left"/>
      <w:pPr>
        <w:ind w:left="4468" w:hanging="567"/>
      </w:pPr>
      <w:rPr>
        <w:rFonts w:hint="default"/>
      </w:rPr>
    </w:lvl>
    <w:lvl w:ilvl="3">
      <w:start w:val="1"/>
      <w:numFmt w:val="bullet"/>
      <w:lvlText w:val="•"/>
      <w:lvlJc w:val="left"/>
      <w:pPr>
        <w:ind w:left="5503" w:hanging="567"/>
      </w:pPr>
      <w:rPr>
        <w:rFonts w:hint="default"/>
      </w:rPr>
    </w:lvl>
    <w:lvl w:ilvl="4">
      <w:start w:val="1"/>
      <w:numFmt w:val="bullet"/>
      <w:lvlText w:val="•"/>
      <w:lvlJc w:val="left"/>
      <w:pPr>
        <w:ind w:left="6537" w:hanging="567"/>
      </w:pPr>
      <w:rPr>
        <w:rFonts w:hint="default"/>
      </w:rPr>
    </w:lvl>
    <w:lvl w:ilvl="5">
      <w:start w:val="1"/>
      <w:numFmt w:val="bullet"/>
      <w:lvlText w:val="•"/>
      <w:lvlJc w:val="left"/>
      <w:pPr>
        <w:ind w:left="7572" w:hanging="567"/>
      </w:pPr>
      <w:rPr>
        <w:rFonts w:hint="default"/>
      </w:rPr>
    </w:lvl>
    <w:lvl w:ilvl="6">
      <w:start w:val="1"/>
      <w:numFmt w:val="bullet"/>
      <w:lvlText w:val="•"/>
      <w:lvlJc w:val="left"/>
      <w:pPr>
        <w:ind w:left="8606" w:hanging="567"/>
      </w:pPr>
      <w:rPr>
        <w:rFonts w:hint="default"/>
      </w:rPr>
    </w:lvl>
    <w:lvl w:ilvl="7">
      <w:start w:val="1"/>
      <w:numFmt w:val="bullet"/>
      <w:lvlText w:val="•"/>
      <w:lvlJc w:val="left"/>
      <w:pPr>
        <w:ind w:left="9641" w:hanging="567"/>
      </w:pPr>
      <w:rPr>
        <w:rFonts w:hint="default"/>
      </w:rPr>
    </w:lvl>
    <w:lvl w:ilvl="8">
      <w:start w:val="1"/>
      <w:numFmt w:val="bullet"/>
      <w:lvlText w:val="•"/>
      <w:lvlJc w:val="left"/>
      <w:pPr>
        <w:ind w:left="10675" w:hanging="567"/>
      </w:pPr>
      <w:rPr>
        <w:rFonts w:hint="default"/>
      </w:rPr>
    </w:lvl>
  </w:abstractNum>
  <w:abstractNum w:abstractNumId="41">
    <w:multiLevelType w:val="hybridMultilevel"/>
    <w:lvl w:ilvl="0">
      <w:start w:val="1"/>
      <w:numFmt w:val="lowerLetter"/>
      <w:lvlText w:val="(%1)"/>
      <w:lvlJc w:val="left"/>
      <w:pPr>
        <w:ind w:left="2148" w:hanging="720"/>
        <w:jc w:val="left"/>
      </w:pPr>
      <w:rPr>
        <w:rFonts w:hint="default" w:ascii="Arial" w:hAnsi="Arial" w:eastAsia="Arial" w:cs="Arial"/>
        <w:spacing w:val="-1"/>
        <w:w w:val="99"/>
        <w:sz w:val="18"/>
        <w:szCs w:val="18"/>
      </w:rPr>
    </w:lvl>
    <w:lvl w:ilvl="1">
      <w:start w:val="1"/>
      <w:numFmt w:val="bullet"/>
      <w:lvlText w:val="•"/>
      <w:lvlJc w:val="left"/>
      <w:pPr>
        <w:ind w:left="3200" w:hanging="720"/>
      </w:pPr>
      <w:rPr>
        <w:rFonts w:hint="default"/>
      </w:rPr>
    </w:lvl>
    <w:lvl w:ilvl="2">
      <w:start w:val="1"/>
      <w:numFmt w:val="bullet"/>
      <w:lvlText w:val="•"/>
      <w:lvlJc w:val="left"/>
      <w:pPr>
        <w:ind w:left="4260" w:hanging="720"/>
      </w:pPr>
      <w:rPr>
        <w:rFonts w:hint="default"/>
      </w:rPr>
    </w:lvl>
    <w:lvl w:ilvl="3">
      <w:start w:val="1"/>
      <w:numFmt w:val="bullet"/>
      <w:lvlText w:val="•"/>
      <w:lvlJc w:val="left"/>
      <w:pPr>
        <w:ind w:left="5321" w:hanging="720"/>
      </w:pPr>
      <w:rPr>
        <w:rFonts w:hint="default"/>
      </w:rPr>
    </w:lvl>
    <w:lvl w:ilvl="4">
      <w:start w:val="1"/>
      <w:numFmt w:val="bullet"/>
      <w:lvlText w:val="•"/>
      <w:lvlJc w:val="left"/>
      <w:pPr>
        <w:ind w:left="6381" w:hanging="720"/>
      </w:pPr>
      <w:rPr>
        <w:rFonts w:hint="default"/>
      </w:rPr>
    </w:lvl>
    <w:lvl w:ilvl="5">
      <w:start w:val="1"/>
      <w:numFmt w:val="bullet"/>
      <w:lvlText w:val="•"/>
      <w:lvlJc w:val="left"/>
      <w:pPr>
        <w:ind w:left="7442" w:hanging="720"/>
      </w:pPr>
      <w:rPr>
        <w:rFonts w:hint="default"/>
      </w:rPr>
    </w:lvl>
    <w:lvl w:ilvl="6">
      <w:start w:val="1"/>
      <w:numFmt w:val="bullet"/>
      <w:lvlText w:val="•"/>
      <w:lvlJc w:val="left"/>
      <w:pPr>
        <w:ind w:left="8502" w:hanging="720"/>
      </w:pPr>
      <w:rPr>
        <w:rFonts w:hint="default"/>
      </w:rPr>
    </w:lvl>
    <w:lvl w:ilvl="7">
      <w:start w:val="1"/>
      <w:numFmt w:val="bullet"/>
      <w:lvlText w:val="•"/>
      <w:lvlJc w:val="left"/>
      <w:pPr>
        <w:ind w:left="9563" w:hanging="720"/>
      </w:pPr>
      <w:rPr>
        <w:rFonts w:hint="default"/>
      </w:rPr>
    </w:lvl>
    <w:lvl w:ilvl="8">
      <w:start w:val="1"/>
      <w:numFmt w:val="bullet"/>
      <w:lvlText w:val="•"/>
      <w:lvlJc w:val="left"/>
      <w:pPr>
        <w:ind w:left="10623" w:hanging="720"/>
      </w:pPr>
      <w:rPr>
        <w:rFonts w:hint="default"/>
      </w:rPr>
    </w:lvl>
  </w:abstractNum>
  <w:abstractNum w:abstractNumId="40">
    <w:multiLevelType w:val="hybridMultilevel"/>
    <w:lvl w:ilvl="0">
      <w:start w:val="1"/>
      <w:numFmt w:val="decimal"/>
      <w:lvlText w:val="%1."/>
      <w:lvlJc w:val="left"/>
      <w:pPr>
        <w:ind w:left="1824" w:hanging="396"/>
        <w:jc w:val="left"/>
      </w:pPr>
      <w:rPr>
        <w:rFonts w:hint="default" w:ascii="Arial" w:hAnsi="Arial" w:eastAsia="Arial" w:cs="Arial"/>
        <w:spacing w:val="-1"/>
        <w:w w:val="99"/>
        <w:sz w:val="18"/>
        <w:szCs w:val="18"/>
      </w:rPr>
    </w:lvl>
    <w:lvl w:ilvl="1">
      <w:start w:val="1"/>
      <w:numFmt w:val="lowerLetter"/>
      <w:lvlText w:val="(%2)"/>
      <w:lvlJc w:val="left"/>
      <w:pPr>
        <w:ind w:left="2221" w:hanging="397"/>
        <w:jc w:val="left"/>
      </w:pPr>
      <w:rPr>
        <w:rFonts w:hint="default" w:ascii="Arial" w:hAnsi="Arial" w:eastAsia="Arial" w:cs="Arial"/>
        <w:spacing w:val="-1"/>
        <w:w w:val="99"/>
        <w:sz w:val="18"/>
        <w:szCs w:val="18"/>
      </w:rPr>
    </w:lvl>
    <w:lvl w:ilvl="2">
      <w:start w:val="1"/>
      <w:numFmt w:val="bullet"/>
      <w:lvlText w:val="•"/>
      <w:lvlJc w:val="left"/>
      <w:pPr>
        <w:ind w:left="3389" w:hanging="397"/>
      </w:pPr>
      <w:rPr>
        <w:rFonts w:hint="default"/>
      </w:rPr>
    </w:lvl>
    <w:lvl w:ilvl="3">
      <w:start w:val="1"/>
      <w:numFmt w:val="bullet"/>
      <w:lvlText w:val="•"/>
      <w:lvlJc w:val="left"/>
      <w:pPr>
        <w:ind w:left="4558" w:hanging="397"/>
      </w:pPr>
      <w:rPr>
        <w:rFonts w:hint="default"/>
      </w:rPr>
    </w:lvl>
    <w:lvl w:ilvl="4">
      <w:start w:val="1"/>
      <w:numFmt w:val="bullet"/>
      <w:lvlText w:val="•"/>
      <w:lvlJc w:val="left"/>
      <w:pPr>
        <w:ind w:left="5728" w:hanging="397"/>
      </w:pPr>
      <w:rPr>
        <w:rFonts w:hint="default"/>
      </w:rPr>
    </w:lvl>
    <w:lvl w:ilvl="5">
      <w:start w:val="1"/>
      <w:numFmt w:val="bullet"/>
      <w:lvlText w:val="•"/>
      <w:lvlJc w:val="left"/>
      <w:pPr>
        <w:ind w:left="6897" w:hanging="397"/>
      </w:pPr>
      <w:rPr>
        <w:rFonts w:hint="default"/>
      </w:rPr>
    </w:lvl>
    <w:lvl w:ilvl="6">
      <w:start w:val="1"/>
      <w:numFmt w:val="bullet"/>
      <w:lvlText w:val="•"/>
      <w:lvlJc w:val="left"/>
      <w:pPr>
        <w:ind w:left="8066" w:hanging="397"/>
      </w:pPr>
      <w:rPr>
        <w:rFonts w:hint="default"/>
      </w:rPr>
    </w:lvl>
    <w:lvl w:ilvl="7">
      <w:start w:val="1"/>
      <w:numFmt w:val="bullet"/>
      <w:lvlText w:val="•"/>
      <w:lvlJc w:val="left"/>
      <w:pPr>
        <w:ind w:left="9236" w:hanging="397"/>
      </w:pPr>
      <w:rPr>
        <w:rFonts w:hint="default"/>
      </w:rPr>
    </w:lvl>
    <w:lvl w:ilvl="8">
      <w:start w:val="1"/>
      <w:numFmt w:val="bullet"/>
      <w:lvlText w:val="•"/>
      <w:lvlJc w:val="left"/>
      <w:pPr>
        <w:ind w:left="10405" w:hanging="397"/>
      </w:pPr>
      <w:rPr>
        <w:rFonts w:hint="default"/>
      </w:rPr>
    </w:lvl>
  </w:abstractNum>
  <w:abstractNum w:abstractNumId="39">
    <w:multiLevelType w:val="hybridMultilevel"/>
    <w:lvl w:ilvl="0">
      <w:start w:val="1"/>
      <w:numFmt w:val="decimal"/>
      <w:lvlText w:val="%1."/>
      <w:lvlJc w:val="left"/>
      <w:pPr>
        <w:ind w:left="1822" w:hanging="395"/>
        <w:jc w:val="left"/>
      </w:pPr>
      <w:rPr>
        <w:rFonts w:hint="default" w:ascii="Arial" w:hAnsi="Arial" w:eastAsia="Arial" w:cs="Arial"/>
        <w:b/>
        <w:bCs/>
        <w:spacing w:val="-1"/>
        <w:w w:val="100"/>
        <w:sz w:val="18"/>
        <w:szCs w:val="18"/>
      </w:rPr>
    </w:lvl>
    <w:lvl w:ilvl="1">
      <w:start w:val="1"/>
      <w:numFmt w:val="bullet"/>
      <w:lvlText w:val=""/>
      <w:lvlJc w:val="left"/>
      <w:pPr>
        <w:ind w:left="2390" w:hanging="567"/>
      </w:pPr>
      <w:rPr>
        <w:rFonts w:hint="default" w:ascii="Symbol" w:hAnsi="Symbol" w:eastAsia="Symbol" w:cs="Symbol"/>
        <w:w w:val="100"/>
        <w:sz w:val="18"/>
        <w:szCs w:val="18"/>
      </w:rPr>
    </w:lvl>
    <w:lvl w:ilvl="2">
      <w:start w:val="1"/>
      <w:numFmt w:val="bullet"/>
      <w:lvlText w:val="•"/>
      <w:lvlJc w:val="left"/>
      <w:pPr>
        <w:ind w:left="3549" w:hanging="567"/>
      </w:pPr>
      <w:rPr>
        <w:rFonts w:hint="default"/>
      </w:rPr>
    </w:lvl>
    <w:lvl w:ilvl="3">
      <w:start w:val="1"/>
      <w:numFmt w:val="bullet"/>
      <w:lvlText w:val="•"/>
      <w:lvlJc w:val="left"/>
      <w:pPr>
        <w:ind w:left="4698" w:hanging="567"/>
      </w:pPr>
      <w:rPr>
        <w:rFonts w:hint="default"/>
      </w:rPr>
    </w:lvl>
    <w:lvl w:ilvl="4">
      <w:start w:val="1"/>
      <w:numFmt w:val="bullet"/>
      <w:lvlText w:val="•"/>
      <w:lvlJc w:val="left"/>
      <w:pPr>
        <w:ind w:left="5848" w:hanging="567"/>
      </w:pPr>
      <w:rPr>
        <w:rFonts w:hint="default"/>
      </w:rPr>
    </w:lvl>
    <w:lvl w:ilvl="5">
      <w:start w:val="1"/>
      <w:numFmt w:val="bullet"/>
      <w:lvlText w:val="•"/>
      <w:lvlJc w:val="left"/>
      <w:pPr>
        <w:ind w:left="6997" w:hanging="567"/>
      </w:pPr>
      <w:rPr>
        <w:rFonts w:hint="default"/>
      </w:rPr>
    </w:lvl>
    <w:lvl w:ilvl="6">
      <w:start w:val="1"/>
      <w:numFmt w:val="bullet"/>
      <w:lvlText w:val="•"/>
      <w:lvlJc w:val="left"/>
      <w:pPr>
        <w:ind w:left="8146" w:hanging="567"/>
      </w:pPr>
      <w:rPr>
        <w:rFonts w:hint="default"/>
      </w:rPr>
    </w:lvl>
    <w:lvl w:ilvl="7">
      <w:start w:val="1"/>
      <w:numFmt w:val="bullet"/>
      <w:lvlText w:val="•"/>
      <w:lvlJc w:val="left"/>
      <w:pPr>
        <w:ind w:left="9296" w:hanging="567"/>
      </w:pPr>
      <w:rPr>
        <w:rFonts w:hint="default"/>
      </w:rPr>
    </w:lvl>
    <w:lvl w:ilvl="8">
      <w:start w:val="1"/>
      <w:numFmt w:val="bullet"/>
      <w:lvlText w:val="•"/>
      <w:lvlJc w:val="left"/>
      <w:pPr>
        <w:ind w:left="10445" w:hanging="567"/>
      </w:pPr>
      <w:rPr>
        <w:rFonts w:hint="default"/>
      </w:rPr>
    </w:lvl>
  </w:abstractNum>
  <w:abstractNum w:abstractNumId="38">
    <w:multiLevelType w:val="hybridMultilevel"/>
    <w:lvl w:ilvl="0">
      <w:start w:val="1"/>
      <w:numFmt w:val="bullet"/>
      <w:lvlText w:val="-"/>
      <w:lvlJc w:val="left"/>
      <w:pPr>
        <w:ind w:left="2390" w:hanging="110"/>
      </w:pPr>
      <w:rPr>
        <w:rFonts w:hint="default" w:ascii="Arial" w:hAnsi="Arial" w:eastAsia="Arial" w:cs="Arial"/>
        <w:w w:val="99"/>
        <w:sz w:val="18"/>
        <w:szCs w:val="18"/>
      </w:rPr>
    </w:lvl>
    <w:lvl w:ilvl="1">
      <w:start w:val="1"/>
      <w:numFmt w:val="bullet"/>
      <w:lvlText w:val="•"/>
      <w:lvlJc w:val="left"/>
      <w:pPr>
        <w:ind w:left="3434" w:hanging="110"/>
      </w:pPr>
      <w:rPr>
        <w:rFonts w:hint="default"/>
      </w:rPr>
    </w:lvl>
    <w:lvl w:ilvl="2">
      <w:start w:val="1"/>
      <w:numFmt w:val="bullet"/>
      <w:lvlText w:val="•"/>
      <w:lvlJc w:val="left"/>
      <w:pPr>
        <w:ind w:left="4468" w:hanging="110"/>
      </w:pPr>
      <w:rPr>
        <w:rFonts w:hint="default"/>
      </w:rPr>
    </w:lvl>
    <w:lvl w:ilvl="3">
      <w:start w:val="1"/>
      <w:numFmt w:val="bullet"/>
      <w:lvlText w:val="•"/>
      <w:lvlJc w:val="left"/>
      <w:pPr>
        <w:ind w:left="5503" w:hanging="110"/>
      </w:pPr>
      <w:rPr>
        <w:rFonts w:hint="default"/>
      </w:rPr>
    </w:lvl>
    <w:lvl w:ilvl="4">
      <w:start w:val="1"/>
      <w:numFmt w:val="bullet"/>
      <w:lvlText w:val="•"/>
      <w:lvlJc w:val="left"/>
      <w:pPr>
        <w:ind w:left="6537" w:hanging="110"/>
      </w:pPr>
      <w:rPr>
        <w:rFonts w:hint="default"/>
      </w:rPr>
    </w:lvl>
    <w:lvl w:ilvl="5">
      <w:start w:val="1"/>
      <w:numFmt w:val="bullet"/>
      <w:lvlText w:val="•"/>
      <w:lvlJc w:val="left"/>
      <w:pPr>
        <w:ind w:left="7572" w:hanging="110"/>
      </w:pPr>
      <w:rPr>
        <w:rFonts w:hint="default"/>
      </w:rPr>
    </w:lvl>
    <w:lvl w:ilvl="6">
      <w:start w:val="1"/>
      <w:numFmt w:val="bullet"/>
      <w:lvlText w:val="•"/>
      <w:lvlJc w:val="left"/>
      <w:pPr>
        <w:ind w:left="8606" w:hanging="110"/>
      </w:pPr>
      <w:rPr>
        <w:rFonts w:hint="default"/>
      </w:rPr>
    </w:lvl>
    <w:lvl w:ilvl="7">
      <w:start w:val="1"/>
      <w:numFmt w:val="bullet"/>
      <w:lvlText w:val="•"/>
      <w:lvlJc w:val="left"/>
      <w:pPr>
        <w:ind w:left="9641" w:hanging="110"/>
      </w:pPr>
      <w:rPr>
        <w:rFonts w:hint="default"/>
      </w:rPr>
    </w:lvl>
    <w:lvl w:ilvl="8">
      <w:start w:val="1"/>
      <w:numFmt w:val="bullet"/>
      <w:lvlText w:val="•"/>
      <w:lvlJc w:val="left"/>
      <w:pPr>
        <w:ind w:left="10675" w:hanging="110"/>
      </w:pPr>
      <w:rPr>
        <w:rFonts w:hint="default"/>
      </w:rPr>
    </w:lvl>
  </w:abstractNum>
  <w:abstractNum w:abstractNumId="37">
    <w:multiLevelType w:val="hybridMultilevel"/>
    <w:lvl w:ilvl="0">
      <w:start w:val="40"/>
      <w:numFmt w:val="decimal"/>
      <w:lvlText w:val="%1"/>
      <w:lvlJc w:val="left"/>
      <w:pPr>
        <w:ind w:left="1971" w:hanging="568"/>
        <w:jc w:val="left"/>
      </w:pPr>
      <w:rPr>
        <w:rFonts w:hint="default" w:ascii="Arial" w:hAnsi="Arial" w:eastAsia="Arial" w:cs="Arial"/>
        <w:b/>
        <w:bCs/>
        <w:spacing w:val="-1"/>
        <w:w w:val="99"/>
        <w:sz w:val="18"/>
        <w:szCs w:val="18"/>
      </w:rPr>
    </w:lvl>
    <w:lvl w:ilvl="1">
      <w:start w:val="1"/>
      <w:numFmt w:val="lowerLetter"/>
      <w:lvlText w:val="(%2)"/>
      <w:lvlJc w:val="left"/>
      <w:pPr>
        <w:ind w:left="2391" w:hanging="567"/>
        <w:jc w:val="left"/>
      </w:pPr>
      <w:rPr>
        <w:rFonts w:hint="default" w:ascii="Arial" w:hAnsi="Arial" w:eastAsia="Arial" w:cs="Arial"/>
        <w:spacing w:val="-1"/>
        <w:w w:val="99"/>
        <w:sz w:val="18"/>
        <w:szCs w:val="18"/>
      </w:rPr>
    </w:lvl>
    <w:lvl w:ilvl="2">
      <w:start w:val="1"/>
      <w:numFmt w:val="bullet"/>
      <w:lvlText w:val="•"/>
      <w:lvlJc w:val="left"/>
      <w:pPr>
        <w:ind w:left="3549" w:hanging="567"/>
      </w:pPr>
      <w:rPr>
        <w:rFonts w:hint="default"/>
      </w:rPr>
    </w:lvl>
    <w:lvl w:ilvl="3">
      <w:start w:val="1"/>
      <w:numFmt w:val="bullet"/>
      <w:lvlText w:val="•"/>
      <w:lvlJc w:val="left"/>
      <w:pPr>
        <w:ind w:left="4698" w:hanging="567"/>
      </w:pPr>
      <w:rPr>
        <w:rFonts w:hint="default"/>
      </w:rPr>
    </w:lvl>
    <w:lvl w:ilvl="4">
      <w:start w:val="1"/>
      <w:numFmt w:val="bullet"/>
      <w:lvlText w:val="•"/>
      <w:lvlJc w:val="left"/>
      <w:pPr>
        <w:ind w:left="5848" w:hanging="567"/>
      </w:pPr>
      <w:rPr>
        <w:rFonts w:hint="default"/>
      </w:rPr>
    </w:lvl>
    <w:lvl w:ilvl="5">
      <w:start w:val="1"/>
      <w:numFmt w:val="bullet"/>
      <w:lvlText w:val="•"/>
      <w:lvlJc w:val="left"/>
      <w:pPr>
        <w:ind w:left="6997" w:hanging="567"/>
      </w:pPr>
      <w:rPr>
        <w:rFonts w:hint="default"/>
      </w:rPr>
    </w:lvl>
    <w:lvl w:ilvl="6">
      <w:start w:val="1"/>
      <w:numFmt w:val="bullet"/>
      <w:lvlText w:val="•"/>
      <w:lvlJc w:val="left"/>
      <w:pPr>
        <w:ind w:left="8146" w:hanging="567"/>
      </w:pPr>
      <w:rPr>
        <w:rFonts w:hint="default"/>
      </w:rPr>
    </w:lvl>
    <w:lvl w:ilvl="7">
      <w:start w:val="1"/>
      <w:numFmt w:val="bullet"/>
      <w:lvlText w:val="•"/>
      <w:lvlJc w:val="left"/>
      <w:pPr>
        <w:ind w:left="9296" w:hanging="567"/>
      </w:pPr>
      <w:rPr>
        <w:rFonts w:hint="default"/>
      </w:rPr>
    </w:lvl>
    <w:lvl w:ilvl="8">
      <w:start w:val="1"/>
      <w:numFmt w:val="bullet"/>
      <w:lvlText w:val="•"/>
      <w:lvlJc w:val="left"/>
      <w:pPr>
        <w:ind w:left="10445" w:hanging="567"/>
      </w:pPr>
      <w:rPr>
        <w:rFonts w:hint="default"/>
      </w:rPr>
    </w:lvl>
  </w:abstractNum>
  <w:abstractNum w:abstractNumId="36">
    <w:multiLevelType w:val="hybridMultilevel"/>
    <w:lvl w:ilvl="0">
      <w:start w:val="4"/>
      <w:numFmt w:val="lowerLetter"/>
      <w:lvlText w:val="(%1)"/>
      <w:lvlJc w:val="left"/>
      <w:pPr>
        <w:ind w:left="2391" w:hanging="567"/>
        <w:jc w:val="left"/>
      </w:pPr>
      <w:rPr>
        <w:rFonts w:hint="default" w:ascii="Arial" w:hAnsi="Arial" w:eastAsia="Arial" w:cs="Arial"/>
        <w:spacing w:val="-1"/>
        <w:w w:val="99"/>
        <w:sz w:val="18"/>
        <w:szCs w:val="18"/>
      </w:rPr>
    </w:lvl>
    <w:lvl w:ilvl="1">
      <w:start w:val="1"/>
      <w:numFmt w:val="lowerRoman"/>
      <w:lvlText w:val="(%2)"/>
      <w:lvlJc w:val="left"/>
      <w:pPr>
        <w:ind w:left="2600" w:hanging="210"/>
        <w:jc w:val="left"/>
      </w:pPr>
      <w:rPr>
        <w:rFonts w:hint="default" w:ascii="Arial" w:hAnsi="Arial" w:eastAsia="Arial" w:cs="Arial"/>
        <w:spacing w:val="-1"/>
        <w:w w:val="99"/>
        <w:sz w:val="18"/>
        <w:szCs w:val="18"/>
      </w:rPr>
    </w:lvl>
    <w:lvl w:ilvl="2">
      <w:start w:val="1"/>
      <w:numFmt w:val="bullet"/>
      <w:lvlText w:val="•"/>
      <w:lvlJc w:val="left"/>
      <w:pPr>
        <w:ind w:left="3727" w:hanging="210"/>
      </w:pPr>
      <w:rPr>
        <w:rFonts w:hint="default"/>
      </w:rPr>
    </w:lvl>
    <w:lvl w:ilvl="3">
      <w:start w:val="1"/>
      <w:numFmt w:val="bullet"/>
      <w:lvlText w:val="•"/>
      <w:lvlJc w:val="left"/>
      <w:pPr>
        <w:ind w:left="4854" w:hanging="210"/>
      </w:pPr>
      <w:rPr>
        <w:rFonts w:hint="default"/>
      </w:rPr>
    </w:lvl>
    <w:lvl w:ilvl="4">
      <w:start w:val="1"/>
      <w:numFmt w:val="bullet"/>
      <w:lvlText w:val="•"/>
      <w:lvlJc w:val="left"/>
      <w:pPr>
        <w:ind w:left="5981" w:hanging="210"/>
      </w:pPr>
      <w:rPr>
        <w:rFonts w:hint="default"/>
      </w:rPr>
    </w:lvl>
    <w:lvl w:ilvl="5">
      <w:start w:val="1"/>
      <w:numFmt w:val="bullet"/>
      <w:lvlText w:val="•"/>
      <w:lvlJc w:val="left"/>
      <w:pPr>
        <w:ind w:left="7108" w:hanging="210"/>
      </w:pPr>
      <w:rPr>
        <w:rFonts w:hint="default"/>
      </w:rPr>
    </w:lvl>
    <w:lvl w:ilvl="6">
      <w:start w:val="1"/>
      <w:numFmt w:val="bullet"/>
      <w:lvlText w:val="•"/>
      <w:lvlJc w:val="left"/>
      <w:pPr>
        <w:ind w:left="8235" w:hanging="210"/>
      </w:pPr>
      <w:rPr>
        <w:rFonts w:hint="default"/>
      </w:rPr>
    </w:lvl>
    <w:lvl w:ilvl="7">
      <w:start w:val="1"/>
      <w:numFmt w:val="bullet"/>
      <w:lvlText w:val="•"/>
      <w:lvlJc w:val="left"/>
      <w:pPr>
        <w:ind w:left="9363" w:hanging="210"/>
      </w:pPr>
      <w:rPr>
        <w:rFonts w:hint="default"/>
      </w:rPr>
    </w:lvl>
    <w:lvl w:ilvl="8">
      <w:start w:val="1"/>
      <w:numFmt w:val="bullet"/>
      <w:lvlText w:val="•"/>
      <w:lvlJc w:val="left"/>
      <w:pPr>
        <w:ind w:left="10490" w:hanging="210"/>
      </w:pPr>
      <w:rPr>
        <w:rFonts w:hint="default"/>
      </w:rPr>
    </w:lvl>
  </w:abstractNum>
  <w:abstractNum w:abstractNumId="35">
    <w:multiLevelType w:val="hybridMultilevel"/>
    <w:lvl w:ilvl="0">
      <w:start w:val="2"/>
      <w:numFmt w:val="lowerLetter"/>
      <w:lvlText w:val="(%1)"/>
      <w:lvlJc w:val="left"/>
      <w:pPr>
        <w:ind w:left="2391" w:hanging="567"/>
        <w:jc w:val="right"/>
      </w:pPr>
      <w:rPr>
        <w:rFonts w:hint="default" w:ascii="Arial" w:hAnsi="Arial" w:eastAsia="Arial" w:cs="Arial"/>
        <w:spacing w:val="-1"/>
        <w:w w:val="99"/>
        <w:sz w:val="18"/>
        <w:szCs w:val="18"/>
      </w:rPr>
    </w:lvl>
    <w:lvl w:ilvl="1">
      <w:start w:val="1"/>
      <w:numFmt w:val="lowerRoman"/>
      <w:lvlText w:val="(%2)"/>
      <w:lvlJc w:val="left"/>
      <w:pPr>
        <w:ind w:left="2599" w:hanging="210"/>
        <w:jc w:val="left"/>
      </w:pPr>
      <w:rPr>
        <w:rFonts w:hint="default" w:ascii="Arial" w:hAnsi="Arial" w:eastAsia="Arial" w:cs="Arial"/>
        <w:spacing w:val="-1"/>
        <w:w w:val="99"/>
        <w:sz w:val="18"/>
        <w:szCs w:val="18"/>
      </w:rPr>
    </w:lvl>
    <w:lvl w:ilvl="2">
      <w:start w:val="1"/>
      <w:numFmt w:val="bullet"/>
      <w:lvlText w:val="•"/>
      <w:lvlJc w:val="left"/>
      <w:pPr>
        <w:ind w:left="3727" w:hanging="210"/>
      </w:pPr>
      <w:rPr>
        <w:rFonts w:hint="default"/>
      </w:rPr>
    </w:lvl>
    <w:lvl w:ilvl="3">
      <w:start w:val="1"/>
      <w:numFmt w:val="bullet"/>
      <w:lvlText w:val="•"/>
      <w:lvlJc w:val="left"/>
      <w:pPr>
        <w:ind w:left="4854" w:hanging="210"/>
      </w:pPr>
      <w:rPr>
        <w:rFonts w:hint="default"/>
      </w:rPr>
    </w:lvl>
    <w:lvl w:ilvl="4">
      <w:start w:val="1"/>
      <w:numFmt w:val="bullet"/>
      <w:lvlText w:val="•"/>
      <w:lvlJc w:val="left"/>
      <w:pPr>
        <w:ind w:left="5981" w:hanging="210"/>
      </w:pPr>
      <w:rPr>
        <w:rFonts w:hint="default"/>
      </w:rPr>
    </w:lvl>
    <w:lvl w:ilvl="5">
      <w:start w:val="1"/>
      <w:numFmt w:val="bullet"/>
      <w:lvlText w:val="•"/>
      <w:lvlJc w:val="left"/>
      <w:pPr>
        <w:ind w:left="7108" w:hanging="210"/>
      </w:pPr>
      <w:rPr>
        <w:rFonts w:hint="default"/>
      </w:rPr>
    </w:lvl>
    <w:lvl w:ilvl="6">
      <w:start w:val="1"/>
      <w:numFmt w:val="bullet"/>
      <w:lvlText w:val="•"/>
      <w:lvlJc w:val="left"/>
      <w:pPr>
        <w:ind w:left="8235" w:hanging="210"/>
      </w:pPr>
      <w:rPr>
        <w:rFonts w:hint="default"/>
      </w:rPr>
    </w:lvl>
    <w:lvl w:ilvl="7">
      <w:start w:val="1"/>
      <w:numFmt w:val="bullet"/>
      <w:lvlText w:val="•"/>
      <w:lvlJc w:val="left"/>
      <w:pPr>
        <w:ind w:left="9363" w:hanging="210"/>
      </w:pPr>
      <w:rPr>
        <w:rFonts w:hint="default"/>
      </w:rPr>
    </w:lvl>
    <w:lvl w:ilvl="8">
      <w:start w:val="1"/>
      <w:numFmt w:val="bullet"/>
      <w:lvlText w:val="•"/>
      <w:lvlJc w:val="left"/>
      <w:pPr>
        <w:ind w:left="10490" w:hanging="210"/>
      </w:pPr>
      <w:rPr>
        <w:rFonts w:hint="default"/>
      </w:rPr>
    </w:lvl>
  </w:abstractNum>
  <w:abstractNum w:abstractNumId="34">
    <w:multiLevelType w:val="hybridMultilevel"/>
    <w:lvl w:ilvl="0">
      <w:start w:val="1"/>
      <w:numFmt w:val="lowerRoman"/>
      <w:lvlText w:val="(%1)"/>
      <w:lvlJc w:val="left"/>
      <w:pPr>
        <w:ind w:left="2599" w:hanging="210"/>
        <w:jc w:val="left"/>
      </w:pPr>
      <w:rPr>
        <w:rFonts w:hint="default" w:ascii="Arial" w:hAnsi="Arial" w:eastAsia="Arial" w:cs="Arial"/>
        <w:spacing w:val="-1"/>
        <w:w w:val="99"/>
        <w:sz w:val="18"/>
        <w:szCs w:val="18"/>
      </w:rPr>
    </w:lvl>
    <w:lvl w:ilvl="1">
      <w:start w:val="1"/>
      <w:numFmt w:val="bullet"/>
      <w:lvlText w:val="•"/>
      <w:lvlJc w:val="left"/>
      <w:pPr>
        <w:ind w:left="3614" w:hanging="210"/>
      </w:pPr>
      <w:rPr>
        <w:rFonts w:hint="default"/>
      </w:rPr>
    </w:lvl>
    <w:lvl w:ilvl="2">
      <w:start w:val="1"/>
      <w:numFmt w:val="bullet"/>
      <w:lvlText w:val="•"/>
      <w:lvlJc w:val="left"/>
      <w:pPr>
        <w:ind w:left="4628" w:hanging="210"/>
      </w:pPr>
      <w:rPr>
        <w:rFonts w:hint="default"/>
      </w:rPr>
    </w:lvl>
    <w:lvl w:ilvl="3">
      <w:start w:val="1"/>
      <w:numFmt w:val="bullet"/>
      <w:lvlText w:val="•"/>
      <w:lvlJc w:val="left"/>
      <w:pPr>
        <w:ind w:left="5643" w:hanging="210"/>
      </w:pPr>
      <w:rPr>
        <w:rFonts w:hint="default"/>
      </w:rPr>
    </w:lvl>
    <w:lvl w:ilvl="4">
      <w:start w:val="1"/>
      <w:numFmt w:val="bullet"/>
      <w:lvlText w:val="•"/>
      <w:lvlJc w:val="left"/>
      <w:pPr>
        <w:ind w:left="6657" w:hanging="210"/>
      </w:pPr>
      <w:rPr>
        <w:rFonts w:hint="default"/>
      </w:rPr>
    </w:lvl>
    <w:lvl w:ilvl="5">
      <w:start w:val="1"/>
      <w:numFmt w:val="bullet"/>
      <w:lvlText w:val="•"/>
      <w:lvlJc w:val="left"/>
      <w:pPr>
        <w:ind w:left="7672" w:hanging="210"/>
      </w:pPr>
      <w:rPr>
        <w:rFonts w:hint="default"/>
      </w:rPr>
    </w:lvl>
    <w:lvl w:ilvl="6">
      <w:start w:val="1"/>
      <w:numFmt w:val="bullet"/>
      <w:lvlText w:val="•"/>
      <w:lvlJc w:val="left"/>
      <w:pPr>
        <w:ind w:left="8686" w:hanging="210"/>
      </w:pPr>
      <w:rPr>
        <w:rFonts w:hint="default"/>
      </w:rPr>
    </w:lvl>
    <w:lvl w:ilvl="7">
      <w:start w:val="1"/>
      <w:numFmt w:val="bullet"/>
      <w:lvlText w:val="•"/>
      <w:lvlJc w:val="left"/>
      <w:pPr>
        <w:ind w:left="9701" w:hanging="210"/>
      </w:pPr>
      <w:rPr>
        <w:rFonts w:hint="default"/>
      </w:rPr>
    </w:lvl>
    <w:lvl w:ilvl="8">
      <w:start w:val="1"/>
      <w:numFmt w:val="bullet"/>
      <w:lvlText w:val="•"/>
      <w:lvlJc w:val="left"/>
      <w:pPr>
        <w:ind w:left="10715" w:hanging="210"/>
      </w:pPr>
      <w:rPr>
        <w:rFonts w:hint="default"/>
      </w:rPr>
    </w:lvl>
  </w:abstractNum>
  <w:abstractNum w:abstractNumId="33">
    <w:multiLevelType w:val="hybridMultilevel"/>
    <w:lvl w:ilvl="0">
      <w:start w:val="4"/>
      <w:numFmt w:val="lowerLetter"/>
      <w:lvlText w:val="(%1)"/>
      <w:lvlJc w:val="left"/>
      <w:pPr>
        <w:ind w:left="1971" w:hanging="567"/>
        <w:jc w:val="left"/>
      </w:pPr>
      <w:rPr>
        <w:rFonts w:hint="default" w:ascii="Arial" w:hAnsi="Arial" w:eastAsia="Arial" w:cs="Arial"/>
        <w:spacing w:val="-1"/>
        <w:w w:val="99"/>
        <w:sz w:val="18"/>
        <w:szCs w:val="18"/>
      </w:rPr>
    </w:lvl>
    <w:lvl w:ilvl="1">
      <w:start w:val="1"/>
      <w:numFmt w:val="lowerLetter"/>
      <w:lvlText w:val="(%2)"/>
      <w:lvlJc w:val="left"/>
      <w:pPr>
        <w:ind w:left="2181" w:hanging="211"/>
        <w:jc w:val="left"/>
      </w:pPr>
      <w:rPr>
        <w:rFonts w:hint="default" w:ascii="Arial" w:hAnsi="Arial" w:eastAsia="Arial" w:cs="Arial"/>
        <w:w w:val="100"/>
        <w:sz w:val="14"/>
        <w:szCs w:val="14"/>
      </w:rPr>
    </w:lvl>
    <w:lvl w:ilvl="2">
      <w:start w:val="1"/>
      <w:numFmt w:val="bullet"/>
      <w:lvlText w:val="•"/>
      <w:lvlJc w:val="left"/>
      <w:pPr>
        <w:ind w:left="3808" w:hanging="211"/>
      </w:pPr>
      <w:rPr>
        <w:rFonts w:hint="default"/>
      </w:rPr>
    </w:lvl>
    <w:lvl w:ilvl="3">
      <w:start w:val="1"/>
      <w:numFmt w:val="bullet"/>
      <w:lvlText w:val="•"/>
      <w:lvlJc w:val="left"/>
      <w:pPr>
        <w:ind w:left="5437" w:hanging="211"/>
      </w:pPr>
      <w:rPr>
        <w:rFonts w:hint="default"/>
      </w:rPr>
    </w:lvl>
    <w:lvl w:ilvl="4">
      <w:start w:val="1"/>
      <w:numFmt w:val="bullet"/>
      <w:lvlText w:val="•"/>
      <w:lvlJc w:val="left"/>
      <w:pPr>
        <w:ind w:left="7065" w:hanging="211"/>
      </w:pPr>
      <w:rPr>
        <w:rFonts w:hint="default"/>
      </w:rPr>
    </w:lvl>
    <w:lvl w:ilvl="5">
      <w:start w:val="1"/>
      <w:numFmt w:val="bullet"/>
      <w:lvlText w:val="•"/>
      <w:lvlJc w:val="left"/>
      <w:pPr>
        <w:ind w:left="8694" w:hanging="211"/>
      </w:pPr>
      <w:rPr>
        <w:rFonts w:hint="default"/>
      </w:rPr>
    </w:lvl>
    <w:lvl w:ilvl="6">
      <w:start w:val="1"/>
      <w:numFmt w:val="bullet"/>
      <w:lvlText w:val="•"/>
      <w:lvlJc w:val="left"/>
      <w:pPr>
        <w:ind w:left="10323" w:hanging="211"/>
      </w:pPr>
      <w:rPr>
        <w:rFonts w:hint="default"/>
      </w:rPr>
    </w:lvl>
    <w:lvl w:ilvl="7">
      <w:start w:val="1"/>
      <w:numFmt w:val="bullet"/>
      <w:lvlText w:val="•"/>
      <w:lvlJc w:val="left"/>
      <w:pPr>
        <w:ind w:left="11951" w:hanging="211"/>
      </w:pPr>
      <w:rPr>
        <w:rFonts w:hint="default"/>
      </w:rPr>
    </w:lvl>
    <w:lvl w:ilvl="8">
      <w:start w:val="1"/>
      <w:numFmt w:val="bullet"/>
      <w:lvlText w:val="•"/>
      <w:lvlJc w:val="left"/>
      <w:pPr>
        <w:ind w:left="13580" w:hanging="211"/>
      </w:pPr>
      <w:rPr>
        <w:rFonts w:hint="default"/>
      </w:rPr>
    </w:lvl>
  </w:abstractNum>
  <w:abstractNum w:abstractNumId="32">
    <w:multiLevelType w:val="hybridMultilevel"/>
    <w:lvl w:ilvl="0">
      <w:start w:val="35"/>
      <w:numFmt w:val="decimal"/>
      <w:lvlText w:val="%1"/>
      <w:lvlJc w:val="left"/>
      <w:pPr>
        <w:ind w:left="1971" w:hanging="568"/>
        <w:jc w:val="right"/>
      </w:pPr>
      <w:rPr>
        <w:rFonts w:hint="default" w:ascii="Arial" w:hAnsi="Arial" w:eastAsia="Arial" w:cs="Arial"/>
        <w:b/>
        <w:bCs/>
        <w:spacing w:val="-1"/>
        <w:w w:val="99"/>
        <w:sz w:val="18"/>
        <w:szCs w:val="18"/>
      </w:rPr>
    </w:lvl>
    <w:lvl w:ilvl="1">
      <w:start w:val="1"/>
      <w:numFmt w:val="lowerLetter"/>
      <w:lvlText w:val="(%2)"/>
      <w:lvlJc w:val="left"/>
      <w:pPr>
        <w:ind w:left="2391" w:hanging="567"/>
        <w:jc w:val="left"/>
      </w:pPr>
      <w:rPr>
        <w:rFonts w:hint="default" w:ascii="Arial" w:hAnsi="Arial" w:eastAsia="Arial" w:cs="Arial"/>
        <w:spacing w:val="-1"/>
        <w:w w:val="99"/>
        <w:sz w:val="18"/>
        <w:szCs w:val="18"/>
      </w:rPr>
    </w:lvl>
    <w:lvl w:ilvl="2">
      <w:start w:val="1"/>
      <w:numFmt w:val="bullet"/>
      <w:lvlText w:val=""/>
      <w:lvlJc w:val="left"/>
      <w:pPr>
        <w:ind w:left="2958" w:hanging="568"/>
      </w:pPr>
      <w:rPr>
        <w:rFonts w:hint="default" w:ascii="Symbol" w:hAnsi="Symbol" w:eastAsia="Symbol" w:cs="Symbol"/>
        <w:w w:val="100"/>
        <w:sz w:val="18"/>
        <w:szCs w:val="18"/>
      </w:rPr>
    </w:lvl>
    <w:lvl w:ilvl="3">
      <w:start w:val="1"/>
      <w:numFmt w:val="bullet"/>
      <w:lvlText w:val="•"/>
      <w:lvlJc w:val="left"/>
      <w:pPr>
        <w:ind w:left="3280" w:hanging="568"/>
      </w:pPr>
      <w:rPr>
        <w:rFonts w:hint="default"/>
      </w:rPr>
    </w:lvl>
    <w:lvl w:ilvl="4">
      <w:start w:val="1"/>
      <w:numFmt w:val="bullet"/>
      <w:lvlText w:val="•"/>
      <w:lvlJc w:val="left"/>
      <w:pPr>
        <w:ind w:left="3601" w:hanging="568"/>
      </w:pPr>
      <w:rPr>
        <w:rFonts w:hint="default"/>
      </w:rPr>
    </w:lvl>
    <w:lvl w:ilvl="5">
      <w:start w:val="1"/>
      <w:numFmt w:val="bullet"/>
      <w:lvlText w:val="•"/>
      <w:lvlJc w:val="left"/>
      <w:pPr>
        <w:ind w:left="3922" w:hanging="568"/>
      </w:pPr>
      <w:rPr>
        <w:rFonts w:hint="default"/>
      </w:rPr>
    </w:lvl>
    <w:lvl w:ilvl="6">
      <w:start w:val="1"/>
      <w:numFmt w:val="bullet"/>
      <w:lvlText w:val="•"/>
      <w:lvlJc w:val="left"/>
      <w:pPr>
        <w:ind w:left="4243" w:hanging="568"/>
      </w:pPr>
      <w:rPr>
        <w:rFonts w:hint="default"/>
      </w:rPr>
    </w:lvl>
    <w:lvl w:ilvl="7">
      <w:start w:val="1"/>
      <w:numFmt w:val="bullet"/>
      <w:lvlText w:val="•"/>
      <w:lvlJc w:val="left"/>
      <w:pPr>
        <w:ind w:left="4564" w:hanging="568"/>
      </w:pPr>
      <w:rPr>
        <w:rFonts w:hint="default"/>
      </w:rPr>
    </w:lvl>
    <w:lvl w:ilvl="8">
      <w:start w:val="1"/>
      <w:numFmt w:val="bullet"/>
      <w:lvlText w:val="•"/>
      <w:lvlJc w:val="left"/>
      <w:pPr>
        <w:ind w:left="4885" w:hanging="568"/>
      </w:pPr>
      <w:rPr>
        <w:rFonts w:hint="default"/>
      </w:rPr>
    </w:lvl>
  </w:abstractNum>
  <w:abstractNum w:abstractNumId="31">
    <w:multiLevelType w:val="hybridMultilevel"/>
    <w:lvl w:ilvl="0">
      <w:start w:val="2"/>
      <w:numFmt w:val="lowerLetter"/>
      <w:lvlText w:val="(%1)"/>
      <w:lvlJc w:val="left"/>
      <w:pPr>
        <w:ind w:left="2391" w:hanging="567"/>
        <w:jc w:val="left"/>
      </w:pPr>
      <w:rPr>
        <w:rFonts w:hint="default" w:ascii="Arial" w:hAnsi="Arial" w:eastAsia="Arial" w:cs="Arial"/>
        <w:spacing w:val="-1"/>
        <w:w w:val="99"/>
        <w:sz w:val="18"/>
        <w:szCs w:val="18"/>
      </w:rPr>
    </w:lvl>
    <w:lvl w:ilvl="1">
      <w:start w:val="1"/>
      <w:numFmt w:val="bullet"/>
      <w:lvlText w:val="•"/>
      <w:lvlJc w:val="left"/>
      <w:pPr>
        <w:ind w:left="3434" w:hanging="567"/>
      </w:pPr>
      <w:rPr>
        <w:rFonts w:hint="default"/>
      </w:rPr>
    </w:lvl>
    <w:lvl w:ilvl="2">
      <w:start w:val="1"/>
      <w:numFmt w:val="bullet"/>
      <w:lvlText w:val="•"/>
      <w:lvlJc w:val="left"/>
      <w:pPr>
        <w:ind w:left="4468" w:hanging="567"/>
      </w:pPr>
      <w:rPr>
        <w:rFonts w:hint="default"/>
      </w:rPr>
    </w:lvl>
    <w:lvl w:ilvl="3">
      <w:start w:val="1"/>
      <w:numFmt w:val="bullet"/>
      <w:lvlText w:val="•"/>
      <w:lvlJc w:val="left"/>
      <w:pPr>
        <w:ind w:left="5503" w:hanging="567"/>
      </w:pPr>
      <w:rPr>
        <w:rFonts w:hint="default"/>
      </w:rPr>
    </w:lvl>
    <w:lvl w:ilvl="4">
      <w:start w:val="1"/>
      <w:numFmt w:val="bullet"/>
      <w:lvlText w:val="•"/>
      <w:lvlJc w:val="left"/>
      <w:pPr>
        <w:ind w:left="6537" w:hanging="567"/>
      </w:pPr>
      <w:rPr>
        <w:rFonts w:hint="default"/>
      </w:rPr>
    </w:lvl>
    <w:lvl w:ilvl="5">
      <w:start w:val="1"/>
      <w:numFmt w:val="bullet"/>
      <w:lvlText w:val="•"/>
      <w:lvlJc w:val="left"/>
      <w:pPr>
        <w:ind w:left="7572" w:hanging="567"/>
      </w:pPr>
      <w:rPr>
        <w:rFonts w:hint="default"/>
      </w:rPr>
    </w:lvl>
    <w:lvl w:ilvl="6">
      <w:start w:val="1"/>
      <w:numFmt w:val="bullet"/>
      <w:lvlText w:val="•"/>
      <w:lvlJc w:val="left"/>
      <w:pPr>
        <w:ind w:left="8606" w:hanging="567"/>
      </w:pPr>
      <w:rPr>
        <w:rFonts w:hint="default"/>
      </w:rPr>
    </w:lvl>
    <w:lvl w:ilvl="7">
      <w:start w:val="1"/>
      <w:numFmt w:val="bullet"/>
      <w:lvlText w:val="•"/>
      <w:lvlJc w:val="left"/>
      <w:pPr>
        <w:ind w:left="9641" w:hanging="567"/>
      </w:pPr>
      <w:rPr>
        <w:rFonts w:hint="default"/>
      </w:rPr>
    </w:lvl>
    <w:lvl w:ilvl="8">
      <w:start w:val="1"/>
      <w:numFmt w:val="bullet"/>
      <w:lvlText w:val="•"/>
      <w:lvlJc w:val="left"/>
      <w:pPr>
        <w:ind w:left="10675" w:hanging="567"/>
      </w:pPr>
      <w:rPr>
        <w:rFonts w:hint="default"/>
      </w:rPr>
    </w:lvl>
  </w:abstractNum>
  <w:abstractNum w:abstractNumId="30">
    <w:multiLevelType w:val="hybridMultilevel"/>
    <w:lvl w:ilvl="0">
      <w:start w:val="1"/>
      <w:numFmt w:val="lowerLetter"/>
      <w:lvlText w:val="(%1)"/>
      <w:lvlJc w:val="left"/>
      <w:pPr>
        <w:ind w:left="2391" w:hanging="567"/>
        <w:jc w:val="left"/>
      </w:pPr>
      <w:rPr>
        <w:rFonts w:hint="default" w:ascii="Arial" w:hAnsi="Arial" w:eastAsia="Arial" w:cs="Arial"/>
        <w:spacing w:val="-1"/>
        <w:w w:val="99"/>
        <w:sz w:val="18"/>
        <w:szCs w:val="18"/>
      </w:rPr>
    </w:lvl>
    <w:lvl w:ilvl="1">
      <w:start w:val="1"/>
      <w:numFmt w:val="lowerRoman"/>
      <w:lvlText w:val="(%2)"/>
      <w:lvlJc w:val="left"/>
      <w:pPr>
        <w:ind w:left="2610" w:hanging="221"/>
        <w:jc w:val="left"/>
      </w:pPr>
      <w:rPr>
        <w:rFonts w:hint="default" w:ascii="Arial" w:hAnsi="Arial" w:eastAsia="Arial" w:cs="Arial"/>
        <w:b/>
        <w:bCs/>
        <w:w w:val="100"/>
        <w:sz w:val="18"/>
        <w:szCs w:val="18"/>
      </w:rPr>
    </w:lvl>
    <w:lvl w:ilvl="2">
      <w:start w:val="1"/>
      <w:numFmt w:val="bullet"/>
      <w:lvlText w:val="•"/>
      <w:lvlJc w:val="left"/>
      <w:pPr>
        <w:ind w:left="3744" w:hanging="221"/>
      </w:pPr>
      <w:rPr>
        <w:rFonts w:hint="default"/>
      </w:rPr>
    </w:lvl>
    <w:lvl w:ilvl="3">
      <w:start w:val="1"/>
      <w:numFmt w:val="bullet"/>
      <w:lvlText w:val="•"/>
      <w:lvlJc w:val="left"/>
      <w:pPr>
        <w:ind w:left="4869" w:hanging="221"/>
      </w:pPr>
      <w:rPr>
        <w:rFonts w:hint="default"/>
      </w:rPr>
    </w:lvl>
    <w:lvl w:ilvl="4">
      <w:start w:val="1"/>
      <w:numFmt w:val="bullet"/>
      <w:lvlText w:val="•"/>
      <w:lvlJc w:val="left"/>
      <w:pPr>
        <w:ind w:left="5994" w:hanging="221"/>
      </w:pPr>
      <w:rPr>
        <w:rFonts w:hint="default"/>
      </w:rPr>
    </w:lvl>
    <w:lvl w:ilvl="5">
      <w:start w:val="1"/>
      <w:numFmt w:val="bullet"/>
      <w:lvlText w:val="•"/>
      <w:lvlJc w:val="left"/>
      <w:pPr>
        <w:ind w:left="7119" w:hanging="221"/>
      </w:pPr>
      <w:rPr>
        <w:rFonts w:hint="default"/>
      </w:rPr>
    </w:lvl>
    <w:lvl w:ilvl="6">
      <w:start w:val="1"/>
      <w:numFmt w:val="bullet"/>
      <w:lvlText w:val="•"/>
      <w:lvlJc w:val="left"/>
      <w:pPr>
        <w:ind w:left="8244" w:hanging="221"/>
      </w:pPr>
      <w:rPr>
        <w:rFonts w:hint="default"/>
      </w:rPr>
    </w:lvl>
    <w:lvl w:ilvl="7">
      <w:start w:val="1"/>
      <w:numFmt w:val="bullet"/>
      <w:lvlText w:val="•"/>
      <w:lvlJc w:val="left"/>
      <w:pPr>
        <w:ind w:left="9369" w:hanging="221"/>
      </w:pPr>
      <w:rPr>
        <w:rFonts w:hint="default"/>
      </w:rPr>
    </w:lvl>
    <w:lvl w:ilvl="8">
      <w:start w:val="1"/>
      <w:numFmt w:val="bullet"/>
      <w:lvlText w:val="•"/>
      <w:lvlJc w:val="left"/>
      <w:pPr>
        <w:ind w:left="10494" w:hanging="221"/>
      </w:pPr>
      <w:rPr>
        <w:rFonts w:hint="default"/>
      </w:rPr>
    </w:lvl>
  </w:abstractNum>
  <w:abstractNum w:abstractNumId="28">
    <w:multiLevelType w:val="hybridMultilevel"/>
    <w:lvl w:ilvl="0">
      <w:start w:val="31"/>
      <w:numFmt w:val="decimal"/>
      <w:lvlText w:val="%1"/>
      <w:lvlJc w:val="left"/>
      <w:pPr>
        <w:ind w:left="1825" w:hanging="396"/>
        <w:jc w:val="left"/>
      </w:pPr>
      <w:rPr>
        <w:rFonts w:hint="default" w:ascii="Arial" w:hAnsi="Arial" w:eastAsia="Arial" w:cs="Arial"/>
        <w:b/>
        <w:bCs/>
        <w:spacing w:val="-1"/>
        <w:w w:val="99"/>
        <w:sz w:val="18"/>
        <w:szCs w:val="18"/>
      </w:rPr>
    </w:lvl>
    <w:lvl w:ilvl="1">
      <w:start w:val="1"/>
      <w:numFmt w:val="lowerLetter"/>
      <w:lvlText w:val="(%2)"/>
      <w:lvlJc w:val="left"/>
      <w:pPr>
        <w:ind w:left="2391" w:hanging="567"/>
        <w:jc w:val="left"/>
      </w:pPr>
      <w:rPr>
        <w:rFonts w:hint="default" w:ascii="Arial" w:hAnsi="Arial" w:eastAsia="Arial" w:cs="Arial"/>
        <w:spacing w:val="-1"/>
        <w:w w:val="99"/>
        <w:sz w:val="18"/>
        <w:szCs w:val="18"/>
      </w:rPr>
    </w:lvl>
    <w:lvl w:ilvl="2">
      <w:start w:val="1"/>
      <w:numFmt w:val="bullet"/>
      <w:lvlText w:val="•"/>
      <w:lvlJc w:val="left"/>
      <w:pPr>
        <w:ind w:left="3549" w:hanging="567"/>
      </w:pPr>
      <w:rPr>
        <w:rFonts w:hint="default"/>
      </w:rPr>
    </w:lvl>
    <w:lvl w:ilvl="3">
      <w:start w:val="1"/>
      <w:numFmt w:val="bullet"/>
      <w:lvlText w:val="•"/>
      <w:lvlJc w:val="left"/>
      <w:pPr>
        <w:ind w:left="4698" w:hanging="567"/>
      </w:pPr>
      <w:rPr>
        <w:rFonts w:hint="default"/>
      </w:rPr>
    </w:lvl>
    <w:lvl w:ilvl="4">
      <w:start w:val="1"/>
      <w:numFmt w:val="bullet"/>
      <w:lvlText w:val="•"/>
      <w:lvlJc w:val="left"/>
      <w:pPr>
        <w:ind w:left="5848" w:hanging="567"/>
      </w:pPr>
      <w:rPr>
        <w:rFonts w:hint="default"/>
      </w:rPr>
    </w:lvl>
    <w:lvl w:ilvl="5">
      <w:start w:val="1"/>
      <w:numFmt w:val="bullet"/>
      <w:lvlText w:val="•"/>
      <w:lvlJc w:val="left"/>
      <w:pPr>
        <w:ind w:left="6997" w:hanging="567"/>
      </w:pPr>
      <w:rPr>
        <w:rFonts w:hint="default"/>
      </w:rPr>
    </w:lvl>
    <w:lvl w:ilvl="6">
      <w:start w:val="1"/>
      <w:numFmt w:val="bullet"/>
      <w:lvlText w:val="•"/>
      <w:lvlJc w:val="left"/>
      <w:pPr>
        <w:ind w:left="8146" w:hanging="567"/>
      </w:pPr>
      <w:rPr>
        <w:rFonts w:hint="default"/>
      </w:rPr>
    </w:lvl>
    <w:lvl w:ilvl="7">
      <w:start w:val="1"/>
      <w:numFmt w:val="bullet"/>
      <w:lvlText w:val="•"/>
      <w:lvlJc w:val="left"/>
      <w:pPr>
        <w:ind w:left="9296" w:hanging="567"/>
      </w:pPr>
      <w:rPr>
        <w:rFonts w:hint="default"/>
      </w:rPr>
    </w:lvl>
    <w:lvl w:ilvl="8">
      <w:start w:val="1"/>
      <w:numFmt w:val="bullet"/>
      <w:lvlText w:val="•"/>
      <w:lvlJc w:val="left"/>
      <w:pPr>
        <w:ind w:left="10445" w:hanging="567"/>
      </w:pPr>
      <w:rPr>
        <w:rFonts w:hint="default"/>
      </w:rPr>
    </w:lvl>
  </w:abstractNum>
  <w:abstractNum w:abstractNumId="27">
    <w:multiLevelType w:val="hybridMultilevel"/>
    <w:lvl w:ilvl="0">
      <w:start w:val="1"/>
      <w:numFmt w:val="lowerLetter"/>
      <w:lvlText w:val="(%1)"/>
      <w:lvlJc w:val="left"/>
      <w:pPr>
        <w:ind w:left="2391" w:hanging="567"/>
        <w:jc w:val="left"/>
      </w:pPr>
      <w:rPr>
        <w:rFonts w:hint="default" w:ascii="Arial" w:hAnsi="Arial" w:eastAsia="Arial" w:cs="Arial"/>
        <w:spacing w:val="-1"/>
        <w:w w:val="99"/>
        <w:sz w:val="18"/>
        <w:szCs w:val="18"/>
      </w:rPr>
    </w:lvl>
    <w:lvl w:ilvl="1">
      <w:start w:val="1"/>
      <w:numFmt w:val="bullet"/>
      <w:lvlText w:val="•"/>
      <w:lvlJc w:val="left"/>
      <w:pPr>
        <w:ind w:left="3434" w:hanging="567"/>
      </w:pPr>
      <w:rPr>
        <w:rFonts w:hint="default"/>
      </w:rPr>
    </w:lvl>
    <w:lvl w:ilvl="2">
      <w:start w:val="1"/>
      <w:numFmt w:val="bullet"/>
      <w:lvlText w:val="•"/>
      <w:lvlJc w:val="left"/>
      <w:pPr>
        <w:ind w:left="4468" w:hanging="567"/>
      </w:pPr>
      <w:rPr>
        <w:rFonts w:hint="default"/>
      </w:rPr>
    </w:lvl>
    <w:lvl w:ilvl="3">
      <w:start w:val="1"/>
      <w:numFmt w:val="bullet"/>
      <w:lvlText w:val="•"/>
      <w:lvlJc w:val="left"/>
      <w:pPr>
        <w:ind w:left="5503" w:hanging="567"/>
      </w:pPr>
      <w:rPr>
        <w:rFonts w:hint="default"/>
      </w:rPr>
    </w:lvl>
    <w:lvl w:ilvl="4">
      <w:start w:val="1"/>
      <w:numFmt w:val="bullet"/>
      <w:lvlText w:val="•"/>
      <w:lvlJc w:val="left"/>
      <w:pPr>
        <w:ind w:left="6537" w:hanging="567"/>
      </w:pPr>
      <w:rPr>
        <w:rFonts w:hint="default"/>
      </w:rPr>
    </w:lvl>
    <w:lvl w:ilvl="5">
      <w:start w:val="1"/>
      <w:numFmt w:val="bullet"/>
      <w:lvlText w:val="•"/>
      <w:lvlJc w:val="left"/>
      <w:pPr>
        <w:ind w:left="7572" w:hanging="567"/>
      </w:pPr>
      <w:rPr>
        <w:rFonts w:hint="default"/>
      </w:rPr>
    </w:lvl>
    <w:lvl w:ilvl="6">
      <w:start w:val="1"/>
      <w:numFmt w:val="bullet"/>
      <w:lvlText w:val="•"/>
      <w:lvlJc w:val="left"/>
      <w:pPr>
        <w:ind w:left="8606" w:hanging="567"/>
      </w:pPr>
      <w:rPr>
        <w:rFonts w:hint="default"/>
      </w:rPr>
    </w:lvl>
    <w:lvl w:ilvl="7">
      <w:start w:val="1"/>
      <w:numFmt w:val="bullet"/>
      <w:lvlText w:val="•"/>
      <w:lvlJc w:val="left"/>
      <w:pPr>
        <w:ind w:left="9641" w:hanging="567"/>
      </w:pPr>
      <w:rPr>
        <w:rFonts w:hint="default"/>
      </w:rPr>
    </w:lvl>
    <w:lvl w:ilvl="8">
      <w:start w:val="1"/>
      <w:numFmt w:val="bullet"/>
      <w:lvlText w:val="•"/>
      <w:lvlJc w:val="left"/>
      <w:pPr>
        <w:ind w:left="10675" w:hanging="567"/>
      </w:pPr>
      <w:rPr>
        <w:rFonts w:hint="default"/>
      </w:rPr>
    </w:lvl>
  </w:abstractNum>
  <w:abstractNum w:abstractNumId="25">
    <w:multiLevelType w:val="hybridMultilevel"/>
    <w:lvl w:ilvl="0">
      <w:start w:val="2"/>
      <w:numFmt w:val="lowerLetter"/>
      <w:lvlText w:val="(%1)"/>
      <w:lvlJc w:val="left"/>
      <w:pPr>
        <w:ind w:left="2391" w:hanging="567"/>
        <w:jc w:val="left"/>
      </w:pPr>
      <w:rPr>
        <w:rFonts w:hint="default" w:ascii="Arial" w:hAnsi="Arial" w:eastAsia="Arial" w:cs="Arial"/>
        <w:spacing w:val="-1"/>
        <w:w w:val="99"/>
        <w:sz w:val="18"/>
        <w:szCs w:val="18"/>
      </w:rPr>
    </w:lvl>
    <w:lvl w:ilvl="1">
      <w:start w:val="1"/>
      <w:numFmt w:val="bullet"/>
      <w:lvlText w:val="•"/>
      <w:lvlJc w:val="left"/>
      <w:pPr>
        <w:ind w:left="3434" w:hanging="567"/>
      </w:pPr>
      <w:rPr>
        <w:rFonts w:hint="default"/>
      </w:rPr>
    </w:lvl>
    <w:lvl w:ilvl="2">
      <w:start w:val="1"/>
      <w:numFmt w:val="bullet"/>
      <w:lvlText w:val="•"/>
      <w:lvlJc w:val="left"/>
      <w:pPr>
        <w:ind w:left="4468" w:hanging="567"/>
      </w:pPr>
      <w:rPr>
        <w:rFonts w:hint="default"/>
      </w:rPr>
    </w:lvl>
    <w:lvl w:ilvl="3">
      <w:start w:val="1"/>
      <w:numFmt w:val="bullet"/>
      <w:lvlText w:val="•"/>
      <w:lvlJc w:val="left"/>
      <w:pPr>
        <w:ind w:left="5503" w:hanging="567"/>
      </w:pPr>
      <w:rPr>
        <w:rFonts w:hint="default"/>
      </w:rPr>
    </w:lvl>
    <w:lvl w:ilvl="4">
      <w:start w:val="1"/>
      <w:numFmt w:val="bullet"/>
      <w:lvlText w:val="•"/>
      <w:lvlJc w:val="left"/>
      <w:pPr>
        <w:ind w:left="6537" w:hanging="567"/>
      </w:pPr>
      <w:rPr>
        <w:rFonts w:hint="default"/>
      </w:rPr>
    </w:lvl>
    <w:lvl w:ilvl="5">
      <w:start w:val="1"/>
      <w:numFmt w:val="bullet"/>
      <w:lvlText w:val="•"/>
      <w:lvlJc w:val="left"/>
      <w:pPr>
        <w:ind w:left="7572" w:hanging="567"/>
      </w:pPr>
      <w:rPr>
        <w:rFonts w:hint="default"/>
      </w:rPr>
    </w:lvl>
    <w:lvl w:ilvl="6">
      <w:start w:val="1"/>
      <w:numFmt w:val="bullet"/>
      <w:lvlText w:val="•"/>
      <w:lvlJc w:val="left"/>
      <w:pPr>
        <w:ind w:left="8606" w:hanging="567"/>
      </w:pPr>
      <w:rPr>
        <w:rFonts w:hint="default"/>
      </w:rPr>
    </w:lvl>
    <w:lvl w:ilvl="7">
      <w:start w:val="1"/>
      <w:numFmt w:val="bullet"/>
      <w:lvlText w:val="•"/>
      <w:lvlJc w:val="left"/>
      <w:pPr>
        <w:ind w:left="9641" w:hanging="567"/>
      </w:pPr>
      <w:rPr>
        <w:rFonts w:hint="default"/>
      </w:rPr>
    </w:lvl>
    <w:lvl w:ilvl="8">
      <w:start w:val="1"/>
      <w:numFmt w:val="bullet"/>
      <w:lvlText w:val="•"/>
      <w:lvlJc w:val="left"/>
      <w:pPr>
        <w:ind w:left="10675" w:hanging="567"/>
      </w:pPr>
      <w:rPr>
        <w:rFonts w:hint="default"/>
      </w:rPr>
    </w:lvl>
  </w:abstractNum>
  <w:abstractNum w:abstractNumId="24">
    <w:multiLevelType w:val="hybridMultilevel"/>
    <w:lvl w:ilvl="0">
      <w:start w:val="26"/>
      <w:numFmt w:val="decimal"/>
      <w:lvlText w:val="%1"/>
      <w:lvlJc w:val="left"/>
      <w:pPr>
        <w:ind w:left="1825" w:hanging="396"/>
        <w:jc w:val="left"/>
      </w:pPr>
      <w:rPr>
        <w:rFonts w:hint="default" w:ascii="Arial" w:hAnsi="Arial" w:eastAsia="Arial" w:cs="Arial"/>
        <w:b/>
        <w:bCs/>
        <w:spacing w:val="-1"/>
        <w:w w:val="99"/>
        <w:sz w:val="18"/>
        <w:szCs w:val="18"/>
      </w:rPr>
    </w:lvl>
    <w:lvl w:ilvl="1">
      <w:start w:val="1"/>
      <w:numFmt w:val="lowerLetter"/>
      <w:lvlText w:val="(%2)"/>
      <w:lvlJc w:val="left"/>
      <w:pPr>
        <w:ind w:left="2391" w:hanging="567"/>
        <w:jc w:val="left"/>
      </w:pPr>
      <w:rPr>
        <w:rFonts w:hint="default" w:ascii="Arial" w:hAnsi="Arial" w:eastAsia="Arial" w:cs="Arial"/>
        <w:spacing w:val="-1"/>
        <w:w w:val="99"/>
        <w:sz w:val="18"/>
        <w:szCs w:val="18"/>
      </w:rPr>
    </w:lvl>
    <w:lvl w:ilvl="2">
      <w:start w:val="1"/>
      <w:numFmt w:val="bullet"/>
      <w:lvlText w:val="•"/>
      <w:lvlJc w:val="left"/>
      <w:pPr>
        <w:ind w:left="3549" w:hanging="567"/>
      </w:pPr>
      <w:rPr>
        <w:rFonts w:hint="default"/>
      </w:rPr>
    </w:lvl>
    <w:lvl w:ilvl="3">
      <w:start w:val="1"/>
      <w:numFmt w:val="bullet"/>
      <w:lvlText w:val="•"/>
      <w:lvlJc w:val="left"/>
      <w:pPr>
        <w:ind w:left="4698" w:hanging="567"/>
      </w:pPr>
      <w:rPr>
        <w:rFonts w:hint="default"/>
      </w:rPr>
    </w:lvl>
    <w:lvl w:ilvl="4">
      <w:start w:val="1"/>
      <w:numFmt w:val="bullet"/>
      <w:lvlText w:val="•"/>
      <w:lvlJc w:val="left"/>
      <w:pPr>
        <w:ind w:left="5848" w:hanging="567"/>
      </w:pPr>
      <w:rPr>
        <w:rFonts w:hint="default"/>
      </w:rPr>
    </w:lvl>
    <w:lvl w:ilvl="5">
      <w:start w:val="1"/>
      <w:numFmt w:val="bullet"/>
      <w:lvlText w:val="•"/>
      <w:lvlJc w:val="left"/>
      <w:pPr>
        <w:ind w:left="6997" w:hanging="567"/>
      </w:pPr>
      <w:rPr>
        <w:rFonts w:hint="default"/>
      </w:rPr>
    </w:lvl>
    <w:lvl w:ilvl="6">
      <w:start w:val="1"/>
      <w:numFmt w:val="bullet"/>
      <w:lvlText w:val="•"/>
      <w:lvlJc w:val="left"/>
      <w:pPr>
        <w:ind w:left="8146" w:hanging="567"/>
      </w:pPr>
      <w:rPr>
        <w:rFonts w:hint="default"/>
      </w:rPr>
    </w:lvl>
    <w:lvl w:ilvl="7">
      <w:start w:val="1"/>
      <w:numFmt w:val="bullet"/>
      <w:lvlText w:val="•"/>
      <w:lvlJc w:val="left"/>
      <w:pPr>
        <w:ind w:left="9296" w:hanging="567"/>
      </w:pPr>
      <w:rPr>
        <w:rFonts w:hint="default"/>
      </w:rPr>
    </w:lvl>
    <w:lvl w:ilvl="8">
      <w:start w:val="1"/>
      <w:numFmt w:val="bullet"/>
      <w:lvlText w:val="•"/>
      <w:lvlJc w:val="left"/>
      <w:pPr>
        <w:ind w:left="10445" w:hanging="567"/>
      </w:pPr>
      <w:rPr>
        <w:rFonts w:hint="default"/>
      </w:rPr>
    </w:lvl>
  </w:abstractNum>
  <w:abstractNum w:abstractNumId="23">
    <w:multiLevelType w:val="hybridMultilevel"/>
    <w:lvl w:ilvl="0">
      <w:start w:val="1"/>
      <w:numFmt w:val="lowerRoman"/>
      <w:lvlText w:val="(%1)"/>
      <w:lvlJc w:val="left"/>
      <w:pPr>
        <w:ind w:left="2107" w:hanging="282"/>
        <w:jc w:val="left"/>
      </w:pPr>
      <w:rPr>
        <w:rFonts w:hint="default" w:ascii="Arial" w:hAnsi="Arial" w:eastAsia="Arial" w:cs="Arial"/>
        <w:spacing w:val="-1"/>
        <w:w w:val="99"/>
        <w:sz w:val="18"/>
        <w:szCs w:val="18"/>
      </w:rPr>
    </w:lvl>
    <w:lvl w:ilvl="1">
      <w:start w:val="1"/>
      <w:numFmt w:val="bullet"/>
      <w:lvlText w:val="•"/>
      <w:lvlJc w:val="left"/>
      <w:pPr>
        <w:ind w:left="3164" w:hanging="282"/>
      </w:pPr>
      <w:rPr>
        <w:rFonts w:hint="default"/>
      </w:rPr>
    </w:lvl>
    <w:lvl w:ilvl="2">
      <w:start w:val="1"/>
      <w:numFmt w:val="bullet"/>
      <w:lvlText w:val="•"/>
      <w:lvlJc w:val="left"/>
      <w:pPr>
        <w:ind w:left="4228" w:hanging="282"/>
      </w:pPr>
      <w:rPr>
        <w:rFonts w:hint="default"/>
      </w:rPr>
    </w:lvl>
    <w:lvl w:ilvl="3">
      <w:start w:val="1"/>
      <w:numFmt w:val="bullet"/>
      <w:lvlText w:val="•"/>
      <w:lvlJc w:val="left"/>
      <w:pPr>
        <w:ind w:left="5293" w:hanging="282"/>
      </w:pPr>
      <w:rPr>
        <w:rFonts w:hint="default"/>
      </w:rPr>
    </w:lvl>
    <w:lvl w:ilvl="4">
      <w:start w:val="1"/>
      <w:numFmt w:val="bullet"/>
      <w:lvlText w:val="•"/>
      <w:lvlJc w:val="left"/>
      <w:pPr>
        <w:ind w:left="6357" w:hanging="282"/>
      </w:pPr>
      <w:rPr>
        <w:rFonts w:hint="default"/>
      </w:rPr>
    </w:lvl>
    <w:lvl w:ilvl="5">
      <w:start w:val="1"/>
      <w:numFmt w:val="bullet"/>
      <w:lvlText w:val="•"/>
      <w:lvlJc w:val="left"/>
      <w:pPr>
        <w:ind w:left="7422" w:hanging="282"/>
      </w:pPr>
      <w:rPr>
        <w:rFonts w:hint="default"/>
      </w:rPr>
    </w:lvl>
    <w:lvl w:ilvl="6">
      <w:start w:val="1"/>
      <w:numFmt w:val="bullet"/>
      <w:lvlText w:val="•"/>
      <w:lvlJc w:val="left"/>
      <w:pPr>
        <w:ind w:left="8486" w:hanging="282"/>
      </w:pPr>
      <w:rPr>
        <w:rFonts w:hint="default"/>
      </w:rPr>
    </w:lvl>
    <w:lvl w:ilvl="7">
      <w:start w:val="1"/>
      <w:numFmt w:val="bullet"/>
      <w:lvlText w:val="•"/>
      <w:lvlJc w:val="left"/>
      <w:pPr>
        <w:ind w:left="9551" w:hanging="282"/>
      </w:pPr>
      <w:rPr>
        <w:rFonts w:hint="default"/>
      </w:rPr>
    </w:lvl>
    <w:lvl w:ilvl="8">
      <w:start w:val="1"/>
      <w:numFmt w:val="bullet"/>
      <w:lvlText w:val="•"/>
      <w:lvlJc w:val="left"/>
      <w:pPr>
        <w:ind w:left="10615" w:hanging="282"/>
      </w:pPr>
      <w:rPr>
        <w:rFonts w:hint="default"/>
      </w:rPr>
    </w:lvl>
  </w:abstractNum>
  <w:abstractNum w:abstractNumId="21">
    <w:multiLevelType w:val="hybridMultilevel"/>
    <w:lvl w:ilvl="0">
      <w:start w:val="19"/>
      <w:numFmt w:val="decimal"/>
      <w:lvlText w:val="%1"/>
      <w:lvlJc w:val="left"/>
      <w:pPr>
        <w:ind w:left="1825" w:hanging="396"/>
        <w:jc w:val="right"/>
      </w:pPr>
      <w:rPr>
        <w:rFonts w:hint="default" w:ascii="Arial" w:hAnsi="Arial" w:eastAsia="Arial" w:cs="Arial"/>
        <w:b/>
        <w:bCs/>
        <w:spacing w:val="-1"/>
        <w:w w:val="99"/>
        <w:sz w:val="18"/>
        <w:szCs w:val="18"/>
      </w:rPr>
    </w:lvl>
    <w:lvl w:ilvl="1">
      <w:start w:val="1"/>
      <w:numFmt w:val="bullet"/>
      <w:lvlText w:val="•"/>
      <w:lvlJc w:val="left"/>
      <w:pPr>
        <w:ind w:left="2912" w:hanging="396"/>
      </w:pPr>
      <w:rPr>
        <w:rFonts w:hint="default"/>
      </w:rPr>
    </w:lvl>
    <w:lvl w:ilvl="2">
      <w:start w:val="1"/>
      <w:numFmt w:val="bullet"/>
      <w:lvlText w:val="•"/>
      <w:lvlJc w:val="left"/>
      <w:pPr>
        <w:ind w:left="4004" w:hanging="396"/>
      </w:pPr>
      <w:rPr>
        <w:rFonts w:hint="default"/>
      </w:rPr>
    </w:lvl>
    <w:lvl w:ilvl="3">
      <w:start w:val="1"/>
      <w:numFmt w:val="bullet"/>
      <w:lvlText w:val="•"/>
      <w:lvlJc w:val="left"/>
      <w:pPr>
        <w:ind w:left="5097" w:hanging="396"/>
      </w:pPr>
      <w:rPr>
        <w:rFonts w:hint="default"/>
      </w:rPr>
    </w:lvl>
    <w:lvl w:ilvl="4">
      <w:start w:val="1"/>
      <w:numFmt w:val="bullet"/>
      <w:lvlText w:val="•"/>
      <w:lvlJc w:val="left"/>
      <w:pPr>
        <w:ind w:left="6189" w:hanging="396"/>
      </w:pPr>
      <w:rPr>
        <w:rFonts w:hint="default"/>
      </w:rPr>
    </w:lvl>
    <w:lvl w:ilvl="5">
      <w:start w:val="1"/>
      <w:numFmt w:val="bullet"/>
      <w:lvlText w:val="•"/>
      <w:lvlJc w:val="left"/>
      <w:pPr>
        <w:ind w:left="7282" w:hanging="396"/>
      </w:pPr>
      <w:rPr>
        <w:rFonts w:hint="default"/>
      </w:rPr>
    </w:lvl>
    <w:lvl w:ilvl="6">
      <w:start w:val="1"/>
      <w:numFmt w:val="bullet"/>
      <w:lvlText w:val="•"/>
      <w:lvlJc w:val="left"/>
      <w:pPr>
        <w:ind w:left="8374" w:hanging="396"/>
      </w:pPr>
      <w:rPr>
        <w:rFonts w:hint="default"/>
      </w:rPr>
    </w:lvl>
    <w:lvl w:ilvl="7">
      <w:start w:val="1"/>
      <w:numFmt w:val="bullet"/>
      <w:lvlText w:val="•"/>
      <w:lvlJc w:val="left"/>
      <w:pPr>
        <w:ind w:left="9467" w:hanging="396"/>
      </w:pPr>
      <w:rPr>
        <w:rFonts w:hint="default"/>
      </w:rPr>
    </w:lvl>
    <w:lvl w:ilvl="8">
      <w:start w:val="1"/>
      <w:numFmt w:val="bullet"/>
      <w:lvlText w:val="•"/>
      <w:lvlJc w:val="left"/>
      <w:pPr>
        <w:ind w:left="10559" w:hanging="396"/>
      </w:pPr>
      <w:rPr>
        <w:rFonts w:hint="default"/>
      </w:rPr>
    </w:lvl>
  </w:abstractNum>
  <w:abstractNum w:abstractNumId="20">
    <w:multiLevelType w:val="hybridMultilevel"/>
    <w:lvl w:ilvl="0">
      <w:start w:val="1"/>
      <w:numFmt w:val="lowerLetter"/>
      <w:lvlText w:val="(%1)"/>
      <w:lvlJc w:val="left"/>
      <w:pPr>
        <w:ind w:left="2391" w:hanging="567"/>
        <w:jc w:val="left"/>
      </w:pPr>
      <w:rPr>
        <w:rFonts w:hint="default" w:ascii="Arial" w:hAnsi="Arial" w:eastAsia="Arial" w:cs="Arial"/>
        <w:spacing w:val="-1"/>
        <w:w w:val="99"/>
        <w:sz w:val="18"/>
        <w:szCs w:val="18"/>
      </w:rPr>
    </w:lvl>
    <w:lvl w:ilvl="1">
      <w:start w:val="1"/>
      <w:numFmt w:val="bullet"/>
      <w:lvlText w:val="•"/>
      <w:lvlJc w:val="left"/>
      <w:pPr>
        <w:ind w:left="3434" w:hanging="567"/>
      </w:pPr>
      <w:rPr>
        <w:rFonts w:hint="default"/>
      </w:rPr>
    </w:lvl>
    <w:lvl w:ilvl="2">
      <w:start w:val="1"/>
      <w:numFmt w:val="bullet"/>
      <w:lvlText w:val="•"/>
      <w:lvlJc w:val="left"/>
      <w:pPr>
        <w:ind w:left="4468" w:hanging="567"/>
      </w:pPr>
      <w:rPr>
        <w:rFonts w:hint="default"/>
      </w:rPr>
    </w:lvl>
    <w:lvl w:ilvl="3">
      <w:start w:val="1"/>
      <w:numFmt w:val="bullet"/>
      <w:lvlText w:val="•"/>
      <w:lvlJc w:val="left"/>
      <w:pPr>
        <w:ind w:left="5503" w:hanging="567"/>
      </w:pPr>
      <w:rPr>
        <w:rFonts w:hint="default"/>
      </w:rPr>
    </w:lvl>
    <w:lvl w:ilvl="4">
      <w:start w:val="1"/>
      <w:numFmt w:val="bullet"/>
      <w:lvlText w:val="•"/>
      <w:lvlJc w:val="left"/>
      <w:pPr>
        <w:ind w:left="6537" w:hanging="567"/>
      </w:pPr>
      <w:rPr>
        <w:rFonts w:hint="default"/>
      </w:rPr>
    </w:lvl>
    <w:lvl w:ilvl="5">
      <w:start w:val="1"/>
      <w:numFmt w:val="bullet"/>
      <w:lvlText w:val="•"/>
      <w:lvlJc w:val="left"/>
      <w:pPr>
        <w:ind w:left="7572" w:hanging="567"/>
      </w:pPr>
      <w:rPr>
        <w:rFonts w:hint="default"/>
      </w:rPr>
    </w:lvl>
    <w:lvl w:ilvl="6">
      <w:start w:val="1"/>
      <w:numFmt w:val="bullet"/>
      <w:lvlText w:val="•"/>
      <w:lvlJc w:val="left"/>
      <w:pPr>
        <w:ind w:left="8606" w:hanging="567"/>
      </w:pPr>
      <w:rPr>
        <w:rFonts w:hint="default"/>
      </w:rPr>
    </w:lvl>
    <w:lvl w:ilvl="7">
      <w:start w:val="1"/>
      <w:numFmt w:val="bullet"/>
      <w:lvlText w:val="•"/>
      <w:lvlJc w:val="left"/>
      <w:pPr>
        <w:ind w:left="9641" w:hanging="567"/>
      </w:pPr>
      <w:rPr>
        <w:rFonts w:hint="default"/>
      </w:rPr>
    </w:lvl>
    <w:lvl w:ilvl="8">
      <w:start w:val="1"/>
      <w:numFmt w:val="bullet"/>
      <w:lvlText w:val="•"/>
      <w:lvlJc w:val="left"/>
      <w:pPr>
        <w:ind w:left="10675" w:hanging="567"/>
      </w:pPr>
      <w:rPr>
        <w:rFonts w:hint="default"/>
      </w:rPr>
    </w:lvl>
  </w:abstractNum>
  <w:abstractNum w:abstractNumId="18">
    <w:multiLevelType w:val="hybridMultilevel"/>
    <w:lvl w:ilvl="0">
      <w:start w:val="7"/>
      <w:numFmt w:val="lowerLetter"/>
      <w:lvlText w:val="(%1)"/>
      <w:lvlJc w:val="left"/>
      <w:pPr>
        <w:ind w:left="2391" w:hanging="567"/>
        <w:jc w:val="left"/>
      </w:pPr>
      <w:rPr>
        <w:rFonts w:hint="default" w:ascii="Arial" w:hAnsi="Arial" w:eastAsia="Arial" w:cs="Arial"/>
        <w:spacing w:val="-1"/>
        <w:w w:val="99"/>
        <w:sz w:val="18"/>
        <w:szCs w:val="18"/>
      </w:rPr>
    </w:lvl>
    <w:lvl w:ilvl="1">
      <w:start w:val="1"/>
      <w:numFmt w:val="bullet"/>
      <w:lvlText w:val="•"/>
      <w:lvlJc w:val="left"/>
      <w:pPr>
        <w:ind w:left="3434" w:hanging="567"/>
      </w:pPr>
      <w:rPr>
        <w:rFonts w:hint="default"/>
      </w:rPr>
    </w:lvl>
    <w:lvl w:ilvl="2">
      <w:start w:val="1"/>
      <w:numFmt w:val="bullet"/>
      <w:lvlText w:val="•"/>
      <w:lvlJc w:val="left"/>
      <w:pPr>
        <w:ind w:left="4468" w:hanging="567"/>
      </w:pPr>
      <w:rPr>
        <w:rFonts w:hint="default"/>
      </w:rPr>
    </w:lvl>
    <w:lvl w:ilvl="3">
      <w:start w:val="1"/>
      <w:numFmt w:val="bullet"/>
      <w:lvlText w:val="•"/>
      <w:lvlJc w:val="left"/>
      <w:pPr>
        <w:ind w:left="5503" w:hanging="567"/>
      </w:pPr>
      <w:rPr>
        <w:rFonts w:hint="default"/>
      </w:rPr>
    </w:lvl>
    <w:lvl w:ilvl="4">
      <w:start w:val="1"/>
      <w:numFmt w:val="bullet"/>
      <w:lvlText w:val="•"/>
      <w:lvlJc w:val="left"/>
      <w:pPr>
        <w:ind w:left="6537" w:hanging="567"/>
      </w:pPr>
      <w:rPr>
        <w:rFonts w:hint="default"/>
      </w:rPr>
    </w:lvl>
    <w:lvl w:ilvl="5">
      <w:start w:val="1"/>
      <w:numFmt w:val="bullet"/>
      <w:lvlText w:val="•"/>
      <w:lvlJc w:val="left"/>
      <w:pPr>
        <w:ind w:left="7572" w:hanging="567"/>
      </w:pPr>
      <w:rPr>
        <w:rFonts w:hint="default"/>
      </w:rPr>
    </w:lvl>
    <w:lvl w:ilvl="6">
      <w:start w:val="1"/>
      <w:numFmt w:val="bullet"/>
      <w:lvlText w:val="•"/>
      <w:lvlJc w:val="left"/>
      <w:pPr>
        <w:ind w:left="8606" w:hanging="567"/>
      </w:pPr>
      <w:rPr>
        <w:rFonts w:hint="default"/>
      </w:rPr>
    </w:lvl>
    <w:lvl w:ilvl="7">
      <w:start w:val="1"/>
      <w:numFmt w:val="bullet"/>
      <w:lvlText w:val="•"/>
      <w:lvlJc w:val="left"/>
      <w:pPr>
        <w:ind w:left="9641" w:hanging="567"/>
      </w:pPr>
      <w:rPr>
        <w:rFonts w:hint="default"/>
      </w:rPr>
    </w:lvl>
    <w:lvl w:ilvl="8">
      <w:start w:val="1"/>
      <w:numFmt w:val="bullet"/>
      <w:lvlText w:val="•"/>
      <w:lvlJc w:val="left"/>
      <w:pPr>
        <w:ind w:left="10675" w:hanging="567"/>
      </w:pPr>
      <w:rPr>
        <w:rFonts w:hint="default"/>
      </w:rPr>
    </w:lvl>
  </w:abstractNum>
  <w:abstractNum w:abstractNumId="17">
    <w:multiLevelType w:val="hybridMultilevel"/>
    <w:lvl w:ilvl="0">
      <w:start w:val="1"/>
      <w:numFmt w:val="decimal"/>
      <w:lvlText w:val="%1"/>
      <w:lvlJc w:val="left"/>
      <w:pPr>
        <w:ind w:left="1824" w:hanging="395"/>
        <w:jc w:val="left"/>
      </w:pPr>
      <w:rPr>
        <w:rFonts w:hint="default" w:ascii="Arial" w:hAnsi="Arial" w:eastAsia="Arial" w:cs="Arial"/>
        <w:b/>
        <w:bCs/>
        <w:w w:val="99"/>
        <w:sz w:val="18"/>
        <w:szCs w:val="18"/>
      </w:rPr>
    </w:lvl>
    <w:lvl w:ilvl="1">
      <w:start w:val="1"/>
      <w:numFmt w:val="lowerLetter"/>
      <w:lvlText w:val="(%2)"/>
      <w:lvlJc w:val="left"/>
      <w:pPr>
        <w:ind w:left="2391" w:hanging="567"/>
        <w:jc w:val="left"/>
      </w:pPr>
      <w:rPr>
        <w:rFonts w:hint="default" w:ascii="Arial" w:hAnsi="Arial" w:eastAsia="Arial" w:cs="Arial"/>
        <w:spacing w:val="-1"/>
        <w:w w:val="99"/>
        <w:sz w:val="18"/>
        <w:szCs w:val="18"/>
      </w:rPr>
    </w:lvl>
    <w:lvl w:ilvl="2">
      <w:start w:val="1"/>
      <w:numFmt w:val="bullet"/>
      <w:lvlText w:val="•"/>
      <w:lvlJc w:val="left"/>
      <w:pPr>
        <w:ind w:left="3549" w:hanging="567"/>
      </w:pPr>
      <w:rPr>
        <w:rFonts w:hint="default"/>
      </w:rPr>
    </w:lvl>
    <w:lvl w:ilvl="3">
      <w:start w:val="1"/>
      <w:numFmt w:val="bullet"/>
      <w:lvlText w:val="•"/>
      <w:lvlJc w:val="left"/>
      <w:pPr>
        <w:ind w:left="4698" w:hanging="567"/>
      </w:pPr>
      <w:rPr>
        <w:rFonts w:hint="default"/>
      </w:rPr>
    </w:lvl>
    <w:lvl w:ilvl="4">
      <w:start w:val="1"/>
      <w:numFmt w:val="bullet"/>
      <w:lvlText w:val="•"/>
      <w:lvlJc w:val="left"/>
      <w:pPr>
        <w:ind w:left="5848" w:hanging="567"/>
      </w:pPr>
      <w:rPr>
        <w:rFonts w:hint="default"/>
      </w:rPr>
    </w:lvl>
    <w:lvl w:ilvl="5">
      <w:start w:val="1"/>
      <w:numFmt w:val="bullet"/>
      <w:lvlText w:val="•"/>
      <w:lvlJc w:val="left"/>
      <w:pPr>
        <w:ind w:left="6997" w:hanging="567"/>
      </w:pPr>
      <w:rPr>
        <w:rFonts w:hint="default"/>
      </w:rPr>
    </w:lvl>
    <w:lvl w:ilvl="6">
      <w:start w:val="1"/>
      <w:numFmt w:val="bullet"/>
      <w:lvlText w:val="•"/>
      <w:lvlJc w:val="left"/>
      <w:pPr>
        <w:ind w:left="8146" w:hanging="567"/>
      </w:pPr>
      <w:rPr>
        <w:rFonts w:hint="default"/>
      </w:rPr>
    </w:lvl>
    <w:lvl w:ilvl="7">
      <w:start w:val="1"/>
      <w:numFmt w:val="bullet"/>
      <w:lvlText w:val="•"/>
      <w:lvlJc w:val="left"/>
      <w:pPr>
        <w:ind w:left="9296" w:hanging="567"/>
      </w:pPr>
      <w:rPr>
        <w:rFonts w:hint="default"/>
      </w:rPr>
    </w:lvl>
    <w:lvl w:ilvl="8">
      <w:start w:val="1"/>
      <w:numFmt w:val="bullet"/>
      <w:lvlText w:val="•"/>
      <w:lvlJc w:val="left"/>
      <w:pPr>
        <w:ind w:left="10445" w:hanging="567"/>
      </w:pPr>
      <w:rPr>
        <w:rFonts w:hint="default"/>
      </w:rPr>
    </w:lvl>
  </w:abstractNum>
  <w:abstractNum w:abstractNumId="16">
    <w:multiLevelType w:val="hybridMultilevel"/>
    <w:lvl w:ilvl="0">
      <w:start w:val="5"/>
      <w:numFmt w:val="lowerRoman"/>
      <w:lvlText w:val="(%1)"/>
      <w:lvlJc w:val="left"/>
      <w:pPr>
        <w:ind w:left="2089" w:hanging="266"/>
        <w:jc w:val="left"/>
      </w:pPr>
      <w:rPr>
        <w:rFonts w:hint="default" w:ascii="Arial" w:hAnsi="Arial" w:eastAsia="Arial" w:cs="Arial"/>
        <w:b/>
        <w:bCs/>
        <w:spacing w:val="-5"/>
        <w:w w:val="99"/>
        <w:sz w:val="18"/>
        <w:szCs w:val="18"/>
      </w:rPr>
    </w:lvl>
    <w:lvl w:ilvl="1">
      <w:start w:val="1"/>
      <w:numFmt w:val="bullet"/>
      <w:lvlText w:val="•"/>
      <w:lvlJc w:val="left"/>
      <w:pPr>
        <w:ind w:left="3146" w:hanging="266"/>
      </w:pPr>
      <w:rPr>
        <w:rFonts w:hint="default"/>
      </w:rPr>
    </w:lvl>
    <w:lvl w:ilvl="2">
      <w:start w:val="1"/>
      <w:numFmt w:val="bullet"/>
      <w:lvlText w:val="•"/>
      <w:lvlJc w:val="left"/>
      <w:pPr>
        <w:ind w:left="4212" w:hanging="266"/>
      </w:pPr>
      <w:rPr>
        <w:rFonts w:hint="default"/>
      </w:rPr>
    </w:lvl>
    <w:lvl w:ilvl="3">
      <w:start w:val="1"/>
      <w:numFmt w:val="bullet"/>
      <w:lvlText w:val="•"/>
      <w:lvlJc w:val="left"/>
      <w:pPr>
        <w:ind w:left="5279" w:hanging="266"/>
      </w:pPr>
      <w:rPr>
        <w:rFonts w:hint="default"/>
      </w:rPr>
    </w:lvl>
    <w:lvl w:ilvl="4">
      <w:start w:val="1"/>
      <w:numFmt w:val="bullet"/>
      <w:lvlText w:val="•"/>
      <w:lvlJc w:val="left"/>
      <w:pPr>
        <w:ind w:left="6345" w:hanging="266"/>
      </w:pPr>
      <w:rPr>
        <w:rFonts w:hint="default"/>
      </w:rPr>
    </w:lvl>
    <w:lvl w:ilvl="5">
      <w:start w:val="1"/>
      <w:numFmt w:val="bullet"/>
      <w:lvlText w:val="•"/>
      <w:lvlJc w:val="left"/>
      <w:pPr>
        <w:ind w:left="7412" w:hanging="266"/>
      </w:pPr>
      <w:rPr>
        <w:rFonts w:hint="default"/>
      </w:rPr>
    </w:lvl>
    <w:lvl w:ilvl="6">
      <w:start w:val="1"/>
      <w:numFmt w:val="bullet"/>
      <w:lvlText w:val="•"/>
      <w:lvlJc w:val="left"/>
      <w:pPr>
        <w:ind w:left="8478" w:hanging="266"/>
      </w:pPr>
      <w:rPr>
        <w:rFonts w:hint="default"/>
      </w:rPr>
    </w:lvl>
    <w:lvl w:ilvl="7">
      <w:start w:val="1"/>
      <w:numFmt w:val="bullet"/>
      <w:lvlText w:val="•"/>
      <w:lvlJc w:val="left"/>
      <w:pPr>
        <w:ind w:left="9545" w:hanging="266"/>
      </w:pPr>
      <w:rPr>
        <w:rFonts w:hint="default"/>
      </w:rPr>
    </w:lvl>
    <w:lvl w:ilvl="8">
      <w:start w:val="1"/>
      <w:numFmt w:val="bullet"/>
      <w:lvlText w:val="•"/>
      <w:lvlJc w:val="left"/>
      <w:pPr>
        <w:ind w:left="10611" w:hanging="266"/>
      </w:pPr>
      <w:rPr>
        <w:rFonts w:hint="default"/>
      </w:rPr>
    </w:lvl>
  </w:abstractNum>
  <w:abstractNum w:abstractNumId="15">
    <w:multiLevelType w:val="hybridMultilevel"/>
    <w:lvl w:ilvl="0">
      <w:start w:val="24"/>
      <w:numFmt w:val="lowerLetter"/>
      <w:lvlText w:val="(%1)"/>
      <w:lvlJc w:val="left"/>
      <w:pPr>
        <w:ind w:left="2390" w:hanging="567"/>
        <w:jc w:val="left"/>
      </w:pPr>
      <w:rPr>
        <w:rFonts w:hint="default" w:ascii="Arial" w:hAnsi="Arial" w:eastAsia="Arial" w:cs="Arial"/>
        <w:b/>
        <w:bCs/>
        <w:spacing w:val="-1"/>
        <w:w w:val="99"/>
        <w:sz w:val="18"/>
        <w:szCs w:val="18"/>
      </w:rPr>
    </w:lvl>
    <w:lvl w:ilvl="1">
      <w:start w:val="1"/>
      <w:numFmt w:val="bullet"/>
      <w:lvlText w:val="•"/>
      <w:lvlJc w:val="left"/>
      <w:pPr>
        <w:ind w:left="3434" w:hanging="567"/>
      </w:pPr>
      <w:rPr>
        <w:rFonts w:hint="default"/>
      </w:rPr>
    </w:lvl>
    <w:lvl w:ilvl="2">
      <w:start w:val="1"/>
      <w:numFmt w:val="bullet"/>
      <w:lvlText w:val="•"/>
      <w:lvlJc w:val="left"/>
      <w:pPr>
        <w:ind w:left="4468" w:hanging="567"/>
      </w:pPr>
      <w:rPr>
        <w:rFonts w:hint="default"/>
      </w:rPr>
    </w:lvl>
    <w:lvl w:ilvl="3">
      <w:start w:val="1"/>
      <w:numFmt w:val="bullet"/>
      <w:lvlText w:val="•"/>
      <w:lvlJc w:val="left"/>
      <w:pPr>
        <w:ind w:left="5503" w:hanging="567"/>
      </w:pPr>
      <w:rPr>
        <w:rFonts w:hint="default"/>
      </w:rPr>
    </w:lvl>
    <w:lvl w:ilvl="4">
      <w:start w:val="1"/>
      <w:numFmt w:val="bullet"/>
      <w:lvlText w:val="•"/>
      <w:lvlJc w:val="left"/>
      <w:pPr>
        <w:ind w:left="6537" w:hanging="567"/>
      </w:pPr>
      <w:rPr>
        <w:rFonts w:hint="default"/>
      </w:rPr>
    </w:lvl>
    <w:lvl w:ilvl="5">
      <w:start w:val="1"/>
      <w:numFmt w:val="bullet"/>
      <w:lvlText w:val="•"/>
      <w:lvlJc w:val="left"/>
      <w:pPr>
        <w:ind w:left="7572" w:hanging="567"/>
      </w:pPr>
      <w:rPr>
        <w:rFonts w:hint="default"/>
      </w:rPr>
    </w:lvl>
    <w:lvl w:ilvl="6">
      <w:start w:val="1"/>
      <w:numFmt w:val="bullet"/>
      <w:lvlText w:val="•"/>
      <w:lvlJc w:val="left"/>
      <w:pPr>
        <w:ind w:left="8606" w:hanging="567"/>
      </w:pPr>
      <w:rPr>
        <w:rFonts w:hint="default"/>
      </w:rPr>
    </w:lvl>
    <w:lvl w:ilvl="7">
      <w:start w:val="1"/>
      <w:numFmt w:val="bullet"/>
      <w:lvlText w:val="•"/>
      <w:lvlJc w:val="left"/>
      <w:pPr>
        <w:ind w:left="9641" w:hanging="567"/>
      </w:pPr>
      <w:rPr>
        <w:rFonts w:hint="default"/>
      </w:rPr>
    </w:lvl>
    <w:lvl w:ilvl="8">
      <w:start w:val="1"/>
      <w:numFmt w:val="bullet"/>
      <w:lvlText w:val="•"/>
      <w:lvlJc w:val="left"/>
      <w:pPr>
        <w:ind w:left="10675" w:hanging="567"/>
      </w:pPr>
      <w:rPr>
        <w:rFonts w:hint="default"/>
      </w:rPr>
    </w:lvl>
  </w:abstractNum>
  <w:abstractNum w:abstractNumId="14">
    <w:multiLevelType w:val="hybridMultilevel"/>
    <w:lvl w:ilvl="0">
      <w:start w:val="1"/>
      <w:numFmt w:val="lowerRoman"/>
      <w:lvlText w:val="(%1)"/>
      <w:lvlJc w:val="left"/>
      <w:pPr>
        <w:ind w:left="2044" w:hanging="221"/>
        <w:jc w:val="left"/>
      </w:pPr>
      <w:rPr>
        <w:rFonts w:hint="default" w:ascii="Arial" w:hAnsi="Arial" w:eastAsia="Arial" w:cs="Arial"/>
        <w:b/>
        <w:bCs/>
        <w:w w:val="99"/>
        <w:sz w:val="18"/>
        <w:szCs w:val="18"/>
      </w:rPr>
    </w:lvl>
    <w:lvl w:ilvl="1">
      <w:start w:val="1"/>
      <w:numFmt w:val="bullet"/>
      <w:lvlText w:val="•"/>
      <w:lvlJc w:val="left"/>
      <w:pPr>
        <w:ind w:left="3110" w:hanging="221"/>
      </w:pPr>
      <w:rPr>
        <w:rFonts w:hint="default"/>
      </w:rPr>
    </w:lvl>
    <w:lvl w:ilvl="2">
      <w:start w:val="1"/>
      <w:numFmt w:val="bullet"/>
      <w:lvlText w:val="•"/>
      <w:lvlJc w:val="left"/>
      <w:pPr>
        <w:ind w:left="4180" w:hanging="221"/>
      </w:pPr>
      <w:rPr>
        <w:rFonts w:hint="default"/>
      </w:rPr>
    </w:lvl>
    <w:lvl w:ilvl="3">
      <w:start w:val="1"/>
      <w:numFmt w:val="bullet"/>
      <w:lvlText w:val="•"/>
      <w:lvlJc w:val="left"/>
      <w:pPr>
        <w:ind w:left="5251" w:hanging="221"/>
      </w:pPr>
      <w:rPr>
        <w:rFonts w:hint="default"/>
      </w:rPr>
    </w:lvl>
    <w:lvl w:ilvl="4">
      <w:start w:val="1"/>
      <w:numFmt w:val="bullet"/>
      <w:lvlText w:val="•"/>
      <w:lvlJc w:val="left"/>
      <w:pPr>
        <w:ind w:left="6321" w:hanging="221"/>
      </w:pPr>
      <w:rPr>
        <w:rFonts w:hint="default"/>
      </w:rPr>
    </w:lvl>
    <w:lvl w:ilvl="5">
      <w:start w:val="1"/>
      <w:numFmt w:val="bullet"/>
      <w:lvlText w:val="•"/>
      <w:lvlJc w:val="left"/>
      <w:pPr>
        <w:ind w:left="7392" w:hanging="221"/>
      </w:pPr>
      <w:rPr>
        <w:rFonts w:hint="default"/>
      </w:rPr>
    </w:lvl>
    <w:lvl w:ilvl="6">
      <w:start w:val="1"/>
      <w:numFmt w:val="bullet"/>
      <w:lvlText w:val="•"/>
      <w:lvlJc w:val="left"/>
      <w:pPr>
        <w:ind w:left="8462" w:hanging="221"/>
      </w:pPr>
      <w:rPr>
        <w:rFonts w:hint="default"/>
      </w:rPr>
    </w:lvl>
    <w:lvl w:ilvl="7">
      <w:start w:val="1"/>
      <w:numFmt w:val="bullet"/>
      <w:lvlText w:val="•"/>
      <w:lvlJc w:val="left"/>
      <w:pPr>
        <w:ind w:left="9533" w:hanging="221"/>
      </w:pPr>
      <w:rPr>
        <w:rFonts w:hint="default"/>
      </w:rPr>
    </w:lvl>
    <w:lvl w:ilvl="8">
      <w:start w:val="1"/>
      <w:numFmt w:val="bullet"/>
      <w:lvlText w:val="•"/>
      <w:lvlJc w:val="left"/>
      <w:pPr>
        <w:ind w:left="10603" w:hanging="221"/>
      </w:pPr>
      <w:rPr>
        <w:rFonts w:hint="default"/>
      </w:rPr>
    </w:lvl>
  </w:abstractNum>
  <w:abstractNum w:abstractNumId="13">
    <w:multiLevelType w:val="hybridMultilevel"/>
    <w:lvl w:ilvl="0">
      <w:start w:val="19"/>
      <w:numFmt w:val="lowerLetter"/>
      <w:lvlText w:val="(%1)"/>
      <w:lvlJc w:val="left"/>
      <w:pPr>
        <w:ind w:left="2390" w:hanging="567"/>
        <w:jc w:val="left"/>
      </w:pPr>
      <w:rPr>
        <w:rFonts w:hint="default" w:ascii="Arial" w:hAnsi="Arial" w:eastAsia="Arial" w:cs="Arial"/>
        <w:b/>
        <w:bCs/>
        <w:spacing w:val="-1"/>
        <w:w w:val="99"/>
        <w:sz w:val="18"/>
        <w:szCs w:val="18"/>
      </w:rPr>
    </w:lvl>
    <w:lvl w:ilvl="1">
      <w:start w:val="1"/>
      <w:numFmt w:val="bullet"/>
      <w:lvlText w:val="•"/>
      <w:lvlJc w:val="left"/>
      <w:pPr>
        <w:ind w:left="3434" w:hanging="567"/>
      </w:pPr>
      <w:rPr>
        <w:rFonts w:hint="default"/>
      </w:rPr>
    </w:lvl>
    <w:lvl w:ilvl="2">
      <w:start w:val="1"/>
      <w:numFmt w:val="bullet"/>
      <w:lvlText w:val="•"/>
      <w:lvlJc w:val="left"/>
      <w:pPr>
        <w:ind w:left="4468" w:hanging="567"/>
      </w:pPr>
      <w:rPr>
        <w:rFonts w:hint="default"/>
      </w:rPr>
    </w:lvl>
    <w:lvl w:ilvl="3">
      <w:start w:val="1"/>
      <w:numFmt w:val="bullet"/>
      <w:lvlText w:val="•"/>
      <w:lvlJc w:val="left"/>
      <w:pPr>
        <w:ind w:left="5503" w:hanging="567"/>
      </w:pPr>
      <w:rPr>
        <w:rFonts w:hint="default"/>
      </w:rPr>
    </w:lvl>
    <w:lvl w:ilvl="4">
      <w:start w:val="1"/>
      <w:numFmt w:val="bullet"/>
      <w:lvlText w:val="•"/>
      <w:lvlJc w:val="left"/>
      <w:pPr>
        <w:ind w:left="6537" w:hanging="567"/>
      </w:pPr>
      <w:rPr>
        <w:rFonts w:hint="default"/>
      </w:rPr>
    </w:lvl>
    <w:lvl w:ilvl="5">
      <w:start w:val="1"/>
      <w:numFmt w:val="bullet"/>
      <w:lvlText w:val="•"/>
      <w:lvlJc w:val="left"/>
      <w:pPr>
        <w:ind w:left="7572" w:hanging="567"/>
      </w:pPr>
      <w:rPr>
        <w:rFonts w:hint="default"/>
      </w:rPr>
    </w:lvl>
    <w:lvl w:ilvl="6">
      <w:start w:val="1"/>
      <w:numFmt w:val="bullet"/>
      <w:lvlText w:val="•"/>
      <w:lvlJc w:val="left"/>
      <w:pPr>
        <w:ind w:left="8606" w:hanging="567"/>
      </w:pPr>
      <w:rPr>
        <w:rFonts w:hint="default"/>
      </w:rPr>
    </w:lvl>
    <w:lvl w:ilvl="7">
      <w:start w:val="1"/>
      <w:numFmt w:val="bullet"/>
      <w:lvlText w:val="•"/>
      <w:lvlJc w:val="left"/>
      <w:pPr>
        <w:ind w:left="9641" w:hanging="567"/>
      </w:pPr>
      <w:rPr>
        <w:rFonts w:hint="default"/>
      </w:rPr>
    </w:lvl>
    <w:lvl w:ilvl="8">
      <w:start w:val="1"/>
      <w:numFmt w:val="bullet"/>
      <w:lvlText w:val="•"/>
      <w:lvlJc w:val="left"/>
      <w:pPr>
        <w:ind w:left="10675" w:hanging="567"/>
      </w:pPr>
      <w:rPr>
        <w:rFonts w:hint="default"/>
      </w:rPr>
    </w:lvl>
  </w:abstractNum>
  <w:abstractNum w:abstractNumId="12">
    <w:multiLevelType w:val="hybridMultilevel"/>
    <w:lvl w:ilvl="0">
      <w:start w:val="1"/>
      <w:numFmt w:val="lowerRoman"/>
      <w:lvlText w:val="(%1)"/>
      <w:lvlJc w:val="left"/>
      <w:pPr>
        <w:ind w:left="2044" w:hanging="221"/>
        <w:jc w:val="left"/>
      </w:pPr>
      <w:rPr>
        <w:rFonts w:hint="default" w:ascii="Arial" w:hAnsi="Arial" w:eastAsia="Arial" w:cs="Arial"/>
        <w:b/>
        <w:bCs/>
        <w:w w:val="99"/>
        <w:sz w:val="18"/>
        <w:szCs w:val="18"/>
      </w:rPr>
    </w:lvl>
    <w:lvl w:ilvl="1">
      <w:start w:val="1"/>
      <w:numFmt w:val="bullet"/>
      <w:lvlText w:val="•"/>
      <w:lvlJc w:val="left"/>
      <w:pPr>
        <w:ind w:left="3110" w:hanging="221"/>
      </w:pPr>
      <w:rPr>
        <w:rFonts w:hint="default"/>
      </w:rPr>
    </w:lvl>
    <w:lvl w:ilvl="2">
      <w:start w:val="1"/>
      <w:numFmt w:val="bullet"/>
      <w:lvlText w:val="•"/>
      <w:lvlJc w:val="left"/>
      <w:pPr>
        <w:ind w:left="4180" w:hanging="221"/>
      </w:pPr>
      <w:rPr>
        <w:rFonts w:hint="default"/>
      </w:rPr>
    </w:lvl>
    <w:lvl w:ilvl="3">
      <w:start w:val="1"/>
      <w:numFmt w:val="bullet"/>
      <w:lvlText w:val="•"/>
      <w:lvlJc w:val="left"/>
      <w:pPr>
        <w:ind w:left="5251" w:hanging="221"/>
      </w:pPr>
      <w:rPr>
        <w:rFonts w:hint="default"/>
      </w:rPr>
    </w:lvl>
    <w:lvl w:ilvl="4">
      <w:start w:val="1"/>
      <w:numFmt w:val="bullet"/>
      <w:lvlText w:val="•"/>
      <w:lvlJc w:val="left"/>
      <w:pPr>
        <w:ind w:left="6321" w:hanging="221"/>
      </w:pPr>
      <w:rPr>
        <w:rFonts w:hint="default"/>
      </w:rPr>
    </w:lvl>
    <w:lvl w:ilvl="5">
      <w:start w:val="1"/>
      <w:numFmt w:val="bullet"/>
      <w:lvlText w:val="•"/>
      <w:lvlJc w:val="left"/>
      <w:pPr>
        <w:ind w:left="7392" w:hanging="221"/>
      </w:pPr>
      <w:rPr>
        <w:rFonts w:hint="default"/>
      </w:rPr>
    </w:lvl>
    <w:lvl w:ilvl="6">
      <w:start w:val="1"/>
      <w:numFmt w:val="bullet"/>
      <w:lvlText w:val="•"/>
      <w:lvlJc w:val="left"/>
      <w:pPr>
        <w:ind w:left="8462" w:hanging="221"/>
      </w:pPr>
      <w:rPr>
        <w:rFonts w:hint="default"/>
      </w:rPr>
    </w:lvl>
    <w:lvl w:ilvl="7">
      <w:start w:val="1"/>
      <w:numFmt w:val="bullet"/>
      <w:lvlText w:val="•"/>
      <w:lvlJc w:val="left"/>
      <w:pPr>
        <w:ind w:left="9533" w:hanging="221"/>
      </w:pPr>
      <w:rPr>
        <w:rFonts w:hint="default"/>
      </w:rPr>
    </w:lvl>
    <w:lvl w:ilvl="8">
      <w:start w:val="1"/>
      <w:numFmt w:val="bullet"/>
      <w:lvlText w:val="•"/>
      <w:lvlJc w:val="left"/>
      <w:pPr>
        <w:ind w:left="10603" w:hanging="221"/>
      </w:pPr>
      <w:rPr>
        <w:rFonts w:hint="default"/>
      </w:rPr>
    </w:lvl>
  </w:abstractNum>
  <w:abstractNum w:abstractNumId="11">
    <w:multiLevelType w:val="hybridMultilevel"/>
    <w:lvl w:ilvl="0">
      <w:start w:val="16"/>
      <w:numFmt w:val="lowerLetter"/>
      <w:lvlText w:val="(%1)"/>
      <w:lvlJc w:val="left"/>
      <w:pPr>
        <w:ind w:left="2390" w:hanging="567"/>
        <w:jc w:val="left"/>
      </w:pPr>
      <w:rPr>
        <w:rFonts w:hint="default" w:ascii="Arial" w:hAnsi="Arial" w:eastAsia="Arial" w:cs="Arial"/>
        <w:b/>
        <w:bCs/>
        <w:w w:val="100"/>
        <w:sz w:val="18"/>
        <w:szCs w:val="18"/>
      </w:rPr>
    </w:lvl>
    <w:lvl w:ilvl="1">
      <w:start w:val="1"/>
      <w:numFmt w:val="bullet"/>
      <w:lvlText w:val="•"/>
      <w:lvlJc w:val="left"/>
      <w:pPr>
        <w:ind w:left="3434" w:hanging="567"/>
      </w:pPr>
      <w:rPr>
        <w:rFonts w:hint="default"/>
      </w:rPr>
    </w:lvl>
    <w:lvl w:ilvl="2">
      <w:start w:val="1"/>
      <w:numFmt w:val="bullet"/>
      <w:lvlText w:val="•"/>
      <w:lvlJc w:val="left"/>
      <w:pPr>
        <w:ind w:left="4468" w:hanging="567"/>
      </w:pPr>
      <w:rPr>
        <w:rFonts w:hint="default"/>
      </w:rPr>
    </w:lvl>
    <w:lvl w:ilvl="3">
      <w:start w:val="1"/>
      <w:numFmt w:val="bullet"/>
      <w:lvlText w:val="•"/>
      <w:lvlJc w:val="left"/>
      <w:pPr>
        <w:ind w:left="5503" w:hanging="567"/>
      </w:pPr>
      <w:rPr>
        <w:rFonts w:hint="default"/>
      </w:rPr>
    </w:lvl>
    <w:lvl w:ilvl="4">
      <w:start w:val="1"/>
      <w:numFmt w:val="bullet"/>
      <w:lvlText w:val="•"/>
      <w:lvlJc w:val="left"/>
      <w:pPr>
        <w:ind w:left="6537" w:hanging="567"/>
      </w:pPr>
      <w:rPr>
        <w:rFonts w:hint="default"/>
      </w:rPr>
    </w:lvl>
    <w:lvl w:ilvl="5">
      <w:start w:val="1"/>
      <w:numFmt w:val="bullet"/>
      <w:lvlText w:val="•"/>
      <w:lvlJc w:val="left"/>
      <w:pPr>
        <w:ind w:left="7572" w:hanging="567"/>
      </w:pPr>
      <w:rPr>
        <w:rFonts w:hint="default"/>
      </w:rPr>
    </w:lvl>
    <w:lvl w:ilvl="6">
      <w:start w:val="1"/>
      <w:numFmt w:val="bullet"/>
      <w:lvlText w:val="•"/>
      <w:lvlJc w:val="left"/>
      <w:pPr>
        <w:ind w:left="8606" w:hanging="567"/>
      </w:pPr>
      <w:rPr>
        <w:rFonts w:hint="default"/>
      </w:rPr>
    </w:lvl>
    <w:lvl w:ilvl="7">
      <w:start w:val="1"/>
      <w:numFmt w:val="bullet"/>
      <w:lvlText w:val="•"/>
      <w:lvlJc w:val="left"/>
      <w:pPr>
        <w:ind w:left="9641" w:hanging="567"/>
      </w:pPr>
      <w:rPr>
        <w:rFonts w:hint="default"/>
      </w:rPr>
    </w:lvl>
    <w:lvl w:ilvl="8">
      <w:start w:val="1"/>
      <w:numFmt w:val="bullet"/>
      <w:lvlText w:val="•"/>
      <w:lvlJc w:val="left"/>
      <w:pPr>
        <w:ind w:left="10675" w:hanging="567"/>
      </w:pPr>
      <w:rPr>
        <w:rFonts w:hint="default"/>
      </w:rPr>
    </w:lvl>
  </w:abstractNum>
  <w:abstractNum w:abstractNumId="10">
    <w:multiLevelType w:val="hybridMultilevel"/>
    <w:lvl w:ilvl="0">
      <w:start w:val="13"/>
      <w:numFmt w:val="lowerLetter"/>
      <w:lvlText w:val="(%1)"/>
      <w:lvlJc w:val="left"/>
      <w:pPr>
        <w:ind w:left="2382" w:hanging="567"/>
        <w:jc w:val="left"/>
      </w:pPr>
      <w:rPr>
        <w:rFonts w:hint="default" w:ascii="Arial" w:hAnsi="Arial" w:eastAsia="Arial" w:cs="Arial"/>
        <w:b/>
        <w:bCs/>
        <w:spacing w:val="-1"/>
        <w:w w:val="99"/>
        <w:sz w:val="18"/>
        <w:szCs w:val="18"/>
      </w:rPr>
    </w:lvl>
    <w:lvl w:ilvl="1">
      <w:start w:val="1"/>
      <w:numFmt w:val="bullet"/>
      <w:lvlText w:val="•"/>
      <w:lvlJc w:val="left"/>
      <w:pPr>
        <w:ind w:left="3416" w:hanging="567"/>
      </w:pPr>
      <w:rPr>
        <w:rFonts w:hint="default"/>
      </w:rPr>
    </w:lvl>
    <w:lvl w:ilvl="2">
      <w:start w:val="1"/>
      <w:numFmt w:val="bullet"/>
      <w:lvlText w:val="•"/>
      <w:lvlJc w:val="left"/>
      <w:pPr>
        <w:ind w:left="4452" w:hanging="567"/>
      </w:pPr>
      <w:rPr>
        <w:rFonts w:hint="default"/>
      </w:rPr>
    </w:lvl>
    <w:lvl w:ilvl="3">
      <w:start w:val="1"/>
      <w:numFmt w:val="bullet"/>
      <w:lvlText w:val="•"/>
      <w:lvlJc w:val="left"/>
      <w:pPr>
        <w:ind w:left="5489" w:hanging="567"/>
      </w:pPr>
      <w:rPr>
        <w:rFonts w:hint="default"/>
      </w:rPr>
    </w:lvl>
    <w:lvl w:ilvl="4">
      <w:start w:val="1"/>
      <w:numFmt w:val="bullet"/>
      <w:lvlText w:val="•"/>
      <w:lvlJc w:val="left"/>
      <w:pPr>
        <w:ind w:left="6525" w:hanging="567"/>
      </w:pPr>
      <w:rPr>
        <w:rFonts w:hint="default"/>
      </w:rPr>
    </w:lvl>
    <w:lvl w:ilvl="5">
      <w:start w:val="1"/>
      <w:numFmt w:val="bullet"/>
      <w:lvlText w:val="•"/>
      <w:lvlJc w:val="left"/>
      <w:pPr>
        <w:ind w:left="7562" w:hanging="567"/>
      </w:pPr>
      <w:rPr>
        <w:rFonts w:hint="default"/>
      </w:rPr>
    </w:lvl>
    <w:lvl w:ilvl="6">
      <w:start w:val="1"/>
      <w:numFmt w:val="bullet"/>
      <w:lvlText w:val="•"/>
      <w:lvlJc w:val="left"/>
      <w:pPr>
        <w:ind w:left="8598" w:hanging="567"/>
      </w:pPr>
      <w:rPr>
        <w:rFonts w:hint="default"/>
      </w:rPr>
    </w:lvl>
    <w:lvl w:ilvl="7">
      <w:start w:val="1"/>
      <w:numFmt w:val="bullet"/>
      <w:lvlText w:val="•"/>
      <w:lvlJc w:val="left"/>
      <w:pPr>
        <w:ind w:left="9635" w:hanging="567"/>
      </w:pPr>
      <w:rPr>
        <w:rFonts w:hint="default"/>
      </w:rPr>
    </w:lvl>
    <w:lvl w:ilvl="8">
      <w:start w:val="1"/>
      <w:numFmt w:val="bullet"/>
      <w:lvlText w:val="•"/>
      <w:lvlJc w:val="left"/>
      <w:pPr>
        <w:ind w:left="10671" w:hanging="567"/>
      </w:pPr>
      <w:rPr>
        <w:rFonts w:hint="default"/>
      </w:rPr>
    </w:lvl>
  </w:abstractNum>
  <w:abstractNum w:abstractNumId="9">
    <w:multiLevelType w:val="hybridMultilevel"/>
    <w:lvl w:ilvl="0">
      <w:start w:val="1"/>
      <w:numFmt w:val="bullet"/>
      <w:lvlText w:val="-"/>
      <w:lvlJc w:val="left"/>
      <w:pPr>
        <w:ind w:left="2599" w:hanging="160"/>
      </w:pPr>
      <w:rPr>
        <w:rFonts w:hint="default" w:ascii="Arial" w:hAnsi="Arial" w:eastAsia="Arial" w:cs="Arial"/>
        <w:spacing w:val="-1"/>
        <w:w w:val="99"/>
        <w:sz w:val="18"/>
        <w:szCs w:val="18"/>
      </w:rPr>
    </w:lvl>
    <w:lvl w:ilvl="1">
      <w:start w:val="1"/>
      <w:numFmt w:val="bullet"/>
      <w:lvlText w:val="•"/>
      <w:lvlJc w:val="left"/>
      <w:pPr>
        <w:ind w:left="3614" w:hanging="160"/>
      </w:pPr>
      <w:rPr>
        <w:rFonts w:hint="default"/>
      </w:rPr>
    </w:lvl>
    <w:lvl w:ilvl="2">
      <w:start w:val="1"/>
      <w:numFmt w:val="bullet"/>
      <w:lvlText w:val="•"/>
      <w:lvlJc w:val="left"/>
      <w:pPr>
        <w:ind w:left="4628" w:hanging="160"/>
      </w:pPr>
      <w:rPr>
        <w:rFonts w:hint="default"/>
      </w:rPr>
    </w:lvl>
    <w:lvl w:ilvl="3">
      <w:start w:val="1"/>
      <w:numFmt w:val="bullet"/>
      <w:lvlText w:val="•"/>
      <w:lvlJc w:val="left"/>
      <w:pPr>
        <w:ind w:left="5643" w:hanging="160"/>
      </w:pPr>
      <w:rPr>
        <w:rFonts w:hint="default"/>
      </w:rPr>
    </w:lvl>
    <w:lvl w:ilvl="4">
      <w:start w:val="1"/>
      <w:numFmt w:val="bullet"/>
      <w:lvlText w:val="•"/>
      <w:lvlJc w:val="left"/>
      <w:pPr>
        <w:ind w:left="6657" w:hanging="160"/>
      </w:pPr>
      <w:rPr>
        <w:rFonts w:hint="default"/>
      </w:rPr>
    </w:lvl>
    <w:lvl w:ilvl="5">
      <w:start w:val="1"/>
      <w:numFmt w:val="bullet"/>
      <w:lvlText w:val="•"/>
      <w:lvlJc w:val="left"/>
      <w:pPr>
        <w:ind w:left="7672" w:hanging="160"/>
      </w:pPr>
      <w:rPr>
        <w:rFonts w:hint="default"/>
      </w:rPr>
    </w:lvl>
    <w:lvl w:ilvl="6">
      <w:start w:val="1"/>
      <w:numFmt w:val="bullet"/>
      <w:lvlText w:val="•"/>
      <w:lvlJc w:val="left"/>
      <w:pPr>
        <w:ind w:left="8686" w:hanging="160"/>
      </w:pPr>
      <w:rPr>
        <w:rFonts w:hint="default"/>
      </w:rPr>
    </w:lvl>
    <w:lvl w:ilvl="7">
      <w:start w:val="1"/>
      <w:numFmt w:val="bullet"/>
      <w:lvlText w:val="•"/>
      <w:lvlJc w:val="left"/>
      <w:pPr>
        <w:ind w:left="9701" w:hanging="160"/>
      </w:pPr>
      <w:rPr>
        <w:rFonts w:hint="default"/>
      </w:rPr>
    </w:lvl>
    <w:lvl w:ilvl="8">
      <w:start w:val="1"/>
      <w:numFmt w:val="bullet"/>
      <w:lvlText w:val="•"/>
      <w:lvlJc w:val="left"/>
      <w:pPr>
        <w:ind w:left="10715" w:hanging="160"/>
      </w:pPr>
      <w:rPr>
        <w:rFonts w:hint="default"/>
      </w:rPr>
    </w:lvl>
  </w:abstractNum>
  <w:abstractNum w:abstractNumId="8">
    <w:multiLevelType w:val="hybridMultilevel"/>
    <w:lvl w:ilvl="0">
      <w:start w:val="4"/>
      <w:numFmt w:val="lowerLetter"/>
      <w:lvlText w:val="(%1)"/>
      <w:lvlJc w:val="left"/>
      <w:pPr>
        <w:ind w:left="2390" w:hanging="567"/>
        <w:jc w:val="left"/>
      </w:pPr>
      <w:rPr>
        <w:rFonts w:hint="default" w:ascii="Arial" w:hAnsi="Arial" w:eastAsia="Arial" w:cs="Arial"/>
        <w:b/>
        <w:bCs/>
        <w:w w:val="100"/>
        <w:sz w:val="18"/>
        <w:szCs w:val="18"/>
      </w:rPr>
    </w:lvl>
    <w:lvl w:ilvl="1">
      <w:start w:val="1"/>
      <w:numFmt w:val="lowerRoman"/>
      <w:lvlText w:val="(%2)"/>
      <w:lvlJc w:val="left"/>
      <w:pPr>
        <w:ind w:left="2610" w:hanging="221"/>
        <w:jc w:val="left"/>
      </w:pPr>
      <w:rPr>
        <w:rFonts w:hint="default" w:ascii="Arial" w:hAnsi="Arial" w:eastAsia="Arial" w:cs="Arial"/>
        <w:b/>
        <w:bCs/>
        <w:spacing w:val="-5"/>
        <w:w w:val="99"/>
        <w:sz w:val="18"/>
        <w:szCs w:val="18"/>
      </w:rPr>
    </w:lvl>
    <w:lvl w:ilvl="2">
      <w:start w:val="1"/>
      <w:numFmt w:val="bullet"/>
      <w:lvlText w:val="•"/>
      <w:lvlJc w:val="left"/>
      <w:pPr>
        <w:ind w:left="3744" w:hanging="221"/>
      </w:pPr>
      <w:rPr>
        <w:rFonts w:hint="default"/>
      </w:rPr>
    </w:lvl>
    <w:lvl w:ilvl="3">
      <w:start w:val="1"/>
      <w:numFmt w:val="bullet"/>
      <w:lvlText w:val="•"/>
      <w:lvlJc w:val="left"/>
      <w:pPr>
        <w:ind w:left="4869" w:hanging="221"/>
      </w:pPr>
      <w:rPr>
        <w:rFonts w:hint="default"/>
      </w:rPr>
    </w:lvl>
    <w:lvl w:ilvl="4">
      <w:start w:val="1"/>
      <w:numFmt w:val="bullet"/>
      <w:lvlText w:val="•"/>
      <w:lvlJc w:val="left"/>
      <w:pPr>
        <w:ind w:left="5994" w:hanging="221"/>
      </w:pPr>
      <w:rPr>
        <w:rFonts w:hint="default"/>
      </w:rPr>
    </w:lvl>
    <w:lvl w:ilvl="5">
      <w:start w:val="1"/>
      <w:numFmt w:val="bullet"/>
      <w:lvlText w:val="•"/>
      <w:lvlJc w:val="left"/>
      <w:pPr>
        <w:ind w:left="7119" w:hanging="221"/>
      </w:pPr>
      <w:rPr>
        <w:rFonts w:hint="default"/>
      </w:rPr>
    </w:lvl>
    <w:lvl w:ilvl="6">
      <w:start w:val="1"/>
      <w:numFmt w:val="bullet"/>
      <w:lvlText w:val="•"/>
      <w:lvlJc w:val="left"/>
      <w:pPr>
        <w:ind w:left="8244" w:hanging="221"/>
      </w:pPr>
      <w:rPr>
        <w:rFonts w:hint="default"/>
      </w:rPr>
    </w:lvl>
    <w:lvl w:ilvl="7">
      <w:start w:val="1"/>
      <w:numFmt w:val="bullet"/>
      <w:lvlText w:val="•"/>
      <w:lvlJc w:val="left"/>
      <w:pPr>
        <w:ind w:left="9369" w:hanging="221"/>
      </w:pPr>
      <w:rPr>
        <w:rFonts w:hint="default"/>
      </w:rPr>
    </w:lvl>
    <w:lvl w:ilvl="8">
      <w:start w:val="1"/>
      <w:numFmt w:val="bullet"/>
      <w:lvlText w:val="•"/>
      <w:lvlJc w:val="left"/>
      <w:pPr>
        <w:ind w:left="10494" w:hanging="221"/>
      </w:pPr>
      <w:rPr>
        <w:rFonts w:hint="default"/>
      </w:rPr>
    </w:lvl>
  </w:abstractNum>
  <w:abstractNum w:abstractNumId="7">
    <w:multiLevelType w:val="hybridMultilevel"/>
    <w:lvl w:ilvl="0">
      <w:start w:val="1"/>
      <w:numFmt w:val="lowerRoman"/>
      <w:lvlText w:val="(%1)"/>
      <w:lvlJc w:val="left"/>
      <w:pPr>
        <w:ind w:left="2045" w:hanging="222"/>
        <w:jc w:val="left"/>
      </w:pPr>
      <w:rPr>
        <w:rFonts w:hint="default" w:ascii="Arial" w:hAnsi="Arial" w:eastAsia="Arial" w:cs="Arial"/>
        <w:b/>
        <w:bCs/>
        <w:spacing w:val="-5"/>
        <w:w w:val="99"/>
        <w:sz w:val="18"/>
        <w:szCs w:val="18"/>
      </w:rPr>
    </w:lvl>
    <w:lvl w:ilvl="1">
      <w:start w:val="1"/>
      <w:numFmt w:val="bullet"/>
      <w:lvlText w:val="•"/>
      <w:lvlJc w:val="left"/>
      <w:pPr>
        <w:ind w:left="3110" w:hanging="222"/>
      </w:pPr>
      <w:rPr>
        <w:rFonts w:hint="default"/>
      </w:rPr>
    </w:lvl>
    <w:lvl w:ilvl="2">
      <w:start w:val="1"/>
      <w:numFmt w:val="bullet"/>
      <w:lvlText w:val="•"/>
      <w:lvlJc w:val="left"/>
      <w:pPr>
        <w:ind w:left="4180" w:hanging="222"/>
      </w:pPr>
      <w:rPr>
        <w:rFonts w:hint="default"/>
      </w:rPr>
    </w:lvl>
    <w:lvl w:ilvl="3">
      <w:start w:val="1"/>
      <w:numFmt w:val="bullet"/>
      <w:lvlText w:val="•"/>
      <w:lvlJc w:val="left"/>
      <w:pPr>
        <w:ind w:left="5251" w:hanging="222"/>
      </w:pPr>
      <w:rPr>
        <w:rFonts w:hint="default"/>
      </w:rPr>
    </w:lvl>
    <w:lvl w:ilvl="4">
      <w:start w:val="1"/>
      <w:numFmt w:val="bullet"/>
      <w:lvlText w:val="•"/>
      <w:lvlJc w:val="left"/>
      <w:pPr>
        <w:ind w:left="6321" w:hanging="222"/>
      </w:pPr>
      <w:rPr>
        <w:rFonts w:hint="default"/>
      </w:rPr>
    </w:lvl>
    <w:lvl w:ilvl="5">
      <w:start w:val="1"/>
      <w:numFmt w:val="bullet"/>
      <w:lvlText w:val="•"/>
      <w:lvlJc w:val="left"/>
      <w:pPr>
        <w:ind w:left="7392" w:hanging="222"/>
      </w:pPr>
      <w:rPr>
        <w:rFonts w:hint="default"/>
      </w:rPr>
    </w:lvl>
    <w:lvl w:ilvl="6">
      <w:start w:val="1"/>
      <w:numFmt w:val="bullet"/>
      <w:lvlText w:val="•"/>
      <w:lvlJc w:val="left"/>
      <w:pPr>
        <w:ind w:left="8462" w:hanging="222"/>
      </w:pPr>
      <w:rPr>
        <w:rFonts w:hint="default"/>
      </w:rPr>
    </w:lvl>
    <w:lvl w:ilvl="7">
      <w:start w:val="1"/>
      <w:numFmt w:val="bullet"/>
      <w:lvlText w:val="•"/>
      <w:lvlJc w:val="left"/>
      <w:pPr>
        <w:ind w:left="9533" w:hanging="222"/>
      </w:pPr>
      <w:rPr>
        <w:rFonts w:hint="default"/>
      </w:rPr>
    </w:lvl>
    <w:lvl w:ilvl="8">
      <w:start w:val="1"/>
      <w:numFmt w:val="bullet"/>
      <w:lvlText w:val="•"/>
      <w:lvlJc w:val="left"/>
      <w:pPr>
        <w:ind w:left="10603" w:hanging="222"/>
      </w:pPr>
      <w:rPr>
        <w:rFonts w:hint="default"/>
      </w:rPr>
    </w:lvl>
  </w:abstractNum>
  <w:abstractNum w:abstractNumId="5">
    <w:multiLevelType w:val="hybridMultilevel"/>
    <w:lvl w:ilvl="0">
      <w:start w:val="2"/>
      <w:numFmt w:val="lowerLetter"/>
      <w:lvlText w:val="(%1)"/>
      <w:lvlJc w:val="left"/>
      <w:pPr>
        <w:ind w:left="2390" w:hanging="567"/>
        <w:jc w:val="left"/>
      </w:pPr>
      <w:rPr>
        <w:rFonts w:hint="default" w:ascii="Arial" w:hAnsi="Arial" w:eastAsia="Arial" w:cs="Arial"/>
        <w:b/>
        <w:bCs/>
        <w:w w:val="100"/>
        <w:sz w:val="18"/>
        <w:szCs w:val="18"/>
      </w:rPr>
    </w:lvl>
    <w:lvl w:ilvl="1">
      <w:start w:val="1"/>
      <w:numFmt w:val="bullet"/>
      <w:lvlText w:val="•"/>
      <w:lvlJc w:val="left"/>
      <w:pPr>
        <w:ind w:left="3434" w:hanging="567"/>
      </w:pPr>
      <w:rPr>
        <w:rFonts w:hint="default"/>
      </w:rPr>
    </w:lvl>
    <w:lvl w:ilvl="2">
      <w:start w:val="1"/>
      <w:numFmt w:val="bullet"/>
      <w:lvlText w:val="•"/>
      <w:lvlJc w:val="left"/>
      <w:pPr>
        <w:ind w:left="4468" w:hanging="567"/>
      </w:pPr>
      <w:rPr>
        <w:rFonts w:hint="default"/>
      </w:rPr>
    </w:lvl>
    <w:lvl w:ilvl="3">
      <w:start w:val="1"/>
      <w:numFmt w:val="bullet"/>
      <w:lvlText w:val="•"/>
      <w:lvlJc w:val="left"/>
      <w:pPr>
        <w:ind w:left="5503" w:hanging="567"/>
      </w:pPr>
      <w:rPr>
        <w:rFonts w:hint="default"/>
      </w:rPr>
    </w:lvl>
    <w:lvl w:ilvl="4">
      <w:start w:val="1"/>
      <w:numFmt w:val="bullet"/>
      <w:lvlText w:val="•"/>
      <w:lvlJc w:val="left"/>
      <w:pPr>
        <w:ind w:left="6537" w:hanging="567"/>
      </w:pPr>
      <w:rPr>
        <w:rFonts w:hint="default"/>
      </w:rPr>
    </w:lvl>
    <w:lvl w:ilvl="5">
      <w:start w:val="1"/>
      <w:numFmt w:val="bullet"/>
      <w:lvlText w:val="•"/>
      <w:lvlJc w:val="left"/>
      <w:pPr>
        <w:ind w:left="7572" w:hanging="567"/>
      </w:pPr>
      <w:rPr>
        <w:rFonts w:hint="default"/>
      </w:rPr>
    </w:lvl>
    <w:lvl w:ilvl="6">
      <w:start w:val="1"/>
      <w:numFmt w:val="bullet"/>
      <w:lvlText w:val="•"/>
      <w:lvlJc w:val="left"/>
      <w:pPr>
        <w:ind w:left="8606" w:hanging="567"/>
      </w:pPr>
      <w:rPr>
        <w:rFonts w:hint="default"/>
      </w:rPr>
    </w:lvl>
    <w:lvl w:ilvl="7">
      <w:start w:val="1"/>
      <w:numFmt w:val="bullet"/>
      <w:lvlText w:val="•"/>
      <w:lvlJc w:val="left"/>
      <w:pPr>
        <w:ind w:left="9641" w:hanging="567"/>
      </w:pPr>
      <w:rPr>
        <w:rFonts w:hint="default"/>
      </w:rPr>
    </w:lvl>
    <w:lvl w:ilvl="8">
      <w:start w:val="1"/>
      <w:numFmt w:val="bullet"/>
      <w:lvlText w:val="•"/>
      <w:lvlJc w:val="left"/>
      <w:pPr>
        <w:ind w:left="10675" w:hanging="567"/>
      </w:pPr>
      <w:rPr>
        <w:rFonts w:hint="default"/>
      </w:rPr>
    </w:lvl>
  </w:abstractNum>
  <w:abstractNum w:abstractNumId="4">
    <w:multiLevelType w:val="hybridMultilevel"/>
    <w:lvl w:ilvl="0">
      <w:start w:val="1"/>
      <w:numFmt w:val="lowerRoman"/>
      <w:lvlText w:val="(%1)"/>
      <w:lvlJc w:val="left"/>
      <w:pPr>
        <w:ind w:left="2033" w:hanging="210"/>
        <w:jc w:val="left"/>
      </w:pPr>
      <w:rPr>
        <w:rFonts w:hint="default" w:ascii="Arial" w:hAnsi="Arial" w:eastAsia="Arial" w:cs="Arial"/>
        <w:spacing w:val="-1"/>
        <w:w w:val="99"/>
        <w:sz w:val="18"/>
        <w:szCs w:val="18"/>
      </w:rPr>
    </w:lvl>
    <w:lvl w:ilvl="1">
      <w:start w:val="1"/>
      <w:numFmt w:val="bullet"/>
      <w:lvlText w:val="•"/>
      <w:lvlJc w:val="left"/>
      <w:pPr>
        <w:ind w:left="3110" w:hanging="210"/>
      </w:pPr>
      <w:rPr>
        <w:rFonts w:hint="default"/>
      </w:rPr>
    </w:lvl>
    <w:lvl w:ilvl="2">
      <w:start w:val="1"/>
      <w:numFmt w:val="bullet"/>
      <w:lvlText w:val="•"/>
      <w:lvlJc w:val="left"/>
      <w:pPr>
        <w:ind w:left="4180" w:hanging="210"/>
      </w:pPr>
      <w:rPr>
        <w:rFonts w:hint="default"/>
      </w:rPr>
    </w:lvl>
    <w:lvl w:ilvl="3">
      <w:start w:val="1"/>
      <w:numFmt w:val="bullet"/>
      <w:lvlText w:val="•"/>
      <w:lvlJc w:val="left"/>
      <w:pPr>
        <w:ind w:left="5251" w:hanging="210"/>
      </w:pPr>
      <w:rPr>
        <w:rFonts w:hint="default"/>
      </w:rPr>
    </w:lvl>
    <w:lvl w:ilvl="4">
      <w:start w:val="1"/>
      <w:numFmt w:val="bullet"/>
      <w:lvlText w:val="•"/>
      <w:lvlJc w:val="left"/>
      <w:pPr>
        <w:ind w:left="6321" w:hanging="210"/>
      </w:pPr>
      <w:rPr>
        <w:rFonts w:hint="default"/>
      </w:rPr>
    </w:lvl>
    <w:lvl w:ilvl="5">
      <w:start w:val="1"/>
      <w:numFmt w:val="bullet"/>
      <w:lvlText w:val="•"/>
      <w:lvlJc w:val="left"/>
      <w:pPr>
        <w:ind w:left="7392" w:hanging="210"/>
      </w:pPr>
      <w:rPr>
        <w:rFonts w:hint="default"/>
      </w:rPr>
    </w:lvl>
    <w:lvl w:ilvl="6">
      <w:start w:val="1"/>
      <w:numFmt w:val="bullet"/>
      <w:lvlText w:val="•"/>
      <w:lvlJc w:val="left"/>
      <w:pPr>
        <w:ind w:left="8462" w:hanging="210"/>
      </w:pPr>
      <w:rPr>
        <w:rFonts w:hint="default"/>
      </w:rPr>
    </w:lvl>
    <w:lvl w:ilvl="7">
      <w:start w:val="1"/>
      <w:numFmt w:val="bullet"/>
      <w:lvlText w:val="•"/>
      <w:lvlJc w:val="left"/>
      <w:pPr>
        <w:ind w:left="9533" w:hanging="210"/>
      </w:pPr>
      <w:rPr>
        <w:rFonts w:hint="default"/>
      </w:rPr>
    </w:lvl>
    <w:lvl w:ilvl="8">
      <w:start w:val="1"/>
      <w:numFmt w:val="bullet"/>
      <w:lvlText w:val="•"/>
      <w:lvlJc w:val="left"/>
      <w:pPr>
        <w:ind w:left="10603" w:hanging="210"/>
      </w:pPr>
      <w:rPr>
        <w:rFonts w:hint="default"/>
      </w:rPr>
    </w:lvl>
  </w:abstractNum>
  <w:abstractNum w:abstractNumId="2">
    <w:multiLevelType w:val="hybridMultilevel"/>
    <w:lvl w:ilvl="0">
      <w:start w:val="1"/>
      <w:numFmt w:val="bullet"/>
      <w:lvlText w:val="-"/>
      <w:lvlJc w:val="left"/>
      <w:pPr>
        <w:ind w:left="1824" w:hanging="111"/>
      </w:pPr>
      <w:rPr>
        <w:rFonts w:hint="default" w:ascii="Arial" w:hAnsi="Arial" w:eastAsia="Arial" w:cs="Arial"/>
        <w:spacing w:val="-1"/>
        <w:w w:val="99"/>
        <w:sz w:val="18"/>
        <w:szCs w:val="18"/>
      </w:rPr>
    </w:lvl>
    <w:lvl w:ilvl="1">
      <w:start w:val="1"/>
      <w:numFmt w:val="bullet"/>
      <w:lvlText w:val="•"/>
      <w:lvlJc w:val="left"/>
      <w:pPr>
        <w:ind w:left="2912" w:hanging="111"/>
      </w:pPr>
      <w:rPr>
        <w:rFonts w:hint="default"/>
      </w:rPr>
    </w:lvl>
    <w:lvl w:ilvl="2">
      <w:start w:val="1"/>
      <w:numFmt w:val="bullet"/>
      <w:lvlText w:val="•"/>
      <w:lvlJc w:val="left"/>
      <w:pPr>
        <w:ind w:left="4004" w:hanging="111"/>
      </w:pPr>
      <w:rPr>
        <w:rFonts w:hint="default"/>
      </w:rPr>
    </w:lvl>
    <w:lvl w:ilvl="3">
      <w:start w:val="1"/>
      <w:numFmt w:val="bullet"/>
      <w:lvlText w:val="•"/>
      <w:lvlJc w:val="left"/>
      <w:pPr>
        <w:ind w:left="5097" w:hanging="111"/>
      </w:pPr>
      <w:rPr>
        <w:rFonts w:hint="default"/>
      </w:rPr>
    </w:lvl>
    <w:lvl w:ilvl="4">
      <w:start w:val="1"/>
      <w:numFmt w:val="bullet"/>
      <w:lvlText w:val="•"/>
      <w:lvlJc w:val="left"/>
      <w:pPr>
        <w:ind w:left="6189" w:hanging="111"/>
      </w:pPr>
      <w:rPr>
        <w:rFonts w:hint="default"/>
      </w:rPr>
    </w:lvl>
    <w:lvl w:ilvl="5">
      <w:start w:val="1"/>
      <w:numFmt w:val="bullet"/>
      <w:lvlText w:val="•"/>
      <w:lvlJc w:val="left"/>
      <w:pPr>
        <w:ind w:left="7282" w:hanging="111"/>
      </w:pPr>
      <w:rPr>
        <w:rFonts w:hint="default"/>
      </w:rPr>
    </w:lvl>
    <w:lvl w:ilvl="6">
      <w:start w:val="1"/>
      <w:numFmt w:val="bullet"/>
      <w:lvlText w:val="•"/>
      <w:lvlJc w:val="left"/>
      <w:pPr>
        <w:ind w:left="8374" w:hanging="111"/>
      </w:pPr>
      <w:rPr>
        <w:rFonts w:hint="default"/>
      </w:rPr>
    </w:lvl>
    <w:lvl w:ilvl="7">
      <w:start w:val="1"/>
      <w:numFmt w:val="bullet"/>
      <w:lvlText w:val="•"/>
      <w:lvlJc w:val="left"/>
      <w:pPr>
        <w:ind w:left="9467" w:hanging="111"/>
      </w:pPr>
      <w:rPr>
        <w:rFonts w:hint="default"/>
      </w:rPr>
    </w:lvl>
    <w:lvl w:ilvl="8">
      <w:start w:val="1"/>
      <w:numFmt w:val="bullet"/>
      <w:lvlText w:val="•"/>
      <w:lvlJc w:val="left"/>
      <w:pPr>
        <w:ind w:left="10559" w:hanging="111"/>
      </w:pPr>
      <w:rPr>
        <w:rFonts w:hint="default"/>
      </w:rPr>
    </w:lvl>
  </w:abstractNum>
  <w:abstractNum w:abstractNumId="0">
    <w:multiLevelType w:val="hybridMultilevel"/>
    <w:lvl w:ilvl="0">
      <w:start w:val="1"/>
      <w:numFmt w:val="lowerLetter"/>
      <w:lvlText w:val="(%1)"/>
      <w:lvlJc w:val="left"/>
      <w:pPr>
        <w:ind w:left="1428" w:hanging="270"/>
        <w:jc w:val="left"/>
      </w:pPr>
      <w:rPr>
        <w:rFonts w:hint="default" w:ascii="Arial" w:hAnsi="Arial" w:eastAsia="Arial" w:cs="Arial"/>
        <w:spacing w:val="-1"/>
        <w:w w:val="99"/>
        <w:sz w:val="18"/>
        <w:szCs w:val="18"/>
      </w:rPr>
    </w:lvl>
    <w:lvl w:ilvl="1">
      <w:start w:val="1"/>
      <w:numFmt w:val="lowerRoman"/>
      <w:lvlText w:val="(%2)"/>
      <w:lvlJc w:val="left"/>
      <w:pPr>
        <w:ind w:left="2221" w:hanging="398"/>
        <w:jc w:val="left"/>
      </w:pPr>
      <w:rPr>
        <w:rFonts w:hint="default" w:ascii="Arial" w:hAnsi="Arial" w:eastAsia="Arial" w:cs="Arial"/>
        <w:spacing w:val="-1"/>
        <w:w w:val="99"/>
        <w:sz w:val="18"/>
        <w:szCs w:val="18"/>
      </w:rPr>
    </w:lvl>
    <w:lvl w:ilvl="2">
      <w:start w:val="1"/>
      <w:numFmt w:val="bullet"/>
      <w:lvlText w:val="•"/>
      <w:lvlJc w:val="left"/>
      <w:pPr>
        <w:ind w:left="3389" w:hanging="398"/>
      </w:pPr>
      <w:rPr>
        <w:rFonts w:hint="default"/>
      </w:rPr>
    </w:lvl>
    <w:lvl w:ilvl="3">
      <w:start w:val="1"/>
      <w:numFmt w:val="bullet"/>
      <w:lvlText w:val="•"/>
      <w:lvlJc w:val="left"/>
      <w:pPr>
        <w:ind w:left="4558" w:hanging="398"/>
      </w:pPr>
      <w:rPr>
        <w:rFonts w:hint="default"/>
      </w:rPr>
    </w:lvl>
    <w:lvl w:ilvl="4">
      <w:start w:val="1"/>
      <w:numFmt w:val="bullet"/>
      <w:lvlText w:val="•"/>
      <w:lvlJc w:val="left"/>
      <w:pPr>
        <w:ind w:left="5728" w:hanging="398"/>
      </w:pPr>
      <w:rPr>
        <w:rFonts w:hint="default"/>
      </w:rPr>
    </w:lvl>
    <w:lvl w:ilvl="5">
      <w:start w:val="1"/>
      <w:numFmt w:val="bullet"/>
      <w:lvlText w:val="•"/>
      <w:lvlJc w:val="left"/>
      <w:pPr>
        <w:ind w:left="6897" w:hanging="398"/>
      </w:pPr>
      <w:rPr>
        <w:rFonts w:hint="default"/>
      </w:rPr>
    </w:lvl>
    <w:lvl w:ilvl="6">
      <w:start w:val="1"/>
      <w:numFmt w:val="bullet"/>
      <w:lvlText w:val="•"/>
      <w:lvlJc w:val="left"/>
      <w:pPr>
        <w:ind w:left="8066" w:hanging="398"/>
      </w:pPr>
      <w:rPr>
        <w:rFonts w:hint="default"/>
      </w:rPr>
    </w:lvl>
    <w:lvl w:ilvl="7">
      <w:start w:val="1"/>
      <w:numFmt w:val="bullet"/>
      <w:lvlText w:val="•"/>
      <w:lvlJc w:val="left"/>
      <w:pPr>
        <w:ind w:left="9236" w:hanging="398"/>
      </w:pPr>
      <w:rPr>
        <w:rFonts w:hint="default"/>
      </w:rPr>
    </w:lvl>
    <w:lvl w:ilvl="8">
      <w:start w:val="1"/>
      <w:numFmt w:val="bullet"/>
      <w:lvlText w:val="•"/>
      <w:lvlJc w:val="left"/>
      <w:pPr>
        <w:ind w:left="10405" w:hanging="398"/>
      </w:pPr>
      <w:rPr>
        <w:rFonts w:hint="default"/>
      </w:rPr>
    </w:lvl>
  </w:abstractNum>
  <w:num w:numId="96">
    <w:abstractNumId w:val="95"/>
  </w:num>
  <w:num w:numId="89">
    <w:abstractNumId w:val="88"/>
  </w:num>
  <w:num w:numId="88">
    <w:abstractNumId w:val="87"/>
  </w:num>
  <w:num w:numId="83">
    <w:abstractNumId w:val="82"/>
  </w:num>
  <w:num w:numId="77">
    <w:abstractNumId w:val="76"/>
  </w:num>
  <w:num w:numId="67">
    <w:abstractNumId w:val="66"/>
  </w:num>
  <w:num w:numId="61">
    <w:abstractNumId w:val="60"/>
  </w:num>
  <w:num w:numId="57">
    <w:abstractNumId w:val="56"/>
  </w:num>
  <w:num w:numId="52">
    <w:abstractNumId w:val="51"/>
  </w:num>
  <w:num w:numId="48">
    <w:abstractNumId w:val="47"/>
  </w:num>
  <w:num w:numId="44">
    <w:abstractNumId w:val="43"/>
  </w:num>
  <w:num w:numId="43">
    <w:abstractNumId w:val="42"/>
  </w:num>
  <w:num w:numId="30">
    <w:abstractNumId w:val="29"/>
  </w:num>
  <w:num w:numId="27">
    <w:abstractNumId w:val="26"/>
  </w:num>
  <w:num w:numId="23">
    <w:abstractNumId w:val="22"/>
  </w:num>
  <w:num w:numId="20">
    <w:abstractNumId w:val="19"/>
  </w:num>
  <w:num w:numId="7">
    <w:abstractNumId w:val="6"/>
  </w:num>
  <w:num w:numId="4">
    <w:abstractNumId w:val="3"/>
  </w:num>
  <w:num w:numId="2">
    <w:abstractNumId w:val="1"/>
  </w:num>
  <w:num w:numId="95">
    <w:abstractNumId w:val="94"/>
  </w:num>
  <w:num w:numId="94">
    <w:abstractNumId w:val="93"/>
  </w:num>
  <w:num w:numId="93">
    <w:abstractNumId w:val="92"/>
  </w:num>
  <w:num w:numId="92">
    <w:abstractNumId w:val="91"/>
  </w:num>
  <w:num w:numId="91">
    <w:abstractNumId w:val="90"/>
  </w:num>
  <w:num w:numId="90">
    <w:abstractNumId w:val="89"/>
  </w:num>
  <w:num w:numId="87">
    <w:abstractNumId w:val="86"/>
  </w:num>
  <w:num w:numId="86">
    <w:abstractNumId w:val="85"/>
  </w:num>
  <w:num w:numId="85">
    <w:abstractNumId w:val="84"/>
  </w:num>
  <w:num w:numId="84">
    <w:abstractNumId w:val="83"/>
  </w:num>
  <w:num w:numId="82">
    <w:abstractNumId w:val="81"/>
  </w:num>
  <w:num w:numId="81">
    <w:abstractNumId w:val="80"/>
  </w:num>
  <w:num w:numId="80">
    <w:abstractNumId w:val="79"/>
  </w:num>
  <w:num w:numId="79">
    <w:abstractNumId w:val="78"/>
  </w:num>
  <w:num w:numId="78">
    <w:abstractNumId w:val="77"/>
  </w:num>
  <w:num w:numId="76">
    <w:abstractNumId w:val="75"/>
  </w:num>
  <w:num w:numId="75">
    <w:abstractNumId w:val="74"/>
  </w:num>
  <w:num w:numId="74">
    <w:abstractNumId w:val="73"/>
  </w:num>
  <w:num w:numId="73">
    <w:abstractNumId w:val="72"/>
  </w:num>
  <w:num w:numId="72">
    <w:abstractNumId w:val="71"/>
  </w:num>
  <w:num w:numId="71">
    <w:abstractNumId w:val="70"/>
  </w:num>
  <w:num w:numId="70">
    <w:abstractNumId w:val="69"/>
  </w:num>
  <w:num w:numId="69">
    <w:abstractNumId w:val="68"/>
  </w:num>
  <w:num w:numId="68">
    <w:abstractNumId w:val="67"/>
  </w:num>
  <w:num w:numId="66">
    <w:abstractNumId w:val="65"/>
  </w:num>
  <w:num w:numId="65">
    <w:abstractNumId w:val="64"/>
  </w:num>
  <w:num w:numId="64">
    <w:abstractNumId w:val="63"/>
  </w:num>
  <w:num w:numId="63">
    <w:abstractNumId w:val="62"/>
  </w:num>
  <w:num w:numId="62">
    <w:abstractNumId w:val="61"/>
  </w:num>
  <w:num w:numId="60">
    <w:abstractNumId w:val="59"/>
  </w:num>
  <w:num w:numId="59">
    <w:abstractNumId w:val="58"/>
  </w:num>
  <w:num w:numId="58">
    <w:abstractNumId w:val="57"/>
  </w:num>
  <w:num w:numId="56">
    <w:abstractNumId w:val="55"/>
  </w:num>
  <w:num w:numId="55">
    <w:abstractNumId w:val="54"/>
  </w:num>
  <w:num w:numId="54">
    <w:abstractNumId w:val="53"/>
  </w:num>
  <w:num w:numId="53">
    <w:abstractNumId w:val="52"/>
  </w:num>
  <w:num w:numId="51">
    <w:abstractNumId w:val="50"/>
  </w:num>
  <w:num w:numId="50">
    <w:abstractNumId w:val="49"/>
  </w:num>
  <w:num w:numId="49">
    <w:abstractNumId w:val="48"/>
  </w:num>
  <w:num w:numId="47">
    <w:abstractNumId w:val="46"/>
  </w:num>
  <w:num w:numId="46">
    <w:abstractNumId w:val="45"/>
  </w:num>
  <w:num w:numId="45">
    <w:abstractNumId w:val="44"/>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29">
    <w:abstractNumId w:val="28"/>
  </w:num>
  <w:num w:numId="28">
    <w:abstractNumId w:val="27"/>
  </w:num>
  <w:num w:numId="26">
    <w:abstractNumId w:val="25"/>
  </w:num>
  <w:num w:numId="25">
    <w:abstractNumId w:val="24"/>
  </w:num>
  <w:num w:numId="24">
    <w:abstractNumId w:val="23"/>
  </w:num>
  <w:num w:numId="22">
    <w:abstractNumId w:val="21"/>
  </w:num>
  <w:num w:numId="21">
    <w:abstractNumId w:val="20"/>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6">
    <w:abstractNumId w:val="5"/>
  </w:num>
  <w:num w:numId="5">
    <w:abstractNumId w:val="4"/>
  </w:num>
  <w:num w:numId="3">
    <w:abstractNumId w:val="2"/>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TOC1" w:type="paragraph">
    <w:name w:val="TOC 1"/>
    <w:basedOn w:val="Normal"/>
    <w:uiPriority w:val="1"/>
    <w:qFormat/>
    <w:pPr>
      <w:spacing w:before="131"/>
      <w:ind w:left="1851"/>
    </w:pPr>
    <w:rPr>
      <w:rFonts w:ascii="Arial" w:hAnsi="Arial" w:eastAsia="Arial" w:cs="Arial"/>
      <w:b/>
      <w:bCs/>
      <w:sz w:val="18"/>
      <w:szCs w:val="18"/>
    </w:rPr>
  </w:style>
  <w:style w:styleId="TOC2" w:type="paragraph">
    <w:name w:val="TOC 2"/>
    <w:basedOn w:val="Normal"/>
    <w:uiPriority w:val="1"/>
    <w:qFormat/>
    <w:pPr>
      <w:spacing w:before="29"/>
      <w:ind w:left="1851"/>
    </w:pPr>
    <w:rPr>
      <w:rFonts w:ascii="Arial" w:hAnsi="Arial" w:eastAsia="Arial" w:cs="Arial"/>
      <w:b/>
      <w:bCs/>
      <w:i/>
    </w:rPr>
  </w:style>
  <w:style w:styleId="BodyText" w:type="paragraph">
    <w:name w:val="Body Text"/>
    <w:basedOn w:val="Normal"/>
    <w:uiPriority w:val="1"/>
    <w:qFormat/>
    <w:pPr/>
    <w:rPr>
      <w:rFonts w:ascii="Arial" w:hAnsi="Arial" w:eastAsia="Arial" w:cs="Arial"/>
      <w:sz w:val="18"/>
      <w:szCs w:val="18"/>
    </w:rPr>
  </w:style>
  <w:style w:styleId="Heading1" w:type="paragraph">
    <w:name w:val="Heading 1"/>
    <w:basedOn w:val="Normal"/>
    <w:uiPriority w:val="1"/>
    <w:qFormat/>
    <w:pPr>
      <w:spacing w:before="29"/>
      <w:ind w:left="1428"/>
      <w:outlineLvl w:val="1"/>
    </w:pPr>
    <w:rPr>
      <w:rFonts w:ascii="Arial" w:hAnsi="Arial" w:eastAsia="Arial" w:cs="Arial"/>
      <w:b/>
      <w:bCs/>
      <w:sz w:val="56"/>
      <w:szCs w:val="56"/>
    </w:rPr>
  </w:style>
  <w:style w:styleId="Heading2" w:type="paragraph">
    <w:name w:val="Heading 2"/>
    <w:basedOn w:val="Normal"/>
    <w:uiPriority w:val="1"/>
    <w:qFormat/>
    <w:pPr>
      <w:spacing w:before="1"/>
      <w:ind w:left="1860"/>
      <w:outlineLvl w:val="2"/>
    </w:pPr>
    <w:rPr>
      <w:rFonts w:ascii="Arial" w:hAnsi="Arial" w:eastAsia="Arial" w:cs="Arial"/>
      <w:b/>
      <w:bCs/>
      <w:sz w:val="52"/>
      <w:szCs w:val="52"/>
    </w:rPr>
  </w:style>
  <w:style w:styleId="Heading3" w:type="paragraph">
    <w:name w:val="Heading 3"/>
    <w:basedOn w:val="Normal"/>
    <w:uiPriority w:val="1"/>
    <w:qFormat/>
    <w:pPr>
      <w:spacing w:before="59"/>
      <w:ind w:left="1428"/>
      <w:outlineLvl w:val="3"/>
    </w:pPr>
    <w:rPr>
      <w:rFonts w:ascii="Arial" w:hAnsi="Arial" w:eastAsia="Arial" w:cs="Arial"/>
      <w:b/>
      <w:bCs/>
      <w:sz w:val="32"/>
      <w:szCs w:val="32"/>
    </w:rPr>
  </w:style>
  <w:style w:styleId="Heading4" w:type="paragraph">
    <w:name w:val="Heading 4"/>
    <w:basedOn w:val="Normal"/>
    <w:uiPriority w:val="1"/>
    <w:qFormat/>
    <w:pPr>
      <w:spacing w:before="64"/>
      <w:ind w:left="1428"/>
      <w:outlineLvl w:val="4"/>
    </w:pPr>
    <w:rPr>
      <w:rFonts w:ascii="Arial" w:hAnsi="Arial" w:eastAsia="Arial" w:cs="Arial"/>
      <w:b/>
      <w:bCs/>
      <w:sz w:val="28"/>
      <w:szCs w:val="28"/>
    </w:rPr>
  </w:style>
  <w:style w:styleId="Heading5" w:type="paragraph">
    <w:name w:val="Heading 5"/>
    <w:basedOn w:val="Normal"/>
    <w:uiPriority w:val="1"/>
    <w:qFormat/>
    <w:pPr>
      <w:spacing w:line="265" w:lineRule="exact"/>
      <w:ind w:left="20" w:right="-3"/>
      <w:outlineLvl w:val="5"/>
    </w:pPr>
    <w:rPr>
      <w:rFonts w:ascii="Arial" w:hAnsi="Arial" w:eastAsia="Arial" w:cs="Arial"/>
      <w:b/>
      <w:bCs/>
      <w:sz w:val="24"/>
      <w:szCs w:val="24"/>
    </w:rPr>
  </w:style>
  <w:style w:styleId="Heading6" w:type="paragraph">
    <w:name w:val="Heading 6"/>
    <w:basedOn w:val="Normal"/>
    <w:uiPriority w:val="1"/>
    <w:qFormat/>
    <w:pPr>
      <w:spacing w:before="69"/>
      <w:ind w:left="1838"/>
      <w:outlineLvl w:val="6"/>
    </w:pPr>
    <w:rPr>
      <w:rFonts w:ascii="Times New Roman" w:hAnsi="Times New Roman" w:eastAsia="Times New Roman" w:cs="Times New Roman"/>
      <w:sz w:val="24"/>
      <w:szCs w:val="24"/>
    </w:rPr>
  </w:style>
  <w:style w:styleId="Heading7" w:type="paragraph">
    <w:name w:val="Heading 7"/>
    <w:basedOn w:val="Normal"/>
    <w:uiPriority w:val="1"/>
    <w:qFormat/>
    <w:pPr>
      <w:spacing w:before="57"/>
      <w:ind w:left="1428"/>
      <w:outlineLvl w:val="7"/>
    </w:pPr>
    <w:rPr>
      <w:rFonts w:ascii="Arial" w:hAnsi="Arial" w:eastAsia="Arial" w:cs="Arial"/>
      <w:b/>
      <w:bCs/>
      <w:sz w:val="22"/>
      <w:szCs w:val="22"/>
    </w:rPr>
  </w:style>
  <w:style w:styleId="Heading8" w:type="paragraph">
    <w:name w:val="Heading 8"/>
    <w:basedOn w:val="Normal"/>
    <w:uiPriority w:val="1"/>
    <w:qFormat/>
    <w:pPr>
      <w:outlineLvl w:val="8"/>
    </w:pPr>
    <w:rPr>
      <w:rFonts w:ascii="Arial" w:hAnsi="Arial" w:eastAsia="Arial" w:cs="Arial"/>
      <w:b/>
      <w:bCs/>
      <w:sz w:val="18"/>
      <w:szCs w:val="18"/>
    </w:rPr>
  </w:style>
  <w:style w:styleId="ListParagraph" w:type="paragraph">
    <w:name w:val="List Paragraph"/>
    <w:basedOn w:val="Normal"/>
    <w:uiPriority w:val="1"/>
    <w:qFormat/>
    <w:pPr>
      <w:ind w:left="2390" w:hanging="566"/>
    </w:pPr>
    <w:rPr>
      <w:rFonts w:ascii="Arial" w:hAnsi="Arial" w:eastAsia="Arial" w:cs="Arial"/>
    </w:rPr>
  </w:style>
  <w:style w:styleId="TableParagraph" w:type="paragraph">
    <w:name w:val="Table Paragraph"/>
    <w:basedOn w:val="Normal"/>
    <w:uiPriority w:val="1"/>
    <w:qFormat/>
    <w:pPr>
      <w:jc w:val="right"/>
    </w:pPr>
    <w:rPr>
      <w:rFonts w:ascii="Arial" w:hAnsi="Arial" w:eastAsia="Arial" w:cs="Arial"/>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footer" Target="footer1.xml"/><Relationship Id="rId16" Type="http://schemas.openxmlformats.org/officeDocument/2006/relationships/header" Target="header1.xml"/><Relationship Id="rId17" Type="http://schemas.openxmlformats.org/officeDocument/2006/relationships/footer" Target="footer2.xml"/><Relationship Id="rId18" Type="http://schemas.openxmlformats.org/officeDocument/2006/relationships/image" Target="media/image13.png"/><Relationship Id="rId19" Type="http://schemas.openxmlformats.org/officeDocument/2006/relationships/image" Target="media/image14.png"/><Relationship Id="rId20" Type="http://schemas.openxmlformats.org/officeDocument/2006/relationships/image" Target="media/image15.png"/><Relationship Id="rId21" Type="http://schemas.openxmlformats.org/officeDocument/2006/relationships/image" Target="media/image16.jpeg"/><Relationship Id="rId22" Type="http://schemas.openxmlformats.org/officeDocument/2006/relationships/header" Target="header2.xml"/><Relationship Id="rId23" Type="http://schemas.openxmlformats.org/officeDocument/2006/relationships/image" Target="media/image18.jpeg"/><Relationship Id="rId24" Type="http://schemas.openxmlformats.org/officeDocument/2006/relationships/header" Target="header3.xml"/><Relationship Id="rId25" Type="http://schemas.openxmlformats.org/officeDocument/2006/relationships/image" Target="media/image19.jpeg"/><Relationship Id="rId26" Type="http://schemas.openxmlformats.org/officeDocument/2006/relationships/header" Target="header4.xml"/><Relationship Id="rId27" Type="http://schemas.openxmlformats.org/officeDocument/2006/relationships/image" Target="media/image21.jpeg"/><Relationship Id="rId28" Type="http://schemas.openxmlformats.org/officeDocument/2006/relationships/image" Target="media/image22.png"/><Relationship Id="rId29" Type="http://schemas.openxmlformats.org/officeDocument/2006/relationships/image" Target="media/image23.png"/><Relationship Id="rId30" Type="http://schemas.openxmlformats.org/officeDocument/2006/relationships/footer" Target="footer3.xml"/><Relationship Id="rId31" Type="http://schemas.openxmlformats.org/officeDocument/2006/relationships/header" Target="header5.xml"/><Relationship Id="rId32" Type="http://schemas.openxmlformats.org/officeDocument/2006/relationships/header" Target="header6.xml"/><Relationship Id="rId33" Type="http://schemas.openxmlformats.org/officeDocument/2006/relationships/footer" Target="footer4.xml"/><Relationship Id="rId34" Type="http://schemas.openxmlformats.org/officeDocument/2006/relationships/header" Target="header7.xml"/><Relationship Id="rId35" Type="http://schemas.openxmlformats.org/officeDocument/2006/relationships/header" Target="header8.xml"/><Relationship Id="rId36" Type="http://schemas.openxmlformats.org/officeDocument/2006/relationships/footer" Target="footer5.xml"/><Relationship Id="rId37" Type="http://schemas.openxmlformats.org/officeDocument/2006/relationships/header" Target="header9.xml"/><Relationship Id="rId38" Type="http://schemas.openxmlformats.org/officeDocument/2006/relationships/footer" Target="footer6.xml"/><Relationship Id="rId39" Type="http://schemas.openxmlformats.org/officeDocument/2006/relationships/header" Target="header10.xml"/><Relationship Id="rId40" Type="http://schemas.openxmlformats.org/officeDocument/2006/relationships/footer" Target="footer7.xml"/><Relationship Id="rId41" Type="http://schemas.openxmlformats.org/officeDocument/2006/relationships/image" Target="media/image25.png"/><Relationship Id="rId42" Type="http://schemas.openxmlformats.org/officeDocument/2006/relationships/header" Target="header11.xml"/><Relationship Id="rId43" Type="http://schemas.openxmlformats.org/officeDocument/2006/relationships/footer" Target="footer8.xml"/><Relationship Id="rId44" Type="http://schemas.openxmlformats.org/officeDocument/2006/relationships/header" Target="header12.xml"/><Relationship Id="rId45" Type="http://schemas.openxmlformats.org/officeDocument/2006/relationships/image" Target="media/image26.png"/><Relationship Id="rId46" Type="http://schemas.openxmlformats.org/officeDocument/2006/relationships/header" Target="header13.xml"/><Relationship Id="rId47" Type="http://schemas.openxmlformats.org/officeDocument/2006/relationships/footer" Target="footer9.xml"/><Relationship Id="rId48" Type="http://schemas.openxmlformats.org/officeDocument/2006/relationships/image" Target="media/image24.png"/><Relationship Id="rId49" Type="http://schemas.openxmlformats.org/officeDocument/2006/relationships/header" Target="header14.xml"/><Relationship Id="rId50" Type="http://schemas.openxmlformats.org/officeDocument/2006/relationships/footer" Target="footer10.xml"/><Relationship Id="rId51" Type="http://schemas.openxmlformats.org/officeDocument/2006/relationships/header" Target="header15.xml"/><Relationship Id="rId52" Type="http://schemas.openxmlformats.org/officeDocument/2006/relationships/footer" Target="footer11.xml"/><Relationship Id="rId53" Type="http://schemas.openxmlformats.org/officeDocument/2006/relationships/header" Target="header16.xml"/><Relationship Id="rId54" Type="http://schemas.openxmlformats.org/officeDocument/2006/relationships/footer" Target="footer12.xml"/><Relationship Id="rId55" Type="http://schemas.openxmlformats.org/officeDocument/2006/relationships/image" Target="media/image17.png"/><Relationship Id="rId56" Type="http://schemas.openxmlformats.org/officeDocument/2006/relationships/image" Target="media/image12.png"/><Relationship Id="rId57" Type="http://schemas.openxmlformats.org/officeDocument/2006/relationships/header" Target="header17.xml"/><Relationship Id="rId58" Type="http://schemas.openxmlformats.org/officeDocument/2006/relationships/footer" Target="footer13.xml"/><Relationship Id="rId59" Type="http://schemas.openxmlformats.org/officeDocument/2006/relationships/header" Target="header18.xml"/><Relationship Id="rId60" Type="http://schemas.openxmlformats.org/officeDocument/2006/relationships/footer" Target="footer14.xml"/><Relationship Id="rId61" Type="http://schemas.openxmlformats.org/officeDocument/2006/relationships/header" Target="header19.xml"/><Relationship Id="rId62" Type="http://schemas.openxmlformats.org/officeDocument/2006/relationships/image" Target="media/image27.png"/><Relationship Id="rId63" Type="http://schemas.openxmlformats.org/officeDocument/2006/relationships/footer" Target="footer15.xml"/><Relationship Id="rId64" Type="http://schemas.openxmlformats.org/officeDocument/2006/relationships/image" Target="media/image29.jpeg"/><Relationship Id="rId65" Type="http://schemas.openxmlformats.org/officeDocument/2006/relationships/header" Target="header20.xml"/><Relationship Id="rId66" Type="http://schemas.openxmlformats.org/officeDocument/2006/relationships/image" Target="media/image30.jpeg"/><Relationship Id="rId67" Type="http://schemas.openxmlformats.org/officeDocument/2006/relationships/image" Target="media/image31.jpeg"/><Relationship Id="rId68" Type="http://schemas.openxmlformats.org/officeDocument/2006/relationships/image" Target="media/image32.jpeg"/><Relationship Id="rId69" Type="http://schemas.openxmlformats.org/officeDocument/2006/relationships/image" Target="media/image33.jpeg"/><Relationship Id="rId70" Type="http://schemas.openxmlformats.org/officeDocument/2006/relationships/image" Target="media/image34.jpeg"/><Relationship Id="rId71" Type="http://schemas.openxmlformats.org/officeDocument/2006/relationships/image" Target="media/image35.jpeg"/><Relationship Id="rId72" Type="http://schemas.openxmlformats.org/officeDocument/2006/relationships/header" Target="header21.xml"/><Relationship Id="rId73" Type="http://schemas.openxmlformats.org/officeDocument/2006/relationships/image" Target="media/image36.jpeg"/><Relationship Id="rId74" Type="http://schemas.openxmlformats.org/officeDocument/2006/relationships/header" Target="header22.xml"/><Relationship Id="rId75" Type="http://schemas.openxmlformats.org/officeDocument/2006/relationships/header" Target="header23.xml"/><Relationship Id="rId76" Type="http://schemas.openxmlformats.org/officeDocument/2006/relationships/header" Target="header24.xml"/><Relationship Id="rId77" Type="http://schemas.openxmlformats.org/officeDocument/2006/relationships/footer" Target="footer16.xml"/><Relationship Id="rId78" Type="http://schemas.openxmlformats.org/officeDocument/2006/relationships/header" Target="header25.xml"/><Relationship Id="rId79" Type="http://schemas.openxmlformats.org/officeDocument/2006/relationships/footer" Target="footer17.xml"/><Relationship Id="rId80" Type="http://schemas.openxmlformats.org/officeDocument/2006/relationships/header" Target="header26.xml"/><Relationship Id="rId81" Type="http://schemas.openxmlformats.org/officeDocument/2006/relationships/footer" Target="footer18.xml"/><Relationship Id="rId82" Type="http://schemas.openxmlformats.org/officeDocument/2006/relationships/header" Target="header27.xml"/><Relationship Id="rId83" Type="http://schemas.openxmlformats.org/officeDocument/2006/relationships/footer" Target="footer19.xml"/><Relationship Id="rId84" Type="http://schemas.openxmlformats.org/officeDocument/2006/relationships/header" Target="header28.xml"/><Relationship Id="rId85" Type="http://schemas.openxmlformats.org/officeDocument/2006/relationships/image" Target="media/image37.jpeg"/><Relationship Id="rId86" Type="http://schemas.openxmlformats.org/officeDocument/2006/relationships/footer" Target="footer20.xml"/><Relationship Id="rId87" Type="http://schemas.openxmlformats.org/officeDocument/2006/relationships/image" Target="media/image38.jpeg"/><Relationship Id="rId88" Type="http://schemas.openxmlformats.org/officeDocument/2006/relationships/header" Target="header29.xml"/><Relationship Id="rId89" Type="http://schemas.openxmlformats.org/officeDocument/2006/relationships/footer" Target="footer21.xml"/><Relationship Id="rId90" Type="http://schemas.openxmlformats.org/officeDocument/2006/relationships/image" Target="media/image40.jpeg"/><Relationship Id="rId91" Type="http://schemas.openxmlformats.org/officeDocument/2006/relationships/image" Target="media/image41.png"/><Relationship Id="rId92" Type="http://schemas.openxmlformats.org/officeDocument/2006/relationships/image" Target="media/image42.png"/><Relationship Id="rId93" Type="http://schemas.openxmlformats.org/officeDocument/2006/relationships/header" Target="header30.xml"/><Relationship Id="rId94" Type="http://schemas.openxmlformats.org/officeDocument/2006/relationships/image" Target="media/image43.png"/><Relationship Id="rId95" Type="http://schemas.openxmlformats.org/officeDocument/2006/relationships/image" Target="media/image44.jpeg"/><Relationship Id="rId96" Type="http://schemas.openxmlformats.org/officeDocument/2006/relationships/header" Target="header31.xml"/><Relationship Id="rId97" Type="http://schemas.openxmlformats.org/officeDocument/2006/relationships/image" Target="media/image45.png"/><Relationship Id="rId98" Type="http://schemas.openxmlformats.org/officeDocument/2006/relationships/header" Target="header32.xml"/><Relationship Id="rId99" Type="http://schemas.openxmlformats.org/officeDocument/2006/relationships/image" Target="media/image46.jpeg"/><Relationship Id="rId100" Type="http://schemas.openxmlformats.org/officeDocument/2006/relationships/footer" Target="footer22.xml"/><Relationship Id="rId101" Type="http://schemas.openxmlformats.org/officeDocument/2006/relationships/image" Target="media/image47.jpeg"/><Relationship Id="rId102" Type="http://schemas.openxmlformats.org/officeDocument/2006/relationships/image" Target="media/image48.jpeg"/><Relationship Id="rId103" Type="http://schemas.openxmlformats.org/officeDocument/2006/relationships/header" Target="header33.xml"/><Relationship Id="rId104" Type="http://schemas.openxmlformats.org/officeDocument/2006/relationships/footer" Target="footer23.xml"/><Relationship Id="rId105" Type="http://schemas.openxmlformats.org/officeDocument/2006/relationships/header" Target="header34.xml"/><Relationship Id="rId106" Type="http://schemas.openxmlformats.org/officeDocument/2006/relationships/header" Target="header35.xml"/><Relationship Id="rId107" Type="http://schemas.openxmlformats.org/officeDocument/2006/relationships/header" Target="header36.xml"/><Relationship Id="rId108" Type="http://schemas.openxmlformats.org/officeDocument/2006/relationships/footer" Target="footer24.xml"/><Relationship Id="rId109" Type="http://schemas.openxmlformats.org/officeDocument/2006/relationships/header" Target="header37.xml"/><Relationship Id="rId110" Type="http://schemas.openxmlformats.org/officeDocument/2006/relationships/header" Target="header38.xml"/><Relationship Id="rId111" Type="http://schemas.openxmlformats.org/officeDocument/2006/relationships/footer" Target="footer25.xml"/><Relationship Id="rId112" Type="http://schemas.openxmlformats.org/officeDocument/2006/relationships/footer" Target="footer26.xml"/><Relationship Id="rId113" Type="http://schemas.openxmlformats.org/officeDocument/2006/relationships/footer" Target="footer27.xml"/><Relationship Id="rId114" Type="http://schemas.openxmlformats.org/officeDocument/2006/relationships/header" Target="header39.xml"/><Relationship Id="rId115" Type="http://schemas.openxmlformats.org/officeDocument/2006/relationships/header" Target="header40.xml"/><Relationship Id="rId116" Type="http://schemas.openxmlformats.org/officeDocument/2006/relationships/image" Target="media/image49.jpeg"/><Relationship Id="rId117" Type="http://schemas.openxmlformats.org/officeDocument/2006/relationships/image" Target="media/image50.jpeg"/><Relationship Id="rId118" Type="http://schemas.openxmlformats.org/officeDocument/2006/relationships/header" Target="header41.xml"/><Relationship Id="rId119" Type="http://schemas.openxmlformats.org/officeDocument/2006/relationships/image" Target="media/image51.png"/><Relationship Id="rId120" Type="http://schemas.openxmlformats.org/officeDocument/2006/relationships/footer" Target="footer28.xml"/><Relationship Id="rId121" Type="http://schemas.openxmlformats.org/officeDocument/2006/relationships/image" Target="media/image52.jpeg"/><Relationship Id="rId122" Type="http://schemas.openxmlformats.org/officeDocument/2006/relationships/header" Target="header42.xml"/><Relationship Id="rId123" Type="http://schemas.openxmlformats.org/officeDocument/2006/relationships/image" Target="media/image53.jpeg"/><Relationship Id="rId124" Type="http://schemas.openxmlformats.org/officeDocument/2006/relationships/header" Target="header43.xml"/><Relationship Id="rId125" Type="http://schemas.openxmlformats.org/officeDocument/2006/relationships/footer" Target="footer29.xml"/><Relationship Id="rId126" Type="http://schemas.openxmlformats.org/officeDocument/2006/relationships/image" Target="media/image54.png"/><Relationship Id="rId127" Type="http://schemas.openxmlformats.org/officeDocument/2006/relationships/image" Target="media/image55.png"/><Relationship Id="rId128" Type="http://schemas.openxmlformats.org/officeDocument/2006/relationships/image" Target="media/image56.png"/><Relationship Id="rId129" Type="http://schemas.openxmlformats.org/officeDocument/2006/relationships/header" Target="header44.xml"/><Relationship Id="rId130" Type="http://schemas.openxmlformats.org/officeDocument/2006/relationships/footer" Target="footer30.xml"/><Relationship Id="rId131" Type="http://schemas.openxmlformats.org/officeDocument/2006/relationships/footer" Target="footer31.xml"/><Relationship Id="rId132" Type="http://schemas.openxmlformats.org/officeDocument/2006/relationships/image" Target="media/image57.jpeg"/><Relationship Id="rId133" Type="http://schemas.openxmlformats.org/officeDocument/2006/relationships/header" Target="header45.xml"/><Relationship Id="rId134" Type="http://schemas.openxmlformats.org/officeDocument/2006/relationships/image" Target="media/image58.png"/><Relationship Id="rId135" Type="http://schemas.openxmlformats.org/officeDocument/2006/relationships/image" Target="media/image59.png"/><Relationship Id="rId136" Type="http://schemas.openxmlformats.org/officeDocument/2006/relationships/image" Target="media/image60.png"/><Relationship Id="rId137" Type="http://schemas.openxmlformats.org/officeDocument/2006/relationships/image" Target="media/image61.jpeg"/><Relationship Id="rId138" Type="http://schemas.openxmlformats.org/officeDocument/2006/relationships/hyperlink" Target="http://www.auasb.gov.au/auditors_files/ar3.pdf" TargetMode="External"/><Relationship Id="rId139" Type="http://schemas.openxmlformats.org/officeDocument/2006/relationships/image" Target="media/image62.jpeg"/><Relationship Id="rId140" Type="http://schemas.openxmlformats.org/officeDocument/2006/relationships/header" Target="header46.xml"/><Relationship Id="rId141" Type="http://schemas.openxmlformats.org/officeDocument/2006/relationships/image" Target="media/image63.jpeg"/><Relationship Id="rId142" Type="http://schemas.openxmlformats.org/officeDocument/2006/relationships/footer" Target="footer32.xml"/><Relationship Id="rId143" Type="http://schemas.openxmlformats.org/officeDocument/2006/relationships/footer" Target="footer33.xml"/><Relationship Id="rId144" Type="http://schemas.openxmlformats.org/officeDocument/2006/relationships/image" Target="media/image64.jpeg"/><Relationship Id="rId145" Type="http://schemas.openxmlformats.org/officeDocument/2006/relationships/header" Target="header47.xml"/><Relationship Id="rId146" Type="http://schemas.openxmlformats.org/officeDocument/2006/relationships/header" Target="header48.xml"/><Relationship Id="rId147" Type="http://schemas.openxmlformats.org/officeDocument/2006/relationships/header" Target="header49.xml"/><Relationship Id="rId148" Type="http://schemas.openxmlformats.org/officeDocument/2006/relationships/header" Target="header50.xml"/><Relationship Id="rId149" Type="http://schemas.openxmlformats.org/officeDocument/2006/relationships/header" Target="header51.xml"/><Relationship Id="rId150" Type="http://schemas.openxmlformats.org/officeDocument/2006/relationships/header" Target="header52.xml"/><Relationship Id="rId151" Type="http://schemas.openxmlformats.org/officeDocument/2006/relationships/footer" Target="footer34.xml"/><Relationship Id="rId152" Type="http://schemas.openxmlformats.org/officeDocument/2006/relationships/numbering" Target="numbering.xml"/></Relationships>

</file>

<file path=word/_rels/footer10.xml.rels><?xml version="1.0" encoding="UTF-8" standalone="yes"?>
<Relationships xmlns="http://schemas.openxmlformats.org/package/2006/relationships"><Relationship Id="rId1" Type="http://schemas.openxmlformats.org/officeDocument/2006/relationships/image" Target="media/image12.png"/></Relationships>

</file>

<file path=word/_rels/footer11.xml.rels><?xml version="1.0" encoding="UTF-8" standalone="yes"?>
<Relationships xmlns="http://schemas.openxmlformats.org/package/2006/relationships"><Relationship Id="rId1" Type="http://schemas.openxmlformats.org/officeDocument/2006/relationships/image" Target="media/image25.png"/></Relationships>

</file>

<file path=word/_rels/footer13.xml.rels><?xml version="1.0" encoding="UTF-8" standalone="yes"?>
<Relationships xmlns="http://schemas.openxmlformats.org/package/2006/relationships"><Relationship Id="rId1" Type="http://schemas.openxmlformats.org/officeDocument/2006/relationships/image" Target="media/image25.png"/></Relationships>

</file>

<file path=word/_rels/footer14.xml.rels><?xml version="1.0" encoding="UTF-8" standalone="yes"?>
<Relationships xmlns="http://schemas.openxmlformats.org/package/2006/relationships"><Relationship Id="rId1" Type="http://schemas.openxmlformats.org/officeDocument/2006/relationships/image" Target="media/image12.png"/></Relationships>

</file>

<file path=word/_rels/footer15.xml.rels><?xml version="1.0" encoding="UTF-8" standalone="yes"?>
<Relationships xmlns="http://schemas.openxmlformats.org/package/2006/relationships"><Relationship Id="rId1" Type="http://schemas.openxmlformats.org/officeDocument/2006/relationships/image" Target="media/image28.png"/></Relationships>

</file>

<file path=word/_rels/footer19.xml.rels><?xml version="1.0" encoding="UTF-8" standalone="yes"?>
<Relationships xmlns="http://schemas.openxmlformats.org/package/2006/relationships"><Relationship Id="rId1" Type="http://schemas.openxmlformats.org/officeDocument/2006/relationships/image" Target="media/image12.png"/></Relationships>

</file>

<file path=word/_rels/footer2.xml.rels><?xml version="1.0" encoding="UTF-8" standalone="yes"?>
<Relationships xmlns="http://schemas.openxmlformats.org/package/2006/relationships"><Relationship Id="rId1" Type="http://schemas.openxmlformats.org/officeDocument/2006/relationships/image" Target="media/image12.png"/></Relationships>

</file>

<file path=word/_rels/footer20.xml.rels><?xml version="1.0" encoding="UTF-8" standalone="yes"?>
<Relationships xmlns="http://schemas.openxmlformats.org/package/2006/relationships"><Relationship Id="rId1" Type="http://schemas.openxmlformats.org/officeDocument/2006/relationships/image" Target="media/image28.png"/></Relationships>

</file>

<file path=word/_rels/footer21.xml.rels><?xml version="1.0" encoding="UTF-8" standalone="yes"?>
<Relationships xmlns="http://schemas.openxmlformats.org/package/2006/relationships"><Relationship Id="rId1" Type="http://schemas.openxmlformats.org/officeDocument/2006/relationships/image" Target="media/image39.png"/></Relationships>

</file>

<file path=word/_rels/footer22.xml.rels><?xml version="1.0" encoding="UTF-8" standalone="yes"?>
<Relationships xmlns="http://schemas.openxmlformats.org/package/2006/relationships"><Relationship Id="rId1" Type="http://schemas.openxmlformats.org/officeDocument/2006/relationships/image" Target="media/image28.png"/></Relationships>

</file>

<file path=word/_rels/footer23.xml.rels><?xml version="1.0" encoding="UTF-8" standalone="yes"?>
<Relationships xmlns="http://schemas.openxmlformats.org/package/2006/relationships"><Relationship Id="rId1" Type="http://schemas.openxmlformats.org/officeDocument/2006/relationships/image" Target="media/image12.png"/></Relationships>

</file>

<file path=word/_rels/footer24.xml.rels><?xml version="1.0" encoding="UTF-8" standalone="yes"?>
<Relationships xmlns="http://schemas.openxmlformats.org/package/2006/relationships"><Relationship Id="rId1" Type="http://schemas.openxmlformats.org/officeDocument/2006/relationships/image" Target="media/image12.png"/></Relationships>

</file>

<file path=word/_rels/footer25.xml.rels><?xml version="1.0" encoding="UTF-8" standalone="yes"?>
<Relationships xmlns="http://schemas.openxmlformats.org/package/2006/relationships"><Relationship Id="rId1" Type="http://schemas.openxmlformats.org/officeDocument/2006/relationships/image" Target="media/image12.png"/></Relationships>

</file>

<file path=word/_rels/footer26.xml.rels><?xml version="1.0" encoding="UTF-8" standalone="yes"?>
<Relationships xmlns="http://schemas.openxmlformats.org/package/2006/relationships"><Relationship Id="rId1" Type="http://schemas.openxmlformats.org/officeDocument/2006/relationships/image" Target="media/image12.png"/></Relationships>

</file>

<file path=word/_rels/footer27.xml.rels><?xml version="1.0" encoding="UTF-8" standalone="yes"?>
<Relationships xmlns="http://schemas.openxmlformats.org/package/2006/relationships"><Relationship Id="rId1" Type="http://schemas.openxmlformats.org/officeDocument/2006/relationships/image" Target="media/image12.png"/></Relationships>

</file>

<file path=word/_rels/footer28.xml.rels><?xml version="1.0" encoding="UTF-8" standalone="yes"?>
<Relationships xmlns="http://schemas.openxmlformats.org/package/2006/relationships"><Relationship Id="rId1" Type="http://schemas.openxmlformats.org/officeDocument/2006/relationships/image" Target="media/image28.png"/></Relationships>

</file>

<file path=word/_rels/footer29.xml.rels><?xml version="1.0" encoding="UTF-8" standalone="yes"?>
<Relationships xmlns="http://schemas.openxmlformats.org/package/2006/relationships"><Relationship Id="rId1" Type="http://schemas.openxmlformats.org/officeDocument/2006/relationships/image" Target="media/image28.png"/></Relationships>

</file>

<file path=word/_rels/footer3.xml.rels><?xml version="1.0" encoding="UTF-8" standalone="yes"?>
<Relationships xmlns="http://schemas.openxmlformats.org/package/2006/relationships"><Relationship Id="rId1" Type="http://schemas.openxmlformats.org/officeDocument/2006/relationships/image" Target="media/image12.png"/></Relationships>

</file>

<file path=word/_rels/footer30.xml.rels><?xml version="1.0" encoding="UTF-8" standalone="yes"?>
<Relationships xmlns="http://schemas.openxmlformats.org/package/2006/relationships"><Relationship Id="rId1" Type="http://schemas.openxmlformats.org/officeDocument/2006/relationships/image" Target="media/image12.png"/></Relationships>

</file>

<file path=word/_rels/footer31.xml.rels><?xml version="1.0" encoding="UTF-8" standalone="yes"?>
<Relationships xmlns="http://schemas.openxmlformats.org/package/2006/relationships"><Relationship Id="rId1" Type="http://schemas.openxmlformats.org/officeDocument/2006/relationships/image" Target="media/image12.png"/></Relationships>

</file>

<file path=word/_rels/footer32.xml.rels><?xml version="1.0" encoding="UTF-8" standalone="yes"?>
<Relationships xmlns="http://schemas.openxmlformats.org/package/2006/relationships"><Relationship Id="rId1" Type="http://schemas.openxmlformats.org/officeDocument/2006/relationships/image" Target="media/image12.png"/></Relationships>

</file>

<file path=word/_rels/footer33.xml.rels><?xml version="1.0" encoding="UTF-8" standalone="yes"?>
<Relationships xmlns="http://schemas.openxmlformats.org/package/2006/relationships"><Relationship Id="rId1" Type="http://schemas.openxmlformats.org/officeDocument/2006/relationships/image" Target="media/image12.png"/></Relationships>

</file>

<file path=word/_rels/footer4.xml.rels><?xml version="1.0" encoding="UTF-8" standalone="yes"?>
<Relationships xmlns="http://schemas.openxmlformats.org/package/2006/relationships"><Relationship Id="rId1" Type="http://schemas.openxmlformats.org/officeDocument/2006/relationships/image" Target="media/image12.png"/></Relationships>

</file>

<file path=word/_rels/footer5.xml.rels><?xml version="1.0" encoding="UTF-8" standalone="yes"?>
<Relationships xmlns="http://schemas.openxmlformats.org/package/2006/relationships"><Relationship Id="rId1" Type="http://schemas.openxmlformats.org/officeDocument/2006/relationships/image" Target="media/image12.png"/></Relationships>

</file>

<file path=word/_rels/footer6.xml.rels><?xml version="1.0" encoding="UTF-8" standalone="yes"?>
<Relationships xmlns="http://schemas.openxmlformats.org/package/2006/relationships"><Relationship Id="rId1" Type="http://schemas.openxmlformats.org/officeDocument/2006/relationships/image" Target="media/image12.png"/></Relationships>

</file>

<file path=word/_rels/footer7.xml.rels><?xml version="1.0" encoding="UTF-8" standalone="yes"?>
<Relationships xmlns="http://schemas.openxmlformats.org/package/2006/relationships"><Relationship Id="rId1" Type="http://schemas.openxmlformats.org/officeDocument/2006/relationships/image" Target="media/image25.png"/></Relationships>

</file>

<file path=word/_rels/footer8.xml.rels><?xml version="1.0" encoding="UTF-8" standalone="yes"?>
<Relationships xmlns="http://schemas.openxmlformats.org/package/2006/relationships"><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10.xml.rels><?xml version="1.0" encoding="UTF-8" standalone="yes"?>
<Relationships xmlns="http://schemas.openxmlformats.org/package/2006/relationships"><Relationship Id="rId1" Type="http://schemas.openxmlformats.org/officeDocument/2006/relationships/image" Target="media/image24.png"/></Relationships>

</file>

<file path=word/_rels/header11.xml.rels><?xml version="1.0" encoding="UTF-8" standalone="yes"?>
<Relationships xmlns="http://schemas.openxmlformats.org/package/2006/relationships"><Relationship Id="rId1" Type="http://schemas.openxmlformats.org/officeDocument/2006/relationships/image" Target="media/image17.png"/></Relationships>

</file>

<file path=word/_rels/header12.xml.rels><?xml version="1.0" encoding="UTF-8" standalone="yes"?>
<Relationships xmlns="http://schemas.openxmlformats.org/package/2006/relationships"><Relationship Id="rId1" Type="http://schemas.openxmlformats.org/officeDocument/2006/relationships/image" Target="media/image17.png"/></Relationships>

</file>

<file path=word/_rels/header14.xml.rels><?xml version="1.0" encoding="UTF-8" standalone="yes"?>
<Relationships xmlns="http://schemas.openxmlformats.org/package/2006/relationships"><Relationship Id="rId1" Type="http://schemas.openxmlformats.org/officeDocument/2006/relationships/image" Target="media/image17.png"/></Relationships>

</file>

<file path=word/_rels/header15.xml.rels><?xml version="1.0" encoding="UTF-8" standalone="yes"?>
<Relationships xmlns="http://schemas.openxmlformats.org/package/2006/relationships"><Relationship Id="rId1" Type="http://schemas.openxmlformats.org/officeDocument/2006/relationships/image" Target="media/image24.png"/></Relationships>

</file>

<file path=word/_rels/header17.xml.rels><?xml version="1.0" encoding="UTF-8" standalone="yes"?>
<Relationships xmlns="http://schemas.openxmlformats.org/package/2006/relationships"><Relationship Id="rId1" Type="http://schemas.openxmlformats.org/officeDocument/2006/relationships/image" Target="media/image24.png"/></Relationships>

</file>

<file path=word/_rels/header18.xml.rels><?xml version="1.0" encoding="UTF-8" standalone="yes"?>
<Relationships xmlns="http://schemas.openxmlformats.org/package/2006/relationships"><Relationship Id="rId1" Type="http://schemas.openxmlformats.org/officeDocument/2006/relationships/image" Target="media/image17.png"/></Relationships>

</file>

<file path=word/_rels/header19.xml.rels><?xml version="1.0" encoding="UTF-8" standalone="yes"?>
<Relationships xmlns="http://schemas.openxmlformats.org/package/2006/relationships"><Relationship Id="rId1" Type="http://schemas.openxmlformats.org/officeDocument/2006/relationships/image" Target="media/image20.png"/></Relationships>

</file>

<file path=word/_rels/header2.xml.rels><?xml version="1.0" encoding="UTF-8" standalone="yes"?>
<Relationships xmlns="http://schemas.openxmlformats.org/package/2006/relationships"><Relationship Id="rId1" Type="http://schemas.openxmlformats.org/officeDocument/2006/relationships/image" Target="media/image17.png"/></Relationships>

</file>

<file path=word/_rels/header20.xml.rels><?xml version="1.0" encoding="UTF-8" standalone="yes"?>
<Relationships xmlns="http://schemas.openxmlformats.org/package/2006/relationships"><Relationship Id="rId1" Type="http://schemas.openxmlformats.org/officeDocument/2006/relationships/image" Target="media/image17.png"/></Relationships>

</file>

<file path=word/_rels/header21.xml.rels><?xml version="1.0" encoding="UTF-8" standalone="yes"?>
<Relationships xmlns="http://schemas.openxmlformats.org/package/2006/relationships"><Relationship Id="rId1" Type="http://schemas.openxmlformats.org/officeDocument/2006/relationships/image" Target="media/image20.png"/></Relationships>

</file>

<file path=word/_rels/header22.xml.rels><?xml version="1.0" encoding="UTF-8" standalone="yes"?>
<Relationships xmlns="http://schemas.openxmlformats.org/package/2006/relationships"><Relationship Id="rId1" Type="http://schemas.openxmlformats.org/officeDocument/2006/relationships/image" Target="media/image17.png"/></Relationships>

</file>

<file path=word/_rels/header23.xml.rels><?xml version="1.0" encoding="UTF-8" standalone="yes"?>
<Relationships xmlns="http://schemas.openxmlformats.org/package/2006/relationships"><Relationship Id="rId1" Type="http://schemas.openxmlformats.org/officeDocument/2006/relationships/image" Target="media/image17.png"/></Relationships>

</file>

<file path=word/_rels/header27.xml.rels><?xml version="1.0" encoding="UTF-8" standalone="yes"?>
<Relationships xmlns="http://schemas.openxmlformats.org/package/2006/relationships"><Relationship Id="rId1" Type="http://schemas.openxmlformats.org/officeDocument/2006/relationships/image" Target="media/image17.png"/></Relationships>

</file>

<file path=word/_rels/header28.xml.rels><?xml version="1.0" encoding="UTF-8" standalone="yes"?>
<Relationships xmlns="http://schemas.openxmlformats.org/package/2006/relationships"><Relationship Id="rId1" Type="http://schemas.openxmlformats.org/officeDocument/2006/relationships/image" Target="media/image20.png"/></Relationships>

</file>

<file path=word/_rels/header3.xml.rels><?xml version="1.0" encoding="UTF-8" standalone="yes"?>
<Relationships xmlns="http://schemas.openxmlformats.org/package/2006/relationships"><Relationship Id="rId1" Type="http://schemas.openxmlformats.org/officeDocument/2006/relationships/image" Target="media/image17.png"/></Relationships>

</file>

<file path=word/_rels/header30.xml.rels><?xml version="1.0" encoding="UTF-8" standalone="yes"?>
<Relationships xmlns="http://schemas.openxmlformats.org/package/2006/relationships"><Relationship Id="rId1" Type="http://schemas.openxmlformats.org/officeDocument/2006/relationships/image" Target="media/image17.png"/></Relationships>

</file>

<file path=word/_rels/header31.xml.rels><?xml version="1.0" encoding="UTF-8" standalone="yes"?>
<Relationships xmlns="http://schemas.openxmlformats.org/package/2006/relationships"><Relationship Id="rId1" Type="http://schemas.openxmlformats.org/officeDocument/2006/relationships/image" Target="media/image17.png"/></Relationships>

</file>

<file path=word/_rels/header32.xml.rels><?xml version="1.0" encoding="UTF-8" standalone="yes"?>
<Relationships xmlns="http://schemas.openxmlformats.org/package/2006/relationships"><Relationship Id="rId1" Type="http://schemas.openxmlformats.org/officeDocument/2006/relationships/image" Target="media/image20.png"/></Relationships>

</file>

<file path=word/_rels/header33.xml.rels><?xml version="1.0" encoding="UTF-8" standalone="yes"?>
<Relationships xmlns="http://schemas.openxmlformats.org/package/2006/relationships"><Relationship Id="rId1" Type="http://schemas.openxmlformats.org/officeDocument/2006/relationships/image" Target="media/image17.png"/></Relationships>

</file>

<file path=word/_rels/header34.xml.rels><?xml version="1.0" encoding="UTF-8" standalone="yes"?>
<Relationships xmlns="http://schemas.openxmlformats.org/package/2006/relationships"><Relationship Id="rId1" Type="http://schemas.openxmlformats.org/officeDocument/2006/relationships/image" Target="media/image17.png"/></Relationships>

</file>

<file path=word/_rels/header35.xml.rels><?xml version="1.0" encoding="UTF-8" standalone="yes"?>
<Relationships xmlns="http://schemas.openxmlformats.org/package/2006/relationships"><Relationship Id="rId1" Type="http://schemas.openxmlformats.org/officeDocument/2006/relationships/image" Target="media/image17.png"/></Relationships>

</file>

<file path=word/_rels/header36.xml.rels><?xml version="1.0" encoding="UTF-8" standalone="yes"?>
<Relationships xmlns="http://schemas.openxmlformats.org/package/2006/relationships"><Relationship Id="rId1" Type="http://schemas.openxmlformats.org/officeDocument/2006/relationships/image" Target="media/image17.png"/></Relationships>

</file>

<file path=word/_rels/header37.xml.rels><?xml version="1.0" encoding="UTF-8" standalone="yes"?>
<Relationships xmlns="http://schemas.openxmlformats.org/package/2006/relationships"><Relationship Id="rId1" Type="http://schemas.openxmlformats.org/officeDocument/2006/relationships/image" Target="media/image17.png"/></Relationships>

</file>

<file path=word/_rels/header38.xml.rels><?xml version="1.0" encoding="UTF-8" standalone="yes"?>
<Relationships xmlns="http://schemas.openxmlformats.org/package/2006/relationships"><Relationship Id="rId1" Type="http://schemas.openxmlformats.org/officeDocument/2006/relationships/image" Target="media/image17.png"/></Relationships>

</file>

<file path=word/_rels/header39.xml.rels><?xml version="1.0" encoding="UTF-8" standalone="yes"?>
<Relationships xmlns="http://schemas.openxmlformats.org/package/2006/relationships"><Relationship Id="rId1" Type="http://schemas.openxmlformats.org/officeDocument/2006/relationships/image" Target="media/image17.png"/></Relationships>

</file>

<file path=word/_rels/header4.xml.rels><?xml version="1.0" encoding="UTF-8" standalone="yes"?>
<Relationships xmlns="http://schemas.openxmlformats.org/package/2006/relationships"><Relationship Id="rId1" Type="http://schemas.openxmlformats.org/officeDocument/2006/relationships/image" Target="media/image20.png"/></Relationships>

</file>

<file path=word/_rels/header40.xml.rels><?xml version="1.0" encoding="UTF-8" standalone="yes"?>
<Relationships xmlns="http://schemas.openxmlformats.org/package/2006/relationships"><Relationship Id="rId1" Type="http://schemas.openxmlformats.org/officeDocument/2006/relationships/image" Target="media/image17.png"/></Relationships>

</file>

<file path=word/_rels/header41.xml.rels><?xml version="1.0" encoding="UTF-8" standalone="yes"?>
<Relationships xmlns="http://schemas.openxmlformats.org/package/2006/relationships"><Relationship Id="rId1" Type="http://schemas.openxmlformats.org/officeDocument/2006/relationships/image" Target="media/image20.png"/></Relationships>

</file>

<file path=word/_rels/header42.xml.rels><?xml version="1.0" encoding="UTF-8" standalone="yes"?>
<Relationships xmlns="http://schemas.openxmlformats.org/package/2006/relationships"><Relationship Id="rId1" Type="http://schemas.openxmlformats.org/officeDocument/2006/relationships/image" Target="media/image17.png"/></Relationships>

</file>

<file path=word/_rels/header44.xml.rels><?xml version="1.0" encoding="UTF-8" standalone="yes"?>
<Relationships xmlns="http://schemas.openxmlformats.org/package/2006/relationships"><Relationship Id="rId1" Type="http://schemas.openxmlformats.org/officeDocument/2006/relationships/image" Target="media/image17.png"/></Relationships>

</file>

<file path=word/_rels/header45.xml.rels><?xml version="1.0" encoding="UTF-8" standalone="yes"?>
<Relationships xmlns="http://schemas.openxmlformats.org/package/2006/relationships"><Relationship Id="rId1" Type="http://schemas.openxmlformats.org/officeDocument/2006/relationships/image" Target="media/image11.png"/></Relationships>

</file>

<file path=word/_rels/header46.xml.rels><?xml version="1.0" encoding="UTF-8" standalone="yes"?>
<Relationships xmlns="http://schemas.openxmlformats.org/package/2006/relationships"><Relationship Id="rId1" Type="http://schemas.openxmlformats.org/officeDocument/2006/relationships/image" Target="media/image17.png"/></Relationships>

</file>

<file path=word/_rels/header47.xml.rels><?xml version="1.0" encoding="UTF-8" standalone="yes"?>
<Relationships xmlns="http://schemas.openxmlformats.org/package/2006/relationships"><Relationship Id="rId1" Type="http://schemas.openxmlformats.org/officeDocument/2006/relationships/image" Target="media/image11.png"/></Relationships>

</file>

<file path=word/_rels/header48.xml.rels><?xml version="1.0" encoding="UTF-8" standalone="yes"?>
<Relationships xmlns="http://schemas.openxmlformats.org/package/2006/relationships"><Relationship Id="rId1" Type="http://schemas.openxmlformats.org/officeDocument/2006/relationships/image" Target="media/image20.png"/></Relationships>

</file>

<file path=word/_rels/header49.xml.rels><?xml version="1.0" encoding="UTF-8" standalone="yes"?>
<Relationships xmlns="http://schemas.openxmlformats.org/package/2006/relationships"><Relationship Id="rId1" Type="http://schemas.openxmlformats.org/officeDocument/2006/relationships/image" Target="media/image20.png"/></Relationships>

</file>

<file path=word/_rels/header5.xml.rels><?xml version="1.0" encoding="UTF-8" standalone="yes"?>
<Relationships xmlns="http://schemas.openxmlformats.org/package/2006/relationships"><Relationship Id="rId1" Type="http://schemas.openxmlformats.org/officeDocument/2006/relationships/image" Target="media/image17.png"/></Relationships>

</file>

<file path=word/_rels/header50.xml.rels><?xml version="1.0" encoding="UTF-8" standalone="yes"?>
<Relationships xmlns="http://schemas.openxmlformats.org/package/2006/relationships"><Relationship Id="rId1" Type="http://schemas.openxmlformats.org/officeDocument/2006/relationships/image" Target="media/image20.png"/></Relationships>

</file>

<file path=word/_rels/header51.xml.rels><?xml version="1.0" encoding="UTF-8" standalone="yes"?>
<Relationships xmlns="http://schemas.openxmlformats.org/package/2006/relationships"><Relationship Id="rId1" Type="http://schemas.openxmlformats.org/officeDocument/2006/relationships/image" Target="media/image11.png"/></Relationships>

</file>

<file path=word/_rels/header6.xml.rels><?xml version="1.0" encoding="UTF-8" standalone="yes"?>
<Relationships xmlns="http://schemas.openxmlformats.org/package/2006/relationships"><Relationship Id="rId1" Type="http://schemas.openxmlformats.org/officeDocument/2006/relationships/image" Target="media/image17.png"/></Relationships>

</file>

<file path=word/_rels/header7.xml.rels><?xml version="1.0" encoding="UTF-8" standalone="yes"?>
<Relationships xmlns="http://schemas.openxmlformats.org/package/2006/relationships"><Relationship Id="rId1" Type="http://schemas.openxmlformats.org/officeDocument/2006/relationships/image" Target="media/image17.png"/></Relationships>

</file>

<file path=word/_rels/header8.xml.rels><?xml version="1.0" encoding="UTF-8" standalone="yes"?>
<Relationships xmlns="http://schemas.openxmlformats.org/package/2006/relationships"><Relationship Id="rId1" Type="http://schemas.openxmlformats.org/officeDocument/2006/relationships/image" Target="media/image17.png"/></Relationships>

</file>

<file path=word/_rels/header9.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2020-01-15T15:25:54Z</dcterms:created>
  <dcterms:modified xsi:type="dcterms:W3CDTF">2020-01-15T15:25:54Z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2017-04-19T00:00:00Z</vt:filetime>
  </property>
  <property fmtid="{D5CDD505-2E9C-101B-9397-08002B2CF9AE}" pid="3" name="Creator">
    <vt:lpwstr>Adobe InDesign CC 2015 (Macintosh)</vt:lpwstr>
  </property>
  <property fmtid="{D5CDD505-2E9C-101B-9397-08002B2CF9AE}" pid="4" name="LastSaved">
    <vt:filetime>2020-01-15T00:00:00Z</vt:filetime>
  </property>
</Properties>
</file>